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4C5B12" w14:textId="77777777" w:rsidR="00BE36FB" w:rsidRPr="009B7B35" w:rsidRDefault="00BE36FB" w:rsidP="001A7107">
      <w:pPr>
        <w:spacing w:before="100" w:beforeAutospacing="1" w:after="100" w:afterAutospacing="1"/>
        <w:jc w:val="both"/>
        <w:outlineLvl w:val="1"/>
        <w:rPr>
          <w:rFonts w:ascii="Arial" w:hAnsi="Arial" w:cs="Arial"/>
          <w:b/>
          <w:bCs/>
          <w:color w:val="000000"/>
          <w:kern w:val="36"/>
          <w:sz w:val="20"/>
          <w:szCs w:val="20"/>
        </w:rPr>
      </w:pPr>
    </w:p>
    <w:p w14:paraId="3B4EBAB3" w14:textId="77777777" w:rsidR="00F2330C" w:rsidRDefault="00BE36FB">
      <w:pPr>
        <w:rPr>
          <w:rFonts w:ascii="Arial" w:hAnsi="Arial" w:cs="Arial"/>
          <w:b/>
          <w:bCs/>
          <w:color w:val="000000"/>
          <w:kern w:val="36"/>
          <w:sz w:val="20"/>
          <w:szCs w:val="20"/>
        </w:rPr>
      </w:pPr>
      <w:r w:rsidRPr="009B7B35">
        <w:rPr>
          <w:rFonts w:ascii="Arial" w:hAnsi="Arial" w:cs="Arial"/>
          <w:noProof/>
          <w:sz w:val="20"/>
          <w:szCs w:val="20"/>
        </w:rPr>
        <w:drawing>
          <wp:inline distT="0" distB="0" distL="0" distR="0" wp14:anchorId="3973F6F3" wp14:editId="30D58CC3">
            <wp:extent cx="5274310" cy="156464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274310" cy="1564640"/>
                    </a:xfrm>
                    <a:prstGeom prst="rect">
                      <a:avLst/>
                    </a:prstGeom>
                  </pic:spPr>
                </pic:pic>
              </a:graphicData>
            </a:graphic>
          </wp:inline>
        </w:drawing>
      </w:r>
    </w:p>
    <w:p w14:paraId="565D33ED" w14:textId="77777777" w:rsidR="00BE36FB" w:rsidRPr="009B7B35" w:rsidRDefault="00BE36FB">
      <w:pPr>
        <w:rPr>
          <w:rFonts w:ascii="Arial" w:hAnsi="Arial" w:cs="Arial"/>
          <w:b/>
          <w:bCs/>
          <w:color w:val="000000"/>
          <w:kern w:val="36"/>
          <w:sz w:val="20"/>
          <w:szCs w:val="20"/>
        </w:rPr>
      </w:pPr>
      <w:r w:rsidRPr="009B7B35">
        <w:rPr>
          <w:rFonts w:ascii="Arial" w:hAnsi="Arial" w:cs="Arial"/>
          <w:b/>
          <w:bCs/>
          <w:color w:val="000000"/>
          <w:kern w:val="36"/>
          <w:sz w:val="20"/>
          <w:szCs w:val="20"/>
        </w:rPr>
        <w:br w:type="page"/>
      </w:r>
    </w:p>
    <w:p w14:paraId="509DEF33" w14:textId="77777777" w:rsidR="00BE36FB" w:rsidRPr="009B7B35" w:rsidRDefault="00BE36FB" w:rsidP="001A7107">
      <w:pPr>
        <w:spacing w:before="100" w:beforeAutospacing="1" w:after="100" w:afterAutospacing="1"/>
        <w:jc w:val="both"/>
        <w:outlineLvl w:val="1"/>
        <w:rPr>
          <w:rFonts w:ascii="Arial" w:hAnsi="Arial" w:cs="Arial"/>
          <w:b/>
          <w:bCs/>
          <w:color w:val="000000"/>
          <w:kern w:val="36"/>
          <w:sz w:val="20"/>
          <w:szCs w:val="20"/>
        </w:rPr>
      </w:pPr>
      <w:r w:rsidRPr="009B7B35">
        <w:rPr>
          <w:rFonts w:ascii="Arial" w:hAnsi="Arial" w:cs="Arial"/>
          <w:b/>
          <w:bCs/>
          <w:color w:val="000000"/>
          <w:kern w:val="36"/>
          <w:sz w:val="20"/>
          <w:szCs w:val="20"/>
        </w:rPr>
        <w:lastRenderedPageBreak/>
        <w:t>​Disclaimer</w:t>
      </w:r>
    </w:p>
    <w:p w14:paraId="55EE6B24" w14:textId="77777777"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color w:val="000000"/>
          <w:sz w:val="20"/>
          <w:szCs w:val="20"/>
        </w:rPr>
        <w:t xml:space="preserve">Welcome to the Gladstone Region Planning Scheme. This site has been created specifically to assist the public in undertaking enquiries regarding the Gladstone Region Planning Scheme. </w:t>
      </w:r>
    </w:p>
    <w:p w14:paraId="36912855" w14:textId="77777777" w:rsidR="00BE36FB" w:rsidRPr="009B7B35" w:rsidRDefault="00BE36FB" w:rsidP="001A7107">
      <w:pPr>
        <w:spacing w:before="100" w:beforeAutospacing="1" w:after="100" w:afterAutospacing="1"/>
        <w:jc w:val="both"/>
        <w:outlineLvl w:val="2"/>
        <w:rPr>
          <w:rFonts w:ascii="Arial" w:hAnsi="Arial" w:cs="Arial"/>
          <w:b/>
          <w:bCs/>
          <w:color w:val="000000"/>
          <w:sz w:val="20"/>
          <w:szCs w:val="20"/>
        </w:rPr>
      </w:pPr>
      <w:r w:rsidRPr="009B7B35">
        <w:rPr>
          <w:rFonts w:ascii="Arial" w:hAnsi="Arial" w:cs="Arial"/>
          <w:b/>
          <w:bCs/>
          <w:color w:val="000000"/>
          <w:sz w:val="20"/>
          <w:szCs w:val="20"/>
        </w:rPr>
        <w:t>ACKNOWLEDGEMENT and ACCEPTANCE</w:t>
      </w:r>
    </w:p>
    <w:p w14:paraId="79C52010" w14:textId="77777777"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sz w:val="20"/>
          <w:szCs w:val="20"/>
        </w:rPr>
        <w:t xml:space="preserve">By accepting this information I/WE acknowledge and accept the request to do so falls under the </w:t>
      </w:r>
      <w:r w:rsidRPr="009B7B35">
        <w:rPr>
          <w:rStyle w:val="Emphasis"/>
          <w:rFonts w:ascii="Arial" w:hAnsi="Arial" w:cs="Arial"/>
          <w:sz w:val="20"/>
          <w:szCs w:val="20"/>
        </w:rPr>
        <w:t>Planning Act 2016</w:t>
      </w:r>
      <w:r w:rsidRPr="009B7B35">
        <w:rPr>
          <w:rFonts w:ascii="Arial" w:hAnsi="Arial" w:cs="Arial"/>
          <w:sz w:val="20"/>
          <w:szCs w:val="20"/>
        </w:rPr>
        <w:t xml:space="preserve"> (public access to planning and development information). I/WE understand that Gladstone Regional Council makes the information available under the relevant provisions of the </w:t>
      </w:r>
      <w:r w:rsidRPr="009B7B35">
        <w:rPr>
          <w:rStyle w:val="Emphasis"/>
          <w:rFonts w:ascii="Arial" w:hAnsi="Arial" w:cs="Arial"/>
          <w:sz w:val="20"/>
          <w:szCs w:val="20"/>
        </w:rPr>
        <w:t>Planning Act 2016</w:t>
      </w:r>
      <w:r w:rsidRPr="009B7B35">
        <w:rPr>
          <w:rFonts w:ascii="Arial" w:hAnsi="Arial" w:cs="Arial"/>
          <w:sz w:val="20"/>
          <w:szCs w:val="20"/>
        </w:rPr>
        <w:t>.</w:t>
      </w:r>
    </w:p>
    <w:p w14:paraId="1A6C0831" w14:textId="77777777"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color w:val="000000"/>
          <w:sz w:val="20"/>
          <w:szCs w:val="20"/>
        </w:rPr>
        <w:t xml:space="preserve">I/WE acknowledge that the information contained in the Gladstone Region Planning Scheme may be incomplete and should not be relied upon for any purpose. I/WE acknowledge and agree that the information is not to be used for purposes such as property transactions, decision-making processes involving property (including conveyancing processes) and/or property settlements, or any similar types of decisions. </w:t>
      </w:r>
    </w:p>
    <w:p w14:paraId="3D82F560" w14:textId="77777777"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color w:val="000000"/>
          <w:sz w:val="20"/>
          <w:szCs w:val="20"/>
        </w:rPr>
        <w:t xml:space="preserve">I/WE acknowledge that while every care has been taken by Gladstone Regional Council to ensure the accuracy of this website and the Gladstone Region Planning Scheme, Gladstone Regional Council does not make any representation or warranty about its accuracy, reliability, completeness or suitability for any particular purpose and disclaims all responsibility and all liability (including without limitation, liability in negligence) for any loss, damages or costs (including consequential damage) relating to any use of the information contained within the Gladstone Region Planning Scheme. </w:t>
      </w:r>
    </w:p>
    <w:p w14:paraId="640C38D8" w14:textId="77777777" w:rsidR="00BE36FB" w:rsidRPr="009B7B35" w:rsidRDefault="00BE36FB" w:rsidP="001A7107">
      <w:pPr>
        <w:spacing w:before="100" w:beforeAutospacing="1" w:after="100" w:afterAutospacing="1"/>
        <w:jc w:val="both"/>
        <w:rPr>
          <w:rFonts w:ascii="Arial" w:hAnsi="Arial" w:cs="Arial"/>
          <w:color w:val="000000"/>
          <w:sz w:val="20"/>
          <w:szCs w:val="20"/>
        </w:rPr>
      </w:pPr>
      <w:r w:rsidRPr="001A7107">
        <w:rPr>
          <w:rFonts w:ascii="Arial" w:hAnsi="Arial" w:cs="Arial"/>
          <w:b/>
          <w:color w:val="FF0000"/>
          <w:sz w:val="20"/>
          <w:szCs w:val="20"/>
        </w:rPr>
        <w:t>I/WE acknowledge that I/WE are not entitled to, and must not reproduce, publish, communicate or adapt the documents or information made available on this site for any purpose or by any means whatsoever</w:t>
      </w:r>
      <w:r w:rsidR="002838FA">
        <w:rPr>
          <w:rFonts w:ascii="Arial" w:hAnsi="Arial" w:cs="Arial"/>
          <w:b/>
          <w:color w:val="FF0000"/>
          <w:sz w:val="20"/>
          <w:szCs w:val="20"/>
        </w:rPr>
        <w:t xml:space="preserve"> other than for the preparation/lodgement of a Development Application within the Gladstone Local Government Area</w:t>
      </w:r>
      <w:r w:rsidRPr="009B7B35">
        <w:rPr>
          <w:rFonts w:ascii="Arial" w:hAnsi="Arial" w:cs="Arial"/>
          <w:color w:val="000000"/>
          <w:sz w:val="20"/>
          <w:szCs w:val="20"/>
        </w:rPr>
        <w:t xml:space="preserve">. </w:t>
      </w:r>
    </w:p>
    <w:p w14:paraId="43ED8F8F" w14:textId="77777777"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color w:val="000000"/>
          <w:sz w:val="20"/>
          <w:szCs w:val="20"/>
        </w:rPr>
        <w:t>All information provided is subject to the copyright laws of Australia and I/WE acknowledge that Gladstone Regional Council grants ME/US a licence solely for the purpose of viewing the content in the web browser (and in any cache files produced by the browser) on the terms set out above.</w:t>
      </w:r>
    </w:p>
    <w:p w14:paraId="0BA939AB" w14:textId="77777777" w:rsidR="00BE36FB" w:rsidRPr="009B7B35" w:rsidRDefault="00BE36FB" w:rsidP="001A7107">
      <w:pPr>
        <w:spacing w:before="100" w:beforeAutospacing="1" w:after="100" w:afterAutospacing="1"/>
        <w:jc w:val="both"/>
        <w:outlineLvl w:val="2"/>
        <w:rPr>
          <w:rFonts w:ascii="Arial" w:hAnsi="Arial" w:cs="Arial"/>
          <w:b/>
          <w:bCs/>
          <w:color w:val="000000"/>
          <w:sz w:val="20"/>
          <w:szCs w:val="20"/>
        </w:rPr>
      </w:pPr>
      <w:r w:rsidRPr="009B7B35">
        <w:rPr>
          <w:rFonts w:ascii="Arial" w:hAnsi="Arial" w:cs="Arial"/>
          <w:b/>
          <w:bCs/>
          <w:color w:val="000000"/>
          <w:sz w:val="20"/>
          <w:szCs w:val="20"/>
        </w:rPr>
        <w:t>ONLINE MAPPING</w:t>
      </w:r>
    </w:p>
    <w:p w14:paraId="76160AFE" w14:textId="77777777"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color w:val="000000"/>
          <w:sz w:val="20"/>
          <w:szCs w:val="20"/>
        </w:rPr>
        <w:t>I accept that Gladstone Regional Council and the Department of Environment and Resource Management / State of Queensland gives no warranty in relation to the Licensed Data (including accuracy, reliability, completeness or suitability) and accepts no liability (including without limitation, liability in negligence) for any loss, damage or costs (including consequential damage) relating to any use of the data.</w:t>
      </w:r>
    </w:p>
    <w:p w14:paraId="46B0A31E" w14:textId="77777777"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color w:val="000000"/>
          <w:sz w:val="20"/>
          <w:szCs w:val="20"/>
        </w:rPr>
        <w:t>The Department of Environment and Resource Management does not warrant that the Licensed Data provided through Maps is error free and I acknowledge the Licensed Data does not purport to represent precise locations of cadastral corners or the surveyed dimensions of cadastral boundaries.</w:t>
      </w:r>
    </w:p>
    <w:p w14:paraId="016E7EA8" w14:textId="77777777" w:rsidR="00BE36FB" w:rsidRPr="009B7B35" w:rsidRDefault="00BE36FB" w:rsidP="001A7107">
      <w:pPr>
        <w:spacing w:before="100" w:beforeAutospacing="1" w:after="100" w:afterAutospacing="1"/>
        <w:jc w:val="both"/>
        <w:rPr>
          <w:rFonts w:ascii="Arial" w:hAnsi="Arial" w:cs="Arial"/>
          <w:color w:val="000000"/>
          <w:sz w:val="20"/>
          <w:szCs w:val="20"/>
        </w:rPr>
      </w:pPr>
      <w:r w:rsidRPr="009B7B35">
        <w:rPr>
          <w:rFonts w:ascii="Arial" w:hAnsi="Arial" w:cs="Arial"/>
          <w:color w:val="000000"/>
          <w:sz w:val="20"/>
          <w:szCs w:val="20"/>
        </w:rPr>
        <w:t>Gladstone Regional Council does not warrant that the information or data provided through Maps is error free and I acknowledge that decisions should not be based on information provided through Maps without undertaking appropriate searches at Gladstone Regional Council.</w:t>
      </w:r>
    </w:p>
    <w:p w14:paraId="06FDB4D2" w14:textId="77777777" w:rsidR="00BE36FB" w:rsidRPr="009B7B35" w:rsidRDefault="00BE36FB">
      <w:pPr>
        <w:rPr>
          <w:rFonts w:ascii="Arial" w:hAnsi="Arial" w:cs="Arial"/>
          <w:sz w:val="20"/>
          <w:szCs w:val="20"/>
        </w:rPr>
      </w:pPr>
    </w:p>
    <w:p w14:paraId="4E0EA233" w14:textId="77777777" w:rsidR="009B7B35" w:rsidRPr="009B7B35" w:rsidRDefault="009B7B35">
      <w:pPr>
        <w:rPr>
          <w:rFonts w:ascii="Arial" w:eastAsiaTheme="majorEastAsia" w:hAnsi="Arial" w:cs="Arial"/>
          <w:b/>
          <w:iCs/>
          <w:spacing w:val="15"/>
          <w:sz w:val="20"/>
          <w:szCs w:val="20"/>
        </w:rPr>
      </w:pPr>
      <w:r w:rsidRPr="009B7B35">
        <w:rPr>
          <w:rFonts w:cs="Arial"/>
          <w:sz w:val="20"/>
          <w:szCs w:val="20"/>
        </w:rPr>
        <w:br w:type="page"/>
      </w:r>
    </w:p>
    <w:p w14:paraId="22714F90" w14:textId="77777777" w:rsidR="00BE36FB" w:rsidRPr="009B7B35" w:rsidRDefault="00BE36FB" w:rsidP="001A7107">
      <w:pPr>
        <w:pStyle w:val="Subtitle"/>
        <w:rPr>
          <w:rFonts w:cs="Arial"/>
          <w:sz w:val="20"/>
          <w:szCs w:val="20"/>
        </w:rPr>
      </w:pPr>
      <w:r w:rsidRPr="009B7B35">
        <w:rPr>
          <w:rFonts w:cs="Arial"/>
          <w:sz w:val="20"/>
          <w:szCs w:val="20"/>
        </w:rPr>
        <w:lastRenderedPageBreak/>
        <w:t>Citation and commencement</w:t>
      </w:r>
    </w:p>
    <w:p w14:paraId="70061EFA" w14:textId="77777777" w:rsidR="00BE36FB" w:rsidRPr="009B7B35" w:rsidRDefault="00BE36FB" w:rsidP="001A7107">
      <w:pPr>
        <w:rPr>
          <w:rFonts w:ascii="Arial" w:hAnsi="Arial" w:cs="Arial"/>
          <w:sz w:val="20"/>
          <w:szCs w:val="20"/>
        </w:rPr>
      </w:pPr>
    </w:p>
    <w:p w14:paraId="35DF4A97" w14:textId="77777777" w:rsidR="00BE36FB" w:rsidRPr="009B7B35" w:rsidRDefault="00BE36FB" w:rsidP="001A7107">
      <w:pPr>
        <w:rPr>
          <w:rFonts w:ascii="Arial" w:hAnsi="Arial" w:cs="Arial"/>
          <w:sz w:val="20"/>
          <w:szCs w:val="20"/>
        </w:rPr>
      </w:pPr>
      <w:r w:rsidRPr="009B7B35">
        <w:rPr>
          <w:rFonts w:ascii="Arial" w:hAnsi="Arial" w:cs="Arial"/>
          <w:sz w:val="20"/>
          <w:szCs w:val="20"/>
        </w:rPr>
        <w:t>This planning scheme may be cited as Our Place Our Plan Gladstone Regional Council Planning Scheme Version 2.</w:t>
      </w:r>
    </w:p>
    <w:p w14:paraId="523D60BD" w14:textId="77777777" w:rsidR="00BE36FB" w:rsidRPr="009B7B35" w:rsidRDefault="00BE36FB" w:rsidP="001A7107">
      <w:pPr>
        <w:rPr>
          <w:rFonts w:ascii="Arial" w:hAnsi="Arial" w:cs="Arial"/>
          <w:sz w:val="20"/>
          <w:szCs w:val="20"/>
        </w:rPr>
      </w:pPr>
    </w:p>
    <w:p w14:paraId="17B5235B" w14:textId="77777777" w:rsidR="00BE36FB" w:rsidRPr="009B7B35" w:rsidRDefault="00BE36FB" w:rsidP="001A7107">
      <w:pPr>
        <w:rPr>
          <w:rFonts w:ascii="Arial" w:hAnsi="Arial" w:cs="Arial"/>
          <w:sz w:val="20"/>
          <w:szCs w:val="20"/>
        </w:rPr>
      </w:pPr>
      <w:r w:rsidRPr="009B7B35">
        <w:rPr>
          <w:rFonts w:ascii="Arial" w:hAnsi="Arial" w:cs="Arial"/>
          <w:sz w:val="20"/>
          <w:szCs w:val="20"/>
        </w:rPr>
        <w:t>A notice was published in the Government Gazette No. 49 on 23 June 2017</w:t>
      </w:r>
      <w:r w:rsidRPr="009B7B35" w:rsidDel="00EC5F37">
        <w:rPr>
          <w:rFonts w:ascii="Arial" w:hAnsi="Arial" w:cs="Arial"/>
          <w:sz w:val="20"/>
          <w:szCs w:val="20"/>
        </w:rPr>
        <w:t xml:space="preserve"> </w:t>
      </w:r>
      <w:r w:rsidRPr="009B7B35">
        <w:rPr>
          <w:rFonts w:ascii="Arial" w:hAnsi="Arial" w:cs="Arial"/>
          <w:sz w:val="20"/>
          <w:szCs w:val="20"/>
        </w:rPr>
        <w:t>for the Major Amendment 1 and Alignment Amendment under the Planning Act 2016 to the Gladstone Regional Council Planning Scheme.</w:t>
      </w:r>
    </w:p>
    <w:p w14:paraId="1B1A14BB" w14:textId="77777777" w:rsidR="00BE36FB" w:rsidRPr="009B7B35" w:rsidRDefault="00BE36FB" w:rsidP="001A7107">
      <w:pPr>
        <w:rPr>
          <w:rFonts w:ascii="Arial" w:hAnsi="Arial" w:cs="Arial"/>
          <w:sz w:val="20"/>
          <w:szCs w:val="20"/>
        </w:rPr>
      </w:pPr>
    </w:p>
    <w:p w14:paraId="529A0606" w14:textId="77777777" w:rsidR="00BE36FB" w:rsidRPr="009B7B35" w:rsidRDefault="00BE36FB" w:rsidP="001A7107">
      <w:pPr>
        <w:rPr>
          <w:rFonts w:ascii="Arial" w:hAnsi="Arial" w:cs="Arial"/>
          <w:sz w:val="20"/>
          <w:szCs w:val="20"/>
        </w:rPr>
      </w:pPr>
      <w:r w:rsidRPr="009B7B35">
        <w:rPr>
          <w:rFonts w:ascii="Arial" w:hAnsi="Arial" w:cs="Arial"/>
          <w:sz w:val="20"/>
          <w:szCs w:val="20"/>
        </w:rPr>
        <w:t>The commencement date for the planning scheme was 3 July 2017.</w:t>
      </w:r>
    </w:p>
    <w:p w14:paraId="79E607F1" w14:textId="77777777" w:rsidR="00BE36FB" w:rsidRPr="009B7B35" w:rsidRDefault="00BE36FB" w:rsidP="001A7107">
      <w:pPr>
        <w:rPr>
          <w:rFonts w:ascii="Arial" w:hAnsi="Arial" w:cs="Arial"/>
          <w:sz w:val="20"/>
          <w:szCs w:val="20"/>
        </w:rPr>
      </w:pPr>
    </w:p>
    <w:p w14:paraId="08CB9ABF" w14:textId="77777777" w:rsidR="00BE36FB" w:rsidRPr="009B7B35" w:rsidRDefault="00BE36FB" w:rsidP="001A7107">
      <w:pPr>
        <w:rPr>
          <w:rFonts w:ascii="Arial" w:hAnsi="Arial" w:cs="Arial"/>
          <w:sz w:val="20"/>
          <w:szCs w:val="20"/>
        </w:rPr>
      </w:pPr>
      <w:r w:rsidRPr="009B7B35">
        <w:rPr>
          <w:rFonts w:ascii="Arial" w:hAnsi="Arial" w:cs="Arial"/>
          <w:sz w:val="20"/>
          <w:szCs w:val="20"/>
        </w:rPr>
        <w:t>Amendments to the planning scheme are included at Appendix 4.</w:t>
      </w:r>
    </w:p>
    <w:p w14:paraId="05FC3DF9" w14:textId="77777777" w:rsidR="009B7B35" w:rsidRPr="009B7B35" w:rsidRDefault="009B7B35">
      <w:pPr>
        <w:rPr>
          <w:rFonts w:ascii="Arial" w:eastAsiaTheme="majorEastAsia" w:hAnsi="Arial" w:cs="Arial"/>
          <w:b/>
          <w:iCs/>
          <w:spacing w:val="15"/>
          <w:sz w:val="20"/>
          <w:szCs w:val="20"/>
        </w:rPr>
      </w:pPr>
      <w:r w:rsidRPr="009B7B35">
        <w:rPr>
          <w:rFonts w:cs="Arial"/>
          <w:sz w:val="20"/>
          <w:szCs w:val="20"/>
        </w:rPr>
        <w:br w:type="page"/>
      </w:r>
    </w:p>
    <w:p w14:paraId="38E22FDB" w14:textId="77777777" w:rsidR="00BE36FB" w:rsidRPr="009B7B35" w:rsidRDefault="00BE36FB" w:rsidP="001A7107">
      <w:pPr>
        <w:pStyle w:val="Subtitle"/>
        <w:rPr>
          <w:rFonts w:cs="Arial"/>
          <w:sz w:val="20"/>
          <w:szCs w:val="20"/>
        </w:rPr>
      </w:pPr>
      <w:r w:rsidRPr="009B7B35">
        <w:rPr>
          <w:rFonts w:cs="Arial"/>
          <w:sz w:val="20"/>
          <w:szCs w:val="20"/>
        </w:rPr>
        <w:lastRenderedPageBreak/>
        <w:t>Contents</w:t>
      </w:r>
    </w:p>
    <w:p w14:paraId="08842748" w14:textId="11F2A53C" w:rsidR="001E6D70" w:rsidRDefault="00BE36FB">
      <w:pPr>
        <w:pStyle w:val="TOC1"/>
        <w:rPr>
          <w:rFonts w:asciiTheme="minorHAnsi" w:eastAsiaTheme="minorEastAsia" w:hAnsiTheme="minorHAnsi" w:cstheme="minorBidi"/>
          <w:kern w:val="2"/>
          <w:sz w:val="24"/>
          <w:lang w:eastAsia="en-AU"/>
          <w14:ligatures w14:val="standardContextual"/>
        </w:rPr>
      </w:pPr>
      <w:r w:rsidRPr="009B7B35">
        <w:rPr>
          <w:rFonts w:ascii="Arial" w:hAnsi="Arial" w:cs="Arial"/>
          <w:sz w:val="20"/>
          <w:szCs w:val="20"/>
        </w:rPr>
        <w:fldChar w:fldCharType="begin"/>
      </w:r>
      <w:r w:rsidRPr="009B7B35">
        <w:rPr>
          <w:rFonts w:ascii="Arial" w:hAnsi="Arial" w:cs="Arial"/>
          <w:sz w:val="20"/>
          <w:szCs w:val="20"/>
        </w:rPr>
        <w:instrText xml:space="preserve"> TOC \o "1-3" \t "Heading 6,1,Heading 7,2,Heading 8,3,Appendix,1" </w:instrText>
      </w:r>
      <w:r w:rsidRPr="009B7B35">
        <w:rPr>
          <w:rFonts w:ascii="Arial" w:hAnsi="Arial" w:cs="Arial"/>
          <w:sz w:val="20"/>
          <w:szCs w:val="20"/>
        </w:rPr>
        <w:fldChar w:fldCharType="separate"/>
      </w:r>
      <w:r w:rsidR="001E6D70" w:rsidRPr="00552F2A">
        <w:rPr>
          <w:rFonts w:ascii="Arial" w:hAnsi="Arial"/>
        </w:rPr>
        <w:t>Part 1</w:t>
      </w:r>
      <w:r w:rsidR="001E6D70">
        <w:rPr>
          <w:rFonts w:asciiTheme="minorHAnsi" w:eastAsiaTheme="minorEastAsia" w:hAnsiTheme="minorHAnsi" w:cstheme="minorBidi"/>
          <w:kern w:val="2"/>
          <w:sz w:val="24"/>
          <w:lang w:eastAsia="en-AU"/>
          <w14:ligatures w14:val="standardContextual"/>
        </w:rPr>
        <w:tab/>
      </w:r>
      <w:r w:rsidR="001E6D70" w:rsidRPr="00552F2A">
        <w:rPr>
          <w:rFonts w:ascii="Arial" w:hAnsi="Arial"/>
        </w:rPr>
        <w:t>About the planning scheme</w:t>
      </w:r>
      <w:r w:rsidR="001E6D70">
        <w:tab/>
      </w:r>
      <w:r w:rsidR="001E6D70">
        <w:fldChar w:fldCharType="begin"/>
      </w:r>
      <w:r w:rsidR="001E6D70">
        <w:instrText xml:space="preserve"> PAGEREF _Toc205367277 \h </w:instrText>
      </w:r>
      <w:r w:rsidR="001E6D70">
        <w:fldChar w:fldCharType="separate"/>
      </w:r>
      <w:r w:rsidR="001E6D70">
        <w:t>10</w:t>
      </w:r>
      <w:r w:rsidR="001E6D70">
        <w:fldChar w:fldCharType="end"/>
      </w:r>
    </w:p>
    <w:p w14:paraId="50E3A9D5" w14:textId="146ABBD5"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1.1</w:t>
      </w:r>
      <w:r>
        <w:rPr>
          <w:rFonts w:asciiTheme="minorHAnsi" w:eastAsiaTheme="minorEastAsia" w:hAnsiTheme="minorHAnsi" w:cstheme="minorBidi"/>
          <w:iCs w:val="0"/>
          <w:kern w:val="2"/>
          <w:sz w:val="24"/>
          <w:szCs w:val="24"/>
          <w:lang w:eastAsia="en-AU"/>
          <w14:ligatures w14:val="standardContextual"/>
        </w:rPr>
        <w:tab/>
      </w:r>
      <w:r w:rsidRPr="00552F2A">
        <w:t>Introduction</w:t>
      </w:r>
      <w:r>
        <w:tab/>
      </w:r>
      <w:r>
        <w:fldChar w:fldCharType="begin"/>
      </w:r>
      <w:r>
        <w:instrText xml:space="preserve"> PAGEREF _Toc205367278 \h </w:instrText>
      </w:r>
      <w:r>
        <w:fldChar w:fldCharType="separate"/>
      </w:r>
      <w:r>
        <w:t>10</w:t>
      </w:r>
      <w:r>
        <w:fldChar w:fldCharType="end"/>
      </w:r>
    </w:p>
    <w:p w14:paraId="48F71E74" w14:textId="7F8E2040"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1.2</w:t>
      </w:r>
      <w:r>
        <w:rPr>
          <w:rFonts w:asciiTheme="minorHAnsi" w:eastAsiaTheme="minorEastAsia" w:hAnsiTheme="minorHAnsi" w:cstheme="minorBidi"/>
          <w:iCs w:val="0"/>
          <w:kern w:val="2"/>
          <w:sz w:val="24"/>
          <w:szCs w:val="24"/>
          <w:lang w:eastAsia="en-AU"/>
          <w14:ligatures w14:val="standardContextual"/>
        </w:rPr>
        <w:tab/>
      </w:r>
      <w:r w:rsidRPr="00552F2A">
        <w:t>Planning scheme components</w:t>
      </w:r>
      <w:r>
        <w:tab/>
      </w:r>
      <w:r>
        <w:fldChar w:fldCharType="begin"/>
      </w:r>
      <w:r>
        <w:instrText xml:space="preserve"> PAGEREF _Toc205367279 \h </w:instrText>
      </w:r>
      <w:r>
        <w:fldChar w:fldCharType="separate"/>
      </w:r>
      <w:r>
        <w:t>12</w:t>
      </w:r>
      <w:r>
        <w:fldChar w:fldCharType="end"/>
      </w:r>
    </w:p>
    <w:p w14:paraId="4B582C52" w14:textId="749E7EE2"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1.3</w:t>
      </w:r>
      <w:r>
        <w:rPr>
          <w:rFonts w:asciiTheme="minorHAnsi" w:eastAsiaTheme="minorEastAsia" w:hAnsiTheme="minorHAnsi" w:cstheme="minorBidi"/>
          <w:iCs w:val="0"/>
          <w:kern w:val="2"/>
          <w:sz w:val="24"/>
          <w:szCs w:val="24"/>
          <w:lang w:eastAsia="en-AU"/>
          <w14:ligatures w14:val="standardContextual"/>
        </w:rPr>
        <w:tab/>
      </w:r>
      <w:r w:rsidRPr="00552F2A">
        <w:t>Interpretation</w:t>
      </w:r>
      <w:r>
        <w:tab/>
      </w:r>
      <w:r>
        <w:fldChar w:fldCharType="begin"/>
      </w:r>
      <w:r>
        <w:instrText xml:space="preserve"> PAGEREF _Toc205367280 \h </w:instrText>
      </w:r>
      <w:r>
        <w:fldChar w:fldCharType="separate"/>
      </w:r>
      <w:r>
        <w:t>16</w:t>
      </w:r>
      <w:r>
        <w:fldChar w:fldCharType="end"/>
      </w:r>
    </w:p>
    <w:p w14:paraId="10A91A03" w14:textId="313D9B58" w:rsidR="001E6D70" w:rsidRDefault="001E6D70">
      <w:pPr>
        <w:pStyle w:val="TOC3"/>
        <w:rPr>
          <w:rFonts w:asciiTheme="minorHAnsi" w:eastAsiaTheme="minorEastAsia" w:hAnsiTheme="minorHAnsi" w:cstheme="minorBidi"/>
          <w:kern w:val="2"/>
          <w:sz w:val="24"/>
          <w:lang w:eastAsia="en-AU"/>
          <w14:ligatures w14:val="standardContextual"/>
        </w:rPr>
      </w:pPr>
      <w:r w:rsidRPr="00552F2A">
        <w:t>1.3.1</w:t>
      </w:r>
      <w:r>
        <w:rPr>
          <w:rFonts w:asciiTheme="minorHAnsi" w:eastAsiaTheme="minorEastAsia" w:hAnsiTheme="minorHAnsi" w:cstheme="minorBidi"/>
          <w:kern w:val="2"/>
          <w:sz w:val="24"/>
          <w:lang w:eastAsia="en-AU"/>
          <w14:ligatures w14:val="standardContextual"/>
        </w:rPr>
        <w:tab/>
      </w:r>
      <w:r w:rsidRPr="00552F2A">
        <w:t>Definitions</w:t>
      </w:r>
      <w:r>
        <w:tab/>
      </w:r>
      <w:r>
        <w:fldChar w:fldCharType="begin"/>
      </w:r>
      <w:r>
        <w:instrText xml:space="preserve"> PAGEREF _Toc205367281 \h </w:instrText>
      </w:r>
      <w:r>
        <w:fldChar w:fldCharType="separate"/>
      </w:r>
      <w:r>
        <w:t>16</w:t>
      </w:r>
      <w:r>
        <w:fldChar w:fldCharType="end"/>
      </w:r>
    </w:p>
    <w:p w14:paraId="42579EDC" w14:textId="07D0A999" w:rsidR="001E6D70" w:rsidRDefault="001E6D70">
      <w:pPr>
        <w:pStyle w:val="TOC3"/>
        <w:rPr>
          <w:rFonts w:asciiTheme="minorHAnsi" w:eastAsiaTheme="minorEastAsia" w:hAnsiTheme="minorHAnsi" w:cstheme="minorBidi"/>
          <w:kern w:val="2"/>
          <w:sz w:val="24"/>
          <w:lang w:eastAsia="en-AU"/>
          <w14:ligatures w14:val="standardContextual"/>
        </w:rPr>
      </w:pPr>
      <w:r w:rsidRPr="00552F2A">
        <w:t>1.3.2</w:t>
      </w:r>
      <w:r>
        <w:rPr>
          <w:rFonts w:asciiTheme="minorHAnsi" w:eastAsiaTheme="minorEastAsia" w:hAnsiTheme="minorHAnsi" w:cstheme="minorBidi"/>
          <w:kern w:val="2"/>
          <w:sz w:val="24"/>
          <w:lang w:eastAsia="en-AU"/>
          <w14:ligatures w14:val="standardContextual"/>
        </w:rPr>
        <w:tab/>
      </w:r>
      <w:r w:rsidRPr="00552F2A">
        <w:t>Standard drawings, maps, notes, editor's notes and footnotes</w:t>
      </w:r>
      <w:r>
        <w:tab/>
      </w:r>
      <w:r>
        <w:fldChar w:fldCharType="begin"/>
      </w:r>
      <w:r>
        <w:instrText xml:space="preserve"> PAGEREF _Toc205367282 \h </w:instrText>
      </w:r>
      <w:r>
        <w:fldChar w:fldCharType="separate"/>
      </w:r>
      <w:r>
        <w:t>16</w:t>
      </w:r>
      <w:r>
        <w:fldChar w:fldCharType="end"/>
      </w:r>
    </w:p>
    <w:p w14:paraId="3676397C" w14:textId="2EA968A0" w:rsidR="001E6D70" w:rsidRDefault="001E6D70">
      <w:pPr>
        <w:pStyle w:val="TOC3"/>
        <w:rPr>
          <w:rFonts w:asciiTheme="minorHAnsi" w:eastAsiaTheme="minorEastAsia" w:hAnsiTheme="minorHAnsi" w:cstheme="minorBidi"/>
          <w:kern w:val="2"/>
          <w:sz w:val="24"/>
          <w:lang w:eastAsia="en-AU"/>
          <w14:ligatures w14:val="standardContextual"/>
        </w:rPr>
      </w:pPr>
      <w:r w:rsidRPr="00552F2A">
        <w:t>1.3.3</w:t>
      </w:r>
      <w:r>
        <w:rPr>
          <w:rFonts w:asciiTheme="minorHAnsi" w:eastAsiaTheme="minorEastAsia" w:hAnsiTheme="minorHAnsi" w:cstheme="minorBidi"/>
          <w:kern w:val="2"/>
          <w:sz w:val="24"/>
          <w:lang w:eastAsia="en-AU"/>
          <w14:ligatures w14:val="standardContextual"/>
        </w:rPr>
        <w:tab/>
      </w:r>
      <w:r w:rsidRPr="00552F2A">
        <w:t>Punctuation</w:t>
      </w:r>
      <w:r>
        <w:tab/>
      </w:r>
      <w:r>
        <w:fldChar w:fldCharType="begin"/>
      </w:r>
      <w:r>
        <w:instrText xml:space="preserve"> PAGEREF _Toc205367283 \h </w:instrText>
      </w:r>
      <w:r>
        <w:fldChar w:fldCharType="separate"/>
      </w:r>
      <w:r>
        <w:t>16</w:t>
      </w:r>
      <w:r>
        <w:fldChar w:fldCharType="end"/>
      </w:r>
    </w:p>
    <w:p w14:paraId="70882289" w14:textId="0AE19A97" w:rsidR="001E6D70" w:rsidRDefault="001E6D70">
      <w:pPr>
        <w:pStyle w:val="TOC3"/>
        <w:rPr>
          <w:rFonts w:asciiTheme="minorHAnsi" w:eastAsiaTheme="minorEastAsia" w:hAnsiTheme="minorHAnsi" w:cstheme="minorBidi"/>
          <w:kern w:val="2"/>
          <w:sz w:val="24"/>
          <w:lang w:eastAsia="en-AU"/>
          <w14:ligatures w14:val="standardContextual"/>
        </w:rPr>
      </w:pPr>
      <w:r w:rsidRPr="00552F2A">
        <w:t>1.3.4</w:t>
      </w:r>
      <w:r>
        <w:rPr>
          <w:rFonts w:asciiTheme="minorHAnsi" w:eastAsiaTheme="minorEastAsia" w:hAnsiTheme="minorHAnsi" w:cstheme="minorBidi"/>
          <w:kern w:val="2"/>
          <w:sz w:val="24"/>
          <w:lang w:eastAsia="en-AU"/>
          <w14:ligatures w14:val="standardContextual"/>
        </w:rPr>
        <w:tab/>
      </w:r>
      <w:r w:rsidRPr="00552F2A">
        <w:t>Zones for roads, closed roads, waterways and reclaimed land</w:t>
      </w:r>
      <w:r>
        <w:tab/>
      </w:r>
      <w:r>
        <w:fldChar w:fldCharType="begin"/>
      </w:r>
      <w:r>
        <w:instrText xml:space="preserve"> PAGEREF _Toc205367284 \h </w:instrText>
      </w:r>
      <w:r>
        <w:fldChar w:fldCharType="separate"/>
      </w:r>
      <w:r>
        <w:t>16</w:t>
      </w:r>
      <w:r>
        <w:fldChar w:fldCharType="end"/>
      </w:r>
    </w:p>
    <w:p w14:paraId="31A1CF77" w14:textId="777A868E"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1.4</w:t>
      </w:r>
      <w:r>
        <w:rPr>
          <w:rFonts w:asciiTheme="minorHAnsi" w:eastAsiaTheme="minorEastAsia" w:hAnsiTheme="minorHAnsi" w:cstheme="minorBidi"/>
          <w:iCs w:val="0"/>
          <w:kern w:val="2"/>
          <w:sz w:val="24"/>
          <w:szCs w:val="24"/>
          <w:lang w:eastAsia="en-AU"/>
          <w14:ligatures w14:val="standardContextual"/>
        </w:rPr>
        <w:tab/>
      </w:r>
      <w:r w:rsidRPr="00552F2A">
        <w:t>Categories of development</w:t>
      </w:r>
      <w:r>
        <w:tab/>
      </w:r>
      <w:r>
        <w:fldChar w:fldCharType="begin"/>
      </w:r>
      <w:r>
        <w:instrText xml:space="preserve"> PAGEREF _Toc205367285 \h </w:instrText>
      </w:r>
      <w:r>
        <w:fldChar w:fldCharType="separate"/>
      </w:r>
      <w:r>
        <w:t>17</w:t>
      </w:r>
      <w:r>
        <w:fldChar w:fldCharType="end"/>
      </w:r>
    </w:p>
    <w:p w14:paraId="27A0DF13" w14:textId="6CCEFD1C"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1.5</w:t>
      </w:r>
      <w:r>
        <w:rPr>
          <w:rFonts w:asciiTheme="minorHAnsi" w:eastAsiaTheme="minorEastAsia" w:hAnsiTheme="minorHAnsi" w:cstheme="minorBidi"/>
          <w:iCs w:val="0"/>
          <w:kern w:val="2"/>
          <w:sz w:val="24"/>
          <w:szCs w:val="24"/>
          <w:lang w:eastAsia="en-AU"/>
          <w14:ligatures w14:val="standardContextual"/>
        </w:rPr>
        <w:tab/>
      </w:r>
      <w:r w:rsidRPr="00552F2A">
        <w:t>Hierarchy of assessment benchmarks</w:t>
      </w:r>
      <w:r>
        <w:tab/>
      </w:r>
      <w:r>
        <w:fldChar w:fldCharType="begin"/>
      </w:r>
      <w:r>
        <w:instrText xml:space="preserve"> PAGEREF _Toc205367286 \h </w:instrText>
      </w:r>
      <w:r>
        <w:fldChar w:fldCharType="separate"/>
      </w:r>
      <w:r>
        <w:t>17</w:t>
      </w:r>
      <w:r>
        <w:fldChar w:fldCharType="end"/>
      </w:r>
    </w:p>
    <w:p w14:paraId="619AA362" w14:textId="3C681346"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1.6</w:t>
      </w:r>
      <w:r>
        <w:rPr>
          <w:rFonts w:asciiTheme="minorHAnsi" w:eastAsiaTheme="minorEastAsia" w:hAnsiTheme="minorHAnsi" w:cstheme="minorBidi"/>
          <w:iCs w:val="0"/>
          <w:kern w:val="2"/>
          <w:sz w:val="24"/>
          <w:szCs w:val="24"/>
          <w:lang w:eastAsia="en-AU"/>
          <w14:ligatures w14:val="standardContextual"/>
        </w:rPr>
        <w:tab/>
      </w:r>
      <w:r w:rsidRPr="00552F2A">
        <w:t>Building work regulated under the planning scheme</w:t>
      </w:r>
      <w:r>
        <w:tab/>
      </w:r>
      <w:r>
        <w:fldChar w:fldCharType="begin"/>
      </w:r>
      <w:r>
        <w:instrText xml:space="preserve"> PAGEREF _Toc205367287 \h </w:instrText>
      </w:r>
      <w:r>
        <w:fldChar w:fldCharType="separate"/>
      </w:r>
      <w:r>
        <w:t>17</w:t>
      </w:r>
      <w:r>
        <w:fldChar w:fldCharType="end"/>
      </w:r>
    </w:p>
    <w:p w14:paraId="047ACB62" w14:textId="30BFB5F4"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1.7</w:t>
      </w:r>
      <w:r>
        <w:rPr>
          <w:rFonts w:asciiTheme="minorHAnsi" w:eastAsiaTheme="minorEastAsia" w:hAnsiTheme="minorHAnsi" w:cstheme="minorBidi"/>
          <w:iCs w:val="0"/>
          <w:kern w:val="2"/>
          <w:sz w:val="24"/>
          <w:szCs w:val="24"/>
          <w:lang w:eastAsia="en-AU"/>
          <w14:ligatures w14:val="standardContextual"/>
        </w:rPr>
        <w:tab/>
      </w:r>
      <w:r w:rsidRPr="00552F2A">
        <w:t>Local government administrative matters</w:t>
      </w:r>
      <w:r>
        <w:tab/>
      </w:r>
      <w:r>
        <w:fldChar w:fldCharType="begin"/>
      </w:r>
      <w:r>
        <w:instrText xml:space="preserve"> PAGEREF _Toc205367288 \h </w:instrText>
      </w:r>
      <w:r>
        <w:fldChar w:fldCharType="separate"/>
      </w:r>
      <w:r>
        <w:t>18</w:t>
      </w:r>
      <w:r>
        <w:fldChar w:fldCharType="end"/>
      </w:r>
    </w:p>
    <w:p w14:paraId="75D92DD7" w14:textId="73E42CCF"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ascii="Arial" w:hAnsi="Arial"/>
        </w:rPr>
        <w:t>Part 2</w:t>
      </w:r>
      <w:r>
        <w:rPr>
          <w:rFonts w:asciiTheme="minorHAnsi" w:eastAsiaTheme="minorEastAsia" w:hAnsiTheme="minorHAnsi" w:cstheme="minorBidi"/>
          <w:kern w:val="2"/>
          <w:sz w:val="24"/>
          <w:lang w:eastAsia="en-AU"/>
          <w14:ligatures w14:val="standardContextual"/>
        </w:rPr>
        <w:tab/>
      </w:r>
      <w:r w:rsidRPr="00552F2A">
        <w:rPr>
          <w:rFonts w:ascii="Arial" w:hAnsi="Arial"/>
        </w:rPr>
        <w:t>State planning provisions</w:t>
      </w:r>
      <w:r>
        <w:tab/>
      </w:r>
      <w:r>
        <w:fldChar w:fldCharType="begin"/>
      </w:r>
      <w:r>
        <w:instrText xml:space="preserve"> PAGEREF _Toc205367289 \h </w:instrText>
      </w:r>
      <w:r>
        <w:fldChar w:fldCharType="separate"/>
      </w:r>
      <w:r>
        <w:t>19</w:t>
      </w:r>
      <w:r>
        <w:fldChar w:fldCharType="end"/>
      </w:r>
    </w:p>
    <w:p w14:paraId="27C076A3" w14:textId="55420F5B"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2.1</w:t>
      </w:r>
      <w:r>
        <w:rPr>
          <w:rFonts w:asciiTheme="minorHAnsi" w:eastAsiaTheme="minorEastAsia" w:hAnsiTheme="minorHAnsi" w:cstheme="minorBidi"/>
          <w:iCs w:val="0"/>
          <w:kern w:val="2"/>
          <w:sz w:val="24"/>
          <w:szCs w:val="24"/>
          <w:lang w:eastAsia="en-AU"/>
          <w14:ligatures w14:val="standardContextual"/>
        </w:rPr>
        <w:tab/>
      </w:r>
      <w:r w:rsidRPr="00552F2A">
        <w:t>State planning policy</w:t>
      </w:r>
      <w:r>
        <w:tab/>
      </w:r>
      <w:r>
        <w:fldChar w:fldCharType="begin"/>
      </w:r>
      <w:r>
        <w:instrText xml:space="preserve"> PAGEREF _Toc205367290 \h </w:instrText>
      </w:r>
      <w:r>
        <w:fldChar w:fldCharType="separate"/>
      </w:r>
      <w:r>
        <w:t>19</w:t>
      </w:r>
      <w:r>
        <w:fldChar w:fldCharType="end"/>
      </w:r>
    </w:p>
    <w:p w14:paraId="1D94037D" w14:textId="5718A62D"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2.2</w:t>
      </w:r>
      <w:r>
        <w:rPr>
          <w:rFonts w:asciiTheme="minorHAnsi" w:eastAsiaTheme="minorEastAsia" w:hAnsiTheme="minorHAnsi" w:cstheme="minorBidi"/>
          <w:iCs w:val="0"/>
          <w:kern w:val="2"/>
          <w:sz w:val="24"/>
          <w:szCs w:val="24"/>
          <w:lang w:eastAsia="en-AU"/>
          <w14:ligatures w14:val="standardContextual"/>
        </w:rPr>
        <w:tab/>
      </w:r>
      <w:r w:rsidRPr="00552F2A">
        <w:t>Regional plan</w:t>
      </w:r>
      <w:r>
        <w:tab/>
      </w:r>
      <w:r>
        <w:fldChar w:fldCharType="begin"/>
      </w:r>
      <w:r>
        <w:instrText xml:space="preserve"> PAGEREF _Toc205367291 \h </w:instrText>
      </w:r>
      <w:r>
        <w:fldChar w:fldCharType="separate"/>
      </w:r>
      <w:r>
        <w:t>19</w:t>
      </w:r>
      <w:r>
        <w:fldChar w:fldCharType="end"/>
      </w:r>
    </w:p>
    <w:p w14:paraId="525695B2" w14:textId="5FFD121D"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2.3</w:t>
      </w:r>
      <w:r>
        <w:rPr>
          <w:rFonts w:asciiTheme="minorHAnsi" w:eastAsiaTheme="minorEastAsia" w:hAnsiTheme="minorHAnsi" w:cstheme="minorBidi"/>
          <w:iCs w:val="0"/>
          <w:kern w:val="2"/>
          <w:sz w:val="24"/>
          <w:szCs w:val="24"/>
          <w:lang w:eastAsia="en-AU"/>
          <w14:ligatures w14:val="standardContextual"/>
        </w:rPr>
        <w:tab/>
      </w:r>
      <w:r w:rsidRPr="00552F2A">
        <w:t>Referral agency delegations</w:t>
      </w:r>
      <w:r>
        <w:tab/>
      </w:r>
      <w:r>
        <w:fldChar w:fldCharType="begin"/>
      </w:r>
      <w:r>
        <w:instrText xml:space="preserve"> PAGEREF _Toc205367292 \h </w:instrText>
      </w:r>
      <w:r>
        <w:fldChar w:fldCharType="separate"/>
      </w:r>
      <w:r>
        <w:t>19</w:t>
      </w:r>
      <w:r>
        <w:fldChar w:fldCharType="end"/>
      </w:r>
    </w:p>
    <w:p w14:paraId="5EB9ABD9" w14:textId="1BDE2EF3"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2.4</w:t>
      </w:r>
      <w:r>
        <w:rPr>
          <w:rFonts w:asciiTheme="minorHAnsi" w:eastAsiaTheme="minorEastAsia" w:hAnsiTheme="minorHAnsi" w:cstheme="minorBidi"/>
          <w:iCs w:val="0"/>
          <w:kern w:val="2"/>
          <w:sz w:val="24"/>
          <w:szCs w:val="24"/>
          <w:lang w:eastAsia="en-AU"/>
          <w14:ligatures w14:val="standardContextual"/>
        </w:rPr>
        <w:tab/>
      </w:r>
      <w:r w:rsidRPr="00552F2A">
        <w:t>Regulated requirements</w:t>
      </w:r>
      <w:r>
        <w:tab/>
      </w:r>
      <w:r>
        <w:fldChar w:fldCharType="begin"/>
      </w:r>
      <w:r>
        <w:instrText xml:space="preserve"> PAGEREF _Toc205367293 \h </w:instrText>
      </w:r>
      <w:r>
        <w:fldChar w:fldCharType="separate"/>
      </w:r>
      <w:r>
        <w:t>19</w:t>
      </w:r>
      <w:r>
        <w:fldChar w:fldCharType="end"/>
      </w:r>
    </w:p>
    <w:p w14:paraId="14028A0A" w14:textId="4DEAE4CE" w:rsidR="001E6D70" w:rsidRDefault="001E6D70">
      <w:pPr>
        <w:pStyle w:val="TOC1"/>
        <w:rPr>
          <w:rFonts w:asciiTheme="minorHAnsi" w:eastAsiaTheme="minorEastAsia" w:hAnsiTheme="minorHAnsi" w:cstheme="minorBidi"/>
          <w:kern w:val="2"/>
          <w:sz w:val="24"/>
          <w:lang w:eastAsia="en-AU"/>
          <w14:ligatures w14:val="standardContextual"/>
        </w:rPr>
      </w:pPr>
      <w:r w:rsidRPr="00552F2A">
        <w:t>Part 3</w:t>
      </w:r>
      <w:r>
        <w:rPr>
          <w:rFonts w:asciiTheme="minorHAnsi" w:eastAsiaTheme="minorEastAsia" w:hAnsiTheme="minorHAnsi" w:cstheme="minorBidi"/>
          <w:kern w:val="2"/>
          <w:sz w:val="24"/>
          <w:lang w:eastAsia="en-AU"/>
          <w14:ligatures w14:val="standardContextual"/>
        </w:rPr>
        <w:tab/>
      </w:r>
      <w:r w:rsidRPr="00552F2A">
        <w:rPr>
          <w:rFonts w:ascii="Arial" w:hAnsi="Arial"/>
        </w:rPr>
        <w:t>Strategic framework</w:t>
      </w:r>
      <w:r>
        <w:tab/>
      </w:r>
      <w:r>
        <w:fldChar w:fldCharType="begin"/>
      </w:r>
      <w:r>
        <w:instrText xml:space="preserve"> PAGEREF _Toc205367294 \h </w:instrText>
      </w:r>
      <w:r>
        <w:fldChar w:fldCharType="separate"/>
      </w:r>
      <w:r>
        <w:t>20</w:t>
      </w:r>
      <w:r>
        <w:fldChar w:fldCharType="end"/>
      </w:r>
    </w:p>
    <w:p w14:paraId="40764BD1" w14:textId="023ECE9F"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b/>
          <w:iCs w:val="0"/>
        </w:rPr>
        <w:t>3.1</w:t>
      </w:r>
      <w:r>
        <w:rPr>
          <w:rFonts w:asciiTheme="minorHAnsi" w:eastAsiaTheme="minorEastAsia" w:hAnsiTheme="minorHAnsi" w:cstheme="minorBidi"/>
          <w:iCs w:val="0"/>
          <w:kern w:val="2"/>
          <w:sz w:val="24"/>
          <w:szCs w:val="24"/>
          <w:lang w:eastAsia="en-AU"/>
          <w14:ligatures w14:val="standardContextual"/>
        </w:rPr>
        <w:tab/>
      </w:r>
      <w:r w:rsidRPr="00552F2A">
        <w:t>Preliminary</w:t>
      </w:r>
      <w:r>
        <w:tab/>
      </w:r>
      <w:r>
        <w:fldChar w:fldCharType="begin"/>
      </w:r>
      <w:r>
        <w:instrText xml:space="preserve"> PAGEREF _Toc205367295 \h </w:instrText>
      </w:r>
      <w:r>
        <w:fldChar w:fldCharType="separate"/>
      </w:r>
      <w:r>
        <w:t>20</w:t>
      </w:r>
      <w:r>
        <w:fldChar w:fldCharType="end"/>
      </w:r>
    </w:p>
    <w:p w14:paraId="154774E2" w14:textId="035B6543"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b/>
          <w:iCs w:val="0"/>
        </w:rPr>
        <w:t>3.2</w:t>
      </w:r>
      <w:r>
        <w:rPr>
          <w:rFonts w:asciiTheme="minorHAnsi" w:eastAsiaTheme="minorEastAsia" w:hAnsiTheme="minorHAnsi" w:cstheme="minorBidi"/>
          <w:iCs w:val="0"/>
          <w:kern w:val="2"/>
          <w:sz w:val="24"/>
          <w:szCs w:val="24"/>
          <w:lang w:eastAsia="en-AU"/>
          <w14:ligatures w14:val="standardContextual"/>
        </w:rPr>
        <w:tab/>
      </w:r>
      <w:r w:rsidRPr="00552F2A">
        <w:t>Strategic intent</w:t>
      </w:r>
      <w:r>
        <w:tab/>
      </w:r>
      <w:r>
        <w:fldChar w:fldCharType="begin"/>
      </w:r>
      <w:r>
        <w:instrText xml:space="preserve"> PAGEREF _Toc205367296 \h </w:instrText>
      </w:r>
      <w:r>
        <w:fldChar w:fldCharType="separate"/>
      </w:r>
      <w:r>
        <w:t>20</w:t>
      </w:r>
      <w:r>
        <w:fldChar w:fldCharType="end"/>
      </w:r>
    </w:p>
    <w:p w14:paraId="715BC16A" w14:textId="752A4392"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b/>
          <w:iCs w:val="0"/>
        </w:rPr>
        <w:t>3.3</w:t>
      </w:r>
      <w:r>
        <w:rPr>
          <w:rFonts w:asciiTheme="minorHAnsi" w:eastAsiaTheme="minorEastAsia" w:hAnsiTheme="minorHAnsi" w:cstheme="minorBidi"/>
          <w:iCs w:val="0"/>
          <w:kern w:val="2"/>
          <w:sz w:val="24"/>
          <w:szCs w:val="24"/>
          <w:lang w:eastAsia="en-AU"/>
          <w14:ligatures w14:val="standardContextual"/>
        </w:rPr>
        <w:tab/>
      </w:r>
      <w:r w:rsidRPr="00552F2A">
        <w:t>Gateway to the world</w:t>
      </w:r>
      <w:r>
        <w:tab/>
      </w:r>
      <w:r>
        <w:fldChar w:fldCharType="begin"/>
      </w:r>
      <w:r>
        <w:instrText xml:space="preserve"> PAGEREF _Toc205367297 \h </w:instrText>
      </w:r>
      <w:r>
        <w:fldChar w:fldCharType="separate"/>
      </w:r>
      <w:r>
        <w:t>25</w:t>
      </w:r>
      <w:r>
        <w:fldChar w:fldCharType="end"/>
      </w:r>
    </w:p>
    <w:p w14:paraId="6817EC00" w14:textId="408CD480" w:rsidR="001E6D70" w:rsidRDefault="001E6D70">
      <w:pPr>
        <w:pStyle w:val="TOC3"/>
        <w:rPr>
          <w:rFonts w:asciiTheme="minorHAnsi" w:eastAsiaTheme="minorEastAsia" w:hAnsiTheme="minorHAnsi" w:cstheme="minorBidi"/>
          <w:kern w:val="2"/>
          <w:sz w:val="24"/>
          <w:lang w:eastAsia="en-AU"/>
          <w14:ligatures w14:val="standardContextual"/>
        </w:rPr>
      </w:pPr>
      <w:r>
        <w:t>3.3.1</w:t>
      </w:r>
      <w:r>
        <w:rPr>
          <w:rFonts w:asciiTheme="minorHAnsi" w:eastAsiaTheme="minorEastAsia" w:hAnsiTheme="minorHAnsi" w:cstheme="minorBidi"/>
          <w:kern w:val="2"/>
          <w:sz w:val="24"/>
          <w:lang w:eastAsia="en-AU"/>
          <w14:ligatures w14:val="standardContextual"/>
        </w:rPr>
        <w:tab/>
      </w:r>
      <w:r w:rsidRPr="00552F2A">
        <w:t>Strategic outcomes</w:t>
      </w:r>
      <w:r>
        <w:tab/>
      </w:r>
      <w:r>
        <w:fldChar w:fldCharType="begin"/>
      </w:r>
      <w:r>
        <w:instrText xml:space="preserve"> PAGEREF _Toc205367298 \h </w:instrText>
      </w:r>
      <w:r>
        <w:fldChar w:fldCharType="separate"/>
      </w:r>
      <w:r>
        <w:t>25</w:t>
      </w:r>
      <w:r>
        <w:fldChar w:fldCharType="end"/>
      </w:r>
    </w:p>
    <w:p w14:paraId="78C5BCCC" w14:textId="2A427010" w:rsidR="001E6D70" w:rsidRDefault="001E6D70">
      <w:pPr>
        <w:pStyle w:val="TOC3"/>
        <w:rPr>
          <w:rFonts w:asciiTheme="minorHAnsi" w:eastAsiaTheme="minorEastAsia" w:hAnsiTheme="minorHAnsi" w:cstheme="minorBidi"/>
          <w:kern w:val="2"/>
          <w:sz w:val="24"/>
          <w:lang w:eastAsia="en-AU"/>
          <w14:ligatures w14:val="standardContextual"/>
        </w:rPr>
      </w:pPr>
      <w:r>
        <w:t>3.3.2</w:t>
      </w:r>
      <w:r>
        <w:rPr>
          <w:rFonts w:asciiTheme="minorHAnsi" w:eastAsiaTheme="minorEastAsia" w:hAnsiTheme="minorHAnsi" w:cstheme="minorBidi"/>
          <w:kern w:val="2"/>
          <w:sz w:val="24"/>
          <w:lang w:eastAsia="en-AU"/>
          <w14:ligatures w14:val="standardContextual"/>
        </w:rPr>
        <w:tab/>
      </w:r>
      <w:r w:rsidRPr="00552F2A">
        <w:t>Elements</w:t>
      </w:r>
      <w:r>
        <w:tab/>
      </w:r>
      <w:r>
        <w:fldChar w:fldCharType="begin"/>
      </w:r>
      <w:r>
        <w:instrText xml:space="preserve"> PAGEREF _Toc205367299 \h </w:instrText>
      </w:r>
      <w:r>
        <w:fldChar w:fldCharType="separate"/>
      </w:r>
      <w:r>
        <w:t>25</w:t>
      </w:r>
      <w:r>
        <w:fldChar w:fldCharType="end"/>
      </w:r>
    </w:p>
    <w:p w14:paraId="54E8E787" w14:textId="0CA9A3C3"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b/>
          <w:iCs w:val="0"/>
        </w:rPr>
        <w:t>3.4</w:t>
      </w:r>
      <w:r>
        <w:rPr>
          <w:rFonts w:asciiTheme="minorHAnsi" w:eastAsiaTheme="minorEastAsia" w:hAnsiTheme="minorHAnsi" w:cstheme="minorBidi"/>
          <w:iCs w:val="0"/>
          <w:kern w:val="2"/>
          <w:sz w:val="24"/>
          <w:szCs w:val="24"/>
          <w:lang w:eastAsia="en-AU"/>
          <w14:ligatures w14:val="standardContextual"/>
        </w:rPr>
        <w:tab/>
      </w:r>
      <w:r w:rsidRPr="00552F2A">
        <w:t>Community living</w:t>
      </w:r>
      <w:r>
        <w:tab/>
      </w:r>
      <w:r>
        <w:fldChar w:fldCharType="begin"/>
      </w:r>
      <w:r>
        <w:instrText xml:space="preserve"> PAGEREF _Toc205367300 \h </w:instrText>
      </w:r>
      <w:r>
        <w:fldChar w:fldCharType="separate"/>
      </w:r>
      <w:r>
        <w:t>32</w:t>
      </w:r>
      <w:r>
        <w:fldChar w:fldCharType="end"/>
      </w:r>
    </w:p>
    <w:p w14:paraId="060704FB" w14:textId="5B67BC08" w:rsidR="001E6D70" w:rsidRDefault="001E6D70">
      <w:pPr>
        <w:pStyle w:val="TOC3"/>
        <w:rPr>
          <w:rFonts w:asciiTheme="minorHAnsi" w:eastAsiaTheme="minorEastAsia" w:hAnsiTheme="minorHAnsi" w:cstheme="minorBidi"/>
          <w:kern w:val="2"/>
          <w:sz w:val="24"/>
          <w:lang w:eastAsia="en-AU"/>
          <w14:ligatures w14:val="standardContextual"/>
        </w:rPr>
      </w:pPr>
      <w:r>
        <w:t>3.4.1</w:t>
      </w:r>
      <w:r>
        <w:rPr>
          <w:rFonts w:asciiTheme="minorHAnsi" w:eastAsiaTheme="minorEastAsia" w:hAnsiTheme="minorHAnsi" w:cstheme="minorBidi"/>
          <w:kern w:val="2"/>
          <w:sz w:val="24"/>
          <w:lang w:eastAsia="en-AU"/>
          <w14:ligatures w14:val="standardContextual"/>
        </w:rPr>
        <w:tab/>
      </w:r>
      <w:r w:rsidRPr="00552F2A">
        <w:t>Strategic outcomes</w:t>
      </w:r>
      <w:r>
        <w:tab/>
      </w:r>
      <w:r>
        <w:fldChar w:fldCharType="begin"/>
      </w:r>
      <w:r>
        <w:instrText xml:space="preserve"> PAGEREF _Toc205367301 \h </w:instrText>
      </w:r>
      <w:r>
        <w:fldChar w:fldCharType="separate"/>
      </w:r>
      <w:r>
        <w:t>32</w:t>
      </w:r>
      <w:r>
        <w:fldChar w:fldCharType="end"/>
      </w:r>
    </w:p>
    <w:p w14:paraId="5656C9FA" w14:textId="4CA59882" w:rsidR="001E6D70" w:rsidRDefault="001E6D70">
      <w:pPr>
        <w:pStyle w:val="TOC3"/>
        <w:rPr>
          <w:rFonts w:asciiTheme="minorHAnsi" w:eastAsiaTheme="minorEastAsia" w:hAnsiTheme="minorHAnsi" w:cstheme="minorBidi"/>
          <w:kern w:val="2"/>
          <w:sz w:val="24"/>
          <w:lang w:eastAsia="en-AU"/>
          <w14:ligatures w14:val="standardContextual"/>
        </w:rPr>
      </w:pPr>
      <w:r>
        <w:t>3.4.2</w:t>
      </w:r>
      <w:r>
        <w:rPr>
          <w:rFonts w:asciiTheme="minorHAnsi" w:eastAsiaTheme="minorEastAsia" w:hAnsiTheme="minorHAnsi" w:cstheme="minorBidi"/>
          <w:kern w:val="2"/>
          <w:sz w:val="24"/>
          <w:lang w:eastAsia="en-AU"/>
          <w14:ligatures w14:val="standardContextual"/>
        </w:rPr>
        <w:tab/>
      </w:r>
      <w:r w:rsidRPr="00552F2A">
        <w:t>Elements</w:t>
      </w:r>
      <w:r>
        <w:tab/>
      </w:r>
      <w:r>
        <w:fldChar w:fldCharType="begin"/>
      </w:r>
      <w:r>
        <w:instrText xml:space="preserve"> PAGEREF _Toc205367302 \h </w:instrText>
      </w:r>
      <w:r>
        <w:fldChar w:fldCharType="separate"/>
      </w:r>
      <w:r>
        <w:t>32</w:t>
      </w:r>
      <w:r>
        <w:fldChar w:fldCharType="end"/>
      </w:r>
    </w:p>
    <w:p w14:paraId="5A8F6FE2" w14:textId="2C6C2C77"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b/>
          <w:iCs w:val="0"/>
        </w:rPr>
        <w:t>3.5</w:t>
      </w:r>
      <w:r>
        <w:rPr>
          <w:rFonts w:asciiTheme="minorHAnsi" w:eastAsiaTheme="minorEastAsia" w:hAnsiTheme="minorHAnsi" w:cstheme="minorBidi"/>
          <w:iCs w:val="0"/>
          <w:kern w:val="2"/>
          <w:sz w:val="24"/>
          <w:szCs w:val="24"/>
          <w:lang w:eastAsia="en-AU"/>
          <w14:ligatures w14:val="standardContextual"/>
        </w:rPr>
        <w:tab/>
      </w:r>
      <w:r w:rsidRPr="00552F2A">
        <w:t>Connecting our places</w:t>
      </w:r>
      <w:r>
        <w:tab/>
      </w:r>
      <w:r>
        <w:fldChar w:fldCharType="begin"/>
      </w:r>
      <w:r>
        <w:instrText xml:space="preserve"> PAGEREF _Toc205367303 \h </w:instrText>
      </w:r>
      <w:r>
        <w:fldChar w:fldCharType="separate"/>
      </w:r>
      <w:r>
        <w:t>36</w:t>
      </w:r>
      <w:r>
        <w:fldChar w:fldCharType="end"/>
      </w:r>
    </w:p>
    <w:p w14:paraId="4BC418CD" w14:textId="227B0C20" w:rsidR="001E6D70" w:rsidRDefault="001E6D70">
      <w:pPr>
        <w:pStyle w:val="TOC3"/>
        <w:rPr>
          <w:rFonts w:asciiTheme="minorHAnsi" w:eastAsiaTheme="minorEastAsia" w:hAnsiTheme="minorHAnsi" w:cstheme="minorBidi"/>
          <w:kern w:val="2"/>
          <w:sz w:val="24"/>
          <w:lang w:eastAsia="en-AU"/>
          <w14:ligatures w14:val="standardContextual"/>
        </w:rPr>
      </w:pPr>
      <w:r>
        <w:t>3.5.1</w:t>
      </w:r>
      <w:r>
        <w:rPr>
          <w:rFonts w:asciiTheme="minorHAnsi" w:eastAsiaTheme="minorEastAsia" w:hAnsiTheme="minorHAnsi" w:cstheme="minorBidi"/>
          <w:kern w:val="2"/>
          <w:sz w:val="24"/>
          <w:lang w:eastAsia="en-AU"/>
          <w14:ligatures w14:val="standardContextual"/>
        </w:rPr>
        <w:tab/>
      </w:r>
      <w:r w:rsidRPr="00552F2A">
        <w:t>Strategic outcomes</w:t>
      </w:r>
      <w:r>
        <w:tab/>
      </w:r>
      <w:r>
        <w:fldChar w:fldCharType="begin"/>
      </w:r>
      <w:r>
        <w:instrText xml:space="preserve"> PAGEREF _Toc205367304 \h </w:instrText>
      </w:r>
      <w:r>
        <w:fldChar w:fldCharType="separate"/>
      </w:r>
      <w:r>
        <w:t>36</w:t>
      </w:r>
      <w:r>
        <w:fldChar w:fldCharType="end"/>
      </w:r>
    </w:p>
    <w:p w14:paraId="3CF8594C" w14:textId="1E6175E3" w:rsidR="001E6D70" w:rsidRDefault="001E6D70">
      <w:pPr>
        <w:pStyle w:val="TOC3"/>
        <w:rPr>
          <w:rFonts w:asciiTheme="minorHAnsi" w:eastAsiaTheme="minorEastAsia" w:hAnsiTheme="minorHAnsi" w:cstheme="minorBidi"/>
          <w:kern w:val="2"/>
          <w:sz w:val="24"/>
          <w:lang w:eastAsia="en-AU"/>
          <w14:ligatures w14:val="standardContextual"/>
        </w:rPr>
      </w:pPr>
      <w:r>
        <w:t>3.5.2</w:t>
      </w:r>
      <w:r>
        <w:rPr>
          <w:rFonts w:asciiTheme="minorHAnsi" w:eastAsiaTheme="minorEastAsia" w:hAnsiTheme="minorHAnsi" w:cstheme="minorBidi"/>
          <w:kern w:val="2"/>
          <w:sz w:val="24"/>
          <w:lang w:eastAsia="en-AU"/>
          <w14:ligatures w14:val="standardContextual"/>
        </w:rPr>
        <w:tab/>
      </w:r>
      <w:r w:rsidRPr="00552F2A">
        <w:t>Elements</w:t>
      </w:r>
      <w:r>
        <w:tab/>
      </w:r>
      <w:r>
        <w:fldChar w:fldCharType="begin"/>
      </w:r>
      <w:r>
        <w:instrText xml:space="preserve"> PAGEREF _Toc205367305 \h </w:instrText>
      </w:r>
      <w:r>
        <w:fldChar w:fldCharType="separate"/>
      </w:r>
      <w:r>
        <w:t>36</w:t>
      </w:r>
      <w:r>
        <w:fldChar w:fldCharType="end"/>
      </w:r>
    </w:p>
    <w:p w14:paraId="1E8696DF" w14:textId="140933BA"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b/>
          <w:iCs w:val="0"/>
        </w:rPr>
        <w:t>3.6</w:t>
      </w:r>
      <w:r>
        <w:rPr>
          <w:rFonts w:asciiTheme="minorHAnsi" w:eastAsiaTheme="minorEastAsia" w:hAnsiTheme="minorHAnsi" w:cstheme="minorBidi"/>
          <w:iCs w:val="0"/>
          <w:kern w:val="2"/>
          <w:sz w:val="24"/>
          <w:szCs w:val="24"/>
          <w:lang w:eastAsia="en-AU"/>
          <w14:ligatures w14:val="standardContextual"/>
        </w:rPr>
        <w:tab/>
      </w:r>
      <w:r w:rsidRPr="00552F2A">
        <w:rPr>
          <w:iCs w:val="0"/>
        </w:rPr>
        <w:t>Building it better: our urban areas</w:t>
      </w:r>
      <w:r>
        <w:tab/>
      </w:r>
      <w:r>
        <w:fldChar w:fldCharType="begin"/>
      </w:r>
      <w:r>
        <w:instrText xml:space="preserve"> PAGEREF _Toc205367306 \h </w:instrText>
      </w:r>
      <w:r>
        <w:fldChar w:fldCharType="separate"/>
      </w:r>
      <w:r>
        <w:t>40</w:t>
      </w:r>
      <w:r>
        <w:fldChar w:fldCharType="end"/>
      </w:r>
    </w:p>
    <w:p w14:paraId="2C56AFD2" w14:textId="669ED663" w:rsidR="001E6D70" w:rsidRDefault="001E6D70">
      <w:pPr>
        <w:pStyle w:val="TOC3"/>
        <w:rPr>
          <w:rFonts w:asciiTheme="minorHAnsi" w:eastAsiaTheme="minorEastAsia" w:hAnsiTheme="minorHAnsi" w:cstheme="minorBidi"/>
          <w:kern w:val="2"/>
          <w:sz w:val="24"/>
          <w:lang w:eastAsia="en-AU"/>
          <w14:ligatures w14:val="standardContextual"/>
        </w:rPr>
      </w:pPr>
      <w:r>
        <w:t>3.6.1</w:t>
      </w:r>
      <w:r>
        <w:rPr>
          <w:rFonts w:asciiTheme="minorHAnsi" w:eastAsiaTheme="minorEastAsia" w:hAnsiTheme="minorHAnsi" w:cstheme="minorBidi"/>
          <w:kern w:val="2"/>
          <w:sz w:val="24"/>
          <w:lang w:eastAsia="en-AU"/>
          <w14:ligatures w14:val="standardContextual"/>
        </w:rPr>
        <w:tab/>
      </w:r>
      <w:r w:rsidRPr="00552F2A">
        <w:t>Strategic outcomes</w:t>
      </w:r>
      <w:r>
        <w:tab/>
      </w:r>
      <w:r>
        <w:fldChar w:fldCharType="begin"/>
      </w:r>
      <w:r>
        <w:instrText xml:space="preserve"> PAGEREF _Toc205367307 \h </w:instrText>
      </w:r>
      <w:r>
        <w:fldChar w:fldCharType="separate"/>
      </w:r>
      <w:r>
        <w:t>40</w:t>
      </w:r>
      <w:r>
        <w:fldChar w:fldCharType="end"/>
      </w:r>
    </w:p>
    <w:p w14:paraId="14A3D7B8" w14:textId="733446F6" w:rsidR="001E6D70" w:rsidRDefault="001E6D70">
      <w:pPr>
        <w:pStyle w:val="TOC3"/>
        <w:rPr>
          <w:rFonts w:asciiTheme="minorHAnsi" w:eastAsiaTheme="minorEastAsia" w:hAnsiTheme="minorHAnsi" w:cstheme="minorBidi"/>
          <w:kern w:val="2"/>
          <w:sz w:val="24"/>
          <w:lang w:eastAsia="en-AU"/>
          <w14:ligatures w14:val="standardContextual"/>
        </w:rPr>
      </w:pPr>
      <w:r>
        <w:t>3.6.2</w:t>
      </w:r>
      <w:r>
        <w:rPr>
          <w:rFonts w:asciiTheme="minorHAnsi" w:eastAsiaTheme="minorEastAsia" w:hAnsiTheme="minorHAnsi" w:cstheme="minorBidi"/>
          <w:kern w:val="2"/>
          <w:sz w:val="24"/>
          <w:lang w:eastAsia="en-AU"/>
          <w14:ligatures w14:val="standardContextual"/>
        </w:rPr>
        <w:tab/>
      </w:r>
      <w:r w:rsidRPr="00552F2A">
        <w:t>Elements</w:t>
      </w:r>
      <w:r>
        <w:tab/>
      </w:r>
      <w:r>
        <w:fldChar w:fldCharType="begin"/>
      </w:r>
      <w:r>
        <w:instrText xml:space="preserve"> PAGEREF _Toc205367308 \h </w:instrText>
      </w:r>
      <w:r>
        <w:fldChar w:fldCharType="separate"/>
      </w:r>
      <w:r>
        <w:t>40</w:t>
      </w:r>
      <w:r>
        <w:fldChar w:fldCharType="end"/>
      </w:r>
    </w:p>
    <w:p w14:paraId="6C976BCF" w14:textId="3E0CA9EC"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b/>
          <w:iCs w:val="0"/>
        </w:rPr>
        <w:t>3.7</w:t>
      </w:r>
      <w:r>
        <w:rPr>
          <w:rFonts w:asciiTheme="minorHAnsi" w:eastAsiaTheme="minorEastAsia" w:hAnsiTheme="minorHAnsi" w:cstheme="minorBidi"/>
          <w:iCs w:val="0"/>
          <w:kern w:val="2"/>
          <w:sz w:val="24"/>
          <w:szCs w:val="24"/>
          <w:lang w:eastAsia="en-AU"/>
          <w14:ligatures w14:val="standardContextual"/>
        </w:rPr>
        <w:tab/>
      </w:r>
      <w:r w:rsidRPr="00552F2A">
        <w:t>Our environment and heritage</w:t>
      </w:r>
      <w:r>
        <w:tab/>
      </w:r>
      <w:r>
        <w:fldChar w:fldCharType="begin"/>
      </w:r>
      <w:r>
        <w:instrText xml:space="preserve"> PAGEREF _Toc205367309 \h </w:instrText>
      </w:r>
      <w:r>
        <w:fldChar w:fldCharType="separate"/>
      </w:r>
      <w:r>
        <w:t>51</w:t>
      </w:r>
      <w:r>
        <w:fldChar w:fldCharType="end"/>
      </w:r>
    </w:p>
    <w:p w14:paraId="080FC65C" w14:textId="51E89AA0" w:rsidR="001E6D70" w:rsidRDefault="001E6D70">
      <w:pPr>
        <w:pStyle w:val="TOC3"/>
        <w:rPr>
          <w:rFonts w:asciiTheme="minorHAnsi" w:eastAsiaTheme="minorEastAsia" w:hAnsiTheme="minorHAnsi" w:cstheme="minorBidi"/>
          <w:kern w:val="2"/>
          <w:sz w:val="24"/>
          <w:lang w:eastAsia="en-AU"/>
          <w14:ligatures w14:val="standardContextual"/>
        </w:rPr>
      </w:pPr>
      <w:r>
        <w:t>3.7.1</w:t>
      </w:r>
      <w:r>
        <w:rPr>
          <w:rFonts w:asciiTheme="minorHAnsi" w:eastAsiaTheme="minorEastAsia" w:hAnsiTheme="minorHAnsi" w:cstheme="minorBidi"/>
          <w:kern w:val="2"/>
          <w:sz w:val="24"/>
          <w:lang w:eastAsia="en-AU"/>
          <w14:ligatures w14:val="standardContextual"/>
        </w:rPr>
        <w:tab/>
      </w:r>
      <w:r w:rsidRPr="00552F2A">
        <w:t>Strategic outcomes</w:t>
      </w:r>
      <w:r>
        <w:tab/>
      </w:r>
      <w:r>
        <w:fldChar w:fldCharType="begin"/>
      </w:r>
      <w:r>
        <w:instrText xml:space="preserve"> PAGEREF _Toc205367310 \h </w:instrText>
      </w:r>
      <w:r>
        <w:fldChar w:fldCharType="separate"/>
      </w:r>
      <w:r>
        <w:t>51</w:t>
      </w:r>
      <w:r>
        <w:fldChar w:fldCharType="end"/>
      </w:r>
    </w:p>
    <w:p w14:paraId="60396919" w14:textId="7C68867B" w:rsidR="001E6D70" w:rsidRDefault="001E6D70">
      <w:pPr>
        <w:pStyle w:val="TOC3"/>
        <w:rPr>
          <w:rFonts w:asciiTheme="minorHAnsi" w:eastAsiaTheme="minorEastAsia" w:hAnsiTheme="minorHAnsi" w:cstheme="minorBidi"/>
          <w:kern w:val="2"/>
          <w:sz w:val="24"/>
          <w:lang w:eastAsia="en-AU"/>
          <w14:ligatures w14:val="standardContextual"/>
        </w:rPr>
      </w:pPr>
      <w:r>
        <w:t>3.7.2</w:t>
      </w:r>
      <w:r>
        <w:rPr>
          <w:rFonts w:asciiTheme="minorHAnsi" w:eastAsiaTheme="minorEastAsia" w:hAnsiTheme="minorHAnsi" w:cstheme="minorBidi"/>
          <w:kern w:val="2"/>
          <w:sz w:val="24"/>
          <w:lang w:eastAsia="en-AU"/>
          <w14:ligatures w14:val="standardContextual"/>
        </w:rPr>
        <w:tab/>
      </w:r>
      <w:r w:rsidRPr="00552F2A">
        <w:t>Elements</w:t>
      </w:r>
      <w:r>
        <w:tab/>
      </w:r>
      <w:r>
        <w:fldChar w:fldCharType="begin"/>
      </w:r>
      <w:r>
        <w:instrText xml:space="preserve"> PAGEREF _Toc205367311 \h </w:instrText>
      </w:r>
      <w:r>
        <w:fldChar w:fldCharType="separate"/>
      </w:r>
      <w:r>
        <w:t>51</w:t>
      </w:r>
      <w:r>
        <w:fldChar w:fldCharType="end"/>
      </w:r>
    </w:p>
    <w:p w14:paraId="1581CE55" w14:textId="5E2DBB49"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b/>
          <w:iCs w:val="0"/>
        </w:rPr>
        <w:t>3.8</w:t>
      </w:r>
      <w:r>
        <w:rPr>
          <w:rFonts w:asciiTheme="minorHAnsi" w:eastAsiaTheme="minorEastAsia" w:hAnsiTheme="minorHAnsi" w:cstheme="minorBidi"/>
          <w:iCs w:val="0"/>
          <w:kern w:val="2"/>
          <w:sz w:val="24"/>
          <w:szCs w:val="24"/>
          <w:lang w:eastAsia="en-AU"/>
          <w14:ligatures w14:val="standardContextual"/>
        </w:rPr>
        <w:tab/>
      </w:r>
      <w:r w:rsidRPr="00552F2A">
        <w:t>Our rural and coastal townships and places</w:t>
      </w:r>
      <w:r>
        <w:tab/>
      </w:r>
      <w:r>
        <w:fldChar w:fldCharType="begin"/>
      </w:r>
      <w:r>
        <w:instrText xml:space="preserve"> PAGEREF _Toc205367312 \h </w:instrText>
      </w:r>
      <w:r>
        <w:fldChar w:fldCharType="separate"/>
      </w:r>
      <w:r>
        <w:t>55</w:t>
      </w:r>
      <w:r>
        <w:fldChar w:fldCharType="end"/>
      </w:r>
    </w:p>
    <w:p w14:paraId="2FD55C16" w14:textId="3FA5EF6E" w:rsidR="001E6D70" w:rsidRDefault="001E6D70">
      <w:pPr>
        <w:pStyle w:val="TOC3"/>
        <w:rPr>
          <w:rFonts w:asciiTheme="minorHAnsi" w:eastAsiaTheme="minorEastAsia" w:hAnsiTheme="minorHAnsi" w:cstheme="minorBidi"/>
          <w:kern w:val="2"/>
          <w:sz w:val="24"/>
          <w:lang w:eastAsia="en-AU"/>
          <w14:ligatures w14:val="standardContextual"/>
        </w:rPr>
      </w:pPr>
      <w:r>
        <w:t>3.8.1</w:t>
      </w:r>
      <w:r>
        <w:rPr>
          <w:rFonts w:asciiTheme="minorHAnsi" w:eastAsiaTheme="minorEastAsia" w:hAnsiTheme="minorHAnsi" w:cstheme="minorBidi"/>
          <w:kern w:val="2"/>
          <w:sz w:val="24"/>
          <w:lang w:eastAsia="en-AU"/>
          <w14:ligatures w14:val="standardContextual"/>
        </w:rPr>
        <w:tab/>
      </w:r>
      <w:r w:rsidRPr="00552F2A">
        <w:t>Strategic outcomes</w:t>
      </w:r>
      <w:r>
        <w:tab/>
      </w:r>
      <w:r>
        <w:fldChar w:fldCharType="begin"/>
      </w:r>
      <w:r>
        <w:instrText xml:space="preserve"> PAGEREF _Toc205367313 \h </w:instrText>
      </w:r>
      <w:r>
        <w:fldChar w:fldCharType="separate"/>
      </w:r>
      <w:r>
        <w:t>55</w:t>
      </w:r>
      <w:r>
        <w:fldChar w:fldCharType="end"/>
      </w:r>
    </w:p>
    <w:p w14:paraId="273A7D3A" w14:textId="5464E459" w:rsidR="001E6D70" w:rsidRDefault="001E6D70">
      <w:pPr>
        <w:pStyle w:val="TOC3"/>
        <w:rPr>
          <w:rFonts w:asciiTheme="minorHAnsi" w:eastAsiaTheme="minorEastAsia" w:hAnsiTheme="minorHAnsi" w:cstheme="minorBidi"/>
          <w:kern w:val="2"/>
          <w:sz w:val="24"/>
          <w:lang w:eastAsia="en-AU"/>
          <w14:ligatures w14:val="standardContextual"/>
        </w:rPr>
      </w:pPr>
      <w:r>
        <w:t>3.8.2</w:t>
      </w:r>
      <w:r>
        <w:rPr>
          <w:rFonts w:asciiTheme="minorHAnsi" w:eastAsiaTheme="minorEastAsia" w:hAnsiTheme="minorHAnsi" w:cstheme="minorBidi"/>
          <w:kern w:val="2"/>
          <w:sz w:val="24"/>
          <w:lang w:eastAsia="en-AU"/>
          <w14:ligatures w14:val="standardContextual"/>
        </w:rPr>
        <w:tab/>
      </w:r>
      <w:r w:rsidRPr="00552F2A">
        <w:t>Elements</w:t>
      </w:r>
      <w:r>
        <w:tab/>
      </w:r>
      <w:r>
        <w:fldChar w:fldCharType="begin"/>
      </w:r>
      <w:r>
        <w:instrText xml:space="preserve"> PAGEREF _Toc205367314 \h </w:instrText>
      </w:r>
      <w:r>
        <w:fldChar w:fldCharType="separate"/>
      </w:r>
      <w:r>
        <w:t>55</w:t>
      </w:r>
      <w:r>
        <w:fldChar w:fldCharType="end"/>
      </w:r>
    </w:p>
    <w:p w14:paraId="09E2ED9E" w14:textId="2DA1FDF5"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ascii="Arial" w:hAnsi="Arial"/>
        </w:rPr>
        <w:t>Part 4</w:t>
      </w:r>
      <w:r>
        <w:rPr>
          <w:rFonts w:asciiTheme="minorHAnsi" w:eastAsiaTheme="minorEastAsia" w:hAnsiTheme="minorHAnsi" w:cstheme="minorBidi"/>
          <w:kern w:val="2"/>
          <w:sz w:val="24"/>
          <w:lang w:eastAsia="en-AU"/>
          <w14:ligatures w14:val="standardContextual"/>
        </w:rPr>
        <w:tab/>
      </w:r>
      <w:r w:rsidRPr="00552F2A">
        <w:rPr>
          <w:rFonts w:ascii="Arial" w:hAnsi="Arial"/>
        </w:rPr>
        <w:t>Local Government Infrastructure Plan (LGIP)</w:t>
      </w:r>
      <w:r>
        <w:tab/>
      </w:r>
      <w:r>
        <w:fldChar w:fldCharType="begin"/>
      </w:r>
      <w:r>
        <w:instrText xml:space="preserve"> PAGEREF _Toc205367315 \h </w:instrText>
      </w:r>
      <w:r>
        <w:fldChar w:fldCharType="separate"/>
      </w:r>
      <w:r>
        <w:t>58</w:t>
      </w:r>
      <w:r>
        <w:fldChar w:fldCharType="end"/>
      </w:r>
    </w:p>
    <w:p w14:paraId="61C28E2E" w14:textId="68F6330F"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4.1</w:t>
      </w:r>
      <w:r>
        <w:rPr>
          <w:rFonts w:asciiTheme="minorHAnsi" w:eastAsiaTheme="minorEastAsia" w:hAnsiTheme="minorHAnsi" w:cstheme="minorBidi"/>
          <w:iCs w:val="0"/>
          <w:kern w:val="2"/>
          <w:sz w:val="24"/>
          <w:szCs w:val="24"/>
          <w:lang w:eastAsia="en-AU"/>
          <w14:ligatures w14:val="standardContextual"/>
        </w:rPr>
        <w:tab/>
      </w:r>
      <w:r w:rsidRPr="00552F2A">
        <w:t>Preliminary</w:t>
      </w:r>
      <w:r>
        <w:tab/>
      </w:r>
      <w:r>
        <w:fldChar w:fldCharType="begin"/>
      </w:r>
      <w:r>
        <w:instrText xml:space="preserve"> PAGEREF _Toc205367316 \h </w:instrText>
      </w:r>
      <w:r>
        <w:fldChar w:fldCharType="separate"/>
      </w:r>
      <w:r>
        <w:t>58</w:t>
      </w:r>
      <w:r>
        <w:fldChar w:fldCharType="end"/>
      </w:r>
    </w:p>
    <w:p w14:paraId="7FD554FF" w14:textId="53AEDE49" w:rsidR="001E6D70" w:rsidRDefault="001E6D70">
      <w:pPr>
        <w:pStyle w:val="TOC3"/>
        <w:rPr>
          <w:rFonts w:asciiTheme="minorHAnsi" w:eastAsiaTheme="minorEastAsia" w:hAnsiTheme="minorHAnsi" w:cstheme="minorBidi"/>
          <w:kern w:val="2"/>
          <w:sz w:val="24"/>
          <w:lang w:eastAsia="en-AU"/>
          <w14:ligatures w14:val="standardContextual"/>
        </w:rPr>
      </w:pPr>
      <w:r w:rsidRPr="00552F2A">
        <w:t>4.1.1</w:t>
      </w:r>
      <w:r>
        <w:rPr>
          <w:rFonts w:asciiTheme="minorHAnsi" w:eastAsiaTheme="minorEastAsia" w:hAnsiTheme="minorHAnsi" w:cstheme="minorBidi"/>
          <w:kern w:val="2"/>
          <w:sz w:val="24"/>
          <w:lang w:eastAsia="en-AU"/>
          <w14:ligatures w14:val="standardContextual"/>
        </w:rPr>
        <w:tab/>
      </w:r>
      <w:r w:rsidRPr="00552F2A">
        <w:t>Introduction</w:t>
      </w:r>
      <w:r>
        <w:tab/>
      </w:r>
      <w:r>
        <w:fldChar w:fldCharType="begin"/>
      </w:r>
      <w:r>
        <w:instrText xml:space="preserve"> PAGEREF _Toc205367317 \h </w:instrText>
      </w:r>
      <w:r>
        <w:fldChar w:fldCharType="separate"/>
      </w:r>
      <w:r>
        <w:t>58</w:t>
      </w:r>
      <w:r>
        <w:fldChar w:fldCharType="end"/>
      </w:r>
    </w:p>
    <w:p w14:paraId="362AB61F" w14:textId="36659A02" w:rsidR="001E6D70" w:rsidRDefault="001E6D70">
      <w:pPr>
        <w:pStyle w:val="TOC3"/>
        <w:rPr>
          <w:rFonts w:asciiTheme="minorHAnsi" w:eastAsiaTheme="minorEastAsia" w:hAnsiTheme="minorHAnsi" w:cstheme="minorBidi"/>
          <w:kern w:val="2"/>
          <w:sz w:val="24"/>
          <w:lang w:eastAsia="en-AU"/>
          <w14:ligatures w14:val="standardContextual"/>
        </w:rPr>
      </w:pPr>
      <w:r w:rsidRPr="00552F2A">
        <w:t>4.1.2</w:t>
      </w:r>
      <w:r>
        <w:rPr>
          <w:rFonts w:asciiTheme="minorHAnsi" w:eastAsiaTheme="minorEastAsia" w:hAnsiTheme="minorHAnsi" w:cstheme="minorBidi"/>
          <w:kern w:val="2"/>
          <w:sz w:val="24"/>
          <w:lang w:eastAsia="en-AU"/>
          <w14:ligatures w14:val="standardContextual"/>
        </w:rPr>
        <w:tab/>
      </w:r>
      <w:r w:rsidRPr="00552F2A">
        <w:t>Purpose</w:t>
      </w:r>
      <w:r>
        <w:tab/>
      </w:r>
      <w:r>
        <w:fldChar w:fldCharType="begin"/>
      </w:r>
      <w:r>
        <w:instrText xml:space="preserve"> PAGEREF _Toc205367318 \h </w:instrText>
      </w:r>
      <w:r>
        <w:fldChar w:fldCharType="separate"/>
      </w:r>
      <w:r>
        <w:t>58</w:t>
      </w:r>
      <w:r>
        <w:fldChar w:fldCharType="end"/>
      </w:r>
    </w:p>
    <w:p w14:paraId="1F9983ED" w14:textId="4E9D4224" w:rsidR="001E6D70" w:rsidRDefault="001E6D70">
      <w:pPr>
        <w:pStyle w:val="TOC3"/>
        <w:rPr>
          <w:rFonts w:asciiTheme="minorHAnsi" w:eastAsiaTheme="minorEastAsia" w:hAnsiTheme="minorHAnsi" w:cstheme="minorBidi"/>
          <w:kern w:val="2"/>
          <w:sz w:val="24"/>
          <w:lang w:eastAsia="en-AU"/>
          <w14:ligatures w14:val="standardContextual"/>
        </w:rPr>
      </w:pPr>
      <w:r w:rsidRPr="00552F2A">
        <w:t>4.1.3</w:t>
      </w:r>
      <w:r>
        <w:rPr>
          <w:rFonts w:asciiTheme="minorHAnsi" w:eastAsiaTheme="minorEastAsia" w:hAnsiTheme="minorHAnsi" w:cstheme="minorBidi"/>
          <w:kern w:val="2"/>
          <w:sz w:val="24"/>
          <w:lang w:eastAsia="en-AU"/>
          <w14:ligatures w14:val="standardContextual"/>
        </w:rPr>
        <w:tab/>
      </w:r>
      <w:r w:rsidRPr="00552F2A">
        <w:t>Structure of Local Government Infrastructure Plan</w:t>
      </w:r>
      <w:r>
        <w:tab/>
      </w:r>
      <w:r>
        <w:fldChar w:fldCharType="begin"/>
      </w:r>
      <w:r>
        <w:instrText xml:space="preserve"> PAGEREF _Toc205367319 \h </w:instrText>
      </w:r>
      <w:r>
        <w:fldChar w:fldCharType="separate"/>
      </w:r>
      <w:r>
        <w:t>58</w:t>
      </w:r>
      <w:r>
        <w:fldChar w:fldCharType="end"/>
      </w:r>
    </w:p>
    <w:p w14:paraId="5F66EB92" w14:textId="0DA178DE"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4.2</w:t>
      </w:r>
      <w:r>
        <w:rPr>
          <w:rFonts w:asciiTheme="minorHAnsi" w:eastAsiaTheme="minorEastAsia" w:hAnsiTheme="minorHAnsi" w:cstheme="minorBidi"/>
          <w:iCs w:val="0"/>
          <w:kern w:val="2"/>
          <w:sz w:val="24"/>
          <w:szCs w:val="24"/>
          <w:lang w:eastAsia="en-AU"/>
          <w14:ligatures w14:val="standardContextual"/>
        </w:rPr>
        <w:tab/>
      </w:r>
      <w:r w:rsidRPr="00552F2A">
        <w:t>Planning assumptions</w:t>
      </w:r>
      <w:r>
        <w:tab/>
      </w:r>
      <w:r>
        <w:fldChar w:fldCharType="begin"/>
      </w:r>
      <w:r>
        <w:instrText xml:space="preserve"> PAGEREF _Toc205367320 \h </w:instrText>
      </w:r>
      <w:r>
        <w:fldChar w:fldCharType="separate"/>
      </w:r>
      <w:r>
        <w:t>58</w:t>
      </w:r>
      <w:r>
        <w:fldChar w:fldCharType="end"/>
      </w:r>
    </w:p>
    <w:p w14:paraId="0A681D07" w14:textId="665453B6" w:rsidR="001E6D70" w:rsidRDefault="001E6D70">
      <w:pPr>
        <w:pStyle w:val="TOC3"/>
        <w:rPr>
          <w:rFonts w:asciiTheme="minorHAnsi" w:eastAsiaTheme="minorEastAsia" w:hAnsiTheme="minorHAnsi" w:cstheme="minorBidi"/>
          <w:kern w:val="2"/>
          <w:sz w:val="24"/>
          <w:lang w:eastAsia="en-AU"/>
          <w14:ligatures w14:val="standardContextual"/>
        </w:rPr>
      </w:pPr>
      <w:r w:rsidRPr="00552F2A">
        <w:lastRenderedPageBreak/>
        <w:t>4.2.1</w:t>
      </w:r>
      <w:r>
        <w:rPr>
          <w:rFonts w:asciiTheme="minorHAnsi" w:eastAsiaTheme="minorEastAsia" w:hAnsiTheme="minorHAnsi" w:cstheme="minorBidi"/>
          <w:kern w:val="2"/>
          <w:sz w:val="24"/>
          <w:lang w:eastAsia="en-AU"/>
          <w14:ligatures w14:val="standardContextual"/>
        </w:rPr>
        <w:tab/>
      </w:r>
      <w:r w:rsidRPr="00552F2A">
        <w:t>Purpose</w:t>
      </w:r>
      <w:r>
        <w:tab/>
      </w:r>
      <w:r>
        <w:fldChar w:fldCharType="begin"/>
      </w:r>
      <w:r>
        <w:instrText xml:space="preserve"> PAGEREF _Toc205367321 \h </w:instrText>
      </w:r>
      <w:r>
        <w:fldChar w:fldCharType="separate"/>
      </w:r>
      <w:r>
        <w:t>58</w:t>
      </w:r>
      <w:r>
        <w:fldChar w:fldCharType="end"/>
      </w:r>
    </w:p>
    <w:p w14:paraId="572E58FA" w14:textId="1C708BCA" w:rsidR="001E6D70" w:rsidRDefault="001E6D70">
      <w:pPr>
        <w:pStyle w:val="TOC3"/>
        <w:rPr>
          <w:rFonts w:asciiTheme="minorHAnsi" w:eastAsiaTheme="minorEastAsia" w:hAnsiTheme="minorHAnsi" w:cstheme="minorBidi"/>
          <w:kern w:val="2"/>
          <w:sz w:val="24"/>
          <w:lang w:eastAsia="en-AU"/>
          <w14:ligatures w14:val="standardContextual"/>
        </w:rPr>
      </w:pPr>
      <w:r w:rsidRPr="00552F2A">
        <w:t>4.2.2</w:t>
      </w:r>
      <w:r>
        <w:rPr>
          <w:rFonts w:asciiTheme="minorHAnsi" w:eastAsiaTheme="minorEastAsia" w:hAnsiTheme="minorHAnsi" w:cstheme="minorBidi"/>
          <w:kern w:val="2"/>
          <w:sz w:val="24"/>
          <w:lang w:eastAsia="en-AU"/>
          <w14:ligatures w14:val="standardContextual"/>
        </w:rPr>
        <w:tab/>
      </w:r>
      <w:r w:rsidRPr="00552F2A">
        <w:t>Population and employment growth</w:t>
      </w:r>
      <w:r>
        <w:tab/>
      </w:r>
      <w:r>
        <w:fldChar w:fldCharType="begin"/>
      </w:r>
      <w:r>
        <w:instrText xml:space="preserve"> PAGEREF _Toc205367322 \h </w:instrText>
      </w:r>
      <w:r>
        <w:fldChar w:fldCharType="separate"/>
      </w:r>
      <w:r>
        <w:t>61</w:t>
      </w:r>
      <w:r>
        <w:fldChar w:fldCharType="end"/>
      </w:r>
    </w:p>
    <w:p w14:paraId="28185AF2" w14:textId="36BCFD4D" w:rsidR="001E6D70" w:rsidRDefault="001E6D70">
      <w:pPr>
        <w:pStyle w:val="TOC3"/>
        <w:rPr>
          <w:rFonts w:asciiTheme="minorHAnsi" w:eastAsiaTheme="minorEastAsia" w:hAnsiTheme="minorHAnsi" w:cstheme="minorBidi"/>
          <w:kern w:val="2"/>
          <w:sz w:val="24"/>
          <w:lang w:eastAsia="en-AU"/>
          <w14:ligatures w14:val="standardContextual"/>
        </w:rPr>
      </w:pPr>
      <w:r w:rsidRPr="00552F2A">
        <w:t>4.2.3</w:t>
      </w:r>
      <w:r>
        <w:rPr>
          <w:rFonts w:asciiTheme="minorHAnsi" w:eastAsiaTheme="minorEastAsia" w:hAnsiTheme="minorHAnsi" w:cstheme="minorBidi"/>
          <w:kern w:val="2"/>
          <w:sz w:val="24"/>
          <w:lang w:eastAsia="en-AU"/>
          <w14:ligatures w14:val="standardContextual"/>
        </w:rPr>
        <w:tab/>
      </w:r>
      <w:r w:rsidRPr="00552F2A">
        <w:t>Infrastructure areas</w:t>
      </w:r>
      <w:r>
        <w:tab/>
      </w:r>
      <w:r>
        <w:fldChar w:fldCharType="begin"/>
      </w:r>
      <w:r>
        <w:instrText xml:space="preserve"> PAGEREF _Toc205367323 \h </w:instrText>
      </w:r>
      <w:r>
        <w:fldChar w:fldCharType="separate"/>
      </w:r>
      <w:r>
        <w:t>62</w:t>
      </w:r>
      <w:r>
        <w:fldChar w:fldCharType="end"/>
      </w:r>
    </w:p>
    <w:p w14:paraId="4965AD83" w14:textId="098E7C79" w:rsidR="001E6D70" w:rsidRDefault="001E6D70">
      <w:pPr>
        <w:pStyle w:val="TOC3"/>
        <w:rPr>
          <w:rFonts w:asciiTheme="minorHAnsi" w:eastAsiaTheme="minorEastAsia" w:hAnsiTheme="minorHAnsi" w:cstheme="minorBidi"/>
          <w:kern w:val="2"/>
          <w:sz w:val="24"/>
          <w:lang w:eastAsia="en-AU"/>
          <w14:ligatures w14:val="standardContextual"/>
        </w:rPr>
      </w:pPr>
      <w:r w:rsidRPr="00552F2A">
        <w:t>4.2.4</w:t>
      </w:r>
      <w:r>
        <w:rPr>
          <w:rFonts w:asciiTheme="minorHAnsi" w:eastAsiaTheme="minorEastAsia" w:hAnsiTheme="minorHAnsi" w:cstheme="minorBidi"/>
          <w:kern w:val="2"/>
          <w:sz w:val="24"/>
          <w:lang w:eastAsia="en-AU"/>
          <w14:ligatures w14:val="standardContextual"/>
        </w:rPr>
        <w:tab/>
      </w:r>
      <w:r w:rsidRPr="00552F2A">
        <w:t>Desired standards of service</w:t>
      </w:r>
      <w:r>
        <w:tab/>
      </w:r>
      <w:r>
        <w:fldChar w:fldCharType="begin"/>
      </w:r>
      <w:r>
        <w:instrText xml:space="preserve"> PAGEREF _Toc205367324 \h </w:instrText>
      </w:r>
      <w:r>
        <w:fldChar w:fldCharType="separate"/>
      </w:r>
      <w:r>
        <w:t>62</w:t>
      </w:r>
      <w:r>
        <w:fldChar w:fldCharType="end"/>
      </w:r>
    </w:p>
    <w:p w14:paraId="5CBE4BE3" w14:textId="7836B462" w:rsidR="001E6D70" w:rsidRDefault="001E6D70">
      <w:pPr>
        <w:pStyle w:val="TOC3"/>
        <w:rPr>
          <w:rFonts w:asciiTheme="minorHAnsi" w:eastAsiaTheme="minorEastAsia" w:hAnsiTheme="minorHAnsi" w:cstheme="minorBidi"/>
          <w:kern w:val="2"/>
          <w:sz w:val="24"/>
          <w:lang w:eastAsia="en-AU"/>
          <w14:ligatures w14:val="standardContextual"/>
        </w:rPr>
      </w:pPr>
      <w:r w:rsidRPr="00552F2A">
        <w:t>4.2.5</w:t>
      </w:r>
      <w:r>
        <w:rPr>
          <w:rFonts w:asciiTheme="minorHAnsi" w:eastAsiaTheme="minorEastAsia" w:hAnsiTheme="minorHAnsi" w:cstheme="minorBidi"/>
          <w:kern w:val="2"/>
          <w:sz w:val="24"/>
          <w:lang w:eastAsia="en-AU"/>
          <w14:ligatures w14:val="standardContextual"/>
        </w:rPr>
        <w:tab/>
      </w:r>
      <w:r w:rsidRPr="00552F2A">
        <w:t>Plans for trunk infrastructure</w:t>
      </w:r>
      <w:r>
        <w:tab/>
      </w:r>
      <w:r>
        <w:fldChar w:fldCharType="begin"/>
      </w:r>
      <w:r>
        <w:instrText xml:space="preserve"> PAGEREF _Toc205367325 \h </w:instrText>
      </w:r>
      <w:r>
        <w:fldChar w:fldCharType="separate"/>
      </w:r>
      <w:r>
        <w:t>65</w:t>
      </w:r>
      <w:r>
        <w:fldChar w:fldCharType="end"/>
      </w:r>
    </w:p>
    <w:p w14:paraId="0B722061" w14:textId="3BC1F83C" w:rsidR="001E6D70" w:rsidRDefault="001E6D70">
      <w:pPr>
        <w:pStyle w:val="TOC3"/>
        <w:rPr>
          <w:rFonts w:asciiTheme="minorHAnsi" w:eastAsiaTheme="minorEastAsia" w:hAnsiTheme="minorHAnsi" w:cstheme="minorBidi"/>
          <w:kern w:val="2"/>
          <w:sz w:val="24"/>
          <w:lang w:eastAsia="en-AU"/>
          <w14:ligatures w14:val="standardContextual"/>
        </w:rPr>
      </w:pPr>
      <w:r w:rsidRPr="00552F2A">
        <w:t>4.2.6</w:t>
      </w:r>
      <w:r>
        <w:rPr>
          <w:rFonts w:asciiTheme="minorHAnsi" w:eastAsiaTheme="minorEastAsia" w:hAnsiTheme="minorHAnsi" w:cstheme="minorBidi"/>
          <w:kern w:val="2"/>
          <w:sz w:val="24"/>
          <w:lang w:eastAsia="en-AU"/>
          <w14:ligatures w14:val="standardContextual"/>
        </w:rPr>
        <w:tab/>
      </w:r>
      <w:r w:rsidRPr="00552F2A">
        <w:t>Plans for trunk infrastructure maps</w:t>
      </w:r>
      <w:r>
        <w:tab/>
      </w:r>
      <w:r>
        <w:fldChar w:fldCharType="begin"/>
      </w:r>
      <w:r>
        <w:instrText xml:space="preserve"> PAGEREF _Toc205367326 \h </w:instrText>
      </w:r>
      <w:r>
        <w:fldChar w:fldCharType="separate"/>
      </w:r>
      <w:r>
        <w:t>65</w:t>
      </w:r>
      <w:r>
        <w:fldChar w:fldCharType="end"/>
      </w:r>
    </w:p>
    <w:p w14:paraId="3450E5B5" w14:textId="31608192" w:rsidR="001E6D70" w:rsidRDefault="001E6D70">
      <w:pPr>
        <w:pStyle w:val="TOC3"/>
        <w:rPr>
          <w:rFonts w:asciiTheme="minorHAnsi" w:eastAsiaTheme="minorEastAsia" w:hAnsiTheme="minorHAnsi" w:cstheme="minorBidi"/>
          <w:kern w:val="2"/>
          <w:sz w:val="24"/>
          <w:lang w:eastAsia="en-AU"/>
          <w14:ligatures w14:val="standardContextual"/>
        </w:rPr>
      </w:pPr>
      <w:r w:rsidRPr="00552F2A">
        <w:t>4.2.7</w:t>
      </w:r>
      <w:r>
        <w:rPr>
          <w:rFonts w:asciiTheme="minorHAnsi" w:eastAsiaTheme="minorEastAsia" w:hAnsiTheme="minorHAnsi" w:cstheme="minorBidi"/>
          <w:kern w:val="2"/>
          <w:sz w:val="24"/>
          <w:lang w:eastAsia="en-AU"/>
          <w14:ligatures w14:val="standardContextual"/>
        </w:rPr>
        <w:tab/>
      </w:r>
      <w:r w:rsidRPr="00552F2A">
        <w:t>Schedules of works</w:t>
      </w:r>
      <w:r>
        <w:tab/>
      </w:r>
      <w:r>
        <w:fldChar w:fldCharType="begin"/>
      </w:r>
      <w:r>
        <w:instrText xml:space="preserve"> PAGEREF _Toc205367327 \h </w:instrText>
      </w:r>
      <w:r>
        <w:fldChar w:fldCharType="separate"/>
      </w:r>
      <w:r>
        <w:t>65</w:t>
      </w:r>
      <w:r>
        <w:fldChar w:fldCharType="end"/>
      </w:r>
    </w:p>
    <w:p w14:paraId="1E891AA3" w14:textId="7F05E612" w:rsidR="001E6D70" w:rsidRDefault="001E6D70">
      <w:pPr>
        <w:pStyle w:val="TOC3"/>
        <w:rPr>
          <w:rFonts w:asciiTheme="minorHAnsi" w:eastAsiaTheme="minorEastAsia" w:hAnsiTheme="minorHAnsi" w:cstheme="minorBidi"/>
          <w:kern w:val="2"/>
          <w:sz w:val="24"/>
          <w:lang w:eastAsia="en-AU"/>
          <w14:ligatures w14:val="standardContextual"/>
        </w:rPr>
      </w:pPr>
      <w:r w:rsidRPr="00552F2A">
        <w:t>4.2.8</w:t>
      </w:r>
      <w:r>
        <w:rPr>
          <w:rFonts w:asciiTheme="minorHAnsi" w:eastAsiaTheme="minorEastAsia" w:hAnsiTheme="minorHAnsi" w:cstheme="minorBidi"/>
          <w:kern w:val="2"/>
          <w:sz w:val="24"/>
          <w:lang w:eastAsia="en-AU"/>
          <w14:ligatures w14:val="standardContextual"/>
        </w:rPr>
        <w:tab/>
      </w:r>
      <w:r w:rsidRPr="00552F2A">
        <w:t>Extrinsic material</w:t>
      </w:r>
      <w:r>
        <w:tab/>
      </w:r>
      <w:r>
        <w:fldChar w:fldCharType="begin"/>
      </w:r>
      <w:r>
        <w:instrText xml:space="preserve"> PAGEREF _Toc205367328 \h </w:instrText>
      </w:r>
      <w:r>
        <w:fldChar w:fldCharType="separate"/>
      </w:r>
      <w:r>
        <w:t>65</w:t>
      </w:r>
      <w:r>
        <w:fldChar w:fldCharType="end"/>
      </w:r>
    </w:p>
    <w:p w14:paraId="0CCF9671" w14:textId="46CCE99F"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ascii="Arial" w:hAnsi="Arial"/>
        </w:rPr>
        <w:t>5</w:t>
      </w:r>
      <w:r>
        <w:rPr>
          <w:rFonts w:asciiTheme="minorHAnsi" w:eastAsiaTheme="minorEastAsia" w:hAnsiTheme="minorHAnsi" w:cstheme="minorBidi"/>
          <w:kern w:val="2"/>
          <w:sz w:val="24"/>
          <w:lang w:eastAsia="en-AU"/>
          <w14:ligatures w14:val="standardContextual"/>
        </w:rPr>
        <w:tab/>
      </w:r>
      <w:r w:rsidRPr="00552F2A">
        <w:rPr>
          <w:rFonts w:ascii="Arial" w:hAnsi="Arial"/>
        </w:rPr>
        <w:t>Tables of assessment</w:t>
      </w:r>
      <w:r>
        <w:tab/>
      </w:r>
      <w:r>
        <w:fldChar w:fldCharType="begin"/>
      </w:r>
      <w:r>
        <w:instrText xml:space="preserve"> PAGEREF _Toc205367329 \h </w:instrText>
      </w:r>
      <w:r>
        <w:fldChar w:fldCharType="separate"/>
      </w:r>
      <w:r>
        <w:t>67</w:t>
      </w:r>
      <w:r>
        <w:fldChar w:fldCharType="end"/>
      </w:r>
    </w:p>
    <w:p w14:paraId="12CB1B82" w14:textId="726A68F7"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5.1</w:t>
      </w:r>
      <w:r>
        <w:rPr>
          <w:rFonts w:asciiTheme="minorHAnsi" w:eastAsiaTheme="minorEastAsia" w:hAnsiTheme="minorHAnsi" w:cstheme="minorBidi"/>
          <w:iCs w:val="0"/>
          <w:kern w:val="2"/>
          <w:sz w:val="24"/>
          <w:szCs w:val="24"/>
          <w:lang w:eastAsia="en-AU"/>
          <w14:ligatures w14:val="standardContextual"/>
        </w:rPr>
        <w:tab/>
      </w:r>
      <w:r w:rsidRPr="00552F2A">
        <w:t>Preliminary</w:t>
      </w:r>
      <w:r>
        <w:tab/>
      </w:r>
      <w:r>
        <w:fldChar w:fldCharType="begin"/>
      </w:r>
      <w:r>
        <w:instrText xml:space="preserve"> PAGEREF _Toc205367330 \h </w:instrText>
      </w:r>
      <w:r>
        <w:fldChar w:fldCharType="separate"/>
      </w:r>
      <w:r>
        <w:t>67</w:t>
      </w:r>
      <w:r>
        <w:fldChar w:fldCharType="end"/>
      </w:r>
    </w:p>
    <w:p w14:paraId="14EB1562" w14:textId="061D1D7D"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5.2</w:t>
      </w:r>
      <w:r>
        <w:rPr>
          <w:rFonts w:asciiTheme="minorHAnsi" w:eastAsiaTheme="minorEastAsia" w:hAnsiTheme="minorHAnsi" w:cstheme="minorBidi"/>
          <w:iCs w:val="0"/>
          <w:kern w:val="2"/>
          <w:sz w:val="24"/>
          <w:szCs w:val="24"/>
          <w:lang w:eastAsia="en-AU"/>
          <w14:ligatures w14:val="standardContextual"/>
        </w:rPr>
        <w:tab/>
      </w:r>
      <w:r w:rsidRPr="00552F2A">
        <w:t>Reading the tables</w:t>
      </w:r>
      <w:r>
        <w:tab/>
      </w:r>
      <w:r>
        <w:fldChar w:fldCharType="begin"/>
      </w:r>
      <w:r>
        <w:instrText xml:space="preserve"> PAGEREF _Toc205367331 \h </w:instrText>
      </w:r>
      <w:r>
        <w:fldChar w:fldCharType="separate"/>
      </w:r>
      <w:r>
        <w:t>67</w:t>
      </w:r>
      <w:r>
        <w:fldChar w:fldCharType="end"/>
      </w:r>
    </w:p>
    <w:p w14:paraId="19A00B33" w14:textId="48E3AA57"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5.3</w:t>
      </w:r>
      <w:r>
        <w:rPr>
          <w:rFonts w:asciiTheme="minorHAnsi" w:eastAsiaTheme="minorEastAsia" w:hAnsiTheme="minorHAnsi" w:cstheme="minorBidi"/>
          <w:iCs w:val="0"/>
          <w:kern w:val="2"/>
          <w:sz w:val="24"/>
          <w:szCs w:val="24"/>
          <w:lang w:eastAsia="en-AU"/>
          <w14:ligatures w14:val="standardContextual"/>
        </w:rPr>
        <w:tab/>
      </w:r>
      <w:r w:rsidRPr="00552F2A">
        <w:t>Categories of development and assessment</w:t>
      </w:r>
      <w:r>
        <w:tab/>
      </w:r>
      <w:r>
        <w:fldChar w:fldCharType="begin"/>
      </w:r>
      <w:r>
        <w:instrText xml:space="preserve"> PAGEREF _Toc205367332 \h </w:instrText>
      </w:r>
      <w:r>
        <w:fldChar w:fldCharType="separate"/>
      </w:r>
      <w:r>
        <w:t>67</w:t>
      </w:r>
      <w:r>
        <w:fldChar w:fldCharType="end"/>
      </w:r>
    </w:p>
    <w:p w14:paraId="2BDA58A7" w14:textId="5C61FA80" w:rsidR="001E6D70" w:rsidRDefault="001E6D70">
      <w:pPr>
        <w:pStyle w:val="TOC3"/>
        <w:rPr>
          <w:rFonts w:asciiTheme="minorHAnsi" w:eastAsiaTheme="minorEastAsia" w:hAnsiTheme="minorHAnsi" w:cstheme="minorBidi"/>
          <w:kern w:val="2"/>
          <w:sz w:val="24"/>
          <w:lang w:eastAsia="en-AU"/>
          <w14:ligatures w14:val="standardContextual"/>
        </w:rPr>
      </w:pPr>
      <w:r w:rsidRPr="00552F2A">
        <w:t>5.3.1</w:t>
      </w:r>
      <w:r>
        <w:rPr>
          <w:rFonts w:asciiTheme="minorHAnsi" w:eastAsiaTheme="minorEastAsia" w:hAnsiTheme="minorHAnsi" w:cstheme="minorBidi"/>
          <w:kern w:val="2"/>
          <w:sz w:val="24"/>
          <w:lang w:eastAsia="en-AU"/>
          <w14:ligatures w14:val="standardContextual"/>
        </w:rPr>
        <w:tab/>
      </w:r>
      <w:r w:rsidRPr="00552F2A">
        <w:t>Process for determining the category of development and the category of assessment for assessable development</w:t>
      </w:r>
      <w:r>
        <w:tab/>
      </w:r>
      <w:r>
        <w:fldChar w:fldCharType="begin"/>
      </w:r>
      <w:r>
        <w:instrText xml:space="preserve"> PAGEREF _Toc205367333 \h </w:instrText>
      </w:r>
      <w:r>
        <w:fldChar w:fldCharType="separate"/>
      </w:r>
      <w:r>
        <w:t>67</w:t>
      </w:r>
      <w:r>
        <w:fldChar w:fldCharType="end"/>
      </w:r>
    </w:p>
    <w:p w14:paraId="7287D030" w14:textId="6989E4A9" w:rsidR="001E6D70" w:rsidRDefault="001E6D70">
      <w:pPr>
        <w:pStyle w:val="TOC3"/>
        <w:rPr>
          <w:rFonts w:asciiTheme="minorHAnsi" w:eastAsiaTheme="minorEastAsia" w:hAnsiTheme="minorHAnsi" w:cstheme="minorBidi"/>
          <w:kern w:val="2"/>
          <w:sz w:val="24"/>
          <w:lang w:eastAsia="en-AU"/>
          <w14:ligatures w14:val="standardContextual"/>
        </w:rPr>
      </w:pPr>
      <w:r w:rsidRPr="00552F2A">
        <w:t>5.3.2</w:t>
      </w:r>
      <w:r>
        <w:rPr>
          <w:rFonts w:asciiTheme="minorHAnsi" w:eastAsiaTheme="minorEastAsia" w:hAnsiTheme="minorHAnsi" w:cstheme="minorBidi"/>
          <w:kern w:val="2"/>
          <w:sz w:val="24"/>
          <w:lang w:eastAsia="en-AU"/>
          <w14:ligatures w14:val="standardContextual"/>
        </w:rPr>
        <w:tab/>
      </w:r>
      <w:r w:rsidRPr="00552F2A">
        <w:t>Determining the category of development and categories of assessment</w:t>
      </w:r>
      <w:r>
        <w:tab/>
      </w:r>
      <w:r>
        <w:fldChar w:fldCharType="begin"/>
      </w:r>
      <w:r>
        <w:instrText xml:space="preserve"> PAGEREF _Toc205367334 \h </w:instrText>
      </w:r>
      <w:r>
        <w:fldChar w:fldCharType="separate"/>
      </w:r>
      <w:r>
        <w:t>68</w:t>
      </w:r>
      <w:r>
        <w:fldChar w:fldCharType="end"/>
      </w:r>
    </w:p>
    <w:p w14:paraId="5F4AB341" w14:textId="20D18C4A" w:rsidR="001E6D70" w:rsidRDefault="001E6D70">
      <w:pPr>
        <w:pStyle w:val="TOC3"/>
        <w:rPr>
          <w:rFonts w:asciiTheme="minorHAnsi" w:eastAsiaTheme="minorEastAsia" w:hAnsiTheme="minorHAnsi" w:cstheme="minorBidi"/>
          <w:kern w:val="2"/>
          <w:sz w:val="24"/>
          <w:lang w:eastAsia="en-AU"/>
          <w14:ligatures w14:val="standardContextual"/>
        </w:rPr>
      </w:pPr>
      <w:r w:rsidRPr="00552F2A">
        <w:t>5.3.3</w:t>
      </w:r>
      <w:r>
        <w:rPr>
          <w:rFonts w:asciiTheme="minorHAnsi" w:eastAsiaTheme="minorEastAsia" w:hAnsiTheme="minorHAnsi" w:cstheme="minorBidi"/>
          <w:kern w:val="2"/>
          <w:sz w:val="24"/>
          <w:lang w:eastAsia="en-AU"/>
          <w14:ligatures w14:val="standardContextual"/>
        </w:rPr>
        <w:tab/>
      </w:r>
      <w:r w:rsidRPr="00552F2A">
        <w:t>Determining the requirements for accepted development and assessment benchmarks and other matters for assessable development</w:t>
      </w:r>
      <w:r>
        <w:tab/>
      </w:r>
      <w:r>
        <w:fldChar w:fldCharType="begin"/>
      </w:r>
      <w:r>
        <w:instrText xml:space="preserve"> PAGEREF _Toc205367335 \h </w:instrText>
      </w:r>
      <w:r>
        <w:fldChar w:fldCharType="separate"/>
      </w:r>
      <w:r>
        <w:t>69</w:t>
      </w:r>
      <w:r>
        <w:fldChar w:fldCharType="end"/>
      </w:r>
    </w:p>
    <w:p w14:paraId="4FCB9B28" w14:textId="2BB9DA8E"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5.4</w:t>
      </w:r>
      <w:r>
        <w:rPr>
          <w:rFonts w:asciiTheme="minorHAnsi" w:eastAsiaTheme="minorEastAsia" w:hAnsiTheme="minorHAnsi" w:cstheme="minorBidi"/>
          <w:iCs w:val="0"/>
          <w:kern w:val="2"/>
          <w:sz w:val="24"/>
          <w:szCs w:val="24"/>
          <w:lang w:eastAsia="en-AU"/>
          <w14:ligatures w14:val="standardContextual"/>
        </w:rPr>
        <w:tab/>
      </w:r>
      <w:r w:rsidRPr="00552F2A">
        <w:t>Regulated categories of development and categories of assessment prescribed by the Regulation</w:t>
      </w:r>
      <w:r>
        <w:tab/>
      </w:r>
      <w:r>
        <w:fldChar w:fldCharType="begin"/>
      </w:r>
      <w:r>
        <w:instrText xml:space="preserve"> PAGEREF _Toc205367336 \h </w:instrText>
      </w:r>
      <w:r>
        <w:fldChar w:fldCharType="separate"/>
      </w:r>
      <w:r>
        <w:t>70</w:t>
      </w:r>
      <w:r>
        <w:fldChar w:fldCharType="end"/>
      </w:r>
    </w:p>
    <w:p w14:paraId="510C1F81" w14:textId="2ED5AA97"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5.5</w:t>
      </w:r>
      <w:r>
        <w:rPr>
          <w:rFonts w:asciiTheme="minorHAnsi" w:eastAsiaTheme="minorEastAsia" w:hAnsiTheme="minorHAnsi" w:cstheme="minorBidi"/>
          <w:iCs w:val="0"/>
          <w:kern w:val="2"/>
          <w:sz w:val="24"/>
          <w:szCs w:val="24"/>
          <w:lang w:eastAsia="en-AU"/>
          <w14:ligatures w14:val="standardContextual"/>
        </w:rPr>
        <w:tab/>
      </w:r>
      <w:r w:rsidRPr="00552F2A">
        <w:t>Categories of development and assessment—Material change of use</w:t>
      </w:r>
      <w:r>
        <w:tab/>
      </w:r>
      <w:r>
        <w:fldChar w:fldCharType="begin"/>
      </w:r>
      <w:r>
        <w:instrText xml:space="preserve"> PAGEREF _Toc205367337 \h </w:instrText>
      </w:r>
      <w:r>
        <w:fldChar w:fldCharType="separate"/>
      </w:r>
      <w:r>
        <w:t>71</w:t>
      </w:r>
      <w:r>
        <w:fldChar w:fldCharType="end"/>
      </w:r>
    </w:p>
    <w:p w14:paraId="592166C3" w14:textId="6264C646"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5.6</w:t>
      </w:r>
      <w:r>
        <w:rPr>
          <w:rFonts w:asciiTheme="minorHAnsi" w:eastAsiaTheme="minorEastAsia" w:hAnsiTheme="minorHAnsi" w:cstheme="minorBidi"/>
          <w:iCs w:val="0"/>
          <w:kern w:val="2"/>
          <w:sz w:val="24"/>
          <w:szCs w:val="24"/>
          <w:lang w:eastAsia="en-AU"/>
          <w14:ligatures w14:val="standardContextual"/>
        </w:rPr>
        <w:tab/>
      </w:r>
      <w:r w:rsidRPr="00552F2A">
        <w:t>Categories of development and assessment—Reconfiguring a lot</w:t>
      </w:r>
      <w:r>
        <w:tab/>
      </w:r>
      <w:r>
        <w:fldChar w:fldCharType="begin"/>
      </w:r>
      <w:r>
        <w:instrText xml:space="preserve"> PAGEREF _Toc205367338 \h </w:instrText>
      </w:r>
      <w:r>
        <w:fldChar w:fldCharType="separate"/>
      </w:r>
      <w:r>
        <w:t>106</w:t>
      </w:r>
      <w:r>
        <w:fldChar w:fldCharType="end"/>
      </w:r>
    </w:p>
    <w:p w14:paraId="71702AF1" w14:textId="6F0FAA4B"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5.7</w:t>
      </w:r>
      <w:r>
        <w:rPr>
          <w:rFonts w:asciiTheme="minorHAnsi" w:eastAsiaTheme="minorEastAsia" w:hAnsiTheme="minorHAnsi" w:cstheme="minorBidi"/>
          <w:iCs w:val="0"/>
          <w:kern w:val="2"/>
          <w:sz w:val="24"/>
          <w:szCs w:val="24"/>
          <w:lang w:eastAsia="en-AU"/>
          <w14:ligatures w14:val="standardContextual"/>
        </w:rPr>
        <w:tab/>
      </w:r>
      <w:r w:rsidRPr="00552F2A">
        <w:t>Categories of development and assessment—Building work</w:t>
      </w:r>
      <w:r>
        <w:tab/>
      </w:r>
      <w:r>
        <w:fldChar w:fldCharType="begin"/>
      </w:r>
      <w:r>
        <w:instrText xml:space="preserve"> PAGEREF _Toc205367339 \h </w:instrText>
      </w:r>
      <w:r>
        <w:fldChar w:fldCharType="separate"/>
      </w:r>
      <w:r>
        <w:t>108</w:t>
      </w:r>
      <w:r>
        <w:fldChar w:fldCharType="end"/>
      </w:r>
    </w:p>
    <w:p w14:paraId="772C5329" w14:textId="27BD5E26"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5.8</w:t>
      </w:r>
      <w:r>
        <w:rPr>
          <w:rFonts w:asciiTheme="minorHAnsi" w:eastAsiaTheme="minorEastAsia" w:hAnsiTheme="minorHAnsi" w:cstheme="minorBidi"/>
          <w:iCs w:val="0"/>
          <w:kern w:val="2"/>
          <w:sz w:val="24"/>
          <w:szCs w:val="24"/>
          <w:lang w:eastAsia="en-AU"/>
          <w14:ligatures w14:val="standardContextual"/>
        </w:rPr>
        <w:tab/>
      </w:r>
      <w:r w:rsidRPr="00552F2A">
        <w:t>Categories of development and assessment—Operational work</w:t>
      </w:r>
      <w:r>
        <w:tab/>
      </w:r>
      <w:r>
        <w:fldChar w:fldCharType="begin"/>
      </w:r>
      <w:r>
        <w:instrText xml:space="preserve"> PAGEREF _Toc205367340 \h </w:instrText>
      </w:r>
      <w:r>
        <w:fldChar w:fldCharType="separate"/>
      </w:r>
      <w:r>
        <w:t>108</w:t>
      </w:r>
      <w:r>
        <w:fldChar w:fldCharType="end"/>
      </w:r>
    </w:p>
    <w:p w14:paraId="7A7F5695" w14:textId="4C2D7904"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5.9</w:t>
      </w:r>
      <w:r>
        <w:rPr>
          <w:rFonts w:asciiTheme="minorHAnsi" w:eastAsiaTheme="minorEastAsia" w:hAnsiTheme="minorHAnsi" w:cstheme="minorBidi"/>
          <w:iCs w:val="0"/>
          <w:kern w:val="2"/>
          <w:sz w:val="24"/>
          <w:szCs w:val="24"/>
          <w:lang w:eastAsia="en-AU"/>
          <w14:ligatures w14:val="standardContextual"/>
        </w:rPr>
        <w:tab/>
      </w:r>
      <w:r w:rsidRPr="00552F2A">
        <w:t>Categories of development and assessment—Local Plans</w:t>
      </w:r>
      <w:r>
        <w:tab/>
      </w:r>
      <w:r>
        <w:fldChar w:fldCharType="begin"/>
      </w:r>
      <w:r>
        <w:instrText xml:space="preserve"> PAGEREF _Toc205367341 \h </w:instrText>
      </w:r>
      <w:r>
        <w:fldChar w:fldCharType="separate"/>
      </w:r>
      <w:r>
        <w:t>110</w:t>
      </w:r>
      <w:r>
        <w:fldChar w:fldCharType="end"/>
      </w:r>
    </w:p>
    <w:p w14:paraId="02299ABA" w14:textId="0E519CB1"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5.10</w:t>
      </w:r>
      <w:r>
        <w:rPr>
          <w:rFonts w:asciiTheme="minorHAnsi" w:eastAsiaTheme="minorEastAsia" w:hAnsiTheme="minorHAnsi" w:cstheme="minorBidi"/>
          <w:iCs w:val="0"/>
          <w:kern w:val="2"/>
          <w:sz w:val="24"/>
          <w:szCs w:val="24"/>
          <w:lang w:eastAsia="en-AU"/>
          <w14:ligatures w14:val="standardContextual"/>
        </w:rPr>
        <w:tab/>
      </w:r>
      <w:r w:rsidRPr="00552F2A">
        <w:t>Categories of development and assessment—Overlays</w:t>
      </w:r>
      <w:r>
        <w:tab/>
      </w:r>
      <w:r>
        <w:fldChar w:fldCharType="begin"/>
      </w:r>
      <w:r>
        <w:instrText xml:space="preserve"> PAGEREF _Toc205367342 \h </w:instrText>
      </w:r>
      <w:r>
        <w:fldChar w:fldCharType="separate"/>
      </w:r>
      <w:r>
        <w:t>110</w:t>
      </w:r>
      <w:r>
        <w:fldChar w:fldCharType="end"/>
      </w:r>
    </w:p>
    <w:p w14:paraId="11218A25" w14:textId="03EE01D7"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ascii="Arial" w:hAnsi="Arial"/>
        </w:rPr>
        <w:t>6</w:t>
      </w:r>
      <w:r>
        <w:rPr>
          <w:rFonts w:asciiTheme="minorHAnsi" w:eastAsiaTheme="minorEastAsia" w:hAnsiTheme="minorHAnsi" w:cstheme="minorBidi"/>
          <w:kern w:val="2"/>
          <w:sz w:val="24"/>
          <w:lang w:eastAsia="en-AU"/>
          <w14:ligatures w14:val="standardContextual"/>
        </w:rPr>
        <w:tab/>
      </w:r>
      <w:r w:rsidRPr="00552F2A">
        <w:rPr>
          <w:rFonts w:ascii="Arial" w:hAnsi="Arial"/>
        </w:rPr>
        <w:t>Zones</w:t>
      </w:r>
      <w:r>
        <w:tab/>
      </w:r>
      <w:r>
        <w:fldChar w:fldCharType="begin"/>
      </w:r>
      <w:r>
        <w:instrText xml:space="preserve"> PAGEREF _Toc205367343 \h </w:instrText>
      </w:r>
      <w:r>
        <w:fldChar w:fldCharType="separate"/>
      </w:r>
      <w:r>
        <w:t>119</w:t>
      </w:r>
      <w:r>
        <w:fldChar w:fldCharType="end"/>
      </w:r>
    </w:p>
    <w:p w14:paraId="4EBD663D" w14:textId="1DD73848"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6.1</w:t>
      </w:r>
      <w:r>
        <w:rPr>
          <w:rFonts w:asciiTheme="minorHAnsi" w:eastAsiaTheme="minorEastAsia" w:hAnsiTheme="minorHAnsi" w:cstheme="minorBidi"/>
          <w:iCs w:val="0"/>
          <w:kern w:val="2"/>
          <w:sz w:val="24"/>
          <w:szCs w:val="24"/>
          <w:lang w:eastAsia="en-AU"/>
          <w14:ligatures w14:val="standardContextual"/>
        </w:rPr>
        <w:tab/>
      </w:r>
      <w:r w:rsidRPr="00552F2A">
        <w:t>Preliminary</w:t>
      </w:r>
      <w:r>
        <w:tab/>
      </w:r>
      <w:r>
        <w:fldChar w:fldCharType="begin"/>
      </w:r>
      <w:r>
        <w:instrText xml:space="preserve"> PAGEREF _Toc205367344 \h </w:instrText>
      </w:r>
      <w:r>
        <w:fldChar w:fldCharType="separate"/>
      </w:r>
      <w:r>
        <w:t>119</w:t>
      </w:r>
      <w:r>
        <w:fldChar w:fldCharType="end"/>
      </w:r>
    </w:p>
    <w:p w14:paraId="530816DD" w14:textId="5EF4B923"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6.2</w:t>
      </w:r>
      <w:r>
        <w:rPr>
          <w:rFonts w:asciiTheme="minorHAnsi" w:eastAsiaTheme="minorEastAsia" w:hAnsiTheme="minorHAnsi" w:cstheme="minorBidi"/>
          <w:iCs w:val="0"/>
          <w:kern w:val="2"/>
          <w:sz w:val="24"/>
          <w:szCs w:val="24"/>
          <w:lang w:eastAsia="en-AU"/>
          <w14:ligatures w14:val="standardContextual"/>
        </w:rPr>
        <w:tab/>
      </w:r>
      <w:r w:rsidRPr="00552F2A">
        <w:t>Zone codes</w:t>
      </w:r>
      <w:r>
        <w:tab/>
      </w:r>
      <w:r>
        <w:fldChar w:fldCharType="begin"/>
      </w:r>
      <w:r>
        <w:instrText xml:space="preserve"> PAGEREF _Toc205367345 \h </w:instrText>
      </w:r>
      <w:r>
        <w:fldChar w:fldCharType="separate"/>
      </w:r>
      <w:r>
        <w:t>120</w:t>
      </w:r>
      <w:r>
        <w:fldChar w:fldCharType="end"/>
      </w:r>
    </w:p>
    <w:p w14:paraId="7861FAEB" w14:textId="798190B6" w:rsidR="001E6D70" w:rsidRDefault="001E6D70">
      <w:pPr>
        <w:pStyle w:val="TOC3"/>
        <w:rPr>
          <w:rFonts w:asciiTheme="minorHAnsi" w:eastAsiaTheme="minorEastAsia" w:hAnsiTheme="minorHAnsi" w:cstheme="minorBidi"/>
          <w:kern w:val="2"/>
          <w:sz w:val="24"/>
          <w:lang w:eastAsia="en-AU"/>
          <w14:ligatures w14:val="standardContextual"/>
        </w:rPr>
      </w:pPr>
      <w:r w:rsidRPr="00552F2A">
        <w:t>6.2.1</w:t>
      </w:r>
      <w:r>
        <w:rPr>
          <w:rFonts w:asciiTheme="minorHAnsi" w:eastAsiaTheme="minorEastAsia" w:hAnsiTheme="minorHAnsi" w:cstheme="minorBidi"/>
          <w:kern w:val="2"/>
          <w:sz w:val="24"/>
          <w:lang w:eastAsia="en-AU"/>
          <w14:ligatures w14:val="standardContextual"/>
        </w:rPr>
        <w:tab/>
      </w:r>
      <w:r w:rsidRPr="00552F2A">
        <w:t>Low density residential</w:t>
      </w:r>
      <w:r>
        <w:tab/>
      </w:r>
      <w:r>
        <w:fldChar w:fldCharType="begin"/>
      </w:r>
      <w:r>
        <w:instrText xml:space="preserve"> PAGEREF _Toc205367346 \h </w:instrText>
      </w:r>
      <w:r>
        <w:fldChar w:fldCharType="separate"/>
      </w:r>
      <w:r>
        <w:t>120</w:t>
      </w:r>
      <w:r>
        <w:fldChar w:fldCharType="end"/>
      </w:r>
    </w:p>
    <w:p w14:paraId="61E3F305" w14:textId="774F162B" w:rsidR="001E6D70" w:rsidRDefault="001E6D70">
      <w:pPr>
        <w:pStyle w:val="TOC3"/>
        <w:rPr>
          <w:rFonts w:asciiTheme="minorHAnsi" w:eastAsiaTheme="minorEastAsia" w:hAnsiTheme="minorHAnsi" w:cstheme="minorBidi"/>
          <w:kern w:val="2"/>
          <w:sz w:val="24"/>
          <w:lang w:eastAsia="en-AU"/>
          <w14:ligatures w14:val="standardContextual"/>
        </w:rPr>
      </w:pPr>
      <w:r w:rsidRPr="00552F2A">
        <w:t>6.2.2</w:t>
      </w:r>
      <w:r>
        <w:rPr>
          <w:rFonts w:asciiTheme="minorHAnsi" w:eastAsiaTheme="minorEastAsia" w:hAnsiTheme="minorHAnsi" w:cstheme="minorBidi"/>
          <w:kern w:val="2"/>
          <w:sz w:val="24"/>
          <w:lang w:eastAsia="en-AU"/>
          <w14:ligatures w14:val="standardContextual"/>
        </w:rPr>
        <w:tab/>
      </w:r>
      <w:r w:rsidRPr="00552F2A">
        <w:t>Low–medium density residential</w:t>
      </w:r>
      <w:r>
        <w:tab/>
      </w:r>
      <w:r>
        <w:fldChar w:fldCharType="begin"/>
      </w:r>
      <w:r>
        <w:instrText xml:space="preserve"> PAGEREF _Toc205367347 \h </w:instrText>
      </w:r>
      <w:r>
        <w:fldChar w:fldCharType="separate"/>
      </w:r>
      <w:r>
        <w:t>125</w:t>
      </w:r>
      <w:r>
        <w:fldChar w:fldCharType="end"/>
      </w:r>
    </w:p>
    <w:p w14:paraId="00EEE528" w14:textId="5C49BAA7" w:rsidR="001E6D70" w:rsidRDefault="001E6D70">
      <w:pPr>
        <w:pStyle w:val="TOC3"/>
        <w:rPr>
          <w:rFonts w:asciiTheme="minorHAnsi" w:eastAsiaTheme="minorEastAsia" w:hAnsiTheme="minorHAnsi" w:cstheme="minorBidi"/>
          <w:kern w:val="2"/>
          <w:sz w:val="24"/>
          <w:lang w:eastAsia="en-AU"/>
          <w14:ligatures w14:val="standardContextual"/>
        </w:rPr>
      </w:pPr>
      <w:r w:rsidRPr="00552F2A">
        <w:t>6.2.3</w:t>
      </w:r>
      <w:r>
        <w:rPr>
          <w:rFonts w:asciiTheme="minorHAnsi" w:eastAsiaTheme="minorEastAsia" w:hAnsiTheme="minorHAnsi" w:cstheme="minorBidi"/>
          <w:kern w:val="2"/>
          <w:sz w:val="24"/>
          <w:lang w:eastAsia="en-AU"/>
          <w14:ligatures w14:val="standardContextual"/>
        </w:rPr>
        <w:tab/>
      </w:r>
      <w:r w:rsidRPr="00552F2A">
        <w:t>Medium density residential</w:t>
      </w:r>
      <w:r>
        <w:tab/>
      </w:r>
      <w:r>
        <w:fldChar w:fldCharType="begin"/>
      </w:r>
      <w:r>
        <w:instrText xml:space="preserve"> PAGEREF _Toc205367348 \h </w:instrText>
      </w:r>
      <w:r>
        <w:fldChar w:fldCharType="separate"/>
      </w:r>
      <w:r>
        <w:t>138</w:t>
      </w:r>
      <w:r>
        <w:fldChar w:fldCharType="end"/>
      </w:r>
    </w:p>
    <w:p w14:paraId="67D9D6F1" w14:textId="23B88D2B" w:rsidR="001E6D70" w:rsidRDefault="001E6D70">
      <w:pPr>
        <w:pStyle w:val="TOC3"/>
        <w:rPr>
          <w:rFonts w:asciiTheme="minorHAnsi" w:eastAsiaTheme="minorEastAsia" w:hAnsiTheme="minorHAnsi" w:cstheme="minorBidi"/>
          <w:kern w:val="2"/>
          <w:sz w:val="24"/>
          <w:lang w:eastAsia="en-AU"/>
          <w14:ligatures w14:val="standardContextual"/>
        </w:rPr>
      </w:pPr>
      <w:r w:rsidRPr="00552F2A">
        <w:t>6.2.4</w:t>
      </w:r>
      <w:r>
        <w:rPr>
          <w:rFonts w:asciiTheme="minorHAnsi" w:eastAsiaTheme="minorEastAsia" w:hAnsiTheme="minorHAnsi" w:cstheme="minorBidi"/>
          <w:kern w:val="2"/>
          <w:sz w:val="24"/>
          <w:lang w:eastAsia="en-AU"/>
          <w14:ligatures w14:val="standardContextual"/>
        </w:rPr>
        <w:tab/>
      </w:r>
      <w:r w:rsidRPr="00552F2A">
        <w:t>Character residential</w:t>
      </w:r>
      <w:r>
        <w:tab/>
      </w:r>
      <w:r>
        <w:fldChar w:fldCharType="begin"/>
      </w:r>
      <w:r>
        <w:instrText xml:space="preserve"> PAGEREF _Toc205367349 \h </w:instrText>
      </w:r>
      <w:r>
        <w:fldChar w:fldCharType="separate"/>
      </w:r>
      <w:r>
        <w:t>154</w:t>
      </w:r>
      <w:r>
        <w:fldChar w:fldCharType="end"/>
      </w:r>
    </w:p>
    <w:p w14:paraId="2B17CA39" w14:textId="19505DA5" w:rsidR="001E6D70" w:rsidRDefault="001E6D70">
      <w:pPr>
        <w:pStyle w:val="TOC3"/>
        <w:rPr>
          <w:rFonts w:asciiTheme="minorHAnsi" w:eastAsiaTheme="minorEastAsia" w:hAnsiTheme="minorHAnsi" w:cstheme="minorBidi"/>
          <w:kern w:val="2"/>
          <w:sz w:val="24"/>
          <w:lang w:eastAsia="en-AU"/>
          <w14:ligatures w14:val="standardContextual"/>
        </w:rPr>
      </w:pPr>
      <w:r w:rsidRPr="00552F2A">
        <w:t>6.2.5</w:t>
      </w:r>
      <w:r>
        <w:rPr>
          <w:rFonts w:asciiTheme="minorHAnsi" w:eastAsiaTheme="minorEastAsia" w:hAnsiTheme="minorHAnsi" w:cstheme="minorBidi"/>
          <w:kern w:val="2"/>
          <w:sz w:val="24"/>
          <w:lang w:eastAsia="en-AU"/>
          <w14:ligatures w14:val="standardContextual"/>
        </w:rPr>
        <w:tab/>
      </w:r>
      <w:r w:rsidRPr="00552F2A">
        <w:t>Centre</w:t>
      </w:r>
      <w:r>
        <w:tab/>
      </w:r>
      <w:r>
        <w:fldChar w:fldCharType="begin"/>
      </w:r>
      <w:r>
        <w:instrText xml:space="preserve"> PAGEREF _Toc205367350 \h </w:instrText>
      </w:r>
      <w:r>
        <w:fldChar w:fldCharType="separate"/>
      </w:r>
      <w:r>
        <w:t>159</w:t>
      </w:r>
      <w:r>
        <w:fldChar w:fldCharType="end"/>
      </w:r>
    </w:p>
    <w:p w14:paraId="4AB5B683" w14:textId="16F1E2EA" w:rsidR="001E6D70" w:rsidRDefault="001E6D70">
      <w:pPr>
        <w:pStyle w:val="TOC3"/>
        <w:rPr>
          <w:rFonts w:asciiTheme="minorHAnsi" w:eastAsiaTheme="minorEastAsia" w:hAnsiTheme="minorHAnsi" w:cstheme="minorBidi"/>
          <w:kern w:val="2"/>
          <w:sz w:val="24"/>
          <w:lang w:eastAsia="en-AU"/>
          <w14:ligatures w14:val="standardContextual"/>
        </w:rPr>
      </w:pPr>
      <w:r w:rsidRPr="00552F2A">
        <w:t>6.2.6</w:t>
      </w:r>
      <w:r>
        <w:rPr>
          <w:rFonts w:asciiTheme="minorHAnsi" w:eastAsiaTheme="minorEastAsia" w:hAnsiTheme="minorHAnsi" w:cstheme="minorBidi"/>
          <w:kern w:val="2"/>
          <w:sz w:val="24"/>
          <w:lang w:eastAsia="en-AU"/>
          <w14:ligatures w14:val="standardContextual"/>
        </w:rPr>
        <w:tab/>
      </w:r>
      <w:r w:rsidRPr="00552F2A">
        <w:t>Principal centre</w:t>
      </w:r>
      <w:r>
        <w:tab/>
      </w:r>
      <w:r>
        <w:fldChar w:fldCharType="begin"/>
      </w:r>
      <w:r>
        <w:instrText xml:space="preserve"> PAGEREF _Toc205367351 \h </w:instrText>
      </w:r>
      <w:r>
        <w:fldChar w:fldCharType="separate"/>
      </w:r>
      <w:r>
        <w:t>169</w:t>
      </w:r>
      <w:r>
        <w:fldChar w:fldCharType="end"/>
      </w:r>
    </w:p>
    <w:p w14:paraId="38279635" w14:textId="0C5B2C46" w:rsidR="001E6D70" w:rsidRDefault="001E6D70">
      <w:pPr>
        <w:pStyle w:val="TOC3"/>
        <w:rPr>
          <w:rFonts w:asciiTheme="minorHAnsi" w:eastAsiaTheme="minorEastAsia" w:hAnsiTheme="minorHAnsi" w:cstheme="minorBidi"/>
          <w:kern w:val="2"/>
          <w:sz w:val="24"/>
          <w:lang w:eastAsia="en-AU"/>
          <w14:ligatures w14:val="standardContextual"/>
        </w:rPr>
      </w:pPr>
      <w:r w:rsidRPr="00552F2A">
        <w:t>6.2.7</w:t>
      </w:r>
      <w:r>
        <w:rPr>
          <w:rFonts w:asciiTheme="minorHAnsi" w:eastAsiaTheme="minorEastAsia" w:hAnsiTheme="minorHAnsi" w:cstheme="minorBidi"/>
          <w:kern w:val="2"/>
          <w:sz w:val="24"/>
          <w:lang w:eastAsia="en-AU"/>
          <w14:ligatures w14:val="standardContextual"/>
        </w:rPr>
        <w:tab/>
      </w:r>
      <w:r w:rsidRPr="00552F2A">
        <w:t>Neighbourhood centre</w:t>
      </w:r>
      <w:r>
        <w:tab/>
      </w:r>
      <w:r>
        <w:fldChar w:fldCharType="begin"/>
      </w:r>
      <w:r>
        <w:instrText xml:space="preserve"> PAGEREF _Toc205367352 \h </w:instrText>
      </w:r>
      <w:r>
        <w:fldChar w:fldCharType="separate"/>
      </w:r>
      <w:r>
        <w:t>183</w:t>
      </w:r>
      <w:r>
        <w:fldChar w:fldCharType="end"/>
      </w:r>
    </w:p>
    <w:p w14:paraId="61BA4831" w14:textId="1EB92625" w:rsidR="001E6D70" w:rsidRDefault="001E6D70">
      <w:pPr>
        <w:pStyle w:val="TOC3"/>
        <w:rPr>
          <w:rFonts w:asciiTheme="minorHAnsi" w:eastAsiaTheme="minorEastAsia" w:hAnsiTheme="minorHAnsi" w:cstheme="minorBidi"/>
          <w:kern w:val="2"/>
          <w:sz w:val="24"/>
          <w:lang w:eastAsia="en-AU"/>
          <w14:ligatures w14:val="standardContextual"/>
        </w:rPr>
      </w:pPr>
      <w:r w:rsidRPr="00552F2A">
        <w:t>6.2.8</w:t>
      </w:r>
      <w:r>
        <w:rPr>
          <w:rFonts w:asciiTheme="minorHAnsi" w:eastAsiaTheme="minorEastAsia" w:hAnsiTheme="minorHAnsi" w:cstheme="minorBidi"/>
          <w:kern w:val="2"/>
          <w:sz w:val="24"/>
          <w:lang w:eastAsia="en-AU"/>
          <w14:ligatures w14:val="standardContextual"/>
        </w:rPr>
        <w:tab/>
      </w:r>
      <w:r w:rsidRPr="00552F2A">
        <w:t>Sport and recreation</w:t>
      </w:r>
      <w:r>
        <w:tab/>
      </w:r>
      <w:r>
        <w:fldChar w:fldCharType="begin"/>
      </w:r>
      <w:r>
        <w:instrText xml:space="preserve"> PAGEREF _Toc205367353 \h </w:instrText>
      </w:r>
      <w:r>
        <w:fldChar w:fldCharType="separate"/>
      </w:r>
      <w:r>
        <w:t>192</w:t>
      </w:r>
      <w:r>
        <w:fldChar w:fldCharType="end"/>
      </w:r>
    </w:p>
    <w:p w14:paraId="427070F1" w14:textId="15405EE5" w:rsidR="001E6D70" w:rsidRDefault="001E6D70">
      <w:pPr>
        <w:pStyle w:val="TOC3"/>
        <w:rPr>
          <w:rFonts w:asciiTheme="minorHAnsi" w:eastAsiaTheme="minorEastAsia" w:hAnsiTheme="minorHAnsi" w:cstheme="minorBidi"/>
          <w:kern w:val="2"/>
          <w:sz w:val="24"/>
          <w:lang w:eastAsia="en-AU"/>
          <w14:ligatures w14:val="standardContextual"/>
        </w:rPr>
      </w:pPr>
      <w:r w:rsidRPr="00552F2A">
        <w:t>6.2.9</w:t>
      </w:r>
      <w:r>
        <w:rPr>
          <w:rFonts w:asciiTheme="minorHAnsi" w:eastAsiaTheme="minorEastAsia" w:hAnsiTheme="minorHAnsi" w:cstheme="minorBidi"/>
          <w:kern w:val="2"/>
          <w:sz w:val="24"/>
          <w:lang w:eastAsia="en-AU"/>
          <w14:ligatures w14:val="standardContextual"/>
        </w:rPr>
        <w:tab/>
      </w:r>
      <w:r w:rsidRPr="00552F2A">
        <w:t>Open space</w:t>
      </w:r>
      <w:r>
        <w:tab/>
      </w:r>
      <w:r>
        <w:fldChar w:fldCharType="begin"/>
      </w:r>
      <w:r>
        <w:instrText xml:space="preserve"> PAGEREF _Toc205367354 \h </w:instrText>
      </w:r>
      <w:r>
        <w:fldChar w:fldCharType="separate"/>
      </w:r>
      <w:r>
        <w:t>197</w:t>
      </w:r>
      <w:r>
        <w:fldChar w:fldCharType="end"/>
      </w:r>
    </w:p>
    <w:p w14:paraId="6EA9B207" w14:textId="2F0D4F98" w:rsidR="001E6D70" w:rsidRDefault="001E6D70">
      <w:pPr>
        <w:pStyle w:val="TOC3"/>
        <w:rPr>
          <w:rFonts w:asciiTheme="minorHAnsi" w:eastAsiaTheme="minorEastAsia" w:hAnsiTheme="minorHAnsi" w:cstheme="minorBidi"/>
          <w:kern w:val="2"/>
          <w:sz w:val="24"/>
          <w:lang w:eastAsia="en-AU"/>
          <w14:ligatures w14:val="standardContextual"/>
        </w:rPr>
      </w:pPr>
      <w:r w:rsidRPr="00552F2A">
        <w:t>6.2.10</w:t>
      </w:r>
      <w:r>
        <w:rPr>
          <w:rFonts w:asciiTheme="minorHAnsi" w:eastAsiaTheme="minorEastAsia" w:hAnsiTheme="minorHAnsi" w:cstheme="minorBidi"/>
          <w:kern w:val="2"/>
          <w:sz w:val="24"/>
          <w:lang w:eastAsia="en-AU"/>
          <w14:ligatures w14:val="standardContextual"/>
        </w:rPr>
        <w:tab/>
      </w:r>
      <w:r w:rsidRPr="00552F2A">
        <w:t>Environmental management</w:t>
      </w:r>
      <w:r>
        <w:tab/>
      </w:r>
      <w:r>
        <w:fldChar w:fldCharType="begin"/>
      </w:r>
      <w:r>
        <w:instrText xml:space="preserve"> PAGEREF _Toc205367355 \h </w:instrText>
      </w:r>
      <w:r>
        <w:fldChar w:fldCharType="separate"/>
      </w:r>
      <w:r>
        <w:t>201</w:t>
      </w:r>
      <w:r>
        <w:fldChar w:fldCharType="end"/>
      </w:r>
    </w:p>
    <w:p w14:paraId="7F1FA6A2" w14:textId="7954CBDE" w:rsidR="001E6D70" w:rsidRDefault="001E6D70">
      <w:pPr>
        <w:pStyle w:val="TOC3"/>
        <w:rPr>
          <w:rFonts w:asciiTheme="minorHAnsi" w:eastAsiaTheme="minorEastAsia" w:hAnsiTheme="minorHAnsi" w:cstheme="minorBidi"/>
          <w:kern w:val="2"/>
          <w:sz w:val="24"/>
          <w:lang w:eastAsia="en-AU"/>
          <w14:ligatures w14:val="standardContextual"/>
        </w:rPr>
      </w:pPr>
      <w:r w:rsidRPr="00552F2A">
        <w:t>6.2.11</w:t>
      </w:r>
      <w:r>
        <w:rPr>
          <w:rFonts w:asciiTheme="minorHAnsi" w:eastAsiaTheme="minorEastAsia" w:hAnsiTheme="minorHAnsi" w:cstheme="minorBidi"/>
          <w:kern w:val="2"/>
          <w:sz w:val="24"/>
          <w:lang w:eastAsia="en-AU"/>
          <w14:ligatures w14:val="standardContextual"/>
        </w:rPr>
        <w:tab/>
      </w:r>
      <w:r w:rsidRPr="00552F2A">
        <w:t>Conservation</w:t>
      </w:r>
      <w:r>
        <w:tab/>
      </w:r>
      <w:r>
        <w:fldChar w:fldCharType="begin"/>
      </w:r>
      <w:r>
        <w:instrText xml:space="preserve"> PAGEREF _Toc205367356 \h </w:instrText>
      </w:r>
      <w:r>
        <w:fldChar w:fldCharType="separate"/>
      </w:r>
      <w:r>
        <w:t>202</w:t>
      </w:r>
      <w:r>
        <w:fldChar w:fldCharType="end"/>
      </w:r>
    </w:p>
    <w:p w14:paraId="7C488ADC" w14:textId="3FCA8ED7" w:rsidR="001E6D70" w:rsidRDefault="001E6D70">
      <w:pPr>
        <w:pStyle w:val="TOC3"/>
        <w:rPr>
          <w:rFonts w:asciiTheme="minorHAnsi" w:eastAsiaTheme="minorEastAsia" w:hAnsiTheme="minorHAnsi" w:cstheme="minorBidi"/>
          <w:kern w:val="2"/>
          <w:sz w:val="24"/>
          <w:lang w:eastAsia="en-AU"/>
          <w14:ligatures w14:val="standardContextual"/>
        </w:rPr>
      </w:pPr>
      <w:r w:rsidRPr="00552F2A">
        <w:t>6.2.12</w:t>
      </w:r>
      <w:r>
        <w:rPr>
          <w:rFonts w:asciiTheme="minorHAnsi" w:eastAsiaTheme="minorEastAsia" w:hAnsiTheme="minorHAnsi" w:cstheme="minorBidi"/>
          <w:kern w:val="2"/>
          <w:sz w:val="24"/>
          <w:lang w:eastAsia="en-AU"/>
          <w14:ligatures w14:val="standardContextual"/>
        </w:rPr>
        <w:tab/>
      </w:r>
      <w:r w:rsidRPr="00552F2A">
        <w:t>Low impact industry</w:t>
      </w:r>
      <w:r>
        <w:tab/>
      </w:r>
      <w:r>
        <w:fldChar w:fldCharType="begin"/>
      </w:r>
      <w:r>
        <w:instrText xml:space="preserve"> PAGEREF _Toc205367357 \h </w:instrText>
      </w:r>
      <w:r>
        <w:fldChar w:fldCharType="separate"/>
      </w:r>
      <w:r>
        <w:t>205</w:t>
      </w:r>
      <w:r>
        <w:fldChar w:fldCharType="end"/>
      </w:r>
    </w:p>
    <w:p w14:paraId="06041D6D" w14:textId="0243988B" w:rsidR="001E6D70" w:rsidRDefault="001E6D70">
      <w:pPr>
        <w:pStyle w:val="TOC3"/>
        <w:rPr>
          <w:rFonts w:asciiTheme="minorHAnsi" w:eastAsiaTheme="minorEastAsia" w:hAnsiTheme="minorHAnsi" w:cstheme="minorBidi"/>
          <w:kern w:val="2"/>
          <w:sz w:val="24"/>
          <w:lang w:eastAsia="en-AU"/>
          <w14:ligatures w14:val="standardContextual"/>
        </w:rPr>
      </w:pPr>
      <w:r w:rsidRPr="00552F2A">
        <w:t>6.2.13</w:t>
      </w:r>
      <w:r>
        <w:rPr>
          <w:rFonts w:asciiTheme="minorHAnsi" w:eastAsiaTheme="minorEastAsia" w:hAnsiTheme="minorHAnsi" w:cstheme="minorBidi"/>
          <w:kern w:val="2"/>
          <w:sz w:val="24"/>
          <w:lang w:eastAsia="en-AU"/>
          <w14:ligatures w14:val="standardContextual"/>
        </w:rPr>
        <w:tab/>
      </w:r>
      <w:r w:rsidRPr="00552F2A">
        <w:t>Medium impact industry</w:t>
      </w:r>
      <w:r>
        <w:tab/>
      </w:r>
      <w:r>
        <w:fldChar w:fldCharType="begin"/>
      </w:r>
      <w:r>
        <w:instrText xml:space="preserve"> PAGEREF _Toc205367358 \h </w:instrText>
      </w:r>
      <w:r>
        <w:fldChar w:fldCharType="separate"/>
      </w:r>
      <w:r>
        <w:t>214</w:t>
      </w:r>
      <w:r>
        <w:fldChar w:fldCharType="end"/>
      </w:r>
    </w:p>
    <w:p w14:paraId="66E989AE" w14:textId="2581AD9C" w:rsidR="001E6D70" w:rsidRDefault="001E6D70">
      <w:pPr>
        <w:pStyle w:val="TOC3"/>
        <w:rPr>
          <w:rFonts w:asciiTheme="minorHAnsi" w:eastAsiaTheme="minorEastAsia" w:hAnsiTheme="minorHAnsi" w:cstheme="minorBidi"/>
          <w:kern w:val="2"/>
          <w:sz w:val="24"/>
          <w:lang w:eastAsia="en-AU"/>
          <w14:ligatures w14:val="standardContextual"/>
        </w:rPr>
      </w:pPr>
      <w:r w:rsidRPr="00552F2A">
        <w:t>6.2.14</w:t>
      </w:r>
      <w:r>
        <w:rPr>
          <w:rFonts w:asciiTheme="minorHAnsi" w:eastAsiaTheme="minorEastAsia" w:hAnsiTheme="minorHAnsi" w:cstheme="minorBidi"/>
          <w:kern w:val="2"/>
          <w:sz w:val="24"/>
          <w:lang w:eastAsia="en-AU"/>
          <w14:ligatures w14:val="standardContextual"/>
        </w:rPr>
        <w:tab/>
      </w:r>
      <w:r w:rsidRPr="00552F2A">
        <w:t>Special industry</w:t>
      </w:r>
      <w:r>
        <w:tab/>
      </w:r>
      <w:r>
        <w:fldChar w:fldCharType="begin"/>
      </w:r>
      <w:r>
        <w:instrText xml:space="preserve"> PAGEREF _Toc205367359 \h </w:instrText>
      </w:r>
      <w:r>
        <w:fldChar w:fldCharType="separate"/>
      </w:r>
      <w:r>
        <w:t>221</w:t>
      </w:r>
      <w:r>
        <w:fldChar w:fldCharType="end"/>
      </w:r>
    </w:p>
    <w:p w14:paraId="2853C30F" w14:textId="7E375F27" w:rsidR="001E6D70" w:rsidRDefault="001E6D70">
      <w:pPr>
        <w:pStyle w:val="TOC3"/>
        <w:rPr>
          <w:rFonts w:asciiTheme="minorHAnsi" w:eastAsiaTheme="minorEastAsia" w:hAnsiTheme="minorHAnsi" w:cstheme="minorBidi"/>
          <w:kern w:val="2"/>
          <w:sz w:val="24"/>
          <w:lang w:eastAsia="en-AU"/>
          <w14:ligatures w14:val="standardContextual"/>
        </w:rPr>
      </w:pPr>
      <w:r w:rsidRPr="00552F2A">
        <w:t>6.2.15</w:t>
      </w:r>
      <w:r>
        <w:rPr>
          <w:rFonts w:asciiTheme="minorHAnsi" w:eastAsiaTheme="minorEastAsia" w:hAnsiTheme="minorHAnsi" w:cstheme="minorBidi"/>
          <w:kern w:val="2"/>
          <w:sz w:val="24"/>
          <w:lang w:eastAsia="en-AU"/>
          <w14:ligatures w14:val="standardContextual"/>
        </w:rPr>
        <w:tab/>
      </w:r>
      <w:r w:rsidRPr="00552F2A">
        <w:t>Industry investigation</w:t>
      </w:r>
      <w:r>
        <w:tab/>
      </w:r>
      <w:r>
        <w:fldChar w:fldCharType="begin"/>
      </w:r>
      <w:r>
        <w:instrText xml:space="preserve"> PAGEREF _Toc205367360 \h </w:instrText>
      </w:r>
      <w:r>
        <w:fldChar w:fldCharType="separate"/>
      </w:r>
      <w:r>
        <w:t>227</w:t>
      </w:r>
      <w:r>
        <w:fldChar w:fldCharType="end"/>
      </w:r>
    </w:p>
    <w:p w14:paraId="306EF10A" w14:textId="7CBA470B" w:rsidR="001E6D70" w:rsidRDefault="001E6D70">
      <w:pPr>
        <w:pStyle w:val="TOC3"/>
        <w:rPr>
          <w:rFonts w:asciiTheme="minorHAnsi" w:eastAsiaTheme="minorEastAsia" w:hAnsiTheme="minorHAnsi" w:cstheme="minorBidi"/>
          <w:kern w:val="2"/>
          <w:sz w:val="24"/>
          <w:lang w:eastAsia="en-AU"/>
          <w14:ligatures w14:val="standardContextual"/>
        </w:rPr>
      </w:pPr>
      <w:r w:rsidRPr="00552F2A">
        <w:t>6.2.16</w:t>
      </w:r>
      <w:r>
        <w:rPr>
          <w:rFonts w:asciiTheme="minorHAnsi" w:eastAsiaTheme="minorEastAsia" w:hAnsiTheme="minorHAnsi" w:cstheme="minorBidi"/>
          <w:kern w:val="2"/>
          <w:sz w:val="24"/>
          <w:lang w:eastAsia="en-AU"/>
          <w14:ligatures w14:val="standardContextual"/>
        </w:rPr>
        <w:tab/>
      </w:r>
      <w:r w:rsidRPr="00552F2A">
        <w:t>Major tourism</w:t>
      </w:r>
      <w:r>
        <w:tab/>
      </w:r>
      <w:r>
        <w:fldChar w:fldCharType="begin"/>
      </w:r>
      <w:r>
        <w:instrText xml:space="preserve"> PAGEREF _Toc205367361 \h </w:instrText>
      </w:r>
      <w:r>
        <w:fldChar w:fldCharType="separate"/>
      </w:r>
      <w:r>
        <w:t>230</w:t>
      </w:r>
      <w:r>
        <w:fldChar w:fldCharType="end"/>
      </w:r>
    </w:p>
    <w:p w14:paraId="2B21D743" w14:textId="66A34F9E" w:rsidR="001E6D70" w:rsidRDefault="001E6D70">
      <w:pPr>
        <w:pStyle w:val="TOC3"/>
        <w:rPr>
          <w:rFonts w:asciiTheme="minorHAnsi" w:eastAsiaTheme="minorEastAsia" w:hAnsiTheme="minorHAnsi" w:cstheme="minorBidi"/>
          <w:kern w:val="2"/>
          <w:sz w:val="24"/>
          <w:lang w:eastAsia="en-AU"/>
          <w14:ligatures w14:val="standardContextual"/>
        </w:rPr>
      </w:pPr>
      <w:r w:rsidRPr="00552F2A">
        <w:t>6.2.17</w:t>
      </w:r>
      <w:r>
        <w:rPr>
          <w:rFonts w:asciiTheme="minorHAnsi" w:eastAsiaTheme="minorEastAsia" w:hAnsiTheme="minorHAnsi" w:cstheme="minorBidi"/>
          <w:kern w:val="2"/>
          <w:sz w:val="24"/>
          <w:lang w:eastAsia="en-AU"/>
          <w14:ligatures w14:val="standardContextual"/>
        </w:rPr>
        <w:tab/>
      </w:r>
      <w:r w:rsidRPr="00552F2A">
        <w:t>Minor tourism</w:t>
      </w:r>
      <w:r>
        <w:tab/>
      </w:r>
      <w:r>
        <w:fldChar w:fldCharType="begin"/>
      </w:r>
      <w:r>
        <w:instrText xml:space="preserve"> PAGEREF _Toc205367362 \h </w:instrText>
      </w:r>
      <w:r>
        <w:fldChar w:fldCharType="separate"/>
      </w:r>
      <w:r>
        <w:t>233</w:t>
      </w:r>
      <w:r>
        <w:fldChar w:fldCharType="end"/>
      </w:r>
    </w:p>
    <w:p w14:paraId="4C4BFBE2" w14:textId="467F58F9" w:rsidR="001E6D70" w:rsidRDefault="001E6D70">
      <w:pPr>
        <w:pStyle w:val="TOC3"/>
        <w:rPr>
          <w:rFonts w:asciiTheme="minorHAnsi" w:eastAsiaTheme="minorEastAsia" w:hAnsiTheme="minorHAnsi" w:cstheme="minorBidi"/>
          <w:kern w:val="2"/>
          <w:sz w:val="24"/>
          <w:lang w:eastAsia="en-AU"/>
          <w14:ligatures w14:val="standardContextual"/>
        </w:rPr>
      </w:pPr>
      <w:r w:rsidRPr="00552F2A">
        <w:t>6.2.18</w:t>
      </w:r>
      <w:r>
        <w:rPr>
          <w:rFonts w:asciiTheme="minorHAnsi" w:eastAsiaTheme="minorEastAsia" w:hAnsiTheme="minorHAnsi" w:cstheme="minorBidi"/>
          <w:kern w:val="2"/>
          <w:sz w:val="24"/>
          <w:lang w:eastAsia="en-AU"/>
          <w14:ligatures w14:val="standardContextual"/>
        </w:rPr>
        <w:tab/>
      </w:r>
      <w:r w:rsidRPr="00552F2A">
        <w:t>Community facilities</w:t>
      </w:r>
      <w:r>
        <w:tab/>
      </w:r>
      <w:r>
        <w:fldChar w:fldCharType="begin"/>
      </w:r>
      <w:r>
        <w:instrText xml:space="preserve"> PAGEREF _Toc205367363 \h </w:instrText>
      </w:r>
      <w:r>
        <w:fldChar w:fldCharType="separate"/>
      </w:r>
      <w:r>
        <w:t>236</w:t>
      </w:r>
      <w:r>
        <w:fldChar w:fldCharType="end"/>
      </w:r>
    </w:p>
    <w:p w14:paraId="1A0ADF13" w14:textId="07C653A7" w:rsidR="001E6D70" w:rsidRDefault="001E6D70">
      <w:pPr>
        <w:pStyle w:val="TOC3"/>
        <w:rPr>
          <w:rFonts w:asciiTheme="minorHAnsi" w:eastAsiaTheme="minorEastAsia" w:hAnsiTheme="minorHAnsi" w:cstheme="minorBidi"/>
          <w:kern w:val="2"/>
          <w:sz w:val="24"/>
          <w:lang w:eastAsia="en-AU"/>
          <w14:ligatures w14:val="standardContextual"/>
        </w:rPr>
      </w:pPr>
      <w:r w:rsidRPr="00552F2A">
        <w:t>6.2.19</w:t>
      </w:r>
      <w:r>
        <w:rPr>
          <w:rFonts w:asciiTheme="minorHAnsi" w:eastAsiaTheme="minorEastAsia" w:hAnsiTheme="minorHAnsi" w:cstheme="minorBidi"/>
          <w:kern w:val="2"/>
          <w:sz w:val="24"/>
          <w:lang w:eastAsia="en-AU"/>
          <w14:ligatures w14:val="standardContextual"/>
        </w:rPr>
        <w:tab/>
      </w:r>
      <w:r w:rsidRPr="00552F2A">
        <w:t>Emerging community</w:t>
      </w:r>
      <w:r>
        <w:tab/>
      </w:r>
      <w:r>
        <w:fldChar w:fldCharType="begin"/>
      </w:r>
      <w:r>
        <w:instrText xml:space="preserve"> PAGEREF _Toc205367364 \h </w:instrText>
      </w:r>
      <w:r>
        <w:fldChar w:fldCharType="separate"/>
      </w:r>
      <w:r>
        <w:t>242</w:t>
      </w:r>
      <w:r>
        <w:fldChar w:fldCharType="end"/>
      </w:r>
    </w:p>
    <w:p w14:paraId="2E1CAACE" w14:textId="12B12F9C" w:rsidR="001E6D70" w:rsidRDefault="001E6D70">
      <w:pPr>
        <w:pStyle w:val="TOC3"/>
        <w:rPr>
          <w:rFonts w:asciiTheme="minorHAnsi" w:eastAsiaTheme="minorEastAsia" w:hAnsiTheme="minorHAnsi" w:cstheme="minorBidi"/>
          <w:kern w:val="2"/>
          <w:sz w:val="24"/>
          <w:lang w:eastAsia="en-AU"/>
          <w14:ligatures w14:val="standardContextual"/>
        </w:rPr>
      </w:pPr>
      <w:r w:rsidRPr="00552F2A">
        <w:lastRenderedPageBreak/>
        <w:t>6.2.20</w:t>
      </w:r>
      <w:r>
        <w:rPr>
          <w:rFonts w:asciiTheme="minorHAnsi" w:eastAsiaTheme="minorEastAsia" w:hAnsiTheme="minorHAnsi" w:cstheme="minorBidi"/>
          <w:kern w:val="2"/>
          <w:sz w:val="24"/>
          <w:lang w:eastAsia="en-AU"/>
          <w14:ligatures w14:val="standardContextual"/>
        </w:rPr>
        <w:tab/>
      </w:r>
      <w:r w:rsidRPr="00552F2A">
        <w:t>Limited development</w:t>
      </w:r>
      <w:r>
        <w:tab/>
      </w:r>
      <w:r>
        <w:fldChar w:fldCharType="begin"/>
      </w:r>
      <w:r>
        <w:instrText xml:space="preserve"> PAGEREF _Toc205367365 \h </w:instrText>
      </w:r>
      <w:r>
        <w:fldChar w:fldCharType="separate"/>
      </w:r>
      <w:r>
        <w:t>246</w:t>
      </w:r>
      <w:r>
        <w:fldChar w:fldCharType="end"/>
      </w:r>
    </w:p>
    <w:p w14:paraId="1CD15E94" w14:textId="3E7BFD66" w:rsidR="001E6D70" w:rsidRDefault="001E6D70">
      <w:pPr>
        <w:pStyle w:val="TOC3"/>
        <w:rPr>
          <w:rFonts w:asciiTheme="minorHAnsi" w:eastAsiaTheme="minorEastAsia" w:hAnsiTheme="minorHAnsi" w:cstheme="minorBidi"/>
          <w:kern w:val="2"/>
          <w:sz w:val="24"/>
          <w:lang w:eastAsia="en-AU"/>
          <w14:ligatures w14:val="standardContextual"/>
        </w:rPr>
      </w:pPr>
      <w:r w:rsidRPr="00552F2A">
        <w:t>6.2.21</w:t>
      </w:r>
      <w:r>
        <w:rPr>
          <w:rFonts w:asciiTheme="minorHAnsi" w:eastAsiaTheme="minorEastAsia" w:hAnsiTheme="minorHAnsi" w:cstheme="minorBidi"/>
          <w:kern w:val="2"/>
          <w:sz w:val="24"/>
          <w:lang w:eastAsia="en-AU"/>
          <w14:ligatures w14:val="standardContextual"/>
        </w:rPr>
        <w:tab/>
      </w:r>
      <w:r w:rsidRPr="00552F2A">
        <w:t>Mixed use</w:t>
      </w:r>
      <w:r>
        <w:tab/>
      </w:r>
      <w:r>
        <w:fldChar w:fldCharType="begin"/>
      </w:r>
      <w:r>
        <w:instrText xml:space="preserve"> PAGEREF _Toc205367366 \h </w:instrText>
      </w:r>
      <w:r>
        <w:fldChar w:fldCharType="separate"/>
      </w:r>
      <w:r>
        <w:t>249</w:t>
      </w:r>
      <w:r>
        <w:fldChar w:fldCharType="end"/>
      </w:r>
    </w:p>
    <w:p w14:paraId="27262105" w14:textId="3760475E" w:rsidR="001E6D70" w:rsidRDefault="001E6D70">
      <w:pPr>
        <w:pStyle w:val="TOC3"/>
        <w:rPr>
          <w:rFonts w:asciiTheme="minorHAnsi" w:eastAsiaTheme="minorEastAsia" w:hAnsiTheme="minorHAnsi" w:cstheme="minorBidi"/>
          <w:kern w:val="2"/>
          <w:sz w:val="24"/>
          <w:lang w:eastAsia="en-AU"/>
          <w14:ligatures w14:val="standardContextual"/>
        </w:rPr>
      </w:pPr>
      <w:r w:rsidRPr="00552F2A">
        <w:t>6.2.22</w:t>
      </w:r>
      <w:r>
        <w:rPr>
          <w:rFonts w:asciiTheme="minorHAnsi" w:eastAsiaTheme="minorEastAsia" w:hAnsiTheme="minorHAnsi" w:cstheme="minorBidi"/>
          <w:kern w:val="2"/>
          <w:sz w:val="24"/>
          <w:lang w:eastAsia="en-AU"/>
          <w14:ligatures w14:val="standardContextual"/>
        </w:rPr>
        <w:tab/>
      </w:r>
      <w:r w:rsidRPr="00552F2A">
        <w:t>Rural</w:t>
      </w:r>
      <w:r>
        <w:tab/>
      </w:r>
      <w:r>
        <w:fldChar w:fldCharType="begin"/>
      </w:r>
      <w:r>
        <w:instrText xml:space="preserve"> PAGEREF _Toc205367367 \h </w:instrText>
      </w:r>
      <w:r>
        <w:fldChar w:fldCharType="separate"/>
      </w:r>
      <w:r>
        <w:t>265</w:t>
      </w:r>
      <w:r>
        <w:fldChar w:fldCharType="end"/>
      </w:r>
    </w:p>
    <w:p w14:paraId="7CCD7AB4" w14:textId="1276D2C4" w:rsidR="001E6D70" w:rsidRDefault="001E6D70">
      <w:pPr>
        <w:pStyle w:val="TOC3"/>
        <w:rPr>
          <w:rFonts w:asciiTheme="minorHAnsi" w:eastAsiaTheme="minorEastAsia" w:hAnsiTheme="minorHAnsi" w:cstheme="minorBidi"/>
          <w:kern w:val="2"/>
          <w:sz w:val="24"/>
          <w:lang w:eastAsia="en-AU"/>
          <w14:ligatures w14:val="standardContextual"/>
        </w:rPr>
      </w:pPr>
      <w:r w:rsidRPr="00552F2A">
        <w:t>6.2.23</w:t>
      </w:r>
      <w:r>
        <w:rPr>
          <w:rFonts w:asciiTheme="minorHAnsi" w:eastAsiaTheme="minorEastAsia" w:hAnsiTheme="minorHAnsi" w:cstheme="minorBidi"/>
          <w:kern w:val="2"/>
          <w:sz w:val="24"/>
          <w:lang w:eastAsia="en-AU"/>
          <w14:ligatures w14:val="standardContextual"/>
        </w:rPr>
        <w:tab/>
      </w:r>
      <w:r w:rsidRPr="00552F2A">
        <w:t>Rural residential</w:t>
      </w:r>
      <w:r>
        <w:tab/>
      </w:r>
      <w:r>
        <w:fldChar w:fldCharType="begin"/>
      </w:r>
      <w:r>
        <w:instrText xml:space="preserve"> PAGEREF _Toc205367368 \h </w:instrText>
      </w:r>
      <w:r>
        <w:fldChar w:fldCharType="separate"/>
      </w:r>
      <w:r>
        <w:t>273</w:t>
      </w:r>
      <w:r>
        <w:fldChar w:fldCharType="end"/>
      </w:r>
    </w:p>
    <w:p w14:paraId="71E94CF0" w14:textId="5F200198" w:rsidR="001E6D70" w:rsidRDefault="001E6D70">
      <w:pPr>
        <w:pStyle w:val="TOC3"/>
        <w:rPr>
          <w:rFonts w:asciiTheme="minorHAnsi" w:eastAsiaTheme="minorEastAsia" w:hAnsiTheme="minorHAnsi" w:cstheme="minorBidi"/>
          <w:kern w:val="2"/>
          <w:sz w:val="24"/>
          <w:lang w:eastAsia="en-AU"/>
          <w14:ligatures w14:val="standardContextual"/>
        </w:rPr>
      </w:pPr>
      <w:r w:rsidRPr="00552F2A">
        <w:t>6.2.24</w:t>
      </w:r>
      <w:r>
        <w:rPr>
          <w:rFonts w:asciiTheme="minorHAnsi" w:eastAsiaTheme="minorEastAsia" w:hAnsiTheme="minorHAnsi" w:cstheme="minorBidi"/>
          <w:kern w:val="2"/>
          <w:sz w:val="24"/>
          <w:lang w:eastAsia="en-AU"/>
          <w14:ligatures w14:val="standardContextual"/>
        </w:rPr>
        <w:tab/>
      </w:r>
      <w:r w:rsidRPr="00552F2A">
        <w:t>Special purpose</w:t>
      </w:r>
      <w:r>
        <w:tab/>
      </w:r>
      <w:r>
        <w:fldChar w:fldCharType="begin"/>
      </w:r>
      <w:r>
        <w:instrText xml:space="preserve"> PAGEREF _Toc205367369 \h </w:instrText>
      </w:r>
      <w:r>
        <w:fldChar w:fldCharType="separate"/>
      </w:r>
      <w:r>
        <w:t>278</w:t>
      </w:r>
      <w:r>
        <w:fldChar w:fldCharType="end"/>
      </w:r>
    </w:p>
    <w:p w14:paraId="1E3995A4" w14:textId="675A8F16" w:rsidR="001E6D70" w:rsidRDefault="001E6D70">
      <w:pPr>
        <w:pStyle w:val="TOC3"/>
        <w:rPr>
          <w:rFonts w:asciiTheme="minorHAnsi" w:eastAsiaTheme="minorEastAsia" w:hAnsiTheme="minorHAnsi" w:cstheme="minorBidi"/>
          <w:kern w:val="2"/>
          <w:sz w:val="24"/>
          <w:lang w:eastAsia="en-AU"/>
          <w14:ligatures w14:val="standardContextual"/>
        </w:rPr>
      </w:pPr>
      <w:r w:rsidRPr="00552F2A">
        <w:t>6.2.25</w:t>
      </w:r>
      <w:r>
        <w:rPr>
          <w:rFonts w:asciiTheme="minorHAnsi" w:eastAsiaTheme="minorEastAsia" w:hAnsiTheme="minorHAnsi" w:cstheme="minorBidi"/>
          <w:kern w:val="2"/>
          <w:sz w:val="24"/>
          <w:lang w:eastAsia="en-AU"/>
          <w14:ligatures w14:val="standardContextual"/>
        </w:rPr>
        <w:tab/>
      </w:r>
      <w:r w:rsidRPr="00552F2A">
        <w:t>Specialised centre</w:t>
      </w:r>
      <w:r>
        <w:tab/>
      </w:r>
      <w:r>
        <w:fldChar w:fldCharType="begin"/>
      </w:r>
      <w:r>
        <w:instrText xml:space="preserve"> PAGEREF _Toc205367370 \h </w:instrText>
      </w:r>
      <w:r>
        <w:fldChar w:fldCharType="separate"/>
      </w:r>
      <w:r>
        <w:t>284</w:t>
      </w:r>
      <w:r>
        <w:fldChar w:fldCharType="end"/>
      </w:r>
    </w:p>
    <w:p w14:paraId="222E7132" w14:textId="2AF4232F" w:rsidR="001E6D70" w:rsidRDefault="001E6D70">
      <w:pPr>
        <w:pStyle w:val="TOC3"/>
        <w:rPr>
          <w:rFonts w:asciiTheme="minorHAnsi" w:eastAsiaTheme="minorEastAsia" w:hAnsiTheme="minorHAnsi" w:cstheme="minorBidi"/>
          <w:kern w:val="2"/>
          <w:sz w:val="24"/>
          <w:lang w:eastAsia="en-AU"/>
          <w14:ligatures w14:val="standardContextual"/>
        </w:rPr>
      </w:pPr>
      <w:r w:rsidRPr="00552F2A">
        <w:t>6.2.26</w:t>
      </w:r>
      <w:r>
        <w:rPr>
          <w:rFonts w:asciiTheme="minorHAnsi" w:eastAsiaTheme="minorEastAsia" w:hAnsiTheme="minorHAnsi" w:cstheme="minorBidi"/>
          <w:kern w:val="2"/>
          <w:sz w:val="24"/>
          <w:lang w:eastAsia="en-AU"/>
          <w14:ligatures w14:val="standardContextual"/>
        </w:rPr>
        <w:tab/>
      </w:r>
      <w:r w:rsidRPr="00552F2A">
        <w:t>Township</w:t>
      </w:r>
      <w:r>
        <w:tab/>
      </w:r>
      <w:r>
        <w:fldChar w:fldCharType="begin"/>
      </w:r>
      <w:r>
        <w:instrText xml:space="preserve"> PAGEREF _Toc205367371 \h </w:instrText>
      </w:r>
      <w:r>
        <w:fldChar w:fldCharType="separate"/>
      </w:r>
      <w:r>
        <w:t>291</w:t>
      </w:r>
      <w:r>
        <w:fldChar w:fldCharType="end"/>
      </w:r>
    </w:p>
    <w:p w14:paraId="6AB962FA" w14:textId="6B683AED"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ascii="Arial" w:hAnsi="Arial"/>
        </w:rPr>
        <w:t>7</w:t>
      </w:r>
      <w:r>
        <w:rPr>
          <w:rFonts w:asciiTheme="minorHAnsi" w:eastAsiaTheme="minorEastAsia" w:hAnsiTheme="minorHAnsi" w:cstheme="minorBidi"/>
          <w:kern w:val="2"/>
          <w:sz w:val="24"/>
          <w:lang w:eastAsia="en-AU"/>
          <w14:ligatures w14:val="standardContextual"/>
        </w:rPr>
        <w:tab/>
      </w:r>
      <w:r w:rsidRPr="00552F2A">
        <w:rPr>
          <w:rFonts w:ascii="Arial" w:hAnsi="Arial"/>
        </w:rPr>
        <w:t>Local plans</w:t>
      </w:r>
      <w:r>
        <w:tab/>
      </w:r>
      <w:r>
        <w:fldChar w:fldCharType="begin"/>
      </w:r>
      <w:r>
        <w:instrText xml:space="preserve"> PAGEREF _Toc205367372 \h </w:instrText>
      </w:r>
      <w:r>
        <w:fldChar w:fldCharType="separate"/>
      </w:r>
      <w:r>
        <w:t>297</w:t>
      </w:r>
      <w:r>
        <w:fldChar w:fldCharType="end"/>
      </w:r>
    </w:p>
    <w:p w14:paraId="65170C86" w14:textId="3363EB31"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ascii="Arial" w:hAnsi="Arial"/>
        </w:rPr>
        <w:t>8</w:t>
      </w:r>
      <w:r>
        <w:rPr>
          <w:rFonts w:asciiTheme="minorHAnsi" w:eastAsiaTheme="minorEastAsia" w:hAnsiTheme="minorHAnsi" w:cstheme="minorBidi"/>
          <w:kern w:val="2"/>
          <w:sz w:val="24"/>
          <w:lang w:eastAsia="en-AU"/>
          <w14:ligatures w14:val="standardContextual"/>
        </w:rPr>
        <w:tab/>
      </w:r>
      <w:r w:rsidRPr="00552F2A">
        <w:rPr>
          <w:rFonts w:ascii="Arial" w:hAnsi="Arial"/>
        </w:rPr>
        <w:t>Overlays</w:t>
      </w:r>
      <w:r>
        <w:tab/>
      </w:r>
      <w:r>
        <w:fldChar w:fldCharType="begin"/>
      </w:r>
      <w:r>
        <w:instrText xml:space="preserve"> PAGEREF _Toc205367373 \h </w:instrText>
      </w:r>
      <w:r>
        <w:fldChar w:fldCharType="separate"/>
      </w:r>
      <w:r>
        <w:t>298</w:t>
      </w:r>
      <w:r>
        <w:fldChar w:fldCharType="end"/>
      </w:r>
    </w:p>
    <w:p w14:paraId="40486C9D" w14:textId="78DFDB98"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8.1</w:t>
      </w:r>
      <w:r>
        <w:rPr>
          <w:rFonts w:asciiTheme="minorHAnsi" w:eastAsiaTheme="minorEastAsia" w:hAnsiTheme="minorHAnsi" w:cstheme="minorBidi"/>
          <w:iCs w:val="0"/>
          <w:kern w:val="2"/>
          <w:sz w:val="24"/>
          <w:szCs w:val="24"/>
          <w:lang w:eastAsia="en-AU"/>
          <w14:ligatures w14:val="standardContextual"/>
        </w:rPr>
        <w:tab/>
      </w:r>
      <w:r w:rsidRPr="00552F2A">
        <w:t>Preliminary</w:t>
      </w:r>
      <w:r>
        <w:tab/>
      </w:r>
      <w:r>
        <w:fldChar w:fldCharType="begin"/>
      </w:r>
      <w:r>
        <w:instrText xml:space="preserve"> PAGEREF _Toc205367374 \h </w:instrText>
      </w:r>
      <w:r>
        <w:fldChar w:fldCharType="separate"/>
      </w:r>
      <w:r>
        <w:t>298</w:t>
      </w:r>
      <w:r>
        <w:fldChar w:fldCharType="end"/>
      </w:r>
    </w:p>
    <w:p w14:paraId="357B8725" w14:textId="723E7035"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8.2</w:t>
      </w:r>
      <w:r>
        <w:rPr>
          <w:rFonts w:asciiTheme="minorHAnsi" w:eastAsiaTheme="minorEastAsia" w:hAnsiTheme="minorHAnsi" w:cstheme="minorBidi"/>
          <w:iCs w:val="0"/>
          <w:kern w:val="2"/>
          <w:sz w:val="24"/>
          <w:szCs w:val="24"/>
          <w:lang w:eastAsia="en-AU"/>
          <w14:ligatures w14:val="standardContextual"/>
        </w:rPr>
        <w:tab/>
      </w:r>
      <w:r w:rsidRPr="00552F2A">
        <w:t>Overlay codes</w:t>
      </w:r>
      <w:r>
        <w:tab/>
      </w:r>
      <w:r>
        <w:fldChar w:fldCharType="begin"/>
      </w:r>
      <w:r>
        <w:instrText xml:space="preserve"> PAGEREF _Toc205367375 \h </w:instrText>
      </w:r>
      <w:r>
        <w:fldChar w:fldCharType="separate"/>
      </w:r>
      <w:r>
        <w:t>298</w:t>
      </w:r>
      <w:r>
        <w:fldChar w:fldCharType="end"/>
      </w:r>
    </w:p>
    <w:p w14:paraId="5EFC748D" w14:textId="5BCCB591" w:rsidR="001E6D70" w:rsidRDefault="001E6D70">
      <w:pPr>
        <w:pStyle w:val="TOC3"/>
        <w:rPr>
          <w:rFonts w:asciiTheme="minorHAnsi" w:eastAsiaTheme="minorEastAsia" w:hAnsiTheme="minorHAnsi" w:cstheme="minorBidi"/>
          <w:kern w:val="2"/>
          <w:sz w:val="24"/>
          <w:lang w:eastAsia="en-AU"/>
          <w14:ligatures w14:val="standardContextual"/>
        </w:rPr>
      </w:pPr>
      <w:r w:rsidRPr="00552F2A">
        <w:t>8.2.1</w:t>
      </w:r>
      <w:r>
        <w:rPr>
          <w:rFonts w:asciiTheme="minorHAnsi" w:eastAsiaTheme="minorEastAsia" w:hAnsiTheme="minorHAnsi" w:cstheme="minorBidi"/>
          <w:kern w:val="2"/>
          <w:sz w:val="24"/>
          <w:lang w:eastAsia="en-AU"/>
          <w14:ligatures w14:val="standardContextual"/>
        </w:rPr>
        <w:tab/>
      </w:r>
      <w:r w:rsidRPr="00552F2A">
        <w:t>Acid sulfate soils</w:t>
      </w:r>
      <w:r>
        <w:tab/>
      </w:r>
      <w:r>
        <w:fldChar w:fldCharType="begin"/>
      </w:r>
      <w:r>
        <w:instrText xml:space="preserve"> PAGEREF _Toc205367376 \h </w:instrText>
      </w:r>
      <w:r>
        <w:fldChar w:fldCharType="separate"/>
      </w:r>
      <w:r>
        <w:t>299</w:t>
      </w:r>
      <w:r>
        <w:fldChar w:fldCharType="end"/>
      </w:r>
    </w:p>
    <w:p w14:paraId="16102476" w14:textId="596E4F56" w:rsidR="001E6D70" w:rsidRDefault="001E6D70">
      <w:pPr>
        <w:pStyle w:val="TOC3"/>
        <w:rPr>
          <w:rFonts w:asciiTheme="minorHAnsi" w:eastAsiaTheme="minorEastAsia" w:hAnsiTheme="minorHAnsi" w:cstheme="minorBidi"/>
          <w:kern w:val="2"/>
          <w:sz w:val="24"/>
          <w:lang w:eastAsia="en-AU"/>
          <w14:ligatures w14:val="standardContextual"/>
        </w:rPr>
      </w:pPr>
      <w:r w:rsidRPr="00552F2A">
        <w:t>8.2.2</w:t>
      </w:r>
      <w:r>
        <w:rPr>
          <w:rFonts w:asciiTheme="minorHAnsi" w:eastAsiaTheme="minorEastAsia" w:hAnsiTheme="minorHAnsi" w:cstheme="minorBidi"/>
          <w:kern w:val="2"/>
          <w:sz w:val="24"/>
          <w:lang w:eastAsia="en-AU"/>
          <w14:ligatures w14:val="standardContextual"/>
        </w:rPr>
        <w:tab/>
      </w:r>
      <w:r w:rsidRPr="00552F2A">
        <w:t>Airport environs</w:t>
      </w:r>
      <w:r>
        <w:tab/>
      </w:r>
      <w:r>
        <w:fldChar w:fldCharType="begin"/>
      </w:r>
      <w:r>
        <w:instrText xml:space="preserve"> PAGEREF _Toc205367377 \h </w:instrText>
      </w:r>
      <w:r>
        <w:fldChar w:fldCharType="separate"/>
      </w:r>
      <w:r>
        <w:t>301</w:t>
      </w:r>
      <w:r>
        <w:fldChar w:fldCharType="end"/>
      </w:r>
    </w:p>
    <w:p w14:paraId="0453712D" w14:textId="38763276" w:rsidR="001E6D70" w:rsidRDefault="001E6D70">
      <w:pPr>
        <w:pStyle w:val="TOC3"/>
        <w:rPr>
          <w:rFonts w:asciiTheme="minorHAnsi" w:eastAsiaTheme="minorEastAsia" w:hAnsiTheme="minorHAnsi" w:cstheme="minorBidi"/>
          <w:kern w:val="2"/>
          <w:sz w:val="24"/>
          <w:lang w:eastAsia="en-AU"/>
          <w14:ligatures w14:val="standardContextual"/>
        </w:rPr>
      </w:pPr>
      <w:r w:rsidRPr="00552F2A">
        <w:t>8.2.3</w:t>
      </w:r>
      <w:r>
        <w:rPr>
          <w:rFonts w:asciiTheme="minorHAnsi" w:eastAsiaTheme="minorEastAsia" w:hAnsiTheme="minorHAnsi" w:cstheme="minorBidi"/>
          <w:kern w:val="2"/>
          <w:sz w:val="24"/>
          <w:lang w:eastAsia="en-AU"/>
          <w14:ligatures w14:val="standardContextual"/>
        </w:rPr>
        <w:tab/>
      </w:r>
      <w:r w:rsidRPr="00552F2A">
        <w:t>Biodiversity</w:t>
      </w:r>
      <w:r>
        <w:tab/>
      </w:r>
      <w:r>
        <w:fldChar w:fldCharType="begin"/>
      </w:r>
      <w:r>
        <w:instrText xml:space="preserve"> PAGEREF _Toc205367378 \h </w:instrText>
      </w:r>
      <w:r>
        <w:fldChar w:fldCharType="separate"/>
      </w:r>
      <w:r>
        <w:t>307</w:t>
      </w:r>
      <w:r>
        <w:fldChar w:fldCharType="end"/>
      </w:r>
    </w:p>
    <w:p w14:paraId="10298891" w14:textId="76DDFCD7" w:rsidR="001E6D70" w:rsidRDefault="001E6D70">
      <w:pPr>
        <w:pStyle w:val="TOC3"/>
        <w:rPr>
          <w:rFonts w:asciiTheme="minorHAnsi" w:eastAsiaTheme="minorEastAsia" w:hAnsiTheme="minorHAnsi" w:cstheme="minorBidi"/>
          <w:kern w:val="2"/>
          <w:sz w:val="24"/>
          <w:lang w:eastAsia="en-AU"/>
          <w14:ligatures w14:val="standardContextual"/>
        </w:rPr>
      </w:pPr>
      <w:r w:rsidRPr="00552F2A">
        <w:t>8.2.4</w:t>
      </w:r>
      <w:r>
        <w:rPr>
          <w:rFonts w:asciiTheme="minorHAnsi" w:eastAsiaTheme="minorEastAsia" w:hAnsiTheme="minorHAnsi" w:cstheme="minorBidi"/>
          <w:kern w:val="2"/>
          <w:sz w:val="24"/>
          <w:lang w:eastAsia="en-AU"/>
          <w14:ligatures w14:val="standardContextual"/>
        </w:rPr>
        <w:tab/>
      </w:r>
      <w:r w:rsidRPr="00552F2A">
        <w:t>Bushfire hazard</w:t>
      </w:r>
      <w:r>
        <w:tab/>
      </w:r>
      <w:r>
        <w:fldChar w:fldCharType="begin"/>
      </w:r>
      <w:r>
        <w:instrText xml:space="preserve"> PAGEREF _Toc205367379 \h </w:instrText>
      </w:r>
      <w:r>
        <w:fldChar w:fldCharType="separate"/>
      </w:r>
      <w:r>
        <w:t>319</w:t>
      </w:r>
      <w:r>
        <w:fldChar w:fldCharType="end"/>
      </w:r>
    </w:p>
    <w:p w14:paraId="2468E584" w14:textId="62DE0705" w:rsidR="001E6D70" w:rsidRDefault="001E6D70">
      <w:pPr>
        <w:pStyle w:val="TOC3"/>
        <w:rPr>
          <w:rFonts w:asciiTheme="minorHAnsi" w:eastAsiaTheme="minorEastAsia" w:hAnsiTheme="minorHAnsi" w:cstheme="minorBidi"/>
          <w:kern w:val="2"/>
          <w:sz w:val="24"/>
          <w:lang w:eastAsia="en-AU"/>
          <w14:ligatures w14:val="standardContextual"/>
        </w:rPr>
      </w:pPr>
      <w:r w:rsidRPr="00552F2A">
        <w:t>8.2.5</w:t>
      </w:r>
      <w:r>
        <w:rPr>
          <w:rFonts w:asciiTheme="minorHAnsi" w:eastAsiaTheme="minorEastAsia" w:hAnsiTheme="minorHAnsi" w:cstheme="minorBidi"/>
          <w:kern w:val="2"/>
          <w:sz w:val="24"/>
          <w:lang w:eastAsia="en-AU"/>
          <w14:ligatures w14:val="standardContextual"/>
        </w:rPr>
        <w:tab/>
      </w:r>
      <w:r w:rsidRPr="00552F2A">
        <w:t>Coastal hazard</w:t>
      </w:r>
      <w:r>
        <w:tab/>
      </w:r>
      <w:r>
        <w:fldChar w:fldCharType="begin"/>
      </w:r>
      <w:r>
        <w:instrText xml:space="preserve"> PAGEREF _Toc205367380 \h </w:instrText>
      </w:r>
      <w:r>
        <w:fldChar w:fldCharType="separate"/>
      </w:r>
      <w:r>
        <w:t>323</w:t>
      </w:r>
      <w:r>
        <w:fldChar w:fldCharType="end"/>
      </w:r>
    </w:p>
    <w:p w14:paraId="6739AD53" w14:textId="44B3D5EF" w:rsidR="001E6D70" w:rsidRDefault="001E6D70">
      <w:pPr>
        <w:pStyle w:val="TOC3"/>
        <w:rPr>
          <w:rFonts w:asciiTheme="minorHAnsi" w:eastAsiaTheme="minorEastAsia" w:hAnsiTheme="minorHAnsi" w:cstheme="minorBidi"/>
          <w:kern w:val="2"/>
          <w:sz w:val="24"/>
          <w:lang w:eastAsia="en-AU"/>
          <w14:ligatures w14:val="standardContextual"/>
        </w:rPr>
      </w:pPr>
      <w:r w:rsidRPr="00552F2A">
        <w:t>8.2.6</w:t>
      </w:r>
      <w:r>
        <w:rPr>
          <w:rFonts w:asciiTheme="minorHAnsi" w:eastAsiaTheme="minorEastAsia" w:hAnsiTheme="minorHAnsi" w:cstheme="minorBidi"/>
          <w:kern w:val="2"/>
          <w:sz w:val="24"/>
          <w:lang w:eastAsia="en-AU"/>
          <w14:ligatures w14:val="standardContextual"/>
        </w:rPr>
        <w:tab/>
      </w:r>
      <w:r w:rsidRPr="00552F2A">
        <w:t>Extractive resources and minerals</w:t>
      </w:r>
      <w:r>
        <w:tab/>
      </w:r>
      <w:r>
        <w:fldChar w:fldCharType="begin"/>
      </w:r>
      <w:r>
        <w:instrText xml:space="preserve"> PAGEREF _Toc205367381 \h </w:instrText>
      </w:r>
      <w:r>
        <w:fldChar w:fldCharType="separate"/>
      </w:r>
      <w:r>
        <w:t>330</w:t>
      </w:r>
      <w:r>
        <w:fldChar w:fldCharType="end"/>
      </w:r>
    </w:p>
    <w:p w14:paraId="2ABB4815" w14:textId="4E829EF4" w:rsidR="001E6D70" w:rsidRDefault="001E6D70">
      <w:pPr>
        <w:pStyle w:val="TOC3"/>
        <w:rPr>
          <w:rFonts w:asciiTheme="minorHAnsi" w:eastAsiaTheme="minorEastAsia" w:hAnsiTheme="minorHAnsi" w:cstheme="minorBidi"/>
          <w:kern w:val="2"/>
          <w:sz w:val="24"/>
          <w:lang w:eastAsia="en-AU"/>
          <w14:ligatures w14:val="standardContextual"/>
        </w:rPr>
      </w:pPr>
      <w:r w:rsidRPr="00552F2A">
        <w:t>8.2.7</w:t>
      </w:r>
      <w:r>
        <w:rPr>
          <w:rFonts w:asciiTheme="minorHAnsi" w:eastAsiaTheme="minorEastAsia" w:hAnsiTheme="minorHAnsi" w:cstheme="minorBidi"/>
          <w:kern w:val="2"/>
          <w:sz w:val="24"/>
          <w:lang w:eastAsia="en-AU"/>
          <w14:ligatures w14:val="standardContextual"/>
        </w:rPr>
        <w:tab/>
      </w:r>
      <w:r w:rsidRPr="00552F2A">
        <w:t>Flood hazard</w:t>
      </w:r>
      <w:r>
        <w:tab/>
      </w:r>
      <w:r>
        <w:fldChar w:fldCharType="begin"/>
      </w:r>
      <w:r>
        <w:instrText xml:space="preserve"> PAGEREF _Toc205367382 \h </w:instrText>
      </w:r>
      <w:r>
        <w:fldChar w:fldCharType="separate"/>
      </w:r>
      <w:r>
        <w:t>332</w:t>
      </w:r>
      <w:r>
        <w:fldChar w:fldCharType="end"/>
      </w:r>
    </w:p>
    <w:p w14:paraId="6DC91BED" w14:textId="639A8573" w:rsidR="001E6D70" w:rsidRDefault="001E6D70">
      <w:pPr>
        <w:pStyle w:val="TOC3"/>
        <w:rPr>
          <w:rFonts w:asciiTheme="minorHAnsi" w:eastAsiaTheme="minorEastAsia" w:hAnsiTheme="minorHAnsi" w:cstheme="minorBidi"/>
          <w:kern w:val="2"/>
          <w:sz w:val="24"/>
          <w:lang w:eastAsia="en-AU"/>
          <w14:ligatures w14:val="standardContextual"/>
        </w:rPr>
      </w:pPr>
      <w:r w:rsidRPr="00552F2A">
        <w:t>8.2.8</w:t>
      </w:r>
      <w:r>
        <w:rPr>
          <w:rFonts w:asciiTheme="minorHAnsi" w:eastAsiaTheme="minorEastAsia" w:hAnsiTheme="minorHAnsi" w:cstheme="minorBidi"/>
          <w:kern w:val="2"/>
          <w:sz w:val="24"/>
          <w:lang w:eastAsia="en-AU"/>
          <w14:ligatures w14:val="standardContextual"/>
        </w:rPr>
        <w:tab/>
      </w:r>
      <w:r w:rsidRPr="00552F2A">
        <w:t>Hazardous activities</w:t>
      </w:r>
      <w:r>
        <w:tab/>
      </w:r>
      <w:r>
        <w:fldChar w:fldCharType="begin"/>
      </w:r>
      <w:r>
        <w:instrText xml:space="preserve"> PAGEREF _Toc205367383 \h </w:instrText>
      </w:r>
      <w:r>
        <w:fldChar w:fldCharType="separate"/>
      </w:r>
      <w:r>
        <w:t>340</w:t>
      </w:r>
      <w:r>
        <w:fldChar w:fldCharType="end"/>
      </w:r>
    </w:p>
    <w:p w14:paraId="57414C2E" w14:textId="699A04E3" w:rsidR="001E6D70" w:rsidRDefault="001E6D70">
      <w:pPr>
        <w:pStyle w:val="TOC3"/>
        <w:rPr>
          <w:rFonts w:asciiTheme="minorHAnsi" w:eastAsiaTheme="minorEastAsia" w:hAnsiTheme="minorHAnsi" w:cstheme="minorBidi"/>
          <w:kern w:val="2"/>
          <w:sz w:val="24"/>
          <w:lang w:eastAsia="en-AU"/>
          <w14:ligatures w14:val="standardContextual"/>
        </w:rPr>
      </w:pPr>
      <w:r w:rsidRPr="00552F2A">
        <w:t>8.2.9</w:t>
      </w:r>
      <w:r>
        <w:rPr>
          <w:rFonts w:asciiTheme="minorHAnsi" w:eastAsiaTheme="minorEastAsia" w:hAnsiTheme="minorHAnsi" w:cstheme="minorBidi"/>
          <w:kern w:val="2"/>
          <w:sz w:val="24"/>
          <w:lang w:eastAsia="en-AU"/>
          <w14:ligatures w14:val="standardContextual"/>
        </w:rPr>
        <w:tab/>
      </w:r>
      <w:r w:rsidRPr="00552F2A">
        <w:t>Heritage</w:t>
      </w:r>
      <w:r>
        <w:tab/>
      </w:r>
      <w:r>
        <w:fldChar w:fldCharType="begin"/>
      </w:r>
      <w:r>
        <w:instrText xml:space="preserve"> PAGEREF _Toc205367384 \h </w:instrText>
      </w:r>
      <w:r>
        <w:fldChar w:fldCharType="separate"/>
      </w:r>
      <w:r>
        <w:t>341</w:t>
      </w:r>
      <w:r>
        <w:fldChar w:fldCharType="end"/>
      </w:r>
    </w:p>
    <w:p w14:paraId="7F146EED" w14:textId="4516F09F" w:rsidR="001E6D70" w:rsidRDefault="001E6D70">
      <w:pPr>
        <w:pStyle w:val="TOC3"/>
        <w:rPr>
          <w:rFonts w:asciiTheme="minorHAnsi" w:eastAsiaTheme="minorEastAsia" w:hAnsiTheme="minorHAnsi" w:cstheme="minorBidi"/>
          <w:kern w:val="2"/>
          <w:sz w:val="24"/>
          <w:lang w:eastAsia="en-AU"/>
          <w14:ligatures w14:val="standardContextual"/>
        </w:rPr>
      </w:pPr>
      <w:r w:rsidRPr="00552F2A">
        <w:t>8.2.10</w:t>
      </w:r>
      <w:r>
        <w:rPr>
          <w:rFonts w:asciiTheme="minorHAnsi" w:eastAsiaTheme="minorEastAsia" w:hAnsiTheme="minorHAnsi" w:cstheme="minorBidi"/>
          <w:kern w:val="2"/>
          <w:sz w:val="24"/>
          <w:lang w:eastAsia="en-AU"/>
          <w14:ligatures w14:val="standardContextual"/>
        </w:rPr>
        <w:tab/>
      </w:r>
      <w:r w:rsidRPr="00552F2A">
        <w:t>Regional infrastructure</w:t>
      </w:r>
      <w:r>
        <w:tab/>
      </w:r>
      <w:r>
        <w:fldChar w:fldCharType="begin"/>
      </w:r>
      <w:r>
        <w:instrText xml:space="preserve"> PAGEREF _Toc205367385 \h </w:instrText>
      </w:r>
      <w:r>
        <w:fldChar w:fldCharType="separate"/>
      </w:r>
      <w:r>
        <w:t>345</w:t>
      </w:r>
      <w:r>
        <w:fldChar w:fldCharType="end"/>
      </w:r>
    </w:p>
    <w:p w14:paraId="4DF081B8" w14:textId="21394040" w:rsidR="001E6D70" w:rsidRDefault="001E6D70">
      <w:pPr>
        <w:pStyle w:val="TOC3"/>
        <w:rPr>
          <w:rFonts w:asciiTheme="minorHAnsi" w:eastAsiaTheme="minorEastAsia" w:hAnsiTheme="minorHAnsi" w:cstheme="minorBidi"/>
          <w:kern w:val="2"/>
          <w:sz w:val="24"/>
          <w:lang w:eastAsia="en-AU"/>
          <w14:ligatures w14:val="standardContextual"/>
        </w:rPr>
      </w:pPr>
      <w:r w:rsidRPr="00552F2A">
        <w:t>8.2.11</w:t>
      </w:r>
      <w:r>
        <w:rPr>
          <w:rFonts w:asciiTheme="minorHAnsi" w:eastAsiaTheme="minorEastAsia" w:hAnsiTheme="minorHAnsi" w:cstheme="minorBidi"/>
          <w:kern w:val="2"/>
          <w:sz w:val="24"/>
          <w:lang w:eastAsia="en-AU"/>
          <w14:ligatures w14:val="standardContextual"/>
        </w:rPr>
        <w:tab/>
      </w:r>
      <w:r w:rsidRPr="00552F2A">
        <w:t>Scenic amenity</w:t>
      </w:r>
      <w:r>
        <w:tab/>
      </w:r>
      <w:r>
        <w:fldChar w:fldCharType="begin"/>
      </w:r>
      <w:r>
        <w:instrText xml:space="preserve"> PAGEREF _Toc205367386 \h </w:instrText>
      </w:r>
      <w:r>
        <w:fldChar w:fldCharType="separate"/>
      </w:r>
      <w:r>
        <w:t>354</w:t>
      </w:r>
      <w:r>
        <w:fldChar w:fldCharType="end"/>
      </w:r>
    </w:p>
    <w:p w14:paraId="1EAD40FE" w14:textId="35D7F722" w:rsidR="001E6D70" w:rsidRDefault="001E6D70">
      <w:pPr>
        <w:pStyle w:val="TOC3"/>
        <w:rPr>
          <w:rFonts w:asciiTheme="minorHAnsi" w:eastAsiaTheme="minorEastAsia" w:hAnsiTheme="minorHAnsi" w:cstheme="minorBidi"/>
          <w:kern w:val="2"/>
          <w:sz w:val="24"/>
          <w:lang w:eastAsia="en-AU"/>
          <w14:ligatures w14:val="standardContextual"/>
        </w:rPr>
      </w:pPr>
      <w:r w:rsidRPr="00552F2A">
        <w:t>8.2.12</w:t>
      </w:r>
      <w:r>
        <w:rPr>
          <w:rFonts w:asciiTheme="minorHAnsi" w:eastAsiaTheme="minorEastAsia" w:hAnsiTheme="minorHAnsi" w:cstheme="minorBidi"/>
          <w:kern w:val="2"/>
          <w:sz w:val="24"/>
          <w:lang w:eastAsia="en-AU"/>
          <w14:ligatures w14:val="standardContextual"/>
        </w:rPr>
        <w:tab/>
      </w:r>
      <w:r w:rsidRPr="00552F2A">
        <w:t>Steep land</w:t>
      </w:r>
      <w:r>
        <w:tab/>
      </w:r>
      <w:r>
        <w:fldChar w:fldCharType="begin"/>
      </w:r>
      <w:r>
        <w:instrText xml:space="preserve"> PAGEREF _Toc205367387 \h </w:instrText>
      </w:r>
      <w:r>
        <w:fldChar w:fldCharType="separate"/>
      </w:r>
      <w:r>
        <w:t>357</w:t>
      </w:r>
      <w:r>
        <w:fldChar w:fldCharType="end"/>
      </w:r>
    </w:p>
    <w:p w14:paraId="77A31F3F" w14:textId="46167563" w:rsidR="001E6D70" w:rsidRDefault="001E6D70">
      <w:pPr>
        <w:pStyle w:val="TOC3"/>
        <w:rPr>
          <w:rFonts w:asciiTheme="minorHAnsi" w:eastAsiaTheme="minorEastAsia" w:hAnsiTheme="minorHAnsi" w:cstheme="minorBidi"/>
          <w:kern w:val="2"/>
          <w:sz w:val="24"/>
          <w:lang w:eastAsia="en-AU"/>
          <w14:ligatures w14:val="standardContextual"/>
        </w:rPr>
      </w:pPr>
      <w:r w:rsidRPr="00552F2A">
        <w:t>8.2.13</w:t>
      </w:r>
      <w:r>
        <w:rPr>
          <w:rFonts w:asciiTheme="minorHAnsi" w:eastAsiaTheme="minorEastAsia" w:hAnsiTheme="minorHAnsi" w:cstheme="minorBidi"/>
          <w:kern w:val="2"/>
          <w:sz w:val="24"/>
          <w:lang w:eastAsia="en-AU"/>
          <w14:ligatures w14:val="standardContextual"/>
        </w:rPr>
        <w:tab/>
      </w:r>
      <w:r w:rsidRPr="00552F2A">
        <w:t>Water resource catchment</w:t>
      </w:r>
      <w:r>
        <w:tab/>
      </w:r>
      <w:r>
        <w:fldChar w:fldCharType="begin"/>
      </w:r>
      <w:r>
        <w:instrText xml:space="preserve"> PAGEREF _Toc205367388 \h </w:instrText>
      </w:r>
      <w:r>
        <w:fldChar w:fldCharType="separate"/>
      </w:r>
      <w:r>
        <w:t>359</w:t>
      </w:r>
      <w:r>
        <w:fldChar w:fldCharType="end"/>
      </w:r>
    </w:p>
    <w:p w14:paraId="47F29EF6" w14:textId="0D0127CF"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ascii="Arial" w:hAnsi="Arial"/>
        </w:rPr>
        <w:t>9</w:t>
      </w:r>
      <w:r>
        <w:rPr>
          <w:rFonts w:asciiTheme="minorHAnsi" w:eastAsiaTheme="minorEastAsia" w:hAnsiTheme="minorHAnsi" w:cstheme="minorBidi"/>
          <w:kern w:val="2"/>
          <w:sz w:val="24"/>
          <w:lang w:eastAsia="en-AU"/>
          <w14:ligatures w14:val="standardContextual"/>
        </w:rPr>
        <w:tab/>
      </w:r>
      <w:r w:rsidRPr="00552F2A">
        <w:rPr>
          <w:rFonts w:ascii="Arial" w:hAnsi="Arial"/>
        </w:rPr>
        <w:t>Development codes</w:t>
      </w:r>
      <w:r>
        <w:tab/>
      </w:r>
      <w:r>
        <w:fldChar w:fldCharType="begin"/>
      </w:r>
      <w:r>
        <w:instrText xml:space="preserve"> PAGEREF _Toc205367389 \h </w:instrText>
      </w:r>
      <w:r>
        <w:fldChar w:fldCharType="separate"/>
      </w:r>
      <w:r>
        <w:t>361</w:t>
      </w:r>
      <w:r>
        <w:fldChar w:fldCharType="end"/>
      </w:r>
    </w:p>
    <w:p w14:paraId="41C90C93" w14:textId="5738557D"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9.1</w:t>
      </w:r>
      <w:r>
        <w:rPr>
          <w:rFonts w:asciiTheme="minorHAnsi" w:eastAsiaTheme="minorEastAsia" w:hAnsiTheme="minorHAnsi" w:cstheme="minorBidi"/>
          <w:iCs w:val="0"/>
          <w:kern w:val="2"/>
          <w:sz w:val="24"/>
          <w:szCs w:val="24"/>
          <w:lang w:eastAsia="en-AU"/>
          <w14:ligatures w14:val="standardContextual"/>
        </w:rPr>
        <w:tab/>
      </w:r>
      <w:r w:rsidRPr="00552F2A">
        <w:t>Preliminary</w:t>
      </w:r>
      <w:r>
        <w:tab/>
      </w:r>
      <w:r>
        <w:fldChar w:fldCharType="begin"/>
      </w:r>
      <w:r>
        <w:instrText xml:space="preserve"> PAGEREF _Toc205367390 \h </w:instrText>
      </w:r>
      <w:r>
        <w:fldChar w:fldCharType="separate"/>
      </w:r>
      <w:r>
        <w:t>361</w:t>
      </w:r>
      <w:r>
        <w:fldChar w:fldCharType="end"/>
      </w:r>
    </w:p>
    <w:p w14:paraId="58F428A3" w14:textId="6A0472FF"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9.2</w:t>
      </w:r>
      <w:r>
        <w:rPr>
          <w:rFonts w:asciiTheme="minorHAnsi" w:eastAsiaTheme="minorEastAsia" w:hAnsiTheme="minorHAnsi" w:cstheme="minorBidi"/>
          <w:iCs w:val="0"/>
          <w:kern w:val="2"/>
          <w:sz w:val="24"/>
          <w:szCs w:val="24"/>
          <w:lang w:eastAsia="en-AU"/>
          <w14:ligatures w14:val="standardContextual"/>
        </w:rPr>
        <w:tab/>
      </w:r>
      <w:r w:rsidRPr="00552F2A">
        <w:t>Development that cannot be made assessable in accordance with Schedule 6 of the Planning Regulation 2017</w:t>
      </w:r>
      <w:r>
        <w:tab/>
      </w:r>
      <w:r>
        <w:fldChar w:fldCharType="begin"/>
      </w:r>
      <w:r>
        <w:instrText xml:space="preserve"> PAGEREF _Toc205367391 \h </w:instrText>
      </w:r>
      <w:r>
        <w:fldChar w:fldCharType="separate"/>
      </w:r>
      <w:r>
        <w:t>361</w:t>
      </w:r>
      <w:r>
        <w:fldChar w:fldCharType="end"/>
      </w:r>
    </w:p>
    <w:p w14:paraId="29C7C8C3" w14:textId="19DE58EC"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9.3</w:t>
      </w:r>
      <w:r>
        <w:rPr>
          <w:rFonts w:asciiTheme="minorHAnsi" w:eastAsiaTheme="minorEastAsia" w:hAnsiTheme="minorHAnsi" w:cstheme="minorBidi"/>
          <w:iCs w:val="0"/>
          <w:kern w:val="2"/>
          <w:sz w:val="24"/>
          <w:szCs w:val="24"/>
          <w:lang w:eastAsia="en-AU"/>
          <w14:ligatures w14:val="standardContextual"/>
        </w:rPr>
        <w:tab/>
      </w:r>
      <w:r w:rsidRPr="00552F2A">
        <w:t>Use codes</w:t>
      </w:r>
      <w:r>
        <w:tab/>
      </w:r>
      <w:r>
        <w:fldChar w:fldCharType="begin"/>
      </w:r>
      <w:r>
        <w:instrText xml:space="preserve"> PAGEREF _Toc205367392 \h </w:instrText>
      </w:r>
      <w:r>
        <w:fldChar w:fldCharType="separate"/>
      </w:r>
      <w:r>
        <w:t>362</w:t>
      </w:r>
      <w:r>
        <w:fldChar w:fldCharType="end"/>
      </w:r>
    </w:p>
    <w:p w14:paraId="706DA89E" w14:textId="233C927B" w:rsidR="001E6D70" w:rsidRDefault="001E6D70">
      <w:pPr>
        <w:pStyle w:val="TOC3"/>
        <w:rPr>
          <w:rFonts w:asciiTheme="minorHAnsi" w:eastAsiaTheme="minorEastAsia" w:hAnsiTheme="minorHAnsi" w:cstheme="minorBidi"/>
          <w:kern w:val="2"/>
          <w:sz w:val="24"/>
          <w:lang w:eastAsia="en-AU"/>
          <w14:ligatures w14:val="standardContextual"/>
        </w:rPr>
      </w:pPr>
      <w:r w:rsidRPr="00552F2A">
        <w:t>9.3.1</w:t>
      </w:r>
      <w:r>
        <w:rPr>
          <w:rFonts w:asciiTheme="minorHAnsi" w:eastAsiaTheme="minorEastAsia" w:hAnsiTheme="minorHAnsi" w:cstheme="minorBidi"/>
          <w:kern w:val="2"/>
          <w:sz w:val="24"/>
          <w:lang w:eastAsia="en-AU"/>
          <w14:ligatures w14:val="standardContextual"/>
        </w:rPr>
        <w:tab/>
      </w:r>
      <w:r w:rsidRPr="00552F2A">
        <w:t>Advertising devices</w:t>
      </w:r>
      <w:r>
        <w:tab/>
      </w:r>
      <w:r>
        <w:fldChar w:fldCharType="begin"/>
      </w:r>
      <w:r>
        <w:instrText xml:space="preserve"> PAGEREF _Toc205367393 \h </w:instrText>
      </w:r>
      <w:r>
        <w:fldChar w:fldCharType="separate"/>
      </w:r>
      <w:r>
        <w:t>362</w:t>
      </w:r>
      <w:r>
        <w:fldChar w:fldCharType="end"/>
      </w:r>
    </w:p>
    <w:p w14:paraId="39EAB60D" w14:textId="6006FA78" w:rsidR="001E6D70" w:rsidRDefault="001E6D70">
      <w:pPr>
        <w:pStyle w:val="TOC3"/>
        <w:rPr>
          <w:rFonts w:asciiTheme="minorHAnsi" w:eastAsiaTheme="minorEastAsia" w:hAnsiTheme="minorHAnsi" w:cstheme="minorBidi"/>
          <w:kern w:val="2"/>
          <w:sz w:val="24"/>
          <w:lang w:eastAsia="en-AU"/>
          <w14:ligatures w14:val="standardContextual"/>
        </w:rPr>
      </w:pPr>
      <w:r w:rsidRPr="00552F2A">
        <w:t>9.3.2</w:t>
      </w:r>
      <w:r>
        <w:rPr>
          <w:rFonts w:asciiTheme="minorHAnsi" w:eastAsiaTheme="minorEastAsia" w:hAnsiTheme="minorHAnsi" w:cstheme="minorBidi"/>
          <w:kern w:val="2"/>
          <w:sz w:val="24"/>
          <w:lang w:eastAsia="en-AU"/>
          <w14:ligatures w14:val="standardContextual"/>
        </w:rPr>
        <w:tab/>
      </w:r>
      <w:r w:rsidRPr="00552F2A">
        <w:t>Development design</w:t>
      </w:r>
      <w:r>
        <w:tab/>
      </w:r>
      <w:r>
        <w:fldChar w:fldCharType="begin"/>
      </w:r>
      <w:r>
        <w:instrText xml:space="preserve"> PAGEREF _Toc205367394 \h </w:instrText>
      </w:r>
      <w:r>
        <w:fldChar w:fldCharType="separate"/>
      </w:r>
      <w:r>
        <w:t>367</w:t>
      </w:r>
      <w:r>
        <w:fldChar w:fldCharType="end"/>
      </w:r>
    </w:p>
    <w:p w14:paraId="7C56E5EA" w14:textId="673FEEF2" w:rsidR="001E6D70" w:rsidRDefault="001E6D70">
      <w:pPr>
        <w:pStyle w:val="TOC3"/>
        <w:rPr>
          <w:rFonts w:asciiTheme="minorHAnsi" w:eastAsiaTheme="minorEastAsia" w:hAnsiTheme="minorHAnsi" w:cstheme="minorBidi"/>
          <w:kern w:val="2"/>
          <w:sz w:val="24"/>
          <w:lang w:eastAsia="en-AU"/>
          <w14:ligatures w14:val="standardContextual"/>
        </w:rPr>
      </w:pPr>
      <w:r w:rsidRPr="00552F2A">
        <w:t>9.3.3</w:t>
      </w:r>
      <w:r>
        <w:rPr>
          <w:rFonts w:asciiTheme="minorHAnsi" w:eastAsiaTheme="minorEastAsia" w:hAnsiTheme="minorHAnsi" w:cstheme="minorBidi"/>
          <w:kern w:val="2"/>
          <w:sz w:val="24"/>
          <w:lang w:eastAsia="en-AU"/>
          <w14:ligatures w14:val="standardContextual"/>
        </w:rPr>
        <w:tab/>
      </w:r>
      <w:r w:rsidRPr="00552F2A">
        <w:t>Extractive industry</w:t>
      </w:r>
      <w:r>
        <w:tab/>
      </w:r>
      <w:r>
        <w:fldChar w:fldCharType="begin"/>
      </w:r>
      <w:r>
        <w:instrText xml:space="preserve"> PAGEREF _Toc205367395 \h </w:instrText>
      </w:r>
      <w:r>
        <w:fldChar w:fldCharType="separate"/>
      </w:r>
      <w:r>
        <w:t>382</w:t>
      </w:r>
      <w:r>
        <w:fldChar w:fldCharType="end"/>
      </w:r>
    </w:p>
    <w:p w14:paraId="2CBF3001" w14:textId="394873E8" w:rsidR="001E6D70" w:rsidRDefault="001E6D70">
      <w:pPr>
        <w:pStyle w:val="TOC3"/>
        <w:rPr>
          <w:rFonts w:asciiTheme="minorHAnsi" w:eastAsiaTheme="minorEastAsia" w:hAnsiTheme="minorHAnsi" w:cstheme="minorBidi"/>
          <w:kern w:val="2"/>
          <w:sz w:val="24"/>
          <w:lang w:eastAsia="en-AU"/>
          <w14:ligatures w14:val="standardContextual"/>
        </w:rPr>
      </w:pPr>
      <w:r w:rsidRPr="00552F2A">
        <w:t>9.3.4</w:t>
      </w:r>
      <w:r>
        <w:rPr>
          <w:rFonts w:asciiTheme="minorHAnsi" w:eastAsiaTheme="minorEastAsia" w:hAnsiTheme="minorHAnsi" w:cstheme="minorBidi"/>
          <w:kern w:val="2"/>
          <w:sz w:val="24"/>
          <w:lang w:eastAsia="en-AU"/>
          <w14:ligatures w14:val="standardContextual"/>
        </w:rPr>
        <w:tab/>
      </w:r>
      <w:r w:rsidRPr="00552F2A">
        <w:t>Home based business</w:t>
      </w:r>
      <w:r>
        <w:tab/>
      </w:r>
      <w:r>
        <w:fldChar w:fldCharType="begin"/>
      </w:r>
      <w:r>
        <w:instrText xml:space="preserve"> PAGEREF _Toc205367396 \h </w:instrText>
      </w:r>
      <w:r>
        <w:fldChar w:fldCharType="separate"/>
      </w:r>
      <w:r>
        <w:t>385</w:t>
      </w:r>
      <w:r>
        <w:fldChar w:fldCharType="end"/>
      </w:r>
    </w:p>
    <w:p w14:paraId="3DA162B7" w14:textId="69ED6593" w:rsidR="001E6D70" w:rsidRDefault="001E6D70">
      <w:pPr>
        <w:pStyle w:val="TOC3"/>
        <w:rPr>
          <w:rFonts w:asciiTheme="minorHAnsi" w:eastAsiaTheme="minorEastAsia" w:hAnsiTheme="minorHAnsi" w:cstheme="minorBidi"/>
          <w:kern w:val="2"/>
          <w:sz w:val="24"/>
          <w:lang w:eastAsia="en-AU"/>
          <w14:ligatures w14:val="standardContextual"/>
        </w:rPr>
      </w:pPr>
      <w:r w:rsidRPr="00552F2A">
        <w:t>9.3.5</w:t>
      </w:r>
      <w:r>
        <w:rPr>
          <w:rFonts w:asciiTheme="minorHAnsi" w:eastAsiaTheme="minorEastAsia" w:hAnsiTheme="minorHAnsi" w:cstheme="minorBidi"/>
          <w:kern w:val="2"/>
          <w:sz w:val="24"/>
          <w:lang w:eastAsia="en-AU"/>
          <w14:ligatures w14:val="standardContextual"/>
        </w:rPr>
        <w:tab/>
      </w:r>
      <w:r w:rsidRPr="00552F2A">
        <w:t>Landscaping</w:t>
      </w:r>
      <w:r>
        <w:tab/>
      </w:r>
      <w:r>
        <w:fldChar w:fldCharType="begin"/>
      </w:r>
      <w:r>
        <w:instrText xml:space="preserve"> PAGEREF _Toc205367397 \h </w:instrText>
      </w:r>
      <w:r>
        <w:fldChar w:fldCharType="separate"/>
      </w:r>
      <w:r>
        <w:t>387</w:t>
      </w:r>
      <w:r>
        <w:fldChar w:fldCharType="end"/>
      </w:r>
    </w:p>
    <w:p w14:paraId="7354E3D7" w14:textId="56E7FA65" w:rsidR="001E6D70" w:rsidRDefault="001E6D70">
      <w:pPr>
        <w:pStyle w:val="TOC3"/>
        <w:rPr>
          <w:rFonts w:asciiTheme="minorHAnsi" w:eastAsiaTheme="minorEastAsia" w:hAnsiTheme="minorHAnsi" w:cstheme="minorBidi"/>
          <w:kern w:val="2"/>
          <w:sz w:val="24"/>
          <w:lang w:eastAsia="en-AU"/>
          <w14:ligatures w14:val="standardContextual"/>
        </w:rPr>
      </w:pPr>
      <w:r w:rsidRPr="00552F2A">
        <w:t>9.3.6</w:t>
      </w:r>
      <w:r>
        <w:rPr>
          <w:rFonts w:asciiTheme="minorHAnsi" w:eastAsiaTheme="minorEastAsia" w:hAnsiTheme="minorHAnsi" w:cstheme="minorBidi"/>
          <w:kern w:val="2"/>
          <w:sz w:val="24"/>
          <w:lang w:eastAsia="en-AU"/>
          <w14:ligatures w14:val="standardContextual"/>
        </w:rPr>
        <w:tab/>
      </w:r>
      <w:r w:rsidRPr="00552F2A">
        <w:t>Operational works</w:t>
      </w:r>
      <w:r>
        <w:tab/>
      </w:r>
      <w:r>
        <w:fldChar w:fldCharType="begin"/>
      </w:r>
      <w:r>
        <w:instrText xml:space="preserve"> PAGEREF _Toc205367398 \h </w:instrText>
      </w:r>
      <w:r>
        <w:fldChar w:fldCharType="separate"/>
      </w:r>
      <w:r>
        <w:t>398</w:t>
      </w:r>
      <w:r>
        <w:fldChar w:fldCharType="end"/>
      </w:r>
    </w:p>
    <w:p w14:paraId="1AB59563" w14:textId="4CF9A48B" w:rsidR="001E6D70" w:rsidRDefault="001E6D70">
      <w:pPr>
        <w:pStyle w:val="TOC3"/>
        <w:rPr>
          <w:rFonts w:asciiTheme="minorHAnsi" w:eastAsiaTheme="minorEastAsia" w:hAnsiTheme="minorHAnsi" w:cstheme="minorBidi"/>
          <w:kern w:val="2"/>
          <w:sz w:val="24"/>
          <w:lang w:eastAsia="en-AU"/>
          <w14:ligatures w14:val="standardContextual"/>
        </w:rPr>
      </w:pPr>
      <w:r w:rsidRPr="00552F2A">
        <w:t>9.3.7</w:t>
      </w:r>
      <w:r>
        <w:rPr>
          <w:rFonts w:asciiTheme="minorHAnsi" w:eastAsiaTheme="minorEastAsia" w:hAnsiTheme="minorHAnsi" w:cstheme="minorBidi"/>
          <w:kern w:val="2"/>
          <w:sz w:val="24"/>
          <w:lang w:eastAsia="en-AU"/>
          <w14:ligatures w14:val="standardContextual"/>
        </w:rPr>
        <w:tab/>
      </w:r>
      <w:r w:rsidRPr="00552F2A">
        <w:t>Reconfiguring a lot</w:t>
      </w:r>
      <w:r>
        <w:tab/>
      </w:r>
      <w:r>
        <w:fldChar w:fldCharType="begin"/>
      </w:r>
      <w:r>
        <w:instrText xml:space="preserve"> PAGEREF _Toc205367399 \h </w:instrText>
      </w:r>
      <w:r>
        <w:fldChar w:fldCharType="separate"/>
      </w:r>
      <w:r>
        <w:t>404</w:t>
      </w:r>
      <w:r>
        <w:fldChar w:fldCharType="end"/>
      </w:r>
    </w:p>
    <w:p w14:paraId="4330A831" w14:textId="60224DBB" w:rsidR="001E6D70" w:rsidRDefault="001E6D70">
      <w:pPr>
        <w:pStyle w:val="TOC3"/>
        <w:rPr>
          <w:rFonts w:asciiTheme="minorHAnsi" w:eastAsiaTheme="minorEastAsia" w:hAnsiTheme="minorHAnsi" w:cstheme="minorBidi"/>
          <w:kern w:val="2"/>
          <w:sz w:val="24"/>
          <w:lang w:eastAsia="en-AU"/>
          <w14:ligatures w14:val="standardContextual"/>
        </w:rPr>
      </w:pPr>
      <w:r w:rsidRPr="00552F2A">
        <w:t>9.3.8</w:t>
      </w:r>
      <w:r>
        <w:rPr>
          <w:rFonts w:asciiTheme="minorHAnsi" w:eastAsiaTheme="minorEastAsia" w:hAnsiTheme="minorHAnsi" w:cstheme="minorBidi"/>
          <w:kern w:val="2"/>
          <w:sz w:val="24"/>
          <w:lang w:eastAsia="en-AU"/>
          <w14:ligatures w14:val="standardContextual"/>
        </w:rPr>
        <w:tab/>
      </w:r>
      <w:r w:rsidRPr="00552F2A">
        <w:t>Telecommunications facility use</w:t>
      </w:r>
      <w:r>
        <w:tab/>
      </w:r>
      <w:r>
        <w:fldChar w:fldCharType="begin"/>
      </w:r>
      <w:r>
        <w:instrText xml:space="preserve"> PAGEREF _Toc205367400 \h </w:instrText>
      </w:r>
      <w:r>
        <w:fldChar w:fldCharType="separate"/>
      </w:r>
      <w:r>
        <w:t>414</w:t>
      </w:r>
      <w:r>
        <w:fldChar w:fldCharType="end"/>
      </w:r>
    </w:p>
    <w:p w14:paraId="3CB1469A" w14:textId="0D25EBF1"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ascii="Arial" w:hAnsi="Arial"/>
        </w:rPr>
        <w:t>10</w:t>
      </w:r>
      <w:r>
        <w:rPr>
          <w:rFonts w:asciiTheme="minorHAnsi" w:eastAsiaTheme="minorEastAsia" w:hAnsiTheme="minorHAnsi" w:cstheme="minorBidi"/>
          <w:kern w:val="2"/>
          <w:sz w:val="24"/>
          <w:lang w:eastAsia="en-AU"/>
          <w14:ligatures w14:val="standardContextual"/>
        </w:rPr>
        <w:tab/>
      </w:r>
      <w:r w:rsidRPr="00552F2A">
        <w:rPr>
          <w:rFonts w:ascii="Arial" w:hAnsi="Arial"/>
        </w:rPr>
        <w:t>Other plans</w:t>
      </w:r>
      <w:r>
        <w:tab/>
      </w:r>
      <w:r>
        <w:fldChar w:fldCharType="begin"/>
      </w:r>
      <w:r>
        <w:instrText xml:space="preserve"> PAGEREF _Toc205367401 \h </w:instrText>
      </w:r>
      <w:r>
        <w:fldChar w:fldCharType="separate"/>
      </w:r>
      <w:r>
        <w:t>416</w:t>
      </w:r>
      <w:r>
        <w:fldChar w:fldCharType="end"/>
      </w:r>
    </w:p>
    <w:p w14:paraId="77EE63E0" w14:textId="4712B44D"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10.1</w:t>
      </w:r>
      <w:r>
        <w:rPr>
          <w:rFonts w:asciiTheme="minorHAnsi" w:eastAsiaTheme="minorEastAsia" w:hAnsiTheme="minorHAnsi" w:cstheme="minorBidi"/>
          <w:iCs w:val="0"/>
          <w:kern w:val="2"/>
          <w:sz w:val="24"/>
          <w:szCs w:val="24"/>
          <w:lang w:eastAsia="en-AU"/>
          <w14:ligatures w14:val="standardContextual"/>
        </w:rPr>
        <w:tab/>
      </w:r>
      <w:r w:rsidRPr="00552F2A">
        <w:t xml:space="preserve">State Development Areas – </w:t>
      </w:r>
      <w:r w:rsidRPr="00552F2A">
        <w:rPr>
          <w:i/>
        </w:rPr>
        <w:t>State Development and Public Works Organisation Act 1971</w:t>
      </w:r>
      <w:r>
        <w:tab/>
      </w:r>
      <w:r>
        <w:fldChar w:fldCharType="begin"/>
      </w:r>
      <w:r>
        <w:instrText xml:space="preserve"> PAGEREF _Toc205367402 \h </w:instrText>
      </w:r>
      <w:r>
        <w:fldChar w:fldCharType="separate"/>
      </w:r>
      <w:r>
        <w:t>416</w:t>
      </w:r>
      <w:r>
        <w:fldChar w:fldCharType="end"/>
      </w:r>
    </w:p>
    <w:p w14:paraId="0F7A71BA" w14:textId="562EB12D" w:rsidR="001E6D70" w:rsidRDefault="001E6D70">
      <w:pPr>
        <w:pStyle w:val="TOC3"/>
        <w:rPr>
          <w:rFonts w:asciiTheme="minorHAnsi" w:eastAsiaTheme="minorEastAsia" w:hAnsiTheme="minorHAnsi" w:cstheme="minorBidi"/>
          <w:kern w:val="2"/>
          <w:sz w:val="24"/>
          <w:lang w:eastAsia="en-AU"/>
          <w14:ligatures w14:val="standardContextual"/>
        </w:rPr>
      </w:pPr>
      <w:r w:rsidRPr="00552F2A">
        <w:t>10.1.1</w:t>
      </w:r>
      <w:r>
        <w:rPr>
          <w:rFonts w:asciiTheme="minorHAnsi" w:eastAsiaTheme="minorEastAsia" w:hAnsiTheme="minorHAnsi" w:cstheme="minorBidi"/>
          <w:kern w:val="2"/>
          <w:sz w:val="24"/>
          <w:lang w:eastAsia="en-AU"/>
          <w14:ligatures w14:val="standardContextual"/>
        </w:rPr>
        <w:tab/>
      </w:r>
      <w:r w:rsidRPr="00552F2A">
        <w:t>Gladstone State Development Area</w:t>
      </w:r>
      <w:r>
        <w:tab/>
      </w:r>
      <w:r>
        <w:fldChar w:fldCharType="begin"/>
      </w:r>
      <w:r>
        <w:instrText xml:space="preserve"> PAGEREF _Toc205367403 \h </w:instrText>
      </w:r>
      <w:r>
        <w:fldChar w:fldCharType="separate"/>
      </w:r>
      <w:r>
        <w:t>416</w:t>
      </w:r>
      <w:r>
        <w:fldChar w:fldCharType="end"/>
      </w:r>
    </w:p>
    <w:p w14:paraId="6769AF08" w14:textId="6BCA8472" w:rsidR="001E6D70" w:rsidRDefault="001E6D70">
      <w:pPr>
        <w:pStyle w:val="TOC3"/>
        <w:rPr>
          <w:rFonts w:asciiTheme="minorHAnsi" w:eastAsiaTheme="minorEastAsia" w:hAnsiTheme="minorHAnsi" w:cstheme="minorBidi"/>
          <w:kern w:val="2"/>
          <w:sz w:val="24"/>
          <w:lang w:eastAsia="en-AU"/>
          <w14:ligatures w14:val="standardContextual"/>
        </w:rPr>
      </w:pPr>
      <w:r w:rsidRPr="00552F2A">
        <w:t>10.1.2</w:t>
      </w:r>
      <w:r>
        <w:rPr>
          <w:rFonts w:asciiTheme="minorHAnsi" w:eastAsiaTheme="minorEastAsia" w:hAnsiTheme="minorHAnsi" w:cstheme="minorBidi"/>
          <w:kern w:val="2"/>
          <w:sz w:val="24"/>
          <w:lang w:eastAsia="en-AU"/>
          <w14:ligatures w14:val="standardContextual"/>
        </w:rPr>
        <w:tab/>
      </w:r>
      <w:r w:rsidRPr="00552F2A">
        <w:t>Callide Infrastructure Corridor State Development Area</w:t>
      </w:r>
      <w:r>
        <w:tab/>
      </w:r>
      <w:r>
        <w:fldChar w:fldCharType="begin"/>
      </w:r>
      <w:r>
        <w:instrText xml:space="preserve"> PAGEREF _Toc205367404 \h </w:instrText>
      </w:r>
      <w:r>
        <w:fldChar w:fldCharType="separate"/>
      </w:r>
      <w:r>
        <w:t>416</w:t>
      </w:r>
      <w:r>
        <w:fldChar w:fldCharType="end"/>
      </w:r>
    </w:p>
    <w:p w14:paraId="5C6CA42A" w14:textId="6553333D" w:rsidR="001E6D70" w:rsidRDefault="001E6D70">
      <w:pPr>
        <w:pStyle w:val="TOC3"/>
        <w:rPr>
          <w:rFonts w:asciiTheme="minorHAnsi" w:eastAsiaTheme="minorEastAsia" w:hAnsiTheme="minorHAnsi" w:cstheme="minorBidi"/>
          <w:kern w:val="2"/>
          <w:sz w:val="24"/>
          <w:lang w:eastAsia="en-AU"/>
          <w14:ligatures w14:val="standardContextual"/>
        </w:rPr>
      </w:pPr>
      <w:r w:rsidRPr="00552F2A">
        <w:t>10.1.3</w:t>
      </w:r>
      <w:r>
        <w:rPr>
          <w:rFonts w:asciiTheme="minorHAnsi" w:eastAsiaTheme="minorEastAsia" w:hAnsiTheme="minorHAnsi" w:cstheme="minorBidi"/>
          <w:kern w:val="2"/>
          <w:sz w:val="24"/>
          <w:lang w:eastAsia="en-AU"/>
          <w14:ligatures w14:val="standardContextual"/>
        </w:rPr>
        <w:tab/>
      </w:r>
      <w:r w:rsidRPr="00552F2A">
        <w:t>Stanwell–Gladstone Infrastructure Corridor State Development Area</w:t>
      </w:r>
      <w:r>
        <w:tab/>
      </w:r>
      <w:r>
        <w:fldChar w:fldCharType="begin"/>
      </w:r>
      <w:r>
        <w:instrText xml:space="preserve"> PAGEREF _Toc205367405 \h </w:instrText>
      </w:r>
      <w:r>
        <w:fldChar w:fldCharType="separate"/>
      </w:r>
      <w:r>
        <w:t>417</w:t>
      </w:r>
      <w:r>
        <w:fldChar w:fldCharType="end"/>
      </w:r>
    </w:p>
    <w:p w14:paraId="4EE2CC6E" w14:textId="79590578"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10.2</w:t>
      </w:r>
      <w:r>
        <w:rPr>
          <w:rFonts w:asciiTheme="minorHAnsi" w:eastAsiaTheme="minorEastAsia" w:hAnsiTheme="minorHAnsi" w:cstheme="minorBidi"/>
          <w:iCs w:val="0"/>
          <w:kern w:val="2"/>
          <w:sz w:val="24"/>
          <w:szCs w:val="24"/>
          <w:lang w:eastAsia="en-AU"/>
          <w14:ligatures w14:val="standardContextual"/>
        </w:rPr>
        <w:tab/>
      </w:r>
      <w:r w:rsidRPr="00552F2A">
        <w:t>Port of Gladstone and Port Alma (part)</w:t>
      </w:r>
      <w:r>
        <w:tab/>
      </w:r>
      <w:r>
        <w:fldChar w:fldCharType="begin"/>
      </w:r>
      <w:r>
        <w:instrText xml:space="preserve"> PAGEREF _Toc205367406 \h </w:instrText>
      </w:r>
      <w:r>
        <w:fldChar w:fldCharType="separate"/>
      </w:r>
      <w:r>
        <w:t>417</w:t>
      </w:r>
      <w:r>
        <w:fldChar w:fldCharType="end"/>
      </w:r>
    </w:p>
    <w:p w14:paraId="6DC96463" w14:textId="24C109B7"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t>10.3</w:t>
      </w:r>
      <w:r>
        <w:rPr>
          <w:rFonts w:asciiTheme="minorHAnsi" w:eastAsiaTheme="minorEastAsia" w:hAnsiTheme="minorHAnsi" w:cstheme="minorBidi"/>
          <w:iCs w:val="0"/>
          <w:kern w:val="2"/>
          <w:sz w:val="24"/>
          <w:szCs w:val="24"/>
          <w:lang w:eastAsia="en-AU"/>
          <w14:ligatures w14:val="standardContextual"/>
        </w:rPr>
        <w:tab/>
      </w:r>
      <w:r w:rsidRPr="00552F2A">
        <w:t xml:space="preserve">Priority Development Areas – </w:t>
      </w:r>
      <w:r w:rsidRPr="00552F2A">
        <w:rPr>
          <w:i/>
        </w:rPr>
        <w:t>Economic Development Act 2012</w:t>
      </w:r>
      <w:r>
        <w:tab/>
      </w:r>
      <w:r>
        <w:fldChar w:fldCharType="begin"/>
      </w:r>
      <w:r>
        <w:instrText xml:space="preserve"> PAGEREF _Toc205367407 \h </w:instrText>
      </w:r>
      <w:r>
        <w:fldChar w:fldCharType="separate"/>
      </w:r>
      <w:r>
        <w:t>417</w:t>
      </w:r>
      <w:r>
        <w:fldChar w:fldCharType="end"/>
      </w:r>
    </w:p>
    <w:p w14:paraId="621D0E4B" w14:textId="77C7BDD5"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eastAsia="Calibri"/>
        </w:rPr>
        <w:t>10.3.1</w:t>
      </w:r>
      <w:r>
        <w:rPr>
          <w:rFonts w:asciiTheme="minorHAnsi" w:eastAsiaTheme="minorEastAsia" w:hAnsiTheme="minorHAnsi" w:cstheme="minorBidi"/>
          <w:kern w:val="2"/>
          <w:sz w:val="24"/>
          <w:lang w:eastAsia="en-AU"/>
          <w14:ligatures w14:val="standardContextual"/>
        </w:rPr>
        <w:tab/>
      </w:r>
      <w:r w:rsidRPr="00552F2A">
        <w:rPr>
          <w:rFonts w:eastAsia="Calibri"/>
        </w:rPr>
        <w:t>Clinton, Gladstone</w:t>
      </w:r>
      <w:r>
        <w:tab/>
      </w:r>
      <w:r>
        <w:fldChar w:fldCharType="begin"/>
      </w:r>
      <w:r>
        <w:instrText xml:space="preserve"> PAGEREF _Toc205367408 \h </w:instrText>
      </w:r>
      <w:r>
        <w:fldChar w:fldCharType="separate"/>
      </w:r>
      <w:r>
        <w:t>417</w:t>
      </w:r>
      <w:r>
        <w:fldChar w:fldCharType="end"/>
      </w:r>
    </w:p>
    <w:p w14:paraId="0FBA357B" w14:textId="6D9A4B87"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eastAsia="Calibri"/>
        </w:rPr>
        <w:t>10.3.2</w:t>
      </w:r>
      <w:r>
        <w:rPr>
          <w:rFonts w:asciiTheme="minorHAnsi" w:eastAsiaTheme="minorEastAsia" w:hAnsiTheme="minorHAnsi" w:cstheme="minorBidi"/>
          <w:kern w:val="2"/>
          <w:sz w:val="24"/>
          <w:lang w:eastAsia="en-AU"/>
          <w14:ligatures w14:val="standardContextual"/>
        </w:rPr>
        <w:tab/>
      </w:r>
      <w:r w:rsidRPr="00552F2A">
        <w:rPr>
          <w:rFonts w:eastAsia="Calibri"/>
        </w:rPr>
        <w:t>Tannum Sands</w:t>
      </w:r>
      <w:r>
        <w:tab/>
      </w:r>
      <w:r>
        <w:fldChar w:fldCharType="begin"/>
      </w:r>
      <w:r>
        <w:instrText xml:space="preserve"> PAGEREF _Toc205367409 \h </w:instrText>
      </w:r>
      <w:r>
        <w:fldChar w:fldCharType="separate"/>
      </w:r>
      <w:r>
        <w:t>418</w:t>
      </w:r>
      <w:r>
        <w:fldChar w:fldCharType="end"/>
      </w:r>
    </w:p>
    <w:p w14:paraId="75A2682D" w14:textId="2AB72ECA"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eastAsia="Calibri"/>
        </w:rPr>
        <w:lastRenderedPageBreak/>
        <w:t>10.3.3</w:t>
      </w:r>
      <w:r>
        <w:rPr>
          <w:rFonts w:asciiTheme="minorHAnsi" w:eastAsiaTheme="minorEastAsia" w:hAnsiTheme="minorHAnsi" w:cstheme="minorBidi"/>
          <w:kern w:val="2"/>
          <w:sz w:val="24"/>
          <w:lang w:eastAsia="en-AU"/>
          <w14:ligatures w14:val="standardContextual"/>
        </w:rPr>
        <w:tab/>
      </w:r>
      <w:r w:rsidRPr="00552F2A">
        <w:rPr>
          <w:rFonts w:eastAsia="Calibri"/>
        </w:rPr>
        <w:t>Toolooa</w:t>
      </w:r>
      <w:r>
        <w:tab/>
      </w:r>
      <w:r>
        <w:fldChar w:fldCharType="begin"/>
      </w:r>
      <w:r>
        <w:instrText xml:space="preserve"> PAGEREF _Toc205367410 \h </w:instrText>
      </w:r>
      <w:r>
        <w:fldChar w:fldCharType="separate"/>
      </w:r>
      <w:r>
        <w:t>418</w:t>
      </w:r>
      <w:r>
        <w:fldChar w:fldCharType="end"/>
      </w:r>
    </w:p>
    <w:p w14:paraId="728384E6" w14:textId="547BA091"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ascii="Arial" w:eastAsiaTheme="majorEastAsia" w:hAnsi="Arial"/>
        </w:rPr>
        <w:t>Schedule 1</w:t>
      </w:r>
      <w:r>
        <w:rPr>
          <w:rFonts w:asciiTheme="minorHAnsi" w:eastAsiaTheme="minorEastAsia" w:hAnsiTheme="minorHAnsi" w:cstheme="minorBidi"/>
          <w:kern w:val="2"/>
          <w:sz w:val="24"/>
          <w:lang w:eastAsia="en-AU"/>
          <w14:ligatures w14:val="standardContextual"/>
        </w:rPr>
        <w:tab/>
      </w:r>
      <w:r w:rsidRPr="00552F2A">
        <w:rPr>
          <w:rFonts w:ascii="Arial" w:hAnsi="Arial"/>
        </w:rPr>
        <w:t>Definitions</w:t>
      </w:r>
      <w:r>
        <w:tab/>
      </w:r>
      <w:r>
        <w:fldChar w:fldCharType="begin"/>
      </w:r>
      <w:r>
        <w:instrText xml:space="preserve"> PAGEREF _Toc205367411 \h </w:instrText>
      </w:r>
      <w:r>
        <w:fldChar w:fldCharType="separate"/>
      </w:r>
      <w:r>
        <w:t>418</w:t>
      </w:r>
      <w:r>
        <w:fldChar w:fldCharType="end"/>
      </w:r>
    </w:p>
    <w:p w14:paraId="3A8E63D1" w14:textId="21ACF20C"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SC1.1</w:t>
      </w:r>
      <w:r>
        <w:rPr>
          <w:rFonts w:asciiTheme="minorHAnsi" w:eastAsiaTheme="minorEastAsia" w:hAnsiTheme="minorHAnsi" w:cstheme="minorBidi"/>
          <w:iCs w:val="0"/>
          <w:kern w:val="2"/>
          <w:sz w:val="24"/>
          <w:szCs w:val="24"/>
          <w:lang w:eastAsia="en-AU"/>
          <w14:ligatures w14:val="standardContextual"/>
        </w:rPr>
        <w:tab/>
      </w:r>
      <w:r w:rsidRPr="00552F2A">
        <w:rPr>
          <w:rFonts w:cs="Arial"/>
        </w:rPr>
        <w:t>Use definitions</w:t>
      </w:r>
      <w:r>
        <w:tab/>
      </w:r>
      <w:r>
        <w:fldChar w:fldCharType="begin"/>
      </w:r>
      <w:r>
        <w:instrText xml:space="preserve"> PAGEREF _Toc205367412 \h </w:instrText>
      </w:r>
      <w:r>
        <w:fldChar w:fldCharType="separate"/>
      </w:r>
      <w:r>
        <w:t>418</w:t>
      </w:r>
      <w:r>
        <w:fldChar w:fldCharType="end"/>
      </w:r>
    </w:p>
    <w:p w14:paraId="039810F0" w14:textId="33A35A85"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SC1.1.1</w:t>
      </w:r>
      <w:r>
        <w:rPr>
          <w:rFonts w:asciiTheme="minorHAnsi" w:eastAsiaTheme="minorEastAsia" w:hAnsiTheme="minorHAnsi" w:cstheme="minorBidi"/>
          <w:kern w:val="2"/>
          <w:sz w:val="24"/>
          <w:lang w:eastAsia="en-AU"/>
          <w14:ligatures w14:val="standardContextual"/>
        </w:rPr>
        <w:tab/>
      </w:r>
      <w:r w:rsidRPr="00552F2A">
        <w:rPr>
          <w:rFonts w:cs="Arial"/>
        </w:rPr>
        <w:t>Defined activity groups</w:t>
      </w:r>
      <w:r>
        <w:tab/>
      </w:r>
      <w:r>
        <w:fldChar w:fldCharType="begin"/>
      </w:r>
      <w:r>
        <w:instrText xml:space="preserve"> PAGEREF _Toc205367413 \h </w:instrText>
      </w:r>
      <w:r>
        <w:fldChar w:fldCharType="separate"/>
      </w:r>
      <w:r>
        <w:t>437</w:t>
      </w:r>
      <w:r>
        <w:fldChar w:fldCharType="end"/>
      </w:r>
    </w:p>
    <w:p w14:paraId="7BCE69A7" w14:textId="3AB716B4"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SC1.1.2</w:t>
      </w:r>
      <w:r>
        <w:rPr>
          <w:rFonts w:asciiTheme="minorHAnsi" w:eastAsiaTheme="minorEastAsia" w:hAnsiTheme="minorHAnsi" w:cstheme="minorBidi"/>
          <w:kern w:val="2"/>
          <w:sz w:val="24"/>
          <w:lang w:eastAsia="en-AU"/>
          <w14:ligatures w14:val="standardContextual"/>
        </w:rPr>
        <w:tab/>
      </w:r>
      <w:r w:rsidRPr="00552F2A">
        <w:rPr>
          <w:rFonts w:cs="Arial"/>
        </w:rPr>
        <w:t>Industry thresholds</w:t>
      </w:r>
      <w:r>
        <w:tab/>
      </w:r>
      <w:r>
        <w:fldChar w:fldCharType="begin"/>
      </w:r>
      <w:r>
        <w:instrText xml:space="preserve"> PAGEREF _Toc205367414 \h </w:instrText>
      </w:r>
      <w:r>
        <w:fldChar w:fldCharType="separate"/>
      </w:r>
      <w:r>
        <w:t>437</w:t>
      </w:r>
      <w:r>
        <w:fldChar w:fldCharType="end"/>
      </w:r>
    </w:p>
    <w:p w14:paraId="38B81ACA" w14:textId="3355C044"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SC1.2</w:t>
      </w:r>
      <w:r>
        <w:rPr>
          <w:rFonts w:asciiTheme="minorHAnsi" w:eastAsiaTheme="minorEastAsia" w:hAnsiTheme="minorHAnsi" w:cstheme="minorBidi"/>
          <w:iCs w:val="0"/>
          <w:kern w:val="2"/>
          <w:sz w:val="24"/>
          <w:szCs w:val="24"/>
          <w:lang w:eastAsia="en-AU"/>
          <w14:ligatures w14:val="standardContextual"/>
        </w:rPr>
        <w:tab/>
      </w:r>
      <w:r w:rsidRPr="00552F2A">
        <w:rPr>
          <w:rFonts w:cs="Arial"/>
        </w:rPr>
        <w:t>Administrative definitions</w:t>
      </w:r>
      <w:r>
        <w:tab/>
      </w:r>
      <w:r>
        <w:fldChar w:fldCharType="begin"/>
      </w:r>
      <w:r>
        <w:instrText xml:space="preserve"> PAGEREF _Toc205367415 \h </w:instrText>
      </w:r>
      <w:r>
        <w:fldChar w:fldCharType="separate"/>
      </w:r>
      <w:r>
        <w:t>440</w:t>
      </w:r>
      <w:r>
        <w:fldChar w:fldCharType="end"/>
      </w:r>
    </w:p>
    <w:p w14:paraId="09E87940" w14:textId="01271F59"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cs="Arial"/>
        </w:rPr>
        <w:t>Schedule 2</w:t>
      </w:r>
      <w:r>
        <w:rPr>
          <w:rFonts w:asciiTheme="minorHAnsi" w:eastAsiaTheme="minorEastAsia" w:hAnsiTheme="minorHAnsi" w:cstheme="minorBidi"/>
          <w:kern w:val="2"/>
          <w:sz w:val="24"/>
          <w:lang w:eastAsia="en-AU"/>
          <w14:ligatures w14:val="standardContextual"/>
        </w:rPr>
        <w:tab/>
      </w:r>
      <w:r w:rsidRPr="00552F2A">
        <w:rPr>
          <w:rFonts w:cs="Arial"/>
        </w:rPr>
        <w:t>Mapping</w:t>
      </w:r>
      <w:r>
        <w:tab/>
      </w:r>
      <w:r>
        <w:fldChar w:fldCharType="begin"/>
      </w:r>
      <w:r>
        <w:instrText xml:space="preserve"> PAGEREF _Toc205367416 \h </w:instrText>
      </w:r>
      <w:r>
        <w:fldChar w:fldCharType="separate"/>
      </w:r>
      <w:r>
        <w:t>445</w:t>
      </w:r>
      <w:r>
        <w:fldChar w:fldCharType="end"/>
      </w:r>
    </w:p>
    <w:p w14:paraId="368032C4" w14:textId="0ADF41FC"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SC2.1</w:t>
      </w:r>
      <w:r>
        <w:rPr>
          <w:rFonts w:asciiTheme="minorHAnsi" w:eastAsiaTheme="minorEastAsia" w:hAnsiTheme="minorHAnsi" w:cstheme="minorBidi"/>
          <w:iCs w:val="0"/>
          <w:kern w:val="2"/>
          <w:sz w:val="24"/>
          <w:szCs w:val="24"/>
          <w:lang w:eastAsia="en-AU"/>
          <w14:ligatures w14:val="standardContextual"/>
        </w:rPr>
        <w:tab/>
      </w:r>
      <w:r w:rsidRPr="00552F2A">
        <w:rPr>
          <w:rFonts w:cs="Arial"/>
        </w:rPr>
        <w:t>Map index</w:t>
      </w:r>
      <w:r>
        <w:tab/>
      </w:r>
      <w:r>
        <w:fldChar w:fldCharType="begin"/>
      </w:r>
      <w:r>
        <w:instrText xml:space="preserve"> PAGEREF _Toc205367417 \h </w:instrText>
      </w:r>
      <w:r>
        <w:fldChar w:fldCharType="separate"/>
      </w:r>
      <w:r>
        <w:t>445</w:t>
      </w:r>
      <w:r>
        <w:fldChar w:fldCharType="end"/>
      </w:r>
    </w:p>
    <w:p w14:paraId="6F284A9D" w14:textId="31B634C9"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SC2.2</w:t>
      </w:r>
      <w:r>
        <w:rPr>
          <w:rFonts w:asciiTheme="minorHAnsi" w:eastAsiaTheme="minorEastAsia" w:hAnsiTheme="minorHAnsi" w:cstheme="minorBidi"/>
          <w:iCs w:val="0"/>
          <w:kern w:val="2"/>
          <w:sz w:val="24"/>
          <w:szCs w:val="24"/>
          <w:lang w:eastAsia="en-AU"/>
          <w14:ligatures w14:val="standardContextual"/>
        </w:rPr>
        <w:tab/>
      </w:r>
      <w:r w:rsidRPr="00552F2A">
        <w:rPr>
          <w:rFonts w:cs="Arial"/>
        </w:rPr>
        <w:t>Strategic framework maps</w:t>
      </w:r>
      <w:r>
        <w:tab/>
      </w:r>
      <w:r>
        <w:fldChar w:fldCharType="begin"/>
      </w:r>
      <w:r>
        <w:instrText xml:space="preserve"> PAGEREF _Toc205367418 \h </w:instrText>
      </w:r>
      <w:r>
        <w:fldChar w:fldCharType="separate"/>
      </w:r>
      <w:r>
        <w:t>447</w:t>
      </w:r>
      <w:r>
        <w:fldChar w:fldCharType="end"/>
      </w:r>
    </w:p>
    <w:p w14:paraId="77C358D3" w14:textId="70A79290"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bCs/>
          <w:iCs w:val="0"/>
        </w:rPr>
        <w:t>SC2.3</w:t>
      </w:r>
      <w:r>
        <w:rPr>
          <w:rFonts w:asciiTheme="minorHAnsi" w:eastAsiaTheme="minorEastAsia" w:hAnsiTheme="minorHAnsi" w:cstheme="minorBidi"/>
          <w:iCs w:val="0"/>
          <w:kern w:val="2"/>
          <w:sz w:val="24"/>
          <w:szCs w:val="24"/>
          <w:lang w:eastAsia="en-AU"/>
          <w14:ligatures w14:val="standardContextual"/>
        </w:rPr>
        <w:tab/>
      </w:r>
      <w:r w:rsidRPr="00552F2A">
        <w:rPr>
          <w:rFonts w:cs="Arial"/>
          <w:bCs/>
          <w:iCs w:val="0"/>
        </w:rPr>
        <w:t>Other plans maps</w:t>
      </w:r>
      <w:r>
        <w:tab/>
      </w:r>
      <w:r>
        <w:fldChar w:fldCharType="begin"/>
      </w:r>
      <w:r>
        <w:instrText xml:space="preserve"> PAGEREF _Toc205367419 \h </w:instrText>
      </w:r>
      <w:r>
        <w:fldChar w:fldCharType="separate"/>
      </w:r>
      <w:r>
        <w:t>452</w:t>
      </w:r>
      <w:r>
        <w:fldChar w:fldCharType="end"/>
      </w:r>
    </w:p>
    <w:p w14:paraId="1C339728" w14:textId="667A660A"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cs="Arial"/>
        </w:rPr>
        <w:t>Schedule 3</w:t>
      </w:r>
      <w:r>
        <w:rPr>
          <w:rFonts w:asciiTheme="minorHAnsi" w:eastAsiaTheme="minorEastAsia" w:hAnsiTheme="minorHAnsi" w:cstheme="minorBidi"/>
          <w:kern w:val="2"/>
          <w:sz w:val="24"/>
          <w:lang w:eastAsia="en-AU"/>
          <w14:ligatures w14:val="standardContextual"/>
        </w:rPr>
        <w:tab/>
      </w:r>
      <w:r w:rsidRPr="00552F2A">
        <w:rPr>
          <w:rFonts w:cs="Arial"/>
        </w:rPr>
        <w:t>Local Government Infrastructure Plan (LGIP) mapping and support material</w:t>
      </w:r>
      <w:r>
        <w:tab/>
      </w:r>
      <w:r>
        <w:fldChar w:fldCharType="begin"/>
      </w:r>
      <w:r>
        <w:instrText xml:space="preserve"> PAGEREF _Toc205367420 \h </w:instrText>
      </w:r>
      <w:r>
        <w:fldChar w:fldCharType="separate"/>
      </w:r>
      <w:r>
        <w:t>455</w:t>
      </w:r>
      <w:r>
        <w:fldChar w:fldCharType="end"/>
      </w:r>
    </w:p>
    <w:p w14:paraId="023AA0CB" w14:textId="01F891DC"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SC3.1</w:t>
      </w:r>
      <w:r>
        <w:rPr>
          <w:rFonts w:asciiTheme="minorHAnsi" w:eastAsiaTheme="minorEastAsia" w:hAnsiTheme="minorHAnsi" w:cstheme="minorBidi"/>
          <w:iCs w:val="0"/>
          <w:kern w:val="2"/>
          <w:sz w:val="24"/>
          <w:szCs w:val="24"/>
          <w:lang w:eastAsia="en-AU"/>
          <w14:ligatures w14:val="standardContextual"/>
        </w:rPr>
        <w:tab/>
      </w:r>
      <w:r w:rsidRPr="00552F2A">
        <w:rPr>
          <w:rFonts w:cs="Arial"/>
        </w:rPr>
        <w:t>Planning assumptions tables</w:t>
      </w:r>
      <w:r>
        <w:tab/>
      </w:r>
      <w:r>
        <w:fldChar w:fldCharType="begin"/>
      </w:r>
      <w:r>
        <w:instrText xml:space="preserve"> PAGEREF _Toc205367421 \h </w:instrText>
      </w:r>
      <w:r>
        <w:fldChar w:fldCharType="separate"/>
      </w:r>
      <w:r>
        <w:t>455</w:t>
      </w:r>
      <w:r>
        <w:fldChar w:fldCharType="end"/>
      </w:r>
    </w:p>
    <w:p w14:paraId="1E373542" w14:textId="5A4431A6"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bCs/>
          <w:iCs w:val="0"/>
        </w:rPr>
        <w:t>SC3.2</w:t>
      </w:r>
      <w:r>
        <w:rPr>
          <w:rFonts w:asciiTheme="minorHAnsi" w:eastAsiaTheme="minorEastAsia" w:hAnsiTheme="minorHAnsi" w:cstheme="minorBidi"/>
          <w:iCs w:val="0"/>
          <w:kern w:val="2"/>
          <w:sz w:val="24"/>
          <w:szCs w:val="24"/>
          <w:lang w:eastAsia="en-AU"/>
          <w14:ligatures w14:val="standardContextual"/>
        </w:rPr>
        <w:tab/>
      </w:r>
      <w:r w:rsidRPr="00552F2A">
        <w:rPr>
          <w:rFonts w:cs="Arial"/>
          <w:bCs/>
          <w:iCs w:val="0"/>
        </w:rPr>
        <w:t>Schedules of works</w:t>
      </w:r>
      <w:r>
        <w:tab/>
      </w:r>
      <w:r>
        <w:fldChar w:fldCharType="begin"/>
      </w:r>
      <w:r>
        <w:instrText xml:space="preserve"> PAGEREF _Toc205367422 \h </w:instrText>
      </w:r>
      <w:r>
        <w:fldChar w:fldCharType="separate"/>
      </w:r>
      <w:r>
        <w:t>465</w:t>
      </w:r>
      <w:r>
        <w:fldChar w:fldCharType="end"/>
      </w:r>
    </w:p>
    <w:p w14:paraId="4702F095" w14:textId="189D7475"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SC3.3</w:t>
      </w:r>
      <w:r>
        <w:rPr>
          <w:rFonts w:asciiTheme="minorHAnsi" w:eastAsiaTheme="minorEastAsia" w:hAnsiTheme="minorHAnsi" w:cstheme="minorBidi"/>
          <w:iCs w:val="0"/>
          <w:kern w:val="2"/>
          <w:sz w:val="24"/>
          <w:szCs w:val="24"/>
          <w:lang w:eastAsia="en-AU"/>
          <w14:ligatures w14:val="standardContextual"/>
        </w:rPr>
        <w:tab/>
      </w:r>
      <w:r w:rsidRPr="00552F2A">
        <w:rPr>
          <w:rFonts w:cs="Arial"/>
        </w:rPr>
        <w:t>Local government infrastructure plan maps</w:t>
      </w:r>
      <w:r>
        <w:tab/>
      </w:r>
      <w:r>
        <w:fldChar w:fldCharType="begin"/>
      </w:r>
      <w:r>
        <w:instrText xml:space="preserve"> PAGEREF _Toc205367423 \h </w:instrText>
      </w:r>
      <w:r>
        <w:fldChar w:fldCharType="separate"/>
      </w:r>
      <w:r>
        <w:t>479</w:t>
      </w:r>
      <w:r>
        <w:fldChar w:fldCharType="end"/>
      </w:r>
    </w:p>
    <w:p w14:paraId="56D4592C" w14:textId="47155ACD"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SC3.4</w:t>
      </w:r>
      <w:r>
        <w:rPr>
          <w:rFonts w:asciiTheme="minorHAnsi" w:eastAsiaTheme="minorEastAsia" w:hAnsiTheme="minorHAnsi" w:cstheme="minorBidi"/>
          <w:iCs w:val="0"/>
          <w:kern w:val="2"/>
          <w:sz w:val="24"/>
          <w:szCs w:val="24"/>
          <w:lang w:eastAsia="en-AU"/>
          <w14:ligatures w14:val="standardContextual"/>
        </w:rPr>
        <w:tab/>
      </w:r>
      <w:r w:rsidRPr="00552F2A">
        <w:rPr>
          <w:rFonts w:cs="Arial"/>
        </w:rPr>
        <w:t>Glossary and abbreviations</w:t>
      </w:r>
      <w:r>
        <w:tab/>
      </w:r>
      <w:r>
        <w:fldChar w:fldCharType="begin"/>
      </w:r>
      <w:r>
        <w:instrText xml:space="preserve"> PAGEREF _Toc205367424 \h </w:instrText>
      </w:r>
      <w:r>
        <w:fldChar w:fldCharType="separate"/>
      </w:r>
      <w:r>
        <w:t>479</w:t>
      </w:r>
      <w:r>
        <w:fldChar w:fldCharType="end"/>
      </w:r>
    </w:p>
    <w:p w14:paraId="2B6DCD0B" w14:textId="518040DB"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cs="Arial"/>
        </w:rPr>
        <w:t>Schedule 4</w:t>
      </w:r>
      <w:r>
        <w:rPr>
          <w:rFonts w:asciiTheme="minorHAnsi" w:eastAsiaTheme="minorEastAsia" w:hAnsiTheme="minorHAnsi" w:cstheme="minorBidi"/>
          <w:kern w:val="2"/>
          <w:sz w:val="24"/>
          <w:lang w:eastAsia="en-AU"/>
          <w14:ligatures w14:val="standardContextual"/>
        </w:rPr>
        <w:tab/>
      </w:r>
      <w:r w:rsidRPr="00552F2A">
        <w:rPr>
          <w:rFonts w:cs="Arial"/>
        </w:rPr>
        <w:t>Notations required under the Planning Act 2016</w:t>
      </w:r>
      <w:r>
        <w:tab/>
      </w:r>
      <w:r>
        <w:fldChar w:fldCharType="begin"/>
      </w:r>
      <w:r>
        <w:instrText xml:space="preserve"> PAGEREF _Toc205367425 \h </w:instrText>
      </w:r>
      <w:r>
        <w:fldChar w:fldCharType="separate"/>
      </w:r>
      <w:r>
        <w:t>482</w:t>
      </w:r>
      <w:r>
        <w:fldChar w:fldCharType="end"/>
      </w:r>
    </w:p>
    <w:p w14:paraId="2E5FF397" w14:textId="1F255EC8"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SC4.1</w:t>
      </w:r>
      <w:r>
        <w:rPr>
          <w:rFonts w:asciiTheme="minorHAnsi" w:eastAsiaTheme="minorEastAsia" w:hAnsiTheme="minorHAnsi" w:cstheme="minorBidi"/>
          <w:iCs w:val="0"/>
          <w:kern w:val="2"/>
          <w:sz w:val="24"/>
          <w:szCs w:val="24"/>
          <w:lang w:eastAsia="en-AU"/>
          <w14:ligatures w14:val="standardContextual"/>
        </w:rPr>
        <w:tab/>
      </w:r>
      <w:r w:rsidRPr="00552F2A">
        <w:rPr>
          <w:rFonts w:cs="Arial"/>
        </w:rPr>
        <w:t>Notation of decisions affecting the planning scheme under section 89 of the Act</w:t>
      </w:r>
      <w:r>
        <w:tab/>
      </w:r>
      <w:r>
        <w:fldChar w:fldCharType="begin"/>
      </w:r>
      <w:r>
        <w:instrText xml:space="preserve"> PAGEREF _Toc205367426 \h </w:instrText>
      </w:r>
      <w:r>
        <w:fldChar w:fldCharType="separate"/>
      </w:r>
      <w:r>
        <w:t>482</w:t>
      </w:r>
      <w:r>
        <w:fldChar w:fldCharType="end"/>
      </w:r>
    </w:p>
    <w:p w14:paraId="3210C478" w14:textId="540C32AC"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SC4.2</w:t>
      </w:r>
      <w:r>
        <w:rPr>
          <w:rFonts w:asciiTheme="minorHAnsi" w:eastAsiaTheme="minorEastAsia" w:hAnsiTheme="minorHAnsi" w:cstheme="minorBidi"/>
          <w:iCs w:val="0"/>
          <w:kern w:val="2"/>
          <w:sz w:val="24"/>
          <w:szCs w:val="24"/>
          <w:lang w:eastAsia="en-AU"/>
          <w14:ligatures w14:val="standardContextual"/>
        </w:rPr>
        <w:tab/>
      </w:r>
      <w:r w:rsidRPr="00552F2A">
        <w:rPr>
          <w:rFonts w:cs="Arial"/>
        </w:rPr>
        <w:t>Notation of resolution(s) under Chapter 4, Part 2, Division 2 of the Act</w:t>
      </w:r>
      <w:r>
        <w:tab/>
      </w:r>
      <w:r>
        <w:fldChar w:fldCharType="begin"/>
      </w:r>
      <w:r>
        <w:instrText xml:space="preserve"> PAGEREF _Toc205367427 \h </w:instrText>
      </w:r>
      <w:r>
        <w:fldChar w:fldCharType="separate"/>
      </w:r>
      <w:r>
        <w:t>484</w:t>
      </w:r>
      <w:r>
        <w:fldChar w:fldCharType="end"/>
      </w:r>
    </w:p>
    <w:p w14:paraId="484DF68D" w14:textId="62D96428"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SC4.3</w:t>
      </w:r>
      <w:r>
        <w:rPr>
          <w:rFonts w:asciiTheme="minorHAnsi" w:eastAsiaTheme="minorEastAsia" w:hAnsiTheme="minorHAnsi" w:cstheme="minorBidi"/>
          <w:iCs w:val="0"/>
          <w:kern w:val="2"/>
          <w:sz w:val="24"/>
          <w:szCs w:val="24"/>
          <w:lang w:eastAsia="en-AU"/>
          <w14:ligatures w14:val="standardContextual"/>
        </w:rPr>
        <w:tab/>
      </w:r>
      <w:r w:rsidRPr="00552F2A">
        <w:rPr>
          <w:rFonts w:cs="Arial"/>
        </w:rPr>
        <w:t>Notation of registration for urban encroachment provisions under section 267 of the Act</w:t>
      </w:r>
      <w:r>
        <w:tab/>
      </w:r>
      <w:r>
        <w:fldChar w:fldCharType="begin"/>
      </w:r>
      <w:r>
        <w:instrText xml:space="preserve"> PAGEREF _Toc205367428 \h </w:instrText>
      </w:r>
      <w:r>
        <w:fldChar w:fldCharType="separate"/>
      </w:r>
      <w:r>
        <w:t>485</w:t>
      </w:r>
      <w:r>
        <w:fldChar w:fldCharType="end"/>
      </w:r>
    </w:p>
    <w:p w14:paraId="71F85995" w14:textId="479DF98F"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cs="Arial"/>
        </w:rPr>
        <w:t>Schedule 5</w:t>
      </w:r>
      <w:r>
        <w:rPr>
          <w:rFonts w:asciiTheme="minorHAnsi" w:eastAsiaTheme="minorEastAsia" w:hAnsiTheme="minorHAnsi" w:cstheme="minorBidi"/>
          <w:kern w:val="2"/>
          <w:sz w:val="24"/>
          <w:lang w:eastAsia="en-AU"/>
          <w14:ligatures w14:val="standardContextual"/>
        </w:rPr>
        <w:tab/>
      </w:r>
      <w:r w:rsidRPr="00552F2A">
        <w:rPr>
          <w:rFonts w:cs="Arial"/>
        </w:rPr>
        <w:t>Designation of premises for development</w:t>
      </w:r>
      <w:r>
        <w:tab/>
      </w:r>
      <w:r>
        <w:fldChar w:fldCharType="begin"/>
      </w:r>
      <w:r>
        <w:instrText xml:space="preserve"> PAGEREF _Toc205367429 \h </w:instrText>
      </w:r>
      <w:r>
        <w:fldChar w:fldCharType="separate"/>
      </w:r>
      <w:r>
        <w:t>486</w:t>
      </w:r>
      <w:r>
        <w:fldChar w:fldCharType="end"/>
      </w:r>
    </w:p>
    <w:p w14:paraId="5F91AB94" w14:textId="60ABBF99"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cs="Arial"/>
        </w:rPr>
        <w:t>Schedule 6</w:t>
      </w:r>
      <w:r>
        <w:rPr>
          <w:rFonts w:asciiTheme="minorHAnsi" w:eastAsiaTheme="minorEastAsia" w:hAnsiTheme="minorHAnsi" w:cstheme="minorBidi"/>
          <w:kern w:val="2"/>
          <w:sz w:val="24"/>
          <w:lang w:eastAsia="en-AU"/>
          <w14:ligatures w14:val="standardContextual"/>
        </w:rPr>
        <w:tab/>
      </w:r>
      <w:r w:rsidRPr="00552F2A">
        <w:rPr>
          <w:rFonts w:cs="Arial"/>
        </w:rPr>
        <w:t>Planning scheme policies</w:t>
      </w:r>
      <w:r>
        <w:tab/>
      </w:r>
      <w:r>
        <w:fldChar w:fldCharType="begin"/>
      </w:r>
      <w:r>
        <w:instrText xml:space="preserve"> PAGEREF _Toc205367430 \h </w:instrText>
      </w:r>
      <w:r>
        <w:fldChar w:fldCharType="separate"/>
      </w:r>
      <w:r>
        <w:t>493</w:t>
      </w:r>
      <w:r>
        <w:fldChar w:fldCharType="end"/>
      </w:r>
    </w:p>
    <w:p w14:paraId="72702FBE" w14:textId="1D7B7141"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SC6.1</w:t>
      </w:r>
      <w:r>
        <w:rPr>
          <w:rFonts w:asciiTheme="minorHAnsi" w:eastAsiaTheme="minorEastAsia" w:hAnsiTheme="minorHAnsi" w:cstheme="minorBidi"/>
          <w:iCs w:val="0"/>
          <w:kern w:val="2"/>
          <w:sz w:val="24"/>
          <w:szCs w:val="24"/>
          <w:lang w:eastAsia="en-AU"/>
          <w14:ligatures w14:val="standardContextual"/>
        </w:rPr>
        <w:tab/>
      </w:r>
      <w:r w:rsidRPr="00552F2A">
        <w:rPr>
          <w:rFonts w:cs="Arial"/>
        </w:rPr>
        <w:t>Planning scheme policy index</w:t>
      </w:r>
      <w:r>
        <w:tab/>
      </w:r>
      <w:r>
        <w:fldChar w:fldCharType="begin"/>
      </w:r>
      <w:r>
        <w:instrText xml:space="preserve"> PAGEREF _Toc205367431 \h </w:instrText>
      </w:r>
      <w:r>
        <w:fldChar w:fldCharType="separate"/>
      </w:r>
      <w:r>
        <w:t>493</w:t>
      </w:r>
      <w:r>
        <w:fldChar w:fldCharType="end"/>
      </w:r>
    </w:p>
    <w:p w14:paraId="54E48A34" w14:textId="159B7E92"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SC6.2</w:t>
      </w:r>
      <w:r>
        <w:rPr>
          <w:rFonts w:asciiTheme="minorHAnsi" w:eastAsiaTheme="minorEastAsia" w:hAnsiTheme="minorHAnsi" w:cstheme="minorBidi"/>
          <w:iCs w:val="0"/>
          <w:kern w:val="2"/>
          <w:sz w:val="24"/>
          <w:szCs w:val="24"/>
          <w:lang w:eastAsia="en-AU"/>
          <w14:ligatures w14:val="standardContextual"/>
        </w:rPr>
        <w:tab/>
      </w:r>
      <w:r w:rsidRPr="00552F2A">
        <w:rPr>
          <w:rFonts w:cs="Arial"/>
        </w:rPr>
        <w:t>Engineering design</w:t>
      </w:r>
      <w:r>
        <w:tab/>
      </w:r>
      <w:r>
        <w:fldChar w:fldCharType="begin"/>
      </w:r>
      <w:r>
        <w:instrText xml:space="preserve"> PAGEREF _Toc205367432 \h </w:instrText>
      </w:r>
      <w:r>
        <w:fldChar w:fldCharType="separate"/>
      </w:r>
      <w:r>
        <w:t>493</w:t>
      </w:r>
      <w:r>
        <w:fldChar w:fldCharType="end"/>
      </w:r>
    </w:p>
    <w:p w14:paraId="5E96C23B" w14:textId="1F5C3698"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SC6.2.1</w:t>
      </w:r>
      <w:r>
        <w:rPr>
          <w:rFonts w:asciiTheme="minorHAnsi" w:eastAsiaTheme="minorEastAsia" w:hAnsiTheme="minorHAnsi" w:cstheme="minorBidi"/>
          <w:kern w:val="2"/>
          <w:sz w:val="24"/>
          <w:lang w:eastAsia="en-AU"/>
          <w14:ligatures w14:val="standardContextual"/>
        </w:rPr>
        <w:tab/>
      </w:r>
      <w:r w:rsidRPr="00552F2A">
        <w:rPr>
          <w:rFonts w:cs="Arial"/>
        </w:rPr>
        <w:t>Introduction</w:t>
      </w:r>
      <w:r>
        <w:tab/>
      </w:r>
      <w:r>
        <w:fldChar w:fldCharType="begin"/>
      </w:r>
      <w:r>
        <w:instrText xml:space="preserve"> PAGEREF _Toc205367433 \h </w:instrText>
      </w:r>
      <w:r>
        <w:fldChar w:fldCharType="separate"/>
      </w:r>
      <w:r>
        <w:t>493</w:t>
      </w:r>
      <w:r>
        <w:fldChar w:fldCharType="end"/>
      </w:r>
    </w:p>
    <w:p w14:paraId="58A64D5D" w14:textId="6020B9FC"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SC6.2.2</w:t>
      </w:r>
      <w:r>
        <w:rPr>
          <w:rFonts w:asciiTheme="minorHAnsi" w:eastAsiaTheme="minorEastAsia" w:hAnsiTheme="minorHAnsi" w:cstheme="minorBidi"/>
          <w:kern w:val="2"/>
          <w:sz w:val="24"/>
          <w:lang w:eastAsia="en-AU"/>
          <w14:ligatures w14:val="standardContextual"/>
        </w:rPr>
        <w:tab/>
      </w:r>
      <w:r w:rsidRPr="00552F2A">
        <w:rPr>
          <w:rFonts w:cs="Arial"/>
        </w:rPr>
        <w:t>Purpose</w:t>
      </w:r>
      <w:r>
        <w:tab/>
      </w:r>
      <w:r>
        <w:fldChar w:fldCharType="begin"/>
      </w:r>
      <w:r>
        <w:instrText xml:space="preserve"> PAGEREF _Toc205367434 \h </w:instrText>
      </w:r>
      <w:r>
        <w:fldChar w:fldCharType="separate"/>
      </w:r>
      <w:r>
        <w:t>493</w:t>
      </w:r>
      <w:r>
        <w:fldChar w:fldCharType="end"/>
      </w:r>
    </w:p>
    <w:p w14:paraId="7EF2D341" w14:textId="44D50348"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SC6.2.3</w:t>
      </w:r>
      <w:r>
        <w:rPr>
          <w:rFonts w:asciiTheme="minorHAnsi" w:eastAsiaTheme="minorEastAsia" w:hAnsiTheme="minorHAnsi" w:cstheme="minorBidi"/>
          <w:kern w:val="2"/>
          <w:sz w:val="24"/>
          <w:lang w:eastAsia="en-AU"/>
          <w14:ligatures w14:val="standardContextual"/>
        </w:rPr>
        <w:tab/>
      </w:r>
      <w:r w:rsidRPr="00552F2A">
        <w:rPr>
          <w:rFonts w:cs="Arial"/>
        </w:rPr>
        <w:t>Legislative authority</w:t>
      </w:r>
      <w:r>
        <w:tab/>
      </w:r>
      <w:r>
        <w:fldChar w:fldCharType="begin"/>
      </w:r>
      <w:r>
        <w:instrText xml:space="preserve"> PAGEREF _Toc205367435 \h </w:instrText>
      </w:r>
      <w:r>
        <w:fldChar w:fldCharType="separate"/>
      </w:r>
      <w:r>
        <w:t>493</w:t>
      </w:r>
      <w:r>
        <w:fldChar w:fldCharType="end"/>
      </w:r>
    </w:p>
    <w:p w14:paraId="449F6916" w14:textId="75ECAB66"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SC6.2.4</w:t>
      </w:r>
      <w:r>
        <w:rPr>
          <w:rFonts w:asciiTheme="minorHAnsi" w:eastAsiaTheme="minorEastAsia" w:hAnsiTheme="minorHAnsi" w:cstheme="minorBidi"/>
          <w:kern w:val="2"/>
          <w:sz w:val="24"/>
          <w:lang w:eastAsia="en-AU"/>
          <w14:ligatures w14:val="standardContextual"/>
        </w:rPr>
        <w:tab/>
      </w:r>
      <w:r w:rsidRPr="00552F2A">
        <w:rPr>
          <w:rFonts w:cs="Arial"/>
        </w:rPr>
        <w:t>Terminology</w:t>
      </w:r>
      <w:r>
        <w:tab/>
      </w:r>
      <w:r>
        <w:fldChar w:fldCharType="begin"/>
      </w:r>
      <w:r>
        <w:instrText xml:space="preserve"> PAGEREF _Toc205367436 \h </w:instrText>
      </w:r>
      <w:r>
        <w:fldChar w:fldCharType="separate"/>
      </w:r>
      <w:r>
        <w:t>493</w:t>
      </w:r>
      <w:r>
        <w:fldChar w:fldCharType="end"/>
      </w:r>
    </w:p>
    <w:p w14:paraId="328F503A" w14:textId="7C9A1B5E"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SC6.2.5</w:t>
      </w:r>
      <w:r>
        <w:rPr>
          <w:rFonts w:asciiTheme="minorHAnsi" w:eastAsiaTheme="minorEastAsia" w:hAnsiTheme="minorHAnsi" w:cstheme="minorBidi"/>
          <w:kern w:val="2"/>
          <w:sz w:val="24"/>
          <w:lang w:eastAsia="en-AU"/>
          <w14:ligatures w14:val="standardContextual"/>
        </w:rPr>
        <w:tab/>
      </w:r>
      <w:r w:rsidRPr="00552F2A">
        <w:rPr>
          <w:rFonts w:cs="Arial"/>
        </w:rPr>
        <w:t>Documents included in this policy include:</w:t>
      </w:r>
      <w:r>
        <w:tab/>
      </w:r>
      <w:r>
        <w:fldChar w:fldCharType="begin"/>
      </w:r>
      <w:r>
        <w:instrText xml:space="preserve"> PAGEREF _Toc205367437 \h </w:instrText>
      </w:r>
      <w:r>
        <w:fldChar w:fldCharType="separate"/>
      </w:r>
      <w:r>
        <w:t>493</w:t>
      </w:r>
      <w:r>
        <w:fldChar w:fldCharType="end"/>
      </w:r>
    </w:p>
    <w:p w14:paraId="3F0595BD" w14:textId="1A0327F1"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SC6.3</w:t>
      </w:r>
      <w:r>
        <w:rPr>
          <w:rFonts w:asciiTheme="minorHAnsi" w:eastAsiaTheme="minorEastAsia" w:hAnsiTheme="minorHAnsi" w:cstheme="minorBidi"/>
          <w:iCs w:val="0"/>
          <w:kern w:val="2"/>
          <w:sz w:val="24"/>
          <w:szCs w:val="24"/>
          <w:lang w:eastAsia="en-AU"/>
          <w14:ligatures w14:val="standardContextual"/>
        </w:rPr>
        <w:tab/>
      </w:r>
      <w:r w:rsidRPr="00552F2A">
        <w:rPr>
          <w:rFonts w:cs="Arial"/>
        </w:rPr>
        <w:t>Plans of development</w:t>
      </w:r>
      <w:r>
        <w:tab/>
      </w:r>
      <w:r>
        <w:fldChar w:fldCharType="begin"/>
      </w:r>
      <w:r>
        <w:instrText xml:space="preserve"> PAGEREF _Toc205367438 \h </w:instrText>
      </w:r>
      <w:r>
        <w:fldChar w:fldCharType="separate"/>
      </w:r>
      <w:r>
        <w:t>493</w:t>
      </w:r>
      <w:r>
        <w:fldChar w:fldCharType="end"/>
      </w:r>
    </w:p>
    <w:p w14:paraId="544E573D" w14:textId="5E0B9001"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SC6.3.1</w:t>
      </w:r>
      <w:r>
        <w:rPr>
          <w:rFonts w:asciiTheme="minorHAnsi" w:eastAsiaTheme="minorEastAsia" w:hAnsiTheme="minorHAnsi" w:cstheme="minorBidi"/>
          <w:kern w:val="2"/>
          <w:sz w:val="24"/>
          <w:lang w:eastAsia="en-AU"/>
          <w14:ligatures w14:val="standardContextual"/>
        </w:rPr>
        <w:tab/>
      </w:r>
      <w:r w:rsidRPr="00552F2A">
        <w:rPr>
          <w:rFonts w:cs="Arial"/>
        </w:rPr>
        <w:t>Purpose</w:t>
      </w:r>
      <w:r>
        <w:tab/>
      </w:r>
      <w:r>
        <w:fldChar w:fldCharType="begin"/>
      </w:r>
      <w:r>
        <w:instrText xml:space="preserve"> PAGEREF _Toc205367439 \h </w:instrText>
      </w:r>
      <w:r>
        <w:fldChar w:fldCharType="separate"/>
      </w:r>
      <w:r>
        <w:t>493</w:t>
      </w:r>
      <w:r>
        <w:fldChar w:fldCharType="end"/>
      </w:r>
    </w:p>
    <w:p w14:paraId="5C75A85C" w14:textId="367C0DDB"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SC6.3.2</w:t>
      </w:r>
      <w:r>
        <w:rPr>
          <w:rFonts w:asciiTheme="minorHAnsi" w:eastAsiaTheme="minorEastAsia" w:hAnsiTheme="minorHAnsi" w:cstheme="minorBidi"/>
          <w:kern w:val="2"/>
          <w:sz w:val="24"/>
          <w:lang w:eastAsia="en-AU"/>
          <w14:ligatures w14:val="standardContextual"/>
        </w:rPr>
        <w:tab/>
      </w:r>
      <w:r w:rsidRPr="00552F2A">
        <w:rPr>
          <w:rFonts w:cs="Arial"/>
        </w:rPr>
        <w:t>Application</w:t>
      </w:r>
      <w:r>
        <w:tab/>
      </w:r>
      <w:r>
        <w:fldChar w:fldCharType="begin"/>
      </w:r>
      <w:r>
        <w:instrText xml:space="preserve"> PAGEREF _Toc205367440 \h </w:instrText>
      </w:r>
      <w:r>
        <w:fldChar w:fldCharType="separate"/>
      </w:r>
      <w:r>
        <w:t>494</w:t>
      </w:r>
      <w:r>
        <w:fldChar w:fldCharType="end"/>
      </w:r>
    </w:p>
    <w:p w14:paraId="28C8AC29" w14:textId="53B9BE20"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SC6.3.3</w:t>
      </w:r>
      <w:r>
        <w:rPr>
          <w:rFonts w:asciiTheme="minorHAnsi" w:eastAsiaTheme="minorEastAsia" w:hAnsiTheme="minorHAnsi" w:cstheme="minorBidi"/>
          <w:kern w:val="2"/>
          <w:sz w:val="24"/>
          <w:lang w:eastAsia="en-AU"/>
          <w14:ligatures w14:val="standardContextual"/>
        </w:rPr>
        <w:tab/>
      </w:r>
      <w:r w:rsidRPr="00552F2A">
        <w:rPr>
          <w:rFonts w:cs="Arial"/>
        </w:rPr>
        <w:t>What is a Plan of development</w:t>
      </w:r>
      <w:r>
        <w:tab/>
      </w:r>
      <w:r>
        <w:fldChar w:fldCharType="begin"/>
      </w:r>
      <w:r>
        <w:instrText xml:space="preserve"> PAGEREF _Toc205367441 \h </w:instrText>
      </w:r>
      <w:r>
        <w:fldChar w:fldCharType="separate"/>
      </w:r>
      <w:r>
        <w:t>494</w:t>
      </w:r>
      <w:r>
        <w:fldChar w:fldCharType="end"/>
      </w:r>
    </w:p>
    <w:p w14:paraId="35817976" w14:textId="6CCCC71F"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SC6.3.4</w:t>
      </w:r>
      <w:r>
        <w:rPr>
          <w:rFonts w:asciiTheme="minorHAnsi" w:eastAsiaTheme="minorEastAsia" w:hAnsiTheme="minorHAnsi" w:cstheme="minorBidi"/>
          <w:kern w:val="2"/>
          <w:sz w:val="24"/>
          <w:lang w:eastAsia="en-AU"/>
          <w14:ligatures w14:val="standardContextual"/>
        </w:rPr>
        <w:tab/>
      </w:r>
      <w:r w:rsidRPr="00552F2A">
        <w:rPr>
          <w:rFonts w:cs="Arial"/>
        </w:rPr>
        <w:t>Guidelines and process for preparing a plan of development</w:t>
      </w:r>
      <w:r>
        <w:tab/>
      </w:r>
      <w:r>
        <w:fldChar w:fldCharType="begin"/>
      </w:r>
      <w:r>
        <w:instrText xml:space="preserve"> PAGEREF _Toc205367442 \h </w:instrText>
      </w:r>
      <w:r>
        <w:fldChar w:fldCharType="separate"/>
      </w:r>
      <w:r>
        <w:t>494</w:t>
      </w:r>
      <w:r>
        <w:fldChar w:fldCharType="end"/>
      </w:r>
    </w:p>
    <w:p w14:paraId="431D722B" w14:textId="1F290A51"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SC6.3.5</w:t>
      </w:r>
      <w:r>
        <w:rPr>
          <w:rFonts w:asciiTheme="minorHAnsi" w:eastAsiaTheme="minorEastAsia" w:hAnsiTheme="minorHAnsi" w:cstheme="minorBidi"/>
          <w:kern w:val="2"/>
          <w:sz w:val="24"/>
          <w:lang w:eastAsia="en-AU"/>
          <w14:ligatures w14:val="standardContextual"/>
        </w:rPr>
        <w:tab/>
      </w:r>
      <w:r w:rsidRPr="00552F2A">
        <w:rPr>
          <w:rFonts w:cs="Arial"/>
        </w:rPr>
        <w:t>Varying codes</w:t>
      </w:r>
      <w:r>
        <w:tab/>
      </w:r>
      <w:r>
        <w:fldChar w:fldCharType="begin"/>
      </w:r>
      <w:r>
        <w:instrText xml:space="preserve"> PAGEREF _Toc205367443 \h </w:instrText>
      </w:r>
      <w:r>
        <w:fldChar w:fldCharType="separate"/>
      </w:r>
      <w:r>
        <w:t>495</w:t>
      </w:r>
      <w:r>
        <w:fldChar w:fldCharType="end"/>
      </w:r>
    </w:p>
    <w:p w14:paraId="5BB1AE57" w14:textId="1A1C6949"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SC6.3.6</w:t>
      </w:r>
      <w:r>
        <w:rPr>
          <w:rFonts w:asciiTheme="minorHAnsi" w:eastAsiaTheme="minorEastAsia" w:hAnsiTheme="minorHAnsi" w:cstheme="minorBidi"/>
          <w:kern w:val="2"/>
          <w:sz w:val="24"/>
          <w:lang w:eastAsia="en-AU"/>
          <w14:ligatures w14:val="standardContextual"/>
        </w:rPr>
        <w:tab/>
      </w:r>
      <w:r w:rsidRPr="00552F2A">
        <w:rPr>
          <w:rFonts w:cs="Arial"/>
        </w:rPr>
        <w:t>Varying categories of development and assessment</w:t>
      </w:r>
      <w:r>
        <w:tab/>
      </w:r>
      <w:r>
        <w:fldChar w:fldCharType="begin"/>
      </w:r>
      <w:r>
        <w:instrText xml:space="preserve"> PAGEREF _Toc205367444 \h </w:instrText>
      </w:r>
      <w:r>
        <w:fldChar w:fldCharType="separate"/>
      </w:r>
      <w:r>
        <w:t>495</w:t>
      </w:r>
      <w:r>
        <w:fldChar w:fldCharType="end"/>
      </w:r>
    </w:p>
    <w:p w14:paraId="4A7A2DD3" w14:textId="48A2AF33"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SC6.4</w:t>
      </w:r>
      <w:r>
        <w:rPr>
          <w:rFonts w:asciiTheme="minorHAnsi" w:eastAsiaTheme="minorEastAsia" w:hAnsiTheme="minorHAnsi" w:cstheme="minorBidi"/>
          <w:iCs w:val="0"/>
          <w:kern w:val="2"/>
          <w:sz w:val="24"/>
          <w:szCs w:val="24"/>
          <w:lang w:eastAsia="en-AU"/>
          <w14:ligatures w14:val="standardContextual"/>
        </w:rPr>
        <w:tab/>
      </w:r>
      <w:r w:rsidRPr="00552F2A">
        <w:rPr>
          <w:rFonts w:cs="Arial"/>
        </w:rPr>
        <w:t>Community and economic needs assessment</w:t>
      </w:r>
      <w:r>
        <w:tab/>
      </w:r>
      <w:r>
        <w:fldChar w:fldCharType="begin"/>
      </w:r>
      <w:r>
        <w:instrText xml:space="preserve"> PAGEREF _Toc205367445 \h </w:instrText>
      </w:r>
      <w:r>
        <w:fldChar w:fldCharType="separate"/>
      </w:r>
      <w:r>
        <w:t>495</w:t>
      </w:r>
      <w:r>
        <w:fldChar w:fldCharType="end"/>
      </w:r>
    </w:p>
    <w:p w14:paraId="4C3CD8E9" w14:textId="0540C430"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SC6.4.1</w:t>
      </w:r>
      <w:r>
        <w:rPr>
          <w:rFonts w:asciiTheme="minorHAnsi" w:eastAsiaTheme="minorEastAsia" w:hAnsiTheme="minorHAnsi" w:cstheme="minorBidi"/>
          <w:kern w:val="2"/>
          <w:sz w:val="24"/>
          <w:lang w:eastAsia="en-AU"/>
          <w14:ligatures w14:val="standardContextual"/>
        </w:rPr>
        <w:tab/>
      </w:r>
      <w:r w:rsidRPr="00552F2A">
        <w:rPr>
          <w:rFonts w:cs="Arial"/>
        </w:rPr>
        <w:t>Purpose</w:t>
      </w:r>
      <w:r>
        <w:tab/>
      </w:r>
      <w:r>
        <w:fldChar w:fldCharType="begin"/>
      </w:r>
      <w:r>
        <w:instrText xml:space="preserve"> PAGEREF _Toc205367446 \h </w:instrText>
      </w:r>
      <w:r>
        <w:fldChar w:fldCharType="separate"/>
      </w:r>
      <w:r>
        <w:t>495</w:t>
      </w:r>
      <w:r>
        <w:fldChar w:fldCharType="end"/>
      </w:r>
    </w:p>
    <w:p w14:paraId="555A33A4" w14:textId="2F02E20F"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SC6.4.2</w:t>
      </w:r>
      <w:r>
        <w:rPr>
          <w:rFonts w:asciiTheme="minorHAnsi" w:eastAsiaTheme="minorEastAsia" w:hAnsiTheme="minorHAnsi" w:cstheme="minorBidi"/>
          <w:kern w:val="2"/>
          <w:sz w:val="24"/>
          <w:lang w:eastAsia="en-AU"/>
          <w14:ligatures w14:val="standardContextual"/>
        </w:rPr>
        <w:tab/>
      </w:r>
      <w:r w:rsidRPr="00552F2A">
        <w:rPr>
          <w:rFonts w:cs="Arial"/>
        </w:rPr>
        <w:t>Application</w:t>
      </w:r>
      <w:r>
        <w:tab/>
      </w:r>
      <w:r>
        <w:fldChar w:fldCharType="begin"/>
      </w:r>
      <w:r>
        <w:instrText xml:space="preserve"> PAGEREF _Toc205367447 \h </w:instrText>
      </w:r>
      <w:r>
        <w:fldChar w:fldCharType="separate"/>
      </w:r>
      <w:r>
        <w:t>496</w:t>
      </w:r>
      <w:r>
        <w:fldChar w:fldCharType="end"/>
      </w:r>
    </w:p>
    <w:p w14:paraId="007C01FC" w14:textId="1FA2A032"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SC6.4.3</w:t>
      </w:r>
      <w:r>
        <w:rPr>
          <w:rFonts w:asciiTheme="minorHAnsi" w:eastAsiaTheme="minorEastAsia" w:hAnsiTheme="minorHAnsi" w:cstheme="minorBidi"/>
          <w:kern w:val="2"/>
          <w:sz w:val="24"/>
          <w:lang w:eastAsia="en-AU"/>
          <w14:ligatures w14:val="standardContextual"/>
        </w:rPr>
        <w:tab/>
      </w:r>
      <w:r w:rsidRPr="00552F2A">
        <w:rPr>
          <w:rFonts w:cs="Arial"/>
        </w:rPr>
        <w:t>What is a Community and economic needs assessment</w:t>
      </w:r>
      <w:r>
        <w:tab/>
      </w:r>
      <w:r>
        <w:fldChar w:fldCharType="begin"/>
      </w:r>
      <w:r>
        <w:instrText xml:space="preserve"> PAGEREF _Toc205367448 \h </w:instrText>
      </w:r>
      <w:r>
        <w:fldChar w:fldCharType="separate"/>
      </w:r>
      <w:r>
        <w:t>496</w:t>
      </w:r>
      <w:r>
        <w:fldChar w:fldCharType="end"/>
      </w:r>
    </w:p>
    <w:p w14:paraId="3064C723" w14:textId="435042B3"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SC6.4.4</w:t>
      </w:r>
      <w:r>
        <w:rPr>
          <w:rFonts w:asciiTheme="minorHAnsi" w:eastAsiaTheme="minorEastAsia" w:hAnsiTheme="minorHAnsi" w:cstheme="minorBidi"/>
          <w:kern w:val="2"/>
          <w:sz w:val="24"/>
          <w:lang w:eastAsia="en-AU"/>
          <w14:ligatures w14:val="standardContextual"/>
        </w:rPr>
        <w:tab/>
      </w:r>
      <w:r w:rsidRPr="00552F2A">
        <w:rPr>
          <w:rFonts w:cs="Arial"/>
        </w:rPr>
        <w:t>Guidelines and process for preparing a Community and economic needs assessment</w:t>
      </w:r>
      <w:r>
        <w:tab/>
      </w:r>
      <w:r>
        <w:fldChar w:fldCharType="begin"/>
      </w:r>
      <w:r>
        <w:instrText xml:space="preserve"> PAGEREF _Toc205367449 \h </w:instrText>
      </w:r>
      <w:r>
        <w:fldChar w:fldCharType="separate"/>
      </w:r>
      <w:r>
        <w:t>496</w:t>
      </w:r>
      <w:r>
        <w:fldChar w:fldCharType="end"/>
      </w:r>
    </w:p>
    <w:p w14:paraId="25385219" w14:textId="2078AA85"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lastRenderedPageBreak/>
        <w:t>SC6.5</w:t>
      </w:r>
      <w:r>
        <w:rPr>
          <w:rFonts w:asciiTheme="minorHAnsi" w:eastAsiaTheme="minorEastAsia" w:hAnsiTheme="minorHAnsi" w:cstheme="minorBidi"/>
          <w:iCs w:val="0"/>
          <w:kern w:val="2"/>
          <w:sz w:val="24"/>
          <w:szCs w:val="24"/>
          <w:lang w:eastAsia="en-AU"/>
          <w14:ligatures w14:val="standardContextual"/>
        </w:rPr>
        <w:tab/>
      </w:r>
      <w:r w:rsidRPr="00552F2A">
        <w:rPr>
          <w:rFonts w:cs="Arial"/>
        </w:rPr>
        <w:t>CBD redevelopment</w:t>
      </w:r>
      <w:r>
        <w:tab/>
      </w:r>
      <w:r>
        <w:fldChar w:fldCharType="begin"/>
      </w:r>
      <w:r>
        <w:instrText xml:space="preserve"> PAGEREF _Toc205367450 \h </w:instrText>
      </w:r>
      <w:r>
        <w:fldChar w:fldCharType="separate"/>
      </w:r>
      <w:r>
        <w:t>498</w:t>
      </w:r>
      <w:r>
        <w:fldChar w:fldCharType="end"/>
      </w:r>
    </w:p>
    <w:p w14:paraId="7CB259E4" w14:textId="0B9098D2"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SC6.5.1</w:t>
      </w:r>
      <w:r>
        <w:rPr>
          <w:rFonts w:asciiTheme="minorHAnsi" w:eastAsiaTheme="minorEastAsia" w:hAnsiTheme="minorHAnsi" w:cstheme="minorBidi"/>
          <w:kern w:val="2"/>
          <w:sz w:val="24"/>
          <w:lang w:eastAsia="en-AU"/>
          <w14:ligatures w14:val="standardContextual"/>
        </w:rPr>
        <w:tab/>
      </w:r>
      <w:r w:rsidRPr="00552F2A">
        <w:rPr>
          <w:rFonts w:cs="Arial"/>
        </w:rPr>
        <w:t>Purpose</w:t>
      </w:r>
      <w:r>
        <w:tab/>
      </w:r>
      <w:r>
        <w:fldChar w:fldCharType="begin"/>
      </w:r>
      <w:r>
        <w:instrText xml:space="preserve"> PAGEREF _Toc205367451 \h </w:instrText>
      </w:r>
      <w:r>
        <w:fldChar w:fldCharType="separate"/>
      </w:r>
      <w:r>
        <w:t>498</w:t>
      </w:r>
      <w:r>
        <w:fldChar w:fldCharType="end"/>
      </w:r>
    </w:p>
    <w:p w14:paraId="612F68FD" w14:textId="78890574"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SC6.5.2</w:t>
      </w:r>
      <w:r>
        <w:rPr>
          <w:rFonts w:asciiTheme="minorHAnsi" w:eastAsiaTheme="minorEastAsia" w:hAnsiTheme="minorHAnsi" w:cstheme="minorBidi"/>
          <w:kern w:val="2"/>
          <w:sz w:val="24"/>
          <w:lang w:eastAsia="en-AU"/>
          <w14:ligatures w14:val="standardContextual"/>
        </w:rPr>
        <w:tab/>
      </w:r>
      <w:r w:rsidRPr="00552F2A">
        <w:rPr>
          <w:rFonts w:cs="Arial"/>
        </w:rPr>
        <w:t>Application</w:t>
      </w:r>
      <w:r>
        <w:tab/>
      </w:r>
      <w:r>
        <w:fldChar w:fldCharType="begin"/>
      </w:r>
      <w:r>
        <w:instrText xml:space="preserve"> PAGEREF _Toc205367452 \h </w:instrText>
      </w:r>
      <w:r>
        <w:fldChar w:fldCharType="separate"/>
      </w:r>
      <w:r>
        <w:t>498</w:t>
      </w:r>
      <w:r>
        <w:fldChar w:fldCharType="end"/>
      </w:r>
    </w:p>
    <w:p w14:paraId="72DB9C61" w14:textId="0B971E5A"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SC6.5.3</w:t>
      </w:r>
      <w:r>
        <w:rPr>
          <w:rFonts w:asciiTheme="minorHAnsi" w:eastAsiaTheme="minorEastAsia" w:hAnsiTheme="minorHAnsi" w:cstheme="minorBidi"/>
          <w:kern w:val="2"/>
          <w:sz w:val="24"/>
          <w:lang w:eastAsia="en-AU"/>
          <w14:ligatures w14:val="standardContextual"/>
        </w:rPr>
        <w:tab/>
      </w:r>
      <w:r w:rsidRPr="00552F2A">
        <w:rPr>
          <w:rFonts w:cs="Arial"/>
        </w:rPr>
        <w:t>Introduction</w:t>
      </w:r>
      <w:r>
        <w:tab/>
      </w:r>
      <w:r>
        <w:fldChar w:fldCharType="begin"/>
      </w:r>
      <w:r>
        <w:instrText xml:space="preserve"> PAGEREF _Toc205367453 \h </w:instrText>
      </w:r>
      <w:r>
        <w:fldChar w:fldCharType="separate"/>
      </w:r>
      <w:r>
        <w:t>498</w:t>
      </w:r>
      <w:r>
        <w:fldChar w:fldCharType="end"/>
      </w:r>
    </w:p>
    <w:p w14:paraId="6E0B39B6" w14:textId="5CDEEF1B"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SC6.5.4</w:t>
      </w:r>
      <w:r>
        <w:rPr>
          <w:rFonts w:asciiTheme="minorHAnsi" w:eastAsiaTheme="minorEastAsia" w:hAnsiTheme="minorHAnsi" w:cstheme="minorBidi"/>
          <w:kern w:val="2"/>
          <w:sz w:val="24"/>
          <w:lang w:eastAsia="en-AU"/>
          <w14:ligatures w14:val="standardContextual"/>
        </w:rPr>
        <w:tab/>
      </w:r>
      <w:r w:rsidRPr="00552F2A">
        <w:rPr>
          <w:rFonts w:cs="Arial"/>
        </w:rPr>
        <w:t>Delivery of works</w:t>
      </w:r>
      <w:r>
        <w:tab/>
      </w:r>
      <w:r>
        <w:fldChar w:fldCharType="begin"/>
      </w:r>
      <w:r>
        <w:instrText xml:space="preserve"> PAGEREF _Toc205367454 \h </w:instrText>
      </w:r>
      <w:r>
        <w:fldChar w:fldCharType="separate"/>
      </w:r>
      <w:r>
        <w:t>498</w:t>
      </w:r>
      <w:r>
        <w:fldChar w:fldCharType="end"/>
      </w:r>
    </w:p>
    <w:p w14:paraId="3FB1DA5A" w14:textId="653F34AD"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SC6.6</w:t>
      </w:r>
      <w:r>
        <w:rPr>
          <w:rFonts w:asciiTheme="minorHAnsi" w:eastAsiaTheme="minorEastAsia" w:hAnsiTheme="minorHAnsi" w:cstheme="minorBidi"/>
          <w:iCs w:val="0"/>
          <w:kern w:val="2"/>
          <w:sz w:val="24"/>
          <w:szCs w:val="24"/>
          <w:lang w:eastAsia="en-AU"/>
          <w14:ligatures w14:val="standardContextual"/>
        </w:rPr>
        <w:tab/>
      </w:r>
      <w:r w:rsidRPr="00552F2A">
        <w:rPr>
          <w:rFonts w:cs="Arial"/>
        </w:rPr>
        <w:t>Beecher/Burua constant flow precinct</w:t>
      </w:r>
      <w:r>
        <w:tab/>
      </w:r>
      <w:r>
        <w:fldChar w:fldCharType="begin"/>
      </w:r>
      <w:r>
        <w:instrText xml:space="preserve"> PAGEREF _Toc205367455 \h </w:instrText>
      </w:r>
      <w:r>
        <w:fldChar w:fldCharType="separate"/>
      </w:r>
      <w:r>
        <w:t>499</w:t>
      </w:r>
      <w:r>
        <w:fldChar w:fldCharType="end"/>
      </w:r>
    </w:p>
    <w:p w14:paraId="25128371" w14:textId="627B78CF"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SC6.6.1</w:t>
      </w:r>
      <w:r>
        <w:rPr>
          <w:rFonts w:asciiTheme="minorHAnsi" w:eastAsiaTheme="minorEastAsia" w:hAnsiTheme="minorHAnsi" w:cstheme="minorBidi"/>
          <w:kern w:val="2"/>
          <w:sz w:val="24"/>
          <w:lang w:eastAsia="en-AU"/>
          <w14:ligatures w14:val="standardContextual"/>
        </w:rPr>
        <w:tab/>
      </w:r>
      <w:r w:rsidRPr="00552F2A">
        <w:rPr>
          <w:rFonts w:cs="Arial"/>
        </w:rPr>
        <w:t>Purpose</w:t>
      </w:r>
      <w:r>
        <w:tab/>
      </w:r>
      <w:r>
        <w:fldChar w:fldCharType="begin"/>
      </w:r>
      <w:r>
        <w:instrText xml:space="preserve"> PAGEREF _Toc205367456 \h </w:instrText>
      </w:r>
      <w:r>
        <w:fldChar w:fldCharType="separate"/>
      </w:r>
      <w:r>
        <w:t>499</w:t>
      </w:r>
      <w:r>
        <w:fldChar w:fldCharType="end"/>
      </w:r>
    </w:p>
    <w:p w14:paraId="52494A3C" w14:textId="182FC75F"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SC6.6.2</w:t>
      </w:r>
      <w:r>
        <w:rPr>
          <w:rFonts w:asciiTheme="minorHAnsi" w:eastAsiaTheme="minorEastAsia" w:hAnsiTheme="minorHAnsi" w:cstheme="minorBidi"/>
          <w:kern w:val="2"/>
          <w:sz w:val="24"/>
          <w:lang w:eastAsia="en-AU"/>
          <w14:ligatures w14:val="standardContextual"/>
        </w:rPr>
        <w:tab/>
      </w:r>
      <w:r w:rsidRPr="00552F2A">
        <w:rPr>
          <w:rFonts w:cs="Arial"/>
        </w:rPr>
        <w:t>Application</w:t>
      </w:r>
      <w:r>
        <w:tab/>
      </w:r>
      <w:r>
        <w:fldChar w:fldCharType="begin"/>
      </w:r>
      <w:r>
        <w:instrText xml:space="preserve"> PAGEREF _Toc205367457 \h </w:instrText>
      </w:r>
      <w:r>
        <w:fldChar w:fldCharType="separate"/>
      </w:r>
      <w:r>
        <w:t>499</w:t>
      </w:r>
      <w:r>
        <w:fldChar w:fldCharType="end"/>
      </w:r>
    </w:p>
    <w:p w14:paraId="60B1C4E0" w14:textId="107E51AC"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SC6.6.3</w:t>
      </w:r>
      <w:r>
        <w:rPr>
          <w:rFonts w:asciiTheme="minorHAnsi" w:eastAsiaTheme="minorEastAsia" w:hAnsiTheme="minorHAnsi" w:cstheme="minorBidi"/>
          <w:kern w:val="2"/>
          <w:sz w:val="24"/>
          <w:lang w:eastAsia="en-AU"/>
          <w14:ligatures w14:val="standardContextual"/>
        </w:rPr>
        <w:tab/>
      </w:r>
      <w:r w:rsidRPr="00552F2A">
        <w:rPr>
          <w:rFonts w:cs="Arial"/>
        </w:rPr>
        <w:t>Introduction</w:t>
      </w:r>
      <w:r>
        <w:tab/>
      </w:r>
      <w:r>
        <w:fldChar w:fldCharType="begin"/>
      </w:r>
      <w:r>
        <w:instrText xml:space="preserve"> PAGEREF _Toc205367458 \h </w:instrText>
      </w:r>
      <w:r>
        <w:fldChar w:fldCharType="separate"/>
      </w:r>
      <w:r>
        <w:t>499</w:t>
      </w:r>
      <w:r>
        <w:fldChar w:fldCharType="end"/>
      </w:r>
    </w:p>
    <w:p w14:paraId="1EDAA07D" w14:textId="33FEFC32"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SC6.6.4</w:t>
      </w:r>
      <w:r>
        <w:rPr>
          <w:rFonts w:asciiTheme="minorHAnsi" w:eastAsiaTheme="minorEastAsia" w:hAnsiTheme="minorHAnsi" w:cstheme="minorBidi"/>
          <w:kern w:val="2"/>
          <w:sz w:val="24"/>
          <w:lang w:eastAsia="en-AU"/>
          <w14:ligatures w14:val="standardContextual"/>
        </w:rPr>
        <w:tab/>
      </w:r>
      <w:r w:rsidRPr="00552F2A">
        <w:rPr>
          <w:rFonts w:cs="Arial"/>
        </w:rPr>
        <w:t>Water capacity and future development potential</w:t>
      </w:r>
      <w:r>
        <w:tab/>
      </w:r>
      <w:r>
        <w:fldChar w:fldCharType="begin"/>
      </w:r>
      <w:r>
        <w:instrText xml:space="preserve"> PAGEREF _Toc205367459 \h </w:instrText>
      </w:r>
      <w:r>
        <w:fldChar w:fldCharType="separate"/>
      </w:r>
      <w:r>
        <w:t>499</w:t>
      </w:r>
      <w:r>
        <w:fldChar w:fldCharType="end"/>
      </w:r>
    </w:p>
    <w:p w14:paraId="444BB074" w14:textId="55E09479"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SC6.7</w:t>
      </w:r>
      <w:r>
        <w:rPr>
          <w:rFonts w:asciiTheme="minorHAnsi" w:eastAsiaTheme="minorEastAsia" w:hAnsiTheme="minorHAnsi" w:cstheme="minorBidi"/>
          <w:iCs w:val="0"/>
          <w:kern w:val="2"/>
          <w:sz w:val="24"/>
          <w:szCs w:val="24"/>
          <w:lang w:eastAsia="en-AU"/>
          <w14:ligatures w14:val="standardContextual"/>
        </w:rPr>
        <w:tab/>
      </w:r>
      <w:r w:rsidRPr="00552F2A">
        <w:rPr>
          <w:rFonts w:cs="Arial"/>
        </w:rPr>
        <w:t>Flood hazard</w:t>
      </w:r>
      <w:r>
        <w:tab/>
      </w:r>
      <w:r>
        <w:fldChar w:fldCharType="begin"/>
      </w:r>
      <w:r>
        <w:instrText xml:space="preserve"> PAGEREF _Toc205367460 \h </w:instrText>
      </w:r>
      <w:r>
        <w:fldChar w:fldCharType="separate"/>
      </w:r>
      <w:r>
        <w:t>499</w:t>
      </w:r>
      <w:r>
        <w:fldChar w:fldCharType="end"/>
      </w:r>
    </w:p>
    <w:p w14:paraId="26BD3233" w14:textId="4624000F"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SC6.7.1</w:t>
      </w:r>
      <w:r>
        <w:rPr>
          <w:rFonts w:asciiTheme="minorHAnsi" w:eastAsiaTheme="minorEastAsia" w:hAnsiTheme="minorHAnsi" w:cstheme="minorBidi"/>
          <w:kern w:val="2"/>
          <w:sz w:val="24"/>
          <w:lang w:eastAsia="en-AU"/>
          <w14:ligatures w14:val="standardContextual"/>
        </w:rPr>
        <w:tab/>
      </w:r>
      <w:r w:rsidRPr="00552F2A">
        <w:rPr>
          <w:rFonts w:cs="Arial"/>
        </w:rPr>
        <w:t>Purpose</w:t>
      </w:r>
      <w:r>
        <w:tab/>
      </w:r>
      <w:r>
        <w:fldChar w:fldCharType="begin"/>
      </w:r>
      <w:r>
        <w:instrText xml:space="preserve"> PAGEREF _Toc205367461 \h </w:instrText>
      </w:r>
      <w:r>
        <w:fldChar w:fldCharType="separate"/>
      </w:r>
      <w:r>
        <w:t>499</w:t>
      </w:r>
      <w:r>
        <w:fldChar w:fldCharType="end"/>
      </w:r>
    </w:p>
    <w:p w14:paraId="433BA31F" w14:textId="5BD2F502"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SC6.7.2</w:t>
      </w:r>
      <w:r>
        <w:rPr>
          <w:rFonts w:asciiTheme="minorHAnsi" w:eastAsiaTheme="minorEastAsia" w:hAnsiTheme="minorHAnsi" w:cstheme="minorBidi"/>
          <w:kern w:val="2"/>
          <w:sz w:val="24"/>
          <w:lang w:eastAsia="en-AU"/>
          <w14:ligatures w14:val="standardContextual"/>
        </w:rPr>
        <w:tab/>
      </w:r>
      <w:r w:rsidRPr="00552F2A">
        <w:rPr>
          <w:rFonts w:cs="Arial"/>
        </w:rPr>
        <w:t>Application</w:t>
      </w:r>
      <w:r>
        <w:tab/>
      </w:r>
      <w:r>
        <w:fldChar w:fldCharType="begin"/>
      </w:r>
      <w:r>
        <w:instrText xml:space="preserve"> PAGEREF _Toc205367462 \h </w:instrText>
      </w:r>
      <w:r>
        <w:fldChar w:fldCharType="separate"/>
      </w:r>
      <w:r>
        <w:t>499</w:t>
      </w:r>
      <w:r>
        <w:fldChar w:fldCharType="end"/>
      </w:r>
    </w:p>
    <w:p w14:paraId="61EDB8DF" w14:textId="457A24D7"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SC6.7.3</w:t>
      </w:r>
      <w:r>
        <w:rPr>
          <w:rFonts w:asciiTheme="minorHAnsi" w:eastAsiaTheme="minorEastAsia" w:hAnsiTheme="minorHAnsi" w:cstheme="minorBidi"/>
          <w:kern w:val="2"/>
          <w:sz w:val="24"/>
          <w:lang w:eastAsia="en-AU"/>
          <w14:ligatures w14:val="standardContextual"/>
        </w:rPr>
        <w:tab/>
      </w:r>
      <w:r w:rsidRPr="00552F2A">
        <w:rPr>
          <w:rFonts w:cs="Arial"/>
        </w:rPr>
        <w:t>Background information—Flood mapping</w:t>
      </w:r>
      <w:r>
        <w:tab/>
      </w:r>
      <w:r>
        <w:fldChar w:fldCharType="begin"/>
      </w:r>
      <w:r>
        <w:instrText xml:space="preserve"> PAGEREF _Toc205367463 \h </w:instrText>
      </w:r>
      <w:r>
        <w:fldChar w:fldCharType="separate"/>
      </w:r>
      <w:r>
        <w:t>499</w:t>
      </w:r>
      <w:r>
        <w:fldChar w:fldCharType="end"/>
      </w:r>
    </w:p>
    <w:p w14:paraId="77DA3054" w14:textId="5DEFB789"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SC6.7.4</w:t>
      </w:r>
      <w:r>
        <w:rPr>
          <w:rFonts w:asciiTheme="minorHAnsi" w:eastAsiaTheme="minorEastAsia" w:hAnsiTheme="minorHAnsi" w:cstheme="minorBidi"/>
          <w:kern w:val="2"/>
          <w:sz w:val="24"/>
          <w:lang w:eastAsia="en-AU"/>
          <w14:ligatures w14:val="standardContextual"/>
        </w:rPr>
        <w:tab/>
      </w:r>
      <w:r w:rsidRPr="00552F2A">
        <w:rPr>
          <w:rFonts w:cs="Arial"/>
        </w:rPr>
        <w:t>Guidelines for achieving Flood hazard overlay code outcomes</w:t>
      </w:r>
      <w:r>
        <w:tab/>
      </w:r>
      <w:r>
        <w:fldChar w:fldCharType="begin"/>
      </w:r>
      <w:r>
        <w:instrText xml:space="preserve"> PAGEREF _Toc205367464 \h </w:instrText>
      </w:r>
      <w:r>
        <w:fldChar w:fldCharType="separate"/>
      </w:r>
      <w:r>
        <w:t>499</w:t>
      </w:r>
      <w:r>
        <w:fldChar w:fldCharType="end"/>
      </w:r>
    </w:p>
    <w:p w14:paraId="087D073F" w14:textId="2ADE8578"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SC6.7.5</w:t>
      </w:r>
      <w:r>
        <w:rPr>
          <w:rFonts w:asciiTheme="minorHAnsi" w:eastAsiaTheme="minorEastAsia" w:hAnsiTheme="minorHAnsi" w:cstheme="minorBidi"/>
          <w:kern w:val="2"/>
          <w:sz w:val="24"/>
          <w:lang w:eastAsia="en-AU"/>
          <w14:ligatures w14:val="standardContextual"/>
        </w:rPr>
        <w:tab/>
      </w:r>
      <w:r w:rsidRPr="00552F2A">
        <w:rPr>
          <w:rFonts w:cs="Arial"/>
        </w:rPr>
        <w:t>Climate change/variability</w:t>
      </w:r>
      <w:r>
        <w:tab/>
      </w:r>
      <w:r>
        <w:fldChar w:fldCharType="begin"/>
      </w:r>
      <w:r>
        <w:instrText xml:space="preserve"> PAGEREF _Toc205367465 \h </w:instrText>
      </w:r>
      <w:r>
        <w:fldChar w:fldCharType="separate"/>
      </w:r>
      <w:r>
        <w:t>500</w:t>
      </w:r>
      <w:r>
        <w:fldChar w:fldCharType="end"/>
      </w:r>
    </w:p>
    <w:p w14:paraId="3F8BB1C3" w14:textId="2EAC7E85"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SC6.7.6</w:t>
      </w:r>
      <w:r>
        <w:rPr>
          <w:rFonts w:asciiTheme="minorHAnsi" w:eastAsiaTheme="minorEastAsia" w:hAnsiTheme="minorHAnsi" w:cstheme="minorBidi"/>
          <w:kern w:val="2"/>
          <w:sz w:val="24"/>
          <w:lang w:eastAsia="en-AU"/>
          <w14:ligatures w14:val="standardContextual"/>
        </w:rPr>
        <w:tab/>
      </w:r>
      <w:r w:rsidRPr="00552F2A">
        <w:rPr>
          <w:rFonts w:cs="Arial"/>
        </w:rPr>
        <w:t>Guidelines for the preparation of a flood hazard assessment report and flood hazard mitigation report</w:t>
      </w:r>
      <w:r>
        <w:tab/>
      </w:r>
      <w:r>
        <w:fldChar w:fldCharType="begin"/>
      </w:r>
      <w:r>
        <w:instrText xml:space="preserve"> PAGEREF _Toc205367466 \h </w:instrText>
      </w:r>
      <w:r>
        <w:fldChar w:fldCharType="separate"/>
      </w:r>
      <w:r>
        <w:t>500</w:t>
      </w:r>
      <w:r>
        <w:fldChar w:fldCharType="end"/>
      </w:r>
    </w:p>
    <w:p w14:paraId="6D2F5051" w14:textId="32F83CBD"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SC6.7.7</w:t>
      </w:r>
      <w:r>
        <w:rPr>
          <w:rFonts w:asciiTheme="minorHAnsi" w:eastAsiaTheme="minorEastAsia" w:hAnsiTheme="minorHAnsi" w:cstheme="minorBidi"/>
          <w:kern w:val="2"/>
          <w:sz w:val="24"/>
          <w:lang w:eastAsia="en-AU"/>
          <w14:ligatures w14:val="standardContextual"/>
        </w:rPr>
        <w:tab/>
      </w:r>
      <w:r w:rsidRPr="00552F2A">
        <w:rPr>
          <w:rFonts w:cs="Arial"/>
        </w:rPr>
        <w:t>Appendix 1</w:t>
      </w:r>
      <w:r>
        <w:tab/>
      </w:r>
      <w:r>
        <w:fldChar w:fldCharType="begin"/>
      </w:r>
      <w:r>
        <w:instrText xml:space="preserve"> PAGEREF _Toc205367467 \h </w:instrText>
      </w:r>
      <w:r>
        <w:fldChar w:fldCharType="separate"/>
      </w:r>
      <w:r>
        <w:t>501</w:t>
      </w:r>
      <w:r>
        <w:fldChar w:fldCharType="end"/>
      </w:r>
    </w:p>
    <w:p w14:paraId="4B292265" w14:textId="6FAAF894"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SC6.7.8</w:t>
      </w:r>
      <w:r>
        <w:rPr>
          <w:rFonts w:asciiTheme="minorHAnsi" w:eastAsiaTheme="minorEastAsia" w:hAnsiTheme="minorHAnsi" w:cstheme="minorBidi"/>
          <w:kern w:val="2"/>
          <w:sz w:val="24"/>
          <w:lang w:eastAsia="en-AU"/>
          <w14:ligatures w14:val="standardContextual"/>
        </w:rPr>
        <w:tab/>
      </w:r>
      <w:r w:rsidRPr="00552F2A">
        <w:rPr>
          <w:rFonts w:cs="Arial"/>
        </w:rPr>
        <w:t>Floodplain risk management</w:t>
      </w:r>
      <w:r>
        <w:tab/>
      </w:r>
      <w:r>
        <w:fldChar w:fldCharType="begin"/>
      </w:r>
      <w:r>
        <w:instrText xml:space="preserve"> PAGEREF _Toc205367468 \h </w:instrText>
      </w:r>
      <w:r>
        <w:fldChar w:fldCharType="separate"/>
      </w:r>
      <w:r>
        <w:t>501</w:t>
      </w:r>
      <w:r>
        <w:fldChar w:fldCharType="end"/>
      </w:r>
    </w:p>
    <w:p w14:paraId="041956FC" w14:textId="448B9B5F"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SC6.8</w:t>
      </w:r>
      <w:r>
        <w:rPr>
          <w:rFonts w:asciiTheme="minorHAnsi" w:eastAsiaTheme="minorEastAsia" w:hAnsiTheme="minorHAnsi" w:cstheme="minorBidi"/>
          <w:iCs w:val="0"/>
          <w:kern w:val="2"/>
          <w:sz w:val="24"/>
          <w:szCs w:val="24"/>
          <w:lang w:eastAsia="en-AU"/>
          <w14:ligatures w14:val="standardContextual"/>
        </w:rPr>
        <w:tab/>
      </w:r>
      <w:r w:rsidRPr="00552F2A">
        <w:rPr>
          <w:rFonts w:cs="Arial"/>
        </w:rPr>
        <w:t>Heritage</w:t>
      </w:r>
      <w:r>
        <w:tab/>
      </w:r>
      <w:r>
        <w:fldChar w:fldCharType="begin"/>
      </w:r>
      <w:r>
        <w:instrText xml:space="preserve"> PAGEREF _Toc205367469 \h </w:instrText>
      </w:r>
      <w:r>
        <w:fldChar w:fldCharType="separate"/>
      </w:r>
      <w:r>
        <w:t>501</w:t>
      </w:r>
      <w:r>
        <w:fldChar w:fldCharType="end"/>
      </w:r>
    </w:p>
    <w:p w14:paraId="5B2AB04D" w14:textId="7C39B0C2"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SC6.8.1</w:t>
      </w:r>
      <w:r>
        <w:rPr>
          <w:rFonts w:asciiTheme="minorHAnsi" w:eastAsiaTheme="minorEastAsia" w:hAnsiTheme="minorHAnsi" w:cstheme="minorBidi"/>
          <w:kern w:val="2"/>
          <w:sz w:val="24"/>
          <w:lang w:eastAsia="en-AU"/>
          <w14:ligatures w14:val="standardContextual"/>
        </w:rPr>
        <w:tab/>
      </w:r>
      <w:r w:rsidRPr="00552F2A">
        <w:rPr>
          <w:rFonts w:cs="Arial"/>
        </w:rPr>
        <w:t>Introduction</w:t>
      </w:r>
      <w:r>
        <w:tab/>
      </w:r>
      <w:r>
        <w:fldChar w:fldCharType="begin"/>
      </w:r>
      <w:r>
        <w:instrText xml:space="preserve"> PAGEREF _Toc205367470 \h </w:instrText>
      </w:r>
      <w:r>
        <w:fldChar w:fldCharType="separate"/>
      </w:r>
      <w:r>
        <w:t>501</w:t>
      </w:r>
      <w:r>
        <w:fldChar w:fldCharType="end"/>
      </w:r>
    </w:p>
    <w:p w14:paraId="0FBA6101" w14:textId="316227B5"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SC6.8.2</w:t>
      </w:r>
      <w:r>
        <w:rPr>
          <w:rFonts w:asciiTheme="minorHAnsi" w:eastAsiaTheme="minorEastAsia" w:hAnsiTheme="minorHAnsi" w:cstheme="minorBidi"/>
          <w:kern w:val="2"/>
          <w:sz w:val="24"/>
          <w:lang w:eastAsia="en-AU"/>
          <w14:ligatures w14:val="standardContextual"/>
        </w:rPr>
        <w:tab/>
      </w:r>
      <w:r w:rsidRPr="00552F2A">
        <w:rPr>
          <w:rFonts w:cs="Arial"/>
        </w:rPr>
        <w:t>Purpose</w:t>
      </w:r>
      <w:r>
        <w:tab/>
      </w:r>
      <w:r>
        <w:fldChar w:fldCharType="begin"/>
      </w:r>
      <w:r>
        <w:instrText xml:space="preserve"> PAGEREF _Toc205367471 \h </w:instrText>
      </w:r>
      <w:r>
        <w:fldChar w:fldCharType="separate"/>
      </w:r>
      <w:r>
        <w:t>501</w:t>
      </w:r>
      <w:r>
        <w:fldChar w:fldCharType="end"/>
      </w:r>
    </w:p>
    <w:p w14:paraId="7C280D78" w14:textId="3CA8AA34"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SC6.8.3</w:t>
      </w:r>
      <w:r>
        <w:rPr>
          <w:rFonts w:asciiTheme="minorHAnsi" w:eastAsiaTheme="minorEastAsia" w:hAnsiTheme="minorHAnsi" w:cstheme="minorBidi"/>
          <w:kern w:val="2"/>
          <w:sz w:val="24"/>
          <w:lang w:eastAsia="en-AU"/>
          <w14:ligatures w14:val="standardContextual"/>
        </w:rPr>
        <w:tab/>
      </w:r>
      <w:r w:rsidRPr="00552F2A">
        <w:rPr>
          <w:rFonts w:cs="Arial"/>
        </w:rPr>
        <w:t>Legislative authority</w:t>
      </w:r>
      <w:r>
        <w:tab/>
      </w:r>
      <w:r>
        <w:fldChar w:fldCharType="begin"/>
      </w:r>
      <w:r>
        <w:instrText xml:space="preserve"> PAGEREF _Toc205367472 \h </w:instrText>
      </w:r>
      <w:r>
        <w:fldChar w:fldCharType="separate"/>
      </w:r>
      <w:r>
        <w:t>501</w:t>
      </w:r>
      <w:r>
        <w:fldChar w:fldCharType="end"/>
      </w:r>
    </w:p>
    <w:p w14:paraId="2799B7F2" w14:textId="55DB19A6"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SC6.8.4</w:t>
      </w:r>
      <w:r>
        <w:rPr>
          <w:rFonts w:asciiTheme="minorHAnsi" w:eastAsiaTheme="minorEastAsia" w:hAnsiTheme="minorHAnsi" w:cstheme="minorBidi"/>
          <w:kern w:val="2"/>
          <w:sz w:val="24"/>
          <w:lang w:eastAsia="en-AU"/>
          <w14:ligatures w14:val="standardContextual"/>
        </w:rPr>
        <w:tab/>
      </w:r>
      <w:r w:rsidRPr="00552F2A">
        <w:rPr>
          <w:rFonts w:cs="Arial"/>
        </w:rPr>
        <w:t>Terminology</w:t>
      </w:r>
      <w:r>
        <w:tab/>
      </w:r>
      <w:r>
        <w:fldChar w:fldCharType="begin"/>
      </w:r>
      <w:r>
        <w:instrText xml:space="preserve"> PAGEREF _Toc205367473 \h </w:instrText>
      </w:r>
      <w:r>
        <w:fldChar w:fldCharType="separate"/>
      </w:r>
      <w:r>
        <w:t>502</w:t>
      </w:r>
      <w:r>
        <w:fldChar w:fldCharType="end"/>
      </w:r>
    </w:p>
    <w:p w14:paraId="4F32826D" w14:textId="0CE82970"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SC6.8.5</w:t>
      </w:r>
      <w:r>
        <w:rPr>
          <w:rFonts w:asciiTheme="minorHAnsi" w:eastAsiaTheme="minorEastAsia" w:hAnsiTheme="minorHAnsi" w:cstheme="minorBidi"/>
          <w:kern w:val="2"/>
          <w:sz w:val="24"/>
          <w:lang w:eastAsia="en-AU"/>
          <w14:ligatures w14:val="standardContextual"/>
        </w:rPr>
        <w:tab/>
      </w:r>
      <w:r w:rsidRPr="00552F2A">
        <w:rPr>
          <w:rFonts w:cs="Arial"/>
        </w:rPr>
        <w:t>Development within a heritage place</w:t>
      </w:r>
      <w:r>
        <w:tab/>
      </w:r>
      <w:r>
        <w:fldChar w:fldCharType="begin"/>
      </w:r>
      <w:r>
        <w:instrText xml:space="preserve"> PAGEREF _Toc205367474 \h </w:instrText>
      </w:r>
      <w:r>
        <w:fldChar w:fldCharType="separate"/>
      </w:r>
      <w:r>
        <w:t>502</w:t>
      </w:r>
      <w:r>
        <w:fldChar w:fldCharType="end"/>
      </w:r>
    </w:p>
    <w:p w14:paraId="5FC25C53" w14:textId="5B52714D"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SC6.8.6</w:t>
      </w:r>
      <w:r>
        <w:rPr>
          <w:rFonts w:asciiTheme="minorHAnsi" w:eastAsiaTheme="minorEastAsia" w:hAnsiTheme="minorHAnsi" w:cstheme="minorBidi"/>
          <w:kern w:val="2"/>
          <w:sz w:val="24"/>
          <w:lang w:eastAsia="en-AU"/>
          <w14:ligatures w14:val="standardContextual"/>
        </w:rPr>
        <w:tab/>
      </w:r>
      <w:r w:rsidRPr="00552F2A">
        <w:rPr>
          <w:rFonts w:cs="Arial"/>
        </w:rPr>
        <w:t>Entering or removing a place from the Local Heritage Register (LHR)</w:t>
      </w:r>
      <w:r>
        <w:tab/>
      </w:r>
      <w:r>
        <w:fldChar w:fldCharType="begin"/>
      </w:r>
      <w:r>
        <w:instrText xml:space="preserve"> PAGEREF _Toc205367475 \h </w:instrText>
      </w:r>
      <w:r>
        <w:fldChar w:fldCharType="separate"/>
      </w:r>
      <w:r>
        <w:t>503</w:t>
      </w:r>
      <w:r>
        <w:fldChar w:fldCharType="end"/>
      </w:r>
    </w:p>
    <w:p w14:paraId="3E5CB5FE" w14:textId="0B5A2931"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SC6.8.7</w:t>
      </w:r>
      <w:r>
        <w:rPr>
          <w:rFonts w:asciiTheme="minorHAnsi" w:eastAsiaTheme="minorEastAsia" w:hAnsiTheme="minorHAnsi" w:cstheme="minorBidi"/>
          <w:kern w:val="2"/>
          <w:sz w:val="24"/>
          <w:lang w:eastAsia="en-AU"/>
          <w14:ligatures w14:val="standardContextual"/>
        </w:rPr>
        <w:tab/>
      </w:r>
      <w:r w:rsidRPr="00552F2A">
        <w:rPr>
          <w:rFonts w:cs="Arial"/>
        </w:rPr>
        <w:t>Criteria for assessment</w:t>
      </w:r>
      <w:r>
        <w:tab/>
      </w:r>
      <w:r>
        <w:fldChar w:fldCharType="begin"/>
      </w:r>
      <w:r>
        <w:instrText xml:space="preserve"> PAGEREF _Toc205367476 \h </w:instrText>
      </w:r>
      <w:r>
        <w:fldChar w:fldCharType="separate"/>
      </w:r>
      <w:r>
        <w:t>505</w:t>
      </w:r>
      <w:r>
        <w:fldChar w:fldCharType="end"/>
      </w:r>
    </w:p>
    <w:p w14:paraId="05BEA2F3" w14:textId="27514979"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SC6.9</w:t>
      </w:r>
      <w:r>
        <w:rPr>
          <w:rFonts w:asciiTheme="minorHAnsi" w:eastAsiaTheme="minorEastAsia" w:hAnsiTheme="minorHAnsi" w:cstheme="minorBidi"/>
          <w:iCs w:val="0"/>
          <w:kern w:val="2"/>
          <w:sz w:val="24"/>
          <w:szCs w:val="24"/>
          <w:lang w:eastAsia="en-AU"/>
          <w14:ligatures w14:val="standardContextual"/>
        </w:rPr>
        <w:tab/>
      </w:r>
      <w:r w:rsidRPr="00552F2A">
        <w:rPr>
          <w:rFonts w:cs="Arial"/>
        </w:rPr>
        <w:t>Non–resident workers accommodation</w:t>
      </w:r>
      <w:r>
        <w:tab/>
      </w:r>
      <w:r>
        <w:fldChar w:fldCharType="begin"/>
      </w:r>
      <w:r>
        <w:instrText xml:space="preserve"> PAGEREF _Toc205367477 \h </w:instrText>
      </w:r>
      <w:r>
        <w:fldChar w:fldCharType="separate"/>
      </w:r>
      <w:r>
        <w:t>505</w:t>
      </w:r>
      <w:r>
        <w:fldChar w:fldCharType="end"/>
      </w:r>
    </w:p>
    <w:p w14:paraId="7D7DF74D" w14:textId="6328573E"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SC6.9.1</w:t>
      </w:r>
      <w:r>
        <w:rPr>
          <w:rFonts w:asciiTheme="minorHAnsi" w:eastAsiaTheme="minorEastAsia" w:hAnsiTheme="minorHAnsi" w:cstheme="minorBidi"/>
          <w:kern w:val="2"/>
          <w:sz w:val="24"/>
          <w:lang w:eastAsia="en-AU"/>
          <w14:ligatures w14:val="standardContextual"/>
        </w:rPr>
        <w:tab/>
      </w:r>
      <w:r w:rsidRPr="00552F2A">
        <w:rPr>
          <w:rFonts w:cs="Arial"/>
        </w:rPr>
        <w:t>Introduction</w:t>
      </w:r>
      <w:r>
        <w:tab/>
      </w:r>
      <w:r>
        <w:fldChar w:fldCharType="begin"/>
      </w:r>
      <w:r>
        <w:instrText xml:space="preserve"> PAGEREF _Toc205367478 \h </w:instrText>
      </w:r>
      <w:r>
        <w:fldChar w:fldCharType="separate"/>
      </w:r>
      <w:r>
        <w:t>505</w:t>
      </w:r>
      <w:r>
        <w:fldChar w:fldCharType="end"/>
      </w:r>
    </w:p>
    <w:p w14:paraId="6485398F" w14:textId="1572AED5"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SC6.9.2</w:t>
      </w:r>
      <w:r>
        <w:rPr>
          <w:rFonts w:asciiTheme="minorHAnsi" w:eastAsiaTheme="minorEastAsia" w:hAnsiTheme="minorHAnsi" w:cstheme="minorBidi"/>
          <w:kern w:val="2"/>
          <w:sz w:val="24"/>
          <w:lang w:eastAsia="en-AU"/>
          <w14:ligatures w14:val="standardContextual"/>
        </w:rPr>
        <w:tab/>
      </w:r>
      <w:r w:rsidRPr="00552F2A">
        <w:rPr>
          <w:rFonts w:cs="Arial"/>
        </w:rPr>
        <w:t>Location</w:t>
      </w:r>
      <w:r>
        <w:tab/>
      </w:r>
      <w:r>
        <w:fldChar w:fldCharType="begin"/>
      </w:r>
      <w:r>
        <w:instrText xml:space="preserve"> PAGEREF _Toc205367479 \h </w:instrText>
      </w:r>
      <w:r>
        <w:fldChar w:fldCharType="separate"/>
      </w:r>
      <w:r>
        <w:t>506</w:t>
      </w:r>
      <w:r>
        <w:fldChar w:fldCharType="end"/>
      </w:r>
    </w:p>
    <w:p w14:paraId="65FE1510" w14:textId="0FD1038A"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SC6.9.3</w:t>
      </w:r>
      <w:r>
        <w:rPr>
          <w:rFonts w:asciiTheme="minorHAnsi" w:eastAsiaTheme="minorEastAsia" w:hAnsiTheme="minorHAnsi" w:cstheme="minorBidi"/>
          <w:kern w:val="2"/>
          <w:sz w:val="24"/>
          <w:lang w:eastAsia="en-AU"/>
          <w14:ligatures w14:val="standardContextual"/>
        </w:rPr>
        <w:tab/>
      </w:r>
      <w:r w:rsidRPr="00552F2A">
        <w:rPr>
          <w:rFonts w:cs="Arial"/>
        </w:rPr>
        <w:t>Site area</w:t>
      </w:r>
      <w:r>
        <w:tab/>
      </w:r>
      <w:r>
        <w:fldChar w:fldCharType="begin"/>
      </w:r>
      <w:r>
        <w:instrText xml:space="preserve"> PAGEREF _Toc205367480 \h </w:instrText>
      </w:r>
      <w:r>
        <w:fldChar w:fldCharType="separate"/>
      </w:r>
      <w:r>
        <w:t>506</w:t>
      </w:r>
      <w:r>
        <w:fldChar w:fldCharType="end"/>
      </w:r>
    </w:p>
    <w:p w14:paraId="5F7AF927" w14:textId="2038EDAD"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SC6.9.4</w:t>
      </w:r>
      <w:r>
        <w:rPr>
          <w:rFonts w:asciiTheme="minorHAnsi" w:eastAsiaTheme="minorEastAsia" w:hAnsiTheme="minorHAnsi" w:cstheme="minorBidi"/>
          <w:kern w:val="2"/>
          <w:sz w:val="24"/>
          <w:lang w:eastAsia="en-AU"/>
          <w14:ligatures w14:val="standardContextual"/>
        </w:rPr>
        <w:tab/>
      </w:r>
      <w:r w:rsidRPr="00552F2A">
        <w:rPr>
          <w:rFonts w:cs="Arial"/>
        </w:rPr>
        <w:t>Infrastructure and services</w:t>
      </w:r>
      <w:r>
        <w:tab/>
      </w:r>
      <w:r>
        <w:fldChar w:fldCharType="begin"/>
      </w:r>
      <w:r>
        <w:instrText xml:space="preserve"> PAGEREF _Toc205367481 \h </w:instrText>
      </w:r>
      <w:r>
        <w:fldChar w:fldCharType="separate"/>
      </w:r>
      <w:r>
        <w:t>507</w:t>
      </w:r>
      <w:r>
        <w:fldChar w:fldCharType="end"/>
      </w:r>
    </w:p>
    <w:p w14:paraId="0BB52E0E" w14:textId="1498C490"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SC6.9.5</w:t>
      </w:r>
      <w:r>
        <w:rPr>
          <w:rFonts w:asciiTheme="minorHAnsi" w:eastAsiaTheme="minorEastAsia" w:hAnsiTheme="minorHAnsi" w:cstheme="minorBidi"/>
          <w:kern w:val="2"/>
          <w:sz w:val="24"/>
          <w:lang w:eastAsia="en-AU"/>
          <w14:ligatures w14:val="standardContextual"/>
        </w:rPr>
        <w:tab/>
      </w:r>
      <w:r w:rsidRPr="00552F2A">
        <w:rPr>
          <w:rFonts w:cs="Arial"/>
        </w:rPr>
        <w:t>Connectivity</w:t>
      </w:r>
      <w:r>
        <w:tab/>
      </w:r>
      <w:r>
        <w:fldChar w:fldCharType="begin"/>
      </w:r>
      <w:r>
        <w:instrText xml:space="preserve"> PAGEREF _Toc205367482 \h </w:instrText>
      </w:r>
      <w:r>
        <w:fldChar w:fldCharType="separate"/>
      </w:r>
      <w:r>
        <w:t>507</w:t>
      </w:r>
      <w:r>
        <w:fldChar w:fldCharType="end"/>
      </w:r>
    </w:p>
    <w:p w14:paraId="40B47D3E" w14:textId="2255EC06"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SC6.9.6</w:t>
      </w:r>
      <w:r>
        <w:rPr>
          <w:rFonts w:asciiTheme="minorHAnsi" w:eastAsiaTheme="minorEastAsia" w:hAnsiTheme="minorHAnsi" w:cstheme="minorBidi"/>
          <w:kern w:val="2"/>
          <w:sz w:val="24"/>
          <w:lang w:eastAsia="en-AU"/>
          <w14:ligatures w14:val="standardContextual"/>
        </w:rPr>
        <w:tab/>
      </w:r>
      <w:r w:rsidRPr="00552F2A">
        <w:rPr>
          <w:rFonts w:cs="Arial"/>
        </w:rPr>
        <w:t>Built form</w:t>
      </w:r>
      <w:r>
        <w:tab/>
      </w:r>
      <w:r>
        <w:fldChar w:fldCharType="begin"/>
      </w:r>
      <w:r>
        <w:instrText xml:space="preserve"> PAGEREF _Toc205367483 \h </w:instrText>
      </w:r>
      <w:r>
        <w:fldChar w:fldCharType="separate"/>
      </w:r>
      <w:r>
        <w:t>508</w:t>
      </w:r>
      <w:r>
        <w:fldChar w:fldCharType="end"/>
      </w:r>
    </w:p>
    <w:p w14:paraId="6735892A" w14:textId="58149A65"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SC6.9.7</w:t>
      </w:r>
      <w:r>
        <w:rPr>
          <w:rFonts w:asciiTheme="minorHAnsi" w:eastAsiaTheme="minorEastAsia" w:hAnsiTheme="minorHAnsi" w:cstheme="minorBidi"/>
          <w:kern w:val="2"/>
          <w:sz w:val="24"/>
          <w:lang w:eastAsia="en-AU"/>
          <w14:ligatures w14:val="standardContextual"/>
        </w:rPr>
        <w:tab/>
      </w:r>
      <w:r w:rsidRPr="00552F2A">
        <w:rPr>
          <w:rFonts w:cs="Arial"/>
        </w:rPr>
        <w:t>Vehicle, pedestrian and cycle movement</w:t>
      </w:r>
      <w:r>
        <w:tab/>
      </w:r>
      <w:r>
        <w:fldChar w:fldCharType="begin"/>
      </w:r>
      <w:r>
        <w:instrText xml:space="preserve"> PAGEREF _Toc205367484 \h </w:instrText>
      </w:r>
      <w:r>
        <w:fldChar w:fldCharType="separate"/>
      </w:r>
      <w:r>
        <w:t>508</w:t>
      </w:r>
      <w:r>
        <w:fldChar w:fldCharType="end"/>
      </w:r>
    </w:p>
    <w:p w14:paraId="0BDC01B4" w14:textId="3BA22FA9"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SC6.9.8</w:t>
      </w:r>
      <w:r>
        <w:rPr>
          <w:rFonts w:asciiTheme="minorHAnsi" w:eastAsiaTheme="minorEastAsia" w:hAnsiTheme="minorHAnsi" w:cstheme="minorBidi"/>
          <w:kern w:val="2"/>
          <w:sz w:val="24"/>
          <w:lang w:eastAsia="en-AU"/>
          <w14:ligatures w14:val="standardContextual"/>
        </w:rPr>
        <w:tab/>
      </w:r>
      <w:r w:rsidRPr="00552F2A">
        <w:rPr>
          <w:rFonts w:cs="Arial"/>
        </w:rPr>
        <w:t>On–site amenity</w:t>
      </w:r>
      <w:r>
        <w:tab/>
      </w:r>
      <w:r>
        <w:fldChar w:fldCharType="begin"/>
      </w:r>
      <w:r>
        <w:instrText xml:space="preserve"> PAGEREF _Toc205367485 \h </w:instrText>
      </w:r>
      <w:r>
        <w:fldChar w:fldCharType="separate"/>
      </w:r>
      <w:r>
        <w:t>509</w:t>
      </w:r>
      <w:r>
        <w:fldChar w:fldCharType="end"/>
      </w:r>
    </w:p>
    <w:p w14:paraId="123A0A05" w14:textId="3C6D1CF0"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SC6.9.9</w:t>
      </w:r>
      <w:r>
        <w:rPr>
          <w:rFonts w:asciiTheme="minorHAnsi" w:eastAsiaTheme="minorEastAsia" w:hAnsiTheme="minorHAnsi" w:cstheme="minorBidi"/>
          <w:kern w:val="2"/>
          <w:sz w:val="24"/>
          <w:lang w:eastAsia="en-AU"/>
          <w14:ligatures w14:val="standardContextual"/>
        </w:rPr>
        <w:tab/>
      </w:r>
      <w:r w:rsidRPr="00552F2A">
        <w:rPr>
          <w:rFonts w:cs="Arial"/>
        </w:rPr>
        <w:t>Climate responsive design</w:t>
      </w:r>
      <w:r>
        <w:tab/>
      </w:r>
      <w:r>
        <w:fldChar w:fldCharType="begin"/>
      </w:r>
      <w:r>
        <w:instrText xml:space="preserve"> PAGEREF _Toc205367486 \h </w:instrText>
      </w:r>
      <w:r>
        <w:fldChar w:fldCharType="separate"/>
      </w:r>
      <w:r>
        <w:t>510</w:t>
      </w:r>
      <w:r>
        <w:fldChar w:fldCharType="end"/>
      </w:r>
    </w:p>
    <w:p w14:paraId="579F1B0F" w14:textId="64F16E13"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SC6.9.10</w:t>
      </w:r>
      <w:r>
        <w:rPr>
          <w:rFonts w:asciiTheme="minorHAnsi" w:eastAsiaTheme="minorEastAsia" w:hAnsiTheme="minorHAnsi" w:cstheme="minorBidi"/>
          <w:kern w:val="2"/>
          <w:sz w:val="24"/>
          <w:lang w:eastAsia="en-AU"/>
          <w14:ligatures w14:val="standardContextual"/>
        </w:rPr>
        <w:tab/>
      </w:r>
      <w:r w:rsidRPr="00552F2A">
        <w:rPr>
          <w:rFonts w:cs="Arial"/>
        </w:rPr>
        <w:t>Affordability</w:t>
      </w:r>
      <w:r>
        <w:tab/>
      </w:r>
      <w:r>
        <w:fldChar w:fldCharType="begin"/>
      </w:r>
      <w:r>
        <w:instrText xml:space="preserve"> PAGEREF _Toc205367487 \h </w:instrText>
      </w:r>
      <w:r>
        <w:fldChar w:fldCharType="separate"/>
      </w:r>
      <w:r>
        <w:t>510</w:t>
      </w:r>
      <w:r>
        <w:fldChar w:fldCharType="end"/>
      </w:r>
    </w:p>
    <w:p w14:paraId="0DDE05F7" w14:textId="52608D9E"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SC6.9.11</w:t>
      </w:r>
      <w:r>
        <w:rPr>
          <w:rFonts w:asciiTheme="minorHAnsi" w:eastAsiaTheme="minorEastAsia" w:hAnsiTheme="minorHAnsi" w:cstheme="minorBidi"/>
          <w:kern w:val="2"/>
          <w:sz w:val="24"/>
          <w:lang w:eastAsia="en-AU"/>
          <w14:ligatures w14:val="standardContextual"/>
        </w:rPr>
        <w:tab/>
      </w:r>
      <w:r w:rsidRPr="00552F2A">
        <w:rPr>
          <w:rFonts w:cs="Arial"/>
        </w:rPr>
        <w:t>Landscaping</w:t>
      </w:r>
      <w:r>
        <w:tab/>
      </w:r>
      <w:r>
        <w:fldChar w:fldCharType="begin"/>
      </w:r>
      <w:r>
        <w:instrText xml:space="preserve"> PAGEREF _Toc205367488 \h </w:instrText>
      </w:r>
      <w:r>
        <w:fldChar w:fldCharType="separate"/>
      </w:r>
      <w:r>
        <w:t>510</w:t>
      </w:r>
      <w:r>
        <w:fldChar w:fldCharType="end"/>
      </w:r>
    </w:p>
    <w:p w14:paraId="19977D58" w14:textId="21357C75"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SC6.9.12</w:t>
      </w:r>
      <w:r>
        <w:rPr>
          <w:rFonts w:asciiTheme="minorHAnsi" w:eastAsiaTheme="minorEastAsia" w:hAnsiTheme="minorHAnsi" w:cstheme="minorBidi"/>
          <w:kern w:val="2"/>
          <w:sz w:val="24"/>
          <w:lang w:eastAsia="en-AU"/>
          <w14:ligatures w14:val="standardContextual"/>
        </w:rPr>
        <w:tab/>
      </w:r>
      <w:r w:rsidRPr="00552F2A">
        <w:rPr>
          <w:rFonts w:cs="Arial"/>
        </w:rPr>
        <w:t>Changing circumstances or decommissioning</w:t>
      </w:r>
      <w:r>
        <w:tab/>
      </w:r>
      <w:r>
        <w:fldChar w:fldCharType="begin"/>
      </w:r>
      <w:r>
        <w:instrText xml:space="preserve"> PAGEREF _Toc205367489 \h </w:instrText>
      </w:r>
      <w:r>
        <w:fldChar w:fldCharType="separate"/>
      </w:r>
      <w:r>
        <w:t>511</w:t>
      </w:r>
      <w:r>
        <w:fldChar w:fldCharType="end"/>
      </w:r>
    </w:p>
    <w:p w14:paraId="63B05DAD" w14:textId="5DBCDC5A"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SC6.10</w:t>
      </w:r>
      <w:r>
        <w:rPr>
          <w:rFonts w:asciiTheme="minorHAnsi" w:eastAsiaTheme="minorEastAsia" w:hAnsiTheme="minorHAnsi" w:cstheme="minorBidi"/>
          <w:iCs w:val="0"/>
          <w:kern w:val="2"/>
          <w:sz w:val="24"/>
          <w:szCs w:val="24"/>
          <w:lang w:eastAsia="en-AU"/>
          <w14:ligatures w14:val="standardContextual"/>
        </w:rPr>
        <w:tab/>
      </w:r>
      <w:r w:rsidRPr="00552F2A">
        <w:rPr>
          <w:rFonts w:cs="Arial"/>
        </w:rPr>
        <w:t>Vehicle parking rates</w:t>
      </w:r>
      <w:r>
        <w:tab/>
      </w:r>
      <w:r>
        <w:fldChar w:fldCharType="begin"/>
      </w:r>
      <w:r>
        <w:instrText xml:space="preserve"> PAGEREF _Toc205367490 \h </w:instrText>
      </w:r>
      <w:r>
        <w:fldChar w:fldCharType="separate"/>
      </w:r>
      <w:r>
        <w:t>512</w:t>
      </w:r>
      <w:r>
        <w:fldChar w:fldCharType="end"/>
      </w:r>
    </w:p>
    <w:p w14:paraId="0006A558" w14:textId="398BE85D"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SC6.10.1</w:t>
      </w:r>
      <w:r>
        <w:rPr>
          <w:rFonts w:asciiTheme="minorHAnsi" w:eastAsiaTheme="minorEastAsia" w:hAnsiTheme="minorHAnsi" w:cstheme="minorBidi"/>
          <w:kern w:val="2"/>
          <w:sz w:val="24"/>
          <w:lang w:eastAsia="en-AU"/>
          <w14:ligatures w14:val="standardContextual"/>
        </w:rPr>
        <w:tab/>
      </w:r>
      <w:r w:rsidRPr="00552F2A">
        <w:rPr>
          <w:rFonts w:cs="Arial"/>
        </w:rPr>
        <w:t>Application</w:t>
      </w:r>
      <w:r>
        <w:tab/>
      </w:r>
      <w:r>
        <w:fldChar w:fldCharType="begin"/>
      </w:r>
      <w:r>
        <w:instrText xml:space="preserve"> PAGEREF _Toc205367491 \h </w:instrText>
      </w:r>
      <w:r>
        <w:fldChar w:fldCharType="separate"/>
      </w:r>
      <w:r>
        <w:t>512</w:t>
      </w:r>
      <w:r>
        <w:fldChar w:fldCharType="end"/>
      </w:r>
    </w:p>
    <w:p w14:paraId="1A01DF3D" w14:textId="39FD22FA"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SC6.10.2</w:t>
      </w:r>
      <w:r>
        <w:rPr>
          <w:rFonts w:asciiTheme="minorHAnsi" w:eastAsiaTheme="minorEastAsia" w:hAnsiTheme="minorHAnsi" w:cstheme="minorBidi"/>
          <w:kern w:val="2"/>
          <w:sz w:val="24"/>
          <w:lang w:eastAsia="en-AU"/>
          <w14:ligatures w14:val="standardContextual"/>
        </w:rPr>
        <w:tab/>
      </w:r>
      <w:r w:rsidRPr="00552F2A">
        <w:rPr>
          <w:rFonts w:cs="Arial"/>
        </w:rPr>
        <w:t>Purpose</w:t>
      </w:r>
      <w:r>
        <w:tab/>
      </w:r>
      <w:r>
        <w:fldChar w:fldCharType="begin"/>
      </w:r>
      <w:r>
        <w:instrText xml:space="preserve"> PAGEREF _Toc205367492 \h </w:instrText>
      </w:r>
      <w:r>
        <w:fldChar w:fldCharType="separate"/>
      </w:r>
      <w:r>
        <w:t>512</w:t>
      </w:r>
      <w:r>
        <w:fldChar w:fldCharType="end"/>
      </w:r>
    </w:p>
    <w:p w14:paraId="54DDD877" w14:textId="3A10E0EE" w:rsidR="001E6D70" w:rsidRDefault="001E6D70">
      <w:pPr>
        <w:pStyle w:val="TOC2"/>
        <w:rPr>
          <w:rFonts w:asciiTheme="minorHAnsi" w:eastAsiaTheme="minorEastAsia" w:hAnsiTheme="minorHAnsi" w:cstheme="minorBidi"/>
          <w:iCs w:val="0"/>
          <w:kern w:val="2"/>
          <w:sz w:val="24"/>
          <w:szCs w:val="24"/>
          <w:lang w:eastAsia="en-AU"/>
          <w14:ligatures w14:val="standardContextual"/>
        </w:rPr>
      </w:pPr>
      <w:r w:rsidRPr="00552F2A">
        <w:rPr>
          <w:rFonts w:cs="Arial"/>
        </w:rPr>
        <w:t>SC6.11</w:t>
      </w:r>
      <w:r>
        <w:rPr>
          <w:rFonts w:asciiTheme="minorHAnsi" w:eastAsiaTheme="minorEastAsia" w:hAnsiTheme="minorHAnsi" w:cstheme="minorBidi"/>
          <w:iCs w:val="0"/>
          <w:kern w:val="2"/>
          <w:sz w:val="24"/>
          <w:szCs w:val="24"/>
          <w:lang w:eastAsia="en-AU"/>
          <w14:ligatures w14:val="standardContextual"/>
        </w:rPr>
        <w:tab/>
      </w:r>
      <w:r w:rsidRPr="00552F2A">
        <w:rPr>
          <w:rFonts w:cs="Arial"/>
        </w:rPr>
        <w:t>Waste management</w:t>
      </w:r>
      <w:r>
        <w:tab/>
      </w:r>
      <w:r>
        <w:fldChar w:fldCharType="begin"/>
      </w:r>
      <w:r>
        <w:instrText xml:space="preserve"> PAGEREF _Toc205367493 \h </w:instrText>
      </w:r>
      <w:r>
        <w:fldChar w:fldCharType="separate"/>
      </w:r>
      <w:r>
        <w:t>516</w:t>
      </w:r>
      <w:r>
        <w:fldChar w:fldCharType="end"/>
      </w:r>
    </w:p>
    <w:p w14:paraId="5DC6224B" w14:textId="0325B329"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SC6.11.1</w:t>
      </w:r>
      <w:r>
        <w:rPr>
          <w:rFonts w:asciiTheme="minorHAnsi" w:eastAsiaTheme="minorEastAsia" w:hAnsiTheme="minorHAnsi" w:cstheme="minorBidi"/>
          <w:kern w:val="2"/>
          <w:sz w:val="24"/>
          <w:lang w:eastAsia="en-AU"/>
          <w14:ligatures w14:val="standardContextual"/>
        </w:rPr>
        <w:tab/>
      </w:r>
      <w:r w:rsidRPr="00552F2A">
        <w:rPr>
          <w:rFonts w:cs="Arial"/>
        </w:rPr>
        <w:t>Application</w:t>
      </w:r>
      <w:r>
        <w:tab/>
      </w:r>
      <w:r>
        <w:fldChar w:fldCharType="begin"/>
      </w:r>
      <w:r>
        <w:instrText xml:space="preserve"> PAGEREF _Toc205367494 \h </w:instrText>
      </w:r>
      <w:r>
        <w:fldChar w:fldCharType="separate"/>
      </w:r>
      <w:r>
        <w:t>516</w:t>
      </w:r>
      <w:r>
        <w:fldChar w:fldCharType="end"/>
      </w:r>
    </w:p>
    <w:p w14:paraId="151E6F71" w14:textId="65DF138E"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SC6.11.2</w:t>
      </w:r>
      <w:r>
        <w:rPr>
          <w:rFonts w:asciiTheme="minorHAnsi" w:eastAsiaTheme="minorEastAsia" w:hAnsiTheme="minorHAnsi" w:cstheme="minorBidi"/>
          <w:kern w:val="2"/>
          <w:sz w:val="24"/>
          <w:lang w:eastAsia="en-AU"/>
          <w14:ligatures w14:val="standardContextual"/>
        </w:rPr>
        <w:tab/>
      </w:r>
      <w:r w:rsidRPr="00552F2A">
        <w:rPr>
          <w:rFonts w:cs="Arial"/>
        </w:rPr>
        <w:t>Purpose</w:t>
      </w:r>
      <w:r>
        <w:tab/>
      </w:r>
      <w:r>
        <w:fldChar w:fldCharType="begin"/>
      </w:r>
      <w:r>
        <w:instrText xml:space="preserve"> PAGEREF _Toc205367495 \h </w:instrText>
      </w:r>
      <w:r>
        <w:fldChar w:fldCharType="separate"/>
      </w:r>
      <w:r>
        <w:t>516</w:t>
      </w:r>
      <w:r>
        <w:fldChar w:fldCharType="end"/>
      </w:r>
    </w:p>
    <w:p w14:paraId="4BA5ED82" w14:textId="50C8A11D"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lastRenderedPageBreak/>
        <w:t>SC6.11.3</w:t>
      </w:r>
      <w:r>
        <w:rPr>
          <w:rFonts w:asciiTheme="minorHAnsi" w:eastAsiaTheme="minorEastAsia" w:hAnsiTheme="minorHAnsi" w:cstheme="minorBidi"/>
          <w:kern w:val="2"/>
          <w:sz w:val="24"/>
          <w:lang w:eastAsia="en-AU"/>
          <w14:ligatures w14:val="standardContextual"/>
        </w:rPr>
        <w:tab/>
      </w:r>
      <w:r w:rsidRPr="00552F2A">
        <w:rPr>
          <w:rFonts w:cs="Arial"/>
        </w:rPr>
        <w:t>General</w:t>
      </w:r>
      <w:r>
        <w:tab/>
      </w:r>
      <w:r>
        <w:fldChar w:fldCharType="begin"/>
      </w:r>
      <w:r>
        <w:instrText xml:space="preserve"> PAGEREF _Toc205367496 \h </w:instrText>
      </w:r>
      <w:r>
        <w:fldChar w:fldCharType="separate"/>
      </w:r>
      <w:r>
        <w:t>516</w:t>
      </w:r>
      <w:r>
        <w:fldChar w:fldCharType="end"/>
      </w:r>
    </w:p>
    <w:p w14:paraId="37957B8E" w14:textId="69FAF67C"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SC6.11.4</w:t>
      </w:r>
      <w:r>
        <w:rPr>
          <w:rFonts w:asciiTheme="minorHAnsi" w:eastAsiaTheme="minorEastAsia" w:hAnsiTheme="minorHAnsi" w:cstheme="minorBidi"/>
          <w:kern w:val="2"/>
          <w:sz w:val="24"/>
          <w:lang w:eastAsia="en-AU"/>
          <w14:ligatures w14:val="standardContextual"/>
        </w:rPr>
        <w:tab/>
      </w:r>
      <w:r w:rsidRPr="00552F2A">
        <w:rPr>
          <w:rFonts w:cs="Arial"/>
        </w:rPr>
        <w:t>Standards for waste storage outcomes</w:t>
      </w:r>
      <w:r>
        <w:tab/>
      </w:r>
      <w:r>
        <w:fldChar w:fldCharType="begin"/>
      </w:r>
      <w:r>
        <w:instrText xml:space="preserve"> PAGEREF _Toc205367497 \h </w:instrText>
      </w:r>
      <w:r>
        <w:fldChar w:fldCharType="separate"/>
      </w:r>
      <w:r>
        <w:t>519</w:t>
      </w:r>
      <w:r>
        <w:fldChar w:fldCharType="end"/>
      </w:r>
    </w:p>
    <w:p w14:paraId="7CB1BC91" w14:textId="63DB193F"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SC6.11.5</w:t>
      </w:r>
      <w:r>
        <w:rPr>
          <w:rFonts w:asciiTheme="minorHAnsi" w:eastAsiaTheme="minorEastAsia" w:hAnsiTheme="minorHAnsi" w:cstheme="minorBidi"/>
          <w:kern w:val="2"/>
          <w:sz w:val="24"/>
          <w:lang w:eastAsia="en-AU"/>
          <w14:ligatures w14:val="standardContextual"/>
        </w:rPr>
        <w:tab/>
      </w:r>
      <w:r w:rsidRPr="00552F2A">
        <w:rPr>
          <w:rFonts w:cs="Arial"/>
        </w:rPr>
        <w:t>Standards for waste servicing outcomes</w:t>
      </w:r>
      <w:r>
        <w:tab/>
      </w:r>
      <w:r>
        <w:fldChar w:fldCharType="begin"/>
      </w:r>
      <w:r>
        <w:instrText xml:space="preserve"> PAGEREF _Toc205367498 \h </w:instrText>
      </w:r>
      <w:r>
        <w:fldChar w:fldCharType="separate"/>
      </w:r>
      <w:r>
        <w:t>521</w:t>
      </w:r>
      <w:r>
        <w:fldChar w:fldCharType="end"/>
      </w:r>
    </w:p>
    <w:p w14:paraId="499BF98A" w14:textId="2F483E82" w:rsidR="001E6D70" w:rsidRDefault="001E6D70">
      <w:pPr>
        <w:pStyle w:val="TOC3"/>
        <w:rPr>
          <w:rFonts w:asciiTheme="minorHAnsi" w:eastAsiaTheme="minorEastAsia" w:hAnsiTheme="minorHAnsi" w:cstheme="minorBidi"/>
          <w:kern w:val="2"/>
          <w:sz w:val="24"/>
          <w:lang w:eastAsia="en-AU"/>
          <w14:ligatures w14:val="standardContextual"/>
        </w:rPr>
      </w:pPr>
      <w:r w:rsidRPr="00552F2A">
        <w:rPr>
          <w:rFonts w:cs="Arial"/>
        </w:rPr>
        <w:t>SC6.11.6</w:t>
      </w:r>
      <w:r>
        <w:rPr>
          <w:rFonts w:asciiTheme="minorHAnsi" w:eastAsiaTheme="minorEastAsia" w:hAnsiTheme="minorHAnsi" w:cstheme="minorBidi"/>
          <w:kern w:val="2"/>
          <w:sz w:val="24"/>
          <w:lang w:eastAsia="en-AU"/>
          <w14:ligatures w14:val="standardContextual"/>
        </w:rPr>
        <w:tab/>
      </w:r>
      <w:r w:rsidRPr="00552F2A">
        <w:rPr>
          <w:rFonts w:cs="Arial"/>
        </w:rPr>
        <w:t>Guidance note: Preparation of waste management plans</w:t>
      </w:r>
      <w:r>
        <w:tab/>
      </w:r>
      <w:r>
        <w:fldChar w:fldCharType="begin"/>
      </w:r>
      <w:r>
        <w:instrText xml:space="preserve"> PAGEREF _Toc205367499 \h </w:instrText>
      </w:r>
      <w:r>
        <w:fldChar w:fldCharType="separate"/>
      </w:r>
      <w:r>
        <w:t>523</w:t>
      </w:r>
      <w:r>
        <w:fldChar w:fldCharType="end"/>
      </w:r>
    </w:p>
    <w:p w14:paraId="7FC10E80" w14:textId="5C96EE0F"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ascii="Arial" w:hAnsi="Arial" w:cs="Arial"/>
        </w:rPr>
        <w:t>Appendix 1</w:t>
      </w:r>
      <w:r>
        <w:rPr>
          <w:rFonts w:asciiTheme="minorHAnsi" w:eastAsiaTheme="minorEastAsia" w:hAnsiTheme="minorHAnsi" w:cstheme="minorBidi"/>
          <w:kern w:val="2"/>
          <w:sz w:val="24"/>
          <w:lang w:eastAsia="en-AU"/>
          <w14:ligatures w14:val="standardContextual"/>
        </w:rPr>
        <w:tab/>
      </w:r>
      <w:r w:rsidRPr="00552F2A">
        <w:rPr>
          <w:rFonts w:ascii="Arial" w:hAnsi="Arial" w:cs="Arial"/>
        </w:rPr>
        <w:t>Waste Management Plan Template (SC6.11)</w:t>
      </w:r>
      <w:r>
        <w:tab/>
      </w:r>
      <w:r>
        <w:fldChar w:fldCharType="begin"/>
      </w:r>
      <w:r>
        <w:instrText xml:space="preserve"> PAGEREF _Toc205367500 \h </w:instrText>
      </w:r>
      <w:r>
        <w:fldChar w:fldCharType="separate"/>
      </w:r>
      <w:r>
        <w:t>527</w:t>
      </w:r>
      <w:r>
        <w:fldChar w:fldCharType="end"/>
      </w:r>
    </w:p>
    <w:p w14:paraId="2C564FDE" w14:textId="7F4C6330"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ascii="Arial" w:hAnsi="Arial" w:cs="Arial"/>
        </w:rPr>
        <w:t>Appendix 2</w:t>
      </w:r>
      <w:r>
        <w:rPr>
          <w:rFonts w:asciiTheme="minorHAnsi" w:eastAsiaTheme="minorEastAsia" w:hAnsiTheme="minorHAnsi" w:cstheme="minorBidi"/>
          <w:kern w:val="2"/>
          <w:sz w:val="24"/>
          <w:lang w:eastAsia="en-AU"/>
          <w14:ligatures w14:val="standardContextual"/>
        </w:rPr>
        <w:tab/>
      </w:r>
      <w:r w:rsidRPr="00552F2A">
        <w:rPr>
          <w:rFonts w:ascii="Arial" w:hAnsi="Arial" w:cs="Arial"/>
        </w:rPr>
        <w:t>Details of waste management: Ongoing management (SC6.11)</w:t>
      </w:r>
      <w:r>
        <w:tab/>
      </w:r>
      <w:r>
        <w:fldChar w:fldCharType="begin"/>
      </w:r>
      <w:r>
        <w:instrText xml:space="preserve"> PAGEREF _Toc205367501 \h </w:instrText>
      </w:r>
      <w:r>
        <w:fldChar w:fldCharType="separate"/>
      </w:r>
      <w:r>
        <w:t>539</w:t>
      </w:r>
      <w:r>
        <w:fldChar w:fldCharType="end"/>
      </w:r>
    </w:p>
    <w:p w14:paraId="0642CBCC" w14:textId="22FA746E"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ascii="Arial" w:hAnsi="Arial" w:cs="Arial"/>
        </w:rPr>
        <w:t>Appendix 3</w:t>
      </w:r>
      <w:r>
        <w:rPr>
          <w:rFonts w:asciiTheme="minorHAnsi" w:eastAsiaTheme="minorEastAsia" w:hAnsiTheme="minorHAnsi" w:cstheme="minorBidi"/>
          <w:kern w:val="2"/>
          <w:sz w:val="24"/>
          <w:lang w:eastAsia="en-AU"/>
          <w14:ligatures w14:val="standardContextual"/>
        </w:rPr>
        <w:tab/>
      </w:r>
      <w:r w:rsidRPr="00552F2A">
        <w:rPr>
          <w:rFonts w:ascii="Arial" w:hAnsi="Arial" w:cs="Arial"/>
        </w:rPr>
        <w:t>Index and glossary of abbreviations and acronyms</w:t>
      </w:r>
      <w:r>
        <w:tab/>
      </w:r>
      <w:r>
        <w:fldChar w:fldCharType="begin"/>
      </w:r>
      <w:r>
        <w:instrText xml:space="preserve"> PAGEREF _Toc205367502 \h </w:instrText>
      </w:r>
      <w:r>
        <w:fldChar w:fldCharType="separate"/>
      </w:r>
      <w:r>
        <w:t>540</w:t>
      </w:r>
      <w:r>
        <w:fldChar w:fldCharType="end"/>
      </w:r>
    </w:p>
    <w:p w14:paraId="4B9103E9" w14:textId="42EAC20B" w:rsidR="001E6D70" w:rsidRDefault="001E6D70">
      <w:pPr>
        <w:pStyle w:val="TOC1"/>
        <w:rPr>
          <w:rFonts w:asciiTheme="minorHAnsi" w:eastAsiaTheme="minorEastAsia" w:hAnsiTheme="minorHAnsi" w:cstheme="minorBidi"/>
          <w:kern w:val="2"/>
          <w:sz w:val="24"/>
          <w:lang w:eastAsia="en-AU"/>
          <w14:ligatures w14:val="standardContextual"/>
        </w:rPr>
      </w:pPr>
      <w:r w:rsidRPr="00552F2A">
        <w:rPr>
          <w:rFonts w:ascii="Arial" w:hAnsi="Arial" w:cs="Arial"/>
        </w:rPr>
        <w:t>Appendix 4</w:t>
      </w:r>
      <w:r>
        <w:rPr>
          <w:rFonts w:asciiTheme="minorHAnsi" w:eastAsiaTheme="minorEastAsia" w:hAnsiTheme="minorHAnsi" w:cstheme="minorBidi"/>
          <w:kern w:val="2"/>
          <w:sz w:val="24"/>
          <w:lang w:eastAsia="en-AU"/>
          <w14:ligatures w14:val="standardContextual"/>
        </w:rPr>
        <w:tab/>
      </w:r>
      <w:r w:rsidRPr="00552F2A">
        <w:rPr>
          <w:rFonts w:ascii="Arial" w:hAnsi="Arial" w:cs="Arial"/>
        </w:rPr>
        <w:t>Table of amendments</w:t>
      </w:r>
      <w:r>
        <w:tab/>
      </w:r>
      <w:r>
        <w:fldChar w:fldCharType="begin"/>
      </w:r>
      <w:r>
        <w:instrText xml:space="preserve"> PAGEREF _Toc205367503 \h </w:instrText>
      </w:r>
      <w:r>
        <w:fldChar w:fldCharType="separate"/>
      </w:r>
      <w:r>
        <w:t>541</w:t>
      </w:r>
      <w:r>
        <w:fldChar w:fldCharType="end"/>
      </w:r>
    </w:p>
    <w:p w14:paraId="332C022F" w14:textId="719BF14C" w:rsidR="00BE36FB" w:rsidRPr="009B7B35" w:rsidRDefault="00BE36FB" w:rsidP="001A7107">
      <w:pPr>
        <w:rPr>
          <w:rFonts w:ascii="Arial" w:hAnsi="Arial" w:cs="Arial"/>
          <w:sz w:val="20"/>
          <w:szCs w:val="20"/>
        </w:rPr>
      </w:pPr>
      <w:r w:rsidRPr="009B7B35">
        <w:rPr>
          <w:rFonts w:ascii="Arial" w:hAnsi="Arial" w:cs="Arial"/>
          <w:b/>
          <w:noProof/>
          <w:sz w:val="20"/>
          <w:szCs w:val="20"/>
          <w:lang w:eastAsia="en-US"/>
        </w:rPr>
        <w:fldChar w:fldCharType="end"/>
      </w:r>
    </w:p>
    <w:p w14:paraId="3A5C9CE4" w14:textId="77777777" w:rsidR="009B7B35" w:rsidRPr="009B7B35" w:rsidRDefault="009B7B35">
      <w:pPr>
        <w:rPr>
          <w:rFonts w:ascii="Arial" w:hAnsi="Arial" w:cs="Arial"/>
          <w:sz w:val="20"/>
          <w:szCs w:val="20"/>
        </w:rPr>
      </w:pPr>
      <w:r w:rsidRPr="009B7B35">
        <w:rPr>
          <w:rFonts w:ascii="Arial" w:hAnsi="Arial" w:cs="Arial"/>
          <w:sz w:val="20"/>
          <w:szCs w:val="20"/>
        </w:rPr>
        <w:br w:type="page"/>
      </w:r>
    </w:p>
    <w:p w14:paraId="0DFBAC2D" w14:textId="5930F8B6" w:rsidR="00BE36FB" w:rsidRPr="009B7B35" w:rsidRDefault="00BE36FB" w:rsidP="001A7107">
      <w:pPr>
        <w:pStyle w:val="Heading1"/>
        <w:rPr>
          <w:rFonts w:ascii="Arial" w:hAnsi="Arial"/>
          <w:sz w:val="20"/>
          <w:szCs w:val="20"/>
        </w:rPr>
      </w:pPr>
      <w:bookmarkStart w:id="0" w:name="_Toc390933050"/>
      <w:bookmarkStart w:id="1" w:name="_Toc390933208"/>
      <w:bookmarkStart w:id="2" w:name="_Toc390933540"/>
      <w:bookmarkStart w:id="3" w:name="_Toc390934075"/>
      <w:bookmarkStart w:id="4" w:name="_Toc390934381"/>
      <w:bookmarkStart w:id="5" w:name="_Toc390934549"/>
      <w:bookmarkStart w:id="6" w:name="_Toc390935021"/>
      <w:bookmarkStart w:id="7" w:name="_Toc205367277"/>
      <w:r w:rsidRPr="009B7B35">
        <w:rPr>
          <w:rFonts w:ascii="Arial" w:hAnsi="Arial"/>
          <w:sz w:val="20"/>
          <w:szCs w:val="20"/>
        </w:rPr>
        <w:lastRenderedPageBreak/>
        <w:t>About the planning scheme</w:t>
      </w:r>
      <w:bookmarkEnd w:id="0"/>
      <w:bookmarkEnd w:id="1"/>
      <w:bookmarkEnd w:id="2"/>
      <w:bookmarkEnd w:id="3"/>
      <w:bookmarkEnd w:id="4"/>
      <w:bookmarkEnd w:id="5"/>
      <w:bookmarkEnd w:id="6"/>
      <w:bookmarkEnd w:id="7"/>
    </w:p>
    <w:p w14:paraId="0B08E98E" w14:textId="77777777" w:rsidR="00BE36FB" w:rsidRPr="009B7B35" w:rsidRDefault="00BE36FB" w:rsidP="001A7107">
      <w:pPr>
        <w:pStyle w:val="Heading2"/>
        <w:rPr>
          <w:rFonts w:ascii="Arial" w:hAnsi="Arial"/>
          <w:sz w:val="20"/>
          <w:szCs w:val="20"/>
        </w:rPr>
      </w:pPr>
      <w:bookmarkStart w:id="8" w:name="_Toc390933051"/>
      <w:bookmarkStart w:id="9" w:name="_Toc390933209"/>
      <w:bookmarkStart w:id="10" w:name="_Toc390933541"/>
      <w:bookmarkStart w:id="11" w:name="_Toc390934076"/>
      <w:bookmarkStart w:id="12" w:name="_Toc390934382"/>
      <w:bookmarkStart w:id="13" w:name="_Toc390934550"/>
      <w:bookmarkStart w:id="14" w:name="_Toc390935022"/>
      <w:bookmarkStart w:id="15" w:name="_Toc205367278"/>
      <w:r w:rsidRPr="009B7B35">
        <w:rPr>
          <w:rFonts w:ascii="Arial" w:hAnsi="Arial"/>
          <w:sz w:val="20"/>
          <w:szCs w:val="20"/>
        </w:rPr>
        <w:t>Introduction</w:t>
      </w:r>
      <w:bookmarkEnd w:id="8"/>
      <w:bookmarkEnd w:id="9"/>
      <w:bookmarkEnd w:id="10"/>
      <w:bookmarkEnd w:id="11"/>
      <w:bookmarkEnd w:id="12"/>
      <w:bookmarkEnd w:id="13"/>
      <w:bookmarkEnd w:id="14"/>
      <w:bookmarkEnd w:id="15"/>
    </w:p>
    <w:p w14:paraId="6FF4B0B1" w14:textId="77777777" w:rsidR="00BE36FB" w:rsidRPr="009B7B35" w:rsidRDefault="00BE36FB" w:rsidP="00BE36FB">
      <w:pPr>
        <w:numPr>
          <w:ilvl w:val="0"/>
          <w:numId w:val="13"/>
        </w:numPr>
        <w:rPr>
          <w:rFonts w:ascii="Arial" w:hAnsi="Arial" w:cs="Arial"/>
          <w:sz w:val="20"/>
          <w:szCs w:val="20"/>
        </w:rPr>
      </w:pPr>
      <w:r w:rsidRPr="009B7B35">
        <w:rPr>
          <w:rFonts w:ascii="Arial" w:hAnsi="Arial" w:cs="Arial"/>
          <w:sz w:val="20"/>
          <w:szCs w:val="20"/>
        </w:rPr>
        <w:t xml:space="preserve">The Our Place Our Plan Gladstone Regional Council Planning Scheme has been prepared in accordance with the </w:t>
      </w:r>
      <w:r w:rsidRPr="009B7B35">
        <w:rPr>
          <w:rFonts w:ascii="Arial" w:hAnsi="Arial" w:cs="Arial"/>
          <w:i/>
          <w:sz w:val="20"/>
          <w:szCs w:val="20"/>
        </w:rPr>
        <w:t>Sustainable Planning Act 2009</w:t>
      </w:r>
      <w:r w:rsidRPr="009B7B35">
        <w:rPr>
          <w:rFonts w:ascii="Arial" w:hAnsi="Arial" w:cs="Arial"/>
          <w:sz w:val="20"/>
          <w:szCs w:val="20"/>
        </w:rPr>
        <w:t xml:space="preserve"> (the SP Act) as a framework for managing development in a way that advances the purpose of the SP Act.</w:t>
      </w:r>
    </w:p>
    <w:p w14:paraId="192B7AC7" w14:textId="77777777" w:rsidR="00BE36FB" w:rsidRPr="009B7B35" w:rsidRDefault="00BE36FB" w:rsidP="00BE36FB">
      <w:pPr>
        <w:numPr>
          <w:ilvl w:val="0"/>
          <w:numId w:val="13"/>
        </w:numPr>
        <w:rPr>
          <w:rFonts w:ascii="Arial" w:hAnsi="Arial" w:cs="Arial"/>
          <w:sz w:val="20"/>
          <w:szCs w:val="20"/>
        </w:rPr>
      </w:pPr>
      <w:r w:rsidRPr="009B7B35">
        <w:rPr>
          <w:rFonts w:ascii="Arial" w:hAnsi="Arial" w:cs="Arial"/>
          <w:sz w:val="20"/>
          <w:szCs w:val="20"/>
        </w:rPr>
        <w:t xml:space="preserve">The planning scheme was amended for alignment with the </w:t>
      </w:r>
      <w:r w:rsidRPr="009B7B35">
        <w:rPr>
          <w:rFonts w:ascii="Arial" w:hAnsi="Arial" w:cs="Arial"/>
          <w:i/>
          <w:sz w:val="20"/>
          <w:szCs w:val="20"/>
        </w:rPr>
        <w:t xml:space="preserve">Planning Act 2016 </w:t>
      </w:r>
      <w:r w:rsidRPr="009B7B35">
        <w:rPr>
          <w:rFonts w:ascii="Arial" w:hAnsi="Arial" w:cs="Arial"/>
          <w:sz w:val="20"/>
          <w:szCs w:val="20"/>
        </w:rPr>
        <w:t>(the Act) by the Minister's rules under section 293 of the Act on 3 July 2017.</w:t>
      </w:r>
    </w:p>
    <w:p w14:paraId="3411DD2A" w14:textId="77777777" w:rsidR="00BE36FB" w:rsidRPr="009B7B35" w:rsidRDefault="00BE36FB" w:rsidP="00BE36FB">
      <w:pPr>
        <w:numPr>
          <w:ilvl w:val="0"/>
          <w:numId w:val="13"/>
        </w:numPr>
        <w:rPr>
          <w:rFonts w:ascii="Arial" w:hAnsi="Arial" w:cs="Arial"/>
          <w:sz w:val="20"/>
          <w:szCs w:val="20"/>
        </w:rPr>
      </w:pPr>
      <w:r w:rsidRPr="009B7B35">
        <w:rPr>
          <w:rFonts w:ascii="Arial" w:hAnsi="Arial" w:cs="Arial"/>
          <w:sz w:val="20"/>
          <w:szCs w:val="20"/>
        </w:rPr>
        <w:t>In seeking to achieve this purpose, the planning scheme sets out Gladstone Regional Council's intention for the future development in the planning scheme area, over the next seventeen years to 2031.</w:t>
      </w:r>
    </w:p>
    <w:p w14:paraId="2C5E68EE" w14:textId="77777777" w:rsidR="00BE36FB" w:rsidRPr="009B7B35" w:rsidRDefault="00BE36FB" w:rsidP="00BE36FB">
      <w:pPr>
        <w:numPr>
          <w:ilvl w:val="0"/>
          <w:numId w:val="13"/>
        </w:numPr>
        <w:rPr>
          <w:rFonts w:ascii="Arial" w:hAnsi="Arial" w:cs="Arial"/>
          <w:sz w:val="20"/>
          <w:szCs w:val="20"/>
        </w:rPr>
      </w:pPr>
      <w:r w:rsidRPr="009B7B35">
        <w:rPr>
          <w:rFonts w:ascii="Arial" w:hAnsi="Arial" w:cs="Arial"/>
          <w:sz w:val="20"/>
          <w:szCs w:val="20"/>
        </w:rPr>
        <w:t>The planning scheme seeks to advance state and regional policies through more detailed local responses, taking into account the local context.</w:t>
      </w:r>
    </w:p>
    <w:p w14:paraId="3CEC2FAE" w14:textId="77777777" w:rsidR="00BE36FB" w:rsidRPr="009B7B35" w:rsidRDefault="00BE36FB" w:rsidP="00BE36FB">
      <w:pPr>
        <w:numPr>
          <w:ilvl w:val="0"/>
          <w:numId w:val="13"/>
        </w:numPr>
        <w:rPr>
          <w:rFonts w:ascii="Arial" w:hAnsi="Arial" w:cs="Arial"/>
          <w:sz w:val="20"/>
          <w:szCs w:val="20"/>
        </w:rPr>
      </w:pPr>
      <w:r w:rsidRPr="009B7B35">
        <w:rPr>
          <w:rFonts w:ascii="Arial" w:hAnsi="Arial" w:cs="Arial"/>
          <w:sz w:val="20"/>
          <w:szCs w:val="20"/>
        </w:rPr>
        <w:t>While the planning scheme has been prepared with a seventeen year horizon, it will be reviewed periodically in accordance with the Act to ensure that it responds appropriately to the changes of the community at a local, regional and state level.</w:t>
      </w:r>
    </w:p>
    <w:p w14:paraId="4BEDE90C" w14:textId="77777777" w:rsidR="00BE36FB" w:rsidRPr="009B7B35" w:rsidRDefault="00BE36FB" w:rsidP="00BE36FB">
      <w:pPr>
        <w:numPr>
          <w:ilvl w:val="0"/>
          <w:numId w:val="13"/>
        </w:numPr>
        <w:rPr>
          <w:rFonts w:ascii="Arial" w:hAnsi="Arial" w:cs="Arial"/>
          <w:sz w:val="20"/>
          <w:szCs w:val="20"/>
        </w:rPr>
      </w:pPr>
      <w:r w:rsidRPr="009B7B35">
        <w:rPr>
          <w:rFonts w:ascii="Arial" w:hAnsi="Arial" w:cs="Arial"/>
          <w:sz w:val="20"/>
          <w:szCs w:val="20"/>
        </w:rPr>
        <w:t>The planning scheme applies to the planning scheme area of the Gladstone Regional Council including all premises, roads, internal waterways and local government tidal areas and interrelates with the surrounding local government areas illustrated in Map 1.</w:t>
      </w:r>
    </w:p>
    <w:p w14:paraId="01124C1A" w14:textId="77777777" w:rsidR="00BE36FB" w:rsidRPr="009B7B35" w:rsidRDefault="00BE36FB" w:rsidP="001A7107">
      <w:pPr>
        <w:pStyle w:val="Notes"/>
        <w:rPr>
          <w:rFonts w:cs="Arial"/>
          <w:i/>
          <w:sz w:val="20"/>
          <w:szCs w:val="20"/>
        </w:rPr>
      </w:pPr>
      <w:r w:rsidRPr="009B7B35">
        <w:rPr>
          <w:rFonts w:cs="Arial"/>
          <w:sz w:val="20"/>
          <w:szCs w:val="20"/>
        </w:rPr>
        <w:t xml:space="preserve">Editor's note — The planning scheme has been amended to align with the regulated requirements as provided in the </w:t>
      </w:r>
      <w:r w:rsidRPr="009B7B35">
        <w:rPr>
          <w:rFonts w:cs="Arial"/>
          <w:i/>
          <w:sz w:val="20"/>
          <w:szCs w:val="20"/>
        </w:rPr>
        <w:t xml:space="preserve">Planning Act </w:t>
      </w:r>
      <w:r w:rsidRPr="009B7B35">
        <w:rPr>
          <w:rFonts w:cs="Arial"/>
          <w:sz w:val="20"/>
          <w:szCs w:val="20"/>
        </w:rPr>
        <w:t xml:space="preserve">2016. In accordance with section 16(3) of the Act, the regulated requirements apply to the planning scheme to the extent of any inconsistency. State legislation may state that the planning scheme does not apply to certain areas, e.g. strategic port land where there is a land use plan only to the extent of any inconsistency. In accordance with the provisions of section 246 of the </w:t>
      </w:r>
      <w:r w:rsidRPr="009B7B35">
        <w:rPr>
          <w:rFonts w:cs="Arial"/>
          <w:i/>
          <w:sz w:val="20"/>
          <w:szCs w:val="20"/>
        </w:rPr>
        <w:t xml:space="preserve">Sustainable Ports Development Act 2015 </w:t>
      </w:r>
      <w:r w:rsidRPr="009B7B35">
        <w:rPr>
          <w:rFonts w:cs="Arial"/>
          <w:sz w:val="20"/>
          <w:szCs w:val="20"/>
        </w:rPr>
        <w:t>a port overlay for a master planned area prevails over the planning scheme, to the extent of any inconsistency.</w:t>
      </w:r>
      <w:r w:rsidRPr="009B7B35">
        <w:rPr>
          <w:rFonts w:cs="Arial"/>
          <w:i/>
          <w:sz w:val="20"/>
          <w:szCs w:val="20"/>
        </w:rPr>
        <w:t xml:space="preserve"> </w:t>
      </w:r>
    </w:p>
    <w:p w14:paraId="35FE33A6" w14:textId="77777777" w:rsidR="00BE36FB" w:rsidRPr="009B7B35" w:rsidRDefault="00BE36FB" w:rsidP="001A7107">
      <w:pPr>
        <w:pStyle w:val="Notes"/>
        <w:rPr>
          <w:rFonts w:cs="Arial"/>
          <w:sz w:val="20"/>
          <w:szCs w:val="20"/>
        </w:rPr>
      </w:pPr>
    </w:p>
    <w:p w14:paraId="7410359A" w14:textId="77777777" w:rsidR="00BE36FB" w:rsidRPr="009B7B35" w:rsidRDefault="00BE36FB" w:rsidP="001A7107">
      <w:pPr>
        <w:pStyle w:val="Heading5"/>
        <w:numPr>
          <w:ilvl w:val="0"/>
          <w:numId w:val="0"/>
        </w:numPr>
        <w:rPr>
          <w:rFonts w:cs="Arial"/>
          <w:szCs w:val="20"/>
        </w:rPr>
      </w:pPr>
      <w:r w:rsidRPr="009B7B35">
        <w:rPr>
          <w:rFonts w:cs="Arial"/>
          <w:szCs w:val="20"/>
        </w:rPr>
        <w:lastRenderedPageBreak/>
        <w:t>Map 1–Local government planning scheme area and context</w:t>
      </w:r>
    </w:p>
    <w:p w14:paraId="2CE5597F" w14:textId="77777777"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0B85EF6F" wp14:editId="2C3F1997">
            <wp:extent cx="5779698" cy="856015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1-Local Government Planning Scheme Area and Context.jpg"/>
                    <pic:cNvPicPr/>
                  </pic:nvPicPr>
                  <pic:blipFill rotWithShape="1">
                    <a:blip r:embed="rId8" cstate="print">
                      <a:extLst>
                        <a:ext uri="{28A0092B-C50C-407E-A947-70E740481C1C}">
                          <a14:useLocalDpi xmlns:a14="http://schemas.microsoft.com/office/drawing/2010/main" val="0"/>
                        </a:ext>
                      </a:extLst>
                    </a:blip>
                    <a:srcRect l="4502" t="1951" r="3434" b="1643"/>
                    <a:stretch/>
                  </pic:blipFill>
                  <pic:spPr bwMode="auto">
                    <a:xfrm>
                      <a:off x="0" y="0"/>
                      <a:ext cx="5778956" cy="8559053"/>
                    </a:xfrm>
                    <a:prstGeom prst="rect">
                      <a:avLst/>
                    </a:prstGeom>
                    <a:ln>
                      <a:noFill/>
                    </a:ln>
                    <a:extLst>
                      <a:ext uri="{53640926-AAD7-44D8-BBD7-CCE9431645EC}">
                        <a14:shadowObscured xmlns:a14="http://schemas.microsoft.com/office/drawing/2010/main"/>
                      </a:ext>
                    </a:extLst>
                  </pic:spPr>
                </pic:pic>
              </a:graphicData>
            </a:graphic>
          </wp:inline>
        </w:drawing>
      </w:r>
    </w:p>
    <w:p w14:paraId="75A71D0C" w14:textId="77777777" w:rsidR="00BE36FB" w:rsidRPr="009B7B35" w:rsidRDefault="00BE36FB" w:rsidP="001A7107">
      <w:pPr>
        <w:pStyle w:val="Heading2"/>
        <w:rPr>
          <w:rFonts w:ascii="Arial" w:hAnsi="Arial"/>
          <w:sz w:val="20"/>
          <w:szCs w:val="20"/>
        </w:rPr>
      </w:pPr>
      <w:bookmarkStart w:id="16" w:name="_Toc390933052"/>
      <w:bookmarkStart w:id="17" w:name="_Toc390933210"/>
      <w:bookmarkStart w:id="18" w:name="_Toc390933542"/>
      <w:bookmarkStart w:id="19" w:name="_Toc390934077"/>
      <w:bookmarkStart w:id="20" w:name="_Toc390934383"/>
      <w:bookmarkStart w:id="21" w:name="_Toc390934551"/>
      <w:bookmarkStart w:id="22" w:name="_Toc390935023"/>
      <w:bookmarkStart w:id="23" w:name="_Toc205367279"/>
      <w:r w:rsidRPr="009B7B35">
        <w:rPr>
          <w:rFonts w:ascii="Arial" w:hAnsi="Arial"/>
          <w:sz w:val="20"/>
          <w:szCs w:val="20"/>
        </w:rPr>
        <w:lastRenderedPageBreak/>
        <w:t>Planning scheme components</w:t>
      </w:r>
      <w:bookmarkEnd w:id="16"/>
      <w:bookmarkEnd w:id="17"/>
      <w:bookmarkEnd w:id="18"/>
      <w:bookmarkEnd w:id="19"/>
      <w:bookmarkEnd w:id="20"/>
      <w:bookmarkEnd w:id="21"/>
      <w:bookmarkEnd w:id="22"/>
      <w:bookmarkEnd w:id="23"/>
    </w:p>
    <w:p w14:paraId="2712533E" w14:textId="77777777" w:rsidR="00BE36FB" w:rsidRPr="009B7B35" w:rsidRDefault="00BE36FB" w:rsidP="00BE36FB">
      <w:pPr>
        <w:numPr>
          <w:ilvl w:val="0"/>
          <w:numId w:val="1"/>
        </w:numPr>
        <w:rPr>
          <w:rFonts w:ascii="Arial" w:hAnsi="Arial" w:cs="Arial"/>
          <w:sz w:val="20"/>
          <w:szCs w:val="20"/>
        </w:rPr>
      </w:pPr>
      <w:r w:rsidRPr="009B7B35">
        <w:rPr>
          <w:rFonts w:ascii="Arial" w:hAnsi="Arial" w:cs="Arial"/>
          <w:sz w:val="20"/>
          <w:szCs w:val="20"/>
        </w:rPr>
        <w:t>The planning scheme comprises the following components:</w:t>
      </w:r>
    </w:p>
    <w:p w14:paraId="05102AFF"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about the planning scheme</w:t>
      </w:r>
    </w:p>
    <w:p w14:paraId="584E3853"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state planning provisions</w:t>
      </w:r>
    </w:p>
    <w:p w14:paraId="4BD3B120"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the strategic framework</w:t>
      </w:r>
    </w:p>
    <w:p w14:paraId="133F04D3"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the local government infrastructure plan</w:t>
      </w:r>
    </w:p>
    <w:p w14:paraId="73A8D137"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tables of assessment</w:t>
      </w:r>
    </w:p>
    <w:p w14:paraId="2E6F1E85"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the following zones:</w:t>
      </w:r>
    </w:p>
    <w:p w14:paraId="77F2B1C0" w14:textId="77777777" w:rsidR="00BE36FB" w:rsidRPr="009B7B35" w:rsidRDefault="00BE36FB" w:rsidP="001A7107">
      <w:pPr>
        <w:pStyle w:val="Notes"/>
        <w:rPr>
          <w:rFonts w:cs="Arial"/>
          <w:sz w:val="20"/>
          <w:szCs w:val="20"/>
        </w:rPr>
      </w:pPr>
      <w:r w:rsidRPr="009B7B35">
        <w:rPr>
          <w:rFonts w:cs="Arial"/>
          <w:sz w:val="20"/>
          <w:szCs w:val="20"/>
        </w:rPr>
        <w:t xml:space="preserve">Editor's Note - Mapping is accessible through Council's </w:t>
      </w:r>
      <w:hyperlink r:id="rId9" w:history="1">
        <w:r w:rsidRPr="009B7B35">
          <w:rPr>
            <w:rStyle w:val="Hyperlink"/>
            <w:rFonts w:cs="Arial"/>
            <w:sz w:val="20"/>
            <w:szCs w:val="20"/>
          </w:rPr>
          <w:t>online mapping site</w:t>
        </w:r>
      </w:hyperlink>
      <w:r w:rsidRPr="009B7B35">
        <w:rPr>
          <w:rStyle w:val="Hyperlink"/>
          <w:rFonts w:cs="Arial"/>
          <w:sz w:val="20"/>
          <w:szCs w:val="20"/>
        </w:rPr>
        <w:t xml:space="preserve">  (http://www.grcplanningscheme.com.au/)</w:t>
      </w:r>
    </w:p>
    <w:p w14:paraId="3499FFFF" w14:textId="77777777" w:rsidR="00BE36FB" w:rsidRPr="009B7B35" w:rsidRDefault="00BE36FB" w:rsidP="001A7107">
      <w:pPr>
        <w:rPr>
          <w:rFonts w:ascii="Arial" w:hAnsi="Arial" w:cs="Arial"/>
          <w:sz w:val="20"/>
          <w:szCs w:val="20"/>
        </w:rPr>
      </w:pPr>
    </w:p>
    <w:tbl>
      <w:tblPr>
        <w:tblStyle w:val="Tablestyle"/>
        <w:tblW w:w="0" w:type="auto"/>
        <w:tblInd w:w="1191" w:type="dxa"/>
        <w:tblLook w:val="0620" w:firstRow="1" w:lastRow="0" w:firstColumn="0" w:lastColumn="0" w:noHBand="1" w:noVBand="1"/>
      </w:tblPr>
      <w:tblGrid>
        <w:gridCol w:w="3618"/>
        <w:gridCol w:w="3611"/>
      </w:tblGrid>
      <w:tr w:rsidR="00BE36FB" w:rsidRPr="009B7B35" w14:paraId="653BCAD8" w14:textId="77777777" w:rsidTr="001A7107">
        <w:trPr>
          <w:cnfStyle w:val="100000000000" w:firstRow="1" w:lastRow="0" w:firstColumn="0" w:lastColumn="0" w:oddVBand="0" w:evenVBand="0" w:oddHBand="0" w:evenHBand="0" w:firstRowFirstColumn="0" w:firstRowLastColumn="0" w:lastRowFirstColumn="0" w:lastRowLastColumn="0"/>
          <w:tblHeader/>
        </w:trPr>
        <w:tc>
          <w:tcPr>
            <w:tcW w:w="4111" w:type="dxa"/>
          </w:tcPr>
          <w:p w14:paraId="12FEAD2F" w14:textId="77777777" w:rsidR="00BE36FB" w:rsidRPr="009B7B35" w:rsidRDefault="00BE36FB" w:rsidP="001A7107">
            <w:pPr>
              <w:pStyle w:val="Tableheading"/>
              <w:rPr>
                <w:rFonts w:ascii="Arial" w:hAnsi="Arial" w:cs="Arial"/>
                <w:szCs w:val="20"/>
              </w:rPr>
            </w:pPr>
            <w:r w:rsidRPr="009B7B35">
              <w:rPr>
                <w:rFonts w:ascii="Arial" w:hAnsi="Arial" w:cs="Arial"/>
                <w:szCs w:val="20"/>
              </w:rPr>
              <w:t>Zone</w:t>
            </w:r>
          </w:p>
        </w:tc>
        <w:tc>
          <w:tcPr>
            <w:tcW w:w="4111" w:type="dxa"/>
          </w:tcPr>
          <w:p w14:paraId="4F46ABDB" w14:textId="77777777" w:rsidR="00BE36FB" w:rsidRPr="009B7B35" w:rsidRDefault="00BE36FB" w:rsidP="001A7107">
            <w:pPr>
              <w:pStyle w:val="Tableheading"/>
              <w:rPr>
                <w:rFonts w:ascii="Arial" w:hAnsi="Arial" w:cs="Arial"/>
                <w:szCs w:val="20"/>
              </w:rPr>
            </w:pPr>
            <w:r w:rsidRPr="009B7B35">
              <w:rPr>
                <w:rFonts w:ascii="Arial" w:hAnsi="Arial" w:cs="Arial"/>
                <w:szCs w:val="20"/>
              </w:rPr>
              <w:t>Precinct</w:t>
            </w:r>
          </w:p>
        </w:tc>
      </w:tr>
      <w:tr w:rsidR="00BE36FB" w:rsidRPr="009B7B35" w14:paraId="3453C0CF" w14:textId="77777777" w:rsidTr="001A7107">
        <w:tc>
          <w:tcPr>
            <w:tcW w:w="4111" w:type="dxa"/>
          </w:tcPr>
          <w:p w14:paraId="41E1BBF3" w14:textId="77777777" w:rsidR="00BE36FB" w:rsidRPr="009B7B35" w:rsidRDefault="00BE36FB" w:rsidP="001A7107">
            <w:pPr>
              <w:pStyle w:val="TableText"/>
              <w:rPr>
                <w:rFonts w:cs="Arial"/>
              </w:rPr>
            </w:pPr>
            <w:r w:rsidRPr="009B7B35">
              <w:rPr>
                <w:rFonts w:cs="Arial"/>
              </w:rPr>
              <w:t>Low density residential</w:t>
            </w:r>
          </w:p>
        </w:tc>
        <w:tc>
          <w:tcPr>
            <w:tcW w:w="4111" w:type="dxa"/>
          </w:tcPr>
          <w:p w14:paraId="0BF4404F" w14:textId="77777777" w:rsidR="00BE36FB" w:rsidRPr="009B7B35" w:rsidRDefault="00BE36FB" w:rsidP="001A7107">
            <w:pPr>
              <w:pStyle w:val="TableText"/>
              <w:rPr>
                <w:rFonts w:cs="Arial"/>
              </w:rPr>
            </w:pPr>
            <w:r w:rsidRPr="009B7B35">
              <w:rPr>
                <w:rFonts w:cs="Arial"/>
              </w:rPr>
              <w:t>Calliope neighbourhood precinct</w:t>
            </w:r>
          </w:p>
        </w:tc>
      </w:tr>
      <w:tr w:rsidR="00BE36FB" w:rsidRPr="009B7B35" w14:paraId="74972D21" w14:textId="77777777" w:rsidTr="001A7107">
        <w:tc>
          <w:tcPr>
            <w:tcW w:w="4111" w:type="dxa"/>
          </w:tcPr>
          <w:p w14:paraId="0C18A230" w14:textId="77777777" w:rsidR="00BE36FB" w:rsidRPr="009B7B35" w:rsidRDefault="00BE36FB" w:rsidP="001A7107">
            <w:pPr>
              <w:pStyle w:val="TableText"/>
              <w:rPr>
                <w:rFonts w:cs="Arial"/>
              </w:rPr>
            </w:pPr>
            <w:r w:rsidRPr="009B7B35">
              <w:rPr>
                <w:rFonts w:cs="Arial"/>
              </w:rPr>
              <w:t>Low–medium density residential</w:t>
            </w:r>
          </w:p>
        </w:tc>
        <w:tc>
          <w:tcPr>
            <w:tcW w:w="4111" w:type="dxa"/>
          </w:tcPr>
          <w:p w14:paraId="2812CEE0" w14:textId="77777777" w:rsidR="00BE36FB" w:rsidRPr="009B7B35" w:rsidRDefault="00BE36FB" w:rsidP="001A7107">
            <w:pPr>
              <w:pStyle w:val="TableText"/>
              <w:rPr>
                <w:rFonts w:cs="Arial"/>
              </w:rPr>
            </w:pPr>
          </w:p>
        </w:tc>
      </w:tr>
      <w:tr w:rsidR="00BE36FB" w:rsidRPr="009B7B35" w14:paraId="288B4313" w14:textId="77777777" w:rsidTr="001A7107">
        <w:tc>
          <w:tcPr>
            <w:tcW w:w="4111" w:type="dxa"/>
          </w:tcPr>
          <w:p w14:paraId="66AB4F4F" w14:textId="77777777" w:rsidR="00BE36FB" w:rsidRPr="009B7B35" w:rsidRDefault="00BE36FB" w:rsidP="001A7107">
            <w:pPr>
              <w:pStyle w:val="TableText"/>
              <w:rPr>
                <w:rFonts w:cs="Arial"/>
              </w:rPr>
            </w:pPr>
            <w:r w:rsidRPr="009B7B35">
              <w:rPr>
                <w:rFonts w:cs="Arial"/>
              </w:rPr>
              <w:t>Medium density residential</w:t>
            </w:r>
          </w:p>
        </w:tc>
        <w:tc>
          <w:tcPr>
            <w:tcW w:w="4111" w:type="dxa"/>
          </w:tcPr>
          <w:p w14:paraId="550E8182" w14:textId="77777777" w:rsidR="00BE36FB" w:rsidRPr="009B7B35" w:rsidRDefault="00BE36FB" w:rsidP="001A7107">
            <w:pPr>
              <w:pStyle w:val="TableText"/>
              <w:rPr>
                <w:rFonts w:cs="Arial"/>
              </w:rPr>
            </w:pPr>
            <w:r w:rsidRPr="009B7B35">
              <w:rPr>
                <w:rFonts w:cs="Arial"/>
              </w:rPr>
              <w:t>Gladstone hospital precinct</w:t>
            </w:r>
          </w:p>
        </w:tc>
      </w:tr>
      <w:tr w:rsidR="00BE36FB" w:rsidRPr="009B7B35" w14:paraId="5CB09BF6" w14:textId="77777777" w:rsidTr="001A7107">
        <w:tc>
          <w:tcPr>
            <w:tcW w:w="4111" w:type="dxa"/>
          </w:tcPr>
          <w:p w14:paraId="01990A7F" w14:textId="77777777" w:rsidR="00BE36FB" w:rsidRPr="009B7B35" w:rsidRDefault="00BE36FB" w:rsidP="001A7107">
            <w:pPr>
              <w:pStyle w:val="TableText"/>
              <w:rPr>
                <w:rFonts w:cs="Arial"/>
              </w:rPr>
            </w:pPr>
            <w:r w:rsidRPr="009B7B35">
              <w:rPr>
                <w:rFonts w:cs="Arial"/>
              </w:rPr>
              <w:t>Character residential</w:t>
            </w:r>
          </w:p>
        </w:tc>
        <w:tc>
          <w:tcPr>
            <w:tcW w:w="4111" w:type="dxa"/>
          </w:tcPr>
          <w:p w14:paraId="67344E66" w14:textId="77777777" w:rsidR="00BE36FB" w:rsidRPr="009B7B35" w:rsidRDefault="00BE36FB" w:rsidP="001A7107">
            <w:pPr>
              <w:pStyle w:val="TableText"/>
              <w:rPr>
                <w:rFonts w:cs="Arial"/>
              </w:rPr>
            </w:pPr>
          </w:p>
        </w:tc>
      </w:tr>
      <w:tr w:rsidR="00BE36FB" w:rsidRPr="009B7B35" w14:paraId="54696863" w14:textId="77777777" w:rsidTr="001A7107">
        <w:tc>
          <w:tcPr>
            <w:tcW w:w="4111" w:type="dxa"/>
          </w:tcPr>
          <w:p w14:paraId="7E5C09CD" w14:textId="77777777" w:rsidR="00BE36FB" w:rsidRPr="009B7B35" w:rsidRDefault="00BE36FB" w:rsidP="001A7107">
            <w:pPr>
              <w:pStyle w:val="TableText"/>
              <w:rPr>
                <w:rFonts w:cs="Arial"/>
              </w:rPr>
            </w:pPr>
            <w:r w:rsidRPr="009B7B35">
              <w:rPr>
                <w:rFonts w:cs="Arial"/>
              </w:rPr>
              <w:t>Centre</w:t>
            </w:r>
          </w:p>
        </w:tc>
        <w:tc>
          <w:tcPr>
            <w:tcW w:w="4111" w:type="dxa"/>
          </w:tcPr>
          <w:p w14:paraId="2BF0EAB8" w14:textId="77777777" w:rsidR="00BE36FB" w:rsidRPr="009B7B35" w:rsidRDefault="00BE36FB" w:rsidP="001A7107">
            <w:pPr>
              <w:pStyle w:val="TableText"/>
              <w:rPr>
                <w:rFonts w:cs="Arial"/>
              </w:rPr>
            </w:pPr>
          </w:p>
        </w:tc>
      </w:tr>
      <w:tr w:rsidR="00BE36FB" w:rsidRPr="009B7B35" w14:paraId="33E7CC10" w14:textId="77777777" w:rsidTr="001A7107">
        <w:tc>
          <w:tcPr>
            <w:tcW w:w="4111" w:type="dxa"/>
          </w:tcPr>
          <w:p w14:paraId="6AD68C1B" w14:textId="77777777" w:rsidR="00BE36FB" w:rsidRPr="009B7B35" w:rsidRDefault="00BE36FB" w:rsidP="001A7107">
            <w:pPr>
              <w:pStyle w:val="TableText"/>
              <w:rPr>
                <w:rFonts w:cs="Arial"/>
              </w:rPr>
            </w:pPr>
            <w:r w:rsidRPr="009B7B35">
              <w:rPr>
                <w:rFonts w:cs="Arial"/>
              </w:rPr>
              <w:t>Principal centre</w:t>
            </w:r>
          </w:p>
        </w:tc>
        <w:tc>
          <w:tcPr>
            <w:tcW w:w="4111" w:type="dxa"/>
          </w:tcPr>
          <w:p w14:paraId="43C9E876" w14:textId="77777777" w:rsidR="00BE36FB" w:rsidRPr="009B7B35" w:rsidRDefault="00BE36FB" w:rsidP="001A7107">
            <w:pPr>
              <w:pStyle w:val="TableText"/>
              <w:rPr>
                <w:rFonts w:cs="Arial"/>
              </w:rPr>
            </w:pPr>
          </w:p>
        </w:tc>
      </w:tr>
      <w:tr w:rsidR="00BE36FB" w:rsidRPr="009B7B35" w14:paraId="29754A91" w14:textId="77777777" w:rsidTr="001A7107">
        <w:tc>
          <w:tcPr>
            <w:tcW w:w="4111" w:type="dxa"/>
          </w:tcPr>
          <w:p w14:paraId="5E8C4971" w14:textId="77777777" w:rsidR="00BE36FB" w:rsidRPr="009B7B35" w:rsidRDefault="00BE36FB" w:rsidP="001A7107">
            <w:pPr>
              <w:pStyle w:val="TableText"/>
              <w:rPr>
                <w:rFonts w:cs="Arial"/>
              </w:rPr>
            </w:pPr>
            <w:r w:rsidRPr="009B7B35">
              <w:rPr>
                <w:rFonts w:cs="Arial"/>
              </w:rPr>
              <w:t>Neighbourhood centre</w:t>
            </w:r>
          </w:p>
        </w:tc>
        <w:tc>
          <w:tcPr>
            <w:tcW w:w="4111" w:type="dxa"/>
          </w:tcPr>
          <w:p w14:paraId="46EA66C4" w14:textId="77777777" w:rsidR="00BE36FB" w:rsidRPr="009B7B35" w:rsidRDefault="00BE36FB" w:rsidP="001A7107">
            <w:pPr>
              <w:pStyle w:val="TableText"/>
              <w:rPr>
                <w:rFonts w:cs="Arial"/>
              </w:rPr>
            </w:pPr>
          </w:p>
        </w:tc>
      </w:tr>
      <w:tr w:rsidR="00BE36FB" w:rsidRPr="009B7B35" w14:paraId="720BF058" w14:textId="77777777" w:rsidTr="001A7107">
        <w:tc>
          <w:tcPr>
            <w:tcW w:w="4111" w:type="dxa"/>
          </w:tcPr>
          <w:p w14:paraId="13BA5C98" w14:textId="77777777" w:rsidR="00BE36FB" w:rsidRPr="009B7B35" w:rsidRDefault="00BE36FB" w:rsidP="001A7107">
            <w:pPr>
              <w:pStyle w:val="TableText"/>
              <w:rPr>
                <w:rFonts w:cs="Arial"/>
              </w:rPr>
            </w:pPr>
            <w:r w:rsidRPr="009B7B35">
              <w:rPr>
                <w:rFonts w:cs="Arial"/>
              </w:rPr>
              <w:t>Sport and recreation</w:t>
            </w:r>
          </w:p>
        </w:tc>
        <w:tc>
          <w:tcPr>
            <w:tcW w:w="4111" w:type="dxa"/>
          </w:tcPr>
          <w:p w14:paraId="6F7EE45F" w14:textId="77777777" w:rsidR="00BE36FB" w:rsidRPr="009B7B35" w:rsidRDefault="00BE36FB" w:rsidP="001A7107">
            <w:pPr>
              <w:pStyle w:val="TableText"/>
              <w:rPr>
                <w:rFonts w:cs="Arial"/>
              </w:rPr>
            </w:pPr>
            <w:r w:rsidRPr="009B7B35">
              <w:rPr>
                <w:rFonts w:cs="Arial"/>
              </w:rPr>
              <w:t xml:space="preserve">Benaraby motor sport precinct </w:t>
            </w:r>
          </w:p>
        </w:tc>
      </w:tr>
      <w:tr w:rsidR="00BE36FB" w:rsidRPr="009B7B35" w14:paraId="35CF7957" w14:textId="77777777" w:rsidTr="001A7107">
        <w:tc>
          <w:tcPr>
            <w:tcW w:w="4111" w:type="dxa"/>
          </w:tcPr>
          <w:p w14:paraId="4F104618" w14:textId="77777777" w:rsidR="00BE36FB" w:rsidRPr="009B7B35" w:rsidRDefault="00BE36FB" w:rsidP="001A7107">
            <w:pPr>
              <w:pStyle w:val="TableText"/>
              <w:rPr>
                <w:rFonts w:cs="Arial"/>
              </w:rPr>
            </w:pPr>
            <w:r w:rsidRPr="009B7B35">
              <w:rPr>
                <w:rFonts w:cs="Arial"/>
              </w:rPr>
              <w:t>Open space</w:t>
            </w:r>
          </w:p>
        </w:tc>
        <w:tc>
          <w:tcPr>
            <w:tcW w:w="4111" w:type="dxa"/>
          </w:tcPr>
          <w:p w14:paraId="3E5DF6BD" w14:textId="77777777" w:rsidR="00BE36FB" w:rsidRPr="009B7B35" w:rsidRDefault="00BE36FB" w:rsidP="001A7107">
            <w:pPr>
              <w:pStyle w:val="TableText"/>
              <w:rPr>
                <w:rFonts w:cs="Arial"/>
              </w:rPr>
            </w:pPr>
          </w:p>
        </w:tc>
      </w:tr>
      <w:tr w:rsidR="00BE36FB" w:rsidRPr="009B7B35" w14:paraId="3BAB31AB" w14:textId="77777777" w:rsidTr="001A7107">
        <w:tc>
          <w:tcPr>
            <w:tcW w:w="4111" w:type="dxa"/>
          </w:tcPr>
          <w:p w14:paraId="736EDFC9" w14:textId="77777777" w:rsidR="00BE36FB" w:rsidRPr="009B7B35" w:rsidRDefault="00BE36FB" w:rsidP="001A7107">
            <w:pPr>
              <w:pStyle w:val="TableText"/>
              <w:rPr>
                <w:rFonts w:cs="Arial"/>
              </w:rPr>
            </w:pPr>
            <w:r w:rsidRPr="009B7B35">
              <w:rPr>
                <w:rFonts w:cs="Arial"/>
              </w:rPr>
              <w:t>Environmental management</w:t>
            </w:r>
          </w:p>
        </w:tc>
        <w:tc>
          <w:tcPr>
            <w:tcW w:w="4111" w:type="dxa"/>
          </w:tcPr>
          <w:p w14:paraId="7F8C1269" w14:textId="77777777" w:rsidR="00BE36FB" w:rsidRPr="009B7B35" w:rsidRDefault="00BE36FB" w:rsidP="001A7107">
            <w:pPr>
              <w:pStyle w:val="TableText"/>
              <w:rPr>
                <w:rFonts w:cs="Arial"/>
              </w:rPr>
            </w:pPr>
          </w:p>
        </w:tc>
      </w:tr>
      <w:tr w:rsidR="00BE36FB" w:rsidRPr="009B7B35" w14:paraId="56D61544" w14:textId="77777777" w:rsidTr="001A7107">
        <w:tc>
          <w:tcPr>
            <w:tcW w:w="4111" w:type="dxa"/>
          </w:tcPr>
          <w:p w14:paraId="319D39C6" w14:textId="77777777" w:rsidR="00BE36FB" w:rsidRPr="009B7B35" w:rsidRDefault="00BE36FB" w:rsidP="001A7107">
            <w:pPr>
              <w:pStyle w:val="TableText"/>
              <w:rPr>
                <w:rFonts w:cs="Arial"/>
              </w:rPr>
            </w:pPr>
            <w:r w:rsidRPr="009B7B35">
              <w:rPr>
                <w:rFonts w:cs="Arial"/>
              </w:rPr>
              <w:t>Conservation</w:t>
            </w:r>
          </w:p>
        </w:tc>
        <w:tc>
          <w:tcPr>
            <w:tcW w:w="4111" w:type="dxa"/>
          </w:tcPr>
          <w:p w14:paraId="77BE33CC" w14:textId="77777777" w:rsidR="00BE36FB" w:rsidRPr="009B7B35" w:rsidRDefault="00BE36FB" w:rsidP="001A7107">
            <w:pPr>
              <w:pStyle w:val="TableText"/>
              <w:rPr>
                <w:rFonts w:cs="Arial"/>
              </w:rPr>
            </w:pPr>
          </w:p>
        </w:tc>
      </w:tr>
      <w:tr w:rsidR="00BE36FB" w:rsidRPr="009B7B35" w14:paraId="253FB91B" w14:textId="77777777" w:rsidTr="001A7107">
        <w:tc>
          <w:tcPr>
            <w:tcW w:w="4111" w:type="dxa"/>
          </w:tcPr>
          <w:p w14:paraId="6DFAAACA" w14:textId="77777777" w:rsidR="00BE36FB" w:rsidRPr="009B7B35" w:rsidRDefault="00BE36FB" w:rsidP="001A7107">
            <w:pPr>
              <w:pStyle w:val="TableText"/>
              <w:rPr>
                <w:rFonts w:cs="Arial"/>
              </w:rPr>
            </w:pPr>
            <w:r w:rsidRPr="009B7B35">
              <w:rPr>
                <w:rFonts w:cs="Arial"/>
              </w:rPr>
              <w:t>Low impact industry</w:t>
            </w:r>
          </w:p>
        </w:tc>
        <w:tc>
          <w:tcPr>
            <w:tcW w:w="4111" w:type="dxa"/>
          </w:tcPr>
          <w:p w14:paraId="44770676" w14:textId="77777777" w:rsidR="00BE36FB" w:rsidRPr="009B7B35" w:rsidRDefault="00BE36FB" w:rsidP="001A7107">
            <w:pPr>
              <w:pStyle w:val="TableText"/>
              <w:rPr>
                <w:rFonts w:cs="Arial"/>
              </w:rPr>
            </w:pPr>
            <w:r w:rsidRPr="009B7B35">
              <w:rPr>
                <w:rFonts w:cs="Arial"/>
              </w:rPr>
              <w:t>Hanson Road precinct</w:t>
            </w:r>
          </w:p>
        </w:tc>
      </w:tr>
      <w:tr w:rsidR="00BE36FB" w:rsidRPr="009B7B35" w14:paraId="53E23B9F" w14:textId="77777777" w:rsidTr="001A7107">
        <w:tc>
          <w:tcPr>
            <w:tcW w:w="4111" w:type="dxa"/>
          </w:tcPr>
          <w:p w14:paraId="18AD0B4A" w14:textId="77777777" w:rsidR="00BE36FB" w:rsidRPr="009B7B35" w:rsidRDefault="00BE36FB" w:rsidP="001A7107">
            <w:pPr>
              <w:pStyle w:val="TableText"/>
              <w:rPr>
                <w:rFonts w:cs="Arial"/>
              </w:rPr>
            </w:pPr>
            <w:r w:rsidRPr="009B7B35">
              <w:rPr>
                <w:rFonts w:cs="Arial"/>
              </w:rPr>
              <w:t>Medium impact industry</w:t>
            </w:r>
          </w:p>
        </w:tc>
        <w:tc>
          <w:tcPr>
            <w:tcW w:w="4111" w:type="dxa"/>
          </w:tcPr>
          <w:p w14:paraId="4196DE7D" w14:textId="77777777" w:rsidR="00BE36FB" w:rsidRPr="009B7B35" w:rsidRDefault="00BE36FB" w:rsidP="001A7107">
            <w:pPr>
              <w:pStyle w:val="TableText"/>
              <w:rPr>
                <w:rFonts w:cs="Arial"/>
              </w:rPr>
            </w:pPr>
            <w:r w:rsidRPr="009B7B35">
              <w:rPr>
                <w:rFonts w:cs="Arial"/>
              </w:rPr>
              <w:t>Red Rover industrial precinct</w:t>
            </w:r>
          </w:p>
        </w:tc>
      </w:tr>
      <w:tr w:rsidR="00BE36FB" w:rsidRPr="009B7B35" w14:paraId="1E1FF4DE" w14:textId="77777777" w:rsidTr="001A7107">
        <w:tc>
          <w:tcPr>
            <w:tcW w:w="4111" w:type="dxa"/>
          </w:tcPr>
          <w:p w14:paraId="29163747" w14:textId="77777777" w:rsidR="00BE36FB" w:rsidRPr="009B7B35" w:rsidRDefault="00BE36FB" w:rsidP="001A7107">
            <w:pPr>
              <w:pStyle w:val="TableText"/>
              <w:rPr>
                <w:rFonts w:cs="Arial"/>
              </w:rPr>
            </w:pPr>
            <w:r w:rsidRPr="009B7B35">
              <w:rPr>
                <w:rFonts w:cs="Arial"/>
              </w:rPr>
              <w:t>Special industry</w:t>
            </w:r>
          </w:p>
        </w:tc>
        <w:tc>
          <w:tcPr>
            <w:tcW w:w="4111" w:type="dxa"/>
          </w:tcPr>
          <w:p w14:paraId="54536394" w14:textId="77777777" w:rsidR="00BE36FB" w:rsidRPr="009B7B35" w:rsidRDefault="00BE36FB" w:rsidP="001A7107">
            <w:pPr>
              <w:pStyle w:val="TableText"/>
              <w:rPr>
                <w:rFonts w:cs="Arial"/>
              </w:rPr>
            </w:pPr>
          </w:p>
        </w:tc>
      </w:tr>
      <w:tr w:rsidR="00BE36FB" w:rsidRPr="009B7B35" w14:paraId="5CB69244" w14:textId="77777777" w:rsidTr="001A7107">
        <w:tc>
          <w:tcPr>
            <w:tcW w:w="4111" w:type="dxa"/>
          </w:tcPr>
          <w:p w14:paraId="4B01A2CB" w14:textId="77777777" w:rsidR="00BE36FB" w:rsidRPr="009B7B35" w:rsidRDefault="00BE36FB" w:rsidP="001A7107">
            <w:pPr>
              <w:pStyle w:val="TableText"/>
              <w:rPr>
                <w:rFonts w:cs="Arial"/>
              </w:rPr>
            </w:pPr>
            <w:r w:rsidRPr="009B7B35">
              <w:rPr>
                <w:rFonts w:cs="Arial"/>
              </w:rPr>
              <w:t>Industry investigation</w:t>
            </w:r>
          </w:p>
        </w:tc>
        <w:tc>
          <w:tcPr>
            <w:tcW w:w="4111" w:type="dxa"/>
          </w:tcPr>
          <w:p w14:paraId="18CF1DCA" w14:textId="77777777" w:rsidR="00BE36FB" w:rsidRPr="009B7B35" w:rsidRDefault="00BE36FB" w:rsidP="001A7107">
            <w:pPr>
              <w:pStyle w:val="TableText"/>
              <w:rPr>
                <w:rFonts w:cs="Arial"/>
              </w:rPr>
            </w:pPr>
          </w:p>
        </w:tc>
      </w:tr>
      <w:tr w:rsidR="00BE36FB" w:rsidRPr="009B7B35" w14:paraId="65CE414D" w14:textId="77777777" w:rsidTr="001A7107">
        <w:tc>
          <w:tcPr>
            <w:tcW w:w="4111" w:type="dxa"/>
          </w:tcPr>
          <w:p w14:paraId="63162A45" w14:textId="77777777" w:rsidR="00BE36FB" w:rsidRPr="009B7B35" w:rsidRDefault="00BE36FB" w:rsidP="001A7107">
            <w:pPr>
              <w:pStyle w:val="TableText"/>
              <w:rPr>
                <w:rFonts w:cs="Arial"/>
              </w:rPr>
            </w:pPr>
            <w:r w:rsidRPr="009B7B35">
              <w:rPr>
                <w:rFonts w:cs="Arial"/>
              </w:rPr>
              <w:t>Major tourism</w:t>
            </w:r>
          </w:p>
        </w:tc>
        <w:tc>
          <w:tcPr>
            <w:tcW w:w="4111" w:type="dxa"/>
          </w:tcPr>
          <w:p w14:paraId="646084A9" w14:textId="77777777" w:rsidR="00BE36FB" w:rsidRPr="009B7B35" w:rsidRDefault="00BE36FB" w:rsidP="001A7107">
            <w:pPr>
              <w:pStyle w:val="TableText"/>
              <w:rPr>
                <w:rFonts w:cs="Arial"/>
              </w:rPr>
            </w:pPr>
          </w:p>
        </w:tc>
      </w:tr>
      <w:tr w:rsidR="00BE36FB" w:rsidRPr="009B7B35" w14:paraId="1534D88F" w14:textId="77777777" w:rsidTr="001A7107">
        <w:tc>
          <w:tcPr>
            <w:tcW w:w="4111" w:type="dxa"/>
          </w:tcPr>
          <w:p w14:paraId="34AC151E" w14:textId="77777777" w:rsidR="00BE36FB" w:rsidRPr="009B7B35" w:rsidRDefault="00BE36FB" w:rsidP="001A7107">
            <w:pPr>
              <w:pStyle w:val="TableText"/>
              <w:rPr>
                <w:rFonts w:cs="Arial"/>
              </w:rPr>
            </w:pPr>
            <w:r w:rsidRPr="009B7B35">
              <w:rPr>
                <w:rFonts w:cs="Arial"/>
              </w:rPr>
              <w:t>Minor tourism</w:t>
            </w:r>
          </w:p>
        </w:tc>
        <w:tc>
          <w:tcPr>
            <w:tcW w:w="4111" w:type="dxa"/>
          </w:tcPr>
          <w:p w14:paraId="48B2FA30" w14:textId="77777777" w:rsidR="00BE36FB" w:rsidRPr="009B7B35" w:rsidRDefault="00BE36FB" w:rsidP="001A7107">
            <w:pPr>
              <w:pStyle w:val="TableText"/>
              <w:rPr>
                <w:rFonts w:cs="Arial"/>
              </w:rPr>
            </w:pPr>
          </w:p>
        </w:tc>
      </w:tr>
      <w:tr w:rsidR="00BE36FB" w:rsidRPr="009B7B35" w14:paraId="72D24936" w14:textId="77777777" w:rsidTr="001A7107">
        <w:tc>
          <w:tcPr>
            <w:tcW w:w="4111" w:type="dxa"/>
          </w:tcPr>
          <w:p w14:paraId="2764A69D" w14:textId="77777777" w:rsidR="00BE36FB" w:rsidRPr="009B7B35" w:rsidRDefault="00BE36FB" w:rsidP="001A7107">
            <w:pPr>
              <w:pStyle w:val="TableText"/>
              <w:rPr>
                <w:rFonts w:cs="Arial"/>
              </w:rPr>
            </w:pPr>
            <w:r w:rsidRPr="009B7B35">
              <w:rPr>
                <w:rFonts w:cs="Arial"/>
              </w:rPr>
              <w:t>Community facilities</w:t>
            </w:r>
          </w:p>
        </w:tc>
        <w:tc>
          <w:tcPr>
            <w:tcW w:w="4111" w:type="dxa"/>
          </w:tcPr>
          <w:p w14:paraId="5B58A582" w14:textId="77777777" w:rsidR="00BE36FB" w:rsidRPr="009B7B35" w:rsidRDefault="00BE36FB" w:rsidP="001A7107">
            <w:pPr>
              <w:pStyle w:val="TableText"/>
              <w:rPr>
                <w:rFonts w:cs="Arial"/>
              </w:rPr>
            </w:pPr>
          </w:p>
        </w:tc>
      </w:tr>
      <w:tr w:rsidR="00BE36FB" w:rsidRPr="009B7B35" w14:paraId="718E0A72" w14:textId="77777777" w:rsidTr="001A7107">
        <w:tc>
          <w:tcPr>
            <w:tcW w:w="4111" w:type="dxa"/>
          </w:tcPr>
          <w:p w14:paraId="084F866B" w14:textId="77777777" w:rsidR="00BE36FB" w:rsidRPr="009B7B35" w:rsidRDefault="00BE36FB" w:rsidP="001A7107">
            <w:pPr>
              <w:pStyle w:val="TableText"/>
              <w:rPr>
                <w:rFonts w:cs="Arial"/>
              </w:rPr>
            </w:pPr>
            <w:r w:rsidRPr="009B7B35">
              <w:rPr>
                <w:rFonts w:cs="Arial"/>
              </w:rPr>
              <w:t>Emerging community</w:t>
            </w:r>
          </w:p>
        </w:tc>
        <w:tc>
          <w:tcPr>
            <w:tcW w:w="4111" w:type="dxa"/>
          </w:tcPr>
          <w:p w14:paraId="6DE47CA0" w14:textId="77777777" w:rsidR="00BE36FB" w:rsidRPr="009B7B35" w:rsidRDefault="00BE36FB" w:rsidP="001A7107">
            <w:pPr>
              <w:pStyle w:val="TableText"/>
              <w:rPr>
                <w:rFonts w:cs="Arial"/>
              </w:rPr>
            </w:pPr>
          </w:p>
        </w:tc>
      </w:tr>
      <w:tr w:rsidR="00BE36FB" w:rsidRPr="009B7B35" w14:paraId="2FC374BD" w14:textId="77777777" w:rsidTr="001A7107">
        <w:tc>
          <w:tcPr>
            <w:tcW w:w="4111" w:type="dxa"/>
          </w:tcPr>
          <w:p w14:paraId="7133AF39" w14:textId="77777777" w:rsidR="00BE36FB" w:rsidRPr="009B7B35" w:rsidRDefault="00BE36FB" w:rsidP="001A7107">
            <w:pPr>
              <w:pStyle w:val="TableText"/>
              <w:rPr>
                <w:rFonts w:cs="Arial"/>
              </w:rPr>
            </w:pPr>
            <w:r w:rsidRPr="009B7B35">
              <w:rPr>
                <w:rFonts w:cs="Arial"/>
              </w:rPr>
              <w:t>Limited development</w:t>
            </w:r>
          </w:p>
        </w:tc>
        <w:tc>
          <w:tcPr>
            <w:tcW w:w="4111" w:type="dxa"/>
          </w:tcPr>
          <w:p w14:paraId="66D608A1" w14:textId="77777777" w:rsidR="00BE36FB" w:rsidRPr="009B7B35" w:rsidRDefault="00BE36FB" w:rsidP="001A7107">
            <w:pPr>
              <w:pStyle w:val="TableText"/>
              <w:rPr>
                <w:rFonts w:cs="Arial"/>
              </w:rPr>
            </w:pPr>
            <w:r w:rsidRPr="009B7B35">
              <w:rPr>
                <w:rFonts w:cs="Arial"/>
              </w:rPr>
              <w:t>Flood affected lands precinct</w:t>
            </w:r>
          </w:p>
          <w:p w14:paraId="3C15EA1F" w14:textId="77777777" w:rsidR="00BE36FB" w:rsidRPr="009B7B35" w:rsidRDefault="00BE36FB" w:rsidP="001A7107">
            <w:pPr>
              <w:pStyle w:val="TableText"/>
              <w:rPr>
                <w:rFonts w:cs="Arial"/>
              </w:rPr>
            </w:pPr>
            <w:r w:rsidRPr="009B7B35">
              <w:rPr>
                <w:rFonts w:cs="Arial"/>
              </w:rPr>
              <w:t>Major industry buffer precinct</w:t>
            </w:r>
          </w:p>
        </w:tc>
      </w:tr>
      <w:tr w:rsidR="00BE36FB" w:rsidRPr="009B7B35" w14:paraId="02195FA8" w14:textId="77777777" w:rsidTr="001A7107">
        <w:tc>
          <w:tcPr>
            <w:tcW w:w="4111" w:type="dxa"/>
          </w:tcPr>
          <w:p w14:paraId="78624974" w14:textId="77777777" w:rsidR="00BE36FB" w:rsidRPr="009B7B35" w:rsidRDefault="00BE36FB" w:rsidP="001A7107">
            <w:pPr>
              <w:pStyle w:val="TableText"/>
              <w:rPr>
                <w:rFonts w:cs="Arial"/>
              </w:rPr>
            </w:pPr>
            <w:r w:rsidRPr="009B7B35">
              <w:rPr>
                <w:rFonts w:cs="Arial"/>
              </w:rPr>
              <w:t>Mixed use</w:t>
            </w:r>
          </w:p>
        </w:tc>
        <w:tc>
          <w:tcPr>
            <w:tcW w:w="4111" w:type="dxa"/>
          </w:tcPr>
          <w:p w14:paraId="6DA8DC53" w14:textId="77777777" w:rsidR="00BE36FB" w:rsidRPr="009B7B35" w:rsidRDefault="00BE36FB" w:rsidP="001A7107">
            <w:pPr>
              <w:pStyle w:val="TableText"/>
              <w:rPr>
                <w:rFonts w:cs="Arial"/>
              </w:rPr>
            </w:pPr>
            <w:r w:rsidRPr="009B7B35">
              <w:rPr>
                <w:rFonts w:cs="Arial"/>
              </w:rPr>
              <w:t>Jeffrey Court precinct</w:t>
            </w:r>
          </w:p>
        </w:tc>
      </w:tr>
      <w:tr w:rsidR="00BE36FB" w:rsidRPr="009B7B35" w14:paraId="13386B32" w14:textId="77777777" w:rsidTr="001A7107">
        <w:tc>
          <w:tcPr>
            <w:tcW w:w="4111" w:type="dxa"/>
          </w:tcPr>
          <w:p w14:paraId="22775B1E" w14:textId="77777777" w:rsidR="00BE36FB" w:rsidRPr="009B7B35" w:rsidRDefault="00BE36FB" w:rsidP="001A7107">
            <w:pPr>
              <w:pStyle w:val="TableText"/>
              <w:rPr>
                <w:rFonts w:cs="Arial"/>
              </w:rPr>
            </w:pPr>
            <w:r w:rsidRPr="009B7B35">
              <w:rPr>
                <w:rFonts w:cs="Arial"/>
              </w:rPr>
              <w:t>Rural</w:t>
            </w:r>
          </w:p>
        </w:tc>
        <w:tc>
          <w:tcPr>
            <w:tcW w:w="4111" w:type="dxa"/>
          </w:tcPr>
          <w:p w14:paraId="57EF5262" w14:textId="77777777" w:rsidR="00BE36FB" w:rsidRPr="009B7B35" w:rsidRDefault="00BE36FB" w:rsidP="001A7107">
            <w:pPr>
              <w:pStyle w:val="TableText"/>
              <w:rPr>
                <w:rFonts w:cs="Arial"/>
              </w:rPr>
            </w:pPr>
          </w:p>
        </w:tc>
      </w:tr>
      <w:tr w:rsidR="00BE36FB" w:rsidRPr="009B7B35" w14:paraId="6EB354AA" w14:textId="77777777" w:rsidTr="001A7107">
        <w:tc>
          <w:tcPr>
            <w:tcW w:w="4111" w:type="dxa"/>
          </w:tcPr>
          <w:p w14:paraId="76751EB9" w14:textId="77777777" w:rsidR="00BE36FB" w:rsidRPr="009B7B35" w:rsidRDefault="00BE36FB" w:rsidP="001A7107">
            <w:pPr>
              <w:pStyle w:val="TableText"/>
              <w:rPr>
                <w:rFonts w:cs="Arial"/>
              </w:rPr>
            </w:pPr>
            <w:r w:rsidRPr="009B7B35">
              <w:rPr>
                <w:rFonts w:cs="Arial"/>
              </w:rPr>
              <w:t>Rural residential</w:t>
            </w:r>
          </w:p>
        </w:tc>
        <w:tc>
          <w:tcPr>
            <w:tcW w:w="4111" w:type="dxa"/>
          </w:tcPr>
          <w:p w14:paraId="06289CF1" w14:textId="77777777" w:rsidR="00BE36FB" w:rsidRPr="009B7B35" w:rsidRDefault="00BE36FB" w:rsidP="001A7107">
            <w:pPr>
              <w:pStyle w:val="TableText"/>
              <w:rPr>
                <w:rFonts w:cs="Arial"/>
              </w:rPr>
            </w:pPr>
            <w:r w:rsidRPr="009B7B35">
              <w:rPr>
                <w:rFonts w:cs="Arial"/>
              </w:rPr>
              <w:t>Bicentennial Drive enterprise precinct</w:t>
            </w:r>
          </w:p>
          <w:p w14:paraId="5F19753B" w14:textId="77777777" w:rsidR="00BE36FB" w:rsidRPr="009B7B35" w:rsidRDefault="00BE36FB" w:rsidP="001A7107">
            <w:pPr>
              <w:pStyle w:val="TableText"/>
              <w:rPr>
                <w:rFonts w:cs="Arial"/>
              </w:rPr>
            </w:pPr>
            <w:r w:rsidRPr="009B7B35">
              <w:rPr>
                <w:rFonts w:cs="Arial"/>
              </w:rPr>
              <w:t>Beecher/Burua constant flow precinct</w:t>
            </w:r>
          </w:p>
        </w:tc>
      </w:tr>
      <w:tr w:rsidR="00BE36FB" w:rsidRPr="009B7B35" w14:paraId="207C93FC" w14:textId="77777777" w:rsidTr="001A7107">
        <w:tc>
          <w:tcPr>
            <w:tcW w:w="4111" w:type="dxa"/>
          </w:tcPr>
          <w:p w14:paraId="70C3DDBD" w14:textId="77777777" w:rsidR="00BE36FB" w:rsidRPr="009B7B35" w:rsidRDefault="00BE36FB" w:rsidP="001A7107">
            <w:pPr>
              <w:pStyle w:val="TableText"/>
              <w:rPr>
                <w:rFonts w:cs="Arial"/>
              </w:rPr>
            </w:pPr>
            <w:r w:rsidRPr="009B7B35">
              <w:rPr>
                <w:rFonts w:cs="Arial"/>
              </w:rPr>
              <w:t>Special purpose</w:t>
            </w:r>
          </w:p>
        </w:tc>
        <w:tc>
          <w:tcPr>
            <w:tcW w:w="4111" w:type="dxa"/>
          </w:tcPr>
          <w:p w14:paraId="251E8FBA" w14:textId="77777777" w:rsidR="00BE36FB" w:rsidRPr="009B7B35" w:rsidRDefault="00BE36FB" w:rsidP="001A7107">
            <w:pPr>
              <w:pStyle w:val="TableText"/>
              <w:rPr>
                <w:rFonts w:cs="Arial"/>
              </w:rPr>
            </w:pPr>
            <w:r w:rsidRPr="009B7B35">
              <w:rPr>
                <w:rFonts w:cs="Arial"/>
              </w:rPr>
              <w:t>Gladstone airport precinct</w:t>
            </w:r>
          </w:p>
        </w:tc>
      </w:tr>
      <w:tr w:rsidR="00BE36FB" w:rsidRPr="009B7B35" w14:paraId="25897AB7" w14:textId="77777777" w:rsidTr="001A7107">
        <w:tc>
          <w:tcPr>
            <w:tcW w:w="4111" w:type="dxa"/>
          </w:tcPr>
          <w:p w14:paraId="6645F3F9" w14:textId="77777777" w:rsidR="00BE36FB" w:rsidRPr="009B7B35" w:rsidRDefault="00BE36FB" w:rsidP="001A7107">
            <w:pPr>
              <w:pStyle w:val="TableText"/>
              <w:rPr>
                <w:rFonts w:cs="Arial"/>
              </w:rPr>
            </w:pPr>
            <w:r w:rsidRPr="009B7B35">
              <w:rPr>
                <w:rFonts w:cs="Arial"/>
              </w:rPr>
              <w:t>Specialised centre</w:t>
            </w:r>
          </w:p>
        </w:tc>
        <w:tc>
          <w:tcPr>
            <w:tcW w:w="4111" w:type="dxa"/>
          </w:tcPr>
          <w:p w14:paraId="24AD97F6" w14:textId="77777777" w:rsidR="00BE36FB" w:rsidRPr="009B7B35" w:rsidRDefault="00BE36FB" w:rsidP="001A7107">
            <w:pPr>
              <w:pStyle w:val="TableText"/>
              <w:rPr>
                <w:rFonts w:cs="Arial"/>
              </w:rPr>
            </w:pPr>
            <w:r w:rsidRPr="009B7B35">
              <w:rPr>
                <w:rFonts w:cs="Arial"/>
              </w:rPr>
              <w:t>Clinton precinct</w:t>
            </w:r>
          </w:p>
          <w:p w14:paraId="32AB7F8D" w14:textId="77777777" w:rsidR="00BE36FB" w:rsidRPr="009B7B35" w:rsidRDefault="00BE36FB" w:rsidP="001A7107">
            <w:pPr>
              <w:pStyle w:val="TableText"/>
              <w:rPr>
                <w:rFonts w:cs="Arial"/>
              </w:rPr>
            </w:pPr>
            <w:r w:rsidRPr="009B7B35">
              <w:rPr>
                <w:rFonts w:cs="Arial"/>
              </w:rPr>
              <w:t>Central Gladstone precinct</w:t>
            </w:r>
          </w:p>
          <w:p w14:paraId="78490D20" w14:textId="77777777" w:rsidR="00BE36FB" w:rsidRPr="009B7B35" w:rsidRDefault="00BE36FB" w:rsidP="001A7107">
            <w:pPr>
              <w:pStyle w:val="TableText"/>
              <w:rPr>
                <w:rFonts w:cs="Arial"/>
              </w:rPr>
            </w:pPr>
            <w:r w:rsidRPr="009B7B35">
              <w:rPr>
                <w:rFonts w:cs="Arial"/>
              </w:rPr>
              <w:t>Toolooa Street east precinct</w:t>
            </w:r>
          </w:p>
        </w:tc>
      </w:tr>
      <w:tr w:rsidR="00BE36FB" w:rsidRPr="009B7B35" w14:paraId="2F20285E" w14:textId="77777777" w:rsidTr="001A7107">
        <w:tc>
          <w:tcPr>
            <w:tcW w:w="4111" w:type="dxa"/>
          </w:tcPr>
          <w:p w14:paraId="26357C26" w14:textId="77777777" w:rsidR="00BE36FB" w:rsidRPr="009B7B35" w:rsidRDefault="00BE36FB" w:rsidP="001A7107">
            <w:pPr>
              <w:pStyle w:val="TableText"/>
              <w:rPr>
                <w:rFonts w:cs="Arial"/>
              </w:rPr>
            </w:pPr>
            <w:r w:rsidRPr="009B7B35">
              <w:rPr>
                <w:rFonts w:cs="Arial"/>
              </w:rPr>
              <w:lastRenderedPageBreak/>
              <w:t>Township</w:t>
            </w:r>
          </w:p>
        </w:tc>
        <w:tc>
          <w:tcPr>
            <w:tcW w:w="4111" w:type="dxa"/>
          </w:tcPr>
          <w:p w14:paraId="6CE88416" w14:textId="77777777" w:rsidR="00BE36FB" w:rsidRPr="009B7B35" w:rsidRDefault="00BE36FB" w:rsidP="001A7107">
            <w:pPr>
              <w:pStyle w:val="TableText"/>
              <w:rPr>
                <w:rFonts w:cs="Arial"/>
              </w:rPr>
            </w:pPr>
          </w:p>
        </w:tc>
      </w:tr>
    </w:tbl>
    <w:p w14:paraId="7FB97908" w14:textId="77777777" w:rsidR="00BE36FB" w:rsidRPr="009B7B35" w:rsidRDefault="00BE36FB" w:rsidP="001A7107">
      <w:pPr>
        <w:rPr>
          <w:rFonts w:ascii="Arial" w:hAnsi="Arial" w:cs="Arial"/>
          <w:sz w:val="20"/>
          <w:szCs w:val="20"/>
        </w:rPr>
      </w:pPr>
    </w:p>
    <w:p w14:paraId="096534C6"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there are no local plans</w:t>
      </w:r>
    </w:p>
    <w:p w14:paraId="0AA655FE"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the following overlays:</w:t>
      </w:r>
    </w:p>
    <w:p w14:paraId="2A3D9E62" w14:textId="77777777" w:rsidR="00BE36FB" w:rsidRPr="009B7B35" w:rsidRDefault="00BE36FB" w:rsidP="001A7107">
      <w:pPr>
        <w:pStyle w:val="Notes"/>
        <w:rPr>
          <w:rFonts w:cs="Arial"/>
          <w:sz w:val="20"/>
          <w:szCs w:val="20"/>
        </w:rPr>
      </w:pPr>
      <w:r w:rsidRPr="009B7B35">
        <w:rPr>
          <w:rFonts w:cs="Arial"/>
          <w:sz w:val="20"/>
          <w:szCs w:val="20"/>
        </w:rPr>
        <w:t xml:space="preserve">Editor's Note - Mapping is accessible through Council's </w:t>
      </w:r>
      <w:hyperlink r:id="rId10" w:history="1">
        <w:r w:rsidRPr="009B7B35">
          <w:rPr>
            <w:rStyle w:val="Hyperlink"/>
            <w:rFonts w:cs="Arial"/>
            <w:sz w:val="20"/>
            <w:szCs w:val="20"/>
          </w:rPr>
          <w:t>online mapping site</w:t>
        </w:r>
      </w:hyperlink>
      <w:r w:rsidRPr="009B7B35">
        <w:rPr>
          <w:rStyle w:val="Hyperlink"/>
          <w:rFonts w:cs="Arial"/>
          <w:sz w:val="20"/>
          <w:szCs w:val="20"/>
        </w:rPr>
        <w:t xml:space="preserve">  (http://geocortex.gladstonerc.qld.gov.au/GRCMapping/?Viewer=DraftPlanningScheme)</w:t>
      </w:r>
    </w:p>
    <w:p w14:paraId="18F1D66B" w14:textId="77777777" w:rsidR="00BE36FB" w:rsidRPr="009B7B35" w:rsidRDefault="00BE36FB" w:rsidP="001A7107">
      <w:pPr>
        <w:rPr>
          <w:rFonts w:ascii="Arial" w:hAnsi="Arial" w:cs="Arial"/>
          <w:sz w:val="20"/>
          <w:szCs w:val="20"/>
        </w:rPr>
      </w:pPr>
    </w:p>
    <w:tbl>
      <w:tblPr>
        <w:tblStyle w:val="Tablestyle"/>
        <w:tblW w:w="0" w:type="auto"/>
        <w:tblInd w:w="1191" w:type="dxa"/>
        <w:tblLook w:val="0620" w:firstRow="1" w:lastRow="0" w:firstColumn="0" w:lastColumn="0" w:noHBand="1" w:noVBand="1"/>
      </w:tblPr>
      <w:tblGrid>
        <w:gridCol w:w="3627"/>
        <w:gridCol w:w="3602"/>
      </w:tblGrid>
      <w:tr w:rsidR="00BE36FB" w:rsidRPr="009B7B35" w14:paraId="2E898D16" w14:textId="77777777" w:rsidTr="001A7107">
        <w:trPr>
          <w:cnfStyle w:val="100000000000" w:firstRow="1" w:lastRow="0" w:firstColumn="0" w:lastColumn="0" w:oddVBand="0" w:evenVBand="0" w:oddHBand="0" w:evenHBand="0" w:firstRowFirstColumn="0" w:firstRowLastColumn="0" w:lastRowFirstColumn="0" w:lastRowLastColumn="0"/>
          <w:tblHeader/>
        </w:trPr>
        <w:tc>
          <w:tcPr>
            <w:tcW w:w="4111" w:type="dxa"/>
          </w:tcPr>
          <w:p w14:paraId="10BB7EEC" w14:textId="77777777" w:rsidR="00BE36FB" w:rsidRPr="009B7B35" w:rsidRDefault="00BE36FB" w:rsidP="001A7107">
            <w:pPr>
              <w:pStyle w:val="TableText"/>
              <w:rPr>
                <w:rFonts w:cs="Arial"/>
              </w:rPr>
            </w:pPr>
            <w:r w:rsidRPr="009B7B35">
              <w:rPr>
                <w:rFonts w:cs="Arial"/>
              </w:rPr>
              <w:t>Mapping overlays</w:t>
            </w:r>
          </w:p>
        </w:tc>
        <w:tc>
          <w:tcPr>
            <w:tcW w:w="4111" w:type="dxa"/>
          </w:tcPr>
          <w:p w14:paraId="0400D21E" w14:textId="77777777" w:rsidR="00BE36FB" w:rsidRPr="009B7B35" w:rsidRDefault="00BE36FB" w:rsidP="001A7107">
            <w:pPr>
              <w:pStyle w:val="TableText"/>
              <w:rPr>
                <w:rFonts w:cs="Arial"/>
              </w:rPr>
            </w:pPr>
            <w:r w:rsidRPr="009B7B35">
              <w:rPr>
                <w:rFonts w:cs="Arial"/>
              </w:rPr>
              <w:t>Overlay codes</w:t>
            </w:r>
          </w:p>
        </w:tc>
      </w:tr>
      <w:tr w:rsidR="00BE36FB" w:rsidRPr="009B7B35" w14:paraId="71B9145B" w14:textId="77777777" w:rsidTr="001A7107">
        <w:tc>
          <w:tcPr>
            <w:tcW w:w="4111" w:type="dxa"/>
          </w:tcPr>
          <w:p w14:paraId="6DF643B4" w14:textId="77777777" w:rsidR="00BE36FB" w:rsidRPr="009B7B35" w:rsidRDefault="00BE36FB" w:rsidP="001A7107">
            <w:pPr>
              <w:pStyle w:val="TableText"/>
              <w:rPr>
                <w:rFonts w:cs="Arial"/>
              </w:rPr>
            </w:pPr>
            <w:r w:rsidRPr="009B7B35">
              <w:rPr>
                <w:rFonts w:cs="Arial"/>
              </w:rPr>
              <w:t>Acid sulfate soils 0–5m AHD</w:t>
            </w:r>
          </w:p>
          <w:p w14:paraId="1B9051DF" w14:textId="77777777" w:rsidR="00BE36FB" w:rsidRPr="009B7B35" w:rsidRDefault="00BE36FB" w:rsidP="001A7107">
            <w:pPr>
              <w:pStyle w:val="TableText"/>
              <w:rPr>
                <w:rFonts w:cs="Arial"/>
              </w:rPr>
            </w:pPr>
            <w:r w:rsidRPr="009B7B35">
              <w:rPr>
                <w:rFonts w:cs="Arial"/>
              </w:rPr>
              <w:t>Acid sulfate soils 5–20m AHD</w:t>
            </w:r>
          </w:p>
        </w:tc>
        <w:tc>
          <w:tcPr>
            <w:tcW w:w="4111" w:type="dxa"/>
          </w:tcPr>
          <w:p w14:paraId="0AA186B2" w14:textId="77777777" w:rsidR="00BE36FB" w:rsidRPr="009B7B35" w:rsidRDefault="00BE36FB" w:rsidP="001A7107">
            <w:pPr>
              <w:pStyle w:val="TableText"/>
              <w:rPr>
                <w:rFonts w:cs="Arial"/>
              </w:rPr>
            </w:pPr>
            <w:r w:rsidRPr="009B7B35">
              <w:rPr>
                <w:rFonts w:cs="Arial"/>
              </w:rPr>
              <w:t>Acid sulfate soils</w:t>
            </w:r>
          </w:p>
        </w:tc>
      </w:tr>
      <w:tr w:rsidR="00BE36FB" w:rsidRPr="009B7B35" w14:paraId="7820EFF2" w14:textId="77777777" w:rsidTr="001A7107">
        <w:tc>
          <w:tcPr>
            <w:tcW w:w="4111" w:type="dxa"/>
          </w:tcPr>
          <w:p w14:paraId="644EE204" w14:textId="77777777" w:rsidR="00BE36FB" w:rsidRPr="009B7B35" w:rsidRDefault="00BE36FB" w:rsidP="001A7107">
            <w:pPr>
              <w:pStyle w:val="TableText"/>
              <w:rPr>
                <w:rFonts w:cs="Arial"/>
              </w:rPr>
            </w:pPr>
            <w:r w:rsidRPr="009B7B35">
              <w:rPr>
                <w:rFonts w:cs="Arial"/>
              </w:rPr>
              <w:t>Runway centre line</w:t>
            </w:r>
          </w:p>
          <w:p w14:paraId="41419024" w14:textId="77777777" w:rsidR="00BE36FB" w:rsidRPr="009B7B35" w:rsidRDefault="00BE36FB" w:rsidP="001A7107">
            <w:pPr>
              <w:pStyle w:val="TableText"/>
              <w:rPr>
                <w:rFonts w:cs="Arial"/>
              </w:rPr>
            </w:pPr>
            <w:r w:rsidRPr="009B7B35">
              <w:rPr>
                <w:rFonts w:cs="Arial"/>
              </w:rPr>
              <w:t>Approach and departure limitation surface lines</w:t>
            </w:r>
          </w:p>
          <w:p w14:paraId="0B438302" w14:textId="77777777" w:rsidR="00BE36FB" w:rsidRPr="009B7B35" w:rsidRDefault="00BE36FB" w:rsidP="001A7107">
            <w:pPr>
              <w:pStyle w:val="TableText"/>
              <w:rPr>
                <w:rFonts w:cs="Arial"/>
              </w:rPr>
            </w:pPr>
            <w:r w:rsidRPr="009B7B35">
              <w:rPr>
                <w:rFonts w:cs="Arial"/>
              </w:rPr>
              <w:t>5m OLS contours</w:t>
            </w:r>
          </w:p>
          <w:p w14:paraId="3805939B" w14:textId="77777777" w:rsidR="00BE36FB" w:rsidRPr="009B7B35" w:rsidRDefault="00BE36FB" w:rsidP="001A7107">
            <w:pPr>
              <w:pStyle w:val="TableText"/>
              <w:rPr>
                <w:rFonts w:cs="Arial"/>
              </w:rPr>
            </w:pPr>
            <w:r w:rsidRPr="009B7B35">
              <w:rPr>
                <w:rFonts w:cs="Arial"/>
              </w:rPr>
              <w:t>Airport buffer 3km</w:t>
            </w:r>
          </w:p>
          <w:p w14:paraId="48FC7DC5" w14:textId="77777777" w:rsidR="00BE36FB" w:rsidRPr="009B7B35" w:rsidRDefault="00BE36FB" w:rsidP="001A7107">
            <w:pPr>
              <w:pStyle w:val="TableText"/>
              <w:rPr>
                <w:rFonts w:cs="Arial"/>
              </w:rPr>
            </w:pPr>
            <w:r w:rsidRPr="009B7B35">
              <w:rPr>
                <w:rFonts w:cs="Arial"/>
              </w:rPr>
              <w:t>Airport buffer 8km</w:t>
            </w:r>
          </w:p>
          <w:p w14:paraId="1971CDF4" w14:textId="77777777" w:rsidR="00BE36FB" w:rsidRPr="009B7B35" w:rsidRDefault="00BE36FB" w:rsidP="001A7107">
            <w:pPr>
              <w:pStyle w:val="TableText"/>
              <w:rPr>
                <w:rFonts w:cs="Arial"/>
              </w:rPr>
            </w:pPr>
            <w:r w:rsidRPr="009B7B35">
              <w:rPr>
                <w:rFonts w:cs="Arial"/>
              </w:rPr>
              <w:t>Airport buffer 13km</w:t>
            </w:r>
          </w:p>
          <w:p w14:paraId="3DF6C5E2" w14:textId="77777777" w:rsidR="00BE36FB" w:rsidRPr="009B7B35" w:rsidRDefault="00BE36FB" w:rsidP="001A7107">
            <w:pPr>
              <w:pStyle w:val="TableText"/>
              <w:rPr>
                <w:rFonts w:cs="Arial"/>
              </w:rPr>
            </w:pPr>
            <w:r w:rsidRPr="009B7B35">
              <w:rPr>
                <w:rFonts w:cs="Arial"/>
              </w:rPr>
              <w:t>Airport runway</w:t>
            </w:r>
          </w:p>
          <w:p w14:paraId="3F124A71" w14:textId="77777777" w:rsidR="00BE36FB" w:rsidRPr="009B7B35" w:rsidRDefault="00BE36FB" w:rsidP="001A7107">
            <w:pPr>
              <w:pStyle w:val="TableText"/>
              <w:rPr>
                <w:rFonts w:cs="Arial"/>
              </w:rPr>
            </w:pPr>
            <w:r w:rsidRPr="009B7B35">
              <w:rPr>
                <w:rFonts w:cs="Arial"/>
              </w:rPr>
              <w:t>OLS contours</w:t>
            </w:r>
          </w:p>
          <w:p w14:paraId="3BBE94A3" w14:textId="77777777" w:rsidR="00BE36FB" w:rsidRPr="009B7B35" w:rsidRDefault="00BE36FB" w:rsidP="001A7107">
            <w:pPr>
              <w:pStyle w:val="TableText"/>
              <w:rPr>
                <w:rFonts w:cs="Arial"/>
              </w:rPr>
            </w:pPr>
            <w:r w:rsidRPr="009B7B35">
              <w:rPr>
                <w:rFonts w:cs="Arial"/>
              </w:rPr>
              <w:t>Inner horizontal</w:t>
            </w:r>
          </w:p>
          <w:p w14:paraId="195904EA" w14:textId="77777777" w:rsidR="00BE36FB" w:rsidRPr="009B7B35" w:rsidRDefault="00BE36FB" w:rsidP="001A7107">
            <w:pPr>
              <w:pStyle w:val="TableText"/>
              <w:rPr>
                <w:rFonts w:cs="Arial"/>
              </w:rPr>
            </w:pPr>
            <w:r w:rsidRPr="009B7B35">
              <w:rPr>
                <w:rFonts w:cs="Arial"/>
              </w:rPr>
              <w:t>Outer horizontal</w:t>
            </w:r>
          </w:p>
          <w:p w14:paraId="071E345E" w14:textId="77777777" w:rsidR="00BE36FB" w:rsidRPr="009B7B35" w:rsidRDefault="00BE36FB" w:rsidP="001A7107">
            <w:pPr>
              <w:pStyle w:val="TableText"/>
              <w:rPr>
                <w:rFonts w:cs="Arial"/>
              </w:rPr>
            </w:pPr>
            <w:r w:rsidRPr="009B7B35">
              <w:rPr>
                <w:rFonts w:cs="Arial"/>
              </w:rPr>
              <w:t>ANEF 25 - 30 contour</w:t>
            </w:r>
          </w:p>
          <w:p w14:paraId="2CCBA5D5" w14:textId="77777777" w:rsidR="00BE36FB" w:rsidRPr="009B7B35" w:rsidRDefault="00BE36FB" w:rsidP="001A7107">
            <w:pPr>
              <w:pStyle w:val="TableText"/>
              <w:rPr>
                <w:rFonts w:cs="Arial"/>
              </w:rPr>
            </w:pPr>
            <w:r w:rsidRPr="009B7B35">
              <w:rPr>
                <w:rFonts w:cs="Arial"/>
              </w:rPr>
              <w:t>ANEF 30 - 35 contour</w:t>
            </w:r>
          </w:p>
          <w:p w14:paraId="1BA5B240" w14:textId="77777777" w:rsidR="00BE36FB" w:rsidRPr="009B7B35" w:rsidRDefault="00BE36FB" w:rsidP="001A7107">
            <w:pPr>
              <w:pStyle w:val="TableText"/>
              <w:rPr>
                <w:rFonts w:cs="Arial"/>
              </w:rPr>
            </w:pPr>
            <w:r w:rsidRPr="009B7B35">
              <w:rPr>
                <w:rFonts w:cs="Arial"/>
              </w:rPr>
              <w:t>Public safety area</w:t>
            </w:r>
          </w:p>
          <w:p w14:paraId="3EB3FADF" w14:textId="77777777" w:rsidR="00BE36FB" w:rsidRPr="009B7B35" w:rsidRDefault="00BE36FB" w:rsidP="001A7107">
            <w:pPr>
              <w:pStyle w:val="TableText"/>
              <w:rPr>
                <w:rFonts w:cs="Arial"/>
              </w:rPr>
            </w:pPr>
            <w:r w:rsidRPr="009B7B35">
              <w:rPr>
                <w:rFonts w:cs="Arial"/>
              </w:rPr>
              <w:t>Aviation facilities</w:t>
            </w:r>
          </w:p>
        </w:tc>
        <w:tc>
          <w:tcPr>
            <w:tcW w:w="4111" w:type="dxa"/>
          </w:tcPr>
          <w:p w14:paraId="19AC0AA4" w14:textId="77777777" w:rsidR="00BE36FB" w:rsidRPr="009B7B35" w:rsidRDefault="00BE36FB" w:rsidP="001A7107">
            <w:pPr>
              <w:pStyle w:val="TableText"/>
              <w:rPr>
                <w:rFonts w:cs="Arial"/>
              </w:rPr>
            </w:pPr>
            <w:r w:rsidRPr="009B7B35">
              <w:rPr>
                <w:rFonts w:cs="Arial"/>
              </w:rPr>
              <w:t>Airport environs</w:t>
            </w:r>
          </w:p>
        </w:tc>
      </w:tr>
      <w:tr w:rsidR="00BE36FB" w:rsidRPr="009B7B35" w14:paraId="3FD6AAC4" w14:textId="77777777" w:rsidTr="001A7107">
        <w:tc>
          <w:tcPr>
            <w:tcW w:w="4111" w:type="dxa"/>
          </w:tcPr>
          <w:p w14:paraId="22A203DD" w14:textId="77777777" w:rsidR="00BE36FB" w:rsidRPr="009B7B35" w:rsidRDefault="00BE36FB" w:rsidP="001A7107">
            <w:pPr>
              <w:pStyle w:val="TableText"/>
              <w:rPr>
                <w:rFonts w:cs="Arial"/>
              </w:rPr>
            </w:pPr>
            <w:r w:rsidRPr="009B7B35">
              <w:rPr>
                <w:rFonts w:cs="Arial"/>
              </w:rPr>
              <w:t>Stock route reserves</w:t>
            </w:r>
          </w:p>
          <w:p w14:paraId="3C7AECF5" w14:textId="77777777" w:rsidR="00BE36FB" w:rsidRPr="009B7B35" w:rsidRDefault="00BE36FB" w:rsidP="001A7107">
            <w:pPr>
              <w:pStyle w:val="TableText"/>
              <w:rPr>
                <w:rFonts w:cs="Arial"/>
              </w:rPr>
            </w:pPr>
            <w:r w:rsidRPr="009B7B35">
              <w:rPr>
                <w:rFonts w:cs="Arial"/>
              </w:rPr>
              <w:t>Stock routes</w:t>
            </w:r>
          </w:p>
          <w:p w14:paraId="52E14B45" w14:textId="77777777" w:rsidR="00BE36FB" w:rsidRPr="009B7B35" w:rsidRDefault="00BE36FB" w:rsidP="001A7107">
            <w:pPr>
              <w:pStyle w:val="TableText"/>
              <w:rPr>
                <w:rFonts w:cs="Arial"/>
              </w:rPr>
            </w:pPr>
            <w:r w:rsidRPr="009B7B35">
              <w:rPr>
                <w:rFonts w:cs="Arial"/>
              </w:rPr>
              <w:t>Agricultural land classification</w:t>
            </w:r>
          </w:p>
        </w:tc>
        <w:tc>
          <w:tcPr>
            <w:tcW w:w="4111" w:type="dxa"/>
          </w:tcPr>
          <w:p w14:paraId="28116EDC" w14:textId="77777777" w:rsidR="00BE36FB" w:rsidRPr="009B7B35" w:rsidRDefault="00BE36FB" w:rsidP="001A7107">
            <w:pPr>
              <w:pStyle w:val="TableText"/>
              <w:rPr>
                <w:rFonts w:cs="Arial"/>
              </w:rPr>
            </w:pPr>
            <w:r w:rsidRPr="009B7B35">
              <w:rPr>
                <w:rFonts w:cs="Arial"/>
              </w:rPr>
              <w:t>No overlay code</w:t>
            </w:r>
          </w:p>
        </w:tc>
      </w:tr>
      <w:tr w:rsidR="00BE36FB" w:rsidRPr="009B7B35" w14:paraId="2DA839C5" w14:textId="77777777" w:rsidTr="001A7107">
        <w:tc>
          <w:tcPr>
            <w:tcW w:w="4111" w:type="dxa"/>
          </w:tcPr>
          <w:p w14:paraId="2961E790" w14:textId="77777777" w:rsidR="00BE36FB" w:rsidRPr="009B7B35" w:rsidRDefault="00BE36FB" w:rsidP="001A7107">
            <w:pPr>
              <w:pStyle w:val="TableText"/>
              <w:rPr>
                <w:rFonts w:cs="Arial"/>
              </w:rPr>
            </w:pPr>
            <w:r w:rsidRPr="009B7B35">
              <w:rPr>
                <w:rFonts w:cs="Arial"/>
              </w:rPr>
              <w:t>Turtle nesting sites &amp; buffer</w:t>
            </w:r>
          </w:p>
          <w:p w14:paraId="2BFD484B" w14:textId="77777777" w:rsidR="00BE36FB" w:rsidRPr="009B7B35" w:rsidRDefault="00BE36FB" w:rsidP="001A7107">
            <w:pPr>
              <w:pStyle w:val="TableText"/>
              <w:rPr>
                <w:rFonts w:cs="Arial"/>
              </w:rPr>
            </w:pPr>
            <w:r w:rsidRPr="009B7B35">
              <w:rPr>
                <w:rFonts w:cs="Arial"/>
              </w:rPr>
              <w:t>MSES – regulated vegetation (intersecting a watercourse)</w:t>
            </w:r>
          </w:p>
          <w:p w14:paraId="2ECB3BF1" w14:textId="77777777" w:rsidR="00BE36FB" w:rsidRPr="009B7B35" w:rsidRDefault="00BE36FB" w:rsidP="001A7107">
            <w:pPr>
              <w:pStyle w:val="TableText"/>
              <w:rPr>
                <w:rFonts w:cs="Arial"/>
              </w:rPr>
            </w:pPr>
            <w:r w:rsidRPr="009B7B35">
              <w:rPr>
                <w:rFonts w:cs="Arial"/>
              </w:rPr>
              <w:t>MSES – high ecological value waters</w:t>
            </w:r>
          </w:p>
          <w:p w14:paraId="45C74618" w14:textId="77777777" w:rsidR="00BE36FB" w:rsidRPr="009B7B35" w:rsidRDefault="00BE36FB" w:rsidP="001A7107">
            <w:pPr>
              <w:pStyle w:val="TableText"/>
              <w:rPr>
                <w:rFonts w:cs="Arial"/>
              </w:rPr>
            </w:pPr>
            <w:r w:rsidRPr="009B7B35">
              <w:rPr>
                <w:rFonts w:cs="Arial"/>
              </w:rPr>
              <w:t>MSES – high ecological value waters (wetland)</w:t>
            </w:r>
          </w:p>
          <w:p w14:paraId="08D8F3BE" w14:textId="77777777" w:rsidR="00BE36FB" w:rsidRPr="009B7B35" w:rsidRDefault="00BE36FB" w:rsidP="001A7107">
            <w:pPr>
              <w:pStyle w:val="TableText"/>
              <w:rPr>
                <w:rFonts w:cs="Arial"/>
              </w:rPr>
            </w:pPr>
            <w:r w:rsidRPr="009B7B35">
              <w:rPr>
                <w:rFonts w:cs="Arial"/>
              </w:rPr>
              <w:t>MSES – wild rivers (high preservation area)</w:t>
            </w:r>
          </w:p>
          <w:p w14:paraId="060B7E84" w14:textId="77777777" w:rsidR="00BE36FB" w:rsidRPr="009B7B35" w:rsidRDefault="00BE36FB" w:rsidP="001A7107">
            <w:pPr>
              <w:pStyle w:val="TableText"/>
              <w:rPr>
                <w:rFonts w:cs="Arial"/>
              </w:rPr>
            </w:pPr>
            <w:r w:rsidRPr="009B7B35">
              <w:rPr>
                <w:rFonts w:cs="Arial"/>
              </w:rPr>
              <w:t xml:space="preserve">MSES – 'high ecological significance' wetlands </w:t>
            </w:r>
          </w:p>
          <w:p w14:paraId="0201542A" w14:textId="77777777" w:rsidR="00BE36FB" w:rsidRPr="009B7B35" w:rsidRDefault="00BE36FB" w:rsidP="001A7107">
            <w:pPr>
              <w:pStyle w:val="TableText"/>
              <w:rPr>
                <w:rFonts w:cs="Arial"/>
              </w:rPr>
            </w:pPr>
            <w:r w:rsidRPr="009B7B35">
              <w:rPr>
                <w:rFonts w:cs="Arial"/>
              </w:rPr>
              <w:t>MSES – wildlife habitat</w:t>
            </w:r>
          </w:p>
          <w:p w14:paraId="08068A4E" w14:textId="77777777" w:rsidR="00BE36FB" w:rsidRPr="009B7B35" w:rsidRDefault="00BE36FB" w:rsidP="001A7107">
            <w:pPr>
              <w:pStyle w:val="TableText"/>
              <w:rPr>
                <w:rFonts w:cs="Arial"/>
              </w:rPr>
            </w:pPr>
            <w:r w:rsidRPr="009B7B35">
              <w:rPr>
                <w:rFonts w:cs="Arial"/>
              </w:rPr>
              <w:t>MSES – regulated vegetation</w:t>
            </w:r>
          </w:p>
          <w:p w14:paraId="7DF48AE8" w14:textId="77777777" w:rsidR="00BE36FB" w:rsidRPr="009B7B35" w:rsidRDefault="00BE36FB" w:rsidP="001A7107">
            <w:pPr>
              <w:pStyle w:val="TableText"/>
              <w:rPr>
                <w:rFonts w:cs="Arial"/>
              </w:rPr>
            </w:pPr>
            <w:r w:rsidRPr="009B7B35">
              <w:rPr>
                <w:rFonts w:cs="Arial"/>
              </w:rPr>
              <w:t>MSES – protected area</w:t>
            </w:r>
          </w:p>
          <w:p w14:paraId="2981DC6F" w14:textId="77777777" w:rsidR="00BE36FB" w:rsidRPr="009B7B35" w:rsidRDefault="00BE36FB" w:rsidP="001A7107">
            <w:pPr>
              <w:pStyle w:val="TableText"/>
              <w:rPr>
                <w:rFonts w:cs="Arial"/>
              </w:rPr>
            </w:pPr>
            <w:r w:rsidRPr="009B7B35">
              <w:rPr>
                <w:rFonts w:cs="Arial"/>
              </w:rPr>
              <w:t>MSES – declared fish habitat</w:t>
            </w:r>
          </w:p>
          <w:p w14:paraId="75F26A1C" w14:textId="77777777" w:rsidR="00BE36FB" w:rsidRPr="009B7B35" w:rsidRDefault="00BE36FB" w:rsidP="001A7107">
            <w:pPr>
              <w:pStyle w:val="TableText"/>
              <w:rPr>
                <w:rFonts w:cs="Arial"/>
              </w:rPr>
            </w:pPr>
            <w:r w:rsidRPr="009B7B35">
              <w:rPr>
                <w:rFonts w:cs="Arial"/>
              </w:rPr>
              <w:t>MSES – marine park</w:t>
            </w:r>
          </w:p>
          <w:p w14:paraId="6FDDA191" w14:textId="77777777" w:rsidR="00BE36FB" w:rsidRPr="009B7B35" w:rsidRDefault="00BE36FB" w:rsidP="001A7107">
            <w:pPr>
              <w:pStyle w:val="TableText"/>
              <w:rPr>
                <w:rFonts w:cs="Arial"/>
              </w:rPr>
            </w:pPr>
            <w:r w:rsidRPr="009B7B35">
              <w:rPr>
                <w:rFonts w:cs="Arial"/>
              </w:rPr>
              <w:t>MSES – legally secured offset area</w:t>
            </w:r>
          </w:p>
        </w:tc>
        <w:tc>
          <w:tcPr>
            <w:tcW w:w="4111" w:type="dxa"/>
          </w:tcPr>
          <w:p w14:paraId="248C1902" w14:textId="77777777" w:rsidR="00BE36FB" w:rsidRPr="009B7B35" w:rsidRDefault="00BE36FB" w:rsidP="001A7107">
            <w:pPr>
              <w:pStyle w:val="TableText"/>
              <w:rPr>
                <w:rFonts w:cs="Arial"/>
              </w:rPr>
            </w:pPr>
            <w:r w:rsidRPr="009B7B35">
              <w:rPr>
                <w:rFonts w:cs="Arial"/>
              </w:rPr>
              <w:t>Biodiversity</w:t>
            </w:r>
          </w:p>
        </w:tc>
      </w:tr>
      <w:tr w:rsidR="00BE36FB" w:rsidRPr="009B7B35" w14:paraId="3E5B2891" w14:textId="77777777" w:rsidTr="001A7107">
        <w:tc>
          <w:tcPr>
            <w:tcW w:w="4111" w:type="dxa"/>
          </w:tcPr>
          <w:p w14:paraId="29BCFE74" w14:textId="77777777" w:rsidR="00BE36FB" w:rsidRPr="009B7B35" w:rsidRDefault="00BE36FB" w:rsidP="001A7107">
            <w:pPr>
              <w:pStyle w:val="TableText"/>
              <w:rPr>
                <w:rFonts w:cs="Arial"/>
              </w:rPr>
            </w:pPr>
            <w:r w:rsidRPr="009B7B35">
              <w:rPr>
                <w:rFonts w:cs="Arial"/>
              </w:rPr>
              <w:t>Building height and frontages</w:t>
            </w:r>
          </w:p>
        </w:tc>
        <w:tc>
          <w:tcPr>
            <w:tcW w:w="4111" w:type="dxa"/>
          </w:tcPr>
          <w:p w14:paraId="527A7158" w14:textId="77777777" w:rsidR="00BE36FB" w:rsidRPr="009B7B35" w:rsidRDefault="00BE36FB" w:rsidP="001A7107">
            <w:pPr>
              <w:pStyle w:val="TableText"/>
              <w:rPr>
                <w:rFonts w:cs="Arial"/>
              </w:rPr>
            </w:pPr>
            <w:r w:rsidRPr="009B7B35">
              <w:rPr>
                <w:rFonts w:cs="Arial"/>
              </w:rPr>
              <w:t>No overlay code</w:t>
            </w:r>
          </w:p>
        </w:tc>
      </w:tr>
      <w:tr w:rsidR="00BE36FB" w:rsidRPr="009B7B35" w14:paraId="05015725" w14:textId="77777777" w:rsidTr="001A7107">
        <w:tc>
          <w:tcPr>
            <w:tcW w:w="4111" w:type="dxa"/>
          </w:tcPr>
          <w:p w14:paraId="4A301638" w14:textId="77777777" w:rsidR="00BE36FB" w:rsidRPr="009B7B35" w:rsidRDefault="00BE36FB" w:rsidP="001A7107">
            <w:pPr>
              <w:pStyle w:val="TableText"/>
              <w:rPr>
                <w:rFonts w:cs="Arial"/>
              </w:rPr>
            </w:pPr>
            <w:r w:rsidRPr="009B7B35">
              <w:rPr>
                <w:rFonts w:cs="Arial"/>
              </w:rPr>
              <w:t>Potential impact buffer</w:t>
            </w:r>
          </w:p>
          <w:p w14:paraId="31D1507D" w14:textId="77777777" w:rsidR="00BE36FB" w:rsidRPr="009B7B35" w:rsidRDefault="00BE36FB" w:rsidP="001A7107">
            <w:pPr>
              <w:pStyle w:val="TableText"/>
              <w:rPr>
                <w:rFonts w:cs="Arial"/>
              </w:rPr>
            </w:pPr>
            <w:r w:rsidRPr="009B7B35">
              <w:rPr>
                <w:rFonts w:cs="Arial"/>
              </w:rPr>
              <w:t>Very high potential bushfire intensity</w:t>
            </w:r>
          </w:p>
          <w:p w14:paraId="4609A5B3" w14:textId="77777777" w:rsidR="00BE36FB" w:rsidRPr="009B7B35" w:rsidRDefault="00BE36FB" w:rsidP="001A7107">
            <w:pPr>
              <w:pStyle w:val="TableText"/>
              <w:rPr>
                <w:rFonts w:cs="Arial"/>
              </w:rPr>
            </w:pPr>
            <w:r w:rsidRPr="009B7B35">
              <w:rPr>
                <w:rFonts w:cs="Arial"/>
              </w:rPr>
              <w:lastRenderedPageBreak/>
              <w:t>High potential bushfire intensity</w:t>
            </w:r>
          </w:p>
          <w:p w14:paraId="7B269925" w14:textId="77777777" w:rsidR="00BE36FB" w:rsidRPr="009B7B35" w:rsidRDefault="00BE36FB" w:rsidP="001A7107">
            <w:pPr>
              <w:pStyle w:val="TableText"/>
              <w:rPr>
                <w:rFonts w:cs="Arial"/>
              </w:rPr>
            </w:pPr>
            <w:r w:rsidRPr="009B7B35">
              <w:rPr>
                <w:rFonts w:cs="Arial"/>
              </w:rPr>
              <w:t>Medium potential bushfire intensity</w:t>
            </w:r>
          </w:p>
        </w:tc>
        <w:tc>
          <w:tcPr>
            <w:tcW w:w="4111" w:type="dxa"/>
          </w:tcPr>
          <w:p w14:paraId="12CE0779" w14:textId="77777777" w:rsidR="00BE36FB" w:rsidRPr="009B7B35" w:rsidRDefault="00BE36FB" w:rsidP="001A7107">
            <w:pPr>
              <w:pStyle w:val="TableText"/>
              <w:rPr>
                <w:rFonts w:cs="Arial"/>
              </w:rPr>
            </w:pPr>
            <w:r w:rsidRPr="009B7B35">
              <w:rPr>
                <w:rFonts w:cs="Arial"/>
              </w:rPr>
              <w:lastRenderedPageBreak/>
              <w:t>Bushfire hazard</w:t>
            </w:r>
          </w:p>
        </w:tc>
      </w:tr>
      <w:tr w:rsidR="00BE36FB" w:rsidRPr="009B7B35" w14:paraId="52B7950C" w14:textId="77777777" w:rsidTr="001A7107">
        <w:tc>
          <w:tcPr>
            <w:tcW w:w="4111" w:type="dxa"/>
          </w:tcPr>
          <w:p w14:paraId="1F78E409" w14:textId="77777777" w:rsidR="00BE36FB" w:rsidRPr="009B7B35" w:rsidRDefault="00BE36FB" w:rsidP="001A7107">
            <w:pPr>
              <w:pStyle w:val="TableText"/>
              <w:rPr>
                <w:rFonts w:cs="Arial"/>
              </w:rPr>
            </w:pPr>
            <w:r w:rsidRPr="009B7B35">
              <w:rPr>
                <w:rFonts w:cs="Arial"/>
              </w:rPr>
              <w:t>Top of HAT + 40</w:t>
            </w:r>
          </w:p>
          <w:p w14:paraId="7BD0EC95" w14:textId="77777777" w:rsidR="00BE36FB" w:rsidRPr="009B7B35" w:rsidRDefault="00BE36FB" w:rsidP="001A7107">
            <w:pPr>
              <w:pStyle w:val="TableText"/>
              <w:rPr>
                <w:rFonts w:cs="Arial"/>
              </w:rPr>
            </w:pPr>
            <w:r w:rsidRPr="009B7B35">
              <w:rPr>
                <w:rFonts w:cs="Arial"/>
              </w:rPr>
              <w:t>Erosion prone</w:t>
            </w:r>
          </w:p>
          <w:p w14:paraId="1910FCA1" w14:textId="77777777" w:rsidR="00BE36FB" w:rsidRPr="009B7B35" w:rsidRDefault="00BE36FB" w:rsidP="001A7107">
            <w:pPr>
              <w:pStyle w:val="TableText"/>
              <w:rPr>
                <w:rFonts w:cs="Arial"/>
              </w:rPr>
            </w:pPr>
            <w:r w:rsidRPr="009B7B35">
              <w:rPr>
                <w:rFonts w:cs="Arial"/>
              </w:rPr>
              <w:t>Medium storm tide inundation zone</w:t>
            </w:r>
          </w:p>
          <w:p w14:paraId="3BB86090" w14:textId="77777777" w:rsidR="00BE36FB" w:rsidRPr="009B7B35" w:rsidRDefault="00BE36FB" w:rsidP="001A7107">
            <w:pPr>
              <w:pStyle w:val="TableText"/>
              <w:rPr>
                <w:rFonts w:cs="Arial"/>
              </w:rPr>
            </w:pPr>
            <w:r w:rsidRPr="009B7B35">
              <w:rPr>
                <w:rFonts w:cs="Arial"/>
              </w:rPr>
              <w:t>High storm tide inundation zone</w:t>
            </w:r>
          </w:p>
          <w:p w14:paraId="2B5D575F" w14:textId="77777777" w:rsidR="00BE36FB" w:rsidRPr="009B7B35" w:rsidRDefault="00BE36FB" w:rsidP="001A7107">
            <w:pPr>
              <w:pStyle w:val="TableText"/>
              <w:rPr>
                <w:rFonts w:cs="Arial"/>
              </w:rPr>
            </w:pPr>
          </w:p>
        </w:tc>
        <w:tc>
          <w:tcPr>
            <w:tcW w:w="4111" w:type="dxa"/>
          </w:tcPr>
          <w:p w14:paraId="36ED8FEF" w14:textId="77777777" w:rsidR="00BE36FB" w:rsidRPr="009B7B35" w:rsidRDefault="00BE36FB" w:rsidP="001A7107">
            <w:pPr>
              <w:pStyle w:val="TableText"/>
              <w:rPr>
                <w:rFonts w:cs="Arial"/>
              </w:rPr>
            </w:pPr>
            <w:r w:rsidRPr="009B7B35">
              <w:rPr>
                <w:rFonts w:cs="Arial"/>
              </w:rPr>
              <w:t>Coastal hazard</w:t>
            </w:r>
          </w:p>
        </w:tc>
      </w:tr>
      <w:tr w:rsidR="00BE36FB" w:rsidRPr="009B7B35" w14:paraId="06DB3C17" w14:textId="77777777" w:rsidTr="001A7107">
        <w:tc>
          <w:tcPr>
            <w:tcW w:w="4111" w:type="dxa"/>
          </w:tcPr>
          <w:p w14:paraId="67DDC34D" w14:textId="77777777" w:rsidR="00BE36FB" w:rsidRPr="009B7B35" w:rsidRDefault="00BE36FB" w:rsidP="001A7107">
            <w:pPr>
              <w:pStyle w:val="TableText"/>
              <w:rPr>
                <w:rFonts w:cs="Arial"/>
              </w:rPr>
            </w:pPr>
            <w:r w:rsidRPr="009B7B35">
              <w:rPr>
                <w:rFonts w:cs="Arial"/>
              </w:rPr>
              <w:t>Transport route</w:t>
            </w:r>
          </w:p>
          <w:p w14:paraId="419A47ED" w14:textId="77777777" w:rsidR="00BE36FB" w:rsidRPr="009B7B35" w:rsidRDefault="00BE36FB" w:rsidP="001A7107">
            <w:pPr>
              <w:pStyle w:val="TableText"/>
              <w:rPr>
                <w:rFonts w:cs="Arial"/>
              </w:rPr>
            </w:pPr>
            <w:r w:rsidRPr="009B7B35">
              <w:rPr>
                <w:rFonts w:cs="Arial"/>
              </w:rPr>
              <w:t>Resource processing area</w:t>
            </w:r>
          </w:p>
          <w:p w14:paraId="56C6189A" w14:textId="77777777" w:rsidR="00BE36FB" w:rsidRPr="009B7B35" w:rsidRDefault="00BE36FB" w:rsidP="001A7107">
            <w:pPr>
              <w:pStyle w:val="TableText"/>
              <w:rPr>
                <w:rFonts w:cs="Arial"/>
              </w:rPr>
            </w:pPr>
            <w:r w:rsidRPr="009B7B35">
              <w:rPr>
                <w:rFonts w:cs="Arial"/>
              </w:rPr>
              <w:t>Resource processing separation area</w:t>
            </w:r>
          </w:p>
          <w:p w14:paraId="08AAAD0E" w14:textId="77777777" w:rsidR="00BE36FB" w:rsidRPr="009B7B35" w:rsidRDefault="00BE36FB" w:rsidP="001A7107">
            <w:pPr>
              <w:pStyle w:val="TableText"/>
              <w:rPr>
                <w:rFonts w:cs="Arial"/>
              </w:rPr>
            </w:pPr>
            <w:r w:rsidRPr="009B7B35">
              <w:rPr>
                <w:rFonts w:cs="Arial"/>
              </w:rPr>
              <w:t>Transport route separation area</w:t>
            </w:r>
          </w:p>
        </w:tc>
        <w:tc>
          <w:tcPr>
            <w:tcW w:w="4111" w:type="dxa"/>
          </w:tcPr>
          <w:p w14:paraId="16BDB526" w14:textId="77777777" w:rsidR="00BE36FB" w:rsidRPr="009B7B35" w:rsidRDefault="00BE36FB" w:rsidP="001A7107">
            <w:pPr>
              <w:pStyle w:val="TableText"/>
              <w:rPr>
                <w:rFonts w:cs="Arial"/>
              </w:rPr>
            </w:pPr>
            <w:r w:rsidRPr="009B7B35">
              <w:rPr>
                <w:rFonts w:cs="Arial"/>
              </w:rPr>
              <w:t>Extractive resources and minerals</w:t>
            </w:r>
          </w:p>
        </w:tc>
      </w:tr>
      <w:tr w:rsidR="00BE36FB" w:rsidRPr="009B7B35" w14:paraId="5ECBCEDF" w14:textId="77777777" w:rsidTr="001A7107">
        <w:tc>
          <w:tcPr>
            <w:tcW w:w="4111" w:type="dxa"/>
          </w:tcPr>
          <w:p w14:paraId="239CE432" w14:textId="77777777" w:rsidR="00BE36FB" w:rsidRPr="009B7B35" w:rsidRDefault="00BE36FB" w:rsidP="001A7107">
            <w:pPr>
              <w:pStyle w:val="TableText"/>
              <w:rPr>
                <w:rFonts w:cs="Arial"/>
              </w:rPr>
            </w:pPr>
            <w:r w:rsidRPr="009B7B35">
              <w:rPr>
                <w:rFonts w:cs="Arial"/>
              </w:rPr>
              <w:t>Calliope river Q100</w:t>
            </w:r>
          </w:p>
          <w:p w14:paraId="54EB2196" w14:textId="77777777" w:rsidR="00BE36FB" w:rsidRPr="009B7B35" w:rsidRDefault="00BE36FB" w:rsidP="001A7107">
            <w:pPr>
              <w:pStyle w:val="TableText"/>
              <w:rPr>
                <w:rFonts w:cs="Arial"/>
              </w:rPr>
            </w:pPr>
            <w:r w:rsidRPr="009B7B35">
              <w:rPr>
                <w:rFonts w:cs="Arial"/>
              </w:rPr>
              <w:t>Awoonga country DA07_0049</w:t>
            </w:r>
          </w:p>
          <w:p w14:paraId="5B746603" w14:textId="77777777" w:rsidR="00BE36FB" w:rsidRPr="009B7B35" w:rsidRDefault="00BE36FB" w:rsidP="001A7107">
            <w:pPr>
              <w:pStyle w:val="TableText"/>
              <w:rPr>
                <w:rFonts w:cs="Arial"/>
              </w:rPr>
            </w:pPr>
            <w:r w:rsidRPr="009B7B35">
              <w:rPr>
                <w:rFonts w:cs="Arial"/>
              </w:rPr>
              <w:t>Boyne river Q100</w:t>
            </w:r>
          </w:p>
          <w:p w14:paraId="1B7A57DC" w14:textId="77777777" w:rsidR="00BE36FB" w:rsidRPr="009B7B35" w:rsidRDefault="00BE36FB" w:rsidP="001A7107">
            <w:pPr>
              <w:pStyle w:val="TableText"/>
              <w:rPr>
                <w:rFonts w:cs="Arial"/>
              </w:rPr>
            </w:pPr>
            <w:r w:rsidRPr="009B7B35">
              <w:rPr>
                <w:rFonts w:cs="Arial"/>
              </w:rPr>
              <w:t>Riverdowns 5ADA04_0389</w:t>
            </w:r>
          </w:p>
          <w:p w14:paraId="3F89536F" w14:textId="77777777" w:rsidR="00BE36FB" w:rsidRPr="009B7B35" w:rsidRDefault="00BE36FB" w:rsidP="001A7107">
            <w:pPr>
              <w:pStyle w:val="TableText"/>
              <w:rPr>
                <w:rFonts w:cs="Arial"/>
              </w:rPr>
            </w:pPr>
            <w:r w:rsidRPr="009B7B35">
              <w:rPr>
                <w:rFonts w:cs="Arial"/>
              </w:rPr>
              <w:t>Auckland creek Q100</w:t>
            </w:r>
          </w:p>
          <w:p w14:paraId="1252B23A" w14:textId="77777777" w:rsidR="00BE36FB" w:rsidRPr="009B7B35" w:rsidRDefault="00BE36FB" w:rsidP="001A7107">
            <w:pPr>
              <w:pStyle w:val="TableText"/>
              <w:rPr>
                <w:rFonts w:cs="Arial"/>
              </w:rPr>
            </w:pPr>
            <w:r w:rsidRPr="009B7B35">
              <w:rPr>
                <w:rFonts w:cs="Arial"/>
              </w:rPr>
              <w:t>Flood Hazard Investigation Area</w:t>
            </w:r>
          </w:p>
        </w:tc>
        <w:tc>
          <w:tcPr>
            <w:tcW w:w="4111" w:type="dxa"/>
          </w:tcPr>
          <w:p w14:paraId="098C19F0" w14:textId="77777777" w:rsidR="00BE36FB" w:rsidRPr="009B7B35" w:rsidRDefault="00BE36FB" w:rsidP="001A7107">
            <w:pPr>
              <w:pStyle w:val="TableText"/>
              <w:rPr>
                <w:rFonts w:cs="Arial"/>
              </w:rPr>
            </w:pPr>
            <w:r w:rsidRPr="009B7B35">
              <w:rPr>
                <w:rFonts w:cs="Arial"/>
              </w:rPr>
              <w:t>Flood hazard</w:t>
            </w:r>
          </w:p>
        </w:tc>
      </w:tr>
      <w:tr w:rsidR="00BE36FB" w:rsidRPr="009B7B35" w14:paraId="6C866314" w14:textId="77777777" w:rsidTr="001A7107">
        <w:tc>
          <w:tcPr>
            <w:tcW w:w="4111" w:type="dxa"/>
          </w:tcPr>
          <w:p w14:paraId="4BCC342D" w14:textId="77777777" w:rsidR="00BE36FB" w:rsidRPr="009B7B35" w:rsidRDefault="00BE36FB" w:rsidP="001A7107">
            <w:pPr>
              <w:pStyle w:val="TableText"/>
              <w:rPr>
                <w:rFonts w:cs="Arial"/>
              </w:rPr>
            </w:pPr>
            <w:r w:rsidRPr="009B7B35">
              <w:rPr>
                <w:rFonts w:cs="Arial"/>
              </w:rPr>
              <w:t>Heritage</w:t>
            </w:r>
          </w:p>
        </w:tc>
        <w:tc>
          <w:tcPr>
            <w:tcW w:w="4111" w:type="dxa"/>
          </w:tcPr>
          <w:p w14:paraId="73FA8327" w14:textId="77777777" w:rsidR="00BE36FB" w:rsidRPr="009B7B35" w:rsidRDefault="00BE36FB" w:rsidP="001A7107">
            <w:pPr>
              <w:pStyle w:val="TableText"/>
              <w:rPr>
                <w:rFonts w:cs="Arial"/>
              </w:rPr>
            </w:pPr>
            <w:r w:rsidRPr="009B7B35">
              <w:rPr>
                <w:rFonts w:cs="Arial"/>
              </w:rPr>
              <w:t>Heritage</w:t>
            </w:r>
          </w:p>
        </w:tc>
      </w:tr>
      <w:tr w:rsidR="00BE36FB" w:rsidRPr="009B7B35" w14:paraId="0C82890B" w14:textId="77777777" w:rsidTr="001A7107">
        <w:tc>
          <w:tcPr>
            <w:tcW w:w="4111" w:type="dxa"/>
          </w:tcPr>
          <w:p w14:paraId="7A93F677" w14:textId="77777777" w:rsidR="00BE36FB" w:rsidRPr="009B7B35" w:rsidRDefault="00BE36FB" w:rsidP="001A7107">
            <w:pPr>
              <w:pStyle w:val="TableText"/>
              <w:rPr>
                <w:rFonts w:cs="Arial"/>
              </w:rPr>
            </w:pPr>
            <w:r w:rsidRPr="009B7B35">
              <w:rPr>
                <w:rFonts w:cs="Arial"/>
              </w:rPr>
              <w:t>Historic mine sites</w:t>
            </w:r>
          </w:p>
        </w:tc>
        <w:tc>
          <w:tcPr>
            <w:tcW w:w="4111" w:type="dxa"/>
          </w:tcPr>
          <w:p w14:paraId="19632B58" w14:textId="77777777" w:rsidR="00BE36FB" w:rsidRPr="009B7B35" w:rsidRDefault="00BE36FB" w:rsidP="001A7107">
            <w:pPr>
              <w:pStyle w:val="TableText"/>
              <w:rPr>
                <w:rFonts w:cs="Arial"/>
              </w:rPr>
            </w:pPr>
            <w:r w:rsidRPr="009B7B35">
              <w:rPr>
                <w:rFonts w:cs="Arial"/>
              </w:rPr>
              <w:t>Hazardous activities</w:t>
            </w:r>
          </w:p>
        </w:tc>
      </w:tr>
      <w:tr w:rsidR="00BE36FB" w:rsidRPr="009B7B35" w14:paraId="6F497FFD" w14:textId="77777777" w:rsidTr="001A7107">
        <w:tc>
          <w:tcPr>
            <w:tcW w:w="4111" w:type="dxa"/>
          </w:tcPr>
          <w:p w14:paraId="06D015B6" w14:textId="77777777" w:rsidR="00BE36FB" w:rsidRPr="009B7B35" w:rsidRDefault="00BE36FB" w:rsidP="001A7107">
            <w:pPr>
              <w:pStyle w:val="TableText"/>
              <w:rPr>
                <w:rFonts w:cs="Arial"/>
              </w:rPr>
            </w:pPr>
            <w:r w:rsidRPr="009B7B35">
              <w:rPr>
                <w:rFonts w:cs="Arial"/>
              </w:rPr>
              <w:t>Substations</w:t>
            </w:r>
          </w:p>
          <w:p w14:paraId="77DD88C2" w14:textId="77777777" w:rsidR="00BE36FB" w:rsidRPr="009B7B35" w:rsidRDefault="00BE36FB" w:rsidP="001A7107">
            <w:pPr>
              <w:pStyle w:val="TableText"/>
              <w:rPr>
                <w:rFonts w:cs="Arial"/>
              </w:rPr>
            </w:pPr>
            <w:r w:rsidRPr="009B7B35">
              <w:rPr>
                <w:rFonts w:cs="Arial"/>
              </w:rPr>
              <w:t>Ergon 66kv</w:t>
            </w:r>
          </w:p>
          <w:p w14:paraId="08D469AD" w14:textId="77777777" w:rsidR="00BE36FB" w:rsidRPr="009B7B35" w:rsidRDefault="00BE36FB" w:rsidP="001A7107">
            <w:pPr>
              <w:pStyle w:val="TableText"/>
              <w:rPr>
                <w:rFonts w:cs="Arial"/>
              </w:rPr>
            </w:pPr>
            <w:r w:rsidRPr="009B7B35">
              <w:rPr>
                <w:rFonts w:cs="Arial"/>
              </w:rPr>
              <w:t>Ergon 132kv</w:t>
            </w:r>
          </w:p>
          <w:p w14:paraId="57E6B43D" w14:textId="77777777" w:rsidR="00BE36FB" w:rsidRPr="009B7B35" w:rsidRDefault="00BE36FB" w:rsidP="001A7107">
            <w:pPr>
              <w:pStyle w:val="TableText"/>
              <w:rPr>
                <w:rFonts w:cs="Arial"/>
              </w:rPr>
            </w:pPr>
            <w:r w:rsidRPr="009B7B35">
              <w:rPr>
                <w:rFonts w:cs="Arial"/>
              </w:rPr>
              <w:t>PQ Substation</w:t>
            </w:r>
          </w:p>
          <w:p w14:paraId="489D704F" w14:textId="77777777" w:rsidR="00BE36FB" w:rsidRPr="009B7B35" w:rsidRDefault="00BE36FB" w:rsidP="001A7107">
            <w:pPr>
              <w:pStyle w:val="TableText"/>
              <w:rPr>
                <w:rFonts w:cs="Arial"/>
              </w:rPr>
            </w:pPr>
            <w:r w:rsidRPr="009B7B35">
              <w:rPr>
                <w:rFonts w:cs="Arial"/>
              </w:rPr>
              <w:t>Powerlink</w:t>
            </w:r>
          </w:p>
        </w:tc>
        <w:tc>
          <w:tcPr>
            <w:tcW w:w="4111" w:type="dxa"/>
          </w:tcPr>
          <w:p w14:paraId="5AEA72F8" w14:textId="77777777" w:rsidR="00BE36FB" w:rsidRPr="009B7B35" w:rsidRDefault="00BE36FB" w:rsidP="001A7107">
            <w:pPr>
              <w:pStyle w:val="TableText"/>
              <w:rPr>
                <w:rFonts w:cs="Arial"/>
              </w:rPr>
            </w:pPr>
            <w:r w:rsidRPr="009B7B35">
              <w:rPr>
                <w:rFonts w:cs="Arial"/>
              </w:rPr>
              <w:t>Regional infrastructure</w:t>
            </w:r>
          </w:p>
        </w:tc>
      </w:tr>
      <w:tr w:rsidR="00BE36FB" w:rsidRPr="009B7B35" w14:paraId="1B386B46" w14:textId="77777777" w:rsidTr="001A7107">
        <w:tc>
          <w:tcPr>
            <w:tcW w:w="4111" w:type="dxa"/>
          </w:tcPr>
          <w:p w14:paraId="71BFFC53" w14:textId="77777777" w:rsidR="00BE36FB" w:rsidRPr="009B7B35" w:rsidRDefault="00BE36FB" w:rsidP="001A7107">
            <w:pPr>
              <w:pStyle w:val="TableText"/>
              <w:rPr>
                <w:rFonts w:cs="Arial"/>
              </w:rPr>
            </w:pPr>
            <w:r w:rsidRPr="009B7B35">
              <w:rPr>
                <w:rFonts w:cs="Arial"/>
              </w:rPr>
              <w:t>District significance 7.5</w:t>
            </w:r>
          </w:p>
          <w:p w14:paraId="6D400040" w14:textId="77777777" w:rsidR="00BE36FB" w:rsidRPr="009B7B35" w:rsidRDefault="00BE36FB" w:rsidP="001A7107">
            <w:pPr>
              <w:pStyle w:val="TableText"/>
              <w:rPr>
                <w:rFonts w:cs="Arial"/>
              </w:rPr>
            </w:pPr>
            <w:r w:rsidRPr="009B7B35">
              <w:rPr>
                <w:rFonts w:cs="Arial"/>
              </w:rPr>
              <w:t>Regional significance 8</w:t>
            </w:r>
          </w:p>
          <w:p w14:paraId="4B567A14" w14:textId="77777777" w:rsidR="00BE36FB" w:rsidRPr="009B7B35" w:rsidRDefault="00BE36FB" w:rsidP="001A7107">
            <w:pPr>
              <w:pStyle w:val="TableText"/>
              <w:rPr>
                <w:rFonts w:cs="Arial"/>
              </w:rPr>
            </w:pPr>
            <w:r w:rsidRPr="009B7B35">
              <w:rPr>
                <w:rFonts w:cs="Arial"/>
              </w:rPr>
              <w:t>Regional significance 9</w:t>
            </w:r>
          </w:p>
          <w:p w14:paraId="4F964195" w14:textId="77777777" w:rsidR="00BE36FB" w:rsidRPr="009B7B35" w:rsidRDefault="00BE36FB" w:rsidP="001A7107">
            <w:pPr>
              <w:pStyle w:val="TableText"/>
              <w:rPr>
                <w:rFonts w:cs="Arial"/>
              </w:rPr>
            </w:pPr>
            <w:r w:rsidRPr="009B7B35">
              <w:rPr>
                <w:rFonts w:cs="Arial"/>
              </w:rPr>
              <w:t>Regional significance 10</w:t>
            </w:r>
          </w:p>
        </w:tc>
        <w:tc>
          <w:tcPr>
            <w:tcW w:w="4111" w:type="dxa"/>
          </w:tcPr>
          <w:p w14:paraId="525ED5AF" w14:textId="77777777" w:rsidR="00BE36FB" w:rsidRPr="009B7B35" w:rsidRDefault="00BE36FB" w:rsidP="001A7107">
            <w:pPr>
              <w:pStyle w:val="TableText"/>
              <w:rPr>
                <w:rFonts w:cs="Arial"/>
              </w:rPr>
            </w:pPr>
            <w:r w:rsidRPr="009B7B35">
              <w:rPr>
                <w:rFonts w:cs="Arial"/>
              </w:rPr>
              <w:t>Scenic amenity</w:t>
            </w:r>
          </w:p>
        </w:tc>
      </w:tr>
      <w:tr w:rsidR="00BE36FB" w:rsidRPr="009B7B35" w14:paraId="523A18EF" w14:textId="77777777" w:rsidTr="001A7107">
        <w:tc>
          <w:tcPr>
            <w:tcW w:w="4111" w:type="dxa"/>
          </w:tcPr>
          <w:p w14:paraId="5E7827F5" w14:textId="77777777" w:rsidR="00BE36FB" w:rsidRPr="009B7B35" w:rsidRDefault="00BE36FB" w:rsidP="001A7107">
            <w:pPr>
              <w:pStyle w:val="TableText"/>
              <w:rPr>
                <w:rFonts w:cs="Arial"/>
              </w:rPr>
            </w:pPr>
            <w:r w:rsidRPr="009B7B35">
              <w:rPr>
                <w:rFonts w:cs="Arial"/>
              </w:rPr>
              <w:t>Steep land</w:t>
            </w:r>
          </w:p>
        </w:tc>
        <w:tc>
          <w:tcPr>
            <w:tcW w:w="4111" w:type="dxa"/>
          </w:tcPr>
          <w:p w14:paraId="42A1BF71" w14:textId="77777777" w:rsidR="00BE36FB" w:rsidRPr="009B7B35" w:rsidRDefault="00BE36FB" w:rsidP="001A7107">
            <w:pPr>
              <w:pStyle w:val="TableText"/>
              <w:rPr>
                <w:rFonts w:cs="Arial"/>
              </w:rPr>
            </w:pPr>
            <w:r w:rsidRPr="009B7B35">
              <w:rPr>
                <w:rFonts w:cs="Arial"/>
              </w:rPr>
              <w:t>Steep land</w:t>
            </w:r>
          </w:p>
        </w:tc>
      </w:tr>
      <w:tr w:rsidR="00BE36FB" w:rsidRPr="009B7B35" w14:paraId="51226A40" w14:textId="77777777" w:rsidTr="001A7107">
        <w:tc>
          <w:tcPr>
            <w:tcW w:w="4111" w:type="dxa"/>
          </w:tcPr>
          <w:p w14:paraId="19DB5C39" w14:textId="77777777" w:rsidR="00BE36FB" w:rsidRPr="009B7B35" w:rsidRDefault="00BE36FB" w:rsidP="001A7107">
            <w:pPr>
              <w:pStyle w:val="TableText"/>
              <w:rPr>
                <w:rFonts w:cs="Arial"/>
              </w:rPr>
            </w:pPr>
            <w:r w:rsidRPr="009B7B35">
              <w:rPr>
                <w:rFonts w:cs="Arial"/>
              </w:rPr>
              <w:t>40m inundation level</w:t>
            </w:r>
          </w:p>
          <w:p w14:paraId="0F6DB08E" w14:textId="77777777" w:rsidR="00BE36FB" w:rsidRPr="009B7B35" w:rsidRDefault="00BE36FB" w:rsidP="001A7107">
            <w:pPr>
              <w:pStyle w:val="TableText"/>
              <w:rPr>
                <w:rFonts w:cs="Arial"/>
              </w:rPr>
            </w:pPr>
            <w:r w:rsidRPr="009B7B35">
              <w:rPr>
                <w:rFonts w:cs="Arial"/>
              </w:rPr>
              <w:t>Awoonga dam catchment</w:t>
            </w:r>
          </w:p>
          <w:p w14:paraId="7E1AF3C0" w14:textId="77777777" w:rsidR="00BE36FB" w:rsidRPr="009B7B35" w:rsidRDefault="00BE36FB" w:rsidP="001A7107">
            <w:pPr>
              <w:pStyle w:val="TableText"/>
              <w:rPr>
                <w:rFonts w:cs="Arial"/>
              </w:rPr>
            </w:pPr>
            <w:r w:rsidRPr="009B7B35">
              <w:rPr>
                <w:rFonts w:cs="Arial"/>
              </w:rPr>
              <w:t>Water bore locations</w:t>
            </w:r>
          </w:p>
          <w:p w14:paraId="6B06077B" w14:textId="77777777" w:rsidR="00BE36FB" w:rsidRPr="009B7B35" w:rsidRDefault="00BE36FB" w:rsidP="001A7107">
            <w:pPr>
              <w:pStyle w:val="TableText"/>
              <w:rPr>
                <w:rFonts w:cs="Arial"/>
              </w:rPr>
            </w:pPr>
            <w:r w:rsidRPr="009B7B35">
              <w:rPr>
                <w:rFonts w:cs="Arial"/>
              </w:rPr>
              <w:t>Water bore buffer</w:t>
            </w:r>
          </w:p>
        </w:tc>
        <w:tc>
          <w:tcPr>
            <w:tcW w:w="4111" w:type="dxa"/>
          </w:tcPr>
          <w:p w14:paraId="6159E7E7" w14:textId="77777777" w:rsidR="00BE36FB" w:rsidRPr="009B7B35" w:rsidRDefault="00BE36FB" w:rsidP="001A7107">
            <w:pPr>
              <w:pStyle w:val="TableText"/>
              <w:rPr>
                <w:rFonts w:cs="Arial"/>
              </w:rPr>
            </w:pPr>
            <w:r w:rsidRPr="009B7B35">
              <w:rPr>
                <w:rFonts w:cs="Arial"/>
              </w:rPr>
              <w:t>Water resource catchment</w:t>
            </w:r>
          </w:p>
        </w:tc>
      </w:tr>
      <w:tr w:rsidR="00BE36FB" w:rsidRPr="009B7B35" w14:paraId="6C2D2F51" w14:textId="77777777" w:rsidTr="001A7107">
        <w:tc>
          <w:tcPr>
            <w:tcW w:w="4111" w:type="dxa"/>
          </w:tcPr>
          <w:p w14:paraId="3052F138" w14:textId="77777777" w:rsidR="00BE36FB" w:rsidRPr="009B7B35" w:rsidRDefault="00BE36FB" w:rsidP="001A7107">
            <w:pPr>
              <w:pStyle w:val="TableText"/>
              <w:rPr>
                <w:rFonts w:cs="Arial"/>
              </w:rPr>
            </w:pPr>
            <w:r w:rsidRPr="009B7B35">
              <w:rPr>
                <w:rFonts w:cs="Arial"/>
              </w:rPr>
              <w:t>Railway corridor</w:t>
            </w:r>
          </w:p>
          <w:p w14:paraId="78FCAE42" w14:textId="77777777" w:rsidR="00BE36FB" w:rsidRPr="009B7B35" w:rsidRDefault="00BE36FB" w:rsidP="001A7107">
            <w:pPr>
              <w:pStyle w:val="TableText"/>
              <w:rPr>
                <w:rFonts w:cs="Arial"/>
              </w:rPr>
            </w:pPr>
            <w:r w:rsidRPr="009B7B35">
              <w:rPr>
                <w:rFonts w:cs="Arial"/>
              </w:rPr>
              <w:t>Future railway corridor</w:t>
            </w:r>
          </w:p>
          <w:p w14:paraId="10B60DAB" w14:textId="77777777" w:rsidR="00BE36FB" w:rsidRPr="009B7B35" w:rsidRDefault="00BE36FB" w:rsidP="001A7107">
            <w:pPr>
              <w:pStyle w:val="TableText"/>
              <w:rPr>
                <w:rFonts w:cs="Arial"/>
              </w:rPr>
            </w:pPr>
            <w:r w:rsidRPr="009B7B35">
              <w:rPr>
                <w:rFonts w:cs="Arial"/>
              </w:rPr>
              <w:t>State controlled roads</w:t>
            </w:r>
          </w:p>
          <w:p w14:paraId="33371DFB" w14:textId="77777777" w:rsidR="00BE36FB" w:rsidRPr="009B7B35" w:rsidRDefault="00BE36FB" w:rsidP="001A7107">
            <w:pPr>
              <w:pStyle w:val="TableText"/>
              <w:rPr>
                <w:rFonts w:cs="Arial"/>
              </w:rPr>
            </w:pPr>
            <w:r w:rsidRPr="009B7B35">
              <w:rPr>
                <w:rFonts w:cs="Arial"/>
              </w:rPr>
              <w:t>Future state controlled roads</w:t>
            </w:r>
          </w:p>
          <w:p w14:paraId="6485FD40" w14:textId="77777777" w:rsidR="00BE36FB" w:rsidRPr="009B7B35" w:rsidRDefault="00BE36FB" w:rsidP="001A7107">
            <w:pPr>
              <w:pStyle w:val="TableText"/>
              <w:rPr>
                <w:rFonts w:cs="Arial"/>
              </w:rPr>
            </w:pPr>
            <w:r w:rsidRPr="009B7B35">
              <w:rPr>
                <w:rFonts w:cs="Arial"/>
              </w:rPr>
              <w:t>Transport Noise corridor category 1</w:t>
            </w:r>
          </w:p>
          <w:p w14:paraId="03515CA4" w14:textId="77777777" w:rsidR="00BE36FB" w:rsidRPr="009B7B35" w:rsidRDefault="00BE36FB" w:rsidP="001A7107">
            <w:pPr>
              <w:pStyle w:val="TableText"/>
              <w:rPr>
                <w:rFonts w:cs="Arial"/>
              </w:rPr>
            </w:pPr>
            <w:r w:rsidRPr="009B7B35">
              <w:rPr>
                <w:rFonts w:cs="Arial"/>
              </w:rPr>
              <w:t>Transport Noise corridor category 2</w:t>
            </w:r>
          </w:p>
          <w:p w14:paraId="635BB1A1" w14:textId="77777777" w:rsidR="00BE36FB" w:rsidRPr="009B7B35" w:rsidRDefault="00BE36FB" w:rsidP="001A7107">
            <w:pPr>
              <w:pStyle w:val="TableText"/>
              <w:rPr>
                <w:rFonts w:cs="Arial"/>
              </w:rPr>
            </w:pPr>
            <w:r w:rsidRPr="009B7B35">
              <w:rPr>
                <w:rFonts w:cs="Arial"/>
              </w:rPr>
              <w:t>Transport Noise corridor category 3</w:t>
            </w:r>
          </w:p>
          <w:p w14:paraId="4FBA5437" w14:textId="77777777" w:rsidR="00BE36FB" w:rsidRPr="009B7B35" w:rsidRDefault="00BE36FB" w:rsidP="001A7107">
            <w:pPr>
              <w:pStyle w:val="TableText"/>
              <w:rPr>
                <w:rFonts w:cs="Arial"/>
              </w:rPr>
            </w:pPr>
            <w:r w:rsidRPr="009B7B35">
              <w:rPr>
                <w:rFonts w:cs="Arial"/>
              </w:rPr>
              <w:t>Transport Noise corridor category 4</w:t>
            </w:r>
          </w:p>
        </w:tc>
        <w:tc>
          <w:tcPr>
            <w:tcW w:w="4111" w:type="dxa"/>
          </w:tcPr>
          <w:p w14:paraId="3A3DB3F2" w14:textId="77777777" w:rsidR="00BE36FB" w:rsidRPr="009B7B35" w:rsidRDefault="00BE36FB" w:rsidP="001A7107">
            <w:pPr>
              <w:pStyle w:val="TableText"/>
              <w:rPr>
                <w:rFonts w:cs="Arial"/>
              </w:rPr>
            </w:pPr>
            <w:r w:rsidRPr="009B7B35">
              <w:rPr>
                <w:rFonts w:cs="Arial"/>
              </w:rPr>
              <w:t>No overlay code</w:t>
            </w:r>
          </w:p>
        </w:tc>
      </w:tr>
      <w:tr w:rsidR="00BE36FB" w:rsidRPr="009B7B35" w14:paraId="4076002F" w14:textId="77777777" w:rsidTr="001A7107">
        <w:tc>
          <w:tcPr>
            <w:tcW w:w="4111" w:type="dxa"/>
          </w:tcPr>
          <w:p w14:paraId="1C7D1F8D" w14:textId="77777777" w:rsidR="00BE36FB" w:rsidRPr="009B7B35" w:rsidRDefault="00BE36FB" w:rsidP="001A7107">
            <w:pPr>
              <w:pStyle w:val="TableText"/>
              <w:rPr>
                <w:rFonts w:cs="Arial"/>
              </w:rPr>
            </w:pPr>
            <w:r w:rsidRPr="009B7B35">
              <w:rPr>
                <w:rFonts w:cs="Arial"/>
              </w:rPr>
              <w:t>Road hierarchy details</w:t>
            </w:r>
          </w:p>
          <w:p w14:paraId="07303812" w14:textId="77777777" w:rsidR="00BE36FB" w:rsidRPr="009B7B35" w:rsidRDefault="00BE36FB" w:rsidP="001A7107">
            <w:pPr>
              <w:pStyle w:val="TableText"/>
              <w:rPr>
                <w:rFonts w:cs="Arial"/>
              </w:rPr>
            </w:pPr>
            <w:r w:rsidRPr="009B7B35">
              <w:rPr>
                <w:rFonts w:cs="Arial"/>
              </w:rPr>
              <w:t>Road details</w:t>
            </w:r>
          </w:p>
        </w:tc>
        <w:tc>
          <w:tcPr>
            <w:tcW w:w="4111" w:type="dxa"/>
          </w:tcPr>
          <w:p w14:paraId="5FE3C7D4" w14:textId="77777777" w:rsidR="00BE36FB" w:rsidRPr="009B7B35" w:rsidRDefault="00BE36FB" w:rsidP="001A7107">
            <w:pPr>
              <w:pStyle w:val="TableText"/>
              <w:rPr>
                <w:rFonts w:cs="Arial"/>
              </w:rPr>
            </w:pPr>
            <w:r w:rsidRPr="009B7B35">
              <w:rPr>
                <w:rFonts w:cs="Arial"/>
              </w:rPr>
              <w:t>No overlay code</w:t>
            </w:r>
          </w:p>
        </w:tc>
      </w:tr>
      <w:tr w:rsidR="00BE36FB" w:rsidRPr="009B7B35" w14:paraId="19CA0B74" w14:textId="77777777" w:rsidTr="001A7107">
        <w:tc>
          <w:tcPr>
            <w:tcW w:w="4111" w:type="dxa"/>
          </w:tcPr>
          <w:p w14:paraId="09F1E1B2" w14:textId="77777777" w:rsidR="00BE36FB" w:rsidRPr="009B7B35" w:rsidRDefault="00BE36FB" w:rsidP="001A7107">
            <w:pPr>
              <w:pStyle w:val="TableText"/>
              <w:rPr>
                <w:rFonts w:cs="Arial"/>
              </w:rPr>
            </w:pPr>
            <w:r w:rsidRPr="009B7B35">
              <w:rPr>
                <w:rFonts w:cs="Arial"/>
              </w:rPr>
              <w:t>Mineral development licence</w:t>
            </w:r>
          </w:p>
          <w:p w14:paraId="1F6C1C3E" w14:textId="77777777" w:rsidR="00BE36FB" w:rsidRPr="009B7B35" w:rsidRDefault="00BE36FB" w:rsidP="001A7107">
            <w:pPr>
              <w:pStyle w:val="TableText"/>
              <w:rPr>
                <w:rFonts w:cs="Arial"/>
              </w:rPr>
            </w:pPr>
            <w:r w:rsidRPr="009B7B35">
              <w:rPr>
                <w:rFonts w:cs="Arial"/>
              </w:rPr>
              <w:t>Mining leases</w:t>
            </w:r>
          </w:p>
        </w:tc>
        <w:tc>
          <w:tcPr>
            <w:tcW w:w="4111" w:type="dxa"/>
          </w:tcPr>
          <w:p w14:paraId="1184414E" w14:textId="77777777" w:rsidR="00BE36FB" w:rsidRPr="009B7B35" w:rsidRDefault="00BE36FB" w:rsidP="001A7107">
            <w:pPr>
              <w:pStyle w:val="TableText"/>
              <w:rPr>
                <w:rFonts w:cs="Arial"/>
              </w:rPr>
            </w:pPr>
            <w:r w:rsidRPr="009B7B35">
              <w:rPr>
                <w:rFonts w:cs="Arial"/>
              </w:rPr>
              <w:t>No overlay code</w:t>
            </w:r>
          </w:p>
        </w:tc>
      </w:tr>
    </w:tbl>
    <w:p w14:paraId="77262ADE" w14:textId="77777777" w:rsidR="00BE36FB" w:rsidRPr="009B7B35" w:rsidRDefault="00BE36FB" w:rsidP="001A7107">
      <w:pPr>
        <w:rPr>
          <w:rFonts w:ascii="Arial" w:hAnsi="Arial" w:cs="Arial"/>
          <w:sz w:val="20"/>
          <w:szCs w:val="20"/>
        </w:rPr>
      </w:pPr>
    </w:p>
    <w:p w14:paraId="0E477CAA"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the following development codes:</w:t>
      </w:r>
    </w:p>
    <w:p w14:paraId="67863C87" w14:textId="77777777"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Development design</w:t>
      </w:r>
    </w:p>
    <w:p w14:paraId="23CCFEC8" w14:textId="77777777"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 xml:space="preserve">Extractive industry </w:t>
      </w:r>
    </w:p>
    <w:p w14:paraId="0A56FC2D" w14:textId="77777777"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Home based business</w:t>
      </w:r>
    </w:p>
    <w:p w14:paraId="461502B2" w14:textId="77777777"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Landscaping</w:t>
      </w:r>
    </w:p>
    <w:p w14:paraId="2F1530EB" w14:textId="77777777"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Operational works</w:t>
      </w:r>
    </w:p>
    <w:p w14:paraId="5B02816F" w14:textId="77777777"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Reconfiguring of a lot</w:t>
      </w:r>
    </w:p>
    <w:p w14:paraId="0A2C65E8" w14:textId="77777777"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Telecommunication facility</w:t>
      </w:r>
    </w:p>
    <w:p w14:paraId="644E1BF1"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the following other plans:</w:t>
      </w:r>
    </w:p>
    <w:p w14:paraId="2392E244" w14:textId="77777777" w:rsidR="00BE36FB" w:rsidRPr="009B7B35" w:rsidRDefault="00BE36FB" w:rsidP="00BE36FB">
      <w:pPr>
        <w:numPr>
          <w:ilvl w:val="2"/>
          <w:numId w:val="15"/>
        </w:numPr>
        <w:rPr>
          <w:rFonts w:ascii="Arial" w:hAnsi="Arial" w:cs="Arial"/>
          <w:sz w:val="20"/>
          <w:szCs w:val="20"/>
        </w:rPr>
      </w:pPr>
      <w:r w:rsidRPr="009B7B35">
        <w:rPr>
          <w:rFonts w:ascii="Arial" w:hAnsi="Arial" w:cs="Arial"/>
          <w:sz w:val="20"/>
          <w:szCs w:val="20"/>
        </w:rPr>
        <w:t xml:space="preserve">State Development Areas – </w:t>
      </w:r>
      <w:r w:rsidRPr="009B7B35">
        <w:rPr>
          <w:rFonts w:ascii="Arial" w:hAnsi="Arial" w:cs="Arial"/>
          <w:i/>
          <w:sz w:val="20"/>
          <w:szCs w:val="20"/>
        </w:rPr>
        <w:t>State Development and Public Works Organisation Act 1971</w:t>
      </w:r>
    </w:p>
    <w:p w14:paraId="54FF0BE4" w14:textId="77777777" w:rsidR="00BE36FB" w:rsidRPr="009B7B35" w:rsidRDefault="00BE36FB" w:rsidP="00BE36FB">
      <w:pPr>
        <w:numPr>
          <w:ilvl w:val="3"/>
          <w:numId w:val="1"/>
        </w:numPr>
        <w:rPr>
          <w:rFonts w:ascii="Arial" w:hAnsi="Arial" w:cs="Arial"/>
          <w:sz w:val="20"/>
          <w:szCs w:val="20"/>
        </w:rPr>
      </w:pPr>
      <w:r w:rsidRPr="009B7B35">
        <w:rPr>
          <w:rFonts w:ascii="Arial" w:hAnsi="Arial" w:cs="Arial"/>
          <w:sz w:val="20"/>
          <w:szCs w:val="20"/>
        </w:rPr>
        <w:t>Gladstone</w:t>
      </w:r>
    </w:p>
    <w:p w14:paraId="577804B7" w14:textId="77777777" w:rsidR="00BE36FB" w:rsidRPr="009B7B35" w:rsidRDefault="00BE36FB" w:rsidP="00BE36FB">
      <w:pPr>
        <w:numPr>
          <w:ilvl w:val="3"/>
          <w:numId w:val="1"/>
        </w:numPr>
        <w:rPr>
          <w:rFonts w:ascii="Arial" w:hAnsi="Arial" w:cs="Arial"/>
          <w:sz w:val="20"/>
          <w:szCs w:val="20"/>
        </w:rPr>
      </w:pPr>
      <w:r w:rsidRPr="009B7B35">
        <w:rPr>
          <w:rFonts w:ascii="Arial" w:hAnsi="Arial" w:cs="Arial"/>
          <w:sz w:val="20"/>
          <w:szCs w:val="20"/>
        </w:rPr>
        <w:t>Callide Infrastructure Corridor</w:t>
      </w:r>
    </w:p>
    <w:p w14:paraId="3259C6FC" w14:textId="77777777" w:rsidR="00BE36FB" w:rsidRPr="009B7B35" w:rsidRDefault="00BE36FB" w:rsidP="00BE36FB">
      <w:pPr>
        <w:numPr>
          <w:ilvl w:val="3"/>
          <w:numId w:val="1"/>
        </w:numPr>
        <w:rPr>
          <w:rFonts w:ascii="Arial" w:hAnsi="Arial" w:cs="Arial"/>
          <w:sz w:val="20"/>
          <w:szCs w:val="20"/>
        </w:rPr>
      </w:pPr>
      <w:r w:rsidRPr="009B7B35">
        <w:rPr>
          <w:rFonts w:ascii="Arial" w:hAnsi="Arial" w:cs="Arial"/>
          <w:sz w:val="20"/>
          <w:szCs w:val="20"/>
        </w:rPr>
        <w:t>Stanwell–Gladstone Infrastructure Corridor</w:t>
      </w:r>
    </w:p>
    <w:p w14:paraId="3933779B" w14:textId="77777777"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Port of Gladstone and Port Alma (part)</w:t>
      </w:r>
    </w:p>
    <w:p w14:paraId="068048C8" w14:textId="77777777" w:rsidR="00BE36FB" w:rsidRPr="009B7B35" w:rsidRDefault="00BE36FB" w:rsidP="00BE36FB">
      <w:pPr>
        <w:numPr>
          <w:ilvl w:val="2"/>
          <w:numId w:val="1"/>
        </w:numPr>
        <w:rPr>
          <w:rFonts w:ascii="Arial" w:hAnsi="Arial" w:cs="Arial"/>
          <w:sz w:val="20"/>
          <w:szCs w:val="20"/>
        </w:rPr>
      </w:pPr>
      <w:r w:rsidRPr="009B7B35">
        <w:rPr>
          <w:rFonts w:ascii="Arial" w:hAnsi="Arial" w:cs="Arial"/>
          <w:sz w:val="20"/>
          <w:szCs w:val="20"/>
        </w:rPr>
        <w:t xml:space="preserve">Priority Development Areas – </w:t>
      </w:r>
      <w:r w:rsidRPr="009B7B35">
        <w:rPr>
          <w:rStyle w:val="StyleItalic"/>
          <w:rFonts w:cs="Arial"/>
          <w:szCs w:val="20"/>
        </w:rPr>
        <w:t>Economic Development Act 2012</w:t>
      </w:r>
    </w:p>
    <w:p w14:paraId="0274E179" w14:textId="77777777" w:rsidR="00BE36FB" w:rsidRPr="009B7B35" w:rsidRDefault="00BE36FB" w:rsidP="00BE36FB">
      <w:pPr>
        <w:numPr>
          <w:ilvl w:val="3"/>
          <w:numId w:val="1"/>
        </w:numPr>
        <w:rPr>
          <w:rFonts w:ascii="Arial" w:hAnsi="Arial" w:cs="Arial"/>
          <w:sz w:val="20"/>
          <w:szCs w:val="20"/>
        </w:rPr>
      </w:pPr>
      <w:r w:rsidRPr="009B7B35">
        <w:rPr>
          <w:rFonts w:ascii="Arial" w:hAnsi="Arial" w:cs="Arial"/>
          <w:sz w:val="20"/>
          <w:szCs w:val="20"/>
        </w:rPr>
        <w:t>Clinton, Gladstone</w:t>
      </w:r>
    </w:p>
    <w:p w14:paraId="58FA9701" w14:textId="77777777" w:rsidR="00BE36FB" w:rsidRPr="009B7B35" w:rsidRDefault="00BE36FB" w:rsidP="00BE36FB">
      <w:pPr>
        <w:numPr>
          <w:ilvl w:val="3"/>
          <w:numId w:val="1"/>
        </w:numPr>
        <w:rPr>
          <w:rFonts w:ascii="Arial" w:hAnsi="Arial" w:cs="Arial"/>
          <w:sz w:val="20"/>
          <w:szCs w:val="20"/>
        </w:rPr>
      </w:pPr>
      <w:r w:rsidRPr="009B7B35">
        <w:rPr>
          <w:rFonts w:ascii="Arial" w:hAnsi="Arial" w:cs="Arial"/>
          <w:sz w:val="20"/>
          <w:szCs w:val="20"/>
        </w:rPr>
        <w:t>Tannum Sands</w:t>
      </w:r>
    </w:p>
    <w:p w14:paraId="207FD61D" w14:textId="77777777" w:rsidR="00BE36FB" w:rsidRPr="009B7B35" w:rsidRDefault="00BE36FB" w:rsidP="00BE36FB">
      <w:pPr>
        <w:numPr>
          <w:ilvl w:val="3"/>
          <w:numId w:val="1"/>
        </w:numPr>
        <w:rPr>
          <w:rFonts w:ascii="Arial" w:hAnsi="Arial" w:cs="Arial"/>
          <w:sz w:val="20"/>
          <w:szCs w:val="20"/>
        </w:rPr>
      </w:pPr>
      <w:r w:rsidRPr="009B7B35">
        <w:rPr>
          <w:rFonts w:ascii="Arial" w:hAnsi="Arial" w:cs="Arial"/>
          <w:sz w:val="20"/>
          <w:szCs w:val="20"/>
        </w:rPr>
        <w:t>Toolooa</w:t>
      </w:r>
    </w:p>
    <w:p w14:paraId="6345CB5C"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schedules and appendices.</w:t>
      </w:r>
      <w:r w:rsidRPr="009B7B35">
        <w:rPr>
          <w:rFonts w:ascii="Arial" w:hAnsi="Arial" w:cs="Arial"/>
          <w:sz w:val="20"/>
          <w:szCs w:val="20"/>
        </w:rPr>
        <w:br/>
      </w:r>
    </w:p>
    <w:p w14:paraId="07976470" w14:textId="77777777" w:rsidR="00BE36FB" w:rsidRPr="009B7B35" w:rsidRDefault="00BE36FB" w:rsidP="00BE36FB">
      <w:pPr>
        <w:numPr>
          <w:ilvl w:val="0"/>
          <w:numId w:val="1"/>
        </w:numPr>
        <w:rPr>
          <w:rFonts w:ascii="Arial" w:hAnsi="Arial" w:cs="Arial"/>
          <w:sz w:val="20"/>
          <w:szCs w:val="20"/>
        </w:rPr>
      </w:pPr>
      <w:r w:rsidRPr="009B7B35">
        <w:rPr>
          <w:rFonts w:ascii="Arial" w:hAnsi="Arial" w:cs="Arial"/>
          <w:sz w:val="20"/>
          <w:szCs w:val="20"/>
        </w:rPr>
        <w:t>The following planning scheme policies support the planning scheme:</w:t>
      </w:r>
    </w:p>
    <w:p w14:paraId="55F4D243"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Engineering design</w:t>
      </w:r>
    </w:p>
    <w:p w14:paraId="2C33294F"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Plans of development</w:t>
      </w:r>
    </w:p>
    <w:p w14:paraId="41C494CA"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Community and economic needs assessment</w:t>
      </w:r>
    </w:p>
    <w:p w14:paraId="2D8CE219"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CBD redevelopment</w:t>
      </w:r>
    </w:p>
    <w:p w14:paraId="10CAB552"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Beecher/Burua constant flow precinct</w:t>
      </w:r>
    </w:p>
    <w:p w14:paraId="4B9AD544"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Flooding</w:t>
      </w:r>
    </w:p>
    <w:p w14:paraId="0DF480AD"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Heritage</w:t>
      </w:r>
    </w:p>
    <w:p w14:paraId="77F920B2"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Non–resident</w:t>
      </w:r>
    </w:p>
    <w:p w14:paraId="2B68412E"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Vehicle parking rates</w:t>
      </w:r>
    </w:p>
    <w:p w14:paraId="59994692" w14:textId="77777777" w:rsidR="00BE36FB" w:rsidRPr="009B7B35" w:rsidRDefault="00BE36FB" w:rsidP="00BE36FB">
      <w:pPr>
        <w:numPr>
          <w:ilvl w:val="1"/>
          <w:numId w:val="1"/>
        </w:numPr>
        <w:rPr>
          <w:rFonts w:ascii="Arial" w:hAnsi="Arial" w:cs="Arial"/>
          <w:sz w:val="20"/>
          <w:szCs w:val="20"/>
        </w:rPr>
      </w:pPr>
      <w:r w:rsidRPr="009B7B35">
        <w:rPr>
          <w:rFonts w:ascii="Arial" w:hAnsi="Arial" w:cs="Arial"/>
          <w:sz w:val="20"/>
          <w:szCs w:val="20"/>
        </w:rPr>
        <w:t>Waste management.</w:t>
      </w:r>
    </w:p>
    <w:p w14:paraId="6835261B" w14:textId="77777777" w:rsidR="00BE36FB" w:rsidRPr="009B7B35" w:rsidRDefault="00BE36FB" w:rsidP="001A7107">
      <w:pPr>
        <w:rPr>
          <w:rFonts w:ascii="Arial" w:hAnsi="Arial" w:cs="Arial"/>
          <w:sz w:val="20"/>
          <w:szCs w:val="20"/>
        </w:rPr>
      </w:pPr>
      <w:bookmarkStart w:id="24" w:name="_Toc390933053"/>
      <w:bookmarkStart w:id="25" w:name="_Toc390933211"/>
      <w:bookmarkStart w:id="26" w:name="_Toc390933543"/>
      <w:bookmarkStart w:id="27" w:name="_Toc390934078"/>
      <w:bookmarkStart w:id="28" w:name="_Toc390934384"/>
      <w:bookmarkStart w:id="29" w:name="_Toc390934552"/>
      <w:bookmarkStart w:id="30" w:name="_Toc390935024"/>
      <w:r w:rsidRPr="009B7B35">
        <w:rPr>
          <w:rFonts w:ascii="Arial" w:hAnsi="Arial" w:cs="Arial"/>
          <w:sz w:val="20"/>
          <w:szCs w:val="20"/>
        </w:rPr>
        <w:br w:type="page"/>
      </w:r>
    </w:p>
    <w:p w14:paraId="5A03B632" w14:textId="77777777" w:rsidR="00BE36FB" w:rsidRPr="009B7B35" w:rsidRDefault="00BE36FB" w:rsidP="001A7107">
      <w:pPr>
        <w:pStyle w:val="Heading2"/>
        <w:rPr>
          <w:rFonts w:ascii="Arial" w:hAnsi="Arial"/>
          <w:sz w:val="20"/>
          <w:szCs w:val="20"/>
        </w:rPr>
      </w:pPr>
      <w:bookmarkStart w:id="31" w:name="_Toc205367280"/>
      <w:r w:rsidRPr="009B7B35">
        <w:rPr>
          <w:rFonts w:ascii="Arial" w:hAnsi="Arial"/>
          <w:sz w:val="20"/>
          <w:szCs w:val="20"/>
        </w:rPr>
        <w:lastRenderedPageBreak/>
        <w:t>Interpretation</w:t>
      </w:r>
      <w:bookmarkEnd w:id="24"/>
      <w:bookmarkEnd w:id="25"/>
      <w:bookmarkEnd w:id="26"/>
      <w:bookmarkEnd w:id="27"/>
      <w:bookmarkEnd w:id="28"/>
      <w:bookmarkEnd w:id="29"/>
      <w:bookmarkEnd w:id="30"/>
      <w:bookmarkEnd w:id="31"/>
    </w:p>
    <w:p w14:paraId="5B717494" w14:textId="77777777" w:rsidR="00BE36FB" w:rsidRPr="009B7B35" w:rsidRDefault="00BE36FB" w:rsidP="001A7107">
      <w:pPr>
        <w:pStyle w:val="Heading3"/>
        <w:rPr>
          <w:rFonts w:ascii="Arial" w:hAnsi="Arial"/>
          <w:sz w:val="20"/>
          <w:szCs w:val="20"/>
        </w:rPr>
      </w:pPr>
      <w:bookmarkStart w:id="32" w:name="_Toc390933054"/>
      <w:bookmarkStart w:id="33" w:name="_Toc390933212"/>
      <w:bookmarkStart w:id="34" w:name="_Toc390933544"/>
      <w:bookmarkStart w:id="35" w:name="_Toc390934079"/>
      <w:bookmarkStart w:id="36" w:name="_Toc390934385"/>
      <w:bookmarkStart w:id="37" w:name="_Toc390934553"/>
      <w:bookmarkStart w:id="38" w:name="_Toc390935025"/>
      <w:bookmarkStart w:id="39" w:name="_Toc205367281"/>
      <w:r w:rsidRPr="009B7B35">
        <w:rPr>
          <w:rFonts w:ascii="Arial" w:hAnsi="Arial"/>
          <w:sz w:val="20"/>
          <w:szCs w:val="20"/>
        </w:rPr>
        <w:t>Definitions</w:t>
      </w:r>
      <w:bookmarkEnd w:id="32"/>
      <w:bookmarkEnd w:id="33"/>
      <w:bookmarkEnd w:id="34"/>
      <w:bookmarkEnd w:id="35"/>
      <w:bookmarkEnd w:id="36"/>
      <w:bookmarkEnd w:id="37"/>
      <w:bookmarkEnd w:id="38"/>
      <w:bookmarkEnd w:id="39"/>
    </w:p>
    <w:p w14:paraId="2A92387E" w14:textId="77777777" w:rsidR="00BE36FB" w:rsidRPr="009B7B35" w:rsidRDefault="00BE36FB" w:rsidP="00BE36FB">
      <w:pPr>
        <w:numPr>
          <w:ilvl w:val="0"/>
          <w:numId w:val="2"/>
        </w:numPr>
        <w:rPr>
          <w:rFonts w:ascii="Arial" w:hAnsi="Arial" w:cs="Arial"/>
          <w:sz w:val="20"/>
          <w:szCs w:val="20"/>
        </w:rPr>
      </w:pPr>
      <w:r w:rsidRPr="009B7B35">
        <w:rPr>
          <w:rFonts w:ascii="Arial" w:hAnsi="Arial" w:cs="Arial"/>
          <w:sz w:val="20"/>
          <w:szCs w:val="20"/>
        </w:rPr>
        <w:t>A term used in the planning scheme has the meaning assigned to that term by one of the following:</w:t>
      </w:r>
    </w:p>
    <w:p w14:paraId="468E14BC" w14:textId="77777777" w:rsidR="00BE36FB" w:rsidRPr="009B7B35" w:rsidRDefault="00BE36FB" w:rsidP="00BE36FB">
      <w:pPr>
        <w:numPr>
          <w:ilvl w:val="1"/>
          <w:numId w:val="2"/>
        </w:numPr>
        <w:rPr>
          <w:rFonts w:ascii="Arial" w:hAnsi="Arial" w:cs="Arial"/>
          <w:sz w:val="20"/>
          <w:szCs w:val="20"/>
        </w:rPr>
      </w:pPr>
      <w:r w:rsidRPr="009B7B35">
        <w:rPr>
          <w:rFonts w:ascii="Arial" w:hAnsi="Arial" w:cs="Arial"/>
          <w:sz w:val="20"/>
          <w:szCs w:val="20"/>
        </w:rPr>
        <w:t xml:space="preserve">the </w:t>
      </w:r>
      <w:r w:rsidRPr="009B7B35">
        <w:rPr>
          <w:rFonts w:ascii="Arial" w:hAnsi="Arial" w:cs="Arial"/>
          <w:i/>
          <w:sz w:val="20"/>
          <w:szCs w:val="20"/>
        </w:rPr>
        <w:t xml:space="preserve">Planning Act 2016 </w:t>
      </w:r>
      <w:r w:rsidRPr="009B7B35">
        <w:rPr>
          <w:rFonts w:ascii="Arial" w:hAnsi="Arial" w:cs="Arial"/>
          <w:sz w:val="20"/>
          <w:szCs w:val="20"/>
        </w:rPr>
        <w:t>(the Act)</w:t>
      </w:r>
    </w:p>
    <w:p w14:paraId="53BE5DC4" w14:textId="77777777" w:rsidR="00BE36FB" w:rsidRPr="009B7B35" w:rsidRDefault="00BE36FB" w:rsidP="00BE36FB">
      <w:pPr>
        <w:numPr>
          <w:ilvl w:val="1"/>
          <w:numId w:val="2"/>
        </w:numPr>
        <w:rPr>
          <w:rFonts w:ascii="Arial" w:hAnsi="Arial" w:cs="Arial"/>
          <w:sz w:val="20"/>
          <w:szCs w:val="20"/>
        </w:rPr>
      </w:pPr>
      <w:r w:rsidRPr="009B7B35">
        <w:rPr>
          <w:rFonts w:ascii="Arial" w:hAnsi="Arial" w:cs="Arial"/>
          <w:sz w:val="20"/>
          <w:szCs w:val="20"/>
        </w:rPr>
        <w:t xml:space="preserve">the </w:t>
      </w:r>
      <w:r w:rsidRPr="009B7B35">
        <w:rPr>
          <w:rStyle w:val="StyleItalic"/>
          <w:rFonts w:cs="Arial"/>
          <w:szCs w:val="20"/>
        </w:rPr>
        <w:t>Planning Regulation 2017</w:t>
      </w:r>
      <w:r w:rsidRPr="009B7B35">
        <w:rPr>
          <w:rFonts w:ascii="Arial" w:hAnsi="Arial" w:cs="Arial"/>
          <w:sz w:val="20"/>
          <w:szCs w:val="20"/>
        </w:rPr>
        <w:t xml:space="preserve"> (the Regulation), other than the regulated requirements</w:t>
      </w:r>
    </w:p>
    <w:p w14:paraId="49201081" w14:textId="77777777" w:rsidR="00BE36FB" w:rsidRPr="009B7B35" w:rsidRDefault="00BE36FB" w:rsidP="00BE36FB">
      <w:pPr>
        <w:numPr>
          <w:ilvl w:val="1"/>
          <w:numId w:val="2"/>
        </w:numPr>
        <w:rPr>
          <w:rFonts w:ascii="Arial" w:hAnsi="Arial" w:cs="Arial"/>
          <w:sz w:val="20"/>
          <w:szCs w:val="20"/>
        </w:rPr>
      </w:pPr>
      <w:r w:rsidRPr="009B7B35">
        <w:rPr>
          <w:rFonts w:ascii="Arial" w:hAnsi="Arial" w:cs="Arial"/>
          <w:sz w:val="20"/>
          <w:szCs w:val="20"/>
        </w:rPr>
        <w:t>the definitions in Schedule 1 of the planning scheme</w:t>
      </w:r>
    </w:p>
    <w:p w14:paraId="6E25F8B5" w14:textId="77777777" w:rsidR="00BE36FB" w:rsidRPr="009B7B35" w:rsidRDefault="00BE36FB" w:rsidP="00BE36FB">
      <w:pPr>
        <w:numPr>
          <w:ilvl w:val="1"/>
          <w:numId w:val="2"/>
        </w:numPr>
        <w:rPr>
          <w:rFonts w:ascii="Arial" w:hAnsi="Arial" w:cs="Arial"/>
          <w:sz w:val="20"/>
          <w:szCs w:val="20"/>
        </w:rPr>
      </w:pPr>
      <w:r w:rsidRPr="009B7B35">
        <w:rPr>
          <w:rFonts w:ascii="Arial" w:hAnsi="Arial" w:cs="Arial"/>
          <w:sz w:val="20"/>
          <w:szCs w:val="20"/>
        </w:rPr>
        <w:t xml:space="preserve">the </w:t>
      </w:r>
      <w:r w:rsidRPr="009B7B35">
        <w:rPr>
          <w:rFonts w:ascii="Arial" w:hAnsi="Arial" w:cs="Arial"/>
          <w:i/>
          <w:sz w:val="20"/>
          <w:szCs w:val="20"/>
        </w:rPr>
        <w:t>Acts Interpretation Act 1954</w:t>
      </w:r>
    </w:p>
    <w:p w14:paraId="41C31B69" w14:textId="77777777" w:rsidR="00BE36FB" w:rsidRPr="009B7B35" w:rsidRDefault="00BE36FB" w:rsidP="00BE36FB">
      <w:pPr>
        <w:numPr>
          <w:ilvl w:val="1"/>
          <w:numId w:val="2"/>
        </w:numPr>
        <w:rPr>
          <w:rFonts w:ascii="Arial" w:hAnsi="Arial" w:cs="Arial"/>
          <w:sz w:val="20"/>
          <w:szCs w:val="20"/>
        </w:rPr>
      </w:pPr>
      <w:r w:rsidRPr="009B7B35">
        <w:rPr>
          <w:rFonts w:ascii="Arial" w:hAnsi="Arial" w:cs="Arial"/>
          <w:sz w:val="20"/>
          <w:szCs w:val="20"/>
        </w:rPr>
        <w:t xml:space="preserve">the ordinary meaning where that term is not defined in the Act, the Regulation, Schedule 1 of the planning scheme or the </w:t>
      </w:r>
      <w:r w:rsidRPr="009B7B35">
        <w:rPr>
          <w:rStyle w:val="StyleItalic"/>
          <w:rFonts w:cs="Arial"/>
          <w:szCs w:val="20"/>
        </w:rPr>
        <w:t>Acts Interpretation Act 1954</w:t>
      </w:r>
      <w:r w:rsidRPr="009B7B35">
        <w:rPr>
          <w:rFonts w:ascii="Arial" w:hAnsi="Arial" w:cs="Arial"/>
          <w:sz w:val="20"/>
          <w:szCs w:val="20"/>
        </w:rPr>
        <w:t>.</w:t>
      </w:r>
    </w:p>
    <w:p w14:paraId="74FF5519" w14:textId="77777777" w:rsidR="00BE36FB" w:rsidRPr="009B7B35" w:rsidRDefault="00BE36FB" w:rsidP="00BE36FB">
      <w:pPr>
        <w:numPr>
          <w:ilvl w:val="0"/>
          <w:numId w:val="2"/>
        </w:numPr>
        <w:rPr>
          <w:rFonts w:ascii="Arial" w:hAnsi="Arial" w:cs="Arial"/>
          <w:sz w:val="20"/>
          <w:szCs w:val="20"/>
        </w:rPr>
      </w:pPr>
      <w:r w:rsidRPr="009B7B35">
        <w:rPr>
          <w:rFonts w:ascii="Arial" w:hAnsi="Arial" w:cs="Arial"/>
          <w:sz w:val="20"/>
          <w:szCs w:val="20"/>
        </w:rPr>
        <w:t>In the event a term has been assigned a meaning in more than one of the instruments listed in sub–section 1.3.1(1), the meaning contained in the instrument highest on the list will prevail.</w:t>
      </w:r>
    </w:p>
    <w:p w14:paraId="027084A4" w14:textId="77777777" w:rsidR="00BE36FB" w:rsidRPr="009B7B35" w:rsidRDefault="00BE36FB" w:rsidP="00BE36FB">
      <w:pPr>
        <w:numPr>
          <w:ilvl w:val="0"/>
          <w:numId w:val="2"/>
        </w:numPr>
        <w:rPr>
          <w:rFonts w:ascii="Arial" w:hAnsi="Arial" w:cs="Arial"/>
          <w:sz w:val="20"/>
          <w:szCs w:val="20"/>
        </w:rPr>
      </w:pPr>
      <w:r w:rsidRPr="009B7B35">
        <w:rPr>
          <w:rFonts w:ascii="Arial" w:hAnsi="Arial" w:cs="Arial"/>
          <w:sz w:val="20"/>
          <w:szCs w:val="20"/>
        </w:rPr>
        <w:t>A reference in the planning scheme to any act includes any regulation or instrument made under it, and where amended or replaced, if the context permits, means the amended or replaced act.</w:t>
      </w:r>
    </w:p>
    <w:p w14:paraId="319D3210" w14:textId="77777777" w:rsidR="00BE36FB" w:rsidRPr="009B7B35" w:rsidRDefault="00BE36FB" w:rsidP="00BE36FB">
      <w:pPr>
        <w:numPr>
          <w:ilvl w:val="0"/>
          <w:numId w:val="2"/>
        </w:numPr>
        <w:rPr>
          <w:rFonts w:ascii="Arial" w:hAnsi="Arial" w:cs="Arial"/>
          <w:sz w:val="20"/>
          <w:szCs w:val="20"/>
        </w:rPr>
      </w:pPr>
      <w:r w:rsidRPr="009B7B35">
        <w:rPr>
          <w:rFonts w:ascii="Arial" w:hAnsi="Arial" w:cs="Arial"/>
          <w:sz w:val="20"/>
          <w:szCs w:val="20"/>
        </w:rPr>
        <w:t>A reference in the planning scheme to a specific resource document or standard, means the latest version of the resource document or standard.</w:t>
      </w:r>
    </w:p>
    <w:p w14:paraId="76966947" w14:textId="77777777" w:rsidR="00BE36FB" w:rsidRPr="009B7B35" w:rsidRDefault="00BE36FB" w:rsidP="00BE36FB">
      <w:pPr>
        <w:numPr>
          <w:ilvl w:val="0"/>
          <w:numId w:val="2"/>
        </w:numPr>
        <w:rPr>
          <w:rFonts w:ascii="Arial" w:hAnsi="Arial" w:cs="Arial"/>
          <w:sz w:val="20"/>
          <w:szCs w:val="20"/>
        </w:rPr>
      </w:pPr>
      <w:r w:rsidRPr="009B7B35">
        <w:rPr>
          <w:rFonts w:ascii="Arial" w:hAnsi="Arial" w:cs="Arial"/>
          <w:sz w:val="20"/>
          <w:szCs w:val="20"/>
        </w:rPr>
        <w:t>A reference to a part, section, table or schedule is a reference to a part, section, table or schedule of the planning scheme.</w:t>
      </w:r>
    </w:p>
    <w:p w14:paraId="0351B4FE" w14:textId="77777777" w:rsidR="00BE36FB" w:rsidRPr="009B7B35" w:rsidRDefault="00BE36FB" w:rsidP="001A7107">
      <w:pPr>
        <w:spacing w:before="120" w:after="120"/>
        <w:rPr>
          <w:rFonts w:ascii="Arial" w:hAnsi="Arial" w:cs="Arial"/>
          <w:sz w:val="20"/>
          <w:szCs w:val="20"/>
        </w:rPr>
      </w:pPr>
      <w:r w:rsidRPr="009B7B35">
        <w:rPr>
          <w:rFonts w:ascii="Arial" w:hAnsi="Arial" w:cs="Arial"/>
          <w:sz w:val="20"/>
          <w:szCs w:val="20"/>
        </w:rPr>
        <w:t xml:space="preserve">Editor's note—The regulated requirements do not apply to this planning scheme. </w:t>
      </w:r>
    </w:p>
    <w:p w14:paraId="709932D6" w14:textId="77777777" w:rsidR="00BE36FB" w:rsidRPr="009B7B35" w:rsidRDefault="00BE36FB" w:rsidP="001A7107">
      <w:pPr>
        <w:pStyle w:val="Heading3"/>
        <w:rPr>
          <w:rFonts w:ascii="Arial" w:hAnsi="Arial"/>
          <w:sz w:val="20"/>
          <w:szCs w:val="20"/>
        </w:rPr>
      </w:pPr>
      <w:bookmarkStart w:id="40" w:name="_Toc390933055"/>
      <w:bookmarkStart w:id="41" w:name="_Toc390933213"/>
      <w:bookmarkStart w:id="42" w:name="_Toc390933545"/>
      <w:bookmarkStart w:id="43" w:name="_Toc390934080"/>
      <w:bookmarkStart w:id="44" w:name="_Toc390934386"/>
      <w:bookmarkStart w:id="45" w:name="_Toc390934554"/>
      <w:bookmarkStart w:id="46" w:name="_Toc390935026"/>
      <w:bookmarkStart w:id="47" w:name="_Toc205367282"/>
      <w:r w:rsidRPr="009B7B35">
        <w:rPr>
          <w:rFonts w:ascii="Arial" w:hAnsi="Arial"/>
          <w:sz w:val="20"/>
          <w:szCs w:val="20"/>
        </w:rPr>
        <w:t>Standard drawings, maps, notes, editor's notes and footnotes</w:t>
      </w:r>
      <w:bookmarkEnd w:id="40"/>
      <w:bookmarkEnd w:id="41"/>
      <w:bookmarkEnd w:id="42"/>
      <w:bookmarkEnd w:id="43"/>
      <w:bookmarkEnd w:id="44"/>
      <w:bookmarkEnd w:id="45"/>
      <w:bookmarkEnd w:id="46"/>
      <w:bookmarkEnd w:id="47"/>
    </w:p>
    <w:p w14:paraId="40402F49" w14:textId="77777777" w:rsidR="00BE36FB" w:rsidRPr="009B7B35" w:rsidRDefault="00BE36FB" w:rsidP="00BE36FB">
      <w:pPr>
        <w:numPr>
          <w:ilvl w:val="0"/>
          <w:numId w:val="3"/>
        </w:numPr>
        <w:rPr>
          <w:rFonts w:ascii="Arial" w:hAnsi="Arial" w:cs="Arial"/>
          <w:sz w:val="20"/>
          <w:szCs w:val="20"/>
        </w:rPr>
      </w:pPr>
      <w:r w:rsidRPr="009B7B35">
        <w:rPr>
          <w:rFonts w:ascii="Arial" w:hAnsi="Arial" w:cs="Arial"/>
          <w:sz w:val="20"/>
          <w:szCs w:val="20"/>
        </w:rPr>
        <w:t>Standard drawings contained in codes or schedules are part of the planning scheme.</w:t>
      </w:r>
    </w:p>
    <w:p w14:paraId="7962D184" w14:textId="77777777" w:rsidR="00BE36FB" w:rsidRPr="009B7B35" w:rsidRDefault="00BE36FB" w:rsidP="00BE36FB">
      <w:pPr>
        <w:numPr>
          <w:ilvl w:val="0"/>
          <w:numId w:val="3"/>
        </w:numPr>
        <w:rPr>
          <w:rFonts w:ascii="Arial" w:hAnsi="Arial" w:cs="Arial"/>
          <w:sz w:val="20"/>
          <w:szCs w:val="20"/>
        </w:rPr>
      </w:pPr>
      <w:r w:rsidRPr="009B7B35">
        <w:rPr>
          <w:rFonts w:ascii="Arial" w:hAnsi="Arial" w:cs="Arial"/>
          <w:sz w:val="20"/>
          <w:szCs w:val="20"/>
        </w:rPr>
        <w:t>Maps provide information to support the outcomes and are part of the planning scheme.</w:t>
      </w:r>
    </w:p>
    <w:p w14:paraId="5F0CB887" w14:textId="77777777" w:rsidR="00BE36FB" w:rsidRPr="009B7B35" w:rsidRDefault="00BE36FB" w:rsidP="00BE36FB">
      <w:pPr>
        <w:numPr>
          <w:ilvl w:val="0"/>
          <w:numId w:val="3"/>
        </w:numPr>
        <w:rPr>
          <w:rFonts w:ascii="Arial" w:hAnsi="Arial" w:cs="Arial"/>
          <w:sz w:val="20"/>
          <w:szCs w:val="20"/>
        </w:rPr>
      </w:pPr>
      <w:r w:rsidRPr="009B7B35">
        <w:rPr>
          <w:rFonts w:ascii="Arial" w:hAnsi="Arial" w:cs="Arial"/>
          <w:sz w:val="20"/>
          <w:szCs w:val="20"/>
        </w:rPr>
        <w:t>Notes are identified by the title ‘note’ and are part of the planning scheme.</w:t>
      </w:r>
    </w:p>
    <w:p w14:paraId="060FEB63" w14:textId="77777777" w:rsidR="00BE36FB" w:rsidRPr="009B7B35" w:rsidRDefault="00BE36FB" w:rsidP="00BE36FB">
      <w:pPr>
        <w:numPr>
          <w:ilvl w:val="0"/>
          <w:numId w:val="3"/>
        </w:numPr>
        <w:rPr>
          <w:rFonts w:ascii="Arial" w:hAnsi="Arial" w:cs="Arial"/>
          <w:sz w:val="20"/>
          <w:szCs w:val="20"/>
        </w:rPr>
      </w:pPr>
      <w:r w:rsidRPr="009B7B35">
        <w:rPr>
          <w:rFonts w:ascii="Arial" w:hAnsi="Arial" w:cs="Arial"/>
          <w:sz w:val="20"/>
          <w:szCs w:val="20"/>
        </w:rPr>
        <w:t xml:space="preserve">Editor's notes and footnotes are extrinsic material, as per the </w:t>
      </w:r>
      <w:r w:rsidRPr="009B7B35">
        <w:rPr>
          <w:rFonts w:ascii="Arial" w:hAnsi="Arial" w:cs="Arial"/>
          <w:i/>
          <w:sz w:val="20"/>
          <w:szCs w:val="20"/>
        </w:rPr>
        <w:t>Acts Interpretation Act 1954</w:t>
      </w:r>
      <w:r w:rsidRPr="009B7B35">
        <w:rPr>
          <w:rFonts w:ascii="Arial" w:hAnsi="Arial" w:cs="Arial"/>
          <w:sz w:val="20"/>
          <w:szCs w:val="20"/>
        </w:rPr>
        <w:t>, and are identified by the title ‘editor's note’ and ‘footnote’ and are provided to assist in the interpretation of the planning scheme; they do not have the force of law.</w:t>
      </w:r>
    </w:p>
    <w:p w14:paraId="2BC5EE5D" w14:textId="77777777" w:rsidR="00BE36FB" w:rsidRPr="009B7B35" w:rsidRDefault="00BE36FB" w:rsidP="001A7107">
      <w:pPr>
        <w:pStyle w:val="Notes"/>
        <w:rPr>
          <w:rFonts w:cs="Arial"/>
          <w:sz w:val="20"/>
          <w:szCs w:val="20"/>
        </w:rPr>
      </w:pPr>
      <w:r w:rsidRPr="009B7B35">
        <w:rPr>
          <w:rFonts w:cs="Arial"/>
          <w:sz w:val="20"/>
          <w:szCs w:val="20"/>
        </w:rPr>
        <w:t>Note—This is an example of a note.</w:t>
      </w:r>
    </w:p>
    <w:p w14:paraId="63561E81" w14:textId="77777777" w:rsidR="00BE36FB" w:rsidRPr="009B7B35" w:rsidRDefault="00BE36FB" w:rsidP="001A7107">
      <w:pPr>
        <w:pStyle w:val="Notes"/>
        <w:rPr>
          <w:rFonts w:cs="Arial"/>
          <w:sz w:val="20"/>
          <w:szCs w:val="20"/>
        </w:rPr>
      </w:pPr>
      <w:r w:rsidRPr="009B7B35">
        <w:rPr>
          <w:rFonts w:cs="Arial"/>
          <w:sz w:val="20"/>
          <w:szCs w:val="20"/>
        </w:rPr>
        <w:t>Editor's note—This is an example of an editor's note.</w:t>
      </w:r>
    </w:p>
    <w:p w14:paraId="79DD27F5" w14:textId="77777777" w:rsidR="00BE36FB" w:rsidRPr="009B7B35" w:rsidRDefault="00BE36FB" w:rsidP="001A7107">
      <w:pPr>
        <w:pStyle w:val="Notes"/>
        <w:rPr>
          <w:rFonts w:cs="Arial"/>
          <w:sz w:val="20"/>
          <w:szCs w:val="20"/>
        </w:rPr>
      </w:pPr>
      <w:r w:rsidRPr="009B7B35">
        <w:rPr>
          <w:rFonts w:cs="Arial"/>
          <w:sz w:val="20"/>
          <w:szCs w:val="20"/>
        </w:rPr>
        <w:t>Footnote</w:t>
      </w:r>
      <w:r w:rsidRPr="009B7B35">
        <w:rPr>
          <w:rStyle w:val="FootnoteReference"/>
          <w:rFonts w:cs="Arial"/>
          <w:sz w:val="20"/>
          <w:szCs w:val="20"/>
        </w:rPr>
        <w:footnoteReference w:id="1"/>
      </w:r>
      <w:r w:rsidRPr="009B7B35">
        <w:rPr>
          <w:rFonts w:cs="Arial"/>
          <w:sz w:val="20"/>
          <w:szCs w:val="20"/>
        </w:rPr>
        <w:t xml:space="preserve"> —See example at bottom of page.</w:t>
      </w:r>
    </w:p>
    <w:p w14:paraId="3452CDD4" w14:textId="77777777" w:rsidR="00BE36FB" w:rsidRPr="009B7B35" w:rsidRDefault="00BE36FB" w:rsidP="001A7107">
      <w:pPr>
        <w:pStyle w:val="Heading3"/>
        <w:rPr>
          <w:rFonts w:ascii="Arial" w:hAnsi="Arial"/>
          <w:sz w:val="20"/>
          <w:szCs w:val="20"/>
        </w:rPr>
      </w:pPr>
      <w:bookmarkStart w:id="48" w:name="_Toc390933056"/>
      <w:bookmarkStart w:id="49" w:name="_Toc390933214"/>
      <w:bookmarkStart w:id="50" w:name="_Toc390933546"/>
      <w:bookmarkStart w:id="51" w:name="_Toc390934081"/>
      <w:bookmarkStart w:id="52" w:name="_Toc390934387"/>
      <w:bookmarkStart w:id="53" w:name="_Toc390934555"/>
      <w:bookmarkStart w:id="54" w:name="_Toc390935027"/>
      <w:bookmarkStart w:id="55" w:name="_Toc205367283"/>
      <w:r w:rsidRPr="009B7B35">
        <w:rPr>
          <w:rFonts w:ascii="Arial" w:hAnsi="Arial"/>
          <w:sz w:val="20"/>
          <w:szCs w:val="20"/>
        </w:rPr>
        <w:t>Punctuation</w:t>
      </w:r>
      <w:bookmarkEnd w:id="48"/>
      <w:bookmarkEnd w:id="49"/>
      <w:bookmarkEnd w:id="50"/>
      <w:bookmarkEnd w:id="51"/>
      <w:bookmarkEnd w:id="52"/>
      <w:bookmarkEnd w:id="53"/>
      <w:bookmarkEnd w:id="54"/>
      <w:bookmarkEnd w:id="55"/>
    </w:p>
    <w:p w14:paraId="67AF002D" w14:textId="77777777" w:rsidR="00BE36FB" w:rsidRPr="009B7B35" w:rsidRDefault="00BE36FB" w:rsidP="00BE36FB">
      <w:pPr>
        <w:numPr>
          <w:ilvl w:val="0"/>
          <w:numId w:val="4"/>
        </w:numPr>
        <w:rPr>
          <w:rFonts w:ascii="Arial" w:hAnsi="Arial" w:cs="Arial"/>
          <w:sz w:val="20"/>
          <w:szCs w:val="20"/>
        </w:rPr>
      </w:pPr>
      <w:r w:rsidRPr="009B7B35">
        <w:rPr>
          <w:rFonts w:ascii="Arial" w:hAnsi="Arial" w:cs="Arial"/>
          <w:sz w:val="20"/>
          <w:szCs w:val="20"/>
        </w:rPr>
        <w:t>A word followed by ‘;’ or ‘, and’ is considered to be ‘and’</w:t>
      </w:r>
    </w:p>
    <w:p w14:paraId="3FA6A719" w14:textId="77777777" w:rsidR="00BE36FB" w:rsidRPr="009B7B35" w:rsidRDefault="00BE36FB" w:rsidP="00BE36FB">
      <w:pPr>
        <w:numPr>
          <w:ilvl w:val="0"/>
          <w:numId w:val="4"/>
        </w:numPr>
        <w:rPr>
          <w:rFonts w:ascii="Arial" w:hAnsi="Arial" w:cs="Arial"/>
          <w:sz w:val="20"/>
          <w:szCs w:val="20"/>
        </w:rPr>
      </w:pPr>
      <w:r w:rsidRPr="009B7B35">
        <w:rPr>
          <w:rFonts w:ascii="Arial" w:hAnsi="Arial" w:cs="Arial"/>
          <w:sz w:val="20"/>
          <w:szCs w:val="20"/>
        </w:rPr>
        <w:t>A word followed by ‘; or’ means either or both options can apply.</w:t>
      </w:r>
    </w:p>
    <w:p w14:paraId="7765415F" w14:textId="77777777" w:rsidR="00BE36FB" w:rsidRPr="009B7B35" w:rsidRDefault="00BE36FB" w:rsidP="001A7107">
      <w:pPr>
        <w:pStyle w:val="Heading3"/>
        <w:rPr>
          <w:rFonts w:ascii="Arial" w:hAnsi="Arial"/>
          <w:sz w:val="20"/>
          <w:szCs w:val="20"/>
        </w:rPr>
      </w:pPr>
      <w:bookmarkStart w:id="56" w:name="_Toc390933057"/>
      <w:bookmarkStart w:id="57" w:name="_Toc390933215"/>
      <w:bookmarkStart w:id="58" w:name="_Toc390933547"/>
      <w:bookmarkStart w:id="59" w:name="_Toc390934082"/>
      <w:bookmarkStart w:id="60" w:name="_Toc390934388"/>
      <w:bookmarkStart w:id="61" w:name="_Toc390934556"/>
      <w:bookmarkStart w:id="62" w:name="_Toc390935028"/>
      <w:bookmarkStart w:id="63" w:name="_Toc205367284"/>
      <w:r w:rsidRPr="009B7B35">
        <w:rPr>
          <w:rFonts w:ascii="Arial" w:hAnsi="Arial"/>
          <w:sz w:val="20"/>
          <w:szCs w:val="20"/>
        </w:rPr>
        <w:t>Zones for roads, closed roads, waterways and reclaimed land</w:t>
      </w:r>
      <w:bookmarkEnd w:id="56"/>
      <w:bookmarkEnd w:id="57"/>
      <w:bookmarkEnd w:id="58"/>
      <w:bookmarkEnd w:id="59"/>
      <w:bookmarkEnd w:id="60"/>
      <w:bookmarkEnd w:id="61"/>
      <w:bookmarkEnd w:id="62"/>
      <w:bookmarkEnd w:id="63"/>
    </w:p>
    <w:p w14:paraId="0289CACF" w14:textId="77777777" w:rsidR="00BE36FB" w:rsidRPr="009B7B35" w:rsidRDefault="00BE36FB" w:rsidP="00BE36FB">
      <w:pPr>
        <w:numPr>
          <w:ilvl w:val="0"/>
          <w:numId w:val="7"/>
        </w:numPr>
        <w:rPr>
          <w:rFonts w:ascii="Arial" w:hAnsi="Arial" w:cs="Arial"/>
          <w:sz w:val="20"/>
          <w:szCs w:val="20"/>
        </w:rPr>
      </w:pPr>
      <w:r w:rsidRPr="009B7B35">
        <w:rPr>
          <w:rFonts w:ascii="Arial" w:hAnsi="Arial" w:cs="Arial"/>
          <w:sz w:val="20"/>
          <w:szCs w:val="20"/>
        </w:rPr>
        <w:t>The following applies to a road, closed road, waterway or reclaimed land in the planning scheme area:</w:t>
      </w:r>
    </w:p>
    <w:p w14:paraId="7B360CE3" w14:textId="77777777" w:rsidR="00BE36FB" w:rsidRPr="009B7B35" w:rsidRDefault="00BE36FB" w:rsidP="00BE36FB">
      <w:pPr>
        <w:numPr>
          <w:ilvl w:val="1"/>
          <w:numId w:val="4"/>
        </w:numPr>
        <w:rPr>
          <w:rFonts w:ascii="Arial" w:hAnsi="Arial" w:cs="Arial"/>
          <w:sz w:val="20"/>
          <w:szCs w:val="20"/>
        </w:rPr>
      </w:pPr>
      <w:r w:rsidRPr="009B7B35">
        <w:rPr>
          <w:rFonts w:ascii="Arial" w:hAnsi="Arial" w:cs="Arial"/>
          <w:sz w:val="20"/>
          <w:szCs w:val="20"/>
        </w:rPr>
        <w:t>if adjoined on both sides by land in the same zone – the road, closed road, waterway or reclaimed land is in the same zone as the adjoining land</w:t>
      </w:r>
    </w:p>
    <w:p w14:paraId="63994851" w14:textId="77777777" w:rsidR="00BE36FB" w:rsidRPr="009B7B35" w:rsidRDefault="00BE36FB" w:rsidP="00BE36FB">
      <w:pPr>
        <w:numPr>
          <w:ilvl w:val="1"/>
          <w:numId w:val="4"/>
        </w:numPr>
        <w:rPr>
          <w:rFonts w:ascii="Arial" w:hAnsi="Arial" w:cs="Arial"/>
          <w:sz w:val="20"/>
          <w:szCs w:val="20"/>
        </w:rPr>
      </w:pPr>
      <w:r w:rsidRPr="009B7B35">
        <w:rPr>
          <w:rFonts w:ascii="Arial" w:hAnsi="Arial" w:cs="Arial"/>
          <w:sz w:val="20"/>
          <w:szCs w:val="20"/>
        </w:rPr>
        <w:t>if adjoined on one side by land in a zone and adjoined on the other side by land in another zone – the road, closed road, waterway or reclaimed land is in the same zone as the adjoining land when measured from a point equidistant from the adjoining boundaries</w:t>
      </w:r>
    </w:p>
    <w:p w14:paraId="0A7832E8" w14:textId="77777777" w:rsidR="00BE36FB" w:rsidRPr="009B7B35" w:rsidRDefault="00BE36FB" w:rsidP="00BE36FB">
      <w:pPr>
        <w:numPr>
          <w:ilvl w:val="1"/>
          <w:numId w:val="4"/>
        </w:numPr>
        <w:rPr>
          <w:rFonts w:ascii="Arial" w:hAnsi="Arial" w:cs="Arial"/>
          <w:sz w:val="20"/>
          <w:szCs w:val="20"/>
        </w:rPr>
      </w:pPr>
      <w:r w:rsidRPr="009B7B35">
        <w:rPr>
          <w:rFonts w:ascii="Arial" w:hAnsi="Arial" w:cs="Arial"/>
          <w:sz w:val="20"/>
          <w:szCs w:val="20"/>
        </w:rPr>
        <w:t>if the road, closed road, waterway or reclaimed land is adjoined on one side only by land in a zone – the entire waterway or reclaimed land is in the same zone as the adjoining land</w:t>
      </w:r>
    </w:p>
    <w:p w14:paraId="40459BD7" w14:textId="77777777" w:rsidR="00BE36FB" w:rsidRPr="009B7B35" w:rsidRDefault="00BE36FB" w:rsidP="00BE36FB">
      <w:pPr>
        <w:numPr>
          <w:ilvl w:val="1"/>
          <w:numId w:val="4"/>
        </w:numPr>
        <w:rPr>
          <w:rFonts w:ascii="Arial" w:hAnsi="Arial" w:cs="Arial"/>
          <w:sz w:val="20"/>
          <w:szCs w:val="20"/>
        </w:rPr>
      </w:pPr>
      <w:r w:rsidRPr="009B7B35">
        <w:rPr>
          <w:rFonts w:ascii="Arial" w:hAnsi="Arial" w:cs="Arial"/>
          <w:sz w:val="20"/>
          <w:szCs w:val="20"/>
        </w:rPr>
        <w:t>if the road, closed road, waterway or reclaimed land is covered by a zone then that zone applies.</w:t>
      </w:r>
    </w:p>
    <w:p w14:paraId="49784B5D" w14:textId="77777777" w:rsidR="00BE36FB" w:rsidRPr="009B7B35" w:rsidRDefault="00BE36FB" w:rsidP="001A7107">
      <w:pPr>
        <w:pStyle w:val="Notes"/>
        <w:rPr>
          <w:rFonts w:cs="Arial"/>
          <w:sz w:val="20"/>
          <w:szCs w:val="20"/>
        </w:rPr>
      </w:pPr>
      <w:r w:rsidRPr="009B7B35">
        <w:rPr>
          <w:rFonts w:cs="Arial"/>
          <w:sz w:val="20"/>
          <w:szCs w:val="20"/>
        </w:rPr>
        <w:lastRenderedPageBreak/>
        <w:t>Editor's note — The boundaries of the local government area are described by the maps referred to in the Local Government Regulation 2012.</w:t>
      </w:r>
    </w:p>
    <w:p w14:paraId="26F01AD5" w14:textId="77777777" w:rsidR="00BE36FB" w:rsidRPr="009B7B35" w:rsidRDefault="00BE36FB" w:rsidP="001A7107">
      <w:pPr>
        <w:pStyle w:val="Heading2"/>
        <w:rPr>
          <w:rFonts w:ascii="Arial" w:hAnsi="Arial"/>
          <w:sz w:val="20"/>
          <w:szCs w:val="20"/>
        </w:rPr>
      </w:pPr>
      <w:bookmarkStart w:id="64" w:name="_Toc390933058"/>
      <w:bookmarkStart w:id="65" w:name="_Toc390933216"/>
      <w:bookmarkStart w:id="66" w:name="_Toc390933548"/>
      <w:bookmarkStart w:id="67" w:name="_Toc390934083"/>
      <w:bookmarkStart w:id="68" w:name="_Toc390934389"/>
      <w:bookmarkStart w:id="69" w:name="_Toc390934557"/>
      <w:bookmarkStart w:id="70" w:name="_Toc390935029"/>
      <w:bookmarkStart w:id="71" w:name="_Toc205367285"/>
      <w:r w:rsidRPr="009B7B35">
        <w:rPr>
          <w:rFonts w:ascii="Arial" w:hAnsi="Arial"/>
          <w:sz w:val="20"/>
          <w:szCs w:val="20"/>
        </w:rPr>
        <w:t>Categories of development</w:t>
      </w:r>
      <w:bookmarkEnd w:id="64"/>
      <w:bookmarkEnd w:id="65"/>
      <w:bookmarkEnd w:id="66"/>
      <w:bookmarkEnd w:id="67"/>
      <w:bookmarkEnd w:id="68"/>
      <w:bookmarkEnd w:id="69"/>
      <w:bookmarkEnd w:id="70"/>
      <w:bookmarkEnd w:id="71"/>
    </w:p>
    <w:p w14:paraId="6442345E" w14:textId="77777777" w:rsidR="00BE36FB" w:rsidRPr="009B7B35" w:rsidRDefault="00BE36FB" w:rsidP="00BE36FB">
      <w:pPr>
        <w:numPr>
          <w:ilvl w:val="0"/>
          <w:numId w:val="6"/>
        </w:numPr>
        <w:rPr>
          <w:rFonts w:ascii="Arial" w:hAnsi="Arial" w:cs="Arial"/>
          <w:sz w:val="20"/>
          <w:szCs w:val="20"/>
        </w:rPr>
      </w:pPr>
      <w:r w:rsidRPr="009B7B35">
        <w:rPr>
          <w:rFonts w:ascii="Arial" w:hAnsi="Arial" w:cs="Arial"/>
          <w:sz w:val="20"/>
          <w:szCs w:val="20"/>
        </w:rPr>
        <w:t>The categories of development under the Act are:</w:t>
      </w:r>
    </w:p>
    <w:p w14:paraId="5ADFF5EE" w14:textId="77777777" w:rsidR="00BE36FB" w:rsidRPr="009B7B35" w:rsidRDefault="00BE36FB" w:rsidP="00BE36FB">
      <w:pPr>
        <w:numPr>
          <w:ilvl w:val="1"/>
          <w:numId w:val="5"/>
        </w:numPr>
        <w:rPr>
          <w:rFonts w:ascii="Arial" w:hAnsi="Arial" w:cs="Arial"/>
          <w:sz w:val="20"/>
          <w:szCs w:val="20"/>
        </w:rPr>
      </w:pPr>
      <w:r w:rsidRPr="009B7B35">
        <w:rPr>
          <w:rFonts w:ascii="Arial" w:hAnsi="Arial" w:cs="Arial"/>
          <w:sz w:val="20"/>
          <w:szCs w:val="20"/>
        </w:rPr>
        <w:t>accepted development</w:t>
      </w:r>
    </w:p>
    <w:p w14:paraId="5CEA87FF" w14:textId="77777777" w:rsidR="00BE36FB" w:rsidRPr="009B7B35" w:rsidRDefault="00BE36FB" w:rsidP="001A7107">
      <w:pPr>
        <w:pStyle w:val="Notes"/>
        <w:rPr>
          <w:rFonts w:cs="Arial"/>
          <w:sz w:val="20"/>
          <w:szCs w:val="20"/>
        </w:rPr>
      </w:pPr>
      <w:r w:rsidRPr="009B7B35">
        <w:rPr>
          <w:rFonts w:cs="Arial"/>
          <w:sz w:val="20"/>
          <w:szCs w:val="20"/>
        </w:rPr>
        <w:t xml:space="preserve">Editor's note — A development approval is not required for development that is accepted development. Under section 44(6)(a) of the Act, if a categorising instrument does not apply a category of development to a particular development, the development is accepted development. Schedule 7 of the Regulation also prescribes accepted development. </w:t>
      </w:r>
    </w:p>
    <w:p w14:paraId="2C7027FE" w14:textId="77777777" w:rsidR="00BE36FB" w:rsidRPr="009B7B35" w:rsidRDefault="00BE36FB" w:rsidP="00BE36FB">
      <w:pPr>
        <w:numPr>
          <w:ilvl w:val="1"/>
          <w:numId w:val="5"/>
        </w:numPr>
        <w:rPr>
          <w:rFonts w:ascii="Arial" w:hAnsi="Arial" w:cs="Arial"/>
          <w:sz w:val="20"/>
          <w:szCs w:val="20"/>
        </w:rPr>
      </w:pPr>
      <w:r w:rsidRPr="009B7B35">
        <w:rPr>
          <w:rFonts w:ascii="Arial" w:hAnsi="Arial" w:cs="Arial"/>
          <w:sz w:val="20"/>
          <w:szCs w:val="20"/>
        </w:rPr>
        <w:t>assessable development</w:t>
      </w:r>
    </w:p>
    <w:p w14:paraId="65BAF365" w14:textId="77777777" w:rsidR="00BE36FB" w:rsidRPr="009B7B35" w:rsidRDefault="00BE36FB" w:rsidP="00BE36FB">
      <w:pPr>
        <w:numPr>
          <w:ilvl w:val="0"/>
          <w:numId w:val="16"/>
        </w:numPr>
        <w:rPr>
          <w:rFonts w:ascii="Arial" w:hAnsi="Arial" w:cs="Arial"/>
          <w:sz w:val="20"/>
          <w:szCs w:val="20"/>
        </w:rPr>
      </w:pPr>
      <w:r w:rsidRPr="009B7B35">
        <w:rPr>
          <w:rFonts w:ascii="Arial" w:hAnsi="Arial" w:cs="Arial"/>
          <w:sz w:val="20"/>
          <w:szCs w:val="20"/>
        </w:rPr>
        <w:t xml:space="preserve">code assessment </w:t>
      </w:r>
    </w:p>
    <w:p w14:paraId="50184567" w14:textId="77777777" w:rsidR="00BE36FB" w:rsidRPr="009B7B35" w:rsidRDefault="00BE36FB" w:rsidP="00BE36FB">
      <w:pPr>
        <w:numPr>
          <w:ilvl w:val="0"/>
          <w:numId w:val="16"/>
        </w:numPr>
        <w:rPr>
          <w:rFonts w:ascii="Arial" w:hAnsi="Arial" w:cs="Arial"/>
          <w:sz w:val="20"/>
          <w:szCs w:val="20"/>
        </w:rPr>
      </w:pPr>
      <w:r w:rsidRPr="009B7B35">
        <w:rPr>
          <w:rFonts w:ascii="Arial" w:hAnsi="Arial" w:cs="Arial"/>
          <w:sz w:val="20"/>
          <w:szCs w:val="20"/>
        </w:rPr>
        <w:t>impact assessment</w:t>
      </w:r>
    </w:p>
    <w:p w14:paraId="4E2B66D8" w14:textId="77777777" w:rsidR="00BE36FB" w:rsidRPr="009B7B35" w:rsidRDefault="00BE36FB" w:rsidP="001A7107">
      <w:pPr>
        <w:pStyle w:val="Notes"/>
        <w:rPr>
          <w:rFonts w:cs="Arial"/>
          <w:sz w:val="20"/>
          <w:szCs w:val="20"/>
        </w:rPr>
      </w:pPr>
      <w:r w:rsidRPr="009B7B35">
        <w:rPr>
          <w:rFonts w:cs="Arial"/>
          <w:sz w:val="20"/>
          <w:szCs w:val="20"/>
        </w:rPr>
        <w:t xml:space="preserve">Editor's note — A development approval is required for assessable development. Schedules 9, 10 and 14 of the Regulation also prescribe assessable development. </w:t>
      </w:r>
    </w:p>
    <w:p w14:paraId="721551EB" w14:textId="77777777" w:rsidR="00BE36FB" w:rsidRPr="009B7B35" w:rsidRDefault="00BE36FB" w:rsidP="00BE36FB">
      <w:pPr>
        <w:numPr>
          <w:ilvl w:val="1"/>
          <w:numId w:val="5"/>
        </w:numPr>
        <w:rPr>
          <w:rFonts w:ascii="Arial" w:hAnsi="Arial" w:cs="Arial"/>
          <w:sz w:val="20"/>
          <w:szCs w:val="20"/>
        </w:rPr>
      </w:pPr>
      <w:r w:rsidRPr="009B7B35">
        <w:rPr>
          <w:rFonts w:ascii="Arial" w:hAnsi="Arial" w:cs="Arial"/>
          <w:sz w:val="20"/>
          <w:szCs w:val="20"/>
        </w:rPr>
        <w:t>prohibited development.</w:t>
      </w:r>
    </w:p>
    <w:p w14:paraId="36F4A254" w14:textId="77777777" w:rsidR="00BE36FB" w:rsidRPr="009B7B35" w:rsidRDefault="00BE36FB" w:rsidP="001A7107">
      <w:pPr>
        <w:pStyle w:val="Notes"/>
        <w:rPr>
          <w:rFonts w:cs="Arial"/>
          <w:sz w:val="20"/>
          <w:szCs w:val="20"/>
        </w:rPr>
      </w:pPr>
      <w:r w:rsidRPr="009B7B35">
        <w:rPr>
          <w:rFonts w:cs="Arial"/>
          <w:sz w:val="20"/>
          <w:szCs w:val="20"/>
        </w:rPr>
        <w:t xml:space="preserve">Editor's note — A development application may not be made for prohibited development. Schedule 10 Part 4 of the Regulation prescribes prohibited development. </w:t>
      </w:r>
    </w:p>
    <w:p w14:paraId="62043107" w14:textId="77777777" w:rsidR="00BE36FB" w:rsidRPr="009B7B35" w:rsidRDefault="00BE36FB" w:rsidP="00BE36FB">
      <w:pPr>
        <w:numPr>
          <w:ilvl w:val="0"/>
          <w:numId w:val="5"/>
        </w:numPr>
        <w:rPr>
          <w:rFonts w:ascii="Arial" w:hAnsi="Arial" w:cs="Arial"/>
          <w:sz w:val="20"/>
          <w:szCs w:val="20"/>
        </w:rPr>
      </w:pPr>
      <w:r w:rsidRPr="009B7B35">
        <w:rPr>
          <w:rFonts w:ascii="Arial" w:hAnsi="Arial" w:cs="Arial"/>
          <w:sz w:val="20"/>
          <w:szCs w:val="20"/>
        </w:rPr>
        <w:t>The planning scheme states the category of development for certain types of development, and specifies the category of assessment for assessable development in the planning scheme area in Part 5.</w:t>
      </w:r>
    </w:p>
    <w:p w14:paraId="55D9C271" w14:textId="77777777" w:rsidR="00BE36FB" w:rsidRPr="009B7B35" w:rsidRDefault="00BE36FB" w:rsidP="001A7107">
      <w:pPr>
        <w:spacing w:before="120" w:after="120"/>
        <w:rPr>
          <w:rFonts w:ascii="Arial" w:hAnsi="Arial" w:cs="Arial"/>
          <w:sz w:val="20"/>
          <w:szCs w:val="20"/>
        </w:rPr>
      </w:pPr>
      <w:r w:rsidRPr="009B7B35">
        <w:rPr>
          <w:rFonts w:ascii="Arial" w:hAnsi="Arial" w:cs="Arial"/>
          <w:sz w:val="20"/>
          <w:szCs w:val="20"/>
        </w:rPr>
        <w:t xml:space="preserve">Editor's note — Section 43 of the Act identifies that a categorising instrument categorises development and specifies categories of assessment and may be a regulation or local categorising instrument. A local categorising instrument includes a planning scheme, a TLPI or a variation approval. </w:t>
      </w:r>
    </w:p>
    <w:p w14:paraId="1E054E48" w14:textId="77777777" w:rsidR="00BE36FB" w:rsidRPr="009B7B35" w:rsidRDefault="00BE36FB" w:rsidP="001A7107">
      <w:pPr>
        <w:pStyle w:val="Heading2"/>
        <w:rPr>
          <w:rFonts w:ascii="Arial" w:hAnsi="Arial"/>
          <w:sz w:val="20"/>
          <w:szCs w:val="20"/>
        </w:rPr>
      </w:pPr>
      <w:bookmarkStart w:id="72" w:name="_Toc390933059"/>
      <w:bookmarkStart w:id="73" w:name="_Toc390933217"/>
      <w:bookmarkStart w:id="74" w:name="_Toc390933549"/>
      <w:bookmarkStart w:id="75" w:name="_Toc390934084"/>
      <w:bookmarkStart w:id="76" w:name="_Toc390934390"/>
      <w:bookmarkStart w:id="77" w:name="_Toc390934558"/>
      <w:bookmarkStart w:id="78" w:name="_Toc390935030"/>
      <w:bookmarkStart w:id="79" w:name="_Toc205367286"/>
      <w:r w:rsidRPr="009B7B35">
        <w:rPr>
          <w:rFonts w:ascii="Arial" w:hAnsi="Arial"/>
          <w:sz w:val="20"/>
          <w:szCs w:val="20"/>
        </w:rPr>
        <w:t xml:space="preserve">Hierarchy of assessment </w:t>
      </w:r>
      <w:bookmarkEnd w:id="72"/>
      <w:bookmarkEnd w:id="73"/>
      <w:bookmarkEnd w:id="74"/>
      <w:bookmarkEnd w:id="75"/>
      <w:bookmarkEnd w:id="76"/>
      <w:bookmarkEnd w:id="77"/>
      <w:bookmarkEnd w:id="78"/>
      <w:r w:rsidRPr="009B7B35">
        <w:rPr>
          <w:rFonts w:ascii="Arial" w:hAnsi="Arial"/>
          <w:sz w:val="20"/>
          <w:szCs w:val="20"/>
        </w:rPr>
        <w:t>benchmarks</w:t>
      </w:r>
      <w:bookmarkEnd w:id="79"/>
      <w:r w:rsidRPr="009B7B35">
        <w:rPr>
          <w:rFonts w:ascii="Arial" w:hAnsi="Arial"/>
          <w:sz w:val="20"/>
          <w:szCs w:val="20"/>
        </w:rPr>
        <w:t xml:space="preserve"> </w:t>
      </w:r>
    </w:p>
    <w:p w14:paraId="4C98E2D8" w14:textId="77777777" w:rsidR="00BE36FB" w:rsidRPr="009B7B35" w:rsidRDefault="00BE36FB" w:rsidP="00BE36FB">
      <w:pPr>
        <w:numPr>
          <w:ilvl w:val="0"/>
          <w:numId w:val="9"/>
        </w:numPr>
        <w:rPr>
          <w:rFonts w:ascii="Arial" w:hAnsi="Arial" w:cs="Arial"/>
          <w:sz w:val="20"/>
          <w:szCs w:val="20"/>
        </w:rPr>
      </w:pPr>
      <w:r w:rsidRPr="009B7B35">
        <w:rPr>
          <w:rFonts w:ascii="Arial" w:hAnsi="Arial" w:cs="Arial"/>
          <w:sz w:val="20"/>
          <w:szCs w:val="20"/>
        </w:rPr>
        <w:t>Where there is inconsistency between provisions in the planning scheme, the following rules apply:</w:t>
      </w:r>
    </w:p>
    <w:p w14:paraId="20434546" w14:textId="77777777" w:rsidR="00BE36FB" w:rsidRPr="009B7B35" w:rsidRDefault="00BE36FB" w:rsidP="00BE36FB">
      <w:pPr>
        <w:numPr>
          <w:ilvl w:val="1"/>
          <w:numId w:val="8"/>
        </w:numPr>
        <w:rPr>
          <w:rFonts w:ascii="Arial" w:hAnsi="Arial" w:cs="Arial"/>
          <w:sz w:val="20"/>
          <w:szCs w:val="20"/>
        </w:rPr>
      </w:pPr>
      <w:r w:rsidRPr="009B7B35">
        <w:rPr>
          <w:rFonts w:ascii="Arial" w:hAnsi="Arial" w:cs="Arial"/>
          <w:sz w:val="20"/>
          <w:szCs w:val="20"/>
        </w:rPr>
        <w:t xml:space="preserve">the strategic framework prevails over all other components to the extent of the inconsistency for impact assessment </w:t>
      </w:r>
    </w:p>
    <w:p w14:paraId="4FC548E0" w14:textId="77777777" w:rsidR="00BE36FB" w:rsidRPr="009B7B35" w:rsidRDefault="00BE36FB" w:rsidP="00BE36FB">
      <w:pPr>
        <w:numPr>
          <w:ilvl w:val="1"/>
          <w:numId w:val="8"/>
        </w:numPr>
        <w:rPr>
          <w:rFonts w:ascii="Arial" w:hAnsi="Arial" w:cs="Arial"/>
          <w:sz w:val="20"/>
          <w:szCs w:val="20"/>
        </w:rPr>
      </w:pPr>
      <w:r w:rsidRPr="009B7B35">
        <w:rPr>
          <w:rFonts w:ascii="Arial" w:hAnsi="Arial" w:cs="Arial"/>
          <w:sz w:val="20"/>
          <w:szCs w:val="20"/>
        </w:rPr>
        <w:t>relevant codes as specified in schedules 6 and 10 of the Regulation prevail over all other components to the extent of the inconsistency</w:t>
      </w:r>
    </w:p>
    <w:p w14:paraId="5E8986ED" w14:textId="77777777" w:rsidR="00BE36FB" w:rsidRPr="009B7B35" w:rsidRDefault="00BE36FB" w:rsidP="00BE36FB">
      <w:pPr>
        <w:numPr>
          <w:ilvl w:val="1"/>
          <w:numId w:val="8"/>
        </w:numPr>
        <w:rPr>
          <w:rFonts w:ascii="Arial" w:hAnsi="Arial" w:cs="Arial"/>
          <w:sz w:val="20"/>
          <w:szCs w:val="20"/>
        </w:rPr>
      </w:pPr>
      <w:r w:rsidRPr="009B7B35">
        <w:rPr>
          <w:rFonts w:ascii="Arial" w:hAnsi="Arial" w:cs="Arial"/>
          <w:sz w:val="20"/>
          <w:szCs w:val="20"/>
        </w:rPr>
        <w:t>overlays prevail over all other components (other than the matters mentioned in (a) and (b)) to the extent of the inconsistency</w:t>
      </w:r>
    </w:p>
    <w:p w14:paraId="5D0A0BDC" w14:textId="77777777" w:rsidR="00BE36FB" w:rsidRPr="009B7B35" w:rsidRDefault="00BE36FB" w:rsidP="00BE36FB">
      <w:pPr>
        <w:numPr>
          <w:ilvl w:val="1"/>
          <w:numId w:val="8"/>
        </w:numPr>
        <w:rPr>
          <w:rFonts w:ascii="Arial" w:hAnsi="Arial" w:cs="Arial"/>
          <w:sz w:val="20"/>
          <w:szCs w:val="20"/>
        </w:rPr>
      </w:pPr>
      <w:r w:rsidRPr="009B7B35">
        <w:rPr>
          <w:rFonts w:ascii="Arial" w:hAnsi="Arial" w:cs="Arial"/>
          <w:sz w:val="20"/>
          <w:szCs w:val="20"/>
        </w:rPr>
        <w:t>local plan codes prevail over zone codes, use codes and other development codes to the extent of the inconsistency</w:t>
      </w:r>
    </w:p>
    <w:p w14:paraId="6575E7FD" w14:textId="77777777" w:rsidR="00BE36FB" w:rsidRPr="009B7B35" w:rsidRDefault="00BE36FB" w:rsidP="00BE36FB">
      <w:pPr>
        <w:numPr>
          <w:ilvl w:val="1"/>
          <w:numId w:val="8"/>
        </w:numPr>
        <w:rPr>
          <w:rFonts w:ascii="Arial" w:hAnsi="Arial" w:cs="Arial"/>
          <w:sz w:val="20"/>
          <w:szCs w:val="20"/>
        </w:rPr>
      </w:pPr>
      <w:r w:rsidRPr="009B7B35">
        <w:rPr>
          <w:rFonts w:ascii="Arial" w:hAnsi="Arial" w:cs="Arial"/>
          <w:sz w:val="20"/>
          <w:szCs w:val="20"/>
        </w:rPr>
        <w:t>zone codes prevail over use codes and other development codes to the extent of the inconsistency</w:t>
      </w:r>
    </w:p>
    <w:p w14:paraId="7751B26B" w14:textId="77777777" w:rsidR="00BE36FB" w:rsidRPr="009B7B35" w:rsidRDefault="00BE36FB" w:rsidP="00BE36FB">
      <w:pPr>
        <w:numPr>
          <w:ilvl w:val="1"/>
          <w:numId w:val="8"/>
        </w:numPr>
        <w:rPr>
          <w:rFonts w:ascii="Arial" w:hAnsi="Arial" w:cs="Arial"/>
          <w:sz w:val="20"/>
          <w:szCs w:val="20"/>
        </w:rPr>
      </w:pPr>
      <w:r w:rsidRPr="009B7B35">
        <w:rPr>
          <w:rFonts w:ascii="Arial" w:hAnsi="Arial" w:cs="Arial"/>
          <w:sz w:val="20"/>
          <w:szCs w:val="20"/>
        </w:rPr>
        <w:t>provisions of Part 10 may override any of the above.</w:t>
      </w:r>
    </w:p>
    <w:p w14:paraId="1436A716" w14:textId="77777777" w:rsidR="00BE36FB" w:rsidRPr="009B7B35" w:rsidRDefault="00BE36FB" w:rsidP="001A7107">
      <w:pPr>
        <w:pStyle w:val="Heading2"/>
        <w:rPr>
          <w:rFonts w:ascii="Arial" w:hAnsi="Arial"/>
          <w:sz w:val="20"/>
          <w:szCs w:val="20"/>
        </w:rPr>
      </w:pPr>
      <w:bookmarkStart w:id="80" w:name="_Toc390933060"/>
      <w:bookmarkStart w:id="81" w:name="_Toc390933218"/>
      <w:bookmarkStart w:id="82" w:name="_Toc390933550"/>
      <w:bookmarkStart w:id="83" w:name="_Toc390934085"/>
      <w:bookmarkStart w:id="84" w:name="_Toc390934391"/>
      <w:bookmarkStart w:id="85" w:name="_Toc390934559"/>
      <w:bookmarkStart w:id="86" w:name="_Toc390935031"/>
      <w:bookmarkStart w:id="87" w:name="_Toc205367287"/>
      <w:r w:rsidRPr="009B7B35">
        <w:rPr>
          <w:rFonts w:ascii="Arial" w:hAnsi="Arial"/>
          <w:sz w:val="20"/>
          <w:szCs w:val="20"/>
        </w:rPr>
        <w:t>Building work regulated under the planning scheme</w:t>
      </w:r>
      <w:bookmarkEnd w:id="80"/>
      <w:bookmarkEnd w:id="81"/>
      <w:bookmarkEnd w:id="82"/>
      <w:bookmarkEnd w:id="83"/>
      <w:bookmarkEnd w:id="84"/>
      <w:bookmarkEnd w:id="85"/>
      <w:bookmarkEnd w:id="86"/>
      <w:bookmarkEnd w:id="87"/>
    </w:p>
    <w:p w14:paraId="0FB4C658" w14:textId="77777777" w:rsidR="00BE36FB" w:rsidRPr="009B7B35" w:rsidRDefault="00BE36FB" w:rsidP="00BE36FB">
      <w:pPr>
        <w:numPr>
          <w:ilvl w:val="0"/>
          <w:numId w:val="14"/>
        </w:numPr>
        <w:rPr>
          <w:rFonts w:ascii="Arial" w:hAnsi="Arial" w:cs="Arial"/>
          <w:sz w:val="20"/>
          <w:szCs w:val="20"/>
        </w:rPr>
      </w:pPr>
      <w:r w:rsidRPr="009B7B35">
        <w:rPr>
          <w:rFonts w:ascii="Arial" w:hAnsi="Arial" w:cs="Arial"/>
          <w:sz w:val="20"/>
          <w:szCs w:val="20"/>
        </w:rPr>
        <w:t>Section 17(b) of the Regulation identifies that assessment benchmarks for building work that a local planning instrument must not change the effect to the extent the building work is regulated under the building assessment provisions, unless permitted under the Building Act 1975.</w:t>
      </w:r>
    </w:p>
    <w:p w14:paraId="2529DF29" w14:textId="77777777" w:rsidR="00BE36FB" w:rsidRPr="009B7B35" w:rsidRDefault="00BE36FB" w:rsidP="00BE36FB">
      <w:pPr>
        <w:numPr>
          <w:ilvl w:val="0"/>
          <w:numId w:val="14"/>
        </w:numPr>
        <w:rPr>
          <w:rFonts w:ascii="Arial" w:hAnsi="Arial" w:cs="Arial"/>
          <w:sz w:val="20"/>
          <w:szCs w:val="20"/>
        </w:rPr>
      </w:pPr>
      <w:r w:rsidRPr="009B7B35">
        <w:rPr>
          <w:rFonts w:ascii="Arial" w:hAnsi="Arial" w:cs="Arial"/>
          <w:sz w:val="20"/>
          <w:szCs w:val="20"/>
        </w:rPr>
        <w:t>The building assessment provisions are listed in section 30 of the Building Act 1975.</w:t>
      </w:r>
    </w:p>
    <w:p w14:paraId="5262DC6B" w14:textId="77777777" w:rsidR="00BE36FB" w:rsidRPr="009B7B35" w:rsidRDefault="00BE36FB" w:rsidP="001A7107">
      <w:pPr>
        <w:pStyle w:val="Notes"/>
        <w:rPr>
          <w:rFonts w:cs="Arial"/>
          <w:sz w:val="20"/>
          <w:szCs w:val="20"/>
        </w:rPr>
      </w:pPr>
      <w:r w:rsidRPr="009B7B35">
        <w:rPr>
          <w:rFonts w:cs="Arial"/>
          <w:sz w:val="20"/>
          <w:szCs w:val="20"/>
        </w:rPr>
        <w:t xml:space="preserve">Editor's note—The building assessment provisions are stated in section 30 of the Building Act 1975 and are assessment benchmarks for the carrying out of building assessment work or building work that is accepted development subject to any requirements (see also section 31 of the Building Act 1975). </w:t>
      </w:r>
    </w:p>
    <w:p w14:paraId="35AEDB60" w14:textId="77777777" w:rsidR="00BE36FB" w:rsidRPr="009B7B35" w:rsidRDefault="00BE36FB" w:rsidP="00BE36FB">
      <w:pPr>
        <w:numPr>
          <w:ilvl w:val="0"/>
          <w:numId w:val="14"/>
        </w:numPr>
        <w:rPr>
          <w:rFonts w:ascii="Arial" w:hAnsi="Arial" w:cs="Arial"/>
          <w:sz w:val="20"/>
          <w:szCs w:val="20"/>
        </w:rPr>
      </w:pPr>
      <w:r w:rsidRPr="009B7B35">
        <w:rPr>
          <w:rFonts w:ascii="Arial" w:hAnsi="Arial" w:cs="Arial"/>
          <w:sz w:val="20"/>
          <w:szCs w:val="20"/>
        </w:rPr>
        <w:t xml:space="preserve">This planning scheme, through Part 5, regulates building work in accordance with sections 32 and 33 of the </w:t>
      </w:r>
      <w:r w:rsidRPr="009B7B35">
        <w:rPr>
          <w:rFonts w:ascii="Arial" w:hAnsi="Arial" w:cs="Arial"/>
          <w:i/>
          <w:sz w:val="20"/>
          <w:szCs w:val="20"/>
        </w:rPr>
        <w:t>Building Act 1975.</w:t>
      </w:r>
    </w:p>
    <w:p w14:paraId="1022B7F0" w14:textId="77777777" w:rsidR="00BE36FB" w:rsidRPr="009B7B35" w:rsidRDefault="00BE36FB" w:rsidP="001A7107">
      <w:pPr>
        <w:pStyle w:val="Notes"/>
        <w:rPr>
          <w:rFonts w:cs="Arial"/>
          <w:sz w:val="20"/>
          <w:szCs w:val="20"/>
        </w:rPr>
      </w:pPr>
      <w:r w:rsidRPr="009B7B35">
        <w:rPr>
          <w:rFonts w:cs="Arial"/>
          <w:sz w:val="20"/>
          <w:szCs w:val="20"/>
        </w:rPr>
        <w:lastRenderedPageBreak/>
        <w:t xml:space="preserve">Editor's note—The </w:t>
      </w:r>
      <w:r w:rsidRPr="009B7B35">
        <w:rPr>
          <w:rFonts w:cs="Arial"/>
          <w:i/>
          <w:sz w:val="20"/>
          <w:szCs w:val="20"/>
        </w:rPr>
        <w:t>Building Act 1975</w:t>
      </w:r>
      <w:r w:rsidRPr="009B7B35">
        <w:rPr>
          <w:rFonts w:cs="Arial"/>
          <w:sz w:val="20"/>
          <w:szCs w:val="20"/>
        </w:rPr>
        <w:t xml:space="preserve"> permits planning schemes to:</w:t>
      </w:r>
    </w:p>
    <w:p w14:paraId="1EF71F4C" w14:textId="77777777" w:rsidR="00BE36FB" w:rsidRPr="009B7B35" w:rsidRDefault="00BE36FB" w:rsidP="001A7107">
      <w:pPr>
        <w:pStyle w:val="Notesbullet"/>
        <w:rPr>
          <w:rFonts w:cs="Arial"/>
          <w:sz w:val="20"/>
          <w:szCs w:val="20"/>
        </w:rPr>
      </w:pPr>
      <w:r w:rsidRPr="009B7B35">
        <w:rPr>
          <w:rFonts w:cs="Arial"/>
          <w:sz w:val="20"/>
          <w:szCs w:val="20"/>
        </w:rPr>
        <w:t xml:space="preserve">regulate, for the Building Code of Australia (BCA) or the Queensland Development Code (QDC), matters prescribed under a regulation under the </w:t>
      </w:r>
      <w:r w:rsidRPr="009B7B35">
        <w:rPr>
          <w:rFonts w:cs="Arial"/>
          <w:i/>
          <w:sz w:val="20"/>
          <w:szCs w:val="20"/>
        </w:rPr>
        <w:t xml:space="preserve">Building Act 1975 </w:t>
      </w:r>
      <w:r w:rsidRPr="009B7B35">
        <w:rPr>
          <w:rFonts w:cs="Arial"/>
          <w:sz w:val="20"/>
          <w:szCs w:val="20"/>
        </w:rPr>
        <w:t>(section 32). These include variations to provisions contained in parts MP1.1, MP 1.2 and MP 1.3 of the QDC such as heights of buildings related to obstruction and overshadowing, siting and design of buildings to provide visual privacy and adequate sight lines, on–site parking and outdoor living spaces. It may also regulate other matters, such as designating land liable to flooding, designating land as bushfire prone areas and transport noise corridors</w:t>
      </w:r>
    </w:p>
    <w:p w14:paraId="0978676D" w14:textId="77777777" w:rsidR="00BE36FB" w:rsidRPr="009B7B35" w:rsidRDefault="00BE36FB" w:rsidP="001A7107">
      <w:pPr>
        <w:pStyle w:val="Notesbullet"/>
        <w:rPr>
          <w:rFonts w:cs="Arial"/>
          <w:sz w:val="20"/>
          <w:szCs w:val="20"/>
        </w:rPr>
      </w:pPr>
      <w:r w:rsidRPr="009B7B35">
        <w:rPr>
          <w:rFonts w:cs="Arial"/>
          <w:sz w:val="20"/>
          <w:szCs w:val="20"/>
        </w:rPr>
        <w:t xml:space="preserve">deal with an aspect of, or matter related or incidental to building work prescribed under a regulation under section 32 of the </w:t>
      </w:r>
      <w:r w:rsidRPr="009B7B35">
        <w:rPr>
          <w:rFonts w:cs="Arial"/>
          <w:i/>
          <w:sz w:val="20"/>
          <w:szCs w:val="20"/>
        </w:rPr>
        <w:t>Building Act 1975</w:t>
      </w:r>
    </w:p>
    <w:p w14:paraId="6B2478A4" w14:textId="77777777" w:rsidR="00BE36FB" w:rsidRPr="009B7B35" w:rsidRDefault="00BE36FB" w:rsidP="001A7107">
      <w:pPr>
        <w:pStyle w:val="Notesbullet"/>
        <w:rPr>
          <w:rFonts w:cs="Arial"/>
          <w:sz w:val="20"/>
          <w:szCs w:val="20"/>
        </w:rPr>
      </w:pPr>
      <w:r w:rsidRPr="009B7B35">
        <w:rPr>
          <w:rFonts w:cs="Arial"/>
          <w:sz w:val="20"/>
          <w:szCs w:val="20"/>
        </w:rPr>
        <w:t xml:space="preserve">specify alternative boundary clearances and site cover provisions for Class 1 and 10 structures under section 33 of the </w:t>
      </w:r>
      <w:r w:rsidRPr="009B7B35">
        <w:rPr>
          <w:rFonts w:cs="Arial"/>
          <w:i/>
          <w:sz w:val="20"/>
          <w:szCs w:val="20"/>
        </w:rPr>
        <w:t>Building Act 1975</w:t>
      </w:r>
      <w:r w:rsidRPr="009B7B35">
        <w:rPr>
          <w:rFonts w:cs="Arial"/>
          <w:sz w:val="20"/>
          <w:szCs w:val="20"/>
        </w:rPr>
        <w:t>.</w:t>
      </w:r>
    </w:p>
    <w:p w14:paraId="713526AF" w14:textId="77777777" w:rsidR="00BE36FB" w:rsidRPr="009B7B35" w:rsidRDefault="00BE36FB" w:rsidP="001A7107">
      <w:pPr>
        <w:pStyle w:val="Notes"/>
        <w:rPr>
          <w:rFonts w:cs="Arial"/>
          <w:sz w:val="20"/>
          <w:szCs w:val="20"/>
        </w:rPr>
      </w:pPr>
      <w:r w:rsidRPr="009B7B35">
        <w:rPr>
          <w:rFonts w:cs="Arial"/>
          <w:sz w:val="20"/>
          <w:szCs w:val="20"/>
        </w:rPr>
        <w:t xml:space="preserve">Refer to Schedule 9 of the Regulation to determine assessable development, the type of assessment and any referrals applying to the building work. </w:t>
      </w:r>
    </w:p>
    <w:p w14:paraId="1F19F233" w14:textId="77777777" w:rsidR="00BE36FB" w:rsidRPr="009B7B35" w:rsidRDefault="00BE36FB" w:rsidP="00BE36FB">
      <w:pPr>
        <w:numPr>
          <w:ilvl w:val="0"/>
          <w:numId w:val="14"/>
        </w:numPr>
        <w:rPr>
          <w:rFonts w:ascii="Arial" w:hAnsi="Arial" w:cs="Arial"/>
          <w:sz w:val="20"/>
          <w:szCs w:val="20"/>
        </w:rPr>
      </w:pPr>
      <w:r w:rsidRPr="009B7B35">
        <w:rPr>
          <w:rFonts w:ascii="Arial" w:hAnsi="Arial" w:cs="Arial"/>
          <w:sz w:val="20"/>
          <w:szCs w:val="20"/>
        </w:rPr>
        <w:t>The building assessment provisions are contained in the following parts of this planning scheme:</w:t>
      </w:r>
    </w:p>
    <w:p w14:paraId="416D5449" w14:textId="77777777" w:rsidR="00BE36FB" w:rsidRPr="009B7B35" w:rsidRDefault="00BE36FB" w:rsidP="001A7107">
      <w:pPr>
        <w:rPr>
          <w:rFonts w:ascii="Arial" w:hAnsi="Arial" w:cs="Arial"/>
          <w:sz w:val="20"/>
          <w:szCs w:val="20"/>
        </w:rPr>
      </w:pPr>
    </w:p>
    <w:tbl>
      <w:tblPr>
        <w:tblStyle w:val="Tablestyle"/>
        <w:tblW w:w="0" w:type="auto"/>
        <w:tblLook w:val="04A0" w:firstRow="1" w:lastRow="0" w:firstColumn="1" w:lastColumn="0" w:noHBand="0" w:noVBand="1"/>
      </w:tblPr>
      <w:tblGrid>
        <w:gridCol w:w="4937"/>
        <w:gridCol w:w="3426"/>
      </w:tblGrid>
      <w:tr w:rsidR="00BE36FB" w:rsidRPr="009B7B35" w14:paraId="106FBF19"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1A47527B" w14:textId="77777777" w:rsidR="00BE36FB" w:rsidRPr="009B7B35" w:rsidRDefault="00BE36FB" w:rsidP="001A7107">
            <w:pPr>
              <w:pStyle w:val="TableText"/>
              <w:rPr>
                <w:rFonts w:cs="Arial"/>
              </w:rPr>
            </w:pPr>
            <w:r w:rsidRPr="009B7B35">
              <w:rPr>
                <w:rFonts w:cs="Arial"/>
              </w:rPr>
              <w:t>Building assessment matter addressed in the planning scheme</w:t>
            </w:r>
          </w:p>
        </w:tc>
        <w:tc>
          <w:tcPr>
            <w:tcW w:w="3827" w:type="dxa"/>
          </w:tcPr>
          <w:p w14:paraId="3D3409FB"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Relevant section of the planning scheme</w:t>
            </w:r>
          </w:p>
        </w:tc>
      </w:tr>
      <w:tr w:rsidR="00BE36FB" w:rsidRPr="009B7B35" w14:paraId="4B20911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2A02DE8D" w14:textId="77777777" w:rsidR="00BE36FB" w:rsidRPr="009B7B35" w:rsidRDefault="00BE36FB" w:rsidP="001A7107">
            <w:pPr>
              <w:pStyle w:val="Tableheading"/>
              <w:rPr>
                <w:rFonts w:ascii="Arial" w:hAnsi="Arial" w:cs="Arial"/>
                <w:szCs w:val="20"/>
              </w:rPr>
            </w:pPr>
            <w:r w:rsidRPr="009B7B35">
              <w:rPr>
                <w:rFonts w:ascii="Arial" w:hAnsi="Arial" w:cs="Arial"/>
                <w:szCs w:val="20"/>
              </w:rPr>
              <w:t>Flood hazard</w:t>
            </w:r>
          </w:p>
        </w:tc>
      </w:tr>
      <w:tr w:rsidR="00BE36FB" w:rsidRPr="009B7B35" w14:paraId="0D5625B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B6B7008" w14:textId="77777777" w:rsidR="00BE36FB" w:rsidRPr="009B7B35" w:rsidRDefault="00BE36FB" w:rsidP="001A7107">
            <w:pPr>
              <w:pStyle w:val="TableText"/>
              <w:rPr>
                <w:rFonts w:cs="Arial"/>
              </w:rPr>
            </w:pPr>
            <w:r w:rsidRPr="009B7B35">
              <w:rPr>
                <w:rFonts w:cs="Arial"/>
              </w:rPr>
              <w:t>Identification of part of the planning scheme area as a natural hazard management area (flood).</w:t>
            </w:r>
          </w:p>
        </w:tc>
        <w:tc>
          <w:tcPr>
            <w:tcW w:w="3827" w:type="dxa"/>
          </w:tcPr>
          <w:p w14:paraId="23B5B7B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Schedule 2 Flood hazard overlay maps.</w:t>
            </w:r>
          </w:p>
        </w:tc>
      </w:tr>
      <w:tr w:rsidR="00BE36FB" w:rsidRPr="009B7B35" w14:paraId="09EBE1E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3CF20B2A" w14:textId="77777777" w:rsidR="00BE36FB" w:rsidRPr="009B7B35" w:rsidRDefault="00BE36FB" w:rsidP="001A7107">
            <w:pPr>
              <w:pStyle w:val="TableText"/>
              <w:rPr>
                <w:rFonts w:cs="Arial"/>
              </w:rPr>
            </w:pPr>
            <w:r w:rsidRPr="009B7B35">
              <w:rPr>
                <w:rFonts w:cs="Arial"/>
              </w:rPr>
              <w:t>Identification of the level to which floor levels of habitable rooms of a building must be built.</w:t>
            </w:r>
          </w:p>
        </w:tc>
        <w:tc>
          <w:tcPr>
            <w:tcW w:w="3827" w:type="dxa"/>
          </w:tcPr>
          <w:p w14:paraId="2CA325B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Section 8.2.7 Flood hazard overlay code.</w:t>
            </w:r>
          </w:p>
        </w:tc>
      </w:tr>
      <w:tr w:rsidR="00BE36FB" w:rsidRPr="009B7B35" w14:paraId="5EBA5C8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39467319" w14:textId="77777777" w:rsidR="00BE36FB" w:rsidRPr="009B7B35" w:rsidRDefault="00BE36FB" w:rsidP="001A7107">
            <w:pPr>
              <w:pStyle w:val="Tableheading"/>
              <w:rPr>
                <w:rFonts w:ascii="Arial" w:hAnsi="Arial" w:cs="Arial"/>
                <w:szCs w:val="20"/>
              </w:rPr>
            </w:pPr>
            <w:r w:rsidRPr="009B7B35">
              <w:rPr>
                <w:rFonts w:ascii="Arial" w:hAnsi="Arial" w:cs="Arial"/>
                <w:szCs w:val="20"/>
              </w:rPr>
              <w:t>Bushfire hazard</w:t>
            </w:r>
          </w:p>
        </w:tc>
      </w:tr>
      <w:tr w:rsidR="00BE36FB" w:rsidRPr="009B7B35" w14:paraId="55DB621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2E7D583A" w14:textId="77777777" w:rsidR="00BE36FB" w:rsidRPr="009B7B35" w:rsidRDefault="00BE36FB" w:rsidP="001A7107">
            <w:pPr>
              <w:pStyle w:val="TableText"/>
              <w:rPr>
                <w:rFonts w:cs="Arial"/>
              </w:rPr>
            </w:pPr>
            <w:r w:rsidRPr="009B7B35">
              <w:rPr>
                <w:rFonts w:cs="Arial"/>
              </w:rPr>
              <w:t>Designation of part of the planning scheme area as a designated bushfire prone area for the NCC and the QDC.</w:t>
            </w:r>
          </w:p>
        </w:tc>
        <w:tc>
          <w:tcPr>
            <w:tcW w:w="3827" w:type="dxa"/>
          </w:tcPr>
          <w:p w14:paraId="19AE7C1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Schedule 2 Bushfire hazard overlay maps (medium hazard, high hazard and very high bushfire areas).</w:t>
            </w:r>
          </w:p>
        </w:tc>
      </w:tr>
    </w:tbl>
    <w:p w14:paraId="5C4EB6C3" w14:textId="77777777" w:rsidR="00BE36FB" w:rsidRPr="009B7B35" w:rsidRDefault="00BE36FB" w:rsidP="001A7107">
      <w:pPr>
        <w:pStyle w:val="Notes"/>
        <w:rPr>
          <w:rFonts w:cs="Arial"/>
          <w:sz w:val="20"/>
          <w:szCs w:val="20"/>
        </w:rPr>
      </w:pPr>
      <w:r w:rsidRPr="009B7B35">
        <w:rPr>
          <w:rFonts w:cs="Arial"/>
          <w:sz w:val="20"/>
          <w:szCs w:val="20"/>
        </w:rPr>
        <w:t xml:space="preserve">Editor's note — A decision in relation to building work that is assessable development under the planning scheme should only be issued as a preliminary approval. See section 83(b) of the </w:t>
      </w:r>
      <w:r w:rsidRPr="009B7B35">
        <w:rPr>
          <w:rFonts w:cs="Arial"/>
          <w:i/>
          <w:sz w:val="20"/>
          <w:szCs w:val="20"/>
        </w:rPr>
        <w:t>Building Act 1975</w:t>
      </w:r>
      <w:r w:rsidRPr="009B7B35">
        <w:rPr>
          <w:rFonts w:cs="Arial"/>
          <w:sz w:val="20"/>
          <w:szCs w:val="20"/>
        </w:rPr>
        <w:t xml:space="preserve">. </w:t>
      </w:r>
    </w:p>
    <w:p w14:paraId="52C64FB3" w14:textId="77777777" w:rsidR="00BE36FB" w:rsidRPr="009B7B35" w:rsidRDefault="00BE36FB" w:rsidP="001A7107">
      <w:pPr>
        <w:pStyle w:val="Notes"/>
        <w:rPr>
          <w:rFonts w:cs="Arial"/>
          <w:sz w:val="20"/>
          <w:szCs w:val="20"/>
        </w:rPr>
      </w:pPr>
      <w:r w:rsidRPr="009B7B35">
        <w:rPr>
          <w:rFonts w:cs="Arial"/>
          <w:sz w:val="20"/>
          <w:szCs w:val="20"/>
        </w:rPr>
        <w:t xml:space="preserve">Editor's note — In a development application, the applicant may request preliminary approval for building work. The decision on that development application can also be taken to be a referral agency’s response under section 56 of the Act, for building work assessable against the </w:t>
      </w:r>
      <w:r w:rsidRPr="009B7B35">
        <w:rPr>
          <w:rFonts w:cs="Arial"/>
          <w:i/>
          <w:sz w:val="20"/>
          <w:szCs w:val="20"/>
        </w:rPr>
        <w:t>Building Act 1975</w:t>
      </w:r>
      <w:r w:rsidRPr="009B7B35">
        <w:rPr>
          <w:rFonts w:cs="Arial"/>
          <w:sz w:val="20"/>
          <w:szCs w:val="20"/>
        </w:rPr>
        <w:t>. The decision notice must state this.</w:t>
      </w:r>
    </w:p>
    <w:p w14:paraId="1CEC5F58" w14:textId="77777777" w:rsidR="00BE36FB" w:rsidRPr="009B7B35" w:rsidRDefault="00BE36FB" w:rsidP="001A7107">
      <w:pPr>
        <w:pStyle w:val="Heading2"/>
        <w:rPr>
          <w:rFonts w:ascii="Arial" w:hAnsi="Arial"/>
          <w:sz w:val="20"/>
          <w:szCs w:val="20"/>
        </w:rPr>
      </w:pPr>
      <w:bookmarkStart w:id="88" w:name="_Toc390933061"/>
      <w:bookmarkStart w:id="89" w:name="_Toc390933219"/>
      <w:bookmarkStart w:id="90" w:name="_Toc390933551"/>
      <w:bookmarkStart w:id="91" w:name="_Toc390934086"/>
      <w:bookmarkStart w:id="92" w:name="_Toc390934392"/>
      <w:bookmarkStart w:id="93" w:name="_Toc390934560"/>
      <w:bookmarkStart w:id="94" w:name="_Toc390935032"/>
      <w:bookmarkStart w:id="95" w:name="_Toc205367288"/>
      <w:r w:rsidRPr="009B7B35">
        <w:rPr>
          <w:rFonts w:ascii="Arial" w:hAnsi="Arial"/>
          <w:sz w:val="20"/>
          <w:szCs w:val="20"/>
        </w:rPr>
        <w:t>Local government administrative matters</w:t>
      </w:r>
      <w:bookmarkEnd w:id="88"/>
      <w:bookmarkEnd w:id="89"/>
      <w:bookmarkEnd w:id="90"/>
      <w:bookmarkEnd w:id="91"/>
      <w:bookmarkEnd w:id="92"/>
      <w:bookmarkEnd w:id="93"/>
      <w:bookmarkEnd w:id="94"/>
      <w:bookmarkEnd w:id="95"/>
    </w:p>
    <w:p w14:paraId="33127A3A" w14:textId="77777777" w:rsidR="00BE36FB" w:rsidRPr="009B7B35" w:rsidRDefault="00BE36FB" w:rsidP="001A7107">
      <w:pPr>
        <w:rPr>
          <w:rFonts w:ascii="Arial" w:hAnsi="Arial" w:cs="Arial"/>
          <w:sz w:val="20"/>
          <w:szCs w:val="20"/>
        </w:rPr>
      </w:pPr>
      <w:r w:rsidRPr="009B7B35">
        <w:rPr>
          <w:rFonts w:ascii="Arial" w:hAnsi="Arial" w:cs="Arial"/>
          <w:sz w:val="20"/>
          <w:szCs w:val="20"/>
        </w:rPr>
        <w:t>There are no local government administrative matters for the planning scheme.</w:t>
      </w:r>
    </w:p>
    <w:p w14:paraId="66E7D2F1" w14:textId="77777777" w:rsidR="009B7B35" w:rsidRDefault="009B7B35">
      <w:pPr>
        <w:rPr>
          <w:rFonts w:ascii="Arial" w:hAnsi="Arial" w:cs="Arial"/>
          <w:b/>
          <w:bCs/>
          <w:kern w:val="32"/>
          <w:sz w:val="20"/>
          <w:szCs w:val="20"/>
          <w:lang w:eastAsia="en-US"/>
        </w:rPr>
      </w:pPr>
      <w:r>
        <w:rPr>
          <w:rFonts w:ascii="Arial" w:hAnsi="Arial"/>
          <w:sz w:val="20"/>
          <w:szCs w:val="20"/>
        </w:rPr>
        <w:br w:type="page"/>
      </w:r>
    </w:p>
    <w:p w14:paraId="66945984" w14:textId="77777777" w:rsidR="00BE36FB" w:rsidRPr="009B7B35" w:rsidRDefault="00BE36FB" w:rsidP="001A7107">
      <w:pPr>
        <w:pStyle w:val="Heading1"/>
        <w:rPr>
          <w:rFonts w:ascii="Arial" w:hAnsi="Arial"/>
          <w:sz w:val="20"/>
          <w:szCs w:val="20"/>
        </w:rPr>
      </w:pPr>
      <w:bookmarkStart w:id="96" w:name="_Toc205367289"/>
      <w:r w:rsidRPr="009B7B35">
        <w:rPr>
          <w:rFonts w:ascii="Arial" w:hAnsi="Arial"/>
          <w:sz w:val="20"/>
          <w:szCs w:val="20"/>
        </w:rPr>
        <w:lastRenderedPageBreak/>
        <w:t>State planning provisions</w:t>
      </w:r>
      <w:bookmarkEnd w:id="96"/>
    </w:p>
    <w:p w14:paraId="643B015B" w14:textId="77777777" w:rsidR="00BE36FB" w:rsidRPr="009B7B35" w:rsidRDefault="00BE36FB" w:rsidP="001A7107">
      <w:pPr>
        <w:pStyle w:val="Heading2"/>
        <w:rPr>
          <w:rFonts w:ascii="Arial" w:hAnsi="Arial"/>
          <w:sz w:val="20"/>
          <w:szCs w:val="20"/>
        </w:rPr>
      </w:pPr>
      <w:bookmarkStart w:id="97" w:name="_Toc205367290"/>
      <w:r w:rsidRPr="009B7B35">
        <w:rPr>
          <w:rFonts w:ascii="Arial" w:hAnsi="Arial"/>
          <w:sz w:val="20"/>
          <w:szCs w:val="20"/>
        </w:rPr>
        <w:t>State planning policy</w:t>
      </w:r>
      <w:bookmarkEnd w:id="97"/>
    </w:p>
    <w:p w14:paraId="46AFE92F" w14:textId="77777777" w:rsidR="00BE36FB" w:rsidRPr="009B7B35" w:rsidRDefault="00BE36FB" w:rsidP="001A7107">
      <w:pPr>
        <w:rPr>
          <w:rFonts w:ascii="Arial" w:hAnsi="Arial" w:cs="Arial"/>
          <w:sz w:val="20"/>
          <w:szCs w:val="20"/>
        </w:rPr>
      </w:pPr>
      <w:r w:rsidRPr="009B7B35">
        <w:rPr>
          <w:rFonts w:ascii="Arial" w:hAnsi="Arial" w:cs="Arial"/>
          <w:sz w:val="20"/>
          <w:szCs w:val="20"/>
        </w:rPr>
        <w:t>The Minister has identified that the state planning policy July 2014 is integrated in the planning scheme in the following ways:</w:t>
      </w:r>
    </w:p>
    <w:p w14:paraId="659183D8" w14:textId="77777777" w:rsidR="00BE36FB" w:rsidRPr="009B7B35" w:rsidRDefault="00BE36FB" w:rsidP="001A7107">
      <w:pPr>
        <w:rPr>
          <w:rFonts w:ascii="Arial" w:hAnsi="Arial" w:cs="Arial"/>
          <w:sz w:val="20"/>
          <w:szCs w:val="20"/>
        </w:rPr>
      </w:pPr>
    </w:p>
    <w:p w14:paraId="1A7BD228" w14:textId="77777777" w:rsidR="00BE36FB" w:rsidRPr="009B7B35" w:rsidRDefault="00BE36FB" w:rsidP="001A7107">
      <w:pPr>
        <w:rPr>
          <w:rStyle w:val="Strong"/>
          <w:rFonts w:ascii="Arial" w:eastAsiaTheme="majorEastAsia" w:hAnsi="Arial" w:cs="Arial"/>
          <w:sz w:val="20"/>
          <w:szCs w:val="20"/>
        </w:rPr>
      </w:pPr>
      <w:r w:rsidRPr="009B7B35">
        <w:rPr>
          <w:rStyle w:val="Strong"/>
          <w:rFonts w:ascii="Arial" w:eastAsiaTheme="majorEastAsia" w:hAnsi="Arial" w:cs="Arial"/>
          <w:sz w:val="20"/>
          <w:szCs w:val="20"/>
        </w:rPr>
        <w:t>Aspects of the state planning policy appropriately reflected:</w:t>
      </w:r>
    </w:p>
    <w:p w14:paraId="1B3A1676"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Liveable communities </w:t>
      </w:r>
    </w:p>
    <w:p w14:paraId="1E7C5CC0"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Housing supply and diversity </w:t>
      </w:r>
    </w:p>
    <w:p w14:paraId="23FEE7DA"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Agriculture </w:t>
      </w:r>
    </w:p>
    <w:p w14:paraId="05114F38"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Development and construction </w:t>
      </w:r>
    </w:p>
    <w:p w14:paraId="0418D397"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Mining and extractive resources </w:t>
      </w:r>
    </w:p>
    <w:p w14:paraId="4779FCD4"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Tourism </w:t>
      </w:r>
    </w:p>
    <w:p w14:paraId="2DE53AF7"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Biodiversity </w:t>
      </w:r>
    </w:p>
    <w:p w14:paraId="4E13E96D"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Coastal environment </w:t>
      </w:r>
    </w:p>
    <w:p w14:paraId="6CEED050"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Cultural heritage </w:t>
      </w:r>
    </w:p>
    <w:p w14:paraId="20BA8579"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Water quality </w:t>
      </w:r>
    </w:p>
    <w:p w14:paraId="2E9F48E7"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Emissions and hazardous activities </w:t>
      </w:r>
    </w:p>
    <w:p w14:paraId="2FBC8682"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Natural hazards </w:t>
      </w:r>
    </w:p>
    <w:p w14:paraId="6E80F2BB"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Energy and water supply </w:t>
      </w:r>
    </w:p>
    <w:p w14:paraId="63ECD10A"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State transport infrastructure </w:t>
      </w:r>
    </w:p>
    <w:p w14:paraId="0F1C560F"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Strategic airports and aviation facilities </w:t>
      </w:r>
    </w:p>
    <w:p w14:paraId="4D1E46BB" w14:textId="77777777" w:rsidR="00BE36FB" w:rsidRPr="009B7B35" w:rsidRDefault="00BE36FB" w:rsidP="00BE36FB">
      <w:pPr>
        <w:numPr>
          <w:ilvl w:val="0"/>
          <w:numId w:val="17"/>
        </w:numPr>
        <w:rPr>
          <w:rFonts w:ascii="Arial" w:hAnsi="Arial" w:cs="Arial"/>
          <w:sz w:val="20"/>
          <w:szCs w:val="20"/>
        </w:rPr>
      </w:pPr>
      <w:r w:rsidRPr="009B7B35">
        <w:rPr>
          <w:rFonts w:ascii="Arial" w:hAnsi="Arial" w:cs="Arial"/>
          <w:sz w:val="20"/>
          <w:szCs w:val="20"/>
        </w:rPr>
        <w:t xml:space="preserve">Strategic ports </w:t>
      </w:r>
    </w:p>
    <w:p w14:paraId="1D8C4023" w14:textId="77777777" w:rsidR="00BE36FB" w:rsidRPr="009B7B35" w:rsidRDefault="00BE36FB" w:rsidP="001A7107">
      <w:pPr>
        <w:rPr>
          <w:rFonts w:ascii="Arial" w:hAnsi="Arial" w:cs="Arial"/>
          <w:sz w:val="20"/>
          <w:szCs w:val="20"/>
        </w:rPr>
      </w:pPr>
    </w:p>
    <w:p w14:paraId="28854E24" w14:textId="77777777" w:rsidR="00BE36FB" w:rsidRPr="009B7B35" w:rsidRDefault="00BE36FB" w:rsidP="001A7107">
      <w:pPr>
        <w:rPr>
          <w:rStyle w:val="Strong"/>
          <w:rFonts w:ascii="Arial" w:eastAsiaTheme="majorEastAsia" w:hAnsi="Arial" w:cs="Arial"/>
          <w:sz w:val="20"/>
          <w:szCs w:val="20"/>
        </w:rPr>
      </w:pPr>
      <w:r w:rsidRPr="009B7B35">
        <w:rPr>
          <w:rStyle w:val="Strong"/>
          <w:rFonts w:ascii="Arial" w:eastAsiaTheme="majorEastAsia" w:hAnsi="Arial" w:cs="Arial"/>
          <w:sz w:val="20"/>
          <w:szCs w:val="20"/>
        </w:rPr>
        <w:t>Aspects of the state planning policy not reflected</w:t>
      </w:r>
    </w:p>
    <w:p w14:paraId="1D13833D" w14:textId="77777777" w:rsidR="00BE36FB" w:rsidRPr="009B7B35" w:rsidRDefault="00BE36FB" w:rsidP="001A7107">
      <w:pPr>
        <w:rPr>
          <w:rFonts w:ascii="Arial" w:hAnsi="Arial" w:cs="Arial"/>
          <w:sz w:val="20"/>
          <w:szCs w:val="20"/>
        </w:rPr>
      </w:pPr>
      <w:r w:rsidRPr="009B7B35">
        <w:rPr>
          <w:rFonts w:ascii="Arial" w:hAnsi="Arial" w:cs="Arial"/>
          <w:sz w:val="20"/>
          <w:szCs w:val="20"/>
        </w:rPr>
        <w:t>Nil.</w:t>
      </w:r>
    </w:p>
    <w:p w14:paraId="109E6B91" w14:textId="77777777" w:rsidR="00BE36FB" w:rsidRPr="009B7B35" w:rsidRDefault="00BE36FB" w:rsidP="001A7107">
      <w:pPr>
        <w:rPr>
          <w:rFonts w:ascii="Arial" w:hAnsi="Arial" w:cs="Arial"/>
          <w:sz w:val="20"/>
          <w:szCs w:val="20"/>
        </w:rPr>
      </w:pPr>
    </w:p>
    <w:p w14:paraId="28915A31" w14:textId="77777777" w:rsidR="00BE36FB" w:rsidRPr="009B7B35" w:rsidRDefault="00BE36FB" w:rsidP="001A7107">
      <w:pPr>
        <w:rPr>
          <w:rStyle w:val="Strong"/>
          <w:rFonts w:ascii="Arial" w:eastAsiaTheme="majorEastAsia" w:hAnsi="Arial" w:cs="Arial"/>
          <w:sz w:val="20"/>
          <w:szCs w:val="20"/>
        </w:rPr>
      </w:pPr>
      <w:r w:rsidRPr="009B7B35">
        <w:rPr>
          <w:rStyle w:val="Strong"/>
          <w:rFonts w:ascii="Arial" w:eastAsiaTheme="majorEastAsia" w:hAnsi="Arial" w:cs="Arial"/>
          <w:sz w:val="20"/>
          <w:szCs w:val="20"/>
        </w:rPr>
        <w:t>State interests in the state planning policy not relevant to Gladstone Regional Council</w:t>
      </w:r>
    </w:p>
    <w:p w14:paraId="6B3DCC56" w14:textId="77777777" w:rsidR="00BE36FB" w:rsidRPr="009B7B35" w:rsidRDefault="00BE36FB" w:rsidP="001A7107">
      <w:pPr>
        <w:rPr>
          <w:rFonts w:ascii="Arial" w:hAnsi="Arial" w:cs="Arial"/>
          <w:sz w:val="20"/>
          <w:szCs w:val="20"/>
        </w:rPr>
      </w:pPr>
      <w:r w:rsidRPr="009B7B35">
        <w:rPr>
          <w:rFonts w:ascii="Arial" w:hAnsi="Arial" w:cs="Arial"/>
          <w:sz w:val="20"/>
          <w:szCs w:val="20"/>
        </w:rPr>
        <w:t>Nil.</w:t>
      </w:r>
    </w:p>
    <w:p w14:paraId="3CD4E479" w14:textId="77777777" w:rsidR="00BE36FB" w:rsidRPr="009B7B35" w:rsidRDefault="00BE36FB" w:rsidP="001A7107">
      <w:pPr>
        <w:spacing w:before="120" w:after="120"/>
        <w:rPr>
          <w:rFonts w:ascii="Arial" w:hAnsi="Arial" w:cs="Arial"/>
          <w:sz w:val="20"/>
          <w:szCs w:val="20"/>
        </w:rPr>
      </w:pPr>
      <w:r w:rsidRPr="009B7B35">
        <w:rPr>
          <w:rFonts w:ascii="Arial" w:hAnsi="Arial" w:cs="Arial"/>
          <w:sz w:val="20"/>
          <w:szCs w:val="20"/>
        </w:rPr>
        <w:t xml:space="preserve">Editor's note —  In accordance with section 8(4)(a) of the Act the State Planning Policy applies to the extent of any inconsistency. </w:t>
      </w:r>
    </w:p>
    <w:p w14:paraId="4E4DB8B8" w14:textId="77777777" w:rsidR="00BE36FB" w:rsidRPr="009B7B35" w:rsidRDefault="00BE36FB" w:rsidP="001A7107">
      <w:pPr>
        <w:pStyle w:val="Heading2"/>
        <w:rPr>
          <w:rFonts w:ascii="Arial" w:hAnsi="Arial"/>
          <w:sz w:val="20"/>
          <w:szCs w:val="20"/>
        </w:rPr>
      </w:pPr>
      <w:bookmarkStart w:id="98" w:name="_Toc205367291"/>
      <w:r w:rsidRPr="009B7B35">
        <w:rPr>
          <w:rFonts w:ascii="Arial" w:hAnsi="Arial"/>
          <w:sz w:val="20"/>
          <w:szCs w:val="20"/>
        </w:rPr>
        <w:t>Regional plan</w:t>
      </w:r>
      <w:bookmarkEnd w:id="98"/>
    </w:p>
    <w:p w14:paraId="16B43E9E" w14:textId="77777777" w:rsidR="00BE36FB" w:rsidRPr="009B7B35" w:rsidRDefault="00BE36FB" w:rsidP="001A7107">
      <w:pPr>
        <w:rPr>
          <w:rFonts w:ascii="Arial" w:hAnsi="Arial" w:cs="Arial"/>
          <w:sz w:val="20"/>
          <w:szCs w:val="20"/>
        </w:rPr>
      </w:pPr>
      <w:r w:rsidRPr="009B7B35">
        <w:rPr>
          <w:rFonts w:ascii="Arial" w:hAnsi="Arial" w:cs="Arial"/>
          <w:sz w:val="20"/>
          <w:szCs w:val="20"/>
        </w:rPr>
        <w:t>The Minister has identified that the planning scheme, specifically the strategic framework, appropriately advances the Central Queensland Regional Plan 2013, as it applies in the planning scheme area.</w:t>
      </w:r>
    </w:p>
    <w:p w14:paraId="1BD2E9B9" w14:textId="77777777" w:rsidR="00BE36FB" w:rsidRPr="009B7B35" w:rsidRDefault="00BE36FB" w:rsidP="001A7107">
      <w:pPr>
        <w:pStyle w:val="Heading2"/>
        <w:rPr>
          <w:rFonts w:ascii="Arial" w:hAnsi="Arial"/>
          <w:sz w:val="20"/>
          <w:szCs w:val="20"/>
        </w:rPr>
      </w:pPr>
      <w:bookmarkStart w:id="99" w:name="_Toc205367292"/>
      <w:r w:rsidRPr="009B7B35">
        <w:rPr>
          <w:rFonts w:ascii="Arial" w:hAnsi="Arial"/>
          <w:sz w:val="20"/>
          <w:szCs w:val="20"/>
        </w:rPr>
        <w:t>Referral agency delegations</w:t>
      </w:r>
      <w:bookmarkEnd w:id="99"/>
    </w:p>
    <w:p w14:paraId="055D2C23" w14:textId="77777777" w:rsidR="00BE36FB" w:rsidRPr="009B7B35" w:rsidRDefault="00BE36FB" w:rsidP="001A7107">
      <w:pPr>
        <w:rPr>
          <w:rFonts w:ascii="Arial" w:hAnsi="Arial" w:cs="Arial"/>
          <w:sz w:val="20"/>
          <w:szCs w:val="20"/>
        </w:rPr>
      </w:pPr>
      <w:r w:rsidRPr="009B7B35">
        <w:rPr>
          <w:rFonts w:ascii="Arial" w:hAnsi="Arial" w:cs="Arial"/>
          <w:sz w:val="20"/>
          <w:szCs w:val="20"/>
        </w:rPr>
        <w:t>Schedule 10 of the Regulation identifies referral agencies for certain aspects of development. The following referral agencies have delegated the following referral agency jurisdictions to Gladstone Regional Council:</w:t>
      </w:r>
    </w:p>
    <w:p w14:paraId="6272EA98" w14:textId="77777777" w:rsidR="00BE36FB" w:rsidRPr="009B7B35" w:rsidRDefault="00BE36FB" w:rsidP="001A7107">
      <w:pPr>
        <w:pStyle w:val="Heading5"/>
        <w:numPr>
          <w:ilvl w:val="0"/>
          <w:numId w:val="0"/>
        </w:numPr>
        <w:rPr>
          <w:rFonts w:cs="Arial"/>
          <w:szCs w:val="20"/>
        </w:rPr>
      </w:pPr>
      <w:r w:rsidRPr="009B7B35">
        <w:rPr>
          <w:rFonts w:cs="Arial"/>
          <w:szCs w:val="20"/>
        </w:rPr>
        <w:t>Table 2.3.1—Delegated referral agency jurisdictions</w:t>
      </w:r>
    </w:p>
    <w:tbl>
      <w:tblPr>
        <w:tblStyle w:val="Tablestyle"/>
        <w:tblW w:w="0" w:type="auto"/>
        <w:tblLook w:val="04A0" w:firstRow="1" w:lastRow="0" w:firstColumn="1" w:lastColumn="0" w:noHBand="0" w:noVBand="1"/>
      </w:tblPr>
      <w:tblGrid>
        <w:gridCol w:w="2825"/>
        <w:gridCol w:w="2762"/>
        <w:gridCol w:w="2776"/>
      </w:tblGrid>
      <w:tr w:rsidR="00BE36FB" w:rsidRPr="009B7B35" w14:paraId="4D5B91B0"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0" w:type="dxa"/>
          </w:tcPr>
          <w:p w14:paraId="6D9EA5AE" w14:textId="77777777" w:rsidR="00BE36FB" w:rsidRPr="009B7B35" w:rsidRDefault="00BE36FB" w:rsidP="001A7107">
            <w:pPr>
              <w:pStyle w:val="TableText"/>
              <w:rPr>
                <w:rFonts w:cs="Arial"/>
              </w:rPr>
            </w:pPr>
            <w:r w:rsidRPr="009B7B35">
              <w:rPr>
                <w:rFonts w:cs="Arial"/>
              </w:rPr>
              <w:t>Column 1</w:t>
            </w:r>
          </w:p>
          <w:p w14:paraId="7A46E397" w14:textId="77777777" w:rsidR="00BE36FB" w:rsidRPr="009B7B35" w:rsidRDefault="00BE36FB" w:rsidP="001A7107">
            <w:pPr>
              <w:pStyle w:val="TableText"/>
              <w:rPr>
                <w:rFonts w:cs="Arial"/>
              </w:rPr>
            </w:pPr>
            <w:r w:rsidRPr="009B7B35">
              <w:rPr>
                <w:rFonts w:cs="Arial"/>
              </w:rPr>
              <w:t>Application involving</w:t>
            </w:r>
          </w:p>
        </w:tc>
        <w:tc>
          <w:tcPr>
            <w:tcW w:w="3131" w:type="dxa"/>
          </w:tcPr>
          <w:p w14:paraId="0C9620E7"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14:paraId="7678F9EF"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Referral agency and type</w:t>
            </w:r>
          </w:p>
        </w:tc>
        <w:tc>
          <w:tcPr>
            <w:tcW w:w="3085" w:type="dxa"/>
          </w:tcPr>
          <w:p w14:paraId="1A19329F"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3</w:t>
            </w:r>
          </w:p>
          <w:p w14:paraId="53B7CDB6"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Referral jurisdiction</w:t>
            </w:r>
          </w:p>
        </w:tc>
      </w:tr>
      <w:tr w:rsidR="00BE36FB" w:rsidRPr="009B7B35" w14:paraId="30D526E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0" w:type="dxa"/>
          </w:tcPr>
          <w:p w14:paraId="4CF0ED38" w14:textId="77777777" w:rsidR="00BE36FB" w:rsidRPr="009B7B35" w:rsidRDefault="00BE36FB" w:rsidP="001A7107">
            <w:pPr>
              <w:pStyle w:val="TableText"/>
              <w:rPr>
                <w:rFonts w:cs="Arial"/>
              </w:rPr>
            </w:pPr>
            <w:r w:rsidRPr="009B7B35">
              <w:rPr>
                <w:rFonts w:cs="Arial"/>
              </w:rPr>
              <w:t>Nil</w:t>
            </w:r>
          </w:p>
        </w:tc>
        <w:tc>
          <w:tcPr>
            <w:tcW w:w="3131" w:type="dxa"/>
          </w:tcPr>
          <w:p w14:paraId="51C966D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Nil</w:t>
            </w:r>
          </w:p>
        </w:tc>
        <w:tc>
          <w:tcPr>
            <w:tcW w:w="3085" w:type="dxa"/>
          </w:tcPr>
          <w:p w14:paraId="367B3CB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Nil</w:t>
            </w:r>
          </w:p>
        </w:tc>
      </w:tr>
    </w:tbl>
    <w:p w14:paraId="7C4321E5" w14:textId="77777777" w:rsidR="00BE36FB" w:rsidRPr="009B7B35" w:rsidRDefault="00BE36FB" w:rsidP="001A7107">
      <w:pPr>
        <w:pStyle w:val="Notes"/>
        <w:rPr>
          <w:rFonts w:cs="Arial"/>
          <w:sz w:val="20"/>
          <w:szCs w:val="20"/>
        </w:rPr>
      </w:pPr>
      <w:r w:rsidRPr="009B7B35">
        <w:rPr>
          <w:rFonts w:cs="Arial"/>
          <w:sz w:val="20"/>
          <w:szCs w:val="20"/>
        </w:rPr>
        <w:t>Editor's note — For the above listed referral agency delegations the applicant is not required to refer the application to ‘the referral agency’ listed under Schedule10 of the Regulation because the local government will undertake this assessment role.</w:t>
      </w:r>
    </w:p>
    <w:p w14:paraId="36783931" w14:textId="77777777" w:rsidR="00BE36FB" w:rsidRPr="009B7B35" w:rsidRDefault="00BE36FB" w:rsidP="001A7107">
      <w:pPr>
        <w:pStyle w:val="Heading2"/>
        <w:rPr>
          <w:rFonts w:ascii="Arial" w:hAnsi="Arial"/>
          <w:sz w:val="20"/>
          <w:szCs w:val="20"/>
        </w:rPr>
      </w:pPr>
      <w:bookmarkStart w:id="100" w:name="_Toc205367293"/>
      <w:r w:rsidRPr="009B7B35">
        <w:rPr>
          <w:rFonts w:ascii="Arial" w:hAnsi="Arial"/>
          <w:sz w:val="20"/>
          <w:szCs w:val="20"/>
        </w:rPr>
        <w:t>Regulated requirements</w:t>
      </w:r>
      <w:bookmarkEnd w:id="100"/>
    </w:p>
    <w:p w14:paraId="3D36CEF7" w14:textId="77777777" w:rsidR="00BE36FB" w:rsidRPr="009B7B35" w:rsidRDefault="00BE36FB" w:rsidP="001A7107">
      <w:pPr>
        <w:rPr>
          <w:rFonts w:ascii="Arial" w:hAnsi="Arial" w:cs="Arial"/>
          <w:sz w:val="20"/>
          <w:szCs w:val="20"/>
        </w:rPr>
      </w:pPr>
      <w:r w:rsidRPr="009B7B35">
        <w:rPr>
          <w:rFonts w:ascii="Arial" w:hAnsi="Arial" w:cs="Arial"/>
          <w:sz w:val="20"/>
          <w:szCs w:val="20"/>
        </w:rPr>
        <w:t>The regulated requirements as identified in section 5(2)(a) of the Planning Regulation 2017 are not reflected in this planning scheme.</w:t>
      </w:r>
    </w:p>
    <w:p w14:paraId="7AAE9C1D" w14:textId="77777777" w:rsidR="00BE36FB" w:rsidRPr="009B7B35" w:rsidRDefault="00BE36FB" w:rsidP="00BE36FB">
      <w:pPr>
        <w:pStyle w:val="Heading1"/>
        <w:numPr>
          <w:ilvl w:val="0"/>
          <w:numId w:val="29"/>
        </w:numPr>
        <w:contextualSpacing/>
        <w:rPr>
          <w:rFonts w:ascii="Arial" w:hAnsi="Arial"/>
          <w:sz w:val="20"/>
          <w:szCs w:val="20"/>
        </w:rPr>
      </w:pPr>
      <w:bookmarkStart w:id="101" w:name="_Toc205367294"/>
      <w:r w:rsidRPr="009B7B35">
        <w:rPr>
          <w:rFonts w:ascii="Arial" w:hAnsi="Arial"/>
          <w:sz w:val="20"/>
          <w:szCs w:val="20"/>
        </w:rPr>
        <w:lastRenderedPageBreak/>
        <w:t>Strategic framework</w:t>
      </w:r>
      <w:bookmarkEnd w:id="101"/>
    </w:p>
    <w:p w14:paraId="17A80231" w14:textId="77777777" w:rsidR="00BE36FB" w:rsidRPr="009B7B35" w:rsidRDefault="00BE36FB" w:rsidP="00BE36FB">
      <w:pPr>
        <w:pStyle w:val="Heading2"/>
        <w:numPr>
          <w:ilvl w:val="1"/>
          <w:numId w:val="29"/>
        </w:numPr>
        <w:spacing w:after="0"/>
        <w:contextualSpacing/>
        <w:rPr>
          <w:rFonts w:ascii="Arial" w:hAnsi="Arial"/>
          <w:sz w:val="20"/>
          <w:szCs w:val="20"/>
        </w:rPr>
      </w:pPr>
      <w:bookmarkStart w:id="102" w:name="_Toc205367295"/>
      <w:r w:rsidRPr="009B7B35">
        <w:rPr>
          <w:rFonts w:ascii="Arial" w:hAnsi="Arial"/>
          <w:sz w:val="20"/>
          <w:szCs w:val="20"/>
        </w:rPr>
        <w:t>Preliminary</w:t>
      </w:r>
      <w:bookmarkEnd w:id="102"/>
    </w:p>
    <w:p w14:paraId="2368DCCE" w14:textId="77777777" w:rsidR="00BE36FB" w:rsidRPr="009B7B35" w:rsidRDefault="00BE36FB" w:rsidP="001A7107">
      <w:pPr>
        <w:contextualSpacing/>
        <w:rPr>
          <w:rFonts w:ascii="Arial" w:hAnsi="Arial" w:cs="Arial"/>
          <w:sz w:val="20"/>
          <w:szCs w:val="20"/>
        </w:rPr>
      </w:pPr>
    </w:p>
    <w:p w14:paraId="08EB9DDC" w14:textId="77777777" w:rsidR="00BE36FB" w:rsidRPr="009B7B35" w:rsidRDefault="00BE36FB" w:rsidP="001A7107">
      <w:pPr>
        <w:contextualSpacing/>
        <w:rPr>
          <w:rFonts w:ascii="Arial" w:hAnsi="Arial" w:cs="Arial"/>
          <w:sz w:val="20"/>
          <w:szCs w:val="20"/>
        </w:rPr>
        <w:sectPr w:rsidR="00BE36FB" w:rsidRPr="009B7B35" w:rsidSect="001A7107">
          <w:footerReference w:type="default" r:id="rId11"/>
          <w:footerReference w:type="first" r:id="rId12"/>
          <w:pgSz w:w="11906" w:h="16838"/>
          <w:pgMar w:top="1440" w:right="1800" w:bottom="1440" w:left="1800" w:header="708" w:footer="708" w:gutter="0"/>
          <w:cols w:space="708"/>
          <w:docGrid w:linePitch="360"/>
        </w:sectPr>
      </w:pPr>
    </w:p>
    <w:p w14:paraId="5213BE4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Gladstone Regional Council was formed on 15 March 2008 through the amalgamation of the former Gladstone City Council, Calliope Shire Council, Miriam Vale Shire Council and the Gladstone Calliope Aerodrome Board.</w:t>
      </w:r>
    </w:p>
    <w:p w14:paraId="5A77EDA7" w14:textId="77777777" w:rsidR="00BE36FB" w:rsidRPr="009B7B35" w:rsidRDefault="00BE36FB" w:rsidP="001A7107">
      <w:pPr>
        <w:contextualSpacing/>
        <w:rPr>
          <w:rFonts w:ascii="Arial" w:hAnsi="Arial" w:cs="Arial"/>
          <w:sz w:val="20"/>
          <w:szCs w:val="20"/>
        </w:rPr>
      </w:pPr>
    </w:p>
    <w:p w14:paraId="45E51887"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vision for the Gladstone Region is to be recognised, nationally and internationally, as a sustainable ‘region of choice’ for achieving the best integration of large industry and commerce, environmental protection and community wellbeing. The region will be renowned for balance: a friendly, clean and vibrant place in which to live, work and retire.</w:t>
      </w:r>
    </w:p>
    <w:p w14:paraId="00EACC5D" w14:textId="77777777" w:rsidR="00BE36FB" w:rsidRPr="009B7B35" w:rsidRDefault="00BE36FB" w:rsidP="001A7107">
      <w:pPr>
        <w:contextualSpacing/>
        <w:rPr>
          <w:rFonts w:ascii="Arial" w:hAnsi="Arial" w:cs="Arial"/>
          <w:sz w:val="20"/>
          <w:szCs w:val="20"/>
        </w:rPr>
      </w:pPr>
    </w:p>
    <w:p w14:paraId="4AAEACAE"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strategic framework sets the policy direction for the planning scheme and forms the basis for ensuring appropriate development occurs within the planning scheme area for the life of the planning scheme.</w:t>
      </w:r>
    </w:p>
    <w:p w14:paraId="2A235F16" w14:textId="77777777" w:rsidR="00BE36FB" w:rsidRPr="009B7B35" w:rsidRDefault="00BE36FB" w:rsidP="001A7107">
      <w:pPr>
        <w:contextualSpacing/>
        <w:rPr>
          <w:rFonts w:ascii="Arial" w:hAnsi="Arial" w:cs="Arial"/>
          <w:sz w:val="20"/>
          <w:szCs w:val="20"/>
        </w:rPr>
      </w:pPr>
    </w:p>
    <w:p w14:paraId="2A03A60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Mapping for the strategic framework is included in Schedule 2 (Mapping).</w:t>
      </w:r>
    </w:p>
    <w:p w14:paraId="690669D5" w14:textId="77777777" w:rsidR="00BE36FB" w:rsidRPr="009B7B35" w:rsidRDefault="00BE36FB" w:rsidP="001A7107">
      <w:pPr>
        <w:contextualSpacing/>
        <w:rPr>
          <w:rFonts w:ascii="Arial" w:hAnsi="Arial" w:cs="Arial"/>
          <w:sz w:val="20"/>
          <w:szCs w:val="20"/>
        </w:rPr>
      </w:pPr>
    </w:p>
    <w:p w14:paraId="36170F2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For the purpose of articulating the policy direction for the planning scheme, the strategic framework is structured in the following way:</w:t>
      </w:r>
    </w:p>
    <w:p w14:paraId="2DAD5842" w14:textId="77777777" w:rsidR="00BE36FB" w:rsidRPr="009B7B35" w:rsidRDefault="00BE36FB" w:rsidP="00BE36FB">
      <w:pPr>
        <w:numPr>
          <w:ilvl w:val="0"/>
          <w:numId w:val="35"/>
        </w:numPr>
        <w:contextualSpacing/>
        <w:rPr>
          <w:rFonts w:ascii="Arial" w:hAnsi="Arial" w:cs="Arial"/>
          <w:sz w:val="20"/>
          <w:szCs w:val="20"/>
        </w:rPr>
      </w:pPr>
      <w:r w:rsidRPr="009B7B35">
        <w:rPr>
          <w:rFonts w:ascii="Arial" w:hAnsi="Arial" w:cs="Arial"/>
          <w:sz w:val="20"/>
          <w:szCs w:val="20"/>
        </w:rPr>
        <w:t>the strategic intent</w:t>
      </w:r>
    </w:p>
    <w:p w14:paraId="6E1FB6F0" w14:textId="77777777" w:rsidR="00BE36FB" w:rsidRPr="009B7B35" w:rsidRDefault="00BE36FB" w:rsidP="00BE36FB">
      <w:pPr>
        <w:numPr>
          <w:ilvl w:val="0"/>
          <w:numId w:val="35"/>
        </w:numPr>
        <w:contextualSpacing/>
        <w:rPr>
          <w:rFonts w:ascii="Arial" w:hAnsi="Arial" w:cs="Arial"/>
          <w:sz w:val="20"/>
          <w:szCs w:val="20"/>
        </w:rPr>
      </w:pPr>
      <w:r w:rsidRPr="009B7B35">
        <w:rPr>
          <w:rFonts w:ascii="Arial" w:hAnsi="Arial" w:cs="Arial"/>
          <w:sz w:val="20"/>
          <w:szCs w:val="20"/>
        </w:rPr>
        <w:t>there are six themes that work together to articulate the complete policy direction which include:</w:t>
      </w:r>
    </w:p>
    <w:p w14:paraId="51BA02A8" w14:textId="77777777" w:rsidR="00BE36FB" w:rsidRPr="009B7B35" w:rsidRDefault="00BE36FB" w:rsidP="00BE36FB">
      <w:pPr>
        <w:numPr>
          <w:ilvl w:val="1"/>
          <w:numId w:val="35"/>
        </w:numPr>
        <w:contextualSpacing/>
        <w:rPr>
          <w:rFonts w:ascii="Arial" w:hAnsi="Arial" w:cs="Arial"/>
          <w:sz w:val="20"/>
          <w:szCs w:val="20"/>
        </w:rPr>
      </w:pPr>
      <w:r w:rsidRPr="009B7B35">
        <w:rPr>
          <w:rFonts w:ascii="Arial" w:hAnsi="Arial" w:cs="Arial"/>
          <w:sz w:val="20"/>
          <w:szCs w:val="20"/>
        </w:rPr>
        <w:t>Gateway to the World</w:t>
      </w:r>
    </w:p>
    <w:p w14:paraId="6804CF67" w14:textId="77777777" w:rsidR="00BE36FB" w:rsidRPr="009B7B35" w:rsidRDefault="00BE36FB" w:rsidP="00BE36FB">
      <w:pPr>
        <w:numPr>
          <w:ilvl w:val="1"/>
          <w:numId w:val="35"/>
        </w:numPr>
        <w:contextualSpacing/>
        <w:rPr>
          <w:rFonts w:ascii="Arial" w:hAnsi="Arial" w:cs="Arial"/>
          <w:sz w:val="20"/>
          <w:szCs w:val="20"/>
        </w:rPr>
      </w:pPr>
      <w:r w:rsidRPr="009B7B35">
        <w:rPr>
          <w:rFonts w:ascii="Arial" w:hAnsi="Arial" w:cs="Arial"/>
          <w:sz w:val="20"/>
          <w:szCs w:val="20"/>
        </w:rPr>
        <w:t>Community Living</w:t>
      </w:r>
    </w:p>
    <w:p w14:paraId="1B95A399" w14:textId="77777777" w:rsidR="00BE36FB" w:rsidRPr="009B7B35" w:rsidRDefault="00BE36FB" w:rsidP="00BE36FB">
      <w:pPr>
        <w:numPr>
          <w:ilvl w:val="1"/>
          <w:numId w:val="35"/>
        </w:numPr>
        <w:contextualSpacing/>
        <w:rPr>
          <w:rFonts w:ascii="Arial" w:hAnsi="Arial" w:cs="Arial"/>
          <w:sz w:val="20"/>
          <w:szCs w:val="20"/>
        </w:rPr>
      </w:pPr>
      <w:r w:rsidRPr="009B7B35">
        <w:rPr>
          <w:rFonts w:ascii="Arial" w:hAnsi="Arial" w:cs="Arial"/>
          <w:sz w:val="20"/>
          <w:szCs w:val="20"/>
        </w:rPr>
        <w:t>Connecting Our Places</w:t>
      </w:r>
    </w:p>
    <w:p w14:paraId="56B1DDC0" w14:textId="77777777" w:rsidR="00BE36FB" w:rsidRPr="009B7B35" w:rsidRDefault="00BE36FB" w:rsidP="00BE36FB">
      <w:pPr>
        <w:numPr>
          <w:ilvl w:val="1"/>
          <w:numId w:val="35"/>
        </w:numPr>
        <w:contextualSpacing/>
        <w:rPr>
          <w:rFonts w:ascii="Arial" w:hAnsi="Arial" w:cs="Arial"/>
          <w:sz w:val="20"/>
          <w:szCs w:val="20"/>
        </w:rPr>
      </w:pPr>
      <w:r w:rsidRPr="009B7B35">
        <w:rPr>
          <w:rFonts w:ascii="Arial" w:hAnsi="Arial" w:cs="Arial"/>
          <w:sz w:val="20"/>
          <w:szCs w:val="20"/>
        </w:rPr>
        <w:t>Building It Better – Our Urban Areas</w:t>
      </w:r>
    </w:p>
    <w:p w14:paraId="0094FF4C" w14:textId="77777777" w:rsidR="00BE36FB" w:rsidRPr="009B7B35" w:rsidRDefault="00BE36FB" w:rsidP="00BE36FB">
      <w:pPr>
        <w:numPr>
          <w:ilvl w:val="1"/>
          <w:numId w:val="35"/>
        </w:numPr>
        <w:contextualSpacing/>
        <w:rPr>
          <w:rFonts w:ascii="Arial" w:hAnsi="Arial" w:cs="Arial"/>
          <w:sz w:val="20"/>
          <w:szCs w:val="20"/>
        </w:rPr>
      </w:pPr>
      <w:r w:rsidRPr="009B7B35">
        <w:rPr>
          <w:rFonts w:ascii="Arial" w:hAnsi="Arial" w:cs="Arial"/>
          <w:sz w:val="20"/>
          <w:szCs w:val="20"/>
        </w:rPr>
        <w:t>Our Environment and Heritage</w:t>
      </w:r>
    </w:p>
    <w:p w14:paraId="6F12B357" w14:textId="77777777" w:rsidR="00BE36FB" w:rsidRPr="009B7B35" w:rsidRDefault="00BE36FB" w:rsidP="00BE36FB">
      <w:pPr>
        <w:numPr>
          <w:ilvl w:val="1"/>
          <w:numId w:val="35"/>
        </w:numPr>
        <w:contextualSpacing/>
        <w:rPr>
          <w:rFonts w:ascii="Arial" w:hAnsi="Arial" w:cs="Arial"/>
          <w:sz w:val="20"/>
          <w:szCs w:val="20"/>
        </w:rPr>
      </w:pPr>
      <w:r w:rsidRPr="009B7B35">
        <w:rPr>
          <w:rFonts w:ascii="Arial" w:hAnsi="Arial" w:cs="Arial"/>
          <w:sz w:val="20"/>
          <w:szCs w:val="20"/>
        </w:rPr>
        <w:t>Our Rural and Coastal Townships and Places</w:t>
      </w:r>
    </w:p>
    <w:p w14:paraId="3B76FB4E" w14:textId="77777777" w:rsidR="00BE36FB" w:rsidRPr="009B7B35" w:rsidRDefault="00BE36FB" w:rsidP="00BE36FB">
      <w:pPr>
        <w:numPr>
          <w:ilvl w:val="0"/>
          <w:numId w:val="35"/>
        </w:numPr>
        <w:contextualSpacing/>
        <w:rPr>
          <w:rFonts w:ascii="Arial" w:hAnsi="Arial" w:cs="Arial"/>
          <w:sz w:val="20"/>
          <w:szCs w:val="20"/>
        </w:rPr>
      </w:pPr>
      <w:r w:rsidRPr="009B7B35">
        <w:rPr>
          <w:rFonts w:ascii="Arial" w:hAnsi="Arial" w:cs="Arial"/>
          <w:sz w:val="20"/>
          <w:szCs w:val="20"/>
        </w:rPr>
        <w:t>the strategic outcomes sought for development in the planning scheme area for each theme, and</w:t>
      </w:r>
    </w:p>
    <w:p w14:paraId="5E93B786" w14:textId="77777777" w:rsidR="00BE36FB" w:rsidRPr="009B7B35" w:rsidRDefault="00BE36FB" w:rsidP="00BE36FB">
      <w:pPr>
        <w:numPr>
          <w:ilvl w:val="0"/>
          <w:numId w:val="35"/>
        </w:numPr>
        <w:contextualSpacing/>
        <w:rPr>
          <w:rFonts w:ascii="Arial" w:hAnsi="Arial" w:cs="Arial"/>
          <w:sz w:val="20"/>
          <w:szCs w:val="20"/>
        </w:rPr>
      </w:pPr>
      <w:r w:rsidRPr="009B7B35">
        <w:rPr>
          <w:rFonts w:ascii="Arial" w:hAnsi="Arial" w:cs="Arial"/>
          <w:sz w:val="20"/>
          <w:szCs w:val="20"/>
        </w:rPr>
        <w:t>the elements that refine and further describe the strategic outcomes.</w:t>
      </w:r>
    </w:p>
    <w:p w14:paraId="63F487DD" w14:textId="77777777" w:rsidR="00BE36FB" w:rsidRPr="009B7B35" w:rsidRDefault="00BE36FB" w:rsidP="001A7107">
      <w:pPr>
        <w:contextualSpacing/>
        <w:rPr>
          <w:rFonts w:ascii="Arial" w:hAnsi="Arial" w:cs="Arial"/>
          <w:sz w:val="20"/>
          <w:szCs w:val="20"/>
        </w:rPr>
      </w:pPr>
    </w:p>
    <w:p w14:paraId="370D109D"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Although each theme has its own section, the strategic framework is read in its entirety as the policy direction for the planning scheme.</w:t>
      </w:r>
    </w:p>
    <w:p w14:paraId="0B431D06" w14:textId="77777777" w:rsidR="00BE36FB" w:rsidRPr="009B7B35" w:rsidRDefault="00BE36FB" w:rsidP="001A7107">
      <w:pPr>
        <w:contextualSpacing/>
        <w:rPr>
          <w:rFonts w:ascii="Arial" w:hAnsi="Arial" w:cs="Arial"/>
          <w:sz w:val="20"/>
          <w:szCs w:val="20"/>
          <w:lang w:eastAsia="en-US"/>
        </w:rPr>
        <w:sectPr w:rsidR="00BE36FB" w:rsidRPr="009B7B35" w:rsidSect="001A7107">
          <w:type w:val="continuous"/>
          <w:pgSz w:w="11906" w:h="16838" w:code="9"/>
          <w:pgMar w:top="1418" w:right="1134" w:bottom="1418" w:left="1134" w:header="567" w:footer="567" w:gutter="284"/>
          <w:cols w:num="2" w:space="709"/>
          <w:titlePg/>
          <w:docGrid w:linePitch="360"/>
        </w:sectPr>
      </w:pPr>
    </w:p>
    <w:p w14:paraId="28BD1552" w14:textId="77777777" w:rsidR="00BE36FB" w:rsidRPr="009B7B35" w:rsidRDefault="00BE36FB" w:rsidP="00BE36FB">
      <w:pPr>
        <w:pStyle w:val="Heading2"/>
        <w:numPr>
          <w:ilvl w:val="1"/>
          <w:numId w:val="29"/>
        </w:numPr>
        <w:contextualSpacing/>
        <w:rPr>
          <w:rFonts w:ascii="Arial" w:hAnsi="Arial"/>
          <w:sz w:val="20"/>
          <w:szCs w:val="20"/>
        </w:rPr>
      </w:pPr>
      <w:bookmarkStart w:id="103" w:name="_Toc205367296"/>
      <w:r w:rsidRPr="009B7B35">
        <w:rPr>
          <w:rFonts w:ascii="Arial" w:hAnsi="Arial"/>
          <w:sz w:val="20"/>
          <w:szCs w:val="20"/>
        </w:rPr>
        <w:t>Strategic intent</w:t>
      </w:r>
      <w:bookmarkEnd w:id="103"/>
    </w:p>
    <w:p w14:paraId="78E7AFB8" w14:textId="77777777" w:rsidR="00BE36FB" w:rsidRPr="009B7B35" w:rsidRDefault="00BE36FB" w:rsidP="001A7107">
      <w:pPr>
        <w:pStyle w:val="SubtitleHighlight"/>
        <w:contextualSpacing/>
        <w:rPr>
          <w:rFonts w:cs="Arial"/>
          <w:sz w:val="20"/>
          <w:szCs w:val="20"/>
          <w:lang w:eastAsia="en-US"/>
        </w:rPr>
      </w:pPr>
      <w:r w:rsidRPr="009B7B35">
        <w:rPr>
          <w:rFonts w:cs="Arial"/>
          <w:sz w:val="20"/>
          <w:szCs w:val="20"/>
        </w:rPr>
        <w:t>The Gladstone region story: from now to its preferred future</w:t>
      </w:r>
    </w:p>
    <w:p w14:paraId="6B4D2A3D"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0A5A64DE"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Gladstone is a region of contrasts. It is made up of places that exhibit different qualities and experiences, different types of growth and planning related challenges. It has long been a major industrial powerhouse of the Queensland economy.  The city and its surrounding urban areas have experienced almost 50 years of major industry, port and economic development investment and is a focal point of the Queensland economy. This has led to the rapid growth of a number of urban areas including the city itself, Boyne Island, Tannum Sands and Calliope. The region also includes a large and diverse hinterland with numerous villages and towns in coastal and rural settings.</w:t>
      </w:r>
    </w:p>
    <w:p w14:paraId="48DC521E" w14:textId="77777777" w:rsidR="00BE36FB" w:rsidRPr="009B7B35" w:rsidRDefault="00BE36FB" w:rsidP="001A7107">
      <w:pPr>
        <w:contextualSpacing/>
        <w:rPr>
          <w:rFonts w:ascii="Arial" w:hAnsi="Arial" w:cs="Arial"/>
          <w:sz w:val="20"/>
          <w:szCs w:val="20"/>
        </w:rPr>
      </w:pPr>
    </w:p>
    <w:p w14:paraId="47472EF3"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This growth is built on the area’s natural and man–made assets such as the safe deep water harbour, abundant water storage, land, power and limestone, sand and hard rock resources – which underpin the region’s emerging role as a global energy hub, exporting coal, gas and shale oil.</w:t>
      </w:r>
    </w:p>
    <w:p w14:paraId="10E10941"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This in turn has positioned the region as a logical location for value adding industry, plus transport and logistics opportunities to support these roles.</w:t>
      </w:r>
    </w:p>
    <w:p w14:paraId="242CC873" w14:textId="77777777" w:rsidR="00BE36FB" w:rsidRPr="009B7B35" w:rsidRDefault="00BE36FB" w:rsidP="001A7107">
      <w:pPr>
        <w:contextualSpacing/>
        <w:rPr>
          <w:rFonts w:ascii="Arial" w:hAnsi="Arial" w:cs="Arial"/>
          <w:sz w:val="20"/>
          <w:szCs w:val="20"/>
        </w:rPr>
      </w:pPr>
    </w:p>
    <w:p w14:paraId="6512A257"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 has experienced a series of “booms” associated with major new industry and port development. These booms have seen unprecedented levels of major economic activity related to mining and gas, port operations, and major industry, ranging from the LNG plants on Curtis Island, major port expansion at Wiggins Island, and the development of the Gladstone State Development Area (GSDA).</w:t>
      </w:r>
    </w:p>
    <w:p w14:paraId="16EAD726" w14:textId="77777777" w:rsidR="00BE36FB" w:rsidRPr="009B7B35" w:rsidRDefault="00BE36FB" w:rsidP="001A7107">
      <w:pPr>
        <w:contextualSpacing/>
        <w:rPr>
          <w:rFonts w:ascii="Arial" w:hAnsi="Arial" w:cs="Arial"/>
          <w:sz w:val="20"/>
          <w:szCs w:val="20"/>
        </w:rPr>
      </w:pPr>
    </w:p>
    <w:p w14:paraId="4A4C83B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These booms create tremendous economic development opportunities and also major pressures where this growth is taking place, with less investment occurring outside of these areas. The growth is not plain sailing – it creates significant pressures on other sectors of its economy, urban development, infrastructure, community, services, and the region’s environment.</w:t>
      </w:r>
    </w:p>
    <w:p w14:paraId="746655E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lastRenderedPageBreak/>
        <w:t>The latest boom represents a significant opportunity in Gladstone’s history to make the most of this situation for the long term benefit of people living and working in the region, as indicatively captured in the graph below:</w:t>
      </w:r>
    </w:p>
    <w:p w14:paraId="14F97461" w14:textId="77777777" w:rsidR="00BE36FB" w:rsidRPr="009B7B35" w:rsidRDefault="00BE36FB" w:rsidP="001A7107">
      <w:pPr>
        <w:contextualSpacing/>
        <w:rPr>
          <w:rFonts w:ascii="Arial" w:hAnsi="Arial" w:cs="Arial"/>
          <w:sz w:val="20"/>
          <w:szCs w:val="20"/>
        </w:rPr>
      </w:pPr>
    </w:p>
    <w:p w14:paraId="40F26669"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0BC58C67" wp14:editId="34A7F707">
            <wp:extent cx="2664000" cy="1915713"/>
            <wp:effectExtent l="38100" t="38100" r="41275" b="469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graph.jpg"/>
                    <pic:cNvPicPr/>
                  </pic:nvPicPr>
                  <pic:blipFill>
                    <a:blip r:embed="rId13">
                      <a:extLst>
                        <a:ext uri="{28A0092B-C50C-407E-A947-70E740481C1C}">
                          <a14:useLocalDpi xmlns:a14="http://schemas.microsoft.com/office/drawing/2010/main" val="0"/>
                        </a:ext>
                      </a:extLst>
                    </a:blip>
                    <a:stretch>
                      <a:fillRect/>
                    </a:stretch>
                  </pic:blipFill>
                  <pic:spPr>
                    <a:xfrm>
                      <a:off x="0" y="0"/>
                      <a:ext cx="2664000" cy="1915713"/>
                    </a:xfrm>
                    <a:prstGeom prst="rect">
                      <a:avLst/>
                    </a:prstGeom>
                    <a:ln w="28575">
                      <a:solidFill>
                        <a:schemeClr val="bg1"/>
                      </a:solidFill>
                    </a:ln>
                  </pic:spPr>
                </pic:pic>
              </a:graphicData>
            </a:graphic>
          </wp:inline>
        </w:drawing>
      </w:r>
    </w:p>
    <w:p w14:paraId="2E4F9453"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Like the urban growth areas of Gladstone, Boyne Island, Tannum Sands and Calliope, the coastal and rural towns and areas are important components of the Gladstone region. </w:t>
      </w:r>
    </w:p>
    <w:p w14:paraId="3DFA0740" w14:textId="77777777" w:rsidR="00BE36FB" w:rsidRPr="009B7B35" w:rsidRDefault="00BE36FB" w:rsidP="001A7107">
      <w:pPr>
        <w:contextualSpacing/>
        <w:rPr>
          <w:rFonts w:ascii="Arial" w:hAnsi="Arial" w:cs="Arial"/>
          <w:sz w:val="20"/>
          <w:szCs w:val="20"/>
        </w:rPr>
      </w:pPr>
    </w:p>
    <w:p w14:paraId="3BF4E696"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r w:rsidRPr="009B7B35">
        <w:rPr>
          <w:rFonts w:ascii="Arial" w:hAnsi="Arial" w:cs="Arial"/>
          <w:sz w:val="20"/>
          <w:szCs w:val="20"/>
        </w:rPr>
        <w:t>Although many of these places are some distance from the high growth areas, it is desirable that the benefits of major resource and industrial related development be shared by the whole region. It is also desirable these places retain their character and lifestyle attributes.</w:t>
      </w:r>
    </w:p>
    <w:p w14:paraId="3D3ED525" w14:textId="77777777" w:rsidR="00BE36FB" w:rsidRPr="009B7B35" w:rsidRDefault="00BE36FB" w:rsidP="001A7107">
      <w:pPr>
        <w:contextualSpacing/>
        <w:rPr>
          <w:rFonts w:ascii="Arial" w:hAnsi="Arial" w:cs="Arial"/>
          <w:sz w:val="20"/>
          <w:szCs w:val="20"/>
        </w:rPr>
      </w:pPr>
    </w:p>
    <w:p w14:paraId="2E83BF5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So our overall intent for the Gladstone region is:</w:t>
      </w:r>
    </w:p>
    <w:p w14:paraId="0F4F35DC" w14:textId="77777777" w:rsidR="00BE36FB" w:rsidRPr="009B7B35" w:rsidRDefault="00BE36FB" w:rsidP="001A7107">
      <w:pPr>
        <w:contextualSpacing/>
        <w:rPr>
          <w:rFonts w:ascii="Arial" w:hAnsi="Arial" w:cs="Arial"/>
          <w:sz w:val="20"/>
          <w:szCs w:val="20"/>
        </w:rPr>
      </w:pPr>
    </w:p>
    <w:p w14:paraId="6CD1EB92" w14:textId="77777777" w:rsidR="00BE36FB" w:rsidRPr="009B7B35" w:rsidRDefault="00BE36FB" w:rsidP="001A7107">
      <w:pPr>
        <w:pStyle w:val="SubtitleHighlight"/>
        <w:contextualSpacing/>
        <w:rPr>
          <w:rFonts w:cs="Arial"/>
          <w:sz w:val="20"/>
          <w:szCs w:val="20"/>
        </w:rPr>
      </w:pPr>
      <w:r w:rsidRPr="009B7B35">
        <w:rPr>
          <w:rFonts w:cs="Arial"/>
          <w:sz w:val="20"/>
          <w:szCs w:val="20"/>
        </w:rPr>
        <w:t>Getting the balance right: local benefits from global growth</w:t>
      </w:r>
    </w:p>
    <w:p w14:paraId="4C473826"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6341EA3C"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This strategic intent has two primary aims:</w:t>
      </w:r>
    </w:p>
    <w:p w14:paraId="72C3F73B" w14:textId="77777777" w:rsidR="00BE36FB" w:rsidRPr="009B7B35" w:rsidRDefault="00BE36FB" w:rsidP="00BE36FB">
      <w:pPr>
        <w:numPr>
          <w:ilvl w:val="0"/>
          <w:numId w:val="36"/>
        </w:numPr>
        <w:contextualSpacing/>
        <w:rPr>
          <w:rFonts w:ascii="Arial" w:hAnsi="Arial" w:cs="Arial"/>
          <w:sz w:val="20"/>
          <w:szCs w:val="20"/>
        </w:rPr>
      </w:pPr>
      <w:r w:rsidRPr="009B7B35">
        <w:rPr>
          <w:rFonts w:ascii="Arial" w:hAnsi="Arial" w:cs="Arial"/>
          <w:sz w:val="20"/>
          <w:szCs w:val="20"/>
        </w:rPr>
        <w:t>To recognise that some parts of the region shoulder a major economic load, because of their role in the global economy as a focus for major industrial development, major port facilities, and other related investment which is fundamental to the continued economic prosperity of the State and nation. The community wants to ensure that this global role benefits the Gladstone region as well as the State and nation.</w:t>
      </w:r>
    </w:p>
    <w:p w14:paraId="62F080CD" w14:textId="77777777" w:rsidR="00BE36FB" w:rsidRPr="009B7B35" w:rsidRDefault="00BE36FB" w:rsidP="00BE36FB">
      <w:pPr>
        <w:numPr>
          <w:ilvl w:val="0"/>
          <w:numId w:val="36"/>
        </w:numPr>
        <w:contextualSpacing/>
        <w:rPr>
          <w:rFonts w:ascii="Arial" w:hAnsi="Arial" w:cs="Arial"/>
          <w:sz w:val="20"/>
          <w:szCs w:val="20"/>
        </w:rPr>
      </w:pPr>
      <w:r w:rsidRPr="009B7B35">
        <w:rPr>
          <w:rFonts w:ascii="Arial" w:hAnsi="Arial" w:cs="Arial"/>
          <w:sz w:val="20"/>
          <w:szCs w:val="20"/>
        </w:rPr>
        <w:t>For the region to be nationally recognised as achieving the best possible balance of large industry, sustainability, community wellbeing and environmental protection. This will be attained through a preferred settlement pattern and infrastructure strategy capable of responding to the needs of major industrial growth surges, and the setting of a development framework that will create a region of vibrant, sustainable and affordable neighbourhoods where residents feel supported and engaged.</w:t>
      </w:r>
    </w:p>
    <w:p w14:paraId="3F8A27BE" w14:textId="77777777" w:rsidR="00BE36FB" w:rsidRPr="009B7B35" w:rsidRDefault="00BE36FB" w:rsidP="001A7107">
      <w:pPr>
        <w:contextualSpacing/>
        <w:rPr>
          <w:rFonts w:ascii="Arial" w:hAnsi="Arial" w:cs="Arial"/>
          <w:sz w:val="20"/>
          <w:szCs w:val="20"/>
        </w:rPr>
      </w:pPr>
    </w:p>
    <w:p w14:paraId="322373C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This strategic framework is about a “rebalancing” process, through the planning scheme (and other initiatives of the Council) to achieve great outcomes for the people living and working in the Gladstone region as well as for Queensland.</w:t>
      </w:r>
    </w:p>
    <w:p w14:paraId="151C4A6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Conceptually, it is about moving from this</w:t>
      </w:r>
      <w:r w:rsidR="009B7B35">
        <w:rPr>
          <w:rFonts w:ascii="Arial" w:hAnsi="Arial" w:cs="Arial"/>
          <w:sz w:val="20"/>
          <w:szCs w:val="20"/>
        </w:rPr>
        <w:t xml:space="preserve"> </w:t>
      </w:r>
      <w:r w:rsidRPr="009B7B35">
        <w:rPr>
          <w:rFonts w:ascii="Arial" w:hAnsi="Arial" w:cs="Arial"/>
          <w:sz w:val="20"/>
          <w:szCs w:val="20"/>
        </w:rPr>
        <w:t>to the region’s preferred future:</w:t>
      </w:r>
      <w:r w:rsidR="009B7B35" w:rsidRPr="009B7B35">
        <w:rPr>
          <w:rFonts w:ascii="Arial" w:hAnsi="Arial" w:cs="Arial"/>
          <w:noProof/>
          <w:sz w:val="20"/>
          <w:szCs w:val="20"/>
        </w:rPr>
        <w:t xml:space="preserve"> </w:t>
      </w:r>
      <w:r w:rsidR="009B7B35" w:rsidRPr="009B7B35">
        <w:rPr>
          <w:rFonts w:ascii="Arial" w:hAnsi="Arial" w:cs="Arial"/>
          <w:noProof/>
          <w:sz w:val="20"/>
          <w:szCs w:val="20"/>
        </w:rPr>
        <w:drawing>
          <wp:inline distT="0" distB="0" distL="0" distR="0" wp14:anchorId="2ABC9672" wp14:editId="1FE45128">
            <wp:extent cx="2664000" cy="2000775"/>
            <wp:effectExtent l="38100" t="38100" r="41275" b="381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balanc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4000" cy="2000775"/>
                    </a:xfrm>
                    <a:prstGeom prst="rect">
                      <a:avLst/>
                    </a:prstGeom>
                    <a:ln w="28575">
                      <a:solidFill>
                        <a:schemeClr val="bg1"/>
                      </a:solidFill>
                    </a:ln>
                  </pic:spPr>
                </pic:pic>
              </a:graphicData>
            </a:graphic>
          </wp:inline>
        </w:drawing>
      </w:r>
    </w:p>
    <w:p w14:paraId="795FB127"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150A38C9" wp14:editId="443134E9">
            <wp:extent cx="2664000" cy="2004473"/>
            <wp:effectExtent l="38100" t="38100" r="41275" b="342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balance-futur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64000" cy="2004473"/>
                    </a:xfrm>
                    <a:prstGeom prst="rect">
                      <a:avLst/>
                    </a:prstGeom>
                    <a:ln w="28575">
                      <a:solidFill>
                        <a:schemeClr val="bg1"/>
                      </a:solidFill>
                    </a:ln>
                  </pic:spPr>
                </pic:pic>
              </a:graphicData>
            </a:graphic>
          </wp:inline>
        </w:drawing>
      </w:r>
      <w:r w:rsidRPr="009B7B35">
        <w:rPr>
          <w:rFonts w:ascii="Arial" w:hAnsi="Arial" w:cs="Arial"/>
          <w:sz w:val="20"/>
          <w:szCs w:val="20"/>
        </w:rPr>
        <w:br w:type="page"/>
      </w:r>
    </w:p>
    <w:p w14:paraId="671C0D8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lastRenderedPageBreak/>
        <w:t xml:space="preserve">It is in everyone’s interest to balance these major economic opportunities with community and environmental aspects, to create a mature region of complete communities which provide genuine choice and support for all its residents, workers and visitors. </w:t>
      </w:r>
    </w:p>
    <w:p w14:paraId="3A406863" w14:textId="77777777" w:rsidR="00BE36FB" w:rsidRPr="009B7B35" w:rsidRDefault="00BE36FB" w:rsidP="001A7107">
      <w:pPr>
        <w:contextualSpacing/>
        <w:rPr>
          <w:rFonts w:ascii="Arial" w:hAnsi="Arial" w:cs="Arial"/>
          <w:sz w:val="20"/>
          <w:szCs w:val="20"/>
        </w:rPr>
      </w:pPr>
    </w:p>
    <w:p w14:paraId="53F15E1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This will benefit:</w:t>
      </w:r>
    </w:p>
    <w:p w14:paraId="6DB3F7DD" w14:textId="77777777" w:rsidR="00BE36FB" w:rsidRPr="009B7B35" w:rsidRDefault="00BE36FB" w:rsidP="001A7107">
      <w:pPr>
        <w:pStyle w:val="ListBullet"/>
        <w:contextualSpacing/>
        <w:rPr>
          <w:rFonts w:cs="Arial"/>
          <w:szCs w:val="20"/>
        </w:rPr>
      </w:pPr>
      <w:r w:rsidRPr="009B7B35">
        <w:rPr>
          <w:rFonts w:cs="Arial"/>
          <w:szCs w:val="20"/>
        </w:rPr>
        <w:t>major industries investing in the region, because it ensures that those who work and live in the area have access to the housing and services they need, and choice of lifestyles which keep them connected to, and happy in, the Gladstone region</w:t>
      </w:r>
    </w:p>
    <w:p w14:paraId="2C38D31F" w14:textId="77777777" w:rsidR="00BE36FB" w:rsidRPr="009B7B35" w:rsidRDefault="00BE36FB" w:rsidP="001A7107">
      <w:pPr>
        <w:pStyle w:val="ListBullet"/>
        <w:contextualSpacing/>
        <w:rPr>
          <w:rFonts w:cs="Arial"/>
          <w:szCs w:val="20"/>
        </w:rPr>
      </w:pPr>
      <w:r w:rsidRPr="009B7B35">
        <w:rPr>
          <w:rFonts w:cs="Arial"/>
          <w:szCs w:val="20"/>
        </w:rPr>
        <w:t>the regional community, because its people have access to lifestyle choices, appropriate housing and essential services</w:t>
      </w:r>
    </w:p>
    <w:p w14:paraId="1B080D3A" w14:textId="77777777" w:rsidR="00BE36FB" w:rsidRPr="009B7B35" w:rsidRDefault="00BE36FB" w:rsidP="001A7107">
      <w:pPr>
        <w:pStyle w:val="ListBullet"/>
        <w:contextualSpacing/>
        <w:rPr>
          <w:rFonts w:cs="Arial"/>
          <w:szCs w:val="20"/>
        </w:rPr>
      </w:pPr>
      <w:r w:rsidRPr="009B7B35">
        <w:rPr>
          <w:rFonts w:cs="Arial"/>
          <w:szCs w:val="20"/>
        </w:rPr>
        <w:t>the regional environment, including those areas of national and state environmental significance, which is protected and can sustain the industry and urban components of the region, and</w:t>
      </w:r>
    </w:p>
    <w:p w14:paraId="1EF0300E" w14:textId="77777777" w:rsidR="00BE36FB" w:rsidRPr="009B7B35" w:rsidRDefault="00BE36FB" w:rsidP="001A7107">
      <w:pPr>
        <w:pStyle w:val="ListBullet"/>
        <w:contextualSpacing/>
        <w:rPr>
          <w:rFonts w:cs="Arial"/>
          <w:szCs w:val="20"/>
        </w:rPr>
      </w:pPr>
      <w:r w:rsidRPr="009B7B35">
        <w:rPr>
          <w:rFonts w:cs="Arial"/>
          <w:szCs w:val="20"/>
        </w:rPr>
        <w:br w:type="column"/>
      </w:r>
      <w:r w:rsidRPr="009B7B35">
        <w:rPr>
          <w:rFonts w:cs="Arial"/>
          <w:szCs w:val="20"/>
        </w:rPr>
        <w:t>Queensland, as it underpins the sustainable economic development of Gladstone as Queensland’s premier industrial capital and gateway harbour to the world, thereby providing great economic outcomes for the State in the global economy.</w:t>
      </w:r>
    </w:p>
    <w:p w14:paraId="7F705596" w14:textId="77777777" w:rsidR="00BE36FB" w:rsidRPr="009B7B35" w:rsidRDefault="00BE36FB" w:rsidP="001A7107">
      <w:pPr>
        <w:contextualSpacing/>
        <w:rPr>
          <w:rFonts w:ascii="Arial" w:hAnsi="Arial" w:cs="Arial"/>
          <w:sz w:val="20"/>
          <w:szCs w:val="20"/>
        </w:rPr>
      </w:pPr>
    </w:p>
    <w:p w14:paraId="139046C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foundations for these balanced outcomes are:</w:t>
      </w:r>
    </w:p>
    <w:p w14:paraId="20F8916C" w14:textId="77777777" w:rsidR="00BE36FB" w:rsidRPr="009B7B35" w:rsidRDefault="00BE36FB" w:rsidP="001A7107">
      <w:pPr>
        <w:pStyle w:val="ListBullet"/>
        <w:contextualSpacing/>
        <w:rPr>
          <w:rFonts w:cs="Arial"/>
          <w:szCs w:val="20"/>
        </w:rPr>
      </w:pPr>
      <w:r w:rsidRPr="009B7B35">
        <w:rPr>
          <w:rFonts w:cs="Arial"/>
          <w:szCs w:val="20"/>
        </w:rPr>
        <w:t xml:space="preserve">the </w:t>
      </w:r>
      <w:r w:rsidRPr="009B7B35">
        <w:rPr>
          <w:rFonts w:cs="Arial"/>
          <w:b/>
          <w:szCs w:val="20"/>
        </w:rPr>
        <w:t>economic, community</w:t>
      </w:r>
      <w:r w:rsidRPr="009B7B35">
        <w:rPr>
          <w:rFonts w:cs="Arial"/>
          <w:szCs w:val="20"/>
        </w:rPr>
        <w:t xml:space="preserve"> and </w:t>
      </w:r>
      <w:r w:rsidRPr="009B7B35">
        <w:rPr>
          <w:rFonts w:cs="Arial"/>
          <w:b/>
          <w:szCs w:val="20"/>
        </w:rPr>
        <w:t>environmental</w:t>
      </w:r>
      <w:r w:rsidRPr="009B7B35">
        <w:rPr>
          <w:rFonts w:cs="Arial"/>
          <w:szCs w:val="20"/>
        </w:rPr>
        <w:t xml:space="preserve"> components which support the balanced outcome, and</w:t>
      </w:r>
    </w:p>
    <w:p w14:paraId="7AEF8E22" w14:textId="77777777" w:rsidR="00BE36FB" w:rsidRPr="009B7B35" w:rsidRDefault="00BE36FB" w:rsidP="001A7107">
      <w:pPr>
        <w:pStyle w:val="ListBullet"/>
        <w:contextualSpacing/>
        <w:rPr>
          <w:rFonts w:cs="Arial"/>
          <w:szCs w:val="20"/>
        </w:rPr>
      </w:pPr>
      <w:r w:rsidRPr="009B7B35">
        <w:rPr>
          <w:rFonts w:cs="Arial"/>
          <w:szCs w:val="20"/>
        </w:rPr>
        <w:t xml:space="preserve">the efforts of governments at all three levels, (the regional </w:t>
      </w:r>
      <w:r w:rsidRPr="009B7B35">
        <w:rPr>
          <w:rFonts w:cs="Arial"/>
          <w:b/>
          <w:szCs w:val="20"/>
        </w:rPr>
        <w:t>Council</w:t>
      </w:r>
      <w:r w:rsidRPr="009B7B35">
        <w:rPr>
          <w:rFonts w:cs="Arial"/>
          <w:szCs w:val="20"/>
        </w:rPr>
        <w:t xml:space="preserve">, the </w:t>
      </w:r>
      <w:r w:rsidRPr="009B7B35">
        <w:rPr>
          <w:rFonts w:cs="Arial"/>
          <w:b/>
          <w:szCs w:val="20"/>
        </w:rPr>
        <w:t>State</w:t>
      </w:r>
      <w:r w:rsidRPr="009B7B35">
        <w:rPr>
          <w:rFonts w:cs="Arial"/>
          <w:szCs w:val="20"/>
        </w:rPr>
        <w:t xml:space="preserve"> and </w:t>
      </w:r>
      <w:r w:rsidRPr="009B7B35">
        <w:rPr>
          <w:rFonts w:cs="Arial"/>
          <w:b/>
          <w:szCs w:val="20"/>
        </w:rPr>
        <w:t xml:space="preserve">Federal </w:t>
      </w:r>
      <w:r w:rsidRPr="009B7B35">
        <w:rPr>
          <w:rFonts w:cs="Arial"/>
          <w:szCs w:val="20"/>
        </w:rPr>
        <w:t>governments) to achieve those balanced outcomes.</w:t>
      </w:r>
    </w:p>
    <w:p w14:paraId="532CAD81" w14:textId="77777777" w:rsidR="00BE36FB" w:rsidRPr="009B7B35" w:rsidRDefault="00BE36FB" w:rsidP="001A7107">
      <w:pPr>
        <w:contextualSpacing/>
        <w:rPr>
          <w:rFonts w:ascii="Arial" w:hAnsi="Arial" w:cs="Arial"/>
          <w:sz w:val="20"/>
          <w:szCs w:val="20"/>
        </w:rPr>
      </w:pPr>
    </w:p>
    <w:p w14:paraId="74091124"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This balance is also about providing choice (of lifestyle, employment, housing, etc), integration (between the area’s economic activities, community life and environmental values), and sustainability (through the planning scheme guiding the development of the region to outcomes consistent with this overall vision).</w:t>
      </w:r>
    </w:p>
    <w:p w14:paraId="1AE385C5"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258F9B6D" w14:textId="77777777" w:rsidR="00BE36FB" w:rsidRPr="009B7B35" w:rsidRDefault="00BE36FB" w:rsidP="001A7107">
      <w:pPr>
        <w:rPr>
          <w:rFonts w:ascii="Arial" w:hAnsi="Arial" w:cs="Arial"/>
          <w:sz w:val="20"/>
          <w:szCs w:val="20"/>
        </w:rPr>
      </w:pPr>
    </w:p>
    <w:p w14:paraId="114A7BAB" w14:textId="77777777" w:rsidR="00BE36FB" w:rsidRPr="009B7B35" w:rsidRDefault="00BE36FB" w:rsidP="001A7107">
      <w:pPr>
        <w:pStyle w:val="SubtitleHighlight"/>
        <w:contextualSpacing/>
        <w:rPr>
          <w:rFonts w:cs="Arial"/>
          <w:sz w:val="20"/>
          <w:szCs w:val="20"/>
        </w:rPr>
      </w:pPr>
      <w:r w:rsidRPr="009B7B35">
        <w:rPr>
          <w:rFonts w:cs="Arial"/>
          <w:sz w:val="20"/>
          <w:szCs w:val="20"/>
        </w:rPr>
        <w:t>The Gladstone Region Places Model</w:t>
      </w:r>
    </w:p>
    <w:p w14:paraId="71770524"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7E0D34D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A central aspect of this strategic framework is the Gladstone Region places model. The region can be thought of as a series of places, each with their own preferred character and function. This model describes this through place types </w:t>
      </w:r>
      <w:r w:rsidRPr="009B7B35">
        <w:rPr>
          <w:rFonts w:ascii="Arial" w:hAnsi="Arial" w:cs="Arial"/>
          <w:sz w:val="20"/>
          <w:szCs w:val="20"/>
        </w:rPr>
        <w:t>throughout the Gladstone region. These place types are expressed in greater detail within the themes in the strategic framework and throughout the rest of the planning scheme.</w:t>
      </w:r>
    </w:p>
    <w:p w14:paraId="5BB19C49" w14:textId="77777777" w:rsidR="00BE36FB" w:rsidRPr="009B7B35" w:rsidRDefault="00BE36FB" w:rsidP="001A7107">
      <w:pPr>
        <w:contextualSpacing/>
        <w:rPr>
          <w:rFonts w:ascii="Arial" w:hAnsi="Arial" w:cs="Arial"/>
          <w:sz w:val="20"/>
          <w:szCs w:val="20"/>
        </w:rPr>
      </w:pPr>
    </w:p>
    <w:p w14:paraId="47C5778F"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7D887705" w14:textId="77777777" w:rsidR="00BE36FB" w:rsidRPr="009B7B35" w:rsidRDefault="00BE36FB" w:rsidP="001A7107">
      <w:pPr>
        <w:contextualSpacing/>
        <w:rPr>
          <w:rFonts w:ascii="Arial" w:hAnsi="Arial" w:cs="Arial"/>
          <w:sz w:val="20"/>
          <w:szCs w:val="20"/>
        </w:rPr>
      </w:pPr>
    </w:p>
    <w:p w14:paraId="774B055B" w14:textId="77777777" w:rsidR="00BE36FB" w:rsidRPr="009B7B35" w:rsidRDefault="00BE36FB" w:rsidP="001A7107">
      <w:pPr>
        <w:contextualSpacing/>
        <w:rPr>
          <w:rFonts w:ascii="Arial" w:hAnsi="Arial" w:cs="Arial"/>
          <w:sz w:val="20"/>
          <w:szCs w:val="20"/>
        </w:rPr>
      </w:pPr>
    </w:p>
    <w:p w14:paraId="14196EB8"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r w:rsidRPr="009B7B35">
        <w:rPr>
          <w:rFonts w:ascii="Arial" w:hAnsi="Arial" w:cs="Arial"/>
          <w:noProof/>
          <w:sz w:val="20"/>
          <w:szCs w:val="20"/>
        </w:rPr>
        <w:drawing>
          <wp:inline distT="0" distB="0" distL="0" distR="0" wp14:anchorId="2EC7A9D5" wp14:editId="797585A5">
            <wp:extent cx="5934974" cy="332117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3-places-model.jpg.png"/>
                    <pic:cNvPicPr/>
                  </pic:nvPicPr>
                  <pic:blipFill rotWithShape="1">
                    <a:blip r:embed="rId16" cstate="print">
                      <a:extLst>
                        <a:ext uri="{28A0092B-C50C-407E-A947-70E740481C1C}">
                          <a14:useLocalDpi xmlns:a14="http://schemas.microsoft.com/office/drawing/2010/main" val="0"/>
                        </a:ext>
                      </a:extLst>
                    </a:blip>
                    <a:srcRect t="4370"/>
                    <a:stretch/>
                  </pic:blipFill>
                  <pic:spPr bwMode="auto">
                    <a:xfrm>
                      <a:off x="0" y="0"/>
                      <a:ext cx="5939790" cy="3323865"/>
                    </a:xfrm>
                    <a:prstGeom prst="rect">
                      <a:avLst/>
                    </a:prstGeom>
                    <a:ln>
                      <a:noFill/>
                    </a:ln>
                    <a:extLst>
                      <a:ext uri="{53640926-AAD7-44D8-BBD7-CCE9431645EC}">
                        <a14:shadowObscured xmlns:a14="http://schemas.microsoft.com/office/drawing/2010/main"/>
                      </a:ext>
                    </a:extLst>
                  </pic:spPr>
                </pic:pic>
              </a:graphicData>
            </a:graphic>
          </wp:inline>
        </w:drawing>
      </w:r>
    </w:p>
    <w:p w14:paraId="2EB949A8"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lastRenderedPageBreak/>
        <w:drawing>
          <wp:inline distT="0" distB="0" distL="0" distR="0" wp14:anchorId="5972D444" wp14:editId="254609AC">
            <wp:extent cx="5925312" cy="88778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themes.jpg"/>
                    <pic:cNvPicPr/>
                  </pic:nvPicPr>
                  <pic:blipFill rotWithShape="1">
                    <a:blip r:embed="rId17" cstate="print">
                      <a:extLst>
                        <a:ext uri="{28A0092B-C50C-407E-A947-70E740481C1C}">
                          <a14:useLocalDpi xmlns:a14="http://schemas.microsoft.com/office/drawing/2010/main" val="0"/>
                        </a:ext>
                      </a:extLst>
                    </a:blip>
                    <a:srcRect l="4662" r="933"/>
                    <a:stretch/>
                  </pic:blipFill>
                  <pic:spPr bwMode="auto">
                    <a:xfrm>
                      <a:off x="0" y="0"/>
                      <a:ext cx="5927017" cy="8880425"/>
                    </a:xfrm>
                    <a:prstGeom prst="rect">
                      <a:avLst/>
                    </a:prstGeom>
                    <a:ln>
                      <a:noFill/>
                    </a:ln>
                    <a:extLst>
                      <a:ext uri="{53640926-AAD7-44D8-BBD7-CCE9431645EC}">
                        <a14:shadowObscured xmlns:a14="http://schemas.microsoft.com/office/drawing/2010/main"/>
                      </a:ext>
                    </a:extLst>
                  </pic:spPr>
                </pic:pic>
              </a:graphicData>
            </a:graphic>
          </wp:inline>
        </w:drawing>
      </w:r>
    </w:p>
    <w:p w14:paraId="154B9072"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0EF113CC" w14:textId="77777777" w:rsidR="00BE36FB" w:rsidRPr="009B7B35" w:rsidRDefault="00BE36FB" w:rsidP="001A7107">
      <w:pPr>
        <w:contextualSpacing/>
        <w:rPr>
          <w:rFonts w:ascii="Arial" w:hAnsi="Arial" w:cs="Arial"/>
          <w:sz w:val="20"/>
          <w:szCs w:val="20"/>
        </w:rPr>
        <w:sectPr w:rsidR="00BE36FB" w:rsidRPr="009B7B35" w:rsidSect="001A7107">
          <w:headerReference w:type="first" r:id="rId18"/>
          <w:pgSz w:w="11906" w:h="16838" w:code="9"/>
          <w:pgMar w:top="1418" w:right="1134" w:bottom="1418" w:left="1134" w:header="567" w:footer="567" w:gutter="284"/>
          <w:cols w:space="709"/>
          <w:titlePg/>
          <w:docGrid w:linePitch="360"/>
        </w:sectPr>
      </w:pPr>
      <w:r w:rsidRPr="009B7B35">
        <w:rPr>
          <w:rFonts w:ascii="Arial" w:hAnsi="Arial" w:cs="Arial"/>
          <w:noProof/>
          <w:sz w:val="20"/>
          <w:szCs w:val="20"/>
        </w:rPr>
        <w:drawing>
          <wp:inline distT="0" distB="0" distL="0" distR="0" wp14:anchorId="0AEDE494" wp14:editId="6366B41E">
            <wp:extent cx="5939767" cy="8887968"/>
            <wp:effectExtent l="0" t="0" r="444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cover.jpg"/>
                    <pic:cNvPicPr/>
                  </pic:nvPicPr>
                  <pic:blipFill rotWithShape="1">
                    <a:blip r:embed="rId19" cstate="print">
                      <a:extLst>
                        <a:ext uri="{28A0092B-C50C-407E-A947-70E740481C1C}">
                          <a14:useLocalDpi xmlns:a14="http://schemas.microsoft.com/office/drawing/2010/main" val="0"/>
                        </a:ext>
                      </a:extLst>
                    </a:blip>
                    <a:srcRect l="5470" r="1"/>
                    <a:stretch/>
                  </pic:blipFill>
                  <pic:spPr bwMode="auto">
                    <a:xfrm>
                      <a:off x="0" y="0"/>
                      <a:ext cx="5939781" cy="8887989"/>
                    </a:xfrm>
                    <a:prstGeom prst="rect">
                      <a:avLst/>
                    </a:prstGeom>
                    <a:ln>
                      <a:noFill/>
                    </a:ln>
                    <a:extLst>
                      <a:ext uri="{53640926-AAD7-44D8-BBD7-CCE9431645EC}">
                        <a14:shadowObscured xmlns:a14="http://schemas.microsoft.com/office/drawing/2010/main"/>
                      </a:ext>
                    </a:extLst>
                  </pic:spPr>
                </pic:pic>
              </a:graphicData>
            </a:graphic>
          </wp:inline>
        </w:drawing>
      </w:r>
    </w:p>
    <w:p w14:paraId="51913D4B" w14:textId="77777777" w:rsidR="00BE36FB" w:rsidRPr="009B7B35" w:rsidRDefault="00BE36FB" w:rsidP="00BE36FB">
      <w:pPr>
        <w:pStyle w:val="Heading2"/>
        <w:numPr>
          <w:ilvl w:val="1"/>
          <w:numId w:val="29"/>
        </w:numPr>
        <w:spacing w:before="0"/>
        <w:contextualSpacing/>
        <w:rPr>
          <w:rFonts w:ascii="Arial" w:hAnsi="Arial"/>
          <w:sz w:val="20"/>
          <w:szCs w:val="20"/>
        </w:rPr>
      </w:pPr>
      <w:bookmarkStart w:id="104" w:name="_Toc205367297"/>
      <w:r w:rsidRPr="009B7B35">
        <w:rPr>
          <w:rFonts w:ascii="Arial" w:hAnsi="Arial"/>
          <w:sz w:val="20"/>
          <w:szCs w:val="20"/>
        </w:rPr>
        <w:lastRenderedPageBreak/>
        <w:t>Gateway to the world</w:t>
      </w:r>
      <w:bookmarkEnd w:id="104"/>
    </w:p>
    <w:p w14:paraId="4BE94B53" w14:textId="77777777" w:rsidR="00BE36FB" w:rsidRPr="009B7B35" w:rsidRDefault="00BE36FB" w:rsidP="00BE36FB">
      <w:pPr>
        <w:pStyle w:val="Heading3"/>
        <w:numPr>
          <w:ilvl w:val="2"/>
          <w:numId w:val="29"/>
        </w:numPr>
        <w:spacing w:after="240"/>
        <w:contextualSpacing/>
        <w:rPr>
          <w:rFonts w:ascii="Arial" w:hAnsi="Arial"/>
          <w:sz w:val="20"/>
          <w:szCs w:val="20"/>
        </w:rPr>
      </w:pPr>
      <w:bookmarkStart w:id="105" w:name="_Toc205367298"/>
      <w:r w:rsidRPr="009B7B35">
        <w:rPr>
          <w:rFonts w:ascii="Arial" w:hAnsi="Arial"/>
          <w:sz w:val="20"/>
          <w:szCs w:val="20"/>
        </w:rPr>
        <w:t>Strategic outcomes</w:t>
      </w:r>
      <w:bookmarkEnd w:id="105"/>
    </w:p>
    <w:p w14:paraId="4FFB8A44" w14:textId="77777777" w:rsidR="00BE36FB" w:rsidRPr="009B7B35" w:rsidRDefault="00BE36FB" w:rsidP="00BE36FB">
      <w:pPr>
        <w:numPr>
          <w:ilvl w:val="0"/>
          <w:numId w:val="34"/>
        </w:numPr>
        <w:contextualSpacing/>
        <w:rPr>
          <w:rFonts w:ascii="Arial" w:hAnsi="Arial" w:cs="Arial"/>
          <w:sz w:val="20"/>
          <w:szCs w:val="20"/>
        </w:rPr>
        <w:sectPr w:rsidR="00BE36FB" w:rsidRPr="009B7B35" w:rsidSect="001A7107">
          <w:footerReference w:type="first" r:id="rId20"/>
          <w:pgSz w:w="11906" w:h="16838" w:code="9"/>
          <w:pgMar w:top="1418" w:right="1134" w:bottom="1418" w:left="1134" w:header="567" w:footer="567" w:gutter="284"/>
          <w:cols w:space="709"/>
          <w:titlePg/>
          <w:docGrid w:linePitch="360"/>
        </w:sectPr>
      </w:pPr>
    </w:p>
    <w:p w14:paraId="7FF427BE"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 xml:space="preserve">Gladstone is a world class industrial city that balances the impacts of major industrial development with community and environmental well–being. </w:t>
      </w:r>
    </w:p>
    <w:p w14:paraId="54A5AA72"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 xml:space="preserve">Major industries of state and global importance locate in Gladstone mainly in the Gladstone State Development Area and the Gladstone strategic port land. </w:t>
      </w:r>
    </w:p>
    <w:p w14:paraId="7288AC28"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Supporting and local industry locates in identified industrial places in the Gladstone urban area, Calliope and Boyne Island/Tannum Sands.</w:t>
      </w:r>
    </w:p>
    <w:p w14:paraId="00416515"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An adequate supply of industrial land in industrial places is available across the region within designated industrial places.</w:t>
      </w:r>
    </w:p>
    <w:p w14:paraId="67CF957E"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Industrial development occurs in a range of small and large lots that reflect site area requirements for a range of industrial activities. It must also be well serviced, connected to major transport links, transport routes and other key infrastructure and avoids adverse impacts on sensitive uses.</w:t>
      </w:r>
    </w:p>
    <w:p w14:paraId="21A6EBD4"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Major electricity, bulk water infrastructure and pipeline corridors including into the Gladstone State Development Area, Gladstone Power Station and Gladstone Port are protected from encroachment by development that would compromise their integrity and function.</w:t>
      </w:r>
    </w:p>
    <w:p w14:paraId="1BB1D8D8"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 xml:space="preserve">Gladstone’s CBD is the principal centre for business, government, entertainment and cultural activities. </w:t>
      </w:r>
    </w:p>
    <w:p w14:paraId="10D88C1F"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The region’s major shopping centres must reflect true mixed use centres in providing for a range of entertainment, community and residential uses and not just retailing.</w:t>
      </w:r>
    </w:p>
    <w:p w14:paraId="5E8436D5"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 xml:space="preserve">Business, and centre activities including retail uses occur in the region’s mixed use centres and in urban revitalisation neighbourhoods only where in the Mixed use zone. They are not supported in </w:t>
      </w:r>
      <w:r w:rsidRPr="009B7B35">
        <w:rPr>
          <w:rFonts w:ascii="Arial" w:hAnsi="Arial" w:cs="Arial"/>
          <w:sz w:val="20"/>
          <w:szCs w:val="20"/>
        </w:rPr>
        <w:br w:type="column"/>
      </w:r>
      <w:r w:rsidRPr="009B7B35">
        <w:rPr>
          <w:rFonts w:ascii="Arial" w:hAnsi="Arial" w:cs="Arial"/>
          <w:sz w:val="20"/>
          <w:szCs w:val="20"/>
        </w:rPr>
        <w:t>residential zones. Development within these areas ensures the viability of the region’s hierarchy of centres is maintained.</w:t>
      </w:r>
    </w:p>
    <w:p w14:paraId="113884B7"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 xml:space="preserve">Neighbourhood centres are limited to providing convenience level services for the day to day needs of surrounding local residential neighbourhoods. </w:t>
      </w:r>
    </w:p>
    <w:p w14:paraId="40481335"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Specialised centres provide for non–traditional centre activities such as showrooms, outdoor sales and bulky goods retailing. New specialised centre uses occur in the Specialised centre zone and not in other zones.</w:t>
      </w:r>
    </w:p>
    <w:p w14:paraId="2815B0F9"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Agricultural and rural land uses are a valuable economic and social resource and are conserved and sustained. Fragmentation of this resource is not supported.</w:t>
      </w:r>
    </w:p>
    <w:p w14:paraId="6332F654"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Agricultural land classification (A and B); intensive rural activities; stock routes; and intensive recreational activities in the Awoonga Dam catchment and bore areas are protected from incompatible land uses.</w:t>
      </w:r>
    </w:p>
    <w:p w14:paraId="3520E55C"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Tourism occurs in mixed use centres and the Gladstone CBD through short term accommodation and in integrated tourist resort complexes and associated facilities on the islands of Heron, Quoin and Lady Elliot. Other smaller scale tourist uses in rural and coastal townships (such as Agnes Water and Seventeen Seventy) and rural places are appropriate where associated with rural and coastal attractions.</w:t>
      </w:r>
    </w:p>
    <w:p w14:paraId="4A0BC307" w14:textId="77777777" w:rsidR="00BE36FB" w:rsidRPr="009B7B35" w:rsidRDefault="00BE36FB" w:rsidP="00BE36FB">
      <w:pPr>
        <w:numPr>
          <w:ilvl w:val="0"/>
          <w:numId w:val="37"/>
        </w:numPr>
        <w:contextualSpacing/>
        <w:rPr>
          <w:rFonts w:ascii="Arial" w:hAnsi="Arial" w:cs="Arial"/>
          <w:sz w:val="20"/>
          <w:szCs w:val="20"/>
        </w:rPr>
      </w:pPr>
      <w:r w:rsidRPr="009B7B35">
        <w:rPr>
          <w:rFonts w:ascii="Arial" w:hAnsi="Arial" w:cs="Arial"/>
          <w:sz w:val="20"/>
          <w:szCs w:val="20"/>
        </w:rPr>
        <w:t>Extractive industry development occurs only in key resource areas in the Extractive resources and minerals overlay and in parts of the Rural zone where resource extraction activities minimises and mitigates impacts on surrounding areas and the environment.</w:t>
      </w:r>
    </w:p>
    <w:p w14:paraId="4045BDC2" w14:textId="77777777" w:rsidR="00BE36FB" w:rsidRPr="009B7B35" w:rsidRDefault="00BE36FB" w:rsidP="001A7107">
      <w:pPr>
        <w:contextualSpacing/>
        <w:rPr>
          <w:rFonts w:ascii="Arial" w:hAnsi="Arial" w:cs="Arial"/>
          <w:sz w:val="20"/>
          <w:szCs w:val="20"/>
        </w:rPr>
      </w:pPr>
    </w:p>
    <w:p w14:paraId="4E8D89A0"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26E5AA46" w14:textId="77777777" w:rsidR="00BE36FB" w:rsidRPr="009B7B35" w:rsidRDefault="00BE36FB" w:rsidP="00BE36FB">
      <w:pPr>
        <w:pStyle w:val="Heading3"/>
        <w:numPr>
          <w:ilvl w:val="2"/>
          <w:numId w:val="29"/>
        </w:numPr>
        <w:spacing w:after="240"/>
        <w:contextualSpacing/>
        <w:rPr>
          <w:rFonts w:ascii="Arial" w:hAnsi="Arial"/>
          <w:sz w:val="20"/>
          <w:szCs w:val="20"/>
        </w:rPr>
      </w:pPr>
      <w:bookmarkStart w:id="106" w:name="_Toc205367299"/>
      <w:r w:rsidRPr="009B7B35">
        <w:rPr>
          <w:rFonts w:ascii="Arial" w:hAnsi="Arial"/>
          <w:sz w:val="20"/>
          <w:szCs w:val="20"/>
        </w:rPr>
        <w:t>Elements</w:t>
      </w:r>
      <w:bookmarkEnd w:id="106"/>
    </w:p>
    <w:p w14:paraId="53C20F87" w14:textId="77777777" w:rsidR="00BE36FB" w:rsidRPr="009B7B35" w:rsidRDefault="00BE36FB" w:rsidP="001A7107">
      <w:pPr>
        <w:pStyle w:val="Highlightlineblue"/>
        <w:contextualSpacing/>
        <w:rPr>
          <w:rFonts w:ascii="Arial" w:hAnsi="Arial" w:cs="Arial"/>
          <w:szCs w:val="20"/>
        </w:rPr>
      </w:pPr>
      <w:r w:rsidRPr="009B7B35">
        <w:rPr>
          <w:rFonts w:ascii="Arial" w:hAnsi="Arial" w:cs="Arial"/>
          <w:szCs w:val="20"/>
        </w:rPr>
        <w:t>A gateway for industry</w:t>
      </w:r>
    </w:p>
    <w:p w14:paraId="56DA8E8D"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199B8F44"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Industry occurs at the right locations – the Gladstone State Development Area for major high impact or land intensive development, Gladstone Port for industry needing harbour and port access and specific use and industrial places within Council’s jurisdiction for industry </w:t>
      </w:r>
      <w:r w:rsidRPr="009B7B35">
        <w:rPr>
          <w:rFonts w:ascii="Arial" w:hAnsi="Arial" w:cs="Arial"/>
          <w:sz w:val="20"/>
          <w:szCs w:val="20"/>
        </w:rPr>
        <w:br w:type="column"/>
      </w:r>
      <w:r w:rsidRPr="009B7B35">
        <w:rPr>
          <w:rFonts w:ascii="Arial" w:hAnsi="Arial" w:cs="Arial"/>
          <w:sz w:val="20"/>
          <w:szCs w:val="20"/>
        </w:rPr>
        <w:t xml:space="preserve">meeting the needs of the region and supporting major industry. Gladstone’s road, rail, and port infrastructure provide the opportunity for a multi–modal inland port for freight and logistics purposes to be established subject to further investigations on location, servicing, access and environmental values and hazards. </w:t>
      </w:r>
    </w:p>
    <w:p w14:paraId="7FD3E79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lastRenderedPageBreak/>
        <w:t>New industry areas are located only in the Industry Investigation zone or in the Medium impact industry zone in the Red Rover Road precinct. Development in these areas, as expressed in structure plans, must have:</w:t>
      </w:r>
    </w:p>
    <w:p w14:paraId="7F68550F" w14:textId="77777777" w:rsidR="00BE36FB" w:rsidRPr="009B7B35" w:rsidRDefault="00BE36FB" w:rsidP="001A7107">
      <w:pPr>
        <w:contextualSpacing/>
        <w:rPr>
          <w:rFonts w:ascii="Arial" w:hAnsi="Arial" w:cs="Arial"/>
          <w:sz w:val="20"/>
          <w:szCs w:val="20"/>
        </w:rPr>
      </w:pPr>
    </w:p>
    <w:p w14:paraId="60940C1F" w14:textId="77777777" w:rsidR="00BE36FB" w:rsidRPr="009B7B35" w:rsidRDefault="00BE36FB" w:rsidP="001A7107">
      <w:pPr>
        <w:pStyle w:val="ListBullet"/>
        <w:spacing w:before="0" w:after="0"/>
        <w:contextualSpacing/>
        <w:rPr>
          <w:rFonts w:cs="Arial"/>
          <w:szCs w:val="20"/>
        </w:rPr>
      </w:pPr>
      <w:r w:rsidRPr="009B7B35">
        <w:rPr>
          <w:rFonts w:cs="Arial"/>
          <w:szCs w:val="20"/>
        </w:rPr>
        <w:t>appropriate infrastructure, services and transport connections</w:t>
      </w:r>
    </w:p>
    <w:p w14:paraId="2AA1DBDA" w14:textId="77777777" w:rsidR="00BE36FB" w:rsidRPr="009B7B35" w:rsidRDefault="00BE36FB" w:rsidP="001A7107">
      <w:pPr>
        <w:pStyle w:val="ListBullet"/>
        <w:spacing w:before="0" w:after="0"/>
        <w:contextualSpacing/>
        <w:rPr>
          <w:rFonts w:cs="Arial"/>
          <w:szCs w:val="20"/>
        </w:rPr>
      </w:pPr>
      <w:r w:rsidRPr="009B7B35">
        <w:rPr>
          <w:rFonts w:cs="Arial"/>
          <w:szCs w:val="20"/>
        </w:rPr>
        <w:t>a range of lot sizes to facilitate industry land uses</w:t>
      </w:r>
    </w:p>
    <w:p w14:paraId="1E7C04D4" w14:textId="77777777" w:rsidR="00BE36FB" w:rsidRPr="009B7B35" w:rsidRDefault="00BE36FB" w:rsidP="001A7107">
      <w:pPr>
        <w:pStyle w:val="ListBullet"/>
        <w:spacing w:before="0" w:after="0"/>
        <w:contextualSpacing/>
        <w:rPr>
          <w:rFonts w:cs="Arial"/>
          <w:szCs w:val="20"/>
        </w:rPr>
      </w:pPr>
      <w:r w:rsidRPr="009B7B35">
        <w:rPr>
          <w:rFonts w:cs="Arial"/>
          <w:szCs w:val="20"/>
        </w:rPr>
        <w:t>footprints that minimise impact or risks from environmental constraints and hazards, and</w:t>
      </w:r>
    </w:p>
    <w:p w14:paraId="16D1E933" w14:textId="77777777" w:rsidR="00BE36FB" w:rsidRPr="009B7B35" w:rsidRDefault="00BE36FB" w:rsidP="001A7107">
      <w:pPr>
        <w:pStyle w:val="ListBullet"/>
        <w:spacing w:before="0" w:after="0"/>
        <w:contextualSpacing/>
        <w:rPr>
          <w:rFonts w:cs="Arial"/>
          <w:szCs w:val="20"/>
        </w:rPr>
      </w:pPr>
      <w:r w:rsidRPr="009B7B35">
        <w:rPr>
          <w:rFonts w:cs="Arial"/>
          <w:szCs w:val="20"/>
        </w:rPr>
        <w:t>an appropriate interface to adjoining areas.</w:t>
      </w:r>
    </w:p>
    <w:p w14:paraId="0DEBF524" w14:textId="77777777" w:rsidR="00BE36FB" w:rsidRPr="009B7B35" w:rsidRDefault="00BE36FB" w:rsidP="001A7107">
      <w:pPr>
        <w:contextualSpacing/>
        <w:rPr>
          <w:rFonts w:ascii="Arial" w:hAnsi="Arial" w:cs="Arial"/>
          <w:sz w:val="20"/>
          <w:szCs w:val="20"/>
        </w:rPr>
      </w:pPr>
    </w:p>
    <w:p w14:paraId="30280E9E"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Local industry elsewhere in the region (including at Boyne Island Tannum Sands (near the Sewage Treatment Plant), Calliope and Agnes Water) serves local needs in defined industry zoned areas that can be serviced and with good access. </w:t>
      </w:r>
    </w:p>
    <w:p w14:paraId="0BC58125" w14:textId="77777777" w:rsidR="00BE36FB" w:rsidRPr="009B7B35" w:rsidRDefault="00BE36FB" w:rsidP="001A7107">
      <w:pPr>
        <w:contextualSpacing/>
        <w:rPr>
          <w:rFonts w:ascii="Arial" w:hAnsi="Arial" w:cs="Arial"/>
          <w:sz w:val="20"/>
          <w:szCs w:val="20"/>
        </w:rPr>
      </w:pPr>
    </w:p>
    <w:p w14:paraId="32F80F55"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A range of lot sizes and types is provided for different industry with infrastructure and services, and design provisions tailored to specific localities to achieve this diversity. The Low impact industry zone is located within urban areas and characterised by smaller lot sizes. Larger lots are provided in the Medium impact industry zone on the fringe of Gladstone city.</w:t>
      </w:r>
    </w:p>
    <w:p w14:paraId="7170EDC4" w14:textId="77777777" w:rsidR="00BE36FB" w:rsidRPr="009B7B35" w:rsidRDefault="00BE36FB" w:rsidP="001A7107">
      <w:pPr>
        <w:contextualSpacing/>
        <w:rPr>
          <w:rFonts w:ascii="Arial" w:hAnsi="Arial" w:cs="Arial"/>
          <w:sz w:val="20"/>
          <w:szCs w:val="20"/>
        </w:rPr>
      </w:pPr>
    </w:p>
    <w:p w14:paraId="145E79C2"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viability and ongoing use of specific use and industrial places is protected by avoiding encroachment of incompatible uses into areas including major pipelines, major electricity and other infrastructure corridors servicing the Gladstone State Development Area, Gladstone Power Station and Gladstone Port.</w:t>
      </w:r>
    </w:p>
    <w:p w14:paraId="0771BD34" w14:textId="77777777" w:rsidR="00BE36FB" w:rsidRPr="009B7B35" w:rsidRDefault="00BE36FB" w:rsidP="001A7107">
      <w:pPr>
        <w:contextualSpacing/>
        <w:rPr>
          <w:rFonts w:ascii="Arial" w:hAnsi="Arial" w:cs="Arial"/>
          <w:sz w:val="20"/>
          <w:szCs w:val="20"/>
        </w:rPr>
      </w:pPr>
    </w:p>
    <w:p w14:paraId="3174306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Likewise, major industrial development including that within the Gladstone State Development Area and Strategic Port Land areas incorporate buffers within their development areas to minimise and mitigate impacts on adjoining land.</w:t>
      </w:r>
    </w:p>
    <w:p w14:paraId="5172E32C" w14:textId="77777777" w:rsidR="00BE36FB" w:rsidRPr="009B7B35" w:rsidRDefault="00BE36FB">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3F81E873" w14:textId="77777777" w:rsidR="00BE36FB" w:rsidRPr="009B7B35" w:rsidRDefault="00BE36FB" w:rsidP="001A7107">
      <w:pPr>
        <w:contextualSpacing/>
        <w:rPr>
          <w:rFonts w:ascii="Arial" w:hAnsi="Arial" w:cs="Arial"/>
          <w:sz w:val="20"/>
          <w:szCs w:val="20"/>
        </w:rPr>
      </w:pPr>
    </w:p>
    <w:p w14:paraId="75BF58F8" w14:textId="77777777" w:rsidR="00BE36FB" w:rsidRPr="009B7B35" w:rsidRDefault="00BE36FB" w:rsidP="001A7107">
      <w:pPr>
        <w:pStyle w:val="Highlightlineblue"/>
        <w:rPr>
          <w:rFonts w:ascii="Arial" w:hAnsi="Arial" w:cs="Arial"/>
          <w:szCs w:val="20"/>
        </w:rPr>
      </w:pPr>
      <w:r w:rsidRPr="009B7B35">
        <w:rPr>
          <w:rFonts w:ascii="Arial" w:hAnsi="Arial" w:cs="Arial"/>
          <w:szCs w:val="20"/>
        </w:rPr>
        <w:t>A gateway for local business</w:t>
      </w:r>
    </w:p>
    <w:p w14:paraId="48C51017"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4B070EB5"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Gladstone region has a diverse and growing economy underpinned by commerce, business and retail functions in a range of centres. It provides development and business opportunities in education and training, particularly leveraging off the presence of Central Queensland University and the mining and energy sector.</w:t>
      </w:r>
    </w:p>
    <w:p w14:paraId="68CC131D" w14:textId="77777777" w:rsidR="00BE36FB" w:rsidRPr="009B7B35" w:rsidRDefault="00BE36FB" w:rsidP="001A7107">
      <w:pPr>
        <w:contextualSpacing/>
        <w:rPr>
          <w:rFonts w:ascii="Arial" w:hAnsi="Arial" w:cs="Arial"/>
          <w:sz w:val="20"/>
          <w:szCs w:val="20"/>
        </w:rPr>
      </w:pPr>
    </w:p>
    <w:p w14:paraId="780625C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region’s mixed use centres and urban revitalisation neighbourhoods occur in the Neighbourhood centre, Centre, Principal centre, Mixed use and Specialised centre zones. Business and centre activities occur in these zones and are not supported in residential zones as this is inconsistent with the form, function and amenity of residential neighbourhoods.</w:t>
      </w:r>
    </w:p>
    <w:p w14:paraId="1EE57415" w14:textId="77777777" w:rsidR="00BE36FB" w:rsidRPr="009B7B35" w:rsidRDefault="00BE36FB" w:rsidP="001A7107">
      <w:pPr>
        <w:contextualSpacing/>
        <w:rPr>
          <w:rFonts w:ascii="Arial" w:hAnsi="Arial" w:cs="Arial"/>
          <w:sz w:val="20"/>
          <w:szCs w:val="20"/>
        </w:rPr>
      </w:pPr>
    </w:p>
    <w:p w14:paraId="63A3031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Mixed use centres incorporate a variety of uses which varies depending on the role and function of the area. The intent for these areas is that they are not dominated by a single use such as retail, but rather include a range of retail, commercial, entertainment and community uses which increases activity during and after regular business hours. </w:t>
      </w:r>
    </w:p>
    <w:p w14:paraId="7FBABC21" w14:textId="77777777" w:rsidR="00BE36FB" w:rsidRPr="009B7B35" w:rsidRDefault="00BE36FB" w:rsidP="001A7107">
      <w:pPr>
        <w:contextualSpacing/>
        <w:rPr>
          <w:rFonts w:ascii="Arial" w:hAnsi="Arial" w:cs="Arial"/>
          <w:sz w:val="20"/>
          <w:szCs w:val="20"/>
        </w:rPr>
      </w:pPr>
    </w:p>
    <w:p w14:paraId="39D04D54"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Other than in the Neighbourhood centre and Specialised centre zones, permanent residential uses are also encouraged in a variety of forms. </w:t>
      </w:r>
    </w:p>
    <w:p w14:paraId="0733556D" w14:textId="77777777" w:rsidR="00BE36FB" w:rsidRPr="009B7B35" w:rsidRDefault="00BE36FB" w:rsidP="001A7107">
      <w:pPr>
        <w:contextualSpacing/>
        <w:rPr>
          <w:rFonts w:ascii="Arial" w:hAnsi="Arial" w:cs="Arial"/>
          <w:sz w:val="20"/>
          <w:szCs w:val="20"/>
        </w:rPr>
      </w:pPr>
    </w:p>
    <w:p w14:paraId="5760FC21"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section below describes the region’s hierarchy of centres from largest to smallest. Growth or any expansion within these centres:</w:t>
      </w:r>
    </w:p>
    <w:p w14:paraId="3EB56D68" w14:textId="77777777" w:rsidR="00BE36FB" w:rsidRPr="009B7B35" w:rsidRDefault="00BE36FB" w:rsidP="001A7107">
      <w:pPr>
        <w:pStyle w:val="ListBullet"/>
        <w:contextualSpacing/>
        <w:rPr>
          <w:rFonts w:cs="Arial"/>
          <w:szCs w:val="20"/>
        </w:rPr>
      </w:pPr>
      <w:r w:rsidRPr="009B7B35">
        <w:rPr>
          <w:rFonts w:cs="Arial"/>
          <w:szCs w:val="20"/>
        </w:rPr>
        <w:t>occurs commensurate with community needs</w:t>
      </w:r>
    </w:p>
    <w:p w14:paraId="51330C71" w14:textId="77777777" w:rsidR="00BE36FB" w:rsidRPr="009B7B35" w:rsidRDefault="00BE36FB" w:rsidP="001A7107">
      <w:pPr>
        <w:pStyle w:val="ListBullet"/>
        <w:contextualSpacing/>
        <w:rPr>
          <w:rFonts w:cs="Arial"/>
          <w:szCs w:val="20"/>
        </w:rPr>
      </w:pPr>
      <w:r w:rsidRPr="009B7B35">
        <w:rPr>
          <w:rFonts w:cs="Arial"/>
          <w:szCs w:val="20"/>
        </w:rPr>
        <w:t>does not impact on the viability of other centres in the region, and</w:t>
      </w:r>
    </w:p>
    <w:p w14:paraId="2E7126D7" w14:textId="77777777" w:rsidR="00BE36FB" w:rsidRPr="009B7B35" w:rsidRDefault="00BE36FB" w:rsidP="001A7107">
      <w:pPr>
        <w:pStyle w:val="ListBullet"/>
        <w:contextualSpacing/>
        <w:rPr>
          <w:rFonts w:cs="Arial"/>
          <w:szCs w:val="20"/>
        </w:rPr>
      </w:pPr>
      <w:r w:rsidRPr="009B7B35">
        <w:rPr>
          <w:rFonts w:cs="Arial"/>
          <w:szCs w:val="20"/>
        </w:rPr>
        <w:t>integrates development with surrounding areas.</w:t>
      </w:r>
    </w:p>
    <w:p w14:paraId="45EBCD23" w14:textId="77777777" w:rsidR="00BE36FB" w:rsidRPr="009B7B35" w:rsidRDefault="00BE36FB" w:rsidP="001A7107">
      <w:pPr>
        <w:contextualSpacing/>
        <w:rPr>
          <w:rFonts w:ascii="Arial" w:hAnsi="Arial" w:cs="Arial"/>
          <w:sz w:val="20"/>
          <w:szCs w:val="20"/>
        </w:rPr>
      </w:pPr>
    </w:p>
    <w:p w14:paraId="0229990D"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The Principal centre – CBD</w:t>
      </w:r>
    </w:p>
    <w:p w14:paraId="10E13954" w14:textId="77777777" w:rsidR="00BE36FB" w:rsidRPr="009B7B35" w:rsidRDefault="00BE36FB" w:rsidP="001A7107">
      <w:pPr>
        <w:contextualSpacing/>
        <w:rPr>
          <w:rFonts w:ascii="Arial" w:hAnsi="Arial" w:cs="Arial"/>
          <w:sz w:val="20"/>
          <w:szCs w:val="20"/>
        </w:rPr>
      </w:pPr>
    </w:p>
    <w:p w14:paraId="2B61087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CBD accommodates the region’s most diverse and intense mix of business, commercial and community activities. It is critical to the economy and the administration of the region and provides the greatest concentration of civic buildings, major offices and cultural facilities. Increasingly, speciality shopping and above ground level residential developments are part of the mix as well.</w:t>
      </w:r>
    </w:p>
    <w:p w14:paraId="448D6EA7" w14:textId="77777777" w:rsidR="00BE36FB" w:rsidRPr="009B7B35" w:rsidRDefault="00BE36FB" w:rsidP="001A7107">
      <w:pPr>
        <w:contextualSpacing/>
        <w:rPr>
          <w:rFonts w:ascii="Arial" w:hAnsi="Arial" w:cs="Arial"/>
          <w:sz w:val="20"/>
          <w:szCs w:val="20"/>
        </w:rPr>
      </w:pPr>
    </w:p>
    <w:p w14:paraId="00DADED4"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Major office based employment is concentrated along Goondoon Street, including office and administrative functions of major industry projects and developments. The CBD is also a meeting place, day and night, and has the widest selection of short term accommodation, dining and entertainment facilities in the region. As such, the amenity of the CBD is that of a highly urbanised centre with a range of day and night activities. New development provides streetscape improvements which encourages active transport and integration of greenery.</w:t>
      </w:r>
    </w:p>
    <w:p w14:paraId="67A31C8B" w14:textId="77777777" w:rsidR="00BE36FB" w:rsidRPr="009B7B35" w:rsidRDefault="00BE36FB" w:rsidP="001A7107">
      <w:pPr>
        <w:contextualSpacing/>
        <w:rPr>
          <w:rFonts w:ascii="Arial" w:hAnsi="Arial" w:cs="Arial"/>
          <w:sz w:val="20"/>
          <w:szCs w:val="20"/>
        </w:rPr>
      </w:pPr>
    </w:p>
    <w:p w14:paraId="778ADCCE" w14:textId="77777777" w:rsidR="00BE36FB" w:rsidRPr="009B7B35" w:rsidRDefault="00BE36FB" w:rsidP="001A7107">
      <w:pPr>
        <w:contextualSpacing/>
        <w:rPr>
          <w:rFonts w:ascii="Arial" w:hAnsi="Arial" w:cs="Arial"/>
          <w:sz w:val="20"/>
          <w:szCs w:val="20"/>
        </w:rPr>
      </w:pPr>
    </w:p>
    <w:p w14:paraId="2545CE1D" w14:textId="77777777" w:rsidR="00BE36FB" w:rsidRPr="009B7B35" w:rsidRDefault="00BE36FB" w:rsidP="001A7107">
      <w:pPr>
        <w:contextualSpacing/>
        <w:rPr>
          <w:rFonts w:ascii="Arial" w:hAnsi="Arial" w:cs="Arial"/>
          <w:sz w:val="20"/>
          <w:szCs w:val="20"/>
        </w:rPr>
      </w:pPr>
    </w:p>
    <w:p w14:paraId="0200EB02" w14:textId="77777777" w:rsidR="00BE36FB" w:rsidRPr="009B7B35" w:rsidRDefault="00BE36FB" w:rsidP="001A7107">
      <w:pPr>
        <w:contextualSpacing/>
        <w:rPr>
          <w:rFonts w:ascii="Arial" w:hAnsi="Arial" w:cs="Arial"/>
          <w:sz w:val="20"/>
          <w:szCs w:val="20"/>
        </w:rPr>
      </w:pPr>
    </w:p>
    <w:p w14:paraId="78444F3D"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lastRenderedPageBreak/>
        <w:t>Major shopping centres</w:t>
      </w:r>
    </w:p>
    <w:p w14:paraId="6FA0DB1C" w14:textId="77777777" w:rsidR="00BE36FB" w:rsidRPr="009B7B35" w:rsidRDefault="00BE36FB" w:rsidP="001A7107">
      <w:pPr>
        <w:contextualSpacing/>
        <w:rPr>
          <w:rFonts w:ascii="Arial" w:hAnsi="Arial" w:cs="Arial"/>
          <w:sz w:val="20"/>
          <w:szCs w:val="20"/>
        </w:rPr>
      </w:pPr>
    </w:p>
    <w:p w14:paraId="0902ACF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region’s major shopping centres are identified in the Centre zone. They provide regional and sub–regional retail services. Major shopping centres are to transition into true mixed use centres that are more than a traditional shopping mall to also include entertainment, community and above ground residential uses.</w:t>
      </w:r>
    </w:p>
    <w:p w14:paraId="46B374CC" w14:textId="77777777" w:rsidR="00BE36FB" w:rsidRPr="009B7B35" w:rsidRDefault="00BE36FB" w:rsidP="001A7107">
      <w:pPr>
        <w:contextualSpacing/>
        <w:rPr>
          <w:rFonts w:ascii="Arial" w:hAnsi="Arial" w:cs="Arial"/>
          <w:sz w:val="20"/>
          <w:szCs w:val="20"/>
        </w:rPr>
      </w:pPr>
    </w:p>
    <w:p w14:paraId="6D949EDB" w14:textId="77777777" w:rsidR="00BE36FB" w:rsidRPr="009B7B35" w:rsidRDefault="00BE36FB" w:rsidP="001A7107">
      <w:pPr>
        <w:contextualSpacing/>
        <w:rPr>
          <w:rFonts w:ascii="Arial" w:hAnsi="Arial" w:cs="Arial"/>
          <w:i/>
          <w:sz w:val="20"/>
          <w:szCs w:val="20"/>
        </w:rPr>
      </w:pPr>
      <w:r w:rsidRPr="009B7B35">
        <w:rPr>
          <w:rFonts w:ascii="Arial" w:hAnsi="Arial" w:cs="Arial"/>
          <w:i/>
          <w:sz w:val="20"/>
          <w:szCs w:val="20"/>
        </w:rPr>
        <w:t>Kin Kora centre</w:t>
      </w:r>
    </w:p>
    <w:p w14:paraId="799F3536" w14:textId="77777777" w:rsidR="00BE36FB" w:rsidRPr="009B7B35" w:rsidRDefault="00BE36FB" w:rsidP="001A7107">
      <w:pPr>
        <w:contextualSpacing/>
        <w:rPr>
          <w:rFonts w:ascii="Arial" w:hAnsi="Arial" w:cs="Arial"/>
          <w:sz w:val="20"/>
          <w:szCs w:val="20"/>
        </w:rPr>
      </w:pPr>
    </w:p>
    <w:p w14:paraId="6BC949F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Kin Kora shopping centre, located around the intersection of Philip Street and astride the Dawson Highway, is Gladstone’s largest mixed use centre. It offers a range of services and is well connected by the city’s public transport. Kin Kora also services communities at Boyne Island, Tannum Sands and Calliope, which have been reliant on private vehicles to make the longer journey to shop.</w:t>
      </w:r>
    </w:p>
    <w:p w14:paraId="24281BA5" w14:textId="77777777" w:rsidR="00BE36FB" w:rsidRPr="009B7B35" w:rsidRDefault="00BE36FB" w:rsidP="001A7107">
      <w:pPr>
        <w:contextualSpacing/>
        <w:rPr>
          <w:rFonts w:ascii="Arial" w:hAnsi="Arial" w:cs="Arial"/>
          <w:sz w:val="20"/>
          <w:szCs w:val="20"/>
        </w:rPr>
      </w:pPr>
    </w:p>
    <w:p w14:paraId="31B94D5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Kin Kora will remain as the largest retail shopping and mixed use node for the region with a potential expansion of up to 50,000m</w:t>
      </w:r>
      <w:r w:rsidRPr="009B7B35">
        <w:rPr>
          <w:rFonts w:ascii="Arial" w:hAnsi="Arial" w:cs="Arial"/>
          <w:sz w:val="20"/>
          <w:szCs w:val="20"/>
          <w:vertAlign w:val="superscript"/>
        </w:rPr>
        <w:t>2</w:t>
      </w:r>
      <w:r w:rsidRPr="009B7B35">
        <w:rPr>
          <w:rFonts w:ascii="Arial" w:hAnsi="Arial" w:cs="Arial"/>
          <w:sz w:val="20"/>
          <w:szCs w:val="20"/>
        </w:rPr>
        <w:t xml:space="preserve"> of lettable area and the inclusion of a full line department store.</w:t>
      </w:r>
    </w:p>
    <w:p w14:paraId="2CD94951" w14:textId="77777777" w:rsidR="00BE36FB" w:rsidRPr="009B7B35" w:rsidRDefault="00BE36FB" w:rsidP="001A7107">
      <w:pPr>
        <w:contextualSpacing/>
        <w:rPr>
          <w:rFonts w:ascii="Arial" w:hAnsi="Arial" w:cs="Arial"/>
          <w:sz w:val="20"/>
          <w:szCs w:val="20"/>
        </w:rPr>
      </w:pPr>
    </w:p>
    <w:p w14:paraId="26DE772D" w14:textId="77777777" w:rsidR="00BE36FB" w:rsidRPr="009B7B35" w:rsidRDefault="00BE36FB" w:rsidP="001A7107">
      <w:pPr>
        <w:contextualSpacing/>
        <w:rPr>
          <w:rFonts w:ascii="Arial" w:hAnsi="Arial" w:cs="Arial"/>
          <w:i/>
          <w:sz w:val="20"/>
          <w:szCs w:val="20"/>
        </w:rPr>
      </w:pPr>
      <w:r w:rsidRPr="009B7B35">
        <w:rPr>
          <w:rFonts w:ascii="Arial" w:hAnsi="Arial" w:cs="Arial"/>
          <w:i/>
          <w:sz w:val="20"/>
          <w:szCs w:val="20"/>
        </w:rPr>
        <w:t>Gladstone central</w:t>
      </w:r>
    </w:p>
    <w:p w14:paraId="3F8ECF84" w14:textId="77777777" w:rsidR="00BE36FB" w:rsidRPr="009B7B35" w:rsidRDefault="00BE36FB" w:rsidP="001A7107">
      <w:pPr>
        <w:contextualSpacing/>
        <w:rPr>
          <w:rFonts w:ascii="Arial" w:hAnsi="Arial" w:cs="Arial"/>
          <w:sz w:val="20"/>
          <w:szCs w:val="20"/>
        </w:rPr>
      </w:pPr>
    </w:p>
    <w:p w14:paraId="64BBD072"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Gladstone Central lies along the western side of the Dawson Highway south of Park Street. It is a narrow and elongated centre that is constrained by sloping land, the Dawson Highway and a rail corridor. These features restrict any further expansion of this centre.</w:t>
      </w:r>
    </w:p>
    <w:p w14:paraId="143888EC" w14:textId="77777777" w:rsidR="00BE36FB" w:rsidRPr="009B7B35" w:rsidRDefault="00BE36FB" w:rsidP="001A7107">
      <w:pPr>
        <w:contextualSpacing/>
        <w:rPr>
          <w:rFonts w:ascii="Arial" w:hAnsi="Arial" w:cs="Arial"/>
          <w:sz w:val="20"/>
          <w:szCs w:val="20"/>
        </w:rPr>
      </w:pPr>
    </w:p>
    <w:p w14:paraId="57E9819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Gladstone Central includes a shopping centre / supermarket, cinema, hotel, dining and takeaway, speciality shopping and office and medical related services. This mix of uses reflects many of the features of a mixed use centre. In particular, there is an entertainment focus that includes a burgeoning after hours food retailing destination with a number of restaurants and cafes.</w:t>
      </w:r>
    </w:p>
    <w:p w14:paraId="341DCFCE" w14:textId="77777777" w:rsidR="00BE36FB" w:rsidRPr="009B7B35" w:rsidRDefault="00BE36FB" w:rsidP="001A7107">
      <w:pPr>
        <w:contextualSpacing/>
        <w:rPr>
          <w:rFonts w:ascii="Arial" w:hAnsi="Arial" w:cs="Arial"/>
          <w:sz w:val="20"/>
          <w:szCs w:val="20"/>
        </w:rPr>
      </w:pPr>
    </w:p>
    <w:p w14:paraId="76B9EA0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Future land use must compliment this land use mix and any redevelopment must improve pedestrian on site connectivity particularly to the lower section of the centre.</w:t>
      </w:r>
    </w:p>
    <w:p w14:paraId="5553E05D" w14:textId="77777777" w:rsidR="00BE36FB" w:rsidRPr="009B7B35" w:rsidRDefault="00BE36FB" w:rsidP="001A7107">
      <w:pPr>
        <w:contextualSpacing/>
        <w:rPr>
          <w:rFonts w:ascii="Arial" w:hAnsi="Arial" w:cs="Arial"/>
          <w:sz w:val="20"/>
          <w:szCs w:val="20"/>
        </w:rPr>
      </w:pPr>
    </w:p>
    <w:p w14:paraId="0DD3371D" w14:textId="77777777" w:rsidR="00BE36FB" w:rsidRPr="009B7B35" w:rsidRDefault="00BE36FB" w:rsidP="001A7107">
      <w:pPr>
        <w:contextualSpacing/>
        <w:rPr>
          <w:rFonts w:ascii="Arial" w:hAnsi="Arial" w:cs="Arial"/>
          <w:i/>
          <w:sz w:val="20"/>
          <w:szCs w:val="20"/>
        </w:rPr>
      </w:pPr>
      <w:r w:rsidRPr="009B7B35">
        <w:rPr>
          <w:rFonts w:ascii="Arial" w:hAnsi="Arial" w:cs="Arial"/>
          <w:i/>
          <w:sz w:val="20"/>
          <w:szCs w:val="20"/>
        </w:rPr>
        <w:t xml:space="preserve">Kirkwood Road centre </w:t>
      </w:r>
    </w:p>
    <w:p w14:paraId="7AF61984" w14:textId="77777777" w:rsidR="00BE36FB" w:rsidRPr="009B7B35" w:rsidRDefault="00BE36FB" w:rsidP="001A7107">
      <w:pPr>
        <w:contextualSpacing/>
        <w:rPr>
          <w:rFonts w:ascii="Arial" w:hAnsi="Arial" w:cs="Arial"/>
          <w:color w:val="FF0000"/>
          <w:sz w:val="20"/>
          <w:szCs w:val="20"/>
        </w:rPr>
      </w:pPr>
    </w:p>
    <w:p w14:paraId="4E3DCFD1"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Kirkwood Road centre is bounded on the corner of Kirkwood Road, Dixon Drive and Kahler Close and is characterised by an existing shopping centre, service station and food and drink outlet. The site represents some development potential however any future </w:t>
      </w:r>
      <w:r w:rsidRPr="009B7B35">
        <w:rPr>
          <w:rFonts w:ascii="Arial" w:hAnsi="Arial" w:cs="Arial"/>
          <w:sz w:val="20"/>
          <w:szCs w:val="20"/>
        </w:rPr>
        <w:t xml:space="preserve">expansion is to provide lower order retail and/or commercial uses which service the immediate and future Kirkwood community. No further expansion of this centre is supported beyond the existing boundaries. </w:t>
      </w:r>
    </w:p>
    <w:p w14:paraId="345A704D" w14:textId="77777777" w:rsidR="00BE36FB" w:rsidRPr="009B7B35" w:rsidRDefault="00BE36FB" w:rsidP="001A7107">
      <w:pPr>
        <w:contextualSpacing/>
        <w:rPr>
          <w:rFonts w:ascii="Arial" w:hAnsi="Arial" w:cs="Arial"/>
          <w:i/>
          <w:sz w:val="20"/>
          <w:szCs w:val="20"/>
        </w:rPr>
      </w:pPr>
    </w:p>
    <w:p w14:paraId="0C92F89E" w14:textId="77777777" w:rsidR="00BE36FB" w:rsidRPr="009B7B35" w:rsidRDefault="00BE36FB" w:rsidP="001A7107">
      <w:pPr>
        <w:contextualSpacing/>
        <w:rPr>
          <w:rFonts w:ascii="Arial" w:hAnsi="Arial" w:cs="Arial"/>
          <w:i/>
          <w:sz w:val="20"/>
          <w:szCs w:val="20"/>
        </w:rPr>
      </w:pPr>
      <w:r w:rsidRPr="009B7B35">
        <w:rPr>
          <w:rFonts w:ascii="Arial" w:hAnsi="Arial" w:cs="Arial"/>
          <w:i/>
          <w:sz w:val="20"/>
          <w:szCs w:val="20"/>
        </w:rPr>
        <w:t>Boyne Island centre</w:t>
      </w:r>
    </w:p>
    <w:p w14:paraId="7D58732D" w14:textId="77777777" w:rsidR="00BE36FB" w:rsidRPr="009B7B35" w:rsidRDefault="00BE36FB" w:rsidP="001A7107">
      <w:pPr>
        <w:contextualSpacing/>
        <w:rPr>
          <w:rFonts w:ascii="Arial" w:hAnsi="Arial" w:cs="Arial"/>
          <w:sz w:val="20"/>
          <w:szCs w:val="20"/>
        </w:rPr>
      </w:pPr>
    </w:p>
    <w:p w14:paraId="454784E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There is potential to expand the area in the Mixed use zone, on the corner of Wyndham Avenue and Centenary Drive, east from the existing centre across Wyndham Avenue. Land uses not only provide for traditional shopping and retail but also entertainment, dining and residential that takes advantage of proximity to the Boyne River through improved public access and activity along the river.</w:t>
      </w:r>
    </w:p>
    <w:p w14:paraId="63C16535" w14:textId="77777777" w:rsidR="00BE36FB" w:rsidRPr="009B7B35" w:rsidRDefault="00BE36FB" w:rsidP="001A7107">
      <w:pPr>
        <w:contextualSpacing/>
        <w:rPr>
          <w:rFonts w:ascii="Arial" w:hAnsi="Arial" w:cs="Arial"/>
          <w:sz w:val="20"/>
          <w:szCs w:val="20"/>
        </w:rPr>
      </w:pPr>
    </w:p>
    <w:p w14:paraId="0D54884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Boyne Island centre is further consolidated with a community facility focus with expansion of the library, other community uses and also child care services.</w:t>
      </w:r>
    </w:p>
    <w:p w14:paraId="7EFE014F" w14:textId="77777777" w:rsidR="00BE36FB" w:rsidRPr="009B7B35" w:rsidRDefault="00BE36FB" w:rsidP="001A7107">
      <w:pPr>
        <w:contextualSpacing/>
        <w:rPr>
          <w:rFonts w:ascii="Arial" w:hAnsi="Arial" w:cs="Arial"/>
          <w:i/>
          <w:sz w:val="20"/>
          <w:szCs w:val="20"/>
        </w:rPr>
      </w:pPr>
    </w:p>
    <w:p w14:paraId="71851FE5" w14:textId="77777777" w:rsidR="00BE36FB" w:rsidRPr="009B7B35" w:rsidRDefault="00BE36FB" w:rsidP="001A7107">
      <w:pPr>
        <w:contextualSpacing/>
        <w:rPr>
          <w:rFonts w:ascii="Arial" w:hAnsi="Arial" w:cs="Arial"/>
          <w:i/>
          <w:sz w:val="20"/>
          <w:szCs w:val="20"/>
        </w:rPr>
      </w:pPr>
      <w:r w:rsidRPr="009B7B35">
        <w:rPr>
          <w:rFonts w:ascii="Arial" w:hAnsi="Arial" w:cs="Arial"/>
          <w:i/>
          <w:sz w:val="20"/>
          <w:szCs w:val="20"/>
        </w:rPr>
        <w:t>Tannum Sands centre</w:t>
      </w:r>
    </w:p>
    <w:p w14:paraId="1B25791F" w14:textId="77777777" w:rsidR="00BE36FB" w:rsidRPr="009B7B35" w:rsidRDefault="00BE36FB" w:rsidP="001A7107">
      <w:pPr>
        <w:contextualSpacing/>
        <w:rPr>
          <w:rFonts w:ascii="Arial" w:hAnsi="Arial" w:cs="Arial"/>
          <w:sz w:val="20"/>
          <w:szCs w:val="20"/>
        </w:rPr>
      </w:pPr>
    </w:p>
    <w:p w14:paraId="07A46784"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This centre is intended to consolidate as a more intense mixed use centre that takes advantage of proximity to the Tannum Sands beach, Turtle way and proximity to the hotel through dining, entertainment above ground residential and tourism support uses.</w:t>
      </w:r>
    </w:p>
    <w:p w14:paraId="4923F0D8" w14:textId="77777777" w:rsidR="00BE36FB" w:rsidRPr="009B7B35" w:rsidRDefault="00BE36FB" w:rsidP="001A7107">
      <w:pPr>
        <w:contextualSpacing/>
        <w:rPr>
          <w:rFonts w:ascii="Arial" w:hAnsi="Arial" w:cs="Arial"/>
          <w:sz w:val="20"/>
          <w:szCs w:val="20"/>
        </w:rPr>
      </w:pPr>
    </w:p>
    <w:p w14:paraId="02DB69A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Tannum Sands also has the potential to include a health and well–being hub immediately south of the shopping centre that encourages a mix of allied health and medical activities, aquatic facilities along with aged care and retirement living opportunities.</w:t>
      </w:r>
    </w:p>
    <w:p w14:paraId="36712E0B" w14:textId="77777777" w:rsidR="00BE36FB" w:rsidRPr="009B7B35" w:rsidRDefault="00BE36FB" w:rsidP="001A7107">
      <w:pPr>
        <w:contextualSpacing/>
        <w:rPr>
          <w:rFonts w:ascii="Arial" w:hAnsi="Arial" w:cs="Arial"/>
          <w:sz w:val="20"/>
          <w:szCs w:val="20"/>
        </w:rPr>
      </w:pPr>
    </w:p>
    <w:p w14:paraId="2F0037F0" w14:textId="77777777" w:rsidR="00BE36FB" w:rsidRPr="009B7B35" w:rsidRDefault="00BE36FB" w:rsidP="001A7107">
      <w:pPr>
        <w:contextualSpacing/>
        <w:rPr>
          <w:rFonts w:ascii="Arial" w:hAnsi="Arial" w:cs="Arial"/>
          <w:i/>
          <w:sz w:val="20"/>
          <w:szCs w:val="20"/>
        </w:rPr>
      </w:pPr>
      <w:r w:rsidRPr="009B7B35">
        <w:rPr>
          <w:rFonts w:ascii="Arial" w:hAnsi="Arial" w:cs="Arial"/>
          <w:i/>
          <w:sz w:val="20"/>
          <w:szCs w:val="20"/>
        </w:rPr>
        <w:t>Calliope centre</w:t>
      </w:r>
    </w:p>
    <w:p w14:paraId="366EB7CC" w14:textId="77777777" w:rsidR="00BE36FB" w:rsidRPr="009B7B35" w:rsidRDefault="00BE36FB" w:rsidP="001A7107">
      <w:pPr>
        <w:contextualSpacing/>
        <w:rPr>
          <w:rFonts w:ascii="Arial" w:hAnsi="Arial" w:cs="Arial"/>
          <w:sz w:val="20"/>
          <w:szCs w:val="20"/>
        </w:rPr>
      </w:pPr>
    </w:p>
    <w:p w14:paraId="508DDD22"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Calliope centre is built around two centres being the larger northern centre and the historical southern centre. The northern centre is most dominant in terms of provision of retail and commercial floor space. This is captured in the Centre zone to ensure it transitions into a true mixed use centre. The older historical centre serves only the southern end of the town by providing local convenience retail as identified in the Neighbourhood centre zone.</w:t>
      </w:r>
    </w:p>
    <w:p w14:paraId="6D693AE3" w14:textId="77777777" w:rsidR="00BE36FB" w:rsidRPr="009B7B35" w:rsidRDefault="00BE36FB" w:rsidP="001A7107">
      <w:pPr>
        <w:contextualSpacing/>
        <w:rPr>
          <w:rFonts w:ascii="Arial" w:hAnsi="Arial" w:cs="Arial"/>
          <w:sz w:val="20"/>
          <w:szCs w:val="20"/>
        </w:rPr>
      </w:pPr>
    </w:p>
    <w:p w14:paraId="790518FD" w14:textId="77777777" w:rsidR="00BE36FB" w:rsidRPr="009B7B35" w:rsidRDefault="00BE36FB" w:rsidP="001A7107">
      <w:pPr>
        <w:contextualSpacing/>
        <w:rPr>
          <w:rFonts w:ascii="Arial" w:hAnsi="Arial" w:cs="Arial"/>
          <w:i/>
          <w:sz w:val="20"/>
          <w:szCs w:val="20"/>
        </w:rPr>
      </w:pPr>
      <w:r w:rsidRPr="009B7B35">
        <w:rPr>
          <w:rFonts w:ascii="Arial" w:hAnsi="Arial" w:cs="Arial"/>
          <w:i/>
          <w:sz w:val="20"/>
          <w:szCs w:val="20"/>
        </w:rPr>
        <w:t>Agnes Water centre</w:t>
      </w:r>
    </w:p>
    <w:p w14:paraId="539C8BEF" w14:textId="77777777" w:rsidR="00BE36FB" w:rsidRPr="009B7B35" w:rsidRDefault="00BE36FB" w:rsidP="001A7107">
      <w:pPr>
        <w:contextualSpacing/>
        <w:rPr>
          <w:rFonts w:ascii="Arial" w:hAnsi="Arial" w:cs="Arial"/>
          <w:sz w:val="20"/>
          <w:szCs w:val="20"/>
        </w:rPr>
      </w:pPr>
    </w:p>
    <w:p w14:paraId="37B12A9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existing town centre at Round Hill Road and Captain Cook Drive is the focus for retail activities within Agnes Water. This town centre does not have the capacity to support the moderate population increases anticipated over the life of this planning scheme. An expansion of </w:t>
      </w:r>
      <w:r w:rsidRPr="009B7B35">
        <w:rPr>
          <w:rFonts w:ascii="Arial" w:hAnsi="Arial" w:cs="Arial"/>
          <w:sz w:val="20"/>
          <w:szCs w:val="20"/>
        </w:rPr>
        <w:lastRenderedPageBreak/>
        <w:t>this centre east across Round Hill Road in the identified Emerging community zoned land provides opportunities to strengthen the retail offering with an additional supermarket and mixed–use development (including residential and community facilities) in a larger but still compact centre.</w:t>
      </w:r>
    </w:p>
    <w:p w14:paraId="22BAAEE1" w14:textId="77777777" w:rsidR="00BE36FB" w:rsidRPr="009B7B35" w:rsidRDefault="00BE36FB" w:rsidP="001A7107">
      <w:pPr>
        <w:contextualSpacing/>
        <w:rPr>
          <w:rFonts w:ascii="Arial" w:hAnsi="Arial" w:cs="Arial"/>
          <w:sz w:val="20"/>
          <w:szCs w:val="20"/>
        </w:rPr>
      </w:pPr>
    </w:p>
    <w:p w14:paraId="6ED3BC0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This opportunity for centre expansion is to meet projected growth needs and enables future centre development and associated centre land use activities to be located centrally within Agnes Water. It removes any need for commercial zoned land on the fringe of the urban area that was included in previous planning schemes and has never been developed. In addition to the Agnes Water town centre, creative industries and local enterprises generally requiring larger sites are supported in a creative enterprise precinct in the Rural residential zone at the western end of Bicentennial Drive towards Round Hill Road. This is not a mixed use centre as it does not support shops or finer grain centre activities which are to be located in the town centre.</w:t>
      </w:r>
    </w:p>
    <w:p w14:paraId="4BE19E5A" w14:textId="77777777" w:rsidR="00BE36FB" w:rsidRPr="009B7B35" w:rsidRDefault="00BE36FB" w:rsidP="001A7107">
      <w:pPr>
        <w:contextualSpacing/>
        <w:rPr>
          <w:rFonts w:ascii="Arial" w:hAnsi="Arial" w:cs="Arial"/>
          <w:sz w:val="20"/>
          <w:szCs w:val="20"/>
        </w:rPr>
      </w:pPr>
    </w:p>
    <w:p w14:paraId="2984D0EB"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Neighbourhood centres</w:t>
      </w:r>
    </w:p>
    <w:p w14:paraId="674F8243" w14:textId="77777777" w:rsidR="00BE36FB" w:rsidRPr="009B7B35" w:rsidRDefault="00BE36FB" w:rsidP="001A7107">
      <w:pPr>
        <w:contextualSpacing/>
        <w:rPr>
          <w:rFonts w:ascii="Arial" w:hAnsi="Arial" w:cs="Arial"/>
          <w:sz w:val="20"/>
          <w:szCs w:val="20"/>
        </w:rPr>
      </w:pPr>
    </w:p>
    <w:p w14:paraId="70453BB3"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Neighbourhood centres only provide for convenience level needs for surrounding residential neighbourhoods. They are limited to a small grouping of shops and fine grain retail activities, and are located in the Neighbourhood centre zone. Outside of urban areas, the Township zone provides a similar function in the region's coastal and rural townships albeit at a much smaller scale which reinforces existing groupings of commercial uses.</w:t>
      </w:r>
    </w:p>
    <w:p w14:paraId="2B10296E" w14:textId="77777777" w:rsidR="00BE36FB" w:rsidRPr="009B7B35" w:rsidRDefault="00BE36FB" w:rsidP="001A7107">
      <w:pPr>
        <w:contextualSpacing/>
        <w:rPr>
          <w:rFonts w:ascii="Arial" w:hAnsi="Arial" w:cs="Arial"/>
          <w:sz w:val="20"/>
          <w:szCs w:val="20"/>
        </w:rPr>
      </w:pPr>
    </w:p>
    <w:p w14:paraId="26122DE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Neighbourhood centres include a mix of low scale convenience shopping and other complimentary uses such as small offices and health care services. Uses must ensure the surrounding residential neighbourhood amenity is maintained.</w:t>
      </w:r>
    </w:p>
    <w:p w14:paraId="22783264" w14:textId="77777777" w:rsidR="00BE36FB" w:rsidRPr="009B7B35" w:rsidRDefault="00BE36FB" w:rsidP="001A7107">
      <w:pPr>
        <w:contextualSpacing/>
        <w:rPr>
          <w:rFonts w:ascii="Arial" w:hAnsi="Arial" w:cs="Arial"/>
          <w:sz w:val="20"/>
          <w:szCs w:val="20"/>
        </w:rPr>
      </w:pPr>
    </w:p>
    <w:p w14:paraId="7831EBA2"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Shopping centres, shops and other forms of retail uses in neighbourhood centres are limited in size to service only a surrounding residential population of approximately 3,000 people. Neighbourhood centres do not include higher density residential activities, large format retail or specialised retail uses.</w:t>
      </w:r>
    </w:p>
    <w:p w14:paraId="2E29A6BB" w14:textId="77777777" w:rsidR="00BE36FB" w:rsidRPr="009B7B35" w:rsidRDefault="00BE36FB" w:rsidP="001A7107">
      <w:pPr>
        <w:contextualSpacing/>
        <w:rPr>
          <w:rFonts w:ascii="Arial" w:hAnsi="Arial" w:cs="Arial"/>
          <w:sz w:val="20"/>
          <w:szCs w:val="20"/>
        </w:rPr>
      </w:pPr>
    </w:p>
    <w:p w14:paraId="0EEE1799"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Specialised centres</w:t>
      </w:r>
    </w:p>
    <w:p w14:paraId="5F0BFCE1" w14:textId="77777777" w:rsidR="00BE36FB" w:rsidRPr="009B7B35" w:rsidRDefault="00BE36FB" w:rsidP="001A7107">
      <w:pPr>
        <w:contextualSpacing/>
        <w:rPr>
          <w:rFonts w:ascii="Arial" w:hAnsi="Arial" w:cs="Arial"/>
          <w:sz w:val="20"/>
          <w:szCs w:val="20"/>
        </w:rPr>
      </w:pPr>
    </w:p>
    <w:p w14:paraId="69F13BB2"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retailing of bulky goods in showrooms or large hardware and trade supplies centres, garden centres and outdoor sales yards cannot be readily accommodated in finer grain traditional centres. These land consumptive uses are not appropriate within urban revitalisation neighbourhoods and mixed use centres where traditional retail shopping centres, shops and commercial uses are concentrated. </w:t>
      </w:r>
    </w:p>
    <w:p w14:paraId="668C1472" w14:textId="77777777" w:rsidR="00BE36FB" w:rsidRPr="009B7B35" w:rsidRDefault="00BE36FB" w:rsidP="001A7107">
      <w:pPr>
        <w:contextualSpacing/>
        <w:rPr>
          <w:rFonts w:ascii="Arial" w:hAnsi="Arial" w:cs="Arial"/>
          <w:sz w:val="20"/>
          <w:szCs w:val="20"/>
        </w:rPr>
      </w:pPr>
    </w:p>
    <w:p w14:paraId="26F9522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Retailing that is regularly visited such as small shops (including supermarkets) and shopping centres are not supported in specialised centres.</w:t>
      </w:r>
    </w:p>
    <w:p w14:paraId="45D06101" w14:textId="77777777" w:rsidR="00BE36FB" w:rsidRPr="009B7B35" w:rsidRDefault="00BE36FB" w:rsidP="001A7107">
      <w:pPr>
        <w:contextualSpacing/>
        <w:rPr>
          <w:rFonts w:ascii="Arial" w:hAnsi="Arial" w:cs="Arial"/>
          <w:sz w:val="20"/>
          <w:szCs w:val="20"/>
        </w:rPr>
      </w:pPr>
    </w:p>
    <w:p w14:paraId="662632DC"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Specialised centres are developed only in urban areas where they are close to large residential catchments and traditional mixed use centres. While some specialised centre uses have historically evolved outside of designated specialised centre zone (e.g. the Hanson Road precinct), specialised centre development is not supported in industrial zones, the Rural zone or in other locations outside of the Gladstone, Calliope or Boyne Island / Tannum Sands urban areas.</w:t>
      </w:r>
    </w:p>
    <w:p w14:paraId="627A1768" w14:textId="77777777" w:rsidR="00BE36FB" w:rsidRPr="009B7B35" w:rsidRDefault="00BE36FB" w:rsidP="001A7107">
      <w:pPr>
        <w:contextualSpacing/>
        <w:rPr>
          <w:rFonts w:ascii="Arial" w:hAnsi="Arial" w:cs="Arial"/>
          <w:sz w:val="20"/>
          <w:szCs w:val="20"/>
        </w:rPr>
      </w:pPr>
    </w:p>
    <w:p w14:paraId="00E0E9C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Clinton precinct within the Specialised centre zone represents an integrated development that is the region’s ‘home maker’ centre, retailing primarily in the form of showrooms and bulky good premises. Growth projections necessitate a second ‘home maker’ centre over the life of this planning scheme.</w:t>
      </w:r>
    </w:p>
    <w:p w14:paraId="4F75D1A2" w14:textId="77777777" w:rsidR="00BE36FB" w:rsidRPr="009B7B35" w:rsidRDefault="00BE36FB" w:rsidP="001A7107">
      <w:pPr>
        <w:contextualSpacing/>
        <w:rPr>
          <w:rFonts w:ascii="Arial" w:hAnsi="Arial" w:cs="Arial"/>
          <w:sz w:val="20"/>
          <w:szCs w:val="20"/>
        </w:rPr>
      </w:pPr>
    </w:p>
    <w:p w14:paraId="75F8193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There is potential for this to occur along the Kirkwood Road corridor, between Harvey Road and Glenlyon Road, in a location which has:</w:t>
      </w:r>
    </w:p>
    <w:p w14:paraId="49ECC885" w14:textId="77777777" w:rsidR="00BE36FB" w:rsidRPr="009B7B35" w:rsidRDefault="00BE36FB" w:rsidP="001A7107">
      <w:pPr>
        <w:pStyle w:val="ListBullet"/>
        <w:spacing w:before="0" w:after="0"/>
        <w:contextualSpacing/>
        <w:rPr>
          <w:rFonts w:cs="Arial"/>
          <w:szCs w:val="20"/>
        </w:rPr>
      </w:pPr>
      <w:r w:rsidRPr="009B7B35">
        <w:rPr>
          <w:rFonts w:cs="Arial"/>
          <w:szCs w:val="20"/>
        </w:rPr>
        <w:t>high visibility to passing trade</w:t>
      </w:r>
    </w:p>
    <w:p w14:paraId="1BD5794D" w14:textId="77777777" w:rsidR="00BE36FB" w:rsidRPr="009B7B35" w:rsidRDefault="00BE36FB" w:rsidP="001A7107">
      <w:pPr>
        <w:pStyle w:val="ListBullet"/>
        <w:spacing w:before="0" w:after="0"/>
        <w:contextualSpacing/>
        <w:rPr>
          <w:rFonts w:cs="Arial"/>
          <w:szCs w:val="20"/>
        </w:rPr>
      </w:pPr>
      <w:r w:rsidRPr="009B7B35">
        <w:rPr>
          <w:rFonts w:cs="Arial"/>
          <w:szCs w:val="20"/>
        </w:rPr>
        <w:t>easy access from an arterial road, with manageable impact on the traffic and transport network</w:t>
      </w:r>
    </w:p>
    <w:p w14:paraId="679B306C" w14:textId="77777777" w:rsidR="00BE36FB" w:rsidRPr="009B7B35" w:rsidRDefault="00BE36FB" w:rsidP="001A7107">
      <w:pPr>
        <w:pStyle w:val="ListBullet"/>
        <w:spacing w:before="0" w:after="0"/>
        <w:contextualSpacing/>
        <w:rPr>
          <w:rFonts w:cs="Arial"/>
          <w:szCs w:val="20"/>
        </w:rPr>
      </w:pPr>
      <w:r w:rsidRPr="009B7B35">
        <w:rPr>
          <w:rFonts w:cs="Arial"/>
          <w:szCs w:val="20"/>
        </w:rPr>
        <w:t>a large site area (generally a minimum of 8 hectares) with unconstrained topography</w:t>
      </w:r>
    </w:p>
    <w:p w14:paraId="479D9AF1" w14:textId="77777777" w:rsidR="00BE36FB" w:rsidRPr="009B7B35" w:rsidRDefault="00BE36FB" w:rsidP="001A7107">
      <w:pPr>
        <w:pStyle w:val="ListBullet"/>
        <w:spacing w:before="0" w:after="0"/>
        <w:contextualSpacing/>
        <w:rPr>
          <w:rFonts w:cs="Arial"/>
          <w:szCs w:val="20"/>
        </w:rPr>
      </w:pPr>
      <w:r w:rsidRPr="009B7B35">
        <w:rPr>
          <w:rFonts w:cs="Arial"/>
          <w:szCs w:val="20"/>
        </w:rPr>
        <w:t>primarily an outdoor environment that allows shoppers to directly access their vehicles after purchasing</w:t>
      </w:r>
    </w:p>
    <w:p w14:paraId="044DE51F" w14:textId="77777777" w:rsidR="00BE36FB" w:rsidRPr="009B7B35" w:rsidRDefault="00BE36FB" w:rsidP="001A7107">
      <w:pPr>
        <w:pStyle w:val="ListBullet"/>
        <w:spacing w:before="0" w:after="0"/>
        <w:contextualSpacing/>
        <w:rPr>
          <w:rFonts w:cs="Arial"/>
          <w:szCs w:val="20"/>
        </w:rPr>
      </w:pPr>
      <w:r w:rsidRPr="009B7B35">
        <w:rPr>
          <w:rFonts w:cs="Arial"/>
          <w:szCs w:val="20"/>
        </w:rPr>
        <w:t>an internally coordinated traffic circulation system that minimises access points to surrounding roads</w:t>
      </w:r>
    </w:p>
    <w:p w14:paraId="3B5B9A5F" w14:textId="77777777" w:rsidR="00BE36FB" w:rsidRPr="009B7B35" w:rsidRDefault="00BE36FB" w:rsidP="001A7107">
      <w:pPr>
        <w:pStyle w:val="ListBullet"/>
        <w:spacing w:before="0" w:after="0"/>
        <w:contextualSpacing/>
        <w:rPr>
          <w:rFonts w:cs="Arial"/>
          <w:szCs w:val="20"/>
        </w:rPr>
      </w:pPr>
      <w:r w:rsidRPr="009B7B35">
        <w:rPr>
          <w:rFonts w:cs="Arial"/>
          <w:szCs w:val="20"/>
        </w:rPr>
        <w:t>ample off–street carparking, and</w:t>
      </w:r>
    </w:p>
    <w:p w14:paraId="443E0C9F" w14:textId="77777777" w:rsidR="00BE36FB" w:rsidRPr="009B7B35" w:rsidRDefault="00BE36FB" w:rsidP="001A7107">
      <w:pPr>
        <w:pStyle w:val="ListBullet"/>
        <w:spacing w:before="0" w:after="0"/>
        <w:contextualSpacing/>
        <w:rPr>
          <w:rFonts w:cs="Arial"/>
          <w:szCs w:val="20"/>
        </w:rPr>
        <w:sectPr w:rsidR="00BE36FB" w:rsidRPr="009B7B35" w:rsidSect="001A7107">
          <w:type w:val="continuous"/>
          <w:pgSz w:w="11906" w:h="16838" w:code="9"/>
          <w:pgMar w:top="1418" w:right="1134" w:bottom="1418" w:left="1134" w:header="567" w:footer="567" w:gutter="284"/>
          <w:cols w:num="2" w:space="624"/>
          <w:titlePg/>
          <w:docGrid w:linePitch="360"/>
        </w:sectPr>
      </w:pPr>
      <w:r w:rsidRPr="009B7B35">
        <w:rPr>
          <w:rFonts w:cs="Arial"/>
          <w:szCs w:val="20"/>
        </w:rPr>
        <w:t>large floor plates for buildings which are designed to display a range of goods for sale</w:t>
      </w:r>
    </w:p>
    <w:p w14:paraId="1B770F00" w14:textId="77777777" w:rsidR="00BE36FB" w:rsidRPr="009B7B35" w:rsidRDefault="00BE36FB" w:rsidP="001A7107">
      <w:pPr>
        <w:pStyle w:val="Highlightlineblue"/>
        <w:pBdr>
          <w:bottom w:val="none" w:sz="0" w:space="0" w:color="auto"/>
        </w:pBdr>
        <w:rPr>
          <w:rFonts w:ascii="Arial" w:hAnsi="Arial" w:cs="Arial"/>
          <w:szCs w:val="20"/>
        </w:rPr>
      </w:pPr>
    </w:p>
    <w:p w14:paraId="4187214E" w14:textId="77777777" w:rsidR="00BE36FB" w:rsidRPr="009B7B35" w:rsidRDefault="00BE36FB" w:rsidP="001A7107">
      <w:pPr>
        <w:pStyle w:val="Highlightlineblue"/>
        <w:pBdr>
          <w:bottom w:val="none" w:sz="0" w:space="0" w:color="auto"/>
        </w:pBdr>
        <w:rPr>
          <w:rFonts w:ascii="Arial" w:hAnsi="Arial" w:cs="Arial"/>
          <w:szCs w:val="20"/>
        </w:rPr>
      </w:pPr>
    </w:p>
    <w:p w14:paraId="781590EA" w14:textId="77777777" w:rsidR="00BE36FB" w:rsidRPr="009B7B35" w:rsidRDefault="00BE36FB" w:rsidP="001A7107">
      <w:pPr>
        <w:pStyle w:val="Highlightlineblue"/>
        <w:pBdr>
          <w:bottom w:val="none" w:sz="0" w:space="0" w:color="auto"/>
        </w:pBdr>
        <w:rPr>
          <w:rFonts w:ascii="Arial" w:hAnsi="Arial" w:cs="Arial"/>
          <w:szCs w:val="20"/>
        </w:rPr>
      </w:pPr>
    </w:p>
    <w:p w14:paraId="6E654A34" w14:textId="77777777" w:rsidR="00BE36FB" w:rsidRPr="009B7B35" w:rsidRDefault="00BE36FB" w:rsidP="001A7107">
      <w:pPr>
        <w:pStyle w:val="Highlightlineblue"/>
        <w:rPr>
          <w:rFonts w:ascii="Arial" w:hAnsi="Arial" w:cs="Arial"/>
          <w:szCs w:val="20"/>
        </w:rPr>
      </w:pPr>
    </w:p>
    <w:p w14:paraId="3EDCADFE" w14:textId="77777777" w:rsidR="00BE36FB" w:rsidRPr="009B7B35" w:rsidRDefault="00BE36FB" w:rsidP="001A7107">
      <w:pPr>
        <w:pStyle w:val="Highlightlineblue"/>
        <w:rPr>
          <w:rFonts w:ascii="Arial" w:hAnsi="Arial" w:cs="Arial"/>
          <w:szCs w:val="20"/>
        </w:rPr>
        <w:sectPr w:rsidR="00BE36FB" w:rsidRPr="009B7B35" w:rsidSect="001A7107">
          <w:type w:val="continuous"/>
          <w:pgSz w:w="11906" w:h="16838" w:code="9"/>
          <w:pgMar w:top="1418" w:right="1134" w:bottom="1418" w:left="1134" w:header="567" w:footer="567" w:gutter="284"/>
          <w:cols w:space="624"/>
          <w:titlePg/>
          <w:docGrid w:linePitch="360"/>
        </w:sectPr>
      </w:pPr>
      <w:r w:rsidRPr="009B7B35">
        <w:rPr>
          <w:rFonts w:ascii="Arial" w:hAnsi="Arial" w:cs="Arial"/>
          <w:szCs w:val="20"/>
        </w:rPr>
        <w:t>A gateway to prosperous rural activities</w:t>
      </w:r>
    </w:p>
    <w:p w14:paraId="330BC1EA" w14:textId="77777777" w:rsidR="00BE36FB" w:rsidRPr="009B7B35" w:rsidRDefault="00BE36FB" w:rsidP="001A7107">
      <w:pPr>
        <w:pStyle w:val="ListBullet"/>
        <w:numPr>
          <w:ilvl w:val="0"/>
          <w:numId w:val="0"/>
        </w:numPr>
        <w:spacing w:before="0" w:after="0"/>
        <w:ind w:left="284" w:hanging="284"/>
        <w:contextualSpacing/>
        <w:rPr>
          <w:rFonts w:cs="Arial"/>
          <w:szCs w:val="20"/>
        </w:rPr>
        <w:sectPr w:rsidR="00BE36FB" w:rsidRPr="009B7B35" w:rsidSect="001A7107">
          <w:type w:val="continuous"/>
          <w:pgSz w:w="11906" w:h="16838" w:code="9"/>
          <w:pgMar w:top="1418" w:right="1134" w:bottom="1418" w:left="1134" w:header="567" w:footer="567" w:gutter="284"/>
          <w:cols w:space="624"/>
          <w:titlePg/>
          <w:docGrid w:linePitch="360"/>
        </w:sectPr>
      </w:pPr>
    </w:p>
    <w:p w14:paraId="651B034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Primary industry contributes strongly to the region’s economy. This industry focuses on agriculture, grazing and forestry throughout the region’s rural places.</w:t>
      </w:r>
    </w:p>
    <w:p w14:paraId="58598964" w14:textId="77777777" w:rsidR="00BE36FB" w:rsidRPr="009B7B35" w:rsidRDefault="00BE36FB" w:rsidP="001A7107">
      <w:pPr>
        <w:contextualSpacing/>
        <w:rPr>
          <w:rFonts w:ascii="Arial" w:hAnsi="Arial" w:cs="Arial"/>
          <w:sz w:val="20"/>
          <w:szCs w:val="20"/>
        </w:rPr>
      </w:pPr>
    </w:p>
    <w:p w14:paraId="7DF8AFE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Extensive fragmentation has adversely impacted on traditional broad scale agricultural land uses, natural resources, natural corridors and biodiversity. Further fragmentation on Rural zoned land is not supported in order to protect the continued operation of these agricultural activities, rural land resources along with the region’s identified stock routes and to maintain rural character. Additionally, rural productivity is dependent on uncontaminated surface and ground water supplies. Therefore rural development will not compromise the water quality for other users.</w:t>
      </w:r>
    </w:p>
    <w:p w14:paraId="4881CE78" w14:textId="77777777" w:rsidR="00BE36FB" w:rsidRPr="009B7B35" w:rsidRDefault="00BE36FB" w:rsidP="001A7107">
      <w:pPr>
        <w:contextualSpacing/>
        <w:rPr>
          <w:rFonts w:ascii="Arial" w:hAnsi="Arial" w:cs="Arial"/>
          <w:sz w:val="20"/>
          <w:szCs w:val="20"/>
        </w:rPr>
      </w:pPr>
    </w:p>
    <w:p w14:paraId="36DAB46D"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While designated Agricultural land classification (A and B) land is identified on State Government generated maps, even marginal quality agricultural land supports broad scale grazing and contributes to the regional economy. Agricultural land classification (A and B) is protected for agricultural uses including less intensive pastoral uses. Rural lots sizes are commensurate with their capacity to deliver </w:t>
      </w:r>
      <w:r w:rsidRPr="009B7B35">
        <w:rPr>
          <w:rFonts w:ascii="Arial" w:hAnsi="Arial" w:cs="Arial"/>
          <w:sz w:val="20"/>
          <w:szCs w:val="20"/>
        </w:rPr>
        <w:br w:type="column"/>
      </w:r>
      <w:r w:rsidRPr="009B7B35">
        <w:rPr>
          <w:rFonts w:ascii="Arial" w:hAnsi="Arial" w:cs="Arial"/>
          <w:sz w:val="20"/>
          <w:szCs w:val="20"/>
        </w:rPr>
        <w:t xml:space="preserve">viable rural and agricultural activities along with their contribution to rural character. Intensive agricultural land uses will be protected from encroachment by sensitive land uses through effective separation buffers. Port infrastructure also enables the efficient export of livestock and agricultural products. </w:t>
      </w:r>
    </w:p>
    <w:p w14:paraId="7F488379" w14:textId="77777777" w:rsidR="00BE36FB" w:rsidRPr="009B7B35" w:rsidRDefault="00BE36FB" w:rsidP="001A7107">
      <w:pPr>
        <w:contextualSpacing/>
        <w:rPr>
          <w:rFonts w:ascii="Arial" w:hAnsi="Arial" w:cs="Arial"/>
          <w:sz w:val="20"/>
          <w:szCs w:val="20"/>
        </w:rPr>
      </w:pPr>
    </w:p>
    <w:p w14:paraId="1BE8BCE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Boyne Valley towns lie within the Awoonga Dam catchment. Outside of these townships the catchment area is protected from inappropriate development.</w:t>
      </w:r>
    </w:p>
    <w:p w14:paraId="4AA3E52D" w14:textId="77777777" w:rsidR="00BE36FB" w:rsidRPr="009B7B35" w:rsidRDefault="00BE36FB">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624"/>
          <w:titlePg/>
          <w:docGrid w:linePitch="360"/>
        </w:sectPr>
      </w:pPr>
    </w:p>
    <w:p w14:paraId="0C9BC179" w14:textId="77777777" w:rsidR="00BE36FB" w:rsidRPr="009B7B35" w:rsidRDefault="00BE36FB" w:rsidP="001A7107">
      <w:pPr>
        <w:contextualSpacing/>
        <w:rPr>
          <w:rFonts w:ascii="Arial" w:hAnsi="Arial" w:cs="Arial"/>
          <w:sz w:val="20"/>
          <w:szCs w:val="20"/>
        </w:rPr>
      </w:pPr>
    </w:p>
    <w:p w14:paraId="4E59F56E"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624"/>
          <w:titlePg/>
          <w:docGrid w:linePitch="360"/>
        </w:sectPr>
      </w:pPr>
    </w:p>
    <w:p w14:paraId="6C2958D2" w14:textId="77777777" w:rsidR="00BE36FB" w:rsidRPr="009B7B35" w:rsidRDefault="00BE36FB" w:rsidP="001A7107">
      <w:pPr>
        <w:pStyle w:val="Highlightlineblue"/>
        <w:contextualSpacing/>
        <w:rPr>
          <w:rFonts w:ascii="Arial" w:hAnsi="Arial" w:cs="Arial"/>
          <w:szCs w:val="20"/>
        </w:rPr>
      </w:pPr>
      <w:r w:rsidRPr="009B7B35">
        <w:rPr>
          <w:rFonts w:ascii="Arial" w:hAnsi="Arial" w:cs="Arial"/>
          <w:szCs w:val="20"/>
        </w:rPr>
        <w:t>A gateway for tourism</w:t>
      </w:r>
    </w:p>
    <w:p w14:paraId="094164A8"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2CBF37F5"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Gladstone region offers diverse tourism attractions for visitors and residents. Gladstone Marina and the East Shores development are hubs for coastal related tourism and their proximity to the Gladstone CBD supports short term accommodation along Goondoon Street for tourists and business related visitors.</w:t>
      </w:r>
    </w:p>
    <w:p w14:paraId="3ED26AF3" w14:textId="77777777" w:rsidR="00BE36FB" w:rsidRPr="009B7B35" w:rsidRDefault="00BE36FB" w:rsidP="001A7107">
      <w:pPr>
        <w:contextualSpacing/>
        <w:rPr>
          <w:rFonts w:ascii="Arial" w:hAnsi="Arial" w:cs="Arial"/>
          <w:sz w:val="20"/>
          <w:szCs w:val="20"/>
        </w:rPr>
      </w:pPr>
    </w:p>
    <w:p w14:paraId="295DC7E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Agnes Water and Seventeen Seventy are internationally renowned tourist destinations for backpackers and other visitors and also a launching pad for access to the southern islands of the Great Barrier Reef Marine Park. The Agnes Water town centre and the Jeffery Court precinct represent the hub for this tourist activity and supports short term accommodation and associated tourist and entertainment uses such as food and drink outlets and bars. Development in the Jeffery Court precinct ensures public access to the beach and foreshore areas which are major tourist attractions for Agnes Water.</w:t>
      </w:r>
    </w:p>
    <w:p w14:paraId="0DCB3B78" w14:textId="77777777" w:rsidR="00BE36FB" w:rsidRPr="009B7B35" w:rsidRDefault="00BE36FB" w:rsidP="001A7107">
      <w:pPr>
        <w:contextualSpacing/>
        <w:rPr>
          <w:rFonts w:ascii="Arial" w:hAnsi="Arial" w:cs="Arial"/>
          <w:sz w:val="20"/>
          <w:szCs w:val="20"/>
        </w:rPr>
      </w:pPr>
    </w:p>
    <w:p w14:paraId="48B52DCE"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islands of Heron, Quoin and Lady Elliot support integrated resort complexes and facilities as reflected in the Major Tourism zone. </w:t>
      </w:r>
      <w:r w:rsidRPr="009B7B35">
        <w:rPr>
          <w:rFonts w:ascii="Arial" w:hAnsi="Arial" w:cs="Arial"/>
          <w:sz w:val="20"/>
          <w:szCs w:val="20"/>
        </w:rPr>
        <w:br w:type="column"/>
      </w:r>
      <w:r w:rsidRPr="009B7B35">
        <w:rPr>
          <w:rFonts w:ascii="Arial" w:hAnsi="Arial" w:cs="Arial"/>
          <w:sz w:val="20"/>
          <w:szCs w:val="20"/>
        </w:rPr>
        <w:lastRenderedPageBreak/>
        <w:t>Development provides for low impact and low intensity tourist accommodation servicing the needs of tourists and employees together with limited entertainment, dining and convenience shopping.</w:t>
      </w:r>
    </w:p>
    <w:p w14:paraId="69AB0F0D" w14:textId="77777777" w:rsidR="00BE36FB" w:rsidRPr="009B7B35" w:rsidRDefault="00BE36FB" w:rsidP="001A7107">
      <w:pPr>
        <w:contextualSpacing/>
        <w:rPr>
          <w:rFonts w:ascii="Arial" w:hAnsi="Arial" w:cs="Arial"/>
          <w:sz w:val="20"/>
          <w:szCs w:val="20"/>
        </w:rPr>
      </w:pPr>
    </w:p>
    <w:p w14:paraId="626D500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region’s rural and coastal townships include the highway towns of Miriam Vale, Benaraby and Mount Larcom. These townships act as gateway towns for motoring tourists and provide for highway related tourist information services, small scale short term accommodation, food and drink outlets, small shops and service stations </w:t>
      </w:r>
      <w:r w:rsidRPr="009B7B35">
        <w:rPr>
          <w:rFonts w:ascii="Arial" w:hAnsi="Arial" w:cs="Arial"/>
          <w:sz w:val="20"/>
          <w:szCs w:val="20"/>
        </w:rPr>
        <w:t>within the Township zone (rather than in new centres along the highway).</w:t>
      </w:r>
    </w:p>
    <w:p w14:paraId="16A4AC89" w14:textId="77777777" w:rsidR="00BE36FB" w:rsidRPr="009B7B35" w:rsidRDefault="00BE36FB" w:rsidP="001A7107">
      <w:pPr>
        <w:contextualSpacing/>
        <w:rPr>
          <w:rFonts w:ascii="Arial" w:hAnsi="Arial" w:cs="Arial"/>
          <w:sz w:val="20"/>
          <w:szCs w:val="20"/>
        </w:rPr>
      </w:pPr>
    </w:p>
    <w:p w14:paraId="467BC4E2" w14:textId="77777777" w:rsidR="00BE36FB" w:rsidRPr="009B7B35" w:rsidRDefault="00BE36FB" w:rsidP="001A7107">
      <w:pPr>
        <w:rPr>
          <w:rFonts w:ascii="Arial" w:hAnsi="Arial" w:cs="Arial"/>
          <w:sz w:val="20"/>
          <w:szCs w:val="20"/>
        </w:rPr>
      </w:pPr>
      <w:r w:rsidRPr="009B7B35">
        <w:rPr>
          <w:rFonts w:ascii="Arial" w:hAnsi="Arial" w:cs="Arial"/>
          <w:sz w:val="20"/>
          <w:szCs w:val="20"/>
        </w:rPr>
        <w:t>The region’s natural places and rural places provide opportunity for small scale tourism uses such as farm stays, B&amp;Bs, cellar doors, tourist parks, eco and recreational tourism taking advantage of the region’s State Forests, waterways and Lake Awoonga for recreation and visitor services. This is also reflected in the coastal places of Seventeen Seventy, and to a lesser extent Turkey Beach and Baffle Creek.</w:t>
      </w:r>
    </w:p>
    <w:p w14:paraId="153CE606" w14:textId="77777777" w:rsidR="00BE36FB" w:rsidRPr="009B7B35" w:rsidRDefault="00BE36FB">
      <w:pPr>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680"/>
          <w:titlePg/>
          <w:docGrid w:linePitch="360"/>
        </w:sectPr>
      </w:pPr>
    </w:p>
    <w:p w14:paraId="5C513870" w14:textId="77777777" w:rsidR="00BE36FB" w:rsidRPr="009B7B35" w:rsidRDefault="00BE36FB">
      <w:pPr>
        <w:rPr>
          <w:rFonts w:ascii="Arial" w:hAnsi="Arial" w:cs="Arial"/>
          <w:b/>
          <w:sz w:val="20"/>
          <w:szCs w:val="20"/>
        </w:rPr>
      </w:pPr>
    </w:p>
    <w:p w14:paraId="32EF0CBC" w14:textId="77777777" w:rsidR="00BE36FB" w:rsidRPr="009B7B35" w:rsidRDefault="00BE36FB">
      <w:pPr>
        <w:rPr>
          <w:rFonts w:ascii="Arial" w:hAnsi="Arial" w:cs="Arial"/>
          <w:sz w:val="20"/>
          <w:szCs w:val="20"/>
        </w:rPr>
      </w:pPr>
    </w:p>
    <w:p w14:paraId="17C85F4B" w14:textId="77777777" w:rsidR="00BE36FB" w:rsidRPr="009B7B35" w:rsidRDefault="00BE36FB">
      <w:pPr>
        <w:rPr>
          <w:rFonts w:ascii="Arial" w:hAnsi="Arial" w:cs="Arial"/>
          <w:b/>
          <w:sz w:val="20"/>
          <w:szCs w:val="20"/>
        </w:rPr>
      </w:pPr>
    </w:p>
    <w:p w14:paraId="7CFC6F4C" w14:textId="77777777" w:rsidR="00BE36FB" w:rsidRPr="009B7B35" w:rsidRDefault="00BE36FB">
      <w:pPr>
        <w:rPr>
          <w:rFonts w:ascii="Arial" w:hAnsi="Arial" w:cs="Arial"/>
          <w:sz w:val="20"/>
          <w:szCs w:val="20"/>
        </w:rPr>
      </w:pPr>
    </w:p>
    <w:p w14:paraId="7B46B981" w14:textId="77777777" w:rsidR="00BE36FB" w:rsidRPr="009B7B35" w:rsidRDefault="00BE36FB">
      <w:pPr>
        <w:pStyle w:val="Highlightlineblue"/>
        <w:spacing w:before="0" w:line="240" w:lineRule="auto"/>
        <w:contextualSpacing/>
        <w:rPr>
          <w:rFonts w:ascii="Arial" w:hAnsi="Arial" w:cs="Arial"/>
          <w:szCs w:val="20"/>
        </w:rPr>
        <w:sectPr w:rsidR="00BE36FB" w:rsidRPr="009B7B35" w:rsidSect="001A7107">
          <w:type w:val="continuous"/>
          <w:pgSz w:w="11906" w:h="16838" w:code="9"/>
          <w:pgMar w:top="1418" w:right="1134" w:bottom="1418" w:left="1134" w:header="567" w:footer="567" w:gutter="284"/>
          <w:cols w:num="2" w:space="624"/>
          <w:titlePg/>
          <w:docGrid w:linePitch="360"/>
        </w:sectPr>
      </w:pPr>
    </w:p>
    <w:p w14:paraId="634796A7" w14:textId="77777777" w:rsidR="00BE36FB" w:rsidRPr="009B7B35" w:rsidRDefault="00BE36FB" w:rsidP="001A7107">
      <w:pPr>
        <w:pStyle w:val="Highlightlineblue"/>
        <w:spacing w:before="0" w:line="240" w:lineRule="auto"/>
        <w:contextualSpacing/>
        <w:rPr>
          <w:rFonts w:ascii="Arial" w:hAnsi="Arial" w:cs="Arial"/>
          <w:szCs w:val="20"/>
        </w:rPr>
      </w:pPr>
      <w:r w:rsidRPr="009B7B35">
        <w:rPr>
          <w:rFonts w:ascii="Arial" w:hAnsi="Arial" w:cs="Arial"/>
          <w:szCs w:val="20"/>
        </w:rPr>
        <w:t>A gateway for extractive industry and resource development</w:t>
      </w:r>
    </w:p>
    <w:p w14:paraId="4C6B6A32"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624"/>
          <w:titlePg/>
          <w:docGrid w:linePitch="360"/>
        </w:sectPr>
      </w:pPr>
    </w:p>
    <w:p w14:paraId="4FD5DEB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Extractive resources occur only in key resource areas in the Extractive resources and minerals overlay and in parts of the Rural zone. </w:t>
      </w:r>
    </w:p>
    <w:p w14:paraId="5ACE41E3" w14:textId="77777777" w:rsidR="00BE36FB" w:rsidRPr="009B7B35" w:rsidRDefault="00BE36FB" w:rsidP="001A7107">
      <w:pPr>
        <w:contextualSpacing/>
        <w:rPr>
          <w:rFonts w:ascii="Arial" w:hAnsi="Arial" w:cs="Arial"/>
          <w:sz w:val="20"/>
          <w:szCs w:val="20"/>
        </w:rPr>
      </w:pPr>
    </w:p>
    <w:p w14:paraId="35C283C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New mining, petroleum and gas proposals have been earmarked in the region including the Boyne Valley. Such land uses must manage their impacts on the natural environment, biodiversity, water catchments, scenic amenity, existing agricultural land uses and on the amenity of the local townships and villages. Recognised mining, petroleum and gas </w:t>
      </w:r>
      <w:r w:rsidRPr="009B7B35">
        <w:rPr>
          <w:rFonts w:ascii="Arial" w:hAnsi="Arial" w:cs="Arial"/>
          <w:sz w:val="20"/>
          <w:szCs w:val="20"/>
        </w:rPr>
        <w:t>proposals need to be protected from encroachment by inappropriate and sensitive land uses. Similarly, extractive industry development minimises and mitigates impacts on surrounding communities including sensitive uses, the environment and rural and agricultural activities.</w:t>
      </w:r>
    </w:p>
    <w:p w14:paraId="0246026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 </w:t>
      </w:r>
    </w:p>
    <w:p w14:paraId="52D6B0C3"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In turn, these regional resources and their transport routes are protected from the encroachment of new sensitive land uses to ensure they can operate efficiently and safely.</w:t>
      </w:r>
    </w:p>
    <w:p w14:paraId="1147FB0B"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11768315"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lastRenderedPageBreak/>
        <w:drawing>
          <wp:inline distT="0" distB="0" distL="0" distR="0" wp14:anchorId="7618BF22" wp14:editId="2E696C32">
            <wp:extent cx="5946530" cy="886602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cover.jpg"/>
                    <pic:cNvPicPr/>
                  </pic:nvPicPr>
                  <pic:blipFill rotWithShape="1">
                    <a:blip r:embed="rId21" cstate="print">
                      <a:extLst>
                        <a:ext uri="{28A0092B-C50C-407E-A947-70E740481C1C}">
                          <a14:useLocalDpi xmlns:a14="http://schemas.microsoft.com/office/drawing/2010/main" val="0"/>
                        </a:ext>
                      </a:extLst>
                    </a:blip>
                    <a:srcRect l="5129"/>
                    <a:stretch/>
                  </pic:blipFill>
                  <pic:spPr bwMode="auto">
                    <a:xfrm>
                      <a:off x="0" y="0"/>
                      <a:ext cx="5951284" cy="8873110"/>
                    </a:xfrm>
                    <a:prstGeom prst="rect">
                      <a:avLst/>
                    </a:prstGeom>
                    <a:ln>
                      <a:noFill/>
                    </a:ln>
                    <a:extLst>
                      <a:ext uri="{53640926-AAD7-44D8-BBD7-CCE9431645EC}">
                        <a14:shadowObscured xmlns:a14="http://schemas.microsoft.com/office/drawing/2010/main"/>
                      </a:ext>
                    </a:extLst>
                  </pic:spPr>
                </pic:pic>
              </a:graphicData>
            </a:graphic>
          </wp:inline>
        </w:drawing>
      </w:r>
    </w:p>
    <w:p w14:paraId="0A8F64F2" w14:textId="77777777" w:rsidR="00BE36FB" w:rsidRPr="009B7B35" w:rsidRDefault="00BE36FB" w:rsidP="00BE36FB">
      <w:pPr>
        <w:pStyle w:val="Heading2"/>
        <w:numPr>
          <w:ilvl w:val="1"/>
          <w:numId w:val="29"/>
        </w:numPr>
        <w:spacing w:before="0"/>
        <w:contextualSpacing/>
        <w:rPr>
          <w:rFonts w:ascii="Arial" w:hAnsi="Arial"/>
          <w:sz w:val="20"/>
          <w:szCs w:val="20"/>
        </w:rPr>
      </w:pPr>
      <w:bookmarkStart w:id="107" w:name="_Toc205367300"/>
      <w:r w:rsidRPr="009B7B35">
        <w:rPr>
          <w:rFonts w:ascii="Arial" w:hAnsi="Arial"/>
          <w:sz w:val="20"/>
          <w:szCs w:val="20"/>
        </w:rPr>
        <w:t>Community living</w:t>
      </w:r>
      <w:bookmarkEnd w:id="107"/>
    </w:p>
    <w:p w14:paraId="3A2040C0" w14:textId="77777777" w:rsidR="00BE36FB" w:rsidRPr="009B7B35" w:rsidRDefault="00BE36FB" w:rsidP="00BE36FB">
      <w:pPr>
        <w:pStyle w:val="Heading3"/>
        <w:numPr>
          <w:ilvl w:val="2"/>
          <w:numId w:val="29"/>
        </w:numPr>
        <w:spacing w:before="240" w:after="240"/>
        <w:contextualSpacing/>
        <w:rPr>
          <w:rFonts w:ascii="Arial" w:hAnsi="Arial"/>
          <w:sz w:val="20"/>
          <w:szCs w:val="20"/>
        </w:rPr>
      </w:pPr>
      <w:bookmarkStart w:id="108" w:name="_Toc205367301"/>
      <w:r w:rsidRPr="009B7B35">
        <w:rPr>
          <w:rFonts w:ascii="Arial" w:hAnsi="Arial"/>
          <w:sz w:val="20"/>
          <w:szCs w:val="20"/>
        </w:rPr>
        <w:t>Strategic outcomes</w:t>
      </w:r>
      <w:bookmarkEnd w:id="108"/>
    </w:p>
    <w:p w14:paraId="0260DF5E"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5965D5EA" w14:textId="77777777"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New housing is located with ready access to employment and services, providing affordable living options in the region.</w:t>
      </w:r>
    </w:p>
    <w:p w14:paraId="32CC57C4" w14:textId="77777777"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The region's urban footprint as expressed in its new neighbourhoods, urban revitalisation neighbourhoods, mixed use centres and the Gladstone CBD will accommodate the region’s population and housing growth over the next 20 years.</w:t>
      </w:r>
    </w:p>
    <w:p w14:paraId="644FB7F1" w14:textId="77777777"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Most new housing occurs in well planned greenfield urban extensions within identified new neighbourhoods in the Emerging community zone. These are accompanied by a Plan of development.</w:t>
      </w:r>
    </w:p>
    <w:p w14:paraId="61508C2A" w14:textId="77777777"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 xml:space="preserve">Residential development within the region occurs where it can be demonstrated that there is both overwhelming community and economic need. </w:t>
      </w:r>
    </w:p>
    <w:p w14:paraId="6A1E0B82" w14:textId="77777777"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Redevelopment and infill development will provide an increasing proportion of the region's housing stock through attached housing types. This will occur in identified urban revitalisation areas, larger mixed use centres and the Gladstone CBD.</w:t>
      </w:r>
    </w:p>
    <w:p w14:paraId="1DAC7BC8" w14:textId="77777777"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Low density dwelling houses occur in existing suburban neighbourhoods and to a lesser extent rural and coastal places and rural residential areas.</w:t>
      </w:r>
    </w:p>
    <w:p w14:paraId="7D155D4D" w14:textId="77777777"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A diverse range of housing types in new neighbourhoods, urban revitalisation neighbourhoods, mixed use centres and the Gladstone CBD is provided to meet the needs of people who live in, work in and visit the Gladstone region.</w:t>
      </w:r>
    </w:p>
    <w:p w14:paraId="37A95546" w14:textId="77777777"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Ageing in place is facilitated through wider housing and accommodation choices, including those that meet the needs of older people.</w:t>
      </w:r>
    </w:p>
    <w:p w14:paraId="76393378" w14:textId="77777777"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Major short term accommodation is concentrated in the Gladstone CBD, urban revitalisation areas and mixed use centres. Smaller scale short term accommodation within rural and coastal townships supports tourism associated with rural and coastal attractions.</w:t>
      </w:r>
    </w:p>
    <w:p w14:paraId="0B788905" w14:textId="77777777" w:rsidR="00BE36FB" w:rsidRPr="009B7B35" w:rsidRDefault="00BE36FB" w:rsidP="00BE36FB">
      <w:pPr>
        <w:numPr>
          <w:ilvl w:val="0"/>
          <w:numId w:val="30"/>
        </w:numPr>
        <w:contextualSpacing/>
        <w:rPr>
          <w:rFonts w:ascii="Arial" w:hAnsi="Arial" w:cs="Arial"/>
          <w:sz w:val="20"/>
          <w:szCs w:val="20"/>
        </w:rPr>
      </w:pPr>
      <w:r w:rsidRPr="009B7B35">
        <w:rPr>
          <w:rFonts w:ascii="Arial" w:hAnsi="Arial" w:cs="Arial"/>
          <w:sz w:val="20"/>
          <w:szCs w:val="20"/>
        </w:rPr>
        <w:t>Non–resident worker accommodation generally occurs in locations where they are part of the urban fabric. They are designed to create a sense of place and identity, be adaptable to other housing needs and leave a legacy of infrastructure for communities. Non–resident worker accommodation outside urban areas must be self–sufficient in all forms of servicing and infrastructure needs.</w:t>
      </w:r>
    </w:p>
    <w:p w14:paraId="2A2D3333" w14:textId="77777777" w:rsidR="00BE36FB" w:rsidRPr="009B7B35" w:rsidRDefault="00BE36FB" w:rsidP="001A7107">
      <w:pPr>
        <w:contextualSpacing/>
        <w:rPr>
          <w:rFonts w:ascii="Arial" w:hAnsi="Arial" w:cs="Arial"/>
          <w:sz w:val="20"/>
          <w:szCs w:val="20"/>
        </w:rPr>
      </w:pPr>
    </w:p>
    <w:p w14:paraId="2311EFB7"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0225FE33" w14:textId="77777777" w:rsidR="00BE36FB" w:rsidRPr="009B7B35" w:rsidRDefault="00BE36FB" w:rsidP="00BE36FB">
      <w:pPr>
        <w:pStyle w:val="Heading3"/>
        <w:numPr>
          <w:ilvl w:val="2"/>
          <w:numId w:val="29"/>
        </w:numPr>
        <w:spacing w:before="360" w:after="240"/>
        <w:contextualSpacing/>
        <w:rPr>
          <w:rFonts w:ascii="Arial" w:hAnsi="Arial"/>
          <w:sz w:val="20"/>
          <w:szCs w:val="20"/>
        </w:rPr>
      </w:pPr>
      <w:bookmarkStart w:id="109" w:name="_Toc205367302"/>
      <w:r w:rsidRPr="009B7B35">
        <w:rPr>
          <w:rFonts w:ascii="Arial" w:hAnsi="Arial"/>
          <w:sz w:val="20"/>
          <w:szCs w:val="20"/>
        </w:rPr>
        <w:t>Elements</w:t>
      </w:r>
      <w:bookmarkEnd w:id="109"/>
    </w:p>
    <w:p w14:paraId="06959F48" w14:textId="77777777" w:rsidR="00BE36FB" w:rsidRPr="009B7B35" w:rsidRDefault="00BE36FB" w:rsidP="001A7107">
      <w:pPr>
        <w:pStyle w:val="Highlightlineyellow"/>
        <w:contextualSpacing/>
        <w:rPr>
          <w:rFonts w:ascii="Arial" w:hAnsi="Arial" w:cs="Arial"/>
          <w:szCs w:val="20"/>
        </w:rPr>
      </w:pPr>
      <w:r w:rsidRPr="009B7B35">
        <w:rPr>
          <w:rFonts w:ascii="Arial" w:hAnsi="Arial" w:cs="Arial"/>
          <w:szCs w:val="20"/>
        </w:rPr>
        <w:t>Housing growth</w:t>
      </w:r>
    </w:p>
    <w:p w14:paraId="350C3BD7" w14:textId="77777777" w:rsidR="00BE36FB" w:rsidRPr="009B7B35" w:rsidRDefault="00BE36FB" w:rsidP="001A7107">
      <w:pPr>
        <w:pStyle w:val="Highlightlineyellow"/>
        <w:contextualSpacing/>
        <w:rPr>
          <w:rFonts w:ascii="Arial" w:hAnsi="Arial" w:cs="Arial"/>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316077CC" w14:textId="77777777" w:rsidR="00BE36FB" w:rsidRPr="009B7B35" w:rsidRDefault="00BE36FB" w:rsidP="001A7107">
      <w:pPr>
        <w:contextualSpacing/>
        <w:rPr>
          <w:rFonts w:ascii="Arial" w:hAnsi="Arial" w:cs="Arial"/>
          <w:sz w:val="20"/>
          <w:szCs w:val="20"/>
        </w:rPr>
      </w:pPr>
    </w:p>
    <w:p w14:paraId="5CE08963"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Gladstone region's population growth is characterised by periods of rapid growth (as new major developments occur), followed by more stable phases – placing fluctuating demands on regional housing supply. Past periods of rapid growth have impacted on housing availability and affordability and the provision of services.  The timely supply of land ensures that new housing can be provided to meet these periods of growth without significant adverse impact on affordability and access to the necessary physical and social infrastructure. </w:t>
      </w:r>
    </w:p>
    <w:p w14:paraId="2D038CF8" w14:textId="77777777" w:rsidR="00BE36FB" w:rsidRPr="009B7B35" w:rsidRDefault="00BE36FB" w:rsidP="001A7107">
      <w:pPr>
        <w:contextualSpacing/>
        <w:rPr>
          <w:rFonts w:ascii="Arial" w:hAnsi="Arial" w:cs="Arial"/>
          <w:sz w:val="20"/>
          <w:szCs w:val="20"/>
        </w:rPr>
      </w:pPr>
    </w:p>
    <w:p w14:paraId="7C43DAC2"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In instances of new house supplies, this timely delivery is to be demonstrated through specific needs analyses which illustrate both overwhelming community and economic need.</w:t>
      </w:r>
    </w:p>
    <w:p w14:paraId="522C4E6B" w14:textId="77777777" w:rsidR="00BE36FB" w:rsidRPr="009B7B35" w:rsidRDefault="00BE36FB" w:rsidP="001A7107">
      <w:pPr>
        <w:contextualSpacing/>
        <w:rPr>
          <w:rFonts w:ascii="Arial" w:hAnsi="Arial" w:cs="Arial"/>
          <w:sz w:val="20"/>
          <w:szCs w:val="20"/>
        </w:rPr>
      </w:pPr>
    </w:p>
    <w:p w14:paraId="08C9482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Population in the Gladstone region is expected to increase between 30,000 and 60,000 people from 2014 to 2031 according to State Government forecasts. The majority of this growth will occur in Gladstone’s urban area and the surrounding urban communities of Boyne Island, Tannum Sands and Calliope. </w:t>
      </w:r>
    </w:p>
    <w:p w14:paraId="2CE19526" w14:textId="77777777" w:rsidR="00BE36FB" w:rsidRPr="009B7B35" w:rsidRDefault="00BE36FB" w:rsidP="001A7107">
      <w:pPr>
        <w:contextualSpacing/>
        <w:rPr>
          <w:rFonts w:ascii="Arial" w:hAnsi="Arial" w:cs="Arial"/>
          <w:sz w:val="20"/>
          <w:szCs w:val="20"/>
        </w:rPr>
      </w:pPr>
    </w:p>
    <w:p w14:paraId="6523A73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Traditional ‘greenfield’ housing growth in new neighbourhoods accommodates the bulk of population and housing growth. These are only located in the Emerging community zone where accompanied by a Plan of development. Housing growth will be balanced by approximately 20% infill development, predominantly in the form of attached housing at varying densities, in well located urban revitalisation neighbourhoods, mixed use centres and the Gladstone CBD. Low density housing occurs in existing suburban areas in the Low density residential zone, rural residential areas and in rural and coastal places which reflect the existing situations of these well–established areas. Infill development is not supported here.</w:t>
      </w:r>
    </w:p>
    <w:p w14:paraId="23D410ED" w14:textId="77777777" w:rsidR="00BE36FB" w:rsidRPr="009B7B35" w:rsidRDefault="00BE36FB" w:rsidP="001A7107">
      <w:pPr>
        <w:contextualSpacing/>
        <w:rPr>
          <w:rFonts w:ascii="Arial" w:hAnsi="Arial" w:cs="Arial"/>
          <w:sz w:val="20"/>
          <w:szCs w:val="20"/>
        </w:rPr>
      </w:pPr>
    </w:p>
    <w:p w14:paraId="199A234D"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This balance between greenfield and infill development ensures the Gladstone region has sufficient housing land supply to last for at least 20 years.</w:t>
      </w:r>
    </w:p>
    <w:p w14:paraId="4948F439" w14:textId="77777777" w:rsidR="00BE36FB" w:rsidRPr="009B7B35" w:rsidRDefault="00BE36FB" w:rsidP="001A7107">
      <w:pPr>
        <w:contextualSpacing/>
        <w:rPr>
          <w:rFonts w:ascii="Arial" w:hAnsi="Arial" w:cs="Arial"/>
          <w:sz w:val="20"/>
          <w:szCs w:val="20"/>
        </w:rPr>
      </w:pPr>
    </w:p>
    <w:p w14:paraId="0ECE11D7"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Residential development in new neighbourhoods must achieve an average density of 15 dwellings per hectare net (or 12.5 dwellings per hectare net in Calliope). This is to enable a range of housing forms (not just one housing type) and densities. It also contributes towards establishing well balanced and functional urban communities that support a range of household compositions and people from different backgrounds.</w:t>
      </w:r>
    </w:p>
    <w:p w14:paraId="128F247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The region’s urban areas also include State Government facilitated developments at Clinton and Toolooa in Gladstone and 'Tannum Blue' in Tannum Sands, which contribute to housing for the region.</w:t>
      </w:r>
    </w:p>
    <w:p w14:paraId="1877E93E" w14:textId="77777777" w:rsidR="00BE36FB" w:rsidRPr="009B7B35" w:rsidRDefault="00BE36FB" w:rsidP="001A7107">
      <w:pPr>
        <w:contextualSpacing/>
        <w:rPr>
          <w:rFonts w:ascii="Arial" w:hAnsi="Arial" w:cs="Arial"/>
          <w:sz w:val="20"/>
          <w:szCs w:val="20"/>
        </w:rPr>
      </w:pPr>
    </w:p>
    <w:p w14:paraId="4B3B9F7A" w14:textId="77777777" w:rsidR="00BE36FB" w:rsidRPr="009B7B35" w:rsidRDefault="00BE36FB" w:rsidP="001A7107">
      <w:pPr>
        <w:contextualSpacing/>
        <w:rPr>
          <w:rFonts w:ascii="Arial" w:hAnsi="Arial" w:cs="Arial"/>
          <w:sz w:val="20"/>
          <w:szCs w:val="20"/>
        </w:rPr>
      </w:pPr>
    </w:p>
    <w:p w14:paraId="4961EEC0"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4D111703" w14:textId="77777777" w:rsidR="00BE36FB" w:rsidRPr="009B7B35" w:rsidRDefault="00BE36FB" w:rsidP="001A7107">
      <w:pPr>
        <w:pStyle w:val="Highlightlineyellow"/>
        <w:contextualSpacing/>
        <w:rPr>
          <w:rFonts w:ascii="Arial" w:hAnsi="Arial" w:cs="Arial"/>
          <w:szCs w:val="20"/>
        </w:rPr>
      </w:pPr>
    </w:p>
    <w:p w14:paraId="23ACB112" w14:textId="77777777" w:rsidR="00BE36FB" w:rsidRPr="009B7B35" w:rsidRDefault="00BE36FB" w:rsidP="001A7107">
      <w:pPr>
        <w:pStyle w:val="Highlightlineyellow"/>
        <w:contextualSpacing/>
        <w:rPr>
          <w:rFonts w:ascii="Arial" w:hAnsi="Arial" w:cs="Arial"/>
          <w:szCs w:val="20"/>
        </w:rPr>
      </w:pPr>
      <w:r w:rsidRPr="009B7B35">
        <w:rPr>
          <w:rFonts w:ascii="Arial" w:hAnsi="Arial" w:cs="Arial"/>
          <w:szCs w:val="20"/>
        </w:rPr>
        <w:t>Housing mix and affordability</w:t>
      </w:r>
    </w:p>
    <w:p w14:paraId="3311D75B"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4E7F9367"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Residential development provides for a mix of housing types that support a wide range of housing needs throughout the region. These are expressed in detached and attached residential building typologies in relevant zones in urban revitalisation areas, mixed uses centres and the Gladstone CBD. Dwelling houses and dual occupancy also contribute to the housing mix in existing suburban neighbourhoods and in rural and coastal townships and rural residential areas.</w:t>
      </w:r>
    </w:p>
    <w:p w14:paraId="0F46ABFD" w14:textId="77777777" w:rsidR="00BE36FB" w:rsidRPr="009B7B35" w:rsidRDefault="00BE36FB" w:rsidP="001A7107">
      <w:pPr>
        <w:contextualSpacing/>
        <w:rPr>
          <w:rFonts w:ascii="Arial" w:hAnsi="Arial" w:cs="Arial"/>
          <w:sz w:val="20"/>
          <w:szCs w:val="20"/>
        </w:rPr>
      </w:pPr>
    </w:p>
    <w:p w14:paraId="2540CD0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New Neighbourhoods (where most new housing will occur) must deliver a range of detached and attached housing types of different sizes and configurations.</w:t>
      </w:r>
    </w:p>
    <w:p w14:paraId="420616ED"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 xml:space="preserve">The ability to ‘age in place’ helps achieve well balanced and functional communities and forms part of the broader housing objective of providing greater housing choice to meet needs throughout different phases of life. Retirement villages, aged care accommodation and other forms of accommodation for older people occurs in locations with convenient access to health and community services, public transport and centres. </w:t>
      </w:r>
    </w:p>
    <w:p w14:paraId="7EAA6154" w14:textId="77777777" w:rsidR="00BE36FB" w:rsidRPr="009B7B35" w:rsidRDefault="00BE36FB" w:rsidP="001A7107">
      <w:pPr>
        <w:contextualSpacing/>
        <w:rPr>
          <w:rFonts w:ascii="Arial" w:hAnsi="Arial" w:cs="Arial"/>
          <w:sz w:val="20"/>
          <w:szCs w:val="20"/>
        </w:rPr>
      </w:pPr>
    </w:p>
    <w:p w14:paraId="6964CE8C"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diverse range of housing options also caters for award workers and low income households. This is partly achieved through the retention of existing affordable housing, including relocatable home parks and permanently occupied caravan parks.</w:t>
      </w:r>
    </w:p>
    <w:p w14:paraId="5B54B496" w14:textId="77777777" w:rsidR="00BE36FB" w:rsidRPr="009B7B35" w:rsidRDefault="00BE36FB" w:rsidP="001A7107">
      <w:pPr>
        <w:contextualSpacing/>
        <w:rPr>
          <w:rFonts w:ascii="Arial" w:hAnsi="Arial" w:cs="Arial"/>
          <w:sz w:val="20"/>
          <w:szCs w:val="20"/>
        </w:rPr>
      </w:pPr>
    </w:p>
    <w:p w14:paraId="5BA0D5A0"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443053FC" w14:textId="77777777" w:rsidR="00BE36FB" w:rsidRPr="009B7B35" w:rsidRDefault="00BE36FB" w:rsidP="001A7107">
      <w:pPr>
        <w:pStyle w:val="Highlightlineyellow"/>
        <w:contextualSpacing/>
        <w:rPr>
          <w:rFonts w:ascii="Arial" w:hAnsi="Arial" w:cs="Arial"/>
          <w:szCs w:val="20"/>
        </w:rPr>
      </w:pPr>
      <w:r w:rsidRPr="009B7B35">
        <w:rPr>
          <w:rFonts w:ascii="Arial" w:hAnsi="Arial" w:cs="Arial"/>
          <w:szCs w:val="20"/>
        </w:rPr>
        <w:t>Short term and non–resident workforce accommodation</w:t>
      </w:r>
    </w:p>
    <w:p w14:paraId="0D12C3DD"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23F0BC8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Other forms of accommodation perform important roles in temporarily housing tourists, visitors and some workers (at peak times) throughout the region. This supports the regional economy particularly in the tourism, business and major industry sectors. </w:t>
      </w:r>
    </w:p>
    <w:p w14:paraId="657DF05E" w14:textId="77777777" w:rsidR="00BE36FB" w:rsidRPr="009B7B35" w:rsidRDefault="00BE36FB" w:rsidP="001A7107">
      <w:pPr>
        <w:contextualSpacing/>
        <w:rPr>
          <w:rFonts w:ascii="Arial" w:hAnsi="Arial" w:cs="Arial"/>
          <w:sz w:val="20"/>
          <w:szCs w:val="20"/>
        </w:rPr>
      </w:pPr>
    </w:p>
    <w:p w14:paraId="2B7B381E"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Short term accommodation for business and tourist visitors such as hotels and serviced apartments are encouraged in the Gladstone CBD and in mixed use centres. Other short term accommodation options support tourism activities where they are servicing rural and coastal townships. </w:t>
      </w:r>
    </w:p>
    <w:p w14:paraId="312494F1" w14:textId="77777777" w:rsidR="00BE36FB" w:rsidRPr="009B7B35" w:rsidRDefault="00BE36FB" w:rsidP="001A7107">
      <w:pPr>
        <w:contextualSpacing/>
        <w:rPr>
          <w:rFonts w:ascii="Arial" w:hAnsi="Arial" w:cs="Arial"/>
          <w:sz w:val="20"/>
          <w:szCs w:val="20"/>
        </w:rPr>
      </w:pPr>
    </w:p>
    <w:p w14:paraId="6372A44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Non–resident workforce accommodation represents another form of temporary housing that largely responds to peak demands in major resource related projects, particularly during their construction phases. To prevent impacts on the region’s rental and market housing supply, the preferred accommodation for large scale non–resident workforce accommodation is in dedicated workers accommodation facilities. This accommodation occurs where it is integrated into the urban fabric of urban areas, designed to look and feel like part of the urban area and is not a camp or compound.</w:t>
      </w:r>
    </w:p>
    <w:p w14:paraId="401664D5" w14:textId="77777777" w:rsidR="00BE36FB" w:rsidRPr="009B7B35" w:rsidRDefault="00BE36FB" w:rsidP="001A7107">
      <w:pPr>
        <w:contextualSpacing/>
        <w:rPr>
          <w:rFonts w:ascii="Arial" w:hAnsi="Arial" w:cs="Arial"/>
          <w:sz w:val="20"/>
          <w:szCs w:val="20"/>
        </w:rPr>
      </w:pPr>
    </w:p>
    <w:p w14:paraId="36271C11"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In the event this type of temporary housing cannot be located as part of an existing town or urban area, non–resident workforce accommodation must be self–sufficient in all forms of servicing and infrastructure and not adversely impact on the existing services and infrastructure of the nearest town or urban area.</w:t>
      </w:r>
    </w:p>
    <w:p w14:paraId="156C861B" w14:textId="77777777" w:rsidR="00BE36FB" w:rsidRPr="009B7B35" w:rsidRDefault="00BE36FB" w:rsidP="001A7107">
      <w:pPr>
        <w:contextualSpacing/>
        <w:rPr>
          <w:rFonts w:ascii="Arial" w:hAnsi="Arial" w:cs="Arial"/>
          <w:sz w:val="20"/>
          <w:szCs w:val="20"/>
        </w:rPr>
      </w:pPr>
    </w:p>
    <w:p w14:paraId="7F6169AF"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r w:rsidRPr="009B7B35">
        <w:rPr>
          <w:rFonts w:ascii="Arial" w:hAnsi="Arial" w:cs="Arial"/>
          <w:sz w:val="20"/>
          <w:szCs w:val="20"/>
        </w:rPr>
        <w:t xml:space="preserve">Non–resident workforce accommodation facilities financially contribute to the services they use. They also leave a positive legacy which can include being able to adapt to other accommodation and community needs once the construction phases of major industries are completed. Where adaptation to other accommodation uses cannot be achieved, these facilities are discontinued for alternative land use potentials.  </w:t>
      </w:r>
    </w:p>
    <w:p w14:paraId="57206166" w14:textId="77777777" w:rsidR="00BE36FB" w:rsidRPr="009B7B35" w:rsidRDefault="00BE36FB" w:rsidP="001A7107">
      <w:pPr>
        <w:contextualSpacing/>
        <w:rPr>
          <w:rFonts w:ascii="Arial" w:hAnsi="Arial" w:cs="Arial"/>
          <w:sz w:val="20"/>
          <w:szCs w:val="20"/>
        </w:rPr>
      </w:pPr>
    </w:p>
    <w:p w14:paraId="10456597" w14:textId="77777777" w:rsidR="00BE36FB" w:rsidRPr="009B7B35" w:rsidRDefault="00BE36FB" w:rsidP="001A7107">
      <w:pPr>
        <w:pStyle w:val="Highlightlineyellow"/>
        <w:contextualSpacing/>
        <w:rPr>
          <w:rFonts w:ascii="Arial" w:hAnsi="Arial" w:cs="Arial"/>
          <w:szCs w:val="20"/>
        </w:rPr>
      </w:pPr>
      <w:r w:rsidRPr="009B7B35">
        <w:rPr>
          <w:rFonts w:ascii="Arial" w:hAnsi="Arial" w:cs="Arial"/>
          <w:szCs w:val="20"/>
        </w:rPr>
        <w:t>Mapping</w:t>
      </w:r>
    </w:p>
    <w:p w14:paraId="51571C0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Strategic Framework Map: Community Living and Building it Better: Our urban areas Schedule 2.</w:t>
      </w:r>
    </w:p>
    <w:p w14:paraId="15DB585E" w14:textId="77777777" w:rsidR="00BE36FB" w:rsidRPr="009B7B35" w:rsidRDefault="00BE36FB" w:rsidP="001A7107">
      <w:pPr>
        <w:pStyle w:val="Heading1"/>
        <w:numPr>
          <w:ilvl w:val="0"/>
          <w:numId w:val="0"/>
        </w:numPr>
        <w:contextualSpacing/>
        <w:rPr>
          <w:rFonts w:ascii="Arial" w:hAnsi="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1AD9D27C"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1D6882EC" wp14:editId="4D735985">
            <wp:extent cx="5925136" cy="8887968"/>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cover.jpg"/>
                    <pic:cNvPicPr/>
                  </pic:nvPicPr>
                  <pic:blipFill rotWithShape="1">
                    <a:blip r:embed="rId22" cstate="print">
                      <a:extLst>
                        <a:ext uri="{28A0092B-C50C-407E-A947-70E740481C1C}">
                          <a14:useLocalDpi xmlns:a14="http://schemas.microsoft.com/office/drawing/2010/main" val="0"/>
                        </a:ext>
                      </a:extLst>
                    </a:blip>
                    <a:srcRect l="5705"/>
                    <a:stretch/>
                  </pic:blipFill>
                  <pic:spPr bwMode="auto">
                    <a:xfrm>
                      <a:off x="0" y="0"/>
                      <a:ext cx="5925150" cy="8887989"/>
                    </a:xfrm>
                    <a:prstGeom prst="rect">
                      <a:avLst/>
                    </a:prstGeom>
                    <a:ln>
                      <a:noFill/>
                    </a:ln>
                    <a:extLst>
                      <a:ext uri="{53640926-AAD7-44D8-BBD7-CCE9431645EC}">
                        <a14:shadowObscured xmlns:a14="http://schemas.microsoft.com/office/drawing/2010/main"/>
                      </a:ext>
                    </a:extLst>
                  </pic:spPr>
                </pic:pic>
              </a:graphicData>
            </a:graphic>
          </wp:inline>
        </w:drawing>
      </w:r>
    </w:p>
    <w:p w14:paraId="316CABB3" w14:textId="77777777" w:rsidR="00BE36FB" w:rsidRPr="009B7B35" w:rsidRDefault="00BE36FB" w:rsidP="00BE36FB">
      <w:pPr>
        <w:pStyle w:val="Heading2"/>
        <w:numPr>
          <w:ilvl w:val="1"/>
          <w:numId w:val="29"/>
        </w:numPr>
        <w:contextualSpacing/>
        <w:rPr>
          <w:rFonts w:ascii="Arial" w:hAnsi="Arial"/>
          <w:sz w:val="20"/>
          <w:szCs w:val="20"/>
        </w:rPr>
      </w:pPr>
      <w:bookmarkStart w:id="110" w:name="_Toc205367303"/>
      <w:r w:rsidRPr="009B7B35">
        <w:rPr>
          <w:rFonts w:ascii="Arial" w:hAnsi="Arial"/>
          <w:sz w:val="20"/>
          <w:szCs w:val="20"/>
        </w:rPr>
        <w:t>Connecting our places</w:t>
      </w:r>
      <w:bookmarkEnd w:id="110"/>
    </w:p>
    <w:p w14:paraId="3103C4E6" w14:textId="77777777" w:rsidR="00BE36FB" w:rsidRPr="009B7B35" w:rsidRDefault="00BE36FB" w:rsidP="00BE36FB">
      <w:pPr>
        <w:pStyle w:val="Heading3"/>
        <w:numPr>
          <w:ilvl w:val="2"/>
          <w:numId w:val="29"/>
        </w:numPr>
        <w:contextualSpacing/>
        <w:rPr>
          <w:rFonts w:ascii="Arial" w:hAnsi="Arial"/>
          <w:sz w:val="20"/>
          <w:szCs w:val="20"/>
        </w:rPr>
      </w:pPr>
      <w:bookmarkStart w:id="111" w:name="_Toc205367304"/>
      <w:r w:rsidRPr="009B7B35">
        <w:rPr>
          <w:rFonts w:ascii="Arial" w:hAnsi="Arial"/>
          <w:sz w:val="20"/>
          <w:szCs w:val="20"/>
        </w:rPr>
        <w:t>Strategic outcomes</w:t>
      </w:r>
      <w:bookmarkEnd w:id="111"/>
    </w:p>
    <w:p w14:paraId="78A58158" w14:textId="77777777" w:rsidR="00BE36FB" w:rsidRPr="009B7B35" w:rsidRDefault="00BE36FB" w:rsidP="00BE36FB">
      <w:pPr>
        <w:numPr>
          <w:ilvl w:val="0"/>
          <w:numId w:val="31"/>
        </w:numPr>
        <w:contextualSpacing/>
        <w:rPr>
          <w:rFonts w:ascii="Arial" w:hAnsi="Arial" w:cs="Arial"/>
          <w:sz w:val="20"/>
          <w:szCs w:val="20"/>
        </w:rPr>
        <w:sectPr w:rsidR="00BE36FB" w:rsidRPr="009B7B35" w:rsidSect="001A7107">
          <w:pgSz w:w="11906" w:h="16838" w:code="9"/>
          <w:pgMar w:top="1418" w:right="1134" w:bottom="1418" w:left="1134" w:header="567" w:footer="567" w:gutter="284"/>
          <w:cols w:space="709"/>
          <w:titlePg/>
          <w:docGrid w:linePitch="360"/>
        </w:sectPr>
      </w:pPr>
    </w:p>
    <w:p w14:paraId="00600C5A" w14:textId="77777777"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Communities are well connected to each other. Neighbourhoods are linked to centres, employment and recreation areas by an integrated transport system across a mix of modes that meets a range of mobility needs and offers choice about how to move around the region.</w:t>
      </w:r>
    </w:p>
    <w:p w14:paraId="7FC68413" w14:textId="77777777"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Development achieves the efficient use of existing transport and community infrastructure and the timely and equitable delivery of new infrastructure.</w:t>
      </w:r>
    </w:p>
    <w:p w14:paraId="7DC5D39F" w14:textId="77777777"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All communities have access to a range of facilities and services, public spaces, open space, sport and recreation areas.</w:t>
      </w:r>
    </w:p>
    <w:p w14:paraId="2954799E" w14:textId="77777777"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Gladstone City provides the highest level community and health services and facilities for the region. Other major urban places such as Boyne Island / Tannum Sands and Calliope provide regional level sport and recreation facilities. Smaller places provide for community infrastructure to support their local needs.</w:t>
      </w:r>
    </w:p>
    <w:p w14:paraId="28CA69CF" w14:textId="77777777"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Pedestrian and cycle networks are fundamental to the movement functions of neighbourhoods and centres throughout the region. They are essential components of new neighbourhoods, urban revitalisation neighbourhoods and other urban place types. Road corridors connecting important destinations throughout the region incorporate public transport and active transport modes and are designed to be safe and universally accessible.</w:t>
      </w:r>
    </w:p>
    <w:p w14:paraId="7849E1A5" w14:textId="77777777"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Public transport links mixed use centres with the region’s new neighbourhoods, urban revitalisation neighbourhoods and existing suburban areas so that people have improved access to shopping, health care, community services and cross modal points (airport and railway).</w:t>
      </w:r>
    </w:p>
    <w:p w14:paraId="456260AA" w14:textId="77777777"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The road network ensures the safe and efficient movement of people to employment nodes (including specific use and industrial places) and mixed use centres.</w:t>
      </w:r>
    </w:p>
    <w:p w14:paraId="6A233EFC" w14:textId="77777777"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The Gladstone airport and major road transport corridors such as the Bruce and Dawson highways and other State controlled roads and arterial routes are protected from inappropriate development that undermines their efficient and safe operation.</w:t>
      </w:r>
    </w:p>
    <w:p w14:paraId="65343298" w14:textId="77777777" w:rsidR="00BE36FB" w:rsidRPr="009B7B35" w:rsidRDefault="00BE36FB" w:rsidP="00BE36FB">
      <w:pPr>
        <w:numPr>
          <w:ilvl w:val="0"/>
          <w:numId w:val="38"/>
        </w:numPr>
        <w:contextualSpacing/>
        <w:rPr>
          <w:rFonts w:ascii="Arial" w:hAnsi="Arial" w:cs="Arial"/>
          <w:sz w:val="20"/>
          <w:szCs w:val="20"/>
        </w:rPr>
      </w:pPr>
      <w:r w:rsidRPr="009B7B35">
        <w:rPr>
          <w:rFonts w:ascii="Arial" w:hAnsi="Arial" w:cs="Arial"/>
          <w:sz w:val="20"/>
          <w:szCs w:val="20"/>
        </w:rPr>
        <w:t>Major freight and haulage routes avoid sensitive areas and surrounding development does not compromise their important function in servicing specific use and industrial places throughout the region.</w:t>
      </w:r>
    </w:p>
    <w:p w14:paraId="1E85E463" w14:textId="77777777" w:rsidR="00BE36FB" w:rsidRPr="009B7B35" w:rsidRDefault="00BE36FB" w:rsidP="00BE36FB">
      <w:pPr>
        <w:numPr>
          <w:ilvl w:val="0"/>
          <w:numId w:val="38"/>
        </w:num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r w:rsidRPr="009B7B35">
        <w:rPr>
          <w:rFonts w:ascii="Arial" w:hAnsi="Arial" w:cs="Arial"/>
          <w:sz w:val="20"/>
          <w:szCs w:val="20"/>
        </w:rPr>
        <w:t>Homes and businesses benefit from world class telecommunication and information networks to enable efficient business practices, encourage home based business opportunities and ensure community members are connected to their social networks throughout the region and elsewhere</w:t>
      </w:r>
    </w:p>
    <w:p w14:paraId="11976469" w14:textId="77777777" w:rsidR="00BE36FB" w:rsidRPr="009B7B35" w:rsidRDefault="00BE36FB" w:rsidP="001A7107">
      <w:pPr>
        <w:ind w:left="567"/>
        <w:contextualSpacing/>
        <w:rPr>
          <w:rFonts w:ascii="Arial" w:hAnsi="Arial" w:cs="Arial"/>
          <w:sz w:val="20"/>
          <w:szCs w:val="20"/>
        </w:rPr>
      </w:pPr>
    </w:p>
    <w:p w14:paraId="77F3DDB1" w14:textId="77777777" w:rsidR="00BE36FB" w:rsidRPr="009B7B35" w:rsidRDefault="00BE36FB" w:rsidP="001A7107">
      <w:pPr>
        <w:contextualSpacing/>
        <w:rPr>
          <w:rFonts w:ascii="Arial" w:hAnsi="Arial" w:cs="Arial"/>
          <w:sz w:val="20"/>
          <w:szCs w:val="20"/>
        </w:rPr>
      </w:pPr>
    </w:p>
    <w:p w14:paraId="618CCF6D" w14:textId="77777777" w:rsidR="00BE36FB" w:rsidRPr="009B7B35" w:rsidRDefault="00BE36FB" w:rsidP="00BE36FB">
      <w:pPr>
        <w:pStyle w:val="Heading3"/>
        <w:numPr>
          <w:ilvl w:val="2"/>
          <w:numId w:val="29"/>
        </w:numPr>
        <w:spacing w:after="240"/>
        <w:contextualSpacing/>
        <w:rPr>
          <w:rFonts w:ascii="Arial" w:hAnsi="Arial"/>
          <w:sz w:val="20"/>
          <w:szCs w:val="20"/>
        </w:rPr>
      </w:pPr>
      <w:bookmarkStart w:id="112" w:name="_Toc205367305"/>
      <w:r w:rsidRPr="009B7B35">
        <w:rPr>
          <w:rFonts w:ascii="Arial" w:hAnsi="Arial"/>
          <w:sz w:val="20"/>
          <w:szCs w:val="20"/>
        </w:rPr>
        <w:t>Elements</w:t>
      </w:r>
      <w:bookmarkEnd w:id="112"/>
    </w:p>
    <w:p w14:paraId="71FE79D0" w14:textId="77777777" w:rsidR="00BE36FB" w:rsidRPr="009B7B35" w:rsidRDefault="00BE36FB" w:rsidP="001A7107">
      <w:pPr>
        <w:pStyle w:val="Highlightlinegrey"/>
        <w:contextualSpacing/>
        <w:rPr>
          <w:rFonts w:ascii="Arial" w:hAnsi="Arial" w:cs="Arial"/>
          <w:szCs w:val="20"/>
        </w:rPr>
      </w:pPr>
      <w:r w:rsidRPr="009B7B35">
        <w:rPr>
          <w:rFonts w:ascii="Arial" w:hAnsi="Arial" w:cs="Arial"/>
          <w:szCs w:val="20"/>
        </w:rPr>
        <w:t>Connecting through community wellbeing</w:t>
      </w:r>
    </w:p>
    <w:p w14:paraId="4A940C02"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2C9D94D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Community wellbeing is supported at local and regional scales through development that contributes community services, facilities and infrastructure to meet community needs. The Gladstone CBD accommodates high level services and facilities in health care, education, cultural and community facilities. These service the regional population through an efficient transport and movement network.</w:t>
      </w:r>
    </w:p>
    <w:p w14:paraId="346426CB" w14:textId="77777777" w:rsidR="00BE36FB" w:rsidRPr="009B7B35" w:rsidRDefault="00BE36FB" w:rsidP="001A7107">
      <w:pPr>
        <w:contextualSpacing/>
        <w:rPr>
          <w:rFonts w:ascii="Arial" w:hAnsi="Arial" w:cs="Arial"/>
          <w:sz w:val="20"/>
          <w:szCs w:val="20"/>
        </w:rPr>
      </w:pPr>
    </w:p>
    <w:p w14:paraId="01310B0C"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region is well serviced by sport and recreation facilities at local through to regional level. The major sporting facilities include: </w:t>
      </w:r>
    </w:p>
    <w:p w14:paraId="518181E8" w14:textId="77777777" w:rsidR="00BE36FB" w:rsidRPr="009B7B35" w:rsidRDefault="00BE36FB" w:rsidP="00BE36FB">
      <w:pPr>
        <w:numPr>
          <w:ilvl w:val="0"/>
          <w:numId w:val="39"/>
        </w:numPr>
        <w:contextualSpacing/>
        <w:rPr>
          <w:rFonts w:ascii="Arial" w:hAnsi="Arial" w:cs="Arial"/>
          <w:sz w:val="20"/>
          <w:szCs w:val="20"/>
        </w:rPr>
      </w:pPr>
      <w:r w:rsidRPr="009B7B35">
        <w:rPr>
          <w:rFonts w:ascii="Arial" w:hAnsi="Arial" w:cs="Arial"/>
          <w:sz w:val="20"/>
          <w:szCs w:val="20"/>
        </w:rPr>
        <w:t xml:space="preserve">The Gladstone Showground / Speedway / racecourse </w:t>
      </w:r>
    </w:p>
    <w:p w14:paraId="7061841C" w14:textId="77777777" w:rsidR="00BE36FB" w:rsidRPr="009B7B35" w:rsidRDefault="00BE36FB" w:rsidP="00BE36FB">
      <w:pPr>
        <w:numPr>
          <w:ilvl w:val="0"/>
          <w:numId w:val="39"/>
        </w:numPr>
        <w:contextualSpacing/>
        <w:rPr>
          <w:rFonts w:ascii="Arial" w:hAnsi="Arial" w:cs="Arial"/>
          <w:sz w:val="20"/>
          <w:szCs w:val="20"/>
        </w:rPr>
      </w:pPr>
      <w:r w:rsidRPr="009B7B35">
        <w:rPr>
          <w:rFonts w:ascii="Arial" w:hAnsi="Arial" w:cs="Arial"/>
          <w:sz w:val="20"/>
          <w:szCs w:val="20"/>
        </w:rPr>
        <w:t>The Rigby Park Complex and Aquatic Centre</w:t>
      </w:r>
    </w:p>
    <w:p w14:paraId="681621E0" w14:textId="77777777" w:rsidR="00BE36FB" w:rsidRPr="009B7B35" w:rsidRDefault="00BE36FB" w:rsidP="00BE36FB">
      <w:pPr>
        <w:numPr>
          <w:ilvl w:val="0"/>
          <w:numId w:val="39"/>
        </w:numPr>
        <w:contextualSpacing/>
        <w:rPr>
          <w:rFonts w:ascii="Arial" w:hAnsi="Arial" w:cs="Arial"/>
          <w:sz w:val="20"/>
          <w:szCs w:val="20"/>
        </w:rPr>
      </w:pPr>
      <w:r w:rsidRPr="009B7B35">
        <w:rPr>
          <w:rFonts w:ascii="Arial" w:hAnsi="Arial" w:cs="Arial"/>
          <w:sz w:val="20"/>
          <w:szCs w:val="20"/>
        </w:rPr>
        <w:t>The Tannum Sports Park</w:t>
      </w:r>
    </w:p>
    <w:p w14:paraId="341E8A62" w14:textId="77777777" w:rsidR="00BE36FB" w:rsidRPr="009B7B35" w:rsidRDefault="00BE36FB" w:rsidP="00BE36FB">
      <w:pPr>
        <w:numPr>
          <w:ilvl w:val="0"/>
          <w:numId w:val="39"/>
        </w:numPr>
        <w:contextualSpacing/>
        <w:rPr>
          <w:rFonts w:ascii="Arial" w:hAnsi="Arial" w:cs="Arial"/>
          <w:sz w:val="20"/>
          <w:szCs w:val="20"/>
        </w:rPr>
      </w:pPr>
      <w:r w:rsidRPr="009B7B35">
        <w:rPr>
          <w:rFonts w:ascii="Arial" w:hAnsi="Arial" w:cs="Arial"/>
          <w:sz w:val="20"/>
          <w:szCs w:val="20"/>
        </w:rPr>
        <w:t>Boyne Island / Tannum Sands Recreational Area</w:t>
      </w:r>
    </w:p>
    <w:p w14:paraId="12AF9CAF" w14:textId="77777777" w:rsidR="00BE36FB" w:rsidRPr="009B7B35" w:rsidRDefault="00BE36FB" w:rsidP="00BE36FB">
      <w:pPr>
        <w:numPr>
          <w:ilvl w:val="0"/>
          <w:numId w:val="39"/>
        </w:numPr>
        <w:contextualSpacing/>
        <w:rPr>
          <w:rFonts w:ascii="Arial" w:hAnsi="Arial" w:cs="Arial"/>
          <w:sz w:val="20"/>
          <w:szCs w:val="20"/>
        </w:rPr>
      </w:pPr>
      <w:r w:rsidRPr="009B7B35">
        <w:rPr>
          <w:rFonts w:ascii="Arial" w:hAnsi="Arial" w:cs="Arial"/>
          <w:sz w:val="20"/>
          <w:szCs w:val="20"/>
        </w:rPr>
        <w:t>Calliope Sports Park</w:t>
      </w:r>
    </w:p>
    <w:p w14:paraId="761A9932" w14:textId="77777777" w:rsidR="00BE36FB" w:rsidRPr="009B7B35" w:rsidRDefault="00BE36FB" w:rsidP="00BE36FB">
      <w:pPr>
        <w:numPr>
          <w:ilvl w:val="0"/>
          <w:numId w:val="39"/>
        </w:numPr>
        <w:contextualSpacing/>
        <w:rPr>
          <w:rFonts w:ascii="Arial" w:hAnsi="Arial" w:cs="Arial"/>
          <w:sz w:val="20"/>
          <w:szCs w:val="20"/>
        </w:rPr>
      </w:pPr>
      <w:r w:rsidRPr="009B7B35">
        <w:rPr>
          <w:rFonts w:ascii="Arial" w:hAnsi="Arial" w:cs="Arial"/>
          <w:sz w:val="20"/>
          <w:szCs w:val="20"/>
        </w:rPr>
        <w:t>The Benaraby Motor Sport precinct, and</w:t>
      </w:r>
    </w:p>
    <w:p w14:paraId="75741922" w14:textId="77777777" w:rsidR="00BE36FB" w:rsidRPr="009B7B35" w:rsidRDefault="00BE36FB" w:rsidP="00BE36FB">
      <w:pPr>
        <w:numPr>
          <w:ilvl w:val="0"/>
          <w:numId w:val="39"/>
        </w:numPr>
        <w:contextualSpacing/>
        <w:rPr>
          <w:rFonts w:ascii="Arial" w:hAnsi="Arial" w:cs="Arial"/>
          <w:sz w:val="20"/>
          <w:szCs w:val="20"/>
        </w:rPr>
      </w:pPr>
      <w:r w:rsidRPr="009B7B35">
        <w:rPr>
          <w:rFonts w:ascii="Arial" w:hAnsi="Arial" w:cs="Arial"/>
          <w:sz w:val="20"/>
          <w:szCs w:val="20"/>
        </w:rPr>
        <w:t>Mt Larcom Showgrounds.</w:t>
      </w:r>
    </w:p>
    <w:p w14:paraId="01F524DE" w14:textId="77777777" w:rsidR="00BE36FB" w:rsidRPr="009B7B35" w:rsidRDefault="00BE36FB" w:rsidP="001A7107">
      <w:pPr>
        <w:contextualSpacing/>
        <w:rPr>
          <w:rFonts w:ascii="Arial" w:hAnsi="Arial" w:cs="Arial"/>
          <w:sz w:val="20"/>
          <w:szCs w:val="20"/>
        </w:rPr>
      </w:pPr>
    </w:p>
    <w:p w14:paraId="3494015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Local communities in urban locations and in coastal and rural places are provided with necessary community services and sporting facilities to meet their local needs.</w:t>
      </w:r>
    </w:p>
    <w:p w14:paraId="2D040BEC" w14:textId="77777777" w:rsidR="00BE36FB" w:rsidRPr="009B7B35" w:rsidRDefault="00BE36FB" w:rsidP="001A7107">
      <w:pPr>
        <w:contextualSpacing/>
        <w:rPr>
          <w:rFonts w:ascii="Arial" w:hAnsi="Arial" w:cs="Arial"/>
          <w:sz w:val="20"/>
          <w:szCs w:val="20"/>
        </w:rPr>
      </w:pPr>
    </w:p>
    <w:p w14:paraId="0F4A38C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Community wellbeing is achieved through well located housing (including for older people) that is close to services and facilities, employment areas and public spaces. People have choice about how they access these services that include walking, cycling and public transport. Community facilities are established in mixed use centres and the Gladstone CBD co–located with service, business and entertainment uses that provide multi–purpose destinations.</w:t>
      </w:r>
    </w:p>
    <w:p w14:paraId="2D6FD353"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360AEC1F" w14:textId="77777777" w:rsidR="00BE36FB" w:rsidRPr="009B7B35" w:rsidRDefault="00BE36FB" w:rsidP="001A7107">
      <w:pPr>
        <w:pStyle w:val="Highlightlinegrey"/>
        <w:contextualSpacing/>
        <w:rPr>
          <w:rFonts w:ascii="Arial" w:hAnsi="Arial" w:cs="Arial"/>
          <w:szCs w:val="20"/>
          <w:lang w:eastAsia="en-US"/>
        </w:rPr>
      </w:pPr>
      <w:r w:rsidRPr="009B7B35">
        <w:rPr>
          <w:rFonts w:ascii="Arial" w:hAnsi="Arial" w:cs="Arial"/>
          <w:szCs w:val="20"/>
          <w:lang w:eastAsia="en-US"/>
        </w:rPr>
        <w:t>Connecting people and places</w:t>
      </w:r>
    </w:p>
    <w:p w14:paraId="5C113A5A"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1BF8676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Gladstone region is serviced by an integrated transport system that achieves the functional and efficient movement network of people, goods and services utilising road, rail, port and air travel modes.</w:t>
      </w:r>
    </w:p>
    <w:p w14:paraId="23A40362" w14:textId="77777777" w:rsidR="00BE36FB" w:rsidRPr="009B7B35" w:rsidRDefault="00BE36FB" w:rsidP="001A7107">
      <w:pPr>
        <w:contextualSpacing/>
        <w:rPr>
          <w:rFonts w:ascii="Arial" w:hAnsi="Arial" w:cs="Arial"/>
          <w:sz w:val="20"/>
          <w:szCs w:val="20"/>
        </w:rPr>
      </w:pPr>
    </w:p>
    <w:p w14:paraId="66229114"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New urban areas such as the region’s new neighbourhoods are designed using grid based street patterns that achieve high levels of connectivity and encourage walkability to key destinations for local businesses, community facilities, health services, shopping and entertainment, and recreational and sporting areas. Improvements to connectivity in existing suburban areas in Gladstone and Boyne Island / Tannum Sands will be facilitated wherever possible. </w:t>
      </w:r>
    </w:p>
    <w:p w14:paraId="57249B3C" w14:textId="77777777" w:rsidR="00BE36FB" w:rsidRPr="009B7B35" w:rsidRDefault="00BE36FB" w:rsidP="001A7107">
      <w:pPr>
        <w:contextualSpacing/>
        <w:rPr>
          <w:rFonts w:ascii="Arial" w:hAnsi="Arial" w:cs="Arial"/>
          <w:sz w:val="20"/>
          <w:szCs w:val="20"/>
        </w:rPr>
      </w:pPr>
    </w:p>
    <w:p w14:paraId="32642703"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Major urban arterials such as the Bruce Highway, Dawson Highway (between Gladstone and Calliope), Kirkwood Road, Gladstone – Benaraby Road, Boyne Island Road, Tannum Sands Road and Fingerboard, Tableland and Round Hill roads and other state controlled roads perform national and regional functions. Development throughout the region preserves this network and minimises the need for any local level trips on these routes.</w:t>
      </w:r>
    </w:p>
    <w:p w14:paraId="47396C3D" w14:textId="77777777" w:rsidR="00BE36FB" w:rsidRPr="009B7B35" w:rsidRDefault="00BE36FB" w:rsidP="001A7107">
      <w:pPr>
        <w:contextualSpacing/>
        <w:rPr>
          <w:rFonts w:ascii="Arial" w:hAnsi="Arial" w:cs="Arial"/>
          <w:sz w:val="20"/>
          <w:szCs w:val="20"/>
        </w:rPr>
      </w:pPr>
    </w:p>
    <w:p w14:paraId="00FA4B5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Potential new road links will be further investigated to improve road capacity and connectivity between Gladstone and Boyne Island/Tannum Sands through an extension of Glenlyon Road, between Boyne Island and Tannum Sands through a second Boyne River crossing, and to improve access from Agnes Water to Gladstone's higher order social and community facilities by reducing the trip distance, and providing a new access road from the Baffle Creek/Deepwater areas to Agnes Water's infrastructure. The links shown on the map are indicative only and are not intended to illustrate a particular route.   </w:t>
      </w:r>
    </w:p>
    <w:p w14:paraId="1D27E5CD" w14:textId="77777777" w:rsidR="00BE36FB" w:rsidRPr="009B7B35" w:rsidRDefault="00BE36FB" w:rsidP="001A7107">
      <w:pPr>
        <w:contextualSpacing/>
        <w:rPr>
          <w:rFonts w:ascii="Arial" w:hAnsi="Arial" w:cs="Arial"/>
          <w:sz w:val="20"/>
          <w:szCs w:val="20"/>
        </w:rPr>
      </w:pPr>
    </w:p>
    <w:p w14:paraId="1EA7A39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Major industrial and port employment nodes are concentrated in Gladstone and to its north west which reinforces the role of Kirkwood Road, the Dawson Highway (between Gladstone and Calliope), Gladstone Benaraby Road, the Port Access Road and Calliope River Road in facilitating efficient journey to work trips. New neighbourhoods are designed to achieve a high level of connectivity with employment areas along with reducing journey to work travel times and dependency on private motor vehicles.</w:t>
      </w:r>
    </w:p>
    <w:p w14:paraId="203CC7F1" w14:textId="77777777" w:rsidR="00BE36FB" w:rsidRPr="009B7B35" w:rsidRDefault="00BE36FB" w:rsidP="001A7107">
      <w:pPr>
        <w:contextualSpacing/>
        <w:rPr>
          <w:rFonts w:ascii="Arial" w:hAnsi="Arial" w:cs="Arial"/>
          <w:sz w:val="20"/>
          <w:szCs w:val="20"/>
        </w:rPr>
      </w:pPr>
    </w:p>
    <w:p w14:paraId="56CF3B15"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Gladstone Airport is a key facility in the region, for the movement of passengers and freight, and as a location for special development consistent with the safety and operational requirements of the airport. Development that impedes airport operations is not supported.</w:t>
      </w:r>
    </w:p>
    <w:p w14:paraId="671A849B" w14:textId="77777777" w:rsidR="00BE36FB" w:rsidRPr="009B7B35" w:rsidRDefault="00BE36FB">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7F5E2D15" w14:textId="77777777" w:rsidR="00BE36FB" w:rsidRPr="009B7B35" w:rsidRDefault="00BE36FB" w:rsidP="001A7107">
      <w:pPr>
        <w:contextualSpacing/>
        <w:rPr>
          <w:rFonts w:ascii="Arial" w:hAnsi="Arial" w:cs="Arial"/>
          <w:sz w:val="20"/>
          <w:szCs w:val="20"/>
        </w:rPr>
      </w:pPr>
    </w:p>
    <w:p w14:paraId="5AF48BB8" w14:textId="77777777" w:rsidR="00BE36FB" w:rsidRPr="009B7B35" w:rsidRDefault="00BE36FB" w:rsidP="001A7107">
      <w:pPr>
        <w:pStyle w:val="Highlightlinegrey"/>
        <w:rPr>
          <w:rFonts w:ascii="Arial" w:hAnsi="Arial" w:cs="Arial"/>
          <w:szCs w:val="20"/>
        </w:rPr>
      </w:pPr>
      <w:r w:rsidRPr="009B7B35">
        <w:rPr>
          <w:rFonts w:ascii="Arial" w:hAnsi="Arial" w:cs="Arial"/>
          <w:szCs w:val="20"/>
        </w:rPr>
        <w:t>Connecting through sustainable transport</w:t>
      </w:r>
    </w:p>
    <w:p w14:paraId="72A0ECE1"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22AC682E" w14:textId="77777777" w:rsidR="00BE36FB" w:rsidRPr="009B7B35" w:rsidRDefault="00BE36FB" w:rsidP="001A7107">
      <w:pPr>
        <w:contextualSpacing/>
        <w:rPr>
          <w:rFonts w:ascii="Arial" w:hAnsi="Arial" w:cs="Arial"/>
          <w:sz w:val="20"/>
          <w:szCs w:val="20"/>
        </w:rPr>
      </w:pPr>
    </w:p>
    <w:p w14:paraId="4B256AAD" w14:textId="77777777" w:rsidR="00BE36FB" w:rsidRPr="009B7B35" w:rsidRDefault="00BE36FB">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757A510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region’s urban settlement pattern supports sustainable public transport and active transport modes. New neighbourhoods, urban revitalisation neighbourhoods, existing suburban neighbourhoods, the Gladstone CBD and mixed use centres incorporate public and active transport corridors within roads and other open space areas. Development in these places contributes to greater active transport options to:</w:t>
      </w:r>
    </w:p>
    <w:p w14:paraId="70826B40" w14:textId="77777777" w:rsidR="00BE36FB" w:rsidRPr="009B7B35" w:rsidRDefault="00BE36FB" w:rsidP="001A7107">
      <w:pPr>
        <w:pStyle w:val="ListBullet"/>
        <w:contextualSpacing/>
        <w:rPr>
          <w:rFonts w:cs="Arial"/>
          <w:szCs w:val="20"/>
        </w:rPr>
      </w:pPr>
      <w:r w:rsidRPr="009B7B35">
        <w:rPr>
          <w:rFonts w:cs="Arial"/>
          <w:szCs w:val="20"/>
        </w:rPr>
        <w:t>residential neighbourhoods</w:t>
      </w:r>
    </w:p>
    <w:p w14:paraId="56597900" w14:textId="77777777" w:rsidR="00BE36FB" w:rsidRPr="009B7B35" w:rsidRDefault="00BE36FB" w:rsidP="001A7107">
      <w:pPr>
        <w:pStyle w:val="ListBullet"/>
        <w:contextualSpacing/>
        <w:rPr>
          <w:rFonts w:cs="Arial"/>
          <w:szCs w:val="20"/>
        </w:rPr>
      </w:pPr>
      <w:r w:rsidRPr="009B7B35">
        <w:rPr>
          <w:rFonts w:cs="Arial"/>
          <w:szCs w:val="20"/>
        </w:rPr>
        <w:t>activity centres</w:t>
      </w:r>
    </w:p>
    <w:p w14:paraId="4183CD7E" w14:textId="77777777" w:rsidR="00BE36FB" w:rsidRPr="009B7B35" w:rsidRDefault="00BE36FB" w:rsidP="001A7107">
      <w:pPr>
        <w:pStyle w:val="ListBullet"/>
        <w:contextualSpacing/>
        <w:rPr>
          <w:rFonts w:cs="Arial"/>
          <w:szCs w:val="20"/>
        </w:rPr>
      </w:pPr>
      <w:r w:rsidRPr="009B7B35">
        <w:rPr>
          <w:rFonts w:cs="Arial"/>
          <w:szCs w:val="20"/>
        </w:rPr>
        <w:t>health and community services</w:t>
      </w:r>
    </w:p>
    <w:p w14:paraId="786F221A" w14:textId="77777777" w:rsidR="00BE36FB" w:rsidRPr="009B7B35" w:rsidRDefault="00BE36FB" w:rsidP="001A7107">
      <w:pPr>
        <w:pStyle w:val="ListBullet"/>
        <w:contextualSpacing/>
        <w:rPr>
          <w:rFonts w:cs="Arial"/>
          <w:szCs w:val="20"/>
        </w:rPr>
      </w:pPr>
      <w:r w:rsidRPr="009B7B35">
        <w:rPr>
          <w:rFonts w:cs="Arial"/>
          <w:szCs w:val="20"/>
        </w:rPr>
        <w:t>employment and education nodes</w:t>
      </w:r>
    </w:p>
    <w:p w14:paraId="5A7C3CA6" w14:textId="77777777" w:rsidR="00BE36FB" w:rsidRPr="009B7B35" w:rsidRDefault="00BE36FB" w:rsidP="001A7107">
      <w:pPr>
        <w:pStyle w:val="ListBullet"/>
        <w:contextualSpacing/>
        <w:rPr>
          <w:rFonts w:cs="Arial"/>
          <w:szCs w:val="20"/>
        </w:rPr>
      </w:pPr>
      <w:r w:rsidRPr="009B7B35">
        <w:rPr>
          <w:rFonts w:cs="Arial"/>
          <w:szCs w:val="20"/>
        </w:rPr>
        <w:t>multi modal points such as railway stations and the Gladstone Airport, and</w:t>
      </w:r>
    </w:p>
    <w:p w14:paraId="6B2F9A39" w14:textId="77777777" w:rsidR="00BE36FB" w:rsidRPr="009B7B35" w:rsidRDefault="00BE36FB" w:rsidP="001A7107">
      <w:pPr>
        <w:pStyle w:val="ListBullet"/>
        <w:contextualSpacing/>
        <w:rPr>
          <w:rFonts w:cs="Arial"/>
          <w:szCs w:val="20"/>
        </w:rPr>
      </w:pPr>
      <w:r w:rsidRPr="009B7B35">
        <w:rPr>
          <w:rFonts w:cs="Arial"/>
          <w:szCs w:val="20"/>
        </w:rPr>
        <w:t xml:space="preserve">recreation and entertainment areas. </w:t>
      </w:r>
    </w:p>
    <w:p w14:paraId="1C3C6875" w14:textId="77777777" w:rsidR="00BE36FB" w:rsidRPr="009B7B35" w:rsidRDefault="00BE36FB" w:rsidP="001A7107">
      <w:pPr>
        <w:contextualSpacing/>
        <w:rPr>
          <w:rFonts w:ascii="Arial" w:hAnsi="Arial" w:cs="Arial"/>
          <w:sz w:val="20"/>
          <w:szCs w:val="20"/>
        </w:rPr>
      </w:pPr>
    </w:p>
    <w:p w14:paraId="54800BC5"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Public transport is dominated by the bus network that links mixed use centres in Calliope, Boyne Island, Tannum Sands and Kin Kora, the Gladstone CBD and other urban communities in existing suburban areas largely surrounding Gladstone city. </w:t>
      </w:r>
    </w:p>
    <w:p w14:paraId="4F507868" w14:textId="77777777" w:rsidR="00BE36FB" w:rsidRPr="009B7B35" w:rsidRDefault="00BE36FB" w:rsidP="001A7107">
      <w:pPr>
        <w:contextualSpacing/>
        <w:rPr>
          <w:rFonts w:ascii="Arial" w:hAnsi="Arial" w:cs="Arial"/>
          <w:sz w:val="20"/>
          <w:szCs w:val="20"/>
        </w:rPr>
      </w:pPr>
    </w:p>
    <w:p w14:paraId="5D280093" w14:textId="77777777" w:rsidR="00BE36FB" w:rsidRPr="009B7B35" w:rsidRDefault="00BE36FB" w:rsidP="001A7107">
      <w:pPr>
        <w:contextualSpacing/>
        <w:rPr>
          <w:rFonts w:ascii="Arial" w:hAnsi="Arial" w:cs="Arial"/>
          <w:b/>
          <w:sz w:val="20"/>
          <w:szCs w:val="20"/>
        </w:rPr>
      </w:pPr>
      <w:r w:rsidRPr="009B7B35">
        <w:rPr>
          <w:rFonts w:ascii="Arial" w:hAnsi="Arial" w:cs="Arial"/>
          <w:sz w:val="20"/>
          <w:szCs w:val="20"/>
        </w:rPr>
        <w:t>Public transport hubs at these key destinations are reinforced through higher density development in well serviced mixed use centres, the Gladstone CBD and urban revitalisation neighbourhoods. This also provides active transport which is made convenient, safe and secure, including the provision of end–of–trip facilities such as bicycle parking, change rooms and amenities.</w:t>
      </w:r>
      <w:r w:rsidRPr="009B7B35" w:rsidDel="00483C66">
        <w:rPr>
          <w:rFonts w:ascii="Arial" w:hAnsi="Arial" w:cs="Arial"/>
          <w:sz w:val="20"/>
          <w:szCs w:val="20"/>
        </w:rPr>
        <w:t xml:space="preserve"> </w:t>
      </w:r>
    </w:p>
    <w:p w14:paraId="62AAFC97" w14:textId="77777777" w:rsidR="00BE36FB" w:rsidRPr="009B7B35" w:rsidRDefault="00BE36FB">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54A909FE" w14:textId="77777777" w:rsidR="00BE36FB" w:rsidRPr="009B7B35" w:rsidRDefault="00BE36FB" w:rsidP="001A7107">
      <w:pPr>
        <w:contextualSpacing/>
        <w:rPr>
          <w:rFonts w:ascii="Arial" w:hAnsi="Arial" w:cs="Arial"/>
          <w:sz w:val="20"/>
          <w:szCs w:val="20"/>
        </w:rPr>
      </w:pPr>
    </w:p>
    <w:p w14:paraId="73F126A5" w14:textId="77777777" w:rsidR="00BE36FB" w:rsidRPr="009B7B35" w:rsidRDefault="00BE36FB" w:rsidP="001A7107">
      <w:pPr>
        <w:pStyle w:val="Highlightlinegrey"/>
        <w:rPr>
          <w:rFonts w:ascii="Arial" w:hAnsi="Arial" w:cs="Arial"/>
          <w:szCs w:val="20"/>
        </w:rPr>
        <w:sectPr w:rsidR="00BE36FB" w:rsidRPr="009B7B35" w:rsidSect="001A7107">
          <w:type w:val="continuous"/>
          <w:pgSz w:w="11906" w:h="16838" w:code="9"/>
          <w:pgMar w:top="1418" w:right="1134" w:bottom="1418" w:left="1134" w:header="567" w:footer="567" w:gutter="284"/>
          <w:cols w:space="709"/>
          <w:titlePg/>
          <w:docGrid w:linePitch="360"/>
        </w:sectPr>
      </w:pPr>
      <w:r w:rsidRPr="009B7B35">
        <w:rPr>
          <w:rFonts w:ascii="Arial" w:hAnsi="Arial" w:cs="Arial"/>
          <w:szCs w:val="20"/>
        </w:rPr>
        <w:t>Connecting freight networks</w:t>
      </w:r>
    </w:p>
    <w:p w14:paraId="05646BD3"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Gladstone’s movement network includes major road, rail and port infrastructure that facilitates the import and export of bulk materials and products across the industry and resource sectors.</w:t>
      </w:r>
    </w:p>
    <w:p w14:paraId="78893612" w14:textId="77777777" w:rsidR="00BE36FB" w:rsidRPr="009B7B35" w:rsidRDefault="00BE36FB" w:rsidP="001A7107">
      <w:pPr>
        <w:contextualSpacing/>
        <w:rPr>
          <w:rFonts w:ascii="Arial" w:hAnsi="Arial" w:cs="Arial"/>
          <w:sz w:val="20"/>
          <w:szCs w:val="20"/>
        </w:rPr>
      </w:pPr>
    </w:p>
    <w:p w14:paraId="42EC482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throughout the region does not undermine the ongoing role of freight routes in realising the efficient movement of freight and bulk materials.</w:t>
      </w:r>
    </w:p>
    <w:p w14:paraId="7D97C990" w14:textId="77777777" w:rsidR="00BE36FB" w:rsidRPr="009B7B35" w:rsidRDefault="00BE36FB" w:rsidP="001A7107">
      <w:pPr>
        <w:contextualSpacing/>
        <w:rPr>
          <w:rFonts w:ascii="Arial" w:hAnsi="Arial" w:cs="Arial"/>
          <w:sz w:val="20"/>
          <w:szCs w:val="20"/>
        </w:rPr>
      </w:pPr>
    </w:p>
    <w:p w14:paraId="431CA6A1"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Calliope River Road links the Bruce Highway into the Gladstone State Development Area. Development is limited to the immediate north of the Calliope River and along this road corridor.</w:t>
      </w:r>
    </w:p>
    <w:p w14:paraId="3D313825" w14:textId="77777777" w:rsidR="00BE36FB" w:rsidRPr="009B7B35" w:rsidRDefault="00BE36FB" w:rsidP="001A7107">
      <w:pPr>
        <w:contextualSpacing/>
        <w:rPr>
          <w:rFonts w:ascii="Arial" w:hAnsi="Arial" w:cs="Arial"/>
          <w:sz w:val="20"/>
          <w:szCs w:val="20"/>
        </w:rPr>
      </w:pPr>
    </w:p>
    <w:p w14:paraId="2443AC2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Don Young Drive – Red Rover Road functions as a ring road for freight traffic around Gladstone’s western urban area. A second crossing of the Calliope River at Mt Miller Road will link to this ring road and provide good access into the Red Rover Road industrial area and Gladstone State Development Area.</w:t>
      </w:r>
    </w:p>
    <w:p w14:paraId="532F0271" w14:textId="77777777" w:rsidR="00BE36FB" w:rsidRPr="009B7B35" w:rsidRDefault="00BE36FB" w:rsidP="001A7107">
      <w:pPr>
        <w:contextualSpacing/>
        <w:rPr>
          <w:rFonts w:ascii="Arial" w:hAnsi="Arial" w:cs="Arial"/>
          <w:sz w:val="20"/>
          <w:szCs w:val="20"/>
        </w:rPr>
      </w:pPr>
    </w:p>
    <w:p w14:paraId="4D7D9971"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Port Access Road extension will provide an important link between the Gladstone State Development Area, Red Rover Road industrial precinct and the port facilities at the harbour.</w:t>
      </w:r>
    </w:p>
    <w:p w14:paraId="66746F92" w14:textId="77777777" w:rsidR="00BE36FB" w:rsidRPr="009B7B35" w:rsidRDefault="00BE36FB" w:rsidP="001A7107">
      <w:pPr>
        <w:contextualSpacing/>
        <w:rPr>
          <w:rFonts w:ascii="Arial" w:hAnsi="Arial" w:cs="Arial"/>
          <w:sz w:val="20"/>
          <w:szCs w:val="20"/>
        </w:rPr>
      </w:pPr>
    </w:p>
    <w:p w14:paraId="1BE926F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must ensure:</w:t>
      </w:r>
    </w:p>
    <w:p w14:paraId="5A893716" w14:textId="77777777" w:rsidR="00BE36FB" w:rsidRPr="009B7B35" w:rsidRDefault="00BE36FB" w:rsidP="001A7107">
      <w:pPr>
        <w:pStyle w:val="ListBullet"/>
        <w:contextualSpacing/>
        <w:rPr>
          <w:rFonts w:cs="Arial"/>
          <w:szCs w:val="20"/>
        </w:rPr>
      </w:pPr>
      <w:r w:rsidRPr="009B7B35">
        <w:rPr>
          <w:rFonts w:cs="Arial"/>
          <w:szCs w:val="20"/>
        </w:rPr>
        <w:t>freight traffic accesses freight routes and avoid impacts on sensitive areas in new neighbourhoods, urban revitalisation neighbourhoods, existing suburban neighbourhoods, the Gladstone CBD and mixed use centres, and</w:t>
      </w:r>
    </w:p>
    <w:p w14:paraId="5D1320E8" w14:textId="77777777" w:rsidR="00BE36FB" w:rsidRPr="009B7B35" w:rsidRDefault="00BE36FB" w:rsidP="001A7107">
      <w:pPr>
        <w:pStyle w:val="ListBullet"/>
        <w:contextualSpacing/>
        <w:rPr>
          <w:rFonts w:cs="Arial"/>
          <w:szCs w:val="20"/>
        </w:rPr>
        <w:sectPr w:rsidR="00BE36FB" w:rsidRPr="009B7B35" w:rsidSect="001A7107">
          <w:type w:val="continuous"/>
          <w:pgSz w:w="11906" w:h="16838" w:code="9"/>
          <w:pgMar w:top="1418" w:right="1134" w:bottom="1418" w:left="1134" w:header="567" w:footer="567" w:gutter="284"/>
          <w:cols w:num="2" w:space="709"/>
          <w:titlePg/>
          <w:docGrid w:linePitch="360"/>
        </w:sectPr>
      </w:pPr>
      <w:r w:rsidRPr="009B7B35">
        <w:rPr>
          <w:rFonts w:cs="Arial"/>
          <w:szCs w:val="20"/>
        </w:rPr>
        <w:t>sensitive land uses are sufficiently setback from freight routes and do not rely on these routes for access and movement throughout the region.</w:t>
      </w:r>
    </w:p>
    <w:p w14:paraId="41E23CEC" w14:textId="77777777" w:rsidR="00BE36FB" w:rsidRPr="009B7B35" w:rsidRDefault="00BE36FB" w:rsidP="001A7107">
      <w:pPr>
        <w:contextualSpacing/>
        <w:rPr>
          <w:rFonts w:ascii="Arial" w:hAnsi="Arial" w:cs="Arial"/>
          <w:sz w:val="20"/>
          <w:szCs w:val="20"/>
        </w:rPr>
      </w:pPr>
    </w:p>
    <w:p w14:paraId="1F47FF01" w14:textId="77777777" w:rsidR="00BE36FB" w:rsidRPr="009B7B35" w:rsidRDefault="00BE36FB" w:rsidP="001A7107">
      <w:pPr>
        <w:pStyle w:val="Highlightlinegrey"/>
        <w:contextualSpacing/>
        <w:rPr>
          <w:rFonts w:ascii="Arial" w:hAnsi="Arial" w:cs="Arial"/>
          <w:szCs w:val="20"/>
        </w:rPr>
      </w:pPr>
      <w:r w:rsidRPr="009B7B35">
        <w:rPr>
          <w:rFonts w:ascii="Arial" w:hAnsi="Arial" w:cs="Arial"/>
          <w:szCs w:val="20"/>
        </w:rPr>
        <w:t>Connecting people and business</w:t>
      </w:r>
    </w:p>
    <w:p w14:paraId="280E97F7"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52E8A6F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Gladstone region is connected to global information and communication networks. Development will incorporate high quality broadband, interactive technological systems and fibre optic and telecommunication infrastructure to allow participation in local, regional, national and global information and communication networks. </w:t>
      </w:r>
    </w:p>
    <w:p w14:paraId="425A091A"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r w:rsidRPr="009B7B35">
        <w:rPr>
          <w:rFonts w:ascii="Arial" w:hAnsi="Arial" w:cs="Arial"/>
          <w:sz w:val="20"/>
          <w:szCs w:val="20"/>
        </w:rPr>
        <w:t>This supports major industry, local business and home based businesses to function efficiently and contribute to the economic sustainability of the region. It also facilitates community connectedness through ensuring people can be engaged in social and community based networks.</w:t>
      </w:r>
    </w:p>
    <w:p w14:paraId="131C0D34" w14:textId="77777777" w:rsidR="00BE36FB" w:rsidRPr="009B7B35" w:rsidRDefault="00BE36FB" w:rsidP="001A7107">
      <w:pPr>
        <w:pStyle w:val="Highlightlinegrey"/>
        <w:spacing w:before="0"/>
        <w:contextualSpacing/>
        <w:rPr>
          <w:rFonts w:ascii="Arial" w:hAnsi="Arial" w:cs="Arial"/>
          <w:szCs w:val="20"/>
        </w:rPr>
      </w:pPr>
    </w:p>
    <w:p w14:paraId="363346CD" w14:textId="77777777" w:rsidR="00BE36FB" w:rsidRPr="009B7B35" w:rsidRDefault="00BE36FB" w:rsidP="001A7107">
      <w:pPr>
        <w:pStyle w:val="Highlightlinegrey"/>
        <w:spacing w:before="0"/>
        <w:contextualSpacing/>
        <w:rPr>
          <w:rFonts w:ascii="Arial" w:hAnsi="Arial" w:cs="Arial"/>
          <w:szCs w:val="20"/>
        </w:rPr>
      </w:pPr>
      <w:r w:rsidRPr="009B7B35">
        <w:rPr>
          <w:rFonts w:ascii="Arial" w:hAnsi="Arial" w:cs="Arial"/>
          <w:szCs w:val="20"/>
        </w:rPr>
        <w:t>Mapping</w:t>
      </w:r>
    </w:p>
    <w:p w14:paraId="6830082D"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Strategic Framework Map Connecting our places Schedule 2.</w:t>
      </w:r>
    </w:p>
    <w:p w14:paraId="15B6A128"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1A514A35"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5D3E2F96" wp14:editId="35B47964">
            <wp:extent cx="5954573" cy="8857175"/>
            <wp:effectExtent l="0" t="0" r="825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cover.jpg"/>
                    <pic:cNvPicPr/>
                  </pic:nvPicPr>
                  <pic:blipFill rotWithShape="1">
                    <a:blip r:embed="rId23" cstate="print">
                      <a:extLst>
                        <a:ext uri="{28A0092B-C50C-407E-A947-70E740481C1C}">
                          <a14:useLocalDpi xmlns:a14="http://schemas.microsoft.com/office/drawing/2010/main" val="0"/>
                        </a:ext>
                      </a:extLst>
                    </a:blip>
                    <a:srcRect l="4907"/>
                    <a:stretch/>
                  </pic:blipFill>
                  <pic:spPr bwMode="auto">
                    <a:xfrm>
                      <a:off x="0" y="0"/>
                      <a:ext cx="5955451" cy="8858481"/>
                    </a:xfrm>
                    <a:prstGeom prst="rect">
                      <a:avLst/>
                    </a:prstGeom>
                    <a:ln>
                      <a:noFill/>
                    </a:ln>
                    <a:extLst>
                      <a:ext uri="{53640926-AAD7-44D8-BBD7-CCE9431645EC}">
                        <a14:shadowObscured xmlns:a14="http://schemas.microsoft.com/office/drawing/2010/main"/>
                      </a:ext>
                    </a:extLst>
                  </pic:spPr>
                </pic:pic>
              </a:graphicData>
            </a:graphic>
          </wp:inline>
        </w:drawing>
      </w:r>
    </w:p>
    <w:p w14:paraId="3B98A274" w14:textId="77777777" w:rsidR="00BE36FB" w:rsidRPr="009B7B35" w:rsidRDefault="00BE36FB" w:rsidP="00BE36FB">
      <w:pPr>
        <w:pStyle w:val="Heading2"/>
        <w:numPr>
          <w:ilvl w:val="1"/>
          <w:numId w:val="29"/>
        </w:numPr>
        <w:spacing w:before="0"/>
        <w:contextualSpacing/>
        <w:rPr>
          <w:rFonts w:ascii="Arial" w:hAnsi="Arial"/>
          <w:iCs w:val="0"/>
          <w:sz w:val="20"/>
          <w:szCs w:val="20"/>
        </w:rPr>
      </w:pPr>
      <w:bookmarkStart w:id="113" w:name="_Toc205367306"/>
      <w:r w:rsidRPr="009B7B35">
        <w:rPr>
          <w:rFonts w:ascii="Arial" w:hAnsi="Arial"/>
          <w:iCs w:val="0"/>
          <w:sz w:val="20"/>
          <w:szCs w:val="20"/>
        </w:rPr>
        <w:t>Building it better: our urban areas</w:t>
      </w:r>
      <w:bookmarkEnd w:id="113"/>
    </w:p>
    <w:p w14:paraId="699D15C1" w14:textId="77777777" w:rsidR="00BE36FB" w:rsidRPr="009B7B35" w:rsidRDefault="00BE36FB" w:rsidP="00BE36FB">
      <w:pPr>
        <w:pStyle w:val="Heading3"/>
        <w:numPr>
          <w:ilvl w:val="2"/>
          <w:numId w:val="29"/>
        </w:numPr>
        <w:spacing w:after="240"/>
        <w:contextualSpacing/>
        <w:rPr>
          <w:rFonts w:ascii="Arial" w:hAnsi="Arial"/>
          <w:sz w:val="20"/>
          <w:szCs w:val="20"/>
        </w:rPr>
      </w:pPr>
      <w:bookmarkStart w:id="114" w:name="_Toc205367307"/>
      <w:r w:rsidRPr="009B7B35">
        <w:rPr>
          <w:rFonts w:ascii="Arial" w:hAnsi="Arial"/>
          <w:sz w:val="20"/>
          <w:szCs w:val="20"/>
        </w:rPr>
        <w:t>Strategic outcomes</w:t>
      </w:r>
      <w:bookmarkEnd w:id="114"/>
    </w:p>
    <w:p w14:paraId="4A58703E" w14:textId="77777777" w:rsidR="00BE36FB" w:rsidRPr="009B7B35" w:rsidRDefault="00BE36FB" w:rsidP="001A7107">
      <w:pPr>
        <w:contextualSpacing/>
        <w:rPr>
          <w:rFonts w:ascii="Arial" w:hAnsi="Arial" w:cs="Arial"/>
          <w:sz w:val="20"/>
          <w:szCs w:val="20"/>
        </w:rPr>
        <w:sectPr w:rsidR="00BE36FB" w:rsidRPr="009B7B35" w:rsidSect="001A7107">
          <w:pgSz w:w="11906" w:h="16838" w:code="9"/>
          <w:pgMar w:top="1418" w:right="1134" w:bottom="1418" w:left="1134" w:header="567" w:footer="567" w:gutter="284"/>
          <w:cols w:space="709"/>
          <w:titlePg/>
          <w:docGrid w:linePitch="360"/>
        </w:sectPr>
      </w:pPr>
    </w:p>
    <w:p w14:paraId="3DD6E047" w14:textId="77777777"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Gladstone’s CBD prospers as the heart of the city and region where the tallest (non–industrial) buildings in the region occur to reinforce Goondoon Street as the region’s main street for commercial, retail and entertainment activities.</w:t>
      </w:r>
    </w:p>
    <w:p w14:paraId="7766D0E4" w14:textId="77777777"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 xml:space="preserve">Urban redevelopment and higher density housing occurs in urban revitalisation neighbourhoods across identified residential neighbourhoods and mixed use centres. </w:t>
      </w:r>
    </w:p>
    <w:p w14:paraId="3E68B782" w14:textId="77777777"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Buildings in urban revitalisation neighbourhoods within residential zones promote neighbourhood residential character and amenity commensurate with the relevant Low–medium density residential or Medium density residential zones. These areas accommodate a range of attached housing forms including low–medium rise townhouses and medium rise apartments.</w:t>
      </w:r>
    </w:p>
    <w:p w14:paraId="5254D9A8" w14:textId="77777777"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Mixed use centres are designed as true town centres of economic and community life, rather than just ‘big box’ shopping centres.</w:t>
      </w:r>
    </w:p>
    <w:p w14:paraId="1C2EDD4C" w14:textId="77777777"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The design of the region’s new neighbourhoods provide a range of housing choices, are characterised by walkability and have a neighbourhood structure with a central focus such as a park or shop. Development in new neighbourhoods does not include tall buildings and contains a mix of low–medium scale residential buildings such as dwelling houses, dual occupancy and some townhouses.</w:t>
      </w:r>
    </w:p>
    <w:p w14:paraId="4CEC693A" w14:textId="77777777"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Existing suburban areas remain as low density suburban neighbourhoods dominated by dwelling houses. Residential development must maintain the prevailing low density suburban character of these areas.</w:t>
      </w:r>
    </w:p>
    <w:p w14:paraId="248DADE3" w14:textId="77777777"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The design of the region’s neighbourhoods, centres, employment areas and public spaces adequately provides for public safety.</w:t>
      </w:r>
    </w:p>
    <w:p w14:paraId="6A54B2CE" w14:textId="77777777" w:rsidR="00BE36FB" w:rsidRPr="009B7B35" w:rsidRDefault="00BE36FB" w:rsidP="00BE36FB">
      <w:pPr>
        <w:numPr>
          <w:ilvl w:val="0"/>
          <w:numId w:val="40"/>
        </w:numPr>
        <w:contextualSpacing/>
        <w:rPr>
          <w:rFonts w:ascii="Arial" w:hAnsi="Arial" w:cs="Arial"/>
          <w:sz w:val="20"/>
          <w:szCs w:val="20"/>
        </w:rPr>
      </w:pPr>
      <w:r w:rsidRPr="009B7B35">
        <w:rPr>
          <w:rFonts w:ascii="Arial" w:hAnsi="Arial" w:cs="Arial"/>
          <w:sz w:val="20"/>
          <w:szCs w:val="20"/>
        </w:rPr>
        <w:t>Infrastructure planning and investment is organised to support development in an efficient and timely manner.</w:t>
      </w:r>
    </w:p>
    <w:p w14:paraId="4E5C84C4" w14:textId="77777777" w:rsidR="00BE36FB" w:rsidRPr="009B7B35" w:rsidRDefault="00BE36FB" w:rsidP="001A7107">
      <w:pPr>
        <w:contextualSpacing/>
        <w:rPr>
          <w:rFonts w:ascii="Arial" w:hAnsi="Arial" w:cs="Arial"/>
          <w:sz w:val="20"/>
          <w:szCs w:val="20"/>
        </w:rPr>
      </w:pPr>
    </w:p>
    <w:p w14:paraId="4E5E3DAD" w14:textId="77777777" w:rsidR="00BE36FB" w:rsidRPr="009B7B35" w:rsidRDefault="00BE36FB" w:rsidP="001A7107">
      <w:pPr>
        <w:contextualSpacing/>
        <w:rPr>
          <w:rFonts w:ascii="Arial" w:hAnsi="Arial" w:cs="Arial"/>
          <w:sz w:val="20"/>
          <w:szCs w:val="20"/>
        </w:rPr>
      </w:pPr>
    </w:p>
    <w:p w14:paraId="1070F3F6"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584BDD3D" w14:textId="77777777" w:rsidR="00BE36FB" w:rsidRPr="009B7B35" w:rsidRDefault="00BE36FB" w:rsidP="001A7107">
      <w:pPr>
        <w:pStyle w:val="Notes"/>
        <w:contextualSpacing/>
        <w:rPr>
          <w:rFonts w:cs="Arial"/>
          <w:sz w:val="20"/>
          <w:szCs w:val="20"/>
        </w:rPr>
      </w:pPr>
      <w:r w:rsidRPr="009B7B35">
        <w:rPr>
          <w:rFonts w:cs="Arial"/>
          <w:sz w:val="20"/>
          <w:szCs w:val="20"/>
        </w:rPr>
        <w:t>Note—The Built Form Transect (Schedule 2) translates the Gladstone Place Model into a range of built form outcomes that are intended in the region’s urban areas which will experience the greatest amount of change throughout the life of this planning scheme. This covers a range of building types at different scales and intensities that are described throughout this theme and in the relevant zone codes.</w:t>
      </w:r>
    </w:p>
    <w:p w14:paraId="717341D4" w14:textId="77777777" w:rsidR="00BE36FB" w:rsidRPr="009B7B35" w:rsidRDefault="00BE36FB" w:rsidP="001A7107">
      <w:pPr>
        <w:pStyle w:val="Notes"/>
        <w:contextualSpacing/>
        <w:rPr>
          <w:rFonts w:cs="Arial"/>
          <w:sz w:val="20"/>
          <w:szCs w:val="20"/>
        </w:rPr>
      </w:pPr>
    </w:p>
    <w:p w14:paraId="6DB14598" w14:textId="77777777" w:rsidR="00BE36FB" w:rsidRPr="009B7B35" w:rsidRDefault="00BE36FB" w:rsidP="00BE36FB">
      <w:pPr>
        <w:pStyle w:val="Heading3"/>
        <w:numPr>
          <w:ilvl w:val="2"/>
          <w:numId w:val="29"/>
        </w:numPr>
        <w:spacing w:after="240"/>
        <w:contextualSpacing/>
        <w:rPr>
          <w:rFonts w:ascii="Arial" w:hAnsi="Arial"/>
          <w:sz w:val="20"/>
          <w:szCs w:val="20"/>
        </w:rPr>
      </w:pPr>
      <w:bookmarkStart w:id="115" w:name="_Toc205367308"/>
      <w:r w:rsidRPr="009B7B35">
        <w:rPr>
          <w:rFonts w:ascii="Arial" w:hAnsi="Arial"/>
          <w:sz w:val="20"/>
          <w:szCs w:val="20"/>
        </w:rPr>
        <w:t>Elements</w:t>
      </w:r>
      <w:bookmarkEnd w:id="115"/>
    </w:p>
    <w:p w14:paraId="44C7C17E" w14:textId="77777777" w:rsidR="00BE36FB" w:rsidRPr="009B7B35" w:rsidRDefault="00BE36FB" w:rsidP="001A7107">
      <w:pPr>
        <w:pStyle w:val="Highlightlinegreen"/>
        <w:contextualSpacing/>
        <w:rPr>
          <w:rFonts w:ascii="Arial" w:hAnsi="Arial" w:cs="Arial"/>
          <w:szCs w:val="20"/>
        </w:rPr>
      </w:pPr>
      <w:r w:rsidRPr="009B7B35">
        <w:rPr>
          <w:rFonts w:ascii="Arial" w:hAnsi="Arial" w:cs="Arial"/>
          <w:szCs w:val="20"/>
        </w:rPr>
        <w:t>Building it better: Gladstone CBD</w:t>
      </w:r>
    </w:p>
    <w:p w14:paraId="3E56E08E"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25F1830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CBD is the most intense concentration of retail, commercial, office and entertainment activities in the region. The CBD occurs in the Principal centre zone while the surrounding CBD fringe areas are included in the Mixed use zone.</w:t>
      </w:r>
    </w:p>
    <w:p w14:paraId="3D3B618E" w14:textId="77777777" w:rsidR="00BE36FB" w:rsidRPr="009B7B35" w:rsidRDefault="00BE36FB" w:rsidP="001A7107">
      <w:pPr>
        <w:contextualSpacing/>
        <w:rPr>
          <w:rFonts w:ascii="Arial" w:hAnsi="Arial" w:cs="Arial"/>
          <w:sz w:val="20"/>
          <w:szCs w:val="20"/>
        </w:rPr>
      </w:pPr>
    </w:p>
    <w:p w14:paraId="2A1A542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CBD is laid out on a grid pattern and is distinctive through its undulating topography. Buildings dominate the streets, particularly streets identified as primary frontages, and include high quality public realm and streetscape outcomes that support pedestrian activity and street life.</w:t>
      </w:r>
    </w:p>
    <w:p w14:paraId="4F1B7EFD" w14:textId="77777777" w:rsidR="00BE36FB" w:rsidRPr="009B7B35" w:rsidRDefault="00BE36FB" w:rsidP="001A7107">
      <w:pPr>
        <w:contextualSpacing/>
        <w:rPr>
          <w:rFonts w:ascii="Arial" w:hAnsi="Arial" w:cs="Arial"/>
          <w:sz w:val="20"/>
          <w:szCs w:val="20"/>
        </w:rPr>
      </w:pPr>
    </w:p>
    <w:p w14:paraId="6CE37E6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Goondoon Street is the CBD’s main street or primary frontage. Buildings are characterised by single level podiums built to the street frontage and recessed upper level tower forms. Ceilings within podiums are higher at ground level to further encourage an active street environment. </w:t>
      </w:r>
    </w:p>
    <w:p w14:paraId="6E764FF3"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They also include awnings over footpaths to assist in providing a comfortable pedestrian environment.</w:t>
      </w:r>
    </w:p>
    <w:p w14:paraId="4BE5FF35" w14:textId="77777777" w:rsidR="00BE36FB" w:rsidRPr="009B7B35" w:rsidRDefault="00BE36FB" w:rsidP="001A7107">
      <w:pPr>
        <w:contextualSpacing/>
        <w:rPr>
          <w:rFonts w:ascii="Arial" w:hAnsi="Arial" w:cs="Arial"/>
          <w:sz w:val="20"/>
          <w:szCs w:val="20"/>
        </w:rPr>
      </w:pPr>
    </w:p>
    <w:p w14:paraId="517C7DAD"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Redevelopment within the CBD is supported by streetscape improvements and the addition of greenery where this is able to be integrated with the existing urban fabric. </w:t>
      </w:r>
    </w:p>
    <w:p w14:paraId="2FEE457E" w14:textId="77777777" w:rsidR="00BE36FB" w:rsidRPr="009B7B35" w:rsidRDefault="00BE36FB" w:rsidP="001A7107">
      <w:pPr>
        <w:contextualSpacing/>
        <w:rPr>
          <w:rFonts w:ascii="Arial" w:hAnsi="Arial" w:cs="Arial"/>
          <w:sz w:val="20"/>
          <w:szCs w:val="20"/>
        </w:rPr>
      </w:pPr>
    </w:p>
    <w:p w14:paraId="62ECBEF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Access and parking (on and off street) needs to be carefully managed to allow people to get in and out of the CBD, without compromising the function and the fabric of this principal centre. Development must contribute to street improvements to create a high quality pedestrian environment and emphasise connections between the Valley to the south–east and the harbour to the north–west. </w:t>
      </w:r>
    </w:p>
    <w:p w14:paraId="2F674C3F" w14:textId="77777777" w:rsidR="00BE36FB" w:rsidRPr="009B7B35" w:rsidRDefault="00BE36FB" w:rsidP="001A7107">
      <w:pPr>
        <w:contextualSpacing/>
        <w:rPr>
          <w:rFonts w:ascii="Arial" w:hAnsi="Arial" w:cs="Arial"/>
          <w:sz w:val="20"/>
          <w:szCs w:val="20"/>
        </w:rPr>
      </w:pPr>
    </w:p>
    <w:p w14:paraId="28E4D50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Heritage listed buildings (identified in the Heritage overlay) are retained and incorporated in new developments (as appropriate) to enhance the visual interest of the street and acknowledge these building's inherent values.</w:t>
      </w:r>
    </w:p>
    <w:p w14:paraId="6DCDDDC3"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Views along Goondoon Street to the water are important to the streetscape and are to be protected.</w:t>
      </w:r>
      <w:r w:rsidRPr="009B7B35">
        <w:rPr>
          <w:rFonts w:ascii="Arial" w:hAnsi="Arial" w:cs="Arial"/>
          <w:sz w:val="20"/>
          <w:szCs w:val="20"/>
        </w:rPr>
        <w:br w:type="column"/>
      </w:r>
      <w:r w:rsidRPr="009B7B35">
        <w:rPr>
          <w:rFonts w:ascii="Arial" w:hAnsi="Arial" w:cs="Arial"/>
          <w:noProof/>
          <w:sz w:val="20"/>
          <w:szCs w:val="20"/>
        </w:rPr>
        <w:drawing>
          <wp:inline distT="0" distB="0" distL="0" distR="0" wp14:anchorId="67A1BA62" wp14:editId="42781F43">
            <wp:extent cx="2678400" cy="3705600"/>
            <wp:effectExtent l="38100" t="38100" r="4635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2-1.jpg"/>
                    <pic:cNvPicPr/>
                  </pic:nvPicPr>
                  <pic:blipFill rotWithShape="1">
                    <a:blip r:embed="rId24">
                      <a:extLst>
                        <a:ext uri="{28A0092B-C50C-407E-A947-70E740481C1C}">
                          <a14:useLocalDpi xmlns:a14="http://schemas.microsoft.com/office/drawing/2010/main" val="0"/>
                        </a:ext>
                      </a:extLst>
                    </a:blip>
                    <a:srcRect r="3120"/>
                    <a:stretch/>
                  </pic:blipFill>
                  <pic:spPr bwMode="auto">
                    <a:xfrm>
                      <a:off x="0" y="0"/>
                      <a:ext cx="2678400" cy="3705600"/>
                    </a:xfrm>
                    <a:prstGeom prst="rect">
                      <a:avLst/>
                    </a:prstGeom>
                    <a:ln w="28575">
                      <a:solidFill>
                        <a:schemeClr val="bg1"/>
                      </a:solidFill>
                    </a:ln>
                    <a:extLst>
                      <a:ext uri="{53640926-AAD7-44D8-BBD7-CCE9431645EC}">
                        <a14:shadowObscured xmlns:a14="http://schemas.microsoft.com/office/drawing/2010/main"/>
                      </a:ext>
                    </a:extLst>
                  </pic:spPr>
                </pic:pic>
              </a:graphicData>
            </a:graphic>
          </wp:inline>
        </w:drawing>
      </w:r>
    </w:p>
    <w:p w14:paraId="0DC168B8" w14:textId="77777777" w:rsidR="00BE36FB" w:rsidRPr="009B7B35" w:rsidRDefault="00BE36FB" w:rsidP="001A7107">
      <w:pPr>
        <w:pStyle w:val="Subtitle4"/>
        <w:contextualSpacing/>
        <w:rPr>
          <w:rFonts w:cs="Arial"/>
          <w:szCs w:val="20"/>
        </w:rPr>
      </w:pPr>
      <w:r w:rsidRPr="009B7B35">
        <w:rPr>
          <w:rFonts w:cs="Arial"/>
          <w:szCs w:val="20"/>
        </w:rPr>
        <w:t>Gladstone CBD locality</w:t>
      </w:r>
    </w:p>
    <w:p w14:paraId="4FDB1D74" w14:textId="77777777" w:rsidR="00BE36FB" w:rsidRPr="009B7B35" w:rsidRDefault="00BE36FB" w:rsidP="001A7107">
      <w:pPr>
        <w:keepNext/>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2405D757" w14:textId="77777777" w:rsidR="00BE36FB" w:rsidRPr="009B7B35" w:rsidRDefault="00BE36FB" w:rsidP="001A7107">
      <w:pPr>
        <w:pStyle w:val="Highlightlinegreen"/>
        <w:contextualSpacing/>
        <w:rPr>
          <w:rFonts w:ascii="Arial" w:hAnsi="Arial" w:cs="Arial"/>
          <w:szCs w:val="20"/>
          <w:lang w:eastAsia="en-US"/>
        </w:rPr>
      </w:pPr>
      <w:r w:rsidRPr="009B7B35">
        <w:rPr>
          <w:rFonts w:ascii="Arial" w:hAnsi="Arial" w:cs="Arial"/>
          <w:szCs w:val="20"/>
          <w:lang w:eastAsia="en-US"/>
        </w:rPr>
        <w:t>Building it better: Urban revitalisation neighbourhoods</w:t>
      </w:r>
    </w:p>
    <w:p w14:paraId="0F22E32D"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4871DC2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Urban revitalisation neighbourhoods are older urban areas generally close to the Gladstone CBD and other key locations such as the Gladstone hospital. They are reflected across residential and mixed use neighbourhoods and occur in the Low–medium density residential zone, Medium density residential zone and Mixed use zone.</w:t>
      </w:r>
    </w:p>
    <w:p w14:paraId="5317EE2E" w14:textId="77777777" w:rsidR="00BE36FB" w:rsidRPr="009B7B35" w:rsidRDefault="00BE36FB" w:rsidP="001A7107">
      <w:pPr>
        <w:contextualSpacing/>
        <w:rPr>
          <w:rFonts w:ascii="Arial" w:hAnsi="Arial" w:cs="Arial"/>
          <w:sz w:val="20"/>
          <w:szCs w:val="20"/>
        </w:rPr>
      </w:pPr>
    </w:p>
    <w:p w14:paraId="58193A05"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Urban revitalisation neighbourhoods are well located to public transport, and walking and cycling routes to the Gladstone CBD and other locations. They offer excellent access to services, parks and have infrastructure capacity to support higher densities of development.</w:t>
      </w:r>
    </w:p>
    <w:p w14:paraId="5AD3AD74" w14:textId="77777777" w:rsidR="00BE36FB" w:rsidRPr="009B7B35" w:rsidRDefault="00BE36FB" w:rsidP="001A7107">
      <w:pPr>
        <w:contextualSpacing/>
        <w:rPr>
          <w:rFonts w:ascii="Arial" w:hAnsi="Arial" w:cs="Arial"/>
          <w:sz w:val="20"/>
          <w:szCs w:val="20"/>
        </w:rPr>
      </w:pPr>
    </w:p>
    <w:p w14:paraId="05B21A9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Buildings have a sense of enclosure at the street level provided by small building setbacks particularly on primary frontages. Streets are characterised by street trees providing shade and character, and footpaths for walking. Roadways are designed for sharing by vehicles and bikes. The grid–based streets are connected in a way that makes it easy to navigate.</w:t>
      </w:r>
    </w:p>
    <w:p w14:paraId="1CB34929" w14:textId="77777777" w:rsidR="00BE36FB" w:rsidRPr="009B7B35" w:rsidRDefault="00BE36FB" w:rsidP="001A7107">
      <w:pPr>
        <w:contextualSpacing/>
        <w:rPr>
          <w:rFonts w:ascii="Arial" w:hAnsi="Arial" w:cs="Arial"/>
          <w:sz w:val="20"/>
          <w:szCs w:val="20"/>
        </w:rPr>
      </w:pPr>
    </w:p>
    <w:p w14:paraId="250A5AC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Within the Mixed use zone the proportion of residential and commercial uses varies with its location. Buildings support a range of </w:t>
      </w:r>
      <w:r w:rsidRPr="009B7B35">
        <w:rPr>
          <w:rFonts w:ascii="Arial" w:hAnsi="Arial" w:cs="Arial"/>
          <w:sz w:val="20"/>
          <w:szCs w:val="20"/>
        </w:rPr>
        <w:br w:type="column"/>
        <w:t>appropriate centre activities and attached housing. Along identified primary frontages such as Tank Street in the Valley, buildings include a single level podium for fine grain active uses that is built to the street alignment to define the street and public realm and delineate between public and private spaces. Awnings over footpaths assist in providing a comfortable pedestrian environment. Outside of primary frontages, buildings maintain a close relationship to the street but are not built to the street alignment and may include either residential or commercial uses at ground level.</w:t>
      </w:r>
    </w:p>
    <w:p w14:paraId="19483BB6" w14:textId="77777777" w:rsidR="00BE36FB" w:rsidRPr="009B7B35" w:rsidRDefault="00BE36FB" w:rsidP="001A7107">
      <w:pPr>
        <w:contextualSpacing/>
        <w:rPr>
          <w:rFonts w:ascii="Arial" w:hAnsi="Arial" w:cs="Arial"/>
          <w:sz w:val="20"/>
          <w:szCs w:val="20"/>
        </w:rPr>
      </w:pPr>
    </w:p>
    <w:p w14:paraId="0327854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Residential zones within urban revitalisation neighbourhoods reflect a range of higher density housing outcomes. These include dwelling houses on narrow lots, dual occupancy and multiple dwellings such as townhouses and medium rise apartments. Residential buildings in these areas must compliment neighbourhood character as reflected in the relevant zone, present to the street and include design elements that reduce building bulk, minimise overshadowing and create pleasant living environments.</w:t>
      </w:r>
    </w:p>
    <w:p w14:paraId="1E314F5C" w14:textId="77777777" w:rsidR="00BE36FB" w:rsidRPr="009B7B35" w:rsidRDefault="00BE36FB" w:rsidP="001A7107">
      <w:pPr>
        <w:contextualSpacing/>
        <w:rPr>
          <w:rFonts w:ascii="Arial" w:hAnsi="Arial" w:cs="Arial"/>
          <w:sz w:val="20"/>
          <w:szCs w:val="20"/>
        </w:rPr>
      </w:pPr>
    </w:p>
    <w:p w14:paraId="64BE5058"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br w:type="column"/>
        <w:t>The CBD fringe and the Valley</w:t>
      </w:r>
    </w:p>
    <w:p w14:paraId="741D1B3B" w14:textId="77777777" w:rsidR="00BE36FB" w:rsidRPr="009B7B35" w:rsidRDefault="00BE36FB" w:rsidP="001A7107">
      <w:pPr>
        <w:contextualSpacing/>
        <w:rPr>
          <w:rFonts w:ascii="Arial" w:hAnsi="Arial" w:cs="Arial"/>
          <w:sz w:val="20"/>
          <w:szCs w:val="20"/>
        </w:rPr>
      </w:pPr>
    </w:p>
    <w:p w14:paraId="1BAA896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CBD fringe and the Valley are a mixed use area offering CBD supporting office and retail spaces and activities along with urban living options. This is identified in the Mixed use zone.</w:t>
      </w:r>
    </w:p>
    <w:p w14:paraId="78667F65" w14:textId="77777777" w:rsidR="00BE36FB" w:rsidRPr="009B7B35" w:rsidRDefault="00BE36FB" w:rsidP="001A7107">
      <w:pPr>
        <w:contextualSpacing/>
        <w:rPr>
          <w:rFonts w:ascii="Arial" w:hAnsi="Arial" w:cs="Arial"/>
          <w:sz w:val="20"/>
          <w:szCs w:val="20"/>
        </w:rPr>
      </w:pPr>
    </w:p>
    <w:p w14:paraId="0F32485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Residential development opportunities are encouraged with ground and lower level business and community uses largely concentrated on the primary frontage of Tank Street and Goondoon Street south.</w:t>
      </w:r>
    </w:p>
    <w:p w14:paraId="170F0F99" w14:textId="77777777" w:rsidR="00BE36FB" w:rsidRPr="009B7B35" w:rsidRDefault="00BE36FB" w:rsidP="001A7107">
      <w:pPr>
        <w:contextualSpacing/>
        <w:rPr>
          <w:rFonts w:ascii="Arial" w:hAnsi="Arial" w:cs="Arial"/>
          <w:sz w:val="20"/>
          <w:szCs w:val="20"/>
        </w:rPr>
      </w:pPr>
    </w:p>
    <w:p w14:paraId="37D62511"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15542921" wp14:editId="58BA9E05">
            <wp:extent cx="2677363" cy="2175590"/>
            <wp:effectExtent l="38100" t="38100" r="46990" b="342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2-2.jpg"/>
                    <pic:cNvPicPr/>
                  </pic:nvPicPr>
                  <pic:blipFill>
                    <a:blip r:embed="rId25">
                      <a:extLst>
                        <a:ext uri="{28A0092B-C50C-407E-A947-70E740481C1C}">
                          <a14:useLocalDpi xmlns:a14="http://schemas.microsoft.com/office/drawing/2010/main" val="0"/>
                        </a:ext>
                      </a:extLst>
                    </a:blip>
                    <a:stretch>
                      <a:fillRect/>
                    </a:stretch>
                  </pic:blipFill>
                  <pic:spPr>
                    <a:xfrm>
                      <a:off x="0" y="0"/>
                      <a:ext cx="2677477" cy="2175682"/>
                    </a:xfrm>
                    <a:prstGeom prst="rect">
                      <a:avLst/>
                    </a:prstGeom>
                    <a:ln w="28575">
                      <a:solidFill>
                        <a:schemeClr val="bg1"/>
                      </a:solidFill>
                    </a:ln>
                  </pic:spPr>
                </pic:pic>
              </a:graphicData>
            </a:graphic>
          </wp:inline>
        </w:drawing>
      </w:r>
    </w:p>
    <w:p w14:paraId="2D58D7C4" w14:textId="77777777" w:rsidR="00BE36FB" w:rsidRPr="009B7B35" w:rsidRDefault="00BE36FB" w:rsidP="001A7107">
      <w:pPr>
        <w:pStyle w:val="Subtitle4"/>
        <w:contextualSpacing/>
        <w:rPr>
          <w:rFonts w:cs="Arial"/>
          <w:szCs w:val="20"/>
        </w:rPr>
      </w:pPr>
      <w:r w:rsidRPr="009B7B35">
        <w:rPr>
          <w:rFonts w:cs="Arial"/>
          <w:szCs w:val="20"/>
        </w:rPr>
        <w:t>The Valley locality</w:t>
      </w:r>
    </w:p>
    <w:p w14:paraId="445A44D5" w14:textId="77777777" w:rsidR="00BE36FB" w:rsidRPr="009B7B35" w:rsidRDefault="00BE36FB" w:rsidP="001A7107">
      <w:pPr>
        <w:contextualSpacing/>
        <w:rPr>
          <w:rFonts w:ascii="Arial" w:hAnsi="Arial" w:cs="Arial"/>
          <w:sz w:val="20"/>
          <w:szCs w:val="20"/>
        </w:rPr>
      </w:pPr>
    </w:p>
    <w:p w14:paraId="560F75EC"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Goondoon Street south and Tank Street are reinforced as ‘main streets’ although development will be less intense than the CBD (Goondoon Street north).  Buildings ranging from four to six storeys in height can offer an alternative for smaller businesses in a near–CBD location. Away from these main streets and on the fringe of the CBD, there is less imperative for buildings to be built close to the street. In these areas the public realm is less formal with a greater emphasis on planting and footpaths.</w:t>
      </w:r>
    </w:p>
    <w:p w14:paraId="2A2BB0B5" w14:textId="77777777" w:rsidR="00BE36FB" w:rsidRPr="009B7B35" w:rsidRDefault="00BE36FB" w:rsidP="001A7107">
      <w:pPr>
        <w:contextualSpacing/>
        <w:rPr>
          <w:rFonts w:ascii="Arial" w:hAnsi="Arial" w:cs="Arial"/>
          <w:sz w:val="20"/>
          <w:szCs w:val="20"/>
        </w:rPr>
      </w:pPr>
    </w:p>
    <w:p w14:paraId="6926DEA7"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Redevelopment of land in proximity to strategic port land and major industries incorporates design and operational measures to ensure an appropriate level of onsite amenity is achieved.</w:t>
      </w:r>
    </w:p>
    <w:p w14:paraId="133890C6" w14:textId="77777777" w:rsidR="00BE36FB" w:rsidRPr="009B7B35" w:rsidRDefault="00BE36FB" w:rsidP="001A7107">
      <w:pPr>
        <w:contextualSpacing/>
        <w:rPr>
          <w:rFonts w:ascii="Arial" w:hAnsi="Arial" w:cs="Arial"/>
          <w:sz w:val="20"/>
          <w:szCs w:val="20"/>
        </w:rPr>
      </w:pPr>
    </w:p>
    <w:p w14:paraId="7C16C92D"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Gladstone south</w:t>
      </w:r>
    </w:p>
    <w:p w14:paraId="1130CDF8" w14:textId="77777777" w:rsidR="00BE36FB" w:rsidRPr="009B7B35" w:rsidRDefault="00BE36FB" w:rsidP="001A7107">
      <w:pPr>
        <w:contextualSpacing/>
        <w:rPr>
          <w:rFonts w:ascii="Arial" w:hAnsi="Arial" w:cs="Arial"/>
          <w:sz w:val="20"/>
          <w:szCs w:val="20"/>
        </w:rPr>
      </w:pPr>
    </w:p>
    <w:p w14:paraId="185A5812"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Three or four storey mixed use development is appropriate along the western frontage of Toolooa Street in Gladstone south. This reinforces Toolooa Street as a gateway into the Valley and eventually CBD. This type of development is limited to land in the Mixed use zone. The eastern frontage of Toolooa Street includes land within the Specialised centre zone where development provides for smaller scale bulky goods showrooms and outdoor sales activities.</w:t>
      </w:r>
    </w:p>
    <w:p w14:paraId="5CF16E1F" w14:textId="77777777" w:rsidR="00BE36FB" w:rsidRPr="009B7B35" w:rsidRDefault="00BE36FB" w:rsidP="001A7107">
      <w:pPr>
        <w:contextualSpacing/>
        <w:rPr>
          <w:rFonts w:ascii="Arial" w:hAnsi="Arial" w:cs="Arial"/>
          <w:sz w:val="20"/>
          <w:szCs w:val="20"/>
        </w:rPr>
      </w:pPr>
    </w:p>
    <w:p w14:paraId="351A9552"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Low medium density residential development such as townhouses and other forms of attached housing are appropriate beyond the western frontage of Toolooa Street. This is identified in the Low–medium density residential zone.</w:t>
      </w:r>
    </w:p>
    <w:p w14:paraId="57DF4082" w14:textId="77777777" w:rsidR="00BE36FB" w:rsidRPr="009B7B35" w:rsidRDefault="00BE36FB" w:rsidP="001A7107">
      <w:pPr>
        <w:contextualSpacing/>
        <w:rPr>
          <w:rFonts w:ascii="Arial" w:hAnsi="Arial" w:cs="Arial"/>
          <w:sz w:val="20"/>
          <w:szCs w:val="20"/>
        </w:rPr>
      </w:pPr>
    </w:p>
    <w:p w14:paraId="2ABA8D4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Toolooa Street shopping centre provides a major redevelopment opportunity to anchor Gladstone south and reinforce the gateway entry into the Valley and CBD. </w:t>
      </w:r>
    </w:p>
    <w:p w14:paraId="51CA8C4C" w14:textId="77777777" w:rsidR="00BE36FB" w:rsidRPr="009B7B35" w:rsidRDefault="00BE36FB" w:rsidP="001A7107">
      <w:pPr>
        <w:contextualSpacing/>
        <w:rPr>
          <w:rFonts w:ascii="Arial" w:hAnsi="Arial" w:cs="Arial"/>
          <w:sz w:val="20"/>
          <w:szCs w:val="20"/>
        </w:rPr>
      </w:pPr>
    </w:p>
    <w:p w14:paraId="62751F97"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0A4D0727" wp14:editId="481814C5">
            <wp:extent cx="2678400" cy="3566449"/>
            <wp:effectExtent l="38100" t="38100" r="46355" b="342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2-3.jpg"/>
                    <pic:cNvPicPr/>
                  </pic:nvPicPr>
                  <pic:blipFill>
                    <a:blip r:embed="rId26">
                      <a:extLst>
                        <a:ext uri="{28A0092B-C50C-407E-A947-70E740481C1C}">
                          <a14:useLocalDpi xmlns:a14="http://schemas.microsoft.com/office/drawing/2010/main" val="0"/>
                        </a:ext>
                      </a:extLst>
                    </a:blip>
                    <a:stretch>
                      <a:fillRect/>
                    </a:stretch>
                  </pic:blipFill>
                  <pic:spPr>
                    <a:xfrm>
                      <a:off x="0" y="0"/>
                      <a:ext cx="2678400" cy="3566449"/>
                    </a:xfrm>
                    <a:prstGeom prst="rect">
                      <a:avLst/>
                    </a:prstGeom>
                    <a:ln w="28575">
                      <a:solidFill>
                        <a:schemeClr val="bg1"/>
                      </a:solidFill>
                    </a:ln>
                  </pic:spPr>
                </pic:pic>
              </a:graphicData>
            </a:graphic>
          </wp:inline>
        </w:drawing>
      </w:r>
    </w:p>
    <w:p w14:paraId="4249D7D8" w14:textId="77777777" w:rsidR="00BE36FB" w:rsidRPr="009B7B35" w:rsidRDefault="00BE36FB" w:rsidP="001A7107">
      <w:pPr>
        <w:pStyle w:val="Subtitle4"/>
        <w:contextualSpacing/>
        <w:rPr>
          <w:rFonts w:cs="Arial"/>
          <w:szCs w:val="20"/>
        </w:rPr>
      </w:pPr>
      <w:r w:rsidRPr="009B7B35">
        <w:rPr>
          <w:rFonts w:cs="Arial"/>
          <w:szCs w:val="20"/>
        </w:rPr>
        <w:t>Gladstone South locality</w:t>
      </w:r>
    </w:p>
    <w:p w14:paraId="25EA5A34" w14:textId="77777777" w:rsidR="00BE36FB" w:rsidRPr="009B7B35" w:rsidRDefault="00BE36FB" w:rsidP="001A7107">
      <w:pPr>
        <w:contextualSpacing/>
        <w:rPr>
          <w:rFonts w:ascii="Arial" w:hAnsi="Arial" w:cs="Arial"/>
          <w:sz w:val="20"/>
          <w:szCs w:val="20"/>
        </w:rPr>
      </w:pPr>
    </w:p>
    <w:p w14:paraId="2A93437A"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Gladstone west</w:t>
      </w:r>
    </w:p>
    <w:p w14:paraId="6E9056D7" w14:textId="77777777" w:rsidR="00BE36FB" w:rsidRPr="009B7B35" w:rsidRDefault="00BE36FB" w:rsidP="001A7107">
      <w:pPr>
        <w:contextualSpacing/>
        <w:rPr>
          <w:rFonts w:ascii="Arial" w:hAnsi="Arial" w:cs="Arial"/>
          <w:sz w:val="20"/>
          <w:szCs w:val="20"/>
        </w:rPr>
      </w:pPr>
    </w:p>
    <w:p w14:paraId="326066CC"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Gladstone west consists of the elevated Gladstone hospital and surrounding residential suburb west of Dawson Road and the rail corridor. It is close to the CBD and major transport routes, providing good access to the CBD with its highly connected street network.</w:t>
      </w:r>
    </w:p>
    <w:p w14:paraId="37548124" w14:textId="77777777" w:rsidR="00BE36FB" w:rsidRPr="009B7B35" w:rsidRDefault="00BE36FB" w:rsidP="001A7107">
      <w:pPr>
        <w:contextualSpacing/>
        <w:rPr>
          <w:rFonts w:ascii="Arial" w:hAnsi="Arial" w:cs="Arial"/>
          <w:sz w:val="20"/>
          <w:szCs w:val="20"/>
        </w:rPr>
      </w:pPr>
    </w:p>
    <w:p w14:paraId="3FEB248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Residential development in the form of medium rise apartments and other forms of attached housing up to four storeys is supported as appropriate infill development. This occurs in the Medium density residential zone.</w:t>
      </w:r>
    </w:p>
    <w:p w14:paraId="3AE5692C" w14:textId="77777777" w:rsidR="00BE36FB" w:rsidRPr="009B7B35" w:rsidRDefault="00BE36FB" w:rsidP="001A7107">
      <w:pPr>
        <w:contextualSpacing/>
        <w:rPr>
          <w:rFonts w:ascii="Arial" w:hAnsi="Arial" w:cs="Arial"/>
          <w:sz w:val="20"/>
          <w:szCs w:val="20"/>
        </w:rPr>
      </w:pPr>
    </w:p>
    <w:p w14:paraId="0E0088D1"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The Gladstone hospital precinct also includes small scale medical uses, local shops and services that support the Gladstone hospital. These activities occur on the ground level of buildings with short term accommodation or permanent residential accommodation above.</w:t>
      </w:r>
    </w:p>
    <w:p w14:paraId="458D6682" w14:textId="77777777" w:rsidR="00BE36FB" w:rsidRPr="009B7B35" w:rsidRDefault="00BE36FB" w:rsidP="001A7107">
      <w:pPr>
        <w:contextualSpacing/>
        <w:rPr>
          <w:rFonts w:ascii="Arial" w:hAnsi="Arial" w:cs="Arial"/>
          <w:sz w:val="20"/>
          <w:szCs w:val="20"/>
        </w:rPr>
      </w:pPr>
    </w:p>
    <w:p w14:paraId="5CA265FD"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Part of the western frontage of Dawson Road includes land within the Specialised centre zone where development provides for smaller scale bulky goods showrooms and outdoor sales activities.</w:t>
      </w:r>
    </w:p>
    <w:p w14:paraId="5D2F6FCD" w14:textId="77777777" w:rsidR="00BE36FB" w:rsidRPr="009B7B35" w:rsidRDefault="00BE36FB" w:rsidP="001A7107">
      <w:pPr>
        <w:contextualSpacing/>
        <w:rPr>
          <w:rFonts w:ascii="Arial" w:hAnsi="Arial" w:cs="Arial"/>
          <w:sz w:val="20"/>
          <w:szCs w:val="20"/>
        </w:rPr>
      </w:pPr>
    </w:p>
    <w:p w14:paraId="7FE103F4"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5EE1ACD8" wp14:editId="12B0CE29">
            <wp:extent cx="2744470" cy="27444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dstone West.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44470" cy="2744470"/>
                    </a:xfrm>
                    <a:prstGeom prst="rect">
                      <a:avLst/>
                    </a:prstGeom>
                  </pic:spPr>
                </pic:pic>
              </a:graphicData>
            </a:graphic>
          </wp:inline>
        </w:drawing>
      </w:r>
    </w:p>
    <w:p w14:paraId="7661AAD6" w14:textId="77777777" w:rsidR="00BE36FB" w:rsidRPr="009B7B35" w:rsidRDefault="00BE36FB" w:rsidP="001A7107">
      <w:pPr>
        <w:pStyle w:val="Subtitle4"/>
        <w:contextualSpacing/>
        <w:rPr>
          <w:rFonts w:cs="Arial"/>
          <w:szCs w:val="20"/>
        </w:rPr>
      </w:pPr>
      <w:r w:rsidRPr="009B7B35">
        <w:rPr>
          <w:rFonts w:cs="Arial"/>
          <w:szCs w:val="20"/>
        </w:rPr>
        <w:t>Gladstone West locality</w:t>
      </w:r>
    </w:p>
    <w:p w14:paraId="1BE3D60C"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0E97390B" w14:textId="77777777" w:rsidR="00BE36FB" w:rsidRPr="009B7B35" w:rsidRDefault="00BE36FB" w:rsidP="001A7107">
      <w:pPr>
        <w:pStyle w:val="Highlightlinegreen"/>
        <w:contextualSpacing/>
        <w:rPr>
          <w:rFonts w:ascii="Arial" w:hAnsi="Arial" w:cs="Arial"/>
          <w:szCs w:val="20"/>
          <w:lang w:eastAsia="en-US"/>
        </w:rPr>
      </w:pPr>
      <w:r w:rsidRPr="009B7B35">
        <w:rPr>
          <w:rFonts w:ascii="Arial" w:hAnsi="Arial" w:cs="Arial"/>
          <w:szCs w:val="20"/>
          <w:lang w:eastAsia="en-US"/>
        </w:rPr>
        <w:t>Building it better: Mixed use centres</w:t>
      </w:r>
    </w:p>
    <w:p w14:paraId="5A7414B1"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324A9EE5"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A network of mixed use centres including the Gladstone CBD are accommodated across the major urban areas of the Gladstone region. They occur in the Principal centre, Mixed use, Centre and Neighbourhood centre zones.</w:t>
      </w:r>
    </w:p>
    <w:p w14:paraId="73BE93CD" w14:textId="77777777" w:rsidR="00BE36FB" w:rsidRPr="009B7B35" w:rsidRDefault="00BE36FB" w:rsidP="001A7107">
      <w:pPr>
        <w:contextualSpacing/>
        <w:rPr>
          <w:rFonts w:ascii="Arial" w:hAnsi="Arial" w:cs="Arial"/>
          <w:sz w:val="20"/>
          <w:szCs w:val="20"/>
        </w:rPr>
      </w:pPr>
    </w:p>
    <w:p w14:paraId="71390CC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design of mixed use centres varies with the scale and mix of land use activities intended for each of these zones. All mixed use centres are a hub for public transport, and a focus for walking and cycling routes. </w:t>
      </w:r>
    </w:p>
    <w:p w14:paraId="34ACA230" w14:textId="77777777" w:rsidR="00BE36FB" w:rsidRPr="009B7B35" w:rsidRDefault="00BE36FB" w:rsidP="001A7107">
      <w:pPr>
        <w:contextualSpacing/>
        <w:rPr>
          <w:rFonts w:ascii="Arial" w:hAnsi="Arial" w:cs="Arial"/>
          <w:sz w:val="20"/>
          <w:szCs w:val="20"/>
        </w:rPr>
      </w:pPr>
    </w:p>
    <w:p w14:paraId="5DD6C834"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Development within a mixed use centre is designed around high quality streets, buildings and public spaces (including parks), rather than on enclosed shopping malls surrounded by surface car parking. </w:t>
      </w:r>
    </w:p>
    <w:p w14:paraId="13CB58A5" w14:textId="77777777" w:rsidR="00BE36FB" w:rsidRPr="009B7B35" w:rsidRDefault="00BE36FB" w:rsidP="001A7107">
      <w:pPr>
        <w:contextualSpacing/>
        <w:rPr>
          <w:rFonts w:ascii="Arial" w:hAnsi="Arial" w:cs="Arial"/>
          <w:sz w:val="20"/>
          <w:szCs w:val="20"/>
        </w:rPr>
      </w:pPr>
    </w:p>
    <w:p w14:paraId="7B147F0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Streets are grid based and have a strong sense of enclosure and connectivity in a way that is easy to navigate within the centre and surrounding residential neighbourhoods. They are lined with street trees and wide footpaths.</w:t>
      </w:r>
    </w:p>
    <w:p w14:paraId="5C5A9F50" w14:textId="77777777" w:rsidR="00BE36FB" w:rsidRPr="009B7B35" w:rsidRDefault="00BE36FB" w:rsidP="001A7107">
      <w:pPr>
        <w:contextualSpacing/>
        <w:rPr>
          <w:rFonts w:ascii="Arial" w:hAnsi="Arial" w:cs="Arial"/>
          <w:sz w:val="20"/>
          <w:szCs w:val="20"/>
        </w:rPr>
      </w:pPr>
    </w:p>
    <w:p w14:paraId="1B9EA37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Buildings address street frontages and accommodate high pedestrian activity uses such as retail, entertainment or community activities presenting an interesting façade with extensive use of windows and awnings. Corners are expressed as stronger visual elements that include feature building entrances. Car parking areas avoid undermining centre activities and dominating the visual appearance of the streetscape.</w:t>
      </w:r>
    </w:p>
    <w:p w14:paraId="2FF2F40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Public spaces such as squares, plazas and urban parks are included as part of the design of mixed use centres in order to promote vibrancy and social interaction.</w:t>
      </w:r>
    </w:p>
    <w:p w14:paraId="1688E041" w14:textId="77777777" w:rsidR="00BE36FB" w:rsidRPr="009B7B35" w:rsidRDefault="00BE36FB" w:rsidP="001A7107">
      <w:pPr>
        <w:contextualSpacing/>
        <w:rPr>
          <w:rFonts w:ascii="Arial" w:hAnsi="Arial" w:cs="Arial"/>
          <w:sz w:val="20"/>
          <w:szCs w:val="20"/>
        </w:rPr>
      </w:pPr>
    </w:p>
    <w:p w14:paraId="1C0FCF12"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Kin Kora centre</w:t>
      </w:r>
    </w:p>
    <w:p w14:paraId="25879485" w14:textId="77777777" w:rsidR="00BE36FB" w:rsidRPr="009B7B35" w:rsidRDefault="00BE36FB" w:rsidP="001A7107">
      <w:pPr>
        <w:contextualSpacing/>
        <w:rPr>
          <w:rFonts w:ascii="Arial" w:hAnsi="Arial" w:cs="Arial"/>
          <w:sz w:val="20"/>
          <w:szCs w:val="20"/>
        </w:rPr>
      </w:pPr>
    </w:p>
    <w:p w14:paraId="5D5987E2"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Kin Kora is to transition into a true mixed use centre that provides a greater focus for social interaction for the local community. This transition occurs in accordance with concept diagram 1 shown. Development creates increased connectivity for users of the centre and also the ability for buildings to address the street and pedestrian thoroughfares.</w:t>
      </w:r>
    </w:p>
    <w:p w14:paraId="4EBED393" w14:textId="77777777" w:rsidR="00BE36FB" w:rsidRPr="009B7B35" w:rsidRDefault="00BE36FB" w:rsidP="001A7107">
      <w:pPr>
        <w:contextualSpacing/>
        <w:rPr>
          <w:rFonts w:ascii="Arial" w:hAnsi="Arial" w:cs="Arial"/>
          <w:sz w:val="20"/>
          <w:szCs w:val="20"/>
        </w:rPr>
      </w:pPr>
    </w:p>
    <w:p w14:paraId="09C78C84"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incorporates new connections that better integrate the centre with the surrounding area and small plaza spaces create gathering and activity areas where pedestrian movement is concentrated. These spaces are to be surrounded with finer grain shopping and dining (indoors and outdoors) where buildings can ‘sleeve’ parts of the site providing a better interface with surrounding streets and public spaces.</w:t>
      </w:r>
    </w:p>
    <w:p w14:paraId="47665CD3" w14:textId="77777777" w:rsidR="00BE36FB" w:rsidRPr="009B7B35" w:rsidRDefault="00BE36FB" w:rsidP="001A7107">
      <w:pPr>
        <w:contextualSpacing/>
        <w:rPr>
          <w:rFonts w:ascii="Arial" w:hAnsi="Arial" w:cs="Arial"/>
          <w:sz w:val="20"/>
          <w:szCs w:val="20"/>
        </w:rPr>
      </w:pPr>
    </w:p>
    <w:p w14:paraId="3D03DF52"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r w:rsidRPr="009B7B35">
        <w:rPr>
          <w:rFonts w:ascii="Arial" w:hAnsi="Arial" w:cs="Arial"/>
          <w:sz w:val="20"/>
          <w:szCs w:val="20"/>
        </w:rPr>
        <w:t>Improved local street and path connections provide access to the adjoining park and Police Creek. Safe pedestrian and bike connections across the Dawson Highway are necessary as part of any signalisation of the Phillip Street and Dawson Highway intersection.</w:t>
      </w:r>
    </w:p>
    <w:p w14:paraId="589B305E" w14:textId="77777777" w:rsidR="00BE36FB" w:rsidRPr="009B7B35" w:rsidRDefault="00BE36FB" w:rsidP="001A7107">
      <w:pPr>
        <w:contextualSpacing/>
        <w:rPr>
          <w:rFonts w:ascii="Arial" w:hAnsi="Arial" w:cs="Arial"/>
          <w:sz w:val="20"/>
          <w:szCs w:val="20"/>
        </w:rPr>
      </w:pPr>
    </w:p>
    <w:p w14:paraId="549B6F59" w14:textId="77777777" w:rsidR="00BE36FB" w:rsidRPr="009B7B35" w:rsidRDefault="00BE36FB" w:rsidP="001A7107">
      <w:pPr>
        <w:pStyle w:val="Subtitle4"/>
        <w:spacing w:before="0"/>
        <w:contextualSpacing/>
        <w:rPr>
          <w:rFonts w:cs="Arial"/>
          <w:szCs w:val="20"/>
        </w:rPr>
      </w:pPr>
      <w:r w:rsidRPr="009B7B35">
        <w:rPr>
          <w:rFonts w:cs="Arial"/>
          <w:noProof/>
          <w:szCs w:val="20"/>
        </w:rPr>
        <w:drawing>
          <wp:inline distT="0" distB="0" distL="0" distR="0" wp14:anchorId="23E1BFC1" wp14:editId="2686262F">
            <wp:extent cx="5928568" cy="2457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diagram1.jpg"/>
                    <pic:cNvPicPr/>
                  </pic:nvPicPr>
                  <pic:blipFill rotWithShape="1">
                    <a:blip r:embed="rId28" cstate="print">
                      <a:extLst>
                        <a:ext uri="{28A0092B-C50C-407E-A947-70E740481C1C}">
                          <a14:useLocalDpi xmlns:a14="http://schemas.microsoft.com/office/drawing/2010/main" val="0"/>
                        </a:ext>
                      </a:extLst>
                    </a:blip>
                    <a:srcRect b="8790"/>
                    <a:stretch/>
                  </pic:blipFill>
                  <pic:spPr bwMode="auto">
                    <a:xfrm>
                      <a:off x="0" y="0"/>
                      <a:ext cx="5939790" cy="2462102"/>
                    </a:xfrm>
                    <a:prstGeom prst="rect">
                      <a:avLst/>
                    </a:prstGeom>
                    <a:ln>
                      <a:noFill/>
                    </a:ln>
                    <a:extLst>
                      <a:ext uri="{53640926-AAD7-44D8-BBD7-CCE9431645EC}">
                        <a14:shadowObscured xmlns:a14="http://schemas.microsoft.com/office/drawing/2010/main"/>
                      </a:ext>
                    </a:extLst>
                  </pic:spPr>
                </pic:pic>
              </a:graphicData>
            </a:graphic>
          </wp:inline>
        </w:drawing>
      </w:r>
    </w:p>
    <w:p w14:paraId="6A0B8411" w14:textId="77777777" w:rsidR="00BE36FB" w:rsidRPr="009B7B35" w:rsidRDefault="00BE36FB" w:rsidP="001A7107">
      <w:pPr>
        <w:pStyle w:val="Subtitle4"/>
        <w:spacing w:before="0"/>
        <w:contextualSpacing/>
        <w:rPr>
          <w:rFonts w:cs="Arial"/>
          <w:szCs w:val="20"/>
        </w:rPr>
      </w:pPr>
      <w:r w:rsidRPr="009B7B35">
        <w:rPr>
          <w:rFonts w:cs="Arial"/>
          <w:szCs w:val="20"/>
        </w:rPr>
        <w:t>Diagram 1—Kin Kora centre</w:t>
      </w:r>
    </w:p>
    <w:p w14:paraId="56D67F1A" w14:textId="77777777" w:rsidR="00BE36FB" w:rsidRPr="009B7B35" w:rsidRDefault="00BE36FB" w:rsidP="001A7107">
      <w:pPr>
        <w:contextualSpacing/>
        <w:rPr>
          <w:rFonts w:ascii="Arial" w:hAnsi="Arial" w:cs="Arial"/>
          <w:sz w:val="20"/>
          <w:szCs w:val="20"/>
        </w:rPr>
      </w:pPr>
    </w:p>
    <w:p w14:paraId="7DD6FD1B" w14:textId="77777777" w:rsidR="00BE36FB" w:rsidRPr="009B7B35" w:rsidRDefault="00BE36FB" w:rsidP="001A7107">
      <w:pPr>
        <w:contextualSpacing/>
        <w:rPr>
          <w:rFonts w:ascii="Arial" w:hAnsi="Arial" w:cs="Arial"/>
          <w:b/>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3BB8EDE5"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Boyne Island centre</w:t>
      </w:r>
    </w:p>
    <w:p w14:paraId="408B320C" w14:textId="77777777" w:rsidR="00BE36FB" w:rsidRPr="009B7B35" w:rsidRDefault="00BE36FB" w:rsidP="001A7107">
      <w:pPr>
        <w:contextualSpacing/>
        <w:rPr>
          <w:rFonts w:ascii="Arial" w:hAnsi="Arial" w:cs="Arial"/>
          <w:sz w:val="20"/>
          <w:szCs w:val="20"/>
        </w:rPr>
      </w:pPr>
    </w:p>
    <w:p w14:paraId="370BD79E"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Boyne Island town centre is to evolve into a true mixed use centre in accordance with  concept diagram 2 shown. The expansion of the centre through development on the corner of Wyndham Avenue and Hampton Drive must reinforce and promote the riverside location by providing a mid–site linkage (both for access and view) connecting Wyndham Avenue with the Turtle Way walkway and also activate the area of the site adjoining the walkway through community infrastructure such as a park or similar measures.</w:t>
      </w:r>
    </w:p>
    <w:p w14:paraId="5C5B9965"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41189F18" w14:textId="77777777" w:rsidR="00BE36FB" w:rsidRPr="009B7B35" w:rsidRDefault="00BE36FB" w:rsidP="001A7107">
      <w:pPr>
        <w:contextualSpacing/>
        <w:rPr>
          <w:rFonts w:ascii="Arial" w:hAnsi="Arial" w:cs="Arial"/>
          <w:sz w:val="20"/>
          <w:szCs w:val="20"/>
        </w:rPr>
      </w:pPr>
    </w:p>
    <w:p w14:paraId="689C28AB"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03738F1A" wp14:editId="03458A80">
            <wp:extent cx="5943600" cy="3409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diagram2.jpg"/>
                    <pic:cNvPicPr/>
                  </pic:nvPicPr>
                  <pic:blipFill rotWithShape="1">
                    <a:blip r:embed="rId29" cstate="print">
                      <a:extLst>
                        <a:ext uri="{28A0092B-C50C-407E-A947-70E740481C1C}">
                          <a14:useLocalDpi xmlns:a14="http://schemas.microsoft.com/office/drawing/2010/main" val="0"/>
                        </a:ext>
                      </a:extLst>
                    </a:blip>
                    <a:srcRect b="1332"/>
                    <a:stretch/>
                  </pic:blipFill>
                  <pic:spPr bwMode="auto">
                    <a:xfrm>
                      <a:off x="0" y="0"/>
                      <a:ext cx="5939790" cy="3407764"/>
                    </a:xfrm>
                    <a:prstGeom prst="rect">
                      <a:avLst/>
                    </a:prstGeom>
                    <a:ln>
                      <a:noFill/>
                    </a:ln>
                    <a:extLst>
                      <a:ext uri="{53640926-AAD7-44D8-BBD7-CCE9431645EC}">
                        <a14:shadowObscured xmlns:a14="http://schemas.microsoft.com/office/drawing/2010/main"/>
                      </a:ext>
                    </a:extLst>
                  </pic:spPr>
                </pic:pic>
              </a:graphicData>
            </a:graphic>
          </wp:inline>
        </w:drawing>
      </w:r>
    </w:p>
    <w:p w14:paraId="49D116DD" w14:textId="77777777" w:rsidR="00BE36FB" w:rsidRPr="009B7B35" w:rsidRDefault="00BE36FB" w:rsidP="001A7107">
      <w:pPr>
        <w:pStyle w:val="Subtitle4"/>
        <w:spacing w:before="0"/>
        <w:contextualSpacing/>
        <w:rPr>
          <w:rFonts w:cs="Arial"/>
          <w:szCs w:val="20"/>
        </w:rPr>
      </w:pPr>
      <w:r w:rsidRPr="009B7B35">
        <w:rPr>
          <w:rFonts w:cs="Arial"/>
          <w:szCs w:val="20"/>
        </w:rPr>
        <w:t>Diagram 2—Boyne Island centre</w:t>
      </w:r>
    </w:p>
    <w:p w14:paraId="756707F4" w14:textId="77777777" w:rsidR="00BE36FB" w:rsidRPr="009B7B35" w:rsidRDefault="00BE36FB" w:rsidP="001A7107">
      <w:pPr>
        <w:contextualSpacing/>
        <w:rPr>
          <w:rFonts w:ascii="Arial" w:hAnsi="Arial" w:cs="Arial"/>
          <w:sz w:val="20"/>
          <w:szCs w:val="20"/>
        </w:rPr>
      </w:pPr>
    </w:p>
    <w:p w14:paraId="0CA91C85" w14:textId="77777777" w:rsidR="00BE36FB" w:rsidRPr="009B7B35" w:rsidRDefault="00BE36FB" w:rsidP="001A7107">
      <w:pPr>
        <w:contextualSpacing/>
        <w:rPr>
          <w:rFonts w:ascii="Arial" w:hAnsi="Arial" w:cs="Arial"/>
          <w:b/>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4EB7DDFA"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Tannum Sands centre</w:t>
      </w:r>
    </w:p>
    <w:p w14:paraId="7ECB9A7B" w14:textId="77777777" w:rsidR="00BE36FB" w:rsidRPr="009B7B35" w:rsidRDefault="00BE36FB" w:rsidP="001A7107">
      <w:pPr>
        <w:contextualSpacing/>
        <w:rPr>
          <w:rFonts w:ascii="Arial" w:hAnsi="Arial" w:cs="Arial"/>
          <w:sz w:val="20"/>
          <w:szCs w:val="20"/>
        </w:rPr>
      </w:pPr>
    </w:p>
    <w:p w14:paraId="63F258A4"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r w:rsidRPr="009B7B35">
        <w:rPr>
          <w:rFonts w:ascii="Arial" w:hAnsi="Arial" w:cs="Arial"/>
          <w:sz w:val="20"/>
          <w:szCs w:val="20"/>
        </w:rPr>
        <w:t>The Tannum Sands town centre is to evolve into a true mixed use centre in accordance with concept diagram 3 shown. Booth Avenue is to be developed over time as a ‘main street’ supporting mixed use buildings. A smaller node of cafes, restaurants and the like is encouraged overlooking Port Curtis at the intersection of Pacific Avenue and Ocean Street, east of the Tannum Sands shopping centre. This node has buildings fronting onto both Ocean Street and Pacific Avenue and there is the opportunity for redevelopment for tourism related uses taking advantage of the coastal views and vistas.</w:t>
      </w:r>
    </w:p>
    <w:p w14:paraId="633F8470"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1DDF10DE" wp14:editId="1196C941">
            <wp:extent cx="5927124" cy="31089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diagram3.jpg"/>
                    <pic:cNvPicPr/>
                  </pic:nvPicPr>
                  <pic:blipFill>
                    <a:blip r:embed="rId30">
                      <a:extLst>
                        <a:ext uri="{28A0092B-C50C-407E-A947-70E740481C1C}">
                          <a14:useLocalDpi xmlns:a14="http://schemas.microsoft.com/office/drawing/2010/main" val="0"/>
                        </a:ext>
                      </a:extLst>
                    </a:blip>
                    <a:stretch>
                      <a:fillRect/>
                    </a:stretch>
                  </pic:blipFill>
                  <pic:spPr>
                    <a:xfrm>
                      <a:off x="0" y="0"/>
                      <a:ext cx="5930890" cy="3110935"/>
                    </a:xfrm>
                    <a:prstGeom prst="rect">
                      <a:avLst/>
                    </a:prstGeom>
                  </pic:spPr>
                </pic:pic>
              </a:graphicData>
            </a:graphic>
          </wp:inline>
        </w:drawing>
      </w:r>
    </w:p>
    <w:p w14:paraId="16C89601" w14:textId="77777777" w:rsidR="00BE36FB" w:rsidRPr="009B7B35" w:rsidRDefault="00BE36FB" w:rsidP="001A7107">
      <w:pPr>
        <w:pStyle w:val="Subtitle4"/>
        <w:contextualSpacing/>
        <w:rPr>
          <w:rFonts w:cs="Arial"/>
          <w:szCs w:val="20"/>
        </w:rPr>
      </w:pPr>
      <w:r w:rsidRPr="009B7B35">
        <w:rPr>
          <w:rFonts w:cs="Arial"/>
          <w:szCs w:val="20"/>
        </w:rPr>
        <w:t>Diagram 3—Tannum Sands centre</w:t>
      </w:r>
    </w:p>
    <w:p w14:paraId="282F6B9F" w14:textId="77777777" w:rsidR="00BE36FB" w:rsidRPr="009B7B35" w:rsidRDefault="00BE36FB" w:rsidP="001A7107">
      <w:pPr>
        <w:contextualSpacing/>
        <w:rPr>
          <w:rFonts w:ascii="Arial" w:hAnsi="Arial" w:cs="Arial"/>
          <w:sz w:val="20"/>
          <w:szCs w:val="20"/>
        </w:rPr>
      </w:pPr>
    </w:p>
    <w:p w14:paraId="3E4082A3" w14:textId="77777777" w:rsidR="00BE36FB" w:rsidRPr="009B7B35" w:rsidRDefault="00BE36FB" w:rsidP="001A7107">
      <w:pPr>
        <w:contextualSpacing/>
        <w:rPr>
          <w:rFonts w:ascii="Arial" w:hAnsi="Arial" w:cs="Arial"/>
          <w:b/>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4BE072D1"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Calliope centre</w:t>
      </w:r>
    </w:p>
    <w:p w14:paraId="7CA1A054" w14:textId="77777777" w:rsidR="00BE36FB" w:rsidRPr="009B7B35" w:rsidRDefault="00BE36FB" w:rsidP="001A7107">
      <w:pPr>
        <w:contextualSpacing/>
        <w:rPr>
          <w:rFonts w:ascii="Arial" w:hAnsi="Arial" w:cs="Arial"/>
          <w:sz w:val="20"/>
          <w:szCs w:val="20"/>
        </w:rPr>
      </w:pPr>
    </w:p>
    <w:p w14:paraId="5F909FA3"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occurs in accordance with concept diagram 4 shown. The development of a ‘main street’ will assist in creating a true town centre for the northern hub concentrating mixed use development and providing better integration of surrounding land uses such as council’s offices, with parks and other residential developments. This form of the centre anchors the town as a compact and walkable community.</w:t>
      </w:r>
    </w:p>
    <w:p w14:paraId="4A492A6C"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73ED54E3" w14:textId="77777777" w:rsidR="00BE36FB" w:rsidRPr="009B7B35" w:rsidRDefault="00BE36FB" w:rsidP="001A7107">
      <w:pPr>
        <w:contextualSpacing/>
        <w:rPr>
          <w:rFonts w:ascii="Arial" w:hAnsi="Arial" w:cs="Arial"/>
          <w:sz w:val="20"/>
          <w:szCs w:val="20"/>
        </w:rPr>
      </w:pPr>
    </w:p>
    <w:p w14:paraId="72DE78A1"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60B37A5C" wp14:editId="6069FAA7">
            <wp:extent cx="5939790" cy="3366770"/>
            <wp:effectExtent l="0" t="0" r="381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diagram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9790" cy="3366770"/>
                    </a:xfrm>
                    <a:prstGeom prst="rect">
                      <a:avLst/>
                    </a:prstGeom>
                  </pic:spPr>
                </pic:pic>
              </a:graphicData>
            </a:graphic>
          </wp:inline>
        </w:drawing>
      </w:r>
    </w:p>
    <w:p w14:paraId="5BC6B58B" w14:textId="77777777" w:rsidR="00BE36FB" w:rsidRPr="009B7B35" w:rsidRDefault="00BE36FB" w:rsidP="001A7107">
      <w:pPr>
        <w:pStyle w:val="Subtitle4"/>
        <w:contextualSpacing/>
        <w:rPr>
          <w:rFonts w:cs="Arial"/>
          <w:szCs w:val="20"/>
        </w:rPr>
      </w:pPr>
      <w:r w:rsidRPr="009B7B35">
        <w:rPr>
          <w:rFonts w:cs="Arial"/>
          <w:szCs w:val="20"/>
        </w:rPr>
        <w:t>Diagram 4—Calliope centre</w:t>
      </w:r>
    </w:p>
    <w:p w14:paraId="712F757A" w14:textId="77777777" w:rsidR="00BE36FB" w:rsidRPr="009B7B35" w:rsidRDefault="00BE36FB" w:rsidP="001A7107">
      <w:pPr>
        <w:contextualSpacing/>
        <w:rPr>
          <w:rFonts w:ascii="Arial" w:hAnsi="Arial" w:cs="Arial"/>
          <w:b/>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44BABD4F"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br w:type="page"/>
      </w:r>
    </w:p>
    <w:p w14:paraId="4AFD606E"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Agnes Water centre</w:t>
      </w:r>
    </w:p>
    <w:p w14:paraId="756948E7" w14:textId="77777777" w:rsidR="00BE36FB" w:rsidRPr="009B7B35" w:rsidRDefault="00BE36FB" w:rsidP="001A7107">
      <w:pPr>
        <w:contextualSpacing/>
        <w:rPr>
          <w:rFonts w:ascii="Arial" w:hAnsi="Arial" w:cs="Arial"/>
          <w:sz w:val="20"/>
          <w:szCs w:val="20"/>
        </w:rPr>
      </w:pPr>
    </w:p>
    <w:p w14:paraId="631ECA2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occurs in accordance with concept  diagram 5 shown. The expansion of the Agnes Water town centre requires development to:</w:t>
      </w:r>
    </w:p>
    <w:p w14:paraId="2F3E9E07" w14:textId="77777777" w:rsidR="00BE36FB" w:rsidRPr="009B7B35" w:rsidRDefault="00BE36FB" w:rsidP="001A7107">
      <w:pPr>
        <w:pStyle w:val="ListBullet"/>
        <w:contextualSpacing/>
        <w:rPr>
          <w:rFonts w:cs="Arial"/>
          <w:szCs w:val="20"/>
        </w:rPr>
      </w:pPr>
      <w:r w:rsidRPr="009B7B35">
        <w:rPr>
          <w:rFonts w:cs="Arial"/>
          <w:szCs w:val="20"/>
        </w:rPr>
        <w:t>include significant public realm and streetscape improvements, and</w:t>
      </w:r>
    </w:p>
    <w:p w14:paraId="1041342F" w14:textId="77777777" w:rsidR="00BE36FB" w:rsidRPr="009B7B35" w:rsidRDefault="00BE36FB" w:rsidP="001A7107">
      <w:pPr>
        <w:pStyle w:val="ListBullet"/>
        <w:contextualSpacing/>
        <w:rPr>
          <w:rFonts w:cs="Arial"/>
          <w:szCs w:val="20"/>
        </w:rPr>
      </w:pPr>
      <w:r w:rsidRPr="009B7B35">
        <w:rPr>
          <w:rFonts w:cs="Arial"/>
          <w:szCs w:val="20"/>
        </w:rPr>
        <w:t>enhance the pedestrian environment and strengthen linkages to the beach and foreshore area.</w:t>
      </w:r>
    </w:p>
    <w:p w14:paraId="307BA70C"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12C44523" w14:textId="77777777" w:rsidR="00BE36FB" w:rsidRPr="009B7B35" w:rsidRDefault="00BE36FB" w:rsidP="001A7107">
      <w:pPr>
        <w:contextualSpacing/>
        <w:rPr>
          <w:rFonts w:ascii="Arial" w:hAnsi="Arial" w:cs="Arial"/>
          <w:sz w:val="20"/>
          <w:szCs w:val="20"/>
        </w:rPr>
      </w:pPr>
    </w:p>
    <w:p w14:paraId="0E9D1806"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5CC1D3B3" wp14:editId="12E35D9C">
            <wp:extent cx="5939790" cy="2278380"/>
            <wp:effectExtent l="0" t="0" r="381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diagram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9790" cy="2278380"/>
                    </a:xfrm>
                    <a:prstGeom prst="rect">
                      <a:avLst/>
                    </a:prstGeom>
                  </pic:spPr>
                </pic:pic>
              </a:graphicData>
            </a:graphic>
          </wp:inline>
        </w:drawing>
      </w:r>
    </w:p>
    <w:p w14:paraId="3BAF5C85" w14:textId="77777777" w:rsidR="00BE36FB" w:rsidRPr="009B7B35" w:rsidRDefault="00BE36FB" w:rsidP="001A7107">
      <w:pPr>
        <w:pStyle w:val="Subtitle4"/>
        <w:contextualSpacing/>
        <w:rPr>
          <w:rFonts w:cs="Arial"/>
          <w:szCs w:val="20"/>
        </w:rPr>
      </w:pPr>
      <w:r w:rsidRPr="009B7B35">
        <w:rPr>
          <w:rFonts w:cs="Arial"/>
          <w:szCs w:val="20"/>
        </w:rPr>
        <w:t>Diagram 5—Agnes Water centre</w:t>
      </w:r>
    </w:p>
    <w:p w14:paraId="517D38F3" w14:textId="77777777" w:rsidR="00BE36FB" w:rsidRPr="009B7B35" w:rsidRDefault="00BE36FB" w:rsidP="001A7107">
      <w:pPr>
        <w:contextualSpacing/>
        <w:rPr>
          <w:rFonts w:ascii="Arial" w:hAnsi="Arial" w:cs="Arial"/>
          <w:sz w:val="20"/>
          <w:szCs w:val="20"/>
        </w:rPr>
      </w:pPr>
    </w:p>
    <w:p w14:paraId="4BFEABED" w14:textId="77777777" w:rsidR="00BE36FB" w:rsidRPr="009B7B35" w:rsidRDefault="00BE36FB" w:rsidP="001A7107">
      <w:pPr>
        <w:contextualSpacing/>
        <w:rPr>
          <w:rFonts w:ascii="Arial" w:hAnsi="Arial" w:cs="Arial"/>
          <w:b/>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04168149"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Smaller mixed use centres</w:t>
      </w:r>
    </w:p>
    <w:p w14:paraId="6E6A8D5B" w14:textId="77777777" w:rsidR="00BE36FB" w:rsidRPr="009B7B35" w:rsidRDefault="00BE36FB" w:rsidP="001A7107">
      <w:pPr>
        <w:contextualSpacing/>
        <w:rPr>
          <w:rFonts w:ascii="Arial" w:hAnsi="Arial" w:cs="Arial"/>
          <w:sz w:val="20"/>
          <w:szCs w:val="20"/>
        </w:rPr>
      </w:pPr>
    </w:p>
    <w:p w14:paraId="08BDD2F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Outside of the larger centres described previously, there are smaller mixed centres that occur throughout the Gladstone urban area and elsewhere in the region. These occur in the Neighbourhood centre zone.</w:t>
      </w:r>
    </w:p>
    <w:p w14:paraId="7553581F" w14:textId="77777777" w:rsidR="00BE36FB" w:rsidRPr="009B7B35" w:rsidRDefault="00BE36FB" w:rsidP="001A7107">
      <w:pPr>
        <w:contextualSpacing/>
        <w:rPr>
          <w:rFonts w:ascii="Arial" w:hAnsi="Arial" w:cs="Arial"/>
          <w:sz w:val="20"/>
          <w:szCs w:val="20"/>
        </w:rPr>
      </w:pPr>
    </w:p>
    <w:p w14:paraId="196889E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in these smaller centres incorporates the same design principles as the larger centres described above, albeit at different scales and intensities. In particular, smaller mixed use centres:</w:t>
      </w:r>
    </w:p>
    <w:p w14:paraId="5A7F71CE" w14:textId="77777777" w:rsidR="00BE36FB" w:rsidRPr="009B7B35" w:rsidRDefault="00BE36FB" w:rsidP="001A7107">
      <w:pPr>
        <w:pStyle w:val="ListBullet"/>
        <w:contextualSpacing/>
        <w:rPr>
          <w:rFonts w:cs="Arial"/>
          <w:szCs w:val="20"/>
        </w:rPr>
      </w:pPr>
      <w:r w:rsidRPr="009B7B35">
        <w:rPr>
          <w:rFonts w:cs="Arial"/>
          <w:szCs w:val="20"/>
        </w:rPr>
        <w:t>provide local focal points for community activity and interaction</w:t>
      </w:r>
    </w:p>
    <w:p w14:paraId="663DD495" w14:textId="77777777" w:rsidR="00BE36FB" w:rsidRPr="009B7B35" w:rsidRDefault="00BE36FB" w:rsidP="001A7107">
      <w:pPr>
        <w:pStyle w:val="ListBullet"/>
        <w:contextualSpacing/>
        <w:rPr>
          <w:rFonts w:cs="Arial"/>
          <w:szCs w:val="20"/>
        </w:rPr>
      </w:pPr>
      <w:r w:rsidRPr="009B7B35">
        <w:rPr>
          <w:rFonts w:cs="Arial"/>
          <w:szCs w:val="20"/>
        </w:rPr>
        <w:t>are well integrated into the street network and well connected to surrounding neighbourhoods promoting walking and cycling</w:t>
      </w:r>
    </w:p>
    <w:p w14:paraId="6D1155C8" w14:textId="77777777" w:rsidR="00BE36FB" w:rsidRPr="009B7B35" w:rsidRDefault="00BE36FB" w:rsidP="001A7107">
      <w:pPr>
        <w:pStyle w:val="ListBullet"/>
        <w:contextualSpacing/>
        <w:rPr>
          <w:rFonts w:cs="Arial"/>
          <w:szCs w:val="20"/>
        </w:rPr>
      </w:pPr>
      <w:r w:rsidRPr="009B7B35">
        <w:rPr>
          <w:rFonts w:cs="Arial"/>
          <w:szCs w:val="20"/>
        </w:rPr>
        <w:t>have building forms that activate streets and public spaces, and</w:t>
      </w:r>
    </w:p>
    <w:p w14:paraId="4D14CAF3" w14:textId="77777777" w:rsidR="00BE36FB" w:rsidRPr="009B7B35" w:rsidRDefault="00BE36FB" w:rsidP="001A7107">
      <w:pPr>
        <w:pStyle w:val="ListBullet"/>
        <w:contextualSpacing/>
        <w:rPr>
          <w:rFonts w:cs="Arial"/>
          <w:szCs w:val="20"/>
        </w:rPr>
      </w:pPr>
      <w:r w:rsidRPr="009B7B35">
        <w:rPr>
          <w:rFonts w:cs="Arial"/>
          <w:szCs w:val="20"/>
        </w:rPr>
        <w:t>locate car parking area at the rear of the site.</w:t>
      </w:r>
    </w:p>
    <w:p w14:paraId="31BA9855" w14:textId="77777777" w:rsidR="00BE36FB" w:rsidRPr="009B7B35" w:rsidRDefault="00BE36FB" w:rsidP="001A7107">
      <w:pPr>
        <w:contextualSpacing/>
        <w:rPr>
          <w:rFonts w:ascii="Arial" w:hAnsi="Arial" w:cs="Arial"/>
          <w:sz w:val="20"/>
          <w:szCs w:val="20"/>
        </w:rPr>
      </w:pPr>
    </w:p>
    <w:p w14:paraId="5E72B65D" w14:textId="77777777" w:rsidR="00BE36FB" w:rsidRPr="009B7B35" w:rsidRDefault="00BE36FB" w:rsidP="001A7107">
      <w:pPr>
        <w:contextualSpacing/>
        <w:rPr>
          <w:rFonts w:ascii="Arial" w:hAnsi="Arial" w:cs="Arial"/>
          <w:sz w:val="20"/>
          <w:szCs w:val="20"/>
        </w:rPr>
      </w:pPr>
    </w:p>
    <w:p w14:paraId="71CB048B"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147A44E1" w14:textId="77777777" w:rsidR="00BE36FB" w:rsidRPr="009B7B35" w:rsidRDefault="00BE36FB" w:rsidP="001A7107">
      <w:pPr>
        <w:contextualSpacing/>
        <w:rPr>
          <w:rFonts w:ascii="Arial" w:hAnsi="Arial" w:cs="Arial"/>
          <w:sz w:val="20"/>
          <w:szCs w:val="20"/>
        </w:rPr>
      </w:pPr>
    </w:p>
    <w:p w14:paraId="31B1334C"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7609AFFD" w14:textId="77777777" w:rsidR="00BE36FB" w:rsidRPr="009B7B35" w:rsidRDefault="00BE36FB" w:rsidP="001A7107">
      <w:pPr>
        <w:pStyle w:val="Highlightlinegreen"/>
        <w:contextualSpacing/>
        <w:rPr>
          <w:rFonts w:ascii="Arial" w:hAnsi="Arial" w:cs="Arial"/>
          <w:szCs w:val="20"/>
        </w:rPr>
      </w:pPr>
      <w:r w:rsidRPr="009B7B35">
        <w:rPr>
          <w:rFonts w:ascii="Arial" w:hAnsi="Arial" w:cs="Arial"/>
          <w:szCs w:val="20"/>
        </w:rPr>
        <w:t>Building it better: New neighbourhoods</w:t>
      </w:r>
    </w:p>
    <w:p w14:paraId="6CB184C1"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713EC617"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New neighbourhoods represent the region’s new growth areas and greenfield land supply. These areas will provide the majority of new dwellings and development areas for the region and only occurs  where it can be demonstrated that there is both overwhelming community and economic need.</w:t>
      </w:r>
    </w:p>
    <w:p w14:paraId="10424271" w14:textId="77777777" w:rsidR="00BE36FB" w:rsidRPr="009B7B35" w:rsidRDefault="00BE36FB" w:rsidP="001A7107">
      <w:pPr>
        <w:contextualSpacing/>
        <w:rPr>
          <w:rFonts w:ascii="Arial" w:hAnsi="Arial" w:cs="Arial"/>
          <w:sz w:val="20"/>
          <w:szCs w:val="20"/>
        </w:rPr>
      </w:pPr>
    </w:p>
    <w:p w14:paraId="58FB93A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New neighbourhoods only occur within, or as planned urban extensions of, the urban areas of Gladstone, Boyne Island, Tannum Sands, Calliope and to a lesser extent in Agnes Water. This is represented by land included in the Emerging community zone. New neighbourhoods are not supported in other zones. </w:t>
      </w:r>
    </w:p>
    <w:p w14:paraId="465D87FA" w14:textId="77777777" w:rsidR="00BE36FB" w:rsidRPr="009B7B35" w:rsidRDefault="00BE36FB" w:rsidP="001A7107">
      <w:pPr>
        <w:contextualSpacing/>
        <w:rPr>
          <w:rFonts w:ascii="Arial" w:hAnsi="Arial" w:cs="Arial"/>
          <w:sz w:val="20"/>
          <w:szCs w:val="20"/>
        </w:rPr>
      </w:pPr>
    </w:p>
    <w:p w14:paraId="0D364EC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With the exception of Calliope, residential development in new neighbourhoods provides for a minimum average of 15 dwellings per hectare net which is a moderately increased number of dwellings per hectare of land compared to existing conventional suburban development in the region. Calliope’s new neighbourhoods provide for a minimum average of 12.5 dwellings per hectare net to reflect larger urban residential lots in keeping with the locality’s surrounding rural character. </w:t>
      </w:r>
    </w:p>
    <w:p w14:paraId="7778CA4F" w14:textId="77777777" w:rsidR="00BE36FB" w:rsidRPr="009B7B35" w:rsidRDefault="00BE36FB" w:rsidP="001A7107">
      <w:pPr>
        <w:contextualSpacing/>
        <w:rPr>
          <w:rFonts w:ascii="Arial" w:hAnsi="Arial" w:cs="Arial"/>
          <w:sz w:val="20"/>
          <w:szCs w:val="20"/>
        </w:rPr>
      </w:pPr>
    </w:p>
    <w:p w14:paraId="6FF6245E"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A diverse range of low–medium residential detached and attached housing types are appropriate in new neighbourhoods. This is consistent with the character of the Low–medium density residential zone elsewhere in the region. These housing types include dwelling houses on narrow lots, dual occupancy and some townhouse style multiple dwellings. Residential buildings in these areas must compliment neighbourhood character, present to the street and include design elements that reduce building bulk, minimise overshadowing and create pleasant living environments.</w:t>
      </w:r>
    </w:p>
    <w:p w14:paraId="50DE2B19" w14:textId="77777777" w:rsidR="00BE36FB" w:rsidRPr="009B7B35" w:rsidRDefault="00BE36FB" w:rsidP="001A7107">
      <w:pPr>
        <w:contextualSpacing/>
        <w:rPr>
          <w:rFonts w:ascii="Arial" w:hAnsi="Arial" w:cs="Arial"/>
          <w:sz w:val="20"/>
          <w:szCs w:val="20"/>
        </w:rPr>
      </w:pPr>
    </w:p>
    <w:p w14:paraId="76284F25"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Where creating new neighbourhoods, urban development is to: </w:t>
      </w:r>
    </w:p>
    <w:p w14:paraId="03714252" w14:textId="77777777" w:rsidR="00BE36FB" w:rsidRPr="009B7B35" w:rsidRDefault="00BE36FB" w:rsidP="001A7107">
      <w:pPr>
        <w:pStyle w:val="ListBullet"/>
        <w:contextualSpacing/>
        <w:rPr>
          <w:rFonts w:cs="Arial"/>
          <w:szCs w:val="20"/>
        </w:rPr>
      </w:pPr>
      <w:r w:rsidRPr="009B7B35">
        <w:rPr>
          <w:rFonts w:cs="Arial"/>
          <w:szCs w:val="20"/>
        </w:rPr>
        <w:t>contribute to a logical expansion of the settlement pattern through the efficient use of land and infrastructure</w:t>
      </w:r>
    </w:p>
    <w:p w14:paraId="2B09EB47" w14:textId="77777777" w:rsidR="00BE36FB" w:rsidRPr="009B7B35" w:rsidRDefault="00BE36FB" w:rsidP="001A7107">
      <w:pPr>
        <w:pStyle w:val="ListBullet"/>
        <w:contextualSpacing/>
        <w:rPr>
          <w:rFonts w:cs="Arial"/>
          <w:szCs w:val="20"/>
        </w:rPr>
      </w:pPr>
      <w:r w:rsidRPr="009B7B35">
        <w:rPr>
          <w:rFonts w:cs="Arial"/>
          <w:szCs w:val="20"/>
        </w:rPr>
        <w:t>allow for the staging of development in line with the provision of community infrastructure (including parks) and services</w:t>
      </w:r>
    </w:p>
    <w:p w14:paraId="3693D211" w14:textId="77777777" w:rsidR="00BE36FB" w:rsidRPr="009B7B35" w:rsidRDefault="00BE36FB" w:rsidP="001A7107">
      <w:pPr>
        <w:pStyle w:val="ListBullet"/>
        <w:contextualSpacing/>
        <w:rPr>
          <w:rFonts w:cs="Arial"/>
          <w:szCs w:val="20"/>
        </w:rPr>
      </w:pPr>
      <w:r w:rsidRPr="009B7B35">
        <w:rPr>
          <w:rFonts w:cs="Arial"/>
          <w:szCs w:val="20"/>
        </w:rPr>
        <w:t>facilitate integration with existing and future urban development, having regard to movement networks, open space networks and accessibility to community infrastructure</w:t>
      </w:r>
    </w:p>
    <w:p w14:paraId="5FEEB6C2" w14:textId="77777777" w:rsidR="00BE36FB" w:rsidRPr="009B7B35" w:rsidRDefault="00BE36FB" w:rsidP="001A7107">
      <w:pPr>
        <w:pStyle w:val="ListBullet"/>
        <w:contextualSpacing/>
        <w:rPr>
          <w:rFonts w:cs="Arial"/>
          <w:szCs w:val="20"/>
        </w:rPr>
      </w:pPr>
      <w:r w:rsidRPr="009B7B35">
        <w:rPr>
          <w:rFonts w:cs="Arial"/>
          <w:szCs w:val="20"/>
        </w:rPr>
        <w:t>provide accessibility for all modes of transport including pedestrian, cyclist, public transport and private motor vehicles.</w:t>
      </w:r>
    </w:p>
    <w:p w14:paraId="63E60F7C" w14:textId="77777777" w:rsidR="00BE36FB" w:rsidRPr="009B7B35" w:rsidRDefault="00BE36FB" w:rsidP="001A7107">
      <w:pPr>
        <w:pStyle w:val="ListBullet"/>
        <w:contextualSpacing/>
        <w:rPr>
          <w:rFonts w:cs="Arial"/>
          <w:szCs w:val="20"/>
        </w:rPr>
      </w:pPr>
      <w:r w:rsidRPr="009B7B35">
        <w:rPr>
          <w:rFonts w:cs="Arial"/>
          <w:szCs w:val="20"/>
        </w:rPr>
        <w:t>create clear, direct pedestrian and cycle access to centres, local parks and public transport stops</w:t>
      </w:r>
    </w:p>
    <w:p w14:paraId="0BECEE2D" w14:textId="77777777" w:rsidR="00BE36FB" w:rsidRPr="009B7B35" w:rsidRDefault="00BE36FB" w:rsidP="001A7107">
      <w:pPr>
        <w:pStyle w:val="ListBullet"/>
        <w:contextualSpacing/>
        <w:rPr>
          <w:rFonts w:cs="Arial"/>
          <w:szCs w:val="20"/>
        </w:rPr>
      </w:pPr>
      <w:r w:rsidRPr="009B7B35">
        <w:rPr>
          <w:rFonts w:cs="Arial"/>
          <w:szCs w:val="20"/>
        </w:rPr>
        <w:t>provide for a range of housing types and associated lot sizes while avoiding large tracts of any one housing type</w:t>
      </w:r>
    </w:p>
    <w:p w14:paraId="1B79FDEE" w14:textId="77777777" w:rsidR="00BE36FB" w:rsidRPr="009B7B35" w:rsidRDefault="00BE36FB" w:rsidP="001A7107">
      <w:pPr>
        <w:pStyle w:val="ListBullet"/>
        <w:contextualSpacing/>
        <w:rPr>
          <w:rFonts w:cs="Arial"/>
          <w:szCs w:val="20"/>
        </w:rPr>
      </w:pPr>
      <w:r w:rsidRPr="009B7B35">
        <w:rPr>
          <w:rFonts w:cs="Arial"/>
          <w:szCs w:val="20"/>
        </w:rPr>
        <w:t>increase residential densities in and around centres, along connector streets and close to transit nodes, parks and schools</w:t>
      </w:r>
    </w:p>
    <w:p w14:paraId="320F552D" w14:textId="77777777" w:rsidR="00BE36FB" w:rsidRPr="009B7B35" w:rsidRDefault="00BE36FB" w:rsidP="001A7107">
      <w:pPr>
        <w:pStyle w:val="ListBullet"/>
        <w:contextualSpacing/>
        <w:rPr>
          <w:rFonts w:cs="Arial"/>
          <w:szCs w:val="20"/>
        </w:rPr>
      </w:pPr>
      <w:r w:rsidRPr="009B7B35">
        <w:rPr>
          <w:rFonts w:cs="Arial"/>
          <w:szCs w:val="20"/>
        </w:rPr>
        <w:t>include provision for convenience level centres where this does not impact on the viability of the existing centres network</w:t>
      </w:r>
    </w:p>
    <w:p w14:paraId="11435E4A" w14:textId="77777777" w:rsidR="00BE36FB" w:rsidRPr="009B7B35" w:rsidRDefault="00BE36FB" w:rsidP="001A7107">
      <w:pPr>
        <w:pStyle w:val="ListBullet"/>
        <w:contextualSpacing/>
        <w:rPr>
          <w:rFonts w:cs="Arial"/>
          <w:szCs w:val="20"/>
        </w:rPr>
      </w:pPr>
      <w:r w:rsidRPr="009B7B35">
        <w:rPr>
          <w:rFonts w:cs="Arial"/>
          <w:szCs w:val="20"/>
        </w:rPr>
        <w:t>locate community facilities including schools, where appropriate, requiring high levels of accessibility within or adjoining centres</w:t>
      </w:r>
    </w:p>
    <w:p w14:paraId="60850689" w14:textId="77777777" w:rsidR="00BE36FB" w:rsidRPr="009B7B35" w:rsidRDefault="00BE36FB" w:rsidP="001A7107">
      <w:pPr>
        <w:pStyle w:val="ListBullet"/>
        <w:contextualSpacing/>
        <w:rPr>
          <w:rFonts w:cs="Arial"/>
          <w:szCs w:val="20"/>
        </w:rPr>
      </w:pPr>
      <w:r w:rsidRPr="009B7B35">
        <w:rPr>
          <w:rFonts w:cs="Arial"/>
          <w:szCs w:val="20"/>
        </w:rPr>
        <w:t>mitigate and minimises impacts on the natural terrain, natural environment and water quality</w:t>
      </w:r>
    </w:p>
    <w:p w14:paraId="6A58A4D0" w14:textId="77777777" w:rsidR="00BE36FB" w:rsidRPr="009B7B35" w:rsidRDefault="00BE36FB" w:rsidP="001A7107">
      <w:pPr>
        <w:pStyle w:val="ListBullet"/>
        <w:contextualSpacing/>
        <w:rPr>
          <w:rFonts w:cs="Arial"/>
          <w:szCs w:val="20"/>
        </w:rPr>
      </w:pPr>
      <w:r w:rsidRPr="009B7B35">
        <w:rPr>
          <w:rFonts w:cs="Arial"/>
          <w:szCs w:val="20"/>
        </w:rPr>
        <w:t>orient major streets and vistas to landmarks</w:t>
      </w:r>
    </w:p>
    <w:p w14:paraId="65B7A0BE" w14:textId="77777777" w:rsidR="00BE36FB" w:rsidRPr="009B7B35" w:rsidRDefault="00BE36FB" w:rsidP="001A7107">
      <w:pPr>
        <w:pStyle w:val="ListBullet"/>
        <w:contextualSpacing/>
        <w:rPr>
          <w:rFonts w:cs="Arial"/>
          <w:szCs w:val="20"/>
        </w:rPr>
      </w:pPr>
      <w:r w:rsidRPr="009B7B35">
        <w:rPr>
          <w:rFonts w:cs="Arial"/>
          <w:szCs w:val="20"/>
        </w:rPr>
        <w:t>provide a grid based road network with a capacity adequate for current and future demand</w:t>
      </w:r>
    </w:p>
    <w:p w14:paraId="509E896A" w14:textId="77777777" w:rsidR="00BE36FB" w:rsidRPr="009B7B35" w:rsidRDefault="00BE36FB" w:rsidP="001A7107">
      <w:pPr>
        <w:pStyle w:val="ListBullet"/>
        <w:contextualSpacing/>
        <w:rPr>
          <w:rFonts w:cs="Arial"/>
          <w:szCs w:val="20"/>
        </w:rPr>
      </w:pPr>
      <w:r w:rsidRPr="009B7B35">
        <w:rPr>
          <w:rFonts w:cs="Arial"/>
          <w:szCs w:val="20"/>
        </w:rPr>
        <w:t>not increase unreasonable hazard or risk to existing or future residents</w:t>
      </w:r>
    </w:p>
    <w:p w14:paraId="6D0A9307" w14:textId="77777777" w:rsidR="00BE36FB" w:rsidRPr="009B7B35" w:rsidRDefault="00BE36FB" w:rsidP="001A7107">
      <w:pPr>
        <w:pStyle w:val="ListBullet"/>
        <w:contextualSpacing/>
        <w:rPr>
          <w:rFonts w:cs="Arial"/>
          <w:szCs w:val="20"/>
        </w:rPr>
      </w:pPr>
      <w:r w:rsidRPr="009B7B35">
        <w:rPr>
          <w:rFonts w:cs="Arial"/>
          <w:szCs w:val="20"/>
        </w:rPr>
        <w:t>avoid impacts associated with the location of sensitive uses in proximity to major electricity, pump station, substations and bulk water infrastructure and corridors, and</w:t>
      </w:r>
    </w:p>
    <w:p w14:paraId="49B7667C" w14:textId="77777777" w:rsidR="00BE36FB" w:rsidRPr="009B7B35" w:rsidRDefault="00BE36FB" w:rsidP="001A7107">
      <w:pPr>
        <w:pStyle w:val="ListBullet"/>
        <w:contextualSpacing/>
        <w:rPr>
          <w:rFonts w:cs="Arial"/>
          <w:szCs w:val="20"/>
        </w:rPr>
      </w:pPr>
      <w:r w:rsidRPr="009B7B35">
        <w:rPr>
          <w:rFonts w:cs="Arial"/>
          <w:szCs w:val="20"/>
        </w:rPr>
        <w:t>provide an open space network suitable for community needs.</w:t>
      </w:r>
    </w:p>
    <w:p w14:paraId="1BE36F1A" w14:textId="77777777" w:rsidR="00BE36FB" w:rsidRPr="009B7B35" w:rsidRDefault="00BE36FB" w:rsidP="001A7107">
      <w:pPr>
        <w:contextualSpacing/>
        <w:rPr>
          <w:rFonts w:ascii="Arial" w:hAnsi="Arial" w:cs="Arial"/>
          <w:sz w:val="20"/>
          <w:szCs w:val="20"/>
        </w:rPr>
      </w:pPr>
    </w:p>
    <w:p w14:paraId="7F29F9EE"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Gladstone</w:t>
      </w:r>
    </w:p>
    <w:p w14:paraId="0866163A" w14:textId="77777777" w:rsidR="00BE36FB" w:rsidRPr="009B7B35" w:rsidRDefault="00BE36FB" w:rsidP="001A7107">
      <w:pPr>
        <w:contextualSpacing/>
        <w:rPr>
          <w:rFonts w:ascii="Arial" w:hAnsi="Arial" w:cs="Arial"/>
          <w:sz w:val="20"/>
          <w:szCs w:val="20"/>
        </w:rPr>
      </w:pPr>
    </w:p>
    <w:p w14:paraId="4F6F5ECD"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Gladstone city’s landform has been dominant in determining the structure of its urban development with roads, open space and development bypassing much of its steeper land.</w:t>
      </w:r>
    </w:p>
    <w:p w14:paraId="7E94ACFE" w14:textId="77777777" w:rsidR="00BE36FB" w:rsidRPr="009B7B35" w:rsidRDefault="00BE36FB" w:rsidP="001A7107">
      <w:pPr>
        <w:contextualSpacing/>
        <w:rPr>
          <w:rFonts w:ascii="Arial" w:hAnsi="Arial" w:cs="Arial"/>
          <w:sz w:val="20"/>
          <w:szCs w:val="20"/>
        </w:rPr>
      </w:pPr>
    </w:p>
    <w:p w14:paraId="28BD9A44"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In 2004 a structure plan was prepared for land south of Kirkwood Road and between the Dawson Highway and Auckland Creek. Land sufficient for approximately a further 2,500 potential lots was identified along with the inclusion of a school within the Kirkwood Road corridor. While the Kirkwood Road area has been substantially developed, remaining greenfield land will accommodate further new neighbourhoods for the region over the life of this planning scheme.</w:t>
      </w:r>
    </w:p>
    <w:p w14:paraId="0CD3DE46" w14:textId="77777777" w:rsidR="00BE36FB" w:rsidRPr="009B7B35" w:rsidRDefault="00BE36FB" w:rsidP="001A7107">
      <w:pPr>
        <w:contextualSpacing/>
        <w:rPr>
          <w:rFonts w:ascii="Arial" w:hAnsi="Arial" w:cs="Arial"/>
          <w:sz w:val="20"/>
          <w:szCs w:val="20"/>
        </w:rPr>
      </w:pPr>
    </w:p>
    <w:p w14:paraId="3702E66B"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Boyne Island and Tannum Sands</w:t>
      </w:r>
    </w:p>
    <w:p w14:paraId="054E5930" w14:textId="77777777" w:rsidR="00BE36FB" w:rsidRPr="009B7B35" w:rsidRDefault="00BE36FB" w:rsidP="001A7107">
      <w:pPr>
        <w:contextualSpacing/>
        <w:rPr>
          <w:rFonts w:ascii="Arial" w:hAnsi="Arial" w:cs="Arial"/>
          <w:b/>
          <w:sz w:val="20"/>
          <w:szCs w:val="20"/>
        </w:rPr>
      </w:pPr>
    </w:p>
    <w:p w14:paraId="29C0306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Spurred on by its riverside and coastal amenity, Boyne Island / Tannum Sands has long been a fast growing urban area in the region.</w:t>
      </w:r>
    </w:p>
    <w:p w14:paraId="4D0D881B" w14:textId="77777777" w:rsidR="00BE36FB" w:rsidRPr="009B7B35" w:rsidRDefault="00BE36FB" w:rsidP="001A7107">
      <w:pPr>
        <w:contextualSpacing/>
        <w:rPr>
          <w:rFonts w:ascii="Arial" w:hAnsi="Arial" w:cs="Arial"/>
          <w:sz w:val="20"/>
          <w:szCs w:val="20"/>
        </w:rPr>
      </w:pPr>
    </w:p>
    <w:p w14:paraId="1B2B3F7D"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Boyne Island and Tannum Sands is now a major urban growth area that is separated from and distinct to Gladstone’s urban area.</w:t>
      </w:r>
    </w:p>
    <w:p w14:paraId="652F636B" w14:textId="77777777" w:rsidR="00BE36FB" w:rsidRPr="009B7B35" w:rsidRDefault="00BE36FB" w:rsidP="001A7107">
      <w:pPr>
        <w:contextualSpacing/>
        <w:rPr>
          <w:rFonts w:ascii="Arial" w:hAnsi="Arial" w:cs="Arial"/>
          <w:sz w:val="20"/>
          <w:szCs w:val="20"/>
        </w:rPr>
      </w:pPr>
    </w:p>
    <w:p w14:paraId="6605E4D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New housing is dominated by the master planned communities of Riverstone Rise, The Sands and Tannum Blue. These master planned communities will provide the majority of new housing in Boyne Island and Tannum Sands’ new neighbourhoods.</w:t>
      </w:r>
    </w:p>
    <w:p w14:paraId="0B2A3986" w14:textId="77777777" w:rsidR="00BE36FB" w:rsidRPr="009B7B35" w:rsidRDefault="00BE36FB" w:rsidP="001A7107">
      <w:pPr>
        <w:contextualSpacing/>
        <w:rPr>
          <w:rFonts w:ascii="Arial" w:hAnsi="Arial" w:cs="Arial"/>
          <w:sz w:val="20"/>
          <w:szCs w:val="20"/>
        </w:rPr>
      </w:pPr>
    </w:p>
    <w:p w14:paraId="6DED7C7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Urban growth is clearly defined by an urban footprint that accommodates projected growth over the next 20 years. There is no need for urban expansion beyond the Emerging community zone.</w:t>
      </w:r>
    </w:p>
    <w:p w14:paraId="4ACD5A5E" w14:textId="77777777" w:rsidR="00BE36FB" w:rsidRPr="009B7B35" w:rsidRDefault="00BE36FB" w:rsidP="001A7107">
      <w:pPr>
        <w:contextualSpacing/>
        <w:rPr>
          <w:rFonts w:ascii="Arial" w:hAnsi="Arial" w:cs="Arial"/>
          <w:sz w:val="20"/>
          <w:szCs w:val="20"/>
        </w:rPr>
      </w:pPr>
    </w:p>
    <w:p w14:paraId="4310A057"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A structure plan has been prepared (Schedule 2) that identifies key connections, neighbourhood structure, detailed centre design and other elements from which to base the planning and design of new neighbourhoods for Boyne Island and Tannum Sands.</w:t>
      </w:r>
    </w:p>
    <w:p w14:paraId="6FE3FB6D" w14:textId="77777777" w:rsidR="00BE36FB" w:rsidRPr="009B7B35" w:rsidRDefault="00BE36FB" w:rsidP="001A7107">
      <w:pPr>
        <w:contextualSpacing/>
        <w:rPr>
          <w:rFonts w:ascii="Arial" w:hAnsi="Arial" w:cs="Arial"/>
          <w:sz w:val="20"/>
          <w:szCs w:val="20"/>
        </w:rPr>
      </w:pPr>
    </w:p>
    <w:p w14:paraId="18316BED"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Calliope</w:t>
      </w:r>
    </w:p>
    <w:p w14:paraId="3B062928" w14:textId="77777777" w:rsidR="00BE36FB" w:rsidRPr="009B7B35" w:rsidRDefault="00BE36FB" w:rsidP="001A7107">
      <w:pPr>
        <w:contextualSpacing/>
        <w:rPr>
          <w:rFonts w:ascii="Arial" w:hAnsi="Arial" w:cs="Arial"/>
          <w:sz w:val="20"/>
          <w:szCs w:val="20"/>
        </w:rPr>
      </w:pPr>
    </w:p>
    <w:p w14:paraId="7665B70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Calliope is an urban area that derives its character and identity from its relationship with the surrounding rural landscape. It offers housing in a semi–rural setting and functions as a service centre for local residents and also agricultural activities in surrounding rural localities.</w:t>
      </w:r>
    </w:p>
    <w:p w14:paraId="372A622D" w14:textId="77777777" w:rsidR="00BE36FB" w:rsidRPr="009B7B35" w:rsidRDefault="00BE36FB" w:rsidP="001A7107">
      <w:pPr>
        <w:contextualSpacing/>
        <w:rPr>
          <w:rFonts w:ascii="Arial" w:hAnsi="Arial" w:cs="Arial"/>
          <w:sz w:val="20"/>
          <w:szCs w:val="20"/>
        </w:rPr>
      </w:pPr>
    </w:p>
    <w:p w14:paraId="700536D4"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Calliope has grown into a major urban growth centre for the region. Its abundant serviceable and developable land presents ample opportunity for major greenfield development projects in relative proximity to major employment areas such as the Gladstone State Development Area and Gladstone city.</w:t>
      </w:r>
    </w:p>
    <w:p w14:paraId="13156518" w14:textId="77777777" w:rsidR="00BE36FB" w:rsidRPr="009B7B35" w:rsidRDefault="00BE36FB" w:rsidP="001A7107">
      <w:pPr>
        <w:contextualSpacing/>
        <w:rPr>
          <w:rFonts w:ascii="Arial" w:hAnsi="Arial" w:cs="Arial"/>
          <w:sz w:val="20"/>
          <w:szCs w:val="20"/>
        </w:rPr>
      </w:pPr>
    </w:p>
    <w:p w14:paraId="36D409C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Calliope’s urban growth is clearly defined by an urban footprint that can accommodate projected growth over the next 30 years through remaining greenfield land in the Emerging community zone particularly in the Calliope east expansion area. In the short term (0–15 years) growth is to follow the take up of vacant land within Calliope’s existing urban area. Longer term growth occurs in the Calliope East expansion area where the delivery of new neighbourhoods occurs contiguous to existing urban development. This is reflected in the staging plan below.</w:t>
      </w:r>
    </w:p>
    <w:p w14:paraId="7F88231B" w14:textId="77777777" w:rsidR="00BE36FB" w:rsidRPr="009B7B35" w:rsidRDefault="00BE36FB" w:rsidP="001A7107">
      <w:pPr>
        <w:contextualSpacing/>
        <w:rPr>
          <w:rFonts w:ascii="Arial" w:hAnsi="Arial" w:cs="Arial"/>
          <w:sz w:val="20"/>
          <w:szCs w:val="20"/>
        </w:rPr>
      </w:pPr>
    </w:p>
    <w:p w14:paraId="24B7C0C4" w14:textId="77777777" w:rsidR="00BE36FB" w:rsidRPr="009B7B35" w:rsidRDefault="00BE36FB" w:rsidP="001A7107">
      <w:pPr>
        <w:contextualSpacing/>
        <w:jc w:val="center"/>
        <w:rPr>
          <w:rFonts w:ascii="Arial" w:hAnsi="Arial" w:cs="Arial"/>
          <w:sz w:val="20"/>
          <w:szCs w:val="20"/>
        </w:rPr>
      </w:pPr>
      <w:r w:rsidRPr="009B7B35">
        <w:rPr>
          <w:rFonts w:ascii="Arial" w:hAnsi="Arial" w:cs="Arial"/>
          <w:noProof/>
          <w:sz w:val="20"/>
          <w:szCs w:val="20"/>
        </w:rPr>
        <w:drawing>
          <wp:inline distT="0" distB="0" distL="0" distR="0" wp14:anchorId="378AEC82" wp14:editId="67A011F6">
            <wp:extent cx="2703055" cy="3493698"/>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2-calliopepla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13056" cy="3506625"/>
                    </a:xfrm>
                    <a:prstGeom prst="rect">
                      <a:avLst/>
                    </a:prstGeom>
                  </pic:spPr>
                </pic:pic>
              </a:graphicData>
            </a:graphic>
          </wp:inline>
        </w:drawing>
      </w:r>
    </w:p>
    <w:p w14:paraId="386ADFB8" w14:textId="77777777" w:rsidR="00BE36FB" w:rsidRPr="009B7B35" w:rsidRDefault="00BE36FB" w:rsidP="001A7107">
      <w:pPr>
        <w:pStyle w:val="Subtitle4"/>
        <w:contextualSpacing/>
        <w:rPr>
          <w:rFonts w:cs="Arial"/>
          <w:szCs w:val="20"/>
        </w:rPr>
      </w:pPr>
      <w:r w:rsidRPr="009B7B35">
        <w:rPr>
          <w:rFonts w:cs="Arial"/>
          <w:szCs w:val="20"/>
        </w:rPr>
        <w:t>Calliope Staging Plan</w:t>
      </w:r>
    </w:p>
    <w:p w14:paraId="77155861" w14:textId="77777777" w:rsidR="00BE36FB" w:rsidRPr="009B7B35" w:rsidRDefault="00BE36FB" w:rsidP="001A7107">
      <w:pPr>
        <w:contextualSpacing/>
        <w:rPr>
          <w:rFonts w:ascii="Arial" w:hAnsi="Arial" w:cs="Arial"/>
          <w:sz w:val="20"/>
          <w:szCs w:val="20"/>
        </w:rPr>
      </w:pPr>
    </w:p>
    <w:p w14:paraId="08EC6678"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Whilst there is opportunity for small scale attached housing and smaller detached housing close to the town’s major centre, Calliope’s new neighbourhoods are dominated by detached dwellings on larger lots (12.5 dwellings per hectare net) that reflect the surrounding rural character of the area.</w:t>
      </w:r>
    </w:p>
    <w:p w14:paraId="7023CC5A" w14:textId="77777777" w:rsidR="00BE36FB" w:rsidRPr="009B7B35" w:rsidRDefault="00BE36FB" w:rsidP="001A7107">
      <w:pPr>
        <w:contextualSpacing/>
        <w:rPr>
          <w:rFonts w:ascii="Arial" w:hAnsi="Arial" w:cs="Arial"/>
          <w:sz w:val="20"/>
          <w:szCs w:val="20"/>
        </w:rPr>
      </w:pPr>
    </w:p>
    <w:p w14:paraId="286392D5"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There are two sites identified for future educational facilities in Calliope. The first is the existing State Government owned land east of the new town centre. The other site known locally as Archays Paddock on Taragoola Road located in close proximity to the old town centre and on the existing cycle network.</w:t>
      </w:r>
    </w:p>
    <w:p w14:paraId="0F04ABDB" w14:textId="77777777" w:rsidR="00BE36FB" w:rsidRPr="009B7B35" w:rsidRDefault="00BE36FB" w:rsidP="001A7107">
      <w:pPr>
        <w:contextualSpacing/>
        <w:rPr>
          <w:rFonts w:ascii="Arial" w:hAnsi="Arial" w:cs="Arial"/>
          <w:sz w:val="20"/>
          <w:szCs w:val="20"/>
        </w:rPr>
      </w:pPr>
    </w:p>
    <w:p w14:paraId="4141A60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A small area of Calliope, identified in the Hazardous activities overlay, is affected by subsidence hazard associated with the presence of historical goldmines. These areas are not supported for future intensification.</w:t>
      </w:r>
    </w:p>
    <w:p w14:paraId="0E8C5B74" w14:textId="77777777" w:rsidR="00BE36FB" w:rsidRPr="009B7B35" w:rsidRDefault="00BE36FB" w:rsidP="001A7107">
      <w:pPr>
        <w:contextualSpacing/>
        <w:rPr>
          <w:rFonts w:ascii="Arial" w:hAnsi="Arial" w:cs="Arial"/>
          <w:sz w:val="20"/>
          <w:szCs w:val="20"/>
        </w:rPr>
      </w:pPr>
    </w:p>
    <w:p w14:paraId="399D27FD"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A structure plan (Schedule 2) has been prepared that identifies key connections, neighbourhood structure, centres detailed design and other elements in which to base the planning of new neighbourhoods for Calliope.</w:t>
      </w:r>
    </w:p>
    <w:p w14:paraId="5D13ED40" w14:textId="77777777" w:rsidR="00BE36FB" w:rsidRPr="009B7B35" w:rsidRDefault="00BE36FB" w:rsidP="001A7107">
      <w:pPr>
        <w:contextualSpacing/>
        <w:rPr>
          <w:rFonts w:ascii="Arial" w:hAnsi="Arial" w:cs="Arial"/>
          <w:sz w:val="20"/>
          <w:szCs w:val="20"/>
        </w:rPr>
      </w:pPr>
    </w:p>
    <w:p w14:paraId="60819002" w14:textId="77777777" w:rsidR="00BE36FB" w:rsidRPr="009B7B35" w:rsidRDefault="00BE36FB" w:rsidP="001A7107">
      <w:pPr>
        <w:contextualSpacing/>
        <w:rPr>
          <w:rFonts w:ascii="Arial" w:hAnsi="Arial" w:cs="Arial"/>
          <w:b/>
          <w:sz w:val="20"/>
          <w:szCs w:val="20"/>
        </w:rPr>
      </w:pPr>
      <w:r w:rsidRPr="009B7B35">
        <w:rPr>
          <w:rFonts w:ascii="Arial" w:hAnsi="Arial" w:cs="Arial"/>
          <w:b/>
          <w:sz w:val="20"/>
          <w:szCs w:val="20"/>
        </w:rPr>
        <w:t>Agnes Water</w:t>
      </w:r>
    </w:p>
    <w:p w14:paraId="657E7BCF" w14:textId="77777777" w:rsidR="00BE36FB" w:rsidRPr="009B7B35" w:rsidRDefault="00BE36FB" w:rsidP="001A7107">
      <w:pPr>
        <w:contextualSpacing/>
        <w:rPr>
          <w:rFonts w:ascii="Arial" w:hAnsi="Arial" w:cs="Arial"/>
          <w:sz w:val="20"/>
          <w:szCs w:val="20"/>
        </w:rPr>
      </w:pPr>
    </w:p>
    <w:p w14:paraId="4060A14C"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Agnes Water is one the southern urban anchors of the Gladstone region located in a stunning natural setting. It is a balanced and functional urban community with parks and recreational areas, community facilities, and local economic and employment opportunities.</w:t>
      </w:r>
    </w:p>
    <w:p w14:paraId="5618A611" w14:textId="77777777" w:rsidR="00BE36FB" w:rsidRPr="009B7B35" w:rsidRDefault="00BE36FB" w:rsidP="001A7107">
      <w:pPr>
        <w:contextualSpacing/>
        <w:rPr>
          <w:rFonts w:ascii="Arial" w:hAnsi="Arial" w:cs="Arial"/>
          <w:sz w:val="20"/>
          <w:szCs w:val="20"/>
        </w:rPr>
      </w:pPr>
    </w:p>
    <w:p w14:paraId="0AA7C2A1"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There is a clearly defined urban footprint identified in the Emerging community zone which can adequately accommodate future population growth in new neighbourhoods for the life of the planning scheme and beyond.</w:t>
      </w:r>
    </w:p>
    <w:p w14:paraId="60E255E8" w14:textId="77777777" w:rsidR="00BE36FB" w:rsidRPr="009B7B35" w:rsidRDefault="00BE36FB" w:rsidP="001A7107">
      <w:pPr>
        <w:contextualSpacing/>
        <w:rPr>
          <w:rFonts w:ascii="Arial" w:hAnsi="Arial" w:cs="Arial"/>
          <w:sz w:val="20"/>
          <w:szCs w:val="20"/>
        </w:rPr>
      </w:pPr>
    </w:p>
    <w:p w14:paraId="660680B1"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Should population growth exceed the supply of identified residential land within the urban footprint of Agnes Water, there is the potential to plan for additional residential land and a future local centre in the locality near the intersection of Round Hill Road and the future Seventeen Seventy connector road. Interim land uses must not compromise the future role of this strategic location. A private high school to be located on Round Hill Road will serve the immediate communities of Agnes Water, Seventeen Seventy and surrounding smaller townships.</w:t>
      </w:r>
    </w:p>
    <w:p w14:paraId="2283F738" w14:textId="77777777" w:rsidR="00BE36FB" w:rsidRPr="009B7B35" w:rsidRDefault="00BE36FB" w:rsidP="001A7107">
      <w:pPr>
        <w:contextualSpacing/>
        <w:rPr>
          <w:rFonts w:ascii="Arial" w:hAnsi="Arial" w:cs="Arial"/>
          <w:sz w:val="20"/>
          <w:szCs w:val="20"/>
        </w:rPr>
      </w:pPr>
    </w:p>
    <w:p w14:paraId="3BAFEEE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A structure plan has been prepared (Schedule 2) that identifies key connections, neighbourhood structure, centres detailed design and other elements in which to base the planning of new neighbourhoods for Agnes Water.</w:t>
      </w:r>
    </w:p>
    <w:p w14:paraId="676D8376" w14:textId="77777777" w:rsidR="00BE36FB" w:rsidRPr="009B7B35" w:rsidRDefault="00BE36FB" w:rsidP="001A7107">
      <w:pPr>
        <w:contextualSpacing/>
        <w:rPr>
          <w:rFonts w:ascii="Arial" w:hAnsi="Arial" w:cs="Arial"/>
          <w:sz w:val="20"/>
          <w:szCs w:val="20"/>
        </w:rPr>
      </w:pPr>
    </w:p>
    <w:p w14:paraId="6F593AC1"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4D2FE5BD" w14:textId="77777777" w:rsidR="00BE36FB" w:rsidRPr="009B7B35" w:rsidRDefault="00BE36FB" w:rsidP="001A7107">
      <w:pPr>
        <w:pStyle w:val="Highlightlinegreen"/>
        <w:contextualSpacing/>
        <w:rPr>
          <w:rFonts w:ascii="Arial" w:hAnsi="Arial" w:cs="Arial"/>
          <w:szCs w:val="20"/>
        </w:rPr>
      </w:pPr>
      <w:r w:rsidRPr="009B7B35">
        <w:rPr>
          <w:rFonts w:ascii="Arial" w:hAnsi="Arial" w:cs="Arial"/>
          <w:szCs w:val="20"/>
        </w:rPr>
        <w:br w:type="page"/>
      </w:r>
    </w:p>
    <w:p w14:paraId="418D6597" w14:textId="77777777" w:rsidR="00BE36FB" w:rsidRPr="009B7B35" w:rsidRDefault="00BE36FB" w:rsidP="001A7107">
      <w:pPr>
        <w:pStyle w:val="Highlightlinegreen"/>
        <w:contextualSpacing/>
        <w:rPr>
          <w:rFonts w:ascii="Arial" w:hAnsi="Arial" w:cs="Arial"/>
          <w:szCs w:val="20"/>
        </w:rPr>
      </w:pPr>
      <w:r w:rsidRPr="009B7B35">
        <w:rPr>
          <w:rFonts w:ascii="Arial" w:hAnsi="Arial" w:cs="Arial"/>
          <w:szCs w:val="20"/>
        </w:rPr>
        <w:t>Building it better: Existing suburban areas</w:t>
      </w:r>
    </w:p>
    <w:p w14:paraId="687F3B34"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740F229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Existing suburban areas represent well established low density residential neighbourhoods in the region’s major urban areas. They are dominated by dwelling houses on medium to large residential lots located in the Low density residential zone.</w:t>
      </w:r>
    </w:p>
    <w:p w14:paraId="03ADE501" w14:textId="77777777" w:rsidR="00BE36FB" w:rsidRPr="009B7B35" w:rsidRDefault="00BE36FB" w:rsidP="001A7107">
      <w:pPr>
        <w:contextualSpacing/>
        <w:rPr>
          <w:rFonts w:ascii="Arial" w:hAnsi="Arial" w:cs="Arial"/>
          <w:sz w:val="20"/>
          <w:szCs w:val="20"/>
        </w:rPr>
      </w:pPr>
    </w:p>
    <w:p w14:paraId="4137000D"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Existing suburban areas remain unchanged apart from limited dual occupancy housing forms </w:t>
      </w:r>
      <w:r w:rsidRPr="009B7B35">
        <w:rPr>
          <w:rFonts w:ascii="Arial" w:hAnsi="Arial" w:cs="Arial"/>
          <w:sz w:val="20"/>
          <w:szCs w:val="20"/>
        </w:rPr>
        <w:br w:type="column"/>
        <w:t xml:space="preserve">only where development maintains low density residential character. Infill development including higher density attached housing is not appropriate in existing suburban areas in the Low density residential zone. </w:t>
      </w:r>
    </w:p>
    <w:p w14:paraId="7609BE66" w14:textId="77777777" w:rsidR="00BE36FB" w:rsidRPr="009B7B35" w:rsidRDefault="00BE36FB" w:rsidP="001A7107">
      <w:pPr>
        <w:contextualSpacing/>
        <w:rPr>
          <w:rFonts w:ascii="Arial" w:hAnsi="Arial" w:cs="Arial"/>
          <w:sz w:val="20"/>
          <w:szCs w:val="20"/>
        </w:rPr>
      </w:pPr>
    </w:p>
    <w:p w14:paraId="6EDA3A6D"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prevailing subdivision pattern of medium to larger residential lots is also maintained in these areas.</w:t>
      </w:r>
    </w:p>
    <w:p w14:paraId="45004CAD" w14:textId="77777777" w:rsidR="00BE36FB" w:rsidRPr="009B7B35" w:rsidRDefault="00BE36FB" w:rsidP="001A7107">
      <w:pPr>
        <w:contextualSpacing/>
        <w:rPr>
          <w:rFonts w:ascii="Arial" w:hAnsi="Arial" w:cs="Arial"/>
          <w:sz w:val="20"/>
          <w:szCs w:val="20"/>
        </w:rPr>
      </w:pPr>
    </w:p>
    <w:p w14:paraId="378A6409"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532C8948" w14:textId="77777777" w:rsidR="00BE36FB" w:rsidRPr="009B7B35" w:rsidRDefault="00BE36FB" w:rsidP="001A7107">
      <w:pPr>
        <w:pStyle w:val="Highlightlinegreen"/>
        <w:contextualSpacing/>
        <w:rPr>
          <w:rFonts w:ascii="Arial" w:hAnsi="Arial" w:cs="Arial"/>
          <w:szCs w:val="20"/>
        </w:rPr>
      </w:pPr>
      <w:r w:rsidRPr="009B7B35">
        <w:rPr>
          <w:rFonts w:ascii="Arial" w:hAnsi="Arial" w:cs="Arial"/>
          <w:szCs w:val="20"/>
        </w:rPr>
        <w:t>Building it better: Safe communities</w:t>
      </w:r>
    </w:p>
    <w:p w14:paraId="6E9B6B17"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5B684CB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is planned, designed and built in a way that promotes safety in our communities to reduce the risk of crime and anti–social behaviour.</w:t>
      </w:r>
    </w:p>
    <w:p w14:paraId="4B52D52D" w14:textId="77777777" w:rsidR="00BE36FB" w:rsidRPr="009B7B35" w:rsidRDefault="00BE36FB" w:rsidP="001A7107">
      <w:pPr>
        <w:contextualSpacing/>
        <w:rPr>
          <w:rFonts w:ascii="Arial" w:hAnsi="Arial" w:cs="Arial"/>
          <w:sz w:val="20"/>
          <w:szCs w:val="20"/>
        </w:rPr>
      </w:pPr>
    </w:p>
    <w:p w14:paraId="43C9060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Urban development including streets, public spaces, buildings and parks are planned and designed to reduce the risk of accidents and increase security particularly in public spaces.</w:t>
      </w:r>
    </w:p>
    <w:p w14:paraId="11F801FF" w14:textId="77777777" w:rsidR="00BE36FB" w:rsidRPr="009B7B35" w:rsidRDefault="00BE36FB" w:rsidP="001A7107">
      <w:pPr>
        <w:contextualSpacing/>
        <w:rPr>
          <w:rFonts w:ascii="Arial" w:hAnsi="Arial" w:cs="Arial"/>
          <w:sz w:val="20"/>
          <w:szCs w:val="20"/>
        </w:rPr>
      </w:pPr>
    </w:p>
    <w:p w14:paraId="72715EDD" w14:textId="77777777" w:rsidR="00BE36FB" w:rsidRPr="009B7B35" w:rsidRDefault="00BE36FB" w:rsidP="001A7107">
      <w:pPr>
        <w:contextualSpacing/>
        <w:rPr>
          <w:rFonts w:ascii="Arial" w:hAnsi="Arial" w:cs="Arial"/>
          <w:sz w:val="20"/>
          <w:szCs w:val="20"/>
        </w:rPr>
      </w:pPr>
    </w:p>
    <w:p w14:paraId="02512C37"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7F19EB0E" w14:textId="77777777" w:rsidR="00BE36FB" w:rsidRPr="009B7B35" w:rsidRDefault="00BE36FB" w:rsidP="001A7107">
      <w:pPr>
        <w:pStyle w:val="Highlightlinegreen"/>
        <w:contextualSpacing/>
        <w:rPr>
          <w:rFonts w:ascii="Arial" w:hAnsi="Arial" w:cs="Arial"/>
          <w:szCs w:val="20"/>
        </w:rPr>
      </w:pPr>
      <w:r w:rsidRPr="009B7B35">
        <w:rPr>
          <w:rFonts w:ascii="Arial" w:hAnsi="Arial" w:cs="Arial"/>
          <w:szCs w:val="20"/>
        </w:rPr>
        <w:t xml:space="preserve">Building it better: Land use and infrastructure planning </w:t>
      </w:r>
    </w:p>
    <w:p w14:paraId="205B7752"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6FFD395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is supported by well planned, efficient, functional and safe infrastructure networks. Infrastructure priorities are planned in accordance with the Local Government Infrastructure Plan (LGIP) (Part 4).</w:t>
      </w:r>
    </w:p>
    <w:p w14:paraId="608C9890" w14:textId="77777777" w:rsidR="00BE36FB" w:rsidRPr="009B7B35" w:rsidRDefault="00BE36FB" w:rsidP="001A7107">
      <w:pPr>
        <w:contextualSpacing/>
        <w:rPr>
          <w:rFonts w:ascii="Arial" w:hAnsi="Arial" w:cs="Arial"/>
          <w:sz w:val="20"/>
          <w:szCs w:val="20"/>
        </w:rPr>
      </w:pPr>
    </w:p>
    <w:p w14:paraId="0CC5B8BD"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Structure plans integrate land use and infrastructure planning for greenfield development in the new neighbourhoods at Gladstone, Calliope, Boyne Island / Tannum Sands and Agnes Water. These structure plans also provide the basis for state infrastructure providers to plan for the efficient provision of key infrastructure including education facilities.</w:t>
      </w:r>
    </w:p>
    <w:p w14:paraId="184CD7C5" w14:textId="77777777" w:rsidR="00BE36FB" w:rsidRPr="009B7B35" w:rsidRDefault="00BE36FB" w:rsidP="001A7107">
      <w:pPr>
        <w:contextualSpacing/>
        <w:rPr>
          <w:rFonts w:ascii="Arial" w:hAnsi="Arial" w:cs="Arial"/>
          <w:sz w:val="20"/>
          <w:szCs w:val="20"/>
        </w:rPr>
      </w:pPr>
    </w:p>
    <w:p w14:paraId="56FE6161"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Land use and infrastructure planning outcomes:</w:t>
      </w:r>
    </w:p>
    <w:p w14:paraId="77EAA4A5" w14:textId="77777777" w:rsidR="00BE36FB" w:rsidRPr="009B7B35" w:rsidRDefault="00BE36FB" w:rsidP="001A7107">
      <w:pPr>
        <w:pStyle w:val="ListBullet"/>
        <w:contextualSpacing/>
        <w:rPr>
          <w:rFonts w:cs="Arial"/>
          <w:szCs w:val="20"/>
        </w:rPr>
      </w:pPr>
      <w:r w:rsidRPr="009B7B35">
        <w:rPr>
          <w:rFonts w:cs="Arial"/>
          <w:szCs w:val="20"/>
        </w:rPr>
        <w:t>prioritise the use of existing infrastructure particularly where capacity exists</w:t>
      </w:r>
    </w:p>
    <w:p w14:paraId="7FBB490C" w14:textId="77777777" w:rsidR="00BE36FB" w:rsidRPr="009B7B35" w:rsidRDefault="00BE36FB" w:rsidP="001A7107">
      <w:pPr>
        <w:pStyle w:val="ListBullet"/>
        <w:contextualSpacing/>
        <w:rPr>
          <w:rFonts w:cs="Arial"/>
          <w:szCs w:val="20"/>
        </w:rPr>
      </w:pPr>
      <w:r w:rsidRPr="009B7B35">
        <w:rPr>
          <w:rFonts w:cs="Arial"/>
          <w:szCs w:val="20"/>
        </w:rPr>
        <w:t>minimise growth fronts by prioritising developments covered by structure plans and mixed use centres and urban revitalisation neighbourhoods, and</w:t>
      </w:r>
    </w:p>
    <w:p w14:paraId="4EEE3BFB" w14:textId="77777777" w:rsidR="00BE36FB" w:rsidRPr="009B7B35" w:rsidRDefault="00BE36FB" w:rsidP="001A7107">
      <w:pPr>
        <w:pStyle w:val="ListBullet"/>
        <w:contextualSpacing/>
        <w:rPr>
          <w:rFonts w:cs="Arial"/>
          <w:szCs w:val="20"/>
        </w:rPr>
      </w:pPr>
      <w:r w:rsidRPr="009B7B35">
        <w:rPr>
          <w:rFonts w:cs="Arial"/>
          <w:szCs w:val="20"/>
        </w:rPr>
        <w:t>support financially sustainable infrastructure standards and delivery.</w:t>
      </w:r>
    </w:p>
    <w:p w14:paraId="247FF84F" w14:textId="77777777" w:rsidR="00BE36FB" w:rsidRPr="009B7B35" w:rsidRDefault="00BE36FB">
      <w:pPr>
        <w:pStyle w:val="ListBullet"/>
        <w:numPr>
          <w:ilvl w:val="0"/>
          <w:numId w:val="0"/>
        </w:numPr>
        <w:ind w:left="284" w:hanging="284"/>
        <w:contextualSpacing/>
        <w:rPr>
          <w:rFonts w:cs="Arial"/>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5C65A64B" w14:textId="77777777" w:rsidR="00BE36FB" w:rsidRPr="009B7B35" w:rsidRDefault="00BE36FB" w:rsidP="001A7107">
      <w:pPr>
        <w:pStyle w:val="ListBullet"/>
        <w:numPr>
          <w:ilvl w:val="0"/>
          <w:numId w:val="0"/>
        </w:numPr>
        <w:ind w:left="284" w:hanging="284"/>
        <w:contextualSpacing/>
        <w:rPr>
          <w:rFonts w:cs="Arial"/>
          <w:szCs w:val="20"/>
        </w:rPr>
      </w:pPr>
    </w:p>
    <w:p w14:paraId="42A982E8" w14:textId="77777777" w:rsidR="00BE36FB" w:rsidRPr="009B7B35" w:rsidRDefault="00BE36FB" w:rsidP="001A7107">
      <w:pPr>
        <w:pStyle w:val="Highlightlinegreen"/>
        <w:contextualSpacing/>
        <w:rPr>
          <w:rFonts w:ascii="Arial" w:hAnsi="Arial" w:cs="Arial"/>
          <w:szCs w:val="20"/>
        </w:rPr>
      </w:pPr>
      <w:r w:rsidRPr="009B7B35">
        <w:rPr>
          <w:rFonts w:ascii="Arial" w:hAnsi="Arial" w:cs="Arial"/>
          <w:szCs w:val="20"/>
        </w:rPr>
        <w:t>Mapping</w:t>
      </w:r>
    </w:p>
    <w:p w14:paraId="7C0FDB3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Strategic Framework Map</w:t>
      </w:r>
    </w:p>
    <w:p w14:paraId="0758C9A3" w14:textId="77777777" w:rsidR="00BE36FB" w:rsidRPr="009B7B35" w:rsidRDefault="00BE36FB" w:rsidP="001A7107">
      <w:pPr>
        <w:pStyle w:val="ListBullet"/>
        <w:contextualSpacing/>
        <w:rPr>
          <w:rFonts w:cs="Arial"/>
          <w:szCs w:val="20"/>
        </w:rPr>
      </w:pPr>
      <w:r w:rsidRPr="009B7B35">
        <w:rPr>
          <w:rFonts w:cs="Arial"/>
          <w:szCs w:val="20"/>
        </w:rPr>
        <w:t>Community Living and Building it Better: Our urban areas Schedule 2</w:t>
      </w:r>
    </w:p>
    <w:p w14:paraId="743C15CE" w14:textId="77777777" w:rsidR="00BE36FB" w:rsidRPr="009B7B35" w:rsidRDefault="00BE36FB" w:rsidP="001A7107">
      <w:pPr>
        <w:pStyle w:val="ListBullet"/>
        <w:contextualSpacing/>
        <w:rPr>
          <w:rFonts w:cs="Arial"/>
          <w:szCs w:val="20"/>
        </w:rPr>
      </w:pPr>
      <w:r w:rsidRPr="009B7B35">
        <w:rPr>
          <w:rFonts w:cs="Arial"/>
          <w:szCs w:val="20"/>
        </w:rPr>
        <w:t>Built form transect Schedule 2</w:t>
      </w:r>
    </w:p>
    <w:p w14:paraId="401D6464" w14:textId="77777777" w:rsidR="00BE36FB" w:rsidRPr="009B7B35" w:rsidRDefault="00BE36FB" w:rsidP="001A7107">
      <w:pPr>
        <w:pStyle w:val="ListBullet"/>
        <w:contextualSpacing/>
        <w:rPr>
          <w:rFonts w:cs="Arial"/>
          <w:szCs w:val="20"/>
        </w:rPr>
      </w:pPr>
      <w:r w:rsidRPr="009B7B35">
        <w:rPr>
          <w:rFonts w:cs="Arial"/>
          <w:szCs w:val="20"/>
        </w:rPr>
        <w:t>Boyne Island and Tannum Sands Structure Plan</w:t>
      </w:r>
    </w:p>
    <w:p w14:paraId="42A1212D" w14:textId="77777777" w:rsidR="00BE36FB" w:rsidRPr="009B7B35" w:rsidRDefault="00BE36FB" w:rsidP="001A7107">
      <w:pPr>
        <w:pStyle w:val="ListBullet"/>
        <w:contextualSpacing/>
        <w:rPr>
          <w:rFonts w:cs="Arial"/>
          <w:szCs w:val="20"/>
        </w:rPr>
      </w:pPr>
      <w:r w:rsidRPr="009B7B35">
        <w:rPr>
          <w:rFonts w:cs="Arial"/>
          <w:szCs w:val="20"/>
        </w:rPr>
        <w:t>Calliope Structure Plan</w:t>
      </w:r>
    </w:p>
    <w:p w14:paraId="3A8294D0" w14:textId="77777777" w:rsidR="00BE36FB" w:rsidRPr="009B7B35" w:rsidRDefault="00BE36FB" w:rsidP="001A7107">
      <w:pPr>
        <w:pStyle w:val="ListBullet"/>
        <w:contextualSpacing/>
        <w:rPr>
          <w:rFonts w:cs="Arial"/>
          <w:szCs w:val="20"/>
        </w:rPr>
      </w:pPr>
      <w:r w:rsidRPr="009B7B35">
        <w:rPr>
          <w:rFonts w:cs="Arial"/>
          <w:szCs w:val="20"/>
        </w:rPr>
        <w:t>Agnes Water Structure Plan.</w:t>
      </w:r>
    </w:p>
    <w:p w14:paraId="3E93C4C2"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45F00E1C"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02DE094D" wp14:editId="1B1776E9">
            <wp:extent cx="5932627" cy="887786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cover.jpg"/>
                    <pic:cNvPicPr/>
                  </pic:nvPicPr>
                  <pic:blipFill rotWithShape="1">
                    <a:blip r:embed="rId34" cstate="print">
                      <a:extLst>
                        <a:ext uri="{28A0092B-C50C-407E-A947-70E740481C1C}">
                          <a14:useLocalDpi xmlns:a14="http://schemas.microsoft.com/office/drawing/2010/main" val="0"/>
                        </a:ext>
                      </a:extLst>
                    </a:blip>
                    <a:srcRect l="5478"/>
                    <a:stretch/>
                  </pic:blipFill>
                  <pic:spPr bwMode="auto">
                    <a:xfrm>
                      <a:off x="0" y="0"/>
                      <a:ext cx="5932475" cy="8877642"/>
                    </a:xfrm>
                    <a:prstGeom prst="rect">
                      <a:avLst/>
                    </a:prstGeom>
                    <a:ln>
                      <a:noFill/>
                    </a:ln>
                    <a:extLst>
                      <a:ext uri="{53640926-AAD7-44D8-BBD7-CCE9431645EC}">
                        <a14:shadowObscured xmlns:a14="http://schemas.microsoft.com/office/drawing/2010/main"/>
                      </a:ext>
                    </a:extLst>
                  </pic:spPr>
                </pic:pic>
              </a:graphicData>
            </a:graphic>
          </wp:inline>
        </w:drawing>
      </w:r>
    </w:p>
    <w:p w14:paraId="255A1487" w14:textId="77777777" w:rsidR="00BE36FB" w:rsidRPr="009B7B35" w:rsidRDefault="00BE36FB" w:rsidP="00BE36FB">
      <w:pPr>
        <w:pStyle w:val="Heading2"/>
        <w:numPr>
          <w:ilvl w:val="1"/>
          <w:numId w:val="29"/>
        </w:numPr>
        <w:contextualSpacing/>
        <w:rPr>
          <w:rFonts w:ascii="Arial" w:hAnsi="Arial"/>
          <w:sz w:val="20"/>
          <w:szCs w:val="20"/>
        </w:rPr>
      </w:pPr>
      <w:bookmarkStart w:id="116" w:name="_Toc205367309"/>
      <w:r w:rsidRPr="009B7B35">
        <w:rPr>
          <w:rFonts w:ascii="Arial" w:hAnsi="Arial"/>
          <w:sz w:val="20"/>
          <w:szCs w:val="20"/>
        </w:rPr>
        <w:t>Our environment and heritage</w:t>
      </w:r>
      <w:bookmarkEnd w:id="116"/>
    </w:p>
    <w:p w14:paraId="0BD2360B" w14:textId="77777777" w:rsidR="00BE36FB" w:rsidRPr="009B7B35" w:rsidRDefault="00BE36FB" w:rsidP="00BE36FB">
      <w:pPr>
        <w:pStyle w:val="Heading3"/>
        <w:numPr>
          <w:ilvl w:val="2"/>
          <w:numId w:val="29"/>
        </w:numPr>
        <w:spacing w:after="240"/>
        <w:contextualSpacing/>
        <w:rPr>
          <w:rFonts w:ascii="Arial" w:hAnsi="Arial"/>
          <w:sz w:val="20"/>
          <w:szCs w:val="20"/>
        </w:rPr>
      </w:pPr>
      <w:bookmarkStart w:id="117" w:name="_Toc205367310"/>
      <w:r w:rsidRPr="009B7B35">
        <w:rPr>
          <w:rFonts w:ascii="Arial" w:hAnsi="Arial"/>
          <w:sz w:val="20"/>
          <w:szCs w:val="20"/>
        </w:rPr>
        <w:t>Strategic outcomes</w:t>
      </w:r>
      <w:bookmarkEnd w:id="117"/>
    </w:p>
    <w:p w14:paraId="1A7003EA" w14:textId="77777777" w:rsidR="00BE36FB" w:rsidRPr="009B7B35" w:rsidRDefault="00BE36FB" w:rsidP="00BE36FB">
      <w:pPr>
        <w:numPr>
          <w:ilvl w:val="0"/>
          <w:numId w:val="32"/>
        </w:numPr>
        <w:contextualSpacing/>
        <w:rPr>
          <w:rFonts w:ascii="Arial" w:hAnsi="Arial" w:cs="Arial"/>
          <w:sz w:val="20"/>
          <w:szCs w:val="20"/>
        </w:rPr>
        <w:sectPr w:rsidR="00BE36FB" w:rsidRPr="009B7B35" w:rsidSect="001A7107">
          <w:pgSz w:w="11906" w:h="16838" w:code="9"/>
          <w:pgMar w:top="1418" w:right="1134" w:bottom="1418" w:left="1134" w:header="567" w:footer="567" w:gutter="284"/>
          <w:cols w:space="709"/>
          <w:titlePg/>
          <w:docGrid w:linePitch="360"/>
        </w:sectPr>
      </w:pPr>
    </w:p>
    <w:p w14:paraId="5652D929" w14:textId="77777777"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Sustainable development allows our communities to meet their present needs while not compromising the ability of future generations to meet their needs.</w:t>
      </w:r>
    </w:p>
    <w:p w14:paraId="4361D9BA" w14:textId="77777777"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Natural places including areas with national and state environmental significance are protected through appropriate planning and development practices.</w:t>
      </w:r>
    </w:p>
    <w:p w14:paraId="1BEA9AA0" w14:textId="77777777"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Natural places and valuable features of our natural environment are linked through regional and local environmental corridors. The major urban area of Gladstone is separated from those of Boyne Island / Tannum Sands and Calliope by a greenbelt free of any urban development that delineates these urban areas and preserves significant environmental and landscape amenity values.</w:t>
      </w:r>
    </w:p>
    <w:p w14:paraId="123AAEBD" w14:textId="77777777"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The region’s identified scenic amenity values are protected from inappropriate development.</w:t>
      </w:r>
    </w:p>
    <w:p w14:paraId="704E4E7E" w14:textId="77777777"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The environmental values and quality of the region’s waters and waterways are protected.</w:t>
      </w:r>
    </w:p>
    <w:p w14:paraId="07261CB5" w14:textId="77777777"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br w:type="column"/>
        <w:t>Fisheries resources (including declared fish habitat areas) are protected from development and productivity is maintained to support the commercial, recreational and indigenous fishing sectors.</w:t>
      </w:r>
    </w:p>
    <w:p w14:paraId="5C27F2A4" w14:textId="77777777"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Development ensures waterfront areas, including coastal and riverine locations, are publicly accessible except where required for port related purposes or where sensitive ecological values occur.</w:t>
      </w:r>
    </w:p>
    <w:p w14:paraId="039461D6" w14:textId="77777777"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Urban areas accommodate a network of open spaces, parks and recreational areas suited to community needs and also protect environmental values.</w:t>
      </w:r>
    </w:p>
    <w:p w14:paraId="6E7A0390" w14:textId="77777777"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 xml:space="preserve">Development avoids areas affected by natural hazards where these risks can’t be mitigated to an acceptable or tolerable level through development design and location measures. Sensitive uses are located in areas free from natural hazards or where the risks from natural hazards are acceptable. </w:t>
      </w:r>
    </w:p>
    <w:p w14:paraId="59E7ADB0" w14:textId="77777777"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Places of cultural heritage are conserved so that the unique cultural and historical identity and diversity of the Gladstone region can be appreciated and interpreted.</w:t>
      </w:r>
    </w:p>
    <w:p w14:paraId="27FF14E0" w14:textId="77777777" w:rsidR="00BE36FB" w:rsidRPr="009B7B35" w:rsidRDefault="00BE36FB" w:rsidP="00BE36FB">
      <w:pPr>
        <w:numPr>
          <w:ilvl w:val="0"/>
          <w:numId w:val="41"/>
        </w:numPr>
        <w:contextualSpacing/>
        <w:rPr>
          <w:rFonts w:ascii="Arial" w:hAnsi="Arial" w:cs="Arial"/>
          <w:sz w:val="20"/>
          <w:szCs w:val="20"/>
        </w:rPr>
      </w:pPr>
      <w:r w:rsidRPr="009B7B35">
        <w:rPr>
          <w:rFonts w:ascii="Arial" w:hAnsi="Arial" w:cs="Arial"/>
          <w:sz w:val="20"/>
          <w:szCs w:val="20"/>
        </w:rPr>
        <w:t>Development on or adjoining local heritage places preserves their heritage significance and complements their character.</w:t>
      </w:r>
    </w:p>
    <w:p w14:paraId="7FD0AA57" w14:textId="77777777" w:rsidR="00BE36FB" w:rsidRPr="009B7B35" w:rsidRDefault="00BE36FB" w:rsidP="001A7107">
      <w:pPr>
        <w:contextualSpacing/>
        <w:rPr>
          <w:rFonts w:ascii="Arial" w:hAnsi="Arial" w:cs="Arial"/>
          <w:sz w:val="20"/>
          <w:szCs w:val="20"/>
        </w:rPr>
      </w:pPr>
    </w:p>
    <w:p w14:paraId="0323CB10" w14:textId="77777777" w:rsidR="00BE36FB" w:rsidRPr="009B7B35" w:rsidRDefault="00BE36FB" w:rsidP="00BE36FB">
      <w:pPr>
        <w:pStyle w:val="Heading3"/>
        <w:numPr>
          <w:ilvl w:val="2"/>
          <w:numId w:val="29"/>
        </w:numPr>
        <w:spacing w:after="240"/>
        <w:contextualSpacing/>
        <w:rPr>
          <w:rFonts w:ascii="Arial" w:hAnsi="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0F31D73E" w14:textId="77777777" w:rsidR="00BE36FB" w:rsidRPr="009B7B35" w:rsidRDefault="00BE36FB" w:rsidP="00BE36FB">
      <w:pPr>
        <w:pStyle w:val="Heading3"/>
        <w:numPr>
          <w:ilvl w:val="2"/>
          <w:numId w:val="29"/>
        </w:numPr>
        <w:spacing w:after="240"/>
        <w:contextualSpacing/>
        <w:rPr>
          <w:rFonts w:ascii="Arial" w:hAnsi="Arial"/>
          <w:sz w:val="20"/>
          <w:szCs w:val="20"/>
        </w:rPr>
      </w:pPr>
      <w:bookmarkStart w:id="118" w:name="_Toc205367311"/>
      <w:r w:rsidRPr="009B7B35">
        <w:rPr>
          <w:rFonts w:ascii="Arial" w:hAnsi="Arial"/>
          <w:sz w:val="20"/>
          <w:szCs w:val="20"/>
        </w:rPr>
        <w:t>Elements</w:t>
      </w:r>
      <w:bookmarkEnd w:id="118"/>
    </w:p>
    <w:p w14:paraId="061B225F" w14:textId="77777777" w:rsidR="00BE36FB" w:rsidRPr="009B7B35" w:rsidRDefault="00BE36FB" w:rsidP="001A7107">
      <w:pPr>
        <w:pStyle w:val="Highlightlineorange"/>
        <w:contextualSpacing/>
        <w:rPr>
          <w:rFonts w:ascii="Arial" w:hAnsi="Arial" w:cs="Arial"/>
          <w:szCs w:val="20"/>
        </w:rPr>
      </w:pPr>
      <w:r w:rsidRPr="009B7B35">
        <w:rPr>
          <w:rFonts w:ascii="Arial" w:hAnsi="Arial" w:cs="Arial"/>
          <w:szCs w:val="20"/>
        </w:rPr>
        <w:t>Sustainable management of the natural environment and resources</w:t>
      </w:r>
    </w:p>
    <w:p w14:paraId="5A024D82"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25645A81"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Development minimises and mitigates environmental impacts on the region’s natural environment and resources. High importance is placed on the natural environment so that national and state wide environmental values are not compromised.</w:t>
      </w:r>
    </w:p>
    <w:p w14:paraId="15F0DE62" w14:textId="77777777" w:rsidR="00BE36FB" w:rsidRPr="009B7B35" w:rsidRDefault="00BE36FB" w:rsidP="001A7107">
      <w:pPr>
        <w:contextualSpacing/>
        <w:rPr>
          <w:rFonts w:ascii="Arial" w:hAnsi="Arial" w:cs="Arial"/>
          <w:sz w:val="20"/>
          <w:szCs w:val="20"/>
        </w:rPr>
      </w:pPr>
    </w:p>
    <w:p w14:paraId="54900F12"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 is abundant in areas of high ecological significance and riparian ecosystems including areas of national and state significance. These areas, including the key biodiversity places of Eurimbulah, Castle Tower, Kroombit–Bulburin and the Rundle Range are protected through minimal development disturbance and mitigation measures. Natural corridors and links between these hubs are protected.</w:t>
      </w:r>
    </w:p>
    <w:p w14:paraId="359F0B98" w14:textId="77777777" w:rsidR="00BE36FB" w:rsidRPr="009B7B35" w:rsidRDefault="00BE36FB" w:rsidP="001A7107">
      <w:pPr>
        <w:contextualSpacing/>
        <w:rPr>
          <w:rFonts w:ascii="Arial" w:hAnsi="Arial" w:cs="Arial"/>
          <w:sz w:val="20"/>
          <w:szCs w:val="20"/>
        </w:rPr>
      </w:pPr>
    </w:p>
    <w:p w14:paraId="318C88D5"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Natural corridors also function as important inter urban breaks particularly as a means of separating the major urban areas of Gladstone, Calliope and Boyne Island / Tannum Sands. No urban development is supported in this inter urban break or greenbelt.</w:t>
      </w:r>
    </w:p>
    <w:p w14:paraId="776A1936" w14:textId="77777777" w:rsidR="00BE36FB" w:rsidRPr="009B7B35" w:rsidRDefault="00BE36FB" w:rsidP="001A7107">
      <w:pPr>
        <w:contextualSpacing/>
        <w:rPr>
          <w:rFonts w:ascii="Arial" w:hAnsi="Arial" w:cs="Arial"/>
          <w:sz w:val="20"/>
          <w:szCs w:val="20"/>
        </w:rPr>
      </w:pPr>
    </w:p>
    <w:p w14:paraId="3C56118C"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Areas of high scenic and landscape values within the region are protected from inappropriate development or impacts upon their amenity, particularly in the areas of Mount Larcom, Tablelands, Boyne Valley, Boynedale, Mount Alma, southern localities such as Lowmead and Captain Creek and much of the natural coastal and riverine areas.</w:t>
      </w:r>
    </w:p>
    <w:p w14:paraId="4CEBF51C"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Development minimises and mitigates impacts on ecological, hydrological and water quality values and the natural processes within coastal foreshores, waterways and rivers; particularly in the largest catchments and tributaries of the Boyne River, Calliope River and Baffle Creek and other waterways such as, the Kolan River, Police Creek, Auckland Creek, Raglan Creek, and Diglum Creek. This is achieved through incorporating water sensitive urban design measures.</w:t>
      </w:r>
    </w:p>
    <w:p w14:paraId="1327176E"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Marine and fisheries resources are preserved and their associated industries operate sustainably. The Great Barrier Reef and the Gladstone Harbour are important as natural attractions and environmental assets to the region. The region continues its commitment to being a Reef Guardian Council.</w:t>
      </w:r>
    </w:p>
    <w:p w14:paraId="5DBA8BC9" w14:textId="77777777" w:rsidR="00BE36FB" w:rsidRPr="009B7B35" w:rsidRDefault="00BE36FB" w:rsidP="001A7107">
      <w:pPr>
        <w:contextualSpacing/>
        <w:rPr>
          <w:rFonts w:ascii="Arial" w:hAnsi="Arial" w:cs="Arial"/>
          <w:sz w:val="20"/>
          <w:szCs w:val="20"/>
        </w:rPr>
      </w:pPr>
    </w:p>
    <w:p w14:paraId="58917A08" w14:textId="77777777" w:rsidR="00BE36FB" w:rsidRPr="009B7B35" w:rsidRDefault="00BE36FB" w:rsidP="001A7107">
      <w:pPr>
        <w:contextualSpacing/>
        <w:rPr>
          <w:rFonts w:ascii="Arial" w:hAnsi="Arial" w:cs="Arial"/>
          <w:sz w:val="20"/>
          <w:szCs w:val="20"/>
        </w:rPr>
      </w:pPr>
    </w:p>
    <w:p w14:paraId="600360D7" w14:textId="77777777" w:rsidR="00BE36FB" w:rsidRPr="009B7B35" w:rsidRDefault="00BE36FB" w:rsidP="001A7107">
      <w:pPr>
        <w:contextualSpacing/>
        <w:rPr>
          <w:rFonts w:ascii="Arial" w:hAnsi="Arial" w:cs="Arial"/>
          <w:sz w:val="20"/>
          <w:szCs w:val="20"/>
        </w:rPr>
      </w:pPr>
    </w:p>
    <w:p w14:paraId="7CA7136F" w14:textId="77777777" w:rsidR="00BE36FB" w:rsidRPr="009B7B35" w:rsidRDefault="00BE36FB" w:rsidP="001A7107">
      <w:pPr>
        <w:contextualSpacing/>
        <w:rPr>
          <w:rFonts w:ascii="Arial" w:hAnsi="Arial" w:cs="Arial"/>
          <w:sz w:val="20"/>
          <w:szCs w:val="20"/>
        </w:rPr>
      </w:pPr>
    </w:p>
    <w:p w14:paraId="30A188C7"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40091315" w14:textId="77777777" w:rsidR="00BE36FB" w:rsidRPr="009B7B35" w:rsidRDefault="00BE36FB" w:rsidP="001A7107">
      <w:pPr>
        <w:pStyle w:val="Highlightlineorange"/>
        <w:contextualSpacing/>
        <w:rPr>
          <w:rFonts w:ascii="Arial" w:hAnsi="Arial" w:cs="Arial"/>
          <w:szCs w:val="20"/>
        </w:rPr>
      </w:pPr>
      <w:r w:rsidRPr="009B7B35">
        <w:rPr>
          <w:rFonts w:ascii="Arial" w:hAnsi="Arial" w:cs="Arial"/>
          <w:szCs w:val="20"/>
        </w:rPr>
        <w:t>Recreation in open space and parks</w:t>
      </w:r>
    </w:p>
    <w:p w14:paraId="372DEFD6"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7856AB1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region’s natural places such as Deepwater and Kroombit Tops National Parks, Awoonga Dam, foreshore areas, waterways, creeks, as well as sporting facilities and camping grounds provide opportunities for appropriate recreation and nature based tourism development.</w:t>
      </w:r>
    </w:p>
    <w:p w14:paraId="2FEECD6D" w14:textId="77777777" w:rsidR="00BE36FB" w:rsidRPr="009B7B35" w:rsidRDefault="00BE36FB" w:rsidP="001A7107">
      <w:pPr>
        <w:contextualSpacing/>
        <w:rPr>
          <w:rFonts w:ascii="Arial" w:hAnsi="Arial" w:cs="Arial"/>
          <w:sz w:val="20"/>
          <w:szCs w:val="20"/>
        </w:rPr>
      </w:pPr>
    </w:p>
    <w:p w14:paraId="774BA57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region’s waterways and foreshores are important community assets where development must ensure continued public access to these areas (except where port related activities or ecological functions prevail).</w:t>
      </w:r>
    </w:p>
    <w:p w14:paraId="2C16A789" w14:textId="77777777" w:rsidR="00BE36FB" w:rsidRPr="009B7B35" w:rsidRDefault="00BE36FB" w:rsidP="001A7107">
      <w:pPr>
        <w:contextualSpacing/>
        <w:rPr>
          <w:rFonts w:ascii="Arial" w:hAnsi="Arial" w:cs="Arial"/>
          <w:sz w:val="20"/>
          <w:szCs w:val="20"/>
        </w:rPr>
      </w:pPr>
    </w:p>
    <w:p w14:paraId="7C25F155"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Public parks are an essential part of the region’s residential areas and centres where they meet the needs of the community. Parks occur in a diversity of open space settings and are adaptable to changing needs over time. </w:t>
      </w:r>
    </w:p>
    <w:p w14:paraId="56A83D6B" w14:textId="77777777" w:rsidR="00BE36FB" w:rsidRPr="009B7B35" w:rsidRDefault="00BE36FB" w:rsidP="001A7107">
      <w:pPr>
        <w:contextualSpacing/>
        <w:rPr>
          <w:rFonts w:ascii="Arial" w:hAnsi="Arial" w:cs="Arial"/>
          <w:sz w:val="20"/>
          <w:szCs w:val="20"/>
        </w:rPr>
      </w:pPr>
    </w:p>
    <w:p w14:paraId="0F490F4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Parks are characterised by being highly accessible and perform important roles in recreation, social interaction and health, landscape amenity and environmental connectivity. They are important building blocks for communities in new neighbourhoods, urban revitalisation neighbourhoods, existing suburban areas and also mixed use centres.</w:t>
      </w:r>
    </w:p>
    <w:p w14:paraId="00DD1096" w14:textId="77777777" w:rsidR="00BE36FB" w:rsidRPr="009B7B35" w:rsidRDefault="00BE36FB" w:rsidP="001A7107">
      <w:pPr>
        <w:contextualSpacing/>
        <w:rPr>
          <w:rFonts w:ascii="Arial" w:hAnsi="Arial" w:cs="Arial"/>
          <w:sz w:val="20"/>
          <w:szCs w:val="20"/>
        </w:rPr>
      </w:pPr>
    </w:p>
    <w:p w14:paraId="3BD1F78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Development does not result in the loss of open space within the region’s natural places nor the loss of parkland in urban areas. Development must also contribute towards enhancing open space values in the region for future generations. </w:t>
      </w:r>
    </w:p>
    <w:p w14:paraId="0111AFE5" w14:textId="77777777" w:rsidR="00BE36FB" w:rsidRPr="009B7B35" w:rsidRDefault="00BE36FB" w:rsidP="001A7107">
      <w:pPr>
        <w:contextualSpacing/>
        <w:rPr>
          <w:rFonts w:ascii="Arial" w:hAnsi="Arial" w:cs="Arial"/>
          <w:sz w:val="20"/>
          <w:szCs w:val="20"/>
        </w:rPr>
      </w:pPr>
    </w:p>
    <w:p w14:paraId="1E958576" w14:textId="77777777" w:rsidR="00BE36FB" w:rsidRPr="009B7B35" w:rsidRDefault="00BE36FB" w:rsidP="001A7107">
      <w:pPr>
        <w:contextualSpacing/>
        <w:rPr>
          <w:rFonts w:ascii="Arial" w:hAnsi="Arial" w:cs="Arial"/>
          <w:sz w:val="20"/>
          <w:szCs w:val="20"/>
        </w:rPr>
      </w:pPr>
    </w:p>
    <w:p w14:paraId="692DCC38" w14:textId="77777777" w:rsidR="00BE36FB" w:rsidRPr="009B7B35" w:rsidRDefault="00BE36FB" w:rsidP="001A7107">
      <w:pPr>
        <w:contextualSpacing/>
        <w:rPr>
          <w:rFonts w:ascii="Arial" w:hAnsi="Arial" w:cs="Arial"/>
          <w:sz w:val="20"/>
          <w:szCs w:val="20"/>
        </w:rPr>
      </w:pPr>
    </w:p>
    <w:p w14:paraId="1D006935" w14:textId="77777777" w:rsidR="00BE36FB" w:rsidRPr="009B7B35" w:rsidRDefault="00BE36FB" w:rsidP="001A7107">
      <w:pPr>
        <w:contextualSpacing/>
        <w:rPr>
          <w:rFonts w:ascii="Arial" w:hAnsi="Arial" w:cs="Arial"/>
          <w:sz w:val="20"/>
          <w:szCs w:val="20"/>
        </w:rPr>
      </w:pPr>
    </w:p>
    <w:p w14:paraId="33D0E4C8"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6FE58DEB" w14:textId="77777777" w:rsidR="00BE36FB" w:rsidRPr="009B7B35" w:rsidRDefault="00BE36FB" w:rsidP="001A7107">
      <w:pPr>
        <w:pStyle w:val="Highlightlineorange"/>
        <w:contextualSpacing/>
        <w:rPr>
          <w:rFonts w:ascii="Arial" w:hAnsi="Arial" w:cs="Arial"/>
          <w:szCs w:val="20"/>
        </w:rPr>
      </w:pPr>
      <w:r w:rsidRPr="009B7B35">
        <w:rPr>
          <w:rFonts w:ascii="Arial" w:hAnsi="Arial" w:cs="Arial"/>
          <w:szCs w:val="20"/>
        </w:rPr>
        <w:t>Safety and resilience to environmental change and natural hazards</w:t>
      </w:r>
    </w:p>
    <w:p w14:paraId="5482523A"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26995D9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Safeguarding the future of the region from climate change and sea level rise is of high importance in moving towards a more resilient future.</w:t>
      </w:r>
    </w:p>
    <w:p w14:paraId="64A8B150" w14:textId="77777777" w:rsidR="00BE36FB" w:rsidRPr="009B7B35" w:rsidRDefault="00BE36FB" w:rsidP="001A7107">
      <w:pPr>
        <w:contextualSpacing/>
        <w:rPr>
          <w:rFonts w:ascii="Arial" w:hAnsi="Arial" w:cs="Arial"/>
          <w:sz w:val="20"/>
          <w:szCs w:val="20"/>
        </w:rPr>
      </w:pPr>
    </w:p>
    <w:p w14:paraId="36A73822"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Safety and resilience to natural hazards including flooding, bushfire, landslide and coastal hazards is a focus for the future of the region. Development must avoid or be designed to mitigate the risks of natural hazards for the safety and resilience of the population in flood, bushfire, coastal hazard or steep land areas.</w:t>
      </w:r>
    </w:p>
    <w:p w14:paraId="482143AC" w14:textId="77777777" w:rsidR="00BE36FB" w:rsidRPr="009B7B35" w:rsidRDefault="00BE36FB" w:rsidP="001A7107">
      <w:pPr>
        <w:contextualSpacing/>
        <w:rPr>
          <w:rFonts w:ascii="Arial" w:hAnsi="Arial" w:cs="Arial"/>
          <w:sz w:val="20"/>
          <w:szCs w:val="20"/>
        </w:rPr>
      </w:pPr>
    </w:p>
    <w:p w14:paraId="3F2DF6B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anticipated sea level rise, as at 2100, is the measure integrated into the planning scheme where appropriate responses to flooding and coastal hazards have been adopted as a key means of avoiding creating risk in new communities or exacerbating risks in existing communities in the future.</w:t>
      </w:r>
    </w:p>
    <w:p w14:paraId="615EFDD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Consideration is also given to the potential implications of climate changes affecting our weather such as increased temperatures and rainfall intensity. Responses to these anticipated changes are reflected in development requirements, which may include the promotion of street tree planting, the importance of landscaping, stormwater management and the retention of mature bushland.</w:t>
      </w:r>
    </w:p>
    <w:p w14:paraId="143DB4EB" w14:textId="77777777" w:rsidR="00BE36FB" w:rsidRPr="009B7B35" w:rsidRDefault="00BE36FB" w:rsidP="001A7107">
      <w:pPr>
        <w:contextualSpacing/>
        <w:rPr>
          <w:rFonts w:ascii="Arial" w:hAnsi="Arial" w:cs="Arial"/>
          <w:sz w:val="20"/>
          <w:szCs w:val="20"/>
        </w:rPr>
      </w:pPr>
    </w:p>
    <w:p w14:paraId="1E52669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environmental values of the harbour and the regions islands, such as Heron Island, Lady Elliot Island, Facing Island, Wilson Island, Quoin Island, Curtis Island and Hummock Hill Island are protected from coastal hazards.</w:t>
      </w:r>
    </w:p>
    <w:p w14:paraId="5A36E382" w14:textId="77777777" w:rsidR="00BE36FB" w:rsidRPr="009B7B35" w:rsidRDefault="00BE36FB" w:rsidP="001A7107">
      <w:pPr>
        <w:contextualSpacing/>
        <w:rPr>
          <w:rFonts w:ascii="Arial" w:hAnsi="Arial" w:cs="Arial"/>
          <w:sz w:val="20"/>
          <w:szCs w:val="20"/>
        </w:rPr>
      </w:pPr>
    </w:p>
    <w:p w14:paraId="06C2C999" w14:textId="77777777" w:rsidR="00BE36FB" w:rsidRPr="009B7B35" w:rsidRDefault="00BE36FB" w:rsidP="001A7107">
      <w:pPr>
        <w:contextualSpacing/>
        <w:rPr>
          <w:rFonts w:ascii="Arial" w:hAnsi="Arial" w:cs="Arial"/>
          <w:sz w:val="20"/>
          <w:szCs w:val="20"/>
        </w:rPr>
      </w:pPr>
    </w:p>
    <w:p w14:paraId="79BC9E1D" w14:textId="77777777" w:rsidR="00BE36FB" w:rsidRPr="009B7B35" w:rsidRDefault="00BE36FB" w:rsidP="001A7107">
      <w:pPr>
        <w:contextualSpacing/>
        <w:rPr>
          <w:rFonts w:ascii="Arial" w:hAnsi="Arial" w:cs="Arial"/>
          <w:sz w:val="20"/>
          <w:szCs w:val="20"/>
        </w:rPr>
      </w:pPr>
    </w:p>
    <w:p w14:paraId="540AACD4" w14:textId="77777777" w:rsidR="00BE36FB" w:rsidRPr="009B7B35" w:rsidRDefault="00BE36FB" w:rsidP="001A7107">
      <w:pPr>
        <w:contextualSpacing/>
        <w:rPr>
          <w:rFonts w:ascii="Arial" w:hAnsi="Arial" w:cs="Arial"/>
          <w:sz w:val="20"/>
          <w:szCs w:val="20"/>
        </w:rPr>
      </w:pPr>
    </w:p>
    <w:p w14:paraId="3895293E" w14:textId="77777777" w:rsidR="00BE36FB" w:rsidRPr="009B7B35" w:rsidRDefault="00BE36FB" w:rsidP="001A7107">
      <w:pPr>
        <w:contextualSpacing/>
        <w:rPr>
          <w:rFonts w:ascii="Arial" w:hAnsi="Arial" w:cs="Arial"/>
          <w:sz w:val="20"/>
          <w:szCs w:val="20"/>
        </w:rPr>
      </w:pPr>
    </w:p>
    <w:p w14:paraId="4D5BFC66" w14:textId="77777777" w:rsidR="00BE36FB" w:rsidRPr="009B7B35" w:rsidRDefault="00BE36FB" w:rsidP="001A7107">
      <w:pPr>
        <w:contextualSpacing/>
        <w:rPr>
          <w:rFonts w:ascii="Arial" w:hAnsi="Arial" w:cs="Arial"/>
          <w:sz w:val="20"/>
          <w:szCs w:val="20"/>
        </w:rPr>
      </w:pPr>
    </w:p>
    <w:p w14:paraId="5CEEBCD4" w14:textId="77777777" w:rsidR="00BE36FB" w:rsidRPr="009B7B35" w:rsidRDefault="00BE36FB" w:rsidP="001A7107">
      <w:pPr>
        <w:pStyle w:val="Highlightlineorange"/>
        <w:contextualSpacing/>
        <w:rPr>
          <w:rFonts w:ascii="Arial" w:hAnsi="Arial" w:cs="Arial"/>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4DCF00CF" w14:textId="77777777" w:rsidR="00BE36FB" w:rsidRPr="009B7B35" w:rsidRDefault="00BE36FB" w:rsidP="001A7107">
      <w:pPr>
        <w:pStyle w:val="Highlightlineorange"/>
        <w:contextualSpacing/>
        <w:rPr>
          <w:rFonts w:ascii="Arial" w:hAnsi="Arial" w:cs="Arial"/>
          <w:szCs w:val="20"/>
        </w:rPr>
      </w:pPr>
      <w:r w:rsidRPr="009B7B35">
        <w:rPr>
          <w:rFonts w:ascii="Arial" w:hAnsi="Arial" w:cs="Arial"/>
          <w:szCs w:val="20"/>
        </w:rPr>
        <w:t>Heritage</w:t>
      </w:r>
    </w:p>
    <w:p w14:paraId="195EDF57"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67AAD3C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region’s cultural heritage spans from pastoral holdings, industrial operations and civic buildings to significant infrastructure and historical exploration sites. The region is also home to a number of nationally significant heritage locations such as the site of the fifth Australian colony at Barney Point and Cook’s landing place at the Town of Seventeen Seventy. These heritage places are preserved and development does not compromise their identified cultural heritage values. </w:t>
      </w:r>
    </w:p>
    <w:p w14:paraId="1F8BB54A" w14:textId="77777777" w:rsidR="00BE36FB" w:rsidRPr="009B7B35" w:rsidRDefault="00BE36FB" w:rsidP="001A7107">
      <w:pPr>
        <w:contextualSpacing/>
        <w:rPr>
          <w:rFonts w:ascii="Arial" w:hAnsi="Arial" w:cs="Arial"/>
          <w:sz w:val="20"/>
          <w:szCs w:val="20"/>
        </w:rPr>
      </w:pPr>
    </w:p>
    <w:p w14:paraId="4DB6A79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Great Barrier Reef’s World Heritage values are protected through appropriate development which incorporates sustainable land management and water quality practices.</w:t>
      </w:r>
    </w:p>
    <w:p w14:paraId="7348C956" w14:textId="77777777" w:rsidR="00BE36FB" w:rsidRPr="009B7B35" w:rsidRDefault="00BE36FB" w:rsidP="001A7107">
      <w:pPr>
        <w:contextualSpacing/>
        <w:rPr>
          <w:rFonts w:ascii="Arial" w:hAnsi="Arial" w:cs="Arial"/>
          <w:sz w:val="20"/>
          <w:szCs w:val="20"/>
        </w:rPr>
      </w:pPr>
    </w:p>
    <w:p w14:paraId="4A60D4E3"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Council's local heritage register, as expressed in the Heritage overlay, identifies the region's most significant heritage places. It will expand as new heritage places continue to be added. The potential for a ‘heritage trail’ across the region is also supported.</w:t>
      </w:r>
    </w:p>
    <w:p w14:paraId="7FD3F0FC" w14:textId="77777777" w:rsidR="00BE36FB" w:rsidRPr="009B7B35" w:rsidRDefault="00BE36FB" w:rsidP="001A7107">
      <w:pPr>
        <w:contextualSpacing/>
        <w:rPr>
          <w:rFonts w:ascii="Arial" w:hAnsi="Arial" w:cs="Arial"/>
          <w:sz w:val="20"/>
          <w:szCs w:val="20"/>
        </w:rPr>
      </w:pPr>
    </w:p>
    <w:p w14:paraId="00D102A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region supports aboriginal cultural heritage values. Development in the region fulfils its duty of care to the recognition, protection and conservation of these values under relevant state legislation.</w:t>
      </w:r>
    </w:p>
    <w:p w14:paraId="6D5FE4D5" w14:textId="77777777" w:rsidR="00BE36FB" w:rsidRPr="009B7B35" w:rsidRDefault="00BE36FB" w:rsidP="001A7107">
      <w:pPr>
        <w:contextualSpacing/>
        <w:rPr>
          <w:rFonts w:ascii="Arial" w:hAnsi="Arial" w:cs="Arial"/>
          <w:sz w:val="20"/>
          <w:szCs w:val="20"/>
        </w:rPr>
      </w:pPr>
    </w:p>
    <w:p w14:paraId="12DABE9D" w14:textId="77777777" w:rsidR="00BE36FB" w:rsidRPr="009B7B35" w:rsidRDefault="00BE36FB" w:rsidP="001A7107">
      <w:pPr>
        <w:contextualSpacing/>
        <w:rPr>
          <w:rFonts w:ascii="Arial" w:hAnsi="Arial" w:cs="Arial"/>
          <w:sz w:val="20"/>
          <w:szCs w:val="20"/>
        </w:rPr>
      </w:pPr>
    </w:p>
    <w:p w14:paraId="6CCF3605" w14:textId="77777777" w:rsidR="00BE36FB" w:rsidRPr="009B7B35" w:rsidRDefault="00BE36FB" w:rsidP="001A7107">
      <w:pPr>
        <w:contextualSpacing/>
        <w:rPr>
          <w:rFonts w:ascii="Arial" w:hAnsi="Arial" w:cs="Arial"/>
          <w:sz w:val="20"/>
          <w:szCs w:val="20"/>
        </w:rPr>
      </w:pPr>
    </w:p>
    <w:p w14:paraId="6458455E" w14:textId="77777777" w:rsidR="00BE36FB" w:rsidRPr="009B7B35" w:rsidRDefault="00BE36FB" w:rsidP="001A7107">
      <w:pPr>
        <w:contextualSpacing/>
        <w:rPr>
          <w:rFonts w:ascii="Arial" w:hAnsi="Arial" w:cs="Arial"/>
          <w:sz w:val="20"/>
          <w:szCs w:val="20"/>
        </w:rPr>
      </w:pPr>
    </w:p>
    <w:p w14:paraId="296A0230" w14:textId="77777777" w:rsidR="00BE36FB" w:rsidRPr="009B7B35" w:rsidRDefault="00BE36FB" w:rsidP="001A7107">
      <w:pPr>
        <w:contextualSpacing/>
        <w:rPr>
          <w:rFonts w:ascii="Arial" w:hAnsi="Arial" w:cs="Arial"/>
          <w:sz w:val="20"/>
          <w:szCs w:val="20"/>
        </w:rPr>
      </w:pPr>
    </w:p>
    <w:p w14:paraId="62E2B983" w14:textId="77777777" w:rsidR="00BE36FB" w:rsidRPr="009B7B35" w:rsidRDefault="00BE36FB" w:rsidP="001A7107">
      <w:pPr>
        <w:contextualSpacing/>
        <w:rPr>
          <w:rFonts w:ascii="Arial" w:hAnsi="Arial" w:cs="Arial"/>
          <w:sz w:val="20"/>
          <w:szCs w:val="20"/>
        </w:rPr>
      </w:pPr>
    </w:p>
    <w:p w14:paraId="2EF3BAC5"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5750EBC9" w14:textId="77777777" w:rsidR="00BE36FB" w:rsidRPr="009B7B35" w:rsidRDefault="00BE36FB" w:rsidP="001A7107">
      <w:pPr>
        <w:pStyle w:val="Highlightlineorange"/>
        <w:contextualSpacing/>
        <w:rPr>
          <w:rFonts w:ascii="Arial" w:hAnsi="Arial" w:cs="Arial"/>
          <w:szCs w:val="20"/>
        </w:rPr>
      </w:pPr>
      <w:r w:rsidRPr="009B7B35">
        <w:rPr>
          <w:rFonts w:ascii="Arial" w:hAnsi="Arial" w:cs="Arial"/>
          <w:szCs w:val="20"/>
        </w:rPr>
        <w:t>Mapping</w:t>
      </w:r>
    </w:p>
    <w:p w14:paraId="56725E27"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Strategic Framework Map Our Environment and Heritage Schedule 2.</w:t>
      </w:r>
    </w:p>
    <w:p w14:paraId="7C92D9BA" w14:textId="77777777" w:rsidR="00BE36FB" w:rsidRPr="009B7B35" w:rsidRDefault="00BE36FB" w:rsidP="001A7107">
      <w:pPr>
        <w:contextualSpacing/>
        <w:rPr>
          <w:rFonts w:ascii="Arial" w:hAnsi="Arial" w:cs="Arial"/>
          <w:sz w:val="20"/>
          <w:szCs w:val="20"/>
        </w:rPr>
      </w:pPr>
    </w:p>
    <w:p w14:paraId="28B7B36D" w14:textId="77777777" w:rsidR="00BE36FB" w:rsidRPr="009B7B35" w:rsidRDefault="00BE36FB" w:rsidP="001A7107">
      <w:pPr>
        <w:contextualSpacing/>
        <w:rPr>
          <w:rFonts w:ascii="Arial" w:hAnsi="Arial" w:cs="Arial"/>
          <w:sz w:val="20"/>
          <w:szCs w:val="20"/>
        </w:rPr>
      </w:pPr>
    </w:p>
    <w:p w14:paraId="2A6B2402"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6B51182C" w14:textId="77777777" w:rsidR="00BE36FB" w:rsidRPr="009B7B35" w:rsidRDefault="00BE36FB" w:rsidP="001A7107">
      <w:pPr>
        <w:contextualSpacing/>
        <w:rPr>
          <w:rFonts w:ascii="Arial" w:hAnsi="Arial" w:cs="Arial"/>
          <w:sz w:val="20"/>
          <w:szCs w:val="20"/>
        </w:rPr>
      </w:pPr>
      <w:r w:rsidRPr="009B7B35">
        <w:rPr>
          <w:rFonts w:ascii="Arial" w:hAnsi="Arial" w:cs="Arial"/>
          <w:noProof/>
          <w:sz w:val="20"/>
          <w:szCs w:val="20"/>
        </w:rPr>
        <w:drawing>
          <wp:inline distT="0" distB="0" distL="0" distR="0" wp14:anchorId="6E399B5D" wp14:editId="330A4402">
            <wp:extent cx="5917821" cy="8887968"/>
            <wp:effectExtent l="0" t="0" r="698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cover.jpg"/>
                    <pic:cNvPicPr/>
                  </pic:nvPicPr>
                  <pic:blipFill rotWithShape="1">
                    <a:blip r:embed="rId35" cstate="print">
                      <a:extLst>
                        <a:ext uri="{28A0092B-C50C-407E-A947-70E740481C1C}">
                          <a14:useLocalDpi xmlns:a14="http://schemas.microsoft.com/office/drawing/2010/main" val="0"/>
                        </a:ext>
                      </a:extLst>
                    </a:blip>
                    <a:srcRect l="5822"/>
                    <a:stretch/>
                  </pic:blipFill>
                  <pic:spPr bwMode="auto">
                    <a:xfrm>
                      <a:off x="0" y="0"/>
                      <a:ext cx="5917835" cy="8887989"/>
                    </a:xfrm>
                    <a:prstGeom prst="rect">
                      <a:avLst/>
                    </a:prstGeom>
                    <a:ln>
                      <a:noFill/>
                    </a:ln>
                    <a:extLst>
                      <a:ext uri="{53640926-AAD7-44D8-BBD7-CCE9431645EC}">
                        <a14:shadowObscured xmlns:a14="http://schemas.microsoft.com/office/drawing/2010/main"/>
                      </a:ext>
                    </a:extLst>
                  </pic:spPr>
                </pic:pic>
              </a:graphicData>
            </a:graphic>
          </wp:inline>
        </w:drawing>
      </w:r>
    </w:p>
    <w:p w14:paraId="211939B6" w14:textId="77777777" w:rsidR="00BE36FB" w:rsidRPr="009B7B35" w:rsidRDefault="00BE36FB" w:rsidP="00BE36FB">
      <w:pPr>
        <w:pStyle w:val="Heading2"/>
        <w:numPr>
          <w:ilvl w:val="1"/>
          <w:numId w:val="29"/>
        </w:numPr>
        <w:contextualSpacing/>
        <w:rPr>
          <w:rFonts w:ascii="Arial" w:hAnsi="Arial"/>
          <w:sz w:val="20"/>
          <w:szCs w:val="20"/>
        </w:rPr>
      </w:pPr>
      <w:bookmarkStart w:id="119" w:name="_Toc205367312"/>
      <w:r w:rsidRPr="009B7B35">
        <w:rPr>
          <w:rFonts w:ascii="Arial" w:hAnsi="Arial"/>
          <w:sz w:val="20"/>
          <w:szCs w:val="20"/>
        </w:rPr>
        <w:t>Our rural and coastal townships and places</w:t>
      </w:r>
      <w:bookmarkEnd w:id="119"/>
    </w:p>
    <w:p w14:paraId="5FC7B9FB" w14:textId="77777777" w:rsidR="00BE36FB" w:rsidRPr="009B7B35" w:rsidRDefault="00BE36FB" w:rsidP="00BE36FB">
      <w:pPr>
        <w:pStyle w:val="Heading3"/>
        <w:numPr>
          <w:ilvl w:val="2"/>
          <w:numId w:val="29"/>
        </w:numPr>
        <w:spacing w:after="240"/>
        <w:contextualSpacing/>
        <w:rPr>
          <w:rFonts w:ascii="Arial" w:hAnsi="Arial"/>
          <w:sz w:val="20"/>
          <w:szCs w:val="20"/>
        </w:rPr>
      </w:pPr>
      <w:bookmarkStart w:id="120" w:name="_Toc205367313"/>
      <w:r w:rsidRPr="009B7B35">
        <w:rPr>
          <w:rFonts w:ascii="Arial" w:hAnsi="Arial"/>
          <w:sz w:val="20"/>
          <w:szCs w:val="20"/>
        </w:rPr>
        <w:t>Strategic outcomes</w:t>
      </w:r>
      <w:bookmarkEnd w:id="120"/>
    </w:p>
    <w:p w14:paraId="0C36BB3D" w14:textId="77777777" w:rsidR="00BE36FB" w:rsidRPr="009B7B35" w:rsidRDefault="00BE36FB" w:rsidP="00BE36FB">
      <w:pPr>
        <w:numPr>
          <w:ilvl w:val="0"/>
          <w:numId w:val="33"/>
        </w:numPr>
        <w:contextualSpacing/>
        <w:rPr>
          <w:rFonts w:ascii="Arial" w:hAnsi="Arial" w:cs="Arial"/>
          <w:sz w:val="20"/>
          <w:szCs w:val="20"/>
        </w:rPr>
        <w:sectPr w:rsidR="00BE36FB" w:rsidRPr="009B7B35" w:rsidSect="001A7107">
          <w:footerReference w:type="first" r:id="rId36"/>
          <w:pgSz w:w="11906" w:h="16838" w:code="9"/>
          <w:pgMar w:top="1418" w:right="1134" w:bottom="1418" w:left="1134" w:header="567" w:footer="567" w:gutter="284"/>
          <w:cols w:space="709"/>
          <w:docGrid w:linePitch="360"/>
        </w:sectPr>
      </w:pPr>
    </w:p>
    <w:p w14:paraId="2AB9B99A" w14:textId="77777777" w:rsidR="00BE36FB" w:rsidRPr="009B7B35" w:rsidRDefault="00BE36FB" w:rsidP="00BE36FB">
      <w:pPr>
        <w:numPr>
          <w:ilvl w:val="0"/>
          <w:numId w:val="42"/>
        </w:numPr>
        <w:contextualSpacing/>
        <w:rPr>
          <w:rFonts w:ascii="Arial" w:hAnsi="Arial" w:cs="Arial"/>
          <w:sz w:val="20"/>
          <w:szCs w:val="20"/>
        </w:rPr>
      </w:pPr>
      <w:r w:rsidRPr="009B7B35">
        <w:rPr>
          <w:rFonts w:ascii="Arial" w:hAnsi="Arial" w:cs="Arial"/>
          <w:sz w:val="20"/>
          <w:szCs w:val="20"/>
        </w:rPr>
        <w:t>The individual character and unique identity of rural and coastal communities is retained and their roles clearly defined.</w:t>
      </w:r>
    </w:p>
    <w:p w14:paraId="32120364" w14:textId="77777777" w:rsidR="00BE36FB" w:rsidRPr="009B7B35" w:rsidRDefault="00BE36FB" w:rsidP="00BE36FB">
      <w:pPr>
        <w:numPr>
          <w:ilvl w:val="0"/>
          <w:numId w:val="42"/>
        </w:numPr>
        <w:contextualSpacing/>
        <w:rPr>
          <w:rFonts w:ascii="Arial" w:hAnsi="Arial" w:cs="Arial"/>
          <w:sz w:val="20"/>
          <w:szCs w:val="20"/>
        </w:rPr>
      </w:pPr>
      <w:r w:rsidRPr="009B7B35">
        <w:rPr>
          <w:rFonts w:ascii="Arial" w:hAnsi="Arial" w:cs="Arial"/>
          <w:sz w:val="20"/>
          <w:szCs w:val="20"/>
        </w:rPr>
        <w:t>No further expansion of Rural residential areas is supported beyond areas identified in the Rural residential zone. Subdivision within the Rural residential zone is determined by the level of water supply that can be made available along with being consistent with lot sizes that reflect the character of rural residential areas.</w:t>
      </w:r>
    </w:p>
    <w:p w14:paraId="7818E0E0" w14:textId="77777777" w:rsidR="00BE36FB" w:rsidRPr="009B7B35" w:rsidRDefault="00BE36FB" w:rsidP="00BE36FB">
      <w:pPr>
        <w:numPr>
          <w:ilvl w:val="0"/>
          <w:numId w:val="42"/>
        </w:numPr>
        <w:contextualSpacing/>
        <w:rPr>
          <w:rFonts w:ascii="Arial" w:hAnsi="Arial" w:cs="Arial"/>
          <w:sz w:val="20"/>
          <w:szCs w:val="20"/>
        </w:rPr>
      </w:pPr>
      <w:r w:rsidRPr="009B7B35">
        <w:rPr>
          <w:rFonts w:ascii="Arial" w:hAnsi="Arial" w:cs="Arial"/>
          <w:sz w:val="20"/>
          <w:szCs w:val="20"/>
        </w:rPr>
        <w:t xml:space="preserve">The existing footprints of rural and coastal townships support the intended limited residential growth in these areas within the life of this planning scheme. No further expansion to these footprints or increase in density is supported. </w:t>
      </w:r>
    </w:p>
    <w:p w14:paraId="6D77F180" w14:textId="77777777" w:rsidR="00BE36FB" w:rsidRPr="009B7B35" w:rsidRDefault="00BE36FB" w:rsidP="00BE36FB">
      <w:pPr>
        <w:numPr>
          <w:ilvl w:val="0"/>
          <w:numId w:val="42"/>
        </w:numPr>
        <w:contextualSpacing/>
        <w:rPr>
          <w:rFonts w:ascii="Arial" w:hAnsi="Arial" w:cs="Arial"/>
          <w:sz w:val="20"/>
          <w:szCs w:val="20"/>
        </w:rPr>
      </w:pPr>
      <w:r w:rsidRPr="009B7B35">
        <w:rPr>
          <w:rFonts w:ascii="Arial" w:hAnsi="Arial" w:cs="Arial"/>
          <w:sz w:val="20"/>
          <w:szCs w:val="20"/>
        </w:rPr>
        <w:br w:type="column"/>
        <w:t>Fragmentation of rural lands in the Rural zone does not occur.</w:t>
      </w:r>
    </w:p>
    <w:p w14:paraId="2D78ACB8" w14:textId="77777777" w:rsidR="00BE36FB" w:rsidRPr="009B7B35" w:rsidRDefault="00BE36FB" w:rsidP="00BE36FB">
      <w:pPr>
        <w:numPr>
          <w:ilvl w:val="0"/>
          <w:numId w:val="42"/>
        </w:numPr>
        <w:contextualSpacing/>
        <w:rPr>
          <w:rFonts w:ascii="Arial" w:hAnsi="Arial" w:cs="Arial"/>
          <w:sz w:val="20"/>
          <w:szCs w:val="20"/>
        </w:rPr>
      </w:pPr>
      <w:r w:rsidRPr="009B7B35">
        <w:rPr>
          <w:rFonts w:ascii="Arial" w:hAnsi="Arial" w:cs="Arial"/>
          <w:sz w:val="20"/>
          <w:szCs w:val="20"/>
        </w:rPr>
        <w:t>Rural and coastal townships have clear economic functions that include tourism, rural enterprises and highway services within townships along the Bruce Highway.</w:t>
      </w:r>
    </w:p>
    <w:p w14:paraId="0986D402" w14:textId="77777777" w:rsidR="00BE36FB" w:rsidRPr="009B7B35" w:rsidRDefault="00BE36FB" w:rsidP="00BE36FB">
      <w:pPr>
        <w:numPr>
          <w:ilvl w:val="0"/>
          <w:numId w:val="42"/>
        </w:numPr>
        <w:contextualSpacing/>
        <w:rPr>
          <w:rFonts w:ascii="Arial" w:hAnsi="Arial" w:cs="Arial"/>
          <w:sz w:val="20"/>
          <w:szCs w:val="20"/>
        </w:rPr>
      </w:pPr>
      <w:r w:rsidRPr="009B7B35">
        <w:rPr>
          <w:rFonts w:ascii="Arial" w:hAnsi="Arial" w:cs="Arial"/>
          <w:sz w:val="20"/>
          <w:szCs w:val="20"/>
        </w:rPr>
        <w:t>Non–residential development in rural and coastal townships supports local level service needs with the exception of small scale tourism activities. Development supporting urban scale needs is not supported.</w:t>
      </w:r>
    </w:p>
    <w:p w14:paraId="147FF6F1" w14:textId="77777777" w:rsidR="00BE36FB" w:rsidRPr="009B7B35" w:rsidRDefault="00BE36FB" w:rsidP="00BE36FB">
      <w:pPr>
        <w:numPr>
          <w:ilvl w:val="0"/>
          <w:numId w:val="42"/>
        </w:numPr>
        <w:contextualSpacing/>
        <w:rPr>
          <w:rFonts w:ascii="Arial" w:hAnsi="Arial" w:cs="Arial"/>
          <w:sz w:val="20"/>
          <w:szCs w:val="20"/>
        </w:rPr>
      </w:pPr>
      <w:r w:rsidRPr="009B7B35">
        <w:rPr>
          <w:rFonts w:ascii="Arial" w:hAnsi="Arial" w:cs="Arial"/>
          <w:sz w:val="20"/>
          <w:szCs w:val="20"/>
        </w:rPr>
        <w:t>Building design and materials in coastal townships such as Seventeen Seventy reflect coastal character.</w:t>
      </w:r>
    </w:p>
    <w:p w14:paraId="0C314775" w14:textId="77777777" w:rsidR="00BE36FB" w:rsidRPr="009B7B35" w:rsidRDefault="00BE36FB" w:rsidP="001A7107">
      <w:pPr>
        <w:contextualSpacing/>
        <w:rPr>
          <w:rFonts w:ascii="Arial" w:hAnsi="Arial" w:cs="Arial"/>
          <w:sz w:val="20"/>
          <w:szCs w:val="20"/>
        </w:rPr>
      </w:pPr>
    </w:p>
    <w:p w14:paraId="598F070E" w14:textId="77777777" w:rsidR="00BE36FB" w:rsidRPr="009B7B35" w:rsidRDefault="00BE36FB" w:rsidP="001A7107">
      <w:pPr>
        <w:contextualSpacing/>
        <w:rPr>
          <w:rFonts w:ascii="Arial" w:hAnsi="Arial" w:cs="Arial"/>
          <w:sz w:val="20"/>
          <w:szCs w:val="20"/>
        </w:rPr>
      </w:pPr>
    </w:p>
    <w:p w14:paraId="5F0E7CB9" w14:textId="77777777" w:rsidR="00BE36FB" w:rsidRPr="009B7B35" w:rsidRDefault="00BE36FB" w:rsidP="001A7107">
      <w:pPr>
        <w:contextualSpacing/>
        <w:rPr>
          <w:rFonts w:ascii="Arial" w:hAnsi="Arial" w:cs="Arial"/>
          <w:sz w:val="20"/>
          <w:szCs w:val="20"/>
        </w:rPr>
      </w:pPr>
    </w:p>
    <w:p w14:paraId="49D3C0D7" w14:textId="77777777" w:rsidR="00BE36FB" w:rsidRPr="009B7B35" w:rsidRDefault="00BE36FB" w:rsidP="001A7107">
      <w:pPr>
        <w:contextualSpacing/>
        <w:rPr>
          <w:rFonts w:ascii="Arial" w:hAnsi="Arial" w:cs="Arial"/>
          <w:sz w:val="20"/>
          <w:szCs w:val="20"/>
        </w:rPr>
      </w:pPr>
    </w:p>
    <w:p w14:paraId="5B99C6B4"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3568D5FC" w14:textId="77777777" w:rsidR="00BE36FB" w:rsidRPr="009B7B35" w:rsidRDefault="00BE36FB" w:rsidP="00BE36FB">
      <w:pPr>
        <w:pStyle w:val="Heading3"/>
        <w:numPr>
          <w:ilvl w:val="2"/>
          <w:numId w:val="29"/>
        </w:numPr>
        <w:spacing w:after="240"/>
        <w:contextualSpacing/>
        <w:rPr>
          <w:rFonts w:ascii="Arial" w:hAnsi="Arial"/>
          <w:sz w:val="20"/>
          <w:szCs w:val="20"/>
        </w:rPr>
      </w:pPr>
      <w:bookmarkStart w:id="121" w:name="_Toc205367314"/>
      <w:r w:rsidRPr="009B7B35">
        <w:rPr>
          <w:rFonts w:ascii="Arial" w:hAnsi="Arial"/>
          <w:sz w:val="20"/>
          <w:szCs w:val="20"/>
        </w:rPr>
        <w:t>Elements</w:t>
      </w:r>
      <w:bookmarkEnd w:id="121"/>
    </w:p>
    <w:p w14:paraId="11E60249" w14:textId="77777777" w:rsidR="00BE36FB" w:rsidRPr="009B7B35" w:rsidRDefault="00BE36FB" w:rsidP="001A7107">
      <w:pPr>
        <w:pStyle w:val="Highlightlinepink"/>
        <w:contextualSpacing/>
        <w:rPr>
          <w:rFonts w:ascii="Arial" w:hAnsi="Arial" w:cs="Arial"/>
          <w:szCs w:val="20"/>
        </w:rPr>
      </w:pPr>
      <w:r w:rsidRPr="009B7B35">
        <w:rPr>
          <w:rFonts w:ascii="Arial" w:hAnsi="Arial" w:cs="Arial"/>
          <w:szCs w:val="20"/>
        </w:rPr>
        <w:t>Rural and rural residential areas</w:t>
      </w:r>
    </w:p>
    <w:p w14:paraId="3FF266E9"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5162E1EB"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Gladstone region has a plentiful supply of rural residential land in localities such as Beecher, Burua, Benaraby and within the fringe areas of Gladstone, Calliope, Tannum Sands, Miriam Vale and Agnes Water. Rural residential </w:t>
      </w:r>
      <w:r w:rsidRPr="009B7B35">
        <w:rPr>
          <w:rFonts w:ascii="Arial" w:hAnsi="Arial" w:cs="Arial"/>
          <w:sz w:val="20"/>
          <w:szCs w:val="20"/>
        </w:rPr>
        <w:br w:type="column"/>
        <w:t>development is limited to only land within the Rural residential zone with no expansion into the Rural zone or other zones are supported. Other than Agnes Water and Miriam Vale, rural residential areas have reticulated water supply.</w:t>
      </w:r>
    </w:p>
    <w:p w14:paraId="5981D614" w14:textId="77777777" w:rsidR="00BE36FB" w:rsidRPr="009B7B35" w:rsidRDefault="00BE36FB" w:rsidP="001A7107">
      <w:pPr>
        <w:contextualSpacing/>
        <w:rPr>
          <w:rFonts w:ascii="Arial" w:hAnsi="Arial" w:cs="Arial"/>
          <w:sz w:val="20"/>
          <w:szCs w:val="20"/>
        </w:rPr>
      </w:pPr>
    </w:p>
    <w:p w14:paraId="64FE91B5" w14:textId="77777777" w:rsidR="00BE36FB" w:rsidRPr="009B7B35" w:rsidRDefault="00BE36FB" w:rsidP="001A7107">
      <w:pPr>
        <w:contextualSpacing/>
        <w:rPr>
          <w:rFonts w:ascii="Arial" w:hAnsi="Arial" w:cs="Arial"/>
          <w:sz w:val="20"/>
          <w:szCs w:val="20"/>
        </w:rPr>
      </w:pPr>
    </w:p>
    <w:p w14:paraId="1528C1CB" w14:textId="77777777" w:rsidR="00BE36FB" w:rsidRPr="009B7B35" w:rsidRDefault="00BE36FB" w:rsidP="001A7107">
      <w:pPr>
        <w:contextualSpacing/>
        <w:rPr>
          <w:rFonts w:ascii="Arial" w:hAnsi="Arial" w:cs="Arial"/>
          <w:sz w:val="20"/>
          <w:szCs w:val="20"/>
        </w:rPr>
      </w:pPr>
    </w:p>
    <w:p w14:paraId="579F57F2" w14:textId="77777777" w:rsidR="00BE36FB" w:rsidRPr="009B7B35" w:rsidRDefault="00BE36FB" w:rsidP="001A7107">
      <w:pPr>
        <w:pStyle w:val="Highlightlinepink"/>
        <w:contextualSpacing/>
        <w:rPr>
          <w:rFonts w:ascii="Arial" w:hAnsi="Arial" w:cs="Arial"/>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16FDB888" w14:textId="77777777" w:rsidR="00BE36FB" w:rsidRPr="009B7B35" w:rsidRDefault="00BE36FB" w:rsidP="001A7107">
      <w:pPr>
        <w:pStyle w:val="Highlightlinepink"/>
        <w:contextualSpacing/>
        <w:rPr>
          <w:rFonts w:ascii="Arial" w:hAnsi="Arial" w:cs="Arial"/>
          <w:szCs w:val="20"/>
        </w:rPr>
      </w:pPr>
      <w:r w:rsidRPr="009B7B35">
        <w:rPr>
          <w:rFonts w:ascii="Arial" w:hAnsi="Arial" w:cs="Arial"/>
          <w:szCs w:val="20"/>
        </w:rPr>
        <w:t>Coastal places</w:t>
      </w:r>
    </w:p>
    <w:p w14:paraId="1E9CF62D"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069CDBBE"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Seventeen Seventy is a small coastal community comprising largely of low scale detached dwellings nestled in a natural setting. Built form exemplifies coastal character by lightweight materials with variation in roof forms, overhangs and balconies with open living areas.</w:t>
      </w:r>
    </w:p>
    <w:p w14:paraId="4AA6AEC3" w14:textId="77777777" w:rsidR="00BE36FB" w:rsidRPr="009B7B35" w:rsidRDefault="00BE36FB" w:rsidP="001A7107">
      <w:pPr>
        <w:contextualSpacing/>
        <w:rPr>
          <w:rFonts w:ascii="Arial" w:hAnsi="Arial" w:cs="Arial"/>
          <w:sz w:val="20"/>
          <w:szCs w:val="20"/>
        </w:rPr>
      </w:pPr>
    </w:p>
    <w:p w14:paraId="778B4527"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Seventeen Seventy’s heritage and scenic amenity together with topographical and access constraints means there is no increase in density or further subdivision. </w:t>
      </w:r>
    </w:p>
    <w:p w14:paraId="34E8F2F6" w14:textId="77777777" w:rsidR="00BE36FB" w:rsidRPr="009B7B35" w:rsidRDefault="00BE36FB" w:rsidP="001A7107">
      <w:pPr>
        <w:contextualSpacing/>
        <w:rPr>
          <w:rFonts w:ascii="Arial" w:hAnsi="Arial" w:cs="Arial"/>
          <w:sz w:val="20"/>
          <w:szCs w:val="20"/>
        </w:rPr>
      </w:pPr>
    </w:p>
    <w:p w14:paraId="67BDA2B4"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The boat harbour / marina offers convenience level services for tourists and residents. Further commercial and small scale, short term accommodation is limited in scale and intensity consistent with the character of the area. </w:t>
      </w:r>
    </w:p>
    <w:p w14:paraId="7117BD5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Seventeen Seventy is an important tourist destination and is one of the gateways to the Great Barrier Reef. An interpretative centre celebrating the town’s cultural significance is supported that celebrates this natural attraction.</w:t>
      </w:r>
    </w:p>
    <w:p w14:paraId="36C7864D" w14:textId="77777777" w:rsidR="00BE36FB" w:rsidRPr="009B7B35" w:rsidRDefault="00BE36FB" w:rsidP="001A7107">
      <w:pPr>
        <w:contextualSpacing/>
        <w:rPr>
          <w:rFonts w:ascii="Arial" w:hAnsi="Arial" w:cs="Arial"/>
          <w:sz w:val="20"/>
          <w:szCs w:val="20"/>
        </w:rPr>
      </w:pPr>
    </w:p>
    <w:p w14:paraId="1F780DC5"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absence of reticulated water and sewerage services restricts the expansion of the development footprint in Turkey Beach. Spare capacity exists within the existing township area and existing rural residential footprints to accommodate anticipated growth over the life of this planning scheme.</w:t>
      </w:r>
    </w:p>
    <w:p w14:paraId="5BB4F137" w14:textId="77777777" w:rsidR="00BE36FB" w:rsidRPr="009B7B35" w:rsidRDefault="00BE36FB" w:rsidP="001A7107">
      <w:pPr>
        <w:contextualSpacing/>
        <w:rPr>
          <w:rFonts w:ascii="Arial" w:hAnsi="Arial" w:cs="Arial"/>
          <w:sz w:val="20"/>
          <w:szCs w:val="20"/>
        </w:rPr>
      </w:pPr>
    </w:p>
    <w:p w14:paraId="4796C317" w14:textId="77777777" w:rsidR="00BE36FB" w:rsidRPr="009B7B35" w:rsidRDefault="00BE36FB" w:rsidP="001A7107">
      <w:pPr>
        <w:contextualSpacing/>
        <w:rPr>
          <w:rFonts w:ascii="Arial" w:hAnsi="Arial" w:cs="Arial"/>
          <w:sz w:val="20"/>
          <w:szCs w:val="20"/>
        </w:rPr>
      </w:pPr>
    </w:p>
    <w:p w14:paraId="7DC729B6" w14:textId="77777777" w:rsidR="00BE36FB" w:rsidRPr="009B7B35" w:rsidRDefault="00BE36FB" w:rsidP="001A7107">
      <w:pPr>
        <w:contextualSpacing/>
        <w:rPr>
          <w:rFonts w:ascii="Arial" w:hAnsi="Arial" w:cs="Arial"/>
          <w:sz w:val="20"/>
          <w:szCs w:val="20"/>
        </w:rPr>
      </w:pPr>
    </w:p>
    <w:p w14:paraId="5C981B95" w14:textId="77777777" w:rsidR="00BE36FB" w:rsidRPr="009B7B35" w:rsidRDefault="00BE36FB" w:rsidP="001A7107">
      <w:pPr>
        <w:contextualSpacing/>
        <w:rPr>
          <w:rFonts w:ascii="Arial" w:hAnsi="Arial" w:cs="Arial"/>
          <w:sz w:val="20"/>
          <w:szCs w:val="20"/>
        </w:rPr>
      </w:pPr>
    </w:p>
    <w:p w14:paraId="526715B2" w14:textId="77777777" w:rsidR="00BE36FB" w:rsidRPr="009B7B35" w:rsidRDefault="00BE36FB" w:rsidP="001A7107">
      <w:pPr>
        <w:contextualSpacing/>
        <w:rPr>
          <w:rFonts w:ascii="Arial" w:hAnsi="Arial" w:cs="Arial"/>
          <w:sz w:val="20"/>
          <w:szCs w:val="20"/>
        </w:rPr>
      </w:pPr>
    </w:p>
    <w:p w14:paraId="57B81D16" w14:textId="77777777" w:rsidR="00BE36FB" w:rsidRPr="009B7B35" w:rsidRDefault="00BE36FB" w:rsidP="001A7107">
      <w:pPr>
        <w:contextualSpacing/>
        <w:rPr>
          <w:rFonts w:ascii="Arial" w:hAnsi="Arial" w:cs="Arial"/>
          <w:sz w:val="20"/>
          <w:szCs w:val="20"/>
        </w:rPr>
      </w:pPr>
    </w:p>
    <w:p w14:paraId="4D40C383" w14:textId="77777777" w:rsidR="00BE36FB" w:rsidRPr="009B7B35" w:rsidRDefault="00BE36FB" w:rsidP="001A7107">
      <w:pPr>
        <w:pStyle w:val="Highlightlinepink"/>
        <w:contextualSpacing/>
        <w:rPr>
          <w:rFonts w:ascii="Arial" w:hAnsi="Arial" w:cs="Arial"/>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48994F5B" w14:textId="77777777" w:rsidR="00BE36FB" w:rsidRPr="009B7B35" w:rsidRDefault="00BE36FB" w:rsidP="001A7107">
      <w:pPr>
        <w:pStyle w:val="Highlightlinepink"/>
        <w:contextualSpacing/>
        <w:rPr>
          <w:rFonts w:ascii="Arial" w:hAnsi="Arial" w:cs="Arial"/>
          <w:szCs w:val="20"/>
        </w:rPr>
      </w:pPr>
    </w:p>
    <w:p w14:paraId="3C863CF0" w14:textId="77777777" w:rsidR="00BE36FB" w:rsidRPr="009B7B35" w:rsidRDefault="00BE36FB" w:rsidP="001A7107">
      <w:pPr>
        <w:pStyle w:val="Highlightlinepink"/>
        <w:contextualSpacing/>
        <w:rPr>
          <w:rFonts w:ascii="Arial" w:hAnsi="Arial" w:cs="Arial"/>
          <w:szCs w:val="20"/>
        </w:rPr>
      </w:pPr>
      <w:r w:rsidRPr="009B7B35">
        <w:rPr>
          <w:rFonts w:ascii="Arial" w:hAnsi="Arial" w:cs="Arial"/>
          <w:szCs w:val="20"/>
        </w:rPr>
        <w:t>Highway townships</w:t>
      </w:r>
    </w:p>
    <w:p w14:paraId="04DC85BA"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docGrid w:linePitch="360"/>
        </w:sectPr>
      </w:pPr>
    </w:p>
    <w:p w14:paraId="1B02EF7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highway towns of Miriam Vale, Benaraby and Mount Larcom are well placed to provide enhanced services to the travelling public and to act as gateways into the wider Gladstone region. Highway related development is concentrated in the Township zone and includes short term accommodation in the form of motels and tourist parks, service stations with limited retail space and small scale shopping, food/refreshments and local tourism.</w:t>
      </w:r>
    </w:p>
    <w:p w14:paraId="5AA85E5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Miriam Vale, Benaraby, Bororen, Ambrose and Raglan each have spare capacity to cater for modest residential growth within their existing development footprints as identified in the Township zone.</w:t>
      </w:r>
    </w:p>
    <w:p w14:paraId="083955AE" w14:textId="77777777" w:rsidR="00BE36FB" w:rsidRPr="009B7B35" w:rsidRDefault="00BE36FB" w:rsidP="001A7107">
      <w:pPr>
        <w:contextualSpacing/>
        <w:rPr>
          <w:rFonts w:ascii="Arial" w:hAnsi="Arial" w:cs="Arial"/>
          <w:sz w:val="20"/>
          <w:szCs w:val="20"/>
        </w:rPr>
      </w:pPr>
    </w:p>
    <w:p w14:paraId="1A98AEA8"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While Mount Larcom has potential for further residential growth as a location for those working in nearby major industry, this will only occur where essential infrastructure can be provided to service development.</w:t>
      </w:r>
    </w:p>
    <w:p w14:paraId="6E713094" w14:textId="77777777" w:rsidR="00BE36FB" w:rsidRPr="009B7B35" w:rsidRDefault="00BE36FB" w:rsidP="001A7107">
      <w:pPr>
        <w:contextualSpacing/>
        <w:rPr>
          <w:rFonts w:ascii="Arial" w:hAnsi="Arial" w:cs="Arial"/>
          <w:sz w:val="20"/>
          <w:szCs w:val="20"/>
        </w:rPr>
      </w:pPr>
    </w:p>
    <w:p w14:paraId="07619DE6"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46F3250B" w14:textId="77777777" w:rsidR="00BE36FB" w:rsidRPr="009B7B35" w:rsidRDefault="00BE36FB" w:rsidP="001A7107">
      <w:pPr>
        <w:pStyle w:val="Highlightlinepink"/>
        <w:contextualSpacing/>
        <w:rPr>
          <w:rFonts w:ascii="Arial" w:hAnsi="Arial" w:cs="Arial"/>
          <w:szCs w:val="20"/>
        </w:rPr>
      </w:pPr>
      <w:r w:rsidRPr="009B7B35">
        <w:rPr>
          <w:rFonts w:ascii="Arial" w:hAnsi="Arial" w:cs="Arial"/>
          <w:szCs w:val="20"/>
        </w:rPr>
        <w:t>Southern townships and places</w:t>
      </w:r>
    </w:p>
    <w:p w14:paraId="78E10271"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6B279505"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Baffle Creek/Rules Beach is a strategically located but loosely structured rural community with a significantly fragmented rural hinterland. It has poor connectivity to commercial and community facilities and lacks essential infrastructure. Flooding constraints, infrastructure provision and access will determine future growth prospects in this area.</w:t>
      </w:r>
    </w:p>
    <w:p w14:paraId="688CD747" w14:textId="77777777" w:rsidR="00BE36FB" w:rsidRPr="009B7B35" w:rsidRDefault="00BE36FB" w:rsidP="001A7107">
      <w:pPr>
        <w:contextualSpacing/>
        <w:rPr>
          <w:rFonts w:ascii="Arial" w:hAnsi="Arial" w:cs="Arial"/>
          <w:sz w:val="20"/>
          <w:szCs w:val="20"/>
        </w:rPr>
      </w:pPr>
    </w:p>
    <w:p w14:paraId="7E2B9F5F"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Rosedale provides community and educational focus for the southern region. Its development </w:t>
      </w:r>
      <w:r w:rsidRPr="009B7B35">
        <w:rPr>
          <w:rFonts w:ascii="Arial" w:hAnsi="Arial" w:cs="Arial"/>
          <w:sz w:val="20"/>
          <w:szCs w:val="20"/>
        </w:rPr>
        <w:br w:type="column"/>
        <w:t>footprint in the Township zone is sufficient to meet the needs of its intended growth and further expansion is not supported during the life of this planning scheme.</w:t>
      </w:r>
    </w:p>
    <w:p w14:paraId="6A8E04E2" w14:textId="77777777" w:rsidR="00BE36FB" w:rsidRPr="009B7B35" w:rsidRDefault="00BE36FB" w:rsidP="001A7107">
      <w:pPr>
        <w:contextualSpacing/>
        <w:rPr>
          <w:rFonts w:ascii="Arial" w:hAnsi="Arial" w:cs="Arial"/>
          <w:sz w:val="20"/>
          <w:szCs w:val="20"/>
        </w:rPr>
      </w:pPr>
    </w:p>
    <w:p w14:paraId="655E383A"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Whilst oil shale deposits have been identified in proximity to the Lowmead township, further intensification of development within the Township zone is not supported in Lowmead due to flooding and access constraints.</w:t>
      </w:r>
    </w:p>
    <w:p w14:paraId="6A9FF903" w14:textId="77777777" w:rsidR="00BE36FB" w:rsidRPr="009B7B35" w:rsidRDefault="00BE36FB" w:rsidP="001A7107">
      <w:pPr>
        <w:contextualSpacing/>
        <w:rPr>
          <w:rFonts w:ascii="Arial" w:hAnsi="Arial" w:cs="Arial"/>
          <w:sz w:val="20"/>
          <w:szCs w:val="20"/>
        </w:rPr>
      </w:pPr>
    </w:p>
    <w:p w14:paraId="1620D02B" w14:textId="77777777" w:rsidR="00BE36FB" w:rsidRPr="009B7B35" w:rsidRDefault="00BE36FB" w:rsidP="001A7107">
      <w:pPr>
        <w:contextualSpacing/>
        <w:rPr>
          <w:rFonts w:ascii="Arial" w:hAnsi="Arial" w:cs="Arial"/>
          <w:sz w:val="20"/>
          <w:szCs w:val="20"/>
        </w:rPr>
      </w:pPr>
    </w:p>
    <w:p w14:paraId="03DEC091" w14:textId="77777777" w:rsidR="00BE36FB" w:rsidRPr="009B7B35" w:rsidRDefault="00BE36FB" w:rsidP="001A7107">
      <w:pPr>
        <w:pStyle w:val="Highlightlinepink"/>
        <w:contextualSpacing/>
        <w:rPr>
          <w:rFonts w:ascii="Arial" w:hAnsi="Arial" w:cs="Arial"/>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138E1DF8" w14:textId="77777777" w:rsidR="00BE36FB" w:rsidRPr="009B7B35" w:rsidRDefault="00BE36FB" w:rsidP="001A7107">
      <w:pPr>
        <w:pStyle w:val="Highlightlinepink"/>
        <w:contextualSpacing/>
        <w:rPr>
          <w:rFonts w:ascii="Arial" w:hAnsi="Arial" w:cs="Arial"/>
          <w:szCs w:val="20"/>
        </w:rPr>
      </w:pPr>
      <w:r w:rsidRPr="009B7B35">
        <w:rPr>
          <w:rFonts w:ascii="Arial" w:hAnsi="Arial" w:cs="Arial"/>
          <w:szCs w:val="20"/>
        </w:rPr>
        <w:t>Boyne Valley townships and places</w:t>
      </w:r>
    </w:p>
    <w:p w14:paraId="4E207BC6"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4F393C1C"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Though small, the Boyne Valley villages of Ubobo, Nagoorin, Builyan and Many Peaks provide a strong community focus for their wider rural communities. Small scale tourist development including the promotion of the heritage values of Many Peaks is supported.</w:t>
      </w:r>
    </w:p>
    <w:p w14:paraId="61C3EE90" w14:textId="77777777" w:rsidR="00BE36FB" w:rsidRPr="009B7B35" w:rsidRDefault="00BE36FB" w:rsidP="001A7107">
      <w:pPr>
        <w:contextualSpacing/>
        <w:rPr>
          <w:rFonts w:ascii="Arial" w:hAnsi="Arial" w:cs="Arial"/>
          <w:sz w:val="20"/>
          <w:szCs w:val="20"/>
        </w:rPr>
      </w:pPr>
    </w:p>
    <w:p w14:paraId="34A3F5D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br w:type="column"/>
        <w:t>Ubobo and Nagoorin are within proximity to shale oil and coal seam gas reserves. Development of those resources must not adversely impact on the water quality of Lake Awoonga and the character, economic and agricultural roles of those villages.</w:t>
      </w:r>
    </w:p>
    <w:p w14:paraId="111ADF52" w14:textId="77777777" w:rsidR="00BE36FB" w:rsidRPr="009B7B35" w:rsidRDefault="00BE36FB" w:rsidP="001A7107">
      <w:pPr>
        <w:contextualSpacing/>
        <w:rPr>
          <w:rFonts w:ascii="Arial" w:hAnsi="Arial" w:cs="Arial"/>
          <w:sz w:val="20"/>
          <w:szCs w:val="20"/>
        </w:rPr>
      </w:pPr>
    </w:p>
    <w:p w14:paraId="4EF618B1" w14:textId="77777777" w:rsidR="00BE36FB" w:rsidRPr="009B7B35" w:rsidRDefault="00BE36FB" w:rsidP="001A7107">
      <w:pPr>
        <w:contextualSpacing/>
        <w:rPr>
          <w:rFonts w:ascii="Arial" w:hAnsi="Arial" w:cs="Arial"/>
          <w:sz w:val="20"/>
          <w:szCs w:val="20"/>
        </w:rPr>
      </w:pPr>
    </w:p>
    <w:p w14:paraId="521E1837" w14:textId="77777777" w:rsidR="00BE36FB" w:rsidRPr="009B7B35" w:rsidRDefault="00BE36FB" w:rsidP="001A7107">
      <w:pPr>
        <w:pStyle w:val="Highlightlinepink"/>
        <w:contextualSpacing/>
        <w:rPr>
          <w:rFonts w:ascii="Arial" w:hAnsi="Arial" w:cs="Arial"/>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6793CE9E" w14:textId="77777777" w:rsidR="00BE36FB" w:rsidRPr="009B7B35" w:rsidRDefault="00BE36FB" w:rsidP="001A7107">
      <w:pPr>
        <w:pStyle w:val="Highlightlinepink"/>
        <w:contextualSpacing/>
        <w:rPr>
          <w:rFonts w:ascii="Arial" w:hAnsi="Arial" w:cs="Arial"/>
          <w:szCs w:val="20"/>
        </w:rPr>
      </w:pPr>
      <w:r w:rsidRPr="009B7B35">
        <w:rPr>
          <w:rFonts w:ascii="Arial" w:hAnsi="Arial" w:cs="Arial"/>
          <w:szCs w:val="20"/>
        </w:rPr>
        <w:t>Northern townships and places</w:t>
      </w:r>
    </w:p>
    <w:p w14:paraId="2C6A7F08"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0C982482"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Yarwun is a very small community adjoining the Gladstone State Development Area and no further expansion is supported.</w:t>
      </w:r>
    </w:p>
    <w:p w14:paraId="43BD5775" w14:textId="77777777" w:rsidR="00BE36FB" w:rsidRPr="009B7B35" w:rsidRDefault="00BE36FB" w:rsidP="001A7107">
      <w:pPr>
        <w:contextualSpacing/>
        <w:rPr>
          <w:rFonts w:ascii="Arial" w:hAnsi="Arial" w:cs="Arial"/>
          <w:sz w:val="20"/>
          <w:szCs w:val="20"/>
        </w:rPr>
      </w:pPr>
    </w:p>
    <w:p w14:paraId="51D1013D" w14:textId="77777777" w:rsidR="00BE36FB" w:rsidRPr="009B7B35" w:rsidRDefault="00BE36FB" w:rsidP="001A7107">
      <w:pPr>
        <w:contextualSpacing/>
        <w:rPr>
          <w:rFonts w:ascii="Arial" w:hAnsi="Arial" w:cs="Arial"/>
          <w:sz w:val="20"/>
          <w:szCs w:val="20"/>
        </w:rPr>
      </w:pPr>
    </w:p>
    <w:p w14:paraId="5A2963EA" w14:textId="77777777" w:rsidR="00BE36FB" w:rsidRPr="009B7B35" w:rsidRDefault="00BE36FB" w:rsidP="001A7107">
      <w:pPr>
        <w:contextualSpacing/>
        <w:rPr>
          <w:rFonts w:ascii="Arial" w:hAnsi="Arial" w:cs="Arial"/>
          <w:sz w:val="20"/>
          <w:szCs w:val="20"/>
        </w:rPr>
      </w:pPr>
    </w:p>
    <w:p w14:paraId="00EAF149" w14:textId="77777777" w:rsidR="00BE36FB" w:rsidRPr="009B7B35" w:rsidRDefault="00BE36FB" w:rsidP="001A7107">
      <w:pPr>
        <w:contextualSpacing/>
        <w:rPr>
          <w:rFonts w:ascii="Arial" w:hAnsi="Arial" w:cs="Arial"/>
          <w:sz w:val="20"/>
          <w:szCs w:val="20"/>
        </w:rPr>
      </w:pPr>
    </w:p>
    <w:p w14:paraId="503738DD" w14:textId="77777777" w:rsidR="00BE36FB" w:rsidRPr="009B7B35" w:rsidRDefault="00BE36FB" w:rsidP="001A7107">
      <w:pPr>
        <w:contextualSpacing/>
        <w:rPr>
          <w:rFonts w:ascii="Arial" w:hAnsi="Arial" w:cs="Arial"/>
          <w:sz w:val="20"/>
          <w:szCs w:val="20"/>
        </w:rPr>
      </w:pPr>
    </w:p>
    <w:p w14:paraId="718D4ABA"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num="2" w:space="709"/>
          <w:titlePg/>
          <w:docGrid w:linePitch="360"/>
        </w:sectPr>
      </w:pPr>
    </w:p>
    <w:p w14:paraId="5478C212" w14:textId="77777777" w:rsidR="00BE36FB" w:rsidRPr="009B7B35" w:rsidRDefault="00BE36FB" w:rsidP="001A7107">
      <w:pPr>
        <w:pStyle w:val="Highlightlinepink"/>
        <w:contextualSpacing/>
        <w:rPr>
          <w:rFonts w:ascii="Arial" w:hAnsi="Arial" w:cs="Arial"/>
          <w:szCs w:val="20"/>
        </w:rPr>
      </w:pPr>
      <w:r w:rsidRPr="009B7B35">
        <w:rPr>
          <w:rFonts w:ascii="Arial" w:hAnsi="Arial" w:cs="Arial"/>
          <w:szCs w:val="20"/>
        </w:rPr>
        <w:t>Islands</w:t>
      </w:r>
    </w:p>
    <w:p w14:paraId="37BA1A29" w14:textId="77777777" w:rsidR="00BE36FB" w:rsidRPr="009B7B35" w:rsidRDefault="00BE36FB" w:rsidP="001A7107">
      <w:pPr>
        <w:contextualSpacing/>
        <w:rPr>
          <w:rFonts w:ascii="Arial" w:hAnsi="Arial" w:cs="Arial"/>
          <w:sz w:val="20"/>
          <w:szCs w:val="20"/>
        </w:rPr>
        <w:sectPr w:rsidR="00BE36FB" w:rsidRPr="009B7B35" w:rsidSect="001A7107">
          <w:type w:val="continuous"/>
          <w:pgSz w:w="11906" w:h="16838" w:code="9"/>
          <w:pgMar w:top="1418" w:right="1134" w:bottom="1418" w:left="1134" w:header="567" w:footer="567" w:gutter="284"/>
          <w:cols w:space="709"/>
          <w:titlePg/>
          <w:docGrid w:linePitch="360"/>
        </w:sectPr>
      </w:pPr>
    </w:p>
    <w:p w14:paraId="798A66C4"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The Gladstone region encompasses a number of harbour, nearshore and offshore islands within the Capricorn Group. The largest island, Curtis Island, lies partly within the Gladstone State Development Area and supports global scale liquefied natural gas facilities along with temporary accommodation of workers. It also supports areas of environmental significance and the small village of South End.</w:t>
      </w:r>
    </w:p>
    <w:p w14:paraId="4D955F2B" w14:textId="77777777" w:rsidR="00BE36FB" w:rsidRPr="009B7B35" w:rsidRDefault="00BE36FB" w:rsidP="001A7107">
      <w:pPr>
        <w:contextualSpacing/>
        <w:rPr>
          <w:rFonts w:ascii="Arial" w:hAnsi="Arial" w:cs="Arial"/>
          <w:sz w:val="20"/>
          <w:szCs w:val="20"/>
        </w:rPr>
      </w:pPr>
    </w:p>
    <w:p w14:paraId="7670D919"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Hummock Hill is the largest of the nearshore islands and has historically been the subject of a number of large development proposals. Any tourist development on Curtis and Hummock Hill Islands is of low scale and provides accommodation only for guests and employees engaged in that development.</w:t>
      </w:r>
    </w:p>
    <w:p w14:paraId="6245842C" w14:textId="77777777" w:rsidR="00BE36FB" w:rsidRPr="009B7B35" w:rsidRDefault="00BE36FB" w:rsidP="001A7107">
      <w:pPr>
        <w:contextualSpacing/>
        <w:rPr>
          <w:rFonts w:ascii="Arial" w:hAnsi="Arial" w:cs="Arial"/>
          <w:sz w:val="20"/>
          <w:szCs w:val="20"/>
        </w:rPr>
      </w:pPr>
    </w:p>
    <w:p w14:paraId="1FEC8200"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 xml:space="preserve">Outside of the Gladstone State Development Area, building design, height, scale and bulk of development is small scale and sensitive to the Great Barrier Reef Marine Park setting and adjacent fisheries resources. </w:t>
      </w:r>
    </w:p>
    <w:p w14:paraId="4F43F0B2"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Of the harbour islands Curtis, Facing, Quoin, Tide, Witt and Compigne are partially or wholly privately owned. Future development of the harbour islands is limited to the existing urban footprint and consistent with the scale of development in the area which is characterised by single dwelling houses.</w:t>
      </w:r>
    </w:p>
    <w:p w14:paraId="7C75CD6E" w14:textId="77777777" w:rsidR="00BE36FB" w:rsidRPr="009B7B35" w:rsidRDefault="00BE36FB" w:rsidP="001A7107">
      <w:pPr>
        <w:pStyle w:val="Highlightlinepink"/>
        <w:contextualSpacing/>
        <w:rPr>
          <w:rFonts w:ascii="Arial" w:hAnsi="Arial" w:cs="Arial"/>
          <w:szCs w:val="20"/>
        </w:rPr>
      </w:pPr>
      <w:r w:rsidRPr="009B7B35">
        <w:rPr>
          <w:rFonts w:ascii="Arial" w:hAnsi="Arial" w:cs="Arial"/>
          <w:szCs w:val="20"/>
        </w:rPr>
        <w:t>Mapping</w:t>
      </w:r>
    </w:p>
    <w:p w14:paraId="4E56DCF6" w14:textId="77777777" w:rsidR="00BE36FB" w:rsidRPr="009B7B35" w:rsidRDefault="00BE36FB" w:rsidP="001A7107">
      <w:pPr>
        <w:contextualSpacing/>
        <w:rPr>
          <w:rFonts w:ascii="Arial" w:hAnsi="Arial" w:cs="Arial"/>
          <w:sz w:val="20"/>
          <w:szCs w:val="20"/>
        </w:rPr>
      </w:pPr>
      <w:r w:rsidRPr="009B7B35">
        <w:rPr>
          <w:rFonts w:ascii="Arial" w:hAnsi="Arial" w:cs="Arial"/>
          <w:sz w:val="20"/>
          <w:szCs w:val="20"/>
        </w:rPr>
        <w:t>Strategic Framework Map Our Rural and Coastal Townships and Places Schedule 2.</w:t>
      </w:r>
    </w:p>
    <w:p w14:paraId="7567A7B3" w14:textId="77777777" w:rsidR="000D716B" w:rsidRDefault="000D716B">
      <w:pPr>
        <w:rPr>
          <w:rFonts w:ascii="Arial" w:hAnsi="Arial" w:cs="Arial"/>
          <w:sz w:val="20"/>
          <w:szCs w:val="20"/>
        </w:rPr>
      </w:pPr>
      <w:r>
        <w:rPr>
          <w:rFonts w:ascii="Arial" w:hAnsi="Arial" w:cs="Arial"/>
          <w:sz w:val="20"/>
          <w:szCs w:val="20"/>
        </w:rPr>
        <w:br w:type="page"/>
      </w:r>
    </w:p>
    <w:p w14:paraId="2499722B" w14:textId="77777777" w:rsidR="00BE36FB" w:rsidRPr="009B7B35" w:rsidRDefault="00BE36FB" w:rsidP="001A7107">
      <w:pPr>
        <w:pStyle w:val="Heading1"/>
        <w:numPr>
          <w:ilvl w:val="0"/>
          <w:numId w:val="0"/>
        </w:numPr>
        <w:rPr>
          <w:rFonts w:ascii="Arial" w:hAnsi="Arial"/>
          <w:sz w:val="20"/>
          <w:szCs w:val="20"/>
        </w:rPr>
      </w:pPr>
      <w:bookmarkStart w:id="122" w:name="_Toc205367315"/>
      <w:bookmarkStart w:id="123" w:name="_Toc402447476"/>
      <w:r w:rsidRPr="009B7B35">
        <w:rPr>
          <w:rFonts w:ascii="Arial" w:hAnsi="Arial"/>
          <w:sz w:val="20"/>
          <w:szCs w:val="20"/>
        </w:rPr>
        <w:t>Part 4</w:t>
      </w:r>
      <w:r w:rsidRPr="009B7B35">
        <w:rPr>
          <w:rFonts w:ascii="Arial" w:hAnsi="Arial"/>
          <w:sz w:val="20"/>
          <w:szCs w:val="20"/>
        </w:rPr>
        <w:tab/>
        <w:t>Local Government Infrastructure Plan (LGIP)</w:t>
      </w:r>
      <w:bookmarkEnd w:id="122"/>
    </w:p>
    <w:p w14:paraId="2DBDA414" w14:textId="3C959ED5" w:rsidR="00BE36FB" w:rsidRPr="009B7B35" w:rsidRDefault="00BE36FB" w:rsidP="00C148A6">
      <w:pPr>
        <w:pStyle w:val="Heading2"/>
        <w:numPr>
          <w:ilvl w:val="1"/>
          <w:numId w:val="880"/>
        </w:numPr>
        <w:ind w:left="851" w:hanging="851"/>
        <w:rPr>
          <w:rFonts w:ascii="Arial" w:hAnsi="Arial"/>
          <w:sz w:val="20"/>
          <w:szCs w:val="20"/>
        </w:rPr>
      </w:pPr>
      <w:bookmarkStart w:id="124" w:name="_Toc205367316"/>
      <w:r w:rsidRPr="009B7B35">
        <w:rPr>
          <w:rFonts w:ascii="Arial" w:hAnsi="Arial"/>
          <w:sz w:val="20"/>
          <w:szCs w:val="20"/>
        </w:rPr>
        <w:t>Preliminary</w:t>
      </w:r>
      <w:bookmarkEnd w:id="123"/>
      <w:bookmarkEnd w:id="124"/>
    </w:p>
    <w:p w14:paraId="5F4C5F8B" w14:textId="5E45BA1A" w:rsidR="00BE36FB" w:rsidRPr="009B7B35" w:rsidRDefault="00BE36FB" w:rsidP="006776DA">
      <w:pPr>
        <w:pStyle w:val="Heading3"/>
        <w:numPr>
          <w:ilvl w:val="2"/>
          <w:numId w:val="880"/>
        </w:numPr>
        <w:spacing w:before="240"/>
        <w:ind w:left="851" w:hanging="851"/>
        <w:rPr>
          <w:rFonts w:ascii="Arial" w:hAnsi="Arial"/>
          <w:sz w:val="20"/>
          <w:szCs w:val="20"/>
        </w:rPr>
      </w:pPr>
      <w:bookmarkStart w:id="125" w:name="_Toc402447477"/>
      <w:bookmarkStart w:id="126" w:name="_Toc205367317"/>
      <w:r w:rsidRPr="009B7B35">
        <w:rPr>
          <w:rFonts w:ascii="Arial" w:hAnsi="Arial"/>
          <w:sz w:val="20"/>
          <w:szCs w:val="20"/>
        </w:rPr>
        <w:t>Introduction</w:t>
      </w:r>
      <w:bookmarkEnd w:id="125"/>
      <w:bookmarkEnd w:id="126"/>
    </w:p>
    <w:p w14:paraId="0FFA2DE4"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This Local Government Infrastructure Plan (LGIP) has been prepared in accordance with the requirements of the </w:t>
      </w:r>
      <w:r w:rsidRPr="009B7B35">
        <w:rPr>
          <w:rStyle w:val="Emphasis"/>
          <w:rFonts w:ascii="Arial" w:hAnsi="Arial" w:cs="Arial"/>
          <w:sz w:val="20"/>
          <w:szCs w:val="20"/>
        </w:rPr>
        <w:t>Sustainable Planning Act 2009</w:t>
      </w:r>
      <w:r w:rsidRPr="009B7B35">
        <w:rPr>
          <w:rFonts w:ascii="Arial" w:hAnsi="Arial" w:cs="Arial"/>
          <w:sz w:val="20"/>
          <w:szCs w:val="20"/>
        </w:rPr>
        <w:t xml:space="preserve"> (repealed).</w:t>
      </w:r>
    </w:p>
    <w:p w14:paraId="0BBF47DE" w14:textId="77777777" w:rsidR="00BE36FB" w:rsidRPr="009B7B35" w:rsidRDefault="00BE36FB" w:rsidP="001A7107">
      <w:pPr>
        <w:rPr>
          <w:rFonts w:ascii="Arial" w:hAnsi="Arial" w:cs="Arial"/>
          <w:sz w:val="20"/>
          <w:szCs w:val="20"/>
        </w:rPr>
      </w:pPr>
    </w:p>
    <w:p w14:paraId="4434C06D" w14:textId="77777777" w:rsidR="00BE36FB" w:rsidRPr="009B7B35" w:rsidRDefault="00BE36FB" w:rsidP="001A7107">
      <w:pPr>
        <w:rPr>
          <w:rFonts w:ascii="Arial" w:hAnsi="Arial" w:cs="Arial"/>
          <w:sz w:val="20"/>
          <w:szCs w:val="20"/>
        </w:rPr>
      </w:pPr>
      <w:r w:rsidRPr="009B7B35">
        <w:rPr>
          <w:rFonts w:ascii="Arial" w:hAnsi="Arial" w:cs="Arial"/>
          <w:sz w:val="20"/>
          <w:szCs w:val="20"/>
        </w:rPr>
        <w:t>The LGIP applies to the area covered by the Gladstone Regional Council Planning Scheme.</w:t>
      </w:r>
    </w:p>
    <w:p w14:paraId="36C6F8F4" w14:textId="663BAE30" w:rsidR="00BE36FB" w:rsidRPr="009B7B35" w:rsidRDefault="00BE36FB" w:rsidP="006776DA">
      <w:pPr>
        <w:pStyle w:val="Heading3"/>
        <w:numPr>
          <w:ilvl w:val="2"/>
          <w:numId w:val="880"/>
        </w:numPr>
        <w:spacing w:before="240"/>
        <w:ind w:left="851" w:hanging="851"/>
        <w:rPr>
          <w:rFonts w:ascii="Arial" w:hAnsi="Arial"/>
          <w:sz w:val="20"/>
          <w:szCs w:val="20"/>
        </w:rPr>
      </w:pPr>
      <w:bookmarkStart w:id="127" w:name="_Toc402447478"/>
      <w:bookmarkStart w:id="128" w:name="_Toc205367318"/>
      <w:r w:rsidRPr="009B7B35">
        <w:rPr>
          <w:rFonts w:ascii="Arial" w:hAnsi="Arial"/>
          <w:sz w:val="20"/>
          <w:szCs w:val="20"/>
        </w:rPr>
        <w:t>Purpose</w:t>
      </w:r>
      <w:bookmarkEnd w:id="127"/>
      <w:bookmarkEnd w:id="128"/>
    </w:p>
    <w:p w14:paraId="0A497CF0" w14:textId="77777777" w:rsidR="00BE36FB" w:rsidRPr="009B7B35" w:rsidRDefault="00BE36FB" w:rsidP="001A7107">
      <w:pPr>
        <w:rPr>
          <w:rFonts w:ascii="Arial" w:hAnsi="Arial" w:cs="Arial"/>
          <w:sz w:val="20"/>
          <w:szCs w:val="20"/>
        </w:rPr>
      </w:pPr>
      <w:r w:rsidRPr="009B7B35">
        <w:rPr>
          <w:rFonts w:ascii="Arial" w:hAnsi="Arial" w:cs="Arial"/>
          <w:sz w:val="20"/>
          <w:szCs w:val="20"/>
        </w:rPr>
        <w:t>The purpose of the Local Government Infrastructure Plan is to:</w:t>
      </w:r>
    </w:p>
    <w:p w14:paraId="404AC3ED" w14:textId="77777777" w:rsidR="00BE36FB" w:rsidRPr="009B7B35" w:rsidRDefault="00BE36FB" w:rsidP="00BE36FB">
      <w:pPr>
        <w:numPr>
          <w:ilvl w:val="0"/>
          <w:numId w:val="43"/>
        </w:numPr>
        <w:rPr>
          <w:rFonts w:ascii="Arial" w:hAnsi="Arial" w:cs="Arial"/>
          <w:sz w:val="20"/>
          <w:szCs w:val="20"/>
        </w:rPr>
      </w:pPr>
      <w:r w:rsidRPr="009B7B35">
        <w:rPr>
          <w:rFonts w:ascii="Arial" w:eastAsia="Arial" w:hAnsi="Arial" w:cs="Arial"/>
          <w:sz w:val="20"/>
          <w:szCs w:val="20"/>
        </w:rPr>
        <w:t>Integrate infrastructure planning with the land use planning.</w:t>
      </w:r>
    </w:p>
    <w:p w14:paraId="0F4B328B" w14:textId="77777777" w:rsidR="00BE36FB" w:rsidRPr="009B7B35" w:rsidRDefault="00BE36FB" w:rsidP="00BE36FB">
      <w:pPr>
        <w:numPr>
          <w:ilvl w:val="0"/>
          <w:numId w:val="43"/>
        </w:numPr>
        <w:rPr>
          <w:rFonts w:ascii="Arial" w:hAnsi="Arial" w:cs="Arial"/>
          <w:sz w:val="20"/>
          <w:szCs w:val="20"/>
        </w:rPr>
      </w:pPr>
      <w:r w:rsidRPr="009B7B35">
        <w:rPr>
          <w:rFonts w:ascii="Arial" w:eastAsia="Arial" w:hAnsi="Arial" w:cs="Arial"/>
          <w:sz w:val="20"/>
          <w:szCs w:val="20"/>
        </w:rPr>
        <w:t>Provide transparency regarding a local government’s intentions for the provision of trunk infrastructure.</w:t>
      </w:r>
    </w:p>
    <w:p w14:paraId="52DEB0FF" w14:textId="77777777" w:rsidR="00BE36FB" w:rsidRPr="009B7B35" w:rsidRDefault="00BE36FB" w:rsidP="00BE36FB">
      <w:pPr>
        <w:numPr>
          <w:ilvl w:val="0"/>
          <w:numId w:val="43"/>
        </w:numPr>
        <w:rPr>
          <w:rFonts w:ascii="Arial" w:hAnsi="Arial" w:cs="Arial"/>
          <w:sz w:val="20"/>
          <w:szCs w:val="20"/>
        </w:rPr>
      </w:pPr>
      <w:r w:rsidRPr="009B7B35">
        <w:rPr>
          <w:rFonts w:ascii="Arial" w:eastAsia="Arial" w:hAnsi="Arial" w:cs="Arial"/>
          <w:sz w:val="20"/>
          <w:szCs w:val="20"/>
        </w:rPr>
        <w:t>Enable a local government to estimate the cost of future infrastructure provision to assist its long term financial planning.</w:t>
      </w:r>
    </w:p>
    <w:p w14:paraId="443910CF" w14:textId="77777777" w:rsidR="00BE36FB" w:rsidRPr="009B7B35" w:rsidRDefault="00BE36FB" w:rsidP="00BE36FB">
      <w:pPr>
        <w:numPr>
          <w:ilvl w:val="0"/>
          <w:numId w:val="43"/>
        </w:numPr>
        <w:rPr>
          <w:rFonts w:ascii="Arial" w:hAnsi="Arial" w:cs="Arial"/>
          <w:sz w:val="20"/>
          <w:szCs w:val="20"/>
        </w:rPr>
      </w:pPr>
      <w:r w:rsidRPr="009B7B35">
        <w:rPr>
          <w:rFonts w:ascii="Arial" w:eastAsia="Arial" w:hAnsi="Arial" w:cs="Arial"/>
          <w:sz w:val="20"/>
          <w:szCs w:val="20"/>
        </w:rPr>
        <w:t>Ensure that trunk infrastructure is planned and provided in an efficient and orderly manner.</w:t>
      </w:r>
    </w:p>
    <w:p w14:paraId="5C46BDCC" w14:textId="77777777" w:rsidR="00BE36FB" w:rsidRPr="009B7B35" w:rsidRDefault="00BE36FB" w:rsidP="00BE36FB">
      <w:pPr>
        <w:numPr>
          <w:ilvl w:val="0"/>
          <w:numId w:val="43"/>
        </w:numPr>
        <w:rPr>
          <w:rFonts w:ascii="Arial" w:hAnsi="Arial" w:cs="Arial"/>
          <w:sz w:val="20"/>
          <w:szCs w:val="20"/>
        </w:rPr>
      </w:pPr>
      <w:r w:rsidRPr="009B7B35">
        <w:rPr>
          <w:rFonts w:ascii="Arial" w:eastAsia="Arial" w:hAnsi="Arial" w:cs="Arial"/>
          <w:sz w:val="20"/>
          <w:szCs w:val="20"/>
        </w:rPr>
        <w:t>Provide a basis for the imposition of conditions about infrastructure on development approvals.</w:t>
      </w:r>
    </w:p>
    <w:p w14:paraId="20EC2AD4" w14:textId="77777777" w:rsidR="00BE36FB" w:rsidRPr="009B7B35" w:rsidRDefault="00BE36FB" w:rsidP="006776DA">
      <w:pPr>
        <w:pStyle w:val="Heading3"/>
        <w:numPr>
          <w:ilvl w:val="2"/>
          <w:numId w:val="880"/>
        </w:numPr>
        <w:spacing w:before="240"/>
        <w:ind w:left="851" w:hanging="851"/>
        <w:rPr>
          <w:rFonts w:ascii="Arial" w:hAnsi="Arial"/>
          <w:sz w:val="20"/>
          <w:szCs w:val="20"/>
        </w:rPr>
      </w:pPr>
      <w:bookmarkStart w:id="129" w:name="_Toc402447479"/>
      <w:bookmarkStart w:id="130" w:name="_Toc205367319"/>
      <w:r w:rsidRPr="009B7B35">
        <w:rPr>
          <w:rFonts w:ascii="Arial" w:hAnsi="Arial"/>
          <w:sz w:val="20"/>
          <w:szCs w:val="20"/>
        </w:rPr>
        <w:t>Structure of Local Government Infrastructure Plan</w:t>
      </w:r>
      <w:bookmarkEnd w:id="129"/>
      <w:bookmarkEnd w:id="130"/>
    </w:p>
    <w:p w14:paraId="1F33DA30" w14:textId="77777777" w:rsidR="00BE36FB" w:rsidRPr="009B7B35" w:rsidRDefault="00BE36FB" w:rsidP="001A7107">
      <w:pPr>
        <w:rPr>
          <w:rFonts w:ascii="Arial" w:hAnsi="Arial" w:cs="Arial"/>
          <w:sz w:val="20"/>
          <w:szCs w:val="20"/>
        </w:rPr>
      </w:pPr>
      <w:r w:rsidRPr="009B7B35">
        <w:rPr>
          <w:rFonts w:ascii="Arial" w:hAnsi="Arial" w:cs="Arial"/>
          <w:sz w:val="20"/>
          <w:szCs w:val="20"/>
        </w:rPr>
        <w:t>The Local Government Infrastructure Plan:</w:t>
      </w:r>
    </w:p>
    <w:p w14:paraId="23462EBE" w14:textId="77777777" w:rsidR="00BE36FB" w:rsidRPr="009B7B35" w:rsidRDefault="00BE36FB" w:rsidP="00BE36FB">
      <w:pPr>
        <w:numPr>
          <w:ilvl w:val="0"/>
          <w:numId w:val="44"/>
        </w:numPr>
        <w:rPr>
          <w:rFonts w:ascii="Arial" w:hAnsi="Arial" w:cs="Arial"/>
          <w:sz w:val="20"/>
          <w:szCs w:val="20"/>
        </w:rPr>
      </w:pPr>
      <w:r w:rsidRPr="009B7B35">
        <w:rPr>
          <w:rFonts w:ascii="Arial" w:eastAsia="Arial" w:hAnsi="Arial" w:cs="Arial"/>
          <w:sz w:val="20"/>
          <w:szCs w:val="20"/>
        </w:rPr>
        <w:t>States in Section 4.2.2 (Planning assumptions - Population and employment growth) the assumptions about future growth and urban development including the assumptions of demand for each trunk infrastructure network.</w:t>
      </w:r>
    </w:p>
    <w:p w14:paraId="567BF78E" w14:textId="77777777" w:rsidR="00BE36FB" w:rsidRPr="009B7B35" w:rsidRDefault="00BE36FB" w:rsidP="00BE36FB">
      <w:pPr>
        <w:numPr>
          <w:ilvl w:val="0"/>
          <w:numId w:val="44"/>
        </w:numPr>
        <w:rPr>
          <w:rFonts w:ascii="Arial" w:hAnsi="Arial" w:cs="Arial"/>
          <w:sz w:val="20"/>
          <w:szCs w:val="20"/>
        </w:rPr>
      </w:pPr>
      <w:r w:rsidRPr="009B7B35">
        <w:rPr>
          <w:rFonts w:ascii="Arial" w:eastAsia="Arial" w:hAnsi="Arial" w:cs="Arial"/>
          <w:sz w:val="20"/>
          <w:szCs w:val="20"/>
        </w:rPr>
        <w:t>Identifies in Section 4.2.3.1 (Priority Infrastructure Area) the prioritised area to accommodate urban growth up to 2031.</w:t>
      </w:r>
    </w:p>
    <w:p w14:paraId="6CD4D5D4" w14:textId="77777777" w:rsidR="00BE36FB" w:rsidRPr="009B7B35" w:rsidRDefault="00BE36FB" w:rsidP="00BE36FB">
      <w:pPr>
        <w:numPr>
          <w:ilvl w:val="0"/>
          <w:numId w:val="44"/>
        </w:numPr>
        <w:rPr>
          <w:rFonts w:ascii="Arial" w:hAnsi="Arial" w:cs="Arial"/>
          <w:sz w:val="20"/>
          <w:szCs w:val="20"/>
        </w:rPr>
      </w:pPr>
      <w:r w:rsidRPr="009B7B35">
        <w:rPr>
          <w:rFonts w:ascii="Arial" w:eastAsia="Arial" w:hAnsi="Arial" w:cs="Arial"/>
          <w:sz w:val="20"/>
          <w:szCs w:val="20"/>
        </w:rPr>
        <w:t>States in Section 4.2.4 (Desired standards of service) for each trunk infrastructure network the desired standard of performance.</w:t>
      </w:r>
    </w:p>
    <w:p w14:paraId="3C1C1EA7" w14:textId="77777777" w:rsidR="00BE36FB" w:rsidRPr="009B7B35" w:rsidRDefault="00BE36FB" w:rsidP="00BE36FB">
      <w:pPr>
        <w:numPr>
          <w:ilvl w:val="0"/>
          <w:numId w:val="44"/>
        </w:numPr>
        <w:rPr>
          <w:rFonts w:ascii="Arial" w:hAnsi="Arial" w:cs="Arial"/>
          <w:sz w:val="20"/>
          <w:szCs w:val="20"/>
        </w:rPr>
      </w:pPr>
      <w:r w:rsidRPr="009B7B35">
        <w:rPr>
          <w:rFonts w:ascii="Arial" w:eastAsia="Arial" w:hAnsi="Arial" w:cs="Arial"/>
          <w:sz w:val="20"/>
          <w:szCs w:val="20"/>
        </w:rPr>
        <w:t>Identifies in Sections 4.2.5 and 4.2.6 (Plans for trunk infrastructure) the existing and future trunk infrastructure for the following networks:</w:t>
      </w:r>
    </w:p>
    <w:p w14:paraId="1DD0B13B" w14:textId="77777777" w:rsidR="00BE36FB" w:rsidRPr="009B7B35" w:rsidRDefault="00BE36FB" w:rsidP="00BE36FB">
      <w:pPr>
        <w:numPr>
          <w:ilvl w:val="1"/>
          <w:numId w:val="44"/>
        </w:numPr>
        <w:rPr>
          <w:rFonts w:ascii="Arial" w:eastAsia="Arial" w:hAnsi="Arial" w:cs="Arial"/>
          <w:sz w:val="20"/>
          <w:szCs w:val="20"/>
        </w:rPr>
      </w:pPr>
      <w:r w:rsidRPr="009B7B35">
        <w:rPr>
          <w:rFonts w:ascii="Arial" w:eastAsia="Arial" w:hAnsi="Arial" w:cs="Arial"/>
          <w:sz w:val="20"/>
          <w:szCs w:val="20"/>
        </w:rPr>
        <w:t>water supply</w:t>
      </w:r>
    </w:p>
    <w:p w14:paraId="6A2BDFA0" w14:textId="77777777" w:rsidR="00BE36FB" w:rsidRPr="009B7B35" w:rsidRDefault="00BE36FB" w:rsidP="00BE36FB">
      <w:pPr>
        <w:numPr>
          <w:ilvl w:val="1"/>
          <w:numId w:val="44"/>
        </w:numPr>
        <w:rPr>
          <w:rFonts w:ascii="Arial" w:eastAsia="Arial" w:hAnsi="Arial" w:cs="Arial"/>
          <w:sz w:val="20"/>
          <w:szCs w:val="20"/>
        </w:rPr>
      </w:pPr>
      <w:r w:rsidRPr="009B7B35">
        <w:rPr>
          <w:rFonts w:ascii="Arial" w:eastAsia="Arial" w:hAnsi="Arial" w:cs="Arial"/>
          <w:sz w:val="20"/>
          <w:szCs w:val="20"/>
        </w:rPr>
        <w:t>sewerage</w:t>
      </w:r>
    </w:p>
    <w:p w14:paraId="302EE9FF" w14:textId="77777777" w:rsidR="00BE36FB" w:rsidRPr="009B7B35" w:rsidRDefault="00BE36FB" w:rsidP="00BE36FB">
      <w:pPr>
        <w:numPr>
          <w:ilvl w:val="1"/>
          <w:numId w:val="44"/>
        </w:numPr>
        <w:rPr>
          <w:rFonts w:ascii="Arial" w:eastAsia="Arial" w:hAnsi="Arial" w:cs="Arial"/>
          <w:sz w:val="20"/>
          <w:szCs w:val="20"/>
        </w:rPr>
      </w:pPr>
      <w:r w:rsidRPr="009B7B35">
        <w:rPr>
          <w:rFonts w:ascii="Arial" w:eastAsia="Arial" w:hAnsi="Arial" w:cs="Arial"/>
          <w:sz w:val="20"/>
          <w:szCs w:val="20"/>
        </w:rPr>
        <w:t xml:space="preserve">transport, and </w:t>
      </w:r>
    </w:p>
    <w:p w14:paraId="12D3B28E" w14:textId="77777777" w:rsidR="00BE36FB" w:rsidRPr="009B7B35" w:rsidRDefault="00BE36FB" w:rsidP="00BE36FB">
      <w:pPr>
        <w:numPr>
          <w:ilvl w:val="1"/>
          <w:numId w:val="44"/>
        </w:numPr>
        <w:rPr>
          <w:rFonts w:ascii="Arial" w:hAnsi="Arial" w:cs="Arial"/>
          <w:sz w:val="20"/>
          <w:szCs w:val="20"/>
        </w:rPr>
      </w:pPr>
      <w:r w:rsidRPr="009B7B35">
        <w:rPr>
          <w:rFonts w:ascii="Arial" w:eastAsia="Arial" w:hAnsi="Arial" w:cs="Arial"/>
          <w:sz w:val="20"/>
          <w:szCs w:val="20"/>
        </w:rPr>
        <w:t>parks and land for community facilities.</w:t>
      </w:r>
    </w:p>
    <w:p w14:paraId="5E75C009" w14:textId="77777777" w:rsidR="00BE36FB" w:rsidRPr="009B7B35" w:rsidRDefault="00BE36FB" w:rsidP="001A7107">
      <w:pPr>
        <w:ind w:left="567"/>
        <w:rPr>
          <w:rFonts w:ascii="Arial" w:hAnsi="Arial" w:cs="Arial"/>
          <w:sz w:val="20"/>
          <w:szCs w:val="20"/>
        </w:rPr>
      </w:pPr>
      <w:r w:rsidRPr="009B7B35">
        <w:rPr>
          <w:rFonts w:ascii="Arial" w:eastAsia="Arial" w:hAnsi="Arial" w:cs="Arial"/>
          <w:sz w:val="20"/>
          <w:szCs w:val="20"/>
        </w:rPr>
        <w:t xml:space="preserve">Trunk stormwater infrastructure is not included in the Councils proposed trunk infrastructure. </w:t>
      </w:r>
    </w:p>
    <w:p w14:paraId="6654F9ED" w14:textId="77777777" w:rsidR="00BE36FB" w:rsidRPr="009B7B35" w:rsidRDefault="00BE36FB" w:rsidP="00BE36FB">
      <w:pPr>
        <w:numPr>
          <w:ilvl w:val="0"/>
          <w:numId w:val="44"/>
        </w:numPr>
        <w:rPr>
          <w:rFonts w:ascii="Arial" w:hAnsi="Arial" w:cs="Arial"/>
          <w:sz w:val="20"/>
          <w:szCs w:val="20"/>
        </w:rPr>
      </w:pPr>
      <w:r w:rsidRPr="009B7B35">
        <w:rPr>
          <w:rFonts w:ascii="Arial" w:eastAsia="Arial" w:hAnsi="Arial" w:cs="Arial"/>
          <w:sz w:val="20"/>
          <w:szCs w:val="20"/>
        </w:rPr>
        <w:t>Provides a list of documents that assist in the interpretation of the Local Government Infrastructure Plan in Section 4.2.8 (Extrinsic material).</w:t>
      </w:r>
    </w:p>
    <w:p w14:paraId="6504DF13" w14:textId="77777777" w:rsidR="00BE36FB" w:rsidRPr="009B7B35" w:rsidRDefault="00BE36FB" w:rsidP="006776DA">
      <w:pPr>
        <w:pStyle w:val="Heading2"/>
        <w:numPr>
          <w:ilvl w:val="1"/>
          <w:numId w:val="880"/>
        </w:numPr>
        <w:ind w:left="851" w:hanging="851"/>
        <w:rPr>
          <w:rFonts w:ascii="Arial" w:hAnsi="Arial"/>
          <w:sz w:val="20"/>
          <w:szCs w:val="20"/>
        </w:rPr>
      </w:pPr>
      <w:bookmarkStart w:id="131" w:name="_Toc402447480"/>
      <w:bookmarkStart w:id="132" w:name="_Toc205367320"/>
      <w:r w:rsidRPr="009B7B35">
        <w:rPr>
          <w:rFonts w:ascii="Arial" w:hAnsi="Arial"/>
          <w:sz w:val="20"/>
          <w:szCs w:val="20"/>
        </w:rPr>
        <w:t>Planning assumptions</w:t>
      </w:r>
      <w:bookmarkEnd w:id="131"/>
      <w:bookmarkEnd w:id="132"/>
    </w:p>
    <w:p w14:paraId="06EEBDEA" w14:textId="220F88DB" w:rsidR="00BE36FB" w:rsidRPr="009B7B35" w:rsidRDefault="00BE36FB" w:rsidP="006776DA">
      <w:pPr>
        <w:pStyle w:val="Heading3"/>
        <w:numPr>
          <w:ilvl w:val="2"/>
          <w:numId w:val="882"/>
        </w:numPr>
        <w:spacing w:before="240"/>
        <w:ind w:left="851" w:hanging="851"/>
        <w:rPr>
          <w:rFonts w:ascii="Arial" w:hAnsi="Arial"/>
          <w:sz w:val="20"/>
          <w:szCs w:val="20"/>
        </w:rPr>
      </w:pPr>
      <w:bookmarkStart w:id="133" w:name="_Toc402447481"/>
      <w:bookmarkStart w:id="134" w:name="_Toc205367321"/>
      <w:r w:rsidRPr="009B7B35">
        <w:rPr>
          <w:rFonts w:ascii="Arial" w:hAnsi="Arial"/>
          <w:sz w:val="20"/>
          <w:szCs w:val="20"/>
        </w:rPr>
        <w:t>Purpose</w:t>
      </w:r>
      <w:bookmarkEnd w:id="133"/>
      <w:bookmarkEnd w:id="134"/>
    </w:p>
    <w:p w14:paraId="0FF85D9A"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planning assumptions state the assumptions about: </w:t>
      </w:r>
    </w:p>
    <w:p w14:paraId="462B9B23" w14:textId="77777777" w:rsidR="00BE36FB" w:rsidRPr="009B7B35" w:rsidRDefault="00BE36FB" w:rsidP="00BE36FB">
      <w:pPr>
        <w:numPr>
          <w:ilvl w:val="0"/>
          <w:numId w:val="45"/>
        </w:numPr>
        <w:rPr>
          <w:rFonts w:ascii="Arial" w:hAnsi="Arial" w:cs="Arial"/>
          <w:sz w:val="20"/>
          <w:szCs w:val="20"/>
        </w:rPr>
      </w:pPr>
      <w:r w:rsidRPr="009B7B35">
        <w:rPr>
          <w:rFonts w:ascii="Arial" w:eastAsia="Arial" w:hAnsi="Arial" w:cs="Arial"/>
          <w:sz w:val="20"/>
          <w:szCs w:val="20"/>
        </w:rPr>
        <w:t>Population and employment growth.</w:t>
      </w:r>
    </w:p>
    <w:p w14:paraId="11EB5E6A" w14:textId="77777777" w:rsidR="00BE36FB" w:rsidRPr="009B7B35" w:rsidRDefault="00BE36FB" w:rsidP="00BE36FB">
      <w:pPr>
        <w:numPr>
          <w:ilvl w:val="0"/>
          <w:numId w:val="45"/>
        </w:numPr>
        <w:rPr>
          <w:rFonts w:ascii="Arial" w:hAnsi="Arial" w:cs="Arial"/>
          <w:sz w:val="20"/>
          <w:szCs w:val="20"/>
        </w:rPr>
      </w:pPr>
      <w:r w:rsidRPr="009B7B35">
        <w:rPr>
          <w:rFonts w:ascii="Arial" w:eastAsia="Arial" w:hAnsi="Arial" w:cs="Arial"/>
          <w:sz w:val="20"/>
          <w:szCs w:val="20"/>
        </w:rPr>
        <w:t>The type, scale, location and timing of future development including the demand for each trunk infrastructure network.</w:t>
      </w:r>
    </w:p>
    <w:p w14:paraId="0D91D40A" w14:textId="77777777" w:rsidR="00BE36FB" w:rsidRPr="009B7B35" w:rsidRDefault="00BE36FB" w:rsidP="001A7107">
      <w:pPr>
        <w:rPr>
          <w:rFonts w:ascii="Arial" w:hAnsi="Arial" w:cs="Arial"/>
          <w:sz w:val="20"/>
          <w:szCs w:val="20"/>
        </w:rPr>
      </w:pPr>
    </w:p>
    <w:p w14:paraId="2E803AB5" w14:textId="77777777" w:rsidR="00BE36FB" w:rsidRPr="009B7B35" w:rsidRDefault="00BE36FB" w:rsidP="001A7107">
      <w:pPr>
        <w:rPr>
          <w:rFonts w:ascii="Arial" w:hAnsi="Arial" w:cs="Arial"/>
          <w:sz w:val="20"/>
          <w:szCs w:val="20"/>
        </w:rPr>
      </w:pPr>
      <w:r w:rsidRPr="009B7B35">
        <w:rPr>
          <w:rFonts w:ascii="Arial" w:hAnsi="Arial" w:cs="Arial"/>
          <w:sz w:val="20"/>
          <w:szCs w:val="20"/>
        </w:rPr>
        <w:t>The planning assumptions together with the desired standards of service form a basis for the planning of the trunk infrastructure networks and the determination of the priority infrastructure area. The planning assumptions have been prepared for:</w:t>
      </w:r>
    </w:p>
    <w:p w14:paraId="0858F8A4" w14:textId="77777777" w:rsidR="00BE36FB" w:rsidRPr="009B7B35" w:rsidRDefault="00BE36FB" w:rsidP="00BE36FB">
      <w:pPr>
        <w:numPr>
          <w:ilvl w:val="0"/>
          <w:numId w:val="46"/>
        </w:numPr>
        <w:rPr>
          <w:rFonts w:ascii="Arial" w:hAnsi="Arial" w:cs="Arial"/>
          <w:sz w:val="20"/>
          <w:szCs w:val="20"/>
        </w:rPr>
      </w:pPr>
      <w:r w:rsidRPr="009B7B35">
        <w:rPr>
          <w:rFonts w:ascii="Arial" w:eastAsia="Arial" w:hAnsi="Arial" w:cs="Arial"/>
          <w:sz w:val="20"/>
          <w:szCs w:val="20"/>
        </w:rPr>
        <w:t xml:space="preserve">The base date 2011and the following projection years to accord with future Australian Bureau of Statistics census years: </w:t>
      </w:r>
    </w:p>
    <w:p w14:paraId="5847589C" w14:textId="77777777" w:rsidR="00BE36FB" w:rsidRPr="009B7B35" w:rsidRDefault="00BE36FB" w:rsidP="00BE36FB">
      <w:pPr>
        <w:numPr>
          <w:ilvl w:val="1"/>
          <w:numId w:val="46"/>
        </w:numPr>
        <w:rPr>
          <w:rFonts w:ascii="Arial" w:hAnsi="Arial" w:cs="Arial"/>
          <w:sz w:val="20"/>
          <w:szCs w:val="20"/>
        </w:rPr>
      </w:pPr>
      <w:r w:rsidRPr="009B7B35">
        <w:rPr>
          <w:rFonts w:ascii="Arial" w:hAnsi="Arial" w:cs="Arial"/>
          <w:sz w:val="20"/>
          <w:szCs w:val="20"/>
        </w:rPr>
        <w:t>mid 2016</w:t>
      </w:r>
    </w:p>
    <w:p w14:paraId="441F38E1" w14:textId="77777777" w:rsidR="00BE36FB" w:rsidRPr="009B7B35" w:rsidRDefault="00BE36FB" w:rsidP="00BE36FB">
      <w:pPr>
        <w:numPr>
          <w:ilvl w:val="1"/>
          <w:numId w:val="46"/>
        </w:numPr>
        <w:rPr>
          <w:rFonts w:ascii="Arial" w:hAnsi="Arial" w:cs="Arial"/>
          <w:sz w:val="20"/>
          <w:szCs w:val="20"/>
        </w:rPr>
      </w:pPr>
      <w:r w:rsidRPr="009B7B35">
        <w:rPr>
          <w:rFonts w:ascii="Arial" w:hAnsi="Arial" w:cs="Arial"/>
          <w:sz w:val="20"/>
          <w:szCs w:val="20"/>
        </w:rPr>
        <w:t>mid 2021</w:t>
      </w:r>
    </w:p>
    <w:p w14:paraId="7CD5F244" w14:textId="77777777" w:rsidR="00BE36FB" w:rsidRPr="009B7B35" w:rsidRDefault="00BE36FB" w:rsidP="00BE36FB">
      <w:pPr>
        <w:numPr>
          <w:ilvl w:val="1"/>
          <w:numId w:val="46"/>
        </w:numPr>
        <w:rPr>
          <w:rFonts w:ascii="Arial" w:hAnsi="Arial" w:cs="Arial"/>
          <w:sz w:val="20"/>
          <w:szCs w:val="20"/>
        </w:rPr>
      </w:pPr>
      <w:r w:rsidRPr="009B7B35">
        <w:rPr>
          <w:rFonts w:ascii="Arial" w:hAnsi="Arial" w:cs="Arial"/>
          <w:sz w:val="20"/>
          <w:szCs w:val="20"/>
        </w:rPr>
        <w:t>mid 2026</w:t>
      </w:r>
    </w:p>
    <w:p w14:paraId="36BC1570" w14:textId="77777777" w:rsidR="00BE36FB" w:rsidRPr="009B7B35" w:rsidRDefault="00BE36FB" w:rsidP="00BE36FB">
      <w:pPr>
        <w:numPr>
          <w:ilvl w:val="1"/>
          <w:numId w:val="46"/>
        </w:numPr>
        <w:rPr>
          <w:rFonts w:ascii="Arial" w:hAnsi="Arial" w:cs="Arial"/>
          <w:sz w:val="20"/>
          <w:szCs w:val="20"/>
        </w:rPr>
      </w:pPr>
      <w:r w:rsidRPr="009B7B35">
        <w:rPr>
          <w:rFonts w:ascii="Arial" w:hAnsi="Arial" w:cs="Arial"/>
          <w:sz w:val="20"/>
          <w:szCs w:val="20"/>
        </w:rPr>
        <w:t>mid 2031.</w:t>
      </w:r>
    </w:p>
    <w:p w14:paraId="688F318B" w14:textId="77777777" w:rsidR="00BE36FB" w:rsidRPr="009B7B35" w:rsidRDefault="00BE36FB" w:rsidP="001A7107">
      <w:pPr>
        <w:rPr>
          <w:rFonts w:ascii="Arial" w:hAnsi="Arial" w:cs="Arial"/>
          <w:sz w:val="20"/>
          <w:szCs w:val="20"/>
        </w:rPr>
      </w:pPr>
    </w:p>
    <w:p w14:paraId="586C82C0" w14:textId="77777777" w:rsidR="00BE36FB" w:rsidRPr="009B7B35" w:rsidRDefault="00BE36FB" w:rsidP="001A7107">
      <w:pPr>
        <w:rPr>
          <w:rFonts w:ascii="Arial" w:hAnsi="Arial" w:cs="Arial"/>
          <w:sz w:val="20"/>
          <w:szCs w:val="20"/>
        </w:rPr>
      </w:pPr>
      <w:r w:rsidRPr="009B7B35">
        <w:rPr>
          <w:rFonts w:ascii="Arial" w:hAnsi="Arial" w:cs="Arial"/>
          <w:sz w:val="20"/>
          <w:szCs w:val="20"/>
        </w:rPr>
        <w:t>The time horizon for Planning assumptions (as outlined in the Priority Infrastructure Area (PIA) (refer 4.1.3)) may be different to the time horizons used in the determination of trunk infrastructure requirements. As outlined in the Sustainable Planning Act, the PIA will define the area "that will accommodate at least 10 years, but not more than 15 years, of growth…". In contrast, planning for trunk infrastructure may be undertaken over a longer period.</w:t>
      </w:r>
    </w:p>
    <w:p w14:paraId="55E0F71C" w14:textId="77777777" w:rsidR="00BE36FB" w:rsidRPr="009B7B35" w:rsidRDefault="00BE36FB" w:rsidP="00BE36FB">
      <w:pPr>
        <w:numPr>
          <w:ilvl w:val="0"/>
          <w:numId w:val="47"/>
        </w:numPr>
        <w:rPr>
          <w:rFonts w:ascii="Arial" w:hAnsi="Arial" w:cs="Arial"/>
          <w:sz w:val="20"/>
          <w:szCs w:val="20"/>
        </w:rPr>
      </w:pPr>
      <w:r w:rsidRPr="009B7B35">
        <w:rPr>
          <w:rFonts w:ascii="Arial" w:eastAsia="Arial" w:hAnsi="Arial" w:cs="Arial"/>
          <w:sz w:val="20"/>
          <w:szCs w:val="20"/>
        </w:rPr>
        <w:t>The LGIP development types in column 2 that include the uses in column 3 of Table 4.2.1.1.</w:t>
      </w:r>
    </w:p>
    <w:p w14:paraId="3274D493" w14:textId="77777777" w:rsidR="00BE36FB" w:rsidRPr="009B7B35" w:rsidRDefault="00BE36FB" w:rsidP="00BE36FB">
      <w:pPr>
        <w:numPr>
          <w:ilvl w:val="0"/>
          <w:numId w:val="47"/>
        </w:numPr>
        <w:rPr>
          <w:rFonts w:ascii="Arial" w:hAnsi="Arial" w:cs="Arial"/>
          <w:sz w:val="20"/>
          <w:szCs w:val="20"/>
        </w:rPr>
      </w:pPr>
      <w:r w:rsidRPr="009B7B35">
        <w:rPr>
          <w:rFonts w:ascii="Arial" w:eastAsia="Arial" w:hAnsi="Arial" w:cs="Arial"/>
          <w:sz w:val="20"/>
          <w:szCs w:val="20"/>
        </w:rPr>
        <w:t xml:space="preserve">The projection areas identified </w:t>
      </w:r>
      <w:r w:rsidRPr="009B7B35">
        <w:rPr>
          <w:rFonts w:ascii="Arial" w:hAnsi="Arial" w:cs="Arial"/>
          <w:color w:val="000000"/>
          <w:sz w:val="20"/>
          <w:szCs w:val="20"/>
        </w:rPr>
        <w:t>in</w:t>
      </w:r>
      <w:r w:rsidRPr="009B7B35">
        <w:rPr>
          <w:rFonts w:ascii="Arial" w:hAnsi="Arial" w:cs="Arial"/>
          <w:sz w:val="20"/>
          <w:szCs w:val="20"/>
        </w:rPr>
        <w:t xml:space="preserve"> SC3.3 Local government infrastructure plan maps.</w:t>
      </w:r>
    </w:p>
    <w:p w14:paraId="470BD85B" w14:textId="77777777" w:rsidR="00BE36FB" w:rsidRPr="009B7B35" w:rsidRDefault="00BE36FB" w:rsidP="00C148A6">
      <w:pPr>
        <w:pStyle w:val="Heading5"/>
        <w:numPr>
          <w:ilvl w:val="0"/>
          <w:numId w:val="0"/>
        </w:numPr>
        <w:rPr>
          <w:rFonts w:cs="Arial"/>
          <w:szCs w:val="20"/>
        </w:rPr>
      </w:pPr>
      <w:r w:rsidRPr="009B7B35">
        <w:rPr>
          <w:rFonts w:cs="Arial"/>
          <w:szCs w:val="20"/>
        </w:rPr>
        <w:t>Table 4.2.1.1—Relationship between LGIP development categories, LGIP development types and uses</w:t>
      </w:r>
    </w:p>
    <w:tbl>
      <w:tblPr>
        <w:tblStyle w:val="Tablestyle"/>
        <w:tblW w:w="9639" w:type="dxa"/>
        <w:tblLook w:val="04A0" w:firstRow="1" w:lastRow="0" w:firstColumn="1" w:lastColumn="0" w:noHBand="0" w:noVBand="1"/>
      </w:tblPr>
      <w:tblGrid>
        <w:gridCol w:w="2869"/>
        <w:gridCol w:w="2333"/>
        <w:gridCol w:w="4437"/>
      </w:tblGrid>
      <w:tr w:rsidR="00BE36FB" w:rsidRPr="009B7B35" w14:paraId="0CF5B4DA" w14:textId="77777777" w:rsidTr="001A7107">
        <w:trPr>
          <w:cnfStyle w:val="100000000000" w:firstRow="1" w:lastRow="0" w:firstColumn="0" w:lastColumn="0" w:oddVBand="0" w:evenVBand="0" w:oddHBand="0"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869" w:type="dxa"/>
          </w:tcPr>
          <w:p w14:paraId="2C77E371" w14:textId="77777777" w:rsidR="00BE36FB" w:rsidRPr="009B7B35" w:rsidRDefault="00BE36FB" w:rsidP="001A7107">
            <w:pPr>
              <w:pStyle w:val="TableText"/>
              <w:rPr>
                <w:rFonts w:cs="Arial"/>
              </w:rPr>
            </w:pPr>
            <w:r w:rsidRPr="009B7B35">
              <w:rPr>
                <w:rFonts w:cs="Arial"/>
              </w:rPr>
              <w:t xml:space="preserve">Column 1 </w:t>
            </w:r>
            <w:r w:rsidRPr="009B7B35">
              <w:rPr>
                <w:rFonts w:cs="Arial"/>
              </w:rPr>
              <w:br/>
              <w:t>LGIP development category</w:t>
            </w:r>
          </w:p>
        </w:tc>
        <w:tc>
          <w:tcPr>
            <w:tcW w:w="2333" w:type="dxa"/>
          </w:tcPr>
          <w:p w14:paraId="0E5D2B5D"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 xml:space="preserve">Column 2 </w:t>
            </w:r>
            <w:r w:rsidRPr="009B7B35">
              <w:rPr>
                <w:rFonts w:cs="Arial"/>
              </w:rPr>
              <w:br/>
              <w:t>LGIP development type</w:t>
            </w:r>
          </w:p>
        </w:tc>
        <w:tc>
          <w:tcPr>
            <w:tcW w:w="4437" w:type="dxa"/>
          </w:tcPr>
          <w:p w14:paraId="275542F0"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 xml:space="preserve">Column 3 </w:t>
            </w:r>
            <w:r w:rsidRPr="009B7B35">
              <w:rPr>
                <w:rFonts w:cs="Arial"/>
              </w:rPr>
              <w:br/>
              <w:t>Uses</w:t>
            </w:r>
          </w:p>
        </w:tc>
      </w:tr>
      <w:tr w:rsidR="00BE36FB" w:rsidRPr="009B7B35" w14:paraId="024AC3D7" w14:textId="77777777" w:rsidTr="001A7107">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2869" w:type="dxa"/>
            <w:vMerge w:val="restart"/>
          </w:tcPr>
          <w:p w14:paraId="4927C37F" w14:textId="77777777" w:rsidR="00BE36FB" w:rsidRPr="009B7B35" w:rsidRDefault="00BE36FB" w:rsidP="001A7107">
            <w:pPr>
              <w:pStyle w:val="TableText"/>
              <w:rPr>
                <w:rFonts w:cs="Arial"/>
              </w:rPr>
            </w:pPr>
            <w:r w:rsidRPr="009B7B35">
              <w:rPr>
                <w:rFonts w:eastAsia="Arial" w:cs="Arial"/>
                <w:b/>
              </w:rPr>
              <w:t xml:space="preserve">Residential development </w:t>
            </w:r>
          </w:p>
        </w:tc>
        <w:tc>
          <w:tcPr>
            <w:tcW w:w="2333" w:type="dxa"/>
          </w:tcPr>
          <w:p w14:paraId="1583B0B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Residential (dwelling house)</w:t>
            </w:r>
          </w:p>
        </w:tc>
        <w:tc>
          <w:tcPr>
            <w:tcW w:w="4437" w:type="dxa"/>
            <w:vMerge w:val="restart"/>
          </w:tcPr>
          <w:p w14:paraId="781FEEB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Multiple dwelling </w:t>
            </w:r>
          </w:p>
          <w:p w14:paraId="7C15DB3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Rooming accommodation </w:t>
            </w:r>
          </w:p>
          <w:p w14:paraId="6D86B24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Retirement facility</w:t>
            </w:r>
          </w:p>
          <w:p w14:paraId="63713E2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Residential care facility </w:t>
            </w:r>
          </w:p>
          <w:p w14:paraId="0A6A569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Dwelling house </w:t>
            </w:r>
          </w:p>
          <w:p w14:paraId="2C8841A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Dual occupancy </w:t>
            </w:r>
          </w:p>
        </w:tc>
      </w:tr>
      <w:tr w:rsidR="00BE36FB" w:rsidRPr="009B7B35" w14:paraId="5B427BC8" w14:textId="77777777" w:rsidTr="001A7107">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869" w:type="dxa"/>
            <w:vMerge/>
          </w:tcPr>
          <w:p w14:paraId="0947B65F" w14:textId="77777777" w:rsidR="00BE36FB" w:rsidRPr="009B7B35" w:rsidRDefault="00BE36FB" w:rsidP="001A7107">
            <w:pPr>
              <w:pStyle w:val="TableText"/>
              <w:rPr>
                <w:rFonts w:cs="Arial"/>
              </w:rPr>
            </w:pPr>
          </w:p>
        </w:tc>
        <w:tc>
          <w:tcPr>
            <w:tcW w:w="2333" w:type="dxa"/>
          </w:tcPr>
          <w:p w14:paraId="1F2C14E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b/>
              </w:rPr>
              <w:t>Residential (secondary)</w:t>
            </w:r>
          </w:p>
        </w:tc>
        <w:tc>
          <w:tcPr>
            <w:tcW w:w="4437" w:type="dxa"/>
            <w:vMerge/>
          </w:tcPr>
          <w:p w14:paraId="7929FFA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6DC00B4D" w14:textId="77777777"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69" w:type="dxa"/>
            <w:vMerge/>
          </w:tcPr>
          <w:p w14:paraId="2093877E" w14:textId="77777777" w:rsidR="00BE36FB" w:rsidRPr="009B7B35" w:rsidRDefault="00BE36FB" w:rsidP="001A7107">
            <w:pPr>
              <w:pStyle w:val="TableText"/>
              <w:rPr>
                <w:rFonts w:cs="Arial"/>
              </w:rPr>
            </w:pPr>
          </w:p>
        </w:tc>
        <w:tc>
          <w:tcPr>
            <w:tcW w:w="2333" w:type="dxa"/>
          </w:tcPr>
          <w:p w14:paraId="56C1AC7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Residential (other)</w:t>
            </w:r>
          </w:p>
        </w:tc>
        <w:tc>
          <w:tcPr>
            <w:tcW w:w="4437" w:type="dxa"/>
            <w:vMerge/>
          </w:tcPr>
          <w:p w14:paraId="5F0213D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54D3E737" w14:textId="77777777" w:rsidTr="001A7107">
        <w:trPr>
          <w:cnfStyle w:val="000000010000" w:firstRow="0" w:lastRow="0" w:firstColumn="0" w:lastColumn="0" w:oddVBand="0" w:evenVBand="0" w:oddHBand="0" w:evenHBand="1"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869" w:type="dxa"/>
            <w:vMerge/>
          </w:tcPr>
          <w:p w14:paraId="7B7E6DE6" w14:textId="77777777" w:rsidR="00BE36FB" w:rsidRPr="009B7B35" w:rsidRDefault="00BE36FB" w:rsidP="001A7107">
            <w:pPr>
              <w:pStyle w:val="TableText"/>
              <w:rPr>
                <w:rFonts w:cs="Arial"/>
              </w:rPr>
            </w:pPr>
          </w:p>
        </w:tc>
        <w:tc>
          <w:tcPr>
            <w:tcW w:w="2333" w:type="dxa"/>
          </w:tcPr>
          <w:p w14:paraId="3C4B042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b/>
              </w:rPr>
              <w:t>Residential (temporary)</w:t>
            </w:r>
          </w:p>
        </w:tc>
        <w:tc>
          <w:tcPr>
            <w:tcW w:w="4437" w:type="dxa"/>
          </w:tcPr>
          <w:p w14:paraId="24EBC9F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Relocatable home park </w:t>
            </w:r>
          </w:p>
          <w:p w14:paraId="04AF517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Non-resident workforce accommodation </w:t>
            </w:r>
          </w:p>
        </w:tc>
      </w:tr>
      <w:tr w:rsidR="00BE36FB" w:rsidRPr="009B7B35" w14:paraId="220FB08C" w14:textId="77777777" w:rsidTr="001A7107">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869" w:type="dxa"/>
            <w:vMerge w:val="restart"/>
          </w:tcPr>
          <w:p w14:paraId="605A054A" w14:textId="77777777" w:rsidR="00BE36FB" w:rsidRPr="009B7B35" w:rsidRDefault="00BE36FB" w:rsidP="001A7107">
            <w:pPr>
              <w:pStyle w:val="TableText"/>
              <w:rPr>
                <w:rFonts w:cs="Arial"/>
              </w:rPr>
            </w:pPr>
            <w:r w:rsidRPr="009B7B35">
              <w:rPr>
                <w:rFonts w:eastAsia="Arial" w:cs="Arial"/>
                <w:b/>
              </w:rPr>
              <w:t xml:space="preserve">Non-residential development </w:t>
            </w:r>
          </w:p>
        </w:tc>
        <w:tc>
          <w:tcPr>
            <w:tcW w:w="2333" w:type="dxa"/>
          </w:tcPr>
          <w:p w14:paraId="7889DFB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 xml:space="preserve">Retail </w:t>
            </w:r>
          </w:p>
        </w:tc>
        <w:tc>
          <w:tcPr>
            <w:tcW w:w="4437" w:type="dxa"/>
          </w:tcPr>
          <w:p w14:paraId="5C57742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Mixed use commercial premises </w:t>
            </w:r>
          </w:p>
        </w:tc>
      </w:tr>
      <w:tr w:rsidR="00BE36FB" w:rsidRPr="009B7B35" w14:paraId="4D782FD5" w14:textId="77777777" w:rsidTr="001A7107">
        <w:trPr>
          <w:cnfStyle w:val="000000010000" w:firstRow="0" w:lastRow="0" w:firstColumn="0" w:lastColumn="0" w:oddVBand="0" w:evenVBand="0" w:oddHBand="0" w:evenHBand="1"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2869" w:type="dxa"/>
            <w:vMerge/>
          </w:tcPr>
          <w:p w14:paraId="4EF49D10" w14:textId="77777777" w:rsidR="00BE36FB" w:rsidRPr="009B7B35" w:rsidRDefault="00BE36FB" w:rsidP="001A7107">
            <w:pPr>
              <w:pStyle w:val="TableText"/>
              <w:rPr>
                <w:rFonts w:cs="Arial"/>
              </w:rPr>
            </w:pPr>
          </w:p>
        </w:tc>
        <w:tc>
          <w:tcPr>
            <w:tcW w:w="2333" w:type="dxa"/>
          </w:tcPr>
          <w:p w14:paraId="193A3D1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b/>
              </w:rPr>
              <w:t>Residential business</w:t>
            </w:r>
          </w:p>
        </w:tc>
        <w:tc>
          <w:tcPr>
            <w:tcW w:w="4437" w:type="dxa"/>
          </w:tcPr>
          <w:p w14:paraId="6A47544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Home based business </w:t>
            </w:r>
          </w:p>
        </w:tc>
      </w:tr>
      <w:tr w:rsidR="00BE36FB" w:rsidRPr="009B7B35" w14:paraId="64AC9250" w14:textId="77777777" w:rsidTr="001A7107">
        <w:trPr>
          <w:cnfStyle w:val="000000100000" w:firstRow="0" w:lastRow="0" w:firstColumn="0" w:lastColumn="0" w:oddVBand="0" w:evenVBand="0" w:oddHBand="1" w:evenHBand="0" w:firstRowFirstColumn="0" w:firstRowLastColumn="0" w:lastRowFirstColumn="0" w:lastRowLastColumn="0"/>
          <w:trHeight w:val="5726"/>
        </w:trPr>
        <w:tc>
          <w:tcPr>
            <w:cnfStyle w:val="001000000000" w:firstRow="0" w:lastRow="0" w:firstColumn="1" w:lastColumn="0" w:oddVBand="0" w:evenVBand="0" w:oddHBand="0" w:evenHBand="0" w:firstRowFirstColumn="0" w:firstRowLastColumn="0" w:lastRowFirstColumn="0" w:lastRowLastColumn="0"/>
            <w:tcW w:w="2869" w:type="dxa"/>
            <w:vMerge/>
          </w:tcPr>
          <w:p w14:paraId="16CFDFA3" w14:textId="77777777" w:rsidR="00BE36FB" w:rsidRPr="009B7B35" w:rsidRDefault="00BE36FB" w:rsidP="001A7107">
            <w:pPr>
              <w:pStyle w:val="TableText"/>
              <w:rPr>
                <w:rFonts w:cs="Arial"/>
              </w:rPr>
            </w:pPr>
          </w:p>
        </w:tc>
        <w:tc>
          <w:tcPr>
            <w:tcW w:w="2333" w:type="dxa"/>
          </w:tcPr>
          <w:p w14:paraId="3FC3413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Business</w:t>
            </w:r>
          </w:p>
        </w:tc>
        <w:tc>
          <w:tcPr>
            <w:tcW w:w="4437" w:type="dxa"/>
          </w:tcPr>
          <w:p w14:paraId="40A99C0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Brothel</w:t>
            </w:r>
          </w:p>
          <w:p w14:paraId="45D338C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Car park</w:t>
            </w:r>
          </w:p>
          <w:p w14:paraId="5335A5F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Child care centre </w:t>
            </w:r>
          </w:p>
          <w:p w14:paraId="4C2C209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Theatre</w:t>
            </w:r>
          </w:p>
          <w:p w14:paraId="53EAF50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Office/Shop/Shopping centre</w:t>
            </w:r>
          </w:p>
          <w:p w14:paraId="77C6116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Food and drink outlet</w:t>
            </w:r>
          </w:p>
          <w:p w14:paraId="0495DDA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Funeral parlour</w:t>
            </w:r>
          </w:p>
          <w:p w14:paraId="04643B3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Club/hotel</w:t>
            </w:r>
          </w:p>
          <w:p w14:paraId="14414D2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Indoor sport &amp; recreation</w:t>
            </w:r>
          </w:p>
          <w:p w14:paraId="2839C1A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Club/Bar/Hotel/Nightclub</w:t>
            </w:r>
          </w:p>
          <w:p w14:paraId="4AC6565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Health care services market</w:t>
            </w:r>
          </w:p>
          <w:p w14:paraId="35EB366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Health care services</w:t>
            </w:r>
          </w:p>
          <w:p w14:paraId="1B93BFE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Office </w:t>
            </w:r>
          </w:p>
          <w:p w14:paraId="0E34CAC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Garden centre</w:t>
            </w:r>
          </w:p>
          <w:p w14:paraId="1A53AB9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Roadside stall</w:t>
            </w:r>
          </w:p>
          <w:p w14:paraId="16EB0A1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Service industry</w:t>
            </w:r>
          </w:p>
          <w:p w14:paraId="51EED15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Shop</w:t>
            </w:r>
          </w:p>
          <w:p w14:paraId="51E217A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Shopping centre</w:t>
            </w:r>
          </w:p>
          <w:p w14:paraId="69B13C3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Sales office</w:t>
            </w:r>
          </w:p>
          <w:p w14:paraId="4F60548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Showroom</w:t>
            </w:r>
          </w:p>
          <w:p w14:paraId="3D96FE7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Veterinary services</w:t>
            </w:r>
          </w:p>
        </w:tc>
      </w:tr>
      <w:tr w:rsidR="00BE36FB" w:rsidRPr="009B7B35" w14:paraId="740C8D4E" w14:textId="77777777" w:rsidTr="001A7107">
        <w:trPr>
          <w:cnfStyle w:val="000000010000" w:firstRow="0" w:lastRow="0" w:firstColumn="0" w:lastColumn="0" w:oddVBand="0" w:evenVBand="0" w:oddHBand="0" w:evenHBand="1" w:firstRowFirstColumn="0" w:firstRowLastColumn="0" w:lastRowFirstColumn="0" w:lastRowLastColumn="0"/>
          <w:trHeight w:val="1118"/>
        </w:trPr>
        <w:tc>
          <w:tcPr>
            <w:cnfStyle w:val="001000000000" w:firstRow="0" w:lastRow="0" w:firstColumn="1" w:lastColumn="0" w:oddVBand="0" w:evenVBand="0" w:oddHBand="0" w:evenHBand="0" w:firstRowFirstColumn="0" w:firstRowLastColumn="0" w:lastRowFirstColumn="0" w:lastRowLastColumn="0"/>
            <w:tcW w:w="2869" w:type="dxa"/>
            <w:vMerge/>
          </w:tcPr>
          <w:p w14:paraId="4B75EFA9" w14:textId="77777777" w:rsidR="00BE36FB" w:rsidRPr="009B7B35" w:rsidRDefault="00BE36FB" w:rsidP="001A7107">
            <w:pPr>
              <w:pStyle w:val="TableText"/>
              <w:rPr>
                <w:rFonts w:cs="Arial"/>
              </w:rPr>
            </w:pPr>
          </w:p>
        </w:tc>
        <w:tc>
          <w:tcPr>
            <w:tcW w:w="2333" w:type="dxa"/>
          </w:tcPr>
          <w:p w14:paraId="0678161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b/>
              </w:rPr>
              <w:t xml:space="preserve">Industrial (Low impact) </w:t>
            </w:r>
          </w:p>
        </w:tc>
        <w:tc>
          <w:tcPr>
            <w:tcW w:w="4437" w:type="dxa"/>
          </w:tcPr>
          <w:p w14:paraId="47F529B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Low impact industry </w:t>
            </w:r>
          </w:p>
          <w:p w14:paraId="234DD00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Outdoor sales </w:t>
            </w:r>
          </w:p>
          <w:p w14:paraId="7B3397F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Small engine mechanical repair </w:t>
            </w:r>
          </w:p>
          <w:p w14:paraId="055A4B6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Contractors depot </w:t>
            </w:r>
          </w:p>
        </w:tc>
      </w:tr>
      <w:tr w:rsidR="00BE36FB" w:rsidRPr="009B7B35" w14:paraId="17606893" w14:textId="77777777" w:rsidTr="001A7107">
        <w:trPr>
          <w:cnfStyle w:val="000000100000" w:firstRow="0" w:lastRow="0" w:firstColumn="0" w:lastColumn="0" w:oddVBand="0" w:evenVBand="0" w:oddHBand="1" w:evenHBand="0" w:firstRowFirstColumn="0" w:firstRowLastColumn="0" w:lastRowFirstColumn="0" w:lastRowLastColumn="0"/>
          <w:trHeight w:val="2126"/>
        </w:trPr>
        <w:tc>
          <w:tcPr>
            <w:cnfStyle w:val="001000000000" w:firstRow="0" w:lastRow="0" w:firstColumn="1" w:lastColumn="0" w:oddVBand="0" w:evenVBand="0" w:oddHBand="0" w:evenHBand="0" w:firstRowFirstColumn="0" w:firstRowLastColumn="0" w:lastRowFirstColumn="0" w:lastRowLastColumn="0"/>
            <w:tcW w:w="2869" w:type="dxa"/>
            <w:vMerge/>
          </w:tcPr>
          <w:p w14:paraId="2095DB14" w14:textId="77777777" w:rsidR="00BE36FB" w:rsidRPr="009B7B35" w:rsidRDefault="00BE36FB" w:rsidP="001A7107">
            <w:pPr>
              <w:pStyle w:val="TableText"/>
              <w:rPr>
                <w:rFonts w:cs="Arial"/>
              </w:rPr>
            </w:pPr>
          </w:p>
        </w:tc>
        <w:tc>
          <w:tcPr>
            <w:tcW w:w="2333" w:type="dxa"/>
          </w:tcPr>
          <w:p w14:paraId="30025DE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 xml:space="preserve">Industrial (High impact) </w:t>
            </w:r>
          </w:p>
        </w:tc>
        <w:tc>
          <w:tcPr>
            <w:tcW w:w="4437" w:type="dxa"/>
          </w:tcPr>
          <w:p w14:paraId="65D9B71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High impact industry </w:t>
            </w:r>
          </w:p>
          <w:p w14:paraId="6C50F7F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Major electricity infrastructure/utility installation </w:t>
            </w:r>
          </w:p>
          <w:p w14:paraId="7944C08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Special industry </w:t>
            </w:r>
          </w:p>
          <w:p w14:paraId="5D9BBF8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Extractive industry </w:t>
            </w:r>
          </w:p>
          <w:p w14:paraId="3B109EC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Marine Industry </w:t>
            </w:r>
          </w:p>
          <w:p w14:paraId="07A8EDC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Stock sales yard </w:t>
            </w:r>
          </w:p>
          <w:p w14:paraId="76B598F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Concrete batching plant </w:t>
            </w:r>
          </w:p>
          <w:p w14:paraId="2FBA411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Extractive industry </w:t>
            </w:r>
          </w:p>
        </w:tc>
      </w:tr>
      <w:tr w:rsidR="00BE36FB" w:rsidRPr="009B7B35" w14:paraId="36A8BA5D" w14:textId="77777777" w:rsidTr="001A7107">
        <w:trPr>
          <w:cnfStyle w:val="000000010000" w:firstRow="0" w:lastRow="0" w:firstColumn="0" w:lastColumn="0" w:oddVBand="0" w:evenVBand="0" w:oddHBand="0" w:evenHBand="1" w:firstRowFirstColumn="0" w:firstRowLastColumn="0" w:lastRowFirstColumn="0" w:lastRowLastColumn="0"/>
          <w:trHeight w:val="1577"/>
        </w:trPr>
        <w:tc>
          <w:tcPr>
            <w:cnfStyle w:val="001000000000" w:firstRow="0" w:lastRow="0" w:firstColumn="1" w:lastColumn="0" w:oddVBand="0" w:evenVBand="0" w:oddHBand="0" w:evenHBand="0" w:firstRowFirstColumn="0" w:firstRowLastColumn="0" w:lastRowFirstColumn="0" w:lastRowLastColumn="0"/>
            <w:tcW w:w="2869" w:type="dxa"/>
            <w:vMerge/>
          </w:tcPr>
          <w:p w14:paraId="689898FB" w14:textId="77777777" w:rsidR="00BE36FB" w:rsidRPr="009B7B35" w:rsidRDefault="00BE36FB" w:rsidP="001A7107">
            <w:pPr>
              <w:pStyle w:val="TableText"/>
              <w:rPr>
                <w:rFonts w:cs="Arial"/>
              </w:rPr>
            </w:pPr>
          </w:p>
        </w:tc>
        <w:tc>
          <w:tcPr>
            <w:tcW w:w="2333" w:type="dxa"/>
          </w:tcPr>
          <w:p w14:paraId="4131BD4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b/>
              </w:rPr>
              <w:t xml:space="preserve">Tourist facility </w:t>
            </w:r>
          </w:p>
        </w:tc>
        <w:tc>
          <w:tcPr>
            <w:tcW w:w="4437" w:type="dxa"/>
          </w:tcPr>
          <w:p w14:paraId="2C36724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Home based business </w:t>
            </w:r>
          </w:p>
          <w:p w14:paraId="3FCAFDD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Nature-based tourism </w:t>
            </w:r>
          </w:p>
          <w:p w14:paraId="6977DD3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Short term accommodation </w:t>
            </w:r>
          </w:p>
          <w:p w14:paraId="366F74B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Resort complex </w:t>
            </w:r>
          </w:p>
          <w:p w14:paraId="6CDD0DC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Tourist attraction </w:t>
            </w:r>
          </w:p>
          <w:p w14:paraId="77669D2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Tourist park </w:t>
            </w:r>
          </w:p>
        </w:tc>
      </w:tr>
      <w:tr w:rsidR="00BE36FB" w:rsidRPr="009B7B35" w14:paraId="2C987C63" w14:textId="77777777" w:rsidTr="001A7107">
        <w:trPr>
          <w:cnfStyle w:val="000000100000" w:firstRow="0" w:lastRow="0" w:firstColumn="0" w:lastColumn="0" w:oddVBand="0" w:evenVBand="0" w:oddHBand="1" w:evenHBand="0" w:firstRowFirstColumn="0" w:firstRowLastColumn="0" w:lastRowFirstColumn="0" w:lastRowLastColumn="0"/>
          <w:trHeight w:val="1649"/>
        </w:trPr>
        <w:tc>
          <w:tcPr>
            <w:cnfStyle w:val="001000000000" w:firstRow="0" w:lastRow="0" w:firstColumn="1" w:lastColumn="0" w:oddVBand="0" w:evenVBand="0" w:oddHBand="0" w:evenHBand="0" w:firstRowFirstColumn="0" w:firstRowLastColumn="0" w:lastRowFirstColumn="0" w:lastRowLastColumn="0"/>
            <w:tcW w:w="2869" w:type="dxa"/>
            <w:vMerge/>
          </w:tcPr>
          <w:p w14:paraId="020254BC" w14:textId="77777777" w:rsidR="00BE36FB" w:rsidRPr="009B7B35" w:rsidRDefault="00BE36FB" w:rsidP="001A7107">
            <w:pPr>
              <w:pStyle w:val="TableText"/>
              <w:rPr>
                <w:rFonts w:cs="Arial"/>
              </w:rPr>
            </w:pPr>
          </w:p>
        </w:tc>
        <w:tc>
          <w:tcPr>
            <w:tcW w:w="2333" w:type="dxa"/>
          </w:tcPr>
          <w:p w14:paraId="2E7966B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 xml:space="preserve">Community purposes </w:t>
            </w:r>
          </w:p>
        </w:tc>
        <w:tc>
          <w:tcPr>
            <w:tcW w:w="4437" w:type="dxa"/>
          </w:tcPr>
          <w:p w14:paraId="02658F9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Educational establishment </w:t>
            </w:r>
          </w:p>
          <w:p w14:paraId="0D414A1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Cemetery </w:t>
            </w:r>
          </w:p>
          <w:p w14:paraId="1CC38EA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Community use </w:t>
            </w:r>
          </w:p>
          <w:p w14:paraId="1545502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Hospital </w:t>
            </w:r>
          </w:p>
          <w:p w14:paraId="1F21373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Place of worship </w:t>
            </w:r>
          </w:p>
          <w:p w14:paraId="5850BE1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Emergency services </w:t>
            </w:r>
          </w:p>
        </w:tc>
      </w:tr>
      <w:tr w:rsidR="00BE36FB" w:rsidRPr="009B7B35" w14:paraId="4C96A236" w14:textId="77777777" w:rsidTr="001A7107">
        <w:trPr>
          <w:cnfStyle w:val="000000010000" w:firstRow="0" w:lastRow="0" w:firstColumn="0" w:lastColumn="0" w:oddVBand="0" w:evenVBand="0" w:oddHBand="0" w:evenHBand="1" w:firstRowFirstColumn="0" w:firstRowLastColumn="0" w:lastRowFirstColumn="0" w:lastRowLastColumn="0"/>
          <w:trHeight w:val="1284"/>
        </w:trPr>
        <w:tc>
          <w:tcPr>
            <w:cnfStyle w:val="001000000000" w:firstRow="0" w:lastRow="0" w:firstColumn="1" w:lastColumn="0" w:oddVBand="0" w:evenVBand="0" w:oddHBand="0" w:evenHBand="0" w:firstRowFirstColumn="0" w:firstRowLastColumn="0" w:lastRowFirstColumn="0" w:lastRowLastColumn="0"/>
            <w:tcW w:w="2869" w:type="dxa"/>
            <w:vMerge/>
          </w:tcPr>
          <w:p w14:paraId="70E8BAD4" w14:textId="77777777" w:rsidR="00BE36FB" w:rsidRPr="009B7B35" w:rsidRDefault="00BE36FB" w:rsidP="001A7107">
            <w:pPr>
              <w:pStyle w:val="TableText"/>
              <w:rPr>
                <w:rFonts w:cs="Arial"/>
              </w:rPr>
            </w:pPr>
          </w:p>
        </w:tc>
        <w:tc>
          <w:tcPr>
            <w:tcW w:w="2333" w:type="dxa"/>
          </w:tcPr>
          <w:p w14:paraId="2B54413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b/>
              </w:rPr>
              <w:t xml:space="preserve">Transport and storage depot </w:t>
            </w:r>
          </w:p>
        </w:tc>
        <w:tc>
          <w:tcPr>
            <w:tcW w:w="4437" w:type="dxa"/>
          </w:tcPr>
          <w:p w14:paraId="5A55B71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Air services </w:t>
            </w:r>
          </w:p>
          <w:p w14:paraId="255EA3D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Transport depot </w:t>
            </w:r>
          </w:p>
          <w:p w14:paraId="3AC0FDF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Service station </w:t>
            </w:r>
          </w:p>
          <w:p w14:paraId="18DC052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Port services </w:t>
            </w:r>
          </w:p>
          <w:p w14:paraId="4BBDD4B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Warehouse </w:t>
            </w:r>
          </w:p>
        </w:tc>
      </w:tr>
      <w:tr w:rsidR="00BE36FB" w:rsidRPr="009B7B35" w14:paraId="355F8C2D" w14:textId="77777777" w:rsidTr="001A7107">
        <w:trPr>
          <w:cnfStyle w:val="000000100000" w:firstRow="0" w:lastRow="0" w:firstColumn="0" w:lastColumn="0" w:oddVBand="0" w:evenVBand="0" w:oddHBand="1" w:evenHBand="0" w:firstRowFirstColumn="0" w:firstRowLastColumn="0" w:lastRowFirstColumn="0" w:lastRowLastColumn="0"/>
          <w:trHeight w:val="659"/>
        </w:trPr>
        <w:tc>
          <w:tcPr>
            <w:cnfStyle w:val="001000000000" w:firstRow="0" w:lastRow="0" w:firstColumn="1" w:lastColumn="0" w:oddVBand="0" w:evenVBand="0" w:oddHBand="0" w:evenHBand="0" w:firstRowFirstColumn="0" w:firstRowLastColumn="0" w:lastRowFirstColumn="0" w:lastRowLastColumn="0"/>
            <w:tcW w:w="2869" w:type="dxa"/>
            <w:vMerge/>
          </w:tcPr>
          <w:p w14:paraId="49D9C5C3" w14:textId="77777777" w:rsidR="00BE36FB" w:rsidRPr="009B7B35" w:rsidRDefault="00BE36FB" w:rsidP="001A7107">
            <w:pPr>
              <w:pStyle w:val="TableText"/>
              <w:rPr>
                <w:rFonts w:cs="Arial"/>
              </w:rPr>
            </w:pPr>
          </w:p>
        </w:tc>
        <w:tc>
          <w:tcPr>
            <w:tcW w:w="2333" w:type="dxa"/>
          </w:tcPr>
          <w:p w14:paraId="4284A30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 xml:space="preserve">Agriculture </w:t>
            </w:r>
          </w:p>
        </w:tc>
        <w:tc>
          <w:tcPr>
            <w:tcW w:w="4437" w:type="dxa"/>
          </w:tcPr>
          <w:p w14:paraId="756E3D0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Rural industry</w:t>
            </w:r>
          </w:p>
          <w:p w14:paraId="2128CD7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Forestry</w:t>
            </w:r>
          </w:p>
        </w:tc>
      </w:tr>
      <w:tr w:rsidR="00BE36FB" w:rsidRPr="009B7B35" w14:paraId="3051605C" w14:textId="77777777" w:rsidTr="001A7107">
        <w:trPr>
          <w:cnfStyle w:val="000000010000" w:firstRow="0" w:lastRow="0" w:firstColumn="0" w:lastColumn="0" w:oddVBand="0" w:evenVBand="0" w:oddHBand="0" w:evenHBand="1" w:firstRowFirstColumn="0" w:firstRowLastColumn="0" w:lastRowFirstColumn="0" w:lastRowLastColumn="0"/>
          <w:trHeight w:val="857"/>
        </w:trPr>
        <w:tc>
          <w:tcPr>
            <w:cnfStyle w:val="001000000000" w:firstRow="0" w:lastRow="0" w:firstColumn="1" w:lastColumn="0" w:oddVBand="0" w:evenVBand="0" w:oddHBand="0" w:evenHBand="0" w:firstRowFirstColumn="0" w:firstRowLastColumn="0" w:lastRowFirstColumn="0" w:lastRowLastColumn="0"/>
            <w:tcW w:w="2869" w:type="dxa"/>
            <w:vMerge w:val="restart"/>
          </w:tcPr>
          <w:p w14:paraId="2D915F6F" w14:textId="77777777" w:rsidR="00BE36FB" w:rsidRPr="009B7B35" w:rsidRDefault="00BE36FB" w:rsidP="001A7107">
            <w:pPr>
              <w:pStyle w:val="TableText"/>
              <w:rPr>
                <w:rFonts w:cs="Arial"/>
              </w:rPr>
            </w:pPr>
          </w:p>
        </w:tc>
        <w:tc>
          <w:tcPr>
            <w:tcW w:w="2333" w:type="dxa"/>
          </w:tcPr>
          <w:p w14:paraId="3D06EAE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b/>
              </w:rPr>
              <w:t xml:space="preserve">Intensive agriculture </w:t>
            </w:r>
          </w:p>
        </w:tc>
        <w:tc>
          <w:tcPr>
            <w:tcW w:w="4437" w:type="dxa"/>
          </w:tcPr>
          <w:p w14:paraId="4D6FA2D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Aquaculture </w:t>
            </w:r>
          </w:p>
          <w:p w14:paraId="4EC7385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Animal husbandry </w:t>
            </w:r>
          </w:p>
          <w:p w14:paraId="4BCA70A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Stock sales yard </w:t>
            </w:r>
          </w:p>
        </w:tc>
      </w:tr>
      <w:tr w:rsidR="00BE36FB" w:rsidRPr="009B7B35" w14:paraId="3C7D9820" w14:textId="77777777" w:rsidTr="001A7107">
        <w:trPr>
          <w:cnfStyle w:val="000000100000" w:firstRow="0" w:lastRow="0" w:firstColumn="0" w:lastColumn="0" w:oddVBand="0" w:evenVBand="0" w:oddHBand="1" w:evenHBand="0" w:firstRowFirstColumn="0" w:firstRowLastColumn="0" w:lastRowFirstColumn="0" w:lastRowLastColumn="0"/>
          <w:trHeight w:val="2882"/>
        </w:trPr>
        <w:tc>
          <w:tcPr>
            <w:cnfStyle w:val="001000000000" w:firstRow="0" w:lastRow="0" w:firstColumn="1" w:lastColumn="0" w:oddVBand="0" w:evenVBand="0" w:oddHBand="0" w:evenHBand="0" w:firstRowFirstColumn="0" w:firstRowLastColumn="0" w:lastRowFirstColumn="0" w:lastRowLastColumn="0"/>
            <w:tcW w:w="2869" w:type="dxa"/>
            <w:vMerge/>
          </w:tcPr>
          <w:p w14:paraId="3CEA7626" w14:textId="77777777" w:rsidR="00BE36FB" w:rsidRPr="009B7B35" w:rsidRDefault="00BE36FB" w:rsidP="001A7107">
            <w:pPr>
              <w:pStyle w:val="TableText"/>
              <w:rPr>
                <w:rFonts w:cs="Arial"/>
              </w:rPr>
            </w:pPr>
          </w:p>
        </w:tc>
        <w:tc>
          <w:tcPr>
            <w:tcW w:w="2333" w:type="dxa"/>
          </w:tcPr>
          <w:p w14:paraId="09C369A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b/>
              </w:rPr>
              <w:t>Other</w:t>
            </w:r>
          </w:p>
        </w:tc>
        <w:tc>
          <w:tcPr>
            <w:tcW w:w="4437" w:type="dxa"/>
          </w:tcPr>
          <w:p w14:paraId="28B8B09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Service station </w:t>
            </w:r>
          </w:p>
          <w:p w14:paraId="505C506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Agriculture supplies store </w:t>
            </w:r>
          </w:p>
          <w:p w14:paraId="008633D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Sales office </w:t>
            </w:r>
          </w:p>
          <w:p w14:paraId="377EF16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Advertising sign </w:t>
            </w:r>
          </w:p>
          <w:p w14:paraId="1BFFEEC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Park </w:t>
            </w:r>
          </w:p>
          <w:p w14:paraId="447774D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Major sports, rec &amp; entertainment </w:t>
            </w:r>
          </w:p>
          <w:p w14:paraId="35C98F2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Major infrastructure </w:t>
            </w:r>
          </w:p>
          <w:p w14:paraId="1085B67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Minor infrastructure </w:t>
            </w:r>
          </w:p>
          <w:p w14:paraId="74B5D14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Telecommunications facilities </w:t>
            </w:r>
          </w:p>
          <w:p w14:paraId="7E29F5F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Veterinary services </w:t>
            </w:r>
          </w:p>
          <w:p w14:paraId="2ACE040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Caretakers residence </w:t>
            </w:r>
          </w:p>
        </w:tc>
      </w:tr>
    </w:tbl>
    <w:p w14:paraId="3941C8B6" w14:textId="77777777" w:rsidR="00BE36FB" w:rsidRPr="009B7B35" w:rsidRDefault="00BE36FB" w:rsidP="001A7107">
      <w:pPr>
        <w:spacing w:before="360"/>
        <w:rPr>
          <w:rFonts w:ascii="Arial" w:hAnsi="Arial" w:cs="Arial"/>
          <w:sz w:val="20"/>
          <w:szCs w:val="20"/>
        </w:rPr>
      </w:pPr>
      <w:r w:rsidRPr="009B7B35">
        <w:rPr>
          <w:rFonts w:ascii="Arial" w:hAnsi="Arial" w:cs="Arial"/>
          <w:sz w:val="20"/>
          <w:szCs w:val="20"/>
        </w:rPr>
        <w:t>Details of the methodology used to prepare the planning assumptions are stated in Table 4.2.8.1 Extri</w:t>
      </w:r>
      <w:bookmarkStart w:id="135" w:name="_Toc402447482"/>
      <w:r w:rsidRPr="009B7B35">
        <w:rPr>
          <w:rFonts w:ascii="Arial" w:hAnsi="Arial" w:cs="Arial"/>
          <w:sz w:val="20"/>
          <w:szCs w:val="20"/>
        </w:rPr>
        <w:t>nsic material</w:t>
      </w:r>
    </w:p>
    <w:p w14:paraId="2BBDB3BA" w14:textId="77777777" w:rsidR="00BE36FB" w:rsidRPr="009B7B35" w:rsidRDefault="00BE36FB" w:rsidP="006776DA">
      <w:pPr>
        <w:pStyle w:val="Heading3"/>
        <w:numPr>
          <w:ilvl w:val="2"/>
          <w:numId w:val="882"/>
        </w:numPr>
        <w:spacing w:before="240"/>
        <w:ind w:left="851" w:hanging="851"/>
        <w:rPr>
          <w:rFonts w:ascii="Arial" w:hAnsi="Arial"/>
          <w:sz w:val="20"/>
          <w:szCs w:val="20"/>
        </w:rPr>
      </w:pPr>
      <w:bookmarkStart w:id="136" w:name="_Toc205367322"/>
      <w:r w:rsidRPr="009B7B35">
        <w:rPr>
          <w:rFonts w:ascii="Arial" w:hAnsi="Arial"/>
          <w:sz w:val="20"/>
          <w:szCs w:val="20"/>
        </w:rPr>
        <w:t>Population and employment growth</w:t>
      </w:r>
      <w:bookmarkEnd w:id="135"/>
      <w:bookmarkEnd w:id="136"/>
    </w:p>
    <w:p w14:paraId="27A4B698" w14:textId="77777777" w:rsidR="00BE36FB" w:rsidRPr="009B7B35" w:rsidRDefault="00BE36FB" w:rsidP="001A7107">
      <w:pPr>
        <w:rPr>
          <w:rFonts w:ascii="Arial" w:hAnsi="Arial" w:cs="Arial"/>
          <w:sz w:val="20"/>
          <w:szCs w:val="20"/>
        </w:rPr>
      </w:pPr>
      <w:r w:rsidRPr="009B7B35">
        <w:rPr>
          <w:rFonts w:ascii="Arial" w:hAnsi="Arial" w:cs="Arial"/>
          <w:sz w:val="20"/>
          <w:szCs w:val="20"/>
        </w:rPr>
        <w:t>A summary of the assumptions about population and employment growth for the planning scheme area is stated in Table 4.2.2.1.</w:t>
      </w:r>
    </w:p>
    <w:p w14:paraId="74FDBEC1" w14:textId="77777777" w:rsidR="00BE36FB" w:rsidRPr="009B7B35" w:rsidRDefault="00BE36FB" w:rsidP="00C148A6">
      <w:pPr>
        <w:pStyle w:val="Heading5"/>
        <w:numPr>
          <w:ilvl w:val="0"/>
          <w:numId w:val="0"/>
        </w:numPr>
        <w:rPr>
          <w:rFonts w:cs="Arial"/>
          <w:szCs w:val="20"/>
        </w:rPr>
      </w:pPr>
      <w:r w:rsidRPr="009B7B35">
        <w:rPr>
          <w:rFonts w:cs="Arial"/>
          <w:szCs w:val="20"/>
        </w:rPr>
        <w:t xml:space="preserve">Table 4.2.2.1—Population and employment assumptions summary </w:t>
      </w:r>
    </w:p>
    <w:tbl>
      <w:tblPr>
        <w:tblStyle w:val="Tablestyle"/>
        <w:tblW w:w="9639" w:type="dxa"/>
        <w:tblLook w:val="04A0" w:firstRow="1" w:lastRow="0" w:firstColumn="1" w:lastColumn="0" w:noHBand="0" w:noVBand="1"/>
      </w:tblPr>
      <w:tblGrid>
        <w:gridCol w:w="1405"/>
        <w:gridCol w:w="1289"/>
        <w:gridCol w:w="1417"/>
        <w:gridCol w:w="1382"/>
        <w:gridCol w:w="1382"/>
        <w:gridCol w:w="1382"/>
        <w:gridCol w:w="1382"/>
      </w:tblGrid>
      <w:tr w:rsidR="00BE36FB" w:rsidRPr="009B7B35" w14:paraId="14C66EC0" w14:textId="77777777" w:rsidTr="001A7107">
        <w:trPr>
          <w:cnfStyle w:val="100000000000" w:firstRow="1" w:lastRow="0" w:firstColumn="0" w:lastColumn="0" w:oddVBand="0" w:evenVBand="0" w:oddHBand="0"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4111" w:type="dxa"/>
            <w:gridSpan w:val="3"/>
          </w:tcPr>
          <w:p w14:paraId="458BF4A3" w14:textId="77777777" w:rsidR="00BE36FB" w:rsidRPr="009B7B35" w:rsidRDefault="00BE36FB" w:rsidP="001A7107">
            <w:pPr>
              <w:pStyle w:val="TableText"/>
              <w:rPr>
                <w:rFonts w:cs="Arial"/>
              </w:rPr>
            </w:pPr>
            <w:r w:rsidRPr="009B7B35">
              <w:rPr>
                <w:rFonts w:cs="Arial"/>
              </w:rPr>
              <w:t>Column 1</w:t>
            </w:r>
          </w:p>
          <w:p w14:paraId="2534FB3E" w14:textId="77777777" w:rsidR="00BE36FB" w:rsidRPr="009B7B35" w:rsidRDefault="00BE36FB" w:rsidP="001A7107">
            <w:pPr>
              <w:pStyle w:val="TableText"/>
              <w:rPr>
                <w:rFonts w:cs="Arial"/>
              </w:rPr>
            </w:pPr>
            <w:r w:rsidRPr="009B7B35">
              <w:rPr>
                <w:rFonts w:cs="Arial"/>
              </w:rPr>
              <w:t>Description</w:t>
            </w:r>
          </w:p>
        </w:tc>
        <w:tc>
          <w:tcPr>
            <w:tcW w:w="5528" w:type="dxa"/>
            <w:gridSpan w:val="4"/>
          </w:tcPr>
          <w:p w14:paraId="7C972DD2"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14:paraId="4EC5C940"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Assumptions</w:t>
            </w:r>
          </w:p>
        </w:tc>
      </w:tr>
      <w:tr w:rsidR="00BE36FB" w:rsidRPr="009B7B35" w14:paraId="0999C044" w14:textId="77777777" w:rsidTr="001A7107">
        <w:trPr>
          <w:cnfStyle w:val="000000100000" w:firstRow="0" w:lastRow="0" w:firstColumn="0" w:lastColumn="0" w:oddVBand="0" w:evenVBand="0" w:oddHBand="1" w:evenHBand="0" w:firstRowFirstColumn="0" w:firstRowLastColumn="0" w:lastRowFirstColumn="0" w:lastRowLastColumn="0"/>
          <w:trHeight w:val="115"/>
        </w:trPr>
        <w:tc>
          <w:tcPr>
            <w:cnfStyle w:val="001000000000" w:firstRow="0" w:lastRow="0" w:firstColumn="1" w:lastColumn="0" w:oddVBand="0" w:evenVBand="0" w:oddHBand="0" w:evenHBand="0" w:firstRowFirstColumn="0" w:firstRowLastColumn="0" w:lastRowFirstColumn="0" w:lastRowLastColumn="0"/>
            <w:tcW w:w="2694" w:type="dxa"/>
            <w:gridSpan w:val="2"/>
          </w:tcPr>
          <w:p w14:paraId="1B936EB4" w14:textId="77777777" w:rsidR="00BE36FB" w:rsidRPr="009B7B35" w:rsidRDefault="00BE36FB" w:rsidP="001A7107">
            <w:pPr>
              <w:pStyle w:val="TableText"/>
              <w:rPr>
                <w:rFonts w:cs="Arial"/>
              </w:rPr>
            </w:pPr>
          </w:p>
        </w:tc>
        <w:tc>
          <w:tcPr>
            <w:tcW w:w="1417" w:type="dxa"/>
            <w:shd w:val="clear" w:color="auto" w:fill="BFBFBF" w:themeFill="background1" w:themeFillShade="BF"/>
          </w:tcPr>
          <w:p w14:paraId="020AB6A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b/>
              </w:rPr>
              <w:t>Base date 2011</w:t>
            </w:r>
          </w:p>
        </w:tc>
        <w:tc>
          <w:tcPr>
            <w:tcW w:w="1382" w:type="dxa"/>
            <w:shd w:val="clear" w:color="auto" w:fill="BFBFBF" w:themeFill="background1" w:themeFillShade="BF"/>
          </w:tcPr>
          <w:p w14:paraId="700DCE2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2016</w:t>
            </w:r>
          </w:p>
        </w:tc>
        <w:tc>
          <w:tcPr>
            <w:tcW w:w="1382" w:type="dxa"/>
            <w:shd w:val="clear" w:color="auto" w:fill="BFBFBF" w:themeFill="background1" w:themeFillShade="BF"/>
          </w:tcPr>
          <w:p w14:paraId="5CAB865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2021</w:t>
            </w:r>
          </w:p>
        </w:tc>
        <w:tc>
          <w:tcPr>
            <w:tcW w:w="1382" w:type="dxa"/>
            <w:shd w:val="clear" w:color="auto" w:fill="BFBFBF" w:themeFill="background1" w:themeFillShade="BF"/>
          </w:tcPr>
          <w:p w14:paraId="3B4CA67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2026</w:t>
            </w:r>
          </w:p>
        </w:tc>
        <w:tc>
          <w:tcPr>
            <w:tcW w:w="1382" w:type="dxa"/>
            <w:shd w:val="clear" w:color="auto" w:fill="BFBFBF" w:themeFill="background1" w:themeFillShade="BF"/>
          </w:tcPr>
          <w:p w14:paraId="069B29A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2031</w:t>
            </w:r>
          </w:p>
        </w:tc>
      </w:tr>
      <w:tr w:rsidR="00BE36FB" w:rsidRPr="009B7B35" w14:paraId="7530D555" w14:textId="77777777" w:rsidTr="001A7107">
        <w:trPr>
          <w:cnfStyle w:val="000000010000" w:firstRow="0" w:lastRow="0" w:firstColumn="0" w:lastColumn="0" w:oddVBand="0" w:evenVBand="0" w:oddHBand="0" w:evenHBand="1"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405" w:type="dxa"/>
            <w:vMerge w:val="restart"/>
          </w:tcPr>
          <w:p w14:paraId="6A71A6F3" w14:textId="77777777" w:rsidR="00BE36FB" w:rsidRPr="009B7B35" w:rsidRDefault="00BE36FB" w:rsidP="001A7107">
            <w:pPr>
              <w:pStyle w:val="TableText"/>
              <w:rPr>
                <w:rFonts w:cs="Arial"/>
              </w:rPr>
            </w:pPr>
            <w:r w:rsidRPr="009B7B35">
              <w:rPr>
                <w:rFonts w:eastAsia="Arial" w:cs="Arial"/>
              </w:rPr>
              <w:t xml:space="preserve">Population </w:t>
            </w:r>
          </w:p>
        </w:tc>
        <w:tc>
          <w:tcPr>
            <w:tcW w:w="1289" w:type="dxa"/>
          </w:tcPr>
          <w:p w14:paraId="251EA59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No </w:t>
            </w:r>
          </w:p>
        </w:tc>
        <w:tc>
          <w:tcPr>
            <w:tcW w:w="1417" w:type="dxa"/>
          </w:tcPr>
          <w:p w14:paraId="23C3B8F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59,461 </w:t>
            </w:r>
          </w:p>
        </w:tc>
        <w:tc>
          <w:tcPr>
            <w:tcW w:w="1382" w:type="dxa"/>
          </w:tcPr>
          <w:p w14:paraId="269AF80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70,098 </w:t>
            </w:r>
          </w:p>
        </w:tc>
        <w:tc>
          <w:tcPr>
            <w:tcW w:w="1382" w:type="dxa"/>
          </w:tcPr>
          <w:p w14:paraId="2228FAE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83,424 </w:t>
            </w:r>
          </w:p>
        </w:tc>
        <w:tc>
          <w:tcPr>
            <w:tcW w:w="1382" w:type="dxa"/>
          </w:tcPr>
          <w:p w14:paraId="192E672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96,107 </w:t>
            </w:r>
          </w:p>
        </w:tc>
        <w:tc>
          <w:tcPr>
            <w:tcW w:w="1382" w:type="dxa"/>
          </w:tcPr>
          <w:p w14:paraId="2437367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108,582 </w:t>
            </w:r>
          </w:p>
        </w:tc>
      </w:tr>
      <w:tr w:rsidR="00BE36FB" w:rsidRPr="009B7B35" w14:paraId="6F71DF20" w14:textId="77777777"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405" w:type="dxa"/>
            <w:vMerge/>
          </w:tcPr>
          <w:p w14:paraId="6D750BDF" w14:textId="77777777" w:rsidR="00BE36FB" w:rsidRPr="009B7B35" w:rsidRDefault="00BE36FB" w:rsidP="001A7107">
            <w:pPr>
              <w:pStyle w:val="TableText"/>
              <w:rPr>
                <w:rFonts w:cs="Arial"/>
              </w:rPr>
            </w:pPr>
          </w:p>
        </w:tc>
        <w:tc>
          <w:tcPr>
            <w:tcW w:w="1289" w:type="dxa"/>
          </w:tcPr>
          <w:p w14:paraId="3E555CB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 change </w:t>
            </w:r>
          </w:p>
        </w:tc>
        <w:tc>
          <w:tcPr>
            <w:tcW w:w="1417" w:type="dxa"/>
          </w:tcPr>
          <w:p w14:paraId="6BD3290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1382" w:type="dxa"/>
          </w:tcPr>
          <w:p w14:paraId="1ED8F89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17.9% </w:t>
            </w:r>
          </w:p>
        </w:tc>
        <w:tc>
          <w:tcPr>
            <w:tcW w:w="1382" w:type="dxa"/>
          </w:tcPr>
          <w:p w14:paraId="04C64C3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19% </w:t>
            </w:r>
          </w:p>
        </w:tc>
        <w:tc>
          <w:tcPr>
            <w:tcW w:w="1382" w:type="dxa"/>
          </w:tcPr>
          <w:p w14:paraId="4666C82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15.2% </w:t>
            </w:r>
          </w:p>
        </w:tc>
        <w:tc>
          <w:tcPr>
            <w:tcW w:w="1382" w:type="dxa"/>
          </w:tcPr>
          <w:p w14:paraId="70184DE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13% </w:t>
            </w:r>
          </w:p>
        </w:tc>
      </w:tr>
      <w:tr w:rsidR="00BE36FB" w:rsidRPr="009B7B35" w14:paraId="4D400796" w14:textId="77777777" w:rsidTr="001A7107">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1405" w:type="dxa"/>
            <w:vMerge w:val="restart"/>
          </w:tcPr>
          <w:p w14:paraId="7E89B5A6" w14:textId="77777777" w:rsidR="00BE36FB" w:rsidRPr="009B7B35" w:rsidRDefault="00BE36FB" w:rsidP="001A7107">
            <w:pPr>
              <w:pStyle w:val="TableText"/>
              <w:rPr>
                <w:rFonts w:cs="Arial"/>
              </w:rPr>
            </w:pPr>
            <w:r w:rsidRPr="009B7B35">
              <w:rPr>
                <w:rFonts w:eastAsia="Arial" w:cs="Arial"/>
              </w:rPr>
              <w:t>Employment</w:t>
            </w:r>
          </w:p>
        </w:tc>
        <w:tc>
          <w:tcPr>
            <w:tcW w:w="1289" w:type="dxa"/>
          </w:tcPr>
          <w:p w14:paraId="040A983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No </w:t>
            </w:r>
          </w:p>
        </w:tc>
        <w:tc>
          <w:tcPr>
            <w:tcW w:w="1417" w:type="dxa"/>
          </w:tcPr>
          <w:p w14:paraId="257E5A0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15,933 </w:t>
            </w:r>
          </w:p>
        </w:tc>
        <w:tc>
          <w:tcPr>
            <w:tcW w:w="1382" w:type="dxa"/>
          </w:tcPr>
          <w:p w14:paraId="7B4FEB5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18,147 </w:t>
            </w:r>
          </w:p>
        </w:tc>
        <w:tc>
          <w:tcPr>
            <w:tcW w:w="1382" w:type="dxa"/>
          </w:tcPr>
          <w:p w14:paraId="440583E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20,478 </w:t>
            </w:r>
          </w:p>
        </w:tc>
        <w:tc>
          <w:tcPr>
            <w:tcW w:w="1382" w:type="dxa"/>
          </w:tcPr>
          <w:p w14:paraId="22A1765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23,360 </w:t>
            </w:r>
          </w:p>
        </w:tc>
        <w:tc>
          <w:tcPr>
            <w:tcW w:w="1382" w:type="dxa"/>
          </w:tcPr>
          <w:p w14:paraId="2746413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25,965 </w:t>
            </w:r>
          </w:p>
        </w:tc>
      </w:tr>
      <w:tr w:rsidR="00BE36FB" w:rsidRPr="009B7B35" w14:paraId="63A0A031" w14:textId="77777777" w:rsidTr="001A7107">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405" w:type="dxa"/>
            <w:vMerge/>
          </w:tcPr>
          <w:p w14:paraId="2C6FD8F7" w14:textId="77777777" w:rsidR="00BE36FB" w:rsidRPr="009B7B35" w:rsidRDefault="00BE36FB" w:rsidP="001A7107">
            <w:pPr>
              <w:pStyle w:val="TableText"/>
              <w:rPr>
                <w:rFonts w:cs="Arial"/>
              </w:rPr>
            </w:pPr>
          </w:p>
        </w:tc>
        <w:tc>
          <w:tcPr>
            <w:tcW w:w="1289" w:type="dxa"/>
          </w:tcPr>
          <w:p w14:paraId="59E33C8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 Change </w:t>
            </w:r>
          </w:p>
        </w:tc>
        <w:tc>
          <w:tcPr>
            <w:tcW w:w="1417" w:type="dxa"/>
          </w:tcPr>
          <w:p w14:paraId="7D967EE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1382" w:type="dxa"/>
          </w:tcPr>
          <w:p w14:paraId="118F5F0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13.9% </w:t>
            </w:r>
          </w:p>
        </w:tc>
        <w:tc>
          <w:tcPr>
            <w:tcW w:w="1382" w:type="dxa"/>
          </w:tcPr>
          <w:p w14:paraId="443D53C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12.8% </w:t>
            </w:r>
          </w:p>
        </w:tc>
        <w:tc>
          <w:tcPr>
            <w:tcW w:w="1382" w:type="dxa"/>
          </w:tcPr>
          <w:p w14:paraId="7FC4CB8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14.1% </w:t>
            </w:r>
          </w:p>
        </w:tc>
        <w:tc>
          <w:tcPr>
            <w:tcW w:w="1382" w:type="dxa"/>
          </w:tcPr>
          <w:p w14:paraId="3BC0844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11.2% </w:t>
            </w:r>
          </w:p>
        </w:tc>
      </w:tr>
    </w:tbl>
    <w:p w14:paraId="242E5B4F" w14:textId="77777777" w:rsidR="00BE36FB" w:rsidRPr="009B7B35" w:rsidRDefault="00BE36FB" w:rsidP="001A7107">
      <w:pPr>
        <w:pStyle w:val="Notes"/>
        <w:rPr>
          <w:rFonts w:cs="Arial"/>
          <w:sz w:val="20"/>
          <w:szCs w:val="20"/>
        </w:rPr>
      </w:pPr>
      <w:r w:rsidRPr="009B7B35">
        <w:rPr>
          <w:rFonts w:cs="Arial"/>
          <w:sz w:val="20"/>
          <w:szCs w:val="20"/>
        </w:rPr>
        <w:t>Source: OESR SA_2 projections (March 2014)</w:t>
      </w:r>
    </w:p>
    <w:p w14:paraId="2171A192" w14:textId="77777777" w:rsidR="00BE36FB" w:rsidRPr="009B7B35" w:rsidRDefault="00BE36FB" w:rsidP="001A7107">
      <w:pPr>
        <w:rPr>
          <w:rFonts w:ascii="Arial" w:hAnsi="Arial" w:cs="Arial"/>
          <w:sz w:val="20"/>
          <w:szCs w:val="20"/>
        </w:rPr>
      </w:pPr>
      <w:r w:rsidRPr="009B7B35">
        <w:rPr>
          <w:rFonts w:ascii="Arial" w:hAnsi="Arial" w:cs="Arial"/>
          <w:sz w:val="20"/>
          <w:szCs w:val="20"/>
        </w:rPr>
        <w:t>Detailed assumptions about growth for each projection area and LGIP development type category are identified in the following tables in Schedule 3 Local Government Infrastructure Plan (LGIP) mapping and tables:</w:t>
      </w:r>
    </w:p>
    <w:p w14:paraId="1F50168A" w14:textId="77777777" w:rsidR="00BE36FB" w:rsidRPr="009B7B35" w:rsidRDefault="00BE36FB" w:rsidP="00BE36FB">
      <w:pPr>
        <w:numPr>
          <w:ilvl w:val="0"/>
          <w:numId w:val="48"/>
        </w:numPr>
        <w:rPr>
          <w:rFonts w:ascii="Arial" w:hAnsi="Arial" w:cs="Arial"/>
          <w:sz w:val="20"/>
          <w:szCs w:val="20"/>
        </w:rPr>
      </w:pPr>
      <w:r w:rsidRPr="009B7B35">
        <w:rPr>
          <w:rFonts w:ascii="Arial" w:eastAsia="Arial" w:hAnsi="Arial" w:cs="Arial"/>
          <w:sz w:val="20"/>
          <w:szCs w:val="20"/>
        </w:rPr>
        <w:t>for population, Table SC3.1.1—Existing and projected population</w:t>
      </w:r>
    </w:p>
    <w:p w14:paraId="5E7D5DF5" w14:textId="77777777" w:rsidR="00BE36FB" w:rsidRPr="009B7B35" w:rsidRDefault="00BE36FB" w:rsidP="00BE36FB">
      <w:pPr>
        <w:numPr>
          <w:ilvl w:val="0"/>
          <w:numId w:val="48"/>
        </w:numPr>
        <w:rPr>
          <w:rFonts w:ascii="Arial" w:hAnsi="Arial" w:cs="Arial"/>
          <w:sz w:val="20"/>
          <w:szCs w:val="20"/>
        </w:rPr>
      </w:pPr>
      <w:r w:rsidRPr="009B7B35">
        <w:rPr>
          <w:rFonts w:ascii="Arial" w:eastAsia="Arial" w:hAnsi="Arial" w:cs="Arial"/>
          <w:sz w:val="20"/>
          <w:szCs w:val="20"/>
        </w:rPr>
        <w:t>for employment, Table SC3.1.2—Existing and projected employees</w:t>
      </w:r>
    </w:p>
    <w:p w14:paraId="0A8A7831" w14:textId="77777777" w:rsidR="00BE36FB" w:rsidRPr="009B7B35" w:rsidRDefault="00BE36FB" w:rsidP="006776DA">
      <w:pPr>
        <w:pStyle w:val="Heading4"/>
        <w:numPr>
          <w:ilvl w:val="3"/>
          <w:numId w:val="882"/>
        </w:numPr>
        <w:ind w:left="851" w:hanging="851"/>
        <w:rPr>
          <w:rFonts w:ascii="Arial" w:hAnsi="Arial" w:cs="Arial"/>
          <w:sz w:val="20"/>
          <w:szCs w:val="20"/>
        </w:rPr>
      </w:pPr>
      <w:bookmarkStart w:id="137" w:name="_Toc402447483"/>
      <w:r w:rsidRPr="009B7B35">
        <w:rPr>
          <w:rFonts w:ascii="Arial" w:hAnsi="Arial" w:cs="Arial"/>
          <w:sz w:val="20"/>
          <w:szCs w:val="20"/>
        </w:rPr>
        <w:t>Future development</w:t>
      </w:r>
      <w:bookmarkEnd w:id="137"/>
    </w:p>
    <w:p w14:paraId="7D31B0C3"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developable area is identified in Schedule SC3.3—Local government infrastructure plan maps. </w:t>
      </w:r>
    </w:p>
    <w:p w14:paraId="7657152F" w14:textId="77777777" w:rsidR="00BE36FB" w:rsidRPr="009B7B35" w:rsidRDefault="00BE36FB" w:rsidP="001A7107">
      <w:pPr>
        <w:rPr>
          <w:rFonts w:ascii="Arial" w:hAnsi="Arial" w:cs="Arial"/>
          <w:sz w:val="20"/>
          <w:szCs w:val="20"/>
        </w:rPr>
      </w:pPr>
      <w:r w:rsidRPr="009B7B35">
        <w:rPr>
          <w:rFonts w:ascii="Arial" w:hAnsi="Arial" w:cs="Arial"/>
          <w:sz w:val="20"/>
          <w:szCs w:val="20"/>
        </w:rPr>
        <w:t>The planned density for future development is stated in Table SC3.1.3—Planned density table in Schedule SC3.1—Planning assumption tables.</w:t>
      </w:r>
    </w:p>
    <w:p w14:paraId="05D49F18" w14:textId="77777777" w:rsidR="00BE36FB" w:rsidRPr="009B7B35" w:rsidRDefault="00BE36FB" w:rsidP="001A7107">
      <w:pPr>
        <w:rPr>
          <w:rFonts w:ascii="Arial" w:hAnsi="Arial" w:cs="Arial"/>
          <w:sz w:val="20"/>
          <w:szCs w:val="20"/>
        </w:rPr>
      </w:pPr>
    </w:p>
    <w:p w14:paraId="48E8084D" w14:textId="77777777" w:rsidR="00BE36FB" w:rsidRPr="009B7B35" w:rsidRDefault="00BE36FB" w:rsidP="001A7107">
      <w:pPr>
        <w:rPr>
          <w:rFonts w:ascii="Arial" w:hAnsi="Arial" w:cs="Arial"/>
          <w:sz w:val="20"/>
          <w:szCs w:val="20"/>
        </w:rPr>
      </w:pPr>
      <w:r w:rsidRPr="009B7B35">
        <w:rPr>
          <w:rFonts w:ascii="Arial" w:hAnsi="Arial" w:cs="Arial"/>
          <w:sz w:val="20"/>
          <w:szCs w:val="20"/>
        </w:rPr>
        <w:t>A summary of the assumptions about future residential and non-residential development for the planning scheme area is stated in Table 4.2.2.2—Residential dwellings &amp; non-residential floor space assumptions summary.</w:t>
      </w:r>
    </w:p>
    <w:p w14:paraId="08934EBD" w14:textId="77777777" w:rsidR="00BE36FB" w:rsidRPr="009B7B35" w:rsidRDefault="00BE36FB" w:rsidP="00C148A6">
      <w:pPr>
        <w:pStyle w:val="Heading5"/>
        <w:numPr>
          <w:ilvl w:val="0"/>
          <w:numId w:val="0"/>
        </w:numPr>
        <w:rPr>
          <w:rFonts w:cs="Arial"/>
          <w:szCs w:val="20"/>
        </w:rPr>
      </w:pPr>
      <w:r w:rsidRPr="009B7B35">
        <w:rPr>
          <w:rFonts w:cs="Arial"/>
          <w:szCs w:val="20"/>
        </w:rPr>
        <w:t xml:space="preserve">Table 4.2.2.2—Residential dwellings and non-residential floor space assumptions summary </w:t>
      </w:r>
    </w:p>
    <w:tbl>
      <w:tblPr>
        <w:tblStyle w:val="Tablestyle"/>
        <w:tblW w:w="9639" w:type="dxa"/>
        <w:tblLayout w:type="fixed"/>
        <w:tblLook w:val="04A0" w:firstRow="1" w:lastRow="0" w:firstColumn="1" w:lastColumn="0" w:noHBand="0" w:noVBand="1"/>
      </w:tblPr>
      <w:tblGrid>
        <w:gridCol w:w="1418"/>
        <w:gridCol w:w="1276"/>
        <w:gridCol w:w="1417"/>
        <w:gridCol w:w="1382"/>
        <w:gridCol w:w="1382"/>
        <w:gridCol w:w="1382"/>
        <w:gridCol w:w="1382"/>
      </w:tblGrid>
      <w:tr w:rsidR="00BE36FB" w:rsidRPr="009B7B35" w14:paraId="585A15EB" w14:textId="77777777" w:rsidTr="001A7107">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4111" w:type="dxa"/>
            <w:gridSpan w:val="3"/>
          </w:tcPr>
          <w:p w14:paraId="16405732" w14:textId="77777777" w:rsidR="00BE36FB" w:rsidRPr="009B7B35" w:rsidRDefault="00BE36FB" w:rsidP="001A7107">
            <w:pPr>
              <w:pStyle w:val="TableText"/>
              <w:rPr>
                <w:rFonts w:eastAsia="Arial" w:cs="Arial"/>
              </w:rPr>
            </w:pPr>
            <w:r w:rsidRPr="009B7B35">
              <w:rPr>
                <w:rFonts w:eastAsia="Arial" w:cs="Arial"/>
              </w:rPr>
              <w:t>Column 1</w:t>
            </w:r>
          </w:p>
          <w:p w14:paraId="3D5DC4EC" w14:textId="77777777" w:rsidR="00BE36FB" w:rsidRPr="009B7B35" w:rsidRDefault="00BE36FB" w:rsidP="001A7107">
            <w:pPr>
              <w:pStyle w:val="TableText"/>
              <w:rPr>
                <w:rFonts w:cs="Arial"/>
              </w:rPr>
            </w:pPr>
            <w:r w:rsidRPr="009B7B35">
              <w:rPr>
                <w:rFonts w:eastAsia="Arial" w:cs="Arial"/>
              </w:rPr>
              <w:t xml:space="preserve">Description </w:t>
            </w:r>
          </w:p>
        </w:tc>
        <w:tc>
          <w:tcPr>
            <w:tcW w:w="5528" w:type="dxa"/>
            <w:gridSpan w:val="4"/>
          </w:tcPr>
          <w:p w14:paraId="51586E92"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eastAsia="Arial" w:cs="Arial"/>
              </w:rPr>
            </w:pPr>
            <w:r w:rsidRPr="009B7B35">
              <w:rPr>
                <w:rFonts w:eastAsia="Arial" w:cs="Arial"/>
              </w:rPr>
              <w:t>Column 2</w:t>
            </w:r>
          </w:p>
          <w:p w14:paraId="4896B2E7"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eastAsia="Arial" w:cs="Arial"/>
              </w:rPr>
              <w:t>Assumptions</w:t>
            </w:r>
          </w:p>
        </w:tc>
      </w:tr>
      <w:tr w:rsidR="00BE36FB" w:rsidRPr="009B7B35" w14:paraId="09131679" w14:textId="77777777" w:rsidTr="001A7107">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2694" w:type="dxa"/>
            <w:gridSpan w:val="2"/>
          </w:tcPr>
          <w:p w14:paraId="1307B596" w14:textId="77777777" w:rsidR="00BE36FB" w:rsidRPr="009B7B35" w:rsidRDefault="00BE36FB" w:rsidP="001A7107">
            <w:pPr>
              <w:pStyle w:val="TableText"/>
              <w:rPr>
                <w:rFonts w:cs="Arial"/>
              </w:rPr>
            </w:pPr>
          </w:p>
        </w:tc>
        <w:tc>
          <w:tcPr>
            <w:tcW w:w="1417" w:type="dxa"/>
            <w:shd w:val="clear" w:color="auto" w:fill="BFBFBF" w:themeFill="background1" w:themeFillShade="BF"/>
          </w:tcPr>
          <w:p w14:paraId="29CDED7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Base date 2011</w:t>
            </w:r>
          </w:p>
        </w:tc>
        <w:tc>
          <w:tcPr>
            <w:tcW w:w="1382" w:type="dxa"/>
            <w:shd w:val="clear" w:color="auto" w:fill="BFBFBF" w:themeFill="background1" w:themeFillShade="BF"/>
          </w:tcPr>
          <w:p w14:paraId="5C1BF45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2016</w:t>
            </w:r>
          </w:p>
        </w:tc>
        <w:tc>
          <w:tcPr>
            <w:tcW w:w="1382" w:type="dxa"/>
            <w:shd w:val="clear" w:color="auto" w:fill="BFBFBF" w:themeFill="background1" w:themeFillShade="BF"/>
          </w:tcPr>
          <w:p w14:paraId="3779FFC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2021</w:t>
            </w:r>
          </w:p>
        </w:tc>
        <w:tc>
          <w:tcPr>
            <w:tcW w:w="1382" w:type="dxa"/>
            <w:shd w:val="clear" w:color="auto" w:fill="BFBFBF" w:themeFill="background1" w:themeFillShade="BF"/>
          </w:tcPr>
          <w:p w14:paraId="5E56626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2026</w:t>
            </w:r>
          </w:p>
        </w:tc>
        <w:tc>
          <w:tcPr>
            <w:tcW w:w="1382" w:type="dxa"/>
            <w:shd w:val="clear" w:color="auto" w:fill="BFBFBF" w:themeFill="background1" w:themeFillShade="BF"/>
          </w:tcPr>
          <w:p w14:paraId="33095BC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2031</w:t>
            </w:r>
          </w:p>
        </w:tc>
      </w:tr>
      <w:tr w:rsidR="00BE36FB" w:rsidRPr="009B7B35" w14:paraId="1FE3605D" w14:textId="77777777" w:rsidTr="001A7107">
        <w:trPr>
          <w:cnfStyle w:val="000000010000" w:firstRow="0" w:lastRow="0" w:firstColumn="0" w:lastColumn="0" w:oddVBand="0" w:evenVBand="0" w:oddHBand="0" w:evenHBand="1"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418" w:type="dxa"/>
            <w:vMerge w:val="restart"/>
          </w:tcPr>
          <w:p w14:paraId="3C51DB60" w14:textId="77777777" w:rsidR="00BE36FB" w:rsidRPr="009B7B35" w:rsidRDefault="00BE36FB" w:rsidP="001A7107">
            <w:pPr>
              <w:pStyle w:val="TableText"/>
              <w:rPr>
                <w:rFonts w:cs="Arial"/>
              </w:rPr>
            </w:pPr>
            <w:r w:rsidRPr="009B7B35">
              <w:rPr>
                <w:rFonts w:eastAsia="Arial" w:cs="Arial"/>
              </w:rPr>
              <w:t xml:space="preserve">Residential dwellings </w:t>
            </w:r>
          </w:p>
        </w:tc>
        <w:tc>
          <w:tcPr>
            <w:tcW w:w="1276" w:type="dxa"/>
          </w:tcPr>
          <w:p w14:paraId="2B59CD4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No of </w:t>
            </w:r>
          </w:p>
        </w:tc>
        <w:tc>
          <w:tcPr>
            <w:tcW w:w="1417" w:type="dxa"/>
          </w:tcPr>
          <w:p w14:paraId="2F255A7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25,155 </w:t>
            </w:r>
          </w:p>
        </w:tc>
        <w:tc>
          <w:tcPr>
            <w:tcW w:w="1382" w:type="dxa"/>
          </w:tcPr>
          <w:p w14:paraId="470B4A4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30,057</w:t>
            </w:r>
          </w:p>
        </w:tc>
        <w:tc>
          <w:tcPr>
            <w:tcW w:w="1382" w:type="dxa"/>
          </w:tcPr>
          <w:p w14:paraId="172CC26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36,136 </w:t>
            </w:r>
          </w:p>
        </w:tc>
        <w:tc>
          <w:tcPr>
            <w:tcW w:w="1382" w:type="dxa"/>
          </w:tcPr>
          <w:p w14:paraId="2B2BEAD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42,169 </w:t>
            </w:r>
          </w:p>
        </w:tc>
        <w:tc>
          <w:tcPr>
            <w:tcW w:w="1382" w:type="dxa"/>
          </w:tcPr>
          <w:p w14:paraId="4EDD6E7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47,519 </w:t>
            </w:r>
          </w:p>
        </w:tc>
      </w:tr>
      <w:tr w:rsidR="00BE36FB" w:rsidRPr="009B7B35" w14:paraId="629F5760" w14:textId="77777777" w:rsidTr="001A7107">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418" w:type="dxa"/>
            <w:vMerge/>
          </w:tcPr>
          <w:p w14:paraId="70F48BCD" w14:textId="77777777" w:rsidR="00BE36FB" w:rsidRPr="009B7B35" w:rsidRDefault="00BE36FB" w:rsidP="001A7107">
            <w:pPr>
              <w:pStyle w:val="TableText"/>
              <w:rPr>
                <w:rFonts w:cs="Arial"/>
              </w:rPr>
            </w:pPr>
          </w:p>
        </w:tc>
        <w:tc>
          <w:tcPr>
            <w:tcW w:w="1276" w:type="dxa"/>
          </w:tcPr>
          <w:p w14:paraId="70A4244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 Change </w:t>
            </w:r>
          </w:p>
        </w:tc>
        <w:tc>
          <w:tcPr>
            <w:tcW w:w="1417" w:type="dxa"/>
          </w:tcPr>
          <w:p w14:paraId="64103B0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1382" w:type="dxa"/>
          </w:tcPr>
          <w:p w14:paraId="5DB4DB1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19.5%</w:t>
            </w:r>
          </w:p>
        </w:tc>
        <w:tc>
          <w:tcPr>
            <w:tcW w:w="1382" w:type="dxa"/>
          </w:tcPr>
          <w:p w14:paraId="7E46355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20.2% </w:t>
            </w:r>
          </w:p>
        </w:tc>
        <w:tc>
          <w:tcPr>
            <w:tcW w:w="1382" w:type="dxa"/>
          </w:tcPr>
          <w:p w14:paraId="6678E34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16.7% </w:t>
            </w:r>
          </w:p>
        </w:tc>
        <w:tc>
          <w:tcPr>
            <w:tcW w:w="1382" w:type="dxa"/>
          </w:tcPr>
          <w:p w14:paraId="46B32BA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12.7% </w:t>
            </w:r>
          </w:p>
        </w:tc>
      </w:tr>
      <w:tr w:rsidR="00BE36FB" w:rsidRPr="009B7B35" w14:paraId="7597B32C" w14:textId="77777777" w:rsidTr="001A7107">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418" w:type="dxa"/>
            <w:vMerge w:val="restart"/>
          </w:tcPr>
          <w:p w14:paraId="15E7DB50" w14:textId="77777777" w:rsidR="00BE36FB" w:rsidRPr="009B7B35" w:rsidRDefault="00BE36FB" w:rsidP="001A7107">
            <w:pPr>
              <w:pStyle w:val="TableText"/>
              <w:rPr>
                <w:rFonts w:cs="Arial"/>
              </w:rPr>
            </w:pPr>
            <w:r w:rsidRPr="009B7B35">
              <w:rPr>
                <w:rFonts w:eastAsia="Arial" w:cs="Arial"/>
              </w:rPr>
              <w:t>Non-residential floor space (m</w:t>
            </w:r>
            <w:r w:rsidRPr="009B7B35">
              <w:rPr>
                <w:rFonts w:eastAsia="Arial" w:cs="Arial"/>
                <w:vertAlign w:val="superscript"/>
              </w:rPr>
              <w:t>2</w:t>
            </w:r>
            <w:r w:rsidRPr="009B7B35">
              <w:rPr>
                <w:rFonts w:eastAsia="Arial" w:cs="Arial"/>
              </w:rPr>
              <w:t xml:space="preserve"> GFA) </w:t>
            </w:r>
          </w:p>
        </w:tc>
        <w:tc>
          <w:tcPr>
            <w:tcW w:w="1276" w:type="dxa"/>
          </w:tcPr>
          <w:p w14:paraId="7AD552F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No of </w:t>
            </w:r>
          </w:p>
        </w:tc>
        <w:tc>
          <w:tcPr>
            <w:tcW w:w="1417" w:type="dxa"/>
          </w:tcPr>
          <w:p w14:paraId="64DBE14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1,590,350 </w:t>
            </w:r>
          </w:p>
        </w:tc>
        <w:tc>
          <w:tcPr>
            <w:tcW w:w="1382" w:type="dxa"/>
          </w:tcPr>
          <w:p w14:paraId="625F73F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1,722,383 </w:t>
            </w:r>
          </w:p>
        </w:tc>
        <w:tc>
          <w:tcPr>
            <w:tcW w:w="1382" w:type="dxa"/>
          </w:tcPr>
          <w:p w14:paraId="02F14DB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1,849,263 </w:t>
            </w:r>
          </w:p>
        </w:tc>
        <w:tc>
          <w:tcPr>
            <w:tcW w:w="1382" w:type="dxa"/>
          </w:tcPr>
          <w:p w14:paraId="7E3E02D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2,083,487 </w:t>
            </w:r>
          </w:p>
        </w:tc>
        <w:tc>
          <w:tcPr>
            <w:tcW w:w="1382" w:type="dxa"/>
          </w:tcPr>
          <w:p w14:paraId="2BFF20B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i/>
              </w:rPr>
              <w:t xml:space="preserve">2,175,583 </w:t>
            </w:r>
          </w:p>
        </w:tc>
      </w:tr>
      <w:tr w:rsidR="00BE36FB" w:rsidRPr="009B7B35" w14:paraId="68334975" w14:textId="77777777" w:rsidTr="001A7107">
        <w:trPr>
          <w:cnfStyle w:val="000000100000" w:firstRow="0" w:lastRow="0" w:firstColumn="0" w:lastColumn="0" w:oddVBand="0" w:evenVBand="0" w:oddHBand="1"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1418" w:type="dxa"/>
            <w:vMerge/>
          </w:tcPr>
          <w:p w14:paraId="57C187E2" w14:textId="77777777" w:rsidR="00BE36FB" w:rsidRPr="009B7B35" w:rsidRDefault="00BE36FB" w:rsidP="001A7107">
            <w:pPr>
              <w:pStyle w:val="TableText"/>
              <w:rPr>
                <w:rFonts w:cs="Arial"/>
              </w:rPr>
            </w:pPr>
          </w:p>
        </w:tc>
        <w:tc>
          <w:tcPr>
            <w:tcW w:w="1276" w:type="dxa"/>
          </w:tcPr>
          <w:p w14:paraId="3686CE5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 change </w:t>
            </w:r>
          </w:p>
        </w:tc>
        <w:tc>
          <w:tcPr>
            <w:tcW w:w="1417" w:type="dxa"/>
          </w:tcPr>
          <w:p w14:paraId="6CA6559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1382" w:type="dxa"/>
          </w:tcPr>
          <w:p w14:paraId="442D687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11.5%</w:t>
            </w:r>
          </w:p>
        </w:tc>
        <w:tc>
          <w:tcPr>
            <w:tcW w:w="1382" w:type="dxa"/>
          </w:tcPr>
          <w:p w14:paraId="1D0DF13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7.4% </w:t>
            </w:r>
          </w:p>
        </w:tc>
        <w:tc>
          <w:tcPr>
            <w:tcW w:w="1382" w:type="dxa"/>
          </w:tcPr>
          <w:p w14:paraId="3AEB2C6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12.7% </w:t>
            </w:r>
          </w:p>
        </w:tc>
        <w:tc>
          <w:tcPr>
            <w:tcW w:w="1382" w:type="dxa"/>
          </w:tcPr>
          <w:p w14:paraId="6B138DC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4.4% </w:t>
            </w:r>
          </w:p>
        </w:tc>
      </w:tr>
    </w:tbl>
    <w:p w14:paraId="12960E02" w14:textId="77777777" w:rsidR="00BE36FB" w:rsidRPr="009B7B35" w:rsidRDefault="00BE36FB" w:rsidP="001A7107">
      <w:pPr>
        <w:pStyle w:val="Notes"/>
        <w:rPr>
          <w:rFonts w:cs="Arial"/>
          <w:sz w:val="20"/>
          <w:szCs w:val="20"/>
        </w:rPr>
      </w:pPr>
      <w:r w:rsidRPr="009B7B35">
        <w:rPr>
          <w:rFonts w:cs="Arial"/>
          <w:sz w:val="20"/>
          <w:szCs w:val="20"/>
        </w:rPr>
        <w:t>Source: OESR SA_2 projections (March 2014)</w:t>
      </w:r>
    </w:p>
    <w:p w14:paraId="21A429E9"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Detailed assumptions about future development for each projection area and LGIP development type are identified in the following tables in Schedule 3 Local Government Infrastructure Plan (LGIP) mapping and tables: </w:t>
      </w:r>
    </w:p>
    <w:p w14:paraId="31E8988D" w14:textId="77777777" w:rsidR="00BE36FB" w:rsidRPr="009B7B35" w:rsidRDefault="00BE36FB" w:rsidP="00BE36FB">
      <w:pPr>
        <w:numPr>
          <w:ilvl w:val="0"/>
          <w:numId w:val="49"/>
        </w:numPr>
        <w:rPr>
          <w:rFonts w:ascii="Arial" w:hAnsi="Arial" w:cs="Arial"/>
          <w:sz w:val="20"/>
          <w:szCs w:val="20"/>
        </w:rPr>
      </w:pPr>
      <w:bookmarkStart w:id="138" w:name="_Toc402447484"/>
      <w:r w:rsidRPr="009B7B35">
        <w:rPr>
          <w:rFonts w:ascii="Arial" w:hAnsi="Arial" w:cs="Arial"/>
          <w:sz w:val="20"/>
          <w:szCs w:val="20"/>
        </w:rPr>
        <w:t>For residential development, Table SC3.1.5—Existing and projected residential dwellings.</w:t>
      </w:r>
    </w:p>
    <w:p w14:paraId="433128F2" w14:textId="77777777" w:rsidR="00BE36FB" w:rsidRPr="009B7B35" w:rsidRDefault="00BE36FB" w:rsidP="00BE36FB">
      <w:pPr>
        <w:numPr>
          <w:ilvl w:val="0"/>
          <w:numId w:val="49"/>
        </w:numPr>
        <w:rPr>
          <w:rFonts w:ascii="Arial" w:hAnsi="Arial" w:cs="Arial"/>
          <w:sz w:val="20"/>
          <w:szCs w:val="20"/>
        </w:rPr>
      </w:pPr>
      <w:r w:rsidRPr="009B7B35">
        <w:rPr>
          <w:rFonts w:ascii="Arial" w:hAnsi="Arial" w:cs="Arial"/>
          <w:sz w:val="20"/>
          <w:szCs w:val="20"/>
        </w:rPr>
        <w:t>For non-residential development, Table SC3.1.6—Existing and projected non-residential floor space.</w:t>
      </w:r>
    </w:p>
    <w:p w14:paraId="4FFCAFF1" w14:textId="77777777" w:rsidR="00BE36FB" w:rsidRPr="009B7B35" w:rsidRDefault="00BE36FB" w:rsidP="006776DA">
      <w:pPr>
        <w:pStyle w:val="Heading4"/>
        <w:numPr>
          <w:ilvl w:val="3"/>
          <w:numId w:val="882"/>
        </w:numPr>
        <w:ind w:left="851" w:hanging="851"/>
        <w:rPr>
          <w:rFonts w:ascii="Arial" w:hAnsi="Arial" w:cs="Arial"/>
          <w:sz w:val="20"/>
          <w:szCs w:val="20"/>
        </w:rPr>
      </w:pPr>
      <w:r w:rsidRPr="009B7B35">
        <w:rPr>
          <w:rFonts w:ascii="Arial" w:hAnsi="Arial" w:cs="Arial"/>
          <w:sz w:val="20"/>
          <w:szCs w:val="20"/>
        </w:rPr>
        <w:t>Infrastructure demand</w:t>
      </w:r>
      <w:bookmarkEnd w:id="138"/>
      <w:r w:rsidRPr="009B7B35">
        <w:rPr>
          <w:rFonts w:ascii="Arial" w:hAnsi="Arial" w:cs="Arial"/>
          <w:sz w:val="20"/>
          <w:szCs w:val="20"/>
        </w:rPr>
        <w:t xml:space="preserve"> </w:t>
      </w:r>
    </w:p>
    <w:p w14:paraId="2BF69D33" w14:textId="77777777" w:rsidR="00BE36FB" w:rsidRPr="009B7B35" w:rsidRDefault="00BE36FB" w:rsidP="001A7107">
      <w:pPr>
        <w:rPr>
          <w:rFonts w:ascii="Arial" w:hAnsi="Arial" w:cs="Arial"/>
          <w:sz w:val="20"/>
          <w:szCs w:val="20"/>
        </w:rPr>
      </w:pPr>
      <w:r w:rsidRPr="009B7B35">
        <w:rPr>
          <w:rFonts w:ascii="Arial" w:hAnsi="Arial" w:cs="Arial"/>
          <w:sz w:val="20"/>
          <w:szCs w:val="20"/>
        </w:rPr>
        <w:t>The demand generation rate for a trunk infrastructure network is stated in Schedule SC3—Planning assumption tables.</w:t>
      </w:r>
    </w:p>
    <w:p w14:paraId="2EF96F8A" w14:textId="77777777" w:rsidR="00BE36FB" w:rsidRPr="009B7B35" w:rsidRDefault="00BE36FB" w:rsidP="001A7107">
      <w:pPr>
        <w:rPr>
          <w:rFonts w:ascii="Arial" w:hAnsi="Arial" w:cs="Arial"/>
          <w:sz w:val="20"/>
          <w:szCs w:val="20"/>
        </w:rPr>
      </w:pPr>
    </w:p>
    <w:p w14:paraId="3238DBF2"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A summary of the projected infrastructure demand for each service catchment is stated in: </w:t>
      </w:r>
    </w:p>
    <w:p w14:paraId="4A5AB273" w14:textId="77777777" w:rsidR="00BE36FB" w:rsidRPr="009B7B35" w:rsidRDefault="00BE36FB" w:rsidP="00BE36FB">
      <w:pPr>
        <w:numPr>
          <w:ilvl w:val="0"/>
          <w:numId w:val="50"/>
        </w:numPr>
        <w:rPr>
          <w:rFonts w:ascii="Arial" w:hAnsi="Arial" w:cs="Arial"/>
          <w:sz w:val="20"/>
          <w:szCs w:val="20"/>
        </w:rPr>
      </w:pPr>
      <w:r w:rsidRPr="009B7B35">
        <w:rPr>
          <w:rFonts w:ascii="Arial" w:hAnsi="Arial" w:cs="Arial"/>
          <w:sz w:val="20"/>
          <w:szCs w:val="20"/>
        </w:rPr>
        <w:t>For the water supply network, Table SC3.1.7—Existing and projected demand for the water supply network.</w:t>
      </w:r>
    </w:p>
    <w:p w14:paraId="147CAFF6" w14:textId="77777777" w:rsidR="00BE36FB" w:rsidRPr="009B7B35" w:rsidRDefault="00BE36FB" w:rsidP="00BE36FB">
      <w:pPr>
        <w:numPr>
          <w:ilvl w:val="0"/>
          <w:numId w:val="50"/>
        </w:numPr>
        <w:rPr>
          <w:rFonts w:ascii="Arial" w:hAnsi="Arial" w:cs="Arial"/>
          <w:sz w:val="20"/>
          <w:szCs w:val="20"/>
        </w:rPr>
      </w:pPr>
      <w:r w:rsidRPr="009B7B35">
        <w:rPr>
          <w:rFonts w:ascii="Arial" w:hAnsi="Arial" w:cs="Arial"/>
          <w:sz w:val="20"/>
          <w:szCs w:val="20"/>
        </w:rPr>
        <w:t>For the sewerage network, Table SC3.1.8—Existing and projected demand for the sewerage network.</w:t>
      </w:r>
    </w:p>
    <w:p w14:paraId="0E771D1A" w14:textId="77777777" w:rsidR="00BE36FB" w:rsidRPr="009B7B35" w:rsidRDefault="00BE36FB" w:rsidP="00BE36FB">
      <w:pPr>
        <w:numPr>
          <w:ilvl w:val="0"/>
          <w:numId w:val="50"/>
        </w:numPr>
        <w:rPr>
          <w:rFonts w:ascii="Arial" w:hAnsi="Arial" w:cs="Arial"/>
          <w:sz w:val="20"/>
          <w:szCs w:val="20"/>
        </w:rPr>
      </w:pPr>
      <w:r w:rsidRPr="009B7B35">
        <w:rPr>
          <w:rFonts w:ascii="Arial" w:hAnsi="Arial" w:cs="Arial"/>
          <w:sz w:val="20"/>
          <w:szCs w:val="20"/>
        </w:rPr>
        <w:t>For the transport network, Table SC3.1.9—Existing and projected demand for the transport network, and</w:t>
      </w:r>
    </w:p>
    <w:p w14:paraId="0AA432C9" w14:textId="77777777" w:rsidR="00BE36FB" w:rsidRPr="009B7B35" w:rsidRDefault="00BE36FB" w:rsidP="00BE36FB">
      <w:pPr>
        <w:numPr>
          <w:ilvl w:val="0"/>
          <w:numId w:val="50"/>
        </w:numPr>
        <w:rPr>
          <w:rFonts w:ascii="Arial" w:hAnsi="Arial" w:cs="Arial"/>
          <w:sz w:val="20"/>
          <w:szCs w:val="20"/>
        </w:rPr>
      </w:pPr>
      <w:r w:rsidRPr="009B7B35">
        <w:rPr>
          <w:rFonts w:ascii="Arial" w:hAnsi="Arial" w:cs="Arial"/>
          <w:sz w:val="20"/>
          <w:szCs w:val="20"/>
        </w:rPr>
        <w:t>For the parks and land for community facilities network, Table SC3.1.10—Existing and projected demand for the parks and land for community facilities network.</w:t>
      </w:r>
    </w:p>
    <w:p w14:paraId="583CEF4F" w14:textId="77777777" w:rsidR="00BE36FB" w:rsidRPr="009B7B35" w:rsidRDefault="00BE36FB" w:rsidP="006776DA">
      <w:pPr>
        <w:pStyle w:val="Heading3"/>
        <w:numPr>
          <w:ilvl w:val="2"/>
          <w:numId w:val="882"/>
        </w:numPr>
        <w:spacing w:before="360"/>
        <w:ind w:left="851" w:hanging="851"/>
        <w:rPr>
          <w:rFonts w:ascii="Arial" w:hAnsi="Arial"/>
          <w:sz w:val="20"/>
          <w:szCs w:val="20"/>
        </w:rPr>
      </w:pPr>
      <w:bookmarkStart w:id="139" w:name="_Toc402447485"/>
      <w:bookmarkStart w:id="140" w:name="_Toc205367323"/>
      <w:r w:rsidRPr="009B7B35">
        <w:rPr>
          <w:rFonts w:ascii="Arial" w:hAnsi="Arial"/>
          <w:sz w:val="20"/>
          <w:szCs w:val="20"/>
        </w:rPr>
        <w:t>Infrastructure areas</w:t>
      </w:r>
      <w:bookmarkEnd w:id="139"/>
      <w:bookmarkEnd w:id="140"/>
    </w:p>
    <w:p w14:paraId="34B57C92" w14:textId="77777777" w:rsidR="00BE36FB" w:rsidRPr="009B7B35" w:rsidRDefault="00BE36FB" w:rsidP="006776DA">
      <w:pPr>
        <w:pStyle w:val="Heading4"/>
        <w:numPr>
          <w:ilvl w:val="3"/>
          <w:numId w:val="882"/>
        </w:numPr>
        <w:ind w:left="851" w:hanging="851"/>
        <w:rPr>
          <w:rFonts w:ascii="Arial" w:hAnsi="Arial" w:cs="Arial"/>
          <w:sz w:val="20"/>
          <w:szCs w:val="20"/>
        </w:rPr>
      </w:pPr>
      <w:bookmarkStart w:id="141" w:name="_Toc402447486"/>
      <w:r w:rsidRPr="009B7B35">
        <w:rPr>
          <w:rFonts w:ascii="Arial" w:hAnsi="Arial" w:cs="Arial"/>
          <w:sz w:val="20"/>
          <w:szCs w:val="20"/>
        </w:rPr>
        <w:t>Priority infrastructure area</w:t>
      </w:r>
      <w:bookmarkEnd w:id="141"/>
    </w:p>
    <w:p w14:paraId="3178C2D5" w14:textId="77777777" w:rsidR="00BE36FB" w:rsidRPr="009B7B35" w:rsidRDefault="00BE36FB" w:rsidP="001A7107">
      <w:pPr>
        <w:rPr>
          <w:rFonts w:ascii="Arial" w:hAnsi="Arial" w:cs="Arial"/>
          <w:sz w:val="20"/>
          <w:szCs w:val="20"/>
        </w:rPr>
      </w:pPr>
      <w:r w:rsidRPr="009B7B35">
        <w:rPr>
          <w:rFonts w:ascii="Arial" w:hAnsi="Arial" w:cs="Arial"/>
          <w:sz w:val="20"/>
          <w:szCs w:val="20"/>
        </w:rPr>
        <w:t>The Priority Infrastructure Area (PIA) identifies the area prioritised for the provision of trunk infrastructure to service the existing and assumed future urban development up to 2031.</w:t>
      </w:r>
    </w:p>
    <w:p w14:paraId="00D73E66" w14:textId="77777777" w:rsidR="00BE36FB" w:rsidRPr="009B7B35" w:rsidRDefault="00BE36FB" w:rsidP="001A7107">
      <w:pPr>
        <w:rPr>
          <w:rFonts w:ascii="Arial" w:hAnsi="Arial" w:cs="Arial"/>
          <w:sz w:val="20"/>
          <w:szCs w:val="20"/>
        </w:rPr>
      </w:pPr>
    </w:p>
    <w:p w14:paraId="5C817A70" w14:textId="77777777" w:rsidR="00BE36FB" w:rsidRPr="009B7B35" w:rsidRDefault="00BE36FB" w:rsidP="001A7107">
      <w:pPr>
        <w:rPr>
          <w:rFonts w:ascii="Arial" w:hAnsi="Arial" w:cs="Arial"/>
          <w:sz w:val="20"/>
          <w:szCs w:val="20"/>
        </w:rPr>
      </w:pPr>
      <w:r w:rsidRPr="009B7B35">
        <w:rPr>
          <w:rFonts w:ascii="Arial" w:hAnsi="Arial" w:cs="Arial"/>
          <w:color w:val="000000"/>
          <w:sz w:val="20"/>
          <w:szCs w:val="20"/>
        </w:rPr>
        <w:t xml:space="preserve">The Priority Infrastructure Area is identified in </w:t>
      </w:r>
      <w:r w:rsidRPr="009B7B35">
        <w:rPr>
          <w:rFonts w:ascii="Arial" w:hAnsi="Arial" w:cs="Arial"/>
          <w:sz w:val="20"/>
          <w:szCs w:val="20"/>
        </w:rPr>
        <w:t>Schedule SC3.3—Local government infrastructure plan maps</w:t>
      </w:r>
      <w:r w:rsidRPr="009B7B35">
        <w:rPr>
          <w:rFonts w:ascii="Arial" w:hAnsi="Arial" w:cs="Arial"/>
          <w:color w:val="000000"/>
          <w:sz w:val="20"/>
          <w:szCs w:val="20"/>
        </w:rPr>
        <w:t>.</w:t>
      </w:r>
    </w:p>
    <w:p w14:paraId="6E42FB0B" w14:textId="77777777" w:rsidR="00BE36FB" w:rsidRPr="009B7B35" w:rsidRDefault="00BE36FB" w:rsidP="006776DA">
      <w:pPr>
        <w:pStyle w:val="Heading4"/>
        <w:numPr>
          <w:ilvl w:val="3"/>
          <w:numId w:val="882"/>
        </w:numPr>
        <w:ind w:left="851" w:hanging="851"/>
        <w:rPr>
          <w:rFonts w:ascii="Arial" w:hAnsi="Arial" w:cs="Arial"/>
          <w:sz w:val="20"/>
          <w:szCs w:val="20"/>
        </w:rPr>
      </w:pPr>
      <w:bookmarkStart w:id="142" w:name="_Toc402447487"/>
      <w:r w:rsidRPr="009B7B35">
        <w:rPr>
          <w:rFonts w:ascii="Arial" w:hAnsi="Arial" w:cs="Arial"/>
          <w:sz w:val="20"/>
          <w:szCs w:val="20"/>
        </w:rPr>
        <w:t>Defined service area</w:t>
      </w:r>
      <w:bookmarkEnd w:id="142"/>
      <w:r w:rsidRPr="009B7B35">
        <w:rPr>
          <w:rFonts w:ascii="Arial" w:hAnsi="Arial" w:cs="Arial"/>
          <w:sz w:val="20"/>
          <w:szCs w:val="20"/>
        </w:rPr>
        <w:t xml:space="preserve"> </w:t>
      </w:r>
    </w:p>
    <w:p w14:paraId="1AA5D0EE" w14:textId="77777777" w:rsidR="00BE36FB" w:rsidRPr="009B7B35" w:rsidRDefault="00BE36FB" w:rsidP="001A7107">
      <w:pPr>
        <w:rPr>
          <w:rFonts w:ascii="Arial" w:hAnsi="Arial" w:cs="Arial"/>
          <w:sz w:val="20"/>
          <w:szCs w:val="20"/>
        </w:rPr>
      </w:pPr>
      <w:r w:rsidRPr="009B7B35">
        <w:rPr>
          <w:rFonts w:ascii="Arial" w:hAnsi="Arial" w:cs="Arial"/>
          <w:sz w:val="20"/>
          <w:szCs w:val="20"/>
        </w:rPr>
        <w:t>Council has identified the area(s) within which it ultimately intends to provide retail water and sewerage services (as defined under the Water Act). These service areas identify where Council will ultimately deliver its nominated retail service standards to customers and includes areas which are not anticipated as developing within the LGIP timeframe. It does not have any relevance to the planning decisions (including consideration of trunk infrastructure) made under the Sustainable Planning Act 2009 (repealed).</w:t>
      </w:r>
    </w:p>
    <w:p w14:paraId="664CFEB8" w14:textId="77777777" w:rsidR="00BE36FB" w:rsidRPr="009B7B35" w:rsidRDefault="00BE36FB" w:rsidP="006776DA">
      <w:pPr>
        <w:pStyle w:val="Heading3"/>
        <w:numPr>
          <w:ilvl w:val="2"/>
          <w:numId w:val="882"/>
        </w:numPr>
        <w:spacing w:before="360"/>
        <w:ind w:left="851" w:hanging="851"/>
        <w:rPr>
          <w:rFonts w:ascii="Arial" w:hAnsi="Arial"/>
          <w:sz w:val="20"/>
          <w:szCs w:val="20"/>
        </w:rPr>
      </w:pPr>
      <w:bookmarkStart w:id="143" w:name="_Toc402447488"/>
      <w:bookmarkStart w:id="144" w:name="_Toc205367324"/>
      <w:r w:rsidRPr="009B7B35">
        <w:rPr>
          <w:rFonts w:ascii="Arial" w:hAnsi="Arial"/>
          <w:sz w:val="20"/>
          <w:szCs w:val="20"/>
        </w:rPr>
        <w:t>Desired standards of service</w:t>
      </w:r>
      <w:bookmarkEnd w:id="143"/>
      <w:bookmarkEnd w:id="144"/>
    </w:p>
    <w:p w14:paraId="32D4C4E4" w14:textId="77777777" w:rsidR="00BE36FB" w:rsidRPr="009B7B35" w:rsidRDefault="00BE36FB" w:rsidP="001A7107">
      <w:pPr>
        <w:rPr>
          <w:rFonts w:ascii="Arial" w:hAnsi="Arial" w:cs="Arial"/>
          <w:sz w:val="20"/>
          <w:szCs w:val="20"/>
        </w:rPr>
      </w:pPr>
      <w:r w:rsidRPr="009B7B35">
        <w:rPr>
          <w:rFonts w:ascii="Arial" w:hAnsi="Arial" w:cs="Arial"/>
          <w:sz w:val="20"/>
          <w:szCs w:val="20"/>
        </w:rPr>
        <w:t>This section states the key standards of performance for a trunk infrastructure network. The desired standard of service details the standards that comprise an infrastructure network most suitable for the local context.</w:t>
      </w:r>
    </w:p>
    <w:p w14:paraId="279235D2" w14:textId="77777777" w:rsidR="00BE36FB" w:rsidRPr="009B7B35" w:rsidRDefault="00BE36FB" w:rsidP="001A7107">
      <w:pPr>
        <w:rPr>
          <w:rFonts w:ascii="Arial" w:hAnsi="Arial" w:cs="Arial"/>
          <w:sz w:val="20"/>
          <w:szCs w:val="20"/>
        </w:rPr>
      </w:pPr>
    </w:p>
    <w:p w14:paraId="2F278EB5" w14:textId="77777777" w:rsidR="00BE36FB" w:rsidRPr="009B7B35" w:rsidRDefault="00BE36FB" w:rsidP="001A7107">
      <w:pPr>
        <w:rPr>
          <w:rFonts w:ascii="Arial" w:hAnsi="Arial" w:cs="Arial"/>
          <w:sz w:val="20"/>
          <w:szCs w:val="20"/>
        </w:rPr>
      </w:pPr>
      <w:r w:rsidRPr="009B7B35">
        <w:rPr>
          <w:rFonts w:ascii="Arial" w:hAnsi="Arial" w:cs="Arial"/>
          <w:sz w:val="20"/>
          <w:szCs w:val="20"/>
        </w:rPr>
        <w:t>Details of the desired standard of service for a trunk infrastructure network are identified in the extrinsic material.</w:t>
      </w:r>
    </w:p>
    <w:p w14:paraId="1B9A924B" w14:textId="77777777" w:rsidR="00BE36FB" w:rsidRPr="009B7B35" w:rsidRDefault="00BE36FB" w:rsidP="006776DA">
      <w:pPr>
        <w:pStyle w:val="Heading4"/>
        <w:numPr>
          <w:ilvl w:val="3"/>
          <w:numId w:val="882"/>
        </w:numPr>
        <w:ind w:left="851" w:hanging="851"/>
        <w:rPr>
          <w:rFonts w:ascii="Arial" w:hAnsi="Arial" w:cs="Arial"/>
          <w:sz w:val="20"/>
          <w:szCs w:val="20"/>
        </w:rPr>
      </w:pPr>
      <w:bookmarkStart w:id="145" w:name="_Toc402447489"/>
      <w:r w:rsidRPr="009B7B35">
        <w:rPr>
          <w:rFonts w:ascii="Arial" w:hAnsi="Arial" w:cs="Arial"/>
          <w:sz w:val="20"/>
          <w:szCs w:val="20"/>
        </w:rPr>
        <w:t>Water supply network</w:t>
      </w:r>
      <w:bookmarkEnd w:id="145"/>
      <w:r w:rsidRPr="009B7B35">
        <w:rPr>
          <w:rFonts w:ascii="Arial" w:hAnsi="Arial" w:cs="Arial"/>
          <w:sz w:val="20"/>
          <w:szCs w:val="20"/>
        </w:rPr>
        <w:t xml:space="preserve"> </w:t>
      </w:r>
    </w:p>
    <w:p w14:paraId="13EB073D" w14:textId="77777777" w:rsidR="00BE36FB" w:rsidRPr="009B7B35" w:rsidRDefault="00BE36FB" w:rsidP="001A7107">
      <w:pPr>
        <w:rPr>
          <w:rFonts w:ascii="Arial" w:hAnsi="Arial" w:cs="Arial"/>
          <w:sz w:val="20"/>
          <w:szCs w:val="20"/>
        </w:rPr>
      </w:pPr>
      <w:r w:rsidRPr="009B7B35">
        <w:rPr>
          <w:rFonts w:ascii="Arial" w:hAnsi="Arial" w:cs="Arial"/>
          <w:sz w:val="20"/>
          <w:szCs w:val="20"/>
        </w:rPr>
        <w:t>The desired standard of service for the water network includes the following:</w:t>
      </w:r>
    </w:p>
    <w:p w14:paraId="3A816748" w14:textId="77777777" w:rsidR="00BE36FB" w:rsidRPr="009B7B35" w:rsidRDefault="00BE36FB" w:rsidP="00BE36FB">
      <w:pPr>
        <w:numPr>
          <w:ilvl w:val="0"/>
          <w:numId w:val="51"/>
        </w:numPr>
        <w:rPr>
          <w:rFonts w:ascii="Arial" w:hAnsi="Arial" w:cs="Arial"/>
          <w:sz w:val="20"/>
          <w:szCs w:val="20"/>
        </w:rPr>
      </w:pPr>
      <w:r w:rsidRPr="009B7B35">
        <w:rPr>
          <w:rFonts w:ascii="Arial" w:eastAsia="Arial" w:hAnsi="Arial" w:cs="Arial"/>
          <w:sz w:val="20"/>
          <w:szCs w:val="20"/>
        </w:rPr>
        <w:t>Ensure drinking water complies with the National Health and Medical Research Council (NHMRC) Australian drinking water guidelines in areas identified as being within Council’s Water Service Area.</w:t>
      </w:r>
    </w:p>
    <w:p w14:paraId="116410DF" w14:textId="77777777" w:rsidR="00BE36FB" w:rsidRPr="009B7B35" w:rsidRDefault="00BE36FB" w:rsidP="00BE36FB">
      <w:pPr>
        <w:numPr>
          <w:ilvl w:val="0"/>
          <w:numId w:val="51"/>
        </w:numPr>
        <w:rPr>
          <w:rFonts w:ascii="Arial" w:hAnsi="Arial" w:cs="Arial"/>
          <w:sz w:val="20"/>
          <w:szCs w:val="20"/>
        </w:rPr>
      </w:pPr>
      <w:r w:rsidRPr="009B7B35">
        <w:rPr>
          <w:rFonts w:ascii="Arial" w:eastAsia="Arial" w:hAnsi="Arial" w:cs="Arial"/>
          <w:sz w:val="20"/>
          <w:szCs w:val="20"/>
        </w:rPr>
        <w:t xml:space="preserve">Collect, store, treat and convey potable water from source to consumers in accordance with the </w:t>
      </w:r>
      <w:r w:rsidRPr="009B7B35">
        <w:rPr>
          <w:rFonts w:ascii="Arial" w:eastAsia="Arial" w:hAnsi="Arial" w:cs="Arial"/>
          <w:i/>
          <w:sz w:val="20"/>
          <w:szCs w:val="20"/>
        </w:rPr>
        <w:t>Water Supply (Safety and Reliability) Act 2008</w:t>
      </w:r>
      <w:r w:rsidRPr="009B7B35">
        <w:rPr>
          <w:rFonts w:ascii="Arial" w:eastAsia="Arial" w:hAnsi="Arial" w:cs="Arial"/>
          <w:sz w:val="20"/>
          <w:szCs w:val="20"/>
        </w:rPr>
        <w:t>.</w:t>
      </w:r>
    </w:p>
    <w:p w14:paraId="46E7FB13" w14:textId="77777777" w:rsidR="00BE36FB" w:rsidRPr="009B7B35" w:rsidRDefault="00BE36FB" w:rsidP="00BE36FB">
      <w:pPr>
        <w:numPr>
          <w:ilvl w:val="0"/>
          <w:numId w:val="51"/>
        </w:numPr>
        <w:rPr>
          <w:rFonts w:ascii="Arial" w:hAnsi="Arial" w:cs="Arial"/>
          <w:sz w:val="20"/>
          <w:szCs w:val="20"/>
        </w:rPr>
      </w:pPr>
      <w:r w:rsidRPr="009B7B35">
        <w:rPr>
          <w:rFonts w:ascii="Arial" w:eastAsia="Arial" w:hAnsi="Arial" w:cs="Arial"/>
          <w:sz w:val="20"/>
          <w:szCs w:val="20"/>
        </w:rPr>
        <w:t>Minimise non-revenue water loss.</w:t>
      </w:r>
    </w:p>
    <w:p w14:paraId="4C97ED5B" w14:textId="77777777" w:rsidR="00BE36FB" w:rsidRPr="009B7B35" w:rsidRDefault="00BE36FB" w:rsidP="00BE36FB">
      <w:pPr>
        <w:numPr>
          <w:ilvl w:val="0"/>
          <w:numId w:val="51"/>
        </w:numPr>
        <w:rPr>
          <w:rFonts w:ascii="Arial" w:hAnsi="Arial" w:cs="Arial"/>
          <w:sz w:val="20"/>
          <w:szCs w:val="20"/>
        </w:rPr>
      </w:pPr>
      <w:r w:rsidRPr="009B7B35">
        <w:rPr>
          <w:rFonts w:ascii="Arial" w:eastAsia="Arial" w:hAnsi="Arial" w:cs="Arial"/>
          <w:sz w:val="20"/>
          <w:szCs w:val="20"/>
        </w:rPr>
        <w:t>Design the water supply network in accordance with Council’s adopted standards to provide:</w:t>
      </w:r>
    </w:p>
    <w:p w14:paraId="7B7993A5" w14:textId="77777777" w:rsidR="00BE36FB" w:rsidRPr="009B7B35" w:rsidRDefault="00BE36FB" w:rsidP="00BE36FB">
      <w:pPr>
        <w:numPr>
          <w:ilvl w:val="1"/>
          <w:numId w:val="51"/>
        </w:numPr>
        <w:rPr>
          <w:rFonts w:ascii="Arial" w:hAnsi="Arial" w:cs="Arial"/>
          <w:sz w:val="20"/>
          <w:szCs w:val="20"/>
        </w:rPr>
      </w:pPr>
      <w:r w:rsidRPr="009B7B35">
        <w:rPr>
          <w:rFonts w:ascii="Arial" w:eastAsia="Arial" w:hAnsi="Arial" w:cs="Arial"/>
          <w:sz w:val="20"/>
          <w:szCs w:val="20"/>
        </w:rPr>
        <w:t>average day consumption (AD):</w:t>
      </w:r>
    </w:p>
    <w:p w14:paraId="02222E1C" w14:textId="77777777" w:rsidR="00BE36FB" w:rsidRPr="009B7B35" w:rsidRDefault="00BE36FB" w:rsidP="00BE36FB">
      <w:pPr>
        <w:numPr>
          <w:ilvl w:val="2"/>
          <w:numId w:val="51"/>
        </w:numPr>
        <w:rPr>
          <w:rFonts w:ascii="Arial" w:eastAsia="Arial" w:hAnsi="Arial" w:cs="Arial"/>
          <w:sz w:val="20"/>
          <w:szCs w:val="20"/>
        </w:rPr>
      </w:pPr>
      <w:r w:rsidRPr="009B7B35">
        <w:rPr>
          <w:rFonts w:ascii="Arial" w:eastAsia="Arial" w:hAnsi="Arial" w:cs="Arial"/>
          <w:sz w:val="20"/>
          <w:szCs w:val="20"/>
        </w:rPr>
        <w:t>Gladstone Urban Area – 1450L/ET/day</w:t>
      </w:r>
    </w:p>
    <w:p w14:paraId="744FA3BD" w14:textId="77777777" w:rsidR="00BE36FB" w:rsidRPr="009B7B35" w:rsidRDefault="00BE36FB" w:rsidP="00BE36FB">
      <w:pPr>
        <w:numPr>
          <w:ilvl w:val="2"/>
          <w:numId w:val="51"/>
        </w:numPr>
        <w:rPr>
          <w:rFonts w:ascii="Arial" w:hAnsi="Arial" w:cs="Arial"/>
          <w:sz w:val="20"/>
          <w:szCs w:val="20"/>
        </w:rPr>
      </w:pPr>
      <w:r w:rsidRPr="009B7B35">
        <w:rPr>
          <w:rFonts w:ascii="Arial" w:eastAsia="Arial" w:hAnsi="Arial" w:cs="Arial"/>
          <w:sz w:val="20"/>
          <w:szCs w:val="20"/>
        </w:rPr>
        <w:t>Calliope Urban Area – 1450L/ET/day</w:t>
      </w:r>
    </w:p>
    <w:p w14:paraId="2E497303" w14:textId="77777777" w:rsidR="00BE36FB" w:rsidRPr="009B7B35" w:rsidRDefault="00BE36FB" w:rsidP="00BE36FB">
      <w:pPr>
        <w:numPr>
          <w:ilvl w:val="2"/>
          <w:numId w:val="51"/>
        </w:numPr>
        <w:rPr>
          <w:rFonts w:ascii="Arial" w:hAnsi="Arial" w:cs="Arial"/>
          <w:sz w:val="20"/>
          <w:szCs w:val="20"/>
        </w:rPr>
      </w:pPr>
      <w:r w:rsidRPr="009B7B35">
        <w:rPr>
          <w:rFonts w:ascii="Arial" w:eastAsia="Arial" w:hAnsi="Arial" w:cs="Arial"/>
          <w:sz w:val="20"/>
          <w:szCs w:val="20"/>
        </w:rPr>
        <w:t>Tannum Sands/Boyne Island Urban Area – 1450L/ET/day</w:t>
      </w:r>
    </w:p>
    <w:p w14:paraId="52CE137A" w14:textId="77777777" w:rsidR="00BE36FB" w:rsidRPr="009B7B35" w:rsidRDefault="00BE36FB" w:rsidP="00BE36FB">
      <w:pPr>
        <w:numPr>
          <w:ilvl w:val="2"/>
          <w:numId w:val="51"/>
        </w:numPr>
        <w:rPr>
          <w:rFonts w:ascii="Arial" w:hAnsi="Arial" w:cs="Arial"/>
          <w:sz w:val="20"/>
          <w:szCs w:val="20"/>
        </w:rPr>
      </w:pPr>
      <w:r w:rsidRPr="009B7B35">
        <w:rPr>
          <w:rFonts w:ascii="Arial" w:eastAsia="Arial" w:hAnsi="Arial" w:cs="Arial"/>
          <w:sz w:val="20"/>
          <w:szCs w:val="20"/>
        </w:rPr>
        <w:t xml:space="preserve">Agnes Water Urban Area– 1170 L/ET/day </w:t>
      </w:r>
    </w:p>
    <w:p w14:paraId="46CE23E9" w14:textId="77777777" w:rsidR="00BE36FB" w:rsidRPr="009B7B35" w:rsidRDefault="00BE36FB" w:rsidP="00BE36FB">
      <w:pPr>
        <w:numPr>
          <w:ilvl w:val="1"/>
          <w:numId w:val="51"/>
        </w:numPr>
        <w:rPr>
          <w:rFonts w:ascii="Arial" w:hAnsi="Arial" w:cs="Arial"/>
          <w:sz w:val="20"/>
          <w:szCs w:val="20"/>
        </w:rPr>
      </w:pPr>
      <w:r w:rsidRPr="009B7B35">
        <w:rPr>
          <w:rFonts w:ascii="Arial" w:eastAsia="Arial" w:hAnsi="Arial" w:cs="Arial"/>
          <w:sz w:val="20"/>
          <w:szCs w:val="20"/>
        </w:rPr>
        <w:t xml:space="preserve">minimum and maximum supply pressure of 220kPa and 800 kPA at each property boundary </w:t>
      </w:r>
    </w:p>
    <w:p w14:paraId="6D446D65" w14:textId="77777777" w:rsidR="00BE36FB" w:rsidRPr="009B7B35" w:rsidRDefault="00BE36FB" w:rsidP="00BE36FB">
      <w:pPr>
        <w:numPr>
          <w:ilvl w:val="1"/>
          <w:numId w:val="51"/>
        </w:numPr>
        <w:rPr>
          <w:rFonts w:ascii="Arial" w:hAnsi="Arial" w:cs="Arial"/>
          <w:sz w:val="20"/>
          <w:szCs w:val="20"/>
        </w:rPr>
      </w:pPr>
      <w:r w:rsidRPr="009B7B35">
        <w:rPr>
          <w:rFonts w:ascii="Arial" w:eastAsia="Arial" w:hAnsi="Arial" w:cs="Arial"/>
          <w:sz w:val="20"/>
          <w:szCs w:val="20"/>
        </w:rPr>
        <w:t>fire flow for residential (15 l/s for 2 hours), industrial and commercial (30 l/s for 4 hours) development.</w:t>
      </w:r>
    </w:p>
    <w:p w14:paraId="7525AE07" w14:textId="77777777" w:rsidR="00BE36FB" w:rsidRPr="009B7B35" w:rsidRDefault="00BE36FB" w:rsidP="00BE36FB">
      <w:pPr>
        <w:numPr>
          <w:ilvl w:val="0"/>
          <w:numId w:val="51"/>
        </w:numPr>
        <w:rPr>
          <w:rFonts w:ascii="Arial" w:hAnsi="Arial" w:cs="Arial"/>
          <w:sz w:val="20"/>
          <w:szCs w:val="20"/>
        </w:rPr>
      </w:pPr>
      <w:r w:rsidRPr="009B7B35">
        <w:rPr>
          <w:rFonts w:ascii="Arial" w:eastAsia="Arial" w:hAnsi="Arial" w:cs="Arial"/>
          <w:sz w:val="20"/>
          <w:szCs w:val="20"/>
        </w:rPr>
        <w:t xml:space="preserve">Design recycled water systems to meet requirements of </w:t>
      </w:r>
      <w:r w:rsidRPr="009B7B35">
        <w:rPr>
          <w:rFonts w:ascii="Arial" w:eastAsia="Arial" w:hAnsi="Arial" w:cs="Arial"/>
          <w:i/>
          <w:sz w:val="20"/>
          <w:szCs w:val="20"/>
        </w:rPr>
        <w:t>Water Supply (Safety and Reliability) Act 2008</w:t>
      </w:r>
      <w:r w:rsidRPr="009B7B35">
        <w:rPr>
          <w:rFonts w:ascii="Arial" w:eastAsia="Arial" w:hAnsi="Arial" w:cs="Arial"/>
          <w:sz w:val="20"/>
          <w:szCs w:val="20"/>
        </w:rPr>
        <w:t xml:space="preserve"> in accordance with state regulatory guidelines. </w:t>
      </w:r>
    </w:p>
    <w:p w14:paraId="419249F0" w14:textId="77777777" w:rsidR="00BE36FB" w:rsidRPr="009B7B35" w:rsidRDefault="00BE36FB" w:rsidP="006776DA">
      <w:pPr>
        <w:pStyle w:val="Heading4"/>
        <w:numPr>
          <w:ilvl w:val="3"/>
          <w:numId w:val="882"/>
        </w:numPr>
        <w:ind w:left="851" w:hanging="851"/>
        <w:rPr>
          <w:rFonts w:ascii="Arial" w:hAnsi="Arial" w:cs="Arial"/>
          <w:sz w:val="20"/>
          <w:szCs w:val="20"/>
        </w:rPr>
      </w:pPr>
      <w:bookmarkStart w:id="146" w:name="_Toc402447490"/>
      <w:r w:rsidRPr="009B7B35">
        <w:rPr>
          <w:rFonts w:ascii="Arial" w:hAnsi="Arial" w:cs="Arial"/>
          <w:sz w:val="20"/>
          <w:szCs w:val="20"/>
        </w:rPr>
        <w:t>Sewerage network</w:t>
      </w:r>
      <w:bookmarkEnd w:id="146"/>
    </w:p>
    <w:p w14:paraId="242B5EB8" w14:textId="77777777" w:rsidR="00BE36FB" w:rsidRPr="009B7B35" w:rsidRDefault="00BE36FB" w:rsidP="001A7107">
      <w:pPr>
        <w:rPr>
          <w:rFonts w:ascii="Arial" w:hAnsi="Arial" w:cs="Arial"/>
          <w:sz w:val="20"/>
          <w:szCs w:val="20"/>
        </w:rPr>
      </w:pPr>
      <w:r w:rsidRPr="009B7B35">
        <w:rPr>
          <w:rFonts w:ascii="Arial" w:hAnsi="Arial" w:cs="Arial"/>
          <w:sz w:val="20"/>
          <w:szCs w:val="20"/>
        </w:rPr>
        <w:t>The desired standard of service for the sewer network includes the following:</w:t>
      </w:r>
    </w:p>
    <w:p w14:paraId="2EDD8D37" w14:textId="77777777" w:rsidR="00BE36FB" w:rsidRPr="009B7B35" w:rsidRDefault="00BE36FB" w:rsidP="00BE36FB">
      <w:pPr>
        <w:numPr>
          <w:ilvl w:val="0"/>
          <w:numId w:val="52"/>
        </w:numPr>
        <w:rPr>
          <w:rFonts w:ascii="Arial" w:hAnsi="Arial" w:cs="Arial"/>
          <w:sz w:val="20"/>
          <w:szCs w:val="20"/>
        </w:rPr>
      </w:pPr>
      <w:r w:rsidRPr="009B7B35">
        <w:rPr>
          <w:rFonts w:ascii="Arial" w:eastAsia="Arial" w:hAnsi="Arial" w:cs="Arial"/>
          <w:sz w:val="20"/>
          <w:szCs w:val="20"/>
        </w:rPr>
        <w:t>Provide a reliable network that collects, stores, treats and releases sewage from approved sites.</w:t>
      </w:r>
    </w:p>
    <w:p w14:paraId="047F3EB1" w14:textId="77777777" w:rsidR="00BE36FB" w:rsidRPr="009B7B35" w:rsidRDefault="00BE36FB" w:rsidP="00BE36FB">
      <w:pPr>
        <w:numPr>
          <w:ilvl w:val="0"/>
          <w:numId w:val="52"/>
        </w:numPr>
        <w:rPr>
          <w:rFonts w:ascii="Arial" w:hAnsi="Arial" w:cs="Arial"/>
          <w:sz w:val="20"/>
          <w:szCs w:val="20"/>
        </w:rPr>
      </w:pPr>
      <w:r w:rsidRPr="009B7B35">
        <w:rPr>
          <w:rFonts w:ascii="Arial" w:eastAsia="Arial" w:hAnsi="Arial" w:cs="Arial"/>
          <w:sz w:val="20"/>
          <w:szCs w:val="20"/>
        </w:rPr>
        <w:t>Design the sewerage network in accordance with:</w:t>
      </w:r>
    </w:p>
    <w:p w14:paraId="2094B943" w14:textId="77777777" w:rsidR="00BE36FB" w:rsidRPr="009B7B35" w:rsidRDefault="00BE36FB" w:rsidP="00BE36FB">
      <w:pPr>
        <w:numPr>
          <w:ilvl w:val="1"/>
          <w:numId w:val="52"/>
        </w:numPr>
        <w:rPr>
          <w:rFonts w:ascii="Arial" w:hAnsi="Arial" w:cs="Arial"/>
          <w:sz w:val="20"/>
          <w:szCs w:val="20"/>
        </w:rPr>
      </w:pPr>
      <w:r w:rsidRPr="009B7B35">
        <w:rPr>
          <w:rFonts w:ascii="Arial" w:eastAsia="Arial" w:hAnsi="Arial" w:cs="Arial"/>
          <w:sz w:val="20"/>
          <w:szCs w:val="20"/>
        </w:rPr>
        <w:t>Council’s adopted standards</w:t>
      </w:r>
    </w:p>
    <w:p w14:paraId="0493F238" w14:textId="77777777" w:rsidR="00BE36FB" w:rsidRPr="009B7B35" w:rsidRDefault="00BE36FB" w:rsidP="00BE36FB">
      <w:pPr>
        <w:numPr>
          <w:ilvl w:val="1"/>
          <w:numId w:val="52"/>
        </w:numPr>
        <w:rPr>
          <w:rFonts w:ascii="Arial" w:hAnsi="Arial" w:cs="Arial"/>
          <w:sz w:val="20"/>
          <w:szCs w:val="20"/>
        </w:rPr>
      </w:pPr>
      <w:r w:rsidRPr="009B7B35">
        <w:rPr>
          <w:rFonts w:ascii="Arial" w:eastAsia="Arial" w:hAnsi="Arial" w:cs="Arial"/>
          <w:sz w:val="20"/>
          <w:szCs w:val="20"/>
        </w:rPr>
        <w:t>Water Services Association of Australia (WSAA) guidelines</w:t>
      </w:r>
    </w:p>
    <w:p w14:paraId="3AC00EA2" w14:textId="77777777" w:rsidR="00BE36FB" w:rsidRPr="009B7B35" w:rsidRDefault="00BE36FB" w:rsidP="00BE36FB">
      <w:pPr>
        <w:numPr>
          <w:ilvl w:val="1"/>
          <w:numId w:val="52"/>
        </w:numPr>
        <w:rPr>
          <w:rFonts w:ascii="Arial" w:hAnsi="Arial" w:cs="Arial"/>
          <w:sz w:val="20"/>
          <w:szCs w:val="20"/>
        </w:rPr>
      </w:pPr>
      <w:r w:rsidRPr="009B7B35">
        <w:rPr>
          <w:rFonts w:ascii="Arial" w:eastAsia="Arial" w:hAnsi="Arial" w:cs="Arial"/>
          <w:sz w:val="20"/>
          <w:szCs w:val="20"/>
        </w:rPr>
        <w:t xml:space="preserve">the </w:t>
      </w:r>
      <w:r w:rsidRPr="009B7B35">
        <w:rPr>
          <w:rFonts w:ascii="Arial" w:eastAsia="Arial" w:hAnsi="Arial" w:cs="Arial"/>
          <w:i/>
          <w:sz w:val="20"/>
          <w:szCs w:val="20"/>
        </w:rPr>
        <w:t>Water Supply (Safety and Reliability) Act 2008</w:t>
      </w:r>
    </w:p>
    <w:p w14:paraId="74FE30D8" w14:textId="77777777" w:rsidR="00BE36FB" w:rsidRPr="009B7B35" w:rsidRDefault="00BE36FB" w:rsidP="00BE36FB">
      <w:pPr>
        <w:numPr>
          <w:ilvl w:val="1"/>
          <w:numId w:val="52"/>
        </w:numPr>
        <w:rPr>
          <w:rFonts w:ascii="Arial" w:hAnsi="Arial" w:cs="Arial"/>
          <w:sz w:val="20"/>
          <w:szCs w:val="20"/>
        </w:rPr>
      </w:pPr>
      <w:r w:rsidRPr="009B7B35">
        <w:rPr>
          <w:rFonts w:ascii="Arial" w:eastAsia="Arial" w:hAnsi="Arial" w:cs="Arial"/>
          <w:sz w:val="20"/>
          <w:szCs w:val="20"/>
        </w:rPr>
        <w:t>all Environmental Protection Agency (EPA) licence conditions</w:t>
      </w:r>
    </w:p>
    <w:p w14:paraId="56A4C00F" w14:textId="77777777" w:rsidR="00BE36FB" w:rsidRPr="009B7B35" w:rsidRDefault="00BE36FB" w:rsidP="00BE36FB">
      <w:pPr>
        <w:numPr>
          <w:ilvl w:val="1"/>
          <w:numId w:val="52"/>
        </w:numPr>
        <w:rPr>
          <w:rFonts w:ascii="Arial" w:hAnsi="Arial" w:cs="Arial"/>
          <w:sz w:val="20"/>
          <w:szCs w:val="20"/>
        </w:rPr>
      </w:pPr>
      <w:r w:rsidRPr="009B7B35">
        <w:rPr>
          <w:rFonts w:ascii="Arial" w:eastAsia="Arial" w:hAnsi="Arial" w:cs="Arial"/>
          <w:sz w:val="20"/>
          <w:szCs w:val="20"/>
        </w:rPr>
        <w:t>key design parameters identified in Table 4.2.4.2.1.</w:t>
      </w:r>
      <w:bookmarkStart w:id="147" w:name="_Toc402447491"/>
    </w:p>
    <w:p w14:paraId="0968E761" w14:textId="77777777" w:rsidR="00BE36FB" w:rsidRPr="009B7B35" w:rsidRDefault="00BE36FB" w:rsidP="00C148A6">
      <w:pPr>
        <w:pStyle w:val="Heading5"/>
        <w:numPr>
          <w:ilvl w:val="0"/>
          <w:numId w:val="0"/>
        </w:numPr>
        <w:rPr>
          <w:rFonts w:cs="Arial"/>
          <w:szCs w:val="20"/>
        </w:rPr>
      </w:pPr>
      <w:r w:rsidRPr="009B7B35">
        <w:rPr>
          <w:rFonts w:cs="Arial"/>
          <w:szCs w:val="20"/>
        </w:rPr>
        <w:t>Table 4.2.4.2.1—Key design parameters for the sewerage network</w:t>
      </w:r>
      <w:bookmarkEnd w:id="147"/>
    </w:p>
    <w:tbl>
      <w:tblPr>
        <w:tblStyle w:val="Tablestyle"/>
        <w:tblW w:w="9639" w:type="dxa"/>
        <w:tblLook w:val="04A0" w:firstRow="1" w:lastRow="0" w:firstColumn="1" w:lastColumn="0" w:noHBand="0" w:noVBand="1"/>
      </w:tblPr>
      <w:tblGrid>
        <w:gridCol w:w="3128"/>
        <w:gridCol w:w="6511"/>
      </w:tblGrid>
      <w:tr w:rsidR="00BE36FB" w:rsidRPr="009B7B35" w14:paraId="6B04302A" w14:textId="77777777" w:rsidTr="001A7107">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3128" w:type="dxa"/>
          </w:tcPr>
          <w:p w14:paraId="1881253E" w14:textId="77777777" w:rsidR="00BE36FB" w:rsidRPr="009B7B35" w:rsidRDefault="00BE36FB" w:rsidP="001A7107">
            <w:pPr>
              <w:pStyle w:val="TableText"/>
              <w:rPr>
                <w:rFonts w:cs="Arial"/>
              </w:rPr>
            </w:pPr>
            <w:r w:rsidRPr="009B7B35">
              <w:rPr>
                <w:rFonts w:eastAsia="Arial" w:cs="Arial"/>
              </w:rPr>
              <w:t xml:space="preserve">Infrastructure Item </w:t>
            </w:r>
          </w:p>
        </w:tc>
        <w:tc>
          <w:tcPr>
            <w:tcW w:w="6511" w:type="dxa"/>
          </w:tcPr>
          <w:p w14:paraId="2D7E8D6C"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eastAsia="Arial" w:cs="Arial"/>
              </w:rPr>
              <w:t xml:space="preserve">Design Parameters </w:t>
            </w:r>
          </w:p>
        </w:tc>
      </w:tr>
      <w:tr w:rsidR="00BE36FB" w:rsidRPr="009B7B35" w14:paraId="675AA740" w14:textId="77777777" w:rsidTr="001A7107">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128" w:type="dxa"/>
          </w:tcPr>
          <w:p w14:paraId="1AB8A37C" w14:textId="77777777" w:rsidR="00BE36FB" w:rsidRPr="009B7B35" w:rsidRDefault="00BE36FB" w:rsidP="001A7107">
            <w:pPr>
              <w:pStyle w:val="TableText"/>
              <w:rPr>
                <w:rFonts w:cs="Arial"/>
              </w:rPr>
            </w:pPr>
            <w:r w:rsidRPr="009B7B35">
              <w:rPr>
                <w:rFonts w:eastAsia="Arial" w:cs="Arial"/>
              </w:rPr>
              <w:t xml:space="preserve">All (network) </w:t>
            </w:r>
          </w:p>
        </w:tc>
        <w:tc>
          <w:tcPr>
            <w:tcW w:w="6511" w:type="dxa"/>
          </w:tcPr>
          <w:p w14:paraId="3864990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Average Dry Weather Flow (ADWF):</w:t>
            </w:r>
          </w:p>
          <w:p w14:paraId="064E5D62" w14:textId="77777777" w:rsidR="00BE36FB" w:rsidRPr="009B7B35" w:rsidRDefault="00BE36FB" w:rsidP="00BE36FB">
            <w:pPr>
              <w:pStyle w:val="TableText"/>
              <w:numPr>
                <w:ilvl w:val="0"/>
                <w:numId w:val="53"/>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Gladstone – 585 L/ET/day</w:t>
            </w:r>
          </w:p>
          <w:p w14:paraId="07613DEA" w14:textId="77777777" w:rsidR="00BE36FB" w:rsidRPr="009B7B35" w:rsidRDefault="00BE36FB" w:rsidP="00BE36FB">
            <w:pPr>
              <w:pStyle w:val="TableText"/>
              <w:numPr>
                <w:ilvl w:val="0"/>
                <w:numId w:val="53"/>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Calliope – 585 L/ET/day =</w:t>
            </w:r>
          </w:p>
          <w:p w14:paraId="3890EE29" w14:textId="77777777" w:rsidR="00BE36FB" w:rsidRPr="009B7B35" w:rsidRDefault="00BE36FB" w:rsidP="00BE36FB">
            <w:pPr>
              <w:pStyle w:val="TableText"/>
              <w:numPr>
                <w:ilvl w:val="0"/>
                <w:numId w:val="53"/>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Boyne Island – 585L/ET/day =</w:t>
            </w:r>
          </w:p>
          <w:p w14:paraId="2B0D5E8E" w14:textId="77777777" w:rsidR="00BE36FB" w:rsidRPr="009B7B35" w:rsidRDefault="00BE36FB" w:rsidP="00BE36FB">
            <w:pPr>
              <w:pStyle w:val="TableText"/>
              <w:numPr>
                <w:ilvl w:val="0"/>
                <w:numId w:val="53"/>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Tannum Sands – 585 L/ET/day</w:t>
            </w:r>
          </w:p>
          <w:p w14:paraId="3AF14840" w14:textId="77777777" w:rsidR="00BE36FB" w:rsidRPr="009B7B35" w:rsidRDefault="00BE36FB" w:rsidP="00BE36FB">
            <w:pPr>
              <w:pStyle w:val="TableText"/>
              <w:numPr>
                <w:ilvl w:val="0"/>
                <w:numId w:val="53"/>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Agnes Water – 585L/ET/day</w:t>
            </w:r>
          </w:p>
          <w:p w14:paraId="556D90D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 xml:space="preserve">Peak Wet Weather Flow (PWWF) – 5 x ADWF </w:t>
            </w:r>
          </w:p>
        </w:tc>
      </w:tr>
      <w:tr w:rsidR="00BE36FB" w:rsidRPr="009B7B35" w14:paraId="09F4FA73" w14:textId="77777777" w:rsidTr="001A7107">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128" w:type="dxa"/>
          </w:tcPr>
          <w:p w14:paraId="1BCF3AF6" w14:textId="77777777" w:rsidR="00BE36FB" w:rsidRPr="009B7B35" w:rsidRDefault="00BE36FB" w:rsidP="001A7107">
            <w:pPr>
              <w:pStyle w:val="TableText"/>
              <w:rPr>
                <w:rFonts w:cs="Arial"/>
              </w:rPr>
            </w:pPr>
            <w:r w:rsidRPr="009B7B35">
              <w:rPr>
                <w:rFonts w:eastAsia="Arial" w:cs="Arial"/>
              </w:rPr>
              <w:t xml:space="preserve">Pump stations </w:t>
            </w:r>
          </w:p>
        </w:tc>
        <w:tc>
          <w:tcPr>
            <w:tcW w:w="6511" w:type="dxa"/>
          </w:tcPr>
          <w:p w14:paraId="7815BABE" w14:textId="77777777" w:rsidR="00BE36FB" w:rsidRPr="009B7B35" w:rsidRDefault="00BE36FB" w:rsidP="00BE36FB">
            <w:pPr>
              <w:pStyle w:val="TableText"/>
              <w:numPr>
                <w:ilvl w:val="0"/>
                <w:numId w:val="5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New pump stations to be duty/standby pump system</w:t>
            </w:r>
          </w:p>
          <w:p w14:paraId="74AA00E2" w14:textId="77777777" w:rsidR="00BE36FB" w:rsidRPr="009B7B35" w:rsidRDefault="00BE36FB" w:rsidP="00BE36FB">
            <w:pPr>
              <w:pStyle w:val="TableText"/>
              <w:numPr>
                <w:ilvl w:val="0"/>
                <w:numId w:val="5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Emergency storage of 4 hrs @ ADWF</w:t>
            </w:r>
          </w:p>
          <w:p w14:paraId="38F0D3AA" w14:textId="77777777" w:rsidR="00BE36FB" w:rsidRPr="009B7B35" w:rsidRDefault="00BE36FB" w:rsidP="00BE36FB">
            <w:pPr>
              <w:pStyle w:val="TableText"/>
              <w:numPr>
                <w:ilvl w:val="0"/>
                <w:numId w:val="5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Installed pump capacity – single pump 5 x ADWF (PWWF) with an equal sized standby pump </w:t>
            </w:r>
          </w:p>
        </w:tc>
      </w:tr>
      <w:tr w:rsidR="00BE36FB" w:rsidRPr="009B7B35" w14:paraId="1961CAD7" w14:textId="77777777" w:rsidTr="001A7107">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128" w:type="dxa"/>
          </w:tcPr>
          <w:p w14:paraId="1638D184" w14:textId="77777777" w:rsidR="00BE36FB" w:rsidRPr="009B7B35" w:rsidRDefault="00BE36FB" w:rsidP="001A7107">
            <w:pPr>
              <w:pStyle w:val="TableText"/>
              <w:rPr>
                <w:rFonts w:cs="Arial"/>
              </w:rPr>
            </w:pPr>
            <w:r w:rsidRPr="009B7B35">
              <w:rPr>
                <w:rFonts w:eastAsia="Arial" w:cs="Arial"/>
              </w:rPr>
              <w:t xml:space="preserve">Gravity sewers </w:t>
            </w:r>
          </w:p>
        </w:tc>
        <w:tc>
          <w:tcPr>
            <w:tcW w:w="6511" w:type="dxa"/>
          </w:tcPr>
          <w:p w14:paraId="1CCA7039" w14:textId="77777777" w:rsidR="00BE36FB" w:rsidRPr="009B7B35" w:rsidRDefault="00BE36FB" w:rsidP="00BE36FB">
            <w:pPr>
              <w:pStyle w:val="TableText"/>
              <w:numPr>
                <w:ilvl w:val="0"/>
                <w:numId w:val="56"/>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Design of new sewers to be based on full LGIP capacity with no surcharge or overflow</w:t>
            </w:r>
          </w:p>
          <w:p w14:paraId="1D40082F" w14:textId="77777777" w:rsidR="00BE36FB" w:rsidRPr="009B7B35" w:rsidRDefault="00BE36FB" w:rsidP="00BE36FB">
            <w:pPr>
              <w:pStyle w:val="TableText"/>
              <w:numPr>
                <w:ilvl w:val="0"/>
                <w:numId w:val="56"/>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Flow into existing sewers shall be designed to ensure that surcharge of existing sewers does not exceed 1m below surface level at PWWF</w:t>
            </w:r>
          </w:p>
          <w:p w14:paraId="3C86C5DF" w14:textId="77777777" w:rsidR="00BE36FB" w:rsidRPr="009B7B35" w:rsidRDefault="00BE36FB" w:rsidP="00BE36FB">
            <w:pPr>
              <w:pStyle w:val="TableText"/>
              <w:numPr>
                <w:ilvl w:val="0"/>
                <w:numId w:val="56"/>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slope to achieve self-cleansing velocity </w:t>
            </w:r>
          </w:p>
        </w:tc>
      </w:tr>
      <w:tr w:rsidR="00BE36FB" w:rsidRPr="009B7B35" w14:paraId="57717C73" w14:textId="77777777" w:rsidTr="001A7107">
        <w:trPr>
          <w:cnfStyle w:val="000000010000" w:firstRow="0" w:lastRow="0" w:firstColumn="0" w:lastColumn="0" w:oddVBand="0" w:evenVBand="0" w:oddHBand="0" w:evenHBand="1"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3128" w:type="dxa"/>
          </w:tcPr>
          <w:p w14:paraId="57AF50E0" w14:textId="77777777" w:rsidR="00BE36FB" w:rsidRPr="009B7B35" w:rsidRDefault="00BE36FB" w:rsidP="001A7107">
            <w:pPr>
              <w:pStyle w:val="TableText"/>
              <w:rPr>
                <w:rFonts w:cs="Arial"/>
              </w:rPr>
            </w:pPr>
            <w:r w:rsidRPr="009B7B35">
              <w:rPr>
                <w:rFonts w:eastAsia="Arial" w:cs="Arial"/>
              </w:rPr>
              <w:t xml:space="preserve">Rising mains </w:t>
            </w:r>
          </w:p>
        </w:tc>
        <w:tc>
          <w:tcPr>
            <w:tcW w:w="6511" w:type="dxa"/>
          </w:tcPr>
          <w:p w14:paraId="7BBE991B" w14:textId="77777777" w:rsidR="00BE36FB" w:rsidRPr="009B7B35" w:rsidRDefault="00BE36FB" w:rsidP="00BE36FB">
            <w:pPr>
              <w:pStyle w:val="TableText"/>
              <w:numPr>
                <w:ilvl w:val="0"/>
                <w:numId w:val="54"/>
              </w:numPr>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minimum velocity to achieve slime stripping velocity</w:t>
            </w:r>
          </w:p>
          <w:p w14:paraId="5A04AB0D" w14:textId="77777777" w:rsidR="00BE36FB" w:rsidRPr="009B7B35" w:rsidRDefault="00BE36FB" w:rsidP="00BE36FB">
            <w:pPr>
              <w:pStyle w:val="TableText"/>
              <w:numPr>
                <w:ilvl w:val="0"/>
                <w:numId w:val="54"/>
              </w:numPr>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(Preferred velocity 1.2m/s)</w:t>
            </w:r>
          </w:p>
          <w:p w14:paraId="0022F083" w14:textId="77777777" w:rsidR="00BE36FB" w:rsidRPr="009B7B35" w:rsidRDefault="00BE36FB" w:rsidP="00BE36FB">
            <w:pPr>
              <w:pStyle w:val="TableText"/>
              <w:numPr>
                <w:ilvl w:val="0"/>
                <w:numId w:val="54"/>
              </w:numPr>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maximum velocity 1.5 m/s</w:t>
            </w:r>
          </w:p>
        </w:tc>
      </w:tr>
      <w:tr w:rsidR="00BE36FB" w:rsidRPr="009B7B35" w14:paraId="3B3CFCC9" w14:textId="77777777" w:rsidTr="001A7107">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3128" w:type="dxa"/>
          </w:tcPr>
          <w:p w14:paraId="37C01DB9" w14:textId="77777777" w:rsidR="00BE36FB" w:rsidRPr="009B7B35" w:rsidRDefault="00BE36FB" w:rsidP="001A7107">
            <w:pPr>
              <w:pStyle w:val="TableText"/>
              <w:rPr>
                <w:rFonts w:cs="Arial"/>
              </w:rPr>
            </w:pPr>
            <w:r w:rsidRPr="009B7B35">
              <w:rPr>
                <w:rFonts w:eastAsia="Arial" w:cs="Arial"/>
              </w:rPr>
              <w:t xml:space="preserve">Sewage treatment/release </w:t>
            </w:r>
          </w:p>
        </w:tc>
        <w:tc>
          <w:tcPr>
            <w:tcW w:w="6511" w:type="dxa"/>
          </w:tcPr>
          <w:p w14:paraId="6041112E" w14:textId="77777777" w:rsidR="00BE36FB" w:rsidRPr="009B7B35" w:rsidRDefault="00BE36FB" w:rsidP="00BE36FB">
            <w:pPr>
              <w:pStyle w:val="TableText"/>
              <w:numPr>
                <w:ilvl w:val="0"/>
                <w:numId w:val="57"/>
              </w:numPr>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existing and future EPA licence conditions</w:t>
            </w:r>
          </w:p>
        </w:tc>
      </w:tr>
    </w:tbl>
    <w:p w14:paraId="2DBA7427" w14:textId="77777777" w:rsidR="00BE36FB" w:rsidRPr="009B7B35" w:rsidRDefault="00BE36FB" w:rsidP="001A7107">
      <w:pPr>
        <w:rPr>
          <w:rFonts w:ascii="Arial" w:hAnsi="Arial" w:cs="Arial"/>
          <w:sz w:val="20"/>
          <w:szCs w:val="20"/>
        </w:rPr>
      </w:pPr>
      <w:bookmarkStart w:id="148" w:name="_Toc402447492"/>
    </w:p>
    <w:p w14:paraId="6506BA6E" w14:textId="77777777" w:rsidR="00BE36FB" w:rsidRPr="009B7B35" w:rsidRDefault="00BE36FB" w:rsidP="006776DA">
      <w:pPr>
        <w:pStyle w:val="Heading4"/>
        <w:numPr>
          <w:ilvl w:val="3"/>
          <w:numId w:val="882"/>
        </w:numPr>
        <w:ind w:left="851" w:hanging="851"/>
        <w:rPr>
          <w:rFonts w:ascii="Arial" w:hAnsi="Arial" w:cs="Arial"/>
          <w:sz w:val="20"/>
          <w:szCs w:val="20"/>
        </w:rPr>
      </w:pPr>
      <w:r w:rsidRPr="009B7B35">
        <w:rPr>
          <w:rFonts w:ascii="Arial" w:hAnsi="Arial" w:cs="Arial"/>
          <w:sz w:val="20"/>
          <w:szCs w:val="20"/>
        </w:rPr>
        <w:t>Stormwater network</w:t>
      </w:r>
      <w:bookmarkEnd w:id="148"/>
    </w:p>
    <w:p w14:paraId="4E2B0BFD"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desired standard of service for the stormwater network includes the following: </w:t>
      </w:r>
    </w:p>
    <w:p w14:paraId="6477D6AE" w14:textId="77777777" w:rsidR="00BE36FB" w:rsidRPr="009B7B35" w:rsidRDefault="00BE36FB" w:rsidP="00BE36FB">
      <w:pPr>
        <w:numPr>
          <w:ilvl w:val="0"/>
          <w:numId w:val="58"/>
        </w:numPr>
        <w:rPr>
          <w:rFonts w:ascii="Arial" w:hAnsi="Arial" w:cs="Arial"/>
          <w:sz w:val="20"/>
          <w:szCs w:val="20"/>
        </w:rPr>
      </w:pPr>
      <w:r w:rsidRPr="009B7B35">
        <w:rPr>
          <w:rFonts w:ascii="Arial" w:eastAsia="Arial" w:hAnsi="Arial" w:cs="Arial"/>
          <w:sz w:val="20"/>
          <w:szCs w:val="20"/>
        </w:rPr>
        <w:t>Collect and convey stormwater flows for flood events from existing and future land use in a manner that protects life and does not cause nuisance or inundation of habitable rooms. Design the stormwater network to comply with both quality and quantity in accordance with Council’s adopted standards.</w:t>
      </w:r>
    </w:p>
    <w:p w14:paraId="6473AF05" w14:textId="77777777" w:rsidR="00BE36FB" w:rsidRPr="009B7B35" w:rsidRDefault="00BE36FB" w:rsidP="00BE36FB">
      <w:pPr>
        <w:numPr>
          <w:ilvl w:val="0"/>
          <w:numId w:val="58"/>
        </w:numPr>
        <w:rPr>
          <w:rFonts w:ascii="Arial" w:hAnsi="Arial" w:cs="Arial"/>
          <w:sz w:val="20"/>
          <w:szCs w:val="20"/>
        </w:rPr>
      </w:pPr>
      <w:r w:rsidRPr="009B7B35">
        <w:rPr>
          <w:rFonts w:ascii="Arial" w:eastAsia="Arial" w:hAnsi="Arial" w:cs="Arial"/>
          <w:sz w:val="20"/>
          <w:szCs w:val="20"/>
        </w:rPr>
        <w:t xml:space="preserve">Design road crossing structures to provide an appropriate level of flood immunity for a 50 year flood event (for major roads) and 10 year flood event (minor road) in accordance with Council’s adopted standards. </w:t>
      </w:r>
    </w:p>
    <w:p w14:paraId="450E3C8A" w14:textId="77777777" w:rsidR="00BE36FB" w:rsidRPr="009B7B35" w:rsidRDefault="00BE36FB" w:rsidP="00BE36FB">
      <w:pPr>
        <w:numPr>
          <w:ilvl w:val="0"/>
          <w:numId w:val="58"/>
        </w:numPr>
        <w:spacing w:after="240"/>
        <w:rPr>
          <w:rFonts w:ascii="Arial" w:hAnsi="Arial" w:cs="Arial"/>
          <w:sz w:val="20"/>
          <w:szCs w:val="20"/>
        </w:rPr>
      </w:pPr>
      <w:r w:rsidRPr="009B7B35">
        <w:rPr>
          <w:rFonts w:ascii="Arial" w:eastAsia="Arial" w:hAnsi="Arial" w:cs="Arial"/>
          <w:sz w:val="20"/>
          <w:szCs w:val="20"/>
        </w:rPr>
        <w:t>Meet water quality objectives for receiving waters at all times.</w:t>
      </w:r>
    </w:p>
    <w:p w14:paraId="4E355F49" w14:textId="77777777" w:rsidR="00BE36FB" w:rsidRPr="009B7B35" w:rsidRDefault="00BE36FB" w:rsidP="006776DA">
      <w:pPr>
        <w:pStyle w:val="Heading4"/>
        <w:numPr>
          <w:ilvl w:val="3"/>
          <w:numId w:val="882"/>
        </w:numPr>
        <w:ind w:left="851" w:hanging="851"/>
        <w:rPr>
          <w:rFonts w:ascii="Arial" w:hAnsi="Arial" w:cs="Arial"/>
          <w:sz w:val="20"/>
          <w:szCs w:val="20"/>
        </w:rPr>
      </w:pPr>
      <w:bookmarkStart w:id="149" w:name="_Toc402447493"/>
      <w:r w:rsidRPr="009B7B35">
        <w:rPr>
          <w:rFonts w:ascii="Arial" w:hAnsi="Arial" w:cs="Arial"/>
          <w:sz w:val="20"/>
          <w:szCs w:val="20"/>
        </w:rPr>
        <w:t>Transport network</w:t>
      </w:r>
      <w:bookmarkEnd w:id="149"/>
      <w:r w:rsidRPr="009B7B35">
        <w:rPr>
          <w:rFonts w:ascii="Arial" w:hAnsi="Arial" w:cs="Arial"/>
          <w:sz w:val="20"/>
          <w:szCs w:val="20"/>
        </w:rPr>
        <w:t xml:space="preserve"> </w:t>
      </w:r>
    </w:p>
    <w:p w14:paraId="70955599"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desired standard of service for the transport network includes the following: </w:t>
      </w:r>
    </w:p>
    <w:p w14:paraId="2C01C5DF" w14:textId="77777777" w:rsidR="00BE36FB" w:rsidRPr="009B7B35" w:rsidRDefault="00BE36FB" w:rsidP="001A7107">
      <w:pPr>
        <w:rPr>
          <w:rFonts w:ascii="Arial" w:hAnsi="Arial" w:cs="Arial"/>
          <w:sz w:val="20"/>
          <w:szCs w:val="20"/>
        </w:rPr>
      </w:pPr>
    </w:p>
    <w:p w14:paraId="5B10B614" w14:textId="1FBEA11C" w:rsidR="00BE36FB" w:rsidRPr="009B7B35" w:rsidRDefault="00BE36FB" w:rsidP="00C148A6">
      <w:pPr>
        <w:ind w:left="851" w:hanging="851"/>
        <w:rPr>
          <w:rFonts w:ascii="Arial" w:hAnsi="Arial" w:cs="Arial"/>
          <w:b/>
          <w:sz w:val="20"/>
          <w:szCs w:val="20"/>
        </w:rPr>
      </w:pPr>
      <w:r w:rsidRPr="009B7B35">
        <w:rPr>
          <w:rFonts w:ascii="Arial" w:hAnsi="Arial" w:cs="Arial"/>
          <w:b/>
          <w:sz w:val="20"/>
          <w:szCs w:val="20"/>
        </w:rPr>
        <w:t>4.2.</w:t>
      </w:r>
      <w:r w:rsidR="006776DA">
        <w:rPr>
          <w:rFonts w:ascii="Arial" w:hAnsi="Arial" w:cs="Arial"/>
          <w:b/>
          <w:sz w:val="20"/>
          <w:szCs w:val="20"/>
        </w:rPr>
        <w:t>4</w:t>
      </w:r>
      <w:r w:rsidRPr="009B7B35">
        <w:rPr>
          <w:rFonts w:ascii="Arial" w:hAnsi="Arial" w:cs="Arial"/>
          <w:b/>
          <w:sz w:val="20"/>
          <w:szCs w:val="20"/>
        </w:rPr>
        <w:t>.4.1</w:t>
      </w:r>
      <w:r w:rsidR="00C148A6">
        <w:rPr>
          <w:rFonts w:ascii="Arial" w:hAnsi="Arial" w:cs="Arial"/>
          <w:b/>
          <w:sz w:val="20"/>
          <w:szCs w:val="20"/>
        </w:rPr>
        <w:tab/>
      </w:r>
      <w:r w:rsidRPr="009B7B35">
        <w:rPr>
          <w:rFonts w:ascii="Arial" w:hAnsi="Arial" w:cs="Arial"/>
          <w:b/>
          <w:sz w:val="20"/>
          <w:szCs w:val="20"/>
        </w:rPr>
        <w:t>Roads</w:t>
      </w:r>
    </w:p>
    <w:p w14:paraId="2B2614B4" w14:textId="77777777" w:rsidR="00BE36FB" w:rsidRPr="009B7B35" w:rsidRDefault="00BE36FB" w:rsidP="00BE36FB">
      <w:pPr>
        <w:numPr>
          <w:ilvl w:val="0"/>
          <w:numId w:val="59"/>
        </w:numPr>
        <w:rPr>
          <w:rFonts w:ascii="Arial" w:hAnsi="Arial" w:cs="Arial"/>
          <w:sz w:val="20"/>
          <w:szCs w:val="20"/>
        </w:rPr>
      </w:pPr>
      <w:r w:rsidRPr="009B7B35">
        <w:rPr>
          <w:rFonts w:ascii="Arial" w:eastAsia="Arial" w:hAnsi="Arial" w:cs="Arial"/>
          <w:sz w:val="20"/>
          <w:szCs w:val="20"/>
        </w:rPr>
        <w:t>Provide a functional urban hierarchy that supports settlement patterns, commercial and economic activities, and freight movement.</w:t>
      </w:r>
    </w:p>
    <w:p w14:paraId="6EF50565" w14:textId="77777777" w:rsidR="00BE36FB" w:rsidRPr="009B7B35" w:rsidRDefault="00BE36FB" w:rsidP="00BE36FB">
      <w:pPr>
        <w:numPr>
          <w:ilvl w:val="0"/>
          <w:numId w:val="59"/>
        </w:numPr>
        <w:rPr>
          <w:rFonts w:ascii="Arial" w:hAnsi="Arial" w:cs="Arial"/>
          <w:sz w:val="20"/>
          <w:szCs w:val="20"/>
        </w:rPr>
      </w:pPr>
      <w:r w:rsidRPr="009B7B35">
        <w:rPr>
          <w:rFonts w:ascii="Arial" w:eastAsia="Arial" w:hAnsi="Arial" w:cs="Arial"/>
          <w:sz w:val="20"/>
          <w:szCs w:val="20"/>
        </w:rPr>
        <w:t>Design the road network to comply with the following:</w:t>
      </w:r>
    </w:p>
    <w:p w14:paraId="48DCE2E3" w14:textId="77777777" w:rsidR="00BE36FB" w:rsidRPr="009B7B35" w:rsidRDefault="00BE36FB" w:rsidP="00BE36FB">
      <w:pPr>
        <w:numPr>
          <w:ilvl w:val="1"/>
          <w:numId w:val="59"/>
        </w:numPr>
        <w:rPr>
          <w:rFonts w:ascii="Arial" w:hAnsi="Arial" w:cs="Arial"/>
          <w:sz w:val="20"/>
          <w:szCs w:val="20"/>
        </w:rPr>
      </w:pPr>
      <w:r w:rsidRPr="009B7B35">
        <w:rPr>
          <w:rFonts w:ascii="Arial" w:eastAsia="Arial" w:hAnsi="Arial" w:cs="Arial"/>
          <w:sz w:val="20"/>
          <w:szCs w:val="20"/>
        </w:rPr>
        <w:t>Council’s adopted standards</w:t>
      </w:r>
    </w:p>
    <w:p w14:paraId="5CF8E738" w14:textId="77777777" w:rsidR="00BE36FB" w:rsidRPr="009B7B35" w:rsidRDefault="00BE36FB" w:rsidP="00BE36FB">
      <w:pPr>
        <w:numPr>
          <w:ilvl w:val="1"/>
          <w:numId w:val="59"/>
        </w:numPr>
        <w:rPr>
          <w:rFonts w:ascii="Arial" w:hAnsi="Arial" w:cs="Arial"/>
          <w:sz w:val="20"/>
          <w:szCs w:val="20"/>
        </w:rPr>
      </w:pPr>
      <w:r w:rsidRPr="009B7B35">
        <w:rPr>
          <w:rFonts w:ascii="Arial" w:eastAsia="Arial" w:hAnsi="Arial" w:cs="Arial"/>
          <w:sz w:val="20"/>
          <w:szCs w:val="20"/>
        </w:rPr>
        <w:t>Austroads guides</w:t>
      </w:r>
    </w:p>
    <w:p w14:paraId="53CB377E" w14:textId="77777777" w:rsidR="00BE36FB" w:rsidRPr="009B7B35" w:rsidRDefault="00BE36FB" w:rsidP="00BE36FB">
      <w:pPr>
        <w:numPr>
          <w:ilvl w:val="1"/>
          <w:numId w:val="59"/>
        </w:numPr>
        <w:rPr>
          <w:rFonts w:ascii="Arial" w:hAnsi="Arial" w:cs="Arial"/>
          <w:sz w:val="20"/>
          <w:szCs w:val="20"/>
        </w:rPr>
      </w:pPr>
      <w:r w:rsidRPr="009B7B35">
        <w:rPr>
          <w:rFonts w:ascii="Arial" w:eastAsia="Arial" w:hAnsi="Arial" w:cs="Arial"/>
          <w:sz w:val="20"/>
          <w:szCs w:val="20"/>
        </w:rPr>
        <w:t>the Department of Transport and Main Roads’ Planning and Design Manual and Interim Guide to Road Planning and Design Practice</w:t>
      </w:r>
    </w:p>
    <w:p w14:paraId="361CC90C" w14:textId="77777777" w:rsidR="00BE36FB" w:rsidRPr="009B7B35" w:rsidRDefault="00BE36FB" w:rsidP="00BE36FB">
      <w:pPr>
        <w:numPr>
          <w:ilvl w:val="1"/>
          <w:numId w:val="59"/>
        </w:numPr>
        <w:rPr>
          <w:rFonts w:ascii="Arial" w:hAnsi="Arial" w:cs="Arial"/>
          <w:sz w:val="20"/>
          <w:szCs w:val="20"/>
        </w:rPr>
      </w:pPr>
      <w:r w:rsidRPr="009B7B35">
        <w:rPr>
          <w:rFonts w:ascii="Arial" w:eastAsia="Arial" w:hAnsi="Arial" w:cs="Arial"/>
          <w:sz w:val="20"/>
          <w:szCs w:val="20"/>
        </w:rPr>
        <w:t>maximum road volume to capacity ratios to be 0.90, and</w:t>
      </w:r>
    </w:p>
    <w:p w14:paraId="095996E6" w14:textId="77777777" w:rsidR="00BE36FB" w:rsidRPr="009B7B35" w:rsidRDefault="00BE36FB" w:rsidP="00BE36FB">
      <w:pPr>
        <w:numPr>
          <w:ilvl w:val="1"/>
          <w:numId w:val="59"/>
        </w:numPr>
        <w:rPr>
          <w:rFonts w:ascii="Arial" w:hAnsi="Arial" w:cs="Arial"/>
          <w:sz w:val="20"/>
          <w:szCs w:val="20"/>
        </w:rPr>
      </w:pPr>
      <w:r w:rsidRPr="009B7B35">
        <w:rPr>
          <w:rFonts w:ascii="Arial" w:eastAsia="Arial" w:hAnsi="Arial" w:cs="Arial"/>
          <w:sz w:val="20"/>
          <w:szCs w:val="20"/>
        </w:rPr>
        <w:t>maximum degree of saturation for intersections identified in Table 4.2.4.4.1.1.</w:t>
      </w:r>
    </w:p>
    <w:p w14:paraId="4CFE983F" w14:textId="77777777" w:rsidR="00BE36FB" w:rsidRPr="009B7B35" w:rsidRDefault="00BE36FB" w:rsidP="00C148A6">
      <w:pPr>
        <w:pStyle w:val="Heading5"/>
        <w:numPr>
          <w:ilvl w:val="0"/>
          <w:numId w:val="0"/>
        </w:numPr>
        <w:rPr>
          <w:rFonts w:cs="Arial"/>
          <w:szCs w:val="20"/>
        </w:rPr>
      </w:pPr>
      <w:r w:rsidRPr="009B7B35">
        <w:rPr>
          <w:rFonts w:cs="Arial"/>
          <w:szCs w:val="20"/>
        </w:rPr>
        <w:t>Table 4.2.4.4.1.1—Maximum degree of saturation for local road intersections</w:t>
      </w:r>
    </w:p>
    <w:tbl>
      <w:tblPr>
        <w:tblStyle w:val="Tablestyle"/>
        <w:tblW w:w="6521" w:type="dxa"/>
        <w:tblLook w:val="04A0" w:firstRow="1" w:lastRow="0" w:firstColumn="1" w:lastColumn="0" w:noHBand="0" w:noVBand="1"/>
      </w:tblPr>
      <w:tblGrid>
        <w:gridCol w:w="3119"/>
        <w:gridCol w:w="3402"/>
      </w:tblGrid>
      <w:tr w:rsidR="00BE36FB" w:rsidRPr="009B7B35" w14:paraId="1A069B57" w14:textId="77777777" w:rsidTr="001A7107">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119" w:type="dxa"/>
          </w:tcPr>
          <w:p w14:paraId="5E23868C" w14:textId="77777777" w:rsidR="00BE36FB" w:rsidRPr="009B7B35" w:rsidRDefault="00BE36FB" w:rsidP="001A7107">
            <w:pPr>
              <w:pStyle w:val="TableText"/>
              <w:rPr>
                <w:rFonts w:cs="Arial"/>
              </w:rPr>
            </w:pPr>
            <w:r w:rsidRPr="009B7B35">
              <w:rPr>
                <w:rFonts w:eastAsia="Arial" w:cs="Arial"/>
              </w:rPr>
              <w:t xml:space="preserve">Road Network Item </w:t>
            </w:r>
          </w:p>
        </w:tc>
        <w:tc>
          <w:tcPr>
            <w:tcW w:w="3402" w:type="dxa"/>
          </w:tcPr>
          <w:p w14:paraId="13ED84A6"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eastAsia="Arial" w:cs="Arial"/>
              </w:rPr>
              <w:t xml:space="preserve">Maximum Degree of Saturation </w:t>
            </w:r>
          </w:p>
        </w:tc>
      </w:tr>
      <w:tr w:rsidR="00BE36FB" w:rsidRPr="009B7B35" w14:paraId="1907E76E" w14:textId="77777777"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3119" w:type="dxa"/>
          </w:tcPr>
          <w:p w14:paraId="0A821394" w14:textId="77777777" w:rsidR="00BE36FB" w:rsidRPr="009B7B35" w:rsidRDefault="00BE36FB" w:rsidP="001A7107">
            <w:pPr>
              <w:pStyle w:val="TableText"/>
              <w:rPr>
                <w:rFonts w:cs="Arial"/>
              </w:rPr>
            </w:pPr>
            <w:r w:rsidRPr="009B7B35">
              <w:rPr>
                <w:rFonts w:eastAsia="Arial" w:cs="Arial"/>
              </w:rPr>
              <w:t xml:space="preserve">Traffic Signals </w:t>
            </w:r>
          </w:p>
        </w:tc>
        <w:tc>
          <w:tcPr>
            <w:tcW w:w="3402" w:type="dxa"/>
          </w:tcPr>
          <w:p w14:paraId="3B35C65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90% </w:t>
            </w:r>
          </w:p>
        </w:tc>
      </w:tr>
      <w:tr w:rsidR="00BE36FB" w:rsidRPr="009B7B35" w14:paraId="6BD8B316" w14:textId="77777777"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19" w:type="dxa"/>
          </w:tcPr>
          <w:p w14:paraId="5F463449" w14:textId="77777777" w:rsidR="00BE36FB" w:rsidRPr="009B7B35" w:rsidRDefault="00BE36FB" w:rsidP="001A7107">
            <w:pPr>
              <w:pStyle w:val="TableText"/>
              <w:rPr>
                <w:rFonts w:cs="Arial"/>
              </w:rPr>
            </w:pPr>
            <w:r w:rsidRPr="009B7B35">
              <w:rPr>
                <w:rFonts w:eastAsia="Arial" w:cs="Arial"/>
              </w:rPr>
              <w:t xml:space="preserve">Roundabout </w:t>
            </w:r>
          </w:p>
        </w:tc>
        <w:tc>
          <w:tcPr>
            <w:tcW w:w="3402" w:type="dxa"/>
          </w:tcPr>
          <w:p w14:paraId="2350BFB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eastAsia="Arial" w:cs="Arial"/>
              </w:rPr>
              <w:t xml:space="preserve">85% </w:t>
            </w:r>
          </w:p>
        </w:tc>
      </w:tr>
      <w:tr w:rsidR="00BE36FB" w:rsidRPr="009B7B35" w14:paraId="069FB95D" w14:textId="77777777" w:rsidTr="001A710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19" w:type="dxa"/>
          </w:tcPr>
          <w:p w14:paraId="735B55BD" w14:textId="77777777" w:rsidR="00BE36FB" w:rsidRPr="009B7B35" w:rsidRDefault="00BE36FB" w:rsidP="001A7107">
            <w:pPr>
              <w:pStyle w:val="TableText"/>
              <w:rPr>
                <w:rFonts w:cs="Arial"/>
              </w:rPr>
            </w:pPr>
            <w:r w:rsidRPr="009B7B35">
              <w:rPr>
                <w:rFonts w:eastAsia="Arial" w:cs="Arial"/>
              </w:rPr>
              <w:t xml:space="preserve">Priority Controlled </w:t>
            </w:r>
          </w:p>
        </w:tc>
        <w:tc>
          <w:tcPr>
            <w:tcW w:w="3402" w:type="dxa"/>
          </w:tcPr>
          <w:p w14:paraId="11F5328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eastAsia="Arial" w:cs="Arial"/>
              </w:rPr>
              <w:t xml:space="preserve">80% </w:t>
            </w:r>
          </w:p>
        </w:tc>
      </w:tr>
    </w:tbl>
    <w:p w14:paraId="3896DC3C" w14:textId="77777777" w:rsidR="00BE36FB" w:rsidRPr="009B7B35" w:rsidRDefault="00BE36FB" w:rsidP="001A7107">
      <w:pPr>
        <w:rPr>
          <w:rFonts w:ascii="Arial" w:hAnsi="Arial" w:cs="Arial"/>
          <w:sz w:val="20"/>
          <w:szCs w:val="20"/>
        </w:rPr>
      </w:pPr>
    </w:p>
    <w:p w14:paraId="0E8BAD29" w14:textId="3F9BB4C1" w:rsidR="00BE36FB" w:rsidRPr="009B7B35" w:rsidRDefault="00BE36FB" w:rsidP="00C148A6">
      <w:pPr>
        <w:ind w:left="851" w:hanging="851"/>
        <w:rPr>
          <w:rFonts w:ascii="Arial" w:hAnsi="Arial" w:cs="Arial"/>
          <w:b/>
          <w:sz w:val="20"/>
          <w:szCs w:val="20"/>
        </w:rPr>
      </w:pPr>
      <w:r w:rsidRPr="009B7B35">
        <w:rPr>
          <w:rFonts w:ascii="Arial" w:hAnsi="Arial" w:cs="Arial"/>
          <w:b/>
          <w:sz w:val="20"/>
          <w:szCs w:val="20"/>
        </w:rPr>
        <w:t>4.2.</w:t>
      </w:r>
      <w:r w:rsidR="006776DA">
        <w:rPr>
          <w:rFonts w:ascii="Arial" w:hAnsi="Arial" w:cs="Arial"/>
          <w:b/>
          <w:sz w:val="20"/>
          <w:szCs w:val="20"/>
        </w:rPr>
        <w:t>4</w:t>
      </w:r>
      <w:r w:rsidRPr="009B7B35">
        <w:rPr>
          <w:rFonts w:ascii="Arial" w:hAnsi="Arial" w:cs="Arial"/>
          <w:b/>
          <w:sz w:val="20"/>
          <w:szCs w:val="20"/>
        </w:rPr>
        <w:t>.4.2</w:t>
      </w:r>
      <w:r w:rsidR="00C148A6">
        <w:rPr>
          <w:rFonts w:ascii="Arial" w:hAnsi="Arial" w:cs="Arial"/>
          <w:b/>
          <w:sz w:val="20"/>
          <w:szCs w:val="20"/>
        </w:rPr>
        <w:tab/>
      </w:r>
      <w:r w:rsidRPr="009B7B35">
        <w:rPr>
          <w:rFonts w:ascii="Arial" w:hAnsi="Arial" w:cs="Arial"/>
          <w:b/>
          <w:sz w:val="20"/>
          <w:szCs w:val="20"/>
        </w:rPr>
        <w:t>Footpaths and cycle ways</w:t>
      </w:r>
    </w:p>
    <w:p w14:paraId="1F7EBCB0" w14:textId="77777777" w:rsidR="00BE36FB" w:rsidRPr="009B7B35" w:rsidRDefault="00BE36FB" w:rsidP="00BE36FB">
      <w:pPr>
        <w:numPr>
          <w:ilvl w:val="0"/>
          <w:numId w:val="60"/>
        </w:numPr>
        <w:rPr>
          <w:rFonts w:ascii="Arial" w:hAnsi="Arial" w:cs="Arial"/>
          <w:sz w:val="20"/>
          <w:szCs w:val="20"/>
        </w:rPr>
      </w:pPr>
      <w:r w:rsidRPr="009B7B35">
        <w:rPr>
          <w:rFonts w:ascii="Arial" w:eastAsia="Arial" w:hAnsi="Arial" w:cs="Arial"/>
          <w:sz w:val="20"/>
          <w:szCs w:val="20"/>
        </w:rPr>
        <w:t>Plan cycle ways and footpaths to provide a safe, attractive and convenient network that links residential areas to major activity nodes and public transport interchanges, thereby encouraging walking and cycling as acceptable travel alternatives.</w:t>
      </w:r>
    </w:p>
    <w:p w14:paraId="5C1967A7" w14:textId="77777777" w:rsidR="00BE36FB" w:rsidRPr="009B7B35" w:rsidRDefault="00BE36FB" w:rsidP="00BE36FB">
      <w:pPr>
        <w:numPr>
          <w:ilvl w:val="0"/>
          <w:numId w:val="60"/>
        </w:numPr>
        <w:rPr>
          <w:rFonts w:ascii="Arial" w:hAnsi="Arial" w:cs="Arial"/>
          <w:sz w:val="20"/>
          <w:szCs w:val="20"/>
        </w:rPr>
      </w:pPr>
      <w:r w:rsidRPr="009B7B35">
        <w:rPr>
          <w:rFonts w:ascii="Arial" w:eastAsia="Arial" w:hAnsi="Arial" w:cs="Arial"/>
          <w:sz w:val="20"/>
          <w:szCs w:val="20"/>
        </w:rPr>
        <w:t>Design cycle ways (including on-road cycle ways) and footpaths to comply with Council’s adopted standards and the requirements of the Disability Discrimination Act 1992.</w:t>
      </w:r>
    </w:p>
    <w:p w14:paraId="55AA68F4" w14:textId="77777777" w:rsidR="00BE36FB" w:rsidRPr="009B7B35" w:rsidRDefault="00BE36FB" w:rsidP="001A7107">
      <w:pPr>
        <w:rPr>
          <w:rFonts w:ascii="Arial" w:hAnsi="Arial" w:cs="Arial"/>
          <w:sz w:val="20"/>
          <w:szCs w:val="20"/>
        </w:rPr>
      </w:pPr>
    </w:p>
    <w:p w14:paraId="05893914" w14:textId="5E727F4B" w:rsidR="00BE36FB" w:rsidRPr="009B7B35" w:rsidRDefault="00BE36FB" w:rsidP="00C148A6">
      <w:pPr>
        <w:ind w:left="851" w:hanging="851"/>
        <w:rPr>
          <w:rFonts w:ascii="Arial" w:hAnsi="Arial" w:cs="Arial"/>
          <w:b/>
          <w:sz w:val="20"/>
          <w:szCs w:val="20"/>
        </w:rPr>
      </w:pPr>
      <w:r w:rsidRPr="009B7B35">
        <w:rPr>
          <w:rFonts w:ascii="Arial" w:hAnsi="Arial" w:cs="Arial"/>
          <w:b/>
          <w:sz w:val="20"/>
          <w:szCs w:val="20"/>
        </w:rPr>
        <w:t>4.2.</w:t>
      </w:r>
      <w:r w:rsidR="006776DA">
        <w:rPr>
          <w:rFonts w:ascii="Arial" w:hAnsi="Arial" w:cs="Arial"/>
          <w:b/>
          <w:sz w:val="20"/>
          <w:szCs w:val="20"/>
        </w:rPr>
        <w:t>4</w:t>
      </w:r>
      <w:r w:rsidRPr="009B7B35">
        <w:rPr>
          <w:rFonts w:ascii="Arial" w:hAnsi="Arial" w:cs="Arial"/>
          <w:b/>
          <w:sz w:val="20"/>
          <w:szCs w:val="20"/>
        </w:rPr>
        <w:t>.4.3</w:t>
      </w:r>
      <w:r w:rsidR="00C148A6">
        <w:rPr>
          <w:rFonts w:ascii="Arial" w:hAnsi="Arial" w:cs="Arial"/>
          <w:b/>
          <w:sz w:val="20"/>
          <w:szCs w:val="20"/>
        </w:rPr>
        <w:tab/>
      </w:r>
      <w:r w:rsidRPr="009B7B35">
        <w:rPr>
          <w:rFonts w:ascii="Arial" w:hAnsi="Arial" w:cs="Arial"/>
          <w:b/>
          <w:sz w:val="20"/>
          <w:szCs w:val="20"/>
        </w:rPr>
        <w:t xml:space="preserve">Public transport </w:t>
      </w:r>
    </w:p>
    <w:p w14:paraId="7C5F5EF9" w14:textId="77777777" w:rsidR="00BE36FB" w:rsidRPr="009B7B35" w:rsidRDefault="00BE36FB" w:rsidP="00BE36FB">
      <w:pPr>
        <w:numPr>
          <w:ilvl w:val="0"/>
          <w:numId w:val="61"/>
        </w:numPr>
        <w:rPr>
          <w:rFonts w:ascii="Arial" w:hAnsi="Arial" w:cs="Arial"/>
          <w:sz w:val="20"/>
          <w:szCs w:val="20"/>
        </w:rPr>
      </w:pPr>
      <w:r w:rsidRPr="009B7B35">
        <w:rPr>
          <w:rFonts w:ascii="Arial" w:eastAsia="Arial" w:hAnsi="Arial" w:cs="Arial"/>
          <w:sz w:val="20"/>
          <w:szCs w:val="20"/>
        </w:rPr>
        <w:t>Ensure development accommodates the integration of public transport services.</w:t>
      </w:r>
    </w:p>
    <w:p w14:paraId="71CB64D3" w14:textId="77777777" w:rsidR="00BE36FB" w:rsidRPr="009B7B35" w:rsidRDefault="00BE36FB" w:rsidP="00BE36FB">
      <w:pPr>
        <w:numPr>
          <w:ilvl w:val="0"/>
          <w:numId w:val="61"/>
        </w:numPr>
        <w:rPr>
          <w:rFonts w:ascii="Arial" w:hAnsi="Arial" w:cs="Arial"/>
          <w:sz w:val="20"/>
          <w:szCs w:val="20"/>
        </w:rPr>
      </w:pPr>
      <w:r w:rsidRPr="009B7B35">
        <w:rPr>
          <w:rFonts w:ascii="Arial" w:eastAsia="Arial" w:hAnsi="Arial" w:cs="Arial"/>
          <w:sz w:val="20"/>
          <w:szCs w:val="20"/>
        </w:rPr>
        <w:t>Provide bus stops including bus bays, shelters, seating and bus information systems in accordance with Council’s adopted standards.</w:t>
      </w:r>
      <w:bookmarkStart w:id="150" w:name="_Toc402447494"/>
    </w:p>
    <w:p w14:paraId="22E7E1EC" w14:textId="77777777" w:rsidR="00BE36FB" w:rsidRPr="009B7B35" w:rsidRDefault="00BE36FB" w:rsidP="006776DA">
      <w:pPr>
        <w:pStyle w:val="Heading4"/>
        <w:numPr>
          <w:ilvl w:val="3"/>
          <w:numId w:val="882"/>
        </w:numPr>
        <w:ind w:left="851" w:hanging="851"/>
        <w:rPr>
          <w:rFonts w:ascii="Arial" w:hAnsi="Arial" w:cs="Arial"/>
          <w:sz w:val="20"/>
          <w:szCs w:val="20"/>
        </w:rPr>
      </w:pPr>
      <w:r w:rsidRPr="009B7B35">
        <w:rPr>
          <w:rFonts w:ascii="Arial" w:hAnsi="Arial" w:cs="Arial"/>
          <w:sz w:val="20"/>
          <w:szCs w:val="20"/>
        </w:rPr>
        <w:t>Public parks and land for community facilities network</w:t>
      </w:r>
      <w:bookmarkEnd w:id="150"/>
    </w:p>
    <w:p w14:paraId="34D2EA89"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desired standard of service for the Public Parks and land for community facilities includes the following: </w:t>
      </w:r>
    </w:p>
    <w:p w14:paraId="1A7C4E68" w14:textId="77777777" w:rsidR="00BE36FB" w:rsidRPr="009B7B35" w:rsidRDefault="00BE36FB" w:rsidP="00BE36FB">
      <w:pPr>
        <w:numPr>
          <w:ilvl w:val="0"/>
          <w:numId w:val="62"/>
        </w:numPr>
        <w:rPr>
          <w:rFonts w:ascii="Arial" w:hAnsi="Arial" w:cs="Arial"/>
          <w:sz w:val="20"/>
          <w:szCs w:val="20"/>
        </w:rPr>
      </w:pPr>
      <w:r w:rsidRPr="009B7B35">
        <w:rPr>
          <w:rFonts w:ascii="Arial" w:hAnsi="Arial" w:cs="Arial"/>
          <w:sz w:val="20"/>
          <w:szCs w:val="20"/>
        </w:rPr>
        <w:t xml:space="preserve">Provide an accessible network of parks, open space, and community facilities that meets the needs of residents and visitors in accordance with the rate of provision identified in Table 4.2.4.5.1 and accessibility standards outlined in Table 4.2.4.5.2. </w:t>
      </w:r>
    </w:p>
    <w:p w14:paraId="2DD8ADF2" w14:textId="77777777" w:rsidR="00BE36FB" w:rsidRPr="009B7B35" w:rsidRDefault="00BE36FB" w:rsidP="00BE36FB">
      <w:pPr>
        <w:numPr>
          <w:ilvl w:val="0"/>
          <w:numId w:val="62"/>
        </w:numPr>
        <w:rPr>
          <w:rFonts w:ascii="Arial" w:hAnsi="Arial" w:cs="Arial"/>
          <w:sz w:val="20"/>
          <w:szCs w:val="20"/>
        </w:rPr>
      </w:pPr>
      <w:r w:rsidRPr="009B7B35">
        <w:rPr>
          <w:rFonts w:ascii="Arial" w:hAnsi="Arial" w:cs="Arial"/>
          <w:sz w:val="20"/>
          <w:szCs w:val="20"/>
        </w:rPr>
        <w:t xml:space="preserve">Ensure land for public parks and community facilities has: </w:t>
      </w:r>
    </w:p>
    <w:p w14:paraId="6C95DF4C" w14:textId="77777777" w:rsidR="00BE36FB" w:rsidRPr="009B7B35" w:rsidRDefault="00BE36FB" w:rsidP="00BE36FB">
      <w:pPr>
        <w:numPr>
          <w:ilvl w:val="1"/>
          <w:numId w:val="62"/>
        </w:numPr>
        <w:rPr>
          <w:rFonts w:ascii="Arial" w:hAnsi="Arial" w:cs="Arial"/>
          <w:sz w:val="20"/>
          <w:szCs w:val="20"/>
        </w:rPr>
      </w:pPr>
      <w:r w:rsidRPr="009B7B35">
        <w:rPr>
          <w:rFonts w:ascii="Arial" w:hAnsi="Arial" w:cs="Arial"/>
          <w:sz w:val="20"/>
          <w:szCs w:val="20"/>
        </w:rPr>
        <w:t>minimum land size as identified in table 4.2.4.5.3.</w:t>
      </w:r>
    </w:p>
    <w:p w14:paraId="4CA46444" w14:textId="77777777" w:rsidR="00BE36FB" w:rsidRPr="009B7B35" w:rsidRDefault="00BE36FB" w:rsidP="00BE36FB">
      <w:pPr>
        <w:numPr>
          <w:ilvl w:val="1"/>
          <w:numId w:val="62"/>
        </w:numPr>
        <w:rPr>
          <w:rFonts w:ascii="Arial" w:hAnsi="Arial" w:cs="Arial"/>
          <w:sz w:val="20"/>
          <w:szCs w:val="20"/>
        </w:rPr>
      </w:pPr>
      <w:r w:rsidRPr="009B7B35">
        <w:rPr>
          <w:rFonts w:ascii="Arial" w:hAnsi="Arial" w:cs="Arial"/>
          <w:sz w:val="20"/>
          <w:szCs w:val="20"/>
        </w:rPr>
        <w:t>configuration, slope, and acceptable level of flood immunity in accordance with Council's adopted standards.</w:t>
      </w:r>
    </w:p>
    <w:p w14:paraId="59A74FB5" w14:textId="77777777" w:rsidR="00BE36FB" w:rsidRPr="009B7B35" w:rsidRDefault="00BE36FB" w:rsidP="00BE36FB">
      <w:pPr>
        <w:numPr>
          <w:ilvl w:val="0"/>
          <w:numId w:val="62"/>
        </w:numPr>
        <w:rPr>
          <w:rFonts w:ascii="Arial" w:hAnsi="Arial" w:cs="Arial"/>
          <w:sz w:val="20"/>
          <w:szCs w:val="20"/>
        </w:rPr>
      </w:pPr>
      <w:r w:rsidRPr="009B7B35">
        <w:rPr>
          <w:rFonts w:ascii="Arial" w:hAnsi="Arial" w:cs="Arial"/>
          <w:sz w:val="20"/>
          <w:szCs w:val="20"/>
        </w:rPr>
        <w:t>Embellish public parks to complement the type and purpose of the public park as identified in Table 4.2.4.5.3.</w:t>
      </w:r>
    </w:p>
    <w:p w14:paraId="02A9A5C7" w14:textId="77777777" w:rsidR="00BE36FB" w:rsidRPr="009B7B35" w:rsidRDefault="00BE36FB" w:rsidP="00C148A6">
      <w:pPr>
        <w:pStyle w:val="Heading5"/>
        <w:numPr>
          <w:ilvl w:val="0"/>
          <w:numId w:val="0"/>
        </w:numPr>
        <w:rPr>
          <w:rFonts w:cs="Arial"/>
          <w:szCs w:val="20"/>
        </w:rPr>
      </w:pPr>
      <w:r w:rsidRPr="009B7B35">
        <w:rPr>
          <w:rFonts w:cs="Arial"/>
          <w:szCs w:val="20"/>
        </w:rPr>
        <w:t>Table 4.2.4.5.1—Rate of land provision for public parks and community facilities</w:t>
      </w:r>
    </w:p>
    <w:tbl>
      <w:tblPr>
        <w:tblStyle w:val="Tablestyle"/>
        <w:tblW w:w="9639" w:type="dxa"/>
        <w:tblLook w:val="04A0" w:firstRow="1" w:lastRow="0" w:firstColumn="1" w:lastColumn="0" w:noHBand="0" w:noVBand="1"/>
      </w:tblPr>
      <w:tblGrid>
        <w:gridCol w:w="4111"/>
        <w:gridCol w:w="2689"/>
        <w:gridCol w:w="2839"/>
      </w:tblGrid>
      <w:tr w:rsidR="00BE36FB" w:rsidRPr="009B7B35" w14:paraId="277BEF1F"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vMerge w:val="restart"/>
          </w:tcPr>
          <w:p w14:paraId="414980A9" w14:textId="77777777" w:rsidR="00BE36FB" w:rsidRPr="009B7B35" w:rsidRDefault="00BE36FB" w:rsidP="001A7107">
            <w:pPr>
              <w:pStyle w:val="TableText"/>
              <w:rPr>
                <w:rFonts w:cs="Arial"/>
              </w:rPr>
            </w:pPr>
            <w:r w:rsidRPr="009B7B35">
              <w:rPr>
                <w:rFonts w:eastAsia="Arial" w:cs="Arial"/>
              </w:rPr>
              <w:t xml:space="preserve">Infrastructure item </w:t>
            </w:r>
          </w:p>
        </w:tc>
        <w:tc>
          <w:tcPr>
            <w:tcW w:w="5528" w:type="dxa"/>
            <w:gridSpan w:val="2"/>
          </w:tcPr>
          <w:p w14:paraId="3BD9A42C"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eastAsia="Arial" w:cs="Arial"/>
              </w:rPr>
              <w:t>Rate of provision (Ha/1000 people)</w:t>
            </w:r>
          </w:p>
        </w:tc>
      </w:tr>
      <w:tr w:rsidR="00BE36FB" w:rsidRPr="009B7B35" w14:paraId="566E0C2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vMerge/>
          </w:tcPr>
          <w:p w14:paraId="58914882" w14:textId="77777777" w:rsidR="00BE36FB" w:rsidRPr="009B7B35" w:rsidRDefault="00BE36FB" w:rsidP="001A7107">
            <w:pPr>
              <w:pStyle w:val="TableText"/>
              <w:rPr>
                <w:rFonts w:cs="Arial"/>
              </w:rPr>
            </w:pPr>
          </w:p>
        </w:tc>
        <w:tc>
          <w:tcPr>
            <w:tcW w:w="2689" w:type="dxa"/>
            <w:shd w:val="clear" w:color="auto" w:fill="BFBFBF" w:themeFill="background1" w:themeFillShade="BF"/>
          </w:tcPr>
          <w:p w14:paraId="589791A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District</w:t>
            </w:r>
          </w:p>
        </w:tc>
        <w:tc>
          <w:tcPr>
            <w:tcW w:w="2839" w:type="dxa"/>
            <w:shd w:val="clear" w:color="auto" w:fill="BFBFBF" w:themeFill="background1" w:themeFillShade="BF"/>
          </w:tcPr>
          <w:p w14:paraId="49BC434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Local government–wide</w:t>
            </w:r>
          </w:p>
        </w:tc>
      </w:tr>
      <w:tr w:rsidR="00BE36FB" w:rsidRPr="009B7B35" w14:paraId="255B796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56D51CB1" w14:textId="77777777" w:rsidR="00BE36FB" w:rsidRPr="009B7B35" w:rsidRDefault="00BE36FB" w:rsidP="001A7107">
            <w:pPr>
              <w:pStyle w:val="TableText"/>
              <w:rPr>
                <w:rFonts w:eastAsia="Arial" w:cs="Arial"/>
              </w:rPr>
            </w:pPr>
            <w:r w:rsidRPr="009B7B35">
              <w:rPr>
                <w:rFonts w:eastAsia="Arial" w:cs="Arial"/>
              </w:rPr>
              <w:t xml:space="preserve">Recreation park </w:t>
            </w:r>
          </w:p>
        </w:tc>
        <w:tc>
          <w:tcPr>
            <w:tcW w:w="2689" w:type="dxa"/>
          </w:tcPr>
          <w:p w14:paraId="48BA9B0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r w:rsidRPr="009B7B35">
              <w:rPr>
                <w:rFonts w:eastAsia="Arial" w:cs="Arial"/>
              </w:rPr>
              <w:t>3.0</w:t>
            </w:r>
          </w:p>
        </w:tc>
        <w:tc>
          <w:tcPr>
            <w:tcW w:w="2839" w:type="dxa"/>
          </w:tcPr>
          <w:p w14:paraId="39DB190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r w:rsidRPr="009B7B35">
              <w:rPr>
                <w:rFonts w:eastAsia="Arial" w:cs="Arial"/>
              </w:rPr>
              <w:t>–</w:t>
            </w:r>
          </w:p>
        </w:tc>
      </w:tr>
      <w:tr w:rsidR="00BE36FB" w:rsidRPr="009B7B35" w14:paraId="03BD568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414C70A7" w14:textId="77777777" w:rsidR="00BE36FB" w:rsidRPr="009B7B35" w:rsidRDefault="00BE36FB" w:rsidP="001A7107">
            <w:pPr>
              <w:pStyle w:val="TableText"/>
              <w:rPr>
                <w:rFonts w:eastAsia="Arial" w:cs="Arial"/>
              </w:rPr>
            </w:pPr>
            <w:r w:rsidRPr="009B7B35">
              <w:rPr>
                <w:rFonts w:eastAsia="Arial" w:cs="Arial"/>
              </w:rPr>
              <w:t xml:space="preserve">Sport park </w:t>
            </w:r>
          </w:p>
        </w:tc>
        <w:tc>
          <w:tcPr>
            <w:tcW w:w="2689" w:type="dxa"/>
          </w:tcPr>
          <w:p w14:paraId="2C8A9E8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2.0</w:t>
            </w:r>
          </w:p>
        </w:tc>
        <w:tc>
          <w:tcPr>
            <w:tcW w:w="2839" w:type="dxa"/>
          </w:tcPr>
          <w:p w14:paraId="5CF024B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2.0</w:t>
            </w:r>
          </w:p>
        </w:tc>
      </w:tr>
      <w:tr w:rsidR="00BE36FB" w:rsidRPr="009B7B35" w14:paraId="2E7721D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11AC340F" w14:textId="77777777" w:rsidR="00BE36FB" w:rsidRPr="009B7B35" w:rsidRDefault="00BE36FB" w:rsidP="001A7107">
            <w:pPr>
              <w:pStyle w:val="TableText"/>
              <w:rPr>
                <w:rFonts w:eastAsia="Arial" w:cs="Arial"/>
              </w:rPr>
            </w:pPr>
            <w:r w:rsidRPr="009B7B35">
              <w:rPr>
                <w:rFonts w:eastAsia="Arial" w:cs="Arial"/>
              </w:rPr>
              <w:t xml:space="preserve">Land for community facilities </w:t>
            </w:r>
          </w:p>
        </w:tc>
        <w:tc>
          <w:tcPr>
            <w:tcW w:w="2689" w:type="dxa"/>
          </w:tcPr>
          <w:p w14:paraId="1655E8D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p>
        </w:tc>
        <w:tc>
          <w:tcPr>
            <w:tcW w:w="2839" w:type="dxa"/>
          </w:tcPr>
          <w:p w14:paraId="78D214D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p>
        </w:tc>
      </w:tr>
    </w:tbl>
    <w:p w14:paraId="2B5976B1" w14:textId="77777777" w:rsidR="00BE36FB" w:rsidRPr="009B7B35" w:rsidRDefault="00BE36FB" w:rsidP="00C148A6">
      <w:pPr>
        <w:pStyle w:val="Heading5"/>
        <w:numPr>
          <w:ilvl w:val="0"/>
          <w:numId w:val="0"/>
        </w:numPr>
        <w:rPr>
          <w:rFonts w:cs="Arial"/>
          <w:szCs w:val="20"/>
        </w:rPr>
      </w:pPr>
      <w:r w:rsidRPr="009B7B35">
        <w:rPr>
          <w:rFonts w:cs="Arial"/>
          <w:szCs w:val="20"/>
        </w:rPr>
        <w:t>Table 4.2.4.5.2—Accessibility standard for public parks and land for community facilities</w:t>
      </w:r>
    </w:p>
    <w:tbl>
      <w:tblPr>
        <w:tblStyle w:val="Tablestyle"/>
        <w:tblW w:w="9639" w:type="dxa"/>
        <w:tblLook w:val="04A0" w:firstRow="1" w:lastRow="0" w:firstColumn="1" w:lastColumn="0" w:noHBand="0" w:noVBand="1"/>
      </w:tblPr>
      <w:tblGrid>
        <w:gridCol w:w="4111"/>
        <w:gridCol w:w="2729"/>
        <w:gridCol w:w="2799"/>
      </w:tblGrid>
      <w:tr w:rsidR="00BE36FB" w:rsidRPr="009B7B35" w14:paraId="0655FA4F"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vMerge w:val="restart"/>
          </w:tcPr>
          <w:p w14:paraId="222B3261" w14:textId="77777777" w:rsidR="00BE36FB" w:rsidRPr="009B7B35" w:rsidRDefault="00BE36FB" w:rsidP="001A7107">
            <w:pPr>
              <w:pStyle w:val="TableText"/>
              <w:rPr>
                <w:rFonts w:cs="Arial"/>
              </w:rPr>
            </w:pPr>
            <w:r w:rsidRPr="009B7B35">
              <w:rPr>
                <w:rFonts w:eastAsia="Arial" w:cs="Arial"/>
              </w:rPr>
              <w:t xml:space="preserve">Infrastructure item </w:t>
            </w:r>
          </w:p>
        </w:tc>
        <w:tc>
          <w:tcPr>
            <w:tcW w:w="5528" w:type="dxa"/>
            <w:gridSpan w:val="2"/>
          </w:tcPr>
          <w:p w14:paraId="6E38710D"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eastAsia="Arial" w:cs="Arial"/>
              </w:rPr>
              <w:t>Accessibility standard (km)</w:t>
            </w:r>
          </w:p>
        </w:tc>
      </w:tr>
      <w:tr w:rsidR="00BE36FB" w:rsidRPr="009B7B35" w14:paraId="2183818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vMerge/>
          </w:tcPr>
          <w:p w14:paraId="2B706278" w14:textId="77777777" w:rsidR="00BE36FB" w:rsidRPr="009B7B35" w:rsidRDefault="00BE36FB" w:rsidP="001A7107">
            <w:pPr>
              <w:pStyle w:val="TableText"/>
              <w:rPr>
                <w:rFonts w:cs="Arial"/>
              </w:rPr>
            </w:pPr>
          </w:p>
        </w:tc>
        <w:tc>
          <w:tcPr>
            <w:tcW w:w="2729" w:type="dxa"/>
            <w:shd w:val="clear" w:color="auto" w:fill="BFBFBF" w:themeFill="background1" w:themeFillShade="BF"/>
          </w:tcPr>
          <w:p w14:paraId="117E712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 xml:space="preserve">District </w:t>
            </w:r>
          </w:p>
        </w:tc>
        <w:tc>
          <w:tcPr>
            <w:tcW w:w="2799" w:type="dxa"/>
            <w:shd w:val="clear" w:color="auto" w:fill="BFBFBF" w:themeFill="background1" w:themeFillShade="BF"/>
          </w:tcPr>
          <w:p w14:paraId="3AC7E40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 xml:space="preserve">Local government–wide </w:t>
            </w:r>
          </w:p>
        </w:tc>
      </w:tr>
      <w:tr w:rsidR="00BE36FB" w:rsidRPr="009B7B35" w14:paraId="033E5DB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4D0C556E" w14:textId="77777777" w:rsidR="00BE36FB" w:rsidRPr="009B7B35" w:rsidRDefault="00BE36FB" w:rsidP="001A7107">
            <w:pPr>
              <w:pStyle w:val="TableText"/>
              <w:rPr>
                <w:rFonts w:eastAsia="Arial" w:cs="Arial"/>
              </w:rPr>
            </w:pPr>
            <w:r w:rsidRPr="009B7B35">
              <w:rPr>
                <w:rFonts w:eastAsia="Arial" w:cs="Arial"/>
              </w:rPr>
              <w:t xml:space="preserve">Recreation park </w:t>
            </w:r>
          </w:p>
        </w:tc>
        <w:tc>
          <w:tcPr>
            <w:tcW w:w="2729" w:type="dxa"/>
          </w:tcPr>
          <w:p w14:paraId="6D364AC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r w:rsidRPr="009B7B35">
              <w:rPr>
                <w:rFonts w:eastAsia="Arial" w:cs="Arial"/>
              </w:rPr>
              <w:t>5</w:t>
            </w:r>
          </w:p>
        </w:tc>
        <w:tc>
          <w:tcPr>
            <w:tcW w:w="2799" w:type="dxa"/>
          </w:tcPr>
          <w:p w14:paraId="56E0A59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r w:rsidRPr="009B7B35">
              <w:rPr>
                <w:rFonts w:eastAsia="Arial" w:cs="Arial"/>
              </w:rPr>
              <w:t>20</w:t>
            </w:r>
          </w:p>
        </w:tc>
      </w:tr>
      <w:tr w:rsidR="00BE36FB" w:rsidRPr="009B7B35" w14:paraId="1FDD4F2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0A9DFB9E" w14:textId="77777777" w:rsidR="00BE36FB" w:rsidRPr="009B7B35" w:rsidRDefault="00BE36FB" w:rsidP="001A7107">
            <w:pPr>
              <w:pStyle w:val="TableText"/>
              <w:rPr>
                <w:rFonts w:eastAsia="Arial" w:cs="Arial"/>
              </w:rPr>
            </w:pPr>
            <w:r w:rsidRPr="009B7B35">
              <w:rPr>
                <w:rFonts w:eastAsia="Arial" w:cs="Arial"/>
              </w:rPr>
              <w:t xml:space="preserve">Sport park </w:t>
            </w:r>
          </w:p>
        </w:tc>
        <w:tc>
          <w:tcPr>
            <w:tcW w:w="2729" w:type="dxa"/>
          </w:tcPr>
          <w:p w14:paraId="69CA907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5</w:t>
            </w:r>
          </w:p>
        </w:tc>
        <w:tc>
          <w:tcPr>
            <w:tcW w:w="2799" w:type="dxa"/>
          </w:tcPr>
          <w:p w14:paraId="1B156C0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20</w:t>
            </w:r>
          </w:p>
        </w:tc>
      </w:tr>
      <w:tr w:rsidR="00BE36FB" w:rsidRPr="009B7B35" w14:paraId="34A0398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0832A7D9" w14:textId="77777777" w:rsidR="00BE36FB" w:rsidRPr="009B7B35" w:rsidRDefault="00BE36FB" w:rsidP="001A7107">
            <w:pPr>
              <w:pStyle w:val="TableText"/>
              <w:rPr>
                <w:rFonts w:eastAsia="Arial" w:cs="Arial"/>
              </w:rPr>
            </w:pPr>
            <w:r w:rsidRPr="009B7B35">
              <w:rPr>
                <w:rFonts w:eastAsia="Arial" w:cs="Arial"/>
              </w:rPr>
              <w:t xml:space="preserve">Land for community facilities </w:t>
            </w:r>
          </w:p>
        </w:tc>
        <w:tc>
          <w:tcPr>
            <w:tcW w:w="2729" w:type="dxa"/>
          </w:tcPr>
          <w:p w14:paraId="1A5DDC0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p>
        </w:tc>
        <w:tc>
          <w:tcPr>
            <w:tcW w:w="2799" w:type="dxa"/>
          </w:tcPr>
          <w:p w14:paraId="1DCF4BE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p>
        </w:tc>
      </w:tr>
    </w:tbl>
    <w:p w14:paraId="01CB007B" w14:textId="77777777" w:rsidR="00BE36FB" w:rsidRPr="009B7B35" w:rsidRDefault="00BE36FB" w:rsidP="00C148A6">
      <w:pPr>
        <w:pStyle w:val="Heading5"/>
        <w:numPr>
          <w:ilvl w:val="0"/>
          <w:numId w:val="0"/>
        </w:numPr>
        <w:rPr>
          <w:rFonts w:cs="Arial"/>
          <w:szCs w:val="20"/>
        </w:rPr>
      </w:pPr>
      <w:r w:rsidRPr="009B7B35">
        <w:rPr>
          <w:rFonts w:cs="Arial"/>
          <w:szCs w:val="20"/>
        </w:rPr>
        <w:t>Table 4.2.4.5.3—Size of public parks and land for community facilities</w:t>
      </w:r>
    </w:p>
    <w:tbl>
      <w:tblPr>
        <w:tblStyle w:val="Tablestyle"/>
        <w:tblW w:w="9639" w:type="dxa"/>
        <w:tblLook w:val="04A0" w:firstRow="1" w:lastRow="0" w:firstColumn="1" w:lastColumn="0" w:noHBand="0" w:noVBand="1"/>
      </w:tblPr>
      <w:tblGrid>
        <w:gridCol w:w="4111"/>
        <w:gridCol w:w="2729"/>
        <w:gridCol w:w="2799"/>
      </w:tblGrid>
      <w:tr w:rsidR="00BE36FB" w:rsidRPr="009B7B35" w14:paraId="70DCB2FA" w14:textId="77777777" w:rsidTr="001A710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11" w:type="dxa"/>
            <w:vMerge w:val="restart"/>
          </w:tcPr>
          <w:p w14:paraId="63DE1066" w14:textId="77777777" w:rsidR="00BE36FB" w:rsidRPr="009B7B35" w:rsidRDefault="00BE36FB" w:rsidP="001A7107">
            <w:pPr>
              <w:pStyle w:val="TableText"/>
              <w:rPr>
                <w:rFonts w:cs="Arial"/>
              </w:rPr>
            </w:pPr>
            <w:r w:rsidRPr="009B7B35">
              <w:rPr>
                <w:rFonts w:eastAsia="Arial" w:cs="Arial"/>
              </w:rPr>
              <w:t xml:space="preserve">Infrastructure item </w:t>
            </w:r>
          </w:p>
        </w:tc>
        <w:tc>
          <w:tcPr>
            <w:tcW w:w="5528" w:type="dxa"/>
            <w:gridSpan w:val="2"/>
          </w:tcPr>
          <w:p w14:paraId="59280F38"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eastAsia="Arial" w:cs="Arial"/>
              </w:rPr>
              <w:t>Minimum size (Ha)</w:t>
            </w:r>
          </w:p>
        </w:tc>
      </w:tr>
      <w:tr w:rsidR="00BE36FB" w:rsidRPr="009B7B35" w14:paraId="30CBE3B5" w14:textId="77777777"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11" w:type="dxa"/>
            <w:vMerge/>
          </w:tcPr>
          <w:p w14:paraId="5DCB26A4" w14:textId="77777777" w:rsidR="00BE36FB" w:rsidRPr="009B7B35" w:rsidRDefault="00BE36FB" w:rsidP="001A7107">
            <w:pPr>
              <w:pStyle w:val="TableText"/>
              <w:rPr>
                <w:rFonts w:cs="Arial"/>
              </w:rPr>
            </w:pPr>
          </w:p>
        </w:tc>
        <w:tc>
          <w:tcPr>
            <w:tcW w:w="2729" w:type="dxa"/>
            <w:shd w:val="clear" w:color="auto" w:fill="BFBFBF" w:themeFill="background1" w:themeFillShade="BF"/>
          </w:tcPr>
          <w:p w14:paraId="55964B4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 xml:space="preserve">District </w:t>
            </w:r>
          </w:p>
        </w:tc>
        <w:tc>
          <w:tcPr>
            <w:tcW w:w="2799" w:type="dxa"/>
            <w:shd w:val="clear" w:color="auto" w:fill="BFBFBF" w:themeFill="background1" w:themeFillShade="BF"/>
          </w:tcPr>
          <w:p w14:paraId="01D3AE2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eastAsia="Arial" w:cs="Arial"/>
                <w:b/>
              </w:rPr>
              <w:t xml:space="preserve">Local government–wide </w:t>
            </w:r>
          </w:p>
        </w:tc>
      </w:tr>
      <w:tr w:rsidR="00BE36FB" w:rsidRPr="009B7B35" w14:paraId="65FCE2DF" w14:textId="77777777"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11" w:type="dxa"/>
          </w:tcPr>
          <w:p w14:paraId="18EB67AE" w14:textId="77777777" w:rsidR="00BE36FB" w:rsidRPr="009B7B35" w:rsidRDefault="00BE36FB" w:rsidP="001A7107">
            <w:pPr>
              <w:pStyle w:val="TableText"/>
              <w:rPr>
                <w:rFonts w:eastAsia="Arial" w:cs="Arial"/>
              </w:rPr>
            </w:pPr>
            <w:r w:rsidRPr="009B7B35">
              <w:rPr>
                <w:rFonts w:eastAsia="Arial" w:cs="Arial"/>
              </w:rPr>
              <w:t xml:space="preserve">Recreation park </w:t>
            </w:r>
          </w:p>
        </w:tc>
        <w:tc>
          <w:tcPr>
            <w:tcW w:w="2729" w:type="dxa"/>
          </w:tcPr>
          <w:p w14:paraId="19F54F4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r w:rsidRPr="009B7B35">
              <w:rPr>
                <w:rFonts w:eastAsia="Arial" w:cs="Arial"/>
              </w:rPr>
              <w:t>3.0</w:t>
            </w:r>
          </w:p>
        </w:tc>
        <w:tc>
          <w:tcPr>
            <w:tcW w:w="2799" w:type="dxa"/>
          </w:tcPr>
          <w:p w14:paraId="72EF6B8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r w:rsidRPr="009B7B35">
              <w:rPr>
                <w:rFonts w:eastAsia="Arial" w:cs="Arial"/>
              </w:rPr>
              <w:t>–</w:t>
            </w:r>
          </w:p>
        </w:tc>
      </w:tr>
      <w:tr w:rsidR="00BE36FB" w:rsidRPr="009B7B35" w14:paraId="66985F71" w14:textId="77777777"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11" w:type="dxa"/>
          </w:tcPr>
          <w:p w14:paraId="31987422" w14:textId="77777777" w:rsidR="00BE36FB" w:rsidRPr="009B7B35" w:rsidRDefault="00BE36FB" w:rsidP="001A7107">
            <w:pPr>
              <w:pStyle w:val="TableText"/>
              <w:rPr>
                <w:rFonts w:eastAsia="Arial" w:cs="Arial"/>
              </w:rPr>
            </w:pPr>
            <w:r w:rsidRPr="009B7B35">
              <w:rPr>
                <w:rFonts w:eastAsia="Arial" w:cs="Arial"/>
              </w:rPr>
              <w:t xml:space="preserve">Sport park </w:t>
            </w:r>
          </w:p>
        </w:tc>
        <w:tc>
          <w:tcPr>
            <w:tcW w:w="2729" w:type="dxa"/>
          </w:tcPr>
          <w:p w14:paraId="40ABFE2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2.0</w:t>
            </w:r>
          </w:p>
        </w:tc>
        <w:tc>
          <w:tcPr>
            <w:tcW w:w="2799" w:type="dxa"/>
          </w:tcPr>
          <w:p w14:paraId="214170F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10</w:t>
            </w:r>
          </w:p>
        </w:tc>
      </w:tr>
      <w:tr w:rsidR="00BE36FB" w:rsidRPr="009B7B35" w14:paraId="0D1ED132" w14:textId="77777777"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11" w:type="dxa"/>
          </w:tcPr>
          <w:p w14:paraId="7E926177" w14:textId="77777777" w:rsidR="00BE36FB" w:rsidRPr="009B7B35" w:rsidRDefault="00BE36FB" w:rsidP="001A7107">
            <w:pPr>
              <w:pStyle w:val="TableText"/>
              <w:rPr>
                <w:rFonts w:eastAsia="Arial" w:cs="Arial"/>
              </w:rPr>
            </w:pPr>
            <w:r w:rsidRPr="009B7B35">
              <w:rPr>
                <w:rFonts w:eastAsia="Arial" w:cs="Arial"/>
              </w:rPr>
              <w:t xml:space="preserve">Land for community facilities </w:t>
            </w:r>
          </w:p>
        </w:tc>
        <w:tc>
          <w:tcPr>
            <w:tcW w:w="2729" w:type="dxa"/>
          </w:tcPr>
          <w:p w14:paraId="50B2164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p>
        </w:tc>
        <w:tc>
          <w:tcPr>
            <w:tcW w:w="2799" w:type="dxa"/>
          </w:tcPr>
          <w:p w14:paraId="5B0C978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eastAsia="Arial" w:cs="Arial"/>
              </w:rPr>
            </w:pPr>
          </w:p>
        </w:tc>
      </w:tr>
    </w:tbl>
    <w:p w14:paraId="724C1DE3" w14:textId="77777777" w:rsidR="00BE36FB" w:rsidRPr="009B7B35" w:rsidRDefault="00BE36FB" w:rsidP="006776DA">
      <w:pPr>
        <w:pStyle w:val="Heading3"/>
        <w:numPr>
          <w:ilvl w:val="2"/>
          <w:numId w:val="882"/>
        </w:numPr>
        <w:spacing w:before="240"/>
        <w:ind w:left="851" w:hanging="851"/>
        <w:rPr>
          <w:rFonts w:ascii="Arial" w:hAnsi="Arial"/>
          <w:sz w:val="20"/>
          <w:szCs w:val="20"/>
        </w:rPr>
      </w:pPr>
      <w:bookmarkStart w:id="151" w:name="_Toc402447495"/>
      <w:bookmarkStart w:id="152" w:name="_Toc205367325"/>
      <w:r w:rsidRPr="009B7B35">
        <w:rPr>
          <w:rFonts w:ascii="Arial" w:hAnsi="Arial"/>
          <w:sz w:val="20"/>
          <w:szCs w:val="20"/>
        </w:rPr>
        <w:t>Plans for trunk infrastructure</w:t>
      </w:r>
      <w:bookmarkEnd w:id="151"/>
      <w:bookmarkEnd w:id="152"/>
    </w:p>
    <w:p w14:paraId="6D238C8A" w14:textId="77777777" w:rsidR="00BE36FB" w:rsidRPr="009B7B35" w:rsidRDefault="00BE36FB" w:rsidP="001A7107">
      <w:pPr>
        <w:rPr>
          <w:rFonts w:ascii="Arial" w:hAnsi="Arial" w:cs="Arial"/>
          <w:sz w:val="20"/>
          <w:szCs w:val="20"/>
        </w:rPr>
      </w:pPr>
      <w:r w:rsidRPr="009B7B35">
        <w:rPr>
          <w:rFonts w:ascii="Arial" w:hAnsi="Arial" w:cs="Arial"/>
          <w:sz w:val="20"/>
          <w:szCs w:val="20"/>
        </w:rPr>
        <w:t>The plans for trunk infrastructure (PFTIs) identify the trunk infrastructure networks intended to service the existing and assumed future urban development at the desired standard of service up to 2031.</w:t>
      </w:r>
    </w:p>
    <w:p w14:paraId="07D38CBD" w14:textId="77777777" w:rsidR="00BE36FB" w:rsidRPr="009B7B35" w:rsidRDefault="00BE36FB" w:rsidP="006776DA">
      <w:pPr>
        <w:pStyle w:val="Heading3"/>
        <w:numPr>
          <w:ilvl w:val="2"/>
          <w:numId w:val="882"/>
        </w:numPr>
        <w:spacing w:before="240"/>
        <w:ind w:left="851" w:hanging="851"/>
        <w:rPr>
          <w:rFonts w:ascii="Arial" w:hAnsi="Arial"/>
          <w:sz w:val="20"/>
          <w:szCs w:val="20"/>
        </w:rPr>
      </w:pPr>
      <w:bookmarkStart w:id="153" w:name="_Toc402447496"/>
      <w:bookmarkStart w:id="154" w:name="_Toc205367326"/>
      <w:r w:rsidRPr="009B7B35">
        <w:rPr>
          <w:rFonts w:ascii="Arial" w:hAnsi="Arial"/>
          <w:sz w:val="20"/>
          <w:szCs w:val="20"/>
        </w:rPr>
        <w:t>Plans for trunk infrastructure maps</w:t>
      </w:r>
      <w:bookmarkEnd w:id="153"/>
      <w:bookmarkEnd w:id="154"/>
    </w:p>
    <w:p w14:paraId="59CAD2D9"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trunk infrastructure networks are conceptually shown on the following maps in SC3.3—Local government infrastructure plan maps: </w:t>
      </w:r>
    </w:p>
    <w:p w14:paraId="5507C4C5" w14:textId="77777777" w:rsidR="00BE36FB" w:rsidRPr="009B7B35" w:rsidRDefault="00BE36FB" w:rsidP="00BE36FB">
      <w:pPr>
        <w:numPr>
          <w:ilvl w:val="0"/>
          <w:numId w:val="63"/>
        </w:numPr>
        <w:rPr>
          <w:rFonts w:ascii="Arial" w:hAnsi="Arial" w:cs="Arial"/>
          <w:sz w:val="20"/>
          <w:szCs w:val="20"/>
        </w:rPr>
      </w:pPr>
      <w:r w:rsidRPr="009B7B35">
        <w:rPr>
          <w:rFonts w:ascii="Arial" w:hAnsi="Arial" w:cs="Arial"/>
          <w:sz w:val="20"/>
          <w:szCs w:val="20"/>
        </w:rPr>
        <w:t xml:space="preserve">Priority Infrastructure Area for Gladstone Regional Council </w:t>
      </w:r>
    </w:p>
    <w:p w14:paraId="26148FA9" w14:textId="77777777" w:rsidR="00BE36FB" w:rsidRPr="009B7B35" w:rsidRDefault="00BE36FB" w:rsidP="00BE36FB">
      <w:pPr>
        <w:numPr>
          <w:ilvl w:val="0"/>
          <w:numId w:val="63"/>
        </w:numPr>
        <w:rPr>
          <w:rFonts w:ascii="Arial" w:hAnsi="Arial" w:cs="Arial"/>
          <w:sz w:val="20"/>
          <w:szCs w:val="20"/>
        </w:rPr>
      </w:pPr>
      <w:r w:rsidRPr="009B7B35">
        <w:rPr>
          <w:rFonts w:ascii="Arial" w:hAnsi="Arial" w:cs="Arial"/>
          <w:sz w:val="20"/>
          <w:szCs w:val="20"/>
        </w:rPr>
        <w:t xml:space="preserve">Plan for trunk infrastructure – Water supply </w:t>
      </w:r>
    </w:p>
    <w:p w14:paraId="7DD814EA" w14:textId="77777777" w:rsidR="00BE36FB" w:rsidRPr="009B7B35" w:rsidRDefault="00BE36FB" w:rsidP="00BE36FB">
      <w:pPr>
        <w:numPr>
          <w:ilvl w:val="0"/>
          <w:numId w:val="63"/>
        </w:numPr>
        <w:rPr>
          <w:rFonts w:ascii="Arial" w:hAnsi="Arial" w:cs="Arial"/>
          <w:sz w:val="20"/>
          <w:szCs w:val="20"/>
        </w:rPr>
      </w:pPr>
      <w:r w:rsidRPr="009B7B35">
        <w:rPr>
          <w:rFonts w:ascii="Arial" w:hAnsi="Arial" w:cs="Arial"/>
          <w:sz w:val="20"/>
          <w:szCs w:val="20"/>
        </w:rPr>
        <w:t xml:space="preserve">Plan for trunk infrastructure – Sewerage </w:t>
      </w:r>
    </w:p>
    <w:p w14:paraId="65A762FF" w14:textId="77777777" w:rsidR="00BE36FB" w:rsidRPr="009B7B35" w:rsidRDefault="00BE36FB" w:rsidP="00BE36FB">
      <w:pPr>
        <w:numPr>
          <w:ilvl w:val="0"/>
          <w:numId w:val="63"/>
        </w:numPr>
        <w:rPr>
          <w:rFonts w:ascii="Arial" w:hAnsi="Arial" w:cs="Arial"/>
          <w:sz w:val="20"/>
          <w:szCs w:val="20"/>
        </w:rPr>
      </w:pPr>
      <w:r w:rsidRPr="009B7B35">
        <w:rPr>
          <w:rFonts w:ascii="Arial" w:hAnsi="Arial" w:cs="Arial"/>
          <w:sz w:val="20"/>
          <w:szCs w:val="20"/>
        </w:rPr>
        <w:t xml:space="preserve">Plan for trunk infrastructure – Transport </w:t>
      </w:r>
    </w:p>
    <w:p w14:paraId="618DB291" w14:textId="77777777" w:rsidR="00BE36FB" w:rsidRPr="009B7B35" w:rsidRDefault="00BE36FB" w:rsidP="00BE36FB">
      <w:pPr>
        <w:numPr>
          <w:ilvl w:val="0"/>
          <w:numId w:val="63"/>
        </w:numPr>
        <w:rPr>
          <w:rFonts w:ascii="Arial" w:hAnsi="Arial" w:cs="Arial"/>
          <w:sz w:val="20"/>
          <w:szCs w:val="20"/>
        </w:rPr>
      </w:pPr>
      <w:r w:rsidRPr="009B7B35">
        <w:rPr>
          <w:rFonts w:ascii="Arial" w:hAnsi="Arial" w:cs="Arial"/>
          <w:sz w:val="20"/>
          <w:szCs w:val="20"/>
        </w:rPr>
        <w:t>Plan for trunk infrastructure – Parks</w:t>
      </w:r>
    </w:p>
    <w:p w14:paraId="14084E07" w14:textId="77777777" w:rsidR="00BE36FB" w:rsidRPr="009B7B35" w:rsidRDefault="00BE36FB" w:rsidP="006776DA">
      <w:pPr>
        <w:pStyle w:val="Heading3"/>
        <w:numPr>
          <w:ilvl w:val="2"/>
          <w:numId w:val="882"/>
        </w:numPr>
        <w:spacing w:before="240"/>
        <w:ind w:left="851" w:hanging="851"/>
        <w:rPr>
          <w:rFonts w:ascii="Arial" w:hAnsi="Arial"/>
          <w:sz w:val="20"/>
          <w:szCs w:val="20"/>
        </w:rPr>
      </w:pPr>
      <w:bookmarkStart w:id="155" w:name="_Toc402447497"/>
      <w:bookmarkStart w:id="156" w:name="_Toc205367327"/>
      <w:r w:rsidRPr="009B7B35">
        <w:rPr>
          <w:rFonts w:ascii="Arial" w:hAnsi="Arial"/>
          <w:sz w:val="20"/>
          <w:szCs w:val="20"/>
        </w:rPr>
        <w:t>Schedules of works</w:t>
      </w:r>
      <w:bookmarkEnd w:id="155"/>
      <w:bookmarkEnd w:id="156"/>
    </w:p>
    <w:p w14:paraId="1DA624DB" w14:textId="77777777" w:rsidR="00BE36FB" w:rsidRPr="009B7B35" w:rsidRDefault="00BE36FB" w:rsidP="001A7107">
      <w:pPr>
        <w:rPr>
          <w:rFonts w:ascii="Arial" w:hAnsi="Arial" w:cs="Arial"/>
          <w:sz w:val="20"/>
          <w:szCs w:val="20"/>
        </w:rPr>
      </w:pPr>
      <w:r w:rsidRPr="009B7B35">
        <w:rPr>
          <w:rFonts w:ascii="Arial" w:hAnsi="Arial" w:cs="Arial"/>
          <w:sz w:val="20"/>
          <w:szCs w:val="20"/>
        </w:rPr>
        <w:t>The future trunk infrastructure is identified in the following tables in SC3.2—Schedules of works:</w:t>
      </w:r>
    </w:p>
    <w:p w14:paraId="09E0B5E3" w14:textId="77777777" w:rsidR="00BE36FB" w:rsidRPr="009B7B35" w:rsidRDefault="00BE36FB" w:rsidP="00BE36FB">
      <w:pPr>
        <w:numPr>
          <w:ilvl w:val="0"/>
          <w:numId w:val="64"/>
        </w:numPr>
        <w:rPr>
          <w:rFonts w:ascii="Arial" w:hAnsi="Arial" w:cs="Arial"/>
          <w:sz w:val="20"/>
          <w:szCs w:val="20"/>
        </w:rPr>
      </w:pPr>
      <w:r w:rsidRPr="009B7B35">
        <w:rPr>
          <w:rFonts w:ascii="Arial" w:hAnsi="Arial" w:cs="Arial"/>
          <w:sz w:val="20"/>
          <w:szCs w:val="20"/>
        </w:rPr>
        <w:t>for the water supply network, Table SC3.2.1—Water supply network</w:t>
      </w:r>
    </w:p>
    <w:p w14:paraId="0CAE6E28" w14:textId="77777777" w:rsidR="00BE36FB" w:rsidRPr="009B7B35" w:rsidRDefault="00BE36FB" w:rsidP="00BE36FB">
      <w:pPr>
        <w:numPr>
          <w:ilvl w:val="0"/>
          <w:numId w:val="64"/>
        </w:numPr>
        <w:rPr>
          <w:rFonts w:ascii="Arial" w:hAnsi="Arial" w:cs="Arial"/>
          <w:sz w:val="20"/>
          <w:szCs w:val="20"/>
        </w:rPr>
      </w:pPr>
      <w:r w:rsidRPr="009B7B35">
        <w:rPr>
          <w:rFonts w:ascii="Arial" w:hAnsi="Arial" w:cs="Arial"/>
          <w:sz w:val="20"/>
          <w:szCs w:val="20"/>
        </w:rPr>
        <w:t xml:space="preserve">for the sewerage network, Table SC3.2.2—Sewerage network </w:t>
      </w:r>
    </w:p>
    <w:p w14:paraId="1AC499D9" w14:textId="77777777" w:rsidR="00BE36FB" w:rsidRPr="009B7B35" w:rsidRDefault="00BE36FB" w:rsidP="00BE36FB">
      <w:pPr>
        <w:numPr>
          <w:ilvl w:val="0"/>
          <w:numId w:val="64"/>
        </w:numPr>
        <w:rPr>
          <w:rFonts w:ascii="Arial" w:hAnsi="Arial" w:cs="Arial"/>
          <w:sz w:val="20"/>
          <w:szCs w:val="20"/>
        </w:rPr>
      </w:pPr>
      <w:r w:rsidRPr="009B7B35">
        <w:rPr>
          <w:rFonts w:ascii="Arial" w:hAnsi="Arial" w:cs="Arial"/>
          <w:sz w:val="20"/>
          <w:szCs w:val="20"/>
        </w:rPr>
        <w:t>for the transport network, Table SC3.2.3—Transport network, and</w:t>
      </w:r>
    </w:p>
    <w:p w14:paraId="034EDED8" w14:textId="77777777" w:rsidR="00BE36FB" w:rsidRPr="009B7B35" w:rsidRDefault="00BE36FB" w:rsidP="00BE36FB">
      <w:pPr>
        <w:numPr>
          <w:ilvl w:val="0"/>
          <w:numId w:val="64"/>
        </w:numPr>
        <w:rPr>
          <w:rFonts w:ascii="Arial" w:hAnsi="Arial" w:cs="Arial"/>
          <w:sz w:val="20"/>
          <w:szCs w:val="20"/>
        </w:rPr>
      </w:pPr>
      <w:r w:rsidRPr="009B7B35">
        <w:rPr>
          <w:rFonts w:ascii="Arial" w:hAnsi="Arial" w:cs="Arial"/>
          <w:sz w:val="20"/>
          <w:szCs w:val="20"/>
        </w:rPr>
        <w:t>for the parks and land for community facilities network, Table SC3.2.4—Parks and land for community services.</w:t>
      </w:r>
    </w:p>
    <w:p w14:paraId="03C7C31D" w14:textId="77777777" w:rsidR="00BE36FB" w:rsidRPr="009B7B35" w:rsidRDefault="00BE36FB" w:rsidP="006776DA">
      <w:pPr>
        <w:pStyle w:val="Heading3"/>
        <w:numPr>
          <w:ilvl w:val="2"/>
          <w:numId w:val="882"/>
        </w:numPr>
        <w:spacing w:before="240"/>
        <w:ind w:left="851" w:hanging="851"/>
        <w:rPr>
          <w:rFonts w:ascii="Arial" w:hAnsi="Arial"/>
          <w:sz w:val="20"/>
          <w:szCs w:val="20"/>
        </w:rPr>
      </w:pPr>
      <w:bookmarkStart w:id="157" w:name="_Toc402447498"/>
      <w:bookmarkStart w:id="158" w:name="_Toc205367328"/>
      <w:r w:rsidRPr="009B7B35">
        <w:rPr>
          <w:rFonts w:ascii="Arial" w:hAnsi="Arial"/>
          <w:sz w:val="20"/>
          <w:szCs w:val="20"/>
        </w:rPr>
        <w:t>Extrinsic material</w:t>
      </w:r>
      <w:bookmarkEnd w:id="157"/>
      <w:bookmarkEnd w:id="158"/>
    </w:p>
    <w:p w14:paraId="2194DD52" w14:textId="77777777" w:rsidR="00BE36FB" w:rsidRPr="009B7B35" w:rsidRDefault="00BE36FB" w:rsidP="001A7107">
      <w:pPr>
        <w:rPr>
          <w:rFonts w:ascii="Arial" w:hAnsi="Arial" w:cs="Arial"/>
          <w:sz w:val="20"/>
          <w:szCs w:val="20"/>
        </w:rPr>
      </w:pPr>
      <w:r w:rsidRPr="009B7B35">
        <w:rPr>
          <w:rFonts w:ascii="Arial" w:hAnsi="Arial" w:cs="Arial"/>
          <w:color w:val="000000"/>
          <w:sz w:val="20"/>
          <w:szCs w:val="20"/>
        </w:rPr>
        <w:t xml:space="preserve">The documents identified in table 4.2.8.1 which assist in the interpretation of the Local Government Infrastructure Plan, are extrinsic material under the </w:t>
      </w:r>
      <w:r w:rsidRPr="009B7B35">
        <w:rPr>
          <w:rStyle w:val="Emphasis"/>
          <w:rFonts w:ascii="Arial" w:hAnsi="Arial" w:cs="Arial"/>
          <w:color w:val="000000"/>
          <w:sz w:val="20"/>
          <w:szCs w:val="20"/>
        </w:rPr>
        <w:t>Statutory Instruments Act 1992.</w:t>
      </w:r>
    </w:p>
    <w:p w14:paraId="66FB5C95" w14:textId="77777777" w:rsidR="00BE36FB" w:rsidRPr="009B7B35" w:rsidRDefault="00BE36FB" w:rsidP="00C148A6">
      <w:pPr>
        <w:pStyle w:val="Heading5"/>
        <w:numPr>
          <w:ilvl w:val="0"/>
          <w:numId w:val="0"/>
        </w:numPr>
        <w:rPr>
          <w:rFonts w:cs="Arial"/>
          <w:szCs w:val="20"/>
        </w:rPr>
      </w:pPr>
      <w:r w:rsidRPr="009B7B35">
        <w:rPr>
          <w:rFonts w:cs="Arial"/>
          <w:szCs w:val="20"/>
        </w:rPr>
        <w:t xml:space="preserve">Table 4.2.8.1—Extrinsic material to Local Government Infrastructure Plan </w:t>
      </w:r>
    </w:p>
    <w:tbl>
      <w:tblPr>
        <w:tblStyle w:val="Tablestyle"/>
        <w:tblW w:w="9639" w:type="dxa"/>
        <w:tblLook w:val="04A0" w:firstRow="1" w:lastRow="0" w:firstColumn="1" w:lastColumn="0" w:noHBand="0" w:noVBand="1"/>
      </w:tblPr>
      <w:tblGrid>
        <w:gridCol w:w="3119"/>
        <w:gridCol w:w="6520"/>
      </w:tblGrid>
      <w:tr w:rsidR="00BE36FB" w:rsidRPr="009B7B35" w14:paraId="563CCA7F" w14:textId="77777777" w:rsidTr="001A7107">
        <w:trPr>
          <w:cnfStyle w:val="100000000000" w:firstRow="1" w:lastRow="0" w:firstColumn="0" w:lastColumn="0" w:oddVBand="0" w:evenVBand="0" w:oddHBand="0"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119" w:type="dxa"/>
          </w:tcPr>
          <w:p w14:paraId="541BADDC" w14:textId="77777777" w:rsidR="00BE36FB" w:rsidRPr="009B7B35" w:rsidRDefault="00BE36FB" w:rsidP="001A7107">
            <w:pPr>
              <w:pStyle w:val="TableText"/>
              <w:rPr>
                <w:rFonts w:cs="Arial"/>
              </w:rPr>
            </w:pPr>
            <w:r w:rsidRPr="009B7B35">
              <w:rPr>
                <w:rFonts w:eastAsia="Arial" w:cs="Arial"/>
              </w:rPr>
              <w:t xml:space="preserve">Trunk infrastructure network </w:t>
            </w:r>
          </w:p>
        </w:tc>
        <w:tc>
          <w:tcPr>
            <w:tcW w:w="6520" w:type="dxa"/>
          </w:tcPr>
          <w:p w14:paraId="44E9BE78"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eastAsia="Arial" w:cs="Arial"/>
              </w:rPr>
              <w:t>Title of document</w:t>
            </w:r>
          </w:p>
        </w:tc>
      </w:tr>
      <w:tr w:rsidR="00BE36FB" w:rsidRPr="009B7B35" w14:paraId="4075CF50" w14:textId="77777777" w:rsidTr="001A7107">
        <w:trPr>
          <w:cnfStyle w:val="000000100000" w:firstRow="0" w:lastRow="0" w:firstColumn="0" w:lastColumn="0" w:oddVBand="0" w:evenVBand="0" w:oddHBand="1"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3119" w:type="dxa"/>
          </w:tcPr>
          <w:p w14:paraId="75316039" w14:textId="77777777" w:rsidR="00BE36FB" w:rsidRPr="009B7B35" w:rsidRDefault="00BE36FB" w:rsidP="001A7107">
            <w:pPr>
              <w:pStyle w:val="TableText"/>
              <w:rPr>
                <w:rFonts w:cs="Arial"/>
              </w:rPr>
            </w:pPr>
            <w:r w:rsidRPr="009B7B35">
              <w:rPr>
                <w:rFonts w:eastAsia="Arial" w:cs="Arial"/>
              </w:rPr>
              <w:t xml:space="preserve">Growth projections, planning assumptions and PIA (for all networks) </w:t>
            </w:r>
          </w:p>
        </w:tc>
        <w:tc>
          <w:tcPr>
            <w:tcW w:w="6520" w:type="dxa"/>
          </w:tcPr>
          <w:p w14:paraId="02454EBE"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ABS, Catalogue 2004.0 and 2001.0 – 2006 Community Profile Series</w:t>
            </w:r>
          </w:p>
          <w:p w14:paraId="37EA6F05"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Edge Town Planning, "Gladstone Rural Living Strategy", Sept 2012</w:t>
            </w:r>
          </w:p>
          <w:p w14:paraId="37B1DBCD"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Foresight Partners Pty Ltd, "Retail and Commercial Strategy – 2012 Update", July 2012</w:t>
            </w:r>
          </w:p>
          <w:p w14:paraId="3D4A0ECE"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Foresight Partners, "Recommended locations for 1. A second Bulky Goods Retail Centre; and 2. An Automotive retail and services precinct within the Gladstone Region", October 2013</w:t>
            </w:r>
          </w:p>
          <w:p w14:paraId="5D26CBAD"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SGS Economics and Planning, "Gladstone Region Industrial Land Strategy", July 2012</w:t>
            </w:r>
          </w:p>
          <w:p w14:paraId="346099B2"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SGS Economics and Planning, "Housing Needs Strategy", October 2010</w:t>
            </w:r>
          </w:p>
          <w:p w14:paraId="78F50014"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SGS Economics and Planning, "Planning Scheme Analysis", 2012</w:t>
            </w:r>
          </w:p>
          <w:p w14:paraId="6A10E4DE"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Buckley Van, "Housing Needs Strategy", March 2013</w:t>
            </w:r>
          </w:p>
          <w:p w14:paraId="2528FE2E"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Yurrah, "Landscape Assessment and Building Height Strategy", July 2011</w:t>
            </w:r>
          </w:p>
          <w:p w14:paraId="30ABE2E9"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Buckley Van, "Gladstone Urban Design and Strategy", May 2012</w:t>
            </w:r>
          </w:p>
          <w:p w14:paraId="4D2CC0F6"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GCC, 2004. Kirkwood Road South Structure Plan</w:t>
            </w:r>
          </w:p>
          <w:p w14:paraId="48F37FAC"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eastAsia="Arial" w:cs="Arial"/>
              </w:rPr>
            </w:pPr>
            <w:r w:rsidRPr="009B7B35">
              <w:rPr>
                <w:rFonts w:eastAsia="Arial" w:cs="Arial"/>
              </w:rPr>
              <w:t>Buckley Vann, Gladstone Regional Council, Social Infrastructure Plan, June 2010</w:t>
            </w:r>
          </w:p>
        </w:tc>
      </w:tr>
      <w:tr w:rsidR="00BE36FB" w:rsidRPr="009B7B35" w14:paraId="1E99062D" w14:textId="77777777" w:rsidTr="001A7107">
        <w:trPr>
          <w:cnfStyle w:val="000000010000" w:firstRow="0" w:lastRow="0" w:firstColumn="0" w:lastColumn="0" w:oddVBand="0" w:evenVBand="0" w:oddHBand="0" w:evenHBand="1"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119" w:type="dxa"/>
          </w:tcPr>
          <w:p w14:paraId="029F0423" w14:textId="77777777" w:rsidR="00BE36FB" w:rsidRPr="009B7B35" w:rsidRDefault="00BE36FB" w:rsidP="001A7107">
            <w:pPr>
              <w:pStyle w:val="TableText"/>
              <w:rPr>
                <w:rFonts w:cs="Arial"/>
              </w:rPr>
            </w:pPr>
            <w:r w:rsidRPr="009B7B35">
              <w:rPr>
                <w:rFonts w:cs="Arial"/>
              </w:rPr>
              <w:t>Water supply</w:t>
            </w:r>
          </w:p>
        </w:tc>
        <w:tc>
          <w:tcPr>
            <w:tcW w:w="6520" w:type="dxa"/>
          </w:tcPr>
          <w:p w14:paraId="296E5E8D" w14:textId="77777777" w:rsidR="00BE36FB" w:rsidRPr="009B7B35" w:rsidRDefault="00BE36FB" w:rsidP="00BE36FB">
            <w:pPr>
              <w:pStyle w:val="TableText"/>
              <w:numPr>
                <w:ilvl w:val="0"/>
                <w:numId w:val="6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Gladstone Regional Council Engineering Standards for Water</w:t>
            </w:r>
          </w:p>
          <w:p w14:paraId="0A2E04AB" w14:textId="77777777" w:rsidR="00BE36FB" w:rsidRPr="009B7B35" w:rsidRDefault="00BE36FB" w:rsidP="00BE36FB">
            <w:pPr>
              <w:pStyle w:val="TableText"/>
              <w:numPr>
                <w:ilvl w:val="0"/>
                <w:numId w:val="6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KBR, 2004, "Water and Wastewater Planning Studies 2030: Water Supply Report"</w:t>
            </w:r>
          </w:p>
          <w:p w14:paraId="2275DC81" w14:textId="77777777" w:rsidR="00BE36FB" w:rsidRPr="009B7B35" w:rsidRDefault="00BE36FB" w:rsidP="00BE36FB">
            <w:pPr>
              <w:pStyle w:val="TableText"/>
              <w:numPr>
                <w:ilvl w:val="0"/>
                <w:numId w:val="6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Councils SAMP/TMP for the provision of water services</w:t>
            </w:r>
          </w:p>
        </w:tc>
      </w:tr>
      <w:tr w:rsidR="00BE36FB" w:rsidRPr="009B7B35" w14:paraId="6BE0AB52" w14:textId="77777777" w:rsidTr="001A7107">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3119" w:type="dxa"/>
          </w:tcPr>
          <w:p w14:paraId="6F8EA07F" w14:textId="77777777" w:rsidR="00BE36FB" w:rsidRPr="009B7B35" w:rsidRDefault="00BE36FB" w:rsidP="001A7107">
            <w:pPr>
              <w:pStyle w:val="TableText"/>
              <w:rPr>
                <w:rFonts w:cs="Arial"/>
              </w:rPr>
            </w:pPr>
            <w:r w:rsidRPr="009B7B35">
              <w:rPr>
                <w:rFonts w:cs="Arial"/>
              </w:rPr>
              <w:t>Sewerage</w:t>
            </w:r>
          </w:p>
        </w:tc>
        <w:tc>
          <w:tcPr>
            <w:tcW w:w="6520" w:type="dxa"/>
          </w:tcPr>
          <w:p w14:paraId="4DB01229"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KBR, 2004, "Water and Wastewater Planning Studies 2030: Wastewater Final Report"</w:t>
            </w:r>
          </w:p>
          <w:p w14:paraId="76B589A1"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Councils SAMP/TMP for the provision of water services</w:t>
            </w:r>
          </w:p>
          <w:p w14:paraId="2D6DE46B"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Gladstone Regional Council Engineering Standards for Sewerage</w:t>
            </w:r>
          </w:p>
        </w:tc>
      </w:tr>
      <w:tr w:rsidR="00BE36FB" w:rsidRPr="009B7B35" w14:paraId="2B071E14" w14:textId="77777777" w:rsidTr="001A7107">
        <w:trPr>
          <w:cnfStyle w:val="000000010000" w:firstRow="0" w:lastRow="0" w:firstColumn="0" w:lastColumn="0" w:oddVBand="0" w:evenVBand="0" w:oddHBand="0" w:evenHBand="1"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119" w:type="dxa"/>
          </w:tcPr>
          <w:p w14:paraId="25194973" w14:textId="77777777" w:rsidR="00BE36FB" w:rsidRPr="009B7B35" w:rsidRDefault="00BE36FB" w:rsidP="001A7107">
            <w:pPr>
              <w:pStyle w:val="TableText"/>
              <w:rPr>
                <w:rFonts w:cs="Arial"/>
              </w:rPr>
            </w:pPr>
            <w:r w:rsidRPr="009B7B35">
              <w:rPr>
                <w:rFonts w:cs="Arial"/>
              </w:rPr>
              <w:t>Stormwater</w:t>
            </w:r>
          </w:p>
        </w:tc>
        <w:tc>
          <w:tcPr>
            <w:tcW w:w="6520" w:type="dxa"/>
          </w:tcPr>
          <w:p w14:paraId="5623808A" w14:textId="77777777" w:rsidR="00BE36FB" w:rsidRPr="009B7B35" w:rsidRDefault="00BE36FB" w:rsidP="00BE36FB">
            <w:pPr>
              <w:pStyle w:val="TableText"/>
              <w:numPr>
                <w:ilvl w:val="0"/>
                <w:numId w:val="6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GHD, Auckland Creek Flood Study</w:t>
            </w:r>
          </w:p>
        </w:tc>
      </w:tr>
      <w:tr w:rsidR="00BE36FB" w:rsidRPr="009B7B35" w14:paraId="36B65748" w14:textId="77777777" w:rsidTr="001A7107">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3119" w:type="dxa"/>
          </w:tcPr>
          <w:p w14:paraId="4B19A6FA" w14:textId="77777777" w:rsidR="00BE36FB" w:rsidRPr="009B7B35" w:rsidRDefault="00BE36FB" w:rsidP="001A7107">
            <w:pPr>
              <w:pStyle w:val="TableText"/>
              <w:rPr>
                <w:rFonts w:cs="Arial"/>
              </w:rPr>
            </w:pPr>
            <w:r w:rsidRPr="009B7B35">
              <w:rPr>
                <w:rFonts w:cs="Arial"/>
              </w:rPr>
              <w:t>Transport</w:t>
            </w:r>
          </w:p>
        </w:tc>
        <w:tc>
          <w:tcPr>
            <w:tcW w:w="6520" w:type="dxa"/>
          </w:tcPr>
          <w:p w14:paraId="3227AA20"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Roads and Transport Standards, 2005</w:t>
            </w:r>
          </w:p>
        </w:tc>
      </w:tr>
      <w:tr w:rsidR="00BE36FB" w:rsidRPr="009B7B35" w14:paraId="7B438D20" w14:textId="77777777" w:rsidTr="001A7107">
        <w:trPr>
          <w:cnfStyle w:val="000000010000" w:firstRow="0" w:lastRow="0" w:firstColumn="0" w:lastColumn="0" w:oddVBand="0" w:evenVBand="0" w:oddHBand="0" w:evenHBand="1"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119" w:type="dxa"/>
          </w:tcPr>
          <w:p w14:paraId="0C3F2DD7" w14:textId="77777777" w:rsidR="00BE36FB" w:rsidRPr="009B7B35" w:rsidRDefault="00BE36FB" w:rsidP="001A7107">
            <w:pPr>
              <w:pStyle w:val="TableText"/>
              <w:rPr>
                <w:rFonts w:cs="Arial"/>
              </w:rPr>
            </w:pPr>
            <w:r w:rsidRPr="009B7B35">
              <w:rPr>
                <w:rFonts w:cs="Arial"/>
              </w:rPr>
              <w:t>Public parks and land for community facilities</w:t>
            </w:r>
          </w:p>
        </w:tc>
        <w:tc>
          <w:tcPr>
            <w:tcW w:w="6520" w:type="dxa"/>
          </w:tcPr>
          <w:p w14:paraId="6ECE4BEC" w14:textId="77777777" w:rsidR="00BE36FB" w:rsidRPr="009B7B35" w:rsidRDefault="00BE36FB" w:rsidP="00BE36FB">
            <w:pPr>
              <w:pStyle w:val="TableText"/>
              <w:numPr>
                <w:ilvl w:val="0"/>
                <w:numId w:val="6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Ross Planning, "Gladstone City Open Space and Recreation Plan", 2006</w:t>
            </w:r>
          </w:p>
        </w:tc>
      </w:tr>
      <w:tr w:rsidR="00BE36FB" w:rsidRPr="009B7B35" w14:paraId="5EB6861D" w14:textId="77777777" w:rsidTr="001A710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119" w:type="dxa"/>
          </w:tcPr>
          <w:p w14:paraId="6989F025" w14:textId="77777777" w:rsidR="00BE36FB" w:rsidRPr="009B7B35" w:rsidRDefault="00BE36FB" w:rsidP="001A7107">
            <w:pPr>
              <w:pStyle w:val="TableText"/>
              <w:rPr>
                <w:rFonts w:cs="Arial"/>
              </w:rPr>
            </w:pPr>
            <w:r w:rsidRPr="009B7B35">
              <w:rPr>
                <w:rFonts w:cs="Arial"/>
              </w:rPr>
              <w:t>Other</w:t>
            </w:r>
          </w:p>
        </w:tc>
        <w:tc>
          <w:tcPr>
            <w:tcW w:w="6520" w:type="dxa"/>
          </w:tcPr>
          <w:p w14:paraId="6BCEAE74"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DIP, LGIP Calculator, Version 11 (2011)</w:t>
            </w:r>
          </w:p>
          <w:p w14:paraId="7307915F"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Statutory Guideline 01/11 – Priority Infrastructure Plans, Nov 2011</w:t>
            </w:r>
          </w:p>
          <w:p w14:paraId="0460E5D2"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OESR, Queensland Regional Profiles, Gladstone City, 2014</w:t>
            </w:r>
          </w:p>
          <w:p w14:paraId="145D69F5" w14:textId="77777777" w:rsidR="00BE36FB" w:rsidRPr="009B7B35" w:rsidRDefault="00BE36FB" w:rsidP="00BE36FB">
            <w:pPr>
              <w:pStyle w:val="TableText"/>
              <w:numPr>
                <w:ilvl w:val="0"/>
                <w:numId w:val="65"/>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Adopted Infrastructure Charges Resolution (No. 2), 2011</w:t>
            </w:r>
          </w:p>
        </w:tc>
      </w:tr>
    </w:tbl>
    <w:p w14:paraId="1B43E386" w14:textId="77777777" w:rsidR="000D716B" w:rsidRDefault="000D716B" w:rsidP="001A7107">
      <w:pPr>
        <w:rPr>
          <w:rFonts w:ascii="Arial" w:hAnsi="Arial" w:cs="Arial"/>
          <w:sz w:val="20"/>
          <w:szCs w:val="20"/>
        </w:rPr>
      </w:pPr>
      <w:bookmarkStart w:id="159" w:name="_Toc402447499"/>
    </w:p>
    <w:p w14:paraId="167C4F1E" w14:textId="77777777" w:rsidR="000D716B" w:rsidRDefault="000D716B">
      <w:pPr>
        <w:rPr>
          <w:rFonts w:ascii="Arial" w:hAnsi="Arial" w:cs="Arial"/>
          <w:sz w:val="20"/>
          <w:szCs w:val="20"/>
        </w:rPr>
      </w:pPr>
      <w:r>
        <w:rPr>
          <w:rFonts w:ascii="Arial" w:hAnsi="Arial" w:cs="Arial"/>
          <w:sz w:val="20"/>
          <w:szCs w:val="20"/>
        </w:rPr>
        <w:br w:type="page"/>
      </w:r>
    </w:p>
    <w:p w14:paraId="39F3F7A8" w14:textId="77777777" w:rsidR="00BE36FB" w:rsidRPr="009B7B35" w:rsidRDefault="00BE36FB" w:rsidP="006776DA">
      <w:pPr>
        <w:pStyle w:val="Heading1"/>
        <w:numPr>
          <w:ilvl w:val="0"/>
          <w:numId w:val="882"/>
        </w:numPr>
        <w:ind w:left="567" w:hanging="567"/>
        <w:rPr>
          <w:rFonts w:ascii="Arial" w:hAnsi="Arial"/>
          <w:sz w:val="20"/>
          <w:szCs w:val="20"/>
        </w:rPr>
      </w:pPr>
      <w:bookmarkStart w:id="160" w:name="_Toc205367329"/>
      <w:bookmarkEnd w:id="159"/>
      <w:r w:rsidRPr="009B7B35">
        <w:rPr>
          <w:rFonts w:ascii="Arial" w:hAnsi="Arial"/>
          <w:sz w:val="20"/>
          <w:szCs w:val="20"/>
        </w:rPr>
        <w:t>Tables of assessment</w:t>
      </w:r>
      <w:bookmarkEnd w:id="160"/>
    </w:p>
    <w:p w14:paraId="5F70C5FD" w14:textId="7733B8E7" w:rsidR="00BE36FB" w:rsidRPr="009B7B35" w:rsidRDefault="00BE36FB" w:rsidP="006776DA">
      <w:pPr>
        <w:pStyle w:val="Heading2"/>
        <w:numPr>
          <w:ilvl w:val="1"/>
          <w:numId w:val="883"/>
        </w:numPr>
        <w:ind w:left="567" w:hanging="567"/>
        <w:rPr>
          <w:rFonts w:ascii="Arial" w:hAnsi="Arial"/>
          <w:sz w:val="20"/>
          <w:szCs w:val="20"/>
        </w:rPr>
      </w:pPr>
      <w:bookmarkStart w:id="161" w:name="_Toc205367330"/>
      <w:r w:rsidRPr="009B7B35">
        <w:rPr>
          <w:rFonts w:ascii="Arial" w:hAnsi="Arial"/>
          <w:sz w:val="20"/>
          <w:szCs w:val="20"/>
        </w:rPr>
        <w:t>Preliminary</w:t>
      </w:r>
      <w:bookmarkEnd w:id="161"/>
    </w:p>
    <w:p w14:paraId="04687293" w14:textId="77777777" w:rsidR="00BE36FB" w:rsidRPr="009B7B35" w:rsidRDefault="00BE36FB" w:rsidP="001A7107">
      <w:pPr>
        <w:rPr>
          <w:rFonts w:ascii="Arial" w:hAnsi="Arial" w:cs="Arial"/>
          <w:sz w:val="20"/>
          <w:szCs w:val="20"/>
        </w:rPr>
      </w:pPr>
      <w:r w:rsidRPr="009B7B35">
        <w:rPr>
          <w:rFonts w:ascii="Arial" w:hAnsi="Arial" w:cs="Arial"/>
          <w:sz w:val="20"/>
          <w:szCs w:val="20"/>
        </w:rPr>
        <w:t>The tables in this part identify the category of development, and the category of assessment and assessment benchmarks for assessable development in the planning scheme area.</w:t>
      </w:r>
    </w:p>
    <w:p w14:paraId="360027F3" w14:textId="77777777" w:rsidR="00BE36FB" w:rsidRPr="009B7B35" w:rsidRDefault="00BE36FB" w:rsidP="006776DA">
      <w:pPr>
        <w:pStyle w:val="Heading2"/>
        <w:numPr>
          <w:ilvl w:val="1"/>
          <w:numId w:val="883"/>
        </w:numPr>
        <w:ind w:left="709" w:hanging="709"/>
        <w:rPr>
          <w:rFonts w:ascii="Arial" w:hAnsi="Arial"/>
          <w:sz w:val="20"/>
          <w:szCs w:val="20"/>
        </w:rPr>
      </w:pPr>
      <w:bookmarkStart w:id="162" w:name="_Toc205367331"/>
      <w:r w:rsidRPr="009B7B35">
        <w:rPr>
          <w:rFonts w:ascii="Arial" w:hAnsi="Arial"/>
          <w:sz w:val="20"/>
          <w:szCs w:val="20"/>
        </w:rPr>
        <w:t>Reading the tables</w:t>
      </w:r>
      <w:bookmarkEnd w:id="162"/>
    </w:p>
    <w:p w14:paraId="3F09781C" w14:textId="77777777" w:rsidR="00BE36FB" w:rsidRPr="009B7B35" w:rsidRDefault="00BE36FB" w:rsidP="001A7107">
      <w:pPr>
        <w:rPr>
          <w:rFonts w:ascii="Arial" w:hAnsi="Arial" w:cs="Arial"/>
          <w:sz w:val="20"/>
          <w:szCs w:val="20"/>
        </w:rPr>
      </w:pPr>
      <w:r w:rsidRPr="009B7B35">
        <w:rPr>
          <w:rFonts w:ascii="Arial" w:hAnsi="Arial" w:cs="Arial"/>
          <w:sz w:val="20"/>
          <w:szCs w:val="20"/>
        </w:rPr>
        <w:t>The tables identify the following:</w:t>
      </w:r>
    </w:p>
    <w:p w14:paraId="6951940D" w14:textId="77777777" w:rsidR="00BE36FB" w:rsidRPr="009B7B35" w:rsidRDefault="00BE36FB" w:rsidP="00BE36FB">
      <w:pPr>
        <w:numPr>
          <w:ilvl w:val="0"/>
          <w:numId w:val="66"/>
        </w:numPr>
        <w:rPr>
          <w:rFonts w:ascii="Arial" w:hAnsi="Arial" w:cs="Arial"/>
          <w:sz w:val="20"/>
          <w:szCs w:val="20"/>
        </w:rPr>
      </w:pPr>
      <w:r w:rsidRPr="009B7B35">
        <w:rPr>
          <w:rFonts w:ascii="Arial" w:hAnsi="Arial" w:cs="Arial"/>
          <w:sz w:val="20"/>
          <w:szCs w:val="20"/>
        </w:rPr>
        <w:t>the category of development prohibited, accepted, including accepted with requirements or requires either code or impact assessment</w:t>
      </w:r>
    </w:p>
    <w:p w14:paraId="79A9944E" w14:textId="77777777" w:rsidR="00BE36FB" w:rsidRPr="009B7B35" w:rsidRDefault="00BE36FB" w:rsidP="00BE36FB">
      <w:pPr>
        <w:numPr>
          <w:ilvl w:val="0"/>
          <w:numId w:val="66"/>
        </w:numPr>
        <w:rPr>
          <w:rFonts w:ascii="Arial" w:hAnsi="Arial" w:cs="Arial"/>
          <w:sz w:val="20"/>
          <w:szCs w:val="20"/>
        </w:rPr>
      </w:pPr>
      <w:r w:rsidRPr="009B7B35">
        <w:rPr>
          <w:rFonts w:ascii="Arial" w:hAnsi="Arial" w:cs="Arial"/>
          <w:sz w:val="20"/>
          <w:szCs w:val="20"/>
        </w:rPr>
        <w:t>the category of assessment - code or impact - for assessable development in:</w:t>
      </w:r>
    </w:p>
    <w:p w14:paraId="79AB6F84" w14:textId="77777777" w:rsidR="00BE36FB" w:rsidRPr="009B7B35" w:rsidRDefault="00BE36FB" w:rsidP="00BE36FB">
      <w:pPr>
        <w:numPr>
          <w:ilvl w:val="1"/>
          <w:numId w:val="66"/>
        </w:numPr>
        <w:rPr>
          <w:rFonts w:ascii="Arial" w:hAnsi="Arial" w:cs="Arial"/>
          <w:sz w:val="20"/>
          <w:szCs w:val="20"/>
        </w:rPr>
      </w:pPr>
      <w:r w:rsidRPr="009B7B35">
        <w:rPr>
          <w:rFonts w:ascii="Arial" w:hAnsi="Arial" w:cs="Arial"/>
          <w:sz w:val="20"/>
          <w:szCs w:val="20"/>
        </w:rPr>
        <w:t>a zone and, where used, a precinct of a zone</w:t>
      </w:r>
    </w:p>
    <w:p w14:paraId="40E20C78" w14:textId="77777777" w:rsidR="00BE36FB" w:rsidRPr="009B7B35" w:rsidRDefault="00BE36FB" w:rsidP="00BE36FB">
      <w:pPr>
        <w:numPr>
          <w:ilvl w:val="1"/>
          <w:numId w:val="66"/>
        </w:numPr>
        <w:rPr>
          <w:rFonts w:ascii="Arial" w:hAnsi="Arial" w:cs="Arial"/>
          <w:sz w:val="20"/>
          <w:szCs w:val="20"/>
        </w:rPr>
      </w:pPr>
      <w:r w:rsidRPr="009B7B35">
        <w:rPr>
          <w:rFonts w:ascii="Arial" w:hAnsi="Arial" w:cs="Arial"/>
          <w:sz w:val="20"/>
          <w:szCs w:val="20"/>
        </w:rPr>
        <w:t>a local plan where used and, where used, a precinct of a local plan</w:t>
      </w:r>
    </w:p>
    <w:p w14:paraId="3B0538A0" w14:textId="77777777" w:rsidR="00BE36FB" w:rsidRPr="009B7B35" w:rsidRDefault="00BE36FB" w:rsidP="00BE36FB">
      <w:pPr>
        <w:numPr>
          <w:ilvl w:val="1"/>
          <w:numId w:val="66"/>
        </w:numPr>
        <w:rPr>
          <w:rFonts w:ascii="Arial" w:hAnsi="Arial" w:cs="Arial"/>
          <w:sz w:val="20"/>
          <w:szCs w:val="20"/>
        </w:rPr>
      </w:pPr>
      <w:r w:rsidRPr="009B7B35">
        <w:rPr>
          <w:rFonts w:ascii="Arial" w:hAnsi="Arial" w:cs="Arial"/>
          <w:sz w:val="20"/>
          <w:szCs w:val="20"/>
        </w:rPr>
        <w:t>an overlay where used.</w:t>
      </w:r>
    </w:p>
    <w:p w14:paraId="525A3494" w14:textId="77777777" w:rsidR="00BE36FB" w:rsidRPr="009B7B35" w:rsidRDefault="00BE36FB" w:rsidP="00BE36FB">
      <w:pPr>
        <w:numPr>
          <w:ilvl w:val="0"/>
          <w:numId w:val="66"/>
        </w:numPr>
        <w:rPr>
          <w:rFonts w:ascii="Arial" w:hAnsi="Arial" w:cs="Arial"/>
          <w:sz w:val="20"/>
          <w:szCs w:val="20"/>
        </w:rPr>
      </w:pPr>
      <w:r w:rsidRPr="009B7B35">
        <w:rPr>
          <w:rFonts w:ascii="Arial" w:hAnsi="Arial" w:cs="Arial"/>
          <w:sz w:val="20"/>
          <w:szCs w:val="20"/>
        </w:rPr>
        <w:t>the assessment benchmarks for assessable development, including:</w:t>
      </w:r>
    </w:p>
    <w:p w14:paraId="69A00587" w14:textId="77777777" w:rsidR="00BE36FB" w:rsidRPr="009B7B35" w:rsidRDefault="00BE36FB" w:rsidP="00BE36FB">
      <w:pPr>
        <w:numPr>
          <w:ilvl w:val="1"/>
          <w:numId w:val="66"/>
        </w:numPr>
        <w:rPr>
          <w:rFonts w:ascii="Arial" w:hAnsi="Arial" w:cs="Arial"/>
          <w:sz w:val="20"/>
          <w:szCs w:val="20"/>
        </w:rPr>
      </w:pPr>
      <w:r w:rsidRPr="009B7B35">
        <w:rPr>
          <w:rFonts w:ascii="Arial" w:hAnsi="Arial" w:cs="Arial"/>
          <w:sz w:val="20"/>
          <w:szCs w:val="20"/>
        </w:rPr>
        <w:t>whether a zone code or specific provisions in the zone code apply (shown in the ‘assessment benchmarks’ column)</w:t>
      </w:r>
    </w:p>
    <w:p w14:paraId="3B00FE3C" w14:textId="77777777" w:rsidR="00BE36FB" w:rsidRPr="009B7B35" w:rsidRDefault="00BE36FB" w:rsidP="00BE36FB">
      <w:pPr>
        <w:numPr>
          <w:ilvl w:val="1"/>
          <w:numId w:val="66"/>
        </w:numPr>
        <w:rPr>
          <w:rFonts w:ascii="Arial" w:hAnsi="Arial" w:cs="Arial"/>
          <w:sz w:val="20"/>
          <w:szCs w:val="20"/>
        </w:rPr>
      </w:pPr>
      <w:r w:rsidRPr="009B7B35">
        <w:rPr>
          <w:rFonts w:ascii="Arial" w:hAnsi="Arial" w:cs="Arial"/>
          <w:sz w:val="20"/>
          <w:szCs w:val="20"/>
        </w:rPr>
        <w:t>if there is a local plan, whether a local plan code or specific provisions in the local plan code apply (shown in the ‘assessment benchmarks’ column)</w:t>
      </w:r>
    </w:p>
    <w:p w14:paraId="302616BE" w14:textId="77777777" w:rsidR="00BE36FB" w:rsidRPr="009B7B35" w:rsidRDefault="00BE36FB" w:rsidP="00BE36FB">
      <w:pPr>
        <w:numPr>
          <w:ilvl w:val="1"/>
          <w:numId w:val="66"/>
        </w:numPr>
        <w:rPr>
          <w:rFonts w:ascii="Arial" w:hAnsi="Arial" w:cs="Arial"/>
          <w:sz w:val="20"/>
          <w:szCs w:val="20"/>
        </w:rPr>
      </w:pPr>
      <w:r w:rsidRPr="009B7B35">
        <w:rPr>
          <w:rFonts w:ascii="Arial" w:hAnsi="Arial" w:cs="Arial"/>
          <w:sz w:val="20"/>
          <w:szCs w:val="20"/>
        </w:rPr>
        <w:t>if there is an overlay:</w:t>
      </w:r>
    </w:p>
    <w:p w14:paraId="404353C9" w14:textId="77777777" w:rsidR="00BE36FB" w:rsidRPr="009B7B35" w:rsidRDefault="00BE36FB" w:rsidP="00BE36FB">
      <w:pPr>
        <w:numPr>
          <w:ilvl w:val="2"/>
          <w:numId w:val="66"/>
        </w:numPr>
        <w:rPr>
          <w:rFonts w:ascii="Arial" w:hAnsi="Arial" w:cs="Arial"/>
          <w:sz w:val="20"/>
          <w:szCs w:val="20"/>
        </w:rPr>
      </w:pPr>
      <w:r w:rsidRPr="009B7B35">
        <w:rPr>
          <w:rFonts w:ascii="Arial" w:hAnsi="Arial" w:cs="Arial"/>
          <w:sz w:val="20"/>
          <w:szCs w:val="20"/>
        </w:rPr>
        <w:t>whether an overlay code applies (shown in Table 5.10.1), or</w:t>
      </w:r>
    </w:p>
    <w:p w14:paraId="71F21AE9" w14:textId="77777777" w:rsidR="00BE36FB" w:rsidRPr="009B7B35" w:rsidRDefault="00BE36FB" w:rsidP="00BE36FB">
      <w:pPr>
        <w:numPr>
          <w:ilvl w:val="2"/>
          <w:numId w:val="66"/>
        </w:numPr>
        <w:rPr>
          <w:rFonts w:ascii="Arial" w:hAnsi="Arial" w:cs="Arial"/>
          <w:sz w:val="20"/>
          <w:szCs w:val="20"/>
        </w:rPr>
      </w:pPr>
      <w:r w:rsidRPr="009B7B35">
        <w:rPr>
          <w:rFonts w:ascii="Arial" w:hAnsi="Arial" w:cs="Arial"/>
          <w:sz w:val="20"/>
          <w:szCs w:val="20"/>
        </w:rPr>
        <w:t>whether the assessment benchmarks as shown on the overlay map (noted in the ‘assessment benchmarks' column) applies</w:t>
      </w:r>
    </w:p>
    <w:p w14:paraId="6FFF5520" w14:textId="77777777" w:rsidR="00BE36FB" w:rsidRPr="009B7B35" w:rsidRDefault="00BE36FB" w:rsidP="00BE36FB">
      <w:pPr>
        <w:numPr>
          <w:ilvl w:val="1"/>
          <w:numId w:val="66"/>
        </w:numPr>
        <w:rPr>
          <w:rFonts w:ascii="Arial" w:hAnsi="Arial" w:cs="Arial"/>
          <w:sz w:val="20"/>
          <w:szCs w:val="20"/>
        </w:rPr>
      </w:pPr>
      <w:r w:rsidRPr="009B7B35">
        <w:rPr>
          <w:rFonts w:ascii="Arial" w:hAnsi="Arial" w:cs="Arial"/>
          <w:sz w:val="20"/>
          <w:szCs w:val="20"/>
        </w:rPr>
        <w:t>any other applicable code(s) (shown in the ‘assessment benchmarks’ column)</w:t>
      </w:r>
    </w:p>
    <w:p w14:paraId="3171AFD3" w14:textId="77777777" w:rsidR="00BE36FB" w:rsidRPr="009B7B35" w:rsidRDefault="00BE36FB" w:rsidP="00BE36FB">
      <w:pPr>
        <w:numPr>
          <w:ilvl w:val="0"/>
          <w:numId w:val="66"/>
        </w:numPr>
        <w:rPr>
          <w:rFonts w:ascii="Arial" w:hAnsi="Arial" w:cs="Arial"/>
          <w:sz w:val="20"/>
          <w:szCs w:val="20"/>
        </w:rPr>
      </w:pPr>
      <w:r w:rsidRPr="009B7B35">
        <w:rPr>
          <w:rFonts w:ascii="Arial" w:hAnsi="Arial" w:cs="Arial"/>
          <w:sz w:val="20"/>
          <w:szCs w:val="20"/>
        </w:rPr>
        <w:t>any variation to the category of assessment (shown as an ‘if’ in the ‘category of assessment’ column) that applies to the development.</w:t>
      </w:r>
    </w:p>
    <w:p w14:paraId="71730D96" w14:textId="77777777" w:rsidR="00BE36FB" w:rsidRPr="009B7B35" w:rsidRDefault="00BE36FB" w:rsidP="001A7107">
      <w:pPr>
        <w:pStyle w:val="Notes"/>
        <w:rPr>
          <w:rFonts w:cs="Arial"/>
          <w:sz w:val="20"/>
          <w:szCs w:val="20"/>
        </w:rPr>
      </w:pPr>
      <w:r w:rsidRPr="009B7B35">
        <w:rPr>
          <w:rFonts w:cs="Arial"/>
          <w:sz w:val="20"/>
          <w:szCs w:val="20"/>
        </w:rPr>
        <w:t>Note — Development will only be taken to be prohibited development under the planning scheme if it is identified as prohibited development in Schedule 10 of the Regulation.</w:t>
      </w:r>
    </w:p>
    <w:p w14:paraId="65DD2ED2" w14:textId="77777777" w:rsidR="00BE36FB" w:rsidRPr="009B7B35" w:rsidRDefault="00BE36FB" w:rsidP="001A7107">
      <w:pPr>
        <w:pStyle w:val="Notes"/>
        <w:rPr>
          <w:rFonts w:cs="Arial"/>
          <w:sz w:val="20"/>
          <w:szCs w:val="20"/>
        </w:rPr>
      </w:pPr>
      <w:r w:rsidRPr="009B7B35">
        <w:rPr>
          <w:rFonts w:cs="Arial"/>
          <w:sz w:val="20"/>
          <w:szCs w:val="20"/>
        </w:rPr>
        <w:t xml:space="preserve">Editor's note — Examples of matters that can vary the category of assessment are gross floor area, height, numbers of people or precinct provisions. </w:t>
      </w:r>
    </w:p>
    <w:p w14:paraId="715A2DE4" w14:textId="77777777" w:rsidR="00BE36FB" w:rsidRPr="009B7B35" w:rsidRDefault="00BE36FB" w:rsidP="006776DA">
      <w:pPr>
        <w:pStyle w:val="Heading2"/>
        <w:numPr>
          <w:ilvl w:val="1"/>
          <w:numId w:val="883"/>
        </w:numPr>
        <w:ind w:left="709" w:hanging="709"/>
        <w:rPr>
          <w:rFonts w:ascii="Arial" w:hAnsi="Arial"/>
          <w:sz w:val="20"/>
          <w:szCs w:val="20"/>
        </w:rPr>
      </w:pPr>
      <w:bookmarkStart w:id="163" w:name="_Toc205367332"/>
      <w:r w:rsidRPr="009B7B35">
        <w:rPr>
          <w:rFonts w:ascii="Arial" w:hAnsi="Arial"/>
          <w:sz w:val="20"/>
          <w:szCs w:val="20"/>
        </w:rPr>
        <w:t>Categories of development and assessment</w:t>
      </w:r>
      <w:bookmarkEnd w:id="163"/>
    </w:p>
    <w:p w14:paraId="2B9F6A7B" w14:textId="77777777" w:rsidR="00BE36FB" w:rsidRPr="009B7B35" w:rsidRDefault="00BE36FB" w:rsidP="006776DA">
      <w:pPr>
        <w:pStyle w:val="Heading3"/>
        <w:numPr>
          <w:ilvl w:val="2"/>
          <w:numId w:val="883"/>
        </w:numPr>
        <w:rPr>
          <w:rFonts w:ascii="Arial" w:hAnsi="Arial"/>
          <w:sz w:val="20"/>
          <w:szCs w:val="20"/>
        </w:rPr>
      </w:pPr>
      <w:bookmarkStart w:id="164" w:name="_Toc205367333"/>
      <w:r w:rsidRPr="009B7B35">
        <w:rPr>
          <w:rFonts w:ascii="Arial" w:hAnsi="Arial"/>
          <w:sz w:val="20"/>
          <w:szCs w:val="20"/>
        </w:rPr>
        <w:t>Process for determining the category of development and the category of assessment for assessable development</w:t>
      </w:r>
      <w:bookmarkEnd w:id="164"/>
      <w:r w:rsidRPr="009B7B35">
        <w:rPr>
          <w:rFonts w:ascii="Arial" w:hAnsi="Arial"/>
          <w:sz w:val="20"/>
          <w:szCs w:val="20"/>
        </w:rPr>
        <w:t xml:space="preserve"> </w:t>
      </w:r>
    </w:p>
    <w:p w14:paraId="1DC4C4D5" w14:textId="77777777" w:rsidR="00BE36FB" w:rsidRPr="009B7B35" w:rsidRDefault="00BE36FB" w:rsidP="001A7107">
      <w:pPr>
        <w:rPr>
          <w:rFonts w:ascii="Arial" w:hAnsi="Arial" w:cs="Arial"/>
          <w:sz w:val="20"/>
          <w:szCs w:val="20"/>
        </w:rPr>
      </w:pPr>
      <w:r w:rsidRPr="009B7B35">
        <w:rPr>
          <w:rFonts w:ascii="Arial" w:hAnsi="Arial" w:cs="Arial"/>
          <w:sz w:val="20"/>
          <w:szCs w:val="20"/>
        </w:rPr>
        <w:t>The process for determining a category of development and category of assessment is:</w:t>
      </w:r>
    </w:p>
    <w:p w14:paraId="20BFD22F" w14:textId="77777777"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for a material change of use, establish the use by reference to the use definitions in Schedule 1</w:t>
      </w:r>
    </w:p>
    <w:p w14:paraId="79EF0E64" w14:textId="77777777"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for all development, identify the following:</w:t>
      </w:r>
    </w:p>
    <w:p w14:paraId="630810CE" w14:textId="77777777" w:rsidR="00BE36FB" w:rsidRPr="009B7B35" w:rsidRDefault="00BE36FB" w:rsidP="00BE36FB">
      <w:pPr>
        <w:numPr>
          <w:ilvl w:val="1"/>
          <w:numId w:val="71"/>
        </w:numPr>
        <w:rPr>
          <w:rFonts w:ascii="Arial" w:hAnsi="Arial" w:cs="Arial"/>
          <w:sz w:val="20"/>
          <w:szCs w:val="20"/>
        </w:rPr>
      </w:pPr>
      <w:r w:rsidRPr="009B7B35">
        <w:rPr>
          <w:rFonts w:ascii="Arial" w:hAnsi="Arial" w:cs="Arial"/>
          <w:sz w:val="20"/>
          <w:szCs w:val="20"/>
        </w:rPr>
        <w:t>the zone or zone precinct that applies to the premises, by reference to the zone map in Schedule 2</w:t>
      </w:r>
    </w:p>
    <w:p w14:paraId="4779A00D" w14:textId="77777777" w:rsidR="00BE36FB" w:rsidRPr="009B7B35" w:rsidRDefault="00BE36FB" w:rsidP="00BE36FB">
      <w:pPr>
        <w:numPr>
          <w:ilvl w:val="1"/>
          <w:numId w:val="71"/>
        </w:numPr>
        <w:rPr>
          <w:rFonts w:ascii="Arial" w:hAnsi="Arial" w:cs="Arial"/>
          <w:sz w:val="20"/>
          <w:szCs w:val="20"/>
        </w:rPr>
      </w:pPr>
      <w:r w:rsidRPr="009B7B35">
        <w:rPr>
          <w:rFonts w:ascii="Arial" w:hAnsi="Arial" w:cs="Arial"/>
          <w:sz w:val="20"/>
          <w:szCs w:val="20"/>
        </w:rPr>
        <w:t>if a local plan or local plan precinct applies to the premises, by reference to the local plan map in Schedule 2</w:t>
      </w:r>
    </w:p>
    <w:p w14:paraId="1FFDFE2C" w14:textId="77777777" w:rsidR="00BE36FB" w:rsidRPr="009B7B35" w:rsidRDefault="00BE36FB" w:rsidP="00BE36FB">
      <w:pPr>
        <w:numPr>
          <w:ilvl w:val="1"/>
          <w:numId w:val="71"/>
        </w:numPr>
        <w:rPr>
          <w:rFonts w:ascii="Arial" w:hAnsi="Arial" w:cs="Arial"/>
          <w:sz w:val="20"/>
          <w:szCs w:val="20"/>
        </w:rPr>
      </w:pPr>
      <w:r w:rsidRPr="009B7B35">
        <w:rPr>
          <w:rFonts w:ascii="Arial" w:hAnsi="Arial" w:cs="Arial"/>
          <w:sz w:val="20"/>
          <w:szCs w:val="20"/>
        </w:rPr>
        <w:t>if an overlay applies to the premises, by reference to the overlay map in Schedule 2</w:t>
      </w:r>
    </w:p>
    <w:p w14:paraId="6E0CA397" w14:textId="77777777"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determine if the development is accepted development under schedules 6 of the Regulation, by reference to the tables in section 5.4</w:t>
      </w:r>
    </w:p>
    <w:p w14:paraId="75ECCE3D" w14:textId="77777777" w:rsidR="00BE36FB" w:rsidRPr="009B7B35" w:rsidRDefault="00BE36FB" w:rsidP="001A7107">
      <w:pPr>
        <w:rPr>
          <w:rFonts w:ascii="Arial" w:hAnsi="Arial" w:cs="Arial"/>
          <w:sz w:val="20"/>
          <w:szCs w:val="20"/>
        </w:rPr>
      </w:pPr>
    </w:p>
    <w:p w14:paraId="18B0FA11"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Editor's note — Schedule 6 of the Regulation prescribes development that a planning scheme can not state is assessable development where the matters identified in the schedule are met. </w:t>
      </w:r>
    </w:p>
    <w:p w14:paraId="5876140C" w14:textId="77777777" w:rsidR="00BE36FB" w:rsidRPr="009B7B35" w:rsidRDefault="00BE36FB" w:rsidP="001A7107">
      <w:pPr>
        <w:rPr>
          <w:rFonts w:ascii="Arial" w:hAnsi="Arial" w:cs="Arial"/>
          <w:sz w:val="20"/>
          <w:szCs w:val="20"/>
        </w:rPr>
      </w:pPr>
    </w:p>
    <w:p w14:paraId="44EC0134" w14:textId="77777777"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 xml:space="preserve">determine if the development is assessable development under schedule 10 of the Regulation section 5.4 Regulated categories of development and categories of assessment prescribed by the </w:t>
      </w:r>
      <w:r w:rsidRPr="009B7B35">
        <w:rPr>
          <w:rFonts w:ascii="Arial" w:hAnsi="Arial" w:cs="Arial"/>
          <w:sz w:val="20"/>
          <w:szCs w:val="20"/>
        </w:rPr>
        <w:br/>
        <w:t>Regulation</w:t>
      </w:r>
    </w:p>
    <w:p w14:paraId="2CF6F07F" w14:textId="77777777"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 xml:space="preserve"> if the development is not listed in the tables in section 5.4 Regulated categories of development and categories of assessment prescribed by the Regulation, determine the initial category of assessment by reference to the tables in:</w:t>
      </w:r>
    </w:p>
    <w:p w14:paraId="1875125A" w14:textId="77777777" w:rsidR="00BE36FB" w:rsidRPr="009B7B35" w:rsidRDefault="00BE36FB" w:rsidP="00BE36FB">
      <w:pPr>
        <w:pStyle w:val="ListParagraph"/>
        <w:numPr>
          <w:ilvl w:val="0"/>
          <w:numId w:val="100"/>
        </w:numPr>
        <w:ind w:left="851" w:hanging="284"/>
        <w:rPr>
          <w:rFonts w:cs="Arial"/>
          <w:szCs w:val="20"/>
        </w:rPr>
      </w:pPr>
      <w:r w:rsidRPr="009B7B35">
        <w:rPr>
          <w:rFonts w:cs="Arial"/>
          <w:szCs w:val="20"/>
        </w:rPr>
        <w:t xml:space="preserve">section 5.5 Categories of development and assessment—Material change of use </w:t>
      </w:r>
    </w:p>
    <w:p w14:paraId="5E4DD4D8" w14:textId="77777777" w:rsidR="00BE36FB" w:rsidRPr="009B7B35" w:rsidRDefault="00BE36FB" w:rsidP="00BE36FB">
      <w:pPr>
        <w:pStyle w:val="ListParagraph"/>
        <w:numPr>
          <w:ilvl w:val="0"/>
          <w:numId w:val="100"/>
        </w:numPr>
        <w:ind w:left="851" w:hanging="284"/>
        <w:rPr>
          <w:rFonts w:cs="Arial"/>
          <w:szCs w:val="20"/>
        </w:rPr>
      </w:pPr>
      <w:r w:rsidRPr="009B7B35">
        <w:rPr>
          <w:rFonts w:cs="Arial"/>
          <w:szCs w:val="20"/>
        </w:rPr>
        <w:t>section 5.6 Categories of development and assessment —Reconfiguring a lot</w:t>
      </w:r>
    </w:p>
    <w:p w14:paraId="6AEB4D9D" w14:textId="77777777" w:rsidR="00BE36FB" w:rsidRPr="009B7B35" w:rsidRDefault="00BE36FB" w:rsidP="00BE36FB">
      <w:pPr>
        <w:pStyle w:val="ListParagraph"/>
        <w:numPr>
          <w:ilvl w:val="0"/>
          <w:numId w:val="100"/>
        </w:numPr>
        <w:ind w:left="851" w:hanging="284"/>
        <w:rPr>
          <w:rFonts w:cs="Arial"/>
          <w:szCs w:val="20"/>
        </w:rPr>
      </w:pPr>
      <w:r w:rsidRPr="009B7B35">
        <w:rPr>
          <w:rFonts w:cs="Arial"/>
          <w:szCs w:val="20"/>
        </w:rPr>
        <w:t xml:space="preserve">section 5.7 Categories of development and assessment —Building work </w:t>
      </w:r>
    </w:p>
    <w:p w14:paraId="600D767F" w14:textId="77777777" w:rsidR="00BE36FB" w:rsidRPr="009B7B35" w:rsidRDefault="00BE36FB" w:rsidP="00BE36FB">
      <w:pPr>
        <w:pStyle w:val="ListParagraph"/>
        <w:numPr>
          <w:ilvl w:val="0"/>
          <w:numId w:val="100"/>
        </w:numPr>
        <w:ind w:left="851" w:hanging="284"/>
        <w:rPr>
          <w:rFonts w:cs="Arial"/>
          <w:szCs w:val="20"/>
        </w:rPr>
      </w:pPr>
      <w:r w:rsidRPr="009B7B35">
        <w:rPr>
          <w:rFonts w:cs="Arial"/>
          <w:szCs w:val="20"/>
        </w:rPr>
        <w:t>section 5.8 Categories of development and assessment —Operational work.</w:t>
      </w:r>
    </w:p>
    <w:p w14:paraId="7F87C6B7" w14:textId="77777777"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a precinct of a zone may change the categories of development or assessment and this will be shown in the “category of assessment” column of the tables in sections 5.5, 5.6, 5.7 and 5.8.</w:t>
      </w:r>
    </w:p>
    <w:p w14:paraId="16DF5FDB" w14:textId="77777777"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if a local plan applies refer to the table(s) in section 5.9 Categories of development and assessment— Local plans, to determine if the local plan changes the category of development or assessment for the zone</w:t>
      </w:r>
    </w:p>
    <w:p w14:paraId="126D1453" w14:textId="77777777"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if a precinct of a local plan changes the category of development or assessment this is to be shown in the 'Category of development and assessment' column of the table(s) in section 5.9</w:t>
      </w:r>
    </w:p>
    <w:p w14:paraId="7DB17DBA" w14:textId="77777777" w:rsidR="00BE36FB" w:rsidRPr="009B7B35" w:rsidRDefault="00BE36FB" w:rsidP="00BE36FB">
      <w:pPr>
        <w:numPr>
          <w:ilvl w:val="0"/>
          <w:numId w:val="71"/>
        </w:numPr>
        <w:rPr>
          <w:rFonts w:ascii="Arial" w:hAnsi="Arial" w:cs="Arial"/>
          <w:sz w:val="20"/>
          <w:szCs w:val="20"/>
        </w:rPr>
      </w:pPr>
      <w:r w:rsidRPr="009B7B35">
        <w:rPr>
          <w:rFonts w:ascii="Arial" w:hAnsi="Arial" w:cs="Arial"/>
          <w:sz w:val="20"/>
          <w:szCs w:val="20"/>
        </w:rPr>
        <w:t>if an overlay applies, refer to section 5.10 Category of development and assessment—Overlays, to determine if the overlay further changes the category of development or assessment.</w:t>
      </w:r>
    </w:p>
    <w:p w14:paraId="1D315703" w14:textId="77777777" w:rsidR="00BE36FB" w:rsidRPr="009B7B35" w:rsidRDefault="00BE36FB" w:rsidP="006776DA">
      <w:pPr>
        <w:pStyle w:val="Heading3"/>
        <w:numPr>
          <w:ilvl w:val="2"/>
          <w:numId w:val="883"/>
        </w:numPr>
        <w:ind w:left="709" w:hanging="709"/>
        <w:rPr>
          <w:rFonts w:ascii="Arial" w:hAnsi="Arial"/>
          <w:sz w:val="20"/>
          <w:szCs w:val="20"/>
        </w:rPr>
      </w:pPr>
      <w:bookmarkStart w:id="165" w:name="_Toc367444994"/>
      <w:bookmarkStart w:id="166" w:name="_Toc205367334"/>
      <w:r w:rsidRPr="009B7B35">
        <w:rPr>
          <w:rFonts w:ascii="Arial" w:hAnsi="Arial"/>
          <w:sz w:val="20"/>
          <w:szCs w:val="20"/>
        </w:rPr>
        <w:t>Determining the category of development and categories of assessment</w:t>
      </w:r>
      <w:bookmarkEnd w:id="165"/>
      <w:bookmarkEnd w:id="166"/>
    </w:p>
    <w:p w14:paraId="08E3CD1C" w14:textId="77777777"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A material change of use is assessable development requiring impact assessment:</w:t>
      </w:r>
    </w:p>
    <w:p w14:paraId="2640556F" w14:textId="77777777" w:rsidR="00BE36FB" w:rsidRPr="009B7B35" w:rsidRDefault="00BE36FB" w:rsidP="00BE36FB">
      <w:pPr>
        <w:numPr>
          <w:ilvl w:val="1"/>
          <w:numId w:val="72"/>
        </w:numPr>
        <w:rPr>
          <w:rFonts w:ascii="Arial" w:hAnsi="Arial" w:cs="Arial"/>
          <w:sz w:val="20"/>
          <w:szCs w:val="20"/>
        </w:rPr>
      </w:pPr>
      <w:r w:rsidRPr="009B7B35">
        <w:rPr>
          <w:rFonts w:ascii="Arial" w:hAnsi="Arial" w:cs="Arial"/>
          <w:sz w:val="20"/>
          <w:szCs w:val="20"/>
        </w:rPr>
        <w:t>unless the table of assessment states otherwise</w:t>
      </w:r>
    </w:p>
    <w:p w14:paraId="0D1A47E3" w14:textId="77777777" w:rsidR="00BE36FB" w:rsidRPr="009B7B35" w:rsidRDefault="00BE36FB" w:rsidP="00BE36FB">
      <w:pPr>
        <w:numPr>
          <w:ilvl w:val="1"/>
          <w:numId w:val="72"/>
        </w:numPr>
        <w:rPr>
          <w:rFonts w:ascii="Arial" w:hAnsi="Arial" w:cs="Arial"/>
          <w:sz w:val="20"/>
          <w:szCs w:val="20"/>
        </w:rPr>
      </w:pPr>
      <w:r w:rsidRPr="009B7B35">
        <w:rPr>
          <w:rFonts w:ascii="Arial" w:hAnsi="Arial" w:cs="Arial"/>
          <w:sz w:val="20"/>
          <w:szCs w:val="20"/>
        </w:rPr>
        <w:t>if a use is not listed or defined</w:t>
      </w:r>
    </w:p>
    <w:p w14:paraId="44448AA9" w14:textId="77777777" w:rsidR="00BE36FB" w:rsidRPr="009B7B35" w:rsidRDefault="00BE36FB" w:rsidP="00BE36FB">
      <w:pPr>
        <w:numPr>
          <w:ilvl w:val="1"/>
          <w:numId w:val="72"/>
        </w:numPr>
        <w:rPr>
          <w:rFonts w:ascii="Arial" w:hAnsi="Arial" w:cs="Arial"/>
          <w:sz w:val="20"/>
          <w:szCs w:val="20"/>
        </w:rPr>
      </w:pPr>
      <w:r w:rsidRPr="009B7B35">
        <w:rPr>
          <w:rFonts w:ascii="Arial" w:hAnsi="Arial" w:cs="Arial"/>
          <w:sz w:val="20"/>
          <w:szCs w:val="20"/>
        </w:rPr>
        <w:t>unless otherwise prescribed in the Act or the Regulation.</w:t>
      </w:r>
    </w:p>
    <w:p w14:paraId="14883BE8" w14:textId="77777777"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Reconfiguring a lot is assessable development requiring code assessment unless the tables of assessment state otherwise or unless otherwise prescribed in the Act or the Regulation.</w:t>
      </w:r>
    </w:p>
    <w:p w14:paraId="496EE3D6" w14:textId="77777777"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Building work and operational work are accepted development, unless the tables of assessment state otherwise or unless otherwise prescribed in the Act or the Regulation.</w:t>
      </w:r>
    </w:p>
    <w:p w14:paraId="3E275731" w14:textId="77777777"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Where an aspect of development is proposed on premises included in more than one zone, local plan or overlay, the category of development or assessment for that aspect is the highest category under each of the applicable zones, local plans or overlays.</w:t>
      </w:r>
    </w:p>
    <w:p w14:paraId="0648D376" w14:textId="77777777"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Where development is proposed on premises partly affected by an overlay, the category of development or assessment for the overlay only relates to the part of the premises affected by the overlay.</w:t>
      </w:r>
    </w:p>
    <w:p w14:paraId="32E5157C" w14:textId="77777777"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For the purposes of Schedule 6, Part 2 Material change of use section (2)(2)(d)(i) or (ii) of the Regulation, an overlay does not apply to the premises if the development meets the acceptable outcomes that form the requirements for accepted development in the relevant overlay code.</w:t>
      </w:r>
    </w:p>
    <w:p w14:paraId="1975F1B1" w14:textId="77777777"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If development is identified as having a different category of development or category of assessment under a zone than under a local plan or an overlay, the highest category of development or assessment applies as follows:</w:t>
      </w:r>
    </w:p>
    <w:p w14:paraId="5CC5DD41" w14:textId="77777777" w:rsidR="00BE36FB" w:rsidRPr="009B7B35" w:rsidRDefault="00BE36FB" w:rsidP="00BE36FB">
      <w:pPr>
        <w:numPr>
          <w:ilvl w:val="1"/>
          <w:numId w:val="72"/>
        </w:numPr>
        <w:rPr>
          <w:rFonts w:ascii="Arial" w:hAnsi="Arial" w:cs="Arial"/>
          <w:sz w:val="20"/>
          <w:szCs w:val="20"/>
        </w:rPr>
      </w:pPr>
      <w:r w:rsidRPr="009B7B35">
        <w:rPr>
          <w:rFonts w:ascii="Arial" w:hAnsi="Arial" w:cs="Arial"/>
          <w:sz w:val="20"/>
          <w:szCs w:val="20"/>
        </w:rPr>
        <w:t>accepted development subject to requirements prevails over accepted development</w:t>
      </w:r>
    </w:p>
    <w:p w14:paraId="2DC5EB2B" w14:textId="77777777" w:rsidR="00BE36FB" w:rsidRPr="009B7B35" w:rsidRDefault="00BE36FB" w:rsidP="00BE36FB">
      <w:pPr>
        <w:numPr>
          <w:ilvl w:val="1"/>
          <w:numId w:val="72"/>
        </w:numPr>
        <w:rPr>
          <w:rFonts w:ascii="Arial" w:hAnsi="Arial" w:cs="Arial"/>
          <w:sz w:val="20"/>
          <w:szCs w:val="20"/>
        </w:rPr>
      </w:pPr>
      <w:r w:rsidRPr="009B7B35">
        <w:rPr>
          <w:rFonts w:ascii="Arial" w:hAnsi="Arial" w:cs="Arial"/>
          <w:sz w:val="20"/>
          <w:szCs w:val="20"/>
        </w:rPr>
        <w:t>code assessment prevails over accepted development where subject to requirements and accepted development</w:t>
      </w:r>
    </w:p>
    <w:p w14:paraId="1CDBA152" w14:textId="77777777" w:rsidR="00BE36FB" w:rsidRPr="009B7B35" w:rsidRDefault="00BE36FB" w:rsidP="00BE36FB">
      <w:pPr>
        <w:numPr>
          <w:ilvl w:val="1"/>
          <w:numId w:val="72"/>
        </w:numPr>
        <w:rPr>
          <w:rFonts w:ascii="Arial" w:hAnsi="Arial" w:cs="Arial"/>
          <w:sz w:val="20"/>
          <w:szCs w:val="20"/>
        </w:rPr>
      </w:pPr>
      <w:r w:rsidRPr="009B7B35">
        <w:rPr>
          <w:rFonts w:ascii="Arial" w:hAnsi="Arial" w:cs="Arial"/>
          <w:sz w:val="20"/>
          <w:szCs w:val="20"/>
        </w:rPr>
        <w:t xml:space="preserve">impact assessment prevails over code assessment, accepted development where subject to requirements and accepted development. </w:t>
      </w:r>
    </w:p>
    <w:p w14:paraId="30C89251" w14:textId="77777777"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Despite sub–subsection 5.3.2(4) and (7) above, a category of assessment in a local plan overrides a category of assessment in a zone and a category of assessment in an overlay overrides a category of assessment in a zone or local plan.</w:t>
      </w:r>
    </w:p>
    <w:p w14:paraId="19A20ADD" w14:textId="77777777"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Provisions of Part 10 may override any of the above.</w:t>
      </w:r>
    </w:p>
    <w:p w14:paraId="7887872A" w14:textId="77777777"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The category of development prescribed under Schedule 6 of the Regulation overrides all other categories of development or assessment for that development under the planning scheme to the extent of any inconsistency.</w:t>
      </w:r>
    </w:p>
    <w:p w14:paraId="02595005" w14:textId="77777777" w:rsidR="00BE36FB" w:rsidRPr="009B7B35" w:rsidRDefault="00BE36FB" w:rsidP="001A7107">
      <w:pPr>
        <w:rPr>
          <w:rFonts w:ascii="Arial" w:hAnsi="Arial" w:cs="Arial"/>
          <w:sz w:val="20"/>
          <w:szCs w:val="20"/>
        </w:rPr>
      </w:pPr>
    </w:p>
    <w:p w14:paraId="375F89BD"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Editor's Note — Schedule 7 of the Regulation also identifies development that the state categorises as accepted development. Some development in the schedule may still be made assessable under the planning scheme. </w:t>
      </w:r>
    </w:p>
    <w:p w14:paraId="6733DACC" w14:textId="77777777" w:rsidR="00BE36FB" w:rsidRPr="009B7B35" w:rsidRDefault="00BE36FB" w:rsidP="001A7107">
      <w:pPr>
        <w:rPr>
          <w:rFonts w:ascii="Arial" w:hAnsi="Arial" w:cs="Arial"/>
          <w:sz w:val="20"/>
          <w:szCs w:val="20"/>
        </w:rPr>
      </w:pPr>
    </w:p>
    <w:p w14:paraId="4B5DAB5C" w14:textId="77777777" w:rsidR="00BE36FB" w:rsidRPr="009B7B35" w:rsidRDefault="00BE36FB" w:rsidP="00BE36FB">
      <w:pPr>
        <w:numPr>
          <w:ilvl w:val="0"/>
          <w:numId w:val="72"/>
        </w:numPr>
        <w:rPr>
          <w:rFonts w:ascii="Arial" w:hAnsi="Arial" w:cs="Arial"/>
          <w:sz w:val="20"/>
          <w:szCs w:val="20"/>
        </w:rPr>
      </w:pPr>
      <w:r w:rsidRPr="009B7B35">
        <w:rPr>
          <w:rFonts w:ascii="Arial" w:hAnsi="Arial" w:cs="Arial"/>
          <w:sz w:val="20"/>
          <w:szCs w:val="20"/>
        </w:rPr>
        <w:t>Despite all of the above, if development is listed as prohibited development under schedule 10 of the Regulation, a development application cannot be made.</w:t>
      </w:r>
    </w:p>
    <w:p w14:paraId="6383CDCC" w14:textId="77777777" w:rsidR="00BE36FB" w:rsidRPr="009B7B35" w:rsidRDefault="00BE36FB" w:rsidP="001A7107">
      <w:pPr>
        <w:pStyle w:val="Notes"/>
        <w:rPr>
          <w:rFonts w:cs="Arial"/>
          <w:sz w:val="20"/>
          <w:szCs w:val="20"/>
        </w:rPr>
      </w:pPr>
      <w:r w:rsidRPr="009B7B35">
        <w:rPr>
          <w:rFonts w:cs="Arial"/>
          <w:sz w:val="20"/>
          <w:szCs w:val="20"/>
        </w:rPr>
        <w:t xml:space="preserve">Note — Development is to be taken to be prohibited development under the planning scheme only if it is identified in schedule 10 of the Regulation. </w:t>
      </w:r>
    </w:p>
    <w:p w14:paraId="527B0218" w14:textId="77777777" w:rsidR="00BE36FB" w:rsidRPr="009B7B35" w:rsidRDefault="00BE36FB" w:rsidP="006776DA">
      <w:pPr>
        <w:pStyle w:val="Heading3"/>
        <w:numPr>
          <w:ilvl w:val="2"/>
          <w:numId w:val="883"/>
        </w:numPr>
        <w:ind w:left="709" w:hanging="709"/>
        <w:rPr>
          <w:rFonts w:ascii="Arial" w:hAnsi="Arial"/>
          <w:sz w:val="20"/>
          <w:szCs w:val="20"/>
        </w:rPr>
      </w:pPr>
      <w:bookmarkStart w:id="167" w:name="_Toc367444995"/>
      <w:bookmarkStart w:id="168" w:name="_Toc205367335"/>
      <w:r w:rsidRPr="009B7B35">
        <w:rPr>
          <w:rFonts w:ascii="Arial" w:hAnsi="Arial"/>
          <w:sz w:val="20"/>
          <w:szCs w:val="20"/>
        </w:rPr>
        <w:t xml:space="preserve">Determining the </w:t>
      </w:r>
      <w:bookmarkEnd w:id="167"/>
      <w:r w:rsidRPr="009B7B35">
        <w:rPr>
          <w:rFonts w:ascii="Arial" w:hAnsi="Arial"/>
          <w:sz w:val="20"/>
          <w:szCs w:val="20"/>
        </w:rPr>
        <w:t>requirements for accepted development and assessment benchmarks and other matters for assessable development</w:t>
      </w:r>
      <w:bookmarkEnd w:id="168"/>
      <w:r w:rsidRPr="009B7B35">
        <w:rPr>
          <w:rFonts w:ascii="Arial" w:hAnsi="Arial"/>
          <w:sz w:val="20"/>
          <w:szCs w:val="20"/>
        </w:rPr>
        <w:t xml:space="preserve"> </w:t>
      </w:r>
    </w:p>
    <w:p w14:paraId="540C3DA4" w14:textId="77777777" w:rsidR="00BE36FB" w:rsidRPr="009B7B35" w:rsidRDefault="00BE36FB" w:rsidP="00BE36FB">
      <w:pPr>
        <w:numPr>
          <w:ilvl w:val="0"/>
          <w:numId w:val="73"/>
        </w:numPr>
        <w:rPr>
          <w:rFonts w:ascii="Arial" w:hAnsi="Arial" w:cs="Arial"/>
          <w:sz w:val="20"/>
          <w:szCs w:val="20"/>
        </w:rPr>
      </w:pPr>
      <w:r w:rsidRPr="009B7B35">
        <w:rPr>
          <w:rFonts w:ascii="Arial" w:hAnsi="Arial" w:cs="Arial"/>
          <w:sz w:val="20"/>
          <w:szCs w:val="20"/>
        </w:rPr>
        <w:t xml:space="preserve">Accepted development does not require a development approval and is not subject to assessment benchmarks. However, certain requirements may apply to some types of development for it to be accepted development. Where nominated in the tables of assessment, accepted development must comply with the requirements identified as acceptable outcomes in the relevant parts of the applicable code(s) as identified in the relevant column. </w:t>
      </w:r>
    </w:p>
    <w:p w14:paraId="74A59E22" w14:textId="77777777" w:rsidR="00BE36FB" w:rsidRPr="009B7B35" w:rsidRDefault="00BE36FB" w:rsidP="00BE36FB">
      <w:pPr>
        <w:numPr>
          <w:ilvl w:val="0"/>
          <w:numId w:val="73"/>
        </w:numPr>
        <w:rPr>
          <w:rFonts w:ascii="Arial" w:hAnsi="Arial" w:cs="Arial"/>
          <w:sz w:val="20"/>
          <w:szCs w:val="20"/>
        </w:rPr>
      </w:pPr>
      <w:r w:rsidRPr="009B7B35">
        <w:rPr>
          <w:rFonts w:ascii="Arial" w:hAnsi="Arial" w:cs="Arial"/>
          <w:sz w:val="20"/>
          <w:szCs w:val="20"/>
        </w:rPr>
        <w:t xml:space="preserve">Accepted development that does not comply with one or more of the nominated acceptable outcomes in the relevant parts of the applicable code(s) becomes code assessable development, unless otherwise specified. </w:t>
      </w:r>
    </w:p>
    <w:p w14:paraId="10B06B3A" w14:textId="77777777" w:rsidR="00BE36FB" w:rsidRPr="009B7B35" w:rsidRDefault="00BE36FB" w:rsidP="00BE36FB">
      <w:pPr>
        <w:numPr>
          <w:ilvl w:val="0"/>
          <w:numId w:val="73"/>
        </w:numPr>
        <w:rPr>
          <w:rFonts w:ascii="Arial" w:hAnsi="Arial" w:cs="Arial"/>
          <w:sz w:val="20"/>
          <w:szCs w:val="20"/>
        </w:rPr>
      </w:pPr>
      <w:r w:rsidRPr="009B7B35">
        <w:rPr>
          <w:rFonts w:ascii="Arial" w:hAnsi="Arial" w:cs="Arial"/>
          <w:sz w:val="20"/>
          <w:szCs w:val="20"/>
        </w:rPr>
        <w:t xml:space="preserve">The following rules apply in determining assessment benchmarks for each category of development and assessment. </w:t>
      </w:r>
    </w:p>
    <w:p w14:paraId="5B0E40B3" w14:textId="77777777" w:rsidR="00BE36FB" w:rsidRPr="009B7B35" w:rsidRDefault="00BE36FB" w:rsidP="00BE36FB">
      <w:pPr>
        <w:pStyle w:val="ListParagraph"/>
        <w:numPr>
          <w:ilvl w:val="0"/>
          <w:numId w:val="73"/>
        </w:numPr>
        <w:rPr>
          <w:rFonts w:cs="Arial"/>
          <w:szCs w:val="20"/>
        </w:rPr>
      </w:pPr>
      <w:r w:rsidRPr="009B7B35">
        <w:rPr>
          <w:rFonts w:cs="Arial"/>
          <w:szCs w:val="20"/>
        </w:rPr>
        <w:t>Code assessable development:</w:t>
      </w:r>
    </w:p>
    <w:p w14:paraId="4CD4E872" w14:textId="77777777" w:rsidR="00BE36FB" w:rsidRPr="009B7B35" w:rsidRDefault="00BE36FB" w:rsidP="00BE36FB">
      <w:pPr>
        <w:pStyle w:val="ListParagraph"/>
        <w:numPr>
          <w:ilvl w:val="0"/>
          <w:numId w:val="101"/>
        </w:numPr>
        <w:ind w:left="1134" w:hanging="567"/>
        <w:rPr>
          <w:rFonts w:cs="Arial"/>
          <w:szCs w:val="20"/>
        </w:rPr>
      </w:pPr>
      <w:r w:rsidRPr="009B7B35">
        <w:rPr>
          <w:rFonts w:cs="Arial"/>
          <w:szCs w:val="20"/>
        </w:rPr>
        <w:t>is to be assessed against all the assessment benchmarks identified in the assessment benchmarks column</w:t>
      </w:r>
    </w:p>
    <w:p w14:paraId="1EE639F4" w14:textId="77777777" w:rsidR="00BE36FB" w:rsidRPr="009B7B35" w:rsidRDefault="00BE36FB" w:rsidP="00BE36FB">
      <w:pPr>
        <w:pStyle w:val="ListParagraph"/>
        <w:numPr>
          <w:ilvl w:val="0"/>
          <w:numId w:val="101"/>
        </w:numPr>
        <w:ind w:left="1134" w:hanging="567"/>
        <w:rPr>
          <w:rFonts w:cs="Arial"/>
          <w:szCs w:val="20"/>
        </w:rPr>
      </w:pPr>
      <w:r w:rsidRPr="009B7B35">
        <w:rPr>
          <w:rFonts w:cs="Arial"/>
          <w:szCs w:val="20"/>
        </w:rPr>
        <w:t>that occurs as a result of development becoming code assessable pursuant to sub-section 5.3.3(2) must:</w:t>
      </w:r>
    </w:p>
    <w:p w14:paraId="014A05A2" w14:textId="77777777" w:rsidR="00BE36FB" w:rsidRPr="009B7B35" w:rsidRDefault="00BE36FB" w:rsidP="00BE36FB">
      <w:pPr>
        <w:pStyle w:val="ListParagraph"/>
        <w:numPr>
          <w:ilvl w:val="0"/>
          <w:numId w:val="103"/>
        </w:numPr>
        <w:ind w:left="1701" w:hanging="567"/>
        <w:rPr>
          <w:rFonts w:cs="Arial"/>
          <w:szCs w:val="20"/>
        </w:rPr>
      </w:pPr>
      <w:r w:rsidRPr="009B7B35">
        <w:rPr>
          <w:rFonts w:cs="Arial"/>
          <w:szCs w:val="20"/>
        </w:rPr>
        <w:t>be assessed against the assessment benchmarks for the development application, limited to the subject matter of the required acceptable outcomes that were not complied with or were not capable of being complied with under sub-section 5.3.3(2)</w:t>
      </w:r>
    </w:p>
    <w:p w14:paraId="0FC6CFFA" w14:textId="77777777" w:rsidR="00BE36FB" w:rsidRPr="009B7B35" w:rsidRDefault="00BE36FB" w:rsidP="00BE36FB">
      <w:pPr>
        <w:pStyle w:val="ListParagraph"/>
        <w:numPr>
          <w:ilvl w:val="0"/>
          <w:numId w:val="103"/>
        </w:numPr>
        <w:ind w:left="1701" w:hanging="567"/>
        <w:rPr>
          <w:rFonts w:cs="Arial"/>
          <w:szCs w:val="20"/>
        </w:rPr>
      </w:pPr>
      <w:r w:rsidRPr="009B7B35">
        <w:rPr>
          <w:rFonts w:cs="Arial"/>
          <w:szCs w:val="20"/>
        </w:rPr>
        <w:t>comply with all required acceptable outcomes identified in sub-section 5.3.3(1), other than those mentioned in sub-section 5.3.3(2);</w:t>
      </w:r>
    </w:p>
    <w:p w14:paraId="59255F2B" w14:textId="77777777" w:rsidR="00BE36FB" w:rsidRPr="009B7B35" w:rsidRDefault="00BE36FB" w:rsidP="00BE36FB">
      <w:pPr>
        <w:pStyle w:val="ListParagraph"/>
        <w:numPr>
          <w:ilvl w:val="0"/>
          <w:numId w:val="101"/>
        </w:numPr>
        <w:ind w:left="1134" w:hanging="567"/>
        <w:rPr>
          <w:rFonts w:cs="Arial"/>
          <w:szCs w:val="20"/>
        </w:rPr>
      </w:pPr>
      <w:r w:rsidRPr="009B7B35">
        <w:rPr>
          <w:rFonts w:cs="Arial"/>
          <w:szCs w:val="20"/>
        </w:rPr>
        <w:t>that complies with:</w:t>
      </w:r>
    </w:p>
    <w:p w14:paraId="09C0E68E" w14:textId="77777777" w:rsidR="00BE36FB" w:rsidRPr="009B7B35" w:rsidRDefault="00BE36FB" w:rsidP="00BE36FB">
      <w:pPr>
        <w:pStyle w:val="ListParagraph"/>
        <w:numPr>
          <w:ilvl w:val="0"/>
          <w:numId w:val="104"/>
        </w:numPr>
        <w:ind w:left="1701" w:hanging="567"/>
        <w:rPr>
          <w:rFonts w:cs="Arial"/>
          <w:szCs w:val="20"/>
        </w:rPr>
      </w:pPr>
      <w:r w:rsidRPr="009B7B35">
        <w:rPr>
          <w:rFonts w:cs="Arial"/>
          <w:szCs w:val="20"/>
        </w:rPr>
        <w:t>the purpose and overall outcomes of the code complies with the code</w:t>
      </w:r>
    </w:p>
    <w:p w14:paraId="48597CFF" w14:textId="77777777" w:rsidR="00BE36FB" w:rsidRPr="009B7B35" w:rsidRDefault="00BE36FB" w:rsidP="00BE36FB">
      <w:pPr>
        <w:pStyle w:val="ListParagraph"/>
        <w:numPr>
          <w:ilvl w:val="0"/>
          <w:numId w:val="104"/>
        </w:numPr>
        <w:ind w:left="1701" w:hanging="567"/>
        <w:rPr>
          <w:rFonts w:cs="Arial"/>
          <w:szCs w:val="20"/>
        </w:rPr>
      </w:pPr>
      <w:r w:rsidRPr="009B7B35">
        <w:rPr>
          <w:rFonts w:cs="Arial"/>
          <w:szCs w:val="20"/>
        </w:rPr>
        <w:t>the performance or acceptable outcomes complies with the purpose and overall outcomes of the code;</w:t>
      </w:r>
    </w:p>
    <w:p w14:paraId="2C1D314F" w14:textId="77777777" w:rsidR="00BE36FB" w:rsidRPr="009B7B35" w:rsidRDefault="00BE36FB" w:rsidP="00BE36FB">
      <w:pPr>
        <w:pStyle w:val="ListParagraph"/>
        <w:numPr>
          <w:ilvl w:val="0"/>
          <w:numId w:val="101"/>
        </w:numPr>
        <w:ind w:left="1134" w:hanging="567"/>
        <w:rPr>
          <w:rFonts w:cs="Arial"/>
          <w:szCs w:val="20"/>
        </w:rPr>
      </w:pPr>
      <w:r w:rsidRPr="009B7B35">
        <w:rPr>
          <w:rFonts w:cs="Arial"/>
          <w:szCs w:val="20"/>
        </w:rPr>
        <w:t>is to be assessed against any assessment benchmarks for the development identified in section 26 of the Regulation.</w:t>
      </w:r>
    </w:p>
    <w:p w14:paraId="76F96209" w14:textId="77777777" w:rsidR="00BE36FB" w:rsidRPr="009B7B35" w:rsidRDefault="00BE36FB" w:rsidP="001A7107">
      <w:pPr>
        <w:pStyle w:val="Notes"/>
        <w:ind w:left="567"/>
        <w:rPr>
          <w:rFonts w:cs="Arial"/>
          <w:sz w:val="20"/>
          <w:szCs w:val="20"/>
        </w:rPr>
      </w:pPr>
      <w:r w:rsidRPr="009B7B35">
        <w:rPr>
          <w:rFonts w:cs="Arial"/>
          <w:sz w:val="20"/>
          <w:szCs w:val="20"/>
        </w:rPr>
        <w:t xml:space="preserve">Editor's Note — Section 27 of the Regulation also identifies the matters that code assessment must have regard to. </w:t>
      </w:r>
    </w:p>
    <w:p w14:paraId="5832F844" w14:textId="77777777" w:rsidR="00BE36FB" w:rsidRPr="009B7B35" w:rsidRDefault="00BE36FB" w:rsidP="00BE36FB">
      <w:pPr>
        <w:pStyle w:val="ListParagraph"/>
        <w:numPr>
          <w:ilvl w:val="0"/>
          <w:numId w:val="73"/>
        </w:numPr>
        <w:rPr>
          <w:rFonts w:cs="Arial"/>
          <w:szCs w:val="20"/>
        </w:rPr>
      </w:pPr>
      <w:r w:rsidRPr="009B7B35">
        <w:rPr>
          <w:rFonts w:cs="Arial"/>
          <w:szCs w:val="20"/>
        </w:rPr>
        <w:t>Impact Assessable development:</w:t>
      </w:r>
    </w:p>
    <w:p w14:paraId="366B326E" w14:textId="77777777" w:rsidR="00BE36FB" w:rsidRPr="009B7B35" w:rsidRDefault="00BE36FB" w:rsidP="00BE36FB">
      <w:pPr>
        <w:pStyle w:val="ListParagraph"/>
        <w:numPr>
          <w:ilvl w:val="0"/>
          <w:numId w:val="102"/>
        </w:numPr>
        <w:ind w:left="1134" w:hanging="567"/>
        <w:rPr>
          <w:rFonts w:cs="Arial"/>
          <w:szCs w:val="20"/>
        </w:rPr>
      </w:pPr>
      <w:r w:rsidRPr="009B7B35">
        <w:rPr>
          <w:rFonts w:cs="Arial"/>
          <w:szCs w:val="20"/>
        </w:rPr>
        <w:t>is to be assessed against the identified assessment benchmarks in the assessment benchmarks column (where relevant)</w:t>
      </w:r>
    </w:p>
    <w:p w14:paraId="497A64C0" w14:textId="77777777" w:rsidR="00BE36FB" w:rsidRPr="009B7B35" w:rsidRDefault="00BE36FB" w:rsidP="00BE36FB">
      <w:pPr>
        <w:pStyle w:val="ListParagraph"/>
        <w:numPr>
          <w:ilvl w:val="0"/>
          <w:numId w:val="102"/>
        </w:numPr>
        <w:ind w:left="1134" w:hanging="567"/>
        <w:rPr>
          <w:rFonts w:cs="Arial"/>
          <w:szCs w:val="20"/>
        </w:rPr>
      </w:pPr>
      <w:r w:rsidRPr="009B7B35">
        <w:rPr>
          <w:rFonts w:cs="Arial"/>
          <w:szCs w:val="20"/>
        </w:rPr>
        <w:t>assessment is to have regard to the whole of the planning scheme, to the extent relevant</w:t>
      </w:r>
    </w:p>
    <w:p w14:paraId="7777FBD4" w14:textId="77777777" w:rsidR="00BE36FB" w:rsidRPr="009B7B35" w:rsidRDefault="00BE36FB" w:rsidP="00BE36FB">
      <w:pPr>
        <w:pStyle w:val="ListParagraph"/>
        <w:numPr>
          <w:ilvl w:val="0"/>
          <w:numId w:val="102"/>
        </w:numPr>
        <w:ind w:left="1134" w:hanging="567"/>
        <w:rPr>
          <w:rFonts w:cs="Arial"/>
          <w:szCs w:val="20"/>
        </w:rPr>
      </w:pPr>
      <w:r w:rsidRPr="009B7B35">
        <w:rPr>
          <w:rFonts w:cs="Arial"/>
          <w:szCs w:val="20"/>
        </w:rPr>
        <w:t xml:space="preserve">is to be assessed against any assessment benchmarks for the development identified in section 30 of the Regulation. </w:t>
      </w:r>
    </w:p>
    <w:p w14:paraId="5104EB4D" w14:textId="77777777" w:rsidR="00BE36FB" w:rsidRPr="009B7B35" w:rsidRDefault="00BE36FB" w:rsidP="001A7107">
      <w:pPr>
        <w:pStyle w:val="Notes"/>
        <w:ind w:left="567"/>
        <w:rPr>
          <w:rFonts w:cs="Arial"/>
          <w:sz w:val="20"/>
          <w:szCs w:val="20"/>
        </w:rPr>
      </w:pPr>
      <w:r w:rsidRPr="009B7B35">
        <w:rPr>
          <w:rFonts w:cs="Arial"/>
          <w:sz w:val="20"/>
          <w:szCs w:val="20"/>
        </w:rPr>
        <w:t>Note — The first row of each table of assessment is to be checked to confirm if there are assessment benchmarks that commonly apply to general scenarios in the zone, local plan or overlay.</w:t>
      </w:r>
    </w:p>
    <w:p w14:paraId="44C3C968" w14:textId="77777777" w:rsidR="00BE36FB" w:rsidRPr="009B7B35" w:rsidRDefault="00BE36FB" w:rsidP="001A7107">
      <w:pPr>
        <w:pStyle w:val="ListParagraph"/>
        <w:spacing w:before="120" w:after="120"/>
        <w:ind w:left="567"/>
        <w:rPr>
          <w:rFonts w:cs="Arial"/>
          <w:szCs w:val="20"/>
        </w:rPr>
      </w:pPr>
      <w:r w:rsidRPr="009B7B35">
        <w:rPr>
          <w:rFonts w:cs="Arial"/>
          <w:szCs w:val="20"/>
        </w:rPr>
        <w:t>Editor's Note — Section 31 of the Regulation identifies the matters that impact assessment must have regard to.</w:t>
      </w:r>
    </w:p>
    <w:p w14:paraId="26126BDB" w14:textId="77777777" w:rsidR="00BE36FB" w:rsidRPr="009B7B35" w:rsidRDefault="00BE36FB" w:rsidP="006776DA">
      <w:pPr>
        <w:pStyle w:val="Heading2"/>
        <w:numPr>
          <w:ilvl w:val="1"/>
          <w:numId w:val="883"/>
        </w:numPr>
        <w:ind w:left="709" w:hanging="709"/>
        <w:rPr>
          <w:rFonts w:ascii="Arial" w:hAnsi="Arial"/>
          <w:sz w:val="20"/>
          <w:szCs w:val="20"/>
        </w:rPr>
      </w:pPr>
      <w:bookmarkStart w:id="169" w:name="_Toc205367336"/>
      <w:r w:rsidRPr="009B7B35">
        <w:rPr>
          <w:rFonts w:ascii="Arial" w:hAnsi="Arial"/>
          <w:sz w:val="20"/>
          <w:szCs w:val="20"/>
        </w:rPr>
        <w:t>Regulated categories of development and categories of assessment prescribed by the Regulation</w:t>
      </w:r>
      <w:bookmarkEnd w:id="169"/>
      <w:r w:rsidRPr="009B7B35">
        <w:rPr>
          <w:rFonts w:ascii="Arial" w:hAnsi="Arial"/>
          <w:sz w:val="20"/>
          <w:szCs w:val="20"/>
        </w:rPr>
        <w:t xml:space="preserve"> </w:t>
      </w:r>
    </w:p>
    <w:p w14:paraId="2BC07891" w14:textId="77777777" w:rsidR="00BE36FB" w:rsidRPr="009B7B35" w:rsidRDefault="00BE36FB" w:rsidP="001A7107">
      <w:pPr>
        <w:rPr>
          <w:rFonts w:ascii="Arial" w:hAnsi="Arial" w:cs="Arial"/>
          <w:sz w:val="20"/>
          <w:szCs w:val="20"/>
        </w:rPr>
      </w:pPr>
      <w:r w:rsidRPr="009B7B35">
        <w:rPr>
          <w:rFonts w:ascii="Arial" w:hAnsi="Arial" w:cs="Arial"/>
          <w:sz w:val="20"/>
          <w:szCs w:val="20"/>
        </w:rPr>
        <w:t>For the development specified in the ‘use’, ‘zone’ or ‘development’ columns, the categories of development and assessment are prescribed.</w:t>
      </w:r>
    </w:p>
    <w:p w14:paraId="11DE1B82" w14:textId="77777777" w:rsidR="00BE36FB" w:rsidRPr="009B7B35" w:rsidRDefault="00BE36FB" w:rsidP="001A7107">
      <w:pPr>
        <w:pStyle w:val="Heading5"/>
        <w:numPr>
          <w:ilvl w:val="0"/>
          <w:numId w:val="0"/>
        </w:numPr>
        <w:rPr>
          <w:rFonts w:cs="Arial"/>
          <w:szCs w:val="20"/>
        </w:rPr>
      </w:pPr>
      <w:r w:rsidRPr="009B7B35">
        <w:rPr>
          <w:rFonts w:cs="Arial"/>
          <w:szCs w:val="20"/>
        </w:rPr>
        <w:t>Table 5.4.1—Development under schedule 6 of the Regulation: Material change of use</w:t>
      </w:r>
    </w:p>
    <w:tbl>
      <w:tblPr>
        <w:tblStyle w:val="Tablestyle"/>
        <w:tblW w:w="0" w:type="auto"/>
        <w:tblLook w:val="04A0" w:firstRow="1" w:lastRow="0" w:firstColumn="1" w:lastColumn="0" w:noHBand="0" w:noVBand="1"/>
      </w:tblPr>
      <w:tblGrid>
        <w:gridCol w:w="2182"/>
        <w:gridCol w:w="3095"/>
        <w:gridCol w:w="3086"/>
      </w:tblGrid>
      <w:tr w:rsidR="00BE36FB" w:rsidRPr="009B7B35" w14:paraId="6C80C9B3"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0D212FC" w14:textId="77777777" w:rsidR="00BE36FB" w:rsidRPr="009B7B35" w:rsidRDefault="00BE36FB" w:rsidP="001A7107">
            <w:pPr>
              <w:pStyle w:val="TableText"/>
              <w:rPr>
                <w:rFonts w:cs="Arial"/>
              </w:rPr>
            </w:pPr>
            <w:r w:rsidRPr="009B7B35">
              <w:rPr>
                <w:rFonts w:cs="Arial"/>
              </w:rPr>
              <w:t>Use</w:t>
            </w:r>
          </w:p>
        </w:tc>
        <w:tc>
          <w:tcPr>
            <w:tcW w:w="3473" w:type="dxa"/>
          </w:tcPr>
          <w:p w14:paraId="662F0F55"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Categories of development and  assessment</w:t>
            </w:r>
          </w:p>
        </w:tc>
        <w:tc>
          <w:tcPr>
            <w:tcW w:w="3473" w:type="dxa"/>
          </w:tcPr>
          <w:p w14:paraId="366C1C27"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Assessment benchmarks</w:t>
            </w:r>
          </w:p>
        </w:tc>
      </w:tr>
      <w:tr w:rsidR="00BE36FB" w:rsidRPr="009B7B35" w14:paraId="38031A90" w14:textId="77777777" w:rsidTr="001A7107">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2410" w:type="dxa"/>
            <w:vMerge w:val="restart"/>
          </w:tcPr>
          <w:p w14:paraId="23C6C773" w14:textId="77777777" w:rsidR="00BE36FB" w:rsidRPr="009B7B35" w:rsidRDefault="00BE36FB" w:rsidP="001A7107">
            <w:pPr>
              <w:pStyle w:val="TableText"/>
              <w:rPr>
                <w:rFonts w:cs="Arial"/>
              </w:rPr>
            </w:pPr>
            <w:r w:rsidRPr="009B7B35">
              <w:rPr>
                <w:rFonts w:cs="Arial"/>
              </w:rPr>
              <w:t>Community residence</w:t>
            </w:r>
          </w:p>
        </w:tc>
        <w:tc>
          <w:tcPr>
            <w:tcW w:w="6946" w:type="dxa"/>
            <w:gridSpan w:val="2"/>
            <w:shd w:val="clear" w:color="auto" w:fill="BFBFBF" w:themeFill="background1" w:themeFillShade="BF"/>
          </w:tcPr>
          <w:p w14:paraId="1BDE3E27"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2AD3365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tcPr>
          <w:p w14:paraId="6A1EC939" w14:textId="77777777" w:rsidR="00BE36FB" w:rsidRPr="009B7B35" w:rsidRDefault="00BE36FB" w:rsidP="001A7107">
            <w:pPr>
              <w:pStyle w:val="TableText"/>
              <w:rPr>
                <w:rFonts w:cs="Arial"/>
              </w:rPr>
            </w:pPr>
          </w:p>
        </w:tc>
        <w:tc>
          <w:tcPr>
            <w:tcW w:w="3473" w:type="dxa"/>
          </w:tcPr>
          <w:p w14:paraId="3A1A716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 xml:space="preserve">Editor's Note — Refer to the material change of use tables for category of assessment for community residence that do not comply with the requirements for accepted development. </w:t>
            </w:r>
          </w:p>
        </w:tc>
        <w:tc>
          <w:tcPr>
            <w:tcW w:w="3473" w:type="dxa"/>
          </w:tcPr>
          <w:p w14:paraId="237DC3F4" w14:textId="77777777" w:rsidR="00BE36FB" w:rsidRPr="009B7B35" w:rsidRDefault="00BE36FB" w:rsidP="001A7107">
            <w:pPr>
              <w:pStyle w:val="Notes"/>
              <w:spacing w:before="40" w:after="40"/>
              <w:cnfStyle w:val="000000010000" w:firstRow="0" w:lastRow="0" w:firstColumn="0" w:lastColumn="0" w:oddVBand="0" w:evenVBand="0" w:oddHBand="0" w:evenHBand="1" w:firstRowFirstColumn="0" w:firstRowLastColumn="0" w:lastRowFirstColumn="0" w:lastRowLastColumn="0"/>
              <w:rPr>
                <w:rFonts w:cs="Arial"/>
                <w:color w:val="auto"/>
                <w:sz w:val="20"/>
                <w:szCs w:val="20"/>
              </w:rPr>
            </w:pPr>
            <w:r w:rsidRPr="009B7B35">
              <w:rPr>
                <w:rFonts w:cs="Arial"/>
                <w:color w:val="auto"/>
                <w:sz w:val="20"/>
                <w:szCs w:val="20"/>
              </w:rPr>
              <w:t xml:space="preserve">Editor's Note — requirements for community residence development that may not be made assessable under a planning scheme are set out in schedule 6, part 2, item 6 of the Regulation. </w:t>
            </w:r>
          </w:p>
        </w:tc>
      </w:tr>
      <w:tr w:rsidR="00BE36FB" w:rsidRPr="009B7B35" w14:paraId="086BECC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restart"/>
          </w:tcPr>
          <w:p w14:paraId="03D790A1" w14:textId="77777777" w:rsidR="00BE36FB" w:rsidRPr="009B7B35" w:rsidRDefault="00BE36FB" w:rsidP="001A7107">
            <w:pPr>
              <w:pStyle w:val="TableText"/>
              <w:rPr>
                <w:rFonts w:cs="Arial"/>
              </w:rPr>
            </w:pPr>
            <w:r w:rsidRPr="009B7B35">
              <w:rPr>
                <w:rFonts w:cs="Arial"/>
              </w:rPr>
              <w:t>Particular cropping (involving forestry for wood production)</w:t>
            </w:r>
          </w:p>
        </w:tc>
        <w:tc>
          <w:tcPr>
            <w:tcW w:w="6946" w:type="dxa"/>
            <w:gridSpan w:val="2"/>
            <w:shd w:val="clear" w:color="auto" w:fill="BFBFBF" w:themeFill="background1" w:themeFillShade="BF"/>
          </w:tcPr>
          <w:p w14:paraId="7FD423BC"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52262C2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tcPr>
          <w:p w14:paraId="2F67E736" w14:textId="77777777" w:rsidR="00BE36FB" w:rsidRPr="009B7B35" w:rsidRDefault="00BE36FB" w:rsidP="001A7107">
            <w:pPr>
              <w:pStyle w:val="TableText"/>
              <w:rPr>
                <w:rFonts w:cs="Arial"/>
              </w:rPr>
            </w:pPr>
          </w:p>
        </w:tc>
        <w:tc>
          <w:tcPr>
            <w:tcW w:w="3473" w:type="dxa"/>
          </w:tcPr>
          <w:p w14:paraId="401DD6B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 xml:space="preserve">Editor's Note — Refer to the material change of use tables for category of assessment for cropping (involving forestry for wood production) that do not comply with the requirements for accepted development. </w:t>
            </w:r>
          </w:p>
        </w:tc>
        <w:tc>
          <w:tcPr>
            <w:tcW w:w="3473" w:type="dxa"/>
          </w:tcPr>
          <w:p w14:paraId="53C1F022" w14:textId="77777777" w:rsidR="00BE36FB" w:rsidRPr="009B7B35" w:rsidRDefault="00BE36FB" w:rsidP="001A7107">
            <w:pPr>
              <w:pStyle w:val="Notes"/>
              <w:spacing w:before="40" w:after="40"/>
              <w:cnfStyle w:val="000000010000" w:firstRow="0" w:lastRow="0" w:firstColumn="0" w:lastColumn="0" w:oddVBand="0" w:evenVBand="0" w:oddHBand="0" w:evenHBand="1" w:firstRowFirstColumn="0" w:firstRowLastColumn="0" w:lastRowFirstColumn="0" w:lastRowLastColumn="0"/>
              <w:rPr>
                <w:rFonts w:cs="Arial"/>
                <w:color w:val="auto"/>
                <w:sz w:val="20"/>
                <w:szCs w:val="20"/>
              </w:rPr>
            </w:pPr>
            <w:r w:rsidRPr="009B7B35">
              <w:rPr>
                <w:rFonts w:cs="Arial"/>
                <w:color w:val="auto"/>
                <w:sz w:val="20"/>
                <w:szCs w:val="20"/>
              </w:rPr>
              <w:t xml:space="preserve">Editor's Note — requirements for cropping (involving forestry for wood production) are now prescribed in schedule 13 of the Regulation. </w:t>
            </w:r>
          </w:p>
        </w:tc>
      </w:tr>
    </w:tbl>
    <w:p w14:paraId="1D78D246" w14:textId="77777777" w:rsidR="00BE36FB" w:rsidRPr="009B7B35" w:rsidRDefault="00BE36FB" w:rsidP="001A7107">
      <w:pPr>
        <w:pStyle w:val="Heading5"/>
        <w:numPr>
          <w:ilvl w:val="0"/>
          <w:numId w:val="0"/>
        </w:numPr>
        <w:rPr>
          <w:rFonts w:cs="Arial"/>
          <w:szCs w:val="20"/>
        </w:rPr>
      </w:pPr>
      <w:r w:rsidRPr="009B7B35">
        <w:rPr>
          <w:rFonts w:cs="Arial"/>
          <w:szCs w:val="20"/>
        </w:rPr>
        <w:t>Table 5.4.2—Regulated categories of development and categories of assessment: Reconfiguring a lot</w:t>
      </w:r>
    </w:p>
    <w:tbl>
      <w:tblPr>
        <w:tblStyle w:val="Tablestyle"/>
        <w:tblW w:w="0" w:type="auto"/>
        <w:tblLook w:val="04A0" w:firstRow="1" w:lastRow="0" w:firstColumn="1" w:lastColumn="0" w:noHBand="0" w:noVBand="1"/>
      </w:tblPr>
      <w:tblGrid>
        <w:gridCol w:w="2179"/>
        <w:gridCol w:w="3097"/>
        <w:gridCol w:w="3087"/>
      </w:tblGrid>
      <w:tr w:rsidR="00BE36FB" w:rsidRPr="009B7B35" w14:paraId="37345AED"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3F2795CE" w14:textId="77777777" w:rsidR="00BE36FB" w:rsidRPr="009B7B35" w:rsidRDefault="00BE36FB" w:rsidP="001A7107">
            <w:pPr>
              <w:pStyle w:val="TableText"/>
              <w:rPr>
                <w:rFonts w:cs="Arial"/>
              </w:rPr>
            </w:pPr>
            <w:r w:rsidRPr="009B7B35">
              <w:rPr>
                <w:rFonts w:cs="Arial"/>
              </w:rPr>
              <w:t>Zone</w:t>
            </w:r>
          </w:p>
        </w:tc>
        <w:tc>
          <w:tcPr>
            <w:tcW w:w="3473" w:type="dxa"/>
          </w:tcPr>
          <w:p w14:paraId="6CAAD986"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Categories of development and  assessment</w:t>
            </w:r>
          </w:p>
        </w:tc>
        <w:tc>
          <w:tcPr>
            <w:tcW w:w="3473" w:type="dxa"/>
          </w:tcPr>
          <w:p w14:paraId="7167D3C7"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Assessment benchmarks</w:t>
            </w:r>
          </w:p>
        </w:tc>
      </w:tr>
      <w:tr w:rsidR="00BE36FB" w:rsidRPr="009B7B35" w14:paraId="2D726A6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restart"/>
          </w:tcPr>
          <w:p w14:paraId="6E9103A5" w14:textId="77777777" w:rsidR="00BE36FB" w:rsidRPr="009B7B35" w:rsidRDefault="00BE36FB" w:rsidP="001A7107">
            <w:pPr>
              <w:pStyle w:val="TableText"/>
              <w:rPr>
                <w:rFonts w:cs="Arial"/>
              </w:rPr>
            </w:pPr>
            <w:r w:rsidRPr="009B7B35">
              <w:rPr>
                <w:rFonts w:cs="Arial"/>
              </w:rPr>
              <w:t>Residential zone category or industry zone category (other than a rural residential zone)</w:t>
            </w:r>
          </w:p>
        </w:tc>
        <w:tc>
          <w:tcPr>
            <w:tcW w:w="6946" w:type="dxa"/>
            <w:gridSpan w:val="2"/>
            <w:shd w:val="clear" w:color="auto" w:fill="BFBFBF" w:themeFill="background1" w:themeFillShade="BF"/>
          </w:tcPr>
          <w:p w14:paraId="4C45D112"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14:paraId="10972C1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tcPr>
          <w:p w14:paraId="196869C7" w14:textId="77777777" w:rsidR="00BE36FB" w:rsidRPr="009B7B35" w:rsidRDefault="00BE36FB" w:rsidP="001A7107">
            <w:pPr>
              <w:pStyle w:val="TableText"/>
              <w:rPr>
                <w:rFonts w:cs="Arial"/>
              </w:rPr>
            </w:pPr>
          </w:p>
        </w:tc>
        <w:tc>
          <w:tcPr>
            <w:tcW w:w="3473" w:type="dxa"/>
          </w:tcPr>
          <w:p w14:paraId="55AEBCE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Subdivision of one lot into two lots (and associated operational work) if code assessment is required under schedule 10 (part 12) of the Regulation.</w:t>
            </w:r>
          </w:p>
        </w:tc>
        <w:tc>
          <w:tcPr>
            <w:tcW w:w="3473" w:type="dxa"/>
          </w:tcPr>
          <w:p w14:paraId="2B91B9F1" w14:textId="77777777" w:rsidR="00BE36FB" w:rsidRPr="009B7B35" w:rsidRDefault="00BE36FB" w:rsidP="001A7107">
            <w:pPr>
              <w:pStyle w:val="Notes"/>
              <w:cnfStyle w:val="000000010000" w:firstRow="0" w:lastRow="0" w:firstColumn="0" w:lastColumn="0" w:oddVBand="0" w:evenVBand="0" w:oddHBand="0" w:evenHBand="1" w:firstRowFirstColumn="0" w:firstRowLastColumn="0" w:lastRowFirstColumn="0" w:lastRowLastColumn="0"/>
              <w:rPr>
                <w:rFonts w:cs="Arial"/>
                <w:color w:val="auto"/>
                <w:sz w:val="20"/>
                <w:szCs w:val="20"/>
              </w:rPr>
            </w:pPr>
            <w:r w:rsidRPr="009B7B35">
              <w:rPr>
                <w:rFonts w:cs="Arial"/>
                <w:color w:val="auto"/>
                <w:sz w:val="20"/>
                <w:szCs w:val="20"/>
              </w:rPr>
              <w:t xml:space="preserve">Editor's Note — Assessment benchmarks for the reconfiguring a lot are set out in schedule 12 of the Regulation. </w:t>
            </w:r>
          </w:p>
        </w:tc>
      </w:tr>
    </w:tbl>
    <w:p w14:paraId="12834A85" w14:textId="77777777" w:rsidR="00BE36FB" w:rsidRPr="009B7B35" w:rsidRDefault="00BE36FB" w:rsidP="001A7107">
      <w:pPr>
        <w:pStyle w:val="Heading5"/>
        <w:numPr>
          <w:ilvl w:val="0"/>
          <w:numId w:val="0"/>
        </w:numPr>
        <w:rPr>
          <w:rFonts w:cs="Arial"/>
          <w:szCs w:val="20"/>
        </w:rPr>
      </w:pPr>
      <w:r w:rsidRPr="009B7B35">
        <w:rPr>
          <w:rFonts w:cs="Arial"/>
          <w:szCs w:val="20"/>
        </w:rPr>
        <w:t>Table 5.4.3— Regulated categories of development and categories of assessment: Building work</w:t>
      </w:r>
    </w:p>
    <w:p w14:paraId="51CE93D3" w14:textId="77777777" w:rsidR="00BE36FB" w:rsidRPr="009B7B35" w:rsidRDefault="00BE36FB" w:rsidP="001A7107">
      <w:pPr>
        <w:rPr>
          <w:rFonts w:ascii="Arial" w:hAnsi="Arial" w:cs="Arial"/>
          <w:sz w:val="20"/>
          <w:szCs w:val="20"/>
        </w:rPr>
      </w:pPr>
      <w:r w:rsidRPr="009B7B35">
        <w:rPr>
          <w:rFonts w:ascii="Arial" w:hAnsi="Arial" w:cs="Arial"/>
          <w:sz w:val="20"/>
          <w:szCs w:val="20"/>
        </w:rPr>
        <w:t>Table not used.</w:t>
      </w:r>
    </w:p>
    <w:p w14:paraId="7D09F8BD" w14:textId="77777777" w:rsidR="00BE36FB" w:rsidRPr="009B7B35" w:rsidRDefault="00BE36FB" w:rsidP="001A7107">
      <w:pPr>
        <w:rPr>
          <w:rFonts w:ascii="Arial" w:hAnsi="Arial" w:cs="Arial"/>
          <w:sz w:val="20"/>
          <w:szCs w:val="20"/>
        </w:rPr>
      </w:pPr>
    </w:p>
    <w:p w14:paraId="02986ADE" w14:textId="77777777" w:rsidR="00BE36FB" w:rsidRPr="009B7B35" w:rsidRDefault="00BE36FB" w:rsidP="001A7107">
      <w:pPr>
        <w:pStyle w:val="Heading5"/>
        <w:numPr>
          <w:ilvl w:val="0"/>
          <w:numId w:val="0"/>
        </w:numPr>
        <w:rPr>
          <w:rFonts w:cs="Arial"/>
          <w:szCs w:val="20"/>
        </w:rPr>
      </w:pPr>
      <w:r w:rsidRPr="009B7B35">
        <w:rPr>
          <w:rFonts w:cs="Arial"/>
          <w:szCs w:val="20"/>
        </w:rPr>
        <w:t>Table 5.4.4— Regulated categories of development and categories of assessment: Operational work</w:t>
      </w:r>
    </w:p>
    <w:tbl>
      <w:tblPr>
        <w:tblStyle w:val="Tablestyle"/>
        <w:tblW w:w="0" w:type="auto"/>
        <w:tblLook w:val="04A0" w:firstRow="1" w:lastRow="0" w:firstColumn="1" w:lastColumn="0" w:noHBand="0" w:noVBand="1"/>
      </w:tblPr>
      <w:tblGrid>
        <w:gridCol w:w="2179"/>
        <w:gridCol w:w="3097"/>
        <w:gridCol w:w="3087"/>
      </w:tblGrid>
      <w:tr w:rsidR="00BE36FB" w:rsidRPr="009B7B35" w14:paraId="1AA140A0"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2C487209" w14:textId="77777777" w:rsidR="00BE36FB" w:rsidRPr="009B7B35" w:rsidRDefault="00BE36FB" w:rsidP="001A7107">
            <w:pPr>
              <w:pStyle w:val="TableText"/>
              <w:rPr>
                <w:rFonts w:cs="Arial"/>
              </w:rPr>
            </w:pPr>
            <w:r w:rsidRPr="009B7B35">
              <w:rPr>
                <w:rFonts w:cs="Arial"/>
              </w:rPr>
              <w:t>Zone</w:t>
            </w:r>
          </w:p>
        </w:tc>
        <w:tc>
          <w:tcPr>
            <w:tcW w:w="3473" w:type="dxa"/>
          </w:tcPr>
          <w:p w14:paraId="724B7D43"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Categories of development and  assessment</w:t>
            </w:r>
          </w:p>
        </w:tc>
        <w:tc>
          <w:tcPr>
            <w:tcW w:w="3473" w:type="dxa"/>
          </w:tcPr>
          <w:p w14:paraId="55117ACF"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Assessment benchmarks</w:t>
            </w:r>
          </w:p>
        </w:tc>
      </w:tr>
      <w:tr w:rsidR="00BE36FB" w:rsidRPr="009B7B35" w14:paraId="5AE22AF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restart"/>
          </w:tcPr>
          <w:p w14:paraId="37390368" w14:textId="77777777" w:rsidR="00BE36FB" w:rsidRPr="009B7B35" w:rsidRDefault="00BE36FB" w:rsidP="001A7107">
            <w:pPr>
              <w:pStyle w:val="TableText"/>
              <w:rPr>
                <w:rFonts w:cs="Arial"/>
              </w:rPr>
            </w:pPr>
            <w:r w:rsidRPr="009B7B35">
              <w:rPr>
                <w:rFonts w:cs="Arial"/>
              </w:rPr>
              <w:t>Residential zone category or industry zone category</w:t>
            </w:r>
          </w:p>
        </w:tc>
        <w:tc>
          <w:tcPr>
            <w:tcW w:w="6946" w:type="dxa"/>
            <w:gridSpan w:val="2"/>
            <w:shd w:val="clear" w:color="auto" w:fill="BFBFBF" w:themeFill="background1" w:themeFillShade="BF"/>
          </w:tcPr>
          <w:p w14:paraId="214478FC"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14:paraId="6307C93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tcPr>
          <w:p w14:paraId="31975A9D" w14:textId="77777777" w:rsidR="00BE36FB" w:rsidRPr="009B7B35" w:rsidRDefault="00BE36FB" w:rsidP="001A7107">
            <w:pPr>
              <w:pStyle w:val="TableText"/>
              <w:rPr>
                <w:rFonts w:cs="Arial"/>
              </w:rPr>
            </w:pPr>
          </w:p>
        </w:tc>
        <w:tc>
          <w:tcPr>
            <w:tcW w:w="3473" w:type="dxa"/>
          </w:tcPr>
          <w:p w14:paraId="167C0FC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Operational work associated with reconfiguring a lot requiring code assessment under schedule 10, part 12 division 2 of the Regulation.</w:t>
            </w:r>
          </w:p>
        </w:tc>
        <w:tc>
          <w:tcPr>
            <w:tcW w:w="3473" w:type="dxa"/>
          </w:tcPr>
          <w:p w14:paraId="3077125A" w14:textId="77777777" w:rsidR="00BE36FB" w:rsidRPr="009B7B35" w:rsidRDefault="00BE36FB" w:rsidP="001A7107">
            <w:pPr>
              <w:pStyle w:val="Notes"/>
              <w:cnfStyle w:val="000000010000" w:firstRow="0" w:lastRow="0" w:firstColumn="0" w:lastColumn="0" w:oddVBand="0" w:evenVBand="0" w:oddHBand="0" w:evenHBand="1" w:firstRowFirstColumn="0" w:firstRowLastColumn="0" w:lastRowFirstColumn="0" w:lastRowLastColumn="0"/>
              <w:rPr>
                <w:rFonts w:cs="Arial"/>
                <w:color w:val="auto"/>
                <w:sz w:val="20"/>
                <w:szCs w:val="20"/>
              </w:rPr>
            </w:pPr>
            <w:r w:rsidRPr="009B7B35">
              <w:rPr>
                <w:rFonts w:cs="Arial"/>
                <w:color w:val="auto"/>
                <w:sz w:val="20"/>
                <w:szCs w:val="20"/>
              </w:rPr>
              <w:t>Editor's Note — Assessment benchmarks for the reconfiguring a lot and associated operational works are set out in schedule 12 of the Regulation.</w:t>
            </w:r>
          </w:p>
        </w:tc>
      </w:tr>
    </w:tbl>
    <w:p w14:paraId="3CBFC1AA" w14:textId="77777777" w:rsidR="00BE36FB" w:rsidRPr="009B7B35" w:rsidRDefault="00BE36FB" w:rsidP="001A7107">
      <w:pPr>
        <w:pStyle w:val="Heading5"/>
        <w:numPr>
          <w:ilvl w:val="0"/>
          <w:numId w:val="0"/>
        </w:numPr>
        <w:rPr>
          <w:rFonts w:cs="Arial"/>
          <w:szCs w:val="20"/>
        </w:rPr>
      </w:pPr>
      <w:r w:rsidRPr="009B7B35">
        <w:rPr>
          <w:rFonts w:cs="Arial"/>
          <w:szCs w:val="20"/>
        </w:rPr>
        <w:t>Table 5.4.5— Regulated categories of development and categories of assessment: Overlays</w:t>
      </w:r>
    </w:p>
    <w:p w14:paraId="23755972" w14:textId="77777777" w:rsidR="00BE36FB" w:rsidRPr="009B7B35" w:rsidRDefault="00BE36FB" w:rsidP="001A7107">
      <w:pPr>
        <w:rPr>
          <w:rFonts w:ascii="Arial" w:hAnsi="Arial" w:cs="Arial"/>
          <w:sz w:val="20"/>
          <w:szCs w:val="20"/>
        </w:rPr>
      </w:pPr>
      <w:r w:rsidRPr="009B7B35">
        <w:rPr>
          <w:rFonts w:ascii="Arial" w:hAnsi="Arial" w:cs="Arial"/>
          <w:sz w:val="20"/>
          <w:szCs w:val="20"/>
        </w:rPr>
        <w:t>Table not used.</w:t>
      </w:r>
    </w:p>
    <w:p w14:paraId="67F53737" w14:textId="77777777" w:rsidR="00BE36FB" w:rsidRPr="009B7B35" w:rsidRDefault="00BE36FB" w:rsidP="006776DA">
      <w:pPr>
        <w:pStyle w:val="Heading2"/>
        <w:numPr>
          <w:ilvl w:val="1"/>
          <w:numId w:val="883"/>
        </w:numPr>
        <w:ind w:left="567" w:hanging="567"/>
        <w:rPr>
          <w:rFonts w:ascii="Arial" w:hAnsi="Arial"/>
          <w:sz w:val="20"/>
          <w:szCs w:val="20"/>
        </w:rPr>
      </w:pPr>
      <w:bookmarkStart w:id="170" w:name="_Toc205367337"/>
      <w:r w:rsidRPr="009B7B35">
        <w:rPr>
          <w:rFonts w:ascii="Arial" w:hAnsi="Arial"/>
          <w:sz w:val="20"/>
          <w:szCs w:val="20"/>
        </w:rPr>
        <w:t>Categories of development and assessment—Material change of use</w:t>
      </w:r>
      <w:bookmarkEnd w:id="170"/>
    </w:p>
    <w:p w14:paraId="455419CA" w14:textId="77777777" w:rsidR="00BE36FB" w:rsidRPr="009B7B35" w:rsidRDefault="00BE36FB" w:rsidP="001A7107">
      <w:pPr>
        <w:rPr>
          <w:rFonts w:ascii="Arial" w:hAnsi="Arial" w:cs="Arial"/>
          <w:sz w:val="20"/>
          <w:szCs w:val="20"/>
        </w:rPr>
      </w:pPr>
      <w:r w:rsidRPr="009B7B35">
        <w:rPr>
          <w:rFonts w:ascii="Arial" w:hAnsi="Arial" w:cs="Arial"/>
          <w:sz w:val="20"/>
          <w:szCs w:val="20"/>
        </w:rPr>
        <w:t>The following tables identify the categories of development and assessment for development in a zone for making a material change of use.</w:t>
      </w:r>
    </w:p>
    <w:p w14:paraId="466E27EF" w14:textId="77777777" w:rsidR="00BE36FB" w:rsidRPr="009B7B35" w:rsidRDefault="00BE36FB" w:rsidP="001A7107">
      <w:pPr>
        <w:pStyle w:val="Heading5"/>
        <w:numPr>
          <w:ilvl w:val="0"/>
          <w:numId w:val="0"/>
        </w:numPr>
        <w:rPr>
          <w:rFonts w:cs="Arial"/>
          <w:szCs w:val="20"/>
        </w:rPr>
      </w:pPr>
      <w:r w:rsidRPr="009B7B35">
        <w:rPr>
          <w:rFonts w:cs="Arial"/>
          <w:szCs w:val="20"/>
        </w:rPr>
        <w:t>Table 5.5.1—Low density residential zone</w:t>
      </w:r>
    </w:p>
    <w:tbl>
      <w:tblPr>
        <w:tblStyle w:val="Tablestyle"/>
        <w:tblW w:w="4933" w:type="pct"/>
        <w:tblInd w:w="71" w:type="dxa"/>
        <w:tblLook w:val="04A0" w:firstRow="1" w:lastRow="0" w:firstColumn="1" w:lastColumn="0" w:noHBand="0" w:noVBand="1"/>
      </w:tblPr>
      <w:tblGrid>
        <w:gridCol w:w="2107"/>
        <w:gridCol w:w="3110"/>
        <w:gridCol w:w="3090"/>
      </w:tblGrid>
      <w:tr w:rsidR="00BE36FB" w:rsidRPr="009B7B35" w14:paraId="33E5E7B8"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268" w:type="pct"/>
          </w:tcPr>
          <w:p w14:paraId="0AFED598" w14:textId="77777777" w:rsidR="00BE36FB" w:rsidRPr="009B7B35" w:rsidRDefault="00BE36FB" w:rsidP="001A7107">
            <w:pPr>
              <w:pStyle w:val="TableText"/>
              <w:rPr>
                <w:rFonts w:cs="Arial"/>
              </w:rPr>
            </w:pPr>
            <w:r w:rsidRPr="009B7B35">
              <w:rPr>
                <w:rFonts w:cs="Arial"/>
              </w:rPr>
              <w:t>Use</w:t>
            </w:r>
          </w:p>
        </w:tc>
        <w:tc>
          <w:tcPr>
            <w:tcW w:w="1872" w:type="pct"/>
          </w:tcPr>
          <w:p w14:paraId="6D54CC8E"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Categories of development and  assessment</w:t>
            </w:r>
          </w:p>
        </w:tc>
        <w:tc>
          <w:tcPr>
            <w:tcW w:w="1860" w:type="pct"/>
          </w:tcPr>
          <w:p w14:paraId="69386775"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Assessment benchmarks for assessable development and requirements for accepted development</w:t>
            </w:r>
          </w:p>
        </w:tc>
      </w:tr>
      <w:tr w:rsidR="00BE36FB" w:rsidRPr="009B7B35" w14:paraId="7F5BCC34"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val="restart"/>
          </w:tcPr>
          <w:p w14:paraId="15F74D1F" w14:textId="77777777" w:rsidR="00BE36FB" w:rsidRPr="009B7B35" w:rsidRDefault="00BE36FB" w:rsidP="001A7107">
            <w:pPr>
              <w:pStyle w:val="TableText"/>
              <w:rPr>
                <w:rFonts w:cs="Arial"/>
              </w:rPr>
            </w:pPr>
            <w:r w:rsidRPr="009B7B35">
              <w:rPr>
                <w:rFonts w:cs="Arial"/>
              </w:rPr>
              <w:t>Caretaker accommodation</w:t>
            </w:r>
          </w:p>
          <w:p w14:paraId="4B56587B" w14:textId="77777777" w:rsidR="00BE36FB" w:rsidRPr="009B7B35" w:rsidRDefault="00BE36FB" w:rsidP="001A7107">
            <w:pPr>
              <w:pStyle w:val="TableText"/>
              <w:rPr>
                <w:rFonts w:cs="Arial"/>
              </w:rPr>
            </w:pPr>
            <w:r w:rsidRPr="009B7B35">
              <w:rPr>
                <w:rFonts w:cs="Arial"/>
              </w:rPr>
              <w:t>Dual occupancy</w:t>
            </w:r>
          </w:p>
          <w:p w14:paraId="4A8D45B1" w14:textId="77777777" w:rsidR="00BE36FB" w:rsidRPr="009B7B35" w:rsidRDefault="00BE36FB" w:rsidP="001A7107">
            <w:pPr>
              <w:pStyle w:val="TableText"/>
              <w:rPr>
                <w:rFonts w:cs="Arial"/>
              </w:rPr>
            </w:pPr>
            <w:r w:rsidRPr="009B7B35">
              <w:rPr>
                <w:rFonts w:cs="Arial"/>
              </w:rPr>
              <w:t>Dwelling house</w:t>
            </w:r>
          </w:p>
          <w:p w14:paraId="28B77D6E" w14:textId="77777777" w:rsidR="00BE36FB" w:rsidRPr="009B7B35" w:rsidRDefault="00BE36FB" w:rsidP="001A7107">
            <w:pPr>
              <w:pStyle w:val="TableText"/>
              <w:rPr>
                <w:rFonts w:cs="Arial"/>
              </w:rPr>
            </w:pPr>
            <w:r w:rsidRPr="009B7B35">
              <w:rPr>
                <w:rFonts w:cs="Arial"/>
              </w:rPr>
              <w:t>Sales office</w:t>
            </w:r>
          </w:p>
        </w:tc>
        <w:tc>
          <w:tcPr>
            <w:tcW w:w="3732" w:type="pct"/>
            <w:gridSpan w:val="2"/>
            <w:shd w:val="clear" w:color="auto" w:fill="BFBFBF" w:themeFill="background1" w:themeFillShade="BF"/>
          </w:tcPr>
          <w:p w14:paraId="2253AE8B"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2737D9A5"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tcPr>
          <w:p w14:paraId="7FB5F28E" w14:textId="77777777" w:rsidR="00BE36FB" w:rsidRPr="009B7B35" w:rsidRDefault="00BE36FB" w:rsidP="001A7107">
            <w:pPr>
              <w:pStyle w:val="TableText"/>
              <w:rPr>
                <w:rFonts w:cs="Arial"/>
              </w:rPr>
            </w:pPr>
          </w:p>
        </w:tc>
        <w:tc>
          <w:tcPr>
            <w:tcW w:w="1872" w:type="pct"/>
          </w:tcPr>
          <w:p w14:paraId="0227219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complying with the relevant accepted development acceptable outcomes.</w:t>
            </w:r>
          </w:p>
        </w:tc>
        <w:tc>
          <w:tcPr>
            <w:tcW w:w="1860" w:type="pct"/>
          </w:tcPr>
          <w:p w14:paraId="3241001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14:paraId="02AC4DF8"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Low density residential zone code</w:t>
            </w:r>
          </w:p>
        </w:tc>
      </w:tr>
      <w:tr w:rsidR="00BE36FB" w:rsidRPr="009B7B35" w14:paraId="23C1B7A9"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val="restart"/>
          </w:tcPr>
          <w:p w14:paraId="24A54B6A" w14:textId="77777777" w:rsidR="00BE36FB" w:rsidRPr="009B7B35" w:rsidRDefault="00BE36FB" w:rsidP="001A7107">
            <w:pPr>
              <w:pStyle w:val="TableText"/>
              <w:rPr>
                <w:rFonts w:cs="Arial"/>
              </w:rPr>
            </w:pPr>
            <w:r w:rsidRPr="009B7B35">
              <w:rPr>
                <w:rFonts w:cs="Arial"/>
              </w:rPr>
              <w:t>Emergency services</w:t>
            </w:r>
          </w:p>
          <w:p w14:paraId="744ADC06" w14:textId="77777777" w:rsidR="00BE36FB" w:rsidRPr="009B7B35" w:rsidRDefault="00BE36FB" w:rsidP="001A7107">
            <w:pPr>
              <w:pStyle w:val="TableText"/>
              <w:rPr>
                <w:rFonts w:cs="Arial"/>
              </w:rPr>
            </w:pPr>
            <w:r w:rsidRPr="009B7B35">
              <w:rPr>
                <w:rFonts w:cs="Arial"/>
              </w:rPr>
              <w:t>Substation</w:t>
            </w:r>
          </w:p>
          <w:p w14:paraId="76E7CD0F" w14:textId="77777777" w:rsidR="00BE36FB" w:rsidRPr="009B7B35" w:rsidRDefault="00BE36FB" w:rsidP="001A7107">
            <w:pPr>
              <w:pStyle w:val="TableText"/>
              <w:rPr>
                <w:rFonts w:cs="Arial"/>
              </w:rPr>
            </w:pPr>
            <w:r w:rsidRPr="009B7B35">
              <w:rPr>
                <w:rFonts w:cs="Arial"/>
              </w:rPr>
              <w:t>Utility installation</w:t>
            </w:r>
          </w:p>
        </w:tc>
        <w:tc>
          <w:tcPr>
            <w:tcW w:w="3732" w:type="pct"/>
            <w:gridSpan w:val="2"/>
            <w:shd w:val="clear" w:color="auto" w:fill="BFBFBF" w:themeFill="background1" w:themeFillShade="BF"/>
          </w:tcPr>
          <w:p w14:paraId="35B2B475"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7EEDFACF"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tcPr>
          <w:p w14:paraId="59AF88FD" w14:textId="77777777" w:rsidR="00BE36FB" w:rsidRPr="009B7B35" w:rsidRDefault="00BE36FB" w:rsidP="001A7107">
            <w:pPr>
              <w:pStyle w:val="TableText"/>
              <w:rPr>
                <w:rFonts w:cs="Arial"/>
              </w:rPr>
            </w:pPr>
          </w:p>
        </w:tc>
        <w:tc>
          <w:tcPr>
            <w:tcW w:w="1872" w:type="pct"/>
          </w:tcPr>
          <w:p w14:paraId="3E272D6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 xml:space="preserve">For a substation if undertaken by an electrical entity. </w:t>
            </w:r>
          </w:p>
          <w:p w14:paraId="0005739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Otherwise, where undertaken by a public sector entity and the development footprint is less than 500m</w:t>
            </w:r>
            <w:r w:rsidRPr="009B7B35">
              <w:rPr>
                <w:rStyle w:val="StyleSuperscript"/>
                <w:rFonts w:cs="Arial"/>
                <w:color w:val="auto"/>
              </w:rPr>
              <w:t>2</w:t>
            </w:r>
            <w:r w:rsidRPr="009B7B35">
              <w:rPr>
                <w:rFonts w:cs="Arial"/>
                <w:color w:val="auto"/>
              </w:rPr>
              <w:t>.</w:t>
            </w:r>
          </w:p>
        </w:tc>
        <w:tc>
          <w:tcPr>
            <w:tcW w:w="1860" w:type="pct"/>
          </w:tcPr>
          <w:p w14:paraId="6C2FC03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Not applicable</w:t>
            </w:r>
          </w:p>
        </w:tc>
      </w:tr>
      <w:tr w:rsidR="00BE36FB" w:rsidRPr="009B7B35" w14:paraId="7EE6A0ED"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tcPr>
          <w:p w14:paraId="0ABBD682" w14:textId="77777777" w:rsidR="00BE36FB" w:rsidRPr="009B7B35" w:rsidRDefault="00BE36FB" w:rsidP="001A7107">
            <w:pPr>
              <w:pStyle w:val="TableText"/>
              <w:rPr>
                <w:rFonts w:cs="Arial"/>
              </w:rPr>
            </w:pPr>
          </w:p>
        </w:tc>
        <w:tc>
          <w:tcPr>
            <w:tcW w:w="3732" w:type="pct"/>
            <w:gridSpan w:val="2"/>
            <w:shd w:val="clear" w:color="auto" w:fill="BFBFBF" w:themeFill="background1" w:themeFillShade="BF"/>
          </w:tcPr>
          <w:p w14:paraId="6320DDB7"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14:paraId="3229341E"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tcPr>
          <w:p w14:paraId="70B89011" w14:textId="77777777" w:rsidR="00BE36FB" w:rsidRPr="009B7B35" w:rsidRDefault="00BE36FB" w:rsidP="001A7107">
            <w:pPr>
              <w:pStyle w:val="TableText"/>
              <w:rPr>
                <w:rFonts w:cs="Arial"/>
              </w:rPr>
            </w:pPr>
          </w:p>
        </w:tc>
        <w:tc>
          <w:tcPr>
            <w:tcW w:w="1872" w:type="pct"/>
          </w:tcPr>
          <w:p w14:paraId="737BD2A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Where undertaken by a public sector entity and the development footprint is 500m</w:t>
            </w:r>
            <w:r w:rsidRPr="009B7B35">
              <w:rPr>
                <w:rStyle w:val="StyleSuperscript"/>
                <w:rFonts w:cs="Arial"/>
                <w:color w:val="auto"/>
              </w:rPr>
              <w:t>2</w:t>
            </w:r>
            <w:r w:rsidRPr="009B7B35">
              <w:rPr>
                <w:rFonts w:cs="Arial"/>
                <w:color w:val="auto"/>
              </w:rPr>
              <w:t xml:space="preserve"> or greater.</w:t>
            </w:r>
          </w:p>
          <w:p w14:paraId="704C97C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not undertaken by a public sector entity.</w:t>
            </w:r>
          </w:p>
        </w:tc>
        <w:tc>
          <w:tcPr>
            <w:tcW w:w="1860" w:type="pct"/>
          </w:tcPr>
          <w:p w14:paraId="45684C3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14:paraId="4D3FE0F9"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Low density residential zone code</w:t>
            </w:r>
          </w:p>
          <w:p w14:paraId="26A67CE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 development codes:</w:t>
            </w:r>
          </w:p>
          <w:p w14:paraId="5C11CE6E"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Development design code</w:t>
            </w:r>
          </w:p>
        </w:tc>
      </w:tr>
      <w:tr w:rsidR="00BE36FB" w:rsidRPr="009B7B35" w14:paraId="1F41051D"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val="restart"/>
          </w:tcPr>
          <w:p w14:paraId="71C13AC9" w14:textId="77777777" w:rsidR="00BE36FB" w:rsidRPr="009B7B35" w:rsidRDefault="00BE36FB" w:rsidP="001A7107">
            <w:pPr>
              <w:pStyle w:val="TableText"/>
              <w:rPr>
                <w:rFonts w:cs="Arial"/>
              </w:rPr>
            </w:pPr>
            <w:r w:rsidRPr="009B7B35">
              <w:rPr>
                <w:rFonts w:cs="Arial"/>
              </w:rPr>
              <w:t>Home based business</w:t>
            </w:r>
          </w:p>
        </w:tc>
        <w:tc>
          <w:tcPr>
            <w:tcW w:w="3732" w:type="pct"/>
            <w:gridSpan w:val="2"/>
            <w:shd w:val="clear" w:color="auto" w:fill="BFBFBF" w:themeFill="background1" w:themeFillShade="BF"/>
          </w:tcPr>
          <w:p w14:paraId="1CF933B2"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5470EBE9"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tcPr>
          <w:p w14:paraId="1C6DEE06" w14:textId="77777777" w:rsidR="00BE36FB" w:rsidRPr="009B7B35" w:rsidRDefault="00BE36FB" w:rsidP="001A7107">
            <w:pPr>
              <w:pStyle w:val="TableText"/>
              <w:rPr>
                <w:rFonts w:cs="Arial"/>
              </w:rPr>
            </w:pPr>
          </w:p>
        </w:tc>
        <w:tc>
          <w:tcPr>
            <w:tcW w:w="1872" w:type="pct"/>
          </w:tcPr>
          <w:p w14:paraId="4051106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complying with the relevant accepted development acceptable outcomes.</w:t>
            </w:r>
          </w:p>
        </w:tc>
        <w:tc>
          <w:tcPr>
            <w:tcW w:w="1860" w:type="pct"/>
          </w:tcPr>
          <w:p w14:paraId="00EF306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Use code:</w:t>
            </w:r>
          </w:p>
          <w:p w14:paraId="732102AF"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Home based business code</w:t>
            </w:r>
          </w:p>
        </w:tc>
      </w:tr>
      <w:tr w:rsidR="00BE36FB" w:rsidRPr="009B7B35" w14:paraId="0005E5E3"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val="restart"/>
          </w:tcPr>
          <w:p w14:paraId="0B172416" w14:textId="77777777" w:rsidR="00BE36FB" w:rsidRPr="009B7B35" w:rsidRDefault="00BE36FB" w:rsidP="001A7107">
            <w:pPr>
              <w:pStyle w:val="TableText"/>
              <w:rPr>
                <w:rFonts w:cs="Arial"/>
              </w:rPr>
            </w:pPr>
            <w:r w:rsidRPr="009B7B35">
              <w:rPr>
                <w:rFonts w:cs="Arial"/>
              </w:rPr>
              <w:t>Landing*</w:t>
            </w:r>
          </w:p>
          <w:p w14:paraId="11D01CB0" w14:textId="77777777" w:rsidR="00BE36FB" w:rsidRPr="009B7B35" w:rsidRDefault="00BE36FB" w:rsidP="001A7107">
            <w:pPr>
              <w:pStyle w:val="TableText"/>
              <w:rPr>
                <w:rFonts w:cs="Arial"/>
              </w:rPr>
            </w:pPr>
            <w:r w:rsidRPr="009B7B35">
              <w:rPr>
                <w:rFonts w:cs="Arial"/>
              </w:rPr>
              <w:t>Park</w:t>
            </w:r>
          </w:p>
          <w:p w14:paraId="77E9445B"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tcW w:w="3732" w:type="pct"/>
            <w:gridSpan w:val="2"/>
            <w:shd w:val="clear" w:color="auto" w:fill="BFBFBF" w:themeFill="background1" w:themeFillShade="BF"/>
          </w:tcPr>
          <w:p w14:paraId="4AF04EA5"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w:t>
            </w:r>
          </w:p>
        </w:tc>
      </w:tr>
      <w:tr w:rsidR="00BE36FB" w:rsidRPr="009B7B35" w14:paraId="0C9FABDF"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tcPr>
          <w:p w14:paraId="7D50F60D" w14:textId="77777777" w:rsidR="00BE36FB" w:rsidRPr="009B7B35" w:rsidRDefault="00BE36FB" w:rsidP="001A7107">
            <w:pPr>
              <w:pStyle w:val="TableText"/>
              <w:rPr>
                <w:rFonts w:cs="Arial"/>
              </w:rPr>
            </w:pPr>
          </w:p>
        </w:tc>
        <w:tc>
          <w:tcPr>
            <w:tcW w:w="1872" w:type="pct"/>
          </w:tcPr>
          <w:p w14:paraId="25FC409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 xml:space="preserve">Development approval is not required. </w:t>
            </w:r>
          </w:p>
        </w:tc>
        <w:tc>
          <w:tcPr>
            <w:tcW w:w="1860" w:type="pct"/>
          </w:tcPr>
          <w:p w14:paraId="5946CFD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Not applicable</w:t>
            </w:r>
          </w:p>
        </w:tc>
      </w:tr>
      <w:tr w:rsidR="00BE36FB" w:rsidRPr="009B7B35" w14:paraId="4C933769"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val="restart"/>
          </w:tcPr>
          <w:p w14:paraId="649131CC" w14:textId="77777777" w:rsidR="00BE36FB" w:rsidRPr="009B7B35" w:rsidRDefault="00BE36FB" w:rsidP="001A7107">
            <w:pPr>
              <w:pStyle w:val="TableText"/>
              <w:rPr>
                <w:rFonts w:cs="Arial"/>
              </w:rPr>
            </w:pPr>
            <w:r w:rsidRPr="009B7B35">
              <w:rPr>
                <w:rFonts w:cs="Arial"/>
              </w:rPr>
              <w:t>Shop</w:t>
            </w:r>
          </w:p>
          <w:p w14:paraId="31304A42" w14:textId="77777777" w:rsidR="00BE36FB" w:rsidRPr="009B7B35" w:rsidRDefault="00BE36FB" w:rsidP="001A7107">
            <w:pPr>
              <w:pStyle w:val="TableText"/>
              <w:rPr>
                <w:rFonts w:cs="Arial"/>
              </w:rPr>
            </w:pPr>
            <w:r w:rsidRPr="009B7B35">
              <w:rPr>
                <w:rFonts w:cs="Arial"/>
              </w:rPr>
              <w:t>Food and drink outlet</w:t>
            </w:r>
          </w:p>
        </w:tc>
        <w:tc>
          <w:tcPr>
            <w:tcW w:w="3732" w:type="pct"/>
            <w:gridSpan w:val="2"/>
            <w:shd w:val="clear" w:color="auto" w:fill="BFBFBF" w:themeFill="background1" w:themeFillShade="BF"/>
          </w:tcPr>
          <w:p w14:paraId="249D9614"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14:paraId="225D09D1"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8" w:type="pct"/>
            <w:vMerge/>
          </w:tcPr>
          <w:p w14:paraId="46C18F2F" w14:textId="77777777" w:rsidR="00BE36FB" w:rsidRPr="009B7B35" w:rsidRDefault="00BE36FB" w:rsidP="001A7107">
            <w:pPr>
              <w:pStyle w:val="TableText"/>
              <w:rPr>
                <w:rFonts w:cs="Arial"/>
              </w:rPr>
            </w:pPr>
          </w:p>
        </w:tc>
        <w:tc>
          <w:tcPr>
            <w:tcW w:w="1872" w:type="pct"/>
          </w:tcPr>
          <w:p w14:paraId="0A9EE85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using an existing non–residential building</w:t>
            </w:r>
          </w:p>
        </w:tc>
        <w:tc>
          <w:tcPr>
            <w:tcW w:w="1860" w:type="pct"/>
          </w:tcPr>
          <w:p w14:paraId="0D43815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14:paraId="71C66BA7"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Low density residential zone code</w:t>
            </w:r>
          </w:p>
          <w:p w14:paraId="641CDF9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 development codes:</w:t>
            </w:r>
          </w:p>
          <w:p w14:paraId="42B9F89F"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Development design code</w:t>
            </w:r>
          </w:p>
          <w:p w14:paraId="7383CD04"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Landscaping code</w:t>
            </w:r>
          </w:p>
        </w:tc>
      </w:tr>
      <w:tr w:rsidR="00BE36FB" w:rsidRPr="009B7B35" w14:paraId="66944B8D"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tcPr>
          <w:p w14:paraId="664E5809"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0232784A"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40" w:type="pct"/>
            <w:gridSpan w:val="2"/>
          </w:tcPr>
          <w:p w14:paraId="62234AD8" w14:textId="77777777" w:rsidR="00BE36FB" w:rsidRPr="009B7B35" w:rsidRDefault="00BE36FB" w:rsidP="001A7107">
            <w:pPr>
              <w:pStyle w:val="TableText"/>
              <w:rPr>
                <w:rFonts w:cs="Arial"/>
              </w:rPr>
            </w:pPr>
            <w:r w:rsidRPr="009B7B35">
              <w:rPr>
                <w:rFonts w:cs="Arial"/>
              </w:rPr>
              <w:t>Any other use not listed in this table.</w:t>
            </w:r>
          </w:p>
          <w:p w14:paraId="7EFB2C83" w14:textId="77777777" w:rsidR="00BE36FB" w:rsidRPr="009B7B35" w:rsidRDefault="00BE36FB" w:rsidP="001A7107">
            <w:pPr>
              <w:pStyle w:val="TableText"/>
              <w:rPr>
                <w:rFonts w:cs="Arial"/>
              </w:rPr>
            </w:pPr>
            <w:r w:rsidRPr="009B7B35">
              <w:rPr>
                <w:rFonts w:cs="Arial"/>
                <w:lang w:val="en-GB"/>
              </w:rPr>
              <w:t>Any use listed in the table as Code Assessment and not complying with the criteria in the ‘Categories of development and assessment’ column.</w:t>
            </w:r>
          </w:p>
          <w:p w14:paraId="04E79AF3" w14:textId="77777777" w:rsidR="00BE36FB" w:rsidRPr="009B7B35" w:rsidRDefault="00BE36FB" w:rsidP="001A7107">
            <w:pPr>
              <w:pStyle w:val="TableText"/>
              <w:rPr>
                <w:rFonts w:cs="Arial"/>
              </w:rPr>
            </w:pPr>
            <w:r w:rsidRPr="009B7B35">
              <w:rPr>
                <w:rFonts w:cs="Arial"/>
              </w:rPr>
              <w:t>Any other undefined use.</w:t>
            </w:r>
          </w:p>
        </w:tc>
        <w:tc>
          <w:tcPr>
            <w:tcW w:w="1860" w:type="pct"/>
          </w:tcPr>
          <w:p w14:paraId="44300B6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The planning scheme</w:t>
            </w:r>
          </w:p>
        </w:tc>
      </w:tr>
    </w:tbl>
    <w:p w14:paraId="653D6AC0" w14:textId="77777777" w:rsidR="00BE36FB" w:rsidRPr="009B7B35" w:rsidRDefault="00BE36FB" w:rsidP="001A7107">
      <w:pPr>
        <w:pStyle w:val="Heading5"/>
        <w:numPr>
          <w:ilvl w:val="0"/>
          <w:numId w:val="0"/>
        </w:numPr>
        <w:rPr>
          <w:rFonts w:cs="Arial"/>
          <w:szCs w:val="20"/>
        </w:rPr>
      </w:pPr>
      <w:r w:rsidRPr="009B7B35">
        <w:rPr>
          <w:rFonts w:cs="Arial"/>
          <w:szCs w:val="20"/>
        </w:rPr>
        <w:t>Table 5.5.2—Low–medium density residential zone</w:t>
      </w:r>
    </w:p>
    <w:tbl>
      <w:tblPr>
        <w:tblStyle w:val="Tablestyle"/>
        <w:tblW w:w="9356" w:type="dxa"/>
        <w:tblLook w:val="01E0" w:firstRow="1" w:lastRow="1" w:firstColumn="1" w:lastColumn="1" w:noHBand="0" w:noVBand="0"/>
      </w:tblPr>
      <w:tblGrid>
        <w:gridCol w:w="2409"/>
        <w:gridCol w:w="3473"/>
        <w:gridCol w:w="3474"/>
      </w:tblGrid>
      <w:tr w:rsidR="00BE36FB" w:rsidRPr="009B7B35" w14:paraId="3853E3F0" w14:textId="77777777"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9" w:type="dxa"/>
          </w:tcPr>
          <w:p w14:paraId="0035269E"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3" w:type="dxa"/>
          </w:tcPr>
          <w:p w14:paraId="12171DDE"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4" w:type="dxa"/>
          </w:tcPr>
          <w:p w14:paraId="1BE19668"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3290F98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055C372C" w14:textId="77777777" w:rsidR="00BE36FB" w:rsidRPr="009B7B35" w:rsidRDefault="00BE36FB" w:rsidP="001A7107">
            <w:pPr>
              <w:pStyle w:val="TableText"/>
              <w:rPr>
                <w:rFonts w:cs="Arial"/>
              </w:rPr>
            </w:pPr>
            <w:r w:rsidRPr="009B7B35">
              <w:rPr>
                <w:rFonts w:cs="Arial"/>
              </w:rPr>
              <w:t>Caretaker’s accommodation</w:t>
            </w:r>
          </w:p>
          <w:p w14:paraId="3DBD4350" w14:textId="77777777" w:rsidR="00BE36FB" w:rsidRPr="009B7B35" w:rsidRDefault="00BE36FB" w:rsidP="001A7107">
            <w:pPr>
              <w:pStyle w:val="TableText"/>
              <w:rPr>
                <w:rFonts w:cs="Arial"/>
              </w:rPr>
            </w:pPr>
            <w:r w:rsidRPr="009B7B35">
              <w:rPr>
                <w:rFonts w:cs="Arial"/>
              </w:rPr>
              <w:t>Dual occupancy</w:t>
            </w:r>
          </w:p>
          <w:p w14:paraId="20CC33F9" w14:textId="77777777" w:rsidR="00BE36FB" w:rsidRPr="009B7B35" w:rsidRDefault="00BE36FB" w:rsidP="001A7107">
            <w:pPr>
              <w:pStyle w:val="TableText"/>
              <w:rPr>
                <w:rFonts w:cs="Arial"/>
              </w:rPr>
            </w:pPr>
            <w:r w:rsidRPr="009B7B35">
              <w:rPr>
                <w:rFonts w:cs="Arial"/>
              </w:rPr>
              <w:t>Dwelling house</w:t>
            </w:r>
          </w:p>
          <w:p w14:paraId="54F29E1D" w14:textId="77777777" w:rsidR="00BE36FB" w:rsidRPr="009B7B35" w:rsidRDefault="00BE36FB" w:rsidP="001A7107">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47" w:type="dxa"/>
            <w:gridSpan w:val="2"/>
            <w:shd w:val="clear" w:color="auto" w:fill="BFBFBF" w:themeFill="background1" w:themeFillShade="BF"/>
          </w:tcPr>
          <w:p w14:paraId="7AA8A363"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7F85F790" w14:textId="77777777" w:rsidTr="001A7107">
        <w:trPr>
          <w:cnfStyle w:val="000000010000" w:firstRow="0" w:lastRow="0" w:firstColumn="0" w:lastColumn="0" w:oddVBand="0" w:evenVBand="0" w:oddHBand="0" w:evenHBand="1"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409" w:type="dxa"/>
            <w:vMerge/>
          </w:tcPr>
          <w:p w14:paraId="7EC1DE3F"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3" w:type="dxa"/>
          </w:tcPr>
          <w:p w14:paraId="6E782326"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4" w:type="dxa"/>
          </w:tcPr>
          <w:p w14:paraId="11E96A36" w14:textId="77777777" w:rsidR="00BE36FB" w:rsidRPr="009B7B35" w:rsidRDefault="00BE36FB" w:rsidP="001A7107">
            <w:pPr>
              <w:pStyle w:val="TableText"/>
              <w:rPr>
                <w:rFonts w:cs="Arial"/>
                <w:color w:val="auto"/>
              </w:rPr>
            </w:pPr>
            <w:r w:rsidRPr="009B7B35">
              <w:rPr>
                <w:rFonts w:cs="Arial"/>
                <w:color w:val="auto"/>
              </w:rPr>
              <w:t>Zone code:</w:t>
            </w:r>
          </w:p>
          <w:p w14:paraId="429C4167"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Low–medium density residential zone code</w:t>
            </w:r>
          </w:p>
        </w:tc>
      </w:tr>
      <w:tr w:rsidR="00BE36FB" w:rsidRPr="009B7B35" w14:paraId="2101982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517745C6" w14:textId="77777777" w:rsidR="00BE36FB" w:rsidRPr="009B7B35" w:rsidRDefault="00BE36FB" w:rsidP="001A7107">
            <w:pPr>
              <w:pStyle w:val="TableText"/>
              <w:rPr>
                <w:rFonts w:cs="Arial"/>
              </w:rPr>
            </w:pPr>
            <w:r w:rsidRPr="009B7B35">
              <w:rPr>
                <w:rFonts w:cs="Arial"/>
              </w:rPr>
              <w:t>Child care centre</w:t>
            </w:r>
          </w:p>
          <w:p w14:paraId="67BC9D83" w14:textId="77777777" w:rsidR="00BE36FB" w:rsidRPr="009B7B35" w:rsidRDefault="00BE36FB" w:rsidP="001A7107">
            <w:pPr>
              <w:pStyle w:val="TableText"/>
              <w:rPr>
                <w:rFonts w:cs="Arial"/>
              </w:rPr>
            </w:pPr>
            <w:r w:rsidRPr="009B7B35">
              <w:rPr>
                <w:rFonts w:cs="Arial"/>
              </w:rPr>
              <w:t>Community care centre</w:t>
            </w:r>
          </w:p>
          <w:p w14:paraId="49F38999" w14:textId="77777777" w:rsidR="00BE36FB" w:rsidRPr="009B7B35" w:rsidRDefault="00BE36FB" w:rsidP="001A7107">
            <w:pPr>
              <w:pStyle w:val="TableText"/>
              <w:rPr>
                <w:rFonts w:cs="Arial"/>
              </w:rPr>
            </w:pPr>
            <w:r w:rsidRPr="009B7B35">
              <w:rPr>
                <w:rFonts w:cs="Arial"/>
              </w:rPr>
              <w:t>Community use</w:t>
            </w:r>
          </w:p>
          <w:p w14:paraId="1EF298B6" w14:textId="77777777" w:rsidR="00BE36FB" w:rsidRPr="009B7B35" w:rsidRDefault="00BE36FB" w:rsidP="001A7107">
            <w:pPr>
              <w:pStyle w:val="TableText"/>
              <w:rPr>
                <w:rFonts w:cs="Arial"/>
              </w:rPr>
            </w:pPr>
            <w:r w:rsidRPr="009B7B35">
              <w:rPr>
                <w:rFonts w:cs="Arial"/>
              </w:rPr>
              <w:t xml:space="preserve">Multiple dwelling </w:t>
            </w:r>
          </w:p>
          <w:p w14:paraId="5BD947B2" w14:textId="77777777" w:rsidR="00BE36FB" w:rsidRPr="009B7B35" w:rsidRDefault="00BE36FB" w:rsidP="001A7107">
            <w:pPr>
              <w:pStyle w:val="TableText"/>
              <w:rPr>
                <w:rFonts w:cs="Arial"/>
              </w:rPr>
            </w:pPr>
            <w:r w:rsidRPr="009B7B35">
              <w:rPr>
                <w:rFonts w:cs="Arial"/>
              </w:rPr>
              <w:t>Relocatable home park</w:t>
            </w:r>
          </w:p>
          <w:p w14:paraId="39A05FBD" w14:textId="77777777" w:rsidR="00BE36FB" w:rsidRPr="009B7B35" w:rsidRDefault="00BE36FB" w:rsidP="001A7107">
            <w:pPr>
              <w:pStyle w:val="TableText"/>
              <w:rPr>
                <w:rFonts w:cs="Arial"/>
              </w:rPr>
            </w:pPr>
            <w:r w:rsidRPr="009B7B35">
              <w:rPr>
                <w:rFonts w:cs="Arial"/>
              </w:rPr>
              <w:t>Residential care facility</w:t>
            </w:r>
          </w:p>
          <w:p w14:paraId="5885BAF6" w14:textId="77777777" w:rsidR="00BE36FB" w:rsidRPr="009B7B35" w:rsidRDefault="00BE36FB" w:rsidP="001A7107">
            <w:pPr>
              <w:pStyle w:val="TableText"/>
              <w:rPr>
                <w:rFonts w:cs="Arial"/>
              </w:rPr>
            </w:pPr>
            <w:r w:rsidRPr="009B7B35">
              <w:rPr>
                <w:rFonts w:cs="Arial"/>
              </w:rPr>
              <w:t>Retirement facility</w:t>
            </w:r>
          </w:p>
          <w:p w14:paraId="1D625F63" w14:textId="77777777" w:rsidR="00BE36FB" w:rsidRPr="009B7B35" w:rsidRDefault="00BE36FB" w:rsidP="001A7107">
            <w:pPr>
              <w:pStyle w:val="TableText"/>
              <w:rPr>
                <w:rFonts w:cs="Arial"/>
              </w:rPr>
            </w:pPr>
            <w:r w:rsidRPr="009B7B35">
              <w:rPr>
                <w:rFonts w:cs="Arial"/>
              </w:rPr>
              <w:t>Rooming accommodation</w:t>
            </w:r>
          </w:p>
        </w:tc>
        <w:tc>
          <w:tcPr>
            <w:cnfStyle w:val="000100000000" w:firstRow="0" w:lastRow="0" w:firstColumn="0" w:lastColumn="1" w:oddVBand="0" w:evenVBand="0" w:oddHBand="0" w:evenHBand="0" w:firstRowFirstColumn="0" w:firstRowLastColumn="0" w:lastRowFirstColumn="0" w:lastRowLastColumn="0"/>
            <w:tcW w:w="6947" w:type="dxa"/>
            <w:gridSpan w:val="2"/>
            <w:shd w:val="clear" w:color="auto" w:fill="BFBFBF" w:themeFill="background1" w:themeFillShade="BF"/>
          </w:tcPr>
          <w:p w14:paraId="61F221A5"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634A6A4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5535CDA7"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3" w:type="dxa"/>
          </w:tcPr>
          <w:p w14:paraId="0C1F6B32" w14:textId="77777777" w:rsidR="00BE36FB" w:rsidRPr="009B7B35" w:rsidRDefault="00BE36FB" w:rsidP="001A7107">
            <w:pPr>
              <w:pStyle w:val="TableText"/>
              <w:rPr>
                <w:rFonts w:cs="Arial"/>
              </w:rPr>
            </w:pPr>
            <w:r w:rsidRPr="009B7B35">
              <w:rPr>
                <w:rFonts w:cs="Arial"/>
              </w:rPr>
              <w:t>If building height does not exceed 8.5m and 2 storeys.</w:t>
            </w:r>
          </w:p>
        </w:tc>
        <w:tc>
          <w:tcPr>
            <w:cnfStyle w:val="000100000000" w:firstRow="0" w:lastRow="0" w:firstColumn="0" w:lastColumn="1" w:oddVBand="0" w:evenVBand="0" w:oddHBand="0" w:evenHBand="0" w:firstRowFirstColumn="0" w:firstRowLastColumn="0" w:lastRowFirstColumn="0" w:lastRowLastColumn="0"/>
            <w:tcW w:w="3474" w:type="dxa"/>
          </w:tcPr>
          <w:p w14:paraId="2C600361" w14:textId="77777777" w:rsidR="00BE36FB" w:rsidRPr="009B7B35" w:rsidRDefault="00BE36FB" w:rsidP="001A7107">
            <w:pPr>
              <w:pStyle w:val="TableText"/>
              <w:rPr>
                <w:rFonts w:cs="Arial"/>
                <w:color w:val="auto"/>
              </w:rPr>
            </w:pPr>
            <w:r w:rsidRPr="009B7B35">
              <w:rPr>
                <w:rFonts w:cs="Arial"/>
                <w:color w:val="auto"/>
              </w:rPr>
              <w:t>Zone code:</w:t>
            </w:r>
          </w:p>
          <w:p w14:paraId="7A6E6C23"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Low–medium density residential zone code</w:t>
            </w:r>
          </w:p>
          <w:p w14:paraId="79377AFD" w14:textId="77777777" w:rsidR="00BE36FB" w:rsidRPr="009B7B35" w:rsidRDefault="00BE36FB" w:rsidP="001A7107">
            <w:pPr>
              <w:pStyle w:val="TableText"/>
              <w:rPr>
                <w:rFonts w:cs="Arial"/>
                <w:color w:val="auto"/>
              </w:rPr>
            </w:pPr>
            <w:r w:rsidRPr="009B7B35">
              <w:rPr>
                <w:rFonts w:cs="Arial"/>
                <w:color w:val="auto"/>
              </w:rPr>
              <w:t>Other development codes:</w:t>
            </w:r>
          </w:p>
          <w:p w14:paraId="60763AE9"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Development design code</w:t>
            </w:r>
          </w:p>
          <w:p w14:paraId="32BEF85A"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Landscaping code</w:t>
            </w:r>
          </w:p>
        </w:tc>
      </w:tr>
      <w:tr w:rsidR="00BE36FB" w:rsidRPr="009B7B35" w14:paraId="3DCA002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38DB76D0" w14:textId="77777777" w:rsidR="00BE36FB" w:rsidRPr="009B7B35" w:rsidRDefault="00BE36FB" w:rsidP="001A7107">
            <w:pPr>
              <w:pStyle w:val="TableText"/>
              <w:rPr>
                <w:rFonts w:cs="Arial"/>
              </w:rPr>
            </w:pPr>
            <w:r w:rsidRPr="009B7B35">
              <w:rPr>
                <w:rFonts w:cs="Arial"/>
              </w:rPr>
              <w:t>Emergency services</w:t>
            </w:r>
          </w:p>
          <w:p w14:paraId="5669E7AC" w14:textId="77777777" w:rsidR="00BE36FB" w:rsidRPr="009B7B35" w:rsidRDefault="00BE36FB" w:rsidP="001A7107">
            <w:pPr>
              <w:pStyle w:val="TableText"/>
              <w:rPr>
                <w:rFonts w:cs="Arial"/>
              </w:rPr>
            </w:pPr>
            <w:r w:rsidRPr="009B7B35">
              <w:rPr>
                <w:rFonts w:cs="Arial"/>
              </w:rPr>
              <w:t>Substation</w:t>
            </w:r>
          </w:p>
          <w:p w14:paraId="37E990B8"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47" w:type="dxa"/>
            <w:gridSpan w:val="2"/>
            <w:shd w:val="clear" w:color="auto" w:fill="BFBFBF" w:themeFill="background1" w:themeFillShade="BF"/>
          </w:tcPr>
          <w:p w14:paraId="1661B784"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13059A6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09755AD3"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3" w:type="dxa"/>
          </w:tcPr>
          <w:p w14:paraId="762A0506"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450FB61C"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4" w:type="dxa"/>
          </w:tcPr>
          <w:p w14:paraId="06CA1EA0"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1CA7F01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5901E0D9"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47" w:type="dxa"/>
            <w:gridSpan w:val="2"/>
            <w:shd w:val="clear" w:color="auto" w:fill="BFBFBF" w:themeFill="background1" w:themeFillShade="BF"/>
          </w:tcPr>
          <w:p w14:paraId="381BC6D7"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1840E16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71B15400"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3" w:type="dxa"/>
          </w:tcPr>
          <w:p w14:paraId="3AF07B10"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36ADE06B"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4" w:type="dxa"/>
          </w:tcPr>
          <w:p w14:paraId="478726E9" w14:textId="77777777" w:rsidR="00BE36FB" w:rsidRPr="009B7B35" w:rsidRDefault="00BE36FB" w:rsidP="001A7107">
            <w:pPr>
              <w:pStyle w:val="TableText"/>
              <w:rPr>
                <w:rFonts w:cs="Arial"/>
                <w:color w:val="auto"/>
              </w:rPr>
            </w:pPr>
            <w:r w:rsidRPr="009B7B35">
              <w:rPr>
                <w:rFonts w:cs="Arial"/>
                <w:color w:val="auto"/>
              </w:rPr>
              <w:t>Zone code:</w:t>
            </w:r>
          </w:p>
          <w:p w14:paraId="26ECA1C5"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Low–medium density residential zone code</w:t>
            </w:r>
          </w:p>
          <w:p w14:paraId="5F06D656" w14:textId="77777777" w:rsidR="00BE36FB" w:rsidRPr="009B7B35" w:rsidRDefault="00BE36FB" w:rsidP="001A7107">
            <w:pPr>
              <w:pStyle w:val="TableText"/>
              <w:rPr>
                <w:rFonts w:cs="Arial"/>
                <w:color w:val="auto"/>
              </w:rPr>
            </w:pPr>
            <w:r w:rsidRPr="009B7B35">
              <w:rPr>
                <w:rFonts w:cs="Arial"/>
                <w:color w:val="auto"/>
              </w:rPr>
              <w:t>Other development codes:</w:t>
            </w:r>
          </w:p>
          <w:p w14:paraId="24597DEE"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Development design code</w:t>
            </w:r>
          </w:p>
        </w:tc>
      </w:tr>
      <w:tr w:rsidR="00BE36FB" w:rsidRPr="009B7B35" w14:paraId="2EE735D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0C136936" w14:textId="77777777"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6947" w:type="dxa"/>
            <w:gridSpan w:val="2"/>
            <w:shd w:val="clear" w:color="auto" w:fill="BFBFBF" w:themeFill="background1" w:themeFillShade="BF"/>
          </w:tcPr>
          <w:p w14:paraId="5FB7F2B7"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1671AA0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770A41E3"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3" w:type="dxa"/>
          </w:tcPr>
          <w:p w14:paraId="5F8EA32A"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4" w:type="dxa"/>
          </w:tcPr>
          <w:p w14:paraId="7E166C47" w14:textId="77777777" w:rsidR="00BE36FB" w:rsidRPr="009B7B35" w:rsidRDefault="00BE36FB" w:rsidP="001A7107">
            <w:pPr>
              <w:pStyle w:val="ListBullet"/>
              <w:numPr>
                <w:ilvl w:val="0"/>
                <w:numId w:val="0"/>
              </w:numPr>
              <w:tabs>
                <w:tab w:val="clear" w:pos="284"/>
                <w:tab w:val="left" w:pos="15"/>
              </w:tabs>
              <w:ind w:left="284" w:hanging="269"/>
              <w:rPr>
                <w:rFonts w:cs="Arial"/>
                <w:color w:val="auto"/>
                <w:szCs w:val="20"/>
              </w:rPr>
            </w:pPr>
            <w:r w:rsidRPr="009B7B35">
              <w:rPr>
                <w:rFonts w:cs="Arial"/>
                <w:color w:val="auto"/>
                <w:szCs w:val="20"/>
              </w:rPr>
              <w:t>Use code:</w:t>
            </w:r>
          </w:p>
          <w:p w14:paraId="3D44E0D2"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Home based business code</w:t>
            </w:r>
          </w:p>
        </w:tc>
      </w:tr>
      <w:tr w:rsidR="00BE36FB" w:rsidRPr="009B7B35" w14:paraId="0BB7DFA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2194FBA1" w14:textId="77777777" w:rsidR="00BE36FB" w:rsidRPr="009B7B35" w:rsidRDefault="00BE36FB" w:rsidP="001A7107">
            <w:pPr>
              <w:pStyle w:val="TableText"/>
              <w:rPr>
                <w:rFonts w:cs="Arial"/>
              </w:rPr>
            </w:pPr>
            <w:r w:rsidRPr="009B7B35">
              <w:rPr>
                <w:rFonts w:cs="Arial"/>
              </w:rPr>
              <w:t>Landing*</w:t>
            </w:r>
          </w:p>
          <w:p w14:paraId="6B861997" w14:textId="77777777" w:rsidR="00BE36FB" w:rsidRPr="009B7B35" w:rsidRDefault="00BE36FB" w:rsidP="001A7107">
            <w:pPr>
              <w:pStyle w:val="TableText"/>
              <w:rPr>
                <w:rFonts w:cs="Arial"/>
              </w:rPr>
            </w:pPr>
            <w:r w:rsidRPr="009B7B35">
              <w:rPr>
                <w:rFonts w:cs="Arial"/>
              </w:rPr>
              <w:t>Park</w:t>
            </w:r>
          </w:p>
          <w:p w14:paraId="1290A859"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47" w:type="dxa"/>
            <w:gridSpan w:val="2"/>
            <w:shd w:val="clear" w:color="auto" w:fill="BFBFBF" w:themeFill="background1" w:themeFillShade="BF"/>
          </w:tcPr>
          <w:p w14:paraId="529726C9"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1DD6A38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280C2CCA"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3" w:type="dxa"/>
          </w:tcPr>
          <w:p w14:paraId="761F056A"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4" w:type="dxa"/>
          </w:tcPr>
          <w:p w14:paraId="1F1FB104"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29A26B3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4E4C0094" w14:textId="77777777" w:rsidR="00BE36FB" w:rsidRPr="009B7B35" w:rsidRDefault="00BE36FB" w:rsidP="001A7107">
            <w:pPr>
              <w:pStyle w:val="TableText"/>
              <w:rPr>
                <w:rFonts w:cs="Arial"/>
              </w:rPr>
            </w:pPr>
            <w:r w:rsidRPr="009B7B35">
              <w:rPr>
                <w:rFonts w:cs="Arial"/>
              </w:rPr>
              <w:t>Shop</w:t>
            </w:r>
          </w:p>
          <w:p w14:paraId="54BF10BF" w14:textId="77777777" w:rsidR="00BE36FB" w:rsidRPr="009B7B35" w:rsidRDefault="00BE36FB" w:rsidP="001A7107">
            <w:pPr>
              <w:pStyle w:val="TableText"/>
              <w:rPr>
                <w:rFonts w:cs="Arial"/>
              </w:rPr>
            </w:pPr>
            <w:r w:rsidRPr="009B7B35">
              <w:rPr>
                <w:rFonts w:cs="Arial"/>
              </w:rPr>
              <w:t>Food and drink outlet</w:t>
            </w:r>
          </w:p>
        </w:tc>
        <w:tc>
          <w:tcPr>
            <w:cnfStyle w:val="000100000000" w:firstRow="0" w:lastRow="0" w:firstColumn="0" w:lastColumn="1" w:oddVBand="0" w:evenVBand="0" w:oddHBand="0" w:evenHBand="0" w:firstRowFirstColumn="0" w:firstRowLastColumn="0" w:lastRowFirstColumn="0" w:lastRowLastColumn="0"/>
            <w:tcW w:w="6947" w:type="dxa"/>
            <w:gridSpan w:val="2"/>
            <w:shd w:val="clear" w:color="auto" w:fill="BFBFBF" w:themeFill="background1" w:themeFillShade="BF"/>
          </w:tcPr>
          <w:p w14:paraId="40F24734"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72B5F52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56F8B25D"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3" w:type="dxa"/>
          </w:tcPr>
          <w:p w14:paraId="1DDF8443" w14:textId="77777777" w:rsidR="00BE36FB" w:rsidRPr="009B7B35" w:rsidRDefault="00BE36FB" w:rsidP="001A7107">
            <w:pPr>
              <w:pStyle w:val="TableText"/>
              <w:rPr>
                <w:rFonts w:cs="Arial"/>
              </w:rPr>
            </w:pPr>
            <w:r w:rsidRPr="009B7B35">
              <w:rPr>
                <w:rFonts w:cs="Arial"/>
              </w:rPr>
              <w:t>If using an existing non–residential building</w:t>
            </w:r>
          </w:p>
        </w:tc>
        <w:tc>
          <w:tcPr>
            <w:cnfStyle w:val="000100000000" w:firstRow="0" w:lastRow="0" w:firstColumn="0" w:lastColumn="1" w:oddVBand="0" w:evenVBand="0" w:oddHBand="0" w:evenHBand="0" w:firstRowFirstColumn="0" w:firstRowLastColumn="0" w:lastRowFirstColumn="0" w:lastRowLastColumn="0"/>
            <w:tcW w:w="3474" w:type="dxa"/>
          </w:tcPr>
          <w:p w14:paraId="22E1B617" w14:textId="77777777" w:rsidR="00BE36FB" w:rsidRPr="009B7B35" w:rsidRDefault="00BE36FB" w:rsidP="001A7107">
            <w:pPr>
              <w:pStyle w:val="TableText"/>
              <w:rPr>
                <w:rFonts w:cs="Arial"/>
                <w:color w:val="auto"/>
              </w:rPr>
            </w:pPr>
            <w:r w:rsidRPr="009B7B35">
              <w:rPr>
                <w:rFonts w:cs="Arial"/>
                <w:color w:val="auto"/>
              </w:rPr>
              <w:t>Zone code:</w:t>
            </w:r>
          </w:p>
          <w:p w14:paraId="4813493A"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Low-medium density residential zone code</w:t>
            </w:r>
          </w:p>
          <w:p w14:paraId="26ED0ABE" w14:textId="77777777" w:rsidR="00BE36FB" w:rsidRPr="009B7B35" w:rsidRDefault="00BE36FB" w:rsidP="001A7107">
            <w:pPr>
              <w:pStyle w:val="TableText"/>
              <w:rPr>
                <w:rFonts w:cs="Arial"/>
                <w:color w:val="auto"/>
              </w:rPr>
            </w:pPr>
            <w:r w:rsidRPr="009B7B35">
              <w:rPr>
                <w:rFonts w:cs="Arial"/>
                <w:color w:val="auto"/>
              </w:rPr>
              <w:t>Other development codes:</w:t>
            </w:r>
          </w:p>
          <w:p w14:paraId="6EC1D83D"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1D91855D"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7450C35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3"/>
            <w:shd w:val="clear" w:color="auto" w:fill="BFBFBF" w:themeFill="background1" w:themeFillShade="BF"/>
          </w:tcPr>
          <w:p w14:paraId="498AFE76"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61DF2532"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2" w:type="dxa"/>
            <w:gridSpan w:val="2"/>
          </w:tcPr>
          <w:p w14:paraId="5961DB15"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1A1E9AC2"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2323CE0F"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4" w:type="dxa"/>
          </w:tcPr>
          <w:p w14:paraId="2FA4D72A"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48A2DF2F" w14:textId="77777777" w:rsidR="00BE36FB" w:rsidRPr="009B7B35" w:rsidRDefault="00BE36FB" w:rsidP="001A7107">
      <w:pPr>
        <w:pStyle w:val="Heading5"/>
        <w:numPr>
          <w:ilvl w:val="0"/>
          <w:numId w:val="0"/>
        </w:numPr>
        <w:rPr>
          <w:rFonts w:cs="Arial"/>
          <w:szCs w:val="20"/>
        </w:rPr>
      </w:pPr>
      <w:r w:rsidRPr="009B7B35">
        <w:rPr>
          <w:rFonts w:cs="Arial"/>
          <w:szCs w:val="20"/>
        </w:rPr>
        <w:t>Table 5.5.3—Medium density residential zone</w:t>
      </w:r>
    </w:p>
    <w:tbl>
      <w:tblPr>
        <w:tblStyle w:val="Tablestyle"/>
        <w:tblW w:w="9365" w:type="dxa"/>
        <w:tblLook w:val="01E0" w:firstRow="1" w:lastRow="1" w:firstColumn="1" w:lastColumn="1" w:noHBand="0" w:noVBand="0"/>
      </w:tblPr>
      <w:tblGrid>
        <w:gridCol w:w="2411"/>
        <w:gridCol w:w="3477"/>
        <w:gridCol w:w="3477"/>
      </w:tblGrid>
      <w:tr w:rsidR="00BE36FB" w:rsidRPr="009B7B35" w14:paraId="4EB2D4BD" w14:textId="77777777"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11" w:type="dxa"/>
          </w:tcPr>
          <w:p w14:paraId="2B58D6C2"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7" w:type="dxa"/>
          </w:tcPr>
          <w:p w14:paraId="0A338B4D"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7" w:type="dxa"/>
          </w:tcPr>
          <w:p w14:paraId="7673ACA3"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5790DBF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3D982350" w14:textId="77777777" w:rsidR="00BE36FB" w:rsidRPr="009B7B35" w:rsidRDefault="00BE36FB" w:rsidP="001A7107">
            <w:pPr>
              <w:pStyle w:val="TableText"/>
              <w:rPr>
                <w:rFonts w:cs="Arial"/>
              </w:rPr>
            </w:pPr>
            <w:r w:rsidRPr="009B7B35">
              <w:rPr>
                <w:rFonts w:cs="Arial"/>
              </w:rPr>
              <w:t>Caretakers accommodation</w:t>
            </w:r>
          </w:p>
          <w:p w14:paraId="108F86F0" w14:textId="77777777" w:rsidR="00BE36FB" w:rsidRPr="009B7B35" w:rsidRDefault="00BE36FB" w:rsidP="001A7107">
            <w:pPr>
              <w:pStyle w:val="TableText"/>
              <w:rPr>
                <w:rFonts w:cs="Arial"/>
              </w:rPr>
            </w:pPr>
            <w:r w:rsidRPr="009B7B35">
              <w:rPr>
                <w:rFonts w:cs="Arial"/>
              </w:rPr>
              <w:t xml:space="preserve">Dual occupancy </w:t>
            </w:r>
          </w:p>
          <w:p w14:paraId="6D38549D" w14:textId="77777777" w:rsidR="00BE36FB" w:rsidRPr="009B7B35" w:rsidRDefault="00BE36FB" w:rsidP="001A7107">
            <w:pPr>
              <w:pStyle w:val="TableText"/>
              <w:rPr>
                <w:rFonts w:cs="Arial"/>
              </w:rPr>
            </w:pPr>
            <w:r w:rsidRPr="009B7B35">
              <w:rPr>
                <w:rFonts w:cs="Arial"/>
              </w:rPr>
              <w:t xml:space="preserve">Dwelling House </w:t>
            </w:r>
          </w:p>
          <w:p w14:paraId="25130A6A" w14:textId="77777777" w:rsidR="00BE36FB" w:rsidRPr="009B7B35" w:rsidRDefault="00BE36FB" w:rsidP="001A7107">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66835641"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6ECB7E4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6B53A98F"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039CC572"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14:paraId="304F4882" w14:textId="77777777" w:rsidR="00BE36FB" w:rsidRPr="009B7B35" w:rsidRDefault="00BE36FB" w:rsidP="001A7107">
            <w:pPr>
              <w:pStyle w:val="TableText"/>
              <w:rPr>
                <w:rFonts w:cs="Arial"/>
                <w:color w:val="auto"/>
              </w:rPr>
            </w:pPr>
            <w:r w:rsidRPr="009B7B35">
              <w:rPr>
                <w:rFonts w:cs="Arial"/>
                <w:color w:val="auto"/>
              </w:rPr>
              <w:t>Zone code:</w:t>
            </w:r>
          </w:p>
          <w:p w14:paraId="6C9D6F80"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Medium density residential zone code</w:t>
            </w:r>
          </w:p>
        </w:tc>
      </w:tr>
      <w:tr w:rsidR="00BE36FB" w:rsidRPr="009B7B35" w14:paraId="2B6A448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0FB76E17"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0B07202E" w14:textId="77777777" w:rsidR="00BE36FB" w:rsidRPr="009B7B35" w:rsidRDefault="00BE36FB" w:rsidP="001A7107">
            <w:pPr>
              <w:pStyle w:val="TableText"/>
              <w:rPr>
                <w:rFonts w:cs="Arial"/>
                <w:color w:val="auto"/>
              </w:rPr>
            </w:pPr>
            <w:r w:rsidRPr="009B7B35">
              <w:rPr>
                <w:rFonts w:cs="Arial"/>
                <w:b/>
                <w:color w:val="auto"/>
              </w:rPr>
              <w:t>Impact assessment</w:t>
            </w:r>
          </w:p>
        </w:tc>
      </w:tr>
      <w:tr w:rsidR="00BE36FB" w:rsidRPr="009B7B35" w14:paraId="1A7E590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26D4A5C6"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46E85A85" w14:textId="77777777" w:rsidR="00BE36FB" w:rsidRPr="009B7B35" w:rsidRDefault="00BE36FB" w:rsidP="001A7107">
            <w:pPr>
              <w:pStyle w:val="TableText"/>
              <w:rPr>
                <w:rFonts w:cs="Arial"/>
              </w:rPr>
            </w:pPr>
            <w:r w:rsidRPr="009B7B35">
              <w:rPr>
                <w:rFonts w:cs="Arial"/>
              </w:rPr>
              <w:t>For dwelling house and dual occupancy, if located within the Beaches Village Circuit precinct.</w:t>
            </w:r>
          </w:p>
        </w:tc>
        <w:tc>
          <w:tcPr>
            <w:cnfStyle w:val="000100000000" w:firstRow="0" w:lastRow="0" w:firstColumn="0" w:lastColumn="1" w:oddVBand="0" w:evenVBand="0" w:oddHBand="0" w:evenHBand="0" w:firstRowFirstColumn="0" w:firstRowLastColumn="0" w:lastRowFirstColumn="0" w:lastRowLastColumn="0"/>
            <w:tcW w:w="3477" w:type="dxa"/>
          </w:tcPr>
          <w:p w14:paraId="5AE585FE" w14:textId="77777777" w:rsidR="00BE36FB" w:rsidRPr="009B7B35" w:rsidRDefault="00BE36FB" w:rsidP="001A7107">
            <w:pPr>
              <w:pStyle w:val="TableText"/>
              <w:rPr>
                <w:rFonts w:cs="Arial"/>
                <w:color w:val="auto"/>
              </w:rPr>
            </w:pPr>
            <w:r w:rsidRPr="009B7B35">
              <w:rPr>
                <w:rFonts w:cs="Arial"/>
                <w:color w:val="auto"/>
              </w:rPr>
              <w:t>The planning scheme including:</w:t>
            </w:r>
          </w:p>
          <w:p w14:paraId="32524DC5" w14:textId="77777777" w:rsidR="00BE36FB" w:rsidRPr="009B7B35" w:rsidRDefault="00BE36FB" w:rsidP="00BE36FB">
            <w:pPr>
              <w:pStyle w:val="TableText"/>
              <w:numPr>
                <w:ilvl w:val="0"/>
                <w:numId w:val="110"/>
              </w:numPr>
              <w:ind w:left="292" w:hanging="283"/>
              <w:rPr>
                <w:rFonts w:cs="Arial"/>
                <w:color w:val="auto"/>
              </w:rPr>
            </w:pPr>
            <w:r w:rsidRPr="009B7B35">
              <w:rPr>
                <w:rFonts w:cs="Arial"/>
                <w:color w:val="auto"/>
              </w:rPr>
              <w:t>Medium density residential zone code</w:t>
            </w:r>
          </w:p>
        </w:tc>
      </w:tr>
      <w:tr w:rsidR="00BE36FB" w:rsidRPr="009B7B35" w14:paraId="366042D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7C295E6A" w14:textId="77777777" w:rsidR="00BE36FB" w:rsidRPr="009B7B35" w:rsidRDefault="00BE36FB" w:rsidP="001A7107">
            <w:pPr>
              <w:pStyle w:val="TableText"/>
              <w:rPr>
                <w:rFonts w:cs="Arial"/>
              </w:rPr>
            </w:pPr>
            <w:r w:rsidRPr="009B7B35">
              <w:rPr>
                <w:rFonts w:cs="Arial"/>
              </w:rPr>
              <w:t>Child care centre</w:t>
            </w:r>
          </w:p>
          <w:p w14:paraId="5A180DA7" w14:textId="77777777" w:rsidR="00BE36FB" w:rsidRPr="009B7B35" w:rsidRDefault="00BE36FB" w:rsidP="001A7107">
            <w:pPr>
              <w:pStyle w:val="TableText"/>
              <w:rPr>
                <w:rFonts w:cs="Arial"/>
              </w:rPr>
            </w:pPr>
            <w:r w:rsidRPr="009B7B35">
              <w:rPr>
                <w:rFonts w:cs="Arial"/>
              </w:rPr>
              <w:t>Community care centre</w:t>
            </w:r>
          </w:p>
          <w:p w14:paraId="67D0B754" w14:textId="77777777" w:rsidR="00BE36FB" w:rsidRPr="009B7B35" w:rsidRDefault="00BE36FB" w:rsidP="001A7107">
            <w:pPr>
              <w:pStyle w:val="TableText"/>
              <w:rPr>
                <w:rFonts w:cs="Arial"/>
              </w:rPr>
            </w:pPr>
            <w:r w:rsidRPr="009B7B35">
              <w:rPr>
                <w:rFonts w:cs="Arial"/>
              </w:rPr>
              <w:t xml:space="preserve">Community use </w:t>
            </w:r>
          </w:p>
          <w:p w14:paraId="4D15EE6D" w14:textId="77777777" w:rsidR="00BE36FB" w:rsidRPr="009B7B35" w:rsidRDefault="00BE36FB" w:rsidP="001A7107">
            <w:pPr>
              <w:pStyle w:val="TableText"/>
              <w:rPr>
                <w:rFonts w:cs="Arial"/>
              </w:rPr>
            </w:pPr>
            <w:r w:rsidRPr="009B7B35">
              <w:rPr>
                <w:rFonts w:cs="Arial"/>
              </w:rPr>
              <w:t>Multiple dwelling</w:t>
            </w:r>
          </w:p>
          <w:p w14:paraId="5D68AE6D" w14:textId="77777777" w:rsidR="00BE36FB" w:rsidRPr="009B7B35" w:rsidRDefault="00BE36FB" w:rsidP="001A7107">
            <w:pPr>
              <w:pStyle w:val="TableText"/>
              <w:rPr>
                <w:rFonts w:cs="Arial"/>
              </w:rPr>
            </w:pPr>
            <w:r w:rsidRPr="009B7B35">
              <w:rPr>
                <w:rFonts w:cs="Arial"/>
              </w:rPr>
              <w:t>Relocatable home park</w:t>
            </w:r>
          </w:p>
          <w:p w14:paraId="13F87BD8" w14:textId="77777777" w:rsidR="00BE36FB" w:rsidRPr="009B7B35" w:rsidRDefault="00BE36FB" w:rsidP="001A7107">
            <w:pPr>
              <w:pStyle w:val="TableText"/>
              <w:rPr>
                <w:rFonts w:cs="Arial"/>
              </w:rPr>
            </w:pPr>
            <w:r w:rsidRPr="009B7B35">
              <w:rPr>
                <w:rFonts w:cs="Arial"/>
              </w:rPr>
              <w:t>Residential care facility</w:t>
            </w:r>
          </w:p>
          <w:p w14:paraId="3EB3C4B1" w14:textId="77777777" w:rsidR="00BE36FB" w:rsidRPr="009B7B35" w:rsidRDefault="00BE36FB" w:rsidP="001A7107">
            <w:pPr>
              <w:pStyle w:val="TableText"/>
              <w:rPr>
                <w:rFonts w:cs="Arial"/>
              </w:rPr>
            </w:pPr>
            <w:r w:rsidRPr="009B7B35">
              <w:rPr>
                <w:rFonts w:cs="Arial"/>
              </w:rPr>
              <w:t>Retirement facility</w:t>
            </w:r>
          </w:p>
          <w:p w14:paraId="118D8F1F" w14:textId="77777777" w:rsidR="00BE36FB" w:rsidRPr="009B7B35" w:rsidRDefault="00BE36FB" w:rsidP="001A7107">
            <w:pPr>
              <w:pStyle w:val="TableText"/>
              <w:rPr>
                <w:rFonts w:cs="Arial"/>
              </w:rPr>
            </w:pPr>
            <w:r w:rsidRPr="009B7B35">
              <w:rPr>
                <w:rFonts w:cs="Arial"/>
              </w:rPr>
              <w:t>Rooming accommodation</w:t>
            </w:r>
          </w:p>
          <w:p w14:paraId="7EB86369" w14:textId="77777777" w:rsidR="00BE36FB" w:rsidRPr="009B7B35" w:rsidRDefault="00BE36FB" w:rsidP="001A7107">
            <w:pPr>
              <w:pStyle w:val="TableText"/>
              <w:rPr>
                <w:rFonts w:cs="Arial"/>
              </w:rPr>
            </w:pPr>
            <w:r w:rsidRPr="009B7B35">
              <w:rPr>
                <w:rFonts w:cs="Arial"/>
              </w:rPr>
              <w:t>Short–term accommodation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02CABA78"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759E251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25F21E1D"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5479F262" w14:textId="77777777" w:rsidR="00BE36FB" w:rsidRPr="009B7B35" w:rsidRDefault="00BE36FB" w:rsidP="001A7107">
            <w:pPr>
              <w:pStyle w:val="TableText"/>
              <w:rPr>
                <w:rFonts w:cs="Arial"/>
              </w:rPr>
            </w:pPr>
            <w:r w:rsidRPr="009B7B35">
              <w:rPr>
                <w:rFonts w:cs="Arial"/>
              </w:rPr>
              <w:t>If complying with the building height in the Building height and frontages overlay map.</w:t>
            </w:r>
          </w:p>
        </w:tc>
        <w:tc>
          <w:tcPr>
            <w:cnfStyle w:val="000100000000" w:firstRow="0" w:lastRow="0" w:firstColumn="0" w:lastColumn="1" w:oddVBand="0" w:evenVBand="0" w:oddHBand="0" w:evenHBand="0" w:firstRowFirstColumn="0" w:firstRowLastColumn="0" w:lastRowFirstColumn="0" w:lastRowLastColumn="0"/>
            <w:tcW w:w="3477" w:type="dxa"/>
          </w:tcPr>
          <w:p w14:paraId="65548E1D" w14:textId="77777777" w:rsidR="00BE36FB" w:rsidRPr="009B7B35" w:rsidRDefault="00BE36FB" w:rsidP="001A7107">
            <w:pPr>
              <w:pStyle w:val="TableText"/>
              <w:rPr>
                <w:rFonts w:cs="Arial"/>
                <w:color w:val="auto"/>
              </w:rPr>
            </w:pPr>
            <w:r w:rsidRPr="009B7B35">
              <w:rPr>
                <w:rFonts w:cs="Arial"/>
                <w:color w:val="auto"/>
              </w:rPr>
              <w:t>Zone code:</w:t>
            </w:r>
          </w:p>
          <w:p w14:paraId="77DCD9AE"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Medium density residential zone code</w:t>
            </w:r>
          </w:p>
          <w:p w14:paraId="6E97DEAC" w14:textId="77777777" w:rsidR="00BE36FB" w:rsidRPr="009B7B35" w:rsidRDefault="00BE36FB" w:rsidP="001A7107">
            <w:pPr>
              <w:pStyle w:val="TableText"/>
              <w:rPr>
                <w:rFonts w:cs="Arial"/>
                <w:color w:val="auto"/>
              </w:rPr>
            </w:pPr>
            <w:r w:rsidRPr="009B7B35">
              <w:rPr>
                <w:rFonts w:cs="Arial"/>
                <w:color w:val="auto"/>
              </w:rPr>
              <w:t>Other development codes:</w:t>
            </w:r>
          </w:p>
          <w:p w14:paraId="53464D1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4B07644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40E908F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4F010F5C" w14:textId="77777777" w:rsidR="00BE36FB" w:rsidRPr="009B7B35" w:rsidRDefault="00BE36FB" w:rsidP="001A7107">
            <w:pPr>
              <w:pStyle w:val="TableText"/>
              <w:rPr>
                <w:rFonts w:cs="Arial"/>
              </w:rPr>
            </w:pPr>
            <w:r w:rsidRPr="009B7B35">
              <w:rPr>
                <w:rFonts w:cs="Arial"/>
              </w:rPr>
              <w:t>Educational establishment</w:t>
            </w:r>
          </w:p>
          <w:p w14:paraId="76B724F2" w14:textId="77777777" w:rsidR="00BE36FB" w:rsidRPr="009B7B35" w:rsidRDefault="00BE36FB" w:rsidP="001A7107">
            <w:pPr>
              <w:pStyle w:val="TableText"/>
              <w:rPr>
                <w:rFonts w:cs="Arial"/>
              </w:rPr>
            </w:pPr>
            <w:r w:rsidRPr="009B7B35">
              <w:rPr>
                <w:rFonts w:cs="Arial"/>
              </w:rPr>
              <w:t>Food and drink outlet</w:t>
            </w:r>
          </w:p>
          <w:p w14:paraId="6B1140A9" w14:textId="77777777" w:rsidR="00BE36FB" w:rsidRPr="009B7B35" w:rsidRDefault="00BE36FB" w:rsidP="001A7107">
            <w:pPr>
              <w:pStyle w:val="TableText"/>
              <w:rPr>
                <w:rFonts w:cs="Arial"/>
              </w:rPr>
            </w:pPr>
            <w:r w:rsidRPr="009B7B35">
              <w:rPr>
                <w:rFonts w:cs="Arial"/>
              </w:rPr>
              <w:t>Health care services</w:t>
            </w:r>
          </w:p>
          <w:p w14:paraId="0FEA9134" w14:textId="77777777" w:rsidR="00BE36FB" w:rsidRPr="009B7B35" w:rsidRDefault="00BE36FB" w:rsidP="001A7107">
            <w:pPr>
              <w:pStyle w:val="TableText"/>
              <w:rPr>
                <w:rFonts w:cs="Arial"/>
              </w:rPr>
            </w:pPr>
            <w:r w:rsidRPr="009B7B35">
              <w:rPr>
                <w:rFonts w:cs="Arial"/>
              </w:rPr>
              <w:t>Office</w:t>
            </w:r>
          </w:p>
          <w:p w14:paraId="34D12A78" w14:textId="77777777" w:rsidR="00BE36FB" w:rsidRPr="009B7B35" w:rsidRDefault="00BE36FB" w:rsidP="001A7107">
            <w:pPr>
              <w:pStyle w:val="TableText"/>
              <w:rPr>
                <w:rFonts w:cs="Arial"/>
              </w:rPr>
            </w:pPr>
            <w:r w:rsidRPr="009B7B35">
              <w:rPr>
                <w:rFonts w:cs="Arial"/>
              </w:rPr>
              <w:t>Shop</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5757085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assessable</w:t>
            </w:r>
          </w:p>
        </w:tc>
      </w:tr>
      <w:tr w:rsidR="00BE36FB" w:rsidRPr="009B7B35" w14:paraId="10CD9A6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470AC201"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02C17004" w14:textId="77777777" w:rsidR="00BE36FB" w:rsidRPr="009B7B35" w:rsidRDefault="00BE36FB" w:rsidP="001A7107">
            <w:pPr>
              <w:pStyle w:val="TableText"/>
              <w:rPr>
                <w:rFonts w:cs="Arial"/>
              </w:rPr>
            </w:pPr>
            <w:r w:rsidRPr="009B7B35">
              <w:rPr>
                <w:rFonts w:cs="Arial"/>
              </w:rPr>
              <w:t>If in the Gladstone West Hospital precinct.</w:t>
            </w:r>
          </w:p>
        </w:tc>
        <w:tc>
          <w:tcPr>
            <w:cnfStyle w:val="000100000000" w:firstRow="0" w:lastRow="0" w:firstColumn="0" w:lastColumn="1" w:oddVBand="0" w:evenVBand="0" w:oddHBand="0" w:evenHBand="0" w:firstRowFirstColumn="0" w:firstRowLastColumn="0" w:lastRowFirstColumn="0" w:lastRowLastColumn="0"/>
            <w:tcW w:w="3477" w:type="dxa"/>
          </w:tcPr>
          <w:p w14:paraId="51F30026" w14:textId="77777777" w:rsidR="00BE36FB" w:rsidRPr="009B7B35" w:rsidRDefault="00BE36FB" w:rsidP="001A7107">
            <w:pPr>
              <w:pStyle w:val="TableText"/>
              <w:rPr>
                <w:rFonts w:cs="Arial"/>
                <w:color w:val="auto"/>
              </w:rPr>
            </w:pPr>
            <w:r w:rsidRPr="009B7B35">
              <w:rPr>
                <w:rFonts w:cs="Arial"/>
                <w:color w:val="auto"/>
              </w:rPr>
              <w:t>Zone code:</w:t>
            </w:r>
          </w:p>
          <w:p w14:paraId="7259A292"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Medium density residential zone code</w:t>
            </w:r>
          </w:p>
          <w:p w14:paraId="73BEBA0A" w14:textId="77777777" w:rsidR="00BE36FB" w:rsidRPr="009B7B35" w:rsidRDefault="00BE36FB" w:rsidP="001A7107">
            <w:pPr>
              <w:pStyle w:val="TableText"/>
              <w:rPr>
                <w:rFonts w:cs="Arial"/>
                <w:color w:val="auto"/>
              </w:rPr>
            </w:pPr>
            <w:r w:rsidRPr="009B7B35">
              <w:rPr>
                <w:rFonts w:cs="Arial"/>
                <w:color w:val="auto"/>
              </w:rPr>
              <w:t>Other development codes:</w:t>
            </w:r>
          </w:p>
          <w:p w14:paraId="76F40D56"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0BB0984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4A4529A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3AA94260" w14:textId="77777777" w:rsidR="00BE36FB" w:rsidRPr="009B7B35" w:rsidRDefault="00BE36FB" w:rsidP="001A7107">
            <w:pPr>
              <w:pStyle w:val="TableText"/>
              <w:rPr>
                <w:rFonts w:cs="Arial"/>
              </w:rPr>
            </w:pPr>
            <w:r w:rsidRPr="009B7B35">
              <w:rPr>
                <w:rFonts w:cs="Arial"/>
              </w:rPr>
              <w:t>Emergency services</w:t>
            </w:r>
          </w:p>
          <w:p w14:paraId="0A64385E" w14:textId="77777777" w:rsidR="00BE36FB" w:rsidRPr="009B7B35" w:rsidRDefault="00BE36FB" w:rsidP="001A7107">
            <w:pPr>
              <w:pStyle w:val="TableText"/>
              <w:rPr>
                <w:rFonts w:cs="Arial"/>
              </w:rPr>
            </w:pPr>
            <w:r w:rsidRPr="009B7B35">
              <w:rPr>
                <w:rFonts w:cs="Arial"/>
              </w:rPr>
              <w:t>Substation</w:t>
            </w:r>
          </w:p>
          <w:p w14:paraId="41D3194F"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5A7EB727"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4BD9350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5A5B1D37"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747CC05D"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70EC9383"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7" w:type="dxa"/>
          </w:tcPr>
          <w:p w14:paraId="3EE3FFCD"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26D0855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66D39040"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5D51D11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7FA932A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2898A789"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03600472"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15973C71"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7" w:type="dxa"/>
          </w:tcPr>
          <w:p w14:paraId="65F68946" w14:textId="77777777" w:rsidR="00BE36FB" w:rsidRPr="009B7B35" w:rsidRDefault="00BE36FB" w:rsidP="001A7107">
            <w:pPr>
              <w:pStyle w:val="TableText"/>
              <w:rPr>
                <w:rFonts w:cs="Arial"/>
                <w:color w:val="auto"/>
              </w:rPr>
            </w:pPr>
            <w:r w:rsidRPr="009B7B35">
              <w:rPr>
                <w:rFonts w:cs="Arial"/>
                <w:color w:val="auto"/>
              </w:rPr>
              <w:t>Zone code:</w:t>
            </w:r>
          </w:p>
          <w:p w14:paraId="3DFD348C"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Medium density residential zone code</w:t>
            </w:r>
          </w:p>
          <w:p w14:paraId="35D5AAD6" w14:textId="77777777" w:rsidR="00BE36FB" w:rsidRPr="009B7B35" w:rsidRDefault="00BE36FB" w:rsidP="001A7107">
            <w:pPr>
              <w:pStyle w:val="TableText"/>
              <w:rPr>
                <w:rFonts w:cs="Arial"/>
                <w:color w:val="auto"/>
              </w:rPr>
            </w:pPr>
            <w:r w:rsidRPr="009B7B35">
              <w:rPr>
                <w:rFonts w:cs="Arial"/>
                <w:color w:val="auto"/>
              </w:rPr>
              <w:t>Other development codes:</w:t>
            </w:r>
          </w:p>
          <w:p w14:paraId="6107B49F"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52A1ECE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1908B996" w14:textId="77777777"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7EC47AA4"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2321290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290A0F32"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01F5AA43"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14:paraId="48918F8D" w14:textId="77777777" w:rsidR="00BE36FB" w:rsidRPr="009B7B35" w:rsidRDefault="00BE36FB" w:rsidP="001A7107">
            <w:pPr>
              <w:pStyle w:val="ListBullet"/>
              <w:numPr>
                <w:ilvl w:val="0"/>
                <w:numId w:val="0"/>
              </w:numPr>
              <w:ind w:left="284" w:hanging="275"/>
              <w:rPr>
                <w:rFonts w:cs="Arial"/>
                <w:color w:val="auto"/>
                <w:szCs w:val="20"/>
              </w:rPr>
            </w:pPr>
            <w:r w:rsidRPr="009B7B35">
              <w:rPr>
                <w:rFonts w:cs="Arial"/>
                <w:color w:val="auto"/>
                <w:szCs w:val="20"/>
              </w:rPr>
              <w:t>Use code:</w:t>
            </w:r>
          </w:p>
          <w:p w14:paraId="133CEB7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Home based business code</w:t>
            </w:r>
          </w:p>
        </w:tc>
      </w:tr>
      <w:tr w:rsidR="00BE36FB" w:rsidRPr="009B7B35" w14:paraId="7B4F3EA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4A2F458F" w14:textId="77777777" w:rsidR="00BE36FB" w:rsidRPr="009B7B35" w:rsidRDefault="00BE36FB" w:rsidP="001A7107">
            <w:pPr>
              <w:pStyle w:val="TableText"/>
              <w:rPr>
                <w:rFonts w:cs="Arial"/>
              </w:rPr>
            </w:pPr>
            <w:r w:rsidRPr="009B7B35">
              <w:rPr>
                <w:rFonts w:cs="Arial"/>
              </w:rPr>
              <w:t>Landing*</w:t>
            </w:r>
          </w:p>
          <w:p w14:paraId="128C6741" w14:textId="77777777" w:rsidR="00BE36FB" w:rsidRPr="009B7B35" w:rsidRDefault="00BE36FB" w:rsidP="001A7107">
            <w:pPr>
              <w:pStyle w:val="TableText"/>
              <w:rPr>
                <w:rFonts w:cs="Arial"/>
              </w:rPr>
            </w:pPr>
            <w:r w:rsidRPr="009B7B35">
              <w:rPr>
                <w:rFonts w:cs="Arial"/>
              </w:rPr>
              <w:t>Park</w:t>
            </w:r>
          </w:p>
          <w:p w14:paraId="2F61D619"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575F3A5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04AB2A2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2A246FD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52E2F0F4"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7" w:type="dxa"/>
          </w:tcPr>
          <w:p w14:paraId="6742B1C8"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7C40C70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357C4A72"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4A7C7F4F"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8" w:type="dxa"/>
            <w:gridSpan w:val="2"/>
          </w:tcPr>
          <w:p w14:paraId="5C218DDF"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0E4C94EF"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r w:rsidRPr="009B7B35">
              <w:rPr>
                <w:rFonts w:cs="Arial"/>
                <w:color w:val="FF0000"/>
                <w:lang w:val="en-GB"/>
              </w:rPr>
              <w:t>.</w:t>
            </w:r>
          </w:p>
          <w:p w14:paraId="2AFA3E09"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7" w:type="dxa"/>
          </w:tcPr>
          <w:p w14:paraId="5D2AB55C"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252CE154" w14:textId="77777777" w:rsidR="00BE36FB" w:rsidRPr="009B7B35" w:rsidRDefault="00BE36FB" w:rsidP="001A7107">
      <w:pPr>
        <w:pStyle w:val="Heading5"/>
        <w:numPr>
          <w:ilvl w:val="0"/>
          <w:numId w:val="0"/>
        </w:numPr>
        <w:rPr>
          <w:rFonts w:cs="Arial"/>
          <w:szCs w:val="20"/>
        </w:rPr>
      </w:pPr>
      <w:r w:rsidRPr="009B7B35">
        <w:rPr>
          <w:rFonts w:cs="Arial"/>
          <w:szCs w:val="20"/>
        </w:rPr>
        <w:t>Table 5.5.4—Character residential zone</w:t>
      </w:r>
    </w:p>
    <w:tbl>
      <w:tblPr>
        <w:tblStyle w:val="Tablestyle"/>
        <w:tblW w:w="9361" w:type="dxa"/>
        <w:tblLook w:val="01E0" w:firstRow="1" w:lastRow="1" w:firstColumn="1" w:lastColumn="1" w:noHBand="0" w:noVBand="0"/>
      </w:tblPr>
      <w:tblGrid>
        <w:gridCol w:w="2409"/>
        <w:gridCol w:w="3476"/>
        <w:gridCol w:w="3476"/>
      </w:tblGrid>
      <w:tr w:rsidR="00BE36FB" w:rsidRPr="009B7B35" w14:paraId="6CE45441" w14:textId="77777777"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9" w:type="dxa"/>
          </w:tcPr>
          <w:p w14:paraId="45CD0F02"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6" w:type="dxa"/>
          </w:tcPr>
          <w:p w14:paraId="66C5A21B"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6" w:type="dxa"/>
          </w:tcPr>
          <w:p w14:paraId="46E8D29B"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379D26F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0E813A8D" w14:textId="77777777" w:rsidR="00BE36FB" w:rsidRPr="009B7B35" w:rsidRDefault="00BE36FB" w:rsidP="001A7107">
            <w:pPr>
              <w:pStyle w:val="TableText"/>
              <w:rPr>
                <w:rFonts w:cs="Arial"/>
              </w:rPr>
            </w:pPr>
            <w:r w:rsidRPr="009B7B35">
              <w:rPr>
                <w:rFonts w:cs="Arial"/>
              </w:rPr>
              <w:t>Caretaker accommodation</w:t>
            </w:r>
          </w:p>
          <w:p w14:paraId="0EAFED4C" w14:textId="77777777" w:rsidR="00BE36FB" w:rsidRPr="009B7B35" w:rsidRDefault="00BE36FB" w:rsidP="001A7107">
            <w:pPr>
              <w:pStyle w:val="TableText"/>
              <w:rPr>
                <w:rFonts w:cs="Arial"/>
              </w:rPr>
            </w:pPr>
            <w:r w:rsidRPr="009B7B35">
              <w:rPr>
                <w:rFonts w:cs="Arial"/>
              </w:rPr>
              <w:t>Dual occupancy</w:t>
            </w:r>
          </w:p>
          <w:p w14:paraId="0E2F2752" w14:textId="77777777" w:rsidR="00BE36FB" w:rsidRPr="009B7B35" w:rsidRDefault="00BE36FB" w:rsidP="001A7107">
            <w:pPr>
              <w:pStyle w:val="TableText"/>
              <w:rPr>
                <w:rFonts w:cs="Arial"/>
              </w:rPr>
            </w:pPr>
            <w:r w:rsidRPr="009B7B35">
              <w:rPr>
                <w:rFonts w:cs="Arial"/>
              </w:rPr>
              <w:t>Dwelling house</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14:paraId="42043CCC"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567BE13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22EBB44F"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14:paraId="4770FC7C"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6" w:type="dxa"/>
          </w:tcPr>
          <w:p w14:paraId="54930D51" w14:textId="77777777" w:rsidR="00BE36FB" w:rsidRPr="009B7B35" w:rsidRDefault="00BE36FB" w:rsidP="001A7107">
            <w:pPr>
              <w:pStyle w:val="TableText"/>
              <w:rPr>
                <w:rFonts w:cs="Arial"/>
                <w:color w:val="auto"/>
              </w:rPr>
            </w:pPr>
            <w:r w:rsidRPr="009B7B35">
              <w:rPr>
                <w:rFonts w:cs="Arial"/>
                <w:color w:val="auto"/>
              </w:rPr>
              <w:t>Zone code:</w:t>
            </w:r>
          </w:p>
          <w:p w14:paraId="2872C85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Character residential zone code</w:t>
            </w:r>
          </w:p>
        </w:tc>
      </w:tr>
      <w:tr w:rsidR="00BE36FB" w:rsidRPr="009B7B35" w14:paraId="12FAFA1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697B8BE9" w14:textId="77777777" w:rsidR="00BE36FB" w:rsidRPr="009B7B35" w:rsidRDefault="00BE36FB" w:rsidP="001A7107">
            <w:pPr>
              <w:pStyle w:val="TableText"/>
              <w:rPr>
                <w:rFonts w:cs="Arial"/>
              </w:rPr>
            </w:pPr>
            <w:r w:rsidRPr="009B7B35">
              <w:rPr>
                <w:rFonts w:cs="Arial"/>
              </w:rPr>
              <w:t>Emergency services</w:t>
            </w:r>
          </w:p>
          <w:p w14:paraId="43B36BCC" w14:textId="77777777" w:rsidR="00BE36FB" w:rsidRPr="009B7B35" w:rsidRDefault="00BE36FB" w:rsidP="001A7107">
            <w:pPr>
              <w:pStyle w:val="TableText"/>
              <w:rPr>
                <w:rFonts w:cs="Arial"/>
              </w:rPr>
            </w:pPr>
            <w:r w:rsidRPr="009B7B35">
              <w:rPr>
                <w:rFonts w:cs="Arial"/>
              </w:rPr>
              <w:t>Substation</w:t>
            </w:r>
          </w:p>
          <w:p w14:paraId="553B3824"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14:paraId="5BE59E69"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700FC4C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4159E77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14:paraId="31111A78"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78313273"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6" w:type="dxa"/>
          </w:tcPr>
          <w:p w14:paraId="12696336"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66A7CD1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27FD5FBD"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14:paraId="3E4E8DE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2AE17AF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4E74895B"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14:paraId="67C64E42"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3DB530E3"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6" w:type="dxa"/>
          </w:tcPr>
          <w:p w14:paraId="6B21586B" w14:textId="77777777" w:rsidR="00BE36FB" w:rsidRPr="009B7B35" w:rsidRDefault="00BE36FB" w:rsidP="001A7107">
            <w:pPr>
              <w:pStyle w:val="TableText"/>
              <w:rPr>
                <w:rFonts w:cs="Arial"/>
                <w:color w:val="auto"/>
              </w:rPr>
            </w:pPr>
            <w:r w:rsidRPr="009B7B35">
              <w:rPr>
                <w:rFonts w:cs="Arial"/>
                <w:color w:val="auto"/>
              </w:rPr>
              <w:t>Zone code:</w:t>
            </w:r>
          </w:p>
          <w:p w14:paraId="7949E68C"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Character density residential zone code</w:t>
            </w:r>
          </w:p>
          <w:p w14:paraId="231E756F" w14:textId="77777777" w:rsidR="00BE36FB" w:rsidRPr="009B7B35" w:rsidRDefault="00BE36FB" w:rsidP="001A7107">
            <w:pPr>
              <w:pStyle w:val="TableText"/>
              <w:rPr>
                <w:rFonts w:cs="Arial"/>
                <w:color w:val="auto"/>
              </w:rPr>
            </w:pPr>
            <w:r w:rsidRPr="009B7B35">
              <w:rPr>
                <w:rFonts w:cs="Arial"/>
                <w:color w:val="auto"/>
              </w:rPr>
              <w:t>Other development codes:</w:t>
            </w:r>
          </w:p>
          <w:p w14:paraId="628BDE7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7420F6B2" w14:textId="77777777" w:rsidTr="001A7107">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2736BDAE" w14:textId="77777777"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14:paraId="7A178A48"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20FF8ED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2FA50553"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14:paraId="68CA01F7"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6" w:type="dxa"/>
          </w:tcPr>
          <w:p w14:paraId="28BA3F24" w14:textId="77777777" w:rsidR="00BE36FB" w:rsidRPr="009B7B35" w:rsidRDefault="00BE36FB" w:rsidP="001A7107">
            <w:pPr>
              <w:pStyle w:val="ListBullet"/>
              <w:numPr>
                <w:ilvl w:val="0"/>
                <w:numId w:val="0"/>
              </w:numPr>
              <w:tabs>
                <w:tab w:val="clear" w:pos="284"/>
                <w:tab w:val="left" w:pos="12"/>
              </w:tabs>
              <w:ind w:left="284" w:hanging="272"/>
              <w:rPr>
                <w:rFonts w:cs="Arial"/>
                <w:color w:val="auto"/>
                <w:szCs w:val="20"/>
              </w:rPr>
            </w:pPr>
            <w:r w:rsidRPr="009B7B35">
              <w:rPr>
                <w:rFonts w:cs="Arial"/>
                <w:color w:val="auto"/>
                <w:szCs w:val="20"/>
              </w:rPr>
              <w:t>Use code:</w:t>
            </w:r>
          </w:p>
          <w:p w14:paraId="0C151CD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Home Based business code</w:t>
            </w:r>
          </w:p>
        </w:tc>
      </w:tr>
      <w:tr w:rsidR="00BE36FB" w:rsidRPr="009B7B35" w14:paraId="37063DD8" w14:textId="77777777" w:rsidTr="001A7107">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07178CD3" w14:textId="77777777" w:rsidR="00BE36FB" w:rsidRPr="009B7B35" w:rsidRDefault="00BE36FB" w:rsidP="001A7107">
            <w:pPr>
              <w:pStyle w:val="TableText"/>
              <w:rPr>
                <w:rFonts w:cs="Arial"/>
              </w:rPr>
            </w:pPr>
            <w:r w:rsidRPr="009B7B35">
              <w:rPr>
                <w:rFonts w:cs="Arial"/>
              </w:rPr>
              <w:t>Landing*</w:t>
            </w:r>
          </w:p>
          <w:p w14:paraId="2D822F67" w14:textId="77777777" w:rsidR="00BE36FB" w:rsidRPr="009B7B35" w:rsidRDefault="00BE36FB" w:rsidP="001A7107">
            <w:pPr>
              <w:pStyle w:val="TableText"/>
              <w:rPr>
                <w:rFonts w:cs="Arial"/>
              </w:rPr>
            </w:pPr>
            <w:r w:rsidRPr="009B7B35">
              <w:rPr>
                <w:rFonts w:cs="Arial"/>
              </w:rPr>
              <w:t>Park</w:t>
            </w:r>
          </w:p>
          <w:p w14:paraId="76615775"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14:paraId="0F6529EE"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24A64F8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057F4BA8"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14:paraId="7F862ABE"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6" w:type="dxa"/>
          </w:tcPr>
          <w:p w14:paraId="5922BC80"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43F1CC53" w14:textId="77777777" w:rsidTr="001A7107">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1B46678F" w14:textId="77777777" w:rsidR="00BE36FB" w:rsidRPr="009B7B35" w:rsidRDefault="00BE36FB" w:rsidP="001A7107">
            <w:pPr>
              <w:pStyle w:val="TableText"/>
              <w:rPr>
                <w:rFonts w:cs="Arial"/>
              </w:rPr>
            </w:pPr>
            <w:r w:rsidRPr="009B7B35">
              <w:rPr>
                <w:rFonts w:cs="Arial"/>
              </w:rPr>
              <w:t>Short term accommodation</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14:paraId="76FF872D"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559BB49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2E38531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14:paraId="41D93389" w14:textId="77777777" w:rsidR="00BE36FB" w:rsidRPr="009B7B35" w:rsidRDefault="00BE36FB" w:rsidP="001A7107">
            <w:pPr>
              <w:pStyle w:val="TableText"/>
              <w:rPr>
                <w:rFonts w:cs="Arial"/>
              </w:rPr>
            </w:pPr>
            <w:r w:rsidRPr="009B7B35">
              <w:rPr>
                <w:rFonts w:cs="Arial"/>
              </w:rPr>
              <w:t>If located within an existing building</w:t>
            </w:r>
          </w:p>
        </w:tc>
        <w:tc>
          <w:tcPr>
            <w:cnfStyle w:val="000100000000" w:firstRow="0" w:lastRow="0" w:firstColumn="0" w:lastColumn="1" w:oddVBand="0" w:evenVBand="0" w:oddHBand="0" w:evenHBand="0" w:firstRowFirstColumn="0" w:firstRowLastColumn="0" w:lastRowFirstColumn="0" w:lastRowLastColumn="0"/>
            <w:tcW w:w="3476" w:type="dxa"/>
          </w:tcPr>
          <w:p w14:paraId="449AEADB" w14:textId="77777777" w:rsidR="00BE36FB" w:rsidRPr="009B7B35" w:rsidRDefault="00BE36FB" w:rsidP="001A7107">
            <w:pPr>
              <w:pStyle w:val="TableText"/>
              <w:rPr>
                <w:rFonts w:cs="Arial"/>
                <w:color w:val="auto"/>
              </w:rPr>
            </w:pPr>
            <w:r w:rsidRPr="009B7B35">
              <w:rPr>
                <w:rFonts w:cs="Arial"/>
                <w:color w:val="auto"/>
              </w:rPr>
              <w:t>Zone code:</w:t>
            </w:r>
          </w:p>
          <w:p w14:paraId="0630B678"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Character residential zone code</w:t>
            </w:r>
          </w:p>
          <w:p w14:paraId="15D4C415" w14:textId="77777777" w:rsidR="00BE36FB" w:rsidRPr="009B7B35" w:rsidRDefault="00BE36FB" w:rsidP="001A7107">
            <w:pPr>
              <w:pStyle w:val="TableText"/>
              <w:rPr>
                <w:rFonts w:cs="Arial"/>
                <w:color w:val="auto"/>
              </w:rPr>
            </w:pPr>
            <w:r w:rsidRPr="009B7B35">
              <w:rPr>
                <w:rFonts w:cs="Arial"/>
                <w:color w:val="auto"/>
              </w:rPr>
              <w:t>Other development codes:</w:t>
            </w:r>
          </w:p>
          <w:p w14:paraId="1E730CBB"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Development design code (waste management only)</w:t>
            </w:r>
          </w:p>
          <w:p w14:paraId="3EBC372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5E43A9E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1" w:type="dxa"/>
            <w:gridSpan w:val="3"/>
            <w:shd w:val="clear" w:color="auto" w:fill="BFBFBF" w:themeFill="background1" w:themeFillShade="BF"/>
          </w:tcPr>
          <w:p w14:paraId="516D041D"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1031C47C"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5" w:type="dxa"/>
            <w:gridSpan w:val="2"/>
          </w:tcPr>
          <w:p w14:paraId="64D99C77"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0B547F1D"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439D3501"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6" w:type="dxa"/>
          </w:tcPr>
          <w:p w14:paraId="01074D6B"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604B8EE1" w14:textId="77777777" w:rsidR="00BE36FB" w:rsidRPr="009B7B35" w:rsidRDefault="00BE36FB" w:rsidP="001A7107">
      <w:pPr>
        <w:pStyle w:val="Heading5"/>
        <w:numPr>
          <w:ilvl w:val="0"/>
          <w:numId w:val="0"/>
        </w:numPr>
        <w:rPr>
          <w:rFonts w:cs="Arial"/>
          <w:szCs w:val="20"/>
        </w:rPr>
      </w:pPr>
      <w:r w:rsidRPr="009B7B35">
        <w:rPr>
          <w:rFonts w:cs="Arial"/>
          <w:szCs w:val="20"/>
        </w:rPr>
        <w:t>Table 5.5.5—Emerging community zone</w:t>
      </w:r>
    </w:p>
    <w:tbl>
      <w:tblPr>
        <w:tblStyle w:val="Tablestyle"/>
        <w:tblW w:w="9361" w:type="dxa"/>
        <w:tblLook w:val="01E0" w:firstRow="1" w:lastRow="1" w:firstColumn="1" w:lastColumn="1" w:noHBand="0" w:noVBand="0"/>
      </w:tblPr>
      <w:tblGrid>
        <w:gridCol w:w="2409"/>
        <w:gridCol w:w="3476"/>
        <w:gridCol w:w="3476"/>
      </w:tblGrid>
      <w:tr w:rsidR="00BE36FB" w:rsidRPr="009B7B35" w14:paraId="4A224B92"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14:paraId="4DB53E2B"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6" w:type="dxa"/>
          </w:tcPr>
          <w:p w14:paraId="3D1ED37C"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6" w:type="dxa"/>
          </w:tcPr>
          <w:p w14:paraId="62A40A0C"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0CFA4C2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20B9F862" w14:textId="77777777" w:rsidR="00BE36FB" w:rsidRPr="009B7B35" w:rsidRDefault="00BE36FB" w:rsidP="001A7107">
            <w:pPr>
              <w:pStyle w:val="TableText"/>
              <w:rPr>
                <w:rFonts w:cs="Arial"/>
              </w:rPr>
            </w:pPr>
            <w:r w:rsidRPr="009B7B35">
              <w:rPr>
                <w:rFonts w:cs="Arial"/>
              </w:rPr>
              <w:t>Animal husbandry</w:t>
            </w:r>
          </w:p>
          <w:p w14:paraId="197A8100" w14:textId="77777777" w:rsidR="00BE36FB" w:rsidRPr="009B7B35" w:rsidRDefault="00BE36FB" w:rsidP="001A7107">
            <w:pPr>
              <w:pStyle w:val="TableText"/>
              <w:rPr>
                <w:rFonts w:cs="Arial"/>
              </w:rPr>
            </w:pPr>
            <w:r w:rsidRPr="009B7B35">
              <w:rPr>
                <w:rFonts w:cs="Arial"/>
              </w:rPr>
              <w:t>Landing*</w:t>
            </w:r>
          </w:p>
          <w:p w14:paraId="0BB395B9" w14:textId="77777777" w:rsidR="00BE36FB" w:rsidRPr="009B7B35" w:rsidRDefault="00BE36FB" w:rsidP="001A7107">
            <w:pPr>
              <w:pStyle w:val="TableText"/>
              <w:rPr>
                <w:rFonts w:cs="Arial"/>
              </w:rPr>
            </w:pPr>
            <w:r w:rsidRPr="009B7B35">
              <w:rPr>
                <w:rFonts w:cs="Arial"/>
              </w:rPr>
              <w:t>Park</w:t>
            </w:r>
          </w:p>
          <w:p w14:paraId="0383A0F1"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14:paraId="6BC20302"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0D28562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79493C47"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14:paraId="099A5925"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6" w:type="dxa"/>
          </w:tcPr>
          <w:p w14:paraId="015AA2E8"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2E466B4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5F7EE985" w14:textId="77777777" w:rsidR="00BE36FB" w:rsidRPr="009B7B35" w:rsidRDefault="00BE36FB" w:rsidP="001A7107">
            <w:pPr>
              <w:pStyle w:val="TableText"/>
              <w:rPr>
                <w:rFonts w:cs="Arial"/>
              </w:rPr>
            </w:pPr>
            <w:r w:rsidRPr="009B7B35">
              <w:rPr>
                <w:rFonts w:cs="Arial"/>
              </w:rPr>
              <w:t>Caretaker’s accommodation</w:t>
            </w:r>
          </w:p>
          <w:p w14:paraId="22D16B3F" w14:textId="77777777" w:rsidR="00BE36FB" w:rsidRPr="009B7B35" w:rsidRDefault="00BE36FB" w:rsidP="001A7107">
            <w:pPr>
              <w:pStyle w:val="TableText"/>
              <w:rPr>
                <w:rFonts w:cs="Arial"/>
              </w:rPr>
            </w:pPr>
            <w:r w:rsidRPr="009B7B35">
              <w:rPr>
                <w:rFonts w:cs="Arial"/>
              </w:rPr>
              <w:t>Dwelling house</w:t>
            </w:r>
          </w:p>
          <w:p w14:paraId="570C1C76" w14:textId="77777777" w:rsidR="00BE36FB" w:rsidRPr="009B7B35" w:rsidRDefault="00BE36FB" w:rsidP="001A7107">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14:paraId="06ACCD23"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7FF9704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5E8DE857"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14:paraId="05174D3E"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6" w:type="dxa"/>
          </w:tcPr>
          <w:p w14:paraId="69FAEBC2" w14:textId="77777777" w:rsidR="00BE36FB" w:rsidRPr="009B7B35" w:rsidRDefault="00BE36FB" w:rsidP="001A7107">
            <w:pPr>
              <w:pStyle w:val="TableText"/>
              <w:rPr>
                <w:rFonts w:cs="Arial"/>
                <w:color w:val="auto"/>
              </w:rPr>
            </w:pPr>
            <w:r w:rsidRPr="009B7B35">
              <w:rPr>
                <w:rFonts w:cs="Arial"/>
                <w:color w:val="auto"/>
              </w:rPr>
              <w:t>Zone code:</w:t>
            </w:r>
          </w:p>
          <w:p w14:paraId="5A33601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Emerging community zone code</w:t>
            </w:r>
          </w:p>
        </w:tc>
      </w:tr>
      <w:tr w:rsidR="00BE36FB" w:rsidRPr="009B7B35" w14:paraId="0928BE5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1F551030" w14:textId="77777777" w:rsidR="00BE36FB" w:rsidRPr="009B7B35" w:rsidRDefault="00BE36FB" w:rsidP="001A7107">
            <w:pPr>
              <w:pStyle w:val="TableText"/>
              <w:rPr>
                <w:rFonts w:cs="Arial"/>
              </w:rPr>
            </w:pPr>
            <w:r w:rsidRPr="009B7B35">
              <w:rPr>
                <w:rFonts w:cs="Arial"/>
              </w:rPr>
              <w:t>Emergency services</w:t>
            </w:r>
          </w:p>
          <w:p w14:paraId="1D5AC480" w14:textId="77777777" w:rsidR="00BE36FB" w:rsidRPr="009B7B35" w:rsidRDefault="00BE36FB" w:rsidP="001A7107">
            <w:pPr>
              <w:pStyle w:val="TableText"/>
              <w:rPr>
                <w:rFonts w:cs="Arial"/>
              </w:rPr>
            </w:pPr>
            <w:r w:rsidRPr="009B7B35">
              <w:rPr>
                <w:rFonts w:cs="Arial"/>
              </w:rPr>
              <w:t>Substation</w:t>
            </w:r>
          </w:p>
          <w:p w14:paraId="3E312BC8"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14:paraId="7F6963DB"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501D855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7B1B247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14:paraId="5B53A62D"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331AF360"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6" w:type="dxa"/>
          </w:tcPr>
          <w:p w14:paraId="2BF77A59"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593C4EF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17905E3A"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14:paraId="187B9CD5"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217D68E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79AE9E1D"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14:paraId="3AF4C1CF"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5ABC0507"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6" w:type="dxa"/>
          </w:tcPr>
          <w:p w14:paraId="7A19CDC8" w14:textId="77777777" w:rsidR="00BE36FB" w:rsidRPr="009B7B35" w:rsidRDefault="00BE36FB" w:rsidP="001A7107">
            <w:pPr>
              <w:pStyle w:val="TableText"/>
              <w:rPr>
                <w:rFonts w:cs="Arial"/>
                <w:color w:val="auto"/>
              </w:rPr>
            </w:pPr>
            <w:r w:rsidRPr="009B7B35">
              <w:rPr>
                <w:rFonts w:cs="Arial"/>
                <w:color w:val="auto"/>
              </w:rPr>
              <w:t>Zone code:</w:t>
            </w:r>
          </w:p>
          <w:p w14:paraId="4AF8759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Emerging community zone code</w:t>
            </w:r>
          </w:p>
          <w:p w14:paraId="38C49034" w14:textId="77777777" w:rsidR="00BE36FB" w:rsidRPr="009B7B35" w:rsidRDefault="00BE36FB" w:rsidP="001A7107">
            <w:pPr>
              <w:pStyle w:val="TableText"/>
              <w:rPr>
                <w:rFonts w:cs="Arial"/>
                <w:color w:val="auto"/>
              </w:rPr>
            </w:pPr>
            <w:r w:rsidRPr="009B7B35">
              <w:rPr>
                <w:rFonts w:cs="Arial"/>
                <w:color w:val="auto"/>
              </w:rPr>
              <w:t>Other development codes:</w:t>
            </w:r>
          </w:p>
          <w:p w14:paraId="67DCED0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2458B15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632F27F5" w14:textId="77777777"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14:paraId="231CD65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38BA4AA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7998EEC2"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14:paraId="7B0C8E98"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6" w:type="dxa"/>
          </w:tcPr>
          <w:p w14:paraId="2BC762D1" w14:textId="77777777" w:rsidR="00BE36FB" w:rsidRPr="009B7B35" w:rsidRDefault="00BE36FB" w:rsidP="001A7107">
            <w:pPr>
              <w:pStyle w:val="ListBullet"/>
              <w:numPr>
                <w:ilvl w:val="0"/>
                <w:numId w:val="0"/>
              </w:numPr>
              <w:ind w:left="284" w:hanging="272"/>
              <w:rPr>
                <w:rFonts w:cs="Arial"/>
                <w:color w:val="auto"/>
                <w:szCs w:val="20"/>
              </w:rPr>
            </w:pPr>
            <w:r w:rsidRPr="009B7B35">
              <w:rPr>
                <w:rFonts w:cs="Arial"/>
                <w:color w:val="auto"/>
                <w:szCs w:val="20"/>
              </w:rPr>
              <w:t>Use code:</w:t>
            </w:r>
          </w:p>
          <w:p w14:paraId="1B26C0A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Home business code</w:t>
            </w:r>
          </w:p>
        </w:tc>
      </w:tr>
      <w:tr w:rsidR="00BE36FB" w:rsidRPr="009B7B35" w14:paraId="1C546AA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val="restart"/>
          </w:tcPr>
          <w:p w14:paraId="5DCF6733" w14:textId="77777777" w:rsidR="00BE36FB" w:rsidRPr="009B7B35" w:rsidRDefault="00BE36FB" w:rsidP="001A7107">
            <w:pPr>
              <w:pStyle w:val="TableText"/>
              <w:rPr>
                <w:rFonts w:cs="Arial"/>
              </w:rPr>
            </w:pPr>
            <w:r w:rsidRPr="009B7B35">
              <w:rPr>
                <w:rFonts w:cs="Arial"/>
              </w:rPr>
              <w:t>Outdoor sport and recreation</w:t>
            </w:r>
          </w:p>
        </w:tc>
        <w:tc>
          <w:tcPr>
            <w:cnfStyle w:val="000100000000" w:firstRow="0" w:lastRow="0" w:firstColumn="0" w:lastColumn="1" w:oddVBand="0" w:evenVBand="0" w:oddHBand="0" w:evenHBand="0" w:firstRowFirstColumn="0" w:firstRowLastColumn="0" w:lastRowFirstColumn="0" w:lastRowLastColumn="0"/>
            <w:tcW w:w="6952" w:type="dxa"/>
            <w:gridSpan w:val="2"/>
            <w:shd w:val="clear" w:color="auto" w:fill="BFBFBF" w:themeFill="background1" w:themeFillShade="BF"/>
          </w:tcPr>
          <w:p w14:paraId="78B6EAA3"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72FCDE6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vMerge/>
          </w:tcPr>
          <w:p w14:paraId="6D8B35E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6" w:type="dxa"/>
          </w:tcPr>
          <w:p w14:paraId="109F6DC2" w14:textId="77777777"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76" w:type="dxa"/>
          </w:tcPr>
          <w:p w14:paraId="4F425DC1" w14:textId="77777777" w:rsidR="00BE36FB" w:rsidRPr="009B7B35" w:rsidRDefault="00BE36FB" w:rsidP="001A7107">
            <w:pPr>
              <w:pStyle w:val="TableText"/>
              <w:rPr>
                <w:rFonts w:cs="Arial"/>
                <w:color w:val="auto"/>
              </w:rPr>
            </w:pPr>
            <w:r w:rsidRPr="009B7B35">
              <w:rPr>
                <w:rFonts w:cs="Arial"/>
                <w:color w:val="auto"/>
              </w:rPr>
              <w:t>Zone code:</w:t>
            </w:r>
          </w:p>
          <w:p w14:paraId="40138A6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Emerging community zone code</w:t>
            </w:r>
          </w:p>
          <w:p w14:paraId="48B0A033" w14:textId="77777777" w:rsidR="00BE36FB" w:rsidRPr="009B7B35" w:rsidRDefault="00BE36FB" w:rsidP="001A7107">
            <w:pPr>
              <w:pStyle w:val="TableText"/>
              <w:rPr>
                <w:rFonts w:cs="Arial"/>
                <w:color w:val="auto"/>
              </w:rPr>
            </w:pPr>
            <w:r w:rsidRPr="009B7B35">
              <w:rPr>
                <w:rFonts w:cs="Arial"/>
                <w:color w:val="auto"/>
              </w:rPr>
              <w:t>Other development codes:</w:t>
            </w:r>
          </w:p>
          <w:p w14:paraId="3AFEB31F"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582A89FF"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32B474B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1" w:type="dxa"/>
            <w:gridSpan w:val="3"/>
            <w:shd w:val="clear" w:color="auto" w:fill="BFBFBF" w:themeFill="background1" w:themeFillShade="BF"/>
          </w:tcPr>
          <w:p w14:paraId="69EC8B9A"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423DFB2B"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5" w:type="dxa"/>
            <w:gridSpan w:val="2"/>
          </w:tcPr>
          <w:p w14:paraId="4FEEDEFB"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19ED341A"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3BF49905"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6" w:type="dxa"/>
          </w:tcPr>
          <w:p w14:paraId="319F2AE9"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5ED9883F" w14:textId="77777777" w:rsidR="00BE36FB" w:rsidRPr="009B7B35" w:rsidRDefault="00BE36FB" w:rsidP="001A7107">
      <w:pPr>
        <w:pStyle w:val="Heading5"/>
        <w:numPr>
          <w:ilvl w:val="0"/>
          <w:numId w:val="0"/>
        </w:numPr>
        <w:rPr>
          <w:rFonts w:cs="Arial"/>
          <w:szCs w:val="20"/>
        </w:rPr>
      </w:pPr>
      <w:r w:rsidRPr="009B7B35">
        <w:rPr>
          <w:rFonts w:cs="Arial"/>
          <w:szCs w:val="20"/>
        </w:rPr>
        <w:t>Table 5.5.6—Mixed use zone</w:t>
      </w:r>
    </w:p>
    <w:tbl>
      <w:tblPr>
        <w:tblStyle w:val="Tablestyle"/>
        <w:tblW w:w="9356" w:type="dxa"/>
        <w:tblLook w:val="0620" w:firstRow="1" w:lastRow="0" w:firstColumn="0" w:lastColumn="0" w:noHBand="1" w:noVBand="1"/>
      </w:tblPr>
      <w:tblGrid>
        <w:gridCol w:w="2409"/>
        <w:gridCol w:w="3473"/>
        <w:gridCol w:w="3474"/>
      </w:tblGrid>
      <w:tr w:rsidR="00BE36FB" w:rsidRPr="009B7B35" w14:paraId="6D818EED"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2409" w:type="dxa"/>
          </w:tcPr>
          <w:p w14:paraId="5A4CBABE" w14:textId="77777777" w:rsidR="00BE36FB" w:rsidRPr="009B7B35" w:rsidRDefault="00BE36FB" w:rsidP="001A7107">
            <w:pPr>
              <w:pStyle w:val="Tableheading"/>
              <w:rPr>
                <w:rFonts w:ascii="Arial" w:hAnsi="Arial" w:cs="Arial"/>
                <w:szCs w:val="20"/>
              </w:rPr>
            </w:pPr>
            <w:r w:rsidRPr="009B7B35">
              <w:rPr>
                <w:rFonts w:ascii="Arial" w:hAnsi="Arial" w:cs="Arial"/>
                <w:szCs w:val="20"/>
              </w:rPr>
              <w:t>Use</w:t>
            </w:r>
          </w:p>
        </w:tc>
        <w:tc>
          <w:tcPr>
            <w:tcW w:w="3473" w:type="dxa"/>
          </w:tcPr>
          <w:p w14:paraId="4CA4ED67" w14:textId="77777777" w:rsidR="00BE36FB" w:rsidRPr="009B7B35" w:rsidRDefault="00BE36FB" w:rsidP="001A7107">
            <w:pPr>
              <w:pStyle w:val="Tableheading"/>
              <w:rPr>
                <w:rFonts w:ascii="Arial" w:hAnsi="Arial" w:cs="Arial"/>
                <w:szCs w:val="20"/>
              </w:rPr>
            </w:pPr>
            <w:r w:rsidRPr="009B7B35">
              <w:rPr>
                <w:rFonts w:ascii="Arial" w:hAnsi="Arial" w:cs="Arial"/>
                <w:szCs w:val="20"/>
              </w:rPr>
              <w:t>Categories of development and  assessment</w:t>
            </w:r>
          </w:p>
        </w:tc>
        <w:tc>
          <w:tcPr>
            <w:tcW w:w="3474" w:type="dxa"/>
          </w:tcPr>
          <w:p w14:paraId="6E347536" w14:textId="77777777" w:rsidR="00BE36FB" w:rsidRPr="009B7B35" w:rsidRDefault="00BE36FB" w:rsidP="001A7107">
            <w:pPr>
              <w:pStyle w:val="Tableheading"/>
              <w:rPr>
                <w:rFonts w:ascii="Arial" w:hAnsi="Arial" w:cs="Arial"/>
                <w:szCs w:val="20"/>
              </w:rPr>
            </w:pPr>
            <w:r w:rsidRPr="009B7B35">
              <w:rPr>
                <w:rFonts w:ascii="Arial" w:hAnsi="Arial" w:cs="Arial"/>
                <w:szCs w:val="20"/>
              </w:rPr>
              <w:t>Assessment benchmarks for assessable development and requirements for accepted development</w:t>
            </w:r>
          </w:p>
        </w:tc>
      </w:tr>
      <w:tr w:rsidR="00BE36FB" w:rsidRPr="009B7B35" w14:paraId="2B4BFC4E" w14:textId="77777777" w:rsidTr="001A7107">
        <w:trPr>
          <w:cantSplit/>
        </w:trPr>
        <w:tc>
          <w:tcPr>
            <w:tcW w:w="2409" w:type="dxa"/>
            <w:vMerge w:val="restart"/>
          </w:tcPr>
          <w:p w14:paraId="1E55131C" w14:textId="77777777" w:rsidR="00BE36FB" w:rsidRPr="009B7B35" w:rsidRDefault="00BE36FB">
            <w:pPr>
              <w:pStyle w:val="TableText"/>
              <w:rPr>
                <w:rFonts w:cs="Arial"/>
              </w:rPr>
            </w:pPr>
            <w:r w:rsidRPr="009B7B35">
              <w:rPr>
                <w:rFonts w:cs="Arial"/>
              </w:rPr>
              <w:t>Adult store</w:t>
            </w:r>
          </w:p>
          <w:p w14:paraId="40CADA23" w14:textId="77777777" w:rsidR="00BE36FB" w:rsidRPr="009B7B35" w:rsidRDefault="00BE36FB">
            <w:pPr>
              <w:pStyle w:val="TableText"/>
              <w:rPr>
                <w:rFonts w:cs="Arial"/>
              </w:rPr>
            </w:pPr>
            <w:r w:rsidRPr="009B7B35">
              <w:rPr>
                <w:rFonts w:cs="Arial"/>
              </w:rPr>
              <w:t>Community care centre</w:t>
            </w:r>
          </w:p>
          <w:p w14:paraId="411F36B3" w14:textId="77777777" w:rsidR="00BE36FB" w:rsidRPr="009B7B35" w:rsidRDefault="00BE36FB">
            <w:pPr>
              <w:pStyle w:val="TableText"/>
              <w:rPr>
                <w:rFonts w:cs="Arial"/>
              </w:rPr>
            </w:pPr>
            <w:r w:rsidRPr="009B7B35">
              <w:rPr>
                <w:rFonts w:cs="Arial"/>
              </w:rPr>
              <w:t>Educational establishment</w:t>
            </w:r>
          </w:p>
          <w:p w14:paraId="65823D87" w14:textId="77777777" w:rsidR="00BE36FB" w:rsidRPr="009B7B35" w:rsidRDefault="00BE36FB">
            <w:pPr>
              <w:pStyle w:val="TableText"/>
              <w:rPr>
                <w:rFonts w:cs="Arial"/>
              </w:rPr>
            </w:pPr>
            <w:r w:rsidRPr="009B7B35">
              <w:rPr>
                <w:rFonts w:cs="Arial"/>
              </w:rPr>
              <w:t>Garden centre</w:t>
            </w:r>
          </w:p>
          <w:p w14:paraId="507F4F57" w14:textId="77777777" w:rsidR="00BE36FB" w:rsidRPr="009B7B35" w:rsidRDefault="00BE36FB">
            <w:pPr>
              <w:pStyle w:val="TableText"/>
              <w:rPr>
                <w:rFonts w:cs="Arial"/>
              </w:rPr>
            </w:pPr>
            <w:r w:rsidRPr="009B7B35">
              <w:rPr>
                <w:rFonts w:cs="Arial"/>
              </w:rPr>
              <w:t>Hardware and trade supplies</w:t>
            </w:r>
          </w:p>
          <w:p w14:paraId="3F139AA4" w14:textId="77777777" w:rsidR="00BE36FB" w:rsidRPr="009B7B35" w:rsidRDefault="00BE36FB">
            <w:pPr>
              <w:pStyle w:val="TableText"/>
              <w:rPr>
                <w:rFonts w:cs="Arial"/>
              </w:rPr>
            </w:pPr>
            <w:r w:rsidRPr="009B7B35">
              <w:rPr>
                <w:rFonts w:cs="Arial"/>
              </w:rPr>
              <w:t>Health care services</w:t>
            </w:r>
          </w:p>
          <w:p w14:paraId="6E205DD7" w14:textId="77777777" w:rsidR="00BE36FB" w:rsidRPr="009B7B35" w:rsidRDefault="00BE36FB">
            <w:pPr>
              <w:pStyle w:val="TableText"/>
              <w:rPr>
                <w:rFonts w:cs="Arial"/>
              </w:rPr>
            </w:pPr>
            <w:r w:rsidRPr="009B7B35">
              <w:rPr>
                <w:rFonts w:cs="Arial"/>
              </w:rPr>
              <w:t>Office</w:t>
            </w:r>
          </w:p>
          <w:p w14:paraId="6ABD0042" w14:textId="77777777" w:rsidR="00BE36FB" w:rsidRPr="009B7B35" w:rsidRDefault="00BE36FB">
            <w:pPr>
              <w:pStyle w:val="TableText"/>
              <w:rPr>
                <w:rFonts w:cs="Arial"/>
              </w:rPr>
            </w:pPr>
            <w:r w:rsidRPr="009B7B35">
              <w:rPr>
                <w:rFonts w:cs="Arial"/>
              </w:rPr>
              <w:t>Service industry</w:t>
            </w:r>
          </w:p>
        </w:tc>
        <w:tc>
          <w:tcPr>
            <w:tcW w:w="6947" w:type="dxa"/>
            <w:gridSpan w:val="2"/>
            <w:shd w:val="clear" w:color="auto" w:fill="BFBFBF" w:themeFill="background1" w:themeFillShade="BF"/>
          </w:tcPr>
          <w:p w14:paraId="6FBFC741" w14:textId="77777777"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14:paraId="482B9764" w14:textId="77777777" w:rsidTr="001A7107">
        <w:trPr>
          <w:cantSplit/>
        </w:trPr>
        <w:tc>
          <w:tcPr>
            <w:tcW w:w="2409" w:type="dxa"/>
            <w:vMerge/>
          </w:tcPr>
          <w:p w14:paraId="1D1B0133" w14:textId="77777777" w:rsidR="00BE36FB" w:rsidRPr="009B7B35" w:rsidRDefault="00BE36FB">
            <w:pPr>
              <w:pStyle w:val="TableText"/>
              <w:rPr>
                <w:rFonts w:cs="Arial"/>
              </w:rPr>
            </w:pPr>
          </w:p>
        </w:tc>
        <w:tc>
          <w:tcPr>
            <w:tcW w:w="3473" w:type="dxa"/>
          </w:tcPr>
          <w:p w14:paraId="3009B23B" w14:textId="77777777" w:rsidR="00BE36FB" w:rsidRPr="009B7B35" w:rsidRDefault="00BE36FB" w:rsidP="001A7107">
            <w:pPr>
              <w:pStyle w:val="TableText"/>
              <w:rPr>
                <w:rFonts w:cs="Arial"/>
              </w:rPr>
            </w:pPr>
            <w:r w:rsidRPr="009B7B35">
              <w:rPr>
                <w:rFonts w:cs="Arial"/>
              </w:rPr>
              <w:t xml:space="preserve">If: </w:t>
            </w:r>
          </w:p>
          <w:p w14:paraId="7F075DD1" w14:textId="77777777" w:rsidR="00BE36FB" w:rsidRPr="009B7B35" w:rsidRDefault="00BE36FB" w:rsidP="00BE36FB">
            <w:pPr>
              <w:pStyle w:val="TableText"/>
              <w:numPr>
                <w:ilvl w:val="0"/>
                <w:numId w:val="27"/>
              </w:numPr>
              <w:rPr>
                <w:rFonts w:cs="Arial"/>
              </w:rPr>
            </w:pPr>
            <w:r w:rsidRPr="009B7B35">
              <w:rPr>
                <w:rFonts w:cs="Arial"/>
              </w:rPr>
              <w:t>involving the reuse of an existing non–residential building and not increasing gross floor area, and</w:t>
            </w:r>
          </w:p>
          <w:p w14:paraId="58A719B4" w14:textId="77777777" w:rsidR="00BE36FB" w:rsidRPr="009B7B35" w:rsidRDefault="00BE36FB" w:rsidP="00BE36FB">
            <w:pPr>
              <w:pStyle w:val="TableText"/>
              <w:numPr>
                <w:ilvl w:val="0"/>
                <w:numId w:val="27"/>
              </w:numPr>
              <w:rPr>
                <w:rFonts w:cs="Arial"/>
              </w:rPr>
            </w:pPr>
            <w:r w:rsidRPr="009B7B35">
              <w:rPr>
                <w:rFonts w:cs="Arial"/>
              </w:rPr>
              <w:t>not located in the Jeffery Court precinct.</w:t>
            </w:r>
          </w:p>
        </w:tc>
        <w:tc>
          <w:tcPr>
            <w:tcW w:w="3474" w:type="dxa"/>
          </w:tcPr>
          <w:p w14:paraId="1D91F51F" w14:textId="77777777" w:rsidR="00BE36FB" w:rsidRPr="009B7B35" w:rsidRDefault="00BE36FB" w:rsidP="001A7107">
            <w:pPr>
              <w:pStyle w:val="TableText"/>
              <w:rPr>
                <w:rFonts w:cs="Arial"/>
              </w:rPr>
            </w:pPr>
            <w:r w:rsidRPr="009B7B35">
              <w:rPr>
                <w:rFonts w:cs="Arial"/>
              </w:rPr>
              <w:t>Zone code:</w:t>
            </w:r>
          </w:p>
          <w:p w14:paraId="03755ADE" w14:textId="77777777" w:rsidR="00BE36FB" w:rsidRPr="009B7B35" w:rsidRDefault="00BE36FB" w:rsidP="00BE36FB">
            <w:pPr>
              <w:pStyle w:val="ListBullet"/>
              <w:ind w:left="360" w:hanging="360"/>
              <w:rPr>
                <w:rFonts w:cs="Arial"/>
                <w:szCs w:val="20"/>
              </w:rPr>
            </w:pPr>
            <w:r w:rsidRPr="009B7B35">
              <w:rPr>
                <w:rFonts w:cs="Arial"/>
                <w:szCs w:val="20"/>
              </w:rPr>
              <w:t>Mixed use zone code</w:t>
            </w:r>
          </w:p>
        </w:tc>
      </w:tr>
      <w:tr w:rsidR="00BE36FB" w:rsidRPr="009B7B35" w14:paraId="5BCA3B88" w14:textId="77777777" w:rsidTr="001A7107">
        <w:trPr>
          <w:cantSplit/>
        </w:trPr>
        <w:tc>
          <w:tcPr>
            <w:tcW w:w="2409" w:type="dxa"/>
            <w:vMerge/>
          </w:tcPr>
          <w:p w14:paraId="4B5BBFA1" w14:textId="77777777" w:rsidR="00BE36FB" w:rsidRPr="009B7B35" w:rsidRDefault="00BE36FB">
            <w:pPr>
              <w:pStyle w:val="TableText"/>
              <w:rPr>
                <w:rFonts w:cs="Arial"/>
              </w:rPr>
            </w:pPr>
          </w:p>
        </w:tc>
        <w:tc>
          <w:tcPr>
            <w:tcW w:w="6947" w:type="dxa"/>
            <w:gridSpan w:val="2"/>
            <w:shd w:val="clear" w:color="auto" w:fill="BFBFBF" w:themeFill="background1" w:themeFillShade="BF"/>
          </w:tcPr>
          <w:p w14:paraId="19D35756" w14:textId="77777777" w:rsidR="00BE36FB" w:rsidRPr="009B7B35" w:rsidRDefault="00BE36FB" w:rsidP="001A7107">
            <w:pPr>
              <w:pStyle w:val="Tableheading"/>
              <w:rPr>
                <w:rFonts w:ascii="Arial" w:hAnsi="Arial" w:cs="Arial"/>
                <w:szCs w:val="20"/>
              </w:rPr>
            </w:pPr>
            <w:r w:rsidRPr="009B7B35">
              <w:rPr>
                <w:rFonts w:ascii="Arial" w:hAnsi="Arial" w:cs="Arial"/>
                <w:szCs w:val="20"/>
              </w:rPr>
              <w:t>Code assessment</w:t>
            </w:r>
          </w:p>
        </w:tc>
      </w:tr>
      <w:tr w:rsidR="00BE36FB" w:rsidRPr="009B7B35" w14:paraId="0C49E31D" w14:textId="77777777" w:rsidTr="001A7107">
        <w:trPr>
          <w:cantSplit/>
        </w:trPr>
        <w:tc>
          <w:tcPr>
            <w:tcW w:w="2409" w:type="dxa"/>
            <w:vMerge/>
          </w:tcPr>
          <w:p w14:paraId="785AC092" w14:textId="77777777" w:rsidR="00BE36FB" w:rsidRPr="009B7B35" w:rsidRDefault="00BE36FB">
            <w:pPr>
              <w:pStyle w:val="TableText"/>
              <w:rPr>
                <w:rFonts w:cs="Arial"/>
              </w:rPr>
            </w:pPr>
          </w:p>
        </w:tc>
        <w:tc>
          <w:tcPr>
            <w:tcW w:w="3473" w:type="dxa"/>
          </w:tcPr>
          <w:p w14:paraId="4C9A9E05" w14:textId="77777777" w:rsidR="00BE36FB" w:rsidRPr="009B7B35" w:rsidRDefault="00BE36FB" w:rsidP="001A7107">
            <w:pPr>
              <w:pStyle w:val="TableText"/>
              <w:rPr>
                <w:rFonts w:cs="Arial"/>
              </w:rPr>
            </w:pPr>
            <w:r w:rsidRPr="009B7B35">
              <w:rPr>
                <w:rFonts w:cs="Arial"/>
              </w:rPr>
              <w:t>If:</w:t>
            </w:r>
          </w:p>
          <w:p w14:paraId="62ACFEC1" w14:textId="77777777" w:rsidR="00BE36FB" w:rsidRPr="009B7B35" w:rsidRDefault="00BE36FB" w:rsidP="00BE36FB">
            <w:pPr>
              <w:pStyle w:val="TableText"/>
              <w:numPr>
                <w:ilvl w:val="0"/>
                <w:numId w:val="89"/>
              </w:numPr>
              <w:rPr>
                <w:rFonts w:cs="Arial"/>
              </w:rPr>
            </w:pPr>
            <w:r w:rsidRPr="009B7B35">
              <w:rPr>
                <w:rFonts w:cs="Arial"/>
              </w:rPr>
              <w:t>not located in the Jeffery Court precinct, and</w:t>
            </w:r>
          </w:p>
          <w:p w14:paraId="21B62342" w14:textId="77777777" w:rsidR="00BE36FB" w:rsidRPr="009B7B35" w:rsidRDefault="00BE36FB" w:rsidP="00BE36FB">
            <w:pPr>
              <w:pStyle w:val="TableText"/>
              <w:numPr>
                <w:ilvl w:val="0"/>
                <w:numId w:val="89"/>
              </w:numPr>
              <w:rPr>
                <w:rFonts w:cs="Arial"/>
              </w:rPr>
            </w:pPr>
            <w:r w:rsidRPr="009B7B35">
              <w:rPr>
                <w:rFonts w:cs="Arial"/>
              </w:rPr>
              <w:t>complying with the building height in the Building height and frontages overlay map.</w:t>
            </w:r>
          </w:p>
        </w:tc>
        <w:tc>
          <w:tcPr>
            <w:tcW w:w="3474" w:type="dxa"/>
          </w:tcPr>
          <w:p w14:paraId="63735917" w14:textId="77777777" w:rsidR="00BE36FB" w:rsidRPr="009B7B35" w:rsidRDefault="00BE36FB" w:rsidP="001A7107">
            <w:pPr>
              <w:pStyle w:val="TableText"/>
              <w:rPr>
                <w:rFonts w:cs="Arial"/>
              </w:rPr>
            </w:pPr>
            <w:r w:rsidRPr="009B7B35">
              <w:rPr>
                <w:rFonts w:cs="Arial"/>
              </w:rPr>
              <w:t>Zone code:</w:t>
            </w:r>
          </w:p>
          <w:p w14:paraId="5B2DB772" w14:textId="77777777" w:rsidR="00BE36FB" w:rsidRPr="009B7B35" w:rsidRDefault="00BE36FB" w:rsidP="00BE36FB">
            <w:pPr>
              <w:pStyle w:val="ListBullet"/>
              <w:ind w:left="360" w:hanging="360"/>
              <w:rPr>
                <w:rFonts w:cs="Arial"/>
                <w:szCs w:val="20"/>
              </w:rPr>
            </w:pPr>
            <w:r w:rsidRPr="009B7B35">
              <w:rPr>
                <w:rFonts w:cs="Arial"/>
                <w:szCs w:val="20"/>
              </w:rPr>
              <w:t>Mixed use zone code</w:t>
            </w:r>
          </w:p>
          <w:p w14:paraId="03E3866E" w14:textId="77777777" w:rsidR="00BE36FB" w:rsidRPr="009B7B35" w:rsidRDefault="00BE36FB" w:rsidP="001A7107">
            <w:pPr>
              <w:pStyle w:val="TableText"/>
              <w:rPr>
                <w:rFonts w:cs="Arial"/>
              </w:rPr>
            </w:pPr>
            <w:r w:rsidRPr="009B7B35">
              <w:rPr>
                <w:rFonts w:cs="Arial"/>
              </w:rPr>
              <w:t>Other development codes:</w:t>
            </w:r>
          </w:p>
          <w:p w14:paraId="4AA8E0A9" w14:textId="77777777" w:rsidR="00BE36FB" w:rsidRPr="009B7B35" w:rsidRDefault="00BE36FB" w:rsidP="00BE36FB">
            <w:pPr>
              <w:pStyle w:val="ListBullet"/>
              <w:ind w:left="360" w:hanging="360"/>
              <w:rPr>
                <w:rFonts w:cs="Arial"/>
                <w:szCs w:val="20"/>
              </w:rPr>
            </w:pPr>
            <w:r w:rsidRPr="009B7B35">
              <w:rPr>
                <w:rFonts w:cs="Arial"/>
                <w:szCs w:val="20"/>
              </w:rPr>
              <w:t>Development design code</w:t>
            </w:r>
          </w:p>
          <w:p w14:paraId="4BBF7DCC" w14:textId="77777777" w:rsidR="00BE36FB" w:rsidRPr="009B7B35" w:rsidRDefault="00BE36FB" w:rsidP="00BE36FB">
            <w:pPr>
              <w:pStyle w:val="ListBullet"/>
              <w:ind w:left="360" w:hanging="360"/>
              <w:rPr>
                <w:rFonts w:cs="Arial"/>
                <w:szCs w:val="20"/>
              </w:rPr>
            </w:pPr>
            <w:r w:rsidRPr="009B7B35">
              <w:rPr>
                <w:rFonts w:cs="Arial"/>
                <w:szCs w:val="20"/>
              </w:rPr>
              <w:t>Landscaping code</w:t>
            </w:r>
          </w:p>
        </w:tc>
      </w:tr>
      <w:tr w:rsidR="00BE36FB" w:rsidRPr="009B7B35" w14:paraId="2B54C06F" w14:textId="77777777" w:rsidTr="001A7107">
        <w:trPr>
          <w:cantSplit/>
        </w:trPr>
        <w:tc>
          <w:tcPr>
            <w:tcW w:w="2409" w:type="dxa"/>
            <w:vMerge w:val="restart"/>
          </w:tcPr>
          <w:p w14:paraId="099A8783" w14:textId="77777777" w:rsidR="00BE36FB" w:rsidRPr="009B7B35" w:rsidRDefault="00BE36FB">
            <w:pPr>
              <w:pStyle w:val="TableText"/>
              <w:rPr>
                <w:rFonts w:cs="Arial"/>
              </w:rPr>
            </w:pPr>
            <w:r w:rsidRPr="009B7B35">
              <w:rPr>
                <w:rFonts w:cs="Arial"/>
              </w:rPr>
              <w:t>Agricultural supplies store Car wash</w:t>
            </w:r>
          </w:p>
          <w:p w14:paraId="084D5401" w14:textId="77777777" w:rsidR="00BE36FB" w:rsidRPr="009B7B35" w:rsidRDefault="00BE36FB">
            <w:pPr>
              <w:pStyle w:val="TableText"/>
              <w:rPr>
                <w:rFonts w:cs="Arial"/>
              </w:rPr>
            </w:pPr>
            <w:r w:rsidRPr="009B7B35">
              <w:rPr>
                <w:rFonts w:cs="Arial"/>
              </w:rPr>
              <w:t>Child care centre</w:t>
            </w:r>
          </w:p>
          <w:p w14:paraId="199C72AC" w14:textId="77777777" w:rsidR="00BE36FB" w:rsidRPr="009B7B35" w:rsidRDefault="00BE36FB">
            <w:pPr>
              <w:pStyle w:val="TableText"/>
              <w:rPr>
                <w:rFonts w:cs="Arial"/>
              </w:rPr>
            </w:pPr>
            <w:r w:rsidRPr="009B7B35">
              <w:rPr>
                <w:rFonts w:cs="Arial"/>
              </w:rPr>
              <w:t>Indoor sport and recreation</w:t>
            </w:r>
          </w:p>
          <w:p w14:paraId="21E7EED4" w14:textId="77777777" w:rsidR="00BE36FB" w:rsidRPr="009B7B35" w:rsidRDefault="00BE36FB">
            <w:pPr>
              <w:pStyle w:val="TableText"/>
              <w:rPr>
                <w:rFonts w:cs="Arial"/>
              </w:rPr>
            </w:pPr>
            <w:r w:rsidRPr="009B7B35">
              <w:rPr>
                <w:rFonts w:cs="Arial"/>
              </w:rPr>
              <w:t>Multiple dwelling</w:t>
            </w:r>
          </w:p>
          <w:p w14:paraId="59C1F349" w14:textId="77777777" w:rsidR="00BE36FB" w:rsidRPr="009B7B35" w:rsidRDefault="00BE36FB">
            <w:pPr>
              <w:pStyle w:val="TableText"/>
              <w:rPr>
                <w:rFonts w:cs="Arial"/>
              </w:rPr>
            </w:pPr>
            <w:r w:rsidRPr="009B7B35">
              <w:rPr>
                <w:rFonts w:cs="Arial"/>
              </w:rPr>
              <w:t>Parking station</w:t>
            </w:r>
          </w:p>
          <w:p w14:paraId="009F212C" w14:textId="77777777" w:rsidR="00BE36FB" w:rsidRPr="009B7B35" w:rsidRDefault="00BE36FB">
            <w:pPr>
              <w:pStyle w:val="TableText"/>
              <w:rPr>
                <w:rFonts w:cs="Arial"/>
              </w:rPr>
            </w:pPr>
            <w:r w:rsidRPr="009B7B35">
              <w:rPr>
                <w:rFonts w:cs="Arial"/>
              </w:rPr>
              <w:t>Place of worship</w:t>
            </w:r>
          </w:p>
          <w:p w14:paraId="73C84CCE" w14:textId="77777777" w:rsidR="00BE36FB" w:rsidRPr="009B7B35" w:rsidRDefault="00BE36FB">
            <w:pPr>
              <w:pStyle w:val="TableText"/>
              <w:rPr>
                <w:rFonts w:cs="Arial"/>
              </w:rPr>
            </w:pPr>
            <w:r w:rsidRPr="009B7B35">
              <w:rPr>
                <w:rFonts w:cs="Arial"/>
              </w:rPr>
              <w:t>Residential care facility</w:t>
            </w:r>
          </w:p>
          <w:p w14:paraId="6637610A" w14:textId="77777777" w:rsidR="00BE36FB" w:rsidRPr="009B7B35" w:rsidRDefault="00BE36FB">
            <w:pPr>
              <w:pStyle w:val="TableText"/>
              <w:rPr>
                <w:rFonts w:cs="Arial"/>
              </w:rPr>
            </w:pPr>
            <w:r w:rsidRPr="009B7B35">
              <w:rPr>
                <w:rFonts w:cs="Arial"/>
              </w:rPr>
              <w:t>Retirement facility</w:t>
            </w:r>
          </w:p>
          <w:p w14:paraId="759298B7" w14:textId="77777777" w:rsidR="00BE36FB" w:rsidRPr="009B7B35" w:rsidRDefault="00BE36FB">
            <w:pPr>
              <w:pStyle w:val="TableText"/>
              <w:rPr>
                <w:rFonts w:cs="Arial"/>
              </w:rPr>
            </w:pPr>
            <w:r w:rsidRPr="009B7B35">
              <w:rPr>
                <w:rFonts w:cs="Arial"/>
              </w:rPr>
              <w:t>Rooming accommodation</w:t>
            </w:r>
          </w:p>
          <w:p w14:paraId="13F9ADC1" w14:textId="77777777" w:rsidR="00BE36FB" w:rsidRPr="009B7B35" w:rsidRDefault="00BE36FB">
            <w:pPr>
              <w:pStyle w:val="TableText"/>
              <w:rPr>
                <w:rFonts w:cs="Arial"/>
              </w:rPr>
            </w:pPr>
            <w:r w:rsidRPr="009B7B35">
              <w:rPr>
                <w:rFonts w:cs="Arial"/>
              </w:rPr>
              <w:t>Service station</w:t>
            </w:r>
          </w:p>
          <w:p w14:paraId="6C8B6F98" w14:textId="77777777" w:rsidR="00BE36FB" w:rsidRPr="009B7B35" w:rsidRDefault="00BE36FB">
            <w:pPr>
              <w:pStyle w:val="TableText"/>
              <w:rPr>
                <w:rFonts w:cs="Arial"/>
              </w:rPr>
            </w:pPr>
            <w:r w:rsidRPr="009B7B35">
              <w:rPr>
                <w:rFonts w:cs="Arial"/>
              </w:rPr>
              <w:t>Theatre</w:t>
            </w:r>
          </w:p>
          <w:p w14:paraId="3C451A0C" w14:textId="77777777" w:rsidR="00BE36FB" w:rsidRPr="009B7B35" w:rsidRDefault="00BE36FB">
            <w:pPr>
              <w:pStyle w:val="TableText"/>
              <w:rPr>
                <w:rFonts w:cs="Arial"/>
              </w:rPr>
            </w:pPr>
            <w:r w:rsidRPr="009B7B35">
              <w:rPr>
                <w:rFonts w:cs="Arial"/>
              </w:rPr>
              <w:t>Veterinary services</w:t>
            </w:r>
          </w:p>
          <w:p w14:paraId="420513B4" w14:textId="77777777" w:rsidR="00BE36FB" w:rsidRPr="009B7B35" w:rsidRDefault="00BE36FB">
            <w:pPr>
              <w:pStyle w:val="TableText"/>
              <w:rPr>
                <w:rFonts w:cs="Arial"/>
              </w:rPr>
            </w:pPr>
          </w:p>
          <w:p w14:paraId="57D1B5F5" w14:textId="77777777" w:rsidR="00BE36FB" w:rsidRPr="009B7B35" w:rsidRDefault="00BE36FB">
            <w:pPr>
              <w:pStyle w:val="TableText"/>
              <w:rPr>
                <w:rFonts w:cs="Arial"/>
              </w:rPr>
            </w:pPr>
          </w:p>
        </w:tc>
        <w:tc>
          <w:tcPr>
            <w:tcW w:w="6947" w:type="dxa"/>
            <w:gridSpan w:val="2"/>
            <w:shd w:val="clear" w:color="auto" w:fill="BFBFBF" w:themeFill="background1" w:themeFillShade="BF"/>
          </w:tcPr>
          <w:p w14:paraId="233E627B" w14:textId="77777777" w:rsidR="00BE36FB" w:rsidRPr="009B7B35" w:rsidRDefault="00BE36FB" w:rsidP="001A7107">
            <w:pPr>
              <w:pStyle w:val="Tableheading"/>
              <w:rPr>
                <w:rFonts w:ascii="Arial" w:hAnsi="Arial" w:cs="Arial"/>
                <w:szCs w:val="20"/>
              </w:rPr>
            </w:pPr>
            <w:r w:rsidRPr="009B7B35">
              <w:rPr>
                <w:rFonts w:ascii="Arial" w:hAnsi="Arial" w:cs="Arial"/>
                <w:szCs w:val="20"/>
              </w:rPr>
              <w:t>Code assessment</w:t>
            </w:r>
          </w:p>
        </w:tc>
      </w:tr>
      <w:tr w:rsidR="00BE36FB" w:rsidRPr="009B7B35" w14:paraId="68EB4D97" w14:textId="77777777" w:rsidTr="001A7107">
        <w:trPr>
          <w:cantSplit/>
        </w:trPr>
        <w:tc>
          <w:tcPr>
            <w:tcW w:w="2409" w:type="dxa"/>
            <w:vMerge/>
          </w:tcPr>
          <w:p w14:paraId="6D671B31" w14:textId="77777777" w:rsidR="00BE36FB" w:rsidRPr="009B7B35" w:rsidRDefault="00BE36FB">
            <w:pPr>
              <w:pStyle w:val="TableText"/>
              <w:rPr>
                <w:rFonts w:cs="Arial"/>
              </w:rPr>
            </w:pPr>
          </w:p>
        </w:tc>
        <w:tc>
          <w:tcPr>
            <w:tcW w:w="3473" w:type="dxa"/>
          </w:tcPr>
          <w:p w14:paraId="278B21D6" w14:textId="77777777" w:rsidR="00BE36FB" w:rsidRPr="009B7B35" w:rsidRDefault="00BE36FB" w:rsidP="001A7107">
            <w:pPr>
              <w:pStyle w:val="TableText"/>
              <w:rPr>
                <w:rFonts w:cs="Arial"/>
              </w:rPr>
            </w:pPr>
            <w:r w:rsidRPr="009B7B35">
              <w:rPr>
                <w:rFonts w:cs="Arial"/>
              </w:rPr>
              <w:t>If:</w:t>
            </w:r>
          </w:p>
          <w:p w14:paraId="1F9DCC1C" w14:textId="77777777" w:rsidR="00BE36FB" w:rsidRPr="009B7B35" w:rsidRDefault="00BE36FB" w:rsidP="00BE36FB">
            <w:pPr>
              <w:pStyle w:val="TableText"/>
              <w:numPr>
                <w:ilvl w:val="0"/>
                <w:numId w:val="99"/>
              </w:numPr>
              <w:rPr>
                <w:rFonts w:cs="Arial"/>
              </w:rPr>
            </w:pPr>
            <w:r w:rsidRPr="009B7B35">
              <w:rPr>
                <w:rFonts w:cs="Arial"/>
              </w:rPr>
              <w:t>not located in the Jeffery Court precinct, and</w:t>
            </w:r>
          </w:p>
          <w:p w14:paraId="03AC1EF3" w14:textId="77777777" w:rsidR="00BE36FB" w:rsidRPr="009B7B35" w:rsidRDefault="00BE36FB" w:rsidP="00BE36FB">
            <w:pPr>
              <w:pStyle w:val="TableText"/>
              <w:numPr>
                <w:ilvl w:val="0"/>
                <w:numId w:val="99"/>
              </w:numPr>
              <w:rPr>
                <w:rFonts w:cs="Arial"/>
              </w:rPr>
            </w:pPr>
            <w:r w:rsidRPr="009B7B35">
              <w:rPr>
                <w:rFonts w:cs="Arial"/>
              </w:rPr>
              <w:t>complying with the building height in the Building height and frontages overlay map.</w:t>
            </w:r>
          </w:p>
        </w:tc>
        <w:tc>
          <w:tcPr>
            <w:tcW w:w="3474" w:type="dxa"/>
          </w:tcPr>
          <w:p w14:paraId="7D2BFC68" w14:textId="77777777" w:rsidR="00BE36FB" w:rsidRPr="009B7B35" w:rsidRDefault="00BE36FB" w:rsidP="001A7107">
            <w:pPr>
              <w:pStyle w:val="TableText"/>
              <w:rPr>
                <w:rFonts w:cs="Arial"/>
              </w:rPr>
            </w:pPr>
            <w:r w:rsidRPr="009B7B35">
              <w:rPr>
                <w:rFonts w:cs="Arial"/>
              </w:rPr>
              <w:t>Zone code:</w:t>
            </w:r>
          </w:p>
          <w:p w14:paraId="1B7F2176" w14:textId="77777777" w:rsidR="00BE36FB" w:rsidRPr="009B7B35" w:rsidRDefault="00BE36FB" w:rsidP="00BE36FB">
            <w:pPr>
              <w:pStyle w:val="ListBullet"/>
              <w:ind w:left="360" w:hanging="360"/>
              <w:rPr>
                <w:rFonts w:cs="Arial"/>
                <w:szCs w:val="20"/>
              </w:rPr>
            </w:pPr>
            <w:r w:rsidRPr="009B7B35">
              <w:rPr>
                <w:rFonts w:cs="Arial"/>
                <w:szCs w:val="20"/>
              </w:rPr>
              <w:t>Mixed use zone code</w:t>
            </w:r>
          </w:p>
          <w:p w14:paraId="7733731F" w14:textId="77777777" w:rsidR="00BE36FB" w:rsidRPr="009B7B35" w:rsidRDefault="00BE36FB" w:rsidP="001A7107">
            <w:pPr>
              <w:pStyle w:val="TableText"/>
              <w:rPr>
                <w:rFonts w:cs="Arial"/>
              </w:rPr>
            </w:pPr>
            <w:r w:rsidRPr="009B7B35">
              <w:rPr>
                <w:rFonts w:cs="Arial"/>
              </w:rPr>
              <w:t>Other development codes:</w:t>
            </w:r>
          </w:p>
          <w:p w14:paraId="0BD46281" w14:textId="77777777" w:rsidR="00BE36FB" w:rsidRPr="009B7B35" w:rsidRDefault="00BE36FB" w:rsidP="00BE36FB">
            <w:pPr>
              <w:pStyle w:val="ListBullet"/>
              <w:ind w:left="360" w:hanging="360"/>
              <w:rPr>
                <w:rFonts w:cs="Arial"/>
                <w:szCs w:val="20"/>
              </w:rPr>
            </w:pPr>
            <w:r w:rsidRPr="009B7B35">
              <w:rPr>
                <w:rFonts w:cs="Arial"/>
                <w:szCs w:val="20"/>
              </w:rPr>
              <w:t>Development design code</w:t>
            </w:r>
          </w:p>
          <w:p w14:paraId="6DD39440" w14:textId="77777777" w:rsidR="00BE36FB" w:rsidRPr="009B7B35" w:rsidRDefault="00BE36FB" w:rsidP="00BE36FB">
            <w:pPr>
              <w:pStyle w:val="ListBullet"/>
              <w:ind w:left="360" w:hanging="360"/>
              <w:rPr>
                <w:rFonts w:cs="Arial"/>
                <w:szCs w:val="20"/>
              </w:rPr>
            </w:pPr>
            <w:r w:rsidRPr="009B7B35">
              <w:rPr>
                <w:rFonts w:cs="Arial"/>
                <w:szCs w:val="20"/>
              </w:rPr>
              <w:t>Landscaping code</w:t>
            </w:r>
          </w:p>
        </w:tc>
      </w:tr>
      <w:tr w:rsidR="00BE36FB" w:rsidRPr="009B7B35" w14:paraId="518A71A0" w14:textId="77777777" w:rsidTr="001A7107">
        <w:tc>
          <w:tcPr>
            <w:tcW w:w="2409" w:type="dxa"/>
            <w:vMerge w:val="restart"/>
          </w:tcPr>
          <w:p w14:paraId="260C7AE4" w14:textId="77777777" w:rsidR="00BE36FB" w:rsidRPr="009B7B35" w:rsidRDefault="00BE36FB" w:rsidP="001A7107">
            <w:pPr>
              <w:pStyle w:val="TableText"/>
              <w:rPr>
                <w:rFonts w:cs="Arial"/>
              </w:rPr>
            </w:pPr>
            <w:r w:rsidRPr="009B7B35">
              <w:rPr>
                <w:rFonts w:cs="Arial"/>
              </w:rPr>
              <w:t>Bar</w:t>
            </w:r>
          </w:p>
          <w:p w14:paraId="47D338EC" w14:textId="77777777" w:rsidR="00BE36FB" w:rsidRPr="009B7B35" w:rsidRDefault="00BE36FB" w:rsidP="001A7107">
            <w:pPr>
              <w:pStyle w:val="TableText"/>
              <w:rPr>
                <w:rFonts w:cs="Arial"/>
              </w:rPr>
            </w:pPr>
            <w:r w:rsidRPr="009B7B35">
              <w:rPr>
                <w:rFonts w:cs="Arial"/>
              </w:rPr>
              <w:t>Club</w:t>
            </w:r>
          </w:p>
          <w:p w14:paraId="0D3B8324" w14:textId="77777777" w:rsidR="00BE36FB" w:rsidRPr="009B7B35" w:rsidRDefault="00BE36FB" w:rsidP="001A7107">
            <w:pPr>
              <w:pStyle w:val="TableText"/>
              <w:rPr>
                <w:rFonts w:cs="Arial"/>
              </w:rPr>
            </w:pPr>
            <w:r w:rsidRPr="009B7B35">
              <w:rPr>
                <w:rFonts w:cs="Arial"/>
              </w:rPr>
              <w:t xml:space="preserve">Community use </w:t>
            </w:r>
          </w:p>
          <w:p w14:paraId="3F22A18B" w14:textId="77777777" w:rsidR="00BE36FB" w:rsidRPr="009B7B35" w:rsidRDefault="00BE36FB" w:rsidP="001A7107">
            <w:pPr>
              <w:pStyle w:val="TableText"/>
              <w:rPr>
                <w:rFonts w:cs="Arial"/>
              </w:rPr>
            </w:pPr>
            <w:r w:rsidRPr="009B7B35">
              <w:rPr>
                <w:rFonts w:cs="Arial"/>
              </w:rPr>
              <w:t>Food and drink outlet</w:t>
            </w:r>
          </w:p>
          <w:p w14:paraId="2E9C2471" w14:textId="77777777" w:rsidR="00BE36FB" w:rsidRPr="009B7B35" w:rsidRDefault="00BE36FB" w:rsidP="001A7107">
            <w:pPr>
              <w:pStyle w:val="TableText"/>
              <w:rPr>
                <w:rFonts w:cs="Arial"/>
              </w:rPr>
            </w:pPr>
            <w:r w:rsidRPr="009B7B35">
              <w:rPr>
                <w:rFonts w:cs="Arial"/>
              </w:rPr>
              <w:t xml:space="preserve">Function facility </w:t>
            </w:r>
          </w:p>
          <w:p w14:paraId="372EDFD0" w14:textId="77777777" w:rsidR="00BE36FB" w:rsidRPr="009B7B35" w:rsidRDefault="00BE36FB" w:rsidP="001A7107">
            <w:pPr>
              <w:pStyle w:val="TableText"/>
              <w:rPr>
                <w:rFonts w:cs="Arial"/>
              </w:rPr>
            </w:pPr>
            <w:r w:rsidRPr="009B7B35">
              <w:rPr>
                <w:rFonts w:cs="Arial"/>
              </w:rPr>
              <w:t>Market</w:t>
            </w:r>
          </w:p>
        </w:tc>
        <w:tc>
          <w:tcPr>
            <w:tcW w:w="6947" w:type="dxa"/>
            <w:gridSpan w:val="2"/>
            <w:shd w:val="clear" w:color="auto" w:fill="BFBFBF" w:themeFill="background1" w:themeFillShade="BF"/>
          </w:tcPr>
          <w:p w14:paraId="1C4D0375" w14:textId="77777777"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14:paraId="480270A3" w14:textId="77777777" w:rsidTr="001A7107">
        <w:tc>
          <w:tcPr>
            <w:tcW w:w="2409" w:type="dxa"/>
            <w:vMerge/>
          </w:tcPr>
          <w:p w14:paraId="4735E3F6" w14:textId="77777777" w:rsidR="00BE36FB" w:rsidRPr="009B7B35" w:rsidRDefault="00BE36FB" w:rsidP="001A7107">
            <w:pPr>
              <w:pStyle w:val="TableText"/>
              <w:rPr>
                <w:rFonts w:cs="Arial"/>
              </w:rPr>
            </w:pPr>
          </w:p>
        </w:tc>
        <w:tc>
          <w:tcPr>
            <w:tcW w:w="3473" w:type="dxa"/>
          </w:tcPr>
          <w:p w14:paraId="7977303A" w14:textId="77777777" w:rsidR="00BE36FB" w:rsidRPr="009B7B35" w:rsidRDefault="00BE36FB" w:rsidP="001A7107">
            <w:pPr>
              <w:pStyle w:val="TableText"/>
              <w:rPr>
                <w:rFonts w:cs="Arial"/>
              </w:rPr>
            </w:pPr>
            <w:r w:rsidRPr="009B7B35">
              <w:rPr>
                <w:rFonts w:cs="Arial"/>
              </w:rPr>
              <w:t>If involving the reuse of an existing non–residential building and not increasing gross floor area.</w:t>
            </w:r>
          </w:p>
        </w:tc>
        <w:tc>
          <w:tcPr>
            <w:tcW w:w="3474" w:type="dxa"/>
          </w:tcPr>
          <w:p w14:paraId="6C82156E" w14:textId="77777777" w:rsidR="00BE36FB" w:rsidRPr="009B7B35" w:rsidRDefault="00BE36FB" w:rsidP="001A7107">
            <w:pPr>
              <w:pStyle w:val="TableText"/>
              <w:rPr>
                <w:rFonts w:cs="Arial"/>
              </w:rPr>
            </w:pPr>
            <w:r w:rsidRPr="009B7B35">
              <w:rPr>
                <w:rFonts w:cs="Arial"/>
              </w:rPr>
              <w:t>Zone code:</w:t>
            </w:r>
          </w:p>
          <w:p w14:paraId="557D209C" w14:textId="77777777" w:rsidR="00BE36FB" w:rsidRPr="009B7B35" w:rsidRDefault="00BE36FB" w:rsidP="00BE36FB">
            <w:pPr>
              <w:pStyle w:val="ListBullet"/>
              <w:ind w:left="360" w:hanging="360"/>
              <w:rPr>
                <w:rFonts w:cs="Arial"/>
                <w:szCs w:val="20"/>
              </w:rPr>
            </w:pPr>
            <w:r w:rsidRPr="009B7B35">
              <w:rPr>
                <w:rFonts w:cs="Arial"/>
                <w:szCs w:val="20"/>
              </w:rPr>
              <w:t>Mixed use zone code</w:t>
            </w:r>
          </w:p>
          <w:p w14:paraId="3C58E00E" w14:textId="77777777" w:rsidR="00BE36FB" w:rsidRPr="009B7B35" w:rsidRDefault="00BE36FB" w:rsidP="001A7107">
            <w:pPr>
              <w:pStyle w:val="ListBullet"/>
              <w:numPr>
                <w:ilvl w:val="0"/>
                <w:numId w:val="0"/>
              </w:numPr>
              <w:ind w:left="284"/>
              <w:rPr>
                <w:rFonts w:cs="Arial"/>
                <w:szCs w:val="20"/>
              </w:rPr>
            </w:pPr>
          </w:p>
          <w:p w14:paraId="38985BB1" w14:textId="77777777" w:rsidR="00BE36FB" w:rsidRPr="009B7B35" w:rsidRDefault="00BE36FB" w:rsidP="001A7107">
            <w:pPr>
              <w:pStyle w:val="ListBullet"/>
              <w:numPr>
                <w:ilvl w:val="0"/>
                <w:numId w:val="0"/>
              </w:numPr>
              <w:ind w:left="284"/>
              <w:rPr>
                <w:rFonts w:cs="Arial"/>
                <w:szCs w:val="20"/>
              </w:rPr>
            </w:pPr>
          </w:p>
        </w:tc>
      </w:tr>
      <w:tr w:rsidR="00BE36FB" w:rsidRPr="009B7B35" w14:paraId="31AFCB5C" w14:textId="77777777" w:rsidTr="001A7107">
        <w:tc>
          <w:tcPr>
            <w:tcW w:w="2409" w:type="dxa"/>
            <w:vMerge/>
          </w:tcPr>
          <w:p w14:paraId="20A8072A" w14:textId="77777777" w:rsidR="00BE36FB" w:rsidRPr="009B7B35" w:rsidRDefault="00BE36FB" w:rsidP="001A7107">
            <w:pPr>
              <w:pStyle w:val="TableText"/>
              <w:rPr>
                <w:rFonts w:cs="Arial"/>
              </w:rPr>
            </w:pPr>
          </w:p>
        </w:tc>
        <w:tc>
          <w:tcPr>
            <w:tcW w:w="6947" w:type="dxa"/>
            <w:gridSpan w:val="2"/>
            <w:shd w:val="clear" w:color="auto" w:fill="BFBFBF" w:themeFill="background1" w:themeFillShade="BF"/>
          </w:tcPr>
          <w:p w14:paraId="6927A9F3" w14:textId="77777777" w:rsidR="00BE36FB" w:rsidRPr="009B7B35" w:rsidRDefault="00BE36FB" w:rsidP="001A7107">
            <w:pPr>
              <w:pStyle w:val="Tableheading"/>
              <w:rPr>
                <w:rFonts w:ascii="Arial" w:hAnsi="Arial" w:cs="Arial"/>
                <w:szCs w:val="20"/>
              </w:rPr>
            </w:pPr>
            <w:r w:rsidRPr="009B7B35">
              <w:rPr>
                <w:rFonts w:ascii="Arial" w:hAnsi="Arial" w:cs="Arial"/>
                <w:szCs w:val="20"/>
              </w:rPr>
              <w:t>Code assessment</w:t>
            </w:r>
          </w:p>
        </w:tc>
      </w:tr>
      <w:tr w:rsidR="00BE36FB" w:rsidRPr="009B7B35" w14:paraId="4F79A9E6" w14:textId="77777777" w:rsidTr="001A7107">
        <w:tc>
          <w:tcPr>
            <w:tcW w:w="2409" w:type="dxa"/>
            <w:vMerge/>
          </w:tcPr>
          <w:p w14:paraId="40195A78" w14:textId="77777777" w:rsidR="00BE36FB" w:rsidRPr="009B7B35" w:rsidRDefault="00BE36FB" w:rsidP="001A7107">
            <w:pPr>
              <w:pStyle w:val="TableText"/>
              <w:rPr>
                <w:rFonts w:cs="Arial"/>
              </w:rPr>
            </w:pPr>
          </w:p>
        </w:tc>
        <w:tc>
          <w:tcPr>
            <w:tcW w:w="3473" w:type="dxa"/>
          </w:tcPr>
          <w:p w14:paraId="27B08377" w14:textId="77777777" w:rsidR="00BE36FB" w:rsidRPr="009B7B35" w:rsidRDefault="00BE36FB" w:rsidP="001A7107">
            <w:pPr>
              <w:pStyle w:val="TableText"/>
              <w:rPr>
                <w:rFonts w:cs="Arial"/>
              </w:rPr>
            </w:pPr>
            <w:r w:rsidRPr="009B7B35">
              <w:rPr>
                <w:rFonts w:cs="Arial"/>
              </w:rPr>
              <w:t>If complying with the building height in the Building height and frontages overlay map.</w:t>
            </w:r>
          </w:p>
        </w:tc>
        <w:tc>
          <w:tcPr>
            <w:tcW w:w="3474" w:type="dxa"/>
          </w:tcPr>
          <w:p w14:paraId="39B025DA" w14:textId="77777777" w:rsidR="00BE36FB" w:rsidRPr="009B7B35" w:rsidRDefault="00BE36FB" w:rsidP="001A7107">
            <w:pPr>
              <w:pStyle w:val="TableText"/>
              <w:rPr>
                <w:rFonts w:cs="Arial"/>
              </w:rPr>
            </w:pPr>
            <w:r w:rsidRPr="009B7B35">
              <w:rPr>
                <w:rFonts w:cs="Arial"/>
              </w:rPr>
              <w:t>Zone code:</w:t>
            </w:r>
          </w:p>
          <w:p w14:paraId="35A8E9D2" w14:textId="77777777" w:rsidR="00BE36FB" w:rsidRPr="009B7B35" w:rsidRDefault="00BE36FB" w:rsidP="00BE36FB">
            <w:pPr>
              <w:pStyle w:val="ListBullet"/>
              <w:ind w:left="360" w:hanging="360"/>
              <w:rPr>
                <w:rFonts w:cs="Arial"/>
                <w:szCs w:val="20"/>
              </w:rPr>
            </w:pPr>
            <w:r w:rsidRPr="009B7B35">
              <w:rPr>
                <w:rFonts w:cs="Arial"/>
                <w:szCs w:val="20"/>
              </w:rPr>
              <w:t>Mixed use zone code</w:t>
            </w:r>
          </w:p>
          <w:p w14:paraId="2C1EFE06" w14:textId="77777777" w:rsidR="00BE36FB" w:rsidRPr="009B7B35" w:rsidRDefault="00BE36FB" w:rsidP="001A7107">
            <w:pPr>
              <w:pStyle w:val="TableText"/>
              <w:rPr>
                <w:rFonts w:cs="Arial"/>
              </w:rPr>
            </w:pPr>
            <w:r w:rsidRPr="009B7B35">
              <w:rPr>
                <w:rFonts w:cs="Arial"/>
              </w:rPr>
              <w:t>Other development codes:</w:t>
            </w:r>
          </w:p>
          <w:p w14:paraId="3C03F2C3" w14:textId="77777777" w:rsidR="00BE36FB" w:rsidRPr="009B7B35" w:rsidRDefault="00BE36FB" w:rsidP="00BE36FB">
            <w:pPr>
              <w:pStyle w:val="ListBullet"/>
              <w:ind w:left="360" w:hanging="360"/>
              <w:rPr>
                <w:rFonts w:cs="Arial"/>
                <w:szCs w:val="20"/>
              </w:rPr>
            </w:pPr>
            <w:r w:rsidRPr="009B7B35">
              <w:rPr>
                <w:rFonts w:cs="Arial"/>
                <w:szCs w:val="20"/>
              </w:rPr>
              <w:t>Development design code</w:t>
            </w:r>
          </w:p>
          <w:p w14:paraId="7E8500B9" w14:textId="77777777" w:rsidR="00BE36FB" w:rsidRPr="009B7B35" w:rsidRDefault="00BE36FB" w:rsidP="00BE36FB">
            <w:pPr>
              <w:pStyle w:val="ListBullet"/>
              <w:ind w:left="360" w:hanging="360"/>
              <w:rPr>
                <w:rFonts w:cs="Arial"/>
                <w:szCs w:val="20"/>
              </w:rPr>
            </w:pPr>
            <w:r w:rsidRPr="009B7B35">
              <w:rPr>
                <w:rFonts w:cs="Arial"/>
                <w:szCs w:val="20"/>
              </w:rPr>
              <w:t>Landscaping code</w:t>
            </w:r>
          </w:p>
        </w:tc>
      </w:tr>
      <w:tr w:rsidR="00BE36FB" w:rsidRPr="009B7B35" w14:paraId="78E39D93" w14:textId="77777777" w:rsidTr="001A7107">
        <w:tc>
          <w:tcPr>
            <w:tcW w:w="2409" w:type="dxa"/>
            <w:vMerge w:val="restart"/>
          </w:tcPr>
          <w:p w14:paraId="0977BD97" w14:textId="77777777" w:rsidR="00BE36FB" w:rsidRPr="009B7B35" w:rsidRDefault="00BE36FB" w:rsidP="001A7107">
            <w:pPr>
              <w:pStyle w:val="TableText"/>
              <w:rPr>
                <w:rFonts w:cs="Arial"/>
              </w:rPr>
            </w:pPr>
            <w:r w:rsidRPr="009B7B35">
              <w:rPr>
                <w:rFonts w:cs="Arial"/>
              </w:rPr>
              <w:t>Caretakers accommodation</w:t>
            </w:r>
          </w:p>
          <w:p w14:paraId="51B105F2" w14:textId="77777777" w:rsidR="00BE36FB" w:rsidRPr="009B7B35" w:rsidRDefault="00BE36FB" w:rsidP="001A7107">
            <w:pPr>
              <w:pStyle w:val="TableText"/>
              <w:rPr>
                <w:rFonts w:cs="Arial"/>
              </w:rPr>
            </w:pPr>
            <w:r w:rsidRPr="009B7B35">
              <w:rPr>
                <w:rFonts w:cs="Arial"/>
              </w:rPr>
              <w:t>Dwelling unit</w:t>
            </w:r>
          </w:p>
          <w:p w14:paraId="0F3E08AE" w14:textId="77777777" w:rsidR="00BE36FB" w:rsidRPr="009B7B35" w:rsidRDefault="00BE36FB" w:rsidP="001A7107">
            <w:pPr>
              <w:pStyle w:val="TableText"/>
              <w:rPr>
                <w:rFonts w:cs="Arial"/>
              </w:rPr>
            </w:pPr>
            <w:r w:rsidRPr="009B7B35">
              <w:rPr>
                <w:rFonts w:cs="Arial"/>
              </w:rPr>
              <w:t>Sales office</w:t>
            </w:r>
          </w:p>
        </w:tc>
        <w:tc>
          <w:tcPr>
            <w:tcW w:w="6947" w:type="dxa"/>
            <w:gridSpan w:val="2"/>
            <w:shd w:val="clear" w:color="auto" w:fill="BFBFBF" w:themeFill="background1" w:themeFillShade="BF"/>
          </w:tcPr>
          <w:p w14:paraId="59DFC70A" w14:textId="77777777"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14:paraId="79FAAA09" w14:textId="77777777" w:rsidTr="001A7107">
        <w:trPr>
          <w:cantSplit/>
        </w:trPr>
        <w:tc>
          <w:tcPr>
            <w:tcW w:w="2409" w:type="dxa"/>
            <w:vMerge/>
          </w:tcPr>
          <w:p w14:paraId="4F211387" w14:textId="77777777" w:rsidR="00BE36FB" w:rsidRPr="009B7B35" w:rsidRDefault="00BE36FB" w:rsidP="001A7107">
            <w:pPr>
              <w:pStyle w:val="TableText"/>
              <w:rPr>
                <w:rFonts w:cs="Arial"/>
              </w:rPr>
            </w:pPr>
          </w:p>
        </w:tc>
        <w:tc>
          <w:tcPr>
            <w:tcW w:w="3473" w:type="dxa"/>
          </w:tcPr>
          <w:p w14:paraId="42F6F716"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tcW w:w="3474" w:type="dxa"/>
          </w:tcPr>
          <w:p w14:paraId="1771E70E" w14:textId="77777777" w:rsidR="00BE36FB" w:rsidRPr="009B7B35" w:rsidRDefault="00BE36FB" w:rsidP="001A7107">
            <w:pPr>
              <w:pStyle w:val="TableText"/>
              <w:rPr>
                <w:rFonts w:cs="Arial"/>
              </w:rPr>
            </w:pPr>
            <w:r w:rsidRPr="009B7B35">
              <w:rPr>
                <w:rFonts w:cs="Arial"/>
              </w:rPr>
              <w:t>Zone code:</w:t>
            </w:r>
          </w:p>
          <w:p w14:paraId="07B9B252" w14:textId="77777777" w:rsidR="00BE36FB" w:rsidRPr="009B7B35" w:rsidRDefault="00BE36FB" w:rsidP="00BE36FB">
            <w:pPr>
              <w:pStyle w:val="ListBullet"/>
              <w:ind w:left="360" w:hanging="360"/>
              <w:rPr>
                <w:rFonts w:cs="Arial"/>
                <w:szCs w:val="20"/>
              </w:rPr>
            </w:pPr>
            <w:r w:rsidRPr="009B7B35">
              <w:rPr>
                <w:rFonts w:cs="Arial"/>
                <w:szCs w:val="20"/>
              </w:rPr>
              <w:t>Mixed use zone code</w:t>
            </w:r>
          </w:p>
        </w:tc>
      </w:tr>
      <w:tr w:rsidR="00BE36FB" w:rsidRPr="009B7B35" w14:paraId="4B8ABAB3" w14:textId="77777777" w:rsidTr="001A7107">
        <w:trPr>
          <w:cantSplit/>
        </w:trPr>
        <w:tc>
          <w:tcPr>
            <w:tcW w:w="2409" w:type="dxa"/>
            <w:vMerge w:val="restart"/>
          </w:tcPr>
          <w:p w14:paraId="205A0898" w14:textId="77777777" w:rsidR="00BE36FB" w:rsidRPr="009B7B35" w:rsidRDefault="00BE36FB" w:rsidP="001A7107">
            <w:pPr>
              <w:pStyle w:val="TableText"/>
              <w:rPr>
                <w:rFonts w:cs="Arial"/>
              </w:rPr>
            </w:pPr>
            <w:r w:rsidRPr="009B7B35">
              <w:rPr>
                <w:rFonts w:cs="Arial"/>
              </w:rPr>
              <w:t>Emergency services</w:t>
            </w:r>
          </w:p>
          <w:p w14:paraId="3908634B" w14:textId="77777777" w:rsidR="00BE36FB" w:rsidRPr="009B7B35" w:rsidRDefault="00BE36FB" w:rsidP="001A7107">
            <w:pPr>
              <w:pStyle w:val="TableText"/>
              <w:rPr>
                <w:rFonts w:cs="Arial"/>
              </w:rPr>
            </w:pPr>
            <w:r w:rsidRPr="009B7B35">
              <w:rPr>
                <w:rFonts w:cs="Arial"/>
              </w:rPr>
              <w:t>Substation</w:t>
            </w:r>
          </w:p>
          <w:p w14:paraId="11D6174E" w14:textId="77777777" w:rsidR="00BE36FB" w:rsidRPr="009B7B35" w:rsidRDefault="00BE36FB" w:rsidP="001A7107">
            <w:pPr>
              <w:pStyle w:val="TableText"/>
              <w:rPr>
                <w:rFonts w:cs="Arial"/>
              </w:rPr>
            </w:pPr>
            <w:r w:rsidRPr="009B7B35">
              <w:rPr>
                <w:rFonts w:cs="Arial"/>
              </w:rPr>
              <w:t>Utility installation</w:t>
            </w:r>
          </w:p>
        </w:tc>
        <w:tc>
          <w:tcPr>
            <w:tcW w:w="6947" w:type="dxa"/>
            <w:gridSpan w:val="2"/>
            <w:shd w:val="clear" w:color="auto" w:fill="BFBFBF" w:themeFill="background1" w:themeFillShade="BF"/>
          </w:tcPr>
          <w:p w14:paraId="5D48C3C1"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Accepted development </w:t>
            </w:r>
          </w:p>
        </w:tc>
      </w:tr>
      <w:tr w:rsidR="00BE36FB" w:rsidRPr="009B7B35" w14:paraId="006034C2" w14:textId="77777777" w:rsidTr="001A7107">
        <w:trPr>
          <w:cantSplit/>
        </w:trPr>
        <w:tc>
          <w:tcPr>
            <w:tcW w:w="2409" w:type="dxa"/>
            <w:vMerge/>
          </w:tcPr>
          <w:p w14:paraId="24293AF9" w14:textId="77777777" w:rsidR="00BE36FB" w:rsidRPr="009B7B35" w:rsidRDefault="00BE36FB" w:rsidP="001A7107">
            <w:pPr>
              <w:rPr>
                <w:rFonts w:cs="Arial"/>
                <w:sz w:val="20"/>
                <w:szCs w:val="20"/>
              </w:rPr>
            </w:pPr>
          </w:p>
        </w:tc>
        <w:tc>
          <w:tcPr>
            <w:tcW w:w="3473" w:type="dxa"/>
          </w:tcPr>
          <w:p w14:paraId="5CC8230B" w14:textId="77777777" w:rsidR="00BE36FB" w:rsidRPr="009B7B35" w:rsidRDefault="00BE36FB" w:rsidP="001A7107">
            <w:pPr>
              <w:rPr>
                <w:rFonts w:cs="Arial"/>
                <w:sz w:val="20"/>
                <w:szCs w:val="20"/>
              </w:rPr>
            </w:pPr>
            <w:r w:rsidRPr="009B7B35">
              <w:rPr>
                <w:rFonts w:cs="Arial"/>
                <w:sz w:val="20"/>
                <w:szCs w:val="20"/>
              </w:rPr>
              <w:t xml:space="preserve">For a substation, if undertaken by an electrical entity. </w:t>
            </w:r>
          </w:p>
          <w:p w14:paraId="04F54CDE" w14:textId="77777777" w:rsidR="00BE36FB" w:rsidRPr="009B7B35" w:rsidRDefault="00BE36FB" w:rsidP="001A7107">
            <w:pPr>
              <w:rPr>
                <w:rFonts w:cs="Arial"/>
                <w:sz w:val="20"/>
                <w:szCs w:val="20"/>
              </w:rPr>
            </w:pPr>
            <w:r w:rsidRPr="009B7B35">
              <w:rPr>
                <w:rFonts w:cs="Arial"/>
                <w:sz w:val="20"/>
                <w:szCs w:val="20"/>
              </w:rPr>
              <w:t>Otherwise, where undertaken by a public sector entity and the development footprint is less than 500m</w:t>
            </w:r>
            <w:r w:rsidRPr="009B7B35">
              <w:rPr>
                <w:rStyle w:val="StyleSuperscript"/>
                <w:rFonts w:cs="Arial"/>
                <w:szCs w:val="20"/>
              </w:rPr>
              <w:t>2</w:t>
            </w:r>
            <w:r w:rsidRPr="009B7B35">
              <w:rPr>
                <w:rFonts w:cs="Arial"/>
                <w:sz w:val="20"/>
                <w:szCs w:val="20"/>
              </w:rPr>
              <w:t>.</w:t>
            </w:r>
          </w:p>
        </w:tc>
        <w:tc>
          <w:tcPr>
            <w:tcW w:w="3474" w:type="dxa"/>
          </w:tcPr>
          <w:p w14:paraId="51929B64" w14:textId="77777777" w:rsidR="00BE36FB" w:rsidRPr="009B7B35" w:rsidRDefault="00BE36FB" w:rsidP="001A7107">
            <w:pPr>
              <w:rPr>
                <w:rFonts w:cs="Arial"/>
                <w:sz w:val="20"/>
                <w:szCs w:val="20"/>
              </w:rPr>
            </w:pPr>
            <w:r w:rsidRPr="009B7B35">
              <w:rPr>
                <w:rFonts w:cs="Arial"/>
                <w:sz w:val="20"/>
                <w:szCs w:val="20"/>
              </w:rPr>
              <w:t>Not applicable</w:t>
            </w:r>
          </w:p>
        </w:tc>
      </w:tr>
      <w:tr w:rsidR="00BE36FB" w:rsidRPr="009B7B35" w14:paraId="4989C5FD" w14:textId="77777777" w:rsidTr="001A7107">
        <w:trPr>
          <w:cantSplit/>
        </w:trPr>
        <w:tc>
          <w:tcPr>
            <w:tcW w:w="2409" w:type="dxa"/>
            <w:vMerge/>
          </w:tcPr>
          <w:p w14:paraId="05D49966" w14:textId="77777777" w:rsidR="00BE36FB" w:rsidRPr="009B7B35" w:rsidRDefault="00BE36FB" w:rsidP="001A7107">
            <w:pPr>
              <w:rPr>
                <w:rFonts w:cs="Arial"/>
                <w:sz w:val="20"/>
                <w:szCs w:val="20"/>
              </w:rPr>
            </w:pPr>
          </w:p>
        </w:tc>
        <w:tc>
          <w:tcPr>
            <w:tcW w:w="6947" w:type="dxa"/>
            <w:gridSpan w:val="2"/>
            <w:shd w:val="clear" w:color="auto" w:fill="BFBFBF" w:themeFill="background1" w:themeFillShade="BF"/>
          </w:tcPr>
          <w:p w14:paraId="480D83E5" w14:textId="77777777" w:rsidR="00BE36FB" w:rsidRPr="009B7B35" w:rsidRDefault="00BE36FB" w:rsidP="001A7107">
            <w:pPr>
              <w:pStyle w:val="Tableheading"/>
              <w:rPr>
                <w:rFonts w:ascii="Arial" w:hAnsi="Arial" w:cs="Arial"/>
                <w:szCs w:val="20"/>
              </w:rPr>
            </w:pPr>
            <w:r w:rsidRPr="009B7B35">
              <w:rPr>
                <w:rFonts w:ascii="Arial" w:hAnsi="Arial" w:cs="Arial"/>
                <w:szCs w:val="20"/>
              </w:rPr>
              <w:t>Code assessment</w:t>
            </w:r>
          </w:p>
        </w:tc>
      </w:tr>
      <w:tr w:rsidR="00BE36FB" w:rsidRPr="009B7B35" w14:paraId="15AD8F4F" w14:textId="77777777" w:rsidTr="001A7107">
        <w:trPr>
          <w:cantSplit/>
        </w:trPr>
        <w:tc>
          <w:tcPr>
            <w:tcW w:w="2409" w:type="dxa"/>
            <w:vMerge/>
          </w:tcPr>
          <w:p w14:paraId="457D4DC8" w14:textId="77777777" w:rsidR="00BE36FB" w:rsidRPr="009B7B35" w:rsidRDefault="00BE36FB" w:rsidP="001A7107">
            <w:pPr>
              <w:rPr>
                <w:rFonts w:cs="Arial"/>
                <w:sz w:val="20"/>
                <w:szCs w:val="20"/>
              </w:rPr>
            </w:pPr>
          </w:p>
        </w:tc>
        <w:tc>
          <w:tcPr>
            <w:tcW w:w="3473" w:type="dxa"/>
          </w:tcPr>
          <w:p w14:paraId="731DC772" w14:textId="77777777" w:rsidR="00BE36FB" w:rsidRPr="009B7B35" w:rsidRDefault="00BE36FB" w:rsidP="001A7107">
            <w:pPr>
              <w:rPr>
                <w:rFonts w:cs="Arial"/>
                <w:sz w:val="20"/>
                <w:szCs w:val="20"/>
              </w:rPr>
            </w:pPr>
            <w:r w:rsidRPr="009B7B35">
              <w:rPr>
                <w:rFonts w:cs="Arial"/>
                <w:sz w:val="20"/>
                <w:szCs w:val="20"/>
              </w:rPr>
              <w:t>Where undertaken by a public sector entity and the development footprint is 500m</w:t>
            </w:r>
            <w:r w:rsidRPr="009B7B35">
              <w:rPr>
                <w:rStyle w:val="StyleSuperscript"/>
                <w:rFonts w:cs="Arial"/>
                <w:szCs w:val="20"/>
              </w:rPr>
              <w:t>2</w:t>
            </w:r>
            <w:r w:rsidRPr="009B7B35">
              <w:rPr>
                <w:rFonts w:cs="Arial"/>
                <w:sz w:val="20"/>
                <w:szCs w:val="20"/>
              </w:rPr>
              <w:t xml:space="preserve"> or greater.</w:t>
            </w:r>
          </w:p>
          <w:p w14:paraId="58795FCA" w14:textId="77777777" w:rsidR="00BE36FB" w:rsidRPr="009B7B35" w:rsidRDefault="00BE36FB" w:rsidP="001A7107">
            <w:pPr>
              <w:rPr>
                <w:rFonts w:cs="Arial"/>
                <w:sz w:val="20"/>
                <w:szCs w:val="20"/>
              </w:rPr>
            </w:pPr>
            <w:r w:rsidRPr="009B7B35">
              <w:rPr>
                <w:rFonts w:cs="Arial"/>
                <w:sz w:val="20"/>
                <w:szCs w:val="20"/>
              </w:rPr>
              <w:t>If not undertaken by a public sector entity.</w:t>
            </w:r>
          </w:p>
        </w:tc>
        <w:tc>
          <w:tcPr>
            <w:tcW w:w="3474" w:type="dxa"/>
          </w:tcPr>
          <w:p w14:paraId="435CC07E" w14:textId="77777777" w:rsidR="00BE36FB" w:rsidRPr="009B7B35" w:rsidRDefault="00BE36FB" w:rsidP="001A7107">
            <w:pPr>
              <w:rPr>
                <w:rFonts w:cs="Arial"/>
                <w:sz w:val="20"/>
                <w:szCs w:val="20"/>
              </w:rPr>
            </w:pPr>
            <w:r w:rsidRPr="009B7B35">
              <w:rPr>
                <w:rFonts w:cs="Arial"/>
                <w:sz w:val="20"/>
                <w:szCs w:val="20"/>
              </w:rPr>
              <w:t>Zone code:</w:t>
            </w:r>
          </w:p>
          <w:p w14:paraId="58518221" w14:textId="77777777" w:rsidR="00BE36FB" w:rsidRPr="009B7B35" w:rsidRDefault="00BE36FB" w:rsidP="001A7107">
            <w:pPr>
              <w:tabs>
                <w:tab w:val="left" w:pos="298"/>
              </w:tabs>
              <w:rPr>
                <w:rFonts w:cs="Arial"/>
                <w:sz w:val="20"/>
                <w:szCs w:val="20"/>
              </w:rPr>
            </w:pPr>
            <w:r w:rsidRPr="009B7B35">
              <w:rPr>
                <w:rFonts w:cs="Arial"/>
                <w:sz w:val="20"/>
                <w:szCs w:val="20"/>
              </w:rPr>
              <w:t>•</w:t>
            </w:r>
            <w:r w:rsidRPr="009B7B35">
              <w:rPr>
                <w:rFonts w:cs="Arial"/>
                <w:sz w:val="20"/>
                <w:szCs w:val="20"/>
              </w:rPr>
              <w:tab/>
              <w:t>Mixed use zone code</w:t>
            </w:r>
          </w:p>
          <w:p w14:paraId="49FA1C75" w14:textId="77777777" w:rsidR="00BE36FB" w:rsidRPr="009B7B35" w:rsidRDefault="00BE36FB" w:rsidP="001A7107">
            <w:pPr>
              <w:rPr>
                <w:rFonts w:cs="Arial"/>
                <w:sz w:val="20"/>
                <w:szCs w:val="20"/>
              </w:rPr>
            </w:pPr>
            <w:r w:rsidRPr="009B7B35">
              <w:rPr>
                <w:rFonts w:cs="Arial"/>
                <w:sz w:val="20"/>
                <w:szCs w:val="20"/>
              </w:rPr>
              <w:t>Other development codes:</w:t>
            </w:r>
          </w:p>
          <w:p w14:paraId="1B2280A2" w14:textId="77777777" w:rsidR="00BE36FB" w:rsidRPr="009B7B35" w:rsidRDefault="00BE36FB" w:rsidP="001A7107">
            <w:pPr>
              <w:tabs>
                <w:tab w:val="left" w:pos="298"/>
              </w:tabs>
              <w:rPr>
                <w:rFonts w:cs="Arial"/>
                <w:sz w:val="20"/>
                <w:szCs w:val="20"/>
              </w:rPr>
            </w:pPr>
            <w:r w:rsidRPr="009B7B35">
              <w:rPr>
                <w:rFonts w:cs="Arial"/>
                <w:sz w:val="20"/>
                <w:szCs w:val="20"/>
              </w:rPr>
              <w:t>•</w:t>
            </w:r>
            <w:r w:rsidRPr="009B7B35">
              <w:rPr>
                <w:rFonts w:cs="Arial"/>
                <w:sz w:val="20"/>
                <w:szCs w:val="20"/>
              </w:rPr>
              <w:tab/>
              <w:t>Development design code</w:t>
            </w:r>
          </w:p>
        </w:tc>
      </w:tr>
      <w:tr w:rsidR="00BE36FB" w:rsidRPr="009B7B35" w14:paraId="33988899" w14:textId="77777777" w:rsidTr="001A7107">
        <w:trPr>
          <w:cantSplit/>
        </w:trPr>
        <w:tc>
          <w:tcPr>
            <w:tcW w:w="2409" w:type="dxa"/>
            <w:vMerge w:val="restart"/>
          </w:tcPr>
          <w:p w14:paraId="3E5F95FA" w14:textId="77777777" w:rsidR="00BE36FB" w:rsidRPr="009B7B35" w:rsidRDefault="00BE36FB">
            <w:pPr>
              <w:pStyle w:val="TableText"/>
              <w:rPr>
                <w:rFonts w:cs="Arial"/>
              </w:rPr>
            </w:pPr>
            <w:r w:rsidRPr="009B7B35">
              <w:rPr>
                <w:rFonts w:cs="Arial"/>
              </w:rPr>
              <w:t>Garden centre</w:t>
            </w:r>
          </w:p>
          <w:p w14:paraId="74096E36" w14:textId="77777777" w:rsidR="00BE36FB" w:rsidRPr="009B7B35" w:rsidRDefault="00BE36FB">
            <w:pPr>
              <w:pStyle w:val="TableText"/>
              <w:rPr>
                <w:rFonts w:cs="Arial"/>
              </w:rPr>
            </w:pPr>
            <w:r w:rsidRPr="009B7B35">
              <w:rPr>
                <w:rFonts w:cs="Arial"/>
              </w:rPr>
              <w:t>Hardware and trade supplies</w:t>
            </w:r>
          </w:p>
        </w:tc>
        <w:tc>
          <w:tcPr>
            <w:tcW w:w="6947" w:type="dxa"/>
            <w:gridSpan w:val="2"/>
            <w:shd w:val="clear" w:color="auto" w:fill="BFBFBF" w:themeFill="background1" w:themeFillShade="BF"/>
          </w:tcPr>
          <w:p w14:paraId="28D5F804" w14:textId="77777777"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14:paraId="73EA98D9" w14:textId="77777777" w:rsidTr="001A7107">
        <w:trPr>
          <w:cantSplit/>
        </w:trPr>
        <w:tc>
          <w:tcPr>
            <w:tcW w:w="2409" w:type="dxa"/>
            <w:vMerge/>
          </w:tcPr>
          <w:p w14:paraId="7DBD1292" w14:textId="77777777" w:rsidR="00BE36FB" w:rsidRPr="009B7B35" w:rsidRDefault="00BE36FB" w:rsidP="001A7107">
            <w:pPr>
              <w:pStyle w:val="TableText"/>
              <w:rPr>
                <w:rFonts w:cs="Arial"/>
              </w:rPr>
            </w:pPr>
          </w:p>
        </w:tc>
        <w:tc>
          <w:tcPr>
            <w:tcW w:w="3473" w:type="dxa"/>
          </w:tcPr>
          <w:p w14:paraId="597E65B2" w14:textId="77777777" w:rsidR="00BE36FB" w:rsidRPr="009B7B35" w:rsidRDefault="00BE36FB" w:rsidP="001A7107">
            <w:pPr>
              <w:pStyle w:val="TableText"/>
              <w:rPr>
                <w:rFonts w:cs="Arial"/>
              </w:rPr>
            </w:pPr>
            <w:r w:rsidRPr="009B7B35">
              <w:rPr>
                <w:rFonts w:cs="Arial"/>
              </w:rPr>
              <w:t xml:space="preserve">If: </w:t>
            </w:r>
          </w:p>
          <w:p w14:paraId="611044D7" w14:textId="77777777" w:rsidR="00BE36FB" w:rsidRPr="009B7B35" w:rsidRDefault="00BE36FB" w:rsidP="00BE36FB">
            <w:pPr>
              <w:pStyle w:val="TableText"/>
              <w:numPr>
                <w:ilvl w:val="0"/>
                <w:numId w:val="90"/>
              </w:numPr>
              <w:rPr>
                <w:rFonts w:cs="Arial"/>
              </w:rPr>
            </w:pPr>
            <w:r w:rsidRPr="009B7B35">
              <w:rPr>
                <w:rFonts w:cs="Arial"/>
              </w:rPr>
              <w:t>involving the reuse of an existing non–residential building and not increasing gross floor area, and</w:t>
            </w:r>
          </w:p>
          <w:p w14:paraId="482DCA84" w14:textId="77777777" w:rsidR="00BE36FB" w:rsidRPr="009B7B35" w:rsidRDefault="00BE36FB" w:rsidP="00BE36FB">
            <w:pPr>
              <w:pStyle w:val="TableText"/>
              <w:numPr>
                <w:ilvl w:val="0"/>
                <w:numId w:val="90"/>
              </w:numPr>
              <w:rPr>
                <w:rFonts w:cs="Arial"/>
              </w:rPr>
            </w:pPr>
            <w:r w:rsidRPr="009B7B35">
              <w:rPr>
                <w:rFonts w:cs="Arial"/>
              </w:rPr>
              <w:t>not located in the Jeffery Court precinct, and</w:t>
            </w:r>
          </w:p>
          <w:p w14:paraId="1FBEFEB3" w14:textId="77777777" w:rsidR="00BE36FB" w:rsidRPr="009B7B35" w:rsidRDefault="00BE36FB" w:rsidP="00BE36FB">
            <w:pPr>
              <w:pStyle w:val="TableText"/>
              <w:numPr>
                <w:ilvl w:val="0"/>
                <w:numId w:val="90"/>
              </w:numPr>
              <w:rPr>
                <w:rFonts w:cs="Arial"/>
              </w:rPr>
            </w:pPr>
            <w:r w:rsidRPr="009B7B35">
              <w:rPr>
                <w:rFonts w:cs="Arial"/>
              </w:rPr>
              <w:t>GFA does not exceed 250m</w:t>
            </w:r>
            <w:r w:rsidRPr="009B7B35">
              <w:rPr>
                <w:rStyle w:val="StyleSuperscript"/>
                <w:rFonts w:cs="Arial"/>
              </w:rPr>
              <w:t>2</w:t>
            </w:r>
            <w:r w:rsidRPr="009B7B35">
              <w:rPr>
                <w:rFonts w:cs="Arial"/>
              </w:rPr>
              <w:t>.</w:t>
            </w:r>
          </w:p>
        </w:tc>
        <w:tc>
          <w:tcPr>
            <w:tcW w:w="3474" w:type="dxa"/>
          </w:tcPr>
          <w:p w14:paraId="7D3DDD35" w14:textId="77777777" w:rsidR="00BE36FB" w:rsidRPr="009B7B35" w:rsidRDefault="00BE36FB" w:rsidP="001A7107">
            <w:pPr>
              <w:pStyle w:val="TableText"/>
              <w:rPr>
                <w:rFonts w:cs="Arial"/>
              </w:rPr>
            </w:pPr>
            <w:r w:rsidRPr="009B7B35">
              <w:rPr>
                <w:rFonts w:cs="Arial"/>
              </w:rPr>
              <w:t>Zone code:</w:t>
            </w:r>
          </w:p>
          <w:p w14:paraId="495C45B2" w14:textId="77777777" w:rsidR="00BE36FB" w:rsidRPr="009B7B35" w:rsidRDefault="00BE36FB" w:rsidP="00BE36FB">
            <w:pPr>
              <w:pStyle w:val="ListBullet"/>
              <w:ind w:left="360" w:hanging="360"/>
              <w:rPr>
                <w:rFonts w:cs="Arial"/>
                <w:szCs w:val="20"/>
              </w:rPr>
            </w:pPr>
            <w:r w:rsidRPr="009B7B35">
              <w:rPr>
                <w:rFonts w:cs="Arial"/>
                <w:szCs w:val="20"/>
              </w:rPr>
              <w:t>Mixed use zone code</w:t>
            </w:r>
          </w:p>
        </w:tc>
      </w:tr>
      <w:tr w:rsidR="00BE36FB" w:rsidRPr="009B7B35" w14:paraId="06CF9CC6" w14:textId="77777777" w:rsidTr="001A7107">
        <w:trPr>
          <w:cantSplit/>
        </w:trPr>
        <w:tc>
          <w:tcPr>
            <w:tcW w:w="2409" w:type="dxa"/>
            <w:vMerge/>
          </w:tcPr>
          <w:p w14:paraId="09F6BF36" w14:textId="77777777" w:rsidR="00BE36FB" w:rsidRPr="009B7B35" w:rsidRDefault="00BE36FB" w:rsidP="001A7107">
            <w:pPr>
              <w:pStyle w:val="TableText"/>
              <w:rPr>
                <w:rFonts w:cs="Arial"/>
              </w:rPr>
            </w:pPr>
          </w:p>
        </w:tc>
        <w:tc>
          <w:tcPr>
            <w:tcW w:w="6947" w:type="dxa"/>
            <w:gridSpan w:val="2"/>
            <w:shd w:val="clear" w:color="auto" w:fill="BFBFBF" w:themeFill="background1" w:themeFillShade="BF"/>
          </w:tcPr>
          <w:p w14:paraId="5A123031" w14:textId="77777777" w:rsidR="00BE36FB" w:rsidRPr="009B7B35" w:rsidRDefault="00BE36FB" w:rsidP="001A7107">
            <w:pPr>
              <w:pStyle w:val="Tableheading"/>
              <w:rPr>
                <w:rFonts w:ascii="Arial" w:hAnsi="Arial" w:cs="Arial"/>
                <w:szCs w:val="20"/>
              </w:rPr>
            </w:pPr>
            <w:r w:rsidRPr="009B7B35">
              <w:rPr>
                <w:rFonts w:ascii="Arial" w:hAnsi="Arial" w:cs="Arial"/>
                <w:szCs w:val="20"/>
              </w:rPr>
              <w:t>Code assessment</w:t>
            </w:r>
          </w:p>
        </w:tc>
      </w:tr>
      <w:tr w:rsidR="00BE36FB" w:rsidRPr="009B7B35" w14:paraId="5E00F1A2" w14:textId="77777777" w:rsidTr="001A7107">
        <w:trPr>
          <w:cantSplit/>
        </w:trPr>
        <w:tc>
          <w:tcPr>
            <w:tcW w:w="2409" w:type="dxa"/>
            <w:vMerge/>
          </w:tcPr>
          <w:p w14:paraId="65BE0AA7" w14:textId="77777777" w:rsidR="00BE36FB" w:rsidRPr="009B7B35" w:rsidRDefault="00BE36FB" w:rsidP="001A7107">
            <w:pPr>
              <w:pStyle w:val="TableText"/>
              <w:rPr>
                <w:rFonts w:cs="Arial"/>
              </w:rPr>
            </w:pPr>
          </w:p>
        </w:tc>
        <w:tc>
          <w:tcPr>
            <w:tcW w:w="3473" w:type="dxa"/>
          </w:tcPr>
          <w:p w14:paraId="46ABA7BF" w14:textId="77777777" w:rsidR="00BE36FB" w:rsidRPr="009B7B35" w:rsidRDefault="00BE36FB" w:rsidP="001A7107">
            <w:pPr>
              <w:rPr>
                <w:rFonts w:cs="Arial"/>
                <w:sz w:val="20"/>
                <w:szCs w:val="20"/>
              </w:rPr>
            </w:pPr>
            <w:r w:rsidRPr="009B7B35">
              <w:rPr>
                <w:rFonts w:cs="Arial"/>
                <w:sz w:val="20"/>
                <w:szCs w:val="20"/>
              </w:rPr>
              <w:t>If:</w:t>
            </w:r>
          </w:p>
          <w:p w14:paraId="424F26A0" w14:textId="77777777" w:rsidR="00BE36FB" w:rsidRPr="009B7B35" w:rsidRDefault="00BE36FB" w:rsidP="00BE36FB">
            <w:pPr>
              <w:numPr>
                <w:ilvl w:val="0"/>
                <w:numId w:val="91"/>
              </w:numPr>
              <w:rPr>
                <w:rFonts w:cs="Arial"/>
                <w:sz w:val="20"/>
                <w:szCs w:val="20"/>
              </w:rPr>
            </w:pPr>
            <w:r w:rsidRPr="009B7B35">
              <w:rPr>
                <w:rFonts w:cs="Arial"/>
                <w:sz w:val="20"/>
                <w:szCs w:val="20"/>
              </w:rPr>
              <w:t>not located in the Jeffery Court precinct, and</w:t>
            </w:r>
          </w:p>
          <w:p w14:paraId="7189929A" w14:textId="77777777" w:rsidR="00BE36FB" w:rsidRPr="009B7B35" w:rsidRDefault="00BE36FB" w:rsidP="00BE36FB">
            <w:pPr>
              <w:numPr>
                <w:ilvl w:val="0"/>
                <w:numId w:val="91"/>
              </w:numPr>
              <w:rPr>
                <w:rFonts w:cs="Arial"/>
                <w:sz w:val="20"/>
                <w:szCs w:val="20"/>
              </w:rPr>
            </w:pPr>
            <w:r w:rsidRPr="009B7B35">
              <w:rPr>
                <w:rFonts w:cs="Arial"/>
                <w:sz w:val="20"/>
                <w:szCs w:val="20"/>
              </w:rPr>
              <w:t>GFA does not exceed 250m</w:t>
            </w:r>
            <w:r w:rsidRPr="009B7B35">
              <w:rPr>
                <w:rStyle w:val="StyleSuperscript"/>
                <w:rFonts w:cs="Arial"/>
                <w:szCs w:val="20"/>
              </w:rPr>
              <w:t>2</w:t>
            </w:r>
            <w:r w:rsidRPr="009B7B35">
              <w:rPr>
                <w:rFonts w:cs="Arial"/>
                <w:sz w:val="20"/>
                <w:szCs w:val="20"/>
              </w:rPr>
              <w:t>, and</w:t>
            </w:r>
          </w:p>
          <w:p w14:paraId="45CA0CEA" w14:textId="77777777" w:rsidR="00BE36FB" w:rsidRPr="009B7B35" w:rsidRDefault="00BE36FB" w:rsidP="00BE36FB">
            <w:pPr>
              <w:numPr>
                <w:ilvl w:val="0"/>
                <w:numId w:val="91"/>
              </w:numPr>
              <w:rPr>
                <w:rFonts w:cs="Arial"/>
                <w:sz w:val="20"/>
                <w:szCs w:val="20"/>
              </w:rPr>
            </w:pPr>
            <w:r w:rsidRPr="009B7B35">
              <w:rPr>
                <w:rFonts w:cs="Arial"/>
                <w:sz w:val="20"/>
                <w:szCs w:val="20"/>
              </w:rPr>
              <w:t>complying with the building height in the Building height and frontages overlay map.</w:t>
            </w:r>
          </w:p>
        </w:tc>
        <w:tc>
          <w:tcPr>
            <w:tcW w:w="3474" w:type="dxa"/>
          </w:tcPr>
          <w:p w14:paraId="735E474B" w14:textId="77777777" w:rsidR="00BE36FB" w:rsidRPr="009B7B35" w:rsidRDefault="00BE36FB" w:rsidP="001A7107">
            <w:pPr>
              <w:pStyle w:val="TableText"/>
              <w:rPr>
                <w:rFonts w:cs="Arial"/>
              </w:rPr>
            </w:pPr>
            <w:r w:rsidRPr="009B7B35">
              <w:rPr>
                <w:rFonts w:cs="Arial"/>
              </w:rPr>
              <w:t>Zone code:</w:t>
            </w:r>
          </w:p>
          <w:p w14:paraId="02E203BB" w14:textId="77777777" w:rsidR="00BE36FB" w:rsidRPr="009B7B35" w:rsidRDefault="00BE36FB" w:rsidP="00BE36FB">
            <w:pPr>
              <w:pStyle w:val="ListBullet"/>
              <w:ind w:left="360" w:hanging="360"/>
              <w:rPr>
                <w:rFonts w:cs="Arial"/>
                <w:szCs w:val="20"/>
              </w:rPr>
            </w:pPr>
            <w:r w:rsidRPr="009B7B35">
              <w:rPr>
                <w:rFonts w:cs="Arial"/>
                <w:szCs w:val="20"/>
              </w:rPr>
              <w:t>Mixed use zone code</w:t>
            </w:r>
          </w:p>
          <w:p w14:paraId="33B5DD99" w14:textId="77777777" w:rsidR="00BE36FB" w:rsidRPr="009B7B35" w:rsidRDefault="00BE36FB" w:rsidP="001A7107">
            <w:pPr>
              <w:pStyle w:val="TableText"/>
              <w:rPr>
                <w:rFonts w:cs="Arial"/>
              </w:rPr>
            </w:pPr>
            <w:r w:rsidRPr="009B7B35">
              <w:rPr>
                <w:rFonts w:cs="Arial"/>
              </w:rPr>
              <w:t>Other development codes:</w:t>
            </w:r>
          </w:p>
          <w:p w14:paraId="6303070E" w14:textId="77777777" w:rsidR="00BE36FB" w:rsidRPr="009B7B35" w:rsidRDefault="00BE36FB" w:rsidP="00BE36FB">
            <w:pPr>
              <w:pStyle w:val="ListBullet"/>
              <w:ind w:left="360" w:hanging="360"/>
              <w:rPr>
                <w:rFonts w:cs="Arial"/>
                <w:szCs w:val="20"/>
              </w:rPr>
            </w:pPr>
            <w:r w:rsidRPr="009B7B35">
              <w:rPr>
                <w:rFonts w:cs="Arial"/>
                <w:szCs w:val="20"/>
              </w:rPr>
              <w:t>Development design code</w:t>
            </w:r>
          </w:p>
          <w:p w14:paraId="06329814" w14:textId="77777777" w:rsidR="00BE36FB" w:rsidRPr="009B7B35" w:rsidRDefault="00BE36FB" w:rsidP="00BE36FB">
            <w:pPr>
              <w:pStyle w:val="ListBullet"/>
              <w:ind w:left="360" w:hanging="360"/>
              <w:rPr>
                <w:rFonts w:cs="Arial"/>
                <w:szCs w:val="20"/>
              </w:rPr>
            </w:pPr>
            <w:r w:rsidRPr="009B7B35">
              <w:rPr>
                <w:rFonts w:cs="Arial"/>
                <w:szCs w:val="20"/>
              </w:rPr>
              <w:t>Landscaping code</w:t>
            </w:r>
          </w:p>
        </w:tc>
      </w:tr>
      <w:tr w:rsidR="00BE36FB" w:rsidRPr="009B7B35" w14:paraId="759D13F6" w14:textId="77777777" w:rsidTr="001A7107">
        <w:trPr>
          <w:cantSplit/>
        </w:trPr>
        <w:tc>
          <w:tcPr>
            <w:tcW w:w="2409" w:type="dxa"/>
            <w:vMerge w:val="restart"/>
          </w:tcPr>
          <w:p w14:paraId="6542C0CC" w14:textId="77777777" w:rsidR="00BE36FB" w:rsidRPr="009B7B35" w:rsidRDefault="00BE36FB" w:rsidP="001A7107">
            <w:pPr>
              <w:pStyle w:val="TableText"/>
              <w:rPr>
                <w:rFonts w:cs="Arial"/>
              </w:rPr>
            </w:pPr>
            <w:r w:rsidRPr="009B7B35">
              <w:rPr>
                <w:rFonts w:cs="Arial"/>
              </w:rPr>
              <w:t>Home based business</w:t>
            </w:r>
          </w:p>
        </w:tc>
        <w:tc>
          <w:tcPr>
            <w:tcW w:w="6947" w:type="dxa"/>
            <w:gridSpan w:val="2"/>
            <w:shd w:val="clear" w:color="auto" w:fill="BFBFBF" w:themeFill="background1" w:themeFillShade="BF"/>
          </w:tcPr>
          <w:p w14:paraId="4CEB2FFE" w14:textId="77777777"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14:paraId="5F2DF44E" w14:textId="77777777" w:rsidTr="001A7107">
        <w:trPr>
          <w:cantSplit/>
          <w:trHeight w:val="873"/>
        </w:trPr>
        <w:tc>
          <w:tcPr>
            <w:tcW w:w="2409" w:type="dxa"/>
            <w:vMerge/>
          </w:tcPr>
          <w:p w14:paraId="2613CBC4" w14:textId="77777777" w:rsidR="00BE36FB" w:rsidRPr="009B7B35" w:rsidRDefault="00BE36FB" w:rsidP="001A7107">
            <w:pPr>
              <w:rPr>
                <w:rFonts w:cs="Arial"/>
                <w:sz w:val="20"/>
                <w:szCs w:val="20"/>
              </w:rPr>
            </w:pPr>
          </w:p>
        </w:tc>
        <w:tc>
          <w:tcPr>
            <w:tcW w:w="3473" w:type="dxa"/>
          </w:tcPr>
          <w:p w14:paraId="607CDA5E" w14:textId="77777777" w:rsidR="00BE36FB" w:rsidRPr="009B7B35" w:rsidRDefault="00BE36FB" w:rsidP="001A7107">
            <w:pPr>
              <w:pStyle w:val="TableText"/>
              <w:rPr>
                <w:rFonts w:cs="Arial"/>
              </w:rPr>
            </w:pPr>
            <w:r w:rsidRPr="009B7B35">
              <w:rPr>
                <w:rFonts w:cs="Arial"/>
              </w:rPr>
              <w:t>If complying with the relevant accepted development acceptable outcomes.</w:t>
            </w:r>
          </w:p>
          <w:p w14:paraId="30D242E2" w14:textId="77777777" w:rsidR="00BE36FB" w:rsidRPr="009B7B35" w:rsidRDefault="00BE36FB" w:rsidP="001A7107">
            <w:pPr>
              <w:rPr>
                <w:rFonts w:cs="Arial"/>
                <w:sz w:val="20"/>
                <w:szCs w:val="20"/>
              </w:rPr>
            </w:pPr>
          </w:p>
          <w:p w14:paraId="0D5C9FD0" w14:textId="77777777" w:rsidR="00BE36FB" w:rsidRPr="009B7B35" w:rsidRDefault="00BE36FB" w:rsidP="001A7107">
            <w:pPr>
              <w:ind w:firstLine="720"/>
              <w:rPr>
                <w:rFonts w:cs="Arial"/>
                <w:sz w:val="20"/>
                <w:szCs w:val="20"/>
              </w:rPr>
            </w:pPr>
          </w:p>
        </w:tc>
        <w:tc>
          <w:tcPr>
            <w:tcW w:w="3474" w:type="dxa"/>
          </w:tcPr>
          <w:p w14:paraId="356B9B85" w14:textId="77777777" w:rsidR="00BE36FB" w:rsidRPr="009B7B35" w:rsidRDefault="00BE36FB" w:rsidP="001A7107">
            <w:pPr>
              <w:pStyle w:val="TableText"/>
              <w:rPr>
                <w:rFonts w:cs="Arial"/>
              </w:rPr>
            </w:pPr>
            <w:r w:rsidRPr="009B7B35">
              <w:rPr>
                <w:rFonts w:cs="Arial"/>
              </w:rPr>
              <w:t>Use code:</w:t>
            </w:r>
          </w:p>
          <w:p w14:paraId="7C3A168D" w14:textId="77777777" w:rsidR="00BE36FB" w:rsidRPr="009B7B35" w:rsidRDefault="00BE36FB" w:rsidP="00BE36FB">
            <w:pPr>
              <w:pStyle w:val="ListBullet"/>
              <w:ind w:left="360" w:hanging="360"/>
              <w:rPr>
                <w:rFonts w:cs="Arial"/>
                <w:szCs w:val="20"/>
              </w:rPr>
            </w:pPr>
            <w:r w:rsidRPr="009B7B35">
              <w:rPr>
                <w:rFonts w:cs="Arial"/>
                <w:szCs w:val="20"/>
              </w:rPr>
              <w:t>Home based business code.</w:t>
            </w:r>
          </w:p>
          <w:p w14:paraId="5B802C3D" w14:textId="77777777" w:rsidR="00BE36FB" w:rsidRPr="009B7B35" w:rsidRDefault="00BE36FB" w:rsidP="001A7107">
            <w:pPr>
              <w:pStyle w:val="ListBullet"/>
              <w:numPr>
                <w:ilvl w:val="0"/>
                <w:numId w:val="0"/>
              </w:numPr>
              <w:ind w:left="284"/>
              <w:rPr>
                <w:rFonts w:cs="Arial"/>
                <w:szCs w:val="20"/>
              </w:rPr>
            </w:pPr>
          </w:p>
        </w:tc>
      </w:tr>
      <w:tr w:rsidR="00BE36FB" w:rsidRPr="009B7B35" w14:paraId="2DE05654" w14:textId="77777777" w:rsidTr="001A7107">
        <w:trPr>
          <w:cantSplit/>
        </w:trPr>
        <w:tc>
          <w:tcPr>
            <w:tcW w:w="2409" w:type="dxa"/>
            <w:vMerge w:val="restart"/>
          </w:tcPr>
          <w:p w14:paraId="01022D81" w14:textId="77777777" w:rsidR="00BE36FB" w:rsidRPr="009B7B35" w:rsidRDefault="00BE36FB" w:rsidP="001A7107">
            <w:pPr>
              <w:rPr>
                <w:rFonts w:cs="Arial"/>
                <w:sz w:val="20"/>
                <w:szCs w:val="20"/>
              </w:rPr>
            </w:pPr>
            <w:r w:rsidRPr="009B7B35">
              <w:rPr>
                <w:rFonts w:cs="Arial"/>
                <w:sz w:val="20"/>
                <w:szCs w:val="20"/>
              </w:rPr>
              <w:t>Landing*</w:t>
            </w:r>
          </w:p>
          <w:p w14:paraId="4B98672F" w14:textId="77777777" w:rsidR="00BE36FB" w:rsidRPr="009B7B35" w:rsidRDefault="00BE36FB" w:rsidP="001A7107">
            <w:pPr>
              <w:rPr>
                <w:rFonts w:cs="Arial"/>
                <w:sz w:val="20"/>
                <w:szCs w:val="20"/>
              </w:rPr>
            </w:pPr>
            <w:r w:rsidRPr="009B7B35">
              <w:rPr>
                <w:rFonts w:cs="Arial"/>
                <w:sz w:val="20"/>
                <w:szCs w:val="20"/>
              </w:rPr>
              <w:t>Park</w:t>
            </w:r>
          </w:p>
          <w:p w14:paraId="30BB4E31" w14:textId="77777777" w:rsidR="00BE36FB" w:rsidRPr="009B7B35" w:rsidRDefault="00BE36FB">
            <w:pPr>
              <w:pStyle w:val="Notes"/>
              <w:rPr>
                <w:rFonts w:cs="Arial"/>
                <w:sz w:val="20"/>
                <w:szCs w:val="20"/>
              </w:rPr>
            </w:pPr>
            <w:r w:rsidRPr="009B7B35">
              <w:rPr>
                <w:rFonts w:cs="Arial"/>
                <w:sz w:val="20"/>
                <w:szCs w:val="20"/>
              </w:rPr>
              <w:t>*Note—Assessment may be triggered through other legislation.</w:t>
            </w:r>
          </w:p>
        </w:tc>
        <w:tc>
          <w:tcPr>
            <w:tcW w:w="6947" w:type="dxa"/>
            <w:gridSpan w:val="2"/>
            <w:shd w:val="clear" w:color="auto" w:fill="BFBFBF" w:themeFill="background1" w:themeFillShade="BF"/>
          </w:tcPr>
          <w:p w14:paraId="1CB3841F"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Accepted development </w:t>
            </w:r>
          </w:p>
        </w:tc>
      </w:tr>
      <w:tr w:rsidR="00BE36FB" w:rsidRPr="009B7B35" w14:paraId="005B4212" w14:textId="77777777" w:rsidTr="001A7107">
        <w:trPr>
          <w:cantSplit/>
          <w:trHeight w:val="850"/>
        </w:trPr>
        <w:tc>
          <w:tcPr>
            <w:tcW w:w="2409" w:type="dxa"/>
            <w:vMerge/>
          </w:tcPr>
          <w:p w14:paraId="125CAFC8" w14:textId="77777777" w:rsidR="00BE36FB" w:rsidRPr="009B7B35" w:rsidRDefault="00BE36FB" w:rsidP="001A7107">
            <w:pPr>
              <w:rPr>
                <w:rFonts w:cs="Arial"/>
                <w:sz w:val="20"/>
                <w:szCs w:val="20"/>
              </w:rPr>
            </w:pPr>
          </w:p>
        </w:tc>
        <w:tc>
          <w:tcPr>
            <w:tcW w:w="3473" w:type="dxa"/>
          </w:tcPr>
          <w:p w14:paraId="08D04847" w14:textId="77777777" w:rsidR="00BE36FB" w:rsidRPr="009B7B35" w:rsidRDefault="00BE36FB" w:rsidP="001A7107">
            <w:pPr>
              <w:rPr>
                <w:rFonts w:cs="Arial"/>
                <w:sz w:val="20"/>
                <w:szCs w:val="20"/>
              </w:rPr>
            </w:pPr>
            <w:r w:rsidRPr="009B7B35">
              <w:rPr>
                <w:rFonts w:cs="Arial"/>
                <w:sz w:val="20"/>
                <w:szCs w:val="20"/>
              </w:rPr>
              <w:t>Development approval is not required.</w:t>
            </w:r>
          </w:p>
          <w:p w14:paraId="39717D3F" w14:textId="77777777" w:rsidR="00BE36FB" w:rsidRPr="009B7B35" w:rsidRDefault="00BE36FB" w:rsidP="001A7107">
            <w:pPr>
              <w:rPr>
                <w:rFonts w:cs="Arial"/>
                <w:sz w:val="20"/>
                <w:szCs w:val="20"/>
              </w:rPr>
            </w:pPr>
          </w:p>
        </w:tc>
        <w:tc>
          <w:tcPr>
            <w:tcW w:w="3474" w:type="dxa"/>
          </w:tcPr>
          <w:p w14:paraId="51DEAF3B" w14:textId="77777777" w:rsidR="00BE36FB" w:rsidRPr="009B7B35" w:rsidRDefault="00BE36FB" w:rsidP="001A7107">
            <w:pPr>
              <w:pStyle w:val="TableText"/>
              <w:rPr>
                <w:rFonts w:cs="Arial"/>
              </w:rPr>
            </w:pPr>
            <w:r w:rsidRPr="009B7B35">
              <w:rPr>
                <w:rFonts w:cs="Arial"/>
              </w:rPr>
              <w:t>Not applicable</w:t>
            </w:r>
          </w:p>
          <w:p w14:paraId="66F54000" w14:textId="77777777" w:rsidR="00BE36FB" w:rsidRPr="009B7B35" w:rsidRDefault="00BE36FB" w:rsidP="001A7107">
            <w:pPr>
              <w:rPr>
                <w:rFonts w:cs="Arial"/>
                <w:sz w:val="20"/>
                <w:szCs w:val="20"/>
              </w:rPr>
            </w:pPr>
          </w:p>
          <w:p w14:paraId="69A52A79" w14:textId="77777777" w:rsidR="00BE36FB" w:rsidRPr="009B7B35" w:rsidRDefault="00BE36FB" w:rsidP="001A7107">
            <w:pPr>
              <w:jc w:val="center"/>
              <w:rPr>
                <w:rFonts w:cs="Arial"/>
                <w:sz w:val="20"/>
                <w:szCs w:val="20"/>
              </w:rPr>
            </w:pPr>
          </w:p>
        </w:tc>
      </w:tr>
      <w:tr w:rsidR="00BE36FB" w:rsidRPr="009B7B35" w14:paraId="5C26B172" w14:textId="77777777" w:rsidTr="001A7107">
        <w:tc>
          <w:tcPr>
            <w:tcW w:w="2409" w:type="dxa"/>
            <w:vMerge w:val="restart"/>
          </w:tcPr>
          <w:p w14:paraId="48026569" w14:textId="77777777" w:rsidR="00BE36FB" w:rsidRPr="009B7B35" w:rsidRDefault="00BE36FB" w:rsidP="001A7107">
            <w:pPr>
              <w:pStyle w:val="TableText"/>
              <w:rPr>
                <w:rFonts w:cs="Arial"/>
              </w:rPr>
            </w:pPr>
            <w:r w:rsidRPr="009B7B35">
              <w:rPr>
                <w:rFonts w:cs="Arial"/>
              </w:rPr>
              <w:t>Shop</w:t>
            </w:r>
          </w:p>
          <w:p w14:paraId="1EF941D1" w14:textId="77777777" w:rsidR="00BE36FB" w:rsidRPr="009B7B35" w:rsidRDefault="00BE36FB" w:rsidP="001A7107">
            <w:pPr>
              <w:pStyle w:val="TableText"/>
              <w:rPr>
                <w:rFonts w:cs="Arial"/>
              </w:rPr>
            </w:pPr>
            <w:r w:rsidRPr="009B7B35">
              <w:rPr>
                <w:rFonts w:cs="Arial"/>
              </w:rPr>
              <w:t>Shopping centre</w:t>
            </w:r>
          </w:p>
        </w:tc>
        <w:tc>
          <w:tcPr>
            <w:tcW w:w="6947" w:type="dxa"/>
            <w:gridSpan w:val="2"/>
            <w:shd w:val="clear" w:color="auto" w:fill="BFBFBF" w:themeFill="background1" w:themeFillShade="BF"/>
          </w:tcPr>
          <w:p w14:paraId="5B5EBA87" w14:textId="77777777"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14:paraId="513DDA1A" w14:textId="77777777" w:rsidTr="001A7107">
        <w:tc>
          <w:tcPr>
            <w:tcW w:w="2409" w:type="dxa"/>
            <w:vMerge/>
          </w:tcPr>
          <w:p w14:paraId="53724B8A" w14:textId="77777777" w:rsidR="00BE36FB" w:rsidRPr="009B7B35" w:rsidRDefault="00BE36FB" w:rsidP="001A7107">
            <w:pPr>
              <w:pStyle w:val="TableText"/>
              <w:rPr>
                <w:rFonts w:cs="Arial"/>
              </w:rPr>
            </w:pPr>
          </w:p>
        </w:tc>
        <w:tc>
          <w:tcPr>
            <w:tcW w:w="3473" w:type="dxa"/>
          </w:tcPr>
          <w:p w14:paraId="62C8C0E7" w14:textId="77777777" w:rsidR="00BE36FB" w:rsidRPr="009B7B35" w:rsidRDefault="00BE36FB" w:rsidP="001A7107">
            <w:pPr>
              <w:pStyle w:val="TableText"/>
              <w:rPr>
                <w:rFonts w:cs="Arial"/>
              </w:rPr>
            </w:pPr>
            <w:r w:rsidRPr="009B7B35">
              <w:rPr>
                <w:rFonts w:cs="Arial"/>
              </w:rPr>
              <w:t xml:space="preserve">If </w:t>
            </w:r>
          </w:p>
          <w:p w14:paraId="4A9D3A9B" w14:textId="77777777" w:rsidR="00BE36FB" w:rsidRPr="009B7B35" w:rsidRDefault="00BE36FB" w:rsidP="00BE36FB">
            <w:pPr>
              <w:pStyle w:val="TableText"/>
              <w:numPr>
                <w:ilvl w:val="0"/>
                <w:numId w:val="97"/>
              </w:numPr>
              <w:rPr>
                <w:rFonts w:cs="Arial"/>
              </w:rPr>
            </w:pPr>
            <w:r w:rsidRPr="009B7B35">
              <w:rPr>
                <w:rFonts w:cs="Arial"/>
              </w:rPr>
              <w:t>involving the reuse of an existing non–residential building and not increasing gross floor area, and</w:t>
            </w:r>
          </w:p>
          <w:p w14:paraId="0CDE1A3D" w14:textId="77777777" w:rsidR="00BE36FB" w:rsidRPr="009B7B35" w:rsidRDefault="00BE36FB" w:rsidP="00BE36FB">
            <w:pPr>
              <w:pStyle w:val="TableText"/>
              <w:numPr>
                <w:ilvl w:val="0"/>
                <w:numId w:val="97"/>
              </w:numPr>
              <w:rPr>
                <w:rFonts w:cs="Arial"/>
              </w:rPr>
            </w:pPr>
            <w:r w:rsidRPr="009B7B35">
              <w:rPr>
                <w:rFonts w:cs="Arial"/>
              </w:rPr>
              <w:t>GFA does not exceed 1,000m</w:t>
            </w:r>
            <w:r w:rsidRPr="009B7B35">
              <w:rPr>
                <w:rStyle w:val="StyleSuperscript"/>
                <w:rFonts w:cs="Arial"/>
              </w:rPr>
              <w:t>2</w:t>
            </w:r>
          </w:p>
        </w:tc>
        <w:tc>
          <w:tcPr>
            <w:tcW w:w="3474" w:type="dxa"/>
          </w:tcPr>
          <w:p w14:paraId="3FA1460A" w14:textId="77777777" w:rsidR="00BE36FB" w:rsidRPr="009B7B35" w:rsidRDefault="00BE36FB" w:rsidP="001A7107">
            <w:pPr>
              <w:pStyle w:val="TableText"/>
              <w:rPr>
                <w:rFonts w:cs="Arial"/>
              </w:rPr>
            </w:pPr>
            <w:r w:rsidRPr="009B7B35">
              <w:rPr>
                <w:rFonts w:cs="Arial"/>
              </w:rPr>
              <w:t>Zone code:</w:t>
            </w:r>
          </w:p>
          <w:p w14:paraId="2908CA19" w14:textId="77777777" w:rsidR="00BE36FB" w:rsidRPr="009B7B35" w:rsidRDefault="00BE36FB" w:rsidP="00BE36FB">
            <w:pPr>
              <w:pStyle w:val="ListBullet"/>
              <w:ind w:left="360" w:hanging="360"/>
              <w:rPr>
                <w:rFonts w:cs="Arial"/>
                <w:szCs w:val="20"/>
              </w:rPr>
            </w:pPr>
            <w:r w:rsidRPr="009B7B35">
              <w:rPr>
                <w:rFonts w:cs="Arial"/>
                <w:szCs w:val="20"/>
              </w:rPr>
              <w:t>Mixed use zone code</w:t>
            </w:r>
          </w:p>
        </w:tc>
      </w:tr>
      <w:tr w:rsidR="00BE36FB" w:rsidRPr="009B7B35" w14:paraId="145E4967" w14:textId="77777777" w:rsidTr="001A7107">
        <w:trPr>
          <w:trHeight w:val="149"/>
        </w:trPr>
        <w:tc>
          <w:tcPr>
            <w:tcW w:w="2409" w:type="dxa"/>
            <w:vMerge/>
          </w:tcPr>
          <w:p w14:paraId="4CE4FA0D" w14:textId="77777777" w:rsidR="00BE36FB" w:rsidRPr="009B7B35" w:rsidRDefault="00BE36FB" w:rsidP="001A7107">
            <w:pPr>
              <w:pStyle w:val="TableText"/>
              <w:rPr>
                <w:rFonts w:cs="Arial"/>
              </w:rPr>
            </w:pPr>
          </w:p>
        </w:tc>
        <w:tc>
          <w:tcPr>
            <w:tcW w:w="6947" w:type="dxa"/>
            <w:gridSpan w:val="2"/>
            <w:shd w:val="clear" w:color="auto" w:fill="BFBFBF" w:themeFill="background1" w:themeFillShade="BF"/>
          </w:tcPr>
          <w:p w14:paraId="0759A010" w14:textId="77777777" w:rsidR="00BE36FB" w:rsidRPr="009B7B35" w:rsidRDefault="00BE36FB" w:rsidP="001A7107">
            <w:pPr>
              <w:pStyle w:val="Tableheading"/>
              <w:rPr>
                <w:rFonts w:ascii="Arial" w:hAnsi="Arial" w:cs="Arial"/>
                <w:szCs w:val="20"/>
              </w:rPr>
            </w:pPr>
            <w:r w:rsidRPr="009B7B35">
              <w:rPr>
                <w:rFonts w:ascii="Arial" w:hAnsi="Arial" w:cs="Arial"/>
                <w:szCs w:val="20"/>
              </w:rPr>
              <w:t>Code assessment</w:t>
            </w:r>
          </w:p>
        </w:tc>
      </w:tr>
      <w:tr w:rsidR="00BE36FB" w:rsidRPr="009B7B35" w14:paraId="57370DCF" w14:textId="77777777" w:rsidTr="001A7107">
        <w:tc>
          <w:tcPr>
            <w:tcW w:w="2409" w:type="dxa"/>
            <w:vMerge/>
          </w:tcPr>
          <w:p w14:paraId="0032A1C1" w14:textId="77777777" w:rsidR="00BE36FB" w:rsidRPr="009B7B35" w:rsidRDefault="00BE36FB" w:rsidP="001A7107">
            <w:pPr>
              <w:pStyle w:val="TableText"/>
              <w:rPr>
                <w:rFonts w:cs="Arial"/>
              </w:rPr>
            </w:pPr>
          </w:p>
        </w:tc>
        <w:tc>
          <w:tcPr>
            <w:tcW w:w="3473" w:type="dxa"/>
          </w:tcPr>
          <w:p w14:paraId="31741878" w14:textId="77777777" w:rsidR="00BE36FB" w:rsidRPr="009B7B35" w:rsidRDefault="00BE36FB" w:rsidP="001A7107">
            <w:pPr>
              <w:pStyle w:val="TableText"/>
              <w:rPr>
                <w:rFonts w:cs="Arial"/>
              </w:rPr>
            </w:pPr>
            <w:r w:rsidRPr="009B7B35">
              <w:rPr>
                <w:rFonts w:cs="Arial"/>
              </w:rPr>
              <w:t>If:</w:t>
            </w:r>
          </w:p>
          <w:p w14:paraId="4DDB85A4" w14:textId="77777777" w:rsidR="00BE36FB" w:rsidRPr="009B7B35" w:rsidRDefault="00BE36FB" w:rsidP="00BE36FB">
            <w:pPr>
              <w:pStyle w:val="TableText"/>
              <w:numPr>
                <w:ilvl w:val="0"/>
                <w:numId w:val="98"/>
              </w:numPr>
              <w:rPr>
                <w:rFonts w:cs="Arial"/>
              </w:rPr>
            </w:pPr>
            <w:r w:rsidRPr="009B7B35">
              <w:rPr>
                <w:rFonts w:cs="Arial"/>
              </w:rPr>
              <w:t>GFA does not exceed 1,000m</w:t>
            </w:r>
            <w:r w:rsidRPr="009B7B35">
              <w:rPr>
                <w:rStyle w:val="StyleSuperscript"/>
                <w:rFonts w:cs="Arial"/>
              </w:rPr>
              <w:t>2</w:t>
            </w:r>
            <w:r w:rsidRPr="009B7B35">
              <w:rPr>
                <w:rFonts w:cs="Arial"/>
              </w:rPr>
              <w:t>, and</w:t>
            </w:r>
          </w:p>
          <w:p w14:paraId="79A2C8D4" w14:textId="77777777" w:rsidR="00BE36FB" w:rsidRPr="009B7B35" w:rsidRDefault="00BE36FB" w:rsidP="00BE36FB">
            <w:pPr>
              <w:pStyle w:val="TableText"/>
              <w:numPr>
                <w:ilvl w:val="0"/>
                <w:numId w:val="98"/>
              </w:numPr>
              <w:rPr>
                <w:rFonts w:cs="Arial"/>
              </w:rPr>
            </w:pPr>
            <w:r w:rsidRPr="009B7B35">
              <w:rPr>
                <w:rFonts w:cs="Arial"/>
              </w:rPr>
              <w:t>complying with the building height in the Building height and frontages overlay map.</w:t>
            </w:r>
          </w:p>
        </w:tc>
        <w:tc>
          <w:tcPr>
            <w:tcW w:w="3474" w:type="dxa"/>
          </w:tcPr>
          <w:p w14:paraId="74FF6E90" w14:textId="77777777" w:rsidR="00BE36FB" w:rsidRPr="009B7B35" w:rsidRDefault="00BE36FB" w:rsidP="001A7107">
            <w:pPr>
              <w:pStyle w:val="TableText"/>
              <w:rPr>
                <w:rFonts w:cs="Arial"/>
              </w:rPr>
            </w:pPr>
            <w:r w:rsidRPr="009B7B35">
              <w:rPr>
                <w:rFonts w:cs="Arial"/>
              </w:rPr>
              <w:t>Zone code:</w:t>
            </w:r>
          </w:p>
          <w:p w14:paraId="06418CC4" w14:textId="77777777" w:rsidR="00BE36FB" w:rsidRPr="009B7B35" w:rsidRDefault="00BE36FB" w:rsidP="00BE36FB">
            <w:pPr>
              <w:pStyle w:val="ListBullet"/>
              <w:ind w:left="360" w:hanging="360"/>
              <w:rPr>
                <w:rFonts w:cs="Arial"/>
                <w:szCs w:val="20"/>
              </w:rPr>
            </w:pPr>
            <w:r w:rsidRPr="009B7B35">
              <w:rPr>
                <w:rFonts w:cs="Arial"/>
                <w:szCs w:val="20"/>
              </w:rPr>
              <w:t>Mixed use zone code</w:t>
            </w:r>
          </w:p>
          <w:p w14:paraId="1BC1F7D3" w14:textId="77777777" w:rsidR="00BE36FB" w:rsidRPr="009B7B35" w:rsidRDefault="00BE36FB" w:rsidP="001A7107">
            <w:pPr>
              <w:pStyle w:val="TableText"/>
              <w:rPr>
                <w:rFonts w:cs="Arial"/>
              </w:rPr>
            </w:pPr>
            <w:r w:rsidRPr="009B7B35">
              <w:rPr>
                <w:rFonts w:cs="Arial"/>
              </w:rPr>
              <w:t>Other development codes:</w:t>
            </w:r>
          </w:p>
          <w:p w14:paraId="7B4D0B1A" w14:textId="77777777" w:rsidR="00BE36FB" w:rsidRPr="009B7B35" w:rsidRDefault="00BE36FB" w:rsidP="00BE36FB">
            <w:pPr>
              <w:pStyle w:val="ListBullet"/>
              <w:ind w:left="360" w:hanging="360"/>
              <w:rPr>
                <w:rFonts w:cs="Arial"/>
                <w:szCs w:val="20"/>
              </w:rPr>
            </w:pPr>
            <w:r w:rsidRPr="009B7B35">
              <w:rPr>
                <w:rFonts w:cs="Arial"/>
                <w:szCs w:val="20"/>
              </w:rPr>
              <w:t>Development design code</w:t>
            </w:r>
          </w:p>
          <w:p w14:paraId="55AFE027" w14:textId="77777777" w:rsidR="00BE36FB" w:rsidRPr="009B7B35" w:rsidRDefault="00BE36FB" w:rsidP="00BE36FB">
            <w:pPr>
              <w:pStyle w:val="ListBullet"/>
              <w:ind w:left="360" w:hanging="360"/>
              <w:rPr>
                <w:rFonts w:cs="Arial"/>
                <w:szCs w:val="20"/>
              </w:rPr>
            </w:pPr>
            <w:r w:rsidRPr="009B7B35">
              <w:rPr>
                <w:rFonts w:cs="Arial"/>
                <w:szCs w:val="20"/>
              </w:rPr>
              <w:t>Landscaping code</w:t>
            </w:r>
          </w:p>
        </w:tc>
      </w:tr>
      <w:tr w:rsidR="00BE36FB" w:rsidRPr="009B7B35" w14:paraId="47469A5C" w14:textId="77777777" w:rsidTr="001A7107">
        <w:trPr>
          <w:cantSplit/>
          <w:trHeight w:val="42"/>
        </w:trPr>
        <w:tc>
          <w:tcPr>
            <w:tcW w:w="2409" w:type="dxa"/>
            <w:vMerge w:val="restart"/>
          </w:tcPr>
          <w:p w14:paraId="7619AFA3" w14:textId="77777777" w:rsidR="00BE36FB" w:rsidRPr="009B7B35" w:rsidRDefault="00BE36FB" w:rsidP="001A7107">
            <w:pPr>
              <w:pStyle w:val="TableText"/>
              <w:rPr>
                <w:rFonts w:cs="Arial"/>
              </w:rPr>
            </w:pPr>
            <w:r w:rsidRPr="009B7B35">
              <w:rPr>
                <w:rFonts w:cs="Arial"/>
              </w:rPr>
              <w:t>Short–term accommodation</w:t>
            </w:r>
          </w:p>
        </w:tc>
        <w:tc>
          <w:tcPr>
            <w:tcW w:w="6947" w:type="dxa"/>
            <w:gridSpan w:val="2"/>
            <w:shd w:val="clear" w:color="auto" w:fill="BFBFBF" w:themeFill="background1" w:themeFillShade="BF"/>
          </w:tcPr>
          <w:p w14:paraId="52740091" w14:textId="77777777" w:rsidR="00BE36FB" w:rsidRPr="009B7B35" w:rsidRDefault="00BE36FB" w:rsidP="001A7107">
            <w:pPr>
              <w:pStyle w:val="Tableheading"/>
              <w:rPr>
                <w:rFonts w:ascii="Arial" w:hAnsi="Arial" w:cs="Arial"/>
                <w:szCs w:val="20"/>
              </w:rPr>
            </w:pPr>
            <w:r w:rsidRPr="009B7B35">
              <w:rPr>
                <w:rFonts w:ascii="Arial" w:hAnsi="Arial" w:cs="Arial"/>
                <w:szCs w:val="20"/>
              </w:rPr>
              <w:t>Code assessment</w:t>
            </w:r>
          </w:p>
        </w:tc>
      </w:tr>
      <w:tr w:rsidR="00BE36FB" w:rsidRPr="009B7B35" w14:paraId="1634DCE0" w14:textId="77777777" w:rsidTr="001A7107">
        <w:trPr>
          <w:cantSplit/>
        </w:trPr>
        <w:tc>
          <w:tcPr>
            <w:tcW w:w="2409" w:type="dxa"/>
            <w:vMerge/>
          </w:tcPr>
          <w:p w14:paraId="7A9C9389" w14:textId="77777777" w:rsidR="00BE36FB" w:rsidRPr="009B7B35" w:rsidRDefault="00BE36FB" w:rsidP="001A7107">
            <w:pPr>
              <w:pStyle w:val="TableText"/>
              <w:rPr>
                <w:rFonts w:cs="Arial"/>
              </w:rPr>
            </w:pPr>
          </w:p>
        </w:tc>
        <w:tc>
          <w:tcPr>
            <w:tcW w:w="3473" w:type="dxa"/>
          </w:tcPr>
          <w:p w14:paraId="63D4DFFC" w14:textId="77777777" w:rsidR="00BE36FB" w:rsidRPr="009B7B35" w:rsidRDefault="00BE36FB" w:rsidP="001A7107">
            <w:pPr>
              <w:pStyle w:val="TableText"/>
              <w:rPr>
                <w:rFonts w:cs="Arial"/>
              </w:rPr>
            </w:pPr>
            <w:r w:rsidRPr="009B7B35">
              <w:rPr>
                <w:rFonts w:cs="Arial"/>
              </w:rPr>
              <w:t>If complying with the building height in the Building height and frontages overlay map.</w:t>
            </w:r>
          </w:p>
        </w:tc>
        <w:tc>
          <w:tcPr>
            <w:tcW w:w="3474" w:type="dxa"/>
          </w:tcPr>
          <w:p w14:paraId="78A1B211" w14:textId="77777777" w:rsidR="00BE36FB" w:rsidRPr="009B7B35" w:rsidRDefault="00BE36FB" w:rsidP="001A7107">
            <w:pPr>
              <w:pStyle w:val="TableText"/>
              <w:rPr>
                <w:rFonts w:cs="Arial"/>
              </w:rPr>
            </w:pPr>
            <w:r w:rsidRPr="009B7B35">
              <w:rPr>
                <w:rFonts w:cs="Arial"/>
              </w:rPr>
              <w:t>Zone code:</w:t>
            </w:r>
          </w:p>
          <w:p w14:paraId="6E39291D" w14:textId="77777777" w:rsidR="00BE36FB" w:rsidRPr="009B7B35" w:rsidRDefault="00BE36FB" w:rsidP="00BE36FB">
            <w:pPr>
              <w:pStyle w:val="ListBullet"/>
              <w:ind w:left="360" w:hanging="360"/>
              <w:rPr>
                <w:rFonts w:cs="Arial"/>
                <w:szCs w:val="20"/>
              </w:rPr>
            </w:pPr>
            <w:r w:rsidRPr="009B7B35">
              <w:rPr>
                <w:rFonts w:cs="Arial"/>
                <w:szCs w:val="20"/>
              </w:rPr>
              <w:t>Mixed use zone code</w:t>
            </w:r>
          </w:p>
          <w:p w14:paraId="21EB2FF4" w14:textId="77777777" w:rsidR="00BE36FB" w:rsidRPr="009B7B35" w:rsidRDefault="00BE36FB" w:rsidP="001A7107">
            <w:pPr>
              <w:pStyle w:val="TableText"/>
              <w:rPr>
                <w:rFonts w:cs="Arial"/>
              </w:rPr>
            </w:pPr>
            <w:r w:rsidRPr="009B7B35">
              <w:rPr>
                <w:rFonts w:cs="Arial"/>
              </w:rPr>
              <w:t>Other development codes:</w:t>
            </w:r>
          </w:p>
          <w:p w14:paraId="569B6534" w14:textId="77777777" w:rsidR="00BE36FB" w:rsidRPr="009B7B35" w:rsidRDefault="00BE36FB" w:rsidP="00BE36FB">
            <w:pPr>
              <w:pStyle w:val="ListBullet"/>
              <w:ind w:left="360" w:hanging="360"/>
              <w:rPr>
                <w:rFonts w:cs="Arial"/>
                <w:szCs w:val="20"/>
              </w:rPr>
            </w:pPr>
            <w:r w:rsidRPr="009B7B35">
              <w:rPr>
                <w:rFonts w:cs="Arial"/>
                <w:szCs w:val="20"/>
              </w:rPr>
              <w:t>Development design code</w:t>
            </w:r>
          </w:p>
          <w:p w14:paraId="22865342" w14:textId="77777777" w:rsidR="00BE36FB" w:rsidRPr="009B7B35" w:rsidRDefault="00BE36FB" w:rsidP="00BE36FB">
            <w:pPr>
              <w:pStyle w:val="ListBullet"/>
              <w:ind w:left="360" w:hanging="360"/>
              <w:rPr>
                <w:rFonts w:cs="Arial"/>
                <w:szCs w:val="20"/>
              </w:rPr>
            </w:pPr>
            <w:r w:rsidRPr="009B7B35">
              <w:rPr>
                <w:rFonts w:cs="Arial"/>
                <w:szCs w:val="20"/>
              </w:rPr>
              <w:t>Landscaping code</w:t>
            </w:r>
          </w:p>
        </w:tc>
      </w:tr>
      <w:tr w:rsidR="00BE36FB" w:rsidRPr="009B7B35" w14:paraId="1EA2C631" w14:textId="77777777" w:rsidTr="001A7107">
        <w:trPr>
          <w:cantSplit/>
        </w:trPr>
        <w:tc>
          <w:tcPr>
            <w:tcW w:w="2409" w:type="dxa"/>
            <w:vMerge w:val="restart"/>
          </w:tcPr>
          <w:p w14:paraId="050A454F" w14:textId="77777777" w:rsidR="00BE36FB" w:rsidRPr="009B7B35" w:rsidRDefault="00BE36FB" w:rsidP="001A7107">
            <w:pPr>
              <w:rPr>
                <w:rFonts w:cs="Arial"/>
                <w:sz w:val="20"/>
                <w:szCs w:val="20"/>
              </w:rPr>
            </w:pPr>
            <w:r w:rsidRPr="009B7B35">
              <w:rPr>
                <w:rFonts w:cs="Arial"/>
                <w:sz w:val="20"/>
                <w:szCs w:val="20"/>
              </w:rPr>
              <w:t>Telecommunications facility</w:t>
            </w:r>
          </w:p>
        </w:tc>
        <w:tc>
          <w:tcPr>
            <w:tcW w:w="6947" w:type="dxa"/>
            <w:gridSpan w:val="2"/>
            <w:shd w:val="clear" w:color="auto" w:fill="BFBFBF" w:themeFill="background1" w:themeFillShade="BF"/>
          </w:tcPr>
          <w:p w14:paraId="7611A98F" w14:textId="77777777"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14:paraId="558186C6" w14:textId="77777777" w:rsidTr="001A7107">
        <w:trPr>
          <w:cantSplit/>
        </w:trPr>
        <w:tc>
          <w:tcPr>
            <w:tcW w:w="2409" w:type="dxa"/>
            <w:vMerge/>
          </w:tcPr>
          <w:p w14:paraId="659A075C" w14:textId="77777777" w:rsidR="00BE36FB" w:rsidRPr="009B7B35" w:rsidRDefault="00BE36FB" w:rsidP="001A7107">
            <w:pPr>
              <w:rPr>
                <w:rFonts w:cs="Arial"/>
                <w:sz w:val="20"/>
                <w:szCs w:val="20"/>
              </w:rPr>
            </w:pPr>
          </w:p>
        </w:tc>
        <w:tc>
          <w:tcPr>
            <w:tcW w:w="3473" w:type="dxa"/>
          </w:tcPr>
          <w:p w14:paraId="61195226" w14:textId="77777777" w:rsidR="00BE36FB" w:rsidRPr="009B7B35" w:rsidRDefault="00BE36FB" w:rsidP="001A7107">
            <w:pPr>
              <w:pStyle w:val="TableText"/>
              <w:rPr>
                <w:rFonts w:cs="Arial"/>
              </w:rPr>
            </w:pPr>
            <w:r w:rsidRPr="009B7B35">
              <w:rPr>
                <w:rFonts w:cs="Arial"/>
              </w:rPr>
              <w:t>If complying with the relevant accepted development acceptable outcomes.</w:t>
            </w:r>
          </w:p>
          <w:p w14:paraId="23717411" w14:textId="77777777" w:rsidR="00BE36FB" w:rsidRPr="009B7B35" w:rsidRDefault="00BE36FB" w:rsidP="001A7107">
            <w:pPr>
              <w:pStyle w:val="TableText"/>
              <w:rPr>
                <w:rFonts w:cs="Arial"/>
              </w:rPr>
            </w:pPr>
          </w:p>
        </w:tc>
        <w:tc>
          <w:tcPr>
            <w:tcW w:w="3474" w:type="dxa"/>
          </w:tcPr>
          <w:p w14:paraId="527E781B" w14:textId="77777777" w:rsidR="00BE36FB" w:rsidRPr="009B7B35" w:rsidRDefault="00BE36FB" w:rsidP="001A7107">
            <w:pPr>
              <w:pStyle w:val="TableText"/>
              <w:rPr>
                <w:rFonts w:cs="Arial"/>
              </w:rPr>
            </w:pPr>
            <w:r w:rsidRPr="009B7B35">
              <w:rPr>
                <w:rFonts w:cs="Arial"/>
              </w:rPr>
              <w:t>Zone code:</w:t>
            </w:r>
          </w:p>
          <w:p w14:paraId="58D28C08" w14:textId="77777777" w:rsidR="00BE36FB" w:rsidRPr="009B7B35" w:rsidRDefault="00BE36FB" w:rsidP="00BE36FB">
            <w:pPr>
              <w:pStyle w:val="TableText"/>
              <w:numPr>
                <w:ilvl w:val="0"/>
                <w:numId w:val="19"/>
              </w:numPr>
              <w:ind w:left="298" w:hanging="298"/>
              <w:rPr>
                <w:rFonts w:cs="Arial"/>
              </w:rPr>
            </w:pPr>
            <w:r w:rsidRPr="009B7B35">
              <w:rPr>
                <w:rFonts w:cs="Arial"/>
              </w:rPr>
              <w:t>Mixed use zone code</w:t>
            </w:r>
          </w:p>
          <w:p w14:paraId="20530226" w14:textId="77777777" w:rsidR="00BE36FB" w:rsidRPr="009B7B35" w:rsidRDefault="00BE36FB" w:rsidP="001A7107">
            <w:pPr>
              <w:pStyle w:val="TableText"/>
              <w:rPr>
                <w:rFonts w:cs="Arial"/>
              </w:rPr>
            </w:pPr>
            <w:r w:rsidRPr="009B7B35">
              <w:rPr>
                <w:rFonts w:cs="Arial"/>
              </w:rPr>
              <w:t>Use code:</w:t>
            </w:r>
          </w:p>
          <w:p w14:paraId="2B862D38" w14:textId="77777777" w:rsidR="00BE36FB" w:rsidRPr="009B7B35" w:rsidRDefault="00BE36FB" w:rsidP="00BE36FB">
            <w:pPr>
              <w:pStyle w:val="ListBullet"/>
              <w:ind w:left="360" w:hanging="360"/>
              <w:rPr>
                <w:rFonts w:cs="Arial"/>
                <w:szCs w:val="20"/>
              </w:rPr>
            </w:pPr>
            <w:r w:rsidRPr="009B7B35">
              <w:rPr>
                <w:rFonts w:cs="Arial"/>
                <w:szCs w:val="20"/>
              </w:rPr>
              <w:t>Telecommunications facility code</w:t>
            </w:r>
          </w:p>
        </w:tc>
      </w:tr>
      <w:tr w:rsidR="00BE36FB" w:rsidRPr="009B7B35" w14:paraId="06065DBA" w14:textId="77777777" w:rsidTr="001A7107">
        <w:trPr>
          <w:cantSplit/>
        </w:trPr>
        <w:tc>
          <w:tcPr>
            <w:tcW w:w="9356" w:type="dxa"/>
            <w:gridSpan w:val="3"/>
            <w:shd w:val="clear" w:color="auto" w:fill="BFBFBF" w:themeFill="background1" w:themeFillShade="BF"/>
          </w:tcPr>
          <w:p w14:paraId="651C3411"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43502740" w14:textId="77777777" w:rsidTr="001A7107">
        <w:trPr>
          <w:cantSplit/>
        </w:trPr>
        <w:tc>
          <w:tcPr>
            <w:tcW w:w="5882" w:type="dxa"/>
            <w:gridSpan w:val="2"/>
          </w:tcPr>
          <w:p w14:paraId="3D464B1D" w14:textId="77777777" w:rsidR="00BE36FB" w:rsidRPr="009B7B35" w:rsidRDefault="00BE36FB" w:rsidP="001A7107">
            <w:pPr>
              <w:pStyle w:val="TableText"/>
              <w:rPr>
                <w:rFonts w:cs="Arial"/>
              </w:rPr>
            </w:pPr>
            <w:r w:rsidRPr="009B7B35">
              <w:rPr>
                <w:rFonts w:cs="Arial"/>
              </w:rPr>
              <w:t>Any other use not listed in this table.</w:t>
            </w:r>
          </w:p>
          <w:p w14:paraId="4CBC6742" w14:textId="77777777" w:rsidR="00BE36FB" w:rsidRPr="009B7B35" w:rsidRDefault="00BE36FB" w:rsidP="001A7107">
            <w:pPr>
              <w:pStyle w:val="TableText"/>
              <w:rPr>
                <w:rFonts w:cs="Arial"/>
              </w:rPr>
            </w:pPr>
            <w:r w:rsidRPr="009B7B35">
              <w:rPr>
                <w:rFonts w:cs="Arial"/>
                <w:lang w:val="en-GB"/>
              </w:rPr>
              <w:t>Any use listed in the table as Code Assessment and not complying with the criteria in the ‘Categories of development and assessment’ column.</w:t>
            </w:r>
          </w:p>
          <w:p w14:paraId="72D23301" w14:textId="77777777" w:rsidR="00BE36FB" w:rsidRPr="009B7B35" w:rsidRDefault="00BE36FB" w:rsidP="001A7107">
            <w:pPr>
              <w:pStyle w:val="TableText"/>
              <w:rPr>
                <w:rFonts w:cs="Arial"/>
              </w:rPr>
            </w:pPr>
            <w:r w:rsidRPr="009B7B35">
              <w:rPr>
                <w:rFonts w:cs="Arial"/>
              </w:rPr>
              <w:t>Any other undefined use.</w:t>
            </w:r>
          </w:p>
        </w:tc>
        <w:tc>
          <w:tcPr>
            <w:tcW w:w="3474" w:type="dxa"/>
          </w:tcPr>
          <w:p w14:paraId="04FB9A03" w14:textId="77777777" w:rsidR="00BE36FB" w:rsidRPr="009B7B35" w:rsidRDefault="00BE36FB" w:rsidP="001A7107">
            <w:pPr>
              <w:pStyle w:val="TableText"/>
              <w:rPr>
                <w:rFonts w:cs="Arial"/>
              </w:rPr>
            </w:pPr>
            <w:r w:rsidRPr="009B7B35">
              <w:rPr>
                <w:rFonts w:cs="Arial"/>
              </w:rPr>
              <w:t>The planning scheme</w:t>
            </w:r>
          </w:p>
        </w:tc>
      </w:tr>
    </w:tbl>
    <w:p w14:paraId="74FEAAFF" w14:textId="77777777" w:rsidR="00BE36FB" w:rsidRPr="009B7B35" w:rsidRDefault="00BE36FB" w:rsidP="001A7107">
      <w:pPr>
        <w:pStyle w:val="Heading5"/>
        <w:numPr>
          <w:ilvl w:val="0"/>
          <w:numId w:val="0"/>
        </w:numPr>
        <w:rPr>
          <w:rFonts w:cs="Arial"/>
          <w:szCs w:val="20"/>
        </w:rPr>
      </w:pPr>
      <w:r w:rsidRPr="009B7B35">
        <w:rPr>
          <w:rFonts w:cs="Arial"/>
          <w:szCs w:val="20"/>
        </w:rPr>
        <w:t>Table 5.5.7—Centre zone</w:t>
      </w:r>
    </w:p>
    <w:tbl>
      <w:tblPr>
        <w:tblStyle w:val="Tablestyle"/>
        <w:tblW w:w="9365" w:type="dxa"/>
        <w:tblLook w:val="01E0" w:firstRow="1" w:lastRow="1" w:firstColumn="1" w:lastColumn="1" w:noHBand="0" w:noVBand="0"/>
      </w:tblPr>
      <w:tblGrid>
        <w:gridCol w:w="2411"/>
        <w:gridCol w:w="3477"/>
        <w:gridCol w:w="3477"/>
      </w:tblGrid>
      <w:tr w:rsidR="00BE36FB" w:rsidRPr="009B7B35" w14:paraId="60ACD2CB" w14:textId="77777777"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11" w:type="dxa"/>
          </w:tcPr>
          <w:p w14:paraId="68F2F64A"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7" w:type="dxa"/>
          </w:tcPr>
          <w:p w14:paraId="4BDF6640"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7" w:type="dxa"/>
          </w:tcPr>
          <w:p w14:paraId="54627845"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083CF0F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611FACE1" w14:textId="77777777" w:rsidR="00BE36FB" w:rsidRPr="009B7B35" w:rsidRDefault="00BE36FB" w:rsidP="001A7107">
            <w:pPr>
              <w:pStyle w:val="TableText"/>
              <w:rPr>
                <w:rFonts w:cs="Arial"/>
              </w:rPr>
            </w:pPr>
            <w:r w:rsidRPr="009B7B35">
              <w:rPr>
                <w:rFonts w:cs="Arial"/>
              </w:rPr>
              <w:t>Adult store</w:t>
            </w:r>
          </w:p>
          <w:p w14:paraId="17382C9A" w14:textId="77777777" w:rsidR="00BE36FB" w:rsidRPr="009B7B35" w:rsidRDefault="00BE36FB" w:rsidP="001A7107">
            <w:pPr>
              <w:pStyle w:val="TableText"/>
              <w:rPr>
                <w:rFonts w:cs="Arial"/>
              </w:rPr>
            </w:pPr>
            <w:r w:rsidRPr="009B7B35">
              <w:rPr>
                <w:rFonts w:cs="Arial"/>
              </w:rPr>
              <w:t>Community care centre</w:t>
            </w:r>
          </w:p>
          <w:p w14:paraId="6113C2E5" w14:textId="77777777" w:rsidR="00BE36FB" w:rsidRPr="009B7B35" w:rsidRDefault="00BE36FB" w:rsidP="001A7107">
            <w:pPr>
              <w:pStyle w:val="TableText"/>
              <w:rPr>
                <w:rFonts w:cs="Arial"/>
              </w:rPr>
            </w:pPr>
            <w:r w:rsidRPr="009B7B35">
              <w:rPr>
                <w:rFonts w:cs="Arial"/>
              </w:rPr>
              <w:t xml:space="preserve">Community use </w:t>
            </w:r>
          </w:p>
          <w:p w14:paraId="4E28B8D0" w14:textId="77777777" w:rsidR="00BE36FB" w:rsidRPr="009B7B35" w:rsidRDefault="00BE36FB" w:rsidP="001A7107">
            <w:pPr>
              <w:pStyle w:val="TableText"/>
              <w:rPr>
                <w:rFonts w:cs="Arial"/>
              </w:rPr>
            </w:pPr>
            <w:r w:rsidRPr="009B7B35">
              <w:rPr>
                <w:rFonts w:cs="Arial"/>
              </w:rPr>
              <w:t>Educational establishment</w:t>
            </w:r>
          </w:p>
          <w:p w14:paraId="0B46D371" w14:textId="77777777" w:rsidR="00BE36FB" w:rsidRPr="009B7B35" w:rsidRDefault="00BE36FB" w:rsidP="001A7107">
            <w:pPr>
              <w:pStyle w:val="TableText"/>
              <w:rPr>
                <w:rFonts w:cs="Arial"/>
              </w:rPr>
            </w:pPr>
            <w:r w:rsidRPr="009B7B35">
              <w:rPr>
                <w:rFonts w:cs="Arial"/>
              </w:rPr>
              <w:t>Health care services</w:t>
            </w:r>
          </w:p>
          <w:p w14:paraId="372A3B4A" w14:textId="77777777" w:rsidR="00BE36FB" w:rsidRPr="009B7B35" w:rsidRDefault="00BE36FB" w:rsidP="001A7107">
            <w:pPr>
              <w:pStyle w:val="TableText"/>
              <w:rPr>
                <w:rFonts w:cs="Arial"/>
              </w:rPr>
            </w:pPr>
            <w:r w:rsidRPr="009B7B35">
              <w:rPr>
                <w:rFonts w:cs="Arial"/>
              </w:rPr>
              <w:t xml:space="preserve">Indoor sport and recreation </w:t>
            </w:r>
          </w:p>
          <w:p w14:paraId="6A316A49" w14:textId="77777777" w:rsidR="00BE36FB" w:rsidRPr="009B7B35" w:rsidRDefault="00BE36FB" w:rsidP="001A7107">
            <w:pPr>
              <w:pStyle w:val="TableText"/>
              <w:rPr>
                <w:rFonts w:cs="Arial"/>
              </w:rPr>
            </w:pPr>
            <w:r w:rsidRPr="009B7B35">
              <w:rPr>
                <w:rFonts w:cs="Arial"/>
              </w:rPr>
              <w:t>Market</w:t>
            </w:r>
          </w:p>
          <w:p w14:paraId="04C75BA6" w14:textId="77777777" w:rsidR="00BE36FB" w:rsidRPr="009B7B35" w:rsidRDefault="00BE36FB" w:rsidP="001A7107">
            <w:pPr>
              <w:pStyle w:val="TableText"/>
              <w:rPr>
                <w:rFonts w:cs="Arial"/>
              </w:rPr>
            </w:pPr>
            <w:r w:rsidRPr="009B7B35">
              <w:rPr>
                <w:rFonts w:cs="Arial"/>
              </w:rPr>
              <w:t>Office</w:t>
            </w:r>
          </w:p>
          <w:p w14:paraId="6F139CB5" w14:textId="77777777" w:rsidR="00BE36FB" w:rsidRPr="009B7B35" w:rsidRDefault="00BE36FB" w:rsidP="001A7107">
            <w:pPr>
              <w:pStyle w:val="TableText"/>
              <w:rPr>
                <w:rFonts w:cs="Arial"/>
              </w:rPr>
            </w:pPr>
            <w:r w:rsidRPr="009B7B35">
              <w:rPr>
                <w:rFonts w:cs="Arial"/>
              </w:rPr>
              <w:t>Service industry</w:t>
            </w:r>
          </w:p>
          <w:p w14:paraId="5E6FCECD" w14:textId="77777777" w:rsidR="00BE36FB" w:rsidRPr="009B7B35" w:rsidRDefault="00BE36FB" w:rsidP="001A7107">
            <w:pPr>
              <w:pStyle w:val="TableText"/>
              <w:rPr>
                <w:rFonts w:cs="Arial"/>
              </w:rPr>
            </w:pPr>
            <w:r w:rsidRPr="009B7B35">
              <w:rPr>
                <w:rFonts w:cs="Arial"/>
              </w:rPr>
              <w:t>Shop</w:t>
            </w:r>
          </w:p>
          <w:p w14:paraId="025D82D7" w14:textId="77777777" w:rsidR="00BE36FB" w:rsidRPr="009B7B35" w:rsidRDefault="00BE36FB" w:rsidP="001A7107">
            <w:pPr>
              <w:pStyle w:val="TableText"/>
              <w:rPr>
                <w:rFonts w:cs="Arial"/>
              </w:rPr>
            </w:pPr>
            <w:r w:rsidRPr="009B7B35">
              <w:rPr>
                <w:rFonts w:cs="Arial"/>
              </w:rPr>
              <w:t>Shopping centre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587128F4"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64791CF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24F5C3F2"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036AF0F0" w14:textId="77777777" w:rsidR="00BE36FB" w:rsidRPr="009B7B35" w:rsidRDefault="00BE36FB" w:rsidP="001A7107">
            <w:pPr>
              <w:pStyle w:val="TableText"/>
              <w:rPr>
                <w:rFonts w:cs="Arial"/>
              </w:rPr>
            </w:pPr>
            <w:r w:rsidRPr="009B7B35">
              <w:rPr>
                <w:rFonts w:cs="Arial"/>
              </w:rPr>
              <w:t>If involving the reuse of an existing building.</w:t>
            </w:r>
          </w:p>
        </w:tc>
        <w:tc>
          <w:tcPr>
            <w:cnfStyle w:val="000100000000" w:firstRow="0" w:lastRow="0" w:firstColumn="0" w:lastColumn="1" w:oddVBand="0" w:evenVBand="0" w:oddHBand="0" w:evenHBand="0" w:firstRowFirstColumn="0" w:firstRowLastColumn="0" w:lastRowFirstColumn="0" w:lastRowLastColumn="0"/>
            <w:tcW w:w="3477" w:type="dxa"/>
          </w:tcPr>
          <w:p w14:paraId="38A9C862"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02ECF37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1559D108"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31B4DF72"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084B000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57447737"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789E5D29" w14:textId="77777777" w:rsidR="00BE36FB" w:rsidRPr="009B7B35" w:rsidRDefault="00BE36FB" w:rsidP="001A7107">
            <w:pPr>
              <w:pStyle w:val="TableText"/>
              <w:rPr>
                <w:rFonts w:cs="Arial"/>
              </w:rPr>
            </w:pPr>
            <w:r w:rsidRPr="009B7B35">
              <w:rPr>
                <w:rFonts w:cs="Arial"/>
              </w:rPr>
              <w:t xml:space="preserve">If not involving the reuse of an existing building. </w:t>
            </w:r>
          </w:p>
          <w:p w14:paraId="6E68D91D" w14:textId="77777777" w:rsidR="00BE36FB" w:rsidRPr="009B7B35" w:rsidRDefault="00BE36FB" w:rsidP="001A7107">
            <w:pPr>
              <w:pStyle w:val="TableText"/>
              <w:rPr>
                <w:rFonts w:cs="Arial"/>
              </w:rPr>
            </w:pPr>
            <w:r w:rsidRPr="009B7B35">
              <w:rPr>
                <w:rFonts w:cs="Arial"/>
              </w:rPr>
              <w:t>If a shopping centre, not exceeding 2,000m</w:t>
            </w:r>
            <w:r w:rsidRPr="009B7B35">
              <w:rPr>
                <w:rStyle w:val="StyleSuperscript"/>
                <w:rFonts w:cs="Arial"/>
              </w:rPr>
              <w:t>2</w:t>
            </w:r>
            <w:r w:rsidRPr="009B7B35">
              <w:rPr>
                <w:rFonts w:cs="Arial"/>
              </w:rPr>
              <w:t xml:space="preserve"> in GFA.</w:t>
            </w:r>
          </w:p>
        </w:tc>
        <w:tc>
          <w:tcPr>
            <w:cnfStyle w:val="000100000000" w:firstRow="0" w:lastRow="0" w:firstColumn="0" w:lastColumn="1" w:oddVBand="0" w:evenVBand="0" w:oddHBand="0" w:evenHBand="0" w:firstRowFirstColumn="0" w:firstRowLastColumn="0" w:lastRowFirstColumn="0" w:lastRowLastColumn="0"/>
            <w:tcW w:w="3477" w:type="dxa"/>
          </w:tcPr>
          <w:p w14:paraId="475E2B0A" w14:textId="77777777" w:rsidR="00BE36FB" w:rsidRPr="009B7B35" w:rsidRDefault="00BE36FB" w:rsidP="001A7107">
            <w:pPr>
              <w:pStyle w:val="TableText"/>
              <w:rPr>
                <w:rFonts w:cs="Arial"/>
                <w:color w:val="auto"/>
              </w:rPr>
            </w:pPr>
            <w:r w:rsidRPr="009B7B35">
              <w:rPr>
                <w:rFonts w:cs="Arial"/>
                <w:color w:val="auto"/>
              </w:rPr>
              <w:t>Zone code:</w:t>
            </w:r>
          </w:p>
          <w:p w14:paraId="02A6021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Centre zone code</w:t>
            </w:r>
          </w:p>
          <w:p w14:paraId="35A9FB13" w14:textId="77777777" w:rsidR="00BE36FB" w:rsidRPr="009B7B35" w:rsidRDefault="00BE36FB" w:rsidP="001A7107">
            <w:pPr>
              <w:pStyle w:val="TableText"/>
              <w:rPr>
                <w:rFonts w:cs="Arial"/>
                <w:color w:val="auto"/>
              </w:rPr>
            </w:pPr>
            <w:r w:rsidRPr="009B7B35">
              <w:rPr>
                <w:rFonts w:cs="Arial"/>
                <w:color w:val="auto"/>
              </w:rPr>
              <w:t>Other development codes:</w:t>
            </w:r>
          </w:p>
          <w:p w14:paraId="5511EAE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2B6CCEE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34543AD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404C497C" w14:textId="77777777" w:rsidR="00BE36FB" w:rsidRPr="009B7B35" w:rsidRDefault="00BE36FB" w:rsidP="001A7107">
            <w:pPr>
              <w:pStyle w:val="TableText"/>
              <w:rPr>
                <w:rFonts w:cs="Arial"/>
              </w:rPr>
            </w:pPr>
            <w:r w:rsidRPr="009B7B35">
              <w:rPr>
                <w:rFonts w:cs="Arial"/>
              </w:rPr>
              <w:t xml:space="preserve">Agricultural supplies store </w:t>
            </w:r>
          </w:p>
          <w:p w14:paraId="49ABDE15" w14:textId="77777777" w:rsidR="00BE36FB" w:rsidRPr="009B7B35" w:rsidRDefault="00BE36FB" w:rsidP="001A7107">
            <w:pPr>
              <w:pStyle w:val="TableText"/>
              <w:rPr>
                <w:rFonts w:cs="Arial"/>
              </w:rPr>
            </w:pPr>
            <w:r w:rsidRPr="009B7B35">
              <w:rPr>
                <w:rFonts w:cs="Arial"/>
              </w:rPr>
              <w:t>Car wash</w:t>
            </w:r>
          </w:p>
          <w:p w14:paraId="6173A2C5" w14:textId="77777777" w:rsidR="00BE36FB" w:rsidRPr="009B7B35" w:rsidRDefault="00BE36FB" w:rsidP="001A7107">
            <w:pPr>
              <w:pStyle w:val="TableText"/>
              <w:rPr>
                <w:rFonts w:cs="Arial"/>
              </w:rPr>
            </w:pPr>
            <w:r w:rsidRPr="009B7B35">
              <w:rPr>
                <w:rFonts w:cs="Arial"/>
              </w:rPr>
              <w:t>Child care centre</w:t>
            </w:r>
          </w:p>
          <w:p w14:paraId="2C3842EC" w14:textId="77777777" w:rsidR="00BE36FB" w:rsidRPr="009B7B35" w:rsidRDefault="00BE36FB" w:rsidP="001A7107">
            <w:pPr>
              <w:pStyle w:val="TableText"/>
              <w:rPr>
                <w:rFonts w:cs="Arial"/>
              </w:rPr>
            </w:pPr>
            <w:r w:rsidRPr="009B7B35">
              <w:rPr>
                <w:rFonts w:cs="Arial"/>
              </w:rPr>
              <w:t>Function facility</w:t>
            </w:r>
          </w:p>
          <w:p w14:paraId="056C2C08" w14:textId="77777777" w:rsidR="00BE36FB" w:rsidRPr="009B7B35" w:rsidRDefault="00BE36FB" w:rsidP="001A7107">
            <w:pPr>
              <w:pStyle w:val="TableText"/>
              <w:rPr>
                <w:rFonts w:cs="Arial"/>
              </w:rPr>
            </w:pPr>
            <w:r w:rsidRPr="009B7B35">
              <w:rPr>
                <w:rFonts w:cs="Arial"/>
              </w:rPr>
              <w:t>Funeral parlour</w:t>
            </w:r>
          </w:p>
          <w:p w14:paraId="21E1EFA5" w14:textId="77777777" w:rsidR="00BE36FB" w:rsidRPr="009B7B35" w:rsidRDefault="00BE36FB" w:rsidP="001A7107">
            <w:pPr>
              <w:pStyle w:val="TableText"/>
              <w:rPr>
                <w:rFonts w:cs="Arial"/>
              </w:rPr>
            </w:pPr>
            <w:r w:rsidRPr="009B7B35">
              <w:rPr>
                <w:rFonts w:cs="Arial"/>
              </w:rPr>
              <w:t>Garden Centre</w:t>
            </w:r>
          </w:p>
          <w:p w14:paraId="73B36461" w14:textId="77777777" w:rsidR="00BE36FB" w:rsidRPr="009B7B35" w:rsidRDefault="00BE36FB" w:rsidP="001A7107">
            <w:pPr>
              <w:pStyle w:val="TableText"/>
              <w:rPr>
                <w:rFonts w:cs="Arial"/>
              </w:rPr>
            </w:pPr>
            <w:r w:rsidRPr="009B7B35">
              <w:rPr>
                <w:rFonts w:cs="Arial"/>
              </w:rPr>
              <w:t>Hardware and trade supplies</w:t>
            </w:r>
          </w:p>
          <w:p w14:paraId="441EDC77" w14:textId="77777777" w:rsidR="00BE36FB" w:rsidRPr="009B7B35" w:rsidRDefault="00BE36FB" w:rsidP="001A7107">
            <w:pPr>
              <w:pStyle w:val="TableText"/>
              <w:rPr>
                <w:rFonts w:cs="Arial"/>
              </w:rPr>
            </w:pPr>
            <w:r w:rsidRPr="009B7B35">
              <w:rPr>
                <w:rFonts w:cs="Arial"/>
              </w:rPr>
              <w:t>Multiple dwelling</w:t>
            </w:r>
          </w:p>
          <w:p w14:paraId="6EFCAB8D" w14:textId="77777777" w:rsidR="00BE36FB" w:rsidRPr="009B7B35" w:rsidRDefault="00BE36FB" w:rsidP="001A7107">
            <w:pPr>
              <w:pStyle w:val="TableText"/>
              <w:rPr>
                <w:rFonts w:cs="Arial"/>
              </w:rPr>
            </w:pPr>
            <w:r w:rsidRPr="009B7B35">
              <w:rPr>
                <w:rFonts w:cs="Arial"/>
              </w:rPr>
              <w:t>Parking station</w:t>
            </w:r>
          </w:p>
          <w:p w14:paraId="6E4E36C2" w14:textId="77777777" w:rsidR="00BE36FB" w:rsidRPr="009B7B35" w:rsidRDefault="00BE36FB" w:rsidP="001A7107">
            <w:pPr>
              <w:pStyle w:val="TableText"/>
              <w:rPr>
                <w:rFonts w:cs="Arial"/>
              </w:rPr>
            </w:pPr>
            <w:r w:rsidRPr="009B7B35">
              <w:rPr>
                <w:rFonts w:cs="Arial"/>
              </w:rPr>
              <w:t>Place of worship</w:t>
            </w:r>
          </w:p>
          <w:p w14:paraId="4997981A" w14:textId="77777777" w:rsidR="00BE36FB" w:rsidRPr="009B7B35" w:rsidRDefault="00BE36FB" w:rsidP="001A7107">
            <w:pPr>
              <w:pStyle w:val="TableText"/>
              <w:rPr>
                <w:rFonts w:cs="Arial"/>
              </w:rPr>
            </w:pPr>
            <w:r w:rsidRPr="009B7B35">
              <w:rPr>
                <w:rFonts w:cs="Arial"/>
              </w:rPr>
              <w:t>Residential care facility</w:t>
            </w:r>
          </w:p>
          <w:p w14:paraId="57B2FF60" w14:textId="77777777" w:rsidR="00BE36FB" w:rsidRPr="009B7B35" w:rsidRDefault="00BE36FB" w:rsidP="001A7107">
            <w:pPr>
              <w:pStyle w:val="TableText"/>
              <w:rPr>
                <w:rFonts w:cs="Arial"/>
              </w:rPr>
            </w:pPr>
            <w:r w:rsidRPr="009B7B35">
              <w:rPr>
                <w:rFonts w:cs="Arial"/>
              </w:rPr>
              <w:t>Retirement facility</w:t>
            </w:r>
          </w:p>
          <w:p w14:paraId="08FBEF3A" w14:textId="77777777" w:rsidR="00BE36FB" w:rsidRPr="009B7B35" w:rsidRDefault="00BE36FB" w:rsidP="001A7107">
            <w:pPr>
              <w:pStyle w:val="TableText"/>
              <w:rPr>
                <w:rFonts w:cs="Arial"/>
              </w:rPr>
            </w:pPr>
            <w:r w:rsidRPr="009B7B35">
              <w:rPr>
                <w:rFonts w:cs="Arial"/>
              </w:rPr>
              <w:t>Rooming accommodation</w:t>
            </w:r>
          </w:p>
          <w:p w14:paraId="44154662" w14:textId="77777777" w:rsidR="00BE36FB" w:rsidRPr="009B7B35" w:rsidRDefault="00BE36FB" w:rsidP="001A7107">
            <w:pPr>
              <w:pStyle w:val="TableText"/>
              <w:rPr>
                <w:rFonts w:cs="Arial"/>
              </w:rPr>
            </w:pPr>
            <w:r w:rsidRPr="009B7B35">
              <w:rPr>
                <w:rFonts w:cs="Arial"/>
              </w:rPr>
              <w:t>Service station</w:t>
            </w:r>
          </w:p>
          <w:p w14:paraId="7F39EDEC" w14:textId="77777777" w:rsidR="00BE36FB" w:rsidRPr="009B7B35" w:rsidRDefault="00BE36FB" w:rsidP="001A7107">
            <w:pPr>
              <w:pStyle w:val="TableText"/>
              <w:rPr>
                <w:rFonts w:cs="Arial"/>
              </w:rPr>
            </w:pPr>
            <w:r w:rsidRPr="009B7B35">
              <w:rPr>
                <w:rFonts w:cs="Arial"/>
              </w:rPr>
              <w:t>Short–term accommodation</w:t>
            </w:r>
          </w:p>
          <w:p w14:paraId="6C696C25" w14:textId="77777777" w:rsidR="00BE36FB" w:rsidRPr="009B7B35" w:rsidRDefault="00BE36FB" w:rsidP="001A7107">
            <w:pPr>
              <w:pStyle w:val="TableText"/>
              <w:rPr>
                <w:rFonts w:cs="Arial"/>
              </w:rPr>
            </w:pPr>
            <w:r w:rsidRPr="009B7B35">
              <w:rPr>
                <w:rFonts w:cs="Arial"/>
              </w:rPr>
              <w:t>Theatre</w:t>
            </w:r>
          </w:p>
          <w:p w14:paraId="2366B98F" w14:textId="77777777" w:rsidR="00BE36FB" w:rsidRPr="009B7B35" w:rsidRDefault="00BE36FB" w:rsidP="001A7107">
            <w:pPr>
              <w:pStyle w:val="TableText"/>
              <w:rPr>
                <w:rFonts w:cs="Arial"/>
              </w:rPr>
            </w:pPr>
            <w:r w:rsidRPr="009B7B35">
              <w:rPr>
                <w:rFonts w:cs="Arial"/>
              </w:rPr>
              <w:t>Veterinary services</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36E96F01"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486B3BD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1E628D99"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45DED63D" w14:textId="77777777" w:rsidR="00BE36FB" w:rsidRPr="009B7B35" w:rsidRDefault="00BE36FB" w:rsidP="001A7107">
            <w:pPr>
              <w:pStyle w:val="TableText"/>
              <w:rPr>
                <w:rFonts w:cs="Arial"/>
              </w:rPr>
            </w:pPr>
            <w:r w:rsidRPr="009B7B35">
              <w:rPr>
                <w:rFonts w:cs="Arial"/>
              </w:rPr>
              <w:t>If Hardware and trade supplies, not exceeding 2,000m</w:t>
            </w:r>
            <w:r w:rsidRPr="009B7B35">
              <w:rPr>
                <w:rStyle w:val="StyleSuperscript"/>
                <w:rFonts w:cs="Arial"/>
              </w:rPr>
              <w:t>2</w:t>
            </w:r>
            <w:r w:rsidRPr="009B7B35">
              <w:rPr>
                <w:rFonts w:cs="Arial"/>
              </w:rPr>
              <w:t xml:space="preserve"> in GFA.</w:t>
            </w:r>
          </w:p>
        </w:tc>
        <w:tc>
          <w:tcPr>
            <w:cnfStyle w:val="000100000000" w:firstRow="0" w:lastRow="0" w:firstColumn="0" w:lastColumn="1" w:oddVBand="0" w:evenVBand="0" w:oddHBand="0" w:evenHBand="0" w:firstRowFirstColumn="0" w:firstRowLastColumn="0" w:lastRowFirstColumn="0" w:lastRowLastColumn="0"/>
            <w:tcW w:w="3477" w:type="dxa"/>
          </w:tcPr>
          <w:p w14:paraId="10CDA9B8" w14:textId="77777777" w:rsidR="00BE36FB" w:rsidRPr="009B7B35" w:rsidRDefault="00BE36FB" w:rsidP="001A7107">
            <w:pPr>
              <w:pStyle w:val="TableText"/>
              <w:rPr>
                <w:rFonts w:cs="Arial"/>
                <w:color w:val="auto"/>
              </w:rPr>
            </w:pPr>
            <w:r w:rsidRPr="009B7B35">
              <w:rPr>
                <w:rFonts w:cs="Arial"/>
                <w:color w:val="auto"/>
              </w:rPr>
              <w:t>Zone code:</w:t>
            </w:r>
          </w:p>
          <w:p w14:paraId="3CF4BD3A"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Centre zone code</w:t>
            </w:r>
          </w:p>
          <w:p w14:paraId="140C3B8E" w14:textId="77777777" w:rsidR="00BE36FB" w:rsidRPr="009B7B35" w:rsidRDefault="00BE36FB" w:rsidP="001A7107">
            <w:pPr>
              <w:pStyle w:val="TableText"/>
              <w:rPr>
                <w:rFonts w:cs="Arial"/>
                <w:color w:val="auto"/>
              </w:rPr>
            </w:pPr>
            <w:r w:rsidRPr="009B7B35">
              <w:rPr>
                <w:rFonts w:cs="Arial"/>
                <w:color w:val="auto"/>
              </w:rPr>
              <w:t>Other development codes:</w:t>
            </w:r>
          </w:p>
          <w:p w14:paraId="34557620"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4DA184AA"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4D88915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54E33E8F" w14:textId="77777777" w:rsidR="00BE36FB" w:rsidRPr="009B7B35" w:rsidRDefault="00BE36FB" w:rsidP="001A7107">
            <w:pPr>
              <w:pStyle w:val="TableText"/>
              <w:rPr>
                <w:rFonts w:cs="Arial"/>
              </w:rPr>
            </w:pPr>
            <w:r w:rsidRPr="009B7B35">
              <w:rPr>
                <w:rFonts w:cs="Arial"/>
              </w:rPr>
              <w:t>Bar</w:t>
            </w:r>
          </w:p>
          <w:p w14:paraId="2CE3C82C" w14:textId="77777777" w:rsidR="00BE36FB" w:rsidRPr="009B7B35" w:rsidRDefault="00BE36FB" w:rsidP="001A7107">
            <w:pPr>
              <w:pStyle w:val="TableText"/>
              <w:rPr>
                <w:rFonts w:cs="Arial"/>
              </w:rPr>
            </w:pPr>
            <w:r w:rsidRPr="009B7B35">
              <w:rPr>
                <w:rFonts w:cs="Arial"/>
              </w:rPr>
              <w:t>Club</w:t>
            </w:r>
          </w:p>
          <w:p w14:paraId="3982F9C1" w14:textId="77777777" w:rsidR="00BE36FB" w:rsidRPr="009B7B35" w:rsidRDefault="00BE36FB" w:rsidP="001A7107">
            <w:pPr>
              <w:pStyle w:val="TableText"/>
              <w:rPr>
                <w:rFonts w:cs="Arial"/>
              </w:rPr>
            </w:pPr>
            <w:r w:rsidRPr="009B7B35">
              <w:rPr>
                <w:rFonts w:cs="Arial"/>
              </w:rPr>
              <w:t xml:space="preserve">Food and drink outlet </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70B43CAC"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439524F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0B3C7E0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2ABB16E7" w14:textId="77777777" w:rsidR="00BE36FB" w:rsidRPr="009B7B35" w:rsidRDefault="00BE36FB" w:rsidP="001A7107">
            <w:pPr>
              <w:pStyle w:val="TableText"/>
              <w:rPr>
                <w:rFonts w:cs="Arial"/>
              </w:rPr>
            </w:pPr>
            <w:r w:rsidRPr="009B7B35">
              <w:rPr>
                <w:rFonts w:cs="Arial"/>
              </w:rPr>
              <w:t>If complying with the relevant accepted development acceptable outcomes and involving the reuse of an existing building.</w:t>
            </w:r>
          </w:p>
        </w:tc>
        <w:tc>
          <w:tcPr>
            <w:cnfStyle w:val="000100000000" w:firstRow="0" w:lastRow="0" w:firstColumn="0" w:lastColumn="1" w:oddVBand="0" w:evenVBand="0" w:oddHBand="0" w:evenHBand="0" w:firstRowFirstColumn="0" w:firstRowLastColumn="0" w:lastRowFirstColumn="0" w:lastRowLastColumn="0"/>
            <w:tcW w:w="3477" w:type="dxa"/>
          </w:tcPr>
          <w:p w14:paraId="666A5F47" w14:textId="77777777" w:rsidR="00BE36FB" w:rsidRPr="009B7B35" w:rsidRDefault="00BE36FB" w:rsidP="001A7107">
            <w:pPr>
              <w:pStyle w:val="TableText"/>
              <w:rPr>
                <w:rFonts w:cs="Arial"/>
                <w:color w:val="auto"/>
              </w:rPr>
            </w:pPr>
            <w:r w:rsidRPr="009B7B35">
              <w:rPr>
                <w:rFonts w:cs="Arial"/>
                <w:color w:val="auto"/>
              </w:rPr>
              <w:t>Zone code:</w:t>
            </w:r>
          </w:p>
          <w:p w14:paraId="19D60BF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Centre zone code</w:t>
            </w:r>
          </w:p>
        </w:tc>
      </w:tr>
      <w:tr w:rsidR="00BE36FB" w:rsidRPr="009B7B35" w14:paraId="506B09A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4BB91B8F"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17631D62"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3D0B190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355EF9DB"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17A40F64" w14:textId="77777777" w:rsidR="00BE36FB" w:rsidRPr="009B7B35" w:rsidRDefault="00BE36FB" w:rsidP="001A7107">
            <w:pPr>
              <w:pStyle w:val="TableText"/>
              <w:rPr>
                <w:rFonts w:cs="Arial"/>
              </w:rPr>
            </w:pPr>
            <w:r w:rsidRPr="009B7B35">
              <w:rPr>
                <w:rFonts w:cs="Arial"/>
              </w:rPr>
              <w:t>If not involving the reuse of an existing building.</w:t>
            </w:r>
          </w:p>
        </w:tc>
        <w:tc>
          <w:tcPr>
            <w:cnfStyle w:val="000100000000" w:firstRow="0" w:lastRow="0" w:firstColumn="0" w:lastColumn="1" w:oddVBand="0" w:evenVBand="0" w:oddHBand="0" w:evenHBand="0" w:firstRowFirstColumn="0" w:firstRowLastColumn="0" w:lastRowFirstColumn="0" w:lastRowLastColumn="0"/>
            <w:tcW w:w="3477" w:type="dxa"/>
          </w:tcPr>
          <w:p w14:paraId="0BEF3816" w14:textId="77777777" w:rsidR="00BE36FB" w:rsidRPr="009B7B35" w:rsidRDefault="00BE36FB" w:rsidP="001A7107">
            <w:pPr>
              <w:pStyle w:val="TableText"/>
              <w:rPr>
                <w:rFonts w:cs="Arial"/>
                <w:color w:val="auto"/>
              </w:rPr>
            </w:pPr>
            <w:r w:rsidRPr="009B7B35">
              <w:rPr>
                <w:rFonts w:cs="Arial"/>
                <w:color w:val="auto"/>
              </w:rPr>
              <w:t>Zone code:</w:t>
            </w:r>
          </w:p>
          <w:p w14:paraId="734765C7" w14:textId="77777777" w:rsidR="00BE36FB" w:rsidRPr="009B7B35" w:rsidRDefault="00BE36FB" w:rsidP="001A7107">
            <w:pPr>
              <w:pStyle w:val="TableText"/>
              <w:tabs>
                <w:tab w:val="left" w:pos="292"/>
              </w:tabs>
              <w:rPr>
                <w:rFonts w:cs="Arial"/>
                <w:color w:val="auto"/>
              </w:rPr>
            </w:pPr>
            <w:r w:rsidRPr="009B7B35">
              <w:rPr>
                <w:rFonts w:cs="Arial"/>
                <w:color w:val="auto"/>
              </w:rPr>
              <w:t>•</w:t>
            </w:r>
            <w:r w:rsidRPr="009B7B35">
              <w:rPr>
                <w:rFonts w:cs="Arial"/>
                <w:color w:val="auto"/>
              </w:rPr>
              <w:tab/>
              <w:t>Centre zone code</w:t>
            </w:r>
          </w:p>
          <w:p w14:paraId="15186F91" w14:textId="77777777" w:rsidR="00BE36FB" w:rsidRPr="009B7B35" w:rsidRDefault="00BE36FB" w:rsidP="001A7107">
            <w:pPr>
              <w:pStyle w:val="TableText"/>
              <w:rPr>
                <w:rFonts w:cs="Arial"/>
                <w:color w:val="auto"/>
              </w:rPr>
            </w:pPr>
            <w:r w:rsidRPr="009B7B35">
              <w:rPr>
                <w:rFonts w:cs="Arial"/>
                <w:color w:val="auto"/>
              </w:rPr>
              <w:t>Other development codes:</w:t>
            </w:r>
          </w:p>
          <w:p w14:paraId="657CD348" w14:textId="77777777" w:rsidR="00BE36FB" w:rsidRPr="009B7B35" w:rsidRDefault="00BE36FB" w:rsidP="00BE36FB">
            <w:pPr>
              <w:pStyle w:val="ListBullet"/>
              <w:tabs>
                <w:tab w:val="clear" w:pos="284"/>
                <w:tab w:val="left" w:pos="292"/>
              </w:tabs>
              <w:ind w:left="360" w:hanging="360"/>
              <w:rPr>
                <w:rFonts w:cs="Arial"/>
                <w:color w:val="auto"/>
                <w:szCs w:val="20"/>
              </w:rPr>
            </w:pPr>
            <w:r w:rsidRPr="009B7B35">
              <w:rPr>
                <w:rFonts w:cs="Arial"/>
                <w:color w:val="auto"/>
                <w:szCs w:val="20"/>
              </w:rPr>
              <w:t>Development design code</w:t>
            </w:r>
          </w:p>
          <w:p w14:paraId="00C2678C" w14:textId="77777777" w:rsidR="00BE36FB" w:rsidRPr="009B7B35" w:rsidRDefault="00BE36FB" w:rsidP="00BE36FB">
            <w:pPr>
              <w:pStyle w:val="ListBullet"/>
              <w:tabs>
                <w:tab w:val="clear" w:pos="284"/>
                <w:tab w:val="left" w:pos="292"/>
              </w:tabs>
              <w:ind w:left="360" w:hanging="360"/>
              <w:rPr>
                <w:rFonts w:cs="Arial"/>
                <w:color w:val="auto"/>
                <w:szCs w:val="20"/>
              </w:rPr>
            </w:pPr>
            <w:r w:rsidRPr="009B7B35">
              <w:rPr>
                <w:rFonts w:cs="Arial"/>
                <w:color w:val="auto"/>
                <w:szCs w:val="20"/>
              </w:rPr>
              <w:t>Landscaping code</w:t>
            </w:r>
          </w:p>
        </w:tc>
      </w:tr>
      <w:tr w:rsidR="00BE36FB" w:rsidRPr="009B7B35" w14:paraId="494148C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6DCC4A6E" w14:textId="77777777" w:rsidR="00BE36FB" w:rsidRPr="009B7B35" w:rsidRDefault="00BE36FB" w:rsidP="001A7107">
            <w:pPr>
              <w:pStyle w:val="TableText"/>
              <w:rPr>
                <w:rFonts w:cs="Arial"/>
              </w:rPr>
            </w:pPr>
            <w:r w:rsidRPr="009B7B35">
              <w:rPr>
                <w:rFonts w:cs="Arial"/>
              </w:rPr>
              <w:t>Caretakers accommodation</w:t>
            </w:r>
          </w:p>
          <w:p w14:paraId="5150534C" w14:textId="77777777" w:rsidR="00BE36FB" w:rsidRPr="009B7B35" w:rsidRDefault="00BE36FB" w:rsidP="001A7107">
            <w:pPr>
              <w:pStyle w:val="TableText"/>
              <w:rPr>
                <w:rFonts w:cs="Arial"/>
              </w:rPr>
            </w:pPr>
            <w:r w:rsidRPr="009B7B35">
              <w:rPr>
                <w:rFonts w:cs="Arial"/>
              </w:rPr>
              <w:t>Dwelling unit</w:t>
            </w:r>
          </w:p>
          <w:p w14:paraId="119875D6" w14:textId="77777777" w:rsidR="00BE36FB" w:rsidRPr="009B7B35" w:rsidRDefault="00BE36FB" w:rsidP="001A7107">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20ED4373"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7D249DF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6892B8E3"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5FCBC331"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14:paraId="270C09C4" w14:textId="77777777" w:rsidR="00BE36FB" w:rsidRPr="009B7B35" w:rsidRDefault="00BE36FB" w:rsidP="001A7107">
            <w:pPr>
              <w:pStyle w:val="TableText"/>
              <w:rPr>
                <w:rFonts w:cs="Arial"/>
                <w:color w:val="auto"/>
              </w:rPr>
            </w:pPr>
            <w:r w:rsidRPr="009B7B35">
              <w:rPr>
                <w:rFonts w:cs="Arial"/>
                <w:color w:val="auto"/>
              </w:rPr>
              <w:t>Zone code:</w:t>
            </w:r>
          </w:p>
          <w:p w14:paraId="13DF6B50"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Centre zone code</w:t>
            </w:r>
          </w:p>
        </w:tc>
      </w:tr>
      <w:tr w:rsidR="00BE36FB" w:rsidRPr="009B7B35" w14:paraId="4588160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00CE39D9" w14:textId="77777777" w:rsidR="00BE36FB" w:rsidRPr="009B7B35" w:rsidRDefault="00BE36FB" w:rsidP="001A7107">
            <w:pPr>
              <w:pStyle w:val="TableText"/>
              <w:rPr>
                <w:rFonts w:cs="Arial"/>
              </w:rPr>
            </w:pPr>
            <w:r w:rsidRPr="009B7B35">
              <w:rPr>
                <w:rFonts w:cs="Arial"/>
              </w:rPr>
              <w:t>Emergency services</w:t>
            </w:r>
          </w:p>
          <w:p w14:paraId="028DF734" w14:textId="77777777" w:rsidR="00BE36FB" w:rsidRPr="009B7B35" w:rsidRDefault="00BE36FB" w:rsidP="001A7107">
            <w:pPr>
              <w:pStyle w:val="TableText"/>
              <w:rPr>
                <w:rFonts w:cs="Arial"/>
              </w:rPr>
            </w:pPr>
            <w:r w:rsidRPr="009B7B35">
              <w:rPr>
                <w:rFonts w:cs="Arial"/>
              </w:rPr>
              <w:t>Substation</w:t>
            </w:r>
          </w:p>
          <w:p w14:paraId="1B51304E"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14B6D7F9"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238DFBC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10C2E7D3"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20444573"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7628FE4D"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7" w:type="dxa"/>
          </w:tcPr>
          <w:p w14:paraId="1DB0D2A6"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304C219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18FFDF9A"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2B31CB2C"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5CA4CDF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73B25A93"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1C49B1BD"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52346EB5"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7" w:type="dxa"/>
          </w:tcPr>
          <w:p w14:paraId="408807CC" w14:textId="77777777" w:rsidR="00BE36FB" w:rsidRPr="009B7B35" w:rsidRDefault="00BE36FB" w:rsidP="001A7107">
            <w:pPr>
              <w:pStyle w:val="TableText"/>
              <w:rPr>
                <w:rFonts w:cs="Arial"/>
                <w:color w:val="auto"/>
              </w:rPr>
            </w:pPr>
            <w:r w:rsidRPr="009B7B35">
              <w:rPr>
                <w:rFonts w:cs="Arial"/>
                <w:color w:val="auto"/>
              </w:rPr>
              <w:t>Zone code:</w:t>
            </w:r>
          </w:p>
          <w:p w14:paraId="3D9FE21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Centre zone code</w:t>
            </w:r>
          </w:p>
          <w:p w14:paraId="39B27DE7" w14:textId="77777777" w:rsidR="00BE36FB" w:rsidRPr="009B7B35" w:rsidRDefault="00BE36FB" w:rsidP="001A7107">
            <w:pPr>
              <w:pStyle w:val="TableText"/>
              <w:rPr>
                <w:rFonts w:cs="Arial"/>
                <w:color w:val="auto"/>
              </w:rPr>
            </w:pPr>
            <w:r w:rsidRPr="009B7B35">
              <w:rPr>
                <w:rFonts w:cs="Arial"/>
                <w:color w:val="auto"/>
              </w:rPr>
              <w:t>Other development codes:</w:t>
            </w:r>
          </w:p>
          <w:p w14:paraId="0F94DB1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70CDEB0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397ECF81" w14:textId="77777777"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50EB5FFA"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7C76EF6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26BEA3B8"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7A9B8F99"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14:paraId="3CE0E4E8" w14:textId="77777777" w:rsidR="00BE36FB" w:rsidRPr="009B7B35" w:rsidRDefault="00BE36FB" w:rsidP="001A7107">
            <w:pPr>
              <w:pStyle w:val="ListBullet"/>
              <w:numPr>
                <w:ilvl w:val="0"/>
                <w:numId w:val="0"/>
              </w:numPr>
              <w:ind w:left="284" w:hanging="275"/>
              <w:rPr>
                <w:rFonts w:cs="Arial"/>
                <w:color w:val="auto"/>
                <w:szCs w:val="20"/>
              </w:rPr>
            </w:pPr>
            <w:r w:rsidRPr="009B7B35">
              <w:rPr>
                <w:rFonts w:cs="Arial"/>
                <w:color w:val="auto"/>
                <w:szCs w:val="20"/>
              </w:rPr>
              <w:t>Use code:</w:t>
            </w:r>
          </w:p>
          <w:p w14:paraId="1ABA69B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Home based business code</w:t>
            </w:r>
          </w:p>
        </w:tc>
      </w:tr>
      <w:tr w:rsidR="00BE36FB" w:rsidRPr="009B7B35" w14:paraId="5B5B061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79CBB675" w14:textId="77777777" w:rsidR="00BE36FB" w:rsidRPr="009B7B35" w:rsidRDefault="00BE36FB" w:rsidP="001A7107">
            <w:pPr>
              <w:pStyle w:val="TableText"/>
              <w:rPr>
                <w:rFonts w:cs="Arial"/>
              </w:rPr>
            </w:pPr>
            <w:r w:rsidRPr="009B7B35">
              <w:rPr>
                <w:rFonts w:cs="Arial"/>
              </w:rPr>
              <w:t>Landing*</w:t>
            </w:r>
          </w:p>
          <w:p w14:paraId="17239793" w14:textId="77777777" w:rsidR="00BE36FB" w:rsidRPr="009B7B35" w:rsidRDefault="00BE36FB" w:rsidP="001A7107">
            <w:pPr>
              <w:pStyle w:val="TableText"/>
              <w:rPr>
                <w:rFonts w:cs="Arial"/>
              </w:rPr>
            </w:pPr>
            <w:r w:rsidRPr="009B7B35">
              <w:rPr>
                <w:rFonts w:cs="Arial"/>
              </w:rPr>
              <w:t>Park</w:t>
            </w:r>
          </w:p>
          <w:p w14:paraId="4B7A99A0"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396463F2"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588502F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4E049B22"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21C042D7"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7" w:type="dxa"/>
          </w:tcPr>
          <w:p w14:paraId="67D103A0"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45500B5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01CEAE06" w14:textId="77777777"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70F6C0D1"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7F01708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2ACED082"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5B21D9E6" w14:textId="77777777" w:rsidR="00BE36FB" w:rsidRPr="009B7B35" w:rsidDel="001B1836"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14:paraId="3CB1421E" w14:textId="77777777" w:rsidR="00BE36FB" w:rsidRPr="009B7B35" w:rsidRDefault="00BE36FB" w:rsidP="001A7107">
            <w:pPr>
              <w:pStyle w:val="TableText"/>
              <w:rPr>
                <w:rFonts w:cs="Arial"/>
                <w:color w:val="auto"/>
              </w:rPr>
            </w:pPr>
            <w:r w:rsidRPr="009B7B35">
              <w:rPr>
                <w:rFonts w:cs="Arial"/>
                <w:color w:val="auto"/>
              </w:rPr>
              <w:t>Zone code:</w:t>
            </w:r>
          </w:p>
          <w:p w14:paraId="7742528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Centre zone code</w:t>
            </w:r>
          </w:p>
          <w:p w14:paraId="46644EB8" w14:textId="77777777" w:rsidR="00BE36FB" w:rsidRPr="009B7B35" w:rsidRDefault="00BE36FB" w:rsidP="001A7107">
            <w:pPr>
              <w:pStyle w:val="TableText"/>
              <w:rPr>
                <w:rFonts w:cs="Arial"/>
                <w:color w:val="auto"/>
              </w:rPr>
            </w:pPr>
            <w:r w:rsidRPr="009B7B35">
              <w:rPr>
                <w:rFonts w:cs="Arial"/>
                <w:color w:val="auto"/>
              </w:rPr>
              <w:t>Use code:</w:t>
            </w:r>
          </w:p>
          <w:p w14:paraId="112CCEAD" w14:textId="77777777" w:rsidR="00BE36FB" w:rsidRPr="009B7B35" w:rsidDel="001B1836"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14:paraId="5E14E18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7547C9C8"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68629669"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8" w:type="dxa"/>
            <w:gridSpan w:val="2"/>
          </w:tcPr>
          <w:p w14:paraId="621D238D"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12E9CFD0"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2ED60E25"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7" w:type="dxa"/>
          </w:tcPr>
          <w:p w14:paraId="64E96207"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29311B41" w14:textId="77777777" w:rsidR="00BE36FB" w:rsidRPr="009B7B35" w:rsidRDefault="00BE36FB" w:rsidP="001A7107">
      <w:pPr>
        <w:pStyle w:val="Heading5"/>
        <w:numPr>
          <w:ilvl w:val="0"/>
          <w:numId w:val="0"/>
        </w:numPr>
        <w:rPr>
          <w:rFonts w:cs="Arial"/>
          <w:szCs w:val="20"/>
        </w:rPr>
      </w:pPr>
      <w:r w:rsidRPr="009B7B35">
        <w:rPr>
          <w:rFonts w:cs="Arial"/>
          <w:szCs w:val="20"/>
        </w:rPr>
        <w:t>Table 5.5.8—Principal centre zone</w:t>
      </w:r>
    </w:p>
    <w:tbl>
      <w:tblPr>
        <w:tblStyle w:val="Tablestyle"/>
        <w:tblW w:w="9365" w:type="dxa"/>
        <w:tblLook w:val="04A0" w:firstRow="1" w:lastRow="0" w:firstColumn="1" w:lastColumn="0" w:noHBand="0" w:noVBand="1"/>
      </w:tblPr>
      <w:tblGrid>
        <w:gridCol w:w="2411"/>
        <w:gridCol w:w="3477"/>
        <w:gridCol w:w="3477"/>
      </w:tblGrid>
      <w:tr w:rsidR="00BE36FB" w:rsidRPr="009B7B35" w14:paraId="20E19E3A" w14:textId="77777777"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11" w:type="dxa"/>
          </w:tcPr>
          <w:p w14:paraId="5BEF4FAC" w14:textId="77777777" w:rsidR="00BE36FB" w:rsidRPr="009B7B35" w:rsidRDefault="00BE36FB" w:rsidP="001A7107">
            <w:pPr>
              <w:pStyle w:val="TableText"/>
              <w:rPr>
                <w:rFonts w:cs="Arial"/>
              </w:rPr>
            </w:pPr>
            <w:r w:rsidRPr="009B7B35">
              <w:rPr>
                <w:rFonts w:cs="Arial"/>
              </w:rPr>
              <w:t>Use</w:t>
            </w:r>
          </w:p>
        </w:tc>
        <w:tc>
          <w:tcPr>
            <w:tcW w:w="3477" w:type="dxa"/>
          </w:tcPr>
          <w:p w14:paraId="06D06922"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Categories of development and  assessment</w:t>
            </w:r>
          </w:p>
        </w:tc>
        <w:tc>
          <w:tcPr>
            <w:tcW w:w="3477" w:type="dxa"/>
          </w:tcPr>
          <w:p w14:paraId="045DE332"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Assessment benchmarks for assessable development and requirements for accepted development</w:t>
            </w:r>
          </w:p>
        </w:tc>
      </w:tr>
      <w:tr w:rsidR="00BE36FB" w:rsidRPr="009B7B35" w14:paraId="629DF10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0A7FDF3B" w14:textId="77777777" w:rsidR="00BE36FB" w:rsidRPr="009B7B35" w:rsidRDefault="00BE36FB" w:rsidP="001A7107">
            <w:pPr>
              <w:pStyle w:val="TableText"/>
              <w:rPr>
                <w:rFonts w:cs="Arial"/>
              </w:rPr>
            </w:pPr>
            <w:r w:rsidRPr="009B7B35">
              <w:rPr>
                <w:rFonts w:cs="Arial"/>
              </w:rPr>
              <w:t>Adult store</w:t>
            </w:r>
          </w:p>
          <w:p w14:paraId="66A38AD6" w14:textId="77777777" w:rsidR="00BE36FB" w:rsidRPr="009B7B35" w:rsidRDefault="00BE36FB" w:rsidP="001A7107">
            <w:pPr>
              <w:pStyle w:val="TableText"/>
              <w:rPr>
                <w:rFonts w:cs="Arial"/>
              </w:rPr>
            </w:pPr>
            <w:r w:rsidRPr="009B7B35">
              <w:rPr>
                <w:rFonts w:cs="Arial"/>
              </w:rPr>
              <w:t>Child care centre</w:t>
            </w:r>
          </w:p>
          <w:p w14:paraId="2B121A9F" w14:textId="77777777" w:rsidR="00BE36FB" w:rsidRPr="009B7B35" w:rsidRDefault="00BE36FB" w:rsidP="001A7107">
            <w:pPr>
              <w:pStyle w:val="TableText"/>
              <w:rPr>
                <w:rFonts w:cs="Arial"/>
              </w:rPr>
            </w:pPr>
            <w:r w:rsidRPr="009B7B35">
              <w:rPr>
                <w:rFonts w:cs="Arial"/>
              </w:rPr>
              <w:t>Community care centre</w:t>
            </w:r>
          </w:p>
          <w:p w14:paraId="7094084C" w14:textId="77777777" w:rsidR="00BE36FB" w:rsidRPr="009B7B35" w:rsidRDefault="00BE36FB" w:rsidP="001A7107">
            <w:pPr>
              <w:pStyle w:val="TableText"/>
              <w:rPr>
                <w:rFonts w:cs="Arial"/>
              </w:rPr>
            </w:pPr>
            <w:r w:rsidRPr="009B7B35">
              <w:rPr>
                <w:rFonts w:cs="Arial"/>
              </w:rPr>
              <w:t xml:space="preserve">Community use </w:t>
            </w:r>
          </w:p>
          <w:p w14:paraId="7A0F30D6" w14:textId="77777777" w:rsidR="00BE36FB" w:rsidRPr="009B7B35" w:rsidRDefault="00BE36FB" w:rsidP="001A7107">
            <w:pPr>
              <w:pStyle w:val="TableText"/>
              <w:rPr>
                <w:rFonts w:cs="Arial"/>
              </w:rPr>
            </w:pPr>
            <w:r w:rsidRPr="009B7B35">
              <w:rPr>
                <w:rFonts w:cs="Arial"/>
              </w:rPr>
              <w:t>Educational establishment</w:t>
            </w:r>
          </w:p>
          <w:p w14:paraId="33D16ADE" w14:textId="77777777" w:rsidR="00BE36FB" w:rsidRPr="009B7B35" w:rsidRDefault="00BE36FB" w:rsidP="001A7107">
            <w:pPr>
              <w:pStyle w:val="TableText"/>
              <w:rPr>
                <w:rFonts w:cs="Arial"/>
              </w:rPr>
            </w:pPr>
            <w:r w:rsidRPr="009B7B35">
              <w:rPr>
                <w:rFonts w:cs="Arial"/>
              </w:rPr>
              <w:t>Function facility</w:t>
            </w:r>
          </w:p>
          <w:p w14:paraId="03FD9A7F" w14:textId="77777777" w:rsidR="00BE36FB" w:rsidRPr="009B7B35" w:rsidRDefault="00BE36FB" w:rsidP="001A7107">
            <w:pPr>
              <w:pStyle w:val="TableText"/>
              <w:rPr>
                <w:rFonts w:cs="Arial"/>
              </w:rPr>
            </w:pPr>
            <w:r w:rsidRPr="009B7B35">
              <w:rPr>
                <w:rFonts w:cs="Arial"/>
              </w:rPr>
              <w:t>Health care services</w:t>
            </w:r>
          </w:p>
          <w:p w14:paraId="331CB76E" w14:textId="77777777" w:rsidR="00BE36FB" w:rsidRPr="009B7B35" w:rsidRDefault="00BE36FB" w:rsidP="001A7107">
            <w:pPr>
              <w:pStyle w:val="TableText"/>
              <w:rPr>
                <w:rFonts w:cs="Arial"/>
              </w:rPr>
            </w:pPr>
            <w:r w:rsidRPr="009B7B35">
              <w:rPr>
                <w:rFonts w:cs="Arial"/>
              </w:rPr>
              <w:t>Indoor sport and recreation</w:t>
            </w:r>
          </w:p>
          <w:p w14:paraId="6FB5C0C3" w14:textId="77777777" w:rsidR="00BE36FB" w:rsidRPr="009B7B35" w:rsidRDefault="00BE36FB" w:rsidP="001A7107">
            <w:pPr>
              <w:pStyle w:val="TableText"/>
              <w:rPr>
                <w:rFonts w:cs="Arial"/>
              </w:rPr>
            </w:pPr>
            <w:r w:rsidRPr="009B7B35">
              <w:rPr>
                <w:rFonts w:cs="Arial"/>
              </w:rPr>
              <w:t>Market</w:t>
            </w:r>
          </w:p>
          <w:p w14:paraId="2AB0F5D2" w14:textId="77777777" w:rsidR="00BE36FB" w:rsidRPr="009B7B35" w:rsidRDefault="00BE36FB" w:rsidP="001A7107">
            <w:pPr>
              <w:pStyle w:val="TableText"/>
              <w:rPr>
                <w:rFonts w:cs="Arial"/>
              </w:rPr>
            </w:pPr>
            <w:r w:rsidRPr="009B7B35">
              <w:rPr>
                <w:rFonts w:cs="Arial"/>
              </w:rPr>
              <w:t xml:space="preserve">Office </w:t>
            </w:r>
          </w:p>
          <w:p w14:paraId="61D3523A" w14:textId="77777777" w:rsidR="00BE36FB" w:rsidRPr="009B7B35" w:rsidRDefault="00BE36FB" w:rsidP="001A7107">
            <w:pPr>
              <w:pStyle w:val="TableText"/>
              <w:rPr>
                <w:rFonts w:cs="Arial"/>
              </w:rPr>
            </w:pPr>
            <w:r w:rsidRPr="009B7B35">
              <w:rPr>
                <w:rFonts w:cs="Arial"/>
              </w:rPr>
              <w:t>Place of worship</w:t>
            </w:r>
          </w:p>
          <w:p w14:paraId="03066C37" w14:textId="77777777" w:rsidR="00BE36FB" w:rsidRPr="009B7B35" w:rsidRDefault="00BE36FB" w:rsidP="001A7107">
            <w:pPr>
              <w:pStyle w:val="TableText"/>
              <w:rPr>
                <w:rFonts w:cs="Arial"/>
              </w:rPr>
            </w:pPr>
            <w:r w:rsidRPr="009B7B35">
              <w:rPr>
                <w:rFonts w:cs="Arial"/>
              </w:rPr>
              <w:t>Service industry</w:t>
            </w:r>
          </w:p>
          <w:p w14:paraId="28723819" w14:textId="77777777" w:rsidR="00BE36FB" w:rsidRPr="009B7B35" w:rsidRDefault="00BE36FB" w:rsidP="001A7107">
            <w:pPr>
              <w:pStyle w:val="TableText"/>
              <w:rPr>
                <w:rFonts w:cs="Arial"/>
              </w:rPr>
            </w:pPr>
            <w:r w:rsidRPr="009B7B35">
              <w:rPr>
                <w:rFonts w:cs="Arial"/>
              </w:rPr>
              <w:t>Shop</w:t>
            </w:r>
          </w:p>
          <w:p w14:paraId="40DEE0D0" w14:textId="77777777" w:rsidR="00BE36FB" w:rsidRPr="009B7B35" w:rsidRDefault="00BE36FB" w:rsidP="001A7107">
            <w:pPr>
              <w:pStyle w:val="TableText"/>
              <w:rPr>
                <w:rFonts w:cs="Arial"/>
              </w:rPr>
            </w:pPr>
            <w:r w:rsidRPr="009B7B35">
              <w:rPr>
                <w:rFonts w:cs="Arial"/>
              </w:rPr>
              <w:t>Shopping centre</w:t>
            </w:r>
          </w:p>
          <w:p w14:paraId="41637237" w14:textId="77777777" w:rsidR="00BE36FB" w:rsidRPr="009B7B35" w:rsidRDefault="00BE36FB" w:rsidP="001A7107">
            <w:pPr>
              <w:pStyle w:val="TableText"/>
              <w:rPr>
                <w:rFonts w:cs="Arial"/>
              </w:rPr>
            </w:pPr>
            <w:r w:rsidRPr="009B7B35">
              <w:rPr>
                <w:rFonts w:cs="Arial"/>
              </w:rPr>
              <w:t>Veterinary services</w:t>
            </w:r>
          </w:p>
        </w:tc>
        <w:tc>
          <w:tcPr>
            <w:tcW w:w="6954" w:type="dxa"/>
            <w:gridSpan w:val="2"/>
            <w:shd w:val="clear" w:color="auto" w:fill="BFBFBF" w:themeFill="background1" w:themeFillShade="BF"/>
          </w:tcPr>
          <w:p w14:paraId="1F217BFA"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4A4AF9C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60354149" w14:textId="77777777" w:rsidR="00BE36FB" w:rsidRPr="009B7B35" w:rsidRDefault="00BE36FB" w:rsidP="001A7107">
            <w:pPr>
              <w:pStyle w:val="TableText"/>
              <w:rPr>
                <w:rFonts w:cs="Arial"/>
              </w:rPr>
            </w:pPr>
          </w:p>
        </w:tc>
        <w:tc>
          <w:tcPr>
            <w:tcW w:w="3477" w:type="dxa"/>
          </w:tcPr>
          <w:p w14:paraId="761664E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involving the reuse of an existing building.</w:t>
            </w:r>
          </w:p>
        </w:tc>
        <w:tc>
          <w:tcPr>
            <w:tcW w:w="3477" w:type="dxa"/>
          </w:tcPr>
          <w:p w14:paraId="54292A5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Not applicable</w:t>
            </w:r>
          </w:p>
        </w:tc>
      </w:tr>
      <w:tr w:rsidR="00BE36FB" w:rsidRPr="009B7B35" w14:paraId="6EA6E57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395DA994" w14:textId="77777777" w:rsidR="00BE36FB" w:rsidRPr="009B7B35" w:rsidRDefault="00BE36FB" w:rsidP="001A7107">
            <w:pPr>
              <w:pStyle w:val="TableText"/>
              <w:rPr>
                <w:rFonts w:cs="Arial"/>
              </w:rPr>
            </w:pPr>
          </w:p>
        </w:tc>
        <w:tc>
          <w:tcPr>
            <w:tcW w:w="6954" w:type="dxa"/>
            <w:gridSpan w:val="2"/>
            <w:shd w:val="clear" w:color="auto" w:fill="BFBFBF" w:themeFill="background1" w:themeFillShade="BF"/>
          </w:tcPr>
          <w:p w14:paraId="593F5B85"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14:paraId="17CE082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13BDF281" w14:textId="77777777" w:rsidR="00BE36FB" w:rsidRPr="009B7B35" w:rsidRDefault="00BE36FB" w:rsidP="001A7107">
            <w:pPr>
              <w:pStyle w:val="TableText"/>
              <w:rPr>
                <w:rFonts w:cs="Arial"/>
              </w:rPr>
            </w:pPr>
          </w:p>
        </w:tc>
        <w:tc>
          <w:tcPr>
            <w:tcW w:w="3477" w:type="dxa"/>
          </w:tcPr>
          <w:p w14:paraId="790D047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not involving the reuse of an existing building.</w:t>
            </w:r>
          </w:p>
        </w:tc>
        <w:tc>
          <w:tcPr>
            <w:tcW w:w="3477" w:type="dxa"/>
          </w:tcPr>
          <w:p w14:paraId="037165F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14:paraId="306227B9"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Principal centre zone code</w:t>
            </w:r>
          </w:p>
          <w:p w14:paraId="409AC05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 development codes:</w:t>
            </w:r>
          </w:p>
          <w:p w14:paraId="0BD2C007"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Development design code</w:t>
            </w:r>
          </w:p>
          <w:p w14:paraId="2F1D72E8"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Landscaping code</w:t>
            </w:r>
          </w:p>
        </w:tc>
      </w:tr>
      <w:tr w:rsidR="00BE36FB" w:rsidRPr="009B7B35" w14:paraId="19223DB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561A5EEF" w14:textId="77777777" w:rsidR="00BE36FB" w:rsidRPr="009B7B35" w:rsidRDefault="00BE36FB" w:rsidP="001A7107">
            <w:pPr>
              <w:pStyle w:val="TableText"/>
              <w:rPr>
                <w:rFonts w:cs="Arial"/>
              </w:rPr>
            </w:pPr>
            <w:r w:rsidRPr="009B7B35">
              <w:rPr>
                <w:rFonts w:cs="Arial"/>
              </w:rPr>
              <w:t>Bar</w:t>
            </w:r>
          </w:p>
          <w:p w14:paraId="4CB8D037" w14:textId="77777777" w:rsidR="00BE36FB" w:rsidRPr="009B7B35" w:rsidRDefault="00BE36FB" w:rsidP="001A7107">
            <w:pPr>
              <w:pStyle w:val="TableText"/>
              <w:rPr>
                <w:rFonts w:cs="Arial"/>
              </w:rPr>
            </w:pPr>
            <w:r w:rsidRPr="009B7B35">
              <w:rPr>
                <w:rFonts w:cs="Arial"/>
              </w:rPr>
              <w:t>Club</w:t>
            </w:r>
          </w:p>
          <w:p w14:paraId="69189C34" w14:textId="77777777" w:rsidR="00BE36FB" w:rsidRPr="009B7B35" w:rsidRDefault="00BE36FB" w:rsidP="001A7107">
            <w:pPr>
              <w:pStyle w:val="TableText"/>
              <w:rPr>
                <w:rFonts w:cs="Arial"/>
              </w:rPr>
            </w:pPr>
            <w:r w:rsidRPr="009B7B35">
              <w:rPr>
                <w:rFonts w:cs="Arial"/>
              </w:rPr>
              <w:t>Food and drink outlet</w:t>
            </w:r>
          </w:p>
        </w:tc>
        <w:tc>
          <w:tcPr>
            <w:tcW w:w="6954" w:type="dxa"/>
            <w:gridSpan w:val="2"/>
            <w:shd w:val="clear" w:color="auto" w:fill="BFBFBF" w:themeFill="background1" w:themeFillShade="BF"/>
          </w:tcPr>
          <w:p w14:paraId="702D6901"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3A83BB4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51A6036C" w14:textId="77777777" w:rsidR="00BE36FB" w:rsidRPr="009B7B35" w:rsidRDefault="00BE36FB" w:rsidP="001A7107">
            <w:pPr>
              <w:pStyle w:val="TableText"/>
              <w:rPr>
                <w:rFonts w:cs="Arial"/>
              </w:rPr>
            </w:pPr>
          </w:p>
        </w:tc>
        <w:tc>
          <w:tcPr>
            <w:tcW w:w="3477" w:type="dxa"/>
          </w:tcPr>
          <w:p w14:paraId="68DE28B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complying with the relevant accepted development acceptable outcome and involving the reuse of an existing building.</w:t>
            </w:r>
          </w:p>
        </w:tc>
        <w:tc>
          <w:tcPr>
            <w:tcW w:w="3477" w:type="dxa"/>
          </w:tcPr>
          <w:p w14:paraId="2DCBDBB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14:paraId="00B85439"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Principal centre zone code</w:t>
            </w:r>
          </w:p>
        </w:tc>
      </w:tr>
      <w:tr w:rsidR="00BE36FB" w:rsidRPr="009B7B35" w14:paraId="7D7CB81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6AB4E2A5" w14:textId="77777777" w:rsidR="00BE36FB" w:rsidRPr="009B7B35" w:rsidRDefault="00BE36FB" w:rsidP="001A7107">
            <w:pPr>
              <w:pStyle w:val="TableText"/>
              <w:rPr>
                <w:rFonts w:cs="Arial"/>
              </w:rPr>
            </w:pPr>
          </w:p>
        </w:tc>
        <w:tc>
          <w:tcPr>
            <w:tcW w:w="6954" w:type="dxa"/>
            <w:gridSpan w:val="2"/>
            <w:shd w:val="clear" w:color="auto" w:fill="BFBFBF" w:themeFill="background1" w:themeFillShade="BF"/>
          </w:tcPr>
          <w:p w14:paraId="3867B44D"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14:paraId="354CB5F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34AEA365" w14:textId="77777777" w:rsidR="00BE36FB" w:rsidRPr="009B7B35" w:rsidRDefault="00BE36FB" w:rsidP="001A7107">
            <w:pPr>
              <w:pStyle w:val="TableText"/>
              <w:rPr>
                <w:rFonts w:cs="Arial"/>
              </w:rPr>
            </w:pPr>
          </w:p>
        </w:tc>
        <w:tc>
          <w:tcPr>
            <w:tcW w:w="3477" w:type="dxa"/>
          </w:tcPr>
          <w:p w14:paraId="2ABF222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not involving the reuse of an existing building.</w:t>
            </w:r>
          </w:p>
        </w:tc>
        <w:tc>
          <w:tcPr>
            <w:tcW w:w="3477" w:type="dxa"/>
          </w:tcPr>
          <w:p w14:paraId="018DD81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14:paraId="39A77406" w14:textId="77777777" w:rsidR="00BE36FB" w:rsidRPr="009B7B35" w:rsidRDefault="00BE36FB" w:rsidP="001A7107">
            <w:pPr>
              <w:pStyle w:val="TableText"/>
              <w:tabs>
                <w:tab w:val="left" w:pos="292"/>
              </w:tabs>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w:t>
            </w:r>
            <w:r w:rsidRPr="009B7B35">
              <w:rPr>
                <w:rFonts w:cs="Arial"/>
                <w:color w:val="auto"/>
              </w:rPr>
              <w:tab/>
              <w:t>Principal centre zone code</w:t>
            </w:r>
          </w:p>
          <w:p w14:paraId="681ACE3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 development codes:</w:t>
            </w:r>
          </w:p>
          <w:p w14:paraId="6765F696" w14:textId="77777777" w:rsidR="00BE36FB" w:rsidRPr="009B7B35" w:rsidRDefault="00BE36FB" w:rsidP="00BE36FB">
            <w:pPr>
              <w:pStyle w:val="ListBullet"/>
              <w:tabs>
                <w:tab w:val="clear" w:pos="284"/>
                <w:tab w:val="left" w:pos="292"/>
              </w:tabs>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Development design code</w:t>
            </w:r>
          </w:p>
          <w:p w14:paraId="4DB1B3D4" w14:textId="77777777" w:rsidR="00BE36FB" w:rsidRPr="009B7B35" w:rsidRDefault="00BE36FB" w:rsidP="00BE36FB">
            <w:pPr>
              <w:pStyle w:val="ListBullet"/>
              <w:tabs>
                <w:tab w:val="clear" w:pos="284"/>
                <w:tab w:val="left" w:pos="292"/>
              </w:tabs>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Landscaping code</w:t>
            </w:r>
          </w:p>
        </w:tc>
      </w:tr>
      <w:tr w:rsidR="00BE36FB" w:rsidRPr="009B7B35" w14:paraId="22DA85C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5AED986D" w14:textId="77777777" w:rsidR="00BE36FB" w:rsidRPr="009B7B35" w:rsidRDefault="00BE36FB" w:rsidP="001A7107">
            <w:pPr>
              <w:pStyle w:val="TableText"/>
              <w:rPr>
                <w:rFonts w:cs="Arial"/>
              </w:rPr>
            </w:pPr>
            <w:r w:rsidRPr="009B7B35">
              <w:rPr>
                <w:rFonts w:cs="Arial"/>
              </w:rPr>
              <w:t>Caretaker’s accommodation</w:t>
            </w:r>
          </w:p>
          <w:p w14:paraId="67FD6350" w14:textId="77777777" w:rsidR="00BE36FB" w:rsidRPr="009B7B35" w:rsidRDefault="00BE36FB" w:rsidP="001A7107">
            <w:pPr>
              <w:pStyle w:val="TableText"/>
              <w:rPr>
                <w:rFonts w:cs="Arial"/>
              </w:rPr>
            </w:pPr>
            <w:r w:rsidRPr="009B7B35">
              <w:rPr>
                <w:rFonts w:cs="Arial"/>
              </w:rPr>
              <w:t xml:space="preserve">Dwelling unit </w:t>
            </w:r>
          </w:p>
          <w:p w14:paraId="7ED7EC78" w14:textId="77777777" w:rsidR="00BE36FB" w:rsidRPr="009B7B35" w:rsidRDefault="00BE36FB" w:rsidP="001A7107">
            <w:pPr>
              <w:pStyle w:val="TableText"/>
              <w:rPr>
                <w:rFonts w:cs="Arial"/>
              </w:rPr>
            </w:pPr>
            <w:r w:rsidRPr="009B7B35">
              <w:rPr>
                <w:rFonts w:cs="Arial"/>
              </w:rPr>
              <w:t>Sales office</w:t>
            </w:r>
          </w:p>
        </w:tc>
        <w:tc>
          <w:tcPr>
            <w:tcW w:w="6954" w:type="dxa"/>
            <w:gridSpan w:val="2"/>
            <w:shd w:val="clear" w:color="auto" w:fill="BFBFBF" w:themeFill="background1" w:themeFillShade="BF"/>
          </w:tcPr>
          <w:p w14:paraId="3C97B3D3"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7E7678C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344B4B95" w14:textId="77777777" w:rsidR="00BE36FB" w:rsidRPr="009B7B35" w:rsidRDefault="00BE36FB" w:rsidP="001A7107">
            <w:pPr>
              <w:pStyle w:val="TableText"/>
              <w:rPr>
                <w:rFonts w:cs="Arial"/>
              </w:rPr>
            </w:pPr>
          </w:p>
        </w:tc>
        <w:tc>
          <w:tcPr>
            <w:tcW w:w="3477" w:type="dxa"/>
          </w:tcPr>
          <w:p w14:paraId="479F6B9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complying with the relevant accepted development acceptable outcomes.</w:t>
            </w:r>
          </w:p>
        </w:tc>
        <w:tc>
          <w:tcPr>
            <w:tcW w:w="3477" w:type="dxa"/>
          </w:tcPr>
          <w:p w14:paraId="49F07A1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14:paraId="2988C190"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Principal centre zone code</w:t>
            </w:r>
          </w:p>
        </w:tc>
      </w:tr>
      <w:tr w:rsidR="00BE36FB" w:rsidRPr="009B7B35" w14:paraId="343BB43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2204E887" w14:textId="77777777" w:rsidR="00BE36FB" w:rsidRPr="009B7B35" w:rsidRDefault="00BE36FB" w:rsidP="001A7107">
            <w:pPr>
              <w:pStyle w:val="TableText"/>
              <w:rPr>
                <w:rFonts w:cs="Arial"/>
              </w:rPr>
            </w:pPr>
            <w:r w:rsidRPr="009B7B35">
              <w:rPr>
                <w:rFonts w:cs="Arial"/>
              </w:rPr>
              <w:t>Emergency services</w:t>
            </w:r>
          </w:p>
          <w:p w14:paraId="3159425C" w14:textId="77777777" w:rsidR="00BE36FB" w:rsidRPr="009B7B35" w:rsidRDefault="00BE36FB" w:rsidP="001A7107">
            <w:pPr>
              <w:pStyle w:val="TableText"/>
              <w:rPr>
                <w:rFonts w:cs="Arial"/>
              </w:rPr>
            </w:pPr>
            <w:r w:rsidRPr="009B7B35">
              <w:rPr>
                <w:rFonts w:cs="Arial"/>
              </w:rPr>
              <w:t>Substation</w:t>
            </w:r>
          </w:p>
          <w:p w14:paraId="4853898E" w14:textId="77777777" w:rsidR="00BE36FB" w:rsidRPr="009B7B35" w:rsidRDefault="00BE36FB" w:rsidP="001A7107">
            <w:pPr>
              <w:pStyle w:val="TableText"/>
              <w:rPr>
                <w:rFonts w:cs="Arial"/>
              </w:rPr>
            </w:pPr>
            <w:r w:rsidRPr="009B7B35">
              <w:rPr>
                <w:rFonts w:cs="Arial"/>
              </w:rPr>
              <w:t>Utility installation</w:t>
            </w:r>
          </w:p>
        </w:tc>
        <w:tc>
          <w:tcPr>
            <w:tcW w:w="6954" w:type="dxa"/>
            <w:gridSpan w:val="2"/>
            <w:shd w:val="clear" w:color="auto" w:fill="BFBFBF" w:themeFill="background1" w:themeFillShade="BF"/>
          </w:tcPr>
          <w:p w14:paraId="47D0E706"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55B91A2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717E4094" w14:textId="77777777" w:rsidR="00BE36FB" w:rsidRPr="009B7B35" w:rsidRDefault="00BE36FB" w:rsidP="001A7107">
            <w:pPr>
              <w:pStyle w:val="TableText"/>
              <w:rPr>
                <w:rFonts w:cs="Arial"/>
              </w:rPr>
            </w:pPr>
          </w:p>
        </w:tc>
        <w:tc>
          <w:tcPr>
            <w:tcW w:w="3477" w:type="dxa"/>
          </w:tcPr>
          <w:p w14:paraId="1380655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 xml:space="preserve">For a substation, if undertaken by an electrical entity. </w:t>
            </w:r>
          </w:p>
          <w:p w14:paraId="3FBD03A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Otherwise, where undertaken by a public sector entity and the development footprint is less than 500m</w:t>
            </w:r>
            <w:r w:rsidRPr="009B7B35">
              <w:rPr>
                <w:rStyle w:val="StyleSuperscript"/>
                <w:rFonts w:cs="Arial"/>
                <w:color w:val="auto"/>
              </w:rPr>
              <w:t>2</w:t>
            </w:r>
            <w:r w:rsidRPr="009B7B35">
              <w:rPr>
                <w:rFonts w:cs="Arial"/>
                <w:color w:val="auto"/>
              </w:rPr>
              <w:t>.</w:t>
            </w:r>
          </w:p>
        </w:tc>
        <w:tc>
          <w:tcPr>
            <w:tcW w:w="3477" w:type="dxa"/>
          </w:tcPr>
          <w:p w14:paraId="51416B2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Not applicable</w:t>
            </w:r>
          </w:p>
        </w:tc>
      </w:tr>
      <w:tr w:rsidR="00BE36FB" w:rsidRPr="009B7B35" w14:paraId="643CF3B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392C1EBC" w14:textId="77777777" w:rsidR="00BE36FB" w:rsidRPr="009B7B35" w:rsidRDefault="00BE36FB" w:rsidP="001A7107">
            <w:pPr>
              <w:pStyle w:val="TableText"/>
              <w:rPr>
                <w:rFonts w:cs="Arial"/>
              </w:rPr>
            </w:pPr>
          </w:p>
        </w:tc>
        <w:tc>
          <w:tcPr>
            <w:tcW w:w="6954" w:type="dxa"/>
            <w:gridSpan w:val="2"/>
            <w:shd w:val="clear" w:color="auto" w:fill="BFBFBF" w:themeFill="background1" w:themeFillShade="BF"/>
          </w:tcPr>
          <w:p w14:paraId="6CA3D55B"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14:paraId="1A40B2E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115E0CBF" w14:textId="77777777" w:rsidR="00BE36FB" w:rsidRPr="009B7B35" w:rsidRDefault="00BE36FB" w:rsidP="001A7107">
            <w:pPr>
              <w:pStyle w:val="TableText"/>
              <w:rPr>
                <w:rFonts w:cs="Arial"/>
              </w:rPr>
            </w:pPr>
          </w:p>
        </w:tc>
        <w:tc>
          <w:tcPr>
            <w:tcW w:w="3477" w:type="dxa"/>
          </w:tcPr>
          <w:p w14:paraId="601BB26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Where undertaken by a public sector entity and the development footprint is 500m</w:t>
            </w:r>
            <w:r w:rsidRPr="009B7B35">
              <w:rPr>
                <w:rStyle w:val="StyleSuperscript"/>
                <w:rFonts w:cs="Arial"/>
                <w:color w:val="auto"/>
              </w:rPr>
              <w:t>2</w:t>
            </w:r>
            <w:r w:rsidRPr="009B7B35">
              <w:rPr>
                <w:rFonts w:cs="Arial"/>
                <w:color w:val="auto"/>
              </w:rPr>
              <w:t xml:space="preserve"> or greater.</w:t>
            </w:r>
          </w:p>
          <w:p w14:paraId="21973FE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not undertaken by a public sector entity.</w:t>
            </w:r>
          </w:p>
        </w:tc>
        <w:tc>
          <w:tcPr>
            <w:tcW w:w="3477" w:type="dxa"/>
          </w:tcPr>
          <w:p w14:paraId="427A724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14:paraId="6E7E0772"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Principal centre zone code</w:t>
            </w:r>
          </w:p>
          <w:p w14:paraId="73F0867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 development codes:</w:t>
            </w:r>
          </w:p>
          <w:p w14:paraId="6D636C5A"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Development design code</w:t>
            </w:r>
          </w:p>
        </w:tc>
      </w:tr>
      <w:tr w:rsidR="00BE36FB" w:rsidRPr="009B7B35" w14:paraId="662E7E6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3F1C2BA6" w14:textId="77777777" w:rsidR="00BE36FB" w:rsidRPr="009B7B35" w:rsidRDefault="00BE36FB" w:rsidP="001A7107">
            <w:pPr>
              <w:pStyle w:val="TableText"/>
              <w:rPr>
                <w:rFonts w:cs="Arial"/>
              </w:rPr>
            </w:pPr>
            <w:r w:rsidRPr="009B7B35">
              <w:rPr>
                <w:rFonts w:cs="Arial"/>
              </w:rPr>
              <w:t>Hardware and trade supplies</w:t>
            </w:r>
          </w:p>
          <w:p w14:paraId="36C35014" w14:textId="77777777" w:rsidR="00BE36FB" w:rsidRPr="009B7B35" w:rsidRDefault="00BE36FB" w:rsidP="001A7107">
            <w:pPr>
              <w:pStyle w:val="TableText"/>
              <w:rPr>
                <w:rFonts w:cs="Arial"/>
              </w:rPr>
            </w:pPr>
            <w:r w:rsidRPr="009B7B35">
              <w:rPr>
                <w:rFonts w:cs="Arial"/>
              </w:rPr>
              <w:t xml:space="preserve">Hotel </w:t>
            </w:r>
          </w:p>
          <w:p w14:paraId="7DE3E1C2" w14:textId="77777777" w:rsidR="00BE36FB" w:rsidRPr="009B7B35" w:rsidRDefault="00BE36FB" w:rsidP="001A7107">
            <w:pPr>
              <w:pStyle w:val="TableText"/>
              <w:rPr>
                <w:rFonts w:cs="Arial"/>
              </w:rPr>
            </w:pPr>
            <w:r w:rsidRPr="009B7B35">
              <w:rPr>
                <w:rFonts w:cs="Arial"/>
              </w:rPr>
              <w:t>Multiple dwelling</w:t>
            </w:r>
          </w:p>
          <w:p w14:paraId="2A58CF28" w14:textId="77777777" w:rsidR="00BE36FB" w:rsidRPr="009B7B35" w:rsidRDefault="00BE36FB" w:rsidP="001A7107">
            <w:pPr>
              <w:pStyle w:val="TableText"/>
              <w:rPr>
                <w:rFonts w:cs="Arial"/>
              </w:rPr>
            </w:pPr>
            <w:r w:rsidRPr="009B7B35">
              <w:rPr>
                <w:rFonts w:cs="Arial"/>
              </w:rPr>
              <w:t>Nightclub entertainment facility</w:t>
            </w:r>
          </w:p>
          <w:p w14:paraId="2C0FF8CA" w14:textId="77777777" w:rsidR="00BE36FB" w:rsidRPr="009B7B35" w:rsidRDefault="00BE36FB" w:rsidP="001A7107">
            <w:pPr>
              <w:pStyle w:val="TableText"/>
              <w:rPr>
                <w:rFonts w:cs="Arial"/>
              </w:rPr>
            </w:pPr>
            <w:r w:rsidRPr="009B7B35">
              <w:rPr>
                <w:rFonts w:cs="Arial"/>
              </w:rPr>
              <w:t>Parking station</w:t>
            </w:r>
          </w:p>
          <w:p w14:paraId="7BC82D41" w14:textId="77777777" w:rsidR="00BE36FB" w:rsidRPr="009B7B35" w:rsidRDefault="00BE36FB" w:rsidP="001A7107">
            <w:pPr>
              <w:pStyle w:val="TableText"/>
              <w:rPr>
                <w:rFonts w:cs="Arial"/>
              </w:rPr>
            </w:pPr>
            <w:r w:rsidRPr="009B7B35">
              <w:rPr>
                <w:rFonts w:cs="Arial"/>
              </w:rPr>
              <w:t>Residential care facility</w:t>
            </w:r>
          </w:p>
          <w:p w14:paraId="497D0894" w14:textId="77777777" w:rsidR="00BE36FB" w:rsidRPr="009B7B35" w:rsidRDefault="00BE36FB" w:rsidP="001A7107">
            <w:pPr>
              <w:pStyle w:val="TableText"/>
              <w:rPr>
                <w:rFonts w:cs="Arial"/>
              </w:rPr>
            </w:pPr>
            <w:r w:rsidRPr="009B7B35">
              <w:rPr>
                <w:rFonts w:cs="Arial"/>
              </w:rPr>
              <w:t>Retirement facility</w:t>
            </w:r>
          </w:p>
          <w:p w14:paraId="5CBEFA3E" w14:textId="77777777" w:rsidR="00BE36FB" w:rsidRPr="009B7B35" w:rsidRDefault="00BE36FB" w:rsidP="001A7107">
            <w:pPr>
              <w:pStyle w:val="TableText"/>
              <w:rPr>
                <w:rFonts w:cs="Arial"/>
              </w:rPr>
            </w:pPr>
            <w:r w:rsidRPr="009B7B35">
              <w:rPr>
                <w:rFonts w:cs="Arial"/>
              </w:rPr>
              <w:t>Rooming accommodation Short–term accommodation</w:t>
            </w:r>
          </w:p>
          <w:p w14:paraId="25930C9E" w14:textId="77777777" w:rsidR="00BE36FB" w:rsidRPr="009B7B35" w:rsidRDefault="00BE36FB" w:rsidP="001A7107">
            <w:pPr>
              <w:pStyle w:val="TableText"/>
              <w:rPr>
                <w:rFonts w:cs="Arial"/>
              </w:rPr>
            </w:pPr>
            <w:r w:rsidRPr="009B7B35">
              <w:rPr>
                <w:rFonts w:cs="Arial"/>
              </w:rPr>
              <w:t>Theatre</w:t>
            </w:r>
          </w:p>
        </w:tc>
        <w:tc>
          <w:tcPr>
            <w:tcW w:w="6954" w:type="dxa"/>
            <w:gridSpan w:val="2"/>
            <w:shd w:val="clear" w:color="auto" w:fill="BFBFBF" w:themeFill="background1" w:themeFillShade="BF"/>
          </w:tcPr>
          <w:p w14:paraId="1557D90D"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Code assessment</w:t>
            </w:r>
          </w:p>
        </w:tc>
      </w:tr>
      <w:tr w:rsidR="00BE36FB" w:rsidRPr="009B7B35" w14:paraId="028EE0C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20B4BFA4" w14:textId="77777777" w:rsidR="00BE36FB" w:rsidRPr="009B7B35" w:rsidRDefault="00BE36FB" w:rsidP="001A7107">
            <w:pPr>
              <w:pStyle w:val="TableText"/>
              <w:rPr>
                <w:rFonts w:cs="Arial"/>
              </w:rPr>
            </w:pPr>
          </w:p>
        </w:tc>
        <w:tc>
          <w:tcPr>
            <w:tcW w:w="3477" w:type="dxa"/>
          </w:tcPr>
          <w:p w14:paraId="5128B83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In all circumstances.</w:t>
            </w:r>
          </w:p>
        </w:tc>
        <w:tc>
          <w:tcPr>
            <w:tcW w:w="3477" w:type="dxa"/>
          </w:tcPr>
          <w:p w14:paraId="222FF45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14:paraId="24BC9534"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Principal centre zone code</w:t>
            </w:r>
          </w:p>
          <w:p w14:paraId="71B4B43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 development codes:</w:t>
            </w:r>
          </w:p>
          <w:p w14:paraId="3C71C6DE"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Development design code</w:t>
            </w:r>
          </w:p>
          <w:p w14:paraId="73E71148"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Landscaping code</w:t>
            </w:r>
          </w:p>
        </w:tc>
      </w:tr>
      <w:tr w:rsidR="00BE36FB" w:rsidRPr="009B7B35" w14:paraId="40DE8E2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3E531D2C" w14:textId="77777777" w:rsidR="00BE36FB" w:rsidRPr="009B7B35" w:rsidRDefault="00BE36FB" w:rsidP="001A7107">
            <w:pPr>
              <w:pStyle w:val="TableText"/>
              <w:rPr>
                <w:rFonts w:cs="Arial"/>
              </w:rPr>
            </w:pPr>
            <w:r w:rsidRPr="009B7B35">
              <w:rPr>
                <w:rFonts w:cs="Arial"/>
              </w:rPr>
              <w:t>Home based business</w:t>
            </w:r>
          </w:p>
        </w:tc>
        <w:tc>
          <w:tcPr>
            <w:tcW w:w="6954" w:type="dxa"/>
            <w:gridSpan w:val="2"/>
            <w:shd w:val="clear" w:color="auto" w:fill="BFBFBF" w:themeFill="background1" w:themeFillShade="BF"/>
          </w:tcPr>
          <w:p w14:paraId="1592EEC4" w14:textId="77777777" w:rsidR="00BE36FB" w:rsidRPr="009B7B35" w:rsidDel="001B1836"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112D5A4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35002371" w14:textId="77777777" w:rsidR="00BE36FB" w:rsidRPr="009B7B35" w:rsidRDefault="00BE36FB" w:rsidP="001A7107">
            <w:pPr>
              <w:pStyle w:val="TableText"/>
              <w:rPr>
                <w:rFonts w:cs="Arial"/>
              </w:rPr>
            </w:pPr>
          </w:p>
        </w:tc>
        <w:tc>
          <w:tcPr>
            <w:tcW w:w="3477" w:type="dxa"/>
          </w:tcPr>
          <w:p w14:paraId="615C8582" w14:textId="77777777" w:rsidR="00BE36FB" w:rsidRPr="009B7B35" w:rsidDel="001B1836"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complying with the relevant accepted development acceptable outcomes.</w:t>
            </w:r>
          </w:p>
        </w:tc>
        <w:tc>
          <w:tcPr>
            <w:tcW w:w="3477" w:type="dxa"/>
          </w:tcPr>
          <w:p w14:paraId="357AB5CD" w14:textId="77777777" w:rsidR="00BE36FB" w:rsidRPr="009B7B35" w:rsidRDefault="00BE36FB" w:rsidP="001A7107">
            <w:pPr>
              <w:pStyle w:val="ListBullet"/>
              <w:numPr>
                <w:ilvl w:val="0"/>
                <w:numId w:val="0"/>
              </w:numPr>
              <w:ind w:left="284" w:hanging="275"/>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Use code:</w:t>
            </w:r>
          </w:p>
          <w:p w14:paraId="3F9D50B1" w14:textId="77777777" w:rsidR="00BE36FB" w:rsidRPr="009B7B35" w:rsidDel="001B1836"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Home based business code</w:t>
            </w:r>
          </w:p>
        </w:tc>
      </w:tr>
      <w:tr w:rsidR="00BE36FB" w:rsidRPr="009B7B35" w14:paraId="6A9AE5A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13EC8C84" w14:textId="77777777" w:rsidR="00BE36FB" w:rsidRPr="009B7B35" w:rsidRDefault="00BE36FB" w:rsidP="001A7107">
            <w:pPr>
              <w:pStyle w:val="TableText"/>
              <w:rPr>
                <w:rFonts w:cs="Arial"/>
              </w:rPr>
            </w:pPr>
            <w:r w:rsidRPr="009B7B35">
              <w:rPr>
                <w:rFonts w:cs="Arial"/>
              </w:rPr>
              <w:t>Landing*</w:t>
            </w:r>
          </w:p>
          <w:p w14:paraId="74D76510" w14:textId="77777777" w:rsidR="00BE36FB" w:rsidRPr="009B7B35" w:rsidRDefault="00BE36FB" w:rsidP="001A7107">
            <w:pPr>
              <w:pStyle w:val="TableText"/>
              <w:rPr>
                <w:rFonts w:cs="Arial"/>
              </w:rPr>
            </w:pPr>
            <w:r w:rsidRPr="009B7B35">
              <w:rPr>
                <w:rFonts w:cs="Arial"/>
              </w:rPr>
              <w:t>Park</w:t>
            </w:r>
          </w:p>
          <w:p w14:paraId="064D1119"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tcW w:w="6954" w:type="dxa"/>
            <w:gridSpan w:val="2"/>
            <w:shd w:val="clear" w:color="auto" w:fill="BFBFBF" w:themeFill="background1" w:themeFillShade="BF"/>
          </w:tcPr>
          <w:p w14:paraId="5595B057"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15BA3B7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53690EA9" w14:textId="77777777" w:rsidR="00BE36FB" w:rsidRPr="009B7B35" w:rsidRDefault="00BE36FB" w:rsidP="001A7107">
            <w:pPr>
              <w:pStyle w:val="TableText"/>
              <w:rPr>
                <w:rFonts w:cs="Arial"/>
              </w:rPr>
            </w:pPr>
          </w:p>
        </w:tc>
        <w:tc>
          <w:tcPr>
            <w:tcW w:w="3477" w:type="dxa"/>
          </w:tcPr>
          <w:p w14:paraId="00643ED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color w:val="auto"/>
              </w:rPr>
            </w:pPr>
            <w:r w:rsidRPr="009B7B35">
              <w:rPr>
                <w:rFonts w:cs="Arial"/>
                <w:color w:val="auto"/>
              </w:rPr>
              <w:t>Development approval is not required.</w:t>
            </w:r>
          </w:p>
        </w:tc>
        <w:tc>
          <w:tcPr>
            <w:tcW w:w="3477" w:type="dxa"/>
          </w:tcPr>
          <w:p w14:paraId="20CA8E1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Not applicable</w:t>
            </w:r>
          </w:p>
        </w:tc>
      </w:tr>
      <w:tr w:rsidR="00BE36FB" w:rsidRPr="009B7B35" w14:paraId="4F94431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2486FE32" w14:textId="77777777" w:rsidR="00BE36FB" w:rsidRPr="009B7B35" w:rsidRDefault="00BE36FB" w:rsidP="001A7107">
            <w:pPr>
              <w:pStyle w:val="TableText"/>
              <w:rPr>
                <w:rFonts w:cs="Arial"/>
              </w:rPr>
            </w:pPr>
            <w:r w:rsidRPr="009B7B35">
              <w:rPr>
                <w:rFonts w:cs="Arial"/>
              </w:rPr>
              <w:t>Telecommunications facility</w:t>
            </w:r>
          </w:p>
        </w:tc>
        <w:tc>
          <w:tcPr>
            <w:tcW w:w="6954" w:type="dxa"/>
            <w:gridSpan w:val="2"/>
            <w:shd w:val="clear" w:color="auto" w:fill="BFBFBF" w:themeFill="background1" w:themeFillShade="BF"/>
          </w:tcPr>
          <w:p w14:paraId="69D29B14"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0802F8F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05DE36ED" w14:textId="77777777" w:rsidR="00BE36FB" w:rsidRPr="009B7B35" w:rsidRDefault="00BE36FB" w:rsidP="001A7107">
            <w:pPr>
              <w:pStyle w:val="TableText"/>
              <w:rPr>
                <w:rFonts w:cs="Arial"/>
              </w:rPr>
            </w:pPr>
          </w:p>
        </w:tc>
        <w:tc>
          <w:tcPr>
            <w:tcW w:w="3477" w:type="dxa"/>
          </w:tcPr>
          <w:p w14:paraId="38EDE1B6" w14:textId="77777777" w:rsidR="00BE36FB" w:rsidRPr="009B7B35" w:rsidDel="001B1836"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If complying with the relevant accepted development acceptable outcomes.</w:t>
            </w:r>
          </w:p>
        </w:tc>
        <w:tc>
          <w:tcPr>
            <w:tcW w:w="3477" w:type="dxa"/>
          </w:tcPr>
          <w:p w14:paraId="18F8E52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Zone code:</w:t>
            </w:r>
          </w:p>
          <w:p w14:paraId="1F7AC695"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Principal centre zone code</w:t>
            </w:r>
          </w:p>
          <w:p w14:paraId="4421005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Use code:</w:t>
            </w:r>
          </w:p>
          <w:p w14:paraId="41161A7D" w14:textId="77777777" w:rsidR="00BE36FB" w:rsidRPr="009B7B35" w:rsidDel="001B1836"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Telecommunications facility code</w:t>
            </w:r>
          </w:p>
        </w:tc>
      </w:tr>
      <w:tr w:rsidR="00BE36FB" w:rsidRPr="009B7B35" w14:paraId="3EC67D0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7514EC9F"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5DFF0FF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8" w:type="dxa"/>
            <w:gridSpan w:val="2"/>
          </w:tcPr>
          <w:p w14:paraId="5FB68945" w14:textId="77777777" w:rsidR="00BE36FB" w:rsidRPr="009B7B35" w:rsidRDefault="00BE36FB" w:rsidP="001A7107">
            <w:pPr>
              <w:pStyle w:val="TableText"/>
              <w:rPr>
                <w:rFonts w:cs="Arial"/>
              </w:rPr>
            </w:pPr>
            <w:r w:rsidRPr="009B7B35">
              <w:rPr>
                <w:rFonts w:cs="Arial"/>
              </w:rPr>
              <w:t>Any other use not listed in this table.</w:t>
            </w:r>
          </w:p>
          <w:p w14:paraId="78BD0A35" w14:textId="77777777" w:rsidR="00BE36FB" w:rsidRPr="009B7B35" w:rsidRDefault="00BE36FB" w:rsidP="001A7107">
            <w:pPr>
              <w:pStyle w:val="TableText"/>
              <w:rPr>
                <w:rFonts w:cs="Arial"/>
              </w:rPr>
            </w:pPr>
            <w:r w:rsidRPr="009B7B35">
              <w:rPr>
                <w:rFonts w:cs="Arial"/>
                <w:lang w:val="en-GB"/>
              </w:rPr>
              <w:t>Any use listed in the table as Code Assessment and not complying with the criteria in the ‘Categories of development and assessment’ column.</w:t>
            </w:r>
          </w:p>
          <w:p w14:paraId="073D93E9" w14:textId="77777777" w:rsidR="00BE36FB" w:rsidRPr="009B7B35" w:rsidRDefault="00BE36FB" w:rsidP="001A7107">
            <w:pPr>
              <w:pStyle w:val="TableText"/>
              <w:rPr>
                <w:rFonts w:cs="Arial"/>
              </w:rPr>
            </w:pPr>
            <w:r w:rsidRPr="009B7B35">
              <w:rPr>
                <w:rFonts w:cs="Arial"/>
              </w:rPr>
              <w:t>Any other undefined use.</w:t>
            </w:r>
          </w:p>
        </w:tc>
        <w:tc>
          <w:tcPr>
            <w:tcW w:w="3477" w:type="dxa"/>
          </w:tcPr>
          <w:p w14:paraId="6060007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The planning scheme</w:t>
            </w:r>
          </w:p>
        </w:tc>
      </w:tr>
    </w:tbl>
    <w:p w14:paraId="1D13CFFF" w14:textId="77777777" w:rsidR="00BE36FB" w:rsidRPr="009B7B35" w:rsidRDefault="00BE36FB" w:rsidP="001A7107">
      <w:pPr>
        <w:pStyle w:val="Heading5"/>
        <w:numPr>
          <w:ilvl w:val="0"/>
          <w:numId w:val="0"/>
        </w:numPr>
        <w:rPr>
          <w:rFonts w:cs="Arial"/>
          <w:szCs w:val="20"/>
        </w:rPr>
      </w:pPr>
      <w:r w:rsidRPr="009B7B35">
        <w:rPr>
          <w:rFonts w:cs="Arial"/>
          <w:szCs w:val="20"/>
        </w:rPr>
        <w:t>Table 5.5.9—Neighbourhood centre zone</w:t>
      </w:r>
    </w:p>
    <w:tbl>
      <w:tblPr>
        <w:tblStyle w:val="Tablestyle"/>
        <w:tblW w:w="9365" w:type="dxa"/>
        <w:tblLook w:val="01E0" w:firstRow="1" w:lastRow="1" w:firstColumn="1" w:lastColumn="1" w:noHBand="0" w:noVBand="0"/>
      </w:tblPr>
      <w:tblGrid>
        <w:gridCol w:w="2411"/>
        <w:gridCol w:w="3477"/>
        <w:gridCol w:w="3477"/>
      </w:tblGrid>
      <w:tr w:rsidR="00BE36FB" w:rsidRPr="009B7B35" w14:paraId="27712EB3" w14:textId="77777777"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11" w:type="dxa"/>
          </w:tcPr>
          <w:p w14:paraId="1C1F20A3"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7" w:type="dxa"/>
          </w:tcPr>
          <w:p w14:paraId="7133CD20"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7" w:type="dxa"/>
          </w:tcPr>
          <w:p w14:paraId="6B514281"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64CBE3A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3C1948CB" w14:textId="77777777" w:rsidR="00BE36FB" w:rsidRPr="009B7B35" w:rsidRDefault="00BE36FB">
            <w:pPr>
              <w:pStyle w:val="TableText"/>
              <w:rPr>
                <w:rFonts w:cs="Arial"/>
              </w:rPr>
            </w:pPr>
            <w:r w:rsidRPr="009B7B35">
              <w:rPr>
                <w:rFonts w:cs="Arial"/>
              </w:rPr>
              <w:t>Adult store</w:t>
            </w:r>
          </w:p>
          <w:p w14:paraId="310A5D54" w14:textId="77777777" w:rsidR="00BE36FB" w:rsidRPr="009B7B35" w:rsidRDefault="00BE36FB">
            <w:pPr>
              <w:pStyle w:val="TableText"/>
              <w:rPr>
                <w:rFonts w:cs="Arial"/>
              </w:rPr>
            </w:pPr>
            <w:r w:rsidRPr="009B7B35">
              <w:rPr>
                <w:rFonts w:cs="Arial"/>
              </w:rPr>
              <w:t>Club</w:t>
            </w:r>
          </w:p>
          <w:p w14:paraId="75AB213A" w14:textId="77777777" w:rsidR="00BE36FB" w:rsidRPr="009B7B35" w:rsidRDefault="00BE36FB">
            <w:pPr>
              <w:pStyle w:val="TableText"/>
              <w:rPr>
                <w:rFonts w:cs="Arial"/>
              </w:rPr>
            </w:pPr>
            <w:r w:rsidRPr="009B7B35">
              <w:rPr>
                <w:rFonts w:cs="Arial"/>
              </w:rPr>
              <w:t>Community care centre</w:t>
            </w:r>
          </w:p>
          <w:p w14:paraId="41269360" w14:textId="77777777" w:rsidR="00BE36FB" w:rsidRPr="009B7B35" w:rsidRDefault="00BE36FB">
            <w:pPr>
              <w:pStyle w:val="TableText"/>
              <w:rPr>
                <w:rFonts w:cs="Arial"/>
              </w:rPr>
            </w:pPr>
            <w:r w:rsidRPr="009B7B35">
              <w:rPr>
                <w:rFonts w:cs="Arial"/>
              </w:rPr>
              <w:t xml:space="preserve">Community use </w:t>
            </w:r>
          </w:p>
          <w:p w14:paraId="7FF09387" w14:textId="77777777" w:rsidR="00BE36FB" w:rsidRPr="009B7B35" w:rsidRDefault="00BE36FB">
            <w:pPr>
              <w:pStyle w:val="TableText"/>
              <w:rPr>
                <w:rFonts w:cs="Arial"/>
              </w:rPr>
            </w:pPr>
            <w:r w:rsidRPr="009B7B35">
              <w:rPr>
                <w:rFonts w:cs="Arial"/>
              </w:rPr>
              <w:t>Educational establishment</w:t>
            </w:r>
          </w:p>
          <w:p w14:paraId="4B589116" w14:textId="77777777" w:rsidR="00BE36FB" w:rsidRPr="009B7B35" w:rsidRDefault="00BE36FB">
            <w:pPr>
              <w:pStyle w:val="TableText"/>
              <w:rPr>
                <w:rFonts w:cs="Arial"/>
              </w:rPr>
            </w:pPr>
            <w:r w:rsidRPr="009B7B35">
              <w:rPr>
                <w:rFonts w:cs="Arial"/>
              </w:rPr>
              <w:t xml:space="preserve">Food and drink outlet </w:t>
            </w:r>
          </w:p>
          <w:p w14:paraId="1FC2DA54" w14:textId="77777777" w:rsidR="00BE36FB" w:rsidRPr="009B7B35" w:rsidRDefault="00BE36FB">
            <w:pPr>
              <w:pStyle w:val="TableText"/>
              <w:rPr>
                <w:rFonts w:cs="Arial"/>
              </w:rPr>
            </w:pPr>
            <w:r w:rsidRPr="009B7B35">
              <w:rPr>
                <w:rFonts w:cs="Arial"/>
              </w:rPr>
              <w:t>Health care services</w:t>
            </w:r>
          </w:p>
          <w:p w14:paraId="113E7A1F" w14:textId="77777777" w:rsidR="00BE36FB" w:rsidRPr="009B7B35" w:rsidRDefault="00BE36FB">
            <w:pPr>
              <w:pStyle w:val="TableText"/>
              <w:rPr>
                <w:rFonts w:cs="Arial"/>
              </w:rPr>
            </w:pPr>
            <w:r w:rsidRPr="009B7B35">
              <w:rPr>
                <w:rFonts w:cs="Arial"/>
              </w:rPr>
              <w:t>Indoor sport and recreation</w:t>
            </w:r>
          </w:p>
          <w:p w14:paraId="24DFB42E" w14:textId="77777777" w:rsidR="00BE36FB" w:rsidRPr="009B7B35" w:rsidRDefault="00BE36FB">
            <w:pPr>
              <w:pStyle w:val="TableText"/>
              <w:rPr>
                <w:rFonts w:cs="Arial"/>
              </w:rPr>
            </w:pPr>
            <w:r w:rsidRPr="009B7B35">
              <w:rPr>
                <w:rFonts w:cs="Arial"/>
              </w:rPr>
              <w:t>Market</w:t>
            </w:r>
          </w:p>
          <w:p w14:paraId="3510160A" w14:textId="77777777" w:rsidR="00BE36FB" w:rsidRPr="009B7B35" w:rsidRDefault="00BE36FB">
            <w:pPr>
              <w:pStyle w:val="TableText"/>
              <w:rPr>
                <w:rFonts w:cs="Arial"/>
              </w:rPr>
            </w:pPr>
            <w:r w:rsidRPr="009B7B35">
              <w:rPr>
                <w:rFonts w:cs="Arial"/>
              </w:rPr>
              <w:t>Office</w:t>
            </w:r>
          </w:p>
          <w:p w14:paraId="452A427E" w14:textId="77777777" w:rsidR="00BE36FB" w:rsidRPr="009B7B35" w:rsidRDefault="00BE36FB">
            <w:pPr>
              <w:pStyle w:val="TableText"/>
              <w:rPr>
                <w:rFonts w:cs="Arial"/>
              </w:rPr>
            </w:pPr>
            <w:r w:rsidRPr="009B7B35">
              <w:rPr>
                <w:rFonts w:cs="Arial"/>
              </w:rPr>
              <w:t>Service industry</w:t>
            </w:r>
          </w:p>
          <w:p w14:paraId="0145B2D8" w14:textId="77777777" w:rsidR="00BE36FB" w:rsidRPr="009B7B35" w:rsidRDefault="00BE36FB">
            <w:pPr>
              <w:pStyle w:val="TableText"/>
              <w:rPr>
                <w:rFonts w:cs="Arial"/>
              </w:rPr>
            </w:pPr>
            <w:r w:rsidRPr="009B7B35">
              <w:rPr>
                <w:rFonts w:cs="Arial"/>
              </w:rPr>
              <w:t>Shop</w:t>
            </w:r>
          </w:p>
          <w:p w14:paraId="69EABE7D" w14:textId="77777777" w:rsidR="00BE36FB" w:rsidRPr="009B7B35" w:rsidRDefault="00BE36FB">
            <w:pPr>
              <w:pStyle w:val="TableText"/>
              <w:rPr>
                <w:rFonts w:cs="Arial"/>
              </w:rPr>
            </w:pPr>
            <w:r w:rsidRPr="009B7B35">
              <w:rPr>
                <w:rFonts w:cs="Arial"/>
              </w:rPr>
              <w:t>Shopping centre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6D9AC030"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4EF3EDF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7CE86A6E" w14:textId="77777777"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7B480115" w14:textId="77777777" w:rsidR="00BE36FB" w:rsidRPr="009B7B35" w:rsidRDefault="00BE36FB" w:rsidP="001A7107">
            <w:pPr>
              <w:pStyle w:val="TableText"/>
              <w:rPr>
                <w:rFonts w:cs="Arial"/>
              </w:rPr>
            </w:pPr>
            <w:r w:rsidRPr="009B7B35">
              <w:rPr>
                <w:rFonts w:cs="Arial"/>
              </w:rPr>
              <w:t>If complying with the relevant accepted development acceptable outcome and involving the reuse of an existing building.</w:t>
            </w:r>
          </w:p>
        </w:tc>
        <w:tc>
          <w:tcPr>
            <w:cnfStyle w:val="000100000000" w:firstRow="0" w:lastRow="0" w:firstColumn="0" w:lastColumn="1" w:oddVBand="0" w:evenVBand="0" w:oddHBand="0" w:evenHBand="0" w:firstRowFirstColumn="0" w:firstRowLastColumn="0" w:lastRowFirstColumn="0" w:lastRowLastColumn="0"/>
            <w:tcW w:w="3477" w:type="dxa"/>
          </w:tcPr>
          <w:p w14:paraId="145E7E0A" w14:textId="77777777" w:rsidR="00BE36FB" w:rsidRPr="009B7B35" w:rsidRDefault="00BE36FB" w:rsidP="001A7107">
            <w:pPr>
              <w:pStyle w:val="TableText"/>
              <w:rPr>
                <w:rFonts w:cs="Arial"/>
                <w:color w:val="auto"/>
              </w:rPr>
            </w:pPr>
            <w:r w:rsidRPr="009B7B35">
              <w:rPr>
                <w:rFonts w:cs="Arial"/>
                <w:color w:val="auto"/>
              </w:rPr>
              <w:t>Zone code:</w:t>
            </w:r>
          </w:p>
          <w:p w14:paraId="0815FF68"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Neighbourhood centre zone code</w:t>
            </w:r>
          </w:p>
        </w:tc>
      </w:tr>
      <w:tr w:rsidR="00BE36FB" w:rsidRPr="009B7B35" w14:paraId="0FC59D8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7EFD8EAC" w14:textId="77777777" w:rsidR="00BE36FB" w:rsidRPr="009B7B35" w:rsidRDefault="00BE36FB">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60574A2E"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31991D6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2B3A1812" w14:textId="77777777"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6EBA28F4" w14:textId="77777777" w:rsidR="00BE36FB" w:rsidRPr="009B7B35" w:rsidRDefault="00BE36FB" w:rsidP="001A7107">
            <w:pPr>
              <w:pStyle w:val="TableText"/>
              <w:rPr>
                <w:rFonts w:cs="Arial"/>
              </w:rPr>
            </w:pPr>
            <w:r w:rsidRPr="009B7B35">
              <w:rPr>
                <w:rFonts w:cs="Arial"/>
              </w:rPr>
              <w:t>If not involving the reuse of an existing building.</w:t>
            </w:r>
          </w:p>
        </w:tc>
        <w:tc>
          <w:tcPr>
            <w:cnfStyle w:val="000100000000" w:firstRow="0" w:lastRow="0" w:firstColumn="0" w:lastColumn="1" w:oddVBand="0" w:evenVBand="0" w:oddHBand="0" w:evenHBand="0" w:firstRowFirstColumn="0" w:firstRowLastColumn="0" w:lastRowFirstColumn="0" w:lastRowLastColumn="0"/>
            <w:tcW w:w="3477" w:type="dxa"/>
          </w:tcPr>
          <w:p w14:paraId="76C1FE3E" w14:textId="77777777" w:rsidR="00BE36FB" w:rsidRPr="009B7B35" w:rsidRDefault="00BE36FB" w:rsidP="001A7107">
            <w:pPr>
              <w:pStyle w:val="TableText"/>
              <w:rPr>
                <w:rFonts w:cs="Arial"/>
                <w:color w:val="auto"/>
              </w:rPr>
            </w:pPr>
            <w:r w:rsidRPr="009B7B35">
              <w:rPr>
                <w:rFonts w:cs="Arial"/>
                <w:color w:val="auto"/>
              </w:rPr>
              <w:t>Zone code:</w:t>
            </w:r>
          </w:p>
          <w:p w14:paraId="0B43760E" w14:textId="77777777" w:rsidR="00BE36FB" w:rsidRPr="009B7B35" w:rsidRDefault="00BE36FB" w:rsidP="001A7107">
            <w:pPr>
              <w:pStyle w:val="TableText"/>
              <w:tabs>
                <w:tab w:val="left" w:pos="292"/>
              </w:tabs>
              <w:rPr>
                <w:rFonts w:cs="Arial"/>
                <w:color w:val="auto"/>
              </w:rPr>
            </w:pPr>
            <w:r w:rsidRPr="009B7B35">
              <w:rPr>
                <w:rFonts w:cs="Arial"/>
                <w:color w:val="auto"/>
              </w:rPr>
              <w:t>•</w:t>
            </w:r>
            <w:r w:rsidRPr="009B7B35">
              <w:rPr>
                <w:rFonts w:cs="Arial"/>
                <w:color w:val="auto"/>
              </w:rPr>
              <w:tab/>
              <w:t>Neighbourhood centre zone code</w:t>
            </w:r>
          </w:p>
          <w:p w14:paraId="3614AF5C" w14:textId="77777777" w:rsidR="00BE36FB" w:rsidRPr="009B7B35" w:rsidRDefault="00BE36FB" w:rsidP="001A7107">
            <w:pPr>
              <w:pStyle w:val="TableText"/>
              <w:rPr>
                <w:rFonts w:cs="Arial"/>
                <w:color w:val="auto"/>
              </w:rPr>
            </w:pPr>
            <w:r w:rsidRPr="009B7B35">
              <w:rPr>
                <w:rFonts w:cs="Arial"/>
                <w:color w:val="auto"/>
              </w:rPr>
              <w:t>Other development codes:</w:t>
            </w:r>
          </w:p>
          <w:p w14:paraId="52981FB5" w14:textId="77777777" w:rsidR="00BE36FB" w:rsidRPr="009B7B35" w:rsidRDefault="00BE36FB" w:rsidP="00BE36FB">
            <w:pPr>
              <w:pStyle w:val="ListBullet"/>
              <w:tabs>
                <w:tab w:val="clear" w:pos="284"/>
                <w:tab w:val="left" w:pos="292"/>
              </w:tabs>
              <w:ind w:left="360" w:hanging="360"/>
              <w:rPr>
                <w:rFonts w:cs="Arial"/>
                <w:color w:val="auto"/>
                <w:szCs w:val="20"/>
              </w:rPr>
            </w:pPr>
            <w:r w:rsidRPr="009B7B35">
              <w:rPr>
                <w:rFonts w:cs="Arial"/>
                <w:color w:val="auto"/>
                <w:szCs w:val="20"/>
              </w:rPr>
              <w:t>Development design code</w:t>
            </w:r>
          </w:p>
          <w:p w14:paraId="310540F1" w14:textId="77777777" w:rsidR="00BE36FB" w:rsidRPr="009B7B35" w:rsidRDefault="00BE36FB" w:rsidP="00BE36FB">
            <w:pPr>
              <w:pStyle w:val="ListBullet"/>
              <w:tabs>
                <w:tab w:val="clear" w:pos="284"/>
                <w:tab w:val="left" w:pos="292"/>
              </w:tabs>
              <w:ind w:left="360" w:hanging="360"/>
              <w:rPr>
                <w:rFonts w:cs="Arial"/>
                <w:color w:val="auto"/>
                <w:szCs w:val="20"/>
              </w:rPr>
            </w:pPr>
            <w:r w:rsidRPr="009B7B35">
              <w:rPr>
                <w:rFonts w:cs="Arial"/>
                <w:color w:val="auto"/>
                <w:szCs w:val="20"/>
              </w:rPr>
              <w:t>Landscaping code</w:t>
            </w:r>
          </w:p>
        </w:tc>
      </w:tr>
      <w:tr w:rsidR="00BE36FB" w:rsidRPr="009B7B35" w14:paraId="742F978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5A0955E0" w14:textId="77777777" w:rsidR="00BE36FB" w:rsidRPr="009B7B35" w:rsidRDefault="00BE36FB">
            <w:pPr>
              <w:pStyle w:val="TableText"/>
              <w:rPr>
                <w:rFonts w:cs="Arial"/>
              </w:rPr>
            </w:pPr>
            <w:r w:rsidRPr="009B7B35">
              <w:rPr>
                <w:rFonts w:cs="Arial"/>
              </w:rPr>
              <w:t>Car wash</w:t>
            </w:r>
          </w:p>
          <w:p w14:paraId="33305655" w14:textId="77777777" w:rsidR="00BE36FB" w:rsidRPr="009B7B35" w:rsidRDefault="00BE36FB">
            <w:pPr>
              <w:pStyle w:val="TableText"/>
              <w:rPr>
                <w:rFonts w:cs="Arial"/>
              </w:rPr>
            </w:pPr>
            <w:r w:rsidRPr="009B7B35">
              <w:rPr>
                <w:rFonts w:cs="Arial"/>
              </w:rPr>
              <w:t>Child care centre</w:t>
            </w:r>
          </w:p>
          <w:p w14:paraId="606CBA31" w14:textId="77777777" w:rsidR="00BE36FB" w:rsidRPr="009B7B35" w:rsidRDefault="00BE36FB">
            <w:pPr>
              <w:pStyle w:val="TableText"/>
              <w:rPr>
                <w:rFonts w:cs="Arial"/>
              </w:rPr>
            </w:pPr>
            <w:r w:rsidRPr="009B7B35">
              <w:rPr>
                <w:rFonts w:cs="Arial"/>
              </w:rPr>
              <w:t>Funeral parlour</w:t>
            </w:r>
          </w:p>
          <w:p w14:paraId="462FD64C" w14:textId="77777777" w:rsidR="00BE36FB" w:rsidRPr="009B7B35" w:rsidRDefault="00BE36FB">
            <w:pPr>
              <w:pStyle w:val="TableText"/>
              <w:rPr>
                <w:rFonts w:cs="Arial"/>
              </w:rPr>
            </w:pPr>
            <w:r w:rsidRPr="009B7B35">
              <w:rPr>
                <w:rFonts w:cs="Arial"/>
              </w:rPr>
              <w:t>Garden centre</w:t>
            </w:r>
          </w:p>
          <w:p w14:paraId="343CFC0D" w14:textId="77777777" w:rsidR="00BE36FB" w:rsidRPr="009B7B35" w:rsidRDefault="00BE36FB">
            <w:pPr>
              <w:pStyle w:val="TableText"/>
              <w:rPr>
                <w:rFonts w:cs="Arial"/>
              </w:rPr>
            </w:pPr>
            <w:r w:rsidRPr="009B7B35">
              <w:rPr>
                <w:rFonts w:cs="Arial"/>
              </w:rPr>
              <w:t>Hardware and trade supplies</w:t>
            </w:r>
          </w:p>
          <w:p w14:paraId="229E3B6B" w14:textId="77777777" w:rsidR="00BE36FB" w:rsidRPr="009B7B35" w:rsidRDefault="00BE36FB">
            <w:pPr>
              <w:pStyle w:val="TableText"/>
              <w:rPr>
                <w:rFonts w:cs="Arial"/>
              </w:rPr>
            </w:pPr>
            <w:r w:rsidRPr="009B7B35">
              <w:rPr>
                <w:rFonts w:cs="Arial"/>
              </w:rPr>
              <w:t>Place of worship</w:t>
            </w:r>
          </w:p>
          <w:p w14:paraId="2B5A304B" w14:textId="77777777" w:rsidR="00BE36FB" w:rsidRPr="009B7B35" w:rsidRDefault="00BE36FB">
            <w:pPr>
              <w:pStyle w:val="TableText"/>
              <w:rPr>
                <w:rFonts w:cs="Arial"/>
              </w:rPr>
            </w:pPr>
            <w:r w:rsidRPr="009B7B35">
              <w:rPr>
                <w:rFonts w:cs="Arial"/>
              </w:rPr>
              <w:t>Veterinary services</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3DFB7E78"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3990FEF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60D549B8" w14:textId="77777777"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717A07DC" w14:textId="77777777"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77" w:type="dxa"/>
          </w:tcPr>
          <w:p w14:paraId="718C71F7" w14:textId="77777777" w:rsidR="00BE36FB" w:rsidRPr="009B7B35" w:rsidRDefault="00BE36FB" w:rsidP="001A7107">
            <w:pPr>
              <w:pStyle w:val="TableText"/>
              <w:rPr>
                <w:rFonts w:cs="Arial"/>
                <w:color w:val="auto"/>
              </w:rPr>
            </w:pPr>
            <w:r w:rsidRPr="009B7B35">
              <w:rPr>
                <w:rFonts w:cs="Arial"/>
                <w:color w:val="auto"/>
              </w:rPr>
              <w:t>Zone code:</w:t>
            </w:r>
          </w:p>
          <w:p w14:paraId="33FCF210"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Neighbourhood centre zone code</w:t>
            </w:r>
          </w:p>
          <w:p w14:paraId="09DF27DB" w14:textId="77777777" w:rsidR="00BE36FB" w:rsidRPr="009B7B35" w:rsidRDefault="00BE36FB" w:rsidP="001A7107">
            <w:pPr>
              <w:pStyle w:val="TableText"/>
              <w:rPr>
                <w:rFonts w:cs="Arial"/>
                <w:color w:val="auto"/>
              </w:rPr>
            </w:pPr>
            <w:r w:rsidRPr="009B7B35">
              <w:rPr>
                <w:rFonts w:cs="Arial"/>
                <w:color w:val="auto"/>
              </w:rPr>
              <w:t>Other development codes:</w:t>
            </w:r>
          </w:p>
          <w:p w14:paraId="5108C07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57CB9E9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59E2534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0A93502F" w14:textId="77777777" w:rsidR="00BE36FB" w:rsidRPr="009B7B35" w:rsidRDefault="00BE36FB">
            <w:pPr>
              <w:pStyle w:val="TableText"/>
              <w:rPr>
                <w:rFonts w:cs="Arial"/>
              </w:rPr>
            </w:pPr>
            <w:r w:rsidRPr="009B7B35">
              <w:rPr>
                <w:rFonts w:cs="Arial"/>
              </w:rPr>
              <w:t>Caretakers accommodation</w:t>
            </w:r>
          </w:p>
          <w:p w14:paraId="5077E2DB" w14:textId="77777777" w:rsidR="00BE36FB" w:rsidRPr="009B7B35" w:rsidRDefault="00BE36FB">
            <w:pPr>
              <w:pStyle w:val="TableText"/>
              <w:rPr>
                <w:rFonts w:cs="Arial"/>
              </w:rPr>
            </w:pPr>
            <w:r w:rsidRPr="009B7B35">
              <w:rPr>
                <w:rFonts w:cs="Arial"/>
              </w:rPr>
              <w:t>Dwelling unit</w:t>
            </w:r>
          </w:p>
          <w:p w14:paraId="2246C5D9" w14:textId="77777777" w:rsidR="00BE36FB" w:rsidRPr="009B7B35" w:rsidRDefault="00BE36FB">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1020EAF4"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3FBE5C5C"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5AA2A7CF" w14:textId="77777777"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2D0C8D30" w14:textId="77777777" w:rsidR="00BE36FB" w:rsidRPr="009B7B35" w:rsidRDefault="00BE36FB" w:rsidP="001A7107">
            <w:pPr>
              <w:pStyle w:val="TableText"/>
              <w:rPr>
                <w:rFonts w:cs="Arial"/>
              </w:rPr>
            </w:pPr>
            <w:r w:rsidRPr="009B7B35">
              <w:rPr>
                <w:rFonts w:cs="Arial"/>
              </w:rPr>
              <w:t>If complying with the relevant accepted development acceptable outcomes.</w:t>
            </w:r>
          </w:p>
          <w:p w14:paraId="55912DDF"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77" w:type="dxa"/>
          </w:tcPr>
          <w:p w14:paraId="3D99B022" w14:textId="77777777" w:rsidR="00BE36FB" w:rsidRPr="009B7B35" w:rsidRDefault="00BE36FB" w:rsidP="001A7107">
            <w:pPr>
              <w:pStyle w:val="TableText"/>
              <w:rPr>
                <w:rFonts w:cs="Arial"/>
                <w:color w:val="auto"/>
              </w:rPr>
            </w:pPr>
            <w:r w:rsidRPr="009B7B35">
              <w:rPr>
                <w:rFonts w:cs="Arial"/>
                <w:color w:val="auto"/>
              </w:rPr>
              <w:t>Zone code:</w:t>
            </w:r>
          </w:p>
          <w:p w14:paraId="4C06E650"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Neighbourhood centre zone code</w:t>
            </w:r>
          </w:p>
        </w:tc>
      </w:tr>
      <w:tr w:rsidR="00BE36FB" w:rsidRPr="009B7B35" w14:paraId="31313787"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04EA1256" w14:textId="77777777" w:rsidR="00BE36FB" w:rsidRPr="009B7B35" w:rsidRDefault="00BE36FB">
            <w:pPr>
              <w:pStyle w:val="TableText"/>
              <w:rPr>
                <w:rFonts w:cs="Arial"/>
              </w:rPr>
            </w:pPr>
            <w:r w:rsidRPr="009B7B35">
              <w:rPr>
                <w:rFonts w:cs="Arial"/>
              </w:rPr>
              <w:t>Emergency services</w:t>
            </w:r>
          </w:p>
          <w:p w14:paraId="22CE29B6" w14:textId="77777777" w:rsidR="00BE36FB" w:rsidRPr="009B7B35" w:rsidRDefault="00BE36FB">
            <w:pPr>
              <w:pStyle w:val="TableText"/>
              <w:rPr>
                <w:rFonts w:cs="Arial"/>
              </w:rPr>
            </w:pPr>
            <w:r w:rsidRPr="009B7B35">
              <w:rPr>
                <w:rFonts w:cs="Arial"/>
              </w:rPr>
              <w:t>Substation</w:t>
            </w:r>
          </w:p>
          <w:p w14:paraId="5A22F4FF" w14:textId="77777777" w:rsidR="00BE36FB" w:rsidRPr="009B7B35" w:rsidRDefault="00BE36FB">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0A1DB83A"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49216792"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482C0132"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5B36BC1F"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5DDBCCBF"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p w14:paraId="544AB345"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77" w:type="dxa"/>
          </w:tcPr>
          <w:p w14:paraId="50CC4FE2"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3B99812F"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218F170B"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0973D405"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077BE01D"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0AFDB8DA"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42A92F54"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6F8982D4"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7" w:type="dxa"/>
          </w:tcPr>
          <w:p w14:paraId="096CECA4" w14:textId="77777777" w:rsidR="00BE36FB" w:rsidRPr="009B7B35" w:rsidRDefault="00BE36FB" w:rsidP="001A7107">
            <w:pPr>
              <w:pStyle w:val="TableText"/>
              <w:rPr>
                <w:rFonts w:cs="Arial"/>
                <w:color w:val="auto"/>
              </w:rPr>
            </w:pPr>
            <w:r w:rsidRPr="009B7B35">
              <w:rPr>
                <w:rFonts w:cs="Arial"/>
                <w:color w:val="auto"/>
              </w:rPr>
              <w:t>Zone code:</w:t>
            </w:r>
          </w:p>
          <w:p w14:paraId="32BEF92A"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Neighbourhood centre zone code</w:t>
            </w:r>
          </w:p>
          <w:p w14:paraId="636992D4" w14:textId="77777777" w:rsidR="00BE36FB" w:rsidRPr="009B7B35" w:rsidRDefault="00BE36FB" w:rsidP="001A7107">
            <w:pPr>
              <w:pStyle w:val="TableText"/>
              <w:rPr>
                <w:rFonts w:cs="Arial"/>
                <w:color w:val="auto"/>
              </w:rPr>
            </w:pPr>
            <w:r w:rsidRPr="009B7B35">
              <w:rPr>
                <w:rFonts w:cs="Arial"/>
                <w:color w:val="auto"/>
              </w:rPr>
              <w:t>Other development codes:</w:t>
            </w:r>
          </w:p>
          <w:p w14:paraId="6432AF4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34B9E2CA"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3651626C" w14:textId="77777777" w:rsidR="00BE36FB" w:rsidRPr="009B7B35" w:rsidRDefault="00BE36FB" w:rsidP="001A7107">
            <w:pPr>
              <w:pStyle w:val="TableText"/>
              <w:rPr>
                <w:rFonts w:cs="Arial"/>
              </w:rPr>
            </w:pPr>
            <w:r w:rsidRPr="009B7B35">
              <w:rPr>
                <w:rFonts w:cs="Arial"/>
              </w:rPr>
              <w:t>Landing*</w:t>
            </w:r>
          </w:p>
          <w:p w14:paraId="6B399150" w14:textId="77777777" w:rsidR="00BE36FB" w:rsidRPr="009B7B35" w:rsidRDefault="00BE36FB" w:rsidP="001A7107">
            <w:pPr>
              <w:pStyle w:val="TableText"/>
              <w:rPr>
                <w:rFonts w:cs="Arial"/>
              </w:rPr>
            </w:pPr>
            <w:r w:rsidRPr="009B7B35">
              <w:rPr>
                <w:rFonts w:cs="Arial"/>
              </w:rPr>
              <w:t>Park.</w:t>
            </w:r>
          </w:p>
          <w:p w14:paraId="1A88A03A"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067795C9"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4E609718"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5A3E1DA6"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1C0440F9"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7" w:type="dxa"/>
          </w:tcPr>
          <w:p w14:paraId="6A3D57DD"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432DB5F9"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6A915D71" w14:textId="77777777"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65BA9D34"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Del="001B1836" w14:paraId="0D2110B2"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4BAAE261"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75BB83AB" w14:textId="77777777" w:rsidR="00BE36FB" w:rsidRPr="009B7B35" w:rsidDel="001B1836"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14:paraId="35B72E8F" w14:textId="77777777" w:rsidR="00BE36FB" w:rsidRPr="009B7B35" w:rsidRDefault="00BE36FB" w:rsidP="001A7107">
            <w:pPr>
              <w:pStyle w:val="TableText"/>
              <w:rPr>
                <w:rFonts w:cs="Arial"/>
                <w:color w:val="auto"/>
              </w:rPr>
            </w:pPr>
            <w:r w:rsidRPr="009B7B35">
              <w:rPr>
                <w:rFonts w:cs="Arial"/>
                <w:color w:val="auto"/>
              </w:rPr>
              <w:t>Zone code:</w:t>
            </w:r>
          </w:p>
          <w:p w14:paraId="4F81EC1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Neighbourhood centre zone code</w:t>
            </w:r>
          </w:p>
          <w:p w14:paraId="464B9E93" w14:textId="77777777" w:rsidR="00BE36FB" w:rsidRPr="009B7B35" w:rsidRDefault="00BE36FB" w:rsidP="001A7107">
            <w:pPr>
              <w:pStyle w:val="TableText"/>
              <w:rPr>
                <w:rFonts w:cs="Arial"/>
                <w:color w:val="auto"/>
              </w:rPr>
            </w:pPr>
            <w:r w:rsidRPr="009B7B35">
              <w:rPr>
                <w:rFonts w:cs="Arial"/>
                <w:color w:val="auto"/>
              </w:rPr>
              <w:t>Use code:</w:t>
            </w:r>
          </w:p>
          <w:p w14:paraId="5E0F5447" w14:textId="77777777" w:rsidR="00BE36FB" w:rsidRPr="009B7B35" w:rsidDel="001B1836"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14:paraId="7A1A9317"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488A3B87"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52C16371" w14:textId="77777777"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888" w:type="dxa"/>
            <w:gridSpan w:val="2"/>
          </w:tcPr>
          <w:p w14:paraId="6889CC85"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0977EB34"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5886D80C"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7" w:type="dxa"/>
          </w:tcPr>
          <w:p w14:paraId="481B1A01"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6010C00A" w14:textId="77777777" w:rsidR="00BE36FB" w:rsidRPr="009B7B35" w:rsidRDefault="00BE36FB" w:rsidP="001A7107">
      <w:pPr>
        <w:pStyle w:val="Heading5"/>
        <w:numPr>
          <w:ilvl w:val="0"/>
          <w:numId w:val="0"/>
        </w:numPr>
        <w:rPr>
          <w:rFonts w:cs="Arial"/>
          <w:szCs w:val="20"/>
        </w:rPr>
      </w:pPr>
      <w:r w:rsidRPr="009B7B35">
        <w:rPr>
          <w:rFonts w:cs="Arial"/>
          <w:szCs w:val="20"/>
        </w:rPr>
        <w:t>Table 5.5.10—Specialised centre zone</w:t>
      </w:r>
    </w:p>
    <w:tbl>
      <w:tblPr>
        <w:tblStyle w:val="Tablestyle"/>
        <w:tblW w:w="9365" w:type="dxa"/>
        <w:tblLook w:val="01E0" w:firstRow="1" w:lastRow="1" w:firstColumn="1" w:lastColumn="1" w:noHBand="0" w:noVBand="0"/>
      </w:tblPr>
      <w:tblGrid>
        <w:gridCol w:w="2411"/>
        <w:gridCol w:w="3477"/>
        <w:gridCol w:w="3477"/>
      </w:tblGrid>
      <w:tr w:rsidR="00BE36FB" w:rsidRPr="009B7B35" w14:paraId="26FA4273"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411" w:type="dxa"/>
          </w:tcPr>
          <w:p w14:paraId="7DA41F3D"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7" w:type="dxa"/>
          </w:tcPr>
          <w:p w14:paraId="1C4F5EAC"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7" w:type="dxa"/>
          </w:tcPr>
          <w:p w14:paraId="2BEFBB89"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45DFE151"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69D3FAC9" w14:textId="77777777" w:rsidR="00BE36FB" w:rsidRPr="009B7B35" w:rsidRDefault="00BE36FB" w:rsidP="001A7107">
            <w:pPr>
              <w:pStyle w:val="TableText"/>
              <w:rPr>
                <w:rFonts w:cs="Arial"/>
              </w:rPr>
            </w:pPr>
            <w:r w:rsidRPr="009B7B35">
              <w:rPr>
                <w:rFonts w:cs="Arial"/>
              </w:rPr>
              <w:t>Caretaker’s accommodation</w:t>
            </w:r>
          </w:p>
          <w:p w14:paraId="0448D607" w14:textId="77777777" w:rsidR="00BE36FB" w:rsidRPr="009B7B35" w:rsidRDefault="00BE36FB" w:rsidP="001A7107">
            <w:pPr>
              <w:pStyle w:val="TableText"/>
              <w:rPr>
                <w:rFonts w:cs="Arial"/>
              </w:rPr>
            </w:pPr>
            <w:r w:rsidRPr="009B7B35">
              <w:rPr>
                <w:rFonts w:cs="Arial"/>
              </w:rPr>
              <w:t>Dwelling unit</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79477852"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74563E78"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38D3C043"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2E838A08"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14:paraId="07531785" w14:textId="77777777" w:rsidR="00BE36FB" w:rsidRPr="009B7B35" w:rsidRDefault="00BE36FB" w:rsidP="001A7107">
            <w:pPr>
              <w:pStyle w:val="TableText"/>
              <w:rPr>
                <w:rFonts w:cs="Arial"/>
                <w:color w:val="auto"/>
              </w:rPr>
            </w:pPr>
            <w:r w:rsidRPr="009B7B35">
              <w:rPr>
                <w:rFonts w:cs="Arial"/>
                <w:color w:val="auto"/>
              </w:rPr>
              <w:t>Zone code:</w:t>
            </w:r>
          </w:p>
          <w:p w14:paraId="19BA0F27"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Specialised centre zone code</w:t>
            </w:r>
          </w:p>
          <w:p w14:paraId="11E409BC" w14:textId="77777777" w:rsidR="00BE36FB" w:rsidRPr="009B7B35" w:rsidRDefault="00BE36FB" w:rsidP="001A7107">
            <w:pPr>
              <w:pStyle w:val="ListBullet"/>
              <w:numPr>
                <w:ilvl w:val="0"/>
                <w:numId w:val="0"/>
              </w:numPr>
              <w:ind w:left="284"/>
              <w:rPr>
                <w:rFonts w:cs="Arial"/>
                <w:color w:val="auto"/>
                <w:szCs w:val="20"/>
              </w:rPr>
            </w:pPr>
          </w:p>
        </w:tc>
      </w:tr>
      <w:tr w:rsidR="00BE36FB" w:rsidRPr="009B7B35" w14:paraId="1D015D8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2BA7853F" w14:textId="77777777" w:rsidR="00BE36FB" w:rsidRPr="009B7B35" w:rsidRDefault="00BE36FB" w:rsidP="001A7107">
            <w:pPr>
              <w:pStyle w:val="TableText"/>
              <w:rPr>
                <w:rFonts w:cs="Arial"/>
              </w:rPr>
            </w:pPr>
            <w:r w:rsidRPr="009B7B35">
              <w:rPr>
                <w:rFonts w:cs="Arial"/>
              </w:rPr>
              <w:t>Emergency services</w:t>
            </w:r>
          </w:p>
          <w:p w14:paraId="54AF7AE8" w14:textId="77777777" w:rsidR="00BE36FB" w:rsidRPr="009B7B35" w:rsidRDefault="00BE36FB" w:rsidP="001A7107">
            <w:pPr>
              <w:pStyle w:val="TableText"/>
              <w:rPr>
                <w:rFonts w:cs="Arial"/>
              </w:rPr>
            </w:pPr>
            <w:r w:rsidRPr="009B7B35">
              <w:rPr>
                <w:rFonts w:cs="Arial"/>
              </w:rPr>
              <w:t>Substation</w:t>
            </w:r>
          </w:p>
          <w:p w14:paraId="6B0AF8E2"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1EFAF7CE"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1EFFBBD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586CABC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5C07A911"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2CEDE9F6"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7" w:type="dxa"/>
          </w:tcPr>
          <w:p w14:paraId="3E3554B7"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6449C81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53D6B66B"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6F211C5B"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2BA7ABB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7D8D1B80"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2964E9D9"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1F6BF67C"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7" w:type="dxa"/>
          </w:tcPr>
          <w:p w14:paraId="0BDBC5EC" w14:textId="77777777" w:rsidR="00BE36FB" w:rsidRPr="009B7B35" w:rsidRDefault="00BE36FB" w:rsidP="001A7107">
            <w:pPr>
              <w:pStyle w:val="TableText"/>
              <w:rPr>
                <w:rFonts w:cs="Arial"/>
                <w:color w:val="auto"/>
              </w:rPr>
            </w:pPr>
            <w:r w:rsidRPr="009B7B35">
              <w:rPr>
                <w:rFonts w:cs="Arial"/>
                <w:color w:val="auto"/>
              </w:rPr>
              <w:t>Zone code:</w:t>
            </w:r>
          </w:p>
          <w:p w14:paraId="09449E2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Specialised centre zone code</w:t>
            </w:r>
          </w:p>
          <w:p w14:paraId="28748A46" w14:textId="77777777" w:rsidR="00BE36FB" w:rsidRPr="009B7B35" w:rsidRDefault="00BE36FB" w:rsidP="001A7107">
            <w:pPr>
              <w:pStyle w:val="TableText"/>
              <w:rPr>
                <w:rFonts w:cs="Arial"/>
                <w:color w:val="auto"/>
              </w:rPr>
            </w:pPr>
            <w:r w:rsidRPr="009B7B35">
              <w:rPr>
                <w:rFonts w:cs="Arial"/>
                <w:color w:val="auto"/>
              </w:rPr>
              <w:t>Other development codes:</w:t>
            </w:r>
          </w:p>
          <w:p w14:paraId="19E9712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763FDF4D"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5A7308DB" w14:textId="77777777" w:rsidR="00BE36FB" w:rsidRPr="009B7B35" w:rsidRDefault="00BE36FB" w:rsidP="001A7107">
            <w:pPr>
              <w:pStyle w:val="TableText"/>
              <w:rPr>
                <w:rFonts w:cs="Arial"/>
              </w:rPr>
            </w:pPr>
            <w:r w:rsidRPr="009B7B35">
              <w:rPr>
                <w:rFonts w:cs="Arial"/>
              </w:rPr>
              <w:t>Landing*</w:t>
            </w:r>
          </w:p>
          <w:p w14:paraId="0A27AC0D" w14:textId="77777777" w:rsidR="00BE36FB" w:rsidRPr="009B7B35" w:rsidRDefault="00BE36FB" w:rsidP="001A7107">
            <w:pPr>
              <w:pStyle w:val="TableText"/>
              <w:rPr>
                <w:rFonts w:cs="Arial"/>
              </w:rPr>
            </w:pPr>
            <w:r w:rsidRPr="009B7B35">
              <w:rPr>
                <w:rFonts w:cs="Arial"/>
              </w:rPr>
              <w:t>Park</w:t>
            </w:r>
          </w:p>
          <w:p w14:paraId="2F00372E"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3651ABFD"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65D0FA9F" w14:textId="77777777" w:rsidTr="001A7107">
        <w:trPr>
          <w:cnfStyle w:val="000000010000" w:firstRow="0" w:lastRow="0" w:firstColumn="0" w:lastColumn="0" w:oddVBand="0" w:evenVBand="0" w:oddHBand="0" w:evenHBand="1" w:firstRowFirstColumn="0" w:firstRowLastColumn="0" w:lastRowFirstColumn="0" w:lastRowLastColumn="0"/>
          <w:cantSplit/>
          <w:trHeight w:val="36"/>
        </w:trPr>
        <w:tc>
          <w:tcPr>
            <w:cnfStyle w:val="001000000000" w:firstRow="0" w:lastRow="0" w:firstColumn="1" w:lastColumn="0" w:oddVBand="0" w:evenVBand="0" w:oddHBand="0" w:evenHBand="0" w:firstRowFirstColumn="0" w:firstRowLastColumn="0" w:lastRowFirstColumn="0" w:lastRowLastColumn="0"/>
            <w:tcW w:w="2411" w:type="dxa"/>
            <w:vMerge/>
          </w:tcPr>
          <w:p w14:paraId="0B667760"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74FE4EA7"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7" w:type="dxa"/>
          </w:tcPr>
          <w:p w14:paraId="5B1C4006"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6DEE9519"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1D2B9ACD" w14:textId="77777777"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2CDE79AC"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60EF1DB9"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74DAC336"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077FD473"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14:paraId="4E05ED8F" w14:textId="77777777" w:rsidR="00BE36FB" w:rsidRPr="009B7B35" w:rsidRDefault="00BE36FB" w:rsidP="001A7107">
            <w:pPr>
              <w:pStyle w:val="TableText"/>
              <w:rPr>
                <w:rFonts w:cs="Arial"/>
                <w:color w:val="auto"/>
              </w:rPr>
            </w:pPr>
            <w:r w:rsidRPr="009B7B35">
              <w:rPr>
                <w:rFonts w:cs="Arial"/>
                <w:color w:val="auto"/>
              </w:rPr>
              <w:t>Zone code:</w:t>
            </w:r>
          </w:p>
          <w:p w14:paraId="5477601D"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Specialised centre zone code</w:t>
            </w:r>
          </w:p>
          <w:p w14:paraId="02AF1839" w14:textId="77777777" w:rsidR="00BE36FB" w:rsidRPr="009B7B35" w:rsidRDefault="00BE36FB" w:rsidP="001A7107">
            <w:pPr>
              <w:pStyle w:val="TableText"/>
              <w:rPr>
                <w:rFonts w:cs="Arial"/>
                <w:color w:val="auto"/>
              </w:rPr>
            </w:pPr>
            <w:r w:rsidRPr="009B7B35">
              <w:rPr>
                <w:rFonts w:cs="Arial"/>
                <w:color w:val="auto"/>
              </w:rPr>
              <w:t>Use code:</w:t>
            </w:r>
          </w:p>
          <w:p w14:paraId="1240F476" w14:textId="77777777" w:rsidR="00BE36FB" w:rsidRPr="009B7B35" w:rsidRDefault="00BE36FB" w:rsidP="00BE36FB">
            <w:pPr>
              <w:pStyle w:val="ListParagraph"/>
              <w:numPr>
                <w:ilvl w:val="0"/>
                <w:numId w:val="107"/>
              </w:numPr>
              <w:ind w:left="292" w:hanging="283"/>
              <w:rPr>
                <w:rFonts w:cs="Arial"/>
                <w:color w:val="auto"/>
                <w:szCs w:val="20"/>
              </w:rPr>
            </w:pPr>
            <w:r w:rsidRPr="009B7B35">
              <w:rPr>
                <w:rFonts w:cs="Arial"/>
                <w:color w:val="auto"/>
                <w:szCs w:val="20"/>
              </w:rPr>
              <w:t>Telecommunications facility code</w:t>
            </w:r>
          </w:p>
        </w:tc>
      </w:tr>
      <w:tr w:rsidR="00BE36FB" w:rsidRPr="009B7B35" w14:paraId="461B0627"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tcPr>
          <w:p w14:paraId="50541E4B" w14:textId="77777777" w:rsidR="00BE36FB" w:rsidRPr="009B7B35" w:rsidRDefault="00BE36FB" w:rsidP="001A7107">
            <w:pPr>
              <w:pStyle w:val="Tableheading"/>
              <w:rPr>
                <w:rFonts w:ascii="Arial" w:hAnsi="Arial" w:cs="Arial"/>
                <w:szCs w:val="20"/>
              </w:rPr>
            </w:pPr>
            <w:r w:rsidRPr="009B7B35">
              <w:rPr>
                <w:rFonts w:ascii="Arial" w:hAnsi="Arial" w:cs="Arial"/>
                <w:szCs w:val="20"/>
              </w:rPr>
              <w:t>If located in the Clinton precinct</w:t>
            </w:r>
          </w:p>
        </w:tc>
      </w:tr>
      <w:tr w:rsidR="00BE36FB" w:rsidRPr="009B7B35" w14:paraId="5F6F28B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15C7D705" w14:textId="77777777" w:rsidR="00BE36FB" w:rsidRPr="009B7B35" w:rsidRDefault="00BE36FB" w:rsidP="001A7107">
            <w:pPr>
              <w:pStyle w:val="TableText"/>
              <w:rPr>
                <w:rFonts w:cs="Arial"/>
              </w:rPr>
            </w:pPr>
            <w:r w:rsidRPr="009B7B35">
              <w:rPr>
                <w:rFonts w:cs="Arial"/>
              </w:rPr>
              <w:t>Agricultural supplies store</w:t>
            </w:r>
          </w:p>
          <w:p w14:paraId="2E908DEB" w14:textId="77777777" w:rsidR="00BE36FB" w:rsidRPr="009B7B35" w:rsidRDefault="00BE36FB" w:rsidP="001A7107">
            <w:pPr>
              <w:pStyle w:val="TableText"/>
              <w:rPr>
                <w:rFonts w:cs="Arial"/>
              </w:rPr>
            </w:pPr>
            <w:r w:rsidRPr="009B7B35">
              <w:rPr>
                <w:rFonts w:cs="Arial"/>
              </w:rPr>
              <w:t>Garden centre</w:t>
            </w:r>
          </w:p>
          <w:p w14:paraId="7AA14590" w14:textId="77777777" w:rsidR="00BE36FB" w:rsidRPr="009B7B35" w:rsidRDefault="00BE36FB" w:rsidP="001A7107">
            <w:pPr>
              <w:pStyle w:val="TableText"/>
              <w:rPr>
                <w:rFonts w:cs="Arial"/>
              </w:rPr>
            </w:pPr>
            <w:r w:rsidRPr="009B7B35">
              <w:rPr>
                <w:rFonts w:cs="Arial"/>
              </w:rPr>
              <w:t>Hardware and trade supplies</w:t>
            </w:r>
          </w:p>
          <w:p w14:paraId="17F6934F" w14:textId="77777777" w:rsidR="00BE36FB" w:rsidRPr="009B7B35" w:rsidRDefault="00BE36FB" w:rsidP="001A7107">
            <w:pPr>
              <w:pStyle w:val="TableText"/>
              <w:rPr>
                <w:rFonts w:cs="Arial"/>
              </w:rPr>
            </w:pPr>
            <w:r w:rsidRPr="009B7B35">
              <w:rPr>
                <w:rFonts w:cs="Arial"/>
              </w:rPr>
              <w:t>Showroom</w:t>
            </w:r>
          </w:p>
          <w:p w14:paraId="697E0A0D" w14:textId="77777777" w:rsidR="00BE36FB" w:rsidRPr="009B7B35" w:rsidRDefault="00BE36FB" w:rsidP="001A7107">
            <w:pPr>
              <w:pStyle w:val="TableText"/>
              <w:rPr>
                <w:rFonts w:cs="Arial"/>
              </w:rPr>
            </w:pPr>
            <w:r w:rsidRPr="009B7B35">
              <w:rPr>
                <w:rFonts w:cs="Arial"/>
              </w:rPr>
              <w:t>Outdoor sales</w:t>
            </w:r>
          </w:p>
          <w:p w14:paraId="23547216" w14:textId="77777777" w:rsidR="00BE36FB" w:rsidRPr="009B7B35" w:rsidRDefault="00BE36FB" w:rsidP="001A7107">
            <w:pPr>
              <w:pStyle w:val="TableText"/>
              <w:rPr>
                <w:rFonts w:cs="Arial"/>
              </w:rPr>
            </w:pPr>
            <w:r w:rsidRPr="009B7B35">
              <w:rPr>
                <w:rFonts w:cs="Arial"/>
              </w:rPr>
              <w:t>Market</w:t>
            </w:r>
          </w:p>
          <w:p w14:paraId="79A975E7" w14:textId="77777777" w:rsidR="00BE36FB" w:rsidRPr="009B7B35" w:rsidRDefault="00BE36FB" w:rsidP="001A7107">
            <w:pPr>
              <w:rPr>
                <w:rFonts w:cs="Arial"/>
                <w:sz w:val="20"/>
                <w:szCs w:val="20"/>
              </w:rPr>
            </w:pPr>
          </w:p>
          <w:p w14:paraId="751D1CCB" w14:textId="77777777" w:rsidR="00BE36FB" w:rsidRPr="009B7B35" w:rsidRDefault="00BE36FB" w:rsidP="001A7107">
            <w:pPr>
              <w:rPr>
                <w:rFonts w:cs="Arial"/>
                <w:sz w:val="20"/>
                <w:szCs w:val="20"/>
              </w:rPr>
            </w:pPr>
          </w:p>
          <w:p w14:paraId="78E69DF1" w14:textId="77777777" w:rsidR="00BE36FB" w:rsidRPr="009B7B35" w:rsidRDefault="00BE36FB" w:rsidP="001A7107">
            <w:pPr>
              <w:rPr>
                <w:rFonts w:cs="Arial"/>
                <w:sz w:val="20"/>
                <w:szCs w:val="20"/>
              </w:rPr>
            </w:pPr>
          </w:p>
          <w:p w14:paraId="42460CAE" w14:textId="77777777" w:rsidR="00BE36FB" w:rsidRPr="009B7B35" w:rsidRDefault="00BE36FB" w:rsidP="001A7107">
            <w:pPr>
              <w:rPr>
                <w:rFonts w:cs="Arial"/>
                <w:sz w:val="20"/>
                <w:szCs w:val="20"/>
              </w:rPr>
            </w:pPr>
          </w:p>
          <w:p w14:paraId="146138DE" w14:textId="77777777" w:rsidR="00BE36FB" w:rsidRPr="009B7B35" w:rsidRDefault="00BE36FB" w:rsidP="001A7107">
            <w:pPr>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70CF6554"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w:t>
            </w:r>
          </w:p>
        </w:tc>
      </w:tr>
      <w:tr w:rsidR="00BE36FB" w:rsidRPr="009B7B35" w14:paraId="076BCBEC" w14:textId="77777777" w:rsidTr="001A7107">
        <w:trPr>
          <w:cnfStyle w:val="000000100000" w:firstRow="0" w:lastRow="0" w:firstColumn="0" w:lastColumn="0" w:oddVBand="0" w:evenVBand="0" w:oddHBand="1" w:evenHBand="0" w:firstRowFirstColumn="0" w:firstRowLastColumn="0" w:lastRowFirstColumn="0" w:lastRowLastColumn="0"/>
          <w:trHeight w:val="657"/>
        </w:trPr>
        <w:tc>
          <w:tcPr>
            <w:cnfStyle w:val="001000000000" w:firstRow="0" w:lastRow="0" w:firstColumn="1" w:lastColumn="0" w:oddVBand="0" w:evenVBand="0" w:oddHBand="0" w:evenHBand="0" w:firstRowFirstColumn="0" w:firstRowLastColumn="0" w:lastRowFirstColumn="0" w:lastRowLastColumn="0"/>
            <w:tcW w:w="2411" w:type="dxa"/>
            <w:vMerge/>
          </w:tcPr>
          <w:p w14:paraId="46792522"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3092557B" w14:textId="77777777" w:rsidR="00BE36FB" w:rsidRPr="009B7B35" w:rsidRDefault="00BE36FB" w:rsidP="001A7107">
            <w:pPr>
              <w:pStyle w:val="TableText"/>
              <w:rPr>
                <w:rFonts w:cs="Arial"/>
              </w:rPr>
            </w:pPr>
            <w:r w:rsidRPr="009B7B35">
              <w:rPr>
                <w:rFonts w:cs="Arial"/>
              </w:rPr>
              <w:t>If involving the reuse of an existing building.</w:t>
            </w:r>
          </w:p>
          <w:p w14:paraId="78E61823" w14:textId="77777777" w:rsidR="00BE36FB" w:rsidRPr="009B7B35" w:rsidRDefault="00BE36FB" w:rsidP="001A7107">
            <w:pPr>
              <w:pStyle w:val="TableText"/>
              <w:rPr>
                <w:rFonts w:cs="Arial"/>
              </w:rPr>
            </w:pPr>
          </w:p>
          <w:p w14:paraId="2E38E95B"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77" w:type="dxa"/>
          </w:tcPr>
          <w:p w14:paraId="585D1E9A"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591B813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4D7AC545"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79EECC2B"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17A1C78E" w14:textId="77777777" w:rsidTr="001A7107">
        <w:trPr>
          <w:cnfStyle w:val="000000100000" w:firstRow="0" w:lastRow="0" w:firstColumn="0" w:lastColumn="0" w:oddVBand="0" w:evenVBand="0" w:oddHBand="1" w:evenHBand="0" w:firstRowFirstColumn="0" w:firstRowLastColumn="0" w:lastRowFirstColumn="0" w:lastRowLastColumn="0"/>
          <w:trHeight w:val="1681"/>
        </w:trPr>
        <w:tc>
          <w:tcPr>
            <w:cnfStyle w:val="001000000000" w:firstRow="0" w:lastRow="0" w:firstColumn="1" w:lastColumn="0" w:oddVBand="0" w:evenVBand="0" w:oddHBand="0" w:evenHBand="0" w:firstRowFirstColumn="0" w:firstRowLastColumn="0" w:lastRowFirstColumn="0" w:lastRowLastColumn="0"/>
            <w:tcW w:w="2411" w:type="dxa"/>
            <w:vMerge/>
          </w:tcPr>
          <w:p w14:paraId="0F39BF21"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356610C8" w14:textId="77777777" w:rsidR="00BE36FB" w:rsidRPr="009B7B35" w:rsidRDefault="00BE36FB" w:rsidP="001A7107">
            <w:pPr>
              <w:pStyle w:val="TableText"/>
              <w:rPr>
                <w:rFonts w:cs="Arial"/>
              </w:rPr>
            </w:pPr>
            <w:r w:rsidRPr="009B7B35">
              <w:rPr>
                <w:rFonts w:cs="Arial"/>
              </w:rPr>
              <w:t>If not involving the reuse of an existing building.</w:t>
            </w:r>
          </w:p>
          <w:p w14:paraId="279EA08D" w14:textId="77777777" w:rsidR="00BE36FB" w:rsidRPr="009B7B35" w:rsidRDefault="00BE36FB" w:rsidP="001A7107">
            <w:pPr>
              <w:rPr>
                <w:rFonts w:cs="Arial"/>
                <w:sz w:val="20"/>
                <w:szCs w:val="20"/>
              </w:rPr>
            </w:pPr>
          </w:p>
          <w:p w14:paraId="0B81F72D" w14:textId="77777777" w:rsidR="00BE36FB" w:rsidRPr="009B7B35" w:rsidRDefault="00BE36FB" w:rsidP="001A7107">
            <w:pPr>
              <w:rPr>
                <w:rFonts w:cs="Arial"/>
                <w:sz w:val="20"/>
                <w:szCs w:val="20"/>
              </w:rPr>
            </w:pPr>
          </w:p>
          <w:p w14:paraId="13F4246F" w14:textId="77777777" w:rsidR="00BE36FB" w:rsidRPr="009B7B35" w:rsidRDefault="00BE36FB" w:rsidP="001A7107">
            <w:pPr>
              <w:jc w:val="center"/>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3477" w:type="dxa"/>
          </w:tcPr>
          <w:p w14:paraId="18267AD0" w14:textId="77777777" w:rsidR="00BE36FB" w:rsidRPr="009B7B35" w:rsidRDefault="00BE36FB" w:rsidP="001A7107">
            <w:pPr>
              <w:pStyle w:val="TableText"/>
              <w:rPr>
                <w:rFonts w:cs="Arial"/>
                <w:color w:val="auto"/>
              </w:rPr>
            </w:pPr>
            <w:r w:rsidRPr="009B7B35">
              <w:rPr>
                <w:rFonts w:cs="Arial"/>
                <w:color w:val="auto"/>
              </w:rPr>
              <w:t>Zone code:</w:t>
            </w:r>
          </w:p>
          <w:p w14:paraId="174231CA"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Specialised centre zone code</w:t>
            </w:r>
          </w:p>
          <w:p w14:paraId="617CDD02" w14:textId="77777777" w:rsidR="00BE36FB" w:rsidRPr="009B7B35" w:rsidRDefault="00BE36FB" w:rsidP="001A7107">
            <w:pPr>
              <w:pStyle w:val="TableText"/>
              <w:rPr>
                <w:rFonts w:cs="Arial"/>
                <w:color w:val="auto"/>
              </w:rPr>
            </w:pPr>
            <w:r w:rsidRPr="009B7B35">
              <w:rPr>
                <w:rFonts w:cs="Arial"/>
                <w:color w:val="auto"/>
              </w:rPr>
              <w:t>Other development codes:</w:t>
            </w:r>
          </w:p>
          <w:p w14:paraId="0E3792A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050122D4"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1E2705D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34715054" w14:textId="77777777" w:rsidR="00BE36FB" w:rsidRPr="009B7B35" w:rsidRDefault="00BE36FB" w:rsidP="001A7107">
            <w:pPr>
              <w:pStyle w:val="TableText"/>
              <w:rPr>
                <w:rFonts w:cs="Arial"/>
              </w:rPr>
            </w:pPr>
            <w:r w:rsidRPr="009B7B35">
              <w:rPr>
                <w:rFonts w:cs="Arial"/>
              </w:rPr>
              <w:t>Food and drink outlet</w:t>
            </w:r>
          </w:p>
          <w:p w14:paraId="7A2373C3" w14:textId="77777777" w:rsidR="00BE36FB" w:rsidRPr="009B7B35" w:rsidRDefault="00BE36FB" w:rsidP="001A7107">
            <w:pPr>
              <w:pStyle w:val="TableText"/>
              <w:rPr>
                <w:rFonts w:cs="Arial"/>
              </w:rPr>
            </w:pPr>
            <w:r w:rsidRPr="009B7B35">
              <w:rPr>
                <w:rFonts w:cs="Arial"/>
              </w:rPr>
              <w:t>Shop</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3D1D0A75"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5080F814"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5A17F30E"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63D433C7" w14:textId="77777777" w:rsidR="00BE36FB" w:rsidRPr="009B7B35" w:rsidRDefault="00BE36FB" w:rsidP="001A7107">
            <w:pPr>
              <w:pStyle w:val="TableText"/>
              <w:rPr>
                <w:rFonts w:cs="Arial"/>
              </w:rPr>
            </w:pPr>
            <w:r w:rsidRPr="009B7B35">
              <w:rPr>
                <w:rFonts w:cs="Arial"/>
              </w:rPr>
              <w:t xml:space="preserve">If complying with the relevant accepted development acceptable outcomes and involving the reuse of an existing building. </w:t>
            </w:r>
          </w:p>
          <w:p w14:paraId="5ED3555F" w14:textId="77777777" w:rsidR="00BE36FB" w:rsidRPr="009B7B35" w:rsidRDefault="00BE36FB" w:rsidP="001A7107">
            <w:pPr>
              <w:pStyle w:val="TableText"/>
              <w:rPr>
                <w:rFonts w:cs="Arial"/>
              </w:rPr>
            </w:pPr>
            <w:r w:rsidRPr="009B7B35">
              <w:rPr>
                <w:rFonts w:cs="Arial"/>
              </w:rPr>
              <w:t>If shop, when not a supermarket.</w:t>
            </w:r>
          </w:p>
        </w:tc>
        <w:tc>
          <w:tcPr>
            <w:cnfStyle w:val="000100000000" w:firstRow="0" w:lastRow="0" w:firstColumn="0" w:lastColumn="1" w:oddVBand="0" w:evenVBand="0" w:oddHBand="0" w:evenHBand="0" w:firstRowFirstColumn="0" w:firstRowLastColumn="0" w:lastRowFirstColumn="0" w:lastRowLastColumn="0"/>
            <w:tcW w:w="3477" w:type="dxa"/>
          </w:tcPr>
          <w:p w14:paraId="6C7F15EB" w14:textId="77777777" w:rsidR="00BE36FB" w:rsidRPr="009B7B35" w:rsidRDefault="00BE36FB" w:rsidP="001A7107">
            <w:pPr>
              <w:pStyle w:val="TableText"/>
              <w:rPr>
                <w:rFonts w:cs="Arial"/>
                <w:color w:val="auto"/>
              </w:rPr>
            </w:pPr>
            <w:r w:rsidRPr="009B7B35">
              <w:rPr>
                <w:rFonts w:cs="Arial"/>
                <w:color w:val="auto"/>
              </w:rPr>
              <w:t>Zone code:</w:t>
            </w:r>
          </w:p>
          <w:p w14:paraId="6278D49A"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Specialised centre zone code</w:t>
            </w:r>
          </w:p>
        </w:tc>
      </w:tr>
      <w:tr w:rsidR="00BE36FB" w:rsidRPr="009B7B35" w14:paraId="6F4C4DA1"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7EB9F2D3"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3EA58782"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6AA4FF98"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5D4B1DA9"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25BDC61F" w14:textId="77777777" w:rsidR="00BE36FB" w:rsidRPr="009B7B35" w:rsidRDefault="00BE36FB" w:rsidP="001A7107">
            <w:pPr>
              <w:pStyle w:val="TableText"/>
              <w:rPr>
                <w:rFonts w:cs="Arial"/>
              </w:rPr>
            </w:pPr>
            <w:r w:rsidRPr="009B7B35">
              <w:rPr>
                <w:rFonts w:cs="Arial"/>
              </w:rPr>
              <w:t xml:space="preserve">Where not involving the reuse of an existing building. </w:t>
            </w:r>
          </w:p>
          <w:p w14:paraId="7C66520C" w14:textId="77777777" w:rsidR="00BE36FB" w:rsidRPr="009B7B35" w:rsidRDefault="00BE36FB" w:rsidP="001A7107">
            <w:pPr>
              <w:pStyle w:val="TableText"/>
              <w:rPr>
                <w:rFonts w:cs="Arial"/>
              </w:rPr>
            </w:pPr>
            <w:r w:rsidRPr="009B7B35">
              <w:rPr>
                <w:rFonts w:cs="Arial"/>
              </w:rPr>
              <w:t>If shop, when not a supermarket.</w:t>
            </w:r>
          </w:p>
        </w:tc>
        <w:tc>
          <w:tcPr>
            <w:cnfStyle w:val="000100000000" w:firstRow="0" w:lastRow="0" w:firstColumn="0" w:lastColumn="1" w:oddVBand="0" w:evenVBand="0" w:oddHBand="0" w:evenHBand="0" w:firstRowFirstColumn="0" w:firstRowLastColumn="0" w:lastRowFirstColumn="0" w:lastRowLastColumn="0"/>
            <w:tcW w:w="3477" w:type="dxa"/>
          </w:tcPr>
          <w:p w14:paraId="7C669ECD" w14:textId="77777777" w:rsidR="00BE36FB" w:rsidRPr="009B7B35" w:rsidRDefault="00BE36FB" w:rsidP="001A7107">
            <w:pPr>
              <w:pStyle w:val="TableText"/>
              <w:rPr>
                <w:rFonts w:cs="Arial"/>
                <w:color w:val="auto"/>
              </w:rPr>
            </w:pPr>
            <w:r w:rsidRPr="009B7B35">
              <w:rPr>
                <w:rFonts w:cs="Arial"/>
                <w:color w:val="auto"/>
              </w:rPr>
              <w:t>Zone code:</w:t>
            </w:r>
          </w:p>
          <w:p w14:paraId="07E715D6" w14:textId="77777777" w:rsidR="00BE36FB" w:rsidRPr="009B7B35" w:rsidRDefault="00BE36FB" w:rsidP="001A7107">
            <w:pPr>
              <w:pStyle w:val="TableText"/>
              <w:tabs>
                <w:tab w:val="left" w:pos="292"/>
              </w:tabs>
              <w:rPr>
                <w:rFonts w:cs="Arial"/>
                <w:color w:val="auto"/>
              </w:rPr>
            </w:pPr>
            <w:r w:rsidRPr="009B7B35">
              <w:rPr>
                <w:rFonts w:cs="Arial"/>
                <w:color w:val="auto"/>
              </w:rPr>
              <w:t>•</w:t>
            </w:r>
            <w:r w:rsidRPr="009B7B35">
              <w:rPr>
                <w:rFonts w:cs="Arial"/>
                <w:color w:val="auto"/>
              </w:rPr>
              <w:tab/>
              <w:t>Specialised centre zone code</w:t>
            </w:r>
          </w:p>
          <w:p w14:paraId="473D73DB" w14:textId="77777777" w:rsidR="00BE36FB" w:rsidRPr="009B7B35" w:rsidRDefault="00BE36FB" w:rsidP="001A7107">
            <w:pPr>
              <w:pStyle w:val="TableText"/>
              <w:rPr>
                <w:rFonts w:cs="Arial"/>
                <w:color w:val="auto"/>
              </w:rPr>
            </w:pPr>
            <w:r w:rsidRPr="009B7B35">
              <w:rPr>
                <w:rFonts w:cs="Arial"/>
                <w:color w:val="auto"/>
              </w:rPr>
              <w:t>Other development codes:</w:t>
            </w:r>
          </w:p>
          <w:p w14:paraId="1B926C7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5B586EF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130847D3"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tcPr>
          <w:p w14:paraId="56EE6793" w14:textId="77777777" w:rsidR="00BE36FB" w:rsidRPr="009B7B35" w:rsidRDefault="00BE36FB" w:rsidP="001A7107">
            <w:pPr>
              <w:pStyle w:val="Tableheading"/>
              <w:rPr>
                <w:rFonts w:ascii="Arial" w:hAnsi="Arial" w:cs="Arial"/>
                <w:szCs w:val="20"/>
              </w:rPr>
            </w:pPr>
            <w:r w:rsidRPr="009B7B35">
              <w:rPr>
                <w:rFonts w:ascii="Arial" w:hAnsi="Arial" w:cs="Arial"/>
                <w:szCs w:val="20"/>
              </w:rPr>
              <w:t>If located in the Central Gladstone precinct or Toolooa Street east precinct</w:t>
            </w:r>
          </w:p>
        </w:tc>
      </w:tr>
      <w:tr w:rsidR="00BE36FB" w:rsidRPr="009B7B35" w14:paraId="6954534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3FB81FD3" w14:textId="77777777" w:rsidR="00BE36FB" w:rsidRPr="009B7B35" w:rsidRDefault="00BE36FB" w:rsidP="001A7107">
            <w:pPr>
              <w:pStyle w:val="TableText"/>
              <w:rPr>
                <w:rFonts w:cs="Arial"/>
              </w:rPr>
            </w:pPr>
            <w:r w:rsidRPr="009B7B35">
              <w:rPr>
                <w:rFonts w:cs="Arial"/>
              </w:rPr>
              <w:t xml:space="preserve">Adult store </w:t>
            </w:r>
          </w:p>
          <w:p w14:paraId="15A9C802" w14:textId="77777777" w:rsidR="00BE36FB" w:rsidRPr="009B7B35" w:rsidRDefault="00BE36FB" w:rsidP="001A7107">
            <w:pPr>
              <w:pStyle w:val="TableText"/>
              <w:rPr>
                <w:rFonts w:cs="Arial"/>
              </w:rPr>
            </w:pPr>
            <w:r w:rsidRPr="009B7B35">
              <w:rPr>
                <w:rFonts w:cs="Arial"/>
              </w:rPr>
              <w:t>Agricultural supplies store</w:t>
            </w:r>
          </w:p>
          <w:p w14:paraId="2D6AACD9" w14:textId="77777777" w:rsidR="00BE36FB" w:rsidRPr="009B7B35" w:rsidRDefault="00BE36FB" w:rsidP="001A7107">
            <w:pPr>
              <w:pStyle w:val="TableText"/>
              <w:rPr>
                <w:rFonts w:cs="Arial"/>
              </w:rPr>
            </w:pPr>
            <w:r w:rsidRPr="009B7B35">
              <w:rPr>
                <w:rFonts w:cs="Arial"/>
              </w:rPr>
              <w:t>Car wash</w:t>
            </w:r>
          </w:p>
          <w:p w14:paraId="7075DC8B" w14:textId="77777777" w:rsidR="00BE36FB" w:rsidRPr="009B7B35" w:rsidRDefault="00BE36FB" w:rsidP="001A7107">
            <w:pPr>
              <w:pStyle w:val="TableText"/>
              <w:rPr>
                <w:rFonts w:cs="Arial"/>
              </w:rPr>
            </w:pPr>
            <w:r w:rsidRPr="009B7B35">
              <w:rPr>
                <w:rFonts w:cs="Arial"/>
              </w:rPr>
              <w:t>Community care centre</w:t>
            </w:r>
          </w:p>
          <w:p w14:paraId="749AA6EC" w14:textId="77777777" w:rsidR="00BE36FB" w:rsidRPr="009B7B35" w:rsidRDefault="00BE36FB" w:rsidP="001A7107">
            <w:pPr>
              <w:pStyle w:val="TableText"/>
              <w:rPr>
                <w:rFonts w:cs="Arial"/>
              </w:rPr>
            </w:pPr>
            <w:r w:rsidRPr="009B7B35">
              <w:rPr>
                <w:rFonts w:cs="Arial"/>
              </w:rPr>
              <w:t>Community use</w:t>
            </w:r>
          </w:p>
          <w:p w14:paraId="6C029143" w14:textId="77777777" w:rsidR="00BE36FB" w:rsidRPr="009B7B35" w:rsidRDefault="00BE36FB" w:rsidP="001A7107">
            <w:pPr>
              <w:pStyle w:val="TableText"/>
              <w:rPr>
                <w:rFonts w:cs="Arial"/>
              </w:rPr>
            </w:pPr>
            <w:r w:rsidRPr="009B7B35">
              <w:rPr>
                <w:rFonts w:cs="Arial"/>
              </w:rPr>
              <w:t>Educational establishment</w:t>
            </w:r>
          </w:p>
          <w:p w14:paraId="398B95FA" w14:textId="77777777" w:rsidR="00BE36FB" w:rsidRPr="009B7B35" w:rsidRDefault="00BE36FB" w:rsidP="001A7107">
            <w:pPr>
              <w:pStyle w:val="TableText"/>
              <w:rPr>
                <w:rFonts w:cs="Arial"/>
              </w:rPr>
            </w:pPr>
            <w:r w:rsidRPr="009B7B35">
              <w:rPr>
                <w:rFonts w:cs="Arial"/>
              </w:rPr>
              <w:t>Health care services</w:t>
            </w:r>
          </w:p>
          <w:p w14:paraId="3B055B2E" w14:textId="77777777" w:rsidR="00BE36FB" w:rsidRPr="009B7B35" w:rsidRDefault="00BE36FB" w:rsidP="001A7107">
            <w:pPr>
              <w:pStyle w:val="TableText"/>
              <w:rPr>
                <w:rFonts w:cs="Arial"/>
              </w:rPr>
            </w:pPr>
            <w:r w:rsidRPr="009B7B35">
              <w:rPr>
                <w:rFonts w:cs="Arial"/>
              </w:rPr>
              <w:t>Funeral parlour</w:t>
            </w:r>
          </w:p>
          <w:p w14:paraId="5787D8DD" w14:textId="77777777" w:rsidR="00BE36FB" w:rsidRPr="009B7B35" w:rsidRDefault="00BE36FB" w:rsidP="001A7107">
            <w:pPr>
              <w:pStyle w:val="TableText"/>
              <w:rPr>
                <w:rFonts w:cs="Arial"/>
              </w:rPr>
            </w:pPr>
            <w:r w:rsidRPr="009B7B35">
              <w:rPr>
                <w:rFonts w:cs="Arial"/>
              </w:rPr>
              <w:t>Garden centre</w:t>
            </w:r>
          </w:p>
          <w:p w14:paraId="1197785F" w14:textId="77777777" w:rsidR="00BE36FB" w:rsidRPr="009B7B35" w:rsidRDefault="00BE36FB" w:rsidP="001A7107">
            <w:pPr>
              <w:pStyle w:val="TableText"/>
              <w:rPr>
                <w:rFonts w:cs="Arial"/>
              </w:rPr>
            </w:pPr>
            <w:r w:rsidRPr="009B7B35">
              <w:rPr>
                <w:rFonts w:cs="Arial"/>
              </w:rPr>
              <w:t>Hardware and trade supplies</w:t>
            </w:r>
          </w:p>
          <w:p w14:paraId="7AF17F11" w14:textId="77777777" w:rsidR="00BE36FB" w:rsidRPr="009B7B35" w:rsidRDefault="00BE36FB" w:rsidP="001A7107">
            <w:pPr>
              <w:pStyle w:val="TableText"/>
              <w:rPr>
                <w:rFonts w:cs="Arial"/>
              </w:rPr>
            </w:pPr>
            <w:r w:rsidRPr="009B7B35">
              <w:rPr>
                <w:rFonts w:cs="Arial"/>
              </w:rPr>
              <w:t>Indoor sport and recreation</w:t>
            </w:r>
          </w:p>
          <w:p w14:paraId="1DA4B5F9" w14:textId="77777777" w:rsidR="00BE36FB" w:rsidRPr="009B7B35" w:rsidRDefault="00BE36FB" w:rsidP="001A7107">
            <w:pPr>
              <w:pStyle w:val="TableText"/>
              <w:rPr>
                <w:rFonts w:cs="Arial"/>
              </w:rPr>
            </w:pPr>
            <w:r w:rsidRPr="009B7B35">
              <w:rPr>
                <w:rFonts w:cs="Arial"/>
              </w:rPr>
              <w:t>Market</w:t>
            </w:r>
          </w:p>
          <w:p w14:paraId="52E5E29B" w14:textId="77777777" w:rsidR="00BE36FB" w:rsidRPr="009B7B35" w:rsidRDefault="00BE36FB" w:rsidP="001A7107">
            <w:pPr>
              <w:pStyle w:val="TableText"/>
              <w:rPr>
                <w:rFonts w:cs="Arial"/>
              </w:rPr>
            </w:pPr>
            <w:r w:rsidRPr="009B7B35">
              <w:rPr>
                <w:rFonts w:cs="Arial"/>
              </w:rPr>
              <w:t>Office</w:t>
            </w:r>
          </w:p>
          <w:p w14:paraId="58332348" w14:textId="77777777" w:rsidR="00BE36FB" w:rsidRPr="009B7B35" w:rsidRDefault="00BE36FB" w:rsidP="001A7107">
            <w:pPr>
              <w:pStyle w:val="TableText"/>
              <w:rPr>
                <w:rFonts w:cs="Arial"/>
              </w:rPr>
            </w:pPr>
            <w:r w:rsidRPr="009B7B35">
              <w:rPr>
                <w:rFonts w:cs="Arial"/>
              </w:rPr>
              <w:t>Outdoor sales</w:t>
            </w:r>
          </w:p>
          <w:p w14:paraId="3CDD6C3B" w14:textId="77777777" w:rsidR="00BE36FB" w:rsidRPr="009B7B35" w:rsidRDefault="00BE36FB" w:rsidP="001A7107">
            <w:pPr>
              <w:pStyle w:val="TableText"/>
              <w:rPr>
                <w:rFonts w:cs="Arial"/>
              </w:rPr>
            </w:pPr>
            <w:r w:rsidRPr="009B7B35">
              <w:rPr>
                <w:rFonts w:cs="Arial"/>
              </w:rPr>
              <w:t>Service industry</w:t>
            </w:r>
          </w:p>
          <w:p w14:paraId="158DDC91" w14:textId="77777777" w:rsidR="00BE36FB" w:rsidRPr="009B7B35" w:rsidRDefault="00BE36FB" w:rsidP="001A7107">
            <w:pPr>
              <w:pStyle w:val="TableText"/>
              <w:rPr>
                <w:rFonts w:cs="Arial"/>
              </w:rPr>
            </w:pPr>
            <w:r w:rsidRPr="009B7B35">
              <w:rPr>
                <w:rFonts w:cs="Arial"/>
              </w:rPr>
              <w:t>Shop</w:t>
            </w:r>
          </w:p>
          <w:p w14:paraId="7E5364F0" w14:textId="77777777" w:rsidR="00BE36FB" w:rsidRPr="009B7B35" w:rsidRDefault="00BE36FB" w:rsidP="001A7107">
            <w:pPr>
              <w:pStyle w:val="TableText"/>
              <w:rPr>
                <w:rFonts w:cs="Arial"/>
              </w:rPr>
            </w:pPr>
            <w:r w:rsidRPr="009B7B35">
              <w:rPr>
                <w:rFonts w:cs="Arial"/>
              </w:rPr>
              <w:t>Showroom</w:t>
            </w:r>
          </w:p>
          <w:p w14:paraId="60544937" w14:textId="77777777" w:rsidR="00BE36FB" w:rsidRPr="009B7B35" w:rsidRDefault="00BE36FB" w:rsidP="001A7107">
            <w:pPr>
              <w:pStyle w:val="TableText"/>
              <w:rPr>
                <w:rFonts w:cs="Arial"/>
              </w:rPr>
            </w:pPr>
            <w:r w:rsidRPr="009B7B35">
              <w:rPr>
                <w:rFonts w:cs="Arial"/>
              </w:rPr>
              <w:t>Short term accommodation Veterinary services</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1C89B0E7"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6F84021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630C927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745B520A" w14:textId="77777777" w:rsidR="00BE36FB" w:rsidRPr="009B7B35" w:rsidRDefault="00BE36FB" w:rsidP="001A7107">
            <w:pPr>
              <w:pStyle w:val="TableText"/>
              <w:rPr>
                <w:rFonts w:cs="Arial"/>
              </w:rPr>
            </w:pPr>
            <w:r w:rsidRPr="009B7B35">
              <w:rPr>
                <w:rFonts w:cs="Arial"/>
              </w:rPr>
              <w:t>If involving the reuse of an existing building.</w:t>
            </w:r>
          </w:p>
          <w:p w14:paraId="6E674B08"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77" w:type="dxa"/>
          </w:tcPr>
          <w:p w14:paraId="0BB6666C"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02FF8DF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365129C9"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62BCE08E"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55DA6EE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20F50EAD"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7440B832" w14:textId="77777777" w:rsidR="00BE36FB" w:rsidRPr="009B7B35" w:rsidRDefault="00BE36FB" w:rsidP="001A7107">
            <w:pPr>
              <w:pStyle w:val="TableText"/>
              <w:rPr>
                <w:rFonts w:cs="Arial"/>
              </w:rPr>
            </w:pPr>
            <w:r w:rsidRPr="009B7B35">
              <w:rPr>
                <w:rFonts w:cs="Arial"/>
              </w:rPr>
              <w:t xml:space="preserve">If not involving the reuse of an existing building. </w:t>
            </w:r>
          </w:p>
          <w:p w14:paraId="71E75397" w14:textId="77777777" w:rsidR="00BE36FB" w:rsidRPr="009B7B35" w:rsidRDefault="00BE36FB" w:rsidP="001A7107">
            <w:pPr>
              <w:pStyle w:val="TableText"/>
              <w:rPr>
                <w:rFonts w:cs="Arial"/>
              </w:rPr>
            </w:pPr>
            <w:r w:rsidRPr="009B7B35">
              <w:rPr>
                <w:rFonts w:cs="Arial"/>
              </w:rPr>
              <w:t>If shop or office, up to 250m</w:t>
            </w:r>
            <w:r w:rsidRPr="009B7B35">
              <w:rPr>
                <w:rFonts w:cs="Arial"/>
                <w:vertAlign w:val="superscript"/>
              </w:rPr>
              <w:t>2</w:t>
            </w:r>
            <w:r w:rsidRPr="009B7B35">
              <w:rPr>
                <w:rFonts w:cs="Arial"/>
              </w:rPr>
              <w:t xml:space="preserve"> GFA.</w:t>
            </w:r>
          </w:p>
        </w:tc>
        <w:tc>
          <w:tcPr>
            <w:cnfStyle w:val="000100000000" w:firstRow="0" w:lastRow="0" w:firstColumn="0" w:lastColumn="1" w:oddVBand="0" w:evenVBand="0" w:oddHBand="0" w:evenHBand="0" w:firstRowFirstColumn="0" w:firstRowLastColumn="0" w:lastRowFirstColumn="0" w:lastRowLastColumn="0"/>
            <w:tcW w:w="3477" w:type="dxa"/>
          </w:tcPr>
          <w:p w14:paraId="527ECAC1" w14:textId="77777777" w:rsidR="00BE36FB" w:rsidRPr="009B7B35" w:rsidRDefault="00BE36FB" w:rsidP="001A7107">
            <w:pPr>
              <w:pStyle w:val="TableText"/>
              <w:rPr>
                <w:rFonts w:cs="Arial"/>
                <w:color w:val="auto"/>
              </w:rPr>
            </w:pPr>
            <w:r w:rsidRPr="009B7B35">
              <w:rPr>
                <w:rFonts w:cs="Arial"/>
                <w:color w:val="auto"/>
              </w:rPr>
              <w:t>Zone code:</w:t>
            </w:r>
          </w:p>
          <w:p w14:paraId="6535348A"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Specialised centre zone code</w:t>
            </w:r>
          </w:p>
          <w:p w14:paraId="452D7796" w14:textId="77777777" w:rsidR="00BE36FB" w:rsidRPr="009B7B35" w:rsidRDefault="00BE36FB" w:rsidP="001A7107">
            <w:pPr>
              <w:pStyle w:val="TableText"/>
              <w:rPr>
                <w:rFonts w:cs="Arial"/>
                <w:color w:val="auto"/>
              </w:rPr>
            </w:pPr>
            <w:r w:rsidRPr="009B7B35">
              <w:rPr>
                <w:rFonts w:cs="Arial"/>
                <w:color w:val="auto"/>
              </w:rPr>
              <w:t>Other development codes:</w:t>
            </w:r>
          </w:p>
          <w:p w14:paraId="7C518D14"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5F9E456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3385E6B0"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37DD0A2E" w14:textId="77777777" w:rsidR="00BE36FB" w:rsidRPr="009B7B35" w:rsidRDefault="00BE36FB" w:rsidP="001A7107">
            <w:pPr>
              <w:pStyle w:val="TableText"/>
              <w:rPr>
                <w:rFonts w:cs="Arial"/>
              </w:rPr>
            </w:pPr>
            <w:r w:rsidRPr="009B7B35">
              <w:rPr>
                <w:rFonts w:cs="Arial"/>
              </w:rPr>
              <w:t>Parking station</w:t>
            </w:r>
          </w:p>
          <w:p w14:paraId="35DC4906" w14:textId="77777777" w:rsidR="00BE36FB" w:rsidRPr="009B7B35" w:rsidRDefault="00BE36FB" w:rsidP="001A7107">
            <w:pPr>
              <w:pStyle w:val="TableText"/>
              <w:rPr>
                <w:rFonts w:cs="Arial"/>
              </w:rPr>
            </w:pPr>
            <w:r w:rsidRPr="009B7B35">
              <w:rPr>
                <w:rFonts w:cs="Arial"/>
              </w:rPr>
              <w:t>Service station</w:t>
            </w:r>
          </w:p>
          <w:p w14:paraId="5EEA3B80" w14:textId="77777777" w:rsidR="00BE36FB" w:rsidRPr="009B7B35" w:rsidRDefault="00BE36FB" w:rsidP="001A7107">
            <w:pPr>
              <w:pStyle w:val="TableText"/>
              <w:rPr>
                <w:rFonts w:cs="Arial"/>
              </w:rPr>
            </w:pPr>
            <w:r w:rsidRPr="009B7B35">
              <w:rPr>
                <w:rFonts w:cs="Arial"/>
              </w:rPr>
              <w:t>Theatre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5AF992E9"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45BC3C92"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32EFB2F3"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30B0D2EB" w14:textId="77777777"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77" w:type="dxa"/>
          </w:tcPr>
          <w:p w14:paraId="0A985585" w14:textId="77777777" w:rsidR="00BE36FB" w:rsidRPr="009B7B35" w:rsidRDefault="00BE36FB" w:rsidP="001A7107">
            <w:pPr>
              <w:pStyle w:val="TableText"/>
              <w:rPr>
                <w:rFonts w:cs="Arial"/>
                <w:color w:val="auto"/>
              </w:rPr>
            </w:pPr>
            <w:r w:rsidRPr="009B7B35">
              <w:rPr>
                <w:rFonts w:cs="Arial"/>
                <w:color w:val="auto"/>
              </w:rPr>
              <w:t>Zone code:</w:t>
            </w:r>
          </w:p>
          <w:p w14:paraId="1115821F"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Specialised centre zone code</w:t>
            </w:r>
          </w:p>
          <w:p w14:paraId="012D9896" w14:textId="77777777" w:rsidR="00BE36FB" w:rsidRPr="009B7B35" w:rsidRDefault="00BE36FB" w:rsidP="001A7107">
            <w:pPr>
              <w:pStyle w:val="TableText"/>
              <w:rPr>
                <w:rFonts w:cs="Arial"/>
                <w:color w:val="auto"/>
              </w:rPr>
            </w:pPr>
            <w:r w:rsidRPr="009B7B35">
              <w:rPr>
                <w:rFonts w:cs="Arial"/>
                <w:color w:val="auto"/>
              </w:rPr>
              <w:t>Other development codes:</w:t>
            </w:r>
          </w:p>
          <w:p w14:paraId="4D43643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2D698FB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1D0345F4"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616C90FE"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23DF18D0" w14:textId="77777777"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888" w:type="dxa"/>
            <w:gridSpan w:val="2"/>
          </w:tcPr>
          <w:p w14:paraId="219F67C7"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7B5CF15D"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37A48634"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7" w:type="dxa"/>
          </w:tcPr>
          <w:p w14:paraId="3DBD57D3"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40C7B143" w14:textId="77777777" w:rsidR="00BE36FB" w:rsidRPr="009B7B35" w:rsidRDefault="00BE36FB" w:rsidP="001A7107">
      <w:pPr>
        <w:pStyle w:val="Heading5"/>
        <w:numPr>
          <w:ilvl w:val="0"/>
          <w:numId w:val="0"/>
        </w:numPr>
        <w:rPr>
          <w:rFonts w:cs="Arial"/>
          <w:szCs w:val="20"/>
        </w:rPr>
      </w:pPr>
      <w:r w:rsidRPr="009B7B35">
        <w:rPr>
          <w:rFonts w:cs="Arial"/>
          <w:szCs w:val="20"/>
        </w:rPr>
        <w:t>Table 5.5.11—Low impact industry zone</w:t>
      </w:r>
    </w:p>
    <w:tbl>
      <w:tblPr>
        <w:tblStyle w:val="Tablestyle"/>
        <w:tblW w:w="9365" w:type="dxa"/>
        <w:tblLook w:val="01E0" w:firstRow="1" w:lastRow="1" w:firstColumn="1" w:lastColumn="1" w:noHBand="0" w:noVBand="0"/>
      </w:tblPr>
      <w:tblGrid>
        <w:gridCol w:w="2411"/>
        <w:gridCol w:w="3477"/>
        <w:gridCol w:w="3477"/>
      </w:tblGrid>
      <w:tr w:rsidR="00BE36FB" w:rsidRPr="009B7B35" w14:paraId="37321703"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411" w:type="dxa"/>
          </w:tcPr>
          <w:p w14:paraId="47E83F0A"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7" w:type="dxa"/>
          </w:tcPr>
          <w:p w14:paraId="33C74B75"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7" w:type="dxa"/>
          </w:tcPr>
          <w:p w14:paraId="7FA6A5C3"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45D617D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17A99A98" w14:textId="77777777" w:rsidR="00BE36FB" w:rsidRPr="009B7B35" w:rsidRDefault="00BE36FB" w:rsidP="001A7107">
            <w:pPr>
              <w:pStyle w:val="TableText"/>
              <w:rPr>
                <w:rFonts w:cs="Arial"/>
              </w:rPr>
            </w:pPr>
            <w:r w:rsidRPr="009B7B35">
              <w:rPr>
                <w:rFonts w:cs="Arial"/>
              </w:rPr>
              <w:t>Agricultural supplies store</w:t>
            </w:r>
          </w:p>
          <w:p w14:paraId="609C7E27" w14:textId="77777777" w:rsidR="00BE36FB" w:rsidRPr="009B7B35" w:rsidRDefault="00BE36FB" w:rsidP="001A7107">
            <w:pPr>
              <w:pStyle w:val="TableText"/>
              <w:rPr>
                <w:rFonts w:cs="Arial"/>
              </w:rPr>
            </w:pPr>
            <w:r w:rsidRPr="009B7B35">
              <w:rPr>
                <w:rFonts w:cs="Arial"/>
              </w:rPr>
              <w:t>Bulk landscape supplies</w:t>
            </w:r>
          </w:p>
          <w:p w14:paraId="6EA07C33" w14:textId="77777777" w:rsidR="00BE36FB" w:rsidRPr="009B7B35" w:rsidRDefault="00BE36FB" w:rsidP="001A7107">
            <w:pPr>
              <w:pStyle w:val="TableText"/>
              <w:rPr>
                <w:rFonts w:cs="Arial"/>
              </w:rPr>
            </w:pPr>
            <w:r w:rsidRPr="009B7B35">
              <w:rPr>
                <w:rFonts w:cs="Arial"/>
              </w:rPr>
              <w:t>Hardware and trade supplies</w:t>
            </w:r>
          </w:p>
          <w:p w14:paraId="1DC9AF29" w14:textId="77777777" w:rsidR="00BE36FB" w:rsidRPr="009B7B35" w:rsidRDefault="00BE36FB" w:rsidP="001A7107">
            <w:pPr>
              <w:pStyle w:val="TableText"/>
              <w:rPr>
                <w:rFonts w:cs="Arial"/>
              </w:rPr>
            </w:pPr>
            <w:r w:rsidRPr="009B7B35">
              <w:rPr>
                <w:rFonts w:cs="Arial"/>
              </w:rPr>
              <w:t>Low impact industry</w:t>
            </w:r>
          </w:p>
          <w:p w14:paraId="5D516A78" w14:textId="77777777" w:rsidR="00BE36FB" w:rsidRPr="009B7B35" w:rsidRDefault="00BE36FB" w:rsidP="001A7107">
            <w:pPr>
              <w:pStyle w:val="TableText"/>
              <w:rPr>
                <w:rFonts w:cs="Arial"/>
              </w:rPr>
            </w:pPr>
            <w:r w:rsidRPr="009B7B35">
              <w:rPr>
                <w:rFonts w:cs="Arial"/>
              </w:rPr>
              <w:t>Office</w:t>
            </w:r>
          </w:p>
          <w:p w14:paraId="176E6EBD" w14:textId="77777777" w:rsidR="00BE36FB" w:rsidRPr="009B7B35" w:rsidRDefault="00BE36FB" w:rsidP="001A7107">
            <w:pPr>
              <w:pStyle w:val="TableText"/>
              <w:rPr>
                <w:rFonts w:cs="Arial"/>
              </w:rPr>
            </w:pPr>
            <w:r w:rsidRPr="009B7B35">
              <w:rPr>
                <w:rFonts w:cs="Arial"/>
              </w:rPr>
              <w:t xml:space="preserve">Service industry </w:t>
            </w:r>
          </w:p>
          <w:p w14:paraId="029B06C8" w14:textId="77777777" w:rsidR="00BE36FB" w:rsidRPr="009B7B35" w:rsidRDefault="00BE36FB" w:rsidP="001A7107">
            <w:pPr>
              <w:pStyle w:val="TableText"/>
              <w:rPr>
                <w:rFonts w:cs="Arial"/>
              </w:rPr>
            </w:pPr>
            <w:r w:rsidRPr="009B7B35">
              <w:rPr>
                <w:rFonts w:cs="Arial"/>
              </w:rPr>
              <w:t>Warehouse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105FCA07"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30C62C9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415D141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2AD82AF8" w14:textId="77777777" w:rsidR="00BE36FB" w:rsidRPr="009B7B35" w:rsidRDefault="00BE36FB" w:rsidP="001A7107">
            <w:pPr>
              <w:pStyle w:val="TableText"/>
              <w:rPr>
                <w:rFonts w:cs="Arial"/>
              </w:rPr>
            </w:pPr>
            <w:r w:rsidRPr="009B7B35">
              <w:rPr>
                <w:rFonts w:cs="Arial"/>
              </w:rPr>
              <w:t>If complying with the relevant accepted development acceptable outcome and where the land is not adjoining a residential or emerging community zone.</w:t>
            </w:r>
          </w:p>
          <w:p w14:paraId="41F52E8E" w14:textId="77777777" w:rsidR="00BE36FB" w:rsidRPr="009B7B35" w:rsidRDefault="00BE36FB" w:rsidP="001A7107">
            <w:pPr>
              <w:pStyle w:val="TableText"/>
              <w:rPr>
                <w:rFonts w:cs="Arial"/>
              </w:rPr>
            </w:pPr>
            <w:r w:rsidRPr="009B7B35">
              <w:rPr>
                <w:rFonts w:cs="Arial"/>
              </w:rPr>
              <w:t>If Office only where ancillary to an industrial activity.</w:t>
            </w:r>
          </w:p>
          <w:p w14:paraId="7607DBD8" w14:textId="77777777" w:rsidR="00BE36FB" w:rsidRPr="009B7B35" w:rsidRDefault="00BE36FB" w:rsidP="001A7107">
            <w:pPr>
              <w:pStyle w:val="TableText"/>
              <w:rPr>
                <w:rFonts w:cs="Arial"/>
              </w:rPr>
            </w:pPr>
            <w:r w:rsidRPr="009B7B35">
              <w:rPr>
                <w:rFonts w:cs="Arial"/>
              </w:rPr>
              <w:t>If Hardware and trade supplies, where the GFA is less than 250m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7" w:type="dxa"/>
          </w:tcPr>
          <w:p w14:paraId="2689DAA4" w14:textId="77777777" w:rsidR="00BE36FB" w:rsidRPr="009B7B35" w:rsidRDefault="00BE36FB" w:rsidP="001A7107">
            <w:pPr>
              <w:pStyle w:val="TableText"/>
              <w:rPr>
                <w:rFonts w:cs="Arial"/>
                <w:color w:val="auto"/>
              </w:rPr>
            </w:pPr>
            <w:r w:rsidRPr="009B7B35">
              <w:rPr>
                <w:rFonts w:cs="Arial"/>
                <w:color w:val="auto"/>
              </w:rPr>
              <w:t>Zone code:</w:t>
            </w:r>
          </w:p>
          <w:p w14:paraId="11959215"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p w14:paraId="3211F490" w14:textId="77777777" w:rsidR="00BE36FB" w:rsidRPr="009B7B35" w:rsidRDefault="00BE36FB" w:rsidP="001A7107">
            <w:pPr>
              <w:pStyle w:val="TableText"/>
              <w:rPr>
                <w:rFonts w:cs="Arial"/>
                <w:color w:val="auto"/>
              </w:rPr>
            </w:pPr>
            <w:r w:rsidRPr="009B7B35">
              <w:rPr>
                <w:rFonts w:cs="Arial"/>
                <w:color w:val="auto"/>
              </w:rPr>
              <w:t>Other development codes:</w:t>
            </w:r>
          </w:p>
          <w:p w14:paraId="75E01658"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53ACC1F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3DA9C286"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34985976"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230E842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259AAA47"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39833571" w14:textId="77777777" w:rsidR="00BE36FB" w:rsidRPr="009B7B35" w:rsidRDefault="00BE36FB" w:rsidP="001A7107">
            <w:pPr>
              <w:pStyle w:val="TableText"/>
              <w:rPr>
                <w:rFonts w:cs="Arial"/>
              </w:rPr>
            </w:pPr>
            <w:r w:rsidRPr="009B7B35">
              <w:rPr>
                <w:rFonts w:cs="Arial"/>
              </w:rPr>
              <w:t>Where the land is adjoining a residential or emerging community zone.</w:t>
            </w:r>
          </w:p>
        </w:tc>
        <w:tc>
          <w:tcPr>
            <w:cnfStyle w:val="000100000000" w:firstRow="0" w:lastRow="0" w:firstColumn="0" w:lastColumn="1" w:oddVBand="0" w:evenVBand="0" w:oddHBand="0" w:evenHBand="0" w:firstRowFirstColumn="0" w:firstRowLastColumn="0" w:lastRowFirstColumn="0" w:lastRowLastColumn="0"/>
            <w:tcW w:w="3477" w:type="dxa"/>
          </w:tcPr>
          <w:p w14:paraId="79A60D1C" w14:textId="77777777" w:rsidR="00BE36FB" w:rsidRPr="009B7B35" w:rsidRDefault="00BE36FB" w:rsidP="001A7107">
            <w:pPr>
              <w:pStyle w:val="TableText"/>
              <w:rPr>
                <w:rFonts w:cs="Arial"/>
                <w:color w:val="auto"/>
              </w:rPr>
            </w:pPr>
            <w:r w:rsidRPr="009B7B35">
              <w:rPr>
                <w:rFonts w:cs="Arial"/>
                <w:color w:val="auto"/>
              </w:rPr>
              <w:t>Zone code:</w:t>
            </w:r>
          </w:p>
          <w:p w14:paraId="7251DBF0"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p w14:paraId="496F6E43" w14:textId="77777777" w:rsidR="00BE36FB" w:rsidRPr="009B7B35" w:rsidRDefault="00BE36FB" w:rsidP="001A7107">
            <w:pPr>
              <w:pStyle w:val="TableText"/>
              <w:rPr>
                <w:rFonts w:cs="Arial"/>
                <w:color w:val="auto"/>
              </w:rPr>
            </w:pPr>
            <w:r w:rsidRPr="009B7B35">
              <w:rPr>
                <w:rFonts w:cs="Arial"/>
                <w:color w:val="auto"/>
              </w:rPr>
              <w:t>Other development codes:</w:t>
            </w:r>
          </w:p>
          <w:p w14:paraId="52E5E5B8" w14:textId="77777777" w:rsidR="00BE36FB" w:rsidRPr="009B7B35" w:rsidRDefault="00BE36FB" w:rsidP="00BE36FB">
            <w:pPr>
              <w:pStyle w:val="TableText"/>
              <w:numPr>
                <w:ilvl w:val="0"/>
                <w:numId w:val="107"/>
              </w:numPr>
              <w:ind w:left="292" w:hanging="283"/>
              <w:rPr>
                <w:rFonts w:cs="Arial"/>
                <w:color w:val="auto"/>
              </w:rPr>
            </w:pPr>
            <w:r w:rsidRPr="009B7B35">
              <w:rPr>
                <w:rFonts w:cs="Arial"/>
                <w:color w:val="auto"/>
              </w:rPr>
              <w:t>Development design code</w:t>
            </w:r>
          </w:p>
          <w:p w14:paraId="58AA9477" w14:textId="77777777" w:rsidR="00BE36FB" w:rsidRPr="009B7B35" w:rsidRDefault="00BE36FB" w:rsidP="00BE36FB">
            <w:pPr>
              <w:pStyle w:val="TableText"/>
              <w:numPr>
                <w:ilvl w:val="0"/>
                <w:numId w:val="107"/>
              </w:numPr>
              <w:ind w:left="292" w:hanging="283"/>
              <w:rPr>
                <w:rFonts w:cs="Arial"/>
                <w:color w:val="auto"/>
              </w:rPr>
            </w:pPr>
            <w:r w:rsidRPr="009B7B35">
              <w:rPr>
                <w:rFonts w:cs="Arial"/>
                <w:color w:val="auto"/>
              </w:rPr>
              <w:t xml:space="preserve">Landscaping code </w:t>
            </w:r>
          </w:p>
        </w:tc>
      </w:tr>
      <w:tr w:rsidR="00BE36FB" w:rsidRPr="009B7B35" w14:paraId="13218B7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7EF0ADB9" w14:textId="77777777" w:rsidR="00BE36FB" w:rsidRPr="009B7B35" w:rsidRDefault="00BE36FB" w:rsidP="001A7107">
            <w:pPr>
              <w:pStyle w:val="TableText"/>
              <w:rPr>
                <w:rFonts w:cs="Arial"/>
              </w:rPr>
            </w:pPr>
            <w:r w:rsidRPr="009B7B35">
              <w:rPr>
                <w:rFonts w:cs="Arial"/>
              </w:rPr>
              <w:t>Car wash</w:t>
            </w:r>
          </w:p>
          <w:p w14:paraId="72457F13" w14:textId="77777777" w:rsidR="00BE36FB" w:rsidRPr="009B7B35" w:rsidRDefault="00BE36FB" w:rsidP="001A7107">
            <w:pPr>
              <w:pStyle w:val="TableText"/>
              <w:rPr>
                <w:rFonts w:cs="Arial"/>
              </w:rPr>
            </w:pPr>
            <w:r w:rsidRPr="009B7B35">
              <w:rPr>
                <w:rFonts w:cs="Arial"/>
              </w:rPr>
              <w:t>Crematorium</w:t>
            </w:r>
          </w:p>
          <w:p w14:paraId="6F28F941" w14:textId="77777777" w:rsidR="00BE36FB" w:rsidRPr="009B7B35" w:rsidRDefault="00BE36FB" w:rsidP="001A7107">
            <w:pPr>
              <w:pStyle w:val="TableText"/>
              <w:rPr>
                <w:rFonts w:cs="Arial"/>
              </w:rPr>
            </w:pPr>
            <w:r w:rsidRPr="009B7B35">
              <w:rPr>
                <w:rFonts w:cs="Arial"/>
              </w:rPr>
              <w:t xml:space="preserve">Club </w:t>
            </w:r>
          </w:p>
          <w:p w14:paraId="11EF2E79" w14:textId="77777777" w:rsidR="00BE36FB" w:rsidRPr="009B7B35" w:rsidRDefault="00BE36FB" w:rsidP="001A7107">
            <w:pPr>
              <w:pStyle w:val="TableText"/>
              <w:rPr>
                <w:rFonts w:cs="Arial"/>
              </w:rPr>
            </w:pPr>
            <w:r w:rsidRPr="009B7B35">
              <w:rPr>
                <w:rFonts w:cs="Arial"/>
              </w:rPr>
              <w:t>Educational establishment</w:t>
            </w:r>
          </w:p>
          <w:p w14:paraId="1FD6952D" w14:textId="77777777" w:rsidR="00BE36FB" w:rsidRPr="009B7B35" w:rsidRDefault="00BE36FB" w:rsidP="001A7107">
            <w:pPr>
              <w:pStyle w:val="TableText"/>
              <w:rPr>
                <w:rFonts w:cs="Arial"/>
              </w:rPr>
            </w:pPr>
            <w:r w:rsidRPr="009B7B35">
              <w:rPr>
                <w:rFonts w:cs="Arial"/>
              </w:rPr>
              <w:t>Food and drink outlet</w:t>
            </w:r>
          </w:p>
          <w:p w14:paraId="0625A230" w14:textId="77777777" w:rsidR="00BE36FB" w:rsidRPr="009B7B35" w:rsidRDefault="00BE36FB" w:rsidP="001A7107">
            <w:pPr>
              <w:pStyle w:val="TableText"/>
              <w:rPr>
                <w:rFonts w:cs="Arial"/>
              </w:rPr>
            </w:pPr>
            <w:r w:rsidRPr="009B7B35">
              <w:rPr>
                <w:rFonts w:cs="Arial"/>
              </w:rPr>
              <w:t>Funeral parlour</w:t>
            </w:r>
          </w:p>
          <w:p w14:paraId="6CCBBFCF" w14:textId="77777777" w:rsidR="00BE36FB" w:rsidRPr="009B7B35" w:rsidRDefault="00BE36FB" w:rsidP="001A7107">
            <w:pPr>
              <w:pStyle w:val="TableText"/>
              <w:rPr>
                <w:rFonts w:cs="Arial"/>
              </w:rPr>
            </w:pPr>
            <w:r w:rsidRPr="009B7B35">
              <w:rPr>
                <w:rFonts w:cs="Arial"/>
              </w:rPr>
              <w:t>Garden centre</w:t>
            </w:r>
          </w:p>
          <w:p w14:paraId="5F8A6720" w14:textId="77777777" w:rsidR="00BE36FB" w:rsidRPr="009B7B35" w:rsidRDefault="00BE36FB" w:rsidP="001A7107">
            <w:pPr>
              <w:pStyle w:val="TableText"/>
              <w:rPr>
                <w:rFonts w:cs="Arial"/>
              </w:rPr>
            </w:pPr>
            <w:r w:rsidRPr="009B7B35">
              <w:rPr>
                <w:rFonts w:cs="Arial"/>
              </w:rPr>
              <w:t>Indoor sport and recreation</w:t>
            </w:r>
          </w:p>
          <w:p w14:paraId="5BA32B70" w14:textId="77777777" w:rsidR="00BE36FB" w:rsidRPr="009B7B35" w:rsidRDefault="00BE36FB" w:rsidP="001A7107">
            <w:pPr>
              <w:pStyle w:val="TableText"/>
              <w:rPr>
                <w:rFonts w:cs="Arial"/>
              </w:rPr>
            </w:pPr>
            <w:r w:rsidRPr="009B7B35">
              <w:rPr>
                <w:rFonts w:cs="Arial"/>
              </w:rPr>
              <w:t>Parking station</w:t>
            </w:r>
          </w:p>
          <w:p w14:paraId="1DC64859" w14:textId="77777777" w:rsidR="00BE36FB" w:rsidRPr="009B7B35" w:rsidRDefault="00BE36FB" w:rsidP="001A7107">
            <w:pPr>
              <w:pStyle w:val="TableText"/>
              <w:rPr>
                <w:rFonts w:cs="Arial"/>
              </w:rPr>
            </w:pPr>
            <w:r w:rsidRPr="009B7B35">
              <w:rPr>
                <w:rFonts w:cs="Arial"/>
              </w:rPr>
              <w:t>Research and technology industry</w:t>
            </w:r>
          </w:p>
          <w:p w14:paraId="5AD23DF2" w14:textId="77777777" w:rsidR="00BE36FB" w:rsidRPr="009B7B35" w:rsidRDefault="00BE36FB" w:rsidP="001A7107">
            <w:pPr>
              <w:pStyle w:val="TableText"/>
              <w:rPr>
                <w:rFonts w:cs="Arial"/>
              </w:rPr>
            </w:pPr>
            <w:r w:rsidRPr="009B7B35">
              <w:rPr>
                <w:rFonts w:cs="Arial"/>
              </w:rPr>
              <w:t>Rural industry</w:t>
            </w:r>
          </w:p>
          <w:p w14:paraId="4E9F4EEB" w14:textId="77777777" w:rsidR="00BE36FB" w:rsidRPr="009B7B35" w:rsidRDefault="00BE36FB" w:rsidP="001A7107">
            <w:pPr>
              <w:pStyle w:val="TableText"/>
              <w:rPr>
                <w:rFonts w:cs="Arial"/>
              </w:rPr>
            </w:pPr>
            <w:r w:rsidRPr="009B7B35">
              <w:rPr>
                <w:rFonts w:cs="Arial"/>
              </w:rPr>
              <w:t>Service station</w:t>
            </w:r>
          </w:p>
          <w:p w14:paraId="50A37DB0" w14:textId="77777777" w:rsidR="00BE36FB" w:rsidRPr="009B7B35" w:rsidRDefault="00BE36FB" w:rsidP="001A7107">
            <w:pPr>
              <w:pStyle w:val="TableText"/>
              <w:rPr>
                <w:rFonts w:cs="Arial"/>
              </w:rPr>
            </w:pPr>
            <w:r w:rsidRPr="009B7B35">
              <w:rPr>
                <w:rFonts w:cs="Arial"/>
              </w:rPr>
              <w:t xml:space="preserve">Transport depot </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2B19AD7E"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5CDD2FF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08F06C7D"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0A7EAE7C" w14:textId="77777777"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77" w:type="dxa"/>
          </w:tcPr>
          <w:p w14:paraId="38F891EE" w14:textId="77777777" w:rsidR="00BE36FB" w:rsidRPr="009B7B35" w:rsidRDefault="00BE36FB" w:rsidP="001A7107">
            <w:pPr>
              <w:pStyle w:val="TableText"/>
              <w:rPr>
                <w:rFonts w:cs="Arial"/>
                <w:color w:val="auto"/>
              </w:rPr>
            </w:pPr>
            <w:r w:rsidRPr="009B7B35">
              <w:rPr>
                <w:rFonts w:cs="Arial"/>
                <w:color w:val="auto"/>
              </w:rPr>
              <w:t>Zone code:</w:t>
            </w:r>
          </w:p>
          <w:p w14:paraId="33032AD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p w14:paraId="1B8FF3C5" w14:textId="77777777" w:rsidR="00BE36FB" w:rsidRPr="009B7B35" w:rsidRDefault="00BE36FB" w:rsidP="001A7107">
            <w:pPr>
              <w:pStyle w:val="TableText"/>
              <w:rPr>
                <w:rFonts w:cs="Arial"/>
                <w:color w:val="auto"/>
              </w:rPr>
            </w:pPr>
            <w:r w:rsidRPr="009B7B35">
              <w:rPr>
                <w:rFonts w:cs="Arial"/>
                <w:color w:val="auto"/>
              </w:rPr>
              <w:t>Other development codes:</w:t>
            </w:r>
          </w:p>
          <w:p w14:paraId="7C8788B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769568AA"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0CC38A2E"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2C866B27" w14:textId="77777777" w:rsidR="00BE36FB" w:rsidRPr="009B7B35" w:rsidRDefault="00BE36FB" w:rsidP="001A7107">
            <w:pPr>
              <w:pStyle w:val="TableText"/>
              <w:rPr>
                <w:rFonts w:cs="Arial"/>
              </w:rPr>
            </w:pPr>
            <w:r w:rsidRPr="009B7B35">
              <w:rPr>
                <w:rFonts w:cs="Arial"/>
              </w:rPr>
              <w:t>Caretaker’s accommodation</w:t>
            </w:r>
          </w:p>
          <w:p w14:paraId="3BC98F22" w14:textId="77777777" w:rsidR="00BE36FB" w:rsidRPr="009B7B35" w:rsidRDefault="00BE36FB" w:rsidP="001A7107">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3E84EEA2"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73B0CD7D"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4498CB92"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34C6771B"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14:paraId="3CD42332" w14:textId="77777777" w:rsidR="00BE36FB" w:rsidRPr="009B7B35" w:rsidRDefault="00BE36FB" w:rsidP="001A7107">
            <w:pPr>
              <w:pStyle w:val="TableText"/>
              <w:rPr>
                <w:rFonts w:cs="Arial"/>
                <w:color w:val="auto"/>
              </w:rPr>
            </w:pPr>
            <w:r w:rsidRPr="009B7B35">
              <w:rPr>
                <w:rFonts w:cs="Arial"/>
                <w:color w:val="auto"/>
              </w:rPr>
              <w:t>Zone code:</w:t>
            </w:r>
          </w:p>
          <w:p w14:paraId="31570D95"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tc>
      </w:tr>
      <w:tr w:rsidR="00BE36FB" w:rsidRPr="009B7B35" w14:paraId="3D608486"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60C835BC" w14:textId="77777777" w:rsidR="00BE36FB" w:rsidRPr="009B7B35" w:rsidRDefault="00BE36FB" w:rsidP="001A7107">
            <w:pPr>
              <w:pStyle w:val="TableText"/>
              <w:rPr>
                <w:rFonts w:cs="Arial"/>
              </w:rPr>
            </w:pPr>
            <w:r w:rsidRPr="009B7B35">
              <w:rPr>
                <w:rFonts w:cs="Arial"/>
              </w:rPr>
              <w:t>Emergency services</w:t>
            </w:r>
          </w:p>
          <w:p w14:paraId="7BC25AEA" w14:textId="77777777" w:rsidR="00BE36FB" w:rsidRPr="009B7B35" w:rsidRDefault="00BE36FB" w:rsidP="001A7107">
            <w:pPr>
              <w:pStyle w:val="TableText"/>
              <w:rPr>
                <w:rFonts w:cs="Arial"/>
              </w:rPr>
            </w:pPr>
            <w:r w:rsidRPr="009B7B35">
              <w:rPr>
                <w:rFonts w:cs="Arial"/>
              </w:rPr>
              <w:t>Substation</w:t>
            </w:r>
          </w:p>
          <w:p w14:paraId="6A26B93E" w14:textId="77777777" w:rsidR="00BE36FB" w:rsidRPr="009B7B35" w:rsidRDefault="00BE36FB" w:rsidP="001A7107">
            <w:pPr>
              <w:pStyle w:val="TableText"/>
              <w:rPr>
                <w:rFonts w:cs="Arial"/>
              </w:rPr>
            </w:pPr>
            <w:r w:rsidRPr="009B7B35">
              <w:rPr>
                <w:rFonts w:cs="Arial"/>
              </w:rPr>
              <w:t>Utility installation</w:t>
            </w:r>
          </w:p>
          <w:p w14:paraId="6A9D71A3" w14:textId="77777777" w:rsidR="00BE36FB" w:rsidRPr="009B7B35" w:rsidRDefault="00BE36FB" w:rsidP="001A7107">
            <w:pPr>
              <w:rPr>
                <w:rFonts w:cs="Arial"/>
                <w:sz w:val="20"/>
                <w:szCs w:val="20"/>
              </w:rPr>
            </w:pPr>
          </w:p>
          <w:p w14:paraId="351D6C8E" w14:textId="77777777" w:rsidR="00BE36FB" w:rsidRPr="009B7B35" w:rsidRDefault="00BE36FB" w:rsidP="001A7107">
            <w:pPr>
              <w:rPr>
                <w:rFonts w:cs="Arial"/>
                <w:sz w:val="20"/>
                <w:szCs w:val="20"/>
              </w:rPr>
            </w:pPr>
          </w:p>
          <w:p w14:paraId="44DA6478" w14:textId="77777777" w:rsidR="00BE36FB" w:rsidRPr="009B7B35" w:rsidRDefault="00BE36FB" w:rsidP="001A7107">
            <w:pPr>
              <w:rPr>
                <w:rFonts w:cs="Arial"/>
                <w:sz w:val="20"/>
                <w:szCs w:val="20"/>
              </w:rPr>
            </w:pPr>
          </w:p>
          <w:p w14:paraId="094D241E" w14:textId="77777777" w:rsidR="00BE36FB" w:rsidRPr="009B7B35" w:rsidRDefault="00BE36FB" w:rsidP="001A7107">
            <w:pPr>
              <w:rPr>
                <w:rFonts w:cs="Arial"/>
                <w:sz w:val="20"/>
                <w:szCs w:val="20"/>
              </w:rPr>
            </w:pPr>
          </w:p>
          <w:p w14:paraId="6F6F422D" w14:textId="77777777" w:rsidR="00BE36FB" w:rsidRPr="009B7B35" w:rsidRDefault="00BE36FB" w:rsidP="001A7107">
            <w:pPr>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1A4AA9CB"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0A274567"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3AC8CFDD"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44DB1A31"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24889987" w14:textId="77777777" w:rsidR="00BE36FB" w:rsidRPr="009B7B35" w:rsidRDefault="00BE36FB" w:rsidP="001A7107">
            <w:pPr>
              <w:pStyle w:val="TableText"/>
              <w:rPr>
                <w:rFonts w:cs="Arial"/>
              </w:rPr>
            </w:pPr>
            <w:r w:rsidRPr="009B7B35">
              <w:rPr>
                <w:rFonts w:cs="Arial"/>
              </w:rPr>
              <w:t>Otherwise, where undertaken by a public sector entity.</w:t>
            </w:r>
          </w:p>
        </w:tc>
        <w:tc>
          <w:tcPr>
            <w:cnfStyle w:val="000100000000" w:firstRow="0" w:lastRow="0" w:firstColumn="0" w:lastColumn="1" w:oddVBand="0" w:evenVBand="0" w:oddHBand="0" w:evenHBand="0" w:firstRowFirstColumn="0" w:firstRowLastColumn="0" w:lastRowFirstColumn="0" w:lastRowLastColumn="0"/>
            <w:tcW w:w="3477" w:type="dxa"/>
          </w:tcPr>
          <w:p w14:paraId="27768DB6"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37929B77"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1F9E426F"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156750C7"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1F162200" w14:textId="77777777" w:rsidTr="001A7107">
        <w:trPr>
          <w:cnfStyle w:val="000000010000" w:firstRow="0" w:lastRow="0" w:firstColumn="0" w:lastColumn="0" w:oddVBand="0" w:evenVBand="0" w:oddHBand="0" w:evenHBand="1" w:firstRowFirstColumn="0" w:firstRowLastColumn="0" w:lastRowFirstColumn="0" w:lastRowLastColumn="0"/>
          <w:cantSplit/>
          <w:trHeight w:val="1122"/>
        </w:trPr>
        <w:tc>
          <w:tcPr>
            <w:cnfStyle w:val="001000000000" w:firstRow="0" w:lastRow="0" w:firstColumn="1" w:lastColumn="0" w:oddVBand="0" w:evenVBand="0" w:oddHBand="0" w:evenHBand="0" w:firstRowFirstColumn="0" w:firstRowLastColumn="0" w:lastRowFirstColumn="0" w:lastRowLastColumn="0"/>
            <w:tcW w:w="2411" w:type="dxa"/>
            <w:vMerge/>
          </w:tcPr>
          <w:p w14:paraId="0E62EE6A"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0461053E" w14:textId="77777777" w:rsidR="00BE36FB" w:rsidRPr="009B7B35" w:rsidRDefault="00BE36FB" w:rsidP="001A7107">
            <w:pPr>
              <w:pStyle w:val="TableText"/>
              <w:rPr>
                <w:rFonts w:cs="Arial"/>
              </w:rPr>
            </w:pPr>
            <w:r w:rsidRPr="009B7B35">
              <w:rPr>
                <w:rFonts w:cs="Arial"/>
              </w:rPr>
              <w:t>If not undertaken by a public sector entity.</w:t>
            </w:r>
          </w:p>
          <w:p w14:paraId="1912DFDC" w14:textId="77777777" w:rsidR="00BE36FB" w:rsidRPr="009B7B35" w:rsidRDefault="00BE36FB" w:rsidP="001A7107">
            <w:pPr>
              <w:rPr>
                <w:rFonts w:cs="Arial"/>
                <w:sz w:val="20"/>
                <w:szCs w:val="20"/>
              </w:rPr>
            </w:pPr>
          </w:p>
          <w:p w14:paraId="0422C794" w14:textId="77777777" w:rsidR="00BE36FB" w:rsidRPr="009B7B35" w:rsidRDefault="00BE36FB" w:rsidP="001A7107">
            <w:pPr>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3477" w:type="dxa"/>
          </w:tcPr>
          <w:p w14:paraId="454F2546" w14:textId="77777777" w:rsidR="00BE36FB" w:rsidRPr="009B7B35" w:rsidRDefault="00BE36FB" w:rsidP="001A7107">
            <w:pPr>
              <w:pStyle w:val="TableText"/>
              <w:rPr>
                <w:rFonts w:cs="Arial"/>
                <w:color w:val="auto"/>
              </w:rPr>
            </w:pPr>
            <w:r w:rsidRPr="009B7B35">
              <w:rPr>
                <w:rFonts w:cs="Arial"/>
                <w:color w:val="auto"/>
              </w:rPr>
              <w:t>Zone code:</w:t>
            </w:r>
          </w:p>
          <w:p w14:paraId="0855C43A"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p w14:paraId="5D5597B8" w14:textId="77777777" w:rsidR="00BE36FB" w:rsidRPr="009B7B35" w:rsidRDefault="00BE36FB" w:rsidP="001A7107">
            <w:pPr>
              <w:pStyle w:val="TableText"/>
              <w:rPr>
                <w:rFonts w:cs="Arial"/>
                <w:color w:val="auto"/>
              </w:rPr>
            </w:pPr>
            <w:r w:rsidRPr="009B7B35">
              <w:rPr>
                <w:rFonts w:cs="Arial"/>
                <w:color w:val="auto"/>
              </w:rPr>
              <w:t>Other development codes:</w:t>
            </w:r>
          </w:p>
          <w:p w14:paraId="37AA65F4"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645F569B"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2F23241B" w14:textId="77777777" w:rsidR="00BE36FB" w:rsidRPr="009B7B35" w:rsidRDefault="00BE36FB" w:rsidP="001A7107">
            <w:pPr>
              <w:pStyle w:val="TableText"/>
              <w:rPr>
                <w:rFonts w:cs="Arial"/>
              </w:rPr>
            </w:pPr>
            <w:r w:rsidRPr="009B7B35">
              <w:rPr>
                <w:rFonts w:cs="Arial"/>
              </w:rPr>
              <w:t>Landing*</w:t>
            </w:r>
          </w:p>
          <w:p w14:paraId="722CEBEF" w14:textId="77777777" w:rsidR="00BE36FB" w:rsidRPr="009B7B35" w:rsidRDefault="00BE36FB" w:rsidP="001A7107">
            <w:pPr>
              <w:pStyle w:val="TableText"/>
              <w:rPr>
                <w:rFonts w:cs="Arial"/>
              </w:rPr>
            </w:pPr>
            <w:r w:rsidRPr="009B7B35">
              <w:rPr>
                <w:rFonts w:cs="Arial"/>
              </w:rPr>
              <w:t>Park</w:t>
            </w:r>
          </w:p>
          <w:p w14:paraId="40641EA5"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5BF86C4B"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w:t>
            </w:r>
          </w:p>
        </w:tc>
      </w:tr>
      <w:tr w:rsidR="00BE36FB" w:rsidRPr="009B7B35" w14:paraId="21DC8801" w14:textId="77777777" w:rsidTr="001A7107">
        <w:trPr>
          <w:cnfStyle w:val="000000010000" w:firstRow="0" w:lastRow="0" w:firstColumn="0" w:lastColumn="0" w:oddVBand="0" w:evenVBand="0" w:oddHBand="0" w:evenHBand="1" w:firstRowFirstColumn="0" w:firstRowLastColumn="0" w:lastRowFirstColumn="0" w:lastRowLastColumn="0"/>
          <w:cantSplit/>
          <w:trHeight w:val="872"/>
        </w:trPr>
        <w:tc>
          <w:tcPr>
            <w:cnfStyle w:val="001000000000" w:firstRow="0" w:lastRow="0" w:firstColumn="1" w:lastColumn="0" w:oddVBand="0" w:evenVBand="0" w:oddHBand="0" w:evenHBand="0" w:firstRowFirstColumn="0" w:firstRowLastColumn="0" w:lastRowFirstColumn="0" w:lastRowLastColumn="0"/>
            <w:tcW w:w="2411" w:type="dxa"/>
            <w:vMerge/>
          </w:tcPr>
          <w:p w14:paraId="388A5E96"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2F5B7803" w14:textId="77777777" w:rsidR="00BE36FB" w:rsidRPr="009B7B35" w:rsidRDefault="00BE36FB" w:rsidP="001A7107">
            <w:pPr>
              <w:tabs>
                <w:tab w:val="left" w:pos="1020"/>
              </w:tabs>
              <w:rPr>
                <w:rFonts w:cs="Arial"/>
                <w:sz w:val="20"/>
                <w:szCs w:val="20"/>
              </w:rPr>
            </w:pPr>
            <w:r w:rsidRPr="009B7B35">
              <w:rPr>
                <w:rFonts w:cs="Arial"/>
                <w:sz w:val="20"/>
                <w:szCs w:val="20"/>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7" w:type="dxa"/>
          </w:tcPr>
          <w:p w14:paraId="6317C48F"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59468798"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245A50FA" w14:textId="77777777"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37E14CA8"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59B8A8F0"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01CCC5C3"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27CB80C4"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14:paraId="45179827" w14:textId="77777777" w:rsidR="00BE36FB" w:rsidRPr="009B7B35" w:rsidRDefault="00BE36FB" w:rsidP="001A7107">
            <w:pPr>
              <w:pStyle w:val="TableText"/>
              <w:rPr>
                <w:rFonts w:cs="Arial"/>
                <w:color w:val="auto"/>
              </w:rPr>
            </w:pPr>
            <w:r w:rsidRPr="009B7B35">
              <w:rPr>
                <w:rFonts w:cs="Arial"/>
                <w:color w:val="auto"/>
              </w:rPr>
              <w:t>Zone code:</w:t>
            </w:r>
          </w:p>
          <w:p w14:paraId="3534DC7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p w14:paraId="47F9D7CE" w14:textId="77777777" w:rsidR="00BE36FB" w:rsidRPr="009B7B35" w:rsidRDefault="00BE36FB" w:rsidP="001A7107">
            <w:pPr>
              <w:pStyle w:val="TableText"/>
              <w:rPr>
                <w:rFonts w:cs="Arial"/>
                <w:color w:val="auto"/>
              </w:rPr>
            </w:pPr>
            <w:r w:rsidRPr="009B7B35">
              <w:rPr>
                <w:rFonts w:cs="Arial"/>
                <w:color w:val="auto"/>
              </w:rPr>
              <w:t>Use code:</w:t>
            </w:r>
          </w:p>
          <w:p w14:paraId="56D8E43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 facility code</w:t>
            </w:r>
          </w:p>
        </w:tc>
      </w:tr>
      <w:tr w:rsidR="00BE36FB" w:rsidRPr="009B7B35" w14:paraId="5A40C2C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tcPr>
          <w:p w14:paraId="1C35E28C" w14:textId="77777777" w:rsidR="00BE36FB" w:rsidRPr="009B7B35" w:rsidRDefault="00BE36FB" w:rsidP="001A7107">
            <w:pPr>
              <w:pStyle w:val="Tableheading"/>
              <w:rPr>
                <w:rFonts w:ascii="Arial" w:hAnsi="Arial" w:cs="Arial"/>
                <w:szCs w:val="20"/>
              </w:rPr>
            </w:pPr>
            <w:r w:rsidRPr="009B7B35">
              <w:rPr>
                <w:rFonts w:ascii="Arial" w:hAnsi="Arial" w:cs="Arial"/>
                <w:szCs w:val="20"/>
              </w:rPr>
              <w:t>If located in the Hanson Road precinct</w:t>
            </w:r>
          </w:p>
        </w:tc>
      </w:tr>
      <w:tr w:rsidR="00BE36FB" w:rsidRPr="009B7B35" w14:paraId="3B14411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017DA67D" w14:textId="77777777" w:rsidR="00BE36FB" w:rsidRPr="009B7B35" w:rsidRDefault="00BE36FB" w:rsidP="001A7107">
            <w:pPr>
              <w:pStyle w:val="TableText"/>
              <w:rPr>
                <w:rFonts w:cs="Arial"/>
              </w:rPr>
            </w:pPr>
            <w:r w:rsidRPr="009B7B35">
              <w:rPr>
                <w:rFonts w:cs="Arial"/>
              </w:rPr>
              <w:t>Outdoor sales</w:t>
            </w:r>
          </w:p>
          <w:p w14:paraId="4C68BA7D" w14:textId="77777777" w:rsidR="00BE36FB" w:rsidRPr="009B7B35" w:rsidRDefault="00BE36FB" w:rsidP="001A7107">
            <w:pPr>
              <w:pStyle w:val="TableText"/>
              <w:rPr>
                <w:rFonts w:cs="Arial"/>
              </w:rPr>
            </w:pPr>
            <w:r w:rsidRPr="009B7B35">
              <w:rPr>
                <w:rFonts w:cs="Arial"/>
              </w:rPr>
              <w:t>Showroom</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68C72646"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39111E7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131109C3"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0FB0367D" w14:textId="77777777" w:rsidR="00BE36FB" w:rsidRPr="009B7B35" w:rsidRDefault="00BE36FB" w:rsidP="001A7107">
            <w:pPr>
              <w:autoSpaceDE w:val="0"/>
              <w:autoSpaceDN w:val="0"/>
              <w:adjustRightInd w:val="0"/>
              <w:rPr>
                <w:rFonts w:cs="Arial"/>
                <w:sz w:val="20"/>
                <w:szCs w:val="20"/>
              </w:rPr>
            </w:pPr>
            <w:r w:rsidRPr="009B7B35">
              <w:rPr>
                <w:rFonts w:cs="Arial"/>
                <w:sz w:val="20"/>
                <w:szCs w:val="20"/>
              </w:rPr>
              <w:t>If Showroom:</w:t>
            </w:r>
          </w:p>
          <w:p w14:paraId="7627192C" w14:textId="77777777" w:rsidR="00BE36FB" w:rsidRPr="009B7B35" w:rsidRDefault="00BE36FB" w:rsidP="001A7107">
            <w:pPr>
              <w:tabs>
                <w:tab w:val="left" w:pos="509"/>
              </w:tabs>
              <w:autoSpaceDE w:val="0"/>
              <w:autoSpaceDN w:val="0"/>
              <w:adjustRightInd w:val="0"/>
              <w:ind w:left="509" w:hanging="509"/>
              <w:rPr>
                <w:rFonts w:cs="Arial"/>
                <w:sz w:val="20"/>
                <w:szCs w:val="20"/>
              </w:rPr>
            </w:pPr>
            <w:r w:rsidRPr="009B7B35">
              <w:rPr>
                <w:rFonts w:cs="Arial"/>
                <w:sz w:val="20"/>
                <w:szCs w:val="20"/>
              </w:rPr>
              <w:t>(a)     where not involving automotive or trade related uses up to 2,500m</w:t>
            </w:r>
            <w:r w:rsidRPr="009B7B35">
              <w:rPr>
                <w:rFonts w:cs="Arial"/>
                <w:sz w:val="20"/>
                <w:szCs w:val="20"/>
                <w:vertAlign w:val="superscript"/>
              </w:rPr>
              <w:t>2</w:t>
            </w:r>
            <w:r w:rsidRPr="009B7B35">
              <w:rPr>
                <w:rFonts w:cs="Arial"/>
                <w:sz w:val="20"/>
                <w:szCs w:val="20"/>
              </w:rPr>
              <w:t xml:space="preserve"> GFA; or</w:t>
            </w:r>
          </w:p>
          <w:p w14:paraId="54FD9CED" w14:textId="77777777" w:rsidR="00BE36FB" w:rsidRPr="009B7B35" w:rsidRDefault="00BE36FB" w:rsidP="001A7107">
            <w:pPr>
              <w:pStyle w:val="TableText"/>
              <w:tabs>
                <w:tab w:val="left" w:pos="509"/>
              </w:tabs>
              <w:ind w:left="509" w:hanging="509"/>
              <w:rPr>
                <w:rFonts w:cs="Arial"/>
              </w:rPr>
            </w:pPr>
            <w:r w:rsidRPr="009B7B35">
              <w:rPr>
                <w:rFonts w:cs="Arial"/>
              </w:rPr>
              <w:t>(b)     otherwise code assessment in all circumstances for other types of showrooms</w:t>
            </w:r>
            <w:r w:rsidRPr="009B7B35" w:rsidDel="00646D01">
              <w:rPr>
                <w:rFonts w:cs="Arial"/>
              </w:rPr>
              <w:t xml:space="preserve"> </w:t>
            </w:r>
          </w:p>
        </w:tc>
        <w:tc>
          <w:tcPr>
            <w:cnfStyle w:val="000100000000" w:firstRow="0" w:lastRow="0" w:firstColumn="0" w:lastColumn="1" w:oddVBand="0" w:evenVBand="0" w:oddHBand="0" w:evenHBand="0" w:firstRowFirstColumn="0" w:firstRowLastColumn="0" w:lastRowFirstColumn="0" w:lastRowLastColumn="0"/>
            <w:tcW w:w="3477" w:type="dxa"/>
          </w:tcPr>
          <w:p w14:paraId="207A1853" w14:textId="77777777" w:rsidR="00BE36FB" w:rsidRPr="009B7B35" w:rsidRDefault="00BE36FB" w:rsidP="001A7107">
            <w:pPr>
              <w:pStyle w:val="TableText"/>
              <w:rPr>
                <w:rFonts w:cs="Arial"/>
                <w:color w:val="auto"/>
              </w:rPr>
            </w:pPr>
            <w:r w:rsidRPr="009B7B35">
              <w:rPr>
                <w:rFonts w:cs="Arial"/>
                <w:color w:val="auto"/>
              </w:rPr>
              <w:t>Zone code:</w:t>
            </w:r>
          </w:p>
          <w:p w14:paraId="0703F508"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p w14:paraId="3DDBF552" w14:textId="77777777" w:rsidR="00BE36FB" w:rsidRPr="009B7B35" w:rsidRDefault="00BE36FB" w:rsidP="001A7107">
            <w:pPr>
              <w:pStyle w:val="TableText"/>
              <w:rPr>
                <w:rFonts w:cs="Arial"/>
                <w:color w:val="auto"/>
              </w:rPr>
            </w:pPr>
            <w:r w:rsidRPr="009B7B35">
              <w:rPr>
                <w:rFonts w:cs="Arial"/>
                <w:color w:val="auto"/>
              </w:rPr>
              <w:t>Other development codes:</w:t>
            </w:r>
          </w:p>
          <w:p w14:paraId="3A5F1438"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6C97827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p w14:paraId="0B75963B" w14:textId="77777777" w:rsidR="00BE36FB" w:rsidRPr="009B7B35" w:rsidRDefault="00BE36FB" w:rsidP="001A7107">
            <w:pPr>
              <w:rPr>
                <w:rFonts w:cs="Arial"/>
                <w:color w:val="auto"/>
                <w:sz w:val="20"/>
                <w:szCs w:val="20"/>
              </w:rPr>
            </w:pPr>
          </w:p>
        </w:tc>
      </w:tr>
      <w:tr w:rsidR="00BE36FB" w:rsidRPr="009B7B35" w14:paraId="4656508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60CB7F12" w14:textId="77777777" w:rsidR="00BE36FB" w:rsidRPr="009B7B35" w:rsidRDefault="00BE36FB" w:rsidP="001A7107">
            <w:pPr>
              <w:pStyle w:val="TableText"/>
              <w:rPr>
                <w:rFonts w:cs="Arial"/>
              </w:rPr>
            </w:pPr>
            <w:r w:rsidRPr="009B7B35">
              <w:rPr>
                <w:rFonts w:cs="Arial"/>
              </w:rPr>
              <w:t>Hardware and trade supplies</w:t>
            </w:r>
          </w:p>
        </w:tc>
        <w:tc>
          <w:tcPr>
            <w:cnfStyle w:val="000010000000" w:firstRow="0" w:lastRow="0" w:firstColumn="0" w:lastColumn="0" w:oddVBand="1" w:evenVBand="0" w:oddHBand="0" w:evenHBand="0" w:firstRowFirstColumn="0" w:firstRowLastColumn="0" w:lastRowFirstColumn="0" w:lastRowLastColumn="0"/>
            <w:tcW w:w="3477" w:type="dxa"/>
          </w:tcPr>
          <w:p w14:paraId="79D6B153" w14:textId="77777777" w:rsidR="00BE36FB" w:rsidRPr="009B7B35" w:rsidRDefault="00BE36FB" w:rsidP="001A7107">
            <w:pPr>
              <w:pStyle w:val="TableText"/>
              <w:rPr>
                <w:rFonts w:cs="Arial"/>
              </w:rPr>
            </w:pPr>
            <w:r w:rsidRPr="009B7B35">
              <w:rPr>
                <w:rFonts w:cs="Arial"/>
              </w:rPr>
              <w:t>If less than 2,500m</w:t>
            </w:r>
            <w:r w:rsidRPr="009B7B35">
              <w:rPr>
                <w:rFonts w:cs="Arial"/>
                <w:vertAlign w:val="superscript"/>
              </w:rPr>
              <w:t xml:space="preserve">2 </w:t>
            </w:r>
            <w:r w:rsidRPr="009B7B35">
              <w:rPr>
                <w:rFonts w:cs="Arial"/>
              </w:rPr>
              <w:t>GFA</w:t>
            </w:r>
          </w:p>
        </w:tc>
        <w:tc>
          <w:tcPr>
            <w:cnfStyle w:val="000100000000" w:firstRow="0" w:lastRow="0" w:firstColumn="0" w:lastColumn="1" w:oddVBand="0" w:evenVBand="0" w:oddHBand="0" w:evenHBand="0" w:firstRowFirstColumn="0" w:firstRowLastColumn="0" w:lastRowFirstColumn="0" w:lastRowLastColumn="0"/>
            <w:tcW w:w="3477" w:type="dxa"/>
          </w:tcPr>
          <w:p w14:paraId="3C5DAA8C" w14:textId="77777777" w:rsidR="00BE36FB" w:rsidRPr="009B7B35" w:rsidRDefault="00BE36FB" w:rsidP="001A7107">
            <w:pPr>
              <w:pStyle w:val="TableText"/>
              <w:rPr>
                <w:rFonts w:cs="Arial"/>
                <w:color w:val="auto"/>
              </w:rPr>
            </w:pPr>
            <w:r w:rsidRPr="009B7B35">
              <w:rPr>
                <w:rFonts w:cs="Arial"/>
                <w:color w:val="auto"/>
              </w:rPr>
              <w:t>Zone code:</w:t>
            </w:r>
          </w:p>
          <w:p w14:paraId="70649E30"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Low impact industry zone code</w:t>
            </w:r>
          </w:p>
          <w:p w14:paraId="5F1595C4" w14:textId="77777777" w:rsidR="00BE36FB" w:rsidRPr="009B7B35" w:rsidRDefault="00BE36FB" w:rsidP="001A7107">
            <w:pPr>
              <w:pStyle w:val="TableText"/>
              <w:rPr>
                <w:rFonts w:cs="Arial"/>
                <w:color w:val="auto"/>
              </w:rPr>
            </w:pPr>
            <w:r w:rsidRPr="009B7B35">
              <w:rPr>
                <w:rFonts w:cs="Arial"/>
                <w:color w:val="auto"/>
              </w:rPr>
              <w:t>Other development codes:</w:t>
            </w:r>
          </w:p>
          <w:p w14:paraId="5A1F63A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013E191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7072F95F"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785BAFC4"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5CF31D87" w14:textId="77777777"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888" w:type="dxa"/>
            <w:gridSpan w:val="2"/>
          </w:tcPr>
          <w:p w14:paraId="05D5A56E"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7038206F"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34413A5C"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7" w:type="dxa"/>
          </w:tcPr>
          <w:p w14:paraId="4568B4F6"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75C0ADEA" w14:textId="77777777" w:rsidR="00BE36FB" w:rsidRPr="009B7B35" w:rsidRDefault="00BE36FB" w:rsidP="001A7107">
      <w:pPr>
        <w:pStyle w:val="Heading5"/>
        <w:numPr>
          <w:ilvl w:val="0"/>
          <w:numId w:val="0"/>
        </w:numPr>
        <w:rPr>
          <w:rFonts w:cs="Arial"/>
          <w:szCs w:val="20"/>
        </w:rPr>
      </w:pPr>
      <w:r w:rsidRPr="009B7B35">
        <w:rPr>
          <w:rFonts w:cs="Arial"/>
          <w:szCs w:val="20"/>
        </w:rPr>
        <w:t>Table 5.5.12—Medium impact industry zone</w:t>
      </w:r>
    </w:p>
    <w:tbl>
      <w:tblPr>
        <w:tblStyle w:val="Tablestyle"/>
        <w:tblW w:w="9365" w:type="dxa"/>
        <w:tblLook w:val="01E0" w:firstRow="1" w:lastRow="1" w:firstColumn="1" w:lastColumn="1" w:noHBand="0" w:noVBand="0"/>
      </w:tblPr>
      <w:tblGrid>
        <w:gridCol w:w="2380"/>
        <w:gridCol w:w="3499"/>
        <w:gridCol w:w="3486"/>
      </w:tblGrid>
      <w:tr w:rsidR="00BE36FB" w:rsidRPr="009B7B35" w14:paraId="29D20B0B" w14:textId="77777777"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80" w:type="dxa"/>
          </w:tcPr>
          <w:p w14:paraId="7BDCDD18"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14:paraId="631AE1EB"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14:paraId="1959EC7C"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69051B3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79FE6F19" w14:textId="77777777" w:rsidR="00BE36FB" w:rsidRPr="009B7B35" w:rsidRDefault="00BE36FB" w:rsidP="001A7107">
            <w:pPr>
              <w:pStyle w:val="TableText"/>
              <w:rPr>
                <w:rFonts w:cs="Arial"/>
              </w:rPr>
            </w:pPr>
            <w:r w:rsidRPr="009B7B35">
              <w:rPr>
                <w:rFonts w:cs="Arial"/>
              </w:rPr>
              <w:t>Caretakers accommodation</w:t>
            </w:r>
          </w:p>
          <w:p w14:paraId="30F90493" w14:textId="77777777" w:rsidR="00BE36FB" w:rsidRPr="009B7B35" w:rsidRDefault="00BE36FB" w:rsidP="001A7107">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5C3143DB"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684E977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03F149E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5AADA6C5"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14:paraId="52E3AAB5" w14:textId="77777777" w:rsidR="00BE36FB" w:rsidRPr="009B7B35" w:rsidRDefault="00BE36FB" w:rsidP="001A7107">
            <w:pPr>
              <w:pStyle w:val="TableText"/>
              <w:rPr>
                <w:rFonts w:cs="Arial"/>
                <w:color w:val="auto"/>
              </w:rPr>
            </w:pPr>
            <w:r w:rsidRPr="009B7B35">
              <w:rPr>
                <w:rFonts w:cs="Arial"/>
                <w:color w:val="auto"/>
              </w:rPr>
              <w:t>Zone code:</w:t>
            </w:r>
          </w:p>
          <w:p w14:paraId="0318C51D"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Medium impact industry zone code</w:t>
            </w:r>
          </w:p>
        </w:tc>
      </w:tr>
      <w:tr w:rsidR="00BE36FB" w:rsidRPr="009B7B35" w14:paraId="2B705BF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2A159756" w14:textId="77777777" w:rsidR="00BE36FB" w:rsidRPr="009B7B35" w:rsidRDefault="00BE36FB" w:rsidP="001A7107">
            <w:pPr>
              <w:pStyle w:val="TableText"/>
              <w:rPr>
                <w:rFonts w:cs="Arial"/>
              </w:rPr>
            </w:pPr>
            <w:r w:rsidRPr="009B7B35">
              <w:rPr>
                <w:rFonts w:cs="Arial"/>
              </w:rPr>
              <w:t>Emergency services</w:t>
            </w:r>
          </w:p>
          <w:p w14:paraId="195B8653" w14:textId="77777777" w:rsidR="00BE36FB" w:rsidRPr="009B7B35" w:rsidRDefault="00BE36FB" w:rsidP="001A7107">
            <w:pPr>
              <w:pStyle w:val="TableText"/>
              <w:rPr>
                <w:rFonts w:cs="Arial"/>
              </w:rPr>
            </w:pPr>
            <w:r w:rsidRPr="009B7B35">
              <w:rPr>
                <w:rFonts w:cs="Arial"/>
              </w:rPr>
              <w:t>Substation</w:t>
            </w:r>
          </w:p>
          <w:p w14:paraId="673CEDF3"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27816E47"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0543638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10848865"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47713B9F"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5E090DB0" w14:textId="77777777" w:rsidR="00BE36FB" w:rsidRPr="009B7B35" w:rsidRDefault="00BE36FB" w:rsidP="001A7107">
            <w:pPr>
              <w:pStyle w:val="TableText"/>
              <w:rPr>
                <w:rFonts w:cs="Arial"/>
              </w:rPr>
            </w:pPr>
            <w:r w:rsidRPr="009B7B35">
              <w:rPr>
                <w:rFonts w:cs="Arial"/>
              </w:rPr>
              <w:t xml:space="preserve">Otherwise, where undertaken by a public sector entity. </w:t>
            </w:r>
          </w:p>
        </w:tc>
        <w:tc>
          <w:tcPr>
            <w:cnfStyle w:val="000100000000" w:firstRow="0" w:lastRow="0" w:firstColumn="0" w:lastColumn="1" w:oddVBand="0" w:evenVBand="0" w:oddHBand="0" w:evenHBand="0" w:firstRowFirstColumn="0" w:firstRowLastColumn="0" w:lastRowFirstColumn="0" w:lastRowLastColumn="0"/>
            <w:tcW w:w="3486" w:type="dxa"/>
          </w:tcPr>
          <w:p w14:paraId="1C5F0B5B"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5FFA853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054EC243"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397F33F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4A4C6F2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28D4948D"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7E53A056"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14:paraId="693B0F81" w14:textId="77777777" w:rsidR="00BE36FB" w:rsidRPr="009B7B35" w:rsidRDefault="00BE36FB" w:rsidP="001A7107">
            <w:pPr>
              <w:pStyle w:val="TableText"/>
              <w:rPr>
                <w:rFonts w:cs="Arial"/>
                <w:color w:val="auto"/>
              </w:rPr>
            </w:pPr>
            <w:r w:rsidRPr="009B7B35">
              <w:rPr>
                <w:rFonts w:cs="Arial"/>
                <w:color w:val="auto"/>
              </w:rPr>
              <w:t>Zone code:</w:t>
            </w:r>
          </w:p>
          <w:p w14:paraId="19CEC944"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Medium impact industry zone code</w:t>
            </w:r>
          </w:p>
          <w:p w14:paraId="2D0C03C8" w14:textId="77777777" w:rsidR="00BE36FB" w:rsidRPr="009B7B35" w:rsidRDefault="00BE36FB" w:rsidP="001A7107">
            <w:pPr>
              <w:pStyle w:val="TableText"/>
              <w:rPr>
                <w:rFonts w:cs="Arial"/>
                <w:color w:val="auto"/>
              </w:rPr>
            </w:pPr>
            <w:r w:rsidRPr="009B7B35">
              <w:rPr>
                <w:rFonts w:cs="Arial"/>
                <w:color w:val="auto"/>
              </w:rPr>
              <w:t>Other development codes:</w:t>
            </w:r>
          </w:p>
          <w:p w14:paraId="40F9CD79"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3A24646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7151F17A" w14:textId="77777777" w:rsidR="00BE36FB" w:rsidRPr="009B7B35" w:rsidRDefault="00BE36FB" w:rsidP="001A7107">
            <w:pPr>
              <w:pStyle w:val="TableText"/>
              <w:rPr>
                <w:rFonts w:cs="Arial"/>
              </w:rPr>
            </w:pPr>
            <w:r w:rsidRPr="009B7B35">
              <w:rPr>
                <w:rFonts w:cs="Arial"/>
              </w:rPr>
              <w:t>Landing*</w:t>
            </w:r>
          </w:p>
          <w:p w14:paraId="6FA9D73E"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61B36486"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6DCE631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212BFF89"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2FF6EEE1"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14:paraId="2F370BD9"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12DACD7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21BB57D9" w14:textId="77777777" w:rsidR="00BE36FB" w:rsidRPr="009B7B35" w:rsidRDefault="00BE36FB" w:rsidP="001A7107">
            <w:pPr>
              <w:pStyle w:val="TableText"/>
              <w:rPr>
                <w:rFonts w:cs="Arial"/>
              </w:rPr>
            </w:pPr>
            <w:r w:rsidRPr="009B7B35">
              <w:rPr>
                <w:rFonts w:cs="Arial"/>
              </w:rPr>
              <w:t>Low impact industry</w:t>
            </w:r>
          </w:p>
          <w:p w14:paraId="2B25DD33" w14:textId="77777777" w:rsidR="00BE36FB" w:rsidRPr="009B7B35" w:rsidRDefault="00BE36FB" w:rsidP="001A7107">
            <w:pPr>
              <w:pStyle w:val="TableText"/>
              <w:rPr>
                <w:rFonts w:cs="Arial"/>
              </w:rPr>
            </w:pPr>
            <w:r w:rsidRPr="009B7B35">
              <w:rPr>
                <w:rFonts w:cs="Arial"/>
              </w:rPr>
              <w:t>Bulk landscape supplies</w:t>
            </w:r>
          </w:p>
          <w:p w14:paraId="66A3BE4C" w14:textId="77777777" w:rsidR="00BE36FB" w:rsidRPr="009B7B35" w:rsidRDefault="00BE36FB" w:rsidP="001A7107">
            <w:pPr>
              <w:pStyle w:val="TableText"/>
              <w:rPr>
                <w:rFonts w:cs="Arial"/>
              </w:rPr>
            </w:pPr>
            <w:r w:rsidRPr="009B7B35">
              <w:rPr>
                <w:rFonts w:cs="Arial"/>
              </w:rPr>
              <w:t>Food and drink outlet</w:t>
            </w:r>
          </w:p>
          <w:p w14:paraId="32C86278" w14:textId="77777777" w:rsidR="00BE36FB" w:rsidRPr="009B7B35" w:rsidRDefault="00BE36FB" w:rsidP="001A7107">
            <w:pPr>
              <w:pStyle w:val="TableText"/>
              <w:rPr>
                <w:rFonts w:cs="Arial"/>
              </w:rPr>
            </w:pPr>
            <w:r w:rsidRPr="009B7B35">
              <w:rPr>
                <w:rFonts w:cs="Arial"/>
              </w:rPr>
              <w:t>High impact industry</w:t>
            </w:r>
          </w:p>
          <w:p w14:paraId="4C766EE8" w14:textId="77777777" w:rsidR="00BE36FB" w:rsidRPr="009B7B35" w:rsidRDefault="00BE36FB" w:rsidP="001A7107">
            <w:pPr>
              <w:pStyle w:val="TableText"/>
              <w:rPr>
                <w:rFonts w:cs="Arial"/>
              </w:rPr>
            </w:pPr>
            <w:r w:rsidRPr="009B7B35">
              <w:rPr>
                <w:rFonts w:cs="Arial"/>
              </w:rPr>
              <w:t>Service station</w:t>
            </w:r>
          </w:p>
          <w:p w14:paraId="7689A7E6" w14:textId="77777777" w:rsidR="00BE36FB" w:rsidRPr="009B7B35" w:rsidRDefault="00BE36FB" w:rsidP="001A7107">
            <w:pPr>
              <w:pStyle w:val="TableText"/>
              <w:rPr>
                <w:rFonts w:cs="Arial"/>
              </w:rPr>
            </w:pPr>
            <w:r w:rsidRPr="009B7B35">
              <w:rPr>
                <w:rFonts w:cs="Arial"/>
              </w:rPr>
              <w:t xml:space="preserve">Major electricity infrastructure </w:t>
            </w:r>
          </w:p>
          <w:p w14:paraId="19FB18CB" w14:textId="77777777" w:rsidR="00BE36FB" w:rsidRPr="009B7B35" w:rsidRDefault="00BE36FB" w:rsidP="001A7107">
            <w:pPr>
              <w:pStyle w:val="TableText"/>
              <w:rPr>
                <w:rFonts w:cs="Arial"/>
              </w:rPr>
            </w:pPr>
            <w:r w:rsidRPr="009B7B35">
              <w:rPr>
                <w:rFonts w:cs="Arial"/>
              </w:rPr>
              <w:t>Renewable energy facility</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50F2EF7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385D523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6F09A233"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5FA07968" w14:textId="77777777" w:rsidR="00BE36FB" w:rsidRPr="009B7B35" w:rsidRDefault="00BE36FB" w:rsidP="001A7107">
            <w:pPr>
              <w:pStyle w:val="TableText"/>
              <w:rPr>
                <w:rFonts w:cs="Arial"/>
              </w:rPr>
            </w:pPr>
            <w:r w:rsidRPr="009B7B35">
              <w:rPr>
                <w:rFonts w:cs="Arial"/>
              </w:rPr>
              <w:t>In all circumstances.</w:t>
            </w:r>
          </w:p>
          <w:p w14:paraId="2A5E86CA" w14:textId="77777777" w:rsidR="00BE36FB" w:rsidRPr="009B7B35" w:rsidRDefault="00BE36FB" w:rsidP="001A7107">
            <w:pPr>
              <w:pStyle w:val="TableText"/>
              <w:rPr>
                <w:rFonts w:cs="Arial"/>
              </w:rPr>
            </w:pPr>
            <w:r w:rsidRPr="009B7B35">
              <w:rPr>
                <w:rFonts w:cs="Arial"/>
              </w:rPr>
              <w:t>If High impact industry, only where concrete batching and producing concrete products.</w:t>
            </w:r>
          </w:p>
        </w:tc>
        <w:tc>
          <w:tcPr>
            <w:cnfStyle w:val="000100000000" w:firstRow="0" w:lastRow="0" w:firstColumn="0" w:lastColumn="1" w:oddVBand="0" w:evenVBand="0" w:oddHBand="0" w:evenHBand="0" w:firstRowFirstColumn="0" w:firstRowLastColumn="0" w:lastRowFirstColumn="0" w:lastRowLastColumn="0"/>
            <w:tcW w:w="3486" w:type="dxa"/>
          </w:tcPr>
          <w:p w14:paraId="0765BE77" w14:textId="77777777" w:rsidR="00BE36FB" w:rsidRPr="009B7B35" w:rsidRDefault="00BE36FB" w:rsidP="001A7107">
            <w:pPr>
              <w:pStyle w:val="TableText"/>
              <w:rPr>
                <w:rFonts w:cs="Arial"/>
                <w:color w:val="auto"/>
              </w:rPr>
            </w:pPr>
            <w:r w:rsidRPr="009B7B35">
              <w:rPr>
                <w:rFonts w:cs="Arial"/>
                <w:color w:val="auto"/>
              </w:rPr>
              <w:t>Zone code:</w:t>
            </w:r>
          </w:p>
          <w:p w14:paraId="65488EDB"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Medium impact industry zone code</w:t>
            </w:r>
          </w:p>
          <w:p w14:paraId="2B9D472B" w14:textId="77777777" w:rsidR="00BE36FB" w:rsidRPr="009B7B35" w:rsidRDefault="00BE36FB" w:rsidP="001A7107">
            <w:pPr>
              <w:pStyle w:val="TableText"/>
              <w:rPr>
                <w:rFonts w:cs="Arial"/>
                <w:color w:val="auto"/>
              </w:rPr>
            </w:pPr>
            <w:r w:rsidRPr="009B7B35">
              <w:rPr>
                <w:rFonts w:cs="Arial"/>
                <w:color w:val="auto"/>
              </w:rPr>
              <w:t>Other development codes:</w:t>
            </w:r>
          </w:p>
          <w:p w14:paraId="4BC00DC5"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21DD0D8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26657631" w14:textId="77777777" w:rsidTr="001A710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6F278462" w14:textId="77777777" w:rsidR="00BE36FB" w:rsidRPr="009B7B35" w:rsidRDefault="00BE36FB" w:rsidP="001A7107">
            <w:pPr>
              <w:pStyle w:val="TableText"/>
              <w:rPr>
                <w:rFonts w:cs="Arial"/>
              </w:rPr>
            </w:pPr>
            <w:r w:rsidRPr="009B7B35">
              <w:rPr>
                <w:rFonts w:cs="Arial"/>
              </w:rPr>
              <w:t>Marine industry</w:t>
            </w:r>
          </w:p>
          <w:p w14:paraId="5A0E883B" w14:textId="77777777" w:rsidR="00BE36FB" w:rsidRPr="009B7B35" w:rsidRDefault="00BE36FB" w:rsidP="001A7107">
            <w:pPr>
              <w:pStyle w:val="TableText"/>
              <w:rPr>
                <w:rFonts w:cs="Arial"/>
              </w:rPr>
            </w:pPr>
            <w:r w:rsidRPr="009B7B35">
              <w:rPr>
                <w:rFonts w:cs="Arial"/>
              </w:rPr>
              <w:t>Medium impact industry</w:t>
            </w:r>
          </w:p>
          <w:p w14:paraId="7A8D172C" w14:textId="77777777" w:rsidR="00BE36FB" w:rsidRPr="009B7B35" w:rsidRDefault="00BE36FB" w:rsidP="001A7107">
            <w:pPr>
              <w:pStyle w:val="TableText"/>
              <w:rPr>
                <w:rFonts w:cs="Arial"/>
              </w:rPr>
            </w:pPr>
            <w:r w:rsidRPr="009B7B35">
              <w:rPr>
                <w:rFonts w:cs="Arial"/>
              </w:rPr>
              <w:t>Office</w:t>
            </w:r>
          </w:p>
          <w:p w14:paraId="11BEE7BA" w14:textId="77777777" w:rsidR="00BE36FB" w:rsidRPr="009B7B35" w:rsidRDefault="00BE36FB" w:rsidP="001A7107">
            <w:pPr>
              <w:pStyle w:val="TableText"/>
              <w:rPr>
                <w:rFonts w:cs="Arial"/>
              </w:rPr>
            </w:pPr>
            <w:r w:rsidRPr="009B7B35">
              <w:rPr>
                <w:rFonts w:cs="Arial"/>
              </w:rPr>
              <w:t>Research and technology industry</w:t>
            </w:r>
          </w:p>
          <w:p w14:paraId="63CC7E0B" w14:textId="77777777" w:rsidR="00BE36FB" w:rsidRPr="009B7B35" w:rsidRDefault="00BE36FB" w:rsidP="001A7107">
            <w:pPr>
              <w:pStyle w:val="TableText"/>
              <w:rPr>
                <w:rFonts w:cs="Arial"/>
              </w:rPr>
            </w:pPr>
            <w:r w:rsidRPr="009B7B35">
              <w:rPr>
                <w:rFonts w:cs="Arial"/>
              </w:rPr>
              <w:t xml:space="preserve">Rural industry </w:t>
            </w:r>
          </w:p>
          <w:p w14:paraId="370C6408" w14:textId="77777777" w:rsidR="00BE36FB" w:rsidRPr="009B7B35" w:rsidRDefault="00BE36FB" w:rsidP="001A7107">
            <w:pPr>
              <w:pStyle w:val="TableText"/>
              <w:rPr>
                <w:rFonts w:cs="Arial"/>
              </w:rPr>
            </w:pPr>
            <w:r w:rsidRPr="009B7B35">
              <w:rPr>
                <w:rFonts w:cs="Arial"/>
              </w:rPr>
              <w:t>Warehouse</w:t>
            </w:r>
          </w:p>
          <w:p w14:paraId="7166604B" w14:textId="77777777" w:rsidR="00BE36FB" w:rsidRPr="009B7B35" w:rsidRDefault="00BE36FB" w:rsidP="001A7107">
            <w:pPr>
              <w:pStyle w:val="TableText"/>
              <w:rPr>
                <w:rFonts w:cs="Arial"/>
              </w:rPr>
            </w:pPr>
            <w:r w:rsidRPr="009B7B35">
              <w:rPr>
                <w:rFonts w:cs="Arial"/>
              </w:rPr>
              <w:t>Transport depot</w:t>
            </w:r>
          </w:p>
          <w:p w14:paraId="7F8911D5"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487E0A7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3CEF5DA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1D73F74A"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04E2A249" w14:textId="77777777" w:rsidR="00BE36FB" w:rsidRPr="009B7B35" w:rsidRDefault="00BE36FB" w:rsidP="001A7107">
            <w:pPr>
              <w:pStyle w:val="TableText"/>
              <w:rPr>
                <w:rFonts w:cs="Arial"/>
              </w:rPr>
            </w:pPr>
            <w:r w:rsidRPr="009B7B35">
              <w:rPr>
                <w:rFonts w:cs="Arial"/>
              </w:rPr>
              <w:t>If complying with the relevant accepted development acceptable outcomes.</w:t>
            </w:r>
          </w:p>
          <w:p w14:paraId="05787A2E" w14:textId="77777777" w:rsidR="00BE36FB" w:rsidRPr="009B7B35" w:rsidRDefault="00BE36FB" w:rsidP="001A7107">
            <w:pPr>
              <w:pStyle w:val="TableText"/>
              <w:rPr>
                <w:rFonts w:cs="Arial"/>
              </w:rPr>
            </w:pPr>
            <w:r w:rsidRPr="009B7B35">
              <w:rPr>
                <w:rFonts w:cs="Arial"/>
              </w:rPr>
              <w:t>If Office only where ancillary to an industrial activity.</w:t>
            </w:r>
          </w:p>
        </w:tc>
        <w:tc>
          <w:tcPr>
            <w:cnfStyle w:val="000100000000" w:firstRow="0" w:lastRow="0" w:firstColumn="0" w:lastColumn="1" w:oddVBand="0" w:evenVBand="0" w:oddHBand="0" w:evenHBand="0" w:firstRowFirstColumn="0" w:firstRowLastColumn="0" w:lastRowFirstColumn="0" w:lastRowLastColumn="0"/>
            <w:tcW w:w="3486" w:type="dxa"/>
          </w:tcPr>
          <w:p w14:paraId="79F3D7E7" w14:textId="77777777" w:rsidR="00BE36FB" w:rsidRPr="009B7B35" w:rsidRDefault="00BE36FB" w:rsidP="001A7107">
            <w:pPr>
              <w:pStyle w:val="TableText"/>
              <w:rPr>
                <w:rFonts w:cs="Arial"/>
                <w:color w:val="auto"/>
              </w:rPr>
            </w:pPr>
            <w:r w:rsidRPr="009B7B35">
              <w:rPr>
                <w:rFonts w:cs="Arial"/>
                <w:color w:val="auto"/>
              </w:rPr>
              <w:t>Zone code:</w:t>
            </w:r>
          </w:p>
          <w:p w14:paraId="1AAEA4AB"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Medium impact industry zone code</w:t>
            </w:r>
          </w:p>
          <w:p w14:paraId="38EFEF64" w14:textId="77777777" w:rsidR="00BE36FB" w:rsidRPr="009B7B35" w:rsidRDefault="00BE36FB" w:rsidP="001A7107">
            <w:pPr>
              <w:pStyle w:val="TableText"/>
              <w:rPr>
                <w:rFonts w:cs="Arial"/>
                <w:color w:val="auto"/>
              </w:rPr>
            </w:pPr>
            <w:r w:rsidRPr="009B7B35">
              <w:rPr>
                <w:rFonts w:cs="Arial"/>
                <w:color w:val="auto"/>
              </w:rPr>
              <w:t>Other development codes:</w:t>
            </w:r>
          </w:p>
          <w:p w14:paraId="67BF9CCD"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6E12E7E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45E7DEAD" w14:textId="77777777" w:rsidR="00BE36FB" w:rsidRPr="009B7B35" w:rsidRDefault="00BE36FB" w:rsidP="001A7107">
            <w:pPr>
              <w:pStyle w:val="TableText"/>
              <w:rPr>
                <w:rFonts w:cs="Arial"/>
              </w:rPr>
            </w:pPr>
            <w:r w:rsidRPr="009B7B35">
              <w:rPr>
                <w:rFonts w:cs="Arial"/>
              </w:rPr>
              <w:t xml:space="preserve">Telecommunications facility </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6B566FFB"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4F21AB3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66580666"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59FA63C6"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14:paraId="75D29245" w14:textId="77777777" w:rsidR="00BE36FB" w:rsidRPr="009B7B35" w:rsidRDefault="00BE36FB" w:rsidP="001A7107">
            <w:pPr>
              <w:pStyle w:val="ListBullet"/>
              <w:numPr>
                <w:ilvl w:val="0"/>
                <w:numId w:val="0"/>
              </w:numPr>
              <w:ind w:left="284" w:hanging="266"/>
              <w:rPr>
                <w:rFonts w:cs="Arial"/>
                <w:color w:val="auto"/>
                <w:szCs w:val="20"/>
              </w:rPr>
            </w:pPr>
            <w:r w:rsidRPr="009B7B35">
              <w:rPr>
                <w:rFonts w:cs="Arial"/>
                <w:color w:val="auto"/>
                <w:szCs w:val="20"/>
              </w:rPr>
              <w:t>Use code:</w:t>
            </w:r>
          </w:p>
          <w:p w14:paraId="2A425E20"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 facility code.</w:t>
            </w:r>
          </w:p>
        </w:tc>
      </w:tr>
      <w:tr w:rsidR="00BE36FB" w:rsidRPr="009B7B35" w14:paraId="51174B5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tcPr>
          <w:p w14:paraId="59B35D83" w14:textId="77777777" w:rsidR="00BE36FB" w:rsidRPr="009B7B35" w:rsidRDefault="00BE36FB" w:rsidP="001A7107">
            <w:pPr>
              <w:pStyle w:val="Tableheading"/>
              <w:rPr>
                <w:rFonts w:ascii="Arial" w:hAnsi="Arial" w:cs="Arial"/>
                <w:szCs w:val="20"/>
              </w:rPr>
            </w:pPr>
            <w:r w:rsidRPr="009B7B35">
              <w:rPr>
                <w:rFonts w:ascii="Arial" w:hAnsi="Arial" w:cs="Arial"/>
                <w:szCs w:val="20"/>
              </w:rPr>
              <w:t>If located in the Red Rover Road precinct</w:t>
            </w:r>
          </w:p>
        </w:tc>
      </w:tr>
      <w:tr w:rsidR="00BE36FB" w:rsidRPr="009B7B35" w14:paraId="007C5C9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05B175BD" w14:textId="77777777" w:rsidR="00BE36FB" w:rsidRPr="009B7B35" w:rsidRDefault="00BE36FB" w:rsidP="001A7107">
            <w:pPr>
              <w:pStyle w:val="TableText"/>
              <w:rPr>
                <w:rFonts w:cs="Arial"/>
              </w:rPr>
            </w:pPr>
            <w:r w:rsidRPr="009B7B35">
              <w:rPr>
                <w:rFonts w:cs="Arial"/>
              </w:rPr>
              <w:t>Low impact industry</w:t>
            </w:r>
          </w:p>
          <w:p w14:paraId="03FE8B30" w14:textId="77777777" w:rsidR="00BE36FB" w:rsidRPr="009B7B35" w:rsidRDefault="00BE36FB" w:rsidP="001A7107">
            <w:pPr>
              <w:pStyle w:val="TableText"/>
              <w:rPr>
                <w:rFonts w:cs="Arial"/>
              </w:rPr>
            </w:pPr>
            <w:r w:rsidRPr="009B7B35">
              <w:rPr>
                <w:rFonts w:cs="Arial"/>
              </w:rPr>
              <w:t>Marine industry</w:t>
            </w:r>
          </w:p>
          <w:p w14:paraId="572E5467" w14:textId="77777777" w:rsidR="00BE36FB" w:rsidRPr="009B7B35" w:rsidRDefault="00BE36FB" w:rsidP="001A7107">
            <w:pPr>
              <w:pStyle w:val="TableText"/>
              <w:rPr>
                <w:rFonts w:cs="Arial"/>
              </w:rPr>
            </w:pPr>
            <w:r w:rsidRPr="009B7B35">
              <w:rPr>
                <w:rFonts w:cs="Arial"/>
              </w:rPr>
              <w:t>Medium impact industry</w:t>
            </w:r>
          </w:p>
          <w:p w14:paraId="2768D474" w14:textId="77777777" w:rsidR="00BE36FB" w:rsidRPr="009B7B35" w:rsidRDefault="00BE36FB" w:rsidP="001A7107">
            <w:pPr>
              <w:pStyle w:val="TableText"/>
              <w:rPr>
                <w:rFonts w:cs="Arial"/>
              </w:rPr>
            </w:pPr>
            <w:r w:rsidRPr="009B7B35">
              <w:rPr>
                <w:rFonts w:cs="Arial"/>
              </w:rPr>
              <w:t>Research and technology industry</w:t>
            </w:r>
          </w:p>
          <w:p w14:paraId="7BAB223B" w14:textId="77777777" w:rsidR="00BE36FB" w:rsidRPr="009B7B35" w:rsidRDefault="00BE36FB" w:rsidP="001A7107">
            <w:pPr>
              <w:pStyle w:val="TableText"/>
              <w:rPr>
                <w:rFonts w:cs="Arial"/>
              </w:rPr>
            </w:pPr>
            <w:r w:rsidRPr="009B7B35">
              <w:rPr>
                <w:rFonts w:cs="Arial"/>
              </w:rPr>
              <w:t>Rural industry</w:t>
            </w:r>
          </w:p>
          <w:p w14:paraId="6F4D2532" w14:textId="77777777" w:rsidR="00BE36FB" w:rsidRPr="009B7B35" w:rsidRDefault="00BE36FB" w:rsidP="001A7107">
            <w:pPr>
              <w:pStyle w:val="TableText"/>
              <w:rPr>
                <w:rFonts w:cs="Arial"/>
              </w:rPr>
            </w:pPr>
            <w:r w:rsidRPr="009B7B35">
              <w:rPr>
                <w:rFonts w:cs="Arial"/>
              </w:rPr>
              <w:t>Service station</w:t>
            </w:r>
          </w:p>
          <w:p w14:paraId="7D98E16D" w14:textId="77777777" w:rsidR="00BE36FB" w:rsidRPr="009B7B35" w:rsidRDefault="00BE36FB" w:rsidP="001A7107">
            <w:pPr>
              <w:pStyle w:val="TableText"/>
              <w:rPr>
                <w:rFonts w:cs="Arial"/>
              </w:rPr>
            </w:pPr>
            <w:r w:rsidRPr="009B7B35">
              <w:rPr>
                <w:rFonts w:cs="Arial"/>
              </w:rPr>
              <w:t>Transport depot</w:t>
            </w:r>
          </w:p>
          <w:p w14:paraId="6D0D12F3" w14:textId="77777777" w:rsidR="00BE36FB" w:rsidRPr="009B7B35" w:rsidRDefault="00BE36FB" w:rsidP="001A7107">
            <w:pPr>
              <w:pStyle w:val="TableText"/>
              <w:rPr>
                <w:rFonts w:cs="Arial"/>
              </w:rPr>
            </w:pPr>
            <w:r w:rsidRPr="009B7B35">
              <w:rPr>
                <w:rFonts w:cs="Arial"/>
              </w:rPr>
              <w:t>Warehouse</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299CD3F6"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044DF8E5" w14:textId="77777777" w:rsidTr="001A7107">
        <w:trPr>
          <w:cnfStyle w:val="000000100000" w:firstRow="0" w:lastRow="0" w:firstColumn="0" w:lastColumn="0" w:oddVBand="0" w:evenVBand="0" w:oddHBand="1" w:evenHBand="0" w:firstRowFirstColumn="0" w:firstRowLastColumn="0" w:lastRowFirstColumn="0" w:lastRowLastColumn="0"/>
          <w:trHeight w:val="1700"/>
        </w:trPr>
        <w:tc>
          <w:tcPr>
            <w:cnfStyle w:val="001000000000" w:firstRow="0" w:lastRow="0" w:firstColumn="1" w:lastColumn="0" w:oddVBand="0" w:evenVBand="0" w:oddHBand="0" w:evenHBand="0" w:firstRowFirstColumn="0" w:firstRowLastColumn="0" w:lastRowFirstColumn="0" w:lastRowLastColumn="0"/>
            <w:tcW w:w="2380" w:type="dxa"/>
            <w:vMerge/>
          </w:tcPr>
          <w:p w14:paraId="3DF7ABC5"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61858BE4" w14:textId="77777777" w:rsidR="00BE36FB" w:rsidRPr="009B7B35" w:rsidRDefault="00BE36FB">
            <w:pPr>
              <w:pStyle w:val="TableText"/>
              <w:rPr>
                <w:rFonts w:cs="Arial"/>
              </w:rPr>
            </w:pPr>
            <w:r w:rsidRPr="009B7B35">
              <w:rPr>
                <w:rFonts w:cs="Arial"/>
              </w:rPr>
              <w:t>If in accordance with an approved structure plan.</w:t>
            </w:r>
          </w:p>
        </w:tc>
        <w:tc>
          <w:tcPr>
            <w:cnfStyle w:val="000100000000" w:firstRow="0" w:lastRow="0" w:firstColumn="0" w:lastColumn="1" w:oddVBand="0" w:evenVBand="0" w:oddHBand="0" w:evenHBand="0" w:firstRowFirstColumn="0" w:firstRowLastColumn="0" w:lastRowFirstColumn="0" w:lastRowLastColumn="0"/>
            <w:tcW w:w="3486" w:type="dxa"/>
          </w:tcPr>
          <w:p w14:paraId="5B54A1A3" w14:textId="77777777" w:rsidR="00BE36FB" w:rsidRPr="009B7B35" w:rsidRDefault="00BE36FB" w:rsidP="001A7107">
            <w:pPr>
              <w:pStyle w:val="TableText"/>
              <w:rPr>
                <w:rFonts w:cs="Arial"/>
                <w:color w:val="auto"/>
              </w:rPr>
            </w:pPr>
            <w:r w:rsidRPr="009B7B35">
              <w:rPr>
                <w:rFonts w:cs="Arial"/>
                <w:color w:val="auto"/>
              </w:rPr>
              <w:t>Zone code:</w:t>
            </w:r>
          </w:p>
          <w:p w14:paraId="58C9D510"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Medium impact industry zone code</w:t>
            </w:r>
          </w:p>
          <w:p w14:paraId="51FFA166" w14:textId="77777777" w:rsidR="00BE36FB" w:rsidRPr="009B7B35" w:rsidRDefault="00BE36FB" w:rsidP="001A7107">
            <w:pPr>
              <w:pStyle w:val="TableText"/>
              <w:rPr>
                <w:rFonts w:cs="Arial"/>
                <w:color w:val="auto"/>
              </w:rPr>
            </w:pPr>
            <w:r w:rsidRPr="009B7B35">
              <w:rPr>
                <w:rFonts w:cs="Arial"/>
                <w:color w:val="auto"/>
              </w:rPr>
              <w:t>Other development codes:</w:t>
            </w:r>
          </w:p>
          <w:p w14:paraId="56DFB70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5F7E1DE6"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6D7EF0A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3E5211BA"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73763E56"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14:paraId="39E3EA19"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7798A568"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360E8F4D"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14:paraId="679C5503"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1A4258D0" w14:textId="77777777" w:rsidR="00BE36FB" w:rsidRPr="009B7B35" w:rsidRDefault="00BE36FB" w:rsidP="001A7107">
      <w:pPr>
        <w:pStyle w:val="Heading5"/>
        <w:numPr>
          <w:ilvl w:val="0"/>
          <w:numId w:val="0"/>
        </w:numPr>
        <w:rPr>
          <w:rFonts w:cs="Arial"/>
          <w:szCs w:val="20"/>
        </w:rPr>
      </w:pPr>
      <w:r w:rsidRPr="009B7B35">
        <w:rPr>
          <w:rFonts w:cs="Arial"/>
          <w:szCs w:val="20"/>
        </w:rPr>
        <w:t>Table 5.5.13—Special industry zone</w:t>
      </w:r>
    </w:p>
    <w:tbl>
      <w:tblPr>
        <w:tblStyle w:val="Tablestyle"/>
        <w:tblW w:w="9365" w:type="dxa"/>
        <w:tblLook w:val="01E0" w:firstRow="1" w:lastRow="1" w:firstColumn="1" w:lastColumn="1" w:noHBand="0" w:noVBand="0"/>
      </w:tblPr>
      <w:tblGrid>
        <w:gridCol w:w="2380"/>
        <w:gridCol w:w="3499"/>
        <w:gridCol w:w="3486"/>
      </w:tblGrid>
      <w:tr w:rsidR="00BE36FB" w:rsidRPr="009B7B35" w14:paraId="240ACF0E"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tcPr>
          <w:p w14:paraId="7E55E8DE"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14:paraId="40D38D86"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14:paraId="0EE937B5"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6815B8A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4DB61DAF" w14:textId="77777777" w:rsidR="00BE36FB" w:rsidRPr="009B7B35" w:rsidRDefault="00BE36FB" w:rsidP="001A7107">
            <w:pPr>
              <w:pStyle w:val="TableText"/>
              <w:rPr>
                <w:rFonts w:cs="Arial"/>
              </w:rPr>
            </w:pPr>
            <w:r w:rsidRPr="009B7B35">
              <w:rPr>
                <w:rFonts w:cs="Arial"/>
              </w:rPr>
              <w:t>Caretaker’s accommodation</w:t>
            </w:r>
          </w:p>
          <w:p w14:paraId="5E9D94FE" w14:textId="77777777" w:rsidR="00BE36FB" w:rsidRPr="009B7B35" w:rsidRDefault="00BE36FB" w:rsidP="001A7107">
            <w:pPr>
              <w:pStyle w:val="TableText"/>
              <w:rPr>
                <w:rFonts w:cs="Arial"/>
              </w:rPr>
            </w:pPr>
            <w:r w:rsidRPr="009B7B35">
              <w:rPr>
                <w:rFonts w:cs="Arial"/>
              </w:rPr>
              <w:t>Major electricity infrastructure</w:t>
            </w:r>
          </w:p>
          <w:p w14:paraId="5E69CCFB" w14:textId="77777777" w:rsidR="00BE36FB" w:rsidRPr="009B7B35" w:rsidRDefault="00BE36FB" w:rsidP="001A7107">
            <w:pPr>
              <w:pStyle w:val="TableText"/>
              <w:rPr>
                <w:rFonts w:cs="Arial"/>
              </w:rPr>
            </w:pPr>
            <w:r w:rsidRPr="009B7B35">
              <w:rPr>
                <w:rFonts w:cs="Arial"/>
              </w:rPr>
              <w:t>Marine industry</w:t>
            </w:r>
          </w:p>
          <w:p w14:paraId="1BE9AAED" w14:textId="77777777" w:rsidR="00BE36FB" w:rsidRPr="009B7B35" w:rsidRDefault="00BE36FB" w:rsidP="001A7107">
            <w:pPr>
              <w:pStyle w:val="TableText"/>
              <w:rPr>
                <w:rFonts w:cs="Arial"/>
              </w:rPr>
            </w:pPr>
            <w:r w:rsidRPr="009B7B35">
              <w:rPr>
                <w:rFonts w:cs="Arial"/>
              </w:rPr>
              <w:t>Medium impact industry</w:t>
            </w:r>
          </w:p>
          <w:p w14:paraId="6E4F1598" w14:textId="77777777" w:rsidR="00BE36FB" w:rsidRPr="009B7B35" w:rsidRDefault="00BE36FB" w:rsidP="001A7107">
            <w:pPr>
              <w:pStyle w:val="TableText"/>
              <w:rPr>
                <w:rFonts w:cs="Arial"/>
              </w:rPr>
            </w:pPr>
            <w:r w:rsidRPr="009B7B35">
              <w:rPr>
                <w:rFonts w:cs="Arial"/>
              </w:rPr>
              <w:t>Office</w:t>
            </w:r>
          </w:p>
          <w:p w14:paraId="6AFC5DB4" w14:textId="77777777" w:rsidR="00BE36FB" w:rsidRPr="009B7B35" w:rsidRDefault="00BE36FB" w:rsidP="001A7107">
            <w:pPr>
              <w:pStyle w:val="TableText"/>
              <w:rPr>
                <w:rFonts w:cs="Arial"/>
              </w:rPr>
            </w:pPr>
            <w:r w:rsidRPr="009B7B35">
              <w:rPr>
                <w:rFonts w:cs="Arial"/>
              </w:rPr>
              <w:t>Service station</w:t>
            </w:r>
          </w:p>
          <w:p w14:paraId="6EA3BB66" w14:textId="77777777" w:rsidR="00BE36FB" w:rsidRPr="009B7B35" w:rsidRDefault="00BE36FB" w:rsidP="001A7107">
            <w:pPr>
              <w:pStyle w:val="TableText"/>
              <w:rPr>
                <w:rFonts w:cs="Arial"/>
              </w:rPr>
            </w:pPr>
            <w:r w:rsidRPr="009B7B35">
              <w:rPr>
                <w:rFonts w:cs="Arial"/>
              </w:rPr>
              <w:t>Transport depot</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1A591F62"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6ABBB4D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2459FEDE"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2B934B77" w14:textId="77777777" w:rsidR="00BE36FB" w:rsidRPr="009B7B35" w:rsidRDefault="00BE36FB" w:rsidP="001A7107">
            <w:pPr>
              <w:pStyle w:val="TableText"/>
              <w:rPr>
                <w:rFonts w:cs="Arial"/>
              </w:rPr>
            </w:pPr>
            <w:r w:rsidRPr="009B7B35">
              <w:rPr>
                <w:rFonts w:cs="Arial"/>
              </w:rPr>
              <w:t>If Office only where ancillary to an industrial activity.</w:t>
            </w:r>
          </w:p>
        </w:tc>
        <w:tc>
          <w:tcPr>
            <w:cnfStyle w:val="000100000000" w:firstRow="0" w:lastRow="0" w:firstColumn="0" w:lastColumn="1" w:oddVBand="0" w:evenVBand="0" w:oddHBand="0" w:evenHBand="0" w:firstRowFirstColumn="0" w:firstRowLastColumn="0" w:lastRowFirstColumn="0" w:lastRowLastColumn="0"/>
            <w:tcW w:w="3486" w:type="dxa"/>
          </w:tcPr>
          <w:p w14:paraId="4CC2CC47" w14:textId="77777777" w:rsidR="00BE36FB" w:rsidRPr="009B7B35" w:rsidRDefault="00BE36FB" w:rsidP="001A7107">
            <w:pPr>
              <w:pStyle w:val="TableText"/>
              <w:rPr>
                <w:rFonts w:cs="Arial"/>
                <w:color w:val="auto"/>
              </w:rPr>
            </w:pPr>
            <w:r w:rsidRPr="009B7B35">
              <w:rPr>
                <w:rFonts w:cs="Arial"/>
                <w:color w:val="auto"/>
              </w:rPr>
              <w:t>Zone code:</w:t>
            </w:r>
          </w:p>
          <w:p w14:paraId="68239489"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Special industry zone code</w:t>
            </w:r>
          </w:p>
          <w:p w14:paraId="38063652" w14:textId="77777777" w:rsidR="00BE36FB" w:rsidRPr="009B7B35" w:rsidRDefault="00BE36FB" w:rsidP="001A7107">
            <w:pPr>
              <w:pStyle w:val="TableText"/>
              <w:rPr>
                <w:rFonts w:cs="Arial"/>
                <w:color w:val="auto"/>
              </w:rPr>
            </w:pPr>
            <w:r w:rsidRPr="009B7B35">
              <w:rPr>
                <w:rFonts w:cs="Arial"/>
                <w:color w:val="auto"/>
              </w:rPr>
              <w:t>Other development codes:</w:t>
            </w:r>
          </w:p>
          <w:p w14:paraId="615EA68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07267DF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09CC387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3E166258" w14:textId="77777777" w:rsidR="00BE36FB" w:rsidRPr="009B7B35" w:rsidRDefault="00BE36FB" w:rsidP="001A7107">
            <w:pPr>
              <w:pStyle w:val="TableText"/>
              <w:rPr>
                <w:rFonts w:cs="Arial"/>
              </w:rPr>
            </w:pPr>
            <w:r w:rsidRPr="009B7B35">
              <w:rPr>
                <w:rFonts w:cs="Arial"/>
              </w:rPr>
              <w:t>Emergency services</w:t>
            </w:r>
          </w:p>
          <w:p w14:paraId="7BC79E8F" w14:textId="77777777" w:rsidR="00BE36FB" w:rsidRPr="009B7B35" w:rsidRDefault="00BE36FB" w:rsidP="001A7107">
            <w:pPr>
              <w:pStyle w:val="TableText"/>
              <w:rPr>
                <w:rFonts w:cs="Arial"/>
              </w:rPr>
            </w:pPr>
            <w:r w:rsidRPr="009B7B35">
              <w:rPr>
                <w:rFonts w:cs="Arial"/>
              </w:rPr>
              <w:t>Substation</w:t>
            </w:r>
          </w:p>
          <w:p w14:paraId="341AD6ED"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04B4090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55E74F7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7A9E6FD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2B365431"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5E48ACA6" w14:textId="77777777" w:rsidR="00BE36FB" w:rsidRPr="009B7B35" w:rsidRDefault="00BE36FB" w:rsidP="001A7107">
            <w:pPr>
              <w:pStyle w:val="TableText"/>
              <w:rPr>
                <w:rFonts w:cs="Arial"/>
              </w:rPr>
            </w:pPr>
            <w:r w:rsidRPr="009B7B35">
              <w:rPr>
                <w:rFonts w:cs="Arial"/>
              </w:rPr>
              <w:t xml:space="preserve">Otherwise, where undertaken by a public sector entity. </w:t>
            </w:r>
          </w:p>
          <w:p w14:paraId="251435C5"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86" w:type="dxa"/>
          </w:tcPr>
          <w:p w14:paraId="135F9BC3"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50FBF2B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25E0A150"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35993110"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01224E5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6C9BA116"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297FA8D4"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14:paraId="217C8CC8" w14:textId="77777777" w:rsidR="00BE36FB" w:rsidRPr="009B7B35" w:rsidRDefault="00BE36FB" w:rsidP="001A7107">
            <w:pPr>
              <w:pStyle w:val="TableText"/>
              <w:rPr>
                <w:rFonts w:cs="Arial"/>
                <w:color w:val="auto"/>
              </w:rPr>
            </w:pPr>
            <w:r w:rsidRPr="009B7B35">
              <w:rPr>
                <w:rFonts w:cs="Arial"/>
                <w:color w:val="auto"/>
              </w:rPr>
              <w:t>Zone code:</w:t>
            </w:r>
          </w:p>
          <w:p w14:paraId="42319E3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Special industry zone code</w:t>
            </w:r>
          </w:p>
          <w:p w14:paraId="04904BE0" w14:textId="77777777" w:rsidR="00BE36FB" w:rsidRPr="009B7B35" w:rsidRDefault="00BE36FB" w:rsidP="001A7107">
            <w:pPr>
              <w:pStyle w:val="TableText"/>
              <w:rPr>
                <w:rFonts w:cs="Arial"/>
                <w:color w:val="auto"/>
              </w:rPr>
            </w:pPr>
            <w:r w:rsidRPr="009B7B35">
              <w:rPr>
                <w:rFonts w:cs="Arial"/>
                <w:color w:val="auto"/>
              </w:rPr>
              <w:t>Other development codes:</w:t>
            </w:r>
          </w:p>
          <w:p w14:paraId="2EBB8F5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6C75E014" w14:textId="77777777" w:rsidR="00BE36FB" w:rsidRPr="009B7B35" w:rsidRDefault="00BE36FB" w:rsidP="001A7107">
            <w:pPr>
              <w:pStyle w:val="ListBullet"/>
              <w:numPr>
                <w:ilvl w:val="0"/>
                <w:numId w:val="0"/>
              </w:numPr>
              <w:ind w:left="284"/>
              <w:rPr>
                <w:rFonts w:cs="Arial"/>
                <w:color w:val="auto"/>
                <w:szCs w:val="20"/>
              </w:rPr>
            </w:pPr>
          </w:p>
        </w:tc>
      </w:tr>
      <w:tr w:rsidR="00BE36FB" w:rsidRPr="009B7B35" w14:paraId="673EBCB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1C230E09" w14:textId="77777777" w:rsidR="00BE36FB" w:rsidRPr="009B7B35" w:rsidRDefault="00BE36FB" w:rsidP="001A7107">
            <w:pPr>
              <w:pStyle w:val="TableText"/>
              <w:rPr>
                <w:rFonts w:cs="Arial"/>
              </w:rPr>
            </w:pPr>
            <w:r w:rsidRPr="009B7B35">
              <w:rPr>
                <w:rFonts w:cs="Arial"/>
              </w:rPr>
              <w:t>Landing*</w:t>
            </w:r>
          </w:p>
          <w:p w14:paraId="07DE20E1"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6F9FF9CA"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53EB1F4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6CDACA83"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20980478"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14:paraId="02F03342"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5AE55E7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7E1BB864" w14:textId="77777777" w:rsidR="00BE36FB" w:rsidRPr="009B7B35" w:rsidRDefault="00BE36FB" w:rsidP="001A7107">
            <w:pPr>
              <w:pStyle w:val="TableText"/>
              <w:rPr>
                <w:rFonts w:cs="Arial"/>
              </w:rPr>
            </w:pPr>
            <w:r w:rsidRPr="009B7B35">
              <w:rPr>
                <w:rFonts w:cs="Arial"/>
              </w:rPr>
              <w:t xml:space="preserve">Telecommunications facility </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087DBDC2"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27355D7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2C65F4C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5E6BCE81"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14:paraId="68DE19C1" w14:textId="77777777" w:rsidR="00BE36FB" w:rsidRPr="009B7B35" w:rsidRDefault="00BE36FB" w:rsidP="001A7107">
            <w:pPr>
              <w:pStyle w:val="ListBullet"/>
              <w:numPr>
                <w:ilvl w:val="0"/>
                <w:numId w:val="0"/>
              </w:numPr>
              <w:tabs>
                <w:tab w:val="clear" w:pos="284"/>
                <w:tab w:val="left" w:pos="0"/>
              </w:tabs>
              <w:ind w:left="284" w:hanging="266"/>
              <w:rPr>
                <w:rFonts w:cs="Arial"/>
                <w:color w:val="auto"/>
                <w:szCs w:val="20"/>
              </w:rPr>
            </w:pPr>
            <w:r w:rsidRPr="009B7B35">
              <w:rPr>
                <w:rFonts w:cs="Arial"/>
                <w:color w:val="auto"/>
                <w:szCs w:val="20"/>
              </w:rPr>
              <w:t>Use code:</w:t>
            </w:r>
          </w:p>
          <w:p w14:paraId="2B8EFAB9"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14:paraId="2886F85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454FFC18"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6050F228"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14:paraId="5CF1F05B"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489EA93A"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09CEEB91"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14:paraId="622FD6D1"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1C66C765" w14:textId="77777777" w:rsidR="00BE36FB" w:rsidRPr="009B7B35" w:rsidRDefault="00BE36FB" w:rsidP="001A7107">
      <w:pPr>
        <w:pStyle w:val="Heading5"/>
        <w:numPr>
          <w:ilvl w:val="0"/>
          <w:numId w:val="0"/>
        </w:numPr>
        <w:rPr>
          <w:rFonts w:cs="Arial"/>
          <w:szCs w:val="20"/>
        </w:rPr>
      </w:pPr>
      <w:r w:rsidRPr="009B7B35">
        <w:rPr>
          <w:rFonts w:cs="Arial"/>
          <w:szCs w:val="20"/>
        </w:rPr>
        <w:t>Table 5.5.14—Industry investigation zone</w:t>
      </w:r>
    </w:p>
    <w:tbl>
      <w:tblPr>
        <w:tblStyle w:val="Tablestyle"/>
        <w:tblW w:w="9365" w:type="dxa"/>
        <w:tblLook w:val="01E0" w:firstRow="1" w:lastRow="1" w:firstColumn="1" w:lastColumn="1" w:noHBand="0" w:noVBand="0"/>
      </w:tblPr>
      <w:tblGrid>
        <w:gridCol w:w="2380"/>
        <w:gridCol w:w="3499"/>
        <w:gridCol w:w="3486"/>
      </w:tblGrid>
      <w:tr w:rsidR="00BE36FB" w:rsidRPr="009B7B35" w14:paraId="47E594FB"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80" w:type="dxa"/>
          </w:tcPr>
          <w:p w14:paraId="2DFC1F85"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14:paraId="3C520323"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14:paraId="314F3D0B"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21273C08"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4D912DAF" w14:textId="77777777" w:rsidR="00BE36FB" w:rsidRPr="009B7B35" w:rsidRDefault="00BE36FB" w:rsidP="001A7107">
            <w:pPr>
              <w:pStyle w:val="TableText"/>
              <w:rPr>
                <w:rFonts w:cs="Arial"/>
              </w:rPr>
            </w:pPr>
            <w:r w:rsidRPr="009B7B35">
              <w:rPr>
                <w:rFonts w:cs="Arial"/>
              </w:rPr>
              <w:t>Animal husbandry</w:t>
            </w:r>
          </w:p>
          <w:p w14:paraId="55927DDF" w14:textId="77777777" w:rsidR="00BE36FB" w:rsidRPr="009B7B35" w:rsidRDefault="00BE36FB" w:rsidP="001A7107">
            <w:pPr>
              <w:pStyle w:val="TableText"/>
              <w:rPr>
                <w:rFonts w:cs="Arial"/>
              </w:rPr>
            </w:pPr>
            <w:r w:rsidRPr="009B7B35">
              <w:rPr>
                <w:rFonts w:cs="Arial"/>
              </w:rPr>
              <w:t>Landing*</w:t>
            </w:r>
          </w:p>
          <w:p w14:paraId="6FF3B20B" w14:textId="77777777" w:rsidR="00BE36FB" w:rsidRPr="009B7B35" w:rsidRDefault="00BE36FB" w:rsidP="001A7107">
            <w:pPr>
              <w:pStyle w:val="TableText"/>
              <w:rPr>
                <w:rFonts w:cs="Arial"/>
              </w:rPr>
            </w:pPr>
            <w:r w:rsidRPr="009B7B35">
              <w:rPr>
                <w:rFonts w:cs="Arial"/>
              </w:rPr>
              <w:t>Park</w:t>
            </w:r>
          </w:p>
          <w:p w14:paraId="73024E9F"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3A8F2911"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w:t>
            </w:r>
          </w:p>
        </w:tc>
      </w:tr>
      <w:tr w:rsidR="00BE36FB" w:rsidRPr="009B7B35" w14:paraId="1571C70A"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7936C3FD"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4509ACE2"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14:paraId="1F3A2A34"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3F430D48"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48ED7C4F" w14:textId="77777777" w:rsidR="00BE36FB" w:rsidRPr="009B7B35" w:rsidRDefault="00BE36FB" w:rsidP="001A7107">
            <w:pPr>
              <w:pStyle w:val="TableText"/>
              <w:rPr>
                <w:rFonts w:cs="Arial"/>
              </w:rPr>
            </w:pPr>
            <w:r w:rsidRPr="009B7B35">
              <w:rPr>
                <w:rFonts w:cs="Arial"/>
              </w:rPr>
              <w:t xml:space="preserve">Caretaker’s accommodation </w:t>
            </w:r>
          </w:p>
          <w:p w14:paraId="59C6CCF2" w14:textId="77777777" w:rsidR="00BE36FB" w:rsidRPr="009B7B35" w:rsidRDefault="00BE36FB" w:rsidP="001A7107">
            <w:pPr>
              <w:pStyle w:val="TableText"/>
              <w:rPr>
                <w:rFonts w:cs="Arial"/>
              </w:rPr>
            </w:pPr>
            <w:r w:rsidRPr="009B7B35">
              <w:rPr>
                <w:rFonts w:cs="Arial"/>
              </w:rPr>
              <w:t>Sales office</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3AB14F7C"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20D528E3"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0A6156B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5347FF2C"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14:paraId="0C151547" w14:textId="77777777" w:rsidR="00BE36FB" w:rsidRPr="009B7B35" w:rsidRDefault="00BE36FB" w:rsidP="001A7107">
            <w:pPr>
              <w:pStyle w:val="TableText"/>
              <w:rPr>
                <w:rFonts w:cs="Arial"/>
                <w:color w:val="auto"/>
              </w:rPr>
            </w:pPr>
            <w:r w:rsidRPr="009B7B35">
              <w:rPr>
                <w:rFonts w:cs="Arial"/>
                <w:color w:val="auto"/>
              </w:rPr>
              <w:t>Zone code:</w:t>
            </w:r>
          </w:p>
          <w:p w14:paraId="1FDDF38D"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Industry investigation zone code</w:t>
            </w:r>
          </w:p>
        </w:tc>
      </w:tr>
      <w:tr w:rsidR="00BE36FB" w:rsidRPr="009B7B35" w14:paraId="4FF60D5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2C8E5CF0" w14:textId="77777777" w:rsidR="00BE36FB" w:rsidRPr="009B7B35" w:rsidRDefault="00BE36FB" w:rsidP="001A7107">
            <w:pPr>
              <w:pStyle w:val="TableText"/>
              <w:rPr>
                <w:rFonts w:cs="Arial"/>
              </w:rPr>
            </w:pPr>
            <w:r w:rsidRPr="009B7B35">
              <w:rPr>
                <w:rFonts w:cs="Arial"/>
              </w:rPr>
              <w:t>Emergency services</w:t>
            </w:r>
          </w:p>
          <w:p w14:paraId="6C90402C" w14:textId="77777777" w:rsidR="00BE36FB" w:rsidRPr="009B7B35" w:rsidRDefault="00BE36FB" w:rsidP="001A7107">
            <w:pPr>
              <w:pStyle w:val="TableText"/>
              <w:rPr>
                <w:rFonts w:cs="Arial"/>
              </w:rPr>
            </w:pPr>
            <w:r w:rsidRPr="009B7B35">
              <w:rPr>
                <w:rFonts w:cs="Arial"/>
              </w:rPr>
              <w:t>Substation</w:t>
            </w:r>
          </w:p>
          <w:p w14:paraId="74FAC1C8"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52E901C7"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40520451"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2D6A27C8"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5C84FC72"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74D5849E"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14:paraId="3E4D8E1F"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71EBC7B0"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257C7517"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32A4A8C8"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398D73FF"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7D588C4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490A0B1B"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2158F522"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14:paraId="6CC0E986" w14:textId="77777777" w:rsidR="00BE36FB" w:rsidRPr="009B7B35" w:rsidRDefault="00BE36FB" w:rsidP="001A7107">
            <w:pPr>
              <w:pStyle w:val="TableText"/>
              <w:rPr>
                <w:rFonts w:cs="Arial"/>
                <w:color w:val="auto"/>
              </w:rPr>
            </w:pPr>
            <w:r w:rsidRPr="009B7B35">
              <w:rPr>
                <w:rFonts w:cs="Arial"/>
                <w:color w:val="auto"/>
              </w:rPr>
              <w:t>Zone code:</w:t>
            </w:r>
          </w:p>
          <w:p w14:paraId="3FCBA128"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Industry investigation zone code</w:t>
            </w:r>
          </w:p>
          <w:p w14:paraId="01F24F88" w14:textId="77777777" w:rsidR="00BE36FB" w:rsidRPr="009B7B35" w:rsidRDefault="00BE36FB" w:rsidP="001A7107">
            <w:pPr>
              <w:pStyle w:val="TableText"/>
              <w:rPr>
                <w:rFonts w:cs="Arial"/>
                <w:color w:val="auto"/>
              </w:rPr>
            </w:pPr>
            <w:r w:rsidRPr="009B7B35">
              <w:rPr>
                <w:rFonts w:cs="Arial"/>
                <w:color w:val="auto"/>
              </w:rPr>
              <w:t>Other development codes:</w:t>
            </w:r>
          </w:p>
          <w:p w14:paraId="47E1B945"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51CF5346"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02A7C5A6" w14:textId="77777777" w:rsidR="00BE36FB" w:rsidRPr="009B7B35" w:rsidRDefault="00BE36FB" w:rsidP="001A7107">
            <w:pPr>
              <w:pStyle w:val="TableText"/>
              <w:rPr>
                <w:rFonts w:cs="Arial"/>
              </w:rPr>
            </w:pPr>
            <w:r w:rsidRPr="009B7B35">
              <w:rPr>
                <w:rFonts w:cs="Arial"/>
              </w:rPr>
              <w:t>Agricultural supplies store</w:t>
            </w:r>
          </w:p>
          <w:p w14:paraId="795613C5" w14:textId="77777777" w:rsidR="00BE36FB" w:rsidRPr="009B7B35" w:rsidRDefault="00BE36FB" w:rsidP="001A7107">
            <w:pPr>
              <w:pStyle w:val="TableText"/>
              <w:rPr>
                <w:rFonts w:cs="Arial"/>
              </w:rPr>
            </w:pPr>
            <w:r w:rsidRPr="009B7B35">
              <w:rPr>
                <w:rFonts w:cs="Arial"/>
              </w:rPr>
              <w:t>Bulk landscape supplies</w:t>
            </w:r>
          </w:p>
          <w:p w14:paraId="76415BAF" w14:textId="77777777" w:rsidR="00BE36FB" w:rsidRPr="009B7B35" w:rsidRDefault="00BE36FB" w:rsidP="001A7107">
            <w:pPr>
              <w:pStyle w:val="TableText"/>
              <w:rPr>
                <w:rFonts w:cs="Arial"/>
              </w:rPr>
            </w:pPr>
            <w:r w:rsidRPr="009B7B35">
              <w:rPr>
                <w:rFonts w:cs="Arial"/>
                <w:lang w:eastAsia="en-US"/>
              </w:rPr>
              <w:t>Outdoor sport and recreation</w:t>
            </w:r>
          </w:p>
          <w:p w14:paraId="446747BA" w14:textId="77777777" w:rsidR="00BE36FB" w:rsidRPr="009B7B35" w:rsidRDefault="00BE36FB" w:rsidP="001A7107">
            <w:pPr>
              <w:pStyle w:val="TableText"/>
              <w:rPr>
                <w:rFonts w:cs="Arial"/>
              </w:rPr>
            </w:pPr>
            <w:r w:rsidRPr="009B7B35">
              <w:rPr>
                <w:rFonts w:cs="Arial"/>
              </w:rPr>
              <w:t>Parking station</w:t>
            </w:r>
          </w:p>
          <w:p w14:paraId="49378DDA" w14:textId="77777777" w:rsidR="00BE36FB" w:rsidRPr="009B7B35" w:rsidRDefault="00BE36FB" w:rsidP="001A7107">
            <w:pPr>
              <w:pStyle w:val="TableText"/>
              <w:rPr>
                <w:rFonts w:cs="Arial"/>
              </w:rPr>
            </w:pPr>
            <w:r w:rsidRPr="009B7B35">
              <w:rPr>
                <w:rFonts w:cs="Arial"/>
              </w:rPr>
              <w:t>Transport depot</w:t>
            </w:r>
          </w:p>
          <w:p w14:paraId="7349B185" w14:textId="77777777" w:rsidR="00BE36FB" w:rsidRPr="009B7B35" w:rsidRDefault="00BE36FB" w:rsidP="001A7107">
            <w:pPr>
              <w:pStyle w:val="TableText"/>
              <w:rPr>
                <w:rFonts w:cs="Arial"/>
              </w:rPr>
            </w:pPr>
            <w:r w:rsidRPr="009B7B35">
              <w:rPr>
                <w:rFonts w:cs="Arial"/>
              </w:rPr>
              <w:t>Warehouse</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6D2C2689" w14:textId="77777777" w:rsidR="00BE36FB" w:rsidRPr="009B7B35" w:rsidRDefault="00BE36FB" w:rsidP="001A7107">
            <w:pPr>
              <w:pStyle w:val="TableText"/>
              <w:rPr>
                <w:rFonts w:cs="Arial"/>
                <w:b/>
                <w:color w:val="auto"/>
              </w:rPr>
            </w:pPr>
            <w:r w:rsidRPr="009B7B35">
              <w:rPr>
                <w:rFonts w:cs="Arial"/>
                <w:b/>
                <w:color w:val="auto"/>
              </w:rPr>
              <w:t>Code Assessment</w:t>
            </w:r>
          </w:p>
        </w:tc>
      </w:tr>
      <w:tr w:rsidR="00BE36FB" w:rsidRPr="009B7B35" w14:paraId="28D0B41E"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19BA87DD"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23FADE30" w14:textId="77777777" w:rsidR="00BE36FB" w:rsidRPr="009B7B35" w:rsidRDefault="00BE36FB" w:rsidP="001A7107">
            <w:pPr>
              <w:pStyle w:val="TableText"/>
              <w:rPr>
                <w:rFonts w:cs="Arial"/>
              </w:rPr>
            </w:pPr>
            <w:r w:rsidRPr="009B7B35">
              <w:rPr>
                <w:rFonts w:cs="Arial"/>
              </w:rPr>
              <w:t xml:space="preserve">In all circumstances </w:t>
            </w:r>
          </w:p>
        </w:tc>
        <w:tc>
          <w:tcPr>
            <w:cnfStyle w:val="000100000000" w:firstRow="0" w:lastRow="0" w:firstColumn="0" w:lastColumn="1" w:oddVBand="0" w:evenVBand="0" w:oddHBand="0" w:evenHBand="0" w:firstRowFirstColumn="0" w:firstRowLastColumn="0" w:lastRowFirstColumn="0" w:lastRowLastColumn="0"/>
            <w:tcW w:w="3486" w:type="dxa"/>
          </w:tcPr>
          <w:p w14:paraId="6A2A940D" w14:textId="77777777" w:rsidR="00BE36FB" w:rsidRPr="009B7B35" w:rsidRDefault="00BE36FB" w:rsidP="001A7107">
            <w:pPr>
              <w:pStyle w:val="TableText"/>
              <w:rPr>
                <w:rFonts w:cs="Arial"/>
                <w:color w:val="auto"/>
              </w:rPr>
            </w:pPr>
            <w:r w:rsidRPr="009B7B35">
              <w:rPr>
                <w:rFonts w:cs="Arial"/>
                <w:color w:val="auto"/>
              </w:rPr>
              <w:t>Zone code:</w:t>
            </w:r>
          </w:p>
          <w:p w14:paraId="7E7EB4E6"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Industry investigation zone code</w:t>
            </w:r>
          </w:p>
          <w:p w14:paraId="5DEED743" w14:textId="77777777" w:rsidR="00BE36FB" w:rsidRPr="009B7B35" w:rsidRDefault="00BE36FB" w:rsidP="001A7107">
            <w:pPr>
              <w:pStyle w:val="TableText"/>
              <w:rPr>
                <w:rFonts w:cs="Arial"/>
                <w:color w:val="auto"/>
              </w:rPr>
            </w:pPr>
            <w:r w:rsidRPr="009B7B35">
              <w:rPr>
                <w:rFonts w:cs="Arial"/>
                <w:color w:val="auto"/>
              </w:rPr>
              <w:t>Other development codes:</w:t>
            </w:r>
          </w:p>
          <w:p w14:paraId="2EC4FAF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55DD60A0"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1E0757D5"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699A9C24" w14:textId="77777777"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6B650896"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6548C277"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1AC14B3E"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04703A3B"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14:paraId="60769F75" w14:textId="77777777" w:rsidR="00BE36FB" w:rsidRPr="009B7B35" w:rsidRDefault="00BE36FB" w:rsidP="001A7107">
            <w:pPr>
              <w:pStyle w:val="TableText"/>
              <w:rPr>
                <w:rFonts w:cs="Arial"/>
                <w:color w:val="auto"/>
              </w:rPr>
            </w:pPr>
            <w:r w:rsidRPr="009B7B35">
              <w:rPr>
                <w:rFonts w:cs="Arial"/>
                <w:color w:val="auto"/>
              </w:rPr>
              <w:t>Zone code:</w:t>
            </w:r>
          </w:p>
          <w:p w14:paraId="41D023E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Industry investigation zone code</w:t>
            </w:r>
          </w:p>
          <w:p w14:paraId="68FED518" w14:textId="77777777" w:rsidR="00BE36FB" w:rsidRPr="009B7B35" w:rsidRDefault="00BE36FB" w:rsidP="001A7107">
            <w:pPr>
              <w:pStyle w:val="TableText"/>
              <w:rPr>
                <w:rFonts w:cs="Arial"/>
                <w:color w:val="auto"/>
              </w:rPr>
            </w:pPr>
            <w:r w:rsidRPr="009B7B35">
              <w:rPr>
                <w:rFonts w:cs="Arial"/>
                <w:color w:val="auto"/>
              </w:rPr>
              <w:t>Use code:</w:t>
            </w:r>
          </w:p>
          <w:p w14:paraId="1341FB0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14:paraId="00B43041"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33593788"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391E0712" w14:textId="77777777"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879" w:type="dxa"/>
            <w:gridSpan w:val="2"/>
          </w:tcPr>
          <w:p w14:paraId="1BABEAE8"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2D5F9017"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46277E1C"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14:paraId="741DDFC2"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5001FF1A" w14:textId="77777777" w:rsidR="00BE36FB" w:rsidRPr="009B7B35" w:rsidRDefault="00BE36FB" w:rsidP="001A7107">
      <w:pPr>
        <w:pStyle w:val="Heading5"/>
        <w:numPr>
          <w:ilvl w:val="0"/>
          <w:numId w:val="0"/>
        </w:numPr>
        <w:rPr>
          <w:rFonts w:cs="Arial"/>
          <w:szCs w:val="20"/>
        </w:rPr>
      </w:pPr>
      <w:r w:rsidRPr="009B7B35">
        <w:rPr>
          <w:rFonts w:cs="Arial"/>
          <w:szCs w:val="20"/>
        </w:rPr>
        <w:t>Table 5.5.15—Special purpose zone</w:t>
      </w:r>
    </w:p>
    <w:tbl>
      <w:tblPr>
        <w:tblStyle w:val="Tablestyle"/>
        <w:tblW w:w="9365" w:type="dxa"/>
        <w:tblLook w:val="01E0" w:firstRow="1" w:lastRow="1" w:firstColumn="1" w:lastColumn="1" w:noHBand="0" w:noVBand="0"/>
      </w:tblPr>
      <w:tblGrid>
        <w:gridCol w:w="2380"/>
        <w:gridCol w:w="3499"/>
        <w:gridCol w:w="3486"/>
      </w:tblGrid>
      <w:tr w:rsidR="00BE36FB" w:rsidRPr="009B7B35" w14:paraId="1A83B848" w14:textId="77777777"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80" w:type="dxa"/>
          </w:tcPr>
          <w:p w14:paraId="77A45FCF"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14:paraId="77FC8075"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14:paraId="2CD8F6E0"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013C901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4A4171E1" w14:textId="77777777" w:rsidR="00BE36FB" w:rsidRPr="009B7B35" w:rsidRDefault="00BE36FB" w:rsidP="001A7107">
            <w:pPr>
              <w:pStyle w:val="TableText"/>
              <w:rPr>
                <w:rFonts w:cs="Arial"/>
              </w:rPr>
            </w:pPr>
            <w:r w:rsidRPr="009B7B35">
              <w:rPr>
                <w:rFonts w:cs="Arial"/>
              </w:rPr>
              <w:t>Caretaker’s accommodation</w:t>
            </w:r>
          </w:p>
          <w:p w14:paraId="4BBAA8C4" w14:textId="77777777" w:rsidR="00BE36FB" w:rsidRPr="009B7B35" w:rsidRDefault="00BE36FB" w:rsidP="001A7107">
            <w:pPr>
              <w:pStyle w:val="TableText"/>
              <w:rPr>
                <w:rFonts w:cs="Arial"/>
              </w:rPr>
            </w:pPr>
            <w:r w:rsidRPr="009B7B35">
              <w:rPr>
                <w:rFonts w:cs="Arial"/>
              </w:rPr>
              <w:t>Transport depot</w:t>
            </w:r>
          </w:p>
          <w:p w14:paraId="52E953D9" w14:textId="77777777" w:rsidR="00BE36FB" w:rsidRPr="009B7B35" w:rsidRDefault="00BE36FB" w:rsidP="001A7107">
            <w:pPr>
              <w:pStyle w:val="TableText"/>
              <w:rPr>
                <w:rFonts w:cs="Arial"/>
              </w:rPr>
            </w:pPr>
            <w:r w:rsidRPr="009B7B35">
              <w:rPr>
                <w:rFonts w:cs="Arial"/>
              </w:rPr>
              <w:t>Outdoor sport and recreation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5C429435"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1E8E37B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0B6FBBB6"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5880FF4C" w14:textId="77777777"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14:paraId="67CEE534" w14:textId="77777777" w:rsidR="00BE36FB" w:rsidRPr="009B7B35" w:rsidRDefault="00BE36FB" w:rsidP="001A7107">
            <w:pPr>
              <w:pStyle w:val="TableText"/>
              <w:rPr>
                <w:rFonts w:cs="Arial"/>
                <w:color w:val="auto"/>
              </w:rPr>
            </w:pPr>
            <w:r w:rsidRPr="009B7B35">
              <w:rPr>
                <w:rFonts w:cs="Arial"/>
                <w:color w:val="auto"/>
              </w:rPr>
              <w:t>Zone code:</w:t>
            </w:r>
          </w:p>
          <w:p w14:paraId="073BF547"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Special purpose zone code</w:t>
            </w:r>
          </w:p>
          <w:p w14:paraId="223D6229" w14:textId="77777777" w:rsidR="00BE36FB" w:rsidRPr="009B7B35" w:rsidRDefault="00BE36FB" w:rsidP="001A7107">
            <w:pPr>
              <w:pStyle w:val="TableText"/>
              <w:rPr>
                <w:rFonts w:cs="Arial"/>
                <w:color w:val="auto"/>
              </w:rPr>
            </w:pPr>
            <w:r w:rsidRPr="009B7B35">
              <w:rPr>
                <w:rFonts w:cs="Arial"/>
                <w:color w:val="auto"/>
              </w:rPr>
              <w:t>Other development codes:</w:t>
            </w:r>
          </w:p>
          <w:p w14:paraId="27EB8FA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12F3659F"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05B6AE0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50FC2EBD" w14:textId="77777777" w:rsidR="00BE36FB" w:rsidRPr="009B7B35" w:rsidRDefault="00BE36FB" w:rsidP="001A7107">
            <w:pPr>
              <w:pStyle w:val="TableText"/>
              <w:rPr>
                <w:rFonts w:cs="Arial"/>
              </w:rPr>
            </w:pPr>
            <w:r w:rsidRPr="009B7B35">
              <w:rPr>
                <w:rFonts w:cs="Arial"/>
              </w:rPr>
              <w:t>Emergency services</w:t>
            </w:r>
          </w:p>
          <w:p w14:paraId="7599D888" w14:textId="77777777" w:rsidR="00BE36FB" w:rsidRPr="009B7B35" w:rsidRDefault="00BE36FB" w:rsidP="001A7107">
            <w:pPr>
              <w:pStyle w:val="TableText"/>
              <w:rPr>
                <w:rFonts w:cs="Arial"/>
              </w:rPr>
            </w:pPr>
            <w:r w:rsidRPr="009B7B35">
              <w:rPr>
                <w:rFonts w:cs="Arial"/>
              </w:rPr>
              <w:t>Landing*</w:t>
            </w:r>
          </w:p>
          <w:p w14:paraId="2A14CB60" w14:textId="77777777" w:rsidR="00BE36FB" w:rsidRPr="009B7B35" w:rsidRDefault="00BE36FB" w:rsidP="001A7107">
            <w:pPr>
              <w:pStyle w:val="TableText"/>
              <w:rPr>
                <w:rFonts w:cs="Arial"/>
              </w:rPr>
            </w:pPr>
            <w:r w:rsidRPr="009B7B35">
              <w:rPr>
                <w:rFonts w:cs="Arial"/>
              </w:rPr>
              <w:t>Park</w:t>
            </w:r>
          </w:p>
          <w:p w14:paraId="7ACADFFD" w14:textId="77777777" w:rsidR="00BE36FB" w:rsidRPr="009B7B35" w:rsidRDefault="00BE36FB" w:rsidP="001A7107">
            <w:pPr>
              <w:pStyle w:val="TableText"/>
              <w:rPr>
                <w:rFonts w:cs="Arial"/>
              </w:rPr>
            </w:pPr>
            <w:r w:rsidRPr="009B7B35">
              <w:rPr>
                <w:rFonts w:cs="Arial"/>
              </w:rPr>
              <w:t>Port services</w:t>
            </w:r>
          </w:p>
          <w:p w14:paraId="53FFDD01" w14:textId="77777777" w:rsidR="00BE36FB" w:rsidRPr="009B7B35" w:rsidRDefault="00BE36FB" w:rsidP="001A7107">
            <w:pPr>
              <w:pStyle w:val="TableText"/>
              <w:rPr>
                <w:rFonts w:cs="Arial"/>
              </w:rPr>
            </w:pPr>
            <w:r w:rsidRPr="009B7B35">
              <w:rPr>
                <w:rFonts w:cs="Arial"/>
              </w:rPr>
              <w:t>Substation</w:t>
            </w:r>
          </w:p>
          <w:p w14:paraId="19CE3F04" w14:textId="77777777" w:rsidR="00BE36FB" w:rsidRPr="009B7B35" w:rsidRDefault="00BE36FB" w:rsidP="001A7107">
            <w:pPr>
              <w:pStyle w:val="TableText"/>
              <w:rPr>
                <w:rFonts w:cs="Arial"/>
              </w:rPr>
            </w:pPr>
            <w:r w:rsidRPr="009B7B35">
              <w:rPr>
                <w:rFonts w:cs="Arial"/>
              </w:rPr>
              <w:t>Utility installation</w:t>
            </w:r>
          </w:p>
          <w:p w14:paraId="18543327"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713B2992"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044499A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4C3F93F8"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3E1C5EDF"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61705951" w14:textId="77777777" w:rsidR="00BE36FB" w:rsidRPr="009B7B35" w:rsidRDefault="00BE36FB" w:rsidP="001A7107">
            <w:pPr>
              <w:pStyle w:val="TableText"/>
              <w:rPr>
                <w:rFonts w:cs="Arial"/>
              </w:rPr>
            </w:pPr>
            <w:r w:rsidRPr="009B7B35">
              <w:rPr>
                <w:rFonts w:cs="Arial"/>
              </w:rPr>
              <w:t>Otherwise, where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14:paraId="2E1F5D21"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6D99D0B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56C65269" w14:textId="77777777"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11546455"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7EF9010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40E8F36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43CE275C"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14:paraId="56C8BAB4" w14:textId="77777777" w:rsidR="00BE36FB" w:rsidRPr="009B7B35" w:rsidRDefault="00BE36FB" w:rsidP="001A7107">
            <w:pPr>
              <w:pStyle w:val="ListBullet"/>
              <w:numPr>
                <w:ilvl w:val="0"/>
                <w:numId w:val="0"/>
              </w:numPr>
              <w:ind w:left="284" w:hanging="284"/>
              <w:rPr>
                <w:rFonts w:cs="Arial"/>
                <w:color w:val="auto"/>
                <w:szCs w:val="20"/>
              </w:rPr>
            </w:pPr>
            <w:r w:rsidRPr="009B7B35">
              <w:rPr>
                <w:rFonts w:cs="Arial"/>
                <w:color w:val="auto"/>
                <w:szCs w:val="20"/>
              </w:rPr>
              <w:t>Use code:</w:t>
            </w:r>
          </w:p>
          <w:p w14:paraId="6DAF73C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14:paraId="3526152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tcPr>
          <w:p w14:paraId="31A8D5FD" w14:textId="77777777" w:rsidR="00BE36FB" w:rsidRPr="009B7B35" w:rsidRDefault="00BE36FB" w:rsidP="001A7107">
            <w:pPr>
              <w:pStyle w:val="Tableheading"/>
              <w:rPr>
                <w:rFonts w:ascii="Arial" w:hAnsi="Arial" w:cs="Arial"/>
                <w:szCs w:val="20"/>
              </w:rPr>
            </w:pPr>
            <w:r w:rsidRPr="009B7B35">
              <w:rPr>
                <w:rFonts w:ascii="Arial" w:hAnsi="Arial" w:cs="Arial"/>
                <w:szCs w:val="20"/>
              </w:rPr>
              <w:t>If located in the Gladstone Airport Precinct</w:t>
            </w:r>
          </w:p>
        </w:tc>
      </w:tr>
      <w:tr w:rsidR="00BE36FB" w:rsidRPr="009B7B35" w14:paraId="48E0C92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1106C653" w14:textId="77777777" w:rsidR="00BE36FB" w:rsidRPr="009B7B35" w:rsidRDefault="00BE36FB" w:rsidP="001A7107">
            <w:pPr>
              <w:pStyle w:val="TableText"/>
              <w:rPr>
                <w:rFonts w:cs="Arial"/>
              </w:rPr>
            </w:pPr>
            <w:r w:rsidRPr="009B7B35">
              <w:rPr>
                <w:rFonts w:cs="Arial"/>
              </w:rPr>
              <w:t>Air services</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4BF31E5E"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1EB1B0F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729292B2"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7C129E36"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14:paraId="714C7F04"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7E1C0DB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21DEDEF4"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34902F8B"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14:paraId="1546B525"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549FFE91"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18F5EE60"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14:paraId="2DC6895B"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1A7CA5EA" w14:textId="77777777" w:rsidR="00BE36FB" w:rsidRPr="009B7B35" w:rsidRDefault="00BE36FB" w:rsidP="001A7107">
      <w:pPr>
        <w:pStyle w:val="Heading5"/>
        <w:numPr>
          <w:ilvl w:val="0"/>
          <w:numId w:val="0"/>
        </w:numPr>
        <w:rPr>
          <w:rFonts w:cs="Arial"/>
          <w:szCs w:val="20"/>
        </w:rPr>
      </w:pPr>
      <w:r w:rsidRPr="009B7B35">
        <w:rPr>
          <w:rFonts w:cs="Arial"/>
          <w:szCs w:val="20"/>
        </w:rPr>
        <w:t>Table 5.5.16—Rural zone</w:t>
      </w:r>
    </w:p>
    <w:tbl>
      <w:tblPr>
        <w:tblStyle w:val="Tablestyle"/>
        <w:tblW w:w="9365" w:type="dxa"/>
        <w:tblLook w:val="01E0" w:firstRow="1" w:lastRow="1" w:firstColumn="1" w:lastColumn="1" w:noHBand="0" w:noVBand="0"/>
      </w:tblPr>
      <w:tblGrid>
        <w:gridCol w:w="2380"/>
        <w:gridCol w:w="3499"/>
        <w:gridCol w:w="3486"/>
      </w:tblGrid>
      <w:tr w:rsidR="00BE36FB" w:rsidRPr="009B7B35" w14:paraId="5DC3D6DB"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80" w:type="dxa"/>
          </w:tcPr>
          <w:p w14:paraId="3AF5C13F"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14:paraId="0103736B"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14:paraId="7C6F8810"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24A06AE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3D167D7B" w14:textId="77777777" w:rsidR="00BE36FB" w:rsidRPr="009B7B35" w:rsidRDefault="00BE36FB" w:rsidP="001A7107">
            <w:pPr>
              <w:pStyle w:val="TableText"/>
              <w:rPr>
                <w:rFonts w:cs="Arial"/>
              </w:rPr>
            </w:pPr>
            <w:r w:rsidRPr="009B7B35">
              <w:rPr>
                <w:rFonts w:cs="Arial"/>
              </w:rPr>
              <w:t>Animal husbandry</w:t>
            </w:r>
          </w:p>
          <w:p w14:paraId="22D89D12" w14:textId="77777777" w:rsidR="00BE36FB" w:rsidRPr="009B7B35" w:rsidRDefault="00BE36FB" w:rsidP="001A7107">
            <w:pPr>
              <w:pStyle w:val="TableText"/>
              <w:rPr>
                <w:rFonts w:cs="Arial"/>
              </w:rPr>
            </w:pPr>
            <w:r w:rsidRPr="009B7B35">
              <w:rPr>
                <w:rFonts w:cs="Arial"/>
              </w:rPr>
              <w:t>Cropping</w:t>
            </w:r>
          </w:p>
          <w:p w14:paraId="6B0E76A8" w14:textId="77777777" w:rsidR="00BE36FB" w:rsidRPr="009B7B35" w:rsidRDefault="00BE36FB" w:rsidP="001A7107">
            <w:pPr>
              <w:pStyle w:val="TableText"/>
              <w:rPr>
                <w:rFonts w:cs="Arial"/>
              </w:rPr>
            </w:pPr>
            <w:r w:rsidRPr="009B7B35">
              <w:rPr>
                <w:rFonts w:cs="Arial"/>
              </w:rPr>
              <w:t>Environment facility</w:t>
            </w:r>
          </w:p>
          <w:p w14:paraId="24EAF0F0" w14:textId="77777777" w:rsidR="00BE36FB" w:rsidRPr="009B7B35" w:rsidRDefault="00BE36FB" w:rsidP="001A7107">
            <w:pPr>
              <w:pStyle w:val="TableText"/>
              <w:rPr>
                <w:rFonts w:cs="Arial"/>
              </w:rPr>
            </w:pPr>
            <w:r w:rsidRPr="009B7B35">
              <w:rPr>
                <w:rFonts w:cs="Arial"/>
              </w:rPr>
              <w:t>Landing*</w:t>
            </w:r>
          </w:p>
          <w:p w14:paraId="6429DBDC" w14:textId="77777777" w:rsidR="00BE36FB" w:rsidRPr="009B7B35" w:rsidRDefault="00BE36FB" w:rsidP="001A7107">
            <w:pPr>
              <w:pStyle w:val="TableText"/>
              <w:rPr>
                <w:rFonts w:cs="Arial"/>
              </w:rPr>
            </w:pPr>
            <w:r w:rsidRPr="009B7B35">
              <w:rPr>
                <w:rFonts w:cs="Arial"/>
              </w:rPr>
              <w:t xml:space="preserve">Outstation </w:t>
            </w:r>
          </w:p>
          <w:p w14:paraId="34E47B5D" w14:textId="77777777" w:rsidR="00BE36FB" w:rsidRPr="009B7B35" w:rsidRDefault="00BE36FB" w:rsidP="001A7107">
            <w:pPr>
              <w:pStyle w:val="TableText"/>
              <w:rPr>
                <w:rFonts w:cs="Arial"/>
              </w:rPr>
            </w:pPr>
            <w:r w:rsidRPr="009B7B35">
              <w:rPr>
                <w:rFonts w:cs="Arial"/>
              </w:rPr>
              <w:t>Park</w:t>
            </w:r>
          </w:p>
          <w:p w14:paraId="3C5D5C9A" w14:textId="77777777" w:rsidR="00BE36FB" w:rsidRPr="009B7B35" w:rsidRDefault="00BE36FB" w:rsidP="001A7107">
            <w:pPr>
              <w:pStyle w:val="TableText"/>
              <w:rPr>
                <w:rFonts w:cs="Arial"/>
              </w:rPr>
            </w:pPr>
            <w:r w:rsidRPr="009B7B35">
              <w:rPr>
                <w:rFonts w:cs="Arial"/>
              </w:rPr>
              <w:t>Permanent plantation</w:t>
            </w:r>
          </w:p>
          <w:p w14:paraId="64B6542A"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41C7AF64"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6CEDD14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39318552"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3BD4621F" w14:textId="77777777" w:rsidR="00BE36FB" w:rsidRPr="009B7B35" w:rsidRDefault="00BE36FB" w:rsidP="001A7107">
            <w:pPr>
              <w:pStyle w:val="TableText"/>
              <w:rPr>
                <w:rFonts w:cs="Arial"/>
              </w:rPr>
            </w:pPr>
            <w:r w:rsidRPr="009B7B35">
              <w:rPr>
                <w:rFonts w:cs="Arial"/>
              </w:rPr>
              <w:t>If Cropping only where not involving forestry for wood production.</w:t>
            </w:r>
          </w:p>
        </w:tc>
        <w:tc>
          <w:tcPr>
            <w:cnfStyle w:val="000100000000" w:firstRow="0" w:lastRow="0" w:firstColumn="0" w:lastColumn="1" w:oddVBand="0" w:evenVBand="0" w:oddHBand="0" w:evenHBand="0" w:firstRowFirstColumn="0" w:firstRowLastColumn="0" w:lastRowFirstColumn="0" w:lastRowLastColumn="0"/>
            <w:tcW w:w="3486" w:type="dxa"/>
          </w:tcPr>
          <w:p w14:paraId="5DC5161A"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69699D1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7A82E8A8" w14:textId="77777777" w:rsidR="00BE36FB" w:rsidRPr="009B7B35" w:rsidRDefault="00BE36FB" w:rsidP="001A7107">
            <w:pPr>
              <w:pStyle w:val="TableText"/>
              <w:rPr>
                <w:rFonts w:cs="Arial"/>
              </w:rPr>
            </w:pPr>
            <w:r w:rsidRPr="009B7B35">
              <w:rPr>
                <w:rFonts w:cs="Arial"/>
              </w:rPr>
              <w:t>Animal keeping</w:t>
            </w:r>
          </w:p>
          <w:p w14:paraId="0B248113" w14:textId="77777777" w:rsidR="00BE36FB" w:rsidRPr="009B7B35" w:rsidRDefault="00BE36FB" w:rsidP="001A7107">
            <w:pPr>
              <w:pStyle w:val="TableText"/>
              <w:rPr>
                <w:rFonts w:cs="Arial"/>
              </w:rPr>
            </w:pPr>
            <w:r w:rsidRPr="009B7B35">
              <w:rPr>
                <w:rFonts w:cs="Arial"/>
              </w:rPr>
              <w:t xml:space="preserve">Caretaker’s accommodation </w:t>
            </w:r>
          </w:p>
          <w:p w14:paraId="12787C1D" w14:textId="77777777" w:rsidR="00BE36FB" w:rsidRPr="009B7B35" w:rsidRDefault="00BE36FB" w:rsidP="001A7107">
            <w:pPr>
              <w:pStyle w:val="TableText"/>
              <w:rPr>
                <w:rFonts w:cs="Arial"/>
              </w:rPr>
            </w:pPr>
            <w:r w:rsidRPr="009B7B35">
              <w:rPr>
                <w:rFonts w:cs="Arial"/>
              </w:rPr>
              <w:t>Dwelling house</w:t>
            </w:r>
          </w:p>
          <w:p w14:paraId="333E1F94" w14:textId="77777777" w:rsidR="00BE36FB" w:rsidRPr="009B7B35" w:rsidRDefault="00BE36FB" w:rsidP="001A7107">
            <w:pPr>
              <w:pStyle w:val="TableText"/>
              <w:rPr>
                <w:rFonts w:cs="Arial"/>
              </w:rPr>
            </w:pPr>
            <w:r w:rsidRPr="009B7B35">
              <w:rPr>
                <w:rFonts w:cs="Arial"/>
              </w:rPr>
              <w:t>Dwelling unit</w:t>
            </w:r>
          </w:p>
          <w:p w14:paraId="714E4FB2" w14:textId="77777777" w:rsidR="00BE36FB" w:rsidRPr="009B7B35" w:rsidRDefault="00BE36FB" w:rsidP="001A7107">
            <w:pPr>
              <w:pStyle w:val="TableText"/>
              <w:rPr>
                <w:rFonts w:cs="Arial"/>
              </w:rPr>
            </w:pPr>
            <w:r w:rsidRPr="009B7B35">
              <w:rPr>
                <w:rFonts w:cs="Arial"/>
              </w:rPr>
              <w:t xml:space="preserve">Intensive horticulture </w:t>
            </w:r>
          </w:p>
          <w:p w14:paraId="6454652F" w14:textId="77777777" w:rsidR="00BE36FB" w:rsidRPr="009B7B35" w:rsidRDefault="00BE36FB" w:rsidP="001A7107">
            <w:pPr>
              <w:pStyle w:val="TableText"/>
              <w:rPr>
                <w:rFonts w:cs="Arial"/>
              </w:rPr>
            </w:pPr>
            <w:r w:rsidRPr="009B7B35">
              <w:rPr>
                <w:rFonts w:cs="Arial"/>
              </w:rPr>
              <w:t>Roadside stall</w:t>
            </w:r>
          </w:p>
          <w:p w14:paraId="14BAB04A" w14:textId="77777777" w:rsidR="00BE36FB" w:rsidRPr="009B7B35" w:rsidRDefault="00BE36FB" w:rsidP="001A7107">
            <w:pPr>
              <w:pStyle w:val="TableText"/>
              <w:rPr>
                <w:rFonts w:cs="Arial"/>
              </w:rPr>
            </w:pPr>
            <w:r w:rsidRPr="009B7B35">
              <w:rPr>
                <w:rFonts w:cs="Arial"/>
              </w:rPr>
              <w:t>Rural workers accommodation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5909D628"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2C4E982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13BD408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5E61FA9F" w14:textId="77777777" w:rsidR="00BE36FB" w:rsidRPr="009B7B35" w:rsidRDefault="00BE36FB" w:rsidP="001A7107">
            <w:pPr>
              <w:pStyle w:val="TableText"/>
              <w:rPr>
                <w:rFonts w:cs="Arial"/>
              </w:rPr>
            </w:pPr>
            <w:r w:rsidRPr="009B7B35">
              <w:rPr>
                <w:rFonts w:cs="Arial"/>
              </w:rPr>
              <w:t>If complying with the relevant accepted development acceptable outcomes.</w:t>
            </w:r>
          </w:p>
          <w:p w14:paraId="6FD895B4" w14:textId="77777777" w:rsidR="00BE36FB" w:rsidRPr="009B7B35" w:rsidRDefault="00BE36FB" w:rsidP="001A7107">
            <w:pPr>
              <w:pStyle w:val="TableText"/>
              <w:rPr>
                <w:rFonts w:cs="Arial"/>
              </w:rPr>
            </w:pPr>
            <w:r w:rsidRPr="009B7B35">
              <w:rPr>
                <w:rFonts w:cs="Arial"/>
              </w:rPr>
              <w:t>If Animal keeping only where not involving kennels or catteries.</w:t>
            </w:r>
          </w:p>
        </w:tc>
        <w:tc>
          <w:tcPr>
            <w:cnfStyle w:val="000100000000" w:firstRow="0" w:lastRow="0" w:firstColumn="0" w:lastColumn="1" w:oddVBand="0" w:evenVBand="0" w:oddHBand="0" w:evenHBand="0" w:firstRowFirstColumn="0" w:firstRowLastColumn="0" w:lastRowFirstColumn="0" w:lastRowLastColumn="0"/>
            <w:tcW w:w="3486" w:type="dxa"/>
          </w:tcPr>
          <w:p w14:paraId="62F40277" w14:textId="77777777" w:rsidR="00BE36FB" w:rsidRPr="009B7B35" w:rsidRDefault="00BE36FB" w:rsidP="001A7107">
            <w:pPr>
              <w:pStyle w:val="TableText"/>
              <w:rPr>
                <w:rFonts w:cs="Arial"/>
                <w:color w:val="auto"/>
              </w:rPr>
            </w:pPr>
            <w:r w:rsidRPr="009B7B35">
              <w:rPr>
                <w:rFonts w:cs="Arial"/>
                <w:color w:val="auto"/>
              </w:rPr>
              <w:t>Zone code:</w:t>
            </w:r>
          </w:p>
          <w:p w14:paraId="460F749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Rural zone code</w:t>
            </w:r>
          </w:p>
          <w:p w14:paraId="59F9554B" w14:textId="77777777" w:rsidR="00BE36FB" w:rsidRPr="009B7B35" w:rsidRDefault="00BE36FB" w:rsidP="001A7107">
            <w:pPr>
              <w:pStyle w:val="ListBullet"/>
              <w:numPr>
                <w:ilvl w:val="0"/>
                <w:numId w:val="0"/>
              </w:numPr>
              <w:tabs>
                <w:tab w:val="clear" w:pos="284"/>
                <w:tab w:val="left" w:pos="0"/>
              </w:tabs>
              <w:rPr>
                <w:rFonts w:cs="Arial"/>
                <w:color w:val="auto"/>
                <w:szCs w:val="20"/>
              </w:rPr>
            </w:pPr>
            <w:r w:rsidRPr="009B7B35">
              <w:rPr>
                <w:rFonts w:cs="Arial"/>
                <w:color w:val="auto"/>
                <w:szCs w:val="20"/>
              </w:rPr>
              <w:t>Other development codes:</w:t>
            </w:r>
          </w:p>
          <w:p w14:paraId="4D4A092B" w14:textId="77777777" w:rsidR="00BE36FB" w:rsidRPr="009B7B35" w:rsidRDefault="00BE36FB" w:rsidP="001A7107">
            <w:pPr>
              <w:pStyle w:val="ListBullet"/>
              <w:numPr>
                <w:ilvl w:val="0"/>
                <w:numId w:val="0"/>
              </w:numPr>
              <w:ind w:left="360" w:hanging="360"/>
              <w:rPr>
                <w:rFonts w:cs="Arial"/>
                <w:color w:val="auto"/>
                <w:szCs w:val="20"/>
              </w:rPr>
            </w:pPr>
            <w:r w:rsidRPr="009B7B35">
              <w:rPr>
                <w:rFonts w:cs="Arial"/>
                <w:color w:val="auto"/>
                <w:szCs w:val="20"/>
              </w:rPr>
              <w:t>•</w:t>
            </w:r>
            <w:r w:rsidRPr="009B7B35">
              <w:rPr>
                <w:rFonts w:cs="Arial"/>
                <w:color w:val="auto"/>
                <w:szCs w:val="20"/>
              </w:rPr>
              <w:tab/>
              <w:t>Development design code</w:t>
            </w:r>
          </w:p>
        </w:tc>
      </w:tr>
      <w:tr w:rsidR="00BE36FB" w:rsidRPr="009B7B35" w14:paraId="6B4C2E3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5E30E338" w14:textId="77777777" w:rsidR="00BE36FB" w:rsidRPr="009B7B35" w:rsidRDefault="00BE36FB" w:rsidP="001A7107">
            <w:pPr>
              <w:pStyle w:val="TableText"/>
              <w:rPr>
                <w:rFonts w:cs="Arial"/>
              </w:rPr>
            </w:pPr>
            <w:r w:rsidRPr="009B7B35">
              <w:rPr>
                <w:rFonts w:cs="Arial"/>
              </w:rPr>
              <w:t>Animal keeping</w:t>
            </w:r>
          </w:p>
          <w:p w14:paraId="1489B243" w14:textId="77777777" w:rsidR="00BE36FB" w:rsidRPr="009B7B35" w:rsidRDefault="00BE36FB" w:rsidP="001A7107">
            <w:pPr>
              <w:pStyle w:val="TableText"/>
              <w:rPr>
                <w:rFonts w:cs="Arial"/>
              </w:rPr>
            </w:pPr>
            <w:r w:rsidRPr="009B7B35">
              <w:rPr>
                <w:rFonts w:cs="Arial"/>
              </w:rPr>
              <w:t>Bulk landscape supplies</w:t>
            </w:r>
          </w:p>
          <w:p w14:paraId="018882CB" w14:textId="77777777" w:rsidR="00BE36FB" w:rsidRPr="009B7B35" w:rsidRDefault="00BE36FB" w:rsidP="001A7107">
            <w:pPr>
              <w:pStyle w:val="TableText"/>
              <w:rPr>
                <w:rFonts w:cs="Arial"/>
              </w:rPr>
            </w:pPr>
            <w:r w:rsidRPr="009B7B35">
              <w:rPr>
                <w:rFonts w:cs="Arial"/>
              </w:rPr>
              <w:t>Club</w:t>
            </w:r>
          </w:p>
          <w:p w14:paraId="6D0E600A" w14:textId="77777777" w:rsidR="00BE36FB" w:rsidRPr="009B7B35" w:rsidRDefault="00BE36FB" w:rsidP="001A7107">
            <w:pPr>
              <w:pStyle w:val="TableText"/>
              <w:rPr>
                <w:rFonts w:cs="Arial"/>
              </w:rPr>
            </w:pPr>
            <w:r w:rsidRPr="009B7B35">
              <w:rPr>
                <w:rFonts w:cs="Arial"/>
              </w:rPr>
              <w:t>Community use</w:t>
            </w:r>
          </w:p>
          <w:p w14:paraId="5B87459C" w14:textId="77777777" w:rsidR="00BE36FB" w:rsidRPr="009B7B35" w:rsidRDefault="00BE36FB" w:rsidP="001A7107">
            <w:pPr>
              <w:pStyle w:val="TableText"/>
              <w:rPr>
                <w:rFonts w:cs="Arial"/>
              </w:rPr>
            </w:pPr>
            <w:r w:rsidRPr="009B7B35">
              <w:rPr>
                <w:rFonts w:cs="Arial"/>
              </w:rPr>
              <w:t>Garden centre</w:t>
            </w:r>
          </w:p>
          <w:p w14:paraId="6F865F4A" w14:textId="77777777" w:rsidR="00BE36FB" w:rsidRPr="009B7B35" w:rsidRDefault="00BE36FB" w:rsidP="001A7107">
            <w:pPr>
              <w:pStyle w:val="TableText"/>
              <w:rPr>
                <w:rFonts w:cs="Arial"/>
              </w:rPr>
            </w:pPr>
            <w:r w:rsidRPr="009B7B35">
              <w:rPr>
                <w:rFonts w:cs="Arial"/>
              </w:rPr>
              <w:t>Intensive animal industry</w:t>
            </w:r>
          </w:p>
          <w:p w14:paraId="1102901F" w14:textId="77777777" w:rsidR="00BE36FB" w:rsidRPr="009B7B35" w:rsidRDefault="00BE36FB" w:rsidP="001A7107">
            <w:pPr>
              <w:pStyle w:val="TableText"/>
              <w:rPr>
                <w:rFonts w:cs="Arial"/>
              </w:rPr>
            </w:pPr>
            <w:r w:rsidRPr="009B7B35">
              <w:rPr>
                <w:rFonts w:cs="Arial"/>
              </w:rPr>
              <w:t xml:space="preserve">Market </w:t>
            </w:r>
          </w:p>
          <w:p w14:paraId="2A5FC104" w14:textId="77777777" w:rsidR="00BE36FB" w:rsidRPr="009B7B35" w:rsidRDefault="00BE36FB" w:rsidP="001A7107">
            <w:pPr>
              <w:pStyle w:val="TableText"/>
              <w:rPr>
                <w:rFonts w:cs="Arial"/>
              </w:rPr>
            </w:pPr>
            <w:r w:rsidRPr="009B7B35">
              <w:rPr>
                <w:rFonts w:cs="Arial"/>
              </w:rPr>
              <w:t>Outdoor sport and recreation</w:t>
            </w:r>
          </w:p>
          <w:p w14:paraId="367C826E" w14:textId="77777777" w:rsidR="00BE36FB" w:rsidRPr="009B7B35" w:rsidRDefault="00BE36FB" w:rsidP="001A7107">
            <w:pPr>
              <w:pStyle w:val="TableText"/>
              <w:rPr>
                <w:rFonts w:cs="Arial"/>
              </w:rPr>
            </w:pPr>
            <w:r w:rsidRPr="009B7B35">
              <w:rPr>
                <w:rFonts w:cs="Arial"/>
              </w:rPr>
              <w:t>Renewable energy facility</w:t>
            </w:r>
          </w:p>
          <w:p w14:paraId="61A496D7" w14:textId="77777777" w:rsidR="00BE36FB" w:rsidRPr="009B7B35" w:rsidRDefault="00BE36FB" w:rsidP="001A7107">
            <w:pPr>
              <w:pStyle w:val="TableText"/>
              <w:rPr>
                <w:rFonts w:cs="Arial"/>
              </w:rPr>
            </w:pPr>
            <w:r w:rsidRPr="009B7B35">
              <w:rPr>
                <w:rFonts w:cs="Arial"/>
              </w:rPr>
              <w:t>Rural industry</w:t>
            </w:r>
          </w:p>
          <w:p w14:paraId="023BB0FE" w14:textId="77777777" w:rsidR="00BE36FB" w:rsidRPr="009B7B35" w:rsidRDefault="00BE36FB" w:rsidP="001A7107">
            <w:pPr>
              <w:pStyle w:val="TableText"/>
              <w:rPr>
                <w:rFonts w:cs="Arial"/>
              </w:rPr>
            </w:pPr>
            <w:r w:rsidRPr="009B7B35">
              <w:rPr>
                <w:rFonts w:cs="Arial"/>
              </w:rPr>
              <w:t>Wholesale nursery</w:t>
            </w:r>
          </w:p>
          <w:p w14:paraId="4701AF8E" w14:textId="77777777" w:rsidR="00BE36FB" w:rsidRPr="009B7B35" w:rsidRDefault="00BE36FB" w:rsidP="001A7107">
            <w:pPr>
              <w:pStyle w:val="TableText"/>
              <w:rPr>
                <w:rFonts w:cs="Arial"/>
              </w:rPr>
            </w:pPr>
            <w:r w:rsidRPr="009B7B35">
              <w:rPr>
                <w:rFonts w:cs="Arial"/>
              </w:rPr>
              <w:t>Short term accommodation</w:t>
            </w:r>
          </w:p>
          <w:p w14:paraId="26B8A5AB" w14:textId="77777777" w:rsidR="00BE36FB" w:rsidRPr="009B7B35" w:rsidRDefault="00BE36FB" w:rsidP="001A7107">
            <w:pPr>
              <w:pStyle w:val="TableText"/>
              <w:rPr>
                <w:rFonts w:cs="Arial"/>
              </w:rPr>
            </w:pPr>
            <w:r w:rsidRPr="009B7B35">
              <w:rPr>
                <w:rFonts w:cs="Arial"/>
              </w:rPr>
              <w:t>Winery</w:t>
            </w:r>
          </w:p>
          <w:p w14:paraId="14B85BC1" w14:textId="77777777" w:rsidR="00BE36FB" w:rsidRPr="009B7B35" w:rsidRDefault="00BE36FB" w:rsidP="001A7107">
            <w:pPr>
              <w:pStyle w:val="TableText"/>
              <w:rPr>
                <w:rFonts w:cs="Arial"/>
              </w:rPr>
            </w:pPr>
            <w:r w:rsidRPr="009B7B35">
              <w:rPr>
                <w:rFonts w:cs="Arial"/>
              </w:rPr>
              <w:t>Nature based tourism</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7FA4AB4A"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122E0A0E"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6495E96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66279371" w14:textId="77777777" w:rsidR="00BE36FB" w:rsidRPr="009B7B35" w:rsidRDefault="00BE36FB" w:rsidP="001A7107">
            <w:pPr>
              <w:pStyle w:val="TableText"/>
              <w:rPr>
                <w:rFonts w:cs="Arial"/>
              </w:rPr>
            </w:pPr>
            <w:r w:rsidRPr="009B7B35">
              <w:rPr>
                <w:rFonts w:cs="Arial"/>
              </w:rPr>
              <w:t>If Intensive animal industry where:</w:t>
            </w:r>
          </w:p>
          <w:p w14:paraId="17504865" w14:textId="77777777" w:rsidR="00BE36FB" w:rsidRPr="009B7B35" w:rsidRDefault="00BE36FB" w:rsidP="00BE36FB">
            <w:pPr>
              <w:numPr>
                <w:ilvl w:val="0"/>
                <w:numId w:val="96"/>
              </w:numPr>
              <w:rPr>
                <w:rFonts w:cs="Arial"/>
                <w:sz w:val="20"/>
                <w:szCs w:val="20"/>
              </w:rPr>
            </w:pPr>
            <w:r w:rsidRPr="009B7B35">
              <w:rPr>
                <w:rFonts w:cs="Arial"/>
                <w:sz w:val="20"/>
                <w:szCs w:val="20"/>
              </w:rPr>
              <w:t>1,000 or less birds of poultry</w:t>
            </w:r>
          </w:p>
          <w:p w14:paraId="7DF60535" w14:textId="77777777" w:rsidR="00BE36FB" w:rsidRPr="009B7B35" w:rsidRDefault="00BE36FB" w:rsidP="00BE36FB">
            <w:pPr>
              <w:numPr>
                <w:ilvl w:val="0"/>
                <w:numId w:val="96"/>
              </w:numPr>
              <w:rPr>
                <w:rFonts w:cs="Arial"/>
                <w:sz w:val="20"/>
                <w:szCs w:val="20"/>
              </w:rPr>
            </w:pPr>
            <w:r w:rsidRPr="009B7B35">
              <w:rPr>
                <w:rFonts w:cs="Arial"/>
                <w:sz w:val="20"/>
                <w:szCs w:val="20"/>
              </w:rPr>
              <w:t>400 or less standard pig units</w:t>
            </w:r>
          </w:p>
          <w:p w14:paraId="6232BD22" w14:textId="77777777" w:rsidR="00BE36FB" w:rsidRPr="009B7B35" w:rsidRDefault="00BE36FB" w:rsidP="00BE36FB">
            <w:pPr>
              <w:numPr>
                <w:ilvl w:val="0"/>
                <w:numId w:val="96"/>
              </w:numPr>
              <w:rPr>
                <w:rFonts w:cs="Arial"/>
                <w:sz w:val="20"/>
                <w:szCs w:val="20"/>
              </w:rPr>
            </w:pPr>
            <w:r w:rsidRPr="009B7B35">
              <w:rPr>
                <w:rFonts w:cs="Arial"/>
                <w:sz w:val="20"/>
                <w:szCs w:val="20"/>
              </w:rPr>
              <w:t>150 or less standard cattle units, or</w:t>
            </w:r>
          </w:p>
          <w:p w14:paraId="4F8EBD5B" w14:textId="77777777" w:rsidR="00BE36FB" w:rsidRPr="009B7B35" w:rsidRDefault="00BE36FB" w:rsidP="00BE36FB">
            <w:pPr>
              <w:numPr>
                <w:ilvl w:val="0"/>
                <w:numId w:val="96"/>
              </w:numPr>
              <w:rPr>
                <w:rFonts w:cs="Arial"/>
                <w:sz w:val="20"/>
                <w:szCs w:val="20"/>
              </w:rPr>
            </w:pPr>
            <w:r w:rsidRPr="009B7B35">
              <w:rPr>
                <w:rFonts w:cs="Arial"/>
                <w:sz w:val="20"/>
                <w:szCs w:val="20"/>
              </w:rPr>
              <w:t>1,000 or less sheep units.</w:t>
            </w:r>
          </w:p>
          <w:p w14:paraId="32033D80" w14:textId="77777777" w:rsidR="00BE36FB" w:rsidRPr="009B7B35" w:rsidRDefault="00BE36FB" w:rsidP="001A7107">
            <w:pPr>
              <w:pStyle w:val="TableText"/>
              <w:rPr>
                <w:rFonts w:cs="Arial"/>
              </w:rPr>
            </w:pPr>
            <w:r w:rsidRPr="009B7B35">
              <w:rPr>
                <w:rFonts w:cs="Arial"/>
              </w:rPr>
              <w:t>If Short term accommodation only where involving a farm stay.</w:t>
            </w:r>
          </w:p>
          <w:p w14:paraId="415B317D" w14:textId="77777777" w:rsidR="00BE36FB" w:rsidRPr="009B7B35" w:rsidRDefault="00BE36FB" w:rsidP="001A7107">
            <w:pPr>
              <w:pStyle w:val="TableText"/>
              <w:rPr>
                <w:rFonts w:cs="Arial"/>
              </w:rPr>
            </w:pPr>
            <w:r w:rsidRPr="009B7B35">
              <w:rPr>
                <w:rFonts w:cs="Arial"/>
              </w:rPr>
              <w:t>If animal keeping only where involving kennels or catteries.</w:t>
            </w:r>
          </w:p>
        </w:tc>
        <w:tc>
          <w:tcPr>
            <w:cnfStyle w:val="000100000000" w:firstRow="0" w:lastRow="0" w:firstColumn="0" w:lastColumn="1" w:oddVBand="0" w:evenVBand="0" w:oddHBand="0" w:evenHBand="0" w:firstRowFirstColumn="0" w:firstRowLastColumn="0" w:lastRowFirstColumn="0" w:lastRowLastColumn="0"/>
            <w:tcW w:w="3486" w:type="dxa"/>
          </w:tcPr>
          <w:p w14:paraId="62866804" w14:textId="77777777" w:rsidR="00BE36FB" w:rsidRPr="009B7B35" w:rsidRDefault="00BE36FB" w:rsidP="001A7107">
            <w:pPr>
              <w:pStyle w:val="TableText"/>
              <w:rPr>
                <w:rFonts w:cs="Arial"/>
                <w:color w:val="auto"/>
              </w:rPr>
            </w:pPr>
            <w:r w:rsidRPr="009B7B35">
              <w:rPr>
                <w:rFonts w:cs="Arial"/>
                <w:color w:val="auto"/>
              </w:rPr>
              <w:t>Zone code:</w:t>
            </w:r>
          </w:p>
          <w:p w14:paraId="595158F6"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Rural zone code</w:t>
            </w:r>
          </w:p>
          <w:p w14:paraId="20CECAB5" w14:textId="77777777" w:rsidR="00BE36FB" w:rsidRPr="009B7B35" w:rsidRDefault="00BE36FB" w:rsidP="001A7107">
            <w:pPr>
              <w:pStyle w:val="TableText"/>
              <w:rPr>
                <w:rFonts w:cs="Arial"/>
                <w:color w:val="auto"/>
              </w:rPr>
            </w:pPr>
            <w:r w:rsidRPr="009B7B35">
              <w:rPr>
                <w:rFonts w:cs="Arial"/>
                <w:color w:val="auto"/>
              </w:rPr>
              <w:t>Other development codes:</w:t>
            </w:r>
          </w:p>
          <w:p w14:paraId="38434677"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07F30C5D"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35761C8F"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0B446C64" w14:textId="77777777" w:rsidR="00BE36FB" w:rsidRPr="009B7B35" w:rsidRDefault="00BE36FB" w:rsidP="001A7107">
            <w:pPr>
              <w:pStyle w:val="TableText"/>
              <w:rPr>
                <w:rFonts w:cs="Arial"/>
              </w:rPr>
            </w:pPr>
            <w:r w:rsidRPr="009B7B35">
              <w:rPr>
                <w:rFonts w:cs="Arial"/>
              </w:rPr>
              <w:t xml:space="preserve">Emergency services </w:t>
            </w:r>
          </w:p>
          <w:p w14:paraId="5AFEFFBC" w14:textId="77777777" w:rsidR="00BE36FB" w:rsidRPr="009B7B35" w:rsidRDefault="00BE36FB" w:rsidP="001A7107">
            <w:pPr>
              <w:pStyle w:val="TableText"/>
              <w:rPr>
                <w:rFonts w:cs="Arial"/>
              </w:rPr>
            </w:pPr>
            <w:r w:rsidRPr="009B7B35">
              <w:rPr>
                <w:rFonts w:cs="Arial"/>
              </w:rPr>
              <w:t>Substation</w:t>
            </w:r>
          </w:p>
          <w:p w14:paraId="03A5AD1C"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05EECE89"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28B107F7"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0F327C09"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1ECD0FD5"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3BE51873" w14:textId="77777777" w:rsidR="00BE36FB" w:rsidRPr="009B7B35" w:rsidRDefault="00BE36FB" w:rsidP="001A7107">
            <w:pPr>
              <w:pStyle w:val="TableText"/>
              <w:rPr>
                <w:rFonts w:cs="Arial"/>
              </w:rPr>
            </w:pPr>
            <w:r w:rsidRPr="009B7B35">
              <w:rPr>
                <w:rFonts w:cs="Arial"/>
              </w:rPr>
              <w:t xml:space="preserve">Otherwise, where undertaken by a public sector entity. </w:t>
            </w:r>
          </w:p>
        </w:tc>
        <w:tc>
          <w:tcPr>
            <w:cnfStyle w:val="000100000000" w:firstRow="0" w:lastRow="0" w:firstColumn="0" w:lastColumn="1" w:oddVBand="0" w:evenVBand="0" w:oddHBand="0" w:evenHBand="0" w:firstRowFirstColumn="0" w:firstRowLastColumn="0" w:lastRowFirstColumn="0" w:lastRowLastColumn="0"/>
            <w:tcW w:w="3486" w:type="dxa"/>
          </w:tcPr>
          <w:p w14:paraId="5EE7C4D9" w14:textId="77777777" w:rsidR="00BE36FB" w:rsidRPr="009B7B35" w:rsidRDefault="00BE36FB" w:rsidP="001A7107">
            <w:pPr>
              <w:pStyle w:val="TableText"/>
              <w:rPr>
                <w:rFonts w:cs="Arial"/>
                <w:color w:val="auto"/>
              </w:rPr>
            </w:pPr>
            <w:r w:rsidRPr="009B7B35">
              <w:rPr>
                <w:rFonts w:cs="Arial"/>
                <w:color w:val="auto"/>
              </w:rPr>
              <w:t>Not applicable</w:t>
            </w:r>
          </w:p>
          <w:p w14:paraId="7C77A733" w14:textId="77777777" w:rsidR="00BE36FB" w:rsidRPr="009B7B35" w:rsidRDefault="00BE36FB" w:rsidP="001A7107">
            <w:pPr>
              <w:pStyle w:val="TableText"/>
              <w:rPr>
                <w:rFonts w:cs="Arial"/>
                <w:color w:val="auto"/>
              </w:rPr>
            </w:pPr>
          </w:p>
          <w:p w14:paraId="15563EB9" w14:textId="77777777" w:rsidR="00BE36FB" w:rsidRPr="009B7B35" w:rsidRDefault="00BE36FB" w:rsidP="001A7107">
            <w:pPr>
              <w:pStyle w:val="TableText"/>
              <w:rPr>
                <w:rFonts w:cs="Arial"/>
                <w:color w:val="auto"/>
              </w:rPr>
            </w:pPr>
          </w:p>
        </w:tc>
      </w:tr>
      <w:tr w:rsidR="00BE36FB" w:rsidRPr="009B7B35" w14:paraId="4220AA9B"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2A8B5085"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3D9CC43A"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1B4311C0"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7A3DC55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2EC95E72"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14:paraId="7E391759" w14:textId="77777777" w:rsidR="00BE36FB" w:rsidRPr="009B7B35" w:rsidRDefault="00BE36FB" w:rsidP="001A7107">
            <w:pPr>
              <w:pStyle w:val="TableText"/>
              <w:rPr>
                <w:rFonts w:cs="Arial"/>
                <w:color w:val="auto"/>
              </w:rPr>
            </w:pPr>
            <w:r w:rsidRPr="009B7B35">
              <w:rPr>
                <w:rFonts w:cs="Arial"/>
                <w:color w:val="auto"/>
              </w:rPr>
              <w:t>Zone code:</w:t>
            </w:r>
          </w:p>
          <w:p w14:paraId="6F41ACA9"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Rural zone code</w:t>
            </w:r>
          </w:p>
          <w:p w14:paraId="4589CEFF" w14:textId="77777777" w:rsidR="00BE36FB" w:rsidRPr="009B7B35" w:rsidRDefault="00BE36FB" w:rsidP="001A7107">
            <w:pPr>
              <w:pStyle w:val="TableText"/>
              <w:rPr>
                <w:rFonts w:cs="Arial"/>
                <w:color w:val="auto"/>
              </w:rPr>
            </w:pPr>
            <w:r w:rsidRPr="009B7B35">
              <w:rPr>
                <w:rFonts w:cs="Arial"/>
                <w:color w:val="auto"/>
              </w:rPr>
              <w:t>Other development codes:</w:t>
            </w:r>
          </w:p>
          <w:p w14:paraId="52D6F35D"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28D241C5"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770CB9DB" w14:textId="77777777" w:rsidR="00BE36FB" w:rsidRPr="009B7B35" w:rsidRDefault="00BE36FB" w:rsidP="001A7107">
            <w:pPr>
              <w:pStyle w:val="TableText"/>
              <w:rPr>
                <w:rFonts w:cs="Arial"/>
              </w:rPr>
            </w:pPr>
            <w:r w:rsidRPr="009B7B35">
              <w:rPr>
                <w:rFonts w:cs="Arial"/>
              </w:rPr>
              <w:t xml:space="preserve">Home based business </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3E42EEDC"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3E50B004"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2531DFD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0565C4BB"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14:paraId="2C38EA30" w14:textId="77777777" w:rsidR="00BE36FB" w:rsidRPr="009B7B35" w:rsidRDefault="00BE36FB" w:rsidP="001A7107">
            <w:pPr>
              <w:pStyle w:val="ListBullet"/>
              <w:numPr>
                <w:ilvl w:val="0"/>
                <w:numId w:val="0"/>
              </w:numPr>
              <w:ind w:left="284" w:hanging="284"/>
              <w:rPr>
                <w:rFonts w:cs="Arial"/>
                <w:color w:val="auto"/>
                <w:szCs w:val="20"/>
              </w:rPr>
            </w:pPr>
            <w:r w:rsidRPr="009B7B35">
              <w:rPr>
                <w:rFonts w:cs="Arial"/>
                <w:color w:val="auto"/>
                <w:szCs w:val="20"/>
              </w:rPr>
              <w:t>Use code:</w:t>
            </w:r>
          </w:p>
          <w:p w14:paraId="1E7D0C6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Home based business code</w:t>
            </w:r>
          </w:p>
        </w:tc>
      </w:tr>
      <w:tr w:rsidR="00BE36FB" w:rsidRPr="009B7B35" w14:paraId="79999E3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387D6DEF" w14:textId="77777777"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3EEF338E"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0F5C541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155840D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75BD0279"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14:paraId="6F14D1E4" w14:textId="77777777" w:rsidR="00BE36FB" w:rsidRPr="009B7B35" w:rsidRDefault="00BE36FB" w:rsidP="001A7107">
            <w:pPr>
              <w:pStyle w:val="TableText"/>
              <w:rPr>
                <w:rFonts w:cs="Arial"/>
                <w:color w:val="auto"/>
              </w:rPr>
            </w:pPr>
            <w:r w:rsidRPr="009B7B35">
              <w:rPr>
                <w:rFonts w:cs="Arial"/>
                <w:color w:val="auto"/>
              </w:rPr>
              <w:t>Zone code:</w:t>
            </w:r>
          </w:p>
          <w:p w14:paraId="0CC51470"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Rural zone code</w:t>
            </w:r>
          </w:p>
          <w:p w14:paraId="7FADC2DB" w14:textId="77777777" w:rsidR="00BE36FB" w:rsidRPr="009B7B35" w:rsidRDefault="00BE36FB" w:rsidP="001A7107">
            <w:pPr>
              <w:pStyle w:val="TableText"/>
              <w:rPr>
                <w:rFonts w:cs="Arial"/>
                <w:color w:val="auto"/>
              </w:rPr>
            </w:pPr>
            <w:r w:rsidRPr="009B7B35">
              <w:rPr>
                <w:rFonts w:cs="Arial"/>
                <w:color w:val="auto"/>
              </w:rPr>
              <w:t>Use code:</w:t>
            </w:r>
          </w:p>
          <w:p w14:paraId="48195846"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14:paraId="1AEA340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6411D376"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0C69F3E4"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14:paraId="25DBBCED"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79EBA0A4"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5F7EBDE5"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14:paraId="1C47E005"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57BE1DA9" w14:textId="77777777" w:rsidR="00BE36FB" w:rsidRPr="009B7B35" w:rsidRDefault="00BE36FB" w:rsidP="001A7107">
      <w:pPr>
        <w:pStyle w:val="Heading5"/>
        <w:numPr>
          <w:ilvl w:val="0"/>
          <w:numId w:val="0"/>
        </w:numPr>
        <w:rPr>
          <w:rFonts w:cs="Arial"/>
          <w:szCs w:val="20"/>
        </w:rPr>
      </w:pPr>
      <w:r w:rsidRPr="009B7B35">
        <w:rPr>
          <w:rFonts w:cs="Arial"/>
          <w:szCs w:val="20"/>
        </w:rPr>
        <w:t>Table 5.5.17—Rural residential zone</w:t>
      </w:r>
    </w:p>
    <w:tbl>
      <w:tblPr>
        <w:tblStyle w:val="Tablestyle"/>
        <w:tblW w:w="0" w:type="auto"/>
        <w:tblLook w:val="01E0" w:firstRow="1" w:lastRow="1" w:firstColumn="1" w:lastColumn="1" w:noHBand="0" w:noVBand="0"/>
      </w:tblPr>
      <w:tblGrid>
        <w:gridCol w:w="2204"/>
        <w:gridCol w:w="3066"/>
        <w:gridCol w:w="3093"/>
      </w:tblGrid>
      <w:tr w:rsidR="00BE36FB" w:rsidRPr="009B7B35" w14:paraId="403D55BE"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80" w:type="dxa"/>
          </w:tcPr>
          <w:p w14:paraId="3384C033"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14:paraId="06CE3C46"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14:paraId="30EAF171"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5AA0A527"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0C0F1DC3" w14:textId="77777777" w:rsidR="00BE36FB" w:rsidRPr="009B7B35" w:rsidRDefault="00BE36FB" w:rsidP="001A7107">
            <w:pPr>
              <w:pStyle w:val="TableText"/>
              <w:rPr>
                <w:rFonts w:cs="Arial"/>
              </w:rPr>
            </w:pPr>
            <w:r w:rsidRPr="009B7B35">
              <w:rPr>
                <w:rFonts w:cs="Arial"/>
              </w:rPr>
              <w:t>Caretaker’s accommodation</w:t>
            </w:r>
          </w:p>
          <w:p w14:paraId="3AF57D1C" w14:textId="77777777" w:rsidR="00BE36FB" w:rsidRPr="009B7B35" w:rsidRDefault="00BE36FB" w:rsidP="001A7107">
            <w:pPr>
              <w:pStyle w:val="TableText"/>
              <w:rPr>
                <w:rFonts w:cs="Arial"/>
              </w:rPr>
            </w:pPr>
            <w:r w:rsidRPr="009B7B35">
              <w:rPr>
                <w:rFonts w:cs="Arial"/>
              </w:rPr>
              <w:t>Dwelling house</w:t>
            </w:r>
          </w:p>
          <w:p w14:paraId="76CD68A5" w14:textId="77777777" w:rsidR="00BE36FB" w:rsidRPr="009B7B35" w:rsidRDefault="00BE36FB" w:rsidP="001A7107">
            <w:pPr>
              <w:pStyle w:val="TableText"/>
              <w:rPr>
                <w:rFonts w:cs="Arial"/>
              </w:rPr>
            </w:pPr>
            <w:r w:rsidRPr="009B7B35">
              <w:rPr>
                <w:rFonts w:cs="Arial"/>
              </w:rPr>
              <w:t>Roadside stall</w:t>
            </w:r>
          </w:p>
          <w:p w14:paraId="41347B1A" w14:textId="77777777" w:rsidR="00BE36FB" w:rsidRPr="009B7B35" w:rsidRDefault="00BE36FB" w:rsidP="001A7107">
            <w:pPr>
              <w:pStyle w:val="TableText"/>
              <w:rPr>
                <w:rFonts w:cs="Arial"/>
              </w:rPr>
            </w:pPr>
            <w:r w:rsidRPr="009B7B35">
              <w:rPr>
                <w:rFonts w:cs="Arial"/>
              </w:rPr>
              <w:t>Sales office</w:t>
            </w:r>
          </w:p>
          <w:p w14:paraId="15636359"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20E70B13"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50B0219F"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5FECAD6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15C5E36D"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14:paraId="63B2823F" w14:textId="77777777" w:rsidR="00BE36FB" w:rsidRPr="009B7B35" w:rsidRDefault="00BE36FB" w:rsidP="001A7107">
            <w:pPr>
              <w:pStyle w:val="TableText"/>
              <w:rPr>
                <w:rFonts w:cs="Arial"/>
                <w:color w:val="auto"/>
              </w:rPr>
            </w:pPr>
            <w:r w:rsidRPr="009B7B35">
              <w:rPr>
                <w:rFonts w:cs="Arial"/>
                <w:color w:val="auto"/>
              </w:rPr>
              <w:t>Zone code:</w:t>
            </w:r>
          </w:p>
          <w:p w14:paraId="523B86D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Rural residential zone code</w:t>
            </w:r>
          </w:p>
        </w:tc>
      </w:tr>
      <w:tr w:rsidR="00BE36FB" w:rsidRPr="009B7B35" w14:paraId="0F89BE95"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1006A9DB" w14:textId="77777777" w:rsidR="00BE36FB" w:rsidRPr="009B7B35" w:rsidRDefault="00BE36FB" w:rsidP="001A7107">
            <w:pPr>
              <w:pStyle w:val="TableText"/>
              <w:rPr>
                <w:rFonts w:cs="Arial"/>
              </w:rPr>
            </w:pPr>
            <w:r w:rsidRPr="009B7B35">
              <w:rPr>
                <w:rFonts w:cs="Arial"/>
              </w:rPr>
              <w:t>Community use</w:t>
            </w:r>
          </w:p>
          <w:p w14:paraId="6AAEE8E8" w14:textId="77777777" w:rsidR="00BE36FB" w:rsidRPr="009B7B35" w:rsidRDefault="00BE36FB" w:rsidP="001A7107">
            <w:pPr>
              <w:pStyle w:val="TableText"/>
              <w:rPr>
                <w:rFonts w:cs="Arial"/>
              </w:rPr>
            </w:pPr>
            <w:r w:rsidRPr="009B7B35">
              <w:rPr>
                <w:rFonts w:cs="Arial"/>
              </w:rPr>
              <w:t>Nature based tourism</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532A0EE1"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56C73DE4"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326122B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537E6082" w14:textId="77777777" w:rsidR="00BE36FB" w:rsidRPr="009B7B35" w:rsidRDefault="00BE36FB" w:rsidP="001A7107">
            <w:pPr>
              <w:pStyle w:val="TableText"/>
              <w:rPr>
                <w:rFonts w:cs="Arial"/>
              </w:rPr>
            </w:pPr>
          </w:p>
          <w:p w14:paraId="32494FBE"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86" w:type="dxa"/>
          </w:tcPr>
          <w:p w14:paraId="4184F0CF" w14:textId="77777777" w:rsidR="00BE36FB" w:rsidRPr="009B7B35" w:rsidRDefault="00BE36FB" w:rsidP="001A7107">
            <w:pPr>
              <w:pStyle w:val="TableText"/>
              <w:rPr>
                <w:rFonts w:cs="Arial"/>
                <w:color w:val="auto"/>
              </w:rPr>
            </w:pPr>
            <w:r w:rsidRPr="009B7B35">
              <w:rPr>
                <w:rFonts w:cs="Arial"/>
                <w:color w:val="auto"/>
              </w:rPr>
              <w:t>Zone code:</w:t>
            </w:r>
          </w:p>
          <w:p w14:paraId="2417054D"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Rural residential zone code</w:t>
            </w:r>
          </w:p>
          <w:p w14:paraId="2233151F" w14:textId="77777777" w:rsidR="00BE36FB" w:rsidRPr="009B7B35" w:rsidRDefault="00BE36FB" w:rsidP="001A7107">
            <w:pPr>
              <w:pStyle w:val="TableText"/>
              <w:rPr>
                <w:rFonts w:cs="Arial"/>
                <w:color w:val="auto"/>
              </w:rPr>
            </w:pPr>
            <w:r w:rsidRPr="009B7B35">
              <w:rPr>
                <w:rFonts w:cs="Arial"/>
                <w:color w:val="auto"/>
              </w:rPr>
              <w:t>Other development codes:</w:t>
            </w:r>
          </w:p>
          <w:p w14:paraId="1CBDF7F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3EDD9C70"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6F9EC6D4"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349E3F6D" w14:textId="77777777" w:rsidR="00BE36FB" w:rsidRPr="009B7B35" w:rsidRDefault="00BE36FB" w:rsidP="001A7107">
            <w:pPr>
              <w:pStyle w:val="TableText"/>
              <w:rPr>
                <w:rFonts w:cs="Arial"/>
              </w:rPr>
            </w:pPr>
            <w:r w:rsidRPr="009B7B35">
              <w:rPr>
                <w:rFonts w:cs="Arial"/>
              </w:rPr>
              <w:t>Emergency services</w:t>
            </w:r>
          </w:p>
          <w:p w14:paraId="35F40C25" w14:textId="77777777" w:rsidR="00BE36FB" w:rsidRPr="009B7B35" w:rsidRDefault="00BE36FB" w:rsidP="001A7107">
            <w:pPr>
              <w:pStyle w:val="TableText"/>
              <w:rPr>
                <w:rFonts w:cs="Arial"/>
              </w:rPr>
            </w:pPr>
            <w:r w:rsidRPr="009B7B35">
              <w:rPr>
                <w:rFonts w:cs="Arial"/>
              </w:rPr>
              <w:t>Substation</w:t>
            </w:r>
          </w:p>
          <w:p w14:paraId="6E82AF38"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2688F7F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0EF3B8C1"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393EA103"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32B3BC71"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3451186A"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14:paraId="26225A6C"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398204B0"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37037D96"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1BF5A32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6A477D69"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4BFA99C5"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67E9FF7E"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16FB7851"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14:paraId="48437259" w14:textId="77777777" w:rsidR="00BE36FB" w:rsidRPr="009B7B35" w:rsidRDefault="00BE36FB" w:rsidP="001A7107">
            <w:pPr>
              <w:pStyle w:val="TableText"/>
              <w:rPr>
                <w:rFonts w:cs="Arial"/>
                <w:color w:val="auto"/>
              </w:rPr>
            </w:pPr>
            <w:r w:rsidRPr="009B7B35">
              <w:rPr>
                <w:rFonts w:cs="Arial"/>
                <w:color w:val="auto"/>
              </w:rPr>
              <w:t>Zone code:</w:t>
            </w:r>
          </w:p>
          <w:p w14:paraId="5E869FA4"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Rural residential zone code</w:t>
            </w:r>
          </w:p>
          <w:p w14:paraId="6DA73237" w14:textId="77777777" w:rsidR="00BE36FB" w:rsidRPr="009B7B35" w:rsidRDefault="00BE36FB" w:rsidP="001A7107">
            <w:pPr>
              <w:pStyle w:val="TableText"/>
              <w:rPr>
                <w:rFonts w:cs="Arial"/>
                <w:color w:val="auto"/>
              </w:rPr>
            </w:pPr>
            <w:r w:rsidRPr="009B7B35">
              <w:rPr>
                <w:rFonts w:cs="Arial"/>
                <w:color w:val="auto"/>
              </w:rPr>
              <w:t>Other development codes:</w:t>
            </w:r>
          </w:p>
          <w:p w14:paraId="423E4770"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0C9B423A"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53A30A4C" w14:textId="77777777"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30CEE7B1"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233DDB78"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3B48652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635CE726"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14:paraId="7E1C8B2C" w14:textId="77777777" w:rsidR="00BE36FB" w:rsidRPr="009B7B35" w:rsidRDefault="00BE36FB" w:rsidP="001A7107">
            <w:pPr>
              <w:pStyle w:val="ListBullet"/>
              <w:numPr>
                <w:ilvl w:val="0"/>
                <w:numId w:val="0"/>
              </w:numPr>
              <w:ind w:left="284" w:hanging="266"/>
              <w:rPr>
                <w:rFonts w:cs="Arial"/>
                <w:color w:val="auto"/>
                <w:szCs w:val="20"/>
              </w:rPr>
            </w:pPr>
            <w:r w:rsidRPr="009B7B35">
              <w:rPr>
                <w:rFonts w:cs="Arial"/>
                <w:color w:val="auto"/>
                <w:szCs w:val="20"/>
              </w:rPr>
              <w:t>Use code:</w:t>
            </w:r>
          </w:p>
          <w:p w14:paraId="2814062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Home based business code</w:t>
            </w:r>
          </w:p>
        </w:tc>
      </w:tr>
      <w:tr w:rsidR="00BE36FB" w:rsidRPr="009B7B35" w14:paraId="1129E8E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17194C62" w14:textId="77777777" w:rsidR="00BE36FB" w:rsidRPr="009B7B35" w:rsidRDefault="00BE36FB" w:rsidP="001A7107">
            <w:pPr>
              <w:pStyle w:val="TableText"/>
              <w:rPr>
                <w:rFonts w:cs="Arial"/>
              </w:rPr>
            </w:pPr>
            <w:r w:rsidRPr="009B7B35">
              <w:rPr>
                <w:rFonts w:cs="Arial"/>
              </w:rPr>
              <w:t>Landing*</w:t>
            </w:r>
          </w:p>
          <w:p w14:paraId="40941183" w14:textId="77777777" w:rsidR="00BE36FB" w:rsidRPr="009B7B35" w:rsidRDefault="00BE36FB" w:rsidP="001A7107">
            <w:pPr>
              <w:pStyle w:val="TableText"/>
              <w:rPr>
                <w:rFonts w:cs="Arial"/>
              </w:rPr>
            </w:pPr>
            <w:r w:rsidRPr="009B7B35">
              <w:rPr>
                <w:rFonts w:cs="Arial"/>
              </w:rPr>
              <w:t>Park</w:t>
            </w:r>
          </w:p>
          <w:p w14:paraId="0B709420"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78EF58AD"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37741189"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0FD78EF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5B93D53F"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14:paraId="5168AAFA"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54B4C434"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tcPr>
          <w:p w14:paraId="7AD19101" w14:textId="77777777" w:rsidR="00BE36FB" w:rsidRPr="009B7B35" w:rsidRDefault="00BE36FB" w:rsidP="001A7107">
            <w:pPr>
              <w:pStyle w:val="Tableheading"/>
              <w:rPr>
                <w:rFonts w:ascii="Arial" w:hAnsi="Arial" w:cs="Arial"/>
                <w:szCs w:val="20"/>
              </w:rPr>
            </w:pPr>
            <w:r w:rsidRPr="009B7B35">
              <w:rPr>
                <w:rFonts w:ascii="Arial" w:hAnsi="Arial" w:cs="Arial"/>
                <w:szCs w:val="20"/>
              </w:rPr>
              <w:t>If located in the Bicentennial Drive Enterprise Precinct</w:t>
            </w:r>
          </w:p>
        </w:tc>
      </w:tr>
      <w:tr w:rsidR="00BE36FB" w:rsidRPr="009B7B35" w14:paraId="6852071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35D7EE03" w14:textId="77777777" w:rsidR="00BE36FB" w:rsidRPr="009B7B35" w:rsidRDefault="00BE36FB" w:rsidP="001A7107">
            <w:pPr>
              <w:pStyle w:val="TableText"/>
              <w:rPr>
                <w:rFonts w:cs="Arial"/>
              </w:rPr>
            </w:pPr>
            <w:r w:rsidRPr="009B7B35">
              <w:rPr>
                <w:rFonts w:cs="Arial"/>
              </w:rPr>
              <w:t>Agricultural supplies store</w:t>
            </w:r>
          </w:p>
          <w:p w14:paraId="37D2AAE1" w14:textId="77777777" w:rsidR="00BE36FB" w:rsidRPr="009B7B35" w:rsidRDefault="00BE36FB" w:rsidP="001A7107">
            <w:pPr>
              <w:pStyle w:val="TableText"/>
              <w:rPr>
                <w:rFonts w:cs="Arial"/>
              </w:rPr>
            </w:pPr>
            <w:r w:rsidRPr="009B7B35">
              <w:rPr>
                <w:rFonts w:cs="Arial"/>
              </w:rPr>
              <w:t>Bulk landscape supplies</w:t>
            </w:r>
          </w:p>
          <w:p w14:paraId="27F23FA6" w14:textId="77777777" w:rsidR="00BE36FB" w:rsidRPr="009B7B35" w:rsidRDefault="00BE36FB" w:rsidP="001A7107">
            <w:pPr>
              <w:pStyle w:val="TableText"/>
              <w:rPr>
                <w:rFonts w:cs="Arial"/>
              </w:rPr>
            </w:pPr>
            <w:r w:rsidRPr="009B7B35">
              <w:rPr>
                <w:rFonts w:cs="Arial"/>
              </w:rPr>
              <w:t>Garden centre</w:t>
            </w:r>
          </w:p>
          <w:p w14:paraId="138088D7" w14:textId="77777777" w:rsidR="00BE36FB" w:rsidRPr="009B7B35" w:rsidRDefault="00BE36FB" w:rsidP="001A7107">
            <w:pPr>
              <w:pStyle w:val="TableText"/>
              <w:rPr>
                <w:rFonts w:cs="Arial"/>
              </w:rPr>
            </w:pPr>
            <w:r w:rsidRPr="009B7B35">
              <w:rPr>
                <w:rFonts w:cs="Arial"/>
              </w:rPr>
              <w:t>Hardware and trade supplies</w:t>
            </w:r>
          </w:p>
          <w:p w14:paraId="450E6929" w14:textId="77777777" w:rsidR="00BE36FB" w:rsidRPr="009B7B35" w:rsidRDefault="00BE36FB" w:rsidP="001A7107">
            <w:pPr>
              <w:pStyle w:val="TableText"/>
              <w:rPr>
                <w:rFonts w:cs="Arial"/>
              </w:rPr>
            </w:pPr>
            <w:r w:rsidRPr="009B7B35">
              <w:rPr>
                <w:rFonts w:cs="Arial"/>
              </w:rPr>
              <w:t>Outdoor sales</w:t>
            </w:r>
          </w:p>
          <w:p w14:paraId="54E5278E" w14:textId="77777777" w:rsidR="00BE36FB" w:rsidRPr="009B7B35" w:rsidRDefault="00BE36FB" w:rsidP="001A7107">
            <w:pPr>
              <w:pStyle w:val="TableText"/>
              <w:rPr>
                <w:rFonts w:cs="Arial"/>
              </w:rPr>
            </w:pPr>
            <w:r w:rsidRPr="009B7B35">
              <w:rPr>
                <w:rFonts w:cs="Arial"/>
              </w:rPr>
              <w:t>Service industry</w:t>
            </w:r>
          </w:p>
          <w:p w14:paraId="762B4E5F" w14:textId="77777777" w:rsidR="00BE36FB" w:rsidRPr="009B7B35" w:rsidRDefault="00BE36FB" w:rsidP="001A7107">
            <w:pPr>
              <w:pStyle w:val="TableText"/>
              <w:rPr>
                <w:rFonts w:cs="Arial"/>
              </w:rPr>
            </w:pPr>
            <w:r w:rsidRPr="009B7B35">
              <w:rPr>
                <w:rFonts w:cs="Arial"/>
              </w:rPr>
              <w:t>Tourist park</w:t>
            </w:r>
          </w:p>
          <w:p w14:paraId="766A7FE7" w14:textId="77777777" w:rsidR="00BE36FB" w:rsidRPr="009B7B35" w:rsidRDefault="00BE36FB" w:rsidP="001A7107">
            <w:pPr>
              <w:pStyle w:val="TableText"/>
              <w:rPr>
                <w:rFonts w:cs="Arial"/>
              </w:rPr>
            </w:pPr>
            <w:r w:rsidRPr="009B7B35">
              <w:rPr>
                <w:rFonts w:cs="Arial"/>
              </w:rPr>
              <w:t>Warehouse</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6EB9C89C"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7FFA527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2DE64E3A"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7753D73E" w14:textId="77777777"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14:paraId="66754CFF" w14:textId="77777777" w:rsidR="00BE36FB" w:rsidRPr="009B7B35" w:rsidRDefault="00BE36FB" w:rsidP="001A7107">
            <w:pPr>
              <w:pStyle w:val="TableText"/>
              <w:rPr>
                <w:rFonts w:cs="Arial"/>
                <w:color w:val="auto"/>
              </w:rPr>
            </w:pPr>
            <w:r w:rsidRPr="009B7B35">
              <w:rPr>
                <w:rFonts w:cs="Arial"/>
                <w:color w:val="auto"/>
              </w:rPr>
              <w:t>Zone code:</w:t>
            </w:r>
          </w:p>
          <w:p w14:paraId="3D17CCFF"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Rural residential zone code</w:t>
            </w:r>
          </w:p>
          <w:p w14:paraId="55201DDD" w14:textId="77777777" w:rsidR="00BE36FB" w:rsidRPr="009B7B35" w:rsidRDefault="00BE36FB" w:rsidP="001A7107">
            <w:pPr>
              <w:pStyle w:val="TableText"/>
              <w:rPr>
                <w:rFonts w:cs="Arial"/>
                <w:color w:val="auto"/>
              </w:rPr>
            </w:pPr>
            <w:r w:rsidRPr="009B7B35">
              <w:rPr>
                <w:rFonts w:cs="Arial"/>
                <w:color w:val="auto"/>
              </w:rPr>
              <w:t>Other development codes:</w:t>
            </w:r>
          </w:p>
          <w:p w14:paraId="4C268F36"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7E50E1F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5BD8A32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4139A76C"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56DB8DBD"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14:paraId="20F76BCE"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4EEF7B80"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5461CA25"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14:paraId="4694D5D1"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3FD96B32" w14:textId="77777777" w:rsidR="00BE36FB" w:rsidRPr="009B7B35" w:rsidRDefault="00BE36FB" w:rsidP="001A7107">
      <w:pPr>
        <w:pStyle w:val="Heading5"/>
        <w:numPr>
          <w:ilvl w:val="0"/>
          <w:numId w:val="0"/>
        </w:numPr>
        <w:rPr>
          <w:rFonts w:cs="Arial"/>
          <w:szCs w:val="20"/>
        </w:rPr>
      </w:pPr>
      <w:r w:rsidRPr="009B7B35">
        <w:rPr>
          <w:rFonts w:cs="Arial"/>
          <w:szCs w:val="20"/>
        </w:rPr>
        <w:t>Table 5.5.18—Township zone</w:t>
      </w:r>
    </w:p>
    <w:tbl>
      <w:tblPr>
        <w:tblStyle w:val="Tablestyle"/>
        <w:tblW w:w="4946" w:type="pct"/>
        <w:tblLook w:val="01E0" w:firstRow="1" w:lastRow="1" w:firstColumn="1" w:lastColumn="1" w:noHBand="0" w:noVBand="0"/>
      </w:tblPr>
      <w:tblGrid>
        <w:gridCol w:w="2118"/>
        <w:gridCol w:w="3113"/>
        <w:gridCol w:w="3098"/>
      </w:tblGrid>
      <w:tr w:rsidR="00BE36FB" w:rsidRPr="009B7B35" w14:paraId="20669C3E"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271" w:type="pct"/>
          </w:tcPr>
          <w:p w14:paraId="12F22759"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1869" w:type="pct"/>
          </w:tcPr>
          <w:p w14:paraId="6EDC2E10"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1860" w:type="pct"/>
          </w:tcPr>
          <w:p w14:paraId="0FE00683"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7EC538D9"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14:paraId="1B84C966" w14:textId="77777777" w:rsidR="00BE36FB" w:rsidRPr="009B7B35" w:rsidRDefault="00BE36FB" w:rsidP="001A7107">
            <w:pPr>
              <w:pStyle w:val="TableText"/>
              <w:rPr>
                <w:rFonts w:cs="Arial"/>
              </w:rPr>
            </w:pPr>
            <w:r w:rsidRPr="009B7B35">
              <w:rPr>
                <w:rFonts w:cs="Arial"/>
              </w:rPr>
              <w:t>Agricultural supplies store</w:t>
            </w:r>
          </w:p>
          <w:p w14:paraId="502EFD7C" w14:textId="77777777" w:rsidR="00BE36FB" w:rsidRPr="009B7B35" w:rsidRDefault="00BE36FB" w:rsidP="001A7107">
            <w:pPr>
              <w:pStyle w:val="TableText"/>
              <w:rPr>
                <w:rFonts w:cs="Arial"/>
              </w:rPr>
            </w:pPr>
            <w:r w:rsidRPr="009B7B35">
              <w:rPr>
                <w:rFonts w:cs="Arial"/>
              </w:rPr>
              <w:t xml:space="preserve">Bulk landscape supplies </w:t>
            </w:r>
          </w:p>
          <w:p w14:paraId="35BF5710" w14:textId="77777777" w:rsidR="00BE36FB" w:rsidRPr="009B7B35" w:rsidRDefault="00BE36FB" w:rsidP="001A7107">
            <w:pPr>
              <w:pStyle w:val="TableText"/>
              <w:rPr>
                <w:rFonts w:cs="Arial"/>
              </w:rPr>
            </w:pPr>
            <w:r w:rsidRPr="009B7B35">
              <w:rPr>
                <w:rFonts w:cs="Arial"/>
              </w:rPr>
              <w:t>Club</w:t>
            </w:r>
          </w:p>
          <w:p w14:paraId="087BD290" w14:textId="77777777" w:rsidR="00BE36FB" w:rsidRPr="009B7B35" w:rsidRDefault="00BE36FB" w:rsidP="001A7107">
            <w:pPr>
              <w:pStyle w:val="TableText"/>
              <w:rPr>
                <w:rFonts w:cs="Arial"/>
              </w:rPr>
            </w:pPr>
            <w:r w:rsidRPr="009B7B35">
              <w:rPr>
                <w:rFonts w:cs="Arial"/>
              </w:rPr>
              <w:t>Community care centre</w:t>
            </w:r>
          </w:p>
          <w:p w14:paraId="1149984F" w14:textId="77777777" w:rsidR="00BE36FB" w:rsidRPr="009B7B35" w:rsidRDefault="00BE36FB" w:rsidP="001A7107">
            <w:pPr>
              <w:pStyle w:val="TableText"/>
              <w:rPr>
                <w:rFonts w:cs="Arial"/>
              </w:rPr>
            </w:pPr>
            <w:r w:rsidRPr="009B7B35">
              <w:rPr>
                <w:rFonts w:cs="Arial"/>
              </w:rPr>
              <w:t>Community use</w:t>
            </w:r>
          </w:p>
          <w:p w14:paraId="4F64D8CD" w14:textId="77777777" w:rsidR="00BE36FB" w:rsidRPr="009B7B35" w:rsidRDefault="00BE36FB" w:rsidP="001A7107">
            <w:pPr>
              <w:pStyle w:val="TableText"/>
              <w:rPr>
                <w:rFonts w:cs="Arial"/>
              </w:rPr>
            </w:pPr>
            <w:r w:rsidRPr="009B7B35">
              <w:rPr>
                <w:rFonts w:cs="Arial"/>
              </w:rPr>
              <w:t>Food and drink outlet</w:t>
            </w:r>
          </w:p>
          <w:p w14:paraId="6ADE22F6" w14:textId="77777777" w:rsidR="00BE36FB" w:rsidRPr="009B7B35" w:rsidRDefault="00BE36FB" w:rsidP="001A7107">
            <w:pPr>
              <w:pStyle w:val="TableText"/>
              <w:rPr>
                <w:rFonts w:cs="Arial"/>
              </w:rPr>
            </w:pPr>
            <w:r w:rsidRPr="009B7B35">
              <w:rPr>
                <w:rFonts w:cs="Arial"/>
              </w:rPr>
              <w:t>Garden centre</w:t>
            </w:r>
          </w:p>
          <w:p w14:paraId="66F0262F" w14:textId="77777777" w:rsidR="00BE36FB" w:rsidRPr="009B7B35" w:rsidRDefault="00BE36FB" w:rsidP="001A7107">
            <w:pPr>
              <w:pStyle w:val="TableText"/>
              <w:rPr>
                <w:rFonts w:cs="Arial"/>
              </w:rPr>
            </w:pPr>
            <w:r w:rsidRPr="009B7B35">
              <w:rPr>
                <w:rFonts w:cs="Arial"/>
              </w:rPr>
              <w:t>Hardware and trade supplies</w:t>
            </w:r>
          </w:p>
          <w:p w14:paraId="25F5CBCB" w14:textId="77777777" w:rsidR="00BE36FB" w:rsidRPr="009B7B35" w:rsidRDefault="00BE36FB" w:rsidP="001A7107">
            <w:pPr>
              <w:pStyle w:val="TableText"/>
              <w:rPr>
                <w:rFonts w:cs="Arial"/>
              </w:rPr>
            </w:pPr>
            <w:r w:rsidRPr="009B7B35">
              <w:rPr>
                <w:rFonts w:cs="Arial"/>
              </w:rPr>
              <w:t>Health Care services</w:t>
            </w:r>
          </w:p>
          <w:p w14:paraId="6197E1BE" w14:textId="77777777" w:rsidR="00BE36FB" w:rsidRPr="009B7B35" w:rsidRDefault="00BE36FB" w:rsidP="001A7107">
            <w:pPr>
              <w:pStyle w:val="TableText"/>
              <w:rPr>
                <w:rFonts w:cs="Arial"/>
              </w:rPr>
            </w:pPr>
            <w:r w:rsidRPr="009B7B35">
              <w:rPr>
                <w:rFonts w:cs="Arial"/>
              </w:rPr>
              <w:t xml:space="preserve">Indoor sport and recreation </w:t>
            </w:r>
          </w:p>
          <w:p w14:paraId="1ABC1C4E" w14:textId="77777777" w:rsidR="00BE36FB" w:rsidRPr="009B7B35" w:rsidRDefault="00BE36FB" w:rsidP="001A7107">
            <w:pPr>
              <w:pStyle w:val="TableText"/>
              <w:rPr>
                <w:rFonts w:cs="Arial"/>
              </w:rPr>
            </w:pPr>
            <w:r w:rsidRPr="009B7B35">
              <w:rPr>
                <w:rFonts w:cs="Arial"/>
              </w:rPr>
              <w:t xml:space="preserve">Market </w:t>
            </w:r>
          </w:p>
          <w:p w14:paraId="3D968D7D" w14:textId="77777777" w:rsidR="00BE36FB" w:rsidRPr="009B7B35" w:rsidRDefault="00BE36FB" w:rsidP="001A7107">
            <w:pPr>
              <w:pStyle w:val="TableText"/>
              <w:rPr>
                <w:rFonts w:cs="Arial"/>
              </w:rPr>
            </w:pPr>
            <w:r w:rsidRPr="009B7B35">
              <w:rPr>
                <w:rFonts w:cs="Arial"/>
              </w:rPr>
              <w:t>Office</w:t>
            </w:r>
          </w:p>
          <w:p w14:paraId="53BED43E" w14:textId="77777777" w:rsidR="00BE36FB" w:rsidRPr="009B7B35" w:rsidRDefault="00BE36FB" w:rsidP="001A7107">
            <w:pPr>
              <w:pStyle w:val="TableText"/>
              <w:rPr>
                <w:rFonts w:cs="Arial"/>
              </w:rPr>
            </w:pPr>
            <w:r w:rsidRPr="009B7B35">
              <w:rPr>
                <w:rFonts w:cs="Arial"/>
              </w:rPr>
              <w:t>Place of Worship</w:t>
            </w:r>
          </w:p>
          <w:p w14:paraId="5AE13493" w14:textId="77777777" w:rsidR="00BE36FB" w:rsidRPr="009B7B35" w:rsidRDefault="00BE36FB" w:rsidP="001A7107">
            <w:pPr>
              <w:pStyle w:val="TableText"/>
              <w:rPr>
                <w:rFonts w:cs="Arial"/>
              </w:rPr>
            </w:pPr>
            <w:r w:rsidRPr="009B7B35">
              <w:rPr>
                <w:rFonts w:cs="Arial"/>
              </w:rPr>
              <w:t>Service industry</w:t>
            </w:r>
          </w:p>
          <w:p w14:paraId="0CAAD461" w14:textId="77777777" w:rsidR="00BE36FB" w:rsidRPr="009B7B35" w:rsidRDefault="00BE36FB" w:rsidP="001A7107">
            <w:pPr>
              <w:pStyle w:val="TableText"/>
              <w:rPr>
                <w:rFonts w:cs="Arial"/>
              </w:rPr>
            </w:pPr>
            <w:r w:rsidRPr="009B7B35">
              <w:rPr>
                <w:rFonts w:cs="Arial"/>
              </w:rPr>
              <w:t>Shop</w:t>
            </w:r>
          </w:p>
          <w:p w14:paraId="10A25313" w14:textId="77777777" w:rsidR="00BE36FB" w:rsidRPr="009B7B35" w:rsidRDefault="00BE36FB" w:rsidP="001A7107">
            <w:pPr>
              <w:pStyle w:val="TableText"/>
              <w:rPr>
                <w:rFonts w:cs="Arial"/>
              </w:rPr>
            </w:pPr>
            <w:r w:rsidRPr="009B7B35">
              <w:rPr>
                <w:rFonts w:cs="Arial"/>
              </w:rPr>
              <w:t>Shopping centre</w:t>
            </w:r>
          </w:p>
          <w:p w14:paraId="3E59BE78" w14:textId="77777777" w:rsidR="00BE36FB" w:rsidRPr="009B7B35" w:rsidRDefault="00BE36FB" w:rsidP="001A7107">
            <w:pPr>
              <w:pStyle w:val="TableText"/>
              <w:rPr>
                <w:rFonts w:cs="Arial"/>
              </w:rPr>
            </w:pPr>
            <w:r w:rsidRPr="009B7B35">
              <w:rPr>
                <w:rFonts w:cs="Arial"/>
              </w:rPr>
              <w:t>Veterinary services</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13ECCEC6"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327D35E0"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14:paraId="6F22E280"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14:paraId="28584A81" w14:textId="77777777" w:rsidR="00BE36FB" w:rsidRPr="009B7B35" w:rsidRDefault="00BE36FB" w:rsidP="001A7107">
            <w:pPr>
              <w:pStyle w:val="TableText"/>
              <w:rPr>
                <w:rFonts w:cs="Arial"/>
              </w:rPr>
            </w:pPr>
            <w:r w:rsidRPr="009B7B35">
              <w:rPr>
                <w:rFonts w:cs="Arial"/>
              </w:rPr>
              <w:t>If complying with the relevant accepted development acceptable outcomes and involving the reuse of an existing non–residential building.</w:t>
            </w:r>
          </w:p>
        </w:tc>
        <w:tc>
          <w:tcPr>
            <w:cnfStyle w:val="000100000000" w:firstRow="0" w:lastRow="0" w:firstColumn="0" w:lastColumn="1" w:oddVBand="0" w:evenVBand="0" w:oddHBand="0" w:evenHBand="0" w:firstRowFirstColumn="0" w:firstRowLastColumn="0" w:lastRowFirstColumn="0" w:lastRowLastColumn="0"/>
            <w:tcW w:w="1860" w:type="pct"/>
          </w:tcPr>
          <w:p w14:paraId="5E2EF008" w14:textId="77777777" w:rsidR="00BE36FB" w:rsidRPr="009B7B35" w:rsidRDefault="00BE36FB" w:rsidP="001A7107">
            <w:pPr>
              <w:pStyle w:val="TableText"/>
              <w:rPr>
                <w:rFonts w:cs="Arial"/>
                <w:color w:val="auto"/>
              </w:rPr>
            </w:pPr>
            <w:r w:rsidRPr="009B7B35">
              <w:rPr>
                <w:rFonts w:cs="Arial"/>
                <w:color w:val="auto"/>
              </w:rPr>
              <w:t>Zone code:</w:t>
            </w:r>
          </w:p>
          <w:p w14:paraId="49BB537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Township zone code</w:t>
            </w:r>
          </w:p>
        </w:tc>
      </w:tr>
      <w:tr w:rsidR="00BE36FB" w:rsidRPr="009B7B35" w14:paraId="5F60A86F"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14:paraId="088896B7"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7B0A90C4"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54018AD9"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14:paraId="1A2AA6A2"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14:paraId="71475570" w14:textId="77777777" w:rsidR="00BE36FB" w:rsidRPr="009B7B35" w:rsidRDefault="00BE36FB" w:rsidP="001A7107">
            <w:pPr>
              <w:pStyle w:val="TableText"/>
              <w:rPr>
                <w:rFonts w:cs="Arial"/>
              </w:rPr>
            </w:pPr>
            <w:r w:rsidRPr="009B7B35">
              <w:rPr>
                <w:rFonts w:cs="Arial"/>
              </w:rPr>
              <w:t>If not involving the reuse of an existing non–residential building.</w:t>
            </w:r>
          </w:p>
        </w:tc>
        <w:tc>
          <w:tcPr>
            <w:cnfStyle w:val="000100000000" w:firstRow="0" w:lastRow="0" w:firstColumn="0" w:lastColumn="1" w:oddVBand="0" w:evenVBand="0" w:oddHBand="0" w:evenHBand="0" w:firstRowFirstColumn="0" w:firstRowLastColumn="0" w:lastRowFirstColumn="0" w:lastRowLastColumn="0"/>
            <w:tcW w:w="1860" w:type="pct"/>
          </w:tcPr>
          <w:p w14:paraId="58A5998E" w14:textId="77777777" w:rsidR="00BE36FB" w:rsidRPr="009B7B35" w:rsidRDefault="00BE36FB" w:rsidP="001A7107">
            <w:pPr>
              <w:pStyle w:val="TableText"/>
              <w:rPr>
                <w:rFonts w:cs="Arial"/>
                <w:color w:val="auto"/>
              </w:rPr>
            </w:pPr>
            <w:r w:rsidRPr="009B7B35">
              <w:rPr>
                <w:rFonts w:cs="Arial"/>
                <w:color w:val="auto"/>
              </w:rPr>
              <w:t>Zone code:</w:t>
            </w:r>
          </w:p>
          <w:p w14:paraId="6400BDC4" w14:textId="77777777" w:rsidR="00BE36FB" w:rsidRPr="009B7B35" w:rsidRDefault="00BE36FB" w:rsidP="001A7107">
            <w:pPr>
              <w:pStyle w:val="TableText"/>
              <w:tabs>
                <w:tab w:val="left" w:pos="298"/>
              </w:tabs>
              <w:rPr>
                <w:rFonts w:cs="Arial"/>
                <w:color w:val="auto"/>
              </w:rPr>
            </w:pPr>
            <w:r w:rsidRPr="009B7B35">
              <w:rPr>
                <w:rFonts w:cs="Arial"/>
                <w:color w:val="auto"/>
              </w:rPr>
              <w:t>•</w:t>
            </w:r>
            <w:r w:rsidRPr="009B7B35">
              <w:rPr>
                <w:rFonts w:cs="Arial"/>
                <w:color w:val="auto"/>
              </w:rPr>
              <w:tab/>
              <w:t>Township zone code</w:t>
            </w:r>
          </w:p>
          <w:p w14:paraId="0B7CF899" w14:textId="77777777" w:rsidR="00BE36FB" w:rsidRPr="009B7B35" w:rsidRDefault="00BE36FB" w:rsidP="001A7107">
            <w:pPr>
              <w:pStyle w:val="TableText"/>
              <w:rPr>
                <w:rFonts w:cs="Arial"/>
                <w:color w:val="auto"/>
              </w:rPr>
            </w:pPr>
            <w:r w:rsidRPr="009B7B35">
              <w:rPr>
                <w:rFonts w:cs="Arial"/>
                <w:color w:val="auto"/>
              </w:rPr>
              <w:t>Other development codes:</w:t>
            </w:r>
          </w:p>
          <w:p w14:paraId="5459CABD" w14:textId="77777777" w:rsidR="00BE36FB" w:rsidRPr="009B7B35" w:rsidRDefault="00BE36FB" w:rsidP="00BE36FB">
            <w:pPr>
              <w:pStyle w:val="ListBullet"/>
              <w:tabs>
                <w:tab w:val="clear" w:pos="284"/>
                <w:tab w:val="left" w:pos="298"/>
              </w:tabs>
              <w:ind w:left="360" w:hanging="360"/>
              <w:rPr>
                <w:rFonts w:cs="Arial"/>
                <w:color w:val="auto"/>
                <w:szCs w:val="20"/>
              </w:rPr>
            </w:pPr>
            <w:r w:rsidRPr="009B7B35">
              <w:rPr>
                <w:rFonts w:cs="Arial"/>
                <w:color w:val="auto"/>
                <w:szCs w:val="20"/>
              </w:rPr>
              <w:t>Development design code</w:t>
            </w:r>
          </w:p>
          <w:p w14:paraId="13C3A79A" w14:textId="77777777" w:rsidR="00BE36FB" w:rsidRPr="009B7B35" w:rsidRDefault="00BE36FB" w:rsidP="00BE36FB">
            <w:pPr>
              <w:pStyle w:val="ListBullet"/>
              <w:tabs>
                <w:tab w:val="clear" w:pos="284"/>
                <w:tab w:val="left" w:pos="298"/>
              </w:tabs>
              <w:ind w:left="360" w:hanging="360"/>
              <w:rPr>
                <w:rFonts w:cs="Arial"/>
                <w:color w:val="auto"/>
                <w:szCs w:val="20"/>
              </w:rPr>
            </w:pPr>
            <w:r w:rsidRPr="009B7B35">
              <w:rPr>
                <w:rFonts w:cs="Arial"/>
                <w:color w:val="auto"/>
                <w:szCs w:val="20"/>
              </w:rPr>
              <w:t>Landscaping code</w:t>
            </w:r>
          </w:p>
        </w:tc>
      </w:tr>
      <w:tr w:rsidR="00BE36FB" w:rsidRPr="009B7B35" w14:paraId="165B667E"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14:paraId="5A3880BF" w14:textId="77777777" w:rsidR="00BE36FB" w:rsidRPr="009B7B35" w:rsidRDefault="00BE36FB" w:rsidP="001A7107">
            <w:pPr>
              <w:pStyle w:val="TableText"/>
              <w:rPr>
                <w:rFonts w:cs="Arial"/>
              </w:rPr>
            </w:pPr>
            <w:r w:rsidRPr="009B7B35">
              <w:rPr>
                <w:rFonts w:cs="Arial"/>
              </w:rPr>
              <w:t>Caretaker’s accommodation</w:t>
            </w:r>
          </w:p>
          <w:p w14:paraId="44AFF807" w14:textId="77777777" w:rsidR="00BE36FB" w:rsidRPr="009B7B35" w:rsidRDefault="00BE36FB" w:rsidP="001A7107">
            <w:pPr>
              <w:pStyle w:val="TableText"/>
              <w:rPr>
                <w:rFonts w:cs="Arial"/>
              </w:rPr>
            </w:pPr>
            <w:r w:rsidRPr="009B7B35">
              <w:rPr>
                <w:rFonts w:cs="Arial"/>
              </w:rPr>
              <w:t>Dwelling house</w:t>
            </w:r>
          </w:p>
          <w:p w14:paraId="2DCAF9D0" w14:textId="77777777" w:rsidR="00BE36FB" w:rsidRPr="009B7B35" w:rsidRDefault="00BE36FB" w:rsidP="001A7107">
            <w:pPr>
              <w:pStyle w:val="TableText"/>
              <w:rPr>
                <w:rFonts w:cs="Arial"/>
              </w:rPr>
            </w:pPr>
            <w:r w:rsidRPr="009B7B35">
              <w:rPr>
                <w:rFonts w:cs="Arial"/>
              </w:rPr>
              <w:t>Dwelling unit</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5EDE6F29"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0146AE65"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14:paraId="4B77A725"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14:paraId="48541932" w14:textId="77777777" w:rsidR="00BE36FB" w:rsidRPr="009B7B35" w:rsidRDefault="00BE36FB" w:rsidP="001A7107">
            <w:pPr>
              <w:pStyle w:val="TableText"/>
              <w:rPr>
                <w:rFonts w:cs="Arial"/>
              </w:rPr>
            </w:pPr>
            <w:r w:rsidRPr="009B7B35">
              <w:rPr>
                <w:rFonts w:cs="Arial"/>
              </w:rPr>
              <w:t>If complying with the relevant accepted development acceptable outcomes.</w:t>
            </w:r>
          </w:p>
          <w:p w14:paraId="5D577C70"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1860" w:type="pct"/>
          </w:tcPr>
          <w:p w14:paraId="004DB666" w14:textId="77777777" w:rsidR="00BE36FB" w:rsidRPr="009B7B35" w:rsidRDefault="00BE36FB" w:rsidP="001A7107">
            <w:pPr>
              <w:pStyle w:val="TableText"/>
              <w:rPr>
                <w:rFonts w:cs="Arial"/>
                <w:color w:val="auto"/>
              </w:rPr>
            </w:pPr>
            <w:r w:rsidRPr="009B7B35">
              <w:rPr>
                <w:rFonts w:cs="Arial"/>
                <w:color w:val="auto"/>
              </w:rPr>
              <w:t>Zone code:</w:t>
            </w:r>
          </w:p>
          <w:p w14:paraId="405B152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Township zone code</w:t>
            </w:r>
          </w:p>
        </w:tc>
      </w:tr>
      <w:tr w:rsidR="00BE36FB" w:rsidRPr="009B7B35" w14:paraId="1D050842"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14:paraId="0F9D0FEB" w14:textId="77777777" w:rsidR="00BE36FB" w:rsidRPr="009B7B35" w:rsidRDefault="00BE36FB" w:rsidP="001A7107">
            <w:pPr>
              <w:pStyle w:val="TableText"/>
              <w:rPr>
                <w:rFonts w:cs="Arial"/>
              </w:rPr>
            </w:pPr>
            <w:r w:rsidRPr="009B7B35">
              <w:rPr>
                <w:rFonts w:cs="Arial"/>
              </w:rPr>
              <w:t>Dual occupancy</w:t>
            </w:r>
          </w:p>
          <w:p w14:paraId="177858D5" w14:textId="77777777" w:rsidR="00BE36FB" w:rsidRPr="009B7B35" w:rsidRDefault="00BE36FB" w:rsidP="001A7107">
            <w:pPr>
              <w:pStyle w:val="TableText"/>
              <w:rPr>
                <w:rFonts w:cs="Arial"/>
              </w:rPr>
            </w:pPr>
            <w:r w:rsidRPr="009B7B35">
              <w:rPr>
                <w:rFonts w:cs="Arial"/>
              </w:rPr>
              <w:t>Child care centre</w:t>
            </w:r>
          </w:p>
          <w:p w14:paraId="7EF493AB" w14:textId="77777777" w:rsidR="00BE36FB" w:rsidRPr="009B7B35" w:rsidRDefault="00BE36FB" w:rsidP="001A7107">
            <w:pPr>
              <w:pStyle w:val="TableText"/>
              <w:rPr>
                <w:rFonts w:cs="Arial"/>
              </w:rPr>
            </w:pPr>
            <w:r w:rsidRPr="009B7B35">
              <w:rPr>
                <w:rFonts w:cs="Arial"/>
              </w:rPr>
              <w:t>Service station</w:t>
            </w:r>
          </w:p>
          <w:p w14:paraId="07D1F6BB" w14:textId="77777777" w:rsidR="00BE36FB" w:rsidRPr="009B7B35" w:rsidRDefault="00BE36FB" w:rsidP="001A7107">
            <w:pPr>
              <w:pStyle w:val="TableText"/>
              <w:rPr>
                <w:rFonts w:cs="Arial"/>
              </w:rPr>
            </w:pPr>
            <w:r w:rsidRPr="009B7B35">
              <w:rPr>
                <w:rFonts w:cs="Arial"/>
              </w:rPr>
              <w:t>Short term accommodation</w:t>
            </w:r>
          </w:p>
          <w:p w14:paraId="1CF31983" w14:textId="77777777" w:rsidR="00BE36FB" w:rsidRPr="009B7B35" w:rsidRDefault="00BE36FB" w:rsidP="001A7107">
            <w:pPr>
              <w:pStyle w:val="TableText"/>
              <w:rPr>
                <w:rFonts w:cs="Arial"/>
              </w:rPr>
            </w:pPr>
            <w:r w:rsidRPr="009B7B35">
              <w:rPr>
                <w:rFonts w:cs="Arial"/>
              </w:rPr>
              <w:t>Tourist Park</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35266532"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3A892BF2"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14:paraId="651A7E5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14:paraId="446D38C1" w14:textId="77777777"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1860" w:type="pct"/>
          </w:tcPr>
          <w:p w14:paraId="2D270E98" w14:textId="77777777" w:rsidR="00BE36FB" w:rsidRPr="009B7B35" w:rsidRDefault="00BE36FB" w:rsidP="001A7107">
            <w:pPr>
              <w:pStyle w:val="TableText"/>
              <w:rPr>
                <w:rFonts w:cs="Arial"/>
                <w:color w:val="auto"/>
              </w:rPr>
            </w:pPr>
            <w:r w:rsidRPr="009B7B35">
              <w:rPr>
                <w:rFonts w:cs="Arial"/>
                <w:color w:val="auto"/>
              </w:rPr>
              <w:t>Zone code:</w:t>
            </w:r>
          </w:p>
          <w:p w14:paraId="4E67A5D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Township zone code</w:t>
            </w:r>
          </w:p>
          <w:p w14:paraId="795169DD" w14:textId="77777777" w:rsidR="00BE36FB" w:rsidRPr="009B7B35" w:rsidRDefault="00BE36FB" w:rsidP="001A7107">
            <w:pPr>
              <w:pStyle w:val="TableText"/>
              <w:rPr>
                <w:rFonts w:cs="Arial"/>
                <w:color w:val="auto"/>
              </w:rPr>
            </w:pPr>
            <w:r w:rsidRPr="009B7B35">
              <w:rPr>
                <w:rFonts w:cs="Arial"/>
                <w:color w:val="auto"/>
              </w:rPr>
              <w:t>Other development codes:</w:t>
            </w:r>
          </w:p>
          <w:p w14:paraId="435737C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04047856"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4EF3A9C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pct"/>
            <w:vMerge w:val="restart"/>
          </w:tcPr>
          <w:p w14:paraId="3B67BF4D" w14:textId="77777777" w:rsidR="00BE36FB" w:rsidRPr="009B7B35" w:rsidRDefault="00BE36FB" w:rsidP="001A7107">
            <w:pPr>
              <w:pStyle w:val="TableText"/>
              <w:rPr>
                <w:rFonts w:cs="Arial"/>
              </w:rPr>
            </w:pPr>
            <w:r w:rsidRPr="009B7B35">
              <w:rPr>
                <w:rFonts w:cs="Arial"/>
              </w:rPr>
              <w:t>Emergency services</w:t>
            </w:r>
          </w:p>
          <w:p w14:paraId="1622C564" w14:textId="77777777" w:rsidR="00BE36FB" w:rsidRPr="009B7B35" w:rsidRDefault="00BE36FB" w:rsidP="001A7107">
            <w:pPr>
              <w:pStyle w:val="TableText"/>
              <w:rPr>
                <w:rFonts w:cs="Arial"/>
              </w:rPr>
            </w:pPr>
            <w:r w:rsidRPr="009B7B35">
              <w:rPr>
                <w:rFonts w:cs="Arial"/>
              </w:rPr>
              <w:t>Substation</w:t>
            </w:r>
          </w:p>
          <w:p w14:paraId="4EFB4DB1"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19E05A44"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1F5D88E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pct"/>
            <w:vMerge/>
          </w:tcPr>
          <w:p w14:paraId="74C6527F"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14:paraId="7757CC57"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7E472FB2"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1860" w:type="pct"/>
          </w:tcPr>
          <w:p w14:paraId="0BFDB6E1"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2557A0D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pct"/>
            <w:vMerge/>
          </w:tcPr>
          <w:p w14:paraId="625A552B"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3E823C7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7F63080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pct"/>
            <w:vMerge/>
          </w:tcPr>
          <w:p w14:paraId="2DC31820"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14:paraId="3081554C"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6CB21DFF"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1860" w:type="pct"/>
          </w:tcPr>
          <w:p w14:paraId="0835B43B" w14:textId="77777777" w:rsidR="00BE36FB" w:rsidRPr="009B7B35" w:rsidRDefault="00BE36FB" w:rsidP="001A7107">
            <w:pPr>
              <w:pStyle w:val="TableText"/>
              <w:rPr>
                <w:rFonts w:cs="Arial"/>
                <w:color w:val="auto"/>
              </w:rPr>
            </w:pPr>
            <w:r w:rsidRPr="009B7B35">
              <w:rPr>
                <w:rFonts w:cs="Arial"/>
                <w:color w:val="auto"/>
              </w:rPr>
              <w:t>Zone code:</w:t>
            </w:r>
          </w:p>
          <w:p w14:paraId="0F4FE0D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Township zone code</w:t>
            </w:r>
          </w:p>
          <w:p w14:paraId="0670CAA2" w14:textId="77777777" w:rsidR="00BE36FB" w:rsidRPr="009B7B35" w:rsidRDefault="00BE36FB" w:rsidP="001A7107">
            <w:pPr>
              <w:pStyle w:val="TableText"/>
              <w:rPr>
                <w:rFonts w:cs="Arial"/>
                <w:color w:val="auto"/>
              </w:rPr>
            </w:pPr>
            <w:r w:rsidRPr="009B7B35">
              <w:rPr>
                <w:rFonts w:cs="Arial"/>
                <w:color w:val="auto"/>
              </w:rPr>
              <w:t>Other development codes:</w:t>
            </w:r>
          </w:p>
          <w:p w14:paraId="301A635F"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04916FD6"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14:paraId="1537F08D" w14:textId="77777777"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1E141C61"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62351E88"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14:paraId="5A7C19DD"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14:paraId="65F92B2B"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1860" w:type="pct"/>
          </w:tcPr>
          <w:p w14:paraId="22FA0270" w14:textId="77777777" w:rsidR="00BE36FB" w:rsidRPr="009B7B35" w:rsidRDefault="00BE36FB" w:rsidP="001A7107">
            <w:pPr>
              <w:pStyle w:val="ListBullet"/>
              <w:numPr>
                <w:ilvl w:val="0"/>
                <w:numId w:val="0"/>
              </w:numPr>
              <w:ind w:left="284" w:hanging="269"/>
              <w:rPr>
                <w:rFonts w:cs="Arial"/>
                <w:color w:val="auto"/>
                <w:szCs w:val="20"/>
              </w:rPr>
            </w:pPr>
            <w:r w:rsidRPr="009B7B35">
              <w:rPr>
                <w:rFonts w:cs="Arial"/>
                <w:color w:val="auto"/>
                <w:szCs w:val="20"/>
              </w:rPr>
              <w:t>Use code:</w:t>
            </w:r>
          </w:p>
          <w:p w14:paraId="6C3C5927"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Home base business code</w:t>
            </w:r>
          </w:p>
        </w:tc>
      </w:tr>
      <w:tr w:rsidR="00BE36FB" w:rsidRPr="009B7B35" w14:paraId="5303D1D9"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14:paraId="2AE140DE" w14:textId="77777777" w:rsidR="00BE36FB" w:rsidRPr="009B7B35" w:rsidRDefault="00BE36FB" w:rsidP="001A7107">
            <w:pPr>
              <w:pStyle w:val="TableText"/>
              <w:rPr>
                <w:rFonts w:cs="Arial"/>
              </w:rPr>
            </w:pPr>
            <w:r w:rsidRPr="009B7B35">
              <w:rPr>
                <w:rFonts w:cs="Arial"/>
              </w:rPr>
              <w:t>Landing*</w:t>
            </w:r>
          </w:p>
          <w:p w14:paraId="1E8248FC" w14:textId="77777777" w:rsidR="00BE36FB" w:rsidRPr="009B7B35" w:rsidRDefault="00BE36FB" w:rsidP="001A7107">
            <w:pPr>
              <w:pStyle w:val="TableText"/>
              <w:rPr>
                <w:rFonts w:cs="Arial"/>
              </w:rPr>
            </w:pPr>
            <w:r w:rsidRPr="009B7B35">
              <w:rPr>
                <w:rFonts w:cs="Arial"/>
              </w:rPr>
              <w:t>Park</w:t>
            </w:r>
          </w:p>
          <w:p w14:paraId="0736B834"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59454F66"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32B7A3BB" w14:textId="77777777" w:rsidTr="001A7107">
        <w:trPr>
          <w:cnfStyle w:val="000000010000" w:firstRow="0" w:lastRow="0" w:firstColumn="0" w:lastColumn="0" w:oddVBand="0" w:evenVBand="0" w:oddHBand="0" w:evenHBand="1" w:firstRowFirstColumn="0" w:firstRowLastColumn="0" w:lastRowFirstColumn="0" w:lastRowLastColumn="0"/>
          <w:cantSplit/>
          <w:trHeight w:val="28"/>
        </w:trPr>
        <w:tc>
          <w:tcPr>
            <w:cnfStyle w:val="001000000000" w:firstRow="0" w:lastRow="0" w:firstColumn="1" w:lastColumn="0" w:oddVBand="0" w:evenVBand="0" w:oddHBand="0" w:evenHBand="0" w:firstRowFirstColumn="0" w:firstRowLastColumn="0" w:lastRowFirstColumn="0" w:lastRowLastColumn="0"/>
            <w:tcW w:w="1271" w:type="pct"/>
            <w:vMerge/>
          </w:tcPr>
          <w:p w14:paraId="54964AD9"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9" w:type="pct"/>
          </w:tcPr>
          <w:p w14:paraId="24C23895"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1860" w:type="pct"/>
          </w:tcPr>
          <w:p w14:paraId="4A016620"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0A957346"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tcPr>
          <w:p w14:paraId="4A11090F"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6B07C550" w14:textId="77777777"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40" w:type="pct"/>
            <w:gridSpan w:val="2"/>
          </w:tcPr>
          <w:p w14:paraId="2273EA58"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53F2085C"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07379BD3"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1860" w:type="pct"/>
          </w:tcPr>
          <w:p w14:paraId="7B619E6D"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242988DF" w14:textId="77777777" w:rsidR="00BE36FB" w:rsidRPr="009B7B35" w:rsidRDefault="00BE36FB" w:rsidP="001A7107">
      <w:pPr>
        <w:pStyle w:val="Heading5"/>
        <w:numPr>
          <w:ilvl w:val="0"/>
          <w:numId w:val="0"/>
        </w:numPr>
        <w:rPr>
          <w:rFonts w:cs="Arial"/>
          <w:szCs w:val="20"/>
        </w:rPr>
      </w:pPr>
      <w:r w:rsidRPr="009B7B35">
        <w:rPr>
          <w:rFonts w:cs="Arial"/>
          <w:szCs w:val="20"/>
        </w:rPr>
        <w:t>Table 5.5.19—Major tourism zone</w:t>
      </w:r>
    </w:p>
    <w:tbl>
      <w:tblPr>
        <w:tblStyle w:val="Tablestyle"/>
        <w:tblW w:w="0" w:type="auto"/>
        <w:tblLook w:val="01E0" w:firstRow="1" w:lastRow="1" w:firstColumn="1" w:lastColumn="1" w:noHBand="0" w:noVBand="0"/>
      </w:tblPr>
      <w:tblGrid>
        <w:gridCol w:w="2191"/>
        <w:gridCol w:w="3083"/>
        <w:gridCol w:w="3089"/>
      </w:tblGrid>
      <w:tr w:rsidR="00BE36FB" w:rsidRPr="009B7B35" w14:paraId="4F0E8DD9"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66" w:type="dxa"/>
          </w:tcPr>
          <w:p w14:paraId="6874A1C2"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513" w:type="dxa"/>
          </w:tcPr>
          <w:p w14:paraId="5D6E8C02"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14:paraId="74FDFE38"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08EBF2D4"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val="restart"/>
          </w:tcPr>
          <w:p w14:paraId="7C64A00F" w14:textId="77777777" w:rsidR="00BE36FB" w:rsidRPr="009B7B35" w:rsidRDefault="00BE36FB" w:rsidP="001A7107">
            <w:pPr>
              <w:pStyle w:val="TableText"/>
              <w:rPr>
                <w:rFonts w:cs="Arial"/>
              </w:rPr>
            </w:pPr>
            <w:r w:rsidRPr="009B7B35">
              <w:rPr>
                <w:rFonts w:cs="Arial"/>
              </w:rPr>
              <w:t>Caretaker’s accommodation</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3B5D64AC"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62A6DFB7"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14:paraId="5ECF6869"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55E5633A"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14:paraId="5C1C952A" w14:textId="77777777" w:rsidR="00BE36FB" w:rsidRPr="009B7B35" w:rsidRDefault="00BE36FB" w:rsidP="001A7107">
            <w:pPr>
              <w:pStyle w:val="TableText"/>
              <w:rPr>
                <w:rFonts w:cs="Arial"/>
                <w:color w:val="auto"/>
              </w:rPr>
            </w:pPr>
            <w:r w:rsidRPr="009B7B35">
              <w:rPr>
                <w:rFonts w:cs="Arial"/>
                <w:color w:val="auto"/>
              </w:rPr>
              <w:t>Zone code:</w:t>
            </w:r>
          </w:p>
          <w:p w14:paraId="4F935814"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Major tourism zone code</w:t>
            </w:r>
          </w:p>
        </w:tc>
      </w:tr>
      <w:tr w:rsidR="00BE36FB" w:rsidRPr="009B7B35" w14:paraId="77C81C21"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val="restart"/>
          </w:tcPr>
          <w:p w14:paraId="36E15143" w14:textId="77777777" w:rsidR="00BE36FB" w:rsidRPr="009B7B35" w:rsidRDefault="00BE36FB" w:rsidP="001A7107">
            <w:pPr>
              <w:pStyle w:val="TableText"/>
              <w:rPr>
                <w:rFonts w:cs="Arial"/>
              </w:rPr>
            </w:pPr>
            <w:r w:rsidRPr="009B7B35">
              <w:rPr>
                <w:rFonts w:cs="Arial"/>
              </w:rPr>
              <w:t>Child care centre</w:t>
            </w:r>
          </w:p>
          <w:p w14:paraId="7CF752C0" w14:textId="77777777" w:rsidR="00BE36FB" w:rsidRPr="009B7B35" w:rsidRDefault="00BE36FB" w:rsidP="001A7107">
            <w:pPr>
              <w:pStyle w:val="TableText"/>
              <w:rPr>
                <w:rFonts w:cs="Arial"/>
              </w:rPr>
            </w:pPr>
            <w:r w:rsidRPr="009B7B35">
              <w:rPr>
                <w:rFonts w:cs="Arial"/>
              </w:rPr>
              <w:t>Club</w:t>
            </w:r>
          </w:p>
          <w:p w14:paraId="372E80AB" w14:textId="77777777" w:rsidR="00BE36FB" w:rsidRPr="009B7B35" w:rsidRDefault="00BE36FB" w:rsidP="001A7107">
            <w:pPr>
              <w:pStyle w:val="TableText"/>
              <w:rPr>
                <w:rFonts w:cs="Arial"/>
              </w:rPr>
            </w:pPr>
            <w:r w:rsidRPr="009B7B35">
              <w:rPr>
                <w:rFonts w:cs="Arial"/>
              </w:rPr>
              <w:t>Community use</w:t>
            </w:r>
          </w:p>
          <w:p w14:paraId="0E0AEFC6" w14:textId="77777777" w:rsidR="00BE36FB" w:rsidRPr="009B7B35" w:rsidRDefault="00BE36FB" w:rsidP="001A7107">
            <w:pPr>
              <w:pStyle w:val="TableText"/>
              <w:rPr>
                <w:rFonts w:cs="Arial"/>
              </w:rPr>
            </w:pPr>
            <w:r w:rsidRPr="009B7B35">
              <w:rPr>
                <w:rFonts w:cs="Arial"/>
              </w:rPr>
              <w:t>Market</w:t>
            </w:r>
          </w:p>
          <w:p w14:paraId="549D35A0" w14:textId="77777777" w:rsidR="00BE36FB" w:rsidRPr="009B7B35" w:rsidRDefault="00BE36FB" w:rsidP="001A7107">
            <w:pPr>
              <w:pStyle w:val="TableText"/>
              <w:rPr>
                <w:rFonts w:cs="Arial"/>
              </w:rPr>
            </w:pPr>
            <w:r w:rsidRPr="009B7B35">
              <w:rPr>
                <w:rFonts w:cs="Arial"/>
              </w:rPr>
              <w:t>Nature based tourism</w:t>
            </w:r>
          </w:p>
          <w:p w14:paraId="2E1F2BE5" w14:textId="77777777" w:rsidR="00BE36FB" w:rsidRPr="009B7B35" w:rsidRDefault="00BE36FB" w:rsidP="001A7107">
            <w:pPr>
              <w:pStyle w:val="TableText"/>
              <w:rPr>
                <w:rFonts w:cs="Arial"/>
              </w:rPr>
            </w:pPr>
            <w:r w:rsidRPr="009B7B35">
              <w:rPr>
                <w:rFonts w:cs="Arial"/>
              </w:rPr>
              <w:t>Place of worship</w:t>
            </w:r>
          </w:p>
          <w:p w14:paraId="7CE3B1D3" w14:textId="77777777" w:rsidR="00BE36FB" w:rsidRPr="009B7B35" w:rsidRDefault="00BE36FB" w:rsidP="001A7107">
            <w:pPr>
              <w:pStyle w:val="TableText"/>
              <w:rPr>
                <w:rFonts w:cs="Arial"/>
              </w:rPr>
            </w:pPr>
            <w:r w:rsidRPr="009B7B35">
              <w:rPr>
                <w:rFonts w:cs="Arial"/>
              </w:rPr>
              <w:t>Resort complex</w:t>
            </w:r>
          </w:p>
          <w:p w14:paraId="4629F05A" w14:textId="77777777" w:rsidR="00BE36FB" w:rsidRPr="009B7B35" w:rsidRDefault="00BE36FB" w:rsidP="001A7107">
            <w:pPr>
              <w:pStyle w:val="TableText"/>
              <w:rPr>
                <w:rFonts w:cs="Arial"/>
              </w:rPr>
            </w:pPr>
            <w:r w:rsidRPr="009B7B35">
              <w:rPr>
                <w:rFonts w:cs="Arial"/>
              </w:rPr>
              <w:t>Shop</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51F67A8C"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54B751A8"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14:paraId="52EC24EF"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4851C3E8" w14:textId="77777777"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14:paraId="03D58861" w14:textId="77777777" w:rsidR="00BE36FB" w:rsidRPr="009B7B35" w:rsidRDefault="00BE36FB" w:rsidP="001A7107">
            <w:pPr>
              <w:pStyle w:val="TableText"/>
              <w:rPr>
                <w:rFonts w:cs="Arial"/>
                <w:color w:val="auto"/>
              </w:rPr>
            </w:pPr>
            <w:r w:rsidRPr="009B7B35">
              <w:rPr>
                <w:rFonts w:cs="Arial"/>
                <w:color w:val="auto"/>
              </w:rPr>
              <w:t>Zone code:</w:t>
            </w:r>
          </w:p>
          <w:p w14:paraId="31DDB6B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Major tourism zone code</w:t>
            </w:r>
          </w:p>
          <w:p w14:paraId="21B6B31E" w14:textId="77777777" w:rsidR="00BE36FB" w:rsidRPr="009B7B35" w:rsidRDefault="00BE36FB" w:rsidP="001A7107">
            <w:pPr>
              <w:pStyle w:val="TableText"/>
              <w:rPr>
                <w:rFonts w:cs="Arial"/>
                <w:color w:val="auto"/>
              </w:rPr>
            </w:pPr>
            <w:r w:rsidRPr="009B7B35">
              <w:rPr>
                <w:rFonts w:cs="Arial"/>
                <w:color w:val="auto"/>
              </w:rPr>
              <w:t>Other development codes:</w:t>
            </w:r>
          </w:p>
          <w:p w14:paraId="79024150"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66909BD6"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1B511C22"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val="restart"/>
          </w:tcPr>
          <w:p w14:paraId="17C48FF9" w14:textId="77777777" w:rsidR="00BE36FB" w:rsidRPr="009B7B35" w:rsidRDefault="00BE36FB" w:rsidP="001A7107">
            <w:pPr>
              <w:pStyle w:val="TableText"/>
              <w:rPr>
                <w:rFonts w:cs="Arial"/>
              </w:rPr>
            </w:pPr>
            <w:r w:rsidRPr="009B7B35">
              <w:rPr>
                <w:rFonts w:cs="Arial"/>
              </w:rPr>
              <w:t xml:space="preserve">Emergency services </w:t>
            </w:r>
          </w:p>
          <w:p w14:paraId="6AD3F32F" w14:textId="77777777" w:rsidR="00BE36FB" w:rsidRPr="009B7B35" w:rsidRDefault="00BE36FB" w:rsidP="001A7107">
            <w:pPr>
              <w:pStyle w:val="TableText"/>
              <w:rPr>
                <w:rFonts w:cs="Arial"/>
              </w:rPr>
            </w:pPr>
            <w:r w:rsidRPr="009B7B35">
              <w:rPr>
                <w:rFonts w:cs="Arial"/>
              </w:rPr>
              <w:t>Substation</w:t>
            </w:r>
          </w:p>
          <w:p w14:paraId="602546F6"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112032F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7DA4D6D7"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14:paraId="11B1005F"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4E6802F2"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0745CDDE"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14:paraId="1BF769DC"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34E9EF08"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14:paraId="37D2DF9B"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2FD90D8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5418F561"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14:paraId="0D83D5B5"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15AA4564"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4034CF7D"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14:paraId="4508D729" w14:textId="77777777" w:rsidR="00BE36FB" w:rsidRPr="009B7B35" w:rsidRDefault="00BE36FB" w:rsidP="001A7107">
            <w:pPr>
              <w:pStyle w:val="TableText"/>
              <w:rPr>
                <w:rFonts w:cs="Arial"/>
                <w:color w:val="auto"/>
              </w:rPr>
            </w:pPr>
            <w:r w:rsidRPr="009B7B35">
              <w:rPr>
                <w:rFonts w:cs="Arial"/>
                <w:color w:val="auto"/>
              </w:rPr>
              <w:t>Zone code:</w:t>
            </w:r>
          </w:p>
          <w:p w14:paraId="7F33172F"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Major tourism zone code</w:t>
            </w:r>
          </w:p>
          <w:p w14:paraId="660D575D" w14:textId="77777777" w:rsidR="00BE36FB" w:rsidRPr="009B7B35" w:rsidRDefault="00BE36FB" w:rsidP="001A7107">
            <w:pPr>
              <w:pStyle w:val="TableText"/>
              <w:rPr>
                <w:rFonts w:cs="Arial"/>
                <w:color w:val="auto"/>
              </w:rPr>
            </w:pPr>
            <w:r w:rsidRPr="009B7B35">
              <w:rPr>
                <w:rFonts w:cs="Arial"/>
                <w:color w:val="auto"/>
              </w:rPr>
              <w:t>Other development codes:</w:t>
            </w:r>
          </w:p>
          <w:p w14:paraId="28DD7D34"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22421D0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val="restart"/>
          </w:tcPr>
          <w:p w14:paraId="5C8A5AA3" w14:textId="77777777" w:rsidR="00BE36FB" w:rsidRPr="009B7B35" w:rsidRDefault="00BE36FB" w:rsidP="001A7107">
            <w:pPr>
              <w:pStyle w:val="TableText"/>
              <w:rPr>
                <w:rFonts w:cs="Arial"/>
              </w:rPr>
            </w:pPr>
            <w:r w:rsidRPr="009B7B35">
              <w:rPr>
                <w:rFonts w:cs="Arial"/>
              </w:rPr>
              <w:t>Environment facility</w:t>
            </w:r>
          </w:p>
          <w:p w14:paraId="42C3F53C" w14:textId="77777777" w:rsidR="00BE36FB" w:rsidRPr="009B7B35" w:rsidRDefault="00BE36FB" w:rsidP="001A7107">
            <w:pPr>
              <w:pStyle w:val="TableText"/>
              <w:rPr>
                <w:rFonts w:cs="Arial"/>
              </w:rPr>
            </w:pPr>
            <w:r w:rsidRPr="009B7B35">
              <w:rPr>
                <w:rFonts w:cs="Arial"/>
              </w:rPr>
              <w:t>Landing*</w:t>
            </w:r>
          </w:p>
          <w:p w14:paraId="72A3C65A" w14:textId="77777777" w:rsidR="00BE36FB" w:rsidRPr="009B7B35" w:rsidRDefault="00BE36FB" w:rsidP="001A7107">
            <w:pPr>
              <w:pStyle w:val="TableText"/>
              <w:rPr>
                <w:rFonts w:cs="Arial"/>
              </w:rPr>
            </w:pPr>
            <w:r w:rsidRPr="009B7B35">
              <w:rPr>
                <w:rFonts w:cs="Arial"/>
              </w:rPr>
              <w:t>Park</w:t>
            </w:r>
          </w:p>
          <w:p w14:paraId="0FFD5672"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04EA0EB0"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4396F46D"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14:paraId="5D614E8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790E1323"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14:paraId="2C012937"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5BE7C400"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112BE473"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317C113F" w14:textId="77777777"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879" w:type="dxa"/>
            <w:gridSpan w:val="2"/>
          </w:tcPr>
          <w:p w14:paraId="655724FD"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5B32FAD0"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4DCCF5E6"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14:paraId="4B024774"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7FAE6B22" w14:textId="77777777" w:rsidR="00BE36FB" w:rsidRPr="009B7B35" w:rsidRDefault="00BE36FB" w:rsidP="001A7107">
      <w:pPr>
        <w:pStyle w:val="Heading5"/>
        <w:numPr>
          <w:ilvl w:val="0"/>
          <w:numId w:val="0"/>
        </w:numPr>
        <w:rPr>
          <w:rFonts w:cs="Arial"/>
          <w:szCs w:val="20"/>
        </w:rPr>
      </w:pPr>
      <w:r w:rsidRPr="009B7B35">
        <w:rPr>
          <w:rFonts w:cs="Arial"/>
          <w:szCs w:val="20"/>
        </w:rPr>
        <w:t>Table 5.5.20—Minor tourism zone</w:t>
      </w:r>
    </w:p>
    <w:tbl>
      <w:tblPr>
        <w:tblStyle w:val="Tablestyle"/>
        <w:tblW w:w="0" w:type="auto"/>
        <w:tblLook w:val="01E0" w:firstRow="1" w:lastRow="1" w:firstColumn="1" w:lastColumn="1" w:noHBand="0" w:noVBand="0"/>
      </w:tblPr>
      <w:tblGrid>
        <w:gridCol w:w="2144"/>
        <w:gridCol w:w="3108"/>
        <w:gridCol w:w="3111"/>
      </w:tblGrid>
      <w:tr w:rsidR="00BE36FB" w:rsidRPr="009B7B35" w14:paraId="572F617D"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66" w:type="dxa"/>
          </w:tcPr>
          <w:p w14:paraId="615101F8"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513" w:type="dxa"/>
          </w:tcPr>
          <w:p w14:paraId="7BC5626E"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14:paraId="5E5DFFE8"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1690EA4A"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val="restart"/>
          </w:tcPr>
          <w:p w14:paraId="4FBBDC10" w14:textId="77777777" w:rsidR="00BE36FB" w:rsidRPr="009B7B35" w:rsidRDefault="00BE36FB" w:rsidP="001A7107">
            <w:pPr>
              <w:pStyle w:val="TableText"/>
              <w:rPr>
                <w:rFonts w:cs="Arial"/>
              </w:rPr>
            </w:pPr>
            <w:r w:rsidRPr="009B7B35">
              <w:rPr>
                <w:rFonts w:cs="Arial"/>
              </w:rPr>
              <w:t xml:space="preserve">Emergency services </w:t>
            </w:r>
          </w:p>
          <w:p w14:paraId="74F641FA" w14:textId="77777777" w:rsidR="00BE36FB" w:rsidRPr="009B7B35" w:rsidRDefault="00BE36FB" w:rsidP="001A7107">
            <w:pPr>
              <w:pStyle w:val="TableText"/>
              <w:rPr>
                <w:rFonts w:cs="Arial"/>
              </w:rPr>
            </w:pPr>
            <w:r w:rsidRPr="009B7B35">
              <w:rPr>
                <w:rFonts w:cs="Arial"/>
              </w:rPr>
              <w:t>Substation</w:t>
            </w:r>
          </w:p>
          <w:p w14:paraId="264E10CD"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1BE7616A"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73E3A034"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14:paraId="5078D6FF"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46DCE4BB"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233FA996"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14:paraId="5C599630"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479B401C"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14:paraId="7E85D2E3"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6EF85329"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0B9BC56C"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14:paraId="29F74186"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0D9972DF"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52D88989"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14:paraId="58213345" w14:textId="77777777" w:rsidR="00BE36FB" w:rsidRPr="009B7B35" w:rsidRDefault="00BE36FB" w:rsidP="001A7107">
            <w:pPr>
              <w:pStyle w:val="TableText"/>
              <w:rPr>
                <w:rFonts w:cs="Arial"/>
                <w:color w:val="auto"/>
              </w:rPr>
            </w:pPr>
            <w:r w:rsidRPr="009B7B35">
              <w:rPr>
                <w:rFonts w:cs="Arial"/>
                <w:color w:val="auto"/>
              </w:rPr>
              <w:t>Zone code:</w:t>
            </w:r>
          </w:p>
          <w:p w14:paraId="0CB8CA7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Minor tourism zone code</w:t>
            </w:r>
          </w:p>
          <w:p w14:paraId="283CF0E2" w14:textId="77777777" w:rsidR="00BE36FB" w:rsidRPr="009B7B35" w:rsidRDefault="00BE36FB" w:rsidP="001A7107">
            <w:pPr>
              <w:pStyle w:val="TableText"/>
              <w:rPr>
                <w:rFonts w:cs="Arial"/>
                <w:color w:val="auto"/>
              </w:rPr>
            </w:pPr>
            <w:r w:rsidRPr="009B7B35">
              <w:rPr>
                <w:rFonts w:cs="Arial"/>
                <w:color w:val="auto"/>
              </w:rPr>
              <w:t>Other development codes:</w:t>
            </w:r>
          </w:p>
          <w:p w14:paraId="44F1CEEA"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52009743"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val="restart"/>
          </w:tcPr>
          <w:p w14:paraId="71F16E9D" w14:textId="77777777" w:rsidR="00BE36FB" w:rsidRPr="009B7B35" w:rsidRDefault="00BE36FB" w:rsidP="001A7107">
            <w:pPr>
              <w:pStyle w:val="TableText"/>
              <w:rPr>
                <w:rFonts w:cs="Arial"/>
              </w:rPr>
            </w:pPr>
            <w:r w:rsidRPr="009B7B35">
              <w:rPr>
                <w:rFonts w:cs="Arial"/>
              </w:rPr>
              <w:t>Environment facility</w:t>
            </w:r>
          </w:p>
          <w:p w14:paraId="562D6795" w14:textId="77777777" w:rsidR="00BE36FB" w:rsidRPr="009B7B35" w:rsidRDefault="00BE36FB" w:rsidP="001A7107">
            <w:pPr>
              <w:pStyle w:val="TableText"/>
              <w:rPr>
                <w:rFonts w:cs="Arial"/>
              </w:rPr>
            </w:pPr>
            <w:r w:rsidRPr="009B7B35">
              <w:rPr>
                <w:rFonts w:cs="Arial"/>
              </w:rPr>
              <w:t>Landing*</w:t>
            </w:r>
          </w:p>
          <w:p w14:paraId="26EBA45C" w14:textId="77777777" w:rsidR="00BE36FB" w:rsidRPr="009B7B35" w:rsidRDefault="00BE36FB" w:rsidP="001A7107">
            <w:pPr>
              <w:pStyle w:val="TableText"/>
              <w:rPr>
                <w:rFonts w:cs="Arial"/>
              </w:rPr>
            </w:pPr>
            <w:r w:rsidRPr="009B7B35">
              <w:rPr>
                <w:rFonts w:cs="Arial"/>
              </w:rPr>
              <w:t>Park</w:t>
            </w:r>
          </w:p>
          <w:p w14:paraId="390D201C"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47959EF9"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04CCADCE"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14:paraId="7BB7D940"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57166C60"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14:paraId="12489018"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431DA53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val="restart"/>
          </w:tcPr>
          <w:p w14:paraId="3B347D72" w14:textId="77777777" w:rsidR="00BE36FB" w:rsidRPr="009B7B35" w:rsidRDefault="00BE36FB" w:rsidP="001A7107">
            <w:pPr>
              <w:pStyle w:val="TableText"/>
              <w:rPr>
                <w:rFonts w:cs="Arial"/>
              </w:rPr>
            </w:pPr>
            <w:r w:rsidRPr="009B7B35">
              <w:rPr>
                <w:rFonts w:cs="Arial"/>
              </w:rPr>
              <w:t xml:space="preserve">Nature based tourism </w:t>
            </w:r>
          </w:p>
          <w:p w14:paraId="67BD4E6F" w14:textId="77777777" w:rsidR="00BE36FB" w:rsidRPr="009B7B35" w:rsidRDefault="00BE36FB" w:rsidP="001A7107">
            <w:pPr>
              <w:pStyle w:val="TableText"/>
              <w:rPr>
                <w:rFonts w:cs="Arial"/>
              </w:rPr>
            </w:pPr>
            <w:r w:rsidRPr="009B7B35">
              <w:rPr>
                <w:rFonts w:cs="Arial"/>
              </w:rPr>
              <w:t>Tourist park</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6476F83A"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7263A4B0"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66" w:type="dxa"/>
            <w:vMerge/>
          </w:tcPr>
          <w:p w14:paraId="6358B24E"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5CBD4D6D" w14:textId="77777777"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14:paraId="6550286F" w14:textId="77777777" w:rsidR="00BE36FB" w:rsidRPr="009B7B35" w:rsidRDefault="00BE36FB" w:rsidP="001A7107">
            <w:pPr>
              <w:pStyle w:val="TableText"/>
              <w:rPr>
                <w:rFonts w:cs="Arial"/>
                <w:color w:val="auto"/>
              </w:rPr>
            </w:pPr>
            <w:r w:rsidRPr="009B7B35">
              <w:rPr>
                <w:rFonts w:cs="Arial"/>
                <w:color w:val="auto"/>
              </w:rPr>
              <w:t>Zone code:</w:t>
            </w:r>
          </w:p>
          <w:p w14:paraId="4F2C225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Minor tourism zone code</w:t>
            </w:r>
          </w:p>
          <w:p w14:paraId="6B2EFCCF" w14:textId="77777777" w:rsidR="00BE36FB" w:rsidRPr="009B7B35" w:rsidRDefault="00BE36FB" w:rsidP="001A7107">
            <w:pPr>
              <w:pStyle w:val="TableText"/>
              <w:rPr>
                <w:rFonts w:cs="Arial"/>
                <w:color w:val="auto"/>
              </w:rPr>
            </w:pPr>
            <w:r w:rsidRPr="009B7B35">
              <w:rPr>
                <w:rFonts w:cs="Arial"/>
                <w:color w:val="auto"/>
              </w:rPr>
              <w:t>Other development codes:</w:t>
            </w:r>
          </w:p>
          <w:p w14:paraId="04A585C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5D0A622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0DFE0EAC"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73B1FB2E"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15EAC88F" w14:textId="77777777"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879" w:type="dxa"/>
            <w:gridSpan w:val="2"/>
          </w:tcPr>
          <w:p w14:paraId="668592CE"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2D5DDD20"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04F8EADF"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14:paraId="5C57231C"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6B1CD230" w14:textId="77777777" w:rsidR="00BE36FB" w:rsidRPr="009B7B35" w:rsidRDefault="00BE36FB" w:rsidP="001A7107">
      <w:pPr>
        <w:pStyle w:val="Heading5"/>
        <w:numPr>
          <w:ilvl w:val="0"/>
          <w:numId w:val="0"/>
        </w:numPr>
        <w:rPr>
          <w:rFonts w:cs="Arial"/>
          <w:szCs w:val="20"/>
        </w:rPr>
      </w:pPr>
      <w:r w:rsidRPr="009B7B35">
        <w:rPr>
          <w:rFonts w:cs="Arial"/>
          <w:szCs w:val="20"/>
        </w:rPr>
        <w:t>Table 5.5.21—Community facilities zone</w:t>
      </w:r>
    </w:p>
    <w:tbl>
      <w:tblPr>
        <w:tblStyle w:val="Tablestyle"/>
        <w:tblW w:w="0" w:type="auto"/>
        <w:tblLook w:val="01E0" w:firstRow="1" w:lastRow="1" w:firstColumn="1" w:lastColumn="1" w:noHBand="0" w:noVBand="0"/>
      </w:tblPr>
      <w:tblGrid>
        <w:gridCol w:w="2191"/>
        <w:gridCol w:w="3083"/>
        <w:gridCol w:w="3089"/>
      </w:tblGrid>
      <w:tr w:rsidR="00BE36FB" w:rsidRPr="009B7B35" w14:paraId="39C873E6" w14:textId="77777777"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66" w:type="dxa"/>
          </w:tcPr>
          <w:p w14:paraId="4BB87D23"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513" w:type="dxa"/>
          </w:tcPr>
          <w:p w14:paraId="7FA591BC"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14:paraId="0DD4DA54"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34EA0CD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val="restart"/>
          </w:tcPr>
          <w:p w14:paraId="5A131EE9" w14:textId="77777777" w:rsidR="00BE36FB" w:rsidRPr="009B7B35" w:rsidRDefault="00BE36FB" w:rsidP="001A7107">
            <w:pPr>
              <w:pStyle w:val="TableText"/>
              <w:rPr>
                <w:rFonts w:cs="Arial"/>
              </w:rPr>
            </w:pPr>
            <w:r w:rsidRPr="009B7B35">
              <w:rPr>
                <w:rFonts w:cs="Arial"/>
              </w:rPr>
              <w:t>Caretaker’s accommodation</w:t>
            </w:r>
          </w:p>
          <w:p w14:paraId="2A95C11D" w14:textId="77777777" w:rsidR="00BE36FB" w:rsidRPr="009B7B35" w:rsidRDefault="00BE36FB" w:rsidP="001A7107">
            <w:pPr>
              <w:pStyle w:val="TableText"/>
              <w:rPr>
                <w:rFonts w:cs="Arial"/>
              </w:rPr>
            </w:pPr>
            <w:r w:rsidRPr="009B7B35">
              <w:rPr>
                <w:rFonts w:cs="Arial"/>
              </w:rPr>
              <w:t>Club</w:t>
            </w:r>
          </w:p>
          <w:p w14:paraId="4E1E41A9" w14:textId="77777777" w:rsidR="00BE36FB" w:rsidRPr="009B7B35" w:rsidRDefault="00BE36FB" w:rsidP="001A7107">
            <w:pPr>
              <w:pStyle w:val="TableText"/>
              <w:rPr>
                <w:rFonts w:cs="Arial"/>
              </w:rPr>
            </w:pPr>
            <w:r w:rsidRPr="009B7B35">
              <w:rPr>
                <w:rFonts w:cs="Arial"/>
              </w:rPr>
              <w:t>Community care centre</w:t>
            </w:r>
          </w:p>
          <w:p w14:paraId="79C9DF36" w14:textId="77777777" w:rsidR="00BE36FB" w:rsidRPr="009B7B35" w:rsidRDefault="00BE36FB" w:rsidP="001A7107">
            <w:pPr>
              <w:pStyle w:val="TableText"/>
              <w:rPr>
                <w:rFonts w:cs="Arial"/>
              </w:rPr>
            </w:pPr>
            <w:r w:rsidRPr="009B7B35">
              <w:rPr>
                <w:rFonts w:cs="Arial"/>
              </w:rPr>
              <w:t>Community use</w:t>
            </w:r>
          </w:p>
          <w:p w14:paraId="50850D42" w14:textId="77777777" w:rsidR="00BE36FB" w:rsidRPr="009B7B35" w:rsidRDefault="00BE36FB" w:rsidP="001A7107">
            <w:pPr>
              <w:pStyle w:val="TableText"/>
              <w:rPr>
                <w:rFonts w:cs="Arial"/>
              </w:rPr>
            </w:pPr>
            <w:r w:rsidRPr="009B7B35">
              <w:rPr>
                <w:rFonts w:cs="Arial"/>
              </w:rPr>
              <w:t>Educational establishment</w:t>
            </w:r>
          </w:p>
          <w:p w14:paraId="1B5A7385" w14:textId="77777777" w:rsidR="00BE36FB" w:rsidRPr="009B7B35" w:rsidRDefault="00BE36FB" w:rsidP="001A7107">
            <w:pPr>
              <w:pStyle w:val="TableText"/>
              <w:rPr>
                <w:rFonts w:cs="Arial"/>
              </w:rPr>
            </w:pPr>
            <w:r w:rsidRPr="009B7B35">
              <w:rPr>
                <w:rFonts w:cs="Arial"/>
              </w:rPr>
              <w:t>Health care services</w:t>
            </w:r>
          </w:p>
          <w:p w14:paraId="780E8749" w14:textId="77777777" w:rsidR="00BE36FB" w:rsidRPr="009B7B35" w:rsidRDefault="00BE36FB" w:rsidP="001A7107">
            <w:pPr>
              <w:pStyle w:val="TableText"/>
              <w:rPr>
                <w:rFonts w:cs="Arial"/>
              </w:rPr>
            </w:pPr>
            <w:r w:rsidRPr="009B7B35">
              <w:rPr>
                <w:rFonts w:cs="Arial"/>
              </w:rPr>
              <w:t>Market</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6068F0C8"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2E6EBF9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14:paraId="11FB41F7"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6F1E5A7F" w14:textId="77777777" w:rsidR="00BE36FB" w:rsidRPr="009B7B35" w:rsidRDefault="00BE36FB" w:rsidP="001A7107">
            <w:pPr>
              <w:pStyle w:val="TableText"/>
              <w:rPr>
                <w:rFonts w:cs="Arial"/>
              </w:rPr>
            </w:pPr>
            <w:r w:rsidRPr="009B7B35">
              <w:rPr>
                <w:rFonts w:cs="Arial"/>
              </w:rPr>
              <w:t>If complying with the relevant accepted development acceptable outcomes and involving the reuse of an existing building.</w:t>
            </w:r>
          </w:p>
          <w:p w14:paraId="7A82BC0F" w14:textId="77777777" w:rsidR="00BE36FB" w:rsidRPr="009B7B35" w:rsidRDefault="00BE36FB" w:rsidP="001A7107">
            <w:pPr>
              <w:pStyle w:val="TableText"/>
              <w:rPr>
                <w:rFonts w:cs="Arial"/>
              </w:rPr>
            </w:pPr>
            <w:r w:rsidRPr="009B7B35">
              <w:rPr>
                <w:rFonts w:cs="Arial"/>
              </w:rPr>
              <w:t>If Club, where not involving the sale of liquor or gaming.</w:t>
            </w:r>
          </w:p>
        </w:tc>
        <w:tc>
          <w:tcPr>
            <w:cnfStyle w:val="000100000000" w:firstRow="0" w:lastRow="0" w:firstColumn="0" w:lastColumn="1" w:oddVBand="0" w:evenVBand="0" w:oddHBand="0" w:evenHBand="0" w:firstRowFirstColumn="0" w:firstRowLastColumn="0" w:lastRowFirstColumn="0" w:lastRowLastColumn="0"/>
            <w:tcW w:w="3486" w:type="dxa"/>
          </w:tcPr>
          <w:p w14:paraId="04758A75" w14:textId="77777777" w:rsidR="00BE36FB" w:rsidRPr="009B7B35" w:rsidRDefault="00BE36FB" w:rsidP="001A7107">
            <w:pPr>
              <w:pStyle w:val="TableText"/>
              <w:rPr>
                <w:rFonts w:cs="Arial"/>
                <w:color w:val="auto"/>
              </w:rPr>
            </w:pPr>
            <w:r w:rsidRPr="009B7B35">
              <w:rPr>
                <w:rFonts w:cs="Arial"/>
                <w:color w:val="auto"/>
              </w:rPr>
              <w:t>Zone code:</w:t>
            </w:r>
          </w:p>
          <w:p w14:paraId="2C4D597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Community facilities zone code</w:t>
            </w:r>
          </w:p>
        </w:tc>
      </w:tr>
      <w:tr w:rsidR="00BE36FB" w:rsidRPr="009B7B35" w14:paraId="237B8B7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14:paraId="69B9D482"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191A5D57"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02961B5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14:paraId="55A29BFD"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5A471C7D" w14:textId="77777777" w:rsidR="00BE36FB" w:rsidRPr="009B7B35" w:rsidRDefault="00BE36FB" w:rsidP="001A7107">
            <w:pPr>
              <w:pStyle w:val="TableText"/>
              <w:rPr>
                <w:rFonts w:cs="Arial"/>
              </w:rPr>
            </w:pPr>
            <w:r w:rsidRPr="009B7B35">
              <w:rPr>
                <w:rFonts w:cs="Arial"/>
              </w:rPr>
              <w:t xml:space="preserve">If not involving the reuse of an existing building. </w:t>
            </w:r>
          </w:p>
          <w:p w14:paraId="751CD09B" w14:textId="77777777" w:rsidR="00BE36FB" w:rsidRPr="009B7B35" w:rsidRDefault="00BE36FB" w:rsidP="001A7107">
            <w:pPr>
              <w:pStyle w:val="TableText"/>
              <w:rPr>
                <w:rFonts w:cs="Arial"/>
              </w:rPr>
            </w:pPr>
            <w:r w:rsidRPr="009B7B35">
              <w:rPr>
                <w:rFonts w:cs="Arial"/>
              </w:rPr>
              <w:t>If Club, where involving the sale of liquor or gaming.</w:t>
            </w:r>
          </w:p>
        </w:tc>
        <w:tc>
          <w:tcPr>
            <w:cnfStyle w:val="000100000000" w:firstRow="0" w:lastRow="0" w:firstColumn="0" w:lastColumn="1" w:oddVBand="0" w:evenVBand="0" w:oddHBand="0" w:evenHBand="0" w:firstRowFirstColumn="0" w:firstRowLastColumn="0" w:lastRowFirstColumn="0" w:lastRowLastColumn="0"/>
            <w:tcW w:w="3486" w:type="dxa"/>
          </w:tcPr>
          <w:p w14:paraId="6D7BCB68" w14:textId="77777777" w:rsidR="00BE36FB" w:rsidRPr="009B7B35" w:rsidRDefault="00BE36FB" w:rsidP="001A7107">
            <w:pPr>
              <w:pStyle w:val="TableText"/>
              <w:rPr>
                <w:rFonts w:cs="Arial"/>
                <w:color w:val="auto"/>
              </w:rPr>
            </w:pPr>
            <w:r w:rsidRPr="009B7B35">
              <w:rPr>
                <w:rFonts w:cs="Arial"/>
                <w:color w:val="auto"/>
              </w:rPr>
              <w:t>Zone code:</w:t>
            </w:r>
          </w:p>
          <w:p w14:paraId="413753C9" w14:textId="77777777" w:rsidR="00BE36FB" w:rsidRPr="009B7B35" w:rsidRDefault="00BE36FB" w:rsidP="001A7107">
            <w:pPr>
              <w:pStyle w:val="TableText"/>
              <w:tabs>
                <w:tab w:val="left" w:pos="301"/>
              </w:tabs>
              <w:rPr>
                <w:rFonts w:cs="Arial"/>
                <w:color w:val="auto"/>
              </w:rPr>
            </w:pPr>
            <w:r w:rsidRPr="009B7B35">
              <w:rPr>
                <w:rFonts w:cs="Arial"/>
                <w:color w:val="auto"/>
              </w:rPr>
              <w:t>•</w:t>
            </w:r>
            <w:r w:rsidRPr="009B7B35">
              <w:rPr>
                <w:rFonts w:cs="Arial"/>
                <w:color w:val="auto"/>
              </w:rPr>
              <w:tab/>
              <w:t>Community facilities zone code</w:t>
            </w:r>
          </w:p>
        </w:tc>
      </w:tr>
      <w:tr w:rsidR="00BE36FB" w:rsidRPr="009B7B35" w14:paraId="5530204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val="restart"/>
          </w:tcPr>
          <w:p w14:paraId="53A4945A" w14:textId="77777777" w:rsidR="00BE36FB" w:rsidRPr="009B7B35" w:rsidRDefault="00BE36FB" w:rsidP="001A7107">
            <w:pPr>
              <w:pStyle w:val="TableText"/>
              <w:rPr>
                <w:rFonts w:cs="Arial"/>
              </w:rPr>
            </w:pPr>
            <w:r w:rsidRPr="009B7B35">
              <w:rPr>
                <w:rFonts w:cs="Arial"/>
              </w:rPr>
              <w:t>Cemetery</w:t>
            </w:r>
          </w:p>
          <w:p w14:paraId="6BDC2B2B" w14:textId="77777777" w:rsidR="00BE36FB" w:rsidRPr="009B7B35" w:rsidRDefault="00BE36FB" w:rsidP="001A7107">
            <w:pPr>
              <w:pStyle w:val="TableText"/>
              <w:rPr>
                <w:rFonts w:cs="Arial"/>
              </w:rPr>
            </w:pPr>
            <w:r w:rsidRPr="009B7B35">
              <w:rPr>
                <w:rFonts w:cs="Arial"/>
              </w:rPr>
              <w:t>Child care centre</w:t>
            </w:r>
          </w:p>
          <w:p w14:paraId="787105BB" w14:textId="77777777" w:rsidR="00BE36FB" w:rsidRPr="009B7B35" w:rsidRDefault="00BE36FB" w:rsidP="001A7107">
            <w:pPr>
              <w:pStyle w:val="TableText"/>
              <w:rPr>
                <w:rFonts w:cs="Arial"/>
              </w:rPr>
            </w:pPr>
            <w:r w:rsidRPr="009B7B35">
              <w:rPr>
                <w:rFonts w:cs="Arial"/>
              </w:rPr>
              <w:t>Food and drink outlet</w:t>
            </w:r>
          </w:p>
          <w:p w14:paraId="22F5D38B" w14:textId="77777777" w:rsidR="00BE36FB" w:rsidRPr="009B7B35" w:rsidRDefault="00BE36FB" w:rsidP="001A7107">
            <w:pPr>
              <w:pStyle w:val="TableText"/>
              <w:rPr>
                <w:rFonts w:cs="Arial"/>
              </w:rPr>
            </w:pPr>
            <w:r w:rsidRPr="009B7B35">
              <w:rPr>
                <w:rFonts w:cs="Arial"/>
              </w:rPr>
              <w:t>Indoor sport and recreation</w:t>
            </w:r>
          </w:p>
          <w:p w14:paraId="4BC131AB" w14:textId="77777777" w:rsidR="00BE36FB" w:rsidRPr="009B7B35" w:rsidRDefault="00BE36FB" w:rsidP="001A7107">
            <w:pPr>
              <w:pStyle w:val="TableText"/>
              <w:rPr>
                <w:rFonts w:cs="Arial"/>
              </w:rPr>
            </w:pPr>
            <w:r w:rsidRPr="009B7B35">
              <w:rPr>
                <w:rFonts w:cs="Arial"/>
              </w:rPr>
              <w:t>Place of worship</w:t>
            </w:r>
          </w:p>
          <w:p w14:paraId="4D9B5379" w14:textId="77777777" w:rsidR="00BE36FB" w:rsidRPr="009B7B35" w:rsidRDefault="00BE36FB" w:rsidP="001A7107">
            <w:pPr>
              <w:pStyle w:val="TableText"/>
              <w:rPr>
                <w:rFonts w:cs="Arial"/>
              </w:rPr>
            </w:pPr>
            <w:r w:rsidRPr="009B7B35">
              <w:rPr>
                <w:rFonts w:cs="Arial"/>
              </w:rPr>
              <w:t>Residential care facility</w:t>
            </w:r>
          </w:p>
          <w:p w14:paraId="5ADE2771" w14:textId="77777777" w:rsidR="00BE36FB" w:rsidRPr="009B7B35" w:rsidRDefault="00BE36FB" w:rsidP="001A7107">
            <w:pPr>
              <w:pStyle w:val="TableText"/>
              <w:rPr>
                <w:rFonts w:cs="Arial"/>
              </w:rPr>
            </w:pPr>
            <w:r w:rsidRPr="009B7B35">
              <w:rPr>
                <w:rFonts w:cs="Arial"/>
              </w:rPr>
              <w:t>Shop</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179BF5C4"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54E396A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14:paraId="3252B628"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2A22F420" w14:textId="77777777"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14:paraId="19FC3011" w14:textId="77777777" w:rsidR="00BE36FB" w:rsidRPr="009B7B35" w:rsidRDefault="00BE36FB" w:rsidP="001A7107">
            <w:pPr>
              <w:pStyle w:val="TableText"/>
              <w:rPr>
                <w:rFonts w:cs="Arial"/>
                <w:color w:val="auto"/>
              </w:rPr>
            </w:pPr>
            <w:r w:rsidRPr="009B7B35">
              <w:rPr>
                <w:rFonts w:cs="Arial"/>
                <w:color w:val="auto"/>
              </w:rPr>
              <w:t>Zone code:</w:t>
            </w:r>
          </w:p>
          <w:p w14:paraId="7ACCB7B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Community facilities zone code</w:t>
            </w:r>
          </w:p>
          <w:p w14:paraId="1AB1DD60" w14:textId="77777777" w:rsidR="00BE36FB" w:rsidRPr="009B7B35" w:rsidRDefault="00BE36FB" w:rsidP="001A7107">
            <w:pPr>
              <w:pStyle w:val="TableText"/>
              <w:rPr>
                <w:rFonts w:cs="Arial"/>
                <w:color w:val="auto"/>
              </w:rPr>
            </w:pPr>
            <w:r w:rsidRPr="009B7B35">
              <w:rPr>
                <w:rFonts w:cs="Arial"/>
                <w:color w:val="auto"/>
              </w:rPr>
              <w:t>Other development codes:</w:t>
            </w:r>
          </w:p>
          <w:p w14:paraId="34866E56"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2443B78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5BA1DE6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val="restart"/>
          </w:tcPr>
          <w:p w14:paraId="3A1810E9" w14:textId="77777777" w:rsidR="00BE36FB" w:rsidRPr="009B7B35" w:rsidRDefault="00BE36FB" w:rsidP="001A7107">
            <w:pPr>
              <w:pStyle w:val="TableText"/>
              <w:rPr>
                <w:rFonts w:cs="Arial"/>
              </w:rPr>
            </w:pPr>
            <w:r w:rsidRPr="009B7B35">
              <w:rPr>
                <w:rFonts w:cs="Arial"/>
              </w:rPr>
              <w:t>Emergency services</w:t>
            </w:r>
          </w:p>
          <w:p w14:paraId="484D9EF9" w14:textId="77777777" w:rsidR="00BE36FB" w:rsidRPr="009B7B35" w:rsidRDefault="00BE36FB" w:rsidP="001A7107">
            <w:pPr>
              <w:pStyle w:val="TableText"/>
              <w:rPr>
                <w:rFonts w:cs="Arial"/>
              </w:rPr>
            </w:pPr>
            <w:r w:rsidRPr="009B7B35">
              <w:rPr>
                <w:rFonts w:cs="Arial"/>
              </w:rPr>
              <w:t>Substation</w:t>
            </w:r>
          </w:p>
          <w:p w14:paraId="64D8989C"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646396ED"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2E9445E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14:paraId="6BDE3397"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466E12B4"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07D05E22"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14:paraId="5FB7F08D"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5B9EBB8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14:paraId="0949E830"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735D414A"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3B91BDC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14:paraId="738C1502"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600EE310"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3629C809"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14:paraId="7BEBD855" w14:textId="77777777" w:rsidR="00BE36FB" w:rsidRPr="009B7B35" w:rsidRDefault="00BE36FB" w:rsidP="001A7107">
            <w:pPr>
              <w:pStyle w:val="TableText"/>
              <w:rPr>
                <w:rFonts w:cs="Arial"/>
                <w:color w:val="auto"/>
              </w:rPr>
            </w:pPr>
            <w:r w:rsidRPr="009B7B35">
              <w:rPr>
                <w:rFonts w:cs="Arial"/>
                <w:color w:val="auto"/>
              </w:rPr>
              <w:t>Zone code:</w:t>
            </w:r>
          </w:p>
          <w:p w14:paraId="21D737A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Community facilities zone code</w:t>
            </w:r>
          </w:p>
          <w:p w14:paraId="587DF3FA" w14:textId="77777777" w:rsidR="00BE36FB" w:rsidRPr="009B7B35" w:rsidRDefault="00BE36FB" w:rsidP="001A7107">
            <w:pPr>
              <w:pStyle w:val="TableText"/>
              <w:rPr>
                <w:rFonts w:cs="Arial"/>
                <w:color w:val="auto"/>
              </w:rPr>
            </w:pPr>
            <w:r w:rsidRPr="009B7B35">
              <w:rPr>
                <w:rFonts w:cs="Arial"/>
                <w:color w:val="auto"/>
              </w:rPr>
              <w:t>Other development codes:</w:t>
            </w:r>
          </w:p>
          <w:p w14:paraId="7305AB8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645308C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val="restart"/>
          </w:tcPr>
          <w:p w14:paraId="612B02AA" w14:textId="77777777" w:rsidR="00BE36FB" w:rsidRPr="009B7B35" w:rsidRDefault="00BE36FB" w:rsidP="001A7107">
            <w:pPr>
              <w:pStyle w:val="TableText"/>
              <w:rPr>
                <w:rFonts w:cs="Arial"/>
              </w:rPr>
            </w:pPr>
            <w:r w:rsidRPr="009B7B35">
              <w:rPr>
                <w:rFonts w:cs="Arial"/>
              </w:rPr>
              <w:t>Landing*</w:t>
            </w:r>
          </w:p>
          <w:p w14:paraId="4A121F81" w14:textId="77777777" w:rsidR="00BE36FB" w:rsidRPr="009B7B35" w:rsidRDefault="00BE36FB" w:rsidP="001A7107">
            <w:pPr>
              <w:pStyle w:val="TableText"/>
              <w:rPr>
                <w:rFonts w:cs="Arial"/>
              </w:rPr>
            </w:pPr>
            <w:r w:rsidRPr="009B7B35">
              <w:rPr>
                <w:rFonts w:cs="Arial"/>
              </w:rPr>
              <w:t>Park</w:t>
            </w:r>
          </w:p>
          <w:p w14:paraId="344F7959" w14:textId="77777777" w:rsidR="00BE36FB" w:rsidRPr="009B7B35" w:rsidRDefault="00BE36FB" w:rsidP="001A7107">
            <w:pPr>
              <w:pStyle w:val="TableText"/>
              <w:rPr>
                <w:rFonts w:cs="Arial"/>
              </w:rPr>
            </w:pPr>
            <w:r w:rsidRPr="009B7B35">
              <w:rPr>
                <w:rFonts w:cs="Arial"/>
              </w:rPr>
              <w:t>Parking station</w:t>
            </w:r>
          </w:p>
          <w:p w14:paraId="67EF0ADE"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99" w:type="dxa"/>
            <w:gridSpan w:val="2"/>
            <w:shd w:val="clear" w:color="auto" w:fill="BFBFBF" w:themeFill="background1" w:themeFillShade="BF"/>
          </w:tcPr>
          <w:p w14:paraId="5880E80C"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3EC9F36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6" w:type="dxa"/>
            <w:vMerge/>
          </w:tcPr>
          <w:p w14:paraId="60855E49"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513" w:type="dxa"/>
          </w:tcPr>
          <w:p w14:paraId="777F1119"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14:paraId="60BFF294"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5A019BF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648B95E0"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7C080A46"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14:paraId="0AC8907F"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4B5C1C19"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27AEBB42"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14:paraId="75529416"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5B7F0A0D" w14:textId="77777777" w:rsidR="00BE36FB" w:rsidRPr="009B7B35" w:rsidRDefault="00BE36FB" w:rsidP="001A7107">
      <w:pPr>
        <w:pStyle w:val="Heading5"/>
        <w:numPr>
          <w:ilvl w:val="0"/>
          <w:numId w:val="0"/>
        </w:numPr>
        <w:rPr>
          <w:rFonts w:cs="Arial"/>
          <w:szCs w:val="20"/>
        </w:rPr>
      </w:pPr>
      <w:r w:rsidRPr="009B7B35">
        <w:rPr>
          <w:rFonts w:cs="Arial"/>
          <w:szCs w:val="20"/>
        </w:rPr>
        <w:t>Table 5.5.22—Sport and recreation zone</w:t>
      </w:r>
    </w:p>
    <w:tbl>
      <w:tblPr>
        <w:tblStyle w:val="Tablestyle"/>
        <w:tblW w:w="9365" w:type="dxa"/>
        <w:tblLook w:val="01E0" w:firstRow="1" w:lastRow="1" w:firstColumn="1" w:lastColumn="1" w:noHBand="0" w:noVBand="0"/>
      </w:tblPr>
      <w:tblGrid>
        <w:gridCol w:w="2411"/>
        <w:gridCol w:w="3477"/>
        <w:gridCol w:w="3477"/>
      </w:tblGrid>
      <w:tr w:rsidR="00BE36FB" w:rsidRPr="009B7B35" w14:paraId="7C7155E2"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411" w:type="dxa"/>
          </w:tcPr>
          <w:p w14:paraId="33B180D8"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7" w:type="dxa"/>
          </w:tcPr>
          <w:p w14:paraId="3BA8BC6E"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7" w:type="dxa"/>
          </w:tcPr>
          <w:p w14:paraId="53519942"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29D3EA59"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22F8C84C" w14:textId="77777777" w:rsidR="00BE36FB" w:rsidRPr="009B7B35" w:rsidRDefault="00BE36FB" w:rsidP="001A7107">
            <w:pPr>
              <w:pStyle w:val="TableText"/>
              <w:rPr>
                <w:rFonts w:cs="Arial"/>
              </w:rPr>
            </w:pPr>
            <w:r w:rsidRPr="009B7B35">
              <w:rPr>
                <w:rFonts w:cs="Arial"/>
              </w:rPr>
              <w:t>Caretaker’s accommodation</w:t>
            </w:r>
          </w:p>
          <w:p w14:paraId="3D28D590" w14:textId="77777777" w:rsidR="00BE36FB" w:rsidRPr="009B7B35" w:rsidRDefault="00BE36FB" w:rsidP="001A7107">
            <w:pPr>
              <w:pStyle w:val="TableText"/>
              <w:rPr>
                <w:rFonts w:cs="Arial"/>
              </w:rPr>
            </w:pPr>
            <w:r w:rsidRPr="009B7B35">
              <w:rPr>
                <w:rFonts w:cs="Arial"/>
              </w:rPr>
              <w:t>Outdoor sport and recreation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6295D9DD"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6B68CC9B"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41D223D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35B68C5C"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14:paraId="37336C4E" w14:textId="77777777" w:rsidR="00BE36FB" w:rsidRPr="009B7B35" w:rsidRDefault="00BE36FB" w:rsidP="001A7107">
            <w:pPr>
              <w:pStyle w:val="TableText"/>
              <w:rPr>
                <w:rFonts w:cs="Arial"/>
                <w:color w:val="auto"/>
              </w:rPr>
            </w:pPr>
            <w:r w:rsidRPr="009B7B35">
              <w:rPr>
                <w:rFonts w:cs="Arial"/>
                <w:color w:val="auto"/>
              </w:rPr>
              <w:t>Zone code:</w:t>
            </w:r>
          </w:p>
          <w:p w14:paraId="4ACEBFB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Sport and recreation zone code</w:t>
            </w:r>
          </w:p>
          <w:p w14:paraId="789E492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422BD0D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2E7E511E" w14:textId="77777777" w:rsidR="00BE36FB" w:rsidRPr="009B7B35" w:rsidRDefault="00BE36FB" w:rsidP="001A7107">
            <w:pPr>
              <w:pStyle w:val="TableText"/>
              <w:rPr>
                <w:rFonts w:cs="Arial"/>
              </w:rPr>
            </w:pPr>
            <w:r w:rsidRPr="009B7B35">
              <w:rPr>
                <w:rFonts w:cs="Arial"/>
              </w:rPr>
              <w:t>Club</w:t>
            </w:r>
          </w:p>
          <w:p w14:paraId="3EFABAA6" w14:textId="77777777" w:rsidR="00BE36FB" w:rsidRPr="009B7B35" w:rsidRDefault="00BE36FB" w:rsidP="001A7107">
            <w:pPr>
              <w:pStyle w:val="TableText"/>
              <w:rPr>
                <w:rFonts w:cs="Arial"/>
              </w:rPr>
            </w:pPr>
            <w:r w:rsidRPr="009B7B35">
              <w:rPr>
                <w:rFonts w:cs="Arial"/>
              </w:rPr>
              <w:t>Community use</w:t>
            </w:r>
          </w:p>
          <w:p w14:paraId="33D74879" w14:textId="77777777" w:rsidR="00BE36FB" w:rsidRPr="009B7B35" w:rsidRDefault="00BE36FB" w:rsidP="001A7107">
            <w:pPr>
              <w:pStyle w:val="TableText"/>
              <w:rPr>
                <w:rFonts w:cs="Arial"/>
              </w:rPr>
            </w:pPr>
            <w:r w:rsidRPr="009B7B35">
              <w:rPr>
                <w:rFonts w:cs="Arial"/>
              </w:rPr>
              <w:t xml:space="preserve">Educational establishment </w:t>
            </w:r>
          </w:p>
          <w:p w14:paraId="65041F73" w14:textId="77777777" w:rsidR="00BE36FB" w:rsidRPr="009B7B35" w:rsidRDefault="00BE36FB" w:rsidP="001A7107">
            <w:pPr>
              <w:pStyle w:val="TableText"/>
              <w:rPr>
                <w:rFonts w:cs="Arial"/>
              </w:rPr>
            </w:pPr>
            <w:r w:rsidRPr="009B7B35">
              <w:rPr>
                <w:rFonts w:cs="Arial"/>
              </w:rPr>
              <w:t>Function facility</w:t>
            </w:r>
          </w:p>
          <w:p w14:paraId="6A376248" w14:textId="77777777" w:rsidR="00BE36FB" w:rsidRPr="009B7B35" w:rsidRDefault="00BE36FB" w:rsidP="001A7107">
            <w:pPr>
              <w:pStyle w:val="TableText"/>
              <w:rPr>
                <w:rFonts w:cs="Arial"/>
              </w:rPr>
            </w:pPr>
            <w:r w:rsidRPr="009B7B35">
              <w:rPr>
                <w:rFonts w:cs="Arial"/>
              </w:rPr>
              <w:t>Indoor sport and recreation</w:t>
            </w:r>
          </w:p>
          <w:p w14:paraId="69C24663" w14:textId="77777777" w:rsidR="00BE36FB" w:rsidRPr="009B7B35" w:rsidRDefault="00BE36FB" w:rsidP="001A7107">
            <w:pPr>
              <w:pStyle w:val="TableText"/>
              <w:rPr>
                <w:rFonts w:cs="Arial"/>
              </w:rPr>
            </w:pPr>
            <w:r w:rsidRPr="009B7B35">
              <w:rPr>
                <w:rFonts w:cs="Arial"/>
              </w:rPr>
              <w:t>Market</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5D1322D3"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356AE153"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25F7C04B"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2C98BE36" w14:textId="77777777" w:rsidR="00BE36FB" w:rsidRPr="009B7B35" w:rsidRDefault="00BE36FB" w:rsidP="001A7107">
            <w:pPr>
              <w:pStyle w:val="TableText"/>
              <w:rPr>
                <w:rFonts w:cs="Arial"/>
              </w:rPr>
            </w:pPr>
            <w:r w:rsidRPr="009B7B35">
              <w:rPr>
                <w:rFonts w:cs="Arial"/>
              </w:rPr>
              <w:t>If involving the reuse of existing building and where associated with a sporting activity.</w:t>
            </w:r>
          </w:p>
          <w:p w14:paraId="7AC5E399" w14:textId="77777777" w:rsidR="00BE36FB" w:rsidRPr="009B7B35" w:rsidRDefault="00BE36FB" w:rsidP="001A7107">
            <w:pPr>
              <w:pStyle w:val="TableText"/>
              <w:rPr>
                <w:rFonts w:cs="Arial"/>
              </w:rPr>
            </w:pPr>
          </w:p>
          <w:p w14:paraId="14B95773" w14:textId="77777777" w:rsidR="00BE36FB" w:rsidRPr="009B7B35" w:rsidRDefault="00BE36FB" w:rsidP="001A7107">
            <w:pPr>
              <w:pStyle w:val="TableText"/>
              <w:rPr>
                <w:rFonts w:cs="Arial"/>
              </w:rPr>
            </w:pPr>
          </w:p>
          <w:p w14:paraId="255C9BCA"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77" w:type="dxa"/>
          </w:tcPr>
          <w:p w14:paraId="6CD15305"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7E7D412D"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60530664"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6C2910FA"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76FA383F"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263A4D0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25A95B10" w14:textId="77777777" w:rsidR="00BE36FB" w:rsidRPr="009B7B35" w:rsidRDefault="00BE36FB" w:rsidP="001A7107">
            <w:pPr>
              <w:pStyle w:val="TableText"/>
              <w:rPr>
                <w:rFonts w:cs="Arial"/>
              </w:rPr>
            </w:pPr>
            <w:r w:rsidRPr="009B7B35">
              <w:rPr>
                <w:rFonts w:cs="Arial"/>
              </w:rPr>
              <w:t>If not involving the reuse of existing building.</w:t>
            </w:r>
          </w:p>
        </w:tc>
        <w:tc>
          <w:tcPr>
            <w:cnfStyle w:val="000100000000" w:firstRow="0" w:lastRow="0" w:firstColumn="0" w:lastColumn="1" w:oddVBand="0" w:evenVBand="0" w:oddHBand="0" w:evenHBand="0" w:firstRowFirstColumn="0" w:firstRowLastColumn="0" w:lastRowFirstColumn="0" w:lastRowLastColumn="0"/>
            <w:tcW w:w="3477" w:type="dxa"/>
          </w:tcPr>
          <w:p w14:paraId="6D1728A9" w14:textId="77777777" w:rsidR="00BE36FB" w:rsidRPr="009B7B35" w:rsidRDefault="00BE36FB" w:rsidP="001A7107">
            <w:pPr>
              <w:pStyle w:val="TableText"/>
              <w:rPr>
                <w:rFonts w:cs="Arial"/>
                <w:color w:val="auto"/>
              </w:rPr>
            </w:pPr>
            <w:r w:rsidRPr="009B7B35">
              <w:rPr>
                <w:rFonts w:cs="Arial"/>
                <w:color w:val="auto"/>
              </w:rPr>
              <w:t>Zone code:</w:t>
            </w:r>
          </w:p>
          <w:p w14:paraId="2C7FCFE9"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Sport and recreation zone code</w:t>
            </w:r>
          </w:p>
          <w:p w14:paraId="3E57E281" w14:textId="77777777" w:rsidR="00BE36FB" w:rsidRPr="009B7B35" w:rsidRDefault="00BE36FB" w:rsidP="001A7107">
            <w:pPr>
              <w:pStyle w:val="TableText"/>
              <w:rPr>
                <w:rFonts w:cs="Arial"/>
                <w:color w:val="auto"/>
              </w:rPr>
            </w:pPr>
            <w:r w:rsidRPr="009B7B35">
              <w:rPr>
                <w:rFonts w:cs="Arial"/>
                <w:color w:val="auto"/>
              </w:rPr>
              <w:t>Other development codes:</w:t>
            </w:r>
          </w:p>
          <w:p w14:paraId="4C9945E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2F1C97D9"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36416C1D"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784CAF9C" w14:textId="77777777" w:rsidR="00BE36FB" w:rsidRPr="009B7B35" w:rsidRDefault="00BE36FB" w:rsidP="001A7107">
            <w:pPr>
              <w:pStyle w:val="TableText"/>
              <w:rPr>
                <w:rFonts w:cs="Arial"/>
              </w:rPr>
            </w:pPr>
            <w:r w:rsidRPr="009B7B35">
              <w:rPr>
                <w:rFonts w:cs="Arial"/>
              </w:rPr>
              <w:t>Emergency services</w:t>
            </w:r>
          </w:p>
          <w:p w14:paraId="30F9F513" w14:textId="77777777" w:rsidR="00BE36FB" w:rsidRPr="009B7B35" w:rsidRDefault="00BE36FB" w:rsidP="001A7107">
            <w:pPr>
              <w:pStyle w:val="TableText"/>
              <w:rPr>
                <w:rFonts w:cs="Arial"/>
              </w:rPr>
            </w:pPr>
            <w:r w:rsidRPr="009B7B35">
              <w:rPr>
                <w:rFonts w:cs="Arial"/>
              </w:rPr>
              <w:t>Substation</w:t>
            </w:r>
          </w:p>
          <w:p w14:paraId="003BA80F"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0BAAE5E0"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0156BB95"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06DD5D0F"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7547CC68"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5E79A851"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77" w:type="dxa"/>
          </w:tcPr>
          <w:p w14:paraId="7C3B130C"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1649A26F"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7766FF4B"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455CDAFB"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362222FD"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21E9283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08B94A36"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4760A6E0"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77" w:type="dxa"/>
          </w:tcPr>
          <w:p w14:paraId="61EEAE1F" w14:textId="77777777" w:rsidR="00BE36FB" w:rsidRPr="009B7B35" w:rsidRDefault="00BE36FB" w:rsidP="001A7107">
            <w:pPr>
              <w:pStyle w:val="TableText"/>
              <w:rPr>
                <w:rFonts w:cs="Arial"/>
                <w:color w:val="auto"/>
              </w:rPr>
            </w:pPr>
            <w:r w:rsidRPr="009B7B35">
              <w:rPr>
                <w:rFonts w:cs="Arial"/>
                <w:color w:val="auto"/>
              </w:rPr>
              <w:t>Zone code:</w:t>
            </w:r>
          </w:p>
          <w:p w14:paraId="1C9AD7C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Sport and recreation zone code</w:t>
            </w:r>
          </w:p>
          <w:p w14:paraId="7B555C3C" w14:textId="77777777" w:rsidR="00BE36FB" w:rsidRPr="009B7B35" w:rsidRDefault="00BE36FB" w:rsidP="001A7107">
            <w:pPr>
              <w:pStyle w:val="TableText"/>
              <w:rPr>
                <w:rFonts w:cs="Arial"/>
                <w:color w:val="auto"/>
              </w:rPr>
            </w:pPr>
            <w:r w:rsidRPr="009B7B35">
              <w:rPr>
                <w:rFonts w:cs="Arial"/>
                <w:color w:val="auto"/>
              </w:rPr>
              <w:t>Other development codes:</w:t>
            </w:r>
          </w:p>
          <w:p w14:paraId="14C073A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2032362C"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56A522C5" w14:textId="77777777" w:rsidR="00BE36FB" w:rsidRPr="009B7B35" w:rsidRDefault="00BE36FB" w:rsidP="001A7107">
            <w:pPr>
              <w:pStyle w:val="TableText"/>
              <w:rPr>
                <w:rFonts w:cs="Arial"/>
              </w:rPr>
            </w:pPr>
            <w:r w:rsidRPr="009B7B35">
              <w:rPr>
                <w:rFonts w:cs="Arial"/>
              </w:rPr>
              <w:t>Landing*</w:t>
            </w:r>
          </w:p>
          <w:p w14:paraId="1833B7C2" w14:textId="77777777" w:rsidR="00BE36FB" w:rsidRPr="009B7B35" w:rsidRDefault="00BE36FB" w:rsidP="001A7107">
            <w:pPr>
              <w:pStyle w:val="TableText"/>
              <w:rPr>
                <w:rFonts w:cs="Arial"/>
              </w:rPr>
            </w:pPr>
            <w:r w:rsidRPr="009B7B35">
              <w:rPr>
                <w:rFonts w:cs="Arial"/>
              </w:rPr>
              <w:t>Park</w:t>
            </w:r>
          </w:p>
          <w:p w14:paraId="131D5F4D"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68DDCDE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350C9EB4"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4155027D"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754D3A57"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7" w:type="dxa"/>
          </w:tcPr>
          <w:p w14:paraId="2EC42001"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757AB88F"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40313F26" w14:textId="77777777" w:rsidR="00BE36FB" w:rsidRPr="009B7B35" w:rsidRDefault="00BE36FB" w:rsidP="001A7107">
            <w:pPr>
              <w:pStyle w:val="TableText"/>
              <w:rPr>
                <w:rFonts w:cs="Arial"/>
              </w:rPr>
            </w:pPr>
            <w:r w:rsidRPr="009B7B35">
              <w:rPr>
                <w:rFonts w:cs="Arial"/>
              </w:rPr>
              <w:t>Telecommunications facility</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3C5073E4"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rsidDel="001B1836" w14:paraId="7666AFD9"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11" w:type="dxa"/>
            <w:vMerge/>
          </w:tcPr>
          <w:p w14:paraId="000731C6"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2F0D3B18" w14:textId="77777777" w:rsidR="00BE36FB" w:rsidRPr="009B7B35" w:rsidDel="001B1836"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77" w:type="dxa"/>
          </w:tcPr>
          <w:p w14:paraId="29A0CA1C" w14:textId="77777777" w:rsidR="00BE36FB" w:rsidRPr="009B7B35" w:rsidRDefault="00BE36FB" w:rsidP="001A7107">
            <w:pPr>
              <w:pStyle w:val="TableText"/>
              <w:rPr>
                <w:rFonts w:cs="Arial"/>
                <w:color w:val="auto"/>
              </w:rPr>
            </w:pPr>
            <w:r w:rsidRPr="009B7B35">
              <w:rPr>
                <w:rFonts w:cs="Arial"/>
                <w:color w:val="auto"/>
              </w:rPr>
              <w:t>Zone code:</w:t>
            </w:r>
          </w:p>
          <w:p w14:paraId="187652BD"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Sport and recreation zone code</w:t>
            </w:r>
          </w:p>
          <w:p w14:paraId="0E50E9D7" w14:textId="77777777" w:rsidR="00BE36FB" w:rsidRPr="009B7B35" w:rsidRDefault="00BE36FB" w:rsidP="001A7107">
            <w:pPr>
              <w:pStyle w:val="TableText"/>
              <w:rPr>
                <w:rFonts w:cs="Arial"/>
                <w:color w:val="auto"/>
              </w:rPr>
            </w:pPr>
            <w:r w:rsidRPr="009B7B35">
              <w:rPr>
                <w:rFonts w:cs="Arial"/>
                <w:color w:val="auto"/>
              </w:rPr>
              <w:t>Use code:</w:t>
            </w:r>
          </w:p>
          <w:p w14:paraId="51279407" w14:textId="77777777" w:rsidR="00BE36FB" w:rsidRPr="009B7B35" w:rsidDel="001B1836"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rsidDel="001B1836" w14:paraId="136CDFEA"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65" w:type="dxa"/>
            <w:gridSpan w:val="3"/>
          </w:tcPr>
          <w:p w14:paraId="5C7519D5" w14:textId="77777777" w:rsidR="00BE36FB" w:rsidRPr="009B7B35" w:rsidRDefault="00BE36FB" w:rsidP="001A7107">
            <w:pPr>
              <w:pStyle w:val="TableText"/>
              <w:rPr>
                <w:rFonts w:cs="Arial"/>
                <w:b/>
              </w:rPr>
            </w:pPr>
            <w:r w:rsidRPr="009B7B35">
              <w:rPr>
                <w:rFonts w:cs="Arial"/>
                <w:b/>
              </w:rPr>
              <w:t>If located in the Benaraby Motor Sport precinct</w:t>
            </w:r>
          </w:p>
        </w:tc>
      </w:tr>
      <w:tr w:rsidR="00BE36FB" w:rsidRPr="009B7B35" w:rsidDel="001B1836" w14:paraId="38990E1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52D6DE30" w14:textId="77777777" w:rsidR="00BE36FB" w:rsidRPr="009B7B35" w:rsidRDefault="00BE36FB" w:rsidP="001A7107">
            <w:pPr>
              <w:pStyle w:val="TableText"/>
              <w:rPr>
                <w:rFonts w:cs="Arial"/>
              </w:rPr>
            </w:pPr>
            <w:r w:rsidRPr="009B7B35">
              <w:rPr>
                <w:rFonts w:cs="Arial"/>
              </w:rPr>
              <w:t>Motor sport facility</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1816AA89"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rsidDel="001B1836" w14:paraId="317C29A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vMerge/>
          </w:tcPr>
          <w:p w14:paraId="62BEEE75"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51CEF7BD" w14:textId="77777777"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77" w:type="dxa"/>
          </w:tcPr>
          <w:p w14:paraId="0C02E375" w14:textId="77777777" w:rsidR="00BE36FB" w:rsidRPr="009B7B35" w:rsidRDefault="00BE36FB" w:rsidP="001A7107">
            <w:pPr>
              <w:pStyle w:val="TableText"/>
              <w:rPr>
                <w:rFonts w:cs="Arial"/>
                <w:color w:val="auto"/>
              </w:rPr>
            </w:pPr>
            <w:r w:rsidRPr="009B7B35">
              <w:rPr>
                <w:rFonts w:cs="Arial"/>
                <w:color w:val="auto"/>
              </w:rPr>
              <w:t>Zone code:</w:t>
            </w:r>
          </w:p>
          <w:p w14:paraId="65DCB227" w14:textId="77777777" w:rsidR="00BE36FB" w:rsidRPr="009B7B35" w:rsidRDefault="00BE36FB" w:rsidP="001A7107">
            <w:pPr>
              <w:pStyle w:val="TableText"/>
              <w:tabs>
                <w:tab w:val="left" w:pos="292"/>
              </w:tabs>
              <w:rPr>
                <w:rFonts w:cs="Arial"/>
                <w:color w:val="auto"/>
              </w:rPr>
            </w:pPr>
            <w:r w:rsidRPr="009B7B35">
              <w:rPr>
                <w:rFonts w:cs="Arial"/>
                <w:color w:val="auto"/>
              </w:rPr>
              <w:t>•</w:t>
            </w:r>
            <w:r w:rsidRPr="009B7B35">
              <w:rPr>
                <w:rFonts w:cs="Arial"/>
                <w:color w:val="auto"/>
              </w:rPr>
              <w:tab/>
              <w:t>Sport and recreation zone code</w:t>
            </w:r>
          </w:p>
          <w:p w14:paraId="5EAB7A47" w14:textId="77777777" w:rsidR="00BE36FB" w:rsidRPr="009B7B35" w:rsidRDefault="00BE36FB" w:rsidP="001A7107">
            <w:pPr>
              <w:pStyle w:val="TableText"/>
              <w:rPr>
                <w:rFonts w:cs="Arial"/>
                <w:color w:val="auto"/>
              </w:rPr>
            </w:pPr>
            <w:r w:rsidRPr="009B7B35">
              <w:rPr>
                <w:rFonts w:cs="Arial"/>
                <w:color w:val="auto"/>
              </w:rPr>
              <w:t>Other development codes:</w:t>
            </w:r>
          </w:p>
          <w:p w14:paraId="737ED626" w14:textId="77777777" w:rsidR="00BE36FB" w:rsidRPr="009B7B35" w:rsidRDefault="00BE36FB" w:rsidP="001A7107">
            <w:pPr>
              <w:pStyle w:val="TableText"/>
              <w:tabs>
                <w:tab w:val="left" w:pos="292"/>
              </w:tabs>
              <w:rPr>
                <w:rFonts w:cs="Arial"/>
                <w:color w:val="auto"/>
              </w:rPr>
            </w:pPr>
            <w:r w:rsidRPr="009B7B35">
              <w:rPr>
                <w:rFonts w:cs="Arial"/>
                <w:color w:val="auto"/>
              </w:rPr>
              <w:t>•</w:t>
            </w:r>
            <w:r w:rsidRPr="009B7B35">
              <w:rPr>
                <w:rFonts w:cs="Arial"/>
                <w:color w:val="auto"/>
              </w:rPr>
              <w:tab/>
              <w:t>Development design code</w:t>
            </w:r>
          </w:p>
          <w:p w14:paraId="63EA6045" w14:textId="77777777" w:rsidR="00BE36FB" w:rsidRPr="009B7B35" w:rsidRDefault="00BE36FB" w:rsidP="00BE36FB">
            <w:pPr>
              <w:pStyle w:val="TableText"/>
              <w:numPr>
                <w:ilvl w:val="0"/>
                <w:numId w:val="105"/>
              </w:numPr>
              <w:tabs>
                <w:tab w:val="left" w:pos="292"/>
              </w:tabs>
              <w:ind w:hanging="711"/>
              <w:rPr>
                <w:rFonts w:cs="Arial"/>
                <w:color w:val="auto"/>
              </w:rPr>
            </w:pPr>
            <w:r w:rsidRPr="009B7B35">
              <w:rPr>
                <w:rFonts w:cs="Arial"/>
                <w:color w:val="auto"/>
              </w:rPr>
              <w:t>Landscaping code</w:t>
            </w:r>
          </w:p>
        </w:tc>
      </w:tr>
      <w:tr w:rsidR="00BE36FB" w:rsidRPr="009B7B35" w14:paraId="14959AF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0355FB48"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108A1111"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8" w:type="dxa"/>
            <w:gridSpan w:val="2"/>
          </w:tcPr>
          <w:p w14:paraId="4A66330B"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4DC113DF"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03243AEA"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7" w:type="dxa"/>
          </w:tcPr>
          <w:p w14:paraId="1FF4E1E0"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1BBD769F" w14:textId="77777777" w:rsidR="00BE36FB" w:rsidRPr="009B7B35" w:rsidRDefault="00BE36FB" w:rsidP="001A7107">
      <w:pPr>
        <w:pStyle w:val="Heading5"/>
        <w:numPr>
          <w:ilvl w:val="0"/>
          <w:numId w:val="0"/>
        </w:numPr>
        <w:rPr>
          <w:rFonts w:cs="Arial"/>
          <w:szCs w:val="20"/>
        </w:rPr>
      </w:pPr>
      <w:r w:rsidRPr="009B7B35">
        <w:rPr>
          <w:rFonts w:cs="Arial"/>
          <w:szCs w:val="20"/>
        </w:rPr>
        <w:t>Table 5.5.23—Open space zone</w:t>
      </w:r>
    </w:p>
    <w:tbl>
      <w:tblPr>
        <w:tblStyle w:val="Tablestyle"/>
        <w:tblW w:w="9365" w:type="dxa"/>
        <w:tblLook w:val="01E0" w:firstRow="1" w:lastRow="1" w:firstColumn="1" w:lastColumn="1" w:noHBand="0" w:noVBand="0"/>
      </w:tblPr>
      <w:tblGrid>
        <w:gridCol w:w="2380"/>
        <w:gridCol w:w="3499"/>
        <w:gridCol w:w="3486"/>
      </w:tblGrid>
      <w:tr w:rsidR="00BE36FB" w:rsidRPr="009B7B35" w14:paraId="7EA1181C"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tcPr>
          <w:p w14:paraId="4E7C6324"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14:paraId="14F42A75"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14:paraId="760D7DD4"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26A956C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0526F22C" w14:textId="77777777" w:rsidR="00BE36FB" w:rsidRPr="009B7B35" w:rsidRDefault="00BE36FB" w:rsidP="001A7107">
            <w:pPr>
              <w:pStyle w:val="TableText"/>
              <w:rPr>
                <w:rFonts w:cs="Arial"/>
              </w:rPr>
            </w:pPr>
            <w:r w:rsidRPr="009B7B35">
              <w:rPr>
                <w:rFonts w:cs="Arial"/>
              </w:rPr>
              <w:t>Caretaker’s accommodation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4225292C"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51E8077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4971CE74"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2E0A15A7"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14:paraId="53ED7584" w14:textId="77777777" w:rsidR="00BE36FB" w:rsidRPr="009B7B35" w:rsidRDefault="00BE36FB" w:rsidP="001A7107">
            <w:pPr>
              <w:pStyle w:val="TableText"/>
              <w:rPr>
                <w:rFonts w:cs="Arial"/>
                <w:color w:val="auto"/>
              </w:rPr>
            </w:pPr>
            <w:r w:rsidRPr="009B7B35">
              <w:rPr>
                <w:rFonts w:cs="Arial"/>
                <w:color w:val="auto"/>
              </w:rPr>
              <w:t>Zone code:</w:t>
            </w:r>
          </w:p>
          <w:p w14:paraId="57C23E97"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Open space zone code</w:t>
            </w:r>
          </w:p>
        </w:tc>
      </w:tr>
      <w:tr w:rsidR="00BE36FB" w:rsidRPr="009B7B35" w14:paraId="3096D76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4D7232B2" w14:textId="77777777" w:rsidR="00BE36FB" w:rsidRPr="009B7B35" w:rsidRDefault="00BE36FB" w:rsidP="001A7107">
            <w:pPr>
              <w:pStyle w:val="TableText"/>
              <w:rPr>
                <w:rFonts w:cs="Arial"/>
              </w:rPr>
            </w:pPr>
            <w:r w:rsidRPr="009B7B35">
              <w:rPr>
                <w:rFonts w:cs="Arial"/>
              </w:rPr>
              <w:t>Club</w:t>
            </w:r>
          </w:p>
          <w:p w14:paraId="310FBCCB" w14:textId="77777777" w:rsidR="00BE36FB" w:rsidRPr="009B7B35" w:rsidRDefault="00BE36FB" w:rsidP="001A7107">
            <w:pPr>
              <w:pStyle w:val="TableText"/>
              <w:rPr>
                <w:rFonts w:cs="Arial"/>
              </w:rPr>
            </w:pPr>
            <w:r w:rsidRPr="009B7B35">
              <w:rPr>
                <w:rFonts w:cs="Arial"/>
              </w:rPr>
              <w:t>Community use</w:t>
            </w:r>
          </w:p>
          <w:p w14:paraId="43CA8153" w14:textId="77777777" w:rsidR="00BE36FB" w:rsidRPr="009B7B35" w:rsidRDefault="00BE36FB" w:rsidP="001A7107">
            <w:pPr>
              <w:pStyle w:val="TableText"/>
              <w:rPr>
                <w:rFonts w:cs="Arial"/>
              </w:rPr>
            </w:pPr>
            <w:r w:rsidRPr="009B7B35">
              <w:rPr>
                <w:rFonts w:cs="Arial"/>
              </w:rPr>
              <w:t>Market</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4AD0353A"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6373F10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25D14788"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68B1F516" w14:textId="77777777"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14:paraId="0E142E2D" w14:textId="77777777" w:rsidR="00BE36FB" w:rsidRPr="009B7B35" w:rsidRDefault="00BE36FB" w:rsidP="001A7107">
            <w:pPr>
              <w:pStyle w:val="TableText"/>
              <w:rPr>
                <w:rFonts w:cs="Arial"/>
                <w:color w:val="auto"/>
              </w:rPr>
            </w:pPr>
            <w:r w:rsidRPr="009B7B35">
              <w:rPr>
                <w:rFonts w:cs="Arial"/>
                <w:color w:val="auto"/>
              </w:rPr>
              <w:t>Zone code:</w:t>
            </w:r>
          </w:p>
          <w:p w14:paraId="373C3E6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Open space zone code</w:t>
            </w:r>
          </w:p>
          <w:p w14:paraId="1D31D466" w14:textId="77777777" w:rsidR="00BE36FB" w:rsidRPr="009B7B35" w:rsidRDefault="00BE36FB" w:rsidP="001A7107">
            <w:pPr>
              <w:pStyle w:val="TableText"/>
              <w:rPr>
                <w:rFonts w:cs="Arial"/>
                <w:color w:val="auto"/>
              </w:rPr>
            </w:pPr>
            <w:r w:rsidRPr="009B7B35">
              <w:rPr>
                <w:rFonts w:cs="Arial"/>
                <w:color w:val="auto"/>
              </w:rPr>
              <w:t>Other development codes:</w:t>
            </w:r>
          </w:p>
          <w:p w14:paraId="1BAE19A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011A27C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7DC8B29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71F2722E" w14:textId="77777777" w:rsidR="00BE36FB" w:rsidRPr="009B7B35" w:rsidRDefault="00BE36FB" w:rsidP="001A7107">
            <w:pPr>
              <w:pStyle w:val="TableText"/>
              <w:rPr>
                <w:rFonts w:cs="Arial"/>
              </w:rPr>
            </w:pPr>
            <w:r w:rsidRPr="009B7B35">
              <w:rPr>
                <w:rFonts w:cs="Arial"/>
              </w:rPr>
              <w:t>Emergency services</w:t>
            </w:r>
          </w:p>
          <w:p w14:paraId="7D1355CE" w14:textId="77777777" w:rsidR="00BE36FB" w:rsidRPr="009B7B35" w:rsidRDefault="00BE36FB" w:rsidP="001A7107">
            <w:pPr>
              <w:pStyle w:val="TableText"/>
              <w:rPr>
                <w:rFonts w:cs="Arial"/>
              </w:rPr>
            </w:pPr>
            <w:r w:rsidRPr="009B7B35">
              <w:rPr>
                <w:rFonts w:cs="Arial"/>
              </w:rPr>
              <w:t>Substation</w:t>
            </w:r>
          </w:p>
          <w:p w14:paraId="69CFACDB"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5F27327C"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31F2284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177801C8"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71E90EAD"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14E4E575"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14:paraId="2C436E7B"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0DAA180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31FFB2C3"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3979B88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2E5AB75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51676781"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06FA9FDA"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57D31575"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14:paraId="57EB0A3C" w14:textId="77777777" w:rsidR="00BE36FB" w:rsidRPr="009B7B35" w:rsidRDefault="00BE36FB" w:rsidP="001A7107">
            <w:pPr>
              <w:pStyle w:val="TableText"/>
              <w:rPr>
                <w:rFonts w:cs="Arial"/>
                <w:color w:val="auto"/>
              </w:rPr>
            </w:pPr>
            <w:r w:rsidRPr="009B7B35">
              <w:rPr>
                <w:rFonts w:cs="Arial"/>
                <w:color w:val="auto"/>
              </w:rPr>
              <w:t>Zone code:</w:t>
            </w:r>
          </w:p>
          <w:p w14:paraId="6EF48CBD"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Open space zone code</w:t>
            </w:r>
          </w:p>
          <w:p w14:paraId="36C832E9" w14:textId="77777777" w:rsidR="00BE36FB" w:rsidRPr="009B7B35" w:rsidRDefault="00BE36FB" w:rsidP="001A7107">
            <w:pPr>
              <w:pStyle w:val="TableText"/>
              <w:rPr>
                <w:rFonts w:cs="Arial"/>
                <w:color w:val="auto"/>
              </w:rPr>
            </w:pPr>
            <w:r w:rsidRPr="009B7B35">
              <w:rPr>
                <w:rFonts w:cs="Arial"/>
                <w:color w:val="auto"/>
              </w:rPr>
              <w:t>Other development codes:</w:t>
            </w:r>
          </w:p>
          <w:p w14:paraId="3955DF0D"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50A9760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693922C1" w14:textId="77777777" w:rsidR="00BE36FB" w:rsidRPr="009B7B35" w:rsidRDefault="00BE36FB" w:rsidP="001A7107">
            <w:pPr>
              <w:pStyle w:val="TableText"/>
              <w:rPr>
                <w:rFonts w:cs="Arial"/>
              </w:rPr>
            </w:pPr>
            <w:r w:rsidRPr="009B7B35">
              <w:rPr>
                <w:rFonts w:cs="Arial"/>
              </w:rPr>
              <w:t>Environment facility</w:t>
            </w:r>
          </w:p>
          <w:p w14:paraId="4FF73A40" w14:textId="77777777" w:rsidR="00BE36FB" w:rsidRPr="009B7B35" w:rsidRDefault="00BE36FB" w:rsidP="001A7107">
            <w:pPr>
              <w:pStyle w:val="TableText"/>
              <w:rPr>
                <w:rFonts w:cs="Arial"/>
              </w:rPr>
            </w:pPr>
            <w:r w:rsidRPr="009B7B35">
              <w:rPr>
                <w:rFonts w:cs="Arial"/>
              </w:rPr>
              <w:t>Landing*</w:t>
            </w:r>
          </w:p>
          <w:p w14:paraId="5A8297EB" w14:textId="77777777" w:rsidR="00BE36FB" w:rsidRPr="009B7B35" w:rsidRDefault="00BE36FB" w:rsidP="001A7107">
            <w:pPr>
              <w:pStyle w:val="TableText"/>
              <w:rPr>
                <w:rFonts w:cs="Arial"/>
              </w:rPr>
            </w:pPr>
            <w:r w:rsidRPr="009B7B35">
              <w:rPr>
                <w:rFonts w:cs="Arial"/>
              </w:rPr>
              <w:t>Park</w:t>
            </w:r>
          </w:p>
          <w:p w14:paraId="5F0AF713" w14:textId="77777777" w:rsidR="00BE36FB" w:rsidRPr="009B7B35" w:rsidRDefault="00BE36FB" w:rsidP="001A7107">
            <w:pPr>
              <w:pStyle w:val="TableText"/>
              <w:rPr>
                <w:rFonts w:cs="Arial"/>
              </w:rPr>
            </w:pPr>
            <w:r w:rsidRPr="009B7B35">
              <w:rPr>
                <w:rFonts w:cs="Arial"/>
              </w:rPr>
              <w:t>Permanent plantation</w:t>
            </w:r>
          </w:p>
          <w:p w14:paraId="42B57289"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45F7DB6B"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499B29A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1022DD4B"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2490306F"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14:paraId="4A9ECFEA"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447AD8E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609B0B12" w14:textId="77777777" w:rsidR="00BE36FB" w:rsidRPr="009B7B35" w:rsidRDefault="00BE36FB" w:rsidP="001A7107">
            <w:pPr>
              <w:pStyle w:val="TableText"/>
              <w:rPr>
                <w:rFonts w:cs="Arial"/>
              </w:rPr>
            </w:pPr>
            <w:r w:rsidRPr="009B7B35">
              <w:rPr>
                <w:rFonts w:cs="Arial"/>
              </w:rPr>
              <w:t>Telecommunication facility</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37048BFA"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5866939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37DEE829"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7D7D3E1D" w14:textId="77777777" w:rsidR="00BE36FB" w:rsidRPr="009B7B35" w:rsidRDefault="00BE36FB" w:rsidP="001A7107">
            <w:pPr>
              <w:pStyle w:val="TableText"/>
              <w:rPr>
                <w:rFonts w:cs="Arial"/>
              </w:rPr>
            </w:pPr>
            <w:r w:rsidRPr="009B7B35">
              <w:rPr>
                <w:rFonts w:cs="Arial"/>
              </w:rPr>
              <w:t>If complying with the relevant accepted development acceptable outcomes.</w:t>
            </w:r>
          </w:p>
          <w:p w14:paraId="48C4DAD7" w14:textId="77777777" w:rsidR="00BE36FB" w:rsidRPr="009B7B35" w:rsidRDefault="00BE36FB" w:rsidP="001A7107">
            <w:pPr>
              <w:pStyle w:val="TableText"/>
              <w:rPr>
                <w:rFonts w:cs="Arial"/>
              </w:rPr>
            </w:pPr>
          </w:p>
          <w:p w14:paraId="430C5122"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86" w:type="dxa"/>
          </w:tcPr>
          <w:p w14:paraId="4A9155D3" w14:textId="77777777" w:rsidR="00BE36FB" w:rsidRPr="009B7B35" w:rsidRDefault="00BE36FB" w:rsidP="001A7107">
            <w:pPr>
              <w:pStyle w:val="TableText"/>
              <w:rPr>
                <w:rFonts w:cs="Arial"/>
                <w:color w:val="auto"/>
              </w:rPr>
            </w:pPr>
            <w:r w:rsidRPr="009B7B35">
              <w:rPr>
                <w:rFonts w:cs="Arial"/>
                <w:color w:val="auto"/>
              </w:rPr>
              <w:t>Zone code:</w:t>
            </w:r>
          </w:p>
          <w:p w14:paraId="44965CA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Open space zone code</w:t>
            </w:r>
          </w:p>
          <w:p w14:paraId="576CC303" w14:textId="77777777" w:rsidR="00BE36FB" w:rsidRPr="009B7B35" w:rsidRDefault="00BE36FB" w:rsidP="001A7107">
            <w:pPr>
              <w:pStyle w:val="TableText"/>
              <w:rPr>
                <w:rFonts w:cs="Arial"/>
                <w:color w:val="auto"/>
              </w:rPr>
            </w:pPr>
            <w:r w:rsidRPr="009B7B35">
              <w:rPr>
                <w:rFonts w:cs="Arial"/>
                <w:color w:val="auto"/>
              </w:rPr>
              <w:t>Use code:</w:t>
            </w:r>
          </w:p>
          <w:p w14:paraId="02823637"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 facility code</w:t>
            </w:r>
          </w:p>
        </w:tc>
      </w:tr>
      <w:tr w:rsidR="00BE36FB" w:rsidRPr="009B7B35" w14:paraId="78B067B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72386610"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350C97A0"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14:paraId="22882469"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5BE9A1E4"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2CF48830"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14:paraId="3C19638B"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3F219D95" w14:textId="77777777" w:rsidR="00BE36FB" w:rsidRPr="009B7B35" w:rsidRDefault="00BE36FB" w:rsidP="001A7107">
      <w:pPr>
        <w:pStyle w:val="Heading5"/>
        <w:numPr>
          <w:ilvl w:val="0"/>
          <w:numId w:val="0"/>
        </w:numPr>
        <w:rPr>
          <w:rFonts w:cs="Arial"/>
          <w:szCs w:val="20"/>
        </w:rPr>
      </w:pPr>
      <w:r w:rsidRPr="009B7B35">
        <w:rPr>
          <w:rFonts w:cs="Arial"/>
          <w:szCs w:val="20"/>
        </w:rPr>
        <w:t>Table 5.5.24—Environmental management zone</w:t>
      </w:r>
    </w:p>
    <w:tbl>
      <w:tblPr>
        <w:tblStyle w:val="Tablestyle"/>
        <w:tblW w:w="4946" w:type="pct"/>
        <w:tblLook w:val="01E0" w:firstRow="1" w:lastRow="1" w:firstColumn="1" w:lastColumn="1" w:noHBand="0" w:noVBand="0"/>
      </w:tblPr>
      <w:tblGrid>
        <w:gridCol w:w="2117"/>
        <w:gridCol w:w="3112"/>
        <w:gridCol w:w="3100"/>
      </w:tblGrid>
      <w:tr w:rsidR="00BE36FB" w:rsidRPr="009B7B35" w14:paraId="38D659BE"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271" w:type="pct"/>
          </w:tcPr>
          <w:p w14:paraId="07A72969"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1868" w:type="pct"/>
          </w:tcPr>
          <w:p w14:paraId="32EC512D"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1861" w:type="pct"/>
          </w:tcPr>
          <w:p w14:paraId="2EF2EF62"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3F1F1D10"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14:paraId="123DB162" w14:textId="77777777" w:rsidR="00BE36FB" w:rsidRPr="009B7B35" w:rsidRDefault="00BE36FB" w:rsidP="001A7107">
            <w:pPr>
              <w:pStyle w:val="TableText"/>
              <w:rPr>
                <w:rFonts w:cs="Arial"/>
              </w:rPr>
            </w:pPr>
            <w:r w:rsidRPr="009B7B35">
              <w:rPr>
                <w:rFonts w:cs="Arial"/>
              </w:rPr>
              <w:t>Caretaker’s accommodation</w:t>
            </w:r>
          </w:p>
          <w:p w14:paraId="63CAAA88" w14:textId="77777777" w:rsidR="00BE36FB" w:rsidRPr="009B7B35" w:rsidRDefault="00BE36FB" w:rsidP="001A7107">
            <w:pPr>
              <w:pStyle w:val="TableText"/>
              <w:rPr>
                <w:rFonts w:cs="Arial"/>
              </w:rPr>
            </w:pPr>
            <w:r w:rsidRPr="009B7B35">
              <w:rPr>
                <w:rFonts w:cs="Arial"/>
              </w:rPr>
              <w:t>Dwelling house</w:t>
            </w:r>
          </w:p>
          <w:p w14:paraId="70FD0A81" w14:textId="77777777" w:rsidR="00BE36FB" w:rsidRPr="009B7B35" w:rsidRDefault="00BE36FB" w:rsidP="001A7107">
            <w:pPr>
              <w:pStyle w:val="TableText"/>
              <w:rPr>
                <w:rFonts w:cs="Arial"/>
              </w:rPr>
            </w:pPr>
            <w:r w:rsidRPr="009B7B35">
              <w:rPr>
                <w:rFonts w:cs="Arial"/>
              </w:rPr>
              <w:t>Environment facility</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3688F4AB"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720CB349"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14:paraId="27AAB998"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8" w:type="pct"/>
          </w:tcPr>
          <w:p w14:paraId="5B9EBA55" w14:textId="77777777" w:rsidR="00BE36FB" w:rsidRPr="009B7B35" w:rsidRDefault="00BE36FB" w:rsidP="001A7107">
            <w:pPr>
              <w:pStyle w:val="TableText"/>
              <w:rPr>
                <w:rFonts w:cs="Arial"/>
              </w:rPr>
            </w:pPr>
            <w:r w:rsidRPr="009B7B35">
              <w:rPr>
                <w:rFonts w:cs="Arial"/>
              </w:rPr>
              <w:t>If complying with the relevant accepted development acceptable outcomes.</w:t>
            </w:r>
          </w:p>
          <w:p w14:paraId="735F3EF8"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1861" w:type="pct"/>
          </w:tcPr>
          <w:p w14:paraId="27FFA61C" w14:textId="77777777" w:rsidR="00BE36FB" w:rsidRPr="009B7B35" w:rsidRDefault="00BE36FB" w:rsidP="001A7107">
            <w:pPr>
              <w:pStyle w:val="TableText"/>
              <w:rPr>
                <w:rFonts w:cs="Arial"/>
                <w:color w:val="auto"/>
              </w:rPr>
            </w:pPr>
            <w:r w:rsidRPr="009B7B35">
              <w:rPr>
                <w:rFonts w:cs="Arial"/>
                <w:color w:val="auto"/>
              </w:rPr>
              <w:t>Zone code:</w:t>
            </w:r>
          </w:p>
          <w:p w14:paraId="159436F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Environmental management zone code</w:t>
            </w:r>
          </w:p>
        </w:tc>
      </w:tr>
      <w:tr w:rsidR="00BE36FB" w:rsidRPr="009B7B35" w14:paraId="67A79437"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14:paraId="6C46DB66" w14:textId="77777777" w:rsidR="00BE36FB" w:rsidRPr="009B7B35" w:rsidRDefault="00BE36FB" w:rsidP="001A7107">
            <w:pPr>
              <w:pStyle w:val="TableText"/>
              <w:rPr>
                <w:rFonts w:cs="Arial"/>
              </w:rPr>
            </w:pPr>
            <w:r w:rsidRPr="009B7B35">
              <w:rPr>
                <w:rFonts w:cs="Arial"/>
              </w:rPr>
              <w:t>Landing*</w:t>
            </w:r>
          </w:p>
          <w:p w14:paraId="755BB6D6" w14:textId="77777777" w:rsidR="00BE36FB" w:rsidRPr="009B7B35" w:rsidRDefault="00BE36FB" w:rsidP="001A7107">
            <w:pPr>
              <w:pStyle w:val="TableText"/>
              <w:rPr>
                <w:rFonts w:cs="Arial"/>
              </w:rPr>
            </w:pPr>
            <w:r w:rsidRPr="009B7B35">
              <w:rPr>
                <w:rFonts w:cs="Arial"/>
              </w:rPr>
              <w:t>Park</w:t>
            </w:r>
          </w:p>
          <w:p w14:paraId="5A822767"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4E2E7767"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0361082E"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14:paraId="22EDEE1B"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8" w:type="pct"/>
          </w:tcPr>
          <w:p w14:paraId="1CD43968"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1861" w:type="pct"/>
          </w:tcPr>
          <w:p w14:paraId="14AB1C15" w14:textId="77777777" w:rsidR="00BE36FB" w:rsidRPr="009B7B35" w:rsidRDefault="00BE36FB" w:rsidP="001A7107">
            <w:pPr>
              <w:rPr>
                <w:rFonts w:cs="Arial"/>
                <w:color w:val="auto"/>
                <w:sz w:val="20"/>
                <w:szCs w:val="20"/>
              </w:rPr>
            </w:pPr>
            <w:r w:rsidRPr="009B7B35">
              <w:rPr>
                <w:rFonts w:cs="Arial"/>
                <w:color w:val="auto"/>
                <w:sz w:val="20"/>
                <w:szCs w:val="20"/>
              </w:rPr>
              <w:t>Not applicable</w:t>
            </w:r>
          </w:p>
        </w:tc>
      </w:tr>
      <w:tr w:rsidR="00BE36FB" w:rsidRPr="009B7B35" w14:paraId="29A83A2B"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14:paraId="3C83892E" w14:textId="77777777" w:rsidR="00BE36FB" w:rsidRPr="009B7B35" w:rsidRDefault="00BE36FB" w:rsidP="001A7107">
            <w:pPr>
              <w:pStyle w:val="TableText"/>
              <w:rPr>
                <w:rFonts w:cs="Arial"/>
              </w:rPr>
            </w:pPr>
            <w:r w:rsidRPr="009B7B35">
              <w:rPr>
                <w:rFonts w:cs="Arial"/>
              </w:rPr>
              <w:t>Emergency services</w:t>
            </w:r>
          </w:p>
          <w:p w14:paraId="1D327398" w14:textId="77777777" w:rsidR="00BE36FB" w:rsidRPr="009B7B35" w:rsidRDefault="00BE36FB" w:rsidP="001A7107">
            <w:pPr>
              <w:pStyle w:val="TableText"/>
              <w:rPr>
                <w:rFonts w:cs="Arial"/>
              </w:rPr>
            </w:pPr>
            <w:r w:rsidRPr="009B7B35">
              <w:rPr>
                <w:rFonts w:cs="Arial"/>
              </w:rPr>
              <w:t>Utility installation</w:t>
            </w:r>
          </w:p>
          <w:p w14:paraId="33894571" w14:textId="77777777" w:rsidR="00BE36FB" w:rsidRPr="009B7B35" w:rsidRDefault="00BE36FB" w:rsidP="001A7107">
            <w:pPr>
              <w:pStyle w:val="TableText"/>
              <w:rPr>
                <w:rFonts w:cs="Arial"/>
              </w:rPr>
            </w:pPr>
            <w:r w:rsidRPr="009B7B35">
              <w:rPr>
                <w:rFonts w:cs="Arial"/>
              </w:rPr>
              <w:t>Substation</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3439D4D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73884529"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14:paraId="35CC3E37"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8" w:type="pct"/>
          </w:tcPr>
          <w:p w14:paraId="777B9F77"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5CA1901D" w14:textId="77777777" w:rsidR="00BE36FB" w:rsidRPr="009B7B35" w:rsidRDefault="00BE36FB" w:rsidP="001A7107">
            <w:pPr>
              <w:pStyle w:val="TableText"/>
              <w:rPr>
                <w:rFonts w:cs="Arial"/>
              </w:rPr>
            </w:pPr>
            <w:r w:rsidRPr="009B7B35">
              <w:rPr>
                <w:rFonts w:cs="Arial"/>
              </w:rPr>
              <w:t>Otherwise, where undertaken by a public sector entity and the development footprint is less than 500m</w:t>
            </w:r>
            <w:r w:rsidRPr="009B7B35">
              <w:rPr>
                <w:rStyle w:val="StyleSuperscript"/>
                <w:rFonts w:cs="Arial"/>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1861" w:type="pct"/>
          </w:tcPr>
          <w:p w14:paraId="3D229A5A"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31057506"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14:paraId="4DD22743"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12390870"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21322B5A"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14:paraId="396733D5"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8" w:type="pct"/>
          </w:tcPr>
          <w:p w14:paraId="473C4540" w14:textId="77777777" w:rsidR="00BE36FB" w:rsidRPr="009B7B35" w:rsidRDefault="00BE36FB" w:rsidP="001A7107">
            <w:pPr>
              <w:pStyle w:val="TableText"/>
              <w:rPr>
                <w:rFonts w:cs="Arial"/>
              </w:rPr>
            </w:pPr>
            <w:r w:rsidRPr="009B7B35">
              <w:rPr>
                <w:rFonts w:cs="Arial"/>
              </w:rPr>
              <w:t>Where undertaken by a public sector entity and the development footprint is 500m</w:t>
            </w:r>
            <w:r w:rsidRPr="009B7B35">
              <w:rPr>
                <w:rStyle w:val="StyleSuperscript"/>
                <w:rFonts w:cs="Arial"/>
              </w:rPr>
              <w:t>2</w:t>
            </w:r>
            <w:r w:rsidRPr="009B7B35">
              <w:rPr>
                <w:rFonts w:cs="Arial"/>
              </w:rPr>
              <w:t xml:space="preserve"> or greater.</w:t>
            </w:r>
          </w:p>
          <w:p w14:paraId="6E397E0A" w14:textId="77777777" w:rsidR="00BE36FB" w:rsidRPr="009B7B35" w:rsidRDefault="00BE36FB" w:rsidP="001A7107">
            <w:pPr>
              <w:pStyle w:val="TableText"/>
              <w:rPr>
                <w:rFonts w:cs="Arial"/>
              </w:rPr>
            </w:pPr>
            <w:r w:rsidRPr="009B7B35">
              <w:rPr>
                <w:rFonts w:cs="Arial"/>
              </w:rPr>
              <w:t>If not undertaken by a public sector entity.</w:t>
            </w:r>
          </w:p>
        </w:tc>
        <w:tc>
          <w:tcPr>
            <w:cnfStyle w:val="000100000000" w:firstRow="0" w:lastRow="0" w:firstColumn="0" w:lastColumn="1" w:oddVBand="0" w:evenVBand="0" w:oddHBand="0" w:evenHBand="0" w:firstRowFirstColumn="0" w:firstRowLastColumn="0" w:lastRowFirstColumn="0" w:lastRowLastColumn="0"/>
            <w:tcW w:w="1861" w:type="pct"/>
          </w:tcPr>
          <w:p w14:paraId="2EA54503" w14:textId="77777777" w:rsidR="00BE36FB" w:rsidRPr="009B7B35" w:rsidRDefault="00BE36FB" w:rsidP="001A7107">
            <w:pPr>
              <w:pStyle w:val="TableText"/>
              <w:rPr>
                <w:rFonts w:cs="Arial"/>
                <w:color w:val="auto"/>
              </w:rPr>
            </w:pPr>
            <w:r w:rsidRPr="009B7B35">
              <w:rPr>
                <w:rFonts w:cs="Arial"/>
                <w:color w:val="auto"/>
              </w:rPr>
              <w:t>Zone code:</w:t>
            </w:r>
          </w:p>
          <w:p w14:paraId="155555D7"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Environmental management zone code</w:t>
            </w:r>
          </w:p>
          <w:p w14:paraId="05CAD31B" w14:textId="77777777" w:rsidR="00BE36FB" w:rsidRPr="009B7B35" w:rsidRDefault="00BE36FB" w:rsidP="001A7107">
            <w:pPr>
              <w:pStyle w:val="TableText"/>
              <w:rPr>
                <w:rFonts w:cs="Arial"/>
                <w:color w:val="auto"/>
              </w:rPr>
            </w:pPr>
            <w:r w:rsidRPr="009B7B35">
              <w:rPr>
                <w:rFonts w:cs="Arial"/>
                <w:color w:val="auto"/>
              </w:rPr>
              <w:t>Other development codes:</w:t>
            </w:r>
          </w:p>
          <w:p w14:paraId="5111568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255F83CF"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14:paraId="1CB5E427" w14:textId="77777777"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08FE7873"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0AEDE27D"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14:paraId="5C50603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8" w:type="pct"/>
          </w:tcPr>
          <w:p w14:paraId="1288B4F1"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1861" w:type="pct"/>
          </w:tcPr>
          <w:p w14:paraId="21923E8B" w14:textId="77777777" w:rsidR="00BE36FB" w:rsidRPr="009B7B35" w:rsidRDefault="00BE36FB" w:rsidP="001A7107">
            <w:pPr>
              <w:pStyle w:val="TableText"/>
              <w:rPr>
                <w:rFonts w:cs="Arial"/>
                <w:color w:val="auto"/>
              </w:rPr>
            </w:pPr>
            <w:r w:rsidRPr="009B7B35">
              <w:rPr>
                <w:rFonts w:cs="Arial"/>
                <w:color w:val="auto"/>
              </w:rPr>
              <w:t>Use code:</w:t>
            </w:r>
          </w:p>
          <w:p w14:paraId="02762EC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Home based business code</w:t>
            </w:r>
          </w:p>
        </w:tc>
      </w:tr>
      <w:tr w:rsidR="00BE36FB" w:rsidRPr="009B7B35" w14:paraId="10977DE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pct"/>
            <w:vMerge w:val="restart"/>
          </w:tcPr>
          <w:p w14:paraId="6316867D" w14:textId="77777777" w:rsidR="00BE36FB" w:rsidRPr="009B7B35" w:rsidRDefault="00BE36FB" w:rsidP="001A7107">
            <w:pPr>
              <w:pStyle w:val="TableText"/>
              <w:rPr>
                <w:rFonts w:cs="Arial"/>
              </w:rPr>
            </w:pPr>
            <w:r w:rsidRPr="009B7B35">
              <w:rPr>
                <w:rFonts w:cs="Arial"/>
              </w:rPr>
              <w:t>Nature based tourism</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72325944"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2D25AEF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pct"/>
            <w:vMerge/>
          </w:tcPr>
          <w:p w14:paraId="1EC554CB"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8" w:type="pct"/>
          </w:tcPr>
          <w:p w14:paraId="1352B5BB"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1861" w:type="pct"/>
          </w:tcPr>
          <w:p w14:paraId="6712936F" w14:textId="77777777" w:rsidR="00BE36FB" w:rsidRPr="009B7B35" w:rsidRDefault="00BE36FB" w:rsidP="001A7107">
            <w:pPr>
              <w:pStyle w:val="TableText"/>
              <w:rPr>
                <w:rFonts w:cs="Arial"/>
                <w:color w:val="auto"/>
              </w:rPr>
            </w:pPr>
            <w:r w:rsidRPr="009B7B35">
              <w:rPr>
                <w:rFonts w:cs="Arial"/>
                <w:color w:val="auto"/>
              </w:rPr>
              <w:t>Zone code:</w:t>
            </w:r>
          </w:p>
          <w:p w14:paraId="4EAEF49F"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Environmental management zone code</w:t>
            </w:r>
          </w:p>
          <w:p w14:paraId="28EB55CC" w14:textId="77777777" w:rsidR="00BE36FB" w:rsidRPr="009B7B35" w:rsidRDefault="00BE36FB" w:rsidP="001A7107">
            <w:pPr>
              <w:pStyle w:val="TableText"/>
              <w:rPr>
                <w:rFonts w:cs="Arial"/>
                <w:color w:val="auto"/>
              </w:rPr>
            </w:pPr>
            <w:r w:rsidRPr="009B7B35">
              <w:rPr>
                <w:rFonts w:cs="Arial"/>
                <w:color w:val="auto"/>
              </w:rPr>
              <w:t>Other development codes:</w:t>
            </w:r>
          </w:p>
          <w:p w14:paraId="67474B5F"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35237AAA"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66A728EF"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val="restart"/>
          </w:tcPr>
          <w:p w14:paraId="19B60017" w14:textId="77777777" w:rsidR="00BE36FB" w:rsidRPr="009B7B35" w:rsidRDefault="00BE36FB" w:rsidP="001A7107">
            <w:pPr>
              <w:pStyle w:val="TableText"/>
              <w:rPr>
                <w:rFonts w:cs="Arial"/>
              </w:rPr>
            </w:pPr>
            <w:r w:rsidRPr="009B7B35">
              <w:rPr>
                <w:rFonts w:cs="Arial"/>
              </w:rPr>
              <w:t xml:space="preserve">Telecommunications facility </w:t>
            </w:r>
          </w:p>
        </w:tc>
        <w:tc>
          <w:tcPr>
            <w:cnfStyle w:val="000100000000" w:firstRow="0" w:lastRow="0" w:firstColumn="0" w:lastColumn="1" w:oddVBand="0" w:evenVBand="0" w:oddHBand="0" w:evenHBand="0" w:firstRowFirstColumn="0" w:firstRowLastColumn="0" w:lastRowFirstColumn="0" w:lastRowLastColumn="0"/>
            <w:tcW w:w="3729" w:type="pct"/>
            <w:gridSpan w:val="2"/>
            <w:shd w:val="clear" w:color="auto" w:fill="BFBFBF" w:themeFill="background1" w:themeFillShade="BF"/>
          </w:tcPr>
          <w:p w14:paraId="762E3B55"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0AF9406A"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pct"/>
            <w:vMerge/>
          </w:tcPr>
          <w:p w14:paraId="35DA38CF"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1868" w:type="pct"/>
          </w:tcPr>
          <w:p w14:paraId="0FC22AD4" w14:textId="77777777" w:rsidR="00BE36FB" w:rsidRPr="009B7B35" w:rsidRDefault="00BE36FB" w:rsidP="001A7107">
            <w:pPr>
              <w:pStyle w:val="TableText"/>
              <w:rPr>
                <w:rFonts w:cs="Arial"/>
              </w:rPr>
            </w:pPr>
            <w:r w:rsidRPr="009B7B35">
              <w:rPr>
                <w:rFonts w:cs="Arial"/>
              </w:rPr>
              <w:t>If complying with the relevant accepted development acceptable outcomes.</w:t>
            </w:r>
          </w:p>
          <w:p w14:paraId="26F1C163" w14:textId="77777777" w:rsidR="00BE36FB" w:rsidRPr="009B7B35" w:rsidRDefault="00BE36FB" w:rsidP="001A7107">
            <w:pPr>
              <w:pStyle w:val="TableText"/>
              <w:rPr>
                <w:rFonts w:cs="Arial"/>
              </w:rPr>
            </w:pPr>
          </w:p>
          <w:p w14:paraId="2394B98D" w14:textId="77777777" w:rsidR="00BE36FB" w:rsidRPr="009B7B35" w:rsidRDefault="00BE36FB" w:rsidP="001A7107">
            <w:pPr>
              <w:pStyle w:val="TableText"/>
              <w:rPr>
                <w:rFonts w:cs="Arial"/>
              </w:rPr>
            </w:pPr>
          </w:p>
          <w:p w14:paraId="1B9F0DBF"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1861" w:type="pct"/>
          </w:tcPr>
          <w:p w14:paraId="3FDF22B7" w14:textId="77777777" w:rsidR="00BE36FB" w:rsidRPr="009B7B35" w:rsidRDefault="00BE36FB" w:rsidP="001A7107">
            <w:pPr>
              <w:pStyle w:val="TableText"/>
              <w:rPr>
                <w:rFonts w:cs="Arial"/>
                <w:color w:val="auto"/>
              </w:rPr>
            </w:pPr>
            <w:r w:rsidRPr="009B7B35">
              <w:rPr>
                <w:rFonts w:cs="Arial"/>
                <w:color w:val="auto"/>
              </w:rPr>
              <w:t>Zone code:</w:t>
            </w:r>
          </w:p>
          <w:p w14:paraId="6E43A783" w14:textId="77777777" w:rsidR="00BE36FB" w:rsidRPr="009B7B35" w:rsidRDefault="00BE36FB" w:rsidP="001A7107">
            <w:pPr>
              <w:pStyle w:val="ListBullet"/>
              <w:ind w:left="271" w:hanging="271"/>
              <w:rPr>
                <w:rFonts w:cs="Arial"/>
                <w:color w:val="auto"/>
                <w:szCs w:val="20"/>
              </w:rPr>
            </w:pPr>
            <w:r w:rsidRPr="009B7B35">
              <w:rPr>
                <w:rFonts w:cs="Arial"/>
                <w:color w:val="auto"/>
                <w:szCs w:val="20"/>
              </w:rPr>
              <w:t>Environmental management zone code</w:t>
            </w:r>
          </w:p>
          <w:p w14:paraId="347E2F0C" w14:textId="77777777" w:rsidR="00BE36FB" w:rsidRPr="009B7B35" w:rsidRDefault="00BE36FB" w:rsidP="001A7107">
            <w:pPr>
              <w:pStyle w:val="TableText"/>
              <w:rPr>
                <w:rFonts w:cs="Arial"/>
                <w:color w:val="auto"/>
              </w:rPr>
            </w:pPr>
            <w:r w:rsidRPr="009B7B35">
              <w:rPr>
                <w:rFonts w:cs="Arial"/>
                <w:color w:val="auto"/>
              </w:rPr>
              <w:t>Use code:</w:t>
            </w:r>
          </w:p>
          <w:p w14:paraId="67DFACE8"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14:paraId="1261505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tcPr>
          <w:p w14:paraId="1728C6DA"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7A390EA7" w14:textId="77777777"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39" w:type="pct"/>
            <w:gridSpan w:val="2"/>
          </w:tcPr>
          <w:p w14:paraId="3A540DD2"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45A30090"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195974E6"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1861" w:type="pct"/>
          </w:tcPr>
          <w:p w14:paraId="17E65434"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79F40C9C" w14:textId="77777777" w:rsidR="00BE36FB" w:rsidRPr="009B7B35" w:rsidRDefault="00BE36FB" w:rsidP="001A7107">
      <w:pPr>
        <w:pStyle w:val="Heading5"/>
        <w:numPr>
          <w:ilvl w:val="0"/>
          <w:numId w:val="0"/>
        </w:numPr>
        <w:rPr>
          <w:rFonts w:cs="Arial"/>
          <w:szCs w:val="20"/>
        </w:rPr>
      </w:pPr>
      <w:r w:rsidRPr="009B7B35">
        <w:rPr>
          <w:rFonts w:cs="Arial"/>
          <w:szCs w:val="20"/>
        </w:rPr>
        <w:t>Table 5.5.25—Conservation zone</w:t>
      </w:r>
    </w:p>
    <w:tbl>
      <w:tblPr>
        <w:tblStyle w:val="Tablestyle"/>
        <w:tblW w:w="4946" w:type="pct"/>
        <w:tblLook w:val="01E0" w:firstRow="1" w:lastRow="1" w:firstColumn="1" w:lastColumn="1" w:noHBand="0" w:noVBand="0"/>
      </w:tblPr>
      <w:tblGrid>
        <w:gridCol w:w="2225"/>
        <w:gridCol w:w="3028"/>
        <w:gridCol w:w="3076"/>
      </w:tblGrid>
      <w:tr w:rsidR="00BE36FB" w:rsidRPr="009B7B35" w14:paraId="322614FB"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2" w:type="dxa"/>
          </w:tcPr>
          <w:p w14:paraId="2294A4E6"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77" w:type="dxa"/>
          </w:tcPr>
          <w:p w14:paraId="3B86D882"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77" w:type="dxa"/>
          </w:tcPr>
          <w:p w14:paraId="3F2CBB9C"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06C7986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2" w:type="dxa"/>
            <w:vMerge w:val="restart"/>
          </w:tcPr>
          <w:p w14:paraId="79FFBBB2" w14:textId="77777777" w:rsidR="00BE36FB" w:rsidRPr="009B7B35" w:rsidRDefault="00BE36FB" w:rsidP="001A7107">
            <w:pPr>
              <w:pStyle w:val="TableText"/>
              <w:rPr>
                <w:rFonts w:cs="Arial"/>
              </w:rPr>
            </w:pPr>
            <w:r w:rsidRPr="009B7B35">
              <w:rPr>
                <w:rFonts w:cs="Arial"/>
              </w:rPr>
              <w:t>Caretaker’s accommodation</w:t>
            </w:r>
          </w:p>
          <w:p w14:paraId="62D085B0" w14:textId="77777777" w:rsidR="00BE36FB" w:rsidRPr="009B7B35" w:rsidRDefault="00BE36FB" w:rsidP="001A7107">
            <w:pPr>
              <w:pStyle w:val="TableText"/>
              <w:rPr>
                <w:rFonts w:cs="Arial"/>
              </w:rPr>
            </w:pPr>
            <w:r w:rsidRPr="009B7B35">
              <w:rPr>
                <w:rFonts w:cs="Arial"/>
              </w:rPr>
              <w:t>Community use</w:t>
            </w:r>
          </w:p>
          <w:p w14:paraId="74A58BAC" w14:textId="77777777" w:rsidR="00BE36FB" w:rsidRPr="009B7B35" w:rsidRDefault="00BE36FB" w:rsidP="001A7107">
            <w:pPr>
              <w:pStyle w:val="TableText"/>
              <w:rPr>
                <w:rFonts w:cs="Arial"/>
              </w:rPr>
            </w:pPr>
            <w:r w:rsidRPr="009B7B35">
              <w:rPr>
                <w:rFonts w:cs="Arial"/>
              </w:rPr>
              <w:t>Food and Drink outlet</w:t>
            </w:r>
          </w:p>
          <w:p w14:paraId="0DEC446B" w14:textId="77777777" w:rsidR="00BE36FB" w:rsidRPr="009B7B35" w:rsidRDefault="00BE36FB" w:rsidP="001A7107">
            <w:pPr>
              <w:pStyle w:val="TableText"/>
              <w:rPr>
                <w:rFonts w:cs="Arial"/>
              </w:rPr>
            </w:pPr>
            <w:r w:rsidRPr="009B7B35">
              <w:rPr>
                <w:rFonts w:cs="Arial"/>
              </w:rPr>
              <w:t>Nature based tourism</w:t>
            </w:r>
          </w:p>
          <w:p w14:paraId="3C0964F5" w14:textId="77777777" w:rsidR="00BE36FB" w:rsidRPr="009B7B35" w:rsidRDefault="00BE36FB" w:rsidP="001A7107">
            <w:pPr>
              <w:pStyle w:val="TableText"/>
              <w:rPr>
                <w:rFonts w:cs="Arial"/>
              </w:rPr>
            </w:pPr>
            <w:r w:rsidRPr="009B7B35">
              <w:rPr>
                <w:rFonts w:cs="Arial"/>
              </w:rPr>
              <w:t>Shop</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4F72EBA9"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7F82016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2" w:type="dxa"/>
            <w:vMerge/>
          </w:tcPr>
          <w:p w14:paraId="322D5685"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105CF646"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77" w:type="dxa"/>
          </w:tcPr>
          <w:p w14:paraId="5960999E" w14:textId="77777777" w:rsidR="00BE36FB" w:rsidRPr="009B7B35" w:rsidRDefault="00BE36FB" w:rsidP="001A7107">
            <w:pPr>
              <w:pStyle w:val="TableText"/>
              <w:rPr>
                <w:rFonts w:cs="Arial"/>
                <w:color w:val="auto"/>
              </w:rPr>
            </w:pPr>
            <w:r w:rsidRPr="009B7B35">
              <w:rPr>
                <w:rFonts w:cs="Arial"/>
                <w:color w:val="auto"/>
              </w:rPr>
              <w:t>Zone code:</w:t>
            </w:r>
          </w:p>
          <w:p w14:paraId="69F23975"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Conservation zone code</w:t>
            </w:r>
          </w:p>
          <w:p w14:paraId="0C932F66" w14:textId="77777777" w:rsidR="00BE36FB" w:rsidRPr="009B7B35" w:rsidRDefault="00BE36FB" w:rsidP="001A7107">
            <w:pPr>
              <w:pStyle w:val="TableText"/>
              <w:rPr>
                <w:rFonts w:cs="Arial"/>
                <w:color w:val="auto"/>
              </w:rPr>
            </w:pPr>
            <w:r w:rsidRPr="009B7B35">
              <w:rPr>
                <w:rFonts w:cs="Arial"/>
                <w:color w:val="auto"/>
              </w:rPr>
              <w:t>Other development codes:</w:t>
            </w:r>
          </w:p>
          <w:p w14:paraId="058E132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36809FDF"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7E096AC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2" w:type="dxa"/>
            <w:vMerge w:val="restart"/>
          </w:tcPr>
          <w:p w14:paraId="397CD2FD" w14:textId="77777777" w:rsidR="00BE36FB" w:rsidRPr="009B7B35" w:rsidRDefault="00BE36FB" w:rsidP="001A7107">
            <w:pPr>
              <w:pStyle w:val="TableText"/>
              <w:rPr>
                <w:rFonts w:cs="Arial"/>
              </w:rPr>
            </w:pPr>
            <w:r w:rsidRPr="009B7B35">
              <w:rPr>
                <w:rFonts w:cs="Arial"/>
              </w:rPr>
              <w:t>Environment facility</w:t>
            </w:r>
          </w:p>
          <w:p w14:paraId="04B71672" w14:textId="77777777" w:rsidR="00BE36FB" w:rsidRPr="009B7B35" w:rsidRDefault="00BE36FB" w:rsidP="001A7107">
            <w:pPr>
              <w:pStyle w:val="TableText"/>
              <w:rPr>
                <w:rFonts w:cs="Arial"/>
              </w:rPr>
            </w:pPr>
            <w:r w:rsidRPr="009B7B35">
              <w:rPr>
                <w:rFonts w:cs="Arial"/>
              </w:rPr>
              <w:t>Emergency services</w:t>
            </w:r>
          </w:p>
          <w:p w14:paraId="7EE4C16B" w14:textId="77777777" w:rsidR="00BE36FB" w:rsidRPr="009B7B35" w:rsidRDefault="00BE36FB" w:rsidP="001A7107">
            <w:pPr>
              <w:pStyle w:val="TableText"/>
              <w:rPr>
                <w:rFonts w:cs="Arial"/>
              </w:rPr>
            </w:pPr>
            <w:r w:rsidRPr="009B7B35">
              <w:rPr>
                <w:rFonts w:cs="Arial"/>
              </w:rPr>
              <w:t>Landing*</w:t>
            </w:r>
          </w:p>
          <w:p w14:paraId="28DD13F1" w14:textId="77777777" w:rsidR="00BE36FB" w:rsidRPr="009B7B35" w:rsidRDefault="00BE36FB" w:rsidP="001A7107">
            <w:pPr>
              <w:pStyle w:val="TableText"/>
              <w:rPr>
                <w:rFonts w:cs="Arial"/>
              </w:rPr>
            </w:pPr>
            <w:r w:rsidRPr="009B7B35">
              <w:rPr>
                <w:rFonts w:cs="Arial"/>
              </w:rPr>
              <w:t>Park</w:t>
            </w:r>
          </w:p>
          <w:p w14:paraId="4452D7F2"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54" w:type="dxa"/>
            <w:gridSpan w:val="2"/>
            <w:shd w:val="clear" w:color="auto" w:fill="BFBFBF" w:themeFill="background1" w:themeFillShade="BF"/>
          </w:tcPr>
          <w:p w14:paraId="39333F1F"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6A24468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2" w:type="dxa"/>
            <w:vMerge/>
          </w:tcPr>
          <w:p w14:paraId="4A52C21D"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77" w:type="dxa"/>
          </w:tcPr>
          <w:p w14:paraId="63EDC0C1"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77" w:type="dxa"/>
          </w:tcPr>
          <w:p w14:paraId="33088D5F"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1C9D7D7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6" w:type="dxa"/>
            <w:gridSpan w:val="3"/>
            <w:shd w:val="clear" w:color="auto" w:fill="BFBFBF" w:themeFill="background1" w:themeFillShade="BF"/>
          </w:tcPr>
          <w:p w14:paraId="0CB1D0A2"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412DC0DD"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9" w:type="dxa"/>
            <w:gridSpan w:val="2"/>
          </w:tcPr>
          <w:p w14:paraId="60E2206E"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5E0307A2"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3548AC5E"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77" w:type="dxa"/>
          </w:tcPr>
          <w:p w14:paraId="400955CF"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134CAFE3" w14:textId="77777777" w:rsidR="00BE36FB" w:rsidRPr="009B7B35" w:rsidRDefault="00BE36FB" w:rsidP="001A7107">
      <w:pPr>
        <w:pStyle w:val="Heading5"/>
        <w:numPr>
          <w:ilvl w:val="0"/>
          <w:numId w:val="0"/>
        </w:numPr>
        <w:rPr>
          <w:rFonts w:cs="Arial"/>
          <w:szCs w:val="20"/>
        </w:rPr>
      </w:pPr>
      <w:r w:rsidRPr="009B7B35">
        <w:rPr>
          <w:rFonts w:cs="Arial"/>
          <w:szCs w:val="20"/>
        </w:rPr>
        <w:t>Table 5.5.26—Limited development zone (constrained land)</w:t>
      </w:r>
    </w:p>
    <w:tbl>
      <w:tblPr>
        <w:tblStyle w:val="Tablestyle"/>
        <w:tblW w:w="0" w:type="auto"/>
        <w:tblLook w:val="01E0" w:firstRow="1" w:lastRow="1" w:firstColumn="1" w:lastColumn="1" w:noHBand="0" w:noVBand="0"/>
      </w:tblPr>
      <w:tblGrid>
        <w:gridCol w:w="2241"/>
        <w:gridCol w:w="2963"/>
        <w:gridCol w:w="3159"/>
      </w:tblGrid>
      <w:tr w:rsidR="00BE36FB" w:rsidRPr="009B7B35" w14:paraId="7AEF0417" w14:textId="77777777"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80" w:type="dxa"/>
          </w:tcPr>
          <w:p w14:paraId="00044387" w14:textId="77777777" w:rsidR="00BE36FB" w:rsidRPr="009B7B35" w:rsidRDefault="00BE36FB" w:rsidP="001A7107">
            <w:pPr>
              <w:pStyle w:val="TableText"/>
              <w:rPr>
                <w:rFonts w:cs="Arial"/>
              </w:rPr>
            </w:pPr>
            <w:r w:rsidRPr="009B7B35">
              <w:rPr>
                <w:rFonts w:cs="Arial"/>
              </w:rPr>
              <w:t>Use</w:t>
            </w:r>
          </w:p>
        </w:tc>
        <w:tc>
          <w:tcPr>
            <w:cnfStyle w:val="000010000000" w:firstRow="0" w:lastRow="0" w:firstColumn="0" w:lastColumn="0" w:oddVBand="1" w:evenVBand="0" w:oddHBand="0" w:evenHBand="0" w:firstRowFirstColumn="0" w:firstRowLastColumn="0" w:lastRowFirstColumn="0" w:lastRowLastColumn="0"/>
            <w:tcW w:w="3499" w:type="dxa"/>
          </w:tcPr>
          <w:p w14:paraId="3E9F3E07" w14:textId="77777777" w:rsidR="00BE36FB" w:rsidRPr="009B7B35" w:rsidRDefault="00BE36FB" w:rsidP="001A7107">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14:paraId="7E1B5DEB"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76F5805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3E7CF325" w14:textId="77777777" w:rsidR="00BE36FB" w:rsidRPr="009B7B35" w:rsidRDefault="00BE36FB" w:rsidP="001A7107">
            <w:pPr>
              <w:pStyle w:val="TableText"/>
              <w:rPr>
                <w:rFonts w:cs="Arial"/>
              </w:rPr>
            </w:pPr>
            <w:r w:rsidRPr="009B7B35">
              <w:rPr>
                <w:rFonts w:cs="Arial"/>
              </w:rPr>
              <w:t>Emergency services Substation</w:t>
            </w:r>
          </w:p>
          <w:p w14:paraId="5A88B7F8" w14:textId="77777777" w:rsidR="00BE36FB" w:rsidRPr="009B7B35" w:rsidRDefault="00BE36FB" w:rsidP="001A7107">
            <w:pPr>
              <w:pStyle w:val="TableText"/>
              <w:rPr>
                <w:rFonts w:cs="Arial"/>
              </w:rPr>
            </w:pPr>
            <w:r w:rsidRPr="009B7B35">
              <w:rPr>
                <w:rFonts w:cs="Arial"/>
              </w:rPr>
              <w:t>Utility installation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4A0683A7"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w:t>
            </w:r>
          </w:p>
        </w:tc>
      </w:tr>
      <w:tr w:rsidR="00BE36FB" w:rsidRPr="009B7B35" w14:paraId="5DE3A70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4349B8A3"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7E3D2B0A" w14:textId="77777777" w:rsidR="00BE36FB" w:rsidRPr="009B7B35" w:rsidRDefault="00BE36FB" w:rsidP="001A7107">
            <w:pPr>
              <w:pStyle w:val="TableText"/>
              <w:rPr>
                <w:rFonts w:cs="Arial"/>
              </w:rPr>
            </w:pPr>
            <w:r w:rsidRPr="009B7B35">
              <w:rPr>
                <w:rFonts w:cs="Arial"/>
              </w:rPr>
              <w:t xml:space="preserve">For a substation, if undertaken by an electrical entity. </w:t>
            </w:r>
          </w:p>
          <w:p w14:paraId="0BA91912" w14:textId="77777777" w:rsidR="00BE36FB" w:rsidRPr="009B7B35" w:rsidRDefault="00BE36FB" w:rsidP="001A7107">
            <w:pPr>
              <w:pStyle w:val="TableText"/>
              <w:rPr>
                <w:rFonts w:cs="Arial"/>
              </w:rPr>
            </w:pPr>
            <w:r w:rsidRPr="009B7B35">
              <w:rPr>
                <w:rFonts w:cs="Arial"/>
              </w:rPr>
              <w:t>Otherwise, where undertaken by a public sector entity.</w:t>
            </w:r>
          </w:p>
        </w:tc>
        <w:tc>
          <w:tcPr>
            <w:cnfStyle w:val="000100000000" w:firstRow="0" w:lastRow="0" w:firstColumn="0" w:lastColumn="1" w:oddVBand="0" w:evenVBand="0" w:oddHBand="0" w:evenHBand="0" w:firstRowFirstColumn="0" w:firstRowLastColumn="0" w:lastRowFirstColumn="0" w:lastRowLastColumn="0"/>
            <w:tcW w:w="3486" w:type="dxa"/>
          </w:tcPr>
          <w:p w14:paraId="71337385"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4A130BD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018CBA1A"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0ECC2E25"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370AD06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57BA50F8"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21C1270B" w14:textId="77777777" w:rsidR="00BE36FB" w:rsidRPr="009B7B35" w:rsidRDefault="00BE36FB" w:rsidP="001A7107">
            <w:pPr>
              <w:pStyle w:val="TableText"/>
              <w:rPr>
                <w:rFonts w:cs="Arial"/>
              </w:rPr>
            </w:pPr>
            <w:r w:rsidRPr="009B7B35">
              <w:rPr>
                <w:rFonts w:cs="Arial"/>
              </w:rPr>
              <w:t>If not undertaken by a public sector entity.</w:t>
            </w:r>
          </w:p>
          <w:p w14:paraId="0A038886" w14:textId="77777777" w:rsidR="00BE36FB" w:rsidRPr="009B7B35" w:rsidRDefault="00BE36FB" w:rsidP="001A7107">
            <w:pPr>
              <w:pStyle w:val="TableText"/>
              <w:rPr>
                <w:rFonts w:cs="Arial"/>
              </w:rPr>
            </w:pPr>
          </w:p>
          <w:p w14:paraId="449920A5"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86" w:type="dxa"/>
          </w:tcPr>
          <w:p w14:paraId="41863AF9" w14:textId="77777777" w:rsidR="00BE36FB" w:rsidRPr="009B7B35" w:rsidRDefault="00BE36FB" w:rsidP="001A7107">
            <w:pPr>
              <w:pStyle w:val="TableText"/>
              <w:rPr>
                <w:rFonts w:cs="Arial"/>
                <w:color w:val="auto"/>
              </w:rPr>
            </w:pPr>
            <w:r w:rsidRPr="009B7B35">
              <w:rPr>
                <w:rFonts w:cs="Arial"/>
                <w:color w:val="auto"/>
              </w:rPr>
              <w:t>Zone code:</w:t>
            </w:r>
          </w:p>
          <w:p w14:paraId="559144E9"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Limited development zone code</w:t>
            </w:r>
          </w:p>
          <w:p w14:paraId="410D9269" w14:textId="77777777" w:rsidR="00BE36FB" w:rsidRPr="009B7B35" w:rsidRDefault="00BE36FB" w:rsidP="001A7107">
            <w:pPr>
              <w:pStyle w:val="TableText"/>
              <w:rPr>
                <w:rFonts w:cs="Arial"/>
                <w:color w:val="auto"/>
              </w:rPr>
            </w:pPr>
            <w:r w:rsidRPr="009B7B35">
              <w:rPr>
                <w:rFonts w:cs="Arial"/>
                <w:color w:val="auto"/>
              </w:rPr>
              <w:t>Other development codes:</w:t>
            </w:r>
          </w:p>
          <w:p w14:paraId="40B691F9"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65690AF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34E9DC2E" w14:textId="77777777" w:rsidR="00BE36FB" w:rsidRPr="009B7B35" w:rsidRDefault="00BE36FB" w:rsidP="001A7107">
            <w:pPr>
              <w:pStyle w:val="TableText"/>
              <w:rPr>
                <w:rFonts w:cs="Arial"/>
              </w:rPr>
            </w:pPr>
            <w:r w:rsidRPr="009B7B35">
              <w:rPr>
                <w:rFonts w:cs="Arial"/>
              </w:rPr>
              <w:t>Landing*</w:t>
            </w:r>
          </w:p>
          <w:p w14:paraId="0AB0A59C" w14:textId="77777777" w:rsidR="00BE36FB" w:rsidRPr="009B7B35" w:rsidRDefault="00BE36FB" w:rsidP="001A7107">
            <w:pPr>
              <w:pStyle w:val="TableText"/>
              <w:rPr>
                <w:rFonts w:cs="Arial"/>
              </w:rPr>
            </w:pPr>
            <w:r w:rsidRPr="009B7B35">
              <w:rPr>
                <w:rFonts w:cs="Arial"/>
              </w:rPr>
              <w:t>Park</w:t>
            </w:r>
          </w:p>
          <w:p w14:paraId="35CDFD6E" w14:textId="77777777" w:rsidR="00BE36FB" w:rsidRPr="009B7B35" w:rsidRDefault="00BE36FB" w:rsidP="001A7107">
            <w:pPr>
              <w:pStyle w:val="Notes"/>
              <w:rPr>
                <w:rFonts w:cs="Arial"/>
                <w:sz w:val="20"/>
                <w:szCs w:val="20"/>
              </w:rPr>
            </w:pPr>
            <w:r w:rsidRPr="009B7B35">
              <w:rPr>
                <w:rFonts w:cs="Arial"/>
                <w:sz w:val="20"/>
                <w:szCs w:val="20"/>
              </w:rPr>
              <w:t>*Note—Assessment may be triggered through other legislation.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3A8041CC"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4085190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09D6C076"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0EA225B8" w14:textId="77777777" w:rsidR="00BE36FB" w:rsidRPr="009B7B35" w:rsidRDefault="00BE36FB" w:rsidP="001A7107">
            <w:pPr>
              <w:pStyle w:val="TableText"/>
              <w:rPr>
                <w:rFonts w:cs="Arial"/>
              </w:rPr>
            </w:pPr>
            <w:r w:rsidRPr="009B7B35">
              <w:rPr>
                <w:rFonts w:cs="Arial"/>
              </w:rPr>
              <w:t>Development approval is not required.</w:t>
            </w:r>
          </w:p>
        </w:tc>
        <w:tc>
          <w:tcPr>
            <w:cnfStyle w:val="000100000000" w:firstRow="0" w:lastRow="0" w:firstColumn="0" w:lastColumn="1" w:oddVBand="0" w:evenVBand="0" w:oddHBand="0" w:evenHBand="0" w:firstRowFirstColumn="0" w:firstRowLastColumn="0" w:lastRowFirstColumn="0" w:lastRowLastColumn="0"/>
            <w:tcW w:w="3486" w:type="dxa"/>
          </w:tcPr>
          <w:p w14:paraId="7D8DB5D1"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2FCF5BE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tcPr>
          <w:p w14:paraId="4D1EC098" w14:textId="77777777" w:rsidR="00BE36FB" w:rsidRPr="009B7B35" w:rsidRDefault="00BE36FB" w:rsidP="001A7107">
            <w:pPr>
              <w:pStyle w:val="Tableheading"/>
              <w:rPr>
                <w:rFonts w:ascii="Arial" w:hAnsi="Arial" w:cs="Arial"/>
                <w:szCs w:val="20"/>
              </w:rPr>
            </w:pPr>
            <w:r w:rsidRPr="009B7B35">
              <w:rPr>
                <w:rFonts w:ascii="Arial" w:hAnsi="Arial" w:cs="Arial"/>
                <w:szCs w:val="20"/>
              </w:rPr>
              <w:t>If in the Flood affected lands precinct</w:t>
            </w:r>
          </w:p>
        </w:tc>
      </w:tr>
      <w:tr w:rsidR="00BE36FB" w:rsidRPr="009B7B35" w14:paraId="18D93AE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4104F70B" w14:textId="77777777" w:rsidR="00BE36FB" w:rsidRPr="009B7B35" w:rsidRDefault="00BE36FB" w:rsidP="001A7107">
            <w:pPr>
              <w:pStyle w:val="TableText"/>
              <w:rPr>
                <w:rFonts w:cs="Arial"/>
              </w:rPr>
            </w:pPr>
            <w:r w:rsidRPr="009B7B35">
              <w:rPr>
                <w:rFonts w:cs="Arial"/>
              </w:rPr>
              <w:t>Dwelling house</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76864A31"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15FBF9A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60B5888E"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2F44AB38" w14:textId="77777777"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14:paraId="786951F1" w14:textId="77777777" w:rsidR="00BE36FB" w:rsidRPr="009B7B35" w:rsidRDefault="00BE36FB" w:rsidP="001A7107">
            <w:pPr>
              <w:pStyle w:val="TableText"/>
              <w:rPr>
                <w:rFonts w:cs="Arial"/>
                <w:color w:val="auto"/>
              </w:rPr>
            </w:pPr>
            <w:r w:rsidRPr="009B7B35">
              <w:rPr>
                <w:rFonts w:cs="Arial"/>
                <w:color w:val="auto"/>
              </w:rPr>
              <w:t>Zone code:</w:t>
            </w:r>
          </w:p>
          <w:p w14:paraId="7B797924"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Limited development zone code</w:t>
            </w:r>
          </w:p>
          <w:p w14:paraId="7E295E2C" w14:textId="77777777" w:rsidR="00BE36FB" w:rsidRPr="009B7B35" w:rsidRDefault="00BE36FB" w:rsidP="001A7107">
            <w:pPr>
              <w:pStyle w:val="TableText"/>
              <w:rPr>
                <w:rFonts w:cs="Arial"/>
                <w:color w:val="auto"/>
              </w:rPr>
            </w:pPr>
            <w:r w:rsidRPr="009B7B35">
              <w:rPr>
                <w:rFonts w:cs="Arial"/>
                <w:color w:val="auto"/>
              </w:rPr>
              <w:t>Other development codes:</w:t>
            </w:r>
          </w:p>
          <w:p w14:paraId="140EC72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6B94287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7EA5D34F" w14:textId="77777777" w:rsidR="00BE36FB" w:rsidRPr="009B7B35" w:rsidRDefault="00BE36FB" w:rsidP="001A7107">
            <w:pPr>
              <w:pStyle w:val="TableText"/>
              <w:rPr>
                <w:rFonts w:cs="Arial"/>
              </w:rPr>
            </w:pPr>
            <w:r w:rsidRPr="009B7B35">
              <w:rPr>
                <w:rFonts w:cs="Arial"/>
              </w:rPr>
              <w:t>Home based business</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3AA874C3"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6A18B3D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2DE05B75"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13215A45" w14:textId="77777777" w:rsidR="00BE36FB" w:rsidRPr="009B7B35" w:rsidRDefault="00BE36FB" w:rsidP="001A7107">
            <w:pPr>
              <w:pStyle w:val="TableText"/>
              <w:rPr>
                <w:rFonts w:cs="Arial"/>
              </w:rPr>
            </w:pPr>
            <w:r w:rsidRPr="009B7B35">
              <w:rPr>
                <w:rFonts w:cs="Arial"/>
              </w:rPr>
              <w:t>If complying with the relevant accepted development acceptable outcomes.</w:t>
            </w:r>
          </w:p>
        </w:tc>
        <w:tc>
          <w:tcPr>
            <w:cnfStyle w:val="000100000000" w:firstRow="0" w:lastRow="0" w:firstColumn="0" w:lastColumn="1" w:oddVBand="0" w:evenVBand="0" w:oddHBand="0" w:evenHBand="0" w:firstRowFirstColumn="0" w:firstRowLastColumn="0" w:lastRowFirstColumn="0" w:lastRowLastColumn="0"/>
            <w:tcW w:w="3486" w:type="dxa"/>
          </w:tcPr>
          <w:p w14:paraId="0190B67A" w14:textId="77777777" w:rsidR="00BE36FB" w:rsidRPr="009B7B35" w:rsidRDefault="00BE36FB" w:rsidP="001A7107">
            <w:pPr>
              <w:pStyle w:val="ListBullet"/>
              <w:numPr>
                <w:ilvl w:val="0"/>
                <w:numId w:val="0"/>
              </w:numPr>
              <w:ind w:left="284" w:hanging="266"/>
              <w:rPr>
                <w:rFonts w:cs="Arial"/>
                <w:color w:val="auto"/>
                <w:szCs w:val="20"/>
              </w:rPr>
            </w:pPr>
            <w:r w:rsidRPr="009B7B35">
              <w:rPr>
                <w:rFonts w:cs="Arial"/>
                <w:color w:val="auto"/>
                <w:szCs w:val="20"/>
              </w:rPr>
              <w:t>Use codes:</w:t>
            </w:r>
          </w:p>
          <w:p w14:paraId="27B51CA5"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Home based business code</w:t>
            </w:r>
          </w:p>
        </w:tc>
      </w:tr>
      <w:tr w:rsidR="00BE36FB" w:rsidRPr="009B7B35" w14:paraId="6B0F407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tcPr>
          <w:p w14:paraId="50B92D64" w14:textId="77777777" w:rsidR="00BE36FB" w:rsidRPr="009B7B35" w:rsidRDefault="00BE36FB" w:rsidP="001A7107">
            <w:pPr>
              <w:pStyle w:val="Tableheading"/>
              <w:rPr>
                <w:rFonts w:ascii="Arial" w:hAnsi="Arial" w:cs="Arial"/>
                <w:szCs w:val="20"/>
              </w:rPr>
            </w:pPr>
            <w:r w:rsidRPr="009B7B35">
              <w:rPr>
                <w:rFonts w:ascii="Arial" w:hAnsi="Arial" w:cs="Arial"/>
                <w:szCs w:val="20"/>
              </w:rPr>
              <w:t>If in the Major industry buffer precinct</w:t>
            </w:r>
          </w:p>
        </w:tc>
      </w:tr>
      <w:tr w:rsidR="00BE36FB" w:rsidRPr="009B7B35" w14:paraId="28A2FE2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4329586B" w14:textId="77777777" w:rsidR="00BE36FB" w:rsidRPr="009B7B35" w:rsidRDefault="00BE36FB" w:rsidP="001A7107">
            <w:pPr>
              <w:pStyle w:val="TableText"/>
              <w:rPr>
                <w:rFonts w:cs="Arial"/>
              </w:rPr>
            </w:pPr>
            <w:r w:rsidRPr="009B7B35">
              <w:rPr>
                <w:rFonts w:cs="Arial"/>
              </w:rPr>
              <w:t>Animal husbandry</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2431E175"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 xml:space="preserve">Accepted development </w:t>
            </w:r>
          </w:p>
        </w:tc>
      </w:tr>
      <w:tr w:rsidR="00BE36FB" w:rsidRPr="009B7B35" w14:paraId="2441B1C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0FFCDDEF"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72DAE367" w14:textId="77777777" w:rsidR="00BE36FB" w:rsidRPr="009B7B35" w:rsidRDefault="00BE36FB" w:rsidP="001A7107">
            <w:pPr>
              <w:pStyle w:val="TableText"/>
              <w:rPr>
                <w:rFonts w:cs="Arial"/>
              </w:rPr>
            </w:pPr>
            <w:r w:rsidRPr="009B7B35">
              <w:rPr>
                <w:rFonts w:cs="Arial"/>
              </w:rPr>
              <w:t>Development approval is not required.</w:t>
            </w:r>
          </w:p>
          <w:p w14:paraId="5252CE7E"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86" w:type="dxa"/>
          </w:tcPr>
          <w:p w14:paraId="4DC89D27" w14:textId="77777777" w:rsidR="00BE36FB" w:rsidRPr="009B7B35" w:rsidRDefault="00BE36FB" w:rsidP="001A7107">
            <w:pPr>
              <w:pStyle w:val="TableText"/>
              <w:rPr>
                <w:rFonts w:cs="Arial"/>
                <w:color w:val="auto"/>
              </w:rPr>
            </w:pPr>
            <w:r w:rsidRPr="009B7B35">
              <w:rPr>
                <w:rFonts w:cs="Arial"/>
                <w:color w:val="auto"/>
              </w:rPr>
              <w:t>Not applicable</w:t>
            </w:r>
          </w:p>
        </w:tc>
      </w:tr>
      <w:tr w:rsidR="00BE36FB" w:rsidRPr="009B7B35" w14:paraId="0E344EF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074E7D4F" w14:textId="77777777" w:rsidR="00BE36FB" w:rsidRPr="009B7B35" w:rsidRDefault="00BE36FB" w:rsidP="001A7107">
            <w:pPr>
              <w:pStyle w:val="TableText"/>
              <w:rPr>
                <w:rFonts w:cs="Arial"/>
              </w:rPr>
            </w:pPr>
            <w:r w:rsidRPr="009B7B35">
              <w:rPr>
                <w:rFonts w:cs="Arial"/>
              </w:rPr>
              <w:t>Caretakers accommodation</w:t>
            </w:r>
          </w:p>
          <w:p w14:paraId="6929FAE4" w14:textId="77777777" w:rsidR="00BE36FB" w:rsidRPr="009B7B35" w:rsidRDefault="00BE36FB" w:rsidP="001A7107">
            <w:pPr>
              <w:pStyle w:val="TableText"/>
              <w:rPr>
                <w:rFonts w:cs="Arial"/>
              </w:rPr>
            </w:pPr>
            <w:r w:rsidRPr="009B7B35">
              <w:rPr>
                <w:rFonts w:cs="Arial"/>
              </w:rPr>
              <w:t>Outdoor sport and recreation</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0A8AE9B4"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371B0EC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07C5685E"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3B419871" w14:textId="77777777" w:rsidR="00BE36FB" w:rsidRPr="009B7B35" w:rsidRDefault="00BE36FB" w:rsidP="001A7107">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14:paraId="5E820D07" w14:textId="77777777" w:rsidR="00BE36FB" w:rsidRPr="009B7B35" w:rsidRDefault="00BE36FB" w:rsidP="001A7107">
            <w:pPr>
              <w:pStyle w:val="TableText"/>
              <w:rPr>
                <w:rFonts w:cs="Arial"/>
                <w:color w:val="auto"/>
              </w:rPr>
            </w:pPr>
            <w:r w:rsidRPr="009B7B35">
              <w:rPr>
                <w:rFonts w:cs="Arial"/>
                <w:color w:val="auto"/>
              </w:rPr>
              <w:t>Zone code:</w:t>
            </w:r>
          </w:p>
          <w:p w14:paraId="3E3AA78D"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Limited development zone code</w:t>
            </w:r>
          </w:p>
          <w:p w14:paraId="6B3A962D" w14:textId="77777777" w:rsidR="00BE36FB" w:rsidRPr="009B7B35" w:rsidRDefault="00BE36FB" w:rsidP="001A7107">
            <w:pPr>
              <w:pStyle w:val="TableText"/>
              <w:rPr>
                <w:rFonts w:cs="Arial"/>
                <w:color w:val="auto"/>
              </w:rPr>
            </w:pPr>
            <w:r w:rsidRPr="009B7B35">
              <w:rPr>
                <w:rFonts w:cs="Arial"/>
                <w:color w:val="auto"/>
              </w:rPr>
              <w:t>Other development codes:</w:t>
            </w:r>
          </w:p>
          <w:p w14:paraId="41A020E7"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3564AA0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24124EAB" w14:textId="77777777" w:rsidR="00BE36FB" w:rsidRPr="009B7B35" w:rsidRDefault="00BE36FB" w:rsidP="001A7107">
            <w:pPr>
              <w:pStyle w:val="TableText"/>
              <w:rPr>
                <w:rFonts w:cs="Arial"/>
              </w:rPr>
            </w:pPr>
            <w:r w:rsidRPr="009B7B35">
              <w:rPr>
                <w:rFonts w:cs="Arial"/>
              </w:rPr>
              <w:t>Telecommunication facilities</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6D60CB50"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Accepted development subject to requirements</w:t>
            </w:r>
          </w:p>
        </w:tc>
      </w:tr>
      <w:tr w:rsidR="00BE36FB" w:rsidRPr="009B7B35" w14:paraId="0FC75A0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71DCCDCC" w14:textId="77777777" w:rsidR="00BE36FB" w:rsidRPr="009B7B35" w:rsidRDefault="00BE36FB" w:rsidP="001A7107">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3ED00ED5" w14:textId="77777777" w:rsidR="00BE36FB" w:rsidRPr="009B7B35" w:rsidRDefault="00BE36FB" w:rsidP="001A7107">
            <w:pPr>
              <w:pStyle w:val="TableText"/>
              <w:rPr>
                <w:rFonts w:cs="Arial"/>
              </w:rPr>
            </w:pPr>
            <w:r w:rsidRPr="009B7B35">
              <w:rPr>
                <w:rFonts w:cs="Arial"/>
              </w:rPr>
              <w:t>I If complying with the relevant accepted development acceptable outcomes.</w:t>
            </w:r>
          </w:p>
          <w:p w14:paraId="4ED5E7CE"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3486" w:type="dxa"/>
          </w:tcPr>
          <w:p w14:paraId="7F2AAF49" w14:textId="77777777" w:rsidR="00BE36FB" w:rsidRPr="009B7B35" w:rsidRDefault="00BE36FB" w:rsidP="001A7107">
            <w:pPr>
              <w:pStyle w:val="TableText"/>
              <w:rPr>
                <w:rFonts w:cs="Arial"/>
                <w:color w:val="auto"/>
              </w:rPr>
            </w:pPr>
            <w:r w:rsidRPr="009B7B35">
              <w:rPr>
                <w:rFonts w:cs="Arial"/>
                <w:color w:val="auto"/>
              </w:rPr>
              <w:t>Zone code:</w:t>
            </w:r>
          </w:p>
          <w:p w14:paraId="2393817A"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Limited development zone code</w:t>
            </w:r>
          </w:p>
          <w:p w14:paraId="6CDAE5D5" w14:textId="77777777" w:rsidR="00BE36FB" w:rsidRPr="009B7B35" w:rsidRDefault="00BE36FB" w:rsidP="001A7107">
            <w:pPr>
              <w:pStyle w:val="TableText"/>
              <w:rPr>
                <w:rFonts w:cs="Arial"/>
                <w:color w:val="auto"/>
              </w:rPr>
            </w:pPr>
            <w:r w:rsidRPr="009B7B35">
              <w:rPr>
                <w:rFonts w:cs="Arial"/>
                <w:color w:val="auto"/>
              </w:rPr>
              <w:t>Use code:</w:t>
            </w:r>
          </w:p>
          <w:p w14:paraId="24B00548"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Telecommunications facility code</w:t>
            </w:r>
          </w:p>
        </w:tc>
      </w:tr>
      <w:tr w:rsidR="00BE36FB" w:rsidRPr="009B7B35" w14:paraId="2D0BC37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5" w:type="dxa"/>
            <w:gridSpan w:val="3"/>
            <w:shd w:val="clear" w:color="auto" w:fill="BFBFBF" w:themeFill="background1" w:themeFillShade="BF"/>
          </w:tcPr>
          <w:p w14:paraId="6DD55ADD" w14:textId="77777777" w:rsidR="00BE36FB" w:rsidRPr="009B7B35" w:rsidRDefault="00BE36FB" w:rsidP="001A7107">
            <w:pPr>
              <w:pStyle w:val="Tableheading"/>
              <w:rPr>
                <w:rFonts w:ascii="Arial" w:hAnsi="Arial" w:cs="Arial"/>
                <w:szCs w:val="20"/>
              </w:rPr>
            </w:pPr>
            <w:r w:rsidRPr="009B7B35">
              <w:rPr>
                <w:rFonts w:ascii="Arial" w:hAnsi="Arial" w:cs="Arial"/>
                <w:szCs w:val="20"/>
              </w:rPr>
              <w:t>Impact assessment</w:t>
            </w:r>
          </w:p>
        </w:tc>
      </w:tr>
      <w:tr w:rsidR="00BE36FB" w:rsidRPr="009B7B35" w14:paraId="01800240"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9" w:type="dxa"/>
            <w:gridSpan w:val="2"/>
          </w:tcPr>
          <w:p w14:paraId="3755F3A9" w14:textId="77777777" w:rsidR="00BE36FB" w:rsidRPr="009B7B35" w:rsidRDefault="00BE36FB" w:rsidP="001A7107">
            <w:pPr>
              <w:pStyle w:val="TableText"/>
              <w:rPr>
                <w:rFonts w:cs="Arial"/>
                <w:color w:val="auto"/>
              </w:rPr>
            </w:pPr>
            <w:r w:rsidRPr="009B7B35">
              <w:rPr>
                <w:rFonts w:cs="Arial"/>
                <w:color w:val="auto"/>
              </w:rPr>
              <w:t>Any other use not listed in this table.</w:t>
            </w:r>
          </w:p>
          <w:p w14:paraId="77716EE9" w14:textId="77777777" w:rsidR="00BE36FB" w:rsidRPr="009B7B35" w:rsidRDefault="00BE36FB" w:rsidP="001A7107">
            <w:pPr>
              <w:pStyle w:val="TableText"/>
              <w:rPr>
                <w:rFonts w:cs="Arial"/>
                <w:color w:val="auto"/>
              </w:rPr>
            </w:pPr>
            <w:r w:rsidRPr="009B7B35">
              <w:rPr>
                <w:rFonts w:cs="Arial"/>
                <w:color w:val="auto"/>
                <w:lang w:val="en-GB"/>
              </w:rPr>
              <w:t>Any use listed in the table as Code Assessment and not complying with the criteria in the ‘Categories of development and assessment’ column.</w:t>
            </w:r>
          </w:p>
          <w:p w14:paraId="55B8DCA6" w14:textId="77777777" w:rsidR="00BE36FB" w:rsidRPr="009B7B35" w:rsidRDefault="00BE36FB" w:rsidP="001A7107">
            <w:pPr>
              <w:pStyle w:val="TableText"/>
              <w:rPr>
                <w:rFonts w:cs="Arial"/>
                <w:color w:val="auto"/>
              </w:rPr>
            </w:pPr>
            <w:r w:rsidRPr="009B7B35">
              <w:rPr>
                <w:rFonts w:cs="Arial"/>
                <w:color w:val="auto"/>
              </w:rPr>
              <w:t>Any other undefined use.</w:t>
            </w:r>
          </w:p>
        </w:tc>
        <w:tc>
          <w:tcPr>
            <w:cnfStyle w:val="000100000000" w:firstRow="0" w:lastRow="0" w:firstColumn="0" w:lastColumn="1" w:oddVBand="0" w:evenVBand="0" w:oddHBand="0" w:evenHBand="0" w:firstRowFirstColumn="0" w:firstRowLastColumn="0" w:lastRowFirstColumn="0" w:lastRowLastColumn="0"/>
            <w:tcW w:w="3486" w:type="dxa"/>
          </w:tcPr>
          <w:p w14:paraId="2FF5BDD3" w14:textId="77777777" w:rsidR="00BE36FB" w:rsidRPr="009B7B35" w:rsidRDefault="00BE36FB" w:rsidP="001A7107">
            <w:pPr>
              <w:pStyle w:val="TableText"/>
              <w:rPr>
                <w:rFonts w:cs="Arial"/>
                <w:color w:val="auto"/>
              </w:rPr>
            </w:pPr>
            <w:r w:rsidRPr="009B7B35">
              <w:rPr>
                <w:rFonts w:cs="Arial"/>
                <w:color w:val="auto"/>
              </w:rPr>
              <w:t>The planning scheme</w:t>
            </w:r>
          </w:p>
        </w:tc>
      </w:tr>
    </w:tbl>
    <w:p w14:paraId="26E30660" w14:textId="77777777" w:rsidR="00BE36FB" w:rsidRPr="009B7B35" w:rsidRDefault="00BE36FB" w:rsidP="001A7107">
      <w:pPr>
        <w:pStyle w:val="Notes"/>
        <w:rPr>
          <w:rFonts w:cs="Arial"/>
          <w:sz w:val="20"/>
          <w:szCs w:val="20"/>
        </w:rPr>
      </w:pPr>
      <w:r w:rsidRPr="009B7B35">
        <w:rPr>
          <w:rFonts w:cs="Arial"/>
          <w:sz w:val="20"/>
          <w:szCs w:val="20"/>
        </w:rPr>
        <w:t>Editor's note - The above categories of development and assessment apply unless otherwise prescribed in the Regulation.</w:t>
      </w:r>
    </w:p>
    <w:p w14:paraId="6E786265" w14:textId="77777777" w:rsidR="00BE36FB" w:rsidRPr="009B7B35" w:rsidRDefault="00BE36FB" w:rsidP="00F92EA6">
      <w:pPr>
        <w:pStyle w:val="Heading2"/>
        <w:numPr>
          <w:ilvl w:val="1"/>
          <w:numId w:val="883"/>
        </w:numPr>
        <w:ind w:left="567" w:hanging="567"/>
        <w:rPr>
          <w:rFonts w:ascii="Arial" w:hAnsi="Arial"/>
          <w:sz w:val="20"/>
          <w:szCs w:val="20"/>
        </w:rPr>
      </w:pPr>
      <w:bookmarkStart w:id="171" w:name="_Toc205367338"/>
      <w:r w:rsidRPr="009B7B35">
        <w:rPr>
          <w:rFonts w:ascii="Arial" w:hAnsi="Arial"/>
          <w:sz w:val="20"/>
          <w:szCs w:val="20"/>
        </w:rPr>
        <w:t>Categories of development and assessment—Reconfiguring a lot</w:t>
      </w:r>
      <w:bookmarkEnd w:id="171"/>
    </w:p>
    <w:p w14:paraId="1B63BA03" w14:textId="77777777" w:rsidR="00BE36FB" w:rsidRPr="009B7B35" w:rsidRDefault="00BE36FB" w:rsidP="001A7107">
      <w:pPr>
        <w:rPr>
          <w:rFonts w:ascii="Arial" w:hAnsi="Arial" w:cs="Arial"/>
          <w:sz w:val="20"/>
          <w:szCs w:val="20"/>
        </w:rPr>
      </w:pPr>
      <w:r w:rsidRPr="009B7B35">
        <w:rPr>
          <w:rFonts w:ascii="Arial" w:hAnsi="Arial" w:cs="Arial"/>
          <w:sz w:val="20"/>
          <w:szCs w:val="20"/>
        </w:rPr>
        <w:t>The following table identifies the categories of development and assessment for reconfiguring a lot.</w:t>
      </w:r>
    </w:p>
    <w:p w14:paraId="5BE3C3F4" w14:textId="77777777" w:rsidR="00BE36FB" w:rsidRPr="009B7B35" w:rsidRDefault="00BE36FB" w:rsidP="001A7107">
      <w:pPr>
        <w:pStyle w:val="Heading5"/>
        <w:numPr>
          <w:ilvl w:val="0"/>
          <w:numId w:val="0"/>
        </w:numPr>
        <w:rPr>
          <w:rFonts w:cs="Arial"/>
          <w:szCs w:val="20"/>
        </w:rPr>
      </w:pPr>
      <w:r w:rsidRPr="009B7B35">
        <w:rPr>
          <w:rFonts w:cs="Arial"/>
          <w:szCs w:val="20"/>
        </w:rPr>
        <w:t>Table 5.6.1—Reconfiguring a lot</w:t>
      </w:r>
    </w:p>
    <w:tbl>
      <w:tblPr>
        <w:tblStyle w:val="Tablestyle"/>
        <w:tblW w:w="0" w:type="auto"/>
        <w:tblLook w:val="01E0" w:firstRow="1" w:lastRow="1" w:firstColumn="1" w:lastColumn="1" w:noHBand="0" w:noVBand="0"/>
      </w:tblPr>
      <w:tblGrid>
        <w:gridCol w:w="2187"/>
        <w:gridCol w:w="3079"/>
        <w:gridCol w:w="3097"/>
      </w:tblGrid>
      <w:tr w:rsidR="00BE36FB" w:rsidRPr="009B7B35" w14:paraId="26A0342A" w14:textId="77777777"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80" w:type="dxa"/>
          </w:tcPr>
          <w:p w14:paraId="4BE150B1" w14:textId="77777777" w:rsidR="00BE36FB" w:rsidRPr="009B7B35" w:rsidRDefault="00BE36FB">
            <w:pPr>
              <w:pStyle w:val="TableText"/>
              <w:rPr>
                <w:rFonts w:cs="Arial"/>
              </w:rPr>
            </w:pPr>
            <w:r w:rsidRPr="009B7B35">
              <w:rPr>
                <w:rFonts w:cs="Arial"/>
              </w:rPr>
              <w:t>Zone</w:t>
            </w:r>
          </w:p>
        </w:tc>
        <w:tc>
          <w:tcPr>
            <w:cnfStyle w:val="000010000000" w:firstRow="0" w:lastRow="0" w:firstColumn="0" w:lastColumn="0" w:oddVBand="1" w:evenVBand="0" w:oddHBand="0" w:evenHBand="0" w:firstRowFirstColumn="0" w:firstRowLastColumn="0" w:lastRowFirstColumn="0" w:lastRowLastColumn="0"/>
            <w:tcW w:w="3499" w:type="dxa"/>
          </w:tcPr>
          <w:p w14:paraId="1DE1631B" w14:textId="77777777" w:rsidR="00BE36FB" w:rsidRPr="009B7B35" w:rsidRDefault="00BE36FB">
            <w:pPr>
              <w:pStyle w:val="TableText"/>
              <w:rPr>
                <w:rFonts w:cs="Arial"/>
              </w:rPr>
            </w:pPr>
            <w:r w:rsidRPr="009B7B35">
              <w:rPr>
                <w:rFonts w:cs="Arial"/>
              </w:rPr>
              <w:t>Categories of development and  assessment</w:t>
            </w:r>
          </w:p>
        </w:tc>
        <w:tc>
          <w:tcPr>
            <w:cnfStyle w:val="000100000000" w:firstRow="0" w:lastRow="0" w:firstColumn="0" w:lastColumn="1" w:oddVBand="0" w:evenVBand="0" w:oddHBand="0" w:evenHBand="0" w:firstRowFirstColumn="0" w:firstRowLastColumn="0" w:lastRowFirstColumn="0" w:lastRowLastColumn="0"/>
            <w:tcW w:w="3486" w:type="dxa"/>
          </w:tcPr>
          <w:p w14:paraId="6AA3BD40" w14:textId="77777777" w:rsidR="00BE36FB" w:rsidRPr="009B7B35" w:rsidRDefault="00BE36FB">
            <w:pPr>
              <w:pStyle w:val="TableText"/>
              <w:rPr>
                <w:rFonts w:cs="Arial"/>
              </w:rPr>
            </w:pPr>
            <w:r w:rsidRPr="009B7B35">
              <w:rPr>
                <w:rFonts w:cs="Arial"/>
              </w:rPr>
              <w:t>Assessment benchmarks for assessable development and requirements for accepted development</w:t>
            </w:r>
          </w:p>
        </w:tc>
      </w:tr>
      <w:tr w:rsidR="00BE36FB" w:rsidRPr="009B7B35" w14:paraId="62F49A0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6AFE0905" w14:textId="77777777" w:rsidR="00BE36FB" w:rsidRPr="009B7B35" w:rsidRDefault="00BE36FB">
            <w:pPr>
              <w:pStyle w:val="TableText"/>
              <w:rPr>
                <w:rFonts w:cs="Arial"/>
              </w:rPr>
            </w:pPr>
            <w:r w:rsidRPr="009B7B35">
              <w:rPr>
                <w:rFonts w:cs="Arial"/>
              </w:rPr>
              <w:t>Centre</w:t>
            </w:r>
          </w:p>
          <w:p w14:paraId="2EACF5E2" w14:textId="77777777" w:rsidR="00BE36FB" w:rsidRPr="009B7B35" w:rsidRDefault="00BE36FB">
            <w:pPr>
              <w:pStyle w:val="TableText"/>
              <w:rPr>
                <w:rFonts w:cs="Arial"/>
              </w:rPr>
            </w:pPr>
            <w:r w:rsidRPr="009B7B35">
              <w:rPr>
                <w:rFonts w:cs="Arial"/>
              </w:rPr>
              <w:t>Community facilities</w:t>
            </w:r>
          </w:p>
          <w:p w14:paraId="3C61BCB0" w14:textId="77777777" w:rsidR="00BE36FB" w:rsidRPr="009B7B35" w:rsidRDefault="00BE36FB">
            <w:pPr>
              <w:pStyle w:val="TableText"/>
              <w:rPr>
                <w:rFonts w:cs="Arial"/>
              </w:rPr>
            </w:pPr>
            <w:r w:rsidRPr="009B7B35">
              <w:rPr>
                <w:rFonts w:cs="Arial"/>
              </w:rPr>
              <w:t>Conservation</w:t>
            </w:r>
          </w:p>
          <w:p w14:paraId="0C9080C3" w14:textId="77777777" w:rsidR="00BE36FB" w:rsidRPr="009B7B35" w:rsidRDefault="00BE36FB">
            <w:pPr>
              <w:pStyle w:val="TableText"/>
              <w:rPr>
                <w:rFonts w:cs="Arial"/>
              </w:rPr>
            </w:pPr>
            <w:r w:rsidRPr="009B7B35">
              <w:rPr>
                <w:rFonts w:cs="Arial"/>
              </w:rPr>
              <w:t>Industry investigation</w:t>
            </w:r>
          </w:p>
          <w:p w14:paraId="1EA85DA2" w14:textId="77777777" w:rsidR="00BE36FB" w:rsidRPr="009B7B35" w:rsidRDefault="00BE36FB">
            <w:pPr>
              <w:pStyle w:val="TableText"/>
              <w:rPr>
                <w:rFonts w:cs="Arial"/>
              </w:rPr>
            </w:pPr>
            <w:r w:rsidRPr="009B7B35">
              <w:rPr>
                <w:rFonts w:cs="Arial"/>
              </w:rPr>
              <w:t>Limited development</w:t>
            </w:r>
          </w:p>
          <w:p w14:paraId="3C1CCA72" w14:textId="77777777" w:rsidR="00BE36FB" w:rsidRPr="009B7B35" w:rsidRDefault="00BE36FB">
            <w:pPr>
              <w:pStyle w:val="TableText"/>
              <w:rPr>
                <w:rFonts w:cs="Arial"/>
              </w:rPr>
            </w:pPr>
            <w:r w:rsidRPr="009B7B35">
              <w:rPr>
                <w:rFonts w:cs="Arial"/>
              </w:rPr>
              <w:t>Low impact industry</w:t>
            </w:r>
          </w:p>
          <w:p w14:paraId="378F52E7" w14:textId="77777777" w:rsidR="00BE36FB" w:rsidRPr="009B7B35" w:rsidRDefault="00BE36FB">
            <w:pPr>
              <w:pStyle w:val="TableText"/>
              <w:rPr>
                <w:rFonts w:cs="Arial"/>
              </w:rPr>
            </w:pPr>
            <w:r w:rsidRPr="009B7B35">
              <w:rPr>
                <w:rFonts w:cs="Arial"/>
              </w:rPr>
              <w:t>Major tourism</w:t>
            </w:r>
          </w:p>
          <w:p w14:paraId="106C3971" w14:textId="77777777" w:rsidR="00BE36FB" w:rsidRPr="009B7B35" w:rsidRDefault="00BE36FB">
            <w:pPr>
              <w:pStyle w:val="TableText"/>
              <w:rPr>
                <w:rFonts w:cs="Arial"/>
              </w:rPr>
            </w:pPr>
            <w:r w:rsidRPr="009B7B35">
              <w:rPr>
                <w:rFonts w:cs="Arial"/>
              </w:rPr>
              <w:t>Medium impact industry</w:t>
            </w:r>
          </w:p>
          <w:p w14:paraId="22E46F81" w14:textId="77777777" w:rsidR="00BE36FB" w:rsidRPr="009B7B35" w:rsidRDefault="00BE36FB">
            <w:pPr>
              <w:pStyle w:val="TableText"/>
              <w:rPr>
                <w:rFonts w:cs="Arial"/>
              </w:rPr>
            </w:pPr>
            <w:r w:rsidRPr="009B7B35">
              <w:rPr>
                <w:rFonts w:cs="Arial"/>
              </w:rPr>
              <w:t xml:space="preserve">Minor tourism </w:t>
            </w:r>
          </w:p>
          <w:p w14:paraId="30967E55" w14:textId="77777777" w:rsidR="00BE36FB" w:rsidRPr="009B7B35" w:rsidRDefault="00BE36FB">
            <w:pPr>
              <w:pStyle w:val="TableText"/>
              <w:rPr>
                <w:rFonts w:cs="Arial"/>
              </w:rPr>
            </w:pPr>
            <w:r w:rsidRPr="009B7B35">
              <w:rPr>
                <w:rFonts w:cs="Arial"/>
              </w:rPr>
              <w:t>Mixed use</w:t>
            </w:r>
          </w:p>
          <w:p w14:paraId="18794DE3" w14:textId="77777777" w:rsidR="00BE36FB" w:rsidRPr="009B7B35" w:rsidRDefault="00BE36FB">
            <w:pPr>
              <w:pStyle w:val="TableText"/>
              <w:rPr>
                <w:rFonts w:cs="Arial"/>
              </w:rPr>
            </w:pPr>
            <w:r w:rsidRPr="009B7B35">
              <w:rPr>
                <w:rFonts w:cs="Arial"/>
              </w:rPr>
              <w:t>Neighbourhood centre</w:t>
            </w:r>
          </w:p>
          <w:p w14:paraId="00ADAA20" w14:textId="77777777" w:rsidR="00BE36FB" w:rsidRPr="009B7B35" w:rsidRDefault="00BE36FB">
            <w:pPr>
              <w:pStyle w:val="TableText"/>
              <w:rPr>
                <w:rFonts w:cs="Arial"/>
              </w:rPr>
            </w:pPr>
            <w:r w:rsidRPr="009B7B35">
              <w:rPr>
                <w:rFonts w:cs="Arial"/>
              </w:rPr>
              <w:t>Open space</w:t>
            </w:r>
          </w:p>
          <w:p w14:paraId="21644AFE" w14:textId="77777777" w:rsidR="00BE36FB" w:rsidRPr="009B7B35" w:rsidRDefault="00BE36FB">
            <w:pPr>
              <w:pStyle w:val="TableText"/>
              <w:rPr>
                <w:rFonts w:cs="Arial"/>
              </w:rPr>
            </w:pPr>
            <w:r w:rsidRPr="009B7B35">
              <w:rPr>
                <w:rFonts w:cs="Arial"/>
              </w:rPr>
              <w:t>Principal centre</w:t>
            </w:r>
          </w:p>
          <w:p w14:paraId="1F9DC30D" w14:textId="77777777" w:rsidR="00BE36FB" w:rsidRPr="009B7B35" w:rsidRDefault="00BE36FB">
            <w:pPr>
              <w:pStyle w:val="TableText"/>
              <w:rPr>
                <w:rFonts w:cs="Arial"/>
              </w:rPr>
            </w:pPr>
            <w:r w:rsidRPr="009B7B35">
              <w:rPr>
                <w:rFonts w:cs="Arial"/>
              </w:rPr>
              <w:t>Specialised centre</w:t>
            </w:r>
          </w:p>
          <w:p w14:paraId="0250815C" w14:textId="77777777" w:rsidR="00BE36FB" w:rsidRPr="009B7B35" w:rsidRDefault="00BE36FB">
            <w:pPr>
              <w:pStyle w:val="TableText"/>
              <w:rPr>
                <w:rFonts w:cs="Arial"/>
              </w:rPr>
            </w:pPr>
            <w:r w:rsidRPr="009B7B35">
              <w:rPr>
                <w:rFonts w:cs="Arial"/>
              </w:rPr>
              <w:t>Special industry</w:t>
            </w:r>
          </w:p>
          <w:p w14:paraId="657F6805" w14:textId="77777777" w:rsidR="00BE36FB" w:rsidRPr="009B7B35" w:rsidRDefault="00BE36FB">
            <w:pPr>
              <w:pStyle w:val="TableText"/>
              <w:rPr>
                <w:rFonts w:cs="Arial"/>
              </w:rPr>
            </w:pPr>
            <w:r w:rsidRPr="009B7B35">
              <w:rPr>
                <w:rFonts w:cs="Arial"/>
              </w:rPr>
              <w:t>Special purpose</w:t>
            </w:r>
          </w:p>
          <w:p w14:paraId="63C675D9" w14:textId="77777777" w:rsidR="00BE36FB" w:rsidRPr="009B7B35" w:rsidRDefault="00BE36FB">
            <w:pPr>
              <w:pStyle w:val="TableText"/>
              <w:rPr>
                <w:rFonts w:cs="Arial"/>
              </w:rPr>
            </w:pPr>
            <w:r w:rsidRPr="009B7B35">
              <w:rPr>
                <w:rFonts w:cs="Arial"/>
              </w:rPr>
              <w:t>Sport and recreation</w:t>
            </w:r>
          </w:p>
          <w:p w14:paraId="4FA3FFD1" w14:textId="77777777" w:rsidR="00BE36FB" w:rsidRPr="009B7B35" w:rsidRDefault="00BE36FB">
            <w:pPr>
              <w:pStyle w:val="TableText"/>
              <w:rPr>
                <w:rFonts w:cs="Arial"/>
              </w:rPr>
            </w:pPr>
            <w:r w:rsidRPr="009B7B35">
              <w:rPr>
                <w:rFonts w:cs="Arial"/>
              </w:rPr>
              <w:t>Township</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6199C3AC" w14:textId="77777777" w:rsidR="00BE36FB" w:rsidRPr="009B7B35" w:rsidRDefault="00BE36FB">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7B37276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5CC560F2" w14:textId="77777777"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1B25076C" w14:textId="77777777" w:rsidR="00BE36FB" w:rsidRPr="009B7B35" w:rsidRDefault="00BE36FB">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14:paraId="769A7619"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The relevant zone code</w:t>
            </w:r>
          </w:p>
          <w:p w14:paraId="1EB1A24F"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p w14:paraId="1FAC62A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3352669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1ECF5D8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0DEF146D" w14:textId="77777777" w:rsidR="00BE36FB" w:rsidRPr="009B7B35" w:rsidRDefault="00BE36FB">
            <w:pPr>
              <w:pStyle w:val="TableText"/>
              <w:rPr>
                <w:rFonts w:cs="Arial"/>
              </w:rPr>
            </w:pPr>
            <w:r w:rsidRPr="009B7B35">
              <w:rPr>
                <w:rFonts w:cs="Arial"/>
              </w:rPr>
              <w:t>Character residential</w:t>
            </w:r>
          </w:p>
          <w:p w14:paraId="27EF5F0F" w14:textId="77777777" w:rsidR="00BE36FB" w:rsidRPr="009B7B35" w:rsidRDefault="00BE36FB">
            <w:pPr>
              <w:pStyle w:val="TableText"/>
              <w:rPr>
                <w:rFonts w:cs="Arial"/>
              </w:rPr>
            </w:pPr>
            <w:r w:rsidRPr="009B7B35">
              <w:rPr>
                <w:rFonts w:cs="Arial"/>
              </w:rPr>
              <w:t>Environmental management</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251E848A" w14:textId="77777777" w:rsidR="00BE36FB" w:rsidRPr="009B7B35" w:rsidRDefault="00BE36FB">
            <w:pPr>
              <w:pStyle w:val="Tableheading"/>
              <w:rPr>
                <w:rFonts w:ascii="Arial" w:hAnsi="Arial" w:cs="Arial"/>
                <w:color w:val="auto"/>
                <w:szCs w:val="20"/>
              </w:rPr>
            </w:pPr>
            <w:r w:rsidRPr="009B7B35">
              <w:rPr>
                <w:rFonts w:ascii="Arial" w:hAnsi="Arial" w:cs="Arial"/>
                <w:color w:val="auto"/>
                <w:szCs w:val="20"/>
              </w:rPr>
              <w:t>Impact assessment</w:t>
            </w:r>
          </w:p>
        </w:tc>
      </w:tr>
      <w:tr w:rsidR="00BE36FB" w:rsidRPr="009B7B35" w14:paraId="6444B4DA"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1444C5A3" w14:textId="77777777"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2D5EC8C5" w14:textId="77777777" w:rsidR="00BE36FB" w:rsidRPr="009B7B35" w:rsidRDefault="00BE36FB">
            <w:pPr>
              <w:pStyle w:val="TableText"/>
              <w:rPr>
                <w:rFonts w:cs="Arial"/>
              </w:rPr>
            </w:pPr>
            <w:r w:rsidRPr="009B7B35">
              <w:rPr>
                <w:rFonts w:cs="Arial"/>
              </w:rPr>
              <w:t>In all circumstances</w:t>
            </w:r>
          </w:p>
        </w:tc>
        <w:tc>
          <w:tcPr>
            <w:cnfStyle w:val="000100000000" w:firstRow="0" w:lastRow="0" w:firstColumn="0" w:lastColumn="1" w:oddVBand="0" w:evenVBand="0" w:oddHBand="0" w:evenHBand="0" w:firstRowFirstColumn="0" w:firstRowLastColumn="0" w:lastRowFirstColumn="0" w:lastRowLastColumn="0"/>
            <w:tcW w:w="3486" w:type="dxa"/>
          </w:tcPr>
          <w:p w14:paraId="2848FD24" w14:textId="77777777" w:rsidR="00BE36FB" w:rsidRPr="009B7B35" w:rsidRDefault="00BE36FB">
            <w:pPr>
              <w:pStyle w:val="TableText"/>
              <w:rPr>
                <w:rFonts w:cs="Arial"/>
                <w:color w:val="auto"/>
              </w:rPr>
            </w:pPr>
            <w:r w:rsidRPr="009B7B35">
              <w:rPr>
                <w:rFonts w:cs="Arial"/>
                <w:color w:val="auto"/>
              </w:rPr>
              <w:t>The planning scheme including:</w:t>
            </w:r>
          </w:p>
          <w:p w14:paraId="1324242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Character residential zone code</w:t>
            </w:r>
          </w:p>
          <w:p w14:paraId="6C8C7A8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tc>
      </w:tr>
      <w:tr w:rsidR="00BE36FB" w:rsidRPr="009B7B35" w14:paraId="3A2CD622"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3ADAF121" w14:textId="77777777" w:rsidR="00BE36FB" w:rsidRPr="009B7B35" w:rsidRDefault="00BE36FB">
            <w:pPr>
              <w:pStyle w:val="TableText"/>
              <w:rPr>
                <w:rFonts w:cs="Arial"/>
              </w:rPr>
            </w:pPr>
            <w:r w:rsidRPr="009B7B35">
              <w:rPr>
                <w:rFonts w:cs="Arial"/>
              </w:rPr>
              <w:t>Emerging community</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7C6141F9" w14:textId="77777777" w:rsidR="00BE36FB" w:rsidRPr="009B7B35" w:rsidRDefault="00BE36FB">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510F203B"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651FA6BF" w14:textId="77777777"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0A4CE9C5" w14:textId="77777777" w:rsidR="00BE36FB" w:rsidRPr="009B7B35" w:rsidRDefault="00BE36FB">
            <w:pPr>
              <w:pStyle w:val="TableText"/>
              <w:rPr>
                <w:rFonts w:cs="Arial"/>
              </w:rPr>
            </w:pPr>
            <w:r w:rsidRPr="009B7B35">
              <w:rPr>
                <w:rFonts w:cs="Arial"/>
              </w:rPr>
              <w:t>If the size of all lots created are equal to, or greater than 50ha.</w:t>
            </w:r>
          </w:p>
        </w:tc>
        <w:tc>
          <w:tcPr>
            <w:cnfStyle w:val="000100000000" w:firstRow="0" w:lastRow="0" w:firstColumn="0" w:lastColumn="1" w:oddVBand="0" w:evenVBand="0" w:oddHBand="0" w:evenHBand="0" w:firstRowFirstColumn="0" w:firstRowLastColumn="0" w:lastRowFirstColumn="0" w:lastRowLastColumn="0"/>
            <w:tcW w:w="3486" w:type="dxa"/>
          </w:tcPr>
          <w:p w14:paraId="43B0F21F"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Emerging community zone code</w:t>
            </w:r>
          </w:p>
          <w:p w14:paraId="76457B0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p w14:paraId="628CDD35"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793E20EA"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4C545970" w14:textId="77777777" w:rsidR="00BE36FB" w:rsidRPr="009B7B35" w:rsidRDefault="00BE36FB">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5AF80E01"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Impact assessment</w:t>
            </w:r>
          </w:p>
        </w:tc>
      </w:tr>
      <w:tr w:rsidR="00BE36FB" w:rsidRPr="009B7B35" w14:paraId="190FA667"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5F81A811" w14:textId="77777777"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0C198625" w14:textId="77777777" w:rsidR="00BE36FB" w:rsidRPr="009B7B35" w:rsidRDefault="00BE36FB" w:rsidP="001A7107">
            <w:pPr>
              <w:pStyle w:val="TableText"/>
              <w:rPr>
                <w:rFonts w:cs="Arial"/>
              </w:rPr>
            </w:pPr>
            <w:r w:rsidRPr="009B7B35">
              <w:rPr>
                <w:rFonts w:cs="Arial"/>
              </w:rPr>
              <w:t>If the size of all lots created are less than 50ha.</w:t>
            </w:r>
          </w:p>
        </w:tc>
        <w:tc>
          <w:tcPr>
            <w:cnfStyle w:val="000100000000" w:firstRow="0" w:lastRow="0" w:firstColumn="0" w:lastColumn="1" w:oddVBand="0" w:evenVBand="0" w:oddHBand="0" w:evenHBand="0" w:firstRowFirstColumn="0" w:firstRowLastColumn="0" w:lastRowFirstColumn="0" w:lastRowLastColumn="0"/>
            <w:tcW w:w="3486" w:type="dxa"/>
          </w:tcPr>
          <w:p w14:paraId="4A3BF77B" w14:textId="77777777" w:rsidR="00BE36FB" w:rsidRPr="009B7B35" w:rsidRDefault="00BE36FB" w:rsidP="001A7107">
            <w:pPr>
              <w:pStyle w:val="ListBullet"/>
              <w:numPr>
                <w:ilvl w:val="0"/>
                <w:numId w:val="0"/>
              </w:numPr>
              <w:tabs>
                <w:tab w:val="clear" w:pos="284"/>
                <w:tab w:val="left" w:pos="18"/>
              </w:tabs>
              <w:ind w:left="284" w:hanging="266"/>
              <w:rPr>
                <w:rFonts w:cs="Arial"/>
                <w:color w:val="auto"/>
                <w:szCs w:val="20"/>
              </w:rPr>
            </w:pPr>
            <w:r w:rsidRPr="009B7B35">
              <w:rPr>
                <w:rFonts w:cs="Arial"/>
                <w:color w:val="auto"/>
                <w:szCs w:val="20"/>
              </w:rPr>
              <w:t>The planning scheme including:</w:t>
            </w:r>
          </w:p>
          <w:p w14:paraId="799212C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Emerging community zone code</w:t>
            </w:r>
          </w:p>
          <w:p w14:paraId="73E862F7" w14:textId="77777777" w:rsidR="00BE36FB" w:rsidRPr="009B7B35" w:rsidRDefault="00BE36FB" w:rsidP="00BE36FB">
            <w:pPr>
              <w:pStyle w:val="ListBullet"/>
              <w:tabs>
                <w:tab w:val="clear" w:pos="284"/>
                <w:tab w:val="left" w:pos="301"/>
              </w:tabs>
              <w:ind w:left="360" w:hanging="360"/>
              <w:rPr>
                <w:rFonts w:cs="Arial"/>
                <w:color w:val="auto"/>
                <w:szCs w:val="20"/>
              </w:rPr>
            </w:pPr>
            <w:r w:rsidRPr="009B7B35">
              <w:rPr>
                <w:rFonts w:cs="Arial"/>
                <w:color w:val="auto"/>
                <w:szCs w:val="20"/>
              </w:rPr>
              <w:t>Reconfiguring a lot code</w:t>
            </w:r>
          </w:p>
          <w:p w14:paraId="3529A0E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6FA75EC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086F6C07" w14:textId="77777777" w:rsidR="00BE36FB" w:rsidRPr="009B7B35" w:rsidRDefault="00BE36FB">
            <w:pPr>
              <w:pStyle w:val="TableText"/>
              <w:rPr>
                <w:rFonts w:cs="Arial"/>
              </w:rPr>
            </w:pPr>
            <w:r w:rsidRPr="009B7B35">
              <w:rPr>
                <w:rFonts w:cs="Arial"/>
              </w:rPr>
              <w:t>Low density residential zone</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358FFB45" w14:textId="77777777" w:rsidR="00BE36FB" w:rsidRPr="009B7B35" w:rsidRDefault="00BE36FB">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4117054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02EBFAE6" w14:textId="77777777"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3204EDBF" w14:textId="77777777" w:rsidR="00BE36FB" w:rsidRPr="009B7B35" w:rsidRDefault="00BE36FB">
            <w:pPr>
              <w:pStyle w:val="TableText"/>
              <w:rPr>
                <w:rFonts w:cs="Arial"/>
              </w:rPr>
            </w:pPr>
            <w:r w:rsidRPr="009B7B35">
              <w:rPr>
                <w:rFonts w:cs="Arial"/>
              </w:rPr>
              <w:t>If the size of all lots created are:</w:t>
            </w:r>
          </w:p>
          <w:p w14:paraId="022187F8" w14:textId="77777777" w:rsidR="00BE36FB" w:rsidRPr="009B7B35" w:rsidRDefault="00BE36FB" w:rsidP="00BE36FB">
            <w:pPr>
              <w:pStyle w:val="TableText"/>
              <w:numPr>
                <w:ilvl w:val="0"/>
                <w:numId w:val="94"/>
              </w:numPr>
              <w:rPr>
                <w:rFonts w:cs="Arial"/>
              </w:rPr>
            </w:pPr>
            <w:r w:rsidRPr="009B7B35">
              <w:rPr>
                <w:rFonts w:cs="Arial"/>
              </w:rPr>
              <w:t>equal to or greater than 800m</w:t>
            </w:r>
            <w:r w:rsidRPr="009B7B35">
              <w:rPr>
                <w:rStyle w:val="StyleSuperscript"/>
                <w:rFonts w:cs="Arial"/>
              </w:rPr>
              <w:t>2</w:t>
            </w:r>
            <w:r w:rsidRPr="009B7B35">
              <w:rPr>
                <w:rFonts w:cs="Arial"/>
              </w:rPr>
              <w:t xml:space="preserve"> if in the Calliope neighbourhood precinct, or</w:t>
            </w:r>
          </w:p>
          <w:p w14:paraId="5B69D576" w14:textId="77777777" w:rsidR="00BE36FB" w:rsidRPr="009B7B35" w:rsidRDefault="00BE36FB" w:rsidP="00BE36FB">
            <w:pPr>
              <w:pStyle w:val="TableText"/>
              <w:numPr>
                <w:ilvl w:val="0"/>
                <w:numId w:val="94"/>
              </w:numPr>
              <w:rPr>
                <w:rFonts w:cs="Arial"/>
              </w:rPr>
            </w:pPr>
            <w:r w:rsidRPr="009B7B35">
              <w:rPr>
                <w:rFonts w:cs="Arial"/>
              </w:rPr>
              <w:t>equal to or greater than 600m</w:t>
            </w:r>
            <w:r w:rsidRPr="009B7B35">
              <w:rPr>
                <w:rStyle w:val="StyleSuperscript"/>
                <w:rFonts w:cs="Arial"/>
              </w:rPr>
              <w:t>2 elsewhere</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14:paraId="062EFBB2"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Low density residential zone code</w:t>
            </w:r>
          </w:p>
          <w:p w14:paraId="537A8E64"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p w14:paraId="1FB56B0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0DD8613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25FCC13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2B323D66" w14:textId="77777777" w:rsidR="00BE36FB" w:rsidRPr="009B7B35" w:rsidRDefault="00BE36FB">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416A4C45" w14:textId="77777777" w:rsidR="00BE36FB" w:rsidRPr="009B7B35" w:rsidRDefault="00BE36FB">
            <w:pPr>
              <w:pStyle w:val="Tableheading"/>
              <w:rPr>
                <w:rFonts w:ascii="Arial" w:hAnsi="Arial" w:cs="Arial"/>
                <w:color w:val="auto"/>
                <w:szCs w:val="20"/>
              </w:rPr>
            </w:pPr>
            <w:r w:rsidRPr="009B7B35">
              <w:rPr>
                <w:rFonts w:ascii="Arial" w:hAnsi="Arial" w:cs="Arial"/>
                <w:color w:val="auto"/>
                <w:szCs w:val="20"/>
              </w:rPr>
              <w:t>Impact assessment</w:t>
            </w:r>
          </w:p>
        </w:tc>
      </w:tr>
      <w:tr w:rsidR="00BE36FB" w:rsidRPr="009B7B35" w14:paraId="22A13B4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6C8D4620" w14:textId="77777777"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02C83017" w14:textId="77777777" w:rsidR="00BE36FB" w:rsidRPr="009B7B35" w:rsidRDefault="00BE36FB">
            <w:pPr>
              <w:pStyle w:val="TableText"/>
              <w:rPr>
                <w:rFonts w:cs="Arial"/>
              </w:rPr>
            </w:pPr>
            <w:r w:rsidRPr="009B7B35">
              <w:rPr>
                <w:rFonts w:cs="Arial"/>
              </w:rPr>
              <w:t>In all other circumstances.</w:t>
            </w:r>
          </w:p>
        </w:tc>
        <w:tc>
          <w:tcPr>
            <w:cnfStyle w:val="000100000000" w:firstRow="0" w:lastRow="0" w:firstColumn="0" w:lastColumn="1" w:oddVBand="0" w:evenVBand="0" w:oddHBand="0" w:evenHBand="0" w:firstRowFirstColumn="0" w:firstRowLastColumn="0" w:lastRowFirstColumn="0" w:lastRowLastColumn="0"/>
            <w:tcW w:w="3486" w:type="dxa"/>
          </w:tcPr>
          <w:p w14:paraId="54E99C93" w14:textId="77777777" w:rsidR="00BE36FB" w:rsidRPr="009B7B35" w:rsidRDefault="00BE36FB">
            <w:pPr>
              <w:pStyle w:val="TableText"/>
              <w:rPr>
                <w:rFonts w:cs="Arial"/>
                <w:color w:val="auto"/>
              </w:rPr>
            </w:pPr>
            <w:r w:rsidRPr="009B7B35">
              <w:rPr>
                <w:rFonts w:cs="Arial"/>
                <w:color w:val="auto"/>
              </w:rPr>
              <w:t>The planning scheme including:</w:t>
            </w:r>
          </w:p>
          <w:p w14:paraId="2128926A"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Low density residential zone code</w:t>
            </w:r>
          </w:p>
          <w:p w14:paraId="2C85C347"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tc>
      </w:tr>
      <w:tr w:rsidR="00BE36FB" w:rsidRPr="009B7B35" w14:paraId="23FB3A3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1E6D083D" w14:textId="77777777" w:rsidR="00BE36FB" w:rsidRPr="009B7B35" w:rsidRDefault="00BE36FB">
            <w:pPr>
              <w:pStyle w:val="TableText"/>
              <w:rPr>
                <w:rFonts w:cs="Arial"/>
              </w:rPr>
            </w:pPr>
            <w:r w:rsidRPr="009B7B35">
              <w:rPr>
                <w:rFonts w:cs="Arial"/>
              </w:rPr>
              <w:t>Low–medium density residential</w:t>
            </w:r>
          </w:p>
          <w:p w14:paraId="57E1CB06" w14:textId="77777777" w:rsidR="00BE36FB" w:rsidRPr="009B7B35" w:rsidRDefault="00BE36FB">
            <w:pPr>
              <w:pStyle w:val="TableText"/>
              <w:rPr>
                <w:rFonts w:cs="Arial"/>
              </w:rPr>
            </w:pPr>
            <w:r w:rsidRPr="009B7B35">
              <w:rPr>
                <w:rFonts w:cs="Arial"/>
              </w:rPr>
              <w:t>Medium density residential.</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0C368E3C" w14:textId="77777777" w:rsidR="00BE36FB" w:rsidRPr="009B7B35" w:rsidRDefault="00BE36FB">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0DCDB989"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77F5F09A" w14:textId="77777777"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311C37DC" w14:textId="77777777" w:rsidR="00BE36FB" w:rsidRPr="009B7B35" w:rsidRDefault="00BE36FB" w:rsidP="001A7107">
            <w:pPr>
              <w:pStyle w:val="TableText"/>
              <w:rPr>
                <w:rFonts w:cs="Arial"/>
              </w:rPr>
            </w:pPr>
            <w:r w:rsidRPr="009B7B35">
              <w:rPr>
                <w:rFonts w:cs="Arial"/>
              </w:rPr>
              <w:t>If not located within the Beaches Village Circuit Precinct and the size of all lots created are equal to, or greater than 400m</w:t>
            </w:r>
            <w:r w:rsidRPr="009B7B35">
              <w:rPr>
                <w:rStyle w:val="StyleSuperscript"/>
                <w:rFonts w:cs="Arial"/>
              </w:rPr>
              <w:t>2</w:t>
            </w:r>
            <w:r w:rsidRPr="009B7B35">
              <w:rPr>
                <w:rFonts w:cs="Arial"/>
              </w:rPr>
              <w:t>.</w:t>
            </w:r>
          </w:p>
          <w:p w14:paraId="2297CCC3" w14:textId="77777777" w:rsidR="00BE36FB" w:rsidRPr="009B7B35" w:rsidRDefault="00BE36FB" w:rsidP="001A7107">
            <w:pPr>
              <w:pStyle w:val="TableText"/>
              <w:rPr>
                <w:rFonts w:cs="Arial"/>
              </w:rPr>
            </w:pPr>
            <w:r w:rsidRPr="009B7B35">
              <w:rPr>
                <w:rFonts w:cs="Arial"/>
              </w:rPr>
              <w:t>Otherwise, where within the Beaches Village Circuit Precinct and the size of all lots created are equal to, or greater than 1,000m</w:t>
            </w:r>
            <w:r w:rsidRPr="009B7B35">
              <w:rPr>
                <w:rFonts w:cs="Arial"/>
                <w:vertAlign w:val="superscript"/>
              </w:rPr>
              <w:t>2</w:t>
            </w:r>
            <w:r w:rsidRPr="009B7B35">
              <w:rPr>
                <w:rFonts w:cs="Arial"/>
              </w:rPr>
              <w:t>.</w:t>
            </w:r>
          </w:p>
        </w:tc>
        <w:tc>
          <w:tcPr>
            <w:cnfStyle w:val="000100000000" w:firstRow="0" w:lastRow="0" w:firstColumn="0" w:lastColumn="1" w:oddVBand="0" w:evenVBand="0" w:oddHBand="0" w:evenHBand="0" w:firstRowFirstColumn="0" w:firstRowLastColumn="0" w:lastRowFirstColumn="0" w:lastRowLastColumn="0"/>
            <w:tcW w:w="3486" w:type="dxa"/>
          </w:tcPr>
          <w:p w14:paraId="34972683"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The relevant zone code</w:t>
            </w:r>
          </w:p>
          <w:p w14:paraId="25AD48F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p w14:paraId="03D5936A"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3384EEE6"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1112131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2853774A" w14:textId="77777777" w:rsidR="00BE36FB" w:rsidRPr="009B7B35" w:rsidRDefault="00BE36FB">
            <w:pPr>
              <w:pStyle w:val="TableText"/>
              <w:rPr>
                <w:rFonts w:cs="Arial"/>
              </w:rPr>
            </w:pPr>
            <w:r w:rsidRPr="009B7B35">
              <w:rPr>
                <w:rFonts w:cs="Arial"/>
              </w:rPr>
              <w:t>Rural</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25142667" w14:textId="77777777" w:rsidR="00BE36FB" w:rsidRPr="009B7B35" w:rsidRDefault="00BE36FB">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23CC777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7D7217E3" w14:textId="77777777"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1D0B5FD2" w14:textId="77777777" w:rsidR="00BE36FB" w:rsidRPr="009B7B35" w:rsidRDefault="00BE36FB">
            <w:pPr>
              <w:pStyle w:val="TableText"/>
              <w:rPr>
                <w:rFonts w:cs="Arial"/>
              </w:rPr>
            </w:pPr>
            <w:r w:rsidRPr="009B7B35">
              <w:rPr>
                <w:rFonts w:cs="Arial"/>
              </w:rPr>
              <w:t>Where creating additional lot(s) not on Agricultural Land Class A or Class B and the size of all lots created are equal to, or greater than 250ha.</w:t>
            </w:r>
          </w:p>
          <w:p w14:paraId="5867B49C" w14:textId="77777777" w:rsidR="00BE36FB" w:rsidRPr="009B7B35" w:rsidRDefault="00BE36FB">
            <w:pPr>
              <w:pStyle w:val="TableText"/>
              <w:rPr>
                <w:rFonts w:cs="Arial"/>
              </w:rPr>
            </w:pPr>
            <w:r w:rsidRPr="009B7B35">
              <w:rPr>
                <w:rFonts w:cs="Arial"/>
              </w:rPr>
              <w:t xml:space="preserve">Otherwise if for boundary realignment. </w:t>
            </w:r>
          </w:p>
        </w:tc>
        <w:tc>
          <w:tcPr>
            <w:cnfStyle w:val="000100000000" w:firstRow="0" w:lastRow="0" w:firstColumn="0" w:lastColumn="1" w:oddVBand="0" w:evenVBand="0" w:oddHBand="0" w:evenHBand="0" w:firstRowFirstColumn="0" w:firstRowLastColumn="0" w:lastRowFirstColumn="0" w:lastRowLastColumn="0"/>
            <w:tcW w:w="3486" w:type="dxa"/>
          </w:tcPr>
          <w:p w14:paraId="1D889CCA"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Rural zone code</w:t>
            </w:r>
          </w:p>
          <w:p w14:paraId="1CF3BC3D"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p w14:paraId="4D89353E"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3E26AF9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76111328" w14:textId="77777777" w:rsidR="00BE36FB" w:rsidRPr="009B7B35" w:rsidRDefault="00BE36FB">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0818E570"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Impact assessment</w:t>
            </w:r>
          </w:p>
        </w:tc>
      </w:tr>
      <w:tr w:rsidR="00BE36FB" w:rsidRPr="009B7B35" w14:paraId="1D6F1CF7" w14:textId="77777777" w:rsidTr="001A710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80" w:type="dxa"/>
            <w:vMerge/>
          </w:tcPr>
          <w:p w14:paraId="6D29F1CA" w14:textId="77777777"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7D2DC159" w14:textId="77777777" w:rsidR="00BE36FB" w:rsidRPr="009B7B35" w:rsidRDefault="00BE36FB">
            <w:pPr>
              <w:pStyle w:val="TableText"/>
              <w:rPr>
                <w:rFonts w:cs="Arial"/>
              </w:rPr>
            </w:pPr>
            <w:r w:rsidRPr="009B7B35">
              <w:rPr>
                <w:rFonts w:cs="Arial"/>
              </w:rPr>
              <w:t>In all other circumstances.</w:t>
            </w:r>
          </w:p>
        </w:tc>
        <w:tc>
          <w:tcPr>
            <w:cnfStyle w:val="000100000000" w:firstRow="0" w:lastRow="0" w:firstColumn="0" w:lastColumn="1" w:oddVBand="0" w:evenVBand="0" w:oddHBand="0" w:evenHBand="0" w:firstRowFirstColumn="0" w:firstRowLastColumn="0" w:lastRowFirstColumn="0" w:lastRowLastColumn="0"/>
            <w:tcW w:w="3486" w:type="dxa"/>
          </w:tcPr>
          <w:p w14:paraId="5F5F73FB" w14:textId="77777777" w:rsidR="00BE36FB" w:rsidRPr="009B7B35" w:rsidRDefault="00BE36FB" w:rsidP="001A7107">
            <w:pPr>
              <w:pStyle w:val="ListBullet"/>
              <w:numPr>
                <w:ilvl w:val="0"/>
                <w:numId w:val="0"/>
              </w:numPr>
              <w:ind w:left="284" w:hanging="266"/>
              <w:rPr>
                <w:rFonts w:cs="Arial"/>
                <w:color w:val="auto"/>
                <w:szCs w:val="20"/>
              </w:rPr>
            </w:pPr>
            <w:r w:rsidRPr="009B7B35">
              <w:rPr>
                <w:rFonts w:cs="Arial"/>
                <w:color w:val="auto"/>
                <w:szCs w:val="20"/>
              </w:rPr>
              <w:t>The planning scheme including:</w:t>
            </w:r>
          </w:p>
          <w:p w14:paraId="6BF15FBD" w14:textId="77777777" w:rsidR="00BE36FB" w:rsidRPr="009B7B35" w:rsidRDefault="00BE36FB" w:rsidP="00BE36FB">
            <w:pPr>
              <w:pStyle w:val="ListBullet"/>
              <w:numPr>
                <w:ilvl w:val="0"/>
                <w:numId w:val="105"/>
              </w:numPr>
              <w:ind w:left="301" w:hanging="283"/>
              <w:rPr>
                <w:rFonts w:cs="Arial"/>
                <w:color w:val="auto"/>
                <w:szCs w:val="20"/>
              </w:rPr>
            </w:pPr>
            <w:r w:rsidRPr="009B7B35">
              <w:rPr>
                <w:rFonts w:cs="Arial"/>
                <w:color w:val="auto"/>
                <w:szCs w:val="20"/>
              </w:rPr>
              <w:t>Rural zone code</w:t>
            </w:r>
          </w:p>
          <w:p w14:paraId="25F2C3A8" w14:textId="77777777" w:rsidR="00BE36FB" w:rsidRPr="009B7B35" w:rsidRDefault="00BE36FB" w:rsidP="00BE36FB">
            <w:pPr>
              <w:pStyle w:val="ListBullet"/>
              <w:numPr>
                <w:ilvl w:val="0"/>
                <w:numId w:val="105"/>
              </w:numPr>
              <w:tabs>
                <w:tab w:val="clear" w:pos="284"/>
                <w:tab w:val="left" w:pos="18"/>
              </w:tabs>
              <w:ind w:left="301" w:hanging="283"/>
              <w:rPr>
                <w:rFonts w:cs="Arial"/>
                <w:color w:val="auto"/>
                <w:szCs w:val="20"/>
              </w:rPr>
            </w:pPr>
            <w:r w:rsidRPr="009B7B35">
              <w:rPr>
                <w:rFonts w:cs="Arial"/>
                <w:color w:val="auto"/>
                <w:szCs w:val="20"/>
              </w:rPr>
              <w:t>Reconfiguring a lot code</w:t>
            </w:r>
          </w:p>
          <w:p w14:paraId="6D48D061"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tc>
      </w:tr>
      <w:tr w:rsidR="00BE36FB" w:rsidRPr="009B7B35" w14:paraId="70EB901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val="restart"/>
          </w:tcPr>
          <w:p w14:paraId="4AB6EFCB" w14:textId="77777777" w:rsidR="00BE36FB" w:rsidRPr="009B7B35" w:rsidRDefault="00BE36FB">
            <w:pPr>
              <w:pStyle w:val="TableText"/>
              <w:rPr>
                <w:rFonts w:cs="Arial"/>
              </w:rPr>
            </w:pPr>
            <w:r w:rsidRPr="009B7B35">
              <w:rPr>
                <w:rFonts w:cs="Arial"/>
              </w:rPr>
              <w:t>Rural residential</w:t>
            </w: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671A2432" w14:textId="77777777" w:rsidR="00BE36FB" w:rsidRPr="009B7B35" w:rsidRDefault="00BE36FB">
            <w:pPr>
              <w:pStyle w:val="Tableheading"/>
              <w:rPr>
                <w:rFonts w:ascii="Arial" w:hAnsi="Arial" w:cs="Arial"/>
                <w:color w:val="auto"/>
                <w:szCs w:val="20"/>
              </w:rPr>
            </w:pPr>
            <w:r w:rsidRPr="009B7B35">
              <w:rPr>
                <w:rFonts w:ascii="Arial" w:hAnsi="Arial" w:cs="Arial"/>
                <w:color w:val="auto"/>
                <w:szCs w:val="20"/>
              </w:rPr>
              <w:t>Code assessment</w:t>
            </w:r>
          </w:p>
        </w:tc>
      </w:tr>
      <w:tr w:rsidR="00BE36FB" w:rsidRPr="009B7B35" w14:paraId="4AFD1F3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0" w:type="dxa"/>
            <w:vMerge/>
          </w:tcPr>
          <w:p w14:paraId="1804B5B4" w14:textId="77777777" w:rsidR="00BE36FB" w:rsidRPr="009B7B35" w:rsidRDefault="00BE36FB">
            <w:pPr>
              <w:pStyle w:val="TableText"/>
              <w:rPr>
                <w:rFonts w:cs="Arial"/>
              </w:rPr>
            </w:pPr>
          </w:p>
        </w:tc>
        <w:tc>
          <w:tcPr>
            <w:cnfStyle w:val="000010000000" w:firstRow="0" w:lastRow="0" w:firstColumn="0" w:lastColumn="0" w:oddVBand="1" w:evenVBand="0" w:oddHBand="0" w:evenHBand="0" w:firstRowFirstColumn="0" w:firstRowLastColumn="0" w:lastRowFirstColumn="0" w:lastRowLastColumn="0"/>
            <w:tcW w:w="3499" w:type="dxa"/>
          </w:tcPr>
          <w:p w14:paraId="07BB75F6" w14:textId="77777777" w:rsidR="00BE36FB" w:rsidRPr="009B7B35" w:rsidRDefault="00BE36FB">
            <w:pPr>
              <w:pStyle w:val="TableText"/>
              <w:rPr>
                <w:rFonts w:cs="Arial"/>
              </w:rPr>
            </w:pPr>
            <w:r w:rsidRPr="009B7B35">
              <w:rPr>
                <w:rFonts w:cs="Arial"/>
              </w:rPr>
              <w:t>If the size of all additional lots created are equal to, or greater than:</w:t>
            </w:r>
          </w:p>
          <w:p w14:paraId="3DA9215B" w14:textId="77777777" w:rsidR="00BE36FB" w:rsidRPr="009B7B35" w:rsidRDefault="00BE36FB" w:rsidP="00BE36FB">
            <w:pPr>
              <w:pStyle w:val="TableText"/>
              <w:numPr>
                <w:ilvl w:val="0"/>
                <w:numId w:val="93"/>
              </w:numPr>
              <w:rPr>
                <w:rFonts w:cs="Arial"/>
              </w:rPr>
            </w:pPr>
            <w:r w:rsidRPr="009B7B35">
              <w:rPr>
                <w:rFonts w:cs="Arial"/>
              </w:rPr>
              <w:t>6,000m</w:t>
            </w:r>
            <w:r w:rsidRPr="009B7B35">
              <w:rPr>
                <w:rStyle w:val="StyleSuperscript"/>
                <w:rFonts w:cs="Arial"/>
              </w:rPr>
              <w:t>2</w:t>
            </w:r>
            <w:r w:rsidRPr="009B7B35">
              <w:rPr>
                <w:rFonts w:cs="Arial"/>
              </w:rPr>
              <w:t xml:space="preserve"> where lots are provided with full service reticulated water supply, or</w:t>
            </w:r>
          </w:p>
          <w:p w14:paraId="1C71625F" w14:textId="77777777" w:rsidR="00BE36FB" w:rsidRPr="009B7B35" w:rsidRDefault="00BE36FB" w:rsidP="00BE36FB">
            <w:pPr>
              <w:pStyle w:val="TableText"/>
              <w:numPr>
                <w:ilvl w:val="0"/>
                <w:numId w:val="93"/>
              </w:numPr>
              <w:rPr>
                <w:rFonts w:cs="Arial"/>
              </w:rPr>
            </w:pPr>
            <w:r w:rsidRPr="009B7B35">
              <w:rPr>
                <w:rFonts w:cs="Arial"/>
              </w:rPr>
              <w:t>otherwise 1.5ha.</w:t>
            </w:r>
          </w:p>
          <w:p w14:paraId="44D7A6D6" w14:textId="77777777" w:rsidR="00BE36FB" w:rsidRPr="009B7B35" w:rsidRDefault="00BE36FB" w:rsidP="001A7107">
            <w:pPr>
              <w:pStyle w:val="TableText"/>
              <w:rPr>
                <w:rFonts w:cs="Arial"/>
              </w:rPr>
            </w:pPr>
            <w:r w:rsidRPr="009B7B35">
              <w:rPr>
                <w:rFonts w:cs="Arial"/>
              </w:rPr>
              <w:t>Otherwise if for boundary realignment.</w:t>
            </w:r>
          </w:p>
        </w:tc>
        <w:tc>
          <w:tcPr>
            <w:cnfStyle w:val="000100000000" w:firstRow="0" w:lastRow="0" w:firstColumn="0" w:lastColumn="1" w:oddVBand="0" w:evenVBand="0" w:oddHBand="0" w:evenHBand="0" w:firstRowFirstColumn="0" w:firstRowLastColumn="0" w:lastRowFirstColumn="0" w:lastRowLastColumn="0"/>
            <w:tcW w:w="3486" w:type="dxa"/>
          </w:tcPr>
          <w:p w14:paraId="20282ECB"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Rural residential zone code</w:t>
            </w:r>
          </w:p>
          <w:p w14:paraId="4097ED6D"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Reconfiguring a lot code</w:t>
            </w:r>
          </w:p>
          <w:p w14:paraId="1F7C339C"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Development design code</w:t>
            </w:r>
          </w:p>
          <w:p w14:paraId="7AD4A64F" w14:textId="77777777" w:rsidR="00BE36FB" w:rsidRPr="009B7B35" w:rsidRDefault="00BE36FB" w:rsidP="00BE36FB">
            <w:pPr>
              <w:pStyle w:val="ListBullet"/>
              <w:ind w:left="360" w:hanging="360"/>
              <w:rPr>
                <w:rFonts w:cs="Arial"/>
                <w:color w:val="auto"/>
                <w:szCs w:val="20"/>
              </w:rPr>
            </w:pPr>
            <w:r w:rsidRPr="009B7B35">
              <w:rPr>
                <w:rFonts w:cs="Arial"/>
                <w:color w:val="auto"/>
                <w:szCs w:val="20"/>
              </w:rPr>
              <w:t>Landscaping code</w:t>
            </w:r>
          </w:p>
        </w:tc>
      </w:tr>
      <w:tr w:rsidR="00BE36FB" w:rsidRPr="009B7B35" w14:paraId="43F706BE"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6BA30D7E" w14:textId="77777777" w:rsidR="00BE36FB" w:rsidRPr="009B7B35" w:rsidRDefault="00BE36FB">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6985" w:type="dxa"/>
            <w:gridSpan w:val="2"/>
            <w:shd w:val="clear" w:color="auto" w:fill="BFBFBF" w:themeFill="background1" w:themeFillShade="BF"/>
          </w:tcPr>
          <w:p w14:paraId="6949816C" w14:textId="77777777" w:rsidR="00BE36FB" w:rsidRPr="009B7B35" w:rsidRDefault="00BE36FB" w:rsidP="001A7107">
            <w:pPr>
              <w:pStyle w:val="Tableheading"/>
              <w:rPr>
                <w:rFonts w:ascii="Arial" w:hAnsi="Arial" w:cs="Arial"/>
                <w:color w:val="auto"/>
                <w:szCs w:val="20"/>
              </w:rPr>
            </w:pPr>
            <w:r w:rsidRPr="009B7B35">
              <w:rPr>
                <w:rFonts w:ascii="Arial" w:hAnsi="Arial" w:cs="Arial"/>
                <w:color w:val="auto"/>
                <w:szCs w:val="20"/>
              </w:rPr>
              <w:t>Impact assessment</w:t>
            </w:r>
          </w:p>
        </w:tc>
      </w:tr>
      <w:tr w:rsidR="00BE36FB" w:rsidRPr="009B7B35" w14:paraId="0EAA2123" w14:textId="77777777"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80" w:type="dxa"/>
            <w:vMerge/>
          </w:tcPr>
          <w:p w14:paraId="76CA802F" w14:textId="77777777" w:rsidR="00BE36FB" w:rsidRPr="009B7B35" w:rsidRDefault="00BE36FB">
            <w:pPr>
              <w:pStyle w:val="TableText"/>
              <w:rPr>
                <w:rFonts w:cs="Arial"/>
                <w:color w:val="auto"/>
              </w:rPr>
            </w:pPr>
          </w:p>
        </w:tc>
        <w:tc>
          <w:tcPr>
            <w:cnfStyle w:val="000010000000" w:firstRow="0" w:lastRow="0" w:firstColumn="0" w:lastColumn="0" w:oddVBand="1" w:evenVBand="0" w:oddHBand="0" w:evenHBand="0" w:firstRowFirstColumn="0" w:firstRowLastColumn="0" w:lastRowFirstColumn="0" w:lastRowLastColumn="0"/>
            <w:tcW w:w="3499" w:type="dxa"/>
          </w:tcPr>
          <w:p w14:paraId="51A4911F" w14:textId="77777777" w:rsidR="00BE36FB" w:rsidRPr="009B7B35" w:rsidRDefault="00BE36FB">
            <w:pPr>
              <w:pStyle w:val="TableText"/>
              <w:rPr>
                <w:rFonts w:cs="Arial"/>
                <w:color w:val="auto"/>
              </w:rPr>
            </w:pPr>
            <w:r w:rsidRPr="009B7B35">
              <w:rPr>
                <w:rFonts w:cs="Arial"/>
                <w:color w:val="auto"/>
              </w:rPr>
              <w:t>In all other circumstances.</w:t>
            </w:r>
          </w:p>
        </w:tc>
        <w:tc>
          <w:tcPr>
            <w:cnfStyle w:val="000100000000" w:firstRow="0" w:lastRow="0" w:firstColumn="0" w:lastColumn="1" w:oddVBand="0" w:evenVBand="0" w:oddHBand="0" w:evenHBand="0" w:firstRowFirstColumn="0" w:firstRowLastColumn="0" w:lastRowFirstColumn="0" w:lastRowLastColumn="0"/>
            <w:tcW w:w="3486" w:type="dxa"/>
          </w:tcPr>
          <w:p w14:paraId="31602A74" w14:textId="77777777" w:rsidR="00BE36FB" w:rsidRPr="009B7B35" w:rsidRDefault="00BE36FB" w:rsidP="001A7107">
            <w:pPr>
              <w:pStyle w:val="ListBullet"/>
              <w:numPr>
                <w:ilvl w:val="0"/>
                <w:numId w:val="0"/>
              </w:numPr>
              <w:ind w:left="284" w:hanging="284"/>
              <w:rPr>
                <w:rFonts w:cs="Arial"/>
                <w:color w:val="auto"/>
                <w:szCs w:val="20"/>
              </w:rPr>
            </w:pPr>
            <w:r w:rsidRPr="009B7B35">
              <w:rPr>
                <w:rFonts w:cs="Arial"/>
                <w:color w:val="auto"/>
                <w:szCs w:val="20"/>
              </w:rPr>
              <w:t>The planning scheme including:</w:t>
            </w:r>
          </w:p>
          <w:p w14:paraId="514975F6" w14:textId="77777777" w:rsidR="00BE36FB" w:rsidRPr="009B7B35" w:rsidRDefault="00BE36FB" w:rsidP="001A7107">
            <w:pPr>
              <w:pStyle w:val="ListBullet"/>
              <w:numPr>
                <w:ilvl w:val="0"/>
                <w:numId w:val="0"/>
              </w:numPr>
              <w:ind w:left="284" w:hanging="284"/>
              <w:rPr>
                <w:rFonts w:cs="Arial"/>
                <w:color w:val="auto"/>
                <w:szCs w:val="20"/>
              </w:rPr>
            </w:pPr>
            <w:r w:rsidRPr="009B7B35">
              <w:rPr>
                <w:rFonts w:cs="Arial"/>
                <w:color w:val="auto"/>
                <w:szCs w:val="20"/>
              </w:rPr>
              <w:t>•</w:t>
            </w:r>
            <w:r w:rsidRPr="009B7B35">
              <w:rPr>
                <w:rFonts w:cs="Arial"/>
                <w:color w:val="auto"/>
                <w:szCs w:val="20"/>
              </w:rPr>
              <w:tab/>
              <w:t>Rural residential zone code</w:t>
            </w:r>
          </w:p>
          <w:p w14:paraId="0A3F45B2" w14:textId="77777777" w:rsidR="00BE36FB" w:rsidRPr="009B7B35" w:rsidRDefault="00BE36FB" w:rsidP="001A7107">
            <w:pPr>
              <w:pStyle w:val="ListBullet"/>
              <w:numPr>
                <w:ilvl w:val="0"/>
                <w:numId w:val="0"/>
              </w:numPr>
              <w:ind w:left="284" w:hanging="284"/>
              <w:rPr>
                <w:rFonts w:cs="Arial"/>
                <w:color w:val="auto"/>
                <w:szCs w:val="20"/>
              </w:rPr>
            </w:pPr>
            <w:r w:rsidRPr="009B7B35">
              <w:rPr>
                <w:rFonts w:cs="Arial"/>
                <w:color w:val="auto"/>
                <w:szCs w:val="20"/>
              </w:rPr>
              <w:t>•</w:t>
            </w:r>
            <w:r w:rsidRPr="009B7B35">
              <w:rPr>
                <w:rFonts w:cs="Arial"/>
                <w:color w:val="auto"/>
                <w:szCs w:val="20"/>
              </w:rPr>
              <w:tab/>
              <w:t>Reconfiguring a lot code</w:t>
            </w:r>
          </w:p>
          <w:p w14:paraId="386183A6" w14:textId="77777777" w:rsidR="00BE36FB" w:rsidRPr="009B7B35" w:rsidRDefault="00BE36FB" w:rsidP="001A7107">
            <w:pPr>
              <w:pStyle w:val="ListBullet"/>
              <w:numPr>
                <w:ilvl w:val="0"/>
                <w:numId w:val="0"/>
              </w:numPr>
              <w:ind w:left="284" w:hanging="284"/>
              <w:rPr>
                <w:rFonts w:cs="Arial"/>
                <w:color w:val="auto"/>
                <w:szCs w:val="20"/>
              </w:rPr>
            </w:pPr>
            <w:r w:rsidRPr="009B7B35">
              <w:rPr>
                <w:rFonts w:cs="Arial"/>
                <w:color w:val="auto"/>
                <w:szCs w:val="20"/>
              </w:rPr>
              <w:t>•</w:t>
            </w:r>
            <w:r w:rsidRPr="009B7B35">
              <w:rPr>
                <w:rFonts w:cs="Arial"/>
                <w:color w:val="auto"/>
                <w:szCs w:val="20"/>
              </w:rPr>
              <w:tab/>
              <w:t>Development design code</w:t>
            </w:r>
          </w:p>
          <w:p w14:paraId="100443CF" w14:textId="77777777" w:rsidR="00BE36FB" w:rsidRPr="009B7B35" w:rsidRDefault="00BE36FB" w:rsidP="001A7107">
            <w:pPr>
              <w:pStyle w:val="ListBullet"/>
              <w:numPr>
                <w:ilvl w:val="0"/>
                <w:numId w:val="0"/>
              </w:numPr>
              <w:ind w:left="284" w:hanging="284"/>
              <w:rPr>
                <w:rFonts w:cs="Arial"/>
                <w:color w:val="auto"/>
                <w:szCs w:val="20"/>
              </w:rPr>
            </w:pPr>
            <w:r w:rsidRPr="009B7B35">
              <w:rPr>
                <w:rFonts w:cs="Arial"/>
                <w:color w:val="auto"/>
                <w:szCs w:val="20"/>
              </w:rPr>
              <w:t>•</w:t>
            </w:r>
            <w:r w:rsidRPr="009B7B35">
              <w:rPr>
                <w:rFonts w:cs="Arial"/>
                <w:color w:val="auto"/>
                <w:szCs w:val="20"/>
              </w:rPr>
              <w:tab/>
              <w:t>Landscaping code</w:t>
            </w:r>
          </w:p>
        </w:tc>
      </w:tr>
    </w:tbl>
    <w:p w14:paraId="2FC5F363" w14:textId="77777777" w:rsidR="00BE36FB" w:rsidRPr="009B7B35" w:rsidRDefault="00BE36FB" w:rsidP="001A7107">
      <w:pPr>
        <w:pStyle w:val="Notes"/>
        <w:rPr>
          <w:rFonts w:cs="Arial"/>
          <w:sz w:val="20"/>
          <w:szCs w:val="20"/>
        </w:rPr>
      </w:pPr>
      <w:r w:rsidRPr="009B7B35">
        <w:rPr>
          <w:rFonts w:cs="Arial"/>
          <w:sz w:val="20"/>
          <w:szCs w:val="20"/>
        </w:rPr>
        <w:t>Editor's note—The above categories of development and assessment apply unless otherwise prescribed in the Regulation.</w:t>
      </w:r>
    </w:p>
    <w:p w14:paraId="5816F53B" w14:textId="77777777" w:rsidR="00BE36FB" w:rsidRPr="009B7B35" w:rsidRDefault="00BE36FB" w:rsidP="00B2383D">
      <w:pPr>
        <w:pStyle w:val="Heading2"/>
        <w:numPr>
          <w:ilvl w:val="1"/>
          <w:numId w:val="883"/>
        </w:numPr>
        <w:ind w:left="567" w:hanging="567"/>
        <w:rPr>
          <w:rFonts w:ascii="Arial" w:hAnsi="Arial"/>
          <w:sz w:val="20"/>
          <w:szCs w:val="20"/>
        </w:rPr>
      </w:pPr>
      <w:bookmarkStart w:id="172" w:name="_Toc205367339"/>
      <w:r w:rsidRPr="009B7B35">
        <w:rPr>
          <w:rFonts w:ascii="Arial" w:hAnsi="Arial"/>
          <w:sz w:val="20"/>
          <w:szCs w:val="20"/>
        </w:rPr>
        <w:t>Categories of development and assessment—Building work</w:t>
      </w:r>
      <w:bookmarkEnd w:id="172"/>
    </w:p>
    <w:tbl>
      <w:tblPr>
        <w:tblStyle w:val="Tablestyle"/>
        <w:tblW w:w="0" w:type="auto"/>
        <w:tblLook w:val="0620" w:firstRow="1" w:lastRow="0" w:firstColumn="0" w:lastColumn="0" w:noHBand="1" w:noVBand="1"/>
      </w:tblPr>
      <w:tblGrid>
        <w:gridCol w:w="2189"/>
        <w:gridCol w:w="3093"/>
        <w:gridCol w:w="3081"/>
      </w:tblGrid>
      <w:tr w:rsidR="00BE36FB" w:rsidRPr="009B7B35" w14:paraId="4DEF0421" w14:textId="77777777" w:rsidTr="001A7107">
        <w:trPr>
          <w:cnfStyle w:val="100000000000" w:firstRow="1" w:lastRow="0" w:firstColumn="0" w:lastColumn="0" w:oddVBand="0" w:evenVBand="0" w:oddHBand="0" w:evenHBand="0" w:firstRowFirstColumn="0" w:firstRowLastColumn="0" w:lastRowFirstColumn="0" w:lastRowLastColumn="0"/>
        </w:trPr>
        <w:tc>
          <w:tcPr>
            <w:tcW w:w="2380" w:type="dxa"/>
          </w:tcPr>
          <w:p w14:paraId="03CAB13A" w14:textId="77777777" w:rsidR="00BE36FB" w:rsidRPr="009B7B35" w:rsidRDefault="00BE36FB" w:rsidP="001A7107">
            <w:pPr>
              <w:pStyle w:val="TableText"/>
              <w:rPr>
                <w:rFonts w:cs="Arial"/>
              </w:rPr>
            </w:pPr>
            <w:r w:rsidRPr="009B7B35">
              <w:rPr>
                <w:rFonts w:cs="Arial"/>
              </w:rPr>
              <w:t xml:space="preserve">Development </w:t>
            </w:r>
          </w:p>
        </w:tc>
        <w:tc>
          <w:tcPr>
            <w:tcW w:w="3499" w:type="dxa"/>
          </w:tcPr>
          <w:p w14:paraId="11FDBAEA" w14:textId="77777777" w:rsidR="00BE36FB" w:rsidRPr="009B7B35" w:rsidRDefault="00BE36FB" w:rsidP="001A7107">
            <w:pPr>
              <w:pStyle w:val="TableText"/>
              <w:rPr>
                <w:rFonts w:cs="Arial"/>
              </w:rPr>
            </w:pPr>
            <w:r w:rsidRPr="009B7B35">
              <w:rPr>
                <w:rFonts w:cs="Arial"/>
              </w:rPr>
              <w:t>Categories of development and  assessment</w:t>
            </w:r>
          </w:p>
        </w:tc>
        <w:tc>
          <w:tcPr>
            <w:tcW w:w="3477" w:type="dxa"/>
          </w:tcPr>
          <w:p w14:paraId="4DF8695D"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74B8F239" w14:textId="77777777" w:rsidTr="001A7107">
        <w:tc>
          <w:tcPr>
            <w:tcW w:w="2380" w:type="dxa"/>
          </w:tcPr>
          <w:p w14:paraId="657E3CAE" w14:textId="77777777" w:rsidR="00BE36FB" w:rsidRPr="009B7B35" w:rsidRDefault="00BE36FB" w:rsidP="001A7107">
            <w:pPr>
              <w:pStyle w:val="TableText"/>
              <w:rPr>
                <w:rFonts w:cs="Arial"/>
              </w:rPr>
            </w:pPr>
            <w:r w:rsidRPr="009B7B35">
              <w:rPr>
                <w:rFonts w:cs="Arial"/>
              </w:rPr>
              <w:t>Dwelling house</w:t>
            </w:r>
          </w:p>
        </w:tc>
        <w:tc>
          <w:tcPr>
            <w:tcW w:w="3499" w:type="dxa"/>
          </w:tcPr>
          <w:p w14:paraId="36EABF1F" w14:textId="77777777" w:rsidR="00BE36FB" w:rsidRPr="009B7B35" w:rsidRDefault="00BE36FB" w:rsidP="001A7107">
            <w:pPr>
              <w:pStyle w:val="TableText"/>
              <w:rPr>
                <w:rFonts w:cs="Arial"/>
              </w:rPr>
            </w:pPr>
            <w:r w:rsidRPr="009B7B35">
              <w:rPr>
                <w:rFonts w:cs="Arial"/>
              </w:rPr>
              <w:t>No change to assessment category</w:t>
            </w:r>
          </w:p>
        </w:tc>
        <w:tc>
          <w:tcPr>
            <w:tcW w:w="3477" w:type="dxa"/>
          </w:tcPr>
          <w:p w14:paraId="66B2CEEB" w14:textId="77777777" w:rsidR="00BE36FB" w:rsidRPr="009B7B35" w:rsidRDefault="00BE36FB" w:rsidP="001A7107">
            <w:pPr>
              <w:pStyle w:val="TableText"/>
              <w:rPr>
                <w:rFonts w:cs="Arial"/>
              </w:rPr>
            </w:pPr>
            <w:r w:rsidRPr="009B7B35">
              <w:rPr>
                <w:rFonts w:cs="Arial"/>
              </w:rPr>
              <w:t>Relevant zone code</w:t>
            </w:r>
          </w:p>
        </w:tc>
      </w:tr>
    </w:tbl>
    <w:p w14:paraId="76316146" w14:textId="77777777" w:rsidR="00BE36FB" w:rsidRPr="009B7B35" w:rsidRDefault="00BE36FB" w:rsidP="001A7107">
      <w:pPr>
        <w:rPr>
          <w:rFonts w:ascii="Arial" w:hAnsi="Arial" w:cs="Arial"/>
          <w:sz w:val="20"/>
          <w:szCs w:val="20"/>
        </w:rPr>
      </w:pPr>
    </w:p>
    <w:p w14:paraId="5F6DC246" w14:textId="77777777" w:rsidR="00BE36FB" w:rsidRPr="009B7B35" w:rsidRDefault="00BE36FB" w:rsidP="001A7107">
      <w:pPr>
        <w:rPr>
          <w:rFonts w:ascii="Arial" w:hAnsi="Arial" w:cs="Arial"/>
          <w:sz w:val="20"/>
          <w:szCs w:val="20"/>
        </w:rPr>
      </w:pPr>
      <w:r w:rsidRPr="009B7B35">
        <w:rPr>
          <w:rFonts w:ascii="Arial" w:hAnsi="Arial" w:cs="Arial"/>
          <w:sz w:val="20"/>
          <w:szCs w:val="20"/>
        </w:rPr>
        <w:t>Otherwise, unless identified in an overlay table of assessment, there is no other building work regulated by the planning scheme.</w:t>
      </w:r>
    </w:p>
    <w:p w14:paraId="10C2DD69" w14:textId="77777777" w:rsidR="00BE36FB" w:rsidRPr="009B7B35" w:rsidRDefault="00BE36FB" w:rsidP="001A7107">
      <w:pPr>
        <w:pStyle w:val="Notes"/>
        <w:rPr>
          <w:rFonts w:cs="Arial"/>
          <w:sz w:val="20"/>
          <w:szCs w:val="20"/>
        </w:rPr>
      </w:pPr>
      <w:r w:rsidRPr="009B7B35">
        <w:rPr>
          <w:rFonts w:cs="Arial"/>
          <w:sz w:val="20"/>
          <w:szCs w:val="20"/>
        </w:rPr>
        <w:t>Editor's note—The above categories of development and assessment apply unless otherwise prescribed in the Regulation.</w:t>
      </w:r>
    </w:p>
    <w:p w14:paraId="1EB4C0CA" w14:textId="77777777" w:rsidR="00BE36FB" w:rsidRPr="009B7B35" w:rsidRDefault="00BE36FB" w:rsidP="00B2383D">
      <w:pPr>
        <w:pStyle w:val="Heading2"/>
        <w:numPr>
          <w:ilvl w:val="1"/>
          <w:numId w:val="883"/>
        </w:numPr>
        <w:ind w:left="567" w:hanging="567"/>
        <w:rPr>
          <w:rFonts w:ascii="Arial" w:hAnsi="Arial"/>
          <w:sz w:val="20"/>
          <w:szCs w:val="20"/>
        </w:rPr>
      </w:pPr>
      <w:bookmarkStart w:id="173" w:name="_Toc205367340"/>
      <w:r w:rsidRPr="009B7B35">
        <w:rPr>
          <w:rFonts w:ascii="Arial" w:hAnsi="Arial"/>
          <w:sz w:val="20"/>
          <w:szCs w:val="20"/>
        </w:rPr>
        <w:t>Categories of development and assessment—Operational work</w:t>
      </w:r>
      <w:bookmarkEnd w:id="173"/>
    </w:p>
    <w:p w14:paraId="1754CF57" w14:textId="77777777" w:rsidR="00BE36FB" w:rsidRPr="009B7B35" w:rsidRDefault="00BE36FB" w:rsidP="001A7107">
      <w:pPr>
        <w:rPr>
          <w:rFonts w:ascii="Arial" w:hAnsi="Arial" w:cs="Arial"/>
          <w:sz w:val="20"/>
          <w:szCs w:val="20"/>
        </w:rPr>
      </w:pPr>
      <w:r w:rsidRPr="009B7B35">
        <w:rPr>
          <w:rFonts w:ascii="Arial" w:hAnsi="Arial" w:cs="Arial"/>
          <w:sz w:val="20"/>
          <w:szCs w:val="20"/>
        </w:rPr>
        <w:t>The following table identifies the categories of development and assessment for operational work.</w:t>
      </w:r>
    </w:p>
    <w:p w14:paraId="2BA2FACC" w14:textId="77777777" w:rsidR="00BE36FB" w:rsidRPr="009B7B35" w:rsidRDefault="00BE36FB" w:rsidP="001A7107">
      <w:pPr>
        <w:pStyle w:val="Heading5"/>
        <w:numPr>
          <w:ilvl w:val="0"/>
          <w:numId w:val="0"/>
        </w:numPr>
        <w:rPr>
          <w:rFonts w:cs="Arial"/>
          <w:szCs w:val="20"/>
        </w:rPr>
      </w:pPr>
      <w:r w:rsidRPr="009B7B35">
        <w:rPr>
          <w:rFonts w:cs="Arial"/>
          <w:szCs w:val="20"/>
        </w:rPr>
        <w:t>Table 5.8.1—Operational work</w:t>
      </w:r>
    </w:p>
    <w:tbl>
      <w:tblPr>
        <w:tblStyle w:val="Tablestyle"/>
        <w:tblW w:w="0" w:type="auto"/>
        <w:tblLook w:val="0620" w:firstRow="1" w:lastRow="0" w:firstColumn="0" w:lastColumn="0" w:noHBand="1" w:noVBand="1"/>
      </w:tblPr>
      <w:tblGrid>
        <w:gridCol w:w="2173"/>
        <w:gridCol w:w="26"/>
        <w:gridCol w:w="3063"/>
        <w:gridCol w:w="3101"/>
      </w:tblGrid>
      <w:tr w:rsidR="00BE36FB" w:rsidRPr="009B7B35" w14:paraId="07EB109D"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2380" w:type="dxa"/>
          </w:tcPr>
          <w:p w14:paraId="267C34CF" w14:textId="77777777" w:rsidR="00BE36FB" w:rsidRPr="009B7B35" w:rsidRDefault="00BE36FB">
            <w:pPr>
              <w:pStyle w:val="TableText"/>
              <w:rPr>
                <w:rFonts w:cs="Arial"/>
              </w:rPr>
            </w:pPr>
            <w:r w:rsidRPr="009B7B35">
              <w:rPr>
                <w:rFonts w:cs="Arial"/>
              </w:rPr>
              <w:t>Zone and Development</w:t>
            </w:r>
          </w:p>
        </w:tc>
        <w:tc>
          <w:tcPr>
            <w:tcW w:w="3503" w:type="dxa"/>
            <w:gridSpan w:val="2"/>
          </w:tcPr>
          <w:p w14:paraId="0602B4BB" w14:textId="77777777" w:rsidR="00BE36FB" w:rsidRPr="009B7B35" w:rsidRDefault="00BE36FB" w:rsidP="001A7107">
            <w:pPr>
              <w:pStyle w:val="TableText"/>
              <w:rPr>
                <w:rFonts w:cs="Arial"/>
              </w:rPr>
            </w:pPr>
            <w:r w:rsidRPr="009B7B35">
              <w:rPr>
                <w:rFonts w:cs="Arial"/>
              </w:rPr>
              <w:t>Categories of development and  assessment</w:t>
            </w:r>
          </w:p>
        </w:tc>
        <w:tc>
          <w:tcPr>
            <w:tcW w:w="3477" w:type="dxa"/>
          </w:tcPr>
          <w:p w14:paraId="30DC2102" w14:textId="77777777" w:rsidR="00BE36FB" w:rsidRPr="009B7B35" w:rsidRDefault="00BE36FB" w:rsidP="001A7107">
            <w:pPr>
              <w:pStyle w:val="TableText"/>
              <w:rPr>
                <w:rFonts w:cs="Arial"/>
              </w:rPr>
            </w:pPr>
            <w:r w:rsidRPr="009B7B35">
              <w:rPr>
                <w:rFonts w:cs="Arial"/>
              </w:rPr>
              <w:t>Assessment benchmarks for assessable development and requirements for accepted development</w:t>
            </w:r>
          </w:p>
        </w:tc>
      </w:tr>
      <w:tr w:rsidR="00BE36FB" w:rsidRPr="009B7B35" w14:paraId="7846D6B8" w14:textId="77777777" w:rsidTr="001A7107">
        <w:trPr>
          <w:trHeight w:val="42"/>
        </w:trPr>
        <w:tc>
          <w:tcPr>
            <w:tcW w:w="2380" w:type="dxa"/>
            <w:vMerge w:val="restart"/>
          </w:tcPr>
          <w:p w14:paraId="5FE90411" w14:textId="77777777" w:rsidR="00BE36FB" w:rsidRPr="009B7B35" w:rsidRDefault="00BE36FB" w:rsidP="001A7107">
            <w:pPr>
              <w:pStyle w:val="TableText"/>
              <w:rPr>
                <w:rFonts w:cs="Arial"/>
              </w:rPr>
            </w:pPr>
            <w:r w:rsidRPr="009B7B35">
              <w:rPr>
                <w:rFonts w:cs="Arial"/>
              </w:rPr>
              <w:t>Rural zone</w:t>
            </w:r>
          </w:p>
          <w:p w14:paraId="094DE063" w14:textId="77777777" w:rsidR="00BE36FB" w:rsidRPr="009B7B35" w:rsidRDefault="00BE36FB" w:rsidP="001A7107">
            <w:pPr>
              <w:pStyle w:val="TableText"/>
              <w:rPr>
                <w:rFonts w:cs="Arial"/>
              </w:rPr>
            </w:pPr>
            <w:r w:rsidRPr="009B7B35">
              <w:rPr>
                <w:rFonts w:cs="Arial"/>
              </w:rPr>
              <w:t>Carrying out operational work (all instances) and involving earthworks, including filling or excavating land.</w:t>
            </w:r>
          </w:p>
        </w:tc>
        <w:tc>
          <w:tcPr>
            <w:tcW w:w="6980" w:type="dxa"/>
            <w:gridSpan w:val="3"/>
            <w:shd w:val="clear" w:color="auto" w:fill="BFBFBF" w:themeFill="background1" w:themeFillShade="BF"/>
          </w:tcPr>
          <w:p w14:paraId="0BA5F223" w14:textId="77777777" w:rsidR="00BE36FB" w:rsidRPr="009B7B35" w:rsidRDefault="00BE36FB" w:rsidP="001A7107">
            <w:pPr>
              <w:pStyle w:val="Tableheading"/>
              <w:rPr>
                <w:rFonts w:ascii="Arial" w:hAnsi="Arial" w:cs="Arial"/>
                <w:szCs w:val="20"/>
              </w:rPr>
            </w:pPr>
            <w:r w:rsidRPr="009B7B35">
              <w:rPr>
                <w:rFonts w:ascii="Arial" w:hAnsi="Arial" w:cs="Arial"/>
                <w:szCs w:val="20"/>
              </w:rPr>
              <w:t>Accepted development subject to requirements</w:t>
            </w:r>
          </w:p>
        </w:tc>
      </w:tr>
      <w:tr w:rsidR="00BE36FB" w:rsidRPr="009B7B35" w14:paraId="6104D027" w14:textId="77777777" w:rsidTr="001A7107">
        <w:tc>
          <w:tcPr>
            <w:tcW w:w="2380" w:type="dxa"/>
            <w:vMerge/>
          </w:tcPr>
          <w:p w14:paraId="50A83EEA" w14:textId="77777777" w:rsidR="00BE36FB" w:rsidRPr="009B7B35" w:rsidRDefault="00BE36FB" w:rsidP="001A7107">
            <w:pPr>
              <w:pStyle w:val="TableText"/>
              <w:rPr>
                <w:rFonts w:cs="Arial"/>
              </w:rPr>
            </w:pPr>
          </w:p>
        </w:tc>
        <w:tc>
          <w:tcPr>
            <w:tcW w:w="3503" w:type="dxa"/>
            <w:gridSpan w:val="2"/>
          </w:tcPr>
          <w:p w14:paraId="61826A67" w14:textId="77777777" w:rsidR="00BE36FB" w:rsidRPr="009B7B35" w:rsidRDefault="00BE36FB" w:rsidP="001A7107">
            <w:pPr>
              <w:pStyle w:val="TableText"/>
              <w:rPr>
                <w:rFonts w:cs="Arial"/>
              </w:rPr>
            </w:pPr>
            <w:r w:rsidRPr="009B7B35">
              <w:rPr>
                <w:rFonts w:cs="Arial"/>
              </w:rPr>
              <w:t>Where development:</w:t>
            </w:r>
          </w:p>
          <w:p w14:paraId="6338D1A0" w14:textId="77777777" w:rsidR="00BE36FB" w:rsidRPr="009B7B35" w:rsidRDefault="00BE36FB" w:rsidP="00BE36FB">
            <w:pPr>
              <w:pStyle w:val="TableText"/>
              <w:numPr>
                <w:ilvl w:val="0"/>
                <w:numId w:val="84"/>
              </w:numPr>
              <w:rPr>
                <w:rFonts w:cs="Arial"/>
              </w:rPr>
            </w:pPr>
            <w:r w:rsidRPr="009B7B35">
              <w:rPr>
                <w:rFonts w:cs="Arial"/>
              </w:rPr>
              <w:t>involves earthworks of 500m</w:t>
            </w:r>
            <w:r w:rsidRPr="009B7B35">
              <w:rPr>
                <w:rStyle w:val="StyleSuperscript"/>
                <w:rFonts w:cs="Arial"/>
              </w:rPr>
              <w:t>3</w:t>
            </w:r>
            <w:r w:rsidRPr="009B7B35">
              <w:rPr>
                <w:rFonts w:cs="Arial"/>
              </w:rPr>
              <w:t xml:space="preserve"> or more for the purpose of water retention (for stock handling and agricultural activities) or 100m</w:t>
            </w:r>
            <w:r w:rsidRPr="009B7B35">
              <w:rPr>
                <w:rStyle w:val="StyleSuperscript"/>
                <w:rFonts w:cs="Arial"/>
              </w:rPr>
              <w:t>3</w:t>
            </w:r>
            <w:r w:rsidRPr="009B7B35">
              <w:rPr>
                <w:rFonts w:cs="Arial"/>
              </w:rPr>
              <w:t xml:space="preserve"> for other activities, and</w:t>
            </w:r>
          </w:p>
          <w:p w14:paraId="15CEC9A9" w14:textId="77777777" w:rsidR="00BE36FB" w:rsidRPr="009B7B35" w:rsidRDefault="00BE36FB" w:rsidP="00BE36FB">
            <w:pPr>
              <w:pStyle w:val="TableText"/>
              <w:numPr>
                <w:ilvl w:val="0"/>
                <w:numId w:val="84"/>
              </w:numPr>
              <w:rPr>
                <w:rFonts w:cs="Arial"/>
              </w:rPr>
            </w:pPr>
            <w:r w:rsidRPr="009B7B35">
              <w:rPr>
                <w:rFonts w:cs="Arial"/>
              </w:rPr>
              <w:t>complies with the accepted development subject to requirements acceptable outcomes.</w:t>
            </w:r>
          </w:p>
        </w:tc>
        <w:tc>
          <w:tcPr>
            <w:tcW w:w="3477" w:type="dxa"/>
          </w:tcPr>
          <w:p w14:paraId="391B0667" w14:textId="77777777" w:rsidR="00BE36FB" w:rsidRPr="009B7B35" w:rsidRDefault="00BE36FB" w:rsidP="00BE36FB">
            <w:pPr>
              <w:pStyle w:val="ListBullet"/>
              <w:ind w:left="360" w:hanging="360"/>
              <w:rPr>
                <w:rFonts w:cs="Arial"/>
                <w:szCs w:val="20"/>
              </w:rPr>
            </w:pPr>
            <w:r w:rsidRPr="009B7B35">
              <w:rPr>
                <w:rFonts w:cs="Arial"/>
                <w:szCs w:val="20"/>
              </w:rPr>
              <w:t>Rural zone code</w:t>
            </w:r>
          </w:p>
          <w:p w14:paraId="5CD1651F" w14:textId="77777777" w:rsidR="00BE36FB" w:rsidRPr="009B7B35" w:rsidRDefault="00BE36FB" w:rsidP="00BE36FB">
            <w:pPr>
              <w:pStyle w:val="ListBullet"/>
              <w:ind w:left="360" w:hanging="360"/>
              <w:rPr>
                <w:rFonts w:cs="Arial"/>
                <w:szCs w:val="20"/>
              </w:rPr>
            </w:pPr>
            <w:r w:rsidRPr="009B7B35">
              <w:rPr>
                <w:rFonts w:cs="Arial"/>
                <w:szCs w:val="20"/>
              </w:rPr>
              <w:t>Operational works code</w:t>
            </w:r>
          </w:p>
          <w:p w14:paraId="68214FF1" w14:textId="77777777" w:rsidR="00BE36FB" w:rsidRPr="009B7B35" w:rsidRDefault="00BE36FB" w:rsidP="00BE36FB">
            <w:pPr>
              <w:pStyle w:val="ListBullet"/>
              <w:ind w:left="360" w:hanging="360"/>
              <w:rPr>
                <w:rFonts w:cs="Arial"/>
                <w:szCs w:val="20"/>
              </w:rPr>
            </w:pPr>
            <w:r w:rsidRPr="009B7B35">
              <w:rPr>
                <w:rFonts w:cs="Arial"/>
                <w:szCs w:val="20"/>
              </w:rPr>
              <w:t>Development design code</w:t>
            </w:r>
          </w:p>
        </w:tc>
      </w:tr>
      <w:tr w:rsidR="00BE36FB" w:rsidRPr="009B7B35" w14:paraId="7F0C95BE" w14:textId="77777777" w:rsidTr="001A7107">
        <w:trPr>
          <w:trHeight w:val="42"/>
        </w:trPr>
        <w:tc>
          <w:tcPr>
            <w:tcW w:w="2380" w:type="dxa"/>
            <w:vMerge/>
          </w:tcPr>
          <w:p w14:paraId="10B24ED3" w14:textId="77777777" w:rsidR="00BE36FB" w:rsidRPr="009B7B35" w:rsidRDefault="00BE36FB" w:rsidP="001A7107">
            <w:pPr>
              <w:pStyle w:val="TableText"/>
              <w:rPr>
                <w:rFonts w:cs="Arial"/>
              </w:rPr>
            </w:pPr>
          </w:p>
        </w:tc>
        <w:tc>
          <w:tcPr>
            <w:tcW w:w="6980" w:type="dxa"/>
            <w:gridSpan w:val="3"/>
            <w:shd w:val="clear" w:color="auto" w:fill="BFBFBF" w:themeFill="background1" w:themeFillShade="BF"/>
          </w:tcPr>
          <w:p w14:paraId="2386A249" w14:textId="77777777" w:rsidR="00BE36FB" w:rsidRPr="009B7B35" w:rsidRDefault="00BE36FB" w:rsidP="001A7107">
            <w:pPr>
              <w:pStyle w:val="Tableheading"/>
              <w:rPr>
                <w:rFonts w:ascii="Arial" w:hAnsi="Arial" w:cs="Arial"/>
                <w:szCs w:val="20"/>
              </w:rPr>
            </w:pPr>
            <w:r w:rsidRPr="009B7B35">
              <w:rPr>
                <w:rFonts w:ascii="Arial" w:hAnsi="Arial" w:cs="Arial"/>
                <w:szCs w:val="20"/>
              </w:rPr>
              <w:t>Code assessable</w:t>
            </w:r>
          </w:p>
        </w:tc>
      </w:tr>
      <w:tr w:rsidR="00BE36FB" w:rsidRPr="009B7B35" w14:paraId="3745C811" w14:textId="77777777" w:rsidTr="001A7107">
        <w:tc>
          <w:tcPr>
            <w:tcW w:w="2380" w:type="dxa"/>
            <w:vMerge/>
          </w:tcPr>
          <w:p w14:paraId="20D9A851" w14:textId="77777777" w:rsidR="00BE36FB" w:rsidRPr="009B7B35" w:rsidRDefault="00BE36FB" w:rsidP="001A7107">
            <w:pPr>
              <w:pStyle w:val="TableText"/>
              <w:rPr>
                <w:rFonts w:cs="Arial"/>
              </w:rPr>
            </w:pPr>
          </w:p>
        </w:tc>
        <w:tc>
          <w:tcPr>
            <w:tcW w:w="3503" w:type="dxa"/>
            <w:gridSpan w:val="2"/>
          </w:tcPr>
          <w:p w14:paraId="591ADC81" w14:textId="77777777" w:rsidR="00BE36FB" w:rsidRPr="009B7B35" w:rsidRDefault="00BE36FB" w:rsidP="001A7107">
            <w:pPr>
              <w:pStyle w:val="TableText"/>
              <w:rPr>
                <w:rFonts w:cs="Arial"/>
              </w:rPr>
            </w:pPr>
            <w:r w:rsidRPr="009B7B35">
              <w:rPr>
                <w:rFonts w:cs="Arial"/>
              </w:rPr>
              <w:t xml:space="preserve">Where development: </w:t>
            </w:r>
          </w:p>
          <w:p w14:paraId="768A19BA" w14:textId="77777777" w:rsidR="00BE36FB" w:rsidRPr="009B7B35" w:rsidRDefault="00BE36FB" w:rsidP="00BE36FB">
            <w:pPr>
              <w:pStyle w:val="TableText"/>
              <w:numPr>
                <w:ilvl w:val="0"/>
                <w:numId w:val="83"/>
              </w:numPr>
              <w:rPr>
                <w:rFonts w:cs="Arial"/>
              </w:rPr>
            </w:pPr>
            <w:r w:rsidRPr="009B7B35">
              <w:rPr>
                <w:rFonts w:cs="Arial"/>
              </w:rPr>
              <w:t>involving earthworks of 500m</w:t>
            </w:r>
            <w:r w:rsidRPr="009B7B35">
              <w:rPr>
                <w:rStyle w:val="StyleSuperscript"/>
                <w:rFonts w:cs="Arial"/>
              </w:rPr>
              <w:t>3</w:t>
            </w:r>
            <w:r w:rsidRPr="009B7B35">
              <w:rPr>
                <w:rFonts w:cs="Arial"/>
              </w:rPr>
              <w:t xml:space="preserve"> or more for the purpose of water retention (for stock handling and agricultural activities); and</w:t>
            </w:r>
          </w:p>
          <w:p w14:paraId="2B09DEBF" w14:textId="77777777" w:rsidR="00BE36FB" w:rsidRPr="009B7B35" w:rsidRDefault="00BE36FB" w:rsidP="00BE36FB">
            <w:pPr>
              <w:pStyle w:val="TableText"/>
              <w:numPr>
                <w:ilvl w:val="0"/>
                <w:numId w:val="83"/>
              </w:numPr>
              <w:rPr>
                <w:rFonts w:cs="Arial"/>
              </w:rPr>
            </w:pPr>
            <w:r w:rsidRPr="009B7B35">
              <w:rPr>
                <w:rFonts w:cs="Arial"/>
              </w:rPr>
              <w:t>does not comply with the accepted development subject to requirements acceptable outcomes.</w:t>
            </w:r>
          </w:p>
        </w:tc>
        <w:tc>
          <w:tcPr>
            <w:tcW w:w="3477" w:type="dxa"/>
          </w:tcPr>
          <w:p w14:paraId="34B307B3" w14:textId="77777777" w:rsidR="00BE36FB" w:rsidRPr="009B7B35" w:rsidRDefault="00BE36FB" w:rsidP="00BE36FB">
            <w:pPr>
              <w:pStyle w:val="ListBullet"/>
              <w:ind w:left="360" w:hanging="360"/>
              <w:rPr>
                <w:rFonts w:cs="Arial"/>
                <w:szCs w:val="20"/>
              </w:rPr>
            </w:pPr>
            <w:r w:rsidRPr="009B7B35">
              <w:rPr>
                <w:rFonts w:cs="Arial"/>
                <w:szCs w:val="20"/>
              </w:rPr>
              <w:t>Rural zone code</w:t>
            </w:r>
          </w:p>
          <w:p w14:paraId="533B2E5A" w14:textId="77777777" w:rsidR="00BE36FB" w:rsidRPr="009B7B35" w:rsidRDefault="00BE36FB" w:rsidP="00BE36FB">
            <w:pPr>
              <w:pStyle w:val="ListBullet"/>
              <w:ind w:left="360" w:hanging="360"/>
              <w:rPr>
                <w:rFonts w:cs="Arial"/>
                <w:szCs w:val="20"/>
              </w:rPr>
            </w:pPr>
            <w:r w:rsidRPr="009B7B35">
              <w:rPr>
                <w:rFonts w:cs="Arial"/>
                <w:szCs w:val="20"/>
              </w:rPr>
              <w:t>Operational works code</w:t>
            </w:r>
          </w:p>
          <w:p w14:paraId="206E01BF" w14:textId="77777777" w:rsidR="00BE36FB" w:rsidRPr="009B7B35" w:rsidRDefault="00BE36FB" w:rsidP="00BE36FB">
            <w:pPr>
              <w:pStyle w:val="ListBullet"/>
              <w:ind w:left="360" w:hanging="360"/>
              <w:rPr>
                <w:rFonts w:cs="Arial"/>
                <w:szCs w:val="20"/>
              </w:rPr>
            </w:pPr>
            <w:r w:rsidRPr="009B7B35">
              <w:rPr>
                <w:rFonts w:cs="Arial"/>
                <w:szCs w:val="20"/>
              </w:rPr>
              <w:t>Development design code</w:t>
            </w:r>
          </w:p>
        </w:tc>
      </w:tr>
      <w:tr w:rsidR="00BE36FB" w:rsidRPr="009B7B35" w14:paraId="545E8469" w14:textId="77777777" w:rsidTr="001A7107">
        <w:trPr>
          <w:trHeight w:val="42"/>
        </w:trPr>
        <w:tc>
          <w:tcPr>
            <w:tcW w:w="2380" w:type="dxa"/>
            <w:vMerge/>
          </w:tcPr>
          <w:p w14:paraId="0B18F930" w14:textId="77777777" w:rsidR="00BE36FB" w:rsidRPr="009B7B35" w:rsidRDefault="00BE36FB" w:rsidP="001A7107">
            <w:pPr>
              <w:pStyle w:val="TableText"/>
              <w:rPr>
                <w:rFonts w:cs="Arial"/>
              </w:rPr>
            </w:pPr>
          </w:p>
        </w:tc>
        <w:tc>
          <w:tcPr>
            <w:tcW w:w="6980" w:type="dxa"/>
            <w:gridSpan w:val="3"/>
            <w:shd w:val="clear" w:color="auto" w:fill="BFBFBF" w:themeFill="background1" w:themeFillShade="BF"/>
          </w:tcPr>
          <w:p w14:paraId="581C6514"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Accepted development </w:t>
            </w:r>
          </w:p>
        </w:tc>
      </w:tr>
      <w:tr w:rsidR="00BE36FB" w:rsidRPr="009B7B35" w14:paraId="214BC730" w14:textId="77777777" w:rsidTr="001A7107">
        <w:tc>
          <w:tcPr>
            <w:tcW w:w="2380" w:type="dxa"/>
            <w:vMerge/>
          </w:tcPr>
          <w:p w14:paraId="490A894F" w14:textId="77777777" w:rsidR="00BE36FB" w:rsidRPr="009B7B35" w:rsidRDefault="00BE36FB" w:rsidP="001A7107">
            <w:pPr>
              <w:pStyle w:val="TableText"/>
              <w:rPr>
                <w:rFonts w:cs="Arial"/>
              </w:rPr>
            </w:pPr>
          </w:p>
        </w:tc>
        <w:tc>
          <w:tcPr>
            <w:tcW w:w="3503" w:type="dxa"/>
            <w:gridSpan w:val="2"/>
          </w:tcPr>
          <w:p w14:paraId="34427B62" w14:textId="77777777" w:rsidR="00BE36FB" w:rsidRPr="009B7B35" w:rsidRDefault="00BE36FB" w:rsidP="001A7107">
            <w:pPr>
              <w:pStyle w:val="TableText"/>
              <w:rPr>
                <w:rFonts w:cs="Arial"/>
              </w:rPr>
            </w:pPr>
            <w:r w:rsidRPr="009B7B35">
              <w:rPr>
                <w:rFonts w:cs="Arial"/>
              </w:rPr>
              <w:t>Where involving earthworks of less than 500m</w:t>
            </w:r>
            <w:r w:rsidRPr="009B7B35">
              <w:rPr>
                <w:rStyle w:val="StyleSuperscript"/>
                <w:rFonts w:cs="Arial"/>
              </w:rPr>
              <w:t>3</w:t>
            </w:r>
            <w:r w:rsidRPr="009B7B35">
              <w:rPr>
                <w:rFonts w:cs="Arial"/>
              </w:rPr>
              <w:t xml:space="preserve"> for water retention purposes (for stock handling or agricultural activities) or less than 100m</w:t>
            </w:r>
            <w:r w:rsidRPr="009B7B35">
              <w:rPr>
                <w:rStyle w:val="StyleSuperscript"/>
                <w:rFonts w:cs="Arial"/>
              </w:rPr>
              <w:t>3</w:t>
            </w:r>
            <w:r w:rsidRPr="009B7B35">
              <w:rPr>
                <w:rFonts w:cs="Arial"/>
              </w:rPr>
              <w:t xml:space="preserve"> for other activities.</w:t>
            </w:r>
          </w:p>
          <w:p w14:paraId="758436B7" w14:textId="77777777" w:rsidR="00BE36FB" w:rsidRPr="009B7B35" w:rsidRDefault="00BE36FB" w:rsidP="001A7107">
            <w:pPr>
              <w:pStyle w:val="TableText"/>
              <w:rPr>
                <w:rFonts w:cs="Arial"/>
              </w:rPr>
            </w:pPr>
          </w:p>
        </w:tc>
        <w:tc>
          <w:tcPr>
            <w:tcW w:w="3477" w:type="dxa"/>
          </w:tcPr>
          <w:p w14:paraId="6C33FBB2" w14:textId="77777777" w:rsidR="00BE36FB" w:rsidRPr="009B7B35" w:rsidRDefault="00BE36FB" w:rsidP="001A7107">
            <w:pPr>
              <w:pStyle w:val="TableText"/>
              <w:rPr>
                <w:rFonts w:cs="Arial"/>
              </w:rPr>
            </w:pPr>
          </w:p>
        </w:tc>
      </w:tr>
      <w:tr w:rsidR="00BE36FB" w:rsidRPr="009B7B35" w14:paraId="6D62FF1D" w14:textId="77777777" w:rsidTr="001A7107">
        <w:trPr>
          <w:cantSplit/>
          <w:trHeight w:val="263"/>
        </w:trPr>
        <w:tc>
          <w:tcPr>
            <w:tcW w:w="2380" w:type="dxa"/>
            <w:vMerge w:val="restart"/>
          </w:tcPr>
          <w:p w14:paraId="73254916" w14:textId="77777777" w:rsidR="00BE36FB" w:rsidRPr="009B7B35" w:rsidRDefault="00BE36FB" w:rsidP="001A7107">
            <w:pPr>
              <w:pStyle w:val="TableText"/>
              <w:rPr>
                <w:rFonts w:cs="Arial"/>
              </w:rPr>
            </w:pPr>
            <w:r w:rsidRPr="009B7B35">
              <w:rPr>
                <w:rFonts w:cs="Arial"/>
              </w:rPr>
              <w:t>All other zones.</w:t>
            </w:r>
          </w:p>
          <w:p w14:paraId="7871CA39" w14:textId="77777777" w:rsidR="00BE36FB" w:rsidRPr="009B7B35" w:rsidRDefault="00BE36FB" w:rsidP="001A7107">
            <w:pPr>
              <w:pStyle w:val="TableText"/>
              <w:rPr>
                <w:rFonts w:cs="Arial"/>
              </w:rPr>
            </w:pPr>
            <w:r w:rsidRPr="009B7B35">
              <w:rPr>
                <w:rFonts w:cs="Arial"/>
              </w:rPr>
              <w:t>Carrying out operational work not associated with a material change of use and not associated with reconfiguring a lot and involving earthworks, including filling or excavating land.</w:t>
            </w:r>
          </w:p>
        </w:tc>
        <w:tc>
          <w:tcPr>
            <w:tcW w:w="6980" w:type="dxa"/>
            <w:gridSpan w:val="3"/>
            <w:shd w:val="clear" w:color="auto" w:fill="BFBFBF" w:themeFill="background1" w:themeFillShade="BF"/>
          </w:tcPr>
          <w:p w14:paraId="4067E903" w14:textId="77777777" w:rsidR="00BE36FB" w:rsidRPr="009B7B35" w:rsidRDefault="00BE36FB" w:rsidP="001A7107">
            <w:pPr>
              <w:pStyle w:val="ListBullet"/>
              <w:numPr>
                <w:ilvl w:val="0"/>
                <w:numId w:val="0"/>
              </w:numPr>
              <w:tabs>
                <w:tab w:val="clear" w:pos="284"/>
                <w:tab w:val="left" w:pos="0"/>
              </w:tabs>
              <w:ind w:left="284" w:hanging="284"/>
              <w:rPr>
                <w:rFonts w:cs="Arial"/>
                <w:szCs w:val="20"/>
              </w:rPr>
            </w:pPr>
            <w:r w:rsidRPr="009B7B35">
              <w:rPr>
                <w:rFonts w:cs="Arial"/>
                <w:b/>
                <w:szCs w:val="20"/>
              </w:rPr>
              <w:t>Code assessable</w:t>
            </w:r>
          </w:p>
        </w:tc>
      </w:tr>
      <w:tr w:rsidR="00BE36FB" w:rsidRPr="009B7B35" w14:paraId="1C49E049" w14:textId="77777777" w:rsidTr="001A7107">
        <w:trPr>
          <w:cantSplit/>
        </w:trPr>
        <w:tc>
          <w:tcPr>
            <w:tcW w:w="2380" w:type="dxa"/>
            <w:vMerge/>
          </w:tcPr>
          <w:p w14:paraId="09E1F260" w14:textId="77777777" w:rsidR="00BE36FB" w:rsidRPr="009B7B35" w:rsidRDefault="00BE36FB" w:rsidP="001A7107">
            <w:pPr>
              <w:pStyle w:val="TableText"/>
              <w:rPr>
                <w:rFonts w:cs="Arial"/>
              </w:rPr>
            </w:pPr>
          </w:p>
        </w:tc>
        <w:tc>
          <w:tcPr>
            <w:tcW w:w="3503" w:type="dxa"/>
            <w:gridSpan w:val="2"/>
          </w:tcPr>
          <w:p w14:paraId="3C1C03A6" w14:textId="77777777" w:rsidR="00BE36FB" w:rsidRPr="009B7B35" w:rsidRDefault="00BE36FB" w:rsidP="001A7107">
            <w:pPr>
              <w:pStyle w:val="TableText"/>
              <w:rPr>
                <w:rFonts w:cs="Arial"/>
              </w:rPr>
            </w:pPr>
            <w:r w:rsidRPr="009B7B35">
              <w:rPr>
                <w:rFonts w:cs="Arial"/>
              </w:rPr>
              <w:t xml:space="preserve">Where development: </w:t>
            </w:r>
          </w:p>
          <w:p w14:paraId="19C4C8AE" w14:textId="77777777" w:rsidR="00BE36FB" w:rsidRPr="009B7B35" w:rsidRDefault="00BE36FB" w:rsidP="00BE36FB">
            <w:pPr>
              <w:pStyle w:val="TableText"/>
              <w:numPr>
                <w:ilvl w:val="0"/>
                <w:numId w:val="86"/>
              </w:numPr>
              <w:rPr>
                <w:rFonts w:cs="Arial"/>
              </w:rPr>
            </w:pPr>
            <w:r w:rsidRPr="009B7B35">
              <w:rPr>
                <w:rFonts w:cs="Arial"/>
              </w:rPr>
              <w:t>involving earthworks of 100m</w:t>
            </w:r>
            <w:r w:rsidRPr="009B7B35">
              <w:rPr>
                <w:rStyle w:val="StyleSuperscript"/>
                <w:rFonts w:cs="Arial"/>
              </w:rPr>
              <w:t>3</w:t>
            </w:r>
            <w:r w:rsidRPr="009B7B35">
              <w:rPr>
                <w:rFonts w:cs="Arial"/>
              </w:rPr>
              <w:t xml:space="preserve"> or more.</w:t>
            </w:r>
          </w:p>
        </w:tc>
        <w:tc>
          <w:tcPr>
            <w:tcW w:w="3477" w:type="dxa"/>
          </w:tcPr>
          <w:p w14:paraId="2D5378BB" w14:textId="77777777" w:rsidR="00BE36FB" w:rsidRPr="009B7B35" w:rsidRDefault="00BE36FB" w:rsidP="00BE36FB">
            <w:pPr>
              <w:pStyle w:val="ListBullet"/>
              <w:ind w:left="360" w:hanging="360"/>
              <w:rPr>
                <w:rFonts w:cs="Arial"/>
                <w:szCs w:val="20"/>
              </w:rPr>
            </w:pPr>
            <w:r w:rsidRPr="009B7B35">
              <w:rPr>
                <w:rFonts w:cs="Arial"/>
                <w:szCs w:val="20"/>
              </w:rPr>
              <w:t>Relevant zone code</w:t>
            </w:r>
          </w:p>
          <w:p w14:paraId="764B5647" w14:textId="77777777" w:rsidR="00BE36FB" w:rsidRPr="009B7B35" w:rsidRDefault="00BE36FB" w:rsidP="00BE36FB">
            <w:pPr>
              <w:pStyle w:val="ListBullet"/>
              <w:ind w:left="360" w:hanging="360"/>
              <w:rPr>
                <w:rFonts w:cs="Arial"/>
                <w:szCs w:val="20"/>
              </w:rPr>
            </w:pPr>
            <w:r w:rsidRPr="009B7B35">
              <w:rPr>
                <w:rFonts w:cs="Arial"/>
                <w:szCs w:val="20"/>
              </w:rPr>
              <w:t>Operational works code</w:t>
            </w:r>
          </w:p>
          <w:p w14:paraId="4339D269" w14:textId="77777777" w:rsidR="00BE36FB" w:rsidRPr="009B7B35" w:rsidRDefault="00BE36FB" w:rsidP="00BE36FB">
            <w:pPr>
              <w:pStyle w:val="ListBullet"/>
              <w:ind w:left="360" w:hanging="360"/>
              <w:rPr>
                <w:rFonts w:cs="Arial"/>
                <w:szCs w:val="20"/>
              </w:rPr>
            </w:pPr>
            <w:r w:rsidRPr="009B7B35">
              <w:rPr>
                <w:rFonts w:cs="Arial"/>
                <w:szCs w:val="20"/>
              </w:rPr>
              <w:t>Development design code</w:t>
            </w:r>
          </w:p>
        </w:tc>
      </w:tr>
      <w:tr w:rsidR="00BE36FB" w:rsidRPr="009B7B35" w14:paraId="1480BC56" w14:textId="77777777" w:rsidTr="001A7107">
        <w:trPr>
          <w:cantSplit/>
          <w:trHeight w:val="42"/>
        </w:trPr>
        <w:tc>
          <w:tcPr>
            <w:tcW w:w="2380" w:type="dxa"/>
            <w:vMerge/>
          </w:tcPr>
          <w:p w14:paraId="592E17B3" w14:textId="77777777" w:rsidR="00BE36FB" w:rsidRPr="009B7B35" w:rsidRDefault="00BE36FB" w:rsidP="001A7107">
            <w:pPr>
              <w:pStyle w:val="TableText"/>
              <w:rPr>
                <w:rFonts w:cs="Arial"/>
              </w:rPr>
            </w:pPr>
          </w:p>
        </w:tc>
        <w:tc>
          <w:tcPr>
            <w:tcW w:w="6980" w:type="dxa"/>
            <w:gridSpan w:val="3"/>
            <w:shd w:val="clear" w:color="auto" w:fill="BFBFBF" w:themeFill="background1" w:themeFillShade="BF"/>
          </w:tcPr>
          <w:p w14:paraId="58501D4B"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Accepted development </w:t>
            </w:r>
          </w:p>
        </w:tc>
      </w:tr>
      <w:tr w:rsidR="00BE36FB" w:rsidRPr="009B7B35" w14:paraId="518CD919" w14:textId="77777777" w:rsidTr="001A7107">
        <w:trPr>
          <w:cantSplit/>
        </w:trPr>
        <w:tc>
          <w:tcPr>
            <w:tcW w:w="2380" w:type="dxa"/>
            <w:vMerge/>
          </w:tcPr>
          <w:p w14:paraId="29C5ECE9" w14:textId="77777777" w:rsidR="00BE36FB" w:rsidRPr="009B7B35" w:rsidRDefault="00BE36FB" w:rsidP="001A7107">
            <w:pPr>
              <w:pStyle w:val="TableText"/>
              <w:rPr>
                <w:rFonts w:cs="Arial"/>
              </w:rPr>
            </w:pPr>
          </w:p>
        </w:tc>
        <w:tc>
          <w:tcPr>
            <w:tcW w:w="3503" w:type="dxa"/>
            <w:gridSpan w:val="2"/>
          </w:tcPr>
          <w:p w14:paraId="291E6CEE" w14:textId="77777777" w:rsidR="00BE36FB" w:rsidRPr="009B7B35" w:rsidRDefault="00BE36FB" w:rsidP="001A7107">
            <w:pPr>
              <w:pStyle w:val="TableText"/>
              <w:rPr>
                <w:rFonts w:cs="Arial"/>
              </w:rPr>
            </w:pPr>
            <w:r w:rsidRPr="009B7B35">
              <w:rPr>
                <w:rFonts w:cs="Arial"/>
              </w:rPr>
              <w:t>Where involving earthworks of less than 100m</w:t>
            </w:r>
            <w:r w:rsidRPr="009B7B35">
              <w:rPr>
                <w:rStyle w:val="StyleSuperscript"/>
                <w:rFonts w:cs="Arial"/>
              </w:rPr>
              <w:t>3</w:t>
            </w:r>
            <w:r w:rsidRPr="009B7B35">
              <w:rPr>
                <w:rFonts w:cs="Arial"/>
              </w:rPr>
              <w:t>.</w:t>
            </w:r>
          </w:p>
          <w:p w14:paraId="0F45A87A" w14:textId="77777777" w:rsidR="00BE36FB" w:rsidRPr="009B7B35" w:rsidRDefault="00BE36FB" w:rsidP="001A7107">
            <w:pPr>
              <w:pStyle w:val="TableText"/>
              <w:rPr>
                <w:rFonts w:cs="Arial"/>
              </w:rPr>
            </w:pPr>
          </w:p>
        </w:tc>
        <w:tc>
          <w:tcPr>
            <w:tcW w:w="3477" w:type="dxa"/>
          </w:tcPr>
          <w:p w14:paraId="7E5D04C4" w14:textId="77777777" w:rsidR="00BE36FB" w:rsidRPr="009B7B35" w:rsidRDefault="00BE36FB" w:rsidP="001A7107">
            <w:pPr>
              <w:pStyle w:val="TableText"/>
              <w:rPr>
                <w:rFonts w:cs="Arial"/>
              </w:rPr>
            </w:pPr>
          </w:p>
        </w:tc>
      </w:tr>
      <w:tr w:rsidR="00BE36FB" w:rsidRPr="009B7B35" w14:paraId="3967FEDA" w14:textId="77777777" w:rsidTr="001A7107">
        <w:trPr>
          <w:cantSplit/>
        </w:trPr>
        <w:tc>
          <w:tcPr>
            <w:tcW w:w="2380" w:type="dxa"/>
            <w:vMerge w:val="restart"/>
          </w:tcPr>
          <w:p w14:paraId="237184B4" w14:textId="77777777" w:rsidR="00BE36FB" w:rsidRPr="009B7B35" w:rsidRDefault="00BE36FB" w:rsidP="001A7107">
            <w:pPr>
              <w:pStyle w:val="TableText"/>
              <w:rPr>
                <w:rFonts w:cs="Arial"/>
              </w:rPr>
            </w:pPr>
            <w:r w:rsidRPr="009B7B35">
              <w:rPr>
                <w:rFonts w:cs="Arial"/>
              </w:rPr>
              <w:t>Carrying out operational work associated with a material change of use and involving earthworks, including filling or excavating land.</w:t>
            </w:r>
          </w:p>
          <w:p w14:paraId="54FCA117" w14:textId="77777777" w:rsidR="00BE36FB" w:rsidRPr="009B7B35" w:rsidRDefault="00BE36FB" w:rsidP="001A7107">
            <w:pPr>
              <w:pStyle w:val="TableText"/>
              <w:rPr>
                <w:rFonts w:cs="Arial"/>
              </w:rPr>
            </w:pPr>
          </w:p>
        </w:tc>
        <w:tc>
          <w:tcPr>
            <w:tcW w:w="6980" w:type="dxa"/>
            <w:gridSpan w:val="3"/>
            <w:shd w:val="clear" w:color="auto" w:fill="BFBFBF" w:themeFill="background1" w:themeFillShade="BF"/>
          </w:tcPr>
          <w:p w14:paraId="7ABCD5EE" w14:textId="77777777" w:rsidR="00BE36FB" w:rsidRPr="009B7B35" w:rsidRDefault="00BE36FB" w:rsidP="001A7107">
            <w:pPr>
              <w:pStyle w:val="Tableheading"/>
              <w:rPr>
                <w:rFonts w:ascii="Arial" w:hAnsi="Arial" w:cs="Arial"/>
                <w:szCs w:val="20"/>
              </w:rPr>
            </w:pPr>
            <w:r w:rsidRPr="009B7B35">
              <w:rPr>
                <w:rFonts w:ascii="Arial" w:hAnsi="Arial" w:cs="Arial"/>
                <w:szCs w:val="20"/>
              </w:rPr>
              <w:t>Accepted development</w:t>
            </w:r>
          </w:p>
        </w:tc>
      </w:tr>
      <w:tr w:rsidR="00BE36FB" w:rsidRPr="009B7B35" w14:paraId="27C75E64" w14:textId="77777777" w:rsidTr="001A7107">
        <w:trPr>
          <w:cantSplit/>
        </w:trPr>
        <w:tc>
          <w:tcPr>
            <w:tcW w:w="2380" w:type="dxa"/>
            <w:vMerge/>
          </w:tcPr>
          <w:p w14:paraId="65A8C08B" w14:textId="77777777" w:rsidR="00BE36FB" w:rsidRPr="009B7B35" w:rsidRDefault="00BE36FB" w:rsidP="001A7107">
            <w:pPr>
              <w:pStyle w:val="TableText"/>
              <w:rPr>
                <w:rFonts w:cs="Arial"/>
              </w:rPr>
            </w:pPr>
          </w:p>
        </w:tc>
        <w:tc>
          <w:tcPr>
            <w:tcW w:w="3503" w:type="dxa"/>
            <w:gridSpan w:val="2"/>
          </w:tcPr>
          <w:p w14:paraId="15EF7C0D" w14:textId="77777777" w:rsidR="00BE36FB" w:rsidRPr="009B7B35" w:rsidRDefault="00BE36FB" w:rsidP="001A7107">
            <w:pPr>
              <w:pStyle w:val="TableText"/>
              <w:rPr>
                <w:rFonts w:cs="Arial"/>
              </w:rPr>
            </w:pPr>
            <w:r w:rsidRPr="009B7B35">
              <w:rPr>
                <w:rFonts w:cs="Arial"/>
              </w:rPr>
              <w:t>Where in the State Development Area within the Special purpose zone.</w:t>
            </w:r>
          </w:p>
        </w:tc>
        <w:tc>
          <w:tcPr>
            <w:tcW w:w="3477" w:type="dxa"/>
          </w:tcPr>
          <w:p w14:paraId="1F76B340" w14:textId="77777777" w:rsidR="00BE36FB" w:rsidRPr="009B7B35" w:rsidRDefault="00BE36FB" w:rsidP="001A7107">
            <w:pPr>
              <w:pStyle w:val="TableText"/>
              <w:rPr>
                <w:rFonts w:cs="Arial"/>
              </w:rPr>
            </w:pPr>
          </w:p>
        </w:tc>
      </w:tr>
      <w:tr w:rsidR="00BE36FB" w:rsidRPr="009B7B35" w14:paraId="305E0AE9" w14:textId="77777777" w:rsidTr="001A7107">
        <w:trPr>
          <w:trHeight w:val="42"/>
        </w:trPr>
        <w:tc>
          <w:tcPr>
            <w:tcW w:w="2380" w:type="dxa"/>
            <w:vMerge w:val="restart"/>
          </w:tcPr>
          <w:p w14:paraId="267CE863" w14:textId="77777777" w:rsidR="00BE36FB" w:rsidRPr="009B7B35" w:rsidRDefault="00BE36FB" w:rsidP="001A7107">
            <w:pPr>
              <w:pStyle w:val="TableText"/>
              <w:rPr>
                <w:rFonts w:cs="Arial"/>
              </w:rPr>
            </w:pPr>
            <w:r w:rsidRPr="009B7B35">
              <w:rPr>
                <w:rFonts w:cs="Arial"/>
              </w:rPr>
              <w:t>All other zones excluding the State Development Area within the Special purpose zone.</w:t>
            </w:r>
          </w:p>
          <w:p w14:paraId="20EBF170" w14:textId="77777777" w:rsidR="00BE36FB" w:rsidRPr="009B7B35" w:rsidRDefault="00BE36FB" w:rsidP="001A7107">
            <w:pPr>
              <w:pStyle w:val="TableText"/>
              <w:rPr>
                <w:rFonts w:cs="Arial"/>
              </w:rPr>
            </w:pPr>
            <w:r w:rsidRPr="009B7B35">
              <w:rPr>
                <w:rFonts w:cs="Arial"/>
              </w:rPr>
              <w:t>Carrying out operational work associated with a material change of use and involving earthworks, including filling or excavating land.</w:t>
            </w:r>
          </w:p>
        </w:tc>
        <w:tc>
          <w:tcPr>
            <w:tcW w:w="6980" w:type="dxa"/>
            <w:gridSpan w:val="3"/>
            <w:shd w:val="clear" w:color="auto" w:fill="BFBFBF" w:themeFill="background1" w:themeFillShade="BF"/>
          </w:tcPr>
          <w:p w14:paraId="169A1681" w14:textId="77777777" w:rsidR="00BE36FB" w:rsidRPr="009B7B35" w:rsidRDefault="00BE36FB" w:rsidP="001A7107">
            <w:pPr>
              <w:pStyle w:val="Tableheading"/>
              <w:rPr>
                <w:rFonts w:ascii="Arial" w:hAnsi="Arial" w:cs="Arial"/>
                <w:szCs w:val="20"/>
              </w:rPr>
            </w:pPr>
            <w:r w:rsidRPr="009B7B35">
              <w:rPr>
                <w:rFonts w:ascii="Arial" w:hAnsi="Arial" w:cs="Arial"/>
                <w:szCs w:val="20"/>
              </w:rPr>
              <w:t>Code assessable</w:t>
            </w:r>
          </w:p>
        </w:tc>
      </w:tr>
      <w:tr w:rsidR="00BE36FB" w:rsidRPr="009B7B35" w14:paraId="5624100E" w14:textId="77777777" w:rsidTr="001A7107">
        <w:trPr>
          <w:cantSplit/>
        </w:trPr>
        <w:tc>
          <w:tcPr>
            <w:tcW w:w="2380" w:type="dxa"/>
            <w:vMerge/>
          </w:tcPr>
          <w:p w14:paraId="22D56164" w14:textId="77777777" w:rsidR="00BE36FB" w:rsidRPr="009B7B35" w:rsidRDefault="00BE36FB" w:rsidP="001A7107">
            <w:pPr>
              <w:pStyle w:val="TableText"/>
              <w:rPr>
                <w:rFonts w:cs="Arial"/>
              </w:rPr>
            </w:pPr>
          </w:p>
        </w:tc>
        <w:tc>
          <w:tcPr>
            <w:tcW w:w="3503" w:type="dxa"/>
            <w:gridSpan w:val="2"/>
          </w:tcPr>
          <w:p w14:paraId="6F05FD83" w14:textId="77777777" w:rsidR="00BE36FB" w:rsidRPr="009B7B35" w:rsidRDefault="00BE36FB" w:rsidP="001A7107">
            <w:pPr>
              <w:pStyle w:val="TableText"/>
              <w:rPr>
                <w:rFonts w:cs="Arial"/>
              </w:rPr>
            </w:pPr>
            <w:r w:rsidRPr="009B7B35">
              <w:rPr>
                <w:rFonts w:cs="Arial"/>
              </w:rPr>
              <w:t>Where development:</w:t>
            </w:r>
          </w:p>
          <w:p w14:paraId="53DB6FAB" w14:textId="77777777" w:rsidR="00BE36FB" w:rsidRPr="009B7B35" w:rsidRDefault="00BE36FB" w:rsidP="00BE36FB">
            <w:pPr>
              <w:pStyle w:val="TableText"/>
              <w:numPr>
                <w:ilvl w:val="0"/>
                <w:numId w:val="85"/>
              </w:numPr>
              <w:rPr>
                <w:rFonts w:cs="Arial"/>
              </w:rPr>
            </w:pPr>
            <w:r w:rsidRPr="009B7B35">
              <w:rPr>
                <w:rFonts w:cs="Arial"/>
              </w:rPr>
              <w:t>involving earthworks of 100m</w:t>
            </w:r>
            <w:r w:rsidRPr="009B7B35">
              <w:rPr>
                <w:rStyle w:val="StyleSuperscript"/>
                <w:rFonts w:cs="Arial"/>
              </w:rPr>
              <w:t>3</w:t>
            </w:r>
            <w:r w:rsidRPr="009B7B35">
              <w:rPr>
                <w:rFonts w:cs="Arial"/>
              </w:rPr>
              <w:t xml:space="preserve"> or more.</w:t>
            </w:r>
          </w:p>
        </w:tc>
        <w:tc>
          <w:tcPr>
            <w:tcW w:w="3477" w:type="dxa"/>
          </w:tcPr>
          <w:p w14:paraId="2457CE50" w14:textId="77777777" w:rsidR="00BE36FB" w:rsidRPr="009B7B35" w:rsidRDefault="00BE36FB" w:rsidP="00BE36FB">
            <w:pPr>
              <w:pStyle w:val="ListBullet"/>
              <w:ind w:left="360" w:hanging="360"/>
              <w:rPr>
                <w:rFonts w:cs="Arial"/>
                <w:szCs w:val="20"/>
              </w:rPr>
            </w:pPr>
            <w:r w:rsidRPr="009B7B35">
              <w:rPr>
                <w:rFonts w:cs="Arial"/>
                <w:szCs w:val="20"/>
              </w:rPr>
              <w:t>Relevant zone code</w:t>
            </w:r>
          </w:p>
          <w:p w14:paraId="579288B6" w14:textId="77777777" w:rsidR="00BE36FB" w:rsidRPr="009B7B35" w:rsidRDefault="00BE36FB" w:rsidP="00BE36FB">
            <w:pPr>
              <w:pStyle w:val="ListBullet"/>
              <w:ind w:left="360" w:hanging="360"/>
              <w:rPr>
                <w:rFonts w:cs="Arial"/>
                <w:szCs w:val="20"/>
              </w:rPr>
            </w:pPr>
            <w:r w:rsidRPr="009B7B35">
              <w:rPr>
                <w:rFonts w:cs="Arial"/>
                <w:szCs w:val="20"/>
              </w:rPr>
              <w:t>Operational works code</w:t>
            </w:r>
          </w:p>
          <w:p w14:paraId="2B938A0E" w14:textId="77777777" w:rsidR="00BE36FB" w:rsidRPr="009B7B35" w:rsidRDefault="00BE36FB" w:rsidP="00BE36FB">
            <w:pPr>
              <w:pStyle w:val="ListBullet"/>
              <w:ind w:left="360" w:hanging="360"/>
              <w:rPr>
                <w:rFonts w:cs="Arial"/>
                <w:szCs w:val="20"/>
              </w:rPr>
            </w:pPr>
            <w:r w:rsidRPr="009B7B35">
              <w:rPr>
                <w:rFonts w:cs="Arial"/>
                <w:szCs w:val="20"/>
              </w:rPr>
              <w:t>Development design code</w:t>
            </w:r>
          </w:p>
        </w:tc>
      </w:tr>
      <w:tr w:rsidR="00BE36FB" w:rsidRPr="009B7B35" w14:paraId="3A316F0D" w14:textId="77777777" w:rsidTr="001A7107">
        <w:trPr>
          <w:cantSplit/>
          <w:trHeight w:val="42"/>
        </w:trPr>
        <w:tc>
          <w:tcPr>
            <w:tcW w:w="2380" w:type="dxa"/>
            <w:vMerge/>
          </w:tcPr>
          <w:p w14:paraId="4088C22D" w14:textId="77777777" w:rsidR="00BE36FB" w:rsidRPr="009B7B35" w:rsidRDefault="00BE36FB" w:rsidP="001A7107">
            <w:pPr>
              <w:pStyle w:val="TableText"/>
              <w:rPr>
                <w:rFonts w:cs="Arial"/>
              </w:rPr>
            </w:pPr>
          </w:p>
        </w:tc>
        <w:tc>
          <w:tcPr>
            <w:tcW w:w="6980" w:type="dxa"/>
            <w:gridSpan w:val="3"/>
            <w:shd w:val="clear" w:color="auto" w:fill="BFBFBF" w:themeFill="background1" w:themeFillShade="BF"/>
          </w:tcPr>
          <w:p w14:paraId="598E1110"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Accepted development </w:t>
            </w:r>
          </w:p>
        </w:tc>
      </w:tr>
      <w:tr w:rsidR="00BE36FB" w:rsidRPr="009B7B35" w14:paraId="69E01FD8" w14:textId="77777777" w:rsidTr="001A7107">
        <w:trPr>
          <w:cantSplit/>
        </w:trPr>
        <w:tc>
          <w:tcPr>
            <w:tcW w:w="2380" w:type="dxa"/>
            <w:vMerge/>
          </w:tcPr>
          <w:p w14:paraId="157E1034" w14:textId="77777777" w:rsidR="00BE36FB" w:rsidRPr="009B7B35" w:rsidRDefault="00BE36FB" w:rsidP="001A7107">
            <w:pPr>
              <w:pStyle w:val="TableText"/>
              <w:rPr>
                <w:rFonts w:cs="Arial"/>
              </w:rPr>
            </w:pPr>
          </w:p>
        </w:tc>
        <w:tc>
          <w:tcPr>
            <w:tcW w:w="3503" w:type="dxa"/>
            <w:gridSpan w:val="2"/>
          </w:tcPr>
          <w:p w14:paraId="20406380" w14:textId="77777777" w:rsidR="00BE36FB" w:rsidRPr="009B7B35" w:rsidRDefault="00BE36FB" w:rsidP="001A7107">
            <w:pPr>
              <w:pStyle w:val="TableText"/>
              <w:rPr>
                <w:rFonts w:cs="Arial"/>
              </w:rPr>
            </w:pPr>
            <w:r w:rsidRPr="009B7B35">
              <w:rPr>
                <w:rFonts w:cs="Arial"/>
              </w:rPr>
              <w:t>Where involving earthworks of less than 100m</w:t>
            </w:r>
            <w:r w:rsidRPr="009B7B35">
              <w:rPr>
                <w:rStyle w:val="StyleSuperscript"/>
                <w:rFonts w:cs="Arial"/>
              </w:rPr>
              <w:t>3</w:t>
            </w:r>
            <w:r w:rsidRPr="009B7B35">
              <w:rPr>
                <w:rFonts w:cs="Arial"/>
              </w:rPr>
              <w:t>.</w:t>
            </w:r>
          </w:p>
        </w:tc>
        <w:tc>
          <w:tcPr>
            <w:tcW w:w="3477" w:type="dxa"/>
          </w:tcPr>
          <w:p w14:paraId="6135D959" w14:textId="77777777" w:rsidR="00BE36FB" w:rsidRPr="009B7B35" w:rsidRDefault="00BE36FB" w:rsidP="001A7107">
            <w:pPr>
              <w:pStyle w:val="TableText"/>
              <w:rPr>
                <w:rFonts w:cs="Arial"/>
              </w:rPr>
            </w:pPr>
          </w:p>
        </w:tc>
      </w:tr>
      <w:tr w:rsidR="00BE36FB" w:rsidRPr="009B7B35" w14:paraId="4578BAFB" w14:textId="77777777" w:rsidTr="001A7107">
        <w:trPr>
          <w:cantSplit/>
        </w:trPr>
        <w:tc>
          <w:tcPr>
            <w:tcW w:w="2380" w:type="dxa"/>
            <w:vMerge w:val="restart"/>
          </w:tcPr>
          <w:p w14:paraId="56328C9D" w14:textId="77777777" w:rsidR="00BE36FB" w:rsidRPr="009B7B35" w:rsidRDefault="00BE36FB" w:rsidP="001A7107">
            <w:pPr>
              <w:pStyle w:val="TableText"/>
              <w:rPr>
                <w:rFonts w:cs="Arial"/>
              </w:rPr>
            </w:pPr>
            <w:r w:rsidRPr="009B7B35">
              <w:rPr>
                <w:rFonts w:cs="Arial"/>
              </w:rPr>
              <w:t>All other zones.</w:t>
            </w:r>
          </w:p>
          <w:p w14:paraId="6C49597F" w14:textId="77777777" w:rsidR="00BE36FB" w:rsidRPr="009B7B35" w:rsidRDefault="00BE36FB" w:rsidP="001A7107">
            <w:pPr>
              <w:pStyle w:val="TableText"/>
              <w:rPr>
                <w:rFonts w:cs="Arial"/>
              </w:rPr>
            </w:pPr>
            <w:r w:rsidRPr="009B7B35">
              <w:rPr>
                <w:rFonts w:cs="Arial"/>
              </w:rPr>
              <w:t>Carrying out operational work associated with a reconfiguring a lot and involving earthworks, including filling or excavating land.</w:t>
            </w:r>
          </w:p>
        </w:tc>
        <w:tc>
          <w:tcPr>
            <w:tcW w:w="6980" w:type="dxa"/>
            <w:gridSpan w:val="3"/>
            <w:shd w:val="clear" w:color="auto" w:fill="BFBFBF" w:themeFill="background1" w:themeFillShade="BF"/>
          </w:tcPr>
          <w:p w14:paraId="54FB3DA5" w14:textId="77777777" w:rsidR="00BE36FB" w:rsidRPr="009B7B35" w:rsidRDefault="00BE36FB" w:rsidP="001A7107">
            <w:pPr>
              <w:pStyle w:val="Tableheading"/>
              <w:rPr>
                <w:rFonts w:ascii="Arial" w:hAnsi="Arial" w:cs="Arial"/>
                <w:szCs w:val="20"/>
              </w:rPr>
            </w:pPr>
            <w:r w:rsidRPr="009B7B35">
              <w:rPr>
                <w:rFonts w:ascii="Arial" w:hAnsi="Arial" w:cs="Arial"/>
                <w:szCs w:val="20"/>
              </w:rPr>
              <w:t>Code assessable</w:t>
            </w:r>
          </w:p>
        </w:tc>
      </w:tr>
      <w:tr w:rsidR="00BE36FB" w:rsidRPr="009B7B35" w14:paraId="0F14B310" w14:textId="77777777" w:rsidTr="001A7107">
        <w:trPr>
          <w:cantSplit/>
        </w:trPr>
        <w:tc>
          <w:tcPr>
            <w:tcW w:w="2380" w:type="dxa"/>
            <w:vMerge/>
          </w:tcPr>
          <w:p w14:paraId="43AA196F" w14:textId="77777777" w:rsidR="00BE36FB" w:rsidRPr="009B7B35" w:rsidRDefault="00BE36FB" w:rsidP="001A7107">
            <w:pPr>
              <w:pStyle w:val="TableText"/>
              <w:rPr>
                <w:rFonts w:cs="Arial"/>
              </w:rPr>
            </w:pPr>
          </w:p>
        </w:tc>
        <w:tc>
          <w:tcPr>
            <w:tcW w:w="3503" w:type="dxa"/>
            <w:gridSpan w:val="2"/>
          </w:tcPr>
          <w:p w14:paraId="6F9E8087" w14:textId="77777777" w:rsidR="00BE36FB" w:rsidRPr="009B7B35" w:rsidRDefault="00BE36FB" w:rsidP="001A7107">
            <w:pPr>
              <w:pStyle w:val="TableText"/>
              <w:rPr>
                <w:rFonts w:cs="Arial"/>
              </w:rPr>
            </w:pPr>
            <w:r w:rsidRPr="009B7B35">
              <w:rPr>
                <w:rFonts w:cs="Arial"/>
              </w:rPr>
              <w:t xml:space="preserve">Where development: </w:t>
            </w:r>
          </w:p>
          <w:p w14:paraId="2EB5A6A4" w14:textId="77777777" w:rsidR="00BE36FB" w:rsidRPr="009B7B35" w:rsidRDefault="00BE36FB" w:rsidP="00BE36FB">
            <w:pPr>
              <w:pStyle w:val="TableText"/>
              <w:numPr>
                <w:ilvl w:val="0"/>
                <w:numId w:val="87"/>
              </w:numPr>
              <w:rPr>
                <w:rFonts w:cs="Arial"/>
              </w:rPr>
            </w:pPr>
            <w:r w:rsidRPr="009B7B35">
              <w:rPr>
                <w:rFonts w:cs="Arial"/>
              </w:rPr>
              <w:t>involving earthworks of 100m</w:t>
            </w:r>
            <w:r w:rsidRPr="009B7B35">
              <w:rPr>
                <w:rStyle w:val="StyleSuperscript"/>
                <w:rFonts w:cs="Arial"/>
              </w:rPr>
              <w:t>3</w:t>
            </w:r>
            <w:r w:rsidRPr="009B7B35">
              <w:rPr>
                <w:rFonts w:cs="Arial"/>
              </w:rPr>
              <w:t xml:space="preserve"> or more.</w:t>
            </w:r>
          </w:p>
        </w:tc>
        <w:tc>
          <w:tcPr>
            <w:tcW w:w="3477" w:type="dxa"/>
          </w:tcPr>
          <w:p w14:paraId="09C6B520" w14:textId="77777777" w:rsidR="00BE36FB" w:rsidRPr="009B7B35" w:rsidRDefault="00BE36FB" w:rsidP="00BE36FB">
            <w:pPr>
              <w:pStyle w:val="ListBullet"/>
              <w:ind w:left="360" w:hanging="360"/>
              <w:rPr>
                <w:rFonts w:cs="Arial"/>
                <w:szCs w:val="20"/>
              </w:rPr>
            </w:pPr>
            <w:r w:rsidRPr="009B7B35">
              <w:rPr>
                <w:rFonts w:cs="Arial"/>
                <w:szCs w:val="20"/>
              </w:rPr>
              <w:t>Relevant zone code</w:t>
            </w:r>
          </w:p>
          <w:p w14:paraId="271F5468" w14:textId="77777777" w:rsidR="00BE36FB" w:rsidRPr="009B7B35" w:rsidRDefault="00BE36FB" w:rsidP="00BE36FB">
            <w:pPr>
              <w:pStyle w:val="ListBullet"/>
              <w:ind w:left="360" w:hanging="360"/>
              <w:rPr>
                <w:rFonts w:cs="Arial"/>
                <w:szCs w:val="20"/>
              </w:rPr>
            </w:pPr>
            <w:r w:rsidRPr="009B7B35">
              <w:rPr>
                <w:rFonts w:cs="Arial"/>
                <w:szCs w:val="20"/>
              </w:rPr>
              <w:t>Operational works code</w:t>
            </w:r>
          </w:p>
          <w:p w14:paraId="77F5F411" w14:textId="77777777" w:rsidR="00BE36FB" w:rsidRPr="009B7B35" w:rsidRDefault="00BE36FB" w:rsidP="00BE36FB">
            <w:pPr>
              <w:pStyle w:val="ListBullet"/>
              <w:ind w:left="360" w:hanging="360"/>
              <w:rPr>
                <w:rFonts w:cs="Arial"/>
                <w:szCs w:val="20"/>
              </w:rPr>
            </w:pPr>
            <w:r w:rsidRPr="009B7B35">
              <w:rPr>
                <w:rFonts w:cs="Arial"/>
                <w:szCs w:val="20"/>
              </w:rPr>
              <w:t>Reconfiguring a lot code</w:t>
            </w:r>
          </w:p>
          <w:p w14:paraId="31A12BA9" w14:textId="77777777" w:rsidR="00BE36FB" w:rsidRPr="009B7B35" w:rsidRDefault="00BE36FB" w:rsidP="00BE36FB">
            <w:pPr>
              <w:pStyle w:val="ListBullet"/>
              <w:ind w:left="360" w:hanging="360"/>
              <w:rPr>
                <w:rFonts w:cs="Arial"/>
                <w:szCs w:val="20"/>
              </w:rPr>
            </w:pPr>
            <w:r w:rsidRPr="009B7B35">
              <w:rPr>
                <w:rFonts w:cs="Arial"/>
                <w:szCs w:val="20"/>
              </w:rPr>
              <w:t>Development design code</w:t>
            </w:r>
          </w:p>
        </w:tc>
      </w:tr>
      <w:tr w:rsidR="00BE36FB" w:rsidRPr="009B7B35" w14:paraId="326ED4A5" w14:textId="77777777" w:rsidTr="001A7107">
        <w:trPr>
          <w:cantSplit/>
          <w:trHeight w:val="42"/>
        </w:trPr>
        <w:tc>
          <w:tcPr>
            <w:tcW w:w="2380" w:type="dxa"/>
            <w:vMerge/>
          </w:tcPr>
          <w:p w14:paraId="282616ED" w14:textId="77777777" w:rsidR="00BE36FB" w:rsidRPr="009B7B35" w:rsidRDefault="00BE36FB" w:rsidP="001A7107">
            <w:pPr>
              <w:pStyle w:val="TableText"/>
              <w:rPr>
                <w:rFonts w:cs="Arial"/>
              </w:rPr>
            </w:pPr>
          </w:p>
        </w:tc>
        <w:tc>
          <w:tcPr>
            <w:tcW w:w="6980" w:type="dxa"/>
            <w:gridSpan w:val="3"/>
            <w:shd w:val="clear" w:color="auto" w:fill="BFBFBF" w:themeFill="background1" w:themeFillShade="BF"/>
          </w:tcPr>
          <w:p w14:paraId="584A38B8"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Accepted development </w:t>
            </w:r>
          </w:p>
        </w:tc>
      </w:tr>
      <w:tr w:rsidR="00BE36FB" w:rsidRPr="009B7B35" w14:paraId="37187C2A" w14:textId="77777777" w:rsidTr="001A7107">
        <w:trPr>
          <w:cantSplit/>
        </w:trPr>
        <w:tc>
          <w:tcPr>
            <w:tcW w:w="2380" w:type="dxa"/>
            <w:vMerge/>
          </w:tcPr>
          <w:p w14:paraId="60E083B3" w14:textId="77777777" w:rsidR="00BE36FB" w:rsidRPr="009B7B35" w:rsidRDefault="00BE36FB" w:rsidP="001A7107">
            <w:pPr>
              <w:pStyle w:val="TableText"/>
              <w:rPr>
                <w:rFonts w:cs="Arial"/>
              </w:rPr>
            </w:pPr>
          </w:p>
        </w:tc>
        <w:tc>
          <w:tcPr>
            <w:tcW w:w="3503" w:type="dxa"/>
            <w:gridSpan w:val="2"/>
          </w:tcPr>
          <w:p w14:paraId="202947FD" w14:textId="77777777" w:rsidR="00BE36FB" w:rsidRPr="009B7B35" w:rsidRDefault="00BE36FB" w:rsidP="001A7107">
            <w:pPr>
              <w:pStyle w:val="TableText"/>
              <w:rPr>
                <w:rFonts w:cs="Arial"/>
              </w:rPr>
            </w:pPr>
            <w:r w:rsidRPr="009B7B35">
              <w:rPr>
                <w:rFonts w:cs="Arial"/>
              </w:rPr>
              <w:t>Where involving earthworks of less than 100m</w:t>
            </w:r>
            <w:r w:rsidRPr="009B7B35">
              <w:rPr>
                <w:rStyle w:val="StyleSuperscript"/>
                <w:rFonts w:cs="Arial"/>
              </w:rPr>
              <w:t>3</w:t>
            </w:r>
            <w:r w:rsidRPr="009B7B35">
              <w:rPr>
                <w:rFonts w:cs="Arial"/>
              </w:rPr>
              <w:t>.</w:t>
            </w:r>
          </w:p>
        </w:tc>
        <w:tc>
          <w:tcPr>
            <w:tcW w:w="3477" w:type="dxa"/>
          </w:tcPr>
          <w:p w14:paraId="6ABB8634" w14:textId="77777777" w:rsidR="00BE36FB" w:rsidRPr="009B7B35" w:rsidRDefault="00BE36FB" w:rsidP="001A7107">
            <w:pPr>
              <w:pStyle w:val="TableText"/>
              <w:rPr>
                <w:rFonts w:cs="Arial"/>
              </w:rPr>
            </w:pPr>
          </w:p>
        </w:tc>
      </w:tr>
      <w:tr w:rsidR="00BE36FB" w:rsidRPr="009B7B35" w14:paraId="7E433161" w14:textId="77777777" w:rsidTr="001A710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gridSpan w:val="2"/>
            <w:vMerge w:val="restart"/>
          </w:tcPr>
          <w:p w14:paraId="41603A17" w14:textId="77777777" w:rsidR="00BE36FB" w:rsidRPr="009B7B35" w:rsidRDefault="00BE36FB" w:rsidP="001A7107">
            <w:pPr>
              <w:pStyle w:val="TableText"/>
              <w:rPr>
                <w:rFonts w:cs="Arial"/>
              </w:rPr>
            </w:pPr>
            <w:r w:rsidRPr="009B7B35">
              <w:rPr>
                <w:rFonts w:cs="Arial"/>
              </w:rPr>
              <w:t>All zones</w:t>
            </w:r>
          </w:p>
        </w:tc>
        <w:tc>
          <w:tcPr>
            <w:tcW w:w="6950" w:type="dxa"/>
            <w:gridSpan w:val="2"/>
            <w:shd w:val="clear" w:color="auto" w:fill="BFBFBF" w:themeFill="background1" w:themeFillShade="BF"/>
          </w:tcPr>
          <w:p w14:paraId="23A14E3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color w:val="auto"/>
              </w:rPr>
            </w:pPr>
            <w:r w:rsidRPr="009B7B35">
              <w:rPr>
                <w:rFonts w:cs="Arial"/>
                <w:b/>
                <w:color w:val="auto"/>
              </w:rPr>
              <w:t>Accepted development subject to requirements</w:t>
            </w:r>
          </w:p>
        </w:tc>
      </w:tr>
      <w:tr w:rsidR="00BE36FB" w:rsidRPr="009B7B35" w14:paraId="0CB8D64E" w14:textId="77777777" w:rsidTr="001A710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gridSpan w:val="2"/>
            <w:vMerge/>
          </w:tcPr>
          <w:p w14:paraId="72CA516B" w14:textId="77777777" w:rsidR="00BE36FB" w:rsidRPr="009B7B35" w:rsidRDefault="00BE36FB" w:rsidP="001A7107">
            <w:pPr>
              <w:pStyle w:val="TableText"/>
              <w:rPr>
                <w:rFonts w:cs="Arial"/>
              </w:rPr>
            </w:pPr>
          </w:p>
        </w:tc>
        <w:tc>
          <w:tcPr>
            <w:tcW w:w="3473" w:type="dxa"/>
          </w:tcPr>
          <w:p w14:paraId="56A2676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 xml:space="preserve">Operational work associated with raising either an on premises or transport corridor advertising device. </w:t>
            </w:r>
          </w:p>
          <w:p w14:paraId="2F65220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p>
          <w:p w14:paraId="55D6161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*Note—If not for an on premises or transport corridor advertising device then assessment against the Local law.</w:t>
            </w:r>
          </w:p>
        </w:tc>
        <w:tc>
          <w:tcPr>
            <w:tcW w:w="3477" w:type="dxa"/>
          </w:tcPr>
          <w:p w14:paraId="111A641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Other development codes:</w:t>
            </w:r>
          </w:p>
          <w:p w14:paraId="3C7FC517" w14:textId="77777777" w:rsidR="00BE36FB" w:rsidRPr="009B7B35" w:rsidRDefault="00BE36FB" w:rsidP="00BE36FB">
            <w:pPr>
              <w:pStyle w:val="ListBullet"/>
              <w:ind w:left="360" w:hanging="360"/>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9B7B35">
              <w:rPr>
                <w:rFonts w:cs="Arial"/>
                <w:color w:val="auto"/>
                <w:szCs w:val="20"/>
              </w:rPr>
              <w:t>Advertising devices code</w:t>
            </w:r>
          </w:p>
        </w:tc>
      </w:tr>
    </w:tbl>
    <w:p w14:paraId="2A0224BC" w14:textId="77777777" w:rsidR="00BE36FB" w:rsidRPr="009B7B35" w:rsidRDefault="00BE36FB" w:rsidP="001A7107">
      <w:pPr>
        <w:pStyle w:val="Notes"/>
        <w:rPr>
          <w:rFonts w:cs="Arial"/>
          <w:sz w:val="20"/>
          <w:szCs w:val="20"/>
        </w:rPr>
      </w:pPr>
      <w:r w:rsidRPr="009B7B35">
        <w:rPr>
          <w:rFonts w:cs="Arial"/>
          <w:sz w:val="20"/>
          <w:szCs w:val="20"/>
        </w:rPr>
        <w:t xml:space="preserve">Note—The above categories of development and assessment apply unless otherwise prescribed in the Regulation. </w:t>
      </w:r>
    </w:p>
    <w:p w14:paraId="2F481531" w14:textId="77777777" w:rsidR="00BE36FB" w:rsidRPr="009B7B35" w:rsidRDefault="00BE36FB" w:rsidP="00B2383D">
      <w:pPr>
        <w:pStyle w:val="Heading2"/>
        <w:numPr>
          <w:ilvl w:val="1"/>
          <w:numId w:val="883"/>
        </w:numPr>
        <w:ind w:left="567" w:hanging="567"/>
        <w:rPr>
          <w:rFonts w:ascii="Arial" w:hAnsi="Arial"/>
          <w:sz w:val="20"/>
          <w:szCs w:val="20"/>
        </w:rPr>
      </w:pPr>
      <w:bookmarkStart w:id="174" w:name="_Toc205367341"/>
      <w:bookmarkStart w:id="175" w:name="_Toc248023491"/>
      <w:bookmarkStart w:id="176" w:name="_Toc248209320"/>
      <w:bookmarkStart w:id="177" w:name="_Toc248833670"/>
      <w:bookmarkStart w:id="178" w:name="_Toc367445002"/>
      <w:r w:rsidRPr="009B7B35">
        <w:rPr>
          <w:rFonts w:ascii="Arial" w:hAnsi="Arial"/>
          <w:sz w:val="20"/>
          <w:szCs w:val="20"/>
        </w:rPr>
        <w:t>Categories of development and assessment—Local Plans</w:t>
      </w:r>
      <w:bookmarkEnd w:id="174"/>
    </w:p>
    <w:p w14:paraId="7B61CAEB" w14:textId="77777777" w:rsidR="00BE36FB" w:rsidRPr="009B7B35" w:rsidRDefault="00BE36FB" w:rsidP="001A7107">
      <w:pPr>
        <w:rPr>
          <w:rFonts w:ascii="Arial" w:hAnsi="Arial" w:cs="Arial"/>
          <w:sz w:val="20"/>
          <w:szCs w:val="20"/>
        </w:rPr>
      </w:pPr>
      <w:r w:rsidRPr="009B7B35">
        <w:rPr>
          <w:rFonts w:ascii="Arial" w:hAnsi="Arial" w:cs="Arial"/>
          <w:sz w:val="20"/>
          <w:szCs w:val="20"/>
        </w:rPr>
        <w:t>There are no local plans in the planning scheme.</w:t>
      </w:r>
    </w:p>
    <w:p w14:paraId="71B29C91" w14:textId="77777777" w:rsidR="00BE36FB" w:rsidRPr="009B7B35" w:rsidRDefault="00BE36FB" w:rsidP="001A7107">
      <w:pPr>
        <w:rPr>
          <w:rFonts w:ascii="Arial" w:hAnsi="Arial" w:cs="Arial"/>
          <w:sz w:val="20"/>
          <w:szCs w:val="20"/>
        </w:rPr>
      </w:pPr>
    </w:p>
    <w:p w14:paraId="6C2D68F9" w14:textId="77777777" w:rsidR="00BE36FB" w:rsidRPr="009B7B35" w:rsidRDefault="00BE36FB" w:rsidP="00B2383D">
      <w:pPr>
        <w:pStyle w:val="Heading2"/>
        <w:numPr>
          <w:ilvl w:val="1"/>
          <w:numId w:val="883"/>
        </w:numPr>
        <w:ind w:left="567" w:hanging="567"/>
        <w:rPr>
          <w:rFonts w:ascii="Arial" w:hAnsi="Arial"/>
          <w:sz w:val="20"/>
          <w:szCs w:val="20"/>
        </w:rPr>
      </w:pPr>
      <w:bookmarkStart w:id="179" w:name="_Toc205367342"/>
      <w:r w:rsidRPr="009B7B35">
        <w:rPr>
          <w:rFonts w:ascii="Arial" w:hAnsi="Arial"/>
          <w:sz w:val="20"/>
          <w:szCs w:val="20"/>
        </w:rPr>
        <w:t>Categories of development and assessment</w:t>
      </w:r>
      <w:bookmarkEnd w:id="175"/>
      <w:r w:rsidRPr="009B7B35">
        <w:rPr>
          <w:rFonts w:ascii="Arial" w:hAnsi="Arial"/>
          <w:sz w:val="20"/>
          <w:szCs w:val="20"/>
        </w:rPr>
        <w:t>—Overlays</w:t>
      </w:r>
      <w:bookmarkEnd w:id="176"/>
      <w:bookmarkEnd w:id="177"/>
      <w:bookmarkEnd w:id="178"/>
      <w:bookmarkEnd w:id="179"/>
    </w:p>
    <w:p w14:paraId="252113DE" w14:textId="77777777" w:rsidR="00BE36FB" w:rsidRPr="009B7B35" w:rsidRDefault="00BE36FB" w:rsidP="001A7107">
      <w:pPr>
        <w:rPr>
          <w:rFonts w:ascii="Arial" w:hAnsi="Arial" w:cs="Arial"/>
          <w:sz w:val="20"/>
          <w:szCs w:val="20"/>
        </w:rPr>
      </w:pPr>
      <w:r w:rsidRPr="009B7B35">
        <w:rPr>
          <w:rFonts w:ascii="Arial" w:hAnsi="Arial" w:cs="Arial"/>
          <w:sz w:val="20"/>
          <w:szCs w:val="20"/>
        </w:rPr>
        <w:t>The following table identifies where an overlay changes the category of development and assessment from that stated in a zone or local plan and the relevant assessment benchmarks.</w:t>
      </w:r>
    </w:p>
    <w:p w14:paraId="0103E56C" w14:textId="77777777" w:rsidR="00BE36FB" w:rsidRPr="009B7B35" w:rsidRDefault="00BE36FB" w:rsidP="001A7107">
      <w:pPr>
        <w:pStyle w:val="Heading5"/>
        <w:numPr>
          <w:ilvl w:val="0"/>
          <w:numId w:val="0"/>
        </w:numPr>
        <w:rPr>
          <w:rFonts w:cs="Arial"/>
          <w:szCs w:val="20"/>
        </w:rPr>
      </w:pPr>
      <w:r w:rsidRPr="009B7B35">
        <w:rPr>
          <w:rFonts w:cs="Arial"/>
          <w:szCs w:val="20"/>
        </w:rPr>
        <w:t>Table 5.10.1—Assessment benchmarks for overlays</w:t>
      </w:r>
    </w:p>
    <w:tbl>
      <w:tblPr>
        <w:tblStyle w:val="Tablestyle"/>
        <w:tblW w:w="0" w:type="auto"/>
        <w:tblLook w:val="0620" w:firstRow="1" w:lastRow="0" w:firstColumn="0" w:lastColumn="0" w:noHBand="1" w:noVBand="1"/>
      </w:tblPr>
      <w:tblGrid>
        <w:gridCol w:w="3623"/>
        <w:gridCol w:w="2987"/>
        <w:gridCol w:w="1753"/>
      </w:tblGrid>
      <w:tr w:rsidR="00BE36FB" w:rsidRPr="009B7B35" w14:paraId="25C33EEE"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3623" w:type="dxa"/>
          </w:tcPr>
          <w:p w14:paraId="0D851570" w14:textId="77777777" w:rsidR="00BE36FB" w:rsidRPr="009B7B35" w:rsidRDefault="00BE36FB" w:rsidP="001A7107">
            <w:pPr>
              <w:pStyle w:val="Tableheading"/>
              <w:rPr>
                <w:rFonts w:ascii="Arial" w:hAnsi="Arial" w:cs="Arial"/>
                <w:szCs w:val="20"/>
              </w:rPr>
            </w:pPr>
            <w:r w:rsidRPr="009B7B35">
              <w:rPr>
                <w:rFonts w:ascii="Arial" w:hAnsi="Arial" w:cs="Arial"/>
                <w:szCs w:val="20"/>
              </w:rPr>
              <w:t>Development</w:t>
            </w:r>
          </w:p>
        </w:tc>
        <w:tc>
          <w:tcPr>
            <w:tcW w:w="3213" w:type="dxa"/>
          </w:tcPr>
          <w:p w14:paraId="45941BD1" w14:textId="77777777" w:rsidR="00BE36FB" w:rsidRPr="009B7B35" w:rsidRDefault="00BE36FB" w:rsidP="001A7107">
            <w:pPr>
              <w:pStyle w:val="Tableheading"/>
              <w:rPr>
                <w:rFonts w:ascii="Arial" w:hAnsi="Arial" w:cs="Arial"/>
                <w:szCs w:val="20"/>
              </w:rPr>
            </w:pPr>
            <w:r w:rsidRPr="009B7B35">
              <w:rPr>
                <w:rFonts w:ascii="Arial" w:hAnsi="Arial" w:cs="Arial"/>
                <w:szCs w:val="20"/>
              </w:rPr>
              <w:t>Categories of development and  assessment</w:t>
            </w:r>
          </w:p>
        </w:tc>
        <w:tc>
          <w:tcPr>
            <w:tcW w:w="2520" w:type="dxa"/>
          </w:tcPr>
          <w:p w14:paraId="5DFBF3C2" w14:textId="77777777" w:rsidR="00BE36FB" w:rsidRPr="009B7B35" w:rsidRDefault="00BE36FB" w:rsidP="001A7107">
            <w:pPr>
              <w:pStyle w:val="Tableheading"/>
              <w:rPr>
                <w:rFonts w:ascii="Arial" w:hAnsi="Arial" w:cs="Arial"/>
                <w:szCs w:val="20"/>
              </w:rPr>
            </w:pPr>
            <w:r w:rsidRPr="009B7B35">
              <w:rPr>
                <w:rFonts w:ascii="Arial" w:hAnsi="Arial" w:cs="Arial"/>
                <w:szCs w:val="20"/>
              </w:rPr>
              <w:t>Assessment benchmarks for assessable development and requirements for accepted development</w:t>
            </w:r>
          </w:p>
        </w:tc>
      </w:tr>
      <w:tr w:rsidR="00BE36FB" w:rsidRPr="009B7B35" w14:paraId="3C0BC186" w14:textId="77777777" w:rsidTr="001A7107">
        <w:trPr>
          <w:cantSplit/>
        </w:trPr>
        <w:tc>
          <w:tcPr>
            <w:tcW w:w="9356" w:type="dxa"/>
            <w:gridSpan w:val="3"/>
            <w:shd w:val="clear" w:color="auto" w:fill="BFBFBF" w:themeFill="background1" w:themeFillShade="BF"/>
          </w:tcPr>
          <w:p w14:paraId="4E52080D" w14:textId="77777777" w:rsidR="00BE36FB" w:rsidRPr="009B7B35" w:rsidRDefault="00BE36FB" w:rsidP="001A7107">
            <w:pPr>
              <w:pStyle w:val="Tableheading"/>
              <w:rPr>
                <w:rFonts w:ascii="Arial" w:hAnsi="Arial" w:cs="Arial"/>
                <w:szCs w:val="20"/>
              </w:rPr>
            </w:pPr>
            <w:r w:rsidRPr="009B7B35">
              <w:rPr>
                <w:rFonts w:ascii="Arial" w:hAnsi="Arial" w:cs="Arial"/>
                <w:szCs w:val="20"/>
              </w:rPr>
              <w:t>Acid sulfate soils overlay code</w:t>
            </w:r>
          </w:p>
        </w:tc>
      </w:tr>
      <w:tr w:rsidR="00BE36FB" w:rsidRPr="009B7B35" w14:paraId="6CC42D3B" w14:textId="77777777" w:rsidTr="001A7107">
        <w:trPr>
          <w:trHeight w:val="20"/>
        </w:trPr>
        <w:tc>
          <w:tcPr>
            <w:tcW w:w="3623" w:type="dxa"/>
          </w:tcPr>
          <w:p w14:paraId="2A0C139D" w14:textId="77777777" w:rsidR="00BE36FB" w:rsidRPr="009B7B35" w:rsidRDefault="00BE36FB" w:rsidP="001A7107">
            <w:pPr>
              <w:rPr>
                <w:rFonts w:cs="Arial"/>
                <w:sz w:val="20"/>
                <w:szCs w:val="20"/>
              </w:rPr>
            </w:pPr>
            <w:r w:rsidRPr="009B7B35">
              <w:rPr>
                <w:rFonts w:cs="Arial"/>
                <w:sz w:val="20"/>
                <w:szCs w:val="20"/>
              </w:rPr>
              <w:t>Any material change of use or reconfiguring a lot, which would affect any part of a lot that:</w:t>
            </w:r>
          </w:p>
          <w:p w14:paraId="2C593106" w14:textId="77777777" w:rsidR="00BE36FB" w:rsidRPr="009B7B35" w:rsidRDefault="00BE36FB" w:rsidP="00BE36FB">
            <w:pPr>
              <w:pStyle w:val="ListParagraph"/>
              <w:numPr>
                <w:ilvl w:val="0"/>
                <w:numId w:val="92"/>
              </w:numPr>
              <w:rPr>
                <w:rFonts w:cs="Arial"/>
                <w:szCs w:val="20"/>
              </w:rPr>
            </w:pPr>
            <w:r w:rsidRPr="009B7B35">
              <w:rPr>
                <w:rFonts w:cs="Arial"/>
                <w:szCs w:val="20"/>
              </w:rPr>
              <w:t>has a natural ground level at or below the 20m AHD contour, and</w:t>
            </w:r>
          </w:p>
          <w:p w14:paraId="74BA757D" w14:textId="77777777" w:rsidR="00BE36FB" w:rsidRPr="009B7B35" w:rsidRDefault="00BE36FB" w:rsidP="00BE36FB">
            <w:pPr>
              <w:pStyle w:val="ListParagraph"/>
              <w:numPr>
                <w:ilvl w:val="0"/>
                <w:numId w:val="92"/>
              </w:numPr>
              <w:rPr>
                <w:rFonts w:cs="Arial"/>
                <w:szCs w:val="20"/>
              </w:rPr>
            </w:pPr>
            <w:r w:rsidRPr="009B7B35">
              <w:rPr>
                <w:rFonts w:cs="Arial"/>
                <w:szCs w:val="20"/>
              </w:rPr>
              <w:t>results in:</w:t>
            </w:r>
          </w:p>
          <w:p w14:paraId="303A3319" w14:textId="77777777" w:rsidR="00BE36FB" w:rsidRPr="009B7B35" w:rsidRDefault="00BE36FB" w:rsidP="00BE36FB">
            <w:pPr>
              <w:pStyle w:val="ListParagraph"/>
              <w:numPr>
                <w:ilvl w:val="1"/>
                <w:numId w:val="92"/>
              </w:numPr>
              <w:rPr>
                <w:rFonts w:cs="Arial"/>
                <w:szCs w:val="20"/>
              </w:rPr>
            </w:pPr>
            <w:r w:rsidRPr="009B7B35">
              <w:rPr>
                <w:rFonts w:cs="Arial"/>
                <w:szCs w:val="20"/>
              </w:rPr>
              <w:t>excavating or otherwise removing 100m</w:t>
            </w:r>
            <w:r w:rsidRPr="009B7B35">
              <w:rPr>
                <w:rStyle w:val="StyleSuperscript"/>
                <w:rFonts w:cs="Arial"/>
                <w:szCs w:val="20"/>
              </w:rPr>
              <w:t>3</w:t>
            </w:r>
            <w:r w:rsidRPr="009B7B35">
              <w:rPr>
                <w:rFonts w:cs="Arial"/>
                <w:szCs w:val="20"/>
              </w:rPr>
              <w:t xml:space="preserve"> or more of soil or sediment at or below 5m AHD, or</w:t>
            </w:r>
          </w:p>
          <w:p w14:paraId="43C71522" w14:textId="77777777" w:rsidR="00BE36FB" w:rsidRPr="009B7B35" w:rsidRDefault="00BE36FB" w:rsidP="00BE36FB">
            <w:pPr>
              <w:pStyle w:val="ListParagraph"/>
              <w:numPr>
                <w:ilvl w:val="1"/>
                <w:numId w:val="92"/>
              </w:numPr>
              <w:rPr>
                <w:rFonts w:cs="Arial"/>
                <w:szCs w:val="20"/>
              </w:rPr>
            </w:pPr>
            <w:r w:rsidRPr="009B7B35">
              <w:rPr>
                <w:rFonts w:cs="Arial"/>
                <w:szCs w:val="20"/>
              </w:rPr>
              <w:t>within land at or below 5m AHD and filling with 500m</w:t>
            </w:r>
            <w:r w:rsidRPr="009B7B35">
              <w:rPr>
                <w:rStyle w:val="StyleSuperscript"/>
                <w:rFonts w:cs="Arial"/>
                <w:szCs w:val="20"/>
              </w:rPr>
              <w:t>3</w:t>
            </w:r>
            <w:r w:rsidRPr="009B7B35">
              <w:rPr>
                <w:rFonts w:cs="Arial"/>
                <w:szCs w:val="20"/>
              </w:rPr>
              <w:t xml:space="preserve"> or more of material with an average depth of 0.5m or greater.</w:t>
            </w:r>
          </w:p>
        </w:tc>
        <w:tc>
          <w:tcPr>
            <w:tcW w:w="3213" w:type="dxa"/>
          </w:tcPr>
          <w:p w14:paraId="47828507" w14:textId="77777777" w:rsidR="00BE36FB" w:rsidRPr="009B7B35" w:rsidRDefault="00BE36FB" w:rsidP="001A7107">
            <w:pPr>
              <w:rPr>
                <w:rFonts w:cs="Arial"/>
                <w:sz w:val="20"/>
                <w:szCs w:val="20"/>
              </w:rPr>
            </w:pPr>
            <w:r w:rsidRPr="009B7B35">
              <w:rPr>
                <w:rFonts w:cs="Arial"/>
                <w:sz w:val="20"/>
                <w:szCs w:val="20"/>
              </w:rPr>
              <w:t>Code assessment if provisionally made accepted development or accepted development subject to requirements by another table of assessment. Otherwise no change to assessment category.</w:t>
            </w:r>
          </w:p>
        </w:tc>
        <w:tc>
          <w:tcPr>
            <w:tcW w:w="2520" w:type="dxa"/>
          </w:tcPr>
          <w:p w14:paraId="753648EA" w14:textId="77777777" w:rsidR="00BE36FB" w:rsidRPr="009B7B35" w:rsidRDefault="00BE36FB" w:rsidP="001A7107">
            <w:pPr>
              <w:pStyle w:val="TableText"/>
              <w:rPr>
                <w:rFonts w:cs="Arial"/>
              </w:rPr>
            </w:pPr>
            <w:r w:rsidRPr="009B7B35">
              <w:rPr>
                <w:rFonts w:cs="Arial"/>
              </w:rPr>
              <w:t>Acid sulfate soils overlay code</w:t>
            </w:r>
          </w:p>
          <w:p w14:paraId="3E981E03" w14:textId="77777777" w:rsidR="00BE36FB" w:rsidRPr="009B7B35" w:rsidRDefault="00BE36FB" w:rsidP="001A7107">
            <w:pPr>
              <w:pStyle w:val="TableText"/>
              <w:rPr>
                <w:rFonts w:cs="Arial"/>
              </w:rPr>
            </w:pPr>
          </w:p>
        </w:tc>
      </w:tr>
      <w:tr w:rsidR="00BE36FB" w:rsidRPr="009B7B35" w14:paraId="0DFAC870" w14:textId="77777777" w:rsidTr="001A7107">
        <w:trPr>
          <w:trHeight w:val="20"/>
        </w:trPr>
        <w:tc>
          <w:tcPr>
            <w:tcW w:w="3623" w:type="dxa"/>
          </w:tcPr>
          <w:p w14:paraId="3D082FF6" w14:textId="77777777" w:rsidR="00BE36FB" w:rsidRPr="009B7B35" w:rsidRDefault="00BE36FB" w:rsidP="001A7107">
            <w:pPr>
              <w:rPr>
                <w:rFonts w:cs="Arial"/>
                <w:sz w:val="20"/>
                <w:szCs w:val="20"/>
              </w:rPr>
            </w:pPr>
            <w:r w:rsidRPr="009B7B35">
              <w:rPr>
                <w:rFonts w:cs="Arial"/>
                <w:sz w:val="20"/>
                <w:szCs w:val="20"/>
              </w:rPr>
              <w:t>Operational works not associated with a:</w:t>
            </w:r>
          </w:p>
          <w:p w14:paraId="7E24D032" w14:textId="77777777" w:rsidR="00BE36FB" w:rsidRPr="009B7B35" w:rsidRDefault="00BE36FB" w:rsidP="00BE36FB">
            <w:pPr>
              <w:numPr>
                <w:ilvl w:val="0"/>
                <w:numId w:val="82"/>
              </w:numPr>
              <w:rPr>
                <w:rFonts w:cs="Arial"/>
                <w:sz w:val="20"/>
                <w:szCs w:val="20"/>
              </w:rPr>
            </w:pPr>
            <w:r w:rsidRPr="009B7B35">
              <w:rPr>
                <w:rFonts w:cs="Arial"/>
                <w:sz w:val="20"/>
                <w:szCs w:val="20"/>
              </w:rPr>
              <w:t>material change of use, or</w:t>
            </w:r>
          </w:p>
          <w:p w14:paraId="65541A94" w14:textId="77777777" w:rsidR="00BE36FB" w:rsidRPr="009B7B35" w:rsidRDefault="00BE36FB" w:rsidP="00BE36FB">
            <w:pPr>
              <w:numPr>
                <w:ilvl w:val="0"/>
                <w:numId w:val="82"/>
              </w:numPr>
              <w:rPr>
                <w:rFonts w:cs="Arial"/>
                <w:sz w:val="20"/>
                <w:szCs w:val="20"/>
              </w:rPr>
            </w:pPr>
            <w:r w:rsidRPr="009B7B35">
              <w:rPr>
                <w:rFonts w:cs="Arial"/>
                <w:sz w:val="20"/>
                <w:szCs w:val="20"/>
              </w:rPr>
              <w:t>reconfiguring a lot, where the work is proposed on any part of a lot that:</w:t>
            </w:r>
          </w:p>
          <w:p w14:paraId="668C88E3" w14:textId="77777777" w:rsidR="00BE36FB" w:rsidRPr="009B7B35" w:rsidRDefault="00BE36FB" w:rsidP="00BE36FB">
            <w:pPr>
              <w:numPr>
                <w:ilvl w:val="1"/>
                <w:numId w:val="82"/>
              </w:numPr>
              <w:rPr>
                <w:rFonts w:cs="Arial"/>
                <w:sz w:val="20"/>
                <w:szCs w:val="20"/>
              </w:rPr>
            </w:pPr>
            <w:r w:rsidRPr="009B7B35">
              <w:rPr>
                <w:rFonts w:cs="Arial"/>
                <w:sz w:val="20"/>
                <w:szCs w:val="20"/>
              </w:rPr>
              <w:t>has a natural ground level at or below the 20m AHD contour, and</w:t>
            </w:r>
          </w:p>
          <w:p w14:paraId="386C6699" w14:textId="77777777" w:rsidR="00BE36FB" w:rsidRPr="009B7B35" w:rsidRDefault="00BE36FB" w:rsidP="00BE36FB">
            <w:pPr>
              <w:numPr>
                <w:ilvl w:val="1"/>
                <w:numId w:val="82"/>
              </w:numPr>
              <w:rPr>
                <w:rFonts w:cs="Arial"/>
                <w:sz w:val="20"/>
                <w:szCs w:val="20"/>
              </w:rPr>
            </w:pPr>
            <w:r w:rsidRPr="009B7B35">
              <w:rPr>
                <w:rFonts w:cs="Arial"/>
                <w:sz w:val="20"/>
                <w:szCs w:val="20"/>
              </w:rPr>
              <w:t>results in:</w:t>
            </w:r>
          </w:p>
          <w:p w14:paraId="31A8D845" w14:textId="77777777" w:rsidR="00BE36FB" w:rsidRPr="009B7B35" w:rsidRDefault="00BE36FB" w:rsidP="00BE36FB">
            <w:pPr>
              <w:numPr>
                <w:ilvl w:val="2"/>
                <w:numId w:val="82"/>
              </w:numPr>
              <w:rPr>
                <w:rFonts w:cs="Arial"/>
                <w:sz w:val="20"/>
                <w:szCs w:val="20"/>
              </w:rPr>
            </w:pPr>
            <w:r w:rsidRPr="009B7B35">
              <w:rPr>
                <w:rFonts w:cs="Arial"/>
                <w:sz w:val="20"/>
                <w:szCs w:val="20"/>
              </w:rPr>
              <w:t>excavating or otherwise removing 100m</w:t>
            </w:r>
            <w:r w:rsidRPr="009B7B35">
              <w:rPr>
                <w:rStyle w:val="StyleSuperscript"/>
                <w:rFonts w:cs="Arial"/>
                <w:szCs w:val="20"/>
              </w:rPr>
              <w:t>3</w:t>
            </w:r>
            <w:r w:rsidRPr="009B7B35">
              <w:rPr>
                <w:rFonts w:cs="Arial"/>
                <w:sz w:val="20"/>
                <w:szCs w:val="20"/>
              </w:rPr>
              <w:t xml:space="preserve"> or more of soil or sediment on land at or below the 5m AHD contour, or</w:t>
            </w:r>
          </w:p>
          <w:p w14:paraId="357D9CFE" w14:textId="77777777" w:rsidR="00BE36FB" w:rsidRPr="009B7B35" w:rsidRDefault="00BE36FB" w:rsidP="00BE36FB">
            <w:pPr>
              <w:numPr>
                <w:ilvl w:val="2"/>
                <w:numId w:val="82"/>
              </w:numPr>
              <w:rPr>
                <w:rFonts w:cs="Arial"/>
                <w:sz w:val="20"/>
                <w:szCs w:val="20"/>
              </w:rPr>
            </w:pPr>
            <w:r w:rsidRPr="009B7B35">
              <w:rPr>
                <w:rFonts w:cs="Arial"/>
                <w:sz w:val="20"/>
                <w:szCs w:val="20"/>
              </w:rPr>
              <w:t>within land at or below 5m AHD and filling with 500m</w:t>
            </w:r>
            <w:r w:rsidRPr="009B7B35">
              <w:rPr>
                <w:rStyle w:val="StyleSuperscript"/>
                <w:rFonts w:cs="Arial"/>
                <w:szCs w:val="20"/>
              </w:rPr>
              <w:t>3</w:t>
            </w:r>
            <w:r w:rsidRPr="009B7B35">
              <w:rPr>
                <w:rFonts w:cs="Arial"/>
                <w:sz w:val="20"/>
                <w:szCs w:val="20"/>
              </w:rPr>
              <w:t xml:space="preserve"> or more of material with an average depth of 0.5m or greater. </w:t>
            </w:r>
          </w:p>
        </w:tc>
        <w:tc>
          <w:tcPr>
            <w:tcW w:w="3213" w:type="dxa"/>
          </w:tcPr>
          <w:p w14:paraId="2EFC9284" w14:textId="77777777" w:rsidR="00BE36FB" w:rsidRPr="009B7B35" w:rsidRDefault="00BE36FB" w:rsidP="001A7107">
            <w:pPr>
              <w:rPr>
                <w:rFonts w:cs="Arial"/>
                <w:sz w:val="20"/>
                <w:szCs w:val="20"/>
              </w:rPr>
            </w:pPr>
            <w:r w:rsidRPr="009B7B35">
              <w:rPr>
                <w:rFonts w:cs="Arial"/>
                <w:sz w:val="20"/>
                <w:szCs w:val="20"/>
              </w:rPr>
              <w:t>Code assessment if provisionally made accepted development or accepted development subject to requirements by another table of assessment. Otherwise no change to assessment category.</w:t>
            </w:r>
          </w:p>
        </w:tc>
        <w:tc>
          <w:tcPr>
            <w:tcW w:w="2520" w:type="dxa"/>
          </w:tcPr>
          <w:p w14:paraId="2A8DAE6B" w14:textId="77777777" w:rsidR="00BE36FB" w:rsidRPr="009B7B35" w:rsidRDefault="00BE36FB" w:rsidP="001A7107">
            <w:pPr>
              <w:pStyle w:val="TableText"/>
              <w:rPr>
                <w:rFonts w:cs="Arial"/>
              </w:rPr>
            </w:pPr>
            <w:r w:rsidRPr="009B7B35">
              <w:rPr>
                <w:rFonts w:cs="Arial"/>
              </w:rPr>
              <w:t>Acid sulfate soils overlay code</w:t>
            </w:r>
          </w:p>
          <w:p w14:paraId="1868F7E5" w14:textId="77777777" w:rsidR="00BE36FB" w:rsidRPr="009B7B35" w:rsidRDefault="00BE36FB" w:rsidP="001A7107">
            <w:pPr>
              <w:pStyle w:val="TableText"/>
              <w:rPr>
                <w:rFonts w:cs="Arial"/>
              </w:rPr>
            </w:pPr>
          </w:p>
        </w:tc>
      </w:tr>
      <w:tr w:rsidR="00BE36FB" w:rsidRPr="009B7B35" w14:paraId="2CF9AE58" w14:textId="77777777" w:rsidTr="001A7107">
        <w:trPr>
          <w:trHeight w:val="20"/>
        </w:trPr>
        <w:tc>
          <w:tcPr>
            <w:tcW w:w="9356" w:type="dxa"/>
            <w:gridSpan w:val="3"/>
            <w:shd w:val="clear" w:color="auto" w:fill="BFBFBF" w:themeFill="background1" w:themeFillShade="BF"/>
          </w:tcPr>
          <w:p w14:paraId="68E825A9" w14:textId="77777777" w:rsidR="00BE36FB" w:rsidRPr="009B7B35" w:rsidRDefault="00BE36FB" w:rsidP="001A7107">
            <w:pPr>
              <w:pStyle w:val="Tableheading"/>
              <w:rPr>
                <w:rFonts w:ascii="Arial" w:hAnsi="Arial" w:cs="Arial"/>
                <w:szCs w:val="20"/>
              </w:rPr>
            </w:pPr>
            <w:r w:rsidRPr="009B7B35">
              <w:rPr>
                <w:rFonts w:ascii="Arial" w:hAnsi="Arial" w:cs="Arial"/>
                <w:szCs w:val="20"/>
              </w:rPr>
              <w:t>Airport environs overlay code</w:t>
            </w:r>
          </w:p>
        </w:tc>
      </w:tr>
      <w:tr w:rsidR="00BE36FB" w:rsidRPr="009B7B35" w14:paraId="123EEEE0" w14:textId="77777777" w:rsidTr="001A7107">
        <w:trPr>
          <w:trHeight w:val="20"/>
        </w:trPr>
        <w:tc>
          <w:tcPr>
            <w:tcW w:w="3623" w:type="dxa"/>
          </w:tcPr>
          <w:p w14:paraId="01A239AB" w14:textId="77777777" w:rsidR="00BE36FB" w:rsidRPr="009B7B35" w:rsidRDefault="00BE36FB" w:rsidP="001A7107">
            <w:pPr>
              <w:pStyle w:val="TableText"/>
              <w:rPr>
                <w:rFonts w:cs="Arial"/>
              </w:rPr>
            </w:pPr>
            <w:r w:rsidRPr="009B7B35">
              <w:rPr>
                <w:rFonts w:cs="Arial"/>
              </w:rPr>
              <w:t>Any material change of use, reconfiguring a lot, building work or operational work.</w:t>
            </w:r>
          </w:p>
        </w:tc>
        <w:tc>
          <w:tcPr>
            <w:tcW w:w="3213" w:type="dxa"/>
          </w:tcPr>
          <w:p w14:paraId="478B047A" w14:textId="77777777" w:rsidR="00BE36FB" w:rsidRPr="009B7B35" w:rsidRDefault="00BE36FB" w:rsidP="001A7107">
            <w:pPr>
              <w:pStyle w:val="TableText"/>
              <w:rPr>
                <w:rFonts w:cs="Arial"/>
              </w:rPr>
            </w:pPr>
            <w:r w:rsidRPr="009B7B35">
              <w:rPr>
                <w:rFonts w:cs="Arial"/>
              </w:rPr>
              <w:t xml:space="preserve">No change to category of assessment except: </w:t>
            </w:r>
          </w:p>
          <w:p w14:paraId="3B378E5E" w14:textId="77777777" w:rsidR="00BE36FB" w:rsidRPr="009B7B35" w:rsidRDefault="00BE36FB" w:rsidP="00BE36FB">
            <w:pPr>
              <w:pStyle w:val="TableText"/>
              <w:numPr>
                <w:ilvl w:val="0"/>
                <w:numId w:val="80"/>
              </w:numPr>
              <w:rPr>
                <w:rFonts w:cs="Arial"/>
              </w:rPr>
            </w:pPr>
            <w:r w:rsidRPr="009B7B35">
              <w:rPr>
                <w:rFonts w:cs="Arial"/>
              </w:rPr>
              <w:t>impact assessment if involving physical intrusion by any structure, building, equipment relating to development or gaseous plume above the defined level of the:</w:t>
            </w:r>
          </w:p>
          <w:p w14:paraId="5D5D8D7B" w14:textId="77777777" w:rsidR="00BE36FB" w:rsidRPr="009B7B35" w:rsidRDefault="00BE36FB" w:rsidP="00BE36FB">
            <w:pPr>
              <w:pStyle w:val="TableText"/>
              <w:numPr>
                <w:ilvl w:val="1"/>
                <w:numId w:val="80"/>
              </w:numPr>
              <w:rPr>
                <w:rFonts w:cs="Arial"/>
              </w:rPr>
            </w:pPr>
            <w:r w:rsidRPr="009B7B35">
              <w:rPr>
                <w:rFonts w:cs="Arial"/>
              </w:rPr>
              <w:t>Obstacle Limitation Surface (OLS) (Inner and Outer)</w:t>
            </w:r>
          </w:p>
          <w:p w14:paraId="69097FA6" w14:textId="77777777" w:rsidR="00BE36FB" w:rsidRPr="009B7B35" w:rsidRDefault="00BE36FB" w:rsidP="00BE36FB">
            <w:pPr>
              <w:pStyle w:val="TableText"/>
              <w:numPr>
                <w:ilvl w:val="1"/>
                <w:numId w:val="80"/>
              </w:numPr>
              <w:rPr>
                <w:rFonts w:cs="Arial"/>
              </w:rPr>
            </w:pPr>
            <w:r w:rsidRPr="009B7B35">
              <w:rPr>
                <w:rFonts w:cs="Arial"/>
              </w:rPr>
              <w:t>Transitional Surface</w:t>
            </w:r>
          </w:p>
          <w:p w14:paraId="2C72E696" w14:textId="77777777" w:rsidR="00BE36FB" w:rsidRPr="009B7B35" w:rsidRDefault="00BE36FB" w:rsidP="00BE36FB">
            <w:pPr>
              <w:pStyle w:val="TableText"/>
              <w:numPr>
                <w:ilvl w:val="1"/>
                <w:numId w:val="80"/>
              </w:numPr>
              <w:rPr>
                <w:rFonts w:cs="Arial"/>
              </w:rPr>
            </w:pPr>
            <w:r w:rsidRPr="009B7B35">
              <w:rPr>
                <w:rFonts w:cs="Arial"/>
              </w:rPr>
              <w:t>Approach and Departure Surface, or</w:t>
            </w:r>
          </w:p>
          <w:p w14:paraId="4F04D5D1" w14:textId="77777777" w:rsidR="00BE36FB" w:rsidRPr="009B7B35" w:rsidRDefault="00BE36FB" w:rsidP="00BE36FB">
            <w:pPr>
              <w:pStyle w:val="TableText"/>
              <w:numPr>
                <w:ilvl w:val="0"/>
                <w:numId w:val="80"/>
              </w:numPr>
              <w:rPr>
                <w:rFonts w:cs="Arial"/>
              </w:rPr>
            </w:pPr>
            <w:r w:rsidRPr="009B7B35">
              <w:rPr>
                <w:rFonts w:cs="Arial"/>
              </w:rPr>
              <w:t>code assessment if within the ANEF 25 - 30 or ANEF 30 - 35 contour.</w:t>
            </w:r>
          </w:p>
        </w:tc>
        <w:tc>
          <w:tcPr>
            <w:tcW w:w="2520" w:type="dxa"/>
          </w:tcPr>
          <w:p w14:paraId="078B9E27" w14:textId="77777777" w:rsidR="00BE36FB" w:rsidRPr="009B7B35" w:rsidRDefault="00BE36FB" w:rsidP="001A7107">
            <w:pPr>
              <w:pStyle w:val="TableText"/>
              <w:rPr>
                <w:rFonts w:cs="Arial"/>
              </w:rPr>
            </w:pPr>
            <w:r w:rsidRPr="009B7B35">
              <w:rPr>
                <w:rFonts w:cs="Arial"/>
              </w:rPr>
              <w:t>Airport environs overlay code</w:t>
            </w:r>
          </w:p>
        </w:tc>
      </w:tr>
      <w:tr w:rsidR="00BE36FB" w:rsidRPr="009B7B35" w14:paraId="5A60295C" w14:textId="77777777" w:rsidTr="001A7107">
        <w:tc>
          <w:tcPr>
            <w:tcW w:w="3623" w:type="dxa"/>
          </w:tcPr>
          <w:p w14:paraId="135EBD67" w14:textId="77777777" w:rsidR="00BE36FB" w:rsidRPr="009B7B35" w:rsidRDefault="00BE36FB" w:rsidP="001A7107">
            <w:pPr>
              <w:pStyle w:val="TableText"/>
              <w:rPr>
                <w:rFonts w:cs="Arial"/>
              </w:rPr>
            </w:pPr>
            <w:r w:rsidRPr="009B7B35">
              <w:rPr>
                <w:rFonts w:cs="Arial"/>
              </w:rPr>
              <w:t>Any material change of use if accepted development or accepted development subject to requirements within the relevant zone for the following:</w:t>
            </w:r>
          </w:p>
          <w:p w14:paraId="3494CA79" w14:textId="77777777" w:rsidR="00BE36FB" w:rsidRPr="009B7B35" w:rsidRDefault="00BE36FB" w:rsidP="00BE36FB">
            <w:pPr>
              <w:pStyle w:val="TableText"/>
              <w:numPr>
                <w:ilvl w:val="0"/>
                <w:numId w:val="81"/>
              </w:numPr>
              <w:rPr>
                <w:rFonts w:cs="Arial"/>
              </w:rPr>
            </w:pPr>
            <w:r w:rsidRPr="009B7B35">
              <w:rPr>
                <w:rFonts w:cs="Arial"/>
              </w:rPr>
              <w:t>animal husbandry</w:t>
            </w:r>
          </w:p>
          <w:p w14:paraId="4B284452" w14:textId="77777777" w:rsidR="00BE36FB" w:rsidRPr="009B7B35" w:rsidRDefault="00BE36FB" w:rsidP="00BE36FB">
            <w:pPr>
              <w:pStyle w:val="TableText"/>
              <w:numPr>
                <w:ilvl w:val="0"/>
                <w:numId w:val="81"/>
              </w:numPr>
              <w:rPr>
                <w:rFonts w:cs="Arial"/>
              </w:rPr>
            </w:pPr>
            <w:r w:rsidRPr="009B7B35">
              <w:rPr>
                <w:rFonts w:cs="Arial"/>
              </w:rPr>
              <w:t>intensive animal industry</w:t>
            </w:r>
          </w:p>
          <w:p w14:paraId="62D1D8C0" w14:textId="77777777" w:rsidR="00BE36FB" w:rsidRPr="009B7B35" w:rsidRDefault="00BE36FB" w:rsidP="00BE36FB">
            <w:pPr>
              <w:pStyle w:val="TableText"/>
              <w:numPr>
                <w:ilvl w:val="0"/>
                <w:numId w:val="81"/>
              </w:numPr>
              <w:rPr>
                <w:rFonts w:cs="Arial"/>
              </w:rPr>
            </w:pPr>
            <w:r w:rsidRPr="009B7B35">
              <w:rPr>
                <w:rFonts w:cs="Arial"/>
              </w:rPr>
              <w:t>animal keeping (where involving wildlife or bird sanctuary)</w:t>
            </w:r>
          </w:p>
          <w:p w14:paraId="27752B39" w14:textId="77777777" w:rsidR="00BE36FB" w:rsidRPr="009B7B35" w:rsidRDefault="00BE36FB" w:rsidP="00BE36FB">
            <w:pPr>
              <w:pStyle w:val="TableText"/>
              <w:numPr>
                <w:ilvl w:val="0"/>
                <w:numId w:val="81"/>
              </w:numPr>
              <w:rPr>
                <w:rFonts w:cs="Arial"/>
              </w:rPr>
            </w:pPr>
            <w:r w:rsidRPr="009B7B35">
              <w:rPr>
                <w:rFonts w:cs="Arial"/>
              </w:rPr>
              <w:t>cropping</w:t>
            </w:r>
          </w:p>
          <w:p w14:paraId="5507EBA5" w14:textId="77777777" w:rsidR="00BE36FB" w:rsidRPr="009B7B35" w:rsidRDefault="00BE36FB" w:rsidP="00BE36FB">
            <w:pPr>
              <w:pStyle w:val="TableText"/>
              <w:numPr>
                <w:ilvl w:val="0"/>
                <w:numId w:val="81"/>
              </w:numPr>
              <w:rPr>
                <w:rFonts w:cs="Arial"/>
              </w:rPr>
            </w:pPr>
            <w:r w:rsidRPr="009B7B35">
              <w:rPr>
                <w:rFonts w:cs="Arial"/>
              </w:rPr>
              <w:t>outdoor sport and recreation</w:t>
            </w:r>
          </w:p>
          <w:p w14:paraId="2BE7ECCA" w14:textId="77777777" w:rsidR="00BE36FB" w:rsidRPr="009B7B35" w:rsidRDefault="00BE36FB" w:rsidP="00BE36FB">
            <w:pPr>
              <w:pStyle w:val="TableText"/>
              <w:numPr>
                <w:ilvl w:val="0"/>
                <w:numId w:val="81"/>
              </w:numPr>
              <w:rPr>
                <w:rFonts w:cs="Arial"/>
              </w:rPr>
            </w:pPr>
            <w:r w:rsidRPr="009B7B35">
              <w:rPr>
                <w:rFonts w:cs="Arial"/>
              </w:rPr>
              <w:t xml:space="preserve">utility installation (food or organic waste facility or putrescible waste facility) </w:t>
            </w:r>
          </w:p>
        </w:tc>
        <w:tc>
          <w:tcPr>
            <w:tcW w:w="3213" w:type="dxa"/>
          </w:tcPr>
          <w:p w14:paraId="7B73BEAC" w14:textId="77777777" w:rsidR="00BE36FB" w:rsidRPr="009B7B35" w:rsidRDefault="00BE36FB" w:rsidP="001A7107">
            <w:pPr>
              <w:pStyle w:val="TableText"/>
              <w:rPr>
                <w:rFonts w:cs="Arial"/>
              </w:rPr>
            </w:pPr>
            <w:r w:rsidRPr="009B7B35">
              <w:rPr>
                <w:rFonts w:cs="Arial"/>
              </w:rPr>
              <w:t>Code assessment if located within the Obstacle Limitation Surface (OLS).</w:t>
            </w:r>
          </w:p>
        </w:tc>
        <w:tc>
          <w:tcPr>
            <w:tcW w:w="2520" w:type="dxa"/>
          </w:tcPr>
          <w:p w14:paraId="2266BCA7" w14:textId="77777777" w:rsidR="00BE36FB" w:rsidRPr="009B7B35" w:rsidRDefault="00BE36FB" w:rsidP="001A7107">
            <w:pPr>
              <w:pStyle w:val="TableText"/>
              <w:rPr>
                <w:rFonts w:cs="Arial"/>
              </w:rPr>
            </w:pPr>
            <w:r w:rsidRPr="009B7B35">
              <w:rPr>
                <w:rFonts w:cs="Arial"/>
              </w:rPr>
              <w:t>Airport environs overlay code</w:t>
            </w:r>
          </w:p>
        </w:tc>
      </w:tr>
      <w:tr w:rsidR="00BE36FB" w:rsidRPr="009B7B35" w14:paraId="73A41989" w14:textId="77777777" w:rsidTr="001A7107">
        <w:tc>
          <w:tcPr>
            <w:tcW w:w="9356" w:type="dxa"/>
            <w:gridSpan w:val="3"/>
            <w:shd w:val="clear" w:color="auto" w:fill="BFBFBF" w:themeFill="background1" w:themeFillShade="BF"/>
          </w:tcPr>
          <w:p w14:paraId="361F8E55" w14:textId="77777777" w:rsidR="00BE36FB" w:rsidRPr="009B7B35" w:rsidRDefault="00BE36FB" w:rsidP="001A7107">
            <w:pPr>
              <w:pStyle w:val="Tableheading"/>
              <w:rPr>
                <w:rFonts w:ascii="Arial" w:hAnsi="Arial" w:cs="Arial"/>
                <w:szCs w:val="20"/>
              </w:rPr>
            </w:pPr>
            <w:r w:rsidRPr="009B7B35">
              <w:rPr>
                <w:rFonts w:ascii="Arial" w:hAnsi="Arial" w:cs="Arial"/>
                <w:szCs w:val="20"/>
              </w:rPr>
              <w:t>Biodiversity overlay code</w:t>
            </w:r>
          </w:p>
        </w:tc>
      </w:tr>
      <w:tr w:rsidR="00BE36FB" w:rsidRPr="009B7B35" w14:paraId="7F1CC140" w14:textId="77777777" w:rsidTr="001A7107">
        <w:tc>
          <w:tcPr>
            <w:tcW w:w="3623" w:type="dxa"/>
          </w:tcPr>
          <w:p w14:paraId="7974819F" w14:textId="77777777" w:rsidR="00BE36FB" w:rsidRPr="009B7B35" w:rsidRDefault="00BE36FB" w:rsidP="001A7107">
            <w:pPr>
              <w:pStyle w:val="TableText"/>
              <w:rPr>
                <w:rFonts w:cs="Arial"/>
              </w:rPr>
            </w:pPr>
            <w:r w:rsidRPr="009B7B35">
              <w:rPr>
                <w:rFonts w:cs="Arial"/>
              </w:rPr>
              <w:t xml:space="preserve">Material change of use </w:t>
            </w:r>
          </w:p>
        </w:tc>
        <w:tc>
          <w:tcPr>
            <w:tcW w:w="3213" w:type="dxa"/>
          </w:tcPr>
          <w:p w14:paraId="059D9D7D" w14:textId="77777777" w:rsidR="00BE36FB" w:rsidRPr="009B7B35" w:rsidRDefault="00BE36FB" w:rsidP="001A7107">
            <w:pPr>
              <w:pStyle w:val="TableText"/>
              <w:rPr>
                <w:rFonts w:cs="Arial"/>
              </w:rPr>
            </w:pPr>
            <w:r w:rsidRPr="009B7B35">
              <w:rPr>
                <w:rFonts w:cs="Arial"/>
              </w:rPr>
              <w:t>Code assessable, if provisionally made accepted development or accepted development subject to requirements by another table of assessment where located on land within:</w:t>
            </w:r>
          </w:p>
          <w:p w14:paraId="0AAF671B" w14:textId="77777777" w:rsidR="00BE36FB" w:rsidRPr="009B7B35" w:rsidRDefault="00BE36FB" w:rsidP="00BE36FB">
            <w:pPr>
              <w:pStyle w:val="TableText"/>
              <w:numPr>
                <w:ilvl w:val="0"/>
                <w:numId w:val="79"/>
              </w:numPr>
              <w:rPr>
                <w:rFonts w:cs="Arial"/>
              </w:rPr>
            </w:pPr>
            <w:r w:rsidRPr="009B7B35">
              <w:rPr>
                <w:rFonts w:cs="Arial"/>
              </w:rPr>
              <w:t>wetland/wetland protection area</w:t>
            </w:r>
          </w:p>
          <w:p w14:paraId="06132E1C" w14:textId="77777777" w:rsidR="00BE36FB" w:rsidRPr="009B7B35" w:rsidRDefault="00BE36FB" w:rsidP="00BE36FB">
            <w:pPr>
              <w:pStyle w:val="TableText"/>
              <w:numPr>
                <w:ilvl w:val="0"/>
                <w:numId w:val="79"/>
              </w:numPr>
              <w:rPr>
                <w:rFonts w:cs="Arial"/>
              </w:rPr>
            </w:pPr>
            <w:r w:rsidRPr="009B7B35">
              <w:rPr>
                <w:rFonts w:cs="Arial"/>
              </w:rPr>
              <w:t>protected area</w:t>
            </w:r>
          </w:p>
          <w:p w14:paraId="28DC9D99" w14:textId="77777777" w:rsidR="00BE36FB" w:rsidRPr="009B7B35" w:rsidRDefault="00BE36FB" w:rsidP="00BE36FB">
            <w:pPr>
              <w:pStyle w:val="TableText"/>
              <w:numPr>
                <w:ilvl w:val="0"/>
                <w:numId w:val="79"/>
              </w:numPr>
              <w:rPr>
                <w:rFonts w:cs="Arial"/>
              </w:rPr>
            </w:pPr>
            <w:r w:rsidRPr="009B7B35">
              <w:rPr>
                <w:rFonts w:cs="Arial"/>
              </w:rPr>
              <w:t>wildlife habitat area</w:t>
            </w:r>
          </w:p>
          <w:p w14:paraId="3296BD9D" w14:textId="77777777" w:rsidR="00BE36FB" w:rsidRPr="009B7B35" w:rsidRDefault="00BE36FB" w:rsidP="00BE36FB">
            <w:pPr>
              <w:pStyle w:val="TableText"/>
              <w:numPr>
                <w:ilvl w:val="0"/>
                <w:numId w:val="79"/>
              </w:numPr>
              <w:rPr>
                <w:rFonts w:cs="Arial"/>
              </w:rPr>
            </w:pPr>
            <w:r w:rsidRPr="009B7B35">
              <w:rPr>
                <w:rFonts w:cs="Arial"/>
              </w:rPr>
              <w:t>turtle nesting sites, or</w:t>
            </w:r>
          </w:p>
          <w:p w14:paraId="5BF5115E" w14:textId="77777777" w:rsidR="00BE36FB" w:rsidRPr="009B7B35" w:rsidRDefault="00BE36FB" w:rsidP="00BE36FB">
            <w:pPr>
              <w:pStyle w:val="TableText"/>
              <w:numPr>
                <w:ilvl w:val="0"/>
                <w:numId w:val="79"/>
              </w:numPr>
              <w:rPr>
                <w:rFonts w:cs="Arial"/>
              </w:rPr>
            </w:pPr>
            <w:r w:rsidRPr="009B7B35">
              <w:rPr>
                <w:rFonts w:cs="Arial"/>
              </w:rPr>
              <w:t>high ecological value waterway.</w:t>
            </w:r>
          </w:p>
          <w:p w14:paraId="63A81B1D" w14:textId="77777777" w:rsidR="00BE36FB" w:rsidRPr="009B7B35" w:rsidRDefault="00BE36FB" w:rsidP="001A7107">
            <w:pPr>
              <w:pStyle w:val="TableText"/>
              <w:rPr>
                <w:rFonts w:cs="Arial"/>
              </w:rPr>
            </w:pPr>
            <w:r w:rsidRPr="009B7B35">
              <w:rPr>
                <w:rFonts w:cs="Arial"/>
              </w:rPr>
              <w:t>Otherwise no change to assessment category.</w:t>
            </w:r>
          </w:p>
        </w:tc>
        <w:tc>
          <w:tcPr>
            <w:tcW w:w="2520" w:type="dxa"/>
          </w:tcPr>
          <w:p w14:paraId="43250AD1" w14:textId="77777777" w:rsidR="00BE36FB" w:rsidRPr="009B7B35" w:rsidRDefault="00BE36FB" w:rsidP="001A7107">
            <w:pPr>
              <w:pStyle w:val="TableText"/>
              <w:rPr>
                <w:rFonts w:cs="Arial"/>
              </w:rPr>
            </w:pPr>
            <w:r w:rsidRPr="009B7B35">
              <w:rPr>
                <w:rFonts w:cs="Arial"/>
              </w:rPr>
              <w:t>Biodiversity overlay code</w:t>
            </w:r>
          </w:p>
        </w:tc>
      </w:tr>
      <w:tr w:rsidR="00BE36FB" w:rsidRPr="009B7B35" w14:paraId="137C12FC" w14:textId="77777777" w:rsidTr="001A7107">
        <w:tc>
          <w:tcPr>
            <w:tcW w:w="3623" w:type="dxa"/>
          </w:tcPr>
          <w:p w14:paraId="0D2E9F7A" w14:textId="77777777" w:rsidR="00BE36FB" w:rsidRPr="009B7B35" w:rsidRDefault="00BE36FB" w:rsidP="001A7107">
            <w:pPr>
              <w:pStyle w:val="TableText"/>
              <w:rPr>
                <w:rFonts w:cs="Arial"/>
              </w:rPr>
            </w:pPr>
            <w:r w:rsidRPr="009B7B35">
              <w:rPr>
                <w:rFonts w:cs="Arial"/>
              </w:rPr>
              <w:t xml:space="preserve">Reconfiguring a lot </w:t>
            </w:r>
          </w:p>
        </w:tc>
        <w:tc>
          <w:tcPr>
            <w:tcW w:w="3213" w:type="dxa"/>
          </w:tcPr>
          <w:p w14:paraId="50A8BC19"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7444EE6F" w14:textId="77777777" w:rsidR="00BE36FB" w:rsidRPr="009B7B35" w:rsidRDefault="00BE36FB" w:rsidP="001A7107">
            <w:pPr>
              <w:pStyle w:val="TableText"/>
              <w:rPr>
                <w:rFonts w:cs="Arial"/>
              </w:rPr>
            </w:pPr>
            <w:r w:rsidRPr="009B7B35">
              <w:rPr>
                <w:rFonts w:cs="Arial"/>
              </w:rPr>
              <w:t>Biodiversity overlay code</w:t>
            </w:r>
          </w:p>
        </w:tc>
      </w:tr>
      <w:tr w:rsidR="00BE36FB" w:rsidRPr="009B7B35" w14:paraId="0BB0B4D0" w14:textId="77777777" w:rsidTr="001A7107">
        <w:tc>
          <w:tcPr>
            <w:tcW w:w="3623" w:type="dxa"/>
          </w:tcPr>
          <w:p w14:paraId="19F10E5D" w14:textId="77777777" w:rsidR="00BE36FB" w:rsidRPr="009B7B35" w:rsidRDefault="00BE36FB" w:rsidP="001A7107">
            <w:pPr>
              <w:pStyle w:val="TableText"/>
              <w:rPr>
                <w:rFonts w:cs="Arial"/>
              </w:rPr>
            </w:pPr>
            <w:r w:rsidRPr="009B7B35">
              <w:rPr>
                <w:rFonts w:cs="Arial"/>
              </w:rPr>
              <w:t>All operational work (involving filling and excavation).</w:t>
            </w:r>
          </w:p>
        </w:tc>
        <w:tc>
          <w:tcPr>
            <w:tcW w:w="3213" w:type="dxa"/>
          </w:tcPr>
          <w:p w14:paraId="4FC0BDD5" w14:textId="77777777" w:rsidR="00BE36FB" w:rsidRPr="009B7B35" w:rsidRDefault="00BE36FB" w:rsidP="001A7107">
            <w:pPr>
              <w:pStyle w:val="TableText"/>
              <w:rPr>
                <w:rFonts w:cs="Arial"/>
              </w:rPr>
            </w:pPr>
            <w:r w:rsidRPr="009B7B35">
              <w:rPr>
                <w:rFonts w:cs="Arial"/>
              </w:rPr>
              <w:t>Code assessable</w:t>
            </w:r>
          </w:p>
        </w:tc>
        <w:tc>
          <w:tcPr>
            <w:tcW w:w="2520" w:type="dxa"/>
          </w:tcPr>
          <w:p w14:paraId="303F6920" w14:textId="77777777" w:rsidR="00BE36FB" w:rsidRPr="009B7B35" w:rsidRDefault="00BE36FB" w:rsidP="001A7107">
            <w:pPr>
              <w:pStyle w:val="TableText"/>
              <w:rPr>
                <w:rFonts w:cs="Arial"/>
              </w:rPr>
            </w:pPr>
            <w:r w:rsidRPr="009B7B35">
              <w:rPr>
                <w:rFonts w:cs="Arial"/>
              </w:rPr>
              <w:t>Biodiversity overlay code</w:t>
            </w:r>
          </w:p>
        </w:tc>
      </w:tr>
      <w:tr w:rsidR="00BE36FB" w:rsidRPr="009B7B35" w14:paraId="6D68D4E7" w14:textId="77777777" w:rsidTr="001A7107">
        <w:tc>
          <w:tcPr>
            <w:tcW w:w="9356" w:type="dxa"/>
            <w:gridSpan w:val="3"/>
            <w:shd w:val="clear" w:color="auto" w:fill="BFBFBF" w:themeFill="background1" w:themeFillShade="BF"/>
          </w:tcPr>
          <w:p w14:paraId="15154E48" w14:textId="77777777" w:rsidR="00BE36FB" w:rsidRPr="009B7B35" w:rsidRDefault="00BE36FB" w:rsidP="001A7107">
            <w:pPr>
              <w:pStyle w:val="Tableheading"/>
              <w:rPr>
                <w:rFonts w:ascii="Arial" w:hAnsi="Arial" w:cs="Arial"/>
                <w:szCs w:val="20"/>
              </w:rPr>
            </w:pPr>
            <w:r w:rsidRPr="009B7B35">
              <w:rPr>
                <w:rFonts w:ascii="Arial" w:hAnsi="Arial" w:cs="Arial"/>
                <w:szCs w:val="20"/>
              </w:rPr>
              <w:t>Bushfire hazard overlay code</w:t>
            </w:r>
          </w:p>
        </w:tc>
      </w:tr>
      <w:tr w:rsidR="00BE36FB" w:rsidRPr="009B7B35" w14:paraId="03EC594A" w14:textId="77777777" w:rsidTr="001A7107">
        <w:tc>
          <w:tcPr>
            <w:tcW w:w="9356" w:type="dxa"/>
            <w:gridSpan w:val="3"/>
          </w:tcPr>
          <w:p w14:paraId="69BC9D53" w14:textId="77777777" w:rsidR="00BE36FB" w:rsidRPr="009B7B35" w:rsidRDefault="00BE36FB" w:rsidP="001A7107">
            <w:pPr>
              <w:pStyle w:val="Tableheading"/>
              <w:rPr>
                <w:rFonts w:ascii="Arial" w:hAnsi="Arial" w:cs="Arial"/>
                <w:szCs w:val="20"/>
              </w:rPr>
            </w:pPr>
            <w:r w:rsidRPr="009B7B35">
              <w:rPr>
                <w:rFonts w:ascii="Arial" w:hAnsi="Arial" w:cs="Arial"/>
                <w:szCs w:val="20"/>
              </w:rPr>
              <w:t>If in a high or very high bushfire hazard area</w:t>
            </w:r>
          </w:p>
        </w:tc>
      </w:tr>
      <w:tr w:rsidR="00BE36FB" w:rsidRPr="009B7B35" w14:paraId="602603C1" w14:textId="77777777" w:rsidTr="001A7107">
        <w:tc>
          <w:tcPr>
            <w:tcW w:w="3623" w:type="dxa"/>
          </w:tcPr>
          <w:p w14:paraId="1D2A2116" w14:textId="77777777"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 for any of the following.</w:t>
            </w:r>
          </w:p>
          <w:p w14:paraId="7443FB1E" w14:textId="77777777" w:rsidR="00BE36FB" w:rsidRPr="009B7B35" w:rsidRDefault="00BE36FB" w:rsidP="00BE36FB">
            <w:pPr>
              <w:pStyle w:val="TableText"/>
              <w:numPr>
                <w:ilvl w:val="0"/>
                <w:numId w:val="78"/>
              </w:numPr>
              <w:rPr>
                <w:rFonts w:cs="Arial"/>
              </w:rPr>
            </w:pPr>
            <w:r w:rsidRPr="009B7B35">
              <w:rPr>
                <w:rFonts w:cs="Arial"/>
              </w:rPr>
              <w:t>community residence</w:t>
            </w:r>
          </w:p>
          <w:p w14:paraId="6F059B97" w14:textId="77777777" w:rsidR="00BE36FB" w:rsidRPr="009B7B35" w:rsidRDefault="00BE36FB" w:rsidP="00BE36FB">
            <w:pPr>
              <w:pStyle w:val="TableText"/>
              <w:numPr>
                <w:ilvl w:val="0"/>
                <w:numId w:val="78"/>
              </w:numPr>
              <w:rPr>
                <w:rFonts w:cs="Arial"/>
              </w:rPr>
            </w:pPr>
            <w:r w:rsidRPr="009B7B35">
              <w:rPr>
                <w:rFonts w:cs="Arial"/>
              </w:rPr>
              <w:t>dual occupancy</w:t>
            </w:r>
          </w:p>
          <w:p w14:paraId="452EED10" w14:textId="77777777" w:rsidR="00BE36FB" w:rsidRPr="009B7B35" w:rsidRDefault="00BE36FB" w:rsidP="00BE36FB">
            <w:pPr>
              <w:pStyle w:val="TableText"/>
              <w:numPr>
                <w:ilvl w:val="0"/>
                <w:numId w:val="78"/>
              </w:numPr>
              <w:rPr>
                <w:rFonts w:cs="Arial"/>
              </w:rPr>
            </w:pPr>
            <w:r w:rsidRPr="009B7B35">
              <w:rPr>
                <w:rFonts w:cs="Arial"/>
              </w:rPr>
              <w:t>dwelling house</w:t>
            </w:r>
          </w:p>
          <w:p w14:paraId="3449465F" w14:textId="77777777" w:rsidR="00BE36FB" w:rsidRPr="009B7B35" w:rsidRDefault="00BE36FB" w:rsidP="00BE36FB">
            <w:pPr>
              <w:pStyle w:val="TableText"/>
              <w:numPr>
                <w:ilvl w:val="0"/>
                <w:numId w:val="78"/>
              </w:numPr>
              <w:rPr>
                <w:rFonts w:cs="Arial"/>
              </w:rPr>
            </w:pPr>
            <w:r w:rsidRPr="009B7B35">
              <w:rPr>
                <w:rFonts w:cs="Arial"/>
              </w:rPr>
              <w:t>low impact industry</w:t>
            </w:r>
          </w:p>
          <w:p w14:paraId="7A1D6FE4" w14:textId="77777777" w:rsidR="00BE36FB" w:rsidRPr="009B7B35" w:rsidRDefault="00BE36FB" w:rsidP="00BE36FB">
            <w:pPr>
              <w:pStyle w:val="TableText"/>
              <w:numPr>
                <w:ilvl w:val="0"/>
                <w:numId w:val="78"/>
              </w:numPr>
              <w:rPr>
                <w:rFonts w:cs="Arial"/>
              </w:rPr>
            </w:pPr>
            <w:r w:rsidRPr="009B7B35">
              <w:rPr>
                <w:rFonts w:cs="Arial"/>
              </w:rPr>
              <w:t>marine industry</w:t>
            </w:r>
          </w:p>
          <w:p w14:paraId="565A85AC" w14:textId="77777777" w:rsidR="00BE36FB" w:rsidRPr="009B7B35" w:rsidRDefault="00BE36FB" w:rsidP="00BE36FB">
            <w:pPr>
              <w:pStyle w:val="TableText"/>
              <w:numPr>
                <w:ilvl w:val="0"/>
                <w:numId w:val="78"/>
              </w:numPr>
              <w:rPr>
                <w:rFonts w:cs="Arial"/>
              </w:rPr>
            </w:pPr>
            <w:r w:rsidRPr="009B7B35">
              <w:rPr>
                <w:rFonts w:cs="Arial"/>
              </w:rPr>
              <w:t>medium impact industry</w:t>
            </w:r>
          </w:p>
          <w:p w14:paraId="69C6FD76" w14:textId="77777777" w:rsidR="00BE36FB" w:rsidRPr="009B7B35" w:rsidRDefault="00BE36FB" w:rsidP="00BE36FB">
            <w:pPr>
              <w:pStyle w:val="TableText"/>
              <w:numPr>
                <w:ilvl w:val="0"/>
                <w:numId w:val="78"/>
              </w:numPr>
              <w:rPr>
                <w:rFonts w:cs="Arial"/>
              </w:rPr>
            </w:pPr>
            <w:r w:rsidRPr="009B7B35">
              <w:rPr>
                <w:rFonts w:cs="Arial"/>
              </w:rPr>
              <w:t>research and technology industry</w:t>
            </w:r>
          </w:p>
          <w:p w14:paraId="11F679E0" w14:textId="77777777" w:rsidR="00BE36FB" w:rsidRPr="009B7B35" w:rsidRDefault="00BE36FB" w:rsidP="00BE36FB">
            <w:pPr>
              <w:pStyle w:val="TableText"/>
              <w:numPr>
                <w:ilvl w:val="0"/>
                <w:numId w:val="78"/>
              </w:numPr>
              <w:rPr>
                <w:rFonts w:cs="Arial"/>
              </w:rPr>
            </w:pPr>
            <w:r w:rsidRPr="009B7B35">
              <w:rPr>
                <w:rFonts w:cs="Arial"/>
              </w:rPr>
              <w:t xml:space="preserve">service industry </w:t>
            </w:r>
          </w:p>
          <w:p w14:paraId="37AE5054" w14:textId="77777777" w:rsidR="00BE36FB" w:rsidRPr="009B7B35" w:rsidRDefault="00BE36FB" w:rsidP="00BE36FB">
            <w:pPr>
              <w:pStyle w:val="TableText"/>
              <w:numPr>
                <w:ilvl w:val="0"/>
                <w:numId w:val="78"/>
              </w:numPr>
              <w:rPr>
                <w:rFonts w:cs="Arial"/>
              </w:rPr>
            </w:pPr>
            <w:r w:rsidRPr="009B7B35">
              <w:rPr>
                <w:rFonts w:cs="Arial"/>
              </w:rPr>
              <w:t>transport depot</w:t>
            </w:r>
          </w:p>
          <w:p w14:paraId="354C8B12" w14:textId="77777777" w:rsidR="00BE36FB" w:rsidRPr="009B7B35" w:rsidRDefault="00BE36FB" w:rsidP="00BE36FB">
            <w:pPr>
              <w:pStyle w:val="TableText"/>
              <w:numPr>
                <w:ilvl w:val="0"/>
                <w:numId w:val="78"/>
              </w:numPr>
              <w:rPr>
                <w:rFonts w:cs="Arial"/>
              </w:rPr>
            </w:pPr>
            <w:r w:rsidRPr="009B7B35">
              <w:rPr>
                <w:rFonts w:cs="Arial"/>
              </w:rPr>
              <w:t>warehouse.</w:t>
            </w:r>
          </w:p>
        </w:tc>
        <w:tc>
          <w:tcPr>
            <w:tcW w:w="3213" w:type="dxa"/>
          </w:tcPr>
          <w:p w14:paraId="5480023C" w14:textId="77777777" w:rsidR="00BE36FB" w:rsidRPr="009B7B35" w:rsidRDefault="00BE36FB" w:rsidP="001A7107">
            <w:pPr>
              <w:rPr>
                <w:rFonts w:cs="Arial"/>
                <w:sz w:val="20"/>
                <w:szCs w:val="20"/>
              </w:rPr>
            </w:pPr>
            <w:r w:rsidRPr="009B7B35">
              <w:rPr>
                <w:rFonts w:cs="Arial"/>
                <w:sz w:val="20"/>
                <w:szCs w:val="20"/>
              </w:rPr>
              <w:t>Code assessment if provisionally made accepted development subject to requirements by another table of assessment. Otherwise no change to assessment category.</w:t>
            </w:r>
          </w:p>
          <w:p w14:paraId="4DE2A9B0" w14:textId="77777777" w:rsidR="00BE36FB" w:rsidRPr="009B7B35" w:rsidRDefault="00BE36FB" w:rsidP="001A7107">
            <w:pPr>
              <w:pStyle w:val="TableText"/>
              <w:rPr>
                <w:rFonts w:cs="Arial"/>
              </w:rPr>
            </w:pPr>
          </w:p>
        </w:tc>
        <w:tc>
          <w:tcPr>
            <w:tcW w:w="2520" w:type="dxa"/>
          </w:tcPr>
          <w:p w14:paraId="0B94A260" w14:textId="77777777" w:rsidR="00BE36FB" w:rsidRPr="009B7B35" w:rsidRDefault="00BE36FB">
            <w:pPr>
              <w:pStyle w:val="TableText"/>
              <w:rPr>
                <w:rFonts w:cs="Arial"/>
              </w:rPr>
            </w:pPr>
            <w:r w:rsidRPr="009B7B35">
              <w:rPr>
                <w:rFonts w:cs="Arial"/>
              </w:rPr>
              <w:t>Bushfire hazard overlay code</w:t>
            </w:r>
          </w:p>
        </w:tc>
      </w:tr>
      <w:tr w:rsidR="00BE36FB" w:rsidRPr="009B7B35" w14:paraId="33F341A8" w14:textId="77777777" w:rsidTr="001A7107">
        <w:tc>
          <w:tcPr>
            <w:tcW w:w="3623" w:type="dxa"/>
          </w:tcPr>
          <w:p w14:paraId="2D6AFCE0" w14:textId="77777777" w:rsidR="00BE36FB" w:rsidRPr="009B7B35" w:rsidRDefault="00BE36FB" w:rsidP="001A7107">
            <w:pPr>
              <w:pStyle w:val="TableText"/>
              <w:rPr>
                <w:rFonts w:cs="Arial"/>
              </w:rPr>
            </w:pPr>
            <w:r w:rsidRPr="009B7B35">
              <w:rPr>
                <w:rFonts w:cs="Arial"/>
              </w:rPr>
              <w:t>Any material change of use for:</w:t>
            </w:r>
          </w:p>
          <w:p w14:paraId="7C73D737" w14:textId="77777777" w:rsidR="00BE36FB" w:rsidRPr="009B7B35" w:rsidRDefault="00BE36FB" w:rsidP="00BE36FB">
            <w:pPr>
              <w:pStyle w:val="TableText"/>
              <w:numPr>
                <w:ilvl w:val="0"/>
                <w:numId w:val="77"/>
              </w:numPr>
              <w:rPr>
                <w:rFonts w:cs="Arial"/>
              </w:rPr>
            </w:pPr>
            <w:r w:rsidRPr="009B7B35">
              <w:rPr>
                <w:rFonts w:cs="Arial"/>
              </w:rPr>
              <w:t>child care facility</w:t>
            </w:r>
          </w:p>
          <w:p w14:paraId="031461E1" w14:textId="77777777" w:rsidR="00BE36FB" w:rsidRPr="009B7B35" w:rsidRDefault="00BE36FB" w:rsidP="00BE36FB">
            <w:pPr>
              <w:pStyle w:val="TableText"/>
              <w:numPr>
                <w:ilvl w:val="0"/>
                <w:numId w:val="77"/>
              </w:numPr>
              <w:rPr>
                <w:rFonts w:cs="Arial"/>
              </w:rPr>
            </w:pPr>
            <w:r w:rsidRPr="009B7B35">
              <w:rPr>
                <w:rFonts w:cs="Arial"/>
              </w:rPr>
              <w:t xml:space="preserve">community care centre </w:t>
            </w:r>
          </w:p>
          <w:p w14:paraId="3FFBA2D2" w14:textId="77777777" w:rsidR="00BE36FB" w:rsidRPr="009B7B35" w:rsidRDefault="00BE36FB" w:rsidP="00BE36FB">
            <w:pPr>
              <w:pStyle w:val="TableText"/>
              <w:numPr>
                <w:ilvl w:val="0"/>
                <w:numId w:val="77"/>
              </w:numPr>
              <w:rPr>
                <w:rFonts w:cs="Arial"/>
              </w:rPr>
            </w:pPr>
            <w:r w:rsidRPr="009B7B35">
              <w:rPr>
                <w:rFonts w:cs="Arial"/>
              </w:rPr>
              <w:t>educational establishment</w:t>
            </w:r>
          </w:p>
          <w:p w14:paraId="33A220F8" w14:textId="77777777" w:rsidR="00BE36FB" w:rsidRPr="009B7B35" w:rsidRDefault="00BE36FB" w:rsidP="00BE36FB">
            <w:pPr>
              <w:pStyle w:val="TableText"/>
              <w:numPr>
                <w:ilvl w:val="0"/>
                <w:numId w:val="77"/>
              </w:numPr>
              <w:rPr>
                <w:rFonts w:cs="Arial"/>
              </w:rPr>
            </w:pPr>
            <w:r w:rsidRPr="009B7B35">
              <w:rPr>
                <w:rFonts w:cs="Arial"/>
              </w:rPr>
              <w:t>hostel</w:t>
            </w:r>
          </w:p>
          <w:p w14:paraId="6DD789EE" w14:textId="77777777" w:rsidR="00BE36FB" w:rsidRPr="009B7B35" w:rsidRDefault="00BE36FB" w:rsidP="00BE36FB">
            <w:pPr>
              <w:pStyle w:val="TableText"/>
              <w:numPr>
                <w:ilvl w:val="0"/>
                <w:numId w:val="77"/>
              </w:numPr>
              <w:rPr>
                <w:rFonts w:cs="Arial"/>
              </w:rPr>
            </w:pPr>
            <w:r w:rsidRPr="009B7B35">
              <w:rPr>
                <w:rFonts w:cs="Arial"/>
              </w:rPr>
              <w:t>hospital</w:t>
            </w:r>
          </w:p>
          <w:p w14:paraId="00D36660" w14:textId="77777777" w:rsidR="00BE36FB" w:rsidRPr="009B7B35" w:rsidRDefault="00BE36FB" w:rsidP="00BE36FB">
            <w:pPr>
              <w:pStyle w:val="TableText"/>
              <w:numPr>
                <w:ilvl w:val="0"/>
                <w:numId w:val="77"/>
              </w:numPr>
              <w:rPr>
                <w:rFonts w:cs="Arial"/>
              </w:rPr>
            </w:pPr>
            <w:r w:rsidRPr="009B7B35">
              <w:rPr>
                <w:rFonts w:cs="Arial"/>
              </w:rPr>
              <w:t>industry involving manufacture or storage of hazardous materials in bulk</w:t>
            </w:r>
          </w:p>
          <w:p w14:paraId="490B2E8A" w14:textId="77777777" w:rsidR="00BE36FB" w:rsidRPr="009B7B35" w:rsidRDefault="00BE36FB" w:rsidP="00BE36FB">
            <w:pPr>
              <w:pStyle w:val="TableText"/>
              <w:numPr>
                <w:ilvl w:val="0"/>
                <w:numId w:val="77"/>
              </w:numPr>
              <w:rPr>
                <w:rFonts w:cs="Arial"/>
              </w:rPr>
            </w:pPr>
            <w:r w:rsidRPr="009B7B35">
              <w:rPr>
                <w:rFonts w:cs="Arial"/>
              </w:rPr>
              <w:t xml:space="preserve">multiple dwelling </w:t>
            </w:r>
          </w:p>
          <w:p w14:paraId="4D0550C8" w14:textId="77777777" w:rsidR="00BE36FB" w:rsidRPr="009B7B35" w:rsidRDefault="00BE36FB" w:rsidP="00BE36FB">
            <w:pPr>
              <w:pStyle w:val="TableText"/>
              <w:numPr>
                <w:ilvl w:val="0"/>
                <w:numId w:val="77"/>
              </w:numPr>
              <w:rPr>
                <w:rFonts w:cs="Arial"/>
              </w:rPr>
            </w:pPr>
            <w:r w:rsidRPr="009B7B35">
              <w:rPr>
                <w:rFonts w:cs="Arial"/>
              </w:rPr>
              <w:t>non–resident workforce accommodation</w:t>
            </w:r>
          </w:p>
          <w:p w14:paraId="5FF8D621" w14:textId="77777777" w:rsidR="00BE36FB" w:rsidRPr="009B7B35" w:rsidRDefault="00BE36FB" w:rsidP="00BE36FB">
            <w:pPr>
              <w:pStyle w:val="TableText"/>
              <w:numPr>
                <w:ilvl w:val="0"/>
                <w:numId w:val="77"/>
              </w:numPr>
              <w:rPr>
                <w:rFonts w:cs="Arial"/>
              </w:rPr>
            </w:pPr>
            <w:r w:rsidRPr="009B7B35">
              <w:rPr>
                <w:rFonts w:cs="Arial"/>
              </w:rPr>
              <w:t>residential care facility</w:t>
            </w:r>
          </w:p>
          <w:p w14:paraId="683BA925" w14:textId="77777777" w:rsidR="00BE36FB" w:rsidRPr="009B7B35" w:rsidRDefault="00BE36FB" w:rsidP="00BE36FB">
            <w:pPr>
              <w:pStyle w:val="TableText"/>
              <w:numPr>
                <w:ilvl w:val="0"/>
                <w:numId w:val="77"/>
              </w:numPr>
              <w:rPr>
                <w:rFonts w:cs="Arial"/>
              </w:rPr>
            </w:pPr>
            <w:r w:rsidRPr="009B7B35">
              <w:rPr>
                <w:rFonts w:cs="Arial"/>
              </w:rPr>
              <w:t>retirement facility</w:t>
            </w:r>
          </w:p>
          <w:p w14:paraId="53D4E5A1" w14:textId="77777777" w:rsidR="00BE36FB" w:rsidRPr="009B7B35" w:rsidRDefault="00BE36FB" w:rsidP="00BE36FB">
            <w:pPr>
              <w:pStyle w:val="TableText"/>
              <w:numPr>
                <w:ilvl w:val="0"/>
                <w:numId w:val="77"/>
              </w:numPr>
              <w:rPr>
                <w:rFonts w:cs="Arial"/>
              </w:rPr>
            </w:pPr>
            <w:r w:rsidRPr="009B7B35">
              <w:rPr>
                <w:rFonts w:cs="Arial"/>
              </w:rPr>
              <w:t>shopping centre</w:t>
            </w:r>
          </w:p>
          <w:p w14:paraId="297A2EA0" w14:textId="77777777" w:rsidR="00BE36FB" w:rsidRPr="009B7B35" w:rsidRDefault="00BE36FB" w:rsidP="00BE36FB">
            <w:pPr>
              <w:pStyle w:val="TableText"/>
              <w:numPr>
                <w:ilvl w:val="0"/>
                <w:numId w:val="77"/>
              </w:numPr>
              <w:rPr>
                <w:rFonts w:cs="Arial"/>
              </w:rPr>
            </w:pPr>
            <w:r w:rsidRPr="009B7B35">
              <w:rPr>
                <w:rFonts w:cs="Arial"/>
              </w:rPr>
              <w:t>short–term accommodation</w:t>
            </w:r>
          </w:p>
          <w:p w14:paraId="4F5B817F" w14:textId="77777777" w:rsidR="00BE36FB" w:rsidRPr="009B7B35" w:rsidRDefault="00BE36FB" w:rsidP="00BE36FB">
            <w:pPr>
              <w:pStyle w:val="TableText"/>
              <w:numPr>
                <w:ilvl w:val="0"/>
                <w:numId w:val="77"/>
              </w:numPr>
              <w:rPr>
                <w:rFonts w:cs="Arial"/>
              </w:rPr>
            </w:pPr>
            <w:r w:rsidRPr="009B7B35">
              <w:rPr>
                <w:rFonts w:cs="Arial"/>
              </w:rPr>
              <w:t>tourist attraction</w:t>
            </w:r>
          </w:p>
          <w:p w14:paraId="0483C905" w14:textId="77777777" w:rsidR="00BE36FB" w:rsidRPr="009B7B35" w:rsidRDefault="00BE36FB" w:rsidP="00BE36FB">
            <w:pPr>
              <w:pStyle w:val="TableText"/>
              <w:numPr>
                <w:ilvl w:val="0"/>
                <w:numId w:val="77"/>
              </w:numPr>
              <w:rPr>
                <w:rFonts w:cs="Arial"/>
              </w:rPr>
            </w:pPr>
            <w:r w:rsidRPr="009B7B35">
              <w:rPr>
                <w:rFonts w:cs="Arial"/>
              </w:rPr>
              <w:t>tourist park.</w:t>
            </w:r>
          </w:p>
        </w:tc>
        <w:tc>
          <w:tcPr>
            <w:tcW w:w="3213" w:type="dxa"/>
          </w:tcPr>
          <w:p w14:paraId="4EC37D29" w14:textId="77777777" w:rsidR="00BE36FB" w:rsidRPr="009B7B35" w:rsidRDefault="00BE36FB" w:rsidP="001A7107">
            <w:pPr>
              <w:pStyle w:val="TableText"/>
              <w:rPr>
                <w:rFonts w:cs="Arial"/>
              </w:rPr>
            </w:pPr>
            <w:r w:rsidRPr="009B7B35">
              <w:rPr>
                <w:rFonts w:cs="Arial"/>
              </w:rPr>
              <w:t>Impact Assessment.</w:t>
            </w:r>
            <w:r w:rsidRPr="009B7B35" w:rsidDel="00E03662">
              <w:rPr>
                <w:rFonts w:cs="Arial"/>
              </w:rPr>
              <w:t xml:space="preserve"> </w:t>
            </w:r>
          </w:p>
        </w:tc>
        <w:tc>
          <w:tcPr>
            <w:tcW w:w="2520" w:type="dxa"/>
          </w:tcPr>
          <w:p w14:paraId="3CA57E83" w14:textId="77777777" w:rsidR="00BE36FB" w:rsidRPr="009B7B35" w:rsidRDefault="00BE36FB">
            <w:pPr>
              <w:pStyle w:val="TableText"/>
              <w:rPr>
                <w:rFonts w:cs="Arial"/>
              </w:rPr>
            </w:pPr>
            <w:r w:rsidRPr="009B7B35">
              <w:rPr>
                <w:rFonts w:cs="Arial"/>
              </w:rPr>
              <w:t>Bushfire hazard overlay code</w:t>
            </w:r>
          </w:p>
        </w:tc>
      </w:tr>
      <w:tr w:rsidR="00BE36FB" w:rsidRPr="009B7B35" w14:paraId="31E281B0" w14:textId="77777777" w:rsidTr="001A7107">
        <w:trPr>
          <w:cantSplit/>
          <w:trHeight w:val="42"/>
        </w:trPr>
        <w:tc>
          <w:tcPr>
            <w:tcW w:w="3623" w:type="dxa"/>
          </w:tcPr>
          <w:p w14:paraId="162A8A3F" w14:textId="77777777" w:rsidR="00BE36FB" w:rsidRPr="009B7B35" w:rsidRDefault="00BE36FB" w:rsidP="001A7107">
            <w:pPr>
              <w:pStyle w:val="TableText"/>
              <w:rPr>
                <w:rFonts w:cs="Arial"/>
              </w:rPr>
            </w:pPr>
            <w:r w:rsidRPr="009B7B35">
              <w:rPr>
                <w:rFonts w:cs="Arial"/>
              </w:rPr>
              <w:t>Any other material change of use</w:t>
            </w:r>
          </w:p>
        </w:tc>
        <w:tc>
          <w:tcPr>
            <w:tcW w:w="3213" w:type="dxa"/>
          </w:tcPr>
          <w:p w14:paraId="79065FE9" w14:textId="77777777" w:rsidR="00BE36FB" w:rsidRPr="009B7B35" w:rsidRDefault="00BE36FB">
            <w:pPr>
              <w:pStyle w:val="TableText"/>
              <w:rPr>
                <w:rFonts w:cs="Arial"/>
              </w:rPr>
            </w:pPr>
            <w:r w:rsidRPr="009B7B35">
              <w:rPr>
                <w:rFonts w:cs="Arial"/>
              </w:rPr>
              <w:t>No change to assessment category</w:t>
            </w:r>
          </w:p>
        </w:tc>
        <w:tc>
          <w:tcPr>
            <w:tcW w:w="2520" w:type="dxa"/>
          </w:tcPr>
          <w:p w14:paraId="049A635C" w14:textId="77777777" w:rsidR="00BE36FB" w:rsidRPr="009B7B35" w:rsidRDefault="00BE36FB">
            <w:pPr>
              <w:pStyle w:val="TableText"/>
              <w:rPr>
                <w:rFonts w:cs="Arial"/>
              </w:rPr>
            </w:pPr>
            <w:r w:rsidRPr="009B7B35">
              <w:rPr>
                <w:rFonts w:cs="Arial"/>
              </w:rPr>
              <w:t>Bushfire hazard overlay code</w:t>
            </w:r>
          </w:p>
        </w:tc>
      </w:tr>
      <w:tr w:rsidR="00BE36FB" w:rsidRPr="009B7B35" w14:paraId="69687657" w14:textId="77777777" w:rsidTr="001A7107">
        <w:trPr>
          <w:cantSplit/>
        </w:trPr>
        <w:tc>
          <w:tcPr>
            <w:tcW w:w="9356" w:type="dxa"/>
            <w:gridSpan w:val="3"/>
          </w:tcPr>
          <w:p w14:paraId="5995F86E" w14:textId="77777777" w:rsidR="00BE36FB" w:rsidRPr="009B7B35" w:rsidRDefault="00BE36FB">
            <w:pPr>
              <w:pStyle w:val="Tableheading"/>
              <w:rPr>
                <w:rFonts w:ascii="Arial" w:hAnsi="Arial" w:cs="Arial"/>
                <w:szCs w:val="20"/>
              </w:rPr>
            </w:pPr>
            <w:r w:rsidRPr="009B7B35">
              <w:rPr>
                <w:rFonts w:ascii="Arial" w:hAnsi="Arial" w:cs="Arial"/>
                <w:szCs w:val="20"/>
              </w:rPr>
              <w:t>If in a medium bushfire hazard area</w:t>
            </w:r>
          </w:p>
        </w:tc>
      </w:tr>
      <w:tr w:rsidR="00BE36FB" w:rsidRPr="009B7B35" w14:paraId="7E835620" w14:textId="77777777" w:rsidTr="001A7107">
        <w:trPr>
          <w:cantSplit/>
        </w:trPr>
        <w:tc>
          <w:tcPr>
            <w:tcW w:w="3623" w:type="dxa"/>
          </w:tcPr>
          <w:p w14:paraId="6790D466" w14:textId="77777777" w:rsidR="00BE36FB" w:rsidRPr="009B7B35" w:rsidRDefault="00BE36FB" w:rsidP="001A7107">
            <w:pPr>
              <w:pStyle w:val="TableText"/>
              <w:rPr>
                <w:rFonts w:cs="Arial"/>
              </w:rPr>
            </w:pPr>
            <w:r w:rsidRPr="009B7B35">
              <w:rPr>
                <w:rFonts w:cs="Arial"/>
              </w:rPr>
              <w:t>Any material change of use</w:t>
            </w:r>
          </w:p>
        </w:tc>
        <w:tc>
          <w:tcPr>
            <w:tcW w:w="3213" w:type="dxa"/>
          </w:tcPr>
          <w:p w14:paraId="3A31435E" w14:textId="77777777" w:rsidR="00BE36FB" w:rsidRPr="009B7B35" w:rsidRDefault="00BE36FB">
            <w:pPr>
              <w:pStyle w:val="TableText"/>
              <w:rPr>
                <w:rFonts w:cs="Arial"/>
              </w:rPr>
            </w:pPr>
            <w:r w:rsidRPr="009B7B35">
              <w:rPr>
                <w:rFonts w:cs="Arial"/>
              </w:rPr>
              <w:t>No change to assessment category</w:t>
            </w:r>
          </w:p>
        </w:tc>
        <w:tc>
          <w:tcPr>
            <w:tcW w:w="2520" w:type="dxa"/>
          </w:tcPr>
          <w:p w14:paraId="0EF23FB9" w14:textId="77777777" w:rsidR="00BE36FB" w:rsidRPr="009B7B35" w:rsidRDefault="00BE36FB">
            <w:pPr>
              <w:pStyle w:val="TableText"/>
              <w:rPr>
                <w:rFonts w:cs="Arial"/>
              </w:rPr>
            </w:pPr>
            <w:r w:rsidRPr="009B7B35">
              <w:rPr>
                <w:rFonts w:cs="Arial"/>
              </w:rPr>
              <w:t>Bushfire hazard overlay code</w:t>
            </w:r>
          </w:p>
        </w:tc>
      </w:tr>
      <w:tr w:rsidR="00BE36FB" w:rsidRPr="009B7B35" w14:paraId="06FAE2E1" w14:textId="77777777" w:rsidTr="001A7107">
        <w:trPr>
          <w:cantSplit/>
        </w:trPr>
        <w:tc>
          <w:tcPr>
            <w:tcW w:w="9356" w:type="dxa"/>
            <w:gridSpan w:val="3"/>
          </w:tcPr>
          <w:p w14:paraId="0F8BF321" w14:textId="77777777" w:rsidR="00BE36FB" w:rsidRPr="009B7B35" w:rsidRDefault="00BE36FB">
            <w:pPr>
              <w:pStyle w:val="Tableheading"/>
              <w:rPr>
                <w:rFonts w:ascii="Arial" w:hAnsi="Arial" w:cs="Arial"/>
                <w:szCs w:val="20"/>
              </w:rPr>
            </w:pPr>
            <w:r w:rsidRPr="009B7B35">
              <w:rPr>
                <w:rFonts w:ascii="Arial" w:hAnsi="Arial" w:cs="Arial"/>
                <w:szCs w:val="20"/>
              </w:rPr>
              <w:t>If in a medium, high or very high bushfire hazard area</w:t>
            </w:r>
          </w:p>
        </w:tc>
      </w:tr>
      <w:tr w:rsidR="00BE36FB" w:rsidRPr="009B7B35" w14:paraId="6A478D9E" w14:textId="77777777" w:rsidTr="001A7107">
        <w:trPr>
          <w:cantSplit/>
        </w:trPr>
        <w:tc>
          <w:tcPr>
            <w:tcW w:w="3623" w:type="dxa"/>
          </w:tcPr>
          <w:p w14:paraId="61DE7374" w14:textId="77777777" w:rsidR="00BE36FB" w:rsidRPr="009B7B35" w:rsidRDefault="00BE36FB" w:rsidP="001A7107">
            <w:pPr>
              <w:pStyle w:val="TableText"/>
              <w:rPr>
                <w:rFonts w:cs="Arial"/>
              </w:rPr>
            </w:pPr>
            <w:r w:rsidRPr="009B7B35">
              <w:rPr>
                <w:rFonts w:cs="Arial"/>
              </w:rPr>
              <w:t>Reconfiguring a lot</w:t>
            </w:r>
          </w:p>
        </w:tc>
        <w:tc>
          <w:tcPr>
            <w:tcW w:w="3213" w:type="dxa"/>
          </w:tcPr>
          <w:p w14:paraId="2E001F4E" w14:textId="77777777" w:rsidR="00BE36FB" w:rsidRPr="009B7B35" w:rsidRDefault="00BE36FB">
            <w:pPr>
              <w:pStyle w:val="TableText"/>
              <w:rPr>
                <w:rFonts w:cs="Arial"/>
              </w:rPr>
            </w:pPr>
            <w:r w:rsidRPr="009B7B35">
              <w:rPr>
                <w:rFonts w:cs="Arial"/>
              </w:rPr>
              <w:t>No change to assessment category</w:t>
            </w:r>
          </w:p>
        </w:tc>
        <w:tc>
          <w:tcPr>
            <w:tcW w:w="2520" w:type="dxa"/>
          </w:tcPr>
          <w:p w14:paraId="55BDB7F8" w14:textId="77777777" w:rsidR="00BE36FB" w:rsidRPr="009B7B35" w:rsidRDefault="00BE36FB">
            <w:pPr>
              <w:pStyle w:val="TableText"/>
              <w:rPr>
                <w:rFonts w:cs="Arial"/>
              </w:rPr>
            </w:pPr>
            <w:r w:rsidRPr="009B7B35">
              <w:rPr>
                <w:rFonts w:cs="Arial"/>
              </w:rPr>
              <w:t>Bushfire hazard overlay code</w:t>
            </w:r>
          </w:p>
        </w:tc>
      </w:tr>
      <w:tr w:rsidR="00BE36FB" w:rsidRPr="009B7B35" w14:paraId="5DE7BC18" w14:textId="77777777" w:rsidTr="001A7107">
        <w:trPr>
          <w:cantSplit/>
        </w:trPr>
        <w:tc>
          <w:tcPr>
            <w:tcW w:w="9356" w:type="dxa"/>
            <w:gridSpan w:val="3"/>
            <w:shd w:val="clear" w:color="auto" w:fill="BFBFBF" w:themeFill="background1" w:themeFillShade="BF"/>
          </w:tcPr>
          <w:p w14:paraId="5610CF26" w14:textId="77777777" w:rsidR="00BE36FB" w:rsidRPr="009B7B35" w:rsidRDefault="00BE36FB">
            <w:pPr>
              <w:pStyle w:val="Tableheading"/>
              <w:rPr>
                <w:rFonts w:ascii="Arial" w:hAnsi="Arial" w:cs="Arial"/>
                <w:szCs w:val="20"/>
              </w:rPr>
            </w:pPr>
            <w:r w:rsidRPr="009B7B35">
              <w:rPr>
                <w:rFonts w:ascii="Arial" w:hAnsi="Arial" w:cs="Arial"/>
                <w:szCs w:val="20"/>
              </w:rPr>
              <w:t>Coastal hazard overlay code</w:t>
            </w:r>
          </w:p>
        </w:tc>
      </w:tr>
      <w:tr w:rsidR="00BE36FB" w:rsidRPr="009B7B35" w14:paraId="5FCB64F6" w14:textId="77777777" w:rsidTr="001A7107">
        <w:tc>
          <w:tcPr>
            <w:tcW w:w="3623" w:type="dxa"/>
          </w:tcPr>
          <w:p w14:paraId="1E27D603" w14:textId="77777777"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 for any of the following:</w:t>
            </w:r>
          </w:p>
          <w:p w14:paraId="7949FD24" w14:textId="77777777" w:rsidR="00BE36FB" w:rsidRPr="009B7B35" w:rsidRDefault="00BE36FB" w:rsidP="00BE36FB">
            <w:pPr>
              <w:pStyle w:val="TableText"/>
              <w:numPr>
                <w:ilvl w:val="0"/>
                <w:numId w:val="76"/>
              </w:numPr>
              <w:rPr>
                <w:rFonts w:cs="Arial"/>
              </w:rPr>
            </w:pPr>
            <w:r w:rsidRPr="009B7B35">
              <w:rPr>
                <w:rFonts w:cs="Arial"/>
              </w:rPr>
              <w:t>community residence</w:t>
            </w:r>
          </w:p>
          <w:p w14:paraId="268135EE" w14:textId="77777777" w:rsidR="00BE36FB" w:rsidRPr="009B7B35" w:rsidRDefault="00BE36FB" w:rsidP="00BE36FB">
            <w:pPr>
              <w:pStyle w:val="TableText"/>
              <w:numPr>
                <w:ilvl w:val="0"/>
                <w:numId w:val="76"/>
              </w:numPr>
              <w:rPr>
                <w:rFonts w:cs="Arial"/>
              </w:rPr>
            </w:pPr>
            <w:r w:rsidRPr="009B7B35">
              <w:rPr>
                <w:rFonts w:cs="Arial"/>
              </w:rPr>
              <w:t>dual occupancy</w:t>
            </w:r>
          </w:p>
          <w:p w14:paraId="45FEBC02" w14:textId="77777777" w:rsidR="00BE36FB" w:rsidRPr="009B7B35" w:rsidRDefault="00BE36FB" w:rsidP="00BE36FB">
            <w:pPr>
              <w:pStyle w:val="TableText"/>
              <w:numPr>
                <w:ilvl w:val="0"/>
                <w:numId w:val="76"/>
              </w:numPr>
              <w:rPr>
                <w:rFonts w:cs="Arial"/>
              </w:rPr>
            </w:pPr>
            <w:r w:rsidRPr="009B7B35">
              <w:rPr>
                <w:rFonts w:cs="Arial"/>
              </w:rPr>
              <w:t>dwelling house.</w:t>
            </w:r>
          </w:p>
        </w:tc>
        <w:tc>
          <w:tcPr>
            <w:tcW w:w="3213" w:type="dxa"/>
          </w:tcPr>
          <w:p w14:paraId="587F7CAE" w14:textId="77777777" w:rsidR="00BE36FB" w:rsidRPr="009B7B35" w:rsidRDefault="00BE36FB" w:rsidP="001A7107">
            <w:pPr>
              <w:pStyle w:val="TableText"/>
              <w:rPr>
                <w:rFonts w:cs="Arial"/>
              </w:rPr>
            </w:pPr>
            <w:r w:rsidRPr="009B7B35">
              <w:rPr>
                <w:rFonts w:cs="Arial"/>
              </w:rPr>
              <w:t>No change to assessment category if  complying with accepted development subject to requirements acceptable outcomes</w:t>
            </w:r>
            <w:r w:rsidRPr="009B7B35" w:rsidDel="00E03662">
              <w:rPr>
                <w:rFonts w:cs="Arial"/>
              </w:rPr>
              <w:t xml:space="preserve"> </w:t>
            </w:r>
          </w:p>
        </w:tc>
        <w:tc>
          <w:tcPr>
            <w:tcW w:w="2520" w:type="dxa"/>
          </w:tcPr>
          <w:p w14:paraId="2DDF04E4" w14:textId="77777777" w:rsidR="00BE36FB" w:rsidRPr="009B7B35" w:rsidRDefault="00BE36FB">
            <w:pPr>
              <w:pStyle w:val="TableText"/>
              <w:rPr>
                <w:rFonts w:cs="Arial"/>
              </w:rPr>
            </w:pPr>
            <w:r w:rsidRPr="009B7B35">
              <w:rPr>
                <w:rFonts w:cs="Arial"/>
              </w:rPr>
              <w:t>Coastal hazard overlay code</w:t>
            </w:r>
          </w:p>
        </w:tc>
      </w:tr>
      <w:tr w:rsidR="00BE36FB" w:rsidRPr="009B7B35" w14:paraId="5B95DA7E" w14:textId="77777777" w:rsidTr="001A7107">
        <w:tc>
          <w:tcPr>
            <w:tcW w:w="3623" w:type="dxa"/>
          </w:tcPr>
          <w:p w14:paraId="18ED0BCF" w14:textId="77777777"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 and involving building work for any of the following:</w:t>
            </w:r>
          </w:p>
          <w:p w14:paraId="58EAC0E4" w14:textId="77777777" w:rsidR="00BE36FB" w:rsidRPr="009B7B35" w:rsidRDefault="00BE36FB" w:rsidP="00BE36FB">
            <w:pPr>
              <w:pStyle w:val="TableText"/>
              <w:numPr>
                <w:ilvl w:val="0"/>
                <w:numId w:val="95"/>
              </w:numPr>
              <w:rPr>
                <w:rFonts w:cs="Arial"/>
              </w:rPr>
            </w:pPr>
            <w:r w:rsidRPr="009B7B35">
              <w:rPr>
                <w:rFonts w:cs="Arial"/>
              </w:rPr>
              <w:t>low impact industry</w:t>
            </w:r>
          </w:p>
          <w:p w14:paraId="40F6C99D" w14:textId="77777777" w:rsidR="00BE36FB" w:rsidRPr="009B7B35" w:rsidRDefault="00BE36FB" w:rsidP="00BE36FB">
            <w:pPr>
              <w:pStyle w:val="TableText"/>
              <w:numPr>
                <w:ilvl w:val="0"/>
                <w:numId w:val="95"/>
              </w:numPr>
              <w:rPr>
                <w:rFonts w:cs="Arial"/>
              </w:rPr>
            </w:pPr>
            <w:r w:rsidRPr="009B7B35">
              <w:rPr>
                <w:rFonts w:cs="Arial"/>
              </w:rPr>
              <w:t>marine industry</w:t>
            </w:r>
          </w:p>
          <w:p w14:paraId="56A15D42" w14:textId="77777777" w:rsidR="00BE36FB" w:rsidRPr="009B7B35" w:rsidRDefault="00BE36FB" w:rsidP="00BE36FB">
            <w:pPr>
              <w:pStyle w:val="TableText"/>
              <w:numPr>
                <w:ilvl w:val="0"/>
                <w:numId w:val="95"/>
              </w:numPr>
              <w:rPr>
                <w:rFonts w:cs="Arial"/>
              </w:rPr>
            </w:pPr>
            <w:r w:rsidRPr="009B7B35">
              <w:rPr>
                <w:rFonts w:cs="Arial"/>
              </w:rPr>
              <w:t>medium impact industry</w:t>
            </w:r>
          </w:p>
          <w:p w14:paraId="078382EC" w14:textId="77777777" w:rsidR="00BE36FB" w:rsidRPr="009B7B35" w:rsidRDefault="00BE36FB" w:rsidP="00BE36FB">
            <w:pPr>
              <w:pStyle w:val="TableText"/>
              <w:numPr>
                <w:ilvl w:val="0"/>
                <w:numId w:val="95"/>
              </w:numPr>
              <w:rPr>
                <w:rFonts w:cs="Arial"/>
              </w:rPr>
            </w:pPr>
            <w:r w:rsidRPr="009B7B35">
              <w:rPr>
                <w:rFonts w:cs="Arial"/>
              </w:rPr>
              <w:t>research and technology industry</w:t>
            </w:r>
          </w:p>
          <w:p w14:paraId="5B425852" w14:textId="77777777" w:rsidR="00BE36FB" w:rsidRPr="009B7B35" w:rsidRDefault="00BE36FB" w:rsidP="00BE36FB">
            <w:pPr>
              <w:pStyle w:val="TableText"/>
              <w:numPr>
                <w:ilvl w:val="0"/>
                <w:numId w:val="95"/>
              </w:numPr>
              <w:rPr>
                <w:rFonts w:cs="Arial"/>
              </w:rPr>
            </w:pPr>
            <w:r w:rsidRPr="009B7B35">
              <w:rPr>
                <w:rFonts w:cs="Arial"/>
              </w:rPr>
              <w:t xml:space="preserve">service industry </w:t>
            </w:r>
          </w:p>
          <w:p w14:paraId="1B4331A9" w14:textId="77777777" w:rsidR="00BE36FB" w:rsidRPr="009B7B35" w:rsidRDefault="00BE36FB" w:rsidP="00BE36FB">
            <w:pPr>
              <w:pStyle w:val="TableText"/>
              <w:numPr>
                <w:ilvl w:val="0"/>
                <w:numId w:val="95"/>
              </w:numPr>
              <w:rPr>
                <w:rFonts w:cs="Arial"/>
              </w:rPr>
            </w:pPr>
            <w:r w:rsidRPr="009B7B35">
              <w:rPr>
                <w:rFonts w:cs="Arial"/>
              </w:rPr>
              <w:t>transport depot</w:t>
            </w:r>
          </w:p>
          <w:p w14:paraId="7BD4DB23" w14:textId="77777777" w:rsidR="00BE36FB" w:rsidRPr="009B7B35" w:rsidRDefault="00BE36FB" w:rsidP="00BE36FB">
            <w:pPr>
              <w:pStyle w:val="TableText"/>
              <w:numPr>
                <w:ilvl w:val="0"/>
                <w:numId w:val="95"/>
              </w:numPr>
              <w:rPr>
                <w:rFonts w:cs="Arial"/>
              </w:rPr>
            </w:pPr>
            <w:r w:rsidRPr="009B7B35">
              <w:rPr>
                <w:rFonts w:cs="Arial"/>
              </w:rPr>
              <w:t>warehouse.</w:t>
            </w:r>
          </w:p>
        </w:tc>
        <w:tc>
          <w:tcPr>
            <w:tcW w:w="3213" w:type="dxa"/>
          </w:tcPr>
          <w:p w14:paraId="2FE7B724" w14:textId="77777777" w:rsidR="00BE36FB" w:rsidRPr="009B7B35" w:rsidRDefault="00BE36FB" w:rsidP="001A7107">
            <w:pPr>
              <w:pStyle w:val="TableText"/>
              <w:rPr>
                <w:rFonts w:cs="Arial"/>
              </w:rPr>
            </w:pPr>
            <w:r w:rsidRPr="009B7B35">
              <w:rPr>
                <w:rFonts w:cs="Arial"/>
              </w:rPr>
              <w:t>No change to assessment category if complying with accepted development subject to requirements acceptable outcomes</w:t>
            </w:r>
          </w:p>
        </w:tc>
        <w:tc>
          <w:tcPr>
            <w:tcW w:w="2520" w:type="dxa"/>
          </w:tcPr>
          <w:p w14:paraId="6769A96E" w14:textId="77777777" w:rsidR="00BE36FB" w:rsidRPr="009B7B35" w:rsidRDefault="00BE36FB">
            <w:pPr>
              <w:pStyle w:val="TableText"/>
              <w:rPr>
                <w:rFonts w:cs="Arial"/>
              </w:rPr>
            </w:pPr>
            <w:r w:rsidRPr="009B7B35">
              <w:rPr>
                <w:rFonts w:cs="Arial"/>
              </w:rPr>
              <w:t>Coastal hazard overlay code</w:t>
            </w:r>
          </w:p>
        </w:tc>
      </w:tr>
      <w:tr w:rsidR="00BE36FB" w:rsidRPr="009B7B35" w14:paraId="0F9E2826" w14:textId="77777777" w:rsidTr="001A7107">
        <w:trPr>
          <w:cantSplit/>
        </w:trPr>
        <w:tc>
          <w:tcPr>
            <w:tcW w:w="3623" w:type="dxa"/>
          </w:tcPr>
          <w:p w14:paraId="1EEC0571" w14:textId="77777777" w:rsidR="00BE36FB" w:rsidRPr="009B7B35" w:rsidRDefault="00BE36FB" w:rsidP="001A7107">
            <w:pPr>
              <w:pStyle w:val="TableText"/>
              <w:rPr>
                <w:rFonts w:cs="Arial"/>
              </w:rPr>
            </w:pPr>
            <w:r w:rsidRPr="009B7B35">
              <w:rPr>
                <w:rFonts w:cs="Arial"/>
              </w:rPr>
              <w:t>Any other material change of use</w:t>
            </w:r>
          </w:p>
        </w:tc>
        <w:tc>
          <w:tcPr>
            <w:tcW w:w="3213" w:type="dxa"/>
          </w:tcPr>
          <w:p w14:paraId="5F998894" w14:textId="77777777" w:rsidR="00BE36FB" w:rsidRPr="009B7B35" w:rsidRDefault="00BE36FB">
            <w:pPr>
              <w:pStyle w:val="TableText"/>
              <w:rPr>
                <w:rFonts w:cs="Arial"/>
              </w:rPr>
            </w:pPr>
            <w:r w:rsidRPr="009B7B35">
              <w:rPr>
                <w:rFonts w:cs="Arial"/>
              </w:rPr>
              <w:t>No change to assessment category</w:t>
            </w:r>
          </w:p>
        </w:tc>
        <w:tc>
          <w:tcPr>
            <w:tcW w:w="2520" w:type="dxa"/>
          </w:tcPr>
          <w:p w14:paraId="20198F60" w14:textId="77777777" w:rsidR="00BE36FB" w:rsidRPr="009B7B35" w:rsidRDefault="00BE36FB">
            <w:pPr>
              <w:pStyle w:val="TableText"/>
              <w:rPr>
                <w:rFonts w:cs="Arial"/>
              </w:rPr>
            </w:pPr>
            <w:r w:rsidRPr="009B7B35">
              <w:rPr>
                <w:rFonts w:cs="Arial"/>
              </w:rPr>
              <w:t>Coastal hazard overlay code</w:t>
            </w:r>
          </w:p>
        </w:tc>
      </w:tr>
      <w:tr w:rsidR="00BE36FB" w:rsidRPr="009B7B35" w14:paraId="6296EBD4" w14:textId="77777777" w:rsidTr="001A7107">
        <w:trPr>
          <w:cantSplit/>
        </w:trPr>
        <w:tc>
          <w:tcPr>
            <w:tcW w:w="3623" w:type="dxa"/>
          </w:tcPr>
          <w:p w14:paraId="4176FE37" w14:textId="77777777" w:rsidR="00BE36FB" w:rsidRPr="009B7B35" w:rsidRDefault="00BE36FB" w:rsidP="001A7107">
            <w:pPr>
              <w:pStyle w:val="TableText"/>
              <w:rPr>
                <w:rFonts w:cs="Arial"/>
              </w:rPr>
            </w:pPr>
            <w:r w:rsidRPr="009B7B35">
              <w:rPr>
                <w:rFonts w:cs="Arial"/>
              </w:rPr>
              <w:t>Reconfiguring a lot</w:t>
            </w:r>
          </w:p>
        </w:tc>
        <w:tc>
          <w:tcPr>
            <w:tcW w:w="3213" w:type="dxa"/>
          </w:tcPr>
          <w:p w14:paraId="0D03579B" w14:textId="77777777" w:rsidR="00BE36FB" w:rsidRPr="009B7B35" w:rsidRDefault="00BE36FB">
            <w:pPr>
              <w:pStyle w:val="TableText"/>
              <w:rPr>
                <w:rFonts w:cs="Arial"/>
              </w:rPr>
            </w:pPr>
            <w:r w:rsidRPr="009B7B35">
              <w:rPr>
                <w:rFonts w:cs="Arial"/>
              </w:rPr>
              <w:t>No change to assessment category</w:t>
            </w:r>
          </w:p>
        </w:tc>
        <w:tc>
          <w:tcPr>
            <w:tcW w:w="2520" w:type="dxa"/>
          </w:tcPr>
          <w:p w14:paraId="54447DB2" w14:textId="77777777" w:rsidR="00BE36FB" w:rsidRPr="009B7B35" w:rsidRDefault="00BE36FB">
            <w:pPr>
              <w:pStyle w:val="TableText"/>
              <w:rPr>
                <w:rFonts w:cs="Arial"/>
              </w:rPr>
            </w:pPr>
            <w:r w:rsidRPr="009B7B35">
              <w:rPr>
                <w:rFonts w:cs="Arial"/>
              </w:rPr>
              <w:t>Coastal hazard overlay code</w:t>
            </w:r>
          </w:p>
        </w:tc>
      </w:tr>
      <w:tr w:rsidR="00BE36FB" w:rsidRPr="009B7B35" w14:paraId="5BC184EF" w14:textId="77777777" w:rsidTr="001A7107">
        <w:trPr>
          <w:cantSplit/>
        </w:trPr>
        <w:tc>
          <w:tcPr>
            <w:tcW w:w="3623" w:type="dxa"/>
          </w:tcPr>
          <w:p w14:paraId="52E21FDF" w14:textId="77777777" w:rsidR="00BE36FB" w:rsidRPr="009B7B35" w:rsidRDefault="00BE36FB" w:rsidP="001A7107">
            <w:pPr>
              <w:pStyle w:val="TableText"/>
              <w:rPr>
                <w:rFonts w:cs="Arial"/>
              </w:rPr>
            </w:pPr>
            <w:r w:rsidRPr="009B7B35">
              <w:rPr>
                <w:rFonts w:cs="Arial"/>
              </w:rPr>
              <w:t>All Operational work for excavation or filling or where exceeding 50m³.</w:t>
            </w:r>
          </w:p>
        </w:tc>
        <w:tc>
          <w:tcPr>
            <w:tcW w:w="3213" w:type="dxa"/>
          </w:tcPr>
          <w:p w14:paraId="47ED9184" w14:textId="77777777" w:rsidR="00BE36FB" w:rsidRPr="009B7B35" w:rsidRDefault="00BE36FB" w:rsidP="001A7107">
            <w:pPr>
              <w:pStyle w:val="TableText"/>
              <w:rPr>
                <w:rFonts w:cs="Arial"/>
              </w:rPr>
            </w:pPr>
            <w:r w:rsidRPr="009B7B35">
              <w:rPr>
                <w:rFonts w:cs="Arial"/>
              </w:rPr>
              <w:t>Code assessable.</w:t>
            </w:r>
          </w:p>
        </w:tc>
        <w:tc>
          <w:tcPr>
            <w:tcW w:w="2520" w:type="dxa"/>
          </w:tcPr>
          <w:p w14:paraId="7FF4572E" w14:textId="77777777" w:rsidR="00BE36FB" w:rsidRPr="009B7B35" w:rsidRDefault="00BE36FB" w:rsidP="001A7107">
            <w:pPr>
              <w:pStyle w:val="TableText"/>
              <w:rPr>
                <w:rFonts w:cs="Arial"/>
              </w:rPr>
            </w:pPr>
            <w:r w:rsidRPr="009B7B35">
              <w:rPr>
                <w:rFonts w:cs="Arial"/>
              </w:rPr>
              <w:t>Coastal hazard overlay code</w:t>
            </w:r>
          </w:p>
        </w:tc>
      </w:tr>
      <w:tr w:rsidR="00BE36FB" w:rsidRPr="009B7B35" w14:paraId="1A3B3405" w14:textId="77777777" w:rsidTr="001A7107">
        <w:trPr>
          <w:cantSplit/>
        </w:trPr>
        <w:tc>
          <w:tcPr>
            <w:tcW w:w="9356" w:type="dxa"/>
            <w:gridSpan w:val="3"/>
            <w:shd w:val="clear" w:color="auto" w:fill="BFBFBF" w:themeFill="background1" w:themeFillShade="BF"/>
          </w:tcPr>
          <w:p w14:paraId="2A159D2B" w14:textId="77777777" w:rsidR="00BE36FB" w:rsidRPr="009B7B35" w:rsidRDefault="00BE36FB" w:rsidP="001A7107">
            <w:pPr>
              <w:pStyle w:val="Tableheading"/>
              <w:rPr>
                <w:rFonts w:ascii="Arial" w:hAnsi="Arial" w:cs="Arial"/>
                <w:szCs w:val="20"/>
              </w:rPr>
            </w:pPr>
            <w:r w:rsidRPr="009B7B35">
              <w:rPr>
                <w:rFonts w:ascii="Arial" w:hAnsi="Arial" w:cs="Arial"/>
                <w:szCs w:val="20"/>
              </w:rPr>
              <w:t>Extractive resources and minerals overlay code</w:t>
            </w:r>
          </w:p>
        </w:tc>
      </w:tr>
      <w:tr w:rsidR="00BE36FB" w:rsidRPr="009B7B35" w14:paraId="5009C897" w14:textId="77777777" w:rsidTr="001A7107">
        <w:trPr>
          <w:cantSplit/>
        </w:trPr>
        <w:tc>
          <w:tcPr>
            <w:tcW w:w="3623" w:type="dxa"/>
          </w:tcPr>
          <w:p w14:paraId="6C475C89" w14:textId="77777777" w:rsidR="00BE36FB" w:rsidRPr="009B7B35" w:rsidRDefault="00BE36FB" w:rsidP="001A7107">
            <w:pPr>
              <w:pStyle w:val="TableText"/>
              <w:rPr>
                <w:rFonts w:cs="Arial"/>
              </w:rPr>
            </w:pPr>
            <w:r w:rsidRPr="009B7B35">
              <w:rPr>
                <w:rFonts w:cs="Arial"/>
              </w:rPr>
              <w:t>Any material change of use where the development accepted development subject to requirements under the table of assessment for the relevant zone for any of the following:</w:t>
            </w:r>
          </w:p>
          <w:p w14:paraId="08B5E0DE" w14:textId="77777777" w:rsidR="00BE36FB" w:rsidRPr="009B7B35" w:rsidRDefault="00BE36FB" w:rsidP="00BE36FB">
            <w:pPr>
              <w:pStyle w:val="TableText"/>
              <w:numPr>
                <w:ilvl w:val="0"/>
                <w:numId w:val="108"/>
              </w:numPr>
              <w:ind w:hanging="720"/>
              <w:rPr>
                <w:rFonts w:cs="Arial"/>
              </w:rPr>
            </w:pPr>
            <w:r w:rsidRPr="009B7B35">
              <w:rPr>
                <w:rFonts w:cs="Arial"/>
              </w:rPr>
              <w:t>Dwelling house</w:t>
            </w:r>
          </w:p>
          <w:p w14:paraId="44806A1B" w14:textId="77777777" w:rsidR="00BE36FB" w:rsidRPr="009B7B35" w:rsidRDefault="00BE36FB" w:rsidP="00BE36FB">
            <w:pPr>
              <w:pStyle w:val="TableText"/>
              <w:numPr>
                <w:ilvl w:val="0"/>
                <w:numId w:val="108"/>
              </w:numPr>
              <w:ind w:hanging="720"/>
              <w:rPr>
                <w:rFonts w:cs="Arial"/>
              </w:rPr>
            </w:pPr>
            <w:r w:rsidRPr="009B7B35">
              <w:rPr>
                <w:rFonts w:cs="Arial"/>
              </w:rPr>
              <w:t>Dwelling unit</w:t>
            </w:r>
          </w:p>
          <w:p w14:paraId="0D737643" w14:textId="77777777" w:rsidR="00BE36FB" w:rsidRPr="009B7B35" w:rsidRDefault="00BE36FB" w:rsidP="00BE36FB">
            <w:pPr>
              <w:pStyle w:val="TableText"/>
              <w:numPr>
                <w:ilvl w:val="0"/>
                <w:numId w:val="108"/>
              </w:numPr>
              <w:ind w:hanging="720"/>
              <w:rPr>
                <w:rFonts w:cs="Arial"/>
              </w:rPr>
            </w:pPr>
            <w:r w:rsidRPr="009B7B35">
              <w:rPr>
                <w:rFonts w:cs="Arial"/>
              </w:rPr>
              <w:t>Caretaker's accommodation</w:t>
            </w:r>
          </w:p>
          <w:p w14:paraId="218CA3C3" w14:textId="77777777" w:rsidR="00BE36FB" w:rsidRPr="009B7B35" w:rsidRDefault="00BE36FB" w:rsidP="00BE36FB">
            <w:pPr>
              <w:pStyle w:val="TableText"/>
              <w:numPr>
                <w:ilvl w:val="0"/>
                <w:numId w:val="108"/>
              </w:numPr>
              <w:ind w:hanging="720"/>
              <w:rPr>
                <w:rFonts w:cs="Arial"/>
              </w:rPr>
            </w:pPr>
            <w:r w:rsidRPr="009B7B35">
              <w:rPr>
                <w:rFonts w:cs="Arial"/>
              </w:rPr>
              <w:t>Home based business</w:t>
            </w:r>
          </w:p>
          <w:p w14:paraId="2B7324E4" w14:textId="77777777" w:rsidR="00BE36FB" w:rsidRPr="009B7B35" w:rsidRDefault="00BE36FB" w:rsidP="00BE36FB">
            <w:pPr>
              <w:pStyle w:val="TableText"/>
              <w:numPr>
                <w:ilvl w:val="0"/>
                <w:numId w:val="108"/>
              </w:numPr>
              <w:ind w:hanging="720"/>
              <w:rPr>
                <w:rFonts w:cs="Arial"/>
              </w:rPr>
            </w:pPr>
            <w:r w:rsidRPr="009B7B35">
              <w:rPr>
                <w:rFonts w:cs="Arial"/>
              </w:rPr>
              <w:t>Rural workers accommodation.</w:t>
            </w:r>
          </w:p>
        </w:tc>
        <w:tc>
          <w:tcPr>
            <w:tcW w:w="3213" w:type="dxa"/>
          </w:tcPr>
          <w:p w14:paraId="7B5B0961" w14:textId="77777777" w:rsidR="00BE36FB" w:rsidRPr="009B7B35" w:rsidRDefault="00BE36FB" w:rsidP="001A7107">
            <w:pPr>
              <w:pStyle w:val="TableText"/>
              <w:rPr>
                <w:rFonts w:cs="Arial"/>
              </w:rPr>
            </w:pPr>
            <w:r w:rsidRPr="009B7B35">
              <w:rPr>
                <w:rFonts w:cs="Arial"/>
              </w:rPr>
              <w:t>Code assessment if provisionally made accepted development subject to requirements by another table of assessment. Otherwise no change to assessment category</w:t>
            </w:r>
          </w:p>
        </w:tc>
        <w:tc>
          <w:tcPr>
            <w:tcW w:w="2520" w:type="dxa"/>
          </w:tcPr>
          <w:p w14:paraId="6E83C42C" w14:textId="77777777" w:rsidR="00BE36FB" w:rsidRPr="009B7B35" w:rsidRDefault="00BE36FB" w:rsidP="001A7107">
            <w:pPr>
              <w:pStyle w:val="TableText"/>
              <w:rPr>
                <w:rFonts w:cs="Arial"/>
              </w:rPr>
            </w:pPr>
            <w:r w:rsidRPr="009B7B35">
              <w:rPr>
                <w:rFonts w:cs="Arial"/>
              </w:rPr>
              <w:t>Extractive resources and minerals code</w:t>
            </w:r>
          </w:p>
        </w:tc>
      </w:tr>
      <w:tr w:rsidR="00BE36FB" w:rsidRPr="009B7B35" w14:paraId="4C9F4060" w14:textId="77777777" w:rsidTr="001A7107">
        <w:tc>
          <w:tcPr>
            <w:tcW w:w="3623" w:type="dxa"/>
          </w:tcPr>
          <w:p w14:paraId="22612565" w14:textId="77777777" w:rsidR="00BE36FB" w:rsidRPr="009B7B35" w:rsidRDefault="00BE36FB" w:rsidP="001A7107">
            <w:pPr>
              <w:pStyle w:val="TableText"/>
              <w:rPr>
                <w:rFonts w:cs="Arial"/>
              </w:rPr>
            </w:pPr>
            <w:r w:rsidRPr="009B7B35">
              <w:rPr>
                <w:rFonts w:cs="Arial"/>
              </w:rPr>
              <w:t>Any other Material Change of Use</w:t>
            </w:r>
          </w:p>
        </w:tc>
        <w:tc>
          <w:tcPr>
            <w:tcW w:w="3213" w:type="dxa"/>
          </w:tcPr>
          <w:p w14:paraId="03E453AF"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696B18B1" w14:textId="77777777" w:rsidR="00BE36FB" w:rsidRPr="009B7B35" w:rsidRDefault="00BE36FB" w:rsidP="001A7107">
            <w:pPr>
              <w:pStyle w:val="TableText"/>
              <w:rPr>
                <w:rFonts w:cs="Arial"/>
              </w:rPr>
            </w:pPr>
            <w:r w:rsidRPr="009B7B35">
              <w:rPr>
                <w:rFonts w:cs="Arial"/>
              </w:rPr>
              <w:t>Extractive resources and minerals code</w:t>
            </w:r>
          </w:p>
        </w:tc>
      </w:tr>
      <w:tr w:rsidR="00BE36FB" w:rsidRPr="009B7B35" w14:paraId="0ED14551" w14:textId="77777777" w:rsidTr="001A7107">
        <w:tc>
          <w:tcPr>
            <w:tcW w:w="3623" w:type="dxa"/>
          </w:tcPr>
          <w:p w14:paraId="1475894E" w14:textId="77777777" w:rsidR="00BE36FB" w:rsidRPr="009B7B35" w:rsidRDefault="00BE36FB" w:rsidP="001A7107">
            <w:pPr>
              <w:pStyle w:val="TableText"/>
              <w:rPr>
                <w:rFonts w:cs="Arial"/>
              </w:rPr>
            </w:pPr>
            <w:r w:rsidRPr="009B7B35">
              <w:rPr>
                <w:rFonts w:cs="Arial"/>
              </w:rPr>
              <w:t>Any reconfiguring a lot</w:t>
            </w:r>
          </w:p>
        </w:tc>
        <w:tc>
          <w:tcPr>
            <w:tcW w:w="3213" w:type="dxa"/>
          </w:tcPr>
          <w:p w14:paraId="7C21346C"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20E51131" w14:textId="77777777" w:rsidR="00BE36FB" w:rsidRPr="009B7B35" w:rsidRDefault="00BE36FB" w:rsidP="001A7107">
            <w:pPr>
              <w:pStyle w:val="TableText"/>
              <w:rPr>
                <w:rFonts w:cs="Arial"/>
              </w:rPr>
            </w:pPr>
            <w:r w:rsidRPr="009B7B35">
              <w:rPr>
                <w:rFonts w:cs="Arial"/>
              </w:rPr>
              <w:t>Extractive resources and minerals code</w:t>
            </w:r>
          </w:p>
        </w:tc>
      </w:tr>
      <w:tr w:rsidR="00BE36FB" w:rsidRPr="009B7B35" w14:paraId="427B2098" w14:textId="77777777" w:rsidTr="001A7107">
        <w:tc>
          <w:tcPr>
            <w:tcW w:w="9356" w:type="dxa"/>
            <w:gridSpan w:val="3"/>
            <w:shd w:val="clear" w:color="auto" w:fill="BFBFBF" w:themeFill="background1" w:themeFillShade="BF"/>
          </w:tcPr>
          <w:p w14:paraId="0D5CF6F7" w14:textId="77777777" w:rsidR="00BE36FB" w:rsidRPr="009B7B35" w:rsidRDefault="00BE36FB" w:rsidP="001A7107">
            <w:pPr>
              <w:pStyle w:val="Tableheading"/>
              <w:rPr>
                <w:rFonts w:ascii="Arial" w:hAnsi="Arial" w:cs="Arial"/>
                <w:szCs w:val="20"/>
              </w:rPr>
            </w:pPr>
            <w:r w:rsidRPr="009B7B35">
              <w:rPr>
                <w:rFonts w:ascii="Arial" w:hAnsi="Arial" w:cs="Arial"/>
                <w:szCs w:val="20"/>
              </w:rPr>
              <w:t>Flood hazard overlay code</w:t>
            </w:r>
          </w:p>
        </w:tc>
      </w:tr>
      <w:tr w:rsidR="00BE36FB" w:rsidRPr="009B7B35" w14:paraId="498542E7" w14:textId="77777777" w:rsidTr="001A7107">
        <w:tc>
          <w:tcPr>
            <w:tcW w:w="3623" w:type="dxa"/>
          </w:tcPr>
          <w:p w14:paraId="089E5046" w14:textId="77777777"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 and within the Flood Hazard Investigation Area for any of the following:</w:t>
            </w:r>
          </w:p>
          <w:p w14:paraId="3C7A33DE" w14:textId="77777777" w:rsidR="00BE36FB" w:rsidRPr="009B7B35" w:rsidRDefault="00BE36FB" w:rsidP="00BE36FB">
            <w:pPr>
              <w:pStyle w:val="TableText"/>
              <w:numPr>
                <w:ilvl w:val="0"/>
                <w:numId w:val="75"/>
              </w:numPr>
              <w:rPr>
                <w:rFonts w:cs="Arial"/>
              </w:rPr>
            </w:pPr>
            <w:r w:rsidRPr="009B7B35">
              <w:rPr>
                <w:rFonts w:cs="Arial"/>
              </w:rPr>
              <w:t>community residence</w:t>
            </w:r>
          </w:p>
          <w:p w14:paraId="3724AC75" w14:textId="77777777" w:rsidR="00BE36FB" w:rsidRPr="009B7B35" w:rsidRDefault="00BE36FB" w:rsidP="00BE36FB">
            <w:pPr>
              <w:pStyle w:val="TableText"/>
              <w:numPr>
                <w:ilvl w:val="0"/>
                <w:numId w:val="75"/>
              </w:numPr>
              <w:rPr>
                <w:rFonts w:cs="Arial"/>
              </w:rPr>
            </w:pPr>
            <w:r w:rsidRPr="009B7B35">
              <w:rPr>
                <w:rFonts w:cs="Arial"/>
              </w:rPr>
              <w:t>dual occupancy</w:t>
            </w:r>
          </w:p>
          <w:p w14:paraId="14F8D20F" w14:textId="77777777" w:rsidR="00BE36FB" w:rsidRPr="009B7B35" w:rsidRDefault="00BE36FB" w:rsidP="00BE36FB">
            <w:pPr>
              <w:pStyle w:val="TableText"/>
              <w:numPr>
                <w:ilvl w:val="0"/>
                <w:numId w:val="75"/>
              </w:numPr>
              <w:rPr>
                <w:rFonts w:cs="Arial"/>
              </w:rPr>
            </w:pPr>
            <w:r w:rsidRPr="009B7B35">
              <w:rPr>
                <w:rFonts w:cs="Arial"/>
              </w:rPr>
              <w:t>dwelling house.</w:t>
            </w:r>
          </w:p>
          <w:p w14:paraId="289F3CDA" w14:textId="77777777" w:rsidR="00BE36FB" w:rsidRPr="009B7B35" w:rsidRDefault="00BE36FB" w:rsidP="00BE36FB">
            <w:pPr>
              <w:pStyle w:val="TableText"/>
              <w:numPr>
                <w:ilvl w:val="0"/>
                <w:numId w:val="75"/>
              </w:numPr>
              <w:rPr>
                <w:rFonts w:cs="Arial"/>
              </w:rPr>
            </w:pPr>
            <w:r w:rsidRPr="009B7B35">
              <w:rPr>
                <w:rFonts w:cs="Arial"/>
              </w:rPr>
              <w:t>low impact industry</w:t>
            </w:r>
          </w:p>
          <w:p w14:paraId="7FEE41E5" w14:textId="77777777" w:rsidR="00BE36FB" w:rsidRPr="009B7B35" w:rsidRDefault="00BE36FB" w:rsidP="00BE36FB">
            <w:pPr>
              <w:pStyle w:val="TableText"/>
              <w:numPr>
                <w:ilvl w:val="0"/>
                <w:numId w:val="75"/>
              </w:numPr>
              <w:rPr>
                <w:rFonts w:cs="Arial"/>
              </w:rPr>
            </w:pPr>
            <w:r w:rsidRPr="009B7B35">
              <w:rPr>
                <w:rFonts w:cs="Arial"/>
              </w:rPr>
              <w:t>marine industry</w:t>
            </w:r>
          </w:p>
          <w:p w14:paraId="7262F210" w14:textId="77777777" w:rsidR="00BE36FB" w:rsidRPr="009B7B35" w:rsidRDefault="00BE36FB" w:rsidP="00BE36FB">
            <w:pPr>
              <w:pStyle w:val="TableText"/>
              <w:numPr>
                <w:ilvl w:val="0"/>
                <w:numId w:val="75"/>
              </w:numPr>
              <w:rPr>
                <w:rFonts w:cs="Arial"/>
              </w:rPr>
            </w:pPr>
            <w:r w:rsidRPr="009B7B35">
              <w:rPr>
                <w:rFonts w:cs="Arial"/>
              </w:rPr>
              <w:t>medium impact industry</w:t>
            </w:r>
          </w:p>
          <w:p w14:paraId="58ED4406" w14:textId="77777777" w:rsidR="00BE36FB" w:rsidRPr="009B7B35" w:rsidRDefault="00BE36FB" w:rsidP="00BE36FB">
            <w:pPr>
              <w:pStyle w:val="TableText"/>
              <w:numPr>
                <w:ilvl w:val="0"/>
                <w:numId w:val="75"/>
              </w:numPr>
              <w:rPr>
                <w:rFonts w:cs="Arial"/>
              </w:rPr>
            </w:pPr>
            <w:r w:rsidRPr="009B7B35">
              <w:rPr>
                <w:rFonts w:cs="Arial"/>
              </w:rPr>
              <w:t>research and technology industry</w:t>
            </w:r>
          </w:p>
          <w:p w14:paraId="21578FE5" w14:textId="77777777" w:rsidR="00BE36FB" w:rsidRPr="009B7B35" w:rsidRDefault="00BE36FB" w:rsidP="00BE36FB">
            <w:pPr>
              <w:pStyle w:val="TableText"/>
              <w:numPr>
                <w:ilvl w:val="0"/>
                <w:numId w:val="75"/>
              </w:numPr>
              <w:rPr>
                <w:rFonts w:cs="Arial"/>
              </w:rPr>
            </w:pPr>
            <w:r w:rsidRPr="009B7B35">
              <w:rPr>
                <w:rFonts w:cs="Arial"/>
              </w:rPr>
              <w:t>service industry</w:t>
            </w:r>
          </w:p>
          <w:p w14:paraId="37380561" w14:textId="77777777" w:rsidR="00BE36FB" w:rsidRPr="009B7B35" w:rsidRDefault="00BE36FB" w:rsidP="00BE36FB">
            <w:pPr>
              <w:pStyle w:val="TableText"/>
              <w:numPr>
                <w:ilvl w:val="0"/>
                <w:numId w:val="75"/>
              </w:numPr>
              <w:rPr>
                <w:rFonts w:cs="Arial"/>
              </w:rPr>
            </w:pPr>
            <w:r w:rsidRPr="009B7B35">
              <w:rPr>
                <w:rFonts w:cs="Arial"/>
              </w:rPr>
              <w:t>transport depot</w:t>
            </w:r>
          </w:p>
          <w:p w14:paraId="7B33351F" w14:textId="77777777" w:rsidR="00BE36FB" w:rsidRPr="009B7B35" w:rsidRDefault="00BE36FB" w:rsidP="00BE36FB">
            <w:pPr>
              <w:pStyle w:val="TableText"/>
              <w:numPr>
                <w:ilvl w:val="0"/>
                <w:numId w:val="75"/>
              </w:numPr>
              <w:rPr>
                <w:rFonts w:cs="Arial"/>
              </w:rPr>
            </w:pPr>
            <w:r w:rsidRPr="009B7B35">
              <w:rPr>
                <w:rFonts w:cs="Arial"/>
              </w:rPr>
              <w:t>warehouse.</w:t>
            </w:r>
          </w:p>
        </w:tc>
        <w:tc>
          <w:tcPr>
            <w:tcW w:w="3213" w:type="dxa"/>
          </w:tcPr>
          <w:p w14:paraId="7689F320" w14:textId="77777777" w:rsidR="00BE36FB" w:rsidRPr="009B7B35" w:rsidRDefault="00BE36FB" w:rsidP="001A7107">
            <w:pPr>
              <w:pStyle w:val="TableText"/>
              <w:rPr>
                <w:rFonts w:cs="Arial"/>
              </w:rPr>
            </w:pPr>
            <w:r w:rsidRPr="009B7B35">
              <w:rPr>
                <w:rFonts w:cs="Arial"/>
              </w:rPr>
              <w:t>No change to assessment category if complying with all accepted development subject to requirements acceptable outcomes</w:t>
            </w:r>
          </w:p>
        </w:tc>
        <w:tc>
          <w:tcPr>
            <w:tcW w:w="2520" w:type="dxa"/>
          </w:tcPr>
          <w:p w14:paraId="2540FF0C" w14:textId="77777777" w:rsidR="00BE36FB" w:rsidRPr="009B7B35" w:rsidRDefault="00BE36FB" w:rsidP="001A7107">
            <w:pPr>
              <w:pStyle w:val="TableText"/>
              <w:rPr>
                <w:rFonts w:cs="Arial"/>
              </w:rPr>
            </w:pPr>
            <w:r w:rsidRPr="009B7B35">
              <w:rPr>
                <w:rFonts w:cs="Arial"/>
              </w:rPr>
              <w:t>Flood hazard overlay code</w:t>
            </w:r>
          </w:p>
        </w:tc>
      </w:tr>
      <w:tr w:rsidR="00BE36FB" w:rsidRPr="009B7B35" w14:paraId="3FEE7EC9" w14:textId="77777777" w:rsidTr="001A7107">
        <w:tc>
          <w:tcPr>
            <w:tcW w:w="3623" w:type="dxa"/>
          </w:tcPr>
          <w:p w14:paraId="18648611" w14:textId="77777777"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 and within the Flood Hazard Area for any of the following:</w:t>
            </w:r>
          </w:p>
          <w:p w14:paraId="6377EE19" w14:textId="77777777" w:rsidR="00BE36FB" w:rsidRPr="009B7B35" w:rsidRDefault="00BE36FB" w:rsidP="00BE36FB">
            <w:pPr>
              <w:pStyle w:val="TableText"/>
              <w:numPr>
                <w:ilvl w:val="0"/>
                <w:numId w:val="109"/>
              </w:numPr>
              <w:rPr>
                <w:rFonts w:cs="Arial"/>
              </w:rPr>
            </w:pPr>
            <w:r w:rsidRPr="009B7B35">
              <w:rPr>
                <w:rFonts w:cs="Arial"/>
              </w:rPr>
              <w:t>community residence</w:t>
            </w:r>
          </w:p>
          <w:p w14:paraId="0AF63091" w14:textId="77777777" w:rsidR="00BE36FB" w:rsidRPr="009B7B35" w:rsidRDefault="00BE36FB" w:rsidP="00BE36FB">
            <w:pPr>
              <w:pStyle w:val="TableText"/>
              <w:numPr>
                <w:ilvl w:val="0"/>
                <w:numId w:val="109"/>
              </w:numPr>
              <w:rPr>
                <w:rFonts w:cs="Arial"/>
              </w:rPr>
            </w:pPr>
            <w:r w:rsidRPr="009B7B35">
              <w:rPr>
                <w:rFonts w:cs="Arial"/>
              </w:rPr>
              <w:t>dual occupancy</w:t>
            </w:r>
          </w:p>
          <w:p w14:paraId="21B1EB57" w14:textId="77777777" w:rsidR="00BE36FB" w:rsidRPr="009B7B35" w:rsidRDefault="00BE36FB" w:rsidP="00BE36FB">
            <w:pPr>
              <w:pStyle w:val="TableText"/>
              <w:numPr>
                <w:ilvl w:val="0"/>
                <w:numId w:val="109"/>
              </w:numPr>
              <w:rPr>
                <w:rFonts w:cs="Arial"/>
              </w:rPr>
            </w:pPr>
            <w:r w:rsidRPr="009B7B35">
              <w:rPr>
                <w:rFonts w:cs="Arial"/>
              </w:rPr>
              <w:t>dwelling house.</w:t>
            </w:r>
          </w:p>
          <w:p w14:paraId="419E3914" w14:textId="77777777" w:rsidR="00BE36FB" w:rsidRPr="009B7B35" w:rsidRDefault="00BE36FB" w:rsidP="00BE36FB">
            <w:pPr>
              <w:pStyle w:val="TableText"/>
              <w:numPr>
                <w:ilvl w:val="0"/>
                <w:numId w:val="109"/>
              </w:numPr>
              <w:rPr>
                <w:rFonts w:cs="Arial"/>
              </w:rPr>
            </w:pPr>
            <w:r w:rsidRPr="009B7B35">
              <w:rPr>
                <w:rFonts w:cs="Arial"/>
              </w:rPr>
              <w:t>low impact industry</w:t>
            </w:r>
          </w:p>
          <w:p w14:paraId="6E009140" w14:textId="77777777" w:rsidR="00BE36FB" w:rsidRPr="009B7B35" w:rsidRDefault="00BE36FB" w:rsidP="00BE36FB">
            <w:pPr>
              <w:pStyle w:val="TableText"/>
              <w:numPr>
                <w:ilvl w:val="0"/>
                <w:numId w:val="109"/>
              </w:numPr>
              <w:rPr>
                <w:rFonts w:cs="Arial"/>
              </w:rPr>
            </w:pPr>
            <w:r w:rsidRPr="009B7B35">
              <w:rPr>
                <w:rFonts w:cs="Arial"/>
              </w:rPr>
              <w:t>marine industry</w:t>
            </w:r>
          </w:p>
          <w:p w14:paraId="26D12E0D" w14:textId="77777777" w:rsidR="00BE36FB" w:rsidRPr="009B7B35" w:rsidRDefault="00BE36FB" w:rsidP="00BE36FB">
            <w:pPr>
              <w:pStyle w:val="TableText"/>
              <w:numPr>
                <w:ilvl w:val="0"/>
                <w:numId w:val="109"/>
              </w:numPr>
              <w:rPr>
                <w:rFonts w:cs="Arial"/>
              </w:rPr>
            </w:pPr>
            <w:r w:rsidRPr="009B7B35">
              <w:rPr>
                <w:rFonts w:cs="Arial"/>
              </w:rPr>
              <w:t>medium impact industry</w:t>
            </w:r>
          </w:p>
          <w:p w14:paraId="41E06E7B" w14:textId="77777777" w:rsidR="00BE36FB" w:rsidRPr="009B7B35" w:rsidRDefault="00BE36FB" w:rsidP="00BE36FB">
            <w:pPr>
              <w:pStyle w:val="TableText"/>
              <w:numPr>
                <w:ilvl w:val="0"/>
                <w:numId w:val="109"/>
              </w:numPr>
              <w:rPr>
                <w:rFonts w:cs="Arial"/>
              </w:rPr>
            </w:pPr>
            <w:r w:rsidRPr="009B7B35">
              <w:rPr>
                <w:rFonts w:cs="Arial"/>
              </w:rPr>
              <w:t>research and technology industry</w:t>
            </w:r>
          </w:p>
          <w:p w14:paraId="59FB42A4" w14:textId="77777777" w:rsidR="00BE36FB" w:rsidRPr="009B7B35" w:rsidRDefault="00BE36FB" w:rsidP="00BE36FB">
            <w:pPr>
              <w:pStyle w:val="TableText"/>
              <w:numPr>
                <w:ilvl w:val="0"/>
                <w:numId w:val="109"/>
              </w:numPr>
              <w:rPr>
                <w:rFonts w:cs="Arial"/>
              </w:rPr>
            </w:pPr>
            <w:r w:rsidRPr="009B7B35">
              <w:rPr>
                <w:rFonts w:cs="Arial"/>
              </w:rPr>
              <w:t>service industry</w:t>
            </w:r>
          </w:p>
          <w:p w14:paraId="1738853E" w14:textId="77777777" w:rsidR="00BE36FB" w:rsidRPr="009B7B35" w:rsidRDefault="00BE36FB" w:rsidP="00BE36FB">
            <w:pPr>
              <w:pStyle w:val="TableText"/>
              <w:numPr>
                <w:ilvl w:val="0"/>
                <w:numId w:val="109"/>
              </w:numPr>
              <w:rPr>
                <w:rFonts w:cs="Arial"/>
              </w:rPr>
            </w:pPr>
            <w:r w:rsidRPr="009B7B35">
              <w:rPr>
                <w:rFonts w:cs="Arial"/>
              </w:rPr>
              <w:t>transport depot</w:t>
            </w:r>
          </w:p>
          <w:p w14:paraId="6E5C5212" w14:textId="77777777" w:rsidR="00BE36FB" w:rsidRPr="009B7B35" w:rsidRDefault="00BE36FB" w:rsidP="00BE36FB">
            <w:pPr>
              <w:pStyle w:val="TableText"/>
              <w:numPr>
                <w:ilvl w:val="0"/>
                <w:numId w:val="109"/>
              </w:numPr>
              <w:rPr>
                <w:rFonts w:cs="Arial"/>
              </w:rPr>
            </w:pPr>
            <w:r w:rsidRPr="009B7B35">
              <w:rPr>
                <w:rFonts w:cs="Arial"/>
              </w:rPr>
              <w:t>warehouse.</w:t>
            </w:r>
          </w:p>
        </w:tc>
        <w:tc>
          <w:tcPr>
            <w:tcW w:w="3213" w:type="dxa"/>
          </w:tcPr>
          <w:p w14:paraId="66C55F5E" w14:textId="77777777" w:rsidR="00BE36FB" w:rsidRPr="009B7B35" w:rsidRDefault="00BE36FB" w:rsidP="001A7107">
            <w:pPr>
              <w:pStyle w:val="TableText"/>
              <w:rPr>
                <w:rFonts w:cs="Arial"/>
              </w:rPr>
            </w:pPr>
            <w:r w:rsidRPr="009B7B35">
              <w:rPr>
                <w:rFonts w:cs="Arial"/>
              </w:rPr>
              <w:t>Code assessment if provisionally made accepted development subject to requirements by another table of assessment. Otherwise no change to assessment category.</w:t>
            </w:r>
          </w:p>
        </w:tc>
        <w:tc>
          <w:tcPr>
            <w:tcW w:w="2520" w:type="dxa"/>
          </w:tcPr>
          <w:p w14:paraId="3CE88977" w14:textId="77777777" w:rsidR="00BE36FB" w:rsidRPr="009B7B35" w:rsidRDefault="00BE36FB" w:rsidP="001A7107">
            <w:pPr>
              <w:pStyle w:val="TableText"/>
              <w:rPr>
                <w:rFonts w:cs="Arial"/>
              </w:rPr>
            </w:pPr>
            <w:r w:rsidRPr="009B7B35">
              <w:rPr>
                <w:rFonts w:cs="Arial"/>
              </w:rPr>
              <w:t>Flood hazard overlay code</w:t>
            </w:r>
          </w:p>
        </w:tc>
      </w:tr>
      <w:tr w:rsidR="00BE36FB" w:rsidRPr="009B7B35" w14:paraId="31CC9D29" w14:textId="77777777" w:rsidTr="001A7107">
        <w:trPr>
          <w:cantSplit/>
        </w:trPr>
        <w:tc>
          <w:tcPr>
            <w:tcW w:w="3623" w:type="dxa"/>
          </w:tcPr>
          <w:p w14:paraId="3B82B5B8" w14:textId="77777777" w:rsidR="00BE36FB" w:rsidRPr="009B7B35" w:rsidRDefault="00BE36FB" w:rsidP="001A7107">
            <w:pPr>
              <w:pStyle w:val="TableText"/>
              <w:rPr>
                <w:rFonts w:cs="Arial"/>
              </w:rPr>
            </w:pPr>
            <w:r w:rsidRPr="009B7B35">
              <w:rPr>
                <w:rFonts w:cs="Arial"/>
              </w:rPr>
              <w:t>Any other material change of use</w:t>
            </w:r>
          </w:p>
        </w:tc>
        <w:tc>
          <w:tcPr>
            <w:tcW w:w="3213" w:type="dxa"/>
          </w:tcPr>
          <w:p w14:paraId="20821F60"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3AFA5CF3" w14:textId="77777777" w:rsidR="00BE36FB" w:rsidRPr="009B7B35" w:rsidRDefault="00BE36FB" w:rsidP="001A7107">
            <w:pPr>
              <w:pStyle w:val="TableText"/>
              <w:rPr>
                <w:rFonts w:cs="Arial"/>
              </w:rPr>
            </w:pPr>
            <w:r w:rsidRPr="009B7B35">
              <w:rPr>
                <w:rFonts w:cs="Arial"/>
              </w:rPr>
              <w:t>Flood hazard overlay code</w:t>
            </w:r>
          </w:p>
        </w:tc>
      </w:tr>
      <w:tr w:rsidR="00BE36FB" w:rsidRPr="009B7B35" w14:paraId="791750D5" w14:textId="77777777" w:rsidTr="001A7107">
        <w:trPr>
          <w:cantSplit/>
        </w:trPr>
        <w:tc>
          <w:tcPr>
            <w:tcW w:w="3623" w:type="dxa"/>
          </w:tcPr>
          <w:p w14:paraId="11B6014B" w14:textId="77777777" w:rsidR="00BE36FB" w:rsidRPr="009B7B35" w:rsidRDefault="00BE36FB" w:rsidP="001A7107">
            <w:pPr>
              <w:pStyle w:val="TableText"/>
              <w:rPr>
                <w:rFonts w:cs="Arial"/>
              </w:rPr>
            </w:pPr>
            <w:r w:rsidRPr="009B7B35">
              <w:rPr>
                <w:rFonts w:cs="Arial"/>
              </w:rPr>
              <w:t>Reconfiguring a lot</w:t>
            </w:r>
          </w:p>
        </w:tc>
        <w:tc>
          <w:tcPr>
            <w:tcW w:w="3213" w:type="dxa"/>
          </w:tcPr>
          <w:p w14:paraId="0E5C5418"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0712D8E4" w14:textId="77777777" w:rsidR="00BE36FB" w:rsidRPr="009B7B35" w:rsidRDefault="00BE36FB" w:rsidP="001A7107">
            <w:pPr>
              <w:pStyle w:val="TableText"/>
              <w:rPr>
                <w:rFonts w:cs="Arial"/>
              </w:rPr>
            </w:pPr>
            <w:r w:rsidRPr="009B7B35">
              <w:rPr>
                <w:rFonts w:cs="Arial"/>
              </w:rPr>
              <w:t>Flood hazard overlay code</w:t>
            </w:r>
          </w:p>
        </w:tc>
      </w:tr>
      <w:tr w:rsidR="00BE36FB" w:rsidRPr="009B7B35" w14:paraId="2B442655" w14:textId="77777777" w:rsidTr="001A7107">
        <w:trPr>
          <w:cantSplit/>
        </w:trPr>
        <w:tc>
          <w:tcPr>
            <w:tcW w:w="3623" w:type="dxa"/>
          </w:tcPr>
          <w:p w14:paraId="0E84E974" w14:textId="77777777" w:rsidR="00BE36FB" w:rsidRPr="009B7B35" w:rsidRDefault="00BE36FB" w:rsidP="001A7107">
            <w:pPr>
              <w:pStyle w:val="TableText"/>
              <w:rPr>
                <w:rFonts w:cs="Arial"/>
              </w:rPr>
            </w:pPr>
            <w:r w:rsidRPr="009B7B35">
              <w:rPr>
                <w:rFonts w:cs="Arial"/>
              </w:rPr>
              <w:t>Operational work for excavation or filling exceeding 50m</w:t>
            </w:r>
            <w:r w:rsidRPr="009B7B35">
              <w:rPr>
                <w:rFonts w:cs="Arial"/>
                <w:vertAlign w:val="superscript"/>
              </w:rPr>
              <w:t>3</w:t>
            </w:r>
            <w:r w:rsidRPr="009B7B35">
              <w:rPr>
                <w:rFonts w:cs="Arial"/>
              </w:rPr>
              <w:t>.</w:t>
            </w:r>
          </w:p>
        </w:tc>
        <w:tc>
          <w:tcPr>
            <w:tcW w:w="3213" w:type="dxa"/>
          </w:tcPr>
          <w:p w14:paraId="1BFCB42D" w14:textId="77777777" w:rsidR="00BE36FB" w:rsidRPr="009B7B35" w:rsidRDefault="00BE36FB" w:rsidP="001A7107">
            <w:pPr>
              <w:pStyle w:val="TableText"/>
              <w:rPr>
                <w:rFonts w:cs="Arial"/>
              </w:rPr>
            </w:pPr>
            <w:r w:rsidRPr="009B7B35">
              <w:rPr>
                <w:rFonts w:cs="Arial"/>
              </w:rPr>
              <w:t>Code assessable</w:t>
            </w:r>
          </w:p>
        </w:tc>
        <w:tc>
          <w:tcPr>
            <w:tcW w:w="2520" w:type="dxa"/>
          </w:tcPr>
          <w:p w14:paraId="4898DC31" w14:textId="77777777" w:rsidR="00BE36FB" w:rsidRPr="009B7B35" w:rsidRDefault="00BE36FB" w:rsidP="001A7107">
            <w:pPr>
              <w:pStyle w:val="TableText"/>
              <w:rPr>
                <w:rFonts w:cs="Arial"/>
              </w:rPr>
            </w:pPr>
            <w:r w:rsidRPr="009B7B35">
              <w:rPr>
                <w:rFonts w:cs="Arial"/>
              </w:rPr>
              <w:t>Flood hazard overlay code</w:t>
            </w:r>
          </w:p>
        </w:tc>
      </w:tr>
      <w:tr w:rsidR="00BE36FB" w:rsidRPr="009B7B35" w14:paraId="6175E1F4" w14:textId="77777777" w:rsidTr="001A7107">
        <w:trPr>
          <w:cantSplit/>
        </w:trPr>
        <w:tc>
          <w:tcPr>
            <w:tcW w:w="9356" w:type="dxa"/>
            <w:gridSpan w:val="3"/>
            <w:shd w:val="clear" w:color="auto" w:fill="BFBFBF" w:themeFill="background1" w:themeFillShade="BF"/>
          </w:tcPr>
          <w:p w14:paraId="707F5F3F" w14:textId="77777777" w:rsidR="00BE36FB" w:rsidRPr="009B7B35" w:rsidRDefault="00BE36FB" w:rsidP="001A7107">
            <w:pPr>
              <w:pStyle w:val="Tableheading"/>
              <w:rPr>
                <w:rFonts w:ascii="Arial" w:hAnsi="Arial" w:cs="Arial"/>
                <w:szCs w:val="20"/>
              </w:rPr>
            </w:pPr>
            <w:r w:rsidRPr="009B7B35">
              <w:rPr>
                <w:rFonts w:ascii="Arial" w:hAnsi="Arial" w:cs="Arial"/>
                <w:szCs w:val="20"/>
              </w:rPr>
              <w:t>Hazardous activities overlay code</w:t>
            </w:r>
          </w:p>
        </w:tc>
      </w:tr>
      <w:tr w:rsidR="00BE36FB" w:rsidRPr="009B7B35" w14:paraId="627E2D32" w14:textId="77777777" w:rsidTr="001A7107">
        <w:trPr>
          <w:cantSplit/>
        </w:trPr>
        <w:tc>
          <w:tcPr>
            <w:tcW w:w="3623" w:type="dxa"/>
          </w:tcPr>
          <w:p w14:paraId="026A4767" w14:textId="77777777" w:rsidR="00BE36FB" w:rsidRPr="009B7B35" w:rsidRDefault="00BE36FB" w:rsidP="001A7107">
            <w:pPr>
              <w:pStyle w:val="TableText"/>
              <w:rPr>
                <w:rFonts w:cs="Arial"/>
              </w:rPr>
            </w:pPr>
            <w:r w:rsidRPr="009B7B35">
              <w:rPr>
                <w:rFonts w:cs="Arial"/>
              </w:rPr>
              <w:t>Any material change of use if accepted development subject to requirements within the relevant zone for the following:</w:t>
            </w:r>
          </w:p>
          <w:p w14:paraId="4241F443" w14:textId="77777777" w:rsidR="00BE36FB" w:rsidRPr="009B7B35" w:rsidRDefault="00BE36FB" w:rsidP="00BE36FB">
            <w:pPr>
              <w:pStyle w:val="TableText"/>
              <w:numPr>
                <w:ilvl w:val="0"/>
                <w:numId w:val="106"/>
              </w:numPr>
              <w:rPr>
                <w:rFonts w:cs="Arial"/>
              </w:rPr>
            </w:pPr>
            <w:r w:rsidRPr="009B7B35">
              <w:rPr>
                <w:rFonts w:cs="Arial"/>
              </w:rPr>
              <w:t>caretaker’s accommodation</w:t>
            </w:r>
          </w:p>
          <w:p w14:paraId="774490DF" w14:textId="77777777" w:rsidR="00BE36FB" w:rsidRPr="009B7B35" w:rsidRDefault="00BE36FB" w:rsidP="00BE36FB">
            <w:pPr>
              <w:pStyle w:val="TableText"/>
              <w:numPr>
                <w:ilvl w:val="0"/>
                <w:numId w:val="106"/>
              </w:numPr>
              <w:rPr>
                <w:rFonts w:cs="Arial"/>
              </w:rPr>
            </w:pPr>
            <w:r w:rsidRPr="009B7B35">
              <w:rPr>
                <w:rFonts w:cs="Arial"/>
              </w:rPr>
              <w:t>dual occupancy, and</w:t>
            </w:r>
          </w:p>
          <w:p w14:paraId="1C76A663" w14:textId="77777777" w:rsidR="00BE36FB" w:rsidRPr="009B7B35" w:rsidRDefault="00BE36FB" w:rsidP="00BE36FB">
            <w:pPr>
              <w:pStyle w:val="TableText"/>
              <w:numPr>
                <w:ilvl w:val="0"/>
                <w:numId w:val="106"/>
              </w:numPr>
              <w:rPr>
                <w:rFonts w:cs="Arial"/>
              </w:rPr>
            </w:pPr>
            <w:r w:rsidRPr="009B7B35">
              <w:rPr>
                <w:rFonts w:cs="Arial"/>
              </w:rPr>
              <w:t>dwelling house</w:t>
            </w:r>
          </w:p>
        </w:tc>
        <w:tc>
          <w:tcPr>
            <w:tcW w:w="3213" w:type="dxa"/>
          </w:tcPr>
          <w:p w14:paraId="0ED9E2AF" w14:textId="77777777" w:rsidR="00BE36FB" w:rsidRPr="009B7B35" w:rsidRDefault="00BE36FB" w:rsidP="001A7107">
            <w:pPr>
              <w:pStyle w:val="TableText"/>
              <w:rPr>
                <w:rFonts w:cs="Arial"/>
              </w:rPr>
            </w:pPr>
            <w:r w:rsidRPr="009B7B35">
              <w:rPr>
                <w:rFonts w:cs="Arial"/>
              </w:rPr>
              <w:t>No change to assessment category if complying with all accepted development subject to requirements acceptable outcomes</w:t>
            </w:r>
          </w:p>
        </w:tc>
        <w:tc>
          <w:tcPr>
            <w:tcW w:w="2520" w:type="dxa"/>
          </w:tcPr>
          <w:p w14:paraId="57DA0853" w14:textId="77777777" w:rsidR="00BE36FB" w:rsidRPr="009B7B35" w:rsidRDefault="00BE36FB" w:rsidP="001A7107">
            <w:pPr>
              <w:pStyle w:val="TableText"/>
              <w:rPr>
                <w:rFonts w:cs="Arial"/>
              </w:rPr>
            </w:pPr>
            <w:r w:rsidRPr="009B7B35">
              <w:rPr>
                <w:rFonts w:cs="Arial"/>
              </w:rPr>
              <w:t>Hazardous activities overlay code</w:t>
            </w:r>
          </w:p>
        </w:tc>
      </w:tr>
      <w:tr w:rsidR="00BE36FB" w:rsidRPr="009B7B35" w14:paraId="36027973" w14:textId="77777777" w:rsidTr="001A7107">
        <w:trPr>
          <w:cantSplit/>
        </w:trPr>
        <w:tc>
          <w:tcPr>
            <w:tcW w:w="3623" w:type="dxa"/>
          </w:tcPr>
          <w:p w14:paraId="1D98B739" w14:textId="77777777" w:rsidR="00BE36FB" w:rsidRPr="009B7B35" w:rsidRDefault="00BE36FB" w:rsidP="001A7107">
            <w:pPr>
              <w:pStyle w:val="TableText"/>
              <w:rPr>
                <w:rFonts w:cs="Arial"/>
              </w:rPr>
            </w:pPr>
            <w:r w:rsidRPr="009B7B35">
              <w:rPr>
                <w:rFonts w:cs="Arial"/>
              </w:rPr>
              <w:t>Any other material change of use</w:t>
            </w:r>
          </w:p>
        </w:tc>
        <w:tc>
          <w:tcPr>
            <w:tcW w:w="3213" w:type="dxa"/>
          </w:tcPr>
          <w:p w14:paraId="06B9DA4E"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22F89896" w14:textId="77777777" w:rsidR="00BE36FB" w:rsidRPr="009B7B35" w:rsidRDefault="00BE36FB" w:rsidP="001A7107">
            <w:pPr>
              <w:pStyle w:val="TableText"/>
              <w:rPr>
                <w:rFonts w:cs="Arial"/>
              </w:rPr>
            </w:pPr>
            <w:r w:rsidRPr="009B7B35">
              <w:rPr>
                <w:rFonts w:cs="Arial"/>
              </w:rPr>
              <w:t>Hazardous activities overlay code</w:t>
            </w:r>
          </w:p>
        </w:tc>
      </w:tr>
      <w:tr w:rsidR="00BE36FB" w:rsidRPr="009B7B35" w14:paraId="65AB121A" w14:textId="77777777" w:rsidTr="001A7107">
        <w:trPr>
          <w:cantSplit/>
        </w:trPr>
        <w:tc>
          <w:tcPr>
            <w:tcW w:w="3623" w:type="dxa"/>
          </w:tcPr>
          <w:p w14:paraId="17FA0B25" w14:textId="77777777" w:rsidR="00BE36FB" w:rsidRPr="009B7B35" w:rsidRDefault="00BE36FB" w:rsidP="001A7107">
            <w:pPr>
              <w:pStyle w:val="TableText"/>
              <w:rPr>
                <w:rFonts w:cs="Arial"/>
              </w:rPr>
            </w:pPr>
            <w:r w:rsidRPr="009B7B35">
              <w:rPr>
                <w:rFonts w:cs="Arial"/>
              </w:rPr>
              <w:t>Any reconfiguring a lot</w:t>
            </w:r>
          </w:p>
        </w:tc>
        <w:tc>
          <w:tcPr>
            <w:tcW w:w="3213" w:type="dxa"/>
          </w:tcPr>
          <w:p w14:paraId="6E8A402A"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48CC6E2A" w14:textId="77777777" w:rsidR="00BE36FB" w:rsidRPr="009B7B35" w:rsidRDefault="00BE36FB" w:rsidP="001A7107">
            <w:pPr>
              <w:pStyle w:val="TableText"/>
              <w:rPr>
                <w:rFonts w:cs="Arial"/>
              </w:rPr>
            </w:pPr>
            <w:r w:rsidRPr="009B7B35">
              <w:rPr>
                <w:rFonts w:cs="Arial"/>
              </w:rPr>
              <w:t>Hazardous activities overlay code</w:t>
            </w:r>
          </w:p>
        </w:tc>
      </w:tr>
      <w:tr w:rsidR="00BE36FB" w:rsidRPr="009B7B35" w14:paraId="7FD3A59F" w14:textId="77777777" w:rsidTr="001A7107">
        <w:trPr>
          <w:cantSplit/>
        </w:trPr>
        <w:tc>
          <w:tcPr>
            <w:tcW w:w="9356" w:type="dxa"/>
            <w:gridSpan w:val="3"/>
            <w:shd w:val="clear" w:color="auto" w:fill="BFBFBF" w:themeFill="background1" w:themeFillShade="BF"/>
          </w:tcPr>
          <w:p w14:paraId="6EE26F45" w14:textId="77777777" w:rsidR="00BE36FB" w:rsidRPr="009B7B35" w:rsidRDefault="00BE36FB" w:rsidP="001A7107">
            <w:pPr>
              <w:pStyle w:val="Tableheading"/>
              <w:rPr>
                <w:rFonts w:ascii="Arial" w:hAnsi="Arial" w:cs="Arial"/>
                <w:szCs w:val="20"/>
              </w:rPr>
            </w:pPr>
            <w:r w:rsidRPr="009B7B35">
              <w:rPr>
                <w:rFonts w:ascii="Arial" w:hAnsi="Arial" w:cs="Arial"/>
                <w:szCs w:val="20"/>
              </w:rPr>
              <w:t>Heritage overlay code</w:t>
            </w:r>
          </w:p>
        </w:tc>
      </w:tr>
      <w:tr w:rsidR="00BE36FB" w:rsidRPr="009B7B35" w14:paraId="252A68C7" w14:textId="77777777" w:rsidTr="001A7107">
        <w:trPr>
          <w:cantSplit/>
        </w:trPr>
        <w:tc>
          <w:tcPr>
            <w:tcW w:w="9356" w:type="dxa"/>
            <w:gridSpan w:val="3"/>
          </w:tcPr>
          <w:p w14:paraId="7585B2D4" w14:textId="77777777" w:rsidR="00BE36FB" w:rsidRPr="009B7B35" w:rsidRDefault="00BE36FB" w:rsidP="001A7107">
            <w:pPr>
              <w:pStyle w:val="Tableheading"/>
              <w:rPr>
                <w:rFonts w:ascii="Arial" w:hAnsi="Arial" w:cs="Arial"/>
                <w:szCs w:val="20"/>
              </w:rPr>
            </w:pPr>
            <w:r w:rsidRPr="009B7B35">
              <w:rPr>
                <w:rFonts w:ascii="Arial" w:hAnsi="Arial" w:cs="Arial"/>
                <w:szCs w:val="20"/>
              </w:rPr>
              <w:t>If located on a local heritage place</w:t>
            </w:r>
          </w:p>
        </w:tc>
      </w:tr>
      <w:tr w:rsidR="00BE36FB" w:rsidRPr="009B7B35" w14:paraId="16FC99E3" w14:textId="77777777" w:rsidTr="001A7107">
        <w:trPr>
          <w:cantSplit/>
        </w:trPr>
        <w:tc>
          <w:tcPr>
            <w:tcW w:w="3623" w:type="dxa"/>
          </w:tcPr>
          <w:p w14:paraId="67025436" w14:textId="77777777" w:rsidR="00BE36FB" w:rsidRPr="009B7B35" w:rsidRDefault="00BE36FB" w:rsidP="001A7107">
            <w:pPr>
              <w:pStyle w:val="TableText"/>
              <w:rPr>
                <w:rFonts w:cs="Arial"/>
              </w:rPr>
            </w:pPr>
            <w:r w:rsidRPr="009B7B35">
              <w:rPr>
                <w:rFonts w:cs="Arial"/>
              </w:rPr>
              <w:t xml:space="preserve">Development where an ‘Exemption Certificate’ has been issued for work under Section 75 of the </w:t>
            </w:r>
            <w:r w:rsidRPr="009B7B35">
              <w:rPr>
                <w:rStyle w:val="StyleItalic"/>
                <w:rFonts w:cs="Arial"/>
              </w:rPr>
              <w:t>Queensland Heritage Act 1992</w:t>
            </w:r>
            <w:r w:rsidRPr="009B7B35">
              <w:rPr>
                <w:rFonts w:cs="Arial"/>
              </w:rPr>
              <w:t>.</w:t>
            </w:r>
          </w:p>
        </w:tc>
        <w:tc>
          <w:tcPr>
            <w:tcW w:w="3213" w:type="dxa"/>
          </w:tcPr>
          <w:p w14:paraId="5F65851D" w14:textId="77777777" w:rsidR="00BE36FB" w:rsidRPr="009B7B35" w:rsidRDefault="00BE36FB" w:rsidP="001A7107">
            <w:pPr>
              <w:pStyle w:val="TableText"/>
              <w:rPr>
                <w:rFonts w:cs="Arial"/>
              </w:rPr>
            </w:pPr>
            <w:r w:rsidRPr="009B7B35">
              <w:rPr>
                <w:rFonts w:cs="Arial"/>
              </w:rPr>
              <w:t xml:space="preserve">Accepted development </w:t>
            </w:r>
          </w:p>
        </w:tc>
        <w:tc>
          <w:tcPr>
            <w:tcW w:w="2520" w:type="dxa"/>
          </w:tcPr>
          <w:p w14:paraId="54B0A025" w14:textId="77777777" w:rsidR="00BE36FB" w:rsidRPr="009B7B35" w:rsidRDefault="00BE36FB" w:rsidP="001A7107">
            <w:pPr>
              <w:pStyle w:val="TableText"/>
              <w:rPr>
                <w:rFonts w:cs="Arial"/>
              </w:rPr>
            </w:pPr>
          </w:p>
        </w:tc>
      </w:tr>
      <w:tr w:rsidR="00BE36FB" w:rsidRPr="009B7B35" w14:paraId="29E470F4" w14:textId="77777777" w:rsidTr="001A7107">
        <w:trPr>
          <w:cantSplit/>
        </w:trPr>
        <w:tc>
          <w:tcPr>
            <w:tcW w:w="3623" w:type="dxa"/>
          </w:tcPr>
          <w:p w14:paraId="73A86943" w14:textId="77777777"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 and involving building work.</w:t>
            </w:r>
          </w:p>
        </w:tc>
        <w:tc>
          <w:tcPr>
            <w:tcW w:w="3213" w:type="dxa"/>
          </w:tcPr>
          <w:p w14:paraId="1EDB1A57" w14:textId="77777777" w:rsidR="00BE36FB" w:rsidRPr="009B7B35" w:rsidRDefault="00BE36FB" w:rsidP="001A7107">
            <w:pPr>
              <w:pStyle w:val="TableText"/>
              <w:rPr>
                <w:rFonts w:cs="Arial"/>
              </w:rPr>
            </w:pPr>
            <w:r w:rsidRPr="009B7B35">
              <w:rPr>
                <w:rFonts w:cs="Arial"/>
              </w:rPr>
              <w:t>Code assessment</w:t>
            </w:r>
          </w:p>
        </w:tc>
        <w:tc>
          <w:tcPr>
            <w:tcW w:w="2520" w:type="dxa"/>
          </w:tcPr>
          <w:p w14:paraId="568E3DC4" w14:textId="77777777" w:rsidR="00BE36FB" w:rsidRPr="009B7B35" w:rsidRDefault="00BE36FB" w:rsidP="001A7107">
            <w:pPr>
              <w:pStyle w:val="TableText"/>
              <w:rPr>
                <w:rFonts w:cs="Arial"/>
              </w:rPr>
            </w:pPr>
            <w:r w:rsidRPr="009B7B35">
              <w:rPr>
                <w:rFonts w:cs="Arial"/>
              </w:rPr>
              <w:t>Heritage overlay code</w:t>
            </w:r>
          </w:p>
        </w:tc>
      </w:tr>
      <w:tr w:rsidR="00BE36FB" w:rsidRPr="009B7B35" w14:paraId="2D22312F" w14:textId="77777777" w:rsidTr="001A7107">
        <w:trPr>
          <w:cantSplit/>
        </w:trPr>
        <w:tc>
          <w:tcPr>
            <w:tcW w:w="3623" w:type="dxa"/>
          </w:tcPr>
          <w:p w14:paraId="3BCE17EF" w14:textId="77777777" w:rsidR="00BE36FB" w:rsidRPr="009B7B35" w:rsidRDefault="00BE36FB" w:rsidP="001A7107">
            <w:pPr>
              <w:pStyle w:val="TableText"/>
              <w:rPr>
                <w:rFonts w:cs="Arial"/>
              </w:rPr>
            </w:pPr>
            <w:r w:rsidRPr="009B7B35">
              <w:rPr>
                <w:rFonts w:cs="Arial"/>
              </w:rPr>
              <w:t>Any other material change of use</w:t>
            </w:r>
          </w:p>
        </w:tc>
        <w:tc>
          <w:tcPr>
            <w:tcW w:w="3213" w:type="dxa"/>
          </w:tcPr>
          <w:p w14:paraId="6C78F6C0"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779F162A" w14:textId="77777777" w:rsidR="00BE36FB" w:rsidRPr="009B7B35" w:rsidRDefault="00BE36FB" w:rsidP="001A7107">
            <w:pPr>
              <w:pStyle w:val="TableText"/>
              <w:rPr>
                <w:rFonts w:cs="Arial"/>
              </w:rPr>
            </w:pPr>
            <w:r w:rsidRPr="009B7B35">
              <w:rPr>
                <w:rFonts w:cs="Arial"/>
              </w:rPr>
              <w:t>Heritage overlay code</w:t>
            </w:r>
          </w:p>
        </w:tc>
      </w:tr>
      <w:tr w:rsidR="00BE36FB" w:rsidRPr="009B7B35" w14:paraId="5E5C7EAE" w14:textId="77777777" w:rsidTr="001A7107">
        <w:trPr>
          <w:cantSplit/>
        </w:trPr>
        <w:tc>
          <w:tcPr>
            <w:tcW w:w="3623" w:type="dxa"/>
          </w:tcPr>
          <w:p w14:paraId="13C5AF85" w14:textId="77777777" w:rsidR="00BE36FB" w:rsidRPr="009B7B35" w:rsidRDefault="00BE36FB" w:rsidP="001A7107">
            <w:pPr>
              <w:pStyle w:val="TableText"/>
              <w:rPr>
                <w:rFonts w:cs="Arial"/>
              </w:rPr>
            </w:pPr>
            <w:r w:rsidRPr="009B7B35">
              <w:rPr>
                <w:rFonts w:cs="Arial"/>
              </w:rPr>
              <w:t>Any reconfiguring a lot</w:t>
            </w:r>
          </w:p>
        </w:tc>
        <w:tc>
          <w:tcPr>
            <w:tcW w:w="3213" w:type="dxa"/>
          </w:tcPr>
          <w:p w14:paraId="21EB33D2"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572FC319" w14:textId="77777777" w:rsidR="00BE36FB" w:rsidRPr="009B7B35" w:rsidRDefault="00BE36FB" w:rsidP="001A7107">
            <w:pPr>
              <w:pStyle w:val="TableText"/>
              <w:rPr>
                <w:rFonts w:cs="Arial"/>
              </w:rPr>
            </w:pPr>
            <w:r w:rsidRPr="009B7B35">
              <w:rPr>
                <w:rFonts w:cs="Arial"/>
              </w:rPr>
              <w:t>Heritage overlay code</w:t>
            </w:r>
          </w:p>
        </w:tc>
      </w:tr>
      <w:tr w:rsidR="00BE36FB" w:rsidRPr="009B7B35" w14:paraId="08195E11" w14:textId="77777777" w:rsidTr="001A7107">
        <w:trPr>
          <w:cantSplit/>
        </w:trPr>
        <w:tc>
          <w:tcPr>
            <w:tcW w:w="3623" w:type="dxa"/>
          </w:tcPr>
          <w:p w14:paraId="1D74C8EE" w14:textId="77777777" w:rsidR="00BE36FB" w:rsidRPr="009B7B35" w:rsidRDefault="00BE36FB" w:rsidP="001A7107">
            <w:pPr>
              <w:pStyle w:val="TableText"/>
              <w:rPr>
                <w:rFonts w:cs="Arial"/>
              </w:rPr>
            </w:pPr>
            <w:r w:rsidRPr="009B7B35">
              <w:rPr>
                <w:rFonts w:cs="Arial"/>
              </w:rPr>
              <w:t>Any building work where involving the demolition, partial demolition or removal of a local heritage place.</w:t>
            </w:r>
          </w:p>
        </w:tc>
        <w:tc>
          <w:tcPr>
            <w:tcW w:w="3213" w:type="dxa"/>
          </w:tcPr>
          <w:p w14:paraId="244D25A2" w14:textId="77777777" w:rsidR="00BE36FB" w:rsidRPr="009B7B35" w:rsidRDefault="00BE36FB" w:rsidP="001A7107">
            <w:pPr>
              <w:pStyle w:val="TableText"/>
              <w:rPr>
                <w:rFonts w:cs="Arial"/>
              </w:rPr>
            </w:pPr>
            <w:r w:rsidRPr="009B7B35">
              <w:rPr>
                <w:rFonts w:cs="Arial"/>
              </w:rPr>
              <w:t>Impact assessment</w:t>
            </w:r>
          </w:p>
        </w:tc>
        <w:tc>
          <w:tcPr>
            <w:tcW w:w="2520" w:type="dxa"/>
          </w:tcPr>
          <w:p w14:paraId="3EA98328" w14:textId="77777777" w:rsidR="00BE36FB" w:rsidRPr="009B7B35" w:rsidRDefault="00BE36FB" w:rsidP="001A7107">
            <w:pPr>
              <w:pStyle w:val="TableText"/>
              <w:rPr>
                <w:rFonts w:cs="Arial"/>
              </w:rPr>
            </w:pPr>
            <w:r w:rsidRPr="009B7B35">
              <w:rPr>
                <w:rFonts w:cs="Arial"/>
              </w:rPr>
              <w:t>Heritage overlay code</w:t>
            </w:r>
          </w:p>
        </w:tc>
      </w:tr>
      <w:tr w:rsidR="00BE36FB" w:rsidRPr="009B7B35" w14:paraId="01251E06" w14:textId="77777777" w:rsidTr="001A7107">
        <w:trPr>
          <w:cantSplit/>
        </w:trPr>
        <w:tc>
          <w:tcPr>
            <w:tcW w:w="3623" w:type="dxa"/>
          </w:tcPr>
          <w:p w14:paraId="503A5F0F" w14:textId="77777777" w:rsidR="00BE36FB" w:rsidRPr="009B7B35" w:rsidRDefault="00BE36FB" w:rsidP="001A7107">
            <w:pPr>
              <w:pStyle w:val="TableText"/>
              <w:rPr>
                <w:rFonts w:cs="Arial"/>
              </w:rPr>
            </w:pPr>
            <w:r w:rsidRPr="009B7B35">
              <w:rPr>
                <w:rFonts w:cs="Arial"/>
              </w:rPr>
              <w:t>Any building work (including minor building work) where not associated with a material change of use.</w:t>
            </w:r>
          </w:p>
        </w:tc>
        <w:tc>
          <w:tcPr>
            <w:tcW w:w="3213" w:type="dxa"/>
          </w:tcPr>
          <w:p w14:paraId="6A5D94B8" w14:textId="77777777" w:rsidR="00BE36FB" w:rsidRPr="009B7B35" w:rsidRDefault="00BE36FB" w:rsidP="001A7107">
            <w:pPr>
              <w:pStyle w:val="TableText"/>
              <w:rPr>
                <w:rFonts w:cs="Arial"/>
              </w:rPr>
            </w:pPr>
            <w:r w:rsidRPr="009B7B35">
              <w:rPr>
                <w:rFonts w:cs="Arial"/>
              </w:rPr>
              <w:t>Code assessment</w:t>
            </w:r>
          </w:p>
        </w:tc>
        <w:tc>
          <w:tcPr>
            <w:tcW w:w="2520" w:type="dxa"/>
          </w:tcPr>
          <w:p w14:paraId="231F419E" w14:textId="77777777" w:rsidR="00BE36FB" w:rsidRPr="009B7B35" w:rsidRDefault="00BE36FB" w:rsidP="001A7107">
            <w:pPr>
              <w:pStyle w:val="TableText"/>
              <w:rPr>
                <w:rFonts w:cs="Arial"/>
              </w:rPr>
            </w:pPr>
            <w:r w:rsidRPr="009B7B35">
              <w:rPr>
                <w:rFonts w:cs="Arial"/>
              </w:rPr>
              <w:t>Heritage overlay code</w:t>
            </w:r>
          </w:p>
        </w:tc>
      </w:tr>
      <w:tr w:rsidR="00BE36FB" w:rsidRPr="009B7B35" w14:paraId="3AEED805" w14:textId="77777777" w:rsidTr="001A7107">
        <w:trPr>
          <w:cantSplit/>
        </w:trPr>
        <w:tc>
          <w:tcPr>
            <w:tcW w:w="3623" w:type="dxa"/>
          </w:tcPr>
          <w:p w14:paraId="07FD7492" w14:textId="77777777" w:rsidR="00BE36FB" w:rsidRPr="009B7B35" w:rsidRDefault="00BE36FB" w:rsidP="001A7107">
            <w:pPr>
              <w:pStyle w:val="TableText"/>
              <w:rPr>
                <w:rFonts w:cs="Arial"/>
              </w:rPr>
            </w:pPr>
            <w:r w:rsidRPr="009B7B35">
              <w:rPr>
                <w:rFonts w:cs="Arial"/>
              </w:rPr>
              <w:t>Operational work where involving a change to landscaping, fencing or natural features of land referred to in the citation for a heritage place.</w:t>
            </w:r>
          </w:p>
        </w:tc>
        <w:tc>
          <w:tcPr>
            <w:tcW w:w="3213" w:type="dxa"/>
          </w:tcPr>
          <w:p w14:paraId="216DB4D9" w14:textId="77777777" w:rsidR="00BE36FB" w:rsidRPr="009B7B35" w:rsidRDefault="00BE36FB" w:rsidP="001A7107">
            <w:pPr>
              <w:pStyle w:val="TableText"/>
              <w:rPr>
                <w:rFonts w:cs="Arial"/>
              </w:rPr>
            </w:pPr>
            <w:r w:rsidRPr="009B7B35">
              <w:rPr>
                <w:rFonts w:cs="Arial"/>
              </w:rPr>
              <w:t>Code assessment</w:t>
            </w:r>
          </w:p>
        </w:tc>
        <w:tc>
          <w:tcPr>
            <w:tcW w:w="2520" w:type="dxa"/>
          </w:tcPr>
          <w:p w14:paraId="08BFA378" w14:textId="77777777" w:rsidR="00BE36FB" w:rsidRPr="009B7B35" w:rsidRDefault="00BE36FB" w:rsidP="001A7107">
            <w:pPr>
              <w:pStyle w:val="TableText"/>
              <w:rPr>
                <w:rFonts w:cs="Arial"/>
              </w:rPr>
            </w:pPr>
            <w:r w:rsidRPr="009B7B35">
              <w:rPr>
                <w:rFonts w:cs="Arial"/>
              </w:rPr>
              <w:t>Heritage overlay code</w:t>
            </w:r>
          </w:p>
        </w:tc>
      </w:tr>
      <w:tr w:rsidR="00BE36FB" w:rsidRPr="009B7B35" w14:paraId="381DEC8C" w14:textId="77777777" w:rsidTr="001A7107">
        <w:trPr>
          <w:cantSplit/>
        </w:trPr>
        <w:tc>
          <w:tcPr>
            <w:tcW w:w="9356" w:type="dxa"/>
            <w:gridSpan w:val="3"/>
          </w:tcPr>
          <w:p w14:paraId="77E21A75" w14:textId="77777777" w:rsidR="00BE36FB" w:rsidRPr="009B7B35" w:rsidRDefault="00BE36FB" w:rsidP="001A7107">
            <w:pPr>
              <w:pStyle w:val="Tableheading"/>
              <w:rPr>
                <w:rFonts w:ascii="Arial" w:hAnsi="Arial" w:cs="Arial"/>
                <w:szCs w:val="20"/>
              </w:rPr>
            </w:pPr>
            <w:r w:rsidRPr="009B7B35">
              <w:rPr>
                <w:rFonts w:ascii="Arial" w:hAnsi="Arial" w:cs="Arial"/>
                <w:szCs w:val="20"/>
              </w:rPr>
              <w:t>If adjoining a local heritage place</w:t>
            </w:r>
          </w:p>
        </w:tc>
      </w:tr>
      <w:tr w:rsidR="00BE36FB" w:rsidRPr="009B7B35" w14:paraId="4BAC2EE0" w14:textId="77777777" w:rsidTr="001A7107">
        <w:trPr>
          <w:cantSplit/>
        </w:trPr>
        <w:tc>
          <w:tcPr>
            <w:tcW w:w="3623" w:type="dxa"/>
          </w:tcPr>
          <w:p w14:paraId="6F087C04" w14:textId="77777777" w:rsidR="00BE36FB" w:rsidRPr="009B7B35" w:rsidRDefault="00BE36FB" w:rsidP="001A7107">
            <w:pPr>
              <w:pStyle w:val="TableText"/>
              <w:rPr>
                <w:rFonts w:cs="Arial"/>
              </w:rPr>
            </w:pPr>
            <w:r w:rsidRPr="009B7B35">
              <w:rPr>
                <w:rFonts w:cs="Arial"/>
              </w:rPr>
              <w:t>Any material change of use</w:t>
            </w:r>
          </w:p>
        </w:tc>
        <w:tc>
          <w:tcPr>
            <w:tcW w:w="3213" w:type="dxa"/>
          </w:tcPr>
          <w:p w14:paraId="338A9865"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670526BE" w14:textId="77777777" w:rsidR="00BE36FB" w:rsidRPr="009B7B35" w:rsidRDefault="00BE36FB" w:rsidP="001A7107">
            <w:pPr>
              <w:pStyle w:val="TableText"/>
              <w:rPr>
                <w:rFonts w:cs="Arial"/>
              </w:rPr>
            </w:pPr>
            <w:r w:rsidRPr="009B7B35">
              <w:rPr>
                <w:rFonts w:cs="Arial"/>
              </w:rPr>
              <w:t>Heritage overlay code</w:t>
            </w:r>
          </w:p>
        </w:tc>
      </w:tr>
      <w:tr w:rsidR="00BE36FB" w:rsidRPr="009B7B35" w14:paraId="42B16020" w14:textId="77777777" w:rsidTr="001A7107">
        <w:trPr>
          <w:cantSplit/>
        </w:trPr>
        <w:tc>
          <w:tcPr>
            <w:tcW w:w="3623" w:type="dxa"/>
          </w:tcPr>
          <w:p w14:paraId="278F17C6" w14:textId="77777777" w:rsidR="00BE36FB" w:rsidRPr="009B7B35" w:rsidRDefault="00BE36FB" w:rsidP="001A7107">
            <w:pPr>
              <w:pStyle w:val="TableText"/>
              <w:rPr>
                <w:rFonts w:cs="Arial"/>
              </w:rPr>
            </w:pPr>
            <w:r w:rsidRPr="009B7B35">
              <w:rPr>
                <w:rFonts w:cs="Arial"/>
              </w:rPr>
              <w:t>Any reconfiguring a lot</w:t>
            </w:r>
          </w:p>
        </w:tc>
        <w:tc>
          <w:tcPr>
            <w:tcW w:w="3213" w:type="dxa"/>
          </w:tcPr>
          <w:p w14:paraId="378FDCF3"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251C1DD6" w14:textId="77777777" w:rsidR="00BE36FB" w:rsidRPr="009B7B35" w:rsidRDefault="00BE36FB" w:rsidP="001A7107">
            <w:pPr>
              <w:pStyle w:val="TableText"/>
              <w:rPr>
                <w:rFonts w:cs="Arial"/>
              </w:rPr>
            </w:pPr>
            <w:r w:rsidRPr="009B7B35">
              <w:rPr>
                <w:rFonts w:cs="Arial"/>
              </w:rPr>
              <w:t>Heritage overlay code</w:t>
            </w:r>
          </w:p>
        </w:tc>
      </w:tr>
      <w:tr w:rsidR="00BE36FB" w:rsidRPr="009B7B35" w14:paraId="014F2AB7" w14:textId="77777777" w:rsidTr="001A7107">
        <w:trPr>
          <w:cantSplit/>
        </w:trPr>
        <w:tc>
          <w:tcPr>
            <w:tcW w:w="9356" w:type="dxa"/>
            <w:gridSpan w:val="3"/>
            <w:shd w:val="clear" w:color="auto" w:fill="BFBFBF" w:themeFill="background1" w:themeFillShade="BF"/>
          </w:tcPr>
          <w:p w14:paraId="29C18D1C" w14:textId="77777777" w:rsidR="00BE36FB" w:rsidRPr="009B7B35" w:rsidRDefault="00BE36FB" w:rsidP="001A7107">
            <w:pPr>
              <w:pStyle w:val="Tableheading"/>
              <w:rPr>
                <w:rFonts w:ascii="Arial" w:hAnsi="Arial" w:cs="Arial"/>
                <w:szCs w:val="20"/>
              </w:rPr>
            </w:pPr>
            <w:r w:rsidRPr="009B7B35">
              <w:rPr>
                <w:rFonts w:ascii="Arial" w:hAnsi="Arial" w:cs="Arial"/>
                <w:szCs w:val="20"/>
              </w:rPr>
              <w:t>Regional infrastructure overlay code</w:t>
            </w:r>
          </w:p>
        </w:tc>
      </w:tr>
      <w:tr w:rsidR="00BE36FB" w:rsidRPr="009B7B35" w14:paraId="6BE05CD7" w14:textId="77777777" w:rsidTr="001A7107">
        <w:trPr>
          <w:cantSplit/>
        </w:trPr>
        <w:tc>
          <w:tcPr>
            <w:tcW w:w="3623" w:type="dxa"/>
          </w:tcPr>
          <w:p w14:paraId="55266327" w14:textId="77777777"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w:t>
            </w:r>
          </w:p>
        </w:tc>
        <w:tc>
          <w:tcPr>
            <w:tcW w:w="3213" w:type="dxa"/>
          </w:tcPr>
          <w:p w14:paraId="3CB6C39C" w14:textId="77777777" w:rsidR="00BE36FB" w:rsidRPr="009B7B35" w:rsidRDefault="00BE36FB" w:rsidP="001A7107">
            <w:pPr>
              <w:pStyle w:val="TableText"/>
              <w:rPr>
                <w:rFonts w:cs="Arial"/>
              </w:rPr>
            </w:pPr>
            <w:r w:rsidRPr="009B7B35">
              <w:rPr>
                <w:rFonts w:cs="Arial"/>
              </w:rPr>
              <w:t>Code assessment</w:t>
            </w:r>
          </w:p>
        </w:tc>
        <w:tc>
          <w:tcPr>
            <w:tcW w:w="2520" w:type="dxa"/>
          </w:tcPr>
          <w:p w14:paraId="4A7B00F4" w14:textId="77777777" w:rsidR="00BE36FB" w:rsidRPr="009B7B35" w:rsidRDefault="00BE36FB" w:rsidP="001A7107">
            <w:pPr>
              <w:pStyle w:val="TableText"/>
              <w:rPr>
                <w:rFonts w:cs="Arial"/>
              </w:rPr>
            </w:pPr>
            <w:r w:rsidRPr="009B7B35">
              <w:rPr>
                <w:rFonts w:cs="Arial"/>
              </w:rPr>
              <w:t>Regional infrastructure overlay code</w:t>
            </w:r>
          </w:p>
        </w:tc>
      </w:tr>
      <w:tr w:rsidR="00BE36FB" w:rsidRPr="009B7B35" w14:paraId="5BE99CF5" w14:textId="77777777" w:rsidTr="001A7107">
        <w:trPr>
          <w:cantSplit/>
        </w:trPr>
        <w:tc>
          <w:tcPr>
            <w:tcW w:w="3623" w:type="dxa"/>
          </w:tcPr>
          <w:p w14:paraId="195699E5" w14:textId="77777777" w:rsidR="00BE36FB" w:rsidRPr="009B7B35" w:rsidRDefault="00BE36FB" w:rsidP="001A7107">
            <w:pPr>
              <w:pStyle w:val="TableText"/>
              <w:rPr>
                <w:rFonts w:cs="Arial"/>
              </w:rPr>
            </w:pPr>
            <w:r w:rsidRPr="009B7B35">
              <w:rPr>
                <w:rFonts w:cs="Arial"/>
              </w:rPr>
              <w:t>Any reconfiguring a lot</w:t>
            </w:r>
          </w:p>
        </w:tc>
        <w:tc>
          <w:tcPr>
            <w:tcW w:w="3213" w:type="dxa"/>
          </w:tcPr>
          <w:p w14:paraId="2A5AAE59"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73DF6319" w14:textId="77777777" w:rsidR="00BE36FB" w:rsidRPr="009B7B35" w:rsidRDefault="00BE36FB" w:rsidP="001A7107">
            <w:pPr>
              <w:pStyle w:val="TableText"/>
              <w:rPr>
                <w:rFonts w:cs="Arial"/>
              </w:rPr>
            </w:pPr>
            <w:r w:rsidRPr="009B7B35">
              <w:rPr>
                <w:rFonts w:cs="Arial"/>
              </w:rPr>
              <w:t>Regional infrastructure overlay code</w:t>
            </w:r>
          </w:p>
        </w:tc>
      </w:tr>
      <w:tr w:rsidR="00BE36FB" w:rsidRPr="009B7B35" w14:paraId="3B0974C7" w14:textId="77777777" w:rsidTr="001A7107">
        <w:trPr>
          <w:cantSplit/>
        </w:trPr>
        <w:tc>
          <w:tcPr>
            <w:tcW w:w="3623" w:type="dxa"/>
          </w:tcPr>
          <w:p w14:paraId="2C374BFB" w14:textId="77777777" w:rsidR="00BE36FB" w:rsidRPr="009B7B35" w:rsidRDefault="00BE36FB" w:rsidP="001A7107">
            <w:pPr>
              <w:pStyle w:val="TableText"/>
              <w:rPr>
                <w:rFonts w:cs="Arial"/>
              </w:rPr>
            </w:pPr>
            <w:r w:rsidRPr="009B7B35">
              <w:rPr>
                <w:rFonts w:cs="Arial"/>
              </w:rPr>
              <w:t>Operational work</w:t>
            </w:r>
          </w:p>
        </w:tc>
        <w:tc>
          <w:tcPr>
            <w:tcW w:w="3213" w:type="dxa"/>
          </w:tcPr>
          <w:p w14:paraId="606AA204" w14:textId="77777777" w:rsidR="00BE36FB" w:rsidRPr="009B7B35" w:rsidRDefault="00BE36FB">
            <w:pPr>
              <w:pStyle w:val="TableText"/>
              <w:rPr>
                <w:rFonts w:cs="Arial"/>
              </w:rPr>
            </w:pPr>
            <w:r w:rsidRPr="009B7B35">
              <w:rPr>
                <w:rFonts w:cs="Arial"/>
              </w:rPr>
              <w:t>Code assessable, where located on land within 20m of identified regional electricity or water infrastructure. Otherwise no change to assessment category.</w:t>
            </w:r>
          </w:p>
        </w:tc>
        <w:tc>
          <w:tcPr>
            <w:tcW w:w="2520" w:type="dxa"/>
          </w:tcPr>
          <w:p w14:paraId="75D65861" w14:textId="77777777" w:rsidR="00BE36FB" w:rsidRPr="009B7B35" w:rsidRDefault="00BE36FB" w:rsidP="001A7107">
            <w:pPr>
              <w:pStyle w:val="TableText"/>
              <w:rPr>
                <w:rFonts w:cs="Arial"/>
              </w:rPr>
            </w:pPr>
            <w:r w:rsidRPr="009B7B35">
              <w:rPr>
                <w:rFonts w:cs="Arial"/>
              </w:rPr>
              <w:t>Regional infrastructure overlay code</w:t>
            </w:r>
          </w:p>
        </w:tc>
      </w:tr>
      <w:tr w:rsidR="00BE36FB" w:rsidRPr="009B7B35" w14:paraId="30B473D1" w14:textId="77777777" w:rsidTr="001A7107">
        <w:trPr>
          <w:cantSplit/>
        </w:trPr>
        <w:tc>
          <w:tcPr>
            <w:tcW w:w="9356" w:type="dxa"/>
            <w:gridSpan w:val="3"/>
            <w:shd w:val="clear" w:color="auto" w:fill="BFBFBF" w:themeFill="background1" w:themeFillShade="BF"/>
          </w:tcPr>
          <w:p w14:paraId="74D1D3BA" w14:textId="77777777" w:rsidR="00BE36FB" w:rsidRPr="009B7B35" w:rsidRDefault="00BE36FB" w:rsidP="001A7107">
            <w:pPr>
              <w:pStyle w:val="Tableheading"/>
              <w:rPr>
                <w:rFonts w:ascii="Arial" w:hAnsi="Arial" w:cs="Arial"/>
                <w:szCs w:val="20"/>
              </w:rPr>
            </w:pPr>
            <w:r w:rsidRPr="009B7B35">
              <w:rPr>
                <w:rFonts w:ascii="Arial" w:hAnsi="Arial" w:cs="Arial"/>
                <w:szCs w:val="20"/>
              </w:rPr>
              <w:t>Scenic amenity overlay code</w:t>
            </w:r>
          </w:p>
        </w:tc>
      </w:tr>
      <w:tr w:rsidR="00BE36FB" w:rsidRPr="009B7B35" w14:paraId="4B53C865" w14:textId="77777777" w:rsidTr="001A7107">
        <w:trPr>
          <w:cantSplit/>
        </w:trPr>
        <w:tc>
          <w:tcPr>
            <w:tcW w:w="3623" w:type="dxa"/>
          </w:tcPr>
          <w:p w14:paraId="15CBEC79" w14:textId="77777777"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w:t>
            </w:r>
          </w:p>
        </w:tc>
        <w:tc>
          <w:tcPr>
            <w:tcW w:w="3213" w:type="dxa"/>
          </w:tcPr>
          <w:p w14:paraId="4B3BA5BD" w14:textId="77777777" w:rsidR="00BE36FB" w:rsidRPr="009B7B35" w:rsidRDefault="00BE36FB" w:rsidP="001A7107">
            <w:pPr>
              <w:pStyle w:val="TableText"/>
              <w:rPr>
                <w:rFonts w:cs="Arial"/>
              </w:rPr>
            </w:pPr>
            <w:r w:rsidRPr="009B7B35">
              <w:rPr>
                <w:rFonts w:cs="Arial"/>
              </w:rPr>
              <w:t>No change to assessment category if complying with accepted development subject to requirements acceptable outcomes</w:t>
            </w:r>
          </w:p>
        </w:tc>
        <w:tc>
          <w:tcPr>
            <w:tcW w:w="2520" w:type="dxa"/>
          </w:tcPr>
          <w:p w14:paraId="4A521DF3" w14:textId="77777777" w:rsidR="00BE36FB" w:rsidRPr="009B7B35" w:rsidRDefault="00BE36FB" w:rsidP="001A7107">
            <w:pPr>
              <w:pStyle w:val="TableText"/>
              <w:rPr>
                <w:rFonts w:cs="Arial"/>
              </w:rPr>
            </w:pPr>
            <w:r w:rsidRPr="009B7B35">
              <w:rPr>
                <w:rFonts w:cs="Arial"/>
              </w:rPr>
              <w:t>Scenic amenity overlay code</w:t>
            </w:r>
          </w:p>
        </w:tc>
      </w:tr>
      <w:tr w:rsidR="00BE36FB" w:rsidRPr="009B7B35" w14:paraId="3870D5F2" w14:textId="77777777" w:rsidTr="001A7107">
        <w:trPr>
          <w:cantSplit/>
        </w:trPr>
        <w:tc>
          <w:tcPr>
            <w:tcW w:w="3623" w:type="dxa"/>
          </w:tcPr>
          <w:p w14:paraId="683BB1B7" w14:textId="77777777" w:rsidR="00BE36FB" w:rsidRPr="009B7B35" w:rsidRDefault="00BE36FB" w:rsidP="001A7107">
            <w:pPr>
              <w:pStyle w:val="TableText"/>
              <w:rPr>
                <w:rFonts w:cs="Arial"/>
              </w:rPr>
            </w:pPr>
            <w:r w:rsidRPr="009B7B35">
              <w:rPr>
                <w:rFonts w:cs="Arial"/>
              </w:rPr>
              <w:t>Any other material change of use</w:t>
            </w:r>
          </w:p>
        </w:tc>
        <w:tc>
          <w:tcPr>
            <w:tcW w:w="3213" w:type="dxa"/>
          </w:tcPr>
          <w:p w14:paraId="551DB051"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6F01F069" w14:textId="77777777" w:rsidR="00BE36FB" w:rsidRPr="009B7B35" w:rsidRDefault="00BE36FB" w:rsidP="001A7107">
            <w:pPr>
              <w:pStyle w:val="TableText"/>
              <w:rPr>
                <w:rFonts w:cs="Arial"/>
              </w:rPr>
            </w:pPr>
            <w:r w:rsidRPr="009B7B35">
              <w:rPr>
                <w:rFonts w:cs="Arial"/>
              </w:rPr>
              <w:t>Scenic amenity overlay code</w:t>
            </w:r>
          </w:p>
        </w:tc>
      </w:tr>
      <w:tr w:rsidR="00BE36FB" w:rsidRPr="009B7B35" w14:paraId="75618706" w14:textId="77777777" w:rsidTr="001A7107">
        <w:trPr>
          <w:cantSplit/>
        </w:trPr>
        <w:tc>
          <w:tcPr>
            <w:tcW w:w="3623" w:type="dxa"/>
          </w:tcPr>
          <w:p w14:paraId="5BCC6AAC" w14:textId="77777777" w:rsidR="00BE36FB" w:rsidRPr="009B7B35" w:rsidRDefault="00BE36FB" w:rsidP="001A7107">
            <w:pPr>
              <w:pStyle w:val="TableText"/>
              <w:rPr>
                <w:rFonts w:cs="Arial"/>
              </w:rPr>
            </w:pPr>
            <w:r w:rsidRPr="009B7B35">
              <w:rPr>
                <w:rFonts w:cs="Arial"/>
              </w:rPr>
              <w:t>Reconfiguring a lot</w:t>
            </w:r>
          </w:p>
        </w:tc>
        <w:tc>
          <w:tcPr>
            <w:tcW w:w="3213" w:type="dxa"/>
          </w:tcPr>
          <w:p w14:paraId="4C252672"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4840B4B6" w14:textId="77777777" w:rsidR="00BE36FB" w:rsidRPr="009B7B35" w:rsidRDefault="00BE36FB" w:rsidP="001A7107">
            <w:pPr>
              <w:pStyle w:val="TableText"/>
              <w:rPr>
                <w:rFonts w:cs="Arial"/>
              </w:rPr>
            </w:pPr>
            <w:r w:rsidRPr="009B7B35">
              <w:rPr>
                <w:rFonts w:cs="Arial"/>
              </w:rPr>
              <w:t>Scenic amenity overlay code</w:t>
            </w:r>
          </w:p>
        </w:tc>
      </w:tr>
      <w:tr w:rsidR="00BE36FB" w:rsidRPr="009B7B35" w14:paraId="203184BD" w14:textId="77777777" w:rsidTr="001A7107">
        <w:tc>
          <w:tcPr>
            <w:tcW w:w="3623" w:type="dxa"/>
          </w:tcPr>
          <w:p w14:paraId="3985FA60" w14:textId="77777777" w:rsidR="00BE36FB" w:rsidRPr="009B7B35" w:rsidRDefault="00BE36FB" w:rsidP="001A7107">
            <w:pPr>
              <w:pStyle w:val="TableText"/>
              <w:rPr>
                <w:rFonts w:cs="Arial"/>
              </w:rPr>
            </w:pPr>
            <w:r w:rsidRPr="009B7B35">
              <w:rPr>
                <w:rFonts w:cs="Arial"/>
              </w:rPr>
              <w:t>Operational work for excavation or filling</w:t>
            </w:r>
          </w:p>
        </w:tc>
        <w:tc>
          <w:tcPr>
            <w:tcW w:w="3213" w:type="dxa"/>
          </w:tcPr>
          <w:p w14:paraId="63E2FED4"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1656EF92" w14:textId="77777777" w:rsidR="00BE36FB" w:rsidRPr="009B7B35" w:rsidRDefault="00BE36FB" w:rsidP="001A7107">
            <w:pPr>
              <w:pStyle w:val="TableText"/>
              <w:rPr>
                <w:rFonts w:cs="Arial"/>
              </w:rPr>
            </w:pPr>
            <w:r w:rsidRPr="009B7B35">
              <w:rPr>
                <w:rFonts w:cs="Arial"/>
              </w:rPr>
              <w:t>Scenic amenity overlay code</w:t>
            </w:r>
          </w:p>
        </w:tc>
      </w:tr>
      <w:tr w:rsidR="00BE36FB" w:rsidRPr="009B7B35" w14:paraId="64CC98DF" w14:textId="77777777" w:rsidTr="001A7107">
        <w:tc>
          <w:tcPr>
            <w:tcW w:w="9356" w:type="dxa"/>
            <w:gridSpan w:val="3"/>
            <w:shd w:val="clear" w:color="auto" w:fill="BFBFBF" w:themeFill="background1" w:themeFillShade="BF"/>
          </w:tcPr>
          <w:p w14:paraId="26BE1231" w14:textId="77777777" w:rsidR="00BE36FB" w:rsidRPr="009B7B35" w:rsidRDefault="00BE36FB" w:rsidP="001A7107">
            <w:pPr>
              <w:pStyle w:val="Tableheading"/>
              <w:rPr>
                <w:rFonts w:ascii="Arial" w:hAnsi="Arial" w:cs="Arial"/>
                <w:szCs w:val="20"/>
              </w:rPr>
            </w:pPr>
            <w:r w:rsidRPr="009B7B35">
              <w:rPr>
                <w:rFonts w:ascii="Arial" w:hAnsi="Arial" w:cs="Arial"/>
                <w:szCs w:val="20"/>
              </w:rPr>
              <w:t>Steep land overlay code</w:t>
            </w:r>
          </w:p>
        </w:tc>
      </w:tr>
      <w:tr w:rsidR="00BE36FB" w:rsidRPr="009B7B35" w14:paraId="2AF75132" w14:textId="77777777" w:rsidTr="001A7107">
        <w:tc>
          <w:tcPr>
            <w:tcW w:w="3623" w:type="dxa"/>
          </w:tcPr>
          <w:p w14:paraId="18119043" w14:textId="77777777" w:rsidR="00BE36FB" w:rsidRPr="009B7B35" w:rsidRDefault="00BE36FB" w:rsidP="001A7107">
            <w:pPr>
              <w:pStyle w:val="TableText"/>
              <w:rPr>
                <w:rFonts w:cs="Arial"/>
              </w:rPr>
            </w:pPr>
            <w:r w:rsidRPr="009B7B35">
              <w:rPr>
                <w:rFonts w:cs="Arial"/>
              </w:rPr>
              <w:t>Any material change of use where the development is accepted development subject to requirements under the table of assessment for the relevant zone and involving building work for any of the following:</w:t>
            </w:r>
          </w:p>
          <w:p w14:paraId="74D8075E" w14:textId="77777777" w:rsidR="00BE36FB" w:rsidRPr="009B7B35" w:rsidRDefault="00BE36FB" w:rsidP="00BE36FB">
            <w:pPr>
              <w:pStyle w:val="TableText"/>
              <w:numPr>
                <w:ilvl w:val="0"/>
                <w:numId w:val="74"/>
              </w:numPr>
              <w:rPr>
                <w:rFonts w:cs="Arial"/>
              </w:rPr>
            </w:pPr>
            <w:r w:rsidRPr="009B7B35">
              <w:rPr>
                <w:rFonts w:cs="Arial"/>
              </w:rPr>
              <w:t>community residence</w:t>
            </w:r>
          </w:p>
          <w:p w14:paraId="1E9FA7B9" w14:textId="77777777" w:rsidR="00BE36FB" w:rsidRPr="009B7B35" w:rsidRDefault="00BE36FB" w:rsidP="00BE36FB">
            <w:pPr>
              <w:pStyle w:val="TableText"/>
              <w:numPr>
                <w:ilvl w:val="0"/>
                <w:numId w:val="74"/>
              </w:numPr>
              <w:rPr>
                <w:rFonts w:cs="Arial"/>
              </w:rPr>
            </w:pPr>
            <w:r w:rsidRPr="009B7B35">
              <w:rPr>
                <w:rFonts w:cs="Arial"/>
              </w:rPr>
              <w:t>dual occupancy</w:t>
            </w:r>
          </w:p>
          <w:p w14:paraId="6DF2205F" w14:textId="77777777" w:rsidR="00BE36FB" w:rsidRPr="009B7B35" w:rsidRDefault="00BE36FB" w:rsidP="00BE36FB">
            <w:pPr>
              <w:pStyle w:val="TableText"/>
              <w:numPr>
                <w:ilvl w:val="0"/>
                <w:numId w:val="74"/>
              </w:numPr>
              <w:rPr>
                <w:rFonts w:cs="Arial"/>
              </w:rPr>
            </w:pPr>
            <w:r w:rsidRPr="009B7B35">
              <w:rPr>
                <w:rFonts w:cs="Arial"/>
              </w:rPr>
              <w:t>dwelling house</w:t>
            </w:r>
          </w:p>
          <w:p w14:paraId="7CD0D73E" w14:textId="77777777" w:rsidR="00BE36FB" w:rsidRPr="009B7B35" w:rsidRDefault="00BE36FB" w:rsidP="00BE36FB">
            <w:pPr>
              <w:pStyle w:val="TableText"/>
              <w:numPr>
                <w:ilvl w:val="0"/>
                <w:numId w:val="74"/>
              </w:numPr>
              <w:rPr>
                <w:rFonts w:cs="Arial"/>
              </w:rPr>
            </w:pPr>
            <w:r w:rsidRPr="009B7B35">
              <w:rPr>
                <w:rFonts w:cs="Arial"/>
              </w:rPr>
              <w:t>low impact industry</w:t>
            </w:r>
          </w:p>
          <w:p w14:paraId="72DE53BD" w14:textId="77777777" w:rsidR="00BE36FB" w:rsidRPr="009B7B35" w:rsidRDefault="00BE36FB" w:rsidP="00BE36FB">
            <w:pPr>
              <w:pStyle w:val="TableText"/>
              <w:numPr>
                <w:ilvl w:val="0"/>
                <w:numId w:val="74"/>
              </w:numPr>
              <w:rPr>
                <w:rFonts w:cs="Arial"/>
              </w:rPr>
            </w:pPr>
            <w:r w:rsidRPr="009B7B35">
              <w:rPr>
                <w:rFonts w:cs="Arial"/>
              </w:rPr>
              <w:t xml:space="preserve">service industry </w:t>
            </w:r>
          </w:p>
          <w:p w14:paraId="563F815B" w14:textId="77777777" w:rsidR="00BE36FB" w:rsidRPr="009B7B35" w:rsidRDefault="00BE36FB" w:rsidP="00BE36FB">
            <w:pPr>
              <w:pStyle w:val="TableText"/>
              <w:numPr>
                <w:ilvl w:val="0"/>
                <w:numId w:val="74"/>
              </w:numPr>
              <w:rPr>
                <w:rFonts w:cs="Arial"/>
              </w:rPr>
            </w:pPr>
            <w:r w:rsidRPr="009B7B35">
              <w:rPr>
                <w:rFonts w:cs="Arial"/>
              </w:rPr>
              <w:t>warehouse</w:t>
            </w:r>
          </w:p>
          <w:p w14:paraId="5D525819" w14:textId="77777777" w:rsidR="00BE36FB" w:rsidRPr="009B7B35" w:rsidRDefault="00BE36FB" w:rsidP="00BE36FB">
            <w:pPr>
              <w:pStyle w:val="TableText"/>
              <w:numPr>
                <w:ilvl w:val="0"/>
                <w:numId w:val="74"/>
              </w:numPr>
              <w:rPr>
                <w:rFonts w:cs="Arial"/>
              </w:rPr>
            </w:pPr>
            <w:r w:rsidRPr="009B7B35">
              <w:rPr>
                <w:rFonts w:cs="Arial"/>
              </w:rPr>
              <w:t>marine industry</w:t>
            </w:r>
          </w:p>
          <w:p w14:paraId="3B0AA155" w14:textId="77777777" w:rsidR="00BE36FB" w:rsidRPr="009B7B35" w:rsidRDefault="00BE36FB" w:rsidP="00BE36FB">
            <w:pPr>
              <w:pStyle w:val="TableText"/>
              <w:numPr>
                <w:ilvl w:val="0"/>
                <w:numId w:val="74"/>
              </w:numPr>
              <w:rPr>
                <w:rFonts w:cs="Arial"/>
              </w:rPr>
            </w:pPr>
            <w:r w:rsidRPr="009B7B35">
              <w:rPr>
                <w:rFonts w:cs="Arial"/>
              </w:rPr>
              <w:t>medium impact industry</w:t>
            </w:r>
          </w:p>
          <w:p w14:paraId="21DC0316" w14:textId="77777777" w:rsidR="00BE36FB" w:rsidRPr="009B7B35" w:rsidRDefault="00BE36FB" w:rsidP="00BE36FB">
            <w:pPr>
              <w:pStyle w:val="TableText"/>
              <w:numPr>
                <w:ilvl w:val="0"/>
                <w:numId w:val="74"/>
              </w:numPr>
              <w:rPr>
                <w:rFonts w:cs="Arial"/>
              </w:rPr>
            </w:pPr>
            <w:r w:rsidRPr="009B7B35">
              <w:rPr>
                <w:rFonts w:cs="Arial"/>
              </w:rPr>
              <w:t>research and technology industry</w:t>
            </w:r>
          </w:p>
          <w:p w14:paraId="106F283B" w14:textId="77777777" w:rsidR="00BE36FB" w:rsidRPr="009B7B35" w:rsidRDefault="00BE36FB" w:rsidP="00BE36FB">
            <w:pPr>
              <w:pStyle w:val="TableText"/>
              <w:numPr>
                <w:ilvl w:val="0"/>
                <w:numId w:val="74"/>
              </w:numPr>
              <w:rPr>
                <w:rFonts w:cs="Arial"/>
              </w:rPr>
            </w:pPr>
            <w:r w:rsidRPr="009B7B35">
              <w:rPr>
                <w:rFonts w:cs="Arial"/>
              </w:rPr>
              <w:t>warehouse</w:t>
            </w:r>
          </w:p>
          <w:p w14:paraId="13670C9E" w14:textId="77777777" w:rsidR="00BE36FB" w:rsidRPr="009B7B35" w:rsidRDefault="00BE36FB" w:rsidP="00BE36FB">
            <w:pPr>
              <w:pStyle w:val="TableText"/>
              <w:numPr>
                <w:ilvl w:val="0"/>
                <w:numId w:val="74"/>
              </w:numPr>
              <w:rPr>
                <w:rFonts w:cs="Arial"/>
              </w:rPr>
            </w:pPr>
            <w:r w:rsidRPr="009B7B35">
              <w:rPr>
                <w:rFonts w:cs="Arial"/>
              </w:rPr>
              <w:t>transport depot.</w:t>
            </w:r>
          </w:p>
        </w:tc>
        <w:tc>
          <w:tcPr>
            <w:tcW w:w="3213" w:type="dxa"/>
          </w:tcPr>
          <w:p w14:paraId="735BD12D" w14:textId="77777777" w:rsidR="00BE36FB" w:rsidRPr="009B7B35" w:rsidRDefault="00BE36FB" w:rsidP="001A7107">
            <w:pPr>
              <w:pStyle w:val="TableText"/>
              <w:rPr>
                <w:rFonts w:cs="Arial"/>
              </w:rPr>
            </w:pPr>
            <w:r w:rsidRPr="009B7B35">
              <w:rPr>
                <w:rFonts w:cs="Arial"/>
              </w:rPr>
              <w:t>No change to assessment category if  complying with accepted development subject to requirements acceptable outcomes</w:t>
            </w:r>
            <w:r w:rsidRPr="009B7B35" w:rsidDel="00E03662">
              <w:rPr>
                <w:rFonts w:cs="Arial"/>
              </w:rPr>
              <w:t xml:space="preserve"> </w:t>
            </w:r>
          </w:p>
        </w:tc>
        <w:tc>
          <w:tcPr>
            <w:tcW w:w="2520" w:type="dxa"/>
          </w:tcPr>
          <w:p w14:paraId="2474AC00" w14:textId="77777777" w:rsidR="00BE36FB" w:rsidRPr="009B7B35" w:rsidRDefault="00BE36FB" w:rsidP="001A7107">
            <w:pPr>
              <w:pStyle w:val="TableText"/>
              <w:rPr>
                <w:rFonts w:cs="Arial"/>
              </w:rPr>
            </w:pPr>
            <w:r w:rsidRPr="009B7B35">
              <w:rPr>
                <w:rFonts w:cs="Arial"/>
              </w:rPr>
              <w:t>Steep land overlay code</w:t>
            </w:r>
          </w:p>
        </w:tc>
      </w:tr>
      <w:tr w:rsidR="00BE36FB" w:rsidRPr="009B7B35" w14:paraId="6B399B37" w14:textId="77777777" w:rsidTr="001A7107">
        <w:trPr>
          <w:cantSplit/>
        </w:trPr>
        <w:tc>
          <w:tcPr>
            <w:tcW w:w="3623" w:type="dxa"/>
          </w:tcPr>
          <w:p w14:paraId="6CF2B2CB" w14:textId="77777777" w:rsidR="00BE36FB" w:rsidRPr="009B7B35" w:rsidRDefault="00BE36FB" w:rsidP="001A7107">
            <w:pPr>
              <w:pStyle w:val="TableText"/>
              <w:rPr>
                <w:rFonts w:cs="Arial"/>
              </w:rPr>
            </w:pPr>
            <w:r w:rsidRPr="009B7B35">
              <w:rPr>
                <w:rFonts w:cs="Arial"/>
              </w:rPr>
              <w:t>Any other material change of use</w:t>
            </w:r>
          </w:p>
        </w:tc>
        <w:tc>
          <w:tcPr>
            <w:tcW w:w="3213" w:type="dxa"/>
          </w:tcPr>
          <w:p w14:paraId="35C20876"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6FCB744D" w14:textId="77777777" w:rsidR="00BE36FB" w:rsidRPr="009B7B35" w:rsidRDefault="00BE36FB" w:rsidP="001A7107">
            <w:pPr>
              <w:pStyle w:val="TableText"/>
              <w:rPr>
                <w:rFonts w:cs="Arial"/>
              </w:rPr>
            </w:pPr>
            <w:r w:rsidRPr="009B7B35">
              <w:rPr>
                <w:rFonts w:cs="Arial"/>
              </w:rPr>
              <w:t>Steep land overlay code</w:t>
            </w:r>
          </w:p>
        </w:tc>
      </w:tr>
      <w:tr w:rsidR="00BE36FB" w:rsidRPr="009B7B35" w14:paraId="5B89CE86" w14:textId="77777777" w:rsidTr="001A7107">
        <w:trPr>
          <w:cantSplit/>
        </w:trPr>
        <w:tc>
          <w:tcPr>
            <w:tcW w:w="3623" w:type="dxa"/>
          </w:tcPr>
          <w:p w14:paraId="1C0486E4" w14:textId="77777777" w:rsidR="00BE36FB" w:rsidRPr="009B7B35" w:rsidRDefault="00BE36FB" w:rsidP="001A7107">
            <w:pPr>
              <w:pStyle w:val="TableText"/>
              <w:rPr>
                <w:rFonts w:cs="Arial"/>
              </w:rPr>
            </w:pPr>
            <w:r w:rsidRPr="009B7B35">
              <w:rPr>
                <w:rFonts w:cs="Arial"/>
              </w:rPr>
              <w:t>Reconfiguring a lot</w:t>
            </w:r>
          </w:p>
        </w:tc>
        <w:tc>
          <w:tcPr>
            <w:tcW w:w="3213" w:type="dxa"/>
          </w:tcPr>
          <w:p w14:paraId="74B7A0AE"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439C3AD5" w14:textId="77777777" w:rsidR="00BE36FB" w:rsidRPr="009B7B35" w:rsidRDefault="00BE36FB" w:rsidP="001A7107">
            <w:pPr>
              <w:pStyle w:val="TableText"/>
              <w:rPr>
                <w:rFonts w:cs="Arial"/>
              </w:rPr>
            </w:pPr>
            <w:r w:rsidRPr="009B7B35">
              <w:rPr>
                <w:rFonts w:cs="Arial"/>
              </w:rPr>
              <w:t>Steep land overlay code</w:t>
            </w:r>
          </w:p>
        </w:tc>
      </w:tr>
      <w:tr w:rsidR="00BE36FB" w:rsidRPr="009B7B35" w14:paraId="1392F49E" w14:textId="77777777" w:rsidTr="001A7107">
        <w:trPr>
          <w:cantSplit/>
        </w:trPr>
        <w:tc>
          <w:tcPr>
            <w:tcW w:w="3623" w:type="dxa"/>
          </w:tcPr>
          <w:p w14:paraId="50C4E004" w14:textId="77777777" w:rsidR="00BE36FB" w:rsidRPr="009B7B35" w:rsidRDefault="00BE36FB" w:rsidP="001A7107">
            <w:pPr>
              <w:pStyle w:val="TableText"/>
              <w:rPr>
                <w:rFonts w:cs="Arial"/>
              </w:rPr>
            </w:pPr>
            <w:r w:rsidRPr="009B7B35">
              <w:rPr>
                <w:rFonts w:cs="Arial"/>
              </w:rPr>
              <w:t>Operational works</w:t>
            </w:r>
          </w:p>
        </w:tc>
        <w:tc>
          <w:tcPr>
            <w:tcW w:w="3213" w:type="dxa"/>
          </w:tcPr>
          <w:p w14:paraId="2BD2E487"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5495D82C" w14:textId="77777777" w:rsidR="00BE36FB" w:rsidRPr="009B7B35" w:rsidRDefault="00BE36FB" w:rsidP="001A7107">
            <w:pPr>
              <w:pStyle w:val="TableText"/>
              <w:rPr>
                <w:rFonts w:cs="Arial"/>
              </w:rPr>
            </w:pPr>
            <w:r w:rsidRPr="009B7B35">
              <w:rPr>
                <w:rFonts w:cs="Arial"/>
              </w:rPr>
              <w:t>Steep land overlay code</w:t>
            </w:r>
          </w:p>
        </w:tc>
      </w:tr>
      <w:tr w:rsidR="00BE36FB" w:rsidRPr="009B7B35" w14:paraId="45D77ACC" w14:textId="77777777" w:rsidTr="001A7107">
        <w:trPr>
          <w:cantSplit/>
        </w:trPr>
        <w:tc>
          <w:tcPr>
            <w:tcW w:w="9356" w:type="dxa"/>
            <w:gridSpan w:val="3"/>
            <w:shd w:val="clear" w:color="auto" w:fill="BFBFBF" w:themeFill="background1" w:themeFillShade="BF"/>
          </w:tcPr>
          <w:p w14:paraId="07BF02B4" w14:textId="77777777" w:rsidR="00BE36FB" w:rsidRPr="009B7B35" w:rsidRDefault="00BE36FB" w:rsidP="001A7107">
            <w:pPr>
              <w:pStyle w:val="Tableheading"/>
              <w:rPr>
                <w:rFonts w:ascii="Arial" w:hAnsi="Arial" w:cs="Arial"/>
                <w:szCs w:val="20"/>
              </w:rPr>
            </w:pPr>
            <w:r w:rsidRPr="009B7B35">
              <w:rPr>
                <w:rFonts w:ascii="Arial" w:hAnsi="Arial" w:cs="Arial"/>
                <w:szCs w:val="20"/>
              </w:rPr>
              <w:t>Water resource catchment overlay code</w:t>
            </w:r>
          </w:p>
        </w:tc>
      </w:tr>
      <w:tr w:rsidR="00BE36FB" w:rsidRPr="009B7B35" w14:paraId="41A26D37" w14:textId="77777777" w:rsidTr="001A7107">
        <w:trPr>
          <w:cantSplit/>
        </w:trPr>
        <w:tc>
          <w:tcPr>
            <w:tcW w:w="3623" w:type="dxa"/>
          </w:tcPr>
          <w:p w14:paraId="768EC1EB" w14:textId="77777777" w:rsidR="00BE36FB" w:rsidRPr="009B7B35" w:rsidRDefault="00BE36FB" w:rsidP="001A7107">
            <w:pPr>
              <w:pStyle w:val="TableText"/>
              <w:rPr>
                <w:rFonts w:cs="Arial"/>
              </w:rPr>
            </w:pPr>
            <w:r w:rsidRPr="009B7B35">
              <w:rPr>
                <w:rFonts w:cs="Arial"/>
              </w:rPr>
              <w:t>Any material change of use where the development is accepted development or accepted development subject to requirements under the table of assessment for the relevant zone for any of the following:</w:t>
            </w:r>
          </w:p>
          <w:p w14:paraId="5DB23E18" w14:textId="77777777" w:rsidR="00BE36FB" w:rsidRPr="009B7B35" w:rsidRDefault="00BE36FB" w:rsidP="00BE36FB">
            <w:pPr>
              <w:pStyle w:val="TableText"/>
              <w:numPr>
                <w:ilvl w:val="0"/>
                <w:numId w:val="88"/>
              </w:numPr>
              <w:rPr>
                <w:rFonts w:cs="Arial"/>
              </w:rPr>
            </w:pPr>
            <w:r w:rsidRPr="009B7B35">
              <w:rPr>
                <w:rFonts w:cs="Arial"/>
              </w:rPr>
              <w:t>cropping</w:t>
            </w:r>
          </w:p>
          <w:p w14:paraId="1A0503F3" w14:textId="77777777" w:rsidR="00BE36FB" w:rsidRPr="009B7B35" w:rsidRDefault="00BE36FB" w:rsidP="00BE36FB">
            <w:pPr>
              <w:pStyle w:val="TableText"/>
              <w:numPr>
                <w:ilvl w:val="0"/>
                <w:numId w:val="88"/>
              </w:numPr>
              <w:rPr>
                <w:rFonts w:cs="Arial"/>
              </w:rPr>
            </w:pPr>
            <w:r w:rsidRPr="009B7B35">
              <w:rPr>
                <w:rFonts w:cs="Arial"/>
              </w:rPr>
              <w:t>intensive horticulture.</w:t>
            </w:r>
          </w:p>
        </w:tc>
        <w:tc>
          <w:tcPr>
            <w:tcW w:w="3213" w:type="dxa"/>
          </w:tcPr>
          <w:p w14:paraId="4D7543F7" w14:textId="77777777" w:rsidR="00BE36FB" w:rsidRPr="009B7B35" w:rsidRDefault="00BE36FB" w:rsidP="001A7107">
            <w:pPr>
              <w:pStyle w:val="TableText"/>
              <w:rPr>
                <w:rFonts w:cs="Arial"/>
              </w:rPr>
            </w:pPr>
            <w:r w:rsidRPr="009B7B35">
              <w:rPr>
                <w:rFonts w:cs="Arial"/>
              </w:rPr>
              <w:t>No change to assessment category if complying with all accepted development subject to requirements acceptable outcomes</w:t>
            </w:r>
            <w:r w:rsidRPr="009B7B35" w:rsidDel="00E03662">
              <w:rPr>
                <w:rFonts w:cs="Arial"/>
              </w:rPr>
              <w:t xml:space="preserve"> </w:t>
            </w:r>
          </w:p>
        </w:tc>
        <w:tc>
          <w:tcPr>
            <w:tcW w:w="2520" w:type="dxa"/>
          </w:tcPr>
          <w:p w14:paraId="26BD2789" w14:textId="77777777" w:rsidR="00BE36FB" w:rsidRPr="009B7B35" w:rsidRDefault="00BE36FB" w:rsidP="001A7107">
            <w:pPr>
              <w:pStyle w:val="TableText"/>
              <w:rPr>
                <w:rFonts w:cs="Arial"/>
              </w:rPr>
            </w:pPr>
            <w:r w:rsidRPr="009B7B35">
              <w:rPr>
                <w:rFonts w:cs="Arial"/>
              </w:rPr>
              <w:t>Water resource catchment overlay code</w:t>
            </w:r>
          </w:p>
        </w:tc>
      </w:tr>
      <w:tr w:rsidR="00BE36FB" w:rsidRPr="009B7B35" w14:paraId="44DB5E73" w14:textId="77777777" w:rsidTr="001A7107">
        <w:trPr>
          <w:cantSplit/>
        </w:trPr>
        <w:tc>
          <w:tcPr>
            <w:tcW w:w="3623" w:type="dxa"/>
          </w:tcPr>
          <w:p w14:paraId="0F44A489" w14:textId="77777777" w:rsidR="00BE36FB" w:rsidRPr="009B7B35" w:rsidRDefault="00BE36FB" w:rsidP="001A7107">
            <w:pPr>
              <w:pStyle w:val="TableText"/>
              <w:rPr>
                <w:rFonts w:cs="Arial"/>
              </w:rPr>
            </w:pPr>
            <w:r w:rsidRPr="009B7B35">
              <w:rPr>
                <w:rFonts w:cs="Arial"/>
              </w:rPr>
              <w:t>Any other material change of use</w:t>
            </w:r>
          </w:p>
        </w:tc>
        <w:tc>
          <w:tcPr>
            <w:tcW w:w="3213" w:type="dxa"/>
          </w:tcPr>
          <w:p w14:paraId="5768CF2B"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6AE095B0" w14:textId="77777777" w:rsidR="00BE36FB" w:rsidRPr="009B7B35" w:rsidRDefault="00BE36FB" w:rsidP="001A7107">
            <w:pPr>
              <w:pStyle w:val="TableText"/>
              <w:rPr>
                <w:rFonts w:cs="Arial"/>
              </w:rPr>
            </w:pPr>
            <w:r w:rsidRPr="009B7B35">
              <w:rPr>
                <w:rFonts w:cs="Arial"/>
              </w:rPr>
              <w:t>Water resource catchment overlay code</w:t>
            </w:r>
          </w:p>
        </w:tc>
      </w:tr>
      <w:tr w:rsidR="00BE36FB" w:rsidRPr="009B7B35" w14:paraId="4218B53E" w14:textId="77777777" w:rsidTr="001A7107">
        <w:trPr>
          <w:cantSplit/>
        </w:trPr>
        <w:tc>
          <w:tcPr>
            <w:tcW w:w="3623" w:type="dxa"/>
          </w:tcPr>
          <w:p w14:paraId="2EC32FA1" w14:textId="77777777" w:rsidR="00BE36FB" w:rsidRPr="009B7B35" w:rsidRDefault="00BE36FB" w:rsidP="001A7107">
            <w:pPr>
              <w:pStyle w:val="TableText"/>
              <w:rPr>
                <w:rFonts w:cs="Arial"/>
              </w:rPr>
            </w:pPr>
            <w:r w:rsidRPr="009B7B35">
              <w:rPr>
                <w:rFonts w:cs="Arial"/>
              </w:rPr>
              <w:t>Reconfiguring a lot</w:t>
            </w:r>
          </w:p>
        </w:tc>
        <w:tc>
          <w:tcPr>
            <w:tcW w:w="3213" w:type="dxa"/>
          </w:tcPr>
          <w:p w14:paraId="110702C4"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5501D36C" w14:textId="77777777" w:rsidR="00BE36FB" w:rsidRPr="009B7B35" w:rsidRDefault="00BE36FB" w:rsidP="001A7107">
            <w:pPr>
              <w:pStyle w:val="TableText"/>
              <w:rPr>
                <w:rFonts w:cs="Arial"/>
              </w:rPr>
            </w:pPr>
            <w:r w:rsidRPr="009B7B35">
              <w:rPr>
                <w:rFonts w:cs="Arial"/>
              </w:rPr>
              <w:t>Water resource catchment overlay code</w:t>
            </w:r>
          </w:p>
        </w:tc>
      </w:tr>
      <w:tr w:rsidR="00BE36FB" w:rsidRPr="009B7B35" w14:paraId="228DBFBF" w14:textId="77777777" w:rsidTr="001A7107">
        <w:trPr>
          <w:cantSplit/>
        </w:trPr>
        <w:tc>
          <w:tcPr>
            <w:tcW w:w="3623" w:type="dxa"/>
          </w:tcPr>
          <w:p w14:paraId="48EDF1A7" w14:textId="77777777" w:rsidR="00BE36FB" w:rsidRPr="009B7B35" w:rsidRDefault="00BE36FB" w:rsidP="001A7107">
            <w:pPr>
              <w:pStyle w:val="TableText"/>
              <w:rPr>
                <w:rFonts w:cs="Arial"/>
              </w:rPr>
            </w:pPr>
            <w:r w:rsidRPr="009B7B35">
              <w:rPr>
                <w:rFonts w:cs="Arial"/>
              </w:rPr>
              <w:t>Operational work for excavation or filling</w:t>
            </w:r>
          </w:p>
        </w:tc>
        <w:tc>
          <w:tcPr>
            <w:tcW w:w="3213" w:type="dxa"/>
          </w:tcPr>
          <w:p w14:paraId="6B5C5D3F" w14:textId="77777777" w:rsidR="00BE36FB" w:rsidRPr="009B7B35" w:rsidRDefault="00BE36FB" w:rsidP="001A7107">
            <w:pPr>
              <w:pStyle w:val="TableText"/>
              <w:rPr>
                <w:rFonts w:cs="Arial"/>
              </w:rPr>
            </w:pPr>
            <w:r w:rsidRPr="009B7B35">
              <w:rPr>
                <w:rFonts w:cs="Arial"/>
              </w:rPr>
              <w:t>No change to assessment category</w:t>
            </w:r>
          </w:p>
        </w:tc>
        <w:tc>
          <w:tcPr>
            <w:tcW w:w="2520" w:type="dxa"/>
          </w:tcPr>
          <w:p w14:paraId="517221F6" w14:textId="77777777" w:rsidR="00BE36FB" w:rsidRPr="009B7B35" w:rsidRDefault="00BE36FB" w:rsidP="001A7107">
            <w:pPr>
              <w:pStyle w:val="TableText"/>
              <w:rPr>
                <w:rFonts w:cs="Arial"/>
              </w:rPr>
            </w:pPr>
            <w:r w:rsidRPr="009B7B35">
              <w:rPr>
                <w:rFonts w:cs="Arial"/>
              </w:rPr>
              <w:t>Water resource catchment overlay code</w:t>
            </w:r>
          </w:p>
        </w:tc>
      </w:tr>
    </w:tbl>
    <w:p w14:paraId="3301D303" w14:textId="77777777" w:rsidR="000D716B" w:rsidRDefault="00BE36FB" w:rsidP="001A7107">
      <w:pPr>
        <w:pStyle w:val="Notes"/>
        <w:rPr>
          <w:rFonts w:cs="Arial"/>
          <w:sz w:val="20"/>
          <w:szCs w:val="20"/>
        </w:rPr>
      </w:pPr>
      <w:r w:rsidRPr="009B7B35">
        <w:rPr>
          <w:rFonts w:cs="Arial"/>
          <w:sz w:val="20"/>
          <w:szCs w:val="20"/>
        </w:rPr>
        <w:t>Note—Some overlays may only be included for information purposes. This should not change the category of development or assessment benchmarks in the planning scheme.</w:t>
      </w:r>
    </w:p>
    <w:p w14:paraId="6808DEA6" w14:textId="77777777" w:rsidR="000D716B" w:rsidRDefault="000D716B">
      <w:pPr>
        <w:rPr>
          <w:rFonts w:ascii="Arial" w:hAnsi="Arial" w:cs="Arial"/>
          <w:sz w:val="20"/>
          <w:szCs w:val="20"/>
        </w:rPr>
      </w:pPr>
      <w:r>
        <w:rPr>
          <w:rFonts w:cs="Arial"/>
          <w:sz w:val="20"/>
          <w:szCs w:val="20"/>
        </w:rPr>
        <w:br w:type="page"/>
      </w:r>
    </w:p>
    <w:p w14:paraId="375267DD" w14:textId="77777777" w:rsidR="00BE36FB" w:rsidRPr="009B7B35" w:rsidRDefault="00BE36FB" w:rsidP="006776DA">
      <w:pPr>
        <w:pStyle w:val="Heading1"/>
        <w:numPr>
          <w:ilvl w:val="0"/>
          <w:numId w:val="883"/>
        </w:numPr>
        <w:rPr>
          <w:rFonts w:ascii="Arial" w:hAnsi="Arial"/>
          <w:sz w:val="20"/>
          <w:szCs w:val="20"/>
        </w:rPr>
      </w:pPr>
      <w:bookmarkStart w:id="180" w:name="_Toc205367343"/>
      <w:r w:rsidRPr="009B7B35">
        <w:rPr>
          <w:rFonts w:ascii="Arial" w:hAnsi="Arial"/>
          <w:sz w:val="20"/>
          <w:szCs w:val="20"/>
        </w:rPr>
        <w:t>Zones</w:t>
      </w:r>
      <w:bookmarkEnd w:id="180"/>
      <w:r w:rsidRPr="009B7B35">
        <w:rPr>
          <w:rFonts w:ascii="Arial" w:hAnsi="Arial"/>
          <w:sz w:val="20"/>
          <w:szCs w:val="20"/>
        </w:rPr>
        <w:t xml:space="preserve"> </w:t>
      </w:r>
    </w:p>
    <w:p w14:paraId="6F674FCA" w14:textId="77777777" w:rsidR="00BE36FB" w:rsidRPr="009B7B35" w:rsidRDefault="00BE36FB" w:rsidP="006776DA">
      <w:pPr>
        <w:pStyle w:val="Heading2"/>
        <w:numPr>
          <w:ilvl w:val="1"/>
          <w:numId w:val="883"/>
        </w:numPr>
        <w:rPr>
          <w:rFonts w:ascii="Arial" w:hAnsi="Arial"/>
          <w:sz w:val="20"/>
          <w:szCs w:val="20"/>
        </w:rPr>
      </w:pPr>
      <w:bookmarkStart w:id="181" w:name="_Toc205367344"/>
      <w:r w:rsidRPr="009B7B35">
        <w:rPr>
          <w:rFonts w:ascii="Arial" w:hAnsi="Arial"/>
          <w:sz w:val="20"/>
          <w:szCs w:val="20"/>
        </w:rPr>
        <w:t>Preliminary</w:t>
      </w:r>
      <w:bookmarkEnd w:id="181"/>
    </w:p>
    <w:p w14:paraId="696CF5A9" w14:textId="77777777"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Zones organise the planning scheme area in a way that facilitates the location of preferred or acceptable land uses.</w:t>
      </w:r>
    </w:p>
    <w:p w14:paraId="14194936" w14:textId="77777777"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Zones are mapped and included in Schedule 2.</w:t>
      </w:r>
    </w:p>
    <w:p w14:paraId="291A56EA" w14:textId="77777777"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The categories of development and assessment for development in a zone are in Part 5.</w:t>
      </w:r>
    </w:p>
    <w:p w14:paraId="72850E9F" w14:textId="77777777"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Assessment benchmarks for zones are contained in a zone code.</w:t>
      </w:r>
    </w:p>
    <w:p w14:paraId="758ECBC4" w14:textId="77777777"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A precinct may be identified for part of a zone.</w:t>
      </w:r>
    </w:p>
    <w:p w14:paraId="022C0E86" w14:textId="77777777"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Precinct provisions are contained in the zone code.</w:t>
      </w:r>
    </w:p>
    <w:p w14:paraId="6F35E8F1" w14:textId="77777777"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Each zone code identifies the following:</w:t>
      </w:r>
    </w:p>
    <w:p w14:paraId="02366396"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the purpose of the code</w:t>
      </w:r>
    </w:p>
    <w:p w14:paraId="7B97299C"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the overall outcomes that achieve the purpose of the code</w:t>
      </w:r>
    </w:p>
    <w:p w14:paraId="712447BF"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the performance outcomes that achieve the overall outcomes and the purpose of the code</w:t>
      </w:r>
    </w:p>
    <w:p w14:paraId="17E167E5"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the acceptable outcomes that achieve the performance and overall outcomes and the purpose of the code</w:t>
      </w:r>
    </w:p>
    <w:p w14:paraId="3D5B7942"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the performance and acceptable outcomes for the precinct.</w:t>
      </w:r>
    </w:p>
    <w:p w14:paraId="7947B43C" w14:textId="77777777" w:rsidR="00BE36FB" w:rsidRPr="009B7B35" w:rsidRDefault="00BE36FB" w:rsidP="00BE36FB">
      <w:pPr>
        <w:numPr>
          <w:ilvl w:val="0"/>
          <w:numId w:val="111"/>
        </w:numPr>
        <w:rPr>
          <w:rFonts w:ascii="Arial" w:hAnsi="Arial" w:cs="Arial"/>
          <w:sz w:val="20"/>
          <w:szCs w:val="20"/>
        </w:rPr>
      </w:pPr>
      <w:r w:rsidRPr="009B7B35">
        <w:rPr>
          <w:rFonts w:ascii="Arial" w:hAnsi="Arial" w:cs="Arial"/>
          <w:sz w:val="20"/>
          <w:szCs w:val="20"/>
        </w:rPr>
        <w:t>The following are the zone codes for the planning scheme:</w:t>
      </w:r>
    </w:p>
    <w:p w14:paraId="4EDA6B24"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Low density residential</w:t>
      </w:r>
    </w:p>
    <w:p w14:paraId="2C4D1BF8"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Low-medium density residential</w:t>
      </w:r>
    </w:p>
    <w:p w14:paraId="2536D568"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Medium density residential</w:t>
      </w:r>
    </w:p>
    <w:p w14:paraId="43A5C83A"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Character residential</w:t>
      </w:r>
    </w:p>
    <w:p w14:paraId="49FF43EB"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Centre</w:t>
      </w:r>
    </w:p>
    <w:p w14:paraId="60DD68F5"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Principal centre</w:t>
      </w:r>
    </w:p>
    <w:p w14:paraId="29106FFF"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Neighbourhood centre</w:t>
      </w:r>
    </w:p>
    <w:p w14:paraId="76A5602D"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Sport and recreation</w:t>
      </w:r>
    </w:p>
    <w:p w14:paraId="416796AF"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Open space</w:t>
      </w:r>
    </w:p>
    <w:p w14:paraId="3E0C86A0"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Environmental management</w:t>
      </w:r>
    </w:p>
    <w:p w14:paraId="019573CF"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Conservation</w:t>
      </w:r>
    </w:p>
    <w:p w14:paraId="5D886AD8"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Low impact industry</w:t>
      </w:r>
    </w:p>
    <w:p w14:paraId="5577C579"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Medium impact industry</w:t>
      </w:r>
    </w:p>
    <w:p w14:paraId="6EDF9290"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Special industry</w:t>
      </w:r>
    </w:p>
    <w:p w14:paraId="120695D4"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Industry investigation</w:t>
      </w:r>
    </w:p>
    <w:p w14:paraId="21AE8EB4"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Major tourism</w:t>
      </w:r>
    </w:p>
    <w:p w14:paraId="40A55B12"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Minor tourism</w:t>
      </w:r>
    </w:p>
    <w:p w14:paraId="22A3868D"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Community facilities</w:t>
      </w:r>
    </w:p>
    <w:p w14:paraId="766D8DDC"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Emerging community</w:t>
      </w:r>
    </w:p>
    <w:p w14:paraId="63E82B6E"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Limited development</w:t>
      </w:r>
    </w:p>
    <w:p w14:paraId="5CD6F433"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Mixed use</w:t>
      </w:r>
    </w:p>
    <w:p w14:paraId="3D632F2E"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Rural zone</w:t>
      </w:r>
    </w:p>
    <w:p w14:paraId="2115CBB5"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Rural residential</w:t>
      </w:r>
    </w:p>
    <w:p w14:paraId="5C34A9FB"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Special purpose</w:t>
      </w:r>
    </w:p>
    <w:p w14:paraId="6B69EA1B"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Specialised centre</w:t>
      </w:r>
    </w:p>
    <w:p w14:paraId="59470B89" w14:textId="77777777" w:rsidR="00BE36FB" w:rsidRPr="009B7B35" w:rsidRDefault="00BE36FB" w:rsidP="00BE36FB">
      <w:pPr>
        <w:numPr>
          <w:ilvl w:val="1"/>
          <w:numId w:val="111"/>
        </w:numPr>
        <w:rPr>
          <w:rFonts w:ascii="Arial" w:hAnsi="Arial" w:cs="Arial"/>
          <w:sz w:val="20"/>
          <w:szCs w:val="20"/>
        </w:rPr>
      </w:pPr>
      <w:r w:rsidRPr="009B7B35">
        <w:rPr>
          <w:rFonts w:ascii="Arial" w:hAnsi="Arial" w:cs="Arial"/>
          <w:sz w:val="20"/>
          <w:szCs w:val="20"/>
        </w:rPr>
        <w:t>Township</w:t>
      </w:r>
    </w:p>
    <w:p w14:paraId="15927F2F" w14:textId="77777777" w:rsidR="00BE36FB" w:rsidRPr="009B7B35" w:rsidRDefault="00BE36FB" w:rsidP="001A7107">
      <w:pPr>
        <w:pStyle w:val="NormalIndent"/>
        <w:rPr>
          <w:rFonts w:cs="Arial"/>
          <w:szCs w:val="20"/>
        </w:rPr>
      </w:pPr>
    </w:p>
    <w:p w14:paraId="3025DD94" w14:textId="77777777" w:rsidR="00BE36FB" w:rsidRPr="009B7B35" w:rsidRDefault="00BE36FB">
      <w:pPr>
        <w:rPr>
          <w:rFonts w:ascii="Arial" w:hAnsi="Arial" w:cs="Arial"/>
          <w:sz w:val="20"/>
          <w:szCs w:val="20"/>
        </w:rPr>
      </w:pPr>
      <w:r w:rsidRPr="009B7B35">
        <w:rPr>
          <w:rFonts w:ascii="Arial" w:hAnsi="Arial" w:cs="Arial"/>
          <w:sz w:val="20"/>
          <w:szCs w:val="20"/>
        </w:rPr>
        <w:br w:type="page"/>
      </w:r>
    </w:p>
    <w:p w14:paraId="37B256C0" w14:textId="77777777" w:rsidR="00BE36FB" w:rsidRPr="009B7B35" w:rsidRDefault="00BE36FB" w:rsidP="006776DA">
      <w:pPr>
        <w:pStyle w:val="Heading2"/>
        <w:numPr>
          <w:ilvl w:val="1"/>
          <w:numId w:val="883"/>
        </w:numPr>
        <w:rPr>
          <w:rFonts w:ascii="Arial" w:hAnsi="Arial"/>
          <w:sz w:val="20"/>
          <w:szCs w:val="20"/>
        </w:rPr>
      </w:pPr>
      <w:bookmarkStart w:id="182" w:name="_Toc205367345"/>
      <w:r w:rsidRPr="009B7B35">
        <w:rPr>
          <w:rFonts w:ascii="Arial" w:hAnsi="Arial"/>
          <w:sz w:val="20"/>
          <w:szCs w:val="20"/>
        </w:rPr>
        <w:t>Zone codes</w:t>
      </w:r>
      <w:bookmarkEnd w:id="182"/>
    </w:p>
    <w:p w14:paraId="4FB6D160" w14:textId="77777777" w:rsidR="00BE36FB" w:rsidRPr="009B7B35" w:rsidRDefault="00BE36FB" w:rsidP="006776DA">
      <w:pPr>
        <w:pStyle w:val="Heading3"/>
        <w:keepLines/>
        <w:numPr>
          <w:ilvl w:val="2"/>
          <w:numId w:val="883"/>
        </w:numPr>
        <w:spacing w:before="240"/>
        <w:rPr>
          <w:rFonts w:ascii="Arial" w:hAnsi="Arial"/>
          <w:sz w:val="20"/>
          <w:szCs w:val="20"/>
        </w:rPr>
      </w:pPr>
      <w:bookmarkStart w:id="183" w:name="_Toc205367346"/>
      <w:r w:rsidRPr="009B7B35">
        <w:rPr>
          <w:rFonts w:ascii="Arial" w:hAnsi="Arial"/>
          <w:sz w:val="20"/>
          <w:szCs w:val="20"/>
        </w:rPr>
        <w:t>Low density residential</w:t>
      </w:r>
      <w:bookmarkEnd w:id="183"/>
    </w:p>
    <w:p w14:paraId="338B309C"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7DD49740"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5FBB767F"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35BDD6E8" w14:textId="77777777" w:rsidR="00BE36FB" w:rsidRPr="009B7B35" w:rsidRDefault="00BE36FB" w:rsidP="00BE36FB">
      <w:pPr>
        <w:pStyle w:val="ListParagraph"/>
        <w:numPr>
          <w:ilvl w:val="0"/>
          <w:numId w:val="559"/>
        </w:numPr>
        <w:rPr>
          <w:rFonts w:cs="Arial"/>
          <w:szCs w:val="20"/>
        </w:rPr>
      </w:pPr>
      <w:r w:rsidRPr="009B7B35">
        <w:rPr>
          <w:rFonts w:cs="Arial"/>
          <w:szCs w:val="20"/>
        </w:rPr>
        <w:t>The purpose of the low density residential zone is to provide for predominantly detached dwelling houses within existing suburban areas supported by some community uses and small–scale services and facilities that cater for local residents. Development is low rise, consistent with the low density character of the region’s existing suburban areas.</w:t>
      </w:r>
    </w:p>
    <w:p w14:paraId="4EEA43EB" w14:textId="77777777" w:rsidR="00BE36FB" w:rsidRPr="009B7B35" w:rsidRDefault="00BE36FB" w:rsidP="00BE36FB">
      <w:pPr>
        <w:pStyle w:val="ListParagraph"/>
        <w:numPr>
          <w:ilvl w:val="0"/>
          <w:numId w:val="559"/>
        </w:numPr>
        <w:rPr>
          <w:rFonts w:cs="Arial"/>
          <w:szCs w:val="20"/>
        </w:rPr>
      </w:pPr>
      <w:r w:rsidRPr="009B7B35">
        <w:rPr>
          <w:rFonts w:cs="Arial"/>
          <w:szCs w:val="20"/>
        </w:rPr>
        <w:t>The purpose of the zone will be achieved through the following overall outcomes:</w:t>
      </w:r>
    </w:p>
    <w:p w14:paraId="0C3C6CB6" w14:textId="77777777"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A range of housing, predominantly detached dwelling houses and some dual occupancy, on appropriate lot sizes.</w:t>
      </w:r>
    </w:p>
    <w:p w14:paraId="05232989" w14:textId="77777777"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Buildings are of a scale, height and size that reflect a low density suburban character and create an attractive streetscape.</w:t>
      </w:r>
    </w:p>
    <w:p w14:paraId="30FD0EB7" w14:textId="77777777"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Development maintains a high level of residential amenity having regard to traffic, noise, dust, odour, lighting and other locally specific impacts.</w:t>
      </w:r>
    </w:p>
    <w:p w14:paraId="772A40D1" w14:textId="77777777"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Development is supported by transport infrastructure that is designed to provide and promote safe and efficient public transport use, walking and cycling.</w:t>
      </w:r>
    </w:p>
    <w:p w14:paraId="2B0596ED" w14:textId="77777777"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Development responds to land constraints, including but not limited to bushfire, flooding and minimising changes to natural topography.</w:t>
      </w:r>
    </w:p>
    <w:p w14:paraId="107BC576" w14:textId="77777777"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Development is supported by necessary community facilities, open space and recreational areas and appropriate infrastructure to support the needs of the local community.</w:t>
      </w:r>
    </w:p>
    <w:p w14:paraId="7752FEA7" w14:textId="77777777"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Small scale non–residential uses may only be supported where such uses directly support the day to day needs of the immediate residential community, complement local residential amenity and do not undermine the viability of nearby centres.</w:t>
      </w:r>
    </w:p>
    <w:p w14:paraId="4600551D" w14:textId="77777777"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Residential development is protected from the impacts of any nearby industrial activities, transport corridors, infrastructure, installations and major facilities.</w:t>
      </w:r>
    </w:p>
    <w:p w14:paraId="15CE0A89" w14:textId="77777777" w:rsidR="00BE36FB" w:rsidRPr="009B7B35" w:rsidRDefault="00BE36FB" w:rsidP="00BE36FB">
      <w:pPr>
        <w:numPr>
          <w:ilvl w:val="1"/>
          <w:numId w:val="409"/>
        </w:numPr>
        <w:ind w:left="1134" w:hanging="425"/>
        <w:rPr>
          <w:rFonts w:ascii="Arial" w:hAnsi="Arial" w:cs="Arial"/>
          <w:sz w:val="20"/>
          <w:szCs w:val="20"/>
        </w:rPr>
      </w:pPr>
      <w:r w:rsidRPr="009B7B35">
        <w:rPr>
          <w:rFonts w:ascii="Arial" w:hAnsi="Arial" w:cs="Arial"/>
          <w:sz w:val="20"/>
          <w:szCs w:val="20"/>
        </w:rPr>
        <w:t>Natural features such as creeks, gullies, waterways, wetlands, vegetation and bushland are retained, enhanced and buffered from the impacts of development. Any unavoidable impacts are minimised through location, design, operation and management requirements.</w:t>
      </w:r>
    </w:p>
    <w:p w14:paraId="1C76EACF" w14:textId="77777777" w:rsidR="00BE36FB" w:rsidRPr="009B7B35" w:rsidRDefault="00BE36FB" w:rsidP="00BE36FB">
      <w:pPr>
        <w:pStyle w:val="ListParagraph"/>
        <w:numPr>
          <w:ilvl w:val="0"/>
          <w:numId w:val="559"/>
        </w:numPr>
        <w:rPr>
          <w:rFonts w:cs="Arial"/>
          <w:szCs w:val="20"/>
        </w:rPr>
      </w:pPr>
      <w:r w:rsidRPr="009B7B35">
        <w:rPr>
          <w:rFonts w:cs="Arial"/>
          <w:szCs w:val="20"/>
        </w:rPr>
        <w:t>The purpose of the zone will also be achieved through the following additional overall outcome for the following precinct:</w:t>
      </w:r>
    </w:p>
    <w:p w14:paraId="191AD427" w14:textId="77777777" w:rsidR="00BE36FB" w:rsidRPr="009B7B35" w:rsidRDefault="00BE36FB" w:rsidP="00BE36FB">
      <w:pPr>
        <w:pStyle w:val="ListParagraph"/>
        <w:numPr>
          <w:ilvl w:val="0"/>
          <w:numId w:val="560"/>
        </w:numPr>
        <w:tabs>
          <w:tab w:val="left" w:pos="1134"/>
        </w:tabs>
        <w:ind w:hanging="11"/>
        <w:rPr>
          <w:rFonts w:cs="Arial"/>
          <w:szCs w:val="20"/>
        </w:rPr>
      </w:pPr>
      <w:r w:rsidRPr="009B7B35">
        <w:rPr>
          <w:rFonts w:cs="Arial"/>
          <w:szCs w:val="20"/>
        </w:rPr>
        <w:t>Calliope neighbourhood precinct:</w:t>
      </w:r>
    </w:p>
    <w:p w14:paraId="3549A48D" w14:textId="77777777" w:rsidR="00BE36FB" w:rsidRPr="009B7B35" w:rsidRDefault="00BE36FB" w:rsidP="00BE36FB">
      <w:pPr>
        <w:numPr>
          <w:ilvl w:val="2"/>
          <w:numId w:val="409"/>
        </w:numPr>
        <w:ind w:left="1418"/>
        <w:rPr>
          <w:rFonts w:ascii="Arial" w:hAnsi="Arial" w:cs="Arial"/>
          <w:sz w:val="20"/>
          <w:szCs w:val="20"/>
        </w:rPr>
      </w:pPr>
      <w:r w:rsidRPr="009B7B35">
        <w:rPr>
          <w:rFonts w:ascii="Arial" w:hAnsi="Arial" w:cs="Arial"/>
          <w:sz w:val="20"/>
          <w:szCs w:val="20"/>
        </w:rPr>
        <w:t>Lot sizes are consistent with the semi-rural setting and are larger than lot sizes elsewhere in the Low density residential zone in other urban areas.</w:t>
      </w:r>
    </w:p>
    <w:p w14:paraId="653A7A88"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0F7B8DEC" w14:textId="77777777" w:rsidR="00BE36FB" w:rsidRPr="009B7B35" w:rsidRDefault="00BE36FB" w:rsidP="00B2383D">
      <w:pPr>
        <w:pStyle w:val="Heading5"/>
        <w:numPr>
          <w:ilvl w:val="0"/>
          <w:numId w:val="0"/>
        </w:numPr>
        <w:rPr>
          <w:rFonts w:cs="Arial"/>
          <w:szCs w:val="20"/>
        </w:rPr>
      </w:pPr>
      <w:r w:rsidRPr="009B7B35">
        <w:rPr>
          <w:rFonts w:cs="Arial"/>
          <w:szCs w:val="20"/>
        </w:rPr>
        <w:t>Table 6.2.1.3.1—Accepted development subject to requirements and assessable development</w:t>
      </w:r>
    </w:p>
    <w:tbl>
      <w:tblPr>
        <w:tblStyle w:val="Tablestyle"/>
        <w:tblW w:w="0" w:type="auto"/>
        <w:tblLook w:val="0620" w:firstRow="1" w:lastRow="0" w:firstColumn="0" w:lastColumn="0" w:noHBand="1" w:noVBand="1"/>
      </w:tblPr>
      <w:tblGrid>
        <w:gridCol w:w="4226"/>
        <w:gridCol w:w="4137"/>
      </w:tblGrid>
      <w:tr w:rsidR="00BE36FB" w:rsidRPr="009B7B35" w14:paraId="268C07A8"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12005A66"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3298AF5B"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79E2567C" w14:textId="77777777" w:rsidTr="001A7107">
        <w:trPr>
          <w:cantSplit/>
        </w:trPr>
        <w:tc>
          <w:tcPr>
            <w:tcW w:w="9356" w:type="dxa"/>
            <w:gridSpan w:val="2"/>
            <w:shd w:val="clear" w:color="auto" w:fill="BFBFBF" w:themeFill="background1" w:themeFillShade="BF"/>
          </w:tcPr>
          <w:p w14:paraId="650E8A73"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2C07F515" w14:textId="77777777" w:rsidTr="001A7107">
        <w:tc>
          <w:tcPr>
            <w:tcW w:w="4678" w:type="dxa"/>
            <w:vMerge w:val="restart"/>
          </w:tcPr>
          <w:p w14:paraId="7B1CC4C9" w14:textId="77777777" w:rsidR="00BE36FB" w:rsidRPr="009B7B35" w:rsidRDefault="00BE36FB" w:rsidP="001A7107">
            <w:pPr>
              <w:pStyle w:val="TableText"/>
              <w:rPr>
                <w:rFonts w:cs="Arial"/>
                <w:b/>
                <w:bCs/>
              </w:rPr>
            </w:pPr>
            <w:r w:rsidRPr="009B7B35">
              <w:rPr>
                <w:rFonts w:cs="Arial"/>
                <w:b/>
                <w:bCs/>
              </w:rPr>
              <w:t>PO1</w:t>
            </w:r>
          </w:p>
          <w:p w14:paraId="19B64909" w14:textId="77777777" w:rsidR="00BE36FB" w:rsidRPr="009B7B35" w:rsidRDefault="00BE36FB" w:rsidP="001A7107">
            <w:pPr>
              <w:pStyle w:val="TableText"/>
              <w:rPr>
                <w:rFonts w:cs="Arial"/>
              </w:rPr>
            </w:pPr>
            <w:r w:rsidRPr="009B7B35">
              <w:rPr>
                <w:rFonts w:cs="Arial"/>
              </w:rPr>
              <w:t>Development:</w:t>
            </w:r>
          </w:p>
          <w:p w14:paraId="011C950C" w14:textId="77777777" w:rsidR="00BE36FB" w:rsidRPr="009B7B35" w:rsidRDefault="00BE36FB" w:rsidP="00BE36FB">
            <w:pPr>
              <w:pStyle w:val="TableText"/>
              <w:numPr>
                <w:ilvl w:val="0"/>
                <w:numId w:val="403"/>
              </w:numPr>
              <w:rPr>
                <w:rFonts w:cs="Arial"/>
              </w:rPr>
            </w:pPr>
            <w:r w:rsidRPr="009B7B35">
              <w:rPr>
                <w:rFonts w:cs="Arial"/>
              </w:rPr>
              <w:t>is ancillary to the primary use, and</w:t>
            </w:r>
          </w:p>
          <w:p w14:paraId="408E985E" w14:textId="77777777" w:rsidR="00BE36FB" w:rsidRPr="009B7B35" w:rsidRDefault="00BE36FB" w:rsidP="00BE36FB">
            <w:pPr>
              <w:pStyle w:val="TableText"/>
              <w:numPr>
                <w:ilvl w:val="0"/>
                <w:numId w:val="403"/>
              </w:numPr>
              <w:rPr>
                <w:rFonts w:cs="Arial"/>
              </w:rPr>
            </w:pPr>
            <w:r w:rsidRPr="009B7B35">
              <w:rPr>
                <w:rFonts w:cs="Arial"/>
              </w:rPr>
              <w:t>provides adequate open space for the caretaker.</w:t>
            </w:r>
          </w:p>
        </w:tc>
        <w:tc>
          <w:tcPr>
            <w:tcW w:w="4678" w:type="dxa"/>
          </w:tcPr>
          <w:p w14:paraId="39783208" w14:textId="77777777" w:rsidR="00BE36FB" w:rsidRPr="009B7B35" w:rsidRDefault="00BE36FB" w:rsidP="001A7107">
            <w:pPr>
              <w:pStyle w:val="TableText"/>
              <w:rPr>
                <w:rFonts w:cs="Arial"/>
                <w:b/>
                <w:bCs/>
              </w:rPr>
            </w:pPr>
            <w:r w:rsidRPr="009B7B35">
              <w:rPr>
                <w:rFonts w:cs="Arial"/>
                <w:b/>
                <w:bCs/>
              </w:rPr>
              <w:t>AO1.1</w:t>
            </w:r>
          </w:p>
          <w:p w14:paraId="532420B7" w14:textId="77777777" w:rsidR="00BE36FB" w:rsidRPr="009B7B35" w:rsidRDefault="00BE36FB" w:rsidP="001A7107">
            <w:pPr>
              <w:pStyle w:val="TableText"/>
              <w:rPr>
                <w:rFonts w:cs="Arial"/>
              </w:rPr>
            </w:pPr>
            <w:r w:rsidRPr="009B7B35">
              <w:rPr>
                <w:rFonts w:cs="Arial"/>
              </w:rPr>
              <w:t>No more than 1 caretaker’s accommodation unit is established on the site.</w:t>
            </w:r>
          </w:p>
        </w:tc>
      </w:tr>
      <w:tr w:rsidR="00BE36FB" w:rsidRPr="009B7B35" w14:paraId="7D781155" w14:textId="77777777" w:rsidTr="001A7107">
        <w:tc>
          <w:tcPr>
            <w:tcW w:w="4678" w:type="dxa"/>
            <w:vMerge/>
          </w:tcPr>
          <w:p w14:paraId="4851EFFC" w14:textId="77777777" w:rsidR="00BE36FB" w:rsidRPr="009B7B35" w:rsidRDefault="00BE36FB" w:rsidP="001A7107">
            <w:pPr>
              <w:pStyle w:val="TableText"/>
              <w:rPr>
                <w:rFonts w:cs="Arial"/>
              </w:rPr>
            </w:pPr>
          </w:p>
        </w:tc>
        <w:tc>
          <w:tcPr>
            <w:tcW w:w="4678" w:type="dxa"/>
          </w:tcPr>
          <w:p w14:paraId="0A7069B9" w14:textId="77777777" w:rsidR="00BE36FB" w:rsidRPr="009B7B35" w:rsidRDefault="00BE36FB" w:rsidP="001A7107">
            <w:pPr>
              <w:pStyle w:val="TableText"/>
              <w:rPr>
                <w:rFonts w:cs="Arial"/>
                <w:b/>
                <w:bCs/>
              </w:rPr>
            </w:pPr>
            <w:r w:rsidRPr="009B7B35">
              <w:rPr>
                <w:rFonts w:cs="Arial"/>
                <w:b/>
                <w:bCs/>
              </w:rPr>
              <w:t>AO1.2</w:t>
            </w:r>
          </w:p>
          <w:p w14:paraId="15948326" w14:textId="77777777" w:rsidR="00BE36FB" w:rsidRPr="009B7B35" w:rsidRDefault="00BE36FB" w:rsidP="001A7107">
            <w:pPr>
              <w:pStyle w:val="TableText"/>
              <w:rPr>
                <w:rFonts w:cs="Arial"/>
              </w:rPr>
            </w:pPr>
            <w:r w:rsidRPr="009B7B35">
              <w:rPr>
                <w:rFonts w:cs="Arial"/>
              </w:rPr>
              <w:t>The caretaker’s accommodation unit is a maximum of 100m</w:t>
            </w:r>
            <w:r w:rsidRPr="009B7B35">
              <w:rPr>
                <w:rFonts w:cs="Arial"/>
                <w:vertAlign w:val="superscript"/>
              </w:rPr>
              <w:t xml:space="preserve">2 </w:t>
            </w:r>
            <w:r w:rsidRPr="009B7B35">
              <w:rPr>
                <w:rFonts w:cs="Arial"/>
              </w:rPr>
              <w:t>GFA.</w:t>
            </w:r>
          </w:p>
        </w:tc>
      </w:tr>
      <w:tr w:rsidR="00BE36FB" w:rsidRPr="009B7B35" w14:paraId="39C5EA8F" w14:textId="77777777" w:rsidTr="001A7107">
        <w:tc>
          <w:tcPr>
            <w:tcW w:w="4678" w:type="dxa"/>
            <w:vMerge/>
          </w:tcPr>
          <w:p w14:paraId="023DE37E" w14:textId="77777777" w:rsidR="00BE36FB" w:rsidRPr="009B7B35" w:rsidRDefault="00BE36FB" w:rsidP="001A7107">
            <w:pPr>
              <w:pStyle w:val="TableText"/>
              <w:rPr>
                <w:rFonts w:cs="Arial"/>
              </w:rPr>
            </w:pPr>
          </w:p>
        </w:tc>
        <w:tc>
          <w:tcPr>
            <w:tcW w:w="4678" w:type="dxa"/>
          </w:tcPr>
          <w:p w14:paraId="1B4D04C2" w14:textId="77777777" w:rsidR="00BE36FB" w:rsidRPr="009B7B35" w:rsidRDefault="00BE36FB" w:rsidP="001A7107">
            <w:pPr>
              <w:pStyle w:val="TableText"/>
              <w:rPr>
                <w:rFonts w:cs="Arial"/>
                <w:b/>
                <w:bCs/>
              </w:rPr>
            </w:pPr>
            <w:r w:rsidRPr="009B7B35">
              <w:rPr>
                <w:rFonts w:cs="Arial"/>
                <w:b/>
                <w:bCs/>
              </w:rPr>
              <w:t>AO1.3</w:t>
            </w:r>
          </w:p>
          <w:p w14:paraId="74BC51DB" w14:textId="77777777" w:rsidR="00BE36FB" w:rsidRPr="009B7B35" w:rsidRDefault="00BE36FB" w:rsidP="001A7107">
            <w:pPr>
              <w:pStyle w:val="TableText"/>
              <w:rPr>
                <w:rFonts w:cs="Arial"/>
              </w:rPr>
            </w:pPr>
            <w:r w:rsidRPr="009B7B35">
              <w:rPr>
                <w:rFonts w:cs="Arial"/>
              </w:rPr>
              <w:t>Private open space area is provided which:</w:t>
            </w:r>
          </w:p>
          <w:p w14:paraId="779D250F" w14:textId="77777777" w:rsidR="00BE36FB" w:rsidRPr="009B7B35" w:rsidRDefault="00BE36FB" w:rsidP="00BE36FB">
            <w:pPr>
              <w:pStyle w:val="TableText"/>
              <w:numPr>
                <w:ilvl w:val="0"/>
                <w:numId w:val="431"/>
              </w:numPr>
              <w:rPr>
                <w:rFonts w:cs="Arial"/>
              </w:rPr>
            </w:pPr>
            <w:r w:rsidRPr="009B7B35">
              <w:rPr>
                <w:rFonts w:cs="Arial"/>
              </w:rPr>
              <w:t>is directly accessible from a habitable room, and</w:t>
            </w:r>
          </w:p>
          <w:p w14:paraId="62A39CDE" w14:textId="77777777" w:rsidR="00BE36FB" w:rsidRPr="009B7B35" w:rsidRDefault="00BE36FB" w:rsidP="00BE36FB">
            <w:pPr>
              <w:pStyle w:val="TableText"/>
              <w:numPr>
                <w:ilvl w:val="0"/>
                <w:numId w:val="431"/>
              </w:numPr>
              <w:rPr>
                <w:rFonts w:cs="Arial"/>
                <w:iCs/>
              </w:rPr>
            </w:pPr>
            <w:r w:rsidRPr="009B7B35">
              <w:rPr>
                <w:rFonts w:cs="Arial"/>
              </w:rPr>
              <w:t>where a balcony, a verandah or a deck, has a minimum area of 15m</w:t>
            </w:r>
            <w:r w:rsidRPr="009B7B35">
              <w:rPr>
                <w:rStyle w:val="StyleSuperscript"/>
                <w:rFonts w:cs="Arial"/>
              </w:rPr>
              <w:t>2</w:t>
            </w:r>
            <w:r w:rsidRPr="009B7B35">
              <w:rPr>
                <w:rFonts w:cs="Arial"/>
              </w:rPr>
              <w:t xml:space="preserve"> with a minimum horizontal dimension of 1.25m.</w:t>
            </w:r>
          </w:p>
        </w:tc>
      </w:tr>
      <w:tr w:rsidR="00BE36FB" w:rsidRPr="009B7B35" w14:paraId="1A9ADB3A" w14:textId="77777777" w:rsidTr="001A7107">
        <w:trPr>
          <w:cantSplit/>
        </w:trPr>
        <w:tc>
          <w:tcPr>
            <w:tcW w:w="9356" w:type="dxa"/>
            <w:gridSpan w:val="2"/>
            <w:shd w:val="clear" w:color="auto" w:fill="BFBFBF" w:themeFill="background1" w:themeFillShade="BF"/>
          </w:tcPr>
          <w:p w14:paraId="78C437BA" w14:textId="77777777"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14:paraId="68FC4F44" w14:textId="77777777" w:rsidTr="001A7107">
        <w:trPr>
          <w:cantSplit/>
        </w:trPr>
        <w:tc>
          <w:tcPr>
            <w:tcW w:w="4678" w:type="dxa"/>
            <w:vMerge w:val="restart"/>
          </w:tcPr>
          <w:p w14:paraId="41D8EEE7" w14:textId="77777777" w:rsidR="00BE36FB" w:rsidRPr="009B7B35" w:rsidRDefault="00BE36FB" w:rsidP="001A7107">
            <w:pPr>
              <w:pStyle w:val="TableText"/>
              <w:rPr>
                <w:rFonts w:cs="Arial"/>
                <w:b/>
                <w:bCs/>
              </w:rPr>
            </w:pPr>
            <w:r w:rsidRPr="009B7B35">
              <w:rPr>
                <w:rFonts w:cs="Arial"/>
                <w:b/>
                <w:bCs/>
              </w:rPr>
              <w:t>PO2</w:t>
            </w:r>
          </w:p>
          <w:p w14:paraId="3A51DB8D" w14:textId="77777777"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14:paraId="71607C92" w14:textId="77777777" w:rsidR="00BE36FB" w:rsidRPr="009B7B35" w:rsidRDefault="00BE36FB" w:rsidP="001A7107">
            <w:pPr>
              <w:pStyle w:val="TableText"/>
              <w:rPr>
                <w:rFonts w:cs="Arial"/>
                <w:b/>
                <w:bCs/>
              </w:rPr>
            </w:pPr>
            <w:r w:rsidRPr="009B7B35">
              <w:rPr>
                <w:rFonts w:cs="Arial"/>
                <w:b/>
                <w:bCs/>
              </w:rPr>
              <w:t>AO2.1</w:t>
            </w:r>
          </w:p>
          <w:p w14:paraId="1D97F0C4" w14:textId="77777777" w:rsidR="00BE36FB" w:rsidRPr="009B7B35" w:rsidRDefault="00BE36FB" w:rsidP="001A7107">
            <w:pPr>
              <w:pStyle w:val="TableText"/>
              <w:rPr>
                <w:rFonts w:cs="Arial"/>
              </w:rPr>
            </w:pPr>
            <w:r w:rsidRPr="009B7B35">
              <w:rPr>
                <w:rFonts w:cs="Arial"/>
              </w:rPr>
              <w:t>Development of the sales office is in place for no more than two years.</w:t>
            </w:r>
          </w:p>
        </w:tc>
      </w:tr>
      <w:tr w:rsidR="00BE36FB" w:rsidRPr="009B7B35" w14:paraId="2B6816BF" w14:textId="77777777" w:rsidTr="001A7107">
        <w:trPr>
          <w:cantSplit/>
        </w:trPr>
        <w:tc>
          <w:tcPr>
            <w:tcW w:w="4678" w:type="dxa"/>
            <w:vMerge/>
          </w:tcPr>
          <w:p w14:paraId="3279C928" w14:textId="77777777" w:rsidR="00BE36FB" w:rsidRPr="009B7B35" w:rsidRDefault="00BE36FB" w:rsidP="001A7107">
            <w:pPr>
              <w:pStyle w:val="TableText"/>
              <w:rPr>
                <w:rFonts w:cs="Arial"/>
              </w:rPr>
            </w:pPr>
          </w:p>
        </w:tc>
        <w:tc>
          <w:tcPr>
            <w:tcW w:w="4678" w:type="dxa"/>
          </w:tcPr>
          <w:p w14:paraId="0526DB20" w14:textId="77777777" w:rsidR="00BE36FB" w:rsidRPr="009B7B35" w:rsidRDefault="00BE36FB" w:rsidP="001A7107">
            <w:pPr>
              <w:pStyle w:val="TableText"/>
              <w:rPr>
                <w:rFonts w:cs="Arial"/>
                <w:b/>
                <w:bCs/>
              </w:rPr>
            </w:pPr>
            <w:r w:rsidRPr="009B7B35">
              <w:rPr>
                <w:rFonts w:cs="Arial"/>
                <w:b/>
                <w:bCs/>
              </w:rPr>
              <w:t>AO2.2</w:t>
            </w:r>
          </w:p>
          <w:p w14:paraId="3EB11B10" w14:textId="77777777" w:rsidR="00BE36FB" w:rsidRPr="009B7B35" w:rsidRDefault="00BE36FB" w:rsidP="001A7107">
            <w:pPr>
              <w:pStyle w:val="TableText"/>
              <w:rPr>
                <w:rFonts w:cs="Arial"/>
              </w:rPr>
            </w:pPr>
            <w:r w:rsidRPr="009B7B35">
              <w:rPr>
                <w:rFonts w:cs="Arial"/>
              </w:rPr>
              <w:t>The site coverage of the building is a maximum of 50% of the site area.</w:t>
            </w:r>
          </w:p>
        </w:tc>
      </w:tr>
      <w:tr w:rsidR="00BE36FB" w:rsidRPr="009B7B35" w14:paraId="0A6851E5" w14:textId="77777777" w:rsidTr="001A7107">
        <w:trPr>
          <w:cantSplit/>
        </w:trPr>
        <w:tc>
          <w:tcPr>
            <w:tcW w:w="4678" w:type="dxa"/>
            <w:vMerge/>
          </w:tcPr>
          <w:p w14:paraId="533D605F" w14:textId="77777777" w:rsidR="00BE36FB" w:rsidRPr="009B7B35" w:rsidRDefault="00BE36FB" w:rsidP="001A7107">
            <w:pPr>
              <w:pStyle w:val="TableText"/>
              <w:rPr>
                <w:rFonts w:cs="Arial"/>
              </w:rPr>
            </w:pPr>
          </w:p>
        </w:tc>
        <w:tc>
          <w:tcPr>
            <w:tcW w:w="4678" w:type="dxa"/>
          </w:tcPr>
          <w:p w14:paraId="74A7052F" w14:textId="77777777" w:rsidR="00BE36FB" w:rsidRPr="009B7B35" w:rsidRDefault="00BE36FB" w:rsidP="001A7107">
            <w:pPr>
              <w:pStyle w:val="TableText"/>
              <w:rPr>
                <w:rFonts w:cs="Arial"/>
                <w:b/>
                <w:bCs/>
              </w:rPr>
            </w:pPr>
            <w:r w:rsidRPr="009B7B35">
              <w:rPr>
                <w:rFonts w:cs="Arial"/>
                <w:b/>
                <w:bCs/>
              </w:rPr>
              <w:t>AO2.3</w:t>
            </w:r>
          </w:p>
          <w:p w14:paraId="467ED2C3" w14:textId="77777777"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14:paraId="0E0B5F00" w14:textId="77777777" w:rsidTr="001A7107">
        <w:trPr>
          <w:cantSplit/>
        </w:trPr>
        <w:tc>
          <w:tcPr>
            <w:tcW w:w="4678" w:type="dxa"/>
            <w:vMerge/>
          </w:tcPr>
          <w:p w14:paraId="5F1A6381" w14:textId="77777777" w:rsidR="00BE36FB" w:rsidRPr="009B7B35" w:rsidRDefault="00BE36FB" w:rsidP="001A7107">
            <w:pPr>
              <w:pStyle w:val="TableText"/>
              <w:rPr>
                <w:rFonts w:cs="Arial"/>
              </w:rPr>
            </w:pPr>
          </w:p>
        </w:tc>
        <w:tc>
          <w:tcPr>
            <w:tcW w:w="4678" w:type="dxa"/>
          </w:tcPr>
          <w:p w14:paraId="1268373D" w14:textId="77777777" w:rsidR="00BE36FB" w:rsidRPr="009B7B35" w:rsidRDefault="00BE36FB" w:rsidP="001A7107">
            <w:pPr>
              <w:pStyle w:val="TableText"/>
              <w:rPr>
                <w:rFonts w:cs="Arial"/>
                <w:b/>
                <w:bCs/>
              </w:rPr>
            </w:pPr>
            <w:r w:rsidRPr="009B7B35">
              <w:rPr>
                <w:rFonts w:cs="Arial"/>
                <w:b/>
                <w:bCs/>
              </w:rPr>
              <w:t>AO2.4</w:t>
            </w:r>
          </w:p>
          <w:p w14:paraId="431BDDCD" w14:textId="77777777" w:rsidR="00BE36FB" w:rsidRPr="009B7B35" w:rsidRDefault="00BE36FB" w:rsidP="001A7107">
            <w:pPr>
              <w:pStyle w:val="TableText"/>
              <w:rPr>
                <w:rFonts w:cs="Arial"/>
              </w:rPr>
            </w:pPr>
            <w:r w:rsidRPr="009B7B35">
              <w:rPr>
                <w:rFonts w:cs="Arial"/>
              </w:rPr>
              <w:t>The use operates between:</w:t>
            </w:r>
          </w:p>
          <w:p w14:paraId="1F18D59F" w14:textId="77777777" w:rsidR="00BE36FB" w:rsidRPr="009B7B35" w:rsidRDefault="00BE36FB" w:rsidP="00BE36FB">
            <w:pPr>
              <w:pStyle w:val="TableText"/>
              <w:numPr>
                <w:ilvl w:val="0"/>
                <w:numId w:val="161"/>
              </w:numPr>
              <w:rPr>
                <w:rFonts w:cs="Arial"/>
              </w:rPr>
            </w:pPr>
            <w:r w:rsidRPr="009B7B35">
              <w:rPr>
                <w:rFonts w:cs="Arial"/>
              </w:rPr>
              <w:t>8am and 6pm Monday to Saturday</w:t>
            </w:r>
          </w:p>
          <w:p w14:paraId="16C7E791" w14:textId="77777777" w:rsidR="00BE36FB" w:rsidRPr="009B7B35" w:rsidRDefault="00BE36FB" w:rsidP="00BE36FB">
            <w:pPr>
              <w:pStyle w:val="TableText"/>
              <w:numPr>
                <w:ilvl w:val="0"/>
                <w:numId w:val="161"/>
              </w:numPr>
              <w:rPr>
                <w:rFonts w:cs="Arial"/>
              </w:rPr>
            </w:pPr>
            <w:r w:rsidRPr="009B7B35">
              <w:rPr>
                <w:rFonts w:cs="Arial"/>
              </w:rPr>
              <w:t>9am and 1pm on Sunday.</w:t>
            </w:r>
          </w:p>
        </w:tc>
      </w:tr>
      <w:tr w:rsidR="00BE36FB" w:rsidRPr="009B7B35" w14:paraId="1E1C9AF8" w14:textId="77777777" w:rsidTr="001A7107">
        <w:trPr>
          <w:cantSplit/>
        </w:trPr>
        <w:tc>
          <w:tcPr>
            <w:tcW w:w="9356" w:type="dxa"/>
            <w:gridSpan w:val="2"/>
            <w:shd w:val="clear" w:color="auto" w:fill="BFBFBF" w:themeFill="background1" w:themeFillShade="BF"/>
          </w:tcPr>
          <w:p w14:paraId="654834C0" w14:textId="77777777"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14:paraId="7BCA71BB" w14:textId="77777777" w:rsidTr="001A7107">
        <w:trPr>
          <w:cantSplit/>
        </w:trPr>
        <w:tc>
          <w:tcPr>
            <w:tcW w:w="4678" w:type="dxa"/>
            <w:vMerge w:val="restart"/>
          </w:tcPr>
          <w:p w14:paraId="4A71E12D" w14:textId="77777777" w:rsidR="00BE36FB" w:rsidRPr="009B7B35" w:rsidRDefault="00BE36FB" w:rsidP="001A7107">
            <w:pPr>
              <w:pStyle w:val="TableText"/>
              <w:rPr>
                <w:rFonts w:cs="Arial"/>
                <w:b/>
                <w:bCs/>
              </w:rPr>
            </w:pPr>
            <w:r w:rsidRPr="009B7B35">
              <w:rPr>
                <w:rFonts w:cs="Arial"/>
                <w:b/>
                <w:bCs/>
              </w:rPr>
              <w:t>PO3</w:t>
            </w:r>
          </w:p>
          <w:p w14:paraId="0DD86753" w14:textId="77777777" w:rsidR="00BE36FB" w:rsidRPr="009B7B35" w:rsidRDefault="00BE36FB" w:rsidP="001A7107">
            <w:pPr>
              <w:pStyle w:val="TableText"/>
              <w:rPr>
                <w:rFonts w:cs="Arial"/>
              </w:rPr>
            </w:pPr>
            <w:r w:rsidRPr="009B7B35">
              <w:rPr>
                <w:rFonts w:cs="Arial"/>
              </w:rPr>
              <w:t>Buildings:</w:t>
            </w:r>
          </w:p>
          <w:p w14:paraId="420084D0" w14:textId="77777777" w:rsidR="00BE36FB" w:rsidRPr="009B7B35" w:rsidRDefault="00BE36FB" w:rsidP="00BE36FB">
            <w:pPr>
              <w:pStyle w:val="TableText"/>
              <w:numPr>
                <w:ilvl w:val="0"/>
                <w:numId w:val="436"/>
              </w:numPr>
              <w:rPr>
                <w:rFonts w:cs="Arial"/>
              </w:rPr>
            </w:pPr>
            <w:r w:rsidRPr="009B7B35">
              <w:rPr>
                <w:rFonts w:cs="Arial"/>
              </w:rPr>
              <w:t>are low rise</w:t>
            </w:r>
          </w:p>
          <w:p w14:paraId="28F3F91B" w14:textId="77777777" w:rsidR="00BE36FB" w:rsidRPr="009B7B35" w:rsidRDefault="00BE36FB" w:rsidP="00BE36FB">
            <w:pPr>
              <w:pStyle w:val="TableText"/>
              <w:numPr>
                <w:ilvl w:val="0"/>
                <w:numId w:val="436"/>
              </w:numPr>
              <w:rPr>
                <w:rFonts w:cs="Arial"/>
              </w:rPr>
            </w:pPr>
            <w:r w:rsidRPr="009B7B35">
              <w:rPr>
                <w:rFonts w:cs="Arial"/>
              </w:rPr>
              <w:t>do not create unreasonable overshadowing on adjoining residential properties, and</w:t>
            </w:r>
          </w:p>
          <w:p w14:paraId="32A8369C" w14:textId="77777777" w:rsidR="00BE36FB" w:rsidRPr="009B7B35" w:rsidRDefault="00BE36FB" w:rsidP="00BE36FB">
            <w:pPr>
              <w:pStyle w:val="TableText"/>
              <w:numPr>
                <w:ilvl w:val="0"/>
                <w:numId w:val="436"/>
              </w:numPr>
              <w:rPr>
                <w:rFonts w:cs="Arial"/>
              </w:rPr>
            </w:pPr>
            <w:r w:rsidRPr="009B7B35">
              <w:rPr>
                <w:rFonts w:cs="Arial"/>
              </w:rPr>
              <w:t>do not adversely impact on the low density residential character and amenity of the area.</w:t>
            </w:r>
          </w:p>
          <w:p w14:paraId="7A43C22E" w14:textId="77777777" w:rsidR="00BE36FB" w:rsidRPr="009B7B35" w:rsidRDefault="00BE36FB" w:rsidP="001A7107">
            <w:pPr>
              <w:pStyle w:val="Notes"/>
              <w:rPr>
                <w:rFonts w:cs="Arial"/>
                <w:sz w:val="20"/>
                <w:szCs w:val="20"/>
              </w:rPr>
            </w:pPr>
            <w:r w:rsidRPr="009B7B35">
              <w:rPr>
                <w:rFonts w:cs="Arial"/>
                <w:sz w:val="20"/>
                <w:szCs w:val="20"/>
              </w:rPr>
              <w:t>Note—Setbacks for Dwelling house and Dual occupancy in this zone are regulated in the Queensland Development Code. Shadow diagrams must be prepared that demonstrate compliance with this performance outcome where building height exceeds the corresponding acceptable outcome. These diagrams must address the impacts of overshadowing between the hours of 9am to 3pm on 21 June.</w:t>
            </w:r>
          </w:p>
        </w:tc>
        <w:tc>
          <w:tcPr>
            <w:tcW w:w="4678" w:type="dxa"/>
          </w:tcPr>
          <w:p w14:paraId="147D51CE" w14:textId="77777777" w:rsidR="00BE36FB" w:rsidRPr="009B7B35" w:rsidRDefault="00BE36FB" w:rsidP="001A7107">
            <w:pPr>
              <w:pStyle w:val="TableText"/>
              <w:rPr>
                <w:rFonts w:cs="Arial"/>
                <w:b/>
                <w:bCs/>
              </w:rPr>
            </w:pPr>
            <w:r w:rsidRPr="009B7B35">
              <w:rPr>
                <w:rFonts w:cs="Arial"/>
                <w:b/>
                <w:bCs/>
              </w:rPr>
              <w:t>AO3.1</w:t>
            </w:r>
          </w:p>
          <w:p w14:paraId="26B7FF50" w14:textId="77777777" w:rsidR="00BE36FB" w:rsidRPr="009B7B35" w:rsidRDefault="00BE36FB" w:rsidP="001A7107">
            <w:pPr>
              <w:pStyle w:val="TableText"/>
              <w:rPr>
                <w:rFonts w:cs="Arial"/>
              </w:rPr>
            </w:pPr>
            <w:r w:rsidRPr="009B7B35">
              <w:rPr>
                <w:rFonts w:cs="Arial"/>
              </w:rPr>
              <w:t>Building height does not exceed 8.5m and 2 storeys above ground level.</w:t>
            </w:r>
          </w:p>
        </w:tc>
      </w:tr>
      <w:tr w:rsidR="00BE36FB" w:rsidRPr="009B7B35" w14:paraId="1BD87BF6" w14:textId="77777777" w:rsidTr="001A7107">
        <w:trPr>
          <w:cantSplit/>
        </w:trPr>
        <w:tc>
          <w:tcPr>
            <w:tcW w:w="4678" w:type="dxa"/>
            <w:vMerge/>
          </w:tcPr>
          <w:p w14:paraId="207A12B0" w14:textId="77777777" w:rsidR="00BE36FB" w:rsidRPr="009B7B35" w:rsidRDefault="00BE36FB" w:rsidP="001A7107">
            <w:pPr>
              <w:pStyle w:val="TableText"/>
              <w:rPr>
                <w:rFonts w:cs="Arial"/>
              </w:rPr>
            </w:pPr>
          </w:p>
        </w:tc>
        <w:tc>
          <w:tcPr>
            <w:tcW w:w="4678" w:type="dxa"/>
          </w:tcPr>
          <w:p w14:paraId="062BB83E" w14:textId="77777777" w:rsidR="00BE36FB" w:rsidRPr="009B7B35" w:rsidRDefault="00BE36FB" w:rsidP="001A7107">
            <w:pPr>
              <w:pStyle w:val="TableText"/>
              <w:rPr>
                <w:rFonts w:cs="Arial"/>
                <w:b/>
                <w:bCs/>
              </w:rPr>
            </w:pPr>
            <w:r w:rsidRPr="009B7B35">
              <w:rPr>
                <w:rFonts w:cs="Arial"/>
                <w:b/>
                <w:bCs/>
              </w:rPr>
              <w:t>AO3.2</w:t>
            </w:r>
          </w:p>
          <w:p w14:paraId="5647CEE1" w14:textId="77777777" w:rsidR="00BE36FB" w:rsidRPr="009B7B35" w:rsidRDefault="00BE36FB">
            <w:pPr>
              <w:pStyle w:val="TableText"/>
              <w:rPr>
                <w:rFonts w:cs="Arial"/>
              </w:rPr>
            </w:pPr>
            <w:r w:rsidRPr="009B7B35">
              <w:rPr>
                <w:rFonts w:cs="Arial"/>
              </w:rPr>
              <w:t>Maximum site cover is 50% or where a dual occupancy 40% of the total site area.</w:t>
            </w:r>
          </w:p>
        </w:tc>
      </w:tr>
      <w:tr w:rsidR="00BE36FB" w:rsidRPr="009B7B35" w14:paraId="4D72A656" w14:textId="77777777" w:rsidTr="001A7107">
        <w:trPr>
          <w:cantSplit/>
        </w:trPr>
        <w:tc>
          <w:tcPr>
            <w:tcW w:w="9356" w:type="dxa"/>
            <w:gridSpan w:val="2"/>
            <w:shd w:val="clear" w:color="auto" w:fill="BFBFBF" w:themeFill="background1" w:themeFillShade="BF"/>
          </w:tcPr>
          <w:p w14:paraId="5B184742" w14:textId="77777777"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14:paraId="62747324" w14:textId="77777777" w:rsidTr="001A7107">
        <w:trPr>
          <w:cantSplit/>
        </w:trPr>
        <w:tc>
          <w:tcPr>
            <w:tcW w:w="4678" w:type="dxa"/>
            <w:vMerge w:val="restart"/>
          </w:tcPr>
          <w:p w14:paraId="426418A5" w14:textId="77777777" w:rsidR="00BE36FB" w:rsidRPr="009B7B35" w:rsidRDefault="00BE36FB" w:rsidP="001A7107">
            <w:pPr>
              <w:pStyle w:val="TableText"/>
              <w:rPr>
                <w:rFonts w:cs="Arial"/>
                <w:b/>
                <w:bCs/>
              </w:rPr>
            </w:pPr>
            <w:r w:rsidRPr="009B7B35">
              <w:rPr>
                <w:rFonts w:cs="Arial"/>
                <w:b/>
                <w:bCs/>
              </w:rPr>
              <w:t>PO4</w:t>
            </w:r>
          </w:p>
          <w:p w14:paraId="15123EE5" w14:textId="77777777" w:rsidR="00BE36FB" w:rsidRPr="009B7B35" w:rsidRDefault="00BE36FB" w:rsidP="001A7107">
            <w:pPr>
              <w:pStyle w:val="TableText"/>
              <w:rPr>
                <w:rFonts w:cs="Arial"/>
              </w:rPr>
            </w:pPr>
            <w:r w:rsidRPr="009B7B35">
              <w:rPr>
                <w:rFonts w:cs="Arial"/>
              </w:rPr>
              <w:t>Development reflects the low density character of the area.</w:t>
            </w:r>
          </w:p>
        </w:tc>
        <w:tc>
          <w:tcPr>
            <w:tcW w:w="4678" w:type="dxa"/>
          </w:tcPr>
          <w:p w14:paraId="78039F92" w14:textId="77777777" w:rsidR="00BE36FB" w:rsidRPr="009B7B35" w:rsidRDefault="00BE36FB" w:rsidP="001A7107">
            <w:pPr>
              <w:pStyle w:val="TableText"/>
              <w:rPr>
                <w:rFonts w:cs="Arial"/>
                <w:b/>
                <w:bCs/>
              </w:rPr>
            </w:pPr>
            <w:r w:rsidRPr="009B7B35">
              <w:rPr>
                <w:rFonts w:cs="Arial"/>
                <w:b/>
                <w:bCs/>
              </w:rPr>
              <w:t>AO4.1</w:t>
            </w:r>
          </w:p>
          <w:p w14:paraId="3E0D8FB6" w14:textId="77777777" w:rsidR="00BE36FB" w:rsidRPr="009B7B35" w:rsidRDefault="00BE36FB" w:rsidP="001A7107">
            <w:pPr>
              <w:pStyle w:val="TableText"/>
              <w:rPr>
                <w:rFonts w:cs="Arial"/>
              </w:rPr>
            </w:pPr>
            <w:r w:rsidRPr="009B7B35">
              <w:rPr>
                <w:rFonts w:cs="Arial"/>
              </w:rPr>
              <w:t>Residential density is a maximum of:</w:t>
            </w:r>
          </w:p>
          <w:p w14:paraId="294F13B5" w14:textId="77777777" w:rsidR="00BE36FB" w:rsidRPr="009B7B35" w:rsidRDefault="00BE36FB" w:rsidP="00BE36FB">
            <w:pPr>
              <w:pStyle w:val="TableText"/>
              <w:numPr>
                <w:ilvl w:val="0"/>
                <w:numId w:val="401"/>
              </w:numPr>
              <w:rPr>
                <w:rFonts w:cs="Arial"/>
              </w:rPr>
            </w:pPr>
            <w:r w:rsidRPr="009B7B35">
              <w:rPr>
                <w:rFonts w:cs="Arial"/>
              </w:rPr>
              <w:t>one dwelling house (including 1 secondary dwelling) per lot, or</w:t>
            </w:r>
          </w:p>
          <w:p w14:paraId="59B3D162" w14:textId="77777777" w:rsidR="00BE36FB" w:rsidRPr="009B7B35" w:rsidRDefault="00BE36FB" w:rsidP="00BE36FB">
            <w:pPr>
              <w:pStyle w:val="TableText"/>
              <w:numPr>
                <w:ilvl w:val="0"/>
                <w:numId w:val="401"/>
              </w:numPr>
              <w:rPr>
                <w:rFonts w:cs="Arial"/>
              </w:rPr>
            </w:pPr>
            <w:r w:rsidRPr="009B7B35">
              <w:rPr>
                <w:rFonts w:cs="Arial"/>
              </w:rPr>
              <w:t>one dwelling per 400m</w:t>
            </w:r>
            <w:r w:rsidRPr="009B7B35">
              <w:rPr>
                <w:rFonts w:cs="Arial"/>
                <w:vertAlign w:val="superscript"/>
              </w:rPr>
              <w:t>2</w:t>
            </w:r>
            <w:r w:rsidRPr="009B7B35">
              <w:rPr>
                <w:rFonts w:cs="Arial"/>
              </w:rPr>
              <w:t xml:space="preserve"> where a dual occupancy.</w:t>
            </w:r>
          </w:p>
        </w:tc>
      </w:tr>
      <w:tr w:rsidR="00BE36FB" w:rsidRPr="009B7B35" w14:paraId="48D90B0F" w14:textId="77777777" w:rsidTr="001A7107">
        <w:trPr>
          <w:cantSplit/>
        </w:trPr>
        <w:tc>
          <w:tcPr>
            <w:tcW w:w="4678" w:type="dxa"/>
            <w:vMerge/>
          </w:tcPr>
          <w:p w14:paraId="2872246A" w14:textId="77777777" w:rsidR="00BE36FB" w:rsidRPr="009B7B35" w:rsidRDefault="00BE36FB" w:rsidP="001A7107">
            <w:pPr>
              <w:pStyle w:val="TableText"/>
              <w:rPr>
                <w:rFonts w:cs="Arial"/>
              </w:rPr>
            </w:pPr>
          </w:p>
        </w:tc>
        <w:tc>
          <w:tcPr>
            <w:tcW w:w="4678" w:type="dxa"/>
          </w:tcPr>
          <w:p w14:paraId="3DEBC568" w14:textId="77777777" w:rsidR="00BE36FB" w:rsidRPr="009B7B35" w:rsidRDefault="00BE36FB" w:rsidP="001A7107">
            <w:pPr>
              <w:pStyle w:val="TableText"/>
              <w:rPr>
                <w:rFonts w:cs="Arial"/>
                <w:b/>
                <w:bCs/>
              </w:rPr>
            </w:pPr>
            <w:r w:rsidRPr="009B7B35">
              <w:rPr>
                <w:rFonts w:cs="Arial"/>
                <w:b/>
                <w:bCs/>
              </w:rPr>
              <w:t>AO4.2</w:t>
            </w:r>
          </w:p>
          <w:p w14:paraId="19010AE3" w14:textId="77777777" w:rsidR="00BE36FB" w:rsidRPr="009B7B35" w:rsidRDefault="00BE36FB" w:rsidP="001A7107">
            <w:pPr>
              <w:pStyle w:val="TableText"/>
              <w:rPr>
                <w:rFonts w:cs="Arial"/>
              </w:rPr>
            </w:pPr>
            <w:r w:rsidRPr="009B7B35">
              <w:rPr>
                <w:rFonts w:cs="Arial"/>
              </w:rPr>
              <w:t xml:space="preserve">Where a dwelling house, any secondary dwelling is: </w:t>
            </w:r>
          </w:p>
          <w:p w14:paraId="580B73B7" w14:textId="77777777" w:rsidR="00BE36FB" w:rsidRPr="009B7B35" w:rsidRDefault="00BE36FB" w:rsidP="00BE36FB">
            <w:pPr>
              <w:pStyle w:val="TableText"/>
              <w:numPr>
                <w:ilvl w:val="0"/>
                <w:numId w:val="400"/>
              </w:numPr>
              <w:rPr>
                <w:rFonts w:cs="Arial"/>
              </w:rPr>
            </w:pPr>
            <w:r w:rsidRPr="009B7B35">
              <w:rPr>
                <w:rFonts w:cs="Arial"/>
              </w:rPr>
              <w:t>a maximum of 80m</w:t>
            </w:r>
            <w:r w:rsidRPr="009B7B35">
              <w:rPr>
                <w:rFonts w:cs="Arial"/>
                <w:vertAlign w:val="superscript"/>
              </w:rPr>
              <w:t>2</w:t>
            </w:r>
            <w:r w:rsidRPr="009B7B35">
              <w:rPr>
                <w:rFonts w:cs="Arial"/>
              </w:rPr>
              <w:t xml:space="preserve"> GFA</w:t>
            </w:r>
          </w:p>
          <w:p w14:paraId="4A6317BC" w14:textId="77777777" w:rsidR="00BE36FB" w:rsidRPr="009B7B35" w:rsidRDefault="00BE36FB" w:rsidP="00BE36FB">
            <w:pPr>
              <w:pStyle w:val="TableText"/>
              <w:numPr>
                <w:ilvl w:val="0"/>
                <w:numId w:val="400"/>
              </w:numPr>
              <w:rPr>
                <w:rFonts w:cs="Arial"/>
              </w:rPr>
            </w:pPr>
            <w:r w:rsidRPr="009B7B35">
              <w:rPr>
                <w:rFonts w:cs="Arial"/>
              </w:rPr>
              <w:t>located within 10m of the main building</w:t>
            </w:r>
          </w:p>
          <w:p w14:paraId="5692627C" w14:textId="77777777" w:rsidR="00BE36FB" w:rsidRPr="009B7B35" w:rsidRDefault="00BE36FB" w:rsidP="00BE36FB">
            <w:pPr>
              <w:pStyle w:val="TableText"/>
              <w:numPr>
                <w:ilvl w:val="0"/>
                <w:numId w:val="400"/>
              </w:numPr>
              <w:rPr>
                <w:rFonts w:cs="Arial"/>
              </w:rPr>
            </w:pPr>
            <w:r w:rsidRPr="009B7B35">
              <w:rPr>
                <w:rFonts w:cs="Arial"/>
              </w:rPr>
              <w:t>linked to the main building by a defined footpath in the most direct route possible.</w:t>
            </w:r>
          </w:p>
        </w:tc>
      </w:tr>
      <w:tr w:rsidR="00BE36FB" w:rsidRPr="009B7B35" w14:paraId="52231CEF" w14:textId="77777777" w:rsidTr="001A7107">
        <w:trPr>
          <w:cantSplit/>
        </w:trPr>
        <w:tc>
          <w:tcPr>
            <w:tcW w:w="9356" w:type="dxa"/>
            <w:gridSpan w:val="2"/>
            <w:shd w:val="clear" w:color="auto" w:fill="BFBFBF" w:themeFill="background1" w:themeFillShade="BF"/>
          </w:tcPr>
          <w:p w14:paraId="498A1A63" w14:textId="77777777" w:rsidR="00BE36FB" w:rsidRPr="009B7B35" w:rsidRDefault="00BE36FB" w:rsidP="001A7107">
            <w:pPr>
              <w:pStyle w:val="Tableheading"/>
              <w:rPr>
                <w:rFonts w:ascii="Arial" w:hAnsi="Arial" w:cs="Arial"/>
                <w:szCs w:val="20"/>
              </w:rPr>
            </w:pPr>
            <w:r w:rsidRPr="009B7B35">
              <w:rPr>
                <w:rFonts w:ascii="Arial" w:hAnsi="Arial" w:cs="Arial"/>
                <w:szCs w:val="20"/>
              </w:rPr>
              <w:t>Design and streetscape</w:t>
            </w:r>
          </w:p>
        </w:tc>
      </w:tr>
      <w:tr w:rsidR="00BE36FB" w:rsidRPr="009B7B35" w14:paraId="02B699BD" w14:textId="77777777" w:rsidTr="001A7107">
        <w:tc>
          <w:tcPr>
            <w:tcW w:w="4678" w:type="dxa"/>
          </w:tcPr>
          <w:p w14:paraId="2819D5EA" w14:textId="77777777" w:rsidR="00BE36FB" w:rsidRPr="009B7B35" w:rsidRDefault="00BE36FB" w:rsidP="001A7107">
            <w:pPr>
              <w:pStyle w:val="TableText"/>
              <w:rPr>
                <w:rFonts w:cs="Arial"/>
                <w:b/>
                <w:bCs/>
              </w:rPr>
            </w:pPr>
            <w:r w:rsidRPr="009B7B35">
              <w:rPr>
                <w:rFonts w:cs="Arial"/>
                <w:b/>
                <w:bCs/>
              </w:rPr>
              <w:t>PO5</w:t>
            </w:r>
          </w:p>
          <w:p w14:paraId="02304ABA" w14:textId="77777777" w:rsidR="00BE36FB" w:rsidRPr="009B7B35" w:rsidRDefault="00BE36FB" w:rsidP="001A7107">
            <w:pPr>
              <w:pStyle w:val="TableText"/>
              <w:rPr>
                <w:rFonts w:cs="Arial"/>
              </w:rPr>
            </w:pPr>
            <w:r w:rsidRPr="009B7B35">
              <w:rPr>
                <w:rFonts w:cs="Arial"/>
              </w:rPr>
              <w:t>Driveways must not visually dominate the street frontage.</w:t>
            </w:r>
          </w:p>
        </w:tc>
        <w:tc>
          <w:tcPr>
            <w:tcW w:w="4678" w:type="dxa"/>
          </w:tcPr>
          <w:p w14:paraId="11AF7772" w14:textId="77777777" w:rsidR="00BE36FB" w:rsidRPr="009B7B35" w:rsidRDefault="00BE36FB" w:rsidP="001A7107">
            <w:pPr>
              <w:pStyle w:val="TableText"/>
              <w:rPr>
                <w:rFonts w:cs="Arial"/>
                <w:b/>
                <w:bCs/>
              </w:rPr>
            </w:pPr>
            <w:r w:rsidRPr="009B7B35">
              <w:rPr>
                <w:rFonts w:cs="Arial"/>
                <w:b/>
                <w:bCs/>
              </w:rPr>
              <w:t>AO5</w:t>
            </w:r>
          </w:p>
          <w:p w14:paraId="13861AE6" w14:textId="77777777" w:rsidR="00BE36FB" w:rsidRPr="009B7B35" w:rsidRDefault="00BE36FB" w:rsidP="001A7107">
            <w:pPr>
              <w:pStyle w:val="TableText"/>
              <w:rPr>
                <w:rFonts w:cs="Arial"/>
              </w:rPr>
            </w:pPr>
            <w:r w:rsidRPr="009B7B35">
              <w:rPr>
                <w:rFonts w:cs="Arial"/>
              </w:rPr>
              <w:t>Vehicle access is provided through a:</w:t>
            </w:r>
          </w:p>
          <w:p w14:paraId="1AC2A2CD" w14:textId="77777777" w:rsidR="00BE36FB" w:rsidRPr="009B7B35" w:rsidRDefault="00BE36FB" w:rsidP="00BE36FB">
            <w:pPr>
              <w:pStyle w:val="TableText"/>
              <w:numPr>
                <w:ilvl w:val="0"/>
                <w:numId w:val="402"/>
              </w:numPr>
              <w:rPr>
                <w:rFonts w:cs="Arial"/>
              </w:rPr>
            </w:pPr>
            <w:r w:rsidRPr="009B7B35">
              <w:rPr>
                <w:rFonts w:cs="Arial"/>
              </w:rPr>
              <w:t>single driveway for a dwelling house</w:t>
            </w:r>
          </w:p>
          <w:p w14:paraId="37EC639F" w14:textId="77777777" w:rsidR="00BE36FB" w:rsidRPr="009B7B35" w:rsidRDefault="00BE36FB" w:rsidP="00BE36FB">
            <w:pPr>
              <w:pStyle w:val="TableText"/>
              <w:numPr>
                <w:ilvl w:val="0"/>
                <w:numId w:val="402"/>
              </w:numPr>
              <w:rPr>
                <w:rFonts w:cs="Arial"/>
              </w:rPr>
            </w:pPr>
            <w:r w:rsidRPr="009B7B35">
              <w:rPr>
                <w:rFonts w:cs="Arial"/>
              </w:rPr>
              <w:t>one paired driveway for dual occupancy (where not on a corner lot).</w:t>
            </w:r>
          </w:p>
        </w:tc>
      </w:tr>
      <w:tr w:rsidR="00BE36FB" w:rsidRPr="009B7B35" w14:paraId="29C581A5" w14:textId="77777777" w:rsidTr="001A7107">
        <w:tc>
          <w:tcPr>
            <w:tcW w:w="9356" w:type="dxa"/>
            <w:gridSpan w:val="2"/>
          </w:tcPr>
          <w:p w14:paraId="3234AC5F"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66432237" w14:textId="77777777" w:rsidTr="001A7107">
        <w:tc>
          <w:tcPr>
            <w:tcW w:w="9356" w:type="dxa"/>
            <w:gridSpan w:val="2"/>
            <w:shd w:val="clear" w:color="auto" w:fill="BFBFBF" w:themeFill="background1" w:themeFillShade="BF"/>
          </w:tcPr>
          <w:p w14:paraId="190B6C36" w14:textId="77777777" w:rsidR="00BE36FB" w:rsidRPr="009B7B35" w:rsidRDefault="00BE36FB" w:rsidP="001A7107">
            <w:pPr>
              <w:pStyle w:val="Tableheading"/>
              <w:rPr>
                <w:rFonts w:ascii="Arial" w:hAnsi="Arial" w:cs="Arial"/>
                <w:szCs w:val="20"/>
              </w:rPr>
            </w:pPr>
            <w:r w:rsidRPr="009B7B35">
              <w:rPr>
                <w:rFonts w:ascii="Arial" w:hAnsi="Arial" w:cs="Arial"/>
                <w:szCs w:val="20"/>
              </w:rPr>
              <w:t>Design and amenity</w:t>
            </w:r>
          </w:p>
        </w:tc>
      </w:tr>
      <w:tr w:rsidR="00BE36FB" w:rsidRPr="009B7B35" w14:paraId="0D89C25C" w14:textId="77777777" w:rsidTr="001A7107">
        <w:tc>
          <w:tcPr>
            <w:tcW w:w="4678" w:type="dxa"/>
          </w:tcPr>
          <w:p w14:paraId="38848693" w14:textId="77777777" w:rsidR="00BE36FB" w:rsidRPr="009B7B35" w:rsidRDefault="00BE36FB" w:rsidP="001A7107">
            <w:pPr>
              <w:pStyle w:val="TableText"/>
              <w:rPr>
                <w:rFonts w:cs="Arial"/>
                <w:b/>
                <w:bCs/>
              </w:rPr>
            </w:pPr>
            <w:r w:rsidRPr="009B7B35">
              <w:rPr>
                <w:rFonts w:cs="Arial"/>
                <w:b/>
                <w:bCs/>
              </w:rPr>
              <w:t>PO6</w:t>
            </w:r>
          </w:p>
          <w:p w14:paraId="4F2B9323" w14:textId="77777777" w:rsidR="00BE36FB" w:rsidRPr="009B7B35" w:rsidRDefault="00BE36FB" w:rsidP="001A7107">
            <w:pPr>
              <w:pStyle w:val="TableText"/>
              <w:rPr>
                <w:rFonts w:cs="Arial"/>
              </w:rPr>
            </w:pPr>
            <w:r w:rsidRPr="009B7B35">
              <w:rPr>
                <w:rFonts w:cs="Arial"/>
              </w:rPr>
              <w:t>Landscaping is provided to enhance the appearance of the development, screen unsightly components, create an attractive on–site environment and provide shading.</w:t>
            </w:r>
          </w:p>
          <w:p w14:paraId="55B88878" w14:textId="77777777" w:rsidR="00BE36FB" w:rsidRPr="009B7B35" w:rsidRDefault="00BE36FB">
            <w:pPr>
              <w:pStyle w:val="Notes"/>
              <w:rPr>
                <w:rFonts w:cs="Arial"/>
                <w:sz w:val="20"/>
                <w:szCs w:val="20"/>
              </w:rPr>
            </w:pPr>
            <w:r w:rsidRPr="009B7B35">
              <w:rPr>
                <w:rFonts w:cs="Arial"/>
                <w:sz w:val="20"/>
                <w:szCs w:val="20"/>
              </w:rPr>
              <w:t>Note—Applicants are also referred to the Landscaping code.</w:t>
            </w:r>
          </w:p>
        </w:tc>
        <w:tc>
          <w:tcPr>
            <w:tcW w:w="4678" w:type="dxa"/>
          </w:tcPr>
          <w:p w14:paraId="23584CDF"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D265140" w14:textId="77777777" w:rsidTr="001A7107">
        <w:trPr>
          <w:cantSplit/>
        </w:trPr>
        <w:tc>
          <w:tcPr>
            <w:tcW w:w="4678" w:type="dxa"/>
          </w:tcPr>
          <w:p w14:paraId="78F1F180" w14:textId="77777777" w:rsidR="00BE36FB" w:rsidRPr="009B7B35" w:rsidRDefault="00BE36FB" w:rsidP="001A7107">
            <w:pPr>
              <w:pStyle w:val="TableText"/>
              <w:rPr>
                <w:rFonts w:cs="Arial"/>
                <w:b/>
                <w:bCs/>
              </w:rPr>
            </w:pPr>
            <w:r w:rsidRPr="009B7B35">
              <w:rPr>
                <w:rFonts w:cs="Arial"/>
                <w:b/>
                <w:bCs/>
              </w:rPr>
              <w:t>PO7</w:t>
            </w:r>
          </w:p>
          <w:p w14:paraId="74CAB089" w14:textId="77777777" w:rsidR="00BE36FB" w:rsidRPr="009B7B35" w:rsidRDefault="00BE36FB" w:rsidP="001A7107">
            <w:pPr>
              <w:pStyle w:val="TableText"/>
              <w:rPr>
                <w:rFonts w:cs="Arial"/>
              </w:rPr>
            </w:pPr>
            <w:r w:rsidRPr="009B7B35">
              <w:rPr>
                <w:rFonts w:cs="Arial"/>
              </w:rPr>
              <w:t>Development facilitates the security of people and property having regard to:</w:t>
            </w:r>
          </w:p>
          <w:p w14:paraId="1EE36D7C" w14:textId="77777777" w:rsidR="00BE36FB" w:rsidRPr="009B7B35" w:rsidRDefault="00BE36FB" w:rsidP="00BE36FB">
            <w:pPr>
              <w:pStyle w:val="TableText"/>
              <w:numPr>
                <w:ilvl w:val="0"/>
                <w:numId w:val="561"/>
              </w:numPr>
              <w:rPr>
                <w:rFonts w:cs="Arial"/>
              </w:rPr>
            </w:pPr>
            <w:r w:rsidRPr="009B7B35">
              <w:rPr>
                <w:rFonts w:cs="Arial"/>
              </w:rPr>
              <w:t>opportunities for casual surveillance and sight lines</w:t>
            </w:r>
          </w:p>
          <w:p w14:paraId="15EBEF50" w14:textId="77777777" w:rsidR="00BE36FB" w:rsidRPr="009B7B35" w:rsidRDefault="00BE36FB" w:rsidP="00BE36FB">
            <w:pPr>
              <w:pStyle w:val="TableText"/>
              <w:numPr>
                <w:ilvl w:val="0"/>
                <w:numId w:val="561"/>
              </w:numPr>
              <w:rPr>
                <w:rFonts w:cs="Arial"/>
              </w:rPr>
            </w:pPr>
            <w:r w:rsidRPr="009B7B35">
              <w:rPr>
                <w:rFonts w:cs="Arial"/>
              </w:rPr>
              <w:t>exterior building design that promotes safety</w:t>
            </w:r>
          </w:p>
          <w:p w14:paraId="17488B8F" w14:textId="77777777" w:rsidR="00BE36FB" w:rsidRPr="009B7B35" w:rsidRDefault="00BE36FB" w:rsidP="00BE36FB">
            <w:pPr>
              <w:pStyle w:val="TableText"/>
              <w:numPr>
                <w:ilvl w:val="0"/>
                <w:numId w:val="561"/>
              </w:numPr>
              <w:rPr>
                <w:rFonts w:cs="Arial"/>
              </w:rPr>
            </w:pPr>
            <w:r w:rsidRPr="009B7B35">
              <w:rPr>
                <w:rFonts w:cs="Arial"/>
              </w:rPr>
              <w:t>adequate lighting</w:t>
            </w:r>
          </w:p>
          <w:p w14:paraId="551EA8F7" w14:textId="77777777" w:rsidR="00BE36FB" w:rsidRPr="009B7B35" w:rsidRDefault="00BE36FB" w:rsidP="00BE36FB">
            <w:pPr>
              <w:pStyle w:val="TableText"/>
              <w:numPr>
                <w:ilvl w:val="0"/>
                <w:numId w:val="561"/>
              </w:numPr>
              <w:rPr>
                <w:rFonts w:cs="Arial"/>
              </w:rPr>
            </w:pPr>
            <w:r w:rsidRPr="009B7B35">
              <w:rPr>
                <w:rFonts w:cs="Arial"/>
              </w:rPr>
              <w:t>appropriate signage and wayfinding</w:t>
            </w:r>
          </w:p>
          <w:p w14:paraId="1444F888" w14:textId="77777777" w:rsidR="00BE36FB" w:rsidRPr="009B7B35" w:rsidRDefault="00BE36FB" w:rsidP="00BE36FB">
            <w:pPr>
              <w:pStyle w:val="TableText"/>
              <w:numPr>
                <w:ilvl w:val="0"/>
                <w:numId w:val="561"/>
              </w:numPr>
              <w:rPr>
                <w:rFonts w:cs="Arial"/>
              </w:rPr>
            </w:pPr>
            <w:r w:rsidRPr="009B7B35">
              <w:rPr>
                <w:rFonts w:cs="Arial"/>
              </w:rPr>
              <w:t>minimisation of entrapment locations, and</w:t>
            </w:r>
          </w:p>
          <w:p w14:paraId="34FF22FE" w14:textId="77777777" w:rsidR="00BE36FB" w:rsidRPr="009B7B35" w:rsidRDefault="00BE36FB" w:rsidP="00BE36FB">
            <w:pPr>
              <w:pStyle w:val="TableText"/>
              <w:numPr>
                <w:ilvl w:val="0"/>
                <w:numId w:val="561"/>
              </w:numPr>
              <w:rPr>
                <w:rFonts w:cs="Arial"/>
              </w:rPr>
            </w:pPr>
            <w:r w:rsidRPr="009B7B35">
              <w:rPr>
                <w:rFonts w:cs="Arial"/>
              </w:rPr>
              <w:t>building entrances, loading and storage areas that are well lit and lockable after hours.</w:t>
            </w:r>
          </w:p>
          <w:p w14:paraId="3AEE3CD8" w14:textId="77777777" w:rsidR="00BE36FB" w:rsidRPr="009B7B35" w:rsidRDefault="00BE36FB" w:rsidP="001A7107">
            <w:pPr>
              <w:pStyle w:val="Notes"/>
              <w:rPr>
                <w:rFonts w:cs="Arial"/>
                <w:sz w:val="20"/>
                <w:szCs w:val="20"/>
              </w:rPr>
            </w:pPr>
            <w:r w:rsidRPr="009B7B35">
              <w:rPr>
                <w:rFonts w:cs="Arial"/>
                <w:sz w:val="20"/>
                <w:szCs w:val="20"/>
              </w:rPr>
              <w:t>Note—Applicants should have regard to Crime Prevention through Environmental Design Guidelines for Queensland.</w:t>
            </w:r>
          </w:p>
        </w:tc>
        <w:tc>
          <w:tcPr>
            <w:tcW w:w="4678" w:type="dxa"/>
          </w:tcPr>
          <w:p w14:paraId="60A10AC0"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F36B56D" w14:textId="77777777" w:rsidTr="001A7107">
        <w:trPr>
          <w:cantSplit/>
        </w:trPr>
        <w:tc>
          <w:tcPr>
            <w:tcW w:w="4678" w:type="dxa"/>
          </w:tcPr>
          <w:p w14:paraId="6207D47F" w14:textId="77777777" w:rsidR="00BE36FB" w:rsidRPr="009B7B35" w:rsidRDefault="00BE36FB" w:rsidP="001A7107">
            <w:pPr>
              <w:pStyle w:val="TableText"/>
              <w:rPr>
                <w:rFonts w:cs="Arial"/>
                <w:b/>
                <w:bCs/>
              </w:rPr>
            </w:pPr>
            <w:r w:rsidRPr="009B7B35">
              <w:rPr>
                <w:rFonts w:cs="Arial"/>
                <w:b/>
                <w:bCs/>
              </w:rPr>
              <w:t>PO8</w:t>
            </w:r>
          </w:p>
          <w:p w14:paraId="616FFA94" w14:textId="77777777" w:rsidR="00BE36FB" w:rsidRPr="009B7B35" w:rsidRDefault="00BE36FB" w:rsidP="001A7107">
            <w:pPr>
              <w:pStyle w:val="TableText"/>
              <w:rPr>
                <w:rFonts w:cs="Arial"/>
              </w:rPr>
            </w:pPr>
            <w:r w:rsidRPr="009B7B35">
              <w:rPr>
                <w:rFonts w:cs="Arial"/>
              </w:rPr>
              <w:t>Design elements contribute to an interesting and attractive streetscape and building through:</w:t>
            </w:r>
          </w:p>
          <w:p w14:paraId="1FECF5EE" w14:textId="77777777" w:rsidR="00BE36FB" w:rsidRPr="009B7B35" w:rsidRDefault="00BE36FB" w:rsidP="00BE36FB">
            <w:pPr>
              <w:pStyle w:val="TableText"/>
              <w:numPr>
                <w:ilvl w:val="0"/>
                <w:numId w:val="214"/>
              </w:numPr>
              <w:rPr>
                <w:rFonts w:cs="Arial"/>
              </w:rPr>
            </w:pPr>
            <w:r w:rsidRPr="009B7B35">
              <w:rPr>
                <w:rFonts w:cs="Arial"/>
              </w:rPr>
              <w:t>the provision of projections and recesses in the façade which reflect changes in internal functions of buildings, including circulation</w:t>
            </w:r>
          </w:p>
          <w:p w14:paraId="60A37018" w14:textId="77777777" w:rsidR="00BE36FB" w:rsidRPr="009B7B35" w:rsidRDefault="00BE36FB" w:rsidP="00BE36FB">
            <w:pPr>
              <w:pStyle w:val="TableText"/>
              <w:numPr>
                <w:ilvl w:val="0"/>
                <w:numId w:val="214"/>
              </w:numPr>
              <w:rPr>
                <w:rFonts w:cs="Arial"/>
              </w:rPr>
            </w:pPr>
            <w:r w:rsidRPr="009B7B35">
              <w:rPr>
                <w:rFonts w:cs="Arial"/>
              </w:rPr>
              <w:t>variations in material and building form</w:t>
            </w:r>
          </w:p>
          <w:p w14:paraId="7910313E" w14:textId="77777777" w:rsidR="00BE36FB" w:rsidRPr="009B7B35" w:rsidRDefault="00BE36FB" w:rsidP="00BE36FB">
            <w:pPr>
              <w:pStyle w:val="TableText"/>
              <w:numPr>
                <w:ilvl w:val="0"/>
                <w:numId w:val="214"/>
              </w:numPr>
              <w:rPr>
                <w:rFonts w:cs="Arial"/>
              </w:rPr>
            </w:pPr>
            <w:r w:rsidRPr="009B7B35">
              <w:rPr>
                <w:rFonts w:cs="Arial"/>
              </w:rPr>
              <w:t>modulation in the façade, horizontally or vertically</w:t>
            </w:r>
          </w:p>
          <w:p w14:paraId="7D3E0045" w14:textId="77777777" w:rsidR="00BE36FB" w:rsidRPr="009B7B35" w:rsidRDefault="00BE36FB" w:rsidP="00BE36FB">
            <w:pPr>
              <w:pStyle w:val="TableText"/>
              <w:numPr>
                <w:ilvl w:val="0"/>
                <w:numId w:val="214"/>
              </w:numPr>
              <w:rPr>
                <w:rFonts w:cs="Arial"/>
              </w:rPr>
            </w:pPr>
            <w:r w:rsidRPr="009B7B35">
              <w:rPr>
                <w:rFonts w:cs="Arial"/>
              </w:rPr>
              <w:t>articulation of building entrances and openings</w:t>
            </w:r>
          </w:p>
          <w:p w14:paraId="4E9D54DF" w14:textId="77777777" w:rsidR="00BE36FB" w:rsidRPr="009B7B35" w:rsidRDefault="00BE36FB" w:rsidP="00BE36FB">
            <w:pPr>
              <w:pStyle w:val="TableText"/>
              <w:numPr>
                <w:ilvl w:val="0"/>
                <w:numId w:val="214"/>
              </w:numPr>
              <w:rPr>
                <w:rFonts w:cs="Arial"/>
              </w:rPr>
            </w:pPr>
            <w:r w:rsidRPr="009B7B35">
              <w:rPr>
                <w:rFonts w:cs="Arial"/>
              </w:rPr>
              <w:t>corner treatments to address both street frontages</w:t>
            </w:r>
          </w:p>
          <w:p w14:paraId="04CDC7F5" w14:textId="77777777" w:rsidR="00BE36FB" w:rsidRPr="009B7B35" w:rsidRDefault="00BE36FB" w:rsidP="00BE36FB">
            <w:pPr>
              <w:pStyle w:val="TableText"/>
              <w:numPr>
                <w:ilvl w:val="0"/>
                <w:numId w:val="214"/>
              </w:numPr>
              <w:rPr>
                <w:rFonts w:cs="Arial"/>
              </w:rPr>
            </w:pPr>
            <w:r w:rsidRPr="009B7B35">
              <w:rPr>
                <w:rFonts w:cs="Arial"/>
              </w:rPr>
              <w:t xml:space="preserve">elements which assist in wayfinding and legibility, and </w:t>
            </w:r>
          </w:p>
          <w:p w14:paraId="657CA66B" w14:textId="77777777" w:rsidR="00BE36FB" w:rsidRPr="009B7B35" w:rsidRDefault="00BE36FB" w:rsidP="00BE36FB">
            <w:pPr>
              <w:pStyle w:val="TableText"/>
              <w:numPr>
                <w:ilvl w:val="0"/>
                <w:numId w:val="214"/>
              </w:numPr>
              <w:rPr>
                <w:rFonts w:cs="Arial"/>
              </w:rPr>
            </w:pPr>
            <w:r w:rsidRPr="009B7B35">
              <w:rPr>
                <w:rFonts w:cs="Arial"/>
              </w:rPr>
              <w:t>elements which relate to the context including surrounding buildings, parks, streets and open spaces.</w:t>
            </w:r>
          </w:p>
        </w:tc>
        <w:tc>
          <w:tcPr>
            <w:tcW w:w="4678" w:type="dxa"/>
          </w:tcPr>
          <w:p w14:paraId="7A093B59"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E808AB0" w14:textId="77777777" w:rsidTr="001A7107">
        <w:tc>
          <w:tcPr>
            <w:tcW w:w="4678" w:type="dxa"/>
          </w:tcPr>
          <w:p w14:paraId="00DAE640" w14:textId="77777777" w:rsidR="00BE36FB" w:rsidRPr="009B7B35" w:rsidRDefault="00BE36FB" w:rsidP="001A7107">
            <w:pPr>
              <w:pStyle w:val="TableText"/>
              <w:rPr>
                <w:rFonts w:cs="Arial"/>
                <w:b/>
                <w:bCs/>
              </w:rPr>
            </w:pPr>
            <w:r w:rsidRPr="009B7B35">
              <w:rPr>
                <w:rFonts w:cs="Arial"/>
                <w:b/>
                <w:bCs/>
              </w:rPr>
              <w:t>PO9</w:t>
            </w:r>
          </w:p>
          <w:p w14:paraId="68BFDBF2" w14:textId="77777777" w:rsidR="00BE36FB" w:rsidRPr="009B7B35" w:rsidRDefault="00BE36FB" w:rsidP="001A7107">
            <w:pPr>
              <w:pStyle w:val="TableText"/>
              <w:rPr>
                <w:rFonts w:cs="Arial"/>
              </w:rPr>
            </w:pPr>
            <w:r w:rsidRPr="009B7B35">
              <w:rPr>
                <w:rFonts w:cs="Arial"/>
              </w:rPr>
              <w:t>Roof form assists in reducing the appearance of building bulk by:</w:t>
            </w:r>
          </w:p>
          <w:p w14:paraId="2365C3AF" w14:textId="77777777" w:rsidR="00BE36FB" w:rsidRPr="009B7B35" w:rsidRDefault="00BE36FB" w:rsidP="00BE36FB">
            <w:pPr>
              <w:pStyle w:val="TableText"/>
              <w:numPr>
                <w:ilvl w:val="0"/>
                <w:numId w:val="113"/>
              </w:numPr>
              <w:rPr>
                <w:rFonts w:cs="Arial"/>
              </w:rPr>
            </w:pPr>
            <w:r w:rsidRPr="009B7B35">
              <w:rPr>
                <w:rFonts w:cs="Arial"/>
              </w:rPr>
              <w:t>articulating individual dwellings, and</w:t>
            </w:r>
          </w:p>
          <w:p w14:paraId="1210DDAE" w14:textId="77777777" w:rsidR="00BE36FB" w:rsidRPr="009B7B35" w:rsidRDefault="00BE36FB" w:rsidP="00BE36FB">
            <w:pPr>
              <w:pStyle w:val="TableText"/>
              <w:numPr>
                <w:ilvl w:val="0"/>
                <w:numId w:val="113"/>
              </w:numPr>
              <w:rPr>
                <w:rFonts w:cs="Arial"/>
              </w:rPr>
            </w:pPr>
            <w:r w:rsidRPr="009B7B35">
              <w:rPr>
                <w:rFonts w:cs="Arial"/>
              </w:rPr>
              <w:t>incorporating variety in design through use of roof pitch, height, gables and skillions.</w:t>
            </w:r>
          </w:p>
        </w:tc>
        <w:tc>
          <w:tcPr>
            <w:tcW w:w="4678" w:type="dxa"/>
          </w:tcPr>
          <w:p w14:paraId="2C150C2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9E55082" w14:textId="77777777" w:rsidTr="001A7107">
        <w:tc>
          <w:tcPr>
            <w:tcW w:w="9356" w:type="dxa"/>
            <w:gridSpan w:val="2"/>
            <w:shd w:val="clear" w:color="auto" w:fill="BFBFBF" w:themeFill="background1" w:themeFillShade="BF"/>
          </w:tcPr>
          <w:p w14:paraId="64555D33"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31BB6F93" w14:textId="77777777" w:rsidTr="001A7107">
        <w:tc>
          <w:tcPr>
            <w:tcW w:w="4678" w:type="dxa"/>
          </w:tcPr>
          <w:p w14:paraId="2D4E630B" w14:textId="77777777" w:rsidR="00BE36FB" w:rsidRPr="009B7B35" w:rsidRDefault="00BE36FB" w:rsidP="001A7107">
            <w:pPr>
              <w:pStyle w:val="TableText"/>
              <w:rPr>
                <w:rFonts w:cs="Arial"/>
                <w:b/>
                <w:bCs/>
              </w:rPr>
            </w:pPr>
            <w:r w:rsidRPr="009B7B35">
              <w:rPr>
                <w:rFonts w:cs="Arial"/>
                <w:b/>
                <w:bCs/>
              </w:rPr>
              <w:t>PO10</w:t>
            </w:r>
          </w:p>
          <w:p w14:paraId="333A7257" w14:textId="77777777"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14:paraId="6441492C" w14:textId="77777777" w:rsidR="00BE36FB" w:rsidRPr="009B7B35" w:rsidRDefault="00BE36FB" w:rsidP="00BE36FB">
            <w:pPr>
              <w:pStyle w:val="TableText"/>
              <w:numPr>
                <w:ilvl w:val="0"/>
                <w:numId w:val="215"/>
              </w:numPr>
              <w:rPr>
                <w:rFonts w:cs="Arial"/>
              </w:rPr>
            </w:pPr>
            <w:r w:rsidRPr="009B7B35">
              <w:rPr>
                <w:rFonts w:cs="Arial"/>
              </w:rPr>
              <w:t>any hazards to people or property are avoided</w:t>
            </w:r>
          </w:p>
          <w:p w14:paraId="37A10775" w14:textId="77777777" w:rsidR="00BE36FB" w:rsidRPr="009B7B35" w:rsidRDefault="00BE36FB" w:rsidP="00BE36FB">
            <w:pPr>
              <w:pStyle w:val="TableText"/>
              <w:numPr>
                <w:ilvl w:val="0"/>
                <w:numId w:val="215"/>
              </w:numPr>
              <w:rPr>
                <w:rFonts w:cs="Arial"/>
              </w:rPr>
            </w:pPr>
            <w:r w:rsidRPr="009B7B35">
              <w:rPr>
                <w:rFonts w:cs="Arial"/>
              </w:rPr>
              <w:t>any earthworks are minimised</w:t>
            </w:r>
          </w:p>
          <w:p w14:paraId="37A7F19D" w14:textId="77777777" w:rsidR="00BE36FB" w:rsidRPr="009B7B35" w:rsidRDefault="00BE36FB" w:rsidP="00BE36FB">
            <w:pPr>
              <w:pStyle w:val="TableText"/>
              <w:numPr>
                <w:ilvl w:val="0"/>
                <w:numId w:val="215"/>
              </w:numPr>
              <w:rPr>
                <w:rFonts w:cs="Arial"/>
              </w:rPr>
            </w:pPr>
            <w:r w:rsidRPr="009B7B35">
              <w:rPr>
                <w:rFonts w:cs="Arial"/>
              </w:rPr>
              <w:t>the retention of natural drainage lines is maximised</w:t>
            </w:r>
          </w:p>
          <w:p w14:paraId="40ECF345" w14:textId="77777777" w:rsidR="00BE36FB" w:rsidRPr="009B7B35" w:rsidRDefault="00BE36FB" w:rsidP="00BE36FB">
            <w:pPr>
              <w:pStyle w:val="TableText"/>
              <w:numPr>
                <w:ilvl w:val="0"/>
                <w:numId w:val="215"/>
              </w:numPr>
              <w:rPr>
                <w:rFonts w:cs="Arial"/>
              </w:rPr>
            </w:pPr>
            <w:r w:rsidRPr="009B7B35">
              <w:rPr>
                <w:rFonts w:cs="Arial"/>
              </w:rPr>
              <w:t xml:space="preserve">the retention of existing vegetation is maximised, and </w:t>
            </w:r>
          </w:p>
          <w:p w14:paraId="5D3D72BC" w14:textId="77777777" w:rsidR="00BE36FB" w:rsidRPr="009B7B35" w:rsidRDefault="00BE36FB" w:rsidP="00BE36FB">
            <w:pPr>
              <w:pStyle w:val="TableText"/>
              <w:numPr>
                <w:ilvl w:val="0"/>
                <w:numId w:val="215"/>
              </w:numPr>
              <w:rPr>
                <w:rFonts w:cs="Arial"/>
              </w:rPr>
            </w:pPr>
            <w:r w:rsidRPr="009B7B35">
              <w:rPr>
                <w:rFonts w:cs="Arial"/>
              </w:rPr>
              <w:t>there is adequate buffering, screening or separation to adjoining development.</w:t>
            </w:r>
          </w:p>
        </w:tc>
        <w:tc>
          <w:tcPr>
            <w:tcW w:w="4678" w:type="dxa"/>
          </w:tcPr>
          <w:p w14:paraId="196779E1"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C159DB0" w14:textId="77777777" w:rsidTr="001A7107">
        <w:trPr>
          <w:cantSplit/>
        </w:trPr>
        <w:tc>
          <w:tcPr>
            <w:tcW w:w="4678" w:type="dxa"/>
          </w:tcPr>
          <w:p w14:paraId="7EB43523" w14:textId="77777777" w:rsidR="00BE36FB" w:rsidRPr="009B7B35" w:rsidRDefault="00BE36FB" w:rsidP="001A7107">
            <w:pPr>
              <w:pStyle w:val="TableText"/>
              <w:rPr>
                <w:rFonts w:cs="Arial"/>
                <w:b/>
                <w:bCs/>
              </w:rPr>
            </w:pPr>
            <w:r w:rsidRPr="009B7B35">
              <w:rPr>
                <w:rFonts w:cs="Arial"/>
                <w:b/>
                <w:bCs/>
              </w:rPr>
              <w:t>PO11</w:t>
            </w:r>
          </w:p>
          <w:p w14:paraId="62677EA4" w14:textId="77777777" w:rsidR="00BE36FB" w:rsidRPr="009B7B35" w:rsidRDefault="00BE36FB" w:rsidP="001A7107">
            <w:pPr>
              <w:pStyle w:val="TableText"/>
              <w:rPr>
                <w:rFonts w:cs="Arial"/>
              </w:rPr>
            </w:pPr>
            <w:r w:rsidRPr="009B7B35">
              <w:rPr>
                <w:rFonts w:cs="Arial"/>
              </w:rPr>
              <w:t xml:space="preserve">All uses are located, designed, orientated and constructed to: </w:t>
            </w:r>
          </w:p>
          <w:p w14:paraId="37724E64" w14:textId="77777777" w:rsidR="00BE36FB" w:rsidRPr="009B7B35" w:rsidRDefault="00BE36FB" w:rsidP="00BE36FB">
            <w:pPr>
              <w:pStyle w:val="TableText"/>
              <w:numPr>
                <w:ilvl w:val="0"/>
                <w:numId w:val="114"/>
              </w:numPr>
              <w:rPr>
                <w:rFonts w:cs="Arial"/>
              </w:rPr>
            </w:pPr>
            <w:r w:rsidRPr="009B7B35">
              <w:rPr>
                <w:rFonts w:cs="Arial"/>
              </w:rPr>
              <w:t>minimise noise, dust, odour or other nuisance from existing lawful uses</w:t>
            </w:r>
          </w:p>
          <w:p w14:paraId="373632FD" w14:textId="77777777" w:rsidR="00BE36FB" w:rsidRPr="009B7B35" w:rsidRDefault="00BE36FB" w:rsidP="00BE36FB">
            <w:pPr>
              <w:pStyle w:val="TableText"/>
              <w:numPr>
                <w:ilvl w:val="0"/>
                <w:numId w:val="114"/>
              </w:numPr>
              <w:rPr>
                <w:rFonts w:cs="Arial"/>
              </w:rPr>
            </w:pPr>
            <w:r w:rsidRPr="009B7B35">
              <w:rPr>
                <w:rFonts w:cs="Arial"/>
              </w:rPr>
              <w:t>minimise nuisance caused by noise, vibration and dust emissions generated by the state–controlled road and rail network in the vicinity of land in the low density residential zone.</w:t>
            </w:r>
          </w:p>
        </w:tc>
        <w:tc>
          <w:tcPr>
            <w:tcW w:w="4678" w:type="dxa"/>
          </w:tcPr>
          <w:p w14:paraId="354ED386"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D603961" w14:textId="77777777" w:rsidTr="001A7107">
        <w:trPr>
          <w:cantSplit/>
        </w:trPr>
        <w:tc>
          <w:tcPr>
            <w:tcW w:w="9356" w:type="dxa"/>
            <w:gridSpan w:val="2"/>
            <w:shd w:val="clear" w:color="auto" w:fill="BFBFBF" w:themeFill="background1" w:themeFillShade="BF"/>
          </w:tcPr>
          <w:p w14:paraId="544F32E4" w14:textId="77777777" w:rsidR="00BE36FB" w:rsidRPr="009B7B35" w:rsidRDefault="00BE36FB" w:rsidP="001A7107">
            <w:pPr>
              <w:pStyle w:val="Tableheading"/>
              <w:rPr>
                <w:rFonts w:ascii="Arial" w:hAnsi="Arial" w:cs="Arial"/>
                <w:szCs w:val="20"/>
              </w:rPr>
            </w:pPr>
            <w:r w:rsidRPr="009B7B35">
              <w:rPr>
                <w:rFonts w:ascii="Arial" w:hAnsi="Arial" w:cs="Arial"/>
                <w:szCs w:val="20"/>
              </w:rPr>
              <w:t>Use – Shop or Food and Drink Outlet (where using an existing non–residential building)</w:t>
            </w:r>
          </w:p>
        </w:tc>
      </w:tr>
      <w:tr w:rsidR="00BE36FB" w:rsidRPr="009B7B35" w14:paraId="644F4B3B" w14:textId="77777777" w:rsidTr="001A7107">
        <w:trPr>
          <w:cantSplit/>
        </w:trPr>
        <w:tc>
          <w:tcPr>
            <w:tcW w:w="4678" w:type="dxa"/>
          </w:tcPr>
          <w:p w14:paraId="6F86354C" w14:textId="77777777" w:rsidR="00BE36FB" w:rsidRPr="009B7B35" w:rsidRDefault="00BE36FB" w:rsidP="001A7107">
            <w:pPr>
              <w:pStyle w:val="TableText"/>
              <w:rPr>
                <w:rFonts w:cs="Arial"/>
                <w:b/>
                <w:bCs/>
              </w:rPr>
            </w:pPr>
            <w:r w:rsidRPr="009B7B35">
              <w:rPr>
                <w:rFonts w:cs="Arial"/>
                <w:b/>
                <w:bCs/>
              </w:rPr>
              <w:t>PO12</w:t>
            </w:r>
          </w:p>
          <w:p w14:paraId="0AB79694" w14:textId="77777777" w:rsidR="00BE36FB" w:rsidRPr="009B7B35" w:rsidRDefault="00BE36FB" w:rsidP="001A7107">
            <w:pPr>
              <w:pStyle w:val="TableText"/>
              <w:rPr>
                <w:rFonts w:cs="Arial"/>
              </w:rPr>
            </w:pPr>
            <w:r w:rsidRPr="009B7B35">
              <w:rPr>
                <w:rFonts w:cs="Arial"/>
              </w:rPr>
              <w:t>Development is low impact and:</w:t>
            </w:r>
          </w:p>
          <w:p w14:paraId="401869E2" w14:textId="77777777" w:rsidR="00BE36FB" w:rsidRPr="009B7B35" w:rsidRDefault="00BE36FB" w:rsidP="00BE36FB">
            <w:pPr>
              <w:pStyle w:val="TableText"/>
              <w:numPr>
                <w:ilvl w:val="0"/>
                <w:numId w:val="404"/>
              </w:numPr>
              <w:rPr>
                <w:rFonts w:cs="Arial"/>
              </w:rPr>
            </w:pPr>
            <w:r w:rsidRPr="009B7B35">
              <w:rPr>
                <w:rFonts w:cs="Arial"/>
              </w:rPr>
              <w:t>limited in scale and size</w:t>
            </w:r>
          </w:p>
          <w:p w14:paraId="03A2CCD6" w14:textId="77777777" w:rsidR="00BE36FB" w:rsidRPr="009B7B35" w:rsidRDefault="00BE36FB" w:rsidP="00BE36FB">
            <w:pPr>
              <w:pStyle w:val="TableText"/>
              <w:numPr>
                <w:ilvl w:val="0"/>
                <w:numId w:val="404"/>
              </w:numPr>
              <w:rPr>
                <w:rFonts w:cs="Arial"/>
              </w:rPr>
            </w:pPr>
            <w:r w:rsidRPr="009B7B35">
              <w:rPr>
                <w:rFonts w:cs="Arial"/>
              </w:rPr>
              <w:t>complementary to local character and amenity</w:t>
            </w:r>
          </w:p>
          <w:p w14:paraId="1798D708" w14:textId="77777777" w:rsidR="00BE36FB" w:rsidRPr="009B7B35" w:rsidRDefault="00BE36FB" w:rsidP="00BE36FB">
            <w:pPr>
              <w:pStyle w:val="TableText"/>
              <w:numPr>
                <w:ilvl w:val="0"/>
                <w:numId w:val="404"/>
              </w:numPr>
              <w:rPr>
                <w:rFonts w:cs="Arial"/>
              </w:rPr>
            </w:pPr>
            <w:r w:rsidRPr="009B7B35">
              <w:rPr>
                <w:rFonts w:cs="Arial"/>
              </w:rPr>
              <w:t>directly supports the day to day needs of the immediate residential community</w:t>
            </w:r>
          </w:p>
          <w:p w14:paraId="5D7E049A" w14:textId="77777777" w:rsidR="00BE36FB" w:rsidRPr="009B7B35" w:rsidRDefault="00BE36FB" w:rsidP="00BE36FB">
            <w:pPr>
              <w:pStyle w:val="TableText"/>
              <w:numPr>
                <w:ilvl w:val="0"/>
                <w:numId w:val="404"/>
              </w:numPr>
              <w:rPr>
                <w:rFonts w:cs="Arial"/>
              </w:rPr>
            </w:pPr>
            <w:r w:rsidRPr="009B7B35">
              <w:rPr>
                <w:rFonts w:cs="Arial"/>
              </w:rPr>
              <w:t>located on a site which must adequately accommodate activity needs and space requirements, and</w:t>
            </w:r>
          </w:p>
          <w:p w14:paraId="468378B6" w14:textId="77777777" w:rsidR="00BE36FB" w:rsidRPr="009B7B35" w:rsidRDefault="00BE36FB" w:rsidP="00BE36FB">
            <w:pPr>
              <w:pStyle w:val="TableText"/>
              <w:numPr>
                <w:ilvl w:val="0"/>
                <w:numId w:val="404"/>
              </w:numPr>
              <w:rPr>
                <w:rFonts w:cs="Arial"/>
              </w:rPr>
            </w:pPr>
            <w:r w:rsidRPr="009B7B35">
              <w:rPr>
                <w:rFonts w:cs="Arial"/>
              </w:rPr>
              <w:t>does not undermine the viability of nearby centres.</w:t>
            </w:r>
          </w:p>
        </w:tc>
        <w:tc>
          <w:tcPr>
            <w:tcW w:w="4678" w:type="dxa"/>
          </w:tcPr>
          <w:p w14:paraId="3CBAC61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671D55F" w14:textId="77777777" w:rsidTr="001A7107">
        <w:trPr>
          <w:cantSplit/>
        </w:trPr>
        <w:tc>
          <w:tcPr>
            <w:tcW w:w="4678" w:type="dxa"/>
          </w:tcPr>
          <w:p w14:paraId="51060A92" w14:textId="77777777" w:rsidR="00BE36FB" w:rsidRPr="009B7B35" w:rsidRDefault="00BE36FB" w:rsidP="001A7107">
            <w:pPr>
              <w:pStyle w:val="TableText"/>
              <w:rPr>
                <w:rFonts w:cs="Arial"/>
                <w:b/>
                <w:bCs/>
              </w:rPr>
            </w:pPr>
            <w:r w:rsidRPr="009B7B35">
              <w:rPr>
                <w:rFonts w:cs="Arial"/>
                <w:b/>
                <w:bCs/>
              </w:rPr>
              <w:t>PO13</w:t>
            </w:r>
          </w:p>
          <w:p w14:paraId="6FD071B5" w14:textId="77777777" w:rsidR="00BE36FB" w:rsidRPr="009B7B35" w:rsidRDefault="00BE36FB" w:rsidP="001A7107">
            <w:pPr>
              <w:pStyle w:val="TableText"/>
              <w:rPr>
                <w:rFonts w:cs="Arial"/>
              </w:rPr>
            </w:pPr>
            <w:r w:rsidRPr="009B7B35">
              <w:rPr>
                <w:rFonts w:cs="Arial"/>
              </w:rPr>
              <w:t>Development does not adversely impact on residential amenity.</w:t>
            </w:r>
          </w:p>
        </w:tc>
        <w:tc>
          <w:tcPr>
            <w:tcW w:w="4678" w:type="dxa"/>
          </w:tcPr>
          <w:p w14:paraId="2AA71176" w14:textId="77777777" w:rsidR="00BE36FB" w:rsidRPr="009B7B35" w:rsidRDefault="00BE36FB" w:rsidP="001A7107">
            <w:pPr>
              <w:pStyle w:val="TableText"/>
              <w:rPr>
                <w:rFonts w:cs="Arial"/>
                <w:b/>
                <w:bCs/>
              </w:rPr>
            </w:pPr>
            <w:r w:rsidRPr="009B7B35">
              <w:rPr>
                <w:rFonts w:cs="Arial"/>
                <w:b/>
                <w:bCs/>
              </w:rPr>
              <w:t>AO13</w:t>
            </w:r>
          </w:p>
          <w:p w14:paraId="66559423" w14:textId="77777777" w:rsidR="00BE36FB" w:rsidRPr="009B7B35" w:rsidRDefault="00BE36FB" w:rsidP="001A7107">
            <w:pPr>
              <w:pStyle w:val="TableText"/>
              <w:rPr>
                <w:rFonts w:cs="Arial"/>
              </w:rPr>
            </w:pPr>
            <w:r w:rsidRPr="009B7B35">
              <w:rPr>
                <w:rFonts w:cs="Arial"/>
              </w:rPr>
              <w:t>The use operates between:</w:t>
            </w:r>
          </w:p>
          <w:p w14:paraId="7C20EC5C" w14:textId="77777777" w:rsidR="00BE36FB" w:rsidRPr="009B7B35" w:rsidRDefault="00BE36FB" w:rsidP="00BE36FB">
            <w:pPr>
              <w:pStyle w:val="TableText"/>
              <w:numPr>
                <w:ilvl w:val="0"/>
                <w:numId w:val="213"/>
              </w:numPr>
              <w:ind w:left="510" w:hanging="510"/>
              <w:rPr>
                <w:rFonts w:cs="Arial"/>
              </w:rPr>
            </w:pPr>
            <w:r w:rsidRPr="009B7B35">
              <w:rPr>
                <w:rFonts w:cs="Arial"/>
              </w:rPr>
              <w:t>7am and 7pm Monday to Saturday, and</w:t>
            </w:r>
          </w:p>
          <w:p w14:paraId="161889F9" w14:textId="77777777" w:rsidR="00BE36FB" w:rsidRPr="009B7B35" w:rsidRDefault="00BE36FB" w:rsidP="00BE36FB">
            <w:pPr>
              <w:pStyle w:val="TableText"/>
              <w:numPr>
                <w:ilvl w:val="0"/>
                <w:numId w:val="213"/>
              </w:numPr>
              <w:ind w:left="510" w:hanging="510"/>
              <w:rPr>
                <w:rFonts w:cs="Arial"/>
              </w:rPr>
            </w:pPr>
            <w:r w:rsidRPr="009B7B35">
              <w:rPr>
                <w:rFonts w:cs="Arial"/>
              </w:rPr>
              <w:t>7am and 1pm on Sunday.</w:t>
            </w:r>
          </w:p>
        </w:tc>
      </w:tr>
    </w:tbl>
    <w:p w14:paraId="18137508"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3D7D6D60" w14:textId="77777777" w:rsidR="00BE36FB" w:rsidRPr="009B7B35" w:rsidRDefault="00BE36FB" w:rsidP="006776DA">
      <w:pPr>
        <w:pStyle w:val="Heading3"/>
        <w:keepLines/>
        <w:numPr>
          <w:ilvl w:val="2"/>
          <w:numId w:val="883"/>
        </w:numPr>
        <w:spacing w:before="240"/>
        <w:rPr>
          <w:rFonts w:ascii="Arial" w:hAnsi="Arial"/>
          <w:sz w:val="20"/>
          <w:szCs w:val="20"/>
        </w:rPr>
      </w:pPr>
      <w:bookmarkStart w:id="184" w:name="_Toc205367347"/>
      <w:r w:rsidRPr="009B7B35">
        <w:rPr>
          <w:rFonts w:ascii="Arial" w:hAnsi="Arial"/>
          <w:sz w:val="20"/>
          <w:szCs w:val="20"/>
        </w:rPr>
        <w:t>Low–medium density residential</w:t>
      </w:r>
      <w:bookmarkEnd w:id="184"/>
    </w:p>
    <w:p w14:paraId="0FD9E1EE"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34BD2A13"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5803E0BC"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27D1713A" w14:textId="77777777" w:rsidR="00BE36FB" w:rsidRPr="009B7B35" w:rsidRDefault="00BE36FB" w:rsidP="00BE36FB">
      <w:pPr>
        <w:numPr>
          <w:ilvl w:val="0"/>
          <w:numId w:val="162"/>
        </w:numPr>
        <w:rPr>
          <w:rFonts w:ascii="Arial" w:hAnsi="Arial" w:cs="Arial"/>
          <w:sz w:val="20"/>
          <w:szCs w:val="20"/>
        </w:rPr>
      </w:pPr>
      <w:r w:rsidRPr="009B7B35">
        <w:rPr>
          <w:rFonts w:ascii="Arial" w:hAnsi="Arial" w:cs="Arial"/>
          <w:sz w:val="20"/>
          <w:szCs w:val="20"/>
        </w:rPr>
        <w:t>The purpose of the low–medium density residential zone is to provide for a range and mix of dwelling types including dwelling houses and various forms of low–rise multiple dwellings supported by some community uses and small–scale services and facilities that cater for local residents.</w:t>
      </w:r>
    </w:p>
    <w:p w14:paraId="28F18B40" w14:textId="77777777" w:rsidR="00BE36FB" w:rsidRPr="009B7B35" w:rsidRDefault="00BE36FB" w:rsidP="00BE36FB">
      <w:pPr>
        <w:numPr>
          <w:ilvl w:val="0"/>
          <w:numId w:val="162"/>
        </w:numPr>
        <w:rPr>
          <w:rFonts w:ascii="Arial" w:hAnsi="Arial" w:cs="Arial"/>
          <w:sz w:val="20"/>
          <w:szCs w:val="20"/>
        </w:rPr>
      </w:pPr>
      <w:r w:rsidRPr="009B7B35">
        <w:rPr>
          <w:rFonts w:ascii="Arial" w:hAnsi="Arial" w:cs="Arial"/>
          <w:sz w:val="20"/>
          <w:szCs w:val="20"/>
        </w:rPr>
        <w:t>Residential development supports housing choice and affordability along with opportunities for residents to age in place through appropriate housing mix, location and design.</w:t>
      </w:r>
    </w:p>
    <w:p w14:paraId="5577CD2C" w14:textId="77777777" w:rsidR="00BE36FB" w:rsidRPr="009B7B35" w:rsidRDefault="00BE36FB" w:rsidP="00BE36FB">
      <w:pPr>
        <w:numPr>
          <w:ilvl w:val="0"/>
          <w:numId w:val="162"/>
        </w:numPr>
        <w:rPr>
          <w:rFonts w:ascii="Arial" w:hAnsi="Arial" w:cs="Arial"/>
          <w:sz w:val="20"/>
          <w:szCs w:val="20"/>
        </w:rPr>
      </w:pPr>
      <w:r w:rsidRPr="009B7B35">
        <w:rPr>
          <w:rFonts w:ascii="Arial" w:hAnsi="Arial" w:cs="Arial"/>
          <w:sz w:val="20"/>
          <w:szCs w:val="20"/>
        </w:rPr>
        <w:t>The purpose of the zone will be achieved through the following overall outcomes:</w:t>
      </w:r>
    </w:p>
    <w:p w14:paraId="7006F04A" w14:textId="77777777"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provides a range of residential dwelling choices or building types including dwelling houses, dwelling houses on narrow lots, dual occupancy and small scale multiple dwellings.</w:t>
      </w:r>
    </w:p>
    <w:p w14:paraId="553D48E2" w14:textId="77777777"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Buildings are of a scale, height and size that reflect a low–medium density neighbourhood character through design elements that reduce building bulk and create an attractive streetscape.</w:t>
      </w:r>
    </w:p>
    <w:p w14:paraId="2B21E5A3" w14:textId="77777777"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creates pleasant living environments that ensure privacy, access to sunlight, open space, ventilation and natural climate control.</w:t>
      </w:r>
    </w:p>
    <w:p w14:paraId="4E736865" w14:textId="77777777"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supports safe and walkable neighbourhoods that are well connected to employment nodes, centres, open space and recreational areas, community services and educational opportunities.</w:t>
      </w:r>
    </w:p>
    <w:p w14:paraId="3C78BDCA" w14:textId="77777777"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Small scale non–residential uses may be supported where such uses directly support the day to day needs of the immediate residential community, do not undermine the viability of nearby centres and complement residential amenity.</w:t>
      </w:r>
    </w:p>
    <w:p w14:paraId="7F15B2B7" w14:textId="77777777"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is supported by employment nodes, community facilities and services, transport and commercial hubs in other zones.</w:t>
      </w:r>
    </w:p>
    <w:p w14:paraId="7E76097E" w14:textId="77777777"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water conservation and public/active transport use.</w:t>
      </w:r>
    </w:p>
    <w:p w14:paraId="11572016" w14:textId="77777777"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is supported by transport infrastructure that is designed to provide and promote safe and efficient public transport use, walking and cycling.</w:t>
      </w:r>
    </w:p>
    <w:p w14:paraId="5676A277" w14:textId="77777777"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is supported by necessary open space and recreational areas and appropriate infrastructure to support the needs of the local community.</w:t>
      </w:r>
    </w:p>
    <w:p w14:paraId="20438B18" w14:textId="77777777"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maintains a high level of residential amenity having regard to traffic, noise, dust, odour, lighting, overshadowing and other locally specific impacts.</w:t>
      </w:r>
    </w:p>
    <w:p w14:paraId="5A3BE5B8" w14:textId="77777777"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responds to land constraints, including but not limited to bushfire, flooding and minimising changes to natural topography.</w:t>
      </w:r>
    </w:p>
    <w:p w14:paraId="46E8A10E" w14:textId="77777777"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Development mitigates any adverse impacts on adjoining areas of environmental significance, including creeks, gullies, waterways, wetlands, coastal areas, habitats, vegetation and bushland through location, design, operation and management requirements.</w:t>
      </w:r>
    </w:p>
    <w:p w14:paraId="65776E6D" w14:textId="77777777" w:rsidR="00BE36FB" w:rsidRPr="009B7B35" w:rsidRDefault="00BE36FB" w:rsidP="00BE36FB">
      <w:pPr>
        <w:numPr>
          <w:ilvl w:val="1"/>
          <w:numId w:val="162"/>
        </w:numPr>
        <w:rPr>
          <w:rFonts w:ascii="Arial" w:hAnsi="Arial" w:cs="Arial"/>
          <w:sz w:val="20"/>
          <w:szCs w:val="20"/>
        </w:rPr>
      </w:pPr>
      <w:r w:rsidRPr="009B7B35">
        <w:rPr>
          <w:rFonts w:ascii="Arial" w:hAnsi="Arial" w:cs="Arial"/>
          <w:sz w:val="20"/>
          <w:szCs w:val="20"/>
        </w:rPr>
        <w:t>Residential development is protected from the impacts of any nearby industrial activities, transport corridors, infrastructure, installations and major facilities.</w:t>
      </w:r>
    </w:p>
    <w:p w14:paraId="31D42B5B"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33902125"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3B544F2D" w14:textId="77777777" w:rsidR="00BE36FB" w:rsidRPr="009B7B35" w:rsidRDefault="00BE36FB" w:rsidP="00B2383D">
      <w:pPr>
        <w:pStyle w:val="Heading5"/>
        <w:numPr>
          <w:ilvl w:val="0"/>
          <w:numId w:val="0"/>
        </w:numPr>
        <w:rPr>
          <w:rFonts w:cs="Arial"/>
          <w:szCs w:val="20"/>
        </w:rPr>
      </w:pPr>
      <w:r w:rsidRPr="009B7B35">
        <w:rPr>
          <w:rFonts w:cs="Arial"/>
          <w:szCs w:val="20"/>
        </w:rPr>
        <w:t>Table 6.2.2.3.1— Accepted development subject to requirements and assessable development</w:t>
      </w:r>
    </w:p>
    <w:tbl>
      <w:tblPr>
        <w:tblStyle w:val="Tablestyle"/>
        <w:tblW w:w="0" w:type="auto"/>
        <w:tblLayout w:type="fixed"/>
        <w:tblLook w:val="0620" w:firstRow="1" w:lastRow="0" w:firstColumn="0" w:lastColumn="0" w:noHBand="1" w:noVBand="1"/>
      </w:tblPr>
      <w:tblGrid>
        <w:gridCol w:w="4678"/>
        <w:gridCol w:w="4678"/>
      </w:tblGrid>
      <w:tr w:rsidR="00BE36FB" w:rsidRPr="009B7B35" w14:paraId="03EF834E"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2C6E36CF"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1B39654A"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39BB2C85" w14:textId="77777777" w:rsidTr="001A7107">
        <w:trPr>
          <w:cantSplit/>
        </w:trPr>
        <w:tc>
          <w:tcPr>
            <w:tcW w:w="9356" w:type="dxa"/>
            <w:gridSpan w:val="2"/>
            <w:shd w:val="clear" w:color="auto" w:fill="BFBFBF" w:themeFill="background1" w:themeFillShade="BF"/>
          </w:tcPr>
          <w:p w14:paraId="168CFC63"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72489ABB" w14:textId="77777777" w:rsidTr="001A7107">
        <w:trPr>
          <w:cantSplit/>
        </w:trPr>
        <w:tc>
          <w:tcPr>
            <w:tcW w:w="4678" w:type="dxa"/>
            <w:vMerge w:val="restart"/>
          </w:tcPr>
          <w:p w14:paraId="5CA7B9E4" w14:textId="77777777" w:rsidR="00BE36FB" w:rsidRPr="009B7B35" w:rsidRDefault="00BE36FB" w:rsidP="001A7107">
            <w:pPr>
              <w:pStyle w:val="TableText"/>
              <w:rPr>
                <w:rFonts w:cs="Arial"/>
                <w:b/>
                <w:bCs/>
              </w:rPr>
            </w:pPr>
            <w:r w:rsidRPr="009B7B35">
              <w:rPr>
                <w:rFonts w:cs="Arial"/>
                <w:b/>
                <w:bCs/>
              </w:rPr>
              <w:t>PO1</w:t>
            </w:r>
          </w:p>
          <w:p w14:paraId="299335EC" w14:textId="77777777" w:rsidR="00BE36FB" w:rsidRPr="009B7B35" w:rsidRDefault="00BE36FB" w:rsidP="001A7107">
            <w:pPr>
              <w:pStyle w:val="TableText"/>
              <w:rPr>
                <w:rFonts w:cs="Arial"/>
              </w:rPr>
            </w:pPr>
            <w:r w:rsidRPr="009B7B35">
              <w:rPr>
                <w:rFonts w:cs="Arial"/>
              </w:rPr>
              <w:t>Development:</w:t>
            </w:r>
          </w:p>
          <w:p w14:paraId="0F886D43" w14:textId="77777777" w:rsidR="00BE36FB" w:rsidRPr="009B7B35" w:rsidRDefault="00BE36FB" w:rsidP="00BE36FB">
            <w:pPr>
              <w:pStyle w:val="TableText"/>
              <w:numPr>
                <w:ilvl w:val="0"/>
                <w:numId w:val="222"/>
              </w:numPr>
              <w:rPr>
                <w:rFonts w:cs="Arial"/>
              </w:rPr>
            </w:pPr>
            <w:r w:rsidRPr="009B7B35">
              <w:rPr>
                <w:rFonts w:cs="Arial"/>
              </w:rPr>
              <w:t>is ancillary to the primary use, and</w:t>
            </w:r>
          </w:p>
          <w:p w14:paraId="7FD46499" w14:textId="77777777" w:rsidR="00BE36FB" w:rsidRPr="009B7B35" w:rsidRDefault="00BE36FB" w:rsidP="00BE36FB">
            <w:pPr>
              <w:pStyle w:val="TableText"/>
              <w:numPr>
                <w:ilvl w:val="0"/>
                <w:numId w:val="222"/>
              </w:numPr>
              <w:rPr>
                <w:rFonts w:cs="Arial"/>
              </w:rPr>
            </w:pPr>
            <w:r w:rsidRPr="009B7B35">
              <w:rPr>
                <w:rFonts w:cs="Arial"/>
              </w:rPr>
              <w:t>provides adequate open space for the caretaker.</w:t>
            </w:r>
          </w:p>
        </w:tc>
        <w:tc>
          <w:tcPr>
            <w:tcW w:w="4678" w:type="dxa"/>
          </w:tcPr>
          <w:p w14:paraId="122449CE" w14:textId="77777777" w:rsidR="00BE36FB" w:rsidRPr="009B7B35" w:rsidRDefault="00BE36FB" w:rsidP="001A7107">
            <w:pPr>
              <w:pStyle w:val="TableText"/>
              <w:rPr>
                <w:rFonts w:cs="Arial"/>
                <w:b/>
                <w:bCs/>
              </w:rPr>
            </w:pPr>
            <w:r w:rsidRPr="009B7B35">
              <w:rPr>
                <w:rFonts w:cs="Arial"/>
                <w:b/>
                <w:bCs/>
              </w:rPr>
              <w:t>AO1.1</w:t>
            </w:r>
          </w:p>
          <w:p w14:paraId="15302002" w14:textId="77777777" w:rsidR="00BE36FB" w:rsidRPr="009B7B35" w:rsidRDefault="00BE36FB" w:rsidP="001A7107">
            <w:pPr>
              <w:pStyle w:val="TableText"/>
              <w:rPr>
                <w:rFonts w:cs="Arial"/>
              </w:rPr>
            </w:pPr>
            <w:r w:rsidRPr="009B7B35">
              <w:rPr>
                <w:rFonts w:cs="Arial"/>
              </w:rPr>
              <w:t>No more than one caretaker’s accommodation unit is established on the site.</w:t>
            </w:r>
          </w:p>
        </w:tc>
      </w:tr>
      <w:tr w:rsidR="00BE36FB" w:rsidRPr="009B7B35" w14:paraId="30FD051B" w14:textId="77777777" w:rsidTr="001A7107">
        <w:trPr>
          <w:cantSplit/>
        </w:trPr>
        <w:tc>
          <w:tcPr>
            <w:tcW w:w="4678" w:type="dxa"/>
            <w:vMerge/>
          </w:tcPr>
          <w:p w14:paraId="6664E600" w14:textId="77777777" w:rsidR="00BE36FB" w:rsidRPr="009B7B35" w:rsidRDefault="00BE36FB" w:rsidP="001A7107">
            <w:pPr>
              <w:pStyle w:val="TableText"/>
              <w:rPr>
                <w:rFonts w:cs="Arial"/>
              </w:rPr>
            </w:pPr>
          </w:p>
        </w:tc>
        <w:tc>
          <w:tcPr>
            <w:tcW w:w="4678" w:type="dxa"/>
          </w:tcPr>
          <w:p w14:paraId="47D887C2" w14:textId="77777777" w:rsidR="00BE36FB" w:rsidRPr="009B7B35" w:rsidRDefault="00BE36FB" w:rsidP="001A7107">
            <w:pPr>
              <w:pStyle w:val="TableText"/>
              <w:rPr>
                <w:rFonts w:cs="Arial"/>
                <w:b/>
                <w:bCs/>
              </w:rPr>
            </w:pPr>
            <w:r w:rsidRPr="009B7B35">
              <w:rPr>
                <w:rFonts w:cs="Arial"/>
                <w:b/>
                <w:bCs/>
              </w:rPr>
              <w:t>AO1.2</w:t>
            </w:r>
          </w:p>
          <w:p w14:paraId="58DCFDAF" w14:textId="77777777" w:rsidR="00BE36FB" w:rsidRPr="009B7B35" w:rsidRDefault="00BE36FB" w:rsidP="001A7107">
            <w:pPr>
              <w:pStyle w:val="TableText"/>
              <w:rPr>
                <w:rFonts w:cs="Arial"/>
              </w:rPr>
            </w:pPr>
            <w:r w:rsidRPr="009B7B35">
              <w:rPr>
                <w:rFonts w:cs="Arial"/>
              </w:rPr>
              <w:t>The caretaker’s accommodation unit is a maximum of 100m</w:t>
            </w:r>
            <w:r w:rsidRPr="009B7B35">
              <w:rPr>
                <w:rFonts w:cs="Arial"/>
                <w:vertAlign w:val="superscript"/>
              </w:rPr>
              <w:t xml:space="preserve">2 </w:t>
            </w:r>
            <w:r w:rsidRPr="009B7B35">
              <w:rPr>
                <w:rFonts w:cs="Arial"/>
              </w:rPr>
              <w:t>in GFA.</w:t>
            </w:r>
          </w:p>
        </w:tc>
      </w:tr>
      <w:tr w:rsidR="00BE36FB" w:rsidRPr="009B7B35" w14:paraId="53AC7A7A" w14:textId="77777777" w:rsidTr="001A7107">
        <w:trPr>
          <w:cantSplit/>
        </w:trPr>
        <w:tc>
          <w:tcPr>
            <w:tcW w:w="4678" w:type="dxa"/>
            <w:vMerge/>
          </w:tcPr>
          <w:p w14:paraId="75B9B12D" w14:textId="77777777" w:rsidR="00BE36FB" w:rsidRPr="009B7B35" w:rsidRDefault="00BE36FB" w:rsidP="001A7107">
            <w:pPr>
              <w:pStyle w:val="TableText"/>
              <w:rPr>
                <w:rFonts w:cs="Arial"/>
              </w:rPr>
            </w:pPr>
          </w:p>
        </w:tc>
        <w:tc>
          <w:tcPr>
            <w:tcW w:w="4678" w:type="dxa"/>
          </w:tcPr>
          <w:p w14:paraId="6FCEF96A" w14:textId="77777777" w:rsidR="00BE36FB" w:rsidRPr="009B7B35" w:rsidRDefault="00BE36FB" w:rsidP="001A7107">
            <w:pPr>
              <w:pStyle w:val="TableText"/>
              <w:rPr>
                <w:rFonts w:cs="Arial"/>
                <w:b/>
                <w:bCs/>
              </w:rPr>
            </w:pPr>
            <w:r w:rsidRPr="009B7B35">
              <w:rPr>
                <w:rFonts w:cs="Arial"/>
                <w:b/>
                <w:bCs/>
              </w:rPr>
              <w:t>AO1.3</w:t>
            </w:r>
          </w:p>
          <w:p w14:paraId="72435143" w14:textId="77777777" w:rsidR="00BE36FB" w:rsidRPr="009B7B35" w:rsidRDefault="00BE36FB" w:rsidP="001A7107">
            <w:pPr>
              <w:pStyle w:val="TableText"/>
              <w:rPr>
                <w:rFonts w:cs="Arial"/>
              </w:rPr>
            </w:pPr>
            <w:r w:rsidRPr="009B7B35">
              <w:rPr>
                <w:rFonts w:cs="Arial"/>
              </w:rPr>
              <w:t>Private open space area is provided which:</w:t>
            </w:r>
          </w:p>
          <w:p w14:paraId="1B917DFD" w14:textId="77777777" w:rsidR="00BE36FB" w:rsidRPr="009B7B35" w:rsidRDefault="00BE36FB" w:rsidP="00BE36FB">
            <w:pPr>
              <w:pStyle w:val="TableText"/>
              <w:numPr>
                <w:ilvl w:val="0"/>
                <w:numId w:val="426"/>
              </w:numPr>
              <w:rPr>
                <w:rFonts w:cs="Arial"/>
              </w:rPr>
            </w:pPr>
            <w:r w:rsidRPr="009B7B35">
              <w:rPr>
                <w:rFonts w:cs="Arial"/>
              </w:rPr>
              <w:t>is directly accessible from a habitable room, and</w:t>
            </w:r>
          </w:p>
          <w:p w14:paraId="379B161F" w14:textId="77777777" w:rsidR="00BE36FB" w:rsidRPr="009B7B35" w:rsidRDefault="00BE36FB" w:rsidP="00BE36FB">
            <w:pPr>
              <w:pStyle w:val="TableText"/>
              <w:numPr>
                <w:ilvl w:val="0"/>
                <w:numId w:val="426"/>
              </w:numPr>
              <w:rPr>
                <w:rFonts w:cs="Arial"/>
              </w:rPr>
            </w:pPr>
            <w:r w:rsidRPr="009B7B35">
              <w:rPr>
                <w:rFonts w:cs="Arial"/>
              </w:rPr>
              <w:t>where a balcony, a verandah or a deck, has a minimum area of 15m</w:t>
            </w:r>
            <w:r w:rsidRPr="009B7B35">
              <w:rPr>
                <w:rStyle w:val="StyleSuperscript"/>
                <w:rFonts w:cs="Arial"/>
              </w:rPr>
              <w:t>2</w:t>
            </w:r>
            <w:r w:rsidRPr="009B7B35">
              <w:rPr>
                <w:rFonts w:cs="Arial"/>
              </w:rPr>
              <w:t xml:space="preserve"> with a minimum horizontal dimension of 1.25m.</w:t>
            </w:r>
          </w:p>
        </w:tc>
      </w:tr>
      <w:tr w:rsidR="00BE36FB" w:rsidRPr="009B7B35" w14:paraId="25647E1E" w14:textId="77777777" w:rsidTr="001A7107">
        <w:trPr>
          <w:cantSplit/>
        </w:trPr>
        <w:tc>
          <w:tcPr>
            <w:tcW w:w="9356" w:type="dxa"/>
            <w:gridSpan w:val="2"/>
            <w:shd w:val="clear" w:color="auto" w:fill="BFBFBF" w:themeFill="background1" w:themeFillShade="BF"/>
          </w:tcPr>
          <w:p w14:paraId="1AE384A5" w14:textId="77777777" w:rsidR="00BE36FB" w:rsidRPr="009B7B35" w:rsidRDefault="00BE36FB">
            <w:pPr>
              <w:pStyle w:val="Tableheading"/>
              <w:rPr>
                <w:rFonts w:ascii="Arial" w:hAnsi="Arial" w:cs="Arial"/>
                <w:szCs w:val="20"/>
              </w:rPr>
            </w:pPr>
            <w:r w:rsidRPr="009B7B35">
              <w:rPr>
                <w:rFonts w:ascii="Arial" w:hAnsi="Arial" w:cs="Arial"/>
                <w:szCs w:val="20"/>
              </w:rPr>
              <w:t>Use – Sales office</w:t>
            </w:r>
          </w:p>
        </w:tc>
      </w:tr>
      <w:tr w:rsidR="00BE36FB" w:rsidRPr="009B7B35" w14:paraId="658CD23A" w14:textId="77777777" w:rsidTr="001A7107">
        <w:trPr>
          <w:cantSplit/>
        </w:trPr>
        <w:tc>
          <w:tcPr>
            <w:tcW w:w="4678" w:type="dxa"/>
            <w:vMerge w:val="restart"/>
          </w:tcPr>
          <w:p w14:paraId="1B470604" w14:textId="77777777" w:rsidR="00BE36FB" w:rsidRPr="009B7B35" w:rsidRDefault="00BE36FB" w:rsidP="001A7107">
            <w:pPr>
              <w:pStyle w:val="TableText"/>
              <w:rPr>
                <w:rFonts w:cs="Arial"/>
                <w:b/>
                <w:bCs/>
              </w:rPr>
            </w:pPr>
            <w:r w:rsidRPr="009B7B35">
              <w:rPr>
                <w:rFonts w:cs="Arial"/>
                <w:b/>
                <w:bCs/>
              </w:rPr>
              <w:t>PO2</w:t>
            </w:r>
          </w:p>
          <w:p w14:paraId="0EBE7503" w14:textId="77777777"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14:paraId="3B9BB85A" w14:textId="77777777" w:rsidR="00BE36FB" w:rsidRPr="009B7B35" w:rsidRDefault="00BE36FB" w:rsidP="001A7107">
            <w:pPr>
              <w:pStyle w:val="TableText"/>
              <w:rPr>
                <w:rFonts w:cs="Arial"/>
                <w:b/>
                <w:bCs/>
              </w:rPr>
            </w:pPr>
            <w:r w:rsidRPr="009B7B35">
              <w:rPr>
                <w:rFonts w:cs="Arial"/>
                <w:b/>
                <w:bCs/>
              </w:rPr>
              <w:t>AO2.1</w:t>
            </w:r>
          </w:p>
          <w:p w14:paraId="5FFC1A61" w14:textId="77777777" w:rsidR="00BE36FB" w:rsidRPr="009B7B35" w:rsidRDefault="00BE36FB" w:rsidP="001A7107">
            <w:pPr>
              <w:pStyle w:val="TableText"/>
              <w:rPr>
                <w:rFonts w:cs="Arial"/>
              </w:rPr>
            </w:pPr>
            <w:r w:rsidRPr="009B7B35">
              <w:rPr>
                <w:rFonts w:cs="Arial"/>
              </w:rPr>
              <w:t>Development of the sales office is in place for no more than 2 years.</w:t>
            </w:r>
          </w:p>
        </w:tc>
      </w:tr>
      <w:tr w:rsidR="00BE36FB" w:rsidRPr="009B7B35" w14:paraId="42A95801" w14:textId="77777777" w:rsidTr="001A7107">
        <w:trPr>
          <w:cantSplit/>
        </w:trPr>
        <w:tc>
          <w:tcPr>
            <w:tcW w:w="4678" w:type="dxa"/>
            <w:vMerge/>
          </w:tcPr>
          <w:p w14:paraId="6669F6DA" w14:textId="77777777" w:rsidR="00BE36FB" w:rsidRPr="009B7B35" w:rsidRDefault="00BE36FB" w:rsidP="001A7107">
            <w:pPr>
              <w:pStyle w:val="TableText"/>
              <w:rPr>
                <w:rFonts w:cs="Arial"/>
              </w:rPr>
            </w:pPr>
          </w:p>
        </w:tc>
        <w:tc>
          <w:tcPr>
            <w:tcW w:w="4678" w:type="dxa"/>
          </w:tcPr>
          <w:p w14:paraId="0A2FE5BC" w14:textId="77777777" w:rsidR="00BE36FB" w:rsidRPr="009B7B35" w:rsidRDefault="00BE36FB" w:rsidP="001A7107">
            <w:pPr>
              <w:pStyle w:val="TableText"/>
              <w:rPr>
                <w:rFonts w:cs="Arial"/>
                <w:b/>
                <w:bCs/>
              </w:rPr>
            </w:pPr>
            <w:r w:rsidRPr="009B7B35">
              <w:rPr>
                <w:rFonts w:cs="Arial"/>
                <w:b/>
                <w:bCs/>
              </w:rPr>
              <w:t>AO2.2</w:t>
            </w:r>
          </w:p>
          <w:p w14:paraId="6A8D1D49" w14:textId="77777777" w:rsidR="00BE36FB" w:rsidRPr="009B7B35" w:rsidRDefault="00BE36FB" w:rsidP="001A7107">
            <w:pPr>
              <w:pStyle w:val="TableText"/>
              <w:rPr>
                <w:rFonts w:cs="Arial"/>
              </w:rPr>
            </w:pPr>
            <w:r w:rsidRPr="009B7B35">
              <w:rPr>
                <w:rFonts w:cs="Arial"/>
              </w:rPr>
              <w:t>The site coverage of the building is a maximum of 50% of the site area.</w:t>
            </w:r>
          </w:p>
        </w:tc>
      </w:tr>
      <w:tr w:rsidR="00BE36FB" w:rsidRPr="009B7B35" w14:paraId="0192698F" w14:textId="77777777" w:rsidTr="001A7107">
        <w:trPr>
          <w:cantSplit/>
        </w:trPr>
        <w:tc>
          <w:tcPr>
            <w:tcW w:w="4678" w:type="dxa"/>
            <w:vMerge/>
          </w:tcPr>
          <w:p w14:paraId="75A1FA13" w14:textId="77777777" w:rsidR="00BE36FB" w:rsidRPr="009B7B35" w:rsidRDefault="00BE36FB" w:rsidP="001A7107">
            <w:pPr>
              <w:pStyle w:val="TableText"/>
              <w:rPr>
                <w:rFonts w:cs="Arial"/>
              </w:rPr>
            </w:pPr>
          </w:p>
        </w:tc>
        <w:tc>
          <w:tcPr>
            <w:tcW w:w="4678" w:type="dxa"/>
          </w:tcPr>
          <w:p w14:paraId="62039154" w14:textId="77777777" w:rsidR="00BE36FB" w:rsidRPr="009B7B35" w:rsidRDefault="00BE36FB" w:rsidP="001A7107">
            <w:pPr>
              <w:pStyle w:val="TableText"/>
              <w:rPr>
                <w:rFonts w:cs="Arial"/>
                <w:b/>
                <w:bCs/>
              </w:rPr>
            </w:pPr>
            <w:r w:rsidRPr="009B7B35">
              <w:rPr>
                <w:rFonts w:cs="Arial"/>
                <w:b/>
                <w:bCs/>
              </w:rPr>
              <w:t>AO2.3</w:t>
            </w:r>
          </w:p>
          <w:p w14:paraId="3DEB290B" w14:textId="77777777"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14:paraId="087787DF" w14:textId="77777777" w:rsidTr="001A7107">
        <w:trPr>
          <w:cantSplit/>
        </w:trPr>
        <w:tc>
          <w:tcPr>
            <w:tcW w:w="4678" w:type="dxa"/>
            <w:vMerge/>
          </w:tcPr>
          <w:p w14:paraId="68E84F44" w14:textId="77777777" w:rsidR="00BE36FB" w:rsidRPr="009B7B35" w:rsidRDefault="00BE36FB" w:rsidP="001A7107">
            <w:pPr>
              <w:pStyle w:val="TableText"/>
              <w:rPr>
                <w:rFonts w:cs="Arial"/>
              </w:rPr>
            </w:pPr>
          </w:p>
        </w:tc>
        <w:tc>
          <w:tcPr>
            <w:tcW w:w="4678" w:type="dxa"/>
          </w:tcPr>
          <w:p w14:paraId="3335C603" w14:textId="77777777" w:rsidR="00BE36FB" w:rsidRPr="009B7B35" w:rsidRDefault="00BE36FB" w:rsidP="001A7107">
            <w:pPr>
              <w:pStyle w:val="TableText"/>
              <w:rPr>
                <w:rFonts w:cs="Arial"/>
                <w:b/>
                <w:bCs/>
              </w:rPr>
            </w:pPr>
            <w:r w:rsidRPr="009B7B35">
              <w:rPr>
                <w:rFonts w:cs="Arial"/>
                <w:b/>
                <w:bCs/>
              </w:rPr>
              <w:t>AO2.4</w:t>
            </w:r>
          </w:p>
          <w:p w14:paraId="30FA2C05" w14:textId="77777777" w:rsidR="00BE36FB" w:rsidRPr="009B7B35" w:rsidRDefault="00BE36FB" w:rsidP="001A7107">
            <w:pPr>
              <w:pStyle w:val="TableText"/>
              <w:rPr>
                <w:rFonts w:cs="Arial"/>
              </w:rPr>
            </w:pPr>
            <w:r w:rsidRPr="009B7B35">
              <w:rPr>
                <w:rFonts w:cs="Arial"/>
              </w:rPr>
              <w:t>The use operates between 8am and 6pm Monday to Saturday and between 9am and 1pm on Sunday.</w:t>
            </w:r>
          </w:p>
        </w:tc>
      </w:tr>
      <w:tr w:rsidR="00BE36FB" w:rsidRPr="009B7B35" w14:paraId="72F1F9E5" w14:textId="77777777" w:rsidTr="001A7107">
        <w:trPr>
          <w:cantSplit/>
        </w:trPr>
        <w:tc>
          <w:tcPr>
            <w:tcW w:w="9356" w:type="dxa"/>
            <w:gridSpan w:val="2"/>
            <w:shd w:val="clear" w:color="auto" w:fill="BFBFBF" w:themeFill="background1" w:themeFillShade="BF"/>
          </w:tcPr>
          <w:p w14:paraId="6CA4377F" w14:textId="77777777"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14:paraId="42808CFA" w14:textId="77777777" w:rsidTr="001A7107">
        <w:tc>
          <w:tcPr>
            <w:tcW w:w="4678" w:type="dxa"/>
          </w:tcPr>
          <w:p w14:paraId="480CC2A6" w14:textId="77777777" w:rsidR="00BE36FB" w:rsidRPr="009B7B35" w:rsidRDefault="00BE36FB" w:rsidP="001A7107">
            <w:pPr>
              <w:pStyle w:val="TableText"/>
              <w:rPr>
                <w:rFonts w:cs="Arial"/>
                <w:b/>
                <w:bCs/>
              </w:rPr>
            </w:pPr>
            <w:r w:rsidRPr="009B7B35">
              <w:rPr>
                <w:rFonts w:cs="Arial"/>
                <w:b/>
                <w:bCs/>
              </w:rPr>
              <w:t>PO3</w:t>
            </w:r>
          </w:p>
          <w:p w14:paraId="2C9428E8" w14:textId="77777777" w:rsidR="00BE36FB" w:rsidRPr="009B7B35" w:rsidRDefault="00BE36FB" w:rsidP="001A7107">
            <w:pPr>
              <w:pStyle w:val="TableText"/>
              <w:rPr>
                <w:rFonts w:cs="Arial"/>
              </w:rPr>
            </w:pPr>
            <w:r w:rsidRPr="009B7B35">
              <w:rPr>
                <w:rFonts w:cs="Arial"/>
              </w:rPr>
              <w:t>Buildings:</w:t>
            </w:r>
          </w:p>
          <w:p w14:paraId="4AF21483" w14:textId="77777777" w:rsidR="00BE36FB" w:rsidRPr="009B7B35" w:rsidRDefault="00BE36FB" w:rsidP="00BE36FB">
            <w:pPr>
              <w:pStyle w:val="TableText"/>
              <w:numPr>
                <w:ilvl w:val="0"/>
                <w:numId w:val="216"/>
              </w:numPr>
              <w:rPr>
                <w:rFonts w:cs="Arial"/>
              </w:rPr>
            </w:pPr>
            <w:r w:rsidRPr="009B7B35">
              <w:rPr>
                <w:rFonts w:cs="Arial"/>
              </w:rPr>
              <w:t>are low–medium rise</w:t>
            </w:r>
          </w:p>
          <w:p w14:paraId="4409C353" w14:textId="77777777" w:rsidR="00BE36FB" w:rsidRPr="009B7B35" w:rsidRDefault="00BE36FB" w:rsidP="00BE36FB">
            <w:pPr>
              <w:pStyle w:val="TableText"/>
              <w:numPr>
                <w:ilvl w:val="0"/>
                <w:numId w:val="216"/>
              </w:numPr>
              <w:rPr>
                <w:rFonts w:cs="Arial"/>
              </w:rPr>
            </w:pPr>
            <w:r w:rsidRPr="009B7B35">
              <w:rPr>
                <w:rFonts w:cs="Arial"/>
              </w:rPr>
              <w:t>do not create unreasonable overshadowing on adjoining residential properties, and</w:t>
            </w:r>
          </w:p>
          <w:p w14:paraId="459729E8" w14:textId="77777777" w:rsidR="00BE36FB" w:rsidRPr="009B7B35" w:rsidRDefault="00BE36FB" w:rsidP="00BE36FB">
            <w:pPr>
              <w:pStyle w:val="TableText"/>
              <w:numPr>
                <w:ilvl w:val="0"/>
                <w:numId w:val="216"/>
              </w:numPr>
              <w:rPr>
                <w:rFonts w:cs="Arial"/>
              </w:rPr>
            </w:pPr>
            <w:r w:rsidRPr="009B7B35">
              <w:rPr>
                <w:rFonts w:cs="Arial"/>
              </w:rPr>
              <w:t>do not adversely impact on the low–medium residential character and amenity of the area.</w:t>
            </w:r>
          </w:p>
          <w:p w14:paraId="532F928E" w14:textId="77777777" w:rsidR="00BE36FB" w:rsidRPr="009B7B35" w:rsidRDefault="00BE36FB" w:rsidP="001A7107">
            <w:pPr>
              <w:pStyle w:val="Notes"/>
              <w:rPr>
                <w:rFonts w:cs="Arial"/>
                <w:sz w:val="20"/>
                <w:szCs w:val="20"/>
              </w:rPr>
            </w:pPr>
            <w:r w:rsidRPr="009B7B35">
              <w:rPr>
                <w:rFonts w:cs="Arial"/>
                <w:sz w:val="20"/>
                <w:szCs w:val="20"/>
              </w:rPr>
              <w:t>Note—Shadow diagrams must be prepared that demonstrate compliance with this performance outcome where building height exceeds the corresponding acceptable outcome. These diagrams must address the impacts of overshadowing between the hours of 9am to 3pm on 21 June.</w:t>
            </w:r>
          </w:p>
        </w:tc>
        <w:tc>
          <w:tcPr>
            <w:tcW w:w="4678" w:type="dxa"/>
          </w:tcPr>
          <w:p w14:paraId="6316334A" w14:textId="77777777" w:rsidR="00BE36FB" w:rsidRPr="009B7B35" w:rsidRDefault="00BE36FB" w:rsidP="001A7107">
            <w:pPr>
              <w:pStyle w:val="TableText"/>
              <w:rPr>
                <w:rFonts w:cs="Arial"/>
                <w:b/>
                <w:bCs/>
              </w:rPr>
            </w:pPr>
            <w:r w:rsidRPr="009B7B35">
              <w:rPr>
                <w:rFonts w:cs="Arial"/>
                <w:b/>
                <w:bCs/>
              </w:rPr>
              <w:t>AO3</w:t>
            </w:r>
          </w:p>
          <w:p w14:paraId="65BA98B0" w14:textId="77777777" w:rsidR="00BE36FB" w:rsidRPr="009B7B35" w:rsidRDefault="00BE36FB" w:rsidP="001A7107">
            <w:pPr>
              <w:pStyle w:val="TableText"/>
              <w:rPr>
                <w:rFonts w:cs="Arial"/>
              </w:rPr>
            </w:pPr>
            <w:r w:rsidRPr="009B7B35">
              <w:rPr>
                <w:rFonts w:cs="Arial"/>
              </w:rPr>
              <w:t>Building height does not exceed 8.5m and 2 storeys above ground level.</w:t>
            </w:r>
          </w:p>
        </w:tc>
      </w:tr>
      <w:tr w:rsidR="00BE36FB" w:rsidRPr="009B7B35" w14:paraId="4E3A444D" w14:textId="77777777" w:rsidTr="001A7107">
        <w:tc>
          <w:tcPr>
            <w:tcW w:w="4678" w:type="dxa"/>
          </w:tcPr>
          <w:p w14:paraId="58AD2205" w14:textId="77777777" w:rsidR="00BE36FB" w:rsidRPr="009B7B35" w:rsidRDefault="00BE36FB" w:rsidP="001A7107">
            <w:pPr>
              <w:pStyle w:val="TableText"/>
              <w:rPr>
                <w:rFonts w:cs="Arial"/>
                <w:b/>
                <w:bCs/>
              </w:rPr>
            </w:pPr>
            <w:r w:rsidRPr="009B7B35">
              <w:rPr>
                <w:rFonts w:cs="Arial"/>
                <w:b/>
                <w:bCs/>
              </w:rPr>
              <w:t>PO4</w:t>
            </w:r>
          </w:p>
          <w:p w14:paraId="04FEF36F" w14:textId="77777777" w:rsidR="00BE36FB" w:rsidRPr="009B7B35" w:rsidRDefault="00BE36FB" w:rsidP="001A7107">
            <w:pPr>
              <w:pStyle w:val="TableText"/>
              <w:rPr>
                <w:rFonts w:cs="Arial"/>
              </w:rPr>
            </w:pPr>
            <w:r w:rsidRPr="009B7B35">
              <w:rPr>
                <w:rFonts w:cs="Arial"/>
              </w:rPr>
              <w:t>Residential buildings:</w:t>
            </w:r>
          </w:p>
          <w:p w14:paraId="43CDA617" w14:textId="77777777" w:rsidR="00BE36FB" w:rsidRPr="009B7B35" w:rsidRDefault="00BE36FB" w:rsidP="00BE36FB">
            <w:pPr>
              <w:pStyle w:val="TableText"/>
              <w:numPr>
                <w:ilvl w:val="0"/>
                <w:numId w:val="217"/>
              </w:numPr>
              <w:rPr>
                <w:rFonts w:cs="Arial"/>
              </w:rPr>
            </w:pPr>
            <w:r w:rsidRPr="009B7B35">
              <w:rPr>
                <w:rFonts w:cs="Arial"/>
              </w:rPr>
              <w:t>are proportionate to the size and street frontage of the site</w:t>
            </w:r>
          </w:p>
          <w:p w14:paraId="4369A61C" w14:textId="77777777" w:rsidR="00BE36FB" w:rsidRPr="009B7B35" w:rsidRDefault="00BE36FB" w:rsidP="00BE36FB">
            <w:pPr>
              <w:pStyle w:val="TableText"/>
              <w:numPr>
                <w:ilvl w:val="0"/>
                <w:numId w:val="217"/>
              </w:numPr>
              <w:rPr>
                <w:rFonts w:cs="Arial"/>
              </w:rPr>
            </w:pPr>
            <w:r w:rsidRPr="009B7B35">
              <w:rPr>
                <w:rFonts w:cs="Arial"/>
              </w:rPr>
              <w:t>protect low–medium density neighbourhood character</w:t>
            </w:r>
          </w:p>
          <w:p w14:paraId="47164D46" w14:textId="77777777" w:rsidR="00BE36FB" w:rsidRPr="009B7B35" w:rsidRDefault="00BE36FB" w:rsidP="00BE36FB">
            <w:pPr>
              <w:pStyle w:val="TableText"/>
              <w:numPr>
                <w:ilvl w:val="0"/>
                <w:numId w:val="217"/>
              </w:numPr>
              <w:rPr>
                <w:rFonts w:cs="Arial"/>
              </w:rPr>
            </w:pPr>
            <w:r w:rsidRPr="009B7B35">
              <w:rPr>
                <w:rFonts w:cs="Arial"/>
              </w:rPr>
              <w:t>provide setbacks that maintain appropriate levels of light and solar penetration, air circulation, privacy and amenity for adjoining properties</w:t>
            </w:r>
          </w:p>
          <w:p w14:paraId="3D9F4CBF" w14:textId="77777777" w:rsidR="00BE36FB" w:rsidRPr="009B7B35" w:rsidRDefault="00BE36FB" w:rsidP="00BE36FB">
            <w:pPr>
              <w:pStyle w:val="TableText"/>
              <w:numPr>
                <w:ilvl w:val="0"/>
                <w:numId w:val="217"/>
              </w:numPr>
              <w:rPr>
                <w:rFonts w:cs="Arial"/>
              </w:rPr>
            </w:pPr>
            <w:r w:rsidRPr="009B7B35">
              <w:rPr>
                <w:rFonts w:cs="Arial"/>
              </w:rPr>
              <w:t>provide for adequate open space and landscape areas</w:t>
            </w:r>
          </w:p>
          <w:p w14:paraId="23501ED2" w14:textId="77777777" w:rsidR="00BE36FB" w:rsidRPr="009B7B35" w:rsidRDefault="00BE36FB" w:rsidP="00BE36FB">
            <w:pPr>
              <w:pStyle w:val="TableText"/>
              <w:numPr>
                <w:ilvl w:val="0"/>
                <w:numId w:val="217"/>
              </w:numPr>
              <w:rPr>
                <w:rFonts w:cs="Arial"/>
              </w:rPr>
            </w:pPr>
            <w:r w:rsidRPr="009B7B35">
              <w:rPr>
                <w:rFonts w:cs="Arial"/>
              </w:rPr>
              <w:t>reduce building bulk, and</w:t>
            </w:r>
          </w:p>
          <w:p w14:paraId="53BB1330" w14:textId="77777777" w:rsidR="00BE36FB" w:rsidRPr="009B7B35" w:rsidRDefault="00BE36FB" w:rsidP="00BE36FB">
            <w:pPr>
              <w:pStyle w:val="TableText"/>
              <w:numPr>
                <w:ilvl w:val="0"/>
                <w:numId w:val="217"/>
              </w:numPr>
              <w:rPr>
                <w:rFonts w:cs="Arial"/>
              </w:rPr>
            </w:pPr>
            <w:r w:rsidRPr="009B7B35">
              <w:rPr>
                <w:rFonts w:cs="Arial"/>
              </w:rPr>
              <w:t>allow casual surveillance of the street.</w:t>
            </w:r>
          </w:p>
        </w:tc>
        <w:tc>
          <w:tcPr>
            <w:tcW w:w="4678" w:type="dxa"/>
          </w:tcPr>
          <w:p w14:paraId="4ADBFB6B" w14:textId="77777777" w:rsidR="00BE36FB" w:rsidRPr="009B7B35" w:rsidRDefault="00BE36FB" w:rsidP="001A7107">
            <w:pPr>
              <w:pStyle w:val="TableText"/>
              <w:rPr>
                <w:rFonts w:cs="Arial"/>
                <w:b/>
                <w:bCs/>
              </w:rPr>
            </w:pPr>
            <w:r w:rsidRPr="009B7B35">
              <w:rPr>
                <w:rFonts w:cs="Arial"/>
                <w:b/>
                <w:bCs/>
              </w:rPr>
              <w:t>AO4</w:t>
            </w:r>
          </w:p>
          <w:p w14:paraId="74490FAF" w14:textId="77777777" w:rsidR="00BE36FB" w:rsidRPr="009B7B35" w:rsidRDefault="00BE36FB" w:rsidP="001A7107">
            <w:pPr>
              <w:pStyle w:val="TableText"/>
              <w:rPr>
                <w:rFonts w:cs="Arial"/>
              </w:rPr>
            </w:pPr>
            <w:r w:rsidRPr="009B7B35">
              <w:rPr>
                <w:rFonts w:cs="Arial"/>
              </w:rPr>
              <w:t>Residential buildings are in accordance with the following building types:</w:t>
            </w:r>
          </w:p>
          <w:p w14:paraId="31EBA848" w14:textId="77777777" w:rsidR="00BE36FB" w:rsidRPr="009B7B35" w:rsidRDefault="00BE36FB" w:rsidP="00BE36FB">
            <w:pPr>
              <w:pStyle w:val="TableText"/>
              <w:numPr>
                <w:ilvl w:val="0"/>
                <w:numId w:val="115"/>
              </w:numPr>
              <w:rPr>
                <w:rFonts w:cs="Arial"/>
              </w:rPr>
            </w:pPr>
            <w:r w:rsidRPr="009B7B35">
              <w:rPr>
                <w:rFonts w:cs="Arial"/>
              </w:rPr>
              <w:t>Figure 1—Dwelling house: Narrow lot</w:t>
            </w:r>
          </w:p>
          <w:p w14:paraId="38A3A7CD" w14:textId="77777777" w:rsidR="00BE36FB" w:rsidRPr="009B7B35" w:rsidRDefault="00BE36FB" w:rsidP="00BE36FB">
            <w:pPr>
              <w:pStyle w:val="TableText"/>
              <w:numPr>
                <w:ilvl w:val="0"/>
                <w:numId w:val="115"/>
              </w:numPr>
              <w:rPr>
                <w:rFonts w:cs="Arial"/>
              </w:rPr>
            </w:pPr>
            <w:r w:rsidRPr="009B7B35">
              <w:rPr>
                <w:rFonts w:cs="Arial"/>
              </w:rPr>
              <w:t>Figure 2—Dual occupancy</w:t>
            </w:r>
          </w:p>
          <w:p w14:paraId="79692E8C" w14:textId="77777777" w:rsidR="00BE36FB" w:rsidRPr="009B7B35" w:rsidRDefault="00BE36FB" w:rsidP="00BE36FB">
            <w:pPr>
              <w:pStyle w:val="TableText"/>
              <w:numPr>
                <w:ilvl w:val="0"/>
                <w:numId w:val="115"/>
              </w:numPr>
              <w:rPr>
                <w:rFonts w:cs="Arial"/>
              </w:rPr>
            </w:pPr>
            <w:r w:rsidRPr="009B7B35">
              <w:rPr>
                <w:rFonts w:cs="Arial"/>
              </w:rPr>
              <w:t>Figure 3—Multiple dwelling: Townhouses.</w:t>
            </w:r>
          </w:p>
          <w:p w14:paraId="532BB136" w14:textId="77777777" w:rsidR="00BE36FB" w:rsidRPr="009B7B35" w:rsidRDefault="00BE36FB">
            <w:pPr>
              <w:pStyle w:val="Notes"/>
              <w:rPr>
                <w:rFonts w:cs="Arial"/>
                <w:sz w:val="20"/>
                <w:szCs w:val="20"/>
              </w:rPr>
            </w:pPr>
            <w:r w:rsidRPr="009B7B35">
              <w:rPr>
                <w:rFonts w:cs="Arial"/>
                <w:sz w:val="20"/>
                <w:szCs w:val="20"/>
              </w:rPr>
              <w:t xml:space="preserve">Note—Setbacks for a dwelling house on a standard lot are regulated in the Queensland Development Code. </w:t>
            </w:r>
          </w:p>
        </w:tc>
      </w:tr>
      <w:tr w:rsidR="00BE36FB" w:rsidRPr="009B7B35" w14:paraId="3D6B3B36" w14:textId="77777777" w:rsidTr="001A7107">
        <w:trPr>
          <w:cantSplit/>
        </w:trPr>
        <w:tc>
          <w:tcPr>
            <w:tcW w:w="9356" w:type="dxa"/>
            <w:gridSpan w:val="2"/>
            <w:shd w:val="clear" w:color="auto" w:fill="BFBFBF" w:themeFill="background1" w:themeFillShade="BF"/>
          </w:tcPr>
          <w:p w14:paraId="2C5B1617" w14:textId="77777777"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14:paraId="65ED164D" w14:textId="77777777" w:rsidTr="001A7107">
        <w:trPr>
          <w:cantSplit/>
        </w:trPr>
        <w:tc>
          <w:tcPr>
            <w:tcW w:w="4678" w:type="dxa"/>
            <w:vMerge w:val="restart"/>
          </w:tcPr>
          <w:p w14:paraId="55CB4BB3" w14:textId="77777777" w:rsidR="00BE36FB" w:rsidRPr="009B7B35" w:rsidRDefault="00BE36FB" w:rsidP="001A7107">
            <w:pPr>
              <w:pStyle w:val="TableText"/>
              <w:rPr>
                <w:rFonts w:cs="Arial"/>
                <w:b/>
                <w:bCs/>
              </w:rPr>
            </w:pPr>
            <w:r w:rsidRPr="009B7B35">
              <w:rPr>
                <w:rFonts w:cs="Arial"/>
                <w:b/>
                <w:bCs/>
              </w:rPr>
              <w:t>PO5</w:t>
            </w:r>
          </w:p>
          <w:p w14:paraId="7323FDFF" w14:textId="77777777" w:rsidR="00BE36FB" w:rsidRPr="009B7B35" w:rsidRDefault="00BE36FB" w:rsidP="001A7107">
            <w:pPr>
              <w:pStyle w:val="TableText"/>
              <w:rPr>
                <w:rFonts w:cs="Arial"/>
              </w:rPr>
            </w:pPr>
            <w:r w:rsidRPr="009B7B35">
              <w:rPr>
                <w:rFonts w:cs="Arial"/>
              </w:rPr>
              <w:t>Residential density provides for low to medium density residential development.</w:t>
            </w:r>
          </w:p>
        </w:tc>
        <w:tc>
          <w:tcPr>
            <w:tcW w:w="4678" w:type="dxa"/>
          </w:tcPr>
          <w:p w14:paraId="46D41606" w14:textId="77777777" w:rsidR="00BE36FB" w:rsidRPr="009B7B35" w:rsidRDefault="00BE36FB" w:rsidP="001A7107">
            <w:pPr>
              <w:pStyle w:val="TableText"/>
              <w:rPr>
                <w:rFonts w:cs="Arial"/>
                <w:b/>
                <w:bCs/>
              </w:rPr>
            </w:pPr>
            <w:r w:rsidRPr="009B7B35">
              <w:rPr>
                <w:rFonts w:cs="Arial"/>
                <w:b/>
                <w:bCs/>
              </w:rPr>
              <w:t>AO5.1</w:t>
            </w:r>
          </w:p>
          <w:p w14:paraId="515DBDB8" w14:textId="77777777" w:rsidR="00BE36FB" w:rsidRPr="009B7B35" w:rsidRDefault="00BE36FB" w:rsidP="001A7107">
            <w:pPr>
              <w:pStyle w:val="TableText"/>
              <w:rPr>
                <w:rFonts w:cs="Arial"/>
              </w:rPr>
            </w:pPr>
            <w:r w:rsidRPr="009B7B35">
              <w:rPr>
                <w:rFonts w:cs="Arial"/>
              </w:rPr>
              <w:t>Residential density is a maximum of:</w:t>
            </w:r>
          </w:p>
          <w:p w14:paraId="14441802" w14:textId="77777777" w:rsidR="00BE36FB" w:rsidRPr="009B7B35" w:rsidRDefault="00BE36FB" w:rsidP="00BE36FB">
            <w:pPr>
              <w:pStyle w:val="TableText"/>
              <w:numPr>
                <w:ilvl w:val="0"/>
                <w:numId w:val="116"/>
              </w:numPr>
              <w:rPr>
                <w:rFonts w:cs="Arial"/>
              </w:rPr>
            </w:pPr>
            <w:r w:rsidRPr="009B7B35">
              <w:rPr>
                <w:rFonts w:cs="Arial"/>
              </w:rPr>
              <w:t>1 dwelling per lot where a dwelling house, or</w:t>
            </w:r>
          </w:p>
          <w:p w14:paraId="1359C83D" w14:textId="77777777" w:rsidR="00BE36FB" w:rsidRPr="009B7B35" w:rsidRDefault="00BE36FB" w:rsidP="00BE36FB">
            <w:pPr>
              <w:pStyle w:val="TableText"/>
              <w:numPr>
                <w:ilvl w:val="0"/>
                <w:numId w:val="116"/>
              </w:numPr>
              <w:rPr>
                <w:rFonts w:cs="Arial"/>
              </w:rPr>
            </w:pPr>
            <w:r w:rsidRPr="009B7B35">
              <w:rPr>
                <w:rFonts w:cs="Arial"/>
              </w:rPr>
              <w:t>1 dwelling per 300m</w:t>
            </w:r>
            <w:r w:rsidRPr="009B7B35">
              <w:rPr>
                <w:rFonts w:cs="Arial"/>
                <w:vertAlign w:val="superscript"/>
              </w:rPr>
              <w:t>2</w:t>
            </w:r>
            <w:r w:rsidRPr="009B7B35">
              <w:rPr>
                <w:rFonts w:cs="Arial"/>
              </w:rPr>
              <w:t xml:space="preserve"> where a dual occupancy, or</w:t>
            </w:r>
          </w:p>
          <w:p w14:paraId="766398E2" w14:textId="77777777" w:rsidR="00BE36FB" w:rsidRPr="009B7B35" w:rsidRDefault="00BE36FB" w:rsidP="00BE36FB">
            <w:pPr>
              <w:pStyle w:val="TableText"/>
              <w:numPr>
                <w:ilvl w:val="0"/>
                <w:numId w:val="116"/>
              </w:numPr>
              <w:rPr>
                <w:rFonts w:cs="Arial"/>
              </w:rPr>
            </w:pPr>
            <w:r w:rsidRPr="009B7B35">
              <w:rPr>
                <w:rFonts w:cs="Arial"/>
              </w:rPr>
              <w:t>1 dwelling per 240m</w:t>
            </w:r>
            <w:r w:rsidRPr="009B7B35">
              <w:rPr>
                <w:rFonts w:cs="Arial"/>
                <w:vertAlign w:val="superscript"/>
              </w:rPr>
              <w:t>2</w:t>
            </w:r>
            <w:r w:rsidRPr="009B7B35">
              <w:rPr>
                <w:rFonts w:cs="Arial"/>
              </w:rPr>
              <w:t xml:space="preserve"> where a multiple dwelling.</w:t>
            </w:r>
          </w:p>
        </w:tc>
      </w:tr>
      <w:tr w:rsidR="00BE36FB" w:rsidRPr="009B7B35" w14:paraId="005CB3D5" w14:textId="77777777" w:rsidTr="001A7107">
        <w:trPr>
          <w:cantSplit/>
          <w:trHeight w:val="1407"/>
        </w:trPr>
        <w:tc>
          <w:tcPr>
            <w:tcW w:w="4678" w:type="dxa"/>
            <w:vMerge/>
          </w:tcPr>
          <w:p w14:paraId="537D8015" w14:textId="77777777" w:rsidR="00BE36FB" w:rsidRPr="009B7B35" w:rsidRDefault="00BE36FB" w:rsidP="001A7107">
            <w:pPr>
              <w:pStyle w:val="TableText"/>
              <w:rPr>
                <w:rFonts w:cs="Arial"/>
                <w:b/>
                <w:bCs/>
              </w:rPr>
            </w:pPr>
          </w:p>
        </w:tc>
        <w:tc>
          <w:tcPr>
            <w:tcW w:w="4678" w:type="dxa"/>
          </w:tcPr>
          <w:p w14:paraId="10A785FD"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AO5.2</w:t>
            </w:r>
          </w:p>
          <w:p w14:paraId="05CC0505" w14:textId="77777777" w:rsidR="00BE36FB" w:rsidRPr="009B7B35" w:rsidRDefault="00BE36FB" w:rsidP="001A7107">
            <w:pPr>
              <w:pStyle w:val="TableText"/>
              <w:rPr>
                <w:rFonts w:cs="Arial"/>
              </w:rPr>
            </w:pPr>
            <w:r w:rsidRPr="009B7B35">
              <w:rPr>
                <w:rFonts w:cs="Arial"/>
              </w:rPr>
              <w:t xml:space="preserve">Where a dwelling house, any secondary dwelling is: </w:t>
            </w:r>
          </w:p>
          <w:p w14:paraId="7EE93694" w14:textId="77777777" w:rsidR="00BE36FB" w:rsidRPr="009B7B35" w:rsidRDefault="00BE36FB" w:rsidP="00BE36FB">
            <w:pPr>
              <w:pStyle w:val="TableText"/>
              <w:numPr>
                <w:ilvl w:val="0"/>
                <w:numId w:val="410"/>
              </w:numPr>
              <w:ind w:left="567" w:hanging="567"/>
              <w:rPr>
                <w:rFonts w:cs="Arial"/>
              </w:rPr>
            </w:pPr>
            <w:r w:rsidRPr="009B7B35">
              <w:rPr>
                <w:rFonts w:cs="Arial"/>
              </w:rPr>
              <w:t>a maximum of 80m</w:t>
            </w:r>
            <w:r w:rsidRPr="009B7B35">
              <w:rPr>
                <w:rStyle w:val="StyleSuperscript"/>
                <w:rFonts w:cs="Arial"/>
              </w:rPr>
              <w:t>2</w:t>
            </w:r>
            <w:r w:rsidRPr="009B7B35">
              <w:rPr>
                <w:rFonts w:cs="Arial"/>
              </w:rPr>
              <w:t xml:space="preserve"> GFA</w:t>
            </w:r>
          </w:p>
          <w:p w14:paraId="53DFBA95" w14:textId="77777777" w:rsidR="00BE36FB" w:rsidRPr="009B7B35" w:rsidRDefault="00BE36FB" w:rsidP="00BE36FB">
            <w:pPr>
              <w:pStyle w:val="TableText"/>
              <w:numPr>
                <w:ilvl w:val="0"/>
                <w:numId w:val="410"/>
              </w:numPr>
              <w:ind w:left="567" w:hanging="567"/>
              <w:rPr>
                <w:rFonts w:cs="Arial"/>
              </w:rPr>
            </w:pPr>
            <w:r w:rsidRPr="009B7B35">
              <w:rPr>
                <w:rFonts w:cs="Arial"/>
              </w:rPr>
              <w:t>located within 10m of the main building</w:t>
            </w:r>
          </w:p>
          <w:p w14:paraId="4905D8D8" w14:textId="77777777" w:rsidR="00BE36FB" w:rsidRPr="009B7B35" w:rsidRDefault="00BE36FB" w:rsidP="00BE36FB">
            <w:pPr>
              <w:pStyle w:val="TableText"/>
              <w:numPr>
                <w:ilvl w:val="0"/>
                <w:numId w:val="410"/>
              </w:numPr>
              <w:ind w:left="567" w:hanging="567"/>
              <w:rPr>
                <w:rFonts w:cs="Arial"/>
              </w:rPr>
            </w:pPr>
            <w:r w:rsidRPr="009B7B35">
              <w:rPr>
                <w:rFonts w:cs="Arial"/>
              </w:rPr>
              <w:t>linked to the main building by a defined footpath in the most direct route possible.</w:t>
            </w:r>
          </w:p>
        </w:tc>
      </w:tr>
      <w:tr w:rsidR="00BE36FB" w:rsidRPr="009B7B35" w14:paraId="61A3BEC3" w14:textId="77777777" w:rsidTr="001A7107">
        <w:trPr>
          <w:cantSplit/>
        </w:trPr>
        <w:tc>
          <w:tcPr>
            <w:tcW w:w="9356" w:type="dxa"/>
            <w:gridSpan w:val="2"/>
            <w:shd w:val="clear" w:color="auto" w:fill="BFBFBF" w:themeFill="background1" w:themeFillShade="BF"/>
          </w:tcPr>
          <w:p w14:paraId="7F6BB24A" w14:textId="77777777" w:rsidR="00BE36FB" w:rsidRPr="009B7B35" w:rsidRDefault="00BE36FB" w:rsidP="001A7107">
            <w:pPr>
              <w:pStyle w:val="Tableheading"/>
              <w:rPr>
                <w:rFonts w:ascii="Arial" w:hAnsi="Arial" w:cs="Arial"/>
                <w:szCs w:val="20"/>
              </w:rPr>
            </w:pPr>
            <w:r w:rsidRPr="009B7B35">
              <w:rPr>
                <w:rFonts w:ascii="Arial" w:hAnsi="Arial" w:cs="Arial"/>
                <w:szCs w:val="20"/>
              </w:rPr>
              <w:t>Open space</w:t>
            </w:r>
          </w:p>
        </w:tc>
      </w:tr>
      <w:tr w:rsidR="00BE36FB" w:rsidRPr="009B7B35" w14:paraId="2419A0D7" w14:textId="77777777" w:rsidTr="001A7107">
        <w:trPr>
          <w:cantSplit/>
        </w:trPr>
        <w:tc>
          <w:tcPr>
            <w:tcW w:w="4678" w:type="dxa"/>
            <w:vMerge w:val="restart"/>
          </w:tcPr>
          <w:p w14:paraId="61DA2D0F" w14:textId="77777777" w:rsidR="00BE36FB" w:rsidRPr="009B7B35" w:rsidRDefault="00BE36FB" w:rsidP="001A7107">
            <w:pPr>
              <w:pStyle w:val="TableText"/>
              <w:rPr>
                <w:rFonts w:cs="Arial"/>
                <w:b/>
                <w:bCs/>
              </w:rPr>
            </w:pPr>
            <w:r w:rsidRPr="009B7B35">
              <w:rPr>
                <w:rFonts w:cs="Arial"/>
                <w:b/>
                <w:bCs/>
              </w:rPr>
              <w:t>PO6</w:t>
            </w:r>
          </w:p>
          <w:p w14:paraId="09FF79B6" w14:textId="77777777" w:rsidR="00BE36FB" w:rsidRPr="009B7B35" w:rsidRDefault="00BE36FB">
            <w:pPr>
              <w:pStyle w:val="TableText"/>
              <w:rPr>
                <w:rFonts w:cs="Arial"/>
              </w:rPr>
            </w:pPr>
            <w:r w:rsidRPr="009B7B35">
              <w:rPr>
                <w:rFonts w:cs="Arial"/>
              </w:rPr>
              <w:t>Development must provide sufficient and accessible open space for residents' needs.</w:t>
            </w:r>
          </w:p>
        </w:tc>
        <w:tc>
          <w:tcPr>
            <w:tcW w:w="4678" w:type="dxa"/>
          </w:tcPr>
          <w:p w14:paraId="28ECE5C1" w14:textId="77777777" w:rsidR="00BE36FB" w:rsidRPr="009B7B35" w:rsidRDefault="00BE36FB" w:rsidP="001A7107">
            <w:pPr>
              <w:pStyle w:val="TableText"/>
              <w:rPr>
                <w:rFonts w:cs="Arial"/>
                <w:b/>
                <w:bCs/>
              </w:rPr>
            </w:pPr>
            <w:r w:rsidRPr="009B7B35">
              <w:rPr>
                <w:rFonts w:cs="Arial"/>
                <w:b/>
                <w:bCs/>
              </w:rPr>
              <w:t>AO6.1</w:t>
            </w:r>
          </w:p>
          <w:p w14:paraId="2336DE27" w14:textId="77777777" w:rsidR="00BE36FB" w:rsidRPr="009B7B35" w:rsidRDefault="00BE36FB" w:rsidP="001A7107">
            <w:pPr>
              <w:pStyle w:val="TableText"/>
              <w:rPr>
                <w:rFonts w:cs="Arial"/>
              </w:rPr>
            </w:pPr>
            <w:r w:rsidRPr="009B7B35">
              <w:rPr>
                <w:rFonts w:cs="Arial"/>
              </w:rPr>
              <w:t xml:space="preserve">Open space is provided in accordance with the following building types: </w:t>
            </w:r>
          </w:p>
          <w:p w14:paraId="0AF54B1F" w14:textId="77777777" w:rsidR="00BE36FB" w:rsidRPr="009B7B35" w:rsidRDefault="00BE36FB" w:rsidP="00BE36FB">
            <w:pPr>
              <w:pStyle w:val="TableText"/>
              <w:numPr>
                <w:ilvl w:val="0"/>
                <w:numId w:val="218"/>
              </w:numPr>
              <w:rPr>
                <w:rFonts w:cs="Arial"/>
              </w:rPr>
            </w:pPr>
            <w:r w:rsidRPr="009B7B35">
              <w:rPr>
                <w:rFonts w:cs="Arial"/>
              </w:rPr>
              <w:t>Figure 1—Dwelling house: Narrow lot</w:t>
            </w:r>
          </w:p>
          <w:p w14:paraId="7F4FACA4" w14:textId="77777777" w:rsidR="00BE36FB" w:rsidRPr="009B7B35" w:rsidRDefault="00BE36FB" w:rsidP="00BE36FB">
            <w:pPr>
              <w:pStyle w:val="TableText"/>
              <w:numPr>
                <w:ilvl w:val="0"/>
                <w:numId w:val="218"/>
              </w:numPr>
              <w:rPr>
                <w:rFonts w:cs="Arial"/>
              </w:rPr>
            </w:pPr>
            <w:r w:rsidRPr="009B7B35">
              <w:rPr>
                <w:rFonts w:cs="Arial"/>
              </w:rPr>
              <w:t>Figure 2—Dual occupancy</w:t>
            </w:r>
          </w:p>
          <w:p w14:paraId="2E9EFB40" w14:textId="77777777" w:rsidR="00BE36FB" w:rsidRPr="009B7B35" w:rsidRDefault="00BE36FB" w:rsidP="00BE36FB">
            <w:pPr>
              <w:pStyle w:val="TableText"/>
              <w:numPr>
                <w:ilvl w:val="0"/>
                <w:numId w:val="218"/>
              </w:numPr>
              <w:rPr>
                <w:rFonts w:cs="Arial"/>
              </w:rPr>
            </w:pPr>
            <w:r w:rsidRPr="009B7B35">
              <w:rPr>
                <w:rFonts w:cs="Arial"/>
              </w:rPr>
              <w:t>Figure 3—Multiple dwelling: Townhouses.</w:t>
            </w:r>
          </w:p>
        </w:tc>
      </w:tr>
      <w:tr w:rsidR="00BE36FB" w:rsidRPr="009B7B35" w14:paraId="6151AC2A" w14:textId="77777777" w:rsidTr="001A7107">
        <w:trPr>
          <w:cantSplit/>
        </w:trPr>
        <w:tc>
          <w:tcPr>
            <w:tcW w:w="4678" w:type="dxa"/>
            <w:vMerge/>
          </w:tcPr>
          <w:p w14:paraId="063C22BD" w14:textId="77777777" w:rsidR="00BE36FB" w:rsidRPr="009B7B35" w:rsidRDefault="00BE36FB" w:rsidP="001A7107">
            <w:pPr>
              <w:pStyle w:val="TableText"/>
              <w:rPr>
                <w:rFonts w:cs="Arial"/>
              </w:rPr>
            </w:pPr>
          </w:p>
        </w:tc>
        <w:tc>
          <w:tcPr>
            <w:tcW w:w="4678" w:type="dxa"/>
          </w:tcPr>
          <w:p w14:paraId="4C0D5CD7" w14:textId="77777777" w:rsidR="00BE36FB" w:rsidRPr="009B7B35" w:rsidRDefault="00BE36FB" w:rsidP="001A7107">
            <w:pPr>
              <w:pStyle w:val="TableText"/>
              <w:rPr>
                <w:rFonts w:cs="Arial"/>
                <w:b/>
                <w:bCs/>
              </w:rPr>
            </w:pPr>
            <w:r w:rsidRPr="009B7B35">
              <w:rPr>
                <w:rFonts w:cs="Arial"/>
                <w:b/>
                <w:bCs/>
              </w:rPr>
              <w:t>AO6.2</w:t>
            </w:r>
          </w:p>
          <w:p w14:paraId="37AF7614" w14:textId="77777777" w:rsidR="00BE36FB" w:rsidRPr="009B7B35" w:rsidRDefault="00BE36FB" w:rsidP="001A7107">
            <w:pPr>
              <w:pStyle w:val="TableText"/>
              <w:rPr>
                <w:rFonts w:cs="Arial"/>
              </w:rPr>
            </w:pPr>
            <w:r w:rsidRPr="009B7B35">
              <w:rPr>
                <w:rFonts w:cs="Arial"/>
              </w:rPr>
              <w:t>Private open space is directly adjacent to the main living area.</w:t>
            </w:r>
          </w:p>
        </w:tc>
      </w:tr>
      <w:tr w:rsidR="00BE36FB" w:rsidRPr="009B7B35" w14:paraId="5328DC09" w14:textId="77777777" w:rsidTr="001A7107">
        <w:trPr>
          <w:cantSplit/>
        </w:trPr>
        <w:tc>
          <w:tcPr>
            <w:tcW w:w="9356" w:type="dxa"/>
            <w:gridSpan w:val="2"/>
            <w:shd w:val="clear" w:color="auto" w:fill="BFBFBF" w:themeFill="background1" w:themeFillShade="BF"/>
          </w:tcPr>
          <w:p w14:paraId="1546AB5D" w14:textId="77777777" w:rsidR="00BE36FB" w:rsidRPr="009B7B35" w:rsidRDefault="00BE36FB" w:rsidP="001A7107">
            <w:pPr>
              <w:pStyle w:val="Tableheading"/>
              <w:rPr>
                <w:rFonts w:ascii="Arial" w:hAnsi="Arial" w:cs="Arial"/>
                <w:szCs w:val="20"/>
              </w:rPr>
            </w:pPr>
            <w:r w:rsidRPr="009B7B35">
              <w:rPr>
                <w:rFonts w:ascii="Arial" w:hAnsi="Arial" w:cs="Arial"/>
                <w:szCs w:val="20"/>
              </w:rPr>
              <w:t>Design and streetscape</w:t>
            </w:r>
          </w:p>
        </w:tc>
      </w:tr>
      <w:tr w:rsidR="00BE36FB" w:rsidRPr="009B7B35" w14:paraId="68119157" w14:textId="77777777" w:rsidTr="001A7107">
        <w:tc>
          <w:tcPr>
            <w:tcW w:w="4678" w:type="dxa"/>
            <w:vMerge w:val="restart"/>
          </w:tcPr>
          <w:p w14:paraId="618E2986" w14:textId="77777777" w:rsidR="00BE36FB" w:rsidRPr="009B7B35" w:rsidRDefault="00BE36FB" w:rsidP="001A7107">
            <w:pPr>
              <w:pStyle w:val="TableText"/>
              <w:rPr>
                <w:rFonts w:cs="Arial"/>
                <w:b/>
                <w:bCs/>
              </w:rPr>
            </w:pPr>
            <w:r w:rsidRPr="009B7B35">
              <w:rPr>
                <w:rFonts w:cs="Arial"/>
                <w:b/>
                <w:bCs/>
              </w:rPr>
              <w:t>PO7</w:t>
            </w:r>
          </w:p>
          <w:p w14:paraId="25DBD4DF" w14:textId="77777777" w:rsidR="00BE36FB" w:rsidRPr="009B7B35" w:rsidRDefault="00BE36FB" w:rsidP="001A7107">
            <w:pPr>
              <w:pStyle w:val="TableText"/>
              <w:rPr>
                <w:rFonts w:cs="Arial"/>
              </w:rPr>
            </w:pPr>
            <w:r w:rsidRPr="009B7B35">
              <w:rPr>
                <w:rFonts w:cs="Arial"/>
              </w:rPr>
              <w:t>Driveways and parking areas including garages must not visually dominate the street.</w:t>
            </w:r>
          </w:p>
        </w:tc>
        <w:tc>
          <w:tcPr>
            <w:tcW w:w="4678" w:type="dxa"/>
          </w:tcPr>
          <w:p w14:paraId="7D8224A8" w14:textId="77777777" w:rsidR="00BE36FB" w:rsidRPr="009B7B35" w:rsidRDefault="00BE36FB" w:rsidP="001A7107">
            <w:pPr>
              <w:pStyle w:val="TableText"/>
              <w:rPr>
                <w:rFonts w:cs="Arial"/>
                <w:b/>
                <w:bCs/>
              </w:rPr>
            </w:pPr>
            <w:r w:rsidRPr="009B7B35">
              <w:rPr>
                <w:rFonts w:cs="Arial"/>
                <w:b/>
                <w:bCs/>
              </w:rPr>
              <w:t>AO7.1</w:t>
            </w:r>
          </w:p>
          <w:p w14:paraId="04C54356" w14:textId="77777777" w:rsidR="00BE36FB" w:rsidRPr="009B7B35" w:rsidRDefault="00BE36FB" w:rsidP="001A7107">
            <w:pPr>
              <w:pStyle w:val="TableText"/>
              <w:rPr>
                <w:rFonts w:cs="Arial"/>
              </w:rPr>
            </w:pPr>
            <w:r w:rsidRPr="009B7B35">
              <w:rPr>
                <w:rFonts w:cs="Arial"/>
              </w:rPr>
              <w:t xml:space="preserve">Car parking areas: </w:t>
            </w:r>
          </w:p>
          <w:p w14:paraId="1EB4E8ED" w14:textId="77777777" w:rsidR="00BE36FB" w:rsidRPr="009B7B35" w:rsidRDefault="00BE36FB" w:rsidP="00BE36FB">
            <w:pPr>
              <w:pStyle w:val="TableText"/>
              <w:numPr>
                <w:ilvl w:val="0"/>
                <w:numId w:val="219"/>
              </w:numPr>
              <w:ind w:left="567" w:hanging="567"/>
              <w:rPr>
                <w:rFonts w:cs="Arial"/>
              </w:rPr>
            </w:pPr>
            <w:r w:rsidRPr="009B7B35">
              <w:rPr>
                <w:rFonts w:cs="Arial"/>
              </w:rPr>
              <w:t>include 1 space in a garage and 1 uncovered space (or carport) on the driveway where a Dwelling house: narrow lot or each dwelling for Dual occupancy, or</w:t>
            </w:r>
          </w:p>
          <w:p w14:paraId="1D5885CB" w14:textId="77777777" w:rsidR="00BE36FB" w:rsidRPr="009B7B35" w:rsidRDefault="00BE36FB" w:rsidP="00BE36FB">
            <w:pPr>
              <w:pStyle w:val="TableText"/>
              <w:numPr>
                <w:ilvl w:val="0"/>
                <w:numId w:val="219"/>
              </w:numPr>
              <w:ind w:left="567" w:hanging="567"/>
              <w:rPr>
                <w:rFonts w:cs="Arial"/>
              </w:rPr>
            </w:pPr>
            <w:r w:rsidRPr="009B7B35">
              <w:rPr>
                <w:rFonts w:cs="Arial"/>
              </w:rPr>
              <w:t>are located behind the main building face where a Multiple dwelling (excluding visitor spaces).</w:t>
            </w:r>
          </w:p>
        </w:tc>
      </w:tr>
      <w:tr w:rsidR="00BE36FB" w:rsidRPr="009B7B35" w14:paraId="3C261215" w14:textId="77777777" w:rsidTr="001A7107">
        <w:tc>
          <w:tcPr>
            <w:tcW w:w="4678" w:type="dxa"/>
            <w:vMerge/>
          </w:tcPr>
          <w:p w14:paraId="05019339" w14:textId="77777777" w:rsidR="00BE36FB" w:rsidRPr="009B7B35" w:rsidRDefault="00BE36FB" w:rsidP="001A7107">
            <w:pPr>
              <w:pStyle w:val="TableText"/>
              <w:rPr>
                <w:rFonts w:cs="Arial"/>
              </w:rPr>
            </w:pPr>
          </w:p>
        </w:tc>
        <w:tc>
          <w:tcPr>
            <w:tcW w:w="4678" w:type="dxa"/>
          </w:tcPr>
          <w:p w14:paraId="2879924D" w14:textId="77777777" w:rsidR="00BE36FB" w:rsidRPr="009B7B35" w:rsidRDefault="00BE36FB" w:rsidP="001A7107">
            <w:pPr>
              <w:pStyle w:val="TableText"/>
              <w:rPr>
                <w:rFonts w:cs="Arial"/>
                <w:b/>
                <w:bCs/>
              </w:rPr>
            </w:pPr>
            <w:r w:rsidRPr="009B7B35">
              <w:rPr>
                <w:rFonts w:cs="Arial"/>
                <w:b/>
                <w:bCs/>
              </w:rPr>
              <w:t>AO7.2</w:t>
            </w:r>
          </w:p>
          <w:p w14:paraId="5AEE6E56" w14:textId="77777777" w:rsidR="00BE36FB" w:rsidRPr="009B7B35" w:rsidRDefault="00BE36FB" w:rsidP="001A7107">
            <w:pPr>
              <w:pStyle w:val="TableText"/>
              <w:rPr>
                <w:rFonts w:cs="Arial"/>
              </w:rPr>
            </w:pPr>
            <w:r w:rsidRPr="009B7B35">
              <w:rPr>
                <w:rFonts w:cs="Arial"/>
              </w:rPr>
              <w:t>Garages for any Dwelling house or Dual occupancy:</w:t>
            </w:r>
          </w:p>
          <w:p w14:paraId="080BB555" w14:textId="77777777" w:rsidR="00BE36FB" w:rsidRPr="009B7B35" w:rsidRDefault="00BE36FB" w:rsidP="00BE36FB">
            <w:pPr>
              <w:pStyle w:val="TableText"/>
              <w:numPr>
                <w:ilvl w:val="0"/>
                <w:numId w:val="220"/>
              </w:numPr>
              <w:ind w:left="510" w:hanging="510"/>
              <w:rPr>
                <w:rFonts w:cs="Arial"/>
              </w:rPr>
            </w:pPr>
            <w:r w:rsidRPr="009B7B35">
              <w:rPr>
                <w:rFonts w:cs="Arial"/>
              </w:rPr>
              <w:t>do not protrude in front of the main building face, and</w:t>
            </w:r>
          </w:p>
          <w:p w14:paraId="44383A6C" w14:textId="77777777" w:rsidR="00BE36FB" w:rsidRPr="009B7B35" w:rsidRDefault="00BE36FB" w:rsidP="00BE36FB">
            <w:pPr>
              <w:pStyle w:val="TableText"/>
              <w:numPr>
                <w:ilvl w:val="0"/>
                <w:numId w:val="220"/>
              </w:numPr>
              <w:ind w:left="510" w:hanging="510"/>
              <w:rPr>
                <w:rFonts w:cs="Arial"/>
              </w:rPr>
            </w:pPr>
            <w:r w:rsidRPr="009B7B35">
              <w:rPr>
                <w:rFonts w:cs="Arial"/>
              </w:rPr>
              <w:t>occupy a maximum of 50% of the site frontage.</w:t>
            </w:r>
          </w:p>
        </w:tc>
      </w:tr>
      <w:tr w:rsidR="00BE36FB" w:rsidRPr="009B7B35" w14:paraId="5ED89E15" w14:textId="77777777" w:rsidTr="001A7107">
        <w:trPr>
          <w:cantSplit/>
        </w:trPr>
        <w:tc>
          <w:tcPr>
            <w:tcW w:w="4678" w:type="dxa"/>
            <w:vMerge/>
          </w:tcPr>
          <w:p w14:paraId="1B908919" w14:textId="77777777" w:rsidR="00BE36FB" w:rsidRPr="009B7B35" w:rsidRDefault="00BE36FB" w:rsidP="001A7107">
            <w:pPr>
              <w:pStyle w:val="TableText"/>
              <w:rPr>
                <w:rFonts w:cs="Arial"/>
              </w:rPr>
            </w:pPr>
          </w:p>
        </w:tc>
        <w:tc>
          <w:tcPr>
            <w:tcW w:w="4678" w:type="dxa"/>
          </w:tcPr>
          <w:p w14:paraId="12E832EA" w14:textId="77777777" w:rsidR="00BE36FB" w:rsidRPr="009B7B35" w:rsidRDefault="00BE36FB" w:rsidP="001A7107">
            <w:pPr>
              <w:pStyle w:val="TableText"/>
              <w:rPr>
                <w:rFonts w:cs="Arial"/>
                <w:b/>
                <w:bCs/>
              </w:rPr>
            </w:pPr>
            <w:r w:rsidRPr="009B7B35">
              <w:rPr>
                <w:rFonts w:cs="Arial"/>
                <w:b/>
                <w:bCs/>
              </w:rPr>
              <w:t>AO7.3</w:t>
            </w:r>
          </w:p>
          <w:p w14:paraId="70F602A3" w14:textId="77777777" w:rsidR="00BE36FB" w:rsidRPr="009B7B35" w:rsidRDefault="00BE36FB" w:rsidP="001A7107">
            <w:pPr>
              <w:pStyle w:val="TableText"/>
              <w:rPr>
                <w:rFonts w:cs="Arial"/>
              </w:rPr>
            </w:pPr>
            <w:r w:rsidRPr="009B7B35">
              <w:rPr>
                <w:rFonts w:cs="Arial"/>
              </w:rPr>
              <w:t>Vehicle access is provided through a:</w:t>
            </w:r>
          </w:p>
          <w:p w14:paraId="28D019EF" w14:textId="77777777" w:rsidR="00BE36FB" w:rsidRPr="009B7B35" w:rsidRDefault="00BE36FB" w:rsidP="00BE36FB">
            <w:pPr>
              <w:pStyle w:val="TableText"/>
              <w:numPr>
                <w:ilvl w:val="0"/>
                <w:numId w:val="221"/>
              </w:numPr>
              <w:ind w:left="510" w:hanging="510"/>
              <w:rPr>
                <w:rFonts w:cs="Arial"/>
              </w:rPr>
            </w:pPr>
            <w:r w:rsidRPr="009B7B35">
              <w:rPr>
                <w:rFonts w:cs="Arial"/>
              </w:rPr>
              <w:t>single driveway for any Dwelling house or Multiple dwelling</w:t>
            </w:r>
          </w:p>
          <w:p w14:paraId="527F9CE5" w14:textId="77777777" w:rsidR="00BE36FB" w:rsidRPr="009B7B35" w:rsidRDefault="00BE36FB" w:rsidP="00BE36FB">
            <w:pPr>
              <w:pStyle w:val="TableText"/>
              <w:numPr>
                <w:ilvl w:val="0"/>
                <w:numId w:val="221"/>
              </w:numPr>
              <w:ind w:left="510" w:hanging="510"/>
              <w:rPr>
                <w:rFonts w:cs="Arial"/>
              </w:rPr>
            </w:pPr>
            <w:r w:rsidRPr="009B7B35">
              <w:rPr>
                <w:rFonts w:cs="Arial"/>
              </w:rPr>
              <w:t>1 paired driveway for Dual occupancy; or</w:t>
            </w:r>
          </w:p>
          <w:p w14:paraId="04B2EA71" w14:textId="77777777" w:rsidR="00BE36FB" w:rsidRPr="009B7B35" w:rsidRDefault="00BE36FB" w:rsidP="00BE36FB">
            <w:pPr>
              <w:pStyle w:val="TableText"/>
              <w:numPr>
                <w:ilvl w:val="0"/>
                <w:numId w:val="221"/>
              </w:numPr>
              <w:ind w:left="510" w:hanging="510"/>
              <w:rPr>
                <w:rFonts w:cs="Arial"/>
              </w:rPr>
            </w:pPr>
            <w:r w:rsidRPr="009B7B35">
              <w:rPr>
                <w:rFonts w:cs="Arial"/>
              </w:rPr>
              <w:t>or rear lane access.</w:t>
            </w:r>
          </w:p>
        </w:tc>
      </w:tr>
      <w:tr w:rsidR="00BE36FB" w:rsidRPr="009B7B35" w14:paraId="1776D347" w14:textId="77777777" w:rsidTr="001A7107">
        <w:trPr>
          <w:cantSplit/>
        </w:trPr>
        <w:tc>
          <w:tcPr>
            <w:tcW w:w="9356" w:type="dxa"/>
            <w:gridSpan w:val="2"/>
          </w:tcPr>
          <w:p w14:paraId="37356BD6" w14:textId="77777777" w:rsidR="00BE36FB" w:rsidRPr="009B7B35" w:rsidRDefault="00BE36FB">
            <w:pPr>
              <w:pStyle w:val="Tableheading"/>
              <w:rPr>
                <w:rFonts w:ascii="Arial" w:hAnsi="Arial" w:cs="Arial"/>
                <w:szCs w:val="20"/>
              </w:rPr>
            </w:pPr>
            <w:r w:rsidRPr="009B7B35">
              <w:rPr>
                <w:rFonts w:ascii="Arial" w:hAnsi="Arial" w:cs="Arial"/>
                <w:szCs w:val="20"/>
              </w:rPr>
              <w:t>For all assessable development</w:t>
            </w:r>
          </w:p>
        </w:tc>
      </w:tr>
      <w:tr w:rsidR="00BE36FB" w:rsidRPr="009B7B35" w14:paraId="7BBC982D" w14:textId="77777777" w:rsidTr="001A7107">
        <w:trPr>
          <w:cantSplit/>
        </w:trPr>
        <w:tc>
          <w:tcPr>
            <w:tcW w:w="9356" w:type="dxa"/>
            <w:gridSpan w:val="2"/>
            <w:shd w:val="clear" w:color="auto" w:fill="BFBFBF" w:themeFill="background1" w:themeFillShade="BF"/>
          </w:tcPr>
          <w:p w14:paraId="4493F8CD" w14:textId="77777777" w:rsidR="00BE36FB" w:rsidRPr="009B7B35" w:rsidRDefault="00BE36FB">
            <w:pPr>
              <w:pStyle w:val="Tableheading"/>
              <w:rPr>
                <w:rFonts w:ascii="Arial" w:hAnsi="Arial" w:cs="Arial"/>
                <w:szCs w:val="20"/>
              </w:rPr>
            </w:pPr>
            <w:r w:rsidRPr="009B7B35">
              <w:rPr>
                <w:rFonts w:ascii="Arial" w:hAnsi="Arial" w:cs="Arial"/>
                <w:szCs w:val="20"/>
              </w:rPr>
              <w:t>Housing mix (where development for multiple dwelling)</w:t>
            </w:r>
          </w:p>
        </w:tc>
      </w:tr>
      <w:tr w:rsidR="00BE36FB" w:rsidRPr="009B7B35" w14:paraId="160B726F" w14:textId="77777777" w:rsidTr="001A7107">
        <w:trPr>
          <w:cantSplit/>
        </w:trPr>
        <w:tc>
          <w:tcPr>
            <w:tcW w:w="4678" w:type="dxa"/>
          </w:tcPr>
          <w:p w14:paraId="0D26F009" w14:textId="77777777" w:rsidR="00BE36FB" w:rsidRPr="009B7B35" w:rsidRDefault="00BE36FB" w:rsidP="001A7107">
            <w:pPr>
              <w:pStyle w:val="TableText"/>
              <w:rPr>
                <w:rFonts w:cs="Arial"/>
                <w:b/>
                <w:bCs/>
              </w:rPr>
            </w:pPr>
            <w:r w:rsidRPr="009B7B35">
              <w:rPr>
                <w:rFonts w:cs="Arial"/>
                <w:b/>
                <w:bCs/>
              </w:rPr>
              <w:t>PO8</w:t>
            </w:r>
          </w:p>
          <w:p w14:paraId="29D33C26" w14:textId="77777777" w:rsidR="00BE36FB" w:rsidRPr="009B7B35" w:rsidRDefault="00BE36FB" w:rsidP="001A7107">
            <w:pPr>
              <w:pStyle w:val="TableText"/>
              <w:rPr>
                <w:rFonts w:cs="Arial"/>
              </w:rPr>
            </w:pPr>
            <w:r w:rsidRPr="009B7B35">
              <w:rPr>
                <w:rFonts w:cs="Arial"/>
              </w:rPr>
              <w:t>Development provides a mix of housing sizes to meet housing needs across the community.</w:t>
            </w:r>
          </w:p>
        </w:tc>
        <w:tc>
          <w:tcPr>
            <w:tcW w:w="4678" w:type="dxa"/>
          </w:tcPr>
          <w:p w14:paraId="27B73E18" w14:textId="77777777" w:rsidR="00BE36FB" w:rsidRPr="009B7B35" w:rsidRDefault="00BE36FB" w:rsidP="001A7107">
            <w:pPr>
              <w:pStyle w:val="TableText"/>
              <w:rPr>
                <w:rFonts w:cs="Arial"/>
                <w:b/>
                <w:bCs/>
              </w:rPr>
            </w:pPr>
            <w:r w:rsidRPr="009B7B35">
              <w:rPr>
                <w:rFonts w:cs="Arial"/>
                <w:b/>
                <w:bCs/>
              </w:rPr>
              <w:t>AO8</w:t>
            </w:r>
          </w:p>
          <w:p w14:paraId="3BD5F2B7" w14:textId="77777777" w:rsidR="00BE36FB" w:rsidRPr="009B7B35" w:rsidRDefault="00BE36FB" w:rsidP="001A7107">
            <w:pPr>
              <w:pStyle w:val="TableText"/>
              <w:rPr>
                <w:rFonts w:cs="Arial"/>
              </w:rPr>
            </w:pPr>
            <w:r w:rsidRPr="009B7B35">
              <w:rPr>
                <w:rFonts w:cs="Arial"/>
              </w:rPr>
              <w:t>Development of 15 or more dwellings includes the following proportion of dwelling sizes:</w:t>
            </w:r>
          </w:p>
          <w:p w14:paraId="19CD21B6" w14:textId="77777777" w:rsidR="00BE36FB" w:rsidRPr="009B7B35" w:rsidRDefault="00BE36FB" w:rsidP="00BE36FB">
            <w:pPr>
              <w:pStyle w:val="TableText"/>
              <w:numPr>
                <w:ilvl w:val="0"/>
                <w:numId w:val="117"/>
              </w:numPr>
              <w:rPr>
                <w:rFonts w:cs="Arial"/>
              </w:rPr>
            </w:pPr>
            <w:r w:rsidRPr="009B7B35">
              <w:rPr>
                <w:rFonts w:cs="Arial"/>
              </w:rPr>
              <w:t>25% – 1 bedroom or studio</w:t>
            </w:r>
          </w:p>
          <w:p w14:paraId="6D9304AD" w14:textId="77777777" w:rsidR="00BE36FB" w:rsidRPr="009B7B35" w:rsidRDefault="00BE36FB" w:rsidP="00BE36FB">
            <w:pPr>
              <w:pStyle w:val="TableText"/>
              <w:numPr>
                <w:ilvl w:val="0"/>
                <w:numId w:val="117"/>
              </w:numPr>
              <w:rPr>
                <w:rFonts w:cs="Arial"/>
              </w:rPr>
            </w:pPr>
            <w:r w:rsidRPr="009B7B35">
              <w:rPr>
                <w:rFonts w:cs="Arial"/>
              </w:rPr>
              <w:t>40% – 2 bedrooms</w:t>
            </w:r>
          </w:p>
          <w:p w14:paraId="3C275E94" w14:textId="77777777" w:rsidR="00BE36FB" w:rsidRPr="009B7B35" w:rsidRDefault="00BE36FB" w:rsidP="00BE36FB">
            <w:pPr>
              <w:pStyle w:val="TableText"/>
              <w:numPr>
                <w:ilvl w:val="0"/>
                <w:numId w:val="117"/>
              </w:numPr>
              <w:rPr>
                <w:rFonts w:cs="Arial"/>
              </w:rPr>
            </w:pPr>
            <w:r w:rsidRPr="009B7B35">
              <w:rPr>
                <w:rFonts w:cs="Arial"/>
              </w:rPr>
              <w:t>15% – 3 bedrooms or more and</w:t>
            </w:r>
          </w:p>
          <w:p w14:paraId="4D6425D0" w14:textId="77777777" w:rsidR="00BE36FB" w:rsidRPr="009B7B35" w:rsidRDefault="00BE36FB" w:rsidP="00BE36FB">
            <w:pPr>
              <w:pStyle w:val="TableText"/>
              <w:numPr>
                <w:ilvl w:val="0"/>
                <w:numId w:val="117"/>
              </w:numPr>
              <w:rPr>
                <w:rFonts w:cs="Arial"/>
              </w:rPr>
            </w:pPr>
            <w:r w:rsidRPr="009B7B35">
              <w:rPr>
                <w:rFonts w:cs="Arial"/>
              </w:rPr>
              <w:t>remaining 20% is unrestricted.</w:t>
            </w:r>
          </w:p>
        </w:tc>
      </w:tr>
      <w:tr w:rsidR="00BE36FB" w:rsidRPr="009B7B35" w14:paraId="2083A28B" w14:textId="77777777" w:rsidTr="001A7107">
        <w:trPr>
          <w:cantSplit/>
        </w:trPr>
        <w:tc>
          <w:tcPr>
            <w:tcW w:w="9356" w:type="dxa"/>
            <w:gridSpan w:val="2"/>
            <w:shd w:val="clear" w:color="auto" w:fill="BFBFBF" w:themeFill="background1" w:themeFillShade="BF"/>
          </w:tcPr>
          <w:p w14:paraId="5031C5F2" w14:textId="77777777" w:rsidR="00BE36FB" w:rsidRPr="009B7B35" w:rsidRDefault="00BE36FB" w:rsidP="001A7107">
            <w:pPr>
              <w:pStyle w:val="Tableheading"/>
              <w:rPr>
                <w:rFonts w:ascii="Arial" w:hAnsi="Arial" w:cs="Arial"/>
                <w:szCs w:val="20"/>
              </w:rPr>
            </w:pPr>
            <w:r w:rsidRPr="009B7B35">
              <w:rPr>
                <w:rFonts w:ascii="Arial" w:hAnsi="Arial" w:cs="Arial"/>
                <w:szCs w:val="20"/>
              </w:rPr>
              <w:t>Design and streetscape</w:t>
            </w:r>
          </w:p>
        </w:tc>
      </w:tr>
      <w:tr w:rsidR="00BE36FB" w:rsidRPr="009B7B35" w14:paraId="3738B3B6" w14:textId="77777777" w:rsidTr="001A7107">
        <w:trPr>
          <w:cantSplit/>
        </w:trPr>
        <w:tc>
          <w:tcPr>
            <w:tcW w:w="4678" w:type="dxa"/>
            <w:vMerge w:val="restart"/>
          </w:tcPr>
          <w:p w14:paraId="74FF68DD" w14:textId="77777777" w:rsidR="00BE36FB" w:rsidRPr="009B7B35" w:rsidRDefault="00BE36FB" w:rsidP="001A7107">
            <w:pPr>
              <w:pStyle w:val="TableText"/>
              <w:rPr>
                <w:rFonts w:cs="Arial"/>
                <w:b/>
                <w:bCs/>
              </w:rPr>
            </w:pPr>
            <w:r w:rsidRPr="009B7B35">
              <w:rPr>
                <w:rFonts w:cs="Arial"/>
                <w:b/>
                <w:bCs/>
              </w:rPr>
              <w:t>PO9</w:t>
            </w:r>
          </w:p>
          <w:p w14:paraId="0566D33C" w14:textId="77777777" w:rsidR="00BE36FB" w:rsidRPr="009B7B35" w:rsidRDefault="00BE36FB" w:rsidP="001A7107">
            <w:pPr>
              <w:pStyle w:val="TableText"/>
              <w:rPr>
                <w:rFonts w:cs="Arial"/>
              </w:rPr>
            </w:pPr>
            <w:r w:rsidRPr="009B7B35">
              <w:rPr>
                <w:rFonts w:cs="Arial"/>
              </w:rPr>
              <w:t>Development has a high quality appearance and makes a positive contribution to the streetscape.</w:t>
            </w:r>
          </w:p>
        </w:tc>
        <w:tc>
          <w:tcPr>
            <w:tcW w:w="4678" w:type="dxa"/>
          </w:tcPr>
          <w:p w14:paraId="54C25C78" w14:textId="77777777" w:rsidR="00BE36FB" w:rsidRPr="009B7B35" w:rsidRDefault="00BE36FB" w:rsidP="001A7107">
            <w:pPr>
              <w:pStyle w:val="TableText"/>
              <w:rPr>
                <w:rFonts w:cs="Arial"/>
                <w:b/>
                <w:bCs/>
              </w:rPr>
            </w:pPr>
            <w:r w:rsidRPr="009B7B35">
              <w:rPr>
                <w:rFonts w:cs="Arial"/>
                <w:b/>
                <w:bCs/>
              </w:rPr>
              <w:t>AO9.1</w:t>
            </w:r>
          </w:p>
          <w:p w14:paraId="3F623FDC" w14:textId="77777777" w:rsidR="00BE36FB" w:rsidRPr="009B7B35" w:rsidRDefault="00BE36FB" w:rsidP="001A7107">
            <w:pPr>
              <w:pStyle w:val="TableText"/>
              <w:rPr>
                <w:rFonts w:cs="Arial"/>
              </w:rPr>
            </w:pPr>
            <w:r w:rsidRPr="009B7B35">
              <w:rPr>
                <w:rFonts w:cs="Arial"/>
              </w:rPr>
              <w:t>A landscape area with a minimum dimension of 1.5m is provided along any road frontage.</w:t>
            </w:r>
          </w:p>
        </w:tc>
      </w:tr>
      <w:tr w:rsidR="00BE36FB" w:rsidRPr="009B7B35" w14:paraId="6B6E8FBB" w14:textId="77777777" w:rsidTr="001A7107">
        <w:trPr>
          <w:cantSplit/>
        </w:trPr>
        <w:tc>
          <w:tcPr>
            <w:tcW w:w="4678" w:type="dxa"/>
            <w:vMerge/>
          </w:tcPr>
          <w:p w14:paraId="15533053" w14:textId="77777777" w:rsidR="00BE36FB" w:rsidRPr="009B7B35" w:rsidRDefault="00BE36FB" w:rsidP="001A7107">
            <w:pPr>
              <w:pStyle w:val="TableText"/>
              <w:rPr>
                <w:rFonts w:cs="Arial"/>
              </w:rPr>
            </w:pPr>
          </w:p>
        </w:tc>
        <w:tc>
          <w:tcPr>
            <w:tcW w:w="4678" w:type="dxa"/>
          </w:tcPr>
          <w:p w14:paraId="3371A683" w14:textId="77777777" w:rsidR="00BE36FB" w:rsidRPr="009B7B35" w:rsidRDefault="00BE36FB" w:rsidP="001A7107">
            <w:pPr>
              <w:pStyle w:val="TableText"/>
              <w:rPr>
                <w:rFonts w:cs="Arial"/>
                <w:b/>
                <w:bCs/>
              </w:rPr>
            </w:pPr>
            <w:r w:rsidRPr="009B7B35">
              <w:rPr>
                <w:rFonts w:cs="Arial"/>
                <w:b/>
                <w:bCs/>
              </w:rPr>
              <w:t>AO9.2</w:t>
            </w:r>
          </w:p>
          <w:p w14:paraId="2A0DB892" w14:textId="77777777" w:rsidR="00BE36FB" w:rsidRPr="009B7B35" w:rsidRDefault="00BE36FB" w:rsidP="001A7107">
            <w:pPr>
              <w:pStyle w:val="TableText"/>
              <w:rPr>
                <w:rFonts w:cs="Arial"/>
              </w:rPr>
            </w:pPr>
            <w:r w:rsidRPr="009B7B35">
              <w:rPr>
                <w:rFonts w:cs="Arial"/>
              </w:rPr>
              <w:t>For any multiple dwelling, balconies or verandahs occupy a minimum of 50% of the building facade fronting the street.</w:t>
            </w:r>
          </w:p>
        </w:tc>
      </w:tr>
      <w:tr w:rsidR="00BE36FB" w:rsidRPr="009B7B35" w14:paraId="1A7E486C" w14:textId="77777777" w:rsidTr="001A7107">
        <w:trPr>
          <w:cantSplit/>
        </w:trPr>
        <w:tc>
          <w:tcPr>
            <w:tcW w:w="4678" w:type="dxa"/>
          </w:tcPr>
          <w:p w14:paraId="0B8CD8D8" w14:textId="77777777" w:rsidR="00BE36FB" w:rsidRPr="009B7B35" w:rsidRDefault="00BE36FB" w:rsidP="001A7107">
            <w:pPr>
              <w:pStyle w:val="TableText"/>
              <w:rPr>
                <w:rFonts w:cs="Arial"/>
                <w:b/>
                <w:bCs/>
              </w:rPr>
            </w:pPr>
            <w:r w:rsidRPr="009B7B35">
              <w:rPr>
                <w:rFonts w:cs="Arial"/>
                <w:b/>
                <w:bCs/>
              </w:rPr>
              <w:t>PO10</w:t>
            </w:r>
          </w:p>
          <w:p w14:paraId="35679D21" w14:textId="77777777" w:rsidR="00BE36FB" w:rsidRPr="009B7B35" w:rsidRDefault="00BE36FB" w:rsidP="001A7107">
            <w:pPr>
              <w:pStyle w:val="TableText"/>
              <w:rPr>
                <w:rFonts w:cs="Arial"/>
              </w:rPr>
            </w:pPr>
            <w:r w:rsidRPr="009B7B35">
              <w:rPr>
                <w:rFonts w:cs="Arial"/>
              </w:rPr>
              <w:t>Pedestrian entries:</w:t>
            </w:r>
          </w:p>
          <w:p w14:paraId="6303B97A" w14:textId="77777777" w:rsidR="00BE36FB" w:rsidRPr="009B7B35" w:rsidRDefault="00BE36FB" w:rsidP="00BE36FB">
            <w:pPr>
              <w:pStyle w:val="TableText"/>
              <w:numPr>
                <w:ilvl w:val="0"/>
                <w:numId w:val="118"/>
              </w:numPr>
              <w:rPr>
                <w:rFonts w:cs="Arial"/>
              </w:rPr>
            </w:pPr>
            <w:r w:rsidRPr="009B7B35">
              <w:rPr>
                <w:rFonts w:cs="Arial"/>
              </w:rPr>
              <w:t>are visible from the street and visitor car parking areas</w:t>
            </w:r>
          </w:p>
          <w:p w14:paraId="20EF69E5" w14:textId="77777777" w:rsidR="00BE36FB" w:rsidRPr="009B7B35" w:rsidRDefault="00BE36FB" w:rsidP="00BE36FB">
            <w:pPr>
              <w:pStyle w:val="TableText"/>
              <w:numPr>
                <w:ilvl w:val="0"/>
                <w:numId w:val="118"/>
              </w:numPr>
              <w:rPr>
                <w:rFonts w:cs="Arial"/>
              </w:rPr>
            </w:pPr>
            <w:r w:rsidRPr="009B7B35">
              <w:rPr>
                <w:rFonts w:cs="Arial"/>
              </w:rPr>
              <w:t>are separate to vehicle access points</w:t>
            </w:r>
          </w:p>
          <w:p w14:paraId="1BBE313D" w14:textId="77777777" w:rsidR="00BE36FB" w:rsidRPr="009B7B35" w:rsidRDefault="00BE36FB" w:rsidP="00BE36FB">
            <w:pPr>
              <w:pStyle w:val="TableText"/>
              <w:numPr>
                <w:ilvl w:val="0"/>
                <w:numId w:val="118"/>
              </w:numPr>
              <w:rPr>
                <w:rFonts w:cs="Arial"/>
              </w:rPr>
            </w:pPr>
            <w:r w:rsidRPr="009B7B35">
              <w:rPr>
                <w:rFonts w:cs="Arial"/>
              </w:rPr>
              <w:t>incorporate sun and rain shelter, such as overhangs or awnings, and</w:t>
            </w:r>
          </w:p>
          <w:p w14:paraId="6A73A9BB" w14:textId="77777777" w:rsidR="00BE36FB" w:rsidRPr="009B7B35" w:rsidRDefault="00BE36FB" w:rsidP="00BE36FB">
            <w:pPr>
              <w:pStyle w:val="TableText"/>
              <w:numPr>
                <w:ilvl w:val="0"/>
                <w:numId w:val="118"/>
              </w:numPr>
              <w:rPr>
                <w:rFonts w:cs="Arial"/>
              </w:rPr>
            </w:pPr>
            <w:r w:rsidRPr="009B7B35">
              <w:rPr>
                <w:rFonts w:cs="Arial"/>
              </w:rPr>
              <w:t>are defined by human scale design elements (such as, doors, windows, awnings, a portico, landscaping, etc).</w:t>
            </w:r>
          </w:p>
        </w:tc>
        <w:tc>
          <w:tcPr>
            <w:tcW w:w="4678" w:type="dxa"/>
          </w:tcPr>
          <w:p w14:paraId="72434A1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E6FCB0E" w14:textId="77777777" w:rsidTr="001A7107">
        <w:trPr>
          <w:cantSplit/>
        </w:trPr>
        <w:tc>
          <w:tcPr>
            <w:tcW w:w="4678" w:type="dxa"/>
          </w:tcPr>
          <w:p w14:paraId="79AD18A5" w14:textId="77777777" w:rsidR="00BE36FB" w:rsidRPr="009B7B35" w:rsidRDefault="00BE36FB" w:rsidP="001A7107">
            <w:pPr>
              <w:pStyle w:val="TableText"/>
              <w:rPr>
                <w:rFonts w:cs="Arial"/>
                <w:b/>
                <w:bCs/>
              </w:rPr>
            </w:pPr>
            <w:r w:rsidRPr="009B7B35">
              <w:rPr>
                <w:rFonts w:cs="Arial"/>
                <w:b/>
                <w:bCs/>
              </w:rPr>
              <w:t>PO11</w:t>
            </w:r>
          </w:p>
          <w:p w14:paraId="009761BD" w14:textId="77777777" w:rsidR="00BE36FB" w:rsidRPr="009B7B35" w:rsidRDefault="00BE36FB" w:rsidP="001A7107">
            <w:pPr>
              <w:pStyle w:val="TableText"/>
              <w:rPr>
                <w:rFonts w:cs="Arial"/>
              </w:rPr>
            </w:pPr>
            <w:r w:rsidRPr="009B7B35">
              <w:rPr>
                <w:rFonts w:cs="Arial"/>
              </w:rPr>
              <w:t>Buildings must be orientated to facilitate casual surveillance of the street and any adjoining public space.</w:t>
            </w:r>
          </w:p>
          <w:p w14:paraId="4A8D436F" w14:textId="77777777" w:rsidR="00BE36FB" w:rsidRPr="009B7B35" w:rsidRDefault="00BE36FB">
            <w:pPr>
              <w:pStyle w:val="Notes"/>
              <w:rPr>
                <w:rFonts w:cs="Arial"/>
                <w:sz w:val="20"/>
                <w:szCs w:val="20"/>
              </w:rPr>
            </w:pPr>
            <w:r w:rsidRPr="009B7B35">
              <w:rPr>
                <w:rFonts w:cs="Arial"/>
                <w:sz w:val="20"/>
                <w:szCs w:val="20"/>
              </w:rPr>
              <w:t>Note—This applies to all street frontages where development fronts more than one street.</w:t>
            </w:r>
          </w:p>
        </w:tc>
        <w:tc>
          <w:tcPr>
            <w:tcW w:w="4678" w:type="dxa"/>
          </w:tcPr>
          <w:p w14:paraId="2860E6DF" w14:textId="77777777" w:rsidR="00BE36FB" w:rsidRPr="009B7B35" w:rsidRDefault="00BE36FB" w:rsidP="001A7107">
            <w:pPr>
              <w:pStyle w:val="TableText"/>
              <w:rPr>
                <w:rFonts w:cs="Arial"/>
                <w:b/>
                <w:bCs/>
              </w:rPr>
            </w:pPr>
            <w:r w:rsidRPr="009B7B35">
              <w:rPr>
                <w:rFonts w:cs="Arial"/>
                <w:b/>
                <w:bCs/>
              </w:rPr>
              <w:t>AO11</w:t>
            </w:r>
          </w:p>
          <w:p w14:paraId="2885CD62" w14:textId="77777777" w:rsidR="00BE36FB" w:rsidRPr="009B7B35" w:rsidRDefault="00BE36FB" w:rsidP="001A7107">
            <w:pPr>
              <w:pStyle w:val="TableText"/>
              <w:rPr>
                <w:rFonts w:cs="Arial"/>
              </w:rPr>
            </w:pPr>
            <w:r w:rsidRPr="009B7B35">
              <w:rPr>
                <w:rFonts w:cs="Arial"/>
              </w:rPr>
              <w:t>Buildings fronting a street or public space include the following features:</w:t>
            </w:r>
          </w:p>
          <w:p w14:paraId="3024F04F" w14:textId="77777777" w:rsidR="00BE36FB" w:rsidRPr="009B7B35" w:rsidRDefault="00BE36FB" w:rsidP="00BE36FB">
            <w:pPr>
              <w:pStyle w:val="TableText"/>
              <w:numPr>
                <w:ilvl w:val="0"/>
                <w:numId w:val="223"/>
              </w:numPr>
              <w:ind w:left="510" w:hanging="510"/>
              <w:rPr>
                <w:rFonts w:cs="Arial"/>
              </w:rPr>
            </w:pPr>
            <w:r w:rsidRPr="009B7B35">
              <w:rPr>
                <w:rFonts w:cs="Arial"/>
              </w:rPr>
              <w:t>large windows associated with living areas, or</w:t>
            </w:r>
          </w:p>
          <w:p w14:paraId="1423DA06" w14:textId="77777777" w:rsidR="00BE36FB" w:rsidRPr="009B7B35" w:rsidRDefault="00BE36FB" w:rsidP="00BE36FB">
            <w:pPr>
              <w:pStyle w:val="TableText"/>
              <w:numPr>
                <w:ilvl w:val="0"/>
                <w:numId w:val="223"/>
              </w:numPr>
              <w:ind w:left="510" w:hanging="510"/>
              <w:rPr>
                <w:rFonts w:cs="Arial"/>
              </w:rPr>
            </w:pPr>
            <w:r w:rsidRPr="009B7B35">
              <w:rPr>
                <w:rFonts w:cs="Arial"/>
              </w:rPr>
              <w:t>balconies or verandahs.</w:t>
            </w:r>
          </w:p>
        </w:tc>
      </w:tr>
      <w:tr w:rsidR="00BE36FB" w:rsidRPr="009B7B35" w14:paraId="78E9B017" w14:textId="77777777" w:rsidTr="001A7107">
        <w:trPr>
          <w:cantSplit/>
        </w:trPr>
        <w:tc>
          <w:tcPr>
            <w:tcW w:w="4678" w:type="dxa"/>
          </w:tcPr>
          <w:p w14:paraId="61CDBEBC" w14:textId="77777777" w:rsidR="00BE36FB" w:rsidRPr="009B7B35" w:rsidRDefault="00BE36FB" w:rsidP="001A7107">
            <w:pPr>
              <w:pStyle w:val="TableText"/>
              <w:rPr>
                <w:rFonts w:cs="Arial"/>
                <w:b/>
                <w:bCs/>
              </w:rPr>
            </w:pPr>
            <w:r w:rsidRPr="009B7B35">
              <w:rPr>
                <w:rFonts w:cs="Arial"/>
                <w:b/>
                <w:bCs/>
              </w:rPr>
              <w:t>PO12</w:t>
            </w:r>
          </w:p>
          <w:p w14:paraId="2D1B2CA8" w14:textId="77777777" w:rsidR="00BE36FB" w:rsidRPr="009B7B35" w:rsidRDefault="00BE36FB" w:rsidP="001A7107">
            <w:pPr>
              <w:pStyle w:val="TableText"/>
              <w:rPr>
                <w:rFonts w:cs="Arial"/>
              </w:rPr>
            </w:pPr>
            <w:r w:rsidRPr="009B7B35">
              <w:rPr>
                <w:rFonts w:cs="Arial"/>
              </w:rPr>
              <w:t>Development facilitates the security of people and property having regard to:</w:t>
            </w:r>
          </w:p>
          <w:p w14:paraId="068CF443" w14:textId="77777777" w:rsidR="00BE36FB" w:rsidRPr="009B7B35" w:rsidRDefault="00BE36FB" w:rsidP="00BE36FB">
            <w:pPr>
              <w:pStyle w:val="TableText"/>
              <w:numPr>
                <w:ilvl w:val="0"/>
                <w:numId w:val="562"/>
              </w:numPr>
              <w:rPr>
                <w:rFonts w:cs="Arial"/>
              </w:rPr>
            </w:pPr>
            <w:r w:rsidRPr="009B7B35">
              <w:rPr>
                <w:rFonts w:cs="Arial"/>
              </w:rPr>
              <w:t>opportunities for casual surveillance and sight lines</w:t>
            </w:r>
          </w:p>
          <w:p w14:paraId="68836FE6" w14:textId="77777777" w:rsidR="00BE36FB" w:rsidRPr="009B7B35" w:rsidRDefault="00BE36FB" w:rsidP="00BE36FB">
            <w:pPr>
              <w:pStyle w:val="TableText"/>
              <w:numPr>
                <w:ilvl w:val="0"/>
                <w:numId w:val="562"/>
              </w:numPr>
              <w:rPr>
                <w:rFonts w:cs="Arial"/>
              </w:rPr>
            </w:pPr>
            <w:r w:rsidRPr="009B7B35">
              <w:rPr>
                <w:rFonts w:cs="Arial"/>
              </w:rPr>
              <w:t>exterior building design that promotes safety</w:t>
            </w:r>
          </w:p>
          <w:p w14:paraId="1568C84A" w14:textId="77777777" w:rsidR="00BE36FB" w:rsidRPr="009B7B35" w:rsidRDefault="00BE36FB" w:rsidP="00BE36FB">
            <w:pPr>
              <w:pStyle w:val="TableText"/>
              <w:numPr>
                <w:ilvl w:val="0"/>
                <w:numId w:val="562"/>
              </w:numPr>
              <w:rPr>
                <w:rFonts w:cs="Arial"/>
              </w:rPr>
            </w:pPr>
            <w:r w:rsidRPr="009B7B35">
              <w:rPr>
                <w:rFonts w:cs="Arial"/>
              </w:rPr>
              <w:t>adequate lighting</w:t>
            </w:r>
          </w:p>
          <w:p w14:paraId="6FD86A6A" w14:textId="77777777" w:rsidR="00BE36FB" w:rsidRPr="009B7B35" w:rsidRDefault="00BE36FB" w:rsidP="00BE36FB">
            <w:pPr>
              <w:pStyle w:val="TableText"/>
              <w:numPr>
                <w:ilvl w:val="0"/>
                <w:numId w:val="562"/>
              </w:numPr>
              <w:rPr>
                <w:rFonts w:cs="Arial"/>
              </w:rPr>
            </w:pPr>
            <w:r w:rsidRPr="009B7B35">
              <w:rPr>
                <w:rFonts w:cs="Arial"/>
              </w:rPr>
              <w:t>appropriate signage and wayfinding</w:t>
            </w:r>
          </w:p>
          <w:p w14:paraId="5C7752CD" w14:textId="77777777" w:rsidR="00BE36FB" w:rsidRPr="009B7B35" w:rsidRDefault="00BE36FB" w:rsidP="00BE36FB">
            <w:pPr>
              <w:pStyle w:val="TableText"/>
              <w:numPr>
                <w:ilvl w:val="0"/>
                <w:numId w:val="562"/>
              </w:numPr>
              <w:rPr>
                <w:rFonts w:cs="Arial"/>
              </w:rPr>
            </w:pPr>
            <w:r w:rsidRPr="009B7B35">
              <w:rPr>
                <w:rFonts w:cs="Arial"/>
              </w:rPr>
              <w:t>minimisation of entrapment locations, and</w:t>
            </w:r>
          </w:p>
          <w:p w14:paraId="68B06AB2" w14:textId="77777777" w:rsidR="00BE36FB" w:rsidRPr="009B7B35" w:rsidRDefault="00BE36FB" w:rsidP="00BE36FB">
            <w:pPr>
              <w:pStyle w:val="TableText"/>
              <w:numPr>
                <w:ilvl w:val="0"/>
                <w:numId w:val="562"/>
              </w:numPr>
              <w:rPr>
                <w:rFonts w:cs="Arial"/>
              </w:rPr>
            </w:pPr>
            <w:r w:rsidRPr="009B7B35">
              <w:rPr>
                <w:rFonts w:cs="Arial"/>
              </w:rPr>
              <w:t>building entrances, loading and storage areas that are well lit and lockable after hours.</w:t>
            </w:r>
          </w:p>
          <w:p w14:paraId="52FA21E7" w14:textId="77777777" w:rsidR="00BE36FB" w:rsidRPr="009B7B35" w:rsidRDefault="00BE36FB">
            <w:pPr>
              <w:pStyle w:val="Notes"/>
              <w:rPr>
                <w:rFonts w:cs="Arial"/>
                <w:sz w:val="20"/>
                <w:szCs w:val="20"/>
              </w:rPr>
            </w:pPr>
            <w:r w:rsidRPr="009B7B35">
              <w:rPr>
                <w:rFonts w:cs="Arial"/>
                <w:sz w:val="20"/>
                <w:szCs w:val="20"/>
              </w:rPr>
              <w:t>Note—Applicants should have regard to Crime Prevention through Environmental Design Guidelines for Queensland.</w:t>
            </w:r>
          </w:p>
        </w:tc>
        <w:tc>
          <w:tcPr>
            <w:tcW w:w="4678" w:type="dxa"/>
          </w:tcPr>
          <w:p w14:paraId="60F382B1"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F204578" w14:textId="77777777" w:rsidTr="001A7107">
        <w:trPr>
          <w:cantSplit/>
        </w:trPr>
        <w:tc>
          <w:tcPr>
            <w:tcW w:w="4678" w:type="dxa"/>
          </w:tcPr>
          <w:p w14:paraId="381562DC" w14:textId="77777777" w:rsidR="00BE36FB" w:rsidRPr="009B7B35" w:rsidRDefault="00BE36FB" w:rsidP="001A7107">
            <w:pPr>
              <w:pStyle w:val="TableText"/>
              <w:rPr>
                <w:rFonts w:cs="Arial"/>
                <w:b/>
                <w:bCs/>
              </w:rPr>
            </w:pPr>
            <w:r w:rsidRPr="009B7B35">
              <w:rPr>
                <w:rFonts w:cs="Arial"/>
                <w:b/>
                <w:bCs/>
              </w:rPr>
              <w:t>PO13</w:t>
            </w:r>
          </w:p>
          <w:p w14:paraId="277E592E" w14:textId="77777777" w:rsidR="00BE36FB" w:rsidRPr="009B7B35" w:rsidRDefault="00BE36FB" w:rsidP="001A7107">
            <w:pPr>
              <w:pStyle w:val="TableText"/>
              <w:rPr>
                <w:rFonts w:cs="Arial"/>
              </w:rPr>
            </w:pPr>
            <w:r w:rsidRPr="009B7B35">
              <w:rPr>
                <w:rFonts w:cs="Arial"/>
              </w:rPr>
              <w:t>Design elements contribute to an interesting and attractive building through:</w:t>
            </w:r>
          </w:p>
          <w:p w14:paraId="35300996" w14:textId="77777777" w:rsidR="00BE36FB" w:rsidRPr="009B7B35" w:rsidRDefault="00BE36FB" w:rsidP="00BE36FB">
            <w:pPr>
              <w:pStyle w:val="TableText"/>
              <w:numPr>
                <w:ilvl w:val="0"/>
                <w:numId w:val="119"/>
              </w:numPr>
              <w:rPr>
                <w:rFonts w:cs="Arial"/>
              </w:rPr>
            </w:pPr>
            <w:r w:rsidRPr="009B7B35">
              <w:rPr>
                <w:rFonts w:cs="Arial"/>
              </w:rPr>
              <w:t>the provision of projections and recesses in the façade which reflect changes in internal functions of buildings, including circulation</w:t>
            </w:r>
          </w:p>
          <w:p w14:paraId="0EEC8B19" w14:textId="77777777" w:rsidR="00BE36FB" w:rsidRPr="009B7B35" w:rsidRDefault="00BE36FB" w:rsidP="00BE36FB">
            <w:pPr>
              <w:pStyle w:val="TableText"/>
              <w:numPr>
                <w:ilvl w:val="0"/>
                <w:numId w:val="119"/>
              </w:numPr>
              <w:rPr>
                <w:rFonts w:cs="Arial"/>
              </w:rPr>
            </w:pPr>
            <w:r w:rsidRPr="009B7B35">
              <w:rPr>
                <w:rFonts w:cs="Arial"/>
              </w:rPr>
              <w:t>variations in materials and building form</w:t>
            </w:r>
          </w:p>
          <w:p w14:paraId="23A0FC20" w14:textId="77777777" w:rsidR="00BE36FB" w:rsidRPr="009B7B35" w:rsidRDefault="00BE36FB" w:rsidP="00BE36FB">
            <w:pPr>
              <w:pStyle w:val="TableText"/>
              <w:numPr>
                <w:ilvl w:val="0"/>
                <w:numId w:val="119"/>
              </w:numPr>
              <w:rPr>
                <w:rFonts w:cs="Arial"/>
              </w:rPr>
            </w:pPr>
            <w:r w:rsidRPr="009B7B35">
              <w:rPr>
                <w:rFonts w:cs="Arial"/>
              </w:rPr>
              <w:t>modulation in the façade, horizontally or vertically</w:t>
            </w:r>
          </w:p>
          <w:p w14:paraId="71F51A62" w14:textId="77777777" w:rsidR="00BE36FB" w:rsidRPr="009B7B35" w:rsidRDefault="00BE36FB" w:rsidP="00BE36FB">
            <w:pPr>
              <w:pStyle w:val="TableText"/>
              <w:numPr>
                <w:ilvl w:val="0"/>
                <w:numId w:val="119"/>
              </w:numPr>
              <w:rPr>
                <w:rFonts w:cs="Arial"/>
              </w:rPr>
            </w:pPr>
            <w:r w:rsidRPr="009B7B35">
              <w:rPr>
                <w:rFonts w:cs="Arial"/>
              </w:rPr>
              <w:t>articulation of building entrances and openings</w:t>
            </w:r>
          </w:p>
          <w:p w14:paraId="63021BBC" w14:textId="77777777" w:rsidR="00BE36FB" w:rsidRPr="009B7B35" w:rsidRDefault="00BE36FB" w:rsidP="00BE36FB">
            <w:pPr>
              <w:pStyle w:val="TableText"/>
              <w:numPr>
                <w:ilvl w:val="0"/>
                <w:numId w:val="119"/>
              </w:numPr>
              <w:rPr>
                <w:rFonts w:cs="Arial"/>
              </w:rPr>
            </w:pPr>
            <w:r w:rsidRPr="009B7B35">
              <w:rPr>
                <w:rFonts w:cs="Arial"/>
              </w:rPr>
              <w:t>corner treatments to address both street frontages</w:t>
            </w:r>
          </w:p>
          <w:p w14:paraId="62EED822" w14:textId="77777777" w:rsidR="00BE36FB" w:rsidRPr="009B7B35" w:rsidRDefault="00BE36FB" w:rsidP="00BE36FB">
            <w:pPr>
              <w:pStyle w:val="TableText"/>
              <w:numPr>
                <w:ilvl w:val="0"/>
                <w:numId w:val="119"/>
              </w:numPr>
              <w:rPr>
                <w:rFonts w:cs="Arial"/>
              </w:rPr>
            </w:pPr>
            <w:r w:rsidRPr="009B7B35">
              <w:rPr>
                <w:rFonts w:cs="Arial"/>
              </w:rPr>
              <w:t>elements which assist in wayfinding and legibility, and</w:t>
            </w:r>
          </w:p>
          <w:p w14:paraId="7FE66C36" w14:textId="77777777" w:rsidR="00BE36FB" w:rsidRPr="009B7B35" w:rsidRDefault="00BE36FB" w:rsidP="00BE36FB">
            <w:pPr>
              <w:pStyle w:val="TableText"/>
              <w:numPr>
                <w:ilvl w:val="0"/>
                <w:numId w:val="119"/>
              </w:numPr>
              <w:rPr>
                <w:rFonts w:cs="Arial"/>
              </w:rPr>
            </w:pPr>
            <w:r w:rsidRPr="009B7B35">
              <w:rPr>
                <w:rFonts w:cs="Arial"/>
              </w:rPr>
              <w:t>elements which relate to the context including surrounding buildings, parks, streets and open spaces.</w:t>
            </w:r>
          </w:p>
        </w:tc>
        <w:tc>
          <w:tcPr>
            <w:tcW w:w="4678" w:type="dxa"/>
          </w:tcPr>
          <w:p w14:paraId="45D247F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E76E1F0" w14:textId="77777777" w:rsidTr="001A7107">
        <w:trPr>
          <w:cantSplit/>
        </w:trPr>
        <w:tc>
          <w:tcPr>
            <w:tcW w:w="4678" w:type="dxa"/>
          </w:tcPr>
          <w:p w14:paraId="0415EBE8" w14:textId="77777777" w:rsidR="00BE36FB" w:rsidRPr="009B7B35" w:rsidRDefault="00BE36FB" w:rsidP="001A7107">
            <w:pPr>
              <w:pStyle w:val="TableText"/>
              <w:rPr>
                <w:rFonts w:cs="Arial"/>
                <w:b/>
                <w:bCs/>
              </w:rPr>
            </w:pPr>
            <w:r w:rsidRPr="009B7B35">
              <w:rPr>
                <w:rFonts w:cs="Arial"/>
                <w:b/>
                <w:bCs/>
              </w:rPr>
              <w:t>PO14</w:t>
            </w:r>
          </w:p>
          <w:p w14:paraId="5807D88E" w14:textId="77777777" w:rsidR="00BE36FB" w:rsidRPr="009B7B35" w:rsidRDefault="00BE36FB" w:rsidP="001A7107">
            <w:pPr>
              <w:pStyle w:val="TableText"/>
              <w:rPr>
                <w:rFonts w:cs="Arial"/>
              </w:rPr>
            </w:pPr>
            <w:r w:rsidRPr="009B7B35">
              <w:rPr>
                <w:rFonts w:cs="Arial"/>
              </w:rPr>
              <w:t>Roof form assists in reducing the appearance of building bulk by:</w:t>
            </w:r>
          </w:p>
          <w:p w14:paraId="400B9F0B" w14:textId="77777777" w:rsidR="00BE36FB" w:rsidRPr="009B7B35" w:rsidRDefault="00BE36FB" w:rsidP="00BE36FB">
            <w:pPr>
              <w:pStyle w:val="TableText"/>
              <w:numPr>
                <w:ilvl w:val="0"/>
                <w:numId w:val="120"/>
              </w:numPr>
              <w:rPr>
                <w:rFonts w:cs="Arial"/>
              </w:rPr>
            </w:pPr>
            <w:r w:rsidRPr="009B7B35">
              <w:rPr>
                <w:rFonts w:cs="Arial"/>
              </w:rPr>
              <w:t>articulating individual dwellings, and</w:t>
            </w:r>
          </w:p>
          <w:p w14:paraId="18E15293" w14:textId="77777777" w:rsidR="00BE36FB" w:rsidRPr="009B7B35" w:rsidRDefault="00BE36FB" w:rsidP="00BE36FB">
            <w:pPr>
              <w:pStyle w:val="TableText"/>
              <w:numPr>
                <w:ilvl w:val="0"/>
                <w:numId w:val="120"/>
              </w:numPr>
              <w:rPr>
                <w:rFonts w:cs="Arial"/>
              </w:rPr>
            </w:pPr>
            <w:r w:rsidRPr="009B7B35">
              <w:rPr>
                <w:rFonts w:cs="Arial"/>
              </w:rPr>
              <w:t>incorporating variety in design through use of roof pitch, height, gables and skillions.</w:t>
            </w:r>
          </w:p>
        </w:tc>
        <w:tc>
          <w:tcPr>
            <w:tcW w:w="4678" w:type="dxa"/>
          </w:tcPr>
          <w:p w14:paraId="17298242"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8540F94" w14:textId="77777777" w:rsidTr="001A7107">
        <w:trPr>
          <w:cantSplit/>
        </w:trPr>
        <w:tc>
          <w:tcPr>
            <w:tcW w:w="4678" w:type="dxa"/>
          </w:tcPr>
          <w:p w14:paraId="21C6845D" w14:textId="77777777" w:rsidR="00BE36FB" w:rsidRPr="009B7B35" w:rsidRDefault="00BE36FB" w:rsidP="001A7107">
            <w:pPr>
              <w:pStyle w:val="TableText"/>
              <w:rPr>
                <w:rFonts w:cs="Arial"/>
                <w:b/>
                <w:bCs/>
              </w:rPr>
            </w:pPr>
            <w:r w:rsidRPr="009B7B35">
              <w:rPr>
                <w:rFonts w:cs="Arial"/>
                <w:b/>
                <w:bCs/>
              </w:rPr>
              <w:t>PO15</w:t>
            </w:r>
          </w:p>
          <w:p w14:paraId="57D0A4E6" w14:textId="77777777" w:rsidR="00BE36FB" w:rsidRPr="009B7B35" w:rsidRDefault="00BE36FB" w:rsidP="001A7107">
            <w:pPr>
              <w:pStyle w:val="TableText"/>
              <w:rPr>
                <w:rFonts w:cs="Arial"/>
              </w:rPr>
            </w:pPr>
            <w:r w:rsidRPr="009B7B35">
              <w:rPr>
                <w:rFonts w:cs="Arial"/>
              </w:rPr>
              <w:t>Building design and site layout optimise accessibility and convenience for users, particularly pedestrians.</w:t>
            </w:r>
          </w:p>
        </w:tc>
        <w:tc>
          <w:tcPr>
            <w:tcW w:w="4678" w:type="dxa"/>
          </w:tcPr>
          <w:p w14:paraId="7A52DF79"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6B7BE6D" w14:textId="77777777" w:rsidTr="001A7107">
        <w:trPr>
          <w:cantSplit/>
        </w:trPr>
        <w:tc>
          <w:tcPr>
            <w:tcW w:w="9356" w:type="dxa"/>
            <w:gridSpan w:val="2"/>
            <w:shd w:val="clear" w:color="auto" w:fill="BFBFBF" w:themeFill="background1" w:themeFillShade="BF"/>
          </w:tcPr>
          <w:p w14:paraId="2BE68CE4" w14:textId="77777777" w:rsidR="00BE36FB" w:rsidRPr="009B7B35" w:rsidRDefault="00BE36FB" w:rsidP="001A7107">
            <w:pPr>
              <w:pStyle w:val="Tableheading"/>
              <w:rPr>
                <w:rFonts w:ascii="Arial" w:hAnsi="Arial" w:cs="Arial"/>
                <w:szCs w:val="20"/>
              </w:rPr>
            </w:pPr>
            <w:r w:rsidRPr="009B7B35">
              <w:rPr>
                <w:rFonts w:ascii="Arial" w:hAnsi="Arial" w:cs="Arial"/>
                <w:szCs w:val="20"/>
              </w:rPr>
              <w:t>Open space</w:t>
            </w:r>
          </w:p>
        </w:tc>
      </w:tr>
      <w:tr w:rsidR="00BE36FB" w:rsidRPr="009B7B35" w14:paraId="75970FAB" w14:textId="77777777" w:rsidTr="001A7107">
        <w:tc>
          <w:tcPr>
            <w:tcW w:w="4678" w:type="dxa"/>
          </w:tcPr>
          <w:p w14:paraId="12112CE6" w14:textId="77777777" w:rsidR="00BE36FB" w:rsidRPr="009B7B35" w:rsidRDefault="00BE36FB" w:rsidP="001A7107">
            <w:pPr>
              <w:pStyle w:val="TableText"/>
              <w:rPr>
                <w:rFonts w:cs="Arial"/>
                <w:b/>
                <w:bCs/>
              </w:rPr>
            </w:pPr>
            <w:r w:rsidRPr="009B7B35">
              <w:rPr>
                <w:rFonts w:cs="Arial"/>
                <w:b/>
                <w:bCs/>
              </w:rPr>
              <w:t>PO16</w:t>
            </w:r>
          </w:p>
          <w:p w14:paraId="37F42A1A" w14:textId="77777777" w:rsidR="00BE36FB" w:rsidRPr="009B7B35" w:rsidRDefault="00BE36FB" w:rsidP="001A7107">
            <w:pPr>
              <w:pStyle w:val="TableText"/>
              <w:rPr>
                <w:rFonts w:cs="Arial"/>
              </w:rPr>
            </w:pPr>
            <w:r w:rsidRPr="009B7B35">
              <w:rPr>
                <w:rFonts w:cs="Arial"/>
              </w:rPr>
              <w:t>Open space is oriented to maximise solar access.</w:t>
            </w:r>
          </w:p>
        </w:tc>
        <w:tc>
          <w:tcPr>
            <w:tcW w:w="4678" w:type="dxa"/>
          </w:tcPr>
          <w:p w14:paraId="2D000A4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6CFB58A" w14:textId="77777777" w:rsidTr="001A7107">
        <w:tc>
          <w:tcPr>
            <w:tcW w:w="4678" w:type="dxa"/>
          </w:tcPr>
          <w:p w14:paraId="3F411712" w14:textId="77777777" w:rsidR="00BE36FB" w:rsidRPr="009B7B35" w:rsidRDefault="00BE36FB" w:rsidP="001A7107">
            <w:pPr>
              <w:pStyle w:val="TableText"/>
              <w:rPr>
                <w:rFonts w:cs="Arial"/>
                <w:b/>
                <w:bCs/>
              </w:rPr>
            </w:pPr>
            <w:r w:rsidRPr="009B7B35">
              <w:rPr>
                <w:rFonts w:cs="Arial"/>
                <w:b/>
                <w:bCs/>
              </w:rPr>
              <w:t>PO17</w:t>
            </w:r>
          </w:p>
          <w:p w14:paraId="3F1EE26F" w14:textId="77777777" w:rsidR="00BE36FB" w:rsidRPr="009B7B35" w:rsidRDefault="00BE36FB" w:rsidP="001A7107">
            <w:pPr>
              <w:pStyle w:val="TableText"/>
              <w:rPr>
                <w:rFonts w:cs="Arial"/>
              </w:rPr>
            </w:pPr>
            <w:r w:rsidRPr="009B7B35">
              <w:rPr>
                <w:rFonts w:cs="Arial"/>
              </w:rPr>
              <w:t xml:space="preserve">Communal open space is: </w:t>
            </w:r>
          </w:p>
          <w:p w14:paraId="1EE18E73" w14:textId="77777777" w:rsidR="00BE36FB" w:rsidRPr="009B7B35" w:rsidRDefault="00BE36FB" w:rsidP="00BE36FB">
            <w:pPr>
              <w:pStyle w:val="TableText"/>
              <w:numPr>
                <w:ilvl w:val="0"/>
                <w:numId w:val="563"/>
              </w:numPr>
              <w:rPr>
                <w:rFonts w:cs="Arial"/>
              </w:rPr>
            </w:pPr>
            <w:r w:rsidRPr="009B7B35">
              <w:rPr>
                <w:rFonts w:cs="Arial"/>
              </w:rPr>
              <w:t>designed to provide useable areas for communal activities such as clothes drying and social interaction, and</w:t>
            </w:r>
          </w:p>
          <w:p w14:paraId="4E228840" w14:textId="77777777" w:rsidR="00BE36FB" w:rsidRPr="009B7B35" w:rsidRDefault="00BE36FB" w:rsidP="00BE36FB">
            <w:pPr>
              <w:pStyle w:val="TableText"/>
              <w:numPr>
                <w:ilvl w:val="0"/>
                <w:numId w:val="563"/>
              </w:numPr>
              <w:rPr>
                <w:rFonts w:cs="Arial"/>
              </w:rPr>
            </w:pPr>
            <w:r w:rsidRPr="009B7B35">
              <w:rPr>
                <w:rFonts w:cs="Arial"/>
              </w:rPr>
              <w:t>is not dominated by landscaping.</w:t>
            </w:r>
          </w:p>
        </w:tc>
        <w:tc>
          <w:tcPr>
            <w:tcW w:w="4678" w:type="dxa"/>
          </w:tcPr>
          <w:p w14:paraId="1DD1DB1D"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7E1E686" w14:textId="77777777" w:rsidTr="001A7107">
        <w:trPr>
          <w:cantSplit/>
        </w:trPr>
        <w:tc>
          <w:tcPr>
            <w:tcW w:w="9356" w:type="dxa"/>
            <w:gridSpan w:val="2"/>
            <w:shd w:val="clear" w:color="auto" w:fill="BFBFBF" w:themeFill="background1" w:themeFillShade="BF"/>
          </w:tcPr>
          <w:p w14:paraId="397425FB" w14:textId="77777777"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14:paraId="41520079" w14:textId="77777777" w:rsidTr="001A7107">
        <w:tc>
          <w:tcPr>
            <w:tcW w:w="4678" w:type="dxa"/>
          </w:tcPr>
          <w:p w14:paraId="7055826F" w14:textId="77777777" w:rsidR="00BE36FB" w:rsidRPr="009B7B35" w:rsidRDefault="00BE36FB" w:rsidP="001A7107">
            <w:pPr>
              <w:pStyle w:val="TableText"/>
              <w:rPr>
                <w:rFonts w:cs="Arial"/>
                <w:b/>
                <w:bCs/>
              </w:rPr>
            </w:pPr>
            <w:r w:rsidRPr="009B7B35">
              <w:rPr>
                <w:rFonts w:cs="Arial"/>
                <w:b/>
                <w:bCs/>
              </w:rPr>
              <w:t>PO18</w:t>
            </w:r>
          </w:p>
          <w:p w14:paraId="1B79E1C6" w14:textId="77777777" w:rsidR="00BE36FB" w:rsidRPr="009B7B35" w:rsidRDefault="00BE36FB" w:rsidP="001A7107">
            <w:pPr>
              <w:pStyle w:val="TableText"/>
              <w:rPr>
                <w:rFonts w:cs="Arial"/>
              </w:rPr>
            </w:pPr>
            <w:r w:rsidRPr="009B7B35">
              <w:rPr>
                <w:rFonts w:cs="Arial"/>
              </w:rPr>
              <w:t>Habitable spaces must not directly overlook dwellings on adjacent land.</w:t>
            </w:r>
          </w:p>
        </w:tc>
        <w:tc>
          <w:tcPr>
            <w:tcW w:w="4678" w:type="dxa"/>
          </w:tcPr>
          <w:p w14:paraId="2DD72FBD" w14:textId="77777777" w:rsidR="00BE36FB" w:rsidRPr="009B7B35" w:rsidRDefault="00BE36FB" w:rsidP="001A7107">
            <w:pPr>
              <w:pStyle w:val="TableText"/>
              <w:rPr>
                <w:rFonts w:cs="Arial"/>
                <w:b/>
                <w:bCs/>
              </w:rPr>
            </w:pPr>
            <w:r w:rsidRPr="009B7B35">
              <w:rPr>
                <w:rFonts w:cs="Arial"/>
                <w:b/>
                <w:bCs/>
              </w:rPr>
              <w:t>AO18</w:t>
            </w:r>
          </w:p>
          <w:p w14:paraId="334F3217" w14:textId="77777777" w:rsidR="00BE36FB" w:rsidRPr="009B7B35" w:rsidRDefault="00BE36FB" w:rsidP="001A7107">
            <w:pPr>
              <w:pStyle w:val="TableText"/>
              <w:rPr>
                <w:rFonts w:cs="Arial"/>
              </w:rPr>
            </w:pPr>
            <w:r w:rsidRPr="009B7B35">
              <w:rPr>
                <w:rFonts w:cs="Arial"/>
              </w:rPr>
              <w:t>Habitable room windows of a dwelling unit are separated a minimum of 9m from a habitable room window or private open space of another dwelling unit unless:</w:t>
            </w:r>
          </w:p>
          <w:p w14:paraId="00415A53" w14:textId="77777777" w:rsidR="00BE36FB" w:rsidRPr="009B7B35" w:rsidRDefault="00BE36FB" w:rsidP="00BE36FB">
            <w:pPr>
              <w:pStyle w:val="TableText"/>
              <w:numPr>
                <w:ilvl w:val="0"/>
                <w:numId w:val="530"/>
              </w:numPr>
              <w:ind w:left="510" w:hanging="510"/>
              <w:rPr>
                <w:rFonts w:cs="Arial"/>
              </w:rPr>
            </w:pPr>
            <w:r w:rsidRPr="009B7B35">
              <w:rPr>
                <w:rFonts w:cs="Arial"/>
              </w:rPr>
              <w:t>windows have translucent glazing or sill heights of at least 1.5m, or</w:t>
            </w:r>
          </w:p>
          <w:p w14:paraId="6632DDF1" w14:textId="77777777" w:rsidR="00BE36FB" w:rsidRPr="009B7B35" w:rsidRDefault="00BE36FB" w:rsidP="00BE36FB">
            <w:pPr>
              <w:pStyle w:val="TableText"/>
              <w:numPr>
                <w:ilvl w:val="0"/>
                <w:numId w:val="530"/>
              </w:numPr>
              <w:ind w:left="510" w:hanging="510"/>
              <w:rPr>
                <w:rFonts w:cs="Arial"/>
              </w:rPr>
            </w:pPr>
            <w:r w:rsidRPr="009B7B35">
              <w:rPr>
                <w:rFonts w:cs="Arial"/>
              </w:rPr>
              <w:t>there is a 1.8m high dividing fence at ground level</w:t>
            </w:r>
          </w:p>
          <w:p w14:paraId="487964CE" w14:textId="77777777" w:rsidR="00BE36FB" w:rsidRPr="009B7B35" w:rsidRDefault="00BE36FB" w:rsidP="00BE36FB">
            <w:pPr>
              <w:pStyle w:val="TableText"/>
              <w:numPr>
                <w:ilvl w:val="0"/>
                <w:numId w:val="530"/>
              </w:numPr>
              <w:ind w:left="510" w:hanging="510"/>
              <w:rPr>
                <w:rFonts w:cs="Arial"/>
              </w:rPr>
            </w:pPr>
            <w:r w:rsidRPr="009B7B35">
              <w:rPr>
                <w:rFonts w:cs="Arial"/>
              </w:rPr>
              <w:t>outlook from windows, balconies, and terraces of a dwelling unit is screened where screening is:</w:t>
            </w:r>
          </w:p>
          <w:p w14:paraId="741D1D88" w14:textId="77777777" w:rsidR="00BE36FB" w:rsidRPr="009B7B35" w:rsidRDefault="00BE36FB" w:rsidP="00BE36FB">
            <w:pPr>
              <w:pStyle w:val="TableText"/>
              <w:numPr>
                <w:ilvl w:val="1"/>
                <w:numId w:val="530"/>
              </w:numPr>
              <w:ind w:left="1077" w:hanging="283"/>
              <w:rPr>
                <w:rFonts w:cs="Arial"/>
              </w:rPr>
            </w:pPr>
            <w:r w:rsidRPr="009B7B35">
              <w:rPr>
                <w:rFonts w:cs="Arial"/>
              </w:rPr>
              <w:t>a permanent screen or perforated panels or trellises which have a maximum of 50% openings, and</w:t>
            </w:r>
          </w:p>
          <w:p w14:paraId="1C02DD6C" w14:textId="77777777" w:rsidR="00BE36FB" w:rsidRPr="009B7B35" w:rsidRDefault="00BE36FB" w:rsidP="00BE36FB">
            <w:pPr>
              <w:pStyle w:val="TableText"/>
              <w:numPr>
                <w:ilvl w:val="1"/>
                <w:numId w:val="530"/>
              </w:numPr>
              <w:ind w:left="1077" w:hanging="283"/>
              <w:rPr>
                <w:rFonts w:cs="Arial"/>
              </w:rPr>
            </w:pPr>
            <w:r w:rsidRPr="009B7B35">
              <w:rPr>
                <w:rFonts w:cs="Arial"/>
              </w:rPr>
              <w:t>permanent and fixed, and designed to complement the development.</w:t>
            </w:r>
          </w:p>
          <w:p w14:paraId="34F54B2E" w14:textId="77777777" w:rsidR="00BE36FB" w:rsidRPr="009B7B35" w:rsidRDefault="00BE36FB" w:rsidP="001A7107">
            <w:pPr>
              <w:pStyle w:val="Notes"/>
              <w:rPr>
                <w:rFonts w:cs="Arial"/>
                <w:sz w:val="20"/>
                <w:szCs w:val="20"/>
              </w:rPr>
            </w:pPr>
            <w:r w:rsidRPr="009B7B35">
              <w:rPr>
                <w:rFonts w:cs="Arial"/>
                <w:sz w:val="20"/>
                <w:szCs w:val="20"/>
              </w:rPr>
              <w:t>Note—Refer below to Diagram 1—Privacy.</w:t>
            </w:r>
          </w:p>
        </w:tc>
      </w:tr>
      <w:tr w:rsidR="00BE36FB" w:rsidRPr="009B7B35" w14:paraId="3A53E630" w14:textId="77777777" w:rsidTr="001A7107">
        <w:tc>
          <w:tcPr>
            <w:tcW w:w="4678" w:type="dxa"/>
          </w:tcPr>
          <w:p w14:paraId="01E8F6DB" w14:textId="77777777" w:rsidR="00BE36FB" w:rsidRPr="009B7B35" w:rsidRDefault="00BE36FB">
            <w:pPr>
              <w:pStyle w:val="TableText"/>
              <w:rPr>
                <w:rFonts w:cs="Arial"/>
              </w:rPr>
            </w:pPr>
          </w:p>
        </w:tc>
        <w:tc>
          <w:tcPr>
            <w:tcW w:w="4678" w:type="dxa"/>
          </w:tcPr>
          <w:p w14:paraId="6152DB51" w14:textId="77777777" w:rsidR="00BE36FB" w:rsidRPr="009B7B35" w:rsidRDefault="00BE36FB" w:rsidP="001A7107">
            <w:pPr>
              <w:pStyle w:val="Notes"/>
              <w:rPr>
                <w:rFonts w:cs="Arial"/>
                <w:sz w:val="20"/>
                <w:szCs w:val="20"/>
              </w:rPr>
            </w:pPr>
            <w:r w:rsidRPr="009B7B35">
              <w:rPr>
                <w:rFonts w:cs="Arial"/>
                <w:noProof/>
                <w:sz w:val="20"/>
                <w:szCs w:val="20"/>
              </w:rPr>
              <w:drawing>
                <wp:inline distT="0" distB="0" distL="0" distR="0" wp14:anchorId="2BDFD912" wp14:editId="459740EF">
                  <wp:extent cx="2755664" cy="3211032"/>
                  <wp:effectExtent l="0" t="0" r="6985" b="8890"/>
                  <wp:docPr id="85" name="Picture 85"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0909 Privacy Sections (10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0497" t="16667" r="62280" b="18762"/>
                          <a:stretch/>
                        </pic:blipFill>
                        <pic:spPr bwMode="auto">
                          <a:xfrm>
                            <a:off x="0" y="0"/>
                            <a:ext cx="2780616" cy="3240107"/>
                          </a:xfrm>
                          <a:prstGeom prst="rect">
                            <a:avLst/>
                          </a:prstGeom>
                          <a:noFill/>
                          <a:ln>
                            <a:noFill/>
                          </a:ln>
                          <a:extLst>
                            <a:ext uri="{53640926-AAD7-44D8-BBD7-CCE9431645EC}">
                              <a14:shadowObscured xmlns:a14="http://schemas.microsoft.com/office/drawing/2010/main"/>
                            </a:ext>
                          </a:extLst>
                        </pic:spPr>
                      </pic:pic>
                    </a:graphicData>
                  </a:graphic>
                </wp:inline>
              </w:drawing>
            </w:r>
          </w:p>
          <w:p w14:paraId="42B48F44" w14:textId="77777777" w:rsidR="00BE36FB" w:rsidRPr="009B7B35" w:rsidRDefault="00BE36FB" w:rsidP="001A7107">
            <w:pPr>
              <w:pStyle w:val="TableText"/>
              <w:jc w:val="center"/>
              <w:rPr>
                <w:rFonts w:cs="Arial"/>
              </w:rPr>
            </w:pPr>
            <w:r w:rsidRPr="009B7B35">
              <w:rPr>
                <w:rFonts w:cs="Arial"/>
                <w:noProof/>
              </w:rPr>
              <w:drawing>
                <wp:inline distT="0" distB="0" distL="0" distR="0" wp14:anchorId="56A2EFE8" wp14:editId="43DA8460">
                  <wp:extent cx="2760784" cy="1244056"/>
                  <wp:effectExtent l="0" t="0" r="1905" b="0"/>
                  <wp:docPr id="86" name="Picture 86"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0909 Privacy Sections (10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4841" t="27892" r="5426" b="33333"/>
                          <a:stretch/>
                        </pic:blipFill>
                        <pic:spPr bwMode="auto">
                          <a:xfrm>
                            <a:off x="0" y="0"/>
                            <a:ext cx="2764315" cy="1245647"/>
                          </a:xfrm>
                          <a:prstGeom prst="rect">
                            <a:avLst/>
                          </a:prstGeom>
                          <a:noFill/>
                          <a:ln>
                            <a:noFill/>
                          </a:ln>
                          <a:extLst>
                            <a:ext uri="{53640926-AAD7-44D8-BBD7-CCE9431645EC}">
                              <a14:shadowObscured xmlns:a14="http://schemas.microsoft.com/office/drawing/2010/main"/>
                            </a:ext>
                          </a:extLst>
                        </pic:spPr>
                      </pic:pic>
                    </a:graphicData>
                  </a:graphic>
                </wp:inline>
              </w:drawing>
            </w:r>
          </w:p>
          <w:p w14:paraId="23E8F035" w14:textId="77777777" w:rsidR="00BE36FB" w:rsidRPr="009B7B35" w:rsidRDefault="00BE36FB" w:rsidP="001A7107">
            <w:pPr>
              <w:pStyle w:val="Notes"/>
              <w:rPr>
                <w:rFonts w:cs="Arial"/>
                <w:sz w:val="20"/>
                <w:szCs w:val="20"/>
              </w:rPr>
            </w:pPr>
            <w:r w:rsidRPr="009B7B35">
              <w:rPr>
                <w:rFonts w:cs="Arial"/>
                <w:sz w:val="20"/>
                <w:szCs w:val="20"/>
              </w:rPr>
              <w:tab/>
              <w:t>Lattice</w:t>
            </w:r>
            <w:r w:rsidRPr="009B7B35">
              <w:rPr>
                <w:rFonts w:cs="Arial"/>
                <w:sz w:val="20"/>
                <w:szCs w:val="20"/>
              </w:rPr>
              <w:tab/>
              <w:t>Batterns</w:t>
            </w:r>
          </w:p>
        </w:tc>
      </w:tr>
      <w:tr w:rsidR="00BE36FB" w:rsidRPr="009B7B35" w14:paraId="645E1F53" w14:textId="77777777" w:rsidTr="001A7107">
        <w:trPr>
          <w:cantSplit/>
        </w:trPr>
        <w:tc>
          <w:tcPr>
            <w:tcW w:w="4678" w:type="dxa"/>
          </w:tcPr>
          <w:p w14:paraId="3FB29D79" w14:textId="77777777" w:rsidR="00BE36FB" w:rsidRPr="009B7B35" w:rsidRDefault="00BE36FB" w:rsidP="001A7107">
            <w:pPr>
              <w:pStyle w:val="TableText"/>
              <w:rPr>
                <w:rFonts w:cs="Arial"/>
                <w:b/>
                <w:bCs/>
              </w:rPr>
            </w:pPr>
            <w:r w:rsidRPr="009B7B35">
              <w:rPr>
                <w:rFonts w:cs="Arial"/>
                <w:b/>
                <w:bCs/>
              </w:rPr>
              <w:t>PO19</w:t>
            </w:r>
          </w:p>
          <w:p w14:paraId="42500339" w14:textId="77777777" w:rsidR="00BE36FB" w:rsidRPr="009B7B35" w:rsidRDefault="00BE36FB" w:rsidP="001A7107">
            <w:pPr>
              <w:pStyle w:val="TableText"/>
              <w:rPr>
                <w:rFonts w:cs="Arial"/>
              </w:rPr>
            </w:pPr>
            <w:r w:rsidRPr="009B7B35">
              <w:rPr>
                <w:rFonts w:cs="Arial"/>
              </w:rPr>
              <w:t>Landscaping is provided to enhance the appearance of the development, screen unsightly components, create an attractive on–site environment and provide shading.</w:t>
            </w:r>
          </w:p>
          <w:p w14:paraId="12987A80" w14:textId="77777777" w:rsidR="00BE36FB" w:rsidRPr="009B7B35" w:rsidRDefault="00BE36FB" w:rsidP="001A7107">
            <w:pPr>
              <w:pStyle w:val="Notes"/>
              <w:rPr>
                <w:rFonts w:cs="Arial"/>
                <w:sz w:val="20"/>
                <w:szCs w:val="20"/>
              </w:rPr>
            </w:pPr>
            <w:r w:rsidRPr="009B7B35">
              <w:rPr>
                <w:rFonts w:cs="Arial"/>
                <w:sz w:val="20"/>
                <w:szCs w:val="20"/>
              </w:rPr>
              <w:t>Note—Applicants are also referred to the Landscaping code.</w:t>
            </w:r>
          </w:p>
        </w:tc>
        <w:tc>
          <w:tcPr>
            <w:tcW w:w="4678" w:type="dxa"/>
          </w:tcPr>
          <w:p w14:paraId="7EA03D5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C8E45F1" w14:textId="77777777" w:rsidTr="001A7107">
        <w:trPr>
          <w:cantSplit/>
        </w:trPr>
        <w:tc>
          <w:tcPr>
            <w:tcW w:w="4678" w:type="dxa"/>
          </w:tcPr>
          <w:p w14:paraId="09E4A293" w14:textId="77777777" w:rsidR="00BE36FB" w:rsidRPr="009B7B35" w:rsidRDefault="00BE36FB" w:rsidP="001A7107">
            <w:pPr>
              <w:pStyle w:val="TableText"/>
              <w:rPr>
                <w:rFonts w:cs="Arial"/>
                <w:b/>
                <w:bCs/>
              </w:rPr>
            </w:pPr>
            <w:r w:rsidRPr="009B7B35">
              <w:rPr>
                <w:rFonts w:cs="Arial"/>
                <w:b/>
                <w:bCs/>
              </w:rPr>
              <w:t>PO20</w:t>
            </w:r>
          </w:p>
          <w:p w14:paraId="233D98B4" w14:textId="77777777" w:rsidR="00BE36FB" w:rsidRPr="009B7B35" w:rsidRDefault="00BE36FB" w:rsidP="001A7107">
            <w:pPr>
              <w:pStyle w:val="TableText"/>
              <w:rPr>
                <w:rFonts w:cs="Arial"/>
              </w:rPr>
            </w:pPr>
            <w:r w:rsidRPr="009B7B35">
              <w:rPr>
                <w:rFonts w:cs="Arial"/>
              </w:rPr>
              <w:t>Outdoor activity, plant equipment, waste, storage and servicing areas are screened from adjoining properties and from the street.</w:t>
            </w:r>
          </w:p>
        </w:tc>
        <w:tc>
          <w:tcPr>
            <w:tcW w:w="4678" w:type="dxa"/>
          </w:tcPr>
          <w:p w14:paraId="0D17E6D1" w14:textId="77777777" w:rsidR="00BE36FB" w:rsidRPr="009B7B35" w:rsidRDefault="00BE36FB" w:rsidP="001A7107">
            <w:pPr>
              <w:pStyle w:val="TableText"/>
              <w:rPr>
                <w:rFonts w:cs="Arial"/>
                <w:b/>
                <w:bCs/>
              </w:rPr>
            </w:pPr>
            <w:r w:rsidRPr="009B7B35">
              <w:rPr>
                <w:rFonts w:cs="Arial"/>
                <w:b/>
                <w:bCs/>
              </w:rPr>
              <w:t>AO20</w:t>
            </w:r>
          </w:p>
          <w:p w14:paraId="68FEA6F5" w14:textId="77777777" w:rsidR="00BE36FB" w:rsidRPr="009B7B35" w:rsidRDefault="00BE36FB" w:rsidP="001A7107">
            <w:pPr>
              <w:pStyle w:val="TableText"/>
              <w:rPr>
                <w:rFonts w:cs="Arial"/>
              </w:rPr>
            </w:pPr>
            <w:r w:rsidRPr="009B7B35">
              <w:rPr>
                <w:rFonts w:cs="Arial"/>
              </w:rPr>
              <w:t>Outdoor activity, plant equipment, waste, storage and servicing areas are:</w:t>
            </w:r>
          </w:p>
          <w:p w14:paraId="0C57E657" w14:textId="77777777" w:rsidR="00BE36FB" w:rsidRPr="009B7B35" w:rsidRDefault="00BE36FB" w:rsidP="00BE36FB">
            <w:pPr>
              <w:pStyle w:val="TableText"/>
              <w:numPr>
                <w:ilvl w:val="0"/>
                <w:numId w:val="121"/>
              </w:numPr>
              <w:rPr>
                <w:rFonts w:cs="Arial"/>
              </w:rPr>
            </w:pPr>
            <w:r w:rsidRPr="009B7B35">
              <w:rPr>
                <w:rFonts w:cs="Arial"/>
              </w:rPr>
              <w:t>not located adjacent to any road frontage, and</w:t>
            </w:r>
          </w:p>
          <w:p w14:paraId="232C4936" w14:textId="77777777" w:rsidR="00BE36FB" w:rsidRPr="009B7B35" w:rsidRDefault="00BE36FB" w:rsidP="00BE36FB">
            <w:pPr>
              <w:pStyle w:val="TableText"/>
              <w:numPr>
                <w:ilvl w:val="0"/>
                <w:numId w:val="121"/>
              </w:numPr>
              <w:rPr>
                <w:rFonts w:cs="Arial"/>
              </w:rPr>
            </w:pPr>
            <w:r w:rsidRPr="009B7B35">
              <w:rPr>
                <w:rFonts w:cs="Arial"/>
              </w:rPr>
              <w:t>screened from public view by either:</w:t>
            </w:r>
          </w:p>
          <w:p w14:paraId="75015988" w14:textId="77777777" w:rsidR="00BE36FB" w:rsidRPr="009B7B35" w:rsidRDefault="00BE36FB" w:rsidP="00BE36FB">
            <w:pPr>
              <w:pStyle w:val="TableText"/>
              <w:numPr>
                <w:ilvl w:val="1"/>
                <w:numId w:val="121"/>
              </w:numPr>
              <w:rPr>
                <w:rFonts w:cs="Arial"/>
              </w:rPr>
            </w:pPr>
            <w:r w:rsidRPr="009B7B35">
              <w:rPr>
                <w:rFonts w:cs="Arial"/>
              </w:rPr>
              <w:t>a 1.8m high solid wall or fence, constructed in materials and colours compatible with the main building on site, or</w:t>
            </w:r>
          </w:p>
          <w:p w14:paraId="4FD4AA18" w14:textId="77777777" w:rsidR="00BE36FB" w:rsidRPr="009B7B35" w:rsidRDefault="00BE36FB" w:rsidP="00BE36FB">
            <w:pPr>
              <w:pStyle w:val="TableText"/>
              <w:numPr>
                <w:ilvl w:val="1"/>
                <w:numId w:val="121"/>
              </w:numPr>
              <w:rPr>
                <w:rFonts w:cs="Arial"/>
              </w:rPr>
            </w:pPr>
            <w:r w:rsidRPr="009B7B35">
              <w:rPr>
                <w:rFonts w:cs="Arial"/>
              </w:rPr>
              <w:t>mature landscaping that has the same effect as a 1.8m high wall.</w:t>
            </w:r>
          </w:p>
        </w:tc>
      </w:tr>
      <w:tr w:rsidR="00BE36FB" w:rsidRPr="009B7B35" w14:paraId="3FCA5AC9" w14:textId="77777777" w:rsidTr="001A7107">
        <w:trPr>
          <w:cantSplit/>
        </w:trPr>
        <w:tc>
          <w:tcPr>
            <w:tcW w:w="9356" w:type="dxa"/>
            <w:gridSpan w:val="2"/>
            <w:shd w:val="clear" w:color="auto" w:fill="BFBFBF" w:themeFill="background1" w:themeFillShade="BF"/>
          </w:tcPr>
          <w:p w14:paraId="691E059E"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4296B560" w14:textId="77777777" w:rsidTr="001A7107">
        <w:tc>
          <w:tcPr>
            <w:tcW w:w="4678" w:type="dxa"/>
          </w:tcPr>
          <w:p w14:paraId="5109A96F" w14:textId="77777777" w:rsidR="00BE36FB" w:rsidRPr="009B7B35" w:rsidRDefault="00BE36FB" w:rsidP="001A7107">
            <w:pPr>
              <w:pStyle w:val="TableText"/>
              <w:rPr>
                <w:rFonts w:cs="Arial"/>
                <w:b/>
                <w:bCs/>
              </w:rPr>
            </w:pPr>
            <w:r w:rsidRPr="009B7B35">
              <w:rPr>
                <w:rFonts w:cs="Arial"/>
                <w:b/>
                <w:bCs/>
              </w:rPr>
              <w:t>PO21</w:t>
            </w:r>
          </w:p>
          <w:p w14:paraId="7AB5EE0C" w14:textId="77777777" w:rsidR="00BE36FB" w:rsidRPr="009B7B35" w:rsidRDefault="00BE36FB" w:rsidP="001A7107">
            <w:pPr>
              <w:pStyle w:val="TableText"/>
              <w:rPr>
                <w:rFonts w:cs="Arial"/>
              </w:rPr>
            </w:pPr>
            <w:r w:rsidRPr="009B7B35">
              <w:rPr>
                <w:rFonts w:cs="Arial"/>
              </w:rPr>
              <w:t>Development responds sensitively to on–site and surrounding topography, drainage patterns, utility services, access, vegetation and adjoining land use, such that:</w:t>
            </w:r>
          </w:p>
          <w:p w14:paraId="307A43B0" w14:textId="77777777" w:rsidR="00BE36FB" w:rsidRPr="009B7B35" w:rsidRDefault="00BE36FB" w:rsidP="00BE36FB">
            <w:pPr>
              <w:pStyle w:val="TableText"/>
              <w:numPr>
                <w:ilvl w:val="0"/>
                <w:numId w:val="224"/>
              </w:numPr>
              <w:rPr>
                <w:rFonts w:cs="Arial"/>
              </w:rPr>
            </w:pPr>
            <w:r w:rsidRPr="009B7B35">
              <w:rPr>
                <w:rFonts w:cs="Arial"/>
              </w:rPr>
              <w:t>any hazards to people or property are avoided</w:t>
            </w:r>
          </w:p>
          <w:p w14:paraId="5D837E31" w14:textId="77777777" w:rsidR="00BE36FB" w:rsidRPr="009B7B35" w:rsidRDefault="00BE36FB" w:rsidP="00BE36FB">
            <w:pPr>
              <w:pStyle w:val="TableText"/>
              <w:numPr>
                <w:ilvl w:val="0"/>
                <w:numId w:val="224"/>
              </w:numPr>
              <w:rPr>
                <w:rFonts w:cs="Arial"/>
              </w:rPr>
            </w:pPr>
            <w:r w:rsidRPr="009B7B35">
              <w:rPr>
                <w:rFonts w:cs="Arial"/>
              </w:rPr>
              <w:t>any earthworks are minimised</w:t>
            </w:r>
          </w:p>
          <w:p w14:paraId="188D140A" w14:textId="77777777" w:rsidR="00BE36FB" w:rsidRPr="009B7B35" w:rsidRDefault="00BE36FB" w:rsidP="00BE36FB">
            <w:pPr>
              <w:pStyle w:val="TableText"/>
              <w:numPr>
                <w:ilvl w:val="0"/>
                <w:numId w:val="224"/>
              </w:numPr>
              <w:rPr>
                <w:rFonts w:cs="Arial"/>
              </w:rPr>
            </w:pPr>
            <w:r w:rsidRPr="009B7B35">
              <w:rPr>
                <w:rFonts w:cs="Arial"/>
              </w:rPr>
              <w:t>the retention of natural drainage line is maximised</w:t>
            </w:r>
          </w:p>
          <w:p w14:paraId="77468F3B" w14:textId="77777777" w:rsidR="00BE36FB" w:rsidRPr="009B7B35" w:rsidRDefault="00BE36FB" w:rsidP="00BE36FB">
            <w:pPr>
              <w:pStyle w:val="TableText"/>
              <w:numPr>
                <w:ilvl w:val="0"/>
                <w:numId w:val="224"/>
              </w:numPr>
              <w:rPr>
                <w:rFonts w:cs="Arial"/>
              </w:rPr>
            </w:pPr>
            <w:r w:rsidRPr="009B7B35">
              <w:rPr>
                <w:rFonts w:cs="Arial"/>
              </w:rPr>
              <w:t>the retention of existing vegetation is maximised</w:t>
            </w:r>
          </w:p>
          <w:p w14:paraId="68F1D533" w14:textId="77777777" w:rsidR="00BE36FB" w:rsidRPr="009B7B35" w:rsidRDefault="00BE36FB" w:rsidP="00BE36FB">
            <w:pPr>
              <w:pStyle w:val="TableText"/>
              <w:numPr>
                <w:ilvl w:val="0"/>
                <w:numId w:val="224"/>
              </w:numPr>
              <w:rPr>
                <w:rFonts w:cs="Arial"/>
              </w:rPr>
            </w:pPr>
            <w:r w:rsidRPr="009B7B35">
              <w:rPr>
                <w:rFonts w:cs="Arial"/>
              </w:rPr>
              <w:t xml:space="preserve">damage or disruption to sewerage, stormwater and water infrastructure is avoided, and </w:t>
            </w:r>
          </w:p>
          <w:p w14:paraId="208CEEA7" w14:textId="77777777" w:rsidR="00BE36FB" w:rsidRPr="009B7B35" w:rsidRDefault="00BE36FB" w:rsidP="00BE36FB">
            <w:pPr>
              <w:pStyle w:val="TableText"/>
              <w:numPr>
                <w:ilvl w:val="0"/>
                <w:numId w:val="224"/>
              </w:numPr>
              <w:rPr>
                <w:rFonts w:cs="Arial"/>
              </w:rPr>
            </w:pPr>
            <w:r w:rsidRPr="009B7B35">
              <w:rPr>
                <w:rFonts w:cs="Arial"/>
              </w:rPr>
              <w:t>there is adequate buffering, screening or separation to adjoining development.</w:t>
            </w:r>
          </w:p>
        </w:tc>
        <w:tc>
          <w:tcPr>
            <w:tcW w:w="4678" w:type="dxa"/>
          </w:tcPr>
          <w:p w14:paraId="59AC5070"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81BC7EC" w14:textId="77777777" w:rsidTr="001A7107">
        <w:tc>
          <w:tcPr>
            <w:tcW w:w="4678" w:type="dxa"/>
          </w:tcPr>
          <w:p w14:paraId="2AB8F1CD" w14:textId="77777777" w:rsidR="00BE36FB" w:rsidRPr="009B7B35" w:rsidRDefault="00BE36FB" w:rsidP="001A7107">
            <w:pPr>
              <w:pStyle w:val="TableText"/>
              <w:rPr>
                <w:rFonts w:cs="Arial"/>
                <w:b/>
                <w:bCs/>
              </w:rPr>
            </w:pPr>
            <w:r w:rsidRPr="009B7B35">
              <w:rPr>
                <w:rFonts w:cs="Arial"/>
                <w:b/>
                <w:bCs/>
              </w:rPr>
              <w:t>PO22</w:t>
            </w:r>
          </w:p>
          <w:p w14:paraId="14211BB8" w14:textId="77777777" w:rsidR="00BE36FB" w:rsidRPr="009B7B35" w:rsidRDefault="00BE36FB">
            <w:pPr>
              <w:pStyle w:val="TableText"/>
              <w:rPr>
                <w:rFonts w:cs="Arial"/>
              </w:rPr>
            </w:pPr>
            <w:r w:rsidRPr="009B7B35">
              <w:rPr>
                <w:rFonts w:cs="Arial"/>
              </w:rPr>
              <w:t>Development maintains a high level of amenity within the site and minimises impacts on surrounding areas, having regard to:</w:t>
            </w:r>
          </w:p>
          <w:p w14:paraId="553117F1" w14:textId="77777777" w:rsidR="00BE36FB" w:rsidRPr="009B7B35" w:rsidRDefault="00BE36FB" w:rsidP="00BE36FB">
            <w:pPr>
              <w:pStyle w:val="TableText"/>
              <w:numPr>
                <w:ilvl w:val="0"/>
                <w:numId w:val="418"/>
              </w:numPr>
              <w:rPr>
                <w:rFonts w:cs="Arial"/>
              </w:rPr>
            </w:pPr>
            <w:r w:rsidRPr="009B7B35">
              <w:rPr>
                <w:rFonts w:cs="Arial"/>
              </w:rPr>
              <w:t>noise</w:t>
            </w:r>
          </w:p>
          <w:p w14:paraId="577057EF" w14:textId="77777777" w:rsidR="00BE36FB" w:rsidRPr="009B7B35" w:rsidRDefault="00BE36FB" w:rsidP="00BE36FB">
            <w:pPr>
              <w:pStyle w:val="TableText"/>
              <w:numPr>
                <w:ilvl w:val="0"/>
                <w:numId w:val="418"/>
              </w:numPr>
              <w:rPr>
                <w:rFonts w:cs="Arial"/>
              </w:rPr>
            </w:pPr>
            <w:r w:rsidRPr="009B7B35">
              <w:rPr>
                <w:rFonts w:cs="Arial"/>
              </w:rPr>
              <w:t>traffic and parking</w:t>
            </w:r>
          </w:p>
          <w:p w14:paraId="0BEA4E6F" w14:textId="77777777" w:rsidR="00BE36FB" w:rsidRPr="009B7B35" w:rsidRDefault="00BE36FB" w:rsidP="00BE36FB">
            <w:pPr>
              <w:pStyle w:val="TableText"/>
              <w:numPr>
                <w:ilvl w:val="0"/>
                <w:numId w:val="418"/>
              </w:numPr>
              <w:rPr>
                <w:rFonts w:cs="Arial"/>
              </w:rPr>
            </w:pPr>
            <w:r w:rsidRPr="009B7B35">
              <w:rPr>
                <w:rFonts w:cs="Arial"/>
              </w:rPr>
              <w:t>visual impact</w:t>
            </w:r>
          </w:p>
          <w:p w14:paraId="36CFAD4D" w14:textId="77777777" w:rsidR="00BE36FB" w:rsidRPr="009B7B35" w:rsidRDefault="00BE36FB" w:rsidP="00BE36FB">
            <w:pPr>
              <w:pStyle w:val="TableText"/>
              <w:numPr>
                <w:ilvl w:val="0"/>
                <w:numId w:val="418"/>
              </w:numPr>
              <w:rPr>
                <w:rFonts w:cs="Arial"/>
              </w:rPr>
            </w:pPr>
            <w:r w:rsidRPr="009B7B35">
              <w:rPr>
                <w:rFonts w:cs="Arial"/>
              </w:rPr>
              <w:t>signage</w:t>
            </w:r>
          </w:p>
          <w:p w14:paraId="5838268F" w14:textId="77777777" w:rsidR="00BE36FB" w:rsidRPr="009B7B35" w:rsidRDefault="00BE36FB" w:rsidP="00BE36FB">
            <w:pPr>
              <w:pStyle w:val="TableText"/>
              <w:numPr>
                <w:ilvl w:val="0"/>
                <w:numId w:val="418"/>
              </w:numPr>
              <w:rPr>
                <w:rFonts w:cs="Arial"/>
              </w:rPr>
            </w:pPr>
            <w:r w:rsidRPr="009B7B35">
              <w:rPr>
                <w:rFonts w:cs="Arial"/>
              </w:rPr>
              <w:t>odour and emissions, and</w:t>
            </w:r>
          </w:p>
          <w:p w14:paraId="7D2C0FA4" w14:textId="77777777" w:rsidR="00BE36FB" w:rsidRPr="009B7B35" w:rsidRDefault="00BE36FB" w:rsidP="00BE36FB">
            <w:pPr>
              <w:pStyle w:val="TableText"/>
              <w:numPr>
                <w:ilvl w:val="0"/>
                <w:numId w:val="418"/>
              </w:numPr>
              <w:rPr>
                <w:rFonts w:cs="Arial"/>
              </w:rPr>
            </w:pPr>
            <w:r w:rsidRPr="009B7B35">
              <w:rPr>
                <w:rFonts w:cs="Arial"/>
              </w:rPr>
              <w:t>lighting.</w:t>
            </w:r>
          </w:p>
          <w:p w14:paraId="1E6102A9" w14:textId="77777777" w:rsidR="00BE36FB" w:rsidRPr="009B7B35" w:rsidRDefault="00BE36FB" w:rsidP="001A7107">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outcome.</w:t>
            </w:r>
          </w:p>
        </w:tc>
        <w:tc>
          <w:tcPr>
            <w:tcW w:w="4678" w:type="dxa"/>
          </w:tcPr>
          <w:p w14:paraId="0AAFDF72"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E5B6966" w14:textId="77777777" w:rsidTr="001A7107">
        <w:trPr>
          <w:cantSplit/>
        </w:trPr>
        <w:tc>
          <w:tcPr>
            <w:tcW w:w="4678" w:type="dxa"/>
          </w:tcPr>
          <w:p w14:paraId="7CD1625A" w14:textId="77777777" w:rsidR="00BE36FB" w:rsidRPr="009B7B35" w:rsidRDefault="00BE36FB" w:rsidP="001A7107">
            <w:pPr>
              <w:pStyle w:val="TableText"/>
              <w:rPr>
                <w:rFonts w:cs="Arial"/>
                <w:b/>
                <w:bCs/>
              </w:rPr>
            </w:pPr>
            <w:r w:rsidRPr="009B7B35">
              <w:rPr>
                <w:rFonts w:cs="Arial"/>
                <w:b/>
                <w:bCs/>
              </w:rPr>
              <w:t>PO23</w:t>
            </w:r>
          </w:p>
          <w:p w14:paraId="07B70AB0" w14:textId="77777777" w:rsidR="00BE36FB" w:rsidRPr="009B7B35" w:rsidRDefault="00BE36FB" w:rsidP="001A7107">
            <w:pPr>
              <w:pStyle w:val="TableText"/>
              <w:rPr>
                <w:rFonts w:cs="Arial"/>
              </w:rPr>
            </w:pPr>
            <w:r w:rsidRPr="009B7B35">
              <w:rPr>
                <w:rFonts w:cs="Arial"/>
              </w:rPr>
              <w:t>Development is located to:</w:t>
            </w:r>
          </w:p>
          <w:p w14:paraId="1421BC4F" w14:textId="77777777" w:rsidR="00BE36FB" w:rsidRPr="009B7B35" w:rsidRDefault="00BE36FB" w:rsidP="00BE36FB">
            <w:pPr>
              <w:pStyle w:val="TableText"/>
              <w:numPr>
                <w:ilvl w:val="0"/>
                <w:numId w:val="122"/>
              </w:numPr>
              <w:rPr>
                <w:rFonts w:cs="Arial"/>
              </w:rPr>
            </w:pPr>
            <w:r w:rsidRPr="009B7B35">
              <w:rPr>
                <w:rFonts w:cs="Arial"/>
              </w:rPr>
              <w:t>minimise noise, dust, odour or other nuisance from existing lawful uses, and</w:t>
            </w:r>
          </w:p>
          <w:p w14:paraId="6D41E947" w14:textId="77777777" w:rsidR="00BE36FB" w:rsidRPr="009B7B35" w:rsidRDefault="00BE36FB" w:rsidP="00BE36FB">
            <w:pPr>
              <w:pStyle w:val="TableText"/>
              <w:numPr>
                <w:ilvl w:val="0"/>
                <w:numId w:val="122"/>
              </w:numPr>
              <w:rPr>
                <w:rFonts w:cs="Arial"/>
              </w:rPr>
            </w:pPr>
            <w:r w:rsidRPr="009B7B35">
              <w:rPr>
                <w:rFonts w:cs="Arial"/>
              </w:rPr>
              <w:t>minimise nuisance caused by noise, vibration and dust emissions generated by the state–controlled road and rail network in the vicinity of land in the Low–medium density residential zone.</w:t>
            </w:r>
          </w:p>
        </w:tc>
        <w:tc>
          <w:tcPr>
            <w:tcW w:w="4678" w:type="dxa"/>
          </w:tcPr>
          <w:p w14:paraId="149F4D0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5FAC8FB" w14:textId="77777777" w:rsidTr="001A7107">
        <w:trPr>
          <w:cantSplit/>
        </w:trPr>
        <w:tc>
          <w:tcPr>
            <w:tcW w:w="4678" w:type="dxa"/>
          </w:tcPr>
          <w:p w14:paraId="53E7560E" w14:textId="77777777" w:rsidR="00BE36FB" w:rsidRPr="009B7B35" w:rsidRDefault="00BE36FB" w:rsidP="001A7107">
            <w:pPr>
              <w:pStyle w:val="TableText"/>
              <w:rPr>
                <w:rFonts w:cs="Arial"/>
                <w:b/>
                <w:bCs/>
              </w:rPr>
            </w:pPr>
            <w:r w:rsidRPr="009B7B35">
              <w:rPr>
                <w:rFonts w:cs="Arial"/>
                <w:b/>
                <w:bCs/>
              </w:rPr>
              <w:t>PO24</w:t>
            </w:r>
          </w:p>
          <w:p w14:paraId="6CDD356B" w14:textId="77777777" w:rsidR="00BE36FB" w:rsidRPr="009B7B35" w:rsidRDefault="00BE36FB" w:rsidP="001A7107">
            <w:pPr>
              <w:pStyle w:val="TableText"/>
              <w:rPr>
                <w:rFonts w:cs="Arial"/>
              </w:rPr>
            </w:pPr>
            <w:r w:rsidRPr="009B7B35">
              <w:rPr>
                <w:rFonts w:cs="Arial"/>
              </w:rPr>
              <w:t xml:space="preserve">Residential development where located near port facilities, major industries and major infrastructure must mitigate the operational effects including: </w:t>
            </w:r>
          </w:p>
          <w:p w14:paraId="7D573E02" w14:textId="77777777" w:rsidR="00BE36FB" w:rsidRPr="009B7B35" w:rsidRDefault="00BE36FB" w:rsidP="00BE36FB">
            <w:pPr>
              <w:pStyle w:val="TableText"/>
              <w:numPr>
                <w:ilvl w:val="0"/>
                <w:numId w:val="564"/>
              </w:numPr>
              <w:rPr>
                <w:rFonts w:cs="Arial"/>
              </w:rPr>
            </w:pPr>
            <w:r w:rsidRPr="009B7B35">
              <w:rPr>
                <w:rFonts w:cs="Arial"/>
              </w:rPr>
              <w:t>using air–conditioning or energy–efficient ventilation, where necessary, to minimise the effects of odours and emissions, and</w:t>
            </w:r>
          </w:p>
          <w:p w14:paraId="16F2C18C" w14:textId="77777777" w:rsidR="00BE36FB" w:rsidRPr="009B7B35" w:rsidRDefault="00BE36FB" w:rsidP="00BE36FB">
            <w:pPr>
              <w:pStyle w:val="TableText"/>
              <w:numPr>
                <w:ilvl w:val="0"/>
                <w:numId w:val="564"/>
              </w:numPr>
              <w:rPr>
                <w:rFonts w:cs="Arial"/>
              </w:rPr>
            </w:pPr>
            <w:r w:rsidRPr="009B7B35">
              <w:rPr>
                <w:rFonts w:cs="Arial"/>
              </w:rPr>
              <w:t>comprehensive on site landscaping to provide visual relief from the industrial landscape.</w:t>
            </w:r>
          </w:p>
        </w:tc>
        <w:tc>
          <w:tcPr>
            <w:tcW w:w="4678" w:type="dxa"/>
          </w:tcPr>
          <w:p w14:paraId="79F7E43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5BF2757" w14:textId="77777777" w:rsidTr="001A7107">
        <w:trPr>
          <w:cantSplit/>
        </w:trPr>
        <w:tc>
          <w:tcPr>
            <w:tcW w:w="9356" w:type="dxa"/>
            <w:gridSpan w:val="2"/>
            <w:shd w:val="clear" w:color="auto" w:fill="BFBFBF" w:themeFill="background1" w:themeFillShade="BF"/>
          </w:tcPr>
          <w:p w14:paraId="70FD053F" w14:textId="77777777" w:rsidR="00BE36FB" w:rsidRPr="009B7B35" w:rsidRDefault="00BE36FB" w:rsidP="001A7107">
            <w:pPr>
              <w:pStyle w:val="Tableheading"/>
              <w:rPr>
                <w:rFonts w:ascii="Arial" w:hAnsi="Arial" w:cs="Arial"/>
                <w:szCs w:val="20"/>
              </w:rPr>
            </w:pPr>
            <w:r w:rsidRPr="009B7B35">
              <w:rPr>
                <w:rFonts w:ascii="Arial" w:hAnsi="Arial" w:cs="Arial"/>
                <w:szCs w:val="20"/>
              </w:rPr>
              <w:t>Uses – Child care centre, Community care centre or Community use</w:t>
            </w:r>
          </w:p>
        </w:tc>
      </w:tr>
      <w:tr w:rsidR="00BE36FB" w:rsidRPr="009B7B35" w14:paraId="5248DCF0" w14:textId="77777777" w:rsidTr="001A7107">
        <w:trPr>
          <w:cantSplit/>
        </w:trPr>
        <w:tc>
          <w:tcPr>
            <w:tcW w:w="4678" w:type="dxa"/>
          </w:tcPr>
          <w:p w14:paraId="01550C5A" w14:textId="77777777" w:rsidR="00BE36FB" w:rsidRPr="009B7B35" w:rsidRDefault="00BE36FB" w:rsidP="001A7107">
            <w:pPr>
              <w:pStyle w:val="TableText"/>
              <w:rPr>
                <w:rFonts w:cs="Arial"/>
                <w:b/>
                <w:bCs/>
              </w:rPr>
            </w:pPr>
            <w:r w:rsidRPr="009B7B35">
              <w:rPr>
                <w:rFonts w:cs="Arial"/>
                <w:b/>
                <w:bCs/>
              </w:rPr>
              <w:t>PO25</w:t>
            </w:r>
          </w:p>
          <w:p w14:paraId="36C780B5" w14:textId="77777777" w:rsidR="00BE36FB" w:rsidRPr="009B7B35" w:rsidRDefault="00BE36FB" w:rsidP="001A7107">
            <w:pPr>
              <w:pStyle w:val="TableText"/>
              <w:rPr>
                <w:rFonts w:cs="Arial"/>
              </w:rPr>
            </w:pPr>
            <w:r w:rsidRPr="009B7B35">
              <w:rPr>
                <w:rFonts w:cs="Arial"/>
              </w:rPr>
              <w:t>Development is low impact, limited in scale and:</w:t>
            </w:r>
          </w:p>
          <w:p w14:paraId="1EA17972" w14:textId="77777777" w:rsidR="00BE36FB" w:rsidRPr="009B7B35" w:rsidRDefault="00BE36FB" w:rsidP="00BE36FB">
            <w:pPr>
              <w:pStyle w:val="TableText"/>
              <w:numPr>
                <w:ilvl w:val="0"/>
                <w:numId w:val="225"/>
              </w:numPr>
              <w:rPr>
                <w:rFonts w:cs="Arial"/>
              </w:rPr>
            </w:pPr>
            <w:r w:rsidRPr="009B7B35">
              <w:rPr>
                <w:rFonts w:cs="Arial"/>
              </w:rPr>
              <w:t>compatible with neighbouring residential uses and complementary to local character</w:t>
            </w:r>
          </w:p>
          <w:p w14:paraId="33BCD99D" w14:textId="77777777" w:rsidR="00BE36FB" w:rsidRPr="009B7B35" w:rsidRDefault="00BE36FB" w:rsidP="00BE36FB">
            <w:pPr>
              <w:pStyle w:val="TableText"/>
              <w:numPr>
                <w:ilvl w:val="0"/>
                <w:numId w:val="225"/>
              </w:numPr>
              <w:rPr>
                <w:rFonts w:cs="Arial"/>
              </w:rPr>
            </w:pPr>
            <w:r w:rsidRPr="009B7B35">
              <w:rPr>
                <w:rFonts w:cs="Arial"/>
              </w:rPr>
              <w:t>incorporates design elements that are consistent with the surrounding residential development</w:t>
            </w:r>
          </w:p>
          <w:p w14:paraId="6EF535A6" w14:textId="77777777" w:rsidR="00BE36FB" w:rsidRPr="009B7B35" w:rsidRDefault="00BE36FB" w:rsidP="00BE36FB">
            <w:pPr>
              <w:pStyle w:val="TableText"/>
              <w:numPr>
                <w:ilvl w:val="0"/>
                <w:numId w:val="225"/>
              </w:numPr>
              <w:rPr>
                <w:rFonts w:cs="Arial"/>
              </w:rPr>
            </w:pPr>
            <w:r w:rsidRPr="009B7B35">
              <w:rPr>
                <w:rFonts w:cs="Arial"/>
              </w:rPr>
              <w:t>supports the day to day needs of residents</w:t>
            </w:r>
          </w:p>
          <w:p w14:paraId="5018046F" w14:textId="77777777" w:rsidR="00BE36FB" w:rsidRPr="009B7B35" w:rsidRDefault="00BE36FB" w:rsidP="00BE36FB">
            <w:pPr>
              <w:pStyle w:val="TableText"/>
              <w:numPr>
                <w:ilvl w:val="0"/>
                <w:numId w:val="225"/>
              </w:numPr>
              <w:rPr>
                <w:rFonts w:cs="Arial"/>
              </w:rPr>
            </w:pPr>
            <w:r w:rsidRPr="009B7B35">
              <w:rPr>
                <w:rFonts w:cs="Arial"/>
              </w:rPr>
              <w:t>located on a site which must adequately accommodate activity needs and space requirements</w:t>
            </w:r>
          </w:p>
          <w:p w14:paraId="446EFC27" w14:textId="77777777" w:rsidR="00BE36FB" w:rsidRPr="009B7B35" w:rsidRDefault="00BE36FB" w:rsidP="00BE36FB">
            <w:pPr>
              <w:pStyle w:val="TableText"/>
              <w:numPr>
                <w:ilvl w:val="0"/>
                <w:numId w:val="225"/>
              </w:numPr>
              <w:rPr>
                <w:rFonts w:cs="Arial"/>
              </w:rPr>
            </w:pPr>
            <w:r w:rsidRPr="009B7B35">
              <w:rPr>
                <w:rFonts w:cs="Arial"/>
              </w:rPr>
              <w:t>does not undermine the viability of nearby centres, and</w:t>
            </w:r>
          </w:p>
          <w:p w14:paraId="70CC383C" w14:textId="77777777" w:rsidR="00BE36FB" w:rsidRPr="009B7B35" w:rsidRDefault="00BE36FB" w:rsidP="00BE36FB">
            <w:pPr>
              <w:pStyle w:val="TableText"/>
              <w:numPr>
                <w:ilvl w:val="0"/>
                <w:numId w:val="225"/>
              </w:numPr>
              <w:rPr>
                <w:rFonts w:cs="Arial"/>
              </w:rPr>
            </w:pPr>
            <w:r w:rsidRPr="009B7B35">
              <w:rPr>
                <w:rFonts w:cs="Arial"/>
              </w:rPr>
              <w:t>located to minimise exposure of future occupants and employees to impacts associate with existing infrastructure.</w:t>
            </w:r>
          </w:p>
        </w:tc>
        <w:tc>
          <w:tcPr>
            <w:tcW w:w="4678" w:type="dxa"/>
          </w:tcPr>
          <w:p w14:paraId="65964E5B" w14:textId="77777777" w:rsidR="00BE36FB" w:rsidRPr="009B7B35" w:rsidRDefault="00BE36FB">
            <w:pPr>
              <w:pStyle w:val="TableText"/>
              <w:rPr>
                <w:rFonts w:cs="Arial"/>
              </w:rPr>
            </w:pPr>
            <w:r w:rsidRPr="009B7B35">
              <w:rPr>
                <w:rFonts w:cs="Arial"/>
              </w:rPr>
              <w:t>No acceptable outcome is nominated.</w:t>
            </w:r>
          </w:p>
        </w:tc>
      </w:tr>
      <w:tr w:rsidR="00BE36FB" w:rsidRPr="009B7B35" w14:paraId="29832166" w14:textId="77777777" w:rsidTr="001A7107">
        <w:tc>
          <w:tcPr>
            <w:tcW w:w="4678" w:type="dxa"/>
          </w:tcPr>
          <w:p w14:paraId="5050C1E5" w14:textId="77777777" w:rsidR="00BE36FB" w:rsidRPr="009B7B35" w:rsidRDefault="00BE36FB" w:rsidP="001A7107">
            <w:pPr>
              <w:pStyle w:val="TableText"/>
              <w:rPr>
                <w:rFonts w:cs="Arial"/>
                <w:b/>
                <w:bCs/>
              </w:rPr>
            </w:pPr>
            <w:r w:rsidRPr="009B7B35">
              <w:rPr>
                <w:rFonts w:cs="Arial"/>
                <w:b/>
                <w:bCs/>
              </w:rPr>
              <w:t>PO26</w:t>
            </w:r>
          </w:p>
          <w:p w14:paraId="452B5ECF" w14:textId="77777777" w:rsidR="00BE36FB" w:rsidRPr="009B7B35" w:rsidRDefault="00BE36FB" w:rsidP="001A7107">
            <w:pPr>
              <w:pStyle w:val="TableText"/>
              <w:rPr>
                <w:rFonts w:cs="Arial"/>
              </w:rPr>
            </w:pPr>
            <w:r w:rsidRPr="009B7B35">
              <w:rPr>
                <w:rFonts w:cs="Arial"/>
              </w:rPr>
              <w:t>Development is highly accessible and is co–located with, or located close to, centres or other community or recreation uses.</w:t>
            </w:r>
          </w:p>
          <w:p w14:paraId="2BE10544" w14:textId="77777777" w:rsidR="00BE36FB" w:rsidRPr="009B7B35" w:rsidRDefault="00BE36FB" w:rsidP="001A7107">
            <w:pPr>
              <w:pStyle w:val="TableText"/>
              <w:rPr>
                <w:rFonts w:cs="Arial"/>
              </w:rPr>
            </w:pPr>
          </w:p>
        </w:tc>
        <w:tc>
          <w:tcPr>
            <w:tcW w:w="4678" w:type="dxa"/>
          </w:tcPr>
          <w:p w14:paraId="7293C1EA" w14:textId="77777777" w:rsidR="00BE36FB" w:rsidRPr="009B7B35" w:rsidRDefault="00BE36FB">
            <w:pPr>
              <w:pStyle w:val="TableText"/>
              <w:rPr>
                <w:rFonts w:cs="Arial"/>
              </w:rPr>
            </w:pPr>
            <w:r w:rsidRPr="009B7B35">
              <w:rPr>
                <w:rFonts w:cs="Arial"/>
              </w:rPr>
              <w:t>No acceptable outcome is nominated.</w:t>
            </w:r>
          </w:p>
        </w:tc>
      </w:tr>
      <w:tr w:rsidR="00BE36FB" w:rsidRPr="009B7B35" w14:paraId="6422B3FE" w14:textId="77777777" w:rsidTr="001A7107">
        <w:tc>
          <w:tcPr>
            <w:tcW w:w="4678" w:type="dxa"/>
          </w:tcPr>
          <w:p w14:paraId="26A51568" w14:textId="77777777" w:rsidR="00BE36FB" w:rsidRPr="009B7B35" w:rsidRDefault="00BE36FB" w:rsidP="001A7107">
            <w:pPr>
              <w:pStyle w:val="TableText"/>
              <w:rPr>
                <w:rFonts w:cs="Arial"/>
                <w:b/>
                <w:bCs/>
              </w:rPr>
            </w:pPr>
            <w:r w:rsidRPr="009B7B35">
              <w:rPr>
                <w:rFonts w:cs="Arial"/>
                <w:b/>
                <w:bCs/>
              </w:rPr>
              <w:t>PO27</w:t>
            </w:r>
          </w:p>
          <w:p w14:paraId="2632F7F9" w14:textId="77777777" w:rsidR="00BE36FB" w:rsidRPr="009B7B35" w:rsidRDefault="00BE36FB" w:rsidP="001A7107">
            <w:pPr>
              <w:pStyle w:val="TableText"/>
              <w:rPr>
                <w:rFonts w:cs="Arial"/>
              </w:rPr>
            </w:pPr>
            <w:r w:rsidRPr="009B7B35">
              <w:rPr>
                <w:rFonts w:cs="Arial"/>
              </w:rPr>
              <w:t>Development does not adversely impact on the amenity of the area.</w:t>
            </w:r>
          </w:p>
        </w:tc>
        <w:tc>
          <w:tcPr>
            <w:tcW w:w="4678" w:type="dxa"/>
          </w:tcPr>
          <w:p w14:paraId="0C5FBFFC" w14:textId="77777777" w:rsidR="00BE36FB" w:rsidRPr="009B7B35" w:rsidRDefault="00BE36FB" w:rsidP="001A7107">
            <w:pPr>
              <w:pStyle w:val="TableText"/>
              <w:rPr>
                <w:rFonts w:cs="Arial"/>
                <w:b/>
                <w:bCs/>
              </w:rPr>
            </w:pPr>
            <w:r w:rsidRPr="009B7B35">
              <w:rPr>
                <w:rFonts w:cs="Arial"/>
                <w:b/>
                <w:bCs/>
              </w:rPr>
              <w:t>AO27</w:t>
            </w:r>
          </w:p>
          <w:p w14:paraId="5054E6AF" w14:textId="77777777" w:rsidR="00BE36FB" w:rsidRPr="009B7B35" w:rsidRDefault="00BE36FB" w:rsidP="001A7107">
            <w:pPr>
              <w:pStyle w:val="TableText"/>
              <w:rPr>
                <w:rFonts w:cs="Arial"/>
              </w:rPr>
            </w:pPr>
            <w:r w:rsidRPr="009B7B35">
              <w:rPr>
                <w:rFonts w:cs="Arial"/>
              </w:rPr>
              <w:t>Hours of operation for non–residential development are limited to between 6am and 7pm daily.</w:t>
            </w:r>
          </w:p>
        </w:tc>
      </w:tr>
      <w:tr w:rsidR="00BE36FB" w:rsidRPr="009B7B35" w14:paraId="2DDC55F4" w14:textId="77777777" w:rsidTr="001A7107">
        <w:trPr>
          <w:cantSplit/>
        </w:trPr>
        <w:tc>
          <w:tcPr>
            <w:tcW w:w="4678" w:type="dxa"/>
          </w:tcPr>
          <w:p w14:paraId="2260111C" w14:textId="77777777" w:rsidR="00BE36FB" w:rsidRPr="009B7B35" w:rsidRDefault="00BE36FB" w:rsidP="001A7107">
            <w:pPr>
              <w:pStyle w:val="TableText"/>
              <w:rPr>
                <w:rFonts w:cs="Arial"/>
                <w:b/>
                <w:bCs/>
              </w:rPr>
            </w:pPr>
            <w:r w:rsidRPr="009B7B35">
              <w:rPr>
                <w:rFonts w:cs="Arial"/>
                <w:b/>
                <w:bCs/>
              </w:rPr>
              <w:t>PO28</w:t>
            </w:r>
          </w:p>
          <w:p w14:paraId="5A7D1FFC" w14:textId="77777777" w:rsidR="00BE36FB" w:rsidRPr="009B7B35" w:rsidRDefault="00BE36FB" w:rsidP="001A7107">
            <w:pPr>
              <w:pStyle w:val="TableText"/>
              <w:rPr>
                <w:rFonts w:cs="Arial"/>
              </w:rPr>
            </w:pPr>
            <w:r w:rsidRPr="009B7B35">
              <w:rPr>
                <w:rFonts w:cs="Arial"/>
              </w:rPr>
              <w:t>Buildings are located on the site to maximise the residential amenity of residents and neighbours.</w:t>
            </w:r>
          </w:p>
        </w:tc>
        <w:tc>
          <w:tcPr>
            <w:tcW w:w="4678" w:type="dxa"/>
          </w:tcPr>
          <w:p w14:paraId="0D40E4F6" w14:textId="77777777" w:rsidR="00BE36FB" w:rsidRPr="009B7B35" w:rsidRDefault="00BE36FB" w:rsidP="001A7107">
            <w:pPr>
              <w:pStyle w:val="TableText"/>
              <w:rPr>
                <w:rFonts w:cs="Arial"/>
                <w:b/>
                <w:bCs/>
              </w:rPr>
            </w:pPr>
            <w:r w:rsidRPr="009B7B35">
              <w:rPr>
                <w:rFonts w:cs="Arial"/>
                <w:b/>
                <w:bCs/>
              </w:rPr>
              <w:t>AO28</w:t>
            </w:r>
          </w:p>
          <w:p w14:paraId="0D9C5FC0" w14:textId="77777777" w:rsidR="00BE36FB" w:rsidRPr="009B7B35" w:rsidRDefault="00BE36FB" w:rsidP="001A7107">
            <w:pPr>
              <w:pStyle w:val="TableText"/>
              <w:rPr>
                <w:rFonts w:cs="Arial"/>
              </w:rPr>
            </w:pPr>
            <w:r w:rsidRPr="009B7B35">
              <w:rPr>
                <w:rFonts w:cs="Arial"/>
              </w:rPr>
              <w:t xml:space="preserve">Buildings are setback a minimum of: </w:t>
            </w:r>
          </w:p>
          <w:p w14:paraId="43120CEF" w14:textId="77777777" w:rsidR="00BE36FB" w:rsidRPr="009B7B35" w:rsidRDefault="00BE36FB" w:rsidP="00BE36FB">
            <w:pPr>
              <w:pStyle w:val="TableText"/>
              <w:numPr>
                <w:ilvl w:val="0"/>
                <w:numId w:val="226"/>
              </w:numPr>
              <w:rPr>
                <w:rFonts w:cs="Arial"/>
              </w:rPr>
            </w:pPr>
            <w:r w:rsidRPr="009B7B35">
              <w:rPr>
                <w:rFonts w:cs="Arial"/>
              </w:rPr>
              <w:t>6m from the front and rear boundary, and</w:t>
            </w:r>
          </w:p>
          <w:p w14:paraId="268711E8" w14:textId="77777777" w:rsidR="00BE36FB" w:rsidRPr="009B7B35" w:rsidRDefault="00BE36FB" w:rsidP="00BE36FB">
            <w:pPr>
              <w:pStyle w:val="TableText"/>
              <w:numPr>
                <w:ilvl w:val="0"/>
                <w:numId w:val="226"/>
              </w:numPr>
              <w:rPr>
                <w:rFonts w:cs="Arial"/>
              </w:rPr>
            </w:pPr>
            <w:r w:rsidRPr="009B7B35">
              <w:rPr>
                <w:rFonts w:cs="Arial"/>
              </w:rPr>
              <w:t>3m from the side boundary.</w:t>
            </w:r>
          </w:p>
          <w:p w14:paraId="26C6A608" w14:textId="77777777" w:rsidR="00BE36FB" w:rsidRPr="009B7B35" w:rsidRDefault="00BE36FB" w:rsidP="001A7107">
            <w:pPr>
              <w:rPr>
                <w:rFonts w:cs="Arial"/>
                <w:sz w:val="20"/>
                <w:szCs w:val="20"/>
              </w:rPr>
            </w:pPr>
          </w:p>
        </w:tc>
      </w:tr>
      <w:tr w:rsidR="00BE36FB" w:rsidRPr="009B7B35" w14:paraId="476A5B37" w14:textId="77777777" w:rsidTr="001A7107">
        <w:trPr>
          <w:cantSplit/>
        </w:trPr>
        <w:tc>
          <w:tcPr>
            <w:tcW w:w="4678" w:type="dxa"/>
          </w:tcPr>
          <w:p w14:paraId="78DA2B55" w14:textId="77777777" w:rsidR="00BE36FB" w:rsidRPr="009B7B35" w:rsidRDefault="00BE36FB" w:rsidP="001A7107">
            <w:pPr>
              <w:pStyle w:val="TableText"/>
              <w:rPr>
                <w:rFonts w:cs="Arial"/>
                <w:b/>
                <w:bCs/>
              </w:rPr>
            </w:pPr>
            <w:r w:rsidRPr="009B7B35">
              <w:rPr>
                <w:rFonts w:cs="Arial"/>
                <w:b/>
                <w:bCs/>
              </w:rPr>
              <w:t>PO29</w:t>
            </w:r>
          </w:p>
          <w:p w14:paraId="64BD56D6" w14:textId="77777777" w:rsidR="00BE36FB" w:rsidRPr="009B7B35" w:rsidRDefault="00BE36FB" w:rsidP="001A7107">
            <w:pPr>
              <w:pStyle w:val="TableText"/>
              <w:rPr>
                <w:rFonts w:cs="Arial"/>
              </w:rPr>
            </w:pPr>
            <w:r w:rsidRPr="009B7B35">
              <w:rPr>
                <w:rFonts w:cs="Arial"/>
              </w:rPr>
              <w:t xml:space="preserve">Development ensures residential amenity is maintained on adjoining properties. </w:t>
            </w:r>
          </w:p>
          <w:p w14:paraId="4EB92C6E" w14:textId="77777777" w:rsidR="00BE36FB" w:rsidRPr="009B7B35" w:rsidRDefault="00BE36FB" w:rsidP="001A7107">
            <w:pPr>
              <w:pStyle w:val="TableText"/>
              <w:rPr>
                <w:rFonts w:cs="Arial"/>
              </w:rPr>
            </w:pPr>
          </w:p>
        </w:tc>
        <w:tc>
          <w:tcPr>
            <w:tcW w:w="4678" w:type="dxa"/>
          </w:tcPr>
          <w:p w14:paraId="30EA45E3" w14:textId="77777777" w:rsidR="00BE36FB" w:rsidRPr="009B7B35" w:rsidRDefault="00BE36FB" w:rsidP="001A7107">
            <w:pPr>
              <w:pStyle w:val="TableText"/>
              <w:rPr>
                <w:rFonts w:cs="Arial"/>
                <w:b/>
                <w:bCs/>
              </w:rPr>
            </w:pPr>
            <w:r w:rsidRPr="009B7B35">
              <w:rPr>
                <w:rFonts w:cs="Arial"/>
                <w:b/>
                <w:bCs/>
              </w:rPr>
              <w:t>AO29</w:t>
            </w:r>
          </w:p>
          <w:p w14:paraId="2687EBB6" w14:textId="77777777" w:rsidR="00BE36FB" w:rsidRPr="009B7B35" w:rsidRDefault="00BE36FB" w:rsidP="001A7107">
            <w:pPr>
              <w:pStyle w:val="TableText"/>
              <w:rPr>
                <w:rFonts w:cs="Arial"/>
              </w:rPr>
            </w:pPr>
            <w:r w:rsidRPr="009B7B35">
              <w:rPr>
                <w:rFonts w:cs="Arial"/>
              </w:rPr>
              <w:t xml:space="preserve">Development provides a 1.8m acoustic screen fence where adjoining a residential use. </w:t>
            </w:r>
          </w:p>
        </w:tc>
      </w:tr>
      <w:tr w:rsidR="00BE36FB" w:rsidRPr="009B7B35" w14:paraId="37A4D423" w14:textId="77777777" w:rsidTr="001A7107">
        <w:trPr>
          <w:cantSplit/>
        </w:trPr>
        <w:tc>
          <w:tcPr>
            <w:tcW w:w="4678" w:type="dxa"/>
            <w:vMerge w:val="restart"/>
          </w:tcPr>
          <w:p w14:paraId="563A2C5D" w14:textId="77777777" w:rsidR="00BE36FB" w:rsidRPr="009B7B35" w:rsidRDefault="00BE36FB" w:rsidP="001A7107">
            <w:pPr>
              <w:pStyle w:val="TableText"/>
              <w:rPr>
                <w:rFonts w:cs="Arial"/>
                <w:b/>
                <w:bCs/>
              </w:rPr>
            </w:pPr>
            <w:r w:rsidRPr="009B7B35">
              <w:rPr>
                <w:rFonts w:cs="Arial"/>
                <w:b/>
                <w:bCs/>
              </w:rPr>
              <w:t>PO30</w:t>
            </w:r>
          </w:p>
          <w:p w14:paraId="10C4CE65" w14:textId="77777777" w:rsidR="00BE36FB" w:rsidRPr="009B7B35" w:rsidRDefault="00BE36FB" w:rsidP="001A7107">
            <w:pPr>
              <w:pStyle w:val="TableText"/>
              <w:rPr>
                <w:rFonts w:cs="Arial"/>
              </w:rPr>
            </w:pPr>
            <w:r w:rsidRPr="009B7B35">
              <w:rPr>
                <w:rFonts w:cs="Arial"/>
              </w:rPr>
              <w:t>Where a child care centre, development minimises:</w:t>
            </w:r>
          </w:p>
          <w:p w14:paraId="692EADAA" w14:textId="77777777" w:rsidR="00BE36FB" w:rsidRPr="009B7B35" w:rsidRDefault="00BE36FB" w:rsidP="00BE36FB">
            <w:pPr>
              <w:pStyle w:val="TableText"/>
              <w:numPr>
                <w:ilvl w:val="0"/>
                <w:numId w:val="227"/>
              </w:numPr>
              <w:rPr>
                <w:rFonts w:cs="Arial"/>
              </w:rPr>
            </w:pPr>
            <w:r w:rsidRPr="009B7B35">
              <w:rPr>
                <w:rFonts w:cs="Arial"/>
              </w:rPr>
              <w:t>the hazards of heavy traffic</w:t>
            </w:r>
          </w:p>
          <w:p w14:paraId="3EC93CB5" w14:textId="77777777" w:rsidR="00BE36FB" w:rsidRPr="009B7B35" w:rsidRDefault="00BE36FB" w:rsidP="00BE36FB">
            <w:pPr>
              <w:pStyle w:val="TableText"/>
              <w:numPr>
                <w:ilvl w:val="0"/>
                <w:numId w:val="227"/>
              </w:numPr>
              <w:rPr>
                <w:rFonts w:cs="Arial"/>
              </w:rPr>
            </w:pPr>
            <w:r w:rsidRPr="009B7B35">
              <w:rPr>
                <w:rFonts w:cs="Arial"/>
              </w:rPr>
              <w:t>introduction of non–local traffic into minor, residential streets, and</w:t>
            </w:r>
          </w:p>
          <w:p w14:paraId="492ABF73" w14:textId="77777777" w:rsidR="00BE36FB" w:rsidRPr="009B7B35" w:rsidRDefault="00BE36FB" w:rsidP="00BE36FB">
            <w:pPr>
              <w:pStyle w:val="TableText"/>
              <w:numPr>
                <w:ilvl w:val="0"/>
                <w:numId w:val="227"/>
              </w:numPr>
              <w:rPr>
                <w:rFonts w:cs="Arial"/>
              </w:rPr>
            </w:pPr>
            <w:r w:rsidRPr="009B7B35">
              <w:rPr>
                <w:rFonts w:cs="Arial"/>
              </w:rPr>
              <w:t>on–site conflict between children’s activities, pedestrian movement, vehicle movement and car parking.</w:t>
            </w:r>
          </w:p>
        </w:tc>
        <w:tc>
          <w:tcPr>
            <w:tcW w:w="4678" w:type="dxa"/>
          </w:tcPr>
          <w:p w14:paraId="07FF7480" w14:textId="77777777" w:rsidR="00BE36FB" w:rsidRPr="009B7B35" w:rsidRDefault="00BE36FB" w:rsidP="001A7107">
            <w:pPr>
              <w:pStyle w:val="TableText"/>
              <w:rPr>
                <w:rFonts w:cs="Arial"/>
                <w:b/>
                <w:bCs/>
              </w:rPr>
            </w:pPr>
            <w:r w:rsidRPr="009B7B35">
              <w:rPr>
                <w:rFonts w:cs="Arial"/>
                <w:b/>
                <w:bCs/>
              </w:rPr>
              <w:t>AO30.1</w:t>
            </w:r>
          </w:p>
          <w:p w14:paraId="6E24FE2E" w14:textId="77777777" w:rsidR="00BE36FB" w:rsidRPr="009B7B35" w:rsidRDefault="00BE36FB" w:rsidP="001A7107">
            <w:pPr>
              <w:pStyle w:val="TableText"/>
              <w:rPr>
                <w:rFonts w:cs="Arial"/>
              </w:rPr>
            </w:pPr>
            <w:r w:rsidRPr="009B7B35">
              <w:rPr>
                <w:rFonts w:cs="Arial"/>
              </w:rPr>
              <w:t xml:space="preserve">Where a child care centre, the site is not located on: </w:t>
            </w:r>
          </w:p>
          <w:p w14:paraId="1C3826F2" w14:textId="77777777" w:rsidR="00BE36FB" w:rsidRPr="009B7B35" w:rsidRDefault="00BE36FB" w:rsidP="00BE36FB">
            <w:pPr>
              <w:pStyle w:val="TableText"/>
              <w:numPr>
                <w:ilvl w:val="0"/>
                <w:numId w:val="123"/>
              </w:numPr>
              <w:rPr>
                <w:rFonts w:cs="Arial"/>
              </w:rPr>
            </w:pPr>
            <w:r w:rsidRPr="009B7B35">
              <w:rPr>
                <w:rFonts w:cs="Arial"/>
              </w:rPr>
              <w:t>arterial/sub–arterial routes, or</w:t>
            </w:r>
          </w:p>
          <w:p w14:paraId="313ACBAF" w14:textId="77777777" w:rsidR="00BE36FB" w:rsidRPr="009B7B35" w:rsidRDefault="00BE36FB" w:rsidP="00BE36FB">
            <w:pPr>
              <w:pStyle w:val="TableText"/>
              <w:numPr>
                <w:ilvl w:val="0"/>
                <w:numId w:val="123"/>
              </w:numPr>
              <w:rPr>
                <w:rFonts w:cs="Arial"/>
              </w:rPr>
            </w:pPr>
            <w:r w:rsidRPr="009B7B35">
              <w:rPr>
                <w:rFonts w:cs="Arial"/>
              </w:rPr>
              <w:t>an access street or access place.</w:t>
            </w:r>
            <w:r w:rsidRPr="009B7B35">
              <w:rPr>
                <w:rFonts w:cs="Arial"/>
              </w:rPr>
              <w:br/>
            </w:r>
          </w:p>
        </w:tc>
      </w:tr>
      <w:tr w:rsidR="00BE36FB" w:rsidRPr="009B7B35" w14:paraId="5AB49BFC" w14:textId="77777777" w:rsidTr="001A7107">
        <w:trPr>
          <w:cantSplit/>
        </w:trPr>
        <w:tc>
          <w:tcPr>
            <w:tcW w:w="4678" w:type="dxa"/>
            <w:vMerge/>
          </w:tcPr>
          <w:p w14:paraId="496B1B34" w14:textId="77777777" w:rsidR="00BE36FB" w:rsidRPr="009B7B35" w:rsidRDefault="00BE36FB" w:rsidP="001A7107">
            <w:pPr>
              <w:pStyle w:val="TableText"/>
              <w:rPr>
                <w:rFonts w:cs="Arial"/>
              </w:rPr>
            </w:pPr>
          </w:p>
        </w:tc>
        <w:tc>
          <w:tcPr>
            <w:tcW w:w="4678" w:type="dxa"/>
          </w:tcPr>
          <w:p w14:paraId="2CFF8796" w14:textId="77777777" w:rsidR="00BE36FB" w:rsidRPr="009B7B35" w:rsidRDefault="00BE36FB" w:rsidP="001A7107">
            <w:pPr>
              <w:pStyle w:val="TableText"/>
              <w:rPr>
                <w:rFonts w:cs="Arial"/>
                <w:b/>
                <w:bCs/>
              </w:rPr>
            </w:pPr>
            <w:r w:rsidRPr="009B7B35">
              <w:rPr>
                <w:rFonts w:cs="Arial"/>
                <w:b/>
                <w:bCs/>
              </w:rPr>
              <w:t>AO30.2</w:t>
            </w:r>
          </w:p>
          <w:p w14:paraId="62015C55" w14:textId="77777777" w:rsidR="00BE36FB" w:rsidRPr="009B7B35" w:rsidRDefault="00BE36FB" w:rsidP="001A7107">
            <w:pPr>
              <w:pStyle w:val="TableText"/>
              <w:rPr>
                <w:rFonts w:cs="Arial"/>
              </w:rPr>
            </w:pPr>
            <w:r w:rsidRPr="009B7B35">
              <w:rPr>
                <w:rFonts w:cs="Arial"/>
              </w:rPr>
              <w:t>Parking spaces are located so that children are not required to cross the driveway or vehicular access way to reach the building.</w:t>
            </w:r>
          </w:p>
          <w:p w14:paraId="694016B9" w14:textId="77777777" w:rsidR="00BE36FB" w:rsidRPr="009B7B35" w:rsidRDefault="00BE36FB" w:rsidP="001A7107">
            <w:pPr>
              <w:pStyle w:val="TableText"/>
              <w:rPr>
                <w:rFonts w:cs="Arial"/>
              </w:rPr>
            </w:pPr>
          </w:p>
        </w:tc>
      </w:tr>
      <w:tr w:rsidR="00BE36FB" w:rsidRPr="009B7B35" w14:paraId="34CCAF55" w14:textId="77777777" w:rsidTr="001A7107">
        <w:trPr>
          <w:cantSplit/>
          <w:trHeight w:val="190"/>
        </w:trPr>
        <w:tc>
          <w:tcPr>
            <w:tcW w:w="9356" w:type="dxa"/>
            <w:gridSpan w:val="2"/>
            <w:shd w:val="clear" w:color="auto" w:fill="BFBFBF" w:themeFill="background1" w:themeFillShade="BF"/>
          </w:tcPr>
          <w:p w14:paraId="5DD0F826" w14:textId="77777777" w:rsidR="00BE36FB" w:rsidRPr="009B7B35" w:rsidRDefault="00BE36FB">
            <w:pPr>
              <w:pStyle w:val="Tableheading"/>
              <w:rPr>
                <w:rFonts w:ascii="Arial" w:hAnsi="Arial" w:cs="Arial"/>
                <w:szCs w:val="20"/>
              </w:rPr>
            </w:pPr>
            <w:r w:rsidRPr="009B7B35">
              <w:rPr>
                <w:rFonts w:ascii="Arial" w:hAnsi="Arial" w:cs="Arial"/>
                <w:szCs w:val="20"/>
              </w:rPr>
              <w:t>Use – Shop or Food and Drink outlet (where using an existing non-residential building)</w:t>
            </w:r>
          </w:p>
        </w:tc>
      </w:tr>
      <w:tr w:rsidR="00BE36FB" w:rsidRPr="009B7B35" w14:paraId="51FBCE68" w14:textId="77777777" w:rsidTr="001A7107">
        <w:trPr>
          <w:cantSplit/>
        </w:trPr>
        <w:tc>
          <w:tcPr>
            <w:tcW w:w="4678" w:type="dxa"/>
          </w:tcPr>
          <w:p w14:paraId="2B6F2E71" w14:textId="77777777" w:rsidR="00BE36FB" w:rsidRPr="009B7B35" w:rsidRDefault="00BE36FB" w:rsidP="001A7107">
            <w:pPr>
              <w:pStyle w:val="TableText"/>
              <w:rPr>
                <w:rFonts w:cs="Arial"/>
              </w:rPr>
            </w:pPr>
            <w:r w:rsidRPr="009B7B35">
              <w:rPr>
                <w:rFonts w:cs="Arial"/>
                <w:b/>
                <w:bCs/>
              </w:rPr>
              <w:t>PO31</w:t>
            </w:r>
          </w:p>
          <w:p w14:paraId="6355615E" w14:textId="77777777" w:rsidR="00BE36FB" w:rsidRPr="009B7B35" w:rsidRDefault="00BE36FB" w:rsidP="001A7107">
            <w:pPr>
              <w:pStyle w:val="TableText"/>
              <w:rPr>
                <w:rFonts w:cs="Arial"/>
              </w:rPr>
            </w:pPr>
            <w:r w:rsidRPr="009B7B35">
              <w:rPr>
                <w:rFonts w:cs="Arial"/>
              </w:rPr>
              <w:t>Development is low impact and:</w:t>
            </w:r>
          </w:p>
          <w:p w14:paraId="5D853574" w14:textId="77777777" w:rsidR="00BE36FB" w:rsidRPr="009B7B35" w:rsidRDefault="00BE36FB" w:rsidP="00BE36FB">
            <w:pPr>
              <w:pStyle w:val="TableText"/>
              <w:numPr>
                <w:ilvl w:val="0"/>
                <w:numId w:val="565"/>
              </w:numPr>
              <w:rPr>
                <w:rFonts w:cs="Arial"/>
              </w:rPr>
            </w:pPr>
            <w:r w:rsidRPr="009B7B35">
              <w:rPr>
                <w:rFonts w:cs="Arial"/>
              </w:rPr>
              <w:t>limited in scale and size</w:t>
            </w:r>
          </w:p>
          <w:p w14:paraId="5A6088F8" w14:textId="77777777" w:rsidR="00BE36FB" w:rsidRPr="009B7B35" w:rsidRDefault="00BE36FB" w:rsidP="00BE36FB">
            <w:pPr>
              <w:pStyle w:val="TableText"/>
              <w:numPr>
                <w:ilvl w:val="0"/>
                <w:numId w:val="565"/>
              </w:numPr>
              <w:rPr>
                <w:rFonts w:cs="Arial"/>
              </w:rPr>
            </w:pPr>
            <w:r w:rsidRPr="009B7B35">
              <w:rPr>
                <w:rFonts w:cs="Arial"/>
              </w:rPr>
              <w:t>complementary to local character and amenity</w:t>
            </w:r>
          </w:p>
          <w:p w14:paraId="4473662A" w14:textId="77777777" w:rsidR="00BE36FB" w:rsidRPr="009B7B35" w:rsidRDefault="00BE36FB" w:rsidP="00BE36FB">
            <w:pPr>
              <w:pStyle w:val="TableText"/>
              <w:numPr>
                <w:ilvl w:val="0"/>
                <w:numId w:val="565"/>
              </w:numPr>
              <w:rPr>
                <w:rFonts w:cs="Arial"/>
              </w:rPr>
            </w:pPr>
            <w:r w:rsidRPr="009B7B35">
              <w:rPr>
                <w:rFonts w:cs="Arial"/>
              </w:rPr>
              <w:t>directly supports the day to day needs of the immediate residential community</w:t>
            </w:r>
          </w:p>
          <w:p w14:paraId="1A232B75" w14:textId="77777777" w:rsidR="00BE36FB" w:rsidRPr="009B7B35" w:rsidRDefault="00BE36FB" w:rsidP="00BE36FB">
            <w:pPr>
              <w:pStyle w:val="TableText"/>
              <w:numPr>
                <w:ilvl w:val="0"/>
                <w:numId w:val="565"/>
              </w:numPr>
              <w:rPr>
                <w:rFonts w:cs="Arial"/>
              </w:rPr>
            </w:pPr>
            <w:r w:rsidRPr="009B7B35">
              <w:rPr>
                <w:rFonts w:cs="Arial"/>
              </w:rPr>
              <w:t>located on a site which must adequately accommodate activity needs and space requirements, and</w:t>
            </w:r>
          </w:p>
          <w:p w14:paraId="5246E4F2" w14:textId="77777777" w:rsidR="00BE36FB" w:rsidRPr="009B7B35" w:rsidRDefault="00BE36FB" w:rsidP="00BE36FB">
            <w:pPr>
              <w:pStyle w:val="TableText"/>
              <w:numPr>
                <w:ilvl w:val="0"/>
                <w:numId w:val="565"/>
              </w:numPr>
              <w:rPr>
                <w:rFonts w:cs="Arial"/>
              </w:rPr>
            </w:pPr>
            <w:r w:rsidRPr="009B7B35">
              <w:rPr>
                <w:rFonts w:cs="Arial"/>
              </w:rPr>
              <w:t>does not undermine the viability of nearby centres.</w:t>
            </w:r>
          </w:p>
        </w:tc>
        <w:tc>
          <w:tcPr>
            <w:tcW w:w="4678" w:type="dxa"/>
          </w:tcPr>
          <w:p w14:paraId="04C9EFA9"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EFDD6C1" w14:textId="77777777" w:rsidTr="001A7107">
        <w:trPr>
          <w:cantSplit/>
        </w:trPr>
        <w:tc>
          <w:tcPr>
            <w:tcW w:w="4678" w:type="dxa"/>
          </w:tcPr>
          <w:p w14:paraId="442A4578" w14:textId="77777777" w:rsidR="00BE36FB" w:rsidRPr="009B7B35" w:rsidRDefault="00BE36FB">
            <w:pPr>
              <w:pStyle w:val="TableText"/>
              <w:rPr>
                <w:rFonts w:cs="Arial"/>
                <w:b/>
                <w:bCs/>
              </w:rPr>
            </w:pPr>
            <w:r w:rsidRPr="009B7B35">
              <w:rPr>
                <w:rFonts w:cs="Arial"/>
                <w:b/>
                <w:bCs/>
              </w:rPr>
              <w:t>PO32</w:t>
            </w:r>
          </w:p>
          <w:p w14:paraId="24B7F6B2" w14:textId="77777777" w:rsidR="00BE36FB" w:rsidRPr="009B7B35" w:rsidRDefault="00BE36FB">
            <w:pPr>
              <w:pStyle w:val="TableText"/>
              <w:rPr>
                <w:rFonts w:cs="Arial"/>
              </w:rPr>
            </w:pPr>
            <w:r w:rsidRPr="009B7B35">
              <w:rPr>
                <w:rFonts w:cs="Arial"/>
              </w:rPr>
              <w:t>Development does not adversely impact on residential amenity.</w:t>
            </w:r>
          </w:p>
        </w:tc>
        <w:tc>
          <w:tcPr>
            <w:tcW w:w="4678" w:type="dxa"/>
          </w:tcPr>
          <w:p w14:paraId="407FC5EF" w14:textId="77777777" w:rsidR="00BE36FB" w:rsidRPr="009B7B35" w:rsidRDefault="00BE36FB" w:rsidP="001A7107">
            <w:pPr>
              <w:pStyle w:val="TableText"/>
              <w:rPr>
                <w:rFonts w:cs="Arial"/>
                <w:b/>
                <w:bCs/>
              </w:rPr>
            </w:pPr>
            <w:r w:rsidRPr="009B7B35">
              <w:rPr>
                <w:rFonts w:cs="Arial"/>
                <w:b/>
                <w:bCs/>
              </w:rPr>
              <w:t>AO32</w:t>
            </w:r>
          </w:p>
          <w:p w14:paraId="00D92F4E" w14:textId="77777777" w:rsidR="00BE36FB" w:rsidRPr="009B7B35" w:rsidRDefault="00BE36FB" w:rsidP="001A7107">
            <w:pPr>
              <w:pStyle w:val="TableText"/>
              <w:rPr>
                <w:rFonts w:cs="Arial"/>
              </w:rPr>
            </w:pPr>
            <w:r w:rsidRPr="009B7B35">
              <w:rPr>
                <w:rFonts w:cs="Arial"/>
              </w:rPr>
              <w:t>The use operates between:</w:t>
            </w:r>
          </w:p>
          <w:p w14:paraId="26F86FC5" w14:textId="77777777" w:rsidR="00BE36FB" w:rsidRPr="009B7B35" w:rsidRDefault="00BE36FB" w:rsidP="00BE36FB">
            <w:pPr>
              <w:pStyle w:val="TableText"/>
              <w:numPr>
                <w:ilvl w:val="0"/>
                <w:numId w:val="432"/>
              </w:numPr>
              <w:rPr>
                <w:rFonts w:cs="Arial"/>
              </w:rPr>
            </w:pPr>
            <w:r w:rsidRPr="009B7B35">
              <w:rPr>
                <w:rFonts w:cs="Arial"/>
              </w:rPr>
              <w:t>7am and 7pm Monday to Saturday, and</w:t>
            </w:r>
          </w:p>
          <w:p w14:paraId="23E4A765" w14:textId="77777777" w:rsidR="00BE36FB" w:rsidRPr="009B7B35" w:rsidRDefault="00BE36FB" w:rsidP="00BE36FB">
            <w:pPr>
              <w:pStyle w:val="TableText"/>
              <w:numPr>
                <w:ilvl w:val="0"/>
                <w:numId w:val="432"/>
              </w:numPr>
              <w:rPr>
                <w:rFonts w:cs="Arial"/>
              </w:rPr>
            </w:pPr>
            <w:r w:rsidRPr="009B7B35">
              <w:rPr>
                <w:rFonts w:cs="Arial"/>
              </w:rPr>
              <w:t>7am and 1pm on Sunday.</w:t>
            </w:r>
          </w:p>
          <w:p w14:paraId="15F68FF8" w14:textId="77777777" w:rsidR="00BE36FB" w:rsidRPr="009B7B35" w:rsidRDefault="00BE36FB" w:rsidP="001A7107">
            <w:pPr>
              <w:pStyle w:val="TableText"/>
              <w:ind w:left="567"/>
              <w:rPr>
                <w:rFonts w:cs="Arial"/>
              </w:rPr>
            </w:pPr>
          </w:p>
        </w:tc>
      </w:tr>
    </w:tbl>
    <w:p w14:paraId="5B24680A"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1EB8397D" w14:textId="77777777" w:rsidR="00BE36FB" w:rsidRPr="009B7B35" w:rsidRDefault="00BE36FB" w:rsidP="00B5414A">
      <w:pPr>
        <w:pStyle w:val="Heading5"/>
        <w:numPr>
          <w:ilvl w:val="0"/>
          <w:numId w:val="0"/>
        </w:numPr>
        <w:rPr>
          <w:rFonts w:cs="Arial"/>
          <w:szCs w:val="20"/>
        </w:rPr>
      </w:pPr>
      <w:r w:rsidRPr="009B7B35">
        <w:rPr>
          <w:rFonts w:cs="Arial"/>
          <w:szCs w:val="20"/>
        </w:rPr>
        <w:t>Figure 1—Dwelling house: Narrow lot</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272"/>
        <w:gridCol w:w="5091"/>
      </w:tblGrid>
      <w:tr w:rsidR="00BE36FB" w:rsidRPr="009B7B35" w14:paraId="368E9F01" w14:textId="77777777" w:rsidTr="001A7107">
        <w:tc>
          <w:tcPr>
            <w:tcW w:w="4253" w:type="dxa"/>
            <w:vAlign w:val="center"/>
          </w:tcPr>
          <w:p w14:paraId="1C823725" w14:textId="77777777" w:rsidR="00BE36FB" w:rsidRPr="009B7B35" w:rsidRDefault="00BE36FB">
            <w:pPr>
              <w:rPr>
                <w:rFonts w:cs="Arial"/>
                <w:sz w:val="20"/>
                <w:szCs w:val="20"/>
              </w:rPr>
            </w:pPr>
            <w:r w:rsidRPr="009B7B35">
              <w:rPr>
                <w:rFonts w:cs="Arial"/>
                <w:sz w:val="20"/>
                <w:szCs w:val="20"/>
              </w:rPr>
              <w:t>This form of detached housing enables compact dwelling forms with setbacks that provide natural light and ventilation to habitable rooms and open space for deep planting.</w:t>
            </w:r>
          </w:p>
        </w:tc>
        <w:tc>
          <w:tcPr>
            <w:tcW w:w="5103" w:type="dxa"/>
            <w:vAlign w:val="center"/>
          </w:tcPr>
          <w:p w14:paraId="4A8A4BE6" w14:textId="77777777" w:rsidR="00BE36FB" w:rsidRPr="009B7B35" w:rsidRDefault="00BE36FB" w:rsidP="001A7107">
            <w:pPr>
              <w:jc w:val="right"/>
              <w:rPr>
                <w:rFonts w:cs="Arial"/>
                <w:sz w:val="20"/>
                <w:szCs w:val="20"/>
              </w:rPr>
            </w:pPr>
            <w:r w:rsidRPr="009B7B35">
              <w:rPr>
                <w:rFonts w:cs="Arial"/>
                <w:noProof/>
                <w:sz w:val="20"/>
                <w:szCs w:val="20"/>
              </w:rPr>
              <w:drawing>
                <wp:inline distT="0" distB="0" distL="0" distR="0" wp14:anchorId="311542B3" wp14:editId="17AC8F1E">
                  <wp:extent cx="3139218" cy="1639018"/>
                  <wp:effectExtent l="0" t="0" r="4445" b="0"/>
                  <wp:docPr id="9" name="Picture 9" descr="small lot deta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all lot detach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58985" cy="1649339"/>
                          </a:xfrm>
                          <a:prstGeom prst="rect">
                            <a:avLst/>
                          </a:prstGeom>
                          <a:noFill/>
                          <a:ln>
                            <a:noFill/>
                          </a:ln>
                        </pic:spPr>
                      </pic:pic>
                    </a:graphicData>
                  </a:graphic>
                </wp:inline>
              </w:drawing>
            </w:r>
          </w:p>
        </w:tc>
      </w:tr>
    </w:tbl>
    <w:p w14:paraId="1876CB26" w14:textId="77777777" w:rsidR="00BE36FB" w:rsidRPr="009B7B35" w:rsidRDefault="00BE36FB" w:rsidP="001A7107">
      <w:pPr>
        <w:rPr>
          <w:rFonts w:ascii="Arial" w:hAnsi="Arial" w:cs="Arial"/>
          <w:sz w:val="20"/>
          <w:szCs w:val="20"/>
        </w:rPr>
      </w:pPr>
    </w:p>
    <w:p w14:paraId="205C25DB" w14:textId="77777777"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74"/>
        <w:gridCol w:w="1034"/>
        <w:gridCol w:w="677"/>
        <w:gridCol w:w="2070"/>
        <w:gridCol w:w="4108"/>
      </w:tblGrid>
      <w:tr w:rsidR="00BE36FB" w:rsidRPr="009B7B35" w14:paraId="5EA1E8B2" w14:textId="77777777"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tcPr>
          <w:p w14:paraId="0A250D1E" w14:textId="77777777" w:rsidR="00BE36FB" w:rsidRPr="009B7B35" w:rsidRDefault="00BE36FB" w:rsidP="001A7107">
            <w:pPr>
              <w:pStyle w:val="Tableheading"/>
              <w:rPr>
                <w:rFonts w:ascii="Arial" w:hAnsi="Arial" w:cs="Arial"/>
                <w:szCs w:val="20"/>
              </w:rPr>
            </w:pPr>
            <w:r w:rsidRPr="009B7B35">
              <w:rPr>
                <w:rFonts w:ascii="Arial" w:hAnsi="Arial" w:cs="Arial"/>
                <w:szCs w:val="20"/>
              </w:rPr>
              <w:t>Element</w:t>
            </w:r>
          </w:p>
        </w:tc>
        <w:tc>
          <w:tcPr>
            <w:tcW w:w="2835" w:type="dxa"/>
          </w:tcPr>
          <w:p w14:paraId="4A74E11C"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1" w:type="dxa"/>
            <w:vMerge w:val="restart"/>
            <w:tcBorders>
              <w:top w:val="nil"/>
              <w:bottom w:val="nil"/>
              <w:right w:val="nil"/>
            </w:tcBorders>
          </w:tcPr>
          <w:p w14:paraId="00ECC545" w14:textId="77777777" w:rsidR="00BE36FB" w:rsidRPr="009B7B35" w:rsidRDefault="00BE36FB" w:rsidP="001A7107">
            <w:pPr>
              <w:pStyle w:val="TableText"/>
              <w:rPr>
                <w:rFonts w:cs="Arial"/>
              </w:rPr>
            </w:pPr>
            <w:r w:rsidRPr="009B7B35">
              <w:rPr>
                <w:rFonts w:cs="Arial"/>
                <w:noProof/>
              </w:rPr>
              <w:drawing>
                <wp:inline distT="0" distB="0" distL="0" distR="0" wp14:anchorId="51FB2D51" wp14:editId="2C0657D7">
                  <wp:extent cx="2527491" cy="3959525"/>
                  <wp:effectExtent l="0" t="0" r="6350" b="3175"/>
                  <wp:docPr id="10" name="Picture 10" descr="130909_Typologies_100_SMALL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0909_Typologies_100_SMALL LOT-"/>
                          <pic:cNvPicPr>
                            <a:picLocks noChangeAspect="1" noChangeArrowheads="1"/>
                          </pic:cNvPicPr>
                        </pic:nvPicPr>
                        <pic:blipFill rotWithShape="1">
                          <a:blip r:embed="rId40">
                            <a:extLst>
                              <a:ext uri="{28A0092B-C50C-407E-A947-70E740481C1C}">
                                <a14:useLocalDpi xmlns:a14="http://schemas.microsoft.com/office/drawing/2010/main" val="0"/>
                              </a:ext>
                            </a:extLst>
                          </a:blip>
                          <a:srcRect/>
                          <a:stretch/>
                        </pic:blipFill>
                        <pic:spPr bwMode="auto">
                          <a:xfrm>
                            <a:off x="0" y="0"/>
                            <a:ext cx="2527300" cy="3959225"/>
                          </a:xfrm>
                          <a:prstGeom prst="rect">
                            <a:avLst/>
                          </a:prstGeom>
                          <a:noFill/>
                          <a:ln>
                            <a:noFill/>
                          </a:ln>
                          <a:extLst>
                            <a:ext uri="{53640926-AAD7-44D8-BBD7-CCE9431645EC}">
                              <a14:shadowObscured xmlns:a14="http://schemas.microsoft.com/office/drawing/2010/main"/>
                            </a:ext>
                          </a:extLst>
                        </pic:spPr>
                      </pic:pic>
                    </a:graphicData>
                  </a:graphic>
                </wp:inline>
              </w:drawing>
            </w:r>
          </w:p>
          <w:p w14:paraId="1658903B" w14:textId="77777777" w:rsidR="00BE36FB" w:rsidRPr="009B7B35" w:rsidRDefault="00BE36FB" w:rsidP="001A7107">
            <w:pPr>
              <w:pStyle w:val="TableText"/>
              <w:rPr>
                <w:rFonts w:cs="Arial"/>
              </w:rPr>
            </w:pPr>
            <w:r w:rsidRPr="009B7B35">
              <w:rPr>
                <w:rFonts w:cs="Arial"/>
                <w:noProof/>
              </w:rPr>
              <w:drawing>
                <wp:inline distT="0" distB="0" distL="0" distR="0" wp14:anchorId="0A649DAA" wp14:editId="51012BF8">
                  <wp:extent cx="2527300" cy="526415"/>
                  <wp:effectExtent l="0" t="0" r="6350" b="6985"/>
                  <wp:docPr id="20" name="Picture 20"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ypologies_Legend-h"/>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7300" cy="526415"/>
                          </a:xfrm>
                          <a:prstGeom prst="rect">
                            <a:avLst/>
                          </a:prstGeom>
                          <a:noFill/>
                          <a:ln>
                            <a:noFill/>
                          </a:ln>
                        </pic:spPr>
                      </pic:pic>
                    </a:graphicData>
                  </a:graphic>
                </wp:inline>
              </w:drawing>
            </w:r>
          </w:p>
        </w:tc>
      </w:tr>
      <w:tr w:rsidR="00BE36FB" w:rsidRPr="009B7B35" w14:paraId="0A9FCCB1" w14:textId="77777777" w:rsidTr="001A7107">
        <w:tc>
          <w:tcPr>
            <w:tcW w:w="538" w:type="dxa"/>
          </w:tcPr>
          <w:p w14:paraId="0468E207" w14:textId="77777777" w:rsidR="00BE36FB" w:rsidRPr="009B7B35" w:rsidRDefault="00BE36FB" w:rsidP="001A7107">
            <w:pPr>
              <w:rPr>
                <w:rFonts w:cs="Arial"/>
                <w:sz w:val="20"/>
                <w:szCs w:val="20"/>
              </w:rPr>
            </w:pPr>
            <w:r w:rsidRPr="009B7B35">
              <w:rPr>
                <w:rFonts w:cs="Arial"/>
                <w:sz w:val="20"/>
                <w:szCs w:val="20"/>
              </w:rPr>
              <w:t>1.1</w:t>
            </w:r>
          </w:p>
        </w:tc>
        <w:tc>
          <w:tcPr>
            <w:tcW w:w="1872" w:type="dxa"/>
            <w:gridSpan w:val="2"/>
          </w:tcPr>
          <w:p w14:paraId="46B3CACF" w14:textId="77777777" w:rsidR="00BE36FB" w:rsidRPr="009B7B35" w:rsidRDefault="00BE36FB" w:rsidP="001A7107">
            <w:pPr>
              <w:rPr>
                <w:rFonts w:cs="Arial"/>
                <w:sz w:val="20"/>
                <w:szCs w:val="20"/>
              </w:rPr>
            </w:pPr>
            <w:r w:rsidRPr="009B7B35">
              <w:rPr>
                <w:rFonts w:cs="Arial"/>
                <w:sz w:val="20"/>
                <w:szCs w:val="20"/>
              </w:rPr>
              <w:t>Minimum frontage</w:t>
            </w:r>
          </w:p>
        </w:tc>
        <w:tc>
          <w:tcPr>
            <w:tcW w:w="2835" w:type="dxa"/>
          </w:tcPr>
          <w:p w14:paraId="7A783DBD" w14:textId="77777777" w:rsidR="00BE36FB" w:rsidRPr="009B7B35" w:rsidRDefault="00BE36FB" w:rsidP="001A7107">
            <w:pPr>
              <w:rPr>
                <w:rFonts w:cs="Arial"/>
                <w:sz w:val="20"/>
                <w:szCs w:val="20"/>
              </w:rPr>
            </w:pPr>
            <w:r w:rsidRPr="009B7B35">
              <w:rPr>
                <w:rFonts w:cs="Arial"/>
                <w:sz w:val="20"/>
                <w:szCs w:val="20"/>
              </w:rPr>
              <w:t>10m</w:t>
            </w:r>
          </w:p>
        </w:tc>
        <w:tc>
          <w:tcPr>
            <w:tcW w:w="4111" w:type="dxa"/>
            <w:vMerge/>
            <w:tcBorders>
              <w:bottom w:val="nil"/>
              <w:right w:val="nil"/>
            </w:tcBorders>
          </w:tcPr>
          <w:p w14:paraId="71E573FE" w14:textId="77777777" w:rsidR="00BE36FB" w:rsidRPr="009B7B35" w:rsidRDefault="00BE36FB" w:rsidP="001A7107">
            <w:pPr>
              <w:rPr>
                <w:rFonts w:cs="Arial"/>
                <w:sz w:val="20"/>
                <w:szCs w:val="20"/>
              </w:rPr>
            </w:pPr>
          </w:p>
        </w:tc>
      </w:tr>
      <w:tr w:rsidR="00BE36FB" w:rsidRPr="009B7B35" w14:paraId="519B3DCA" w14:textId="77777777" w:rsidTr="001A7107">
        <w:tc>
          <w:tcPr>
            <w:tcW w:w="538" w:type="dxa"/>
          </w:tcPr>
          <w:p w14:paraId="2F7C47B1" w14:textId="77777777" w:rsidR="00BE36FB" w:rsidRPr="009B7B35" w:rsidRDefault="00BE36FB" w:rsidP="001A7107">
            <w:pPr>
              <w:rPr>
                <w:rFonts w:cs="Arial"/>
                <w:sz w:val="20"/>
                <w:szCs w:val="20"/>
              </w:rPr>
            </w:pPr>
            <w:r w:rsidRPr="009B7B35">
              <w:rPr>
                <w:rFonts w:cs="Arial"/>
                <w:sz w:val="20"/>
                <w:szCs w:val="20"/>
              </w:rPr>
              <w:t>1.2</w:t>
            </w:r>
          </w:p>
        </w:tc>
        <w:tc>
          <w:tcPr>
            <w:tcW w:w="1872" w:type="dxa"/>
            <w:gridSpan w:val="2"/>
          </w:tcPr>
          <w:p w14:paraId="4DD71D47" w14:textId="77777777" w:rsidR="00BE36FB" w:rsidRPr="009B7B35" w:rsidRDefault="00BE36FB" w:rsidP="001A7107">
            <w:pPr>
              <w:rPr>
                <w:rFonts w:cs="Arial"/>
                <w:sz w:val="20"/>
                <w:szCs w:val="20"/>
              </w:rPr>
            </w:pPr>
            <w:r w:rsidRPr="009B7B35">
              <w:rPr>
                <w:rFonts w:cs="Arial"/>
                <w:sz w:val="20"/>
                <w:szCs w:val="20"/>
              </w:rPr>
              <w:t xml:space="preserve">Minimum area </w:t>
            </w:r>
          </w:p>
        </w:tc>
        <w:tc>
          <w:tcPr>
            <w:tcW w:w="2835" w:type="dxa"/>
          </w:tcPr>
          <w:p w14:paraId="508B0DAD" w14:textId="77777777" w:rsidR="00BE36FB" w:rsidRPr="009B7B35" w:rsidRDefault="00BE36FB" w:rsidP="001A7107">
            <w:pPr>
              <w:pStyle w:val="TableText"/>
              <w:rPr>
                <w:rFonts w:cs="Arial"/>
              </w:rPr>
            </w:pPr>
            <w:r w:rsidRPr="009B7B35">
              <w:rPr>
                <w:rFonts w:cs="Arial"/>
              </w:rPr>
              <w:t>400m</w:t>
            </w:r>
            <w:r w:rsidRPr="009B7B35">
              <w:rPr>
                <w:rFonts w:cs="Arial"/>
                <w:vertAlign w:val="superscript"/>
              </w:rPr>
              <w:t>2</w:t>
            </w:r>
          </w:p>
        </w:tc>
        <w:tc>
          <w:tcPr>
            <w:tcW w:w="4111" w:type="dxa"/>
            <w:vMerge/>
            <w:tcBorders>
              <w:bottom w:val="nil"/>
              <w:right w:val="nil"/>
            </w:tcBorders>
          </w:tcPr>
          <w:p w14:paraId="01987A5F" w14:textId="77777777" w:rsidR="00BE36FB" w:rsidRPr="009B7B35" w:rsidRDefault="00BE36FB" w:rsidP="001A7107">
            <w:pPr>
              <w:rPr>
                <w:rFonts w:cs="Arial"/>
                <w:sz w:val="20"/>
                <w:szCs w:val="20"/>
              </w:rPr>
            </w:pPr>
          </w:p>
        </w:tc>
      </w:tr>
      <w:tr w:rsidR="00BE36FB" w:rsidRPr="009B7B35" w14:paraId="27C1247E" w14:textId="77777777" w:rsidTr="001A7107">
        <w:tc>
          <w:tcPr>
            <w:tcW w:w="538" w:type="dxa"/>
          </w:tcPr>
          <w:p w14:paraId="4B9E5FD3" w14:textId="77777777" w:rsidR="00BE36FB" w:rsidRPr="009B7B35" w:rsidRDefault="00BE36FB" w:rsidP="001A7107">
            <w:pPr>
              <w:rPr>
                <w:rFonts w:cs="Arial"/>
                <w:sz w:val="20"/>
                <w:szCs w:val="20"/>
              </w:rPr>
            </w:pPr>
            <w:r w:rsidRPr="009B7B35">
              <w:rPr>
                <w:rFonts w:cs="Arial"/>
                <w:sz w:val="20"/>
                <w:szCs w:val="20"/>
              </w:rPr>
              <w:t>1.3</w:t>
            </w:r>
          </w:p>
        </w:tc>
        <w:tc>
          <w:tcPr>
            <w:tcW w:w="1872" w:type="dxa"/>
            <w:gridSpan w:val="2"/>
          </w:tcPr>
          <w:p w14:paraId="15CF071C" w14:textId="77777777" w:rsidR="00BE36FB" w:rsidRPr="009B7B35" w:rsidRDefault="00BE36FB" w:rsidP="001A7107">
            <w:pPr>
              <w:rPr>
                <w:rFonts w:cs="Arial"/>
                <w:sz w:val="20"/>
                <w:szCs w:val="20"/>
              </w:rPr>
            </w:pPr>
            <w:r w:rsidRPr="009B7B35">
              <w:rPr>
                <w:rFonts w:cs="Arial"/>
                <w:sz w:val="20"/>
                <w:szCs w:val="20"/>
              </w:rPr>
              <w:t>Maximum site cover</w:t>
            </w:r>
          </w:p>
        </w:tc>
        <w:tc>
          <w:tcPr>
            <w:tcW w:w="2835" w:type="dxa"/>
          </w:tcPr>
          <w:p w14:paraId="42506E66" w14:textId="77777777" w:rsidR="00BE36FB" w:rsidRPr="009B7B35" w:rsidRDefault="00BE36FB" w:rsidP="001A7107">
            <w:pPr>
              <w:rPr>
                <w:rFonts w:cs="Arial"/>
                <w:sz w:val="20"/>
                <w:szCs w:val="20"/>
              </w:rPr>
            </w:pPr>
            <w:r w:rsidRPr="009B7B35">
              <w:rPr>
                <w:rFonts w:cs="Arial"/>
                <w:sz w:val="20"/>
                <w:szCs w:val="20"/>
              </w:rPr>
              <w:t>50%</w:t>
            </w:r>
          </w:p>
        </w:tc>
        <w:tc>
          <w:tcPr>
            <w:tcW w:w="4111" w:type="dxa"/>
            <w:vMerge/>
            <w:tcBorders>
              <w:bottom w:val="nil"/>
              <w:right w:val="nil"/>
            </w:tcBorders>
          </w:tcPr>
          <w:p w14:paraId="22A825DC" w14:textId="77777777" w:rsidR="00BE36FB" w:rsidRPr="009B7B35" w:rsidRDefault="00BE36FB" w:rsidP="001A7107">
            <w:pPr>
              <w:rPr>
                <w:rFonts w:cs="Arial"/>
                <w:sz w:val="20"/>
                <w:szCs w:val="20"/>
              </w:rPr>
            </w:pPr>
          </w:p>
        </w:tc>
      </w:tr>
      <w:tr w:rsidR="00BE36FB" w:rsidRPr="009B7B35" w14:paraId="3A766155" w14:textId="77777777" w:rsidTr="001A7107">
        <w:tc>
          <w:tcPr>
            <w:tcW w:w="538" w:type="dxa"/>
          </w:tcPr>
          <w:p w14:paraId="37A1B8C3" w14:textId="77777777" w:rsidR="00BE36FB" w:rsidRPr="009B7B35" w:rsidRDefault="00BE36FB" w:rsidP="001A7107">
            <w:pPr>
              <w:rPr>
                <w:rFonts w:cs="Arial"/>
                <w:sz w:val="20"/>
                <w:szCs w:val="20"/>
              </w:rPr>
            </w:pPr>
            <w:r w:rsidRPr="009B7B35">
              <w:rPr>
                <w:rFonts w:cs="Arial"/>
                <w:sz w:val="20"/>
                <w:szCs w:val="20"/>
              </w:rPr>
              <w:t>1.4</w:t>
            </w:r>
          </w:p>
        </w:tc>
        <w:tc>
          <w:tcPr>
            <w:tcW w:w="1872" w:type="dxa"/>
            <w:gridSpan w:val="2"/>
          </w:tcPr>
          <w:p w14:paraId="5239D327" w14:textId="77777777" w:rsidR="00BE36FB" w:rsidRPr="009B7B35" w:rsidRDefault="00BE36FB" w:rsidP="001A7107">
            <w:pPr>
              <w:rPr>
                <w:rFonts w:cs="Arial"/>
                <w:sz w:val="20"/>
                <w:szCs w:val="20"/>
              </w:rPr>
            </w:pPr>
            <w:r w:rsidRPr="009B7B35">
              <w:rPr>
                <w:rFonts w:cs="Arial"/>
                <w:sz w:val="20"/>
                <w:szCs w:val="20"/>
              </w:rPr>
              <w:t>Minimum private open space</w:t>
            </w:r>
          </w:p>
        </w:tc>
        <w:tc>
          <w:tcPr>
            <w:tcW w:w="2835" w:type="dxa"/>
          </w:tcPr>
          <w:p w14:paraId="0F664F7F" w14:textId="77777777" w:rsidR="00BE36FB" w:rsidRPr="009B7B35" w:rsidRDefault="00BE36FB" w:rsidP="001A7107">
            <w:pPr>
              <w:pStyle w:val="TableText"/>
              <w:rPr>
                <w:rFonts w:cs="Arial"/>
              </w:rPr>
            </w:pPr>
            <w:r w:rsidRPr="009B7B35">
              <w:rPr>
                <w:rFonts w:cs="Arial"/>
              </w:rPr>
              <w:t>50m</w:t>
            </w:r>
            <w:r w:rsidRPr="009B7B35">
              <w:rPr>
                <w:rFonts w:cs="Arial"/>
                <w:vertAlign w:val="superscript"/>
              </w:rPr>
              <w:t>2</w:t>
            </w:r>
            <w:r w:rsidRPr="009B7B35">
              <w:rPr>
                <w:rFonts w:cs="Arial"/>
              </w:rPr>
              <w:t xml:space="preserve"> with a minimum dimension of 6.0m in any direction.</w:t>
            </w:r>
          </w:p>
        </w:tc>
        <w:tc>
          <w:tcPr>
            <w:tcW w:w="4111" w:type="dxa"/>
            <w:vMerge/>
            <w:tcBorders>
              <w:bottom w:val="nil"/>
              <w:right w:val="nil"/>
            </w:tcBorders>
          </w:tcPr>
          <w:p w14:paraId="630463D2" w14:textId="77777777" w:rsidR="00BE36FB" w:rsidRPr="009B7B35" w:rsidRDefault="00BE36FB" w:rsidP="001A7107">
            <w:pPr>
              <w:rPr>
                <w:rFonts w:cs="Arial"/>
                <w:sz w:val="20"/>
                <w:szCs w:val="20"/>
              </w:rPr>
            </w:pPr>
          </w:p>
        </w:tc>
      </w:tr>
      <w:tr w:rsidR="00BE36FB" w:rsidRPr="009B7B35" w14:paraId="121E6E5C" w14:textId="77777777" w:rsidTr="001A7107">
        <w:tc>
          <w:tcPr>
            <w:tcW w:w="538" w:type="dxa"/>
            <w:vMerge w:val="restart"/>
          </w:tcPr>
          <w:p w14:paraId="6A80BEE3" w14:textId="77777777" w:rsidR="00BE36FB" w:rsidRPr="009B7B35" w:rsidRDefault="00BE36FB" w:rsidP="001A7107">
            <w:pPr>
              <w:rPr>
                <w:rFonts w:cs="Arial"/>
                <w:sz w:val="20"/>
                <w:szCs w:val="20"/>
              </w:rPr>
            </w:pPr>
            <w:r w:rsidRPr="009B7B35">
              <w:rPr>
                <w:rFonts w:cs="Arial"/>
                <w:sz w:val="20"/>
                <w:szCs w:val="20"/>
              </w:rPr>
              <w:t>1.5</w:t>
            </w:r>
          </w:p>
        </w:tc>
        <w:tc>
          <w:tcPr>
            <w:tcW w:w="1119" w:type="dxa"/>
            <w:vMerge w:val="restart"/>
          </w:tcPr>
          <w:p w14:paraId="6827EF77" w14:textId="77777777" w:rsidR="00BE36FB" w:rsidRPr="009B7B35" w:rsidRDefault="00BE36FB" w:rsidP="001A7107">
            <w:pPr>
              <w:rPr>
                <w:rFonts w:cs="Arial"/>
                <w:sz w:val="20"/>
                <w:szCs w:val="20"/>
              </w:rPr>
            </w:pPr>
            <w:r w:rsidRPr="009B7B35">
              <w:rPr>
                <w:rFonts w:cs="Arial"/>
                <w:sz w:val="20"/>
                <w:szCs w:val="20"/>
              </w:rPr>
              <w:t xml:space="preserve">Minimum setbacks </w:t>
            </w:r>
          </w:p>
        </w:tc>
        <w:tc>
          <w:tcPr>
            <w:tcW w:w="753" w:type="dxa"/>
            <w:vMerge w:val="restart"/>
          </w:tcPr>
          <w:p w14:paraId="5F1AA2BD" w14:textId="77777777" w:rsidR="00BE36FB" w:rsidRPr="009B7B35" w:rsidRDefault="00BE36FB" w:rsidP="001A7107">
            <w:pPr>
              <w:rPr>
                <w:rFonts w:cs="Arial"/>
                <w:sz w:val="20"/>
                <w:szCs w:val="20"/>
              </w:rPr>
            </w:pPr>
            <w:r w:rsidRPr="009B7B35">
              <w:rPr>
                <w:rFonts w:cs="Arial"/>
                <w:sz w:val="20"/>
                <w:szCs w:val="20"/>
              </w:rPr>
              <w:t>Front</w:t>
            </w:r>
          </w:p>
        </w:tc>
        <w:tc>
          <w:tcPr>
            <w:tcW w:w="2835" w:type="dxa"/>
          </w:tcPr>
          <w:p w14:paraId="1BE205D4" w14:textId="77777777" w:rsidR="00BE36FB" w:rsidRPr="009B7B35" w:rsidRDefault="00BE36FB" w:rsidP="001A7107">
            <w:pPr>
              <w:rPr>
                <w:rFonts w:cs="Arial"/>
                <w:sz w:val="20"/>
                <w:szCs w:val="20"/>
              </w:rPr>
            </w:pPr>
            <w:r w:rsidRPr="009B7B35">
              <w:rPr>
                <w:rFonts w:cs="Arial"/>
                <w:sz w:val="20"/>
                <w:szCs w:val="20"/>
              </w:rPr>
              <w:t>3m (OMP and including all street frontages where a corner lot).</w:t>
            </w:r>
          </w:p>
        </w:tc>
        <w:tc>
          <w:tcPr>
            <w:tcW w:w="4111" w:type="dxa"/>
            <w:vMerge/>
            <w:tcBorders>
              <w:bottom w:val="nil"/>
              <w:right w:val="nil"/>
            </w:tcBorders>
          </w:tcPr>
          <w:p w14:paraId="49064F56" w14:textId="77777777" w:rsidR="00BE36FB" w:rsidRPr="009B7B35" w:rsidRDefault="00BE36FB" w:rsidP="001A7107">
            <w:pPr>
              <w:rPr>
                <w:rFonts w:cs="Arial"/>
                <w:sz w:val="20"/>
                <w:szCs w:val="20"/>
              </w:rPr>
            </w:pPr>
          </w:p>
        </w:tc>
      </w:tr>
      <w:tr w:rsidR="00BE36FB" w:rsidRPr="009B7B35" w14:paraId="13E8C6BF" w14:textId="77777777" w:rsidTr="001A7107">
        <w:tc>
          <w:tcPr>
            <w:tcW w:w="538" w:type="dxa"/>
            <w:vMerge/>
          </w:tcPr>
          <w:p w14:paraId="347C8A47" w14:textId="77777777" w:rsidR="00BE36FB" w:rsidRPr="009B7B35" w:rsidRDefault="00BE36FB" w:rsidP="001A7107">
            <w:pPr>
              <w:rPr>
                <w:rFonts w:cs="Arial"/>
                <w:sz w:val="20"/>
                <w:szCs w:val="20"/>
              </w:rPr>
            </w:pPr>
          </w:p>
        </w:tc>
        <w:tc>
          <w:tcPr>
            <w:tcW w:w="1119" w:type="dxa"/>
            <w:vMerge/>
          </w:tcPr>
          <w:p w14:paraId="28D18AE1" w14:textId="77777777" w:rsidR="00BE36FB" w:rsidRPr="009B7B35" w:rsidRDefault="00BE36FB" w:rsidP="001A7107">
            <w:pPr>
              <w:rPr>
                <w:rFonts w:cs="Arial"/>
                <w:sz w:val="20"/>
                <w:szCs w:val="20"/>
              </w:rPr>
            </w:pPr>
          </w:p>
        </w:tc>
        <w:tc>
          <w:tcPr>
            <w:tcW w:w="753" w:type="dxa"/>
            <w:vMerge/>
          </w:tcPr>
          <w:p w14:paraId="09C99F5A" w14:textId="77777777" w:rsidR="00BE36FB" w:rsidRPr="009B7B35" w:rsidRDefault="00BE36FB" w:rsidP="001A7107">
            <w:pPr>
              <w:rPr>
                <w:rFonts w:cs="Arial"/>
                <w:sz w:val="20"/>
                <w:szCs w:val="20"/>
              </w:rPr>
            </w:pPr>
          </w:p>
        </w:tc>
        <w:tc>
          <w:tcPr>
            <w:tcW w:w="2835" w:type="dxa"/>
          </w:tcPr>
          <w:p w14:paraId="16F2E95C" w14:textId="77777777" w:rsidR="00BE36FB" w:rsidRPr="009B7B35" w:rsidRDefault="00BE36FB" w:rsidP="001A7107">
            <w:pPr>
              <w:rPr>
                <w:rFonts w:cs="Arial"/>
                <w:sz w:val="20"/>
                <w:szCs w:val="20"/>
              </w:rPr>
            </w:pPr>
            <w:r w:rsidRPr="009B7B35">
              <w:rPr>
                <w:rFonts w:cs="Arial"/>
                <w:sz w:val="20"/>
                <w:szCs w:val="20"/>
              </w:rPr>
              <w:t>5m to garage.</w:t>
            </w:r>
          </w:p>
        </w:tc>
        <w:tc>
          <w:tcPr>
            <w:tcW w:w="4111" w:type="dxa"/>
            <w:vMerge/>
            <w:tcBorders>
              <w:bottom w:val="nil"/>
              <w:right w:val="nil"/>
            </w:tcBorders>
          </w:tcPr>
          <w:p w14:paraId="7FEF2198" w14:textId="77777777" w:rsidR="00BE36FB" w:rsidRPr="009B7B35" w:rsidRDefault="00BE36FB" w:rsidP="001A7107">
            <w:pPr>
              <w:rPr>
                <w:rFonts w:cs="Arial"/>
                <w:sz w:val="20"/>
                <w:szCs w:val="20"/>
              </w:rPr>
            </w:pPr>
          </w:p>
        </w:tc>
      </w:tr>
      <w:tr w:rsidR="00BE36FB" w:rsidRPr="009B7B35" w14:paraId="5191C165" w14:textId="77777777" w:rsidTr="001A7107">
        <w:tc>
          <w:tcPr>
            <w:tcW w:w="538" w:type="dxa"/>
            <w:vMerge/>
          </w:tcPr>
          <w:p w14:paraId="641D510C" w14:textId="77777777" w:rsidR="00BE36FB" w:rsidRPr="009B7B35" w:rsidRDefault="00BE36FB" w:rsidP="001A7107">
            <w:pPr>
              <w:rPr>
                <w:rFonts w:cs="Arial"/>
                <w:sz w:val="20"/>
                <w:szCs w:val="20"/>
              </w:rPr>
            </w:pPr>
          </w:p>
        </w:tc>
        <w:tc>
          <w:tcPr>
            <w:tcW w:w="1119" w:type="dxa"/>
            <w:vMerge/>
          </w:tcPr>
          <w:p w14:paraId="53BB1406" w14:textId="77777777" w:rsidR="00BE36FB" w:rsidRPr="009B7B35" w:rsidRDefault="00BE36FB" w:rsidP="001A7107">
            <w:pPr>
              <w:rPr>
                <w:rFonts w:cs="Arial"/>
                <w:sz w:val="20"/>
                <w:szCs w:val="20"/>
              </w:rPr>
            </w:pPr>
          </w:p>
        </w:tc>
        <w:tc>
          <w:tcPr>
            <w:tcW w:w="753" w:type="dxa"/>
          </w:tcPr>
          <w:p w14:paraId="4AFBFBC7" w14:textId="77777777" w:rsidR="00BE36FB" w:rsidRPr="009B7B35" w:rsidRDefault="00BE36FB" w:rsidP="001A7107">
            <w:pPr>
              <w:rPr>
                <w:rFonts w:cs="Arial"/>
                <w:sz w:val="20"/>
                <w:szCs w:val="20"/>
              </w:rPr>
            </w:pPr>
            <w:r w:rsidRPr="009B7B35">
              <w:rPr>
                <w:rFonts w:cs="Arial"/>
                <w:sz w:val="20"/>
                <w:szCs w:val="20"/>
              </w:rPr>
              <w:t>Rear</w:t>
            </w:r>
          </w:p>
        </w:tc>
        <w:tc>
          <w:tcPr>
            <w:tcW w:w="2835" w:type="dxa"/>
          </w:tcPr>
          <w:p w14:paraId="3FF6D3B7" w14:textId="77777777" w:rsidR="00BE36FB" w:rsidRPr="009B7B35" w:rsidRDefault="00BE36FB" w:rsidP="001A7107">
            <w:pPr>
              <w:rPr>
                <w:rFonts w:cs="Arial"/>
                <w:sz w:val="20"/>
                <w:szCs w:val="20"/>
              </w:rPr>
            </w:pPr>
            <w:r w:rsidRPr="009B7B35">
              <w:rPr>
                <w:rFonts w:cs="Arial"/>
                <w:sz w:val="20"/>
                <w:szCs w:val="20"/>
              </w:rPr>
              <w:t>6m (where not on a corner lot).</w:t>
            </w:r>
          </w:p>
        </w:tc>
        <w:tc>
          <w:tcPr>
            <w:tcW w:w="4111" w:type="dxa"/>
            <w:vMerge/>
            <w:tcBorders>
              <w:bottom w:val="nil"/>
              <w:right w:val="nil"/>
            </w:tcBorders>
          </w:tcPr>
          <w:p w14:paraId="7B24E5D3" w14:textId="77777777" w:rsidR="00BE36FB" w:rsidRPr="009B7B35" w:rsidRDefault="00BE36FB" w:rsidP="001A7107">
            <w:pPr>
              <w:rPr>
                <w:rFonts w:cs="Arial"/>
                <w:sz w:val="20"/>
                <w:szCs w:val="20"/>
              </w:rPr>
            </w:pPr>
          </w:p>
        </w:tc>
      </w:tr>
      <w:tr w:rsidR="00BE36FB" w:rsidRPr="009B7B35" w14:paraId="62E0ECA2" w14:textId="77777777" w:rsidTr="001A7107">
        <w:tc>
          <w:tcPr>
            <w:tcW w:w="538" w:type="dxa"/>
            <w:vMerge/>
          </w:tcPr>
          <w:p w14:paraId="5FB50F57" w14:textId="77777777" w:rsidR="00BE36FB" w:rsidRPr="009B7B35" w:rsidRDefault="00BE36FB" w:rsidP="001A7107">
            <w:pPr>
              <w:rPr>
                <w:rFonts w:cs="Arial"/>
                <w:sz w:val="20"/>
                <w:szCs w:val="20"/>
              </w:rPr>
            </w:pPr>
          </w:p>
        </w:tc>
        <w:tc>
          <w:tcPr>
            <w:tcW w:w="1119" w:type="dxa"/>
            <w:vMerge/>
          </w:tcPr>
          <w:p w14:paraId="401A59AB" w14:textId="77777777" w:rsidR="00BE36FB" w:rsidRPr="009B7B35" w:rsidRDefault="00BE36FB" w:rsidP="001A7107">
            <w:pPr>
              <w:rPr>
                <w:rFonts w:cs="Arial"/>
                <w:sz w:val="20"/>
                <w:szCs w:val="20"/>
              </w:rPr>
            </w:pPr>
          </w:p>
        </w:tc>
        <w:tc>
          <w:tcPr>
            <w:tcW w:w="753" w:type="dxa"/>
          </w:tcPr>
          <w:p w14:paraId="4DEEBF86" w14:textId="77777777" w:rsidR="00BE36FB" w:rsidRPr="009B7B35" w:rsidRDefault="00BE36FB" w:rsidP="001A7107">
            <w:pPr>
              <w:rPr>
                <w:rFonts w:cs="Arial"/>
                <w:sz w:val="20"/>
                <w:szCs w:val="20"/>
              </w:rPr>
            </w:pPr>
            <w:r w:rsidRPr="009B7B35">
              <w:rPr>
                <w:rFonts w:cs="Arial"/>
                <w:sz w:val="20"/>
                <w:szCs w:val="20"/>
              </w:rPr>
              <w:t>Side</w:t>
            </w:r>
          </w:p>
        </w:tc>
        <w:tc>
          <w:tcPr>
            <w:tcW w:w="2835" w:type="dxa"/>
          </w:tcPr>
          <w:p w14:paraId="5B365FAE" w14:textId="77777777" w:rsidR="00BE36FB" w:rsidRPr="009B7B35" w:rsidRDefault="00BE36FB" w:rsidP="001A7107">
            <w:pPr>
              <w:rPr>
                <w:rFonts w:cs="Arial"/>
                <w:sz w:val="20"/>
                <w:szCs w:val="20"/>
              </w:rPr>
            </w:pPr>
            <w:r w:rsidRPr="009B7B35">
              <w:rPr>
                <w:rFonts w:cs="Arial"/>
                <w:sz w:val="20"/>
                <w:szCs w:val="20"/>
              </w:rPr>
              <w:t>1.5m not including eaves.</w:t>
            </w:r>
          </w:p>
        </w:tc>
        <w:tc>
          <w:tcPr>
            <w:tcW w:w="4111" w:type="dxa"/>
            <w:vMerge/>
            <w:tcBorders>
              <w:bottom w:val="nil"/>
              <w:right w:val="nil"/>
            </w:tcBorders>
          </w:tcPr>
          <w:p w14:paraId="5001748C" w14:textId="77777777" w:rsidR="00BE36FB" w:rsidRPr="009B7B35" w:rsidRDefault="00BE36FB" w:rsidP="001A7107">
            <w:pPr>
              <w:rPr>
                <w:rFonts w:cs="Arial"/>
                <w:sz w:val="20"/>
                <w:szCs w:val="20"/>
              </w:rPr>
            </w:pPr>
          </w:p>
        </w:tc>
      </w:tr>
      <w:tr w:rsidR="00BE36FB" w:rsidRPr="009B7B35" w14:paraId="129F92C9" w14:textId="77777777" w:rsidTr="001A7107">
        <w:tc>
          <w:tcPr>
            <w:tcW w:w="538" w:type="dxa"/>
          </w:tcPr>
          <w:p w14:paraId="69E2F185" w14:textId="77777777" w:rsidR="00BE36FB" w:rsidRPr="009B7B35" w:rsidRDefault="00BE36FB" w:rsidP="001A7107">
            <w:pPr>
              <w:rPr>
                <w:rFonts w:cs="Arial"/>
                <w:sz w:val="20"/>
                <w:szCs w:val="20"/>
              </w:rPr>
            </w:pPr>
            <w:r w:rsidRPr="009B7B35">
              <w:rPr>
                <w:rFonts w:cs="Arial"/>
                <w:sz w:val="20"/>
                <w:szCs w:val="20"/>
              </w:rPr>
              <w:t>1.6</w:t>
            </w:r>
          </w:p>
        </w:tc>
        <w:tc>
          <w:tcPr>
            <w:tcW w:w="1872" w:type="dxa"/>
            <w:gridSpan w:val="2"/>
          </w:tcPr>
          <w:p w14:paraId="42586005" w14:textId="77777777" w:rsidR="00BE36FB" w:rsidRPr="009B7B35" w:rsidRDefault="00BE36FB" w:rsidP="001A7107">
            <w:pPr>
              <w:rPr>
                <w:rFonts w:cs="Arial"/>
                <w:sz w:val="20"/>
                <w:szCs w:val="20"/>
              </w:rPr>
            </w:pPr>
            <w:r w:rsidRPr="009B7B35">
              <w:rPr>
                <w:rFonts w:cs="Arial"/>
                <w:sz w:val="20"/>
                <w:szCs w:val="20"/>
              </w:rPr>
              <w:t>Built to boundary walls</w:t>
            </w:r>
          </w:p>
        </w:tc>
        <w:tc>
          <w:tcPr>
            <w:tcW w:w="2835" w:type="dxa"/>
          </w:tcPr>
          <w:p w14:paraId="53687E73" w14:textId="77777777" w:rsidR="00BE36FB" w:rsidRPr="009B7B35" w:rsidRDefault="00BE36FB" w:rsidP="001A7107">
            <w:pPr>
              <w:rPr>
                <w:rFonts w:cs="Arial"/>
                <w:sz w:val="20"/>
                <w:szCs w:val="20"/>
              </w:rPr>
            </w:pPr>
            <w:r w:rsidRPr="009B7B35">
              <w:rPr>
                <w:rFonts w:cs="Arial"/>
                <w:sz w:val="20"/>
                <w:szCs w:val="20"/>
              </w:rPr>
              <w:t>Limited to 1 side boundary and must contain no windows, openings or glazing. Maximum length 10m and maximum height 3.5m.</w:t>
            </w:r>
          </w:p>
        </w:tc>
        <w:tc>
          <w:tcPr>
            <w:tcW w:w="4111" w:type="dxa"/>
            <w:vMerge/>
            <w:tcBorders>
              <w:bottom w:val="nil"/>
              <w:right w:val="nil"/>
            </w:tcBorders>
          </w:tcPr>
          <w:p w14:paraId="6AC7EB6D" w14:textId="77777777" w:rsidR="00BE36FB" w:rsidRPr="009B7B35" w:rsidRDefault="00BE36FB" w:rsidP="001A7107">
            <w:pPr>
              <w:rPr>
                <w:rFonts w:cs="Arial"/>
                <w:sz w:val="20"/>
                <w:szCs w:val="20"/>
              </w:rPr>
            </w:pPr>
          </w:p>
        </w:tc>
      </w:tr>
    </w:tbl>
    <w:p w14:paraId="0ECEE8F0"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32CAF057" w14:textId="77777777" w:rsidR="00BE36FB" w:rsidRPr="009B7B35" w:rsidRDefault="00BE36FB" w:rsidP="00B5414A">
      <w:pPr>
        <w:pStyle w:val="Heading5"/>
        <w:numPr>
          <w:ilvl w:val="0"/>
          <w:numId w:val="0"/>
        </w:numPr>
        <w:rPr>
          <w:rFonts w:cs="Arial"/>
          <w:szCs w:val="20"/>
        </w:rPr>
      </w:pPr>
      <w:r w:rsidRPr="009B7B35">
        <w:rPr>
          <w:rFonts w:cs="Arial"/>
          <w:szCs w:val="20"/>
        </w:rPr>
        <w:t>Figure 2—Dual occupancy</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856"/>
        <w:gridCol w:w="4507"/>
      </w:tblGrid>
      <w:tr w:rsidR="00BE36FB" w:rsidRPr="009B7B35" w14:paraId="759912A2" w14:textId="77777777" w:rsidTr="001A7107">
        <w:trPr>
          <w:trHeight w:val="1506"/>
        </w:trPr>
        <w:tc>
          <w:tcPr>
            <w:tcW w:w="4253" w:type="dxa"/>
            <w:vAlign w:val="center"/>
          </w:tcPr>
          <w:p w14:paraId="2E731971" w14:textId="77777777" w:rsidR="00BE36FB" w:rsidRPr="009B7B35" w:rsidRDefault="00BE36FB">
            <w:pPr>
              <w:rPr>
                <w:rFonts w:cs="Arial"/>
                <w:sz w:val="20"/>
                <w:szCs w:val="20"/>
              </w:rPr>
            </w:pPr>
            <w:r w:rsidRPr="009B7B35">
              <w:rPr>
                <w:rFonts w:cs="Arial"/>
                <w:sz w:val="20"/>
                <w:szCs w:val="20"/>
              </w:rPr>
              <w:t>These are paired dwellings that share a single internal wall and are visually similar to a dwelling house when viewed from the street.</w:t>
            </w:r>
          </w:p>
        </w:tc>
        <w:tc>
          <w:tcPr>
            <w:tcW w:w="5103" w:type="dxa"/>
          </w:tcPr>
          <w:p w14:paraId="10A3C3BE" w14:textId="77777777" w:rsidR="00BE36FB" w:rsidRPr="009B7B35" w:rsidRDefault="00BE36FB" w:rsidP="001A7107">
            <w:pPr>
              <w:rPr>
                <w:rFonts w:cs="Arial"/>
                <w:sz w:val="20"/>
                <w:szCs w:val="20"/>
              </w:rPr>
            </w:pPr>
          </w:p>
        </w:tc>
      </w:tr>
    </w:tbl>
    <w:p w14:paraId="0C6CBD0D" w14:textId="77777777" w:rsidR="00BE36FB" w:rsidRPr="009B7B35" w:rsidRDefault="00BE36FB" w:rsidP="001A7107">
      <w:pPr>
        <w:rPr>
          <w:rFonts w:ascii="Arial" w:hAnsi="Arial" w:cs="Arial"/>
          <w:sz w:val="20"/>
          <w:szCs w:val="20"/>
        </w:rPr>
      </w:pPr>
    </w:p>
    <w:p w14:paraId="429D5A4A" w14:textId="77777777"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74"/>
        <w:gridCol w:w="1034"/>
        <w:gridCol w:w="677"/>
        <w:gridCol w:w="2070"/>
        <w:gridCol w:w="4108"/>
      </w:tblGrid>
      <w:tr w:rsidR="00BE36FB" w:rsidRPr="009B7B35" w14:paraId="31F06960" w14:textId="77777777"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tcPr>
          <w:p w14:paraId="299D9610" w14:textId="77777777" w:rsidR="00BE36FB" w:rsidRPr="009B7B35" w:rsidRDefault="00BE36FB" w:rsidP="001A7107">
            <w:pPr>
              <w:pStyle w:val="Tableheading"/>
              <w:rPr>
                <w:rFonts w:ascii="Arial" w:hAnsi="Arial" w:cs="Arial"/>
                <w:szCs w:val="20"/>
              </w:rPr>
            </w:pPr>
            <w:r w:rsidRPr="009B7B35">
              <w:rPr>
                <w:rFonts w:ascii="Arial" w:hAnsi="Arial" w:cs="Arial"/>
                <w:szCs w:val="20"/>
              </w:rPr>
              <w:t>Element</w:t>
            </w:r>
          </w:p>
        </w:tc>
        <w:tc>
          <w:tcPr>
            <w:tcW w:w="2835" w:type="dxa"/>
          </w:tcPr>
          <w:p w14:paraId="1D929ABD"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1" w:type="dxa"/>
            <w:vMerge w:val="restart"/>
            <w:tcBorders>
              <w:top w:val="nil"/>
              <w:bottom w:val="nil"/>
              <w:right w:val="nil"/>
            </w:tcBorders>
          </w:tcPr>
          <w:p w14:paraId="1C46FD9C"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35009F30" wp14:editId="73E7C2F6">
                  <wp:extent cx="2527300" cy="3924935"/>
                  <wp:effectExtent l="0" t="0" r="6350" b="0"/>
                  <wp:docPr id="35" name="Picture 35" descr="130909_Typologies_100_DU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0909_Typologies_100_DUPLE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27300" cy="3924935"/>
                          </a:xfrm>
                          <a:prstGeom prst="rect">
                            <a:avLst/>
                          </a:prstGeom>
                          <a:noFill/>
                          <a:ln>
                            <a:noFill/>
                          </a:ln>
                        </pic:spPr>
                      </pic:pic>
                    </a:graphicData>
                  </a:graphic>
                </wp:inline>
              </w:drawing>
            </w:r>
          </w:p>
          <w:p w14:paraId="6A7BFEF2"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1D2F3EFF" wp14:editId="38907835">
                  <wp:extent cx="2527300" cy="526415"/>
                  <wp:effectExtent l="0" t="0" r="6350" b="6985"/>
                  <wp:docPr id="36" name="Picture 36"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ypologies_Legend-h"/>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7300" cy="526415"/>
                          </a:xfrm>
                          <a:prstGeom prst="rect">
                            <a:avLst/>
                          </a:prstGeom>
                          <a:noFill/>
                          <a:ln>
                            <a:noFill/>
                          </a:ln>
                        </pic:spPr>
                      </pic:pic>
                    </a:graphicData>
                  </a:graphic>
                </wp:inline>
              </w:drawing>
            </w:r>
          </w:p>
        </w:tc>
      </w:tr>
      <w:tr w:rsidR="00BE36FB" w:rsidRPr="009B7B35" w14:paraId="264DA4AA" w14:textId="77777777" w:rsidTr="001A7107">
        <w:tc>
          <w:tcPr>
            <w:tcW w:w="538" w:type="dxa"/>
          </w:tcPr>
          <w:p w14:paraId="6F074B15" w14:textId="77777777" w:rsidR="00BE36FB" w:rsidRPr="009B7B35" w:rsidRDefault="00BE36FB" w:rsidP="001A7107">
            <w:pPr>
              <w:rPr>
                <w:rFonts w:cs="Arial"/>
                <w:sz w:val="20"/>
                <w:szCs w:val="20"/>
              </w:rPr>
            </w:pPr>
            <w:r w:rsidRPr="009B7B35">
              <w:rPr>
                <w:rFonts w:cs="Arial"/>
                <w:sz w:val="20"/>
                <w:szCs w:val="20"/>
              </w:rPr>
              <w:t>2.1</w:t>
            </w:r>
          </w:p>
        </w:tc>
        <w:tc>
          <w:tcPr>
            <w:tcW w:w="1872" w:type="dxa"/>
            <w:gridSpan w:val="2"/>
          </w:tcPr>
          <w:p w14:paraId="05D86236" w14:textId="77777777" w:rsidR="00BE36FB" w:rsidRPr="009B7B35" w:rsidRDefault="00BE36FB" w:rsidP="001A7107">
            <w:pPr>
              <w:rPr>
                <w:rFonts w:cs="Arial"/>
                <w:sz w:val="20"/>
                <w:szCs w:val="20"/>
              </w:rPr>
            </w:pPr>
            <w:r w:rsidRPr="009B7B35">
              <w:rPr>
                <w:rFonts w:cs="Arial"/>
                <w:sz w:val="20"/>
                <w:szCs w:val="20"/>
              </w:rPr>
              <w:t>Minimum frontage</w:t>
            </w:r>
          </w:p>
        </w:tc>
        <w:tc>
          <w:tcPr>
            <w:tcW w:w="2835" w:type="dxa"/>
          </w:tcPr>
          <w:p w14:paraId="593C7593" w14:textId="77777777" w:rsidR="00BE36FB" w:rsidRPr="009B7B35" w:rsidRDefault="00BE36FB" w:rsidP="001A7107">
            <w:pPr>
              <w:rPr>
                <w:rFonts w:cs="Arial"/>
                <w:sz w:val="20"/>
                <w:szCs w:val="20"/>
              </w:rPr>
            </w:pPr>
            <w:r w:rsidRPr="009B7B35">
              <w:rPr>
                <w:rFonts w:cs="Arial"/>
                <w:sz w:val="20"/>
                <w:szCs w:val="20"/>
              </w:rPr>
              <w:t>20m</w:t>
            </w:r>
          </w:p>
        </w:tc>
        <w:tc>
          <w:tcPr>
            <w:tcW w:w="4111" w:type="dxa"/>
            <w:vMerge/>
            <w:tcBorders>
              <w:bottom w:val="nil"/>
              <w:right w:val="nil"/>
            </w:tcBorders>
          </w:tcPr>
          <w:p w14:paraId="7F777EEF" w14:textId="77777777" w:rsidR="00BE36FB" w:rsidRPr="009B7B35" w:rsidRDefault="00BE36FB" w:rsidP="001A7107">
            <w:pPr>
              <w:rPr>
                <w:rFonts w:cs="Arial"/>
                <w:sz w:val="20"/>
                <w:szCs w:val="20"/>
              </w:rPr>
            </w:pPr>
          </w:p>
        </w:tc>
      </w:tr>
      <w:tr w:rsidR="00BE36FB" w:rsidRPr="009B7B35" w14:paraId="3B3052D4" w14:textId="77777777" w:rsidTr="001A7107">
        <w:tc>
          <w:tcPr>
            <w:tcW w:w="538" w:type="dxa"/>
          </w:tcPr>
          <w:p w14:paraId="0BB2E1C2" w14:textId="77777777" w:rsidR="00BE36FB" w:rsidRPr="009B7B35" w:rsidRDefault="00BE36FB" w:rsidP="001A7107">
            <w:pPr>
              <w:rPr>
                <w:rFonts w:cs="Arial"/>
                <w:sz w:val="20"/>
                <w:szCs w:val="20"/>
              </w:rPr>
            </w:pPr>
            <w:r w:rsidRPr="009B7B35">
              <w:rPr>
                <w:rFonts w:cs="Arial"/>
                <w:sz w:val="20"/>
                <w:szCs w:val="20"/>
              </w:rPr>
              <w:t>2.2</w:t>
            </w:r>
          </w:p>
        </w:tc>
        <w:tc>
          <w:tcPr>
            <w:tcW w:w="1872" w:type="dxa"/>
            <w:gridSpan w:val="2"/>
          </w:tcPr>
          <w:p w14:paraId="688B7457" w14:textId="77777777" w:rsidR="00BE36FB" w:rsidRPr="009B7B35" w:rsidRDefault="00BE36FB" w:rsidP="001A7107">
            <w:pPr>
              <w:rPr>
                <w:rFonts w:cs="Arial"/>
                <w:sz w:val="20"/>
                <w:szCs w:val="20"/>
              </w:rPr>
            </w:pPr>
            <w:r w:rsidRPr="009B7B35">
              <w:rPr>
                <w:rFonts w:cs="Arial"/>
                <w:sz w:val="20"/>
                <w:szCs w:val="20"/>
              </w:rPr>
              <w:t>Minimum area</w:t>
            </w:r>
          </w:p>
        </w:tc>
        <w:tc>
          <w:tcPr>
            <w:tcW w:w="2835" w:type="dxa"/>
          </w:tcPr>
          <w:p w14:paraId="48FB1588" w14:textId="77777777" w:rsidR="00BE36FB" w:rsidRPr="009B7B35" w:rsidRDefault="00BE36FB" w:rsidP="001A7107">
            <w:pPr>
              <w:pStyle w:val="TableText"/>
              <w:rPr>
                <w:rFonts w:cs="Arial"/>
              </w:rPr>
            </w:pPr>
            <w:r w:rsidRPr="009B7B35">
              <w:rPr>
                <w:rFonts w:cs="Arial"/>
              </w:rPr>
              <w:t>600m</w:t>
            </w:r>
            <w:r w:rsidRPr="009B7B35">
              <w:rPr>
                <w:rFonts w:cs="Arial"/>
                <w:vertAlign w:val="superscript"/>
              </w:rPr>
              <w:t>2</w:t>
            </w:r>
          </w:p>
        </w:tc>
        <w:tc>
          <w:tcPr>
            <w:tcW w:w="4111" w:type="dxa"/>
            <w:vMerge/>
            <w:tcBorders>
              <w:bottom w:val="nil"/>
              <w:right w:val="nil"/>
            </w:tcBorders>
          </w:tcPr>
          <w:p w14:paraId="6375D9C5" w14:textId="77777777" w:rsidR="00BE36FB" w:rsidRPr="009B7B35" w:rsidRDefault="00BE36FB" w:rsidP="001A7107">
            <w:pPr>
              <w:rPr>
                <w:rFonts w:cs="Arial"/>
                <w:sz w:val="20"/>
                <w:szCs w:val="20"/>
              </w:rPr>
            </w:pPr>
          </w:p>
        </w:tc>
      </w:tr>
      <w:tr w:rsidR="00BE36FB" w:rsidRPr="009B7B35" w14:paraId="6856F560" w14:textId="77777777" w:rsidTr="001A7107">
        <w:tc>
          <w:tcPr>
            <w:tcW w:w="538" w:type="dxa"/>
          </w:tcPr>
          <w:p w14:paraId="47E656F2" w14:textId="77777777" w:rsidR="00BE36FB" w:rsidRPr="009B7B35" w:rsidRDefault="00BE36FB" w:rsidP="001A7107">
            <w:pPr>
              <w:rPr>
                <w:rFonts w:cs="Arial"/>
                <w:sz w:val="20"/>
                <w:szCs w:val="20"/>
              </w:rPr>
            </w:pPr>
            <w:r w:rsidRPr="009B7B35">
              <w:rPr>
                <w:rFonts w:cs="Arial"/>
                <w:sz w:val="20"/>
                <w:szCs w:val="20"/>
              </w:rPr>
              <w:t>2.3</w:t>
            </w:r>
          </w:p>
        </w:tc>
        <w:tc>
          <w:tcPr>
            <w:tcW w:w="1872" w:type="dxa"/>
            <w:gridSpan w:val="2"/>
          </w:tcPr>
          <w:p w14:paraId="6AA26A23" w14:textId="77777777" w:rsidR="00BE36FB" w:rsidRPr="009B7B35" w:rsidRDefault="00BE36FB" w:rsidP="001A7107">
            <w:pPr>
              <w:rPr>
                <w:rFonts w:cs="Arial"/>
                <w:sz w:val="20"/>
                <w:szCs w:val="20"/>
              </w:rPr>
            </w:pPr>
            <w:r w:rsidRPr="009B7B35">
              <w:rPr>
                <w:rFonts w:cs="Arial"/>
                <w:sz w:val="20"/>
                <w:szCs w:val="20"/>
              </w:rPr>
              <w:t>Maximum site cover</w:t>
            </w:r>
          </w:p>
        </w:tc>
        <w:tc>
          <w:tcPr>
            <w:tcW w:w="2835" w:type="dxa"/>
          </w:tcPr>
          <w:p w14:paraId="73CEB3F4" w14:textId="77777777" w:rsidR="00BE36FB" w:rsidRPr="009B7B35" w:rsidRDefault="00BE36FB" w:rsidP="001A7107">
            <w:pPr>
              <w:rPr>
                <w:rFonts w:cs="Arial"/>
                <w:sz w:val="20"/>
                <w:szCs w:val="20"/>
              </w:rPr>
            </w:pPr>
            <w:r w:rsidRPr="009B7B35">
              <w:rPr>
                <w:rFonts w:cs="Arial"/>
                <w:sz w:val="20"/>
                <w:szCs w:val="20"/>
              </w:rPr>
              <w:t>60%</w:t>
            </w:r>
          </w:p>
        </w:tc>
        <w:tc>
          <w:tcPr>
            <w:tcW w:w="4111" w:type="dxa"/>
            <w:vMerge/>
            <w:tcBorders>
              <w:bottom w:val="nil"/>
              <w:right w:val="nil"/>
            </w:tcBorders>
          </w:tcPr>
          <w:p w14:paraId="5BDA7F6A" w14:textId="77777777" w:rsidR="00BE36FB" w:rsidRPr="009B7B35" w:rsidRDefault="00BE36FB" w:rsidP="001A7107">
            <w:pPr>
              <w:rPr>
                <w:rFonts w:cs="Arial"/>
                <w:sz w:val="20"/>
                <w:szCs w:val="20"/>
              </w:rPr>
            </w:pPr>
          </w:p>
        </w:tc>
      </w:tr>
      <w:tr w:rsidR="00BE36FB" w:rsidRPr="009B7B35" w14:paraId="3D0356C9" w14:textId="77777777" w:rsidTr="001A7107">
        <w:tc>
          <w:tcPr>
            <w:tcW w:w="538" w:type="dxa"/>
          </w:tcPr>
          <w:p w14:paraId="6B1044FB" w14:textId="77777777" w:rsidR="00BE36FB" w:rsidRPr="009B7B35" w:rsidRDefault="00BE36FB" w:rsidP="001A7107">
            <w:pPr>
              <w:rPr>
                <w:rFonts w:cs="Arial"/>
                <w:sz w:val="20"/>
                <w:szCs w:val="20"/>
              </w:rPr>
            </w:pPr>
            <w:r w:rsidRPr="009B7B35">
              <w:rPr>
                <w:rFonts w:cs="Arial"/>
                <w:sz w:val="20"/>
                <w:szCs w:val="20"/>
              </w:rPr>
              <w:t>2.4</w:t>
            </w:r>
          </w:p>
        </w:tc>
        <w:tc>
          <w:tcPr>
            <w:tcW w:w="1872" w:type="dxa"/>
            <w:gridSpan w:val="2"/>
          </w:tcPr>
          <w:p w14:paraId="6A333A9B" w14:textId="77777777" w:rsidR="00BE36FB" w:rsidRPr="009B7B35" w:rsidRDefault="00BE36FB" w:rsidP="001A7107">
            <w:pPr>
              <w:rPr>
                <w:rFonts w:cs="Arial"/>
                <w:sz w:val="20"/>
                <w:szCs w:val="20"/>
              </w:rPr>
            </w:pPr>
            <w:r w:rsidRPr="009B7B35">
              <w:rPr>
                <w:rFonts w:cs="Arial"/>
                <w:sz w:val="20"/>
                <w:szCs w:val="20"/>
              </w:rPr>
              <w:t>Minimum private open space</w:t>
            </w:r>
          </w:p>
        </w:tc>
        <w:tc>
          <w:tcPr>
            <w:tcW w:w="2835" w:type="dxa"/>
          </w:tcPr>
          <w:p w14:paraId="4A5C3C07" w14:textId="77777777" w:rsidR="00BE36FB" w:rsidRPr="009B7B35" w:rsidRDefault="00BE36FB" w:rsidP="001A7107">
            <w:pPr>
              <w:pStyle w:val="TableText"/>
              <w:rPr>
                <w:rFonts w:cs="Arial"/>
              </w:rPr>
            </w:pPr>
            <w:r w:rsidRPr="009B7B35">
              <w:rPr>
                <w:rFonts w:cs="Arial"/>
              </w:rPr>
              <w:t>50m</w:t>
            </w:r>
            <w:r w:rsidRPr="009B7B35">
              <w:rPr>
                <w:rFonts w:cs="Arial"/>
                <w:vertAlign w:val="superscript"/>
              </w:rPr>
              <w:t>2</w:t>
            </w:r>
            <w:r w:rsidRPr="009B7B35">
              <w:rPr>
                <w:rFonts w:cs="Arial"/>
              </w:rPr>
              <w:t xml:space="preserve"> with a minimum dimension of 5.0m in any direction.</w:t>
            </w:r>
          </w:p>
        </w:tc>
        <w:tc>
          <w:tcPr>
            <w:tcW w:w="4111" w:type="dxa"/>
            <w:vMerge/>
            <w:tcBorders>
              <w:bottom w:val="nil"/>
              <w:right w:val="nil"/>
            </w:tcBorders>
          </w:tcPr>
          <w:p w14:paraId="4F77ABB6" w14:textId="77777777" w:rsidR="00BE36FB" w:rsidRPr="009B7B35" w:rsidRDefault="00BE36FB" w:rsidP="001A7107">
            <w:pPr>
              <w:rPr>
                <w:rFonts w:cs="Arial"/>
                <w:sz w:val="20"/>
                <w:szCs w:val="20"/>
              </w:rPr>
            </w:pPr>
          </w:p>
        </w:tc>
      </w:tr>
      <w:tr w:rsidR="00BE36FB" w:rsidRPr="009B7B35" w14:paraId="195AEF4B" w14:textId="77777777" w:rsidTr="001A7107">
        <w:tc>
          <w:tcPr>
            <w:tcW w:w="538" w:type="dxa"/>
            <w:vMerge w:val="restart"/>
          </w:tcPr>
          <w:p w14:paraId="4425258D" w14:textId="77777777" w:rsidR="00BE36FB" w:rsidRPr="009B7B35" w:rsidRDefault="00BE36FB" w:rsidP="001A7107">
            <w:pPr>
              <w:rPr>
                <w:rFonts w:cs="Arial"/>
                <w:sz w:val="20"/>
                <w:szCs w:val="20"/>
              </w:rPr>
            </w:pPr>
            <w:r w:rsidRPr="009B7B35">
              <w:rPr>
                <w:rFonts w:cs="Arial"/>
                <w:sz w:val="20"/>
                <w:szCs w:val="20"/>
              </w:rPr>
              <w:t>2.5</w:t>
            </w:r>
          </w:p>
        </w:tc>
        <w:tc>
          <w:tcPr>
            <w:tcW w:w="1119" w:type="dxa"/>
            <w:vMerge w:val="restart"/>
          </w:tcPr>
          <w:p w14:paraId="601E6577" w14:textId="77777777" w:rsidR="00BE36FB" w:rsidRPr="009B7B35" w:rsidRDefault="00BE36FB" w:rsidP="001A7107">
            <w:pPr>
              <w:rPr>
                <w:rFonts w:cs="Arial"/>
                <w:sz w:val="20"/>
                <w:szCs w:val="20"/>
              </w:rPr>
            </w:pPr>
            <w:r w:rsidRPr="009B7B35">
              <w:rPr>
                <w:rFonts w:cs="Arial"/>
                <w:sz w:val="20"/>
                <w:szCs w:val="20"/>
              </w:rPr>
              <w:t>Minimum setbacks</w:t>
            </w:r>
          </w:p>
        </w:tc>
        <w:tc>
          <w:tcPr>
            <w:tcW w:w="753" w:type="dxa"/>
            <w:vMerge w:val="restart"/>
          </w:tcPr>
          <w:p w14:paraId="09277EDE" w14:textId="77777777" w:rsidR="00BE36FB" w:rsidRPr="009B7B35" w:rsidRDefault="00BE36FB" w:rsidP="001A7107">
            <w:pPr>
              <w:rPr>
                <w:rFonts w:cs="Arial"/>
                <w:sz w:val="20"/>
                <w:szCs w:val="20"/>
              </w:rPr>
            </w:pPr>
            <w:r w:rsidRPr="009B7B35">
              <w:rPr>
                <w:rFonts w:cs="Arial"/>
                <w:sz w:val="20"/>
                <w:szCs w:val="20"/>
              </w:rPr>
              <w:t>Front</w:t>
            </w:r>
          </w:p>
        </w:tc>
        <w:tc>
          <w:tcPr>
            <w:tcW w:w="2835" w:type="dxa"/>
          </w:tcPr>
          <w:p w14:paraId="4B3ACF0F" w14:textId="77777777" w:rsidR="00BE36FB" w:rsidRPr="009B7B35" w:rsidRDefault="00BE36FB" w:rsidP="001A7107">
            <w:pPr>
              <w:rPr>
                <w:rFonts w:cs="Arial"/>
                <w:sz w:val="20"/>
                <w:szCs w:val="20"/>
              </w:rPr>
            </w:pPr>
            <w:r w:rsidRPr="009B7B35">
              <w:rPr>
                <w:rFonts w:cs="Arial"/>
                <w:sz w:val="20"/>
                <w:szCs w:val="20"/>
              </w:rPr>
              <w:t>3m (OMP and including all street frontages where a corner lot).</w:t>
            </w:r>
          </w:p>
        </w:tc>
        <w:tc>
          <w:tcPr>
            <w:tcW w:w="4111" w:type="dxa"/>
            <w:vMerge/>
            <w:tcBorders>
              <w:bottom w:val="nil"/>
              <w:right w:val="nil"/>
            </w:tcBorders>
          </w:tcPr>
          <w:p w14:paraId="2A264612" w14:textId="77777777" w:rsidR="00BE36FB" w:rsidRPr="009B7B35" w:rsidRDefault="00BE36FB" w:rsidP="001A7107">
            <w:pPr>
              <w:rPr>
                <w:rFonts w:cs="Arial"/>
                <w:sz w:val="20"/>
                <w:szCs w:val="20"/>
              </w:rPr>
            </w:pPr>
          </w:p>
        </w:tc>
      </w:tr>
      <w:tr w:rsidR="00BE36FB" w:rsidRPr="009B7B35" w14:paraId="498A34DC" w14:textId="77777777" w:rsidTr="001A7107">
        <w:tc>
          <w:tcPr>
            <w:tcW w:w="538" w:type="dxa"/>
            <w:vMerge/>
          </w:tcPr>
          <w:p w14:paraId="509AC00D" w14:textId="77777777" w:rsidR="00BE36FB" w:rsidRPr="009B7B35" w:rsidRDefault="00BE36FB" w:rsidP="001A7107">
            <w:pPr>
              <w:rPr>
                <w:rFonts w:cs="Arial"/>
                <w:sz w:val="20"/>
                <w:szCs w:val="20"/>
              </w:rPr>
            </w:pPr>
          </w:p>
        </w:tc>
        <w:tc>
          <w:tcPr>
            <w:tcW w:w="1119" w:type="dxa"/>
            <w:vMerge/>
          </w:tcPr>
          <w:p w14:paraId="5BC68837" w14:textId="77777777" w:rsidR="00BE36FB" w:rsidRPr="009B7B35" w:rsidRDefault="00BE36FB" w:rsidP="001A7107">
            <w:pPr>
              <w:rPr>
                <w:rFonts w:cs="Arial"/>
                <w:sz w:val="20"/>
                <w:szCs w:val="20"/>
              </w:rPr>
            </w:pPr>
          </w:p>
        </w:tc>
        <w:tc>
          <w:tcPr>
            <w:tcW w:w="753" w:type="dxa"/>
            <w:vMerge/>
          </w:tcPr>
          <w:p w14:paraId="6A64897C" w14:textId="77777777" w:rsidR="00BE36FB" w:rsidRPr="009B7B35" w:rsidRDefault="00BE36FB" w:rsidP="001A7107">
            <w:pPr>
              <w:rPr>
                <w:rFonts w:cs="Arial"/>
                <w:sz w:val="20"/>
                <w:szCs w:val="20"/>
              </w:rPr>
            </w:pPr>
          </w:p>
        </w:tc>
        <w:tc>
          <w:tcPr>
            <w:tcW w:w="2835" w:type="dxa"/>
          </w:tcPr>
          <w:p w14:paraId="2DFB3C47" w14:textId="77777777" w:rsidR="00BE36FB" w:rsidRPr="009B7B35" w:rsidRDefault="00BE36FB" w:rsidP="001A7107">
            <w:pPr>
              <w:rPr>
                <w:rFonts w:cs="Arial"/>
                <w:sz w:val="20"/>
                <w:szCs w:val="20"/>
              </w:rPr>
            </w:pPr>
            <w:r w:rsidRPr="009B7B35">
              <w:rPr>
                <w:rFonts w:cs="Arial"/>
                <w:sz w:val="20"/>
                <w:szCs w:val="20"/>
              </w:rPr>
              <w:t>5m to garage.</w:t>
            </w:r>
          </w:p>
        </w:tc>
        <w:tc>
          <w:tcPr>
            <w:tcW w:w="4111" w:type="dxa"/>
            <w:vMerge/>
            <w:tcBorders>
              <w:bottom w:val="nil"/>
              <w:right w:val="nil"/>
            </w:tcBorders>
          </w:tcPr>
          <w:p w14:paraId="1A444EA8" w14:textId="77777777" w:rsidR="00BE36FB" w:rsidRPr="009B7B35" w:rsidRDefault="00BE36FB" w:rsidP="001A7107">
            <w:pPr>
              <w:rPr>
                <w:rFonts w:cs="Arial"/>
                <w:sz w:val="20"/>
                <w:szCs w:val="20"/>
              </w:rPr>
            </w:pPr>
          </w:p>
        </w:tc>
      </w:tr>
      <w:tr w:rsidR="00BE36FB" w:rsidRPr="009B7B35" w14:paraId="7C60577C" w14:textId="77777777" w:rsidTr="001A7107">
        <w:tc>
          <w:tcPr>
            <w:tcW w:w="538" w:type="dxa"/>
            <w:vMerge/>
          </w:tcPr>
          <w:p w14:paraId="561AADBE" w14:textId="77777777" w:rsidR="00BE36FB" w:rsidRPr="009B7B35" w:rsidRDefault="00BE36FB" w:rsidP="001A7107">
            <w:pPr>
              <w:rPr>
                <w:rFonts w:cs="Arial"/>
                <w:sz w:val="20"/>
                <w:szCs w:val="20"/>
              </w:rPr>
            </w:pPr>
          </w:p>
        </w:tc>
        <w:tc>
          <w:tcPr>
            <w:tcW w:w="1119" w:type="dxa"/>
            <w:vMerge/>
          </w:tcPr>
          <w:p w14:paraId="58883959" w14:textId="77777777" w:rsidR="00BE36FB" w:rsidRPr="009B7B35" w:rsidRDefault="00BE36FB" w:rsidP="001A7107">
            <w:pPr>
              <w:rPr>
                <w:rFonts w:cs="Arial"/>
                <w:sz w:val="20"/>
                <w:szCs w:val="20"/>
              </w:rPr>
            </w:pPr>
          </w:p>
        </w:tc>
        <w:tc>
          <w:tcPr>
            <w:tcW w:w="753" w:type="dxa"/>
          </w:tcPr>
          <w:p w14:paraId="7D0CF7AD" w14:textId="77777777" w:rsidR="00BE36FB" w:rsidRPr="009B7B35" w:rsidRDefault="00BE36FB" w:rsidP="001A7107">
            <w:pPr>
              <w:rPr>
                <w:rFonts w:cs="Arial"/>
                <w:sz w:val="20"/>
                <w:szCs w:val="20"/>
              </w:rPr>
            </w:pPr>
            <w:r w:rsidRPr="009B7B35">
              <w:rPr>
                <w:rFonts w:cs="Arial"/>
                <w:sz w:val="20"/>
                <w:szCs w:val="20"/>
              </w:rPr>
              <w:t>Rear</w:t>
            </w:r>
          </w:p>
        </w:tc>
        <w:tc>
          <w:tcPr>
            <w:tcW w:w="2835" w:type="dxa"/>
          </w:tcPr>
          <w:p w14:paraId="75869AB6" w14:textId="77777777" w:rsidR="00BE36FB" w:rsidRPr="009B7B35" w:rsidRDefault="00BE36FB" w:rsidP="001A7107">
            <w:pPr>
              <w:rPr>
                <w:rFonts w:cs="Arial"/>
                <w:sz w:val="20"/>
                <w:szCs w:val="20"/>
              </w:rPr>
            </w:pPr>
            <w:r w:rsidRPr="009B7B35">
              <w:rPr>
                <w:rFonts w:cs="Arial"/>
                <w:sz w:val="20"/>
                <w:szCs w:val="20"/>
              </w:rPr>
              <w:t>6m (where not on a corner lot).</w:t>
            </w:r>
          </w:p>
        </w:tc>
        <w:tc>
          <w:tcPr>
            <w:tcW w:w="4111" w:type="dxa"/>
            <w:vMerge/>
            <w:tcBorders>
              <w:bottom w:val="nil"/>
              <w:right w:val="nil"/>
            </w:tcBorders>
          </w:tcPr>
          <w:p w14:paraId="47EA237D" w14:textId="77777777" w:rsidR="00BE36FB" w:rsidRPr="009B7B35" w:rsidRDefault="00BE36FB" w:rsidP="001A7107">
            <w:pPr>
              <w:rPr>
                <w:rFonts w:cs="Arial"/>
                <w:sz w:val="20"/>
                <w:szCs w:val="20"/>
              </w:rPr>
            </w:pPr>
          </w:p>
        </w:tc>
      </w:tr>
      <w:tr w:rsidR="00BE36FB" w:rsidRPr="009B7B35" w14:paraId="4A9711AA" w14:textId="77777777" w:rsidTr="001A7107">
        <w:tc>
          <w:tcPr>
            <w:tcW w:w="538" w:type="dxa"/>
            <w:vMerge/>
          </w:tcPr>
          <w:p w14:paraId="17093187" w14:textId="77777777" w:rsidR="00BE36FB" w:rsidRPr="009B7B35" w:rsidRDefault="00BE36FB" w:rsidP="001A7107">
            <w:pPr>
              <w:rPr>
                <w:rFonts w:cs="Arial"/>
                <w:sz w:val="20"/>
                <w:szCs w:val="20"/>
              </w:rPr>
            </w:pPr>
          </w:p>
        </w:tc>
        <w:tc>
          <w:tcPr>
            <w:tcW w:w="1119" w:type="dxa"/>
            <w:vMerge/>
          </w:tcPr>
          <w:p w14:paraId="56BDB6B9" w14:textId="77777777" w:rsidR="00BE36FB" w:rsidRPr="009B7B35" w:rsidRDefault="00BE36FB" w:rsidP="001A7107">
            <w:pPr>
              <w:rPr>
                <w:rFonts w:cs="Arial"/>
                <w:sz w:val="20"/>
                <w:szCs w:val="20"/>
              </w:rPr>
            </w:pPr>
          </w:p>
        </w:tc>
        <w:tc>
          <w:tcPr>
            <w:tcW w:w="753" w:type="dxa"/>
          </w:tcPr>
          <w:p w14:paraId="4717B744" w14:textId="77777777" w:rsidR="00BE36FB" w:rsidRPr="009B7B35" w:rsidRDefault="00BE36FB" w:rsidP="001A7107">
            <w:pPr>
              <w:rPr>
                <w:rFonts w:cs="Arial"/>
                <w:sz w:val="20"/>
                <w:szCs w:val="20"/>
              </w:rPr>
            </w:pPr>
            <w:r w:rsidRPr="009B7B35">
              <w:rPr>
                <w:rFonts w:cs="Arial"/>
                <w:sz w:val="20"/>
                <w:szCs w:val="20"/>
              </w:rPr>
              <w:t>Side</w:t>
            </w:r>
          </w:p>
        </w:tc>
        <w:tc>
          <w:tcPr>
            <w:tcW w:w="2835" w:type="dxa"/>
          </w:tcPr>
          <w:p w14:paraId="73DE804B" w14:textId="77777777" w:rsidR="00BE36FB" w:rsidRPr="009B7B35" w:rsidRDefault="00BE36FB" w:rsidP="001A7107">
            <w:pPr>
              <w:rPr>
                <w:rFonts w:cs="Arial"/>
                <w:sz w:val="20"/>
                <w:szCs w:val="20"/>
              </w:rPr>
            </w:pPr>
            <w:r w:rsidRPr="009B7B35">
              <w:rPr>
                <w:rFonts w:cs="Arial"/>
                <w:sz w:val="20"/>
                <w:szCs w:val="20"/>
              </w:rPr>
              <w:t>1.5m not including eaves.</w:t>
            </w:r>
          </w:p>
        </w:tc>
        <w:tc>
          <w:tcPr>
            <w:tcW w:w="4111" w:type="dxa"/>
            <w:vMerge/>
            <w:tcBorders>
              <w:bottom w:val="nil"/>
              <w:right w:val="nil"/>
            </w:tcBorders>
          </w:tcPr>
          <w:p w14:paraId="39ECC039" w14:textId="77777777" w:rsidR="00BE36FB" w:rsidRPr="009B7B35" w:rsidRDefault="00BE36FB" w:rsidP="001A7107">
            <w:pPr>
              <w:rPr>
                <w:rFonts w:cs="Arial"/>
                <w:sz w:val="20"/>
                <w:szCs w:val="20"/>
              </w:rPr>
            </w:pPr>
          </w:p>
        </w:tc>
      </w:tr>
      <w:tr w:rsidR="00BE36FB" w:rsidRPr="009B7B35" w14:paraId="269632FF" w14:textId="77777777" w:rsidTr="001A7107">
        <w:tc>
          <w:tcPr>
            <w:tcW w:w="538" w:type="dxa"/>
          </w:tcPr>
          <w:p w14:paraId="208D8120" w14:textId="77777777" w:rsidR="00BE36FB" w:rsidRPr="009B7B35" w:rsidRDefault="00BE36FB" w:rsidP="001A7107">
            <w:pPr>
              <w:rPr>
                <w:rFonts w:cs="Arial"/>
                <w:sz w:val="20"/>
                <w:szCs w:val="20"/>
              </w:rPr>
            </w:pPr>
            <w:r w:rsidRPr="009B7B35">
              <w:rPr>
                <w:rFonts w:cs="Arial"/>
                <w:sz w:val="20"/>
                <w:szCs w:val="20"/>
              </w:rPr>
              <w:t>2.6</w:t>
            </w:r>
          </w:p>
        </w:tc>
        <w:tc>
          <w:tcPr>
            <w:tcW w:w="1872" w:type="dxa"/>
            <w:gridSpan w:val="2"/>
          </w:tcPr>
          <w:p w14:paraId="6F9F5E59" w14:textId="77777777" w:rsidR="00BE36FB" w:rsidRPr="009B7B35" w:rsidRDefault="00BE36FB" w:rsidP="001A7107">
            <w:pPr>
              <w:rPr>
                <w:rFonts w:cs="Arial"/>
                <w:sz w:val="20"/>
                <w:szCs w:val="20"/>
              </w:rPr>
            </w:pPr>
            <w:r w:rsidRPr="009B7B35">
              <w:rPr>
                <w:rFonts w:cs="Arial"/>
                <w:sz w:val="20"/>
                <w:szCs w:val="20"/>
              </w:rPr>
              <w:t>Built to boundary walls</w:t>
            </w:r>
          </w:p>
        </w:tc>
        <w:tc>
          <w:tcPr>
            <w:tcW w:w="2835" w:type="dxa"/>
          </w:tcPr>
          <w:p w14:paraId="4FF35F3D" w14:textId="77777777" w:rsidR="00BE36FB" w:rsidRPr="009B7B35" w:rsidRDefault="00BE36FB" w:rsidP="001A7107">
            <w:pPr>
              <w:rPr>
                <w:rFonts w:cs="Arial"/>
                <w:sz w:val="20"/>
                <w:szCs w:val="20"/>
              </w:rPr>
            </w:pPr>
            <w:r w:rsidRPr="009B7B35">
              <w:rPr>
                <w:rFonts w:cs="Arial"/>
                <w:sz w:val="20"/>
                <w:szCs w:val="20"/>
              </w:rPr>
              <w:t>Limited to 1 side boundary and must contain no windows, openings or glazing.</w:t>
            </w:r>
          </w:p>
          <w:p w14:paraId="46997802" w14:textId="77777777" w:rsidR="00BE36FB" w:rsidRPr="009B7B35" w:rsidRDefault="00BE36FB" w:rsidP="001A7107">
            <w:pPr>
              <w:rPr>
                <w:rFonts w:cs="Arial"/>
                <w:sz w:val="20"/>
                <w:szCs w:val="20"/>
              </w:rPr>
            </w:pPr>
            <w:r w:rsidRPr="009B7B35">
              <w:rPr>
                <w:rFonts w:cs="Arial"/>
                <w:sz w:val="20"/>
                <w:szCs w:val="20"/>
              </w:rPr>
              <w:t>Maximum length 10m and maximum height 3.5m.</w:t>
            </w:r>
          </w:p>
        </w:tc>
        <w:tc>
          <w:tcPr>
            <w:tcW w:w="4111" w:type="dxa"/>
            <w:vMerge/>
            <w:tcBorders>
              <w:bottom w:val="nil"/>
              <w:right w:val="nil"/>
            </w:tcBorders>
          </w:tcPr>
          <w:p w14:paraId="089DBE32" w14:textId="77777777" w:rsidR="00BE36FB" w:rsidRPr="009B7B35" w:rsidRDefault="00BE36FB" w:rsidP="001A7107">
            <w:pPr>
              <w:rPr>
                <w:rFonts w:cs="Arial"/>
                <w:sz w:val="20"/>
                <w:szCs w:val="20"/>
              </w:rPr>
            </w:pPr>
          </w:p>
        </w:tc>
      </w:tr>
    </w:tbl>
    <w:p w14:paraId="6B2F2844"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0B28AB6C" w14:textId="77777777" w:rsidR="00BE36FB" w:rsidRPr="009B7B35" w:rsidRDefault="00BE36FB" w:rsidP="00B5414A">
      <w:pPr>
        <w:pStyle w:val="Heading5"/>
        <w:numPr>
          <w:ilvl w:val="0"/>
          <w:numId w:val="0"/>
        </w:numPr>
        <w:rPr>
          <w:rFonts w:cs="Arial"/>
          <w:szCs w:val="20"/>
        </w:rPr>
      </w:pPr>
      <w:r w:rsidRPr="009B7B35">
        <w:rPr>
          <w:rFonts w:cs="Arial"/>
          <w:szCs w:val="20"/>
        </w:rPr>
        <w:t>Figure 3—Multiple dwelling: Townhouses</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2999"/>
        <w:gridCol w:w="5364"/>
      </w:tblGrid>
      <w:tr w:rsidR="00BE36FB" w:rsidRPr="009B7B35" w14:paraId="42441D86" w14:textId="77777777" w:rsidTr="001A7107">
        <w:tc>
          <w:tcPr>
            <w:tcW w:w="3828" w:type="dxa"/>
            <w:vAlign w:val="center"/>
          </w:tcPr>
          <w:p w14:paraId="3245054F" w14:textId="77777777" w:rsidR="00BE36FB" w:rsidRPr="009B7B35" w:rsidRDefault="00BE36FB">
            <w:pPr>
              <w:rPr>
                <w:rFonts w:cs="Arial"/>
                <w:sz w:val="20"/>
                <w:szCs w:val="20"/>
              </w:rPr>
            </w:pPr>
            <w:r w:rsidRPr="009B7B35">
              <w:rPr>
                <w:rFonts w:cs="Arial"/>
                <w:sz w:val="20"/>
                <w:szCs w:val="20"/>
              </w:rPr>
              <w:t>This building type provides for attached dwellings at a low medium density on larger lots where street frontage is limited. Their compatibility with other lower density housing in terms of height and scale makes them ideal for integration into new neighbourhoods or existing residential areas. Vehicle access is from a single driveway with an internal road to car accommodation which is concealed with a building.</w:t>
            </w:r>
          </w:p>
        </w:tc>
        <w:tc>
          <w:tcPr>
            <w:tcW w:w="5528" w:type="dxa"/>
          </w:tcPr>
          <w:p w14:paraId="1CE96E95" w14:textId="77777777" w:rsidR="00BE36FB" w:rsidRPr="009B7B35" w:rsidRDefault="00BE36FB" w:rsidP="001A7107">
            <w:pPr>
              <w:jc w:val="right"/>
              <w:rPr>
                <w:rFonts w:cs="Arial"/>
                <w:sz w:val="20"/>
                <w:szCs w:val="20"/>
              </w:rPr>
            </w:pPr>
            <w:r w:rsidRPr="009B7B35">
              <w:rPr>
                <w:rFonts w:cs="Arial"/>
                <w:noProof/>
                <w:sz w:val="20"/>
                <w:szCs w:val="20"/>
              </w:rPr>
              <w:drawing>
                <wp:inline distT="0" distB="0" distL="0" distR="0" wp14:anchorId="19604C3E" wp14:editId="1E59A8D6">
                  <wp:extent cx="3150974" cy="1742536"/>
                  <wp:effectExtent l="0" t="0" r="0" b="0"/>
                  <wp:docPr id="24" name="Picture 24" descr="Block Mix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ck Mix 0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51326" cy="1742731"/>
                          </a:xfrm>
                          <a:prstGeom prst="rect">
                            <a:avLst/>
                          </a:prstGeom>
                          <a:noFill/>
                          <a:ln>
                            <a:noFill/>
                          </a:ln>
                        </pic:spPr>
                      </pic:pic>
                    </a:graphicData>
                  </a:graphic>
                </wp:inline>
              </w:drawing>
            </w:r>
          </w:p>
        </w:tc>
      </w:tr>
    </w:tbl>
    <w:p w14:paraId="4A2D7DE3" w14:textId="77777777" w:rsidR="00BE36FB" w:rsidRPr="009B7B35" w:rsidRDefault="00BE36FB" w:rsidP="001A7107">
      <w:pPr>
        <w:rPr>
          <w:rFonts w:ascii="Arial" w:hAnsi="Arial" w:cs="Arial"/>
          <w:sz w:val="20"/>
          <w:szCs w:val="20"/>
        </w:rPr>
      </w:pPr>
    </w:p>
    <w:p w14:paraId="4E434FFF" w14:textId="77777777"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68"/>
        <w:gridCol w:w="1026"/>
        <w:gridCol w:w="670"/>
        <w:gridCol w:w="2091"/>
        <w:gridCol w:w="4108"/>
      </w:tblGrid>
      <w:tr w:rsidR="00BE36FB" w:rsidRPr="009B7B35" w14:paraId="4D5C915D" w14:textId="77777777"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tcPr>
          <w:p w14:paraId="0760BE02" w14:textId="77777777" w:rsidR="00BE36FB" w:rsidRPr="009B7B35" w:rsidRDefault="00BE36FB" w:rsidP="001A7107">
            <w:pPr>
              <w:pStyle w:val="Tableheading"/>
              <w:rPr>
                <w:rFonts w:ascii="Arial" w:hAnsi="Arial" w:cs="Arial"/>
                <w:szCs w:val="20"/>
              </w:rPr>
            </w:pPr>
            <w:r w:rsidRPr="009B7B35">
              <w:rPr>
                <w:rFonts w:ascii="Arial" w:hAnsi="Arial" w:cs="Arial"/>
                <w:szCs w:val="20"/>
              </w:rPr>
              <w:t>Element</w:t>
            </w:r>
          </w:p>
        </w:tc>
        <w:tc>
          <w:tcPr>
            <w:tcW w:w="2835" w:type="dxa"/>
          </w:tcPr>
          <w:p w14:paraId="25661A6F"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1" w:type="dxa"/>
            <w:vMerge w:val="restart"/>
            <w:tcBorders>
              <w:top w:val="nil"/>
              <w:right w:val="nil"/>
            </w:tcBorders>
          </w:tcPr>
          <w:p w14:paraId="5910E7A5" w14:textId="77777777" w:rsidR="00BE36FB" w:rsidRPr="009B7B35" w:rsidRDefault="00BE36FB" w:rsidP="001A7107">
            <w:pPr>
              <w:pStyle w:val="TableText"/>
              <w:rPr>
                <w:rFonts w:cs="Arial"/>
              </w:rPr>
            </w:pPr>
            <w:r w:rsidRPr="009B7B35">
              <w:rPr>
                <w:rFonts w:cs="Arial"/>
                <w:noProof/>
              </w:rPr>
              <w:drawing>
                <wp:inline distT="0" distB="0" distL="0" distR="0" wp14:anchorId="70AEEA10" wp14:editId="01565D3B">
                  <wp:extent cx="2527300" cy="4175125"/>
                  <wp:effectExtent l="0" t="0" r="6350" b="0"/>
                  <wp:docPr id="26" name="Picture 26" descr="130909_Typologies_100_MULTIPLE DWEL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0909_Typologies_100_MULTIPLE DWELLING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27300" cy="4175125"/>
                          </a:xfrm>
                          <a:prstGeom prst="rect">
                            <a:avLst/>
                          </a:prstGeom>
                          <a:noFill/>
                          <a:ln>
                            <a:noFill/>
                          </a:ln>
                        </pic:spPr>
                      </pic:pic>
                    </a:graphicData>
                  </a:graphic>
                </wp:inline>
              </w:drawing>
            </w:r>
          </w:p>
          <w:p w14:paraId="78937E2E" w14:textId="77777777" w:rsidR="00BE36FB" w:rsidRPr="009B7B35" w:rsidRDefault="00BE36FB" w:rsidP="001A7107">
            <w:pPr>
              <w:pStyle w:val="TableText"/>
              <w:rPr>
                <w:rFonts w:cs="Arial"/>
              </w:rPr>
            </w:pPr>
            <w:r w:rsidRPr="009B7B35">
              <w:rPr>
                <w:rFonts w:cs="Arial"/>
                <w:noProof/>
              </w:rPr>
              <w:drawing>
                <wp:inline distT="0" distB="0" distL="0" distR="0" wp14:anchorId="694345D2" wp14:editId="54DA7BA1">
                  <wp:extent cx="2527300" cy="526415"/>
                  <wp:effectExtent l="0" t="0" r="6350" b="6985"/>
                  <wp:docPr id="27" name="Picture 27"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ypologies_Legend-h"/>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7300" cy="526415"/>
                          </a:xfrm>
                          <a:prstGeom prst="rect">
                            <a:avLst/>
                          </a:prstGeom>
                          <a:noFill/>
                          <a:ln>
                            <a:noFill/>
                          </a:ln>
                        </pic:spPr>
                      </pic:pic>
                    </a:graphicData>
                  </a:graphic>
                </wp:inline>
              </w:drawing>
            </w:r>
          </w:p>
        </w:tc>
      </w:tr>
      <w:tr w:rsidR="00BE36FB" w:rsidRPr="009B7B35" w14:paraId="184D6B10" w14:textId="77777777" w:rsidTr="001A7107">
        <w:tc>
          <w:tcPr>
            <w:tcW w:w="538" w:type="dxa"/>
          </w:tcPr>
          <w:p w14:paraId="734170ED" w14:textId="77777777" w:rsidR="00BE36FB" w:rsidRPr="009B7B35" w:rsidRDefault="00BE36FB" w:rsidP="001A7107">
            <w:pPr>
              <w:pStyle w:val="TableText"/>
              <w:rPr>
                <w:rFonts w:cs="Arial"/>
              </w:rPr>
            </w:pPr>
            <w:r w:rsidRPr="009B7B35">
              <w:rPr>
                <w:rFonts w:cs="Arial"/>
              </w:rPr>
              <w:t>3.1</w:t>
            </w:r>
          </w:p>
        </w:tc>
        <w:tc>
          <w:tcPr>
            <w:tcW w:w="1872" w:type="dxa"/>
            <w:gridSpan w:val="2"/>
          </w:tcPr>
          <w:p w14:paraId="309633A0" w14:textId="77777777" w:rsidR="00BE36FB" w:rsidRPr="009B7B35" w:rsidRDefault="00BE36FB" w:rsidP="001A7107">
            <w:pPr>
              <w:pStyle w:val="TableText"/>
              <w:rPr>
                <w:rFonts w:cs="Arial"/>
              </w:rPr>
            </w:pPr>
            <w:r w:rsidRPr="009B7B35">
              <w:rPr>
                <w:rFonts w:cs="Arial"/>
              </w:rPr>
              <w:t>Minimum frontage</w:t>
            </w:r>
          </w:p>
        </w:tc>
        <w:tc>
          <w:tcPr>
            <w:tcW w:w="2835" w:type="dxa"/>
          </w:tcPr>
          <w:p w14:paraId="0D4760F6" w14:textId="77777777" w:rsidR="00BE36FB" w:rsidRPr="009B7B35" w:rsidRDefault="00BE36FB" w:rsidP="001A7107">
            <w:pPr>
              <w:pStyle w:val="TableText"/>
              <w:rPr>
                <w:rFonts w:cs="Arial"/>
              </w:rPr>
            </w:pPr>
            <w:r w:rsidRPr="009B7B35">
              <w:rPr>
                <w:rFonts w:cs="Arial"/>
              </w:rPr>
              <w:t>30m</w:t>
            </w:r>
          </w:p>
        </w:tc>
        <w:tc>
          <w:tcPr>
            <w:tcW w:w="4111" w:type="dxa"/>
            <w:vMerge/>
            <w:tcBorders>
              <w:right w:val="nil"/>
            </w:tcBorders>
          </w:tcPr>
          <w:p w14:paraId="065F7D0F" w14:textId="77777777" w:rsidR="00BE36FB" w:rsidRPr="009B7B35" w:rsidRDefault="00BE36FB" w:rsidP="001A7107">
            <w:pPr>
              <w:pStyle w:val="TableText"/>
              <w:rPr>
                <w:rFonts w:cs="Arial"/>
              </w:rPr>
            </w:pPr>
          </w:p>
        </w:tc>
      </w:tr>
      <w:tr w:rsidR="00BE36FB" w:rsidRPr="009B7B35" w14:paraId="63895068" w14:textId="77777777" w:rsidTr="001A7107">
        <w:tc>
          <w:tcPr>
            <w:tcW w:w="538" w:type="dxa"/>
          </w:tcPr>
          <w:p w14:paraId="6D110AA5" w14:textId="77777777" w:rsidR="00BE36FB" w:rsidRPr="009B7B35" w:rsidRDefault="00BE36FB" w:rsidP="001A7107">
            <w:pPr>
              <w:pStyle w:val="TableText"/>
              <w:rPr>
                <w:rFonts w:cs="Arial"/>
              </w:rPr>
            </w:pPr>
            <w:r w:rsidRPr="009B7B35">
              <w:rPr>
                <w:rFonts w:cs="Arial"/>
              </w:rPr>
              <w:t>3.2</w:t>
            </w:r>
          </w:p>
        </w:tc>
        <w:tc>
          <w:tcPr>
            <w:tcW w:w="1872" w:type="dxa"/>
            <w:gridSpan w:val="2"/>
          </w:tcPr>
          <w:p w14:paraId="41D240DF" w14:textId="77777777" w:rsidR="00BE36FB" w:rsidRPr="009B7B35" w:rsidRDefault="00BE36FB" w:rsidP="001A7107">
            <w:pPr>
              <w:pStyle w:val="TableText"/>
              <w:rPr>
                <w:rFonts w:cs="Arial"/>
              </w:rPr>
            </w:pPr>
            <w:r w:rsidRPr="009B7B35">
              <w:rPr>
                <w:rFonts w:cs="Arial"/>
              </w:rPr>
              <w:t>Minimum area</w:t>
            </w:r>
          </w:p>
        </w:tc>
        <w:tc>
          <w:tcPr>
            <w:tcW w:w="2835" w:type="dxa"/>
          </w:tcPr>
          <w:p w14:paraId="3A0F7843" w14:textId="77777777" w:rsidR="00BE36FB" w:rsidRPr="009B7B35" w:rsidRDefault="00BE36FB" w:rsidP="001A7107">
            <w:pPr>
              <w:rPr>
                <w:rFonts w:cs="Arial"/>
                <w:sz w:val="20"/>
                <w:szCs w:val="20"/>
              </w:rPr>
            </w:pPr>
            <w:r w:rsidRPr="009B7B35">
              <w:rPr>
                <w:rFonts w:cs="Arial"/>
                <w:sz w:val="20"/>
                <w:szCs w:val="20"/>
              </w:rPr>
              <w:t>1,200m</w:t>
            </w:r>
            <w:r w:rsidRPr="009B7B35">
              <w:rPr>
                <w:rStyle w:val="StyleSuperscript"/>
                <w:rFonts w:cs="Arial"/>
                <w:szCs w:val="20"/>
              </w:rPr>
              <w:t>2</w:t>
            </w:r>
          </w:p>
        </w:tc>
        <w:tc>
          <w:tcPr>
            <w:tcW w:w="4111" w:type="dxa"/>
            <w:vMerge/>
            <w:tcBorders>
              <w:right w:val="nil"/>
            </w:tcBorders>
          </w:tcPr>
          <w:p w14:paraId="7E858697" w14:textId="77777777" w:rsidR="00BE36FB" w:rsidRPr="009B7B35" w:rsidRDefault="00BE36FB" w:rsidP="001A7107">
            <w:pPr>
              <w:pStyle w:val="TableText"/>
              <w:rPr>
                <w:rFonts w:cs="Arial"/>
              </w:rPr>
            </w:pPr>
          </w:p>
        </w:tc>
      </w:tr>
      <w:tr w:rsidR="00BE36FB" w:rsidRPr="009B7B35" w14:paraId="028CB595" w14:textId="77777777" w:rsidTr="001A7107">
        <w:tc>
          <w:tcPr>
            <w:tcW w:w="538" w:type="dxa"/>
          </w:tcPr>
          <w:p w14:paraId="25DE81DF" w14:textId="77777777" w:rsidR="00BE36FB" w:rsidRPr="009B7B35" w:rsidRDefault="00BE36FB" w:rsidP="001A7107">
            <w:pPr>
              <w:pStyle w:val="TableText"/>
              <w:rPr>
                <w:rFonts w:cs="Arial"/>
              </w:rPr>
            </w:pPr>
            <w:r w:rsidRPr="009B7B35">
              <w:rPr>
                <w:rFonts w:cs="Arial"/>
              </w:rPr>
              <w:t>3.3</w:t>
            </w:r>
          </w:p>
        </w:tc>
        <w:tc>
          <w:tcPr>
            <w:tcW w:w="1872" w:type="dxa"/>
            <w:gridSpan w:val="2"/>
          </w:tcPr>
          <w:p w14:paraId="6429048D" w14:textId="77777777" w:rsidR="00BE36FB" w:rsidRPr="009B7B35" w:rsidRDefault="00BE36FB" w:rsidP="001A7107">
            <w:pPr>
              <w:pStyle w:val="TableText"/>
              <w:rPr>
                <w:rFonts w:cs="Arial"/>
              </w:rPr>
            </w:pPr>
            <w:r w:rsidRPr="009B7B35">
              <w:rPr>
                <w:rFonts w:cs="Arial"/>
              </w:rPr>
              <w:t>Maximum site cover</w:t>
            </w:r>
          </w:p>
        </w:tc>
        <w:tc>
          <w:tcPr>
            <w:tcW w:w="2835" w:type="dxa"/>
          </w:tcPr>
          <w:p w14:paraId="14A08C70" w14:textId="77777777" w:rsidR="00BE36FB" w:rsidRPr="009B7B35" w:rsidRDefault="00BE36FB" w:rsidP="001A7107">
            <w:pPr>
              <w:pStyle w:val="TableText"/>
              <w:rPr>
                <w:rFonts w:cs="Arial"/>
              </w:rPr>
            </w:pPr>
            <w:r w:rsidRPr="009B7B35">
              <w:rPr>
                <w:rFonts w:cs="Arial"/>
              </w:rPr>
              <w:t>50%</w:t>
            </w:r>
          </w:p>
        </w:tc>
        <w:tc>
          <w:tcPr>
            <w:tcW w:w="4111" w:type="dxa"/>
            <w:vMerge/>
            <w:tcBorders>
              <w:right w:val="nil"/>
            </w:tcBorders>
          </w:tcPr>
          <w:p w14:paraId="6E3857C9" w14:textId="77777777" w:rsidR="00BE36FB" w:rsidRPr="009B7B35" w:rsidRDefault="00BE36FB" w:rsidP="001A7107">
            <w:pPr>
              <w:pStyle w:val="TableText"/>
              <w:rPr>
                <w:rFonts w:cs="Arial"/>
              </w:rPr>
            </w:pPr>
          </w:p>
        </w:tc>
      </w:tr>
      <w:tr w:rsidR="00BE36FB" w:rsidRPr="009B7B35" w14:paraId="48B84145" w14:textId="77777777" w:rsidTr="001A7107">
        <w:tc>
          <w:tcPr>
            <w:tcW w:w="538" w:type="dxa"/>
            <w:vMerge w:val="restart"/>
          </w:tcPr>
          <w:p w14:paraId="6B1EB678" w14:textId="77777777" w:rsidR="00BE36FB" w:rsidRPr="009B7B35" w:rsidRDefault="00BE36FB" w:rsidP="001A7107">
            <w:pPr>
              <w:pStyle w:val="TableText"/>
              <w:rPr>
                <w:rFonts w:cs="Arial"/>
              </w:rPr>
            </w:pPr>
            <w:r w:rsidRPr="009B7B35">
              <w:rPr>
                <w:rFonts w:cs="Arial"/>
              </w:rPr>
              <w:t>3.4</w:t>
            </w:r>
          </w:p>
        </w:tc>
        <w:tc>
          <w:tcPr>
            <w:tcW w:w="1872" w:type="dxa"/>
            <w:gridSpan w:val="2"/>
            <w:vMerge w:val="restart"/>
          </w:tcPr>
          <w:p w14:paraId="144B1348" w14:textId="77777777" w:rsidR="00BE36FB" w:rsidRPr="009B7B35" w:rsidRDefault="00BE36FB" w:rsidP="001A7107">
            <w:pPr>
              <w:pStyle w:val="TableText"/>
              <w:rPr>
                <w:rFonts w:cs="Arial"/>
              </w:rPr>
            </w:pPr>
            <w:r w:rsidRPr="009B7B35">
              <w:rPr>
                <w:rFonts w:cs="Arial"/>
              </w:rPr>
              <w:t>Minimum open space</w:t>
            </w:r>
          </w:p>
        </w:tc>
        <w:tc>
          <w:tcPr>
            <w:tcW w:w="2835" w:type="dxa"/>
          </w:tcPr>
          <w:p w14:paraId="1F2F7B1D" w14:textId="77777777" w:rsidR="00BE36FB" w:rsidRPr="009B7B35" w:rsidRDefault="00BE36FB" w:rsidP="001A7107">
            <w:pPr>
              <w:pStyle w:val="TableText"/>
              <w:rPr>
                <w:rFonts w:cs="Arial"/>
              </w:rPr>
            </w:pPr>
            <w:r w:rsidRPr="009B7B35">
              <w:rPr>
                <w:rFonts w:cs="Arial"/>
              </w:rPr>
              <w:t>30m</w:t>
            </w:r>
            <w:r w:rsidRPr="009B7B35">
              <w:rPr>
                <w:rFonts w:cs="Arial"/>
                <w:vertAlign w:val="superscript"/>
              </w:rPr>
              <w:t>2</w:t>
            </w:r>
            <w:r w:rsidRPr="009B7B35">
              <w:rPr>
                <w:rFonts w:cs="Arial"/>
              </w:rPr>
              <w:t xml:space="preserve"> private open space per dwelling with a minimum dimension of 5m in any direction.</w:t>
            </w:r>
          </w:p>
        </w:tc>
        <w:tc>
          <w:tcPr>
            <w:tcW w:w="4111" w:type="dxa"/>
            <w:vMerge/>
            <w:tcBorders>
              <w:right w:val="nil"/>
            </w:tcBorders>
          </w:tcPr>
          <w:p w14:paraId="7B92C5B9" w14:textId="77777777" w:rsidR="00BE36FB" w:rsidRPr="009B7B35" w:rsidRDefault="00BE36FB" w:rsidP="001A7107">
            <w:pPr>
              <w:pStyle w:val="TableText"/>
              <w:rPr>
                <w:rFonts w:cs="Arial"/>
              </w:rPr>
            </w:pPr>
          </w:p>
        </w:tc>
      </w:tr>
      <w:tr w:rsidR="00BE36FB" w:rsidRPr="009B7B35" w14:paraId="48E0F475" w14:textId="77777777" w:rsidTr="001A7107">
        <w:tc>
          <w:tcPr>
            <w:tcW w:w="538" w:type="dxa"/>
            <w:vMerge/>
          </w:tcPr>
          <w:p w14:paraId="5FACBFAB" w14:textId="77777777" w:rsidR="00BE36FB" w:rsidRPr="009B7B35" w:rsidRDefault="00BE36FB" w:rsidP="001A7107">
            <w:pPr>
              <w:pStyle w:val="TableText"/>
              <w:rPr>
                <w:rFonts w:cs="Arial"/>
              </w:rPr>
            </w:pPr>
          </w:p>
        </w:tc>
        <w:tc>
          <w:tcPr>
            <w:tcW w:w="1872" w:type="dxa"/>
            <w:gridSpan w:val="2"/>
            <w:vMerge/>
          </w:tcPr>
          <w:p w14:paraId="0141E787" w14:textId="77777777" w:rsidR="00BE36FB" w:rsidRPr="009B7B35" w:rsidRDefault="00BE36FB" w:rsidP="001A7107">
            <w:pPr>
              <w:pStyle w:val="TableText"/>
              <w:rPr>
                <w:rFonts w:cs="Arial"/>
              </w:rPr>
            </w:pPr>
          </w:p>
        </w:tc>
        <w:tc>
          <w:tcPr>
            <w:tcW w:w="2835" w:type="dxa"/>
          </w:tcPr>
          <w:p w14:paraId="585BE8CE" w14:textId="77777777" w:rsidR="00BE36FB" w:rsidRPr="009B7B35" w:rsidRDefault="00BE36FB" w:rsidP="001A7107">
            <w:pPr>
              <w:pStyle w:val="TableText"/>
              <w:rPr>
                <w:rFonts w:cs="Arial"/>
              </w:rPr>
            </w:pPr>
            <w:r w:rsidRPr="009B7B35">
              <w:rPr>
                <w:rFonts w:cs="Arial"/>
              </w:rPr>
              <w:t>Development greater than 18 dwelling provides a minimum communal open space area of 50m</w:t>
            </w:r>
            <w:r w:rsidRPr="009B7B35">
              <w:rPr>
                <w:rFonts w:cs="Arial"/>
                <w:vertAlign w:val="superscript"/>
              </w:rPr>
              <w:t>2</w:t>
            </w:r>
            <w:r w:rsidRPr="009B7B35">
              <w:rPr>
                <w:rFonts w:cs="Arial"/>
              </w:rPr>
              <w:t xml:space="preserve"> with a minimum dimension of 10m.</w:t>
            </w:r>
          </w:p>
        </w:tc>
        <w:tc>
          <w:tcPr>
            <w:tcW w:w="4111" w:type="dxa"/>
            <w:vMerge/>
            <w:tcBorders>
              <w:right w:val="nil"/>
            </w:tcBorders>
          </w:tcPr>
          <w:p w14:paraId="58FEFA9B" w14:textId="77777777" w:rsidR="00BE36FB" w:rsidRPr="009B7B35" w:rsidRDefault="00BE36FB" w:rsidP="001A7107">
            <w:pPr>
              <w:pStyle w:val="TableText"/>
              <w:rPr>
                <w:rFonts w:cs="Arial"/>
              </w:rPr>
            </w:pPr>
          </w:p>
        </w:tc>
      </w:tr>
      <w:tr w:rsidR="00BE36FB" w:rsidRPr="009B7B35" w14:paraId="3301BF89" w14:textId="77777777" w:rsidTr="001A7107">
        <w:tc>
          <w:tcPr>
            <w:tcW w:w="538" w:type="dxa"/>
            <w:vMerge w:val="restart"/>
          </w:tcPr>
          <w:p w14:paraId="790F18C6" w14:textId="77777777" w:rsidR="00BE36FB" w:rsidRPr="009B7B35" w:rsidRDefault="00BE36FB" w:rsidP="001A7107">
            <w:pPr>
              <w:pStyle w:val="TableText"/>
              <w:rPr>
                <w:rFonts w:cs="Arial"/>
              </w:rPr>
            </w:pPr>
            <w:r w:rsidRPr="009B7B35">
              <w:rPr>
                <w:rFonts w:cs="Arial"/>
              </w:rPr>
              <w:t>3.5</w:t>
            </w:r>
          </w:p>
        </w:tc>
        <w:tc>
          <w:tcPr>
            <w:tcW w:w="1119" w:type="dxa"/>
            <w:vMerge w:val="restart"/>
          </w:tcPr>
          <w:p w14:paraId="53364FD3" w14:textId="77777777" w:rsidR="00BE36FB" w:rsidRPr="009B7B35" w:rsidRDefault="00BE36FB" w:rsidP="001A7107">
            <w:pPr>
              <w:pStyle w:val="TableText"/>
              <w:rPr>
                <w:rFonts w:cs="Arial"/>
              </w:rPr>
            </w:pPr>
            <w:r w:rsidRPr="009B7B35">
              <w:rPr>
                <w:rFonts w:cs="Arial"/>
              </w:rPr>
              <w:t>Minimum setbacks</w:t>
            </w:r>
          </w:p>
        </w:tc>
        <w:tc>
          <w:tcPr>
            <w:tcW w:w="753" w:type="dxa"/>
            <w:vMerge w:val="restart"/>
          </w:tcPr>
          <w:p w14:paraId="65A14112" w14:textId="77777777" w:rsidR="00BE36FB" w:rsidRPr="009B7B35" w:rsidRDefault="00BE36FB" w:rsidP="001A7107">
            <w:pPr>
              <w:pStyle w:val="TableText"/>
              <w:rPr>
                <w:rFonts w:cs="Arial"/>
              </w:rPr>
            </w:pPr>
            <w:r w:rsidRPr="009B7B35">
              <w:rPr>
                <w:rFonts w:cs="Arial"/>
              </w:rPr>
              <w:t>Front</w:t>
            </w:r>
          </w:p>
        </w:tc>
        <w:tc>
          <w:tcPr>
            <w:tcW w:w="2835" w:type="dxa"/>
          </w:tcPr>
          <w:p w14:paraId="764A2D32" w14:textId="77777777" w:rsidR="00BE36FB" w:rsidRPr="009B7B35" w:rsidRDefault="00BE36FB" w:rsidP="001A7107">
            <w:pPr>
              <w:pStyle w:val="TableText"/>
              <w:rPr>
                <w:rFonts w:cs="Arial"/>
              </w:rPr>
            </w:pPr>
            <w:r w:rsidRPr="009B7B35">
              <w:rPr>
                <w:rFonts w:cs="Arial"/>
              </w:rPr>
              <w:t>3m (OMP and including all street frontages where a corner lot).</w:t>
            </w:r>
          </w:p>
        </w:tc>
        <w:tc>
          <w:tcPr>
            <w:tcW w:w="4111" w:type="dxa"/>
            <w:vMerge/>
            <w:tcBorders>
              <w:right w:val="nil"/>
            </w:tcBorders>
          </w:tcPr>
          <w:p w14:paraId="16B4D951" w14:textId="77777777" w:rsidR="00BE36FB" w:rsidRPr="009B7B35" w:rsidRDefault="00BE36FB" w:rsidP="001A7107">
            <w:pPr>
              <w:pStyle w:val="TableText"/>
              <w:rPr>
                <w:rFonts w:cs="Arial"/>
              </w:rPr>
            </w:pPr>
          </w:p>
        </w:tc>
      </w:tr>
      <w:tr w:rsidR="00BE36FB" w:rsidRPr="009B7B35" w14:paraId="5CE82A45" w14:textId="77777777" w:rsidTr="001A7107">
        <w:tc>
          <w:tcPr>
            <w:tcW w:w="538" w:type="dxa"/>
            <w:vMerge/>
          </w:tcPr>
          <w:p w14:paraId="651DACB4" w14:textId="77777777" w:rsidR="00BE36FB" w:rsidRPr="009B7B35" w:rsidRDefault="00BE36FB" w:rsidP="001A7107">
            <w:pPr>
              <w:pStyle w:val="TableText"/>
              <w:rPr>
                <w:rFonts w:cs="Arial"/>
              </w:rPr>
            </w:pPr>
          </w:p>
        </w:tc>
        <w:tc>
          <w:tcPr>
            <w:tcW w:w="1119" w:type="dxa"/>
            <w:vMerge/>
          </w:tcPr>
          <w:p w14:paraId="3E776F99" w14:textId="77777777" w:rsidR="00BE36FB" w:rsidRPr="009B7B35" w:rsidRDefault="00BE36FB" w:rsidP="001A7107">
            <w:pPr>
              <w:pStyle w:val="TableText"/>
              <w:rPr>
                <w:rFonts w:cs="Arial"/>
              </w:rPr>
            </w:pPr>
          </w:p>
        </w:tc>
        <w:tc>
          <w:tcPr>
            <w:tcW w:w="753" w:type="dxa"/>
            <w:vMerge/>
          </w:tcPr>
          <w:p w14:paraId="0701243E" w14:textId="77777777" w:rsidR="00BE36FB" w:rsidRPr="009B7B35" w:rsidRDefault="00BE36FB" w:rsidP="001A7107">
            <w:pPr>
              <w:pStyle w:val="TableText"/>
              <w:rPr>
                <w:rFonts w:cs="Arial"/>
              </w:rPr>
            </w:pPr>
          </w:p>
        </w:tc>
        <w:tc>
          <w:tcPr>
            <w:tcW w:w="2835" w:type="dxa"/>
          </w:tcPr>
          <w:p w14:paraId="51D801F7" w14:textId="77777777" w:rsidR="00BE36FB" w:rsidRPr="009B7B35" w:rsidRDefault="00BE36FB" w:rsidP="001A7107">
            <w:pPr>
              <w:pStyle w:val="TableText"/>
              <w:rPr>
                <w:rFonts w:cs="Arial"/>
              </w:rPr>
            </w:pPr>
            <w:r w:rsidRPr="009B7B35">
              <w:rPr>
                <w:rFonts w:cs="Arial"/>
              </w:rPr>
              <w:t>5m to any garage on a street frontage.</w:t>
            </w:r>
          </w:p>
        </w:tc>
        <w:tc>
          <w:tcPr>
            <w:tcW w:w="4111" w:type="dxa"/>
            <w:vMerge/>
            <w:tcBorders>
              <w:right w:val="nil"/>
            </w:tcBorders>
          </w:tcPr>
          <w:p w14:paraId="66D03758" w14:textId="77777777" w:rsidR="00BE36FB" w:rsidRPr="009B7B35" w:rsidRDefault="00BE36FB" w:rsidP="001A7107">
            <w:pPr>
              <w:pStyle w:val="TableText"/>
              <w:rPr>
                <w:rFonts w:cs="Arial"/>
              </w:rPr>
            </w:pPr>
          </w:p>
        </w:tc>
      </w:tr>
      <w:tr w:rsidR="00BE36FB" w:rsidRPr="009B7B35" w14:paraId="1A75FDB1" w14:textId="77777777" w:rsidTr="001A7107">
        <w:tc>
          <w:tcPr>
            <w:tcW w:w="538" w:type="dxa"/>
            <w:vMerge/>
          </w:tcPr>
          <w:p w14:paraId="51AA8A35" w14:textId="77777777" w:rsidR="00BE36FB" w:rsidRPr="009B7B35" w:rsidRDefault="00BE36FB" w:rsidP="001A7107">
            <w:pPr>
              <w:pStyle w:val="TableText"/>
              <w:rPr>
                <w:rFonts w:cs="Arial"/>
              </w:rPr>
            </w:pPr>
          </w:p>
        </w:tc>
        <w:tc>
          <w:tcPr>
            <w:tcW w:w="1119" w:type="dxa"/>
            <w:vMerge/>
          </w:tcPr>
          <w:p w14:paraId="1684F7BC" w14:textId="77777777" w:rsidR="00BE36FB" w:rsidRPr="009B7B35" w:rsidRDefault="00BE36FB" w:rsidP="001A7107">
            <w:pPr>
              <w:pStyle w:val="TableText"/>
              <w:rPr>
                <w:rFonts w:cs="Arial"/>
              </w:rPr>
            </w:pPr>
          </w:p>
        </w:tc>
        <w:tc>
          <w:tcPr>
            <w:tcW w:w="753" w:type="dxa"/>
          </w:tcPr>
          <w:p w14:paraId="0620B108" w14:textId="77777777" w:rsidR="00BE36FB" w:rsidRPr="009B7B35" w:rsidRDefault="00BE36FB" w:rsidP="001A7107">
            <w:pPr>
              <w:pStyle w:val="TableText"/>
              <w:rPr>
                <w:rFonts w:cs="Arial"/>
              </w:rPr>
            </w:pPr>
            <w:r w:rsidRPr="009B7B35">
              <w:rPr>
                <w:rFonts w:cs="Arial"/>
              </w:rPr>
              <w:t>Rear</w:t>
            </w:r>
          </w:p>
        </w:tc>
        <w:tc>
          <w:tcPr>
            <w:tcW w:w="2835" w:type="dxa"/>
          </w:tcPr>
          <w:p w14:paraId="2F342931" w14:textId="77777777" w:rsidR="00BE36FB" w:rsidRPr="009B7B35" w:rsidRDefault="00BE36FB" w:rsidP="001A7107">
            <w:pPr>
              <w:pStyle w:val="TableText"/>
              <w:rPr>
                <w:rFonts w:cs="Arial"/>
              </w:rPr>
            </w:pPr>
            <w:r w:rsidRPr="009B7B35">
              <w:rPr>
                <w:rFonts w:cs="Arial"/>
              </w:rPr>
              <w:t>6m (where not on a corner lot).</w:t>
            </w:r>
          </w:p>
        </w:tc>
        <w:tc>
          <w:tcPr>
            <w:tcW w:w="4111" w:type="dxa"/>
            <w:vMerge/>
            <w:tcBorders>
              <w:right w:val="nil"/>
            </w:tcBorders>
          </w:tcPr>
          <w:p w14:paraId="7F1D19DC" w14:textId="77777777" w:rsidR="00BE36FB" w:rsidRPr="009B7B35" w:rsidRDefault="00BE36FB" w:rsidP="001A7107">
            <w:pPr>
              <w:pStyle w:val="TableText"/>
              <w:rPr>
                <w:rFonts w:cs="Arial"/>
              </w:rPr>
            </w:pPr>
          </w:p>
        </w:tc>
      </w:tr>
      <w:tr w:rsidR="00BE36FB" w:rsidRPr="009B7B35" w14:paraId="299E5D5A" w14:textId="77777777" w:rsidTr="001A7107">
        <w:tc>
          <w:tcPr>
            <w:tcW w:w="538" w:type="dxa"/>
            <w:vMerge/>
          </w:tcPr>
          <w:p w14:paraId="3B923103" w14:textId="77777777" w:rsidR="00BE36FB" w:rsidRPr="009B7B35" w:rsidRDefault="00BE36FB" w:rsidP="001A7107">
            <w:pPr>
              <w:pStyle w:val="TableText"/>
              <w:rPr>
                <w:rFonts w:cs="Arial"/>
              </w:rPr>
            </w:pPr>
          </w:p>
        </w:tc>
        <w:tc>
          <w:tcPr>
            <w:tcW w:w="1119" w:type="dxa"/>
            <w:vMerge/>
          </w:tcPr>
          <w:p w14:paraId="726F2564" w14:textId="77777777" w:rsidR="00BE36FB" w:rsidRPr="009B7B35" w:rsidRDefault="00BE36FB" w:rsidP="001A7107">
            <w:pPr>
              <w:pStyle w:val="TableText"/>
              <w:rPr>
                <w:rFonts w:cs="Arial"/>
              </w:rPr>
            </w:pPr>
          </w:p>
        </w:tc>
        <w:tc>
          <w:tcPr>
            <w:tcW w:w="753" w:type="dxa"/>
          </w:tcPr>
          <w:p w14:paraId="2CFA5D59" w14:textId="77777777" w:rsidR="00BE36FB" w:rsidRPr="009B7B35" w:rsidRDefault="00BE36FB" w:rsidP="001A7107">
            <w:pPr>
              <w:pStyle w:val="TableText"/>
              <w:rPr>
                <w:rFonts w:cs="Arial"/>
              </w:rPr>
            </w:pPr>
            <w:r w:rsidRPr="009B7B35">
              <w:rPr>
                <w:rFonts w:cs="Arial"/>
              </w:rPr>
              <w:t>Side</w:t>
            </w:r>
          </w:p>
        </w:tc>
        <w:tc>
          <w:tcPr>
            <w:tcW w:w="2835" w:type="dxa"/>
          </w:tcPr>
          <w:p w14:paraId="1BDBE817" w14:textId="77777777" w:rsidR="00BE36FB" w:rsidRPr="009B7B35" w:rsidRDefault="00BE36FB" w:rsidP="001A7107">
            <w:pPr>
              <w:pStyle w:val="TableText"/>
              <w:rPr>
                <w:rFonts w:cs="Arial"/>
              </w:rPr>
            </w:pPr>
            <w:r w:rsidRPr="009B7B35">
              <w:rPr>
                <w:rFonts w:cs="Arial"/>
              </w:rPr>
              <w:t>1.5m not including eaves.</w:t>
            </w:r>
          </w:p>
        </w:tc>
        <w:tc>
          <w:tcPr>
            <w:tcW w:w="4111" w:type="dxa"/>
            <w:vMerge/>
            <w:tcBorders>
              <w:right w:val="nil"/>
            </w:tcBorders>
          </w:tcPr>
          <w:p w14:paraId="5E637C24" w14:textId="77777777" w:rsidR="00BE36FB" w:rsidRPr="009B7B35" w:rsidRDefault="00BE36FB" w:rsidP="001A7107">
            <w:pPr>
              <w:pStyle w:val="TableText"/>
              <w:rPr>
                <w:rFonts w:cs="Arial"/>
              </w:rPr>
            </w:pPr>
          </w:p>
        </w:tc>
      </w:tr>
      <w:tr w:rsidR="00BE36FB" w:rsidRPr="009B7B35" w14:paraId="4F2EEF31" w14:textId="77777777" w:rsidTr="001A7107">
        <w:tc>
          <w:tcPr>
            <w:tcW w:w="538" w:type="dxa"/>
          </w:tcPr>
          <w:p w14:paraId="3B700B3B" w14:textId="77777777" w:rsidR="00BE36FB" w:rsidRPr="009B7B35" w:rsidRDefault="00BE36FB" w:rsidP="001A7107">
            <w:pPr>
              <w:pStyle w:val="TableText"/>
              <w:rPr>
                <w:rFonts w:cs="Arial"/>
              </w:rPr>
            </w:pPr>
            <w:r w:rsidRPr="009B7B35">
              <w:rPr>
                <w:rFonts w:cs="Arial"/>
              </w:rPr>
              <w:t>3.6</w:t>
            </w:r>
          </w:p>
        </w:tc>
        <w:tc>
          <w:tcPr>
            <w:tcW w:w="1872" w:type="dxa"/>
            <w:gridSpan w:val="2"/>
          </w:tcPr>
          <w:p w14:paraId="546B9F7D" w14:textId="77777777" w:rsidR="00BE36FB" w:rsidRPr="009B7B35" w:rsidRDefault="00BE36FB" w:rsidP="001A7107">
            <w:pPr>
              <w:pStyle w:val="TableText"/>
              <w:rPr>
                <w:rFonts w:cs="Arial"/>
              </w:rPr>
            </w:pPr>
            <w:r w:rsidRPr="009B7B35">
              <w:rPr>
                <w:rFonts w:cs="Arial"/>
              </w:rPr>
              <w:t>Built to boundary walls</w:t>
            </w:r>
          </w:p>
        </w:tc>
        <w:tc>
          <w:tcPr>
            <w:tcW w:w="2835" w:type="dxa"/>
          </w:tcPr>
          <w:p w14:paraId="3FD25C12" w14:textId="77777777" w:rsidR="00BE36FB" w:rsidRPr="009B7B35" w:rsidRDefault="00BE36FB" w:rsidP="001A7107">
            <w:pPr>
              <w:rPr>
                <w:rFonts w:cs="Arial"/>
                <w:sz w:val="20"/>
                <w:szCs w:val="20"/>
              </w:rPr>
            </w:pPr>
            <w:r w:rsidRPr="009B7B35">
              <w:rPr>
                <w:rFonts w:cs="Arial"/>
                <w:sz w:val="20"/>
                <w:szCs w:val="20"/>
              </w:rPr>
              <w:t>Limited to 1 side boundary and must contain no windows, openings or glazing.</w:t>
            </w:r>
          </w:p>
          <w:p w14:paraId="0422FA55" w14:textId="77777777" w:rsidR="00BE36FB" w:rsidRPr="009B7B35" w:rsidRDefault="00BE36FB" w:rsidP="001A7107">
            <w:pPr>
              <w:pStyle w:val="TableText"/>
              <w:rPr>
                <w:rFonts w:cs="Arial"/>
              </w:rPr>
            </w:pPr>
            <w:r w:rsidRPr="009B7B35">
              <w:rPr>
                <w:rFonts w:cs="Arial"/>
              </w:rPr>
              <w:t>Maximum length 10m and maximum height 3.5m.</w:t>
            </w:r>
          </w:p>
        </w:tc>
        <w:tc>
          <w:tcPr>
            <w:tcW w:w="4111" w:type="dxa"/>
            <w:vMerge/>
            <w:tcBorders>
              <w:right w:val="nil"/>
            </w:tcBorders>
          </w:tcPr>
          <w:p w14:paraId="4CEA2F8C" w14:textId="77777777" w:rsidR="00BE36FB" w:rsidRPr="009B7B35" w:rsidRDefault="00BE36FB" w:rsidP="001A7107">
            <w:pPr>
              <w:pStyle w:val="TableText"/>
              <w:rPr>
                <w:rFonts w:cs="Arial"/>
              </w:rPr>
            </w:pPr>
          </w:p>
        </w:tc>
      </w:tr>
      <w:tr w:rsidR="00BE36FB" w:rsidRPr="009B7B35" w14:paraId="548C0C5D" w14:textId="77777777" w:rsidTr="001A7107">
        <w:tc>
          <w:tcPr>
            <w:tcW w:w="538" w:type="dxa"/>
          </w:tcPr>
          <w:p w14:paraId="569B02C4" w14:textId="77777777" w:rsidR="00BE36FB" w:rsidRPr="009B7B35" w:rsidRDefault="00BE36FB" w:rsidP="001A7107">
            <w:pPr>
              <w:pStyle w:val="TableText"/>
              <w:rPr>
                <w:rFonts w:cs="Arial"/>
              </w:rPr>
            </w:pPr>
            <w:r w:rsidRPr="009B7B35">
              <w:rPr>
                <w:rFonts w:cs="Arial"/>
              </w:rPr>
              <w:t>3.7</w:t>
            </w:r>
          </w:p>
        </w:tc>
        <w:tc>
          <w:tcPr>
            <w:tcW w:w="1872" w:type="dxa"/>
            <w:gridSpan w:val="2"/>
          </w:tcPr>
          <w:p w14:paraId="13C5FC7C" w14:textId="77777777" w:rsidR="00BE36FB" w:rsidRPr="009B7B35" w:rsidRDefault="00BE36FB" w:rsidP="001A7107">
            <w:pPr>
              <w:pStyle w:val="TableText"/>
              <w:rPr>
                <w:rFonts w:cs="Arial"/>
              </w:rPr>
            </w:pPr>
            <w:r w:rsidRPr="009B7B35">
              <w:rPr>
                <w:rFonts w:cs="Arial"/>
              </w:rPr>
              <w:t>Built form and streetscape</w:t>
            </w:r>
          </w:p>
        </w:tc>
        <w:tc>
          <w:tcPr>
            <w:tcW w:w="2835" w:type="dxa"/>
          </w:tcPr>
          <w:p w14:paraId="2D73EE60" w14:textId="77777777" w:rsidR="00BE36FB" w:rsidRPr="009B7B35" w:rsidRDefault="00BE36FB" w:rsidP="001A7107">
            <w:pPr>
              <w:rPr>
                <w:rFonts w:cs="Arial"/>
                <w:sz w:val="20"/>
                <w:szCs w:val="20"/>
              </w:rPr>
            </w:pPr>
            <w:r w:rsidRPr="009B7B35">
              <w:rPr>
                <w:rFonts w:cs="Arial"/>
                <w:sz w:val="20"/>
                <w:szCs w:val="20"/>
              </w:rPr>
              <w:t>Maximum of 4 dwellings in a row without separation.</w:t>
            </w:r>
          </w:p>
        </w:tc>
        <w:tc>
          <w:tcPr>
            <w:tcW w:w="4111" w:type="dxa"/>
            <w:vMerge/>
            <w:tcBorders>
              <w:bottom w:val="nil"/>
              <w:right w:val="nil"/>
            </w:tcBorders>
          </w:tcPr>
          <w:p w14:paraId="538C9DBC" w14:textId="77777777" w:rsidR="00BE36FB" w:rsidRPr="009B7B35" w:rsidRDefault="00BE36FB" w:rsidP="001A7107">
            <w:pPr>
              <w:pStyle w:val="TableText"/>
              <w:rPr>
                <w:rFonts w:cs="Arial"/>
              </w:rPr>
            </w:pPr>
          </w:p>
        </w:tc>
      </w:tr>
    </w:tbl>
    <w:p w14:paraId="1BC3282D"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28E8F867" w14:textId="0C2532B9" w:rsidR="00BE36FB" w:rsidRPr="009B7B35" w:rsidRDefault="00BE36FB" w:rsidP="00B2383D">
      <w:pPr>
        <w:pStyle w:val="Heading3"/>
        <w:keepLines/>
        <w:numPr>
          <w:ilvl w:val="2"/>
          <w:numId w:val="883"/>
        </w:numPr>
        <w:spacing w:before="240"/>
        <w:rPr>
          <w:rFonts w:ascii="Arial" w:hAnsi="Arial"/>
          <w:sz w:val="20"/>
          <w:szCs w:val="20"/>
        </w:rPr>
      </w:pPr>
      <w:bookmarkStart w:id="185" w:name="_Toc205367348"/>
      <w:r w:rsidRPr="009B7B35">
        <w:rPr>
          <w:rFonts w:ascii="Arial" w:hAnsi="Arial"/>
          <w:sz w:val="20"/>
          <w:szCs w:val="20"/>
        </w:rPr>
        <w:t>Medium density residential</w:t>
      </w:r>
      <w:bookmarkEnd w:id="185"/>
    </w:p>
    <w:p w14:paraId="0C8E47C9"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49649E9E"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342600DF"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30FC2CF3" w14:textId="77777777" w:rsidR="00BE36FB" w:rsidRPr="009B7B35" w:rsidRDefault="00BE36FB" w:rsidP="00BE36FB">
      <w:pPr>
        <w:numPr>
          <w:ilvl w:val="0"/>
          <w:numId w:val="228"/>
        </w:numPr>
        <w:rPr>
          <w:rFonts w:ascii="Arial" w:hAnsi="Arial" w:cs="Arial"/>
          <w:sz w:val="20"/>
          <w:szCs w:val="20"/>
        </w:rPr>
      </w:pPr>
      <w:r w:rsidRPr="009B7B35">
        <w:rPr>
          <w:rFonts w:ascii="Arial" w:hAnsi="Arial" w:cs="Arial"/>
          <w:sz w:val="20"/>
          <w:szCs w:val="20"/>
        </w:rPr>
        <w:t>The purpose of the medium density residential zone code is to provide for medium density multiple dwellings and some other housing forms supported by community uses and small–scale services and facilities that cater for local residents. Medium density residential development occurs in urban revitalisation areas and in areas that are clustered around or near major centres and transport nodes.</w:t>
      </w:r>
    </w:p>
    <w:p w14:paraId="55553A1F" w14:textId="77777777" w:rsidR="00BE36FB" w:rsidRPr="009B7B35" w:rsidRDefault="00BE36FB" w:rsidP="00BE36FB">
      <w:pPr>
        <w:numPr>
          <w:ilvl w:val="0"/>
          <w:numId w:val="228"/>
        </w:numPr>
        <w:rPr>
          <w:rFonts w:ascii="Arial" w:hAnsi="Arial" w:cs="Arial"/>
          <w:sz w:val="20"/>
          <w:szCs w:val="20"/>
        </w:rPr>
      </w:pPr>
      <w:r w:rsidRPr="009B7B35">
        <w:rPr>
          <w:rFonts w:ascii="Arial" w:hAnsi="Arial" w:cs="Arial"/>
          <w:sz w:val="20"/>
          <w:szCs w:val="20"/>
        </w:rPr>
        <w:t>The purpose of the zone will be achieved through the following overall outcomes:</w:t>
      </w:r>
    </w:p>
    <w:p w14:paraId="41A39AEB" w14:textId="77777777"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Development encourages and facilitates urban consolidation and the efficient use of physical and social infrastructure.</w:t>
      </w:r>
    </w:p>
    <w:p w14:paraId="3C7AF32D" w14:textId="77777777"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 xml:space="preserve">Buildings are of a scale, height and size that reflect a medium density neighbourhood character through design elements that reduce building bulk and create an attractive streetscape. </w:t>
      </w:r>
    </w:p>
    <w:p w14:paraId="53CFDBF7" w14:textId="77777777"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 xml:space="preserve">Development creates pleasant living environments that ensure privacy, access to sunlight, open space, ventilation and natural climate control. </w:t>
      </w:r>
    </w:p>
    <w:p w14:paraId="68366BAB" w14:textId="77777777"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Development is supported by transport infrastructure that is designed to provide and promote safe and efficient public transport use, walking and cycling.</w:t>
      </w:r>
    </w:p>
    <w:p w14:paraId="0ACD7044" w14:textId="77777777"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 xml:space="preserve">Development supports safe and walkable neighbourhoods that are well connected to employment nodes, centres, open space and recreational areas, community services and educational opportunities in other zones. </w:t>
      </w:r>
    </w:p>
    <w:p w14:paraId="06589ED3" w14:textId="77777777"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Development maintains a high level of residential amenity having regard to traffic, noise, dust, odour, lighting, overshadowing and other locally specific impacts.</w:t>
      </w:r>
    </w:p>
    <w:p w14:paraId="10D1A806" w14:textId="77777777"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water conservation and public/active transport use.</w:t>
      </w:r>
    </w:p>
    <w:p w14:paraId="56279777" w14:textId="77777777"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Small scale non–residential uses may be supported where such uses directly support the day to day needs of the immediate residential community, do not undermine the viability of nearby centres and complement residential amenity.</w:t>
      </w:r>
    </w:p>
    <w:p w14:paraId="47EA8D4B" w14:textId="77777777"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Development is supported by necessary community facilities, open space and recreational areas and appropriate infrastructure to support the needs of the local community.</w:t>
      </w:r>
    </w:p>
    <w:p w14:paraId="0C3B40A7" w14:textId="77777777"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Development responds to land constraints, including but not limited to bushfire, flooding and minimising changes to natural topography.</w:t>
      </w:r>
    </w:p>
    <w:p w14:paraId="582C084E" w14:textId="77777777"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Development mitigates any adverse impacts on adjoining areas of environmental significance, including creeks, gullies, waterways, wetlands, coastal areas, habitats, vegetation and bushland through location, design, operation and management requirements.</w:t>
      </w:r>
    </w:p>
    <w:p w14:paraId="2C4776AC" w14:textId="77777777"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Residential development is protected from the impacts of any nearby industrial activities, transport corridors, infrastructure, installations and major facilities.</w:t>
      </w:r>
    </w:p>
    <w:p w14:paraId="4CA07242" w14:textId="77777777" w:rsidR="00BE36FB" w:rsidRPr="009B7B35" w:rsidRDefault="00BE36FB" w:rsidP="00BE36FB">
      <w:pPr>
        <w:numPr>
          <w:ilvl w:val="0"/>
          <w:numId w:val="228"/>
        </w:numPr>
        <w:rPr>
          <w:rFonts w:ascii="Arial" w:hAnsi="Arial" w:cs="Arial"/>
          <w:sz w:val="20"/>
          <w:szCs w:val="20"/>
        </w:rPr>
      </w:pPr>
      <w:r w:rsidRPr="009B7B35">
        <w:rPr>
          <w:rFonts w:ascii="Arial" w:hAnsi="Arial" w:cs="Arial"/>
          <w:sz w:val="20"/>
          <w:szCs w:val="20"/>
        </w:rPr>
        <w:t xml:space="preserve">The purpose of the zone will also be achieved through the following additional overall outcome for the following precinct. </w:t>
      </w:r>
    </w:p>
    <w:p w14:paraId="424C3CA5" w14:textId="77777777"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Gladstone Hospital precinct:</w:t>
      </w:r>
    </w:p>
    <w:p w14:paraId="01BF6AA6" w14:textId="77777777" w:rsidR="00BE36FB" w:rsidRPr="009B7B35" w:rsidRDefault="00BE36FB" w:rsidP="00BE36FB">
      <w:pPr>
        <w:numPr>
          <w:ilvl w:val="2"/>
          <w:numId w:val="228"/>
        </w:numPr>
        <w:rPr>
          <w:rFonts w:ascii="Arial" w:hAnsi="Arial" w:cs="Arial"/>
          <w:sz w:val="20"/>
          <w:szCs w:val="20"/>
        </w:rPr>
      </w:pPr>
      <w:r w:rsidRPr="009B7B35">
        <w:rPr>
          <w:rFonts w:ascii="Arial" w:hAnsi="Arial" w:cs="Arial"/>
          <w:sz w:val="20"/>
          <w:szCs w:val="20"/>
        </w:rPr>
        <w:t>development facilitates a mix of residential and small scale non–residential uses where in proximity to the Gladstone hospital</w:t>
      </w:r>
    </w:p>
    <w:p w14:paraId="276B1A94" w14:textId="77777777" w:rsidR="00BE36FB" w:rsidRPr="009B7B35" w:rsidRDefault="00BE36FB" w:rsidP="00BE36FB">
      <w:pPr>
        <w:numPr>
          <w:ilvl w:val="2"/>
          <w:numId w:val="228"/>
        </w:numPr>
        <w:rPr>
          <w:rFonts w:ascii="Arial" w:hAnsi="Arial" w:cs="Arial"/>
          <w:sz w:val="20"/>
          <w:szCs w:val="20"/>
        </w:rPr>
      </w:pPr>
      <w:r w:rsidRPr="009B7B35">
        <w:rPr>
          <w:rFonts w:ascii="Arial" w:hAnsi="Arial" w:cs="Arial"/>
          <w:sz w:val="20"/>
          <w:szCs w:val="20"/>
        </w:rPr>
        <w:t>non–residential uses are limited to health care and medical related services or uses that support the Gladstone hospital.</w:t>
      </w:r>
    </w:p>
    <w:p w14:paraId="52E7630E" w14:textId="77777777" w:rsidR="00BE36FB" w:rsidRPr="009B7B35" w:rsidRDefault="00BE36FB" w:rsidP="00BE36FB">
      <w:pPr>
        <w:numPr>
          <w:ilvl w:val="1"/>
          <w:numId w:val="228"/>
        </w:numPr>
        <w:rPr>
          <w:rFonts w:ascii="Arial" w:hAnsi="Arial" w:cs="Arial"/>
          <w:sz w:val="20"/>
          <w:szCs w:val="20"/>
        </w:rPr>
      </w:pPr>
      <w:r w:rsidRPr="009B7B35">
        <w:rPr>
          <w:rFonts w:ascii="Arial" w:hAnsi="Arial" w:cs="Arial"/>
          <w:sz w:val="20"/>
          <w:szCs w:val="20"/>
        </w:rPr>
        <w:t>Beaches Village Circuit precinct:</w:t>
      </w:r>
    </w:p>
    <w:p w14:paraId="11CFDEEA" w14:textId="77777777" w:rsidR="00BE36FB" w:rsidRPr="009B7B35" w:rsidRDefault="00BE36FB" w:rsidP="00BE36FB">
      <w:pPr>
        <w:numPr>
          <w:ilvl w:val="2"/>
          <w:numId w:val="228"/>
        </w:numPr>
        <w:rPr>
          <w:rFonts w:ascii="Arial" w:hAnsi="Arial" w:cs="Arial"/>
          <w:sz w:val="20"/>
          <w:szCs w:val="20"/>
        </w:rPr>
      </w:pPr>
      <w:r w:rsidRPr="009B7B35">
        <w:rPr>
          <w:rFonts w:ascii="Arial" w:hAnsi="Arial" w:cs="Arial"/>
          <w:sz w:val="20"/>
          <w:szCs w:val="20"/>
        </w:rPr>
        <w:t>Development achieves a mix of medium density short and long term accommodation uses for residents and tourists.</w:t>
      </w:r>
    </w:p>
    <w:p w14:paraId="6EA76DC7" w14:textId="77777777" w:rsidR="00BE36FB" w:rsidRPr="009B7B35" w:rsidRDefault="00BE36FB" w:rsidP="00BE36FB">
      <w:pPr>
        <w:numPr>
          <w:ilvl w:val="2"/>
          <w:numId w:val="228"/>
        </w:numPr>
        <w:rPr>
          <w:rFonts w:ascii="Arial" w:hAnsi="Arial" w:cs="Arial"/>
          <w:sz w:val="20"/>
          <w:szCs w:val="20"/>
        </w:rPr>
      </w:pPr>
      <w:r w:rsidRPr="009B7B35">
        <w:rPr>
          <w:rFonts w:ascii="Arial" w:hAnsi="Arial" w:cs="Arial"/>
          <w:sz w:val="20"/>
          <w:szCs w:val="20"/>
        </w:rPr>
        <w:t xml:space="preserve">Buildings reflect the coastal architectural qualities of the Agnes Water area and minimises the visual impact on the water and its views. </w:t>
      </w:r>
    </w:p>
    <w:p w14:paraId="282B6308" w14:textId="77777777" w:rsidR="00BE36FB" w:rsidRPr="009B7B35" w:rsidRDefault="00BE36FB" w:rsidP="00BE36FB">
      <w:pPr>
        <w:numPr>
          <w:ilvl w:val="2"/>
          <w:numId w:val="228"/>
        </w:numPr>
        <w:rPr>
          <w:rFonts w:ascii="Arial" w:hAnsi="Arial" w:cs="Arial"/>
          <w:sz w:val="20"/>
          <w:szCs w:val="20"/>
        </w:rPr>
      </w:pPr>
      <w:r w:rsidRPr="009B7B35">
        <w:rPr>
          <w:rFonts w:ascii="Arial" w:hAnsi="Arial" w:cs="Arial"/>
          <w:sz w:val="20"/>
          <w:szCs w:val="20"/>
        </w:rPr>
        <w:t>Development does not encourage detached dwelling houses on smaller residential lots or commercial uses better suited within the Agnes Water CBD.</w:t>
      </w:r>
    </w:p>
    <w:p w14:paraId="2382E793" w14:textId="77777777" w:rsidR="00BE36FB" w:rsidRPr="009B7B35" w:rsidRDefault="00BE36FB" w:rsidP="00BE36FB">
      <w:pPr>
        <w:numPr>
          <w:ilvl w:val="2"/>
          <w:numId w:val="228"/>
        </w:numPr>
        <w:rPr>
          <w:rFonts w:ascii="Arial" w:hAnsi="Arial" w:cs="Arial"/>
          <w:sz w:val="20"/>
          <w:szCs w:val="20"/>
        </w:rPr>
      </w:pPr>
      <w:r w:rsidRPr="009B7B35">
        <w:rPr>
          <w:rFonts w:ascii="Arial" w:hAnsi="Arial" w:cs="Arial"/>
          <w:sz w:val="20"/>
          <w:szCs w:val="20"/>
        </w:rPr>
        <w:t xml:space="preserve">Development encourages larger lots which facilitate a medium density built form outcome. </w:t>
      </w:r>
    </w:p>
    <w:p w14:paraId="6FFAB8AF"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008BF9F4" w14:textId="77777777" w:rsidR="00BE36FB" w:rsidRPr="009B7B35" w:rsidRDefault="00BE36FB" w:rsidP="00B2383D">
      <w:pPr>
        <w:pStyle w:val="Heading5"/>
        <w:numPr>
          <w:ilvl w:val="0"/>
          <w:numId w:val="0"/>
        </w:numPr>
        <w:rPr>
          <w:rFonts w:cs="Arial"/>
          <w:szCs w:val="20"/>
        </w:rPr>
      </w:pPr>
      <w:r w:rsidRPr="009B7B35">
        <w:rPr>
          <w:rFonts w:cs="Arial"/>
          <w:szCs w:val="20"/>
        </w:rPr>
        <w:t>Table 6.2.3.3.1— Accepted development subject to requirements and assessable development</w:t>
      </w:r>
    </w:p>
    <w:tbl>
      <w:tblPr>
        <w:tblStyle w:val="Tablestyle"/>
        <w:tblW w:w="0" w:type="auto"/>
        <w:tblLook w:val="04A0" w:firstRow="1" w:lastRow="0" w:firstColumn="1" w:lastColumn="0" w:noHBand="0" w:noVBand="1"/>
      </w:tblPr>
      <w:tblGrid>
        <w:gridCol w:w="3736"/>
        <w:gridCol w:w="4627"/>
      </w:tblGrid>
      <w:tr w:rsidR="00BE36FB" w:rsidRPr="009B7B35" w14:paraId="174CE167"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678" w:type="dxa"/>
          </w:tcPr>
          <w:p w14:paraId="1500BA2B"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57F2C3C2"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Acceptable outcomes</w:t>
            </w:r>
          </w:p>
        </w:tc>
      </w:tr>
      <w:tr w:rsidR="00BE36FB" w:rsidRPr="009B7B35" w14:paraId="0F2C3783"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7B6FE835"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11492F29"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2E5A529D" w14:textId="77777777" w:rsidR="00BE36FB" w:rsidRPr="009B7B35" w:rsidRDefault="00BE36FB" w:rsidP="001A7107">
            <w:pPr>
              <w:pStyle w:val="TableText"/>
              <w:rPr>
                <w:rFonts w:cs="Arial"/>
                <w:b/>
              </w:rPr>
            </w:pPr>
            <w:r w:rsidRPr="009B7B35">
              <w:rPr>
                <w:rFonts w:cs="Arial"/>
                <w:b/>
              </w:rPr>
              <w:t>PO1</w:t>
            </w:r>
          </w:p>
          <w:p w14:paraId="5A202973" w14:textId="77777777" w:rsidR="00BE36FB" w:rsidRPr="009B7B35" w:rsidRDefault="00BE36FB" w:rsidP="001A7107">
            <w:pPr>
              <w:pStyle w:val="TableText"/>
              <w:rPr>
                <w:rFonts w:cs="Arial"/>
              </w:rPr>
            </w:pPr>
            <w:r w:rsidRPr="009B7B35">
              <w:rPr>
                <w:rFonts w:cs="Arial"/>
              </w:rPr>
              <w:t>Development:</w:t>
            </w:r>
          </w:p>
          <w:p w14:paraId="1EE30782" w14:textId="77777777" w:rsidR="00BE36FB" w:rsidRPr="009B7B35" w:rsidRDefault="00BE36FB" w:rsidP="00BE36FB">
            <w:pPr>
              <w:numPr>
                <w:ilvl w:val="0"/>
                <w:numId w:val="230"/>
              </w:numPr>
              <w:rPr>
                <w:rFonts w:cs="Arial"/>
                <w:sz w:val="20"/>
                <w:szCs w:val="20"/>
              </w:rPr>
            </w:pPr>
            <w:r w:rsidRPr="009B7B35">
              <w:rPr>
                <w:rFonts w:cs="Arial"/>
                <w:sz w:val="20"/>
                <w:szCs w:val="20"/>
              </w:rPr>
              <w:t xml:space="preserve">is ancillary to the primary use, and </w:t>
            </w:r>
          </w:p>
          <w:p w14:paraId="06A3BAD4" w14:textId="77777777" w:rsidR="00BE36FB" w:rsidRPr="009B7B35" w:rsidRDefault="00BE36FB" w:rsidP="00BE36FB">
            <w:pPr>
              <w:numPr>
                <w:ilvl w:val="0"/>
                <w:numId w:val="230"/>
              </w:numPr>
              <w:rPr>
                <w:rFonts w:cs="Arial"/>
                <w:sz w:val="20"/>
                <w:szCs w:val="20"/>
              </w:rPr>
            </w:pPr>
            <w:r w:rsidRPr="009B7B35">
              <w:rPr>
                <w:rFonts w:cs="Arial"/>
                <w:sz w:val="20"/>
                <w:szCs w:val="20"/>
              </w:rPr>
              <w:t>provides adequate open space for the caretaker.</w:t>
            </w:r>
          </w:p>
        </w:tc>
        <w:tc>
          <w:tcPr>
            <w:tcW w:w="4678" w:type="dxa"/>
          </w:tcPr>
          <w:p w14:paraId="52431E1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AO1.1</w:t>
            </w:r>
          </w:p>
          <w:p w14:paraId="73E7738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No more than 1 caretaker’s accommodation unit is established on the site. </w:t>
            </w:r>
          </w:p>
        </w:tc>
      </w:tr>
      <w:tr w:rsidR="00BE36FB" w:rsidRPr="009B7B35" w14:paraId="02E4673A"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3FA2F543" w14:textId="77777777" w:rsidR="00BE36FB" w:rsidRPr="009B7B35" w:rsidRDefault="00BE36FB" w:rsidP="001A7107">
            <w:pPr>
              <w:rPr>
                <w:rFonts w:cs="Arial"/>
                <w:sz w:val="20"/>
                <w:szCs w:val="20"/>
              </w:rPr>
            </w:pPr>
          </w:p>
        </w:tc>
        <w:tc>
          <w:tcPr>
            <w:tcW w:w="4678" w:type="dxa"/>
          </w:tcPr>
          <w:p w14:paraId="69A7DC1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AO1.2</w:t>
            </w:r>
          </w:p>
          <w:p w14:paraId="67B4170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caretaker’s accommodation unit is a maximum of 100m</w:t>
            </w:r>
            <w:r w:rsidRPr="009B7B35">
              <w:rPr>
                <w:rStyle w:val="StyleSuperscript"/>
                <w:rFonts w:cs="Arial"/>
              </w:rPr>
              <w:t>2</w:t>
            </w:r>
            <w:r w:rsidRPr="009B7B35">
              <w:rPr>
                <w:rFonts w:cs="Arial"/>
              </w:rPr>
              <w:t xml:space="preserve"> GFA.</w:t>
            </w:r>
          </w:p>
        </w:tc>
      </w:tr>
      <w:tr w:rsidR="00BE36FB" w:rsidRPr="009B7B35" w14:paraId="399A4737"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0F58BCF8" w14:textId="77777777" w:rsidR="00BE36FB" w:rsidRPr="009B7B35" w:rsidRDefault="00BE36FB" w:rsidP="001A7107">
            <w:pPr>
              <w:rPr>
                <w:rFonts w:cs="Arial"/>
                <w:sz w:val="20"/>
                <w:szCs w:val="20"/>
              </w:rPr>
            </w:pPr>
          </w:p>
        </w:tc>
        <w:tc>
          <w:tcPr>
            <w:tcW w:w="4678" w:type="dxa"/>
          </w:tcPr>
          <w:p w14:paraId="5A561F9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AO1.3</w:t>
            </w:r>
          </w:p>
          <w:p w14:paraId="35075FEA"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Private open space area is provided which:</w:t>
            </w:r>
          </w:p>
          <w:p w14:paraId="76F76F58" w14:textId="77777777" w:rsidR="00BE36FB" w:rsidRPr="009B7B35" w:rsidRDefault="00BE36FB" w:rsidP="00BE36FB">
            <w:pPr>
              <w:numPr>
                <w:ilvl w:val="0"/>
                <w:numId w:val="231"/>
              </w:num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is directly accessible from a habitable room, and</w:t>
            </w:r>
          </w:p>
          <w:p w14:paraId="0D776CEC" w14:textId="77777777" w:rsidR="00BE36FB" w:rsidRPr="009B7B35" w:rsidRDefault="00BE36FB" w:rsidP="00BE36FB">
            <w:pPr>
              <w:pStyle w:val="TableText"/>
              <w:numPr>
                <w:ilvl w:val="0"/>
                <w:numId w:val="231"/>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where a balcony, a verandah or a deck, has a minimum area of 15m</w:t>
            </w:r>
            <w:r w:rsidRPr="009B7B35">
              <w:rPr>
                <w:rFonts w:cs="Arial"/>
                <w:vertAlign w:val="superscript"/>
              </w:rPr>
              <w:t>2</w:t>
            </w:r>
            <w:r w:rsidRPr="009B7B35">
              <w:rPr>
                <w:rFonts w:cs="Arial"/>
              </w:rPr>
              <w:t xml:space="preserve"> with a minimum horizontal dimension of 1.25m.</w:t>
            </w:r>
          </w:p>
        </w:tc>
      </w:tr>
      <w:tr w:rsidR="00BE36FB" w:rsidRPr="009B7B35" w14:paraId="2E44F305"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6EAAECA2" w14:textId="77777777"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14:paraId="0429DA3B"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262BDD83" w14:textId="77777777" w:rsidR="00BE36FB" w:rsidRPr="009B7B35" w:rsidRDefault="00BE36FB" w:rsidP="001A7107">
            <w:pPr>
              <w:pStyle w:val="TableText"/>
              <w:rPr>
                <w:rFonts w:cs="Arial"/>
                <w:b/>
                <w:bCs/>
              </w:rPr>
            </w:pPr>
            <w:r w:rsidRPr="009B7B35">
              <w:rPr>
                <w:rFonts w:cs="Arial"/>
                <w:b/>
                <w:bCs/>
              </w:rPr>
              <w:t>PO2</w:t>
            </w:r>
          </w:p>
          <w:p w14:paraId="7BDDA422" w14:textId="77777777"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14:paraId="00EE996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AO2.1</w:t>
            </w:r>
          </w:p>
          <w:p w14:paraId="5C7EB67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Development of the sales office is in place for no more than 2 years.</w:t>
            </w:r>
          </w:p>
        </w:tc>
      </w:tr>
      <w:tr w:rsidR="00BE36FB" w:rsidRPr="009B7B35" w14:paraId="295D4C81"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54A5CBD2" w14:textId="77777777" w:rsidR="00BE36FB" w:rsidRPr="009B7B35" w:rsidRDefault="00BE36FB" w:rsidP="001A7107">
            <w:pPr>
              <w:rPr>
                <w:rFonts w:cs="Arial"/>
                <w:sz w:val="20"/>
                <w:szCs w:val="20"/>
              </w:rPr>
            </w:pPr>
          </w:p>
        </w:tc>
        <w:tc>
          <w:tcPr>
            <w:tcW w:w="4678" w:type="dxa"/>
          </w:tcPr>
          <w:p w14:paraId="77890E9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AO2.2</w:t>
            </w:r>
          </w:p>
          <w:p w14:paraId="6001350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site coverage of the building is a maximum of 50% of the site area.</w:t>
            </w:r>
          </w:p>
        </w:tc>
      </w:tr>
      <w:tr w:rsidR="00BE36FB" w:rsidRPr="009B7B35" w14:paraId="0F86DF17"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7B4CB259" w14:textId="77777777" w:rsidR="00BE36FB" w:rsidRPr="009B7B35" w:rsidRDefault="00BE36FB" w:rsidP="001A7107">
            <w:pPr>
              <w:rPr>
                <w:rFonts w:cs="Arial"/>
                <w:sz w:val="20"/>
                <w:szCs w:val="20"/>
              </w:rPr>
            </w:pPr>
          </w:p>
        </w:tc>
        <w:tc>
          <w:tcPr>
            <w:tcW w:w="4678" w:type="dxa"/>
          </w:tcPr>
          <w:p w14:paraId="4862F71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AO2.3</w:t>
            </w:r>
          </w:p>
          <w:p w14:paraId="17AE29D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There are a maximum of 2 employees on site at any one time.</w:t>
            </w:r>
          </w:p>
        </w:tc>
      </w:tr>
      <w:tr w:rsidR="00BE36FB" w:rsidRPr="009B7B35" w14:paraId="7EFFAEDE"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4429369E" w14:textId="77777777" w:rsidR="00BE36FB" w:rsidRPr="009B7B35" w:rsidRDefault="00BE36FB" w:rsidP="001A7107">
            <w:pPr>
              <w:rPr>
                <w:rFonts w:cs="Arial"/>
                <w:sz w:val="20"/>
                <w:szCs w:val="20"/>
              </w:rPr>
            </w:pPr>
          </w:p>
        </w:tc>
        <w:tc>
          <w:tcPr>
            <w:tcW w:w="4678" w:type="dxa"/>
          </w:tcPr>
          <w:p w14:paraId="7C212D4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AO2.4</w:t>
            </w:r>
          </w:p>
          <w:p w14:paraId="1FD1F8F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use operates between:</w:t>
            </w:r>
          </w:p>
          <w:p w14:paraId="554A1525" w14:textId="77777777" w:rsidR="00BE36FB" w:rsidRPr="009B7B35" w:rsidRDefault="00BE36FB" w:rsidP="00BE36FB">
            <w:pPr>
              <w:pStyle w:val="TableText"/>
              <w:numPr>
                <w:ilvl w:val="0"/>
                <w:numId w:val="434"/>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8am and 6pm Monday to Saturday, and </w:t>
            </w:r>
          </w:p>
          <w:p w14:paraId="161A035C" w14:textId="77777777" w:rsidR="00BE36FB" w:rsidRPr="009B7B35" w:rsidRDefault="00BE36FB" w:rsidP="00BE36FB">
            <w:pPr>
              <w:pStyle w:val="TableText"/>
              <w:numPr>
                <w:ilvl w:val="0"/>
                <w:numId w:val="434"/>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9am and 1pm on Sunday.</w:t>
            </w:r>
          </w:p>
        </w:tc>
      </w:tr>
      <w:tr w:rsidR="00BE36FB" w:rsidRPr="009B7B35" w14:paraId="264F6340"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31E481AC" w14:textId="77777777"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14:paraId="74E60FE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4E9F57D4" w14:textId="77777777" w:rsidR="00BE36FB" w:rsidRPr="009B7B35" w:rsidRDefault="00BE36FB" w:rsidP="001A7107">
            <w:pPr>
              <w:pStyle w:val="TableText"/>
              <w:rPr>
                <w:rFonts w:cs="Arial"/>
                <w:b/>
                <w:bCs/>
              </w:rPr>
            </w:pPr>
            <w:r w:rsidRPr="009B7B35">
              <w:rPr>
                <w:rFonts w:cs="Arial"/>
                <w:b/>
                <w:bCs/>
              </w:rPr>
              <w:t>PO3</w:t>
            </w:r>
          </w:p>
          <w:p w14:paraId="51F94817" w14:textId="77777777" w:rsidR="00BE36FB" w:rsidRPr="009B7B35" w:rsidRDefault="00BE36FB" w:rsidP="001A7107">
            <w:pPr>
              <w:rPr>
                <w:rFonts w:cs="Arial"/>
                <w:sz w:val="20"/>
                <w:szCs w:val="20"/>
              </w:rPr>
            </w:pPr>
            <w:r w:rsidRPr="009B7B35">
              <w:rPr>
                <w:rFonts w:cs="Arial"/>
                <w:sz w:val="20"/>
                <w:szCs w:val="20"/>
              </w:rPr>
              <w:t>Buildings:</w:t>
            </w:r>
          </w:p>
          <w:p w14:paraId="634F7FA8" w14:textId="77777777" w:rsidR="00BE36FB" w:rsidRPr="009B7B35" w:rsidRDefault="00BE36FB" w:rsidP="00BE36FB">
            <w:pPr>
              <w:pStyle w:val="TableText"/>
              <w:numPr>
                <w:ilvl w:val="0"/>
                <w:numId w:val="566"/>
              </w:numPr>
              <w:rPr>
                <w:rFonts w:cs="Arial"/>
              </w:rPr>
            </w:pPr>
            <w:r w:rsidRPr="009B7B35">
              <w:rPr>
                <w:rFonts w:cs="Arial"/>
              </w:rPr>
              <w:t>are medium rise, and</w:t>
            </w:r>
          </w:p>
          <w:p w14:paraId="7BE1400C" w14:textId="77777777" w:rsidR="00BE36FB" w:rsidRPr="009B7B35" w:rsidRDefault="00BE36FB" w:rsidP="00BE36FB">
            <w:pPr>
              <w:pStyle w:val="TableText"/>
              <w:numPr>
                <w:ilvl w:val="0"/>
                <w:numId w:val="566"/>
              </w:numPr>
              <w:rPr>
                <w:rFonts w:cs="Arial"/>
              </w:rPr>
            </w:pPr>
            <w:r w:rsidRPr="009B7B35">
              <w:rPr>
                <w:rFonts w:cs="Arial"/>
              </w:rPr>
              <w:t>do not create overshadowing on adjoining residential properties, and</w:t>
            </w:r>
          </w:p>
          <w:p w14:paraId="0B62FB68" w14:textId="77777777" w:rsidR="00BE36FB" w:rsidRPr="009B7B35" w:rsidRDefault="00BE36FB" w:rsidP="00BE36FB">
            <w:pPr>
              <w:pStyle w:val="TableText"/>
              <w:numPr>
                <w:ilvl w:val="0"/>
                <w:numId w:val="566"/>
              </w:numPr>
              <w:rPr>
                <w:rFonts w:cs="Arial"/>
              </w:rPr>
            </w:pPr>
            <w:r w:rsidRPr="009B7B35">
              <w:rPr>
                <w:rFonts w:cs="Arial"/>
              </w:rPr>
              <w:t>do not adversely impact on the medium density residential character and amenity of the area.</w:t>
            </w:r>
          </w:p>
        </w:tc>
        <w:tc>
          <w:tcPr>
            <w:tcW w:w="4678" w:type="dxa"/>
          </w:tcPr>
          <w:p w14:paraId="6F537FB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AO3</w:t>
            </w:r>
          </w:p>
          <w:p w14:paraId="7158C0B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Building height does not exceed that shown on the Building height and frontages overlay map.</w:t>
            </w:r>
          </w:p>
        </w:tc>
      </w:tr>
      <w:tr w:rsidR="00BE36FB" w:rsidRPr="009B7B35" w14:paraId="206414A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38FD38FC" w14:textId="77777777" w:rsidR="00BE36FB" w:rsidRPr="009B7B35" w:rsidRDefault="00BE36FB" w:rsidP="001A7107">
            <w:pPr>
              <w:pStyle w:val="TableText"/>
              <w:rPr>
                <w:rFonts w:cs="Arial"/>
                <w:b/>
                <w:bCs/>
              </w:rPr>
            </w:pPr>
            <w:r w:rsidRPr="009B7B35">
              <w:rPr>
                <w:rFonts w:cs="Arial"/>
                <w:b/>
                <w:bCs/>
              </w:rPr>
              <w:t>PO4</w:t>
            </w:r>
          </w:p>
          <w:p w14:paraId="657FDF35" w14:textId="77777777" w:rsidR="00BE36FB" w:rsidRPr="009B7B35" w:rsidRDefault="00BE36FB">
            <w:pPr>
              <w:pStyle w:val="TableText"/>
              <w:rPr>
                <w:rFonts w:cs="Arial"/>
              </w:rPr>
            </w:pPr>
            <w:r w:rsidRPr="009B7B35">
              <w:rPr>
                <w:rFonts w:cs="Arial"/>
              </w:rPr>
              <w:t>Residential buildings:</w:t>
            </w:r>
          </w:p>
          <w:p w14:paraId="75A2CEEA" w14:textId="77777777" w:rsidR="00BE36FB" w:rsidRPr="009B7B35" w:rsidRDefault="00BE36FB" w:rsidP="00BE36FB">
            <w:pPr>
              <w:pStyle w:val="TableText"/>
              <w:numPr>
                <w:ilvl w:val="0"/>
                <w:numId w:val="524"/>
              </w:numPr>
              <w:rPr>
                <w:rFonts w:cs="Arial"/>
              </w:rPr>
            </w:pPr>
            <w:r w:rsidRPr="009B7B35">
              <w:rPr>
                <w:rFonts w:cs="Arial"/>
              </w:rPr>
              <w:t>are proportionate to the size and street frontage of the site</w:t>
            </w:r>
          </w:p>
          <w:p w14:paraId="01E8DEF9" w14:textId="77777777" w:rsidR="00BE36FB" w:rsidRPr="009B7B35" w:rsidRDefault="00BE36FB" w:rsidP="00BE36FB">
            <w:pPr>
              <w:pStyle w:val="TableText"/>
              <w:numPr>
                <w:ilvl w:val="0"/>
                <w:numId w:val="524"/>
              </w:numPr>
              <w:rPr>
                <w:rFonts w:cs="Arial"/>
              </w:rPr>
            </w:pPr>
            <w:r w:rsidRPr="009B7B35">
              <w:rPr>
                <w:rFonts w:cs="Arial"/>
              </w:rPr>
              <w:t>protect medium density neighbourhood character</w:t>
            </w:r>
          </w:p>
          <w:p w14:paraId="5DBEA297" w14:textId="77777777" w:rsidR="00BE36FB" w:rsidRPr="009B7B35" w:rsidRDefault="00BE36FB" w:rsidP="00BE36FB">
            <w:pPr>
              <w:pStyle w:val="TableText"/>
              <w:numPr>
                <w:ilvl w:val="0"/>
                <w:numId w:val="524"/>
              </w:numPr>
              <w:rPr>
                <w:rFonts w:cs="Arial"/>
              </w:rPr>
            </w:pPr>
            <w:r w:rsidRPr="009B7B35">
              <w:rPr>
                <w:rFonts w:cs="Arial"/>
              </w:rPr>
              <w:t>provide setbacks that maintain appropriate levels of light and solar penetration, air circulation, privacy and amenity for adjoining properties</w:t>
            </w:r>
          </w:p>
          <w:p w14:paraId="7570542B" w14:textId="77777777" w:rsidR="00BE36FB" w:rsidRPr="009B7B35" w:rsidRDefault="00BE36FB" w:rsidP="00BE36FB">
            <w:pPr>
              <w:pStyle w:val="TableText"/>
              <w:numPr>
                <w:ilvl w:val="0"/>
                <w:numId w:val="524"/>
              </w:numPr>
              <w:rPr>
                <w:rFonts w:cs="Arial"/>
              </w:rPr>
            </w:pPr>
            <w:r w:rsidRPr="009B7B35">
              <w:rPr>
                <w:rFonts w:cs="Arial"/>
              </w:rPr>
              <w:t>provide for adequate open space and landscape areas</w:t>
            </w:r>
          </w:p>
          <w:p w14:paraId="7159FA3E" w14:textId="77777777" w:rsidR="00BE36FB" w:rsidRPr="009B7B35" w:rsidRDefault="00BE36FB" w:rsidP="00BE36FB">
            <w:pPr>
              <w:pStyle w:val="TableText"/>
              <w:numPr>
                <w:ilvl w:val="0"/>
                <w:numId w:val="524"/>
              </w:numPr>
              <w:rPr>
                <w:rFonts w:cs="Arial"/>
              </w:rPr>
            </w:pPr>
            <w:r w:rsidRPr="009B7B35">
              <w:rPr>
                <w:rFonts w:cs="Arial"/>
              </w:rPr>
              <w:t xml:space="preserve">reduce building bulk, and </w:t>
            </w:r>
          </w:p>
          <w:p w14:paraId="23E209D9" w14:textId="77777777" w:rsidR="00BE36FB" w:rsidRPr="009B7B35" w:rsidRDefault="00BE36FB" w:rsidP="00BE36FB">
            <w:pPr>
              <w:pStyle w:val="TableText"/>
              <w:numPr>
                <w:ilvl w:val="0"/>
                <w:numId w:val="524"/>
              </w:numPr>
              <w:rPr>
                <w:rFonts w:cs="Arial"/>
              </w:rPr>
            </w:pPr>
            <w:r w:rsidRPr="009B7B35">
              <w:rPr>
                <w:rFonts w:cs="Arial"/>
              </w:rPr>
              <w:t>allow casual surveillance of the street.</w:t>
            </w:r>
          </w:p>
        </w:tc>
        <w:tc>
          <w:tcPr>
            <w:tcW w:w="4678" w:type="dxa"/>
          </w:tcPr>
          <w:p w14:paraId="31A07DE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AO4</w:t>
            </w:r>
          </w:p>
          <w:p w14:paraId="750B105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Development is in accordance with the following building types: </w:t>
            </w:r>
          </w:p>
          <w:p w14:paraId="447E9207" w14:textId="77777777" w:rsidR="00BE36FB" w:rsidRPr="009B7B35" w:rsidRDefault="00BE36FB" w:rsidP="00BE36FB">
            <w:pPr>
              <w:pStyle w:val="TableText"/>
              <w:numPr>
                <w:ilvl w:val="0"/>
                <w:numId w:val="437"/>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Figure 1—Dwelling house: Narrow lot</w:t>
            </w:r>
          </w:p>
          <w:p w14:paraId="46B4E7D7" w14:textId="77777777" w:rsidR="00BE36FB" w:rsidRPr="009B7B35" w:rsidRDefault="00BE36FB" w:rsidP="00BE36FB">
            <w:pPr>
              <w:pStyle w:val="TableText"/>
              <w:numPr>
                <w:ilvl w:val="0"/>
                <w:numId w:val="437"/>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Figure</w:t>
            </w:r>
            <w:r w:rsidRPr="009B7B35" w:rsidDel="00DF5D07">
              <w:rPr>
                <w:rFonts w:cs="Arial"/>
              </w:rPr>
              <w:t xml:space="preserve"> </w:t>
            </w:r>
            <w:r w:rsidRPr="009B7B35">
              <w:rPr>
                <w:rFonts w:cs="Arial"/>
              </w:rPr>
              <w:t>2—Dual occupancy</w:t>
            </w:r>
          </w:p>
          <w:p w14:paraId="252F0005" w14:textId="77777777" w:rsidR="00BE36FB" w:rsidRPr="009B7B35" w:rsidRDefault="00BE36FB" w:rsidP="00BE36FB">
            <w:pPr>
              <w:pStyle w:val="TableText"/>
              <w:numPr>
                <w:ilvl w:val="0"/>
                <w:numId w:val="437"/>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Figure</w:t>
            </w:r>
            <w:r w:rsidRPr="009B7B35" w:rsidDel="00DF5D07">
              <w:rPr>
                <w:rFonts w:cs="Arial"/>
              </w:rPr>
              <w:t xml:space="preserve"> </w:t>
            </w:r>
            <w:r w:rsidRPr="009B7B35">
              <w:rPr>
                <w:rFonts w:cs="Arial"/>
              </w:rPr>
              <w:t>3—Multiple dwelling: Townhouses</w:t>
            </w:r>
          </w:p>
          <w:p w14:paraId="17207C49" w14:textId="77777777" w:rsidR="00BE36FB" w:rsidRPr="009B7B35" w:rsidRDefault="00BE36FB" w:rsidP="00BE36FB">
            <w:pPr>
              <w:pStyle w:val="TableText"/>
              <w:numPr>
                <w:ilvl w:val="0"/>
                <w:numId w:val="437"/>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Figure</w:t>
            </w:r>
            <w:r w:rsidRPr="009B7B35" w:rsidDel="00DF5D07">
              <w:rPr>
                <w:rFonts w:cs="Arial"/>
              </w:rPr>
              <w:t xml:space="preserve"> </w:t>
            </w:r>
            <w:r w:rsidRPr="009B7B35">
              <w:rPr>
                <w:rFonts w:cs="Arial"/>
              </w:rPr>
              <w:t>4—Multiple dwelling: Medium rise apartment.</w:t>
            </w:r>
          </w:p>
          <w:p w14:paraId="544CC666" w14:textId="77777777" w:rsidR="00BE36FB" w:rsidRPr="009B7B35" w:rsidRDefault="00BE36FB">
            <w:pPr>
              <w:pStyle w:val="Notes"/>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 xml:space="preserve">Note—Setbacks for a dwelling house on a standard lot are regulated in the Queensland Development Code. </w:t>
            </w:r>
          </w:p>
        </w:tc>
      </w:tr>
      <w:tr w:rsidR="00BE36FB" w:rsidRPr="009B7B35" w14:paraId="427A9035"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3A78AC66" w14:textId="77777777"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14:paraId="3B63A6DE"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72FB2235" w14:textId="77777777" w:rsidR="00BE36FB" w:rsidRPr="009B7B35" w:rsidRDefault="00BE36FB" w:rsidP="001A7107">
            <w:pPr>
              <w:pStyle w:val="TableText"/>
              <w:rPr>
                <w:rFonts w:cs="Arial"/>
                <w:b/>
                <w:bCs/>
              </w:rPr>
            </w:pPr>
            <w:r w:rsidRPr="009B7B35">
              <w:rPr>
                <w:rFonts w:cs="Arial"/>
                <w:b/>
                <w:bCs/>
              </w:rPr>
              <w:t>PO5</w:t>
            </w:r>
          </w:p>
          <w:p w14:paraId="275C4D1B" w14:textId="77777777" w:rsidR="00BE36FB" w:rsidRPr="009B7B35" w:rsidRDefault="00BE36FB" w:rsidP="001A7107">
            <w:pPr>
              <w:pStyle w:val="TableText"/>
              <w:rPr>
                <w:rFonts w:cs="Arial"/>
              </w:rPr>
            </w:pPr>
            <w:r w:rsidRPr="009B7B35">
              <w:rPr>
                <w:rFonts w:cs="Arial"/>
              </w:rPr>
              <w:t>Residential density reflects the medium density residential character of the area.</w:t>
            </w:r>
          </w:p>
        </w:tc>
        <w:tc>
          <w:tcPr>
            <w:tcW w:w="4678" w:type="dxa"/>
          </w:tcPr>
          <w:p w14:paraId="1B06D66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AO5.1</w:t>
            </w:r>
          </w:p>
          <w:p w14:paraId="705C2633"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Residential density is a maximum of: </w:t>
            </w:r>
          </w:p>
          <w:p w14:paraId="1A326B3D" w14:textId="77777777" w:rsidR="00BE36FB" w:rsidRPr="009B7B35" w:rsidRDefault="00BE36FB" w:rsidP="00BE36FB">
            <w:pPr>
              <w:pStyle w:val="TableText"/>
              <w:numPr>
                <w:ilvl w:val="0"/>
                <w:numId w:val="229"/>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 dwelling house (including 1 secondary dwelling) per lot  where a dwelling house</w:t>
            </w:r>
          </w:p>
          <w:p w14:paraId="1B48CE9E" w14:textId="77777777" w:rsidR="00BE36FB" w:rsidRPr="009B7B35" w:rsidRDefault="00BE36FB" w:rsidP="00BE36FB">
            <w:pPr>
              <w:pStyle w:val="TableText"/>
              <w:numPr>
                <w:ilvl w:val="0"/>
                <w:numId w:val="229"/>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or 1 dwelling per 300m</w:t>
            </w:r>
            <w:r w:rsidRPr="009B7B35">
              <w:rPr>
                <w:rFonts w:cs="Arial"/>
                <w:color w:val="auto"/>
                <w:vertAlign w:val="superscript"/>
              </w:rPr>
              <w:t>2</w:t>
            </w:r>
            <w:r w:rsidRPr="009B7B35">
              <w:rPr>
                <w:rFonts w:cs="Arial"/>
              </w:rPr>
              <w:t xml:space="preserve"> where a dual occupancy.</w:t>
            </w:r>
          </w:p>
          <w:p w14:paraId="532B3380" w14:textId="77777777" w:rsidR="00BE36FB" w:rsidRPr="009B7B35" w:rsidRDefault="00BE36FB" w:rsidP="001A7107">
            <w:pPr>
              <w:pStyle w:val="Notes"/>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Note—There is no maximum residential density where Multiple dwelling.</w:t>
            </w:r>
          </w:p>
        </w:tc>
      </w:tr>
      <w:tr w:rsidR="00BE36FB" w:rsidRPr="009B7B35" w14:paraId="24B1B9C5"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790565AA" w14:textId="77777777" w:rsidR="00BE36FB" w:rsidRPr="009B7B35" w:rsidRDefault="00BE36FB" w:rsidP="001A7107">
            <w:pPr>
              <w:rPr>
                <w:rFonts w:cs="Arial"/>
                <w:sz w:val="20"/>
                <w:szCs w:val="20"/>
              </w:rPr>
            </w:pPr>
          </w:p>
        </w:tc>
        <w:tc>
          <w:tcPr>
            <w:tcW w:w="4678" w:type="dxa"/>
          </w:tcPr>
          <w:p w14:paraId="5F1A34D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AO5.2</w:t>
            </w:r>
          </w:p>
          <w:p w14:paraId="0B6A600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Where a dwelling house, any secondary dwelling is: </w:t>
            </w:r>
          </w:p>
          <w:p w14:paraId="0AF35F77" w14:textId="77777777" w:rsidR="00BE36FB" w:rsidRPr="009B7B35" w:rsidRDefault="00BE36FB" w:rsidP="00BE36FB">
            <w:pPr>
              <w:pStyle w:val="TableText"/>
              <w:numPr>
                <w:ilvl w:val="0"/>
                <w:numId w:val="399"/>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 maximum of 80m</w:t>
            </w:r>
            <w:r w:rsidRPr="009B7B35">
              <w:rPr>
                <w:rStyle w:val="StyleSuperscript"/>
                <w:rFonts w:cs="Arial"/>
              </w:rPr>
              <w:t>2</w:t>
            </w:r>
            <w:r w:rsidRPr="009B7B35">
              <w:rPr>
                <w:rFonts w:cs="Arial"/>
              </w:rPr>
              <w:t xml:space="preserve"> GFA</w:t>
            </w:r>
          </w:p>
          <w:p w14:paraId="35A20710" w14:textId="77777777" w:rsidR="00BE36FB" w:rsidRPr="009B7B35" w:rsidRDefault="00BE36FB" w:rsidP="00BE36FB">
            <w:pPr>
              <w:pStyle w:val="TableText"/>
              <w:numPr>
                <w:ilvl w:val="0"/>
                <w:numId w:val="399"/>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located within 10m of the main building</w:t>
            </w:r>
          </w:p>
          <w:p w14:paraId="23F5B872" w14:textId="77777777" w:rsidR="00BE36FB" w:rsidRPr="009B7B35" w:rsidRDefault="00BE36FB" w:rsidP="00BE36FB">
            <w:pPr>
              <w:pStyle w:val="TableText"/>
              <w:numPr>
                <w:ilvl w:val="0"/>
                <w:numId w:val="399"/>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linked to the main building by a defined footpath in the most direct route possible.</w:t>
            </w:r>
          </w:p>
        </w:tc>
      </w:tr>
      <w:tr w:rsidR="00BE36FB" w:rsidRPr="009B7B35" w14:paraId="4A818797"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51307190" w14:textId="77777777" w:rsidR="00BE36FB" w:rsidRPr="009B7B35" w:rsidRDefault="00BE36FB" w:rsidP="001A7107">
            <w:pPr>
              <w:pStyle w:val="Tableheading"/>
              <w:rPr>
                <w:rFonts w:ascii="Arial" w:hAnsi="Arial" w:cs="Arial"/>
                <w:szCs w:val="20"/>
              </w:rPr>
            </w:pPr>
            <w:r w:rsidRPr="009B7B35">
              <w:rPr>
                <w:rFonts w:ascii="Arial" w:hAnsi="Arial" w:cs="Arial"/>
                <w:szCs w:val="20"/>
              </w:rPr>
              <w:t>Open space</w:t>
            </w:r>
          </w:p>
        </w:tc>
      </w:tr>
      <w:tr w:rsidR="00BE36FB" w:rsidRPr="009B7B35" w14:paraId="001DC71B"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663B835F" w14:textId="77777777" w:rsidR="00BE36FB" w:rsidRPr="009B7B35" w:rsidRDefault="00BE36FB" w:rsidP="001A7107">
            <w:pPr>
              <w:pStyle w:val="TableText"/>
              <w:rPr>
                <w:rFonts w:cs="Arial"/>
                <w:b/>
                <w:bCs/>
              </w:rPr>
            </w:pPr>
            <w:r w:rsidRPr="009B7B35">
              <w:rPr>
                <w:rFonts w:cs="Arial"/>
                <w:b/>
                <w:bCs/>
              </w:rPr>
              <w:t>PO6</w:t>
            </w:r>
          </w:p>
          <w:p w14:paraId="142BB359" w14:textId="77777777" w:rsidR="00BE36FB" w:rsidRPr="009B7B35" w:rsidRDefault="00BE36FB" w:rsidP="001A7107">
            <w:pPr>
              <w:pStyle w:val="TableText"/>
              <w:rPr>
                <w:rFonts w:cs="Arial"/>
              </w:rPr>
            </w:pPr>
            <w:r w:rsidRPr="009B7B35">
              <w:rPr>
                <w:rFonts w:cs="Arial"/>
              </w:rPr>
              <w:t>Development must provide sufficient and accessible open space for residents needs.</w:t>
            </w:r>
          </w:p>
        </w:tc>
        <w:tc>
          <w:tcPr>
            <w:tcW w:w="4678" w:type="dxa"/>
          </w:tcPr>
          <w:p w14:paraId="6B8C1D0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AO6.1</w:t>
            </w:r>
          </w:p>
          <w:p w14:paraId="794231C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Open space is provided in accordance with the following building types: </w:t>
            </w:r>
          </w:p>
          <w:p w14:paraId="7B7CFEA7" w14:textId="77777777" w:rsidR="00BE36FB" w:rsidRPr="009B7B35" w:rsidRDefault="00BE36FB" w:rsidP="00BE36FB">
            <w:pPr>
              <w:pStyle w:val="TableText"/>
              <w:numPr>
                <w:ilvl w:val="0"/>
                <w:numId w:val="438"/>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Figure</w:t>
            </w:r>
            <w:r w:rsidRPr="009B7B35" w:rsidDel="00DF5D07">
              <w:rPr>
                <w:rFonts w:cs="Arial"/>
              </w:rPr>
              <w:t xml:space="preserve"> </w:t>
            </w:r>
            <w:r w:rsidRPr="009B7B35">
              <w:rPr>
                <w:rFonts w:cs="Arial"/>
              </w:rPr>
              <w:t>1—Dwelling house: Narrow lot</w:t>
            </w:r>
          </w:p>
          <w:p w14:paraId="054238A5" w14:textId="77777777" w:rsidR="00BE36FB" w:rsidRPr="009B7B35" w:rsidRDefault="00BE36FB" w:rsidP="00BE36FB">
            <w:pPr>
              <w:pStyle w:val="TableText"/>
              <w:numPr>
                <w:ilvl w:val="0"/>
                <w:numId w:val="438"/>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Figure</w:t>
            </w:r>
            <w:r w:rsidRPr="009B7B35" w:rsidDel="00DF5D07">
              <w:rPr>
                <w:rFonts w:cs="Arial"/>
              </w:rPr>
              <w:t xml:space="preserve"> </w:t>
            </w:r>
            <w:r w:rsidRPr="009B7B35">
              <w:rPr>
                <w:rFonts w:cs="Arial"/>
              </w:rPr>
              <w:t>2—Dual occupancy</w:t>
            </w:r>
          </w:p>
          <w:p w14:paraId="5883BBAD" w14:textId="77777777" w:rsidR="00BE36FB" w:rsidRPr="009B7B35" w:rsidRDefault="00BE36FB" w:rsidP="00BE36FB">
            <w:pPr>
              <w:pStyle w:val="TableText"/>
              <w:numPr>
                <w:ilvl w:val="0"/>
                <w:numId w:val="438"/>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Figure</w:t>
            </w:r>
            <w:r w:rsidRPr="009B7B35" w:rsidDel="00DF5D07">
              <w:rPr>
                <w:rFonts w:cs="Arial"/>
              </w:rPr>
              <w:t xml:space="preserve"> </w:t>
            </w:r>
            <w:r w:rsidRPr="009B7B35">
              <w:rPr>
                <w:rFonts w:cs="Arial"/>
              </w:rPr>
              <w:t>3—Multiple dwelling: Townhouses</w:t>
            </w:r>
          </w:p>
          <w:p w14:paraId="50C3BC5B" w14:textId="77777777" w:rsidR="00BE36FB" w:rsidRPr="009B7B35" w:rsidRDefault="00BE36FB" w:rsidP="00BE36FB">
            <w:pPr>
              <w:pStyle w:val="TableText"/>
              <w:numPr>
                <w:ilvl w:val="0"/>
                <w:numId w:val="438"/>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Figure</w:t>
            </w:r>
            <w:r w:rsidRPr="009B7B35" w:rsidDel="00DF5D07">
              <w:rPr>
                <w:rFonts w:cs="Arial"/>
              </w:rPr>
              <w:t xml:space="preserve"> </w:t>
            </w:r>
            <w:r w:rsidRPr="009B7B35">
              <w:rPr>
                <w:rFonts w:cs="Arial"/>
              </w:rPr>
              <w:t>4—Multiple dwelling: Medium rise apartment.</w:t>
            </w:r>
          </w:p>
        </w:tc>
      </w:tr>
      <w:tr w:rsidR="00BE36FB" w:rsidRPr="009B7B35" w14:paraId="374CDAE9"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116BF455" w14:textId="77777777" w:rsidR="00BE36FB" w:rsidRPr="009B7B35" w:rsidRDefault="00BE36FB" w:rsidP="001A7107">
            <w:pPr>
              <w:rPr>
                <w:rFonts w:cs="Arial"/>
                <w:sz w:val="20"/>
                <w:szCs w:val="20"/>
              </w:rPr>
            </w:pPr>
          </w:p>
        </w:tc>
        <w:tc>
          <w:tcPr>
            <w:tcW w:w="4678" w:type="dxa"/>
          </w:tcPr>
          <w:p w14:paraId="75892A1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AO6.2</w:t>
            </w:r>
          </w:p>
          <w:p w14:paraId="2A206198"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Private open space is directly adjacent to the main living area.</w:t>
            </w:r>
          </w:p>
        </w:tc>
      </w:tr>
      <w:tr w:rsidR="00BE36FB" w:rsidRPr="009B7B35" w14:paraId="61C39A3E"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1A76FC8E" w14:textId="77777777" w:rsidR="00BE36FB" w:rsidRPr="009B7B35" w:rsidRDefault="00BE36FB" w:rsidP="001A7107">
            <w:pPr>
              <w:pStyle w:val="Tableheading"/>
              <w:rPr>
                <w:rFonts w:ascii="Arial" w:hAnsi="Arial" w:cs="Arial"/>
                <w:szCs w:val="20"/>
              </w:rPr>
            </w:pPr>
            <w:r w:rsidRPr="009B7B35">
              <w:rPr>
                <w:rFonts w:ascii="Arial" w:hAnsi="Arial" w:cs="Arial"/>
                <w:szCs w:val="20"/>
              </w:rPr>
              <w:t>Design and streetscape</w:t>
            </w:r>
          </w:p>
        </w:tc>
      </w:tr>
      <w:tr w:rsidR="00BE36FB" w:rsidRPr="009B7B35" w14:paraId="5D551E08"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28012161" w14:textId="77777777" w:rsidR="00BE36FB" w:rsidRPr="009B7B35" w:rsidRDefault="00BE36FB" w:rsidP="001A7107">
            <w:pPr>
              <w:pStyle w:val="TableText"/>
              <w:rPr>
                <w:rFonts w:cs="Arial"/>
                <w:b/>
                <w:bCs/>
              </w:rPr>
            </w:pPr>
            <w:r w:rsidRPr="009B7B35">
              <w:rPr>
                <w:rFonts w:cs="Arial"/>
                <w:b/>
                <w:bCs/>
              </w:rPr>
              <w:t>PO7</w:t>
            </w:r>
          </w:p>
          <w:p w14:paraId="4E6A4C72" w14:textId="77777777" w:rsidR="00BE36FB" w:rsidRPr="009B7B35" w:rsidRDefault="00BE36FB" w:rsidP="001A7107">
            <w:pPr>
              <w:pStyle w:val="TableText"/>
              <w:rPr>
                <w:rFonts w:cs="Arial"/>
              </w:rPr>
            </w:pPr>
            <w:r w:rsidRPr="009B7B35">
              <w:rPr>
                <w:rFonts w:cs="Arial"/>
              </w:rPr>
              <w:t>Driveways and parking areas including garages must not visually dominate the street.</w:t>
            </w:r>
          </w:p>
        </w:tc>
        <w:tc>
          <w:tcPr>
            <w:tcW w:w="4678" w:type="dxa"/>
          </w:tcPr>
          <w:p w14:paraId="5F0392D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AO7.1</w:t>
            </w:r>
          </w:p>
          <w:p w14:paraId="2724613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Car parking areas: </w:t>
            </w:r>
          </w:p>
          <w:p w14:paraId="39B2A6DE" w14:textId="77777777" w:rsidR="00BE36FB" w:rsidRPr="009B7B35" w:rsidRDefault="00BE36FB" w:rsidP="00BE36FB">
            <w:pPr>
              <w:pStyle w:val="TableText"/>
              <w:numPr>
                <w:ilvl w:val="0"/>
                <w:numId w:val="439"/>
              </w:numPr>
              <w:ind w:left="510" w:hanging="51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include 1 space in a garage and 1 uncovered space (or carport) on the driveway where a Dwelling house: Narrow lot or a Dwelling in a Dual occupancy, or</w:t>
            </w:r>
          </w:p>
          <w:p w14:paraId="15B8605A" w14:textId="77777777" w:rsidR="00BE36FB" w:rsidRPr="009B7B35" w:rsidRDefault="00BE36FB" w:rsidP="00BE36FB">
            <w:pPr>
              <w:pStyle w:val="TableText"/>
              <w:numPr>
                <w:ilvl w:val="0"/>
                <w:numId w:val="439"/>
              </w:numPr>
              <w:ind w:left="510" w:hanging="51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are located behind the main building face where a Multiple dwelling (excluding visitor spaces).</w:t>
            </w:r>
          </w:p>
        </w:tc>
      </w:tr>
      <w:tr w:rsidR="00BE36FB" w:rsidRPr="009B7B35" w14:paraId="1203D9E3"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256E01BC" w14:textId="77777777" w:rsidR="00BE36FB" w:rsidRPr="009B7B35" w:rsidRDefault="00BE36FB" w:rsidP="001A7107">
            <w:pPr>
              <w:rPr>
                <w:rFonts w:cs="Arial"/>
                <w:sz w:val="20"/>
                <w:szCs w:val="20"/>
              </w:rPr>
            </w:pPr>
          </w:p>
        </w:tc>
        <w:tc>
          <w:tcPr>
            <w:tcW w:w="4678" w:type="dxa"/>
          </w:tcPr>
          <w:p w14:paraId="0845413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AO7.2</w:t>
            </w:r>
          </w:p>
          <w:p w14:paraId="63E2E1F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Garages for any Dwelling house or Dual occupancy do not protrude in front of the main building face and occupy a maximum of 50% of the site frontage.</w:t>
            </w:r>
          </w:p>
        </w:tc>
      </w:tr>
      <w:tr w:rsidR="00BE36FB" w:rsidRPr="009B7B35" w14:paraId="5EAF9146"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38CA976E" w14:textId="77777777" w:rsidR="00BE36FB" w:rsidRPr="009B7B35" w:rsidRDefault="00BE36FB" w:rsidP="001A7107">
            <w:pPr>
              <w:rPr>
                <w:rFonts w:cs="Arial"/>
                <w:sz w:val="20"/>
                <w:szCs w:val="20"/>
              </w:rPr>
            </w:pPr>
          </w:p>
        </w:tc>
        <w:tc>
          <w:tcPr>
            <w:tcW w:w="4678" w:type="dxa"/>
          </w:tcPr>
          <w:p w14:paraId="4F20391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AO7.3</w:t>
            </w:r>
          </w:p>
          <w:p w14:paraId="223C0BC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Vehicle access is provided through a:</w:t>
            </w:r>
          </w:p>
          <w:p w14:paraId="749D20B1" w14:textId="77777777" w:rsidR="00BE36FB" w:rsidRPr="009B7B35" w:rsidRDefault="00BE36FB" w:rsidP="00BE36FB">
            <w:pPr>
              <w:pStyle w:val="TableText"/>
              <w:numPr>
                <w:ilvl w:val="0"/>
                <w:numId w:val="433"/>
              </w:numPr>
              <w:ind w:left="510" w:hanging="51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single driveway for any Dwelling house or Multiple dwelling</w:t>
            </w:r>
          </w:p>
          <w:p w14:paraId="4AFC1E1C" w14:textId="77777777" w:rsidR="00BE36FB" w:rsidRPr="009B7B35" w:rsidRDefault="00BE36FB" w:rsidP="00BE36FB">
            <w:pPr>
              <w:pStyle w:val="TableText"/>
              <w:numPr>
                <w:ilvl w:val="0"/>
                <w:numId w:val="433"/>
              </w:numPr>
              <w:ind w:left="510" w:hanging="51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 paired driveway for Dual occupancy, or</w:t>
            </w:r>
          </w:p>
          <w:p w14:paraId="451C0318" w14:textId="77777777" w:rsidR="00BE36FB" w:rsidRPr="009B7B35" w:rsidRDefault="00BE36FB" w:rsidP="00BE36FB">
            <w:pPr>
              <w:pStyle w:val="TableText"/>
              <w:numPr>
                <w:ilvl w:val="0"/>
                <w:numId w:val="433"/>
              </w:numPr>
              <w:ind w:left="510" w:hanging="51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by rear lane access.</w:t>
            </w:r>
          </w:p>
        </w:tc>
      </w:tr>
      <w:tr w:rsidR="00BE36FB" w:rsidRPr="009B7B35" w14:paraId="113BBBE5"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tcPr>
          <w:p w14:paraId="1065174E"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1A12CC74"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3BA3E847" w14:textId="77777777" w:rsidR="00BE36FB" w:rsidRPr="009B7B35" w:rsidRDefault="00BE36FB" w:rsidP="001A7107">
            <w:pPr>
              <w:pStyle w:val="Tableheading"/>
              <w:rPr>
                <w:rFonts w:ascii="Arial" w:hAnsi="Arial" w:cs="Arial"/>
                <w:szCs w:val="20"/>
              </w:rPr>
            </w:pPr>
            <w:r w:rsidRPr="009B7B35">
              <w:rPr>
                <w:rFonts w:ascii="Arial" w:hAnsi="Arial" w:cs="Arial"/>
                <w:szCs w:val="20"/>
              </w:rPr>
              <w:t>Housing mix (where development for multiple dwelling)</w:t>
            </w:r>
          </w:p>
        </w:tc>
      </w:tr>
      <w:tr w:rsidR="00BE36FB" w:rsidRPr="009B7B35" w14:paraId="4DE840B5"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5E3A3DC1" w14:textId="77777777" w:rsidR="00BE36FB" w:rsidRPr="009B7B35" w:rsidRDefault="00BE36FB" w:rsidP="001A7107">
            <w:pPr>
              <w:pStyle w:val="TableText"/>
              <w:rPr>
                <w:rFonts w:cs="Arial"/>
                <w:b/>
                <w:bCs/>
              </w:rPr>
            </w:pPr>
            <w:r w:rsidRPr="009B7B35">
              <w:rPr>
                <w:rFonts w:cs="Arial"/>
                <w:b/>
                <w:bCs/>
              </w:rPr>
              <w:t>PO8</w:t>
            </w:r>
          </w:p>
          <w:p w14:paraId="7B5FF71E" w14:textId="77777777" w:rsidR="00BE36FB" w:rsidRPr="009B7B35" w:rsidRDefault="00BE36FB" w:rsidP="001A7107">
            <w:pPr>
              <w:pStyle w:val="TableText"/>
              <w:rPr>
                <w:rFonts w:cs="Arial"/>
              </w:rPr>
            </w:pPr>
            <w:r w:rsidRPr="009B7B35">
              <w:rPr>
                <w:rFonts w:cs="Arial"/>
              </w:rPr>
              <w:t>Development provides a mix of housing sizes to meet housing needs across the community.</w:t>
            </w:r>
          </w:p>
        </w:tc>
        <w:tc>
          <w:tcPr>
            <w:tcW w:w="4678" w:type="dxa"/>
          </w:tcPr>
          <w:p w14:paraId="2B982A3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AO8</w:t>
            </w:r>
          </w:p>
          <w:p w14:paraId="0798649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Development of 15 or more dwellings includes the following proportion of dwelling sizes: </w:t>
            </w:r>
          </w:p>
          <w:p w14:paraId="7C588C56" w14:textId="77777777" w:rsidR="00BE36FB" w:rsidRPr="009B7B35" w:rsidRDefault="00BE36FB" w:rsidP="00BE36FB">
            <w:pPr>
              <w:pStyle w:val="TableText"/>
              <w:numPr>
                <w:ilvl w:val="0"/>
                <w:numId w:val="440"/>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25% – 1 bedroom or studio</w:t>
            </w:r>
          </w:p>
          <w:p w14:paraId="6C0CAD03" w14:textId="77777777" w:rsidR="00BE36FB" w:rsidRPr="009B7B35" w:rsidRDefault="00BE36FB" w:rsidP="00BE36FB">
            <w:pPr>
              <w:pStyle w:val="TableText"/>
              <w:numPr>
                <w:ilvl w:val="0"/>
                <w:numId w:val="440"/>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40% – 2 bedrooms</w:t>
            </w:r>
          </w:p>
          <w:p w14:paraId="3D5629FA" w14:textId="77777777" w:rsidR="00BE36FB" w:rsidRPr="009B7B35" w:rsidRDefault="00BE36FB" w:rsidP="00BE36FB">
            <w:pPr>
              <w:pStyle w:val="TableText"/>
              <w:numPr>
                <w:ilvl w:val="0"/>
                <w:numId w:val="440"/>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15% – 3 bedrooms or more</w:t>
            </w:r>
          </w:p>
          <w:p w14:paraId="2D95263A" w14:textId="77777777" w:rsidR="00BE36FB" w:rsidRPr="009B7B35" w:rsidRDefault="00BE36FB" w:rsidP="00BE36FB">
            <w:pPr>
              <w:pStyle w:val="TableText"/>
              <w:numPr>
                <w:ilvl w:val="0"/>
                <w:numId w:val="440"/>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remaining 20% is unrestricted.</w:t>
            </w:r>
          </w:p>
        </w:tc>
      </w:tr>
      <w:tr w:rsidR="00BE36FB" w:rsidRPr="009B7B35" w14:paraId="4AE5C621"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62073E16" w14:textId="77777777" w:rsidR="00BE36FB" w:rsidRPr="009B7B35" w:rsidRDefault="00BE36FB" w:rsidP="001A7107">
            <w:pPr>
              <w:pStyle w:val="Tableheading"/>
              <w:rPr>
                <w:rFonts w:ascii="Arial" w:hAnsi="Arial" w:cs="Arial"/>
                <w:szCs w:val="20"/>
              </w:rPr>
            </w:pPr>
            <w:r w:rsidRPr="009B7B35">
              <w:rPr>
                <w:rFonts w:ascii="Arial" w:hAnsi="Arial" w:cs="Arial"/>
                <w:szCs w:val="20"/>
              </w:rPr>
              <w:t>Design and streetscape</w:t>
            </w:r>
          </w:p>
        </w:tc>
      </w:tr>
      <w:tr w:rsidR="00BE36FB" w:rsidRPr="009B7B35" w14:paraId="0228315C"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6BEECEA8" w14:textId="77777777" w:rsidR="00BE36FB" w:rsidRPr="009B7B35" w:rsidRDefault="00BE36FB" w:rsidP="001A7107">
            <w:pPr>
              <w:pStyle w:val="TableText"/>
              <w:rPr>
                <w:rFonts w:cs="Arial"/>
                <w:b/>
                <w:bCs/>
              </w:rPr>
            </w:pPr>
            <w:r w:rsidRPr="009B7B35">
              <w:rPr>
                <w:rFonts w:cs="Arial"/>
                <w:b/>
                <w:bCs/>
              </w:rPr>
              <w:t>PO9</w:t>
            </w:r>
          </w:p>
          <w:p w14:paraId="437AE7BC" w14:textId="77777777" w:rsidR="00BE36FB" w:rsidRPr="009B7B35" w:rsidRDefault="00BE36FB" w:rsidP="001A7107">
            <w:pPr>
              <w:rPr>
                <w:rFonts w:cs="Arial"/>
                <w:sz w:val="20"/>
                <w:szCs w:val="20"/>
              </w:rPr>
            </w:pPr>
            <w:r w:rsidRPr="009B7B35">
              <w:rPr>
                <w:rFonts w:cs="Arial"/>
                <w:sz w:val="20"/>
                <w:szCs w:val="20"/>
              </w:rPr>
              <w:t>Development has a high quality appearance and makes a positive contribution to the streetscape.</w:t>
            </w:r>
          </w:p>
        </w:tc>
        <w:tc>
          <w:tcPr>
            <w:tcW w:w="4678" w:type="dxa"/>
          </w:tcPr>
          <w:p w14:paraId="5D18F5E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AO9.1</w:t>
            </w:r>
          </w:p>
          <w:p w14:paraId="219F951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 landscape area a minimum dimension of 1.5m is provided along the full frontage of any road frontage.</w:t>
            </w:r>
          </w:p>
        </w:tc>
      </w:tr>
      <w:tr w:rsidR="00BE36FB" w:rsidRPr="009B7B35" w14:paraId="7B0086D8"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5AFA5642" w14:textId="77777777" w:rsidR="00BE36FB" w:rsidRPr="009B7B35" w:rsidRDefault="00BE36FB" w:rsidP="001A7107">
            <w:pPr>
              <w:rPr>
                <w:rFonts w:cs="Arial"/>
                <w:sz w:val="20"/>
                <w:szCs w:val="20"/>
              </w:rPr>
            </w:pPr>
          </w:p>
        </w:tc>
        <w:tc>
          <w:tcPr>
            <w:tcW w:w="4678" w:type="dxa"/>
          </w:tcPr>
          <w:p w14:paraId="50CC18E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AO9.2</w:t>
            </w:r>
          </w:p>
          <w:p w14:paraId="40E3B76C"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For any multiple dwelling, balconies or verandahs occupy a minimum of 50% of the building facade fronting the street.</w:t>
            </w:r>
          </w:p>
        </w:tc>
      </w:tr>
      <w:tr w:rsidR="00BE36FB" w:rsidRPr="009B7B35" w14:paraId="70EAD30C"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5E41F9CA" w14:textId="77777777" w:rsidR="00BE36FB" w:rsidRPr="009B7B35" w:rsidRDefault="00BE36FB" w:rsidP="001A7107">
            <w:pPr>
              <w:pStyle w:val="TableText"/>
              <w:rPr>
                <w:rFonts w:cs="Arial"/>
                <w:b/>
                <w:bCs/>
              </w:rPr>
            </w:pPr>
            <w:r w:rsidRPr="009B7B35">
              <w:rPr>
                <w:rFonts w:cs="Arial"/>
                <w:b/>
                <w:bCs/>
              </w:rPr>
              <w:t>PO10</w:t>
            </w:r>
          </w:p>
          <w:p w14:paraId="241894D3" w14:textId="77777777" w:rsidR="00BE36FB" w:rsidRPr="009B7B35" w:rsidRDefault="00BE36FB" w:rsidP="001A7107">
            <w:pPr>
              <w:pStyle w:val="TableText"/>
              <w:rPr>
                <w:rFonts w:cs="Arial"/>
              </w:rPr>
            </w:pPr>
            <w:r w:rsidRPr="009B7B35">
              <w:rPr>
                <w:rFonts w:cs="Arial"/>
              </w:rPr>
              <w:t xml:space="preserve">Pedestrian entries: </w:t>
            </w:r>
          </w:p>
          <w:p w14:paraId="5E121F58" w14:textId="77777777" w:rsidR="00BE36FB" w:rsidRPr="009B7B35" w:rsidRDefault="00BE36FB" w:rsidP="00BE36FB">
            <w:pPr>
              <w:pStyle w:val="TableText"/>
              <w:numPr>
                <w:ilvl w:val="0"/>
                <w:numId w:val="567"/>
              </w:numPr>
              <w:rPr>
                <w:rFonts w:cs="Arial"/>
              </w:rPr>
            </w:pPr>
            <w:r w:rsidRPr="009B7B35">
              <w:rPr>
                <w:rFonts w:cs="Arial"/>
              </w:rPr>
              <w:t>are visible from the street and visitor car parking areas</w:t>
            </w:r>
          </w:p>
          <w:p w14:paraId="784951C0" w14:textId="77777777" w:rsidR="00BE36FB" w:rsidRPr="009B7B35" w:rsidRDefault="00BE36FB" w:rsidP="00BE36FB">
            <w:pPr>
              <w:pStyle w:val="TableText"/>
              <w:numPr>
                <w:ilvl w:val="0"/>
                <w:numId w:val="567"/>
              </w:numPr>
              <w:rPr>
                <w:rFonts w:cs="Arial"/>
              </w:rPr>
            </w:pPr>
            <w:r w:rsidRPr="009B7B35">
              <w:rPr>
                <w:rFonts w:cs="Arial"/>
              </w:rPr>
              <w:t>are separate to vehicle access points</w:t>
            </w:r>
          </w:p>
          <w:p w14:paraId="2FD22A56" w14:textId="77777777" w:rsidR="00BE36FB" w:rsidRPr="009B7B35" w:rsidRDefault="00BE36FB" w:rsidP="00BE36FB">
            <w:pPr>
              <w:pStyle w:val="TableText"/>
              <w:numPr>
                <w:ilvl w:val="0"/>
                <w:numId w:val="567"/>
              </w:numPr>
              <w:rPr>
                <w:rFonts w:cs="Arial"/>
              </w:rPr>
            </w:pPr>
            <w:r w:rsidRPr="009B7B35">
              <w:rPr>
                <w:rFonts w:cs="Arial"/>
              </w:rPr>
              <w:t>incorporate sun and rain shelter, such as overhangs or awnings, and</w:t>
            </w:r>
          </w:p>
          <w:p w14:paraId="2CAEFB30" w14:textId="77777777" w:rsidR="00BE36FB" w:rsidRPr="009B7B35" w:rsidRDefault="00BE36FB" w:rsidP="00BE36FB">
            <w:pPr>
              <w:pStyle w:val="TableText"/>
              <w:numPr>
                <w:ilvl w:val="0"/>
                <w:numId w:val="567"/>
              </w:numPr>
              <w:rPr>
                <w:rFonts w:cs="Arial"/>
              </w:rPr>
            </w:pPr>
            <w:r w:rsidRPr="009B7B35">
              <w:rPr>
                <w:rFonts w:cs="Arial"/>
              </w:rPr>
              <w:t>are defined by human scale design elements (such as, doors, windows, awnings, a portico, landscaping, etc).</w:t>
            </w:r>
          </w:p>
        </w:tc>
        <w:tc>
          <w:tcPr>
            <w:tcW w:w="4678" w:type="dxa"/>
          </w:tcPr>
          <w:p w14:paraId="4FE7210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14:paraId="044171E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7BAF5477" w14:textId="77777777" w:rsidR="00BE36FB" w:rsidRPr="009B7B35" w:rsidRDefault="00BE36FB" w:rsidP="001A7107">
            <w:pPr>
              <w:pStyle w:val="TableText"/>
              <w:rPr>
                <w:rFonts w:cs="Arial"/>
                <w:b/>
                <w:bCs/>
              </w:rPr>
            </w:pPr>
            <w:r w:rsidRPr="009B7B35">
              <w:rPr>
                <w:rFonts w:cs="Arial"/>
                <w:b/>
                <w:bCs/>
              </w:rPr>
              <w:t>PO11</w:t>
            </w:r>
          </w:p>
          <w:p w14:paraId="104842A8" w14:textId="77777777" w:rsidR="00BE36FB" w:rsidRPr="009B7B35" w:rsidRDefault="00BE36FB" w:rsidP="001A7107">
            <w:pPr>
              <w:pStyle w:val="TableText"/>
              <w:rPr>
                <w:rFonts w:cs="Arial"/>
              </w:rPr>
            </w:pPr>
            <w:r w:rsidRPr="009B7B35">
              <w:rPr>
                <w:rFonts w:cs="Arial"/>
              </w:rPr>
              <w:t>Buildings must be orientated to the street or public space and facilitate casual surveillance of the street and any adjoining public space.</w:t>
            </w:r>
          </w:p>
          <w:p w14:paraId="3F31F063" w14:textId="77777777" w:rsidR="00BE36FB" w:rsidRPr="009B7B35" w:rsidRDefault="00BE36FB" w:rsidP="001A7107">
            <w:pPr>
              <w:pStyle w:val="Notes"/>
              <w:rPr>
                <w:rFonts w:cs="Arial"/>
                <w:sz w:val="20"/>
                <w:szCs w:val="20"/>
              </w:rPr>
            </w:pPr>
            <w:r w:rsidRPr="009B7B35">
              <w:rPr>
                <w:rFonts w:cs="Arial"/>
                <w:sz w:val="20"/>
                <w:szCs w:val="20"/>
              </w:rPr>
              <w:t>Note—This applies to all street frontages where development fronts more than one street.</w:t>
            </w:r>
          </w:p>
        </w:tc>
        <w:tc>
          <w:tcPr>
            <w:tcW w:w="4678" w:type="dxa"/>
          </w:tcPr>
          <w:p w14:paraId="79DFD92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AO11</w:t>
            </w:r>
          </w:p>
          <w:p w14:paraId="1B99DF0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Buildings include the following features where facing the street or public space:</w:t>
            </w:r>
          </w:p>
          <w:p w14:paraId="790D8B6B" w14:textId="77777777" w:rsidR="00BE36FB" w:rsidRPr="009B7B35" w:rsidRDefault="00BE36FB" w:rsidP="00BE36FB">
            <w:pPr>
              <w:numPr>
                <w:ilvl w:val="0"/>
                <w:numId w:val="232"/>
              </w:numPr>
              <w:ind w:left="510" w:hanging="510"/>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 xml:space="preserve">large windows associated with living areas, or </w:t>
            </w:r>
          </w:p>
          <w:p w14:paraId="17AA8873" w14:textId="77777777" w:rsidR="00BE36FB" w:rsidRPr="009B7B35" w:rsidRDefault="00BE36FB" w:rsidP="00BE36FB">
            <w:pPr>
              <w:numPr>
                <w:ilvl w:val="0"/>
                <w:numId w:val="232"/>
              </w:numPr>
              <w:ind w:left="510" w:hanging="510"/>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balconies or verandahs.</w:t>
            </w:r>
          </w:p>
        </w:tc>
      </w:tr>
      <w:tr w:rsidR="00BE36FB" w:rsidRPr="009B7B35" w14:paraId="164247B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5DBC7C3E" w14:textId="77777777" w:rsidR="00BE36FB" w:rsidRPr="009B7B35" w:rsidRDefault="00BE36FB" w:rsidP="001A7107">
            <w:pPr>
              <w:pStyle w:val="TableText"/>
              <w:rPr>
                <w:rFonts w:cs="Arial"/>
                <w:b/>
                <w:bCs/>
              </w:rPr>
            </w:pPr>
            <w:r w:rsidRPr="009B7B35">
              <w:rPr>
                <w:rFonts w:cs="Arial"/>
                <w:b/>
                <w:bCs/>
              </w:rPr>
              <w:t>PO12</w:t>
            </w:r>
          </w:p>
          <w:p w14:paraId="22F74CFD" w14:textId="77777777" w:rsidR="00BE36FB" w:rsidRPr="009B7B35" w:rsidRDefault="00BE36FB" w:rsidP="001A7107">
            <w:pPr>
              <w:pStyle w:val="TableText"/>
              <w:rPr>
                <w:rFonts w:cs="Arial"/>
              </w:rPr>
            </w:pPr>
            <w:r w:rsidRPr="009B7B35">
              <w:rPr>
                <w:rFonts w:cs="Arial"/>
              </w:rPr>
              <w:t>Development facilitates the security of people and property having regard to:</w:t>
            </w:r>
          </w:p>
          <w:p w14:paraId="0451400F" w14:textId="77777777" w:rsidR="00BE36FB" w:rsidRPr="009B7B35" w:rsidRDefault="00BE36FB" w:rsidP="00BE36FB">
            <w:pPr>
              <w:pStyle w:val="TableText"/>
              <w:numPr>
                <w:ilvl w:val="0"/>
                <w:numId w:val="441"/>
              </w:numPr>
              <w:rPr>
                <w:rFonts w:cs="Arial"/>
              </w:rPr>
            </w:pPr>
            <w:r w:rsidRPr="009B7B35">
              <w:rPr>
                <w:rFonts w:cs="Arial"/>
              </w:rPr>
              <w:t>opportunities for casual surveillance and sight lines</w:t>
            </w:r>
          </w:p>
          <w:p w14:paraId="3C133121" w14:textId="77777777" w:rsidR="00BE36FB" w:rsidRPr="009B7B35" w:rsidRDefault="00BE36FB" w:rsidP="00BE36FB">
            <w:pPr>
              <w:pStyle w:val="TableText"/>
              <w:numPr>
                <w:ilvl w:val="0"/>
                <w:numId w:val="441"/>
              </w:numPr>
              <w:rPr>
                <w:rFonts w:cs="Arial"/>
              </w:rPr>
            </w:pPr>
            <w:r w:rsidRPr="009B7B35">
              <w:rPr>
                <w:rFonts w:cs="Arial"/>
              </w:rPr>
              <w:t>exterior building design that promotes safety</w:t>
            </w:r>
          </w:p>
          <w:p w14:paraId="475082E0" w14:textId="77777777" w:rsidR="00BE36FB" w:rsidRPr="009B7B35" w:rsidRDefault="00BE36FB" w:rsidP="00BE36FB">
            <w:pPr>
              <w:pStyle w:val="TableText"/>
              <w:numPr>
                <w:ilvl w:val="0"/>
                <w:numId w:val="441"/>
              </w:numPr>
              <w:rPr>
                <w:rFonts w:cs="Arial"/>
              </w:rPr>
            </w:pPr>
            <w:r w:rsidRPr="009B7B35">
              <w:rPr>
                <w:rFonts w:cs="Arial"/>
              </w:rPr>
              <w:t>adequate lighting</w:t>
            </w:r>
          </w:p>
          <w:p w14:paraId="76B99494" w14:textId="77777777" w:rsidR="00BE36FB" w:rsidRPr="009B7B35" w:rsidRDefault="00BE36FB" w:rsidP="00BE36FB">
            <w:pPr>
              <w:pStyle w:val="TableText"/>
              <w:numPr>
                <w:ilvl w:val="0"/>
                <w:numId w:val="441"/>
              </w:numPr>
              <w:rPr>
                <w:rFonts w:cs="Arial"/>
              </w:rPr>
            </w:pPr>
            <w:r w:rsidRPr="009B7B35">
              <w:rPr>
                <w:rFonts w:cs="Arial"/>
              </w:rPr>
              <w:t>appropriate signage and wayfinding</w:t>
            </w:r>
          </w:p>
          <w:p w14:paraId="4885DD5D" w14:textId="77777777" w:rsidR="00BE36FB" w:rsidRPr="009B7B35" w:rsidRDefault="00BE36FB" w:rsidP="00BE36FB">
            <w:pPr>
              <w:pStyle w:val="TableText"/>
              <w:numPr>
                <w:ilvl w:val="0"/>
                <w:numId w:val="441"/>
              </w:numPr>
              <w:rPr>
                <w:rFonts w:cs="Arial"/>
              </w:rPr>
            </w:pPr>
            <w:r w:rsidRPr="009B7B35">
              <w:rPr>
                <w:rFonts w:cs="Arial"/>
              </w:rPr>
              <w:t>minimisation of entrapment locations, and</w:t>
            </w:r>
          </w:p>
          <w:p w14:paraId="528A0C54" w14:textId="77777777" w:rsidR="00BE36FB" w:rsidRPr="009B7B35" w:rsidRDefault="00BE36FB" w:rsidP="00BE36FB">
            <w:pPr>
              <w:pStyle w:val="TableText"/>
              <w:numPr>
                <w:ilvl w:val="0"/>
                <w:numId w:val="441"/>
              </w:numPr>
              <w:rPr>
                <w:rFonts w:cs="Arial"/>
              </w:rPr>
            </w:pPr>
            <w:r w:rsidRPr="009B7B35">
              <w:rPr>
                <w:rFonts w:cs="Arial"/>
              </w:rPr>
              <w:t>building entrances, loading and storage areas that are well lit and lockable after hours.</w:t>
            </w:r>
          </w:p>
          <w:p w14:paraId="1507E0AA" w14:textId="77777777" w:rsidR="00BE36FB" w:rsidRPr="009B7B35" w:rsidRDefault="00BE36FB" w:rsidP="001A7107">
            <w:pPr>
              <w:pStyle w:val="Notes"/>
              <w:rPr>
                <w:rFonts w:cs="Arial"/>
                <w:sz w:val="20"/>
                <w:szCs w:val="20"/>
              </w:rPr>
            </w:pPr>
            <w:r w:rsidRPr="009B7B35">
              <w:rPr>
                <w:rFonts w:cs="Arial"/>
                <w:sz w:val="20"/>
                <w:szCs w:val="20"/>
              </w:rPr>
              <w:t xml:space="preserve">Note—Applicants should have regard to </w:t>
            </w:r>
            <w:hyperlink r:id="rId45" w:tgtFrame="_blank" w:tooltip="Crime Prevention through Environmental Design Guidelines for Queensland" w:history="1">
              <w:r w:rsidRPr="009B7B35">
                <w:rPr>
                  <w:rStyle w:val="Hyperlink"/>
                  <w:rFonts w:cs="Arial"/>
                  <w:sz w:val="20"/>
                  <w:szCs w:val="20"/>
                </w:rPr>
                <w:t>Crime Prevention through Environmental Design Guidelines for Queensland</w:t>
              </w:r>
            </w:hyperlink>
            <w:r w:rsidRPr="009B7B35">
              <w:rPr>
                <w:rFonts w:cs="Arial"/>
                <w:sz w:val="20"/>
                <w:szCs w:val="20"/>
              </w:rPr>
              <w:t>.</w:t>
            </w:r>
          </w:p>
        </w:tc>
        <w:tc>
          <w:tcPr>
            <w:tcW w:w="4678" w:type="dxa"/>
          </w:tcPr>
          <w:p w14:paraId="6A428DA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14:paraId="012259B0"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07C53855" w14:textId="77777777" w:rsidR="00BE36FB" w:rsidRPr="009B7B35" w:rsidRDefault="00BE36FB" w:rsidP="001A7107">
            <w:pPr>
              <w:pStyle w:val="TableText"/>
              <w:rPr>
                <w:rFonts w:cs="Arial"/>
                <w:b/>
                <w:bCs/>
              </w:rPr>
            </w:pPr>
            <w:r w:rsidRPr="009B7B35">
              <w:rPr>
                <w:rFonts w:cs="Arial"/>
                <w:b/>
                <w:bCs/>
              </w:rPr>
              <w:t>PO13</w:t>
            </w:r>
          </w:p>
          <w:p w14:paraId="340EBEFD" w14:textId="77777777" w:rsidR="00BE36FB" w:rsidRPr="009B7B35" w:rsidRDefault="00BE36FB" w:rsidP="001A7107">
            <w:pPr>
              <w:pStyle w:val="TableText"/>
              <w:rPr>
                <w:rFonts w:cs="Arial"/>
              </w:rPr>
            </w:pPr>
            <w:r w:rsidRPr="009B7B35">
              <w:rPr>
                <w:rFonts w:cs="Arial"/>
              </w:rPr>
              <w:t xml:space="preserve">Design elements contribute to an interesting and attractive building through: </w:t>
            </w:r>
          </w:p>
          <w:p w14:paraId="34C1CCE6" w14:textId="77777777" w:rsidR="00BE36FB" w:rsidRPr="009B7B35" w:rsidRDefault="00BE36FB" w:rsidP="00BE36FB">
            <w:pPr>
              <w:pStyle w:val="TableText"/>
              <w:numPr>
                <w:ilvl w:val="0"/>
                <w:numId w:val="568"/>
              </w:numPr>
              <w:rPr>
                <w:rFonts w:cs="Arial"/>
              </w:rPr>
            </w:pPr>
            <w:r w:rsidRPr="009B7B35">
              <w:rPr>
                <w:rFonts w:cs="Arial"/>
              </w:rPr>
              <w:t>the provision of projections and recesses in the façade which reflect changes in internal functions of buildings, including circulation</w:t>
            </w:r>
          </w:p>
          <w:p w14:paraId="09DE56FE" w14:textId="77777777" w:rsidR="00BE36FB" w:rsidRPr="009B7B35" w:rsidRDefault="00BE36FB" w:rsidP="00BE36FB">
            <w:pPr>
              <w:pStyle w:val="TableText"/>
              <w:numPr>
                <w:ilvl w:val="0"/>
                <w:numId w:val="568"/>
              </w:numPr>
              <w:rPr>
                <w:rFonts w:cs="Arial"/>
              </w:rPr>
            </w:pPr>
            <w:r w:rsidRPr="009B7B35">
              <w:rPr>
                <w:rFonts w:cs="Arial"/>
              </w:rPr>
              <w:t>variations in materials and building form</w:t>
            </w:r>
          </w:p>
          <w:p w14:paraId="31BC1408" w14:textId="77777777" w:rsidR="00BE36FB" w:rsidRPr="009B7B35" w:rsidRDefault="00BE36FB" w:rsidP="00BE36FB">
            <w:pPr>
              <w:pStyle w:val="TableText"/>
              <w:numPr>
                <w:ilvl w:val="0"/>
                <w:numId w:val="568"/>
              </w:numPr>
              <w:rPr>
                <w:rFonts w:cs="Arial"/>
              </w:rPr>
            </w:pPr>
            <w:r w:rsidRPr="009B7B35">
              <w:rPr>
                <w:rFonts w:cs="Arial"/>
              </w:rPr>
              <w:t>modulation in the façade, horizontally or vertically</w:t>
            </w:r>
          </w:p>
          <w:p w14:paraId="175954DE" w14:textId="77777777" w:rsidR="00BE36FB" w:rsidRPr="009B7B35" w:rsidRDefault="00BE36FB" w:rsidP="00BE36FB">
            <w:pPr>
              <w:pStyle w:val="TableText"/>
              <w:numPr>
                <w:ilvl w:val="0"/>
                <w:numId w:val="568"/>
              </w:numPr>
              <w:rPr>
                <w:rFonts w:cs="Arial"/>
              </w:rPr>
            </w:pPr>
            <w:r w:rsidRPr="009B7B35">
              <w:rPr>
                <w:rFonts w:cs="Arial"/>
              </w:rPr>
              <w:t>articulation of building entrances and openings</w:t>
            </w:r>
          </w:p>
          <w:p w14:paraId="591999F2" w14:textId="77777777" w:rsidR="00BE36FB" w:rsidRPr="009B7B35" w:rsidRDefault="00BE36FB" w:rsidP="00BE36FB">
            <w:pPr>
              <w:pStyle w:val="TableText"/>
              <w:numPr>
                <w:ilvl w:val="0"/>
                <w:numId w:val="568"/>
              </w:numPr>
              <w:rPr>
                <w:rFonts w:cs="Arial"/>
              </w:rPr>
            </w:pPr>
            <w:r w:rsidRPr="009B7B35">
              <w:rPr>
                <w:rFonts w:cs="Arial"/>
              </w:rPr>
              <w:t>corner treatments to address both street frontages</w:t>
            </w:r>
          </w:p>
          <w:p w14:paraId="4633B5D3" w14:textId="77777777" w:rsidR="00BE36FB" w:rsidRPr="009B7B35" w:rsidRDefault="00BE36FB" w:rsidP="00BE36FB">
            <w:pPr>
              <w:pStyle w:val="TableText"/>
              <w:numPr>
                <w:ilvl w:val="0"/>
                <w:numId w:val="568"/>
              </w:numPr>
              <w:rPr>
                <w:rFonts w:cs="Arial"/>
              </w:rPr>
            </w:pPr>
            <w:r w:rsidRPr="009B7B35">
              <w:rPr>
                <w:rFonts w:cs="Arial"/>
              </w:rPr>
              <w:t xml:space="preserve">elements which assist in wayfinding and legibility, and </w:t>
            </w:r>
          </w:p>
          <w:p w14:paraId="48D3427C" w14:textId="77777777" w:rsidR="00BE36FB" w:rsidRPr="009B7B35" w:rsidRDefault="00BE36FB" w:rsidP="00BE36FB">
            <w:pPr>
              <w:pStyle w:val="TableText"/>
              <w:numPr>
                <w:ilvl w:val="0"/>
                <w:numId w:val="568"/>
              </w:numPr>
              <w:rPr>
                <w:rFonts w:cs="Arial"/>
              </w:rPr>
            </w:pPr>
            <w:r w:rsidRPr="009B7B35">
              <w:rPr>
                <w:rFonts w:cs="Arial"/>
              </w:rPr>
              <w:t>elements which relate to the context including surrounding buildings, parks, streets and open spaces.</w:t>
            </w:r>
          </w:p>
        </w:tc>
        <w:tc>
          <w:tcPr>
            <w:tcW w:w="4678" w:type="dxa"/>
          </w:tcPr>
          <w:p w14:paraId="6BAA58E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14:paraId="45CFED46"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1DD76378" w14:textId="77777777" w:rsidR="00BE36FB" w:rsidRPr="009B7B35" w:rsidRDefault="00BE36FB" w:rsidP="001A7107">
            <w:pPr>
              <w:pStyle w:val="TableText"/>
              <w:rPr>
                <w:rFonts w:cs="Arial"/>
                <w:b/>
                <w:bCs/>
              </w:rPr>
            </w:pPr>
            <w:r w:rsidRPr="009B7B35">
              <w:rPr>
                <w:rFonts w:cs="Arial"/>
                <w:b/>
                <w:bCs/>
              </w:rPr>
              <w:t>PO14</w:t>
            </w:r>
          </w:p>
          <w:p w14:paraId="6B0FC4B7" w14:textId="77777777" w:rsidR="00BE36FB" w:rsidRPr="009B7B35" w:rsidRDefault="00BE36FB" w:rsidP="001A7107">
            <w:pPr>
              <w:rPr>
                <w:rFonts w:cs="Arial"/>
                <w:sz w:val="20"/>
                <w:szCs w:val="20"/>
              </w:rPr>
            </w:pPr>
            <w:r w:rsidRPr="009B7B35">
              <w:rPr>
                <w:rFonts w:cs="Arial"/>
                <w:sz w:val="20"/>
                <w:szCs w:val="20"/>
              </w:rPr>
              <w:t xml:space="preserve">Roof form assists in reducing the appearance of building bulk by: </w:t>
            </w:r>
          </w:p>
          <w:p w14:paraId="56FA88D1" w14:textId="77777777" w:rsidR="00BE36FB" w:rsidRPr="009B7B35" w:rsidRDefault="00BE36FB" w:rsidP="00BE36FB">
            <w:pPr>
              <w:pStyle w:val="TableText"/>
              <w:numPr>
                <w:ilvl w:val="0"/>
                <w:numId w:val="569"/>
              </w:numPr>
              <w:ind w:left="567" w:hanging="567"/>
              <w:rPr>
                <w:rFonts w:cs="Arial"/>
              </w:rPr>
            </w:pPr>
            <w:r w:rsidRPr="009B7B35">
              <w:rPr>
                <w:rFonts w:cs="Arial"/>
              </w:rPr>
              <w:t xml:space="preserve">articulating individual dwellings, and </w:t>
            </w:r>
          </w:p>
          <w:p w14:paraId="645FA48C" w14:textId="77777777" w:rsidR="00BE36FB" w:rsidRPr="009B7B35" w:rsidRDefault="00BE36FB" w:rsidP="00BE36FB">
            <w:pPr>
              <w:pStyle w:val="TableText"/>
              <w:numPr>
                <w:ilvl w:val="0"/>
                <w:numId w:val="569"/>
              </w:numPr>
              <w:ind w:left="567" w:hanging="567"/>
              <w:rPr>
                <w:rFonts w:cs="Arial"/>
              </w:rPr>
            </w:pPr>
            <w:r w:rsidRPr="009B7B35">
              <w:rPr>
                <w:rFonts w:cs="Arial"/>
              </w:rPr>
              <w:t>incorporating variety in design through use of roof pitch, height, gables and skillions.</w:t>
            </w:r>
          </w:p>
        </w:tc>
        <w:tc>
          <w:tcPr>
            <w:tcW w:w="4678" w:type="dxa"/>
          </w:tcPr>
          <w:p w14:paraId="44387AE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14:paraId="4833D8FC"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54CE6BD9" w14:textId="77777777" w:rsidR="00BE36FB" w:rsidRPr="009B7B35" w:rsidRDefault="00BE36FB" w:rsidP="001A7107">
            <w:pPr>
              <w:pStyle w:val="TableText"/>
              <w:rPr>
                <w:rFonts w:cs="Arial"/>
                <w:b/>
                <w:bCs/>
              </w:rPr>
            </w:pPr>
            <w:r w:rsidRPr="009B7B35">
              <w:rPr>
                <w:rFonts w:cs="Arial"/>
                <w:b/>
                <w:bCs/>
              </w:rPr>
              <w:t>PO15</w:t>
            </w:r>
          </w:p>
          <w:p w14:paraId="0E0C405F" w14:textId="77777777" w:rsidR="00BE36FB" w:rsidRPr="009B7B35" w:rsidRDefault="00BE36FB">
            <w:pPr>
              <w:pStyle w:val="TableText"/>
              <w:rPr>
                <w:rFonts w:cs="Arial"/>
              </w:rPr>
            </w:pPr>
            <w:r w:rsidRPr="009B7B35">
              <w:rPr>
                <w:rFonts w:cs="Arial"/>
              </w:rPr>
              <w:t>Building design and site layout, optimise accessibility and convenience for users, particularly pedestrians.</w:t>
            </w:r>
          </w:p>
        </w:tc>
        <w:tc>
          <w:tcPr>
            <w:tcW w:w="4678" w:type="dxa"/>
          </w:tcPr>
          <w:p w14:paraId="070E3C8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14:paraId="1F412568"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08181743" w14:textId="77777777" w:rsidR="00BE36FB" w:rsidRPr="009B7B35" w:rsidRDefault="00BE36FB" w:rsidP="001A7107">
            <w:pPr>
              <w:pStyle w:val="Tableheading"/>
              <w:rPr>
                <w:rFonts w:ascii="Arial" w:hAnsi="Arial" w:cs="Arial"/>
                <w:szCs w:val="20"/>
              </w:rPr>
            </w:pPr>
            <w:r w:rsidRPr="009B7B35">
              <w:rPr>
                <w:rFonts w:ascii="Arial" w:hAnsi="Arial" w:cs="Arial"/>
                <w:szCs w:val="20"/>
              </w:rPr>
              <w:t>Open space</w:t>
            </w:r>
          </w:p>
        </w:tc>
      </w:tr>
      <w:tr w:rsidR="00BE36FB" w:rsidRPr="009B7B35" w14:paraId="49A2FE51"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2144C5E0" w14:textId="77777777" w:rsidR="00BE36FB" w:rsidRPr="009B7B35" w:rsidRDefault="00BE36FB" w:rsidP="001A7107">
            <w:pPr>
              <w:pStyle w:val="TableText"/>
              <w:rPr>
                <w:rFonts w:cs="Arial"/>
                <w:b/>
                <w:bCs/>
              </w:rPr>
            </w:pPr>
            <w:r w:rsidRPr="009B7B35">
              <w:rPr>
                <w:rFonts w:cs="Arial"/>
                <w:b/>
                <w:bCs/>
              </w:rPr>
              <w:t>PO16</w:t>
            </w:r>
          </w:p>
          <w:p w14:paraId="6667D39A" w14:textId="77777777" w:rsidR="00BE36FB" w:rsidRPr="009B7B35" w:rsidRDefault="00BE36FB" w:rsidP="001A7107">
            <w:pPr>
              <w:pStyle w:val="TableText"/>
              <w:rPr>
                <w:rFonts w:cs="Arial"/>
              </w:rPr>
            </w:pPr>
            <w:r w:rsidRPr="009B7B35">
              <w:rPr>
                <w:rFonts w:cs="Arial"/>
              </w:rPr>
              <w:t>Open space is oriented to maximise solar access.</w:t>
            </w:r>
          </w:p>
        </w:tc>
        <w:tc>
          <w:tcPr>
            <w:tcW w:w="4678" w:type="dxa"/>
          </w:tcPr>
          <w:p w14:paraId="382DA1B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14:paraId="55AF44B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0D0352C7" w14:textId="77777777" w:rsidR="00BE36FB" w:rsidRPr="009B7B35" w:rsidRDefault="00BE36FB" w:rsidP="001A7107">
            <w:pPr>
              <w:pStyle w:val="TableText"/>
              <w:rPr>
                <w:rFonts w:cs="Arial"/>
                <w:b/>
                <w:bCs/>
              </w:rPr>
            </w:pPr>
            <w:r w:rsidRPr="009B7B35">
              <w:rPr>
                <w:rFonts w:cs="Arial"/>
                <w:b/>
                <w:bCs/>
              </w:rPr>
              <w:t>PO17</w:t>
            </w:r>
          </w:p>
          <w:p w14:paraId="538B5E9B" w14:textId="77777777" w:rsidR="00BE36FB" w:rsidRPr="009B7B35" w:rsidRDefault="00BE36FB" w:rsidP="001A7107">
            <w:pPr>
              <w:pStyle w:val="TableText"/>
              <w:rPr>
                <w:rFonts w:cs="Arial"/>
              </w:rPr>
            </w:pPr>
            <w:r w:rsidRPr="009B7B35">
              <w:rPr>
                <w:rFonts w:cs="Arial"/>
              </w:rPr>
              <w:t xml:space="preserve">Communal open space is: </w:t>
            </w:r>
          </w:p>
          <w:p w14:paraId="24B930A2" w14:textId="77777777" w:rsidR="00BE36FB" w:rsidRPr="009B7B35" w:rsidRDefault="00BE36FB" w:rsidP="00BE36FB">
            <w:pPr>
              <w:pStyle w:val="TableText"/>
              <w:numPr>
                <w:ilvl w:val="0"/>
                <w:numId w:val="570"/>
              </w:numPr>
              <w:rPr>
                <w:rFonts w:cs="Arial"/>
              </w:rPr>
            </w:pPr>
            <w:r w:rsidRPr="009B7B35">
              <w:rPr>
                <w:rFonts w:cs="Arial"/>
              </w:rPr>
              <w:t xml:space="preserve">designed to provide useable areas for communal activities such as clothes drying and social interaction, and </w:t>
            </w:r>
          </w:p>
          <w:p w14:paraId="6F8B85E6" w14:textId="77777777" w:rsidR="00BE36FB" w:rsidRPr="009B7B35" w:rsidRDefault="00BE36FB" w:rsidP="00BE36FB">
            <w:pPr>
              <w:pStyle w:val="TableText"/>
              <w:numPr>
                <w:ilvl w:val="0"/>
                <w:numId w:val="570"/>
              </w:numPr>
              <w:rPr>
                <w:rFonts w:cs="Arial"/>
              </w:rPr>
            </w:pPr>
            <w:r w:rsidRPr="009B7B35">
              <w:rPr>
                <w:rFonts w:cs="Arial"/>
              </w:rPr>
              <w:t>is not dominated by landscaping.</w:t>
            </w:r>
          </w:p>
        </w:tc>
        <w:tc>
          <w:tcPr>
            <w:tcW w:w="4678" w:type="dxa"/>
          </w:tcPr>
          <w:p w14:paraId="569CBA9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14:paraId="013054D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3FECF99A" w14:textId="77777777"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14:paraId="6A9DBBB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3633E2BF" w14:textId="77777777" w:rsidR="00BE36FB" w:rsidRPr="009B7B35" w:rsidRDefault="00BE36FB" w:rsidP="001A7107">
            <w:pPr>
              <w:pStyle w:val="TableText"/>
              <w:rPr>
                <w:rFonts w:cs="Arial"/>
                <w:b/>
                <w:bCs/>
              </w:rPr>
            </w:pPr>
            <w:r w:rsidRPr="009B7B35">
              <w:rPr>
                <w:rFonts w:cs="Arial"/>
                <w:b/>
                <w:bCs/>
              </w:rPr>
              <w:t>PO18</w:t>
            </w:r>
          </w:p>
          <w:p w14:paraId="7F8E9206" w14:textId="77777777" w:rsidR="00BE36FB" w:rsidRPr="009B7B35" w:rsidRDefault="00BE36FB" w:rsidP="001A7107">
            <w:pPr>
              <w:pStyle w:val="TableText"/>
              <w:rPr>
                <w:rFonts w:cs="Arial"/>
              </w:rPr>
            </w:pPr>
            <w:r w:rsidRPr="009B7B35">
              <w:rPr>
                <w:rFonts w:cs="Arial"/>
              </w:rPr>
              <w:t>Habitable spaces must not directly overlook dwellings on adjacent land.</w:t>
            </w:r>
          </w:p>
        </w:tc>
        <w:tc>
          <w:tcPr>
            <w:tcW w:w="4678" w:type="dxa"/>
          </w:tcPr>
          <w:p w14:paraId="1B84F74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AO18</w:t>
            </w:r>
          </w:p>
          <w:p w14:paraId="570F257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Habitable room windows of a dwelling unit are separated a minimum of 9m from a habitable room window or private open space of another dwelling unit unless:</w:t>
            </w:r>
          </w:p>
          <w:p w14:paraId="7B1C91A1" w14:textId="77777777" w:rsidR="00BE36FB" w:rsidRPr="009B7B35" w:rsidRDefault="00BE36FB" w:rsidP="00BE36FB">
            <w:pPr>
              <w:numPr>
                <w:ilvl w:val="0"/>
                <w:numId w:val="124"/>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 xml:space="preserve">windows have translucent glazing or sill heights of at least 1.5m, or </w:t>
            </w:r>
          </w:p>
          <w:p w14:paraId="120BBA10" w14:textId="77777777" w:rsidR="00BE36FB" w:rsidRPr="009B7B35" w:rsidRDefault="00BE36FB" w:rsidP="00BE36FB">
            <w:pPr>
              <w:numPr>
                <w:ilvl w:val="0"/>
                <w:numId w:val="124"/>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there is a 1.8m high dividing fence at ground level</w:t>
            </w:r>
          </w:p>
          <w:p w14:paraId="66EDB2EE" w14:textId="77777777" w:rsidR="00BE36FB" w:rsidRPr="009B7B35" w:rsidRDefault="00BE36FB" w:rsidP="00BE36FB">
            <w:pPr>
              <w:numPr>
                <w:ilvl w:val="0"/>
                <w:numId w:val="124"/>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outlook from windows, balconies, and terraces of a dwelling unit is screened where screening is:</w:t>
            </w:r>
          </w:p>
          <w:p w14:paraId="47F63A5D" w14:textId="77777777" w:rsidR="00BE36FB" w:rsidRPr="009B7B35" w:rsidRDefault="00BE36FB" w:rsidP="00BE36FB">
            <w:pPr>
              <w:numPr>
                <w:ilvl w:val="1"/>
                <w:numId w:val="124"/>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 xml:space="preserve">a permanent screen or perforated panels or trellises which have a maximum of 50% openings, and </w:t>
            </w:r>
          </w:p>
          <w:p w14:paraId="4C29DCD3" w14:textId="77777777" w:rsidR="00BE36FB" w:rsidRPr="009B7B35" w:rsidRDefault="00BE36FB" w:rsidP="00BE36FB">
            <w:pPr>
              <w:numPr>
                <w:ilvl w:val="1"/>
                <w:numId w:val="124"/>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 xml:space="preserve">permanent and fixed, and designed to complement the development. </w:t>
            </w:r>
          </w:p>
          <w:p w14:paraId="7D0958B9" w14:textId="77777777" w:rsidR="00BE36FB" w:rsidRPr="009B7B35" w:rsidRDefault="00BE36FB" w:rsidP="001A7107">
            <w:pPr>
              <w:pStyle w:val="Notes"/>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Note—Refer below to Diagram 1—Privacy.</w:t>
            </w:r>
          </w:p>
        </w:tc>
      </w:tr>
      <w:tr w:rsidR="00BE36FB" w:rsidRPr="009B7B35" w14:paraId="2BC137D2"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4038890B" w14:textId="77777777" w:rsidR="00BE36FB" w:rsidRPr="009B7B35" w:rsidRDefault="00BE36FB" w:rsidP="001A7107">
            <w:pPr>
              <w:pStyle w:val="TableText"/>
              <w:rPr>
                <w:rFonts w:cs="Arial"/>
                <w:b/>
                <w:bCs/>
              </w:rPr>
            </w:pPr>
          </w:p>
        </w:tc>
        <w:tc>
          <w:tcPr>
            <w:tcW w:w="4678" w:type="dxa"/>
          </w:tcPr>
          <w:p w14:paraId="53EE5219" w14:textId="77777777" w:rsidR="00BE36FB" w:rsidRPr="009B7B35" w:rsidRDefault="00BE36FB" w:rsidP="001A7107">
            <w:pPr>
              <w:pStyle w:val="TableText"/>
              <w:jc w:val="cente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noProof/>
              </w:rPr>
              <w:drawing>
                <wp:inline distT="0" distB="0" distL="0" distR="0" wp14:anchorId="5CC5BBD5" wp14:editId="28C3CD3F">
                  <wp:extent cx="2774188" cy="3096545"/>
                  <wp:effectExtent l="0" t="0" r="7620" b="8890"/>
                  <wp:docPr id="28" name="Picture 28"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0909 Privacy Sections (100)"/>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9845" t="16667" r="61736" b="18762"/>
                          <a:stretch/>
                        </pic:blipFill>
                        <pic:spPr bwMode="auto">
                          <a:xfrm>
                            <a:off x="0" y="0"/>
                            <a:ext cx="2778024" cy="3100827"/>
                          </a:xfrm>
                          <a:prstGeom prst="rect">
                            <a:avLst/>
                          </a:prstGeom>
                          <a:noFill/>
                          <a:ln>
                            <a:noFill/>
                          </a:ln>
                          <a:extLst>
                            <a:ext uri="{53640926-AAD7-44D8-BBD7-CCE9431645EC}">
                              <a14:shadowObscured xmlns:a14="http://schemas.microsoft.com/office/drawing/2010/main"/>
                            </a:ext>
                          </a:extLst>
                        </pic:spPr>
                      </pic:pic>
                    </a:graphicData>
                  </a:graphic>
                </wp:inline>
              </w:drawing>
            </w:r>
          </w:p>
          <w:p w14:paraId="78D06085" w14:textId="77777777" w:rsidR="00BE36FB" w:rsidRPr="009B7B35" w:rsidRDefault="00BE36FB" w:rsidP="001A7107">
            <w:pPr>
              <w:pStyle w:val="TableText"/>
              <w:jc w:val="cente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noProof/>
              </w:rPr>
              <w:drawing>
                <wp:inline distT="0" distB="0" distL="0" distR="0" wp14:anchorId="7AA5AED1" wp14:editId="41308C53">
                  <wp:extent cx="2807872" cy="1265275"/>
                  <wp:effectExtent l="0" t="0" r="0" b="0"/>
                  <wp:docPr id="29" name="Picture 29"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0909 Privacy Sections (100)"/>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4841" t="27892" r="5426" b="33333"/>
                          <a:stretch/>
                        </pic:blipFill>
                        <pic:spPr bwMode="auto">
                          <a:xfrm>
                            <a:off x="0" y="0"/>
                            <a:ext cx="2826136" cy="1273505"/>
                          </a:xfrm>
                          <a:prstGeom prst="rect">
                            <a:avLst/>
                          </a:prstGeom>
                          <a:noFill/>
                          <a:ln>
                            <a:noFill/>
                          </a:ln>
                          <a:extLst>
                            <a:ext uri="{53640926-AAD7-44D8-BBD7-CCE9431645EC}">
                              <a14:shadowObscured xmlns:a14="http://schemas.microsoft.com/office/drawing/2010/main"/>
                            </a:ext>
                          </a:extLst>
                        </pic:spPr>
                      </pic:pic>
                    </a:graphicData>
                  </a:graphic>
                </wp:inline>
              </w:drawing>
            </w:r>
          </w:p>
          <w:p w14:paraId="6D13CD8B" w14:textId="77777777" w:rsidR="00BE36FB" w:rsidRPr="009B7B35" w:rsidRDefault="00BE36FB" w:rsidP="001A7107">
            <w:pPr>
              <w:pStyle w:val="Notes"/>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ab/>
              <w:t>Lattice</w:t>
            </w:r>
            <w:r w:rsidRPr="009B7B35">
              <w:rPr>
                <w:rFonts w:cs="Arial"/>
                <w:sz w:val="20"/>
                <w:szCs w:val="20"/>
              </w:rPr>
              <w:tab/>
              <w:t>Batterns</w:t>
            </w:r>
          </w:p>
        </w:tc>
      </w:tr>
      <w:tr w:rsidR="00BE36FB" w:rsidRPr="009B7B35" w14:paraId="0906DE6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2E87438A" w14:textId="77777777" w:rsidR="00BE36FB" w:rsidRPr="009B7B35" w:rsidRDefault="00BE36FB" w:rsidP="001A7107">
            <w:pPr>
              <w:pStyle w:val="TableText"/>
              <w:rPr>
                <w:rFonts w:cs="Arial"/>
                <w:b/>
                <w:bCs/>
              </w:rPr>
            </w:pPr>
            <w:r w:rsidRPr="009B7B35">
              <w:rPr>
                <w:rFonts w:cs="Arial"/>
                <w:b/>
                <w:bCs/>
              </w:rPr>
              <w:t>PO19</w:t>
            </w:r>
          </w:p>
          <w:p w14:paraId="1636CD37" w14:textId="77777777" w:rsidR="00BE36FB" w:rsidRPr="009B7B35" w:rsidRDefault="00BE36FB" w:rsidP="001A7107">
            <w:pPr>
              <w:pStyle w:val="TableText"/>
              <w:rPr>
                <w:rFonts w:cs="Arial"/>
              </w:rPr>
            </w:pPr>
            <w:r w:rsidRPr="009B7B35">
              <w:rPr>
                <w:rFonts w:cs="Arial"/>
              </w:rPr>
              <w:t>Landscaping is provided to enhance the appearance of the development, screen unsightly components, create an attractive on–site environment and provide shading.</w:t>
            </w:r>
          </w:p>
          <w:p w14:paraId="4F6B86C7" w14:textId="77777777" w:rsidR="00BE36FB" w:rsidRPr="009B7B35" w:rsidRDefault="00BE36FB">
            <w:pPr>
              <w:pStyle w:val="Notes"/>
              <w:rPr>
                <w:rFonts w:cs="Arial"/>
                <w:sz w:val="20"/>
                <w:szCs w:val="20"/>
              </w:rPr>
            </w:pPr>
            <w:r w:rsidRPr="009B7B35">
              <w:rPr>
                <w:rFonts w:cs="Arial"/>
                <w:sz w:val="20"/>
                <w:szCs w:val="20"/>
              </w:rPr>
              <w:t>Note—Applicants are also referred to the Landscaping code.</w:t>
            </w:r>
          </w:p>
        </w:tc>
        <w:tc>
          <w:tcPr>
            <w:tcW w:w="4678" w:type="dxa"/>
          </w:tcPr>
          <w:p w14:paraId="6B1E6B4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14:paraId="5F864FE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678F249B" w14:textId="77777777" w:rsidR="00BE36FB" w:rsidRPr="009B7B35" w:rsidRDefault="00BE36FB" w:rsidP="001A7107">
            <w:pPr>
              <w:pStyle w:val="TableText"/>
              <w:rPr>
                <w:rFonts w:cs="Arial"/>
                <w:b/>
                <w:bCs/>
              </w:rPr>
            </w:pPr>
            <w:r w:rsidRPr="009B7B35">
              <w:rPr>
                <w:rFonts w:cs="Arial"/>
                <w:b/>
                <w:bCs/>
              </w:rPr>
              <w:t>PO20</w:t>
            </w:r>
          </w:p>
          <w:p w14:paraId="797C2C91" w14:textId="77777777" w:rsidR="00BE36FB" w:rsidRPr="009B7B35" w:rsidRDefault="00BE36FB" w:rsidP="001A7107">
            <w:pPr>
              <w:pStyle w:val="TableText"/>
              <w:rPr>
                <w:rFonts w:cs="Arial"/>
              </w:rPr>
            </w:pPr>
            <w:r w:rsidRPr="009B7B35">
              <w:rPr>
                <w:rFonts w:cs="Arial"/>
              </w:rPr>
              <w:t>Plant equipment, waste, storage and servicing areas are screened from adjoining properties and from the street.</w:t>
            </w:r>
          </w:p>
        </w:tc>
        <w:tc>
          <w:tcPr>
            <w:tcW w:w="4678" w:type="dxa"/>
          </w:tcPr>
          <w:p w14:paraId="2BC6A3D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AO20</w:t>
            </w:r>
          </w:p>
          <w:p w14:paraId="7E88885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Plant equipment, waste, storage and servicing areas are:</w:t>
            </w:r>
          </w:p>
          <w:p w14:paraId="56E3102D" w14:textId="77777777" w:rsidR="00BE36FB" w:rsidRPr="009B7B35" w:rsidRDefault="00BE36FB" w:rsidP="00BE36FB">
            <w:pPr>
              <w:numPr>
                <w:ilvl w:val="0"/>
                <w:numId w:val="233"/>
              </w:numPr>
              <w:ind w:left="510" w:hanging="510"/>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not located adjacent to any road frontage, and</w:t>
            </w:r>
          </w:p>
          <w:p w14:paraId="5FF06C62" w14:textId="77777777" w:rsidR="00BE36FB" w:rsidRPr="009B7B35" w:rsidRDefault="00BE36FB" w:rsidP="00BE36FB">
            <w:pPr>
              <w:numPr>
                <w:ilvl w:val="0"/>
                <w:numId w:val="233"/>
              </w:numPr>
              <w:ind w:left="510" w:hanging="510"/>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screened from public view by either:</w:t>
            </w:r>
          </w:p>
          <w:p w14:paraId="257AC3DE" w14:textId="77777777" w:rsidR="00BE36FB" w:rsidRPr="009B7B35" w:rsidRDefault="00BE36FB" w:rsidP="00BE36FB">
            <w:pPr>
              <w:numPr>
                <w:ilvl w:val="1"/>
                <w:numId w:val="233"/>
              </w:numPr>
              <w:ind w:left="1077" w:hanging="283"/>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a 1.8m high solid wall or fence, constructed in materials and colours compatible with the main building on site, or</w:t>
            </w:r>
          </w:p>
          <w:p w14:paraId="71B8F470" w14:textId="77777777" w:rsidR="00BE36FB" w:rsidRPr="009B7B35" w:rsidRDefault="00BE36FB" w:rsidP="00BE36FB">
            <w:pPr>
              <w:numPr>
                <w:ilvl w:val="1"/>
                <w:numId w:val="233"/>
              </w:numPr>
              <w:ind w:left="1077" w:hanging="283"/>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mature landscaping that has the same effect as a 1.8m high wall.</w:t>
            </w:r>
          </w:p>
        </w:tc>
      </w:tr>
      <w:tr w:rsidR="00BE36FB" w:rsidRPr="009B7B35" w14:paraId="126E4C35"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3EB3CA8D"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7C68F1D4"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2C6E3D96" w14:textId="77777777" w:rsidR="00BE36FB" w:rsidRPr="009B7B35" w:rsidRDefault="00BE36FB" w:rsidP="001A7107">
            <w:pPr>
              <w:pStyle w:val="TableText"/>
              <w:rPr>
                <w:rFonts w:cs="Arial"/>
                <w:b/>
                <w:bCs/>
              </w:rPr>
            </w:pPr>
            <w:r w:rsidRPr="009B7B35">
              <w:rPr>
                <w:rFonts w:cs="Arial"/>
                <w:b/>
                <w:bCs/>
              </w:rPr>
              <w:t>PO21</w:t>
            </w:r>
          </w:p>
          <w:p w14:paraId="1C3D5D0A" w14:textId="77777777" w:rsidR="00BE36FB" w:rsidRPr="009B7B35" w:rsidRDefault="00BE36FB" w:rsidP="001A7107">
            <w:pPr>
              <w:pStyle w:val="TableText"/>
              <w:rPr>
                <w:rFonts w:cs="Arial"/>
              </w:rPr>
            </w:pPr>
            <w:r w:rsidRPr="009B7B35">
              <w:rPr>
                <w:rFonts w:cs="Arial"/>
              </w:rPr>
              <w:t>Development responds sensitively to on–site and surrounding topography, drainage patterns, utility services, access, vegetation and adjoining land use, such that:</w:t>
            </w:r>
          </w:p>
          <w:p w14:paraId="79270F49" w14:textId="77777777" w:rsidR="00BE36FB" w:rsidRPr="009B7B35" w:rsidRDefault="00BE36FB" w:rsidP="00BE36FB">
            <w:pPr>
              <w:pStyle w:val="TableText"/>
              <w:numPr>
                <w:ilvl w:val="0"/>
                <w:numId w:val="442"/>
              </w:numPr>
              <w:rPr>
                <w:rFonts w:cs="Arial"/>
              </w:rPr>
            </w:pPr>
            <w:r w:rsidRPr="009B7B35">
              <w:rPr>
                <w:rFonts w:cs="Arial"/>
              </w:rPr>
              <w:t>any hazards to people or property are avoided</w:t>
            </w:r>
          </w:p>
          <w:p w14:paraId="6A826EBC" w14:textId="77777777" w:rsidR="00BE36FB" w:rsidRPr="009B7B35" w:rsidRDefault="00BE36FB" w:rsidP="00BE36FB">
            <w:pPr>
              <w:pStyle w:val="TableText"/>
              <w:numPr>
                <w:ilvl w:val="0"/>
                <w:numId w:val="442"/>
              </w:numPr>
              <w:rPr>
                <w:rFonts w:cs="Arial"/>
              </w:rPr>
            </w:pPr>
            <w:r w:rsidRPr="009B7B35">
              <w:rPr>
                <w:rFonts w:cs="Arial"/>
              </w:rPr>
              <w:t>any earthworks are minimised</w:t>
            </w:r>
          </w:p>
          <w:p w14:paraId="28DF0F05" w14:textId="77777777" w:rsidR="00BE36FB" w:rsidRPr="009B7B35" w:rsidRDefault="00BE36FB" w:rsidP="00BE36FB">
            <w:pPr>
              <w:pStyle w:val="TableText"/>
              <w:numPr>
                <w:ilvl w:val="0"/>
                <w:numId w:val="442"/>
              </w:numPr>
              <w:rPr>
                <w:rFonts w:cs="Arial"/>
              </w:rPr>
            </w:pPr>
            <w:r w:rsidRPr="009B7B35">
              <w:rPr>
                <w:rFonts w:cs="Arial"/>
              </w:rPr>
              <w:t>the retention of natural drainage lines is maximised</w:t>
            </w:r>
          </w:p>
          <w:p w14:paraId="104FFBCD" w14:textId="77777777" w:rsidR="00BE36FB" w:rsidRPr="009B7B35" w:rsidRDefault="00BE36FB" w:rsidP="00BE36FB">
            <w:pPr>
              <w:pStyle w:val="TableText"/>
              <w:numPr>
                <w:ilvl w:val="0"/>
                <w:numId w:val="442"/>
              </w:numPr>
              <w:rPr>
                <w:rFonts w:cs="Arial"/>
              </w:rPr>
            </w:pPr>
            <w:r w:rsidRPr="009B7B35">
              <w:rPr>
                <w:rFonts w:cs="Arial"/>
              </w:rPr>
              <w:t>the retention of existing vegetation is maximised</w:t>
            </w:r>
          </w:p>
          <w:p w14:paraId="677B97CD" w14:textId="77777777" w:rsidR="00BE36FB" w:rsidRPr="009B7B35" w:rsidRDefault="00BE36FB" w:rsidP="00BE36FB">
            <w:pPr>
              <w:pStyle w:val="TableText"/>
              <w:numPr>
                <w:ilvl w:val="0"/>
                <w:numId w:val="442"/>
              </w:numPr>
              <w:rPr>
                <w:rFonts w:cs="Arial"/>
              </w:rPr>
            </w:pPr>
            <w:r w:rsidRPr="009B7B35">
              <w:rPr>
                <w:rFonts w:cs="Arial"/>
              </w:rPr>
              <w:t xml:space="preserve">damage or disruption to sewerage, stormwater and water infrastructure is avoided, and </w:t>
            </w:r>
          </w:p>
          <w:p w14:paraId="0B7B7362" w14:textId="77777777" w:rsidR="00BE36FB" w:rsidRPr="009B7B35" w:rsidRDefault="00BE36FB" w:rsidP="00BE36FB">
            <w:pPr>
              <w:pStyle w:val="TableText"/>
              <w:numPr>
                <w:ilvl w:val="0"/>
                <w:numId w:val="442"/>
              </w:numPr>
              <w:rPr>
                <w:rFonts w:cs="Arial"/>
              </w:rPr>
            </w:pPr>
            <w:r w:rsidRPr="009B7B35">
              <w:rPr>
                <w:rFonts w:cs="Arial"/>
              </w:rPr>
              <w:t>there is adequate buffering, screening or separation to adjoining development.</w:t>
            </w:r>
          </w:p>
        </w:tc>
        <w:tc>
          <w:tcPr>
            <w:tcW w:w="4678" w:type="dxa"/>
          </w:tcPr>
          <w:p w14:paraId="1A063D4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14:paraId="008D667D"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61123E96" w14:textId="77777777" w:rsidR="00BE36FB" w:rsidRPr="009B7B35" w:rsidRDefault="00BE36FB" w:rsidP="001A7107">
            <w:pPr>
              <w:pStyle w:val="TableText"/>
              <w:rPr>
                <w:rFonts w:cs="Arial"/>
                <w:b/>
                <w:bCs/>
              </w:rPr>
            </w:pPr>
            <w:r w:rsidRPr="009B7B35">
              <w:rPr>
                <w:rFonts w:cs="Arial"/>
                <w:b/>
                <w:bCs/>
              </w:rPr>
              <w:t>PO22</w:t>
            </w:r>
          </w:p>
          <w:p w14:paraId="13F7E1FA" w14:textId="77777777"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14:paraId="27A4F35C" w14:textId="77777777" w:rsidR="00BE36FB" w:rsidRPr="009B7B35" w:rsidRDefault="00BE36FB" w:rsidP="00BE36FB">
            <w:pPr>
              <w:pStyle w:val="TableText"/>
              <w:numPr>
                <w:ilvl w:val="0"/>
                <w:numId w:val="443"/>
              </w:numPr>
              <w:rPr>
                <w:rFonts w:cs="Arial"/>
              </w:rPr>
            </w:pPr>
            <w:r w:rsidRPr="009B7B35">
              <w:rPr>
                <w:rFonts w:cs="Arial"/>
              </w:rPr>
              <w:t>noise</w:t>
            </w:r>
          </w:p>
          <w:p w14:paraId="7E18EB75" w14:textId="77777777" w:rsidR="00BE36FB" w:rsidRPr="009B7B35" w:rsidRDefault="00BE36FB" w:rsidP="00BE36FB">
            <w:pPr>
              <w:pStyle w:val="TableText"/>
              <w:numPr>
                <w:ilvl w:val="0"/>
                <w:numId w:val="443"/>
              </w:numPr>
              <w:rPr>
                <w:rFonts w:cs="Arial"/>
              </w:rPr>
            </w:pPr>
            <w:r w:rsidRPr="009B7B35">
              <w:rPr>
                <w:rFonts w:cs="Arial"/>
              </w:rPr>
              <w:t>traffic and parking</w:t>
            </w:r>
          </w:p>
          <w:p w14:paraId="1D0DDBF2" w14:textId="77777777" w:rsidR="00BE36FB" w:rsidRPr="009B7B35" w:rsidRDefault="00BE36FB" w:rsidP="00BE36FB">
            <w:pPr>
              <w:pStyle w:val="TableText"/>
              <w:numPr>
                <w:ilvl w:val="0"/>
                <w:numId w:val="443"/>
              </w:numPr>
              <w:rPr>
                <w:rFonts w:cs="Arial"/>
              </w:rPr>
            </w:pPr>
            <w:r w:rsidRPr="009B7B35">
              <w:rPr>
                <w:rFonts w:cs="Arial"/>
              </w:rPr>
              <w:t>visual impact</w:t>
            </w:r>
          </w:p>
          <w:p w14:paraId="37BB90E1" w14:textId="77777777" w:rsidR="00BE36FB" w:rsidRPr="009B7B35" w:rsidRDefault="00BE36FB" w:rsidP="00BE36FB">
            <w:pPr>
              <w:pStyle w:val="TableText"/>
              <w:numPr>
                <w:ilvl w:val="0"/>
                <w:numId w:val="443"/>
              </w:numPr>
              <w:rPr>
                <w:rFonts w:cs="Arial"/>
              </w:rPr>
            </w:pPr>
            <w:r w:rsidRPr="009B7B35">
              <w:rPr>
                <w:rFonts w:cs="Arial"/>
              </w:rPr>
              <w:t>signage</w:t>
            </w:r>
          </w:p>
          <w:p w14:paraId="31B1E9E5" w14:textId="77777777" w:rsidR="00BE36FB" w:rsidRPr="009B7B35" w:rsidRDefault="00BE36FB" w:rsidP="00BE36FB">
            <w:pPr>
              <w:pStyle w:val="TableText"/>
              <w:numPr>
                <w:ilvl w:val="0"/>
                <w:numId w:val="443"/>
              </w:numPr>
              <w:rPr>
                <w:rFonts w:cs="Arial"/>
              </w:rPr>
            </w:pPr>
            <w:r w:rsidRPr="009B7B35">
              <w:rPr>
                <w:rFonts w:cs="Arial"/>
              </w:rPr>
              <w:t>odour and emissions, and</w:t>
            </w:r>
          </w:p>
          <w:p w14:paraId="1166CE16" w14:textId="77777777" w:rsidR="00BE36FB" w:rsidRPr="009B7B35" w:rsidRDefault="00BE36FB" w:rsidP="00BE36FB">
            <w:pPr>
              <w:pStyle w:val="TableText"/>
              <w:numPr>
                <w:ilvl w:val="0"/>
                <w:numId w:val="443"/>
              </w:numPr>
              <w:rPr>
                <w:rFonts w:cs="Arial"/>
              </w:rPr>
            </w:pPr>
            <w:r w:rsidRPr="009B7B35">
              <w:rPr>
                <w:rFonts w:cs="Arial"/>
              </w:rPr>
              <w:t>lighting.</w:t>
            </w:r>
          </w:p>
          <w:p w14:paraId="2FFCD7F1" w14:textId="77777777" w:rsidR="00BE36FB" w:rsidRPr="009B7B35" w:rsidRDefault="00BE36FB">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14:paraId="11F50A0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14:paraId="4B77D33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4BA17DA3" w14:textId="77777777" w:rsidR="00BE36FB" w:rsidRPr="009B7B35" w:rsidRDefault="00BE36FB" w:rsidP="001A7107">
            <w:pPr>
              <w:pStyle w:val="TableText"/>
              <w:rPr>
                <w:rFonts w:cs="Arial"/>
                <w:b/>
                <w:bCs/>
              </w:rPr>
            </w:pPr>
            <w:r w:rsidRPr="009B7B35">
              <w:rPr>
                <w:rFonts w:cs="Arial"/>
                <w:b/>
                <w:bCs/>
              </w:rPr>
              <w:t>PO23</w:t>
            </w:r>
          </w:p>
          <w:p w14:paraId="0D5DA0D9" w14:textId="77777777" w:rsidR="00BE36FB" w:rsidRPr="009B7B35" w:rsidRDefault="00BE36FB" w:rsidP="001A7107">
            <w:pPr>
              <w:pStyle w:val="TableText"/>
              <w:rPr>
                <w:rFonts w:cs="Arial"/>
              </w:rPr>
            </w:pPr>
            <w:r w:rsidRPr="009B7B35">
              <w:rPr>
                <w:rFonts w:cs="Arial"/>
              </w:rPr>
              <w:t>Development is to:</w:t>
            </w:r>
          </w:p>
          <w:p w14:paraId="5BF06079" w14:textId="77777777" w:rsidR="00BE36FB" w:rsidRPr="009B7B35" w:rsidRDefault="00BE36FB" w:rsidP="00BE36FB">
            <w:pPr>
              <w:pStyle w:val="TableText"/>
              <w:numPr>
                <w:ilvl w:val="0"/>
                <w:numId w:val="571"/>
              </w:numPr>
              <w:rPr>
                <w:rFonts w:cs="Arial"/>
              </w:rPr>
            </w:pPr>
            <w:r w:rsidRPr="009B7B35">
              <w:rPr>
                <w:rFonts w:cs="Arial"/>
              </w:rPr>
              <w:t>minimise noise, dust, odour or other nuisance from existing lawful uses, and</w:t>
            </w:r>
          </w:p>
          <w:p w14:paraId="2FB1F247" w14:textId="77777777" w:rsidR="00BE36FB" w:rsidRPr="009B7B35" w:rsidRDefault="00BE36FB" w:rsidP="00BE36FB">
            <w:pPr>
              <w:pStyle w:val="TableText"/>
              <w:numPr>
                <w:ilvl w:val="0"/>
                <w:numId w:val="571"/>
              </w:numPr>
              <w:rPr>
                <w:rFonts w:cs="Arial"/>
              </w:rPr>
            </w:pPr>
            <w:r w:rsidRPr="009B7B35">
              <w:rPr>
                <w:rFonts w:cs="Arial"/>
              </w:rPr>
              <w:t>minimise nuisance caused by noise, vibration and dust emissions generated by the state–controlled road and rail network in the vicinity of land in the Medium density residential zone.</w:t>
            </w:r>
          </w:p>
        </w:tc>
        <w:tc>
          <w:tcPr>
            <w:tcW w:w="4678" w:type="dxa"/>
          </w:tcPr>
          <w:p w14:paraId="58A84BF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14:paraId="29236B1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4EEFE36A" w14:textId="77777777" w:rsidR="00BE36FB" w:rsidRPr="009B7B35" w:rsidRDefault="00BE36FB" w:rsidP="001A7107">
            <w:pPr>
              <w:pStyle w:val="TableText"/>
              <w:rPr>
                <w:rFonts w:cs="Arial"/>
                <w:b/>
                <w:bCs/>
              </w:rPr>
            </w:pPr>
            <w:r w:rsidRPr="009B7B35">
              <w:rPr>
                <w:rFonts w:cs="Arial"/>
                <w:b/>
                <w:bCs/>
              </w:rPr>
              <w:t>PO24</w:t>
            </w:r>
          </w:p>
          <w:p w14:paraId="63F436F1" w14:textId="77777777" w:rsidR="00BE36FB" w:rsidRPr="009B7B35" w:rsidRDefault="00BE36FB" w:rsidP="001A7107">
            <w:pPr>
              <w:pStyle w:val="TableText"/>
              <w:rPr>
                <w:rFonts w:cs="Arial"/>
              </w:rPr>
            </w:pPr>
            <w:r w:rsidRPr="009B7B35">
              <w:rPr>
                <w:rFonts w:cs="Arial"/>
              </w:rPr>
              <w:t>Residential development where located near port facilities, major industries and major infrastructure must mitigate the operational effects including:</w:t>
            </w:r>
          </w:p>
          <w:p w14:paraId="2AECA8CC" w14:textId="77777777" w:rsidR="00BE36FB" w:rsidRPr="009B7B35" w:rsidRDefault="00BE36FB" w:rsidP="00BE36FB">
            <w:pPr>
              <w:pStyle w:val="TableText"/>
              <w:numPr>
                <w:ilvl w:val="0"/>
                <w:numId w:val="444"/>
              </w:numPr>
              <w:rPr>
                <w:rFonts w:cs="Arial"/>
              </w:rPr>
            </w:pPr>
            <w:r w:rsidRPr="009B7B35">
              <w:rPr>
                <w:rFonts w:cs="Arial"/>
              </w:rPr>
              <w:t>using air–conditioning or other energy–efficient ventilation, where necessary, to minimise the effects of odours and emissions, and</w:t>
            </w:r>
          </w:p>
          <w:p w14:paraId="54146D81" w14:textId="77777777" w:rsidR="00BE36FB" w:rsidRPr="009B7B35" w:rsidRDefault="00BE36FB" w:rsidP="00BE36FB">
            <w:pPr>
              <w:pStyle w:val="TableText"/>
              <w:numPr>
                <w:ilvl w:val="0"/>
                <w:numId w:val="444"/>
              </w:numPr>
              <w:rPr>
                <w:rFonts w:cs="Arial"/>
              </w:rPr>
            </w:pPr>
            <w:r w:rsidRPr="009B7B35">
              <w:rPr>
                <w:rFonts w:cs="Arial"/>
              </w:rPr>
              <w:t>comprehensive on site landscaping to provide visual relief from the industrial landscape.</w:t>
            </w:r>
          </w:p>
        </w:tc>
        <w:tc>
          <w:tcPr>
            <w:tcW w:w="4678" w:type="dxa"/>
          </w:tcPr>
          <w:p w14:paraId="2EB9CE1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14:paraId="0585635B"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4ECF65E8" w14:textId="77777777" w:rsidR="00BE36FB" w:rsidRPr="009B7B35" w:rsidRDefault="00BE36FB" w:rsidP="001A7107">
            <w:pPr>
              <w:pStyle w:val="Tableheading"/>
              <w:rPr>
                <w:rFonts w:ascii="Arial" w:hAnsi="Arial" w:cs="Arial"/>
                <w:szCs w:val="20"/>
              </w:rPr>
            </w:pPr>
            <w:r w:rsidRPr="009B7B35">
              <w:rPr>
                <w:rFonts w:ascii="Arial" w:hAnsi="Arial" w:cs="Arial"/>
                <w:szCs w:val="20"/>
              </w:rPr>
              <w:t>Uses – Child care centre, Community care centre or Community use</w:t>
            </w:r>
          </w:p>
        </w:tc>
      </w:tr>
      <w:tr w:rsidR="00BE36FB" w:rsidRPr="009B7B35" w14:paraId="7D97072B"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69414703" w14:textId="77777777" w:rsidR="00BE36FB" w:rsidRPr="009B7B35" w:rsidRDefault="00BE36FB" w:rsidP="001A7107">
            <w:pPr>
              <w:pStyle w:val="TableText"/>
              <w:rPr>
                <w:rFonts w:cs="Arial"/>
                <w:b/>
                <w:bCs/>
              </w:rPr>
            </w:pPr>
            <w:r w:rsidRPr="009B7B35">
              <w:rPr>
                <w:rFonts w:cs="Arial"/>
                <w:b/>
                <w:bCs/>
              </w:rPr>
              <w:t>PO25</w:t>
            </w:r>
          </w:p>
          <w:p w14:paraId="084E3DB2" w14:textId="77777777" w:rsidR="00BE36FB" w:rsidRPr="009B7B35" w:rsidRDefault="00BE36FB" w:rsidP="001A7107">
            <w:pPr>
              <w:pStyle w:val="TableText"/>
              <w:rPr>
                <w:rFonts w:cs="Arial"/>
              </w:rPr>
            </w:pPr>
            <w:r w:rsidRPr="009B7B35">
              <w:rPr>
                <w:rFonts w:cs="Arial"/>
              </w:rPr>
              <w:t>Development is low impact, limited in scale and:</w:t>
            </w:r>
          </w:p>
          <w:p w14:paraId="3CA195F4" w14:textId="77777777" w:rsidR="00BE36FB" w:rsidRPr="009B7B35" w:rsidRDefault="00BE36FB" w:rsidP="00BE36FB">
            <w:pPr>
              <w:pStyle w:val="TableText"/>
              <w:numPr>
                <w:ilvl w:val="0"/>
                <w:numId w:val="445"/>
              </w:numPr>
              <w:rPr>
                <w:rFonts w:cs="Arial"/>
              </w:rPr>
            </w:pPr>
            <w:r w:rsidRPr="009B7B35">
              <w:rPr>
                <w:rFonts w:cs="Arial"/>
              </w:rPr>
              <w:t>compatible with neighbouring residential uses and complementary to local character</w:t>
            </w:r>
          </w:p>
          <w:p w14:paraId="1E0285A3" w14:textId="77777777" w:rsidR="00BE36FB" w:rsidRPr="009B7B35" w:rsidRDefault="00BE36FB" w:rsidP="00BE36FB">
            <w:pPr>
              <w:pStyle w:val="TableText"/>
              <w:numPr>
                <w:ilvl w:val="0"/>
                <w:numId w:val="445"/>
              </w:numPr>
              <w:rPr>
                <w:rFonts w:cs="Arial"/>
              </w:rPr>
            </w:pPr>
            <w:r w:rsidRPr="009B7B35">
              <w:rPr>
                <w:rFonts w:cs="Arial"/>
              </w:rPr>
              <w:t>incorporates design elements that are consistent with the surrounding residential development</w:t>
            </w:r>
          </w:p>
          <w:p w14:paraId="61CD8971" w14:textId="77777777" w:rsidR="00BE36FB" w:rsidRPr="009B7B35" w:rsidRDefault="00BE36FB" w:rsidP="00BE36FB">
            <w:pPr>
              <w:pStyle w:val="TableText"/>
              <w:numPr>
                <w:ilvl w:val="0"/>
                <w:numId w:val="445"/>
              </w:numPr>
              <w:rPr>
                <w:rFonts w:cs="Arial"/>
              </w:rPr>
            </w:pPr>
            <w:r w:rsidRPr="009B7B35">
              <w:rPr>
                <w:rFonts w:cs="Arial"/>
              </w:rPr>
              <w:t>supports the day to day needs of residents</w:t>
            </w:r>
          </w:p>
          <w:p w14:paraId="251E9BFA" w14:textId="77777777" w:rsidR="00BE36FB" w:rsidRPr="009B7B35" w:rsidRDefault="00BE36FB" w:rsidP="00BE36FB">
            <w:pPr>
              <w:pStyle w:val="TableText"/>
              <w:numPr>
                <w:ilvl w:val="0"/>
                <w:numId w:val="445"/>
              </w:numPr>
              <w:rPr>
                <w:rFonts w:cs="Arial"/>
              </w:rPr>
            </w:pPr>
            <w:r w:rsidRPr="009B7B35">
              <w:rPr>
                <w:rFonts w:cs="Arial"/>
              </w:rPr>
              <w:t>located on a site which must adequately accommodate activity needs and space requirements, and</w:t>
            </w:r>
          </w:p>
          <w:p w14:paraId="22529D30" w14:textId="77777777" w:rsidR="00BE36FB" w:rsidRPr="009B7B35" w:rsidRDefault="00BE36FB" w:rsidP="00BE36FB">
            <w:pPr>
              <w:pStyle w:val="TableText"/>
              <w:numPr>
                <w:ilvl w:val="0"/>
                <w:numId w:val="445"/>
              </w:numPr>
              <w:rPr>
                <w:rFonts w:cs="Arial"/>
              </w:rPr>
            </w:pPr>
            <w:r w:rsidRPr="009B7B35">
              <w:rPr>
                <w:rFonts w:cs="Arial"/>
              </w:rPr>
              <w:t>does not undermine the viability of nearby centres.</w:t>
            </w:r>
          </w:p>
        </w:tc>
        <w:tc>
          <w:tcPr>
            <w:tcW w:w="4678" w:type="dxa"/>
          </w:tcPr>
          <w:p w14:paraId="56650C5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14:paraId="65C37302"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25FB0B36" w14:textId="77777777" w:rsidR="00BE36FB" w:rsidRPr="009B7B35" w:rsidRDefault="00BE36FB" w:rsidP="001A7107">
            <w:pPr>
              <w:pStyle w:val="TableText"/>
              <w:rPr>
                <w:rFonts w:cs="Arial"/>
                <w:b/>
                <w:bCs/>
              </w:rPr>
            </w:pPr>
            <w:r w:rsidRPr="009B7B35">
              <w:rPr>
                <w:rFonts w:cs="Arial"/>
                <w:b/>
                <w:bCs/>
              </w:rPr>
              <w:t>PO26</w:t>
            </w:r>
          </w:p>
          <w:p w14:paraId="2AE9E392" w14:textId="77777777" w:rsidR="00BE36FB" w:rsidRPr="009B7B35" w:rsidRDefault="00BE36FB" w:rsidP="001A7107">
            <w:pPr>
              <w:rPr>
                <w:rFonts w:cs="Arial"/>
                <w:sz w:val="20"/>
                <w:szCs w:val="20"/>
              </w:rPr>
            </w:pPr>
            <w:r w:rsidRPr="009B7B35">
              <w:rPr>
                <w:rFonts w:cs="Arial"/>
                <w:sz w:val="20"/>
                <w:szCs w:val="20"/>
              </w:rPr>
              <w:t>Development is highly accessible and is co–located with, or located close to, centres or other community or recreation uses.</w:t>
            </w:r>
          </w:p>
          <w:p w14:paraId="69CC206B" w14:textId="77777777" w:rsidR="00BE36FB" w:rsidRPr="009B7B35" w:rsidRDefault="00BE36FB" w:rsidP="001A7107">
            <w:pPr>
              <w:rPr>
                <w:rFonts w:cs="Arial"/>
                <w:sz w:val="20"/>
                <w:szCs w:val="20"/>
              </w:rPr>
            </w:pPr>
          </w:p>
        </w:tc>
        <w:tc>
          <w:tcPr>
            <w:tcW w:w="4678" w:type="dxa"/>
          </w:tcPr>
          <w:p w14:paraId="5704948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14:paraId="2B37D409"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161FFDC1" w14:textId="77777777" w:rsidR="00BE36FB" w:rsidRPr="009B7B35" w:rsidRDefault="00BE36FB" w:rsidP="001A7107">
            <w:pPr>
              <w:pStyle w:val="TableText"/>
              <w:rPr>
                <w:rFonts w:cs="Arial"/>
                <w:b/>
                <w:bCs/>
              </w:rPr>
            </w:pPr>
            <w:r w:rsidRPr="009B7B35">
              <w:rPr>
                <w:rFonts w:cs="Arial"/>
                <w:b/>
                <w:bCs/>
              </w:rPr>
              <w:t>PO27</w:t>
            </w:r>
          </w:p>
          <w:p w14:paraId="64568969" w14:textId="77777777" w:rsidR="00BE36FB" w:rsidRPr="009B7B35" w:rsidRDefault="00BE36FB" w:rsidP="001A7107">
            <w:pPr>
              <w:rPr>
                <w:rFonts w:cs="Arial"/>
                <w:sz w:val="20"/>
                <w:szCs w:val="20"/>
              </w:rPr>
            </w:pPr>
            <w:r w:rsidRPr="009B7B35">
              <w:rPr>
                <w:rFonts w:cs="Arial"/>
                <w:sz w:val="20"/>
                <w:szCs w:val="20"/>
              </w:rPr>
              <w:t>Development does not adversely impact on the amenity of area.</w:t>
            </w:r>
          </w:p>
          <w:p w14:paraId="66E2791A" w14:textId="77777777" w:rsidR="00BE36FB" w:rsidRPr="009B7B35" w:rsidRDefault="00BE36FB" w:rsidP="001A7107">
            <w:pPr>
              <w:rPr>
                <w:rFonts w:cs="Arial"/>
                <w:sz w:val="20"/>
                <w:szCs w:val="20"/>
              </w:rPr>
            </w:pPr>
          </w:p>
        </w:tc>
        <w:tc>
          <w:tcPr>
            <w:tcW w:w="4678" w:type="dxa"/>
          </w:tcPr>
          <w:p w14:paraId="194CD33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AO27</w:t>
            </w:r>
          </w:p>
          <w:p w14:paraId="335050C8" w14:textId="77777777" w:rsidR="00BE36FB" w:rsidRPr="009B7B35" w:rsidRDefault="00BE36FB" w:rsidP="001A7107">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Hours of operation for non–residential development is limited to between 6am and 7pm daily.</w:t>
            </w:r>
          </w:p>
        </w:tc>
      </w:tr>
      <w:tr w:rsidR="00BE36FB" w:rsidRPr="009B7B35" w14:paraId="00A66873"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17CE2CC5" w14:textId="77777777" w:rsidR="00BE36FB" w:rsidRPr="009B7B35" w:rsidRDefault="00BE36FB" w:rsidP="001A7107">
            <w:pPr>
              <w:pStyle w:val="TableText"/>
              <w:rPr>
                <w:rFonts w:cs="Arial"/>
                <w:b/>
                <w:bCs/>
              </w:rPr>
            </w:pPr>
            <w:r w:rsidRPr="009B7B35">
              <w:rPr>
                <w:rFonts w:cs="Arial"/>
                <w:b/>
                <w:bCs/>
              </w:rPr>
              <w:t>PO28</w:t>
            </w:r>
          </w:p>
          <w:p w14:paraId="5B9850B0" w14:textId="77777777" w:rsidR="00BE36FB" w:rsidRPr="009B7B35" w:rsidRDefault="00BE36FB" w:rsidP="001A7107">
            <w:pPr>
              <w:pStyle w:val="TableText"/>
              <w:rPr>
                <w:rFonts w:cs="Arial"/>
              </w:rPr>
            </w:pPr>
            <w:r w:rsidRPr="009B7B35">
              <w:rPr>
                <w:rFonts w:cs="Arial"/>
              </w:rPr>
              <w:t>Buildings are located on the site to maximise the residential amenity of residents and neighbours.</w:t>
            </w:r>
          </w:p>
        </w:tc>
        <w:tc>
          <w:tcPr>
            <w:tcW w:w="4678" w:type="dxa"/>
          </w:tcPr>
          <w:p w14:paraId="7D5C68F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AO28</w:t>
            </w:r>
          </w:p>
          <w:p w14:paraId="5D32F32A"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Buildings are setback a minimum of:</w:t>
            </w:r>
          </w:p>
          <w:p w14:paraId="06A777CA" w14:textId="77777777" w:rsidR="00BE36FB" w:rsidRPr="009B7B35" w:rsidRDefault="00BE36FB" w:rsidP="00BE36FB">
            <w:pPr>
              <w:pStyle w:val="TableText"/>
              <w:numPr>
                <w:ilvl w:val="0"/>
                <w:numId w:val="446"/>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6m from the front and rear boundary, and</w:t>
            </w:r>
          </w:p>
          <w:p w14:paraId="61AB3894" w14:textId="77777777" w:rsidR="00BE36FB" w:rsidRPr="009B7B35" w:rsidRDefault="00BE36FB" w:rsidP="00BE36FB">
            <w:pPr>
              <w:pStyle w:val="TableText"/>
              <w:numPr>
                <w:ilvl w:val="0"/>
                <w:numId w:val="446"/>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3m from the side boundary.</w:t>
            </w:r>
          </w:p>
        </w:tc>
      </w:tr>
      <w:tr w:rsidR="00BE36FB" w:rsidRPr="009B7B35" w14:paraId="57F6C2D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bottom w:val="single" w:sz="4" w:space="0" w:color="7F7F7F" w:themeColor="text1" w:themeTint="80"/>
            </w:tcBorders>
          </w:tcPr>
          <w:p w14:paraId="0B01BFB9" w14:textId="77777777" w:rsidR="00BE36FB" w:rsidRPr="009B7B35" w:rsidRDefault="00BE36FB" w:rsidP="001A7107">
            <w:pPr>
              <w:pStyle w:val="TableText"/>
              <w:rPr>
                <w:rFonts w:cs="Arial"/>
                <w:b/>
                <w:bCs/>
              </w:rPr>
            </w:pPr>
            <w:r w:rsidRPr="009B7B35">
              <w:rPr>
                <w:rFonts w:cs="Arial"/>
                <w:b/>
                <w:bCs/>
              </w:rPr>
              <w:t>PO29</w:t>
            </w:r>
          </w:p>
          <w:p w14:paraId="5D24DBAC" w14:textId="77777777" w:rsidR="00BE36FB" w:rsidRPr="009B7B35" w:rsidRDefault="00BE36FB" w:rsidP="001A7107">
            <w:pPr>
              <w:rPr>
                <w:rFonts w:cs="Arial"/>
                <w:sz w:val="20"/>
                <w:szCs w:val="20"/>
              </w:rPr>
            </w:pPr>
            <w:r w:rsidRPr="009B7B35">
              <w:rPr>
                <w:rFonts w:cs="Arial"/>
                <w:sz w:val="20"/>
                <w:szCs w:val="20"/>
              </w:rPr>
              <w:t xml:space="preserve">Development must ensure residential amenity is maintained on adjoining properties. </w:t>
            </w:r>
          </w:p>
          <w:p w14:paraId="6A0C350E" w14:textId="77777777" w:rsidR="00BE36FB" w:rsidRPr="009B7B35" w:rsidRDefault="00BE36FB" w:rsidP="001A7107">
            <w:pPr>
              <w:rPr>
                <w:rFonts w:cs="Arial"/>
                <w:sz w:val="20"/>
                <w:szCs w:val="20"/>
              </w:rPr>
            </w:pPr>
          </w:p>
        </w:tc>
        <w:tc>
          <w:tcPr>
            <w:tcW w:w="4678" w:type="dxa"/>
            <w:tcBorders>
              <w:bottom w:val="single" w:sz="4" w:space="0" w:color="7F7F7F" w:themeColor="text1" w:themeTint="80"/>
            </w:tcBorders>
          </w:tcPr>
          <w:p w14:paraId="715C3AE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AO29</w:t>
            </w:r>
          </w:p>
          <w:p w14:paraId="7A4C30BD" w14:textId="77777777" w:rsidR="00BE36FB" w:rsidRPr="009B7B35" w:rsidRDefault="00BE36FB" w:rsidP="001A7107">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 xml:space="preserve">Development provides a 1.8m acoustic screen fence where adjoining a residential use. </w:t>
            </w:r>
          </w:p>
        </w:tc>
      </w:tr>
      <w:tr w:rsidR="00BE36FB" w:rsidRPr="009B7B35" w14:paraId="7DE4CAF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Borders>
              <w:right w:val="single" w:sz="6" w:space="0" w:color="7F7F7F" w:themeColor="text1" w:themeTint="80"/>
            </w:tcBorders>
          </w:tcPr>
          <w:p w14:paraId="309E6A08" w14:textId="77777777" w:rsidR="00BE36FB" w:rsidRPr="009B7B35" w:rsidRDefault="00BE36FB" w:rsidP="001A7107">
            <w:pPr>
              <w:pStyle w:val="TableText"/>
              <w:rPr>
                <w:rFonts w:cs="Arial"/>
                <w:b/>
                <w:bCs/>
              </w:rPr>
            </w:pPr>
            <w:r w:rsidRPr="009B7B35">
              <w:rPr>
                <w:rFonts w:cs="Arial"/>
                <w:b/>
                <w:bCs/>
              </w:rPr>
              <w:t>PO30</w:t>
            </w:r>
          </w:p>
          <w:p w14:paraId="48569544" w14:textId="77777777" w:rsidR="00BE36FB" w:rsidRPr="009B7B35" w:rsidRDefault="00BE36FB" w:rsidP="001A7107">
            <w:pPr>
              <w:pStyle w:val="TableText"/>
              <w:rPr>
                <w:rFonts w:cs="Arial"/>
              </w:rPr>
            </w:pPr>
            <w:r w:rsidRPr="009B7B35">
              <w:rPr>
                <w:rFonts w:cs="Arial"/>
              </w:rPr>
              <w:t>Where a child care centre, development minimises:</w:t>
            </w:r>
          </w:p>
          <w:p w14:paraId="3CA91BCF" w14:textId="77777777" w:rsidR="00BE36FB" w:rsidRPr="009B7B35" w:rsidRDefault="00BE36FB" w:rsidP="00BE36FB">
            <w:pPr>
              <w:pStyle w:val="TableText"/>
              <w:numPr>
                <w:ilvl w:val="0"/>
                <w:numId w:val="448"/>
              </w:numPr>
              <w:rPr>
                <w:rFonts w:cs="Arial"/>
              </w:rPr>
            </w:pPr>
            <w:r w:rsidRPr="009B7B35">
              <w:rPr>
                <w:rFonts w:cs="Arial"/>
              </w:rPr>
              <w:t>the hazards of heavy traffic</w:t>
            </w:r>
          </w:p>
          <w:p w14:paraId="3E9CA054" w14:textId="77777777" w:rsidR="00BE36FB" w:rsidRPr="009B7B35" w:rsidRDefault="00BE36FB" w:rsidP="00BE36FB">
            <w:pPr>
              <w:pStyle w:val="TableText"/>
              <w:numPr>
                <w:ilvl w:val="0"/>
                <w:numId w:val="448"/>
              </w:numPr>
              <w:rPr>
                <w:rFonts w:cs="Arial"/>
              </w:rPr>
            </w:pPr>
            <w:r w:rsidRPr="009B7B35">
              <w:rPr>
                <w:rFonts w:cs="Arial"/>
              </w:rPr>
              <w:t>introduction of non–local traffic into minor, residential streets, and</w:t>
            </w:r>
          </w:p>
          <w:p w14:paraId="19BF7EF9" w14:textId="77777777" w:rsidR="00BE36FB" w:rsidRPr="009B7B35" w:rsidRDefault="00BE36FB" w:rsidP="00BE36FB">
            <w:pPr>
              <w:pStyle w:val="TableText"/>
              <w:numPr>
                <w:ilvl w:val="0"/>
                <w:numId w:val="448"/>
              </w:numPr>
              <w:rPr>
                <w:rFonts w:cs="Arial"/>
              </w:rPr>
            </w:pPr>
            <w:r w:rsidRPr="009B7B35">
              <w:rPr>
                <w:rFonts w:cs="Arial"/>
              </w:rPr>
              <w:t>on–site conflict between children’s activities, pedestrian movement, vehicle movement and car parking.</w:t>
            </w:r>
          </w:p>
        </w:tc>
        <w:tc>
          <w:tcPr>
            <w:tcW w:w="4678" w:type="dxa"/>
            <w:tcBorders>
              <w:left w:val="single" w:sz="6" w:space="0" w:color="7F7F7F" w:themeColor="text1" w:themeTint="80"/>
            </w:tcBorders>
          </w:tcPr>
          <w:p w14:paraId="6276E2B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AO30.1</w:t>
            </w:r>
          </w:p>
          <w:p w14:paraId="05E51CB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Where a child care centre, the site is not located on: </w:t>
            </w:r>
          </w:p>
          <w:p w14:paraId="418A7656" w14:textId="77777777" w:rsidR="00BE36FB" w:rsidRPr="009B7B35" w:rsidRDefault="00BE36FB" w:rsidP="00BE36FB">
            <w:pPr>
              <w:pStyle w:val="TableText"/>
              <w:numPr>
                <w:ilvl w:val="0"/>
                <w:numId w:val="447"/>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arterial/sub–arterial routes, or</w:t>
            </w:r>
          </w:p>
          <w:p w14:paraId="77EA9861" w14:textId="77777777" w:rsidR="00BE36FB" w:rsidRPr="009B7B35" w:rsidRDefault="00BE36FB" w:rsidP="00BE36FB">
            <w:pPr>
              <w:pStyle w:val="TableText"/>
              <w:numPr>
                <w:ilvl w:val="0"/>
                <w:numId w:val="447"/>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an access street or access place.</w:t>
            </w:r>
          </w:p>
        </w:tc>
      </w:tr>
      <w:tr w:rsidR="00BE36FB" w:rsidRPr="009B7B35" w14:paraId="0F4936A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Pr>
          <w:p w14:paraId="4D4AED73" w14:textId="77777777" w:rsidR="00BE36FB" w:rsidRPr="009B7B35" w:rsidRDefault="00BE36FB" w:rsidP="001A7107">
            <w:pPr>
              <w:rPr>
                <w:rFonts w:cs="Arial"/>
                <w:sz w:val="20"/>
                <w:szCs w:val="20"/>
              </w:rPr>
            </w:pPr>
          </w:p>
        </w:tc>
        <w:tc>
          <w:tcPr>
            <w:tcW w:w="4678" w:type="dxa"/>
          </w:tcPr>
          <w:p w14:paraId="4E84238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AO30.2</w:t>
            </w:r>
          </w:p>
          <w:p w14:paraId="3E53C83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Parking spaces are located so that children are not required to cross the driveway or vehicular access way to reach the building.</w:t>
            </w:r>
          </w:p>
          <w:p w14:paraId="2F34951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123C772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06C36D15" w14:textId="77777777" w:rsidR="00BE36FB" w:rsidRPr="009B7B35" w:rsidRDefault="00BE36FB" w:rsidP="001A7107">
            <w:pPr>
              <w:pStyle w:val="Tableheading"/>
              <w:rPr>
                <w:rFonts w:ascii="Arial" w:hAnsi="Arial" w:cs="Arial"/>
                <w:szCs w:val="20"/>
              </w:rPr>
            </w:pPr>
            <w:r w:rsidRPr="009B7B35">
              <w:rPr>
                <w:rFonts w:ascii="Arial" w:hAnsi="Arial" w:cs="Arial"/>
                <w:szCs w:val="20"/>
              </w:rPr>
              <w:t>If in the Gladstone hospital precinct</w:t>
            </w:r>
          </w:p>
        </w:tc>
      </w:tr>
      <w:tr w:rsidR="00BE36FB" w:rsidRPr="009B7B35" w14:paraId="5A5197B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34B2DED1" w14:textId="77777777" w:rsidR="00BE36FB" w:rsidRPr="009B7B35" w:rsidRDefault="00BE36FB" w:rsidP="001A7107">
            <w:pPr>
              <w:pStyle w:val="TableText"/>
              <w:rPr>
                <w:rFonts w:cs="Arial"/>
                <w:b/>
                <w:bCs/>
              </w:rPr>
            </w:pPr>
            <w:r w:rsidRPr="009B7B35">
              <w:rPr>
                <w:rFonts w:cs="Arial"/>
                <w:b/>
                <w:bCs/>
              </w:rPr>
              <w:t>PO31</w:t>
            </w:r>
          </w:p>
          <w:p w14:paraId="4D1AC9BF" w14:textId="77777777" w:rsidR="00BE36FB" w:rsidRPr="009B7B35" w:rsidRDefault="00BE36FB" w:rsidP="001A7107">
            <w:pPr>
              <w:pStyle w:val="TableText"/>
              <w:rPr>
                <w:rFonts w:cs="Arial"/>
              </w:rPr>
            </w:pPr>
            <w:r w:rsidRPr="009B7B35">
              <w:rPr>
                <w:rFonts w:cs="Arial"/>
              </w:rPr>
              <w:t>Non–residential development must:</w:t>
            </w:r>
          </w:p>
          <w:p w14:paraId="17BA8BB7" w14:textId="77777777" w:rsidR="00BE36FB" w:rsidRPr="009B7B35" w:rsidRDefault="00BE36FB" w:rsidP="00BE36FB">
            <w:pPr>
              <w:pStyle w:val="TableText"/>
              <w:numPr>
                <w:ilvl w:val="0"/>
                <w:numId w:val="449"/>
              </w:numPr>
              <w:rPr>
                <w:rFonts w:cs="Arial"/>
              </w:rPr>
            </w:pPr>
            <w:r w:rsidRPr="009B7B35">
              <w:rPr>
                <w:rFonts w:cs="Arial"/>
              </w:rPr>
              <w:t>not adversely impact on residential amenity</w:t>
            </w:r>
          </w:p>
          <w:p w14:paraId="6A8EB176" w14:textId="77777777" w:rsidR="00BE36FB" w:rsidRPr="009B7B35" w:rsidRDefault="00BE36FB" w:rsidP="00BE36FB">
            <w:pPr>
              <w:pStyle w:val="TableText"/>
              <w:numPr>
                <w:ilvl w:val="0"/>
                <w:numId w:val="449"/>
              </w:numPr>
              <w:rPr>
                <w:rFonts w:cs="Arial"/>
              </w:rPr>
            </w:pPr>
            <w:r w:rsidRPr="009B7B35">
              <w:rPr>
                <w:rFonts w:cs="Arial"/>
              </w:rPr>
              <w:t>be compatible with the intended built form for the area</w:t>
            </w:r>
          </w:p>
          <w:p w14:paraId="7F3AEEBB" w14:textId="77777777" w:rsidR="00BE36FB" w:rsidRPr="009B7B35" w:rsidRDefault="00BE36FB" w:rsidP="00BE36FB">
            <w:pPr>
              <w:pStyle w:val="TableText"/>
              <w:numPr>
                <w:ilvl w:val="0"/>
                <w:numId w:val="449"/>
              </w:numPr>
              <w:rPr>
                <w:rFonts w:cs="Arial"/>
              </w:rPr>
            </w:pPr>
            <w:r w:rsidRPr="009B7B35">
              <w:rPr>
                <w:rFonts w:cs="Arial"/>
              </w:rPr>
              <w:t>complement the role and function of the Gladstone hospital</w:t>
            </w:r>
          </w:p>
          <w:p w14:paraId="12E5673C" w14:textId="77777777" w:rsidR="00BE36FB" w:rsidRPr="009B7B35" w:rsidRDefault="00BE36FB" w:rsidP="00BE36FB">
            <w:pPr>
              <w:pStyle w:val="TableText"/>
              <w:numPr>
                <w:ilvl w:val="0"/>
                <w:numId w:val="449"/>
              </w:numPr>
              <w:rPr>
                <w:rFonts w:cs="Arial"/>
              </w:rPr>
            </w:pPr>
            <w:r w:rsidRPr="009B7B35">
              <w:rPr>
                <w:rFonts w:cs="Arial"/>
              </w:rPr>
              <w:t>integrate with residential uses, and</w:t>
            </w:r>
          </w:p>
          <w:p w14:paraId="05B62079" w14:textId="77777777" w:rsidR="00BE36FB" w:rsidRPr="009B7B35" w:rsidRDefault="00BE36FB" w:rsidP="00BE36FB">
            <w:pPr>
              <w:pStyle w:val="TableText"/>
              <w:numPr>
                <w:ilvl w:val="0"/>
                <w:numId w:val="449"/>
              </w:numPr>
              <w:rPr>
                <w:rFonts w:cs="Arial"/>
              </w:rPr>
            </w:pPr>
            <w:r w:rsidRPr="009B7B35">
              <w:rPr>
                <w:rFonts w:cs="Arial"/>
              </w:rPr>
              <w:t>not undermine the viability of nearby centres.</w:t>
            </w:r>
          </w:p>
        </w:tc>
        <w:tc>
          <w:tcPr>
            <w:tcW w:w="4678" w:type="dxa"/>
          </w:tcPr>
          <w:p w14:paraId="370873D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14:paraId="4907ECD7"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07360453" w14:textId="77777777" w:rsidR="00BE36FB" w:rsidRPr="009B7B35" w:rsidRDefault="00BE36FB" w:rsidP="001A7107">
            <w:pPr>
              <w:pStyle w:val="TableText"/>
              <w:rPr>
                <w:rFonts w:cs="Arial"/>
                <w:b/>
                <w:bCs/>
              </w:rPr>
            </w:pPr>
            <w:r w:rsidRPr="009B7B35">
              <w:rPr>
                <w:rFonts w:cs="Arial"/>
                <w:b/>
                <w:bCs/>
              </w:rPr>
              <w:t>PO32</w:t>
            </w:r>
          </w:p>
          <w:p w14:paraId="3E50AA83" w14:textId="77777777" w:rsidR="00BE36FB" w:rsidRPr="009B7B35" w:rsidRDefault="00BE36FB" w:rsidP="001A7107">
            <w:pPr>
              <w:pStyle w:val="TableText"/>
              <w:rPr>
                <w:rFonts w:cs="Arial"/>
              </w:rPr>
            </w:pPr>
            <w:r w:rsidRPr="009B7B35">
              <w:rPr>
                <w:rFonts w:cs="Arial"/>
              </w:rPr>
              <w:t>Non–residential development is limited in scale and incorporates design elements that reflect the medium density residential character of the area.</w:t>
            </w:r>
          </w:p>
        </w:tc>
        <w:tc>
          <w:tcPr>
            <w:tcW w:w="4678" w:type="dxa"/>
          </w:tcPr>
          <w:p w14:paraId="37AA2C9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AO32.1</w:t>
            </w:r>
          </w:p>
          <w:p w14:paraId="167CB3BC"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Non–residential development is a maximum of 100m</w:t>
            </w:r>
            <w:r w:rsidRPr="009B7B35">
              <w:rPr>
                <w:rStyle w:val="StyleSuperscript"/>
                <w:rFonts w:cs="Arial"/>
              </w:rPr>
              <w:t>2</w:t>
            </w:r>
            <w:r w:rsidRPr="009B7B35">
              <w:rPr>
                <w:rFonts w:cs="Arial"/>
              </w:rPr>
              <w:t xml:space="preserve"> GFA.</w:t>
            </w:r>
          </w:p>
        </w:tc>
      </w:tr>
      <w:tr w:rsidR="00BE36FB" w:rsidRPr="009B7B35" w14:paraId="50180DAD"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5015E120" w14:textId="77777777" w:rsidR="00BE36FB" w:rsidRPr="009B7B35" w:rsidRDefault="00BE36FB" w:rsidP="001A7107">
            <w:pPr>
              <w:rPr>
                <w:rFonts w:cs="Arial"/>
                <w:sz w:val="20"/>
                <w:szCs w:val="20"/>
              </w:rPr>
            </w:pPr>
          </w:p>
        </w:tc>
        <w:tc>
          <w:tcPr>
            <w:tcW w:w="4678" w:type="dxa"/>
          </w:tcPr>
          <w:p w14:paraId="726A6D7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AO32.2</w:t>
            </w:r>
          </w:p>
          <w:p w14:paraId="77F6CDE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Non–residential development occurs on the ground floor level of buildings.</w:t>
            </w:r>
          </w:p>
          <w:p w14:paraId="5245854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1255A68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45D187DB" w14:textId="77777777" w:rsidR="00BE36FB" w:rsidRPr="009B7B35" w:rsidRDefault="00BE36FB" w:rsidP="001A7107">
            <w:pPr>
              <w:pStyle w:val="Tableheading"/>
              <w:rPr>
                <w:rFonts w:ascii="Arial" w:hAnsi="Arial" w:cs="Arial"/>
                <w:szCs w:val="20"/>
              </w:rPr>
            </w:pPr>
            <w:r w:rsidRPr="009B7B35">
              <w:rPr>
                <w:rFonts w:ascii="Arial" w:hAnsi="Arial" w:cs="Arial"/>
                <w:szCs w:val="20"/>
              </w:rPr>
              <w:br w:type="page"/>
              <w:t>If in the Beaches village circuit precinct</w:t>
            </w:r>
          </w:p>
        </w:tc>
      </w:tr>
      <w:tr w:rsidR="00BE36FB" w:rsidRPr="009B7B35" w14:paraId="28365FD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7AE1D424" w14:textId="77777777" w:rsidR="00BE36FB" w:rsidRPr="009B7B35" w:rsidRDefault="00BE36FB" w:rsidP="001A7107">
            <w:pPr>
              <w:pStyle w:val="TableText"/>
              <w:rPr>
                <w:rFonts w:cs="Arial"/>
                <w:b/>
                <w:bCs/>
              </w:rPr>
            </w:pPr>
            <w:r w:rsidRPr="009B7B35">
              <w:rPr>
                <w:rFonts w:cs="Arial"/>
                <w:b/>
                <w:bCs/>
              </w:rPr>
              <w:t>PO33</w:t>
            </w:r>
          </w:p>
          <w:p w14:paraId="44946024" w14:textId="77777777" w:rsidR="00BE36FB" w:rsidRPr="009B7B35" w:rsidRDefault="00BE36FB" w:rsidP="001A7107">
            <w:pPr>
              <w:pStyle w:val="TableText"/>
              <w:rPr>
                <w:rFonts w:cs="Arial"/>
                <w:bCs/>
              </w:rPr>
            </w:pPr>
            <w:r w:rsidRPr="009B7B35">
              <w:rPr>
                <w:rFonts w:cs="Arial"/>
                <w:bCs/>
              </w:rPr>
              <w:t xml:space="preserve">Development provides for building, structures and landscaping that are consistent with, and reflect and enhance the coastal urban character and architectural qualities of the Agnes Water locality in terms of form, composition and materials. </w:t>
            </w:r>
          </w:p>
        </w:tc>
        <w:tc>
          <w:tcPr>
            <w:tcW w:w="4678" w:type="dxa"/>
          </w:tcPr>
          <w:p w14:paraId="0B3910A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AO33.1</w:t>
            </w:r>
          </w:p>
          <w:p w14:paraId="2741C79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 xml:space="preserve">Development provides for building design which incorporates the following features: </w:t>
            </w:r>
          </w:p>
          <w:p w14:paraId="2193BB29" w14:textId="77777777" w:rsidR="00BE36FB" w:rsidRPr="009B7B35" w:rsidRDefault="00BE36FB" w:rsidP="00BE36FB">
            <w:pPr>
              <w:pStyle w:val="TableText"/>
              <w:numPr>
                <w:ilvl w:val="0"/>
                <w:numId w:val="590"/>
              </w:numPr>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a mix of lightweight and textured external building materials, including timber finishes or masonry construction with construction provided in texture and detailing;</w:t>
            </w:r>
          </w:p>
          <w:p w14:paraId="3B7FE7AA" w14:textId="77777777" w:rsidR="00BE36FB" w:rsidRPr="009B7B35" w:rsidRDefault="00BE36FB" w:rsidP="00BE36FB">
            <w:pPr>
              <w:pStyle w:val="TableText"/>
              <w:numPr>
                <w:ilvl w:val="0"/>
                <w:numId w:val="590"/>
              </w:numPr>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articulated, pitched, skillion or curved roof forms;</w:t>
            </w:r>
          </w:p>
          <w:p w14:paraId="34E74172" w14:textId="77777777" w:rsidR="00BE36FB" w:rsidRPr="009B7B35" w:rsidRDefault="00BE36FB" w:rsidP="00BE36FB">
            <w:pPr>
              <w:pStyle w:val="TableText"/>
              <w:numPr>
                <w:ilvl w:val="0"/>
                <w:numId w:val="590"/>
              </w:numPr>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open or transparent balustrades; and</w:t>
            </w:r>
          </w:p>
          <w:p w14:paraId="26C68057" w14:textId="77777777" w:rsidR="00BE36FB" w:rsidRPr="009B7B35" w:rsidRDefault="00BE36FB" w:rsidP="00BE36FB">
            <w:pPr>
              <w:pStyle w:val="TableText"/>
              <w:numPr>
                <w:ilvl w:val="0"/>
                <w:numId w:val="590"/>
              </w:numPr>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landscaping integrated into the building design.</w:t>
            </w:r>
          </w:p>
        </w:tc>
      </w:tr>
      <w:tr w:rsidR="00BE36FB" w:rsidRPr="009B7B35" w14:paraId="6FD5FB0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Pr>
          <w:p w14:paraId="4907E44B" w14:textId="77777777" w:rsidR="00BE36FB" w:rsidRPr="009B7B35" w:rsidRDefault="00BE36FB" w:rsidP="001A7107">
            <w:pPr>
              <w:pStyle w:val="TableText"/>
              <w:rPr>
                <w:rFonts w:cs="Arial"/>
                <w:b/>
                <w:bCs/>
              </w:rPr>
            </w:pPr>
          </w:p>
        </w:tc>
        <w:tc>
          <w:tcPr>
            <w:tcW w:w="4678" w:type="dxa"/>
          </w:tcPr>
          <w:p w14:paraId="4ECDF0A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AO33.2</w:t>
            </w:r>
          </w:p>
          <w:p w14:paraId="4D95331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color w:val="auto"/>
              </w:rPr>
              <w:t xml:space="preserve">Development uses understated colour schemes and low-reflective roofing and cladding materials. </w:t>
            </w:r>
          </w:p>
        </w:tc>
      </w:tr>
    </w:tbl>
    <w:p w14:paraId="7F0D3208" w14:textId="77777777" w:rsidR="00BE36FB" w:rsidRPr="009B7B35" w:rsidRDefault="00BE36FB" w:rsidP="001A7107">
      <w:pPr>
        <w:rPr>
          <w:rFonts w:ascii="Arial" w:hAnsi="Arial" w:cs="Arial"/>
          <w:sz w:val="20"/>
          <w:szCs w:val="20"/>
        </w:rPr>
      </w:pPr>
    </w:p>
    <w:p w14:paraId="3845571D" w14:textId="77777777" w:rsidR="00BE36FB" w:rsidRPr="009B7B35" w:rsidRDefault="00BE36FB">
      <w:pPr>
        <w:rPr>
          <w:rFonts w:ascii="Arial" w:hAnsi="Arial" w:cs="Arial"/>
          <w:sz w:val="20"/>
          <w:szCs w:val="20"/>
        </w:rPr>
      </w:pPr>
      <w:r w:rsidRPr="009B7B35">
        <w:rPr>
          <w:rFonts w:ascii="Arial" w:hAnsi="Arial" w:cs="Arial"/>
          <w:sz w:val="20"/>
          <w:szCs w:val="20"/>
        </w:rPr>
        <w:br w:type="page"/>
      </w:r>
    </w:p>
    <w:p w14:paraId="572BD743" w14:textId="77777777" w:rsidR="00BE36FB" w:rsidRPr="009B7B35" w:rsidRDefault="00BE36FB" w:rsidP="00B5414A">
      <w:pPr>
        <w:pStyle w:val="Heading5"/>
        <w:numPr>
          <w:ilvl w:val="0"/>
          <w:numId w:val="0"/>
        </w:numPr>
        <w:rPr>
          <w:rFonts w:cs="Arial"/>
          <w:szCs w:val="20"/>
        </w:rPr>
      </w:pPr>
      <w:r w:rsidRPr="009B7B35">
        <w:rPr>
          <w:rFonts w:cs="Arial"/>
          <w:szCs w:val="20"/>
        </w:rPr>
        <w:t>Figure</w:t>
      </w:r>
      <w:r w:rsidRPr="009B7B35" w:rsidDel="00DF5D07">
        <w:rPr>
          <w:rFonts w:cs="Arial"/>
          <w:szCs w:val="20"/>
        </w:rPr>
        <w:t xml:space="preserve"> </w:t>
      </w:r>
      <w:r w:rsidRPr="009B7B35">
        <w:rPr>
          <w:rFonts w:cs="Arial"/>
          <w:szCs w:val="20"/>
        </w:rPr>
        <w:t>1—Dwelling house: Narrow lot</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141"/>
        <w:gridCol w:w="5222"/>
      </w:tblGrid>
      <w:tr w:rsidR="00BE36FB" w:rsidRPr="009B7B35" w14:paraId="3BF4993E" w14:textId="77777777" w:rsidTr="001A7107">
        <w:tc>
          <w:tcPr>
            <w:tcW w:w="4111" w:type="dxa"/>
            <w:vAlign w:val="center"/>
          </w:tcPr>
          <w:p w14:paraId="47EE1C7A" w14:textId="77777777" w:rsidR="00BE36FB" w:rsidRPr="009B7B35" w:rsidRDefault="00BE36FB" w:rsidP="001A7107">
            <w:pPr>
              <w:pStyle w:val="TableText"/>
              <w:rPr>
                <w:rFonts w:cs="Arial"/>
              </w:rPr>
            </w:pPr>
            <w:r w:rsidRPr="009B7B35">
              <w:rPr>
                <w:rFonts w:cs="Arial"/>
              </w:rPr>
              <w:t>This form of detached housing enables compact dwelling forms with setbacks that provide natural light and ventilation to habitable rooms and open space for deep planting.</w:t>
            </w:r>
          </w:p>
        </w:tc>
        <w:tc>
          <w:tcPr>
            <w:tcW w:w="5266" w:type="dxa"/>
            <w:vAlign w:val="center"/>
          </w:tcPr>
          <w:p w14:paraId="14C746D2" w14:textId="77777777" w:rsidR="00BE36FB" w:rsidRPr="009B7B35" w:rsidRDefault="00BE36FB" w:rsidP="001A7107">
            <w:pPr>
              <w:jc w:val="right"/>
              <w:rPr>
                <w:rFonts w:cs="Arial"/>
                <w:sz w:val="20"/>
                <w:szCs w:val="20"/>
              </w:rPr>
            </w:pPr>
            <w:r w:rsidRPr="009B7B35">
              <w:rPr>
                <w:rFonts w:cs="Arial"/>
                <w:noProof/>
                <w:sz w:val="20"/>
                <w:szCs w:val="20"/>
              </w:rPr>
              <w:drawing>
                <wp:inline distT="0" distB="0" distL="0" distR="0" wp14:anchorId="7E84247D" wp14:editId="2E78D589">
                  <wp:extent cx="3173457" cy="1673524"/>
                  <wp:effectExtent l="0" t="0" r="8255" b="3175"/>
                  <wp:docPr id="54" name="Picture 54" descr="\\BVDC01\users\13\13-4263 PL - Gladstone Regional Planning Scheme - CT\Zoning\Zone Codes\Deicke Richards typologies\1. Narrow lot detached house\small lot deta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VDC01\users\13\13-4263 PL - Gladstone Regional Planning Scheme - CT\Zoning\Zone Codes\Deicke Richards typologies\1. Narrow lot detached house\small lot detached.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73623" cy="1673612"/>
                          </a:xfrm>
                          <a:prstGeom prst="rect">
                            <a:avLst/>
                          </a:prstGeom>
                          <a:noFill/>
                          <a:ln>
                            <a:noFill/>
                          </a:ln>
                        </pic:spPr>
                      </pic:pic>
                    </a:graphicData>
                  </a:graphic>
                </wp:inline>
              </w:drawing>
            </w:r>
          </w:p>
        </w:tc>
      </w:tr>
    </w:tbl>
    <w:p w14:paraId="31A7A6C8" w14:textId="77777777" w:rsidR="00BE36FB" w:rsidRPr="009B7B35" w:rsidRDefault="00BE36FB" w:rsidP="001A7107">
      <w:pPr>
        <w:rPr>
          <w:rFonts w:ascii="Arial" w:hAnsi="Arial" w:cs="Arial"/>
          <w:sz w:val="20"/>
          <w:szCs w:val="20"/>
        </w:rPr>
      </w:pPr>
    </w:p>
    <w:p w14:paraId="07B61689" w14:textId="77777777"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74"/>
        <w:gridCol w:w="1034"/>
        <w:gridCol w:w="677"/>
        <w:gridCol w:w="2070"/>
        <w:gridCol w:w="4108"/>
      </w:tblGrid>
      <w:tr w:rsidR="00BE36FB" w:rsidRPr="009B7B35" w14:paraId="79068C05" w14:textId="77777777"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tcPr>
          <w:p w14:paraId="6F8B2B02" w14:textId="77777777" w:rsidR="00BE36FB" w:rsidRPr="009B7B35" w:rsidRDefault="00BE36FB" w:rsidP="001A7107">
            <w:pPr>
              <w:pStyle w:val="Tableheading"/>
              <w:rPr>
                <w:rFonts w:ascii="Arial" w:hAnsi="Arial" w:cs="Arial"/>
                <w:szCs w:val="20"/>
              </w:rPr>
            </w:pPr>
            <w:r w:rsidRPr="009B7B35">
              <w:rPr>
                <w:rFonts w:ascii="Arial" w:hAnsi="Arial" w:cs="Arial"/>
                <w:szCs w:val="20"/>
              </w:rPr>
              <w:t>Element</w:t>
            </w:r>
          </w:p>
        </w:tc>
        <w:tc>
          <w:tcPr>
            <w:tcW w:w="2835" w:type="dxa"/>
          </w:tcPr>
          <w:p w14:paraId="48FDD021"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1" w:type="dxa"/>
            <w:vMerge w:val="restart"/>
            <w:tcBorders>
              <w:top w:val="nil"/>
              <w:bottom w:val="nil"/>
              <w:right w:val="nil"/>
            </w:tcBorders>
          </w:tcPr>
          <w:p w14:paraId="4C266B1D"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6CA4A1A3" wp14:editId="02D9E540">
                  <wp:extent cx="2524760" cy="3964940"/>
                  <wp:effectExtent l="0" t="0" r="8890" b="0"/>
                  <wp:docPr id="55" name="Picture 55" descr="\\BVDC01\users\13\13-4263 PL - Gladstone Regional Planning Scheme - CT\Zoning\Zone Codes\Deicke Richards typologies\1. Narrow lot detached house\130909_Typologies_100_SMALL 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VDC01\users\13\13-4263 PL - Gladstone Regional Planning Scheme - CT\Zoning\Zone Codes\Deicke Richards typologies\1. Narrow lot detached house\130909_Typologies_100_SMALL LOT-.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24760" cy="3964940"/>
                          </a:xfrm>
                          <a:prstGeom prst="rect">
                            <a:avLst/>
                          </a:prstGeom>
                          <a:noFill/>
                          <a:ln>
                            <a:noFill/>
                          </a:ln>
                        </pic:spPr>
                      </pic:pic>
                    </a:graphicData>
                  </a:graphic>
                </wp:inline>
              </w:drawing>
            </w:r>
          </w:p>
          <w:p w14:paraId="78E80B4D"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7C3C859D" wp14:editId="38DECF2D">
                  <wp:extent cx="2524125" cy="523875"/>
                  <wp:effectExtent l="0" t="0" r="9525" b="9525"/>
                  <wp:docPr id="56" name="Picture 56"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ypologies_Legend-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24125" cy="523875"/>
                          </a:xfrm>
                          <a:prstGeom prst="rect">
                            <a:avLst/>
                          </a:prstGeom>
                          <a:noFill/>
                          <a:ln>
                            <a:noFill/>
                          </a:ln>
                        </pic:spPr>
                      </pic:pic>
                    </a:graphicData>
                  </a:graphic>
                </wp:inline>
              </w:drawing>
            </w:r>
          </w:p>
        </w:tc>
      </w:tr>
      <w:tr w:rsidR="00BE36FB" w:rsidRPr="009B7B35" w14:paraId="27D715AF" w14:textId="77777777" w:rsidTr="001A7107">
        <w:tc>
          <w:tcPr>
            <w:tcW w:w="538" w:type="dxa"/>
          </w:tcPr>
          <w:p w14:paraId="0B36902F" w14:textId="77777777" w:rsidR="00BE36FB" w:rsidRPr="009B7B35" w:rsidRDefault="00BE36FB" w:rsidP="001A7107">
            <w:pPr>
              <w:pStyle w:val="TableText"/>
              <w:rPr>
                <w:rFonts w:cs="Arial"/>
              </w:rPr>
            </w:pPr>
            <w:r w:rsidRPr="009B7B35">
              <w:rPr>
                <w:rFonts w:cs="Arial"/>
              </w:rPr>
              <w:t>1.1</w:t>
            </w:r>
          </w:p>
        </w:tc>
        <w:tc>
          <w:tcPr>
            <w:tcW w:w="1872" w:type="dxa"/>
            <w:gridSpan w:val="2"/>
          </w:tcPr>
          <w:p w14:paraId="474611FF" w14:textId="77777777" w:rsidR="00BE36FB" w:rsidRPr="009B7B35" w:rsidRDefault="00BE36FB" w:rsidP="001A7107">
            <w:pPr>
              <w:pStyle w:val="TableText"/>
              <w:rPr>
                <w:rFonts w:cs="Arial"/>
              </w:rPr>
            </w:pPr>
            <w:r w:rsidRPr="009B7B35">
              <w:rPr>
                <w:rFonts w:cs="Arial"/>
              </w:rPr>
              <w:t>Minimum frontage</w:t>
            </w:r>
          </w:p>
        </w:tc>
        <w:tc>
          <w:tcPr>
            <w:tcW w:w="2835" w:type="dxa"/>
          </w:tcPr>
          <w:p w14:paraId="662D42F2" w14:textId="77777777" w:rsidR="00BE36FB" w:rsidRPr="009B7B35" w:rsidRDefault="00BE36FB" w:rsidP="001A7107">
            <w:pPr>
              <w:pStyle w:val="TableText"/>
              <w:rPr>
                <w:rFonts w:cs="Arial"/>
              </w:rPr>
            </w:pPr>
            <w:r w:rsidRPr="009B7B35">
              <w:rPr>
                <w:rFonts w:cs="Arial"/>
              </w:rPr>
              <w:t>10m</w:t>
            </w:r>
          </w:p>
        </w:tc>
        <w:tc>
          <w:tcPr>
            <w:tcW w:w="4111" w:type="dxa"/>
            <w:vMerge/>
            <w:tcBorders>
              <w:bottom w:val="nil"/>
              <w:right w:val="nil"/>
            </w:tcBorders>
          </w:tcPr>
          <w:p w14:paraId="716E198C" w14:textId="77777777" w:rsidR="00BE36FB" w:rsidRPr="009B7B35" w:rsidRDefault="00BE36FB" w:rsidP="001A7107">
            <w:pPr>
              <w:rPr>
                <w:rFonts w:cs="Arial"/>
                <w:sz w:val="20"/>
                <w:szCs w:val="20"/>
              </w:rPr>
            </w:pPr>
          </w:p>
        </w:tc>
      </w:tr>
      <w:tr w:rsidR="00BE36FB" w:rsidRPr="009B7B35" w14:paraId="6F166891" w14:textId="77777777" w:rsidTr="001A7107">
        <w:tc>
          <w:tcPr>
            <w:tcW w:w="538" w:type="dxa"/>
          </w:tcPr>
          <w:p w14:paraId="01679DF0" w14:textId="77777777" w:rsidR="00BE36FB" w:rsidRPr="009B7B35" w:rsidRDefault="00BE36FB" w:rsidP="001A7107">
            <w:pPr>
              <w:pStyle w:val="TableText"/>
              <w:rPr>
                <w:rFonts w:cs="Arial"/>
              </w:rPr>
            </w:pPr>
            <w:r w:rsidRPr="009B7B35">
              <w:rPr>
                <w:rFonts w:cs="Arial"/>
              </w:rPr>
              <w:t>1.2</w:t>
            </w:r>
          </w:p>
        </w:tc>
        <w:tc>
          <w:tcPr>
            <w:tcW w:w="1872" w:type="dxa"/>
            <w:gridSpan w:val="2"/>
          </w:tcPr>
          <w:p w14:paraId="7F22BEF9" w14:textId="77777777" w:rsidR="00BE36FB" w:rsidRPr="009B7B35" w:rsidRDefault="00BE36FB" w:rsidP="001A7107">
            <w:pPr>
              <w:pStyle w:val="TableText"/>
              <w:rPr>
                <w:rFonts w:cs="Arial"/>
              </w:rPr>
            </w:pPr>
            <w:r w:rsidRPr="009B7B35">
              <w:rPr>
                <w:rFonts w:cs="Arial"/>
              </w:rPr>
              <w:t>Minimum area</w:t>
            </w:r>
          </w:p>
        </w:tc>
        <w:tc>
          <w:tcPr>
            <w:tcW w:w="2835" w:type="dxa"/>
          </w:tcPr>
          <w:p w14:paraId="73055EE6" w14:textId="77777777" w:rsidR="00BE36FB" w:rsidRPr="009B7B35" w:rsidRDefault="00BE36FB" w:rsidP="001A7107">
            <w:pPr>
              <w:pStyle w:val="TableText"/>
              <w:rPr>
                <w:rFonts w:cs="Arial"/>
              </w:rPr>
            </w:pPr>
            <w:r w:rsidRPr="009B7B35">
              <w:rPr>
                <w:rFonts w:cs="Arial"/>
              </w:rPr>
              <w:t>400m</w:t>
            </w:r>
            <w:r w:rsidRPr="009B7B35">
              <w:rPr>
                <w:rFonts w:cs="Arial"/>
                <w:vertAlign w:val="superscript"/>
              </w:rPr>
              <w:t>2</w:t>
            </w:r>
          </w:p>
        </w:tc>
        <w:tc>
          <w:tcPr>
            <w:tcW w:w="4111" w:type="dxa"/>
            <w:vMerge/>
            <w:tcBorders>
              <w:bottom w:val="nil"/>
              <w:right w:val="nil"/>
            </w:tcBorders>
          </w:tcPr>
          <w:p w14:paraId="3016A075" w14:textId="77777777" w:rsidR="00BE36FB" w:rsidRPr="009B7B35" w:rsidRDefault="00BE36FB" w:rsidP="001A7107">
            <w:pPr>
              <w:rPr>
                <w:rFonts w:cs="Arial"/>
                <w:sz w:val="20"/>
                <w:szCs w:val="20"/>
              </w:rPr>
            </w:pPr>
          </w:p>
        </w:tc>
      </w:tr>
      <w:tr w:rsidR="00BE36FB" w:rsidRPr="009B7B35" w14:paraId="69EFB8CD" w14:textId="77777777" w:rsidTr="001A7107">
        <w:tc>
          <w:tcPr>
            <w:tcW w:w="538" w:type="dxa"/>
          </w:tcPr>
          <w:p w14:paraId="49B66821" w14:textId="77777777" w:rsidR="00BE36FB" w:rsidRPr="009B7B35" w:rsidRDefault="00BE36FB" w:rsidP="001A7107">
            <w:pPr>
              <w:pStyle w:val="TableText"/>
              <w:rPr>
                <w:rFonts w:cs="Arial"/>
              </w:rPr>
            </w:pPr>
            <w:r w:rsidRPr="009B7B35">
              <w:rPr>
                <w:rFonts w:cs="Arial"/>
              </w:rPr>
              <w:t>1.3</w:t>
            </w:r>
          </w:p>
        </w:tc>
        <w:tc>
          <w:tcPr>
            <w:tcW w:w="1872" w:type="dxa"/>
            <w:gridSpan w:val="2"/>
          </w:tcPr>
          <w:p w14:paraId="75C591BA" w14:textId="77777777" w:rsidR="00BE36FB" w:rsidRPr="009B7B35" w:rsidRDefault="00BE36FB" w:rsidP="001A7107">
            <w:pPr>
              <w:pStyle w:val="TableText"/>
              <w:rPr>
                <w:rFonts w:cs="Arial"/>
              </w:rPr>
            </w:pPr>
            <w:r w:rsidRPr="009B7B35">
              <w:rPr>
                <w:rFonts w:cs="Arial"/>
              </w:rPr>
              <w:t>Maximum site cover</w:t>
            </w:r>
          </w:p>
        </w:tc>
        <w:tc>
          <w:tcPr>
            <w:tcW w:w="2835" w:type="dxa"/>
          </w:tcPr>
          <w:p w14:paraId="3774814F" w14:textId="77777777" w:rsidR="00BE36FB" w:rsidRPr="009B7B35" w:rsidRDefault="00BE36FB" w:rsidP="001A7107">
            <w:pPr>
              <w:pStyle w:val="TableText"/>
              <w:rPr>
                <w:rFonts w:cs="Arial"/>
              </w:rPr>
            </w:pPr>
            <w:r w:rsidRPr="009B7B35">
              <w:rPr>
                <w:rFonts w:cs="Arial"/>
              </w:rPr>
              <w:t>50%</w:t>
            </w:r>
          </w:p>
        </w:tc>
        <w:tc>
          <w:tcPr>
            <w:tcW w:w="4111" w:type="dxa"/>
            <w:vMerge/>
            <w:tcBorders>
              <w:bottom w:val="nil"/>
              <w:right w:val="nil"/>
            </w:tcBorders>
          </w:tcPr>
          <w:p w14:paraId="0B918D8B" w14:textId="77777777" w:rsidR="00BE36FB" w:rsidRPr="009B7B35" w:rsidRDefault="00BE36FB" w:rsidP="001A7107">
            <w:pPr>
              <w:rPr>
                <w:rFonts w:cs="Arial"/>
                <w:sz w:val="20"/>
                <w:szCs w:val="20"/>
              </w:rPr>
            </w:pPr>
          </w:p>
        </w:tc>
      </w:tr>
      <w:tr w:rsidR="00BE36FB" w:rsidRPr="009B7B35" w14:paraId="10BBFABA" w14:textId="77777777" w:rsidTr="001A7107">
        <w:tc>
          <w:tcPr>
            <w:tcW w:w="538" w:type="dxa"/>
          </w:tcPr>
          <w:p w14:paraId="2C91903A" w14:textId="77777777" w:rsidR="00BE36FB" w:rsidRPr="009B7B35" w:rsidRDefault="00BE36FB" w:rsidP="001A7107">
            <w:pPr>
              <w:pStyle w:val="TableText"/>
              <w:rPr>
                <w:rFonts w:cs="Arial"/>
              </w:rPr>
            </w:pPr>
            <w:r w:rsidRPr="009B7B35">
              <w:rPr>
                <w:rFonts w:cs="Arial"/>
              </w:rPr>
              <w:t>1.4</w:t>
            </w:r>
          </w:p>
        </w:tc>
        <w:tc>
          <w:tcPr>
            <w:tcW w:w="1872" w:type="dxa"/>
            <w:gridSpan w:val="2"/>
          </w:tcPr>
          <w:p w14:paraId="6756CF4B" w14:textId="77777777" w:rsidR="00BE36FB" w:rsidRPr="009B7B35" w:rsidRDefault="00BE36FB" w:rsidP="001A7107">
            <w:pPr>
              <w:pStyle w:val="TableText"/>
              <w:rPr>
                <w:rFonts w:cs="Arial"/>
              </w:rPr>
            </w:pPr>
            <w:r w:rsidRPr="009B7B35">
              <w:rPr>
                <w:rFonts w:cs="Arial"/>
              </w:rPr>
              <w:t>Minimum private open space</w:t>
            </w:r>
          </w:p>
        </w:tc>
        <w:tc>
          <w:tcPr>
            <w:tcW w:w="2835" w:type="dxa"/>
          </w:tcPr>
          <w:p w14:paraId="085B625E" w14:textId="77777777" w:rsidR="00BE36FB" w:rsidRPr="009B7B35" w:rsidRDefault="00BE36FB" w:rsidP="001A7107">
            <w:pPr>
              <w:pStyle w:val="TableText"/>
              <w:rPr>
                <w:rFonts w:cs="Arial"/>
              </w:rPr>
            </w:pPr>
            <w:r w:rsidRPr="009B7B35">
              <w:rPr>
                <w:rFonts w:cs="Arial"/>
              </w:rPr>
              <w:t>50m</w:t>
            </w:r>
            <w:r w:rsidRPr="009B7B35">
              <w:rPr>
                <w:rFonts w:cs="Arial"/>
                <w:vertAlign w:val="superscript"/>
              </w:rPr>
              <w:t>2</w:t>
            </w:r>
            <w:r w:rsidRPr="009B7B35">
              <w:rPr>
                <w:rFonts w:cs="Arial"/>
              </w:rPr>
              <w:t xml:space="preserve"> with a minimum dimension of 6.0m in any direction.</w:t>
            </w:r>
          </w:p>
        </w:tc>
        <w:tc>
          <w:tcPr>
            <w:tcW w:w="4111" w:type="dxa"/>
            <w:vMerge/>
            <w:tcBorders>
              <w:bottom w:val="nil"/>
              <w:right w:val="nil"/>
            </w:tcBorders>
          </w:tcPr>
          <w:p w14:paraId="34D955C3" w14:textId="77777777" w:rsidR="00BE36FB" w:rsidRPr="009B7B35" w:rsidRDefault="00BE36FB" w:rsidP="001A7107">
            <w:pPr>
              <w:rPr>
                <w:rFonts w:cs="Arial"/>
                <w:sz w:val="20"/>
                <w:szCs w:val="20"/>
              </w:rPr>
            </w:pPr>
          </w:p>
        </w:tc>
      </w:tr>
      <w:tr w:rsidR="00BE36FB" w:rsidRPr="009B7B35" w14:paraId="53BC96B0" w14:textId="77777777" w:rsidTr="001A7107">
        <w:tc>
          <w:tcPr>
            <w:tcW w:w="538" w:type="dxa"/>
            <w:vMerge w:val="restart"/>
          </w:tcPr>
          <w:p w14:paraId="168E5FBB" w14:textId="77777777" w:rsidR="00BE36FB" w:rsidRPr="009B7B35" w:rsidRDefault="00BE36FB" w:rsidP="001A7107">
            <w:pPr>
              <w:pStyle w:val="TableText"/>
              <w:rPr>
                <w:rFonts w:cs="Arial"/>
              </w:rPr>
            </w:pPr>
            <w:r w:rsidRPr="009B7B35">
              <w:rPr>
                <w:rFonts w:cs="Arial"/>
              </w:rPr>
              <w:t>1.5</w:t>
            </w:r>
          </w:p>
        </w:tc>
        <w:tc>
          <w:tcPr>
            <w:tcW w:w="1119" w:type="dxa"/>
            <w:vMerge w:val="restart"/>
          </w:tcPr>
          <w:p w14:paraId="6EFB3836" w14:textId="77777777" w:rsidR="00BE36FB" w:rsidRPr="009B7B35" w:rsidRDefault="00BE36FB" w:rsidP="001A7107">
            <w:pPr>
              <w:pStyle w:val="TableText"/>
              <w:rPr>
                <w:rFonts w:cs="Arial"/>
              </w:rPr>
            </w:pPr>
            <w:r w:rsidRPr="009B7B35">
              <w:rPr>
                <w:rFonts w:cs="Arial"/>
              </w:rPr>
              <w:t>Minimum setbacks</w:t>
            </w:r>
          </w:p>
        </w:tc>
        <w:tc>
          <w:tcPr>
            <w:tcW w:w="753" w:type="dxa"/>
            <w:vMerge w:val="restart"/>
          </w:tcPr>
          <w:p w14:paraId="36A8610F" w14:textId="77777777" w:rsidR="00BE36FB" w:rsidRPr="009B7B35" w:rsidRDefault="00BE36FB" w:rsidP="001A7107">
            <w:pPr>
              <w:pStyle w:val="TableText"/>
              <w:rPr>
                <w:rFonts w:cs="Arial"/>
              </w:rPr>
            </w:pPr>
            <w:r w:rsidRPr="009B7B35">
              <w:rPr>
                <w:rFonts w:cs="Arial"/>
              </w:rPr>
              <w:t>Front</w:t>
            </w:r>
          </w:p>
        </w:tc>
        <w:tc>
          <w:tcPr>
            <w:tcW w:w="2835" w:type="dxa"/>
          </w:tcPr>
          <w:p w14:paraId="74A05696" w14:textId="77777777" w:rsidR="00BE36FB" w:rsidRPr="009B7B35" w:rsidRDefault="00BE36FB" w:rsidP="001A7107">
            <w:pPr>
              <w:pStyle w:val="TableText"/>
              <w:rPr>
                <w:rFonts w:cs="Arial"/>
              </w:rPr>
            </w:pPr>
            <w:r w:rsidRPr="009B7B35">
              <w:rPr>
                <w:rFonts w:cs="Arial"/>
              </w:rPr>
              <w:t>3m (OMP and including all street frontages where a corner lot).</w:t>
            </w:r>
          </w:p>
        </w:tc>
        <w:tc>
          <w:tcPr>
            <w:tcW w:w="4111" w:type="dxa"/>
            <w:vMerge/>
            <w:tcBorders>
              <w:bottom w:val="nil"/>
              <w:right w:val="nil"/>
            </w:tcBorders>
          </w:tcPr>
          <w:p w14:paraId="4626A60A" w14:textId="77777777" w:rsidR="00BE36FB" w:rsidRPr="009B7B35" w:rsidRDefault="00BE36FB" w:rsidP="001A7107">
            <w:pPr>
              <w:rPr>
                <w:rFonts w:cs="Arial"/>
                <w:sz w:val="20"/>
                <w:szCs w:val="20"/>
              </w:rPr>
            </w:pPr>
          </w:p>
        </w:tc>
      </w:tr>
      <w:tr w:rsidR="00BE36FB" w:rsidRPr="009B7B35" w14:paraId="5D069076" w14:textId="77777777" w:rsidTr="001A7107">
        <w:tc>
          <w:tcPr>
            <w:tcW w:w="538" w:type="dxa"/>
            <w:vMerge/>
          </w:tcPr>
          <w:p w14:paraId="04EDBB9A" w14:textId="77777777" w:rsidR="00BE36FB" w:rsidRPr="009B7B35" w:rsidRDefault="00BE36FB" w:rsidP="001A7107">
            <w:pPr>
              <w:pStyle w:val="TableText"/>
              <w:rPr>
                <w:rFonts w:cs="Arial"/>
              </w:rPr>
            </w:pPr>
          </w:p>
        </w:tc>
        <w:tc>
          <w:tcPr>
            <w:tcW w:w="1119" w:type="dxa"/>
            <w:vMerge/>
          </w:tcPr>
          <w:p w14:paraId="2F42B85F" w14:textId="77777777" w:rsidR="00BE36FB" w:rsidRPr="009B7B35" w:rsidRDefault="00BE36FB" w:rsidP="001A7107">
            <w:pPr>
              <w:pStyle w:val="TableText"/>
              <w:rPr>
                <w:rFonts w:cs="Arial"/>
              </w:rPr>
            </w:pPr>
          </w:p>
        </w:tc>
        <w:tc>
          <w:tcPr>
            <w:tcW w:w="753" w:type="dxa"/>
            <w:vMerge/>
          </w:tcPr>
          <w:p w14:paraId="2DA7DB8C" w14:textId="77777777" w:rsidR="00BE36FB" w:rsidRPr="009B7B35" w:rsidRDefault="00BE36FB" w:rsidP="001A7107">
            <w:pPr>
              <w:pStyle w:val="TableText"/>
              <w:rPr>
                <w:rFonts w:cs="Arial"/>
              </w:rPr>
            </w:pPr>
          </w:p>
        </w:tc>
        <w:tc>
          <w:tcPr>
            <w:tcW w:w="2835" w:type="dxa"/>
          </w:tcPr>
          <w:p w14:paraId="1B9E44D5" w14:textId="77777777" w:rsidR="00BE36FB" w:rsidRPr="009B7B35" w:rsidRDefault="00BE36FB" w:rsidP="001A7107">
            <w:pPr>
              <w:pStyle w:val="TableText"/>
              <w:rPr>
                <w:rFonts w:cs="Arial"/>
              </w:rPr>
            </w:pPr>
            <w:r w:rsidRPr="009B7B35">
              <w:rPr>
                <w:rFonts w:cs="Arial"/>
              </w:rPr>
              <w:t>5m to garage.</w:t>
            </w:r>
          </w:p>
        </w:tc>
        <w:tc>
          <w:tcPr>
            <w:tcW w:w="4111" w:type="dxa"/>
            <w:vMerge/>
            <w:tcBorders>
              <w:bottom w:val="nil"/>
              <w:right w:val="nil"/>
            </w:tcBorders>
          </w:tcPr>
          <w:p w14:paraId="21C350FC" w14:textId="77777777" w:rsidR="00BE36FB" w:rsidRPr="009B7B35" w:rsidRDefault="00BE36FB" w:rsidP="001A7107">
            <w:pPr>
              <w:rPr>
                <w:rFonts w:cs="Arial"/>
                <w:sz w:val="20"/>
                <w:szCs w:val="20"/>
              </w:rPr>
            </w:pPr>
          </w:p>
        </w:tc>
      </w:tr>
      <w:tr w:rsidR="00BE36FB" w:rsidRPr="009B7B35" w14:paraId="11828B2B" w14:textId="77777777" w:rsidTr="001A7107">
        <w:tc>
          <w:tcPr>
            <w:tcW w:w="538" w:type="dxa"/>
            <w:vMerge/>
          </w:tcPr>
          <w:p w14:paraId="5FE0F28E" w14:textId="77777777" w:rsidR="00BE36FB" w:rsidRPr="009B7B35" w:rsidRDefault="00BE36FB" w:rsidP="001A7107">
            <w:pPr>
              <w:pStyle w:val="TableText"/>
              <w:rPr>
                <w:rFonts w:cs="Arial"/>
              </w:rPr>
            </w:pPr>
          </w:p>
        </w:tc>
        <w:tc>
          <w:tcPr>
            <w:tcW w:w="1119" w:type="dxa"/>
            <w:vMerge/>
          </w:tcPr>
          <w:p w14:paraId="53C61CCF" w14:textId="77777777" w:rsidR="00BE36FB" w:rsidRPr="009B7B35" w:rsidRDefault="00BE36FB" w:rsidP="001A7107">
            <w:pPr>
              <w:pStyle w:val="TableText"/>
              <w:rPr>
                <w:rFonts w:cs="Arial"/>
              </w:rPr>
            </w:pPr>
          </w:p>
        </w:tc>
        <w:tc>
          <w:tcPr>
            <w:tcW w:w="753" w:type="dxa"/>
          </w:tcPr>
          <w:p w14:paraId="724C0843" w14:textId="77777777" w:rsidR="00BE36FB" w:rsidRPr="009B7B35" w:rsidRDefault="00BE36FB" w:rsidP="001A7107">
            <w:pPr>
              <w:pStyle w:val="TableText"/>
              <w:rPr>
                <w:rFonts w:cs="Arial"/>
              </w:rPr>
            </w:pPr>
            <w:r w:rsidRPr="009B7B35">
              <w:rPr>
                <w:rFonts w:cs="Arial"/>
              </w:rPr>
              <w:t>Rear</w:t>
            </w:r>
          </w:p>
        </w:tc>
        <w:tc>
          <w:tcPr>
            <w:tcW w:w="2835" w:type="dxa"/>
          </w:tcPr>
          <w:p w14:paraId="69E5F516" w14:textId="77777777" w:rsidR="00BE36FB" w:rsidRPr="009B7B35" w:rsidRDefault="00BE36FB" w:rsidP="001A7107">
            <w:pPr>
              <w:pStyle w:val="TableText"/>
              <w:rPr>
                <w:rFonts w:cs="Arial"/>
              </w:rPr>
            </w:pPr>
            <w:r w:rsidRPr="009B7B35">
              <w:rPr>
                <w:rFonts w:cs="Arial"/>
              </w:rPr>
              <w:t>6m (where not on a corner lot).</w:t>
            </w:r>
          </w:p>
        </w:tc>
        <w:tc>
          <w:tcPr>
            <w:tcW w:w="4111" w:type="dxa"/>
            <w:vMerge/>
            <w:tcBorders>
              <w:bottom w:val="nil"/>
              <w:right w:val="nil"/>
            </w:tcBorders>
          </w:tcPr>
          <w:p w14:paraId="35F84BD9" w14:textId="77777777" w:rsidR="00BE36FB" w:rsidRPr="009B7B35" w:rsidRDefault="00BE36FB" w:rsidP="001A7107">
            <w:pPr>
              <w:rPr>
                <w:rFonts w:cs="Arial"/>
                <w:sz w:val="20"/>
                <w:szCs w:val="20"/>
              </w:rPr>
            </w:pPr>
          </w:p>
        </w:tc>
      </w:tr>
      <w:tr w:rsidR="00BE36FB" w:rsidRPr="009B7B35" w14:paraId="3B06C7E4" w14:textId="77777777" w:rsidTr="001A7107">
        <w:tc>
          <w:tcPr>
            <w:tcW w:w="538" w:type="dxa"/>
            <w:vMerge/>
          </w:tcPr>
          <w:p w14:paraId="5821A119" w14:textId="77777777" w:rsidR="00BE36FB" w:rsidRPr="009B7B35" w:rsidRDefault="00BE36FB" w:rsidP="001A7107">
            <w:pPr>
              <w:pStyle w:val="TableText"/>
              <w:rPr>
                <w:rFonts w:cs="Arial"/>
              </w:rPr>
            </w:pPr>
          </w:p>
        </w:tc>
        <w:tc>
          <w:tcPr>
            <w:tcW w:w="1119" w:type="dxa"/>
            <w:vMerge/>
          </w:tcPr>
          <w:p w14:paraId="1D2E29EE" w14:textId="77777777" w:rsidR="00BE36FB" w:rsidRPr="009B7B35" w:rsidRDefault="00BE36FB" w:rsidP="001A7107">
            <w:pPr>
              <w:pStyle w:val="TableText"/>
              <w:rPr>
                <w:rFonts w:cs="Arial"/>
              </w:rPr>
            </w:pPr>
          </w:p>
        </w:tc>
        <w:tc>
          <w:tcPr>
            <w:tcW w:w="753" w:type="dxa"/>
          </w:tcPr>
          <w:p w14:paraId="0F0B4DE1" w14:textId="77777777" w:rsidR="00BE36FB" w:rsidRPr="009B7B35" w:rsidRDefault="00BE36FB" w:rsidP="001A7107">
            <w:pPr>
              <w:pStyle w:val="TableText"/>
              <w:rPr>
                <w:rFonts w:cs="Arial"/>
              </w:rPr>
            </w:pPr>
            <w:r w:rsidRPr="009B7B35">
              <w:rPr>
                <w:rFonts w:cs="Arial"/>
              </w:rPr>
              <w:t>Side</w:t>
            </w:r>
          </w:p>
        </w:tc>
        <w:tc>
          <w:tcPr>
            <w:tcW w:w="2835" w:type="dxa"/>
          </w:tcPr>
          <w:p w14:paraId="3FB76FFA" w14:textId="77777777" w:rsidR="00BE36FB" w:rsidRPr="009B7B35" w:rsidRDefault="00BE36FB" w:rsidP="001A7107">
            <w:pPr>
              <w:pStyle w:val="TableText"/>
              <w:rPr>
                <w:rFonts w:cs="Arial"/>
              </w:rPr>
            </w:pPr>
            <w:r w:rsidRPr="009B7B35">
              <w:rPr>
                <w:rFonts w:cs="Arial"/>
              </w:rPr>
              <w:t>1.5m not including eaves.</w:t>
            </w:r>
          </w:p>
        </w:tc>
        <w:tc>
          <w:tcPr>
            <w:tcW w:w="4111" w:type="dxa"/>
            <w:vMerge/>
            <w:tcBorders>
              <w:bottom w:val="nil"/>
              <w:right w:val="nil"/>
            </w:tcBorders>
          </w:tcPr>
          <w:p w14:paraId="7B4FAF58" w14:textId="77777777" w:rsidR="00BE36FB" w:rsidRPr="009B7B35" w:rsidRDefault="00BE36FB" w:rsidP="001A7107">
            <w:pPr>
              <w:rPr>
                <w:rFonts w:cs="Arial"/>
                <w:sz w:val="20"/>
                <w:szCs w:val="20"/>
              </w:rPr>
            </w:pPr>
          </w:p>
        </w:tc>
      </w:tr>
      <w:tr w:rsidR="00BE36FB" w:rsidRPr="009B7B35" w14:paraId="2C471A96" w14:textId="77777777" w:rsidTr="001A7107">
        <w:tc>
          <w:tcPr>
            <w:tcW w:w="538" w:type="dxa"/>
          </w:tcPr>
          <w:p w14:paraId="0E2F58A9" w14:textId="77777777" w:rsidR="00BE36FB" w:rsidRPr="009B7B35" w:rsidRDefault="00BE36FB" w:rsidP="001A7107">
            <w:pPr>
              <w:pStyle w:val="TableText"/>
              <w:rPr>
                <w:rFonts w:cs="Arial"/>
              </w:rPr>
            </w:pPr>
            <w:r w:rsidRPr="009B7B35">
              <w:rPr>
                <w:rFonts w:cs="Arial"/>
              </w:rPr>
              <w:t>1.6</w:t>
            </w:r>
          </w:p>
        </w:tc>
        <w:tc>
          <w:tcPr>
            <w:tcW w:w="1872" w:type="dxa"/>
            <w:gridSpan w:val="2"/>
          </w:tcPr>
          <w:p w14:paraId="49691546" w14:textId="77777777" w:rsidR="00BE36FB" w:rsidRPr="009B7B35" w:rsidRDefault="00BE36FB" w:rsidP="001A7107">
            <w:pPr>
              <w:pStyle w:val="TableText"/>
              <w:rPr>
                <w:rFonts w:cs="Arial"/>
              </w:rPr>
            </w:pPr>
            <w:r w:rsidRPr="009B7B35">
              <w:rPr>
                <w:rFonts w:cs="Arial"/>
              </w:rPr>
              <w:t>Built to boundary walls</w:t>
            </w:r>
          </w:p>
        </w:tc>
        <w:tc>
          <w:tcPr>
            <w:tcW w:w="2835" w:type="dxa"/>
          </w:tcPr>
          <w:p w14:paraId="5F61FC03" w14:textId="77777777" w:rsidR="00BE36FB" w:rsidRPr="009B7B35" w:rsidRDefault="00BE36FB" w:rsidP="001A7107">
            <w:pPr>
              <w:pStyle w:val="TableText"/>
              <w:rPr>
                <w:rFonts w:cs="Arial"/>
              </w:rPr>
            </w:pPr>
            <w:r w:rsidRPr="009B7B35">
              <w:rPr>
                <w:rFonts w:cs="Arial"/>
              </w:rPr>
              <w:t>Limited to 1 side boundary and must contain no windows, openings or glazing. Maximum length 10m and maximum height 3.5m.</w:t>
            </w:r>
          </w:p>
        </w:tc>
        <w:tc>
          <w:tcPr>
            <w:tcW w:w="4111" w:type="dxa"/>
            <w:vMerge/>
            <w:tcBorders>
              <w:bottom w:val="nil"/>
              <w:right w:val="nil"/>
            </w:tcBorders>
          </w:tcPr>
          <w:p w14:paraId="4D0DFA45" w14:textId="77777777" w:rsidR="00BE36FB" w:rsidRPr="009B7B35" w:rsidRDefault="00BE36FB" w:rsidP="001A7107">
            <w:pPr>
              <w:rPr>
                <w:rFonts w:cs="Arial"/>
                <w:sz w:val="20"/>
                <w:szCs w:val="20"/>
              </w:rPr>
            </w:pPr>
          </w:p>
        </w:tc>
      </w:tr>
    </w:tbl>
    <w:p w14:paraId="3ED3A716"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58BDD27A" w14:textId="77777777" w:rsidR="00BE36FB" w:rsidRPr="009B7B35" w:rsidRDefault="00BE36FB" w:rsidP="00B5414A">
      <w:pPr>
        <w:pStyle w:val="Heading5"/>
        <w:numPr>
          <w:ilvl w:val="0"/>
          <w:numId w:val="0"/>
        </w:numPr>
        <w:rPr>
          <w:rFonts w:cs="Arial"/>
          <w:szCs w:val="20"/>
        </w:rPr>
      </w:pPr>
      <w:r w:rsidRPr="009B7B35">
        <w:rPr>
          <w:rFonts w:cs="Arial"/>
          <w:szCs w:val="20"/>
        </w:rPr>
        <w:t>Figure 2—Dual occupancy</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856"/>
        <w:gridCol w:w="4507"/>
      </w:tblGrid>
      <w:tr w:rsidR="00BE36FB" w:rsidRPr="009B7B35" w14:paraId="41269C39" w14:textId="77777777" w:rsidTr="001A7107">
        <w:trPr>
          <w:trHeight w:val="1236"/>
        </w:trPr>
        <w:tc>
          <w:tcPr>
            <w:tcW w:w="4253" w:type="dxa"/>
            <w:vAlign w:val="center"/>
          </w:tcPr>
          <w:p w14:paraId="05408A36" w14:textId="77777777" w:rsidR="00BE36FB" w:rsidRPr="009B7B35" w:rsidRDefault="00BE36FB" w:rsidP="001A7107">
            <w:pPr>
              <w:pStyle w:val="TableText"/>
              <w:rPr>
                <w:rFonts w:cs="Arial"/>
              </w:rPr>
            </w:pPr>
            <w:r w:rsidRPr="009B7B35">
              <w:rPr>
                <w:rFonts w:cs="Arial"/>
              </w:rPr>
              <w:t>These are paired dwellings that share a single internal wall and are visually similar to a dwelling house when viewed from the street.</w:t>
            </w:r>
          </w:p>
        </w:tc>
        <w:tc>
          <w:tcPr>
            <w:tcW w:w="5103" w:type="dxa"/>
          </w:tcPr>
          <w:p w14:paraId="1802DEB6" w14:textId="77777777" w:rsidR="00BE36FB" w:rsidRPr="009B7B35" w:rsidRDefault="00BE36FB" w:rsidP="001A7107">
            <w:pPr>
              <w:rPr>
                <w:rFonts w:cs="Arial"/>
                <w:sz w:val="20"/>
                <w:szCs w:val="20"/>
              </w:rPr>
            </w:pPr>
          </w:p>
        </w:tc>
      </w:tr>
    </w:tbl>
    <w:p w14:paraId="014401B7" w14:textId="77777777" w:rsidR="00BE36FB" w:rsidRPr="009B7B35" w:rsidRDefault="00BE36FB" w:rsidP="001A7107">
      <w:pPr>
        <w:rPr>
          <w:rFonts w:ascii="Arial" w:hAnsi="Arial" w:cs="Arial"/>
          <w:sz w:val="20"/>
          <w:szCs w:val="20"/>
        </w:rPr>
      </w:pPr>
    </w:p>
    <w:p w14:paraId="29027624" w14:textId="77777777"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74"/>
        <w:gridCol w:w="1035"/>
        <w:gridCol w:w="678"/>
        <w:gridCol w:w="2078"/>
        <w:gridCol w:w="4098"/>
      </w:tblGrid>
      <w:tr w:rsidR="00BE36FB" w:rsidRPr="009B7B35" w14:paraId="12B8A984" w14:textId="77777777"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tcPr>
          <w:p w14:paraId="5E7B0072" w14:textId="77777777" w:rsidR="00BE36FB" w:rsidRPr="009B7B35" w:rsidRDefault="00BE36FB" w:rsidP="001A7107">
            <w:pPr>
              <w:pStyle w:val="Tableheading"/>
              <w:rPr>
                <w:rFonts w:ascii="Arial" w:hAnsi="Arial" w:cs="Arial"/>
                <w:szCs w:val="20"/>
              </w:rPr>
            </w:pPr>
            <w:r w:rsidRPr="009B7B35">
              <w:rPr>
                <w:rFonts w:ascii="Arial" w:hAnsi="Arial" w:cs="Arial"/>
                <w:szCs w:val="20"/>
              </w:rPr>
              <w:t>Element</w:t>
            </w:r>
          </w:p>
        </w:tc>
        <w:tc>
          <w:tcPr>
            <w:tcW w:w="2835" w:type="dxa"/>
          </w:tcPr>
          <w:p w14:paraId="2FCCF1B1"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1" w:type="dxa"/>
            <w:vMerge w:val="restart"/>
            <w:tcBorders>
              <w:top w:val="nil"/>
              <w:bottom w:val="nil"/>
              <w:right w:val="nil"/>
            </w:tcBorders>
          </w:tcPr>
          <w:p w14:paraId="6460CE0B"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56BEB48F" wp14:editId="6D21A92A">
                  <wp:extent cx="2519045" cy="3924935"/>
                  <wp:effectExtent l="0" t="0" r="0" b="0"/>
                  <wp:docPr id="52" name="Picture 52" descr="\\BVDC01\users\13\13-4263 PL - Gladstone Regional Planning Scheme - CT\Zoning\Zone Codes\Deicke Richards typologies\2. Dual occupancy\130909_Typologies_100_DUP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VDC01\users\13\13-4263 PL - Gladstone Regional Planning Scheme - CT\Zoning\Zone Codes\Deicke Richards typologies\2. Dual occupancy\130909_Typologies_100_DUPLEX.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19045" cy="3924935"/>
                          </a:xfrm>
                          <a:prstGeom prst="rect">
                            <a:avLst/>
                          </a:prstGeom>
                          <a:noFill/>
                          <a:ln>
                            <a:noFill/>
                          </a:ln>
                        </pic:spPr>
                      </pic:pic>
                    </a:graphicData>
                  </a:graphic>
                </wp:inline>
              </w:drawing>
            </w:r>
          </w:p>
          <w:p w14:paraId="70CD656B"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3F639A95" wp14:editId="6B2E1660">
                  <wp:extent cx="2519045" cy="517525"/>
                  <wp:effectExtent l="0" t="0" r="0" b="0"/>
                  <wp:docPr id="53" name="Picture 53"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ypologies_Legend-h"/>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19045" cy="517525"/>
                          </a:xfrm>
                          <a:prstGeom prst="rect">
                            <a:avLst/>
                          </a:prstGeom>
                          <a:noFill/>
                          <a:ln>
                            <a:noFill/>
                          </a:ln>
                        </pic:spPr>
                      </pic:pic>
                    </a:graphicData>
                  </a:graphic>
                </wp:inline>
              </w:drawing>
            </w:r>
          </w:p>
        </w:tc>
      </w:tr>
      <w:tr w:rsidR="00BE36FB" w:rsidRPr="009B7B35" w14:paraId="33EA1903" w14:textId="77777777" w:rsidTr="001A7107">
        <w:tc>
          <w:tcPr>
            <w:tcW w:w="538" w:type="dxa"/>
          </w:tcPr>
          <w:p w14:paraId="514BF94E" w14:textId="77777777" w:rsidR="00BE36FB" w:rsidRPr="009B7B35" w:rsidRDefault="00BE36FB" w:rsidP="001A7107">
            <w:pPr>
              <w:pStyle w:val="TableText"/>
              <w:rPr>
                <w:rFonts w:cs="Arial"/>
              </w:rPr>
            </w:pPr>
            <w:r w:rsidRPr="009B7B35">
              <w:rPr>
                <w:rFonts w:cs="Arial"/>
              </w:rPr>
              <w:t>2.1</w:t>
            </w:r>
          </w:p>
        </w:tc>
        <w:tc>
          <w:tcPr>
            <w:tcW w:w="1872" w:type="dxa"/>
            <w:gridSpan w:val="2"/>
          </w:tcPr>
          <w:p w14:paraId="6AA802B2" w14:textId="77777777" w:rsidR="00BE36FB" w:rsidRPr="009B7B35" w:rsidRDefault="00BE36FB" w:rsidP="001A7107">
            <w:pPr>
              <w:pStyle w:val="TableText"/>
              <w:rPr>
                <w:rFonts w:cs="Arial"/>
              </w:rPr>
            </w:pPr>
            <w:r w:rsidRPr="009B7B35">
              <w:rPr>
                <w:rFonts w:cs="Arial"/>
              </w:rPr>
              <w:t>Minimum frontage</w:t>
            </w:r>
          </w:p>
        </w:tc>
        <w:tc>
          <w:tcPr>
            <w:tcW w:w="2835" w:type="dxa"/>
          </w:tcPr>
          <w:p w14:paraId="4A7C4CF1" w14:textId="77777777" w:rsidR="00BE36FB" w:rsidRPr="009B7B35" w:rsidRDefault="00BE36FB" w:rsidP="001A7107">
            <w:pPr>
              <w:pStyle w:val="TableText"/>
              <w:rPr>
                <w:rFonts w:cs="Arial"/>
              </w:rPr>
            </w:pPr>
            <w:r w:rsidRPr="009B7B35">
              <w:rPr>
                <w:rFonts w:cs="Arial"/>
              </w:rPr>
              <w:t>20m</w:t>
            </w:r>
          </w:p>
        </w:tc>
        <w:tc>
          <w:tcPr>
            <w:tcW w:w="4111" w:type="dxa"/>
            <w:vMerge/>
            <w:tcBorders>
              <w:bottom w:val="nil"/>
              <w:right w:val="nil"/>
            </w:tcBorders>
          </w:tcPr>
          <w:p w14:paraId="1DA09112" w14:textId="77777777" w:rsidR="00BE36FB" w:rsidRPr="009B7B35" w:rsidRDefault="00BE36FB" w:rsidP="001A7107">
            <w:pPr>
              <w:rPr>
                <w:rFonts w:cs="Arial"/>
                <w:sz w:val="20"/>
                <w:szCs w:val="20"/>
              </w:rPr>
            </w:pPr>
          </w:p>
        </w:tc>
      </w:tr>
      <w:tr w:rsidR="00BE36FB" w:rsidRPr="009B7B35" w14:paraId="63B36839" w14:textId="77777777" w:rsidTr="001A7107">
        <w:tc>
          <w:tcPr>
            <w:tcW w:w="538" w:type="dxa"/>
          </w:tcPr>
          <w:p w14:paraId="36CE47C8" w14:textId="77777777" w:rsidR="00BE36FB" w:rsidRPr="009B7B35" w:rsidRDefault="00BE36FB" w:rsidP="001A7107">
            <w:pPr>
              <w:pStyle w:val="TableText"/>
              <w:rPr>
                <w:rFonts w:cs="Arial"/>
              </w:rPr>
            </w:pPr>
            <w:r w:rsidRPr="009B7B35">
              <w:rPr>
                <w:rFonts w:cs="Arial"/>
              </w:rPr>
              <w:t>2.2</w:t>
            </w:r>
          </w:p>
        </w:tc>
        <w:tc>
          <w:tcPr>
            <w:tcW w:w="1872" w:type="dxa"/>
            <w:gridSpan w:val="2"/>
          </w:tcPr>
          <w:p w14:paraId="22A48645" w14:textId="77777777" w:rsidR="00BE36FB" w:rsidRPr="009B7B35" w:rsidRDefault="00BE36FB" w:rsidP="001A7107">
            <w:pPr>
              <w:pStyle w:val="TableText"/>
              <w:rPr>
                <w:rFonts w:cs="Arial"/>
              </w:rPr>
            </w:pPr>
            <w:r w:rsidRPr="009B7B35">
              <w:rPr>
                <w:rFonts w:cs="Arial"/>
              </w:rPr>
              <w:t>Minimum area</w:t>
            </w:r>
          </w:p>
        </w:tc>
        <w:tc>
          <w:tcPr>
            <w:tcW w:w="2835" w:type="dxa"/>
          </w:tcPr>
          <w:p w14:paraId="1CBFCAE7" w14:textId="77777777" w:rsidR="00BE36FB" w:rsidRPr="009B7B35" w:rsidRDefault="00BE36FB" w:rsidP="001A7107">
            <w:pPr>
              <w:pStyle w:val="TableText"/>
              <w:rPr>
                <w:rFonts w:cs="Arial"/>
              </w:rPr>
            </w:pPr>
            <w:r w:rsidRPr="009B7B35">
              <w:rPr>
                <w:rFonts w:cs="Arial"/>
              </w:rPr>
              <w:t>600m</w:t>
            </w:r>
            <w:r w:rsidRPr="009B7B35">
              <w:rPr>
                <w:rFonts w:cs="Arial"/>
                <w:vertAlign w:val="superscript"/>
              </w:rPr>
              <w:t>2</w:t>
            </w:r>
          </w:p>
        </w:tc>
        <w:tc>
          <w:tcPr>
            <w:tcW w:w="4111" w:type="dxa"/>
            <w:vMerge/>
            <w:tcBorders>
              <w:bottom w:val="nil"/>
              <w:right w:val="nil"/>
            </w:tcBorders>
          </w:tcPr>
          <w:p w14:paraId="04D7BE7D" w14:textId="77777777" w:rsidR="00BE36FB" w:rsidRPr="009B7B35" w:rsidRDefault="00BE36FB" w:rsidP="001A7107">
            <w:pPr>
              <w:rPr>
                <w:rFonts w:cs="Arial"/>
                <w:sz w:val="20"/>
                <w:szCs w:val="20"/>
              </w:rPr>
            </w:pPr>
          </w:p>
        </w:tc>
      </w:tr>
      <w:tr w:rsidR="00BE36FB" w:rsidRPr="009B7B35" w14:paraId="3E2093D7" w14:textId="77777777" w:rsidTr="001A7107">
        <w:tc>
          <w:tcPr>
            <w:tcW w:w="538" w:type="dxa"/>
          </w:tcPr>
          <w:p w14:paraId="74B22FFD" w14:textId="77777777" w:rsidR="00BE36FB" w:rsidRPr="009B7B35" w:rsidRDefault="00BE36FB" w:rsidP="001A7107">
            <w:pPr>
              <w:pStyle w:val="TableText"/>
              <w:rPr>
                <w:rFonts w:cs="Arial"/>
              </w:rPr>
            </w:pPr>
            <w:r w:rsidRPr="009B7B35">
              <w:rPr>
                <w:rFonts w:cs="Arial"/>
              </w:rPr>
              <w:t>2.3</w:t>
            </w:r>
          </w:p>
        </w:tc>
        <w:tc>
          <w:tcPr>
            <w:tcW w:w="1872" w:type="dxa"/>
            <w:gridSpan w:val="2"/>
          </w:tcPr>
          <w:p w14:paraId="72E80294" w14:textId="77777777" w:rsidR="00BE36FB" w:rsidRPr="009B7B35" w:rsidRDefault="00BE36FB" w:rsidP="001A7107">
            <w:pPr>
              <w:pStyle w:val="TableText"/>
              <w:rPr>
                <w:rFonts w:cs="Arial"/>
              </w:rPr>
            </w:pPr>
            <w:r w:rsidRPr="009B7B35">
              <w:rPr>
                <w:rFonts w:cs="Arial"/>
              </w:rPr>
              <w:t>Maximum site cover</w:t>
            </w:r>
          </w:p>
        </w:tc>
        <w:tc>
          <w:tcPr>
            <w:tcW w:w="2835" w:type="dxa"/>
          </w:tcPr>
          <w:p w14:paraId="49B7E9C4" w14:textId="77777777" w:rsidR="00BE36FB" w:rsidRPr="009B7B35" w:rsidRDefault="00BE36FB" w:rsidP="001A7107">
            <w:pPr>
              <w:pStyle w:val="TableText"/>
              <w:rPr>
                <w:rFonts w:cs="Arial"/>
              </w:rPr>
            </w:pPr>
            <w:r w:rsidRPr="009B7B35">
              <w:rPr>
                <w:rFonts w:cs="Arial"/>
              </w:rPr>
              <w:t>60%</w:t>
            </w:r>
          </w:p>
        </w:tc>
        <w:tc>
          <w:tcPr>
            <w:tcW w:w="4111" w:type="dxa"/>
            <w:vMerge/>
            <w:tcBorders>
              <w:bottom w:val="nil"/>
              <w:right w:val="nil"/>
            </w:tcBorders>
          </w:tcPr>
          <w:p w14:paraId="2F8FE3BD" w14:textId="77777777" w:rsidR="00BE36FB" w:rsidRPr="009B7B35" w:rsidRDefault="00BE36FB" w:rsidP="001A7107">
            <w:pPr>
              <w:rPr>
                <w:rFonts w:cs="Arial"/>
                <w:sz w:val="20"/>
                <w:szCs w:val="20"/>
              </w:rPr>
            </w:pPr>
          </w:p>
        </w:tc>
      </w:tr>
      <w:tr w:rsidR="00BE36FB" w:rsidRPr="009B7B35" w14:paraId="629B2B5B" w14:textId="77777777" w:rsidTr="001A7107">
        <w:tc>
          <w:tcPr>
            <w:tcW w:w="538" w:type="dxa"/>
          </w:tcPr>
          <w:p w14:paraId="02D47234" w14:textId="77777777" w:rsidR="00BE36FB" w:rsidRPr="009B7B35" w:rsidRDefault="00BE36FB" w:rsidP="001A7107">
            <w:pPr>
              <w:pStyle w:val="TableText"/>
              <w:rPr>
                <w:rFonts w:cs="Arial"/>
              </w:rPr>
            </w:pPr>
            <w:r w:rsidRPr="009B7B35">
              <w:rPr>
                <w:rFonts w:cs="Arial"/>
              </w:rPr>
              <w:t>2.4</w:t>
            </w:r>
          </w:p>
        </w:tc>
        <w:tc>
          <w:tcPr>
            <w:tcW w:w="1872" w:type="dxa"/>
            <w:gridSpan w:val="2"/>
          </w:tcPr>
          <w:p w14:paraId="2B2DF93A" w14:textId="77777777" w:rsidR="00BE36FB" w:rsidRPr="009B7B35" w:rsidRDefault="00BE36FB" w:rsidP="001A7107">
            <w:pPr>
              <w:pStyle w:val="TableText"/>
              <w:rPr>
                <w:rFonts w:cs="Arial"/>
              </w:rPr>
            </w:pPr>
            <w:r w:rsidRPr="009B7B35">
              <w:rPr>
                <w:rFonts w:cs="Arial"/>
              </w:rPr>
              <w:t>Minimum private open space</w:t>
            </w:r>
          </w:p>
        </w:tc>
        <w:tc>
          <w:tcPr>
            <w:tcW w:w="2835" w:type="dxa"/>
          </w:tcPr>
          <w:p w14:paraId="1DBEF2BA" w14:textId="77777777" w:rsidR="00BE36FB" w:rsidRPr="009B7B35" w:rsidRDefault="00BE36FB" w:rsidP="001A7107">
            <w:pPr>
              <w:pStyle w:val="TableText"/>
              <w:rPr>
                <w:rFonts w:cs="Arial"/>
              </w:rPr>
            </w:pPr>
            <w:r w:rsidRPr="009B7B35">
              <w:rPr>
                <w:rFonts w:cs="Arial"/>
              </w:rPr>
              <w:t>50m</w:t>
            </w:r>
            <w:r w:rsidRPr="009B7B35">
              <w:rPr>
                <w:rFonts w:cs="Arial"/>
                <w:vertAlign w:val="superscript"/>
              </w:rPr>
              <w:t>2</w:t>
            </w:r>
            <w:r w:rsidRPr="009B7B35">
              <w:rPr>
                <w:rFonts w:cs="Arial"/>
              </w:rPr>
              <w:t xml:space="preserve"> with a minimum dimension of 5.0m in any direction.</w:t>
            </w:r>
          </w:p>
        </w:tc>
        <w:tc>
          <w:tcPr>
            <w:tcW w:w="4111" w:type="dxa"/>
            <w:vMerge/>
            <w:tcBorders>
              <w:bottom w:val="nil"/>
              <w:right w:val="nil"/>
            </w:tcBorders>
          </w:tcPr>
          <w:p w14:paraId="41728D15" w14:textId="77777777" w:rsidR="00BE36FB" w:rsidRPr="009B7B35" w:rsidRDefault="00BE36FB" w:rsidP="001A7107">
            <w:pPr>
              <w:rPr>
                <w:rFonts w:cs="Arial"/>
                <w:sz w:val="20"/>
                <w:szCs w:val="20"/>
              </w:rPr>
            </w:pPr>
          </w:p>
        </w:tc>
      </w:tr>
      <w:tr w:rsidR="00BE36FB" w:rsidRPr="009B7B35" w14:paraId="32E79B1A" w14:textId="77777777" w:rsidTr="001A7107">
        <w:tc>
          <w:tcPr>
            <w:tcW w:w="538" w:type="dxa"/>
            <w:vMerge w:val="restart"/>
          </w:tcPr>
          <w:p w14:paraId="75DB1BE5" w14:textId="77777777" w:rsidR="00BE36FB" w:rsidRPr="009B7B35" w:rsidRDefault="00BE36FB" w:rsidP="001A7107">
            <w:pPr>
              <w:pStyle w:val="TableText"/>
              <w:rPr>
                <w:rFonts w:cs="Arial"/>
              </w:rPr>
            </w:pPr>
            <w:r w:rsidRPr="009B7B35">
              <w:rPr>
                <w:rFonts w:cs="Arial"/>
              </w:rPr>
              <w:t>2.5</w:t>
            </w:r>
          </w:p>
        </w:tc>
        <w:tc>
          <w:tcPr>
            <w:tcW w:w="1119" w:type="dxa"/>
            <w:vMerge w:val="restart"/>
          </w:tcPr>
          <w:p w14:paraId="71CA1839" w14:textId="77777777" w:rsidR="00BE36FB" w:rsidRPr="009B7B35" w:rsidRDefault="00BE36FB" w:rsidP="001A7107">
            <w:pPr>
              <w:pStyle w:val="TableText"/>
              <w:rPr>
                <w:rFonts w:cs="Arial"/>
              </w:rPr>
            </w:pPr>
            <w:r w:rsidRPr="009B7B35">
              <w:rPr>
                <w:rFonts w:cs="Arial"/>
              </w:rPr>
              <w:t>Minimum setbacks</w:t>
            </w:r>
          </w:p>
        </w:tc>
        <w:tc>
          <w:tcPr>
            <w:tcW w:w="753" w:type="dxa"/>
            <w:vMerge w:val="restart"/>
          </w:tcPr>
          <w:p w14:paraId="7110429B" w14:textId="77777777" w:rsidR="00BE36FB" w:rsidRPr="009B7B35" w:rsidRDefault="00BE36FB" w:rsidP="001A7107">
            <w:pPr>
              <w:pStyle w:val="TableText"/>
              <w:rPr>
                <w:rFonts w:cs="Arial"/>
              </w:rPr>
            </w:pPr>
            <w:r w:rsidRPr="009B7B35">
              <w:rPr>
                <w:rFonts w:cs="Arial"/>
              </w:rPr>
              <w:t>Front</w:t>
            </w:r>
          </w:p>
        </w:tc>
        <w:tc>
          <w:tcPr>
            <w:tcW w:w="2835" w:type="dxa"/>
          </w:tcPr>
          <w:p w14:paraId="17D836E9" w14:textId="77777777" w:rsidR="00BE36FB" w:rsidRPr="009B7B35" w:rsidRDefault="00BE36FB" w:rsidP="001A7107">
            <w:pPr>
              <w:pStyle w:val="TableText"/>
              <w:rPr>
                <w:rFonts w:cs="Arial"/>
              </w:rPr>
            </w:pPr>
            <w:r w:rsidRPr="009B7B35">
              <w:rPr>
                <w:rFonts w:cs="Arial"/>
              </w:rPr>
              <w:t>3m (OMP and including all street frontages where a corner lot).</w:t>
            </w:r>
          </w:p>
        </w:tc>
        <w:tc>
          <w:tcPr>
            <w:tcW w:w="4111" w:type="dxa"/>
            <w:vMerge/>
            <w:tcBorders>
              <w:bottom w:val="nil"/>
              <w:right w:val="nil"/>
            </w:tcBorders>
          </w:tcPr>
          <w:p w14:paraId="5CBF5332" w14:textId="77777777" w:rsidR="00BE36FB" w:rsidRPr="009B7B35" w:rsidRDefault="00BE36FB" w:rsidP="001A7107">
            <w:pPr>
              <w:rPr>
                <w:rFonts w:cs="Arial"/>
                <w:sz w:val="20"/>
                <w:szCs w:val="20"/>
              </w:rPr>
            </w:pPr>
          </w:p>
        </w:tc>
      </w:tr>
      <w:tr w:rsidR="00BE36FB" w:rsidRPr="009B7B35" w14:paraId="4E89B944" w14:textId="77777777" w:rsidTr="001A7107">
        <w:tc>
          <w:tcPr>
            <w:tcW w:w="538" w:type="dxa"/>
            <w:vMerge/>
          </w:tcPr>
          <w:p w14:paraId="7A360A89" w14:textId="77777777" w:rsidR="00BE36FB" w:rsidRPr="009B7B35" w:rsidRDefault="00BE36FB" w:rsidP="001A7107">
            <w:pPr>
              <w:pStyle w:val="TableText"/>
              <w:rPr>
                <w:rFonts w:cs="Arial"/>
              </w:rPr>
            </w:pPr>
          </w:p>
        </w:tc>
        <w:tc>
          <w:tcPr>
            <w:tcW w:w="1119" w:type="dxa"/>
            <w:vMerge/>
          </w:tcPr>
          <w:p w14:paraId="063F1EA9" w14:textId="77777777" w:rsidR="00BE36FB" w:rsidRPr="009B7B35" w:rsidRDefault="00BE36FB" w:rsidP="001A7107">
            <w:pPr>
              <w:pStyle w:val="TableText"/>
              <w:rPr>
                <w:rFonts w:cs="Arial"/>
              </w:rPr>
            </w:pPr>
          </w:p>
        </w:tc>
        <w:tc>
          <w:tcPr>
            <w:tcW w:w="753" w:type="dxa"/>
            <w:vMerge/>
          </w:tcPr>
          <w:p w14:paraId="3E87FAA8" w14:textId="77777777" w:rsidR="00BE36FB" w:rsidRPr="009B7B35" w:rsidRDefault="00BE36FB" w:rsidP="001A7107">
            <w:pPr>
              <w:pStyle w:val="TableText"/>
              <w:rPr>
                <w:rFonts w:cs="Arial"/>
              </w:rPr>
            </w:pPr>
          </w:p>
        </w:tc>
        <w:tc>
          <w:tcPr>
            <w:tcW w:w="2835" w:type="dxa"/>
          </w:tcPr>
          <w:p w14:paraId="01A7E0E4" w14:textId="77777777" w:rsidR="00BE36FB" w:rsidRPr="009B7B35" w:rsidRDefault="00BE36FB" w:rsidP="001A7107">
            <w:pPr>
              <w:pStyle w:val="TableText"/>
              <w:rPr>
                <w:rFonts w:cs="Arial"/>
              </w:rPr>
            </w:pPr>
            <w:r w:rsidRPr="009B7B35">
              <w:rPr>
                <w:rFonts w:cs="Arial"/>
              </w:rPr>
              <w:t>5m to garage.</w:t>
            </w:r>
          </w:p>
        </w:tc>
        <w:tc>
          <w:tcPr>
            <w:tcW w:w="4111" w:type="dxa"/>
            <w:vMerge/>
            <w:tcBorders>
              <w:bottom w:val="nil"/>
              <w:right w:val="nil"/>
            </w:tcBorders>
          </w:tcPr>
          <w:p w14:paraId="206B46D9" w14:textId="77777777" w:rsidR="00BE36FB" w:rsidRPr="009B7B35" w:rsidRDefault="00BE36FB" w:rsidP="001A7107">
            <w:pPr>
              <w:rPr>
                <w:rFonts w:cs="Arial"/>
                <w:sz w:val="20"/>
                <w:szCs w:val="20"/>
              </w:rPr>
            </w:pPr>
          </w:p>
        </w:tc>
      </w:tr>
      <w:tr w:rsidR="00BE36FB" w:rsidRPr="009B7B35" w14:paraId="1992E6F0" w14:textId="77777777" w:rsidTr="001A7107">
        <w:tc>
          <w:tcPr>
            <w:tcW w:w="538" w:type="dxa"/>
            <w:vMerge/>
          </w:tcPr>
          <w:p w14:paraId="14954128" w14:textId="77777777" w:rsidR="00BE36FB" w:rsidRPr="009B7B35" w:rsidRDefault="00BE36FB" w:rsidP="001A7107">
            <w:pPr>
              <w:pStyle w:val="TableText"/>
              <w:rPr>
                <w:rFonts w:cs="Arial"/>
              </w:rPr>
            </w:pPr>
          </w:p>
        </w:tc>
        <w:tc>
          <w:tcPr>
            <w:tcW w:w="1119" w:type="dxa"/>
            <w:vMerge/>
          </w:tcPr>
          <w:p w14:paraId="3CF1566D" w14:textId="77777777" w:rsidR="00BE36FB" w:rsidRPr="009B7B35" w:rsidRDefault="00BE36FB" w:rsidP="001A7107">
            <w:pPr>
              <w:pStyle w:val="TableText"/>
              <w:rPr>
                <w:rFonts w:cs="Arial"/>
              </w:rPr>
            </w:pPr>
          </w:p>
        </w:tc>
        <w:tc>
          <w:tcPr>
            <w:tcW w:w="753" w:type="dxa"/>
          </w:tcPr>
          <w:p w14:paraId="118D6499" w14:textId="77777777" w:rsidR="00BE36FB" w:rsidRPr="009B7B35" w:rsidRDefault="00BE36FB" w:rsidP="001A7107">
            <w:pPr>
              <w:pStyle w:val="TableText"/>
              <w:rPr>
                <w:rFonts w:cs="Arial"/>
              </w:rPr>
            </w:pPr>
            <w:r w:rsidRPr="009B7B35">
              <w:rPr>
                <w:rFonts w:cs="Arial"/>
              </w:rPr>
              <w:t>Rear</w:t>
            </w:r>
          </w:p>
        </w:tc>
        <w:tc>
          <w:tcPr>
            <w:tcW w:w="2835" w:type="dxa"/>
          </w:tcPr>
          <w:p w14:paraId="7859029E" w14:textId="77777777" w:rsidR="00BE36FB" w:rsidRPr="009B7B35" w:rsidRDefault="00BE36FB" w:rsidP="001A7107">
            <w:pPr>
              <w:pStyle w:val="TableText"/>
              <w:rPr>
                <w:rFonts w:cs="Arial"/>
              </w:rPr>
            </w:pPr>
            <w:r w:rsidRPr="009B7B35">
              <w:rPr>
                <w:rFonts w:cs="Arial"/>
              </w:rPr>
              <w:t>6m (where not on a corner lot).</w:t>
            </w:r>
          </w:p>
        </w:tc>
        <w:tc>
          <w:tcPr>
            <w:tcW w:w="4111" w:type="dxa"/>
            <w:vMerge/>
            <w:tcBorders>
              <w:bottom w:val="nil"/>
              <w:right w:val="nil"/>
            </w:tcBorders>
          </w:tcPr>
          <w:p w14:paraId="09C65AB7" w14:textId="77777777" w:rsidR="00BE36FB" w:rsidRPr="009B7B35" w:rsidRDefault="00BE36FB" w:rsidP="001A7107">
            <w:pPr>
              <w:rPr>
                <w:rFonts w:cs="Arial"/>
                <w:sz w:val="20"/>
                <w:szCs w:val="20"/>
              </w:rPr>
            </w:pPr>
          </w:p>
        </w:tc>
      </w:tr>
      <w:tr w:rsidR="00BE36FB" w:rsidRPr="009B7B35" w14:paraId="64BBC46B" w14:textId="77777777" w:rsidTr="001A7107">
        <w:tc>
          <w:tcPr>
            <w:tcW w:w="538" w:type="dxa"/>
            <w:vMerge/>
          </w:tcPr>
          <w:p w14:paraId="33B25177" w14:textId="77777777" w:rsidR="00BE36FB" w:rsidRPr="009B7B35" w:rsidRDefault="00BE36FB" w:rsidP="001A7107">
            <w:pPr>
              <w:pStyle w:val="TableText"/>
              <w:rPr>
                <w:rFonts w:cs="Arial"/>
              </w:rPr>
            </w:pPr>
          </w:p>
        </w:tc>
        <w:tc>
          <w:tcPr>
            <w:tcW w:w="1119" w:type="dxa"/>
            <w:vMerge/>
          </w:tcPr>
          <w:p w14:paraId="5AEC189F" w14:textId="77777777" w:rsidR="00BE36FB" w:rsidRPr="009B7B35" w:rsidRDefault="00BE36FB" w:rsidP="001A7107">
            <w:pPr>
              <w:pStyle w:val="TableText"/>
              <w:rPr>
                <w:rFonts w:cs="Arial"/>
              </w:rPr>
            </w:pPr>
          </w:p>
        </w:tc>
        <w:tc>
          <w:tcPr>
            <w:tcW w:w="753" w:type="dxa"/>
          </w:tcPr>
          <w:p w14:paraId="2E797629" w14:textId="77777777" w:rsidR="00BE36FB" w:rsidRPr="009B7B35" w:rsidRDefault="00BE36FB" w:rsidP="001A7107">
            <w:pPr>
              <w:pStyle w:val="TableText"/>
              <w:rPr>
                <w:rFonts w:cs="Arial"/>
              </w:rPr>
            </w:pPr>
            <w:r w:rsidRPr="009B7B35">
              <w:rPr>
                <w:rFonts w:cs="Arial"/>
              </w:rPr>
              <w:t>Side</w:t>
            </w:r>
          </w:p>
        </w:tc>
        <w:tc>
          <w:tcPr>
            <w:tcW w:w="2835" w:type="dxa"/>
          </w:tcPr>
          <w:p w14:paraId="04B6DA0A" w14:textId="77777777" w:rsidR="00BE36FB" w:rsidRPr="009B7B35" w:rsidRDefault="00BE36FB" w:rsidP="001A7107">
            <w:pPr>
              <w:pStyle w:val="TableText"/>
              <w:rPr>
                <w:rFonts w:cs="Arial"/>
              </w:rPr>
            </w:pPr>
            <w:r w:rsidRPr="009B7B35">
              <w:rPr>
                <w:rFonts w:cs="Arial"/>
              </w:rPr>
              <w:t>1.5m not including eaves.</w:t>
            </w:r>
          </w:p>
        </w:tc>
        <w:tc>
          <w:tcPr>
            <w:tcW w:w="4111" w:type="dxa"/>
            <w:vMerge/>
            <w:tcBorders>
              <w:bottom w:val="nil"/>
              <w:right w:val="nil"/>
            </w:tcBorders>
          </w:tcPr>
          <w:p w14:paraId="75D76E9F" w14:textId="77777777" w:rsidR="00BE36FB" w:rsidRPr="009B7B35" w:rsidRDefault="00BE36FB" w:rsidP="001A7107">
            <w:pPr>
              <w:rPr>
                <w:rFonts w:cs="Arial"/>
                <w:sz w:val="20"/>
                <w:szCs w:val="20"/>
              </w:rPr>
            </w:pPr>
          </w:p>
        </w:tc>
      </w:tr>
      <w:tr w:rsidR="00BE36FB" w:rsidRPr="009B7B35" w14:paraId="1D7AD2F8" w14:textId="77777777" w:rsidTr="001A7107">
        <w:tc>
          <w:tcPr>
            <w:tcW w:w="538" w:type="dxa"/>
          </w:tcPr>
          <w:p w14:paraId="126B240D" w14:textId="77777777" w:rsidR="00BE36FB" w:rsidRPr="009B7B35" w:rsidRDefault="00BE36FB" w:rsidP="001A7107">
            <w:pPr>
              <w:pStyle w:val="TableText"/>
              <w:rPr>
                <w:rFonts w:cs="Arial"/>
              </w:rPr>
            </w:pPr>
            <w:r w:rsidRPr="009B7B35">
              <w:rPr>
                <w:rFonts w:cs="Arial"/>
              </w:rPr>
              <w:t>2.6</w:t>
            </w:r>
          </w:p>
        </w:tc>
        <w:tc>
          <w:tcPr>
            <w:tcW w:w="1872" w:type="dxa"/>
            <w:gridSpan w:val="2"/>
          </w:tcPr>
          <w:p w14:paraId="3352BEC5" w14:textId="77777777" w:rsidR="00BE36FB" w:rsidRPr="009B7B35" w:rsidRDefault="00BE36FB" w:rsidP="001A7107">
            <w:pPr>
              <w:pStyle w:val="TableText"/>
              <w:rPr>
                <w:rFonts w:cs="Arial"/>
              </w:rPr>
            </w:pPr>
            <w:r w:rsidRPr="009B7B35">
              <w:rPr>
                <w:rFonts w:cs="Arial"/>
              </w:rPr>
              <w:t>Built to boundary walls</w:t>
            </w:r>
          </w:p>
        </w:tc>
        <w:tc>
          <w:tcPr>
            <w:tcW w:w="2835" w:type="dxa"/>
          </w:tcPr>
          <w:p w14:paraId="086D6050" w14:textId="77777777" w:rsidR="00BE36FB" w:rsidRPr="009B7B35" w:rsidRDefault="00BE36FB" w:rsidP="001A7107">
            <w:pPr>
              <w:pStyle w:val="TableText"/>
              <w:rPr>
                <w:rFonts w:cs="Arial"/>
              </w:rPr>
            </w:pPr>
            <w:r w:rsidRPr="009B7B35">
              <w:rPr>
                <w:rFonts w:cs="Arial"/>
              </w:rPr>
              <w:t>Limited to 1 side boundary and must contain no windows, openings or glazing. Maximum length 10m and maximum height 3.5m.</w:t>
            </w:r>
          </w:p>
        </w:tc>
        <w:tc>
          <w:tcPr>
            <w:tcW w:w="4111" w:type="dxa"/>
            <w:vMerge/>
            <w:tcBorders>
              <w:bottom w:val="nil"/>
              <w:right w:val="nil"/>
            </w:tcBorders>
          </w:tcPr>
          <w:p w14:paraId="6714A13F" w14:textId="77777777" w:rsidR="00BE36FB" w:rsidRPr="009B7B35" w:rsidRDefault="00BE36FB" w:rsidP="001A7107">
            <w:pPr>
              <w:rPr>
                <w:rFonts w:cs="Arial"/>
                <w:sz w:val="20"/>
                <w:szCs w:val="20"/>
              </w:rPr>
            </w:pPr>
          </w:p>
        </w:tc>
      </w:tr>
    </w:tbl>
    <w:p w14:paraId="0BFC28D9"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63B7BB83" w14:textId="77777777" w:rsidR="00BE36FB" w:rsidRPr="009B7B35" w:rsidRDefault="00BE36FB" w:rsidP="00B5414A">
      <w:pPr>
        <w:pStyle w:val="Heading5"/>
        <w:numPr>
          <w:ilvl w:val="0"/>
          <w:numId w:val="0"/>
        </w:numPr>
        <w:rPr>
          <w:rFonts w:cs="Arial"/>
          <w:szCs w:val="20"/>
        </w:rPr>
      </w:pPr>
      <w:r w:rsidRPr="009B7B35">
        <w:rPr>
          <w:rFonts w:cs="Arial"/>
          <w:szCs w:val="20"/>
        </w:rPr>
        <w:t>Figure</w:t>
      </w:r>
      <w:r w:rsidRPr="009B7B35" w:rsidDel="00DF5D07">
        <w:rPr>
          <w:rFonts w:cs="Arial"/>
          <w:szCs w:val="20"/>
        </w:rPr>
        <w:t xml:space="preserve"> </w:t>
      </w:r>
      <w:r w:rsidRPr="009B7B35">
        <w:rPr>
          <w:rFonts w:cs="Arial"/>
          <w:szCs w:val="20"/>
        </w:rPr>
        <w:t>3—Multiple dwelling: Townhouses</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184"/>
        <w:gridCol w:w="5179"/>
      </w:tblGrid>
      <w:tr w:rsidR="00BE36FB" w:rsidRPr="009B7B35" w14:paraId="390AA82B" w14:textId="77777777" w:rsidTr="001A7107">
        <w:tc>
          <w:tcPr>
            <w:tcW w:w="4111" w:type="dxa"/>
            <w:vAlign w:val="center"/>
          </w:tcPr>
          <w:p w14:paraId="1AA170A7" w14:textId="77777777" w:rsidR="00BE36FB" w:rsidRPr="009B7B35" w:rsidRDefault="00BE36FB" w:rsidP="001A7107">
            <w:pPr>
              <w:pStyle w:val="TableText"/>
              <w:rPr>
                <w:rFonts w:cs="Arial"/>
              </w:rPr>
            </w:pPr>
            <w:r w:rsidRPr="009B7B35">
              <w:rPr>
                <w:rFonts w:cs="Arial"/>
              </w:rPr>
              <w:t>This building type provides for attached dwellings at a low medium density on larger lots where street frontage is limited. Their compatibility with other lower density housing in terms of height and scale makes them ideal for integration into new neighbourhoods or existing residential areas. Vehicle access is from a single driveway with an internal road to car accommodation which is concealed with a building.</w:t>
            </w:r>
          </w:p>
        </w:tc>
        <w:tc>
          <w:tcPr>
            <w:tcW w:w="5245" w:type="dxa"/>
            <w:vAlign w:val="center"/>
          </w:tcPr>
          <w:p w14:paraId="3E6B64E6" w14:textId="77777777" w:rsidR="00BE36FB" w:rsidRPr="009B7B35" w:rsidRDefault="00BE36FB" w:rsidP="001A7107">
            <w:pPr>
              <w:jc w:val="right"/>
              <w:rPr>
                <w:rFonts w:cs="Arial"/>
                <w:sz w:val="20"/>
                <w:szCs w:val="20"/>
              </w:rPr>
            </w:pPr>
            <w:r w:rsidRPr="009B7B35">
              <w:rPr>
                <w:rFonts w:cs="Arial"/>
                <w:noProof/>
                <w:sz w:val="20"/>
                <w:szCs w:val="20"/>
              </w:rPr>
              <w:drawing>
                <wp:inline distT="0" distB="0" distL="0" distR="0" wp14:anchorId="621D4F51" wp14:editId="1978CCBD">
                  <wp:extent cx="3140680" cy="1742535"/>
                  <wp:effectExtent l="0" t="0" r="3175" b="0"/>
                  <wp:docPr id="30" name="Picture 30" descr="\\BVDC01\users\13\13-4263 PL - Gladstone Regional Planning Scheme - CT\Zoning\Zone Codes\Deicke Richards typologies\PERSPECTIVES\Block Mix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VDC01\users\13\13-4263 PL - Gladstone Regional Planning Scheme - CT\Zoning\Zone Codes\Deicke Richards typologies\PERSPECTIVES\Block Mix 0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1031" cy="1742730"/>
                          </a:xfrm>
                          <a:prstGeom prst="rect">
                            <a:avLst/>
                          </a:prstGeom>
                          <a:noFill/>
                          <a:ln>
                            <a:noFill/>
                          </a:ln>
                        </pic:spPr>
                      </pic:pic>
                    </a:graphicData>
                  </a:graphic>
                </wp:inline>
              </w:drawing>
            </w:r>
          </w:p>
        </w:tc>
      </w:tr>
    </w:tbl>
    <w:p w14:paraId="68E24093" w14:textId="77777777" w:rsidR="00BE36FB" w:rsidRPr="009B7B35" w:rsidRDefault="00BE36FB" w:rsidP="001A7107">
      <w:pPr>
        <w:rPr>
          <w:rFonts w:ascii="Arial" w:hAnsi="Arial" w:cs="Arial"/>
          <w:sz w:val="20"/>
          <w:szCs w:val="20"/>
        </w:rPr>
      </w:pPr>
    </w:p>
    <w:p w14:paraId="4AD44821" w14:textId="77777777"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60"/>
        <w:gridCol w:w="1015"/>
        <w:gridCol w:w="660"/>
        <w:gridCol w:w="2004"/>
        <w:gridCol w:w="4224"/>
      </w:tblGrid>
      <w:tr w:rsidR="00BE36FB" w:rsidRPr="009B7B35" w14:paraId="099DE7D9" w14:textId="77777777"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tcPr>
          <w:p w14:paraId="4CDFF613" w14:textId="77777777" w:rsidR="00BE36FB" w:rsidRPr="009B7B35" w:rsidRDefault="00BE36FB" w:rsidP="001A7107">
            <w:pPr>
              <w:pStyle w:val="Tableheading"/>
              <w:rPr>
                <w:rFonts w:ascii="Arial" w:hAnsi="Arial" w:cs="Arial"/>
                <w:szCs w:val="20"/>
              </w:rPr>
            </w:pPr>
            <w:r w:rsidRPr="009B7B35">
              <w:rPr>
                <w:rFonts w:ascii="Arial" w:hAnsi="Arial" w:cs="Arial"/>
                <w:szCs w:val="20"/>
              </w:rPr>
              <w:t>Element</w:t>
            </w:r>
          </w:p>
        </w:tc>
        <w:tc>
          <w:tcPr>
            <w:tcW w:w="2835" w:type="dxa"/>
          </w:tcPr>
          <w:p w14:paraId="46F019CF"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1" w:type="dxa"/>
            <w:vMerge w:val="restart"/>
            <w:tcBorders>
              <w:top w:val="nil"/>
              <w:bottom w:val="nil"/>
              <w:right w:val="nil"/>
            </w:tcBorders>
          </w:tcPr>
          <w:p w14:paraId="041AEB0D" w14:textId="77777777" w:rsidR="00BE36FB" w:rsidRPr="009B7B35" w:rsidRDefault="00BE36FB" w:rsidP="001A7107">
            <w:pPr>
              <w:pStyle w:val="TableText"/>
              <w:rPr>
                <w:rFonts w:cs="Arial"/>
              </w:rPr>
            </w:pPr>
            <w:r w:rsidRPr="009B7B35">
              <w:rPr>
                <w:rFonts w:cs="Arial"/>
                <w:noProof/>
              </w:rPr>
              <w:drawing>
                <wp:inline distT="0" distB="0" distL="0" distR="0" wp14:anchorId="4A53413B" wp14:editId="76FA54B7">
                  <wp:extent cx="2609850" cy="4646607"/>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houses.PNG"/>
                          <pic:cNvPicPr/>
                        </pic:nvPicPr>
                        <pic:blipFill>
                          <a:blip r:embed="rId54">
                            <a:extLst>
                              <a:ext uri="{28A0092B-C50C-407E-A947-70E740481C1C}">
                                <a14:useLocalDpi xmlns:a14="http://schemas.microsoft.com/office/drawing/2010/main" val="0"/>
                              </a:ext>
                            </a:extLst>
                          </a:blip>
                          <a:stretch>
                            <a:fillRect/>
                          </a:stretch>
                        </pic:blipFill>
                        <pic:spPr>
                          <a:xfrm>
                            <a:off x="0" y="0"/>
                            <a:ext cx="2604148" cy="4636456"/>
                          </a:xfrm>
                          <a:prstGeom prst="rect">
                            <a:avLst/>
                          </a:prstGeom>
                        </pic:spPr>
                      </pic:pic>
                    </a:graphicData>
                  </a:graphic>
                </wp:inline>
              </w:drawing>
            </w:r>
          </w:p>
          <w:p w14:paraId="17B804D4" w14:textId="77777777" w:rsidR="00BE36FB" w:rsidRPr="009B7B35" w:rsidRDefault="00BE36FB" w:rsidP="001A7107">
            <w:pPr>
              <w:pStyle w:val="TableText"/>
              <w:rPr>
                <w:rFonts w:cs="Arial"/>
              </w:rPr>
            </w:pPr>
            <w:r w:rsidRPr="009B7B35">
              <w:rPr>
                <w:rFonts w:cs="Arial"/>
                <w:noProof/>
              </w:rPr>
              <w:drawing>
                <wp:inline distT="0" distB="0" distL="0" distR="0" wp14:anchorId="7C90D9FA" wp14:editId="5C07426E">
                  <wp:extent cx="2519045" cy="517525"/>
                  <wp:effectExtent l="0" t="0" r="0" b="0"/>
                  <wp:docPr id="32" name="Picture 32"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ypologies_Legend-h"/>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19045" cy="517525"/>
                          </a:xfrm>
                          <a:prstGeom prst="rect">
                            <a:avLst/>
                          </a:prstGeom>
                          <a:noFill/>
                          <a:ln>
                            <a:noFill/>
                          </a:ln>
                        </pic:spPr>
                      </pic:pic>
                    </a:graphicData>
                  </a:graphic>
                </wp:inline>
              </w:drawing>
            </w:r>
          </w:p>
        </w:tc>
      </w:tr>
      <w:tr w:rsidR="00BE36FB" w:rsidRPr="009B7B35" w14:paraId="711C3987" w14:textId="77777777" w:rsidTr="001A7107">
        <w:tc>
          <w:tcPr>
            <w:tcW w:w="538" w:type="dxa"/>
          </w:tcPr>
          <w:p w14:paraId="09D43778" w14:textId="77777777" w:rsidR="00BE36FB" w:rsidRPr="009B7B35" w:rsidRDefault="00BE36FB" w:rsidP="001A7107">
            <w:pPr>
              <w:pStyle w:val="TableText"/>
              <w:rPr>
                <w:rFonts w:cs="Arial"/>
              </w:rPr>
            </w:pPr>
            <w:r w:rsidRPr="009B7B35">
              <w:rPr>
                <w:rFonts w:cs="Arial"/>
              </w:rPr>
              <w:t>3.1</w:t>
            </w:r>
          </w:p>
        </w:tc>
        <w:tc>
          <w:tcPr>
            <w:tcW w:w="1872" w:type="dxa"/>
            <w:gridSpan w:val="2"/>
          </w:tcPr>
          <w:p w14:paraId="2D609C95" w14:textId="77777777" w:rsidR="00BE36FB" w:rsidRPr="009B7B35" w:rsidRDefault="00BE36FB" w:rsidP="001A7107">
            <w:pPr>
              <w:pStyle w:val="TableText"/>
              <w:rPr>
                <w:rFonts w:cs="Arial"/>
              </w:rPr>
            </w:pPr>
            <w:r w:rsidRPr="009B7B35">
              <w:rPr>
                <w:rFonts w:cs="Arial"/>
              </w:rPr>
              <w:t>Minimum frontage</w:t>
            </w:r>
          </w:p>
        </w:tc>
        <w:tc>
          <w:tcPr>
            <w:tcW w:w="2835" w:type="dxa"/>
          </w:tcPr>
          <w:p w14:paraId="6E63DD7D" w14:textId="77777777" w:rsidR="00BE36FB" w:rsidRPr="009B7B35" w:rsidRDefault="00BE36FB" w:rsidP="001A7107">
            <w:pPr>
              <w:pStyle w:val="TableText"/>
              <w:rPr>
                <w:rFonts w:cs="Arial"/>
              </w:rPr>
            </w:pPr>
            <w:r w:rsidRPr="009B7B35">
              <w:rPr>
                <w:rFonts w:cs="Arial"/>
              </w:rPr>
              <w:t>30m</w:t>
            </w:r>
          </w:p>
        </w:tc>
        <w:tc>
          <w:tcPr>
            <w:tcW w:w="4111" w:type="dxa"/>
            <w:vMerge/>
            <w:tcBorders>
              <w:bottom w:val="nil"/>
              <w:right w:val="nil"/>
            </w:tcBorders>
          </w:tcPr>
          <w:p w14:paraId="0834EAB1" w14:textId="77777777" w:rsidR="00BE36FB" w:rsidRPr="009B7B35" w:rsidRDefault="00BE36FB" w:rsidP="001A7107">
            <w:pPr>
              <w:pStyle w:val="TableText"/>
              <w:rPr>
                <w:rFonts w:cs="Arial"/>
              </w:rPr>
            </w:pPr>
          </w:p>
        </w:tc>
      </w:tr>
      <w:tr w:rsidR="00BE36FB" w:rsidRPr="009B7B35" w14:paraId="7CAB990A" w14:textId="77777777" w:rsidTr="001A7107">
        <w:tc>
          <w:tcPr>
            <w:tcW w:w="538" w:type="dxa"/>
          </w:tcPr>
          <w:p w14:paraId="62D7D6D8" w14:textId="77777777" w:rsidR="00BE36FB" w:rsidRPr="009B7B35" w:rsidRDefault="00BE36FB" w:rsidP="001A7107">
            <w:pPr>
              <w:pStyle w:val="TableText"/>
              <w:rPr>
                <w:rFonts w:cs="Arial"/>
              </w:rPr>
            </w:pPr>
            <w:r w:rsidRPr="009B7B35">
              <w:rPr>
                <w:rFonts w:cs="Arial"/>
              </w:rPr>
              <w:t>3.2</w:t>
            </w:r>
          </w:p>
        </w:tc>
        <w:tc>
          <w:tcPr>
            <w:tcW w:w="1872" w:type="dxa"/>
            <w:gridSpan w:val="2"/>
          </w:tcPr>
          <w:p w14:paraId="0D59FE67" w14:textId="77777777" w:rsidR="00BE36FB" w:rsidRPr="009B7B35" w:rsidRDefault="00BE36FB" w:rsidP="001A7107">
            <w:pPr>
              <w:pStyle w:val="TableText"/>
              <w:rPr>
                <w:rFonts w:cs="Arial"/>
              </w:rPr>
            </w:pPr>
            <w:r w:rsidRPr="009B7B35">
              <w:rPr>
                <w:rFonts w:cs="Arial"/>
              </w:rPr>
              <w:t xml:space="preserve">Minimum area </w:t>
            </w:r>
          </w:p>
        </w:tc>
        <w:tc>
          <w:tcPr>
            <w:tcW w:w="2835" w:type="dxa"/>
          </w:tcPr>
          <w:p w14:paraId="50817867" w14:textId="77777777" w:rsidR="00BE36FB" w:rsidRPr="009B7B35" w:rsidRDefault="00BE36FB" w:rsidP="001A7107">
            <w:pPr>
              <w:pStyle w:val="TableText"/>
              <w:rPr>
                <w:rFonts w:cs="Arial"/>
              </w:rPr>
            </w:pPr>
            <w:r w:rsidRPr="009B7B35">
              <w:rPr>
                <w:rFonts w:cs="Arial"/>
              </w:rPr>
              <w:t>1,200m</w:t>
            </w:r>
            <w:r w:rsidRPr="009B7B35">
              <w:rPr>
                <w:rFonts w:cs="Arial"/>
                <w:vertAlign w:val="superscript"/>
              </w:rPr>
              <w:t>2</w:t>
            </w:r>
          </w:p>
        </w:tc>
        <w:tc>
          <w:tcPr>
            <w:tcW w:w="4111" w:type="dxa"/>
            <w:vMerge/>
            <w:tcBorders>
              <w:bottom w:val="nil"/>
              <w:right w:val="nil"/>
            </w:tcBorders>
          </w:tcPr>
          <w:p w14:paraId="11F4F019" w14:textId="77777777" w:rsidR="00BE36FB" w:rsidRPr="009B7B35" w:rsidRDefault="00BE36FB" w:rsidP="001A7107">
            <w:pPr>
              <w:pStyle w:val="TableText"/>
              <w:rPr>
                <w:rFonts w:cs="Arial"/>
              </w:rPr>
            </w:pPr>
          </w:p>
        </w:tc>
      </w:tr>
      <w:tr w:rsidR="00BE36FB" w:rsidRPr="009B7B35" w14:paraId="3865967A" w14:textId="77777777" w:rsidTr="001A7107">
        <w:tc>
          <w:tcPr>
            <w:tcW w:w="538" w:type="dxa"/>
          </w:tcPr>
          <w:p w14:paraId="5E1B0A0B" w14:textId="77777777" w:rsidR="00BE36FB" w:rsidRPr="009B7B35" w:rsidRDefault="00BE36FB" w:rsidP="001A7107">
            <w:pPr>
              <w:pStyle w:val="TableText"/>
              <w:rPr>
                <w:rFonts w:cs="Arial"/>
              </w:rPr>
            </w:pPr>
            <w:r w:rsidRPr="009B7B35">
              <w:rPr>
                <w:rFonts w:cs="Arial"/>
              </w:rPr>
              <w:t>3.3</w:t>
            </w:r>
          </w:p>
        </w:tc>
        <w:tc>
          <w:tcPr>
            <w:tcW w:w="1872" w:type="dxa"/>
            <w:gridSpan w:val="2"/>
          </w:tcPr>
          <w:p w14:paraId="4E5D3A1D" w14:textId="77777777" w:rsidR="00BE36FB" w:rsidRPr="009B7B35" w:rsidRDefault="00BE36FB" w:rsidP="001A7107">
            <w:pPr>
              <w:pStyle w:val="TableText"/>
              <w:rPr>
                <w:rFonts w:cs="Arial"/>
              </w:rPr>
            </w:pPr>
            <w:r w:rsidRPr="009B7B35">
              <w:rPr>
                <w:rFonts w:cs="Arial"/>
              </w:rPr>
              <w:t>Maximum site cover</w:t>
            </w:r>
          </w:p>
        </w:tc>
        <w:tc>
          <w:tcPr>
            <w:tcW w:w="2835" w:type="dxa"/>
          </w:tcPr>
          <w:p w14:paraId="698B3683" w14:textId="77777777" w:rsidR="00BE36FB" w:rsidRPr="009B7B35" w:rsidRDefault="00BE36FB" w:rsidP="001A7107">
            <w:pPr>
              <w:pStyle w:val="TableText"/>
              <w:rPr>
                <w:rFonts w:cs="Arial"/>
              </w:rPr>
            </w:pPr>
            <w:r w:rsidRPr="009B7B35">
              <w:rPr>
                <w:rFonts w:cs="Arial"/>
              </w:rPr>
              <w:t>50%</w:t>
            </w:r>
          </w:p>
        </w:tc>
        <w:tc>
          <w:tcPr>
            <w:tcW w:w="4111" w:type="dxa"/>
            <w:vMerge/>
            <w:tcBorders>
              <w:bottom w:val="nil"/>
              <w:right w:val="nil"/>
            </w:tcBorders>
          </w:tcPr>
          <w:p w14:paraId="1CB72079" w14:textId="77777777" w:rsidR="00BE36FB" w:rsidRPr="009B7B35" w:rsidRDefault="00BE36FB" w:rsidP="001A7107">
            <w:pPr>
              <w:pStyle w:val="TableText"/>
              <w:rPr>
                <w:rFonts w:cs="Arial"/>
              </w:rPr>
            </w:pPr>
          </w:p>
        </w:tc>
      </w:tr>
      <w:tr w:rsidR="00BE36FB" w:rsidRPr="009B7B35" w14:paraId="4E227282" w14:textId="77777777" w:rsidTr="001A7107">
        <w:trPr>
          <w:trHeight w:val="462"/>
        </w:trPr>
        <w:tc>
          <w:tcPr>
            <w:tcW w:w="538" w:type="dxa"/>
            <w:vMerge w:val="restart"/>
          </w:tcPr>
          <w:p w14:paraId="2C4A9BF7" w14:textId="77777777" w:rsidR="00BE36FB" w:rsidRPr="009B7B35" w:rsidRDefault="00BE36FB" w:rsidP="001A7107">
            <w:pPr>
              <w:pStyle w:val="TableText"/>
              <w:rPr>
                <w:rFonts w:cs="Arial"/>
              </w:rPr>
            </w:pPr>
            <w:r w:rsidRPr="009B7B35">
              <w:rPr>
                <w:rFonts w:cs="Arial"/>
              </w:rPr>
              <w:t>3.4</w:t>
            </w:r>
          </w:p>
        </w:tc>
        <w:tc>
          <w:tcPr>
            <w:tcW w:w="1872" w:type="dxa"/>
            <w:gridSpan w:val="2"/>
            <w:vMerge w:val="restart"/>
          </w:tcPr>
          <w:p w14:paraId="454E1DCF" w14:textId="77777777" w:rsidR="00BE36FB" w:rsidRPr="009B7B35" w:rsidRDefault="00BE36FB" w:rsidP="001A7107">
            <w:pPr>
              <w:pStyle w:val="TableText"/>
              <w:rPr>
                <w:rFonts w:cs="Arial"/>
              </w:rPr>
            </w:pPr>
            <w:r w:rsidRPr="009B7B35">
              <w:rPr>
                <w:rFonts w:cs="Arial"/>
              </w:rPr>
              <w:t>Minimum open space</w:t>
            </w:r>
          </w:p>
        </w:tc>
        <w:tc>
          <w:tcPr>
            <w:tcW w:w="2835" w:type="dxa"/>
          </w:tcPr>
          <w:p w14:paraId="60DA6830" w14:textId="77777777" w:rsidR="00BE36FB" w:rsidRPr="009B7B35" w:rsidRDefault="00BE36FB" w:rsidP="001A7107">
            <w:pPr>
              <w:pStyle w:val="TableText"/>
              <w:rPr>
                <w:rFonts w:cs="Arial"/>
              </w:rPr>
            </w:pPr>
            <w:r w:rsidRPr="009B7B35">
              <w:rPr>
                <w:rFonts w:cs="Arial"/>
              </w:rPr>
              <w:t>30m</w:t>
            </w:r>
            <w:r w:rsidRPr="009B7B35">
              <w:rPr>
                <w:rFonts w:cs="Arial"/>
                <w:vertAlign w:val="superscript"/>
              </w:rPr>
              <w:t>2</w:t>
            </w:r>
            <w:r w:rsidRPr="009B7B35">
              <w:rPr>
                <w:rFonts w:cs="Arial"/>
              </w:rPr>
              <w:t xml:space="preserve"> private open space per dwelling with a minimum dimension of 5.0m in any direction.</w:t>
            </w:r>
          </w:p>
        </w:tc>
        <w:tc>
          <w:tcPr>
            <w:tcW w:w="4111" w:type="dxa"/>
            <w:vMerge/>
            <w:tcBorders>
              <w:bottom w:val="nil"/>
              <w:right w:val="nil"/>
            </w:tcBorders>
          </w:tcPr>
          <w:p w14:paraId="35DBD90C" w14:textId="77777777" w:rsidR="00BE36FB" w:rsidRPr="009B7B35" w:rsidRDefault="00BE36FB" w:rsidP="001A7107">
            <w:pPr>
              <w:pStyle w:val="TableText"/>
              <w:rPr>
                <w:rFonts w:cs="Arial"/>
              </w:rPr>
            </w:pPr>
          </w:p>
        </w:tc>
      </w:tr>
      <w:tr w:rsidR="00BE36FB" w:rsidRPr="009B7B35" w14:paraId="67152612" w14:textId="77777777" w:rsidTr="001A7107">
        <w:trPr>
          <w:trHeight w:val="326"/>
        </w:trPr>
        <w:tc>
          <w:tcPr>
            <w:tcW w:w="538" w:type="dxa"/>
            <w:vMerge/>
          </w:tcPr>
          <w:p w14:paraId="1A8FB434" w14:textId="77777777" w:rsidR="00BE36FB" w:rsidRPr="009B7B35" w:rsidRDefault="00BE36FB" w:rsidP="001A7107">
            <w:pPr>
              <w:pStyle w:val="TableText"/>
              <w:rPr>
                <w:rFonts w:cs="Arial"/>
              </w:rPr>
            </w:pPr>
          </w:p>
        </w:tc>
        <w:tc>
          <w:tcPr>
            <w:tcW w:w="1872" w:type="dxa"/>
            <w:gridSpan w:val="2"/>
            <w:vMerge/>
          </w:tcPr>
          <w:p w14:paraId="1600F39A" w14:textId="77777777" w:rsidR="00BE36FB" w:rsidRPr="009B7B35" w:rsidRDefault="00BE36FB" w:rsidP="001A7107">
            <w:pPr>
              <w:pStyle w:val="TableText"/>
              <w:rPr>
                <w:rFonts w:cs="Arial"/>
              </w:rPr>
            </w:pPr>
          </w:p>
        </w:tc>
        <w:tc>
          <w:tcPr>
            <w:tcW w:w="2835" w:type="dxa"/>
          </w:tcPr>
          <w:p w14:paraId="3D8E2413" w14:textId="77777777" w:rsidR="00BE36FB" w:rsidRPr="009B7B35" w:rsidRDefault="00BE36FB" w:rsidP="001A7107">
            <w:pPr>
              <w:pStyle w:val="TableText"/>
              <w:rPr>
                <w:rFonts w:cs="Arial"/>
              </w:rPr>
            </w:pPr>
            <w:r w:rsidRPr="009B7B35">
              <w:rPr>
                <w:rFonts w:cs="Arial"/>
              </w:rPr>
              <w:t>Development greater than 18 dwelling provides a minimum communal open space area of 50m</w:t>
            </w:r>
            <w:r w:rsidRPr="009B7B35">
              <w:rPr>
                <w:rFonts w:cs="Arial"/>
                <w:vertAlign w:val="superscript"/>
              </w:rPr>
              <w:t>2</w:t>
            </w:r>
            <w:r w:rsidRPr="009B7B35">
              <w:rPr>
                <w:rFonts w:cs="Arial"/>
              </w:rPr>
              <w:t xml:space="preserve"> with a minimum dimension of 10m.</w:t>
            </w:r>
          </w:p>
        </w:tc>
        <w:tc>
          <w:tcPr>
            <w:tcW w:w="4111" w:type="dxa"/>
            <w:vMerge/>
            <w:tcBorders>
              <w:bottom w:val="nil"/>
              <w:right w:val="nil"/>
            </w:tcBorders>
          </w:tcPr>
          <w:p w14:paraId="110AD189" w14:textId="77777777" w:rsidR="00BE36FB" w:rsidRPr="009B7B35" w:rsidRDefault="00BE36FB" w:rsidP="001A7107">
            <w:pPr>
              <w:pStyle w:val="TableText"/>
              <w:rPr>
                <w:rFonts w:cs="Arial"/>
              </w:rPr>
            </w:pPr>
          </w:p>
        </w:tc>
      </w:tr>
      <w:tr w:rsidR="00BE36FB" w:rsidRPr="009B7B35" w14:paraId="18F861EC" w14:textId="77777777" w:rsidTr="001A7107">
        <w:tc>
          <w:tcPr>
            <w:tcW w:w="538" w:type="dxa"/>
            <w:vMerge w:val="restart"/>
          </w:tcPr>
          <w:p w14:paraId="31626E4F" w14:textId="77777777" w:rsidR="00BE36FB" w:rsidRPr="009B7B35" w:rsidRDefault="00BE36FB" w:rsidP="001A7107">
            <w:pPr>
              <w:pStyle w:val="TableText"/>
              <w:rPr>
                <w:rFonts w:cs="Arial"/>
              </w:rPr>
            </w:pPr>
            <w:r w:rsidRPr="009B7B35">
              <w:rPr>
                <w:rFonts w:cs="Arial"/>
              </w:rPr>
              <w:t>3.5</w:t>
            </w:r>
          </w:p>
        </w:tc>
        <w:tc>
          <w:tcPr>
            <w:tcW w:w="1119" w:type="dxa"/>
            <w:vMerge w:val="restart"/>
          </w:tcPr>
          <w:p w14:paraId="282EAA83" w14:textId="77777777" w:rsidR="00BE36FB" w:rsidRPr="009B7B35" w:rsidRDefault="00BE36FB" w:rsidP="001A7107">
            <w:pPr>
              <w:pStyle w:val="TableText"/>
              <w:rPr>
                <w:rFonts w:cs="Arial"/>
              </w:rPr>
            </w:pPr>
            <w:r w:rsidRPr="009B7B35">
              <w:rPr>
                <w:rFonts w:cs="Arial"/>
              </w:rPr>
              <w:t>Minimum setbacks</w:t>
            </w:r>
          </w:p>
        </w:tc>
        <w:tc>
          <w:tcPr>
            <w:tcW w:w="753" w:type="dxa"/>
            <w:vMerge w:val="restart"/>
          </w:tcPr>
          <w:p w14:paraId="215026F4" w14:textId="77777777" w:rsidR="00BE36FB" w:rsidRPr="009B7B35" w:rsidRDefault="00BE36FB" w:rsidP="001A7107">
            <w:pPr>
              <w:pStyle w:val="TableText"/>
              <w:rPr>
                <w:rFonts w:cs="Arial"/>
              </w:rPr>
            </w:pPr>
            <w:r w:rsidRPr="009B7B35">
              <w:rPr>
                <w:rFonts w:cs="Arial"/>
              </w:rPr>
              <w:t>Front</w:t>
            </w:r>
          </w:p>
        </w:tc>
        <w:tc>
          <w:tcPr>
            <w:tcW w:w="2835" w:type="dxa"/>
          </w:tcPr>
          <w:p w14:paraId="1AF31D6F" w14:textId="77777777" w:rsidR="00BE36FB" w:rsidRPr="009B7B35" w:rsidRDefault="00BE36FB" w:rsidP="001A7107">
            <w:pPr>
              <w:pStyle w:val="TableText"/>
              <w:rPr>
                <w:rFonts w:cs="Arial"/>
              </w:rPr>
            </w:pPr>
            <w:r w:rsidRPr="009B7B35">
              <w:rPr>
                <w:rFonts w:cs="Arial"/>
              </w:rPr>
              <w:t>3m (OMP and including all street frontages where a corner lot).</w:t>
            </w:r>
          </w:p>
        </w:tc>
        <w:tc>
          <w:tcPr>
            <w:tcW w:w="4111" w:type="dxa"/>
            <w:vMerge/>
            <w:tcBorders>
              <w:bottom w:val="nil"/>
              <w:right w:val="nil"/>
            </w:tcBorders>
          </w:tcPr>
          <w:p w14:paraId="7BBCE70A" w14:textId="77777777" w:rsidR="00BE36FB" w:rsidRPr="009B7B35" w:rsidRDefault="00BE36FB" w:rsidP="001A7107">
            <w:pPr>
              <w:pStyle w:val="TableText"/>
              <w:rPr>
                <w:rFonts w:cs="Arial"/>
              </w:rPr>
            </w:pPr>
          </w:p>
        </w:tc>
      </w:tr>
      <w:tr w:rsidR="00BE36FB" w:rsidRPr="009B7B35" w14:paraId="33B54E87" w14:textId="77777777" w:rsidTr="001A7107">
        <w:tc>
          <w:tcPr>
            <w:tcW w:w="538" w:type="dxa"/>
            <w:vMerge/>
          </w:tcPr>
          <w:p w14:paraId="0BD154CF" w14:textId="77777777" w:rsidR="00BE36FB" w:rsidRPr="009B7B35" w:rsidRDefault="00BE36FB" w:rsidP="001A7107">
            <w:pPr>
              <w:pStyle w:val="TableText"/>
              <w:rPr>
                <w:rFonts w:cs="Arial"/>
              </w:rPr>
            </w:pPr>
          </w:p>
        </w:tc>
        <w:tc>
          <w:tcPr>
            <w:tcW w:w="1119" w:type="dxa"/>
            <w:vMerge/>
          </w:tcPr>
          <w:p w14:paraId="78AF33E8" w14:textId="77777777" w:rsidR="00BE36FB" w:rsidRPr="009B7B35" w:rsidRDefault="00BE36FB" w:rsidP="001A7107">
            <w:pPr>
              <w:pStyle w:val="TableText"/>
              <w:rPr>
                <w:rFonts w:cs="Arial"/>
              </w:rPr>
            </w:pPr>
          </w:p>
        </w:tc>
        <w:tc>
          <w:tcPr>
            <w:tcW w:w="753" w:type="dxa"/>
            <w:vMerge/>
          </w:tcPr>
          <w:p w14:paraId="746739A6" w14:textId="77777777" w:rsidR="00BE36FB" w:rsidRPr="009B7B35" w:rsidRDefault="00BE36FB" w:rsidP="001A7107">
            <w:pPr>
              <w:pStyle w:val="TableText"/>
              <w:rPr>
                <w:rFonts w:cs="Arial"/>
              </w:rPr>
            </w:pPr>
          </w:p>
        </w:tc>
        <w:tc>
          <w:tcPr>
            <w:tcW w:w="2835" w:type="dxa"/>
          </w:tcPr>
          <w:p w14:paraId="371B8493" w14:textId="77777777" w:rsidR="00BE36FB" w:rsidRPr="009B7B35" w:rsidRDefault="00BE36FB" w:rsidP="001A7107">
            <w:pPr>
              <w:pStyle w:val="TableText"/>
              <w:rPr>
                <w:rFonts w:cs="Arial"/>
              </w:rPr>
            </w:pPr>
            <w:r w:rsidRPr="009B7B35">
              <w:rPr>
                <w:rFonts w:cs="Arial"/>
              </w:rPr>
              <w:t>5m to any garage on a street frontage.</w:t>
            </w:r>
          </w:p>
        </w:tc>
        <w:tc>
          <w:tcPr>
            <w:tcW w:w="4111" w:type="dxa"/>
            <w:vMerge/>
            <w:tcBorders>
              <w:bottom w:val="nil"/>
              <w:right w:val="nil"/>
            </w:tcBorders>
          </w:tcPr>
          <w:p w14:paraId="35B9CB34" w14:textId="77777777" w:rsidR="00BE36FB" w:rsidRPr="009B7B35" w:rsidRDefault="00BE36FB" w:rsidP="001A7107">
            <w:pPr>
              <w:pStyle w:val="TableText"/>
              <w:rPr>
                <w:rFonts w:cs="Arial"/>
              </w:rPr>
            </w:pPr>
          </w:p>
        </w:tc>
      </w:tr>
      <w:tr w:rsidR="00BE36FB" w:rsidRPr="009B7B35" w14:paraId="5F801602" w14:textId="77777777" w:rsidTr="001A7107">
        <w:tc>
          <w:tcPr>
            <w:tcW w:w="538" w:type="dxa"/>
            <w:vMerge/>
          </w:tcPr>
          <w:p w14:paraId="4D925334" w14:textId="77777777" w:rsidR="00BE36FB" w:rsidRPr="009B7B35" w:rsidRDefault="00BE36FB" w:rsidP="001A7107">
            <w:pPr>
              <w:pStyle w:val="TableText"/>
              <w:rPr>
                <w:rFonts w:cs="Arial"/>
              </w:rPr>
            </w:pPr>
          </w:p>
        </w:tc>
        <w:tc>
          <w:tcPr>
            <w:tcW w:w="1119" w:type="dxa"/>
            <w:vMerge/>
          </w:tcPr>
          <w:p w14:paraId="018EDAA5" w14:textId="77777777" w:rsidR="00BE36FB" w:rsidRPr="009B7B35" w:rsidRDefault="00BE36FB" w:rsidP="001A7107">
            <w:pPr>
              <w:pStyle w:val="TableText"/>
              <w:rPr>
                <w:rFonts w:cs="Arial"/>
              </w:rPr>
            </w:pPr>
          </w:p>
        </w:tc>
        <w:tc>
          <w:tcPr>
            <w:tcW w:w="753" w:type="dxa"/>
          </w:tcPr>
          <w:p w14:paraId="60669CDE" w14:textId="77777777" w:rsidR="00BE36FB" w:rsidRPr="009B7B35" w:rsidRDefault="00BE36FB" w:rsidP="001A7107">
            <w:pPr>
              <w:pStyle w:val="TableText"/>
              <w:rPr>
                <w:rFonts w:cs="Arial"/>
              </w:rPr>
            </w:pPr>
            <w:r w:rsidRPr="009B7B35">
              <w:rPr>
                <w:rFonts w:cs="Arial"/>
              </w:rPr>
              <w:t>Rear</w:t>
            </w:r>
          </w:p>
        </w:tc>
        <w:tc>
          <w:tcPr>
            <w:tcW w:w="2835" w:type="dxa"/>
          </w:tcPr>
          <w:p w14:paraId="5B9CE1F1" w14:textId="77777777" w:rsidR="00BE36FB" w:rsidRPr="009B7B35" w:rsidRDefault="00BE36FB" w:rsidP="001A7107">
            <w:pPr>
              <w:pStyle w:val="TableText"/>
              <w:rPr>
                <w:rFonts w:cs="Arial"/>
              </w:rPr>
            </w:pPr>
            <w:r w:rsidRPr="009B7B35">
              <w:rPr>
                <w:rFonts w:cs="Arial"/>
              </w:rPr>
              <w:t>6m (where not on a corner lot).</w:t>
            </w:r>
          </w:p>
        </w:tc>
        <w:tc>
          <w:tcPr>
            <w:tcW w:w="4111" w:type="dxa"/>
            <w:vMerge/>
            <w:tcBorders>
              <w:bottom w:val="nil"/>
              <w:right w:val="nil"/>
            </w:tcBorders>
          </w:tcPr>
          <w:p w14:paraId="2C94B212" w14:textId="77777777" w:rsidR="00BE36FB" w:rsidRPr="009B7B35" w:rsidRDefault="00BE36FB" w:rsidP="001A7107">
            <w:pPr>
              <w:pStyle w:val="TableText"/>
              <w:rPr>
                <w:rFonts w:cs="Arial"/>
              </w:rPr>
            </w:pPr>
          </w:p>
        </w:tc>
      </w:tr>
      <w:tr w:rsidR="00BE36FB" w:rsidRPr="009B7B35" w14:paraId="04E7E4FF" w14:textId="77777777" w:rsidTr="001A7107">
        <w:tc>
          <w:tcPr>
            <w:tcW w:w="538" w:type="dxa"/>
            <w:vMerge/>
          </w:tcPr>
          <w:p w14:paraId="4FD930C7" w14:textId="77777777" w:rsidR="00BE36FB" w:rsidRPr="009B7B35" w:rsidRDefault="00BE36FB" w:rsidP="001A7107">
            <w:pPr>
              <w:pStyle w:val="TableText"/>
              <w:rPr>
                <w:rFonts w:cs="Arial"/>
              </w:rPr>
            </w:pPr>
          </w:p>
        </w:tc>
        <w:tc>
          <w:tcPr>
            <w:tcW w:w="1119" w:type="dxa"/>
            <w:vMerge/>
          </w:tcPr>
          <w:p w14:paraId="5A312B44" w14:textId="77777777" w:rsidR="00BE36FB" w:rsidRPr="009B7B35" w:rsidRDefault="00BE36FB" w:rsidP="001A7107">
            <w:pPr>
              <w:pStyle w:val="TableText"/>
              <w:rPr>
                <w:rFonts w:cs="Arial"/>
              </w:rPr>
            </w:pPr>
          </w:p>
        </w:tc>
        <w:tc>
          <w:tcPr>
            <w:tcW w:w="753" w:type="dxa"/>
          </w:tcPr>
          <w:p w14:paraId="2B55BBE7" w14:textId="77777777" w:rsidR="00BE36FB" w:rsidRPr="009B7B35" w:rsidRDefault="00BE36FB" w:rsidP="001A7107">
            <w:pPr>
              <w:pStyle w:val="TableText"/>
              <w:rPr>
                <w:rFonts w:cs="Arial"/>
              </w:rPr>
            </w:pPr>
            <w:r w:rsidRPr="009B7B35">
              <w:rPr>
                <w:rFonts w:cs="Arial"/>
              </w:rPr>
              <w:t>Side</w:t>
            </w:r>
          </w:p>
        </w:tc>
        <w:tc>
          <w:tcPr>
            <w:tcW w:w="2835" w:type="dxa"/>
          </w:tcPr>
          <w:p w14:paraId="13164B7C" w14:textId="77777777" w:rsidR="00BE36FB" w:rsidRPr="009B7B35" w:rsidRDefault="00BE36FB" w:rsidP="001A7107">
            <w:pPr>
              <w:pStyle w:val="TableText"/>
              <w:rPr>
                <w:rFonts w:cs="Arial"/>
              </w:rPr>
            </w:pPr>
            <w:r w:rsidRPr="009B7B35">
              <w:rPr>
                <w:rFonts w:cs="Arial"/>
              </w:rPr>
              <w:t>1.5m not including eaves.</w:t>
            </w:r>
          </w:p>
        </w:tc>
        <w:tc>
          <w:tcPr>
            <w:tcW w:w="4111" w:type="dxa"/>
            <w:vMerge/>
            <w:tcBorders>
              <w:bottom w:val="nil"/>
              <w:right w:val="nil"/>
            </w:tcBorders>
          </w:tcPr>
          <w:p w14:paraId="595AA139" w14:textId="77777777" w:rsidR="00BE36FB" w:rsidRPr="009B7B35" w:rsidRDefault="00BE36FB" w:rsidP="001A7107">
            <w:pPr>
              <w:pStyle w:val="TableText"/>
              <w:rPr>
                <w:rFonts w:cs="Arial"/>
              </w:rPr>
            </w:pPr>
          </w:p>
        </w:tc>
      </w:tr>
      <w:tr w:rsidR="00BE36FB" w:rsidRPr="009B7B35" w14:paraId="0D329950" w14:textId="77777777" w:rsidTr="001A7107">
        <w:tc>
          <w:tcPr>
            <w:tcW w:w="538" w:type="dxa"/>
          </w:tcPr>
          <w:p w14:paraId="4F48C395" w14:textId="77777777" w:rsidR="00BE36FB" w:rsidRPr="009B7B35" w:rsidRDefault="00BE36FB" w:rsidP="001A7107">
            <w:pPr>
              <w:pStyle w:val="TableText"/>
              <w:rPr>
                <w:rFonts w:cs="Arial"/>
              </w:rPr>
            </w:pPr>
            <w:r w:rsidRPr="009B7B35">
              <w:rPr>
                <w:rFonts w:cs="Arial"/>
              </w:rPr>
              <w:t>3.6</w:t>
            </w:r>
          </w:p>
        </w:tc>
        <w:tc>
          <w:tcPr>
            <w:tcW w:w="1872" w:type="dxa"/>
            <w:gridSpan w:val="2"/>
          </w:tcPr>
          <w:p w14:paraId="358406C4" w14:textId="77777777" w:rsidR="00BE36FB" w:rsidRPr="009B7B35" w:rsidRDefault="00BE36FB" w:rsidP="001A7107">
            <w:pPr>
              <w:pStyle w:val="TableText"/>
              <w:rPr>
                <w:rFonts w:cs="Arial"/>
              </w:rPr>
            </w:pPr>
            <w:r w:rsidRPr="009B7B35">
              <w:rPr>
                <w:rFonts w:cs="Arial"/>
              </w:rPr>
              <w:t>Built to boundary walls</w:t>
            </w:r>
          </w:p>
        </w:tc>
        <w:tc>
          <w:tcPr>
            <w:tcW w:w="2835" w:type="dxa"/>
          </w:tcPr>
          <w:p w14:paraId="25046CAA" w14:textId="77777777" w:rsidR="00BE36FB" w:rsidRPr="009B7B35" w:rsidRDefault="00BE36FB" w:rsidP="001A7107">
            <w:pPr>
              <w:pStyle w:val="TableText"/>
              <w:rPr>
                <w:rFonts w:cs="Arial"/>
              </w:rPr>
            </w:pPr>
            <w:r w:rsidRPr="009B7B35">
              <w:rPr>
                <w:rFonts w:cs="Arial"/>
              </w:rPr>
              <w:t>Limited to 1 side boundary and must contain no windows, openings or glazing. Maximum length 10m and maximum height 3.5m.</w:t>
            </w:r>
          </w:p>
        </w:tc>
        <w:tc>
          <w:tcPr>
            <w:tcW w:w="4111" w:type="dxa"/>
            <w:vMerge/>
            <w:tcBorders>
              <w:bottom w:val="nil"/>
              <w:right w:val="nil"/>
            </w:tcBorders>
          </w:tcPr>
          <w:p w14:paraId="35C978F8" w14:textId="77777777" w:rsidR="00BE36FB" w:rsidRPr="009B7B35" w:rsidRDefault="00BE36FB" w:rsidP="001A7107">
            <w:pPr>
              <w:pStyle w:val="TableText"/>
              <w:rPr>
                <w:rFonts w:cs="Arial"/>
              </w:rPr>
            </w:pPr>
          </w:p>
        </w:tc>
      </w:tr>
      <w:tr w:rsidR="00BE36FB" w:rsidRPr="009B7B35" w14:paraId="05338F6A" w14:textId="77777777" w:rsidTr="001A7107">
        <w:tc>
          <w:tcPr>
            <w:tcW w:w="538" w:type="dxa"/>
          </w:tcPr>
          <w:p w14:paraId="69305605" w14:textId="77777777" w:rsidR="00BE36FB" w:rsidRPr="009B7B35" w:rsidRDefault="00BE36FB" w:rsidP="001A7107">
            <w:pPr>
              <w:pStyle w:val="TableText"/>
              <w:rPr>
                <w:rFonts w:cs="Arial"/>
              </w:rPr>
            </w:pPr>
            <w:r w:rsidRPr="009B7B35">
              <w:rPr>
                <w:rFonts w:cs="Arial"/>
              </w:rPr>
              <w:t>3.7</w:t>
            </w:r>
          </w:p>
        </w:tc>
        <w:tc>
          <w:tcPr>
            <w:tcW w:w="1872" w:type="dxa"/>
            <w:gridSpan w:val="2"/>
          </w:tcPr>
          <w:p w14:paraId="7E60F459" w14:textId="77777777" w:rsidR="00BE36FB" w:rsidRPr="009B7B35" w:rsidRDefault="00BE36FB" w:rsidP="001A7107">
            <w:pPr>
              <w:pStyle w:val="TableText"/>
              <w:rPr>
                <w:rFonts w:cs="Arial"/>
              </w:rPr>
            </w:pPr>
            <w:r w:rsidRPr="009B7B35">
              <w:rPr>
                <w:rFonts w:cs="Arial"/>
              </w:rPr>
              <w:t>Built form and streetscape</w:t>
            </w:r>
          </w:p>
        </w:tc>
        <w:tc>
          <w:tcPr>
            <w:tcW w:w="2835" w:type="dxa"/>
          </w:tcPr>
          <w:p w14:paraId="688B082B" w14:textId="77777777" w:rsidR="00BE36FB" w:rsidRPr="009B7B35" w:rsidRDefault="00BE36FB" w:rsidP="001A7107">
            <w:pPr>
              <w:pStyle w:val="TableText"/>
              <w:rPr>
                <w:rFonts w:cs="Arial"/>
              </w:rPr>
            </w:pPr>
            <w:r w:rsidRPr="009B7B35">
              <w:rPr>
                <w:rFonts w:cs="Arial"/>
              </w:rPr>
              <w:t>Maximum of 4 dwellings in a row without separation.</w:t>
            </w:r>
          </w:p>
        </w:tc>
        <w:tc>
          <w:tcPr>
            <w:tcW w:w="4111" w:type="dxa"/>
            <w:vMerge/>
            <w:tcBorders>
              <w:bottom w:val="nil"/>
              <w:right w:val="nil"/>
            </w:tcBorders>
          </w:tcPr>
          <w:p w14:paraId="38C553FB" w14:textId="77777777" w:rsidR="00BE36FB" w:rsidRPr="009B7B35" w:rsidRDefault="00BE36FB" w:rsidP="001A7107">
            <w:pPr>
              <w:pStyle w:val="TableText"/>
              <w:rPr>
                <w:rFonts w:cs="Arial"/>
              </w:rPr>
            </w:pPr>
          </w:p>
        </w:tc>
      </w:tr>
    </w:tbl>
    <w:p w14:paraId="26119712"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0BDD64E9" w14:textId="77777777" w:rsidR="00BE36FB" w:rsidRPr="009B7B35" w:rsidRDefault="00BE36FB" w:rsidP="00B5414A">
      <w:pPr>
        <w:pStyle w:val="Heading5"/>
        <w:numPr>
          <w:ilvl w:val="0"/>
          <w:numId w:val="0"/>
        </w:numPr>
        <w:rPr>
          <w:rFonts w:cs="Arial"/>
          <w:szCs w:val="20"/>
        </w:rPr>
      </w:pPr>
      <w:r w:rsidRPr="009B7B35">
        <w:rPr>
          <w:rFonts w:cs="Arial"/>
          <w:szCs w:val="20"/>
        </w:rPr>
        <w:t>Figure</w:t>
      </w:r>
      <w:r w:rsidRPr="009B7B35" w:rsidDel="00DF5D07">
        <w:rPr>
          <w:rFonts w:cs="Arial"/>
          <w:szCs w:val="20"/>
        </w:rPr>
        <w:t xml:space="preserve"> </w:t>
      </w:r>
      <w:r w:rsidRPr="009B7B35">
        <w:rPr>
          <w:rFonts w:cs="Arial"/>
          <w:szCs w:val="20"/>
        </w:rPr>
        <w:t>4—Multiple dwelling: Medium rise apartment</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261"/>
        <w:gridCol w:w="5102"/>
      </w:tblGrid>
      <w:tr w:rsidR="00BE36FB" w:rsidRPr="009B7B35" w14:paraId="5E60B1CD" w14:textId="77777777" w:rsidTr="001A7107">
        <w:tc>
          <w:tcPr>
            <w:tcW w:w="4253" w:type="dxa"/>
            <w:vAlign w:val="center"/>
          </w:tcPr>
          <w:p w14:paraId="4774EA2E" w14:textId="77777777" w:rsidR="00BE36FB" w:rsidRPr="009B7B35" w:rsidRDefault="00BE36FB" w:rsidP="001A7107">
            <w:pPr>
              <w:pStyle w:val="TableText"/>
              <w:rPr>
                <w:rFonts w:cs="Arial"/>
              </w:rPr>
            </w:pPr>
            <w:r w:rsidRPr="009B7B35">
              <w:rPr>
                <w:rFonts w:cs="Arial"/>
              </w:rPr>
              <w:t>Medium scale apartment buildings provide significant increases in density and diversity in a compact urban form. They are located in identified urban infill areas where located close to shops and services. Parking is located in a form of basement configuration within the building.</w:t>
            </w:r>
          </w:p>
        </w:tc>
        <w:tc>
          <w:tcPr>
            <w:tcW w:w="5103" w:type="dxa"/>
            <w:vAlign w:val="center"/>
          </w:tcPr>
          <w:p w14:paraId="6B48AEA4" w14:textId="77777777" w:rsidR="00BE36FB" w:rsidRPr="009B7B35" w:rsidRDefault="00BE36FB" w:rsidP="001A7107">
            <w:pPr>
              <w:jc w:val="right"/>
              <w:rPr>
                <w:rFonts w:cs="Arial"/>
                <w:sz w:val="20"/>
                <w:szCs w:val="20"/>
              </w:rPr>
            </w:pPr>
            <w:r w:rsidRPr="009B7B35">
              <w:rPr>
                <w:rFonts w:cs="Arial"/>
                <w:noProof/>
                <w:sz w:val="20"/>
                <w:szCs w:val="20"/>
              </w:rPr>
              <w:drawing>
                <wp:inline distT="0" distB="0" distL="0" distR="0" wp14:anchorId="1D8C647C" wp14:editId="2DF79974">
                  <wp:extent cx="3166102" cy="1664898"/>
                  <wp:effectExtent l="0" t="0" r="0" b="0"/>
                  <wp:docPr id="42" name="Picture 42" descr="\\BVDC01\users\13\13-4263 PL - Gladstone Regional Planning Scheme - CT\Zoning\Zone Codes\Deicke Richards typologies\PERSPECTIVES\Block Mix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VDC01\users\13\13-4263 PL - Gladstone Regional Planning Scheme - CT\Zoning\Zone Codes\Deicke Richards typologies\PERSPECTIVES\Block Mix_0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64672" cy="1664146"/>
                          </a:xfrm>
                          <a:prstGeom prst="rect">
                            <a:avLst/>
                          </a:prstGeom>
                          <a:noFill/>
                          <a:ln>
                            <a:noFill/>
                          </a:ln>
                        </pic:spPr>
                      </pic:pic>
                    </a:graphicData>
                  </a:graphic>
                </wp:inline>
              </w:drawing>
            </w:r>
          </w:p>
        </w:tc>
      </w:tr>
    </w:tbl>
    <w:p w14:paraId="3E91F8CA" w14:textId="77777777" w:rsidR="00BE36FB" w:rsidRPr="009B7B35" w:rsidRDefault="00BE36FB" w:rsidP="001A7107">
      <w:pPr>
        <w:rPr>
          <w:rFonts w:ascii="Arial" w:hAnsi="Arial" w:cs="Arial"/>
          <w:sz w:val="20"/>
          <w:szCs w:val="20"/>
        </w:rPr>
      </w:pPr>
    </w:p>
    <w:p w14:paraId="010225C5" w14:textId="77777777"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60"/>
        <w:gridCol w:w="1016"/>
        <w:gridCol w:w="661"/>
        <w:gridCol w:w="1912"/>
        <w:gridCol w:w="4314"/>
      </w:tblGrid>
      <w:tr w:rsidR="00BE36FB" w:rsidRPr="009B7B35" w14:paraId="71B754D8" w14:textId="77777777" w:rsidTr="001A7107">
        <w:trPr>
          <w:cnfStyle w:val="100000000000" w:firstRow="1" w:lastRow="0" w:firstColumn="0" w:lastColumn="0" w:oddVBand="0" w:evenVBand="0" w:oddHBand="0" w:evenHBand="0" w:firstRowFirstColumn="0" w:firstRowLastColumn="0" w:lastRowFirstColumn="0" w:lastRowLastColumn="0"/>
        </w:trPr>
        <w:tc>
          <w:tcPr>
            <w:tcW w:w="2375" w:type="dxa"/>
            <w:gridSpan w:val="3"/>
          </w:tcPr>
          <w:p w14:paraId="4A6F9583" w14:textId="77777777" w:rsidR="00BE36FB" w:rsidRPr="009B7B35" w:rsidRDefault="00BE36FB" w:rsidP="001A7107">
            <w:pPr>
              <w:pStyle w:val="Tableheading"/>
              <w:rPr>
                <w:rFonts w:ascii="Arial" w:hAnsi="Arial" w:cs="Arial"/>
                <w:szCs w:val="20"/>
              </w:rPr>
            </w:pPr>
            <w:r w:rsidRPr="009B7B35">
              <w:rPr>
                <w:rFonts w:ascii="Arial" w:hAnsi="Arial" w:cs="Arial"/>
                <w:szCs w:val="20"/>
              </w:rPr>
              <w:t>Element</w:t>
            </w:r>
          </w:p>
        </w:tc>
        <w:tc>
          <w:tcPr>
            <w:tcW w:w="2722" w:type="dxa"/>
          </w:tcPr>
          <w:p w14:paraId="35C79D1B"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314" w:type="dxa"/>
            <w:vMerge w:val="restart"/>
            <w:tcBorders>
              <w:top w:val="nil"/>
              <w:bottom w:val="nil"/>
              <w:right w:val="nil"/>
            </w:tcBorders>
          </w:tcPr>
          <w:p w14:paraId="45E2E3EF"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0EC6B7A8" wp14:editId="78806A90">
                  <wp:extent cx="2665562" cy="5098211"/>
                  <wp:effectExtent l="0" t="0" r="1905"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 Rise.PNG"/>
                          <pic:cNvPicPr/>
                        </pic:nvPicPr>
                        <pic:blipFill>
                          <a:blip r:embed="rId56">
                            <a:extLst>
                              <a:ext uri="{28A0092B-C50C-407E-A947-70E740481C1C}">
                                <a14:useLocalDpi xmlns:a14="http://schemas.microsoft.com/office/drawing/2010/main" val="0"/>
                              </a:ext>
                            </a:extLst>
                          </a:blip>
                          <a:stretch>
                            <a:fillRect/>
                          </a:stretch>
                        </pic:blipFill>
                        <pic:spPr>
                          <a:xfrm>
                            <a:off x="0" y="0"/>
                            <a:ext cx="2664313" cy="5095823"/>
                          </a:xfrm>
                          <a:prstGeom prst="rect">
                            <a:avLst/>
                          </a:prstGeom>
                        </pic:spPr>
                      </pic:pic>
                    </a:graphicData>
                  </a:graphic>
                </wp:inline>
              </w:drawing>
            </w:r>
          </w:p>
          <w:p w14:paraId="2C4F1A79"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718521E7" wp14:editId="1B72840C">
                  <wp:extent cx="2519045" cy="517525"/>
                  <wp:effectExtent l="0" t="0" r="0" b="0"/>
                  <wp:docPr id="47" name="Picture 47"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ypologies_Legend-h"/>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19045" cy="517525"/>
                          </a:xfrm>
                          <a:prstGeom prst="rect">
                            <a:avLst/>
                          </a:prstGeom>
                          <a:noFill/>
                          <a:ln>
                            <a:noFill/>
                          </a:ln>
                        </pic:spPr>
                      </pic:pic>
                    </a:graphicData>
                  </a:graphic>
                </wp:inline>
              </w:drawing>
            </w:r>
          </w:p>
        </w:tc>
      </w:tr>
      <w:tr w:rsidR="00BE36FB" w:rsidRPr="009B7B35" w14:paraId="1BBDBEBA" w14:textId="77777777" w:rsidTr="001A7107">
        <w:tc>
          <w:tcPr>
            <w:tcW w:w="528" w:type="dxa"/>
          </w:tcPr>
          <w:p w14:paraId="213EC7D9" w14:textId="77777777" w:rsidR="00BE36FB" w:rsidRPr="009B7B35" w:rsidRDefault="00BE36FB">
            <w:pPr>
              <w:pStyle w:val="TableText"/>
              <w:rPr>
                <w:rFonts w:cs="Arial"/>
              </w:rPr>
            </w:pPr>
            <w:r w:rsidRPr="009B7B35">
              <w:rPr>
                <w:rFonts w:cs="Arial"/>
              </w:rPr>
              <w:t>4.1</w:t>
            </w:r>
          </w:p>
        </w:tc>
        <w:tc>
          <w:tcPr>
            <w:tcW w:w="1847" w:type="dxa"/>
            <w:gridSpan w:val="2"/>
          </w:tcPr>
          <w:p w14:paraId="0085A089" w14:textId="77777777" w:rsidR="00BE36FB" w:rsidRPr="009B7B35" w:rsidRDefault="00BE36FB">
            <w:pPr>
              <w:pStyle w:val="TableText"/>
              <w:rPr>
                <w:rFonts w:cs="Arial"/>
              </w:rPr>
            </w:pPr>
            <w:r w:rsidRPr="009B7B35">
              <w:rPr>
                <w:rFonts w:cs="Arial"/>
              </w:rPr>
              <w:t>Minimum frontage</w:t>
            </w:r>
          </w:p>
        </w:tc>
        <w:tc>
          <w:tcPr>
            <w:tcW w:w="2722" w:type="dxa"/>
          </w:tcPr>
          <w:p w14:paraId="216C4CF0" w14:textId="77777777" w:rsidR="00BE36FB" w:rsidRPr="009B7B35" w:rsidRDefault="00BE36FB" w:rsidP="001A7107">
            <w:pPr>
              <w:pStyle w:val="TableText"/>
              <w:rPr>
                <w:rFonts w:cs="Arial"/>
              </w:rPr>
            </w:pPr>
            <w:r w:rsidRPr="009B7B35">
              <w:rPr>
                <w:rFonts w:cs="Arial"/>
              </w:rPr>
              <w:t>30m</w:t>
            </w:r>
          </w:p>
        </w:tc>
        <w:tc>
          <w:tcPr>
            <w:tcW w:w="4314" w:type="dxa"/>
            <w:vMerge/>
            <w:tcBorders>
              <w:bottom w:val="nil"/>
              <w:right w:val="nil"/>
            </w:tcBorders>
          </w:tcPr>
          <w:p w14:paraId="52D04A43" w14:textId="77777777" w:rsidR="00BE36FB" w:rsidRPr="009B7B35" w:rsidRDefault="00BE36FB" w:rsidP="001A7107">
            <w:pPr>
              <w:rPr>
                <w:rFonts w:cs="Arial"/>
                <w:sz w:val="20"/>
                <w:szCs w:val="20"/>
              </w:rPr>
            </w:pPr>
          </w:p>
        </w:tc>
      </w:tr>
      <w:tr w:rsidR="00BE36FB" w:rsidRPr="009B7B35" w14:paraId="23CAC8B8" w14:textId="77777777" w:rsidTr="001A7107">
        <w:tc>
          <w:tcPr>
            <w:tcW w:w="528" w:type="dxa"/>
          </w:tcPr>
          <w:p w14:paraId="594AA136" w14:textId="77777777" w:rsidR="00BE36FB" w:rsidRPr="009B7B35" w:rsidRDefault="00BE36FB">
            <w:pPr>
              <w:pStyle w:val="TableText"/>
              <w:rPr>
                <w:rFonts w:cs="Arial"/>
              </w:rPr>
            </w:pPr>
            <w:r w:rsidRPr="009B7B35">
              <w:rPr>
                <w:rFonts w:cs="Arial"/>
              </w:rPr>
              <w:t>4.2</w:t>
            </w:r>
          </w:p>
        </w:tc>
        <w:tc>
          <w:tcPr>
            <w:tcW w:w="1847" w:type="dxa"/>
            <w:gridSpan w:val="2"/>
          </w:tcPr>
          <w:p w14:paraId="1F1784F0" w14:textId="77777777" w:rsidR="00BE36FB" w:rsidRPr="009B7B35" w:rsidRDefault="00BE36FB">
            <w:pPr>
              <w:pStyle w:val="TableText"/>
              <w:rPr>
                <w:rFonts w:cs="Arial"/>
              </w:rPr>
            </w:pPr>
            <w:r w:rsidRPr="009B7B35">
              <w:rPr>
                <w:rFonts w:cs="Arial"/>
              </w:rPr>
              <w:t xml:space="preserve">Minimum area </w:t>
            </w:r>
          </w:p>
        </w:tc>
        <w:tc>
          <w:tcPr>
            <w:tcW w:w="2722" w:type="dxa"/>
          </w:tcPr>
          <w:p w14:paraId="6453A960" w14:textId="77777777" w:rsidR="00BE36FB" w:rsidRPr="009B7B35" w:rsidRDefault="00BE36FB" w:rsidP="001A7107">
            <w:pPr>
              <w:pStyle w:val="TableText"/>
              <w:rPr>
                <w:rFonts w:cs="Arial"/>
              </w:rPr>
            </w:pPr>
            <w:r w:rsidRPr="009B7B35">
              <w:rPr>
                <w:rFonts w:cs="Arial"/>
              </w:rPr>
              <w:t>1,000m</w:t>
            </w:r>
            <w:r w:rsidRPr="009B7B35">
              <w:rPr>
                <w:rFonts w:cs="Arial"/>
                <w:vertAlign w:val="superscript"/>
              </w:rPr>
              <w:t>2</w:t>
            </w:r>
          </w:p>
        </w:tc>
        <w:tc>
          <w:tcPr>
            <w:tcW w:w="4314" w:type="dxa"/>
            <w:vMerge/>
            <w:tcBorders>
              <w:bottom w:val="nil"/>
              <w:right w:val="nil"/>
            </w:tcBorders>
          </w:tcPr>
          <w:p w14:paraId="7895BEEF" w14:textId="77777777" w:rsidR="00BE36FB" w:rsidRPr="009B7B35" w:rsidRDefault="00BE36FB" w:rsidP="001A7107">
            <w:pPr>
              <w:rPr>
                <w:rFonts w:cs="Arial"/>
                <w:sz w:val="20"/>
                <w:szCs w:val="20"/>
              </w:rPr>
            </w:pPr>
          </w:p>
        </w:tc>
      </w:tr>
      <w:tr w:rsidR="00BE36FB" w:rsidRPr="009B7B35" w14:paraId="5F871F39" w14:textId="77777777" w:rsidTr="001A7107">
        <w:tc>
          <w:tcPr>
            <w:tcW w:w="528" w:type="dxa"/>
          </w:tcPr>
          <w:p w14:paraId="3582F1EB" w14:textId="77777777" w:rsidR="00BE36FB" w:rsidRPr="009B7B35" w:rsidRDefault="00BE36FB">
            <w:pPr>
              <w:pStyle w:val="TableText"/>
              <w:rPr>
                <w:rFonts w:cs="Arial"/>
              </w:rPr>
            </w:pPr>
            <w:r w:rsidRPr="009B7B35">
              <w:rPr>
                <w:rFonts w:cs="Arial"/>
              </w:rPr>
              <w:t>4.3</w:t>
            </w:r>
          </w:p>
        </w:tc>
        <w:tc>
          <w:tcPr>
            <w:tcW w:w="1847" w:type="dxa"/>
            <w:gridSpan w:val="2"/>
          </w:tcPr>
          <w:p w14:paraId="7B878B40" w14:textId="77777777" w:rsidR="00BE36FB" w:rsidRPr="009B7B35" w:rsidRDefault="00BE36FB">
            <w:pPr>
              <w:pStyle w:val="TableText"/>
              <w:rPr>
                <w:rFonts w:cs="Arial"/>
              </w:rPr>
            </w:pPr>
            <w:r w:rsidRPr="009B7B35">
              <w:rPr>
                <w:rFonts w:cs="Arial"/>
              </w:rPr>
              <w:t>Maximum site cover</w:t>
            </w:r>
          </w:p>
        </w:tc>
        <w:tc>
          <w:tcPr>
            <w:tcW w:w="2722" w:type="dxa"/>
          </w:tcPr>
          <w:p w14:paraId="19F61003" w14:textId="77777777" w:rsidR="00BE36FB" w:rsidRPr="009B7B35" w:rsidRDefault="00BE36FB" w:rsidP="001A7107">
            <w:pPr>
              <w:pStyle w:val="TableText"/>
              <w:rPr>
                <w:rFonts w:cs="Arial"/>
              </w:rPr>
            </w:pPr>
            <w:r w:rsidRPr="009B7B35">
              <w:rPr>
                <w:rFonts w:cs="Arial"/>
              </w:rPr>
              <w:t>60%</w:t>
            </w:r>
          </w:p>
        </w:tc>
        <w:tc>
          <w:tcPr>
            <w:tcW w:w="4314" w:type="dxa"/>
            <w:vMerge/>
            <w:tcBorders>
              <w:bottom w:val="nil"/>
              <w:right w:val="nil"/>
            </w:tcBorders>
          </w:tcPr>
          <w:p w14:paraId="0FD0FD03" w14:textId="77777777" w:rsidR="00BE36FB" w:rsidRPr="009B7B35" w:rsidRDefault="00BE36FB" w:rsidP="001A7107">
            <w:pPr>
              <w:rPr>
                <w:rFonts w:cs="Arial"/>
                <w:sz w:val="20"/>
                <w:szCs w:val="20"/>
              </w:rPr>
            </w:pPr>
          </w:p>
        </w:tc>
      </w:tr>
      <w:tr w:rsidR="00BE36FB" w:rsidRPr="009B7B35" w14:paraId="7DDE79B0" w14:textId="77777777" w:rsidTr="001A7107">
        <w:tc>
          <w:tcPr>
            <w:tcW w:w="528" w:type="dxa"/>
            <w:vMerge w:val="restart"/>
          </w:tcPr>
          <w:p w14:paraId="5DC5C451" w14:textId="77777777" w:rsidR="00BE36FB" w:rsidRPr="009B7B35" w:rsidRDefault="00BE36FB" w:rsidP="001A7107">
            <w:pPr>
              <w:pStyle w:val="TableText"/>
              <w:rPr>
                <w:rFonts w:cs="Arial"/>
              </w:rPr>
            </w:pPr>
            <w:r w:rsidRPr="009B7B35">
              <w:rPr>
                <w:rFonts w:cs="Arial"/>
              </w:rPr>
              <w:t>4.4</w:t>
            </w:r>
          </w:p>
        </w:tc>
        <w:tc>
          <w:tcPr>
            <w:tcW w:w="1847" w:type="dxa"/>
            <w:gridSpan w:val="2"/>
            <w:vMerge w:val="restart"/>
          </w:tcPr>
          <w:p w14:paraId="070945E0" w14:textId="77777777" w:rsidR="00BE36FB" w:rsidRPr="009B7B35" w:rsidRDefault="00BE36FB" w:rsidP="001A7107">
            <w:pPr>
              <w:pStyle w:val="TableText"/>
              <w:rPr>
                <w:rFonts w:cs="Arial"/>
              </w:rPr>
            </w:pPr>
            <w:r w:rsidRPr="009B7B35">
              <w:rPr>
                <w:rFonts w:cs="Arial"/>
              </w:rPr>
              <w:t>Open space</w:t>
            </w:r>
          </w:p>
        </w:tc>
        <w:tc>
          <w:tcPr>
            <w:tcW w:w="2722" w:type="dxa"/>
          </w:tcPr>
          <w:p w14:paraId="09CA4BD0" w14:textId="77777777" w:rsidR="00BE36FB" w:rsidRPr="009B7B35" w:rsidRDefault="00BE36FB" w:rsidP="001A7107">
            <w:pPr>
              <w:pStyle w:val="TableText"/>
              <w:rPr>
                <w:rFonts w:cs="Arial"/>
              </w:rPr>
            </w:pPr>
            <w:r w:rsidRPr="009B7B35">
              <w:rPr>
                <w:rFonts w:cs="Arial"/>
              </w:rPr>
              <w:t>Minimum private open space of 16m</w:t>
            </w:r>
            <w:r w:rsidRPr="009B7B35">
              <w:rPr>
                <w:rFonts w:cs="Arial"/>
                <w:vertAlign w:val="superscript"/>
              </w:rPr>
              <w:t>2</w:t>
            </w:r>
            <w:r w:rsidRPr="009B7B35">
              <w:rPr>
                <w:rFonts w:cs="Arial"/>
              </w:rPr>
              <w:t xml:space="preserve"> per dwelling with a minimum dimension of 3m in any direction.</w:t>
            </w:r>
          </w:p>
        </w:tc>
        <w:tc>
          <w:tcPr>
            <w:tcW w:w="4314" w:type="dxa"/>
            <w:vMerge/>
            <w:tcBorders>
              <w:bottom w:val="nil"/>
              <w:right w:val="nil"/>
            </w:tcBorders>
          </w:tcPr>
          <w:p w14:paraId="30CB2F33" w14:textId="77777777" w:rsidR="00BE36FB" w:rsidRPr="009B7B35" w:rsidRDefault="00BE36FB" w:rsidP="001A7107">
            <w:pPr>
              <w:rPr>
                <w:rFonts w:cs="Arial"/>
                <w:sz w:val="20"/>
                <w:szCs w:val="20"/>
              </w:rPr>
            </w:pPr>
          </w:p>
        </w:tc>
      </w:tr>
      <w:tr w:rsidR="00BE36FB" w:rsidRPr="009B7B35" w14:paraId="2B6B9B00" w14:textId="77777777" w:rsidTr="001A7107">
        <w:tc>
          <w:tcPr>
            <w:tcW w:w="528" w:type="dxa"/>
            <w:vMerge/>
          </w:tcPr>
          <w:p w14:paraId="5AEF3DB0" w14:textId="77777777" w:rsidR="00BE36FB" w:rsidRPr="009B7B35" w:rsidRDefault="00BE36FB" w:rsidP="001A7107">
            <w:pPr>
              <w:pStyle w:val="TableText"/>
              <w:rPr>
                <w:rFonts w:cs="Arial"/>
              </w:rPr>
            </w:pPr>
          </w:p>
        </w:tc>
        <w:tc>
          <w:tcPr>
            <w:tcW w:w="1847" w:type="dxa"/>
            <w:gridSpan w:val="2"/>
            <w:vMerge/>
          </w:tcPr>
          <w:p w14:paraId="271E6061" w14:textId="77777777" w:rsidR="00BE36FB" w:rsidRPr="009B7B35" w:rsidRDefault="00BE36FB" w:rsidP="001A7107">
            <w:pPr>
              <w:pStyle w:val="TableText"/>
              <w:rPr>
                <w:rFonts w:cs="Arial"/>
              </w:rPr>
            </w:pPr>
          </w:p>
        </w:tc>
        <w:tc>
          <w:tcPr>
            <w:tcW w:w="2722" w:type="dxa"/>
          </w:tcPr>
          <w:p w14:paraId="5364421A" w14:textId="77777777" w:rsidR="00BE36FB" w:rsidRPr="009B7B35" w:rsidRDefault="00BE36FB" w:rsidP="001A7107">
            <w:pPr>
              <w:rPr>
                <w:rFonts w:cs="Arial"/>
                <w:sz w:val="20"/>
                <w:szCs w:val="20"/>
              </w:rPr>
            </w:pPr>
            <w:r w:rsidRPr="009B7B35">
              <w:rPr>
                <w:rFonts w:cs="Arial"/>
                <w:sz w:val="20"/>
                <w:szCs w:val="20"/>
              </w:rPr>
              <w:t>Ground level courtyards can be raised a maximum of 900mm above footpath level.</w:t>
            </w:r>
          </w:p>
        </w:tc>
        <w:tc>
          <w:tcPr>
            <w:tcW w:w="4314" w:type="dxa"/>
            <w:vMerge/>
            <w:tcBorders>
              <w:bottom w:val="nil"/>
              <w:right w:val="nil"/>
            </w:tcBorders>
          </w:tcPr>
          <w:p w14:paraId="4848C99E" w14:textId="77777777" w:rsidR="00BE36FB" w:rsidRPr="009B7B35" w:rsidRDefault="00BE36FB" w:rsidP="001A7107">
            <w:pPr>
              <w:rPr>
                <w:rFonts w:cs="Arial"/>
                <w:sz w:val="20"/>
                <w:szCs w:val="20"/>
              </w:rPr>
            </w:pPr>
          </w:p>
        </w:tc>
      </w:tr>
      <w:tr w:rsidR="00BE36FB" w:rsidRPr="009B7B35" w14:paraId="1011290D" w14:textId="77777777" w:rsidTr="001A7107">
        <w:tc>
          <w:tcPr>
            <w:tcW w:w="528" w:type="dxa"/>
            <w:vMerge/>
          </w:tcPr>
          <w:p w14:paraId="5A26185B" w14:textId="77777777" w:rsidR="00BE36FB" w:rsidRPr="009B7B35" w:rsidRDefault="00BE36FB" w:rsidP="001A7107">
            <w:pPr>
              <w:pStyle w:val="TableText"/>
              <w:rPr>
                <w:rFonts w:cs="Arial"/>
              </w:rPr>
            </w:pPr>
          </w:p>
        </w:tc>
        <w:tc>
          <w:tcPr>
            <w:tcW w:w="1847" w:type="dxa"/>
            <w:gridSpan w:val="2"/>
            <w:vMerge/>
          </w:tcPr>
          <w:p w14:paraId="02812E3C" w14:textId="77777777" w:rsidR="00BE36FB" w:rsidRPr="009B7B35" w:rsidRDefault="00BE36FB" w:rsidP="001A7107">
            <w:pPr>
              <w:pStyle w:val="TableText"/>
              <w:rPr>
                <w:rFonts w:cs="Arial"/>
              </w:rPr>
            </w:pPr>
          </w:p>
        </w:tc>
        <w:tc>
          <w:tcPr>
            <w:tcW w:w="2722" w:type="dxa"/>
          </w:tcPr>
          <w:p w14:paraId="30D758BD" w14:textId="77777777" w:rsidR="00BE36FB" w:rsidRPr="009B7B35" w:rsidRDefault="00BE36FB" w:rsidP="001A7107">
            <w:pPr>
              <w:rPr>
                <w:rFonts w:cs="Arial"/>
                <w:sz w:val="20"/>
                <w:szCs w:val="20"/>
              </w:rPr>
            </w:pPr>
            <w:r w:rsidRPr="009B7B35">
              <w:rPr>
                <w:rFonts w:cs="Arial"/>
                <w:sz w:val="20"/>
                <w:szCs w:val="20"/>
              </w:rPr>
              <w:t>Minimum communal open space of 20% of the site area which is open to the sky and with a minimum dimension of 5m in any direction.</w:t>
            </w:r>
          </w:p>
        </w:tc>
        <w:tc>
          <w:tcPr>
            <w:tcW w:w="4314" w:type="dxa"/>
            <w:vMerge/>
            <w:tcBorders>
              <w:bottom w:val="nil"/>
              <w:right w:val="nil"/>
            </w:tcBorders>
          </w:tcPr>
          <w:p w14:paraId="50741331" w14:textId="77777777" w:rsidR="00BE36FB" w:rsidRPr="009B7B35" w:rsidRDefault="00BE36FB" w:rsidP="001A7107">
            <w:pPr>
              <w:rPr>
                <w:rFonts w:cs="Arial"/>
                <w:sz w:val="20"/>
                <w:szCs w:val="20"/>
              </w:rPr>
            </w:pPr>
          </w:p>
        </w:tc>
      </w:tr>
      <w:tr w:rsidR="00BE36FB" w:rsidRPr="009B7B35" w14:paraId="57BE7BFA" w14:textId="77777777" w:rsidTr="001A7107">
        <w:trPr>
          <w:trHeight w:val="36"/>
        </w:trPr>
        <w:tc>
          <w:tcPr>
            <w:tcW w:w="528" w:type="dxa"/>
            <w:vMerge w:val="restart"/>
          </w:tcPr>
          <w:p w14:paraId="7D60A0ED" w14:textId="77777777" w:rsidR="00BE36FB" w:rsidRPr="009B7B35" w:rsidRDefault="00BE36FB">
            <w:pPr>
              <w:pStyle w:val="TableText"/>
              <w:rPr>
                <w:rFonts w:cs="Arial"/>
              </w:rPr>
            </w:pPr>
            <w:r w:rsidRPr="009B7B35">
              <w:rPr>
                <w:rFonts w:cs="Arial"/>
              </w:rPr>
              <w:t>4.5</w:t>
            </w:r>
          </w:p>
        </w:tc>
        <w:tc>
          <w:tcPr>
            <w:tcW w:w="1106" w:type="dxa"/>
            <w:vMerge w:val="restart"/>
          </w:tcPr>
          <w:p w14:paraId="7F0A8FB1" w14:textId="77777777" w:rsidR="00BE36FB" w:rsidRPr="009B7B35" w:rsidRDefault="00BE36FB">
            <w:pPr>
              <w:pStyle w:val="TableText"/>
              <w:rPr>
                <w:rFonts w:cs="Arial"/>
              </w:rPr>
            </w:pPr>
            <w:r w:rsidRPr="009B7B35">
              <w:rPr>
                <w:rFonts w:cs="Arial"/>
              </w:rPr>
              <w:t>Minimum setbacks</w:t>
            </w:r>
          </w:p>
        </w:tc>
        <w:tc>
          <w:tcPr>
            <w:tcW w:w="741" w:type="dxa"/>
          </w:tcPr>
          <w:p w14:paraId="53377335" w14:textId="77777777" w:rsidR="00BE36FB" w:rsidRPr="009B7B35" w:rsidRDefault="00BE36FB">
            <w:pPr>
              <w:pStyle w:val="TableText"/>
              <w:rPr>
                <w:rFonts w:cs="Arial"/>
              </w:rPr>
            </w:pPr>
            <w:r w:rsidRPr="009B7B35">
              <w:rPr>
                <w:rFonts w:cs="Arial"/>
              </w:rPr>
              <w:t>Front</w:t>
            </w:r>
          </w:p>
        </w:tc>
        <w:tc>
          <w:tcPr>
            <w:tcW w:w="2722" w:type="dxa"/>
          </w:tcPr>
          <w:p w14:paraId="114BA67A" w14:textId="77777777" w:rsidR="00BE36FB" w:rsidRPr="009B7B35" w:rsidRDefault="00BE36FB" w:rsidP="001A7107">
            <w:pPr>
              <w:pStyle w:val="TableText"/>
              <w:rPr>
                <w:rFonts w:cs="Arial"/>
              </w:rPr>
            </w:pPr>
            <w:r w:rsidRPr="009B7B35">
              <w:rPr>
                <w:rFonts w:cs="Arial"/>
              </w:rPr>
              <w:t>4m to main face of building (2m to OMP).</w:t>
            </w:r>
          </w:p>
        </w:tc>
        <w:tc>
          <w:tcPr>
            <w:tcW w:w="4314" w:type="dxa"/>
            <w:vMerge/>
            <w:tcBorders>
              <w:bottom w:val="nil"/>
              <w:right w:val="nil"/>
            </w:tcBorders>
          </w:tcPr>
          <w:p w14:paraId="1E3E5137" w14:textId="77777777" w:rsidR="00BE36FB" w:rsidRPr="009B7B35" w:rsidRDefault="00BE36FB" w:rsidP="001A7107">
            <w:pPr>
              <w:rPr>
                <w:rFonts w:cs="Arial"/>
                <w:sz w:val="20"/>
                <w:szCs w:val="20"/>
              </w:rPr>
            </w:pPr>
          </w:p>
        </w:tc>
      </w:tr>
      <w:tr w:rsidR="00BE36FB" w:rsidRPr="009B7B35" w14:paraId="26E20E87" w14:textId="77777777" w:rsidTr="001A7107">
        <w:tc>
          <w:tcPr>
            <w:tcW w:w="528" w:type="dxa"/>
            <w:vMerge/>
          </w:tcPr>
          <w:p w14:paraId="41A70D39" w14:textId="77777777" w:rsidR="00BE36FB" w:rsidRPr="009B7B35" w:rsidRDefault="00BE36FB">
            <w:pPr>
              <w:pStyle w:val="TableText"/>
              <w:rPr>
                <w:rFonts w:cs="Arial"/>
              </w:rPr>
            </w:pPr>
          </w:p>
        </w:tc>
        <w:tc>
          <w:tcPr>
            <w:tcW w:w="1106" w:type="dxa"/>
            <w:vMerge/>
          </w:tcPr>
          <w:p w14:paraId="40B310A9" w14:textId="77777777" w:rsidR="00BE36FB" w:rsidRPr="009B7B35" w:rsidRDefault="00BE36FB">
            <w:pPr>
              <w:pStyle w:val="TableText"/>
              <w:rPr>
                <w:rFonts w:cs="Arial"/>
              </w:rPr>
            </w:pPr>
          </w:p>
        </w:tc>
        <w:tc>
          <w:tcPr>
            <w:tcW w:w="741" w:type="dxa"/>
          </w:tcPr>
          <w:p w14:paraId="3092EBC7" w14:textId="77777777" w:rsidR="00BE36FB" w:rsidRPr="009B7B35" w:rsidRDefault="00BE36FB">
            <w:pPr>
              <w:pStyle w:val="TableText"/>
              <w:rPr>
                <w:rFonts w:cs="Arial"/>
              </w:rPr>
            </w:pPr>
            <w:r w:rsidRPr="009B7B35">
              <w:rPr>
                <w:rFonts w:cs="Arial"/>
              </w:rPr>
              <w:t>Rear</w:t>
            </w:r>
          </w:p>
        </w:tc>
        <w:tc>
          <w:tcPr>
            <w:tcW w:w="2722" w:type="dxa"/>
          </w:tcPr>
          <w:p w14:paraId="0F6BF69B" w14:textId="77777777" w:rsidR="00BE36FB" w:rsidRPr="009B7B35" w:rsidRDefault="00BE36FB" w:rsidP="001A7107">
            <w:pPr>
              <w:pStyle w:val="TableText"/>
              <w:rPr>
                <w:rFonts w:cs="Arial"/>
              </w:rPr>
            </w:pPr>
            <w:r w:rsidRPr="009B7B35">
              <w:rPr>
                <w:rFonts w:cs="Arial"/>
              </w:rPr>
              <w:t>9m to OMP (where not on a corner lot).</w:t>
            </w:r>
          </w:p>
        </w:tc>
        <w:tc>
          <w:tcPr>
            <w:tcW w:w="4314" w:type="dxa"/>
            <w:vMerge/>
            <w:tcBorders>
              <w:bottom w:val="nil"/>
              <w:right w:val="nil"/>
            </w:tcBorders>
          </w:tcPr>
          <w:p w14:paraId="3BE04C76" w14:textId="77777777" w:rsidR="00BE36FB" w:rsidRPr="009B7B35" w:rsidRDefault="00BE36FB" w:rsidP="001A7107">
            <w:pPr>
              <w:rPr>
                <w:rFonts w:cs="Arial"/>
                <w:sz w:val="20"/>
                <w:szCs w:val="20"/>
              </w:rPr>
            </w:pPr>
          </w:p>
        </w:tc>
      </w:tr>
      <w:tr w:rsidR="00BE36FB" w:rsidRPr="009B7B35" w14:paraId="33C68034" w14:textId="77777777" w:rsidTr="001A7107">
        <w:tc>
          <w:tcPr>
            <w:tcW w:w="528" w:type="dxa"/>
            <w:vMerge/>
          </w:tcPr>
          <w:p w14:paraId="49542BB5" w14:textId="77777777" w:rsidR="00BE36FB" w:rsidRPr="009B7B35" w:rsidRDefault="00BE36FB">
            <w:pPr>
              <w:pStyle w:val="TableText"/>
              <w:rPr>
                <w:rFonts w:cs="Arial"/>
              </w:rPr>
            </w:pPr>
          </w:p>
        </w:tc>
        <w:tc>
          <w:tcPr>
            <w:tcW w:w="1106" w:type="dxa"/>
            <w:vMerge/>
          </w:tcPr>
          <w:p w14:paraId="3D1D905A" w14:textId="77777777" w:rsidR="00BE36FB" w:rsidRPr="009B7B35" w:rsidRDefault="00BE36FB">
            <w:pPr>
              <w:pStyle w:val="TableText"/>
              <w:rPr>
                <w:rFonts w:cs="Arial"/>
              </w:rPr>
            </w:pPr>
          </w:p>
        </w:tc>
        <w:tc>
          <w:tcPr>
            <w:tcW w:w="741" w:type="dxa"/>
          </w:tcPr>
          <w:p w14:paraId="32379F1E" w14:textId="77777777" w:rsidR="00BE36FB" w:rsidRPr="009B7B35" w:rsidRDefault="00BE36FB">
            <w:pPr>
              <w:pStyle w:val="TableText"/>
              <w:rPr>
                <w:rFonts w:cs="Arial"/>
              </w:rPr>
            </w:pPr>
            <w:r w:rsidRPr="009B7B35">
              <w:rPr>
                <w:rFonts w:cs="Arial"/>
              </w:rPr>
              <w:t>Side</w:t>
            </w:r>
          </w:p>
        </w:tc>
        <w:tc>
          <w:tcPr>
            <w:tcW w:w="2722" w:type="dxa"/>
          </w:tcPr>
          <w:p w14:paraId="1AE0143F" w14:textId="77777777" w:rsidR="00BE36FB" w:rsidRPr="009B7B35" w:rsidRDefault="00BE36FB" w:rsidP="001A7107">
            <w:pPr>
              <w:pStyle w:val="TableText"/>
              <w:rPr>
                <w:rFonts w:cs="Arial"/>
              </w:rPr>
            </w:pPr>
            <w:r w:rsidRPr="009B7B35">
              <w:rPr>
                <w:rFonts w:cs="Arial"/>
              </w:rPr>
              <w:t>3m not including eaves (9m where balconies overlook side boundary).</w:t>
            </w:r>
          </w:p>
        </w:tc>
        <w:tc>
          <w:tcPr>
            <w:tcW w:w="4314" w:type="dxa"/>
            <w:vMerge/>
            <w:tcBorders>
              <w:bottom w:val="nil"/>
              <w:right w:val="nil"/>
            </w:tcBorders>
          </w:tcPr>
          <w:p w14:paraId="21758044" w14:textId="77777777" w:rsidR="00BE36FB" w:rsidRPr="009B7B35" w:rsidRDefault="00BE36FB" w:rsidP="001A7107">
            <w:pPr>
              <w:rPr>
                <w:rFonts w:cs="Arial"/>
                <w:sz w:val="20"/>
                <w:szCs w:val="20"/>
              </w:rPr>
            </w:pPr>
          </w:p>
        </w:tc>
      </w:tr>
      <w:tr w:rsidR="00BE36FB" w:rsidRPr="009B7B35" w14:paraId="6FCEEA81" w14:textId="77777777" w:rsidTr="001A7107">
        <w:tc>
          <w:tcPr>
            <w:tcW w:w="528" w:type="dxa"/>
          </w:tcPr>
          <w:p w14:paraId="61311A03" w14:textId="77777777" w:rsidR="00BE36FB" w:rsidRPr="009B7B35" w:rsidRDefault="00BE36FB">
            <w:pPr>
              <w:pStyle w:val="TableText"/>
              <w:rPr>
                <w:rFonts w:cs="Arial"/>
              </w:rPr>
            </w:pPr>
            <w:r w:rsidRPr="009B7B35">
              <w:rPr>
                <w:rFonts w:cs="Arial"/>
              </w:rPr>
              <w:t>4.6</w:t>
            </w:r>
          </w:p>
        </w:tc>
        <w:tc>
          <w:tcPr>
            <w:tcW w:w="1847" w:type="dxa"/>
            <w:gridSpan w:val="2"/>
          </w:tcPr>
          <w:p w14:paraId="33BFDE1A" w14:textId="77777777" w:rsidR="00BE36FB" w:rsidRPr="009B7B35" w:rsidRDefault="00BE36FB">
            <w:pPr>
              <w:pStyle w:val="TableText"/>
              <w:rPr>
                <w:rFonts w:cs="Arial"/>
              </w:rPr>
            </w:pPr>
            <w:r w:rsidRPr="009B7B35">
              <w:rPr>
                <w:rFonts w:cs="Arial"/>
              </w:rPr>
              <w:t>Built to boundary walls</w:t>
            </w:r>
          </w:p>
        </w:tc>
        <w:tc>
          <w:tcPr>
            <w:tcW w:w="2722" w:type="dxa"/>
          </w:tcPr>
          <w:p w14:paraId="62B84C55" w14:textId="77777777" w:rsidR="00BE36FB" w:rsidRPr="009B7B35" w:rsidRDefault="00BE36FB" w:rsidP="001A7107">
            <w:pPr>
              <w:pStyle w:val="TableText"/>
              <w:rPr>
                <w:rFonts w:cs="Arial"/>
              </w:rPr>
            </w:pPr>
            <w:r w:rsidRPr="009B7B35">
              <w:rPr>
                <w:rFonts w:cs="Arial"/>
              </w:rPr>
              <w:t>Limited to 1 side boundary and must contain no windows, openings or glazing.</w:t>
            </w:r>
          </w:p>
          <w:p w14:paraId="53553E42" w14:textId="77777777" w:rsidR="00BE36FB" w:rsidRPr="009B7B35" w:rsidRDefault="00BE36FB" w:rsidP="001A7107">
            <w:pPr>
              <w:pStyle w:val="TableText"/>
              <w:rPr>
                <w:rFonts w:cs="Arial"/>
              </w:rPr>
            </w:pPr>
            <w:r w:rsidRPr="009B7B35">
              <w:rPr>
                <w:rFonts w:cs="Arial"/>
              </w:rPr>
              <w:t>Maximum length 10m and maximum height 3.5m.</w:t>
            </w:r>
          </w:p>
        </w:tc>
        <w:tc>
          <w:tcPr>
            <w:tcW w:w="4314" w:type="dxa"/>
            <w:vMerge/>
            <w:tcBorders>
              <w:bottom w:val="nil"/>
              <w:right w:val="nil"/>
            </w:tcBorders>
          </w:tcPr>
          <w:p w14:paraId="08423A9A" w14:textId="77777777" w:rsidR="00BE36FB" w:rsidRPr="009B7B35" w:rsidRDefault="00BE36FB" w:rsidP="001A7107">
            <w:pPr>
              <w:rPr>
                <w:rFonts w:cs="Arial"/>
                <w:sz w:val="20"/>
                <w:szCs w:val="20"/>
              </w:rPr>
            </w:pPr>
          </w:p>
        </w:tc>
      </w:tr>
    </w:tbl>
    <w:p w14:paraId="7007386B"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600C4DE4" w14:textId="48362267" w:rsidR="00BE36FB" w:rsidRPr="009B7B35" w:rsidRDefault="00BE36FB" w:rsidP="00B2383D">
      <w:pPr>
        <w:pStyle w:val="Heading3"/>
        <w:keepLines/>
        <w:numPr>
          <w:ilvl w:val="2"/>
          <w:numId w:val="883"/>
        </w:numPr>
        <w:spacing w:before="240"/>
        <w:rPr>
          <w:rFonts w:ascii="Arial" w:hAnsi="Arial"/>
          <w:sz w:val="20"/>
          <w:szCs w:val="20"/>
        </w:rPr>
      </w:pPr>
      <w:bookmarkStart w:id="186" w:name="_Toc205367349"/>
      <w:r w:rsidRPr="009B7B35">
        <w:rPr>
          <w:rFonts w:ascii="Arial" w:hAnsi="Arial"/>
          <w:sz w:val="20"/>
          <w:szCs w:val="20"/>
        </w:rPr>
        <w:t>Character residential</w:t>
      </w:r>
      <w:bookmarkEnd w:id="186"/>
    </w:p>
    <w:p w14:paraId="531508C1"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68FDC7A7"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6AE12EF4"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5BD325F3" w14:textId="77777777" w:rsidR="00BE36FB" w:rsidRPr="009B7B35" w:rsidRDefault="00BE36FB" w:rsidP="00BE36FB">
      <w:pPr>
        <w:numPr>
          <w:ilvl w:val="0"/>
          <w:numId w:val="163"/>
        </w:numPr>
        <w:rPr>
          <w:rFonts w:ascii="Arial" w:hAnsi="Arial" w:cs="Arial"/>
          <w:sz w:val="20"/>
          <w:szCs w:val="20"/>
        </w:rPr>
      </w:pPr>
      <w:r w:rsidRPr="009B7B35">
        <w:rPr>
          <w:rFonts w:ascii="Arial" w:hAnsi="Arial" w:cs="Arial"/>
          <w:sz w:val="20"/>
          <w:szCs w:val="20"/>
        </w:rPr>
        <w:t>The purpose of the character residential zone code is to ensure that development recognises and respects the important scenic and heritage character of the Town of Seventeen Seventy and the natural landscape and existing coastal development character of the Springs Beach/Red Rock area, south of Agnes Water, by supporting a built form that:</w:t>
      </w:r>
    </w:p>
    <w:p w14:paraId="4E63B6EA" w14:textId="77777777"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Exemplifies the existing natural landscape and coastal character of these areas; and</w:t>
      </w:r>
    </w:p>
    <w:p w14:paraId="626D0E77" w14:textId="77777777"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Minimises visual impacts and prevents buildings from dominating the natural landscape; and.</w:t>
      </w:r>
    </w:p>
    <w:p w14:paraId="0CD0D4CF" w14:textId="77777777"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Is interspersed and sympathetically sited amongst the coastal landscape and bushland elements.</w:t>
      </w:r>
    </w:p>
    <w:p w14:paraId="4280BA0D" w14:textId="77777777" w:rsidR="00BE36FB" w:rsidRPr="009B7B35" w:rsidRDefault="00BE36FB" w:rsidP="00BE36FB">
      <w:pPr>
        <w:numPr>
          <w:ilvl w:val="0"/>
          <w:numId w:val="163"/>
        </w:numPr>
        <w:rPr>
          <w:rFonts w:ascii="Arial" w:hAnsi="Arial" w:cs="Arial"/>
          <w:sz w:val="20"/>
          <w:szCs w:val="20"/>
        </w:rPr>
      </w:pPr>
      <w:r w:rsidRPr="009B7B35">
        <w:rPr>
          <w:rFonts w:ascii="Arial" w:hAnsi="Arial" w:cs="Arial"/>
          <w:sz w:val="20"/>
          <w:szCs w:val="20"/>
        </w:rPr>
        <w:t>The purpose of the zone will be achieved through the following overall outcomes:</w:t>
      </w:r>
    </w:p>
    <w:p w14:paraId="5F6E6F0B" w14:textId="77777777"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Development recognises and protects the important scenic and heritage character by promoting the use of light-weight building materials, generous roof forms, building articulation and overhangs.</w:t>
      </w:r>
    </w:p>
    <w:p w14:paraId="2AA6EF89" w14:textId="77777777"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Development is in the form of individual detached buildings, small–scale in size and low–rise in height.</w:t>
      </w:r>
    </w:p>
    <w:p w14:paraId="61401BE1" w14:textId="77777777"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Development maximises the retention of existing native vegetation where possible.</w:t>
      </w:r>
    </w:p>
    <w:p w14:paraId="737A8105" w14:textId="77777777"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Development respects the topography of the locality by ensuring buildings follow the contours of the land and minimise disturbance of the natural ground form.</w:t>
      </w:r>
    </w:p>
    <w:p w14:paraId="3DB48771" w14:textId="77777777"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Development is designed to maximise energy efficiency and water conservation.</w:t>
      </w:r>
    </w:p>
    <w:p w14:paraId="51BCBFCF" w14:textId="77777777"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 xml:space="preserve">Non–residential uses may be supported where such uses provide for the day to– day needs of the immediate residential community, do not detract from the character, and do not undermine the viability of nearby centres. </w:t>
      </w:r>
    </w:p>
    <w:p w14:paraId="51174629" w14:textId="77777777"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Small scale short term accommodation may be appropriate to support tourism activities only where in an existing building.</w:t>
      </w:r>
    </w:p>
    <w:p w14:paraId="04EB6432" w14:textId="77777777"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Development responds to land constraints including topography, limited access, bushfire and flooding constraints.</w:t>
      </w:r>
    </w:p>
    <w:p w14:paraId="556F88B6" w14:textId="77777777" w:rsidR="00BE36FB" w:rsidRPr="009B7B35" w:rsidRDefault="00BE36FB" w:rsidP="00BE36FB">
      <w:pPr>
        <w:numPr>
          <w:ilvl w:val="1"/>
          <w:numId w:val="163"/>
        </w:numPr>
        <w:rPr>
          <w:rFonts w:ascii="Arial" w:hAnsi="Arial" w:cs="Arial"/>
          <w:sz w:val="20"/>
          <w:szCs w:val="20"/>
        </w:rPr>
      </w:pPr>
      <w:r w:rsidRPr="009B7B35">
        <w:rPr>
          <w:rFonts w:ascii="Arial" w:hAnsi="Arial" w:cs="Arial"/>
          <w:sz w:val="20"/>
          <w:szCs w:val="20"/>
        </w:rPr>
        <w:t>Development mitigates any adverse impacts on adjoining areas of environmental significance, including creeks, gullies, waterways, wetlands, coastal areas, habitats, vegetation and bushland through location, design, operation and management requirements.</w:t>
      </w:r>
    </w:p>
    <w:p w14:paraId="32DC90F3"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52B18428" w14:textId="77777777" w:rsidR="00BE36FB" w:rsidRPr="009B7B35" w:rsidRDefault="00BE36FB" w:rsidP="00B2383D">
      <w:pPr>
        <w:pStyle w:val="Heading5"/>
        <w:numPr>
          <w:ilvl w:val="0"/>
          <w:numId w:val="0"/>
        </w:numPr>
        <w:rPr>
          <w:rFonts w:cs="Arial"/>
          <w:szCs w:val="20"/>
        </w:rPr>
      </w:pPr>
      <w:r w:rsidRPr="009B7B35">
        <w:rPr>
          <w:rFonts w:cs="Arial"/>
          <w:szCs w:val="20"/>
        </w:rPr>
        <w:t>Table 6.2.4.3.1—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14:paraId="6D97D4FF"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7F27D01D"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3567E3B8"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61D671DB" w14:textId="77777777" w:rsidTr="001A7107">
        <w:trPr>
          <w:cantSplit/>
        </w:trPr>
        <w:tc>
          <w:tcPr>
            <w:tcW w:w="9356" w:type="dxa"/>
            <w:gridSpan w:val="2"/>
            <w:shd w:val="clear" w:color="auto" w:fill="BFBFBF" w:themeFill="background1" w:themeFillShade="BF"/>
          </w:tcPr>
          <w:p w14:paraId="74D31B97"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0D6AA4B0" w14:textId="77777777" w:rsidTr="001A7107">
        <w:tc>
          <w:tcPr>
            <w:tcW w:w="4678" w:type="dxa"/>
            <w:vMerge w:val="restart"/>
          </w:tcPr>
          <w:p w14:paraId="7ADABE17" w14:textId="77777777" w:rsidR="00BE36FB" w:rsidRPr="009B7B35" w:rsidRDefault="00BE36FB" w:rsidP="001A7107">
            <w:pPr>
              <w:pStyle w:val="TableText"/>
              <w:rPr>
                <w:rFonts w:cs="Arial"/>
                <w:b/>
                <w:bCs/>
              </w:rPr>
            </w:pPr>
            <w:r w:rsidRPr="009B7B35">
              <w:rPr>
                <w:rFonts w:cs="Arial"/>
                <w:b/>
                <w:bCs/>
              </w:rPr>
              <w:t>PO1</w:t>
            </w:r>
          </w:p>
          <w:p w14:paraId="34BB68E6" w14:textId="77777777" w:rsidR="00BE36FB" w:rsidRPr="009B7B35" w:rsidRDefault="00BE36FB" w:rsidP="001A7107">
            <w:pPr>
              <w:pStyle w:val="TableText"/>
              <w:rPr>
                <w:rFonts w:cs="Arial"/>
              </w:rPr>
            </w:pPr>
            <w:r w:rsidRPr="009B7B35">
              <w:rPr>
                <w:rFonts w:cs="Arial"/>
              </w:rPr>
              <w:t>Development is:</w:t>
            </w:r>
          </w:p>
          <w:p w14:paraId="14B412CE" w14:textId="77777777" w:rsidR="00BE36FB" w:rsidRPr="009B7B35" w:rsidRDefault="00BE36FB" w:rsidP="00BE36FB">
            <w:pPr>
              <w:pStyle w:val="TableText"/>
              <w:numPr>
                <w:ilvl w:val="0"/>
                <w:numId w:val="238"/>
              </w:numPr>
              <w:rPr>
                <w:rFonts w:cs="Arial"/>
              </w:rPr>
            </w:pPr>
            <w:r w:rsidRPr="009B7B35">
              <w:rPr>
                <w:rFonts w:cs="Arial"/>
              </w:rPr>
              <w:t>ancillary to the primary use, and</w:t>
            </w:r>
          </w:p>
          <w:p w14:paraId="5B4214BE" w14:textId="77777777" w:rsidR="00BE36FB" w:rsidRPr="009B7B35" w:rsidRDefault="00BE36FB" w:rsidP="00BE36FB">
            <w:pPr>
              <w:pStyle w:val="TableText"/>
              <w:numPr>
                <w:ilvl w:val="0"/>
                <w:numId w:val="238"/>
              </w:numPr>
              <w:rPr>
                <w:rFonts w:cs="Arial"/>
              </w:rPr>
            </w:pPr>
            <w:r w:rsidRPr="009B7B35">
              <w:rPr>
                <w:rFonts w:cs="Arial"/>
              </w:rPr>
              <w:t>does not compromise the low density character of the locality.</w:t>
            </w:r>
          </w:p>
        </w:tc>
        <w:tc>
          <w:tcPr>
            <w:tcW w:w="4678" w:type="dxa"/>
          </w:tcPr>
          <w:p w14:paraId="1122A7CD" w14:textId="77777777" w:rsidR="00BE36FB" w:rsidRPr="009B7B35" w:rsidRDefault="00BE36FB" w:rsidP="001A7107">
            <w:pPr>
              <w:pStyle w:val="TableText"/>
              <w:rPr>
                <w:rFonts w:cs="Arial"/>
                <w:b/>
                <w:bCs/>
              </w:rPr>
            </w:pPr>
            <w:r w:rsidRPr="009B7B35">
              <w:rPr>
                <w:rFonts w:cs="Arial"/>
                <w:b/>
                <w:bCs/>
              </w:rPr>
              <w:t>AO1.1</w:t>
            </w:r>
          </w:p>
          <w:p w14:paraId="798C10BA" w14:textId="77777777"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14:paraId="1B3646F1" w14:textId="77777777" w:rsidTr="001A7107">
        <w:tc>
          <w:tcPr>
            <w:tcW w:w="4678" w:type="dxa"/>
            <w:vMerge/>
          </w:tcPr>
          <w:p w14:paraId="4F3CA3D1" w14:textId="77777777" w:rsidR="00BE36FB" w:rsidRPr="009B7B35" w:rsidRDefault="00BE36FB" w:rsidP="001A7107">
            <w:pPr>
              <w:pStyle w:val="TableText"/>
              <w:rPr>
                <w:rFonts w:cs="Arial"/>
              </w:rPr>
            </w:pPr>
          </w:p>
        </w:tc>
        <w:tc>
          <w:tcPr>
            <w:tcW w:w="4678" w:type="dxa"/>
          </w:tcPr>
          <w:p w14:paraId="64656563" w14:textId="77777777" w:rsidR="00BE36FB" w:rsidRPr="009B7B35" w:rsidRDefault="00BE36FB" w:rsidP="001A7107">
            <w:pPr>
              <w:pStyle w:val="TableText"/>
              <w:rPr>
                <w:rFonts w:cs="Arial"/>
                <w:b/>
                <w:bCs/>
              </w:rPr>
            </w:pPr>
            <w:r w:rsidRPr="009B7B35">
              <w:rPr>
                <w:rFonts w:cs="Arial"/>
                <w:b/>
                <w:bCs/>
              </w:rPr>
              <w:t>AO1.2</w:t>
            </w:r>
          </w:p>
          <w:p w14:paraId="20EF665A" w14:textId="77777777" w:rsidR="00BE36FB" w:rsidRPr="009B7B35" w:rsidRDefault="00BE36FB" w:rsidP="001A7107">
            <w:pPr>
              <w:pStyle w:val="TableText"/>
              <w:rPr>
                <w:rFonts w:cs="Arial"/>
              </w:rPr>
            </w:pPr>
            <w:r w:rsidRPr="009B7B35">
              <w:rPr>
                <w:rFonts w:cs="Arial"/>
              </w:rPr>
              <w:t>Development is a maximum of 100m</w:t>
            </w:r>
            <w:r w:rsidRPr="009B7B35">
              <w:rPr>
                <w:rFonts w:cs="Arial"/>
                <w:vertAlign w:val="superscript"/>
              </w:rPr>
              <w:t>2</w:t>
            </w:r>
            <w:r w:rsidRPr="009B7B35">
              <w:rPr>
                <w:rFonts w:cs="Arial"/>
              </w:rPr>
              <w:t xml:space="preserve"> GFA.</w:t>
            </w:r>
          </w:p>
        </w:tc>
      </w:tr>
      <w:tr w:rsidR="00BE36FB" w:rsidRPr="009B7B35" w14:paraId="64543EA0" w14:textId="77777777" w:rsidTr="001A7107">
        <w:tc>
          <w:tcPr>
            <w:tcW w:w="9356" w:type="dxa"/>
            <w:gridSpan w:val="2"/>
            <w:shd w:val="clear" w:color="auto" w:fill="BFBFBF" w:themeFill="background1" w:themeFillShade="BF"/>
          </w:tcPr>
          <w:p w14:paraId="0C4C4087" w14:textId="77777777"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14:paraId="769CCF79" w14:textId="77777777" w:rsidTr="001A7107">
        <w:tc>
          <w:tcPr>
            <w:tcW w:w="4678" w:type="dxa"/>
            <w:vMerge w:val="restart"/>
          </w:tcPr>
          <w:p w14:paraId="0EF37A30" w14:textId="77777777" w:rsidR="00BE36FB" w:rsidRPr="009B7B35" w:rsidRDefault="00BE36FB" w:rsidP="001A7107">
            <w:pPr>
              <w:pStyle w:val="TableText"/>
              <w:rPr>
                <w:rFonts w:cs="Arial"/>
                <w:b/>
                <w:bCs/>
              </w:rPr>
            </w:pPr>
            <w:r w:rsidRPr="009B7B35">
              <w:rPr>
                <w:rFonts w:cs="Arial"/>
                <w:b/>
                <w:bCs/>
              </w:rPr>
              <w:t>PO</w:t>
            </w:r>
            <w:r w:rsidRPr="009B7B35">
              <w:rPr>
                <w:rFonts w:cs="Arial"/>
                <w:b/>
              </w:rPr>
              <w:t>2</w:t>
            </w:r>
          </w:p>
          <w:p w14:paraId="2DA332CB" w14:textId="77777777" w:rsidR="00BE36FB" w:rsidRPr="009B7B35" w:rsidRDefault="00BE36FB" w:rsidP="001A7107">
            <w:pPr>
              <w:pStyle w:val="TableText"/>
              <w:rPr>
                <w:rFonts w:cs="Arial"/>
              </w:rPr>
            </w:pPr>
            <w:r w:rsidRPr="009B7B35">
              <w:rPr>
                <w:rFonts w:cs="Arial"/>
              </w:rPr>
              <w:t>Buildings are:</w:t>
            </w:r>
          </w:p>
          <w:p w14:paraId="68E067CA" w14:textId="77777777" w:rsidR="00BE36FB" w:rsidRPr="009B7B35" w:rsidRDefault="00BE36FB" w:rsidP="00BE36FB">
            <w:pPr>
              <w:pStyle w:val="TableText"/>
              <w:numPr>
                <w:ilvl w:val="0"/>
                <w:numId w:val="234"/>
              </w:numPr>
              <w:rPr>
                <w:rFonts w:cs="Arial"/>
              </w:rPr>
            </w:pPr>
            <w:r w:rsidRPr="009B7B35">
              <w:rPr>
                <w:rFonts w:cs="Arial"/>
              </w:rPr>
              <w:t>low rise</w:t>
            </w:r>
          </w:p>
          <w:p w14:paraId="03FAAC9E" w14:textId="77777777" w:rsidR="00BE36FB" w:rsidRPr="009B7B35" w:rsidRDefault="00BE36FB" w:rsidP="00BE36FB">
            <w:pPr>
              <w:pStyle w:val="TableText"/>
              <w:numPr>
                <w:ilvl w:val="0"/>
                <w:numId w:val="234"/>
              </w:numPr>
              <w:rPr>
                <w:rFonts w:cs="Arial"/>
              </w:rPr>
            </w:pPr>
            <w:r w:rsidRPr="009B7B35">
              <w:rPr>
                <w:rFonts w:cs="Arial"/>
              </w:rPr>
              <w:t>low density</w:t>
            </w:r>
          </w:p>
          <w:p w14:paraId="42BCE305" w14:textId="77777777" w:rsidR="00BE36FB" w:rsidRPr="009B7B35" w:rsidRDefault="00BE36FB" w:rsidP="00BE36FB">
            <w:pPr>
              <w:pStyle w:val="TableText"/>
              <w:numPr>
                <w:ilvl w:val="0"/>
                <w:numId w:val="234"/>
              </w:numPr>
              <w:rPr>
                <w:rFonts w:cs="Arial"/>
              </w:rPr>
            </w:pPr>
            <w:r w:rsidRPr="009B7B35">
              <w:rPr>
                <w:rFonts w:cs="Arial"/>
              </w:rPr>
              <w:t>of a size and scale that ensures the built form does not dominate natural landscape values, and</w:t>
            </w:r>
          </w:p>
          <w:p w14:paraId="635E0471" w14:textId="77777777" w:rsidR="00BE36FB" w:rsidRPr="009B7B35" w:rsidRDefault="00BE36FB" w:rsidP="00BE36FB">
            <w:pPr>
              <w:pStyle w:val="TableText"/>
              <w:numPr>
                <w:ilvl w:val="0"/>
                <w:numId w:val="234"/>
              </w:numPr>
              <w:rPr>
                <w:rFonts w:cs="Arial"/>
              </w:rPr>
            </w:pPr>
            <w:r w:rsidRPr="009B7B35">
              <w:rPr>
                <w:rFonts w:cs="Arial"/>
              </w:rPr>
              <w:t>designed and located so as not to adversely impact on the coastal and visual character of the area.</w:t>
            </w:r>
          </w:p>
        </w:tc>
        <w:tc>
          <w:tcPr>
            <w:tcW w:w="4678" w:type="dxa"/>
          </w:tcPr>
          <w:p w14:paraId="28DD43C9" w14:textId="77777777" w:rsidR="00BE36FB" w:rsidRPr="009B7B35" w:rsidRDefault="00BE36FB" w:rsidP="001A7107">
            <w:pPr>
              <w:pStyle w:val="TableText"/>
              <w:rPr>
                <w:rFonts w:cs="Arial"/>
                <w:b/>
                <w:bCs/>
              </w:rPr>
            </w:pPr>
            <w:r w:rsidRPr="009B7B35">
              <w:rPr>
                <w:rFonts w:cs="Arial"/>
                <w:b/>
                <w:bCs/>
              </w:rPr>
              <w:t>AO</w:t>
            </w:r>
            <w:r w:rsidRPr="009B7B35">
              <w:rPr>
                <w:rFonts w:cs="Arial"/>
                <w:b/>
              </w:rPr>
              <w:t>2</w:t>
            </w:r>
            <w:r w:rsidRPr="009B7B35">
              <w:rPr>
                <w:rFonts w:cs="Arial"/>
                <w:b/>
                <w:bCs/>
              </w:rPr>
              <w:t>.1</w:t>
            </w:r>
          </w:p>
          <w:p w14:paraId="4B7E3C9A" w14:textId="77777777" w:rsidR="00BE36FB" w:rsidRPr="009B7B35" w:rsidRDefault="00BE36FB" w:rsidP="001A7107">
            <w:pPr>
              <w:pStyle w:val="TableText"/>
              <w:rPr>
                <w:rFonts w:cs="Arial"/>
              </w:rPr>
            </w:pPr>
            <w:r w:rsidRPr="009B7B35">
              <w:rPr>
                <w:rFonts w:cs="Arial"/>
              </w:rPr>
              <w:t>Building height does not:</w:t>
            </w:r>
          </w:p>
          <w:p w14:paraId="44E7BDD5" w14:textId="77777777" w:rsidR="00BE36FB" w:rsidRPr="009B7B35" w:rsidRDefault="00BE36FB" w:rsidP="00BE36FB">
            <w:pPr>
              <w:pStyle w:val="TableText"/>
              <w:numPr>
                <w:ilvl w:val="0"/>
                <w:numId w:val="235"/>
              </w:numPr>
              <w:rPr>
                <w:rFonts w:cs="Arial"/>
              </w:rPr>
            </w:pPr>
            <w:r w:rsidRPr="009B7B35">
              <w:rPr>
                <w:rFonts w:cs="Arial"/>
              </w:rPr>
              <w:t>exceed 8.5m and 2 storeys, and</w:t>
            </w:r>
          </w:p>
          <w:p w14:paraId="096A5EB6" w14:textId="77777777" w:rsidR="00BE36FB" w:rsidRPr="009B7B35" w:rsidRDefault="00BE36FB" w:rsidP="00BE36FB">
            <w:pPr>
              <w:pStyle w:val="TableText"/>
              <w:numPr>
                <w:ilvl w:val="0"/>
                <w:numId w:val="235"/>
              </w:numPr>
              <w:rPr>
                <w:rFonts w:cs="Arial"/>
              </w:rPr>
            </w:pPr>
            <w:r w:rsidRPr="009B7B35">
              <w:rPr>
                <w:rFonts w:cs="Arial"/>
              </w:rPr>
              <w:t>protrude above any horizon, ridge or spur line when viewed from any place on the coastline (beach or headlands) or from the ocean.</w:t>
            </w:r>
          </w:p>
          <w:p w14:paraId="50C026C9" w14:textId="77777777" w:rsidR="00BE36FB" w:rsidRPr="009B7B35" w:rsidRDefault="00BE36FB">
            <w:pPr>
              <w:pStyle w:val="Notes"/>
              <w:rPr>
                <w:rFonts w:cs="Arial"/>
                <w:sz w:val="20"/>
                <w:szCs w:val="20"/>
              </w:rPr>
            </w:pPr>
            <w:r w:rsidRPr="009B7B35">
              <w:rPr>
                <w:rFonts w:cs="Arial"/>
                <w:sz w:val="20"/>
                <w:szCs w:val="20"/>
              </w:rPr>
              <w:t>Note—Refer also to Diagram 6.2.4.3.1—Character dwelling house.</w:t>
            </w:r>
          </w:p>
        </w:tc>
      </w:tr>
      <w:tr w:rsidR="00BE36FB" w:rsidRPr="009B7B35" w14:paraId="4B946703" w14:textId="77777777" w:rsidTr="001A7107">
        <w:trPr>
          <w:cantSplit/>
        </w:trPr>
        <w:tc>
          <w:tcPr>
            <w:tcW w:w="4678" w:type="dxa"/>
            <w:vMerge/>
          </w:tcPr>
          <w:p w14:paraId="78D048B8" w14:textId="77777777" w:rsidR="00BE36FB" w:rsidRPr="009B7B35" w:rsidRDefault="00BE36FB" w:rsidP="001A7107">
            <w:pPr>
              <w:pStyle w:val="TableText"/>
              <w:rPr>
                <w:rFonts w:cs="Arial"/>
              </w:rPr>
            </w:pPr>
          </w:p>
        </w:tc>
        <w:tc>
          <w:tcPr>
            <w:tcW w:w="4678" w:type="dxa"/>
          </w:tcPr>
          <w:p w14:paraId="6982AD1B" w14:textId="77777777" w:rsidR="00BE36FB" w:rsidRPr="009B7B35" w:rsidRDefault="00BE36FB" w:rsidP="001A7107">
            <w:pPr>
              <w:pStyle w:val="TableText"/>
              <w:rPr>
                <w:rFonts w:cs="Arial"/>
                <w:b/>
                <w:bCs/>
              </w:rPr>
            </w:pPr>
            <w:r w:rsidRPr="009B7B35">
              <w:rPr>
                <w:rFonts w:cs="Arial"/>
                <w:b/>
                <w:bCs/>
              </w:rPr>
              <w:t>AO</w:t>
            </w:r>
            <w:r w:rsidRPr="009B7B35">
              <w:rPr>
                <w:rFonts w:cs="Arial"/>
                <w:b/>
              </w:rPr>
              <w:t>2</w:t>
            </w:r>
            <w:r w:rsidRPr="009B7B35">
              <w:rPr>
                <w:rFonts w:cs="Arial"/>
                <w:b/>
                <w:bCs/>
              </w:rPr>
              <w:t>.2</w:t>
            </w:r>
          </w:p>
          <w:p w14:paraId="5537E529" w14:textId="77777777" w:rsidR="00BE36FB" w:rsidRPr="009B7B35" w:rsidRDefault="00BE36FB" w:rsidP="001A7107">
            <w:pPr>
              <w:pStyle w:val="TableText"/>
              <w:rPr>
                <w:rFonts w:cs="Arial"/>
              </w:rPr>
            </w:pPr>
            <w:r w:rsidRPr="009B7B35">
              <w:rPr>
                <w:rFonts w:cs="Arial"/>
              </w:rPr>
              <w:t>The floor level of the upper most habitable level is no greater than 5.1m above ground level at any point.</w:t>
            </w:r>
          </w:p>
          <w:p w14:paraId="5C5F3580" w14:textId="77777777" w:rsidR="00BE36FB" w:rsidRPr="009B7B35" w:rsidRDefault="00BE36FB" w:rsidP="001A7107">
            <w:pPr>
              <w:pStyle w:val="Notes"/>
              <w:rPr>
                <w:rFonts w:cs="Arial"/>
                <w:sz w:val="20"/>
                <w:szCs w:val="20"/>
              </w:rPr>
            </w:pPr>
            <w:r w:rsidRPr="009B7B35">
              <w:rPr>
                <w:rFonts w:cs="Arial"/>
                <w:sz w:val="20"/>
                <w:szCs w:val="20"/>
              </w:rPr>
              <w:t>Note—Refer also to Diagram 6.2.4.3.1—Character dwelling house.</w:t>
            </w:r>
          </w:p>
        </w:tc>
      </w:tr>
      <w:tr w:rsidR="00BE36FB" w:rsidRPr="009B7B35" w14:paraId="29D13D80" w14:textId="77777777" w:rsidTr="001A7107">
        <w:trPr>
          <w:cantSplit/>
        </w:trPr>
        <w:tc>
          <w:tcPr>
            <w:tcW w:w="4678" w:type="dxa"/>
            <w:vMerge/>
          </w:tcPr>
          <w:p w14:paraId="1740AD11" w14:textId="77777777" w:rsidR="00BE36FB" w:rsidRPr="009B7B35" w:rsidRDefault="00BE36FB" w:rsidP="001A7107">
            <w:pPr>
              <w:pStyle w:val="TableText"/>
              <w:rPr>
                <w:rFonts w:cs="Arial"/>
              </w:rPr>
            </w:pPr>
          </w:p>
        </w:tc>
        <w:tc>
          <w:tcPr>
            <w:tcW w:w="4678" w:type="dxa"/>
          </w:tcPr>
          <w:p w14:paraId="273C29E3" w14:textId="77777777" w:rsidR="00BE36FB" w:rsidRPr="009B7B35" w:rsidRDefault="00BE36FB" w:rsidP="001A7107">
            <w:pPr>
              <w:pStyle w:val="TableText"/>
              <w:rPr>
                <w:rFonts w:cs="Arial"/>
                <w:b/>
                <w:bCs/>
              </w:rPr>
            </w:pPr>
            <w:r w:rsidRPr="009B7B35">
              <w:rPr>
                <w:rFonts w:cs="Arial"/>
                <w:b/>
                <w:bCs/>
              </w:rPr>
              <w:t>AO</w:t>
            </w:r>
            <w:r w:rsidRPr="009B7B35">
              <w:rPr>
                <w:rFonts w:cs="Arial"/>
                <w:b/>
              </w:rPr>
              <w:t>2</w:t>
            </w:r>
            <w:r w:rsidRPr="009B7B35">
              <w:rPr>
                <w:rFonts w:cs="Arial"/>
                <w:b/>
                <w:bCs/>
              </w:rPr>
              <w:t>.3</w:t>
            </w:r>
          </w:p>
          <w:p w14:paraId="4A1FB298" w14:textId="77777777" w:rsidR="00BE36FB" w:rsidRPr="009B7B35" w:rsidRDefault="00BE36FB" w:rsidP="001A7107">
            <w:pPr>
              <w:pStyle w:val="TableText"/>
              <w:rPr>
                <w:rFonts w:cs="Arial"/>
              </w:rPr>
            </w:pPr>
            <w:r w:rsidRPr="009B7B35">
              <w:rPr>
                <w:rFonts w:cs="Arial"/>
              </w:rPr>
              <w:t>The floor of the first habitable level including decks and verandahs is no greater than 3m above ground level at any point.</w:t>
            </w:r>
          </w:p>
          <w:p w14:paraId="3D1355D9" w14:textId="77777777" w:rsidR="00BE36FB" w:rsidRPr="009B7B35" w:rsidRDefault="00BE36FB" w:rsidP="001A7107">
            <w:pPr>
              <w:pStyle w:val="Notes"/>
              <w:rPr>
                <w:rFonts w:cs="Arial"/>
                <w:sz w:val="20"/>
                <w:szCs w:val="20"/>
              </w:rPr>
            </w:pPr>
            <w:r w:rsidRPr="009B7B35">
              <w:rPr>
                <w:rFonts w:cs="Arial"/>
                <w:sz w:val="20"/>
                <w:szCs w:val="20"/>
              </w:rPr>
              <w:t>Note—Refer also to Diagram 6.2.4.3.1—Character dwelling house.</w:t>
            </w:r>
          </w:p>
        </w:tc>
      </w:tr>
      <w:tr w:rsidR="00BE36FB" w:rsidRPr="009B7B35" w14:paraId="3BF9E3BF" w14:textId="77777777" w:rsidTr="001A7107">
        <w:trPr>
          <w:cantSplit/>
        </w:trPr>
        <w:tc>
          <w:tcPr>
            <w:tcW w:w="4678" w:type="dxa"/>
            <w:vMerge/>
          </w:tcPr>
          <w:p w14:paraId="5B311EE8" w14:textId="77777777" w:rsidR="00BE36FB" w:rsidRPr="009B7B35" w:rsidRDefault="00BE36FB" w:rsidP="001A7107">
            <w:pPr>
              <w:pStyle w:val="TableText"/>
              <w:rPr>
                <w:rFonts w:cs="Arial"/>
              </w:rPr>
            </w:pPr>
          </w:p>
        </w:tc>
        <w:tc>
          <w:tcPr>
            <w:tcW w:w="4678" w:type="dxa"/>
          </w:tcPr>
          <w:p w14:paraId="067B8818" w14:textId="77777777" w:rsidR="00BE36FB" w:rsidRPr="009B7B35" w:rsidRDefault="00BE36FB" w:rsidP="001A7107">
            <w:pPr>
              <w:pStyle w:val="TableText"/>
              <w:rPr>
                <w:rFonts w:cs="Arial"/>
                <w:b/>
                <w:bCs/>
              </w:rPr>
            </w:pPr>
            <w:r w:rsidRPr="009B7B35">
              <w:rPr>
                <w:rFonts w:cs="Arial"/>
                <w:b/>
                <w:bCs/>
              </w:rPr>
              <w:t>AO</w:t>
            </w:r>
            <w:r w:rsidRPr="009B7B35">
              <w:rPr>
                <w:rFonts w:cs="Arial"/>
                <w:b/>
              </w:rPr>
              <w:t>2</w:t>
            </w:r>
            <w:r w:rsidRPr="009B7B35">
              <w:rPr>
                <w:rFonts w:cs="Arial"/>
                <w:b/>
                <w:bCs/>
              </w:rPr>
              <w:t>.4</w:t>
            </w:r>
          </w:p>
          <w:p w14:paraId="4C20C414" w14:textId="77777777" w:rsidR="00BE36FB" w:rsidRPr="009B7B35" w:rsidRDefault="00BE36FB" w:rsidP="001A7107">
            <w:pPr>
              <w:pStyle w:val="TableText"/>
              <w:rPr>
                <w:rFonts w:cs="Arial"/>
              </w:rPr>
            </w:pPr>
            <w:r w:rsidRPr="009B7B35">
              <w:rPr>
                <w:rFonts w:cs="Arial"/>
              </w:rPr>
              <w:t>The maximum footprint for all buildings including any outbuildings, swimming pools or other structures is:</w:t>
            </w:r>
          </w:p>
          <w:p w14:paraId="200F186C" w14:textId="77777777" w:rsidR="00BE36FB" w:rsidRPr="009B7B35" w:rsidRDefault="00BE36FB" w:rsidP="00BE36FB">
            <w:pPr>
              <w:pStyle w:val="TableText"/>
              <w:numPr>
                <w:ilvl w:val="0"/>
                <w:numId w:val="236"/>
              </w:numPr>
              <w:rPr>
                <w:rFonts w:cs="Arial"/>
              </w:rPr>
            </w:pPr>
            <w:r w:rsidRPr="009B7B35">
              <w:rPr>
                <w:rFonts w:cs="Arial"/>
              </w:rPr>
              <w:t>400m</w:t>
            </w:r>
            <w:r w:rsidRPr="009B7B35">
              <w:rPr>
                <w:rFonts w:cs="Arial"/>
                <w:vertAlign w:val="superscript"/>
              </w:rPr>
              <w:t>2</w:t>
            </w:r>
            <w:r w:rsidRPr="009B7B35">
              <w:rPr>
                <w:rFonts w:cs="Arial"/>
              </w:rPr>
              <w:t xml:space="preserve"> on lot sizes 800m</w:t>
            </w:r>
            <w:r w:rsidRPr="009B7B35">
              <w:rPr>
                <w:rFonts w:cs="Arial"/>
                <w:vertAlign w:val="superscript"/>
              </w:rPr>
              <w:t>2</w:t>
            </w:r>
            <w:r w:rsidRPr="009B7B35">
              <w:rPr>
                <w:rFonts w:cs="Arial"/>
              </w:rPr>
              <w:t xml:space="preserve"> – 1499m</w:t>
            </w:r>
            <w:r w:rsidRPr="009B7B35">
              <w:rPr>
                <w:rFonts w:cs="Arial"/>
                <w:vertAlign w:val="superscript"/>
              </w:rPr>
              <w:t>2</w:t>
            </w:r>
            <w:r w:rsidRPr="009B7B35">
              <w:rPr>
                <w:rFonts w:cs="Arial"/>
              </w:rPr>
              <w:t>, or</w:t>
            </w:r>
          </w:p>
          <w:p w14:paraId="7E28A2F3" w14:textId="77777777" w:rsidR="00BE36FB" w:rsidRPr="009B7B35" w:rsidRDefault="00BE36FB" w:rsidP="00BE36FB">
            <w:pPr>
              <w:pStyle w:val="TableText"/>
              <w:numPr>
                <w:ilvl w:val="0"/>
                <w:numId w:val="236"/>
              </w:numPr>
              <w:rPr>
                <w:rFonts w:cs="Arial"/>
              </w:rPr>
            </w:pPr>
            <w:r w:rsidRPr="009B7B35">
              <w:rPr>
                <w:rFonts w:cs="Arial"/>
              </w:rPr>
              <w:t>450m</w:t>
            </w:r>
            <w:r w:rsidRPr="009B7B35">
              <w:rPr>
                <w:rFonts w:cs="Arial"/>
                <w:vertAlign w:val="superscript"/>
              </w:rPr>
              <w:t>2</w:t>
            </w:r>
            <w:r w:rsidRPr="009B7B35">
              <w:rPr>
                <w:rFonts w:cs="Arial"/>
              </w:rPr>
              <w:t xml:space="preserve"> on lot sizes 1500m</w:t>
            </w:r>
            <w:r w:rsidRPr="009B7B35">
              <w:rPr>
                <w:rFonts w:cs="Arial"/>
                <w:vertAlign w:val="superscript"/>
              </w:rPr>
              <w:t>2</w:t>
            </w:r>
            <w:r w:rsidRPr="009B7B35">
              <w:rPr>
                <w:rFonts w:cs="Arial"/>
              </w:rPr>
              <w:t xml:space="preserve"> – 2499m</w:t>
            </w:r>
            <w:r w:rsidRPr="009B7B35">
              <w:rPr>
                <w:rFonts w:cs="Arial"/>
                <w:vertAlign w:val="superscript"/>
              </w:rPr>
              <w:t>2</w:t>
            </w:r>
            <w:r w:rsidRPr="009B7B35">
              <w:rPr>
                <w:rFonts w:cs="Arial"/>
              </w:rPr>
              <w:t>, or</w:t>
            </w:r>
          </w:p>
          <w:p w14:paraId="78003B8F" w14:textId="77777777" w:rsidR="00BE36FB" w:rsidRPr="009B7B35" w:rsidRDefault="00BE36FB" w:rsidP="00BE36FB">
            <w:pPr>
              <w:pStyle w:val="TableText"/>
              <w:numPr>
                <w:ilvl w:val="0"/>
                <w:numId w:val="236"/>
              </w:numPr>
              <w:rPr>
                <w:rFonts w:cs="Arial"/>
              </w:rPr>
            </w:pPr>
            <w:r w:rsidRPr="009B7B35">
              <w:rPr>
                <w:rFonts w:cs="Arial"/>
              </w:rPr>
              <w:t>500m</w:t>
            </w:r>
            <w:r w:rsidRPr="009B7B35">
              <w:rPr>
                <w:rFonts w:cs="Arial"/>
                <w:vertAlign w:val="superscript"/>
              </w:rPr>
              <w:t>2</w:t>
            </w:r>
            <w:r w:rsidRPr="009B7B35">
              <w:rPr>
                <w:rFonts w:cs="Arial"/>
              </w:rPr>
              <w:t xml:space="preserve"> on lots greater than 2500m</w:t>
            </w:r>
            <w:r w:rsidRPr="009B7B35">
              <w:rPr>
                <w:rFonts w:cs="Arial"/>
                <w:vertAlign w:val="superscript"/>
              </w:rPr>
              <w:t>2</w:t>
            </w:r>
            <w:r w:rsidRPr="009B7B35">
              <w:rPr>
                <w:rFonts w:cs="Arial"/>
              </w:rPr>
              <w:t>.</w:t>
            </w:r>
          </w:p>
        </w:tc>
      </w:tr>
      <w:tr w:rsidR="00BE36FB" w:rsidRPr="009B7B35" w14:paraId="417028A9" w14:textId="77777777" w:rsidTr="001A7107">
        <w:trPr>
          <w:cantSplit/>
        </w:trPr>
        <w:tc>
          <w:tcPr>
            <w:tcW w:w="4678" w:type="dxa"/>
            <w:vMerge w:val="restart"/>
          </w:tcPr>
          <w:p w14:paraId="7CA2E788" w14:textId="77777777" w:rsidR="00BE36FB" w:rsidRPr="009B7B35" w:rsidRDefault="00BE36FB" w:rsidP="001A7107">
            <w:pPr>
              <w:pStyle w:val="TableText"/>
              <w:rPr>
                <w:rFonts w:cs="Arial"/>
                <w:b/>
                <w:bCs/>
              </w:rPr>
            </w:pPr>
            <w:r w:rsidRPr="009B7B35">
              <w:rPr>
                <w:rFonts w:cs="Arial"/>
                <w:b/>
                <w:bCs/>
              </w:rPr>
              <w:t>PO</w:t>
            </w:r>
            <w:r w:rsidRPr="009B7B35">
              <w:rPr>
                <w:rFonts w:cs="Arial"/>
                <w:b/>
              </w:rPr>
              <w:t>3</w:t>
            </w:r>
          </w:p>
          <w:p w14:paraId="109941BF" w14:textId="77777777" w:rsidR="00BE36FB" w:rsidRPr="009B7B35" w:rsidRDefault="00BE36FB" w:rsidP="001A7107">
            <w:pPr>
              <w:pStyle w:val="TableText"/>
              <w:rPr>
                <w:rFonts w:cs="Arial"/>
              </w:rPr>
            </w:pPr>
            <w:r w:rsidRPr="009B7B35">
              <w:rPr>
                <w:rFonts w:cs="Arial"/>
              </w:rPr>
              <w:t>Buildings are located on the site to:</w:t>
            </w:r>
          </w:p>
          <w:p w14:paraId="627C013E" w14:textId="77777777" w:rsidR="00BE36FB" w:rsidRPr="009B7B35" w:rsidRDefault="00BE36FB" w:rsidP="00BE36FB">
            <w:pPr>
              <w:pStyle w:val="TableText"/>
              <w:numPr>
                <w:ilvl w:val="0"/>
                <w:numId w:val="237"/>
              </w:numPr>
              <w:rPr>
                <w:rFonts w:cs="Arial"/>
              </w:rPr>
            </w:pPr>
            <w:r w:rsidRPr="009B7B35">
              <w:rPr>
                <w:rFonts w:cs="Arial"/>
              </w:rPr>
              <w:t>to maximise the residential amenity of residents and neighbours</w:t>
            </w:r>
          </w:p>
          <w:p w14:paraId="4A48A4F4" w14:textId="77777777" w:rsidR="00BE36FB" w:rsidRPr="009B7B35" w:rsidRDefault="00BE36FB" w:rsidP="00BE36FB">
            <w:pPr>
              <w:pStyle w:val="TableText"/>
              <w:numPr>
                <w:ilvl w:val="0"/>
                <w:numId w:val="237"/>
              </w:numPr>
              <w:rPr>
                <w:rFonts w:cs="Arial"/>
              </w:rPr>
            </w:pPr>
            <w:r w:rsidRPr="009B7B35">
              <w:rPr>
                <w:rFonts w:cs="Arial"/>
              </w:rPr>
              <w:t>maximise retention of native vegetation, and</w:t>
            </w:r>
          </w:p>
          <w:p w14:paraId="5FED0107" w14:textId="77777777" w:rsidR="00BE36FB" w:rsidRPr="009B7B35" w:rsidRDefault="00BE36FB" w:rsidP="00BE36FB">
            <w:pPr>
              <w:pStyle w:val="TableText"/>
              <w:numPr>
                <w:ilvl w:val="0"/>
                <w:numId w:val="237"/>
              </w:numPr>
              <w:rPr>
                <w:rFonts w:cs="Arial"/>
              </w:rPr>
            </w:pPr>
            <w:r w:rsidRPr="009B7B35">
              <w:rPr>
                <w:rFonts w:cs="Arial"/>
              </w:rPr>
              <w:t>provide areas for landscaping to screen the building.</w:t>
            </w:r>
          </w:p>
        </w:tc>
        <w:tc>
          <w:tcPr>
            <w:tcW w:w="4678" w:type="dxa"/>
          </w:tcPr>
          <w:p w14:paraId="224D41F6" w14:textId="77777777" w:rsidR="00BE36FB" w:rsidRPr="009B7B35" w:rsidRDefault="00BE36FB" w:rsidP="001A7107">
            <w:pPr>
              <w:pStyle w:val="TableText"/>
              <w:rPr>
                <w:rFonts w:cs="Arial"/>
                <w:b/>
                <w:bCs/>
              </w:rPr>
            </w:pPr>
            <w:r w:rsidRPr="009B7B35">
              <w:rPr>
                <w:rFonts w:cs="Arial"/>
                <w:b/>
                <w:bCs/>
              </w:rPr>
              <w:t>AO</w:t>
            </w:r>
            <w:r w:rsidRPr="009B7B35">
              <w:rPr>
                <w:rFonts w:cs="Arial"/>
                <w:b/>
              </w:rPr>
              <w:t>3</w:t>
            </w:r>
            <w:r w:rsidRPr="009B7B35">
              <w:rPr>
                <w:rFonts w:cs="Arial"/>
                <w:b/>
                <w:bCs/>
              </w:rPr>
              <w:t>.1</w:t>
            </w:r>
          </w:p>
          <w:p w14:paraId="08E83ABC" w14:textId="77777777" w:rsidR="00BE36FB" w:rsidRPr="009B7B35" w:rsidRDefault="00BE36FB" w:rsidP="001A7107">
            <w:pPr>
              <w:pStyle w:val="TableText"/>
              <w:rPr>
                <w:rFonts w:cs="Arial"/>
              </w:rPr>
            </w:pPr>
            <w:r w:rsidRPr="009B7B35">
              <w:rPr>
                <w:rFonts w:cs="Arial"/>
              </w:rPr>
              <w:t>Buildings are setback a minimum of 6m from the front and rear boundaries.</w:t>
            </w:r>
          </w:p>
          <w:p w14:paraId="5021F2E5" w14:textId="77777777" w:rsidR="00BE36FB" w:rsidRPr="009B7B35" w:rsidRDefault="00BE36FB">
            <w:pPr>
              <w:pStyle w:val="Notes"/>
              <w:rPr>
                <w:rFonts w:cs="Arial"/>
                <w:sz w:val="20"/>
                <w:szCs w:val="20"/>
              </w:rPr>
            </w:pPr>
            <w:r w:rsidRPr="009B7B35">
              <w:rPr>
                <w:rFonts w:cs="Arial"/>
                <w:sz w:val="20"/>
                <w:szCs w:val="20"/>
              </w:rPr>
              <w:t>Note—A carport may be built in the 6m front setback where the maximum height is 3.5m.</w:t>
            </w:r>
          </w:p>
        </w:tc>
      </w:tr>
      <w:tr w:rsidR="00BE36FB" w:rsidRPr="009B7B35" w14:paraId="2DA9C6E6" w14:textId="77777777" w:rsidTr="001A7107">
        <w:trPr>
          <w:cantSplit/>
        </w:trPr>
        <w:tc>
          <w:tcPr>
            <w:tcW w:w="4678" w:type="dxa"/>
            <w:vMerge/>
          </w:tcPr>
          <w:p w14:paraId="06D4C3B3" w14:textId="77777777" w:rsidR="00BE36FB" w:rsidRPr="009B7B35" w:rsidRDefault="00BE36FB" w:rsidP="001A7107">
            <w:pPr>
              <w:pStyle w:val="TableText"/>
              <w:rPr>
                <w:rFonts w:cs="Arial"/>
              </w:rPr>
            </w:pPr>
          </w:p>
        </w:tc>
        <w:tc>
          <w:tcPr>
            <w:tcW w:w="4678" w:type="dxa"/>
          </w:tcPr>
          <w:p w14:paraId="2B645783" w14:textId="77777777" w:rsidR="00BE36FB" w:rsidRPr="009B7B35" w:rsidRDefault="00BE36FB" w:rsidP="001A7107">
            <w:pPr>
              <w:pStyle w:val="TableText"/>
              <w:rPr>
                <w:rFonts w:cs="Arial"/>
                <w:b/>
                <w:bCs/>
              </w:rPr>
            </w:pPr>
            <w:r w:rsidRPr="009B7B35">
              <w:rPr>
                <w:rFonts w:cs="Arial"/>
                <w:b/>
                <w:bCs/>
              </w:rPr>
              <w:t>AO</w:t>
            </w:r>
            <w:r w:rsidRPr="009B7B35">
              <w:rPr>
                <w:rFonts w:cs="Arial"/>
                <w:b/>
              </w:rPr>
              <w:t>3</w:t>
            </w:r>
            <w:r w:rsidRPr="009B7B35">
              <w:rPr>
                <w:rFonts w:cs="Arial"/>
                <w:b/>
                <w:bCs/>
              </w:rPr>
              <w:t>.2</w:t>
            </w:r>
          </w:p>
          <w:p w14:paraId="437DF9E2" w14:textId="77777777" w:rsidR="00BE36FB" w:rsidRPr="009B7B35" w:rsidRDefault="00BE36FB" w:rsidP="001A7107">
            <w:pPr>
              <w:pStyle w:val="TableText"/>
              <w:rPr>
                <w:rFonts w:cs="Arial"/>
              </w:rPr>
            </w:pPr>
            <w:r w:rsidRPr="009B7B35">
              <w:rPr>
                <w:rFonts w:cs="Arial"/>
              </w:rPr>
              <w:t>Side boundary setbacks for any building or structure are a minimum of 4m.</w:t>
            </w:r>
          </w:p>
          <w:p w14:paraId="52E81CE8" w14:textId="77777777" w:rsidR="00BE36FB" w:rsidRPr="009B7B35" w:rsidRDefault="00BE36FB">
            <w:pPr>
              <w:pStyle w:val="Notes"/>
              <w:rPr>
                <w:rFonts w:cs="Arial"/>
                <w:sz w:val="20"/>
                <w:szCs w:val="20"/>
              </w:rPr>
            </w:pPr>
            <w:r w:rsidRPr="009B7B35">
              <w:rPr>
                <w:rFonts w:cs="Arial"/>
                <w:sz w:val="20"/>
                <w:szCs w:val="20"/>
              </w:rPr>
              <w:t>Note—Side boundary setbacks are measured to the building wall.</w:t>
            </w:r>
          </w:p>
        </w:tc>
      </w:tr>
      <w:tr w:rsidR="00BE36FB" w:rsidRPr="009B7B35" w14:paraId="6AE27A98" w14:textId="77777777" w:rsidTr="001A7107">
        <w:trPr>
          <w:cantSplit/>
        </w:trPr>
        <w:tc>
          <w:tcPr>
            <w:tcW w:w="4678" w:type="dxa"/>
            <w:vMerge/>
          </w:tcPr>
          <w:p w14:paraId="65403E7E" w14:textId="77777777" w:rsidR="00BE36FB" w:rsidRPr="009B7B35" w:rsidRDefault="00BE36FB" w:rsidP="001A7107">
            <w:pPr>
              <w:pStyle w:val="TableText"/>
              <w:rPr>
                <w:rFonts w:cs="Arial"/>
              </w:rPr>
            </w:pPr>
          </w:p>
        </w:tc>
        <w:tc>
          <w:tcPr>
            <w:tcW w:w="4678" w:type="dxa"/>
          </w:tcPr>
          <w:p w14:paraId="6CAA58EA" w14:textId="77777777" w:rsidR="00BE36FB" w:rsidRPr="009B7B35" w:rsidRDefault="00BE36FB" w:rsidP="001A7107">
            <w:pPr>
              <w:pStyle w:val="TableText"/>
              <w:rPr>
                <w:rFonts w:cs="Arial"/>
                <w:b/>
                <w:bCs/>
              </w:rPr>
            </w:pPr>
            <w:r w:rsidRPr="009B7B35">
              <w:rPr>
                <w:rFonts w:cs="Arial"/>
                <w:b/>
                <w:bCs/>
              </w:rPr>
              <w:t>AO</w:t>
            </w:r>
            <w:r w:rsidRPr="009B7B35">
              <w:rPr>
                <w:rFonts w:cs="Arial"/>
                <w:b/>
              </w:rPr>
              <w:t>3</w:t>
            </w:r>
            <w:r w:rsidRPr="009B7B35">
              <w:rPr>
                <w:rFonts w:cs="Arial"/>
                <w:b/>
                <w:bCs/>
              </w:rPr>
              <w:t>.3</w:t>
            </w:r>
          </w:p>
          <w:p w14:paraId="5E21ED7C" w14:textId="77777777" w:rsidR="00BE36FB" w:rsidRPr="009B7B35" w:rsidRDefault="00BE36FB" w:rsidP="001A7107">
            <w:pPr>
              <w:pStyle w:val="TableText"/>
              <w:rPr>
                <w:rFonts w:cs="Arial"/>
              </w:rPr>
            </w:pPr>
            <w:r w:rsidRPr="009B7B35">
              <w:rPr>
                <w:rFonts w:cs="Arial"/>
              </w:rPr>
              <w:t>Where dual occupancy, dwellings are separated by a minimum of 6m.</w:t>
            </w:r>
          </w:p>
          <w:p w14:paraId="56A09E37" w14:textId="77777777" w:rsidR="00BE36FB" w:rsidRPr="009B7B35" w:rsidRDefault="00BE36FB" w:rsidP="001A7107">
            <w:pPr>
              <w:pStyle w:val="Notes"/>
              <w:rPr>
                <w:rFonts w:cs="Arial"/>
                <w:sz w:val="20"/>
                <w:szCs w:val="20"/>
              </w:rPr>
            </w:pPr>
            <w:r w:rsidRPr="009B7B35">
              <w:rPr>
                <w:rFonts w:cs="Arial"/>
                <w:sz w:val="20"/>
                <w:szCs w:val="20"/>
              </w:rPr>
              <w:t>Note—Buildings can be linked by one unenclosed verandah or walkway.</w:t>
            </w:r>
          </w:p>
        </w:tc>
      </w:tr>
      <w:tr w:rsidR="00BE36FB" w:rsidRPr="009B7B35" w14:paraId="6C679788" w14:textId="77777777" w:rsidTr="001A7107">
        <w:trPr>
          <w:cantSplit/>
        </w:trPr>
        <w:tc>
          <w:tcPr>
            <w:tcW w:w="9356" w:type="dxa"/>
            <w:gridSpan w:val="2"/>
            <w:shd w:val="clear" w:color="auto" w:fill="BFBFBF" w:themeFill="background1" w:themeFillShade="BF"/>
          </w:tcPr>
          <w:p w14:paraId="0D861886" w14:textId="77777777"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14:paraId="36E14E82" w14:textId="77777777" w:rsidTr="001A7107">
        <w:tc>
          <w:tcPr>
            <w:tcW w:w="4678" w:type="dxa"/>
            <w:vMerge w:val="restart"/>
          </w:tcPr>
          <w:p w14:paraId="5D2D27DA" w14:textId="77777777" w:rsidR="00BE36FB" w:rsidRPr="009B7B35" w:rsidRDefault="00BE36FB" w:rsidP="001A7107">
            <w:pPr>
              <w:pStyle w:val="TableText"/>
              <w:rPr>
                <w:rFonts w:cs="Arial"/>
                <w:b/>
                <w:bCs/>
              </w:rPr>
            </w:pPr>
            <w:r w:rsidRPr="009B7B35">
              <w:rPr>
                <w:rFonts w:cs="Arial"/>
                <w:b/>
                <w:bCs/>
              </w:rPr>
              <w:t>PO</w:t>
            </w:r>
            <w:r w:rsidRPr="009B7B35">
              <w:rPr>
                <w:rFonts w:cs="Arial"/>
                <w:b/>
              </w:rPr>
              <w:t>4</w:t>
            </w:r>
          </w:p>
          <w:p w14:paraId="285EC252" w14:textId="77777777" w:rsidR="00BE36FB" w:rsidRPr="009B7B35" w:rsidRDefault="00BE36FB" w:rsidP="001A7107">
            <w:pPr>
              <w:pStyle w:val="TableText"/>
              <w:rPr>
                <w:rFonts w:cs="Arial"/>
              </w:rPr>
            </w:pPr>
            <w:r w:rsidRPr="009B7B35">
              <w:rPr>
                <w:rFonts w:cs="Arial"/>
              </w:rPr>
              <w:t>Residential density reflects the low density character of the locality.</w:t>
            </w:r>
          </w:p>
        </w:tc>
        <w:tc>
          <w:tcPr>
            <w:tcW w:w="4678" w:type="dxa"/>
          </w:tcPr>
          <w:p w14:paraId="56517B63" w14:textId="77777777" w:rsidR="00BE36FB" w:rsidRPr="009B7B35" w:rsidRDefault="00BE36FB" w:rsidP="001A7107">
            <w:pPr>
              <w:pStyle w:val="TableText"/>
              <w:rPr>
                <w:rFonts w:cs="Arial"/>
                <w:b/>
                <w:bCs/>
              </w:rPr>
            </w:pPr>
            <w:r w:rsidRPr="009B7B35">
              <w:rPr>
                <w:rFonts w:cs="Arial"/>
                <w:b/>
                <w:bCs/>
              </w:rPr>
              <w:t>AO</w:t>
            </w:r>
            <w:r w:rsidRPr="009B7B35">
              <w:rPr>
                <w:rFonts w:cs="Arial"/>
              </w:rPr>
              <w:t>4</w:t>
            </w:r>
            <w:r w:rsidRPr="009B7B35">
              <w:rPr>
                <w:rFonts w:cs="Arial"/>
                <w:b/>
                <w:bCs/>
              </w:rPr>
              <w:t>.1</w:t>
            </w:r>
          </w:p>
          <w:p w14:paraId="0EF75644" w14:textId="77777777" w:rsidR="00BE36FB" w:rsidRPr="009B7B35" w:rsidRDefault="00BE36FB" w:rsidP="001A7107">
            <w:pPr>
              <w:pStyle w:val="TableText"/>
              <w:rPr>
                <w:rFonts w:cs="Arial"/>
              </w:rPr>
            </w:pPr>
            <w:r w:rsidRPr="009B7B35">
              <w:rPr>
                <w:rFonts w:cs="Arial"/>
              </w:rPr>
              <w:t xml:space="preserve">Residential density is a maximum of </w:t>
            </w:r>
          </w:p>
          <w:p w14:paraId="41B52540" w14:textId="77777777" w:rsidR="00BE36FB" w:rsidRPr="009B7B35" w:rsidRDefault="00BE36FB" w:rsidP="00BE36FB">
            <w:pPr>
              <w:pStyle w:val="TableText"/>
              <w:numPr>
                <w:ilvl w:val="0"/>
                <w:numId w:val="435"/>
              </w:numPr>
              <w:ind w:left="510" w:hanging="510"/>
              <w:rPr>
                <w:rFonts w:cs="Arial"/>
              </w:rPr>
            </w:pPr>
            <w:r w:rsidRPr="009B7B35">
              <w:rPr>
                <w:rFonts w:cs="Arial"/>
              </w:rPr>
              <w:t>1 Dwelling house (including 1 secondary dwelling) per allotment; or</w:t>
            </w:r>
          </w:p>
          <w:p w14:paraId="5D62EB14" w14:textId="77777777" w:rsidR="00BE36FB" w:rsidRPr="009B7B35" w:rsidRDefault="00BE36FB" w:rsidP="00BE36FB">
            <w:pPr>
              <w:pStyle w:val="TableText"/>
              <w:numPr>
                <w:ilvl w:val="0"/>
                <w:numId w:val="435"/>
              </w:numPr>
              <w:ind w:left="510" w:hanging="510"/>
              <w:rPr>
                <w:rFonts w:cs="Arial"/>
              </w:rPr>
            </w:pPr>
            <w:r w:rsidRPr="009B7B35">
              <w:rPr>
                <w:rFonts w:cs="Arial"/>
              </w:rPr>
              <w:t>1 dwelling unit per 400m</w:t>
            </w:r>
            <w:r w:rsidRPr="009B7B35">
              <w:rPr>
                <w:rFonts w:cs="Arial"/>
                <w:vertAlign w:val="superscript"/>
              </w:rPr>
              <w:t>2</w:t>
            </w:r>
            <w:r w:rsidRPr="009B7B35">
              <w:rPr>
                <w:rFonts w:cs="Arial"/>
              </w:rPr>
              <w:t xml:space="preserve"> where a Dual occupancy.</w:t>
            </w:r>
          </w:p>
        </w:tc>
      </w:tr>
      <w:tr w:rsidR="00BE36FB" w:rsidRPr="009B7B35" w14:paraId="668914A0" w14:textId="77777777" w:rsidTr="001A7107">
        <w:tc>
          <w:tcPr>
            <w:tcW w:w="4678" w:type="dxa"/>
            <w:vMerge/>
          </w:tcPr>
          <w:p w14:paraId="7C8DAECF" w14:textId="77777777" w:rsidR="00BE36FB" w:rsidRPr="009B7B35" w:rsidRDefault="00BE36FB" w:rsidP="001A7107">
            <w:pPr>
              <w:pStyle w:val="TableText"/>
              <w:rPr>
                <w:rFonts w:cs="Arial"/>
              </w:rPr>
            </w:pPr>
          </w:p>
        </w:tc>
        <w:tc>
          <w:tcPr>
            <w:tcW w:w="4678" w:type="dxa"/>
          </w:tcPr>
          <w:p w14:paraId="62783661" w14:textId="77777777" w:rsidR="00BE36FB" w:rsidRPr="009B7B35" w:rsidRDefault="00BE36FB">
            <w:pPr>
              <w:pStyle w:val="TableText"/>
              <w:rPr>
                <w:rStyle w:val="Strong"/>
                <w:rFonts w:eastAsiaTheme="majorEastAsia" w:cs="Arial"/>
              </w:rPr>
            </w:pPr>
            <w:r w:rsidRPr="009B7B35">
              <w:rPr>
                <w:rStyle w:val="Strong"/>
                <w:rFonts w:eastAsiaTheme="majorEastAsia" w:cs="Arial"/>
              </w:rPr>
              <w:t>AO4.2</w:t>
            </w:r>
          </w:p>
          <w:p w14:paraId="38CB18C1" w14:textId="77777777" w:rsidR="00BE36FB" w:rsidRPr="009B7B35" w:rsidRDefault="00BE36FB" w:rsidP="001A7107">
            <w:pPr>
              <w:pStyle w:val="TableText"/>
              <w:rPr>
                <w:rFonts w:cs="Arial"/>
              </w:rPr>
            </w:pPr>
            <w:r w:rsidRPr="009B7B35">
              <w:rPr>
                <w:rFonts w:cs="Arial"/>
              </w:rPr>
              <w:t xml:space="preserve">Where a dwelling house, any secondary dwelling is: </w:t>
            </w:r>
          </w:p>
          <w:p w14:paraId="62818512" w14:textId="77777777" w:rsidR="00BE36FB" w:rsidRPr="009B7B35" w:rsidRDefault="00BE36FB" w:rsidP="00BE36FB">
            <w:pPr>
              <w:pStyle w:val="TableText"/>
              <w:numPr>
                <w:ilvl w:val="0"/>
                <w:numId w:val="411"/>
              </w:numPr>
              <w:rPr>
                <w:rFonts w:cs="Arial"/>
              </w:rPr>
            </w:pPr>
            <w:r w:rsidRPr="009B7B35">
              <w:rPr>
                <w:rFonts w:cs="Arial"/>
              </w:rPr>
              <w:t>a maximum of 80m</w:t>
            </w:r>
            <w:r w:rsidRPr="009B7B35">
              <w:rPr>
                <w:rStyle w:val="StyleSuperscript"/>
                <w:rFonts w:cs="Arial"/>
              </w:rPr>
              <w:t>2</w:t>
            </w:r>
            <w:r w:rsidRPr="009B7B35">
              <w:rPr>
                <w:rFonts w:cs="Arial"/>
              </w:rPr>
              <w:t xml:space="preserve"> GFA</w:t>
            </w:r>
          </w:p>
          <w:p w14:paraId="1DDADF07" w14:textId="77777777" w:rsidR="00BE36FB" w:rsidRPr="009B7B35" w:rsidRDefault="00BE36FB" w:rsidP="00BE36FB">
            <w:pPr>
              <w:pStyle w:val="TableText"/>
              <w:numPr>
                <w:ilvl w:val="0"/>
                <w:numId w:val="411"/>
              </w:numPr>
              <w:rPr>
                <w:rFonts w:cs="Arial"/>
              </w:rPr>
            </w:pPr>
            <w:r w:rsidRPr="009B7B35">
              <w:rPr>
                <w:rFonts w:cs="Arial"/>
              </w:rPr>
              <w:t>located within 50m of the main building</w:t>
            </w:r>
          </w:p>
          <w:p w14:paraId="70AAE110" w14:textId="77777777" w:rsidR="00BE36FB" w:rsidRPr="009B7B35" w:rsidRDefault="00BE36FB" w:rsidP="001A7107">
            <w:pPr>
              <w:pStyle w:val="TableText"/>
              <w:tabs>
                <w:tab w:val="num" w:pos="567"/>
              </w:tabs>
              <w:ind w:left="567" w:hanging="567"/>
              <w:rPr>
                <w:rFonts w:cs="Arial"/>
              </w:rPr>
            </w:pPr>
            <w:r w:rsidRPr="009B7B35">
              <w:rPr>
                <w:rFonts w:cs="Arial"/>
              </w:rPr>
              <w:t>(c)</w:t>
            </w:r>
            <w:r w:rsidRPr="009B7B35">
              <w:rPr>
                <w:rFonts w:cs="Arial"/>
              </w:rPr>
              <w:tab/>
              <w:t>linked to the main building by a defined footpath in the most direct route possible.</w:t>
            </w:r>
          </w:p>
        </w:tc>
      </w:tr>
      <w:tr w:rsidR="00BE36FB" w:rsidRPr="009B7B35" w14:paraId="158A73E1" w14:textId="77777777" w:rsidTr="001A7107">
        <w:trPr>
          <w:cantSplit/>
        </w:trPr>
        <w:tc>
          <w:tcPr>
            <w:tcW w:w="9356" w:type="dxa"/>
            <w:gridSpan w:val="2"/>
            <w:shd w:val="clear" w:color="auto" w:fill="BFBFBF" w:themeFill="background1" w:themeFillShade="BF"/>
          </w:tcPr>
          <w:p w14:paraId="33E93B08" w14:textId="77777777" w:rsidR="00BE36FB" w:rsidRPr="009B7B35" w:rsidRDefault="00BE36FB" w:rsidP="001A7107">
            <w:pPr>
              <w:pStyle w:val="Tableheading"/>
              <w:rPr>
                <w:rFonts w:ascii="Arial" w:hAnsi="Arial" w:cs="Arial"/>
                <w:szCs w:val="20"/>
              </w:rPr>
            </w:pPr>
            <w:r w:rsidRPr="009B7B35">
              <w:rPr>
                <w:rFonts w:ascii="Arial" w:hAnsi="Arial" w:cs="Arial"/>
                <w:szCs w:val="20"/>
              </w:rPr>
              <w:t>Character</w:t>
            </w:r>
          </w:p>
        </w:tc>
      </w:tr>
      <w:tr w:rsidR="00BE36FB" w:rsidRPr="009B7B35" w14:paraId="136D3C94" w14:textId="77777777" w:rsidTr="001A7107">
        <w:trPr>
          <w:cantSplit/>
        </w:trPr>
        <w:tc>
          <w:tcPr>
            <w:tcW w:w="4678" w:type="dxa"/>
            <w:vMerge w:val="restart"/>
          </w:tcPr>
          <w:p w14:paraId="7B8C4DA2" w14:textId="77777777" w:rsidR="00BE36FB" w:rsidRPr="009B7B35" w:rsidRDefault="00BE36FB" w:rsidP="001A7107">
            <w:pPr>
              <w:pStyle w:val="TableText"/>
              <w:rPr>
                <w:rFonts w:cs="Arial"/>
                <w:b/>
                <w:bCs/>
              </w:rPr>
            </w:pPr>
            <w:r w:rsidRPr="009B7B35">
              <w:rPr>
                <w:rFonts w:cs="Arial"/>
                <w:b/>
                <w:bCs/>
              </w:rPr>
              <w:t>PO</w:t>
            </w:r>
            <w:r w:rsidRPr="009B7B35">
              <w:rPr>
                <w:rFonts w:cs="Arial"/>
                <w:b/>
              </w:rPr>
              <w:t>5</w:t>
            </w:r>
          </w:p>
          <w:p w14:paraId="508B4A51" w14:textId="77777777" w:rsidR="00BE36FB" w:rsidRPr="009B7B35" w:rsidRDefault="00BE36FB" w:rsidP="001A7107">
            <w:pPr>
              <w:pStyle w:val="TableText"/>
              <w:rPr>
                <w:rFonts w:cs="Arial"/>
              </w:rPr>
            </w:pPr>
            <w:r w:rsidRPr="009B7B35">
              <w:rPr>
                <w:rFonts w:cs="Arial"/>
              </w:rPr>
              <w:t>Buildings reflect the coastal character of the zone through open frame architecture including verandahs/decks, eaves and the use of lightweight construction materials.</w:t>
            </w:r>
          </w:p>
        </w:tc>
        <w:tc>
          <w:tcPr>
            <w:tcW w:w="4678" w:type="dxa"/>
          </w:tcPr>
          <w:p w14:paraId="0AAEF90B" w14:textId="77777777" w:rsidR="00BE36FB" w:rsidRPr="009B7B35" w:rsidRDefault="00BE36FB" w:rsidP="001A7107">
            <w:pPr>
              <w:pStyle w:val="TableText"/>
              <w:rPr>
                <w:rFonts w:cs="Arial"/>
                <w:b/>
                <w:bCs/>
              </w:rPr>
            </w:pPr>
            <w:r w:rsidRPr="009B7B35">
              <w:rPr>
                <w:rFonts w:cs="Arial"/>
                <w:b/>
                <w:bCs/>
              </w:rPr>
              <w:t>AO</w:t>
            </w:r>
            <w:r w:rsidRPr="009B7B35">
              <w:rPr>
                <w:rFonts w:cs="Arial"/>
                <w:b/>
              </w:rPr>
              <w:t>5</w:t>
            </w:r>
            <w:r w:rsidRPr="009B7B35">
              <w:rPr>
                <w:rFonts w:cs="Arial"/>
                <w:b/>
                <w:bCs/>
              </w:rPr>
              <w:t>.1</w:t>
            </w:r>
          </w:p>
          <w:p w14:paraId="7594D8E2" w14:textId="77777777" w:rsidR="00BE36FB" w:rsidRPr="009B7B35" w:rsidRDefault="00BE36FB" w:rsidP="001A7107">
            <w:pPr>
              <w:pStyle w:val="TableText"/>
              <w:rPr>
                <w:rFonts w:cs="Arial"/>
              </w:rPr>
            </w:pPr>
            <w:r w:rsidRPr="009B7B35">
              <w:rPr>
                <w:rFonts w:cs="Arial"/>
              </w:rPr>
              <w:t xml:space="preserve">Buildings: </w:t>
            </w:r>
          </w:p>
          <w:p w14:paraId="6A5157A6" w14:textId="77777777" w:rsidR="00BE36FB" w:rsidRPr="009B7B35" w:rsidRDefault="00BE36FB" w:rsidP="00BE36FB">
            <w:pPr>
              <w:pStyle w:val="TableText"/>
              <w:numPr>
                <w:ilvl w:val="0"/>
                <w:numId w:val="239"/>
              </w:numPr>
              <w:ind w:left="510" w:hanging="510"/>
              <w:rPr>
                <w:rFonts w:cs="Arial"/>
              </w:rPr>
            </w:pPr>
            <w:r w:rsidRPr="009B7B35">
              <w:rPr>
                <w:rFonts w:cs="Arial"/>
              </w:rPr>
              <w:t>include suspended floors</w:t>
            </w:r>
          </w:p>
          <w:p w14:paraId="4D9C7DC1" w14:textId="77777777" w:rsidR="00BE36FB" w:rsidRPr="009B7B35" w:rsidRDefault="00BE36FB" w:rsidP="00BE36FB">
            <w:pPr>
              <w:pStyle w:val="TableText"/>
              <w:numPr>
                <w:ilvl w:val="0"/>
                <w:numId w:val="239"/>
              </w:numPr>
              <w:ind w:left="510" w:hanging="510"/>
              <w:rPr>
                <w:rFonts w:cs="Arial"/>
              </w:rPr>
            </w:pPr>
            <w:r w:rsidRPr="009B7B35">
              <w:rPr>
                <w:rFonts w:cs="Arial"/>
              </w:rPr>
              <w:t>use sheet material finishes such as timber and fibre cement for external cladding</w:t>
            </w:r>
          </w:p>
          <w:p w14:paraId="07913806" w14:textId="77777777" w:rsidR="00BE36FB" w:rsidRPr="009B7B35" w:rsidRDefault="00BE36FB" w:rsidP="00BE36FB">
            <w:pPr>
              <w:pStyle w:val="TableText"/>
              <w:numPr>
                <w:ilvl w:val="0"/>
                <w:numId w:val="239"/>
              </w:numPr>
              <w:ind w:left="510" w:hanging="510"/>
              <w:rPr>
                <w:rFonts w:cs="Arial"/>
              </w:rPr>
            </w:pPr>
            <w:r w:rsidRPr="009B7B35">
              <w:rPr>
                <w:rFonts w:cs="Arial"/>
              </w:rPr>
              <w:t>limit masonry construction so that no masonry walls exceed 4.5m above ground level and:</w:t>
            </w:r>
          </w:p>
          <w:p w14:paraId="691EE8A9" w14:textId="77777777" w:rsidR="00BE36FB" w:rsidRPr="009B7B35" w:rsidRDefault="00BE36FB" w:rsidP="00BE36FB">
            <w:pPr>
              <w:pStyle w:val="TableText"/>
              <w:numPr>
                <w:ilvl w:val="1"/>
                <w:numId w:val="239"/>
              </w:numPr>
              <w:ind w:left="1077" w:hanging="283"/>
              <w:rPr>
                <w:rFonts w:cs="Arial"/>
              </w:rPr>
            </w:pPr>
            <w:r w:rsidRPr="009B7B35">
              <w:rPr>
                <w:rFonts w:cs="Arial"/>
              </w:rPr>
              <w:t>are rendered and painted, or</w:t>
            </w:r>
          </w:p>
          <w:p w14:paraId="61D09B38" w14:textId="77777777" w:rsidR="00BE36FB" w:rsidRPr="009B7B35" w:rsidRDefault="00BE36FB" w:rsidP="00BE36FB">
            <w:pPr>
              <w:pStyle w:val="TableText"/>
              <w:numPr>
                <w:ilvl w:val="1"/>
                <w:numId w:val="239"/>
              </w:numPr>
              <w:ind w:left="1077" w:hanging="283"/>
              <w:rPr>
                <w:rFonts w:cs="Arial"/>
              </w:rPr>
            </w:pPr>
            <w:r w:rsidRPr="009B7B35">
              <w:rPr>
                <w:rFonts w:cs="Arial"/>
              </w:rPr>
              <w:t>where constructed of local stone left unfinished; and</w:t>
            </w:r>
          </w:p>
          <w:p w14:paraId="1ADFAEE7" w14:textId="77777777" w:rsidR="00BE36FB" w:rsidRPr="009B7B35" w:rsidRDefault="00BE36FB" w:rsidP="00BE36FB">
            <w:pPr>
              <w:pStyle w:val="TableText"/>
              <w:numPr>
                <w:ilvl w:val="1"/>
                <w:numId w:val="239"/>
              </w:numPr>
              <w:ind w:left="1077" w:hanging="283"/>
              <w:rPr>
                <w:rFonts w:cs="Arial"/>
              </w:rPr>
            </w:pPr>
            <w:r w:rsidRPr="009B7B35">
              <w:rPr>
                <w:rFonts w:cs="Arial"/>
              </w:rPr>
              <w:t>incorporate appropriate articulation</w:t>
            </w:r>
          </w:p>
          <w:p w14:paraId="12459B8D" w14:textId="77777777" w:rsidR="00BE36FB" w:rsidRPr="009B7B35" w:rsidRDefault="00BE36FB" w:rsidP="00BE36FB">
            <w:pPr>
              <w:pStyle w:val="TableText"/>
              <w:numPr>
                <w:ilvl w:val="0"/>
                <w:numId w:val="239"/>
              </w:numPr>
              <w:rPr>
                <w:rFonts w:cs="Arial"/>
              </w:rPr>
            </w:pPr>
            <w:r w:rsidRPr="009B7B35">
              <w:rPr>
                <w:rFonts w:cs="Arial"/>
              </w:rPr>
              <w:t>include roofing comprised of lightweight and non–reflective sheet materials.</w:t>
            </w:r>
          </w:p>
        </w:tc>
      </w:tr>
      <w:tr w:rsidR="00BE36FB" w:rsidRPr="009B7B35" w14:paraId="1642C758" w14:textId="77777777" w:rsidTr="001A7107">
        <w:trPr>
          <w:cantSplit/>
        </w:trPr>
        <w:tc>
          <w:tcPr>
            <w:tcW w:w="4678" w:type="dxa"/>
            <w:vMerge/>
          </w:tcPr>
          <w:p w14:paraId="60B9B0C3" w14:textId="77777777" w:rsidR="00BE36FB" w:rsidRPr="009B7B35" w:rsidRDefault="00BE36FB" w:rsidP="001A7107">
            <w:pPr>
              <w:pStyle w:val="TableText"/>
              <w:rPr>
                <w:rFonts w:cs="Arial"/>
              </w:rPr>
            </w:pPr>
          </w:p>
        </w:tc>
        <w:tc>
          <w:tcPr>
            <w:tcW w:w="4678" w:type="dxa"/>
          </w:tcPr>
          <w:p w14:paraId="4EBF0F1E" w14:textId="77777777" w:rsidR="00BE36FB" w:rsidRPr="009B7B35" w:rsidRDefault="00BE36FB" w:rsidP="001A7107">
            <w:pPr>
              <w:pStyle w:val="TableText"/>
              <w:rPr>
                <w:rFonts w:cs="Arial"/>
                <w:b/>
                <w:bCs/>
              </w:rPr>
            </w:pPr>
            <w:r w:rsidRPr="009B7B35">
              <w:rPr>
                <w:rFonts w:cs="Arial"/>
                <w:b/>
                <w:bCs/>
              </w:rPr>
              <w:t>AO</w:t>
            </w:r>
            <w:r w:rsidRPr="009B7B35">
              <w:rPr>
                <w:rFonts w:cs="Arial"/>
                <w:b/>
              </w:rPr>
              <w:t>5</w:t>
            </w:r>
            <w:r w:rsidRPr="009B7B35">
              <w:rPr>
                <w:rFonts w:cs="Arial"/>
                <w:b/>
                <w:bCs/>
              </w:rPr>
              <w:t>.2</w:t>
            </w:r>
          </w:p>
          <w:p w14:paraId="12B3C96B" w14:textId="77777777" w:rsidR="00BE36FB" w:rsidRPr="009B7B35" w:rsidRDefault="00BE36FB" w:rsidP="001A7107">
            <w:pPr>
              <w:pStyle w:val="TableText"/>
              <w:rPr>
                <w:rFonts w:cs="Arial"/>
              </w:rPr>
            </w:pPr>
            <w:r w:rsidRPr="009B7B35">
              <w:rPr>
                <w:rFonts w:cs="Arial"/>
              </w:rPr>
              <w:t xml:space="preserve">Eaves extend a minimum of 0.6m from the wall. </w:t>
            </w:r>
          </w:p>
        </w:tc>
      </w:tr>
      <w:tr w:rsidR="00BE36FB" w:rsidRPr="009B7B35" w14:paraId="68E549F3" w14:textId="77777777" w:rsidTr="001A7107">
        <w:trPr>
          <w:cantSplit/>
        </w:trPr>
        <w:tc>
          <w:tcPr>
            <w:tcW w:w="4678" w:type="dxa"/>
          </w:tcPr>
          <w:p w14:paraId="1AE63AA9" w14:textId="77777777" w:rsidR="00BE36FB" w:rsidRPr="009B7B35" w:rsidRDefault="00BE36FB" w:rsidP="001A7107">
            <w:pPr>
              <w:pStyle w:val="TableText"/>
              <w:rPr>
                <w:rFonts w:cs="Arial"/>
                <w:b/>
                <w:bCs/>
              </w:rPr>
            </w:pPr>
            <w:r w:rsidRPr="009B7B35">
              <w:rPr>
                <w:rFonts w:cs="Arial"/>
                <w:b/>
                <w:bCs/>
              </w:rPr>
              <w:t>PO</w:t>
            </w:r>
            <w:r w:rsidRPr="009B7B35">
              <w:rPr>
                <w:rFonts w:cs="Arial"/>
                <w:b/>
              </w:rPr>
              <w:t>6</w:t>
            </w:r>
          </w:p>
          <w:p w14:paraId="0D652802" w14:textId="77777777" w:rsidR="00BE36FB" w:rsidRPr="009B7B35" w:rsidRDefault="00BE36FB" w:rsidP="001A7107">
            <w:pPr>
              <w:pStyle w:val="TableText"/>
              <w:rPr>
                <w:rFonts w:cs="Arial"/>
              </w:rPr>
            </w:pPr>
            <w:r w:rsidRPr="009B7B35">
              <w:rPr>
                <w:rFonts w:cs="Arial"/>
              </w:rPr>
              <w:t>Front fencing must:</w:t>
            </w:r>
          </w:p>
          <w:p w14:paraId="7CBC9A8E" w14:textId="77777777" w:rsidR="00BE36FB" w:rsidRPr="009B7B35" w:rsidRDefault="00BE36FB" w:rsidP="00BE36FB">
            <w:pPr>
              <w:pStyle w:val="TableText"/>
              <w:numPr>
                <w:ilvl w:val="0"/>
                <w:numId w:val="125"/>
              </w:numPr>
              <w:rPr>
                <w:rFonts w:cs="Arial"/>
              </w:rPr>
            </w:pPr>
            <w:r w:rsidRPr="009B7B35">
              <w:rPr>
                <w:rFonts w:cs="Arial"/>
              </w:rPr>
              <w:t>not dominate the streetscape, and</w:t>
            </w:r>
          </w:p>
          <w:p w14:paraId="6A8244E0" w14:textId="77777777" w:rsidR="00BE36FB" w:rsidRPr="009B7B35" w:rsidRDefault="00BE36FB" w:rsidP="00BE36FB">
            <w:pPr>
              <w:pStyle w:val="TableText"/>
              <w:numPr>
                <w:ilvl w:val="0"/>
                <w:numId w:val="125"/>
              </w:numPr>
              <w:rPr>
                <w:rFonts w:cs="Arial"/>
              </w:rPr>
            </w:pPr>
            <w:r w:rsidRPr="009B7B35">
              <w:rPr>
                <w:rFonts w:cs="Arial"/>
              </w:rPr>
              <w:t>complement the low density sub–tropical character of the area.</w:t>
            </w:r>
          </w:p>
        </w:tc>
        <w:tc>
          <w:tcPr>
            <w:tcW w:w="4678" w:type="dxa"/>
          </w:tcPr>
          <w:p w14:paraId="229938FE" w14:textId="77777777" w:rsidR="00BE36FB" w:rsidRPr="009B7B35" w:rsidRDefault="00BE36FB" w:rsidP="001A7107">
            <w:pPr>
              <w:pStyle w:val="TableText"/>
              <w:rPr>
                <w:rFonts w:cs="Arial"/>
                <w:b/>
                <w:bCs/>
              </w:rPr>
            </w:pPr>
            <w:r w:rsidRPr="009B7B35">
              <w:rPr>
                <w:rFonts w:cs="Arial"/>
                <w:b/>
                <w:bCs/>
              </w:rPr>
              <w:t>AO</w:t>
            </w:r>
            <w:r w:rsidRPr="009B7B35">
              <w:rPr>
                <w:rFonts w:cs="Arial"/>
                <w:b/>
              </w:rPr>
              <w:t>6</w:t>
            </w:r>
          </w:p>
          <w:p w14:paraId="6B2C2629" w14:textId="77777777" w:rsidR="00BE36FB" w:rsidRPr="009B7B35" w:rsidRDefault="00BE36FB" w:rsidP="001A7107">
            <w:pPr>
              <w:pStyle w:val="TableText"/>
              <w:rPr>
                <w:rFonts w:cs="Arial"/>
              </w:rPr>
            </w:pPr>
            <w:r w:rsidRPr="009B7B35">
              <w:rPr>
                <w:rFonts w:cs="Arial"/>
              </w:rPr>
              <w:t>Front fences are:</w:t>
            </w:r>
          </w:p>
          <w:p w14:paraId="17C0F473" w14:textId="77777777" w:rsidR="00BE36FB" w:rsidRPr="009B7B35" w:rsidRDefault="00BE36FB" w:rsidP="00BE36FB">
            <w:pPr>
              <w:pStyle w:val="TableText"/>
              <w:numPr>
                <w:ilvl w:val="0"/>
                <w:numId w:val="240"/>
              </w:numPr>
              <w:ind w:left="510" w:hanging="510"/>
              <w:rPr>
                <w:rFonts w:cs="Arial"/>
              </w:rPr>
            </w:pPr>
            <w:r w:rsidRPr="009B7B35">
              <w:rPr>
                <w:rFonts w:cs="Arial"/>
              </w:rPr>
              <w:t>a maximum height of 1.5m</w:t>
            </w:r>
          </w:p>
          <w:p w14:paraId="606E9580" w14:textId="77777777" w:rsidR="00BE36FB" w:rsidRPr="009B7B35" w:rsidRDefault="00BE36FB" w:rsidP="00BE36FB">
            <w:pPr>
              <w:pStyle w:val="TableText"/>
              <w:numPr>
                <w:ilvl w:val="0"/>
                <w:numId w:val="240"/>
              </w:numPr>
              <w:ind w:left="510" w:hanging="510"/>
              <w:rPr>
                <w:rFonts w:cs="Arial"/>
              </w:rPr>
            </w:pPr>
            <w:r w:rsidRPr="009B7B35">
              <w:rPr>
                <w:rFonts w:cs="Arial"/>
              </w:rPr>
              <w:t>50% transparent</w:t>
            </w:r>
          </w:p>
          <w:p w14:paraId="0D6A3269" w14:textId="77777777" w:rsidR="00BE36FB" w:rsidRPr="009B7B35" w:rsidRDefault="00BE36FB" w:rsidP="00BE36FB">
            <w:pPr>
              <w:pStyle w:val="TableText"/>
              <w:numPr>
                <w:ilvl w:val="0"/>
                <w:numId w:val="240"/>
              </w:numPr>
              <w:ind w:left="510" w:hanging="510"/>
              <w:rPr>
                <w:rFonts w:cs="Arial"/>
              </w:rPr>
            </w:pPr>
            <w:r w:rsidRPr="009B7B35">
              <w:rPr>
                <w:rFonts w:cs="Arial"/>
              </w:rPr>
              <w:t>made of open timber or metal construction, and</w:t>
            </w:r>
          </w:p>
          <w:p w14:paraId="3E1C90A1" w14:textId="77777777" w:rsidR="00BE36FB" w:rsidRPr="009B7B35" w:rsidRDefault="00BE36FB" w:rsidP="00BE36FB">
            <w:pPr>
              <w:pStyle w:val="TableText"/>
              <w:numPr>
                <w:ilvl w:val="0"/>
                <w:numId w:val="240"/>
              </w:numPr>
              <w:ind w:left="510" w:hanging="510"/>
              <w:rPr>
                <w:rFonts w:cs="Arial"/>
              </w:rPr>
            </w:pPr>
            <w:r w:rsidRPr="009B7B35">
              <w:rPr>
                <w:rFonts w:cs="Arial"/>
              </w:rPr>
              <w:t>do not impede existing overland flow paths.</w:t>
            </w:r>
          </w:p>
        </w:tc>
      </w:tr>
      <w:tr w:rsidR="00BE36FB" w:rsidRPr="009B7B35" w14:paraId="6D308690" w14:textId="77777777" w:rsidTr="001A7107">
        <w:trPr>
          <w:cantSplit/>
        </w:trPr>
        <w:tc>
          <w:tcPr>
            <w:tcW w:w="4678" w:type="dxa"/>
            <w:vMerge w:val="restart"/>
          </w:tcPr>
          <w:p w14:paraId="3F52EAD6" w14:textId="77777777" w:rsidR="00BE36FB" w:rsidRPr="009B7B35" w:rsidRDefault="00BE36FB" w:rsidP="001A7107">
            <w:pPr>
              <w:pStyle w:val="TableText"/>
              <w:rPr>
                <w:rFonts w:cs="Arial"/>
                <w:b/>
                <w:bCs/>
              </w:rPr>
            </w:pPr>
            <w:r w:rsidRPr="009B7B35">
              <w:rPr>
                <w:rFonts w:cs="Arial"/>
                <w:b/>
                <w:bCs/>
              </w:rPr>
              <w:t>PO</w:t>
            </w:r>
            <w:r w:rsidRPr="009B7B35">
              <w:rPr>
                <w:rFonts w:cs="Arial"/>
                <w:b/>
              </w:rPr>
              <w:t>7</w:t>
            </w:r>
          </w:p>
          <w:p w14:paraId="6B07DB5F" w14:textId="77777777" w:rsidR="00BE36FB" w:rsidRPr="009B7B35" w:rsidRDefault="00BE36FB" w:rsidP="001A7107">
            <w:pPr>
              <w:pStyle w:val="TableText"/>
              <w:rPr>
                <w:rFonts w:cs="Arial"/>
              </w:rPr>
            </w:pPr>
            <w:r w:rsidRPr="009B7B35">
              <w:rPr>
                <w:rFonts w:cs="Arial"/>
              </w:rPr>
              <w:t>Driveways, cross overs and car parking areas:</w:t>
            </w:r>
          </w:p>
          <w:p w14:paraId="2777BE3B" w14:textId="77777777" w:rsidR="00BE36FB" w:rsidRPr="009B7B35" w:rsidRDefault="00BE36FB" w:rsidP="00BE36FB">
            <w:pPr>
              <w:pStyle w:val="TableText"/>
              <w:numPr>
                <w:ilvl w:val="0"/>
                <w:numId w:val="126"/>
              </w:numPr>
              <w:rPr>
                <w:rFonts w:cs="Arial"/>
              </w:rPr>
            </w:pPr>
            <w:r w:rsidRPr="009B7B35">
              <w:rPr>
                <w:rFonts w:cs="Arial"/>
              </w:rPr>
              <w:t>do not dominate the streetscape</w:t>
            </w:r>
          </w:p>
          <w:p w14:paraId="37C99482" w14:textId="77777777" w:rsidR="00BE36FB" w:rsidRPr="009B7B35" w:rsidRDefault="00BE36FB" w:rsidP="00BE36FB">
            <w:pPr>
              <w:pStyle w:val="TableText"/>
              <w:numPr>
                <w:ilvl w:val="0"/>
                <w:numId w:val="126"/>
              </w:numPr>
              <w:rPr>
                <w:rFonts w:cs="Arial"/>
              </w:rPr>
            </w:pPr>
            <w:r w:rsidRPr="009B7B35">
              <w:rPr>
                <w:rFonts w:cs="Arial"/>
              </w:rPr>
              <w:t>are located to minimise the removal of mature trees, and</w:t>
            </w:r>
          </w:p>
          <w:p w14:paraId="4B53061C" w14:textId="77777777" w:rsidR="00BE36FB" w:rsidRPr="009B7B35" w:rsidRDefault="00BE36FB" w:rsidP="00BE36FB">
            <w:pPr>
              <w:pStyle w:val="TableText"/>
              <w:numPr>
                <w:ilvl w:val="0"/>
                <w:numId w:val="126"/>
              </w:numPr>
              <w:rPr>
                <w:rFonts w:cs="Arial"/>
              </w:rPr>
            </w:pPr>
            <w:r w:rsidRPr="009B7B35">
              <w:rPr>
                <w:rFonts w:cs="Arial"/>
              </w:rPr>
              <w:t>constructed from permeable materials where possible to maintain natural drainage flows and maximise stormwater infiltration on–site.</w:t>
            </w:r>
          </w:p>
        </w:tc>
        <w:tc>
          <w:tcPr>
            <w:tcW w:w="4678" w:type="dxa"/>
          </w:tcPr>
          <w:p w14:paraId="4B1E3391" w14:textId="77777777" w:rsidR="00BE36FB" w:rsidRPr="009B7B35" w:rsidRDefault="00BE36FB" w:rsidP="001A7107">
            <w:pPr>
              <w:pStyle w:val="TableText"/>
              <w:rPr>
                <w:rFonts w:cs="Arial"/>
                <w:b/>
                <w:bCs/>
              </w:rPr>
            </w:pPr>
            <w:r w:rsidRPr="009B7B35">
              <w:rPr>
                <w:rFonts w:cs="Arial"/>
                <w:b/>
                <w:bCs/>
              </w:rPr>
              <w:t>AO</w:t>
            </w:r>
            <w:r w:rsidRPr="009B7B35">
              <w:rPr>
                <w:rFonts w:cs="Arial"/>
                <w:b/>
              </w:rPr>
              <w:t>7</w:t>
            </w:r>
            <w:r w:rsidRPr="009B7B35">
              <w:rPr>
                <w:rFonts w:cs="Arial"/>
                <w:b/>
                <w:bCs/>
              </w:rPr>
              <w:t>.1</w:t>
            </w:r>
          </w:p>
          <w:p w14:paraId="60AD21E2" w14:textId="77777777" w:rsidR="00BE36FB" w:rsidRPr="009B7B35" w:rsidRDefault="00BE36FB" w:rsidP="001A7107">
            <w:pPr>
              <w:pStyle w:val="TableText"/>
              <w:rPr>
                <w:rFonts w:cs="Arial"/>
              </w:rPr>
            </w:pPr>
            <w:r w:rsidRPr="009B7B35">
              <w:rPr>
                <w:rFonts w:cs="Arial"/>
              </w:rPr>
              <w:t>Driveways, crossovers and car parking areas are:</w:t>
            </w:r>
          </w:p>
          <w:p w14:paraId="6CF9BDA1" w14:textId="77777777" w:rsidR="00BE36FB" w:rsidRPr="009B7B35" w:rsidRDefault="00BE36FB" w:rsidP="00BE36FB">
            <w:pPr>
              <w:pStyle w:val="TableText"/>
              <w:numPr>
                <w:ilvl w:val="0"/>
                <w:numId w:val="241"/>
              </w:numPr>
              <w:rPr>
                <w:rFonts w:cs="Arial"/>
              </w:rPr>
            </w:pPr>
            <w:r w:rsidRPr="009B7B35">
              <w:rPr>
                <w:rFonts w:cs="Arial"/>
              </w:rPr>
              <w:t>finished with a permeable surface, and</w:t>
            </w:r>
          </w:p>
          <w:p w14:paraId="43ECC439" w14:textId="77777777" w:rsidR="00BE36FB" w:rsidRPr="009B7B35" w:rsidRDefault="00BE36FB" w:rsidP="00BE36FB">
            <w:pPr>
              <w:pStyle w:val="TableText"/>
              <w:numPr>
                <w:ilvl w:val="0"/>
                <w:numId w:val="241"/>
              </w:numPr>
              <w:rPr>
                <w:rFonts w:cs="Arial"/>
              </w:rPr>
            </w:pPr>
            <w:r w:rsidRPr="009B7B35">
              <w:rPr>
                <w:rFonts w:cs="Arial"/>
              </w:rPr>
              <w:t>not located within 4m of the side boundary.</w:t>
            </w:r>
          </w:p>
        </w:tc>
      </w:tr>
      <w:tr w:rsidR="00BE36FB" w:rsidRPr="009B7B35" w14:paraId="4F5987DD" w14:textId="77777777" w:rsidTr="001A7107">
        <w:trPr>
          <w:cantSplit/>
        </w:trPr>
        <w:tc>
          <w:tcPr>
            <w:tcW w:w="4678" w:type="dxa"/>
            <w:vMerge/>
          </w:tcPr>
          <w:p w14:paraId="79A72391" w14:textId="77777777" w:rsidR="00BE36FB" w:rsidRPr="009B7B35" w:rsidRDefault="00BE36FB" w:rsidP="001A7107">
            <w:pPr>
              <w:pStyle w:val="TableText"/>
              <w:rPr>
                <w:rFonts w:cs="Arial"/>
              </w:rPr>
            </w:pPr>
          </w:p>
        </w:tc>
        <w:tc>
          <w:tcPr>
            <w:tcW w:w="4678" w:type="dxa"/>
          </w:tcPr>
          <w:p w14:paraId="1C0C6930" w14:textId="77777777" w:rsidR="00BE36FB" w:rsidRPr="009B7B35" w:rsidRDefault="00BE36FB" w:rsidP="001A7107">
            <w:pPr>
              <w:pStyle w:val="TableText"/>
              <w:rPr>
                <w:rFonts w:cs="Arial"/>
                <w:b/>
                <w:bCs/>
              </w:rPr>
            </w:pPr>
            <w:r w:rsidRPr="009B7B35">
              <w:rPr>
                <w:rFonts w:cs="Arial"/>
                <w:b/>
                <w:bCs/>
              </w:rPr>
              <w:t>AO</w:t>
            </w:r>
            <w:r w:rsidRPr="009B7B35">
              <w:rPr>
                <w:rFonts w:cs="Arial"/>
                <w:b/>
              </w:rPr>
              <w:t>7</w:t>
            </w:r>
            <w:r w:rsidRPr="009B7B35">
              <w:rPr>
                <w:rFonts w:cs="Arial"/>
                <w:b/>
                <w:bCs/>
              </w:rPr>
              <w:t>.2</w:t>
            </w:r>
          </w:p>
          <w:p w14:paraId="232C257D" w14:textId="77777777" w:rsidR="00BE36FB" w:rsidRPr="009B7B35" w:rsidRDefault="00BE36FB" w:rsidP="001A7107">
            <w:pPr>
              <w:pStyle w:val="TableText"/>
              <w:rPr>
                <w:rFonts w:cs="Arial"/>
              </w:rPr>
            </w:pPr>
            <w:r w:rsidRPr="009B7B35">
              <w:rPr>
                <w:rFonts w:cs="Arial"/>
              </w:rPr>
              <w:t>Driveways and crossovers are:</w:t>
            </w:r>
          </w:p>
          <w:p w14:paraId="6FA6F816" w14:textId="77777777" w:rsidR="00BE36FB" w:rsidRPr="009B7B35" w:rsidRDefault="00BE36FB" w:rsidP="00BE36FB">
            <w:pPr>
              <w:pStyle w:val="TableText"/>
              <w:numPr>
                <w:ilvl w:val="0"/>
                <w:numId w:val="127"/>
              </w:numPr>
              <w:rPr>
                <w:rFonts w:cs="Arial"/>
              </w:rPr>
            </w:pPr>
            <w:r w:rsidRPr="009B7B35">
              <w:rPr>
                <w:rFonts w:cs="Arial"/>
              </w:rPr>
              <w:t>a maximum of 3.5m wide including splays, and</w:t>
            </w:r>
          </w:p>
          <w:p w14:paraId="73884F5D" w14:textId="77777777" w:rsidR="00BE36FB" w:rsidRPr="009B7B35" w:rsidRDefault="00BE36FB" w:rsidP="00BE36FB">
            <w:pPr>
              <w:pStyle w:val="TableText"/>
              <w:numPr>
                <w:ilvl w:val="0"/>
                <w:numId w:val="127"/>
              </w:numPr>
              <w:rPr>
                <w:rFonts w:cs="Arial"/>
              </w:rPr>
            </w:pPr>
            <w:r w:rsidRPr="009B7B35">
              <w:rPr>
                <w:rFonts w:cs="Arial"/>
              </w:rPr>
              <w:t>limited to 1 per lot.</w:t>
            </w:r>
          </w:p>
        </w:tc>
      </w:tr>
      <w:tr w:rsidR="00BE36FB" w:rsidRPr="009B7B35" w14:paraId="6CBE71F7" w14:textId="77777777" w:rsidTr="001A7107">
        <w:trPr>
          <w:cantSplit/>
        </w:trPr>
        <w:tc>
          <w:tcPr>
            <w:tcW w:w="9356" w:type="dxa"/>
            <w:gridSpan w:val="2"/>
            <w:shd w:val="clear" w:color="auto" w:fill="BFBFBF" w:themeFill="background1" w:themeFillShade="BF"/>
          </w:tcPr>
          <w:p w14:paraId="38BE0479" w14:textId="77777777" w:rsidR="00BE36FB" w:rsidRPr="009B7B35" w:rsidRDefault="00BE36FB" w:rsidP="001A7107">
            <w:pPr>
              <w:pStyle w:val="Tableheading"/>
              <w:rPr>
                <w:rFonts w:ascii="Arial" w:hAnsi="Arial" w:cs="Arial"/>
                <w:szCs w:val="20"/>
              </w:rPr>
            </w:pPr>
            <w:r w:rsidRPr="009B7B35">
              <w:rPr>
                <w:rFonts w:ascii="Arial" w:hAnsi="Arial" w:cs="Arial"/>
                <w:szCs w:val="20"/>
              </w:rPr>
              <w:t>Landscaping</w:t>
            </w:r>
          </w:p>
        </w:tc>
      </w:tr>
      <w:tr w:rsidR="00BE36FB" w:rsidRPr="009B7B35" w14:paraId="4735E1FF" w14:textId="77777777" w:rsidTr="001A7107">
        <w:trPr>
          <w:cantSplit/>
        </w:trPr>
        <w:tc>
          <w:tcPr>
            <w:tcW w:w="4678" w:type="dxa"/>
            <w:vMerge w:val="restart"/>
          </w:tcPr>
          <w:p w14:paraId="61271307" w14:textId="77777777" w:rsidR="00BE36FB" w:rsidRPr="009B7B35" w:rsidRDefault="00BE36FB" w:rsidP="001A7107">
            <w:pPr>
              <w:pStyle w:val="TableText"/>
              <w:rPr>
                <w:rFonts w:cs="Arial"/>
                <w:b/>
                <w:bCs/>
              </w:rPr>
            </w:pPr>
            <w:r w:rsidRPr="009B7B35">
              <w:rPr>
                <w:rFonts w:cs="Arial"/>
                <w:b/>
                <w:bCs/>
              </w:rPr>
              <w:t>PO</w:t>
            </w:r>
            <w:r w:rsidRPr="009B7B35">
              <w:rPr>
                <w:rFonts w:cs="Arial"/>
                <w:b/>
              </w:rPr>
              <w:t>8</w:t>
            </w:r>
          </w:p>
          <w:p w14:paraId="3311EEF3" w14:textId="77777777" w:rsidR="00BE36FB" w:rsidRPr="009B7B35" w:rsidRDefault="00BE36FB" w:rsidP="001A7107">
            <w:pPr>
              <w:pStyle w:val="TableText"/>
              <w:rPr>
                <w:rFonts w:cs="Arial"/>
              </w:rPr>
            </w:pPr>
            <w:r w:rsidRPr="009B7B35">
              <w:rPr>
                <w:rFonts w:cs="Arial"/>
              </w:rPr>
              <w:t>Development and landscaping:</w:t>
            </w:r>
          </w:p>
          <w:p w14:paraId="5208C056" w14:textId="77777777" w:rsidR="00BE36FB" w:rsidRPr="009B7B35" w:rsidRDefault="00BE36FB" w:rsidP="00BE36FB">
            <w:pPr>
              <w:pStyle w:val="TableText"/>
              <w:numPr>
                <w:ilvl w:val="0"/>
                <w:numId w:val="572"/>
              </w:numPr>
              <w:ind w:left="510" w:hanging="567"/>
              <w:rPr>
                <w:rFonts w:cs="Arial"/>
              </w:rPr>
            </w:pPr>
            <w:r w:rsidRPr="009B7B35">
              <w:rPr>
                <w:rFonts w:cs="Arial"/>
              </w:rPr>
              <w:t>enhances visual amenity and screen buildings from streets, walkways and other public places</w:t>
            </w:r>
          </w:p>
          <w:p w14:paraId="34C777D6" w14:textId="77777777" w:rsidR="00BE36FB" w:rsidRPr="009B7B35" w:rsidRDefault="00BE36FB" w:rsidP="00BE36FB">
            <w:pPr>
              <w:pStyle w:val="TableText"/>
              <w:numPr>
                <w:ilvl w:val="0"/>
                <w:numId w:val="572"/>
              </w:numPr>
              <w:ind w:left="510" w:hanging="510"/>
              <w:rPr>
                <w:rFonts w:cs="Arial"/>
              </w:rPr>
            </w:pPr>
            <w:r w:rsidRPr="009B7B35">
              <w:rPr>
                <w:rFonts w:cs="Arial"/>
              </w:rPr>
              <w:t>integrates with the natural features</w:t>
            </w:r>
          </w:p>
          <w:p w14:paraId="634D295A" w14:textId="77777777" w:rsidR="00BE36FB" w:rsidRPr="009B7B35" w:rsidRDefault="00BE36FB" w:rsidP="00BE36FB">
            <w:pPr>
              <w:pStyle w:val="TableText"/>
              <w:numPr>
                <w:ilvl w:val="0"/>
                <w:numId w:val="572"/>
              </w:numPr>
              <w:ind w:left="510" w:hanging="510"/>
              <w:rPr>
                <w:rFonts w:cs="Arial"/>
              </w:rPr>
            </w:pPr>
            <w:r w:rsidRPr="009B7B35">
              <w:rPr>
                <w:rFonts w:cs="Arial"/>
              </w:rPr>
              <w:t>minimises earthworks and the use of retaining walls, and</w:t>
            </w:r>
          </w:p>
          <w:p w14:paraId="22384F05" w14:textId="77777777" w:rsidR="00BE36FB" w:rsidRPr="009B7B35" w:rsidRDefault="00BE36FB" w:rsidP="00BE36FB">
            <w:pPr>
              <w:pStyle w:val="TableText"/>
              <w:numPr>
                <w:ilvl w:val="0"/>
                <w:numId w:val="572"/>
              </w:numPr>
              <w:ind w:left="510" w:hanging="510"/>
              <w:rPr>
                <w:rFonts w:cs="Arial"/>
              </w:rPr>
            </w:pPr>
            <w:r w:rsidRPr="009B7B35">
              <w:rPr>
                <w:rFonts w:cs="Arial"/>
              </w:rPr>
              <w:t>complements the low density sub–tropical character of the area.</w:t>
            </w:r>
          </w:p>
        </w:tc>
        <w:tc>
          <w:tcPr>
            <w:tcW w:w="4678" w:type="dxa"/>
          </w:tcPr>
          <w:p w14:paraId="653C26D1" w14:textId="77777777" w:rsidR="00BE36FB" w:rsidRPr="009B7B35" w:rsidRDefault="00BE36FB" w:rsidP="001A7107">
            <w:pPr>
              <w:pStyle w:val="TableText"/>
              <w:rPr>
                <w:rFonts w:cs="Arial"/>
                <w:b/>
                <w:bCs/>
              </w:rPr>
            </w:pPr>
            <w:r w:rsidRPr="009B7B35">
              <w:rPr>
                <w:rFonts w:cs="Arial"/>
                <w:b/>
                <w:bCs/>
              </w:rPr>
              <w:t>AO</w:t>
            </w:r>
            <w:r w:rsidRPr="009B7B35">
              <w:rPr>
                <w:rFonts w:cs="Arial"/>
                <w:b/>
              </w:rPr>
              <w:t>8</w:t>
            </w:r>
            <w:r w:rsidRPr="009B7B35">
              <w:rPr>
                <w:rFonts w:cs="Arial"/>
                <w:b/>
                <w:bCs/>
              </w:rPr>
              <w:t>.1</w:t>
            </w:r>
          </w:p>
          <w:p w14:paraId="4FA9FC03" w14:textId="77777777" w:rsidR="00BE36FB" w:rsidRPr="009B7B35" w:rsidRDefault="00BE36FB" w:rsidP="001A7107">
            <w:pPr>
              <w:pStyle w:val="TableText"/>
              <w:rPr>
                <w:rFonts w:cs="Arial"/>
              </w:rPr>
            </w:pPr>
            <w:r w:rsidRPr="009B7B35">
              <w:rPr>
                <w:rFonts w:cs="Arial"/>
              </w:rPr>
              <w:t>Plant species used for landscaping are native to the locality.</w:t>
            </w:r>
          </w:p>
        </w:tc>
      </w:tr>
      <w:tr w:rsidR="00BE36FB" w:rsidRPr="009B7B35" w14:paraId="745DB664" w14:textId="77777777" w:rsidTr="001A7107">
        <w:trPr>
          <w:cantSplit/>
        </w:trPr>
        <w:tc>
          <w:tcPr>
            <w:tcW w:w="4678" w:type="dxa"/>
            <w:vMerge/>
          </w:tcPr>
          <w:p w14:paraId="792BC47B" w14:textId="77777777" w:rsidR="00BE36FB" w:rsidRPr="009B7B35" w:rsidRDefault="00BE36FB" w:rsidP="001A7107">
            <w:pPr>
              <w:pStyle w:val="TableText"/>
              <w:rPr>
                <w:rFonts w:cs="Arial"/>
              </w:rPr>
            </w:pPr>
          </w:p>
        </w:tc>
        <w:tc>
          <w:tcPr>
            <w:tcW w:w="4678" w:type="dxa"/>
          </w:tcPr>
          <w:p w14:paraId="1F1DA283" w14:textId="77777777" w:rsidR="00BE36FB" w:rsidRPr="009B7B35" w:rsidRDefault="00BE36FB" w:rsidP="001A7107">
            <w:pPr>
              <w:pStyle w:val="TableText"/>
              <w:rPr>
                <w:rFonts w:cs="Arial"/>
                <w:b/>
                <w:bCs/>
              </w:rPr>
            </w:pPr>
            <w:r w:rsidRPr="009B7B35">
              <w:rPr>
                <w:rFonts w:cs="Arial"/>
                <w:b/>
                <w:bCs/>
              </w:rPr>
              <w:t>AO</w:t>
            </w:r>
            <w:r w:rsidRPr="009B7B35">
              <w:rPr>
                <w:rFonts w:cs="Arial"/>
                <w:b/>
              </w:rPr>
              <w:t>8</w:t>
            </w:r>
            <w:r w:rsidRPr="009B7B35">
              <w:rPr>
                <w:rFonts w:cs="Arial"/>
                <w:b/>
                <w:bCs/>
              </w:rPr>
              <w:t>.2</w:t>
            </w:r>
          </w:p>
          <w:p w14:paraId="4EF050EF" w14:textId="77777777" w:rsidR="00BE36FB" w:rsidRPr="009B7B35" w:rsidRDefault="00BE36FB" w:rsidP="001A7107">
            <w:pPr>
              <w:pStyle w:val="TableText"/>
              <w:rPr>
                <w:rFonts w:cs="Arial"/>
              </w:rPr>
            </w:pPr>
            <w:r w:rsidRPr="009B7B35">
              <w:rPr>
                <w:rFonts w:cs="Arial"/>
              </w:rPr>
              <w:t>Uncovered external paved or hard landscaped areas not used for car parking are limited to 36m</w:t>
            </w:r>
            <w:r w:rsidRPr="009B7B35">
              <w:rPr>
                <w:rFonts w:cs="Arial"/>
                <w:vertAlign w:val="superscript"/>
              </w:rPr>
              <w:t>2</w:t>
            </w:r>
            <w:r w:rsidRPr="009B7B35">
              <w:rPr>
                <w:rFonts w:cs="Arial"/>
              </w:rPr>
              <w:t xml:space="preserve"> where a Dwelling house or 18m</w:t>
            </w:r>
            <w:r w:rsidRPr="009B7B35">
              <w:rPr>
                <w:rFonts w:cs="Arial"/>
                <w:vertAlign w:val="superscript"/>
              </w:rPr>
              <w:t xml:space="preserve">2 </w:t>
            </w:r>
            <w:r w:rsidRPr="009B7B35">
              <w:rPr>
                <w:rFonts w:cs="Arial"/>
              </w:rPr>
              <w:t>where a dual occupancy.</w:t>
            </w:r>
          </w:p>
        </w:tc>
      </w:tr>
      <w:tr w:rsidR="00BE36FB" w:rsidRPr="009B7B35" w14:paraId="41FB5148" w14:textId="77777777" w:rsidTr="001A7107">
        <w:trPr>
          <w:cantSplit/>
        </w:trPr>
        <w:tc>
          <w:tcPr>
            <w:tcW w:w="4678" w:type="dxa"/>
            <w:vMerge/>
          </w:tcPr>
          <w:p w14:paraId="4A2B04CD" w14:textId="77777777" w:rsidR="00BE36FB" w:rsidRPr="009B7B35" w:rsidRDefault="00BE36FB" w:rsidP="001A7107">
            <w:pPr>
              <w:pStyle w:val="TableText"/>
              <w:rPr>
                <w:rFonts w:cs="Arial"/>
              </w:rPr>
            </w:pPr>
          </w:p>
        </w:tc>
        <w:tc>
          <w:tcPr>
            <w:tcW w:w="4678" w:type="dxa"/>
          </w:tcPr>
          <w:p w14:paraId="6F640AA8" w14:textId="77777777" w:rsidR="00BE36FB" w:rsidRPr="009B7B35" w:rsidRDefault="00BE36FB" w:rsidP="001A7107">
            <w:pPr>
              <w:pStyle w:val="TableText"/>
              <w:rPr>
                <w:rFonts w:cs="Arial"/>
                <w:b/>
                <w:bCs/>
              </w:rPr>
            </w:pPr>
            <w:r w:rsidRPr="009B7B35">
              <w:rPr>
                <w:rFonts w:cs="Arial"/>
                <w:b/>
                <w:bCs/>
              </w:rPr>
              <w:t>AO</w:t>
            </w:r>
            <w:r w:rsidRPr="009B7B35">
              <w:rPr>
                <w:rFonts w:cs="Arial"/>
                <w:b/>
              </w:rPr>
              <w:t>8</w:t>
            </w:r>
            <w:r w:rsidRPr="009B7B35">
              <w:rPr>
                <w:rFonts w:cs="Arial"/>
                <w:b/>
                <w:bCs/>
              </w:rPr>
              <w:t>.3</w:t>
            </w:r>
          </w:p>
          <w:p w14:paraId="6BF9B53B" w14:textId="77777777" w:rsidR="00BE36FB" w:rsidRPr="009B7B35" w:rsidRDefault="00BE36FB" w:rsidP="001A7107">
            <w:pPr>
              <w:pStyle w:val="TableText"/>
              <w:rPr>
                <w:rFonts w:cs="Arial"/>
              </w:rPr>
            </w:pPr>
            <w:r w:rsidRPr="009B7B35">
              <w:rPr>
                <w:rFonts w:cs="Arial"/>
              </w:rPr>
              <w:t>Excavation and fill is limited to:</w:t>
            </w:r>
          </w:p>
          <w:p w14:paraId="65AA8F58" w14:textId="77777777" w:rsidR="00BE36FB" w:rsidRPr="009B7B35" w:rsidRDefault="00BE36FB" w:rsidP="00BE36FB">
            <w:pPr>
              <w:pStyle w:val="TableText"/>
              <w:numPr>
                <w:ilvl w:val="0"/>
                <w:numId w:val="242"/>
              </w:numPr>
              <w:ind w:left="567" w:hanging="567"/>
              <w:rPr>
                <w:rFonts w:cs="Arial"/>
              </w:rPr>
            </w:pPr>
            <w:r w:rsidRPr="009B7B35">
              <w:rPr>
                <w:rFonts w:cs="Arial"/>
              </w:rPr>
              <w:t>maximum cut of 1m below ground level, and</w:t>
            </w:r>
          </w:p>
          <w:p w14:paraId="5B4A06FF" w14:textId="77777777" w:rsidR="00BE36FB" w:rsidRPr="009B7B35" w:rsidRDefault="00BE36FB" w:rsidP="00BE36FB">
            <w:pPr>
              <w:pStyle w:val="TableText"/>
              <w:numPr>
                <w:ilvl w:val="0"/>
                <w:numId w:val="242"/>
              </w:numPr>
              <w:ind w:left="567" w:hanging="567"/>
              <w:rPr>
                <w:rFonts w:cs="Arial"/>
              </w:rPr>
            </w:pPr>
            <w:r w:rsidRPr="009B7B35">
              <w:rPr>
                <w:rFonts w:cs="Arial"/>
              </w:rPr>
              <w:t>maximum fill of 1m above ground level.</w:t>
            </w:r>
          </w:p>
        </w:tc>
      </w:tr>
      <w:tr w:rsidR="00BE36FB" w:rsidRPr="009B7B35" w14:paraId="2B327F1D" w14:textId="77777777" w:rsidTr="001A7107">
        <w:trPr>
          <w:cantSplit/>
        </w:trPr>
        <w:tc>
          <w:tcPr>
            <w:tcW w:w="4678" w:type="dxa"/>
            <w:vMerge/>
          </w:tcPr>
          <w:p w14:paraId="616A1F88" w14:textId="77777777" w:rsidR="00BE36FB" w:rsidRPr="009B7B35" w:rsidRDefault="00BE36FB" w:rsidP="001A7107">
            <w:pPr>
              <w:pStyle w:val="TableText"/>
              <w:rPr>
                <w:rFonts w:cs="Arial"/>
              </w:rPr>
            </w:pPr>
          </w:p>
        </w:tc>
        <w:tc>
          <w:tcPr>
            <w:tcW w:w="4678" w:type="dxa"/>
          </w:tcPr>
          <w:p w14:paraId="3F487F38" w14:textId="77777777" w:rsidR="00BE36FB" w:rsidRPr="009B7B35" w:rsidRDefault="00BE36FB" w:rsidP="001A7107">
            <w:pPr>
              <w:pStyle w:val="TableText"/>
              <w:rPr>
                <w:rFonts w:cs="Arial"/>
                <w:b/>
                <w:bCs/>
              </w:rPr>
            </w:pPr>
            <w:r w:rsidRPr="009B7B35">
              <w:rPr>
                <w:rFonts w:cs="Arial"/>
                <w:b/>
                <w:bCs/>
              </w:rPr>
              <w:t>AO</w:t>
            </w:r>
            <w:r w:rsidRPr="009B7B35">
              <w:rPr>
                <w:rFonts w:cs="Arial"/>
                <w:b/>
              </w:rPr>
              <w:t>8</w:t>
            </w:r>
            <w:r w:rsidRPr="009B7B35">
              <w:rPr>
                <w:rFonts w:cs="Arial"/>
                <w:b/>
                <w:bCs/>
              </w:rPr>
              <w:t>.4</w:t>
            </w:r>
          </w:p>
          <w:p w14:paraId="5B4566E0" w14:textId="77777777" w:rsidR="00BE36FB" w:rsidRPr="009B7B35" w:rsidRDefault="00BE36FB" w:rsidP="001A7107">
            <w:pPr>
              <w:pStyle w:val="TableText"/>
              <w:rPr>
                <w:rFonts w:cs="Arial"/>
              </w:rPr>
            </w:pPr>
            <w:r w:rsidRPr="009B7B35">
              <w:rPr>
                <w:rFonts w:cs="Arial"/>
              </w:rPr>
              <w:t>Retaining walls and terraces are:</w:t>
            </w:r>
          </w:p>
          <w:p w14:paraId="10888FEC" w14:textId="77777777" w:rsidR="00BE36FB" w:rsidRPr="009B7B35" w:rsidRDefault="00BE36FB" w:rsidP="00BE36FB">
            <w:pPr>
              <w:pStyle w:val="TableText"/>
              <w:numPr>
                <w:ilvl w:val="0"/>
                <w:numId w:val="243"/>
              </w:numPr>
              <w:rPr>
                <w:rFonts w:cs="Arial"/>
              </w:rPr>
            </w:pPr>
            <w:r w:rsidRPr="009B7B35">
              <w:rPr>
                <w:rFonts w:cs="Arial"/>
              </w:rPr>
              <w:t>not constructed to create a level lot</w:t>
            </w:r>
          </w:p>
          <w:p w14:paraId="6205FD77" w14:textId="77777777" w:rsidR="00BE36FB" w:rsidRPr="009B7B35" w:rsidRDefault="00BE36FB" w:rsidP="00BE36FB">
            <w:pPr>
              <w:pStyle w:val="TableText"/>
              <w:numPr>
                <w:ilvl w:val="0"/>
                <w:numId w:val="243"/>
              </w:numPr>
              <w:rPr>
                <w:rFonts w:cs="Arial"/>
              </w:rPr>
            </w:pPr>
            <w:r w:rsidRPr="009B7B35">
              <w:rPr>
                <w:rFonts w:cs="Arial"/>
              </w:rPr>
              <w:t>a maximum 0.6m high to the street frontage, and</w:t>
            </w:r>
          </w:p>
          <w:p w14:paraId="1AD9A8EE" w14:textId="77777777" w:rsidR="00BE36FB" w:rsidRPr="009B7B35" w:rsidRDefault="00BE36FB" w:rsidP="00BE36FB">
            <w:pPr>
              <w:pStyle w:val="TableText"/>
              <w:numPr>
                <w:ilvl w:val="0"/>
                <w:numId w:val="243"/>
              </w:numPr>
              <w:rPr>
                <w:rFonts w:cs="Arial"/>
              </w:rPr>
            </w:pPr>
            <w:r w:rsidRPr="009B7B35">
              <w:rPr>
                <w:rFonts w:cs="Arial"/>
              </w:rPr>
              <w:t>a maximum height of 1.2m elsewhere on the lot.</w:t>
            </w:r>
          </w:p>
        </w:tc>
      </w:tr>
      <w:tr w:rsidR="00BE36FB" w:rsidRPr="009B7B35" w14:paraId="7023C192" w14:textId="77777777" w:rsidTr="001A7107">
        <w:trPr>
          <w:cantSplit/>
        </w:trPr>
        <w:tc>
          <w:tcPr>
            <w:tcW w:w="9356" w:type="dxa"/>
            <w:gridSpan w:val="2"/>
          </w:tcPr>
          <w:p w14:paraId="4B434E68"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1497C39F" w14:textId="77777777" w:rsidTr="001A7107">
        <w:trPr>
          <w:cantSplit/>
        </w:trPr>
        <w:tc>
          <w:tcPr>
            <w:tcW w:w="9356" w:type="dxa"/>
            <w:gridSpan w:val="2"/>
            <w:shd w:val="clear" w:color="auto" w:fill="BFBFBF" w:themeFill="background1" w:themeFillShade="BF"/>
          </w:tcPr>
          <w:p w14:paraId="26C5FD6B"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14:paraId="191CFC6F" w14:textId="77777777" w:rsidTr="001A7107">
        <w:trPr>
          <w:cantSplit/>
        </w:trPr>
        <w:tc>
          <w:tcPr>
            <w:tcW w:w="4678" w:type="dxa"/>
          </w:tcPr>
          <w:p w14:paraId="1D3864C2" w14:textId="77777777" w:rsidR="00BE36FB" w:rsidRPr="009B7B35" w:rsidRDefault="00BE36FB" w:rsidP="001A7107">
            <w:pPr>
              <w:pStyle w:val="TableText"/>
              <w:rPr>
                <w:rFonts w:cs="Arial"/>
                <w:b/>
                <w:bCs/>
              </w:rPr>
            </w:pPr>
            <w:r w:rsidRPr="009B7B35">
              <w:rPr>
                <w:rFonts w:cs="Arial"/>
                <w:b/>
                <w:bCs/>
              </w:rPr>
              <w:t>PO</w:t>
            </w:r>
            <w:r w:rsidRPr="009B7B35">
              <w:rPr>
                <w:rFonts w:cs="Arial"/>
                <w:b/>
              </w:rPr>
              <w:t>9</w:t>
            </w:r>
          </w:p>
          <w:p w14:paraId="177E3095" w14:textId="77777777" w:rsidR="00BE36FB" w:rsidRPr="009B7B35" w:rsidRDefault="00BE36FB" w:rsidP="001A7107">
            <w:pPr>
              <w:pStyle w:val="TableText"/>
              <w:rPr>
                <w:rFonts w:cs="Arial"/>
              </w:rPr>
            </w:pPr>
            <w:r w:rsidRPr="009B7B35">
              <w:rPr>
                <w:rFonts w:cs="Arial"/>
              </w:rPr>
              <w:t>Development is of a small scale that does not compromise the low density and coastal village character of the locality.</w:t>
            </w:r>
          </w:p>
        </w:tc>
        <w:tc>
          <w:tcPr>
            <w:tcW w:w="4678" w:type="dxa"/>
          </w:tcPr>
          <w:p w14:paraId="5F1A9041" w14:textId="77777777" w:rsidR="00BE36FB" w:rsidRPr="009B7B35" w:rsidRDefault="00BE36FB" w:rsidP="001A7107">
            <w:pPr>
              <w:pStyle w:val="TableText"/>
              <w:rPr>
                <w:rFonts w:cs="Arial"/>
              </w:rPr>
            </w:pPr>
            <w:r w:rsidRPr="009B7B35">
              <w:rPr>
                <w:rFonts w:cs="Arial"/>
              </w:rPr>
              <w:t>No acceptable outcomes are nominated.</w:t>
            </w:r>
          </w:p>
        </w:tc>
      </w:tr>
      <w:tr w:rsidR="00BE36FB" w:rsidRPr="009B7B35" w14:paraId="74F6BC56" w14:textId="77777777" w:rsidTr="001A7107">
        <w:trPr>
          <w:cantSplit/>
        </w:trPr>
        <w:tc>
          <w:tcPr>
            <w:tcW w:w="9356" w:type="dxa"/>
            <w:gridSpan w:val="2"/>
            <w:shd w:val="clear" w:color="auto" w:fill="BFBFBF" w:themeFill="background1" w:themeFillShade="BF"/>
          </w:tcPr>
          <w:p w14:paraId="080CFA9B"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0B55C9D0" w14:textId="77777777" w:rsidTr="001A7107">
        <w:trPr>
          <w:cantSplit/>
        </w:trPr>
        <w:tc>
          <w:tcPr>
            <w:tcW w:w="4678" w:type="dxa"/>
          </w:tcPr>
          <w:p w14:paraId="38A419A4" w14:textId="77777777" w:rsidR="00BE36FB" w:rsidRPr="009B7B35" w:rsidRDefault="00BE36FB" w:rsidP="001A7107">
            <w:pPr>
              <w:pStyle w:val="TableText"/>
              <w:rPr>
                <w:rFonts w:cs="Arial"/>
                <w:b/>
                <w:bCs/>
              </w:rPr>
            </w:pPr>
            <w:r w:rsidRPr="009B7B35">
              <w:rPr>
                <w:rFonts w:cs="Arial"/>
                <w:b/>
                <w:bCs/>
              </w:rPr>
              <w:t>PO1</w:t>
            </w:r>
            <w:r w:rsidRPr="009B7B35">
              <w:rPr>
                <w:rFonts w:cs="Arial"/>
                <w:b/>
              </w:rPr>
              <w:t>0</w:t>
            </w:r>
          </w:p>
          <w:p w14:paraId="0A787FB9" w14:textId="77777777" w:rsidR="00BE36FB" w:rsidRPr="009B7B35" w:rsidRDefault="00BE36FB" w:rsidP="001A7107">
            <w:pPr>
              <w:pStyle w:val="TableText"/>
              <w:rPr>
                <w:rFonts w:cs="Arial"/>
              </w:rPr>
            </w:pPr>
            <w:r w:rsidRPr="009B7B35">
              <w:rPr>
                <w:rFonts w:cs="Arial"/>
              </w:rPr>
              <w:t>Development responds sensitively to on–site and surrounding topography, drainage patterns, utility services, access, vegetation and adjoining land use, such that:</w:t>
            </w:r>
          </w:p>
          <w:p w14:paraId="4BC89933" w14:textId="77777777" w:rsidR="00BE36FB" w:rsidRPr="009B7B35" w:rsidRDefault="00BE36FB" w:rsidP="00BE36FB">
            <w:pPr>
              <w:pStyle w:val="TableText"/>
              <w:numPr>
                <w:ilvl w:val="0"/>
                <w:numId w:val="573"/>
              </w:numPr>
              <w:ind w:left="510" w:hanging="510"/>
              <w:rPr>
                <w:rFonts w:cs="Arial"/>
              </w:rPr>
            </w:pPr>
            <w:r w:rsidRPr="009B7B35">
              <w:rPr>
                <w:rFonts w:cs="Arial"/>
              </w:rPr>
              <w:t>any hazards to people or property are avoided</w:t>
            </w:r>
          </w:p>
          <w:p w14:paraId="69AA0DD2" w14:textId="77777777" w:rsidR="00BE36FB" w:rsidRPr="009B7B35" w:rsidRDefault="00BE36FB" w:rsidP="00BE36FB">
            <w:pPr>
              <w:pStyle w:val="TableText"/>
              <w:numPr>
                <w:ilvl w:val="0"/>
                <w:numId w:val="573"/>
              </w:numPr>
              <w:ind w:left="510" w:hanging="510"/>
              <w:rPr>
                <w:rFonts w:cs="Arial"/>
              </w:rPr>
            </w:pPr>
            <w:r w:rsidRPr="009B7B35">
              <w:rPr>
                <w:rFonts w:cs="Arial"/>
              </w:rPr>
              <w:t>native plants are retained within the lot or premises and adjoining road reserve</w:t>
            </w:r>
          </w:p>
          <w:p w14:paraId="3BE11864" w14:textId="77777777" w:rsidR="00BE36FB" w:rsidRPr="009B7B35" w:rsidRDefault="00BE36FB" w:rsidP="00BE36FB">
            <w:pPr>
              <w:pStyle w:val="TableText"/>
              <w:numPr>
                <w:ilvl w:val="0"/>
                <w:numId w:val="573"/>
              </w:numPr>
              <w:ind w:left="510" w:hanging="510"/>
              <w:rPr>
                <w:rFonts w:cs="Arial"/>
              </w:rPr>
            </w:pPr>
            <w:r w:rsidRPr="009B7B35">
              <w:rPr>
                <w:rFonts w:cs="Arial"/>
              </w:rPr>
              <w:t>any earthworks are minimised</w:t>
            </w:r>
          </w:p>
          <w:p w14:paraId="45718BC5" w14:textId="77777777" w:rsidR="00BE36FB" w:rsidRPr="009B7B35" w:rsidRDefault="00BE36FB" w:rsidP="00BE36FB">
            <w:pPr>
              <w:pStyle w:val="TableText"/>
              <w:numPr>
                <w:ilvl w:val="0"/>
                <w:numId w:val="573"/>
              </w:numPr>
              <w:ind w:left="510" w:hanging="510"/>
              <w:rPr>
                <w:rFonts w:cs="Arial"/>
              </w:rPr>
            </w:pPr>
            <w:r w:rsidRPr="009B7B35">
              <w:rPr>
                <w:rFonts w:cs="Arial"/>
              </w:rPr>
              <w:t>the retention of natural drainage systems is maximised</w:t>
            </w:r>
          </w:p>
          <w:p w14:paraId="300BDD6F" w14:textId="77777777" w:rsidR="00BE36FB" w:rsidRPr="009B7B35" w:rsidRDefault="00BE36FB" w:rsidP="00BE36FB">
            <w:pPr>
              <w:pStyle w:val="TableText"/>
              <w:numPr>
                <w:ilvl w:val="0"/>
                <w:numId w:val="573"/>
              </w:numPr>
              <w:ind w:left="510" w:hanging="510"/>
              <w:rPr>
                <w:rFonts w:cs="Arial"/>
              </w:rPr>
            </w:pPr>
            <w:r w:rsidRPr="009B7B35">
              <w:rPr>
                <w:rFonts w:cs="Arial"/>
              </w:rPr>
              <w:t>the retention of existing vegetation is maximised</w:t>
            </w:r>
          </w:p>
          <w:p w14:paraId="523AAF22" w14:textId="77777777" w:rsidR="00BE36FB" w:rsidRPr="009B7B35" w:rsidRDefault="00BE36FB" w:rsidP="00BE36FB">
            <w:pPr>
              <w:pStyle w:val="TableText"/>
              <w:numPr>
                <w:ilvl w:val="0"/>
                <w:numId w:val="573"/>
              </w:numPr>
              <w:ind w:left="510" w:hanging="510"/>
              <w:rPr>
                <w:rFonts w:cs="Arial"/>
              </w:rPr>
            </w:pPr>
            <w:r w:rsidRPr="009B7B35">
              <w:rPr>
                <w:rFonts w:cs="Arial"/>
              </w:rPr>
              <w:t xml:space="preserve">damage or disruption to sewerage, stormwater and water infrastructure is avoided, and </w:t>
            </w:r>
          </w:p>
          <w:p w14:paraId="305D93F4" w14:textId="77777777" w:rsidR="00BE36FB" w:rsidRPr="009B7B35" w:rsidRDefault="00BE36FB" w:rsidP="00BE36FB">
            <w:pPr>
              <w:pStyle w:val="TableText"/>
              <w:numPr>
                <w:ilvl w:val="0"/>
                <w:numId w:val="573"/>
              </w:numPr>
              <w:ind w:left="510" w:hanging="510"/>
              <w:rPr>
                <w:rFonts w:cs="Arial"/>
              </w:rPr>
            </w:pPr>
            <w:r w:rsidRPr="009B7B35">
              <w:rPr>
                <w:rFonts w:cs="Arial"/>
              </w:rPr>
              <w:t>there is adequate buffering, screening or separation to adjoining development.</w:t>
            </w:r>
          </w:p>
        </w:tc>
        <w:tc>
          <w:tcPr>
            <w:tcW w:w="4678" w:type="dxa"/>
          </w:tcPr>
          <w:p w14:paraId="1101C100" w14:textId="77777777" w:rsidR="00BE36FB" w:rsidRPr="009B7B35" w:rsidRDefault="00BE36FB" w:rsidP="001A7107">
            <w:pPr>
              <w:pStyle w:val="TableText"/>
              <w:rPr>
                <w:rFonts w:cs="Arial"/>
              </w:rPr>
            </w:pPr>
            <w:r w:rsidRPr="009B7B35">
              <w:rPr>
                <w:rFonts w:cs="Arial"/>
              </w:rPr>
              <w:t>No acceptable outcomes are nominated.</w:t>
            </w:r>
          </w:p>
        </w:tc>
      </w:tr>
      <w:tr w:rsidR="00BE36FB" w:rsidRPr="009B7B35" w14:paraId="38CB2F10" w14:textId="77777777" w:rsidTr="001A7107">
        <w:trPr>
          <w:cantSplit/>
        </w:trPr>
        <w:tc>
          <w:tcPr>
            <w:tcW w:w="4678" w:type="dxa"/>
          </w:tcPr>
          <w:p w14:paraId="752BD580" w14:textId="77777777" w:rsidR="00BE36FB" w:rsidRPr="009B7B35" w:rsidRDefault="00BE36FB" w:rsidP="001A7107">
            <w:pPr>
              <w:pStyle w:val="TableText"/>
              <w:rPr>
                <w:rFonts w:cs="Arial"/>
                <w:b/>
                <w:bCs/>
              </w:rPr>
            </w:pPr>
            <w:r w:rsidRPr="009B7B35">
              <w:rPr>
                <w:rFonts w:cs="Arial"/>
                <w:b/>
                <w:bCs/>
              </w:rPr>
              <w:t>PO1</w:t>
            </w:r>
            <w:r w:rsidRPr="009B7B35">
              <w:rPr>
                <w:rFonts w:cs="Arial"/>
                <w:b/>
              </w:rPr>
              <w:t>1</w:t>
            </w:r>
          </w:p>
          <w:p w14:paraId="2DAA7E65" w14:textId="77777777"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14:paraId="00BFBBF1" w14:textId="77777777" w:rsidR="00BE36FB" w:rsidRPr="009B7B35" w:rsidRDefault="00BE36FB" w:rsidP="00BE36FB">
            <w:pPr>
              <w:pStyle w:val="TableText"/>
              <w:numPr>
                <w:ilvl w:val="0"/>
                <w:numId w:val="128"/>
              </w:numPr>
              <w:rPr>
                <w:rFonts w:cs="Arial"/>
              </w:rPr>
            </w:pPr>
            <w:r w:rsidRPr="009B7B35">
              <w:rPr>
                <w:rFonts w:cs="Arial"/>
              </w:rPr>
              <w:t>noise</w:t>
            </w:r>
          </w:p>
          <w:p w14:paraId="5699B875" w14:textId="77777777" w:rsidR="00BE36FB" w:rsidRPr="009B7B35" w:rsidRDefault="00BE36FB" w:rsidP="00BE36FB">
            <w:pPr>
              <w:pStyle w:val="TableText"/>
              <w:numPr>
                <w:ilvl w:val="0"/>
                <w:numId w:val="128"/>
              </w:numPr>
              <w:rPr>
                <w:rFonts w:cs="Arial"/>
              </w:rPr>
            </w:pPr>
            <w:r w:rsidRPr="009B7B35">
              <w:rPr>
                <w:rFonts w:cs="Arial"/>
              </w:rPr>
              <w:t>hours of operation including temporary uses</w:t>
            </w:r>
          </w:p>
          <w:p w14:paraId="62464B47" w14:textId="77777777" w:rsidR="00BE36FB" w:rsidRPr="009B7B35" w:rsidRDefault="00BE36FB" w:rsidP="00BE36FB">
            <w:pPr>
              <w:pStyle w:val="TableText"/>
              <w:numPr>
                <w:ilvl w:val="0"/>
                <w:numId w:val="128"/>
              </w:numPr>
              <w:rPr>
                <w:rFonts w:cs="Arial"/>
              </w:rPr>
            </w:pPr>
            <w:r w:rsidRPr="009B7B35">
              <w:rPr>
                <w:rFonts w:cs="Arial"/>
              </w:rPr>
              <w:t>traffic and parking</w:t>
            </w:r>
          </w:p>
          <w:p w14:paraId="3DC2C1E1" w14:textId="77777777" w:rsidR="00BE36FB" w:rsidRPr="009B7B35" w:rsidRDefault="00BE36FB" w:rsidP="00BE36FB">
            <w:pPr>
              <w:pStyle w:val="TableText"/>
              <w:numPr>
                <w:ilvl w:val="0"/>
                <w:numId w:val="128"/>
              </w:numPr>
              <w:rPr>
                <w:rFonts w:cs="Arial"/>
              </w:rPr>
            </w:pPr>
            <w:r w:rsidRPr="009B7B35">
              <w:rPr>
                <w:rFonts w:cs="Arial"/>
              </w:rPr>
              <w:t>visual impact</w:t>
            </w:r>
          </w:p>
          <w:p w14:paraId="73949B78" w14:textId="77777777" w:rsidR="00BE36FB" w:rsidRPr="009B7B35" w:rsidRDefault="00BE36FB" w:rsidP="00BE36FB">
            <w:pPr>
              <w:pStyle w:val="TableText"/>
              <w:numPr>
                <w:ilvl w:val="0"/>
                <w:numId w:val="128"/>
              </w:numPr>
              <w:rPr>
                <w:rFonts w:cs="Arial"/>
              </w:rPr>
            </w:pPr>
            <w:r w:rsidRPr="009B7B35">
              <w:rPr>
                <w:rFonts w:cs="Arial"/>
              </w:rPr>
              <w:t>signage</w:t>
            </w:r>
          </w:p>
          <w:p w14:paraId="271D366B" w14:textId="77777777" w:rsidR="00BE36FB" w:rsidRPr="009B7B35" w:rsidRDefault="00BE36FB" w:rsidP="00BE36FB">
            <w:pPr>
              <w:pStyle w:val="TableText"/>
              <w:numPr>
                <w:ilvl w:val="0"/>
                <w:numId w:val="128"/>
              </w:numPr>
              <w:rPr>
                <w:rFonts w:cs="Arial"/>
              </w:rPr>
            </w:pPr>
            <w:r w:rsidRPr="009B7B35">
              <w:rPr>
                <w:rFonts w:cs="Arial"/>
              </w:rPr>
              <w:t>odour and emissions</w:t>
            </w:r>
          </w:p>
          <w:p w14:paraId="26BD6909" w14:textId="77777777" w:rsidR="00BE36FB" w:rsidRPr="009B7B35" w:rsidRDefault="00BE36FB" w:rsidP="00BE36FB">
            <w:pPr>
              <w:pStyle w:val="TableText"/>
              <w:numPr>
                <w:ilvl w:val="0"/>
                <w:numId w:val="128"/>
              </w:numPr>
              <w:rPr>
                <w:rFonts w:cs="Arial"/>
              </w:rPr>
            </w:pPr>
            <w:r w:rsidRPr="009B7B35">
              <w:rPr>
                <w:rFonts w:cs="Arial"/>
              </w:rPr>
              <w:t>lighting</w:t>
            </w:r>
          </w:p>
          <w:p w14:paraId="4B7340A8" w14:textId="77777777" w:rsidR="00BE36FB" w:rsidRPr="009B7B35" w:rsidRDefault="00BE36FB" w:rsidP="00BE36FB">
            <w:pPr>
              <w:pStyle w:val="TableText"/>
              <w:numPr>
                <w:ilvl w:val="0"/>
                <w:numId w:val="128"/>
              </w:numPr>
              <w:rPr>
                <w:rFonts w:cs="Arial"/>
              </w:rPr>
            </w:pPr>
            <w:r w:rsidRPr="009B7B35">
              <w:rPr>
                <w:rFonts w:cs="Arial"/>
              </w:rPr>
              <w:t>access to sunlight</w:t>
            </w:r>
          </w:p>
          <w:p w14:paraId="1F844453" w14:textId="77777777" w:rsidR="00BE36FB" w:rsidRPr="009B7B35" w:rsidRDefault="00BE36FB" w:rsidP="00BE36FB">
            <w:pPr>
              <w:pStyle w:val="TableText"/>
              <w:numPr>
                <w:ilvl w:val="0"/>
                <w:numId w:val="128"/>
              </w:numPr>
              <w:rPr>
                <w:rFonts w:cs="Arial"/>
              </w:rPr>
            </w:pPr>
            <w:r w:rsidRPr="009B7B35">
              <w:rPr>
                <w:rFonts w:cs="Arial"/>
              </w:rPr>
              <w:t>privacy.</w:t>
            </w:r>
          </w:p>
          <w:p w14:paraId="303DEF15" w14:textId="77777777" w:rsidR="00BE36FB" w:rsidRPr="009B7B35" w:rsidRDefault="00BE36FB">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14:paraId="5309C4AE" w14:textId="77777777" w:rsidR="00BE36FB" w:rsidRPr="009B7B35" w:rsidRDefault="00BE36FB" w:rsidP="001A7107">
            <w:pPr>
              <w:pStyle w:val="TableText"/>
              <w:rPr>
                <w:rFonts w:cs="Arial"/>
              </w:rPr>
            </w:pPr>
            <w:r w:rsidRPr="009B7B35">
              <w:rPr>
                <w:rFonts w:cs="Arial"/>
              </w:rPr>
              <w:t>No acceptable outcome is nominated.</w:t>
            </w:r>
          </w:p>
        </w:tc>
      </w:tr>
    </w:tbl>
    <w:p w14:paraId="65D94935" w14:textId="77777777" w:rsidR="00BE36FB" w:rsidRPr="009B7B35" w:rsidRDefault="00BE36FB" w:rsidP="006776DA">
      <w:pPr>
        <w:pStyle w:val="Heading5"/>
        <w:numPr>
          <w:ilvl w:val="4"/>
          <w:numId w:val="883"/>
        </w:numPr>
        <w:rPr>
          <w:rFonts w:cs="Arial"/>
          <w:szCs w:val="20"/>
        </w:rPr>
      </w:pPr>
      <w:r w:rsidRPr="009B7B35">
        <w:rPr>
          <w:rFonts w:cs="Arial"/>
          <w:szCs w:val="20"/>
        </w:rPr>
        <w:t>Diagram 6.2.4.3.1—Character dwelling house</w:t>
      </w:r>
    </w:p>
    <w:p w14:paraId="5BDA72A2" w14:textId="77777777"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13406DD8" wp14:editId="29C2B4C3">
            <wp:extent cx="5845005" cy="2875085"/>
            <wp:effectExtent l="0" t="0" r="3810" b="1905"/>
            <wp:docPr id="84" name="Picture 84" descr="130909_DIA_01_Character_Residential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30909_DIA_01_Character_Residential Code"/>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962" t="11419" r="571" b="22033"/>
                    <a:stretch/>
                  </pic:blipFill>
                  <pic:spPr bwMode="auto">
                    <a:xfrm>
                      <a:off x="0" y="0"/>
                      <a:ext cx="5927390" cy="2915609"/>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66C9EC5" w14:textId="77777777" w:rsidR="00BE36FB" w:rsidRPr="009B7B35" w:rsidRDefault="00BE36FB" w:rsidP="001A7107">
      <w:pPr>
        <w:rPr>
          <w:rFonts w:ascii="Arial" w:hAnsi="Arial" w:cs="Arial"/>
          <w:sz w:val="20"/>
          <w:szCs w:val="20"/>
        </w:rPr>
      </w:pPr>
    </w:p>
    <w:p w14:paraId="7013D750"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4437F98B" w14:textId="77777777" w:rsidR="00BE36FB" w:rsidRPr="009B7B35" w:rsidRDefault="00BE36FB" w:rsidP="006776DA">
      <w:pPr>
        <w:pStyle w:val="Heading3"/>
        <w:keepLines/>
        <w:numPr>
          <w:ilvl w:val="2"/>
          <w:numId w:val="883"/>
        </w:numPr>
        <w:spacing w:before="240"/>
        <w:rPr>
          <w:rFonts w:ascii="Arial" w:hAnsi="Arial"/>
          <w:sz w:val="20"/>
          <w:szCs w:val="20"/>
        </w:rPr>
      </w:pPr>
      <w:bookmarkStart w:id="187" w:name="_Toc205367350"/>
      <w:r w:rsidRPr="009B7B35">
        <w:rPr>
          <w:rFonts w:ascii="Arial" w:hAnsi="Arial"/>
          <w:sz w:val="20"/>
          <w:szCs w:val="20"/>
        </w:rPr>
        <w:t>Centre</w:t>
      </w:r>
      <w:bookmarkEnd w:id="187"/>
    </w:p>
    <w:p w14:paraId="326D2F7A"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21C316F7"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5454CBAF"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5416DD21" w14:textId="77777777" w:rsidR="00BE36FB" w:rsidRPr="009B7B35" w:rsidRDefault="00BE36FB" w:rsidP="00BE36FB">
      <w:pPr>
        <w:numPr>
          <w:ilvl w:val="0"/>
          <w:numId w:val="164"/>
        </w:numPr>
        <w:rPr>
          <w:rFonts w:ascii="Arial" w:hAnsi="Arial" w:cs="Arial"/>
          <w:sz w:val="20"/>
          <w:szCs w:val="20"/>
        </w:rPr>
      </w:pPr>
      <w:r w:rsidRPr="009B7B35">
        <w:rPr>
          <w:rFonts w:ascii="Arial" w:hAnsi="Arial" w:cs="Arial"/>
          <w:sz w:val="20"/>
          <w:szCs w:val="20"/>
        </w:rPr>
        <w:t>The purpose of the Centre zone code is to provide for a mix of uses and activities in a highly accessible locality that functions as a true town centre, community hub and meeting place. These uses include, but are not limited to, business, retail, professional, administrative, community, entertainment, cultural and residential and associated activities. These centres are found in a variety of configurations based on their location, surrounding uses and in terms of meeting community needs. Locations focus on major retail and shopping destinations at Kin Kora, Gladstone Central, Kirkwood Road, Calliope, Boyne Island, Tannum Sands and Agnes Water. Development in this zone:</w:t>
      </w:r>
    </w:p>
    <w:p w14:paraId="0C2E0BB1" w14:textId="77777777"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Provides for accessible, convenient and attractive retail, commercial, administrative and community activities that compliments but does not compete with the Gladstone CBD's role as the provider of high order uses, particularly those relating to business, entertainment and cultural activities or Specialised centres.</w:t>
      </w:r>
    </w:p>
    <w:p w14:paraId="5D832A77" w14:textId="77777777"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Manages the interface between centre activities and adjoining residential areas.</w:t>
      </w:r>
    </w:p>
    <w:p w14:paraId="0C00F4AB" w14:textId="77777777"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 xml:space="preserve">Promotes high quality centre design that maximises access by active and public transport and activates streets and public spaces. </w:t>
      </w:r>
    </w:p>
    <w:p w14:paraId="1BB70B01" w14:textId="77777777" w:rsidR="00BE36FB" w:rsidRPr="009B7B35" w:rsidRDefault="00BE36FB" w:rsidP="00BE36FB">
      <w:pPr>
        <w:numPr>
          <w:ilvl w:val="0"/>
          <w:numId w:val="164"/>
        </w:numPr>
        <w:rPr>
          <w:rFonts w:ascii="Arial" w:hAnsi="Arial" w:cs="Arial"/>
          <w:sz w:val="20"/>
          <w:szCs w:val="20"/>
        </w:rPr>
      </w:pPr>
      <w:r w:rsidRPr="009B7B35">
        <w:rPr>
          <w:rFonts w:ascii="Arial" w:hAnsi="Arial" w:cs="Arial"/>
          <w:sz w:val="20"/>
          <w:szCs w:val="20"/>
        </w:rPr>
        <w:t>The purpose of the zone will be achieved through the following overall outcomes:</w:t>
      </w:r>
    </w:p>
    <w:p w14:paraId="582DF8C2" w14:textId="77777777"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Promotion of a mix of commercial, business, professional and retail activities.</w:t>
      </w:r>
    </w:p>
    <w:p w14:paraId="76AD0AAE" w14:textId="77777777"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Shopping facilities in the form of showrooms are not established in centre zones.</w:t>
      </w:r>
    </w:p>
    <w:p w14:paraId="677FBE1A" w14:textId="77777777"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Development is generally established in accessible, well–connected locations with access to public transport, cycling and pedestrian networks.</w:t>
      </w:r>
    </w:p>
    <w:p w14:paraId="2AACE641" w14:textId="77777777"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Service industries may be appropriate in the zone.</w:t>
      </w:r>
    </w:p>
    <w:p w14:paraId="460A1A4A" w14:textId="77777777"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Development is designed to maximise energy efficiency, water conservation and public/active transport use.</w:t>
      </w:r>
    </w:p>
    <w:p w14:paraId="0C9F5816" w14:textId="77777777"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Development provides a high level of amenity and is reflective of the surrounding character of the area.</w:t>
      </w:r>
    </w:p>
    <w:p w14:paraId="5802F73E" w14:textId="77777777"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Development promotes public transport use, walking and cycling.</w:t>
      </w:r>
    </w:p>
    <w:p w14:paraId="04D3E8A8" w14:textId="77777777"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Development is supported by appropriate infrastructure and essential services.</w:t>
      </w:r>
    </w:p>
    <w:p w14:paraId="5091346B" w14:textId="77777777" w:rsidR="00BE36FB" w:rsidRPr="009B7B35" w:rsidRDefault="00BE36FB" w:rsidP="00BE36FB">
      <w:pPr>
        <w:numPr>
          <w:ilvl w:val="1"/>
          <w:numId w:val="164"/>
        </w:numPr>
        <w:rPr>
          <w:rFonts w:ascii="Arial" w:hAnsi="Arial" w:cs="Arial"/>
          <w:sz w:val="20"/>
          <w:szCs w:val="20"/>
        </w:rPr>
      </w:pPr>
      <w:r w:rsidRPr="009B7B35">
        <w:rPr>
          <w:rFonts w:ascii="Arial" w:hAnsi="Arial" w:cs="Arial"/>
          <w:sz w:val="20"/>
          <w:szCs w:val="20"/>
        </w:rPr>
        <w:t>Development responds to land constraints including topography and flooding.</w:t>
      </w:r>
    </w:p>
    <w:p w14:paraId="6D94E055"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036F1990" w14:textId="77777777" w:rsidR="00BE36FB" w:rsidRPr="009B7B35" w:rsidRDefault="00BE36FB" w:rsidP="00B2383D">
      <w:pPr>
        <w:pStyle w:val="Heading5"/>
        <w:numPr>
          <w:ilvl w:val="0"/>
          <w:numId w:val="0"/>
        </w:numPr>
        <w:rPr>
          <w:rFonts w:cs="Arial"/>
          <w:szCs w:val="20"/>
        </w:rPr>
      </w:pPr>
      <w:r w:rsidRPr="009B7B35">
        <w:rPr>
          <w:rFonts w:cs="Arial"/>
          <w:szCs w:val="20"/>
        </w:rPr>
        <w:t>Table 6.2.5.3.1—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14:paraId="0F5D7B7C"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58346661"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6D487280"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7317E4B6" w14:textId="77777777" w:rsidTr="001A7107">
        <w:trPr>
          <w:cantSplit/>
        </w:trPr>
        <w:tc>
          <w:tcPr>
            <w:tcW w:w="9356" w:type="dxa"/>
            <w:gridSpan w:val="2"/>
            <w:shd w:val="clear" w:color="auto" w:fill="BFBFBF" w:themeFill="background1" w:themeFillShade="BF"/>
          </w:tcPr>
          <w:p w14:paraId="1056F594" w14:textId="77777777" w:rsidR="00BE36FB" w:rsidRPr="009B7B35" w:rsidRDefault="00BE36FB">
            <w:pPr>
              <w:pStyle w:val="Tableheading"/>
              <w:rPr>
                <w:rFonts w:ascii="Arial" w:hAnsi="Arial" w:cs="Arial"/>
                <w:szCs w:val="20"/>
              </w:rPr>
            </w:pPr>
            <w:r w:rsidRPr="009B7B35">
              <w:rPr>
                <w:rFonts w:ascii="Arial" w:hAnsi="Arial" w:cs="Arial"/>
                <w:szCs w:val="20"/>
              </w:rPr>
              <w:t>Uses – Bar, Club, Food and Drink outlet</w:t>
            </w:r>
          </w:p>
        </w:tc>
      </w:tr>
      <w:tr w:rsidR="00BE36FB" w:rsidRPr="009B7B35" w14:paraId="3F834A69" w14:textId="77777777" w:rsidTr="001A7107">
        <w:trPr>
          <w:cantSplit/>
        </w:trPr>
        <w:tc>
          <w:tcPr>
            <w:tcW w:w="4678" w:type="dxa"/>
          </w:tcPr>
          <w:p w14:paraId="76AE11ED" w14:textId="77777777" w:rsidR="00BE36FB" w:rsidRPr="009B7B35" w:rsidRDefault="00BE36FB" w:rsidP="001A7107">
            <w:pPr>
              <w:pStyle w:val="TableText"/>
              <w:rPr>
                <w:rFonts w:cs="Arial"/>
                <w:b/>
                <w:bCs/>
              </w:rPr>
            </w:pPr>
            <w:r w:rsidRPr="009B7B35">
              <w:rPr>
                <w:rFonts w:cs="Arial"/>
                <w:b/>
                <w:bCs/>
              </w:rPr>
              <w:t>PO1</w:t>
            </w:r>
          </w:p>
          <w:p w14:paraId="0EF29C06" w14:textId="77777777" w:rsidR="00BE36FB" w:rsidRPr="009B7B35" w:rsidRDefault="00BE36FB" w:rsidP="001A7107">
            <w:pPr>
              <w:pStyle w:val="TableText"/>
              <w:rPr>
                <w:rFonts w:cs="Arial"/>
              </w:rPr>
            </w:pPr>
            <w:r w:rsidRPr="009B7B35">
              <w:rPr>
                <w:rFonts w:cs="Arial"/>
              </w:rPr>
              <w:t>Hours of operation are limited to minimise nuisance to any surrounding residential uses.</w:t>
            </w:r>
          </w:p>
        </w:tc>
        <w:tc>
          <w:tcPr>
            <w:tcW w:w="4678" w:type="dxa"/>
          </w:tcPr>
          <w:p w14:paraId="0C584D74" w14:textId="77777777" w:rsidR="00BE36FB" w:rsidRPr="009B7B35" w:rsidRDefault="00BE36FB" w:rsidP="001A7107">
            <w:pPr>
              <w:pStyle w:val="TableText"/>
              <w:rPr>
                <w:rFonts w:cs="Arial"/>
                <w:b/>
                <w:bCs/>
              </w:rPr>
            </w:pPr>
            <w:r w:rsidRPr="009B7B35">
              <w:rPr>
                <w:rFonts w:cs="Arial"/>
                <w:b/>
                <w:bCs/>
              </w:rPr>
              <w:t>AO1</w:t>
            </w:r>
          </w:p>
          <w:p w14:paraId="32A00241" w14:textId="77777777" w:rsidR="00BE36FB" w:rsidRPr="009B7B35" w:rsidRDefault="00BE36FB" w:rsidP="001A7107">
            <w:pPr>
              <w:pStyle w:val="TableText"/>
              <w:rPr>
                <w:rFonts w:cs="Arial"/>
              </w:rPr>
            </w:pPr>
            <w:r w:rsidRPr="009B7B35">
              <w:rPr>
                <w:rFonts w:cs="Arial"/>
              </w:rPr>
              <w:t>Hours of operation are limited to between 6am and 10pm.</w:t>
            </w:r>
          </w:p>
        </w:tc>
      </w:tr>
      <w:tr w:rsidR="00BE36FB" w:rsidRPr="009B7B35" w14:paraId="32C3433B" w14:textId="77777777" w:rsidTr="001A7107">
        <w:trPr>
          <w:cantSplit/>
        </w:trPr>
        <w:tc>
          <w:tcPr>
            <w:tcW w:w="9356" w:type="dxa"/>
            <w:gridSpan w:val="2"/>
            <w:shd w:val="clear" w:color="auto" w:fill="BFBFBF" w:themeFill="background1" w:themeFillShade="BF"/>
          </w:tcPr>
          <w:p w14:paraId="2ACA6CF9"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73D620D6" w14:textId="77777777" w:rsidTr="001A7107">
        <w:trPr>
          <w:cantSplit/>
        </w:trPr>
        <w:tc>
          <w:tcPr>
            <w:tcW w:w="4678" w:type="dxa"/>
            <w:vMerge w:val="restart"/>
          </w:tcPr>
          <w:p w14:paraId="07F6FFCF" w14:textId="77777777" w:rsidR="00BE36FB" w:rsidRPr="009B7B35" w:rsidRDefault="00BE36FB" w:rsidP="001A7107">
            <w:pPr>
              <w:pStyle w:val="TableText"/>
              <w:rPr>
                <w:rFonts w:cs="Arial"/>
                <w:b/>
                <w:bCs/>
              </w:rPr>
            </w:pPr>
            <w:r w:rsidRPr="009B7B35">
              <w:rPr>
                <w:rFonts w:cs="Arial"/>
                <w:b/>
                <w:bCs/>
              </w:rPr>
              <w:t>PO2</w:t>
            </w:r>
          </w:p>
          <w:p w14:paraId="29C065B8" w14:textId="77777777" w:rsidR="00BE36FB" w:rsidRPr="009B7B35" w:rsidRDefault="00BE36FB" w:rsidP="001A7107">
            <w:pPr>
              <w:pStyle w:val="TableText"/>
              <w:rPr>
                <w:rFonts w:cs="Arial"/>
              </w:rPr>
            </w:pPr>
            <w:r w:rsidRPr="009B7B35">
              <w:rPr>
                <w:rFonts w:cs="Arial"/>
              </w:rPr>
              <w:t>Development:</w:t>
            </w:r>
          </w:p>
          <w:p w14:paraId="550AFC30" w14:textId="77777777" w:rsidR="00BE36FB" w:rsidRPr="009B7B35" w:rsidRDefault="00BE36FB" w:rsidP="00BE36FB">
            <w:pPr>
              <w:pStyle w:val="TableText"/>
              <w:numPr>
                <w:ilvl w:val="0"/>
                <w:numId w:val="574"/>
              </w:numPr>
              <w:rPr>
                <w:rFonts w:cs="Arial"/>
              </w:rPr>
            </w:pPr>
            <w:r w:rsidRPr="009B7B35">
              <w:rPr>
                <w:rFonts w:cs="Arial"/>
              </w:rPr>
              <w:t>is ancillary to the primary use</w:t>
            </w:r>
          </w:p>
          <w:p w14:paraId="2179AE0F" w14:textId="77777777" w:rsidR="00BE36FB" w:rsidRPr="009B7B35" w:rsidRDefault="00BE36FB" w:rsidP="00BE36FB">
            <w:pPr>
              <w:pStyle w:val="TableText"/>
              <w:numPr>
                <w:ilvl w:val="0"/>
                <w:numId w:val="574"/>
              </w:numPr>
              <w:rPr>
                <w:rFonts w:cs="Arial"/>
              </w:rPr>
            </w:pPr>
            <w:r w:rsidRPr="009B7B35">
              <w:rPr>
                <w:rFonts w:cs="Arial"/>
              </w:rPr>
              <w:t>provides adequate private open space for the caretaker</w:t>
            </w:r>
          </w:p>
          <w:p w14:paraId="54172926" w14:textId="77777777" w:rsidR="00BE36FB" w:rsidRPr="009B7B35" w:rsidRDefault="00BE36FB" w:rsidP="00BE36FB">
            <w:pPr>
              <w:pStyle w:val="TableText"/>
              <w:numPr>
                <w:ilvl w:val="0"/>
                <w:numId w:val="574"/>
              </w:numPr>
              <w:rPr>
                <w:rFonts w:cs="Arial"/>
              </w:rPr>
            </w:pPr>
            <w:r w:rsidRPr="009B7B35">
              <w:rPr>
                <w:rFonts w:cs="Arial"/>
              </w:rPr>
              <w:t>does not compromise ground level business activities being established.</w:t>
            </w:r>
          </w:p>
        </w:tc>
        <w:tc>
          <w:tcPr>
            <w:tcW w:w="4678" w:type="dxa"/>
          </w:tcPr>
          <w:p w14:paraId="17927D62" w14:textId="77777777" w:rsidR="00BE36FB" w:rsidRPr="009B7B35" w:rsidRDefault="00BE36FB" w:rsidP="001A7107">
            <w:pPr>
              <w:pStyle w:val="TableText"/>
              <w:rPr>
                <w:rFonts w:cs="Arial"/>
                <w:b/>
                <w:bCs/>
              </w:rPr>
            </w:pPr>
            <w:r w:rsidRPr="009B7B35">
              <w:rPr>
                <w:rFonts w:cs="Arial"/>
                <w:b/>
                <w:bCs/>
              </w:rPr>
              <w:t>AO2.1</w:t>
            </w:r>
          </w:p>
          <w:p w14:paraId="69E0E5A0" w14:textId="77777777"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14:paraId="0EB66646" w14:textId="77777777" w:rsidTr="001A7107">
        <w:trPr>
          <w:cantSplit/>
        </w:trPr>
        <w:tc>
          <w:tcPr>
            <w:tcW w:w="4678" w:type="dxa"/>
            <w:vMerge/>
          </w:tcPr>
          <w:p w14:paraId="78B6994A" w14:textId="77777777" w:rsidR="00BE36FB" w:rsidRPr="009B7B35" w:rsidRDefault="00BE36FB" w:rsidP="001A7107">
            <w:pPr>
              <w:rPr>
                <w:rFonts w:cs="Arial"/>
                <w:sz w:val="20"/>
                <w:szCs w:val="20"/>
              </w:rPr>
            </w:pPr>
          </w:p>
        </w:tc>
        <w:tc>
          <w:tcPr>
            <w:tcW w:w="4678" w:type="dxa"/>
          </w:tcPr>
          <w:p w14:paraId="1023AD4A" w14:textId="77777777" w:rsidR="00BE36FB" w:rsidRPr="009B7B35" w:rsidRDefault="00BE36FB" w:rsidP="001A7107">
            <w:pPr>
              <w:pStyle w:val="TableText"/>
              <w:rPr>
                <w:rFonts w:cs="Arial"/>
                <w:b/>
                <w:bCs/>
              </w:rPr>
            </w:pPr>
            <w:r w:rsidRPr="009B7B35">
              <w:rPr>
                <w:rFonts w:cs="Arial"/>
                <w:b/>
                <w:bCs/>
              </w:rPr>
              <w:t>AO2.2</w:t>
            </w:r>
          </w:p>
          <w:p w14:paraId="43BB97AB" w14:textId="77777777"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GFA.</w:t>
            </w:r>
          </w:p>
        </w:tc>
      </w:tr>
      <w:tr w:rsidR="00BE36FB" w:rsidRPr="009B7B35" w14:paraId="2440FBC6" w14:textId="77777777" w:rsidTr="001A7107">
        <w:trPr>
          <w:cantSplit/>
        </w:trPr>
        <w:tc>
          <w:tcPr>
            <w:tcW w:w="4678" w:type="dxa"/>
            <w:vMerge/>
          </w:tcPr>
          <w:p w14:paraId="067E352B" w14:textId="77777777" w:rsidR="00BE36FB" w:rsidRPr="009B7B35" w:rsidRDefault="00BE36FB" w:rsidP="001A7107">
            <w:pPr>
              <w:rPr>
                <w:rFonts w:cs="Arial"/>
                <w:sz w:val="20"/>
                <w:szCs w:val="20"/>
              </w:rPr>
            </w:pPr>
          </w:p>
        </w:tc>
        <w:tc>
          <w:tcPr>
            <w:tcW w:w="4678" w:type="dxa"/>
          </w:tcPr>
          <w:p w14:paraId="32CA6CC4" w14:textId="77777777" w:rsidR="00BE36FB" w:rsidRPr="009B7B35" w:rsidRDefault="00BE36FB" w:rsidP="001A7107">
            <w:pPr>
              <w:pStyle w:val="TableText"/>
              <w:rPr>
                <w:rFonts w:cs="Arial"/>
                <w:b/>
                <w:bCs/>
              </w:rPr>
            </w:pPr>
            <w:r w:rsidRPr="009B7B35">
              <w:rPr>
                <w:rFonts w:cs="Arial"/>
                <w:b/>
                <w:bCs/>
              </w:rPr>
              <w:t>AO2.3</w:t>
            </w:r>
          </w:p>
          <w:p w14:paraId="1ABB733F" w14:textId="77777777" w:rsidR="00BE36FB" w:rsidRPr="009B7B35" w:rsidRDefault="00BE36FB" w:rsidP="001A7107">
            <w:pPr>
              <w:pStyle w:val="TableText"/>
              <w:rPr>
                <w:rFonts w:cs="Arial"/>
              </w:rPr>
            </w:pPr>
            <w:r w:rsidRPr="009B7B35">
              <w:rPr>
                <w:rFonts w:cs="Arial"/>
              </w:rPr>
              <w:t>Caretaker’s accommodation is located above the ground floor level, or to the rear of ground level business activities.</w:t>
            </w:r>
          </w:p>
        </w:tc>
      </w:tr>
      <w:tr w:rsidR="00BE36FB" w:rsidRPr="009B7B35" w14:paraId="11C03FEB" w14:textId="77777777" w:rsidTr="001A7107">
        <w:trPr>
          <w:cantSplit/>
        </w:trPr>
        <w:tc>
          <w:tcPr>
            <w:tcW w:w="4678" w:type="dxa"/>
            <w:vMerge/>
          </w:tcPr>
          <w:p w14:paraId="6C07A422" w14:textId="77777777" w:rsidR="00BE36FB" w:rsidRPr="009B7B35" w:rsidRDefault="00BE36FB" w:rsidP="001A7107">
            <w:pPr>
              <w:rPr>
                <w:rFonts w:cs="Arial"/>
                <w:sz w:val="20"/>
                <w:szCs w:val="20"/>
              </w:rPr>
            </w:pPr>
          </w:p>
        </w:tc>
        <w:tc>
          <w:tcPr>
            <w:tcW w:w="4678" w:type="dxa"/>
          </w:tcPr>
          <w:p w14:paraId="7C3097F2" w14:textId="77777777" w:rsidR="00BE36FB" w:rsidRPr="009B7B35" w:rsidRDefault="00BE36FB" w:rsidP="001A7107">
            <w:pPr>
              <w:pStyle w:val="TableText"/>
              <w:rPr>
                <w:rFonts w:cs="Arial"/>
                <w:b/>
                <w:bCs/>
              </w:rPr>
            </w:pPr>
            <w:r w:rsidRPr="009B7B35">
              <w:rPr>
                <w:rFonts w:cs="Arial"/>
                <w:b/>
                <w:bCs/>
              </w:rPr>
              <w:t>AO2.4</w:t>
            </w:r>
          </w:p>
          <w:p w14:paraId="6F4218D2" w14:textId="77777777" w:rsidR="00BE36FB" w:rsidRPr="009B7B35" w:rsidRDefault="00BE36FB" w:rsidP="001A7107">
            <w:pPr>
              <w:pStyle w:val="TableText"/>
              <w:rPr>
                <w:rFonts w:cs="Arial"/>
              </w:rPr>
            </w:pPr>
            <w:r w:rsidRPr="009B7B35">
              <w:rPr>
                <w:rFonts w:cs="Arial"/>
              </w:rPr>
              <w:t>Caretaker’s accommodation is provided with a private open space area which:</w:t>
            </w:r>
          </w:p>
          <w:p w14:paraId="55BF1E82" w14:textId="77777777" w:rsidR="00BE36FB" w:rsidRPr="009B7B35" w:rsidRDefault="00BE36FB" w:rsidP="00BE36FB">
            <w:pPr>
              <w:pStyle w:val="TableText"/>
              <w:numPr>
                <w:ilvl w:val="0"/>
                <w:numId w:val="450"/>
              </w:numPr>
              <w:rPr>
                <w:rFonts w:cs="Arial"/>
              </w:rPr>
            </w:pPr>
            <w:r w:rsidRPr="009B7B35">
              <w:rPr>
                <w:rFonts w:cs="Arial"/>
              </w:rPr>
              <w:t>is directly accessible from a habitable room, and</w:t>
            </w:r>
          </w:p>
          <w:p w14:paraId="20024290" w14:textId="77777777" w:rsidR="00BE36FB" w:rsidRPr="009B7B35" w:rsidRDefault="00BE36FB" w:rsidP="00BE36FB">
            <w:pPr>
              <w:pStyle w:val="TableText"/>
              <w:numPr>
                <w:ilvl w:val="0"/>
                <w:numId w:val="450"/>
              </w:numPr>
              <w:rPr>
                <w:rFonts w:cs="Arial"/>
              </w:rPr>
            </w:pPr>
            <w:r w:rsidRPr="009B7B35">
              <w:rPr>
                <w:rFonts w:cs="Arial"/>
              </w:rPr>
              <w:t xml:space="preserve">where a balcony, a verandah or a deck, has a minimum area of 15m² with minimum horizontal dimension of 1.25m. </w:t>
            </w:r>
          </w:p>
        </w:tc>
      </w:tr>
      <w:tr w:rsidR="00BE36FB" w:rsidRPr="009B7B35" w14:paraId="792FFF35" w14:textId="77777777" w:rsidTr="001A7107">
        <w:trPr>
          <w:cantSplit/>
        </w:trPr>
        <w:tc>
          <w:tcPr>
            <w:tcW w:w="9356" w:type="dxa"/>
            <w:gridSpan w:val="2"/>
            <w:shd w:val="clear" w:color="auto" w:fill="BFBFBF" w:themeFill="background1" w:themeFillShade="BF"/>
          </w:tcPr>
          <w:p w14:paraId="1760D74A" w14:textId="77777777" w:rsidR="00BE36FB" w:rsidRPr="009B7B35" w:rsidRDefault="00BE36FB" w:rsidP="001A7107">
            <w:pPr>
              <w:pStyle w:val="Tableheading"/>
              <w:rPr>
                <w:rFonts w:ascii="Arial" w:hAnsi="Arial" w:cs="Arial"/>
                <w:szCs w:val="20"/>
              </w:rPr>
            </w:pPr>
            <w:r w:rsidRPr="009B7B35">
              <w:rPr>
                <w:rFonts w:ascii="Arial" w:hAnsi="Arial" w:cs="Arial"/>
                <w:szCs w:val="20"/>
              </w:rPr>
              <w:t>Use – Dwelling unit</w:t>
            </w:r>
          </w:p>
        </w:tc>
      </w:tr>
      <w:tr w:rsidR="00BE36FB" w:rsidRPr="009B7B35" w14:paraId="10C7562E" w14:textId="77777777" w:rsidTr="001A7107">
        <w:trPr>
          <w:cantSplit/>
        </w:trPr>
        <w:tc>
          <w:tcPr>
            <w:tcW w:w="4678" w:type="dxa"/>
          </w:tcPr>
          <w:p w14:paraId="415E7F7A" w14:textId="77777777" w:rsidR="00BE36FB" w:rsidRPr="009B7B35" w:rsidRDefault="00BE36FB" w:rsidP="001A7107">
            <w:pPr>
              <w:pStyle w:val="TableText"/>
              <w:rPr>
                <w:rFonts w:cs="Arial"/>
                <w:b/>
                <w:bCs/>
              </w:rPr>
            </w:pPr>
            <w:r w:rsidRPr="009B7B35">
              <w:rPr>
                <w:rFonts w:cs="Arial"/>
                <w:b/>
                <w:bCs/>
              </w:rPr>
              <w:t>PO3</w:t>
            </w:r>
          </w:p>
          <w:p w14:paraId="614D4276" w14:textId="77777777" w:rsidR="00BE36FB" w:rsidRPr="009B7B35" w:rsidRDefault="00BE36FB" w:rsidP="001A7107">
            <w:pPr>
              <w:pStyle w:val="TableText"/>
              <w:rPr>
                <w:rFonts w:cs="Arial"/>
              </w:rPr>
            </w:pPr>
            <w:r w:rsidRPr="009B7B35">
              <w:rPr>
                <w:rFonts w:cs="Arial"/>
              </w:rPr>
              <w:t>Development does not compromise ground level business activities being established.</w:t>
            </w:r>
          </w:p>
        </w:tc>
        <w:tc>
          <w:tcPr>
            <w:tcW w:w="4678" w:type="dxa"/>
          </w:tcPr>
          <w:p w14:paraId="6BFB8C38" w14:textId="77777777" w:rsidR="00BE36FB" w:rsidRPr="009B7B35" w:rsidRDefault="00BE36FB" w:rsidP="001A7107">
            <w:pPr>
              <w:pStyle w:val="TableText"/>
              <w:rPr>
                <w:rFonts w:cs="Arial"/>
                <w:b/>
                <w:bCs/>
              </w:rPr>
            </w:pPr>
            <w:r w:rsidRPr="009B7B35">
              <w:rPr>
                <w:rFonts w:cs="Arial"/>
                <w:b/>
                <w:bCs/>
              </w:rPr>
              <w:t>AO3</w:t>
            </w:r>
          </w:p>
          <w:p w14:paraId="2C3F3B01" w14:textId="77777777" w:rsidR="00BE36FB" w:rsidRPr="009B7B35" w:rsidRDefault="00BE36FB" w:rsidP="001A7107">
            <w:pPr>
              <w:pStyle w:val="TableText"/>
              <w:rPr>
                <w:rFonts w:cs="Arial"/>
              </w:rPr>
            </w:pPr>
            <w:r w:rsidRPr="009B7B35">
              <w:rPr>
                <w:rFonts w:cs="Arial"/>
              </w:rPr>
              <w:t>Dwelling units are located either above or to the rear of ground level business activities.</w:t>
            </w:r>
          </w:p>
        </w:tc>
      </w:tr>
      <w:tr w:rsidR="00BE36FB" w:rsidRPr="009B7B35" w14:paraId="7A9870BB" w14:textId="77777777" w:rsidTr="001A7107">
        <w:trPr>
          <w:cantSplit/>
        </w:trPr>
        <w:tc>
          <w:tcPr>
            <w:tcW w:w="4678" w:type="dxa"/>
          </w:tcPr>
          <w:p w14:paraId="4A41DAC2" w14:textId="77777777" w:rsidR="00BE36FB" w:rsidRPr="009B7B35" w:rsidRDefault="00BE36FB" w:rsidP="001A7107">
            <w:pPr>
              <w:pStyle w:val="TableText"/>
              <w:rPr>
                <w:rFonts w:cs="Arial"/>
                <w:b/>
                <w:bCs/>
              </w:rPr>
            </w:pPr>
            <w:r w:rsidRPr="009B7B35">
              <w:rPr>
                <w:rFonts w:cs="Arial"/>
                <w:b/>
                <w:bCs/>
              </w:rPr>
              <w:t>PO4</w:t>
            </w:r>
          </w:p>
          <w:p w14:paraId="5B721938" w14:textId="77777777" w:rsidR="00BE36FB" w:rsidRPr="009B7B35" w:rsidRDefault="00BE36FB" w:rsidP="001A7107">
            <w:pPr>
              <w:rPr>
                <w:rFonts w:cs="Arial"/>
                <w:sz w:val="20"/>
                <w:szCs w:val="20"/>
              </w:rPr>
            </w:pPr>
            <w:r w:rsidRPr="009B7B35">
              <w:rPr>
                <w:rFonts w:cs="Arial"/>
                <w:sz w:val="20"/>
                <w:szCs w:val="20"/>
              </w:rPr>
              <w:t>Development must provide sufficient</w:t>
            </w:r>
          </w:p>
          <w:p w14:paraId="433E63E4" w14:textId="77777777" w:rsidR="00BE36FB" w:rsidRPr="009B7B35" w:rsidRDefault="00BE36FB" w:rsidP="001A7107">
            <w:pPr>
              <w:rPr>
                <w:rFonts w:cs="Arial"/>
                <w:sz w:val="20"/>
                <w:szCs w:val="20"/>
              </w:rPr>
            </w:pPr>
            <w:r w:rsidRPr="009B7B35">
              <w:rPr>
                <w:rFonts w:cs="Arial"/>
                <w:sz w:val="20"/>
                <w:szCs w:val="20"/>
              </w:rPr>
              <w:t>and accessible open space for residents needs</w:t>
            </w:r>
          </w:p>
        </w:tc>
        <w:tc>
          <w:tcPr>
            <w:tcW w:w="4678" w:type="dxa"/>
          </w:tcPr>
          <w:p w14:paraId="4B8B06E8" w14:textId="77777777" w:rsidR="00BE36FB" w:rsidRPr="009B7B35" w:rsidRDefault="00BE36FB" w:rsidP="001A7107">
            <w:pPr>
              <w:pStyle w:val="TableText"/>
              <w:rPr>
                <w:rFonts w:cs="Arial"/>
                <w:b/>
                <w:bCs/>
              </w:rPr>
            </w:pPr>
            <w:r w:rsidRPr="009B7B35">
              <w:rPr>
                <w:rFonts w:cs="Arial"/>
                <w:b/>
                <w:bCs/>
              </w:rPr>
              <w:t>AO4</w:t>
            </w:r>
          </w:p>
          <w:p w14:paraId="2F94CD65" w14:textId="77777777" w:rsidR="00BE36FB" w:rsidRPr="009B7B35" w:rsidRDefault="00BE36FB" w:rsidP="001A7107">
            <w:pPr>
              <w:pStyle w:val="TableText"/>
              <w:rPr>
                <w:rFonts w:cs="Arial"/>
              </w:rPr>
            </w:pPr>
            <w:r w:rsidRPr="009B7B35">
              <w:rPr>
                <w:rFonts w:cs="Arial"/>
              </w:rPr>
              <w:t>Development provides a minimum of 16m</w:t>
            </w:r>
            <w:r w:rsidRPr="009B7B35">
              <w:rPr>
                <w:rFonts w:cs="Arial"/>
                <w:vertAlign w:val="superscript"/>
              </w:rPr>
              <w:t>2</w:t>
            </w:r>
            <w:r w:rsidRPr="009B7B35">
              <w:rPr>
                <w:rFonts w:cs="Arial"/>
              </w:rPr>
              <w:t xml:space="preserve"> private open space for each dwelling unit with a minimum dimension of 3m in any direction.</w:t>
            </w:r>
          </w:p>
        </w:tc>
      </w:tr>
      <w:tr w:rsidR="00BE36FB" w:rsidRPr="009B7B35" w14:paraId="6D2BC3CD" w14:textId="77777777" w:rsidTr="001A7107">
        <w:trPr>
          <w:cantSplit/>
        </w:trPr>
        <w:tc>
          <w:tcPr>
            <w:tcW w:w="9356" w:type="dxa"/>
            <w:gridSpan w:val="2"/>
            <w:shd w:val="clear" w:color="auto" w:fill="BFBFBF" w:themeFill="background1" w:themeFillShade="BF"/>
          </w:tcPr>
          <w:p w14:paraId="4529BC5B" w14:textId="77777777"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14:paraId="54367471" w14:textId="77777777" w:rsidTr="001A7107">
        <w:tc>
          <w:tcPr>
            <w:tcW w:w="4678" w:type="dxa"/>
            <w:vMerge w:val="restart"/>
          </w:tcPr>
          <w:p w14:paraId="43037A05" w14:textId="77777777" w:rsidR="00BE36FB" w:rsidRPr="009B7B35" w:rsidRDefault="00BE36FB" w:rsidP="001A7107">
            <w:pPr>
              <w:pStyle w:val="TableText"/>
              <w:rPr>
                <w:rFonts w:cs="Arial"/>
                <w:b/>
                <w:bCs/>
              </w:rPr>
            </w:pPr>
            <w:r w:rsidRPr="009B7B35">
              <w:rPr>
                <w:rFonts w:cs="Arial"/>
                <w:b/>
                <w:bCs/>
              </w:rPr>
              <w:t>PO5</w:t>
            </w:r>
          </w:p>
          <w:p w14:paraId="776CF70B" w14:textId="77777777"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14:paraId="2A4E4A0C" w14:textId="77777777" w:rsidR="00BE36FB" w:rsidRPr="009B7B35" w:rsidRDefault="00BE36FB" w:rsidP="001A7107">
            <w:pPr>
              <w:pStyle w:val="TableText"/>
              <w:rPr>
                <w:rFonts w:cs="Arial"/>
                <w:b/>
                <w:bCs/>
              </w:rPr>
            </w:pPr>
            <w:r w:rsidRPr="009B7B35">
              <w:rPr>
                <w:rFonts w:cs="Arial"/>
                <w:b/>
                <w:bCs/>
              </w:rPr>
              <w:t>AO5.1</w:t>
            </w:r>
          </w:p>
          <w:p w14:paraId="187B7B50" w14:textId="77777777" w:rsidR="00BE36FB" w:rsidRPr="009B7B35" w:rsidRDefault="00BE36FB" w:rsidP="001A7107">
            <w:pPr>
              <w:pStyle w:val="TableText"/>
              <w:rPr>
                <w:rFonts w:cs="Arial"/>
              </w:rPr>
            </w:pPr>
            <w:r w:rsidRPr="009B7B35">
              <w:rPr>
                <w:rFonts w:cs="Arial"/>
              </w:rPr>
              <w:t>Development of the sales office is in place for no more than 2 years.</w:t>
            </w:r>
          </w:p>
        </w:tc>
      </w:tr>
      <w:tr w:rsidR="00BE36FB" w:rsidRPr="009B7B35" w14:paraId="20B38C50" w14:textId="77777777" w:rsidTr="001A7107">
        <w:tc>
          <w:tcPr>
            <w:tcW w:w="4678" w:type="dxa"/>
            <w:vMerge/>
          </w:tcPr>
          <w:p w14:paraId="481DFEB9" w14:textId="77777777" w:rsidR="00BE36FB" w:rsidRPr="009B7B35" w:rsidRDefault="00BE36FB" w:rsidP="001A7107">
            <w:pPr>
              <w:rPr>
                <w:rFonts w:cs="Arial"/>
                <w:sz w:val="20"/>
                <w:szCs w:val="20"/>
              </w:rPr>
            </w:pPr>
          </w:p>
        </w:tc>
        <w:tc>
          <w:tcPr>
            <w:tcW w:w="4678" w:type="dxa"/>
          </w:tcPr>
          <w:p w14:paraId="41C1D9B8" w14:textId="77777777" w:rsidR="00BE36FB" w:rsidRPr="009B7B35" w:rsidRDefault="00BE36FB" w:rsidP="001A7107">
            <w:pPr>
              <w:pStyle w:val="TableText"/>
              <w:rPr>
                <w:rFonts w:cs="Arial"/>
                <w:b/>
                <w:bCs/>
              </w:rPr>
            </w:pPr>
            <w:r w:rsidRPr="009B7B35">
              <w:rPr>
                <w:rFonts w:cs="Arial"/>
                <w:b/>
                <w:bCs/>
              </w:rPr>
              <w:t>AO5.2</w:t>
            </w:r>
          </w:p>
          <w:p w14:paraId="44CA51DE" w14:textId="77777777"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14:paraId="5111E7D1" w14:textId="77777777" w:rsidTr="001A7107">
        <w:tc>
          <w:tcPr>
            <w:tcW w:w="9356" w:type="dxa"/>
            <w:gridSpan w:val="2"/>
          </w:tcPr>
          <w:p w14:paraId="231AAAA9"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3F11BBCF" w14:textId="77777777" w:rsidTr="001A7107">
        <w:tc>
          <w:tcPr>
            <w:tcW w:w="9356" w:type="dxa"/>
            <w:gridSpan w:val="2"/>
            <w:shd w:val="clear" w:color="auto" w:fill="BFBFBF" w:themeFill="background1" w:themeFillShade="BF"/>
          </w:tcPr>
          <w:p w14:paraId="36F70F46"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 scale and tenancy mix</w:t>
            </w:r>
          </w:p>
        </w:tc>
      </w:tr>
      <w:tr w:rsidR="00BE36FB" w:rsidRPr="009B7B35" w14:paraId="0CFD2BD8" w14:textId="77777777" w:rsidTr="001A7107">
        <w:tc>
          <w:tcPr>
            <w:tcW w:w="4678" w:type="dxa"/>
          </w:tcPr>
          <w:p w14:paraId="265EC3B3" w14:textId="77777777" w:rsidR="00BE36FB" w:rsidRPr="009B7B35" w:rsidRDefault="00BE36FB" w:rsidP="001A7107">
            <w:pPr>
              <w:pStyle w:val="TableText"/>
              <w:rPr>
                <w:rFonts w:cs="Arial"/>
                <w:b/>
                <w:bCs/>
              </w:rPr>
            </w:pPr>
            <w:r w:rsidRPr="009B7B35">
              <w:rPr>
                <w:rFonts w:cs="Arial"/>
                <w:b/>
                <w:bCs/>
              </w:rPr>
              <w:t>PO</w:t>
            </w:r>
            <w:r w:rsidRPr="009B7B35">
              <w:rPr>
                <w:rFonts w:cs="Arial"/>
                <w:b/>
              </w:rPr>
              <w:t>6</w:t>
            </w:r>
          </w:p>
          <w:p w14:paraId="1C867927" w14:textId="77777777" w:rsidR="00BE36FB" w:rsidRPr="009B7B35" w:rsidRDefault="00BE36FB" w:rsidP="001A7107">
            <w:pPr>
              <w:rPr>
                <w:rFonts w:cs="Arial"/>
                <w:sz w:val="20"/>
                <w:szCs w:val="20"/>
              </w:rPr>
            </w:pPr>
            <w:r w:rsidRPr="009B7B35">
              <w:rPr>
                <w:rFonts w:cs="Arial"/>
                <w:sz w:val="20"/>
                <w:szCs w:val="20"/>
              </w:rPr>
              <w:t>Development:</w:t>
            </w:r>
          </w:p>
          <w:p w14:paraId="6DE29FD0" w14:textId="77777777" w:rsidR="00BE36FB" w:rsidRPr="009B7B35" w:rsidRDefault="00BE36FB" w:rsidP="00BE36FB">
            <w:pPr>
              <w:pStyle w:val="TableText"/>
              <w:numPr>
                <w:ilvl w:val="0"/>
                <w:numId w:val="575"/>
              </w:numPr>
              <w:rPr>
                <w:rFonts w:cs="Arial"/>
              </w:rPr>
            </w:pPr>
            <w:r w:rsidRPr="009B7B35">
              <w:rPr>
                <w:rFonts w:cs="Arial"/>
              </w:rPr>
              <w:t>provides for a range of retail, commercial, community, entertainment and recreation activities</w:t>
            </w:r>
          </w:p>
          <w:p w14:paraId="2A19D5D1" w14:textId="77777777" w:rsidR="00BE36FB" w:rsidRPr="009B7B35" w:rsidRDefault="00BE36FB" w:rsidP="00BE36FB">
            <w:pPr>
              <w:pStyle w:val="TableText"/>
              <w:numPr>
                <w:ilvl w:val="0"/>
                <w:numId w:val="575"/>
              </w:numPr>
              <w:rPr>
                <w:rFonts w:cs="Arial"/>
              </w:rPr>
            </w:pPr>
            <w:r w:rsidRPr="009B7B35">
              <w:rPr>
                <w:rFonts w:cs="Arial"/>
              </w:rPr>
              <w:t>is of a size and scale that meets the needs of the local community, and</w:t>
            </w:r>
          </w:p>
          <w:p w14:paraId="3C2C7217" w14:textId="77777777" w:rsidR="00BE36FB" w:rsidRPr="009B7B35" w:rsidRDefault="00BE36FB" w:rsidP="00BE36FB">
            <w:pPr>
              <w:pStyle w:val="TableText"/>
              <w:numPr>
                <w:ilvl w:val="0"/>
                <w:numId w:val="575"/>
              </w:numPr>
              <w:rPr>
                <w:rFonts w:cs="Arial"/>
              </w:rPr>
            </w:pPr>
            <w:r w:rsidRPr="009B7B35">
              <w:rPr>
                <w:rFonts w:cs="Arial"/>
              </w:rPr>
              <w:t>does not impact on the viability of other centres in the region.</w:t>
            </w:r>
          </w:p>
        </w:tc>
        <w:tc>
          <w:tcPr>
            <w:tcW w:w="4678" w:type="dxa"/>
          </w:tcPr>
          <w:p w14:paraId="1021BAEB" w14:textId="77777777" w:rsidR="00BE36FB" w:rsidRPr="009B7B35" w:rsidRDefault="00BE36FB" w:rsidP="001A7107">
            <w:pPr>
              <w:pStyle w:val="TableText"/>
              <w:rPr>
                <w:rFonts w:cs="Arial"/>
                <w:b/>
                <w:bCs/>
              </w:rPr>
            </w:pPr>
            <w:r w:rsidRPr="009B7B35">
              <w:rPr>
                <w:rFonts w:cs="Arial"/>
                <w:b/>
                <w:bCs/>
              </w:rPr>
              <w:t>AO</w:t>
            </w:r>
            <w:r w:rsidRPr="009B7B35">
              <w:rPr>
                <w:rFonts w:cs="Arial"/>
                <w:b/>
              </w:rPr>
              <w:t>6</w:t>
            </w:r>
          </w:p>
          <w:p w14:paraId="790C85AF" w14:textId="77777777" w:rsidR="00BE36FB" w:rsidRPr="009B7B35" w:rsidRDefault="00BE36FB" w:rsidP="001A7107">
            <w:pPr>
              <w:rPr>
                <w:rFonts w:cs="Arial"/>
                <w:sz w:val="20"/>
                <w:szCs w:val="20"/>
              </w:rPr>
            </w:pPr>
            <w:r w:rsidRPr="009B7B35">
              <w:rPr>
                <w:rFonts w:cs="Arial"/>
                <w:sz w:val="20"/>
                <w:szCs w:val="20"/>
              </w:rPr>
              <w:t>Gross floor area of the following uses does not exceed:</w:t>
            </w:r>
          </w:p>
          <w:p w14:paraId="7071933E" w14:textId="77777777" w:rsidR="00BE36FB" w:rsidRPr="009B7B35" w:rsidRDefault="00BE36FB" w:rsidP="00BE36FB">
            <w:pPr>
              <w:pStyle w:val="TableText"/>
              <w:numPr>
                <w:ilvl w:val="0"/>
                <w:numId w:val="165"/>
              </w:numPr>
              <w:rPr>
                <w:rFonts w:cs="Arial"/>
              </w:rPr>
            </w:pPr>
            <w:r w:rsidRPr="009B7B35">
              <w:rPr>
                <w:rFonts w:cs="Arial"/>
              </w:rPr>
              <w:t>250m</w:t>
            </w:r>
            <w:r w:rsidRPr="009B7B35">
              <w:rPr>
                <w:rFonts w:cs="Arial"/>
                <w:vertAlign w:val="superscript"/>
              </w:rPr>
              <w:t>2</w:t>
            </w:r>
            <w:r w:rsidRPr="009B7B35">
              <w:rPr>
                <w:rFonts w:cs="Arial"/>
              </w:rPr>
              <w:t xml:space="preserve"> for Agricultural supplies store, Garden centre and Hardware and trade supplies, or</w:t>
            </w:r>
          </w:p>
          <w:p w14:paraId="502A975A" w14:textId="77777777" w:rsidR="00BE36FB" w:rsidRPr="009B7B35" w:rsidRDefault="00BE36FB" w:rsidP="00BE36FB">
            <w:pPr>
              <w:pStyle w:val="TableText"/>
              <w:numPr>
                <w:ilvl w:val="0"/>
                <w:numId w:val="165"/>
              </w:numPr>
              <w:rPr>
                <w:rFonts w:cs="Arial"/>
              </w:rPr>
            </w:pPr>
            <w:r w:rsidRPr="009B7B35">
              <w:rPr>
                <w:rFonts w:cs="Arial"/>
              </w:rPr>
              <w:t>No acceptable outcome is nominated for other uses.</w:t>
            </w:r>
          </w:p>
        </w:tc>
      </w:tr>
      <w:tr w:rsidR="00BE36FB" w:rsidRPr="009B7B35" w14:paraId="6FD7EE80" w14:textId="77777777" w:rsidTr="001A7107">
        <w:tc>
          <w:tcPr>
            <w:tcW w:w="4678" w:type="dxa"/>
          </w:tcPr>
          <w:p w14:paraId="6787B045" w14:textId="77777777" w:rsidR="00BE36FB" w:rsidRPr="009B7B35" w:rsidRDefault="00BE36FB" w:rsidP="001A7107">
            <w:pPr>
              <w:pStyle w:val="Tableheading"/>
              <w:rPr>
                <w:rFonts w:ascii="Arial" w:hAnsi="Arial" w:cs="Arial"/>
                <w:szCs w:val="20"/>
              </w:rPr>
            </w:pPr>
            <w:r w:rsidRPr="009B7B35">
              <w:rPr>
                <w:rFonts w:ascii="Arial" w:hAnsi="Arial" w:cs="Arial"/>
                <w:szCs w:val="20"/>
              </w:rPr>
              <w:t>PO7</w:t>
            </w:r>
          </w:p>
          <w:p w14:paraId="5B8226C0" w14:textId="77777777" w:rsidR="00BE36FB" w:rsidRPr="009B7B35" w:rsidRDefault="00BE36FB" w:rsidP="001A7107">
            <w:pPr>
              <w:pStyle w:val="TableText"/>
              <w:rPr>
                <w:rFonts w:cs="Arial"/>
              </w:rPr>
            </w:pPr>
            <w:r w:rsidRPr="009B7B35">
              <w:rPr>
                <w:rFonts w:cs="Arial"/>
              </w:rPr>
              <w:t>Development provides a diverse mix of building types and tenancy sizes to support a range of business and community uses and enterprise opportunities.</w:t>
            </w:r>
          </w:p>
        </w:tc>
        <w:tc>
          <w:tcPr>
            <w:tcW w:w="4678" w:type="dxa"/>
          </w:tcPr>
          <w:p w14:paraId="2B156BD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9DCEE3A" w14:textId="77777777" w:rsidTr="001A7107">
        <w:tc>
          <w:tcPr>
            <w:tcW w:w="4678" w:type="dxa"/>
            <w:shd w:val="clear" w:color="auto" w:fill="BFBFBF" w:themeFill="background1" w:themeFillShade="BF"/>
          </w:tcPr>
          <w:p w14:paraId="49E58FF2" w14:textId="77777777" w:rsidR="00BE36FB" w:rsidRPr="009B7B35" w:rsidRDefault="00BE36FB" w:rsidP="001A7107">
            <w:pPr>
              <w:pStyle w:val="Tableheading"/>
              <w:rPr>
                <w:rFonts w:ascii="Arial" w:hAnsi="Arial" w:cs="Arial"/>
                <w:szCs w:val="20"/>
              </w:rPr>
            </w:pPr>
            <w:r w:rsidRPr="009B7B35">
              <w:rPr>
                <w:rFonts w:ascii="Arial" w:hAnsi="Arial" w:cs="Arial"/>
                <w:szCs w:val="20"/>
              </w:rPr>
              <w:t>Built form</w:t>
            </w:r>
          </w:p>
        </w:tc>
        <w:tc>
          <w:tcPr>
            <w:tcW w:w="4678" w:type="dxa"/>
            <w:shd w:val="clear" w:color="auto" w:fill="BFBFBF" w:themeFill="background1" w:themeFillShade="BF"/>
          </w:tcPr>
          <w:p w14:paraId="06D0230A" w14:textId="77777777" w:rsidR="00BE36FB" w:rsidRPr="009B7B35" w:rsidRDefault="00BE36FB" w:rsidP="001A7107">
            <w:pPr>
              <w:pStyle w:val="TableText"/>
              <w:rPr>
                <w:rFonts w:cs="Arial"/>
              </w:rPr>
            </w:pPr>
          </w:p>
        </w:tc>
      </w:tr>
      <w:tr w:rsidR="00BE36FB" w:rsidRPr="009B7B35" w14:paraId="78126F60" w14:textId="77777777" w:rsidTr="001A7107">
        <w:tc>
          <w:tcPr>
            <w:tcW w:w="4678" w:type="dxa"/>
          </w:tcPr>
          <w:p w14:paraId="2BAC1EBB" w14:textId="77777777" w:rsidR="00BE36FB" w:rsidRPr="009B7B35" w:rsidRDefault="00BE36FB" w:rsidP="001A7107">
            <w:pPr>
              <w:pStyle w:val="Tableheading"/>
              <w:rPr>
                <w:rFonts w:ascii="Arial" w:hAnsi="Arial" w:cs="Arial"/>
                <w:szCs w:val="20"/>
              </w:rPr>
            </w:pPr>
            <w:r w:rsidRPr="009B7B35">
              <w:rPr>
                <w:rFonts w:ascii="Arial" w:hAnsi="Arial" w:cs="Arial"/>
                <w:szCs w:val="20"/>
              </w:rPr>
              <w:t>PO8</w:t>
            </w:r>
          </w:p>
          <w:p w14:paraId="0523C8EC" w14:textId="77777777" w:rsidR="00BE36FB" w:rsidRPr="009B7B35" w:rsidRDefault="00BE36FB" w:rsidP="001A7107">
            <w:pPr>
              <w:pStyle w:val="TableText"/>
              <w:rPr>
                <w:rFonts w:cs="Arial"/>
              </w:rPr>
            </w:pPr>
            <w:r w:rsidRPr="009B7B35">
              <w:rPr>
                <w:rFonts w:cs="Arial"/>
              </w:rPr>
              <w:t>Building height:</w:t>
            </w:r>
          </w:p>
          <w:p w14:paraId="48DFC92B" w14:textId="77777777" w:rsidR="00BE36FB" w:rsidRPr="009B7B35" w:rsidRDefault="00BE36FB" w:rsidP="00BE36FB">
            <w:pPr>
              <w:pStyle w:val="TableText"/>
              <w:numPr>
                <w:ilvl w:val="0"/>
                <w:numId w:val="533"/>
              </w:numPr>
              <w:ind w:left="567" w:hanging="567"/>
              <w:rPr>
                <w:rFonts w:cs="Arial"/>
              </w:rPr>
            </w:pPr>
            <w:r w:rsidRPr="009B7B35">
              <w:rPr>
                <w:rFonts w:cs="Arial"/>
              </w:rPr>
              <w:t xml:space="preserve">is consistent with the intended character of the centre, and </w:t>
            </w:r>
          </w:p>
          <w:p w14:paraId="4C3562BE" w14:textId="77777777" w:rsidR="00BE36FB" w:rsidRPr="009B7B35" w:rsidRDefault="00BE36FB" w:rsidP="00BE36FB">
            <w:pPr>
              <w:pStyle w:val="TableText"/>
              <w:numPr>
                <w:ilvl w:val="0"/>
                <w:numId w:val="533"/>
              </w:numPr>
              <w:ind w:left="567" w:hanging="567"/>
              <w:rPr>
                <w:rFonts w:cs="Arial"/>
              </w:rPr>
            </w:pPr>
            <w:r w:rsidRPr="009B7B35">
              <w:rPr>
                <w:rFonts w:cs="Arial"/>
              </w:rPr>
              <w:t>does not result in a significant loss of visual amenity.</w:t>
            </w:r>
          </w:p>
        </w:tc>
        <w:tc>
          <w:tcPr>
            <w:tcW w:w="4678" w:type="dxa"/>
          </w:tcPr>
          <w:p w14:paraId="3719F0FC" w14:textId="77777777" w:rsidR="00BE36FB" w:rsidRPr="009B7B35" w:rsidRDefault="00BE36FB" w:rsidP="001A7107">
            <w:pPr>
              <w:pStyle w:val="TableText"/>
              <w:rPr>
                <w:rFonts w:cs="Arial"/>
                <w:b/>
              </w:rPr>
            </w:pPr>
            <w:r w:rsidRPr="009B7B35">
              <w:rPr>
                <w:rFonts w:cs="Arial"/>
                <w:b/>
              </w:rPr>
              <w:t>AO8</w:t>
            </w:r>
          </w:p>
          <w:p w14:paraId="793EC4D7" w14:textId="77777777" w:rsidR="00BE36FB" w:rsidRPr="009B7B35" w:rsidRDefault="00BE36FB" w:rsidP="001A7107">
            <w:pPr>
              <w:pStyle w:val="TableText"/>
              <w:rPr>
                <w:rFonts w:cs="Arial"/>
              </w:rPr>
            </w:pPr>
            <w:r w:rsidRPr="009B7B35">
              <w:rPr>
                <w:rFonts w:cs="Arial"/>
              </w:rPr>
              <w:t>Building height does not exceed that shown on the Building height and frontages overlay map.</w:t>
            </w:r>
          </w:p>
        </w:tc>
      </w:tr>
      <w:tr w:rsidR="00BE36FB" w:rsidRPr="009B7B35" w14:paraId="3979DF7E" w14:textId="77777777" w:rsidTr="001A7107">
        <w:tc>
          <w:tcPr>
            <w:tcW w:w="9356" w:type="dxa"/>
            <w:gridSpan w:val="2"/>
            <w:shd w:val="clear" w:color="auto" w:fill="BFBFBF" w:themeFill="background1" w:themeFillShade="BF"/>
          </w:tcPr>
          <w:p w14:paraId="7647BF11" w14:textId="77777777" w:rsidR="00BE36FB" w:rsidRPr="009B7B35" w:rsidRDefault="00BE36FB" w:rsidP="001A7107">
            <w:pPr>
              <w:pStyle w:val="Tableheading"/>
              <w:rPr>
                <w:rFonts w:ascii="Arial" w:hAnsi="Arial" w:cs="Arial"/>
                <w:szCs w:val="20"/>
              </w:rPr>
            </w:pPr>
            <w:r w:rsidRPr="009B7B35">
              <w:rPr>
                <w:rFonts w:ascii="Arial" w:hAnsi="Arial" w:cs="Arial"/>
                <w:szCs w:val="20"/>
              </w:rPr>
              <w:t>Centre design</w:t>
            </w:r>
          </w:p>
        </w:tc>
      </w:tr>
      <w:tr w:rsidR="00BE36FB" w:rsidRPr="009B7B35" w14:paraId="53CDA3CB" w14:textId="77777777" w:rsidTr="001A7107">
        <w:tc>
          <w:tcPr>
            <w:tcW w:w="4678" w:type="dxa"/>
          </w:tcPr>
          <w:p w14:paraId="137FC968" w14:textId="77777777" w:rsidR="00BE36FB" w:rsidRPr="009B7B35" w:rsidRDefault="00BE36FB" w:rsidP="001A7107">
            <w:pPr>
              <w:pStyle w:val="Tableheading"/>
              <w:rPr>
                <w:rFonts w:ascii="Arial" w:hAnsi="Arial" w:cs="Arial"/>
                <w:szCs w:val="20"/>
              </w:rPr>
            </w:pPr>
            <w:r w:rsidRPr="009B7B35">
              <w:rPr>
                <w:rFonts w:ascii="Arial" w:hAnsi="Arial" w:cs="Arial"/>
                <w:szCs w:val="20"/>
              </w:rPr>
              <w:t>PO9</w:t>
            </w:r>
          </w:p>
          <w:p w14:paraId="285E4C16" w14:textId="77777777" w:rsidR="00BE36FB" w:rsidRPr="009B7B35" w:rsidRDefault="00BE36FB" w:rsidP="001A7107">
            <w:pPr>
              <w:pStyle w:val="TableText"/>
              <w:rPr>
                <w:rFonts w:cs="Arial"/>
              </w:rPr>
            </w:pPr>
            <w:r w:rsidRPr="009B7B35">
              <w:rPr>
                <w:rFonts w:cs="Arial"/>
              </w:rPr>
              <w:t>Development:</w:t>
            </w:r>
          </w:p>
          <w:p w14:paraId="4499AF66" w14:textId="77777777" w:rsidR="00BE36FB" w:rsidRPr="009B7B35" w:rsidRDefault="00BE36FB" w:rsidP="00BE36FB">
            <w:pPr>
              <w:pStyle w:val="TableText"/>
              <w:numPr>
                <w:ilvl w:val="0"/>
                <w:numId w:val="576"/>
              </w:numPr>
              <w:rPr>
                <w:rFonts w:cs="Arial"/>
              </w:rPr>
            </w:pPr>
            <w:r w:rsidRPr="009B7B35">
              <w:rPr>
                <w:rFonts w:cs="Arial"/>
              </w:rPr>
              <w:t>is proportionate to the size and street frontage of the site</w:t>
            </w:r>
          </w:p>
          <w:p w14:paraId="56EAB9DD" w14:textId="77777777" w:rsidR="00BE36FB" w:rsidRPr="009B7B35" w:rsidRDefault="00BE36FB" w:rsidP="00BE36FB">
            <w:pPr>
              <w:pStyle w:val="TableText"/>
              <w:numPr>
                <w:ilvl w:val="0"/>
                <w:numId w:val="576"/>
              </w:numPr>
              <w:rPr>
                <w:rFonts w:cs="Arial"/>
              </w:rPr>
            </w:pPr>
            <w:r w:rsidRPr="009B7B35">
              <w:rPr>
                <w:rFonts w:cs="Arial"/>
              </w:rPr>
              <w:t>maintains and enhances the existing streetscape</w:t>
            </w:r>
          </w:p>
          <w:p w14:paraId="05E93D03" w14:textId="77777777" w:rsidR="00BE36FB" w:rsidRPr="009B7B35" w:rsidRDefault="00BE36FB" w:rsidP="00BE36FB">
            <w:pPr>
              <w:pStyle w:val="TableText"/>
              <w:numPr>
                <w:ilvl w:val="0"/>
                <w:numId w:val="576"/>
              </w:numPr>
              <w:rPr>
                <w:rFonts w:cs="Arial"/>
              </w:rPr>
            </w:pPr>
            <w:r w:rsidRPr="009B7B35">
              <w:rPr>
                <w:rFonts w:cs="Arial"/>
              </w:rPr>
              <w:t>protects adjacent amenity</w:t>
            </w:r>
          </w:p>
          <w:p w14:paraId="5FD65AE1" w14:textId="77777777" w:rsidR="00BE36FB" w:rsidRPr="009B7B35" w:rsidRDefault="00BE36FB" w:rsidP="00BE36FB">
            <w:pPr>
              <w:pStyle w:val="TableText"/>
              <w:numPr>
                <w:ilvl w:val="0"/>
                <w:numId w:val="576"/>
              </w:numPr>
              <w:rPr>
                <w:rFonts w:cs="Arial"/>
              </w:rPr>
            </w:pPr>
            <w:r w:rsidRPr="009B7B35">
              <w:rPr>
                <w:rFonts w:cs="Arial"/>
              </w:rPr>
              <w:t>maintains appropriate levels of light and solar penetration, air circulation, and privacy for adjoining properties</w:t>
            </w:r>
          </w:p>
          <w:p w14:paraId="3D694BD2" w14:textId="77777777" w:rsidR="00BE36FB" w:rsidRPr="009B7B35" w:rsidRDefault="00BE36FB" w:rsidP="00BE36FB">
            <w:pPr>
              <w:pStyle w:val="TableText"/>
              <w:numPr>
                <w:ilvl w:val="0"/>
                <w:numId w:val="576"/>
              </w:numPr>
              <w:rPr>
                <w:rFonts w:cs="Arial"/>
              </w:rPr>
            </w:pPr>
            <w:r w:rsidRPr="009B7B35">
              <w:rPr>
                <w:rFonts w:cs="Arial"/>
              </w:rPr>
              <w:t>provides for public space and landscape areas, and</w:t>
            </w:r>
          </w:p>
          <w:p w14:paraId="0B8E8837" w14:textId="77777777" w:rsidR="00BE36FB" w:rsidRPr="009B7B35" w:rsidRDefault="00BE36FB" w:rsidP="00BE36FB">
            <w:pPr>
              <w:pStyle w:val="TableText"/>
              <w:numPr>
                <w:ilvl w:val="0"/>
                <w:numId w:val="576"/>
              </w:numPr>
              <w:rPr>
                <w:rFonts w:cs="Arial"/>
              </w:rPr>
            </w:pPr>
            <w:r w:rsidRPr="009B7B35">
              <w:rPr>
                <w:rFonts w:cs="Arial"/>
              </w:rPr>
              <w:t>reduces building bulk.</w:t>
            </w:r>
          </w:p>
        </w:tc>
        <w:tc>
          <w:tcPr>
            <w:tcW w:w="4678" w:type="dxa"/>
          </w:tcPr>
          <w:p w14:paraId="760C600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B766EF5" w14:textId="77777777" w:rsidTr="001A7107">
        <w:tc>
          <w:tcPr>
            <w:tcW w:w="4678" w:type="dxa"/>
          </w:tcPr>
          <w:p w14:paraId="13119145" w14:textId="77777777" w:rsidR="00BE36FB" w:rsidRPr="009B7B35" w:rsidRDefault="00BE36FB" w:rsidP="001A7107">
            <w:pPr>
              <w:pStyle w:val="TableText"/>
              <w:rPr>
                <w:rFonts w:cs="Arial"/>
                <w:b/>
                <w:bCs/>
              </w:rPr>
            </w:pPr>
            <w:r w:rsidRPr="009B7B35">
              <w:rPr>
                <w:rFonts w:cs="Arial"/>
                <w:b/>
                <w:bCs/>
              </w:rPr>
              <w:t>PO10</w:t>
            </w:r>
          </w:p>
          <w:p w14:paraId="23FEB479" w14:textId="77777777" w:rsidR="00BE36FB" w:rsidRPr="009B7B35" w:rsidRDefault="00BE36FB">
            <w:pPr>
              <w:pStyle w:val="TableText"/>
              <w:rPr>
                <w:rFonts w:cs="Arial"/>
              </w:rPr>
            </w:pPr>
            <w:r w:rsidRPr="009B7B35">
              <w:rPr>
                <w:rFonts w:cs="Arial"/>
              </w:rPr>
              <w:t xml:space="preserve">Buildings are designed to: </w:t>
            </w:r>
          </w:p>
          <w:p w14:paraId="7D5E4678" w14:textId="77777777" w:rsidR="00BE36FB" w:rsidRPr="009B7B35" w:rsidRDefault="00BE36FB" w:rsidP="00BE36FB">
            <w:pPr>
              <w:pStyle w:val="TableText"/>
              <w:numPr>
                <w:ilvl w:val="0"/>
                <w:numId w:val="451"/>
              </w:numPr>
              <w:rPr>
                <w:rFonts w:cs="Arial"/>
              </w:rPr>
            </w:pPr>
            <w:r w:rsidRPr="009B7B35">
              <w:rPr>
                <w:rFonts w:cs="Arial"/>
              </w:rPr>
              <w:t>overlook the external street network by having buildings built up to or close to street alignments and providing active building frontages to public streets and spaces</w:t>
            </w:r>
          </w:p>
          <w:p w14:paraId="24C2527F" w14:textId="77777777" w:rsidR="00BE36FB" w:rsidRPr="009B7B35" w:rsidRDefault="00BE36FB" w:rsidP="00BE36FB">
            <w:pPr>
              <w:pStyle w:val="TableText"/>
              <w:numPr>
                <w:ilvl w:val="0"/>
                <w:numId w:val="451"/>
              </w:numPr>
              <w:rPr>
                <w:rFonts w:cs="Arial"/>
              </w:rPr>
            </w:pPr>
            <w:r w:rsidRPr="009B7B35">
              <w:rPr>
                <w:rFonts w:cs="Arial"/>
              </w:rPr>
              <w:t>respect and complement the existing character of the area</w:t>
            </w:r>
          </w:p>
          <w:p w14:paraId="4DE39100" w14:textId="77777777" w:rsidR="00BE36FB" w:rsidRPr="009B7B35" w:rsidRDefault="00BE36FB" w:rsidP="00BE36FB">
            <w:pPr>
              <w:pStyle w:val="TableText"/>
              <w:numPr>
                <w:ilvl w:val="0"/>
                <w:numId w:val="451"/>
              </w:numPr>
              <w:rPr>
                <w:rFonts w:cs="Arial"/>
              </w:rPr>
            </w:pPr>
            <w:r w:rsidRPr="009B7B35">
              <w:rPr>
                <w:rFonts w:cs="Arial"/>
              </w:rPr>
              <w:t>maintain an appropriate human scale</w:t>
            </w:r>
          </w:p>
          <w:p w14:paraId="2E3E960D" w14:textId="77777777" w:rsidR="00BE36FB" w:rsidRPr="009B7B35" w:rsidRDefault="00BE36FB" w:rsidP="00BE36FB">
            <w:pPr>
              <w:pStyle w:val="TableText"/>
              <w:numPr>
                <w:ilvl w:val="0"/>
                <w:numId w:val="451"/>
              </w:numPr>
              <w:rPr>
                <w:rFonts w:cs="Arial"/>
              </w:rPr>
            </w:pPr>
            <w:r w:rsidRPr="009B7B35">
              <w:rPr>
                <w:rFonts w:cs="Arial"/>
              </w:rPr>
              <w:t>minimise the use of highly reflective materials, and</w:t>
            </w:r>
          </w:p>
          <w:p w14:paraId="320F3D86" w14:textId="77777777" w:rsidR="00BE36FB" w:rsidRPr="009B7B35" w:rsidRDefault="00BE36FB" w:rsidP="00BE36FB">
            <w:pPr>
              <w:pStyle w:val="TableText"/>
              <w:numPr>
                <w:ilvl w:val="0"/>
                <w:numId w:val="451"/>
              </w:numPr>
              <w:rPr>
                <w:rFonts w:cs="Arial"/>
              </w:rPr>
            </w:pPr>
            <w:r w:rsidRPr="009B7B35">
              <w:rPr>
                <w:rFonts w:cs="Arial"/>
              </w:rPr>
              <w:t>respond to climatic conditions.</w:t>
            </w:r>
          </w:p>
        </w:tc>
        <w:tc>
          <w:tcPr>
            <w:tcW w:w="4678" w:type="dxa"/>
          </w:tcPr>
          <w:p w14:paraId="0DB81E7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FD7B62D" w14:textId="77777777" w:rsidTr="001A7107">
        <w:tc>
          <w:tcPr>
            <w:tcW w:w="4678" w:type="dxa"/>
          </w:tcPr>
          <w:p w14:paraId="398BAD22" w14:textId="77777777" w:rsidR="00BE36FB" w:rsidRPr="009B7B35" w:rsidRDefault="00BE36FB" w:rsidP="001A7107">
            <w:pPr>
              <w:pStyle w:val="TableText"/>
              <w:rPr>
                <w:rFonts w:cs="Arial"/>
                <w:b/>
                <w:bCs/>
              </w:rPr>
            </w:pPr>
            <w:r w:rsidRPr="009B7B35">
              <w:rPr>
                <w:rFonts w:cs="Arial"/>
                <w:b/>
                <w:bCs/>
              </w:rPr>
              <w:t>PO11</w:t>
            </w:r>
          </w:p>
          <w:p w14:paraId="3E7DBC35" w14:textId="77777777" w:rsidR="00BE36FB" w:rsidRPr="009B7B35" w:rsidRDefault="00BE36FB" w:rsidP="001A7107">
            <w:pPr>
              <w:pStyle w:val="TableText"/>
              <w:rPr>
                <w:rFonts w:cs="Arial"/>
              </w:rPr>
            </w:pPr>
            <w:r w:rsidRPr="009B7B35">
              <w:rPr>
                <w:rFonts w:cs="Arial"/>
              </w:rPr>
              <w:t>Design elements contribute to an interesting and attractive streetscape and building through:</w:t>
            </w:r>
          </w:p>
          <w:p w14:paraId="78AA0256" w14:textId="77777777" w:rsidR="00BE36FB" w:rsidRPr="009B7B35" w:rsidRDefault="00BE36FB" w:rsidP="00BE36FB">
            <w:pPr>
              <w:pStyle w:val="TableText"/>
              <w:numPr>
                <w:ilvl w:val="0"/>
                <w:numId w:val="577"/>
              </w:numPr>
              <w:rPr>
                <w:rFonts w:cs="Arial"/>
              </w:rPr>
            </w:pPr>
            <w:r w:rsidRPr="009B7B35">
              <w:rPr>
                <w:rFonts w:cs="Arial"/>
              </w:rPr>
              <w:t>variations in materials and building form to enable articulation of facades and differentiation between buildings</w:t>
            </w:r>
          </w:p>
          <w:p w14:paraId="2D288937" w14:textId="77777777" w:rsidR="00BE36FB" w:rsidRPr="009B7B35" w:rsidRDefault="00BE36FB" w:rsidP="00BE36FB">
            <w:pPr>
              <w:pStyle w:val="TableText"/>
              <w:numPr>
                <w:ilvl w:val="0"/>
                <w:numId w:val="577"/>
              </w:numPr>
              <w:rPr>
                <w:rFonts w:cs="Arial"/>
              </w:rPr>
            </w:pPr>
            <w:r w:rsidRPr="009B7B35">
              <w:rPr>
                <w:rFonts w:cs="Arial"/>
              </w:rPr>
              <w:t>modulation in the façade, horizontally or vertically</w:t>
            </w:r>
          </w:p>
          <w:p w14:paraId="0724D315" w14:textId="77777777" w:rsidR="00BE36FB" w:rsidRPr="009B7B35" w:rsidRDefault="00BE36FB" w:rsidP="00BE36FB">
            <w:pPr>
              <w:pStyle w:val="TableText"/>
              <w:numPr>
                <w:ilvl w:val="0"/>
                <w:numId w:val="577"/>
              </w:numPr>
              <w:rPr>
                <w:rFonts w:cs="Arial"/>
              </w:rPr>
            </w:pPr>
            <w:r w:rsidRPr="009B7B35">
              <w:rPr>
                <w:rFonts w:cs="Arial"/>
              </w:rPr>
              <w:t>articulation of building entrances and openings</w:t>
            </w:r>
          </w:p>
          <w:p w14:paraId="2AC286C6" w14:textId="77777777" w:rsidR="00BE36FB" w:rsidRPr="009B7B35" w:rsidRDefault="00BE36FB" w:rsidP="00BE36FB">
            <w:pPr>
              <w:pStyle w:val="TableText"/>
              <w:numPr>
                <w:ilvl w:val="0"/>
                <w:numId w:val="577"/>
              </w:numPr>
              <w:rPr>
                <w:rFonts w:cs="Arial"/>
              </w:rPr>
            </w:pPr>
            <w:r w:rsidRPr="009B7B35">
              <w:rPr>
                <w:rFonts w:cs="Arial"/>
              </w:rPr>
              <w:t>corner treatments to address all street frontages, and</w:t>
            </w:r>
          </w:p>
          <w:p w14:paraId="03B931F9" w14:textId="77777777" w:rsidR="00BE36FB" w:rsidRPr="009B7B35" w:rsidRDefault="00BE36FB" w:rsidP="00BE36FB">
            <w:pPr>
              <w:pStyle w:val="TableText"/>
              <w:numPr>
                <w:ilvl w:val="0"/>
                <w:numId w:val="577"/>
              </w:numPr>
              <w:rPr>
                <w:rFonts w:cs="Arial"/>
              </w:rPr>
            </w:pPr>
            <w:r w:rsidRPr="009B7B35">
              <w:rPr>
                <w:rFonts w:cs="Arial"/>
              </w:rPr>
              <w:t>elements which assist in wayfinding and legibility.</w:t>
            </w:r>
          </w:p>
        </w:tc>
        <w:tc>
          <w:tcPr>
            <w:tcW w:w="4678" w:type="dxa"/>
          </w:tcPr>
          <w:p w14:paraId="72BEE15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DAC72FA" w14:textId="77777777" w:rsidTr="001A7107">
        <w:trPr>
          <w:cantSplit/>
        </w:trPr>
        <w:tc>
          <w:tcPr>
            <w:tcW w:w="4678" w:type="dxa"/>
          </w:tcPr>
          <w:p w14:paraId="3174A1A8" w14:textId="77777777" w:rsidR="00BE36FB" w:rsidRPr="009B7B35" w:rsidRDefault="00BE36FB" w:rsidP="001A7107">
            <w:pPr>
              <w:pStyle w:val="TableText"/>
              <w:rPr>
                <w:rFonts w:cs="Arial"/>
                <w:b/>
                <w:bCs/>
              </w:rPr>
            </w:pPr>
            <w:r w:rsidRPr="009B7B35">
              <w:rPr>
                <w:rFonts w:cs="Arial"/>
                <w:b/>
                <w:bCs/>
              </w:rPr>
              <w:t>PO12</w:t>
            </w:r>
          </w:p>
          <w:p w14:paraId="626A848B" w14:textId="77777777" w:rsidR="00BE36FB" w:rsidRPr="009B7B35" w:rsidRDefault="00BE36FB" w:rsidP="001A7107">
            <w:pPr>
              <w:pStyle w:val="TableText"/>
              <w:rPr>
                <w:rFonts w:cs="Arial"/>
              </w:rPr>
            </w:pPr>
            <w:r w:rsidRPr="009B7B35">
              <w:rPr>
                <w:rFonts w:cs="Arial"/>
              </w:rPr>
              <w:t>Building caps and rooftops contribute to the architectural distinction of the building, and effectively screen service structures, lift over–runs, plant and equipment.</w:t>
            </w:r>
          </w:p>
        </w:tc>
        <w:tc>
          <w:tcPr>
            <w:tcW w:w="4678" w:type="dxa"/>
          </w:tcPr>
          <w:p w14:paraId="2B6BB28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23F69CD" w14:textId="77777777" w:rsidTr="001A7107">
        <w:trPr>
          <w:cantSplit/>
        </w:trPr>
        <w:tc>
          <w:tcPr>
            <w:tcW w:w="4678" w:type="dxa"/>
          </w:tcPr>
          <w:p w14:paraId="3BC3D8C8" w14:textId="77777777" w:rsidR="00BE36FB" w:rsidRPr="009B7B35" w:rsidRDefault="00BE36FB" w:rsidP="001A7107">
            <w:pPr>
              <w:pStyle w:val="TableText"/>
              <w:rPr>
                <w:rFonts w:cs="Arial"/>
                <w:b/>
                <w:bCs/>
              </w:rPr>
            </w:pPr>
            <w:r w:rsidRPr="009B7B35">
              <w:rPr>
                <w:rFonts w:cs="Arial"/>
                <w:b/>
                <w:bCs/>
              </w:rPr>
              <w:t>PO13</w:t>
            </w:r>
          </w:p>
          <w:p w14:paraId="63604313" w14:textId="77777777" w:rsidR="00BE36FB" w:rsidRPr="009B7B35" w:rsidRDefault="00BE36FB" w:rsidP="001A7107">
            <w:pPr>
              <w:pStyle w:val="TableText"/>
              <w:rPr>
                <w:rFonts w:cs="Arial"/>
              </w:rPr>
            </w:pPr>
            <w:r w:rsidRPr="009B7B35">
              <w:rPr>
                <w:rFonts w:cs="Arial"/>
              </w:rPr>
              <w:t>Development is designed to facilitate the safety and security of people and property having regard to:</w:t>
            </w:r>
          </w:p>
          <w:p w14:paraId="7EFA289C" w14:textId="77777777" w:rsidR="00BE36FB" w:rsidRPr="009B7B35" w:rsidRDefault="00BE36FB" w:rsidP="00BE36FB">
            <w:pPr>
              <w:pStyle w:val="TableText"/>
              <w:numPr>
                <w:ilvl w:val="0"/>
                <w:numId w:val="452"/>
              </w:numPr>
              <w:rPr>
                <w:rFonts w:cs="Arial"/>
              </w:rPr>
            </w:pPr>
            <w:r w:rsidRPr="009B7B35">
              <w:rPr>
                <w:rFonts w:cs="Arial"/>
              </w:rPr>
              <w:t>maximising casual surveillance and sight lines</w:t>
            </w:r>
          </w:p>
          <w:p w14:paraId="5DF4DA69" w14:textId="77777777" w:rsidR="00BE36FB" w:rsidRPr="009B7B35" w:rsidRDefault="00BE36FB" w:rsidP="00BE36FB">
            <w:pPr>
              <w:pStyle w:val="TableText"/>
              <w:numPr>
                <w:ilvl w:val="0"/>
                <w:numId w:val="452"/>
              </w:numPr>
              <w:rPr>
                <w:rFonts w:cs="Arial"/>
              </w:rPr>
            </w:pPr>
            <w:r w:rsidRPr="009B7B35">
              <w:rPr>
                <w:rFonts w:cs="Arial"/>
              </w:rPr>
              <w:t>exterior building design that promotes safety</w:t>
            </w:r>
          </w:p>
          <w:p w14:paraId="156BE429" w14:textId="77777777" w:rsidR="00BE36FB" w:rsidRPr="009B7B35" w:rsidRDefault="00BE36FB" w:rsidP="00BE36FB">
            <w:pPr>
              <w:pStyle w:val="TableText"/>
              <w:numPr>
                <w:ilvl w:val="0"/>
                <w:numId w:val="452"/>
              </w:numPr>
              <w:rPr>
                <w:rFonts w:cs="Arial"/>
              </w:rPr>
            </w:pPr>
            <w:r w:rsidRPr="009B7B35">
              <w:rPr>
                <w:rFonts w:cs="Arial"/>
              </w:rPr>
              <w:t>adequate lighting</w:t>
            </w:r>
          </w:p>
          <w:p w14:paraId="671CAF97" w14:textId="77777777" w:rsidR="00BE36FB" w:rsidRPr="009B7B35" w:rsidRDefault="00BE36FB" w:rsidP="00BE36FB">
            <w:pPr>
              <w:pStyle w:val="TableText"/>
              <w:numPr>
                <w:ilvl w:val="0"/>
                <w:numId w:val="452"/>
              </w:numPr>
              <w:rPr>
                <w:rFonts w:cs="Arial"/>
              </w:rPr>
            </w:pPr>
            <w:r w:rsidRPr="009B7B35">
              <w:rPr>
                <w:rFonts w:cs="Arial"/>
              </w:rPr>
              <w:t>appropriate signage and wayfinding</w:t>
            </w:r>
          </w:p>
          <w:p w14:paraId="5289249F" w14:textId="77777777" w:rsidR="00BE36FB" w:rsidRPr="009B7B35" w:rsidRDefault="00BE36FB" w:rsidP="00BE36FB">
            <w:pPr>
              <w:pStyle w:val="TableText"/>
              <w:numPr>
                <w:ilvl w:val="0"/>
                <w:numId w:val="452"/>
              </w:numPr>
              <w:rPr>
                <w:rFonts w:cs="Arial"/>
              </w:rPr>
            </w:pPr>
            <w:r w:rsidRPr="009B7B35">
              <w:rPr>
                <w:rFonts w:cs="Arial"/>
              </w:rPr>
              <w:t>minimisation of personal concealment and entrapment locations, and</w:t>
            </w:r>
          </w:p>
          <w:p w14:paraId="724ECFC2" w14:textId="77777777" w:rsidR="00BE36FB" w:rsidRPr="009B7B35" w:rsidRDefault="00BE36FB" w:rsidP="00BE36FB">
            <w:pPr>
              <w:pStyle w:val="TableText"/>
              <w:numPr>
                <w:ilvl w:val="0"/>
                <w:numId w:val="452"/>
              </w:numPr>
              <w:rPr>
                <w:rFonts w:cs="Arial"/>
              </w:rPr>
            </w:pPr>
            <w:r w:rsidRPr="009B7B35">
              <w:rPr>
                <w:rFonts w:cs="Arial"/>
              </w:rPr>
              <w:t>building entrances, parking, loading and storage areas that are well lit and have clearly defined access points.</w:t>
            </w:r>
          </w:p>
          <w:p w14:paraId="54854A2C" w14:textId="77777777" w:rsidR="00BE36FB" w:rsidRPr="009B7B35" w:rsidRDefault="00BE36FB">
            <w:pPr>
              <w:pStyle w:val="Notes"/>
              <w:rPr>
                <w:rFonts w:cs="Arial"/>
                <w:sz w:val="20"/>
                <w:szCs w:val="20"/>
              </w:rPr>
            </w:pPr>
            <w:r w:rsidRPr="009B7B35">
              <w:rPr>
                <w:rFonts w:cs="Arial"/>
                <w:sz w:val="20"/>
                <w:szCs w:val="20"/>
              </w:rPr>
              <w:t xml:space="preserve">Note—Applicants should have regard to </w:t>
            </w:r>
            <w:hyperlink r:id="rId58" w:tgtFrame="_blank" w:tooltip="Crime Prevention through Environmental Design Guidelines for Queensland" w:history="1">
              <w:r w:rsidRPr="009B7B35">
                <w:rPr>
                  <w:rStyle w:val="Hyperlink"/>
                  <w:rFonts w:cs="Arial"/>
                  <w:sz w:val="20"/>
                  <w:szCs w:val="20"/>
                </w:rPr>
                <w:t>Crime Prevention through Environmental Design Guidelines for Queensland</w:t>
              </w:r>
            </w:hyperlink>
            <w:r w:rsidRPr="009B7B35">
              <w:rPr>
                <w:rFonts w:cs="Arial"/>
                <w:sz w:val="20"/>
                <w:szCs w:val="20"/>
              </w:rPr>
              <w:t>.</w:t>
            </w:r>
          </w:p>
        </w:tc>
        <w:tc>
          <w:tcPr>
            <w:tcW w:w="4678" w:type="dxa"/>
          </w:tcPr>
          <w:p w14:paraId="187B6E33"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DE9FE19" w14:textId="77777777" w:rsidTr="001A7107">
        <w:trPr>
          <w:cantSplit/>
        </w:trPr>
        <w:tc>
          <w:tcPr>
            <w:tcW w:w="9356" w:type="dxa"/>
            <w:gridSpan w:val="2"/>
            <w:shd w:val="clear" w:color="auto" w:fill="BFBFBF" w:themeFill="background1" w:themeFillShade="BF"/>
          </w:tcPr>
          <w:p w14:paraId="65CABE0E" w14:textId="77777777" w:rsidR="00BE36FB" w:rsidRPr="009B7B35" w:rsidRDefault="00BE36FB" w:rsidP="001A7107">
            <w:pPr>
              <w:pStyle w:val="Tableheading"/>
              <w:rPr>
                <w:rFonts w:ascii="Arial" w:hAnsi="Arial" w:cs="Arial"/>
                <w:szCs w:val="20"/>
              </w:rPr>
            </w:pPr>
            <w:r w:rsidRPr="009B7B35">
              <w:rPr>
                <w:rFonts w:ascii="Arial" w:hAnsi="Arial" w:cs="Arial"/>
                <w:szCs w:val="20"/>
              </w:rPr>
              <w:t>Street interface</w:t>
            </w:r>
          </w:p>
        </w:tc>
      </w:tr>
      <w:tr w:rsidR="00BE36FB" w:rsidRPr="009B7B35" w14:paraId="5856B533" w14:textId="77777777" w:rsidTr="001A7107">
        <w:trPr>
          <w:cantSplit/>
        </w:trPr>
        <w:tc>
          <w:tcPr>
            <w:tcW w:w="4678" w:type="dxa"/>
          </w:tcPr>
          <w:p w14:paraId="04C5C4DA" w14:textId="77777777" w:rsidR="00BE36FB" w:rsidRPr="009B7B35" w:rsidRDefault="00BE36FB" w:rsidP="001A7107">
            <w:pPr>
              <w:pStyle w:val="TableText"/>
              <w:rPr>
                <w:rFonts w:cs="Arial"/>
                <w:b/>
                <w:bCs/>
              </w:rPr>
            </w:pPr>
            <w:r w:rsidRPr="009B7B35">
              <w:rPr>
                <w:rFonts w:cs="Arial"/>
                <w:b/>
                <w:bCs/>
              </w:rPr>
              <w:t>PO14</w:t>
            </w:r>
          </w:p>
          <w:p w14:paraId="321D826A" w14:textId="77777777" w:rsidR="00BE36FB" w:rsidRPr="009B7B35" w:rsidRDefault="00BE36FB" w:rsidP="001A7107">
            <w:pPr>
              <w:pStyle w:val="TableText"/>
              <w:rPr>
                <w:rFonts w:cs="Arial"/>
              </w:rPr>
            </w:pPr>
            <w:r w:rsidRPr="009B7B35">
              <w:rPr>
                <w:rFonts w:cs="Arial"/>
              </w:rPr>
              <w:t>Buildings are oriented to address all street frontages, public open space and public areas to:</w:t>
            </w:r>
          </w:p>
          <w:p w14:paraId="3120DE39" w14:textId="77777777" w:rsidR="00BE36FB" w:rsidRPr="009B7B35" w:rsidRDefault="00BE36FB" w:rsidP="00BE36FB">
            <w:pPr>
              <w:pStyle w:val="TableText"/>
              <w:numPr>
                <w:ilvl w:val="0"/>
                <w:numId w:val="453"/>
              </w:numPr>
              <w:rPr>
                <w:rFonts w:cs="Arial"/>
              </w:rPr>
            </w:pPr>
            <w:r w:rsidRPr="009B7B35">
              <w:rPr>
                <w:rFonts w:cs="Arial"/>
              </w:rPr>
              <w:t>promote interaction and casual surveillance</w:t>
            </w:r>
          </w:p>
          <w:p w14:paraId="54F9EFA5" w14:textId="77777777" w:rsidR="00BE36FB" w:rsidRPr="009B7B35" w:rsidRDefault="00BE36FB" w:rsidP="00BE36FB">
            <w:pPr>
              <w:pStyle w:val="TableText"/>
              <w:numPr>
                <w:ilvl w:val="0"/>
                <w:numId w:val="453"/>
              </w:numPr>
              <w:rPr>
                <w:rFonts w:cs="Arial"/>
              </w:rPr>
            </w:pPr>
            <w:r w:rsidRPr="009B7B35">
              <w:rPr>
                <w:rFonts w:cs="Arial"/>
              </w:rPr>
              <w:t>concentrate and reinforce pedestrian activity</w:t>
            </w:r>
          </w:p>
          <w:p w14:paraId="136B7CF6" w14:textId="77777777" w:rsidR="00BE36FB" w:rsidRPr="009B7B35" w:rsidRDefault="00BE36FB" w:rsidP="00BE36FB">
            <w:pPr>
              <w:pStyle w:val="TableText"/>
              <w:numPr>
                <w:ilvl w:val="0"/>
                <w:numId w:val="453"/>
              </w:numPr>
              <w:rPr>
                <w:rFonts w:cs="Arial"/>
              </w:rPr>
            </w:pPr>
            <w:r w:rsidRPr="009B7B35">
              <w:rPr>
                <w:rFonts w:cs="Arial"/>
              </w:rPr>
              <w:t>create consolidated street edges</w:t>
            </w:r>
          </w:p>
          <w:p w14:paraId="1DA5B20D" w14:textId="77777777" w:rsidR="00BE36FB" w:rsidRPr="009B7B35" w:rsidRDefault="00BE36FB" w:rsidP="00BE36FB">
            <w:pPr>
              <w:pStyle w:val="TableText"/>
              <w:numPr>
                <w:ilvl w:val="0"/>
                <w:numId w:val="453"/>
              </w:numPr>
              <w:rPr>
                <w:rFonts w:cs="Arial"/>
              </w:rPr>
            </w:pPr>
            <w:r w:rsidRPr="009B7B35">
              <w:rPr>
                <w:rFonts w:cs="Arial"/>
              </w:rPr>
              <w:t>avoid opaque facades to provide visual interest to the frontage, and</w:t>
            </w:r>
          </w:p>
          <w:p w14:paraId="78AC578A" w14:textId="77777777" w:rsidR="00BE36FB" w:rsidRPr="009B7B35" w:rsidRDefault="00BE36FB" w:rsidP="00BE36FB">
            <w:pPr>
              <w:pStyle w:val="TableText"/>
              <w:numPr>
                <w:ilvl w:val="0"/>
                <w:numId w:val="453"/>
              </w:numPr>
              <w:rPr>
                <w:rFonts w:cs="Arial"/>
              </w:rPr>
            </w:pPr>
            <w:r w:rsidRPr="009B7B35">
              <w:rPr>
                <w:rFonts w:cs="Arial"/>
              </w:rPr>
              <w:t>clearly define the public and private realm.</w:t>
            </w:r>
          </w:p>
        </w:tc>
        <w:tc>
          <w:tcPr>
            <w:tcW w:w="4678" w:type="dxa"/>
          </w:tcPr>
          <w:p w14:paraId="06A7398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7750C3F" w14:textId="77777777" w:rsidTr="001A7107">
        <w:tc>
          <w:tcPr>
            <w:tcW w:w="4678" w:type="dxa"/>
          </w:tcPr>
          <w:p w14:paraId="11725878" w14:textId="77777777" w:rsidR="00BE36FB" w:rsidRPr="009B7B35" w:rsidRDefault="00BE36FB" w:rsidP="001A7107">
            <w:pPr>
              <w:pStyle w:val="TableText"/>
              <w:rPr>
                <w:rFonts w:cs="Arial"/>
                <w:b/>
                <w:bCs/>
              </w:rPr>
            </w:pPr>
            <w:r w:rsidRPr="009B7B35">
              <w:rPr>
                <w:rFonts w:cs="Arial"/>
                <w:b/>
                <w:bCs/>
              </w:rPr>
              <w:t>PO15</w:t>
            </w:r>
          </w:p>
          <w:p w14:paraId="6AB8BF7E" w14:textId="77777777" w:rsidR="00BE36FB" w:rsidRPr="009B7B35" w:rsidRDefault="00BE36FB" w:rsidP="001A7107">
            <w:pPr>
              <w:pStyle w:val="TableText"/>
              <w:rPr>
                <w:rFonts w:cs="Arial"/>
              </w:rPr>
            </w:pPr>
            <w:r w:rsidRPr="009B7B35">
              <w:rPr>
                <w:rFonts w:cs="Arial"/>
              </w:rPr>
              <w:t>Buildings and pedestrian entries:</w:t>
            </w:r>
          </w:p>
          <w:p w14:paraId="4C97450D" w14:textId="77777777" w:rsidR="00BE36FB" w:rsidRPr="009B7B35" w:rsidRDefault="00BE36FB" w:rsidP="00BE36FB">
            <w:pPr>
              <w:pStyle w:val="TableText"/>
              <w:numPr>
                <w:ilvl w:val="0"/>
                <w:numId w:val="578"/>
              </w:numPr>
              <w:rPr>
                <w:rFonts w:cs="Arial"/>
              </w:rPr>
            </w:pPr>
            <w:r w:rsidRPr="009B7B35">
              <w:rPr>
                <w:rFonts w:cs="Arial"/>
              </w:rPr>
              <w:t>are visible from the street and car parking areas</w:t>
            </w:r>
          </w:p>
          <w:p w14:paraId="6240DC5C" w14:textId="77777777" w:rsidR="00BE36FB" w:rsidRPr="009B7B35" w:rsidRDefault="00BE36FB" w:rsidP="00BE36FB">
            <w:pPr>
              <w:pStyle w:val="TableText"/>
              <w:numPr>
                <w:ilvl w:val="0"/>
                <w:numId w:val="578"/>
              </w:numPr>
              <w:rPr>
                <w:rFonts w:cs="Arial"/>
              </w:rPr>
            </w:pPr>
            <w:r w:rsidRPr="009B7B35">
              <w:rPr>
                <w:rFonts w:cs="Arial"/>
              </w:rPr>
              <w:t>incorporate sun and rain shelter, such as overhangs or awnings, and</w:t>
            </w:r>
          </w:p>
          <w:p w14:paraId="6D52B10D" w14:textId="77777777" w:rsidR="00BE36FB" w:rsidRPr="009B7B35" w:rsidRDefault="00BE36FB" w:rsidP="00BE36FB">
            <w:pPr>
              <w:pStyle w:val="TableText"/>
              <w:numPr>
                <w:ilvl w:val="0"/>
                <w:numId w:val="578"/>
              </w:numPr>
              <w:rPr>
                <w:rFonts w:cs="Arial"/>
              </w:rPr>
            </w:pPr>
            <w:r w:rsidRPr="009B7B35">
              <w:rPr>
                <w:rFonts w:cs="Arial"/>
              </w:rPr>
              <w:t>are defined by design elements (such as doors and landscaping, etc).</w:t>
            </w:r>
          </w:p>
        </w:tc>
        <w:tc>
          <w:tcPr>
            <w:tcW w:w="4678" w:type="dxa"/>
          </w:tcPr>
          <w:p w14:paraId="185F34B0"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AA16900" w14:textId="77777777" w:rsidTr="001A7107">
        <w:tc>
          <w:tcPr>
            <w:tcW w:w="4678" w:type="dxa"/>
          </w:tcPr>
          <w:p w14:paraId="00638B3B" w14:textId="77777777" w:rsidR="00BE36FB" w:rsidRPr="009B7B35" w:rsidRDefault="00BE36FB" w:rsidP="001A7107">
            <w:pPr>
              <w:pStyle w:val="TableText"/>
              <w:rPr>
                <w:rFonts w:cs="Arial"/>
                <w:b/>
                <w:bCs/>
              </w:rPr>
            </w:pPr>
            <w:r w:rsidRPr="009B7B35">
              <w:rPr>
                <w:rFonts w:cs="Arial"/>
                <w:b/>
                <w:bCs/>
              </w:rPr>
              <w:t>PO16</w:t>
            </w:r>
          </w:p>
          <w:p w14:paraId="05E10EB5" w14:textId="77777777" w:rsidR="00BE36FB" w:rsidRPr="009B7B35" w:rsidRDefault="00BE36FB" w:rsidP="001A7107">
            <w:pPr>
              <w:pStyle w:val="TableText"/>
              <w:rPr>
                <w:rFonts w:cs="Arial"/>
              </w:rPr>
            </w:pPr>
            <w:r w:rsidRPr="009B7B35">
              <w:rPr>
                <w:rFonts w:cs="Arial"/>
              </w:rPr>
              <w:t>Buildings includes windows and openings to:</w:t>
            </w:r>
          </w:p>
          <w:p w14:paraId="25FDF90B" w14:textId="77777777" w:rsidR="00BE36FB" w:rsidRPr="009B7B35" w:rsidRDefault="00BE36FB" w:rsidP="00BE36FB">
            <w:pPr>
              <w:pStyle w:val="TableText"/>
              <w:numPr>
                <w:ilvl w:val="0"/>
                <w:numId w:val="454"/>
              </w:numPr>
              <w:rPr>
                <w:rFonts w:cs="Arial"/>
              </w:rPr>
            </w:pPr>
            <w:r w:rsidRPr="009B7B35">
              <w:rPr>
                <w:rFonts w:cs="Arial"/>
              </w:rPr>
              <w:t>promote street life and business activities</w:t>
            </w:r>
          </w:p>
          <w:p w14:paraId="1B47E131" w14:textId="77777777" w:rsidR="00BE36FB" w:rsidRPr="009B7B35" w:rsidRDefault="00BE36FB" w:rsidP="00BE36FB">
            <w:pPr>
              <w:pStyle w:val="TableText"/>
              <w:numPr>
                <w:ilvl w:val="0"/>
                <w:numId w:val="454"/>
              </w:numPr>
              <w:rPr>
                <w:rFonts w:cs="Arial"/>
              </w:rPr>
            </w:pPr>
            <w:r w:rsidRPr="009B7B35">
              <w:rPr>
                <w:rFonts w:cs="Arial"/>
              </w:rPr>
              <w:t>encourage strong indoor/outdoor relationships at ground level, and</w:t>
            </w:r>
          </w:p>
          <w:p w14:paraId="2F96DF51" w14:textId="77777777" w:rsidR="00BE36FB" w:rsidRPr="009B7B35" w:rsidRDefault="00BE36FB" w:rsidP="00BE36FB">
            <w:pPr>
              <w:pStyle w:val="TableText"/>
              <w:numPr>
                <w:ilvl w:val="0"/>
                <w:numId w:val="454"/>
              </w:numPr>
              <w:rPr>
                <w:rFonts w:cs="Arial"/>
              </w:rPr>
            </w:pPr>
            <w:r w:rsidRPr="009B7B35">
              <w:rPr>
                <w:rFonts w:cs="Arial"/>
              </w:rPr>
              <w:t>to facilitate casual surveillance.</w:t>
            </w:r>
          </w:p>
        </w:tc>
        <w:tc>
          <w:tcPr>
            <w:tcW w:w="4678" w:type="dxa"/>
          </w:tcPr>
          <w:p w14:paraId="4A0205B2"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E3C3EC8" w14:textId="77777777" w:rsidTr="001A7107">
        <w:trPr>
          <w:cantSplit/>
        </w:trPr>
        <w:tc>
          <w:tcPr>
            <w:tcW w:w="4678" w:type="dxa"/>
          </w:tcPr>
          <w:p w14:paraId="2D45F360" w14:textId="77777777" w:rsidR="00BE36FB" w:rsidRPr="009B7B35" w:rsidRDefault="00BE36FB" w:rsidP="001A7107">
            <w:pPr>
              <w:pStyle w:val="TableText"/>
              <w:rPr>
                <w:rFonts w:cs="Arial"/>
                <w:b/>
                <w:bCs/>
              </w:rPr>
            </w:pPr>
            <w:r w:rsidRPr="009B7B35">
              <w:rPr>
                <w:rFonts w:cs="Arial"/>
                <w:b/>
                <w:bCs/>
              </w:rPr>
              <w:t>PO17</w:t>
            </w:r>
          </w:p>
          <w:p w14:paraId="6F968390" w14:textId="77777777" w:rsidR="00BE36FB" w:rsidRPr="009B7B35" w:rsidRDefault="00BE36FB" w:rsidP="001A7107">
            <w:pPr>
              <w:pStyle w:val="TableText"/>
              <w:rPr>
                <w:rFonts w:cs="Arial"/>
              </w:rPr>
            </w:pPr>
            <w:r w:rsidRPr="009B7B35">
              <w:rPr>
                <w:rFonts w:cs="Arial"/>
              </w:rPr>
              <w:t xml:space="preserve">Development contributes towards high quality streetscape outcomes that integrate effectively with the street and along key pedestrian and cycle routes. </w:t>
            </w:r>
          </w:p>
        </w:tc>
        <w:tc>
          <w:tcPr>
            <w:tcW w:w="4678" w:type="dxa"/>
          </w:tcPr>
          <w:p w14:paraId="7C421568"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74232C7" w14:textId="77777777" w:rsidTr="001A7107">
        <w:trPr>
          <w:cantSplit/>
        </w:trPr>
        <w:tc>
          <w:tcPr>
            <w:tcW w:w="4678" w:type="dxa"/>
          </w:tcPr>
          <w:p w14:paraId="384125D8" w14:textId="77777777" w:rsidR="00BE36FB" w:rsidRPr="009B7B35" w:rsidRDefault="00BE36FB" w:rsidP="001A7107">
            <w:pPr>
              <w:pStyle w:val="TableText"/>
              <w:rPr>
                <w:rFonts w:cs="Arial"/>
                <w:b/>
                <w:bCs/>
              </w:rPr>
            </w:pPr>
            <w:r w:rsidRPr="009B7B35">
              <w:rPr>
                <w:rFonts w:cs="Arial"/>
                <w:b/>
                <w:bCs/>
              </w:rPr>
              <w:t>PO18</w:t>
            </w:r>
          </w:p>
          <w:p w14:paraId="3655A93C" w14:textId="77777777" w:rsidR="00BE36FB" w:rsidRPr="009B7B35" w:rsidRDefault="00BE36FB" w:rsidP="001A7107">
            <w:pPr>
              <w:pStyle w:val="TableText"/>
              <w:rPr>
                <w:rFonts w:cs="Arial"/>
              </w:rPr>
            </w:pPr>
            <w:r w:rsidRPr="009B7B35">
              <w:rPr>
                <w:rFonts w:cs="Arial"/>
              </w:rPr>
              <w:t>Buildings include awnings that:</w:t>
            </w:r>
          </w:p>
          <w:p w14:paraId="0F4A2D81" w14:textId="77777777" w:rsidR="00BE36FB" w:rsidRPr="009B7B35" w:rsidRDefault="00BE36FB" w:rsidP="00BE36FB">
            <w:pPr>
              <w:pStyle w:val="TableText"/>
              <w:numPr>
                <w:ilvl w:val="0"/>
                <w:numId w:val="455"/>
              </w:numPr>
              <w:rPr>
                <w:rFonts w:cs="Arial"/>
              </w:rPr>
            </w:pPr>
            <w:r w:rsidRPr="009B7B35">
              <w:rPr>
                <w:rFonts w:cs="Arial"/>
              </w:rPr>
              <w:t>complement and integrate with the front building façade</w:t>
            </w:r>
          </w:p>
          <w:p w14:paraId="2BC06503" w14:textId="77777777" w:rsidR="00BE36FB" w:rsidRPr="009B7B35" w:rsidRDefault="00BE36FB" w:rsidP="00BE36FB">
            <w:pPr>
              <w:pStyle w:val="TableText"/>
              <w:numPr>
                <w:ilvl w:val="0"/>
                <w:numId w:val="455"/>
              </w:numPr>
              <w:rPr>
                <w:rFonts w:cs="Arial"/>
              </w:rPr>
            </w:pPr>
            <w:r w:rsidRPr="009B7B35">
              <w:rPr>
                <w:rFonts w:cs="Arial"/>
              </w:rPr>
              <w:t>protect street footpaths from rain and sun</w:t>
            </w:r>
          </w:p>
          <w:p w14:paraId="0EEFF1F2" w14:textId="77777777" w:rsidR="00BE36FB" w:rsidRPr="009B7B35" w:rsidRDefault="00BE36FB" w:rsidP="00BE36FB">
            <w:pPr>
              <w:pStyle w:val="TableText"/>
              <w:numPr>
                <w:ilvl w:val="0"/>
                <w:numId w:val="455"/>
              </w:numPr>
              <w:rPr>
                <w:rFonts w:cs="Arial"/>
              </w:rPr>
            </w:pPr>
            <w:r w:rsidRPr="009B7B35">
              <w:rPr>
                <w:rFonts w:cs="Arial"/>
              </w:rPr>
              <w:t>are continuous and compatible with existing pedestrian shelter and awnings on adjoining buildings</w:t>
            </w:r>
          </w:p>
          <w:p w14:paraId="262179D4" w14:textId="77777777" w:rsidR="00BE36FB" w:rsidRPr="009B7B35" w:rsidRDefault="00BE36FB" w:rsidP="00BE36FB">
            <w:pPr>
              <w:pStyle w:val="TableText"/>
              <w:numPr>
                <w:ilvl w:val="0"/>
                <w:numId w:val="455"/>
              </w:numPr>
              <w:rPr>
                <w:rFonts w:cs="Arial"/>
              </w:rPr>
            </w:pPr>
            <w:r w:rsidRPr="009B7B35">
              <w:rPr>
                <w:rFonts w:cs="Arial"/>
              </w:rPr>
              <w:t>allow for street trees and other landscaping</w:t>
            </w:r>
          </w:p>
          <w:p w14:paraId="6D4B743C" w14:textId="77777777" w:rsidR="00BE36FB" w:rsidRPr="009B7B35" w:rsidRDefault="00BE36FB" w:rsidP="00BE36FB">
            <w:pPr>
              <w:pStyle w:val="TableText"/>
              <w:numPr>
                <w:ilvl w:val="0"/>
                <w:numId w:val="455"/>
              </w:numPr>
              <w:rPr>
                <w:rFonts w:cs="Arial"/>
              </w:rPr>
            </w:pPr>
            <w:r w:rsidRPr="009B7B35">
              <w:rPr>
                <w:rFonts w:cs="Arial"/>
              </w:rPr>
              <w:t>are visually safe and amenable</w:t>
            </w:r>
          </w:p>
          <w:p w14:paraId="02B700CF" w14:textId="77777777" w:rsidR="00BE36FB" w:rsidRPr="009B7B35" w:rsidRDefault="00BE36FB" w:rsidP="00BE36FB">
            <w:pPr>
              <w:pStyle w:val="TableText"/>
              <w:numPr>
                <w:ilvl w:val="0"/>
                <w:numId w:val="455"/>
              </w:numPr>
              <w:rPr>
                <w:rFonts w:cs="Arial"/>
              </w:rPr>
            </w:pPr>
            <w:r w:rsidRPr="009B7B35">
              <w:rPr>
                <w:rFonts w:cs="Arial"/>
              </w:rPr>
              <w:t>are cantilevered from the main building and do not include posts within the footpath, and</w:t>
            </w:r>
          </w:p>
          <w:p w14:paraId="41A6C4F7" w14:textId="77777777" w:rsidR="00BE36FB" w:rsidRPr="009B7B35" w:rsidRDefault="00BE36FB" w:rsidP="00BE36FB">
            <w:pPr>
              <w:pStyle w:val="TableText"/>
              <w:numPr>
                <w:ilvl w:val="0"/>
                <w:numId w:val="455"/>
              </w:numPr>
              <w:rPr>
                <w:rFonts w:cs="Arial"/>
              </w:rPr>
            </w:pPr>
            <w:r w:rsidRPr="009B7B35">
              <w:rPr>
                <w:rFonts w:cs="Arial"/>
              </w:rPr>
              <w:t>are constructed of lightweight materials.</w:t>
            </w:r>
          </w:p>
        </w:tc>
        <w:tc>
          <w:tcPr>
            <w:tcW w:w="4678" w:type="dxa"/>
          </w:tcPr>
          <w:p w14:paraId="35DF0150"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E87F161" w14:textId="77777777" w:rsidTr="001A7107">
        <w:trPr>
          <w:cantSplit/>
        </w:trPr>
        <w:tc>
          <w:tcPr>
            <w:tcW w:w="4678" w:type="dxa"/>
          </w:tcPr>
          <w:p w14:paraId="51A2D887" w14:textId="77777777" w:rsidR="00BE36FB" w:rsidRPr="009B7B35" w:rsidRDefault="00BE36FB" w:rsidP="001A7107">
            <w:pPr>
              <w:pStyle w:val="TableText"/>
              <w:rPr>
                <w:rFonts w:cs="Arial"/>
                <w:b/>
                <w:bCs/>
              </w:rPr>
            </w:pPr>
            <w:r w:rsidRPr="009B7B35">
              <w:rPr>
                <w:rFonts w:cs="Arial"/>
                <w:b/>
                <w:bCs/>
              </w:rPr>
              <w:t>PO19</w:t>
            </w:r>
          </w:p>
          <w:p w14:paraId="6F59A3E2" w14:textId="77777777" w:rsidR="00BE36FB" w:rsidRPr="009B7B35" w:rsidRDefault="00BE36FB" w:rsidP="001A7107">
            <w:pPr>
              <w:pStyle w:val="TableText"/>
              <w:rPr>
                <w:rFonts w:cs="Arial"/>
              </w:rPr>
            </w:pPr>
            <w:r w:rsidRPr="009B7B35">
              <w:rPr>
                <w:rFonts w:cs="Arial"/>
              </w:rPr>
              <w:t xml:space="preserve">Development must ensure safe, convenient and legible connections and pathways are provided: </w:t>
            </w:r>
          </w:p>
          <w:p w14:paraId="5CF10412" w14:textId="77777777" w:rsidR="00BE36FB" w:rsidRPr="009B7B35" w:rsidRDefault="00BE36FB" w:rsidP="00BE36FB">
            <w:pPr>
              <w:pStyle w:val="TableText"/>
              <w:numPr>
                <w:ilvl w:val="0"/>
                <w:numId w:val="456"/>
              </w:numPr>
              <w:rPr>
                <w:rFonts w:cs="Arial"/>
              </w:rPr>
            </w:pPr>
            <w:r w:rsidRPr="009B7B35">
              <w:rPr>
                <w:rFonts w:cs="Arial"/>
              </w:rPr>
              <w:t>for pedestrians and cyclists to, from and within the site</w:t>
            </w:r>
          </w:p>
          <w:p w14:paraId="253600D4" w14:textId="77777777" w:rsidR="00BE36FB" w:rsidRPr="009B7B35" w:rsidRDefault="00BE36FB" w:rsidP="00BE36FB">
            <w:pPr>
              <w:pStyle w:val="TableText"/>
              <w:numPr>
                <w:ilvl w:val="0"/>
                <w:numId w:val="456"/>
              </w:numPr>
              <w:rPr>
                <w:rFonts w:cs="Arial"/>
              </w:rPr>
            </w:pPr>
            <w:r w:rsidRPr="009B7B35">
              <w:rPr>
                <w:rFonts w:cs="Arial"/>
              </w:rPr>
              <w:t>to public transport infrastructure, open space, parkland, centres and community–related activities.</w:t>
            </w:r>
          </w:p>
        </w:tc>
        <w:tc>
          <w:tcPr>
            <w:tcW w:w="4678" w:type="dxa"/>
          </w:tcPr>
          <w:p w14:paraId="23CA9A23"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7F6B11B" w14:textId="77777777" w:rsidTr="001A7107">
        <w:trPr>
          <w:cantSplit/>
        </w:trPr>
        <w:tc>
          <w:tcPr>
            <w:tcW w:w="9356" w:type="dxa"/>
            <w:gridSpan w:val="2"/>
            <w:shd w:val="clear" w:color="auto" w:fill="BFBFBF" w:themeFill="background1" w:themeFillShade="BF"/>
          </w:tcPr>
          <w:p w14:paraId="3043E6B6" w14:textId="77777777" w:rsidR="00BE36FB" w:rsidRPr="009B7B35" w:rsidRDefault="00BE36FB" w:rsidP="001A7107">
            <w:pPr>
              <w:pStyle w:val="Tableheading"/>
              <w:rPr>
                <w:rFonts w:ascii="Arial" w:hAnsi="Arial" w:cs="Arial"/>
                <w:szCs w:val="20"/>
              </w:rPr>
            </w:pPr>
            <w:r w:rsidRPr="009B7B35">
              <w:rPr>
                <w:rFonts w:ascii="Arial" w:hAnsi="Arial" w:cs="Arial"/>
                <w:szCs w:val="20"/>
              </w:rPr>
              <w:t>Landscape design</w:t>
            </w:r>
          </w:p>
        </w:tc>
      </w:tr>
      <w:tr w:rsidR="00BE36FB" w:rsidRPr="009B7B35" w14:paraId="26C7E6E5" w14:textId="77777777" w:rsidTr="001A7107">
        <w:trPr>
          <w:cantSplit/>
        </w:trPr>
        <w:tc>
          <w:tcPr>
            <w:tcW w:w="4678" w:type="dxa"/>
          </w:tcPr>
          <w:p w14:paraId="0DF51C3F" w14:textId="77777777" w:rsidR="00BE36FB" w:rsidRPr="009B7B35" w:rsidRDefault="00BE36FB" w:rsidP="001A7107">
            <w:pPr>
              <w:pStyle w:val="TableText"/>
              <w:rPr>
                <w:rFonts w:cs="Arial"/>
                <w:b/>
                <w:bCs/>
              </w:rPr>
            </w:pPr>
            <w:r w:rsidRPr="009B7B35">
              <w:rPr>
                <w:rFonts w:cs="Arial"/>
                <w:b/>
                <w:bCs/>
              </w:rPr>
              <w:t>PO20</w:t>
            </w:r>
          </w:p>
          <w:p w14:paraId="0F4962A6" w14:textId="77777777" w:rsidR="00BE36FB" w:rsidRPr="009B7B35" w:rsidRDefault="00BE36FB" w:rsidP="001A7107">
            <w:pPr>
              <w:pStyle w:val="TableText"/>
              <w:rPr>
                <w:rFonts w:cs="Arial"/>
              </w:rPr>
            </w:pPr>
            <w:r w:rsidRPr="009B7B35">
              <w:rPr>
                <w:rFonts w:cs="Arial"/>
              </w:rPr>
              <w:t>Landscape elements are integrated in the building design through planting at various levels including on top of podiums, rooftops and within storeys.</w:t>
            </w:r>
          </w:p>
          <w:p w14:paraId="0D5A31E8" w14:textId="77777777" w:rsidR="00BE36FB" w:rsidRPr="009B7B35" w:rsidRDefault="00BE36FB" w:rsidP="001A7107">
            <w:pPr>
              <w:pStyle w:val="Notes"/>
              <w:rPr>
                <w:rFonts w:cs="Arial"/>
                <w:sz w:val="20"/>
                <w:szCs w:val="20"/>
              </w:rPr>
            </w:pPr>
            <w:r w:rsidRPr="009B7B35">
              <w:rPr>
                <w:rFonts w:cs="Arial"/>
                <w:sz w:val="20"/>
                <w:szCs w:val="20"/>
              </w:rPr>
              <w:t>Note—Refer also to the Landscaping code.</w:t>
            </w:r>
          </w:p>
        </w:tc>
        <w:tc>
          <w:tcPr>
            <w:tcW w:w="4678" w:type="dxa"/>
          </w:tcPr>
          <w:p w14:paraId="58393C3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0547D4F" w14:textId="77777777" w:rsidTr="001A7107">
        <w:trPr>
          <w:cantSplit/>
        </w:trPr>
        <w:tc>
          <w:tcPr>
            <w:tcW w:w="4678" w:type="dxa"/>
          </w:tcPr>
          <w:p w14:paraId="5DF19BA8" w14:textId="77777777" w:rsidR="00BE36FB" w:rsidRPr="009B7B35" w:rsidRDefault="00BE36FB" w:rsidP="001A7107">
            <w:pPr>
              <w:pStyle w:val="TableText"/>
              <w:rPr>
                <w:rFonts w:cs="Arial"/>
                <w:b/>
                <w:bCs/>
              </w:rPr>
            </w:pPr>
            <w:r w:rsidRPr="009B7B35">
              <w:rPr>
                <w:rFonts w:cs="Arial"/>
                <w:b/>
                <w:bCs/>
              </w:rPr>
              <w:t>PO21</w:t>
            </w:r>
          </w:p>
          <w:p w14:paraId="18ED6C47" w14:textId="77777777" w:rsidR="00BE36FB" w:rsidRPr="009B7B35" w:rsidRDefault="00BE36FB" w:rsidP="001A7107">
            <w:pPr>
              <w:rPr>
                <w:rFonts w:cs="Arial"/>
                <w:sz w:val="20"/>
                <w:szCs w:val="20"/>
              </w:rPr>
            </w:pPr>
            <w:r w:rsidRPr="009B7B35">
              <w:rPr>
                <w:rFonts w:cs="Arial"/>
                <w:sz w:val="20"/>
                <w:szCs w:val="20"/>
              </w:rPr>
              <w:t>Landscape treatments includes hard and soft elements that:</w:t>
            </w:r>
          </w:p>
          <w:p w14:paraId="675F9703" w14:textId="77777777" w:rsidR="00BE36FB" w:rsidRPr="009B7B35" w:rsidRDefault="00BE36FB" w:rsidP="00BE36FB">
            <w:pPr>
              <w:pStyle w:val="TableText"/>
              <w:numPr>
                <w:ilvl w:val="0"/>
                <w:numId w:val="579"/>
              </w:numPr>
              <w:rPr>
                <w:rFonts w:cs="Arial"/>
              </w:rPr>
            </w:pPr>
            <w:r w:rsidRPr="009B7B35">
              <w:rPr>
                <w:rFonts w:cs="Arial"/>
              </w:rPr>
              <w:t>is of a character and durability that reflects the centre</w:t>
            </w:r>
          </w:p>
          <w:p w14:paraId="59314945" w14:textId="77777777" w:rsidR="00BE36FB" w:rsidRPr="009B7B35" w:rsidRDefault="00BE36FB" w:rsidP="00BE36FB">
            <w:pPr>
              <w:pStyle w:val="TableText"/>
              <w:numPr>
                <w:ilvl w:val="0"/>
                <w:numId w:val="579"/>
              </w:numPr>
              <w:rPr>
                <w:rFonts w:cs="Arial"/>
              </w:rPr>
            </w:pPr>
            <w:r w:rsidRPr="009B7B35">
              <w:rPr>
                <w:rFonts w:cs="Arial"/>
              </w:rPr>
              <w:t>enhance the appearance of the centre</w:t>
            </w:r>
          </w:p>
          <w:p w14:paraId="52D4CD95" w14:textId="77777777" w:rsidR="00BE36FB" w:rsidRPr="009B7B35" w:rsidRDefault="00BE36FB" w:rsidP="00BE36FB">
            <w:pPr>
              <w:pStyle w:val="TableText"/>
              <w:numPr>
                <w:ilvl w:val="0"/>
                <w:numId w:val="579"/>
              </w:numPr>
              <w:rPr>
                <w:rFonts w:cs="Arial"/>
              </w:rPr>
            </w:pPr>
            <w:r w:rsidRPr="009B7B35">
              <w:rPr>
                <w:rFonts w:cs="Arial"/>
              </w:rPr>
              <w:t>extends from the street edge into building entrances, foyers and onto podiums</w:t>
            </w:r>
          </w:p>
          <w:p w14:paraId="48DFAE16" w14:textId="77777777" w:rsidR="00BE36FB" w:rsidRPr="009B7B35" w:rsidRDefault="00BE36FB" w:rsidP="00BE36FB">
            <w:pPr>
              <w:pStyle w:val="TableText"/>
              <w:numPr>
                <w:ilvl w:val="0"/>
                <w:numId w:val="579"/>
              </w:numPr>
              <w:rPr>
                <w:rFonts w:cs="Arial"/>
              </w:rPr>
            </w:pPr>
            <w:r w:rsidRPr="009B7B35">
              <w:rPr>
                <w:rFonts w:cs="Arial"/>
              </w:rPr>
              <w:t>emphasises a clear pedestrian entry point</w:t>
            </w:r>
          </w:p>
          <w:p w14:paraId="48265D7B" w14:textId="77777777" w:rsidR="00BE36FB" w:rsidRPr="009B7B35" w:rsidRDefault="00BE36FB" w:rsidP="00BE36FB">
            <w:pPr>
              <w:pStyle w:val="TableText"/>
              <w:numPr>
                <w:ilvl w:val="0"/>
                <w:numId w:val="579"/>
              </w:numPr>
              <w:rPr>
                <w:rFonts w:cs="Arial"/>
              </w:rPr>
            </w:pPr>
            <w:r w:rsidRPr="009B7B35">
              <w:rPr>
                <w:rFonts w:cs="Arial"/>
              </w:rPr>
              <w:t>screen unsightly components</w:t>
            </w:r>
          </w:p>
          <w:p w14:paraId="02DD0936" w14:textId="77777777" w:rsidR="00BE36FB" w:rsidRPr="009B7B35" w:rsidRDefault="00BE36FB" w:rsidP="00BE36FB">
            <w:pPr>
              <w:pStyle w:val="TableText"/>
              <w:numPr>
                <w:ilvl w:val="0"/>
                <w:numId w:val="579"/>
              </w:numPr>
              <w:rPr>
                <w:rFonts w:cs="Arial"/>
              </w:rPr>
            </w:pPr>
            <w:r w:rsidRPr="009B7B35">
              <w:rPr>
                <w:rFonts w:cs="Arial"/>
              </w:rPr>
              <w:t>provide shading, and</w:t>
            </w:r>
          </w:p>
          <w:p w14:paraId="74B701B4" w14:textId="77777777" w:rsidR="00BE36FB" w:rsidRPr="009B7B35" w:rsidRDefault="00BE36FB" w:rsidP="00BE36FB">
            <w:pPr>
              <w:pStyle w:val="TableText"/>
              <w:numPr>
                <w:ilvl w:val="0"/>
                <w:numId w:val="579"/>
              </w:numPr>
              <w:rPr>
                <w:rFonts w:cs="Arial"/>
              </w:rPr>
            </w:pPr>
            <w:r w:rsidRPr="009B7B35">
              <w:rPr>
                <w:rFonts w:cs="Arial"/>
              </w:rPr>
              <w:t>reflects and reinforces a subtropical image through integrating landscape, outdoor and indoor spaces.</w:t>
            </w:r>
          </w:p>
          <w:p w14:paraId="2BC9533A" w14:textId="77777777" w:rsidR="00BE36FB" w:rsidRPr="009B7B35" w:rsidRDefault="00BE36FB" w:rsidP="001A7107">
            <w:pPr>
              <w:pStyle w:val="Notes"/>
              <w:rPr>
                <w:rFonts w:cs="Arial"/>
                <w:sz w:val="20"/>
                <w:szCs w:val="20"/>
              </w:rPr>
            </w:pPr>
            <w:r w:rsidRPr="009B7B35">
              <w:rPr>
                <w:rFonts w:cs="Arial"/>
                <w:sz w:val="20"/>
                <w:szCs w:val="20"/>
              </w:rPr>
              <w:t>Note—Refer also to the Landscaping code.</w:t>
            </w:r>
          </w:p>
        </w:tc>
        <w:tc>
          <w:tcPr>
            <w:tcW w:w="4678" w:type="dxa"/>
          </w:tcPr>
          <w:p w14:paraId="658A93C9"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E15CBA4" w14:textId="77777777" w:rsidTr="001A7107">
        <w:trPr>
          <w:cantSplit/>
        </w:trPr>
        <w:tc>
          <w:tcPr>
            <w:tcW w:w="9356" w:type="dxa"/>
            <w:gridSpan w:val="2"/>
            <w:shd w:val="clear" w:color="auto" w:fill="BFBFBF" w:themeFill="background1" w:themeFillShade="BF"/>
          </w:tcPr>
          <w:p w14:paraId="1457F9C6" w14:textId="77777777"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14:paraId="1F81653C" w14:textId="77777777" w:rsidTr="001A7107">
        <w:trPr>
          <w:cantSplit/>
        </w:trPr>
        <w:tc>
          <w:tcPr>
            <w:tcW w:w="4678" w:type="dxa"/>
            <w:vMerge w:val="restart"/>
          </w:tcPr>
          <w:p w14:paraId="75321A95" w14:textId="77777777" w:rsidR="00BE36FB" w:rsidRPr="009B7B35" w:rsidRDefault="00BE36FB" w:rsidP="001A7107">
            <w:pPr>
              <w:pStyle w:val="TableText"/>
              <w:rPr>
                <w:rFonts w:cs="Arial"/>
                <w:b/>
                <w:bCs/>
              </w:rPr>
            </w:pPr>
            <w:r w:rsidRPr="009B7B35">
              <w:rPr>
                <w:rFonts w:cs="Arial"/>
                <w:b/>
                <w:bCs/>
              </w:rPr>
              <w:t>PO22</w:t>
            </w:r>
          </w:p>
          <w:p w14:paraId="1E32B553" w14:textId="77777777" w:rsidR="00BE36FB" w:rsidRPr="009B7B35" w:rsidRDefault="00BE36FB" w:rsidP="001A7107">
            <w:pPr>
              <w:pStyle w:val="TableText"/>
              <w:rPr>
                <w:rFonts w:cs="Arial"/>
              </w:rPr>
            </w:pPr>
            <w:r w:rsidRPr="009B7B35">
              <w:rPr>
                <w:rFonts w:cs="Arial"/>
              </w:rPr>
              <w:t>Development is located, designed and operated so that adverse impacts on privacy and amenity on nearby land in a residential zone are minimised.</w:t>
            </w:r>
          </w:p>
        </w:tc>
        <w:tc>
          <w:tcPr>
            <w:tcW w:w="4678" w:type="dxa"/>
          </w:tcPr>
          <w:p w14:paraId="1A62F9E9" w14:textId="77777777" w:rsidR="00BE36FB" w:rsidRPr="009B7B35" w:rsidRDefault="00BE36FB" w:rsidP="001A7107">
            <w:pPr>
              <w:pStyle w:val="TableText"/>
              <w:rPr>
                <w:rFonts w:cs="Arial"/>
                <w:b/>
                <w:bCs/>
              </w:rPr>
            </w:pPr>
            <w:r w:rsidRPr="009B7B35">
              <w:rPr>
                <w:rFonts w:cs="Arial"/>
                <w:b/>
                <w:bCs/>
              </w:rPr>
              <w:t>AO22.1</w:t>
            </w:r>
          </w:p>
          <w:p w14:paraId="621A216E" w14:textId="77777777" w:rsidR="00BE36FB" w:rsidRPr="009B7B35" w:rsidRDefault="00BE36FB" w:rsidP="001A7107">
            <w:pPr>
              <w:pStyle w:val="TableText"/>
              <w:rPr>
                <w:rFonts w:cs="Arial"/>
              </w:rPr>
            </w:pPr>
            <w:r w:rsidRPr="009B7B35">
              <w:rPr>
                <w:rFonts w:cs="Arial"/>
              </w:rPr>
              <w:t>Buildings are set back 3m from any boundary shared with a residential zone.</w:t>
            </w:r>
          </w:p>
        </w:tc>
      </w:tr>
      <w:tr w:rsidR="00BE36FB" w:rsidRPr="009B7B35" w14:paraId="37E857D6" w14:textId="77777777" w:rsidTr="001A7107">
        <w:trPr>
          <w:cantSplit/>
        </w:trPr>
        <w:tc>
          <w:tcPr>
            <w:tcW w:w="4678" w:type="dxa"/>
            <w:vMerge/>
          </w:tcPr>
          <w:p w14:paraId="42157455" w14:textId="77777777" w:rsidR="00BE36FB" w:rsidRPr="009B7B35" w:rsidRDefault="00BE36FB" w:rsidP="001A7107">
            <w:pPr>
              <w:rPr>
                <w:rFonts w:cs="Arial"/>
                <w:sz w:val="20"/>
                <w:szCs w:val="20"/>
              </w:rPr>
            </w:pPr>
          </w:p>
        </w:tc>
        <w:tc>
          <w:tcPr>
            <w:tcW w:w="4678" w:type="dxa"/>
          </w:tcPr>
          <w:p w14:paraId="4C1CA9EF" w14:textId="77777777" w:rsidR="00BE36FB" w:rsidRPr="009B7B35" w:rsidRDefault="00BE36FB" w:rsidP="001A7107">
            <w:pPr>
              <w:pStyle w:val="TableText"/>
              <w:rPr>
                <w:rFonts w:cs="Arial"/>
                <w:b/>
                <w:bCs/>
              </w:rPr>
            </w:pPr>
            <w:r w:rsidRPr="009B7B35">
              <w:rPr>
                <w:rFonts w:cs="Arial"/>
                <w:b/>
                <w:bCs/>
              </w:rPr>
              <w:t>AO22.2</w:t>
            </w:r>
          </w:p>
          <w:p w14:paraId="02B0137D" w14:textId="77777777" w:rsidR="00BE36FB" w:rsidRPr="009B7B35" w:rsidRDefault="00BE36FB" w:rsidP="001A7107">
            <w:pPr>
              <w:pStyle w:val="TableText"/>
              <w:rPr>
                <w:rFonts w:cs="Arial"/>
              </w:rPr>
            </w:pPr>
            <w:r w:rsidRPr="009B7B35">
              <w:rPr>
                <w:rFonts w:cs="Arial"/>
              </w:rPr>
              <w:t>A 1.8m high solid screen fence is provided along all boundaries shared with a residential zone.</w:t>
            </w:r>
          </w:p>
        </w:tc>
      </w:tr>
      <w:tr w:rsidR="00BE36FB" w:rsidRPr="009B7B35" w14:paraId="20379E20" w14:textId="77777777" w:rsidTr="001A7107">
        <w:trPr>
          <w:cantSplit/>
        </w:trPr>
        <w:tc>
          <w:tcPr>
            <w:tcW w:w="4678" w:type="dxa"/>
            <w:vMerge/>
          </w:tcPr>
          <w:p w14:paraId="677E73C6" w14:textId="77777777" w:rsidR="00BE36FB" w:rsidRPr="009B7B35" w:rsidRDefault="00BE36FB" w:rsidP="001A7107">
            <w:pPr>
              <w:rPr>
                <w:rFonts w:cs="Arial"/>
                <w:sz w:val="20"/>
                <w:szCs w:val="20"/>
              </w:rPr>
            </w:pPr>
          </w:p>
        </w:tc>
        <w:tc>
          <w:tcPr>
            <w:tcW w:w="4678" w:type="dxa"/>
          </w:tcPr>
          <w:p w14:paraId="792C6B43" w14:textId="77777777" w:rsidR="00BE36FB" w:rsidRPr="009B7B35" w:rsidRDefault="00BE36FB" w:rsidP="001A7107">
            <w:pPr>
              <w:pStyle w:val="TableText"/>
              <w:rPr>
                <w:rFonts w:cs="Arial"/>
                <w:b/>
                <w:bCs/>
              </w:rPr>
            </w:pPr>
            <w:r w:rsidRPr="009B7B35">
              <w:rPr>
                <w:rFonts w:cs="Arial"/>
                <w:b/>
                <w:bCs/>
              </w:rPr>
              <w:t>AO22.3</w:t>
            </w:r>
          </w:p>
          <w:p w14:paraId="381BDE9A" w14:textId="77777777" w:rsidR="00BE36FB" w:rsidRPr="009B7B35" w:rsidRDefault="00BE36FB" w:rsidP="001A7107">
            <w:pPr>
              <w:pStyle w:val="TableText"/>
              <w:rPr>
                <w:rFonts w:cs="Arial"/>
              </w:rPr>
            </w:pPr>
            <w:r w:rsidRPr="009B7B35">
              <w:rPr>
                <w:rFonts w:cs="Arial"/>
              </w:rPr>
              <w:t>A landscaped buffer with a minimum width of 2m and consisting of dense screen planting is provided along all boundaries shared with a residential zone.</w:t>
            </w:r>
          </w:p>
        </w:tc>
      </w:tr>
      <w:tr w:rsidR="00BE36FB" w:rsidRPr="009B7B35" w14:paraId="127DEDB8" w14:textId="77777777" w:rsidTr="001A7107">
        <w:trPr>
          <w:cantSplit/>
        </w:trPr>
        <w:tc>
          <w:tcPr>
            <w:tcW w:w="4678" w:type="dxa"/>
            <w:vMerge/>
          </w:tcPr>
          <w:p w14:paraId="10BA05D9" w14:textId="77777777" w:rsidR="00BE36FB" w:rsidRPr="009B7B35" w:rsidRDefault="00BE36FB" w:rsidP="001A7107">
            <w:pPr>
              <w:rPr>
                <w:rFonts w:cs="Arial"/>
                <w:sz w:val="20"/>
                <w:szCs w:val="20"/>
              </w:rPr>
            </w:pPr>
          </w:p>
        </w:tc>
        <w:tc>
          <w:tcPr>
            <w:tcW w:w="4678" w:type="dxa"/>
          </w:tcPr>
          <w:p w14:paraId="4B7F0F9A" w14:textId="77777777" w:rsidR="00BE36FB" w:rsidRPr="009B7B35" w:rsidRDefault="00BE36FB" w:rsidP="001A7107">
            <w:pPr>
              <w:pStyle w:val="TableText"/>
              <w:rPr>
                <w:rFonts w:cs="Arial"/>
                <w:b/>
                <w:bCs/>
              </w:rPr>
            </w:pPr>
            <w:r w:rsidRPr="009B7B35">
              <w:rPr>
                <w:rFonts w:cs="Arial"/>
                <w:b/>
                <w:bCs/>
              </w:rPr>
              <w:t>AO22.4</w:t>
            </w:r>
          </w:p>
          <w:p w14:paraId="64866281" w14:textId="77777777" w:rsidR="00BE36FB" w:rsidRPr="009B7B35" w:rsidRDefault="00BE36FB" w:rsidP="001A7107">
            <w:pPr>
              <w:pStyle w:val="TableText"/>
              <w:rPr>
                <w:rFonts w:cs="Arial"/>
              </w:rPr>
            </w:pPr>
            <w:r w:rsidRPr="009B7B35">
              <w:rPr>
                <w:rFonts w:cs="Arial"/>
              </w:rPr>
              <w:t>Windows that have a direct view into an adjoining residential use are provided with fixed screening that is a maximum of 50% transparent to obscure views and maintain privacy for residents.</w:t>
            </w:r>
          </w:p>
        </w:tc>
      </w:tr>
      <w:tr w:rsidR="00BE36FB" w:rsidRPr="009B7B35" w14:paraId="776CBF86" w14:textId="77777777" w:rsidTr="001A7107">
        <w:trPr>
          <w:cantSplit/>
        </w:trPr>
        <w:tc>
          <w:tcPr>
            <w:tcW w:w="4678" w:type="dxa"/>
          </w:tcPr>
          <w:p w14:paraId="0415732E" w14:textId="77777777" w:rsidR="00BE36FB" w:rsidRPr="009B7B35" w:rsidRDefault="00BE36FB" w:rsidP="001A7107">
            <w:pPr>
              <w:pStyle w:val="TableText"/>
              <w:rPr>
                <w:rFonts w:cs="Arial"/>
                <w:b/>
                <w:bCs/>
              </w:rPr>
            </w:pPr>
            <w:r w:rsidRPr="009B7B35">
              <w:rPr>
                <w:rFonts w:cs="Arial"/>
                <w:b/>
                <w:bCs/>
              </w:rPr>
              <w:t>PO23</w:t>
            </w:r>
          </w:p>
          <w:p w14:paraId="45F05C31" w14:textId="77777777" w:rsidR="00BE36FB" w:rsidRPr="009B7B35" w:rsidRDefault="00BE36FB" w:rsidP="001A7107">
            <w:pPr>
              <w:pStyle w:val="TableText"/>
              <w:rPr>
                <w:rFonts w:cs="Arial"/>
              </w:rPr>
            </w:pPr>
            <w:r w:rsidRPr="009B7B35">
              <w:rPr>
                <w:rFonts w:cs="Arial"/>
              </w:rPr>
              <w:t>Development minimises impacts on surrounding land and provides for an appropriate level of amenity within the centre, having regard to:</w:t>
            </w:r>
          </w:p>
          <w:p w14:paraId="310D8B49" w14:textId="77777777" w:rsidR="00BE36FB" w:rsidRPr="009B7B35" w:rsidRDefault="00BE36FB" w:rsidP="00BE36FB">
            <w:pPr>
              <w:pStyle w:val="TableText"/>
              <w:numPr>
                <w:ilvl w:val="0"/>
                <w:numId w:val="457"/>
              </w:numPr>
              <w:rPr>
                <w:rFonts w:cs="Arial"/>
              </w:rPr>
            </w:pPr>
            <w:r w:rsidRPr="009B7B35">
              <w:rPr>
                <w:rFonts w:cs="Arial"/>
              </w:rPr>
              <w:t>noise</w:t>
            </w:r>
          </w:p>
          <w:p w14:paraId="6FA52DEF" w14:textId="77777777" w:rsidR="00BE36FB" w:rsidRPr="009B7B35" w:rsidRDefault="00BE36FB" w:rsidP="00BE36FB">
            <w:pPr>
              <w:pStyle w:val="TableText"/>
              <w:numPr>
                <w:ilvl w:val="0"/>
                <w:numId w:val="457"/>
              </w:numPr>
              <w:rPr>
                <w:rFonts w:cs="Arial"/>
              </w:rPr>
            </w:pPr>
            <w:r w:rsidRPr="009B7B35">
              <w:rPr>
                <w:rFonts w:cs="Arial"/>
              </w:rPr>
              <w:t>hours of operation</w:t>
            </w:r>
          </w:p>
          <w:p w14:paraId="2EE00F6E" w14:textId="77777777" w:rsidR="00BE36FB" w:rsidRPr="009B7B35" w:rsidRDefault="00BE36FB" w:rsidP="00BE36FB">
            <w:pPr>
              <w:pStyle w:val="TableText"/>
              <w:numPr>
                <w:ilvl w:val="0"/>
                <w:numId w:val="457"/>
              </w:numPr>
              <w:rPr>
                <w:rFonts w:cs="Arial"/>
              </w:rPr>
            </w:pPr>
            <w:r w:rsidRPr="009B7B35">
              <w:rPr>
                <w:rFonts w:cs="Arial"/>
              </w:rPr>
              <w:t>traffic</w:t>
            </w:r>
          </w:p>
          <w:p w14:paraId="64BCAE20" w14:textId="77777777" w:rsidR="00BE36FB" w:rsidRPr="009B7B35" w:rsidRDefault="00BE36FB" w:rsidP="00BE36FB">
            <w:pPr>
              <w:pStyle w:val="TableText"/>
              <w:numPr>
                <w:ilvl w:val="0"/>
                <w:numId w:val="457"/>
              </w:numPr>
              <w:rPr>
                <w:rFonts w:cs="Arial"/>
              </w:rPr>
            </w:pPr>
            <w:r w:rsidRPr="009B7B35">
              <w:rPr>
                <w:rFonts w:cs="Arial"/>
              </w:rPr>
              <w:t>visual impact</w:t>
            </w:r>
          </w:p>
          <w:p w14:paraId="3570E02F" w14:textId="77777777" w:rsidR="00BE36FB" w:rsidRPr="009B7B35" w:rsidRDefault="00BE36FB" w:rsidP="00BE36FB">
            <w:pPr>
              <w:pStyle w:val="TableText"/>
              <w:numPr>
                <w:ilvl w:val="0"/>
                <w:numId w:val="457"/>
              </w:numPr>
              <w:rPr>
                <w:rFonts w:cs="Arial"/>
              </w:rPr>
            </w:pPr>
            <w:r w:rsidRPr="009B7B35">
              <w:rPr>
                <w:rFonts w:cs="Arial"/>
              </w:rPr>
              <w:t>signage</w:t>
            </w:r>
          </w:p>
          <w:p w14:paraId="46554DC1" w14:textId="77777777" w:rsidR="00BE36FB" w:rsidRPr="009B7B35" w:rsidRDefault="00BE36FB" w:rsidP="00BE36FB">
            <w:pPr>
              <w:pStyle w:val="TableText"/>
              <w:numPr>
                <w:ilvl w:val="0"/>
                <w:numId w:val="457"/>
              </w:numPr>
              <w:rPr>
                <w:rFonts w:cs="Arial"/>
              </w:rPr>
            </w:pPr>
            <w:r w:rsidRPr="009B7B35">
              <w:rPr>
                <w:rFonts w:cs="Arial"/>
              </w:rPr>
              <w:t>odour and emissions</w:t>
            </w:r>
          </w:p>
          <w:p w14:paraId="5194C76B" w14:textId="77777777" w:rsidR="00BE36FB" w:rsidRPr="009B7B35" w:rsidRDefault="00BE36FB" w:rsidP="00BE36FB">
            <w:pPr>
              <w:pStyle w:val="TableText"/>
              <w:numPr>
                <w:ilvl w:val="0"/>
                <w:numId w:val="457"/>
              </w:numPr>
              <w:rPr>
                <w:rFonts w:cs="Arial"/>
              </w:rPr>
            </w:pPr>
            <w:r w:rsidRPr="009B7B35">
              <w:rPr>
                <w:rFonts w:cs="Arial"/>
              </w:rPr>
              <w:t>lighting</w:t>
            </w:r>
          </w:p>
          <w:p w14:paraId="53B339B3" w14:textId="77777777" w:rsidR="00BE36FB" w:rsidRPr="009B7B35" w:rsidRDefault="00BE36FB" w:rsidP="00BE36FB">
            <w:pPr>
              <w:pStyle w:val="TableText"/>
              <w:numPr>
                <w:ilvl w:val="0"/>
                <w:numId w:val="457"/>
              </w:numPr>
              <w:rPr>
                <w:rFonts w:cs="Arial"/>
              </w:rPr>
            </w:pPr>
            <w:r w:rsidRPr="009B7B35">
              <w:rPr>
                <w:rFonts w:cs="Arial"/>
              </w:rPr>
              <w:t>access to sunlight</w:t>
            </w:r>
          </w:p>
          <w:p w14:paraId="1DB95C19" w14:textId="77777777" w:rsidR="00BE36FB" w:rsidRPr="009B7B35" w:rsidRDefault="00BE36FB" w:rsidP="00BE36FB">
            <w:pPr>
              <w:pStyle w:val="TableText"/>
              <w:numPr>
                <w:ilvl w:val="0"/>
                <w:numId w:val="457"/>
              </w:numPr>
              <w:rPr>
                <w:rFonts w:cs="Arial"/>
              </w:rPr>
            </w:pPr>
            <w:r w:rsidRPr="009B7B35">
              <w:rPr>
                <w:rFonts w:cs="Arial"/>
              </w:rPr>
              <w:t>privacy, and</w:t>
            </w:r>
          </w:p>
          <w:p w14:paraId="6B0EFD47" w14:textId="77777777" w:rsidR="00BE36FB" w:rsidRPr="009B7B35" w:rsidRDefault="00BE36FB" w:rsidP="00BE36FB">
            <w:pPr>
              <w:pStyle w:val="TableText"/>
              <w:numPr>
                <w:ilvl w:val="0"/>
                <w:numId w:val="457"/>
              </w:numPr>
              <w:rPr>
                <w:rFonts w:cs="Arial"/>
              </w:rPr>
            </w:pPr>
            <w:r w:rsidRPr="009B7B35">
              <w:rPr>
                <w:rFonts w:cs="Arial"/>
              </w:rPr>
              <w:t>outlook.</w:t>
            </w:r>
          </w:p>
          <w:p w14:paraId="39177099" w14:textId="77777777" w:rsidR="00BE36FB" w:rsidRPr="009B7B35" w:rsidRDefault="00BE36FB">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14:paraId="53477552"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F913ACA" w14:textId="77777777" w:rsidTr="001A7107">
        <w:tc>
          <w:tcPr>
            <w:tcW w:w="4678" w:type="dxa"/>
          </w:tcPr>
          <w:p w14:paraId="21FC77BC" w14:textId="77777777" w:rsidR="00BE36FB" w:rsidRPr="009B7B35" w:rsidRDefault="00BE36FB" w:rsidP="001A7107">
            <w:pPr>
              <w:pStyle w:val="TableText"/>
              <w:rPr>
                <w:rFonts w:cs="Arial"/>
                <w:b/>
                <w:bCs/>
              </w:rPr>
            </w:pPr>
            <w:r w:rsidRPr="009B7B35">
              <w:rPr>
                <w:rFonts w:cs="Arial"/>
                <w:b/>
                <w:bCs/>
              </w:rPr>
              <w:t>PO24</w:t>
            </w:r>
          </w:p>
          <w:p w14:paraId="6D8A2B1B" w14:textId="77777777" w:rsidR="00BE36FB" w:rsidRPr="009B7B35" w:rsidRDefault="00BE36FB" w:rsidP="001A7107">
            <w:pPr>
              <w:pStyle w:val="TableText"/>
              <w:rPr>
                <w:rFonts w:cs="Arial"/>
              </w:rPr>
            </w:pPr>
            <w:r w:rsidRPr="009B7B35">
              <w:rPr>
                <w:rFonts w:cs="Arial"/>
              </w:rPr>
              <w:t>All uses:</w:t>
            </w:r>
          </w:p>
          <w:p w14:paraId="68A49368" w14:textId="77777777" w:rsidR="00BE36FB" w:rsidRPr="009B7B35" w:rsidRDefault="00BE36FB" w:rsidP="00BE36FB">
            <w:pPr>
              <w:pStyle w:val="TableText"/>
              <w:numPr>
                <w:ilvl w:val="0"/>
                <w:numId w:val="580"/>
              </w:numPr>
              <w:rPr>
                <w:rFonts w:cs="Arial"/>
              </w:rPr>
            </w:pPr>
            <w:r w:rsidRPr="009B7B35">
              <w:rPr>
                <w:rFonts w:cs="Arial"/>
              </w:rPr>
              <w:t>minimise noise, dust, odour or other nuisance from existing lawful uses, and</w:t>
            </w:r>
          </w:p>
          <w:p w14:paraId="0CB7EC81" w14:textId="77777777" w:rsidR="00BE36FB" w:rsidRPr="009B7B35" w:rsidRDefault="00BE36FB" w:rsidP="00BE36FB">
            <w:pPr>
              <w:pStyle w:val="TableText"/>
              <w:numPr>
                <w:ilvl w:val="0"/>
                <w:numId w:val="580"/>
              </w:numPr>
              <w:rPr>
                <w:rFonts w:cs="Arial"/>
              </w:rPr>
            </w:pPr>
            <w:r w:rsidRPr="009B7B35">
              <w:rPr>
                <w:rFonts w:cs="Arial"/>
              </w:rPr>
              <w:t xml:space="preserve">minimise nuisance caused by noise, vibration and dust emissions generated by the state–controlled road and rail network in the vicinity. </w:t>
            </w:r>
          </w:p>
        </w:tc>
        <w:tc>
          <w:tcPr>
            <w:tcW w:w="4678" w:type="dxa"/>
          </w:tcPr>
          <w:p w14:paraId="06F8BDAD"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49A2742" w14:textId="77777777" w:rsidTr="001A7107">
        <w:tc>
          <w:tcPr>
            <w:tcW w:w="9356" w:type="dxa"/>
            <w:gridSpan w:val="2"/>
            <w:shd w:val="clear" w:color="auto" w:fill="BFBFBF" w:themeFill="background1" w:themeFillShade="BF"/>
          </w:tcPr>
          <w:p w14:paraId="51891FEA" w14:textId="77777777" w:rsidR="00BE36FB" w:rsidRPr="009B7B35" w:rsidRDefault="00BE36FB" w:rsidP="001A7107">
            <w:pPr>
              <w:pStyle w:val="Tableheading"/>
              <w:rPr>
                <w:rFonts w:ascii="Arial" w:hAnsi="Arial" w:cs="Arial"/>
                <w:szCs w:val="20"/>
              </w:rPr>
            </w:pPr>
            <w:r w:rsidRPr="009B7B35">
              <w:rPr>
                <w:rFonts w:ascii="Arial" w:hAnsi="Arial" w:cs="Arial"/>
                <w:szCs w:val="20"/>
              </w:rPr>
              <w:t>Car parking and access</w:t>
            </w:r>
          </w:p>
        </w:tc>
      </w:tr>
      <w:tr w:rsidR="00BE36FB" w:rsidRPr="009B7B35" w14:paraId="199EB657" w14:textId="77777777" w:rsidTr="001A7107">
        <w:tc>
          <w:tcPr>
            <w:tcW w:w="4678" w:type="dxa"/>
            <w:vMerge w:val="restart"/>
          </w:tcPr>
          <w:p w14:paraId="78E0BAE2" w14:textId="77777777" w:rsidR="00BE36FB" w:rsidRPr="009B7B35" w:rsidRDefault="00BE36FB" w:rsidP="001A7107">
            <w:pPr>
              <w:pStyle w:val="TableText"/>
              <w:rPr>
                <w:rFonts w:cs="Arial"/>
                <w:b/>
                <w:bCs/>
              </w:rPr>
            </w:pPr>
            <w:r w:rsidRPr="009B7B35">
              <w:rPr>
                <w:rFonts w:cs="Arial"/>
                <w:b/>
                <w:bCs/>
              </w:rPr>
              <w:t>PO25</w:t>
            </w:r>
          </w:p>
          <w:p w14:paraId="606E5ADF" w14:textId="77777777" w:rsidR="00BE36FB" w:rsidRPr="009B7B35" w:rsidRDefault="00BE36FB" w:rsidP="001A7107">
            <w:pPr>
              <w:pStyle w:val="TableText"/>
              <w:rPr>
                <w:rFonts w:cs="Arial"/>
              </w:rPr>
            </w:pPr>
            <w:r w:rsidRPr="009B7B35">
              <w:rPr>
                <w:rFonts w:cs="Arial"/>
              </w:rPr>
              <w:t>Parking and loading areas do not visually dominate the streetscape.</w:t>
            </w:r>
          </w:p>
        </w:tc>
        <w:tc>
          <w:tcPr>
            <w:tcW w:w="4678" w:type="dxa"/>
          </w:tcPr>
          <w:p w14:paraId="04A11713" w14:textId="77777777" w:rsidR="00BE36FB" w:rsidRPr="009B7B35" w:rsidRDefault="00BE36FB" w:rsidP="001A7107">
            <w:pPr>
              <w:pStyle w:val="TableText"/>
              <w:rPr>
                <w:rFonts w:cs="Arial"/>
                <w:b/>
                <w:bCs/>
              </w:rPr>
            </w:pPr>
            <w:r w:rsidRPr="009B7B35">
              <w:rPr>
                <w:rFonts w:cs="Arial"/>
                <w:b/>
                <w:bCs/>
              </w:rPr>
              <w:t>AO25.1</w:t>
            </w:r>
          </w:p>
          <w:p w14:paraId="32FEE342" w14:textId="77777777" w:rsidR="00BE36FB" w:rsidRPr="009B7B35" w:rsidRDefault="00BE36FB" w:rsidP="001A7107">
            <w:pPr>
              <w:rPr>
                <w:rFonts w:cs="Arial"/>
                <w:sz w:val="20"/>
                <w:szCs w:val="20"/>
              </w:rPr>
            </w:pPr>
            <w:r w:rsidRPr="009B7B35">
              <w:rPr>
                <w:rFonts w:cs="Arial"/>
                <w:sz w:val="20"/>
                <w:szCs w:val="20"/>
              </w:rPr>
              <w:t>Parking areas are:</w:t>
            </w:r>
          </w:p>
          <w:p w14:paraId="77612D05" w14:textId="77777777" w:rsidR="00BE36FB" w:rsidRPr="009B7B35" w:rsidRDefault="00BE36FB" w:rsidP="00BE36FB">
            <w:pPr>
              <w:pStyle w:val="TableText"/>
              <w:numPr>
                <w:ilvl w:val="0"/>
                <w:numId w:val="458"/>
              </w:numPr>
              <w:rPr>
                <w:rFonts w:cs="Arial"/>
              </w:rPr>
            </w:pPr>
            <w:r w:rsidRPr="009B7B35">
              <w:rPr>
                <w:rFonts w:cs="Arial"/>
              </w:rPr>
              <w:t>located in a basement or semi basement, or</w:t>
            </w:r>
          </w:p>
          <w:p w14:paraId="6609150C" w14:textId="77777777" w:rsidR="00BE36FB" w:rsidRPr="009B7B35" w:rsidRDefault="00BE36FB" w:rsidP="00BE36FB">
            <w:pPr>
              <w:pStyle w:val="TableText"/>
              <w:numPr>
                <w:ilvl w:val="0"/>
                <w:numId w:val="458"/>
              </w:numPr>
              <w:rPr>
                <w:rFonts w:cs="Arial"/>
              </w:rPr>
            </w:pPr>
            <w:r w:rsidRPr="009B7B35">
              <w:rPr>
                <w:rFonts w:cs="Arial"/>
              </w:rPr>
              <w:t>setback a minimum of 15m from any street frontage and screened to allow a building edge for active uses.</w:t>
            </w:r>
          </w:p>
          <w:p w14:paraId="05794D7F" w14:textId="77777777" w:rsidR="00BE36FB" w:rsidRPr="009B7B35" w:rsidRDefault="00BE36FB">
            <w:pPr>
              <w:pStyle w:val="Notes"/>
              <w:rPr>
                <w:rFonts w:cs="Arial"/>
                <w:sz w:val="20"/>
                <w:szCs w:val="20"/>
              </w:rPr>
            </w:pPr>
            <w:r w:rsidRPr="009B7B35">
              <w:rPr>
                <w:rFonts w:cs="Arial"/>
                <w:sz w:val="20"/>
                <w:szCs w:val="20"/>
              </w:rPr>
              <w:t>Note—Refer also to Diagram 6.2.5.3.1—Parking design in centres.</w:t>
            </w:r>
          </w:p>
        </w:tc>
      </w:tr>
      <w:tr w:rsidR="00BE36FB" w:rsidRPr="009B7B35" w14:paraId="1824475D" w14:textId="77777777" w:rsidTr="001A7107">
        <w:trPr>
          <w:cantSplit/>
        </w:trPr>
        <w:tc>
          <w:tcPr>
            <w:tcW w:w="4678" w:type="dxa"/>
            <w:vMerge/>
          </w:tcPr>
          <w:p w14:paraId="78C5D9BB" w14:textId="77777777" w:rsidR="00BE36FB" w:rsidRPr="009B7B35" w:rsidRDefault="00BE36FB" w:rsidP="001A7107">
            <w:pPr>
              <w:rPr>
                <w:rFonts w:cs="Arial"/>
                <w:sz w:val="20"/>
                <w:szCs w:val="20"/>
              </w:rPr>
            </w:pPr>
          </w:p>
        </w:tc>
        <w:tc>
          <w:tcPr>
            <w:tcW w:w="4678" w:type="dxa"/>
          </w:tcPr>
          <w:p w14:paraId="593EC8A1" w14:textId="77777777" w:rsidR="00BE36FB" w:rsidRPr="009B7B35" w:rsidRDefault="00BE36FB" w:rsidP="001A7107">
            <w:pPr>
              <w:pStyle w:val="TableText"/>
              <w:rPr>
                <w:rFonts w:cs="Arial"/>
                <w:b/>
                <w:bCs/>
              </w:rPr>
            </w:pPr>
            <w:r w:rsidRPr="009B7B35">
              <w:rPr>
                <w:rFonts w:cs="Arial"/>
                <w:b/>
                <w:bCs/>
              </w:rPr>
              <w:t>AO25.2</w:t>
            </w:r>
          </w:p>
          <w:p w14:paraId="58A39F54" w14:textId="77777777" w:rsidR="00BE36FB" w:rsidRPr="009B7B35" w:rsidRDefault="00BE36FB" w:rsidP="001A7107">
            <w:pPr>
              <w:pStyle w:val="TableText"/>
              <w:rPr>
                <w:rFonts w:cs="Arial"/>
              </w:rPr>
            </w:pPr>
            <w:r w:rsidRPr="009B7B35">
              <w:rPr>
                <w:rFonts w:cs="Arial"/>
              </w:rPr>
              <w:t>Vehicle loading areas are screened from footpaths, streets and public areas by fences with screening at least 1.5m in height and are 50% visually permeable.</w:t>
            </w:r>
          </w:p>
        </w:tc>
      </w:tr>
      <w:tr w:rsidR="00BE36FB" w:rsidRPr="009B7B35" w14:paraId="1F807F22" w14:textId="77777777" w:rsidTr="001A7107">
        <w:trPr>
          <w:cantSplit/>
        </w:trPr>
        <w:tc>
          <w:tcPr>
            <w:tcW w:w="9356" w:type="dxa"/>
            <w:gridSpan w:val="2"/>
            <w:shd w:val="clear" w:color="auto" w:fill="BFBFBF" w:themeFill="background1" w:themeFillShade="BF"/>
          </w:tcPr>
          <w:p w14:paraId="42D27933" w14:textId="77777777" w:rsidR="00BE36FB" w:rsidRPr="009B7B35" w:rsidRDefault="00BE36FB" w:rsidP="001A7107">
            <w:pPr>
              <w:pStyle w:val="Tableheading"/>
              <w:rPr>
                <w:rFonts w:ascii="Arial" w:hAnsi="Arial" w:cs="Arial"/>
                <w:szCs w:val="20"/>
              </w:rPr>
            </w:pPr>
            <w:r w:rsidRPr="009B7B35">
              <w:rPr>
                <w:rFonts w:ascii="Arial" w:hAnsi="Arial" w:cs="Arial"/>
                <w:szCs w:val="20"/>
              </w:rPr>
              <w:t>Storage areas</w:t>
            </w:r>
          </w:p>
        </w:tc>
      </w:tr>
      <w:tr w:rsidR="00BE36FB" w:rsidRPr="009B7B35" w14:paraId="5BFD1A3D" w14:textId="77777777" w:rsidTr="001A7107">
        <w:trPr>
          <w:cantSplit/>
        </w:trPr>
        <w:tc>
          <w:tcPr>
            <w:tcW w:w="4678" w:type="dxa"/>
          </w:tcPr>
          <w:p w14:paraId="1F99FA85" w14:textId="77777777" w:rsidR="00BE36FB" w:rsidRPr="009B7B35" w:rsidRDefault="00BE36FB" w:rsidP="001A7107">
            <w:pPr>
              <w:pStyle w:val="TableText"/>
              <w:rPr>
                <w:rFonts w:cs="Arial"/>
                <w:b/>
                <w:bCs/>
              </w:rPr>
            </w:pPr>
            <w:r w:rsidRPr="009B7B35">
              <w:rPr>
                <w:rFonts w:cs="Arial"/>
                <w:b/>
                <w:bCs/>
              </w:rPr>
              <w:t>PO26</w:t>
            </w:r>
          </w:p>
          <w:p w14:paraId="712C7883" w14:textId="77777777" w:rsidR="00BE36FB" w:rsidRPr="009B7B35" w:rsidRDefault="00BE36FB" w:rsidP="001A7107">
            <w:pPr>
              <w:pStyle w:val="TableText"/>
              <w:rPr>
                <w:rFonts w:cs="Arial"/>
              </w:rPr>
            </w:pPr>
            <w:r w:rsidRPr="009B7B35">
              <w:rPr>
                <w:rFonts w:cs="Arial"/>
              </w:rPr>
              <w:t>Ancillary storage of goods or materials and waste management areas must be located in a manner that does not detract from the visual amenity of the local area.</w:t>
            </w:r>
          </w:p>
        </w:tc>
        <w:tc>
          <w:tcPr>
            <w:tcW w:w="4678" w:type="dxa"/>
          </w:tcPr>
          <w:p w14:paraId="52181C45" w14:textId="77777777" w:rsidR="00BE36FB" w:rsidRPr="009B7B35" w:rsidRDefault="00BE36FB" w:rsidP="001A7107">
            <w:pPr>
              <w:pStyle w:val="TableText"/>
              <w:rPr>
                <w:rFonts w:cs="Arial"/>
                <w:b/>
                <w:bCs/>
              </w:rPr>
            </w:pPr>
            <w:r w:rsidRPr="009B7B35">
              <w:rPr>
                <w:rFonts w:cs="Arial"/>
                <w:b/>
                <w:bCs/>
              </w:rPr>
              <w:t>AO26</w:t>
            </w:r>
          </w:p>
          <w:p w14:paraId="02016574" w14:textId="77777777" w:rsidR="00BE36FB" w:rsidRPr="009B7B35" w:rsidRDefault="00BE36FB" w:rsidP="001A7107">
            <w:pPr>
              <w:pStyle w:val="TableText"/>
              <w:rPr>
                <w:rFonts w:cs="Arial"/>
              </w:rPr>
            </w:pPr>
            <w:r w:rsidRPr="009B7B35">
              <w:rPr>
                <w:rFonts w:cs="Arial"/>
              </w:rPr>
              <w:t xml:space="preserve">Equipment, materials, goods and/or, machinery used on site are either: </w:t>
            </w:r>
          </w:p>
          <w:p w14:paraId="0A9DB337" w14:textId="77777777" w:rsidR="00BE36FB" w:rsidRPr="009B7B35" w:rsidRDefault="00BE36FB" w:rsidP="00BE36FB">
            <w:pPr>
              <w:pStyle w:val="TableText"/>
              <w:numPr>
                <w:ilvl w:val="0"/>
                <w:numId w:val="459"/>
              </w:numPr>
              <w:rPr>
                <w:rFonts w:cs="Arial"/>
              </w:rPr>
            </w:pPr>
            <w:r w:rsidRPr="009B7B35">
              <w:rPr>
                <w:rFonts w:cs="Arial"/>
              </w:rPr>
              <w:t>stored behind the front building setback and screened from view, or</w:t>
            </w:r>
          </w:p>
          <w:p w14:paraId="5EF0EE91" w14:textId="77777777" w:rsidR="00BE36FB" w:rsidRPr="009B7B35" w:rsidRDefault="00BE36FB" w:rsidP="00BE36FB">
            <w:pPr>
              <w:pStyle w:val="TableText"/>
              <w:numPr>
                <w:ilvl w:val="0"/>
                <w:numId w:val="459"/>
              </w:numPr>
              <w:rPr>
                <w:rFonts w:cs="Arial"/>
              </w:rPr>
            </w:pPr>
            <w:r w:rsidRPr="009B7B35">
              <w:rPr>
                <w:rFonts w:cs="Arial"/>
              </w:rPr>
              <w:t>stored within a building.</w:t>
            </w:r>
          </w:p>
        </w:tc>
      </w:tr>
      <w:tr w:rsidR="00BE36FB" w:rsidRPr="009B7B35" w14:paraId="34BA3E5E" w14:textId="77777777" w:rsidTr="001A7107">
        <w:trPr>
          <w:cantSplit/>
        </w:trPr>
        <w:tc>
          <w:tcPr>
            <w:tcW w:w="9356" w:type="dxa"/>
            <w:gridSpan w:val="2"/>
            <w:shd w:val="clear" w:color="auto" w:fill="BFBFBF" w:themeFill="background1" w:themeFillShade="BF"/>
          </w:tcPr>
          <w:p w14:paraId="17E48475"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0916FAF8" w14:textId="77777777" w:rsidTr="001A7107">
        <w:trPr>
          <w:cantSplit/>
        </w:trPr>
        <w:tc>
          <w:tcPr>
            <w:tcW w:w="4678" w:type="dxa"/>
          </w:tcPr>
          <w:p w14:paraId="67F76906" w14:textId="77777777" w:rsidR="00BE36FB" w:rsidRPr="009B7B35" w:rsidRDefault="00BE36FB" w:rsidP="001A7107">
            <w:pPr>
              <w:pStyle w:val="TableText"/>
              <w:rPr>
                <w:rFonts w:cs="Arial"/>
                <w:b/>
                <w:bCs/>
              </w:rPr>
            </w:pPr>
            <w:r w:rsidRPr="009B7B35">
              <w:rPr>
                <w:rFonts w:cs="Arial"/>
                <w:b/>
                <w:bCs/>
              </w:rPr>
              <w:t>PO27</w:t>
            </w:r>
          </w:p>
          <w:p w14:paraId="1984F2F5" w14:textId="77777777"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14:paraId="1C696A70" w14:textId="77777777" w:rsidR="00BE36FB" w:rsidRPr="009B7B35" w:rsidRDefault="00BE36FB" w:rsidP="00BE36FB">
            <w:pPr>
              <w:pStyle w:val="TableText"/>
              <w:numPr>
                <w:ilvl w:val="0"/>
                <w:numId w:val="460"/>
              </w:numPr>
              <w:rPr>
                <w:rFonts w:cs="Arial"/>
              </w:rPr>
            </w:pPr>
            <w:r w:rsidRPr="009B7B35">
              <w:rPr>
                <w:rFonts w:cs="Arial"/>
              </w:rPr>
              <w:t>any hazards to people or property are avoided</w:t>
            </w:r>
          </w:p>
          <w:p w14:paraId="1324FE77" w14:textId="77777777" w:rsidR="00BE36FB" w:rsidRPr="009B7B35" w:rsidRDefault="00BE36FB" w:rsidP="00BE36FB">
            <w:pPr>
              <w:pStyle w:val="TableText"/>
              <w:numPr>
                <w:ilvl w:val="0"/>
                <w:numId w:val="460"/>
              </w:numPr>
              <w:rPr>
                <w:rFonts w:cs="Arial"/>
              </w:rPr>
            </w:pPr>
            <w:r w:rsidRPr="009B7B35">
              <w:rPr>
                <w:rFonts w:cs="Arial"/>
              </w:rPr>
              <w:t>any earthworks are minimised</w:t>
            </w:r>
          </w:p>
          <w:p w14:paraId="0D42E26A" w14:textId="77777777" w:rsidR="00BE36FB" w:rsidRPr="009B7B35" w:rsidRDefault="00BE36FB" w:rsidP="00BE36FB">
            <w:pPr>
              <w:pStyle w:val="TableText"/>
              <w:numPr>
                <w:ilvl w:val="0"/>
                <w:numId w:val="460"/>
              </w:numPr>
              <w:rPr>
                <w:rFonts w:cs="Arial"/>
              </w:rPr>
            </w:pPr>
            <w:r w:rsidRPr="009B7B35">
              <w:rPr>
                <w:rFonts w:cs="Arial"/>
              </w:rPr>
              <w:t>the retention of natural drainage lines is maximised</w:t>
            </w:r>
          </w:p>
          <w:p w14:paraId="59F4C569" w14:textId="77777777" w:rsidR="00BE36FB" w:rsidRPr="009B7B35" w:rsidRDefault="00BE36FB" w:rsidP="00BE36FB">
            <w:pPr>
              <w:pStyle w:val="TableText"/>
              <w:numPr>
                <w:ilvl w:val="0"/>
                <w:numId w:val="460"/>
              </w:numPr>
              <w:rPr>
                <w:rFonts w:cs="Arial"/>
              </w:rPr>
            </w:pPr>
            <w:r w:rsidRPr="009B7B35">
              <w:rPr>
                <w:rFonts w:cs="Arial"/>
              </w:rPr>
              <w:t>the retention of existing vegetation is maximised</w:t>
            </w:r>
          </w:p>
          <w:p w14:paraId="1E46433C" w14:textId="77777777" w:rsidR="00BE36FB" w:rsidRPr="009B7B35" w:rsidRDefault="00BE36FB" w:rsidP="00BE36FB">
            <w:pPr>
              <w:pStyle w:val="TableText"/>
              <w:numPr>
                <w:ilvl w:val="0"/>
                <w:numId w:val="460"/>
              </w:numPr>
              <w:rPr>
                <w:rFonts w:cs="Arial"/>
              </w:rPr>
            </w:pPr>
            <w:r w:rsidRPr="009B7B35">
              <w:rPr>
                <w:rFonts w:cs="Arial"/>
              </w:rPr>
              <w:t xml:space="preserve">damage or disruption to sewerage, stormwater and water infrastructure is avoided, and </w:t>
            </w:r>
          </w:p>
          <w:p w14:paraId="088E1277" w14:textId="77777777" w:rsidR="00BE36FB" w:rsidRPr="009B7B35" w:rsidRDefault="00BE36FB" w:rsidP="00BE36FB">
            <w:pPr>
              <w:pStyle w:val="TableText"/>
              <w:numPr>
                <w:ilvl w:val="0"/>
                <w:numId w:val="460"/>
              </w:numPr>
              <w:rPr>
                <w:rFonts w:cs="Arial"/>
              </w:rPr>
            </w:pPr>
            <w:r w:rsidRPr="009B7B35">
              <w:rPr>
                <w:rFonts w:cs="Arial"/>
              </w:rPr>
              <w:t>there is adequate buffering, screening or separation to adjoining development.</w:t>
            </w:r>
          </w:p>
        </w:tc>
        <w:tc>
          <w:tcPr>
            <w:tcW w:w="4678" w:type="dxa"/>
          </w:tcPr>
          <w:p w14:paraId="4D672583"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2CFA409" w14:textId="77777777" w:rsidTr="001A7107">
        <w:trPr>
          <w:cantSplit/>
        </w:trPr>
        <w:tc>
          <w:tcPr>
            <w:tcW w:w="9356" w:type="dxa"/>
            <w:gridSpan w:val="2"/>
            <w:shd w:val="clear" w:color="auto" w:fill="BFBFBF" w:themeFill="background1" w:themeFillShade="BF"/>
          </w:tcPr>
          <w:p w14:paraId="51A6B08B" w14:textId="77777777" w:rsidR="00BE36FB" w:rsidRPr="009B7B35" w:rsidRDefault="00BE36FB">
            <w:pPr>
              <w:pStyle w:val="Tableheading"/>
              <w:rPr>
                <w:rFonts w:ascii="Arial" w:hAnsi="Arial" w:cs="Arial"/>
                <w:szCs w:val="20"/>
              </w:rPr>
            </w:pPr>
            <w:r w:rsidRPr="009B7B35">
              <w:rPr>
                <w:rFonts w:ascii="Arial" w:hAnsi="Arial" w:cs="Arial"/>
                <w:szCs w:val="20"/>
              </w:rPr>
              <w:t>Use – All accommodation activities</w:t>
            </w:r>
          </w:p>
        </w:tc>
      </w:tr>
      <w:tr w:rsidR="00BE36FB" w:rsidRPr="009B7B35" w14:paraId="536130C5" w14:textId="77777777" w:rsidTr="001A7107">
        <w:tc>
          <w:tcPr>
            <w:tcW w:w="4678" w:type="dxa"/>
          </w:tcPr>
          <w:p w14:paraId="72D49115" w14:textId="77777777" w:rsidR="00BE36FB" w:rsidRPr="009B7B35" w:rsidRDefault="00BE36FB" w:rsidP="001A7107">
            <w:pPr>
              <w:pStyle w:val="TableText"/>
              <w:rPr>
                <w:rFonts w:cs="Arial"/>
                <w:b/>
                <w:bCs/>
              </w:rPr>
            </w:pPr>
            <w:r w:rsidRPr="009B7B35">
              <w:rPr>
                <w:rFonts w:cs="Arial"/>
                <w:b/>
                <w:bCs/>
              </w:rPr>
              <w:t>PO28</w:t>
            </w:r>
          </w:p>
          <w:p w14:paraId="5FCECC17" w14:textId="77777777" w:rsidR="00BE36FB" w:rsidRPr="009B7B35" w:rsidRDefault="00BE36FB" w:rsidP="001A7107">
            <w:pPr>
              <w:pStyle w:val="TableText"/>
              <w:rPr>
                <w:rFonts w:cs="Arial"/>
              </w:rPr>
            </w:pPr>
            <w:r w:rsidRPr="009B7B35">
              <w:rPr>
                <w:rFonts w:cs="Arial"/>
              </w:rPr>
              <w:t>Where accommodation activities are proposed, residential density:</w:t>
            </w:r>
          </w:p>
          <w:p w14:paraId="1B7869B2" w14:textId="77777777" w:rsidR="00BE36FB" w:rsidRPr="009B7B35" w:rsidRDefault="00BE36FB" w:rsidP="00BE36FB">
            <w:pPr>
              <w:pStyle w:val="TableText"/>
              <w:numPr>
                <w:ilvl w:val="0"/>
                <w:numId w:val="581"/>
              </w:numPr>
              <w:rPr>
                <w:rFonts w:cs="Arial"/>
              </w:rPr>
            </w:pPr>
            <w:r w:rsidRPr="009B7B35">
              <w:rPr>
                <w:rFonts w:cs="Arial"/>
              </w:rPr>
              <w:t>is capable of being supported by local infrastructure and services</w:t>
            </w:r>
          </w:p>
          <w:p w14:paraId="757B953F" w14:textId="77777777" w:rsidR="00BE36FB" w:rsidRPr="009B7B35" w:rsidRDefault="00BE36FB" w:rsidP="00BE36FB">
            <w:pPr>
              <w:pStyle w:val="TableText"/>
              <w:numPr>
                <w:ilvl w:val="0"/>
                <w:numId w:val="581"/>
              </w:numPr>
              <w:rPr>
                <w:rFonts w:cs="Arial"/>
              </w:rPr>
            </w:pPr>
            <w:r w:rsidRPr="009B7B35">
              <w:rPr>
                <w:rFonts w:cs="Arial"/>
              </w:rPr>
              <w:t>can be achieved without creating conflict between residential and non–residential uses, and</w:t>
            </w:r>
          </w:p>
          <w:p w14:paraId="21198BF2" w14:textId="77777777" w:rsidR="00BE36FB" w:rsidRPr="009B7B35" w:rsidRDefault="00BE36FB" w:rsidP="00BE36FB">
            <w:pPr>
              <w:pStyle w:val="TableText"/>
              <w:numPr>
                <w:ilvl w:val="0"/>
                <w:numId w:val="581"/>
              </w:numPr>
              <w:rPr>
                <w:rFonts w:cs="Arial"/>
              </w:rPr>
            </w:pPr>
            <w:r w:rsidRPr="009B7B35">
              <w:rPr>
                <w:rFonts w:cs="Arial"/>
              </w:rPr>
              <w:t>supports a concentrated residential population in proximity to local active and public transport networks.</w:t>
            </w:r>
          </w:p>
        </w:tc>
        <w:tc>
          <w:tcPr>
            <w:tcW w:w="4678" w:type="dxa"/>
          </w:tcPr>
          <w:p w14:paraId="6C1A98B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A23286C" w14:textId="77777777" w:rsidTr="001A7107">
        <w:tc>
          <w:tcPr>
            <w:tcW w:w="9356" w:type="dxa"/>
            <w:gridSpan w:val="2"/>
            <w:shd w:val="clear" w:color="auto" w:fill="BFBFBF" w:themeFill="background1" w:themeFillShade="BF"/>
          </w:tcPr>
          <w:p w14:paraId="5298C750" w14:textId="77777777" w:rsidR="00BE36FB" w:rsidRPr="009B7B35" w:rsidRDefault="00BE36FB" w:rsidP="001A7107">
            <w:pPr>
              <w:pStyle w:val="Tableheading"/>
              <w:rPr>
                <w:rFonts w:ascii="Arial" w:hAnsi="Arial" w:cs="Arial"/>
                <w:szCs w:val="20"/>
              </w:rPr>
            </w:pPr>
            <w:r w:rsidRPr="009B7B35">
              <w:rPr>
                <w:rFonts w:ascii="Arial" w:hAnsi="Arial" w:cs="Arial"/>
                <w:szCs w:val="20"/>
              </w:rPr>
              <w:t>Use – Child care centre</w:t>
            </w:r>
          </w:p>
        </w:tc>
      </w:tr>
      <w:tr w:rsidR="00BE36FB" w:rsidRPr="009B7B35" w14:paraId="3C9F1730" w14:textId="77777777" w:rsidTr="001A7107">
        <w:tc>
          <w:tcPr>
            <w:tcW w:w="4678" w:type="dxa"/>
          </w:tcPr>
          <w:p w14:paraId="41D28157" w14:textId="77777777" w:rsidR="00BE36FB" w:rsidRPr="009B7B35" w:rsidRDefault="00BE36FB" w:rsidP="001A7107">
            <w:pPr>
              <w:pStyle w:val="TableText"/>
              <w:rPr>
                <w:rFonts w:cs="Arial"/>
                <w:b/>
                <w:bCs/>
              </w:rPr>
            </w:pPr>
            <w:r w:rsidRPr="009B7B35">
              <w:rPr>
                <w:rFonts w:cs="Arial"/>
                <w:b/>
                <w:bCs/>
              </w:rPr>
              <w:t>PO29</w:t>
            </w:r>
          </w:p>
          <w:p w14:paraId="43B8B2BC" w14:textId="77777777" w:rsidR="00BE36FB" w:rsidRPr="009B7B35" w:rsidRDefault="00BE36FB" w:rsidP="001A7107">
            <w:pPr>
              <w:pStyle w:val="TableText"/>
              <w:rPr>
                <w:rFonts w:cs="Arial"/>
              </w:rPr>
            </w:pPr>
            <w:r w:rsidRPr="009B7B35">
              <w:rPr>
                <w:rFonts w:cs="Arial"/>
              </w:rPr>
              <w:t>Development is:</w:t>
            </w:r>
          </w:p>
          <w:p w14:paraId="1FAD9EC1" w14:textId="77777777" w:rsidR="00BE36FB" w:rsidRPr="009B7B35" w:rsidRDefault="00BE36FB" w:rsidP="00BE36FB">
            <w:pPr>
              <w:pStyle w:val="TableText"/>
              <w:numPr>
                <w:ilvl w:val="0"/>
                <w:numId w:val="463"/>
              </w:numPr>
              <w:rPr>
                <w:rFonts w:cs="Arial"/>
              </w:rPr>
            </w:pPr>
            <w:r w:rsidRPr="009B7B35">
              <w:rPr>
                <w:rFonts w:cs="Arial"/>
              </w:rPr>
              <w:t>compatible with neighbouring uses</w:t>
            </w:r>
          </w:p>
          <w:p w14:paraId="62B01E63" w14:textId="77777777" w:rsidR="00BE36FB" w:rsidRPr="009B7B35" w:rsidRDefault="00BE36FB" w:rsidP="00BE36FB">
            <w:pPr>
              <w:pStyle w:val="TableText"/>
              <w:numPr>
                <w:ilvl w:val="0"/>
                <w:numId w:val="463"/>
              </w:numPr>
              <w:rPr>
                <w:rFonts w:cs="Arial"/>
              </w:rPr>
            </w:pPr>
            <w:r w:rsidRPr="009B7B35">
              <w:rPr>
                <w:rFonts w:cs="Arial"/>
              </w:rPr>
              <w:t>complementary to local character and amenity</w:t>
            </w:r>
          </w:p>
          <w:p w14:paraId="198AB8B9" w14:textId="77777777" w:rsidR="00BE36FB" w:rsidRPr="009B7B35" w:rsidRDefault="00BE36FB" w:rsidP="00BE36FB">
            <w:pPr>
              <w:pStyle w:val="TableText"/>
              <w:numPr>
                <w:ilvl w:val="0"/>
                <w:numId w:val="463"/>
              </w:numPr>
              <w:rPr>
                <w:rFonts w:cs="Arial"/>
              </w:rPr>
            </w:pPr>
            <w:r w:rsidRPr="009B7B35">
              <w:rPr>
                <w:rFonts w:cs="Arial"/>
              </w:rPr>
              <w:t>supports the day to day needs of residents</w:t>
            </w:r>
          </w:p>
          <w:p w14:paraId="79DD553D" w14:textId="77777777" w:rsidR="00BE36FB" w:rsidRPr="009B7B35" w:rsidRDefault="00BE36FB" w:rsidP="00BE36FB">
            <w:pPr>
              <w:pStyle w:val="TableText"/>
              <w:numPr>
                <w:ilvl w:val="0"/>
                <w:numId w:val="463"/>
              </w:numPr>
              <w:rPr>
                <w:rFonts w:cs="Arial"/>
              </w:rPr>
            </w:pPr>
            <w:r w:rsidRPr="009B7B35">
              <w:rPr>
                <w:rFonts w:cs="Arial"/>
              </w:rPr>
              <w:t>located on a site which must adequately accommodate activity needs and space requirements.</w:t>
            </w:r>
          </w:p>
        </w:tc>
        <w:tc>
          <w:tcPr>
            <w:tcW w:w="4678" w:type="dxa"/>
          </w:tcPr>
          <w:p w14:paraId="3B1C02AA"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4B75BAD" w14:textId="77777777" w:rsidTr="001A7107">
        <w:trPr>
          <w:cantSplit/>
        </w:trPr>
        <w:tc>
          <w:tcPr>
            <w:tcW w:w="4678" w:type="dxa"/>
          </w:tcPr>
          <w:p w14:paraId="3E4967B3" w14:textId="77777777" w:rsidR="00BE36FB" w:rsidRPr="009B7B35" w:rsidRDefault="00BE36FB" w:rsidP="001A7107">
            <w:pPr>
              <w:pStyle w:val="TableText"/>
              <w:rPr>
                <w:rFonts w:cs="Arial"/>
                <w:b/>
                <w:bCs/>
              </w:rPr>
            </w:pPr>
            <w:r w:rsidRPr="009B7B35">
              <w:rPr>
                <w:rFonts w:cs="Arial"/>
                <w:b/>
                <w:bCs/>
              </w:rPr>
              <w:t>PO30</w:t>
            </w:r>
          </w:p>
          <w:p w14:paraId="211C2103" w14:textId="77777777" w:rsidR="00BE36FB" w:rsidRPr="009B7B35" w:rsidRDefault="00BE36FB" w:rsidP="001A7107">
            <w:pPr>
              <w:pStyle w:val="TableText"/>
              <w:rPr>
                <w:rFonts w:cs="Arial"/>
              </w:rPr>
            </w:pPr>
            <w:r w:rsidRPr="009B7B35">
              <w:rPr>
                <w:rFonts w:cs="Arial"/>
              </w:rPr>
              <w:t>Development does not adversely impact on the amenity of area.</w:t>
            </w:r>
          </w:p>
        </w:tc>
        <w:tc>
          <w:tcPr>
            <w:tcW w:w="4678" w:type="dxa"/>
          </w:tcPr>
          <w:p w14:paraId="4F2B218B" w14:textId="77777777" w:rsidR="00BE36FB" w:rsidRPr="009B7B35" w:rsidRDefault="00BE36FB" w:rsidP="001A7107">
            <w:pPr>
              <w:pStyle w:val="TableText"/>
              <w:rPr>
                <w:rFonts w:cs="Arial"/>
                <w:b/>
                <w:bCs/>
              </w:rPr>
            </w:pPr>
            <w:r w:rsidRPr="009B7B35">
              <w:rPr>
                <w:rFonts w:cs="Arial"/>
                <w:b/>
                <w:bCs/>
              </w:rPr>
              <w:t>AO30</w:t>
            </w:r>
          </w:p>
          <w:p w14:paraId="44B2A6D7" w14:textId="77777777" w:rsidR="00BE36FB" w:rsidRPr="009B7B35" w:rsidRDefault="00BE36FB" w:rsidP="001A7107">
            <w:pPr>
              <w:pStyle w:val="TableText"/>
              <w:rPr>
                <w:rFonts w:cs="Arial"/>
              </w:rPr>
            </w:pPr>
            <w:r w:rsidRPr="009B7B35">
              <w:rPr>
                <w:rFonts w:cs="Arial"/>
              </w:rPr>
              <w:t>Hours of operation are limited to between 6am and 7pm daily.</w:t>
            </w:r>
          </w:p>
        </w:tc>
      </w:tr>
      <w:tr w:rsidR="00BE36FB" w:rsidRPr="009B7B35" w14:paraId="2DCE611D" w14:textId="77777777" w:rsidTr="001A7107">
        <w:trPr>
          <w:cantSplit/>
        </w:trPr>
        <w:tc>
          <w:tcPr>
            <w:tcW w:w="4678" w:type="dxa"/>
            <w:vMerge w:val="restart"/>
          </w:tcPr>
          <w:p w14:paraId="5944BFF5" w14:textId="77777777" w:rsidR="00BE36FB" w:rsidRPr="009B7B35" w:rsidRDefault="00BE36FB" w:rsidP="001A7107">
            <w:pPr>
              <w:pStyle w:val="TableText"/>
              <w:rPr>
                <w:rFonts w:cs="Arial"/>
                <w:b/>
                <w:bCs/>
              </w:rPr>
            </w:pPr>
            <w:r w:rsidRPr="009B7B35">
              <w:rPr>
                <w:rFonts w:cs="Arial"/>
                <w:b/>
                <w:bCs/>
              </w:rPr>
              <w:t>PO31</w:t>
            </w:r>
          </w:p>
          <w:p w14:paraId="3D84F81D" w14:textId="77777777" w:rsidR="00BE36FB" w:rsidRPr="009B7B35" w:rsidRDefault="00BE36FB" w:rsidP="001A7107">
            <w:pPr>
              <w:rPr>
                <w:rFonts w:cs="Arial"/>
                <w:sz w:val="20"/>
                <w:szCs w:val="20"/>
              </w:rPr>
            </w:pPr>
            <w:r w:rsidRPr="009B7B35">
              <w:rPr>
                <w:rFonts w:cs="Arial"/>
                <w:sz w:val="20"/>
                <w:szCs w:val="20"/>
              </w:rPr>
              <w:t>Development minimises:</w:t>
            </w:r>
          </w:p>
          <w:p w14:paraId="312F4FC5" w14:textId="77777777" w:rsidR="00BE36FB" w:rsidRPr="009B7B35" w:rsidRDefault="00BE36FB" w:rsidP="00BE36FB">
            <w:pPr>
              <w:pStyle w:val="TableText"/>
              <w:numPr>
                <w:ilvl w:val="0"/>
                <w:numId w:val="464"/>
              </w:numPr>
              <w:rPr>
                <w:rFonts w:cs="Arial"/>
              </w:rPr>
            </w:pPr>
            <w:r w:rsidRPr="009B7B35">
              <w:rPr>
                <w:rFonts w:cs="Arial"/>
              </w:rPr>
              <w:t>the hazards of heavy traffic</w:t>
            </w:r>
          </w:p>
          <w:p w14:paraId="7F140D3B" w14:textId="77777777" w:rsidR="00BE36FB" w:rsidRPr="009B7B35" w:rsidRDefault="00BE36FB" w:rsidP="00BE36FB">
            <w:pPr>
              <w:pStyle w:val="TableText"/>
              <w:numPr>
                <w:ilvl w:val="0"/>
                <w:numId w:val="464"/>
              </w:numPr>
              <w:rPr>
                <w:rFonts w:cs="Arial"/>
              </w:rPr>
            </w:pPr>
            <w:r w:rsidRPr="009B7B35">
              <w:rPr>
                <w:rFonts w:cs="Arial"/>
              </w:rPr>
              <w:t>introduction of non–local traffic into minor, residential streets, and</w:t>
            </w:r>
          </w:p>
          <w:p w14:paraId="3F4C9A60" w14:textId="77777777" w:rsidR="00BE36FB" w:rsidRPr="009B7B35" w:rsidRDefault="00BE36FB" w:rsidP="00BE36FB">
            <w:pPr>
              <w:pStyle w:val="TableText"/>
              <w:numPr>
                <w:ilvl w:val="0"/>
                <w:numId w:val="464"/>
              </w:numPr>
              <w:rPr>
                <w:rFonts w:cs="Arial"/>
              </w:rPr>
            </w:pPr>
            <w:r w:rsidRPr="009B7B35">
              <w:rPr>
                <w:rFonts w:cs="Arial"/>
              </w:rPr>
              <w:t>on–site conflict between children’s activities, pedestrian movement, vehicle movement and car parking.</w:t>
            </w:r>
          </w:p>
        </w:tc>
        <w:tc>
          <w:tcPr>
            <w:tcW w:w="4678" w:type="dxa"/>
          </w:tcPr>
          <w:p w14:paraId="78CB3E25" w14:textId="77777777" w:rsidR="00BE36FB" w:rsidRPr="009B7B35" w:rsidRDefault="00BE36FB" w:rsidP="001A7107">
            <w:pPr>
              <w:pStyle w:val="TableText"/>
              <w:rPr>
                <w:rFonts w:cs="Arial"/>
                <w:b/>
                <w:bCs/>
              </w:rPr>
            </w:pPr>
            <w:r w:rsidRPr="009B7B35">
              <w:rPr>
                <w:rFonts w:cs="Arial"/>
                <w:b/>
                <w:bCs/>
              </w:rPr>
              <w:t>AO31.1</w:t>
            </w:r>
          </w:p>
          <w:p w14:paraId="281C1983" w14:textId="77777777" w:rsidR="00BE36FB" w:rsidRPr="009B7B35" w:rsidRDefault="00BE36FB" w:rsidP="001A7107">
            <w:pPr>
              <w:rPr>
                <w:rFonts w:cs="Arial"/>
                <w:sz w:val="20"/>
                <w:szCs w:val="20"/>
              </w:rPr>
            </w:pPr>
            <w:r w:rsidRPr="009B7B35">
              <w:rPr>
                <w:rFonts w:cs="Arial"/>
                <w:sz w:val="20"/>
                <w:szCs w:val="20"/>
              </w:rPr>
              <w:t>The use is not accessed from:</w:t>
            </w:r>
          </w:p>
          <w:p w14:paraId="590B8B08" w14:textId="77777777" w:rsidR="00BE36FB" w:rsidRPr="009B7B35" w:rsidRDefault="00BE36FB" w:rsidP="00BE36FB">
            <w:pPr>
              <w:pStyle w:val="TableText"/>
              <w:numPr>
                <w:ilvl w:val="0"/>
                <w:numId w:val="465"/>
              </w:numPr>
              <w:rPr>
                <w:rFonts w:cs="Arial"/>
              </w:rPr>
            </w:pPr>
            <w:r w:rsidRPr="009B7B35">
              <w:rPr>
                <w:rFonts w:cs="Arial"/>
              </w:rPr>
              <w:t>arterial/sub–arterial routes, or</w:t>
            </w:r>
          </w:p>
          <w:p w14:paraId="2AE1A6F2" w14:textId="77777777" w:rsidR="00BE36FB" w:rsidRPr="009B7B35" w:rsidRDefault="00BE36FB" w:rsidP="00BE36FB">
            <w:pPr>
              <w:pStyle w:val="TableText"/>
              <w:numPr>
                <w:ilvl w:val="0"/>
                <w:numId w:val="465"/>
              </w:numPr>
              <w:rPr>
                <w:rFonts w:cs="Arial"/>
              </w:rPr>
            </w:pPr>
            <w:r w:rsidRPr="009B7B35">
              <w:rPr>
                <w:rFonts w:cs="Arial"/>
              </w:rPr>
              <w:t>an access street or access place.</w:t>
            </w:r>
          </w:p>
        </w:tc>
      </w:tr>
      <w:tr w:rsidR="00BE36FB" w:rsidRPr="009B7B35" w14:paraId="569D77DE" w14:textId="77777777" w:rsidTr="001A7107">
        <w:trPr>
          <w:cantSplit/>
        </w:trPr>
        <w:tc>
          <w:tcPr>
            <w:tcW w:w="4678" w:type="dxa"/>
            <w:vMerge/>
          </w:tcPr>
          <w:p w14:paraId="61706F26" w14:textId="77777777" w:rsidR="00BE36FB" w:rsidRPr="009B7B35" w:rsidRDefault="00BE36FB" w:rsidP="001A7107">
            <w:pPr>
              <w:rPr>
                <w:rFonts w:cs="Arial"/>
                <w:sz w:val="20"/>
                <w:szCs w:val="20"/>
              </w:rPr>
            </w:pPr>
          </w:p>
        </w:tc>
        <w:tc>
          <w:tcPr>
            <w:tcW w:w="4678" w:type="dxa"/>
          </w:tcPr>
          <w:p w14:paraId="3164E7F0" w14:textId="77777777" w:rsidR="00BE36FB" w:rsidRPr="009B7B35" w:rsidRDefault="00BE36FB" w:rsidP="001A7107">
            <w:pPr>
              <w:pStyle w:val="TableText"/>
              <w:rPr>
                <w:rFonts w:cs="Arial"/>
                <w:b/>
                <w:bCs/>
              </w:rPr>
            </w:pPr>
            <w:r w:rsidRPr="009B7B35">
              <w:rPr>
                <w:rFonts w:cs="Arial"/>
                <w:b/>
                <w:bCs/>
              </w:rPr>
              <w:t>AO31.2</w:t>
            </w:r>
          </w:p>
          <w:p w14:paraId="0722A195" w14:textId="77777777" w:rsidR="00BE36FB" w:rsidRPr="009B7B35" w:rsidRDefault="00BE36FB" w:rsidP="001A7107">
            <w:pPr>
              <w:pStyle w:val="TableText"/>
              <w:rPr>
                <w:rFonts w:cs="Arial"/>
              </w:rPr>
            </w:pPr>
            <w:r w:rsidRPr="009B7B35">
              <w:rPr>
                <w:rFonts w:cs="Arial"/>
              </w:rPr>
              <w:t>Parking spaces are located so that children are not required to cross the driveway or vehicular access way to reach the building.</w:t>
            </w:r>
          </w:p>
        </w:tc>
      </w:tr>
      <w:tr w:rsidR="00BE36FB" w:rsidRPr="009B7B35" w14:paraId="5E4AC829" w14:textId="77777777" w:rsidTr="001A7107">
        <w:trPr>
          <w:cantSplit/>
        </w:trPr>
        <w:tc>
          <w:tcPr>
            <w:tcW w:w="9356" w:type="dxa"/>
            <w:gridSpan w:val="2"/>
            <w:shd w:val="clear" w:color="auto" w:fill="BFBFBF" w:themeFill="background1" w:themeFillShade="BF"/>
          </w:tcPr>
          <w:p w14:paraId="720C55F7"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Uses – Multiple dwelling, Retirement facility, Residential care facility, Rooming accommodation </w:t>
            </w:r>
          </w:p>
        </w:tc>
      </w:tr>
      <w:tr w:rsidR="00BE36FB" w:rsidRPr="009B7B35" w14:paraId="3C0CB958" w14:textId="77777777" w:rsidTr="001A7107">
        <w:trPr>
          <w:cantSplit/>
        </w:trPr>
        <w:tc>
          <w:tcPr>
            <w:tcW w:w="4678" w:type="dxa"/>
          </w:tcPr>
          <w:p w14:paraId="75EDA83B" w14:textId="77777777" w:rsidR="00BE36FB" w:rsidRPr="009B7B35" w:rsidRDefault="00BE36FB" w:rsidP="001A7107">
            <w:pPr>
              <w:pStyle w:val="TableText"/>
              <w:rPr>
                <w:rFonts w:cs="Arial"/>
                <w:b/>
                <w:bCs/>
              </w:rPr>
            </w:pPr>
            <w:r w:rsidRPr="009B7B35">
              <w:rPr>
                <w:rFonts w:cs="Arial"/>
                <w:b/>
                <w:bCs/>
              </w:rPr>
              <w:t>PO32</w:t>
            </w:r>
          </w:p>
          <w:p w14:paraId="395BC962" w14:textId="77777777" w:rsidR="00BE36FB" w:rsidRPr="009B7B35" w:rsidRDefault="00BE36FB" w:rsidP="001A7107">
            <w:pPr>
              <w:pStyle w:val="TableText"/>
              <w:rPr>
                <w:rFonts w:cs="Arial"/>
              </w:rPr>
            </w:pPr>
            <w:r w:rsidRPr="009B7B35">
              <w:rPr>
                <w:rFonts w:cs="Arial"/>
              </w:rPr>
              <w:t>Development does not compromise ground level business activities being established.</w:t>
            </w:r>
          </w:p>
        </w:tc>
        <w:tc>
          <w:tcPr>
            <w:tcW w:w="4678" w:type="dxa"/>
          </w:tcPr>
          <w:p w14:paraId="11498873" w14:textId="77777777" w:rsidR="00BE36FB" w:rsidRPr="009B7B35" w:rsidRDefault="00BE36FB" w:rsidP="001A7107">
            <w:pPr>
              <w:pStyle w:val="TableText"/>
              <w:rPr>
                <w:rFonts w:cs="Arial"/>
                <w:b/>
                <w:bCs/>
              </w:rPr>
            </w:pPr>
            <w:r w:rsidRPr="009B7B35">
              <w:rPr>
                <w:rFonts w:cs="Arial"/>
                <w:b/>
                <w:bCs/>
              </w:rPr>
              <w:t>AO32</w:t>
            </w:r>
          </w:p>
          <w:p w14:paraId="4D046111" w14:textId="77777777" w:rsidR="00BE36FB" w:rsidRPr="009B7B35" w:rsidRDefault="00BE36FB" w:rsidP="001A7107">
            <w:pPr>
              <w:rPr>
                <w:rFonts w:cs="Arial"/>
                <w:sz w:val="20"/>
                <w:szCs w:val="20"/>
              </w:rPr>
            </w:pPr>
            <w:r w:rsidRPr="009B7B35">
              <w:rPr>
                <w:rFonts w:cs="Arial"/>
                <w:sz w:val="20"/>
                <w:szCs w:val="20"/>
              </w:rPr>
              <w:t>Dwelling units are located either above the ground floor level, or to the rear of ground level business activities.</w:t>
            </w:r>
          </w:p>
        </w:tc>
      </w:tr>
      <w:tr w:rsidR="00BE36FB" w:rsidRPr="009B7B35" w14:paraId="6722130A" w14:textId="77777777" w:rsidTr="001A7107">
        <w:trPr>
          <w:cantSplit/>
        </w:trPr>
        <w:tc>
          <w:tcPr>
            <w:tcW w:w="4678" w:type="dxa"/>
          </w:tcPr>
          <w:p w14:paraId="4F2F3B96" w14:textId="77777777" w:rsidR="00BE36FB" w:rsidRPr="009B7B35" w:rsidRDefault="00BE36FB" w:rsidP="001A7107">
            <w:pPr>
              <w:pStyle w:val="TableText"/>
              <w:rPr>
                <w:rFonts w:cs="Arial"/>
                <w:b/>
                <w:bCs/>
              </w:rPr>
            </w:pPr>
            <w:r w:rsidRPr="009B7B35">
              <w:rPr>
                <w:rFonts w:cs="Arial"/>
                <w:b/>
                <w:bCs/>
              </w:rPr>
              <w:t>PO33</w:t>
            </w:r>
          </w:p>
          <w:p w14:paraId="620DC26E" w14:textId="77777777" w:rsidR="00BE36FB" w:rsidRPr="009B7B35" w:rsidRDefault="00BE36FB" w:rsidP="001A7107">
            <w:pPr>
              <w:pStyle w:val="TableText"/>
              <w:rPr>
                <w:rFonts w:cs="Arial"/>
              </w:rPr>
            </w:pPr>
            <w:r w:rsidRPr="009B7B35">
              <w:rPr>
                <w:rFonts w:cs="Arial"/>
              </w:rPr>
              <w:t>Development provides a mix of housing sizes to meet housing needs across the community.</w:t>
            </w:r>
          </w:p>
        </w:tc>
        <w:tc>
          <w:tcPr>
            <w:tcW w:w="4678" w:type="dxa"/>
          </w:tcPr>
          <w:p w14:paraId="44E8E71A" w14:textId="77777777" w:rsidR="00BE36FB" w:rsidRPr="009B7B35" w:rsidRDefault="00BE36FB" w:rsidP="001A7107">
            <w:pPr>
              <w:pStyle w:val="TableText"/>
              <w:rPr>
                <w:rFonts w:cs="Arial"/>
                <w:b/>
                <w:bCs/>
              </w:rPr>
            </w:pPr>
            <w:r w:rsidRPr="009B7B35">
              <w:rPr>
                <w:rFonts w:cs="Arial"/>
                <w:b/>
                <w:bCs/>
              </w:rPr>
              <w:t>AO33</w:t>
            </w:r>
          </w:p>
          <w:p w14:paraId="35F6B4ED" w14:textId="77777777" w:rsidR="00BE36FB" w:rsidRPr="009B7B35" w:rsidRDefault="00BE36FB" w:rsidP="001A7107">
            <w:pPr>
              <w:pStyle w:val="TableText"/>
              <w:rPr>
                <w:rFonts w:cs="Arial"/>
              </w:rPr>
            </w:pPr>
            <w:r w:rsidRPr="009B7B35">
              <w:rPr>
                <w:rFonts w:cs="Arial"/>
              </w:rPr>
              <w:t>Development of 15 or more dwellings includes the following proportion of dwelling sizes:</w:t>
            </w:r>
          </w:p>
          <w:p w14:paraId="5487B1D3" w14:textId="77777777" w:rsidR="00BE36FB" w:rsidRPr="009B7B35" w:rsidRDefault="00BE36FB" w:rsidP="00BE36FB">
            <w:pPr>
              <w:pStyle w:val="TableText"/>
              <w:numPr>
                <w:ilvl w:val="0"/>
                <w:numId w:val="461"/>
              </w:numPr>
              <w:ind w:left="510" w:hanging="510"/>
              <w:rPr>
                <w:rFonts w:cs="Arial"/>
              </w:rPr>
            </w:pPr>
            <w:r w:rsidRPr="009B7B35">
              <w:rPr>
                <w:rFonts w:cs="Arial"/>
              </w:rPr>
              <w:t>25% – 1 bedroom or studio</w:t>
            </w:r>
          </w:p>
          <w:p w14:paraId="74BDE1A9" w14:textId="77777777" w:rsidR="00BE36FB" w:rsidRPr="009B7B35" w:rsidRDefault="00BE36FB" w:rsidP="00BE36FB">
            <w:pPr>
              <w:pStyle w:val="TableText"/>
              <w:numPr>
                <w:ilvl w:val="0"/>
                <w:numId w:val="461"/>
              </w:numPr>
              <w:ind w:left="510" w:hanging="510"/>
              <w:rPr>
                <w:rFonts w:cs="Arial"/>
              </w:rPr>
            </w:pPr>
            <w:r w:rsidRPr="009B7B35">
              <w:rPr>
                <w:rFonts w:cs="Arial"/>
              </w:rPr>
              <w:t>40% – 2 bedrooms</w:t>
            </w:r>
          </w:p>
          <w:p w14:paraId="338713D2" w14:textId="77777777" w:rsidR="00BE36FB" w:rsidRPr="009B7B35" w:rsidRDefault="00BE36FB" w:rsidP="00BE36FB">
            <w:pPr>
              <w:pStyle w:val="TableText"/>
              <w:numPr>
                <w:ilvl w:val="0"/>
                <w:numId w:val="461"/>
              </w:numPr>
              <w:ind w:left="510" w:hanging="510"/>
              <w:rPr>
                <w:rFonts w:cs="Arial"/>
              </w:rPr>
            </w:pPr>
            <w:r w:rsidRPr="009B7B35">
              <w:rPr>
                <w:rFonts w:cs="Arial"/>
              </w:rPr>
              <w:t>15% – 3 bedrooms or more</w:t>
            </w:r>
          </w:p>
          <w:p w14:paraId="601029D7" w14:textId="77777777" w:rsidR="00BE36FB" w:rsidRPr="009B7B35" w:rsidRDefault="00BE36FB" w:rsidP="00BE36FB">
            <w:pPr>
              <w:pStyle w:val="TableText"/>
              <w:numPr>
                <w:ilvl w:val="0"/>
                <w:numId w:val="461"/>
              </w:numPr>
              <w:ind w:left="510" w:hanging="510"/>
              <w:rPr>
                <w:rFonts w:cs="Arial"/>
              </w:rPr>
            </w:pPr>
            <w:r w:rsidRPr="009B7B35">
              <w:rPr>
                <w:rFonts w:cs="Arial"/>
              </w:rPr>
              <w:t>remaining 20% is unrestricted.</w:t>
            </w:r>
          </w:p>
        </w:tc>
      </w:tr>
      <w:tr w:rsidR="00BE36FB" w:rsidRPr="009B7B35" w14:paraId="216F4CF6" w14:textId="77777777" w:rsidTr="001A7107">
        <w:tc>
          <w:tcPr>
            <w:tcW w:w="4678" w:type="dxa"/>
            <w:vMerge w:val="restart"/>
          </w:tcPr>
          <w:p w14:paraId="21416317" w14:textId="77777777" w:rsidR="00BE36FB" w:rsidRPr="009B7B35" w:rsidRDefault="00BE36FB" w:rsidP="001A7107">
            <w:pPr>
              <w:pStyle w:val="TableText"/>
              <w:rPr>
                <w:rFonts w:cs="Arial"/>
                <w:b/>
                <w:bCs/>
              </w:rPr>
            </w:pPr>
            <w:r w:rsidRPr="009B7B35">
              <w:rPr>
                <w:rFonts w:cs="Arial"/>
                <w:b/>
                <w:bCs/>
              </w:rPr>
              <w:t>PO34</w:t>
            </w:r>
          </w:p>
          <w:p w14:paraId="648337E1" w14:textId="77777777" w:rsidR="00BE36FB" w:rsidRPr="009B7B35" w:rsidRDefault="00BE36FB" w:rsidP="001A7107">
            <w:pPr>
              <w:pStyle w:val="TableText"/>
              <w:rPr>
                <w:rFonts w:cs="Arial"/>
              </w:rPr>
            </w:pPr>
            <w:r w:rsidRPr="009B7B35">
              <w:rPr>
                <w:rFonts w:cs="Arial"/>
              </w:rPr>
              <w:t>Development must provide sufficient and accessible open space for residents needs.</w:t>
            </w:r>
          </w:p>
        </w:tc>
        <w:tc>
          <w:tcPr>
            <w:tcW w:w="4678" w:type="dxa"/>
          </w:tcPr>
          <w:p w14:paraId="19039A5E" w14:textId="77777777" w:rsidR="00BE36FB" w:rsidRPr="009B7B35" w:rsidRDefault="00BE36FB" w:rsidP="001A7107">
            <w:pPr>
              <w:pStyle w:val="TableText"/>
              <w:rPr>
                <w:rFonts w:cs="Arial"/>
                <w:b/>
                <w:bCs/>
              </w:rPr>
            </w:pPr>
            <w:r w:rsidRPr="009B7B35">
              <w:rPr>
                <w:rFonts w:cs="Arial"/>
                <w:b/>
                <w:bCs/>
              </w:rPr>
              <w:t>AO34.1</w:t>
            </w:r>
          </w:p>
          <w:p w14:paraId="3A45C3A4" w14:textId="77777777" w:rsidR="00BE36FB" w:rsidRPr="009B7B35" w:rsidRDefault="00BE36FB" w:rsidP="001A7107">
            <w:pPr>
              <w:pStyle w:val="TableText"/>
              <w:rPr>
                <w:rFonts w:cs="Arial"/>
              </w:rPr>
            </w:pPr>
            <w:r w:rsidRPr="009B7B35">
              <w:rPr>
                <w:rFonts w:cs="Arial"/>
              </w:rPr>
              <w:t>Development provides a minimum of 16m</w:t>
            </w:r>
            <w:r w:rsidRPr="009B7B35">
              <w:rPr>
                <w:rFonts w:cs="Arial"/>
                <w:vertAlign w:val="superscript"/>
              </w:rPr>
              <w:t>2</w:t>
            </w:r>
            <w:r w:rsidRPr="009B7B35">
              <w:rPr>
                <w:rFonts w:cs="Arial"/>
              </w:rPr>
              <w:t xml:space="preserve"> private open space for each dwelling with a minimum dimension of 3.0m in any direction.</w:t>
            </w:r>
          </w:p>
        </w:tc>
      </w:tr>
      <w:tr w:rsidR="00BE36FB" w:rsidRPr="009B7B35" w14:paraId="6F321F44" w14:textId="77777777" w:rsidTr="001A7107">
        <w:tc>
          <w:tcPr>
            <w:tcW w:w="4678" w:type="dxa"/>
            <w:vMerge/>
          </w:tcPr>
          <w:p w14:paraId="45E83FCD" w14:textId="77777777" w:rsidR="00BE36FB" w:rsidRPr="009B7B35" w:rsidRDefault="00BE36FB" w:rsidP="001A7107">
            <w:pPr>
              <w:rPr>
                <w:rFonts w:cs="Arial"/>
                <w:sz w:val="20"/>
                <w:szCs w:val="20"/>
              </w:rPr>
            </w:pPr>
          </w:p>
        </w:tc>
        <w:tc>
          <w:tcPr>
            <w:tcW w:w="4678" w:type="dxa"/>
          </w:tcPr>
          <w:p w14:paraId="79E46B6B" w14:textId="77777777" w:rsidR="00BE36FB" w:rsidRPr="009B7B35" w:rsidRDefault="00BE36FB" w:rsidP="001A7107">
            <w:pPr>
              <w:pStyle w:val="TableText"/>
              <w:rPr>
                <w:rFonts w:cs="Arial"/>
                <w:b/>
                <w:bCs/>
              </w:rPr>
            </w:pPr>
            <w:r w:rsidRPr="009B7B35">
              <w:rPr>
                <w:rFonts w:cs="Arial"/>
                <w:b/>
                <w:bCs/>
              </w:rPr>
              <w:t>AO34.2</w:t>
            </w:r>
          </w:p>
          <w:p w14:paraId="4AF9E0CE" w14:textId="77777777" w:rsidR="00BE36FB" w:rsidRPr="009B7B35" w:rsidRDefault="00BE36FB" w:rsidP="001A7107">
            <w:pPr>
              <w:pStyle w:val="TableText"/>
              <w:rPr>
                <w:rFonts w:cs="Arial"/>
              </w:rPr>
            </w:pPr>
            <w:r w:rsidRPr="009B7B35">
              <w:rPr>
                <w:rFonts w:cs="Arial"/>
              </w:rPr>
              <w:t>Private open space is accessible from the main living area.</w:t>
            </w:r>
          </w:p>
        </w:tc>
      </w:tr>
      <w:tr w:rsidR="00BE36FB" w:rsidRPr="009B7B35" w14:paraId="5821CB0F" w14:textId="77777777" w:rsidTr="001A7107">
        <w:tc>
          <w:tcPr>
            <w:tcW w:w="4678" w:type="dxa"/>
            <w:vMerge/>
          </w:tcPr>
          <w:p w14:paraId="70E66B23" w14:textId="77777777" w:rsidR="00BE36FB" w:rsidRPr="009B7B35" w:rsidRDefault="00BE36FB" w:rsidP="001A7107">
            <w:pPr>
              <w:rPr>
                <w:rFonts w:cs="Arial"/>
                <w:sz w:val="20"/>
                <w:szCs w:val="20"/>
              </w:rPr>
            </w:pPr>
          </w:p>
        </w:tc>
        <w:tc>
          <w:tcPr>
            <w:tcW w:w="4678" w:type="dxa"/>
            <w:tcBorders>
              <w:bottom w:val="single" w:sz="4" w:space="0" w:color="7F7F7F" w:themeColor="text1" w:themeTint="80"/>
            </w:tcBorders>
          </w:tcPr>
          <w:p w14:paraId="52A90C3C" w14:textId="77777777" w:rsidR="00BE36FB" w:rsidRPr="009B7B35" w:rsidRDefault="00BE36FB" w:rsidP="001A7107">
            <w:pPr>
              <w:pStyle w:val="TableText"/>
              <w:rPr>
                <w:rFonts w:cs="Arial"/>
                <w:b/>
                <w:bCs/>
              </w:rPr>
            </w:pPr>
            <w:r w:rsidRPr="009B7B35">
              <w:rPr>
                <w:rFonts w:cs="Arial"/>
                <w:b/>
                <w:bCs/>
              </w:rPr>
              <w:t>AO34.3</w:t>
            </w:r>
          </w:p>
          <w:p w14:paraId="3A4730A4" w14:textId="77777777" w:rsidR="00BE36FB" w:rsidRPr="009B7B35" w:rsidRDefault="00BE36FB">
            <w:pPr>
              <w:pStyle w:val="TableText"/>
              <w:rPr>
                <w:rFonts w:cs="Arial"/>
              </w:rPr>
            </w:pPr>
            <w:r w:rsidRPr="009B7B35">
              <w:rPr>
                <w:rFonts w:cs="Arial"/>
              </w:rPr>
              <w:t>Development greater than 18 dwellings provides a minimum communal open space area of 50m</w:t>
            </w:r>
            <w:r w:rsidRPr="009B7B35">
              <w:rPr>
                <w:rFonts w:cs="Arial"/>
                <w:vertAlign w:val="superscript"/>
              </w:rPr>
              <w:t>2</w:t>
            </w:r>
            <w:r w:rsidRPr="009B7B35">
              <w:rPr>
                <w:rFonts w:cs="Arial"/>
              </w:rPr>
              <w:t xml:space="preserve"> with a minimum dimension of 5m.</w:t>
            </w:r>
          </w:p>
        </w:tc>
      </w:tr>
      <w:tr w:rsidR="00BE36FB" w:rsidRPr="009B7B35" w14:paraId="679D4972" w14:textId="77777777" w:rsidTr="001A7107">
        <w:tc>
          <w:tcPr>
            <w:tcW w:w="4678" w:type="dxa"/>
            <w:vMerge w:val="restart"/>
          </w:tcPr>
          <w:p w14:paraId="2377E33B" w14:textId="77777777" w:rsidR="00BE36FB" w:rsidRPr="009B7B35" w:rsidRDefault="00BE36FB">
            <w:pPr>
              <w:pStyle w:val="TableText"/>
              <w:rPr>
                <w:rFonts w:cs="Arial"/>
                <w:b/>
                <w:bCs/>
              </w:rPr>
            </w:pPr>
            <w:r w:rsidRPr="009B7B35">
              <w:rPr>
                <w:rFonts w:cs="Arial"/>
                <w:b/>
                <w:bCs/>
              </w:rPr>
              <w:t>PO35</w:t>
            </w:r>
          </w:p>
          <w:p w14:paraId="49550DAC" w14:textId="77777777" w:rsidR="00BE36FB" w:rsidRPr="009B7B35" w:rsidDel="00B07B4F" w:rsidRDefault="00BE36FB">
            <w:pPr>
              <w:pStyle w:val="TableText"/>
              <w:rPr>
                <w:rFonts w:cs="Arial"/>
              </w:rPr>
            </w:pPr>
            <w:r w:rsidRPr="009B7B35">
              <w:rPr>
                <w:rFonts w:cs="Arial"/>
              </w:rPr>
              <w:t>Habitable spaces must not directly overlook dwellings on adjacent land.</w:t>
            </w:r>
          </w:p>
        </w:tc>
        <w:tc>
          <w:tcPr>
            <w:tcW w:w="4678" w:type="dxa"/>
            <w:tcBorders>
              <w:bottom w:val="single" w:sz="4" w:space="0" w:color="7F7F7F" w:themeColor="text1" w:themeTint="80"/>
            </w:tcBorders>
          </w:tcPr>
          <w:p w14:paraId="5EFA6503" w14:textId="77777777" w:rsidR="00BE36FB" w:rsidRPr="009B7B35" w:rsidRDefault="00BE36FB" w:rsidP="001A7107">
            <w:pPr>
              <w:pStyle w:val="TableText"/>
              <w:rPr>
                <w:rFonts w:cs="Arial"/>
                <w:b/>
                <w:bCs/>
              </w:rPr>
            </w:pPr>
            <w:r w:rsidRPr="009B7B35">
              <w:rPr>
                <w:rFonts w:cs="Arial"/>
                <w:b/>
                <w:bCs/>
              </w:rPr>
              <w:t>AO35</w:t>
            </w:r>
          </w:p>
          <w:p w14:paraId="470202A6" w14:textId="77777777" w:rsidR="00BE36FB" w:rsidRPr="009B7B35" w:rsidRDefault="00BE36FB" w:rsidP="001A7107">
            <w:pPr>
              <w:pStyle w:val="TableText"/>
              <w:rPr>
                <w:rFonts w:cs="Arial"/>
              </w:rPr>
            </w:pPr>
            <w:r w:rsidRPr="009B7B35">
              <w:rPr>
                <w:rFonts w:cs="Arial"/>
              </w:rPr>
              <w:t>Habitable room windows of a dwelling unit are separated a minimum of 9m from a habitable room window or private open space of another dwelling unit unless:</w:t>
            </w:r>
          </w:p>
          <w:p w14:paraId="332C7CFD" w14:textId="77777777" w:rsidR="00BE36FB" w:rsidRPr="009B7B35" w:rsidRDefault="00BE36FB" w:rsidP="00BE36FB">
            <w:pPr>
              <w:pStyle w:val="TableText"/>
              <w:numPr>
                <w:ilvl w:val="0"/>
                <w:numId w:val="462"/>
              </w:numPr>
              <w:rPr>
                <w:rFonts w:cs="Arial"/>
              </w:rPr>
            </w:pPr>
            <w:r w:rsidRPr="009B7B35">
              <w:rPr>
                <w:rFonts w:cs="Arial"/>
              </w:rPr>
              <w:t>windows have translucent glazing or sill heights of at least 1.5m, or</w:t>
            </w:r>
          </w:p>
          <w:p w14:paraId="4CC3B1DA" w14:textId="77777777" w:rsidR="00BE36FB" w:rsidRPr="009B7B35" w:rsidRDefault="00BE36FB" w:rsidP="00BE36FB">
            <w:pPr>
              <w:pStyle w:val="TableText"/>
              <w:numPr>
                <w:ilvl w:val="0"/>
                <w:numId w:val="462"/>
              </w:numPr>
              <w:rPr>
                <w:rFonts w:cs="Arial"/>
              </w:rPr>
            </w:pPr>
            <w:r w:rsidRPr="009B7B35">
              <w:rPr>
                <w:rFonts w:cs="Arial"/>
              </w:rPr>
              <w:t>there is a 1.8m high dividing fence at ground level</w:t>
            </w:r>
          </w:p>
          <w:p w14:paraId="0A8ADE07" w14:textId="77777777" w:rsidR="00BE36FB" w:rsidRPr="009B7B35" w:rsidRDefault="00BE36FB" w:rsidP="00BE36FB">
            <w:pPr>
              <w:pStyle w:val="TableText"/>
              <w:numPr>
                <w:ilvl w:val="0"/>
                <w:numId w:val="462"/>
              </w:numPr>
              <w:rPr>
                <w:rFonts w:cs="Arial"/>
                <w:bCs/>
              </w:rPr>
            </w:pPr>
            <w:r w:rsidRPr="009B7B35">
              <w:rPr>
                <w:rFonts w:cs="Arial"/>
              </w:rPr>
              <w:t>outlook from windows, balconies, and terraces of a dwelling unit is screened where screening is a permanent screen or perforated panels or trellises which have a maximum of 50% openings, and permanent and fixed, and designed to complement the development.</w:t>
            </w:r>
          </w:p>
          <w:p w14:paraId="0C746041" w14:textId="77777777" w:rsidR="00BE36FB" w:rsidRPr="009B7B35" w:rsidDel="00B07B4F" w:rsidRDefault="00BE36FB" w:rsidP="001A7107">
            <w:pPr>
              <w:pStyle w:val="Notes"/>
              <w:rPr>
                <w:rFonts w:cs="Arial"/>
                <w:sz w:val="20"/>
                <w:szCs w:val="20"/>
              </w:rPr>
            </w:pPr>
            <w:r w:rsidRPr="009B7B35">
              <w:rPr>
                <w:rFonts w:cs="Arial"/>
                <w:sz w:val="20"/>
                <w:szCs w:val="20"/>
              </w:rPr>
              <w:t>Note—Refer below to Diagram 1—Privacy.</w:t>
            </w:r>
          </w:p>
        </w:tc>
      </w:tr>
      <w:tr w:rsidR="00BE36FB" w:rsidRPr="009B7B35" w14:paraId="6D7042D7" w14:textId="77777777" w:rsidTr="001A7107">
        <w:trPr>
          <w:cantSplit/>
        </w:trPr>
        <w:tc>
          <w:tcPr>
            <w:tcW w:w="4678" w:type="dxa"/>
            <w:vMerge/>
          </w:tcPr>
          <w:p w14:paraId="18177E39" w14:textId="77777777" w:rsidR="00BE36FB" w:rsidRPr="009B7B35" w:rsidRDefault="00BE36FB" w:rsidP="001A7107">
            <w:pPr>
              <w:rPr>
                <w:rFonts w:cs="Arial"/>
                <w:sz w:val="20"/>
                <w:szCs w:val="20"/>
              </w:rPr>
            </w:pPr>
          </w:p>
        </w:tc>
        <w:tc>
          <w:tcPr>
            <w:tcW w:w="4678" w:type="dxa"/>
            <w:tcBorders>
              <w:top w:val="single" w:sz="4" w:space="0" w:color="7F7F7F" w:themeColor="text1" w:themeTint="80"/>
            </w:tcBorders>
          </w:tcPr>
          <w:p w14:paraId="58520215" w14:textId="77777777" w:rsidR="00BE36FB" w:rsidRPr="009B7B35" w:rsidRDefault="00BE36FB" w:rsidP="001A7107">
            <w:pPr>
              <w:pStyle w:val="Notes"/>
              <w:jc w:val="center"/>
              <w:rPr>
                <w:rFonts w:cs="Arial"/>
                <w:sz w:val="20"/>
                <w:szCs w:val="20"/>
              </w:rPr>
            </w:pPr>
            <w:r w:rsidRPr="009B7B35">
              <w:rPr>
                <w:rFonts w:cs="Arial"/>
                <w:noProof/>
                <w:sz w:val="20"/>
                <w:szCs w:val="20"/>
              </w:rPr>
              <w:drawing>
                <wp:inline distT="0" distB="0" distL="0" distR="0" wp14:anchorId="2D9D66A5" wp14:editId="0A779E90">
                  <wp:extent cx="2788464" cy="3112477"/>
                  <wp:effectExtent l="0" t="0" r="0" b="0"/>
                  <wp:docPr id="91" name="Picture 91"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0909 Privacy Sections (100)"/>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845" t="16667" r="61736" b="18762"/>
                          <a:stretch/>
                        </pic:blipFill>
                        <pic:spPr bwMode="auto">
                          <a:xfrm>
                            <a:off x="0" y="0"/>
                            <a:ext cx="2789300" cy="3113411"/>
                          </a:xfrm>
                          <a:prstGeom prst="rect">
                            <a:avLst/>
                          </a:prstGeom>
                          <a:noFill/>
                          <a:ln>
                            <a:noFill/>
                          </a:ln>
                          <a:extLst>
                            <a:ext uri="{53640926-AAD7-44D8-BBD7-CCE9431645EC}">
                              <a14:shadowObscured xmlns:a14="http://schemas.microsoft.com/office/drawing/2010/main"/>
                            </a:ext>
                          </a:extLst>
                        </pic:spPr>
                      </pic:pic>
                    </a:graphicData>
                  </a:graphic>
                </wp:inline>
              </w:drawing>
            </w:r>
          </w:p>
          <w:p w14:paraId="5D26D45E" w14:textId="77777777" w:rsidR="00BE36FB" w:rsidRPr="009B7B35" w:rsidRDefault="00BE36FB" w:rsidP="001A7107">
            <w:pPr>
              <w:pStyle w:val="Notes"/>
              <w:jc w:val="center"/>
              <w:rPr>
                <w:rFonts w:cs="Arial"/>
                <w:sz w:val="20"/>
                <w:szCs w:val="20"/>
              </w:rPr>
            </w:pPr>
            <w:r w:rsidRPr="009B7B35">
              <w:rPr>
                <w:rFonts w:cs="Arial"/>
                <w:noProof/>
                <w:sz w:val="20"/>
                <w:szCs w:val="20"/>
              </w:rPr>
              <w:drawing>
                <wp:inline distT="0" distB="0" distL="0" distR="0" wp14:anchorId="2A0AACE4" wp14:editId="7697719B">
                  <wp:extent cx="2760784" cy="1244056"/>
                  <wp:effectExtent l="0" t="0" r="1905" b="0"/>
                  <wp:docPr id="92" name="Picture 92"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0909 Privacy Sections (10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4841" t="27892" r="5426" b="33333"/>
                          <a:stretch/>
                        </pic:blipFill>
                        <pic:spPr bwMode="auto">
                          <a:xfrm>
                            <a:off x="0" y="0"/>
                            <a:ext cx="2764315" cy="1245647"/>
                          </a:xfrm>
                          <a:prstGeom prst="rect">
                            <a:avLst/>
                          </a:prstGeom>
                          <a:noFill/>
                          <a:ln>
                            <a:noFill/>
                          </a:ln>
                          <a:extLst>
                            <a:ext uri="{53640926-AAD7-44D8-BBD7-CCE9431645EC}">
                              <a14:shadowObscured xmlns:a14="http://schemas.microsoft.com/office/drawing/2010/main"/>
                            </a:ext>
                          </a:extLst>
                        </pic:spPr>
                      </pic:pic>
                    </a:graphicData>
                  </a:graphic>
                </wp:inline>
              </w:drawing>
            </w:r>
          </w:p>
          <w:p w14:paraId="35ADF3D7" w14:textId="77777777" w:rsidR="00BE36FB" w:rsidRPr="009B7B35" w:rsidRDefault="00BE36FB">
            <w:pPr>
              <w:pStyle w:val="Notes"/>
              <w:rPr>
                <w:rFonts w:cs="Arial"/>
                <w:sz w:val="20"/>
                <w:szCs w:val="20"/>
              </w:rPr>
            </w:pPr>
            <w:r w:rsidRPr="009B7B35">
              <w:rPr>
                <w:rFonts w:cs="Arial"/>
                <w:sz w:val="20"/>
                <w:szCs w:val="20"/>
              </w:rPr>
              <w:tab/>
              <w:t>Lattice</w:t>
            </w:r>
            <w:r w:rsidRPr="009B7B35">
              <w:rPr>
                <w:rFonts w:cs="Arial"/>
                <w:sz w:val="20"/>
                <w:szCs w:val="20"/>
              </w:rPr>
              <w:tab/>
              <w:t>Batterns</w:t>
            </w:r>
          </w:p>
        </w:tc>
      </w:tr>
    </w:tbl>
    <w:p w14:paraId="06C113BE" w14:textId="77777777" w:rsidR="00BE36FB" w:rsidRPr="009B7B35" w:rsidRDefault="00BE36FB" w:rsidP="00B5414A">
      <w:pPr>
        <w:pStyle w:val="Heading5"/>
        <w:numPr>
          <w:ilvl w:val="0"/>
          <w:numId w:val="0"/>
        </w:numPr>
        <w:rPr>
          <w:rFonts w:cs="Arial"/>
          <w:szCs w:val="20"/>
        </w:rPr>
      </w:pPr>
      <w:r w:rsidRPr="009B7B35">
        <w:rPr>
          <w:rFonts w:cs="Arial"/>
          <w:szCs w:val="20"/>
        </w:rPr>
        <w:t>Diagram 6.2.5.3.1—Parking design in centres</w:t>
      </w:r>
    </w:p>
    <w:p w14:paraId="381F0736" w14:textId="77777777"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2AEE2BCA" wp14:editId="0E12AE31">
            <wp:extent cx="5935377" cy="2605177"/>
            <wp:effectExtent l="0" t="0" r="8255" b="5080"/>
            <wp:docPr id="63" name="Picture 63" descr="130909 Car Parking (100)_EXAMP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30909 Car Parking (100)_EXAMPLE 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482" t="20384" r="6995" b="23518"/>
                    <a:stretch/>
                  </pic:blipFill>
                  <pic:spPr bwMode="auto">
                    <a:xfrm>
                      <a:off x="0" y="0"/>
                      <a:ext cx="5981919" cy="2625605"/>
                    </a:xfrm>
                    <a:prstGeom prst="rect">
                      <a:avLst/>
                    </a:prstGeom>
                    <a:noFill/>
                    <a:ln>
                      <a:noFill/>
                    </a:ln>
                    <a:extLst>
                      <a:ext uri="{53640926-AAD7-44D8-BBD7-CCE9431645EC}">
                        <a14:shadowObscured xmlns:a14="http://schemas.microsoft.com/office/drawing/2010/main"/>
                      </a:ext>
                    </a:extLst>
                  </pic:spPr>
                </pic:pic>
              </a:graphicData>
            </a:graphic>
          </wp:inline>
        </w:drawing>
      </w:r>
    </w:p>
    <w:p w14:paraId="19647C62" w14:textId="77777777" w:rsidR="00BE36FB" w:rsidRPr="009B7B35" w:rsidRDefault="00BE36FB" w:rsidP="001A7107">
      <w:pPr>
        <w:pStyle w:val="Notes"/>
        <w:rPr>
          <w:rFonts w:cs="Arial"/>
          <w:sz w:val="20"/>
          <w:szCs w:val="20"/>
        </w:rPr>
      </w:pPr>
      <w:r w:rsidRPr="009B7B35">
        <w:rPr>
          <w:rFonts w:cs="Arial"/>
          <w:sz w:val="20"/>
          <w:szCs w:val="20"/>
        </w:rPr>
        <w:t>Example 1—Correct parking treatment</w:t>
      </w:r>
    </w:p>
    <w:p w14:paraId="3F04864E" w14:textId="77777777"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7DB13E0D" wp14:editId="13A67807">
            <wp:extent cx="2412000" cy="2237152"/>
            <wp:effectExtent l="0" t="0" r="7620" b="0"/>
            <wp:docPr id="64" name="Picture 64" descr="130909 Car Parking (100)_EXAMP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30909 Car Parking (100)_EXAMPLE 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8588" t="13692" r="24088" b="24196"/>
                    <a:stretch/>
                  </pic:blipFill>
                  <pic:spPr bwMode="auto">
                    <a:xfrm>
                      <a:off x="0" y="0"/>
                      <a:ext cx="2412000" cy="2237152"/>
                    </a:xfrm>
                    <a:prstGeom prst="rect">
                      <a:avLst/>
                    </a:prstGeom>
                    <a:noFill/>
                    <a:ln>
                      <a:noFill/>
                    </a:ln>
                    <a:extLst>
                      <a:ext uri="{53640926-AAD7-44D8-BBD7-CCE9431645EC}">
                        <a14:shadowObscured xmlns:a14="http://schemas.microsoft.com/office/drawing/2010/main"/>
                      </a:ext>
                    </a:extLst>
                  </pic:spPr>
                </pic:pic>
              </a:graphicData>
            </a:graphic>
          </wp:inline>
        </w:drawing>
      </w:r>
      <w:r w:rsidRPr="009B7B35">
        <w:rPr>
          <w:rFonts w:ascii="Arial" w:hAnsi="Arial" w:cs="Arial"/>
          <w:sz w:val="20"/>
          <w:szCs w:val="20"/>
        </w:rPr>
        <w:tab/>
      </w:r>
      <w:r w:rsidRPr="009B7B35">
        <w:rPr>
          <w:rFonts w:ascii="Arial" w:hAnsi="Arial" w:cs="Arial"/>
          <w:sz w:val="20"/>
          <w:szCs w:val="20"/>
        </w:rPr>
        <w:tab/>
      </w:r>
      <w:r w:rsidRPr="009B7B35">
        <w:rPr>
          <w:rFonts w:ascii="Arial" w:hAnsi="Arial" w:cs="Arial"/>
          <w:noProof/>
          <w:sz w:val="20"/>
          <w:szCs w:val="20"/>
        </w:rPr>
        <w:drawing>
          <wp:inline distT="0" distB="0" distL="0" distR="0" wp14:anchorId="74576F65" wp14:editId="59596123">
            <wp:extent cx="2286000" cy="2253098"/>
            <wp:effectExtent l="0" t="0" r="0" b="0"/>
            <wp:docPr id="65" name="Picture 65" descr="130909 Car Parking (100)_EXAMPL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30909 Car Parking (100)_EXAMPLE 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4619" t="8923" r="27243" b="23889"/>
                    <a:stretch/>
                  </pic:blipFill>
                  <pic:spPr bwMode="auto">
                    <a:xfrm>
                      <a:off x="0" y="0"/>
                      <a:ext cx="2290968" cy="2257994"/>
                    </a:xfrm>
                    <a:prstGeom prst="rect">
                      <a:avLst/>
                    </a:prstGeom>
                    <a:noFill/>
                    <a:ln>
                      <a:noFill/>
                    </a:ln>
                    <a:extLst>
                      <a:ext uri="{53640926-AAD7-44D8-BBD7-CCE9431645EC}">
                        <a14:shadowObscured xmlns:a14="http://schemas.microsoft.com/office/drawing/2010/main"/>
                      </a:ext>
                    </a:extLst>
                  </pic:spPr>
                </pic:pic>
              </a:graphicData>
            </a:graphic>
          </wp:inline>
        </w:drawing>
      </w:r>
    </w:p>
    <w:p w14:paraId="2BA13BD9" w14:textId="77777777" w:rsidR="00BE36FB" w:rsidRPr="009B7B35" w:rsidRDefault="00BE36FB" w:rsidP="001A7107">
      <w:pPr>
        <w:pStyle w:val="Notes"/>
        <w:rPr>
          <w:rFonts w:cs="Arial"/>
          <w:sz w:val="20"/>
          <w:szCs w:val="20"/>
        </w:rPr>
      </w:pPr>
      <w:r w:rsidRPr="009B7B35">
        <w:rPr>
          <w:rFonts w:cs="Arial"/>
          <w:sz w:val="20"/>
          <w:szCs w:val="20"/>
        </w:rPr>
        <w:t>Example 2— Correct parking treatment</w:t>
      </w:r>
      <w:r w:rsidRPr="009B7B35">
        <w:rPr>
          <w:rFonts w:cs="Arial"/>
          <w:sz w:val="20"/>
          <w:szCs w:val="20"/>
        </w:rPr>
        <w:tab/>
      </w:r>
      <w:r w:rsidRPr="009B7B35">
        <w:rPr>
          <w:rFonts w:cs="Arial"/>
          <w:sz w:val="20"/>
          <w:szCs w:val="20"/>
        </w:rPr>
        <w:tab/>
      </w:r>
      <w:r w:rsidRPr="009B7B35">
        <w:rPr>
          <w:rFonts w:cs="Arial"/>
          <w:sz w:val="20"/>
          <w:szCs w:val="20"/>
        </w:rPr>
        <w:tab/>
      </w:r>
      <w:r w:rsidRPr="009B7B35">
        <w:rPr>
          <w:rFonts w:cs="Arial"/>
          <w:sz w:val="20"/>
          <w:szCs w:val="20"/>
        </w:rPr>
        <w:tab/>
        <w:t>Example 3—Correct parking treatment</w:t>
      </w:r>
    </w:p>
    <w:p w14:paraId="6381C1AE" w14:textId="77777777" w:rsidR="00BE36FB" w:rsidRPr="009B7B35" w:rsidRDefault="00BE36FB" w:rsidP="001A7107">
      <w:pPr>
        <w:pStyle w:val="NormalIndent"/>
        <w:rPr>
          <w:rFonts w:cs="Arial"/>
          <w:szCs w:val="20"/>
        </w:rPr>
      </w:pPr>
    </w:p>
    <w:p w14:paraId="03F025DA"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2EE8D66A" w14:textId="77777777" w:rsidR="00BE36FB" w:rsidRPr="009B7B35" w:rsidRDefault="00BE36FB" w:rsidP="006776DA">
      <w:pPr>
        <w:pStyle w:val="Heading3"/>
        <w:keepLines/>
        <w:numPr>
          <w:ilvl w:val="2"/>
          <w:numId w:val="883"/>
        </w:numPr>
        <w:spacing w:before="240"/>
        <w:rPr>
          <w:rFonts w:ascii="Arial" w:hAnsi="Arial"/>
          <w:sz w:val="20"/>
          <w:szCs w:val="20"/>
        </w:rPr>
      </w:pPr>
      <w:bookmarkStart w:id="188" w:name="_Toc205367351"/>
      <w:r w:rsidRPr="009B7B35">
        <w:rPr>
          <w:rFonts w:ascii="Arial" w:hAnsi="Arial"/>
          <w:sz w:val="20"/>
          <w:szCs w:val="20"/>
        </w:rPr>
        <w:t>Principal centre</w:t>
      </w:r>
      <w:bookmarkEnd w:id="188"/>
    </w:p>
    <w:p w14:paraId="35767F85" w14:textId="77777777" w:rsidR="00BE36FB" w:rsidRPr="009B7B35" w:rsidRDefault="00BE36FB" w:rsidP="001A7107">
      <w:pPr>
        <w:pStyle w:val="TableText"/>
        <w:rPr>
          <w:rFonts w:cs="Arial"/>
        </w:rPr>
      </w:pPr>
      <w:r w:rsidRPr="009B7B35">
        <w:rPr>
          <w:rFonts w:cs="Arial"/>
        </w:rPr>
        <w:t>This code applies to development where the code is identified as applicable in a table of assessment. When using this code, reference should be made to section 5.3.2 and where applicable, section 5.3.3 located in Part 5.</w:t>
      </w:r>
    </w:p>
    <w:p w14:paraId="1E06D115"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068FDC36" w14:textId="77777777" w:rsidR="00BE36FB" w:rsidRPr="009B7B35" w:rsidRDefault="00BE36FB" w:rsidP="00BE36FB">
      <w:pPr>
        <w:numPr>
          <w:ilvl w:val="0"/>
          <w:numId w:val="582"/>
        </w:numPr>
        <w:rPr>
          <w:rFonts w:ascii="Arial" w:hAnsi="Arial" w:cs="Arial"/>
          <w:sz w:val="20"/>
          <w:szCs w:val="20"/>
        </w:rPr>
      </w:pPr>
      <w:r w:rsidRPr="009B7B35">
        <w:rPr>
          <w:rFonts w:ascii="Arial" w:hAnsi="Arial" w:cs="Arial"/>
          <w:sz w:val="20"/>
          <w:szCs w:val="20"/>
        </w:rPr>
        <w:t xml:space="preserve">The purpose of the Principal Centre zone code is to provide for: </w:t>
      </w:r>
    </w:p>
    <w:p w14:paraId="57FFC554" w14:textId="77777777" w:rsidR="00BE36FB" w:rsidRPr="009B7B35" w:rsidRDefault="00BE36FB" w:rsidP="00BE36FB">
      <w:pPr>
        <w:numPr>
          <w:ilvl w:val="1"/>
          <w:numId w:val="583"/>
        </w:numPr>
        <w:rPr>
          <w:rFonts w:ascii="Arial" w:hAnsi="Arial" w:cs="Arial"/>
          <w:sz w:val="20"/>
          <w:szCs w:val="20"/>
        </w:rPr>
      </w:pPr>
      <w:r w:rsidRPr="009B7B35">
        <w:rPr>
          <w:rFonts w:ascii="Arial" w:hAnsi="Arial" w:cs="Arial"/>
          <w:sz w:val="20"/>
          <w:szCs w:val="20"/>
        </w:rPr>
        <w:t>A diverse and vibrant Gladstone CBD area centred on Goondoon Street.</w:t>
      </w:r>
    </w:p>
    <w:p w14:paraId="0A420CD3" w14:textId="77777777" w:rsidR="00BE36FB" w:rsidRPr="009B7B35" w:rsidRDefault="00BE36FB" w:rsidP="00BE36FB">
      <w:pPr>
        <w:numPr>
          <w:ilvl w:val="1"/>
          <w:numId w:val="583"/>
        </w:numPr>
        <w:rPr>
          <w:rFonts w:ascii="Arial" w:hAnsi="Arial" w:cs="Arial"/>
          <w:sz w:val="20"/>
          <w:szCs w:val="20"/>
        </w:rPr>
      </w:pPr>
      <w:r w:rsidRPr="009B7B35">
        <w:rPr>
          <w:rFonts w:ascii="Arial" w:hAnsi="Arial" w:cs="Arial"/>
          <w:sz w:val="20"/>
          <w:szCs w:val="20"/>
        </w:rPr>
        <w:t>A highly concentrated mix of uses including higher–order retail, commercial, employment, residential, health services, administrative, community cultural, recreational and entertainment activities and other uses.</w:t>
      </w:r>
    </w:p>
    <w:p w14:paraId="22F29DF2" w14:textId="77777777" w:rsidR="00BE36FB" w:rsidRPr="009B7B35" w:rsidRDefault="00BE36FB" w:rsidP="00BE36FB">
      <w:pPr>
        <w:numPr>
          <w:ilvl w:val="1"/>
          <w:numId w:val="583"/>
        </w:numPr>
        <w:rPr>
          <w:rFonts w:ascii="Arial" w:hAnsi="Arial" w:cs="Arial"/>
          <w:sz w:val="20"/>
          <w:szCs w:val="20"/>
        </w:rPr>
      </w:pPr>
      <w:r w:rsidRPr="009B7B35">
        <w:rPr>
          <w:rFonts w:ascii="Arial" w:hAnsi="Arial" w:cs="Arial"/>
          <w:sz w:val="20"/>
          <w:szCs w:val="20"/>
        </w:rPr>
        <w:t>An urban form characterised by tall buildings and high quality urban design and streetscape outcomes.</w:t>
      </w:r>
    </w:p>
    <w:p w14:paraId="50A21598" w14:textId="77777777" w:rsidR="00BE36FB" w:rsidRPr="009B7B35" w:rsidRDefault="00BE36FB" w:rsidP="00BE36FB">
      <w:pPr>
        <w:numPr>
          <w:ilvl w:val="1"/>
          <w:numId w:val="583"/>
        </w:numPr>
        <w:rPr>
          <w:rFonts w:ascii="Arial" w:hAnsi="Arial" w:cs="Arial"/>
          <w:sz w:val="20"/>
          <w:szCs w:val="20"/>
        </w:rPr>
      </w:pPr>
      <w:r w:rsidRPr="009B7B35">
        <w:rPr>
          <w:rFonts w:ascii="Arial" w:hAnsi="Arial" w:cs="Arial"/>
          <w:sz w:val="20"/>
          <w:szCs w:val="20"/>
        </w:rPr>
        <w:t>The region’s major commercial office centre for major business and resource sector activities.</w:t>
      </w:r>
    </w:p>
    <w:p w14:paraId="75234966" w14:textId="77777777" w:rsidR="00BE36FB" w:rsidRPr="009B7B35" w:rsidRDefault="00BE36FB" w:rsidP="00BE36FB">
      <w:pPr>
        <w:numPr>
          <w:ilvl w:val="1"/>
          <w:numId w:val="583"/>
        </w:numPr>
        <w:rPr>
          <w:rFonts w:ascii="Arial" w:hAnsi="Arial" w:cs="Arial"/>
          <w:sz w:val="20"/>
          <w:szCs w:val="20"/>
        </w:rPr>
      </w:pPr>
      <w:r w:rsidRPr="009B7B35">
        <w:rPr>
          <w:rFonts w:ascii="Arial" w:hAnsi="Arial" w:cs="Arial"/>
          <w:sz w:val="20"/>
          <w:szCs w:val="20"/>
        </w:rPr>
        <w:t>Short term accommodation opportunities to meet the needs of the resources and tourism sectors.</w:t>
      </w:r>
    </w:p>
    <w:p w14:paraId="65C3BE72" w14:textId="77777777" w:rsidR="00BE36FB" w:rsidRPr="009B7B35" w:rsidRDefault="00BE36FB" w:rsidP="00BE36FB">
      <w:pPr>
        <w:numPr>
          <w:ilvl w:val="1"/>
          <w:numId w:val="583"/>
        </w:numPr>
        <w:rPr>
          <w:rFonts w:ascii="Arial" w:hAnsi="Arial" w:cs="Arial"/>
          <w:sz w:val="20"/>
          <w:szCs w:val="20"/>
        </w:rPr>
      </w:pPr>
      <w:r w:rsidRPr="009B7B35">
        <w:rPr>
          <w:rFonts w:ascii="Arial" w:hAnsi="Arial" w:cs="Arial"/>
          <w:sz w:val="20"/>
          <w:szCs w:val="20"/>
        </w:rPr>
        <w:t>A level of amenity commensurate with a highly urbanised city centre.</w:t>
      </w:r>
    </w:p>
    <w:p w14:paraId="216E06F0" w14:textId="77777777" w:rsidR="00BE36FB" w:rsidRPr="009B7B35" w:rsidRDefault="00BE36FB" w:rsidP="00BE36FB">
      <w:pPr>
        <w:numPr>
          <w:ilvl w:val="0"/>
          <w:numId w:val="584"/>
        </w:numPr>
        <w:ind w:left="567" w:hanging="567"/>
        <w:rPr>
          <w:rFonts w:ascii="Arial" w:hAnsi="Arial" w:cs="Arial"/>
          <w:sz w:val="20"/>
          <w:szCs w:val="20"/>
        </w:rPr>
      </w:pPr>
      <w:r w:rsidRPr="009B7B35">
        <w:rPr>
          <w:rFonts w:ascii="Arial" w:hAnsi="Arial" w:cs="Arial"/>
          <w:sz w:val="20"/>
          <w:szCs w:val="20"/>
        </w:rPr>
        <w:t>The purpose of the zone will be achieved through the following overall outcomes:</w:t>
      </w:r>
    </w:p>
    <w:p w14:paraId="150CF1C4" w14:textId="77777777"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High level retail, commercial, administrative, community, cultural and entertainment activities are provided.</w:t>
      </w:r>
    </w:p>
    <w:p w14:paraId="2CA3B81B" w14:textId="77777777"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A range of afterhours activities support activation of the CBD.</w:t>
      </w:r>
    </w:p>
    <w:p w14:paraId="1FDABDBA" w14:textId="77777777"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Service industries integrate with other uses where they do not create an impact on surrounding land uses.</w:t>
      </w:r>
    </w:p>
    <w:p w14:paraId="25AD3AD9" w14:textId="77777777"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is safe, accessible and well–designed and incorporates public open spaces and urban pedestrian environments.</w:t>
      </w:r>
    </w:p>
    <w:p w14:paraId="01B76C1B" w14:textId="77777777"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design reinforces Goondoon Street as the ‘main street’ through appropriate building setbacks and streetscape treatments.</w:t>
      </w:r>
    </w:p>
    <w:p w14:paraId="74BAF00B" w14:textId="77777777" w:rsidR="00BE36FB" w:rsidRPr="009B7B35" w:rsidRDefault="00BE36FB" w:rsidP="001A7107">
      <w:pPr>
        <w:spacing w:before="120" w:after="120"/>
        <w:rPr>
          <w:rFonts w:ascii="Arial" w:hAnsi="Arial" w:cs="Arial"/>
          <w:sz w:val="20"/>
          <w:szCs w:val="20"/>
        </w:rPr>
      </w:pPr>
      <w:r w:rsidRPr="009B7B35">
        <w:rPr>
          <w:rFonts w:ascii="Arial" w:hAnsi="Arial" w:cs="Arial"/>
          <w:sz w:val="20"/>
          <w:szCs w:val="20"/>
        </w:rPr>
        <w:t xml:space="preserve">Note—Streetscape treatments are undertaken in accordance with the </w:t>
      </w:r>
      <w:r w:rsidRPr="009B7B35">
        <w:rPr>
          <w:rFonts w:ascii="Arial" w:hAnsi="Arial" w:cs="Arial"/>
          <w:i/>
          <w:sz w:val="20"/>
          <w:szCs w:val="20"/>
        </w:rPr>
        <w:t>CBD redevelopment planning scheme policy</w:t>
      </w:r>
      <w:r w:rsidRPr="009B7B35">
        <w:rPr>
          <w:rFonts w:ascii="Arial" w:hAnsi="Arial" w:cs="Arial"/>
          <w:sz w:val="20"/>
          <w:szCs w:val="20"/>
        </w:rPr>
        <w:t>.</w:t>
      </w:r>
    </w:p>
    <w:p w14:paraId="4297C498" w14:textId="77777777"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activates street frontages or identified primary frontages to promote a mix of employment opportunities, social contact and enhanced walking, cycling and public transport use.</w:t>
      </w:r>
    </w:p>
    <w:p w14:paraId="535DC9AB" w14:textId="77777777" w:rsidR="00BE36FB" w:rsidRPr="009B7B35" w:rsidRDefault="00BE36FB">
      <w:pPr>
        <w:pStyle w:val="Notes"/>
        <w:rPr>
          <w:rFonts w:cs="Arial"/>
          <w:sz w:val="20"/>
          <w:szCs w:val="20"/>
        </w:rPr>
      </w:pPr>
      <w:r w:rsidRPr="009B7B35">
        <w:rPr>
          <w:rFonts w:cs="Arial"/>
          <w:sz w:val="20"/>
          <w:szCs w:val="20"/>
        </w:rPr>
        <w:t>Note—Primary frontages are identified on the Building height and frontages overlay map.</w:t>
      </w:r>
    </w:p>
    <w:p w14:paraId="500E85C7" w14:textId="77777777"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Residential development, short–term accommodation and tourist accommodation is provided at an appropriate scale and integrates with and enhances the fabric of the city centre.</w:t>
      </w:r>
    </w:p>
    <w:p w14:paraId="582F0945" w14:textId="77777777"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 xml:space="preserve">Buildings are of a scale, height and size that complement the city centre character for the area through design elements that reduce building bulk and create an attractive streetscape. </w:t>
      </w:r>
    </w:p>
    <w:p w14:paraId="1F837E13" w14:textId="77777777"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water conservation and public/active transport use.</w:t>
      </w:r>
    </w:p>
    <w:p w14:paraId="128868DC" w14:textId="77777777"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provides a high level of amenity for a highly urbanised centre and is reflective of the surrounding character of the area.</w:t>
      </w:r>
    </w:p>
    <w:p w14:paraId="162B7E1E" w14:textId="77777777"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Public open space including malls, plazas, parks and gardens are provided where it enhances existing open space areas.</w:t>
      </w:r>
    </w:p>
    <w:p w14:paraId="1D91EF3C" w14:textId="77777777"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has access to infrastructure, compatible employment areas, nodes and essential services.</w:t>
      </w:r>
    </w:p>
    <w:p w14:paraId="02939C54" w14:textId="77777777"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responds to land constraints, including but not limited to topography.</w:t>
      </w:r>
    </w:p>
    <w:p w14:paraId="73E0F996" w14:textId="77777777" w:rsidR="00BE36FB" w:rsidRPr="009B7B35" w:rsidRDefault="00BE36FB" w:rsidP="00BE36FB">
      <w:pPr>
        <w:numPr>
          <w:ilvl w:val="1"/>
          <w:numId w:val="585"/>
        </w:numPr>
        <w:rPr>
          <w:rFonts w:ascii="Arial" w:hAnsi="Arial" w:cs="Arial"/>
          <w:sz w:val="20"/>
          <w:szCs w:val="20"/>
        </w:rPr>
      </w:pPr>
      <w:r w:rsidRPr="009B7B35">
        <w:rPr>
          <w:rFonts w:ascii="Arial" w:hAnsi="Arial" w:cs="Arial"/>
          <w:sz w:val="20"/>
          <w:szCs w:val="20"/>
        </w:rPr>
        <w:t>Development responds to heritage and character values through site design and adaptable reuse of heritage buildings.</w:t>
      </w:r>
    </w:p>
    <w:p w14:paraId="18D3DCBE"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12C82923" w14:textId="77777777" w:rsidR="00BE36FB" w:rsidRPr="009B7B35" w:rsidRDefault="00BE36FB" w:rsidP="00B2383D">
      <w:pPr>
        <w:pStyle w:val="Heading5"/>
        <w:numPr>
          <w:ilvl w:val="0"/>
          <w:numId w:val="0"/>
        </w:numPr>
        <w:rPr>
          <w:rFonts w:cs="Arial"/>
          <w:szCs w:val="20"/>
        </w:rPr>
      </w:pPr>
      <w:r w:rsidRPr="009B7B35">
        <w:rPr>
          <w:rFonts w:cs="Arial"/>
          <w:szCs w:val="20"/>
        </w:rPr>
        <w:t>Table 6.2.6.2.1—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14:paraId="14E7431E"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23DEDB77"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37961D1A"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2246A8BD" w14:textId="77777777" w:rsidTr="001A7107">
        <w:trPr>
          <w:cantSplit/>
        </w:trPr>
        <w:tc>
          <w:tcPr>
            <w:tcW w:w="9356" w:type="dxa"/>
            <w:gridSpan w:val="2"/>
            <w:shd w:val="clear" w:color="auto" w:fill="BFBFBF" w:themeFill="background1" w:themeFillShade="BF"/>
          </w:tcPr>
          <w:p w14:paraId="0706931E"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093F15BA" w14:textId="77777777" w:rsidTr="001A7107">
        <w:tc>
          <w:tcPr>
            <w:tcW w:w="4678" w:type="dxa"/>
            <w:vMerge w:val="restart"/>
          </w:tcPr>
          <w:p w14:paraId="0BC40F0A" w14:textId="77777777" w:rsidR="00BE36FB" w:rsidRPr="009B7B35" w:rsidRDefault="00BE36FB" w:rsidP="001A7107">
            <w:pPr>
              <w:pStyle w:val="TableText"/>
              <w:rPr>
                <w:rFonts w:cs="Arial"/>
                <w:b/>
                <w:bCs/>
              </w:rPr>
            </w:pPr>
            <w:r w:rsidRPr="009B7B35">
              <w:rPr>
                <w:rFonts w:cs="Arial"/>
                <w:b/>
                <w:bCs/>
              </w:rPr>
              <w:t>PO1</w:t>
            </w:r>
          </w:p>
          <w:p w14:paraId="7B81A4D5" w14:textId="77777777" w:rsidR="00BE36FB" w:rsidRPr="009B7B35" w:rsidRDefault="00BE36FB" w:rsidP="001A7107">
            <w:pPr>
              <w:pStyle w:val="TableText"/>
              <w:rPr>
                <w:rFonts w:cs="Arial"/>
              </w:rPr>
            </w:pPr>
            <w:r w:rsidRPr="009B7B35">
              <w:rPr>
                <w:rFonts w:cs="Arial"/>
              </w:rPr>
              <w:t>Development for caretaker’s accommodation:</w:t>
            </w:r>
          </w:p>
          <w:p w14:paraId="379D740B" w14:textId="77777777" w:rsidR="00BE36FB" w:rsidRPr="009B7B35" w:rsidRDefault="00BE36FB" w:rsidP="00BE36FB">
            <w:pPr>
              <w:numPr>
                <w:ilvl w:val="0"/>
                <w:numId w:val="244"/>
              </w:numPr>
              <w:rPr>
                <w:rFonts w:cs="Arial"/>
                <w:sz w:val="20"/>
                <w:szCs w:val="20"/>
              </w:rPr>
            </w:pPr>
            <w:r w:rsidRPr="009B7B35">
              <w:rPr>
                <w:rFonts w:cs="Arial"/>
                <w:sz w:val="20"/>
                <w:szCs w:val="20"/>
              </w:rPr>
              <w:t>is subordinate to non–residential uses on the same site</w:t>
            </w:r>
          </w:p>
          <w:p w14:paraId="2E799CCB" w14:textId="77777777" w:rsidR="00BE36FB" w:rsidRPr="009B7B35" w:rsidRDefault="00BE36FB" w:rsidP="00BE36FB">
            <w:pPr>
              <w:numPr>
                <w:ilvl w:val="0"/>
                <w:numId w:val="244"/>
              </w:numPr>
              <w:rPr>
                <w:rFonts w:cs="Arial"/>
                <w:sz w:val="20"/>
                <w:szCs w:val="20"/>
              </w:rPr>
            </w:pPr>
            <w:r w:rsidRPr="009B7B35">
              <w:rPr>
                <w:rFonts w:cs="Arial"/>
                <w:sz w:val="20"/>
                <w:szCs w:val="20"/>
              </w:rPr>
              <w:t>provides adequate private open space for residents</w:t>
            </w:r>
          </w:p>
          <w:p w14:paraId="0A80E693" w14:textId="77777777" w:rsidR="00BE36FB" w:rsidRPr="009B7B35" w:rsidRDefault="00BE36FB" w:rsidP="00BE36FB">
            <w:pPr>
              <w:numPr>
                <w:ilvl w:val="0"/>
                <w:numId w:val="244"/>
              </w:numPr>
              <w:rPr>
                <w:rFonts w:cs="Arial"/>
                <w:sz w:val="20"/>
                <w:szCs w:val="20"/>
              </w:rPr>
            </w:pPr>
            <w:r w:rsidRPr="009B7B35">
              <w:rPr>
                <w:rFonts w:cs="Arial"/>
                <w:sz w:val="20"/>
                <w:szCs w:val="20"/>
              </w:rPr>
              <w:t>does not compromise ground level business activities being established.</w:t>
            </w:r>
          </w:p>
        </w:tc>
        <w:tc>
          <w:tcPr>
            <w:tcW w:w="4678" w:type="dxa"/>
          </w:tcPr>
          <w:p w14:paraId="0E1A4C2E" w14:textId="77777777" w:rsidR="00BE36FB" w:rsidRPr="009B7B35" w:rsidRDefault="00BE36FB" w:rsidP="001A7107">
            <w:pPr>
              <w:pStyle w:val="TableText"/>
              <w:rPr>
                <w:rFonts w:cs="Arial"/>
                <w:b/>
                <w:bCs/>
              </w:rPr>
            </w:pPr>
            <w:r w:rsidRPr="009B7B35">
              <w:rPr>
                <w:rFonts w:cs="Arial"/>
                <w:b/>
                <w:bCs/>
              </w:rPr>
              <w:t>AO1.1</w:t>
            </w:r>
          </w:p>
          <w:p w14:paraId="21E92BB9" w14:textId="77777777"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14:paraId="3810FD2A" w14:textId="77777777" w:rsidTr="001A7107">
        <w:tc>
          <w:tcPr>
            <w:tcW w:w="4678" w:type="dxa"/>
            <w:vMerge/>
          </w:tcPr>
          <w:p w14:paraId="543138EA" w14:textId="77777777" w:rsidR="00BE36FB" w:rsidRPr="009B7B35" w:rsidRDefault="00BE36FB" w:rsidP="001A7107">
            <w:pPr>
              <w:rPr>
                <w:rFonts w:cs="Arial"/>
                <w:sz w:val="20"/>
                <w:szCs w:val="20"/>
              </w:rPr>
            </w:pPr>
          </w:p>
        </w:tc>
        <w:tc>
          <w:tcPr>
            <w:tcW w:w="4678" w:type="dxa"/>
          </w:tcPr>
          <w:p w14:paraId="7F61599F" w14:textId="77777777" w:rsidR="00BE36FB" w:rsidRPr="009B7B35" w:rsidRDefault="00BE36FB" w:rsidP="001A7107">
            <w:pPr>
              <w:pStyle w:val="TableText"/>
              <w:rPr>
                <w:rFonts w:cs="Arial"/>
                <w:b/>
                <w:bCs/>
              </w:rPr>
            </w:pPr>
            <w:r w:rsidRPr="009B7B35">
              <w:rPr>
                <w:rFonts w:cs="Arial"/>
                <w:b/>
                <w:bCs/>
              </w:rPr>
              <w:t>AO1.2</w:t>
            </w:r>
          </w:p>
          <w:p w14:paraId="54B82930" w14:textId="77777777"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GFA.</w:t>
            </w:r>
          </w:p>
        </w:tc>
      </w:tr>
      <w:tr w:rsidR="00BE36FB" w:rsidRPr="009B7B35" w14:paraId="7F489CFF" w14:textId="77777777" w:rsidTr="001A7107">
        <w:tc>
          <w:tcPr>
            <w:tcW w:w="4678" w:type="dxa"/>
            <w:vMerge/>
          </w:tcPr>
          <w:p w14:paraId="7ECD0F38" w14:textId="77777777" w:rsidR="00BE36FB" w:rsidRPr="009B7B35" w:rsidRDefault="00BE36FB" w:rsidP="001A7107">
            <w:pPr>
              <w:rPr>
                <w:rFonts w:cs="Arial"/>
                <w:sz w:val="20"/>
                <w:szCs w:val="20"/>
              </w:rPr>
            </w:pPr>
          </w:p>
        </w:tc>
        <w:tc>
          <w:tcPr>
            <w:tcW w:w="4678" w:type="dxa"/>
          </w:tcPr>
          <w:p w14:paraId="1BCDC4D1" w14:textId="77777777" w:rsidR="00BE36FB" w:rsidRPr="009B7B35" w:rsidRDefault="00BE36FB" w:rsidP="001A7107">
            <w:pPr>
              <w:pStyle w:val="TableText"/>
              <w:rPr>
                <w:rFonts w:cs="Arial"/>
                <w:b/>
                <w:bCs/>
              </w:rPr>
            </w:pPr>
            <w:r w:rsidRPr="009B7B35">
              <w:rPr>
                <w:rFonts w:cs="Arial"/>
                <w:b/>
                <w:bCs/>
              </w:rPr>
              <w:t>AO1.3</w:t>
            </w:r>
          </w:p>
          <w:p w14:paraId="400447F0" w14:textId="77777777" w:rsidR="00BE36FB" w:rsidRPr="009B7B35" w:rsidRDefault="00BE36FB" w:rsidP="001A7107">
            <w:pPr>
              <w:pStyle w:val="TableText"/>
              <w:rPr>
                <w:rFonts w:cs="Arial"/>
              </w:rPr>
            </w:pPr>
            <w:r w:rsidRPr="009B7B35">
              <w:rPr>
                <w:rFonts w:cs="Arial"/>
              </w:rPr>
              <w:t>Caretaker’s accommodation is located above the ground floor level or to the rear of ground level business activities</w:t>
            </w:r>
          </w:p>
        </w:tc>
      </w:tr>
      <w:tr w:rsidR="00BE36FB" w:rsidRPr="009B7B35" w14:paraId="03018E4F" w14:textId="77777777" w:rsidTr="001A7107">
        <w:tc>
          <w:tcPr>
            <w:tcW w:w="4678" w:type="dxa"/>
            <w:vMerge/>
          </w:tcPr>
          <w:p w14:paraId="1FBBE889" w14:textId="77777777" w:rsidR="00BE36FB" w:rsidRPr="009B7B35" w:rsidRDefault="00BE36FB" w:rsidP="001A7107">
            <w:pPr>
              <w:rPr>
                <w:rFonts w:cs="Arial"/>
                <w:sz w:val="20"/>
                <w:szCs w:val="20"/>
              </w:rPr>
            </w:pPr>
          </w:p>
        </w:tc>
        <w:tc>
          <w:tcPr>
            <w:tcW w:w="4678" w:type="dxa"/>
          </w:tcPr>
          <w:p w14:paraId="06D49A07" w14:textId="77777777" w:rsidR="00BE36FB" w:rsidRPr="009B7B35" w:rsidRDefault="00BE36FB" w:rsidP="001A7107">
            <w:pPr>
              <w:pStyle w:val="TableText"/>
              <w:rPr>
                <w:rFonts w:cs="Arial"/>
                <w:b/>
                <w:bCs/>
              </w:rPr>
            </w:pPr>
            <w:r w:rsidRPr="009B7B35">
              <w:rPr>
                <w:rFonts w:cs="Arial"/>
                <w:b/>
                <w:bCs/>
              </w:rPr>
              <w:t>AO1.4</w:t>
            </w:r>
          </w:p>
          <w:p w14:paraId="2525B23F" w14:textId="77777777" w:rsidR="00BE36FB" w:rsidRPr="009B7B35" w:rsidRDefault="00BE36FB" w:rsidP="001A7107">
            <w:pPr>
              <w:pStyle w:val="TableText"/>
              <w:rPr>
                <w:rFonts w:cs="Arial"/>
              </w:rPr>
            </w:pPr>
            <w:r w:rsidRPr="009B7B35">
              <w:rPr>
                <w:rFonts w:cs="Arial"/>
              </w:rPr>
              <w:t>Caretaker’s accommodation is provided with a private open space area which:</w:t>
            </w:r>
          </w:p>
          <w:p w14:paraId="3233DB1A" w14:textId="77777777" w:rsidR="00BE36FB" w:rsidRPr="009B7B35" w:rsidRDefault="00BE36FB" w:rsidP="00BE36FB">
            <w:pPr>
              <w:pStyle w:val="TableText"/>
              <w:numPr>
                <w:ilvl w:val="0"/>
                <w:numId w:val="470"/>
              </w:numPr>
              <w:rPr>
                <w:rFonts w:cs="Arial"/>
              </w:rPr>
            </w:pPr>
            <w:r w:rsidRPr="009B7B35">
              <w:rPr>
                <w:rFonts w:cs="Arial"/>
              </w:rPr>
              <w:t>is directly accessible from a habitable room, and</w:t>
            </w:r>
          </w:p>
          <w:p w14:paraId="0A69417A" w14:textId="77777777" w:rsidR="00BE36FB" w:rsidRPr="009B7B35" w:rsidRDefault="00BE36FB" w:rsidP="00BE36FB">
            <w:pPr>
              <w:pStyle w:val="TableText"/>
              <w:numPr>
                <w:ilvl w:val="0"/>
                <w:numId w:val="470"/>
              </w:numPr>
              <w:rPr>
                <w:rFonts w:cs="Arial"/>
              </w:rPr>
            </w:pPr>
            <w:r w:rsidRPr="009B7B35">
              <w:rPr>
                <w:rFonts w:cs="Arial"/>
              </w:rPr>
              <w:t>where a balcony, a verandah or a deck, has a minimum area of 15m</w:t>
            </w:r>
            <w:r w:rsidRPr="009B7B35">
              <w:rPr>
                <w:rFonts w:cs="Arial"/>
                <w:vertAlign w:val="superscript"/>
              </w:rPr>
              <w:t>2</w:t>
            </w:r>
            <w:r w:rsidRPr="009B7B35">
              <w:rPr>
                <w:rFonts w:cs="Arial"/>
              </w:rPr>
              <w:t xml:space="preserve"> with a minimum horizontal dimension of 1.25m. </w:t>
            </w:r>
          </w:p>
        </w:tc>
      </w:tr>
      <w:tr w:rsidR="00BE36FB" w:rsidRPr="009B7B35" w14:paraId="0D96385C" w14:textId="77777777" w:rsidTr="001A7107">
        <w:tc>
          <w:tcPr>
            <w:tcW w:w="9356" w:type="dxa"/>
            <w:gridSpan w:val="2"/>
            <w:shd w:val="clear" w:color="auto" w:fill="BFBFBF" w:themeFill="background1" w:themeFillShade="BF"/>
          </w:tcPr>
          <w:p w14:paraId="6DBD2DE2" w14:textId="77777777" w:rsidR="00BE36FB" w:rsidRPr="009B7B35" w:rsidRDefault="00BE36FB" w:rsidP="001A7107">
            <w:pPr>
              <w:pStyle w:val="Tableheading"/>
              <w:rPr>
                <w:rFonts w:ascii="Arial" w:hAnsi="Arial" w:cs="Arial"/>
                <w:szCs w:val="20"/>
              </w:rPr>
            </w:pPr>
            <w:r w:rsidRPr="009B7B35">
              <w:rPr>
                <w:rFonts w:ascii="Arial" w:hAnsi="Arial" w:cs="Arial"/>
                <w:szCs w:val="20"/>
              </w:rPr>
              <w:t>Use – Dwelling unit</w:t>
            </w:r>
          </w:p>
        </w:tc>
      </w:tr>
      <w:tr w:rsidR="00BE36FB" w:rsidRPr="009B7B35" w14:paraId="0F885F31" w14:textId="77777777" w:rsidTr="001A7107">
        <w:tc>
          <w:tcPr>
            <w:tcW w:w="4678" w:type="dxa"/>
          </w:tcPr>
          <w:p w14:paraId="56FCD233" w14:textId="77777777" w:rsidR="00BE36FB" w:rsidRPr="009B7B35" w:rsidRDefault="00BE36FB" w:rsidP="001A7107">
            <w:pPr>
              <w:pStyle w:val="TableText"/>
              <w:rPr>
                <w:rFonts w:cs="Arial"/>
                <w:b/>
                <w:bCs/>
              </w:rPr>
            </w:pPr>
            <w:r w:rsidRPr="009B7B35">
              <w:rPr>
                <w:rFonts w:cs="Arial"/>
                <w:b/>
                <w:bCs/>
              </w:rPr>
              <w:t>PO2</w:t>
            </w:r>
          </w:p>
          <w:p w14:paraId="3C18D1E2" w14:textId="77777777" w:rsidR="00BE36FB" w:rsidRPr="009B7B35" w:rsidRDefault="00BE36FB" w:rsidP="001A7107">
            <w:pPr>
              <w:rPr>
                <w:rFonts w:cs="Arial"/>
                <w:sz w:val="20"/>
                <w:szCs w:val="20"/>
              </w:rPr>
            </w:pPr>
            <w:r w:rsidRPr="009B7B35">
              <w:rPr>
                <w:rFonts w:cs="Arial"/>
                <w:sz w:val="20"/>
                <w:szCs w:val="20"/>
              </w:rPr>
              <w:t>Development does not compromise ground level business activities being established.</w:t>
            </w:r>
          </w:p>
        </w:tc>
        <w:tc>
          <w:tcPr>
            <w:tcW w:w="4678" w:type="dxa"/>
          </w:tcPr>
          <w:p w14:paraId="1F389F66" w14:textId="77777777" w:rsidR="00BE36FB" w:rsidRPr="009B7B35" w:rsidRDefault="00BE36FB" w:rsidP="001A7107">
            <w:pPr>
              <w:pStyle w:val="TableText"/>
              <w:rPr>
                <w:rFonts w:cs="Arial"/>
                <w:b/>
                <w:bCs/>
              </w:rPr>
            </w:pPr>
            <w:r w:rsidRPr="009B7B35">
              <w:rPr>
                <w:rFonts w:cs="Arial"/>
                <w:b/>
                <w:bCs/>
              </w:rPr>
              <w:t>AO2</w:t>
            </w:r>
          </w:p>
          <w:p w14:paraId="5A47CCCB" w14:textId="77777777" w:rsidR="00BE36FB" w:rsidRPr="009B7B35" w:rsidRDefault="00BE36FB" w:rsidP="001A7107">
            <w:pPr>
              <w:pStyle w:val="TableText"/>
              <w:rPr>
                <w:rFonts w:cs="Arial"/>
              </w:rPr>
            </w:pPr>
            <w:r w:rsidRPr="009B7B35">
              <w:rPr>
                <w:rFonts w:cs="Arial"/>
              </w:rPr>
              <w:t>Dwelling units are located either above the ground floor level, or to the rear of ground level business activities.</w:t>
            </w:r>
          </w:p>
        </w:tc>
      </w:tr>
      <w:tr w:rsidR="00BE36FB" w:rsidRPr="009B7B35" w14:paraId="31BA81C2" w14:textId="77777777" w:rsidTr="001A7107">
        <w:trPr>
          <w:cantSplit/>
        </w:trPr>
        <w:tc>
          <w:tcPr>
            <w:tcW w:w="4678" w:type="dxa"/>
          </w:tcPr>
          <w:p w14:paraId="7DB88D4D" w14:textId="77777777" w:rsidR="00BE36FB" w:rsidRPr="009B7B35" w:rsidRDefault="00BE36FB" w:rsidP="001A7107">
            <w:pPr>
              <w:pStyle w:val="TableText"/>
              <w:rPr>
                <w:rFonts w:cs="Arial"/>
                <w:b/>
                <w:bCs/>
              </w:rPr>
            </w:pPr>
            <w:r w:rsidRPr="009B7B35">
              <w:rPr>
                <w:rFonts w:cs="Arial"/>
                <w:b/>
                <w:bCs/>
              </w:rPr>
              <w:t>PO3</w:t>
            </w:r>
          </w:p>
          <w:p w14:paraId="2C11AD26" w14:textId="77777777" w:rsidR="00BE36FB" w:rsidRPr="009B7B35" w:rsidRDefault="00BE36FB" w:rsidP="001A7107">
            <w:pPr>
              <w:pStyle w:val="TableText"/>
              <w:rPr>
                <w:rFonts w:cs="Arial"/>
              </w:rPr>
            </w:pPr>
            <w:r w:rsidRPr="009B7B35">
              <w:rPr>
                <w:rFonts w:cs="Arial"/>
              </w:rPr>
              <w:t>Development must provide sufficient and accessible open space for residents needs.</w:t>
            </w:r>
          </w:p>
        </w:tc>
        <w:tc>
          <w:tcPr>
            <w:tcW w:w="4678" w:type="dxa"/>
          </w:tcPr>
          <w:p w14:paraId="3D2C4D1E" w14:textId="77777777" w:rsidR="00BE36FB" w:rsidRPr="009B7B35" w:rsidRDefault="00BE36FB" w:rsidP="001A7107">
            <w:pPr>
              <w:pStyle w:val="TableText"/>
              <w:rPr>
                <w:rFonts w:cs="Arial"/>
                <w:b/>
                <w:bCs/>
              </w:rPr>
            </w:pPr>
            <w:r w:rsidRPr="009B7B35">
              <w:rPr>
                <w:rFonts w:cs="Arial"/>
                <w:b/>
                <w:bCs/>
              </w:rPr>
              <w:t>AO3</w:t>
            </w:r>
          </w:p>
          <w:p w14:paraId="67974838" w14:textId="77777777" w:rsidR="00BE36FB" w:rsidRPr="009B7B35" w:rsidRDefault="00BE36FB" w:rsidP="001A7107">
            <w:pPr>
              <w:pStyle w:val="TableText"/>
              <w:rPr>
                <w:rFonts w:cs="Arial"/>
              </w:rPr>
            </w:pPr>
            <w:r w:rsidRPr="009B7B35">
              <w:rPr>
                <w:rFonts w:cs="Arial"/>
              </w:rPr>
              <w:t>Development provides a minimum of 16m</w:t>
            </w:r>
            <w:r w:rsidRPr="009B7B35">
              <w:rPr>
                <w:rFonts w:cs="Arial"/>
                <w:vertAlign w:val="superscript"/>
              </w:rPr>
              <w:t>2</w:t>
            </w:r>
            <w:r w:rsidRPr="009B7B35">
              <w:rPr>
                <w:rFonts w:cs="Arial"/>
              </w:rPr>
              <w:t xml:space="preserve"> private open space for each dwelling with a minimum dimension of 3m in any direction.</w:t>
            </w:r>
          </w:p>
        </w:tc>
      </w:tr>
      <w:tr w:rsidR="00BE36FB" w:rsidRPr="009B7B35" w14:paraId="2BE8B28B" w14:textId="77777777" w:rsidTr="001A7107">
        <w:trPr>
          <w:cantSplit/>
        </w:trPr>
        <w:tc>
          <w:tcPr>
            <w:tcW w:w="9356" w:type="dxa"/>
            <w:gridSpan w:val="2"/>
            <w:shd w:val="clear" w:color="auto" w:fill="BFBFBF" w:themeFill="background1" w:themeFillShade="BF"/>
          </w:tcPr>
          <w:p w14:paraId="5B10BB27" w14:textId="77777777" w:rsidR="00BE36FB" w:rsidRPr="009B7B35" w:rsidRDefault="00BE36FB">
            <w:pPr>
              <w:pStyle w:val="Tableheading"/>
              <w:rPr>
                <w:rFonts w:ascii="Arial" w:hAnsi="Arial" w:cs="Arial"/>
                <w:szCs w:val="20"/>
              </w:rPr>
            </w:pPr>
            <w:r w:rsidRPr="009B7B35">
              <w:rPr>
                <w:rFonts w:ascii="Arial" w:hAnsi="Arial" w:cs="Arial"/>
                <w:szCs w:val="20"/>
              </w:rPr>
              <w:t>Uses – Food and drink outlet, Bar and Club</w:t>
            </w:r>
          </w:p>
        </w:tc>
      </w:tr>
      <w:tr w:rsidR="00BE36FB" w:rsidRPr="009B7B35" w14:paraId="2D0910A7" w14:textId="77777777" w:rsidTr="001A7107">
        <w:trPr>
          <w:cantSplit/>
        </w:trPr>
        <w:tc>
          <w:tcPr>
            <w:tcW w:w="4678" w:type="dxa"/>
          </w:tcPr>
          <w:p w14:paraId="19163D24" w14:textId="77777777" w:rsidR="00BE36FB" w:rsidRPr="009B7B35" w:rsidRDefault="00BE36FB" w:rsidP="001A7107">
            <w:pPr>
              <w:pStyle w:val="TableText"/>
              <w:rPr>
                <w:rFonts w:cs="Arial"/>
                <w:b/>
                <w:bCs/>
              </w:rPr>
            </w:pPr>
            <w:r w:rsidRPr="009B7B35">
              <w:rPr>
                <w:rFonts w:cs="Arial"/>
                <w:b/>
                <w:bCs/>
              </w:rPr>
              <w:t>PO4</w:t>
            </w:r>
          </w:p>
          <w:p w14:paraId="05343BDD" w14:textId="77777777" w:rsidR="00BE36FB" w:rsidRPr="009B7B35" w:rsidRDefault="00BE36FB" w:rsidP="001A7107">
            <w:pPr>
              <w:pStyle w:val="TableText"/>
              <w:rPr>
                <w:rFonts w:cs="Arial"/>
              </w:rPr>
            </w:pPr>
            <w:r w:rsidRPr="009B7B35">
              <w:rPr>
                <w:rFonts w:cs="Arial"/>
              </w:rPr>
              <w:t>Hours of operation are limited to minimise nuisance on residential uses.</w:t>
            </w:r>
          </w:p>
        </w:tc>
        <w:tc>
          <w:tcPr>
            <w:tcW w:w="4678" w:type="dxa"/>
          </w:tcPr>
          <w:p w14:paraId="3FE94016" w14:textId="77777777" w:rsidR="00BE36FB" w:rsidRPr="009B7B35" w:rsidRDefault="00BE36FB" w:rsidP="001A7107">
            <w:pPr>
              <w:pStyle w:val="TableText"/>
              <w:rPr>
                <w:rFonts w:cs="Arial"/>
                <w:b/>
                <w:bCs/>
              </w:rPr>
            </w:pPr>
            <w:r w:rsidRPr="009B7B35">
              <w:rPr>
                <w:rFonts w:cs="Arial"/>
                <w:b/>
                <w:bCs/>
              </w:rPr>
              <w:t>AO4</w:t>
            </w:r>
          </w:p>
          <w:p w14:paraId="724C6BAC" w14:textId="77777777" w:rsidR="00BE36FB" w:rsidRPr="009B7B35" w:rsidRDefault="00BE36FB" w:rsidP="001A7107">
            <w:pPr>
              <w:pStyle w:val="TableText"/>
              <w:rPr>
                <w:rFonts w:cs="Arial"/>
              </w:rPr>
            </w:pPr>
            <w:r w:rsidRPr="009B7B35">
              <w:rPr>
                <w:rFonts w:cs="Arial"/>
              </w:rPr>
              <w:t xml:space="preserve">Where adjoining, or part of a building with residential uses (not including short term accommodation): </w:t>
            </w:r>
          </w:p>
          <w:p w14:paraId="78CBA3F6" w14:textId="77777777" w:rsidR="00BE36FB" w:rsidRPr="009B7B35" w:rsidRDefault="00BE36FB" w:rsidP="00BE36FB">
            <w:pPr>
              <w:pStyle w:val="TableText"/>
              <w:numPr>
                <w:ilvl w:val="0"/>
                <w:numId w:val="471"/>
              </w:numPr>
              <w:ind w:left="510" w:hanging="510"/>
              <w:rPr>
                <w:rFonts w:cs="Arial"/>
              </w:rPr>
            </w:pPr>
            <w:r w:rsidRPr="009B7B35">
              <w:rPr>
                <w:rFonts w:cs="Arial"/>
              </w:rPr>
              <w:t>hours of operation are limited to between 7am and 10pm, and</w:t>
            </w:r>
          </w:p>
          <w:p w14:paraId="375E0596" w14:textId="77777777" w:rsidR="00BE36FB" w:rsidRPr="009B7B35" w:rsidRDefault="00BE36FB" w:rsidP="00BE36FB">
            <w:pPr>
              <w:pStyle w:val="TableText"/>
              <w:numPr>
                <w:ilvl w:val="0"/>
                <w:numId w:val="471"/>
              </w:numPr>
              <w:ind w:left="510" w:hanging="510"/>
              <w:rPr>
                <w:rFonts w:cs="Arial"/>
              </w:rPr>
            </w:pPr>
            <w:r w:rsidRPr="009B7B35">
              <w:rPr>
                <w:rFonts w:cs="Arial"/>
              </w:rPr>
              <w:t>the use does not involve amplified music audible external to the premises.</w:t>
            </w:r>
          </w:p>
        </w:tc>
      </w:tr>
      <w:tr w:rsidR="00BE36FB" w:rsidRPr="009B7B35" w14:paraId="121373CB" w14:textId="77777777" w:rsidTr="001A7107">
        <w:trPr>
          <w:cantSplit/>
        </w:trPr>
        <w:tc>
          <w:tcPr>
            <w:tcW w:w="9356" w:type="dxa"/>
            <w:gridSpan w:val="2"/>
            <w:shd w:val="clear" w:color="auto" w:fill="BFBFBF" w:themeFill="background1" w:themeFillShade="BF"/>
          </w:tcPr>
          <w:p w14:paraId="4FD0A33E" w14:textId="77777777"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14:paraId="38CF099A" w14:textId="77777777" w:rsidTr="001A7107">
        <w:trPr>
          <w:cantSplit/>
        </w:trPr>
        <w:tc>
          <w:tcPr>
            <w:tcW w:w="4678" w:type="dxa"/>
            <w:vMerge w:val="restart"/>
          </w:tcPr>
          <w:p w14:paraId="0F4DE64D" w14:textId="77777777" w:rsidR="00BE36FB" w:rsidRPr="009B7B35" w:rsidRDefault="00BE36FB" w:rsidP="001A7107">
            <w:pPr>
              <w:pStyle w:val="TableText"/>
              <w:rPr>
                <w:rFonts w:cs="Arial"/>
                <w:b/>
                <w:bCs/>
              </w:rPr>
            </w:pPr>
            <w:r w:rsidRPr="009B7B35">
              <w:rPr>
                <w:rFonts w:cs="Arial"/>
                <w:b/>
                <w:bCs/>
              </w:rPr>
              <w:t>PO5</w:t>
            </w:r>
          </w:p>
          <w:p w14:paraId="3A88CA40" w14:textId="77777777"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14:paraId="2CC3CE85" w14:textId="77777777" w:rsidR="00BE36FB" w:rsidRPr="009B7B35" w:rsidRDefault="00BE36FB" w:rsidP="001A7107">
            <w:pPr>
              <w:pStyle w:val="TableText"/>
              <w:rPr>
                <w:rFonts w:cs="Arial"/>
                <w:b/>
                <w:bCs/>
              </w:rPr>
            </w:pPr>
            <w:r w:rsidRPr="009B7B35">
              <w:rPr>
                <w:rFonts w:cs="Arial"/>
                <w:b/>
                <w:bCs/>
              </w:rPr>
              <w:t>AO5.1</w:t>
            </w:r>
          </w:p>
          <w:p w14:paraId="6ED692EA" w14:textId="77777777" w:rsidR="00BE36FB" w:rsidRPr="009B7B35" w:rsidRDefault="00BE36FB" w:rsidP="001A7107">
            <w:pPr>
              <w:pStyle w:val="TableText"/>
              <w:rPr>
                <w:rFonts w:cs="Arial"/>
              </w:rPr>
            </w:pPr>
            <w:r w:rsidRPr="009B7B35">
              <w:rPr>
                <w:rFonts w:cs="Arial"/>
              </w:rPr>
              <w:t>Development of the sales office is in place for no more than two years.</w:t>
            </w:r>
          </w:p>
        </w:tc>
      </w:tr>
      <w:tr w:rsidR="00BE36FB" w:rsidRPr="009B7B35" w14:paraId="517C4BE3" w14:textId="77777777" w:rsidTr="001A7107">
        <w:trPr>
          <w:cantSplit/>
        </w:trPr>
        <w:tc>
          <w:tcPr>
            <w:tcW w:w="4678" w:type="dxa"/>
            <w:vMerge/>
          </w:tcPr>
          <w:p w14:paraId="79B036AD" w14:textId="77777777" w:rsidR="00BE36FB" w:rsidRPr="009B7B35" w:rsidRDefault="00BE36FB" w:rsidP="001A7107">
            <w:pPr>
              <w:rPr>
                <w:rFonts w:cs="Arial"/>
                <w:sz w:val="20"/>
                <w:szCs w:val="20"/>
              </w:rPr>
            </w:pPr>
          </w:p>
        </w:tc>
        <w:tc>
          <w:tcPr>
            <w:tcW w:w="4678" w:type="dxa"/>
          </w:tcPr>
          <w:p w14:paraId="782E93F7" w14:textId="77777777" w:rsidR="00BE36FB" w:rsidRPr="009B7B35" w:rsidRDefault="00BE36FB" w:rsidP="001A7107">
            <w:pPr>
              <w:pStyle w:val="TableText"/>
              <w:rPr>
                <w:rFonts w:cs="Arial"/>
                <w:b/>
                <w:bCs/>
              </w:rPr>
            </w:pPr>
            <w:r w:rsidRPr="009B7B35">
              <w:rPr>
                <w:rFonts w:cs="Arial"/>
                <w:b/>
                <w:bCs/>
              </w:rPr>
              <w:t>AO5.2</w:t>
            </w:r>
          </w:p>
          <w:p w14:paraId="2DEF5428" w14:textId="77777777"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14:paraId="22093685" w14:textId="77777777" w:rsidTr="001A7107">
        <w:trPr>
          <w:cantSplit/>
        </w:trPr>
        <w:tc>
          <w:tcPr>
            <w:tcW w:w="9356" w:type="dxa"/>
            <w:gridSpan w:val="2"/>
            <w:shd w:val="clear" w:color="auto" w:fill="FFFFFF" w:themeFill="background1"/>
          </w:tcPr>
          <w:p w14:paraId="287816A3"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212CDC14" w14:textId="77777777" w:rsidTr="001A7107">
        <w:trPr>
          <w:cantSplit/>
        </w:trPr>
        <w:tc>
          <w:tcPr>
            <w:tcW w:w="9356" w:type="dxa"/>
            <w:gridSpan w:val="2"/>
            <w:shd w:val="clear" w:color="auto" w:fill="BFBFBF" w:themeFill="background1" w:themeFillShade="BF"/>
          </w:tcPr>
          <w:p w14:paraId="567D54D9" w14:textId="77777777" w:rsidR="00BE36FB" w:rsidRPr="009B7B35" w:rsidRDefault="00BE36FB" w:rsidP="001A7107">
            <w:pPr>
              <w:pStyle w:val="Tableheading"/>
              <w:rPr>
                <w:rFonts w:ascii="Arial" w:hAnsi="Arial" w:cs="Arial"/>
                <w:szCs w:val="20"/>
              </w:rPr>
            </w:pPr>
            <w:r w:rsidRPr="009B7B35">
              <w:rPr>
                <w:rFonts w:ascii="Arial" w:hAnsi="Arial" w:cs="Arial"/>
                <w:szCs w:val="20"/>
              </w:rPr>
              <w:t>Built form</w:t>
            </w:r>
          </w:p>
        </w:tc>
      </w:tr>
      <w:tr w:rsidR="00BE36FB" w:rsidRPr="009B7B35" w14:paraId="6C637463" w14:textId="77777777" w:rsidTr="001A7107">
        <w:trPr>
          <w:cantSplit/>
        </w:trPr>
        <w:tc>
          <w:tcPr>
            <w:tcW w:w="4678" w:type="dxa"/>
          </w:tcPr>
          <w:p w14:paraId="5103BD89" w14:textId="77777777" w:rsidR="00BE36FB" w:rsidRPr="009B7B35" w:rsidRDefault="00BE36FB" w:rsidP="001A7107">
            <w:pPr>
              <w:pStyle w:val="TableText"/>
              <w:rPr>
                <w:rFonts w:cs="Arial"/>
                <w:b/>
                <w:bCs/>
              </w:rPr>
            </w:pPr>
            <w:r w:rsidRPr="009B7B35">
              <w:rPr>
                <w:rFonts w:cs="Arial"/>
                <w:b/>
                <w:bCs/>
              </w:rPr>
              <w:t>PO6</w:t>
            </w:r>
          </w:p>
          <w:p w14:paraId="178B1B8C" w14:textId="77777777" w:rsidR="00BE36FB" w:rsidRPr="009B7B35" w:rsidRDefault="00BE36FB" w:rsidP="001A7107">
            <w:pPr>
              <w:pStyle w:val="TableText"/>
              <w:rPr>
                <w:rFonts w:cs="Arial"/>
              </w:rPr>
            </w:pPr>
            <w:r w:rsidRPr="009B7B35">
              <w:rPr>
                <w:rFonts w:cs="Arial"/>
              </w:rPr>
              <w:t>Building height:</w:t>
            </w:r>
          </w:p>
          <w:p w14:paraId="4EAC771E" w14:textId="77777777" w:rsidR="00BE36FB" w:rsidRPr="009B7B35" w:rsidRDefault="00BE36FB" w:rsidP="00BE36FB">
            <w:pPr>
              <w:pStyle w:val="TableText"/>
              <w:numPr>
                <w:ilvl w:val="0"/>
                <w:numId w:val="466"/>
              </w:numPr>
              <w:rPr>
                <w:rFonts w:cs="Arial"/>
              </w:rPr>
            </w:pPr>
            <w:r w:rsidRPr="009B7B35">
              <w:rPr>
                <w:rFonts w:cs="Arial"/>
              </w:rPr>
              <w:t>is consistent with the intended character of the city centre</w:t>
            </w:r>
          </w:p>
          <w:p w14:paraId="496288A6" w14:textId="77777777" w:rsidR="00BE36FB" w:rsidRPr="009B7B35" w:rsidRDefault="00BE36FB" w:rsidP="00BE36FB">
            <w:pPr>
              <w:pStyle w:val="TableText"/>
              <w:numPr>
                <w:ilvl w:val="0"/>
                <w:numId w:val="466"/>
              </w:numPr>
              <w:rPr>
                <w:rFonts w:cs="Arial"/>
              </w:rPr>
            </w:pPr>
            <w:r w:rsidRPr="009B7B35">
              <w:rPr>
                <w:rFonts w:cs="Arial"/>
              </w:rPr>
              <w:t>does not result in a significant loss of visual amenity, and</w:t>
            </w:r>
          </w:p>
          <w:p w14:paraId="64211E78" w14:textId="77777777" w:rsidR="00BE36FB" w:rsidRPr="009B7B35" w:rsidRDefault="00BE36FB" w:rsidP="001A7107">
            <w:pPr>
              <w:pStyle w:val="TableText"/>
              <w:tabs>
                <w:tab w:val="left" w:pos="587"/>
              </w:tabs>
              <w:rPr>
                <w:rFonts w:cs="Arial"/>
              </w:rPr>
            </w:pPr>
            <w:r w:rsidRPr="009B7B35">
              <w:rPr>
                <w:rFonts w:cs="Arial"/>
              </w:rPr>
              <w:t>(c)</w:t>
            </w:r>
            <w:r w:rsidRPr="009B7B35">
              <w:rPr>
                <w:rFonts w:cs="Arial"/>
              </w:rPr>
              <w:tab/>
              <w:t>does not impact on airport operations.</w:t>
            </w:r>
          </w:p>
        </w:tc>
        <w:tc>
          <w:tcPr>
            <w:tcW w:w="4678" w:type="dxa"/>
          </w:tcPr>
          <w:p w14:paraId="659ADD73" w14:textId="77777777" w:rsidR="00BE36FB" w:rsidRPr="009B7B35" w:rsidRDefault="00BE36FB" w:rsidP="001A7107">
            <w:pPr>
              <w:pStyle w:val="TableText"/>
              <w:rPr>
                <w:rFonts w:cs="Arial"/>
                <w:b/>
                <w:bCs/>
              </w:rPr>
            </w:pPr>
            <w:r w:rsidRPr="009B7B35">
              <w:rPr>
                <w:rFonts w:cs="Arial"/>
                <w:b/>
                <w:bCs/>
              </w:rPr>
              <w:t>AO6</w:t>
            </w:r>
          </w:p>
          <w:p w14:paraId="012E6849" w14:textId="77777777" w:rsidR="00BE36FB" w:rsidRPr="009B7B35" w:rsidRDefault="00BE36FB" w:rsidP="001A7107">
            <w:pPr>
              <w:pStyle w:val="TableText"/>
              <w:rPr>
                <w:rFonts w:cs="Arial"/>
              </w:rPr>
            </w:pPr>
            <w:r w:rsidRPr="009B7B35">
              <w:rPr>
                <w:rFonts w:cs="Arial"/>
              </w:rPr>
              <w:t>Building height does not exceed 10 storeys and 60.5m AHD including any structures (both free standing and attached to buildings, including signs, masts or antennae).</w:t>
            </w:r>
          </w:p>
        </w:tc>
      </w:tr>
      <w:tr w:rsidR="00BE36FB" w:rsidRPr="009B7B35" w14:paraId="67AED0FA" w14:textId="77777777" w:rsidTr="001A7107">
        <w:tc>
          <w:tcPr>
            <w:tcW w:w="4678" w:type="dxa"/>
            <w:vMerge w:val="restart"/>
          </w:tcPr>
          <w:p w14:paraId="3E74D8D3" w14:textId="77777777" w:rsidR="00BE36FB" w:rsidRPr="009B7B35" w:rsidRDefault="00BE36FB" w:rsidP="001A7107">
            <w:pPr>
              <w:pStyle w:val="TableText"/>
              <w:rPr>
                <w:rFonts w:cs="Arial"/>
                <w:b/>
                <w:bCs/>
              </w:rPr>
            </w:pPr>
            <w:r w:rsidRPr="009B7B35">
              <w:rPr>
                <w:rFonts w:cs="Arial"/>
                <w:b/>
                <w:bCs/>
              </w:rPr>
              <w:t>PO7</w:t>
            </w:r>
          </w:p>
          <w:p w14:paraId="23AEFA62" w14:textId="77777777" w:rsidR="00BE36FB" w:rsidRPr="009B7B35" w:rsidRDefault="00BE36FB" w:rsidP="001A7107">
            <w:pPr>
              <w:pStyle w:val="TableText"/>
              <w:rPr>
                <w:rFonts w:cs="Arial"/>
              </w:rPr>
            </w:pPr>
            <w:r w:rsidRPr="009B7B35">
              <w:rPr>
                <w:rFonts w:cs="Arial"/>
              </w:rPr>
              <w:t>Podiums are located on a primary frontage and:</w:t>
            </w:r>
          </w:p>
          <w:p w14:paraId="0AC85261" w14:textId="77777777" w:rsidR="00BE36FB" w:rsidRPr="009B7B35" w:rsidRDefault="00BE36FB" w:rsidP="00BE36FB">
            <w:pPr>
              <w:pStyle w:val="TableText"/>
              <w:numPr>
                <w:ilvl w:val="0"/>
                <w:numId w:val="467"/>
              </w:numPr>
              <w:rPr>
                <w:rFonts w:cs="Arial"/>
              </w:rPr>
            </w:pPr>
            <w:r w:rsidRPr="009B7B35">
              <w:rPr>
                <w:rFonts w:cs="Arial"/>
              </w:rPr>
              <w:t>are low rise</w:t>
            </w:r>
          </w:p>
          <w:p w14:paraId="420CFF5F" w14:textId="77777777" w:rsidR="00BE36FB" w:rsidRPr="009B7B35" w:rsidRDefault="00BE36FB" w:rsidP="00BE36FB">
            <w:pPr>
              <w:pStyle w:val="TableText"/>
              <w:numPr>
                <w:ilvl w:val="0"/>
                <w:numId w:val="467"/>
              </w:numPr>
              <w:rPr>
                <w:rFonts w:cs="Arial"/>
              </w:rPr>
            </w:pPr>
            <w:r w:rsidRPr="009B7B35">
              <w:rPr>
                <w:rFonts w:cs="Arial"/>
              </w:rPr>
              <w:t xml:space="preserve">allow for active uses at street level that overlook the street or public thoroughfare, and </w:t>
            </w:r>
          </w:p>
          <w:p w14:paraId="07ADB8D4" w14:textId="77777777" w:rsidR="00BE36FB" w:rsidRPr="009B7B35" w:rsidRDefault="00BE36FB" w:rsidP="00BE36FB">
            <w:pPr>
              <w:pStyle w:val="TableText"/>
              <w:numPr>
                <w:ilvl w:val="0"/>
                <w:numId w:val="467"/>
              </w:numPr>
              <w:rPr>
                <w:rFonts w:cs="Arial"/>
              </w:rPr>
            </w:pPr>
            <w:r w:rsidRPr="009B7B35">
              <w:rPr>
                <w:rFonts w:cs="Arial"/>
              </w:rPr>
              <w:t>are human scale at street level.</w:t>
            </w:r>
          </w:p>
          <w:p w14:paraId="2E986446"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c>
          <w:tcPr>
            <w:tcW w:w="4678" w:type="dxa"/>
          </w:tcPr>
          <w:p w14:paraId="274BA14E" w14:textId="77777777" w:rsidR="00BE36FB" w:rsidRPr="009B7B35" w:rsidRDefault="00BE36FB" w:rsidP="001A7107">
            <w:pPr>
              <w:pStyle w:val="TableText"/>
              <w:rPr>
                <w:rFonts w:cs="Arial"/>
                <w:b/>
                <w:bCs/>
              </w:rPr>
            </w:pPr>
            <w:r w:rsidRPr="009B7B35">
              <w:rPr>
                <w:rFonts w:cs="Arial"/>
                <w:b/>
                <w:bCs/>
              </w:rPr>
              <w:t>AO7.1</w:t>
            </w:r>
          </w:p>
          <w:p w14:paraId="1B77F8F1" w14:textId="77777777" w:rsidR="00BE36FB" w:rsidRPr="009B7B35" w:rsidRDefault="00BE36FB" w:rsidP="001A7107">
            <w:pPr>
              <w:pStyle w:val="TableText"/>
              <w:rPr>
                <w:rFonts w:cs="Arial"/>
              </w:rPr>
            </w:pPr>
            <w:r w:rsidRPr="009B7B35">
              <w:rPr>
                <w:rFonts w:cs="Arial"/>
              </w:rPr>
              <w:t>Development located on a primary frontage includes a podium that does not exceed 1 storey.</w:t>
            </w:r>
          </w:p>
          <w:p w14:paraId="6495F397"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 Refer to Diagram 6.2.6.2.1—Primary and rear frontage, for a site located on a primary frontage which also includes a rear frontage.</w:t>
            </w:r>
          </w:p>
        </w:tc>
      </w:tr>
      <w:tr w:rsidR="00BE36FB" w:rsidRPr="009B7B35" w14:paraId="1D5AAE4C" w14:textId="77777777" w:rsidTr="001A7107">
        <w:tc>
          <w:tcPr>
            <w:tcW w:w="4678" w:type="dxa"/>
            <w:vMerge/>
          </w:tcPr>
          <w:p w14:paraId="389400F4" w14:textId="77777777" w:rsidR="00BE36FB" w:rsidRPr="009B7B35" w:rsidRDefault="00BE36FB" w:rsidP="001A7107">
            <w:pPr>
              <w:rPr>
                <w:rFonts w:cs="Arial"/>
                <w:sz w:val="20"/>
                <w:szCs w:val="20"/>
              </w:rPr>
            </w:pPr>
          </w:p>
        </w:tc>
        <w:tc>
          <w:tcPr>
            <w:tcW w:w="4678" w:type="dxa"/>
          </w:tcPr>
          <w:p w14:paraId="20F56D54" w14:textId="77777777" w:rsidR="00BE36FB" w:rsidRPr="009B7B35" w:rsidRDefault="00BE36FB" w:rsidP="001A7107">
            <w:pPr>
              <w:pStyle w:val="TableText"/>
              <w:rPr>
                <w:rFonts w:cs="Arial"/>
                <w:b/>
                <w:bCs/>
              </w:rPr>
            </w:pPr>
            <w:r w:rsidRPr="009B7B35">
              <w:rPr>
                <w:rFonts w:cs="Arial"/>
                <w:b/>
                <w:bCs/>
              </w:rPr>
              <w:t>AO7.2</w:t>
            </w:r>
          </w:p>
          <w:p w14:paraId="026FFD72" w14:textId="77777777" w:rsidR="00BE36FB" w:rsidRPr="009B7B35" w:rsidRDefault="00BE36FB" w:rsidP="001A7107">
            <w:pPr>
              <w:pStyle w:val="TableText"/>
              <w:rPr>
                <w:rFonts w:cs="Arial"/>
              </w:rPr>
            </w:pPr>
            <w:r w:rsidRPr="009B7B35">
              <w:rPr>
                <w:rFonts w:cs="Arial"/>
              </w:rPr>
              <w:t>Development located on a primary frontage includes a minimum ground floor height of 4.5m (floor to floor).</w:t>
            </w:r>
          </w:p>
        </w:tc>
      </w:tr>
      <w:tr w:rsidR="00BE36FB" w:rsidRPr="009B7B35" w14:paraId="04233700" w14:textId="77777777" w:rsidTr="001A7107">
        <w:tc>
          <w:tcPr>
            <w:tcW w:w="4678" w:type="dxa"/>
          </w:tcPr>
          <w:p w14:paraId="3ADD4FB6" w14:textId="77777777" w:rsidR="00BE36FB" w:rsidRPr="009B7B35" w:rsidRDefault="00BE36FB" w:rsidP="001A7107">
            <w:pPr>
              <w:pStyle w:val="TableText"/>
              <w:rPr>
                <w:rFonts w:cs="Arial"/>
                <w:b/>
                <w:bCs/>
              </w:rPr>
            </w:pPr>
            <w:r w:rsidRPr="009B7B35">
              <w:rPr>
                <w:rFonts w:cs="Arial"/>
                <w:b/>
                <w:bCs/>
              </w:rPr>
              <w:t>PO8</w:t>
            </w:r>
          </w:p>
          <w:p w14:paraId="5747C924" w14:textId="77777777" w:rsidR="00BE36FB" w:rsidRPr="009B7B35" w:rsidRDefault="00BE36FB" w:rsidP="001A7107">
            <w:pPr>
              <w:rPr>
                <w:rFonts w:cs="Arial"/>
                <w:sz w:val="20"/>
                <w:szCs w:val="20"/>
              </w:rPr>
            </w:pPr>
            <w:r w:rsidRPr="009B7B35">
              <w:rPr>
                <w:rFonts w:cs="Arial"/>
                <w:sz w:val="20"/>
                <w:szCs w:val="20"/>
              </w:rPr>
              <w:t>Development:</w:t>
            </w:r>
          </w:p>
          <w:p w14:paraId="77FC439D" w14:textId="77777777" w:rsidR="00BE36FB" w:rsidRPr="009B7B35" w:rsidRDefault="00BE36FB" w:rsidP="00BE36FB">
            <w:pPr>
              <w:pStyle w:val="TableText"/>
              <w:numPr>
                <w:ilvl w:val="0"/>
                <w:numId w:val="469"/>
              </w:numPr>
              <w:rPr>
                <w:rFonts w:cs="Arial"/>
              </w:rPr>
            </w:pPr>
            <w:r w:rsidRPr="009B7B35">
              <w:rPr>
                <w:rFonts w:cs="Arial"/>
              </w:rPr>
              <w:t>is proportionate to the size and street frontage of the site</w:t>
            </w:r>
          </w:p>
          <w:p w14:paraId="23BAE090" w14:textId="77777777" w:rsidR="00BE36FB" w:rsidRPr="009B7B35" w:rsidRDefault="00BE36FB" w:rsidP="00BE36FB">
            <w:pPr>
              <w:pStyle w:val="TableText"/>
              <w:numPr>
                <w:ilvl w:val="0"/>
                <w:numId w:val="469"/>
              </w:numPr>
              <w:rPr>
                <w:rFonts w:cs="Arial"/>
              </w:rPr>
            </w:pPr>
            <w:r w:rsidRPr="009B7B35">
              <w:rPr>
                <w:rFonts w:cs="Arial"/>
              </w:rPr>
              <w:t>actively interfaces with streets and public spaces</w:t>
            </w:r>
          </w:p>
          <w:p w14:paraId="5345B7F9" w14:textId="77777777" w:rsidR="00BE36FB" w:rsidRPr="009B7B35" w:rsidRDefault="00BE36FB" w:rsidP="00BE36FB">
            <w:pPr>
              <w:pStyle w:val="TableText"/>
              <w:numPr>
                <w:ilvl w:val="0"/>
                <w:numId w:val="469"/>
              </w:numPr>
              <w:rPr>
                <w:rFonts w:cs="Arial"/>
              </w:rPr>
            </w:pPr>
            <w:r w:rsidRPr="009B7B35">
              <w:rPr>
                <w:rFonts w:cs="Arial"/>
              </w:rPr>
              <w:t>maintains and enhances the existing streetscape</w:t>
            </w:r>
          </w:p>
          <w:p w14:paraId="34AFA61F" w14:textId="77777777" w:rsidR="00BE36FB" w:rsidRPr="009B7B35" w:rsidRDefault="00BE36FB" w:rsidP="00BE36FB">
            <w:pPr>
              <w:pStyle w:val="TableText"/>
              <w:numPr>
                <w:ilvl w:val="0"/>
                <w:numId w:val="469"/>
              </w:numPr>
              <w:rPr>
                <w:rFonts w:cs="Arial"/>
              </w:rPr>
            </w:pPr>
            <w:r w:rsidRPr="009B7B35">
              <w:rPr>
                <w:rFonts w:cs="Arial"/>
              </w:rPr>
              <w:t>protects adjacent amenity</w:t>
            </w:r>
          </w:p>
          <w:p w14:paraId="5184C4DC" w14:textId="77777777" w:rsidR="00BE36FB" w:rsidRPr="009B7B35" w:rsidRDefault="00BE36FB" w:rsidP="00BE36FB">
            <w:pPr>
              <w:pStyle w:val="TableText"/>
              <w:numPr>
                <w:ilvl w:val="0"/>
                <w:numId w:val="469"/>
              </w:numPr>
              <w:rPr>
                <w:rFonts w:cs="Arial"/>
              </w:rPr>
            </w:pPr>
            <w:r w:rsidRPr="009B7B35">
              <w:rPr>
                <w:rFonts w:cs="Arial"/>
              </w:rPr>
              <w:t>maintains appropriate levels of light and solar penetration, air circulation, privacy for adjoining properties</w:t>
            </w:r>
          </w:p>
          <w:p w14:paraId="6D80FE57" w14:textId="77777777" w:rsidR="00BE36FB" w:rsidRPr="009B7B35" w:rsidRDefault="00BE36FB" w:rsidP="00BE36FB">
            <w:pPr>
              <w:pStyle w:val="TableText"/>
              <w:numPr>
                <w:ilvl w:val="0"/>
                <w:numId w:val="469"/>
              </w:numPr>
              <w:rPr>
                <w:rFonts w:cs="Arial"/>
              </w:rPr>
            </w:pPr>
            <w:r w:rsidRPr="009B7B35">
              <w:rPr>
                <w:rFonts w:cs="Arial"/>
              </w:rPr>
              <w:t>provides for public space and landscape areas, and</w:t>
            </w:r>
          </w:p>
          <w:p w14:paraId="08AA4852" w14:textId="77777777" w:rsidR="00BE36FB" w:rsidRPr="009B7B35" w:rsidRDefault="00BE36FB" w:rsidP="001A7107">
            <w:pPr>
              <w:pStyle w:val="TableText"/>
              <w:tabs>
                <w:tab w:val="left" w:pos="559"/>
              </w:tabs>
              <w:rPr>
                <w:rFonts w:cs="Arial"/>
              </w:rPr>
            </w:pPr>
            <w:r w:rsidRPr="009B7B35">
              <w:rPr>
                <w:rFonts w:cs="Arial"/>
              </w:rPr>
              <w:t>(g)</w:t>
            </w:r>
            <w:r w:rsidRPr="009B7B35">
              <w:rPr>
                <w:rFonts w:cs="Arial"/>
              </w:rPr>
              <w:tab/>
              <w:t>reduces building bulk.</w:t>
            </w:r>
          </w:p>
        </w:tc>
        <w:tc>
          <w:tcPr>
            <w:tcW w:w="4678" w:type="dxa"/>
          </w:tcPr>
          <w:p w14:paraId="07A516E2" w14:textId="77777777" w:rsidR="00BE36FB" w:rsidRPr="009B7B35" w:rsidRDefault="00BE36FB" w:rsidP="001A7107">
            <w:pPr>
              <w:pStyle w:val="TableText"/>
              <w:rPr>
                <w:rFonts w:cs="Arial"/>
                <w:b/>
                <w:bCs/>
              </w:rPr>
            </w:pPr>
            <w:r w:rsidRPr="009B7B35">
              <w:rPr>
                <w:rFonts w:cs="Arial"/>
                <w:b/>
                <w:bCs/>
              </w:rPr>
              <w:t>AO8</w:t>
            </w:r>
          </w:p>
          <w:p w14:paraId="636B8C34" w14:textId="77777777" w:rsidR="00BE36FB" w:rsidRPr="009B7B35" w:rsidRDefault="00BE36FB" w:rsidP="001A7107">
            <w:pPr>
              <w:pStyle w:val="TableText"/>
              <w:rPr>
                <w:rFonts w:cs="Arial"/>
              </w:rPr>
            </w:pPr>
            <w:r w:rsidRPr="009B7B35">
              <w:rPr>
                <w:rFonts w:cs="Arial"/>
              </w:rPr>
              <w:t>Development is in accordance with the following building types:</w:t>
            </w:r>
          </w:p>
          <w:p w14:paraId="2FEE9842" w14:textId="77777777" w:rsidR="00BE36FB" w:rsidRPr="009B7B35" w:rsidRDefault="00BE36FB" w:rsidP="00BE36FB">
            <w:pPr>
              <w:pStyle w:val="TableText"/>
              <w:numPr>
                <w:ilvl w:val="0"/>
                <w:numId w:val="468"/>
              </w:numPr>
              <w:rPr>
                <w:rFonts w:cs="Arial"/>
              </w:rPr>
            </w:pPr>
            <w:r w:rsidRPr="009B7B35">
              <w:rPr>
                <w:rFonts w:cs="Arial"/>
              </w:rPr>
              <w:t>Figure 1—Primary frontage building where identified on a primary frontage</w:t>
            </w:r>
          </w:p>
          <w:p w14:paraId="6F53EEFF" w14:textId="77777777" w:rsidR="00BE36FB" w:rsidRPr="009B7B35" w:rsidRDefault="00BE36FB" w:rsidP="00BE36FB">
            <w:pPr>
              <w:pStyle w:val="TableText"/>
              <w:numPr>
                <w:ilvl w:val="0"/>
                <w:numId w:val="468"/>
              </w:numPr>
              <w:rPr>
                <w:rFonts w:cs="Arial"/>
              </w:rPr>
            </w:pPr>
            <w:r w:rsidRPr="009B7B35">
              <w:rPr>
                <w:rFonts w:cs="Arial"/>
              </w:rPr>
              <w:t>Figure 2—Secondary frontage building where not identified on a primary frontage.</w:t>
            </w:r>
          </w:p>
          <w:p w14:paraId="0204905F" w14:textId="77777777" w:rsidR="00BE36FB" w:rsidRPr="009B7B35" w:rsidRDefault="00BE36FB">
            <w:pPr>
              <w:pStyle w:val="Notes"/>
              <w:rPr>
                <w:rFonts w:cs="Arial"/>
                <w:sz w:val="20"/>
                <w:szCs w:val="20"/>
              </w:rPr>
            </w:pPr>
            <w:r w:rsidRPr="009B7B35">
              <w:rPr>
                <w:rFonts w:cs="Arial"/>
                <w:sz w:val="20"/>
                <w:szCs w:val="20"/>
              </w:rPr>
              <w:t>Note—Primary frontages are identified on the Building height and frontages overlay map. Refer to Diagram 6.2.6.2.1—Primary and rear frontage, for a site located on a primary frontage which also includes a rear frontage.</w:t>
            </w:r>
          </w:p>
        </w:tc>
      </w:tr>
      <w:tr w:rsidR="00BE36FB" w:rsidRPr="009B7B35" w14:paraId="198107A3" w14:textId="77777777" w:rsidTr="001A7107">
        <w:trPr>
          <w:cantSplit/>
          <w:trHeight w:val="316"/>
        </w:trPr>
        <w:tc>
          <w:tcPr>
            <w:tcW w:w="9356" w:type="dxa"/>
            <w:gridSpan w:val="2"/>
            <w:shd w:val="clear" w:color="auto" w:fill="BFBFBF" w:themeFill="background1" w:themeFillShade="BF"/>
          </w:tcPr>
          <w:p w14:paraId="5601AE1A"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 and tenancy mix</w:t>
            </w:r>
          </w:p>
        </w:tc>
      </w:tr>
      <w:tr w:rsidR="00BE36FB" w:rsidRPr="009B7B35" w14:paraId="6CD67468" w14:textId="77777777" w:rsidTr="001A7107">
        <w:trPr>
          <w:cantSplit/>
        </w:trPr>
        <w:tc>
          <w:tcPr>
            <w:tcW w:w="4678" w:type="dxa"/>
          </w:tcPr>
          <w:p w14:paraId="060EA780" w14:textId="77777777" w:rsidR="00BE36FB" w:rsidRPr="009B7B35" w:rsidRDefault="00BE36FB" w:rsidP="001A7107">
            <w:pPr>
              <w:pStyle w:val="TableText"/>
              <w:rPr>
                <w:rFonts w:cs="Arial"/>
                <w:b/>
                <w:bCs/>
              </w:rPr>
            </w:pPr>
            <w:r w:rsidRPr="009B7B35">
              <w:rPr>
                <w:rFonts w:cs="Arial"/>
                <w:b/>
                <w:bCs/>
              </w:rPr>
              <w:t>PO9</w:t>
            </w:r>
          </w:p>
          <w:p w14:paraId="7B3C7E36" w14:textId="77777777" w:rsidR="00BE36FB" w:rsidRPr="009B7B35" w:rsidRDefault="00BE36FB" w:rsidP="001A7107">
            <w:pPr>
              <w:pStyle w:val="TableText"/>
              <w:rPr>
                <w:rFonts w:cs="Arial"/>
              </w:rPr>
            </w:pPr>
            <w:r w:rsidRPr="009B7B35">
              <w:rPr>
                <w:rFonts w:cs="Arial"/>
              </w:rPr>
              <w:t>Development provides a fine grain mix of tenancies along Goondoon Street and identified primary frontages to support a range of retail, commercial, community, entertainment and recreational opportunities at street level.</w:t>
            </w:r>
          </w:p>
          <w:p w14:paraId="5AC2DDF8"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c>
          <w:tcPr>
            <w:tcW w:w="4678" w:type="dxa"/>
          </w:tcPr>
          <w:p w14:paraId="00CA52C8"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7220CC7" w14:textId="77777777" w:rsidTr="001A7107">
        <w:trPr>
          <w:cantSplit/>
        </w:trPr>
        <w:tc>
          <w:tcPr>
            <w:tcW w:w="4678" w:type="dxa"/>
          </w:tcPr>
          <w:p w14:paraId="7A3CAAFF" w14:textId="77777777" w:rsidR="00BE36FB" w:rsidRPr="009B7B35" w:rsidRDefault="00BE36FB" w:rsidP="001A7107">
            <w:pPr>
              <w:pStyle w:val="TableText"/>
              <w:rPr>
                <w:rFonts w:cs="Arial"/>
                <w:b/>
                <w:bCs/>
              </w:rPr>
            </w:pPr>
            <w:r w:rsidRPr="009B7B35">
              <w:rPr>
                <w:rFonts w:cs="Arial"/>
                <w:b/>
                <w:bCs/>
              </w:rPr>
              <w:t>PO10</w:t>
            </w:r>
          </w:p>
          <w:p w14:paraId="0478EFB4" w14:textId="77777777" w:rsidR="00BE36FB" w:rsidRPr="009B7B35" w:rsidRDefault="00BE36FB" w:rsidP="001A7107">
            <w:pPr>
              <w:pStyle w:val="TableText"/>
              <w:rPr>
                <w:rFonts w:cs="Arial"/>
              </w:rPr>
            </w:pPr>
            <w:r w:rsidRPr="009B7B35">
              <w:rPr>
                <w:rFonts w:cs="Arial"/>
              </w:rPr>
              <w:t>Where accommodation activities are proposed, residential density:</w:t>
            </w:r>
          </w:p>
          <w:p w14:paraId="2E9071A2" w14:textId="77777777" w:rsidR="00BE36FB" w:rsidRPr="009B7B35" w:rsidRDefault="00BE36FB" w:rsidP="00BE36FB">
            <w:pPr>
              <w:pStyle w:val="TableText"/>
              <w:numPr>
                <w:ilvl w:val="0"/>
                <w:numId w:val="472"/>
              </w:numPr>
              <w:rPr>
                <w:rFonts w:cs="Arial"/>
              </w:rPr>
            </w:pPr>
            <w:r w:rsidRPr="009B7B35">
              <w:rPr>
                <w:rFonts w:cs="Arial"/>
              </w:rPr>
              <w:t>is capable of being supported by local infrastructure and services</w:t>
            </w:r>
          </w:p>
          <w:p w14:paraId="766411E4" w14:textId="77777777" w:rsidR="00BE36FB" w:rsidRPr="009B7B35" w:rsidRDefault="00BE36FB" w:rsidP="00BE36FB">
            <w:pPr>
              <w:pStyle w:val="TableText"/>
              <w:numPr>
                <w:ilvl w:val="0"/>
                <w:numId w:val="472"/>
              </w:numPr>
              <w:rPr>
                <w:rFonts w:cs="Arial"/>
              </w:rPr>
            </w:pPr>
            <w:r w:rsidRPr="009B7B35">
              <w:rPr>
                <w:rFonts w:cs="Arial"/>
              </w:rPr>
              <w:t>can be achieved without creating conflict between residential and non–residential uses, and</w:t>
            </w:r>
          </w:p>
          <w:p w14:paraId="780F40F3" w14:textId="77777777" w:rsidR="00BE36FB" w:rsidRPr="009B7B35" w:rsidRDefault="00BE36FB" w:rsidP="00BE36FB">
            <w:pPr>
              <w:pStyle w:val="TableText"/>
              <w:numPr>
                <w:ilvl w:val="0"/>
                <w:numId w:val="472"/>
              </w:numPr>
              <w:rPr>
                <w:rFonts w:cs="Arial"/>
              </w:rPr>
            </w:pPr>
            <w:r w:rsidRPr="009B7B35">
              <w:rPr>
                <w:rFonts w:cs="Arial"/>
              </w:rPr>
              <w:t>supports a concentrated residential population in proximity to local active and public transport networks.</w:t>
            </w:r>
          </w:p>
        </w:tc>
        <w:tc>
          <w:tcPr>
            <w:tcW w:w="4678" w:type="dxa"/>
          </w:tcPr>
          <w:p w14:paraId="7C3BA47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43043DB" w14:textId="77777777" w:rsidTr="001A7107">
        <w:tc>
          <w:tcPr>
            <w:tcW w:w="4678" w:type="dxa"/>
          </w:tcPr>
          <w:p w14:paraId="1050FF25" w14:textId="77777777" w:rsidR="00BE36FB" w:rsidRPr="009B7B35" w:rsidRDefault="00BE36FB" w:rsidP="001A7107">
            <w:pPr>
              <w:pStyle w:val="TableText"/>
              <w:rPr>
                <w:rFonts w:cs="Arial"/>
                <w:b/>
                <w:bCs/>
              </w:rPr>
            </w:pPr>
            <w:r w:rsidRPr="009B7B35">
              <w:rPr>
                <w:rFonts w:cs="Arial"/>
                <w:b/>
                <w:bCs/>
              </w:rPr>
              <w:t>PO11</w:t>
            </w:r>
          </w:p>
          <w:p w14:paraId="0E58E18C" w14:textId="77777777" w:rsidR="00BE36FB" w:rsidRPr="009B7B35" w:rsidRDefault="00BE36FB" w:rsidP="001A7107">
            <w:pPr>
              <w:pStyle w:val="TableText"/>
              <w:rPr>
                <w:rFonts w:cs="Arial"/>
              </w:rPr>
            </w:pPr>
            <w:r w:rsidRPr="009B7B35">
              <w:rPr>
                <w:rFonts w:cs="Arial"/>
              </w:rPr>
              <w:t xml:space="preserve">Retail development: </w:t>
            </w:r>
          </w:p>
          <w:p w14:paraId="02D166B2" w14:textId="77777777" w:rsidR="00BE36FB" w:rsidRPr="009B7B35" w:rsidRDefault="00BE36FB" w:rsidP="00BE36FB">
            <w:pPr>
              <w:pStyle w:val="TableText"/>
              <w:numPr>
                <w:ilvl w:val="0"/>
                <w:numId w:val="473"/>
              </w:numPr>
              <w:rPr>
                <w:rFonts w:cs="Arial"/>
              </w:rPr>
            </w:pPr>
            <w:r w:rsidRPr="009B7B35">
              <w:rPr>
                <w:rFonts w:cs="Arial"/>
              </w:rPr>
              <w:t>occurs at a scale which provides for the small scale needs of residents, workers and tourists</w:t>
            </w:r>
          </w:p>
          <w:p w14:paraId="365D5BEF" w14:textId="77777777" w:rsidR="00BE36FB" w:rsidRPr="009B7B35" w:rsidRDefault="00BE36FB" w:rsidP="00BE36FB">
            <w:pPr>
              <w:pStyle w:val="TableText"/>
              <w:numPr>
                <w:ilvl w:val="0"/>
                <w:numId w:val="473"/>
              </w:numPr>
              <w:rPr>
                <w:rFonts w:cs="Arial"/>
              </w:rPr>
            </w:pPr>
            <w:r w:rsidRPr="009B7B35">
              <w:rPr>
                <w:rFonts w:cs="Arial"/>
              </w:rPr>
              <w:t>is compatible with the character of the area, and</w:t>
            </w:r>
          </w:p>
          <w:p w14:paraId="369CAC2E" w14:textId="77777777" w:rsidR="00BE36FB" w:rsidRPr="009B7B35" w:rsidRDefault="00BE36FB" w:rsidP="00BE36FB">
            <w:pPr>
              <w:pStyle w:val="TableText"/>
              <w:numPr>
                <w:ilvl w:val="0"/>
                <w:numId w:val="473"/>
              </w:numPr>
              <w:rPr>
                <w:rFonts w:cs="Arial"/>
              </w:rPr>
            </w:pPr>
            <w:r w:rsidRPr="009B7B35">
              <w:rPr>
                <w:rFonts w:cs="Arial"/>
              </w:rPr>
              <w:t>does not include large format, land consumptive commercial uses.</w:t>
            </w:r>
          </w:p>
        </w:tc>
        <w:tc>
          <w:tcPr>
            <w:tcW w:w="4678" w:type="dxa"/>
          </w:tcPr>
          <w:p w14:paraId="33862EB6" w14:textId="77777777" w:rsidR="00BE36FB" w:rsidRPr="009B7B35" w:rsidRDefault="00BE36FB" w:rsidP="001A7107">
            <w:pPr>
              <w:pStyle w:val="TableText"/>
              <w:rPr>
                <w:rFonts w:cs="Arial"/>
                <w:b/>
                <w:bCs/>
              </w:rPr>
            </w:pPr>
            <w:r w:rsidRPr="009B7B35">
              <w:rPr>
                <w:rFonts w:cs="Arial"/>
                <w:b/>
                <w:bCs/>
              </w:rPr>
              <w:t>AO11</w:t>
            </w:r>
          </w:p>
          <w:p w14:paraId="3DBAD954" w14:textId="77777777" w:rsidR="00BE36FB" w:rsidRPr="009B7B35" w:rsidRDefault="00BE36FB">
            <w:pPr>
              <w:pStyle w:val="TableText"/>
              <w:rPr>
                <w:rFonts w:cs="Arial"/>
              </w:rPr>
            </w:pPr>
            <w:r w:rsidRPr="009B7B35">
              <w:rPr>
                <w:rFonts w:cs="Arial"/>
              </w:rPr>
              <w:t>The maximum GFA for Hardware and Trade supplies is 250m</w:t>
            </w:r>
            <w:r w:rsidRPr="009B7B35">
              <w:rPr>
                <w:rFonts w:cs="Arial"/>
                <w:vertAlign w:val="superscript"/>
              </w:rPr>
              <w:t>2</w:t>
            </w:r>
            <w:r w:rsidRPr="009B7B35">
              <w:rPr>
                <w:rFonts w:cs="Arial"/>
              </w:rPr>
              <w:t>.</w:t>
            </w:r>
          </w:p>
        </w:tc>
      </w:tr>
      <w:tr w:rsidR="00BE36FB" w:rsidRPr="009B7B35" w14:paraId="6B53EA82" w14:textId="77777777" w:rsidTr="001A7107">
        <w:tc>
          <w:tcPr>
            <w:tcW w:w="9356" w:type="dxa"/>
            <w:gridSpan w:val="2"/>
            <w:shd w:val="clear" w:color="auto" w:fill="BFBFBF" w:themeFill="background1" w:themeFillShade="BF"/>
          </w:tcPr>
          <w:p w14:paraId="0AA80852" w14:textId="77777777" w:rsidR="00BE36FB" w:rsidRPr="009B7B35" w:rsidRDefault="00BE36FB" w:rsidP="001A7107">
            <w:pPr>
              <w:pStyle w:val="Tableheading"/>
              <w:rPr>
                <w:rFonts w:ascii="Arial" w:hAnsi="Arial" w:cs="Arial"/>
                <w:szCs w:val="20"/>
              </w:rPr>
            </w:pPr>
            <w:r w:rsidRPr="009B7B35">
              <w:rPr>
                <w:rFonts w:ascii="Arial" w:hAnsi="Arial" w:cs="Arial"/>
                <w:szCs w:val="20"/>
              </w:rPr>
              <w:t>Building design and appearance</w:t>
            </w:r>
          </w:p>
        </w:tc>
      </w:tr>
      <w:tr w:rsidR="00BE36FB" w:rsidRPr="009B7B35" w14:paraId="514A2A0A" w14:textId="77777777" w:rsidTr="001A7107">
        <w:tc>
          <w:tcPr>
            <w:tcW w:w="4678" w:type="dxa"/>
          </w:tcPr>
          <w:p w14:paraId="0D586A53" w14:textId="77777777" w:rsidR="00BE36FB" w:rsidRPr="009B7B35" w:rsidRDefault="00BE36FB" w:rsidP="001A7107">
            <w:pPr>
              <w:pStyle w:val="TableText"/>
              <w:rPr>
                <w:rFonts w:cs="Arial"/>
                <w:b/>
                <w:bCs/>
              </w:rPr>
            </w:pPr>
            <w:r w:rsidRPr="009B7B35">
              <w:rPr>
                <w:rFonts w:cs="Arial"/>
                <w:b/>
                <w:bCs/>
              </w:rPr>
              <w:t>PO12</w:t>
            </w:r>
          </w:p>
          <w:p w14:paraId="13F3B79D" w14:textId="77777777" w:rsidR="00BE36FB" w:rsidRPr="009B7B35" w:rsidRDefault="00BE36FB" w:rsidP="001A7107">
            <w:pPr>
              <w:pStyle w:val="TableText"/>
              <w:rPr>
                <w:rFonts w:cs="Arial"/>
              </w:rPr>
            </w:pPr>
            <w:r w:rsidRPr="009B7B35">
              <w:rPr>
                <w:rFonts w:cs="Arial"/>
              </w:rPr>
              <w:t xml:space="preserve">Buildings are designed to: </w:t>
            </w:r>
          </w:p>
          <w:p w14:paraId="07D7C420" w14:textId="77777777" w:rsidR="00BE36FB" w:rsidRPr="009B7B35" w:rsidRDefault="00BE36FB" w:rsidP="00BE36FB">
            <w:pPr>
              <w:pStyle w:val="TableText"/>
              <w:numPr>
                <w:ilvl w:val="0"/>
                <w:numId w:val="586"/>
              </w:numPr>
              <w:rPr>
                <w:rFonts w:cs="Arial"/>
              </w:rPr>
            </w:pPr>
            <w:r w:rsidRPr="009B7B35">
              <w:rPr>
                <w:rFonts w:cs="Arial"/>
              </w:rPr>
              <w:t>respect and complement the existing character of the area</w:t>
            </w:r>
          </w:p>
          <w:p w14:paraId="7B8BBB0A" w14:textId="77777777" w:rsidR="00BE36FB" w:rsidRPr="009B7B35" w:rsidRDefault="00BE36FB" w:rsidP="00BE36FB">
            <w:pPr>
              <w:pStyle w:val="TableText"/>
              <w:numPr>
                <w:ilvl w:val="0"/>
                <w:numId w:val="586"/>
              </w:numPr>
              <w:rPr>
                <w:rFonts w:cs="Arial"/>
              </w:rPr>
            </w:pPr>
            <w:r w:rsidRPr="009B7B35">
              <w:rPr>
                <w:rFonts w:cs="Arial"/>
              </w:rPr>
              <w:t>maintain an appropriate human scale which is open and readily accessible from the street</w:t>
            </w:r>
          </w:p>
          <w:p w14:paraId="3A937069" w14:textId="77777777" w:rsidR="00BE36FB" w:rsidRPr="009B7B35" w:rsidRDefault="00BE36FB" w:rsidP="00BE36FB">
            <w:pPr>
              <w:pStyle w:val="TableText"/>
              <w:numPr>
                <w:ilvl w:val="0"/>
                <w:numId w:val="586"/>
              </w:numPr>
              <w:rPr>
                <w:rFonts w:cs="Arial"/>
              </w:rPr>
            </w:pPr>
            <w:r w:rsidRPr="009B7B35">
              <w:rPr>
                <w:rFonts w:cs="Arial"/>
              </w:rPr>
              <w:t>minimise the use of highly reflective materials, and</w:t>
            </w:r>
          </w:p>
          <w:p w14:paraId="454C36B3" w14:textId="77777777" w:rsidR="00BE36FB" w:rsidRPr="009B7B35" w:rsidRDefault="00BE36FB" w:rsidP="00BE36FB">
            <w:pPr>
              <w:pStyle w:val="TableText"/>
              <w:numPr>
                <w:ilvl w:val="0"/>
                <w:numId w:val="586"/>
              </w:numPr>
              <w:rPr>
                <w:rFonts w:cs="Arial"/>
              </w:rPr>
            </w:pPr>
            <w:r w:rsidRPr="009B7B35">
              <w:rPr>
                <w:rFonts w:cs="Arial"/>
              </w:rPr>
              <w:t>respond to climatic conditions.</w:t>
            </w:r>
          </w:p>
        </w:tc>
        <w:tc>
          <w:tcPr>
            <w:tcW w:w="4678" w:type="dxa"/>
          </w:tcPr>
          <w:p w14:paraId="17DB409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9001C1E" w14:textId="77777777" w:rsidTr="001A7107">
        <w:tc>
          <w:tcPr>
            <w:tcW w:w="4678" w:type="dxa"/>
          </w:tcPr>
          <w:p w14:paraId="253B9029" w14:textId="77777777" w:rsidR="00BE36FB" w:rsidRPr="009B7B35" w:rsidRDefault="00BE36FB" w:rsidP="001A7107">
            <w:pPr>
              <w:pStyle w:val="TableText"/>
              <w:rPr>
                <w:rFonts w:cs="Arial"/>
                <w:b/>
                <w:bCs/>
              </w:rPr>
            </w:pPr>
            <w:r w:rsidRPr="009B7B35">
              <w:rPr>
                <w:rFonts w:cs="Arial"/>
                <w:b/>
                <w:bCs/>
              </w:rPr>
              <w:t>PO13</w:t>
            </w:r>
          </w:p>
          <w:p w14:paraId="79163627" w14:textId="77777777" w:rsidR="00BE36FB" w:rsidRPr="009B7B35" w:rsidRDefault="00BE36FB" w:rsidP="001A7107">
            <w:pPr>
              <w:pStyle w:val="TableText"/>
              <w:rPr>
                <w:rFonts w:cs="Arial"/>
              </w:rPr>
            </w:pPr>
            <w:r w:rsidRPr="009B7B35">
              <w:rPr>
                <w:rFonts w:cs="Arial"/>
              </w:rPr>
              <w:t>Design elements contribute to an interesting and attractive building through:</w:t>
            </w:r>
          </w:p>
          <w:p w14:paraId="64287E63" w14:textId="77777777" w:rsidR="00BE36FB" w:rsidRPr="009B7B35" w:rsidRDefault="00BE36FB" w:rsidP="00BE36FB">
            <w:pPr>
              <w:pStyle w:val="TableText"/>
              <w:numPr>
                <w:ilvl w:val="0"/>
                <w:numId w:val="587"/>
              </w:numPr>
              <w:rPr>
                <w:rFonts w:cs="Arial"/>
              </w:rPr>
            </w:pPr>
            <w:r w:rsidRPr="009B7B35">
              <w:rPr>
                <w:rFonts w:cs="Arial"/>
              </w:rPr>
              <w:t>variations in materials and building form to enable articulation of facades and differentiation between buildings</w:t>
            </w:r>
          </w:p>
          <w:p w14:paraId="00857E80" w14:textId="77777777" w:rsidR="00BE36FB" w:rsidRPr="009B7B35" w:rsidRDefault="00BE36FB" w:rsidP="00BE36FB">
            <w:pPr>
              <w:pStyle w:val="TableText"/>
              <w:numPr>
                <w:ilvl w:val="0"/>
                <w:numId w:val="587"/>
              </w:numPr>
              <w:rPr>
                <w:rFonts w:cs="Arial"/>
              </w:rPr>
            </w:pPr>
            <w:r w:rsidRPr="009B7B35">
              <w:rPr>
                <w:rFonts w:cs="Arial"/>
              </w:rPr>
              <w:t>modulation in the façade, horizontally or vertically</w:t>
            </w:r>
          </w:p>
          <w:p w14:paraId="1C52A282" w14:textId="77777777" w:rsidR="00BE36FB" w:rsidRPr="009B7B35" w:rsidRDefault="00BE36FB" w:rsidP="00BE36FB">
            <w:pPr>
              <w:pStyle w:val="TableText"/>
              <w:numPr>
                <w:ilvl w:val="0"/>
                <w:numId w:val="587"/>
              </w:numPr>
              <w:rPr>
                <w:rFonts w:cs="Arial"/>
              </w:rPr>
            </w:pPr>
            <w:r w:rsidRPr="009B7B35">
              <w:rPr>
                <w:rFonts w:cs="Arial"/>
              </w:rPr>
              <w:t>articulation of building entrances and openings</w:t>
            </w:r>
          </w:p>
          <w:p w14:paraId="29311CF0" w14:textId="77777777" w:rsidR="00BE36FB" w:rsidRPr="009B7B35" w:rsidRDefault="00BE36FB" w:rsidP="00BE36FB">
            <w:pPr>
              <w:pStyle w:val="TableText"/>
              <w:numPr>
                <w:ilvl w:val="0"/>
                <w:numId w:val="587"/>
              </w:numPr>
              <w:rPr>
                <w:rFonts w:cs="Arial"/>
              </w:rPr>
            </w:pPr>
            <w:r w:rsidRPr="009B7B35">
              <w:rPr>
                <w:rFonts w:cs="Arial"/>
              </w:rPr>
              <w:t>corner treatments to address both street frontages, and</w:t>
            </w:r>
          </w:p>
          <w:p w14:paraId="5C2FDBA5" w14:textId="77777777" w:rsidR="00BE36FB" w:rsidRPr="009B7B35" w:rsidRDefault="00BE36FB" w:rsidP="00BE36FB">
            <w:pPr>
              <w:pStyle w:val="TableText"/>
              <w:numPr>
                <w:ilvl w:val="0"/>
                <w:numId w:val="587"/>
              </w:numPr>
              <w:rPr>
                <w:rFonts w:cs="Arial"/>
              </w:rPr>
            </w:pPr>
            <w:r w:rsidRPr="009B7B35">
              <w:rPr>
                <w:rFonts w:cs="Arial"/>
              </w:rPr>
              <w:t>elements which assist in wayfinding and legibility.</w:t>
            </w:r>
          </w:p>
        </w:tc>
        <w:tc>
          <w:tcPr>
            <w:tcW w:w="4678" w:type="dxa"/>
          </w:tcPr>
          <w:p w14:paraId="330A30D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56F74CF" w14:textId="77777777" w:rsidTr="001A7107">
        <w:trPr>
          <w:cantSplit/>
        </w:trPr>
        <w:tc>
          <w:tcPr>
            <w:tcW w:w="4678" w:type="dxa"/>
          </w:tcPr>
          <w:p w14:paraId="04438258" w14:textId="77777777" w:rsidR="00BE36FB" w:rsidRPr="009B7B35" w:rsidRDefault="00BE36FB" w:rsidP="001A7107">
            <w:pPr>
              <w:pStyle w:val="TableText"/>
              <w:rPr>
                <w:rFonts w:cs="Arial"/>
                <w:b/>
                <w:bCs/>
              </w:rPr>
            </w:pPr>
            <w:r w:rsidRPr="009B7B35">
              <w:rPr>
                <w:rFonts w:cs="Arial"/>
                <w:b/>
                <w:bCs/>
              </w:rPr>
              <w:t>PO14</w:t>
            </w:r>
          </w:p>
          <w:p w14:paraId="2CEC1C79" w14:textId="77777777" w:rsidR="00BE36FB" w:rsidRPr="009B7B35" w:rsidRDefault="00BE36FB" w:rsidP="001A7107">
            <w:pPr>
              <w:pStyle w:val="TableText"/>
              <w:rPr>
                <w:rFonts w:cs="Arial"/>
              </w:rPr>
            </w:pPr>
            <w:r w:rsidRPr="009B7B35">
              <w:rPr>
                <w:rFonts w:cs="Arial"/>
              </w:rPr>
              <w:t>Building caps and rooftops contribute to the architectural distinction of the building, and effectively screen service structures, lift over–runs, plant and equipment.</w:t>
            </w:r>
          </w:p>
        </w:tc>
        <w:tc>
          <w:tcPr>
            <w:tcW w:w="4678" w:type="dxa"/>
          </w:tcPr>
          <w:p w14:paraId="790D11C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2ED8797" w14:textId="77777777" w:rsidTr="001A7107">
        <w:trPr>
          <w:cantSplit/>
        </w:trPr>
        <w:tc>
          <w:tcPr>
            <w:tcW w:w="4678" w:type="dxa"/>
          </w:tcPr>
          <w:p w14:paraId="1FE0CC31" w14:textId="77777777" w:rsidR="00BE36FB" w:rsidRPr="009B7B35" w:rsidRDefault="00BE36FB" w:rsidP="001A7107">
            <w:pPr>
              <w:pStyle w:val="TableText"/>
              <w:rPr>
                <w:rFonts w:cs="Arial"/>
                <w:b/>
                <w:bCs/>
              </w:rPr>
            </w:pPr>
            <w:r w:rsidRPr="009B7B35">
              <w:rPr>
                <w:rFonts w:cs="Arial"/>
                <w:b/>
                <w:bCs/>
              </w:rPr>
              <w:t>PO15</w:t>
            </w:r>
          </w:p>
          <w:p w14:paraId="0E0646F9" w14:textId="77777777" w:rsidR="00BE36FB" w:rsidRPr="009B7B35" w:rsidRDefault="00BE36FB" w:rsidP="001A7107">
            <w:pPr>
              <w:pStyle w:val="TableText"/>
              <w:rPr>
                <w:rFonts w:cs="Arial"/>
              </w:rPr>
            </w:pPr>
            <w:r w:rsidRPr="009B7B35">
              <w:rPr>
                <w:rFonts w:cs="Arial"/>
              </w:rPr>
              <w:t>Development is designed to facilitate the safety and security of people and property having regard to:</w:t>
            </w:r>
          </w:p>
          <w:p w14:paraId="21DD89C3" w14:textId="77777777" w:rsidR="00BE36FB" w:rsidRPr="009B7B35" w:rsidRDefault="00BE36FB" w:rsidP="00BE36FB">
            <w:pPr>
              <w:pStyle w:val="TableText"/>
              <w:numPr>
                <w:ilvl w:val="0"/>
                <w:numId w:val="588"/>
              </w:numPr>
              <w:rPr>
                <w:rFonts w:cs="Arial"/>
              </w:rPr>
            </w:pPr>
            <w:r w:rsidRPr="009B7B35">
              <w:rPr>
                <w:rFonts w:cs="Arial"/>
              </w:rPr>
              <w:t xml:space="preserve">maximising casual surveillance and sight lines </w:t>
            </w:r>
          </w:p>
          <w:p w14:paraId="4AFAC65F" w14:textId="77777777" w:rsidR="00BE36FB" w:rsidRPr="009B7B35" w:rsidRDefault="00BE36FB" w:rsidP="00BE36FB">
            <w:pPr>
              <w:pStyle w:val="TableText"/>
              <w:numPr>
                <w:ilvl w:val="0"/>
                <w:numId w:val="588"/>
              </w:numPr>
              <w:rPr>
                <w:rFonts w:cs="Arial"/>
              </w:rPr>
            </w:pPr>
            <w:r w:rsidRPr="009B7B35">
              <w:rPr>
                <w:rFonts w:cs="Arial"/>
              </w:rPr>
              <w:t>exterior building design that promotes safety</w:t>
            </w:r>
          </w:p>
          <w:p w14:paraId="1198FDC3" w14:textId="77777777" w:rsidR="00BE36FB" w:rsidRPr="009B7B35" w:rsidRDefault="00BE36FB" w:rsidP="00BE36FB">
            <w:pPr>
              <w:pStyle w:val="TableText"/>
              <w:numPr>
                <w:ilvl w:val="0"/>
                <w:numId w:val="588"/>
              </w:numPr>
              <w:rPr>
                <w:rFonts w:cs="Arial"/>
              </w:rPr>
            </w:pPr>
            <w:r w:rsidRPr="009B7B35">
              <w:rPr>
                <w:rFonts w:cs="Arial"/>
              </w:rPr>
              <w:t>adequate lighting</w:t>
            </w:r>
          </w:p>
          <w:p w14:paraId="354BCDC0" w14:textId="77777777" w:rsidR="00BE36FB" w:rsidRPr="009B7B35" w:rsidRDefault="00BE36FB" w:rsidP="00BE36FB">
            <w:pPr>
              <w:pStyle w:val="TableText"/>
              <w:numPr>
                <w:ilvl w:val="0"/>
                <w:numId w:val="588"/>
              </w:numPr>
              <w:rPr>
                <w:rFonts w:cs="Arial"/>
              </w:rPr>
            </w:pPr>
            <w:r w:rsidRPr="009B7B35">
              <w:rPr>
                <w:rFonts w:cs="Arial"/>
              </w:rPr>
              <w:t>appropriate signage and wayfinding</w:t>
            </w:r>
          </w:p>
          <w:p w14:paraId="38210329" w14:textId="77777777" w:rsidR="00BE36FB" w:rsidRPr="009B7B35" w:rsidRDefault="00BE36FB" w:rsidP="00BE36FB">
            <w:pPr>
              <w:pStyle w:val="TableText"/>
              <w:numPr>
                <w:ilvl w:val="0"/>
                <w:numId w:val="588"/>
              </w:numPr>
              <w:rPr>
                <w:rFonts w:cs="Arial"/>
              </w:rPr>
            </w:pPr>
            <w:r w:rsidRPr="009B7B35">
              <w:rPr>
                <w:rFonts w:cs="Arial"/>
              </w:rPr>
              <w:t>minimisation of personal concealment and entrapment locations, and</w:t>
            </w:r>
          </w:p>
          <w:p w14:paraId="65830F83" w14:textId="77777777" w:rsidR="00BE36FB" w:rsidRPr="009B7B35" w:rsidRDefault="00BE36FB" w:rsidP="00BE36FB">
            <w:pPr>
              <w:pStyle w:val="TableText"/>
              <w:numPr>
                <w:ilvl w:val="0"/>
                <w:numId w:val="588"/>
              </w:numPr>
              <w:rPr>
                <w:rFonts w:cs="Arial"/>
              </w:rPr>
            </w:pPr>
            <w:r w:rsidRPr="009B7B35">
              <w:rPr>
                <w:rFonts w:cs="Arial"/>
              </w:rPr>
              <w:t>building entrances, parking, loading and storage areas that are well lit and have clearly defined access points.</w:t>
            </w:r>
          </w:p>
          <w:p w14:paraId="6FF709B3" w14:textId="77777777" w:rsidR="00BE36FB" w:rsidRPr="009B7B35" w:rsidRDefault="00BE36FB" w:rsidP="001A7107">
            <w:pPr>
              <w:pStyle w:val="Notes"/>
              <w:rPr>
                <w:rFonts w:cs="Arial"/>
                <w:sz w:val="20"/>
                <w:szCs w:val="20"/>
              </w:rPr>
            </w:pPr>
            <w:r w:rsidRPr="009B7B35">
              <w:rPr>
                <w:rFonts w:cs="Arial"/>
                <w:sz w:val="20"/>
                <w:szCs w:val="20"/>
              </w:rPr>
              <w:t xml:space="preserve">Note—Applicants should have regard to </w:t>
            </w:r>
            <w:hyperlink r:id="rId63" w:tgtFrame="_blank" w:tooltip="Crime Prevention through Environmental Design Guidelines for Queensland" w:history="1">
              <w:r w:rsidRPr="009B7B35">
                <w:rPr>
                  <w:rStyle w:val="Hyperlink"/>
                  <w:rFonts w:cs="Arial"/>
                  <w:sz w:val="20"/>
                  <w:szCs w:val="20"/>
                </w:rPr>
                <w:t>Crime Prevention through Environmental Design Guidelines for Queensland</w:t>
              </w:r>
            </w:hyperlink>
            <w:r w:rsidRPr="009B7B35">
              <w:rPr>
                <w:rFonts w:cs="Arial"/>
                <w:sz w:val="20"/>
                <w:szCs w:val="20"/>
              </w:rPr>
              <w:t>.</w:t>
            </w:r>
          </w:p>
        </w:tc>
        <w:tc>
          <w:tcPr>
            <w:tcW w:w="4678" w:type="dxa"/>
          </w:tcPr>
          <w:p w14:paraId="733C148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0DD2679" w14:textId="77777777" w:rsidTr="001A7107">
        <w:trPr>
          <w:cantSplit/>
        </w:trPr>
        <w:tc>
          <w:tcPr>
            <w:tcW w:w="9356" w:type="dxa"/>
            <w:gridSpan w:val="2"/>
            <w:shd w:val="clear" w:color="auto" w:fill="BFBFBF" w:themeFill="background1" w:themeFillShade="BF"/>
          </w:tcPr>
          <w:p w14:paraId="4D779D5F" w14:textId="77777777" w:rsidR="00BE36FB" w:rsidRPr="009B7B35" w:rsidRDefault="00BE36FB" w:rsidP="001A7107">
            <w:pPr>
              <w:pStyle w:val="Tableheading"/>
              <w:rPr>
                <w:rFonts w:ascii="Arial" w:hAnsi="Arial" w:cs="Arial"/>
                <w:szCs w:val="20"/>
              </w:rPr>
            </w:pPr>
            <w:r w:rsidRPr="009B7B35">
              <w:rPr>
                <w:rFonts w:ascii="Arial" w:hAnsi="Arial" w:cs="Arial"/>
                <w:szCs w:val="20"/>
              </w:rPr>
              <w:t>Street interface</w:t>
            </w:r>
          </w:p>
        </w:tc>
      </w:tr>
      <w:tr w:rsidR="00BE36FB" w:rsidRPr="009B7B35" w14:paraId="27738F61" w14:textId="77777777" w:rsidTr="001A7107">
        <w:trPr>
          <w:cantSplit/>
        </w:trPr>
        <w:tc>
          <w:tcPr>
            <w:tcW w:w="4678" w:type="dxa"/>
          </w:tcPr>
          <w:p w14:paraId="3F19A515" w14:textId="77777777" w:rsidR="00BE36FB" w:rsidRPr="009B7B35" w:rsidRDefault="00BE36FB" w:rsidP="001A7107">
            <w:pPr>
              <w:pStyle w:val="TableText"/>
              <w:rPr>
                <w:rFonts w:cs="Arial"/>
                <w:b/>
                <w:bCs/>
              </w:rPr>
            </w:pPr>
            <w:r w:rsidRPr="009B7B35">
              <w:rPr>
                <w:rFonts w:cs="Arial"/>
                <w:b/>
                <w:bCs/>
              </w:rPr>
              <w:t>PO16</w:t>
            </w:r>
          </w:p>
          <w:p w14:paraId="55DEE827" w14:textId="77777777" w:rsidR="00BE36FB" w:rsidRPr="009B7B35" w:rsidRDefault="00BE36FB" w:rsidP="001A7107">
            <w:pPr>
              <w:pStyle w:val="TableText"/>
              <w:rPr>
                <w:rFonts w:cs="Arial"/>
              </w:rPr>
            </w:pPr>
            <w:r w:rsidRPr="009B7B35">
              <w:rPr>
                <w:rFonts w:cs="Arial"/>
              </w:rPr>
              <w:t>Development is oriented to address all street frontages, public open space and public areas to:</w:t>
            </w:r>
          </w:p>
          <w:p w14:paraId="637CF715" w14:textId="77777777" w:rsidR="00BE36FB" w:rsidRPr="009B7B35" w:rsidRDefault="00BE36FB" w:rsidP="00BE36FB">
            <w:pPr>
              <w:pStyle w:val="TableText"/>
              <w:numPr>
                <w:ilvl w:val="0"/>
                <w:numId w:val="589"/>
              </w:numPr>
              <w:rPr>
                <w:rFonts w:cs="Arial"/>
              </w:rPr>
            </w:pPr>
            <w:r w:rsidRPr="009B7B35">
              <w:rPr>
                <w:rFonts w:cs="Arial"/>
              </w:rPr>
              <w:t>promote interaction and casual surveillance</w:t>
            </w:r>
          </w:p>
          <w:p w14:paraId="4C1FD571" w14:textId="77777777" w:rsidR="00BE36FB" w:rsidRPr="009B7B35" w:rsidRDefault="00BE36FB" w:rsidP="00BE36FB">
            <w:pPr>
              <w:pStyle w:val="TableText"/>
              <w:numPr>
                <w:ilvl w:val="0"/>
                <w:numId w:val="589"/>
              </w:numPr>
              <w:rPr>
                <w:rFonts w:cs="Arial"/>
              </w:rPr>
            </w:pPr>
            <w:r w:rsidRPr="009B7B35">
              <w:rPr>
                <w:rFonts w:cs="Arial"/>
              </w:rPr>
              <w:t>concentrate and reinforce pedestrian activity</w:t>
            </w:r>
          </w:p>
          <w:p w14:paraId="7C4C30B4" w14:textId="77777777" w:rsidR="00BE36FB" w:rsidRPr="009B7B35" w:rsidRDefault="00BE36FB" w:rsidP="00BE36FB">
            <w:pPr>
              <w:pStyle w:val="TableText"/>
              <w:numPr>
                <w:ilvl w:val="0"/>
                <w:numId w:val="589"/>
              </w:numPr>
              <w:rPr>
                <w:rFonts w:cs="Arial"/>
              </w:rPr>
            </w:pPr>
            <w:r w:rsidRPr="009B7B35">
              <w:rPr>
                <w:rFonts w:cs="Arial"/>
              </w:rPr>
              <w:t>avoid opaque facades to provide visual interest to the frontage, and</w:t>
            </w:r>
          </w:p>
          <w:p w14:paraId="11F575BC" w14:textId="77777777" w:rsidR="00BE36FB" w:rsidRPr="009B7B35" w:rsidRDefault="00BE36FB" w:rsidP="00BE36FB">
            <w:pPr>
              <w:pStyle w:val="TableText"/>
              <w:numPr>
                <w:ilvl w:val="0"/>
                <w:numId w:val="589"/>
              </w:numPr>
              <w:rPr>
                <w:rFonts w:cs="Arial"/>
              </w:rPr>
            </w:pPr>
            <w:r w:rsidRPr="009B7B35">
              <w:rPr>
                <w:rFonts w:cs="Arial"/>
              </w:rPr>
              <w:t>clearly define the public and private realm.</w:t>
            </w:r>
          </w:p>
        </w:tc>
        <w:tc>
          <w:tcPr>
            <w:tcW w:w="4678" w:type="dxa"/>
          </w:tcPr>
          <w:p w14:paraId="10B2690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83708AB" w14:textId="77777777" w:rsidTr="001A7107">
        <w:trPr>
          <w:cantSplit/>
        </w:trPr>
        <w:tc>
          <w:tcPr>
            <w:tcW w:w="4678" w:type="dxa"/>
          </w:tcPr>
          <w:p w14:paraId="1750364F" w14:textId="77777777" w:rsidR="00BE36FB" w:rsidRPr="009B7B35" w:rsidRDefault="00BE36FB" w:rsidP="001A7107">
            <w:pPr>
              <w:pStyle w:val="TableText"/>
              <w:rPr>
                <w:rFonts w:cs="Arial"/>
                <w:b/>
                <w:bCs/>
              </w:rPr>
            </w:pPr>
            <w:r w:rsidRPr="009B7B35">
              <w:rPr>
                <w:rFonts w:cs="Arial"/>
                <w:b/>
                <w:bCs/>
              </w:rPr>
              <w:t>PO17</w:t>
            </w:r>
          </w:p>
          <w:p w14:paraId="7B4045C5" w14:textId="77777777" w:rsidR="00BE36FB" w:rsidRPr="009B7B35" w:rsidRDefault="00BE36FB" w:rsidP="001A7107">
            <w:pPr>
              <w:pStyle w:val="TableText"/>
              <w:rPr>
                <w:rFonts w:cs="Arial"/>
              </w:rPr>
            </w:pPr>
            <w:r w:rsidRPr="009B7B35">
              <w:rPr>
                <w:rFonts w:cs="Arial"/>
              </w:rPr>
              <w:t>Buildings and pedestrian entries:</w:t>
            </w:r>
          </w:p>
          <w:p w14:paraId="6BC184EF" w14:textId="77777777" w:rsidR="00BE36FB" w:rsidRPr="009B7B35" w:rsidRDefault="00BE36FB" w:rsidP="00BE36FB">
            <w:pPr>
              <w:pStyle w:val="TableText"/>
              <w:numPr>
                <w:ilvl w:val="0"/>
                <w:numId w:val="474"/>
              </w:numPr>
              <w:rPr>
                <w:rFonts w:cs="Arial"/>
              </w:rPr>
            </w:pPr>
            <w:r w:rsidRPr="009B7B35">
              <w:rPr>
                <w:rFonts w:cs="Arial"/>
              </w:rPr>
              <w:t>are visible from the street and car parking areas</w:t>
            </w:r>
          </w:p>
          <w:p w14:paraId="7A15B417" w14:textId="77777777" w:rsidR="00BE36FB" w:rsidRPr="009B7B35" w:rsidRDefault="00BE36FB" w:rsidP="00BE36FB">
            <w:pPr>
              <w:pStyle w:val="TableText"/>
              <w:numPr>
                <w:ilvl w:val="0"/>
                <w:numId w:val="474"/>
              </w:numPr>
              <w:rPr>
                <w:rFonts w:cs="Arial"/>
              </w:rPr>
            </w:pPr>
            <w:r w:rsidRPr="009B7B35">
              <w:rPr>
                <w:rFonts w:cs="Arial"/>
              </w:rPr>
              <w:t>incorporate sun and rain shelter such as overhangs, and</w:t>
            </w:r>
          </w:p>
          <w:p w14:paraId="2DAACC85" w14:textId="77777777" w:rsidR="00BE36FB" w:rsidRPr="009B7B35" w:rsidRDefault="00BE36FB" w:rsidP="00BE36FB">
            <w:pPr>
              <w:pStyle w:val="TableText"/>
              <w:numPr>
                <w:ilvl w:val="0"/>
                <w:numId w:val="474"/>
              </w:numPr>
              <w:rPr>
                <w:rFonts w:cs="Arial"/>
              </w:rPr>
            </w:pPr>
            <w:r w:rsidRPr="009B7B35">
              <w:rPr>
                <w:rFonts w:cs="Arial"/>
              </w:rPr>
              <w:t>are defined by design elements (such as doors and landscaping, etc).</w:t>
            </w:r>
          </w:p>
        </w:tc>
        <w:tc>
          <w:tcPr>
            <w:tcW w:w="4678" w:type="dxa"/>
          </w:tcPr>
          <w:p w14:paraId="0C74CF0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6A9F8DF" w14:textId="77777777" w:rsidTr="001A7107">
        <w:trPr>
          <w:cantSplit/>
        </w:trPr>
        <w:tc>
          <w:tcPr>
            <w:tcW w:w="4678" w:type="dxa"/>
          </w:tcPr>
          <w:p w14:paraId="7254931C" w14:textId="77777777" w:rsidR="00BE36FB" w:rsidRPr="009B7B35" w:rsidRDefault="00BE36FB" w:rsidP="001A7107">
            <w:pPr>
              <w:pStyle w:val="TableText"/>
              <w:rPr>
                <w:rFonts w:cs="Arial"/>
                <w:b/>
                <w:bCs/>
              </w:rPr>
            </w:pPr>
            <w:r w:rsidRPr="009B7B35">
              <w:rPr>
                <w:rFonts w:cs="Arial"/>
                <w:b/>
                <w:bCs/>
              </w:rPr>
              <w:t>PO18</w:t>
            </w:r>
          </w:p>
          <w:p w14:paraId="319C9747" w14:textId="77777777" w:rsidR="00BE36FB" w:rsidRPr="009B7B35" w:rsidRDefault="00BE36FB" w:rsidP="001A7107">
            <w:pPr>
              <w:pStyle w:val="TableText"/>
              <w:rPr>
                <w:rFonts w:cs="Arial"/>
              </w:rPr>
            </w:pPr>
            <w:r w:rsidRPr="009B7B35">
              <w:rPr>
                <w:rFonts w:cs="Arial"/>
              </w:rPr>
              <w:t>Buildings includes windows and openings to:</w:t>
            </w:r>
          </w:p>
          <w:p w14:paraId="5F644D3E" w14:textId="77777777" w:rsidR="00BE36FB" w:rsidRPr="009B7B35" w:rsidRDefault="00BE36FB" w:rsidP="00BE36FB">
            <w:pPr>
              <w:pStyle w:val="TableText"/>
              <w:numPr>
                <w:ilvl w:val="0"/>
                <w:numId w:val="245"/>
              </w:numPr>
              <w:rPr>
                <w:rFonts w:cs="Arial"/>
              </w:rPr>
            </w:pPr>
            <w:r w:rsidRPr="009B7B35">
              <w:rPr>
                <w:rFonts w:cs="Arial"/>
              </w:rPr>
              <w:t>promote street life and business activities</w:t>
            </w:r>
          </w:p>
          <w:p w14:paraId="25F4242F" w14:textId="77777777" w:rsidR="00BE36FB" w:rsidRPr="009B7B35" w:rsidRDefault="00BE36FB" w:rsidP="00BE36FB">
            <w:pPr>
              <w:pStyle w:val="TableText"/>
              <w:numPr>
                <w:ilvl w:val="0"/>
                <w:numId w:val="245"/>
              </w:numPr>
              <w:rPr>
                <w:rFonts w:cs="Arial"/>
              </w:rPr>
            </w:pPr>
            <w:r w:rsidRPr="009B7B35">
              <w:rPr>
                <w:rFonts w:cs="Arial"/>
              </w:rPr>
              <w:t>encourage strong indoor/outdoor relationships at ground level, and</w:t>
            </w:r>
          </w:p>
          <w:p w14:paraId="221CDEB1" w14:textId="77777777" w:rsidR="00BE36FB" w:rsidRPr="009B7B35" w:rsidRDefault="00BE36FB" w:rsidP="00BE36FB">
            <w:pPr>
              <w:pStyle w:val="TableText"/>
              <w:numPr>
                <w:ilvl w:val="0"/>
                <w:numId w:val="245"/>
              </w:numPr>
              <w:rPr>
                <w:rFonts w:cs="Arial"/>
              </w:rPr>
            </w:pPr>
            <w:r w:rsidRPr="009B7B35">
              <w:rPr>
                <w:rFonts w:cs="Arial"/>
              </w:rPr>
              <w:t>to facilitate casual surveillance.</w:t>
            </w:r>
          </w:p>
        </w:tc>
        <w:tc>
          <w:tcPr>
            <w:tcW w:w="4678" w:type="dxa"/>
          </w:tcPr>
          <w:p w14:paraId="4897E7F2"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4A09259" w14:textId="77777777" w:rsidTr="001A7107">
        <w:trPr>
          <w:cantSplit/>
        </w:trPr>
        <w:tc>
          <w:tcPr>
            <w:tcW w:w="4678" w:type="dxa"/>
          </w:tcPr>
          <w:p w14:paraId="41BD4134" w14:textId="77777777" w:rsidR="00BE36FB" w:rsidRPr="009B7B35" w:rsidRDefault="00BE36FB" w:rsidP="001A7107">
            <w:pPr>
              <w:pStyle w:val="TableText"/>
              <w:rPr>
                <w:rFonts w:cs="Arial"/>
                <w:b/>
                <w:bCs/>
              </w:rPr>
            </w:pPr>
            <w:r w:rsidRPr="009B7B35">
              <w:rPr>
                <w:rFonts w:cs="Arial"/>
                <w:b/>
                <w:bCs/>
              </w:rPr>
              <w:t>PO19</w:t>
            </w:r>
          </w:p>
          <w:p w14:paraId="147B3897" w14:textId="77777777" w:rsidR="00BE36FB" w:rsidRPr="009B7B35" w:rsidRDefault="00BE36FB" w:rsidP="001A7107">
            <w:pPr>
              <w:pStyle w:val="TableText"/>
              <w:rPr>
                <w:rFonts w:cs="Arial"/>
              </w:rPr>
            </w:pPr>
            <w:r w:rsidRPr="009B7B35">
              <w:rPr>
                <w:rFonts w:cs="Arial"/>
              </w:rPr>
              <w:t>Development ensures safe, convenient and legible connections are provided:</w:t>
            </w:r>
          </w:p>
          <w:p w14:paraId="5636C462" w14:textId="77777777" w:rsidR="00BE36FB" w:rsidRPr="009B7B35" w:rsidRDefault="00BE36FB" w:rsidP="00BE36FB">
            <w:pPr>
              <w:pStyle w:val="TableText"/>
              <w:numPr>
                <w:ilvl w:val="0"/>
                <w:numId w:val="475"/>
              </w:numPr>
              <w:rPr>
                <w:rFonts w:cs="Arial"/>
              </w:rPr>
            </w:pPr>
            <w:r w:rsidRPr="009B7B35">
              <w:rPr>
                <w:rFonts w:cs="Arial"/>
              </w:rPr>
              <w:t>for pedestrians and cyclists to, from and within the site</w:t>
            </w:r>
          </w:p>
          <w:p w14:paraId="0E18C10A" w14:textId="77777777" w:rsidR="00BE36FB" w:rsidRPr="009B7B35" w:rsidRDefault="00BE36FB" w:rsidP="00BE36FB">
            <w:pPr>
              <w:pStyle w:val="TableText"/>
              <w:numPr>
                <w:ilvl w:val="0"/>
                <w:numId w:val="475"/>
              </w:numPr>
              <w:rPr>
                <w:rFonts w:cs="Arial"/>
              </w:rPr>
            </w:pPr>
            <w:r w:rsidRPr="009B7B35">
              <w:rPr>
                <w:rFonts w:cs="Arial"/>
              </w:rPr>
              <w:t>to public transport infrastructure, open space, parkland, public spaces and community–related activities.</w:t>
            </w:r>
          </w:p>
        </w:tc>
        <w:tc>
          <w:tcPr>
            <w:tcW w:w="4678" w:type="dxa"/>
          </w:tcPr>
          <w:p w14:paraId="66B26383"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B71A6FD" w14:textId="77777777" w:rsidTr="001A7107">
        <w:trPr>
          <w:cantSplit/>
        </w:trPr>
        <w:tc>
          <w:tcPr>
            <w:tcW w:w="4678" w:type="dxa"/>
          </w:tcPr>
          <w:p w14:paraId="7F1B4089" w14:textId="77777777" w:rsidR="00BE36FB" w:rsidRPr="009B7B35" w:rsidRDefault="00BE36FB" w:rsidP="001A7107">
            <w:pPr>
              <w:pStyle w:val="TableText"/>
              <w:rPr>
                <w:rFonts w:cs="Arial"/>
                <w:b/>
                <w:bCs/>
              </w:rPr>
            </w:pPr>
            <w:r w:rsidRPr="009B7B35">
              <w:rPr>
                <w:rFonts w:cs="Arial"/>
                <w:b/>
                <w:bCs/>
              </w:rPr>
              <w:t>PO20</w:t>
            </w:r>
          </w:p>
          <w:p w14:paraId="5387D0AA" w14:textId="77777777" w:rsidR="00BE36FB" w:rsidRPr="009B7B35" w:rsidRDefault="00BE36FB" w:rsidP="001A7107">
            <w:pPr>
              <w:pStyle w:val="TableText"/>
              <w:rPr>
                <w:rFonts w:cs="Arial"/>
              </w:rPr>
            </w:pPr>
            <w:r w:rsidRPr="009B7B35">
              <w:rPr>
                <w:rFonts w:cs="Arial"/>
              </w:rPr>
              <w:t>Development contributes towards high quality streetscape outcomes that integrate effectively with primary frontages along Goondoon Street. This may include the provision of street trees, street furniture, paving and public art.</w:t>
            </w:r>
          </w:p>
          <w:p w14:paraId="1C5CDE34"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p w14:paraId="31C53F91" w14:textId="77777777" w:rsidR="00BE36FB" w:rsidRPr="009B7B35" w:rsidRDefault="00BE36FB" w:rsidP="001A7107">
            <w:pPr>
              <w:pStyle w:val="Notes"/>
              <w:rPr>
                <w:rFonts w:cs="Arial"/>
                <w:sz w:val="20"/>
                <w:szCs w:val="20"/>
              </w:rPr>
            </w:pPr>
            <w:r w:rsidRPr="009B7B35">
              <w:rPr>
                <w:rFonts w:cs="Arial"/>
                <w:sz w:val="20"/>
                <w:szCs w:val="20"/>
              </w:rPr>
              <w:t xml:space="preserve">Note—Streetscape treatments are undertaken in accordance with the </w:t>
            </w:r>
            <w:r w:rsidRPr="009B7B35">
              <w:rPr>
                <w:rFonts w:cs="Arial"/>
                <w:i/>
                <w:sz w:val="20"/>
                <w:szCs w:val="20"/>
              </w:rPr>
              <w:t>CBD redevelopment planning scheme policy</w:t>
            </w:r>
            <w:r w:rsidRPr="009B7B35">
              <w:rPr>
                <w:rFonts w:cs="Arial"/>
                <w:sz w:val="20"/>
                <w:szCs w:val="20"/>
              </w:rPr>
              <w:t>.</w:t>
            </w:r>
          </w:p>
        </w:tc>
        <w:tc>
          <w:tcPr>
            <w:tcW w:w="4678" w:type="dxa"/>
          </w:tcPr>
          <w:p w14:paraId="77246CDF" w14:textId="77777777" w:rsidR="00BE36FB" w:rsidRPr="009B7B35" w:rsidRDefault="00BE36FB" w:rsidP="001A7107">
            <w:pPr>
              <w:pStyle w:val="TableText"/>
              <w:rPr>
                <w:rFonts w:cs="Arial"/>
                <w:i/>
              </w:rPr>
            </w:pPr>
            <w:r w:rsidRPr="009B7B35">
              <w:rPr>
                <w:rFonts w:cs="Arial"/>
              </w:rPr>
              <w:t>No acceptable outcome is nominated.</w:t>
            </w:r>
          </w:p>
        </w:tc>
      </w:tr>
      <w:tr w:rsidR="00BE36FB" w:rsidRPr="009B7B35" w14:paraId="5AC4D998" w14:textId="77777777" w:rsidTr="001A7107">
        <w:tc>
          <w:tcPr>
            <w:tcW w:w="4678" w:type="dxa"/>
          </w:tcPr>
          <w:p w14:paraId="62201B0A" w14:textId="77777777" w:rsidR="00BE36FB" w:rsidRPr="009B7B35" w:rsidRDefault="00BE36FB" w:rsidP="001A7107">
            <w:pPr>
              <w:pStyle w:val="TableText"/>
              <w:rPr>
                <w:rFonts w:cs="Arial"/>
                <w:b/>
                <w:bCs/>
              </w:rPr>
            </w:pPr>
            <w:r w:rsidRPr="009B7B35">
              <w:rPr>
                <w:rFonts w:cs="Arial"/>
                <w:b/>
                <w:bCs/>
              </w:rPr>
              <w:t>PO21</w:t>
            </w:r>
          </w:p>
          <w:p w14:paraId="04BA3464" w14:textId="77777777" w:rsidR="00BE36FB" w:rsidRPr="009B7B35" w:rsidRDefault="00BE36FB" w:rsidP="001A7107">
            <w:pPr>
              <w:rPr>
                <w:rFonts w:cs="Arial"/>
                <w:sz w:val="20"/>
                <w:szCs w:val="20"/>
              </w:rPr>
            </w:pPr>
            <w:r w:rsidRPr="009B7B35">
              <w:rPr>
                <w:rFonts w:cs="Arial"/>
                <w:sz w:val="20"/>
                <w:szCs w:val="20"/>
              </w:rPr>
              <w:t xml:space="preserve">Awnings: </w:t>
            </w:r>
          </w:p>
          <w:p w14:paraId="76788710" w14:textId="77777777" w:rsidR="00BE36FB" w:rsidRPr="009B7B35" w:rsidRDefault="00BE36FB" w:rsidP="00BE36FB">
            <w:pPr>
              <w:pStyle w:val="TableText"/>
              <w:numPr>
                <w:ilvl w:val="0"/>
                <w:numId w:val="476"/>
              </w:numPr>
              <w:rPr>
                <w:rFonts w:cs="Arial"/>
              </w:rPr>
            </w:pPr>
            <w:r w:rsidRPr="009B7B35">
              <w:rPr>
                <w:rFonts w:cs="Arial"/>
              </w:rPr>
              <w:t>are provided along primary frontages</w:t>
            </w:r>
          </w:p>
          <w:p w14:paraId="08E26D7F" w14:textId="77777777" w:rsidR="00BE36FB" w:rsidRPr="009B7B35" w:rsidRDefault="00BE36FB" w:rsidP="00BE36FB">
            <w:pPr>
              <w:pStyle w:val="TableText"/>
              <w:numPr>
                <w:ilvl w:val="0"/>
                <w:numId w:val="476"/>
              </w:numPr>
              <w:rPr>
                <w:rFonts w:cs="Arial"/>
              </w:rPr>
            </w:pPr>
            <w:r w:rsidRPr="009B7B35">
              <w:rPr>
                <w:rFonts w:cs="Arial"/>
              </w:rPr>
              <w:t>complement and integrate with the front building façade</w:t>
            </w:r>
          </w:p>
          <w:p w14:paraId="718F5E33" w14:textId="77777777" w:rsidR="00BE36FB" w:rsidRPr="009B7B35" w:rsidRDefault="00BE36FB" w:rsidP="00BE36FB">
            <w:pPr>
              <w:pStyle w:val="TableText"/>
              <w:numPr>
                <w:ilvl w:val="0"/>
                <w:numId w:val="476"/>
              </w:numPr>
              <w:rPr>
                <w:rFonts w:cs="Arial"/>
              </w:rPr>
            </w:pPr>
            <w:r w:rsidRPr="009B7B35">
              <w:rPr>
                <w:rFonts w:cs="Arial"/>
              </w:rPr>
              <w:t>protect street footpaths from rain and sun</w:t>
            </w:r>
          </w:p>
          <w:p w14:paraId="241DCC28" w14:textId="77777777" w:rsidR="00BE36FB" w:rsidRPr="009B7B35" w:rsidRDefault="00BE36FB" w:rsidP="00BE36FB">
            <w:pPr>
              <w:pStyle w:val="TableText"/>
              <w:numPr>
                <w:ilvl w:val="0"/>
                <w:numId w:val="476"/>
              </w:numPr>
              <w:rPr>
                <w:rFonts w:cs="Arial"/>
              </w:rPr>
            </w:pPr>
            <w:r w:rsidRPr="009B7B35">
              <w:rPr>
                <w:rFonts w:cs="Arial"/>
              </w:rPr>
              <w:t>are continuous and compatible with existing pedestrian shelter and awnings</w:t>
            </w:r>
          </w:p>
          <w:p w14:paraId="262DD74D" w14:textId="77777777" w:rsidR="00BE36FB" w:rsidRPr="009B7B35" w:rsidRDefault="00BE36FB" w:rsidP="00BE36FB">
            <w:pPr>
              <w:pStyle w:val="TableText"/>
              <w:numPr>
                <w:ilvl w:val="0"/>
                <w:numId w:val="476"/>
              </w:numPr>
              <w:rPr>
                <w:rFonts w:cs="Arial"/>
              </w:rPr>
            </w:pPr>
            <w:r w:rsidRPr="009B7B35">
              <w:rPr>
                <w:rFonts w:cs="Arial"/>
              </w:rPr>
              <w:t>allow for street trees and other landscaping</w:t>
            </w:r>
          </w:p>
          <w:p w14:paraId="47A9645D" w14:textId="77777777" w:rsidR="00BE36FB" w:rsidRPr="009B7B35" w:rsidRDefault="00BE36FB" w:rsidP="00BE36FB">
            <w:pPr>
              <w:pStyle w:val="TableText"/>
              <w:numPr>
                <w:ilvl w:val="0"/>
                <w:numId w:val="476"/>
              </w:numPr>
              <w:rPr>
                <w:rFonts w:cs="Arial"/>
              </w:rPr>
            </w:pPr>
            <w:r w:rsidRPr="009B7B35">
              <w:rPr>
                <w:rFonts w:cs="Arial"/>
              </w:rPr>
              <w:t>are visually safe and amenable</w:t>
            </w:r>
          </w:p>
          <w:p w14:paraId="487C10E3" w14:textId="77777777" w:rsidR="00BE36FB" w:rsidRPr="009B7B35" w:rsidRDefault="00BE36FB" w:rsidP="00BE36FB">
            <w:pPr>
              <w:pStyle w:val="TableText"/>
              <w:numPr>
                <w:ilvl w:val="0"/>
                <w:numId w:val="476"/>
              </w:numPr>
              <w:rPr>
                <w:rFonts w:cs="Arial"/>
              </w:rPr>
            </w:pPr>
            <w:r w:rsidRPr="009B7B35">
              <w:rPr>
                <w:rFonts w:cs="Arial"/>
              </w:rPr>
              <w:t>are cantilevered from the main building and do not include posts within the footpath, and</w:t>
            </w:r>
          </w:p>
          <w:p w14:paraId="5AA0AAC8" w14:textId="77777777" w:rsidR="00BE36FB" w:rsidRPr="009B7B35" w:rsidRDefault="00BE36FB" w:rsidP="00BE36FB">
            <w:pPr>
              <w:pStyle w:val="TableText"/>
              <w:numPr>
                <w:ilvl w:val="0"/>
                <w:numId w:val="476"/>
              </w:numPr>
              <w:rPr>
                <w:rFonts w:cs="Arial"/>
              </w:rPr>
            </w:pPr>
            <w:r w:rsidRPr="009B7B35">
              <w:rPr>
                <w:rFonts w:cs="Arial"/>
              </w:rPr>
              <w:t>are constructed of lightweight materials.</w:t>
            </w:r>
          </w:p>
          <w:p w14:paraId="60C49E16"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c>
          <w:tcPr>
            <w:tcW w:w="4678" w:type="dxa"/>
          </w:tcPr>
          <w:p w14:paraId="71F18D41"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05F327C" w14:textId="77777777" w:rsidTr="001A7107">
        <w:tc>
          <w:tcPr>
            <w:tcW w:w="9356" w:type="dxa"/>
            <w:gridSpan w:val="2"/>
            <w:shd w:val="clear" w:color="auto" w:fill="BFBFBF" w:themeFill="background1" w:themeFillShade="BF"/>
          </w:tcPr>
          <w:p w14:paraId="4CDC741C" w14:textId="77777777" w:rsidR="00BE36FB" w:rsidRPr="009B7B35" w:rsidRDefault="00BE36FB" w:rsidP="001A7107">
            <w:pPr>
              <w:pStyle w:val="Tableheading"/>
              <w:rPr>
                <w:rFonts w:ascii="Arial" w:hAnsi="Arial" w:cs="Arial"/>
                <w:szCs w:val="20"/>
              </w:rPr>
            </w:pPr>
            <w:r w:rsidRPr="009B7B35">
              <w:rPr>
                <w:rFonts w:ascii="Arial" w:hAnsi="Arial" w:cs="Arial"/>
                <w:szCs w:val="20"/>
              </w:rPr>
              <w:t>Landscape design</w:t>
            </w:r>
          </w:p>
        </w:tc>
      </w:tr>
      <w:tr w:rsidR="00BE36FB" w:rsidRPr="009B7B35" w14:paraId="16F63BB3" w14:textId="77777777" w:rsidTr="001A7107">
        <w:tc>
          <w:tcPr>
            <w:tcW w:w="4678" w:type="dxa"/>
          </w:tcPr>
          <w:p w14:paraId="1F20907F" w14:textId="77777777" w:rsidR="00BE36FB" w:rsidRPr="009B7B35" w:rsidRDefault="00BE36FB" w:rsidP="001A7107">
            <w:pPr>
              <w:pStyle w:val="TableText"/>
              <w:rPr>
                <w:rFonts w:cs="Arial"/>
                <w:b/>
                <w:bCs/>
              </w:rPr>
            </w:pPr>
            <w:r w:rsidRPr="009B7B35">
              <w:rPr>
                <w:rFonts w:cs="Arial"/>
                <w:b/>
                <w:bCs/>
              </w:rPr>
              <w:t>PO22</w:t>
            </w:r>
          </w:p>
          <w:p w14:paraId="3F541C9F" w14:textId="77777777" w:rsidR="00BE36FB" w:rsidRPr="009B7B35" w:rsidRDefault="00BE36FB" w:rsidP="001A7107">
            <w:pPr>
              <w:pStyle w:val="TableText"/>
              <w:rPr>
                <w:rFonts w:cs="Arial"/>
              </w:rPr>
            </w:pPr>
            <w:r w:rsidRPr="009B7B35">
              <w:rPr>
                <w:rFonts w:cs="Arial"/>
              </w:rPr>
              <w:t>Landscape elements are integrated in the building design through planting at various levels including on top of podiums, rooftops and within storeys.</w:t>
            </w:r>
          </w:p>
          <w:p w14:paraId="18DADA5A" w14:textId="77777777" w:rsidR="00BE36FB" w:rsidRPr="009B7B35" w:rsidRDefault="00BE36FB" w:rsidP="001A7107">
            <w:pPr>
              <w:pStyle w:val="Notes"/>
              <w:rPr>
                <w:rFonts w:cs="Arial"/>
                <w:sz w:val="20"/>
                <w:szCs w:val="20"/>
              </w:rPr>
            </w:pPr>
            <w:r w:rsidRPr="009B7B35">
              <w:rPr>
                <w:rFonts w:cs="Arial"/>
                <w:sz w:val="20"/>
                <w:szCs w:val="20"/>
              </w:rPr>
              <w:t>Note—Applicants are also referred to the Landscaping code.</w:t>
            </w:r>
          </w:p>
        </w:tc>
        <w:tc>
          <w:tcPr>
            <w:tcW w:w="4678" w:type="dxa"/>
          </w:tcPr>
          <w:p w14:paraId="1EF7795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DD152FF" w14:textId="77777777" w:rsidTr="001A7107">
        <w:tc>
          <w:tcPr>
            <w:tcW w:w="4678" w:type="dxa"/>
          </w:tcPr>
          <w:p w14:paraId="7F5CEDA2" w14:textId="77777777" w:rsidR="00BE36FB" w:rsidRPr="009B7B35" w:rsidRDefault="00BE36FB" w:rsidP="001A7107">
            <w:pPr>
              <w:pStyle w:val="TableText"/>
              <w:rPr>
                <w:rFonts w:cs="Arial"/>
                <w:b/>
                <w:bCs/>
              </w:rPr>
            </w:pPr>
            <w:r w:rsidRPr="009B7B35">
              <w:rPr>
                <w:rFonts w:cs="Arial"/>
                <w:b/>
                <w:bCs/>
              </w:rPr>
              <w:t>PO23</w:t>
            </w:r>
          </w:p>
          <w:p w14:paraId="2B15551E" w14:textId="77777777" w:rsidR="00BE36FB" w:rsidRPr="009B7B35" w:rsidRDefault="00BE36FB" w:rsidP="001A7107">
            <w:pPr>
              <w:rPr>
                <w:rFonts w:cs="Arial"/>
                <w:sz w:val="20"/>
                <w:szCs w:val="20"/>
              </w:rPr>
            </w:pPr>
            <w:r w:rsidRPr="009B7B35">
              <w:rPr>
                <w:rFonts w:cs="Arial"/>
                <w:sz w:val="20"/>
                <w:szCs w:val="20"/>
              </w:rPr>
              <w:t>Landscape treatments includes hard and soft elements that:</w:t>
            </w:r>
          </w:p>
          <w:p w14:paraId="6C6F1DB6" w14:textId="77777777" w:rsidR="00BE36FB" w:rsidRPr="009B7B35" w:rsidRDefault="00BE36FB" w:rsidP="00BE36FB">
            <w:pPr>
              <w:pStyle w:val="TableText"/>
              <w:numPr>
                <w:ilvl w:val="0"/>
                <w:numId w:val="477"/>
              </w:numPr>
              <w:rPr>
                <w:rFonts w:cs="Arial"/>
              </w:rPr>
            </w:pPr>
            <w:r w:rsidRPr="009B7B35">
              <w:rPr>
                <w:rFonts w:cs="Arial"/>
              </w:rPr>
              <w:t>is of a character and durability that reflects Gladstone’s city centre</w:t>
            </w:r>
          </w:p>
          <w:p w14:paraId="7DD3C9B2" w14:textId="77777777" w:rsidR="00BE36FB" w:rsidRPr="009B7B35" w:rsidRDefault="00BE36FB" w:rsidP="00BE36FB">
            <w:pPr>
              <w:pStyle w:val="TableText"/>
              <w:numPr>
                <w:ilvl w:val="0"/>
                <w:numId w:val="477"/>
              </w:numPr>
              <w:rPr>
                <w:rFonts w:cs="Arial"/>
              </w:rPr>
            </w:pPr>
            <w:r w:rsidRPr="009B7B35">
              <w:rPr>
                <w:rFonts w:cs="Arial"/>
              </w:rPr>
              <w:t>enhance the appearance of the development</w:t>
            </w:r>
          </w:p>
          <w:p w14:paraId="40EDB829" w14:textId="77777777" w:rsidR="00BE36FB" w:rsidRPr="009B7B35" w:rsidRDefault="00BE36FB" w:rsidP="00BE36FB">
            <w:pPr>
              <w:pStyle w:val="TableText"/>
              <w:numPr>
                <w:ilvl w:val="0"/>
                <w:numId w:val="477"/>
              </w:numPr>
              <w:rPr>
                <w:rFonts w:cs="Arial"/>
              </w:rPr>
            </w:pPr>
            <w:r w:rsidRPr="009B7B35">
              <w:rPr>
                <w:rFonts w:cs="Arial"/>
              </w:rPr>
              <w:t>extends from the street edge into building entrances, foyers and onto podiums</w:t>
            </w:r>
          </w:p>
          <w:p w14:paraId="7ABED887" w14:textId="77777777" w:rsidR="00BE36FB" w:rsidRPr="009B7B35" w:rsidRDefault="00BE36FB" w:rsidP="00BE36FB">
            <w:pPr>
              <w:pStyle w:val="TableText"/>
              <w:numPr>
                <w:ilvl w:val="0"/>
                <w:numId w:val="477"/>
              </w:numPr>
              <w:rPr>
                <w:rFonts w:cs="Arial"/>
              </w:rPr>
            </w:pPr>
            <w:r w:rsidRPr="009B7B35">
              <w:rPr>
                <w:rFonts w:cs="Arial"/>
              </w:rPr>
              <w:t>emphasises a clear pedestrian entry point</w:t>
            </w:r>
          </w:p>
          <w:p w14:paraId="0685B8DE" w14:textId="77777777" w:rsidR="00BE36FB" w:rsidRPr="009B7B35" w:rsidRDefault="00BE36FB" w:rsidP="00BE36FB">
            <w:pPr>
              <w:pStyle w:val="TableText"/>
              <w:numPr>
                <w:ilvl w:val="0"/>
                <w:numId w:val="477"/>
              </w:numPr>
              <w:rPr>
                <w:rFonts w:cs="Arial"/>
              </w:rPr>
            </w:pPr>
            <w:r w:rsidRPr="009B7B35">
              <w:rPr>
                <w:rFonts w:cs="Arial"/>
              </w:rPr>
              <w:t>screen unsightly components</w:t>
            </w:r>
          </w:p>
          <w:p w14:paraId="5311E002" w14:textId="77777777" w:rsidR="00BE36FB" w:rsidRPr="009B7B35" w:rsidRDefault="00BE36FB" w:rsidP="00BE36FB">
            <w:pPr>
              <w:pStyle w:val="TableText"/>
              <w:numPr>
                <w:ilvl w:val="0"/>
                <w:numId w:val="477"/>
              </w:numPr>
              <w:rPr>
                <w:rFonts w:cs="Arial"/>
              </w:rPr>
            </w:pPr>
            <w:r w:rsidRPr="009B7B35">
              <w:rPr>
                <w:rFonts w:cs="Arial"/>
              </w:rPr>
              <w:t>provide shading, and</w:t>
            </w:r>
          </w:p>
          <w:p w14:paraId="6FCB91E1" w14:textId="77777777" w:rsidR="00BE36FB" w:rsidRPr="009B7B35" w:rsidRDefault="00BE36FB" w:rsidP="00BE36FB">
            <w:pPr>
              <w:pStyle w:val="TableText"/>
              <w:numPr>
                <w:ilvl w:val="0"/>
                <w:numId w:val="477"/>
              </w:numPr>
              <w:rPr>
                <w:rFonts w:cs="Arial"/>
              </w:rPr>
            </w:pPr>
            <w:r w:rsidRPr="009B7B35">
              <w:rPr>
                <w:rFonts w:cs="Arial"/>
              </w:rPr>
              <w:t>reflects and reinforces a subtropical image through integrating landscape, outdoor and indoor spaces.</w:t>
            </w:r>
          </w:p>
          <w:p w14:paraId="6FA846D1" w14:textId="77777777" w:rsidR="00BE36FB" w:rsidRPr="009B7B35" w:rsidRDefault="00BE36FB" w:rsidP="001A7107">
            <w:pPr>
              <w:pStyle w:val="Notes"/>
              <w:rPr>
                <w:rFonts w:cs="Arial"/>
                <w:sz w:val="20"/>
                <w:szCs w:val="20"/>
              </w:rPr>
            </w:pPr>
            <w:r w:rsidRPr="009B7B35">
              <w:rPr>
                <w:rFonts w:cs="Arial"/>
                <w:sz w:val="20"/>
                <w:szCs w:val="20"/>
              </w:rPr>
              <w:t>Note—Applicants are also referred to the Landscaping code.</w:t>
            </w:r>
          </w:p>
        </w:tc>
        <w:tc>
          <w:tcPr>
            <w:tcW w:w="4678" w:type="dxa"/>
          </w:tcPr>
          <w:p w14:paraId="25B1B74A"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10C3636" w14:textId="77777777" w:rsidTr="001A7107">
        <w:trPr>
          <w:cantSplit/>
        </w:trPr>
        <w:tc>
          <w:tcPr>
            <w:tcW w:w="9356" w:type="dxa"/>
            <w:gridSpan w:val="2"/>
            <w:shd w:val="clear" w:color="auto" w:fill="BFBFBF" w:themeFill="background1" w:themeFillShade="BF"/>
          </w:tcPr>
          <w:p w14:paraId="5269D48E" w14:textId="77777777"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14:paraId="072A2A58" w14:textId="77777777" w:rsidTr="001A7107">
        <w:trPr>
          <w:cantSplit/>
        </w:trPr>
        <w:tc>
          <w:tcPr>
            <w:tcW w:w="4678" w:type="dxa"/>
          </w:tcPr>
          <w:p w14:paraId="0C887B4E" w14:textId="77777777" w:rsidR="00BE36FB" w:rsidRPr="009B7B35" w:rsidRDefault="00BE36FB" w:rsidP="001A7107">
            <w:pPr>
              <w:pStyle w:val="TableText"/>
              <w:rPr>
                <w:rFonts w:cs="Arial"/>
                <w:b/>
                <w:bCs/>
              </w:rPr>
            </w:pPr>
            <w:r w:rsidRPr="009B7B35">
              <w:rPr>
                <w:rFonts w:cs="Arial"/>
                <w:b/>
                <w:bCs/>
              </w:rPr>
              <w:t>PO24</w:t>
            </w:r>
          </w:p>
          <w:p w14:paraId="6AEF0FF6" w14:textId="77777777" w:rsidR="00BE36FB" w:rsidRPr="009B7B35" w:rsidRDefault="00BE36FB" w:rsidP="001A7107">
            <w:pPr>
              <w:pStyle w:val="TableText"/>
              <w:rPr>
                <w:rFonts w:cs="Arial"/>
              </w:rPr>
            </w:pPr>
            <w:r w:rsidRPr="009B7B35">
              <w:rPr>
                <w:rFonts w:cs="Arial"/>
              </w:rPr>
              <w:t>Mixed–use premises must ensure the transmission of noise between residential and non–residential uses is minimised.</w:t>
            </w:r>
          </w:p>
        </w:tc>
        <w:tc>
          <w:tcPr>
            <w:tcW w:w="4678" w:type="dxa"/>
          </w:tcPr>
          <w:p w14:paraId="70444C2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0C0723A" w14:textId="77777777" w:rsidTr="001A7107">
        <w:trPr>
          <w:cantSplit/>
        </w:trPr>
        <w:tc>
          <w:tcPr>
            <w:tcW w:w="4678" w:type="dxa"/>
          </w:tcPr>
          <w:p w14:paraId="77A73208" w14:textId="77777777" w:rsidR="00BE36FB" w:rsidRPr="009B7B35" w:rsidRDefault="00BE36FB" w:rsidP="001A7107">
            <w:pPr>
              <w:pStyle w:val="TableText"/>
              <w:rPr>
                <w:rFonts w:cs="Arial"/>
                <w:b/>
                <w:bCs/>
              </w:rPr>
            </w:pPr>
            <w:r w:rsidRPr="009B7B35">
              <w:rPr>
                <w:rFonts w:cs="Arial"/>
                <w:b/>
                <w:bCs/>
              </w:rPr>
              <w:t>PO25</w:t>
            </w:r>
          </w:p>
          <w:p w14:paraId="6437425B" w14:textId="77777777" w:rsidR="00BE36FB" w:rsidRPr="009B7B35" w:rsidRDefault="00BE36FB" w:rsidP="001A7107">
            <w:pPr>
              <w:pStyle w:val="TableText"/>
              <w:rPr>
                <w:rFonts w:cs="Arial"/>
              </w:rPr>
            </w:pPr>
            <w:r w:rsidRPr="009B7B35">
              <w:rPr>
                <w:rFonts w:cs="Arial"/>
              </w:rPr>
              <w:t>Development minimises impacts on surrounding land and provides for an appropriate level of amenity within the mixed–use premises, having regard to:</w:t>
            </w:r>
          </w:p>
          <w:p w14:paraId="36F99B2A" w14:textId="77777777" w:rsidR="00BE36FB" w:rsidRPr="009B7B35" w:rsidRDefault="00BE36FB" w:rsidP="00BE36FB">
            <w:pPr>
              <w:pStyle w:val="TableText"/>
              <w:numPr>
                <w:ilvl w:val="0"/>
                <w:numId w:val="478"/>
              </w:numPr>
              <w:rPr>
                <w:rFonts w:cs="Arial"/>
              </w:rPr>
            </w:pPr>
            <w:r w:rsidRPr="009B7B35">
              <w:rPr>
                <w:rFonts w:cs="Arial"/>
              </w:rPr>
              <w:t>noise</w:t>
            </w:r>
          </w:p>
          <w:p w14:paraId="20C268A3" w14:textId="77777777" w:rsidR="00BE36FB" w:rsidRPr="009B7B35" w:rsidRDefault="00BE36FB" w:rsidP="00BE36FB">
            <w:pPr>
              <w:pStyle w:val="TableText"/>
              <w:numPr>
                <w:ilvl w:val="0"/>
                <w:numId w:val="478"/>
              </w:numPr>
              <w:rPr>
                <w:rFonts w:cs="Arial"/>
              </w:rPr>
            </w:pPr>
            <w:r w:rsidRPr="009B7B35">
              <w:rPr>
                <w:rFonts w:cs="Arial"/>
              </w:rPr>
              <w:t>hours of operation</w:t>
            </w:r>
          </w:p>
          <w:p w14:paraId="5D34E88A" w14:textId="77777777" w:rsidR="00BE36FB" w:rsidRPr="009B7B35" w:rsidRDefault="00BE36FB" w:rsidP="00BE36FB">
            <w:pPr>
              <w:pStyle w:val="TableText"/>
              <w:numPr>
                <w:ilvl w:val="0"/>
                <w:numId w:val="478"/>
              </w:numPr>
              <w:rPr>
                <w:rFonts w:cs="Arial"/>
              </w:rPr>
            </w:pPr>
            <w:r w:rsidRPr="009B7B35">
              <w:rPr>
                <w:rFonts w:cs="Arial"/>
              </w:rPr>
              <w:t>traffic</w:t>
            </w:r>
          </w:p>
          <w:p w14:paraId="51C9E03B" w14:textId="77777777" w:rsidR="00BE36FB" w:rsidRPr="009B7B35" w:rsidRDefault="00BE36FB" w:rsidP="00BE36FB">
            <w:pPr>
              <w:pStyle w:val="TableText"/>
              <w:numPr>
                <w:ilvl w:val="0"/>
                <w:numId w:val="478"/>
              </w:numPr>
              <w:rPr>
                <w:rFonts w:cs="Arial"/>
              </w:rPr>
            </w:pPr>
            <w:r w:rsidRPr="009B7B35">
              <w:rPr>
                <w:rFonts w:cs="Arial"/>
              </w:rPr>
              <w:t>visual impact</w:t>
            </w:r>
          </w:p>
          <w:p w14:paraId="48AC1911" w14:textId="77777777" w:rsidR="00BE36FB" w:rsidRPr="009B7B35" w:rsidRDefault="00BE36FB" w:rsidP="00BE36FB">
            <w:pPr>
              <w:pStyle w:val="TableText"/>
              <w:numPr>
                <w:ilvl w:val="0"/>
                <w:numId w:val="478"/>
              </w:numPr>
              <w:rPr>
                <w:rFonts w:cs="Arial"/>
              </w:rPr>
            </w:pPr>
            <w:r w:rsidRPr="009B7B35">
              <w:rPr>
                <w:rFonts w:cs="Arial"/>
              </w:rPr>
              <w:t>signage</w:t>
            </w:r>
          </w:p>
          <w:p w14:paraId="0D4A6EA8" w14:textId="77777777" w:rsidR="00BE36FB" w:rsidRPr="009B7B35" w:rsidRDefault="00BE36FB" w:rsidP="00BE36FB">
            <w:pPr>
              <w:pStyle w:val="TableText"/>
              <w:numPr>
                <w:ilvl w:val="0"/>
                <w:numId w:val="478"/>
              </w:numPr>
              <w:rPr>
                <w:rFonts w:cs="Arial"/>
              </w:rPr>
            </w:pPr>
            <w:r w:rsidRPr="009B7B35">
              <w:rPr>
                <w:rFonts w:cs="Arial"/>
              </w:rPr>
              <w:t>odour and emissions</w:t>
            </w:r>
          </w:p>
          <w:p w14:paraId="7B83CF76" w14:textId="77777777" w:rsidR="00BE36FB" w:rsidRPr="009B7B35" w:rsidRDefault="00BE36FB" w:rsidP="00BE36FB">
            <w:pPr>
              <w:pStyle w:val="TableText"/>
              <w:numPr>
                <w:ilvl w:val="0"/>
                <w:numId w:val="478"/>
              </w:numPr>
              <w:rPr>
                <w:rFonts w:cs="Arial"/>
              </w:rPr>
            </w:pPr>
            <w:r w:rsidRPr="009B7B35">
              <w:rPr>
                <w:rFonts w:cs="Arial"/>
              </w:rPr>
              <w:t>lighting</w:t>
            </w:r>
          </w:p>
          <w:p w14:paraId="0ABAD70F" w14:textId="77777777" w:rsidR="00BE36FB" w:rsidRPr="009B7B35" w:rsidRDefault="00BE36FB" w:rsidP="00BE36FB">
            <w:pPr>
              <w:pStyle w:val="TableText"/>
              <w:numPr>
                <w:ilvl w:val="0"/>
                <w:numId w:val="478"/>
              </w:numPr>
              <w:rPr>
                <w:rFonts w:cs="Arial"/>
              </w:rPr>
            </w:pPr>
            <w:r w:rsidRPr="009B7B35">
              <w:rPr>
                <w:rFonts w:cs="Arial"/>
              </w:rPr>
              <w:t>access to sunlight</w:t>
            </w:r>
          </w:p>
          <w:p w14:paraId="3CD91139" w14:textId="77777777" w:rsidR="00BE36FB" w:rsidRPr="009B7B35" w:rsidRDefault="00BE36FB" w:rsidP="00BE36FB">
            <w:pPr>
              <w:pStyle w:val="TableText"/>
              <w:numPr>
                <w:ilvl w:val="0"/>
                <w:numId w:val="478"/>
              </w:numPr>
              <w:rPr>
                <w:rFonts w:cs="Arial"/>
              </w:rPr>
            </w:pPr>
            <w:r w:rsidRPr="009B7B35">
              <w:rPr>
                <w:rFonts w:cs="Arial"/>
              </w:rPr>
              <w:t>privacy, and</w:t>
            </w:r>
          </w:p>
          <w:p w14:paraId="6E768914" w14:textId="77777777" w:rsidR="00BE36FB" w:rsidRPr="009B7B35" w:rsidRDefault="00BE36FB" w:rsidP="00BE36FB">
            <w:pPr>
              <w:pStyle w:val="TableText"/>
              <w:numPr>
                <w:ilvl w:val="0"/>
                <w:numId w:val="478"/>
              </w:numPr>
              <w:rPr>
                <w:rFonts w:cs="Arial"/>
              </w:rPr>
            </w:pPr>
            <w:r w:rsidRPr="009B7B35">
              <w:rPr>
                <w:rFonts w:cs="Arial"/>
              </w:rPr>
              <w:t>outlook.</w:t>
            </w:r>
          </w:p>
        </w:tc>
        <w:tc>
          <w:tcPr>
            <w:tcW w:w="4678" w:type="dxa"/>
          </w:tcPr>
          <w:p w14:paraId="5475A82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929BE79" w14:textId="77777777" w:rsidTr="001A7107">
        <w:tc>
          <w:tcPr>
            <w:tcW w:w="4678" w:type="dxa"/>
          </w:tcPr>
          <w:p w14:paraId="31EAEC4B" w14:textId="77777777" w:rsidR="00BE36FB" w:rsidRPr="009B7B35" w:rsidRDefault="00BE36FB" w:rsidP="001A7107">
            <w:pPr>
              <w:pStyle w:val="TableText"/>
              <w:rPr>
                <w:rFonts w:cs="Arial"/>
                <w:b/>
                <w:bCs/>
              </w:rPr>
            </w:pPr>
            <w:r w:rsidRPr="009B7B35">
              <w:rPr>
                <w:rFonts w:cs="Arial"/>
                <w:b/>
                <w:bCs/>
              </w:rPr>
              <w:t>PO26</w:t>
            </w:r>
          </w:p>
          <w:p w14:paraId="1C77CF31" w14:textId="77777777" w:rsidR="00BE36FB" w:rsidRPr="009B7B35" w:rsidRDefault="00BE36FB" w:rsidP="001A7107">
            <w:pPr>
              <w:pStyle w:val="TableText"/>
              <w:rPr>
                <w:rFonts w:cs="Arial"/>
              </w:rPr>
            </w:pPr>
            <w:r w:rsidRPr="009B7B35">
              <w:rPr>
                <w:rFonts w:cs="Arial"/>
              </w:rPr>
              <w:t>All uses:</w:t>
            </w:r>
          </w:p>
          <w:p w14:paraId="3B544B64" w14:textId="77777777" w:rsidR="00BE36FB" w:rsidRPr="009B7B35" w:rsidRDefault="00BE36FB" w:rsidP="00BE36FB">
            <w:pPr>
              <w:pStyle w:val="TableText"/>
              <w:numPr>
                <w:ilvl w:val="0"/>
                <w:numId w:val="190"/>
              </w:numPr>
              <w:rPr>
                <w:rFonts w:cs="Arial"/>
              </w:rPr>
            </w:pPr>
            <w:r w:rsidRPr="009B7B35">
              <w:rPr>
                <w:rFonts w:cs="Arial"/>
              </w:rPr>
              <w:t>minimise noise, dust, odour or other nuisance from existing lawful uses, and</w:t>
            </w:r>
          </w:p>
          <w:p w14:paraId="2BDD04D6" w14:textId="77777777" w:rsidR="00BE36FB" w:rsidRPr="009B7B35" w:rsidRDefault="00BE36FB" w:rsidP="00BE36FB">
            <w:pPr>
              <w:pStyle w:val="TableText"/>
              <w:numPr>
                <w:ilvl w:val="0"/>
                <w:numId w:val="190"/>
              </w:numPr>
              <w:rPr>
                <w:rFonts w:cs="Arial"/>
              </w:rPr>
            </w:pPr>
            <w:r w:rsidRPr="009B7B35">
              <w:rPr>
                <w:rFonts w:cs="Arial"/>
              </w:rPr>
              <w:t xml:space="preserve">minimise nuisance caused by noise, vibration and dust emissions generated by the state–controlled road and rail network in the vicinity. </w:t>
            </w:r>
          </w:p>
        </w:tc>
        <w:tc>
          <w:tcPr>
            <w:tcW w:w="4678" w:type="dxa"/>
          </w:tcPr>
          <w:p w14:paraId="590F407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13F7D5E" w14:textId="77777777" w:rsidTr="001A7107">
        <w:tc>
          <w:tcPr>
            <w:tcW w:w="9356" w:type="dxa"/>
            <w:gridSpan w:val="2"/>
            <w:shd w:val="clear" w:color="auto" w:fill="BFBFBF" w:themeFill="background1" w:themeFillShade="BF"/>
          </w:tcPr>
          <w:p w14:paraId="117CF13D" w14:textId="77777777" w:rsidR="00BE36FB" w:rsidRPr="009B7B35" w:rsidRDefault="00BE36FB" w:rsidP="001A7107">
            <w:pPr>
              <w:pStyle w:val="Tableheading"/>
              <w:rPr>
                <w:rFonts w:ascii="Arial" w:hAnsi="Arial" w:cs="Arial"/>
                <w:szCs w:val="20"/>
              </w:rPr>
            </w:pPr>
            <w:r w:rsidRPr="009B7B35">
              <w:rPr>
                <w:rFonts w:ascii="Arial" w:hAnsi="Arial" w:cs="Arial"/>
                <w:szCs w:val="20"/>
              </w:rPr>
              <w:t>Parking areas and access</w:t>
            </w:r>
          </w:p>
        </w:tc>
      </w:tr>
      <w:tr w:rsidR="00BE36FB" w:rsidRPr="009B7B35" w14:paraId="2B2E1276" w14:textId="77777777" w:rsidTr="001A7107">
        <w:tc>
          <w:tcPr>
            <w:tcW w:w="4678" w:type="dxa"/>
            <w:vMerge w:val="restart"/>
          </w:tcPr>
          <w:p w14:paraId="7BB92835" w14:textId="77777777" w:rsidR="00BE36FB" w:rsidRPr="009B7B35" w:rsidRDefault="00BE36FB" w:rsidP="001A7107">
            <w:pPr>
              <w:pStyle w:val="TableText"/>
              <w:rPr>
                <w:rFonts w:cs="Arial"/>
                <w:b/>
                <w:bCs/>
              </w:rPr>
            </w:pPr>
            <w:r w:rsidRPr="009B7B35">
              <w:rPr>
                <w:rFonts w:cs="Arial"/>
                <w:b/>
                <w:bCs/>
              </w:rPr>
              <w:t>PO27</w:t>
            </w:r>
          </w:p>
          <w:p w14:paraId="094867C7" w14:textId="77777777" w:rsidR="00BE36FB" w:rsidRPr="009B7B35" w:rsidRDefault="00BE36FB" w:rsidP="001A7107">
            <w:pPr>
              <w:pStyle w:val="TableText"/>
              <w:rPr>
                <w:rFonts w:cs="Arial"/>
              </w:rPr>
            </w:pPr>
            <w:r w:rsidRPr="009B7B35">
              <w:rPr>
                <w:rFonts w:cs="Arial"/>
              </w:rPr>
              <w:t>Parking areas do not visually dominate the streetscape.</w:t>
            </w:r>
          </w:p>
        </w:tc>
        <w:tc>
          <w:tcPr>
            <w:tcW w:w="4678" w:type="dxa"/>
          </w:tcPr>
          <w:p w14:paraId="39C1F950" w14:textId="77777777" w:rsidR="00BE36FB" w:rsidRPr="009B7B35" w:rsidRDefault="00BE36FB" w:rsidP="001A7107">
            <w:pPr>
              <w:pStyle w:val="TableText"/>
              <w:rPr>
                <w:rFonts w:cs="Arial"/>
                <w:b/>
                <w:bCs/>
              </w:rPr>
            </w:pPr>
            <w:r w:rsidRPr="009B7B35">
              <w:rPr>
                <w:rFonts w:cs="Arial"/>
                <w:b/>
                <w:bCs/>
              </w:rPr>
              <w:t>AO27.1</w:t>
            </w:r>
          </w:p>
          <w:p w14:paraId="6186387E" w14:textId="77777777" w:rsidR="00BE36FB" w:rsidRPr="009B7B35" w:rsidRDefault="00BE36FB" w:rsidP="001A7107">
            <w:pPr>
              <w:pStyle w:val="TableText"/>
              <w:rPr>
                <w:rFonts w:cs="Arial"/>
              </w:rPr>
            </w:pPr>
            <w:r w:rsidRPr="009B7B35">
              <w:rPr>
                <w:rFonts w:cs="Arial"/>
              </w:rPr>
              <w:t>Parking areas are:</w:t>
            </w:r>
          </w:p>
          <w:p w14:paraId="75323015" w14:textId="77777777" w:rsidR="00BE36FB" w:rsidRPr="009B7B35" w:rsidRDefault="00BE36FB" w:rsidP="00BE36FB">
            <w:pPr>
              <w:pStyle w:val="TableText"/>
              <w:numPr>
                <w:ilvl w:val="0"/>
                <w:numId w:val="479"/>
              </w:numPr>
              <w:ind w:left="510" w:hanging="510"/>
              <w:rPr>
                <w:rFonts w:cs="Arial"/>
              </w:rPr>
            </w:pPr>
            <w:r w:rsidRPr="009B7B35">
              <w:rPr>
                <w:rFonts w:cs="Arial"/>
              </w:rPr>
              <w:t>located in a basement, or</w:t>
            </w:r>
          </w:p>
          <w:p w14:paraId="216B8E91" w14:textId="77777777" w:rsidR="00BE36FB" w:rsidRPr="009B7B35" w:rsidRDefault="00BE36FB" w:rsidP="00BE36FB">
            <w:pPr>
              <w:pStyle w:val="TableText"/>
              <w:numPr>
                <w:ilvl w:val="0"/>
                <w:numId w:val="479"/>
              </w:numPr>
              <w:ind w:left="510" w:hanging="510"/>
              <w:rPr>
                <w:rFonts w:cs="Arial"/>
              </w:rPr>
            </w:pPr>
            <w:r w:rsidRPr="009B7B35">
              <w:rPr>
                <w:rFonts w:cs="Arial"/>
              </w:rPr>
              <w:t xml:space="preserve">setback a minimum of 15m from any street frontage and screened to allow a building edge for active uses. </w:t>
            </w:r>
          </w:p>
          <w:p w14:paraId="36490ABF"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14:paraId="37F54729" w14:textId="77777777" w:rsidTr="001A7107">
        <w:tc>
          <w:tcPr>
            <w:tcW w:w="4678" w:type="dxa"/>
            <w:vMerge/>
          </w:tcPr>
          <w:p w14:paraId="218700E0" w14:textId="77777777" w:rsidR="00BE36FB" w:rsidRPr="009B7B35" w:rsidRDefault="00BE36FB" w:rsidP="001A7107">
            <w:pPr>
              <w:rPr>
                <w:rFonts w:cs="Arial"/>
                <w:sz w:val="20"/>
                <w:szCs w:val="20"/>
              </w:rPr>
            </w:pPr>
          </w:p>
        </w:tc>
        <w:tc>
          <w:tcPr>
            <w:tcW w:w="4678" w:type="dxa"/>
          </w:tcPr>
          <w:p w14:paraId="53395A34" w14:textId="77777777" w:rsidR="00BE36FB" w:rsidRPr="009B7B35" w:rsidRDefault="00BE36FB" w:rsidP="001A7107">
            <w:pPr>
              <w:pStyle w:val="TableText"/>
              <w:rPr>
                <w:rFonts w:cs="Arial"/>
                <w:b/>
                <w:bCs/>
              </w:rPr>
            </w:pPr>
            <w:r w:rsidRPr="009B7B35">
              <w:rPr>
                <w:rFonts w:cs="Arial"/>
                <w:b/>
                <w:bCs/>
              </w:rPr>
              <w:t>AO27.2</w:t>
            </w:r>
          </w:p>
          <w:p w14:paraId="5A466C02" w14:textId="77777777" w:rsidR="00BE36FB" w:rsidRPr="009B7B35" w:rsidRDefault="00BE36FB" w:rsidP="001A7107">
            <w:pPr>
              <w:rPr>
                <w:rFonts w:cs="Arial"/>
                <w:sz w:val="20"/>
                <w:szCs w:val="20"/>
              </w:rPr>
            </w:pPr>
            <w:r w:rsidRPr="009B7B35">
              <w:rPr>
                <w:rFonts w:cs="Arial"/>
                <w:sz w:val="20"/>
                <w:szCs w:val="20"/>
              </w:rPr>
              <w:t xml:space="preserve">Vehicle loading areas: </w:t>
            </w:r>
          </w:p>
          <w:p w14:paraId="5AAA70E0" w14:textId="77777777" w:rsidR="00BE36FB" w:rsidRPr="009B7B35" w:rsidRDefault="00BE36FB" w:rsidP="00BE36FB">
            <w:pPr>
              <w:pStyle w:val="TableText"/>
              <w:numPr>
                <w:ilvl w:val="0"/>
                <w:numId w:val="480"/>
              </w:numPr>
              <w:ind w:left="510" w:hanging="510"/>
              <w:rPr>
                <w:rFonts w:cs="Arial"/>
              </w:rPr>
            </w:pPr>
            <w:r w:rsidRPr="009B7B35">
              <w:rPr>
                <w:rFonts w:cs="Arial"/>
              </w:rPr>
              <w:t>are screened from footpaths, streets and public areas by fences with screening at least 1.5m in height and are 50% visually permeable, and</w:t>
            </w:r>
          </w:p>
          <w:p w14:paraId="57B92DA5" w14:textId="77777777" w:rsidR="00BE36FB" w:rsidRPr="009B7B35" w:rsidRDefault="00BE36FB" w:rsidP="00BE36FB">
            <w:pPr>
              <w:pStyle w:val="TableText"/>
              <w:numPr>
                <w:ilvl w:val="0"/>
                <w:numId w:val="480"/>
              </w:numPr>
              <w:ind w:left="510" w:hanging="510"/>
              <w:rPr>
                <w:rFonts w:cs="Arial"/>
              </w:rPr>
            </w:pPr>
            <w:r w:rsidRPr="009B7B35">
              <w:rPr>
                <w:rFonts w:cs="Arial"/>
              </w:rPr>
              <w:t>are not accessed via a primary frontage unless where there is no other access available to the site.</w:t>
            </w:r>
          </w:p>
          <w:p w14:paraId="7618FED6"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14:paraId="2F9183A3" w14:textId="77777777" w:rsidTr="001A7107">
        <w:trPr>
          <w:cantSplit/>
        </w:trPr>
        <w:tc>
          <w:tcPr>
            <w:tcW w:w="4678" w:type="dxa"/>
            <w:vMerge w:val="restart"/>
          </w:tcPr>
          <w:p w14:paraId="57B7CDA1" w14:textId="77777777" w:rsidR="00BE36FB" w:rsidRPr="009B7B35" w:rsidRDefault="00BE36FB" w:rsidP="001A7107">
            <w:pPr>
              <w:pStyle w:val="TableText"/>
              <w:rPr>
                <w:rFonts w:cs="Arial"/>
                <w:b/>
                <w:bCs/>
              </w:rPr>
            </w:pPr>
            <w:r w:rsidRPr="009B7B35">
              <w:rPr>
                <w:rFonts w:cs="Arial"/>
                <w:b/>
                <w:bCs/>
              </w:rPr>
              <w:t>PO28</w:t>
            </w:r>
          </w:p>
          <w:p w14:paraId="41587C3E" w14:textId="77777777" w:rsidR="00BE36FB" w:rsidRPr="009B7B35" w:rsidRDefault="00BE36FB" w:rsidP="001A7107">
            <w:pPr>
              <w:pStyle w:val="TableText"/>
              <w:rPr>
                <w:rFonts w:cs="Arial"/>
              </w:rPr>
            </w:pPr>
            <w:r w:rsidRPr="009B7B35">
              <w:rPr>
                <w:rFonts w:cs="Arial"/>
              </w:rPr>
              <w:t xml:space="preserve">Crossovers are minimised to: </w:t>
            </w:r>
          </w:p>
          <w:p w14:paraId="7AA33FCB" w14:textId="77777777" w:rsidR="00BE36FB" w:rsidRPr="009B7B35" w:rsidRDefault="00BE36FB" w:rsidP="00BE36FB">
            <w:pPr>
              <w:numPr>
                <w:ilvl w:val="0"/>
                <w:numId w:val="246"/>
              </w:numPr>
              <w:rPr>
                <w:rFonts w:cs="Arial"/>
                <w:sz w:val="20"/>
                <w:szCs w:val="20"/>
              </w:rPr>
            </w:pPr>
            <w:r w:rsidRPr="009B7B35">
              <w:rPr>
                <w:rFonts w:cs="Arial"/>
                <w:sz w:val="20"/>
                <w:szCs w:val="20"/>
              </w:rPr>
              <w:t>reduce conflict with pedestrians, cyclists and public transport; and</w:t>
            </w:r>
          </w:p>
          <w:p w14:paraId="63D356D0" w14:textId="77777777" w:rsidR="00BE36FB" w:rsidRPr="009B7B35" w:rsidRDefault="00BE36FB" w:rsidP="00BE36FB">
            <w:pPr>
              <w:numPr>
                <w:ilvl w:val="0"/>
                <w:numId w:val="246"/>
              </w:numPr>
              <w:rPr>
                <w:rFonts w:cs="Arial"/>
                <w:sz w:val="20"/>
                <w:szCs w:val="20"/>
              </w:rPr>
            </w:pPr>
            <w:r w:rsidRPr="009B7B35">
              <w:rPr>
                <w:rFonts w:cs="Arial"/>
                <w:sz w:val="20"/>
                <w:szCs w:val="20"/>
              </w:rPr>
              <w:t>maintain high quality streetscape environments through footpaths &amp; street trees.</w:t>
            </w:r>
          </w:p>
        </w:tc>
        <w:tc>
          <w:tcPr>
            <w:tcW w:w="4678" w:type="dxa"/>
          </w:tcPr>
          <w:p w14:paraId="3DB6645F" w14:textId="77777777" w:rsidR="00BE36FB" w:rsidRPr="009B7B35" w:rsidRDefault="00BE36FB" w:rsidP="001A7107">
            <w:pPr>
              <w:pStyle w:val="TableText"/>
              <w:rPr>
                <w:rFonts w:cs="Arial"/>
                <w:b/>
                <w:bCs/>
              </w:rPr>
            </w:pPr>
            <w:r w:rsidRPr="009B7B35">
              <w:rPr>
                <w:rFonts w:cs="Arial"/>
                <w:b/>
                <w:bCs/>
              </w:rPr>
              <w:t>AO28.1</w:t>
            </w:r>
          </w:p>
          <w:p w14:paraId="19355F30" w14:textId="77777777" w:rsidR="00BE36FB" w:rsidRPr="009B7B35" w:rsidRDefault="00BE36FB" w:rsidP="001A7107">
            <w:pPr>
              <w:pStyle w:val="TableText"/>
              <w:rPr>
                <w:rFonts w:cs="Arial"/>
              </w:rPr>
            </w:pPr>
            <w:r w:rsidRPr="009B7B35">
              <w:rPr>
                <w:rFonts w:cs="Arial"/>
              </w:rPr>
              <w:t>Development is limited to one crossover.</w:t>
            </w:r>
          </w:p>
        </w:tc>
      </w:tr>
      <w:tr w:rsidR="00BE36FB" w:rsidRPr="009B7B35" w14:paraId="4C681DE9" w14:textId="77777777" w:rsidTr="001A7107">
        <w:trPr>
          <w:cantSplit/>
        </w:trPr>
        <w:tc>
          <w:tcPr>
            <w:tcW w:w="4678" w:type="dxa"/>
            <w:vMerge/>
          </w:tcPr>
          <w:p w14:paraId="7C73DDD3" w14:textId="77777777" w:rsidR="00BE36FB" w:rsidRPr="009B7B35" w:rsidRDefault="00BE36FB" w:rsidP="001A7107">
            <w:pPr>
              <w:rPr>
                <w:rFonts w:cs="Arial"/>
                <w:sz w:val="20"/>
                <w:szCs w:val="20"/>
              </w:rPr>
            </w:pPr>
          </w:p>
        </w:tc>
        <w:tc>
          <w:tcPr>
            <w:tcW w:w="4678" w:type="dxa"/>
          </w:tcPr>
          <w:p w14:paraId="0411F126" w14:textId="77777777" w:rsidR="00BE36FB" w:rsidRPr="009B7B35" w:rsidRDefault="00BE36FB" w:rsidP="001A7107">
            <w:pPr>
              <w:pStyle w:val="TableText"/>
              <w:rPr>
                <w:rFonts w:cs="Arial"/>
                <w:b/>
                <w:bCs/>
              </w:rPr>
            </w:pPr>
            <w:r w:rsidRPr="009B7B35">
              <w:rPr>
                <w:rFonts w:cs="Arial"/>
                <w:b/>
                <w:bCs/>
              </w:rPr>
              <w:t>AO28.2</w:t>
            </w:r>
          </w:p>
          <w:p w14:paraId="3F5CFE45" w14:textId="77777777" w:rsidR="00BE36FB" w:rsidRPr="009B7B35" w:rsidRDefault="00BE36FB" w:rsidP="001A7107">
            <w:pPr>
              <w:pStyle w:val="TableText"/>
              <w:rPr>
                <w:rFonts w:cs="Arial"/>
              </w:rPr>
            </w:pPr>
            <w:r w:rsidRPr="009B7B35">
              <w:rPr>
                <w:rFonts w:cs="Arial"/>
              </w:rPr>
              <w:t>Vehicular access is not located on a primary frontage unless where there is no other access available to the site.</w:t>
            </w:r>
          </w:p>
          <w:p w14:paraId="6D937122"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14:paraId="123A8E64" w14:textId="77777777" w:rsidTr="001A7107">
        <w:trPr>
          <w:cantSplit/>
        </w:trPr>
        <w:tc>
          <w:tcPr>
            <w:tcW w:w="9356" w:type="dxa"/>
            <w:gridSpan w:val="2"/>
            <w:shd w:val="clear" w:color="auto" w:fill="BFBFBF" w:themeFill="background1" w:themeFillShade="BF"/>
          </w:tcPr>
          <w:p w14:paraId="51505786" w14:textId="77777777" w:rsidR="00BE36FB" w:rsidRPr="009B7B35" w:rsidRDefault="00BE36FB" w:rsidP="001A7107">
            <w:pPr>
              <w:pStyle w:val="Tableheading"/>
              <w:rPr>
                <w:rFonts w:ascii="Arial" w:hAnsi="Arial" w:cs="Arial"/>
                <w:szCs w:val="20"/>
              </w:rPr>
            </w:pPr>
            <w:r w:rsidRPr="009B7B35">
              <w:rPr>
                <w:rFonts w:ascii="Arial" w:hAnsi="Arial" w:cs="Arial"/>
                <w:szCs w:val="20"/>
              </w:rPr>
              <w:t>Storage areas</w:t>
            </w:r>
          </w:p>
        </w:tc>
      </w:tr>
      <w:tr w:rsidR="00BE36FB" w:rsidRPr="009B7B35" w14:paraId="14EA170F" w14:textId="77777777" w:rsidTr="001A7107">
        <w:trPr>
          <w:cantSplit/>
        </w:trPr>
        <w:tc>
          <w:tcPr>
            <w:tcW w:w="4678" w:type="dxa"/>
          </w:tcPr>
          <w:p w14:paraId="6B755C94" w14:textId="77777777" w:rsidR="00BE36FB" w:rsidRPr="009B7B35" w:rsidRDefault="00BE36FB" w:rsidP="001A7107">
            <w:pPr>
              <w:pStyle w:val="TableText"/>
              <w:rPr>
                <w:rFonts w:cs="Arial"/>
                <w:b/>
                <w:bCs/>
              </w:rPr>
            </w:pPr>
            <w:r w:rsidRPr="009B7B35">
              <w:rPr>
                <w:rFonts w:cs="Arial"/>
                <w:b/>
                <w:bCs/>
              </w:rPr>
              <w:t>PO29</w:t>
            </w:r>
          </w:p>
          <w:p w14:paraId="106D9A32" w14:textId="77777777" w:rsidR="00BE36FB" w:rsidRPr="009B7B35" w:rsidRDefault="00BE36FB" w:rsidP="001A7107">
            <w:pPr>
              <w:pStyle w:val="TableText"/>
              <w:rPr>
                <w:rFonts w:cs="Arial"/>
              </w:rPr>
            </w:pPr>
            <w:r w:rsidRPr="009B7B35">
              <w:rPr>
                <w:rFonts w:cs="Arial"/>
              </w:rPr>
              <w:t>Ancillary storage of goods or materials must be located in a manner that does not detract from the visual amenity of the local area.</w:t>
            </w:r>
          </w:p>
        </w:tc>
        <w:tc>
          <w:tcPr>
            <w:tcW w:w="4678" w:type="dxa"/>
          </w:tcPr>
          <w:p w14:paraId="57C13087" w14:textId="77777777" w:rsidR="00BE36FB" w:rsidRPr="009B7B35" w:rsidRDefault="00BE36FB" w:rsidP="001A7107">
            <w:pPr>
              <w:pStyle w:val="TableText"/>
              <w:rPr>
                <w:rFonts w:cs="Arial"/>
                <w:b/>
                <w:bCs/>
              </w:rPr>
            </w:pPr>
            <w:r w:rsidRPr="009B7B35">
              <w:rPr>
                <w:rFonts w:cs="Arial"/>
                <w:b/>
                <w:bCs/>
              </w:rPr>
              <w:t>AO29</w:t>
            </w:r>
          </w:p>
          <w:p w14:paraId="296F8602" w14:textId="77777777" w:rsidR="00BE36FB" w:rsidRPr="009B7B35" w:rsidRDefault="00BE36FB" w:rsidP="001A7107">
            <w:pPr>
              <w:pStyle w:val="TableText"/>
              <w:rPr>
                <w:rFonts w:cs="Arial"/>
              </w:rPr>
            </w:pPr>
            <w:r w:rsidRPr="009B7B35">
              <w:rPr>
                <w:rFonts w:cs="Arial"/>
              </w:rPr>
              <w:t xml:space="preserve">Equipment, materials, goods and/or, machinery used on site are either: </w:t>
            </w:r>
          </w:p>
          <w:p w14:paraId="3674C1D6" w14:textId="77777777" w:rsidR="00BE36FB" w:rsidRPr="009B7B35" w:rsidRDefault="00BE36FB" w:rsidP="00BE36FB">
            <w:pPr>
              <w:pStyle w:val="TableText"/>
              <w:numPr>
                <w:ilvl w:val="0"/>
                <w:numId w:val="481"/>
              </w:numPr>
              <w:rPr>
                <w:rFonts w:cs="Arial"/>
              </w:rPr>
            </w:pPr>
            <w:r w:rsidRPr="009B7B35">
              <w:rPr>
                <w:rFonts w:cs="Arial"/>
              </w:rPr>
              <w:t>stored behind the front building setback and screened from view, or</w:t>
            </w:r>
          </w:p>
          <w:p w14:paraId="383CF0AE" w14:textId="77777777" w:rsidR="00BE36FB" w:rsidRPr="009B7B35" w:rsidRDefault="00BE36FB" w:rsidP="00BE36FB">
            <w:pPr>
              <w:pStyle w:val="TableText"/>
              <w:numPr>
                <w:ilvl w:val="0"/>
                <w:numId w:val="481"/>
              </w:numPr>
              <w:rPr>
                <w:rFonts w:cs="Arial"/>
              </w:rPr>
            </w:pPr>
            <w:r w:rsidRPr="009B7B35">
              <w:rPr>
                <w:rFonts w:cs="Arial"/>
              </w:rPr>
              <w:t>stored within a building.</w:t>
            </w:r>
          </w:p>
        </w:tc>
      </w:tr>
      <w:tr w:rsidR="00BE36FB" w:rsidRPr="009B7B35" w14:paraId="10C9DDD5" w14:textId="77777777" w:rsidTr="001A7107">
        <w:trPr>
          <w:cantSplit/>
        </w:trPr>
        <w:tc>
          <w:tcPr>
            <w:tcW w:w="9356" w:type="dxa"/>
            <w:gridSpan w:val="2"/>
            <w:shd w:val="clear" w:color="auto" w:fill="BFBFBF" w:themeFill="background1" w:themeFillShade="BF"/>
          </w:tcPr>
          <w:p w14:paraId="738357BD"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765B26ED" w14:textId="77777777" w:rsidTr="001A7107">
        <w:tc>
          <w:tcPr>
            <w:tcW w:w="4678" w:type="dxa"/>
          </w:tcPr>
          <w:p w14:paraId="2B4FE4B6" w14:textId="77777777" w:rsidR="00BE36FB" w:rsidRPr="009B7B35" w:rsidRDefault="00BE36FB" w:rsidP="001A7107">
            <w:pPr>
              <w:pStyle w:val="TableText"/>
              <w:rPr>
                <w:rFonts w:cs="Arial"/>
                <w:b/>
                <w:bCs/>
              </w:rPr>
            </w:pPr>
            <w:r w:rsidRPr="009B7B35">
              <w:rPr>
                <w:rFonts w:cs="Arial"/>
                <w:b/>
                <w:bCs/>
              </w:rPr>
              <w:t>PO30</w:t>
            </w:r>
          </w:p>
          <w:p w14:paraId="3305D3AA" w14:textId="77777777"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14:paraId="0195E76B" w14:textId="77777777" w:rsidR="00BE36FB" w:rsidRPr="009B7B35" w:rsidRDefault="00BE36FB" w:rsidP="00BE36FB">
            <w:pPr>
              <w:pStyle w:val="TableText"/>
              <w:numPr>
                <w:ilvl w:val="0"/>
                <w:numId w:val="482"/>
              </w:numPr>
              <w:rPr>
                <w:rFonts w:cs="Arial"/>
              </w:rPr>
            </w:pPr>
            <w:r w:rsidRPr="009B7B35">
              <w:rPr>
                <w:rFonts w:cs="Arial"/>
              </w:rPr>
              <w:t>any hazards to people or property are avoided</w:t>
            </w:r>
          </w:p>
          <w:p w14:paraId="6EDBB25C" w14:textId="77777777" w:rsidR="00BE36FB" w:rsidRPr="009B7B35" w:rsidRDefault="00BE36FB" w:rsidP="00BE36FB">
            <w:pPr>
              <w:pStyle w:val="TableText"/>
              <w:numPr>
                <w:ilvl w:val="0"/>
                <w:numId w:val="482"/>
              </w:numPr>
              <w:rPr>
                <w:rFonts w:cs="Arial"/>
              </w:rPr>
            </w:pPr>
            <w:r w:rsidRPr="009B7B35">
              <w:rPr>
                <w:rFonts w:cs="Arial"/>
              </w:rPr>
              <w:t>any earthworks are minimised</w:t>
            </w:r>
          </w:p>
          <w:p w14:paraId="7D565FFE" w14:textId="77777777" w:rsidR="00BE36FB" w:rsidRPr="009B7B35" w:rsidRDefault="00BE36FB" w:rsidP="00BE36FB">
            <w:pPr>
              <w:pStyle w:val="TableText"/>
              <w:numPr>
                <w:ilvl w:val="0"/>
                <w:numId w:val="482"/>
              </w:numPr>
              <w:rPr>
                <w:rFonts w:cs="Arial"/>
              </w:rPr>
            </w:pPr>
            <w:r w:rsidRPr="009B7B35">
              <w:rPr>
                <w:rFonts w:cs="Arial"/>
              </w:rPr>
              <w:t>the retention of natural drainage line is maximised</w:t>
            </w:r>
          </w:p>
          <w:p w14:paraId="75AD804B" w14:textId="77777777" w:rsidR="00BE36FB" w:rsidRPr="009B7B35" w:rsidRDefault="00BE36FB" w:rsidP="00BE36FB">
            <w:pPr>
              <w:pStyle w:val="TableText"/>
              <w:numPr>
                <w:ilvl w:val="0"/>
                <w:numId w:val="482"/>
              </w:numPr>
              <w:rPr>
                <w:rFonts w:cs="Arial"/>
              </w:rPr>
            </w:pPr>
            <w:r w:rsidRPr="009B7B35">
              <w:rPr>
                <w:rFonts w:cs="Arial"/>
              </w:rPr>
              <w:t>the retention of existing vegetation is maximised</w:t>
            </w:r>
          </w:p>
          <w:p w14:paraId="1C1FA22D" w14:textId="77777777" w:rsidR="00BE36FB" w:rsidRPr="009B7B35" w:rsidRDefault="00BE36FB" w:rsidP="00BE36FB">
            <w:pPr>
              <w:pStyle w:val="TableText"/>
              <w:numPr>
                <w:ilvl w:val="0"/>
                <w:numId w:val="482"/>
              </w:numPr>
              <w:rPr>
                <w:rFonts w:cs="Arial"/>
              </w:rPr>
            </w:pPr>
            <w:r w:rsidRPr="009B7B35">
              <w:rPr>
                <w:rFonts w:cs="Arial"/>
              </w:rPr>
              <w:t xml:space="preserve">damage or disruption to sewerage, stormwater and water infrastructure is avoided, and </w:t>
            </w:r>
          </w:p>
          <w:p w14:paraId="049D659A" w14:textId="77777777" w:rsidR="00BE36FB" w:rsidRPr="009B7B35" w:rsidRDefault="00BE36FB" w:rsidP="00BE36FB">
            <w:pPr>
              <w:pStyle w:val="TableText"/>
              <w:numPr>
                <w:ilvl w:val="0"/>
                <w:numId w:val="482"/>
              </w:numPr>
              <w:rPr>
                <w:rFonts w:cs="Arial"/>
              </w:rPr>
            </w:pPr>
            <w:r w:rsidRPr="009B7B35">
              <w:rPr>
                <w:rFonts w:cs="Arial"/>
              </w:rPr>
              <w:t>there is adequate buffering, screening or separation to adjoining development.</w:t>
            </w:r>
          </w:p>
        </w:tc>
        <w:tc>
          <w:tcPr>
            <w:tcW w:w="4678" w:type="dxa"/>
          </w:tcPr>
          <w:p w14:paraId="254F82D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3214694" w14:textId="77777777" w:rsidTr="001A7107">
        <w:tc>
          <w:tcPr>
            <w:tcW w:w="4678" w:type="dxa"/>
          </w:tcPr>
          <w:p w14:paraId="21F1547A" w14:textId="77777777" w:rsidR="00BE36FB" w:rsidRPr="009B7B35" w:rsidRDefault="00BE36FB" w:rsidP="001A7107">
            <w:pPr>
              <w:pStyle w:val="TableText"/>
              <w:rPr>
                <w:rFonts w:cs="Arial"/>
                <w:b/>
                <w:bCs/>
              </w:rPr>
            </w:pPr>
            <w:r w:rsidRPr="009B7B35">
              <w:rPr>
                <w:rFonts w:cs="Arial"/>
                <w:b/>
                <w:bCs/>
              </w:rPr>
              <w:t>PO31</w:t>
            </w:r>
          </w:p>
          <w:p w14:paraId="424281E5" w14:textId="77777777" w:rsidR="00BE36FB" w:rsidRPr="009B7B35" w:rsidRDefault="00BE36FB" w:rsidP="001A7107">
            <w:pPr>
              <w:pStyle w:val="TableText"/>
              <w:rPr>
                <w:rFonts w:cs="Arial"/>
              </w:rPr>
            </w:pPr>
            <w:r w:rsidRPr="009B7B35">
              <w:rPr>
                <w:rFonts w:cs="Arial"/>
              </w:rPr>
              <w:t xml:space="preserve">Residential development where located near port facilities, major industries and major infrastructure must mitigate the operational effects including: </w:t>
            </w:r>
          </w:p>
          <w:p w14:paraId="0C7E032A" w14:textId="77777777" w:rsidR="00BE36FB" w:rsidRPr="009B7B35" w:rsidRDefault="00BE36FB" w:rsidP="00BE36FB">
            <w:pPr>
              <w:pStyle w:val="TableText"/>
              <w:numPr>
                <w:ilvl w:val="0"/>
                <w:numId w:val="483"/>
              </w:numPr>
              <w:rPr>
                <w:rFonts w:cs="Arial"/>
              </w:rPr>
            </w:pPr>
            <w:r w:rsidRPr="009B7B35">
              <w:rPr>
                <w:rFonts w:cs="Arial"/>
              </w:rPr>
              <w:t>using air–conditioning or other energy–efficient ventilation, where necessary, to minimise the effects of odours and emissions, and</w:t>
            </w:r>
          </w:p>
          <w:p w14:paraId="594C14FC" w14:textId="77777777" w:rsidR="00BE36FB" w:rsidRPr="009B7B35" w:rsidRDefault="00BE36FB" w:rsidP="00BE36FB">
            <w:pPr>
              <w:pStyle w:val="TableText"/>
              <w:numPr>
                <w:ilvl w:val="0"/>
                <w:numId w:val="483"/>
              </w:numPr>
              <w:rPr>
                <w:rFonts w:cs="Arial"/>
              </w:rPr>
            </w:pPr>
            <w:r w:rsidRPr="009B7B35">
              <w:rPr>
                <w:rFonts w:cs="Arial"/>
              </w:rPr>
              <w:t>comprehensive on site landscaping to provide visual relief from the industrial landscape.</w:t>
            </w:r>
          </w:p>
        </w:tc>
        <w:tc>
          <w:tcPr>
            <w:tcW w:w="4678" w:type="dxa"/>
          </w:tcPr>
          <w:p w14:paraId="56CDE043"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768477F" w14:textId="77777777" w:rsidTr="001A7107">
        <w:trPr>
          <w:cantSplit/>
        </w:trPr>
        <w:tc>
          <w:tcPr>
            <w:tcW w:w="9356" w:type="dxa"/>
            <w:gridSpan w:val="2"/>
            <w:shd w:val="clear" w:color="auto" w:fill="BFBFBF" w:themeFill="background1" w:themeFillShade="BF"/>
          </w:tcPr>
          <w:p w14:paraId="1E9D663F" w14:textId="77777777" w:rsidR="00BE36FB" w:rsidRPr="009B7B35" w:rsidRDefault="00BE36FB" w:rsidP="001A7107">
            <w:pPr>
              <w:pStyle w:val="Tableheading"/>
              <w:rPr>
                <w:rFonts w:ascii="Arial" w:hAnsi="Arial" w:cs="Arial"/>
                <w:szCs w:val="20"/>
              </w:rPr>
            </w:pPr>
            <w:r w:rsidRPr="009B7B35">
              <w:rPr>
                <w:rFonts w:ascii="Arial" w:hAnsi="Arial" w:cs="Arial"/>
                <w:szCs w:val="20"/>
              </w:rPr>
              <w:t>Uses – Multiple dwelling, Retirement facility, Residential care facility, Rooming accommodation</w:t>
            </w:r>
          </w:p>
        </w:tc>
      </w:tr>
      <w:tr w:rsidR="00BE36FB" w:rsidRPr="009B7B35" w14:paraId="7C8AA72E" w14:textId="77777777" w:rsidTr="001A7107">
        <w:trPr>
          <w:cantSplit/>
        </w:trPr>
        <w:tc>
          <w:tcPr>
            <w:tcW w:w="4678" w:type="dxa"/>
          </w:tcPr>
          <w:p w14:paraId="168B86FD" w14:textId="77777777" w:rsidR="00BE36FB" w:rsidRPr="009B7B35" w:rsidRDefault="00BE36FB" w:rsidP="001A7107">
            <w:pPr>
              <w:pStyle w:val="TableText"/>
              <w:rPr>
                <w:rFonts w:cs="Arial"/>
                <w:b/>
                <w:bCs/>
              </w:rPr>
            </w:pPr>
            <w:r w:rsidRPr="009B7B35">
              <w:rPr>
                <w:rFonts w:cs="Arial"/>
                <w:b/>
                <w:bCs/>
              </w:rPr>
              <w:t>PO32</w:t>
            </w:r>
          </w:p>
          <w:p w14:paraId="01C66611" w14:textId="77777777" w:rsidR="00BE36FB" w:rsidRPr="009B7B35" w:rsidRDefault="00BE36FB" w:rsidP="001A7107">
            <w:pPr>
              <w:rPr>
                <w:rFonts w:cs="Arial"/>
                <w:sz w:val="20"/>
                <w:szCs w:val="20"/>
              </w:rPr>
            </w:pPr>
            <w:r w:rsidRPr="009B7B35">
              <w:rPr>
                <w:rFonts w:cs="Arial"/>
                <w:sz w:val="20"/>
                <w:szCs w:val="20"/>
              </w:rPr>
              <w:t>Development on a primary frontage does not compromise ground level business activities being established.</w:t>
            </w:r>
          </w:p>
        </w:tc>
        <w:tc>
          <w:tcPr>
            <w:tcW w:w="4678" w:type="dxa"/>
          </w:tcPr>
          <w:p w14:paraId="33463899" w14:textId="77777777" w:rsidR="00BE36FB" w:rsidRPr="009B7B35" w:rsidRDefault="00BE36FB" w:rsidP="001A7107">
            <w:pPr>
              <w:pStyle w:val="TableText"/>
              <w:rPr>
                <w:rFonts w:cs="Arial"/>
                <w:b/>
                <w:bCs/>
              </w:rPr>
            </w:pPr>
            <w:r w:rsidRPr="009B7B35">
              <w:rPr>
                <w:rFonts w:cs="Arial"/>
                <w:b/>
                <w:bCs/>
              </w:rPr>
              <w:t>AO32</w:t>
            </w:r>
          </w:p>
          <w:p w14:paraId="27F615AF" w14:textId="77777777" w:rsidR="00BE36FB" w:rsidRPr="009B7B35" w:rsidRDefault="00BE36FB" w:rsidP="001A7107">
            <w:pPr>
              <w:pStyle w:val="TableText"/>
              <w:rPr>
                <w:rFonts w:cs="Arial"/>
              </w:rPr>
            </w:pPr>
            <w:r w:rsidRPr="009B7B35">
              <w:rPr>
                <w:rFonts w:cs="Arial"/>
              </w:rPr>
              <w:t>Development on a primary frontage is located either above the ground floor level, or to the rear of ground level business activities.</w:t>
            </w:r>
          </w:p>
          <w:p w14:paraId="26AAABB9"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14:paraId="29B800AE" w14:textId="77777777" w:rsidTr="001A7107">
        <w:trPr>
          <w:cantSplit/>
        </w:trPr>
        <w:tc>
          <w:tcPr>
            <w:tcW w:w="4678" w:type="dxa"/>
          </w:tcPr>
          <w:p w14:paraId="6E3C7AC8" w14:textId="77777777" w:rsidR="00BE36FB" w:rsidRPr="009B7B35" w:rsidRDefault="00BE36FB" w:rsidP="001A7107">
            <w:pPr>
              <w:pStyle w:val="TableText"/>
              <w:rPr>
                <w:rFonts w:cs="Arial"/>
                <w:b/>
                <w:bCs/>
              </w:rPr>
            </w:pPr>
            <w:r w:rsidRPr="009B7B35">
              <w:rPr>
                <w:rFonts w:cs="Arial"/>
                <w:b/>
                <w:bCs/>
              </w:rPr>
              <w:t>PO33</w:t>
            </w:r>
          </w:p>
          <w:p w14:paraId="213F3A3A" w14:textId="77777777" w:rsidR="00BE36FB" w:rsidRPr="009B7B35" w:rsidRDefault="00BE36FB" w:rsidP="001A7107">
            <w:pPr>
              <w:pStyle w:val="TableText"/>
              <w:rPr>
                <w:rFonts w:cs="Arial"/>
              </w:rPr>
            </w:pPr>
            <w:r w:rsidRPr="009B7B35">
              <w:rPr>
                <w:rFonts w:cs="Arial"/>
              </w:rPr>
              <w:t>Development provides a mix of housing sizes to meet housing needs across the community.</w:t>
            </w:r>
          </w:p>
        </w:tc>
        <w:tc>
          <w:tcPr>
            <w:tcW w:w="4678" w:type="dxa"/>
          </w:tcPr>
          <w:p w14:paraId="11A98862" w14:textId="77777777" w:rsidR="00BE36FB" w:rsidRPr="009B7B35" w:rsidRDefault="00BE36FB" w:rsidP="001A7107">
            <w:pPr>
              <w:pStyle w:val="TableText"/>
              <w:rPr>
                <w:rFonts w:cs="Arial"/>
                <w:b/>
                <w:bCs/>
              </w:rPr>
            </w:pPr>
            <w:r w:rsidRPr="009B7B35">
              <w:rPr>
                <w:rFonts w:cs="Arial"/>
                <w:b/>
                <w:bCs/>
              </w:rPr>
              <w:t>AO33</w:t>
            </w:r>
          </w:p>
          <w:p w14:paraId="2FE1CBC1" w14:textId="77777777" w:rsidR="00BE36FB" w:rsidRPr="009B7B35" w:rsidRDefault="00BE36FB" w:rsidP="001A7107">
            <w:pPr>
              <w:pStyle w:val="TableText"/>
              <w:rPr>
                <w:rFonts w:cs="Arial"/>
              </w:rPr>
            </w:pPr>
            <w:r w:rsidRPr="009B7B35">
              <w:rPr>
                <w:rFonts w:cs="Arial"/>
              </w:rPr>
              <w:t>Development of 15 or more dwellings includes the following proportion of dwelling sizes:</w:t>
            </w:r>
          </w:p>
          <w:p w14:paraId="04526EC7" w14:textId="77777777" w:rsidR="00BE36FB" w:rsidRPr="009B7B35" w:rsidRDefault="00BE36FB" w:rsidP="00BE36FB">
            <w:pPr>
              <w:pStyle w:val="TableText"/>
              <w:numPr>
                <w:ilvl w:val="0"/>
                <w:numId w:val="484"/>
              </w:numPr>
              <w:rPr>
                <w:rFonts w:cs="Arial"/>
              </w:rPr>
            </w:pPr>
            <w:r w:rsidRPr="009B7B35">
              <w:rPr>
                <w:rFonts w:cs="Arial"/>
              </w:rPr>
              <w:t>25% – 1 bedroom or studio</w:t>
            </w:r>
          </w:p>
          <w:p w14:paraId="69707C97" w14:textId="77777777" w:rsidR="00BE36FB" w:rsidRPr="009B7B35" w:rsidRDefault="00BE36FB" w:rsidP="00BE36FB">
            <w:pPr>
              <w:pStyle w:val="TableText"/>
              <w:numPr>
                <w:ilvl w:val="0"/>
                <w:numId w:val="484"/>
              </w:numPr>
              <w:rPr>
                <w:rFonts w:cs="Arial"/>
              </w:rPr>
            </w:pPr>
            <w:r w:rsidRPr="009B7B35">
              <w:rPr>
                <w:rFonts w:cs="Arial"/>
              </w:rPr>
              <w:t>40% – 2 bedrooms</w:t>
            </w:r>
          </w:p>
          <w:p w14:paraId="1B68A4D1" w14:textId="77777777" w:rsidR="00BE36FB" w:rsidRPr="009B7B35" w:rsidRDefault="00BE36FB" w:rsidP="00BE36FB">
            <w:pPr>
              <w:pStyle w:val="TableText"/>
              <w:numPr>
                <w:ilvl w:val="0"/>
                <w:numId w:val="484"/>
              </w:numPr>
              <w:rPr>
                <w:rFonts w:cs="Arial"/>
              </w:rPr>
            </w:pPr>
            <w:r w:rsidRPr="009B7B35">
              <w:rPr>
                <w:rFonts w:cs="Arial"/>
              </w:rPr>
              <w:t>15% – 3 bedrooms or more</w:t>
            </w:r>
          </w:p>
          <w:p w14:paraId="1887B85A" w14:textId="77777777" w:rsidR="00BE36FB" w:rsidRPr="009B7B35" w:rsidRDefault="00BE36FB" w:rsidP="00BE36FB">
            <w:pPr>
              <w:pStyle w:val="TableText"/>
              <w:numPr>
                <w:ilvl w:val="0"/>
                <w:numId w:val="484"/>
              </w:numPr>
              <w:rPr>
                <w:rFonts w:cs="Arial"/>
              </w:rPr>
            </w:pPr>
            <w:r w:rsidRPr="009B7B35">
              <w:rPr>
                <w:rFonts w:cs="Arial"/>
              </w:rPr>
              <w:t>remaining 20% is unrestricted.</w:t>
            </w:r>
          </w:p>
        </w:tc>
      </w:tr>
      <w:tr w:rsidR="00BE36FB" w:rsidRPr="009B7B35" w14:paraId="1BFB9485" w14:textId="77777777" w:rsidTr="001A7107">
        <w:trPr>
          <w:cantSplit/>
        </w:trPr>
        <w:tc>
          <w:tcPr>
            <w:tcW w:w="4678" w:type="dxa"/>
            <w:vMerge w:val="restart"/>
          </w:tcPr>
          <w:p w14:paraId="12FEDE98" w14:textId="77777777" w:rsidR="00BE36FB" w:rsidRPr="009B7B35" w:rsidRDefault="00BE36FB" w:rsidP="001A7107">
            <w:pPr>
              <w:pStyle w:val="TableText"/>
              <w:rPr>
                <w:rFonts w:cs="Arial"/>
                <w:b/>
                <w:bCs/>
              </w:rPr>
            </w:pPr>
            <w:r w:rsidRPr="009B7B35">
              <w:rPr>
                <w:rFonts w:cs="Arial"/>
                <w:b/>
                <w:bCs/>
              </w:rPr>
              <w:t>PO34</w:t>
            </w:r>
          </w:p>
          <w:p w14:paraId="56AE165A" w14:textId="77777777" w:rsidR="00BE36FB" w:rsidRPr="009B7B35" w:rsidRDefault="00BE36FB">
            <w:pPr>
              <w:rPr>
                <w:rFonts w:cs="Arial"/>
                <w:sz w:val="20"/>
                <w:szCs w:val="20"/>
              </w:rPr>
            </w:pPr>
            <w:r w:rsidRPr="009B7B35">
              <w:rPr>
                <w:rFonts w:cs="Arial"/>
                <w:sz w:val="20"/>
                <w:szCs w:val="20"/>
              </w:rPr>
              <w:t>Development must provide sufficient and accessible open space for residents needs.</w:t>
            </w:r>
          </w:p>
        </w:tc>
        <w:tc>
          <w:tcPr>
            <w:tcW w:w="4678" w:type="dxa"/>
          </w:tcPr>
          <w:p w14:paraId="6F9C702E" w14:textId="77777777" w:rsidR="00BE36FB" w:rsidRPr="009B7B35" w:rsidRDefault="00BE36FB" w:rsidP="001A7107">
            <w:pPr>
              <w:pStyle w:val="TableText"/>
              <w:rPr>
                <w:rFonts w:cs="Arial"/>
                <w:b/>
                <w:bCs/>
              </w:rPr>
            </w:pPr>
            <w:r w:rsidRPr="009B7B35">
              <w:rPr>
                <w:rFonts w:cs="Arial"/>
                <w:b/>
                <w:bCs/>
              </w:rPr>
              <w:t>AO34.1</w:t>
            </w:r>
          </w:p>
          <w:p w14:paraId="5F888DB8" w14:textId="77777777" w:rsidR="00BE36FB" w:rsidRPr="009B7B35" w:rsidRDefault="00BE36FB" w:rsidP="001A7107">
            <w:pPr>
              <w:pStyle w:val="TableText"/>
              <w:rPr>
                <w:rFonts w:cs="Arial"/>
              </w:rPr>
            </w:pPr>
            <w:r w:rsidRPr="009B7B35">
              <w:rPr>
                <w:rFonts w:cs="Arial"/>
              </w:rPr>
              <w:t>Open space is provided in accordance with the following building types:</w:t>
            </w:r>
          </w:p>
          <w:p w14:paraId="14B1B32C" w14:textId="77777777" w:rsidR="00BE36FB" w:rsidRPr="009B7B35" w:rsidRDefault="00BE36FB" w:rsidP="00BE36FB">
            <w:pPr>
              <w:pStyle w:val="TableText"/>
              <w:numPr>
                <w:ilvl w:val="0"/>
                <w:numId w:val="485"/>
              </w:numPr>
              <w:rPr>
                <w:rFonts w:cs="Arial"/>
              </w:rPr>
            </w:pPr>
            <w:r w:rsidRPr="009B7B35">
              <w:rPr>
                <w:rFonts w:cs="Arial"/>
              </w:rPr>
              <w:t>Figure 1—Primary frontage building where located on a primary frontage</w:t>
            </w:r>
          </w:p>
          <w:p w14:paraId="003364F9" w14:textId="77777777" w:rsidR="00BE36FB" w:rsidRPr="009B7B35" w:rsidRDefault="00BE36FB" w:rsidP="00BE36FB">
            <w:pPr>
              <w:pStyle w:val="TableText"/>
              <w:numPr>
                <w:ilvl w:val="0"/>
                <w:numId w:val="485"/>
              </w:numPr>
              <w:rPr>
                <w:rFonts w:cs="Arial"/>
              </w:rPr>
            </w:pPr>
            <w:r w:rsidRPr="009B7B35">
              <w:rPr>
                <w:rFonts w:cs="Arial"/>
              </w:rPr>
              <w:t>Figure 2—Secondary frontage building where not located on a primary frontage.</w:t>
            </w:r>
          </w:p>
          <w:p w14:paraId="4EB54A98"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14:paraId="7D6582EC" w14:textId="77777777" w:rsidTr="001A7107">
        <w:trPr>
          <w:cantSplit/>
        </w:trPr>
        <w:tc>
          <w:tcPr>
            <w:tcW w:w="4678" w:type="dxa"/>
            <w:vMerge/>
          </w:tcPr>
          <w:p w14:paraId="1D7D7860" w14:textId="77777777" w:rsidR="00BE36FB" w:rsidRPr="009B7B35" w:rsidRDefault="00BE36FB" w:rsidP="001A7107">
            <w:pPr>
              <w:rPr>
                <w:rFonts w:cs="Arial"/>
                <w:sz w:val="20"/>
                <w:szCs w:val="20"/>
              </w:rPr>
            </w:pPr>
          </w:p>
        </w:tc>
        <w:tc>
          <w:tcPr>
            <w:tcW w:w="4678" w:type="dxa"/>
          </w:tcPr>
          <w:p w14:paraId="717FCE58" w14:textId="77777777" w:rsidR="00BE36FB" w:rsidRPr="009B7B35" w:rsidRDefault="00BE36FB" w:rsidP="001A7107">
            <w:pPr>
              <w:pStyle w:val="TableText"/>
              <w:rPr>
                <w:rFonts w:cs="Arial"/>
                <w:b/>
                <w:bCs/>
              </w:rPr>
            </w:pPr>
            <w:r w:rsidRPr="009B7B35">
              <w:rPr>
                <w:rFonts w:cs="Arial"/>
                <w:b/>
                <w:bCs/>
              </w:rPr>
              <w:t>AO34.2</w:t>
            </w:r>
          </w:p>
          <w:p w14:paraId="4F1BED25" w14:textId="77777777" w:rsidR="00BE36FB" w:rsidRPr="009B7B35" w:rsidRDefault="00BE36FB" w:rsidP="001A7107">
            <w:pPr>
              <w:pStyle w:val="TableText"/>
              <w:rPr>
                <w:rFonts w:cs="Arial"/>
              </w:rPr>
            </w:pPr>
            <w:r w:rsidRPr="009B7B35">
              <w:rPr>
                <w:rFonts w:cs="Arial"/>
              </w:rPr>
              <w:t>Private open space is directly adjacent to the main living area.</w:t>
            </w:r>
          </w:p>
        </w:tc>
      </w:tr>
      <w:tr w:rsidR="00BE36FB" w:rsidRPr="009B7B35" w14:paraId="1DF3885C" w14:textId="77777777" w:rsidTr="001A7107">
        <w:trPr>
          <w:cantSplit/>
        </w:trPr>
        <w:tc>
          <w:tcPr>
            <w:tcW w:w="4678" w:type="dxa"/>
          </w:tcPr>
          <w:p w14:paraId="3A5C99D0" w14:textId="77777777" w:rsidR="00BE36FB" w:rsidRPr="009B7B35" w:rsidRDefault="00BE36FB" w:rsidP="001A7107">
            <w:pPr>
              <w:pStyle w:val="TableText"/>
              <w:rPr>
                <w:rFonts w:cs="Arial"/>
                <w:b/>
                <w:bCs/>
              </w:rPr>
            </w:pPr>
            <w:r w:rsidRPr="009B7B35">
              <w:rPr>
                <w:rFonts w:cs="Arial"/>
                <w:b/>
                <w:bCs/>
              </w:rPr>
              <w:t>PO35</w:t>
            </w:r>
          </w:p>
          <w:p w14:paraId="0D8580A1" w14:textId="77777777" w:rsidR="00BE36FB" w:rsidRPr="009B7B35" w:rsidRDefault="00BE36FB" w:rsidP="001A7107">
            <w:pPr>
              <w:pStyle w:val="TableText"/>
              <w:rPr>
                <w:rFonts w:cs="Arial"/>
              </w:rPr>
            </w:pPr>
            <w:r w:rsidRPr="009B7B35">
              <w:rPr>
                <w:rFonts w:cs="Arial"/>
              </w:rPr>
              <w:t>Open space is oriented to maximise solar access.</w:t>
            </w:r>
          </w:p>
        </w:tc>
        <w:tc>
          <w:tcPr>
            <w:tcW w:w="4678" w:type="dxa"/>
          </w:tcPr>
          <w:p w14:paraId="55A45F94" w14:textId="77777777" w:rsidR="00BE36FB" w:rsidRPr="009B7B35" w:rsidRDefault="00BE36FB">
            <w:pPr>
              <w:pStyle w:val="TableText"/>
              <w:rPr>
                <w:rFonts w:cs="Arial"/>
              </w:rPr>
            </w:pPr>
            <w:r w:rsidRPr="009B7B35">
              <w:rPr>
                <w:rFonts w:cs="Arial"/>
              </w:rPr>
              <w:t>No acceptable outcome is nominated.</w:t>
            </w:r>
          </w:p>
        </w:tc>
      </w:tr>
      <w:tr w:rsidR="00BE36FB" w:rsidRPr="009B7B35" w14:paraId="4B5A1D6D" w14:textId="77777777" w:rsidTr="001A7107">
        <w:tc>
          <w:tcPr>
            <w:tcW w:w="4678" w:type="dxa"/>
          </w:tcPr>
          <w:p w14:paraId="22C2F1DD" w14:textId="77777777" w:rsidR="00BE36FB" w:rsidRPr="009B7B35" w:rsidRDefault="00BE36FB" w:rsidP="001A7107">
            <w:pPr>
              <w:pStyle w:val="TableText"/>
              <w:rPr>
                <w:rFonts w:cs="Arial"/>
                <w:b/>
                <w:bCs/>
              </w:rPr>
            </w:pPr>
            <w:r w:rsidRPr="009B7B35">
              <w:rPr>
                <w:rFonts w:cs="Arial"/>
                <w:b/>
                <w:bCs/>
              </w:rPr>
              <w:t>PO36</w:t>
            </w:r>
          </w:p>
          <w:p w14:paraId="2BC566DB" w14:textId="77777777" w:rsidR="00BE36FB" w:rsidRPr="009B7B35" w:rsidRDefault="00BE36FB" w:rsidP="001A7107">
            <w:pPr>
              <w:pStyle w:val="TableText"/>
              <w:rPr>
                <w:rFonts w:cs="Arial"/>
              </w:rPr>
            </w:pPr>
            <w:r w:rsidRPr="009B7B35">
              <w:rPr>
                <w:rFonts w:cs="Arial"/>
              </w:rPr>
              <w:t>Communal open space is:</w:t>
            </w:r>
          </w:p>
          <w:p w14:paraId="4F07A28B" w14:textId="77777777" w:rsidR="00BE36FB" w:rsidRPr="009B7B35" w:rsidRDefault="00BE36FB" w:rsidP="00BE36FB">
            <w:pPr>
              <w:pStyle w:val="TableText"/>
              <w:numPr>
                <w:ilvl w:val="0"/>
                <w:numId w:val="486"/>
              </w:numPr>
              <w:ind w:left="652" w:hanging="652"/>
              <w:rPr>
                <w:rFonts w:cs="Arial"/>
              </w:rPr>
            </w:pPr>
            <w:r w:rsidRPr="009B7B35">
              <w:rPr>
                <w:rFonts w:cs="Arial"/>
              </w:rPr>
              <w:t>designed to provide useable areas for communal activities such as clothes drying and social interaction</w:t>
            </w:r>
          </w:p>
          <w:p w14:paraId="72F3972B" w14:textId="77777777" w:rsidR="00BE36FB" w:rsidRPr="009B7B35" w:rsidRDefault="00BE36FB" w:rsidP="00BE36FB">
            <w:pPr>
              <w:pStyle w:val="TableText"/>
              <w:numPr>
                <w:ilvl w:val="0"/>
                <w:numId w:val="486"/>
              </w:numPr>
              <w:ind w:left="652" w:hanging="652"/>
              <w:rPr>
                <w:rFonts w:cs="Arial"/>
              </w:rPr>
            </w:pPr>
            <w:r w:rsidRPr="009B7B35">
              <w:rPr>
                <w:rFonts w:cs="Arial"/>
              </w:rPr>
              <w:t>open to the sky, and</w:t>
            </w:r>
          </w:p>
          <w:p w14:paraId="05FB4350" w14:textId="77777777" w:rsidR="00BE36FB" w:rsidRPr="009B7B35" w:rsidRDefault="00BE36FB" w:rsidP="00BE36FB">
            <w:pPr>
              <w:pStyle w:val="TableText"/>
              <w:numPr>
                <w:ilvl w:val="0"/>
                <w:numId w:val="486"/>
              </w:numPr>
              <w:ind w:left="652" w:hanging="652"/>
              <w:rPr>
                <w:rFonts w:cs="Arial"/>
              </w:rPr>
            </w:pPr>
            <w:r w:rsidRPr="009B7B35">
              <w:rPr>
                <w:rFonts w:cs="Arial"/>
              </w:rPr>
              <w:t>is not dominated by landscaping.</w:t>
            </w:r>
          </w:p>
        </w:tc>
        <w:tc>
          <w:tcPr>
            <w:tcW w:w="4678" w:type="dxa"/>
          </w:tcPr>
          <w:p w14:paraId="1351FCC0" w14:textId="77777777" w:rsidR="00BE36FB" w:rsidRPr="009B7B35" w:rsidRDefault="00BE36FB">
            <w:pPr>
              <w:pStyle w:val="TableText"/>
              <w:rPr>
                <w:rFonts w:cs="Arial"/>
              </w:rPr>
            </w:pPr>
            <w:r w:rsidRPr="009B7B35">
              <w:rPr>
                <w:rFonts w:cs="Arial"/>
              </w:rPr>
              <w:t>No acceptable outcome is nominated.</w:t>
            </w:r>
          </w:p>
        </w:tc>
      </w:tr>
      <w:tr w:rsidR="00BE36FB" w:rsidRPr="009B7B35" w14:paraId="121C4903" w14:textId="77777777" w:rsidTr="001A7107">
        <w:tc>
          <w:tcPr>
            <w:tcW w:w="4678" w:type="dxa"/>
          </w:tcPr>
          <w:p w14:paraId="5B27C9F8" w14:textId="77777777" w:rsidR="00BE36FB" w:rsidRPr="009B7B35" w:rsidRDefault="00BE36FB" w:rsidP="001A7107">
            <w:pPr>
              <w:pStyle w:val="TableText"/>
              <w:rPr>
                <w:rFonts w:cs="Arial"/>
                <w:b/>
                <w:bCs/>
              </w:rPr>
            </w:pPr>
            <w:r w:rsidRPr="009B7B35">
              <w:rPr>
                <w:rFonts w:cs="Arial"/>
                <w:b/>
                <w:bCs/>
              </w:rPr>
              <w:t>PO37</w:t>
            </w:r>
          </w:p>
          <w:p w14:paraId="207C1419" w14:textId="77777777" w:rsidR="00BE36FB" w:rsidRPr="009B7B35" w:rsidDel="008B76D1" w:rsidRDefault="00BE36FB">
            <w:pPr>
              <w:pStyle w:val="TableText"/>
              <w:rPr>
                <w:rFonts w:cs="Arial"/>
              </w:rPr>
            </w:pPr>
            <w:r w:rsidRPr="009B7B35">
              <w:rPr>
                <w:rFonts w:cs="Arial"/>
              </w:rPr>
              <w:t>Habitable spaces must not directly overlook dwellings on adjacent land.</w:t>
            </w:r>
          </w:p>
        </w:tc>
        <w:tc>
          <w:tcPr>
            <w:tcW w:w="4678" w:type="dxa"/>
          </w:tcPr>
          <w:p w14:paraId="531BD73A" w14:textId="77777777" w:rsidR="00BE36FB" w:rsidRPr="009B7B35" w:rsidRDefault="00BE36FB" w:rsidP="001A7107">
            <w:pPr>
              <w:pStyle w:val="TableText"/>
              <w:rPr>
                <w:rFonts w:cs="Arial"/>
                <w:b/>
                <w:bCs/>
              </w:rPr>
            </w:pPr>
            <w:r w:rsidRPr="009B7B35">
              <w:rPr>
                <w:rFonts w:cs="Arial"/>
                <w:b/>
                <w:bCs/>
              </w:rPr>
              <w:t>AO37</w:t>
            </w:r>
          </w:p>
          <w:p w14:paraId="6E1CA53C" w14:textId="77777777" w:rsidR="00BE36FB" w:rsidRPr="009B7B35" w:rsidRDefault="00BE36FB" w:rsidP="001A7107">
            <w:pPr>
              <w:rPr>
                <w:rFonts w:cs="Arial"/>
                <w:sz w:val="20"/>
                <w:szCs w:val="20"/>
              </w:rPr>
            </w:pPr>
            <w:r w:rsidRPr="009B7B35">
              <w:rPr>
                <w:rFonts w:cs="Arial"/>
                <w:sz w:val="20"/>
                <w:szCs w:val="20"/>
              </w:rPr>
              <w:t>Habitable room windows of a dwelling unit are separated a minimum of 9m from a habitable room window or private open space of another dwelling unit unless:</w:t>
            </w:r>
          </w:p>
          <w:p w14:paraId="5BFBCE7B" w14:textId="77777777" w:rsidR="00BE36FB" w:rsidRPr="009B7B35" w:rsidRDefault="00BE36FB" w:rsidP="00BE36FB">
            <w:pPr>
              <w:pStyle w:val="TableText"/>
              <w:numPr>
                <w:ilvl w:val="0"/>
                <w:numId w:val="487"/>
              </w:numPr>
              <w:rPr>
                <w:rFonts w:cs="Arial"/>
              </w:rPr>
            </w:pPr>
            <w:r w:rsidRPr="009B7B35">
              <w:rPr>
                <w:rFonts w:cs="Arial"/>
              </w:rPr>
              <w:t>windows have translucent glazing or sill heights of at least 1.5m, or</w:t>
            </w:r>
          </w:p>
          <w:p w14:paraId="662D1CDF" w14:textId="77777777" w:rsidR="00BE36FB" w:rsidRPr="009B7B35" w:rsidRDefault="00BE36FB" w:rsidP="00BE36FB">
            <w:pPr>
              <w:pStyle w:val="TableText"/>
              <w:numPr>
                <w:ilvl w:val="0"/>
                <w:numId w:val="487"/>
              </w:numPr>
              <w:rPr>
                <w:rFonts w:cs="Arial"/>
              </w:rPr>
            </w:pPr>
            <w:r w:rsidRPr="009B7B35">
              <w:rPr>
                <w:rFonts w:cs="Arial"/>
              </w:rPr>
              <w:t>there is a 1.8m high dividing fence at ground level</w:t>
            </w:r>
          </w:p>
          <w:p w14:paraId="6BB98F32" w14:textId="77777777" w:rsidR="00BE36FB" w:rsidRPr="009B7B35" w:rsidRDefault="00BE36FB" w:rsidP="00BE36FB">
            <w:pPr>
              <w:pStyle w:val="TableText"/>
              <w:numPr>
                <w:ilvl w:val="0"/>
                <w:numId w:val="487"/>
              </w:numPr>
              <w:rPr>
                <w:rFonts w:cs="Arial"/>
              </w:rPr>
            </w:pPr>
            <w:r w:rsidRPr="009B7B35">
              <w:rPr>
                <w:rFonts w:cs="Arial"/>
              </w:rPr>
              <w:t>outlook from windows, balconies, and terraces of a dwelling unit is screened where screening is</w:t>
            </w:r>
          </w:p>
          <w:p w14:paraId="48B7587D" w14:textId="77777777" w:rsidR="00BE36FB" w:rsidRPr="009B7B35" w:rsidRDefault="00BE36FB" w:rsidP="00BE36FB">
            <w:pPr>
              <w:pStyle w:val="TableText"/>
              <w:numPr>
                <w:ilvl w:val="0"/>
                <w:numId w:val="487"/>
              </w:numPr>
              <w:rPr>
                <w:rFonts w:cs="Arial"/>
              </w:rPr>
            </w:pPr>
            <w:r w:rsidRPr="009B7B35">
              <w:rPr>
                <w:rFonts w:cs="Arial"/>
              </w:rPr>
              <w:t>a permanent screen or perforated panels or trellises which have a maximum of 50% openings, and</w:t>
            </w:r>
          </w:p>
          <w:p w14:paraId="3CCA9FD5" w14:textId="77777777" w:rsidR="00BE36FB" w:rsidRPr="009B7B35" w:rsidRDefault="00BE36FB" w:rsidP="00BE36FB">
            <w:pPr>
              <w:pStyle w:val="TableText"/>
              <w:numPr>
                <w:ilvl w:val="0"/>
                <w:numId w:val="487"/>
              </w:numPr>
              <w:rPr>
                <w:rFonts w:cs="Arial"/>
              </w:rPr>
            </w:pPr>
            <w:r w:rsidRPr="009B7B35">
              <w:rPr>
                <w:rFonts w:cs="Arial"/>
              </w:rPr>
              <w:t>permanent and fixed, and designed to complement the development.</w:t>
            </w:r>
          </w:p>
          <w:p w14:paraId="446281D9" w14:textId="77777777" w:rsidR="00BE36FB" w:rsidRPr="009B7B35" w:rsidRDefault="00BE36FB" w:rsidP="001A7107">
            <w:pPr>
              <w:pStyle w:val="Notes"/>
              <w:rPr>
                <w:rFonts w:cs="Arial"/>
                <w:sz w:val="20"/>
                <w:szCs w:val="20"/>
              </w:rPr>
            </w:pPr>
            <w:r w:rsidRPr="009B7B35">
              <w:rPr>
                <w:rFonts w:cs="Arial"/>
                <w:sz w:val="20"/>
                <w:szCs w:val="20"/>
              </w:rPr>
              <w:t>Note—Refer below to Diagram 1—Privacy.</w:t>
            </w:r>
          </w:p>
        </w:tc>
      </w:tr>
      <w:tr w:rsidR="00BE36FB" w:rsidRPr="009B7B35" w14:paraId="6F59C853" w14:textId="77777777" w:rsidTr="001A7107">
        <w:trPr>
          <w:cantSplit/>
        </w:trPr>
        <w:tc>
          <w:tcPr>
            <w:tcW w:w="4678" w:type="dxa"/>
          </w:tcPr>
          <w:p w14:paraId="6229B022" w14:textId="77777777" w:rsidR="00BE36FB" w:rsidRPr="009B7B35" w:rsidRDefault="00BE36FB" w:rsidP="001A7107">
            <w:pPr>
              <w:rPr>
                <w:rFonts w:cs="Arial"/>
                <w:sz w:val="20"/>
                <w:szCs w:val="20"/>
              </w:rPr>
            </w:pPr>
          </w:p>
        </w:tc>
        <w:tc>
          <w:tcPr>
            <w:tcW w:w="4678" w:type="dxa"/>
          </w:tcPr>
          <w:p w14:paraId="74570375" w14:textId="77777777" w:rsidR="00BE36FB" w:rsidRPr="009B7B35" w:rsidRDefault="00BE36FB" w:rsidP="001A7107">
            <w:pPr>
              <w:pStyle w:val="Notes"/>
              <w:rPr>
                <w:rFonts w:cs="Arial"/>
                <w:sz w:val="20"/>
                <w:szCs w:val="20"/>
              </w:rPr>
            </w:pPr>
            <w:r w:rsidRPr="009B7B35">
              <w:rPr>
                <w:rFonts w:cs="Arial"/>
                <w:noProof/>
                <w:sz w:val="20"/>
                <w:szCs w:val="20"/>
              </w:rPr>
              <w:drawing>
                <wp:inline distT="0" distB="0" distL="0" distR="0" wp14:anchorId="54F067D6" wp14:editId="25CC5AB4">
                  <wp:extent cx="2788464" cy="3112477"/>
                  <wp:effectExtent l="0" t="0" r="0" b="0"/>
                  <wp:docPr id="95" name="Picture 95"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0909 Privacy Sections (100)"/>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845" t="16667" r="61736" b="18762"/>
                          <a:stretch/>
                        </pic:blipFill>
                        <pic:spPr bwMode="auto">
                          <a:xfrm>
                            <a:off x="0" y="0"/>
                            <a:ext cx="2789300" cy="3113411"/>
                          </a:xfrm>
                          <a:prstGeom prst="rect">
                            <a:avLst/>
                          </a:prstGeom>
                          <a:noFill/>
                          <a:ln>
                            <a:noFill/>
                          </a:ln>
                          <a:extLst>
                            <a:ext uri="{53640926-AAD7-44D8-BBD7-CCE9431645EC}">
                              <a14:shadowObscured xmlns:a14="http://schemas.microsoft.com/office/drawing/2010/main"/>
                            </a:ext>
                          </a:extLst>
                        </pic:spPr>
                      </pic:pic>
                    </a:graphicData>
                  </a:graphic>
                </wp:inline>
              </w:drawing>
            </w:r>
          </w:p>
          <w:p w14:paraId="492C8A0D" w14:textId="77777777" w:rsidR="00BE36FB" w:rsidRPr="009B7B35" w:rsidRDefault="00BE36FB" w:rsidP="001A7107">
            <w:pPr>
              <w:pStyle w:val="Notes"/>
              <w:rPr>
                <w:rFonts w:cs="Arial"/>
                <w:sz w:val="20"/>
                <w:szCs w:val="20"/>
              </w:rPr>
            </w:pPr>
            <w:r w:rsidRPr="009B7B35">
              <w:rPr>
                <w:rFonts w:cs="Arial"/>
                <w:noProof/>
                <w:sz w:val="20"/>
                <w:szCs w:val="20"/>
              </w:rPr>
              <w:drawing>
                <wp:inline distT="0" distB="0" distL="0" distR="0" wp14:anchorId="2BC07CB0" wp14:editId="127C48DA">
                  <wp:extent cx="2760784" cy="1244056"/>
                  <wp:effectExtent l="0" t="0" r="1905" b="0"/>
                  <wp:docPr id="96" name="Picture 96"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0909 Privacy Sections (10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4841" t="27892" r="5426" b="33333"/>
                          <a:stretch/>
                        </pic:blipFill>
                        <pic:spPr bwMode="auto">
                          <a:xfrm>
                            <a:off x="0" y="0"/>
                            <a:ext cx="2764315" cy="1245647"/>
                          </a:xfrm>
                          <a:prstGeom prst="rect">
                            <a:avLst/>
                          </a:prstGeom>
                          <a:noFill/>
                          <a:ln>
                            <a:noFill/>
                          </a:ln>
                          <a:extLst>
                            <a:ext uri="{53640926-AAD7-44D8-BBD7-CCE9431645EC}">
                              <a14:shadowObscured xmlns:a14="http://schemas.microsoft.com/office/drawing/2010/main"/>
                            </a:ext>
                          </a:extLst>
                        </pic:spPr>
                      </pic:pic>
                    </a:graphicData>
                  </a:graphic>
                </wp:inline>
              </w:drawing>
            </w:r>
          </w:p>
          <w:p w14:paraId="4CB8F9F3" w14:textId="77777777" w:rsidR="00BE36FB" w:rsidRPr="009B7B35" w:rsidRDefault="00BE36FB" w:rsidP="001A7107">
            <w:pPr>
              <w:pStyle w:val="Notes"/>
              <w:rPr>
                <w:rFonts w:cs="Arial"/>
                <w:sz w:val="20"/>
                <w:szCs w:val="20"/>
              </w:rPr>
            </w:pPr>
            <w:r w:rsidRPr="009B7B35">
              <w:rPr>
                <w:rFonts w:cs="Arial"/>
                <w:sz w:val="20"/>
                <w:szCs w:val="20"/>
              </w:rPr>
              <w:tab/>
              <w:t>Lattice</w:t>
            </w:r>
            <w:r w:rsidRPr="009B7B35">
              <w:rPr>
                <w:rFonts w:cs="Arial"/>
                <w:sz w:val="20"/>
                <w:szCs w:val="20"/>
              </w:rPr>
              <w:tab/>
              <w:t>Batterns</w:t>
            </w:r>
          </w:p>
        </w:tc>
      </w:tr>
    </w:tbl>
    <w:p w14:paraId="62670B51"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262A034F" w14:textId="77777777" w:rsidR="00BE36FB" w:rsidRPr="009B7B35" w:rsidRDefault="00BE36FB" w:rsidP="00B5414A">
      <w:pPr>
        <w:pStyle w:val="Heading5"/>
        <w:numPr>
          <w:ilvl w:val="0"/>
          <w:numId w:val="0"/>
        </w:numPr>
        <w:rPr>
          <w:rFonts w:cs="Arial"/>
          <w:szCs w:val="20"/>
        </w:rPr>
      </w:pPr>
      <w:r w:rsidRPr="009B7B35">
        <w:rPr>
          <w:rFonts w:cs="Arial"/>
          <w:szCs w:val="20"/>
        </w:rPr>
        <w:t>Figure 1—Primary frontage building</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889"/>
        <w:gridCol w:w="4474"/>
      </w:tblGrid>
      <w:tr w:rsidR="00BE36FB" w:rsidRPr="009B7B35" w14:paraId="3425BBFD" w14:textId="77777777" w:rsidTr="001A7107">
        <w:trPr>
          <w:trHeight w:val="2653"/>
        </w:trPr>
        <w:tc>
          <w:tcPr>
            <w:tcW w:w="4253" w:type="dxa"/>
            <w:vAlign w:val="center"/>
          </w:tcPr>
          <w:p w14:paraId="34CDC238" w14:textId="77777777" w:rsidR="00BE36FB" w:rsidRPr="009B7B35" w:rsidRDefault="00BE36FB">
            <w:pPr>
              <w:pStyle w:val="TableText"/>
              <w:rPr>
                <w:rFonts w:cs="Arial"/>
              </w:rPr>
            </w:pPr>
            <w:r w:rsidRPr="009B7B35">
              <w:rPr>
                <w:rFonts w:cs="Arial"/>
              </w:rPr>
              <w:t>This building type can accommodate a diversity of land uses at higher intensities while still maintaining human scale at street level. Buildings are built to their front alignment allowing a range of finer grain uses such as shops and cafes to define main streets such as Goondoon Street and public spaces. A single storey podium defines the base of the buildings.</w:t>
            </w:r>
          </w:p>
        </w:tc>
        <w:tc>
          <w:tcPr>
            <w:tcW w:w="5103" w:type="dxa"/>
          </w:tcPr>
          <w:p w14:paraId="54A0B3FC" w14:textId="77777777" w:rsidR="00BE36FB" w:rsidRPr="009B7B35" w:rsidRDefault="00BE36FB" w:rsidP="001A7107">
            <w:pPr>
              <w:rPr>
                <w:rFonts w:cs="Arial"/>
                <w:sz w:val="20"/>
                <w:szCs w:val="20"/>
              </w:rPr>
            </w:pPr>
          </w:p>
        </w:tc>
      </w:tr>
    </w:tbl>
    <w:p w14:paraId="26A9B2E7" w14:textId="77777777" w:rsidR="00BE36FB" w:rsidRPr="009B7B35" w:rsidRDefault="00BE36FB" w:rsidP="001A7107">
      <w:pPr>
        <w:rPr>
          <w:rFonts w:ascii="Arial" w:hAnsi="Arial" w:cs="Arial"/>
          <w:sz w:val="20"/>
          <w:szCs w:val="20"/>
        </w:rPr>
      </w:pPr>
    </w:p>
    <w:p w14:paraId="57410129" w14:textId="77777777"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396"/>
        <w:gridCol w:w="930"/>
        <w:gridCol w:w="1037"/>
        <w:gridCol w:w="1446"/>
        <w:gridCol w:w="4554"/>
      </w:tblGrid>
      <w:tr w:rsidR="00BE36FB" w:rsidRPr="009B7B35" w14:paraId="0417D117" w14:textId="77777777" w:rsidTr="001A7107">
        <w:trPr>
          <w:cnfStyle w:val="100000000000" w:firstRow="1" w:lastRow="0" w:firstColumn="0" w:lastColumn="0" w:oddVBand="0" w:evenVBand="0" w:oddHBand="0" w:evenHBand="0" w:firstRowFirstColumn="0" w:firstRowLastColumn="0" w:lastRowFirstColumn="0" w:lastRowLastColumn="0"/>
        </w:trPr>
        <w:tc>
          <w:tcPr>
            <w:tcW w:w="2650" w:type="dxa"/>
            <w:gridSpan w:val="3"/>
          </w:tcPr>
          <w:p w14:paraId="73D67967" w14:textId="77777777" w:rsidR="00BE36FB" w:rsidRPr="009B7B35" w:rsidRDefault="00BE36FB" w:rsidP="001A7107">
            <w:pPr>
              <w:rPr>
                <w:rFonts w:cs="Arial"/>
                <w:sz w:val="20"/>
                <w:szCs w:val="20"/>
              </w:rPr>
            </w:pPr>
            <w:r w:rsidRPr="009B7B35">
              <w:rPr>
                <w:rFonts w:cs="Arial"/>
                <w:sz w:val="20"/>
                <w:szCs w:val="20"/>
              </w:rPr>
              <w:t>Element</w:t>
            </w:r>
          </w:p>
        </w:tc>
        <w:tc>
          <w:tcPr>
            <w:tcW w:w="2651" w:type="dxa"/>
          </w:tcPr>
          <w:p w14:paraId="05FC59C2"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0" w:type="dxa"/>
            <w:vMerge w:val="restart"/>
            <w:tcBorders>
              <w:top w:val="nil"/>
              <w:bottom w:val="nil"/>
              <w:right w:val="nil"/>
            </w:tcBorders>
          </w:tcPr>
          <w:p w14:paraId="3D0C2C56"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45038FAA" wp14:editId="34AB36A3">
                  <wp:extent cx="2812211" cy="4727275"/>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ary.PNG"/>
                          <pic:cNvPicPr/>
                        </pic:nvPicPr>
                        <pic:blipFill>
                          <a:blip r:embed="rId64">
                            <a:extLst>
                              <a:ext uri="{28A0092B-C50C-407E-A947-70E740481C1C}">
                                <a14:useLocalDpi xmlns:a14="http://schemas.microsoft.com/office/drawing/2010/main" val="0"/>
                              </a:ext>
                            </a:extLst>
                          </a:blip>
                          <a:stretch>
                            <a:fillRect/>
                          </a:stretch>
                        </pic:blipFill>
                        <pic:spPr>
                          <a:xfrm>
                            <a:off x="0" y="0"/>
                            <a:ext cx="2810452" cy="4724319"/>
                          </a:xfrm>
                          <a:prstGeom prst="rect">
                            <a:avLst/>
                          </a:prstGeom>
                        </pic:spPr>
                      </pic:pic>
                    </a:graphicData>
                  </a:graphic>
                </wp:inline>
              </w:drawing>
            </w:r>
          </w:p>
          <w:p w14:paraId="170DB650"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275BE8CD" wp14:editId="0BFED54C">
                  <wp:extent cx="2524760" cy="518795"/>
                  <wp:effectExtent l="0" t="0" r="8890" b="0"/>
                  <wp:docPr id="70" name="Picture 70"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ypologies_Legend-h"/>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24760" cy="518795"/>
                          </a:xfrm>
                          <a:prstGeom prst="rect">
                            <a:avLst/>
                          </a:prstGeom>
                          <a:noFill/>
                          <a:ln>
                            <a:noFill/>
                          </a:ln>
                        </pic:spPr>
                      </pic:pic>
                    </a:graphicData>
                  </a:graphic>
                </wp:inline>
              </w:drawing>
            </w:r>
          </w:p>
        </w:tc>
      </w:tr>
      <w:tr w:rsidR="00BE36FB" w:rsidRPr="009B7B35" w14:paraId="2C746595" w14:textId="77777777" w:rsidTr="001A7107">
        <w:tc>
          <w:tcPr>
            <w:tcW w:w="519" w:type="dxa"/>
          </w:tcPr>
          <w:p w14:paraId="20BD1169" w14:textId="77777777" w:rsidR="00BE36FB" w:rsidRPr="009B7B35" w:rsidRDefault="00BE36FB" w:rsidP="001A7107">
            <w:pPr>
              <w:rPr>
                <w:rFonts w:cs="Arial"/>
                <w:sz w:val="20"/>
                <w:szCs w:val="20"/>
              </w:rPr>
            </w:pPr>
            <w:r w:rsidRPr="009B7B35">
              <w:rPr>
                <w:rFonts w:cs="Arial"/>
                <w:sz w:val="20"/>
                <w:szCs w:val="20"/>
              </w:rPr>
              <w:t>1.1</w:t>
            </w:r>
          </w:p>
        </w:tc>
        <w:tc>
          <w:tcPr>
            <w:tcW w:w="2131" w:type="dxa"/>
            <w:gridSpan w:val="2"/>
          </w:tcPr>
          <w:p w14:paraId="1051A983" w14:textId="77777777" w:rsidR="00BE36FB" w:rsidRPr="009B7B35" w:rsidRDefault="00BE36FB" w:rsidP="001A7107">
            <w:pPr>
              <w:rPr>
                <w:rFonts w:cs="Arial"/>
                <w:sz w:val="20"/>
                <w:szCs w:val="20"/>
              </w:rPr>
            </w:pPr>
            <w:r w:rsidRPr="009B7B35">
              <w:rPr>
                <w:rFonts w:cs="Arial"/>
                <w:sz w:val="20"/>
                <w:szCs w:val="20"/>
              </w:rPr>
              <w:t>Minimum frontage</w:t>
            </w:r>
          </w:p>
        </w:tc>
        <w:tc>
          <w:tcPr>
            <w:tcW w:w="2651" w:type="dxa"/>
          </w:tcPr>
          <w:p w14:paraId="27E0BB31" w14:textId="77777777" w:rsidR="00BE36FB" w:rsidRPr="009B7B35" w:rsidRDefault="00BE36FB" w:rsidP="001A7107">
            <w:pPr>
              <w:pStyle w:val="TableText"/>
              <w:rPr>
                <w:rFonts w:cs="Arial"/>
              </w:rPr>
            </w:pPr>
            <w:r w:rsidRPr="009B7B35">
              <w:rPr>
                <w:rFonts w:cs="Arial"/>
              </w:rPr>
              <w:t>30m</w:t>
            </w:r>
          </w:p>
        </w:tc>
        <w:tc>
          <w:tcPr>
            <w:tcW w:w="4110" w:type="dxa"/>
            <w:vMerge/>
            <w:tcBorders>
              <w:bottom w:val="nil"/>
              <w:right w:val="nil"/>
            </w:tcBorders>
          </w:tcPr>
          <w:p w14:paraId="737A0DE8" w14:textId="77777777" w:rsidR="00BE36FB" w:rsidRPr="009B7B35" w:rsidRDefault="00BE36FB" w:rsidP="001A7107">
            <w:pPr>
              <w:rPr>
                <w:rFonts w:cs="Arial"/>
                <w:sz w:val="20"/>
                <w:szCs w:val="20"/>
              </w:rPr>
            </w:pPr>
          </w:p>
        </w:tc>
      </w:tr>
      <w:tr w:rsidR="00BE36FB" w:rsidRPr="009B7B35" w14:paraId="2035D1A6" w14:textId="77777777" w:rsidTr="001A7107">
        <w:tc>
          <w:tcPr>
            <w:tcW w:w="519" w:type="dxa"/>
          </w:tcPr>
          <w:p w14:paraId="0869D8FA" w14:textId="77777777" w:rsidR="00BE36FB" w:rsidRPr="009B7B35" w:rsidRDefault="00BE36FB" w:rsidP="001A7107">
            <w:pPr>
              <w:rPr>
                <w:rFonts w:cs="Arial"/>
                <w:sz w:val="20"/>
                <w:szCs w:val="20"/>
              </w:rPr>
            </w:pPr>
            <w:r w:rsidRPr="009B7B35">
              <w:rPr>
                <w:rFonts w:cs="Arial"/>
                <w:sz w:val="20"/>
                <w:szCs w:val="20"/>
              </w:rPr>
              <w:t>1.2</w:t>
            </w:r>
          </w:p>
        </w:tc>
        <w:tc>
          <w:tcPr>
            <w:tcW w:w="2131" w:type="dxa"/>
            <w:gridSpan w:val="2"/>
          </w:tcPr>
          <w:p w14:paraId="5FB5AC1C" w14:textId="77777777" w:rsidR="00BE36FB" w:rsidRPr="009B7B35" w:rsidRDefault="00BE36FB" w:rsidP="001A7107">
            <w:pPr>
              <w:rPr>
                <w:rFonts w:cs="Arial"/>
                <w:sz w:val="20"/>
                <w:szCs w:val="20"/>
              </w:rPr>
            </w:pPr>
            <w:r w:rsidRPr="009B7B35">
              <w:rPr>
                <w:rFonts w:cs="Arial"/>
                <w:sz w:val="20"/>
                <w:szCs w:val="20"/>
              </w:rPr>
              <w:t>Minimum area</w:t>
            </w:r>
          </w:p>
        </w:tc>
        <w:tc>
          <w:tcPr>
            <w:tcW w:w="2651" w:type="dxa"/>
          </w:tcPr>
          <w:p w14:paraId="57989E57" w14:textId="77777777" w:rsidR="00BE36FB" w:rsidRPr="009B7B35" w:rsidRDefault="00BE36FB" w:rsidP="001A7107">
            <w:pPr>
              <w:pStyle w:val="TableText"/>
              <w:rPr>
                <w:rFonts w:cs="Arial"/>
              </w:rPr>
            </w:pPr>
            <w:r w:rsidRPr="009B7B35">
              <w:rPr>
                <w:rFonts w:cs="Arial"/>
              </w:rPr>
              <w:t>1,500m</w:t>
            </w:r>
            <w:r w:rsidRPr="009B7B35">
              <w:rPr>
                <w:rFonts w:cs="Arial"/>
                <w:vertAlign w:val="superscript"/>
              </w:rPr>
              <w:t>2</w:t>
            </w:r>
          </w:p>
        </w:tc>
        <w:tc>
          <w:tcPr>
            <w:tcW w:w="4110" w:type="dxa"/>
            <w:vMerge/>
            <w:tcBorders>
              <w:bottom w:val="nil"/>
              <w:right w:val="nil"/>
            </w:tcBorders>
          </w:tcPr>
          <w:p w14:paraId="14FF463A" w14:textId="77777777" w:rsidR="00BE36FB" w:rsidRPr="009B7B35" w:rsidRDefault="00BE36FB" w:rsidP="001A7107">
            <w:pPr>
              <w:rPr>
                <w:rFonts w:cs="Arial"/>
                <w:sz w:val="20"/>
                <w:szCs w:val="20"/>
              </w:rPr>
            </w:pPr>
          </w:p>
        </w:tc>
      </w:tr>
      <w:tr w:rsidR="00BE36FB" w:rsidRPr="009B7B35" w14:paraId="782B8DCF" w14:textId="77777777" w:rsidTr="001A7107">
        <w:tc>
          <w:tcPr>
            <w:tcW w:w="519" w:type="dxa"/>
          </w:tcPr>
          <w:p w14:paraId="4BB89815" w14:textId="77777777" w:rsidR="00BE36FB" w:rsidRPr="009B7B35" w:rsidRDefault="00BE36FB" w:rsidP="001A7107">
            <w:pPr>
              <w:rPr>
                <w:rFonts w:cs="Arial"/>
                <w:sz w:val="20"/>
                <w:szCs w:val="20"/>
              </w:rPr>
            </w:pPr>
            <w:r w:rsidRPr="009B7B35">
              <w:rPr>
                <w:rFonts w:cs="Arial"/>
                <w:sz w:val="20"/>
                <w:szCs w:val="20"/>
              </w:rPr>
              <w:t>1.3</w:t>
            </w:r>
          </w:p>
        </w:tc>
        <w:tc>
          <w:tcPr>
            <w:tcW w:w="2131" w:type="dxa"/>
            <w:gridSpan w:val="2"/>
          </w:tcPr>
          <w:p w14:paraId="03AF421D" w14:textId="77777777" w:rsidR="00BE36FB" w:rsidRPr="009B7B35" w:rsidRDefault="00BE36FB" w:rsidP="001A7107">
            <w:pPr>
              <w:rPr>
                <w:rFonts w:cs="Arial"/>
                <w:sz w:val="20"/>
                <w:szCs w:val="20"/>
              </w:rPr>
            </w:pPr>
            <w:r w:rsidRPr="009B7B35">
              <w:rPr>
                <w:rFonts w:cs="Arial"/>
                <w:sz w:val="20"/>
                <w:szCs w:val="20"/>
              </w:rPr>
              <w:t>Maximum building depth from the main street frontage</w:t>
            </w:r>
          </w:p>
        </w:tc>
        <w:tc>
          <w:tcPr>
            <w:tcW w:w="2651" w:type="dxa"/>
          </w:tcPr>
          <w:p w14:paraId="7587F5E6" w14:textId="77777777" w:rsidR="00BE36FB" w:rsidRPr="009B7B35" w:rsidRDefault="00BE36FB" w:rsidP="001A7107">
            <w:pPr>
              <w:rPr>
                <w:rFonts w:cs="Arial"/>
                <w:sz w:val="20"/>
                <w:szCs w:val="20"/>
              </w:rPr>
            </w:pPr>
            <w:r w:rsidRPr="009B7B35">
              <w:rPr>
                <w:rFonts w:cs="Arial"/>
                <w:sz w:val="20"/>
                <w:szCs w:val="20"/>
              </w:rPr>
              <w:t>36m to OMP including podium</w:t>
            </w:r>
          </w:p>
        </w:tc>
        <w:tc>
          <w:tcPr>
            <w:tcW w:w="4110" w:type="dxa"/>
            <w:vMerge/>
            <w:tcBorders>
              <w:bottom w:val="nil"/>
              <w:right w:val="nil"/>
            </w:tcBorders>
          </w:tcPr>
          <w:p w14:paraId="7BF16E90" w14:textId="77777777" w:rsidR="00BE36FB" w:rsidRPr="009B7B35" w:rsidRDefault="00BE36FB" w:rsidP="001A7107">
            <w:pPr>
              <w:rPr>
                <w:rFonts w:cs="Arial"/>
                <w:sz w:val="20"/>
                <w:szCs w:val="20"/>
              </w:rPr>
            </w:pPr>
          </w:p>
        </w:tc>
      </w:tr>
      <w:tr w:rsidR="00BE36FB" w:rsidRPr="009B7B35" w14:paraId="3C9CC8AA" w14:textId="77777777" w:rsidTr="001A7107">
        <w:trPr>
          <w:trHeight w:val="720"/>
        </w:trPr>
        <w:tc>
          <w:tcPr>
            <w:tcW w:w="519" w:type="dxa"/>
            <w:vMerge w:val="restart"/>
          </w:tcPr>
          <w:p w14:paraId="39EC3603" w14:textId="77777777" w:rsidR="00BE36FB" w:rsidRPr="009B7B35" w:rsidRDefault="00BE36FB" w:rsidP="001A7107">
            <w:pPr>
              <w:rPr>
                <w:rFonts w:cs="Arial"/>
                <w:sz w:val="20"/>
                <w:szCs w:val="20"/>
              </w:rPr>
            </w:pPr>
            <w:r w:rsidRPr="009B7B35">
              <w:rPr>
                <w:rFonts w:cs="Arial"/>
                <w:sz w:val="20"/>
                <w:szCs w:val="20"/>
              </w:rPr>
              <w:t>1.4</w:t>
            </w:r>
          </w:p>
        </w:tc>
        <w:tc>
          <w:tcPr>
            <w:tcW w:w="2131" w:type="dxa"/>
            <w:gridSpan w:val="2"/>
            <w:vMerge w:val="restart"/>
          </w:tcPr>
          <w:p w14:paraId="35E0D5A6" w14:textId="77777777" w:rsidR="00BE36FB" w:rsidRPr="009B7B35" w:rsidRDefault="00BE36FB" w:rsidP="001A7107">
            <w:pPr>
              <w:rPr>
                <w:rFonts w:cs="Arial"/>
                <w:sz w:val="20"/>
                <w:szCs w:val="20"/>
              </w:rPr>
            </w:pPr>
            <w:r w:rsidRPr="009B7B35">
              <w:rPr>
                <w:rFonts w:cs="Arial"/>
                <w:sz w:val="20"/>
                <w:szCs w:val="20"/>
              </w:rPr>
              <w:t>Residential open space</w:t>
            </w:r>
          </w:p>
        </w:tc>
        <w:tc>
          <w:tcPr>
            <w:tcW w:w="2651" w:type="dxa"/>
          </w:tcPr>
          <w:p w14:paraId="0D7122DD" w14:textId="77777777" w:rsidR="00BE36FB" w:rsidRPr="009B7B35" w:rsidRDefault="00BE36FB" w:rsidP="001A7107">
            <w:pPr>
              <w:pStyle w:val="TableText"/>
              <w:rPr>
                <w:rFonts w:cs="Arial"/>
              </w:rPr>
            </w:pPr>
            <w:r w:rsidRPr="009B7B35">
              <w:rPr>
                <w:rFonts w:cs="Arial"/>
              </w:rPr>
              <w:t>Minimum private open space of 16m</w:t>
            </w:r>
            <w:r w:rsidRPr="009B7B35">
              <w:rPr>
                <w:rFonts w:cs="Arial"/>
                <w:vertAlign w:val="superscript"/>
              </w:rPr>
              <w:t>2</w:t>
            </w:r>
            <w:r w:rsidRPr="009B7B35">
              <w:rPr>
                <w:rFonts w:cs="Arial"/>
              </w:rPr>
              <w:t xml:space="preserve"> per dwelling with a minimum dimension of 3m in any direction.</w:t>
            </w:r>
          </w:p>
        </w:tc>
        <w:tc>
          <w:tcPr>
            <w:tcW w:w="4110" w:type="dxa"/>
            <w:vMerge/>
            <w:tcBorders>
              <w:bottom w:val="nil"/>
              <w:right w:val="nil"/>
            </w:tcBorders>
          </w:tcPr>
          <w:p w14:paraId="48533ECB" w14:textId="77777777" w:rsidR="00BE36FB" w:rsidRPr="009B7B35" w:rsidRDefault="00BE36FB" w:rsidP="001A7107">
            <w:pPr>
              <w:rPr>
                <w:rFonts w:cs="Arial"/>
                <w:sz w:val="20"/>
                <w:szCs w:val="20"/>
              </w:rPr>
            </w:pPr>
          </w:p>
        </w:tc>
      </w:tr>
      <w:tr w:rsidR="00BE36FB" w:rsidRPr="009B7B35" w14:paraId="0E666586" w14:textId="77777777" w:rsidTr="001A7107">
        <w:trPr>
          <w:trHeight w:val="193"/>
        </w:trPr>
        <w:tc>
          <w:tcPr>
            <w:tcW w:w="519" w:type="dxa"/>
            <w:vMerge/>
          </w:tcPr>
          <w:p w14:paraId="65CAF035" w14:textId="77777777" w:rsidR="00BE36FB" w:rsidRPr="009B7B35" w:rsidRDefault="00BE36FB" w:rsidP="001A7107">
            <w:pPr>
              <w:rPr>
                <w:rFonts w:cs="Arial"/>
                <w:sz w:val="20"/>
                <w:szCs w:val="20"/>
              </w:rPr>
            </w:pPr>
          </w:p>
        </w:tc>
        <w:tc>
          <w:tcPr>
            <w:tcW w:w="2131" w:type="dxa"/>
            <w:gridSpan w:val="2"/>
            <w:vMerge/>
          </w:tcPr>
          <w:p w14:paraId="356E01EA" w14:textId="77777777" w:rsidR="00BE36FB" w:rsidRPr="009B7B35" w:rsidRDefault="00BE36FB" w:rsidP="001A7107">
            <w:pPr>
              <w:rPr>
                <w:rFonts w:cs="Arial"/>
                <w:sz w:val="20"/>
                <w:szCs w:val="20"/>
              </w:rPr>
            </w:pPr>
          </w:p>
        </w:tc>
        <w:tc>
          <w:tcPr>
            <w:tcW w:w="2651" w:type="dxa"/>
          </w:tcPr>
          <w:p w14:paraId="584C2D9F" w14:textId="77777777" w:rsidR="00BE36FB" w:rsidRPr="009B7B35" w:rsidRDefault="00BE36FB" w:rsidP="001A7107">
            <w:pPr>
              <w:pStyle w:val="TableText"/>
              <w:rPr>
                <w:rFonts w:cs="Arial"/>
              </w:rPr>
            </w:pPr>
            <w:r w:rsidRPr="009B7B35">
              <w:rPr>
                <w:rFonts w:cs="Arial"/>
              </w:rPr>
              <w:t>Minimum communal open space of 20% of the site area with a minimum dimension of 10m in any direction.</w:t>
            </w:r>
          </w:p>
        </w:tc>
        <w:tc>
          <w:tcPr>
            <w:tcW w:w="4110" w:type="dxa"/>
            <w:vMerge/>
            <w:tcBorders>
              <w:bottom w:val="nil"/>
              <w:right w:val="nil"/>
            </w:tcBorders>
          </w:tcPr>
          <w:p w14:paraId="7D7F0EC4" w14:textId="77777777" w:rsidR="00BE36FB" w:rsidRPr="009B7B35" w:rsidRDefault="00BE36FB" w:rsidP="001A7107">
            <w:pPr>
              <w:rPr>
                <w:rFonts w:cs="Arial"/>
                <w:sz w:val="20"/>
                <w:szCs w:val="20"/>
              </w:rPr>
            </w:pPr>
          </w:p>
        </w:tc>
      </w:tr>
      <w:tr w:rsidR="00BE36FB" w:rsidRPr="009B7B35" w14:paraId="0D783892" w14:textId="77777777" w:rsidTr="001A7107">
        <w:tc>
          <w:tcPr>
            <w:tcW w:w="519" w:type="dxa"/>
            <w:vMerge w:val="restart"/>
          </w:tcPr>
          <w:p w14:paraId="095183F3" w14:textId="77777777" w:rsidR="00BE36FB" w:rsidRPr="009B7B35" w:rsidRDefault="00BE36FB" w:rsidP="001A7107">
            <w:pPr>
              <w:rPr>
                <w:rFonts w:cs="Arial"/>
                <w:sz w:val="20"/>
                <w:szCs w:val="20"/>
              </w:rPr>
            </w:pPr>
            <w:r w:rsidRPr="009B7B35">
              <w:rPr>
                <w:rFonts w:cs="Arial"/>
                <w:sz w:val="20"/>
                <w:szCs w:val="20"/>
              </w:rPr>
              <w:t>1.5</w:t>
            </w:r>
          </w:p>
        </w:tc>
        <w:tc>
          <w:tcPr>
            <w:tcW w:w="1094" w:type="dxa"/>
            <w:vMerge w:val="restart"/>
          </w:tcPr>
          <w:p w14:paraId="173FB295" w14:textId="77777777" w:rsidR="00BE36FB" w:rsidRPr="009B7B35" w:rsidRDefault="00BE36FB" w:rsidP="001A7107">
            <w:pPr>
              <w:rPr>
                <w:rFonts w:cs="Arial"/>
                <w:sz w:val="20"/>
                <w:szCs w:val="20"/>
              </w:rPr>
            </w:pPr>
            <w:r w:rsidRPr="009B7B35">
              <w:rPr>
                <w:rFonts w:cs="Arial"/>
                <w:sz w:val="20"/>
                <w:szCs w:val="20"/>
              </w:rPr>
              <w:t>Minimum setbacks</w:t>
            </w:r>
          </w:p>
        </w:tc>
        <w:tc>
          <w:tcPr>
            <w:tcW w:w="1037" w:type="dxa"/>
            <w:vMerge w:val="restart"/>
          </w:tcPr>
          <w:p w14:paraId="01B2C58A" w14:textId="77777777" w:rsidR="00BE36FB" w:rsidRPr="009B7B35" w:rsidRDefault="00BE36FB" w:rsidP="001A7107">
            <w:pPr>
              <w:rPr>
                <w:rFonts w:cs="Arial"/>
                <w:sz w:val="20"/>
                <w:szCs w:val="20"/>
              </w:rPr>
            </w:pPr>
            <w:r w:rsidRPr="009B7B35">
              <w:rPr>
                <w:rFonts w:cs="Arial"/>
                <w:sz w:val="20"/>
                <w:szCs w:val="20"/>
              </w:rPr>
              <w:t>Podium (in all directions)</w:t>
            </w:r>
          </w:p>
        </w:tc>
        <w:tc>
          <w:tcPr>
            <w:tcW w:w="2651" w:type="dxa"/>
          </w:tcPr>
          <w:p w14:paraId="4250F694" w14:textId="77777777" w:rsidR="00BE36FB" w:rsidRPr="009B7B35" w:rsidRDefault="00BE36FB" w:rsidP="001A7107">
            <w:pPr>
              <w:rPr>
                <w:rFonts w:cs="Arial"/>
                <w:sz w:val="20"/>
                <w:szCs w:val="20"/>
              </w:rPr>
            </w:pPr>
            <w:r w:rsidRPr="009B7B35">
              <w:rPr>
                <w:rFonts w:cs="Arial"/>
                <w:sz w:val="20"/>
                <w:szCs w:val="20"/>
              </w:rPr>
              <w:t>0m where abutting an existing podium or non–residential building.</w:t>
            </w:r>
          </w:p>
        </w:tc>
        <w:tc>
          <w:tcPr>
            <w:tcW w:w="4110" w:type="dxa"/>
            <w:vMerge/>
            <w:tcBorders>
              <w:bottom w:val="nil"/>
              <w:right w:val="nil"/>
            </w:tcBorders>
          </w:tcPr>
          <w:p w14:paraId="3710757E" w14:textId="77777777" w:rsidR="00BE36FB" w:rsidRPr="009B7B35" w:rsidRDefault="00BE36FB" w:rsidP="001A7107">
            <w:pPr>
              <w:rPr>
                <w:rFonts w:cs="Arial"/>
                <w:sz w:val="20"/>
                <w:szCs w:val="20"/>
              </w:rPr>
            </w:pPr>
          </w:p>
        </w:tc>
      </w:tr>
      <w:tr w:rsidR="00BE36FB" w:rsidRPr="009B7B35" w14:paraId="5100FB3C" w14:textId="77777777" w:rsidTr="001A7107">
        <w:tc>
          <w:tcPr>
            <w:tcW w:w="519" w:type="dxa"/>
            <w:vMerge/>
          </w:tcPr>
          <w:p w14:paraId="581EEBB0" w14:textId="77777777" w:rsidR="00BE36FB" w:rsidRPr="009B7B35" w:rsidRDefault="00BE36FB" w:rsidP="001A7107">
            <w:pPr>
              <w:rPr>
                <w:rFonts w:cs="Arial"/>
                <w:sz w:val="20"/>
                <w:szCs w:val="20"/>
              </w:rPr>
            </w:pPr>
          </w:p>
        </w:tc>
        <w:tc>
          <w:tcPr>
            <w:tcW w:w="1094" w:type="dxa"/>
            <w:vMerge/>
          </w:tcPr>
          <w:p w14:paraId="3544B70C" w14:textId="77777777" w:rsidR="00BE36FB" w:rsidRPr="009B7B35" w:rsidRDefault="00BE36FB" w:rsidP="001A7107">
            <w:pPr>
              <w:rPr>
                <w:rFonts w:cs="Arial"/>
                <w:sz w:val="20"/>
                <w:szCs w:val="20"/>
              </w:rPr>
            </w:pPr>
          </w:p>
        </w:tc>
        <w:tc>
          <w:tcPr>
            <w:tcW w:w="1037" w:type="dxa"/>
            <w:vMerge/>
          </w:tcPr>
          <w:p w14:paraId="282F27B8" w14:textId="77777777" w:rsidR="00BE36FB" w:rsidRPr="009B7B35" w:rsidRDefault="00BE36FB" w:rsidP="001A7107">
            <w:pPr>
              <w:rPr>
                <w:rFonts w:cs="Arial"/>
                <w:sz w:val="20"/>
                <w:szCs w:val="20"/>
              </w:rPr>
            </w:pPr>
          </w:p>
        </w:tc>
        <w:tc>
          <w:tcPr>
            <w:tcW w:w="2651" w:type="dxa"/>
          </w:tcPr>
          <w:p w14:paraId="341387F3" w14:textId="77777777" w:rsidR="00BE36FB" w:rsidRPr="009B7B35" w:rsidRDefault="00BE36FB" w:rsidP="001A7107">
            <w:pPr>
              <w:rPr>
                <w:rFonts w:cs="Arial"/>
                <w:sz w:val="20"/>
                <w:szCs w:val="20"/>
              </w:rPr>
            </w:pPr>
            <w:r w:rsidRPr="009B7B35">
              <w:rPr>
                <w:rFonts w:cs="Arial"/>
                <w:sz w:val="20"/>
                <w:szCs w:val="20"/>
              </w:rPr>
              <w:t>3m where adjoining a residential zone.</w:t>
            </w:r>
          </w:p>
        </w:tc>
        <w:tc>
          <w:tcPr>
            <w:tcW w:w="4110" w:type="dxa"/>
            <w:vMerge/>
            <w:tcBorders>
              <w:bottom w:val="nil"/>
              <w:right w:val="nil"/>
            </w:tcBorders>
          </w:tcPr>
          <w:p w14:paraId="6C534167" w14:textId="77777777" w:rsidR="00BE36FB" w:rsidRPr="009B7B35" w:rsidRDefault="00BE36FB" w:rsidP="001A7107">
            <w:pPr>
              <w:rPr>
                <w:rFonts w:cs="Arial"/>
                <w:sz w:val="20"/>
                <w:szCs w:val="20"/>
              </w:rPr>
            </w:pPr>
          </w:p>
        </w:tc>
      </w:tr>
      <w:tr w:rsidR="00BE36FB" w:rsidRPr="009B7B35" w14:paraId="6F6192EB" w14:textId="77777777" w:rsidTr="001A7107">
        <w:tc>
          <w:tcPr>
            <w:tcW w:w="519" w:type="dxa"/>
            <w:vMerge/>
          </w:tcPr>
          <w:p w14:paraId="2DB31F83" w14:textId="77777777" w:rsidR="00BE36FB" w:rsidRPr="009B7B35" w:rsidRDefault="00BE36FB" w:rsidP="001A7107">
            <w:pPr>
              <w:rPr>
                <w:rFonts w:cs="Arial"/>
                <w:sz w:val="20"/>
                <w:szCs w:val="20"/>
              </w:rPr>
            </w:pPr>
          </w:p>
        </w:tc>
        <w:tc>
          <w:tcPr>
            <w:tcW w:w="1094" w:type="dxa"/>
            <w:vMerge/>
          </w:tcPr>
          <w:p w14:paraId="4BCCC1F3" w14:textId="77777777" w:rsidR="00BE36FB" w:rsidRPr="009B7B35" w:rsidRDefault="00BE36FB" w:rsidP="001A7107">
            <w:pPr>
              <w:rPr>
                <w:rFonts w:cs="Arial"/>
                <w:sz w:val="20"/>
                <w:szCs w:val="20"/>
              </w:rPr>
            </w:pPr>
          </w:p>
        </w:tc>
        <w:tc>
          <w:tcPr>
            <w:tcW w:w="1037" w:type="dxa"/>
          </w:tcPr>
          <w:p w14:paraId="09396D8F" w14:textId="77777777" w:rsidR="00BE36FB" w:rsidRPr="009B7B35" w:rsidRDefault="00BE36FB" w:rsidP="001A7107">
            <w:pPr>
              <w:rPr>
                <w:rFonts w:cs="Arial"/>
                <w:sz w:val="20"/>
                <w:szCs w:val="20"/>
              </w:rPr>
            </w:pPr>
            <w:r w:rsidRPr="009B7B35">
              <w:rPr>
                <w:rFonts w:cs="Arial"/>
                <w:sz w:val="20"/>
                <w:szCs w:val="20"/>
              </w:rPr>
              <w:t>Front</w:t>
            </w:r>
            <w:r w:rsidRPr="009B7B35">
              <w:rPr>
                <w:rStyle w:val="FootnoteReference"/>
                <w:rFonts w:cs="Arial"/>
                <w:sz w:val="20"/>
                <w:szCs w:val="20"/>
              </w:rPr>
              <w:footnoteReference w:id="2"/>
            </w:r>
          </w:p>
        </w:tc>
        <w:tc>
          <w:tcPr>
            <w:tcW w:w="2651" w:type="dxa"/>
          </w:tcPr>
          <w:p w14:paraId="7B2CB819" w14:textId="77777777" w:rsidR="00BE36FB" w:rsidRPr="009B7B35" w:rsidRDefault="00BE36FB" w:rsidP="001A7107">
            <w:pPr>
              <w:rPr>
                <w:rFonts w:cs="Arial"/>
                <w:sz w:val="20"/>
                <w:szCs w:val="20"/>
              </w:rPr>
            </w:pPr>
            <w:r w:rsidRPr="009B7B35">
              <w:rPr>
                <w:rFonts w:cs="Arial"/>
                <w:sz w:val="20"/>
                <w:szCs w:val="20"/>
              </w:rPr>
              <w:t>6m to main face of building (3m OMP in articulation zone</w:t>
            </w:r>
            <w:r w:rsidRPr="009B7B35">
              <w:rPr>
                <w:rStyle w:val="FootnoteReference"/>
                <w:rFonts w:cs="Arial"/>
                <w:sz w:val="20"/>
                <w:szCs w:val="20"/>
              </w:rPr>
              <w:footnoteReference w:id="3"/>
            </w:r>
            <w:r w:rsidRPr="009B7B35">
              <w:rPr>
                <w:rFonts w:cs="Arial"/>
                <w:sz w:val="20"/>
                <w:szCs w:val="20"/>
              </w:rPr>
              <w:t>).</w:t>
            </w:r>
          </w:p>
        </w:tc>
        <w:tc>
          <w:tcPr>
            <w:tcW w:w="4110" w:type="dxa"/>
            <w:vMerge/>
            <w:tcBorders>
              <w:bottom w:val="nil"/>
              <w:right w:val="nil"/>
            </w:tcBorders>
          </w:tcPr>
          <w:p w14:paraId="7D9F9D46" w14:textId="77777777" w:rsidR="00BE36FB" w:rsidRPr="009B7B35" w:rsidRDefault="00BE36FB" w:rsidP="001A7107">
            <w:pPr>
              <w:rPr>
                <w:rFonts w:cs="Arial"/>
                <w:sz w:val="20"/>
                <w:szCs w:val="20"/>
              </w:rPr>
            </w:pPr>
          </w:p>
        </w:tc>
      </w:tr>
      <w:tr w:rsidR="00BE36FB" w:rsidRPr="009B7B35" w14:paraId="7C3901AB" w14:textId="77777777" w:rsidTr="001A7107">
        <w:tc>
          <w:tcPr>
            <w:tcW w:w="519" w:type="dxa"/>
            <w:vMerge/>
          </w:tcPr>
          <w:p w14:paraId="0D4E3164" w14:textId="77777777" w:rsidR="00BE36FB" w:rsidRPr="009B7B35" w:rsidRDefault="00BE36FB" w:rsidP="001A7107">
            <w:pPr>
              <w:rPr>
                <w:rFonts w:cs="Arial"/>
                <w:sz w:val="20"/>
                <w:szCs w:val="20"/>
              </w:rPr>
            </w:pPr>
          </w:p>
        </w:tc>
        <w:tc>
          <w:tcPr>
            <w:tcW w:w="1094" w:type="dxa"/>
            <w:vMerge/>
          </w:tcPr>
          <w:p w14:paraId="0BC99216" w14:textId="77777777" w:rsidR="00BE36FB" w:rsidRPr="009B7B35" w:rsidRDefault="00BE36FB" w:rsidP="001A7107">
            <w:pPr>
              <w:rPr>
                <w:rFonts w:cs="Arial"/>
                <w:sz w:val="20"/>
                <w:szCs w:val="20"/>
              </w:rPr>
            </w:pPr>
          </w:p>
        </w:tc>
        <w:tc>
          <w:tcPr>
            <w:tcW w:w="1037" w:type="dxa"/>
          </w:tcPr>
          <w:p w14:paraId="4EF617C7" w14:textId="77777777" w:rsidR="00BE36FB" w:rsidRPr="009B7B35" w:rsidRDefault="00BE36FB" w:rsidP="001A7107">
            <w:pPr>
              <w:rPr>
                <w:rFonts w:cs="Arial"/>
                <w:sz w:val="20"/>
                <w:szCs w:val="20"/>
              </w:rPr>
            </w:pPr>
            <w:r w:rsidRPr="009B7B35">
              <w:rPr>
                <w:rFonts w:cs="Arial"/>
                <w:sz w:val="20"/>
                <w:szCs w:val="20"/>
              </w:rPr>
              <w:t>Rear</w:t>
            </w:r>
            <w:r w:rsidRPr="009B7B35">
              <w:rPr>
                <w:rStyle w:val="FootnoteReference"/>
                <w:rFonts w:cs="Arial"/>
                <w:sz w:val="20"/>
                <w:szCs w:val="20"/>
              </w:rPr>
              <w:footnoteReference w:id="4"/>
            </w:r>
          </w:p>
        </w:tc>
        <w:tc>
          <w:tcPr>
            <w:tcW w:w="2651" w:type="dxa"/>
          </w:tcPr>
          <w:p w14:paraId="51FB1990" w14:textId="77777777" w:rsidR="00BE36FB" w:rsidRPr="009B7B35" w:rsidRDefault="00BE36FB" w:rsidP="001A7107">
            <w:pPr>
              <w:rPr>
                <w:rFonts w:cs="Arial"/>
                <w:sz w:val="20"/>
                <w:szCs w:val="20"/>
              </w:rPr>
            </w:pPr>
            <w:r w:rsidRPr="009B7B35">
              <w:rPr>
                <w:rFonts w:cs="Arial"/>
                <w:sz w:val="20"/>
                <w:szCs w:val="20"/>
              </w:rPr>
              <w:t>12m to OMP</w:t>
            </w:r>
          </w:p>
        </w:tc>
        <w:tc>
          <w:tcPr>
            <w:tcW w:w="4110" w:type="dxa"/>
            <w:vMerge/>
            <w:tcBorders>
              <w:bottom w:val="nil"/>
              <w:right w:val="nil"/>
            </w:tcBorders>
          </w:tcPr>
          <w:p w14:paraId="29109536" w14:textId="77777777" w:rsidR="00BE36FB" w:rsidRPr="009B7B35" w:rsidRDefault="00BE36FB" w:rsidP="001A7107">
            <w:pPr>
              <w:rPr>
                <w:rFonts w:cs="Arial"/>
                <w:sz w:val="20"/>
                <w:szCs w:val="20"/>
              </w:rPr>
            </w:pPr>
          </w:p>
        </w:tc>
      </w:tr>
      <w:tr w:rsidR="00BE36FB" w:rsidRPr="009B7B35" w14:paraId="700F8599" w14:textId="77777777" w:rsidTr="001A7107">
        <w:tc>
          <w:tcPr>
            <w:tcW w:w="519" w:type="dxa"/>
          </w:tcPr>
          <w:p w14:paraId="32020125" w14:textId="77777777" w:rsidR="00BE36FB" w:rsidRPr="009B7B35" w:rsidRDefault="00BE36FB" w:rsidP="001A7107">
            <w:pPr>
              <w:rPr>
                <w:rFonts w:cs="Arial"/>
                <w:sz w:val="20"/>
                <w:szCs w:val="20"/>
              </w:rPr>
            </w:pPr>
          </w:p>
        </w:tc>
        <w:tc>
          <w:tcPr>
            <w:tcW w:w="1094" w:type="dxa"/>
          </w:tcPr>
          <w:p w14:paraId="11F2C462" w14:textId="77777777" w:rsidR="00BE36FB" w:rsidRPr="009B7B35" w:rsidRDefault="00BE36FB" w:rsidP="001A7107">
            <w:pPr>
              <w:rPr>
                <w:rFonts w:cs="Arial"/>
                <w:sz w:val="20"/>
                <w:szCs w:val="20"/>
              </w:rPr>
            </w:pPr>
          </w:p>
        </w:tc>
        <w:tc>
          <w:tcPr>
            <w:tcW w:w="1037" w:type="dxa"/>
          </w:tcPr>
          <w:p w14:paraId="29649235" w14:textId="77777777" w:rsidR="00BE36FB" w:rsidRPr="009B7B35" w:rsidRDefault="00BE36FB" w:rsidP="001A7107">
            <w:pPr>
              <w:rPr>
                <w:rFonts w:cs="Arial"/>
                <w:sz w:val="20"/>
                <w:szCs w:val="20"/>
              </w:rPr>
            </w:pPr>
            <w:r w:rsidRPr="009B7B35">
              <w:rPr>
                <w:rFonts w:cs="Arial"/>
                <w:sz w:val="20"/>
                <w:szCs w:val="20"/>
              </w:rPr>
              <w:t>Side</w:t>
            </w:r>
          </w:p>
        </w:tc>
        <w:tc>
          <w:tcPr>
            <w:tcW w:w="2651" w:type="dxa"/>
          </w:tcPr>
          <w:p w14:paraId="1249D459" w14:textId="77777777" w:rsidR="00BE36FB" w:rsidRPr="009B7B35" w:rsidRDefault="00BE36FB" w:rsidP="001A7107">
            <w:pPr>
              <w:rPr>
                <w:rFonts w:cs="Arial"/>
                <w:sz w:val="20"/>
                <w:szCs w:val="20"/>
              </w:rPr>
            </w:pPr>
            <w:r w:rsidRPr="009B7B35">
              <w:rPr>
                <w:rFonts w:cs="Arial"/>
                <w:sz w:val="20"/>
                <w:szCs w:val="20"/>
              </w:rPr>
              <w:t>Levels 2–6: 3m to OMP</w:t>
            </w:r>
          </w:p>
          <w:p w14:paraId="35640CAF" w14:textId="77777777" w:rsidR="00BE36FB" w:rsidRPr="009B7B35" w:rsidRDefault="00BE36FB" w:rsidP="001A7107">
            <w:pPr>
              <w:rPr>
                <w:rFonts w:cs="Arial"/>
                <w:sz w:val="20"/>
                <w:szCs w:val="20"/>
              </w:rPr>
            </w:pPr>
            <w:r w:rsidRPr="009B7B35">
              <w:rPr>
                <w:rFonts w:cs="Arial"/>
                <w:sz w:val="20"/>
                <w:szCs w:val="20"/>
              </w:rPr>
              <w:t>Levels 7+: 6m to OMP</w:t>
            </w:r>
          </w:p>
          <w:p w14:paraId="5A4771CF" w14:textId="77777777" w:rsidR="00BE36FB" w:rsidRPr="009B7B35" w:rsidRDefault="00BE36FB" w:rsidP="001A7107">
            <w:pPr>
              <w:rPr>
                <w:rFonts w:cs="Arial"/>
                <w:sz w:val="20"/>
                <w:szCs w:val="20"/>
              </w:rPr>
            </w:pPr>
            <w:r w:rsidRPr="009B7B35">
              <w:rPr>
                <w:rFonts w:cs="Arial"/>
                <w:sz w:val="20"/>
                <w:szCs w:val="20"/>
              </w:rPr>
              <w:t>(9m where balconies overlook side boundary in any circumstance).</w:t>
            </w:r>
          </w:p>
        </w:tc>
        <w:tc>
          <w:tcPr>
            <w:tcW w:w="4110" w:type="dxa"/>
            <w:vMerge/>
            <w:tcBorders>
              <w:bottom w:val="nil"/>
              <w:right w:val="nil"/>
            </w:tcBorders>
          </w:tcPr>
          <w:p w14:paraId="01E6030C" w14:textId="77777777" w:rsidR="00BE36FB" w:rsidRPr="009B7B35" w:rsidRDefault="00BE36FB" w:rsidP="001A7107">
            <w:pPr>
              <w:rPr>
                <w:rFonts w:cs="Arial"/>
                <w:sz w:val="20"/>
                <w:szCs w:val="20"/>
              </w:rPr>
            </w:pPr>
          </w:p>
        </w:tc>
      </w:tr>
    </w:tbl>
    <w:p w14:paraId="1E853F2A"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78D4ED1F" w14:textId="77777777" w:rsidR="00BE36FB" w:rsidRPr="009B7B35" w:rsidRDefault="00BE36FB" w:rsidP="00B5414A">
      <w:pPr>
        <w:pStyle w:val="Heading5"/>
        <w:numPr>
          <w:ilvl w:val="0"/>
          <w:numId w:val="0"/>
        </w:numPr>
        <w:rPr>
          <w:rFonts w:cs="Arial"/>
          <w:szCs w:val="20"/>
        </w:rPr>
      </w:pPr>
      <w:r w:rsidRPr="009B7B35">
        <w:rPr>
          <w:rFonts w:cs="Arial"/>
          <w:szCs w:val="20"/>
        </w:rPr>
        <w:t>Diagram 6.2.6.2.1—Primary and rear frontage</w:t>
      </w:r>
    </w:p>
    <w:p w14:paraId="1B99A750" w14:textId="77777777" w:rsidR="00BE36FB" w:rsidRPr="009B7B35" w:rsidRDefault="00BE36FB" w:rsidP="001A7107">
      <w:pPr>
        <w:rPr>
          <w:rFonts w:ascii="Arial" w:hAnsi="Arial" w:cs="Arial"/>
          <w:sz w:val="20"/>
          <w:szCs w:val="20"/>
        </w:rPr>
      </w:pPr>
      <w:r w:rsidRPr="009B7B35">
        <w:rPr>
          <w:rFonts w:ascii="Arial" w:hAnsi="Arial" w:cs="Arial"/>
          <w:sz w:val="20"/>
          <w:szCs w:val="20"/>
        </w:rPr>
        <w:t>Where a site located on a primary frontage also has a rear frontage, the building treatment will be in accordance with the intent of this diagram as follows:</w:t>
      </w:r>
    </w:p>
    <w:p w14:paraId="70B47503" w14:textId="77777777" w:rsidR="00BE36FB" w:rsidRPr="009B7B35" w:rsidRDefault="00BE36FB" w:rsidP="00BE36FB">
      <w:pPr>
        <w:numPr>
          <w:ilvl w:val="0"/>
          <w:numId w:val="247"/>
        </w:numPr>
        <w:rPr>
          <w:rFonts w:ascii="Arial" w:hAnsi="Arial" w:cs="Arial"/>
          <w:sz w:val="20"/>
          <w:szCs w:val="20"/>
        </w:rPr>
      </w:pPr>
      <w:r w:rsidRPr="009B7B35">
        <w:rPr>
          <w:rFonts w:ascii="Arial" w:hAnsi="Arial" w:cs="Arial"/>
          <w:sz w:val="20"/>
          <w:szCs w:val="20"/>
        </w:rPr>
        <w:t>The podium extends across the entire depth of the site.</w:t>
      </w:r>
    </w:p>
    <w:p w14:paraId="55F9E2D5" w14:textId="77777777" w:rsidR="00BE36FB" w:rsidRPr="009B7B35" w:rsidRDefault="00BE36FB" w:rsidP="00BE36FB">
      <w:pPr>
        <w:numPr>
          <w:ilvl w:val="0"/>
          <w:numId w:val="247"/>
        </w:numPr>
        <w:rPr>
          <w:rFonts w:ascii="Arial" w:hAnsi="Arial" w:cs="Arial"/>
          <w:sz w:val="20"/>
          <w:szCs w:val="20"/>
        </w:rPr>
      </w:pPr>
      <w:r w:rsidRPr="009B7B35">
        <w:rPr>
          <w:rFonts w:ascii="Arial" w:hAnsi="Arial" w:cs="Arial"/>
          <w:sz w:val="20"/>
          <w:szCs w:val="20"/>
        </w:rPr>
        <w:t>Car parking areas within the podium or basement are not permitted to extend to any street frontage and must be sleeved by the requisite frontage treatment for at least the full height of the podium or two storeys whichever is the greater.</w:t>
      </w:r>
    </w:p>
    <w:p w14:paraId="6E7FF133" w14:textId="77777777"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4A496966" wp14:editId="7D5D4F02">
            <wp:extent cx="5936776" cy="2930291"/>
            <wp:effectExtent l="0" t="0" r="6985" b="3810"/>
            <wp:docPr id="71" name="Picture 71" descr="Principal Centre Centre - Dual Fro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rincipal Centre Centre - Dual Frontage"/>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902" t="13474" r="2000" b="6171"/>
                    <a:stretch/>
                  </pic:blipFill>
                  <pic:spPr bwMode="auto">
                    <a:xfrm>
                      <a:off x="0" y="0"/>
                      <a:ext cx="5939790" cy="2931779"/>
                    </a:xfrm>
                    <a:prstGeom prst="rect">
                      <a:avLst/>
                    </a:prstGeom>
                    <a:noFill/>
                    <a:ln>
                      <a:noFill/>
                    </a:ln>
                    <a:extLst>
                      <a:ext uri="{53640926-AAD7-44D8-BBD7-CCE9431645EC}">
                        <a14:shadowObscured xmlns:a14="http://schemas.microsoft.com/office/drawing/2010/main"/>
                      </a:ext>
                    </a:extLst>
                  </pic:spPr>
                </pic:pic>
              </a:graphicData>
            </a:graphic>
          </wp:inline>
        </w:drawing>
      </w:r>
    </w:p>
    <w:p w14:paraId="3D5519FA" w14:textId="77777777" w:rsidR="00BE36FB" w:rsidRPr="009B7B35" w:rsidRDefault="00BE36FB" w:rsidP="001A7107">
      <w:pPr>
        <w:jc w:val="center"/>
        <w:rPr>
          <w:rFonts w:ascii="Arial" w:hAnsi="Arial" w:cs="Arial"/>
          <w:sz w:val="20"/>
          <w:szCs w:val="20"/>
        </w:rPr>
      </w:pPr>
      <w:r w:rsidRPr="009B7B35">
        <w:rPr>
          <w:rFonts w:ascii="Arial" w:hAnsi="Arial" w:cs="Arial"/>
          <w:noProof/>
          <w:sz w:val="20"/>
          <w:szCs w:val="20"/>
        </w:rPr>
        <w:drawing>
          <wp:inline distT="0" distB="0" distL="0" distR="0" wp14:anchorId="7FAD0193" wp14:editId="2B225C5D">
            <wp:extent cx="3336247" cy="694592"/>
            <wp:effectExtent l="0" t="0" r="0" b="0"/>
            <wp:docPr id="72" name="Picture 72"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ypologies_Legend-h"/>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48512" cy="697146"/>
                    </a:xfrm>
                    <a:prstGeom prst="rect">
                      <a:avLst/>
                    </a:prstGeom>
                    <a:noFill/>
                    <a:ln>
                      <a:noFill/>
                    </a:ln>
                  </pic:spPr>
                </pic:pic>
              </a:graphicData>
            </a:graphic>
          </wp:inline>
        </w:drawing>
      </w:r>
    </w:p>
    <w:p w14:paraId="04D26DC1"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17C9481A" w14:textId="77777777" w:rsidR="00BE36FB" w:rsidRPr="009B7B35" w:rsidRDefault="00BE36FB" w:rsidP="00B5414A">
      <w:pPr>
        <w:pStyle w:val="Heading5"/>
        <w:numPr>
          <w:ilvl w:val="0"/>
          <w:numId w:val="0"/>
        </w:numPr>
        <w:rPr>
          <w:rFonts w:cs="Arial"/>
          <w:szCs w:val="20"/>
        </w:rPr>
      </w:pPr>
      <w:r w:rsidRPr="009B7B35">
        <w:rPr>
          <w:rFonts w:cs="Arial"/>
          <w:szCs w:val="20"/>
        </w:rPr>
        <w:t>Figure 2—Secondary frontage building</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263"/>
        <w:gridCol w:w="5100"/>
      </w:tblGrid>
      <w:tr w:rsidR="00BE36FB" w:rsidRPr="009B7B35" w14:paraId="647B2885" w14:textId="77777777" w:rsidTr="001A7107">
        <w:tc>
          <w:tcPr>
            <w:tcW w:w="4253" w:type="dxa"/>
            <w:vAlign w:val="center"/>
          </w:tcPr>
          <w:p w14:paraId="1FDFCFC2" w14:textId="77777777" w:rsidR="00BE36FB" w:rsidRPr="009B7B35" w:rsidRDefault="00BE36FB">
            <w:pPr>
              <w:pStyle w:val="TableText"/>
              <w:rPr>
                <w:rFonts w:cs="Arial"/>
              </w:rPr>
            </w:pPr>
            <w:r w:rsidRPr="009B7B35">
              <w:rPr>
                <w:rFonts w:cs="Arial"/>
              </w:rPr>
              <w:t>This building type occurs generally on those streets in centres and mixed use areas where buildings are not required to provide active uses at ground level. These buildings may be single use commercial or residential buildings or vertically mixed use.</w:t>
            </w:r>
          </w:p>
        </w:tc>
        <w:tc>
          <w:tcPr>
            <w:tcW w:w="5103" w:type="dxa"/>
          </w:tcPr>
          <w:p w14:paraId="683215CC"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603E2E48" wp14:editId="4C825978">
                  <wp:extent cx="3153369" cy="1658203"/>
                  <wp:effectExtent l="0" t="0" r="9525" b="0"/>
                  <wp:docPr id="73" name="Picture 73" descr="\\BVDC01\users\13\13-4263 PL - Gladstone Regional Planning Scheme - CT\Zoning\Zone Codes\Deicke Richards typologies\2. Secondary frontage building\MBRC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VDC01\users\13\13-4263 PL - Gladstone Regional Planning Scheme - CT\Zoning\Zone Codes\Deicke Richards typologies\2. Secondary frontage building\MBRC_4-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53707" cy="1658381"/>
                          </a:xfrm>
                          <a:prstGeom prst="rect">
                            <a:avLst/>
                          </a:prstGeom>
                          <a:noFill/>
                          <a:ln>
                            <a:noFill/>
                          </a:ln>
                        </pic:spPr>
                      </pic:pic>
                    </a:graphicData>
                  </a:graphic>
                </wp:inline>
              </w:drawing>
            </w:r>
          </w:p>
        </w:tc>
      </w:tr>
    </w:tbl>
    <w:p w14:paraId="63CE685B" w14:textId="77777777" w:rsidR="00BE36FB" w:rsidRPr="009B7B35" w:rsidRDefault="00BE36FB" w:rsidP="001A7107">
      <w:pPr>
        <w:rPr>
          <w:rFonts w:ascii="Arial" w:hAnsi="Arial" w:cs="Arial"/>
          <w:sz w:val="20"/>
          <w:szCs w:val="20"/>
        </w:rPr>
      </w:pPr>
    </w:p>
    <w:p w14:paraId="0086566F" w14:textId="77777777"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43"/>
        <w:gridCol w:w="993"/>
        <w:gridCol w:w="641"/>
        <w:gridCol w:w="1907"/>
        <w:gridCol w:w="4379"/>
      </w:tblGrid>
      <w:tr w:rsidR="00BE36FB" w:rsidRPr="009B7B35" w14:paraId="44251750" w14:textId="77777777"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tcPr>
          <w:p w14:paraId="3CAE9EF7" w14:textId="77777777" w:rsidR="00BE36FB" w:rsidRPr="009B7B35" w:rsidRDefault="00BE36FB" w:rsidP="001A7107">
            <w:pPr>
              <w:rPr>
                <w:rFonts w:cs="Arial"/>
                <w:sz w:val="20"/>
                <w:szCs w:val="20"/>
              </w:rPr>
            </w:pPr>
            <w:r w:rsidRPr="009B7B35">
              <w:rPr>
                <w:rFonts w:cs="Arial"/>
                <w:sz w:val="20"/>
                <w:szCs w:val="20"/>
              </w:rPr>
              <w:t>Element</w:t>
            </w:r>
          </w:p>
        </w:tc>
        <w:tc>
          <w:tcPr>
            <w:tcW w:w="2835" w:type="dxa"/>
          </w:tcPr>
          <w:p w14:paraId="12153DE1"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solutions</w:t>
            </w:r>
          </w:p>
        </w:tc>
        <w:tc>
          <w:tcPr>
            <w:tcW w:w="4111" w:type="dxa"/>
            <w:vMerge w:val="restart"/>
            <w:tcBorders>
              <w:top w:val="nil"/>
              <w:bottom w:val="nil"/>
              <w:right w:val="nil"/>
            </w:tcBorders>
          </w:tcPr>
          <w:p w14:paraId="53F39F01"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3FAF3E37" wp14:editId="40F293DB">
                  <wp:extent cx="2708694" cy="47100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ondary.PNG"/>
                          <pic:cNvPicPr/>
                        </pic:nvPicPr>
                        <pic:blipFill>
                          <a:blip r:embed="rId69">
                            <a:extLst>
                              <a:ext uri="{28A0092B-C50C-407E-A947-70E740481C1C}">
                                <a14:useLocalDpi xmlns:a14="http://schemas.microsoft.com/office/drawing/2010/main" val="0"/>
                              </a:ext>
                            </a:extLst>
                          </a:blip>
                          <a:stretch>
                            <a:fillRect/>
                          </a:stretch>
                        </pic:blipFill>
                        <pic:spPr>
                          <a:xfrm>
                            <a:off x="0" y="0"/>
                            <a:ext cx="2709072" cy="4710680"/>
                          </a:xfrm>
                          <a:prstGeom prst="rect">
                            <a:avLst/>
                          </a:prstGeom>
                        </pic:spPr>
                      </pic:pic>
                    </a:graphicData>
                  </a:graphic>
                </wp:inline>
              </w:drawing>
            </w:r>
          </w:p>
          <w:p w14:paraId="4427C108"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351F042A" wp14:editId="01EF7D4D">
                  <wp:extent cx="2524760" cy="518795"/>
                  <wp:effectExtent l="0" t="0" r="8890" b="0"/>
                  <wp:docPr id="75" name="Picture 75"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ypologies_Legend-h"/>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24760" cy="518795"/>
                          </a:xfrm>
                          <a:prstGeom prst="rect">
                            <a:avLst/>
                          </a:prstGeom>
                          <a:noFill/>
                          <a:ln>
                            <a:noFill/>
                          </a:ln>
                        </pic:spPr>
                      </pic:pic>
                    </a:graphicData>
                  </a:graphic>
                </wp:inline>
              </w:drawing>
            </w:r>
          </w:p>
        </w:tc>
      </w:tr>
      <w:tr w:rsidR="00BE36FB" w:rsidRPr="009B7B35" w14:paraId="0AF993D9" w14:textId="77777777" w:rsidTr="001A7107">
        <w:tc>
          <w:tcPr>
            <w:tcW w:w="538" w:type="dxa"/>
          </w:tcPr>
          <w:p w14:paraId="5DFC35DF" w14:textId="77777777" w:rsidR="00BE36FB" w:rsidRPr="009B7B35" w:rsidRDefault="00BE36FB" w:rsidP="001A7107">
            <w:pPr>
              <w:pStyle w:val="TableText"/>
              <w:rPr>
                <w:rFonts w:cs="Arial"/>
              </w:rPr>
            </w:pPr>
            <w:r w:rsidRPr="009B7B35">
              <w:rPr>
                <w:rFonts w:cs="Arial"/>
              </w:rPr>
              <w:t>2.1</w:t>
            </w:r>
          </w:p>
        </w:tc>
        <w:tc>
          <w:tcPr>
            <w:tcW w:w="1872" w:type="dxa"/>
            <w:gridSpan w:val="2"/>
          </w:tcPr>
          <w:p w14:paraId="2FAB95BD" w14:textId="77777777" w:rsidR="00BE36FB" w:rsidRPr="009B7B35" w:rsidRDefault="00BE36FB" w:rsidP="001A7107">
            <w:pPr>
              <w:pStyle w:val="TableText"/>
              <w:rPr>
                <w:rFonts w:cs="Arial"/>
              </w:rPr>
            </w:pPr>
            <w:r w:rsidRPr="009B7B35">
              <w:rPr>
                <w:rFonts w:cs="Arial"/>
              </w:rPr>
              <w:t>Minimum frontage</w:t>
            </w:r>
          </w:p>
        </w:tc>
        <w:tc>
          <w:tcPr>
            <w:tcW w:w="2835" w:type="dxa"/>
          </w:tcPr>
          <w:p w14:paraId="649C3273" w14:textId="77777777" w:rsidR="00BE36FB" w:rsidRPr="009B7B35" w:rsidRDefault="00BE36FB" w:rsidP="001A7107">
            <w:pPr>
              <w:pStyle w:val="TableText"/>
              <w:rPr>
                <w:rFonts w:cs="Arial"/>
              </w:rPr>
            </w:pPr>
            <w:r w:rsidRPr="009B7B35">
              <w:rPr>
                <w:rFonts w:cs="Arial"/>
              </w:rPr>
              <w:t>30m</w:t>
            </w:r>
          </w:p>
        </w:tc>
        <w:tc>
          <w:tcPr>
            <w:tcW w:w="4111" w:type="dxa"/>
            <w:vMerge/>
            <w:tcBorders>
              <w:bottom w:val="nil"/>
              <w:right w:val="nil"/>
            </w:tcBorders>
          </w:tcPr>
          <w:p w14:paraId="574847DB" w14:textId="77777777" w:rsidR="00BE36FB" w:rsidRPr="009B7B35" w:rsidRDefault="00BE36FB" w:rsidP="001A7107">
            <w:pPr>
              <w:rPr>
                <w:rFonts w:cs="Arial"/>
                <w:sz w:val="20"/>
                <w:szCs w:val="20"/>
              </w:rPr>
            </w:pPr>
          </w:p>
        </w:tc>
      </w:tr>
      <w:tr w:rsidR="00BE36FB" w:rsidRPr="009B7B35" w14:paraId="3D922FAA" w14:textId="77777777" w:rsidTr="001A7107">
        <w:tc>
          <w:tcPr>
            <w:tcW w:w="538" w:type="dxa"/>
          </w:tcPr>
          <w:p w14:paraId="23A9A5E7" w14:textId="77777777" w:rsidR="00BE36FB" w:rsidRPr="009B7B35" w:rsidRDefault="00BE36FB" w:rsidP="001A7107">
            <w:pPr>
              <w:pStyle w:val="TableText"/>
              <w:rPr>
                <w:rFonts w:cs="Arial"/>
              </w:rPr>
            </w:pPr>
            <w:r w:rsidRPr="009B7B35">
              <w:rPr>
                <w:rFonts w:cs="Arial"/>
              </w:rPr>
              <w:t>2.2</w:t>
            </w:r>
          </w:p>
        </w:tc>
        <w:tc>
          <w:tcPr>
            <w:tcW w:w="1872" w:type="dxa"/>
            <w:gridSpan w:val="2"/>
          </w:tcPr>
          <w:p w14:paraId="3E4E5FFE" w14:textId="77777777" w:rsidR="00BE36FB" w:rsidRPr="009B7B35" w:rsidRDefault="00BE36FB" w:rsidP="001A7107">
            <w:pPr>
              <w:pStyle w:val="TableText"/>
              <w:rPr>
                <w:rFonts w:cs="Arial"/>
              </w:rPr>
            </w:pPr>
            <w:r w:rsidRPr="009B7B35">
              <w:rPr>
                <w:rFonts w:cs="Arial"/>
              </w:rPr>
              <w:t>Minimum area</w:t>
            </w:r>
          </w:p>
        </w:tc>
        <w:tc>
          <w:tcPr>
            <w:tcW w:w="2835" w:type="dxa"/>
          </w:tcPr>
          <w:p w14:paraId="5FC55B47" w14:textId="77777777" w:rsidR="00BE36FB" w:rsidRPr="009B7B35" w:rsidRDefault="00BE36FB" w:rsidP="001A7107">
            <w:pPr>
              <w:pStyle w:val="TableText"/>
              <w:rPr>
                <w:rFonts w:cs="Arial"/>
              </w:rPr>
            </w:pPr>
            <w:r w:rsidRPr="009B7B35">
              <w:rPr>
                <w:rFonts w:cs="Arial"/>
              </w:rPr>
              <w:t>1,500m</w:t>
            </w:r>
            <w:r w:rsidRPr="009B7B35">
              <w:rPr>
                <w:rFonts w:cs="Arial"/>
                <w:vertAlign w:val="superscript"/>
              </w:rPr>
              <w:t>2</w:t>
            </w:r>
          </w:p>
        </w:tc>
        <w:tc>
          <w:tcPr>
            <w:tcW w:w="4111" w:type="dxa"/>
            <w:vMerge/>
            <w:tcBorders>
              <w:bottom w:val="nil"/>
              <w:right w:val="nil"/>
            </w:tcBorders>
          </w:tcPr>
          <w:p w14:paraId="314BA1FD" w14:textId="77777777" w:rsidR="00BE36FB" w:rsidRPr="009B7B35" w:rsidRDefault="00BE36FB" w:rsidP="001A7107">
            <w:pPr>
              <w:rPr>
                <w:rFonts w:cs="Arial"/>
                <w:sz w:val="20"/>
                <w:szCs w:val="20"/>
              </w:rPr>
            </w:pPr>
          </w:p>
        </w:tc>
      </w:tr>
      <w:tr w:rsidR="00BE36FB" w:rsidRPr="009B7B35" w14:paraId="0CBB5DE0" w14:textId="77777777" w:rsidTr="001A7107">
        <w:tc>
          <w:tcPr>
            <w:tcW w:w="538" w:type="dxa"/>
          </w:tcPr>
          <w:p w14:paraId="2C3B74E9" w14:textId="77777777" w:rsidR="00BE36FB" w:rsidRPr="009B7B35" w:rsidRDefault="00BE36FB" w:rsidP="001A7107">
            <w:pPr>
              <w:pStyle w:val="TableText"/>
              <w:rPr>
                <w:rFonts w:cs="Arial"/>
              </w:rPr>
            </w:pPr>
            <w:r w:rsidRPr="009B7B35">
              <w:rPr>
                <w:rFonts w:cs="Arial"/>
              </w:rPr>
              <w:t>2.3</w:t>
            </w:r>
          </w:p>
        </w:tc>
        <w:tc>
          <w:tcPr>
            <w:tcW w:w="1872" w:type="dxa"/>
            <w:gridSpan w:val="2"/>
          </w:tcPr>
          <w:p w14:paraId="0000D48F" w14:textId="77777777" w:rsidR="00BE36FB" w:rsidRPr="009B7B35" w:rsidRDefault="00BE36FB" w:rsidP="001A7107">
            <w:pPr>
              <w:pStyle w:val="TableText"/>
              <w:rPr>
                <w:rFonts w:cs="Arial"/>
              </w:rPr>
            </w:pPr>
            <w:r w:rsidRPr="009B7B35">
              <w:rPr>
                <w:rFonts w:cs="Arial"/>
              </w:rPr>
              <w:t>Maximum building depth from the main street frontage</w:t>
            </w:r>
          </w:p>
        </w:tc>
        <w:tc>
          <w:tcPr>
            <w:tcW w:w="2835" w:type="dxa"/>
          </w:tcPr>
          <w:p w14:paraId="3AE7111F" w14:textId="77777777" w:rsidR="00BE36FB" w:rsidRPr="009B7B35" w:rsidRDefault="00BE36FB" w:rsidP="001A7107">
            <w:pPr>
              <w:pStyle w:val="TableText"/>
              <w:rPr>
                <w:rFonts w:cs="Arial"/>
              </w:rPr>
            </w:pPr>
            <w:r w:rsidRPr="009B7B35">
              <w:rPr>
                <w:rFonts w:cs="Arial"/>
              </w:rPr>
              <w:t>36m to OMP</w:t>
            </w:r>
          </w:p>
        </w:tc>
        <w:tc>
          <w:tcPr>
            <w:tcW w:w="4111" w:type="dxa"/>
            <w:vMerge/>
            <w:tcBorders>
              <w:bottom w:val="nil"/>
              <w:right w:val="nil"/>
            </w:tcBorders>
          </w:tcPr>
          <w:p w14:paraId="4D889B51" w14:textId="77777777" w:rsidR="00BE36FB" w:rsidRPr="009B7B35" w:rsidRDefault="00BE36FB" w:rsidP="001A7107">
            <w:pPr>
              <w:rPr>
                <w:rFonts w:cs="Arial"/>
                <w:sz w:val="20"/>
                <w:szCs w:val="20"/>
              </w:rPr>
            </w:pPr>
          </w:p>
        </w:tc>
      </w:tr>
      <w:tr w:rsidR="00BE36FB" w:rsidRPr="009B7B35" w14:paraId="42DAEB1F" w14:textId="77777777" w:rsidTr="001A7107">
        <w:tc>
          <w:tcPr>
            <w:tcW w:w="538" w:type="dxa"/>
            <w:vMerge w:val="restart"/>
          </w:tcPr>
          <w:p w14:paraId="0B0D1FFD" w14:textId="77777777" w:rsidR="00BE36FB" w:rsidRPr="009B7B35" w:rsidRDefault="00BE36FB" w:rsidP="001A7107">
            <w:pPr>
              <w:pStyle w:val="TableText"/>
              <w:rPr>
                <w:rFonts w:cs="Arial"/>
              </w:rPr>
            </w:pPr>
            <w:r w:rsidRPr="009B7B35">
              <w:rPr>
                <w:rFonts w:cs="Arial"/>
              </w:rPr>
              <w:t>2.4</w:t>
            </w:r>
          </w:p>
        </w:tc>
        <w:tc>
          <w:tcPr>
            <w:tcW w:w="1872" w:type="dxa"/>
            <w:gridSpan w:val="2"/>
            <w:vMerge w:val="restart"/>
          </w:tcPr>
          <w:p w14:paraId="1190D693" w14:textId="77777777" w:rsidR="00BE36FB" w:rsidRPr="009B7B35" w:rsidRDefault="00BE36FB" w:rsidP="001A7107">
            <w:pPr>
              <w:pStyle w:val="TableText"/>
              <w:rPr>
                <w:rFonts w:cs="Arial"/>
              </w:rPr>
            </w:pPr>
            <w:r w:rsidRPr="009B7B35">
              <w:rPr>
                <w:rFonts w:cs="Arial"/>
              </w:rPr>
              <w:t>Residential open space</w:t>
            </w:r>
          </w:p>
        </w:tc>
        <w:tc>
          <w:tcPr>
            <w:tcW w:w="2835" w:type="dxa"/>
          </w:tcPr>
          <w:p w14:paraId="7C847893" w14:textId="77777777" w:rsidR="00BE36FB" w:rsidRPr="009B7B35" w:rsidRDefault="00BE36FB" w:rsidP="001A7107">
            <w:pPr>
              <w:pStyle w:val="TableText"/>
              <w:rPr>
                <w:rFonts w:cs="Arial"/>
              </w:rPr>
            </w:pPr>
            <w:r w:rsidRPr="009B7B35">
              <w:rPr>
                <w:rFonts w:cs="Arial"/>
              </w:rPr>
              <w:t>Minimum private open space of 16m</w:t>
            </w:r>
            <w:r w:rsidRPr="009B7B35">
              <w:rPr>
                <w:rFonts w:cs="Arial"/>
                <w:vertAlign w:val="superscript"/>
              </w:rPr>
              <w:t>2</w:t>
            </w:r>
            <w:r w:rsidRPr="009B7B35">
              <w:rPr>
                <w:rFonts w:cs="Arial"/>
              </w:rPr>
              <w:t xml:space="preserve"> per dwelling with a minimum dimension of 3m in any direction.</w:t>
            </w:r>
          </w:p>
        </w:tc>
        <w:tc>
          <w:tcPr>
            <w:tcW w:w="4111" w:type="dxa"/>
            <w:vMerge/>
            <w:tcBorders>
              <w:bottom w:val="nil"/>
              <w:right w:val="nil"/>
            </w:tcBorders>
          </w:tcPr>
          <w:p w14:paraId="0112A1EE" w14:textId="77777777" w:rsidR="00BE36FB" w:rsidRPr="009B7B35" w:rsidRDefault="00BE36FB" w:rsidP="001A7107">
            <w:pPr>
              <w:rPr>
                <w:rFonts w:cs="Arial"/>
                <w:sz w:val="20"/>
                <w:szCs w:val="20"/>
              </w:rPr>
            </w:pPr>
          </w:p>
        </w:tc>
      </w:tr>
      <w:tr w:rsidR="00BE36FB" w:rsidRPr="009B7B35" w14:paraId="48C827E1" w14:textId="77777777" w:rsidTr="001A7107">
        <w:tc>
          <w:tcPr>
            <w:tcW w:w="538" w:type="dxa"/>
            <w:vMerge/>
          </w:tcPr>
          <w:p w14:paraId="637ADEED" w14:textId="77777777" w:rsidR="00BE36FB" w:rsidRPr="009B7B35" w:rsidRDefault="00BE36FB" w:rsidP="001A7107">
            <w:pPr>
              <w:pStyle w:val="TableText"/>
              <w:rPr>
                <w:rFonts w:cs="Arial"/>
              </w:rPr>
            </w:pPr>
          </w:p>
        </w:tc>
        <w:tc>
          <w:tcPr>
            <w:tcW w:w="1872" w:type="dxa"/>
            <w:gridSpan w:val="2"/>
            <w:vMerge/>
          </w:tcPr>
          <w:p w14:paraId="7BC70728" w14:textId="77777777" w:rsidR="00BE36FB" w:rsidRPr="009B7B35" w:rsidRDefault="00BE36FB" w:rsidP="001A7107">
            <w:pPr>
              <w:pStyle w:val="TableText"/>
              <w:rPr>
                <w:rFonts w:cs="Arial"/>
              </w:rPr>
            </w:pPr>
          </w:p>
        </w:tc>
        <w:tc>
          <w:tcPr>
            <w:tcW w:w="2835" w:type="dxa"/>
          </w:tcPr>
          <w:p w14:paraId="1D6A7A4D" w14:textId="77777777" w:rsidR="00BE36FB" w:rsidRPr="009B7B35" w:rsidRDefault="00BE36FB" w:rsidP="001A7107">
            <w:pPr>
              <w:pStyle w:val="TableText"/>
              <w:rPr>
                <w:rFonts w:cs="Arial"/>
              </w:rPr>
            </w:pPr>
            <w:r w:rsidRPr="009B7B35">
              <w:rPr>
                <w:rFonts w:cs="Arial"/>
              </w:rPr>
              <w:t>Minimum communal open space of 20% of the site area with a minimum dimension of 10m in any direction.</w:t>
            </w:r>
          </w:p>
        </w:tc>
        <w:tc>
          <w:tcPr>
            <w:tcW w:w="4111" w:type="dxa"/>
            <w:vMerge/>
            <w:tcBorders>
              <w:bottom w:val="nil"/>
              <w:right w:val="nil"/>
            </w:tcBorders>
          </w:tcPr>
          <w:p w14:paraId="18E29DB0" w14:textId="77777777" w:rsidR="00BE36FB" w:rsidRPr="009B7B35" w:rsidRDefault="00BE36FB" w:rsidP="001A7107">
            <w:pPr>
              <w:rPr>
                <w:rFonts w:cs="Arial"/>
                <w:sz w:val="20"/>
                <w:szCs w:val="20"/>
              </w:rPr>
            </w:pPr>
          </w:p>
        </w:tc>
      </w:tr>
      <w:tr w:rsidR="00BE36FB" w:rsidRPr="009B7B35" w14:paraId="1E7D9157" w14:textId="77777777" w:rsidTr="001A7107">
        <w:trPr>
          <w:trHeight w:val="141"/>
        </w:trPr>
        <w:tc>
          <w:tcPr>
            <w:tcW w:w="538" w:type="dxa"/>
            <w:vMerge w:val="restart"/>
          </w:tcPr>
          <w:p w14:paraId="41AEAC65" w14:textId="77777777" w:rsidR="00BE36FB" w:rsidRPr="009B7B35" w:rsidRDefault="00BE36FB" w:rsidP="001A7107">
            <w:pPr>
              <w:pStyle w:val="TableText"/>
              <w:rPr>
                <w:rFonts w:cs="Arial"/>
              </w:rPr>
            </w:pPr>
            <w:r w:rsidRPr="009B7B35">
              <w:rPr>
                <w:rFonts w:cs="Arial"/>
              </w:rPr>
              <w:t>2.5</w:t>
            </w:r>
          </w:p>
        </w:tc>
        <w:tc>
          <w:tcPr>
            <w:tcW w:w="1119" w:type="dxa"/>
            <w:vMerge w:val="restart"/>
          </w:tcPr>
          <w:p w14:paraId="6518675F" w14:textId="77777777" w:rsidR="00BE36FB" w:rsidRPr="009B7B35" w:rsidRDefault="00BE36FB" w:rsidP="001A7107">
            <w:pPr>
              <w:pStyle w:val="TableText"/>
              <w:rPr>
                <w:rFonts w:cs="Arial"/>
              </w:rPr>
            </w:pPr>
            <w:r w:rsidRPr="009B7B35">
              <w:rPr>
                <w:rFonts w:cs="Arial"/>
              </w:rPr>
              <w:t>Minimum setbacks</w:t>
            </w:r>
          </w:p>
        </w:tc>
        <w:tc>
          <w:tcPr>
            <w:tcW w:w="753" w:type="dxa"/>
          </w:tcPr>
          <w:p w14:paraId="744288B1" w14:textId="77777777" w:rsidR="00BE36FB" w:rsidRPr="009B7B35" w:rsidRDefault="00BE36FB" w:rsidP="001A7107">
            <w:pPr>
              <w:pStyle w:val="TableText"/>
              <w:rPr>
                <w:rFonts w:cs="Arial"/>
              </w:rPr>
            </w:pPr>
            <w:r w:rsidRPr="009B7B35">
              <w:rPr>
                <w:rFonts w:cs="Arial"/>
              </w:rPr>
              <w:t>Front</w:t>
            </w:r>
          </w:p>
        </w:tc>
        <w:tc>
          <w:tcPr>
            <w:tcW w:w="2835" w:type="dxa"/>
          </w:tcPr>
          <w:p w14:paraId="3782DEB2" w14:textId="77777777" w:rsidR="00BE36FB" w:rsidRPr="009B7B35" w:rsidRDefault="00BE36FB" w:rsidP="001A7107">
            <w:pPr>
              <w:pStyle w:val="TableText"/>
              <w:rPr>
                <w:rFonts w:cs="Arial"/>
              </w:rPr>
            </w:pPr>
            <w:r w:rsidRPr="009B7B35">
              <w:rPr>
                <w:rFonts w:cs="Arial"/>
              </w:rPr>
              <w:t xml:space="preserve">6m to main face of building </w:t>
            </w:r>
          </w:p>
          <w:p w14:paraId="32A617D3" w14:textId="77777777" w:rsidR="00BE36FB" w:rsidRPr="009B7B35" w:rsidRDefault="00BE36FB" w:rsidP="001A7107">
            <w:pPr>
              <w:pStyle w:val="TableText"/>
              <w:rPr>
                <w:rFonts w:cs="Arial"/>
              </w:rPr>
            </w:pPr>
            <w:r w:rsidRPr="009B7B35">
              <w:rPr>
                <w:rFonts w:cs="Arial"/>
              </w:rPr>
              <w:t>(3m OMP in articulation zone</w:t>
            </w:r>
            <w:r w:rsidRPr="009B7B35">
              <w:rPr>
                <w:rStyle w:val="FootnoteReference"/>
                <w:rFonts w:cs="Arial"/>
              </w:rPr>
              <w:footnoteReference w:id="5"/>
            </w:r>
            <w:r w:rsidRPr="009B7B35">
              <w:rPr>
                <w:rFonts w:cs="Arial"/>
              </w:rPr>
              <w:t>).</w:t>
            </w:r>
          </w:p>
        </w:tc>
        <w:tc>
          <w:tcPr>
            <w:tcW w:w="4111" w:type="dxa"/>
            <w:vMerge/>
            <w:tcBorders>
              <w:bottom w:val="nil"/>
              <w:right w:val="nil"/>
            </w:tcBorders>
          </w:tcPr>
          <w:p w14:paraId="28ECC63B" w14:textId="77777777" w:rsidR="00BE36FB" w:rsidRPr="009B7B35" w:rsidRDefault="00BE36FB" w:rsidP="001A7107">
            <w:pPr>
              <w:rPr>
                <w:rFonts w:cs="Arial"/>
                <w:sz w:val="20"/>
                <w:szCs w:val="20"/>
              </w:rPr>
            </w:pPr>
          </w:p>
        </w:tc>
      </w:tr>
      <w:tr w:rsidR="00BE36FB" w:rsidRPr="009B7B35" w14:paraId="51CAD95A" w14:textId="77777777" w:rsidTr="001A7107">
        <w:tc>
          <w:tcPr>
            <w:tcW w:w="538" w:type="dxa"/>
            <w:vMerge/>
          </w:tcPr>
          <w:p w14:paraId="523D6A28" w14:textId="77777777" w:rsidR="00BE36FB" w:rsidRPr="009B7B35" w:rsidRDefault="00BE36FB" w:rsidP="001A7107">
            <w:pPr>
              <w:rPr>
                <w:rFonts w:cs="Arial"/>
                <w:sz w:val="20"/>
                <w:szCs w:val="20"/>
              </w:rPr>
            </w:pPr>
          </w:p>
        </w:tc>
        <w:tc>
          <w:tcPr>
            <w:tcW w:w="1119" w:type="dxa"/>
            <w:vMerge/>
          </w:tcPr>
          <w:p w14:paraId="191E592D" w14:textId="77777777" w:rsidR="00BE36FB" w:rsidRPr="009B7B35" w:rsidRDefault="00BE36FB" w:rsidP="001A7107">
            <w:pPr>
              <w:rPr>
                <w:rFonts w:cs="Arial"/>
                <w:sz w:val="20"/>
                <w:szCs w:val="20"/>
              </w:rPr>
            </w:pPr>
          </w:p>
        </w:tc>
        <w:tc>
          <w:tcPr>
            <w:tcW w:w="753" w:type="dxa"/>
          </w:tcPr>
          <w:p w14:paraId="3C4FC241" w14:textId="77777777" w:rsidR="00BE36FB" w:rsidRPr="009B7B35" w:rsidRDefault="00BE36FB" w:rsidP="001A7107">
            <w:pPr>
              <w:rPr>
                <w:rFonts w:cs="Arial"/>
                <w:sz w:val="20"/>
                <w:szCs w:val="20"/>
              </w:rPr>
            </w:pPr>
            <w:r w:rsidRPr="009B7B35">
              <w:rPr>
                <w:rFonts w:cs="Arial"/>
                <w:sz w:val="20"/>
                <w:szCs w:val="20"/>
              </w:rPr>
              <w:t>Rear</w:t>
            </w:r>
          </w:p>
        </w:tc>
        <w:tc>
          <w:tcPr>
            <w:tcW w:w="2835" w:type="dxa"/>
          </w:tcPr>
          <w:p w14:paraId="5ADC0636" w14:textId="77777777" w:rsidR="00BE36FB" w:rsidRPr="009B7B35" w:rsidRDefault="00BE36FB" w:rsidP="001A7107">
            <w:pPr>
              <w:rPr>
                <w:rFonts w:cs="Arial"/>
                <w:sz w:val="20"/>
                <w:szCs w:val="20"/>
              </w:rPr>
            </w:pPr>
            <w:r w:rsidRPr="009B7B35">
              <w:rPr>
                <w:rFonts w:cs="Arial"/>
                <w:sz w:val="20"/>
                <w:szCs w:val="20"/>
              </w:rPr>
              <w:t>12m to OMP.</w:t>
            </w:r>
          </w:p>
        </w:tc>
        <w:tc>
          <w:tcPr>
            <w:tcW w:w="4111" w:type="dxa"/>
            <w:vMerge/>
            <w:tcBorders>
              <w:bottom w:val="nil"/>
              <w:right w:val="nil"/>
            </w:tcBorders>
          </w:tcPr>
          <w:p w14:paraId="45E73436" w14:textId="77777777" w:rsidR="00BE36FB" w:rsidRPr="009B7B35" w:rsidRDefault="00BE36FB" w:rsidP="001A7107">
            <w:pPr>
              <w:rPr>
                <w:rFonts w:cs="Arial"/>
                <w:sz w:val="20"/>
                <w:szCs w:val="20"/>
              </w:rPr>
            </w:pPr>
          </w:p>
        </w:tc>
      </w:tr>
      <w:tr w:rsidR="00BE36FB" w:rsidRPr="009B7B35" w14:paraId="1EAD6B25" w14:textId="77777777" w:rsidTr="001A7107">
        <w:tc>
          <w:tcPr>
            <w:tcW w:w="538" w:type="dxa"/>
            <w:vMerge/>
          </w:tcPr>
          <w:p w14:paraId="6E013473" w14:textId="77777777" w:rsidR="00BE36FB" w:rsidRPr="009B7B35" w:rsidRDefault="00BE36FB" w:rsidP="001A7107">
            <w:pPr>
              <w:rPr>
                <w:rFonts w:cs="Arial"/>
                <w:sz w:val="20"/>
                <w:szCs w:val="20"/>
              </w:rPr>
            </w:pPr>
          </w:p>
        </w:tc>
        <w:tc>
          <w:tcPr>
            <w:tcW w:w="1119" w:type="dxa"/>
            <w:vMerge/>
          </w:tcPr>
          <w:p w14:paraId="3F46090D" w14:textId="77777777" w:rsidR="00BE36FB" w:rsidRPr="009B7B35" w:rsidRDefault="00BE36FB" w:rsidP="001A7107">
            <w:pPr>
              <w:rPr>
                <w:rFonts w:cs="Arial"/>
                <w:sz w:val="20"/>
                <w:szCs w:val="20"/>
              </w:rPr>
            </w:pPr>
          </w:p>
        </w:tc>
        <w:tc>
          <w:tcPr>
            <w:tcW w:w="753" w:type="dxa"/>
          </w:tcPr>
          <w:p w14:paraId="7CD61980" w14:textId="77777777" w:rsidR="00BE36FB" w:rsidRPr="009B7B35" w:rsidRDefault="00BE36FB" w:rsidP="001A7107">
            <w:pPr>
              <w:rPr>
                <w:rFonts w:cs="Arial"/>
                <w:sz w:val="20"/>
                <w:szCs w:val="20"/>
              </w:rPr>
            </w:pPr>
            <w:r w:rsidRPr="009B7B35">
              <w:rPr>
                <w:rFonts w:cs="Arial"/>
                <w:sz w:val="20"/>
                <w:szCs w:val="20"/>
              </w:rPr>
              <w:t>Side</w:t>
            </w:r>
          </w:p>
        </w:tc>
        <w:tc>
          <w:tcPr>
            <w:tcW w:w="2835" w:type="dxa"/>
          </w:tcPr>
          <w:p w14:paraId="3C9D4547" w14:textId="77777777" w:rsidR="00BE36FB" w:rsidRPr="009B7B35" w:rsidRDefault="00BE36FB" w:rsidP="001A7107">
            <w:pPr>
              <w:pStyle w:val="TableText"/>
              <w:rPr>
                <w:rFonts w:cs="Arial"/>
              </w:rPr>
            </w:pPr>
            <w:r w:rsidRPr="009B7B35">
              <w:rPr>
                <w:rFonts w:cs="Arial"/>
              </w:rPr>
              <w:t>Levels 1–6: 3m to OMP</w:t>
            </w:r>
          </w:p>
          <w:p w14:paraId="78777F58" w14:textId="77777777" w:rsidR="00BE36FB" w:rsidRPr="009B7B35" w:rsidRDefault="00BE36FB" w:rsidP="001A7107">
            <w:pPr>
              <w:pStyle w:val="TableText"/>
              <w:rPr>
                <w:rFonts w:cs="Arial"/>
              </w:rPr>
            </w:pPr>
            <w:r w:rsidRPr="009B7B35">
              <w:rPr>
                <w:rFonts w:cs="Arial"/>
              </w:rPr>
              <w:t>Levels 7+: 6m to OMP</w:t>
            </w:r>
          </w:p>
          <w:p w14:paraId="1B5D48E9" w14:textId="77777777" w:rsidR="00BE36FB" w:rsidRPr="009B7B35" w:rsidRDefault="00BE36FB" w:rsidP="001A7107">
            <w:pPr>
              <w:rPr>
                <w:rFonts w:cs="Arial"/>
                <w:sz w:val="20"/>
                <w:szCs w:val="20"/>
              </w:rPr>
            </w:pPr>
            <w:r w:rsidRPr="009B7B35">
              <w:rPr>
                <w:rFonts w:cs="Arial"/>
                <w:sz w:val="20"/>
                <w:szCs w:val="20"/>
              </w:rPr>
              <w:t>(9m where balconies overlook side boundary in any circumstance).</w:t>
            </w:r>
          </w:p>
        </w:tc>
        <w:tc>
          <w:tcPr>
            <w:tcW w:w="4111" w:type="dxa"/>
            <w:vMerge/>
            <w:tcBorders>
              <w:bottom w:val="nil"/>
              <w:right w:val="nil"/>
            </w:tcBorders>
          </w:tcPr>
          <w:p w14:paraId="64C2C286" w14:textId="77777777" w:rsidR="00BE36FB" w:rsidRPr="009B7B35" w:rsidRDefault="00BE36FB" w:rsidP="001A7107">
            <w:pPr>
              <w:rPr>
                <w:rFonts w:cs="Arial"/>
                <w:sz w:val="20"/>
                <w:szCs w:val="20"/>
              </w:rPr>
            </w:pPr>
          </w:p>
        </w:tc>
      </w:tr>
    </w:tbl>
    <w:p w14:paraId="7DF42375"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1A01487A" w14:textId="761F0422" w:rsidR="00BE36FB" w:rsidRPr="009B7B35" w:rsidRDefault="00BE36FB" w:rsidP="00B5414A">
      <w:pPr>
        <w:pStyle w:val="Heading3"/>
        <w:keepLines/>
        <w:numPr>
          <w:ilvl w:val="2"/>
          <w:numId w:val="883"/>
        </w:numPr>
        <w:spacing w:before="240"/>
        <w:rPr>
          <w:rFonts w:ascii="Arial" w:hAnsi="Arial"/>
          <w:sz w:val="20"/>
          <w:szCs w:val="20"/>
        </w:rPr>
      </w:pPr>
      <w:bookmarkStart w:id="189" w:name="_Toc205367352"/>
      <w:r w:rsidRPr="009B7B35">
        <w:rPr>
          <w:rFonts w:ascii="Arial" w:hAnsi="Arial"/>
          <w:sz w:val="20"/>
          <w:szCs w:val="20"/>
        </w:rPr>
        <w:t>Neighbourhood centre</w:t>
      </w:r>
      <w:bookmarkEnd w:id="189"/>
    </w:p>
    <w:p w14:paraId="3E46254C"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24119832"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w:t>
      </w:r>
    </w:p>
    <w:p w14:paraId="520889DC" w14:textId="77777777" w:rsidR="00BE36FB" w:rsidRPr="009B7B35" w:rsidRDefault="00BE36FB" w:rsidP="001A7107">
      <w:pPr>
        <w:rPr>
          <w:rFonts w:ascii="Arial" w:hAnsi="Arial" w:cs="Arial"/>
          <w:sz w:val="20"/>
          <w:szCs w:val="20"/>
        </w:rPr>
      </w:pPr>
    </w:p>
    <w:p w14:paraId="2C9D92A4" w14:textId="77777777" w:rsidR="00BE36FB" w:rsidRPr="009B7B35" w:rsidRDefault="00BE36FB" w:rsidP="001A7107">
      <w:pPr>
        <w:rPr>
          <w:rFonts w:ascii="Arial" w:hAnsi="Arial" w:cs="Arial"/>
          <w:sz w:val="20"/>
          <w:szCs w:val="20"/>
        </w:rPr>
      </w:pPr>
      <w:r w:rsidRPr="009B7B35">
        <w:rPr>
          <w:rFonts w:ascii="Arial" w:hAnsi="Arial" w:cs="Arial"/>
          <w:sz w:val="20"/>
          <w:szCs w:val="20"/>
        </w:rPr>
        <w:t>When using this code, reference should be made to section 5.3.2 and where applicable, section 5.3.3 located in Part 5.</w:t>
      </w:r>
    </w:p>
    <w:p w14:paraId="340F6FA0"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4F3A22FE" w14:textId="77777777" w:rsidR="00BE36FB" w:rsidRPr="009B7B35" w:rsidRDefault="00BE36FB" w:rsidP="00BE36FB">
      <w:pPr>
        <w:numPr>
          <w:ilvl w:val="0"/>
          <w:numId w:val="248"/>
        </w:numPr>
        <w:rPr>
          <w:rFonts w:ascii="Arial" w:hAnsi="Arial" w:cs="Arial"/>
          <w:sz w:val="20"/>
          <w:szCs w:val="20"/>
        </w:rPr>
      </w:pPr>
      <w:r w:rsidRPr="009B7B35">
        <w:rPr>
          <w:rFonts w:ascii="Arial" w:hAnsi="Arial" w:cs="Arial"/>
          <w:sz w:val="20"/>
          <w:szCs w:val="20"/>
        </w:rPr>
        <w:t>The purpose of the Neighbourhood Centre zone code is to provide for a small mix of land uses to service residential neighbourhoods. It includes small–scale convenience shopping, professional offices, community services and other uses that directly support the immediate community. Development in this zone must:</w:t>
      </w:r>
    </w:p>
    <w:p w14:paraId="045D4A43" w14:textId="77777777"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Provide for accessible, convenient and attractive retail, commercial, administrative and community activities at a scale that does not compromise the viability of the Principal centre zone or the Centre zones.</w:t>
      </w:r>
    </w:p>
    <w:p w14:paraId="09F6939B" w14:textId="77777777"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Provide for clusters of non–residential uses surrounded by residential areas that provide a mix of uses to support the day to day convenience and community needs of surrounding residents.</w:t>
      </w:r>
    </w:p>
    <w:p w14:paraId="53895BAD" w14:textId="77777777"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Manage the interface between centre activities and adjoining residential activities.</w:t>
      </w:r>
    </w:p>
    <w:p w14:paraId="578EE8CB" w14:textId="77777777"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Promote high quality centre design that maximises access by active and public transport and activates streets and public spaces.</w:t>
      </w:r>
    </w:p>
    <w:p w14:paraId="208591A2" w14:textId="77777777" w:rsidR="00BE36FB" w:rsidRPr="009B7B35" w:rsidRDefault="00BE36FB" w:rsidP="00BE36FB">
      <w:pPr>
        <w:numPr>
          <w:ilvl w:val="0"/>
          <w:numId w:val="248"/>
        </w:numPr>
        <w:rPr>
          <w:rFonts w:ascii="Arial" w:hAnsi="Arial" w:cs="Arial"/>
          <w:sz w:val="20"/>
          <w:szCs w:val="20"/>
        </w:rPr>
      </w:pPr>
      <w:r w:rsidRPr="009B7B35">
        <w:rPr>
          <w:rFonts w:ascii="Arial" w:hAnsi="Arial" w:cs="Arial"/>
          <w:sz w:val="20"/>
          <w:szCs w:val="20"/>
        </w:rPr>
        <w:t>The purpose of the zone will be achieved through the following overall outcomes:</w:t>
      </w:r>
    </w:p>
    <w:p w14:paraId="3F30BE2E" w14:textId="77777777"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Small–scale convenience retail, commercial and community uses servicing the local community are provided. Large format retail uses are not supported in this zone.</w:t>
      </w:r>
    </w:p>
    <w:p w14:paraId="4BFCCBBE" w14:textId="77777777"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Limited residential uses such as dwelling units can occur in conjunction with centre activities.</w:t>
      </w:r>
    </w:p>
    <w:p w14:paraId="3C211A7B" w14:textId="77777777"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Limited after hours activities are supported where compatible with surrounding residential activities.</w:t>
      </w:r>
    </w:p>
    <w:p w14:paraId="5D01AE15" w14:textId="77777777"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water conservation and public/active transport use.</w:t>
      </w:r>
    </w:p>
    <w:p w14:paraId="24804DD2" w14:textId="77777777"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Development provides a high level of amenity and is reflective of the surrounding character of the area.</w:t>
      </w:r>
    </w:p>
    <w:p w14:paraId="6936443C" w14:textId="77777777"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Development encourages public transport accessibility and use, walking and cycling.</w:t>
      </w:r>
    </w:p>
    <w:p w14:paraId="61E48E8E" w14:textId="77777777"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Development has access to development infrastructure and essential services.</w:t>
      </w:r>
    </w:p>
    <w:p w14:paraId="183DD8D9" w14:textId="77777777"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Development responds to land constraints, including but not limited to topography, bushfire and flooding.</w:t>
      </w:r>
    </w:p>
    <w:p w14:paraId="17B4A898" w14:textId="77777777" w:rsidR="00BE36FB" w:rsidRPr="009B7B35" w:rsidRDefault="00BE36FB" w:rsidP="00BE36FB">
      <w:pPr>
        <w:numPr>
          <w:ilvl w:val="1"/>
          <w:numId w:val="248"/>
        </w:numPr>
        <w:rPr>
          <w:rFonts w:ascii="Arial" w:hAnsi="Arial" w:cs="Arial"/>
          <w:sz w:val="20"/>
          <w:szCs w:val="20"/>
        </w:rPr>
      </w:pPr>
      <w:r w:rsidRPr="009B7B35">
        <w:rPr>
          <w:rFonts w:ascii="Arial" w:hAnsi="Arial" w:cs="Arial"/>
          <w:sz w:val="20"/>
          <w:szCs w:val="20"/>
        </w:rPr>
        <w:t>Natural features such as creeks, gullies, waterways, wetlands, habitats, vegetation and bushland are retained, enhanced and buffered from the impacts of adjacent uses and any unavoidable impacts are minimised through location, design, operation and management requirements.</w:t>
      </w:r>
    </w:p>
    <w:p w14:paraId="08B485B2"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1079B32B" w14:textId="77777777" w:rsidR="00BE36FB" w:rsidRPr="009B7B35" w:rsidRDefault="00BE36FB" w:rsidP="00B5414A">
      <w:pPr>
        <w:pStyle w:val="Heading5"/>
        <w:numPr>
          <w:ilvl w:val="0"/>
          <w:numId w:val="0"/>
        </w:numPr>
        <w:rPr>
          <w:rFonts w:cs="Arial"/>
          <w:szCs w:val="20"/>
        </w:rPr>
      </w:pPr>
      <w:r w:rsidRPr="009B7B35">
        <w:rPr>
          <w:rFonts w:cs="Arial"/>
          <w:szCs w:val="20"/>
        </w:rPr>
        <w:t>Table 6.2.7.3.1—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14:paraId="44AA46C7"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27DB2043"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1C716131"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295C71CF" w14:textId="77777777" w:rsidTr="001A7107">
        <w:trPr>
          <w:cantSplit/>
        </w:trPr>
        <w:tc>
          <w:tcPr>
            <w:tcW w:w="9356" w:type="dxa"/>
            <w:gridSpan w:val="2"/>
            <w:shd w:val="clear" w:color="auto" w:fill="BFBFBF" w:themeFill="background1" w:themeFillShade="BF"/>
          </w:tcPr>
          <w:p w14:paraId="536A200D"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38BF8F16" w14:textId="77777777" w:rsidTr="001A7107">
        <w:trPr>
          <w:cantSplit/>
        </w:trPr>
        <w:tc>
          <w:tcPr>
            <w:tcW w:w="4678" w:type="dxa"/>
            <w:vMerge w:val="restart"/>
          </w:tcPr>
          <w:p w14:paraId="5A86D8EE" w14:textId="77777777" w:rsidR="00BE36FB" w:rsidRPr="009B7B35" w:rsidRDefault="00BE36FB" w:rsidP="001A7107">
            <w:pPr>
              <w:pStyle w:val="TableText"/>
              <w:rPr>
                <w:rFonts w:cs="Arial"/>
                <w:b/>
              </w:rPr>
            </w:pPr>
            <w:r w:rsidRPr="009B7B35">
              <w:rPr>
                <w:rFonts w:cs="Arial"/>
                <w:b/>
              </w:rPr>
              <w:t>PO1</w:t>
            </w:r>
          </w:p>
          <w:p w14:paraId="023D0E49" w14:textId="77777777" w:rsidR="00BE36FB" w:rsidRPr="009B7B35" w:rsidRDefault="00BE36FB" w:rsidP="001A7107">
            <w:pPr>
              <w:pStyle w:val="TableText"/>
              <w:rPr>
                <w:rFonts w:cs="Arial"/>
              </w:rPr>
            </w:pPr>
            <w:r w:rsidRPr="009B7B35">
              <w:rPr>
                <w:rFonts w:cs="Arial"/>
              </w:rPr>
              <w:t>Development:</w:t>
            </w:r>
          </w:p>
          <w:p w14:paraId="7B59C89A" w14:textId="77777777" w:rsidR="00BE36FB" w:rsidRPr="009B7B35" w:rsidRDefault="00BE36FB" w:rsidP="00BE36FB">
            <w:pPr>
              <w:numPr>
                <w:ilvl w:val="0"/>
                <w:numId w:val="427"/>
              </w:numPr>
              <w:rPr>
                <w:rFonts w:cs="Arial"/>
                <w:sz w:val="20"/>
                <w:szCs w:val="20"/>
              </w:rPr>
            </w:pPr>
            <w:r w:rsidRPr="009B7B35">
              <w:rPr>
                <w:rFonts w:cs="Arial"/>
                <w:sz w:val="20"/>
                <w:szCs w:val="20"/>
              </w:rPr>
              <w:t>is ancillary to the primary use</w:t>
            </w:r>
          </w:p>
          <w:p w14:paraId="3E71C418" w14:textId="77777777" w:rsidR="00BE36FB" w:rsidRPr="009B7B35" w:rsidRDefault="00BE36FB" w:rsidP="00BE36FB">
            <w:pPr>
              <w:numPr>
                <w:ilvl w:val="0"/>
                <w:numId w:val="427"/>
              </w:numPr>
              <w:rPr>
                <w:rFonts w:cs="Arial"/>
                <w:sz w:val="20"/>
                <w:szCs w:val="20"/>
              </w:rPr>
            </w:pPr>
            <w:r w:rsidRPr="009B7B35">
              <w:rPr>
                <w:rFonts w:cs="Arial"/>
                <w:sz w:val="20"/>
                <w:szCs w:val="20"/>
              </w:rPr>
              <w:t>provides adequate private open space for the caretaker</w:t>
            </w:r>
          </w:p>
          <w:p w14:paraId="2D7C98C6" w14:textId="77777777" w:rsidR="00BE36FB" w:rsidRPr="009B7B35" w:rsidRDefault="00BE36FB" w:rsidP="001A7107">
            <w:pPr>
              <w:ind w:left="567" w:hanging="567"/>
              <w:rPr>
                <w:rFonts w:cs="Arial"/>
                <w:sz w:val="20"/>
                <w:szCs w:val="20"/>
              </w:rPr>
            </w:pPr>
            <w:r w:rsidRPr="009B7B35">
              <w:rPr>
                <w:rFonts w:cs="Arial"/>
                <w:sz w:val="20"/>
                <w:szCs w:val="20"/>
              </w:rPr>
              <w:t>(c)</w:t>
            </w:r>
            <w:r w:rsidRPr="009B7B35">
              <w:rPr>
                <w:rFonts w:cs="Arial"/>
                <w:sz w:val="20"/>
                <w:szCs w:val="20"/>
              </w:rPr>
              <w:tab/>
              <w:t>does not compromise ground level business activities being established.</w:t>
            </w:r>
          </w:p>
        </w:tc>
        <w:tc>
          <w:tcPr>
            <w:tcW w:w="4678" w:type="dxa"/>
          </w:tcPr>
          <w:p w14:paraId="1FFDA56B" w14:textId="77777777" w:rsidR="00BE36FB" w:rsidRPr="009B7B35" w:rsidRDefault="00BE36FB" w:rsidP="001A7107">
            <w:pPr>
              <w:pStyle w:val="TableText"/>
              <w:rPr>
                <w:rFonts w:cs="Arial"/>
                <w:b/>
                <w:bCs/>
              </w:rPr>
            </w:pPr>
            <w:r w:rsidRPr="009B7B35">
              <w:rPr>
                <w:rFonts w:cs="Arial"/>
                <w:b/>
                <w:bCs/>
              </w:rPr>
              <w:t>AO1.1</w:t>
            </w:r>
          </w:p>
          <w:p w14:paraId="60BFCA44" w14:textId="77777777"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14:paraId="47CBAE5C" w14:textId="77777777" w:rsidTr="001A7107">
        <w:trPr>
          <w:cantSplit/>
        </w:trPr>
        <w:tc>
          <w:tcPr>
            <w:tcW w:w="4678" w:type="dxa"/>
            <w:vMerge/>
          </w:tcPr>
          <w:p w14:paraId="27E1068D" w14:textId="77777777" w:rsidR="00BE36FB" w:rsidRPr="009B7B35" w:rsidRDefault="00BE36FB" w:rsidP="001A7107">
            <w:pPr>
              <w:rPr>
                <w:rFonts w:cs="Arial"/>
                <w:sz w:val="20"/>
                <w:szCs w:val="20"/>
              </w:rPr>
            </w:pPr>
          </w:p>
        </w:tc>
        <w:tc>
          <w:tcPr>
            <w:tcW w:w="4678" w:type="dxa"/>
          </w:tcPr>
          <w:p w14:paraId="7EC5149A" w14:textId="77777777" w:rsidR="00BE36FB" w:rsidRPr="009B7B35" w:rsidRDefault="00BE36FB" w:rsidP="001A7107">
            <w:pPr>
              <w:pStyle w:val="TableText"/>
              <w:rPr>
                <w:rFonts w:cs="Arial"/>
                <w:b/>
                <w:bCs/>
              </w:rPr>
            </w:pPr>
            <w:r w:rsidRPr="009B7B35">
              <w:rPr>
                <w:rFonts w:cs="Arial"/>
                <w:b/>
                <w:bCs/>
              </w:rPr>
              <w:t>AO1.2</w:t>
            </w:r>
          </w:p>
          <w:p w14:paraId="69B45FCA" w14:textId="77777777"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GFA.</w:t>
            </w:r>
          </w:p>
        </w:tc>
      </w:tr>
      <w:tr w:rsidR="00BE36FB" w:rsidRPr="009B7B35" w14:paraId="1943D7F5" w14:textId="77777777" w:rsidTr="001A7107">
        <w:trPr>
          <w:cantSplit/>
        </w:trPr>
        <w:tc>
          <w:tcPr>
            <w:tcW w:w="4678" w:type="dxa"/>
            <w:vMerge/>
          </w:tcPr>
          <w:p w14:paraId="6BECE16D" w14:textId="77777777" w:rsidR="00BE36FB" w:rsidRPr="009B7B35" w:rsidRDefault="00BE36FB" w:rsidP="001A7107">
            <w:pPr>
              <w:rPr>
                <w:rFonts w:cs="Arial"/>
                <w:sz w:val="20"/>
                <w:szCs w:val="20"/>
              </w:rPr>
            </w:pPr>
          </w:p>
        </w:tc>
        <w:tc>
          <w:tcPr>
            <w:tcW w:w="4678" w:type="dxa"/>
          </w:tcPr>
          <w:p w14:paraId="799102E9" w14:textId="77777777" w:rsidR="00BE36FB" w:rsidRPr="009B7B35" w:rsidRDefault="00BE36FB" w:rsidP="001A7107">
            <w:pPr>
              <w:pStyle w:val="TableText"/>
              <w:rPr>
                <w:rFonts w:cs="Arial"/>
                <w:b/>
                <w:bCs/>
              </w:rPr>
            </w:pPr>
            <w:r w:rsidRPr="009B7B35">
              <w:rPr>
                <w:rFonts w:cs="Arial"/>
                <w:b/>
                <w:bCs/>
              </w:rPr>
              <w:t>AO1.3</w:t>
            </w:r>
          </w:p>
          <w:p w14:paraId="4B29AFA3" w14:textId="77777777" w:rsidR="00BE36FB" w:rsidRPr="009B7B35" w:rsidRDefault="00BE36FB" w:rsidP="001A7107">
            <w:pPr>
              <w:pStyle w:val="TableText"/>
              <w:rPr>
                <w:rFonts w:cs="Arial"/>
              </w:rPr>
            </w:pPr>
            <w:r w:rsidRPr="009B7B35">
              <w:rPr>
                <w:rFonts w:cs="Arial"/>
              </w:rPr>
              <w:t>Caretaker’s accommodation is located above the ground floor level, or to the rear of ground level business activities.</w:t>
            </w:r>
          </w:p>
        </w:tc>
      </w:tr>
      <w:tr w:rsidR="00BE36FB" w:rsidRPr="009B7B35" w14:paraId="3F9FAF70" w14:textId="77777777" w:rsidTr="001A7107">
        <w:trPr>
          <w:cantSplit/>
        </w:trPr>
        <w:tc>
          <w:tcPr>
            <w:tcW w:w="4678" w:type="dxa"/>
            <w:vMerge/>
          </w:tcPr>
          <w:p w14:paraId="5AC0A061" w14:textId="77777777" w:rsidR="00BE36FB" w:rsidRPr="009B7B35" w:rsidRDefault="00BE36FB" w:rsidP="001A7107">
            <w:pPr>
              <w:rPr>
                <w:rFonts w:cs="Arial"/>
                <w:sz w:val="20"/>
                <w:szCs w:val="20"/>
              </w:rPr>
            </w:pPr>
          </w:p>
        </w:tc>
        <w:tc>
          <w:tcPr>
            <w:tcW w:w="4678" w:type="dxa"/>
          </w:tcPr>
          <w:p w14:paraId="2AD582EE" w14:textId="77777777" w:rsidR="00BE36FB" w:rsidRPr="009B7B35" w:rsidRDefault="00BE36FB" w:rsidP="001A7107">
            <w:pPr>
              <w:pStyle w:val="TableText"/>
              <w:rPr>
                <w:rFonts w:cs="Arial"/>
                <w:b/>
                <w:bCs/>
              </w:rPr>
            </w:pPr>
            <w:r w:rsidRPr="009B7B35">
              <w:rPr>
                <w:rFonts w:cs="Arial"/>
                <w:b/>
                <w:bCs/>
              </w:rPr>
              <w:t>AO1.4</w:t>
            </w:r>
          </w:p>
          <w:p w14:paraId="5C0CA832" w14:textId="77777777" w:rsidR="00BE36FB" w:rsidRPr="009B7B35" w:rsidRDefault="00BE36FB" w:rsidP="001A7107">
            <w:pPr>
              <w:pStyle w:val="TableText"/>
              <w:rPr>
                <w:rFonts w:cs="Arial"/>
              </w:rPr>
            </w:pPr>
            <w:r w:rsidRPr="009B7B35">
              <w:rPr>
                <w:rFonts w:cs="Arial"/>
              </w:rPr>
              <w:t>Caretaker’s accommodation is provided with a private open space area which:</w:t>
            </w:r>
          </w:p>
          <w:p w14:paraId="6C9D67CB" w14:textId="77777777" w:rsidR="00BE36FB" w:rsidRPr="009B7B35" w:rsidRDefault="00BE36FB" w:rsidP="00BE36FB">
            <w:pPr>
              <w:pStyle w:val="TableText"/>
              <w:numPr>
                <w:ilvl w:val="0"/>
                <w:numId w:val="490"/>
              </w:numPr>
              <w:rPr>
                <w:rFonts w:cs="Arial"/>
              </w:rPr>
            </w:pPr>
            <w:r w:rsidRPr="009B7B35">
              <w:rPr>
                <w:rFonts w:cs="Arial"/>
              </w:rPr>
              <w:t>is directly accessible from a habitable room, and</w:t>
            </w:r>
          </w:p>
          <w:p w14:paraId="6DA3CA95" w14:textId="77777777" w:rsidR="00BE36FB" w:rsidRPr="009B7B35" w:rsidRDefault="00BE36FB" w:rsidP="00BE36FB">
            <w:pPr>
              <w:pStyle w:val="TableText"/>
              <w:numPr>
                <w:ilvl w:val="0"/>
                <w:numId w:val="490"/>
              </w:numPr>
              <w:rPr>
                <w:rFonts w:cs="Arial"/>
              </w:rPr>
            </w:pPr>
            <w:r w:rsidRPr="009B7B35">
              <w:rPr>
                <w:rFonts w:cs="Arial"/>
              </w:rPr>
              <w:t xml:space="preserve">where a balcony, a verandah or a deck, has a minimum area of 15m² with a minimum horizontal dimension of 1.25m. </w:t>
            </w:r>
          </w:p>
        </w:tc>
      </w:tr>
      <w:tr w:rsidR="00BE36FB" w:rsidRPr="009B7B35" w14:paraId="44F7488B" w14:textId="77777777" w:rsidTr="001A7107">
        <w:trPr>
          <w:cantSplit/>
        </w:trPr>
        <w:tc>
          <w:tcPr>
            <w:tcW w:w="9356" w:type="dxa"/>
            <w:gridSpan w:val="2"/>
            <w:shd w:val="clear" w:color="auto" w:fill="BFBFBF" w:themeFill="background1" w:themeFillShade="BF"/>
          </w:tcPr>
          <w:p w14:paraId="6C1A3885" w14:textId="77777777" w:rsidR="00BE36FB" w:rsidRPr="009B7B35" w:rsidRDefault="00BE36FB" w:rsidP="001A7107">
            <w:pPr>
              <w:pStyle w:val="TableText"/>
              <w:rPr>
                <w:rFonts w:cs="Arial"/>
                <w:b/>
                <w:bCs/>
              </w:rPr>
            </w:pPr>
            <w:r w:rsidRPr="009B7B35">
              <w:rPr>
                <w:rFonts w:cs="Arial"/>
                <w:b/>
                <w:bCs/>
              </w:rPr>
              <w:t>Use – Dwelling unit</w:t>
            </w:r>
          </w:p>
        </w:tc>
      </w:tr>
      <w:tr w:rsidR="00BE36FB" w:rsidRPr="009B7B35" w14:paraId="3182A759" w14:textId="77777777" w:rsidTr="001A7107">
        <w:trPr>
          <w:cantSplit/>
        </w:trPr>
        <w:tc>
          <w:tcPr>
            <w:tcW w:w="4678" w:type="dxa"/>
          </w:tcPr>
          <w:p w14:paraId="5DA6CAA5" w14:textId="77777777" w:rsidR="00BE36FB" w:rsidRPr="009B7B35" w:rsidRDefault="00BE36FB" w:rsidP="001A7107">
            <w:pPr>
              <w:pStyle w:val="TableText"/>
              <w:rPr>
                <w:rFonts w:cs="Arial"/>
                <w:b/>
                <w:bCs/>
              </w:rPr>
            </w:pPr>
            <w:r w:rsidRPr="009B7B35">
              <w:rPr>
                <w:rFonts w:cs="Arial"/>
                <w:b/>
                <w:bCs/>
              </w:rPr>
              <w:t>PO2</w:t>
            </w:r>
          </w:p>
          <w:p w14:paraId="62B90716" w14:textId="77777777" w:rsidR="00BE36FB" w:rsidRPr="009B7B35" w:rsidRDefault="00BE36FB" w:rsidP="001A7107">
            <w:pPr>
              <w:pStyle w:val="TableText"/>
              <w:rPr>
                <w:rFonts w:cs="Arial"/>
              </w:rPr>
            </w:pPr>
            <w:r w:rsidRPr="009B7B35">
              <w:rPr>
                <w:rFonts w:cs="Arial"/>
              </w:rPr>
              <w:t>Development does not compromise ground level business activities being established.</w:t>
            </w:r>
          </w:p>
        </w:tc>
        <w:tc>
          <w:tcPr>
            <w:tcW w:w="4678" w:type="dxa"/>
          </w:tcPr>
          <w:p w14:paraId="6F51CD74" w14:textId="77777777" w:rsidR="00BE36FB" w:rsidRPr="009B7B35" w:rsidRDefault="00BE36FB" w:rsidP="001A7107">
            <w:pPr>
              <w:pStyle w:val="TableText"/>
              <w:rPr>
                <w:rFonts w:cs="Arial"/>
                <w:b/>
                <w:bCs/>
              </w:rPr>
            </w:pPr>
            <w:r w:rsidRPr="009B7B35">
              <w:rPr>
                <w:rFonts w:cs="Arial"/>
                <w:b/>
                <w:bCs/>
              </w:rPr>
              <w:t>AO2</w:t>
            </w:r>
          </w:p>
          <w:p w14:paraId="3043BBA6" w14:textId="77777777" w:rsidR="00BE36FB" w:rsidRPr="009B7B35" w:rsidRDefault="00BE36FB" w:rsidP="001A7107">
            <w:pPr>
              <w:pStyle w:val="TableText"/>
              <w:rPr>
                <w:rFonts w:cs="Arial"/>
              </w:rPr>
            </w:pPr>
            <w:r w:rsidRPr="009B7B35">
              <w:rPr>
                <w:rFonts w:cs="Arial"/>
              </w:rPr>
              <w:t>Dwelling units are located either above the ground floor level, or to the rear of ground level business activities.</w:t>
            </w:r>
          </w:p>
        </w:tc>
      </w:tr>
      <w:tr w:rsidR="00BE36FB" w:rsidRPr="009B7B35" w14:paraId="285FDC65" w14:textId="77777777" w:rsidTr="001A7107">
        <w:trPr>
          <w:cantSplit/>
        </w:trPr>
        <w:tc>
          <w:tcPr>
            <w:tcW w:w="4678" w:type="dxa"/>
          </w:tcPr>
          <w:p w14:paraId="7C5AC537" w14:textId="77777777" w:rsidR="00BE36FB" w:rsidRPr="009B7B35" w:rsidRDefault="00BE36FB" w:rsidP="001A7107">
            <w:pPr>
              <w:pStyle w:val="TableText"/>
              <w:rPr>
                <w:rFonts w:cs="Arial"/>
                <w:b/>
                <w:bCs/>
              </w:rPr>
            </w:pPr>
            <w:r w:rsidRPr="009B7B35">
              <w:rPr>
                <w:rFonts w:cs="Arial"/>
                <w:b/>
                <w:bCs/>
              </w:rPr>
              <w:t>PO3</w:t>
            </w:r>
          </w:p>
          <w:p w14:paraId="414CBE8D" w14:textId="77777777" w:rsidR="00BE36FB" w:rsidRPr="009B7B35" w:rsidRDefault="00BE36FB" w:rsidP="001A7107">
            <w:pPr>
              <w:pStyle w:val="TableText"/>
              <w:rPr>
                <w:rFonts w:cs="Arial"/>
              </w:rPr>
            </w:pPr>
            <w:r w:rsidRPr="009B7B35">
              <w:rPr>
                <w:rFonts w:cs="Arial"/>
              </w:rPr>
              <w:t>Development must provide sufficient and accessible open space for residents needs.</w:t>
            </w:r>
          </w:p>
        </w:tc>
        <w:tc>
          <w:tcPr>
            <w:tcW w:w="4678" w:type="dxa"/>
          </w:tcPr>
          <w:p w14:paraId="3836EC88" w14:textId="77777777" w:rsidR="00BE36FB" w:rsidRPr="009B7B35" w:rsidRDefault="00BE36FB" w:rsidP="001A7107">
            <w:pPr>
              <w:pStyle w:val="TableText"/>
              <w:rPr>
                <w:rFonts w:cs="Arial"/>
                <w:b/>
                <w:bCs/>
              </w:rPr>
            </w:pPr>
            <w:r w:rsidRPr="009B7B35">
              <w:rPr>
                <w:rFonts w:cs="Arial"/>
                <w:b/>
                <w:bCs/>
              </w:rPr>
              <w:t>AO3</w:t>
            </w:r>
          </w:p>
          <w:p w14:paraId="2E1CF7EC" w14:textId="77777777" w:rsidR="00BE36FB" w:rsidRPr="009B7B35" w:rsidRDefault="00BE36FB" w:rsidP="001A7107">
            <w:pPr>
              <w:pStyle w:val="TableText"/>
              <w:rPr>
                <w:rFonts w:cs="Arial"/>
              </w:rPr>
            </w:pPr>
            <w:r w:rsidRPr="009B7B35">
              <w:rPr>
                <w:rFonts w:cs="Arial"/>
              </w:rPr>
              <w:t>Development provides a minimum of 16m</w:t>
            </w:r>
            <w:r w:rsidRPr="009B7B35">
              <w:rPr>
                <w:rFonts w:cs="Arial"/>
                <w:vertAlign w:val="superscript"/>
              </w:rPr>
              <w:t>2</w:t>
            </w:r>
            <w:r w:rsidRPr="009B7B35">
              <w:rPr>
                <w:rFonts w:cs="Arial"/>
              </w:rPr>
              <w:t xml:space="preserve"> private open space for each dwelling with a minimum dimension of 3m in any direction.</w:t>
            </w:r>
          </w:p>
        </w:tc>
      </w:tr>
      <w:tr w:rsidR="00BE36FB" w:rsidRPr="009B7B35" w14:paraId="388319A8" w14:textId="77777777" w:rsidTr="001A7107">
        <w:trPr>
          <w:cantSplit/>
        </w:trPr>
        <w:tc>
          <w:tcPr>
            <w:tcW w:w="9356" w:type="dxa"/>
            <w:gridSpan w:val="2"/>
            <w:shd w:val="clear" w:color="auto" w:fill="BFBFBF" w:themeFill="background1" w:themeFillShade="BF"/>
          </w:tcPr>
          <w:p w14:paraId="0096E95C" w14:textId="77777777" w:rsidR="00BE36FB" w:rsidRPr="009B7B35" w:rsidRDefault="00BE36FB" w:rsidP="001A7107">
            <w:pPr>
              <w:pStyle w:val="Tableheading"/>
              <w:rPr>
                <w:rFonts w:ascii="Arial" w:hAnsi="Arial" w:cs="Arial"/>
                <w:szCs w:val="20"/>
              </w:rPr>
            </w:pPr>
            <w:r w:rsidRPr="009B7B35">
              <w:rPr>
                <w:rFonts w:ascii="Arial" w:hAnsi="Arial" w:cs="Arial"/>
                <w:szCs w:val="20"/>
              </w:rPr>
              <w:t>Uses – Food and drink outlet and Club</w:t>
            </w:r>
          </w:p>
        </w:tc>
      </w:tr>
      <w:tr w:rsidR="00BE36FB" w:rsidRPr="009B7B35" w14:paraId="48A94E1F" w14:textId="77777777" w:rsidTr="001A7107">
        <w:trPr>
          <w:cantSplit/>
        </w:trPr>
        <w:tc>
          <w:tcPr>
            <w:tcW w:w="4678" w:type="dxa"/>
          </w:tcPr>
          <w:p w14:paraId="187C1475" w14:textId="77777777" w:rsidR="00BE36FB" w:rsidRPr="009B7B35" w:rsidRDefault="00BE36FB" w:rsidP="001A7107">
            <w:pPr>
              <w:pStyle w:val="TableText"/>
              <w:rPr>
                <w:rFonts w:cs="Arial"/>
                <w:b/>
                <w:bCs/>
              </w:rPr>
            </w:pPr>
            <w:r w:rsidRPr="009B7B35">
              <w:rPr>
                <w:rFonts w:cs="Arial"/>
                <w:b/>
                <w:bCs/>
              </w:rPr>
              <w:t>PO4</w:t>
            </w:r>
          </w:p>
          <w:p w14:paraId="6B2983F3" w14:textId="77777777" w:rsidR="00BE36FB" w:rsidRPr="009B7B35" w:rsidRDefault="00BE36FB">
            <w:pPr>
              <w:pStyle w:val="TableText"/>
              <w:rPr>
                <w:rFonts w:cs="Arial"/>
              </w:rPr>
            </w:pPr>
            <w:r w:rsidRPr="009B7B35">
              <w:rPr>
                <w:rFonts w:cs="Arial"/>
              </w:rPr>
              <w:t>Hours of operation are limited to minimise nuisance to any surrounding residential uses.</w:t>
            </w:r>
          </w:p>
        </w:tc>
        <w:tc>
          <w:tcPr>
            <w:tcW w:w="4678" w:type="dxa"/>
          </w:tcPr>
          <w:p w14:paraId="32B7EB01" w14:textId="77777777" w:rsidR="00BE36FB" w:rsidRPr="009B7B35" w:rsidRDefault="00BE36FB" w:rsidP="001A7107">
            <w:pPr>
              <w:pStyle w:val="TableText"/>
              <w:rPr>
                <w:rFonts w:cs="Arial"/>
                <w:b/>
                <w:bCs/>
              </w:rPr>
            </w:pPr>
            <w:r w:rsidRPr="009B7B35">
              <w:rPr>
                <w:rFonts w:cs="Arial"/>
                <w:b/>
                <w:bCs/>
              </w:rPr>
              <w:t>AO4</w:t>
            </w:r>
          </w:p>
          <w:p w14:paraId="54BF443A" w14:textId="77777777" w:rsidR="00BE36FB" w:rsidRPr="009B7B35" w:rsidRDefault="00BE36FB" w:rsidP="001A7107">
            <w:pPr>
              <w:pStyle w:val="TableText"/>
              <w:rPr>
                <w:rFonts w:cs="Arial"/>
              </w:rPr>
            </w:pPr>
            <w:r w:rsidRPr="009B7B35">
              <w:rPr>
                <w:rFonts w:cs="Arial"/>
              </w:rPr>
              <w:t>Hours of operation are limited to between 7am and 10pm.</w:t>
            </w:r>
          </w:p>
        </w:tc>
      </w:tr>
      <w:tr w:rsidR="00BE36FB" w:rsidRPr="009B7B35" w14:paraId="44D5EE9F" w14:textId="77777777" w:rsidTr="001A7107">
        <w:trPr>
          <w:cantSplit/>
        </w:trPr>
        <w:tc>
          <w:tcPr>
            <w:tcW w:w="9356" w:type="dxa"/>
            <w:gridSpan w:val="2"/>
            <w:tcBorders>
              <w:bottom w:val="single" w:sz="4" w:space="0" w:color="7F7F7F" w:themeColor="text1" w:themeTint="80"/>
            </w:tcBorders>
            <w:shd w:val="clear" w:color="auto" w:fill="BFBFBF" w:themeFill="background1" w:themeFillShade="BF"/>
          </w:tcPr>
          <w:p w14:paraId="2226C811" w14:textId="77777777"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14:paraId="552D3CC7" w14:textId="77777777" w:rsidTr="001A7107">
        <w:trPr>
          <w:cantSplit/>
        </w:trPr>
        <w:tc>
          <w:tcPr>
            <w:tcW w:w="4678" w:type="dxa"/>
            <w:vMerge w:val="restart"/>
          </w:tcPr>
          <w:p w14:paraId="5E301750" w14:textId="77777777" w:rsidR="00BE36FB" w:rsidRPr="009B7B35" w:rsidRDefault="00BE36FB" w:rsidP="001A7107">
            <w:pPr>
              <w:pStyle w:val="TableText"/>
              <w:rPr>
                <w:rFonts w:cs="Arial"/>
                <w:b/>
                <w:bCs/>
              </w:rPr>
            </w:pPr>
            <w:r w:rsidRPr="009B7B35">
              <w:rPr>
                <w:rFonts w:cs="Arial"/>
                <w:b/>
                <w:bCs/>
              </w:rPr>
              <w:t>PO5</w:t>
            </w:r>
          </w:p>
          <w:p w14:paraId="75FB31D3" w14:textId="77777777"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14:paraId="40B35CB8" w14:textId="77777777" w:rsidR="00BE36FB" w:rsidRPr="009B7B35" w:rsidRDefault="00BE36FB" w:rsidP="001A7107">
            <w:pPr>
              <w:pStyle w:val="TableText"/>
              <w:rPr>
                <w:rFonts w:cs="Arial"/>
                <w:b/>
                <w:bCs/>
              </w:rPr>
            </w:pPr>
            <w:r w:rsidRPr="009B7B35">
              <w:rPr>
                <w:rFonts w:cs="Arial"/>
                <w:b/>
                <w:bCs/>
              </w:rPr>
              <w:t>AO5.1</w:t>
            </w:r>
          </w:p>
          <w:p w14:paraId="3BF8DC6E" w14:textId="77777777" w:rsidR="00BE36FB" w:rsidRPr="009B7B35" w:rsidRDefault="00BE36FB" w:rsidP="001A7107">
            <w:pPr>
              <w:pStyle w:val="TableText"/>
              <w:rPr>
                <w:rFonts w:cs="Arial"/>
              </w:rPr>
            </w:pPr>
            <w:r w:rsidRPr="009B7B35">
              <w:rPr>
                <w:rFonts w:cs="Arial"/>
              </w:rPr>
              <w:t>Development of the sales office is in place for no more than 2 years.</w:t>
            </w:r>
          </w:p>
        </w:tc>
      </w:tr>
      <w:tr w:rsidR="00BE36FB" w:rsidRPr="009B7B35" w14:paraId="7BC82456" w14:textId="77777777" w:rsidTr="001A7107">
        <w:trPr>
          <w:cantSplit/>
        </w:trPr>
        <w:tc>
          <w:tcPr>
            <w:tcW w:w="4678" w:type="dxa"/>
            <w:vMerge/>
          </w:tcPr>
          <w:p w14:paraId="43818FCF" w14:textId="77777777" w:rsidR="00BE36FB" w:rsidRPr="009B7B35" w:rsidRDefault="00BE36FB" w:rsidP="001A7107">
            <w:pPr>
              <w:rPr>
                <w:rFonts w:cs="Arial"/>
                <w:sz w:val="20"/>
                <w:szCs w:val="20"/>
              </w:rPr>
            </w:pPr>
          </w:p>
        </w:tc>
        <w:tc>
          <w:tcPr>
            <w:tcW w:w="4678" w:type="dxa"/>
          </w:tcPr>
          <w:p w14:paraId="5C76D928" w14:textId="77777777" w:rsidR="00BE36FB" w:rsidRPr="009B7B35" w:rsidRDefault="00BE36FB" w:rsidP="001A7107">
            <w:pPr>
              <w:pStyle w:val="TableText"/>
              <w:rPr>
                <w:rFonts w:cs="Arial"/>
                <w:b/>
                <w:bCs/>
              </w:rPr>
            </w:pPr>
            <w:r w:rsidRPr="009B7B35">
              <w:rPr>
                <w:rFonts w:cs="Arial"/>
                <w:b/>
                <w:bCs/>
              </w:rPr>
              <w:t>AO5.2</w:t>
            </w:r>
          </w:p>
          <w:p w14:paraId="5675AF05" w14:textId="77777777"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14:paraId="17C7BAFF" w14:textId="77777777" w:rsidTr="001A7107">
        <w:trPr>
          <w:cantSplit/>
        </w:trPr>
        <w:tc>
          <w:tcPr>
            <w:tcW w:w="9356" w:type="dxa"/>
            <w:gridSpan w:val="2"/>
            <w:tcBorders>
              <w:bottom w:val="single" w:sz="4" w:space="0" w:color="7F7F7F" w:themeColor="text1" w:themeTint="80"/>
            </w:tcBorders>
            <w:shd w:val="clear" w:color="auto" w:fill="BFBFBF" w:themeFill="background1" w:themeFillShade="BF"/>
          </w:tcPr>
          <w:p w14:paraId="4826E90F" w14:textId="77777777" w:rsidR="00BE36FB" w:rsidRPr="009B7B35" w:rsidRDefault="00BE36FB" w:rsidP="001A7107">
            <w:pPr>
              <w:pStyle w:val="Tableheading"/>
              <w:rPr>
                <w:rFonts w:ascii="Arial" w:hAnsi="Arial" w:cs="Arial"/>
                <w:szCs w:val="20"/>
              </w:rPr>
            </w:pPr>
            <w:r w:rsidRPr="009B7B35">
              <w:rPr>
                <w:rFonts w:ascii="Arial" w:hAnsi="Arial" w:cs="Arial"/>
                <w:szCs w:val="20"/>
              </w:rPr>
              <w:t>Scale</w:t>
            </w:r>
          </w:p>
        </w:tc>
      </w:tr>
      <w:tr w:rsidR="00BE36FB" w:rsidRPr="009B7B35" w14:paraId="188909E5" w14:textId="77777777" w:rsidTr="001A7107">
        <w:tc>
          <w:tcPr>
            <w:tcW w:w="4678" w:type="dxa"/>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45D743E" w14:textId="77777777" w:rsidR="00BE36FB" w:rsidRPr="009B7B35" w:rsidRDefault="00BE36FB" w:rsidP="001A7107">
            <w:pPr>
              <w:pStyle w:val="TableText"/>
              <w:rPr>
                <w:rFonts w:cs="Arial"/>
                <w:b/>
                <w:bCs/>
              </w:rPr>
            </w:pPr>
            <w:r w:rsidRPr="009B7B35">
              <w:rPr>
                <w:rFonts w:cs="Arial"/>
                <w:b/>
                <w:bCs/>
              </w:rPr>
              <w:t>PO</w:t>
            </w:r>
            <w:r w:rsidRPr="009B7B35">
              <w:rPr>
                <w:rFonts w:cs="Arial"/>
                <w:b/>
              </w:rPr>
              <w:t>6</w:t>
            </w:r>
          </w:p>
          <w:p w14:paraId="704163C9" w14:textId="77777777" w:rsidR="00BE36FB" w:rsidRPr="009B7B35" w:rsidRDefault="00BE36FB" w:rsidP="001A7107">
            <w:pPr>
              <w:pStyle w:val="TableText"/>
              <w:rPr>
                <w:rFonts w:cs="Arial"/>
              </w:rPr>
            </w:pPr>
            <w:r w:rsidRPr="009B7B35">
              <w:rPr>
                <w:rFonts w:cs="Arial"/>
              </w:rPr>
              <w:t xml:space="preserve">Retail, commercial and community based development: </w:t>
            </w:r>
          </w:p>
          <w:p w14:paraId="179DFA20" w14:textId="77777777" w:rsidR="00BE36FB" w:rsidRPr="009B7B35" w:rsidRDefault="00BE36FB" w:rsidP="00BE36FB">
            <w:pPr>
              <w:pStyle w:val="TableText"/>
              <w:numPr>
                <w:ilvl w:val="0"/>
                <w:numId w:val="488"/>
              </w:numPr>
              <w:ind w:left="652" w:hanging="652"/>
              <w:rPr>
                <w:rFonts w:cs="Arial"/>
              </w:rPr>
            </w:pPr>
            <w:r w:rsidRPr="009B7B35">
              <w:rPr>
                <w:rFonts w:cs="Arial"/>
              </w:rPr>
              <w:t>occurs at a scale which provides for the day to day convenience needs of residents in the surrounding neighbourhood</w:t>
            </w:r>
          </w:p>
          <w:p w14:paraId="22916AE1" w14:textId="77777777" w:rsidR="00BE36FB" w:rsidRPr="009B7B35" w:rsidRDefault="00BE36FB" w:rsidP="00BE36FB">
            <w:pPr>
              <w:pStyle w:val="TableText"/>
              <w:numPr>
                <w:ilvl w:val="0"/>
                <w:numId w:val="488"/>
              </w:numPr>
              <w:ind w:left="652" w:hanging="652"/>
              <w:rPr>
                <w:rFonts w:cs="Arial"/>
              </w:rPr>
            </w:pPr>
            <w:r w:rsidRPr="009B7B35">
              <w:rPr>
                <w:rFonts w:cs="Arial"/>
              </w:rPr>
              <w:t>does not impact on the viability of the region’s other centres</w:t>
            </w:r>
          </w:p>
          <w:p w14:paraId="3FBDF7A1" w14:textId="77777777" w:rsidR="00BE36FB" w:rsidRPr="009B7B35" w:rsidRDefault="00BE36FB" w:rsidP="00BE36FB">
            <w:pPr>
              <w:pStyle w:val="TableText"/>
              <w:numPr>
                <w:ilvl w:val="0"/>
                <w:numId w:val="488"/>
              </w:numPr>
              <w:ind w:left="652" w:hanging="652"/>
              <w:rPr>
                <w:rFonts w:cs="Arial"/>
              </w:rPr>
            </w:pPr>
            <w:r w:rsidRPr="009B7B35">
              <w:rPr>
                <w:rFonts w:cs="Arial"/>
              </w:rPr>
              <w:t xml:space="preserve">does not include large format, land consumptive commercial uses. </w:t>
            </w:r>
          </w:p>
        </w:tc>
        <w:tc>
          <w:tcPr>
            <w:tcW w:w="467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75D1B6AC" w14:textId="77777777" w:rsidR="00BE36FB" w:rsidRPr="009B7B35" w:rsidRDefault="00BE36FB" w:rsidP="001A7107">
            <w:pPr>
              <w:pStyle w:val="TableText"/>
              <w:rPr>
                <w:rFonts w:cs="Arial"/>
                <w:b/>
                <w:bCs/>
              </w:rPr>
            </w:pPr>
            <w:r w:rsidRPr="009B7B35">
              <w:rPr>
                <w:rFonts w:cs="Arial"/>
                <w:b/>
                <w:bCs/>
              </w:rPr>
              <w:t>AO</w:t>
            </w:r>
            <w:r w:rsidRPr="009B7B35">
              <w:rPr>
                <w:rFonts w:cs="Arial"/>
                <w:b/>
              </w:rPr>
              <w:t>6</w:t>
            </w:r>
            <w:r w:rsidRPr="009B7B35">
              <w:rPr>
                <w:rFonts w:cs="Arial"/>
                <w:b/>
                <w:bCs/>
              </w:rPr>
              <w:t>.1</w:t>
            </w:r>
          </w:p>
          <w:p w14:paraId="0959E6DD" w14:textId="77777777" w:rsidR="00BE36FB" w:rsidRPr="009B7B35" w:rsidRDefault="00BE36FB">
            <w:pPr>
              <w:pStyle w:val="TableText"/>
              <w:rPr>
                <w:rFonts w:cs="Arial"/>
              </w:rPr>
            </w:pPr>
            <w:r w:rsidRPr="009B7B35">
              <w:rPr>
                <w:rFonts w:cs="Arial"/>
              </w:rPr>
              <w:t>The combined area of the neighbourhood centre including all existing and proposed shops, offices, service industries, health care services and food and drink outlets does not exceed a total GFA of 1,500m</w:t>
            </w:r>
            <w:r w:rsidRPr="009B7B35">
              <w:rPr>
                <w:rFonts w:cs="Arial"/>
                <w:vertAlign w:val="superscript"/>
              </w:rPr>
              <w:t>2</w:t>
            </w:r>
            <w:r w:rsidRPr="009B7B35">
              <w:rPr>
                <w:rFonts w:cs="Arial"/>
              </w:rPr>
              <w:t>.</w:t>
            </w:r>
          </w:p>
          <w:p w14:paraId="58FA61DC" w14:textId="77777777" w:rsidR="00BE36FB" w:rsidRPr="009B7B35" w:rsidRDefault="00BE36FB" w:rsidP="001A7107">
            <w:pPr>
              <w:pStyle w:val="Notes"/>
              <w:rPr>
                <w:rFonts w:cs="Arial"/>
                <w:sz w:val="20"/>
                <w:szCs w:val="20"/>
              </w:rPr>
            </w:pPr>
            <w:r w:rsidRPr="009B7B35">
              <w:rPr>
                <w:rFonts w:cs="Arial"/>
                <w:sz w:val="20"/>
                <w:szCs w:val="20"/>
              </w:rPr>
              <w:t>Note—This acceptable outcome does not apply if only involving the reuse of an existing building.</w:t>
            </w:r>
          </w:p>
        </w:tc>
      </w:tr>
      <w:tr w:rsidR="00BE36FB" w:rsidRPr="009B7B35" w14:paraId="0D169E5C" w14:textId="77777777" w:rsidTr="001A7107">
        <w:tc>
          <w:tcPr>
            <w:tcW w:w="4678" w:type="dxa"/>
            <w:vMerge/>
            <w:tcBorders>
              <w:top w:val="single" w:sz="4" w:space="0" w:color="7F7F7F" w:themeColor="text1" w:themeTint="80"/>
            </w:tcBorders>
          </w:tcPr>
          <w:p w14:paraId="5C4D48EB" w14:textId="77777777" w:rsidR="00BE36FB" w:rsidRPr="009B7B35" w:rsidRDefault="00BE36FB" w:rsidP="001A7107">
            <w:pPr>
              <w:rPr>
                <w:rFonts w:cs="Arial"/>
                <w:sz w:val="20"/>
                <w:szCs w:val="20"/>
              </w:rPr>
            </w:pPr>
          </w:p>
        </w:tc>
        <w:tc>
          <w:tcPr>
            <w:tcW w:w="4678" w:type="dxa"/>
            <w:tcBorders>
              <w:top w:val="single" w:sz="4" w:space="0" w:color="7F7F7F" w:themeColor="text1" w:themeTint="80"/>
            </w:tcBorders>
          </w:tcPr>
          <w:p w14:paraId="1BF33817" w14:textId="77777777" w:rsidR="00BE36FB" w:rsidRPr="009B7B35" w:rsidRDefault="00BE36FB" w:rsidP="001A7107">
            <w:pPr>
              <w:pStyle w:val="TableText"/>
              <w:rPr>
                <w:rFonts w:cs="Arial"/>
                <w:b/>
                <w:bCs/>
              </w:rPr>
            </w:pPr>
            <w:r w:rsidRPr="009B7B35">
              <w:rPr>
                <w:rFonts w:cs="Arial"/>
                <w:b/>
                <w:bCs/>
              </w:rPr>
              <w:t>AO</w:t>
            </w:r>
            <w:r w:rsidRPr="009B7B35">
              <w:rPr>
                <w:rFonts w:cs="Arial"/>
                <w:b/>
              </w:rPr>
              <w:t>6</w:t>
            </w:r>
            <w:r w:rsidRPr="009B7B35">
              <w:rPr>
                <w:rFonts w:cs="Arial"/>
                <w:b/>
                <w:bCs/>
              </w:rPr>
              <w:t>.2</w:t>
            </w:r>
          </w:p>
          <w:p w14:paraId="5CBB803A" w14:textId="77777777" w:rsidR="00BE36FB" w:rsidRPr="009B7B35" w:rsidRDefault="00BE36FB" w:rsidP="001A7107">
            <w:pPr>
              <w:pStyle w:val="TableText"/>
              <w:rPr>
                <w:rFonts w:cs="Arial"/>
              </w:rPr>
            </w:pPr>
            <w:r w:rsidRPr="009B7B35">
              <w:rPr>
                <w:rFonts w:cs="Arial"/>
              </w:rPr>
              <w:t>GFA of the following uses does not exceed:</w:t>
            </w:r>
          </w:p>
          <w:p w14:paraId="203321EA" w14:textId="77777777" w:rsidR="00BE36FB" w:rsidRPr="009B7B35" w:rsidRDefault="00BE36FB" w:rsidP="00BE36FB">
            <w:pPr>
              <w:pStyle w:val="TableText"/>
              <w:numPr>
                <w:ilvl w:val="0"/>
                <w:numId w:val="489"/>
              </w:numPr>
              <w:rPr>
                <w:rFonts w:cs="Arial"/>
              </w:rPr>
            </w:pPr>
            <w:r w:rsidRPr="009B7B35">
              <w:rPr>
                <w:rFonts w:cs="Arial"/>
              </w:rPr>
              <w:t>1,000m</w:t>
            </w:r>
            <w:r w:rsidRPr="009B7B35">
              <w:rPr>
                <w:rFonts w:cs="Arial"/>
                <w:vertAlign w:val="superscript"/>
              </w:rPr>
              <w:t>2</w:t>
            </w:r>
            <w:r w:rsidRPr="009B7B35">
              <w:rPr>
                <w:rFonts w:cs="Arial"/>
              </w:rPr>
              <w:t xml:space="preserve"> for Shop</w:t>
            </w:r>
          </w:p>
          <w:p w14:paraId="64A8D69D" w14:textId="77777777" w:rsidR="00BE36FB" w:rsidRPr="009B7B35" w:rsidRDefault="00BE36FB" w:rsidP="00BE36FB">
            <w:pPr>
              <w:pStyle w:val="TableText"/>
              <w:numPr>
                <w:ilvl w:val="0"/>
                <w:numId w:val="489"/>
              </w:numPr>
              <w:rPr>
                <w:rFonts w:cs="Arial"/>
              </w:rPr>
            </w:pPr>
            <w:r w:rsidRPr="009B7B35">
              <w:rPr>
                <w:rFonts w:cs="Arial"/>
              </w:rPr>
              <w:t>250m</w:t>
            </w:r>
            <w:r w:rsidRPr="009B7B35">
              <w:rPr>
                <w:rFonts w:cs="Arial"/>
                <w:vertAlign w:val="superscript"/>
              </w:rPr>
              <w:t>2</w:t>
            </w:r>
            <w:r w:rsidRPr="009B7B35">
              <w:rPr>
                <w:rFonts w:cs="Arial"/>
              </w:rPr>
              <w:t xml:space="preserve"> for Health care services</w:t>
            </w:r>
          </w:p>
          <w:p w14:paraId="3C3E1F40" w14:textId="77777777" w:rsidR="00BE36FB" w:rsidRPr="009B7B35" w:rsidRDefault="00BE36FB" w:rsidP="00BE36FB">
            <w:pPr>
              <w:pStyle w:val="TableText"/>
              <w:numPr>
                <w:ilvl w:val="0"/>
                <w:numId w:val="489"/>
              </w:numPr>
              <w:rPr>
                <w:rFonts w:cs="Arial"/>
              </w:rPr>
            </w:pPr>
            <w:r w:rsidRPr="009B7B35">
              <w:rPr>
                <w:rFonts w:cs="Arial"/>
              </w:rPr>
              <w:t>150m</w:t>
            </w:r>
            <w:r w:rsidRPr="009B7B35">
              <w:rPr>
                <w:rFonts w:cs="Arial"/>
                <w:vertAlign w:val="superscript"/>
              </w:rPr>
              <w:t>2</w:t>
            </w:r>
            <w:r w:rsidRPr="009B7B35">
              <w:rPr>
                <w:rFonts w:cs="Arial"/>
              </w:rPr>
              <w:t xml:space="preserve"> for:</w:t>
            </w:r>
          </w:p>
          <w:p w14:paraId="3641A867" w14:textId="77777777" w:rsidR="00BE36FB" w:rsidRPr="009B7B35" w:rsidRDefault="00BE36FB" w:rsidP="00BE36FB">
            <w:pPr>
              <w:pStyle w:val="TableText"/>
              <w:numPr>
                <w:ilvl w:val="1"/>
                <w:numId w:val="489"/>
              </w:numPr>
              <w:rPr>
                <w:rFonts w:cs="Arial"/>
              </w:rPr>
            </w:pPr>
            <w:r w:rsidRPr="009B7B35">
              <w:rPr>
                <w:rFonts w:cs="Arial"/>
              </w:rPr>
              <w:t>Adult store</w:t>
            </w:r>
          </w:p>
          <w:p w14:paraId="0FE63C35" w14:textId="77777777" w:rsidR="00BE36FB" w:rsidRPr="009B7B35" w:rsidRDefault="00BE36FB" w:rsidP="00BE36FB">
            <w:pPr>
              <w:pStyle w:val="TableText"/>
              <w:numPr>
                <w:ilvl w:val="1"/>
                <w:numId w:val="489"/>
              </w:numPr>
              <w:rPr>
                <w:rFonts w:cs="Arial"/>
              </w:rPr>
            </w:pPr>
            <w:r w:rsidRPr="009B7B35">
              <w:rPr>
                <w:rFonts w:cs="Arial"/>
              </w:rPr>
              <w:t>Car wash</w:t>
            </w:r>
          </w:p>
          <w:p w14:paraId="0EA066FE" w14:textId="77777777" w:rsidR="00BE36FB" w:rsidRPr="009B7B35" w:rsidRDefault="00BE36FB" w:rsidP="00BE36FB">
            <w:pPr>
              <w:pStyle w:val="TableText"/>
              <w:numPr>
                <w:ilvl w:val="1"/>
                <w:numId w:val="489"/>
              </w:numPr>
              <w:rPr>
                <w:rFonts w:cs="Arial"/>
              </w:rPr>
            </w:pPr>
            <w:r w:rsidRPr="009B7B35">
              <w:rPr>
                <w:rFonts w:cs="Arial"/>
              </w:rPr>
              <w:t xml:space="preserve">Club </w:t>
            </w:r>
          </w:p>
          <w:p w14:paraId="3A9BD86B" w14:textId="77777777" w:rsidR="00BE36FB" w:rsidRPr="009B7B35" w:rsidRDefault="00BE36FB" w:rsidP="00BE36FB">
            <w:pPr>
              <w:pStyle w:val="TableText"/>
              <w:numPr>
                <w:ilvl w:val="1"/>
                <w:numId w:val="489"/>
              </w:numPr>
              <w:rPr>
                <w:rFonts w:cs="Arial"/>
              </w:rPr>
            </w:pPr>
            <w:r w:rsidRPr="009B7B35">
              <w:rPr>
                <w:rFonts w:cs="Arial"/>
              </w:rPr>
              <w:t>Community care centre</w:t>
            </w:r>
          </w:p>
          <w:p w14:paraId="07CA58EA" w14:textId="77777777" w:rsidR="00BE36FB" w:rsidRPr="009B7B35" w:rsidRDefault="00BE36FB" w:rsidP="00BE36FB">
            <w:pPr>
              <w:pStyle w:val="TableText"/>
              <w:numPr>
                <w:ilvl w:val="1"/>
                <w:numId w:val="489"/>
              </w:numPr>
              <w:rPr>
                <w:rFonts w:cs="Arial"/>
              </w:rPr>
            </w:pPr>
            <w:r w:rsidRPr="009B7B35">
              <w:rPr>
                <w:rFonts w:cs="Arial"/>
              </w:rPr>
              <w:t xml:space="preserve">Community use </w:t>
            </w:r>
          </w:p>
          <w:p w14:paraId="78C1CCE4" w14:textId="77777777" w:rsidR="00BE36FB" w:rsidRPr="009B7B35" w:rsidRDefault="00BE36FB" w:rsidP="00BE36FB">
            <w:pPr>
              <w:pStyle w:val="TableText"/>
              <w:numPr>
                <w:ilvl w:val="1"/>
                <w:numId w:val="489"/>
              </w:numPr>
              <w:rPr>
                <w:rFonts w:cs="Arial"/>
              </w:rPr>
            </w:pPr>
            <w:r w:rsidRPr="009B7B35">
              <w:rPr>
                <w:rFonts w:cs="Arial"/>
              </w:rPr>
              <w:t>Educational establishment</w:t>
            </w:r>
          </w:p>
          <w:p w14:paraId="3DDE3666" w14:textId="77777777" w:rsidR="00BE36FB" w:rsidRPr="009B7B35" w:rsidRDefault="00BE36FB" w:rsidP="00BE36FB">
            <w:pPr>
              <w:pStyle w:val="TableText"/>
              <w:numPr>
                <w:ilvl w:val="1"/>
                <w:numId w:val="489"/>
              </w:numPr>
              <w:rPr>
                <w:rFonts w:cs="Arial"/>
              </w:rPr>
            </w:pPr>
            <w:r w:rsidRPr="009B7B35">
              <w:rPr>
                <w:rFonts w:cs="Arial"/>
              </w:rPr>
              <w:t>Food and drink outlet</w:t>
            </w:r>
          </w:p>
          <w:p w14:paraId="10D9AC5E" w14:textId="77777777" w:rsidR="00BE36FB" w:rsidRPr="009B7B35" w:rsidRDefault="00BE36FB" w:rsidP="00BE36FB">
            <w:pPr>
              <w:pStyle w:val="TableText"/>
              <w:numPr>
                <w:ilvl w:val="1"/>
                <w:numId w:val="489"/>
              </w:numPr>
              <w:rPr>
                <w:rFonts w:cs="Arial"/>
              </w:rPr>
            </w:pPr>
            <w:r w:rsidRPr="009B7B35">
              <w:rPr>
                <w:rFonts w:cs="Arial"/>
              </w:rPr>
              <w:t>Function facility</w:t>
            </w:r>
          </w:p>
          <w:p w14:paraId="09B6464D" w14:textId="77777777" w:rsidR="00BE36FB" w:rsidRPr="009B7B35" w:rsidRDefault="00BE36FB" w:rsidP="00BE36FB">
            <w:pPr>
              <w:pStyle w:val="TableText"/>
              <w:numPr>
                <w:ilvl w:val="1"/>
                <w:numId w:val="489"/>
              </w:numPr>
              <w:rPr>
                <w:rFonts w:cs="Arial"/>
              </w:rPr>
            </w:pPr>
            <w:r w:rsidRPr="009B7B35">
              <w:rPr>
                <w:rFonts w:cs="Arial"/>
              </w:rPr>
              <w:t>Funeral parlour</w:t>
            </w:r>
          </w:p>
          <w:p w14:paraId="30B3BBA2" w14:textId="77777777" w:rsidR="00BE36FB" w:rsidRPr="009B7B35" w:rsidRDefault="00BE36FB" w:rsidP="00BE36FB">
            <w:pPr>
              <w:pStyle w:val="TableText"/>
              <w:numPr>
                <w:ilvl w:val="1"/>
                <w:numId w:val="489"/>
              </w:numPr>
              <w:rPr>
                <w:rFonts w:cs="Arial"/>
              </w:rPr>
            </w:pPr>
            <w:r w:rsidRPr="009B7B35">
              <w:rPr>
                <w:rFonts w:cs="Arial"/>
              </w:rPr>
              <w:t>Garden centre</w:t>
            </w:r>
          </w:p>
          <w:p w14:paraId="7A321083" w14:textId="77777777" w:rsidR="00BE36FB" w:rsidRPr="009B7B35" w:rsidRDefault="00BE36FB" w:rsidP="00BE36FB">
            <w:pPr>
              <w:pStyle w:val="TableText"/>
              <w:numPr>
                <w:ilvl w:val="1"/>
                <w:numId w:val="489"/>
              </w:numPr>
              <w:rPr>
                <w:rFonts w:cs="Arial"/>
              </w:rPr>
            </w:pPr>
            <w:r w:rsidRPr="009B7B35">
              <w:rPr>
                <w:rFonts w:cs="Arial"/>
              </w:rPr>
              <w:t>Hardware and trade supplies</w:t>
            </w:r>
          </w:p>
          <w:p w14:paraId="6DB0698C" w14:textId="77777777" w:rsidR="00BE36FB" w:rsidRPr="009B7B35" w:rsidRDefault="00BE36FB" w:rsidP="00BE36FB">
            <w:pPr>
              <w:pStyle w:val="TableText"/>
              <w:numPr>
                <w:ilvl w:val="1"/>
                <w:numId w:val="489"/>
              </w:numPr>
              <w:rPr>
                <w:rFonts w:cs="Arial"/>
              </w:rPr>
            </w:pPr>
            <w:r w:rsidRPr="009B7B35">
              <w:rPr>
                <w:rFonts w:cs="Arial"/>
              </w:rPr>
              <w:t>Indoor sport and recreation</w:t>
            </w:r>
          </w:p>
          <w:p w14:paraId="23CE18B9" w14:textId="77777777" w:rsidR="00BE36FB" w:rsidRPr="009B7B35" w:rsidRDefault="00BE36FB" w:rsidP="00BE36FB">
            <w:pPr>
              <w:pStyle w:val="TableText"/>
              <w:numPr>
                <w:ilvl w:val="1"/>
                <w:numId w:val="489"/>
              </w:numPr>
              <w:rPr>
                <w:rFonts w:cs="Arial"/>
              </w:rPr>
            </w:pPr>
            <w:r w:rsidRPr="009B7B35">
              <w:rPr>
                <w:rFonts w:cs="Arial"/>
              </w:rPr>
              <w:t>Market</w:t>
            </w:r>
          </w:p>
          <w:p w14:paraId="3497243C" w14:textId="77777777" w:rsidR="00BE36FB" w:rsidRPr="009B7B35" w:rsidRDefault="00BE36FB" w:rsidP="00BE36FB">
            <w:pPr>
              <w:pStyle w:val="TableText"/>
              <w:numPr>
                <w:ilvl w:val="1"/>
                <w:numId w:val="489"/>
              </w:numPr>
              <w:rPr>
                <w:rFonts w:cs="Arial"/>
              </w:rPr>
            </w:pPr>
            <w:r w:rsidRPr="009B7B35">
              <w:rPr>
                <w:rFonts w:cs="Arial"/>
              </w:rPr>
              <w:t>Office</w:t>
            </w:r>
          </w:p>
          <w:p w14:paraId="2555E006" w14:textId="77777777" w:rsidR="00BE36FB" w:rsidRPr="009B7B35" w:rsidRDefault="00BE36FB" w:rsidP="00BE36FB">
            <w:pPr>
              <w:pStyle w:val="TableText"/>
              <w:numPr>
                <w:ilvl w:val="1"/>
                <w:numId w:val="489"/>
              </w:numPr>
              <w:rPr>
                <w:rFonts w:cs="Arial"/>
              </w:rPr>
            </w:pPr>
            <w:r w:rsidRPr="009B7B35">
              <w:rPr>
                <w:rFonts w:cs="Arial"/>
              </w:rPr>
              <w:t>Place of worship</w:t>
            </w:r>
          </w:p>
          <w:p w14:paraId="6A8011EE" w14:textId="77777777" w:rsidR="00BE36FB" w:rsidRPr="009B7B35" w:rsidRDefault="00BE36FB" w:rsidP="00BE36FB">
            <w:pPr>
              <w:pStyle w:val="TableText"/>
              <w:numPr>
                <w:ilvl w:val="1"/>
                <w:numId w:val="489"/>
              </w:numPr>
              <w:rPr>
                <w:rFonts w:cs="Arial"/>
              </w:rPr>
            </w:pPr>
            <w:r w:rsidRPr="009B7B35">
              <w:rPr>
                <w:rFonts w:cs="Arial"/>
              </w:rPr>
              <w:t>Service industry</w:t>
            </w:r>
          </w:p>
          <w:p w14:paraId="4E3CC9CD" w14:textId="77777777" w:rsidR="00BE36FB" w:rsidRPr="009B7B35" w:rsidRDefault="00BE36FB" w:rsidP="00BE36FB">
            <w:pPr>
              <w:pStyle w:val="TableText"/>
              <w:numPr>
                <w:ilvl w:val="1"/>
                <w:numId w:val="489"/>
              </w:numPr>
              <w:rPr>
                <w:rFonts w:cs="Arial"/>
              </w:rPr>
            </w:pPr>
            <w:r w:rsidRPr="009B7B35">
              <w:rPr>
                <w:rFonts w:cs="Arial"/>
              </w:rPr>
              <w:t>Veterinary services</w:t>
            </w:r>
          </w:p>
        </w:tc>
      </w:tr>
      <w:tr w:rsidR="00BE36FB" w:rsidRPr="009B7B35" w14:paraId="3CD24C69" w14:textId="77777777" w:rsidTr="001A7107">
        <w:trPr>
          <w:cantSplit/>
        </w:trPr>
        <w:tc>
          <w:tcPr>
            <w:tcW w:w="9356" w:type="dxa"/>
            <w:gridSpan w:val="2"/>
          </w:tcPr>
          <w:p w14:paraId="37C5DD94"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67B61BB2" w14:textId="77777777" w:rsidTr="001A7107">
        <w:trPr>
          <w:cantSplit/>
        </w:trPr>
        <w:tc>
          <w:tcPr>
            <w:tcW w:w="9356" w:type="dxa"/>
            <w:gridSpan w:val="2"/>
            <w:shd w:val="clear" w:color="auto" w:fill="BFBFBF" w:themeFill="background1" w:themeFillShade="BF"/>
          </w:tcPr>
          <w:p w14:paraId="6ACA2338" w14:textId="77777777" w:rsidR="00BE36FB" w:rsidRPr="009B7B35" w:rsidRDefault="00BE36FB" w:rsidP="001A7107">
            <w:pPr>
              <w:pStyle w:val="Tableheading"/>
              <w:rPr>
                <w:rFonts w:ascii="Arial" w:hAnsi="Arial" w:cs="Arial"/>
                <w:szCs w:val="20"/>
              </w:rPr>
            </w:pPr>
            <w:r w:rsidRPr="009B7B35">
              <w:rPr>
                <w:rFonts w:ascii="Arial" w:hAnsi="Arial" w:cs="Arial"/>
                <w:szCs w:val="20"/>
              </w:rPr>
              <w:t>Building height (if involving building work)</w:t>
            </w:r>
          </w:p>
        </w:tc>
      </w:tr>
      <w:tr w:rsidR="00BE36FB" w:rsidRPr="009B7B35" w14:paraId="408EF9C0" w14:textId="77777777" w:rsidTr="001A7107">
        <w:trPr>
          <w:cantSplit/>
        </w:trPr>
        <w:tc>
          <w:tcPr>
            <w:tcW w:w="4678" w:type="dxa"/>
          </w:tcPr>
          <w:p w14:paraId="50515B59" w14:textId="77777777" w:rsidR="00BE36FB" w:rsidRPr="009B7B35" w:rsidRDefault="00BE36FB" w:rsidP="001A7107">
            <w:pPr>
              <w:pStyle w:val="TableText"/>
              <w:rPr>
                <w:rFonts w:cs="Arial"/>
                <w:b/>
              </w:rPr>
            </w:pPr>
            <w:r w:rsidRPr="009B7B35">
              <w:rPr>
                <w:rFonts w:cs="Arial"/>
                <w:b/>
              </w:rPr>
              <w:t>PO7</w:t>
            </w:r>
          </w:p>
          <w:p w14:paraId="5C2A3D72" w14:textId="77777777" w:rsidR="00BE36FB" w:rsidRPr="009B7B35" w:rsidRDefault="00BE36FB" w:rsidP="001A7107">
            <w:pPr>
              <w:pStyle w:val="TableText"/>
              <w:rPr>
                <w:rFonts w:cs="Arial"/>
              </w:rPr>
            </w:pPr>
            <w:r w:rsidRPr="009B7B35">
              <w:rPr>
                <w:rFonts w:cs="Arial"/>
              </w:rPr>
              <w:t>Building height:</w:t>
            </w:r>
          </w:p>
          <w:p w14:paraId="5B842FA1" w14:textId="77777777" w:rsidR="00BE36FB" w:rsidRPr="009B7B35" w:rsidRDefault="00BE36FB" w:rsidP="00BE36FB">
            <w:pPr>
              <w:pStyle w:val="TableText"/>
              <w:numPr>
                <w:ilvl w:val="0"/>
                <w:numId w:val="27"/>
              </w:numPr>
              <w:rPr>
                <w:rFonts w:cs="Arial"/>
              </w:rPr>
            </w:pPr>
            <w:r w:rsidRPr="009B7B35">
              <w:rPr>
                <w:rFonts w:cs="Arial"/>
              </w:rPr>
              <w:t>is low rise</w:t>
            </w:r>
          </w:p>
          <w:p w14:paraId="79241EEF" w14:textId="77777777" w:rsidR="00BE36FB" w:rsidRPr="009B7B35" w:rsidRDefault="00BE36FB" w:rsidP="00BE36FB">
            <w:pPr>
              <w:pStyle w:val="TableText"/>
              <w:numPr>
                <w:ilvl w:val="0"/>
                <w:numId w:val="27"/>
              </w:numPr>
              <w:rPr>
                <w:rFonts w:cs="Arial"/>
              </w:rPr>
            </w:pPr>
            <w:r w:rsidRPr="009B7B35">
              <w:rPr>
                <w:rFonts w:cs="Arial"/>
              </w:rPr>
              <w:t>protects residential amenity through minimising overshadowing and overlooking where adjoining an existing residential use or residential zone, and</w:t>
            </w:r>
          </w:p>
          <w:p w14:paraId="79C3A2CB" w14:textId="77777777" w:rsidR="00BE36FB" w:rsidRPr="009B7B35" w:rsidRDefault="00BE36FB" w:rsidP="00BE36FB">
            <w:pPr>
              <w:pStyle w:val="TableText"/>
              <w:numPr>
                <w:ilvl w:val="0"/>
                <w:numId w:val="27"/>
              </w:numPr>
              <w:rPr>
                <w:rFonts w:cs="Arial"/>
              </w:rPr>
            </w:pPr>
            <w:r w:rsidRPr="009B7B35">
              <w:rPr>
                <w:rFonts w:cs="Arial"/>
              </w:rPr>
              <w:t>does not result in a significant loss of visual amenity.</w:t>
            </w:r>
          </w:p>
        </w:tc>
        <w:tc>
          <w:tcPr>
            <w:tcW w:w="4678" w:type="dxa"/>
          </w:tcPr>
          <w:p w14:paraId="61493C35" w14:textId="77777777" w:rsidR="00BE36FB" w:rsidRPr="009B7B35" w:rsidRDefault="00BE36FB" w:rsidP="001A7107">
            <w:pPr>
              <w:pStyle w:val="TableText"/>
              <w:rPr>
                <w:rFonts w:cs="Arial"/>
                <w:b/>
              </w:rPr>
            </w:pPr>
            <w:r w:rsidRPr="009B7B35">
              <w:rPr>
                <w:rFonts w:cs="Arial"/>
                <w:b/>
              </w:rPr>
              <w:t>AO7</w:t>
            </w:r>
          </w:p>
          <w:p w14:paraId="51979DD6" w14:textId="77777777" w:rsidR="00BE36FB" w:rsidRPr="009B7B35" w:rsidRDefault="00BE36FB" w:rsidP="001A7107">
            <w:pPr>
              <w:pStyle w:val="TableText"/>
              <w:rPr>
                <w:rFonts w:cs="Arial"/>
              </w:rPr>
            </w:pPr>
            <w:r w:rsidRPr="009B7B35">
              <w:rPr>
                <w:rFonts w:cs="Arial"/>
              </w:rPr>
              <w:t>Building height does not exceed 8.5m.</w:t>
            </w:r>
          </w:p>
        </w:tc>
      </w:tr>
      <w:tr w:rsidR="00BE36FB" w:rsidRPr="009B7B35" w14:paraId="2DCA2152" w14:textId="77777777" w:rsidTr="001A7107">
        <w:trPr>
          <w:cantSplit/>
        </w:trPr>
        <w:tc>
          <w:tcPr>
            <w:tcW w:w="9356" w:type="dxa"/>
            <w:gridSpan w:val="2"/>
            <w:shd w:val="clear" w:color="auto" w:fill="BFBFBF" w:themeFill="background1" w:themeFillShade="BF"/>
          </w:tcPr>
          <w:p w14:paraId="481020E1"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 and tenancy mix</w:t>
            </w:r>
          </w:p>
        </w:tc>
      </w:tr>
      <w:tr w:rsidR="00BE36FB" w:rsidRPr="009B7B35" w14:paraId="1A82C588" w14:textId="77777777" w:rsidTr="001A7107">
        <w:tc>
          <w:tcPr>
            <w:tcW w:w="4678" w:type="dxa"/>
          </w:tcPr>
          <w:p w14:paraId="3E6D0880" w14:textId="77777777" w:rsidR="00BE36FB" w:rsidRPr="009B7B35" w:rsidRDefault="00BE36FB" w:rsidP="001A7107">
            <w:pPr>
              <w:pStyle w:val="TableText"/>
              <w:rPr>
                <w:rFonts w:cs="Arial"/>
                <w:b/>
              </w:rPr>
            </w:pPr>
            <w:r w:rsidRPr="009B7B35">
              <w:rPr>
                <w:rFonts w:cs="Arial"/>
                <w:b/>
              </w:rPr>
              <w:t>PO8</w:t>
            </w:r>
          </w:p>
          <w:p w14:paraId="77EBFBCD" w14:textId="77777777" w:rsidR="00BE36FB" w:rsidRPr="009B7B35" w:rsidRDefault="00BE36FB" w:rsidP="001A7107">
            <w:pPr>
              <w:pStyle w:val="TableText"/>
              <w:rPr>
                <w:rFonts w:cs="Arial"/>
              </w:rPr>
            </w:pPr>
            <w:r w:rsidRPr="009B7B35">
              <w:rPr>
                <w:rFonts w:cs="Arial"/>
              </w:rPr>
              <w:t>Development provides for a range of small scale retail, commercial, community, entertainment and recreation activities through a mix of building types and tenancy sizes.</w:t>
            </w:r>
          </w:p>
        </w:tc>
        <w:tc>
          <w:tcPr>
            <w:tcW w:w="4678" w:type="dxa"/>
          </w:tcPr>
          <w:p w14:paraId="3327D77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86DA813" w14:textId="77777777" w:rsidTr="001A7107">
        <w:tc>
          <w:tcPr>
            <w:tcW w:w="9356" w:type="dxa"/>
            <w:gridSpan w:val="2"/>
            <w:shd w:val="clear" w:color="auto" w:fill="BFBFBF" w:themeFill="background1" w:themeFillShade="BF"/>
          </w:tcPr>
          <w:p w14:paraId="25E0B432" w14:textId="77777777" w:rsidR="00BE36FB" w:rsidRPr="009B7B35" w:rsidRDefault="00BE36FB" w:rsidP="001A7107">
            <w:pPr>
              <w:pStyle w:val="Tableheading"/>
              <w:rPr>
                <w:rFonts w:ascii="Arial" w:hAnsi="Arial" w:cs="Arial"/>
                <w:szCs w:val="20"/>
              </w:rPr>
            </w:pPr>
            <w:r w:rsidRPr="009B7B35">
              <w:rPr>
                <w:rFonts w:ascii="Arial" w:hAnsi="Arial" w:cs="Arial"/>
                <w:szCs w:val="20"/>
              </w:rPr>
              <w:t>Centre design</w:t>
            </w:r>
          </w:p>
        </w:tc>
      </w:tr>
      <w:tr w:rsidR="00BE36FB" w:rsidRPr="009B7B35" w14:paraId="1DB3A8C8" w14:textId="77777777" w:rsidTr="001A7107">
        <w:tc>
          <w:tcPr>
            <w:tcW w:w="4678" w:type="dxa"/>
          </w:tcPr>
          <w:p w14:paraId="61D5A66F" w14:textId="77777777" w:rsidR="00BE36FB" w:rsidRPr="009B7B35" w:rsidRDefault="00BE36FB" w:rsidP="001A7107">
            <w:pPr>
              <w:pStyle w:val="TableText"/>
              <w:rPr>
                <w:rFonts w:cs="Arial"/>
                <w:b/>
              </w:rPr>
            </w:pPr>
            <w:r w:rsidRPr="009B7B35">
              <w:rPr>
                <w:rFonts w:cs="Arial"/>
                <w:b/>
              </w:rPr>
              <w:t>PO9</w:t>
            </w:r>
          </w:p>
          <w:p w14:paraId="5C5EDFBE" w14:textId="77777777" w:rsidR="00BE36FB" w:rsidRPr="009B7B35" w:rsidRDefault="00BE36FB" w:rsidP="001A7107">
            <w:pPr>
              <w:pStyle w:val="TableText"/>
              <w:rPr>
                <w:rFonts w:cs="Arial"/>
              </w:rPr>
            </w:pPr>
            <w:r w:rsidRPr="009B7B35">
              <w:rPr>
                <w:rFonts w:cs="Arial"/>
              </w:rPr>
              <w:t>Development:</w:t>
            </w:r>
          </w:p>
          <w:p w14:paraId="3EBA59AF" w14:textId="77777777" w:rsidR="00BE36FB" w:rsidRPr="009B7B35" w:rsidRDefault="00BE36FB" w:rsidP="00BE36FB">
            <w:pPr>
              <w:pStyle w:val="TableText"/>
              <w:numPr>
                <w:ilvl w:val="0"/>
                <w:numId w:val="534"/>
              </w:numPr>
              <w:ind w:left="567" w:hanging="567"/>
              <w:rPr>
                <w:rFonts w:cs="Arial"/>
              </w:rPr>
            </w:pPr>
            <w:r w:rsidRPr="009B7B35">
              <w:rPr>
                <w:rFonts w:cs="Arial"/>
              </w:rPr>
              <w:t>is proportionate to the size and street frontage of the site</w:t>
            </w:r>
          </w:p>
          <w:p w14:paraId="0E0F6A5D" w14:textId="77777777" w:rsidR="00BE36FB" w:rsidRPr="009B7B35" w:rsidRDefault="00BE36FB" w:rsidP="00BE36FB">
            <w:pPr>
              <w:pStyle w:val="TableText"/>
              <w:numPr>
                <w:ilvl w:val="0"/>
                <w:numId w:val="534"/>
              </w:numPr>
              <w:ind w:left="567" w:hanging="567"/>
              <w:rPr>
                <w:rFonts w:cs="Arial"/>
              </w:rPr>
            </w:pPr>
            <w:r w:rsidRPr="009B7B35">
              <w:rPr>
                <w:rFonts w:cs="Arial"/>
              </w:rPr>
              <w:t>maintains and enhances the existing streetscape</w:t>
            </w:r>
          </w:p>
          <w:p w14:paraId="007038D2" w14:textId="77777777" w:rsidR="00BE36FB" w:rsidRPr="009B7B35" w:rsidRDefault="00BE36FB" w:rsidP="00BE36FB">
            <w:pPr>
              <w:pStyle w:val="TableText"/>
              <w:numPr>
                <w:ilvl w:val="0"/>
                <w:numId w:val="534"/>
              </w:numPr>
              <w:ind w:left="567" w:hanging="567"/>
              <w:rPr>
                <w:rFonts w:cs="Arial"/>
              </w:rPr>
            </w:pPr>
            <w:r w:rsidRPr="009B7B35">
              <w:rPr>
                <w:rFonts w:cs="Arial"/>
              </w:rPr>
              <w:t>protects adjacent residential amenity</w:t>
            </w:r>
          </w:p>
          <w:p w14:paraId="6C408B41" w14:textId="77777777" w:rsidR="00BE36FB" w:rsidRPr="009B7B35" w:rsidRDefault="00BE36FB" w:rsidP="00BE36FB">
            <w:pPr>
              <w:pStyle w:val="TableText"/>
              <w:numPr>
                <w:ilvl w:val="0"/>
                <w:numId w:val="534"/>
              </w:numPr>
              <w:ind w:left="567" w:hanging="567"/>
              <w:rPr>
                <w:rFonts w:cs="Arial"/>
              </w:rPr>
            </w:pPr>
            <w:r w:rsidRPr="009B7B35">
              <w:rPr>
                <w:rFonts w:cs="Arial"/>
              </w:rPr>
              <w:t>maintains appropriate levels of light and solar penetration, air circulation, privacy for adjoining properties</w:t>
            </w:r>
          </w:p>
          <w:p w14:paraId="032B3AF3" w14:textId="77777777" w:rsidR="00BE36FB" w:rsidRPr="009B7B35" w:rsidRDefault="00BE36FB" w:rsidP="00BE36FB">
            <w:pPr>
              <w:pStyle w:val="TableText"/>
              <w:numPr>
                <w:ilvl w:val="0"/>
                <w:numId w:val="534"/>
              </w:numPr>
              <w:ind w:left="567" w:hanging="567"/>
              <w:rPr>
                <w:rFonts w:cs="Arial"/>
              </w:rPr>
            </w:pPr>
            <w:r w:rsidRPr="009B7B35">
              <w:rPr>
                <w:rFonts w:cs="Arial"/>
              </w:rPr>
              <w:t xml:space="preserve">provides for public space and landscape areas, and </w:t>
            </w:r>
          </w:p>
          <w:p w14:paraId="2C811E5F" w14:textId="77777777" w:rsidR="00BE36FB" w:rsidRPr="009B7B35" w:rsidRDefault="00BE36FB" w:rsidP="00BE36FB">
            <w:pPr>
              <w:pStyle w:val="TableText"/>
              <w:numPr>
                <w:ilvl w:val="0"/>
                <w:numId w:val="534"/>
              </w:numPr>
              <w:ind w:left="567" w:hanging="567"/>
              <w:rPr>
                <w:rFonts w:cs="Arial"/>
              </w:rPr>
            </w:pPr>
            <w:r w:rsidRPr="009B7B35">
              <w:rPr>
                <w:rFonts w:cs="Arial"/>
              </w:rPr>
              <w:t>reduces building bulk.</w:t>
            </w:r>
          </w:p>
        </w:tc>
        <w:tc>
          <w:tcPr>
            <w:tcW w:w="4678" w:type="dxa"/>
          </w:tcPr>
          <w:p w14:paraId="7076EECA"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5453BD5" w14:textId="77777777" w:rsidTr="001A7107">
        <w:tc>
          <w:tcPr>
            <w:tcW w:w="4678" w:type="dxa"/>
          </w:tcPr>
          <w:p w14:paraId="105EBBA1" w14:textId="77777777" w:rsidR="00BE36FB" w:rsidRPr="009B7B35" w:rsidRDefault="00BE36FB" w:rsidP="001A7107">
            <w:pPr>
              <w:pStyle w:val="TableText"/>
              <w:rPr>
                <w:rFonts w:cs="Arial"/>
                <w:b/>
              </w:rPr>
            </w:pPr>
            <w:r w:rsidRPr="009B7B35">
              <w:rPr>
                <w:rFonts w:cs="Arial"/>
                <w:b/>
              </w:rPr>
              <w:t>PO10</w:t>
            </w:r>
          </w:p>
          <w:p w14:paraId="1D50C118" w14:textId="77777777" w:rsidR="00BE36FB" w:rsidRPr="009B7B35" w:rsidRDefault="00BE36FB" w:rsidP="001A7107">
            <w:pPr>
              <w:pStyle w:val="TableText"/>
              <w:rPr>
                <w:rFonts w:cs="Arial"/>
              </w:rPr>
            </w:pPr>
            <w:r w:rsidRPr="009B7B35">
              <w:rPr>
                <w:rFonts w:cs="Arial"/>
              </w:rPr>
              <w:t xml:space="preserve">Buildings are designed to: </w:t>
            </w:r>
          </w:p>
          <w:p w14:paraId="3E0C72A3" w14:textId="77777777" w:rsidR="00BE36FB" w:rsidRPr="009B7B35" w:rsidRDefault="00BE36FB" w:rsidP="00BE36FB">
            <w:pPr>
              <w:pStyle w:val="TableText"/>
              <w:numPr>
                <w:ilvl w:val="0"/>
                <w:numId w:val="535"/>
              </w:numPr>
              <w:rPr>
                <w:rFonts w:cs="Arial"/>
              </w:rPr>
            </w:pPr>
            <w:r w:rsidRPr="009B7B35">
              <w:rPr>
                <w:rFonts w:cs="Arial"/>
              </w:rPr>
              <w:t>overlook the external street network by having buildings built up to or close to street alignments and providing active building frontages to public streets and spaces</w:t>
            </w:r>
          </w:p>
          <w:p w14:paraId="7E96A48A" w14:textId="77777777" w:rsidR="00BE36FB" w:rsidRPr="009B7B35" w:rsidRDefault="00BE36FB" w:rsidP="00BE36FB">
            <w:pPr>
              <w:pStyle w:val="TableText"/>
              <w:numPr>
                <w:ilvl w:val="0"/>
                <w:numId w:val="535"/>
              </w:numPr>
              <w:rPr>
                <w:rFonts w:cs="Arial"/>
              </w:rPr>
            </w:pPr>
            <w:r w:rsidRPr="009B7B35">
              <w:rPr>
                <w:rFonts w:cs="Arial"/>
              </w:rPr>
              <w:t>respect and complement the existing character of the area</w:t>
            </w:r>
          </w:p>
          <w:p w14:paraId="74332D5A" w14:textId="77777777" w:rsidR="00BE36FB" w:rsidRPr="009B7B35" w:rsidRDefault="00BE36FB" w:rsidP="00BE36FB">
            <w:pPr>
              <w:pStyle w:val="TableText"/>
              <w:numPr>
                <w:ilvl w:val="0"/>
                <w:numId w:val="535"/>
              </w:numPr>
              <w:rPr>
                <w:rFonts w:cs="Arial"/>
              </w:rPr>
            </w:pPr>
            <w:r w:rsidRPr="009B7B35">
              <w:rPr>
                <w:rFonts w:cs="Arial"/>
              </w:rPr>
              <w:t>maintain an appropriate human scale</w:t>
            </w:r>
          </w:p>
          <w:p w14:paraId="6A5FD333" w14:textId="77777777" w:rsidR="00BE36FB" w:rsidRPr="009B7B35" w:rsidRDefault="00BE36FB" w:rsidP="00BE36FB">
            <w:pPr>
              <w:pStyle w:val="TableText"/>
              <w:numPr>
                <w:ilvl w:val="0"/>
                <w:numId w:val="535"/>
              </w:numPr>
              <w:rPr>
                <w:rFonts w:cs="Arial"/>
              </w:rPr>
            </w:pPr>
            <w:r w:rsidRPr="009B7B35">
              <w:rPr>
                <w:rFonts w:cs="Arial"/>
              </w:rPr>
              <w:t>minimise the use of highly reflective materials, and</w:t>
            </w:r>
          </w:p>
          <w:p w14:paraId="79362EF4" w14:textId="77777777" w:rsidR="00BE36FB" w:rsidRPr="009B7B35" w:rsidRDefault="00BE36FB" w:rsidP="00BE36FB">
            <w:pPr>
              <w:pStyle w:val="TableText"/>
              <w:numPr>
                <w:ilvl w:val="0"/>
                <w:numId w:val="535"/>
              </w:numPr>
              <w:rPr>
                <w:rFonts w:cs="Arial"/>
              </w:rPr>
            </w:pPr>
            <w:r w:rsidRPr="009B7B35">
              <w:rPr>
                <w:rFonts w:cs="Arial"/>
              </w:rPr>
              <w:t>respond to climatic conditions.</w:t>
            </w:r>
          </w:p>
        </w:tc>
        <w:tc>
          <w:tcPr>
            <w:tcW w:w="4678" w:type="dxa"/>
          </w:tcPr>
          <w:p w14:paraId="2EB4484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C9A957F" w14:textId="77777777" w:rsidTr="001A7107">
        <w:trPr>
          <w:cantSplit/>
        </w:trPr>
        <w:tc>
          <w:tcPr>
            <w:tcW w:w="4678" w:type="dxa"/>
          </w:tcPr>
          <w:p w14:paraId="5C154021" w14:textId="77777777" w:rsidR="00BE36FB" w:rsidRPr="009B7B35" w:rsidRDefault="00BE36FB" w:rsidP="001A7107">
            <w:pPr>
              <w:pStyle w:val="TableText"/>
              <w:rPr>
                <w:rFonts w:cs="Arial"/>
                <w:b/>
              </w:rPr>
            </w:pPr>
            <w:r w:rsidRPr="009B7B35">
              <w:rPr>
                <w:rFonts w:cs="Arial"/>
                <w:b/>
              </w:rPr>
              <w:t>PO11</w:t>
            </w:r>
          </w:p>
          <w:p w14:paraId="364A2574" w14:textId="77777777" w:rsidR="00BE36FB" w:rsidRPr="009B7B35" w:rsidRDefault="00BE36FB" w:rsidP="001A7107">
            <w:pPr>
              <w:pStyle w:val="TableText"/>
              <w:rPr>
                <w:rFonts w:cs="Arial"/>
              </w:rPr>
            </w:pPr>
            <w:r w:rsidRPr="009B7B35">
              <w:rPr>
                <w:rFonts w:cs="Arial"/>
              </w:rPr>
              <w:t>Design elements contribute to an interesting and attractive streetscape and building through:</w:t>
            </w:r>
          </w:p>
          <w:p w14:paraId="558BA975" w14:textId="77777777" w:rsidR="00BE36FB" w:rsidRPr="009B7B35" w:rsidRDefault="00BE36FB" w:rsidP="00BE36FB">
            <w:pPr>
              <w:pStyle w:val="TableText"/>
              <w:numPr>
                <w:ilvl w:val="0"/>
                <w:numId w:val="536"/>
              </w:numPr>
              <w:rPr>
                <w:rFonts w:cs="Arial"/>
              </w:rPr>
            </w:pPr>
            <w:r w:rsidRPr="009B7B35">
              <w:rPr>
                <w:rFonts w:cs="Arial"/>
              </w:rPr>
              <w:t>variations in material and building form to enable articulation of facades and differentiation between buildings</w:t>
            </w:r>
          </w:p>
          <w:p w14:paraId="69F0D0EE" w14:textId="77777777" w:rsidR="00BE36FB" w:rsidRPr="009B7B35" w:rsidRDefault="00BE36FB" w:rsidP="00BE36FB">
            <w:pPr>
              <w:pStyle w:val="TableText"/>
              <w:numPr>
                <w:ilvl w:val="0"/>
                <w:numId w:val="536"/>
              </w:numPr>
              <w:rPr>
                <w:rFonts w:cs="Arial"/>
              </w:rPr>
            </w:pPr>
            <w:r w:rsidRPr="009B7B35">
              <w:rPr>
                <w:rFonts w:cs="Arial"/>
              </w:rPr>
              <w:t>modulation in the façade, horizontally or vertically</w:t>
            </w:r>
          </w:p>
          <w:p w14:paraId="568C3C16" w14:textId="77777777" w:rsidR="00BE36FB" w:rsidRPr="009B7B35" w:rsidRDefault="00BE36FB" w:rsidP="00BE36FB">
            <w:pPr>
              <w:pStyle w:val="TableText"/>
              <w:numPr>
                <w:ilvl w:val="0"/>
                <w:numId w:val="536"/>
              </w:numPr>
              <w:rPr>
                <w:rFonts w:cs="Arial"/>
              </w:rPr>
            </w:pPr>
            <w:r w:rsidRPr="009B7B35">
              <w:rPr>
                <w:rFonts w:cs="Arial"/>
              </w:rPr>
              <w:t>articulation of building entrances and openings</w:t>
            </w:r>
          </w:p>
          <w:p w14:paraId="5CE9FAF9" w14:textId="77777777" w:rsidR="00BE36FB" w:rsidRPr="009B7B35" w:rsidRDefault="00BE36FB" w:rsidP="00BE36FB">
            <w:pPr>
              <w:pStyle w:val="TableText"/>
              <w:numPr>
                <w:ilvl w:val="0"/>
                <w:numId w:val="536"/>
              </w:numPr>
              <w:rPr>
                <w:rFonts w:cs="Arial"/>
              </w:rPr>
            </w:pPr>
            <w:r w:rsidRPr="009B7B35">
              <w:rPr>
                <w:rFonts w:cs="Arial"/>
              </w:rPr>
              <w:t>corner treatments to address both street frontages, and</w:t>
            </w:r>
          </w:p>
          <w:p w14:paraId="174DFA47" w14:textId="77777777" w:rsidR="00BE36FB" w:rsidRPr="009B7B35" w:rsidRDefault="00BE36FB" w:rsidP="00BE36FB">
            <w:pPr>
              <w:pStyle w:val="TableText"/>
              <w:numPr>
                <w:ilvl w:val="0"/>
                <w:numId w:val="536"/>
              </w:numPr>
              <w:rPr>
                <w:rFonts w:cs="Arial"/>
              </w:rPr>
            </w:pPr>
            <w:r w:rsidRPr="009B7B35">
              <w:rPr>
                <w:rFonts w:cs="Arial"/>
              </w:rPr>
              <w:t>elements which assist in wayfinding and legibility.</w:t>
            </w:r>
          </w:p>
        </w:tc>
        <w:tc>
          <w:tcPr>
            <w:tcW w:w="4678" w:type="dxa"/>
          </w:tcPr>
          <w:p w14:paraId="258724C6"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7BA277E" w14:textId="77777777" w:rsidTr="001A7107">
        <w:trPr>
          <w:cantSplit/>
        </w:trPr>
        <w:tc>
          <w:tcPr>
            <w:tcW w:w="4678" w:type="dxa"/>
          </w:tcPr>
          <w:p w14:paraId="6166139C" w14:textId="77777777" w:rsidR="00BE36FB" w:rsidRPr="009B7B35" w:rsidRDefault="00BE36FB" w:rsidP="001A7107">
            <w:pPr>
              <w:pStyle w:val="TableText"/>
              <w:rPr>
                <w:rFonts w:cs="Arial"/>
                <w:b/>
              </w:rPr>
            </w:pPr>
            <w:r w:rsidRPr="009B7B35">
              <w:rPr>
                <w:rFonts w:cs="Arial"/>
                <w:b/>
              </w:rPr>
              <w:t>PO12</w:t>
            </w:r>
          </w:p>
          <w:p w14:paraId="240B25C9" w14:textId="77777777" w:rsidR="00BE36FB" w:rsidRPr="009B7B35" w:rsidRDefault="00BE36FB" w:rsidP="001A7107">
            <w:pPr>
              <w:pStyle w:val="TableText"/>
              <w:rPr>
                <w:rFonts w:cs="Arial"/>
              </w:rPr>
            </w:pPr>
            <w:r w:rsidRPr="009B7B35">
              <w:rPr>
                <w:rFonts w:cs="Arial"/>
              </w:rPr>
              <w:t>Building caps and rooftops contribute to the architectural distinction of the building, and effectively screen service structures, lift over–runs, plant and equipment.</w:t>
            </w:r>
          </w:p>
        </w:tc>
        <w:tc>
          <w:tcPr>
            <w:tcW w:w="4678" w:type="dxa"/>
          </w:tcPr>
          <w:p w14:paraId="5AB548E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8F8AA64" w14:textId="77777777" w:rsidTr="001A7107">
        <w:trPr>
          <w:cantSplit/>
        </w:trPr>
        <w:tc>
          <w:tcPr>
            <w:tcW w:w="4678" w:type="dxa"/>
          </w:tcPr>
          <w:p w14:paraId="3B8A16B8" w14:textId="77777777" w:rsidR="00BE36FB" w:rsidRPr="009B7B35" w:rsidRDefault="00BE36FB" w:rsidP="001A7107">
            <w:pPr>
              <w:pStyle w:val="TableText"/>
              <w:rPr>
                <w:rFonts w:cs="Arial"/>
                <w:b/>
              </w:rPr>
            </w:pPr>
            <w:r w:rsidRPr="009B7B35">
              <w:rPr>
                <w:rFonts w:cs="Arial"/>
                <w:b/>
              </w:rPr>
              <w:t>PO13</w:t>
            </w:r>
          </w:p>
          <w:p w14:paraId="3B9653C1" w14:textId="77777777" w:rsidR="00BE36FB" w:rsidRPr="009B7B35" w:rsidRDefault="00BE36FB" w:rsidP="001A7107">
            <w:pPr>
              <w:pStyle w:val="TableText"/>
              <w:rPr>
                <w:rFonts w:cs="Arial"/>
              </w:rPr>
            </w:pPr>
            <w:r w:rsidRPr="009B7B35">
              <w:rPr>
                <w:rFonts w:cs="Arial"/>
              </w:rPr>
              <w:t>Development is designed to facilitate the safety and security of people and property having regard to:</w:t>
            </w:r>
          </w:p>
          <w:p w14:paraId="1117F4D3" w14:textId="77777777" w:rsidR="00BE36FB" w:rsidRPr="009B7B35" w:rsidRDefault="00BE36FB" w:rsidP="00BE36FB">
            <w:pPr>
              <w:pStyle w:val="TableText"/>
              <w:numPr>
                <w:ilvl w:val="0"/>
                <w:numId w:val="537"/>
              </w:numPr>
              <w:rPr>
                <w:rFonts w:cs="Arial"/>
              </w:rPr>
            </w:pPr>
            <w:r w:rsidRPr="009B7B35">
              <w:rPr>
                <w:rFonts w:cs="Arial"/>
              </w:rPr>
              <w:t>maximising casual surveillance and sight lines</w:t>
            </w:r>
          </w:p>
          <w:p w14:paraId="5F17F0BB" w14:textId="77777777" w:rsidR="00BE36FB" w:rsidRPr="009B7B35" w:rsidRDefault="00BE36FB" w:rsidP="00BE36FB">
            <w:pPr>
              <w:pStyle w:val="TableText"/>
              <w:numPr>
                <w:ilvl w:val="0"/>
                <w:numId w:val="537"/>
              </w:numPr>
              <w:rPr>
                <w:rFonts w:cs="Arial"/>
              </w:rPr>
            </w:pPr>
            <w:r w:rsidRPr="009B7B35">
              <w:rPr>
                <w:rFonts w:cs="Arial"/>
              </w:rPr>
              <w:t>exterior building design that promotes safety</w:t>
            </w:r>
          </w:p>
          <w:p w14:paraId="347B2AF9" w14:textId="77777777" w:rsidR="00BE36FB" w:rsidRPr="009B7B35" w:rsidRDefault="00BE36FB" w:rsidP="00BE36FB">
            <w:pPr>
              <w:pStyle w:val="TableText"/>
              <w:numPr>
                <w:ilvl w:val="0"/>
                <w:numId w:val="537"/>
              </w:numPr>
              <w:rPr>
                <w:rFonts w:cs="Arial"/>
              </w:rPr>
            </w:pPr>
            <w:r w:rsidRPr="009B7B35">
              <w:rPr>
                <w:rFonts w:cs="Arial"/>
              </w:rPr>
              <w:t>adequate lighting</w:t>
            </w:r>
          </w:p>
          <w:p w14:paraId="742C61A7" w14:textId="77777777" w:rsidR="00BE36FB" w:rsidRPr="009B7B35" w:rsidRDefault="00BE36FB" w:rsidP="00BE36FB">
            <w:pPr>
              <w:pStyle w:val="TableText"/>
              <w:numPr>
                <w:ilvl w:val="0"/>
                <w:numId w:val="537"/>
              </w:numPr>
              <w:rPr>
                <w:rFonts w:cs="Arial"/>
              </w:rPr>
            </w:pPr>
            <w:r w:rsidRPr="009B7B35">
              <w:rPr>
                <w:rFonts w:cs="Arial"/>
              </w:rPr>
              <w:t>appropriate signage and wayfinding</w:t>
            </w:r>
          </w:p>
          <w:p w14:paraId="65AB43A5" w14:textId="77777777" w:rsidR="00BE36FB" w:rsidRPr="009B7B35" w:rsidRDefault="00BE36FB" w:rsidP="00BE36FB">
            <w:pPr>
              <w:pStyle w:val="TableText"/>
              <w:numPr>
                <w:ilvl w:val="0"/>
                <w:numId w:val="537"/>
              </w:numPr>
              <w:rPr>
                <w:rFonts w:cs="Arial"/>
              </w:rPr>
            </w:pPr>
            <w:r w:rsidRPr="009B7B35">
              <w:rPr>
                <w:rFonts w:cs="Arial"/>
              </w:rPr>
              <w:t>minimisation of personal concealment and entrapment locations, and</w:t>
            </w:r>
          </w:p>
          <w:p w14:paraId="764EF412" w14:textId="77777777" w:rsidR="00BE36FB" w:rsidRPr="009B7B35" w:rsidRDefault="00BE36FB" w:rsidP="00BE36FB">
            <w:pPr>
              <w:pStyle w:val="TableText"/>
              <w:numPr>
                <w:ilvl w:val="0"/>
                <w:numId w:val="537"/>
              </w:numPr>
              <w:rPr>
                <w:rFonts w:cs="Arial"/>
              </w:rPr>
            </w:pPr>
            <w:r w:rsidRPr="009B7B35">
              <w:rPr>
                <w:rFonts w:cs="Arial"/>
              </w:rPr>
              <w:t>building entrances, parking, loading and storage areas that are well lit and have clearly defined access points.</w:t>
            </w:r>
          </w:p>
          <w:p w14:paraId="4DF63C4B" w14:textId="77777777" w:rsidR="00BE36FB" w:rsidRPr="009B7B35" w:rsidRDefault="00BE36FB" w:rsidP="001A7107">
            <w:pPr>
              <w:pStyle w:val="Notes"/>
              <w:rPr>
                <w:rFonts w:cs="Arial"/>
                <w:sz w:val="20"/>
                <w:szCs w:val="20"/>
              </w:rPr>
            </w:pPr>
            <w:r w:rsidRPr="009B7B35">
              <w:rPr>
                <w:rFonts w:cs="Arial"/>
                <w:sz w:val="20"/>
                <w:szCs w:val="20"/>
              </w:rPr>
              <w:t xml:space="preserve">Note—Applicants should have regard to </w:t>
            </w:r>
            <w:hyperlink r:id="rId70" w:tgtFrame="_blank" w:tooltip="Crime Prevention through Environmental Design Guidelines for Queensland" w:history="1">
              <w:r w:rsidRPr="009B7B35">
                <w:rPr>
                  <w:rStyle w:val="Hyperlink"/>
                  <w:rFonts w:cs="Arial"/>
                  <w:sz w:val="20"/>
                  <w:szCs w:val="20"/>
                </w:rPr>
                <w:t>Crime Prevention through Environmental Design Guidelines for Queensland</w:t>
              </w:r>
            </w:hyperlink>
            <w:r w:rsidRPr="009B7B35">
              <w:rPr>
                <w:rFonts w:cs="Arial"/>
                <w:sz w:val="20"/>
                <w:szCs w:val="20"/>
              </w:rPr>
              <w:t>.</w:t>
            </w:r>
          </w:p>
        </w:tc>
        <w:tc>
          <w:tcPr>
            <w:tcW w:w="4678" w:type="dxa"/>
          </w:tcPr>
          <w:p w14:paraId="7A73D67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CECF8B5" w14:textId="77777777" w:rsidTr="001A7107">
        <w:trPr>
          <w:cantSplit/>
        </w:trPr>
        <w:tc>
          <w:tcPr>
            <w:tcW w:w="9356" w:type="dxa"/>
            <w:gridSpan w:val="2"/>
            <w:shd w:val="clear" w:color="auto" w:fill="BFBFBF" w:themeFill="background1" w:themeFillShade="BF"/>
          </w:tcPr>
          <w:p w14:paraId="06AD99AB" w14:textId="77777777" w:rsidR="00BE36FB" w:rsidRPr="009B7B35" w:rsidRDefault="00BE36FB" w:rsidP="001A7107">
            <w:pPr>
              <w:pStyle w:val="Tableheading"/>
              <w:rPr>
                <w:rFonts w:ascii="Arial" w:hAnsi="Arial" w:cs="Arial"/>
                <w:szCs w:val="20"/>
              </w:rPr>
            </w:pPr>
            <w:r w:rsidRPr="009B7B35">
              <w:rPr>
                <w:rFonts w:ascii="Arial" w:hAnsi="Arial" w:cs="Arial"/>
                <w:szCs w:val="20"/>
              </w:rPr>
              <w:t>Street interface</w:t>
            </w:r>
          </w:p>
        </w:tc>
      </w:tr>
      <w:tr w:rsidR="00BE36FB" w:rsidRPr="009B7B35" w14:paraId="07D2799A" w14:textId="77777777" w:rsidTr="001A7107">
        <w:trPr>
          <w:cantSplit/>
        </w:trPr>
        <w:tc>
          <w:tcPr>
            <w:tcW w:w="4678" w:type="dxa"/>
          </w:tcPr>
          <w:p w14:paraId="3A0E0B73" w14:textId="77777777" w:rsidR="00BE36FB" w:rsidRPr="009B7B35" w:rsidRDefault="00BE36FB" w:rsidP="001A7107">
            <w:pPr>
              <w:pStyle w:val="TableText"/>
              <w:rPr>
                <w:rFonts w:cs="Arial"/>
                <w:b/>
              </w:rPr>
            </w:pPr>
            <w:r w:rsidRPr="009B7B35">
              <w:rPr>
                <w:rFonts w:cs="Arial"/>
                <w:b/>
              </w:rPr>
              <w:t>PO14</w:t>
            </w:r>
          </w:p>
          <w:p w14:paraId="47DA107F" w14:textId="77777777" w:rsidR="00BE36FB" w:rsidRPr="009B7B35" w:rsidRDefault="00BE36FB" w:rsidP="001A7107">
            <w:pPr>
              <w:pStyle w:val="TableText"/>
              <w:rPr>
                <w:rFonts w:cs="Arial"/>
              </w:rPr>
            </w:pPr>
            <w:r w:rsidRPr="009B7B35">
              <w:rPr>
                <w:rFonts w:cs="Arial"/>
              </w:rPr>
              <w:t>Buildings are oriented to address all street frontages, public open space and public areas to:</w:t>
            </w:r>
          </w:p>
          <w:p w14:paraId="13B7AA30" w14:textId="77777777" w:rsidR="00BE36FB" w:rsidRPr="009B7B35" w:rsidRDefault="00BE36FB" w:rsidP="00BE36FB">
            <w:pPr>
              <w:pStyle w:val="TableText"/>
              <w:numPr>
                <w:ilvl w:val="0"/>
                <w:numId w:val="538"/>
              </w:numPr>
              <w:ind w:left="567" w:hanging="567"/>
              <w:rPr>
                <w:rFonts w:cs="Arial"/>
              </w:rPr>
            </w:pPr>
            <w:r w:rsidRPr="009B7B35">
              <w:rPr>
                <w:rFonts w:cs="Arial"/>
              </w:rPr>
              <w:t>promote interaction and casual surveillance</w:t>
            </w:r>
          </w:p>
          <w:p w14:paraId="0808A2F2" w14:textId="77777777" w:rsidR="00BE36FB" w:rsidRPr="009B7B35" w:rsidRDefault="00BE36FB" w:rsidP="00BE36FB">
            <w:pPr>
              <w:pStyle w:val="TableText"/>
              <w:numPr>
                <w:ilvl w:val="0"/>
                <w:numId w:val="538"/>
              </w:numPr>
              <w:ind w:left="567" w:hanging="567"/>
              <w:rPr>
                <w:rFonts w:cs="Arial"/>
              </w:rPr>
            </w:pPr>
            <w:r w:rsidRPr="009B7B35">
              <w:rPr>
                <w:rFonts w:cs="Arial"/>
              </w:rPr>
              <w:t>concentrate and reinforce pedestrian activity</w:t>
            </w:r>
          </w:p>
          <w:p w14:paraId="4E5FD789" w14:textId="77777777" w:rsidR="00BE36FB" w:rsidRPr="009B7B35" w:rsidRDefault="00BE36FB" w:rsidP="00BE36FB">
            <w:pPr>
              <w:pStyle w:val="TableText"/>
              <w:numPr>
                <w:ilvl w:val="0"/>
                <w:numId w:val="538"/>
              </w:numPr>
              <w:ind w:left="567" w:hanging="567"/>
              <w:rPr>
                <w:rFonts w:cs="Arial"/>
              </w:rPr>
            </w:pPr>
            <w:r w:rsidRPr="009B7B35">
              <w:rPr>
                <w:rFonts w:cs="Arial"/>
              </w:rPr>
              <w:t>create consolidated street edges</w:t>
            </w:r>
          </w:p>
          <w:p w14:paraId="4DDC7065" w14:textId="77777777" w:rsidR="00BE36FB" w:rsidRPr="009B7B35" w:rsidRDefault="00BE36FB" w:rsidP="00BE36FB">
            <w:pPr>
              <w:pStyle w:val="TableText"/>
              <w:numPr>
                <w:ilvl w:val="0"/>
                <w:numId w:val="538"/>
              </w:numPr>
              <w:ind w:left="567" w:hanging="567"/>
              <w:rPr>
                <w:rFonts w:cs="Arial"/>
              </w:rPr>
            </w:pPr>
            <w:r w:rsidRPr="009B7B35">
              <w:rPr>
                <w:rFonts w:cs="Arial"/>
              </w:rPr>
              <w:t>avoid opaque facades to provide visual interest to the frontage, and</w:t>
            </w:r>
          </w:p>
          <w:p w14:paraId="1CD0B36D" w14:textId="77777777" w:rsidR="00BE36FB" w:rsidRPr="009B7B35" w:rsidRDefault="00BE36FB" w:rsidP="00BE36FB">
            <w:pPr>
              <w:pStyle w:val="TableText"/>
              <w:numPr>
                <w:ilvl w:val="0"/>
                <w:numId w:val="538"/>
              </w:numPr>
              <w:ind w:left="567" w:hanging="567"/>
              <w:rPr>
                <w:rFonts w:cs="Arial"/>
              </w:rPr>
            </w:pPr>
            <w:r w:rsidRPr="009B7B35">
              <w:rPr>
                <w:rFonts w:cs="Arial"/>
              </w:rPr>
              <w:t>clearly define the public realm.</w:t>
            </w:r>
          </w:p>
        </w:tc>
        <w:tc>
          <w:tcPr>
            <w:tcW w:w="4678" w:type="dxa"/>
          </w:tcPr>
          <w:p w14:paraId="0D80232F"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148CED2" w14:textId="77777777" w:rsidTr="001A7107">
        <w:trPr>
          <w:cantSplit/>
        </w:trPr>
        <w:tc>
          <w:tcPr>
            <w:tcW w:w="4678" w:type="dxa"/>
          </w:tcPr>
          <w:p w14:paraId="308FACEA" w14:textId="77777777" w:rsidR="00BE36FB" w:rsidRPr="009B7B35" w:rsidRDefault="00BE36FB" w:rsidP="001A7107">
            <w:pPr>
              <w:pStyle w:val="TableText"/>
              <w:rPr>
                <w:rFonts w:cs="Arial"/>
                <w:b/>
              </w:rPr>
            </w:pPr>
            <w:r w:rsidRPr="009B7B35">
              <w:rPr>
                <w:rFonts w:cs="Arial"/>
                <w:b/>
              </w:rPr>
              <w:t>PO15</w:t>
            </w:r>
          </w:p>
          <w:p w14:paraId="12E947AE" w14:textId="77777777" w:rsidR="00BE36FB" w:rsidRPr="009B7B35" w:rsidRDefault="00BE36FB" w:rsidP="001A7107">
            <w:pPr>
              <w:pStyle w:val="TableText"/>
              <w:rPr>
                <w:rFonts w:cs="Arial"/>
              </w:rPr>
            </w:pPr>
            <w:r w:rsidRPr="009B7B35">
              <w:rPr>
                <w:rFonts w:cs="Arial"/>
              </w:rPr>
              <w:t>Buildings and pedestrian entries:</w:t>
            </w:r>
          </w:p>
          <w:p w14:paraId="1A6F9A4E" w14:textId="77777777" w:rsidR="00BE36FB" w:rsidRPr="009B7B35" w:rsidRDefault="00BE36FB" w:rsidP="00BE36FB">
            <w:pPr>
              <w:pStyle w:val="TableText"/>
              <w:numPr>
                <w:ilvl w:val="0"/>
                <w:numId w:val="539"/>
              </w:numPr>
              <w:ind w:left="567" w:hanging="567"/>
              <w:rPr>
                <w:rFonts w:cs="Arial"/>
              </w:rPr>
            </w:pPr>
            <w:r w:rsidRPr="009B7B35">
              <w:rPr>
                <w:rFonts w:cs="Arial"/>
              </w:rPr>
              <w:t>are visible from the street and car parking areas</w:t>
            </w:r>
          </w:p>
          <w:p w14:paraId="467F6FBD" w14:textId="77777777" w:rsidR="00BE36FB" w:rsidRPr="009B7B35" w:rsidRDefault="00BE36FB" w:rsidP="00BE36FB">
            <w:pPr>
              <w:pStyle w:val="TableText"/>
              <w:numPr>
                <w:ilvl w:val="0"/>
                <w:numId w:val="539"/>
              </w:numPr>
              <w:ind w:left="567" w:hanging="567"/>
              <w:rPr>
                <w:rFonts w:cs="Arial"/>
              </w:rPr>
            </w:pPr>
            <w:r w:rsidRPr="009B7B35">
              <w:rPr>
                <w:rFonts w:cs="Arial"/>
              </w:rPr>
              <w:t>incorporate sun and rain shelter, such as overhangs or awnings, and</w:t>
            </w:r>
          </w:p>
          <w:p w14:paraId="21EE717D" w14:textId="77777777" w:rsidR="00BE36FB" w:rsidRPr="009B7B35" w:rsidRDefault="00BE36FB" w:rsidP="00BE36FB">
            <w:pPr>
              <w:pStyle w:val="TableText"/>
              <w:numPr>
                <w:ilvl w:val="0"/>
                <w:numId w:val="539"/>
              </w:numPr>
              <w:ind w:left="567" w:hanging="567"/>
              <w:rPr>
                <w:rFonts w:cs="Arial"/>
              </w:rPr>
            </w:pPr>
            <w:r w:rsidRPr="009B7B35">
              <w:rPr>
                <w:rFonts w:cs="Arial"/>
              </w:rPr>
              <w:t>are defined by design elements (such as doors and landscaping, etc.)</w:t>
            </w:r>
          </w:p>
        </w:tc>
        <w:tc>
          <w:tcPr>
            <w:tcW w:w="4678" w:type="dxa"/>
          </w:tcPr>
          <w:p w14:paraId="53849B5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E7A5065" w14:textId="77777777" w:rsidTr="001A7107">
        <w:trPr>
          <w:cantSplit/>
        </w:trPr>
        <w:tc>
          <w:tcPr>
            <w:tcW w:w="4678" w:type="dxa"/>
          </w:tcPr>
          <w:p w14:paraId="01332330" w14:textId="77777777" w:rsidR="00BE36FB" w:rsidRPr="009B7B35" w:rsidRDefault="00BE36FB" w:rsidP="001A7107">
            <w:pPr>
              <w:pStyle w:val="TableText"/>
              <w:rPr>
                <w:rFonts w:cs="Arial"/>
                <w:b/>
              </w:rPr>
            </w:pPr>
            <w:r w:rsidRPr="009B7B35">
              <w:rPr>
                <w:rFonts w:cs="Arial"/>
                <w:b/>
              </w:rPr>
              <w:t>PO16</w:t>
            </w:r>
          </w:p>
          <w:p w14:paraId="21D99433" w14:textId="77777777" w:rsidR="00BE36FB" w:rsidRPr="009B7B35" w:rsidRDefault="00BE36FB" w:rsidP="001A7107">
            <w:pPr>
              <w:pStyle w:val="TableText"/>
              <w:rPr>
                <w:rFonts w:cs="Arial"/>
              </w:rPr>
            </w:pPr>
            <w:r w:rsidRPr="009B7B35">
              <w:rPr>
                <w:rFonts w:cs="Arial"/>
              </w:rPr>
              <w:t>Buildings includes windows and openings to:</w:t>
            </w:r>
          </w:p>
          <w:p w14:paraId="33171F01" w14:textId="77777777" w:rsidR="00BE36FB" w:rsidRPr="009B7B35" w:rsidRDefault="00BE36FB" w:rsidP="00BE36FB">
            <w:pPr>
              <w:pStyle w:val="TableText"/>
              <w:numPr>
                <w:ilvl w:val="0"/>
                <w:numId w:val="540"/>
              </w:numPr>
              <w:rPr>
                <w:rFonts w:cs="Arial"/>
              </w:rPr>
            </w:pPr>
            <w:r w:rsidRPr="009B7B35">
              <w:rPr>
                <w:rFonts w:cs="Arial"/>
              </w:rPr>
              <w:t>promote street life and business activities</w:t>
            </w:r>
          </w:p>
          <w:p w14:paraId="190D2A5E" w14:textId="77777777" w:rsidR="00BE36FB" w:rsidRPr="009B7B35" w:rsidRDefault="00BE36FB" w:rsidP="00BE36FB">
            <w:pPr>
              <w:pStyle w:val="TableText"/>
              <w:numPr>
                <w:ilvl w:val="0"/>
                <w:numId w:val="540"/>
              </w:numPr>
              <w:rPr>
                <w:rFonts w:cs="Arial"/>
              </w:rPr>
            </w:pPr>
            <w:r w:rsidRPr="009B7B35">
              <w:rPr>
                <w:rFonts w:cs="Arial"/>
              </w:rPr>
              <w:t>encourage strong indoor/outdoor relationships at ground level, and</w:t>
            </w:r>
          </w:p>
          <w:p w14:paraId="291F0E70" w14:textId="77777777" w:rsidR="00BE36FB" w:rsidRPr="009B7B35" w:rsidRDefault="00BE36FB" w:rsidP="00BE36FB">
            <w:pPr>
              <w:pStyle w:val="TableText"/>
              <w:numPr>
                <w:ilvl w:val="0"/>
                <w:numId w:val="540"/>
              </w:numPr>
              <w:rPr>
                <w:rFonts w:cs="Arial"/>
              </w:rPr>
            </w:pPr>
            <w:r w:rsidRPr="009B7B35">
              <w:rPr>
                <w:rFonts w:cs="Arial"/>
              </w:rPr>
              <w:t>to facilitate casual surveillance.</w:t>
            </w:r>
          </w:p>
        </w:tc>
        <w:tc>
          <w:tcPr>
            <w:tcW w:w="4678" w:type="dxa"/>
          </w:tcPr>
          <w:p w14:paraId="277995F3"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21A859C" w14:textId="77777777" w:rsidTr="001A7107">
        <w:trPr>
          <w:cantSplit/>
        </w:trPr>
        <w:tc>
          <w:tcPr>
            <w:tcW w:w="4678" w:type="dxa"/>
          </w:tcPr>
          <w:p w14:paraId="356B3554" w14:textId="77777777" w:rsidR="00BE36FB" w:rsidRPr="009B7B35" w:rsidRDefault="00BE36FB" w:rsidP="001A7107">
            <w:pPr>
              <w:pStyle w:val="TableText"/>
              <w:rPr>
                <w:rFonts w:cs="Arial"/>
                <w:b/>
              </w:rPr>
            </w:pPr>
            <w:r w:rsidRPr="009B7B35">
              <w:rPr>
                <w:rFonts w:cs="Arial"/>
                <w:b/>
              </w:rPr>
              <w:t>PO17</w:t>
            </w:r>
          </w:p>
          <w:p w14:paraId="6CE9B8B2" w14:textId="77777777" w:rsidR="00BE36FB" w:rsidRPr="009B7B35" w:rsidRDefault="00BE36FB" w:rsidP="001A7107">
            <w:pPr>
              <w:pStyle w:val="TableText"/>
              <w:rPr>
                <w:rFonts w:cs="Arial"/>
              </w:rPr>
            </w:pPr>
            <w:r w:rsidRPr="009B7B35">
              <w:rPr>
                <w:rFonts w:cs="Arial"/>
              </w:rPr>
              <w:t xml:space="preserve">Development contributes towards high quality streetscape outcomes that integrate effectively with the street and along key pedestrian and cycle routes. </w:t>
            </w:r>
          </w:p>
        </w:tc>
        <w:tc>
          <w:tcPr>
            <w:tcW w:w="4678" w:type="dxa"/>
          </w:tcPr>
          <w:p w14:paraId="5D5F750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281D84B" w14:textId="77777777" w:rsidTr="001A7107">
        <w:trPr>
          <w:cantSplit/>
        </w:trPr>
        <w:tc>
          <w:tcPr>
            <w:tcW w:w="4678" w:type="dxa"/>
          </w:tcPr>
          <w:p w14:paraId="3E847E40" w14:textId="77777777" w:rsidR="00BE36FB" w:rsidRPr="009B7B35" w:rsidRDefault="00BE36FB" w:rsidP="001A7107">
            <w:pPr>
              <w:pStyle w:val="TableText"/>
              <w:rPr>
                <w:rFonts w:cs="Arial"/>
                <w:b/>
              </w:rPr>
            </w:pPr>
            <w:r w:rsidRPr="009B7B35">
              <w:rPr>
                <w:rFonts w:cs="Arial"/>
                <w:b/>
              </w:rPr>
              <w:t>PO18</w:t>
            </w:r>
          </w:p>
          <w:p w14:paraId="7BEC2926" w14:textId="77777777" w:rsidR="00BE36FB" w:rsidRPr="009B7B35" w:rsidRDefault="00BE36FB" w:rsidP="001A7107">
            <w:pPr>
              <w:pStyle w:val="TableText"/>
              <w:rPr>
                <w:rFonts w:cs="Arial"/>
              </w:rPr>
            </w:pPr>
            <w:r w:rsidRPr="009B7B35">
              <w:rPr>
                <w:rFonts w:cs="Arial"/>
              </w:rPr>
              <w:t>Buildings include awnings that:</w:t>
            </w:r>
          </w:p>
          <w:p w14:paraId="2DF39715" w14:textId="77777777" w:rsidR="00BE36FB" w:rsidRPr="009B7B35" w:rsidRDefault="00BE36FB" w:rsidP="00BE36FB">
            <w:pPr>
              <w:pStyle w:val="TableText"/>
              <w:numPr>
                <w:ilvl w:val="0"/>
                <w:numId w:val="541"/>
              </w:numPr>
              <w:ind w:left="567" w:hanging="567"/>
              <w:rPr>
                <w:rFonts w:cs="Arial"/>
              </w:rPr>
            </w:pPr>
            <w:r w:rsidRPr="009B7B35">
              <w:rPr>
                <w:rFonts w:cs="Arial"/>
              </w:rPr>
              <w:t>complement and integrate with the front building façade</w:t>
            </w:r>
          </w:p>
          <w:p w14:paraId="74F7D944" w14:textId="77777777" w:rsidR="00BE36FB" w:rsidRPr="009B7B35" w:rsidRDefault="00BE36FB" w:rsidP="00BE36FB">
            <w:pPr>
              <w:pStyle w:val="TableText"/>
              <w:numPr>
                <w:ilvl w:val="0"/>
                <w:numId w:val="541"/>
              </w:numPr>
              <w:ind w:left="567" w:hanging="567"/>
              <w:rPr>
                <w:rFonts w:cs="Arial"/>
              </w:rPr>
            </w:pPr>
            <w:r w:rsidRPr="009B7B35">
              <w:rPr>
                <w:rFonts w:cs="Arial"/>
              </w:rPr>
              <w:t>protect street footpaths from rain and sun</w:t>
            </w:r>
          </w:p>
          <w:p w14:paraId="63570155" w14:textId="77777777" w:rsidR="00BE36FB" w:rsidRPr="009B7B35" w:rsidRDefault="00BE36FB" w:rsidP="00BE36FB">
            <w:pPr>
              <w:pStyle w:val="TableText"/>
              <w:numPr>
                <w:ilvl w:val="0"/>
                <w:numId w:val="541"/>
              </w:numPr>
              <w:ind w:left="567" w:hanging="567"/>
              <w:rPr>
                <w:rFonts w:cs="Arial"/>
              </w:rPr>
            </w:pPr>
            <w:r w:rsidRPr="009B7B35">
              <w:rPr>
                <w:rFonts w:cs="Arial"/>
              </w:rPr>
              <w:t>are continuous and compatible with existing pedestrian shelter and awnings on adjoining buildings</w:t>
            </w:r>
          </w:p>
          <w:p w14:paraId="1BDB0EFF" w14:textId="77777777" w:rsidR="00BE36FB" w:rsidRPr="009B7B35" w:rsidRDefault="00BE36FB" w:rsidP="00BE36FB">
            <w:pPr>
              <w:pStyle w:val="TableText"/>
              <w:numPr>
                <w:ilvl w:val="0"/>
                <w:numId w:val="541"/>
              </w:numPr>
              <w:ind w:left="567" w:hanging="567"/>
              <w:rPr>
                <w:rFonts w:cs="Arial"/>
              </w:rPr>
            </w:pPr>
            <w:r w:rsidRPr="009B7B35">
              <w:rPr>
                <w:rFonts w:cs="Arial"/>
              </w:rPr>
              <w:t>allow for street trees and other landscaping</w:t>
            </w:r>
          </w:p>
          <w:p w14:paraId="3DDAFC71" w14:textId="77777777" w:rsidR="00BE36FB" w:rsidRPr="009B7B35" w:rsidRDefault="00BE36FB" w:rsidP="00BE36FB">
            <w:pPr>
              <w:pStyle w:val="TableText"/>
              <w:numPr>
                <w:ilvl w:val="0"/>
                <w:numId w:val="541"/>
              </w:numPr>
              <w:ind w:left="567" w:hanging="567"/>
              <w:rPr>
                <w:rFonts w:cs="Arial"/>
              </w:rPr>
            </w:pPr>
            <w:r w:rsidRPr="009B7B35">
              <w:rPr>
                <w:rFonts w:cs="Arial"/>
              </w:rPr>
              <w:t>are visually safe and amenable</w:t>
            </w:r>
          </w:p>
          <w:p w14:paraId="1513508C" w14:textId="77777777" w:rsidR="00BE36FB" w:rsidRPr="009B7B35" w:rsidRDefault="00BE36FB" w:rsidP="00BE36FB">
            <w:pPr>
              <w:pStyle w:val="TableText"/>
              <w:numPr>
                <w:ilvl w:val="0"/>
                <w:numId w:val="541"/>
              </w:numPr>
              <w:ind w:left="567" w:hanging="567"/>
              <w:rPr>
                <w:rFonts w:cs="Arial"/>
              </w:rPr>
            </w:pPr>
            <w:r w:rsidRPr="009B7B35">
              <w:rPr>
                <w:rFonts w:cs="Arial"/>
              </w:rPr>
              <w:t>are cantilevered from the main building and do not include posts within the footpath, and</w:t>
            </w:r>
          </w:p>
          <w:p w14:paraId="2105C801" w14:textId="77777777" w:rsidR="00BE36FB" w:rsidRPr="009B7B35" w:rsidRDefault="00BE36FB" w:rsidP="00BE36FB">
            <w:pPr>
              <w:pStyle w:val="TableText"/>
              <w:numPr>
                <w:ilvl w:val="0"/>
                <w:numId w:val="541"/>
              </w:numPr>
              <w:ind w:left="567" w:hanging="567"/>
              <w:rPr>
                <w:rFonts w:cs="Arial"/>
              </w:rPr>
            </w:pPr>
            <w:r w:rsidRPr="009B7B35">
              <w:rPr>
                <w:rFonts w:cs="Arial"/>
              </w:rPr>
              <w:t>are constructed of lightweight materials.</w:t>
            </w:r>
          </w:p>
        </w:tc>
        <w:tc>
          <w:tcPr>
            <w:tcW w:w="4678" w:type="dxa"/>
          </w:tcPr>
          <w:p w14:paraId="75D68A3A"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8C25A3D" w14:textId="77777777" w:rsidTr="001A7107">
        <w:trPr>
          <w:cantSplit/>
        </w:trPr>
        <w:tc>
          <w:tcPr>
            <w:tcW w:w="4678" w:type="dxa"/>
          </w:tcPr>
          <w:p w14:paraId="0A538D97" w14:textId="77777777" w:rsidR="00BE36FB" w:rsidRPr="009B7B35" w:rsidRDefault="00BE36FB" w:rsidP="001A7107">
            <w:pPr>
              <w:pStyle w:val="TableText"/>
              <w:rPr>
                <w:rFonts w:cs="Arial"/>
                <w:b/>
              </w:rPr>
            </w:pPr>
            <w:r w:rsidRPr="009B7B35">
              <w:rPr>
                <w:rFonts w:cs="Arial"/>
                <w:b/>
              </w:rPr>
              <w:t>PO19</w:t>
            </w:r>
          </w:p>
          <w:p w14:paraId="426B9340" w14:textId="77777777" w:rsidR="00BE36FB" w:rsidRPr="009B7B35" w:rsidRDefault="00BE36FB" w:rsidP="001A7107">
            <w:pPr>
              <w:pStyle w:val="TableText"/>
              <w:rPr>
                <w:rFonts w:cs="Arial"/>
              </w:rPr>
            </w:pPr>
            <w:r w:rsidRPr="009B7B35">
              <w:rPr>
                <w:rFonts w:cs="Arial"/>
              </w:rPr>
              <w:t xml:space="preserve">Development must ensure safe, convenient and legible connections and pathways are provided: </w:t>
            </w:r>
          </w:p>
          <w:p w14:paraId="33FCDD56" w14:textId="77777777" w:rsidR="00BE36FB" w:rsidRPr="009B7B35" w:rsidRDefault="00BE36FB" w:rsidP="00BE36FB">
            <w:pPr>
              <w:pStyle w:val="TableText"/>
              <w:numPr>
                <w:ilvl w:val="0"/>
                <w:numId w:val="542"/>
              </w:numPr>
              <w:ind w:left="567" w:hanging="567"/>
              <w:rPr>
                <w:rFonts w:cs="Arial"/>
              </w:rPr>
            </w:pPr>
            <w:r w:rsidRPr="009B7B35">
              <w:rPr>
                <w:rFonts w:cs="Arial"/>
              </w:rPr>
              <w:t>for pedestrians and cyclists to, from and within the site</w:t>
            </w:r>
          </w:p>
          <w:p w14:paraId="06C3F2FA" w14:textId="77777777" w:rsidR="00BE36FB" w:rsidRPr="009B7B35" w:rsidRDefault="00BE36FB" w:rsidP="00BE36FB">
            <w:pPr>
              <w:pStyle w:val="TableText"/>
              <w:numPr>
                <w:ilvl w:val="0"/>
                <w:numId w:val="542"/>
              </w:numPr>
              <w:ind w:left="567" w:hanging="567"/>
              <w:rPr>
                <w:rFonts w:cs="Arial"/>
              </w:rPr>
            </w:pPr>
            <w:r w:rsidRPr="009B7B35">
              <w:rPr>
                <w:rFonts w:cs="Arial"/>
              </w:rPr>
              <w:t>to public transport infrastructure, open space, parkland, centres and community–related activities.</w:t>
            </w:r>
          </w:p>
        </w:tc>
        <w:tc>
          <w:tcPr>
            <w:tcW w:w="4678" w:type="dxa"/>
          </w:tcPr>
          <w:p w14:paraId="264D2648"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FB931D3" w14:textId="77777777" w:rsidTr="001A7107">
        <w:trPr>
          <w:cantSplit/>
        </w:trPr>
        <w:tc>
          <w:tcPr>
            <w:tcW w:w="9356" w:type="dxa"/>
            <w:gridSpan w:val="2"/>
            <w:shd w:val="clear" w:color="auto" w:fill="BFBFBF" w:themeFill="background1" w:themeFillShade="BF"/>
          </w:tcPr>
          <w:p w14:paraId="530CDE4E" w14:textId="77777777" w:rsidR="00BE36FB" w:rsidRPr="009B7B35" w:rsidRDefault="00BE36FB" w:rsidP="001A7107">
            <w:pPr>
              <w:pStyle w:val="Tableheading"/>
              <w:rPr>
                <w:rFonts w:ascii="Arial" w:hAnsi="Arial" w:cs="Arial"/>
                <w:szCs w:val="20"/>
              </w:rPr>
            </w:pPr>
            <w:r w:rsidRPr="009B7B35">
              <w:rPr>
                <w:rFonts w:ascii="Arial" w:hAnsi="Arial" w:cs="Arial"/>
                <w:szCs w:val="20"/>
              </w:rPr>
              <w:t>Landscape design</w:t>
            </w:r>
          </w:p>
        </w:tc>
      </w:tr>
      <w:tr w:rsidR="00BE36FB" w:rsidRPr="009B7B35" w14:paraId="5DD4C47F" w14:textId="77777777" w:rsidTr="001A7107">
        <w:tc>
          <w:tcPr>
            <w:tcW w:w="4678" w:type="dxa"/>
          </w:tcPr>
          <w:p w14:paraId="6EB93D2C" w14:textId="77777777" w:rsidR="00BE36FB" w:rsidRPr="009B7B35" w:rsidRDefault="00BE36FB" w:rsidP="001A7107">
            <w:pPr>
              <w:pStyle w:val="TableText"/>
              <w:rPr>
                <w:rFonts w:cs="Arial"/>
                <w:b/>
              </w:rPr>
            </w:pPr>
            <w:r w:rsidRPr="009B7B35">
              <w:rPr>
                <w:rFonts w:cs="Arial"/>
                <w:b/>
              </w:rPr>
              <w:t>PO20</w:t>
            </w:r>
          </w:p>
          <w:p w14:paraId="536CB2CD" w14:textId="77777777" w:rsidR="00BE36FB" w:rsidRPr="009B7B35" w:rsidRDefault="00BE36FB" w:rsidP="001A7107">
            <w:pPr>
              <w:pStyle w:val="TableText"/>
              <w:rPr>
                <w:rFonts w:cs="Arial"/>
              </w:rPr>
            </w:pPr>
            <w:r w:rsidRPr="009B7B35">
              <w:rPr>
                <w:rFonts w:cs="Arial"/>
              </w:rPr>
              <w:t>Landscape elements are integrated in the building design through planting at various levels including on top of podiums, rooftops and within storeys.</w:t>
            </w:r>
          </w:p>
          <w:p w14:paraId="0C143905" w14:textId="77777777" w:rsidR="00BE36FB" w:rsidRPr="009B7B35" w:rsidRDefault="00BE36FB" w:rsidP="001A7107">
            <w:pPr>
              <w:pStyle w:val="Notes"/>
              <w:rPr>
                <w:rFonts w:cs="Arial"/>
                <w:sz w:val="20"/>
                <w:szCs w:val="20"/>
              </w:rPr>
            </w:pPr>
            <w:r w:rsidRPr="009B7B35">
              <w:rPr>
                <w:rFonts w:cs="Arial"/>
                <w:sz w:val="20"/>
                <w:szCs w:val="20"/>
              </w:rPr>
              <w:t>Note—Refer also to the Landscaping code.</w:t>
            </w:r>
          </w:p>
        </w:tc>
        <w:tc>
          <w:tcPr>
            <w:tcW w:w="4678" w:type="dxa"/>
          </w:tcPr>
          <w:p w14:paraId="7EDC206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CF34445" w14:textId="77777777" w:rsidTr="001A7107">
        <w:tc>
          <w:tcPr>
            <w:tcW w:w="4678" w:type="dxa"/>
          </w:tcPr>
          <w:p w14:paraId="46832051" w14:textId="77777777" w:rsidR="00BE36FB" w:rsidRPr="009B7B35" w:rsidRDefault="00BE36FB" w:rsidP="001A7107">
            <w:pPr>
              <w:pStyle w:val="TableText"/>
              <w:rPr>
                <w:rFonts w:cs="Arial"/>
                <w:b/>
              </w:rPr>
            </w:pPr>
            <w:r w:rsidRPr="009B7B35">
              <w:rPr>
                <w:rFonts w:cs="Arial"/>
                <w:b/>
              </w:rPr>
              <w:t>PO21</w:t>
            </w:r>
          </w:p>
          <w:p w14:paraId="2F7B97A6" w14:textId="77777777" w:rsidR="00BE36FB" w:rsidRPr="009B7B35" w:rsidRDefault="00BE36FB" w:rsidP="001A7107">
            <w:pPr>
              <w:pStyle w:val="TableText"/>
              <w:rPr>
                <w:rFonts w:cs="Arial"/>
              </w:rPr>
            </w:pPr>
            <w:r w:rsidRPr="009B7B35">
              <w:rPr>
                <w:rFonts w:cs="Arial"/>
              </w:rPr>
              <w:t>Landscape treatments includes hard and soft elements that:</w:t>
            </w:r>
          </w:p>
          <w:p w14:paraId="33757513" w14:textId="77777777" w:rsidR="00BE36FB" w:rsidRPr="009B7B35" w:rsidRDefault="00BE36FB" w:rsidP="00BE36FB">
            <w:pPr>
              <w:pStyle w:val="TableText"/>
              <w:numPr>
                <w:ilvl w:val="0"/>
                <w:numId w:val="543"/>
              </w:numPr>
              <w:ind w:left="567" w:hanging="567"/>
              <w:rPr>
                <w:rFonts w:cs="Arial"/>
              </w:rPr>
            </w:pPr>
            <w:r w:rsidRPr="009B7B35">
              <w:rPr>
                <w:rFonts w:cs="Arial"/>
              </w:rPr>
              <w:t>is of a character and durability that reflects the centre</w:t>
            </w:r>
          </w:p>
          <w:p w14:paraId="3C193577" w14:textId="77777777" w:rsidR="00BE36FB" w:rsidRPr="009B7B35" w:rsidRDefault="00BE36FB" w:rsidP="00BE36FB">
            <w:pPr>
              <w:pStyle w:val="TableText"/>
              <w:numPr>
                <w:ilvl w:val="0"/>
                <w:numId w:val="543"/>
              </w:numPr>
              <w:ind w:left="567" w:hanging="567"/>
              <w:rPr>
                <w:rFonts w:cs="Arial"/>
              </w:rPr>
            </w:pPr>
            <w:r w:rsidRPr="009B7B35">
              <w:rPr>
                <w:rFonts w:cs="Arial"/>
              </w:rPr>
              <w:t>enhance the appearance of the centre</w:t>
            </w:r>
          </w:p>
          <w:p w14:paraId="2E24EEB9" w14:textId="77777777" w:rsidR="00BE36FB" w:rsidRPr="009B7B35" w:rsidRDefault="00BE36FB" w:rsidP="00BE36FB">
            <w:pPr>
              <w:pStyle w:val="TableText"/>
              <w:numPr>
                <w:ilvl w:val="0"/>
                <w:numId w:val="543"/>
              </w:numPr>
              <w:ind w:left="567" w:hanging="567"/>
              <w:rPr>
                <w:rFonts w:cs="Arial"/>
              </w:rPr>
            </w:pPr>
            <w:r w:rsidRPr="009B7B35">
              <w:rPr>
                <w:rFonts w:cs="Arial"/>
              </w:rPr>
              <w:t>extends from the street edge into building entrances, foyers and onto podiums</w:t>
            </w:r>
          </w:p>
          <w:p w14:paraId="59E6F68A" w14:textId="77777777" w:rsidR="00BE36FB" w:rsidRPr="009B7B35" w:rsidRDefault="00BE36FB" w:rsidP="00BE36FB">
            <w:pPr>
              <w:pStyle w:val="TableText"/>
              <w:numPr>
                <w:ilvl w:val="0"/>
                <w:numId w:val="543"/>
              </w:numPr>
              <w:ind w:left="567" w:hanging="567"/>
              <w:rPr>
                <w:rFonts w:cs="Arial"/>
              </w:rPr>
            </w:pPr>
            <w:r w:rsidRPr="009B7B35">
              <w:rPr>
                <w:rFonts w:cs="Arial"/>
              </w:rPr>
              <w:t>emphasises a clear pedestrian entry point</w:t>
            </w:r>
          </w:p>
          <w:p w14:paraId="0C8CE2FA" w14:textId="77777777" w:rsidR="00BE36FB" w:rsidRPr="009B7B35" w:rsidRDefault="00BE36FB" w:rsidP="00BE36FB">
            <w:pPr>
              <w:pStyle w:val="TableText"/>
              <w:numPr>
                <w:ilvl w:val="0"/>
                <w:numId w:val="543"/>
              </w:numPr>
              <w:ind w:left="567" w:hanging="567"/>
              <w:rPr>
                <w:rFonts w:cs="Arial"/>
              </w:rPr>
            </w:pPr>
            <w:r w:rsidRPr="009B7B35">
              <w:rPr>
                <w:rFonts w:cs="Arial"/>
              </w:rPr>
              <w:t>screen unsightly components</w:t>
            </w:r>
          </w:p>
          <w:p w14:paraId="13EC584E" w14:textId="77777777" w:rsidR="00BE36FB" w:rsidRPr="009B7B35" w:rsidRDefault="00BE36FB" w:rsidP="00BE36FB">
            <w:pPr>
              <w:pStyle w:val="TableText"/>
              <w:numPr>
                <w:ilvl w:val="0"/>
                <w:numId w:val="543"/>
              </w:numPr>
              <w:ind w:left="567" w:hanging="567"/>
              <w:rPr>
                <w:rFonts w:cs="Arial"/>
              </w:rPr>
            </w:pPr>
            <w:r w:rsidRPr="009B7B35">
              <w:rPr>
                <w:rFonts w:cs="Arial"/>
              </w:rPr>
              <w:t>provide shading, and</w:t>
            </w:r>
          </w:p>
          <w:p w14:paraId="6D0466C0" w14:textId="77777777" w:rsidR="00BE36FB" w:rsidRPr="009B7B35" w:rsidRDefault="00BE36FB" w:rsidP="00BE36FB">
            <w:pPr>
              <w:pStyle w:val="TableText"/>
              <w:numPr>
                <w:ilvl w:val="0"/>
                <w:numId w:val="543"/>
              </w:numPr>
              <w:ind w:left="567" w:hanging="567"/>
              <w:rPr>
                <w:rFonts w:cs="Arial"/>
              </w:rPr>
            </w:pPr>
            <w:r w:rsidRPr="009B7B35">
              <w:rPr>
                <w:rFonts w:cs="Arial"/>
              </w:rPr>
              <w:t>reflects and reinforces a subtropical image through integrating landscape, outdoor and indoor spaces.</w:t>
            </w:r>
          </w:p>
          <w:p w14:paraId="5CE6B95A" w14:textId="77777777" w:rsidR="00BE36FB" w:rsidRPr="009B7B35" w:rsidRDefault="00BE36FB" w:rsidP="001A7107">
            <w:pPr>
              <w:pStyle w:val="Notes"/>
              <w:rPr>
                <w:rFonts w:cs="Arial"/>
                <w:sz w:val="20"/>
                <w:szCs w:val="20"/>
              </w:rPr>
            </w:pPr>
            <w:r w:rsidRPr="009B7B35">
              <w:rPr>
                <w:rFonts w:cs="Arial"/>
                <w:sz w:val="20"/>
                <w:szCs w:val="20"/>
              </w:rPr>
              <w:t>Note—Refer also to the Landscaping code.</w:t>
            </w:r>
          </w:p>
        </w:tc>
        <w:tc>
          <w:tcPr>
            <w:tcW w:w="4678" w:type="dxa"/>
          </w:tcPr>
          <w:p w14:paraId="1A61973A"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F83DCE7" w14:textId="77777777" w:rsidTr="001A7107">
        <w:trPr>
          <w:cantSplit/>
        </w:trPr>
        <w:tc>
          <w:tcPr>
            <w:tcW w:w="9356" w:type="dxa"/>
            <w:gridSpan w:val="2"/>
            <w:shd w:val="clear" w:color="auto" w:fill="BFBFBF" w:themeFill="background1" w:themeFillShade="BF"/>
          </w:tcPr>
          <w:p w14:paraId="0B8EC763" w14:textId="77777777"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14:paraId="4A61B266" w14:textId="77777777" w:rsidTr="001A7107">
        <w:tc>
          <w:tcPr>
            <w:tcW w:w="4678" w:type="dxa"/>
            <w:vMerge w:val="restart"/>
          </w:tcPr>
          <w:p w14:paraId="00BE961D" w14:textId="77777777" w:rsidR="00BE36FB" w:rsidRPr="009B7B35" w:rsidRDefault="00BE36FB" w:rsidP="001A7107">
            <w:pPr>
              <w:pStyle w:val="TableText"/>
              <w:rPr>
                <w:rFonts w:cs="Arial"/>
                <w:b/>
              </w:rPr>
            </w:pPr>
            <w:r w:rsidRPr="009B7B35">
              <w:rPr>
                <w:rFonts w:cs="Arial"/>
                <w:b/>
              </w:rPr>
              <w:t>PO22</w:t>
            </w:r>
          </w:p>
          <w:p w14:paraId="2A918451" w14:textId="77777777" w:rsidR="00BE36FB" w:rsidRPr="009B7B35" w:rsidRDefault="00BE36FB" w:rsidP="001A7107">
            <w:pPr>
              <w:pStyle w:val="TableText"/>
              <w:rPr>
                <w:rFonts w:cs="Arial"/>
              </w:rPr>
            </w:pPr>
            <w:r w:rsidRPr="009B7B35">
              <w:rPr>
                <w:rFonts w:cs="Arial"/>
              </w:rPr>
              <w:t>Development is located, designed and operated so that adverse impacts on privacy and amenity on nearby land in a residential zone are minimised.</w:t>
            </w:r>
          </w:p>
        </w:tc>
        <w:tc>
          <w:tcPr>
            <w:tcW w:w="4678" w:type="dxa"/>
          </w:tcPr>
          <w:p w14:paraId="2B8DF098" w14:textId="77777777" w:rsidR="00BE36FB" w:rsidRPr="009B7B35" w:rsidRDefault="00BE36FB" w:rsidP="001A7107">
            <w:pPr>
              <w:pStyle w:val="TableText"/>
              <w:rPr>
                <w:rFonts w:cs="Arial"/>
                <w:b/>
              </w:rPr>
            </w:pPr>
            <w:r w:rsidRPr="009B7B35">
              <w:rPr>
                <w:rFonts w:cs="Arial"/>
                <w:b/>
              </w:rPr>
              <w:t>AO22.1</w:t>
            </w:r>
          </w:p>
          <w:p w14:paraId="7F53BC09" w14:textId="77777777" w:rsidR="00BE36FB" w:rsidRPr="009B7B35" w:rsidRDefault="00BE36FB" w:rsidP="001A7107">
            <w:pPr>
              <w:pStyle w:val="TableText"/>
              <w:rPr>
                <w:rFonts w:cs="Arial"/>
              </w:rPr>
            </w:pPr>
            <w:r w:rsidRPr="009B7B35">
              <w:rPr>
                <w:rFonts w:cs="Arial"/>
              </w:rPr>
              <w:t>Buildings are set back 3m from any boundary shared with a residential zone.</w:t>
            </w:r>
          </w:p>
        </w:tc>
      </w:tr>
      <w:tr w:rsidR="00BE36FB" w:rsidRPr="009B7B35" w14:paraId="20475CD0" w14:textId="77777777" w:rsidTr="001A7107">
        <w:tc>
          <w:tcPr>
            <w:tcW w:w="4678" w:type="dxa"/>
            <w:vMerge/>
          </w:tcPr>
          <w:p w14:paraId="2105BE5C" w14:textId="77777777" w:rsidR="00BE36FB" w:rsidRPr="009B7B35" w:rsidRDefault="00BE36FB" w:rsidP="001A7107">
            <w:pPr>
              <w:rPr>
                <w:rFonts w:cs="Arial"/>
                <w:sz w:val="20"/>
                <w:szCs w:val="20"/>
              </w:rPr>
            </w:pPr>
          </w:p>
        </w:tc>
        <w:tc>
          <w:tcPr>
            <w:tcW w:w="4678" w:type="dxa"/>
          </w:tcPr>
          <w:p w14:paraId="746497F3" w14:textId="77777777" w:rsidR="00BE36FB" w:rsidRPr="009B7B35" w:rsidRDefault="00BE36FB" w:rsidP="001A7107">
            <w:pPr>
              <w:pStyle w:val="TableText"/>
              <w:rPr>
                <w:rFonts w:cs="Arial"/>
              </w:rPr>
            </w:pPr>
            <w:r w:rsidRPr="009B7B35">
              <w:rPr>
                <w:rFonts w:cs="Arial"/>
              </w:rPr>
              <w:t>AO22.2</w:t>
            </w:r>
          </w:p>
          <w:p w14:paraId="52263EE3" w14:textId="77777777" w:rsidR="00BE36FB" w:rsidRPr="009B7B35" w:rsidRDefault="00BE36FB" w:rsidP="001A7107">
            <w:pPr>
              <w:pStyle w:val="TableText"/>
              <w:rPr>
                <w:rFonts w:cs="Arial"/>
              </w:rPr>
            </w:pPr>
            <w:r w:rsidRPr="009B7B35">
              <w:rPr>
                <w:rFonts w:cs="Arial"/>
              </w:rPr>
              <w:t>A 1.8m high solid screen fence is provided along all boundaries shared with a residential zone.</w:t>
            </w:r>
          </w:p>
        </w:tc>
      </w:tr>
      <w:tr w:rsidR="00BE36FB" w:rsidRPr="009B7B35" w14:paraId="1DE7535A" w14:textId="77777777" w:rsidTr="001A7107">
        <w:tc>
          <w:tcPr>
            <w:tcW w:w="4678" w:type="dxa"/>
            <w:vMerge/>
          </w:tcPr>
          <w:p w14:paraId="6CC062F0" w14:textId="77777777" w:rsidR="00BE36FB" w:rsidRPr="009B7B35" w:rsidRDefault="00BE36FB" w:rsidP="001A7107">
            <w:pPr>
              <w:rPr>
                <w:rFonts w:cs="Arial"/>
                <w:sz w:val="20"/>
                <w:szCs w:val="20"/>
              </w:rPr>
            </w:pPr>
          </w:p>
        </w:tc>
        <w:tc>
          <w:tcPr>
            <w:tcW w:w="4678" w:type="dxa"/>
          </w:tcPr>
          <w:p w14:paraId="2BA0870D" w14:textId="77777777" w:rsidR="00BE36FB" w:rsidRPr="009B7B35" w:rsidRDefault="00BE36FB" w:rsidP="001A7107">
            <w:pPr>
              <w:pStyle w:val="TableText"/>
              <w:rPr>
                <w:rFonts w:cs="Arial"/>
                <w:b/>
              </w:rPr>
            </w:pPr>
            <w:r w:rsidRPr="009B7B35">
              <w:rPr>
                <w:rFonts w:cs="Arial"/>
                <w:b/>
              </w:rPr>
              <w:t>AO22.3</w:t>
            </w:r>
          </w:p>
          <w:p w14:paraId="4869CCEC" w14:textId="77777777" w:rsidR="00BE36FB" w:rsidRPr="009B7B35" w:rsidRDefault="00BE36FB" w:rsidP="001A7107">
            <w:pPr>
              <w:pStyle w:val="TableText"/>
              <w:rPr>
                <w:rFonts w:cs="Arial"/>
              </w:rPr>
            </w:pPr>
            <w:r w:rsidRPr="009B7B35">
              <w:rPr>
                <w:rFonts w:cs="Arial"/>
              </w:rPr>
              <w:t>A landscaped buffer with a minimum width of 2m and consisting of dense screen planting is provided along all boundaries shared with a residential zone.</w:t>
            </w:r>
          </w:p>
        </w:tc>
      </w:tr>
      <w:tr w:rsidR="00BE36FB" w:rsidRPr="009B7B35" w14:paraId="0CCD289B" w14:textId="77777777" w:rsidTr="001A7107">
        <w:tc>
          <w:tcPr>
            <w:tcW w:w="4678" w:type="dxa"/>
            <w:vMerge/>
          </w:tcPr>
          <w:p w14:paraId="4E756076" w14:textId="77777777" w:rsidR="00BE36FB" w:rsidRPr="009B7B35" w:rsidRDefault="00BE36FB" w:rsidP="001A7107">
            <w:pPr>
              <w:rPr>
                <w:rFonts w:cs="Arial"/>
                <w:sz w:val="20"/>
                <w:szCs w:val="20"/>
              </w:rPr>
            </w:pPr>
          </w:p>
        </w:tc>
        <w:tc>
          <w:tcPr>
            <w:tcW w:w="4678" w:type="dxa"/>
          </w:tcPr>
          <w:p w14:paraId="080274A0" w14:textId="77777777" w:rsidR="00BE36FB" w:rsidRPr="009B7B35" w:rsidRDefault="00BE36FB" w:rsidP="001A7107">
            <w:pPr>
              <w:pStyle w:val="TableText"/>
              <w:rPr>
                <w:rFonts w:cs="Arial"/>
                <w:b/>
              </w:rPr>
            </w:pPr>
            <w:r w:rsidRPr="009B7B35">
              <w:rPr>
                <w:rFonts w:cs="Arial"/>
                <w:b/>
              </w:rPr>
              <w:t>AO22.4</w:t>
            </w:r>
          </w:p>
          <w:p w14:paraId="6140C4DC" w14:textId="77777777" w:rsidR="00BE36FB" w:rsidRPr="009B7B35" w:rsidRDefault="00BE36FB" w:rsidP="001A7107">
            <w:pPr>
              <w:pStyle w:val="TableText"/>
              <w:rPr>
                <w:rFonts w:cs="Arial"/>
              </w:rPr>
            </w:pPr>
            <w:r w:rsidRPr="009B7B35">
              <w:rPr>
                <w:rFonts w:cs="Arial"/>
              </w:rPr>
              <w:t>Windows that have a direct view into an adjoining residential use are provided with fixed screening that is a maximum of 50% transparent to obscure views and maintain privacy for residents.</w:t>
            </w:r>
          </w:p>
        </w:tc>
      </w:tr>
      <w:tr w:rsidR="00BE36FB" w:rsidRPr="009B7B35" w14:paraId="733481A3" w14:textId="77777777" w:rsidTr="001A7107">
        <w:tc>
          <w:tcPr>
            <w:tcW w:w="4678" w:type="dxa"/>
          </w:tcPr>
          <w:p w14:paraId="359B7F60" w14:textId="77777777" w:rsidR="00BE36FB" w:rsidRPr="009B7B35" w:rsidRDefault="00BE36FB" w:rsidP="001A7107">
            <w:pPr>
              <w:pStyle w:val="TableText"/>
              <w:rPr>
                <w:rFonts w:cs="Arial"/>
                <w:b/>
              </w:rPr>
            </w:pPr>
            <w:r w:rsidRPr="009B7B35">
              <w:rPr>
                <w:rFonts w:cs="Arial"/>
                <w:b/>
              </w:rPr>
              <w:t>PO23</w:t>
            </w:r>
          </w:p>
          <w:p w14:paraId="29726124" w14:textId="77777777" w:rsidR="00BE36FB" w:rsidRPr="009B7B35" w:rsidRDefault="00BE36FB" w:rsidP="001A7107">
            <w:pPr>
              <w:pStyle w:val="TableText"/>
              <w:rPr>
                <w:rFonts w:cs="Arial"/>
              </w:rPr>
            </w:pPr>
            <w:r w:rsidRPr="009B7B35">
              <w:rPr>
                <w:rFonts w:cs="Arial"/>
              </w:rPr>
              <w:t>Development minimises impacts on surrounding land and provides for an appropriate level of amenity within the centre, having regard to:</w:t>
            </w:r>
          </w:p>
          <w:p w14:paraId="24055EB2" w14:textId="77777777" w:rsidR="00BE36FB" w:rsidRPr="009B7B35" w:rsidRDefault="00BE36FB" w:rsidP="00BE36FB">
            <w:pPr>
              <w:pStyle w:val="TableText"/>
              <w:numPr>
                <w:ilvl w:val="0"/>
                <w:numId w:val="544"/>
              </w:numPr>
              <w:rPr>
                <w:rFonts w:cs="Arial"/>
              </w:rPr>
            </w:pPr>
            <w:r w:rsidRPr="009B7B35">
              <w:rPr>
                <w:rFonts w:cs="Arial"/>
              </w:rPr>
              <w:t>noise</w:t>
            </w:r>
          </w:p>
          <w:p w14:paraId="7D0EAA7A" w14:textId="77777777" w:rsidR="00BE36FB" w:rsidRPr="009B7B35" w:rsidRDefault="00BE36FB" w:rsidP="00BE36FB">
            <w:pPr>
              <w:pStyle w:val="TableText"/>
              <w:numPr>
                <w:ilvl w:val="0"/>
                <w:numId w:val="544"/>
              </w:numPr>
              <w:rPr>
                <w:rFonts w:cs="Arial"/>
              </w:rPr>
            </w:pPr>
            <w:r w:rsidRPr="009B7B35">
              <w:rPr>
                <w:rFonts w:cs="Arial"/>
              </w:rPr>
              <w:t>hours of operation</w:t>
            </w:r>
          </w:p>
          <w:p w14:paraId="36AF0607" w14:textId="77777777" w:rsidR="00BE36FB" w:rsidRPr="009B7B35" w:rsidRDefault="00BE36FB" w:rsidP="00BE36FB">
            <w:pPr>
              <w:pStyle w:val="TableText"/>
              <w:numPr>
                <w:ilvl w:val="0"/>
                <w:numId w:val="544"/>
              </w:numPr>
              <w:rPr>
                <w:rFonts w:cs="Arial"/>
              </w:rPr>
            </w:pPr>
            <w:r w:rsidRPr="009B7B35">
              <w:rPr>
                <w:rFonts w:cs="Arial"/>
              </w:rPr>
              <w:t>traffic</w:t>
            </w:r>
          </w:p>
          <w:p w14:paraId="7387102F" w14:textId="77777777" w:rsidR="00BE36FB" w:rsidRPr="009B7B35" w:rsidRDefault="00BE36FB" w:rsidP="00BE36FB">
            <w:pPr>
              <w:pStyle w:val="TableText"/>
              <w:numPr>
                <w:ilvl w:val="0"/>
                <w:numId w:val="544"/>
              </w:numPr>
              <w:rPr>
                <w:rFonts w:cs="Arial"/>
              </w:rPr>
            </w:pPr>
            <w:r w:rsidRPr="009B7B35">
              <w:rPr>
                <w:rFonts w:cs="Arial"/>
              </w:rPr>
              <w:t>visual impact</w:t>
            </w:r>
          </w:p>
          <w:p w14:paraId="1F84CC85" w14:textId="77777777" w:rsidR="00BE36FB" w:rsidRPr="009B7B35" w:rsidRDefault="00BE36FB" w:rsidP="00BE36FB">
            <w:pPr>
              <w:pStyle w:val="TableText"/>
              <w:numPr>
                <w:ilvl w:val="0"/>
                <w:numId w:val="544"/>
              </w:numPr>
              <w:rPr>
                <w:rFonts w:cs="Arial"/>
              </w:rPr>
            </w:pPr>
            <w:r w:rsidRPr="009B7B35">
              <w:rPr>
                <w:rFonts w:cs="Arial"/>
              </w:rPr>
              <w:t>signage</w:t>
            </w:r>
          </w:p>
          <w:p w14:paraId="44A6BE18" w14:textId="77777777" w:rsidR="00BE36FB" w:rsidRPr="009B7B35" w:rsidRDefault="00BE36FB" w:rsidP="00BE36FB">
            <w:pPr>
              <w:pStyle w:val="TableText"/>
              <w:numPr>
                <w:ilvl w:val="0"/>
                <w:numId w:val="544"/>
              </w:numPr>
              <w:rPr>
                <w:rFonts w:cs="Arial"/>
              </w:rPr>
            </w:pPr>
            <w:r w:rsidRPr="009B7B35">
              <w:rPr>
                <w:rFonts w:cs="Arial"/>
              </w:rPr>
              <w:t>odour and emissions</w:t>
            </w:r>
          </w:p>
          <w:p w14:paraId="4BD765E6" w14:textId="77777777" w:rsidR="00BE36FB" w:rsidRPr="009B7B35" w:rsidRDefault="00BE36FB" w:rsidP="00BE36FB">
            <w:pPr>
              <w:pStyle w:val="TableText"/>
              <w:numPr>
                <w:ilvl w:val="0"/>
                <w:numId w:val="544"/>
              </w:numPr>
              <w:rPr>
                <w:rFonts w:cs="Arial"/>
              </w:rPr>
            </w:pPr>
            <w:r w:rsidRPr="009B7B35">
              <w:rPr>
                <w:rFonts w:cs="Arial"/>
              </w:rPr>
              <w:t>lighting</w:t>
            </w:r>
          </w:p>
          <w:p w14:paraId="216D17D3" w14:textId="77777777" w:rsidR="00BE36FB" w:rsidRPr="009B7B35" w:rsidRDefault="00BE36FB" w:rsidP="00BE36FB">
            <w:pPr>
              <w:pStyle w:val="TableText"/>
              <w:numPr>
                <w:ilvl w:val="0"/>
                <w:numId w:val="544"/>
              </w:numPr>
              <w:rPr>
                <w:rFonts w:cs="Arial"/>
              </w:rPr>
            </w:pPr>
            <w:r w:rsidRPr="009B7B35">
              <w:rPr>
                <w:rFonts w:cs="Arial"/>
              </w:rPr>
              <w:t>access to sunlight</w:t>
            </w:r>
          </w:p>
          <w:p w14:paraId="7137C960" w14:textId="77777777" w:rsidR="00BE36FB" w:rsidRPr="009B7B35" w:rsidRDefault="00BE36FB" w:rsidP="00BE36FB">
            <w:pPr>
              <w:pStyle w:val="TableText"/>
              <w:numPr>
                <w:ilvl w:val="0"/>
                <w:numId w:val="544"/>
              </w:numPr>
              <w:rPr>
                <w:rFonts w:cs="Arial"/>
              </w:rPr>
            </w:pPr>
            <w:r w:rsidRPr="009B7B35">
              <w:rPr>
                <w:rFonts w:cs="Arial"/>
              </w:rPr>
              <w:t>privacy, and</w:t>
            </w:r>
          </w:p>
          <w:p w14:paraId="04354BE9" w14:textId="77777777" w:rsidR="00BE36FB" w:rsidRPr="009B7B35" w:rsidRDefault="00BE36FB" w:rsidP="00BE36FB">
            <w:pPr>
              <w:pStyle w:val="TableText"/>
              <w:numPr>
                <w:ilvl w:val="0"/>
                <w:numId w:val="544"/>
              </w:numPr>
              <w:rPr>
                <w:rFonts w:cs="Arial"/>
              </w:rPr>
            </w:pPr>
            <w:r w:rsidRPr="009B7B35">
              <w:rPr>
                <w:rFonts w:cs="Arial"/>
              </w:rPr>
              <w:t>outlook.</w:t>
            </w:r>
          </w:p>
          <w:p w14:paraId="0BADC9A4" w14:textId="77777777" w:rsidR="00BE36FB" w:rsidRPr="009B7B35" w:rsidRDefault="00BE36FB" w:rsidP="001A7107">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14:paraId="251D618F"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7F24D23" w14:textId="77777777" w:rsidTr="001A7107">
        <w:tc>
          <w:tcPr>
            <w:tcW w:w="4678" w:type="dxa"/>
          </w:tcPr>
          <w:p w14:paraId="405E507D" w14:textId="77777777" w:rsidR="00BE36FB" w:rsidRPr="009B7B35" w:rsidRDefault="00BE36FB" w:rsidP="001A7107">
            <w:pPr>
              <w:pStyle w:val="TableText"/>
              <w:rPr>
                <w:rFonts w:cs="Arial"/>
                <w:b/>
              </w:rPr>
            </w:pPr>
            <w:r w:rsidRPr="009B7B35">
              <w:rPr>
                <w:rFonts w:cs="Arial"/>
                <w:b/>
              </w:rPr>
              <w:t>PO24</w:t>
            </w:r>
          </w:p>
          <w:p w14:paraId="7D429210" w14:textId="77777777" w:rsidR="00BE36FB" w:rsidRPr="009B7B35" w:rsidRDefault="00BE36FB" w:rsidP="001A7107">
            <w:pPr>
              <w:pStyle w:val="TableText"/>
              <w:rPr>
                <w:rFonts w:cs="Arial"/>
              </w:rPr>
            </w:pPr>
            <w:r w:rsidRPr="009B7B35">
              <w:rPr>
                <w:rFonts w:cs="Arial"/>
              </w:rPr>
              <w:t>All uses are located, designed, orientated and constructed to:</w:t>
            </w:r>
          </w:p>
          <w:p w14:paraId="7DEA7B07" w14:textId="77777777" w:rsidR="00BE36FB" w:rsidRPr="009B7B35" w:rsidRDefault="00BE36FB" w:rsidP="00BE36FB">
            <w:pPr>
              <w:pStyle w:val="TableText"/>
              <w:numPr>
                <w:ilvl w:val="0"/>
                <w:numId w:val="545"/>
              </w:numPr>
              <w:rPr>
                <w:rFonts w:cs="Arial"/>
              </w:rPr>
            </w:pPr>
            <w:r w:rsidRPr="009B7B35">
              <w:rPr>
                <w:rFonts w:cs="Arial"/>
              </w:rPr>
              <w:t>minimise noise dust, odour or other nuisance from existing lawful uses, and</w:t>
            </w:r>
          </w:p>
          <w:p w14:paraId="277EA844" w14:textId="77777777" w:rsidR="00BE36FB" w:rsidRPr="009B7B35" w:rsidRDefault="00BE36FB" w:rsidP="00BE36FB">
            <w:pPr>
              <w:pStyle w:val="TableText"/>
              <w:numPr>
                <w:ilvl w:val="0"/>
                <w:numId w:val="545"/>
              </w:numPr>
              <w:rPr>
                <w:rFonts w:cs="Arial"/>
              </w:rPr>
            </w:pPr>
            <w:r w:rsidRPr="009B7B35">
              <w:rPr>
                <w:rFonts w:cs="Arial"/>
              </w:rPr>
              <w:t xml:space="preserve">minimise nuisance caused by noise, vibration and dust emissions generated by the state–controlled road and rail network in the vicinity. </w:t>
            </w:r>
          </w:p>
        </w:tc>
        <w:tc>
          <w:tcPr>
            <w:tcW w:w="4678" w:type="dxa"/>
          </w:tcPr>
          <w:p w14:paraId="410A01C2"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3A702E5" w14:textId="77777777" w:rsidTr="001A7107">
        <w:trPr>
          <w:cantSplit/>
        </w:trPr>
        <w:tc>
          <w:tcPr>
            <w:tcW w:w="9356" w:type="dxa"/>
            <w:gridSpan w:val="2"/>
            <w:shd w:val="clear" w:color="auto" w:fill="BFBFBF" w:themeFill="background1" w:themeFillShade="BF"/>
          </w:tcPr>
          <w:p w14:paraId="65861380" w14:textId="77777777" w:rsidR="00BE36FB" w:rsidRPr="009B7B35" w:rsidRDefault="00BE36FB" w:rsidP="001A7107">
            <w:pPr>
              <w:pStyle w:val="Tableheading"/>
              <w:rPr>
                <w:rFonts w:ascii="Arial" w:hAnsi="Arial" w:cs="Arial"/>
                <w:szCs w:val="20"/>
              </w:rPr>
            </w:pPr>
            <w:r w:rsidRPr="009B7B35">
              <w:rPr>
                <w:rFonts w:ascii="Arial" w:hAnsi="Arial" w:cs="Arial"/>
                <w:szCs w:val="20"/>
              </w:rPr>
              <w:t>Car parking and access</w:t>
            </w:r>
          </w:p>
        </w:tc>
      </w:tr>
      <w:tr w:rsidR="00BE36FB" w:rsidRPr="009B7B35" w14:paraId="08EDFB60" w14:textId="77777777" w:rsidTr="001A7107">
        <w:trPr>
          <w:cantSplit/>
        </w:trPr>
        <w:tc>
          <w:tcPr>
            <w:tcW w:w="4678" w:type="dxa"/>
            <w:vMerge w:val="restart"/>
          </w:tcPr>
          <w:p w14:paraId="1926EC87" w14:textId="77777777" w:rsidR="00BE36FB" w:rsidRPr="009B7B35" w:rsidRDefault="00BE36FB" w:rsidP="001A7107">
            <w:pPr>
              <w:pStyle w:val="TableText"/>
              <w:rPr>
                <w:rFonts w:cs="Arial"/>
                <w:b/>
              </w:rPr>
            </w:pPr>
            <w:r w:rsidRPr="009B7B35">
              <w:rPr>
                <w:rFonts w:cs="Arial"/>
                <w:b/>
              </w:rPr>
              <w:t>PO25</w:t>
            </w:r>
          </w:p>
          <w:p w14:paraId="054CA8A6" w14:textId="77777777" w:rsidR="00BE36FB" w:rsidRPr="009B7B35" w:rsidRDefault="00BE36FB" w:rsidP="001A7107">
            <w:pPr>
              <w:pStyle w:val="TableText"/>
              <w:rPr>
                <w:rFonts w:cs="Arial"/>
              </w:rPr>
            </w:pPr>
            <w:r w:rsidRPr="009B7B35">
              <w:rPr>
                <w:rFonts w:cs="Arial"/>
              </w:rPr>
              <w:t>Parking and loading areas do not visually dominate the streetscape.</w:t>
            </w:r>
          </w:p>
        </w:tc>
        <w:tc>
          <w:tcPr>
            <w:tcW w:w="4678" w:type="dxa"/>
          </w:tcPr>
          <w:p w14:paraId="68EEA538" w14:textId="77777777" w:rsidR="00BE36FB" w:rsidRPr="009B7B35" w:rsidRDefault="00BE36FB" w:rsidP="001A7107">
            <w:pPr>
              <w:pStyle w:val="TableText"/>
              <w:rPr>
                <w:rFonts w:cs="Arial"/>
                <w:b/>
              </w:rPr>
            </w:pPr>
            <w:r w:rsidRPr="009B7B35">
              <w:rPr>
                <w:rFonts w:cs="Arial"/>
                <w:b/>
              </w:rPr>
              <w:t>AO25.1</w:t>
            </w:r>
          </w:p>
          <w:p w14:paraId="26454909" w14:textId="77777777" w:rsidR="00BE36FB" w:rsidRPr="009B7B35" w:rsidRDefault="00BE36FB" w:rsidP="001A7107">
            <w:pPr>
              <w:rPr>
                <w:rFonts w:cs="Arial"/>
                <w:sz w:val="20"/>
                <w:szCs w:val="20"/>
              </w:rPr>
            </w:pPr>
            <w:r w:rsidRPr="009B7B35">
              <w:rPr>
                <w:rFonts w:cs="Arial"/>
                <w:sz w:val="20"/>
                <w:szCs w:val="20"/>
              </w:rPr>
              <w:t>Parking areas are:</w:t>
            </w:r>
          </w:p>
          <w:p w14:paraId="4B0FA321" w14:textId="77777777" w:rsidR="00BE36FB" w:rsidRPr="009B7B35" w:rsidRDefault="00BE36FB" w:rsidP="00BE36FB">
            <w:pPr>
              <w:pStyle w:val="TableText"/>
              <w:numPr>
                <w:ilvl w:val="0"/>
                <w:numId w:val="592"/>
              </w:numPr>
              <w:ind w:left="652" w:hanging="652"/>
              <w:rPr>
                <w:rFonts w:cs="Arial"/>
              </w:rPr>
            </w:pPr>
            <w:r w:rsidRPr="009B7B35">
              <w:rPr>
                <w:rFonts w:cs="Arial"/>
              </w:rPr>
              <w:t>located in a basement or semi basement, or</w:t>
            </w:r>
          </w:p>
          <w:p w14:paraId="31F2000E" w14:textId="77777777" w:rsidR="00BE36FB" w:rsidRPr="009B7B35" w:rsidRDefault="00BE36FB" w:rsidP="00BE36FB">
            <w:pPr>
              <w:pStyle w:val="TableText"/>
              <w:numPr>
                <w:ilvl w:val="0"/>
                <w:numId w:val="592"/>
              </w:numPr>
              <w:ind w:left="652" w:hanging="652"/>
              <w:rPr>
                <w:rFonts w:cs="Arial"/>
              </w:rPr>
            </w:pPr>
            <w:r w:rsidRPr="009B7B35">
              <w:rPr>
                <w:rFonts w:cs="Arial"/>
              </w:rPr>
              <w:t>setback a minimum of 15m from any street frontage and screened to allow a building edge for active uses.</w:t>
            </w:r>
          </w:p>
          <w:p w14:paraId="2BF8F579" w14:textId="77777777" w:rsidR="00BE36FB" w:rsidRPr="009B7B35" w:rsidRDefault="00BE36FB" w:rsidP="001A7107">
            <w:pPr>
              <w:pStyle w:val="Notes"/>
              <w:rPr>
                <w:rFonts w:cs="Arial"/>
                <w:sz w:val="20"/>
                <w:szCs w:val="20"/>
              </w:rPr>
            </w:pPr>
            <w:r w:rsidRPr="009B7B35">
              <w:rPr>
                <w:rFonts w:cs="Arial"/>
                <w:sz w:val="20"/>
                <w:szCs w:val="20"/>
              </w:rPr>
              <w:t>Note—Refer also to Diagram 6.2.7.3.1— Parking design in neighbourhood centres.</w:t>
            </w:r>
          </w:p>
        </w:tc>
      </w:tr>
      <w:tr w:rsidR="00BE36FB" w:rsidRPr="009B7B35" w14:paraId="4CE5C94F" w14:textId="77777777" w:rsidTr="001A7107">
        <w:trPr>
          <w:cantSplit/>
        </w:trPr>
        <w:tc>
          <w:tcPr>
            <w:tcW w:w="4678" w:type="dxa"/>
            <w:vMerge/>
          </w:tcPr>
          <w:p w14:paraId="2CD1523D" w14:textId="77777777" w:rsidR="00BE36FB" w:rsidRPr="009B7B35" w:rsidRDefault="00BE36FB" w:rsidP="001A7107">
            <w:pPr>
              <w:rPr>
                <w:rFonts w:cs="Arial"/>
                <w:sz w:val="20"/>
                <w:szCs w:val="20"/>
              </w:rPr>
            </w:pPr>
          </w:p>
        </w:tc>
        <w:tc>
          <w:tcPr>
            <w:tcW w:w="4678" w:type="dxa"/>
          </w:tcPr>
          <w:p w14:paraId="754CC91F" w14:textId="77777777" w:rsidR="00BE36FB" w:rsidRPr="009B7B35" w:rsidRDefault="00BE36FB" w:rsidP="001A7107">
            <w:pPr>
              <w:pStyle w:val="TableText"/>
              <w:rPr>
                <w:rFonts w:cs="Arial"/>
                <w:b/>
              </w:rPr>
            </w:pPr>
            <w:r w:rsidRPr="009B7B35">
              <w:rPr>
                <w:rFonts w:cs="Arial"/>
                <w:b/>
              </w:rPr>
              <w:t>AO25.2</w:t>
            </w:r>
          </w:p>
          <w:p w14:paraId="1DCC97BC" w14:textId="77777777" w:rsidR="00BE36FB" w:rsidRPr="009B7B35" w:rsidRDefault="00BE36FB" w:rsidP="001A7107">
            <w:pPr>
              <w:pStyle w:val="TableText"/>
              <w:rPr>
                <w:rFonts w:cs="Arial"/>
              </w:rPr>
            </w:pPr>
            <w:r w:rsidRPr="009B7B35">
              <w:rPr>
                <w:rFonts w:cs="Arial"/>
              </w:rPr>
              <w:t>Vehicle loading areas are screened from footpaths, streets and public areas by fences with screening at least 1.5m in height and are 50% visually permeable.</w:t>
            </w:r>
          </w:p>
        </w:tc>
      </w:tr>
      <w:tr w:rsidR="00BE36FB" w:rsidRPr="009B7B35" w14:paraId="1A2E9F20" w14:textId="77777777" w:rsidTr="001A7107">
        <w:trPr>
          <w:cantSplit/>
        </w:trPr>
        <w:tc>
          <w:tcPr>
            <w:tcW w:w="9356" w:type="dxa"/>
            <w:gridSpan w:val="2"/>
            <w:shd w:val="clear" w:color="auto" w:fill="BFBFBF" w:themeFill="background1" w:themeFillShade="BF"/>
          </w:tcPr>
          <w:p w14:paraId="2668B684" w14:textId="77777777" w:rsidR="00BE36FB" w:rsidRPr="009B7B35" w:rsidRDefault="00BE36FB" w:rsidP="001A7107">
            <w:pPr>
              <w:pStyle w:val="Tableheading"/>
              <w:rPr>
                <w:rFonts w:ascii="Arial" w:hAnsi="Arial" w:cs="Arial"/>
                <w:szCs w:val="20"/>
              </w:rPr>
            </w:pPr>
            <w:r w:rsidRPr="009B7B35">
              <w:rPr>
                <w:rFonts w:ascii="Arial" w:hAnsi="Arial" w:cs="Arial"/>
                <w:szCs w:val="20"/>
              </w:rPr>
              <w:t>Storage areas</w:t>
            </w:r>
          </w:p>
        </w:tc>
      </w:tr>
      <w:tr w:rsidR="00BE36FB" w:rsidRPr="009B7B35" w14:paraId="782D1F2B" w14:textId="77777777" w:rsidTr="001A7107">
        <w:tc>
          <w:tcPr>
            <w:tcW w:w="4678" w:type="dxa"/>
          </w:tcPr>
          <w:p w14:paraId="099B58CF" w14:textId="77777777" w:rsidR="00BE36FB" w:rsidRPr="009B7B35" w:rsidRDefault="00BE36FB" w:rsidP="001A7107">
            <w:pPr>
              <w:pStyle w:val="TableText"/>
              <w:rPr>
                <w:rFonts w:cs="Arial"/>
                <w:b/>
              </w:rPr>
            </w:pPr>
            <w:r w:rsidRPr="009B7B35">
              <w:rPr>
                <w:rFonts w:cs="Arial"/>
                <w:b/>
              </w:rPr>
              <w:t>PO26</w:t>
            </w:r>
          </w:p>
          <w:p w14:paraId="27AAA9EF" w14:textId="77777777" w:rsidR="00BE36FB" w:rsidRPr="009B7B35" w:rsidRDefault="00BE36FB" w:rsidP="001A7107">
            <w:pPr>
              <w:pStyle w:val="TableText"/>
              <w:rPr>
                <w:rFonts w:cs="Arial"/>
              </w:rPr>
            </w:pPr>
            <w:r w:rsidRPr="009B7B35">
              <w:rPr>
                <w:rFonts w:cs="Arial"/>
              </w:rPr>
              <w:t>Ancillary storage of goods or materials must be located in a manner that does not detract from the visual amenity of the local area.</w:t>
            </w:r>
          </w:p>
        </w:tc>
        <w:tc>
          <w:tcPr>
            <w:tcW w:w="4678" w:type="dxa"/>
          </w:tcPr>
          <w:p w14:paraId="5945FA28" w14:textId="77777777" w:rsidR="00BE36FB" w:rsidRPr="009B7B35" w:rsidRDefault="00BE36FB" w:rsidP="001A7107">
            <w:pPr>
              <w:pStyle w:val="TableText"/>
              <w:rPr>
                <w:rFonts w:cs="Arial"/>
                <w:b/>
              </w:rPr>
            </w:pPr>
            <w:r w:rsidRPr="009B7B35">
              <w:rPr>
                <w:rFonts w:cs="Arial"/>
                <w:b/>
              </w:rPr>
              <w:t>AO26</w:t>
            </w:r>
          </w:p>
          <w:p w14:paraId="6C9AC38B" w14:textId="77777777" w:rsidR="00BE36FB" w:rsidRPr="009B7B35" w:rsidRDefault="00BE36FB" w:rsidP="001A7107">
            <w:pPr>
              <w:pStyle w:val="TableText"/>
              <w:rPr>
                <w:rFonts w:cs="Arial"/>
              </w:rPr>
            </w:pPr>
            <w:r w:rsidRPr="009B7B35">
              <w:rPr>
                <w:rFonts w:cs="Arial"/>
              </w:rPr>
              <w:t xml:space="preserve">Equipment, materials, goods and/or, machinery used on site are either: </w:t>
            </w:r>
          </w:p>
          <w:p w14:paraId="084CA4BC" w14:textId="77777777" w:rsidR="00BE36FB" w:rsidRPr="009B7B35" w:rsidRDefault="00BE36FB" w:rsidP="00BE36FB">
            <w:pPr>
              <w:pStyle w:val="TableText"/>
              <w:numPr>
                <w:ilvl w:val="0"/>
                <w:numId w:val="546"/>
              </w:numPr>
              <w:rPr>
                <w:rFonts w:cs="Arial"/>
              </w:rPr>
            </w:pPr>
            <w:r w:rsidRPr="009B7B35">
              <w:rPr>
                <w:rFonts w:cs="Arial"/>
              </w:rPr>
              <w:t>stored behind the front building setback and screened from view, or</w:t>
            </w:r>
          </w:p>
          <w:p w14:paraId="7F586FDF" w14:textId="77777777" w:rsidR="00BE36FB" w:rsidRPr="009B7B35" w:rsidRDefault="00BE36FB" w:rsidP="00BE36FB">
            <w:pPr>
              <w:pStyle w:val="TableText"/>
              <w:numPr>
                <w:ilvl w:val="0"/>
                <w:numId w:val="546"/>
              </w:numPr>
              <w:rPr>
                <w:rFonts w:cs="Arial"/>
              </w:rPr>
            </w:pPr>
            <w:r w:rsidRPr="009B7B35">
              <w:rPr>
                <w:rFonts w:cs="Arial"/>
              </w:rPr>
              <w:t>stored within a building.</w:t>
            </w:r>
          </w:p>
          <w:p w14:paraId="7EC8CB53" w14:textId="77777777" w:rsidR="00BE36FB" w:rsidRPr="009B7B35" w:rsidRDefault="00BE36FB" w:rsidP="001A7107">
            <w:pPr>
              <w:pStyle w:val="TableText"/>
              <w:rPr>
                <w:rFonts w:cs="Arial"/>
              </w:rPr>
            </w:pPr>
          </w:p>
        </w:tc>
      </w:tr>
      <w:tr w:rsidR="00BE36FB" w:rsidRPr="009B7B35" w14:paraId="1DC371E3" w14:textId="77777777" w:rsidTr="001A7107">
        <w:tc>
          <w:tcPr>
            <w:tcW w:w="9356" w:type="dxa"/>
            <w:gridSpan w:val="2"/>
            <w:shd w:val="clear" w:color="auto" w:fill="BFBFBF" w:themeFill="background1" w:themeFillShade="BF"/>
          </w:tcPr>
          <w:p w14:paraId="7611A3BD"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4E8407A6" w14:textId="77777777" w:rsidTr="001A7107">
        <w:tc>
          <w:tcPr>
            <w:tcW w:w="4678" w:type="dxa"/>
          </w:tcPr>
          <w:p w14:paraId="6DF4DE6A" w14:textId="77777777" w:rsidR="00BE36FB" w:rsidRPr="009B7B35" w:rsidRDefault="00BE36FB" w:rsidP="001A7107">
            <w:pPr>
              <w:pStyle w:val="TableText"/>
              <w:rPr>
                <w:rFonts w:cs="Arial"/>
                <w:b/>
              </w:rPr>
            </w:pPr>
            <w:r w:rsidRPr="009B7B35">
              <w:rPr>
                <w:rFonts w:cs="Arial"/>
                <w:b/>
              </w:rPr>
              <w:t>PO27</w:t>
            </w:r>
          </w:p>
          <w:p w14:paraId="66057740" w14:textId="77777777"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14:paraId="7ABCBE12" w14:textId="77777777" w:rsidR="00BE36FB" w:rsidRPr="009B7B35" w:rsidRDefault="00BE36FB" w:rsidP="00BE36FB">
            <w:pPr>
              <w:pStyle w:val="TableText"/>
              <w:numPr>
                <w:ilvl w:val="0"/>
                <w:numId w:val="547"/>
              </w:numPr>
              <w:ind w:left="567" w:hanging="567"/>
              <w:rPr>
                <w:rFonts w:cs="Arial"/>
              </w:rPr>
            </w:pPr>
            <w:r w:rsidRPr="009B7B35">
              <w:rPr>
                <w:rFonts w:cs="Arial"/>
              </w:rPr>
              <w:t>any hazards to people or property are avoided</w:t>
            </w:r>
          </w:p>
          <w:p w14:paraId="35D4A0FD" w14:textId="77777777" w:rsidR="00BE36FB" w:rsidRPr="009B7B35" w:rsidRDefault="00BE36FB" w:rsidP="00BE36FB">
            <w:pPr>
              <w:pStyle w:val="TableText"/>
              <w:numPr>
                <w:ilvl w:val="0"/>
                <w:numId w:val="547"/>
              </w:numPr>
              <w:ind w:left="567" w:hanging="567"/>
              <w:rPr>
                <w:rFonts w:cs="Arial"/>
              </w:rPr>
            </w:pPr>
            <w:r w:rsidRPr="009B7B35">
              <w:rPr>
                <w:rFonts w:cs="Arial"/>
              </w:rPr>
              <w:t>any earthworks are minimised</w:t>
            </w:r>
          </w:p>
          <w:p w14:paraId="3930EBD8" w14:textId="77777777" w:rsidR="00BE36FB" w:rsidRPr="009B7B35" w:rsidRDefault="00BE36FB" w:rsidP="00BE36FB">
            <w:pPr>
              <w:pStyle w:val="TableText"/>
              <w:numPr>
                <w:ilvl w:val="0"/>
                <w:numId w:val="547"/>
              </w:numPr>
              <w:ind w:left="567" w:hanging="567"/>
              <w:rPr>
                <w:rFonts w:cs="Arial"/>
              </w:rPr>
            </w:pPr>
            <w:r w:rsidRPr="009B7B35">
              <w:rPr>
                <w:rFonts w:cs="Arial"/>
              </w:rPr>
              <w:t>the retention of natural drainage line is maximised</w:t>
            </w:r>
          </w:p>
          <w:p w14:paraId="24D48075" w14:textId="77777777" w:rsidR="00BE36FB" w:rsidRPr="009B7B35" w:rsidRDefault="00BE36FB" w:rsidP="00BE36FB">
            <w:pPr>
              <w:pStyle w:val="TableText"/>
              <w:numPr>
                <w:ilvl w:val="0"/>
                <w:numId w:val="547"/>
              </w:numPr>
              <w:ind w:left="567" w:hanging="567"/>
              <w:rPr>
                <w:rFonts w:cs="Arial"/>
              </w:rPr>
            </w:pPr>
            <w:r w:rsidRPr="009B7B35">
              <w:rPr>
                <w:rFonts w:cs="Arial"/>
              </w:rPr>
              <w:t>the retention of existing vegetation is maximised</w:t>
            </w:r>
          </w:p>
          <w:p w14:paraId="0750CAD2" w14:textId="77777777" w:rsidR="00BE36FB" w:rsidRPr="009B7B35" w:rsidRDefault="00BE36FB" w:rsidP="00BE36FB">
            <w:pPr>
              <w:pStyle w:val="TableText"/>
              <w:numPr>
                <w:ilvl w:val="0"/>
                <w:numId w:val="547"/>
              </w:numPr>
              <w:ind w:left="567" w:hanging="567"/>
              <w:rPr>
                <w:rFonts w:cs="Arial"/>
              </w:rPr>
            </w:pPr>
            <w:r w:rsidRPr="009B7B35">
              <w:rPr>
                <w:rFonts w:cs="Arial"/>
              </w:rPr>
              <w:t xml:space="preserve">damage or disruption to sewerage, stormwater and water infrastructure is avoided, and </w:t>
            </w:r>
          </w:p>
          <w:p w14:paraId="41818440" w14:textId="77777777" w:rsidR="00BE36FB" w:rsidRPr="009B7B35" w:rsidRDefault="00BE36FB" w:rsidP="00BE36FB">
            <w:pPr>
              <w:pStyle w:val="TableText"/>
              <w:numPr>
                <w:ilvl w:val="0"/>
                <w:numId w:val="547"/>
              </w:numPr>
              <w:ind w:left="567" w:hanging="567"/>
              <w:rPr>
                <w:rFonts w:cs="Arial"/>
              </w:rPr>
            </w:pPr>
            <w:r w:rsidRPr="009B7B35">
              <w:rPr>
                <w:rFonts w:cs="Arial"/>
              </w:rPr>
              <w:t>there is adequate buffering, screening or separation to adjoining development.</w:t>
            </w:r>
          </w:p>
        </w:tc>
        <w:tc>
          <w:tcPr>
            <w:tcW w:w="4678" w:type="dxa"/>
          </w:tcPr>
          <w:p w14:paraId="20BB5A4D"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BD80FD9" w14:textId="77777777" w:rsidTr="001A7107">
        <w:tc>
          <w:tcPr>
            <w:tcW w:w="9356" w:type="dxa"/>
            <w:gridSpan w:val="2"/>
            <w:shd w:val="clear" w:color="auto" w:fill="BFBFBF" w:themeFill="background1" w:themeFillShade="BF"/>
          </w:tcPr>
          <w:p w14:paraId="3A2656AD" w14:textId="77777777" w:rsidR="00BE36FB" w:rsidRPr="009B7B35" w:rsidRDefault="00BE36FB" w:rsidP="001A7107">
            <w:pPr>
              <w:pStyle w:val="Tableheading"/>
              <w:rPr>
                <w:rFonts w:ascii="Arial" w:hAnsi="Arial" w:cs="Arial"/>
                <w:szCs w:val="20"/>
              </w:rPr>
            </w:pPr>
            <w:r w:rsidRPr="009B7B35">
              <w:rPr>
                <w:rFonts w:ascii="Arial" w:hAnsi="Arial" w:cs="Arial"/>
                <w:szCs w:val="20"/>
              </w:rPr>
              <w:t>Use – Child care centre</w:t>
            </w:r>
          </w:p>
        </w:tc>
      </w:tr>
      <w:tr w:rsidR="00BE36FB" w:rsidRPr="009B7B35" w14:paraId="2AEECE60" w14:textId="77777777" w:rsidTr="001A7107">
        <w:tc>
          <w:tcPr>
            <w:tcW w:w="4678" w:type="dxa"/>
          </w:tcPr>
          <w:p w14:paraId="5AE4F257" w14:textId="77777777" w:rsidR="00BE36FB" w:rsidRPr="009B7B35" w:rsidRDefault="00BE36FB" w:rsidP="001A7107">
            <w:pPr>
              <w:pStyle w:val="TableText"/>
              <w:rPr>
                <w:rFonts w:cs="Arial"/>
                <w:b/>
              </w:rPr>
            </w:pPr>
            <w:r w:rsidRPr="009B7B35">
              <w:rPr>
                <w:rFonts w:cs="Arial"/>
                <w:b/>
              </w:rPr>
              <w:t>PO28</w:t>
            </w:r>
          </w:p>
          <w:p w14:paraId="1C31CCD9" w14:textId="77777777" w:rsidR="00BE36FB" w:rsidRPr="009B7B35" w:rsidRDefault="00BE36FB" w:rsidP="001A7107">
            <w:pPr>
              <w:pStyle w:val="TableText"/>
              <w:rPr>
                <w:rFonts w:cs="Arial"/>
              </w:rPr>
            </w:pPr>
            <w:r w:rsidRPr="009B7B35">
              <w:rPr>
                <w:rFonts w:cs="Arial"/>
              </w:rPr>
              <w:t>Development is:</w:t>
            </w:r>
          </w:p>
          <w:p w14:paraId="3D8C611F" w14:textId="77777777" w:rsidR="00BE36FB" w:rsidRPr="009B7B35" w:rsidRDefault="00BE36FB" w:rsidP="00BE36FB">
            <w:pPr>
              <w:pStyle w:val="TableText"/>
              <w:numPr>
                <w:ilvl w:val="0"/>
                <w:numId w:val="548"/>
              </w:numPr>
              <w:ind w:left="567" w:hanging="567"/>
              <w:rPr>
                <w:rFonts w:cs="Arial"/>
              </w:rPr>
            </w:pPr>
            <w:r w:rsidRPr="009B7B35">
              <w:rPr>
                <w:rFonts w:cs="Arial"/>
              </w:rPr>
              <w:t>compatible with neighbouring uses</w:t>
            </w:r>
          </w:p>
          <w:p w14:paraId="4D76B641" w14:textId="77777777" w:rsidR="00BE36FB" w:rsidRPr="009B7B35" w:rsidRDefault="00BE36FB" w:rsidP="00BE36FB">
            <w:pPr>
              <w:pStyle w:val="TableText"/>
              <w:numPr>
                <w:ilvl w:val="0"/>
                <w:numId w:val="548"/>
              </w:numPr>
              <w:ind w:left="567" w:hanging="567"/>
              <w:rPr>
                <w:rFonts w:cs="Arial"/>
              </w:rPr>
            </w:pPr>
            <w:r w:rsidRPr="009B7B35">
              <w:rPr>
                <w:rFonts w:cs="Arial"/>
              </w:rPr>
              <w:t>complementary to local character and amenity</w:t>
            </w:r>
          </w:p>
          <w:p w14:paraId="5E3ACD34" w14:textId="77777777" w:rsidR="00BE36FB" w:rsidRPr="009B7B35" w:rsidRDefault="00BE36FB" w:rsidP="00BE36FB">
            <w:pPr>
              <w:pStyle w:val="TableText"/>
              <w:numPr>
                <w:ilvl w:val="0"/>
                <w:numId w:val="548"/>
              </w:numPr>
              <w:ind w:left="567" w:hanging="567"/>
              <w:rPr>
                <w:rFonts w:cs="Arial"/>
              </w:rPr>
            </w:pPr>
            <w:r w:rsidRPr="009B7B35">
              <w:rPr>
                <w:rFonts w:cs="Arial"/>
              </w:rPr>
              <w:t>supports the day to day needs of residents</w:t>
            </w:r>
          </w:p>
          <w:p w14:paraId="10DF2BD2" w14:textId="77777777" w:rsidR="00BE36FB" w:rsidRPr="009B7B35" w:rsidRDefault="00BE36FB" w:rsidP="00BE36FB">
            <w:pPr>
              <w:pStyle w:val="TableText"/>
              <w:numPr>
                <w:ilvl w:val="0"/>
                <w:numId w:val="548"/>
              </w:numPr>
              <w:ind w:left="567" w:hanging="567"/>
              <w:rPr>
                <w:rFonts w:cs="Arial"/>
              </w:rPr>
            </w:pPr>
            <w:r w:rsidRPr="009B7B35">
              <w:rPr>
                <w:rFonts w:cs="Arial"/>
              </w:rPr>
              <w:t>located on a site which must adequately accommodate activity needs and space requirements.</w:t>
            </w:r>
          </w:p>
          <w:p w14:paraId="5CA0C84A" w14:textId="77777777" w:rsidR="00BE36FB" w:rsidRPr="009B7B35" w:rsidRDefault="00BE36FB" w:rsidP="001A7107">
            <w:pPr>
              <w:pStyle w:val="TableText"/>
              <w:rPr>
                <w:rFonts w:cs="Arial"/>
              </w:rPr>
            </w:pPr>
          </w:p>
        </w:tc>
        <w:tc>
          <w:tcPr>
            <w:tcW w:w="4678" w:type="dxa"/>
          </w:tcPr>
          <w:p w14:paraId="1F30B72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AAE0106" w14:textId="77777777" w:rsidTr="001A7107">
        <w:trPr>
          <w:cantSplit/>
        </w:trPr>
        <w:tc>
          <w:tcPr>
            <w:tcW w:w="4678" w:type="dxa"/>
            <w:vMerge w:val="restart"/>
          </w:tcPr>
          <w:p w14:paraId="266FFABD" w14:textId="77777777" w:rsidR="00BE36FB" w:rsidRPr="009B7B35" w:rsidRDefault="00BE36FB" w:rsidP="001A7107">
            <w:pPr>
              <w:pStyle w:val="TableText"/>
              <w:rPr>
                <w:rFonts w:cs="Arial"/>
                <w:b/>
              </w:rPr>
            </w:pPr>
            <w:r w:rsidRPr="009B7B35">
              <w:rPr>
                <w:rFonts w:cs="Arial"/>
                <w:b/>
              </w:rPr>
              <w:t>PO29</w:t>
            </w:r>
          </w:p>
          <w:p w14:paraId="30F2F18A" w14:textId="77777777" w:rsidR="00BE36FB" w:rsidRPr="009B7B35" w:rsidRDefault="00BE36FB" w:rsidP="001A7107">
            <w:pPr>
              <w:pStyle w:val="TableText"/>
              <w:rPr>
                <w:rFonts w:cs="Arial"/>
              </w:rPr>
            </w:pPr>
            <w:r w:rsidRPr="009B7B35">
              <w:rPr>
                <w:rFonts w:cs="Arial"/>
              </w:rPr>
              <w:t xml:space="preserve">Where adjoining a residential use or land in the residential zone, development must ensure residential amenity is maintained on adjoining properties. </w:t>
            </w:r>
          </w:p>
        </w:tc>
        <w:tc>
          <w:tcPr>
            <w:tcW w:w="4678" w:type="dxa"/>
          </w:tcPr>
          <w:p w14:paraId="7328FC8B" w14:textId="77777777" w:rsidR="00BE36FB" w:rsidRPr="009B7B35" w:rsidRDefault="00BE36FB" w:rsidP="001A7107">
            <w:pPr>
              <w:pStyle w:val="TableText"/>
              <w:rPr>
                <w:rFonts w:cs="Arial"/>
                <w:b/>
              </w:rPr>
            </w:pPr>
            <w:r w:rsidRPr="009B7B35">
              <w:rPr>
                <w:rFonts w:cs="Arial"/>
                <w:b/>
              </w:rPr>
              <w:t>AO29.1</w:t>
            </w:r>
          </w:p>
          <w:p w14:paraId="066D504B" w14:textId="77777777" w:rsidR="00BE36FB" w:rsidRPr="009B7B35" w:rsidRDefault="00BE36FB" w:rsidP="001A7107">
            <w:pPr>
              <w:pStyle w:val="TableText"/>
              <w:rPr>
                <w:rFonts w:cs="Arial"/>
              </w:rPr>
            </w:pPr>
            <w:r w:rsidRPr="009B7B35">
              <w:rPr>
                <w:rFonts w:cs="Arial"/>
              </w:rPr>
              <w:t xml:space="preserve">Development provides a 1.8m acoustic screen fence where adjoining a residential use. </w:t>
            </w:r>
          </w:p>
        </w:tc>
      </w:tr>
      <w:tr w:rsidR="00BE36FB" w:rsidRPr="009B7B35" w14:paraId="2F97F1CB" w14:textId="77777777" w:rsidTr="001A7107">
        <w:trPr>
          <w:cantSplit/>
        </w:trPr>
        <w:tc>
          <w:tcPr>
            <w:tcW w:w="4678" w:type="dxa"/>
            <w:vMerge/>
          </w:tcPr>
          <w:p w14:paraId="706A0A5C" w14:textId="77777777" w:rsidR="00BE36FB" w:rsidRPr="009B7B35" w:rsidRDefault="00BE36FB" w:rsidP="001A7107">
            <w:pPr>
              <w:rPr>
                <w:rFonts w:cs="Arial"/>
                <w:sz w:val="20"/>
                <w:szCs w:val="20"/>
              </w:rPr>
            </w:pPr>
          </w:p>
        </w:tc>
        <w:tc>
          <w:tcPr>
            <w:tcW w:w="4678" w:type="dxa"/>
          </w:tcPr>
          <w:p w14:paraId="2F1C5AB1" w14:textId="77777777" w:rsidR="00BE36FB" w:rsidRPr="009B7B35" w:rsidRDefault="00BE36FB" w:rsidP="001A7107">
            <w:pPr>
              <w:pStyle w:val="TableText"/>
              <w:rPr>
                <w:rFonts w:cs="Arial"/>
                <w:b/>
              </w:rPr>
            </w:pPr>
            <w:r w:rsidRPr="009B7B35">
              <w:rPr>
                <w:rFonts w:cs="Arial"/>
                <w:b/>
              </w:rPr>
              <w:t>AO29.2</w:t>
            </w:r>
          </w:p>
          <w:p w14:paraId="6DD00819" w14:textId="77777777" w:rsidR="00BE36FB" w:rsidRPr="009B7B35" w:rsidRDefault="00BE36FB" w:rsidP="001A7107">
            <w:pPr>
              <w:pStyle w:val="TableText"/>
              <w:rPr>
                <w:rFonts w:cs="Arial"/>
              </w:rPr>
            </w:pPr>
            <w:r w:rsidRPr="009B7B35">
              <w:rPr>
                <w:rFonts w:cs="Arial"/>
              </w:rPr>
              <w:t>Hours of operation are limited to between 6am and 7pm daily.</w:t>
            </w:r>
          </w:p>
          <w:p w14:paraId="60D39214" w14:textId="77777777" w:rsidR="00BE36FB" w:rsidRPr="009B7B35" w:rsidRDefault="00BE36FB" w:rsidP="001A7107">
            <w:pPr>
              <w:pStyle w:val="TableText"/>
              <w:rPr>
                <w:rFonts w:cs="Arial"/>
              </w:rPr>
            </w:pPr>
          </w:p>
        </w:tc>
      </w:tr>
      <w:tr w:rsidR="00BE36FB" w:rsidRPr="009B7B35" w14:paraId="70332DCC" w14:textId="77777777" w:rsidTr="001A7107">
        <w:trPr>
          <w:cantSplit/>
        </w:trPr>
        <w:tc>
          <w:tcPr>
            <w:tcW w:w="4678" w:type="dxa"/>
            <w:vMerge w:val="restart"/>
          </w:tcPr>
          <w:p w14:paraId="7323BB21" w14:textId="77777777" w:rsidR="00BE36FB" w:rsidRPr="009B7B35" w:rsidRDefault="00BE36FB" w:rsidP="001A7107">
            <w:pPr>
              <w:pStyle w:val="TableText"/>
              <w:rPr>
                <w:rFonts w:cs="Arial"/>
                <w:b/>
              </w:rPr>
            </w:pPr>
            <w:r w:rsidRPr="009B7B35">
              <w:rPr>
                <w:rFonts w:cs="Arial"/>
                <w:b/>
              </w:rPr>
              <w:t>PO30</w:t>
            </w:r>
          </w:p>
          <w:p w14:paraId="3CCEDEA5" w14:textId="77777777" w:rsidR="00BE36FB" w:rsidRPr="009B7B35" w:rsidRDefault="00BE36FB" w:rsidP="001A7107">
            <w:pPr>
              <w:rPr>
                <w:rFonts w:cs="Arial"/>
                <w:sz w:val="20"/>
                <w:szCs w:val="20"/>
              </w:rPr>
            </w:pPr>
            <w:r w:rsidRPr="009B7B35">
              <w:rPr>
                <w:rFonts w:cs="Arial"/>
                <w:sz w:val="20"/>
                <w:szCs w:val="20"/>
              </w:rPr>
              <w:t>Development minimises:</w:t>
            </w:r>
          </w:p>
          <w:p w14:paraId="67402AF1" w14:textId="77777777" w:rsidR="00BE36FB" w:rsidRPr="009B7B35" w:rsidRDefault="00BE36FB" w:rsidP="00BE36FB">
            <w:pPr>
              <w:pStyle w:val="TableText"/>
              <w:numPr>
                <w:ilvl w:val="4"/>
                <w:numId w:val="546"/>
              </w:numPr>
              <w:ind w:left="567" w:hanging="567"/>
              <w:rPr>
                <w:rFonts w:cs="Arial"/>
              </w:rPr>
            </w:pPr>
            <w:r w:rsidRPr="009B7B35">
              <w:rPr>
                <w:rFonts w:cs="Arial"/>
              </w:rPr>
              <w:t>the hazards of heavy traffic</w:t>
            </w:r>
          </w:p>
          <w:p w14:paraId="23BC58F0" w14:textId="77777777" w:rsidR="00BE36FB" w:rsidRPr="009B7B35" w:rsidRDefault="00BE36FB" w:rsidP="00BE36FB">
            <w:pPr>
              <w:pStyle w:val="TableText"/>
              <w:numPr>
                <w:ilvl w:val="4"/>
                <w:numId w:val="546"/>
              </w:numPr>
              <w:ind w:left="567" w:hanging="567"/>
              <w:rPr>
                <w:rFonts w:cs="Arial"/>
              </w:rPr>
            </w:pPr>
            <w:r w:rsidRPr="009B7B35">
              <w:rPr>
                <w:rFonts w:cs="Arial"/>
              </w:rPr>
              <w:t>introduction of non–local traffic into minor, residential streets, and</w:t>
            </w:r>
          </w:p>
          <w:p w14:paraId="0BACAC8F" w14:textId="77777777" w:rsidR="00BE36FB" w:rsidRPr="009B7B35" w:rsidRDefault="00BE36FB" w:rsidP="00BE36FB">
            <w:pPr>
              <w:pStyle w:val="TableText"/>
              <w:numPr>
                <w:ilvl w:val="4"/>
                <w:numId w:val="546"/>
              </w:numPr>
              <w:ind w:left="567" w:hanging="567"/>
              <w:rPr>
                <w:rFonts w:cs="Arial"/>
              </w:rPr>
            </w:pPr>
            <w:r w:rsidRPr="009B7B35">
              <w:rPr>
                <w:rFonts w:cs="Arial"/>
              </w:rPr>
              <w:t>on–site conflict between children’s activities, pedestrian movement, vehicle movement and car parking.</w:t>
            </w:r>
          </w:p>
        </w:tc>
        <w:tc>
          <w:tcPr>
            <w:tcW w:w="4678" w:type="dxa"/>
          </w:tcPr>
          <w:p w14:paraId="7A64945B" w14:textId="77777777" w:rsidR="00BE36FB" w:rsidRPr="009B7B35" w:rsidRDefault="00BE36FB" w:rsidP="001A7107">
            <w:pPr>
              <w:pStyle w:val="TableText"/>
              <w:rPr>
                <w:rFonts w:cs="Arial"/>
                <w:b/>
              </w:rPr>
            </w:pPr>
            <w:r w:rsidRPr="009B7B35">
              <w:rPr>
                <w:rFonts w:cs="Arial"/>
                <w:b/>
              </w:rPr>
              <w:t>AO30.1</w:t>
            </w:r>
          </w:p>
          <w:p w14:paraId="7F9C5FEA" w14:textId="77777777" w:rsidR="00BE36FB" w:rsidRPr="009B7B35" w:rsidRDefault="00BE36FB" w:rsidP="001A7107">
            <w:pPr>
              <w:pStyle w:val="TableText"/>
              <w:rPr>
                <w:rFonts w:cs="Arial"/>
              </w:rPr>
            </w:pPr>
            <w:r w:rsidRPr="009B7B35">
              <w:rPr>
                <w:rFonts w:cs="Arial"/>
              </w:rPr>
              <w:t>The use is not accessed from:</w:t>
            </w:r>
          </w:p>
          <w:p w14:paraId="2D1893C3" w14:textId="77777777" w:rsidR="00BE36FB" w:rsidRPr="009B7B35" w:rsidRDefault="00BE36FB" w:rsidP="00BE36FB">
            <w:pPr>
              <w:pStyle w:val="TableText"/>
              <w:numPr>
                <w:ilvl w:val="0"/>
                <w:numId w:val="593"/>
              </w:numPr>
              <w:ind w:left="652" w:hanging="567"/>
              <w:rPr>
                <w:rFonts w:cs="Arial"/>
              </w:rPr>
            </w:pPr>
            <w:r w:rsidRPr="009B7B35">
              <w:rPr>
                <w:rFonts w:cs="Arial"/>
              </w:rPr>
              <w:t>arterial/sub–arterial routes, or</w:t>
            </w:r>
          </w:p>
          <w:p w14:paraId="22E96E24" w14:textId="77777777" w:rsidR="00BE36FB" w:rsidRPr="009B7B35" w:rsidRDefault="00BE36FB" w:rsidP="00BE36FB">
            <w:pPr>
              <w:pStyle w:val="TableText"/>
              <w:numPr>
                <w:ilvl w:val="0"/>
                <w:numId w:val="593"/>
              </w:numPr>
              <w:ind w:left="652" w:hanging="567"/>
              <w:rPr>
                <w:rFonts w:cs="Arial"/>
              </w:rPr>
            </w:pPr>
            <w:r w:rsidRPr="009B7B35">
              <w:rPr>
                <w:rFonts w:cs="Arial"/>
              </w:rPr>
              <w:t>an access street or access place.</w:t>
            </w:r>
          </w:p>
        </w:tc>
      </w:tr>
      <w:tr w:rsidR="00BE36FB" w:rsidRPr="009B7B35" w14:paraId="67E66D42" w14:textId="77777777" w:rsidTr="001A7107">
        <w:trPr>
          <w:cantSplit/>
        </w:trPr>
        <w:tc>
          <w:tcPr>
            <w:tcW w:w="4678" w:type="dxa"/>
            <w:vMerge/>
          </w:tcPr>
          <w:p w14:paraId="7670D953" w14:textId="77777777" w:rsidR="00BE36FB" w:rsidRPr="009B7B35" w:rsidRDefault="00BE36FB" w:rsidP="001A7107">
            <w:pPr>
              <w:rPr>
                <w:rFonts w:cs="Arial"/>
                <w:sz w:val="20"/>
                <w:szCs w:val="20"/>
              </w:rPr>
            </w:pPr>
          </w:p>
        </w:tc>
        <w:tc>
          <w:tcPr>
            <w:tcW w:w="4678" w:type="dxa"/>
          </w:tcPr>
          <w:p w14:paraId="624E4CD9" w14:textId="77777777" w:rsidR="00BE36FB" w:rsidRPr="009B7B35" w:rsidRDefault="00BE36FB" w:rsidP="001A7107">
            <w:pPr>
              <w:pStyle w:val="TableText"/>
              <w:rPr>
                <w:rFonts w:cs="Arial"/>
                <w:b/>
              </w:rPr>
            </w:pPr>
            <w:r w:rsidRPr="009B7B35">
              <w:rPr>
                <w:rFonts w:cs="Arial"/>
                <w:b/>
              </w:rPr>
              <w:t>AO30.2</w:t>
            </w:r>
          </w:p>
          <w:p w14:paraId="70E6F8DF" w14:textId="77777777" w:rsidR="00BE36FB" w:rsidRPr="009B7B35" w:rsidRDefault="00BE36FB" w:rsidP="001A7107">
            <w:pPr>
              <w:pStyle w:val="TableText"/>
              <w:rPr>
                <w:rFonts w:cs="Arial"/>
              </w:rPr>
            </w:pPr>
            <w:r w:rsidRPr="009B7B35">
              <w:rPr>
                <w:rFonts w:cs="Arial"/>
              </w:rPr>
              <w:t>Parking spaces are located so that children are not required to cross the driveway or vehicular access way to reach the building.</w:t>
            </w:r>
          </w:p>
        </w:tc>
      </w:tr>
    </w:tbl>
    <w:p w14:paraId="0DFA6CB3" w14:textId="77777777" w:rsidR="00BE36FB" w:rsidRPr="009B7B35" w:rsidRDefault="00BE36FB" w:rsidP="00B5414A">
      <w:pPr>
        <w:pStyle w:val="Heading5"/>
        <w:numPr>
          <w:ilvl w:val="0"/>
          <w:numId w:val="0"/>
        </w:numPr>
        <w:rPr>
          <w:rFonts w:cs="Arial"/>
          <w:szCs w:val="20"/>
        </w:rPr>
      </w:pPr>
      <w:r w:rsidRPr="009B7B35">
        <w:rPr>
          <w:rFonts w:cs="Arial"/>
          <w:szCs w:val="20"/>
        </w:rPr>
        <w:t>Diagram 6.2.7.3.1—Parking design in neighbourhood centres</w:t>
      </w:r>
    </w:p>
    <w:p w14:paraId="5B28BBD5" w14:textId="77777777"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5BA6B5BB" wp14:editId="2596C112">
            <wp:extent cx="5842659" cy="2553977"/>
            <wp:effectExtent l="0" t="0" r="5715" b="0"/>
            <wp:docPr id="101" name="Picture 101" descr="130909 Car Parking (100)_EXAMP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30909 Car Parking (100)_EXAMPLE 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481" t="20384" r="6624" b="23518"/>
                    <a:stretch/>
                  </pic:blipFill>
                  <pic:spPr bwMode="auto">
                    <a:xfrm>
                      <a:off x="0" y="0"/>
                      <a:ext cx="5853126" cy="2558552"/>
                    </a:xfrm>
                    <a:prstGeom prst="rect">
                      <a:avLst/>
                    </a:prstGeom>
                    <a:noFill/>
                    <a:ln>
                      <a:noFill/>
                    </a:ln>
                    <a:extLst>
                      <a:ext uri="{53640926-AAD7-44D8-BBD7-CCE9431645EC}">
                        <a14:shadowObscured xmlns:a14="http://schemas.microsoft.com/office/drawing/2010/main"/>
                      </a:ext>
                    </a:extLst>
                  </pic:spPr>
                </pic:pic>
              </a:graphicData>
            </a:graphic>
          </wp:inline>
        </w:drawing>
      </w:r>
    </w:p>
    <w:p w14:paraId="44BACC0C" w14:textId="77777777" w:rsidR="00BE36FB" w:rsidRPr="009B7B35" w:rsidRDefault="00BE36FB" w:rsidP="001A7107">
      <w:pPr>
        <w:pStyle w:val="Notes"/>
        <w:rPr>
          <w:rFonts w:cs="Arial"/>
          <w:sz w:val="20"/>
          <w:szCs w:val="20"/>
        </w:rPr>
      </w:pPr>
      <w:r w:rsidRPr="009B7B35">
        <w:rPr>
          <w:rFonts w:cs="Arial"/>
          <w:sz w:val="20"/>
          <w:szCs w:val="20"/>
        </w:rPr>
        <w:t>Examples 1 &amp; 2—Correct parking treatment</w:t>
      </w:r>
    </w:p>
    <w:p w14:paraId="4D32B0E4" w14:textId="77777777" w:rsidR="00BE36FB" w:rsidRPr="009B7B35" w:rsidRDefault="00BE36FB" w:rsidP="001A7107">
      <w:pPr>
        <w:jc w:val="center"/>
        <w:rPr>
          <w:rFonts w:ascii="Arial" w:hAnsi="Arial" w:cs="Arial"/>
          <w:sz w:val="20"/>
          <w:szCs w:val="20"/>
        </w:rPr>
      </w:pPr>
      <w:r w:rsidRPr="009B7B35">
        <w:rPr>
          <w:rFonts w:ascii="Arial" w:hAnsi="Arial" w:cs="Arial"/>
          <w:noProof/>
          <w:sz w:val="20"/>
          <w:szCs w:val="20"/>
        </w:rPr>
        <w:drawing>
          <wp:inline distT="0" distB="0" distL="0" distR="0" wp14:anchorId="23799CDE" wp14:editId="0B83B583">
            <wp:extent cx="5374257" cy="3684123"/>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3.1-parking design.jpg"/>
                    <pic:cNvPicPr/>
                  </pic:nvPicPr>
                  <pic:blipFill rotWithShape="1">
                    <a:blip r:embed="rId72" cstate="print">
                      <a:extLst>
                        <a:ext uri="{28A0092B-C50C-407E-A947-70E740481C1C}">
                          <a14:useLocalDpi xmlns:a14="http://schemas.microsoft.com/office/drawing/2010/main" val="0"/>
                        </a:ext>
                      </a:extLst>
                    </a:blip>
                    <a:srcRect l="10453" t="16801" r="11143" b="7186"/>
                    <a:stretch/>
                  </pic:blipFill>
                  <pic:spPr bwMode="auto">
                    <a:xfrm>
                      <a:off x="0" y="0"/>
                      <a:ext cx="5375074" cy="3684683"/>
                    </a:xfrm>
                    <a:prstGeom prst="rect">
                      <a:avLst/>
                    </a:prstGeom>
                    <a:ln>
                      <a:noFill/>
                    </a:ln>
                    <a:extLst>
                      <a:ext uri="{53640926-AAD7-44D8-BBD7-CCE9431645EC}">
                        <a14:shadowObscured xmlns:a14="http://schemas.microsoft.com/office/drawing/2010/main"/>
                      </a:ext>
                    </a:extLst>
                  </pic:spPr>
                </pic:pic>
              </a:graphicData>
            </a:graphic>
          </wp:inline>
        </w:drawing>
      </w:r>
    </w:p>
    <w:p w14:paraId="2CB8EE13"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4D92212C" w14:textId="77777777" w:rsidR="00BE36FB" w:rsidRPr="009B7B35" w:rsidRDefault="00BE36FB" w:rsidP="006776DA">
      <w:pPr>
        <w:pStyle w:val="Heading3"/>
        <w:keepLines/>
        <w:numPr>
          <w:ilvl w:val="2"/>
          <w:numId w:val="883"/>
        </w:numPr>
        <w:spacing w:before="240"/>
        <w:rPr>
          <w:rFonts w:ascii="Arial" w:hAnsi="Arial"/>
          <w:sz w:val="20"/>
          <w:szCs w:val="20"/>
        </w:rPr>
      </w:pPr>
      <w:bookmarkStart w:id="190" w:name="_Toc205367353"/>
      <w:r w:rsidRPr="009B7B35">
        <w:rPr>
          <w:rFonts w:ascii="Arial" w:hAnsi="Arial"/>
          <w:sz w:val="20"/>
          <w:szCs w:val="20"/>
        </w:rPr>
        <w:t>Sport and recreation</w:t>
      </w:r>
      <w:bookmarkEnd w:id="190"/>
    </w:p>
    <w:p w14:paraId="7A0F7FC1"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3FA50919"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395AD2D5"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6C570B8B" w14:textId="77777777" w:rsidR="00BE36FB" w:rsidRPr="009B7B35" w:rsidRDefault="00BE36FB" w:rsidP="00BE36FB">
      <w:pPr>
        <w:numPr>
          <w:ilvl w:val="0"/>
          <w:numId w:val="249"/>
        </w:numPr>
        <w:rPr>
          <w:rFonts w:ascii="Arial" w:hAnsi="Arial" w:cs="Arial"/>
          <w:sz w:val="20"/>
          <w:szCs w:val="20"/>
        </w:rPr>
      </w:pPr>
      <w:r w:rsidRPr="009B7B35">
        <w:rPr>
          <w:rFonts w:ascii="Arial" w:hAnsi="Arial" w:cs="Arial"/>
          <w:sz w:val="20"/>
          <w:szCs w:val="20"/>
        </w:rPr>
        <w:t>The purpose of the sport and recreation zone code is to ensure:</w:t>
      </w:r>
    </w:p>
    <w:p w14:paraId="6262CF5A" w14:textId="77777777"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Development is designed to meet community needs for sporting and active recreation purposes.</w:t>
      </w:r>
    </w:p>
    <w:p w14:paraId="03B99347" w14:textId="77777777"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Development maximises community access and use of land for sport and active recreation purposes.</w:t>
      </w:r>
    </w:p>
    <w:p w14:paraId="0153CDA2" w14:textId="77777777"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Development minimises impacts where adjoining residential land and other sensitive receiving uses.</w:t>
      </w:r>
    </w:p>
    <w:p w14:paraId="0704743B" w14:textId="77777777"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Large scale sporting facilities that serve the regional population are located in accessible locations within Gladstone, Boyne Island, Tannum Sands, Calliope and Agnes Water.</w:t>
      </w:r>
    </w:p>
    <w:p w14:paraId="50EBADA3" w14:textId="77777777" w:rsidR="00BE36FB" w:rsidRPr="009B7B35" w:rsidRDefault="00BE36FB" w:rsidP="00BE36FB">
      <w:pPr>
        <w:numPr>
          <w:ilvl w:val="0"/>
          <w:numId w:val="249"/>
        </w:numPr>
        <w:rPr>
          <w:rFonts w:ascii="Arial" w:hAnsi="Arial" w:cs="Arial"/>
          <w:sz w:val="20"/>
          <w:szCs w:val="20"/>
        </w:rPr>
      </w:pPr>
      <w:r w:rsidRPr="009B7B35">
        <w:rPr>
          <w:rFonts w:ascii="Arial" w:hAnsi="Arial" w:cs="Arial"/>
          <w:sz w:val="20"/>
          <w:szCs w:val="20"/>
        </w:rPr>
        <w:t>The purpose of the zone will be achieved through the following overall outcomes:</w:t>
      </w:r>
    </w:p>
    <w:p w14:paraId="7C712003" w14:textId="77777777"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Areas available for active sport and recreational pursuit such as playing fields, equestrian facilities, outdoor cultural facilities, educational activities, public swimming pools and outdoor courts are provided.</w:t>
      </w:r>
    </w:p>
    <w:p w14:paraId="1AE61ADD" w14:textId="77777777"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Opportunities for sporting clubs using playing fields to establish in multi–purpose club facilities are facilitated.</w:t>
      </w:r>
    </w:p>
    <w:p w14:paraId="08A148DC" w14:textId="77777777"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water conservation and public/active transport use.</w:t>
      </w:r>
    </w:p>
    <w:p w14:paraId="2E74D8B8" w14:textId="77777777"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Development is supported by transport infrastructure that is designed to provide and promote safe and efficient public transport use, walking and cycling.</w:t>
      </w:r>
    </w:p>
    <w:p w14:paraId="53AAD88B" w14:textId="77777777"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Impacts on adjacent areas from development and activities within the zone are managed through buffering to adjacent sensitive land uses and appropriate design, siting and operation of facilities and infrastructure.</w:t>
      </w:r>
    </w:p>
    <w:p w14:paraId="5C423432" w14:textId="77777777"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Ancillary structures and buildings such as clubhouses, kiosks, shelters, stands, amenity facilities, picnic tables and playgrounds are provided where necessary to support safe access and essential management of sport and recreation areas.</w:t>
      </w:r>
    </w:p>
    <w:p w14:paraId="72D94AFC" w14:textId="77777777"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Areas of ecological significance, high scenic amenity or cultural heritage are protected from the adverse impacts of sport and recreation activities.</w:t>
      </w:r>
    </w:p>
    <w:p w14:paraId="151EAA2C" w14:textId="77777777"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Development responds to land constraints, including but not limited to topography, bushfire and flooding.</w:t>
      </w:r>
    </w:p>
    <w:p w14:paraId="547320F1" w14:textId="77777777"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Recreation areas make an important contribution to community liveability.</w:t>
      </w:r>
    </w:p>
    <w:p w14:paraId="5FC397EA" w14:textId="77777777" w:rsidR="00BE36FB" w:rsidRPr="009B7B35" w:rsidRDefault="00BE36FB" w:rsidP="00BE36FB">
      <w:pPr>
        <w:numPr>
          <w:ilvl w:val="0"/>
          <w:numId w:val="249"/>
        </w:numPr>
        <w:rPr>
          <w:rFonts w:ascii="Arial" w:hAnsi="Arial" w:cs="Arial"/>
          <w:sz w:val="20"/>
          <w:szCs w:val="20"/>
        </w:rPr>
      </w:pPr>
      <w:r w:rsidRPr="009B7B35">
        <w:rPr>
          <w:rFonts w:ascii="Arial" w:hAnsi="Arial" w:cs="Arial"/>
          <w:sz w:val="20"/>
          <w:szCs w:val="20"/>
        </w:rPr>
        <w:t>The purpose of this code will also be achieved through the following additional overall outcome for the following precinct:</w:t>
      </w:r>
    </w:p>
    <w:p w14:paraId="6DA7C818" w14:textId="77777777" w:rsidR="00BE36FB" w:rsidRPr="009B7B35" w:rsidRDefault="00BE36FB" w:rsidP="00BE36FB">
      <w:pPr>
        <w:numPr>
          <w:ilvl w:val="1"/>
          <w:numId w:val="249"/>
        </w:numPr>
        <w:rPr>
          <w:rFonts w:ascii="Arial" w:hAnsi="Arial" w:cs="Arial"/>
          <w:sz w:val="20"/>
          <w:szCs w:val="20"/>
        </w:rPr>
      </w:pPr>
      <w:r w:rsidRPr="009B7B35">
        <w:rPr>
          <w:rFonts w:ascii="Arial" w:hAnsi="Arial" w:cs="Arial"/>
          <w:sz w:val="20"/>
          <w:szCs w:val="20"/>
        </w:rPr>
        <w:t>Benaraby Motor Sport precinct:</w:t>
      </w:r>
    </w:p>
    <w:p w14:paraId="58B4239F" w14:textId="77777777" w:rsidR="00BE36FB" w:rsidRPr="009B7B35" w:rsidRDefault="00BE36FB" w:rsidP="00BE36FB">
      <w:pPr>
        <w:numPr>
          <w:ilvl w:val="2"/>
          <w:numId w:val="249"/>
        </w:numPr>
        <w:rPr>
          <w:rFonts w:ascii="Arial" w:hAnsi="Arial" w:cs="Arial"/>
          <w:sz w:val="20"/>
          <w:szCs w:val="20"/>
        </w:rPr>
      </w:pPr>
      <w:r w:rsidRPr="009B7B35">
        <w:rPr>
          <w:rFonts w:ascii="Arial" w:hAnsi="Arial" w:cs="Arial"/>
          <w:sz w:val="20"/>
          <w:szCs w:val="20"/>
        </w:rPr>
        <w:t xml:space="preserve">Development provides for a Motor Sports Facility of regional significance. </w:t>
      </w:r>
    </w:p>
    <w:p w14:paraId="11C781FA"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2DD206EC" w14:textId="77777777" w:rsidR="00BE36FB" w:rsidRPr="009B7B35" w:rsidRDefault="00BE36FB" w:rsidP="00B5414A">
      <w:pPr>
        <w:pStyle w:val="Heading5"/>
        <w:numPr>
          <w:ilvl w:val="0"/>
          <w:numId w:val="0"/>
        </w:numPr>
        <w:rPr>
          <w:rFonts w:cs="Arial"/>
          <w:szCs w:val="20"/>
        </w:rPr>
      </w:pPr>
      <w:r w:rsidRPr="009B7B35">
        <w:rPr>
          <w:rFonts w:cs="Arial"/>
          <w:szCs w:val="20"/>
        </w:rPr>
        <w:t>Table 6.2.8.3.1—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14:paraId="54212F12"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6D6060ED"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25735218"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5DD137D5" w14:textId="77777777" w:rsidTr="001A7107">
        <w:trPr>
          <w:cantSplit/>
        </w:trPr>
        <w:tc>
          <w:tcPr>
            <w:tcW w:w="9356" w:type="dxa"/>
            <w:gridSpan w:val="2"/>
            <w:tcBorders>
              <w:bottom w:val="single" w:sz="4" w:space="0" w:color="7F7F7F" w:themeColor="text1" w:themeTint="80"/>
            </w:tcBorders>
            <w:shd w:val="clear" w:color="auto" w:fill="BFBFBF" w:themeFill="background1" w:themeFillShade="BF"/>
          </w:tcPr>
          <w:p w14:paraId="1817A2E7"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088E4963" w14:textId="77777777" w:rsidTr="001A7107">
        <w:trPr>
          <w:cantSplit/>
        </w:trPr>
        <w:tc>
          <w:tcPr>
            <w:tcW w:w="4678" w:type="dxa"/>
            <w:vMerge w:val="restart"/>
            <w:tcBorders>
              <w:bottom w:val="single" w:sz="4" w:space="0" w:color="7F7F7F" w:themeColor="text1" w:themeTint="80"/>
              <w:right w:val="single" w:sz="6" w:space="0" w:color="7F7F7F" w:themeColor="text1" w:themeTint="80"/>
            </w:tcBorders>
          </w:tcPr>
          <w:p w14:paraId="3E57BDE5" w14:textId="77777777" w:rsidR="00BE36FB" w:rsidRPr="009B7B35" w:rsidRDefault="00BE36FB" w:rsidP="001A7107">
            <w:pPr>
              <w:pStyle w:val="TableText"/>
              <w:rPr>
                <w:rFonts w:cs="Arial"/>
                <w:b/>
                <w:bCs/>
              </w:rPr>
            </w:pPr>
            <w:r w:rsidRPr="009B7B35">
              <w:rPr>
                <w:rFonts w:cs="Arial"/>
                <w:b/>
                <w:bCs/>
              </w:rPr>
              <w:t>PO1</w:t>
            </w:r>
          </w:p>
          <w:p w14:paraId="471CDA06" w14:textId="77777777" w:rsidR="00BE36FB" w:rsidRPr="009B7B35" w:rsidRDefault="00BE36FB" w:rsidP="001A7107">
            <w:pPr>
              <w:pStyle w:val="TableText"/>
              <w:rPr>
                <w:rFonts w:cs="Arial"/>
              </w:rPr>
            </w:pPr>
            <w:r w:rsidRPr="009B7B35">
              <w:rPr>
                <w:rFonts w:cs="Arial"/>
              </w:rPr>
              <w:t>Development is:</w:t>
            </w:r>
          </w:p>
          <w:p w14:paraId="38E4FE3C" w14:textId="77777777" w:rsidR="00BE36FB" w:rsidRPr="009B7B35" w:rsidRDefault="00BE36FB" w:rsidP="00BE36FB">
            <w:pPr>
              <w:pStyle w:val="TableText"/>
              <w:numPr>
                <w:ilvl w:val="0"/>
                <w:numId w:val="525"/>
              </w:numPr>
              <w:ind w:left="652" w:hanging="652"/>
              <w:rPr>
                <w:rFonts w:cs="Arial"/>
              </w:rPr>
            </w:pPr>
            <w:r w:rsidRPr="009B7B35">
              <w:rPr>
                <w:rFonts w:cs="Arial"/>
              </w:rPr>
              <w:t>ancillary to the primary use, and</w:t>
            </w:r>
          </w:p>
          <w:p w14:paraId="43FA0669" w14:textId="77777777" w:rsidR="00BE36FB" w:rsidRPr="009B7B35" w:rsidRDefault="00BE36FB" w:rsidP="00BE36FB">
            <w:pPr>
              <w:pStyle w:val="TableText"/>
              <w:numPr>
                <w:ilvl w:val="0"/>
                <w:numId w:val="525"/>
              </w:numPr>
              <w:ind w:left="652" w:hanging="652"/>
              <w:rPr>
                <w:rFonts w:cs="Arial"/>
              </w:rPr>
            </w:pPr>
            <w:r w:rsidRPr="009B7B35">
              <w:rPr>
                <w:rFonts w:cs="Arial"/>
              </w:rPr>
              <w:t>does not compromise the sport and recreation function of this site.</w:t>
            </w:r>
          </w:p>
        </w:tc>
        <w:tc>
          <w:tcPr>
            <w:tcW w:w="4678" w:type="dxa"/>
            <w:tcBorders>
              <w:left w:val="single" w:sz="6" w:space="0" w:color="7F7F7F" w:themeColor="text1" w:themeTint="80"/>
              <w:bottom w:val="single" w:sz="4" w:space="0" w:color="7F7F7F" w:themeColor="text1" w:themeTint="80"/>
            </w:tcBorders>
          </w:tcPr>
          <w:p w14:paraId="69D4AFFA" w14:textId="77777777" w:rsidR="00BE36FB" w:rsidRPr="009B7B35" w:rsidRDefault="00BE36FB" w:rsidP="001A7107">
            <w:pPr>
              <w:pStyle w:val="TableText"/>
              <w:rPr>
                <w:rFonts w:cs="Arial"/>
                <w:b/>
                <w:bCs/>
              </w:rPr>
            </w:pPr>
            <w:r w:rsidRPr="009B7B35">
              <w:rPr>
                <w:rFonts w:cs="Arial"/>
                <w:b/>
                <w:bCs/>
              </w:rPr>
              <w:t>AO1.1</w:t>
            </w:r>
          </w:p>
          <w:p w14:paraId="1F6FEEC0" w14:textId="77777777" w:rsidR="00BE36FB" w:rsidRPr="009B7B35" w:rsidRDefault="00BE36FB" w:rsidP="001A7107">
            <w:pPr>
              <w:pStyle w:val="TableText"/>
              <w:rPr>
                <w:rFonts w:cs="Arial"/>
              </w:rPr>
            </w:pPr>
            <w:r w:rsidRPr="009B7B35">
              <w:rPr>
                <w:rFonts w:cs="Arial"/>
              </w:rPr>
              <w:t>No more than 1 caretaker’s accommodation unit is established on the site.</w:t>
            </w:r>
          </w:p>
          <w:p w14:paraId="242708EE" w14:textId="77777777" w:rsidR="00BE36FB" w:rsidRPr="009B7B35" w:rsidRDefault="00BE36FB" w:rsidP="001A7107">
            <w:pPr>
              <w:pStyle w:val="TableText"/>
              <w:rPr>
                <w:rFonts w:cs="Arial"/>
              </w:rPr>
            </w:pPr>
          </w:p>
        </w:tc>
      </w:tr>
      <w:tr w:rsidR="00BE36FB" w:rsidRPr="009B7B35" w14:paraId="4185AA9C" w14:textId="77777777" w:rsidTr="001A7107">
        <w:trPr>
          <w:cantSplit/>
        </w:trPr>
        <w:tc>
          <w:tcPr>
            <w:tcW w:w="4678" w:type="dxa"/>
            <w:vMerge/>
            <w:tcBorders>
              <w:top w:val="single" w:sz="4" w:space="0" w:color="7F7F7F" w:themeColor="text1" w:themeTint="80"/>
            </w:tcBorders>
          </w:tcPr>
          <w:p w14:paraId="55A213E9" w14:textId="77777777" w:rsidR="00BE36FB" w:rsidRPr="009B7B35" w:rsidRDefault="00BE36FB" w:rsidP="001A7107">
            <w:pPr>
              <w:rPr>
                <w:rFonts w:cs="Arial"/>
                <w:sz w:val="20"/>
                <w:szCs w:val="20"/>
              </w:rPr>
            </w:pPr>
          </w:p>
        </w:tc>
        <w:tc>
          <w:tcPr>
            <w:tcW w:w="4678" w:type="dxa"/>
            <w:tcBorders>
              <w:top w:val="single" w:sz="4" w:space="0" w:color="7F7F7F" w:themeColor="text1" w:themeTint="80"/>
            </w:tcBorders>
          </w:tcPr>
          <w:p w14:paraId="45E2AD48" w14:textId="77777777" w:rsidR="00BE36FB" w:rsidRPr="009B7B35" w:rsidRDefault="00BE36FB" w:rsidP="001A7107">
            <w:pPr>
              <w:pStyle w:val="TableText"/>
              <w:rPr>
                <w:rFonts w:cs="Arial"/>
                <w:b/>
                <w:bCs/>
              </w:rPr>
            </w:pPr>
            <w:r w:rsidRPr="009B7B35">
              <w:rPr>
                <w:rFonts w:cs="Arial"/>
                <w:b/>
                <w:bCs/>
              </w:rPr>
              <w:t>AO1.2</w:t>
            </w:r>
          </w:p>
          <w:p w14:paraId="241E829E" w14:textId="77777777"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GFA.</w:t>
            </w:r>
          </w:p>
        </w:tc>
      </w:tr>
      <w:tr w:rsidR="00BE36FB" w:rsidRPr="009B7B35" w14:paraId="4DF563CA" w14:textId="77777777" w:rsidTr="001A7107">
        <w:trPr>
          <w:cantSplit/>
        </w:trPr>
        <w:tc>
          <w:tcPr>
            <w:tcW w:w="9356" w:type="dxa"/>
            <w:gridSpan w:val="2"/>
            <w:shd w:val="clear" w:color="auto" w:fill="BFBFBF" w:themeFill="background1" w:themeFillShade="BF"/>
          </w:tcPr>
          <w:p w14:paraId="3FEEF9E4" w14:textId="77777777"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14:paraId="4B917400" w14:textId="77777777" w:rsidTr="001A7107">
        <w:trPr>
          <w:cantSplit/>
        </w:trPr>
        <w:tc>
          <w:tcPr>
            <w:tcW w:w="4678" w:type="dxa"/>
            <w:vMerge w:val="restart"/>
          </w:tcPr>
          <w:p w14:paraId="5A020C8E" w14:textId="77777777" w:rsidR="00BE36FB" w:rsidRPr="009B7B35" w:rsidRDefault="00BE36FB" w:rsidP="001A7107">
            <w:pPr>
              <w:pStyle w:val="TableText"/>
              <w:rPr>
                <w:rFonts w:cs="Arial"/>
                <w:b/>
                <w:bCs/>
              </w:rPr>
            </w:pPr>
            <w:r w:rsidRPr="009B7B35">
              <w:rPr>
                <w:rFonts w:cs="Arial"/>
                <w:b/>
                <w:bCs/>
              </w:rPr>
              <w:t>PO2</w:t>
            </w:r>
          </w:p>
          <w:p w14:paraId="1BA88B10" w14:textId="77777777" w:rsidR="00BE36FB" w:rsidRPr="009B7B35" w:rsidRDefault="00BE36FB" w:rsidP="001A7107">
            <w:pPr>
              <w:pStyle w:val="TableText"/>
              <w:rPr>
                <w:rFonts w:cs="Arial"/>
              </w:rPr>
            </w:pPr>
            <w:r w:rsidRPr="009B7B35">
              <w:rPr>
                <w:rFonts w:cs="Arial"/>
              </w:rPr>
              <w:t>Built form is of a height and scale that:</w:t>
            </w:r>
          </w:p>
          <w:p w14:paraId="2BEBB8BC" w14:textId="77777777" w:rsidR="00BE36FB" w:rsidRPr="009B7B35" w:rsidRDefault="00BE36FB" w:rsidP="00BE36FB">
            <w:pPr>
              <w:pStyle w:val="TableText"/>
              <w:numPr>
                <w:ilvl w:val="0"/>
                <w:numId w:val="491"/>
              </w:numPr>
              <w:rPr>
                <w:rFonts w:cs="Arial"/>
              </w:rPr>
            </w:pPr>
            <w:r w:rsidRPr="009B7B35">
              <w:rPr>
                <w:rFonts w:cs="Arial"/>
              </w:rPr>
              <w:t>is low–medium rise and visually unobtrusive</w:t>
            </w:r>
          </w:p>
          <w:p w14:paraId="0D1AC88F" w14:textId="77777777" w:rsidR="00BE36FB" w:rsidRPr="009B7B35" w:rsidRDefault="00BE36FB" w:rsidP="00BE36FB">
            <w:pPr>
              <w:pStyle w:val="TableText"/>
              <w:numPr>
                <w:ilvl w:val="0"/>
                <w:numId w:val="491"/>
              </w:numPr>
              <w:rPr>
                <w:rFonts w:cs="Arial"/>
              </w:rPr>
            </w:pPr>
            <w:r w:rsidRPr="009B7B35">
              <w:rPr>
                <w:rFonts w:cs="Arial"/>
              </w:rPr>
              <w:t>protects residential amenity and minimises overshadowing and overlooking where adjoining an existing residential use or a residential zone, and</w:t>
            </w:r>
          </w:p>
          <w:p w14:paraId="578CDBA2" w14:textId="77777777" w:rsidR="00BE36FB" w:rsidRPr="009B7B35" w:rsidRDefault="00BE36FB" w:rsidP="00BE36FB">
            <w:pPr>
              <w:pStyle w:val="TableText"/>
              <w:numPr>
                <w:ilvl w:val="0"/>
                <w:numId w:val="491"/>
              </w:numPr>
              <w:rPr>
                <w:rFonts w:cs="Arial"/>
              </w:rPr>
            </w:pPr>
            <w:r w:rsidRPr="009B7B35">
              <w:rPr>
                <w:rFonts w:cs="Arial"/>
              </w:rPr>
              <w:t>does not restrict access to, utility or enjoyment of the land for sport and recreation purposes.</w:t>
            </w:r>
          </w:p>
        </w:tc>
        <w:tc>
          <w:tcPr>
            <w:tcW w:w="4678" w:type="dxa"/>
          </w:tcPr>
          <w:p w14:paraId="51D2ACD8" w14:textId="77777777" w:rsidR="00BE36FB" w:rsidRPr="009B7B35" w:rsidRDefault="00BE36FB" w:rsidP="001A7107">
            <w:pPr>
              <w:pStyle w:val="TableText"/>
              <w:rPr>
                <w:rFonts w:cs="Arial"/>
                <w:b/>
                <w:bCs/>
              </w:rPr>
            </w:pPr>
            <w:r w:rsidRPr="009B7B35">
              <w:rPr>
                <w:rFonts w:cs="Arial"/>
                <w:b/>
                <w:bCs/>
              </w:rPr>
              <w:t>AO2.1</w:t>
            </w:r>
          </w:p>
          <w:p w14:paraId="1A3DAFE4" w14:textId="77777777" w:rsidR="00BE36FB" w:rsidRPr="009B7B35" w:rsidRDefault="00BE36FB" w:rsidP="001A7107">
            <w:pPr>
              <w:pStyle w:val="TableText"/>
              <w:rPr>
                <w:rFonts w:cs="Arial"/>
              </w:rPr>
            </w:pPr>
            <w:r w:rsidRPr="009B7B35">
              <w:rPr>
                <w:rFonts w:cs="Arial"/>
              </w:rPr>
              <w:t>Building height does not exceed 12m.</w:t>
            </w:r>
          </w:p>
        </w:tc>
      </w:tr>
      <w:tr w:rsidR="00BE36FB" w:rsidRPr="009B7B35" w14:paraId="66067AA9" w14:textId="77777777" w:rsidTr="001A7107">
        <w:trPr>
          <w:cantSplit/>
        </w:trPr>
        <w:tc>
          <w:tcPr>
            <w:tcW w:w="4678" w:type="dxa"/>
            <w:vMerge/>
          </w:tcPr>
          <w:p w14:paraId="261C0A5B" w14:textId="77777777" w:rsidR="00BE36FB" w:rsidRPr="009B7B35" w:rsidRDefault="00BE36FB" w:rsidP="001A7107">
            <w:pPr>
              <w:rPr>
                <w:rFonts w:cs="Arial"/>
                <w:sz w:val="20"/>
                <w:szCs w:val="20"/>
              </w:rPr>
            </w:pPr>
          </w:p>
        </w:tc>
        <w:tc>
          <w:tcPr>
            <w:tcW w:w="4678" w:type="dxa"/>
          </w:tcPr>
          <w:p w14:paraId="1CC5FD2F" w14:textId="77777777" w:rsidR="00BE36FB" w:rsidRPr="009B7B35" w:rsidRDefault="00BE36FB" w:rsidP="001A7107">
            <w:pPr>
              <w:pStyle w:val="TableText"/>
              <w:rPr>
                <w:rFonts w:cs="Arial"/>
                <w:b/>
                <w:bCs/>
              </w:rPr>
            </w:pPr>
            <w:r w:rsidRPr="009B7B35">
              <w:rPr>
                <w:rFonts w:cs="Arial"/>
                <w:b/>
                <w:bCs/>
              </w:rPr>
              <w:t>AO2.2</w:t>
            </w:r>
          </w:p>
          <w:p w14:paraId="728EA96C" w14:textId="77777777" w:rsidR="00BE36FB" w:rsidRPr="009B7B35" w:rsidRDefault="00BE36FB">
            <w:pPr>
              <w:pStyle w:val="TableText"/>
              <w:rPr>
                <w:rFonts w:cs="Arial"/>
              </w:rPr>
            </w:pPr>
            <w:r w:rsidRPr="009B7B35">
              <w:rPr>
                <w:rFonts w:cs="Arial"/>
              </w:rPr>
              <w:t>The site cover of all buildings and structures does not exceed the lesser of 40% of the total site area or 400m</w:t>
            </w:r>
            <w:r w:rsidRPr="009B7B35">
              <w:rPr>
                <w:rFonts w:cs="Arial"/>
                <w:vertAlign w:val="superscript"/>
              </w:rPr>
              <w:t>2</w:t>
            </w:r>
            <w:r w:rsidRPr="009B7B35">
              <w:rPr>
                <w:rFonts w:cs="Arial"/>
              </w:rPr>
              <w:t>.</w:t>
            </w:r>
          </w:p>
        </w:tc>
      </w:tr>
      <w:tr w:rsidR="00BE36FB" w:rsidRPr="009B7B35" w14:paraId="0D8A5E4C" w14:textId="77777777" w:rsidTr="001A7107">
        <w:trPr>
          <w:cantSplit/>
        </w:trPr>
        <w:tc>
          <w:tcPr>
            <w:tcW w:w="9356" w:type="dxa"/>
            <w:gridSpan w:val="2"/>
            <w:shd w:val="clear" w:color="auto" w:fill="BFBFBF" w:themeFill="background1" w:themeFillShade="BF"/>
          </w:tcPr>
          <w:p w14:paraId="219C8AED" w14:textId="77777777"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14:paraId="226B188B" w14:textId="77777777" w:rsidTr="001A7107">
        <w:trPr>
          <w:cantSplit/>
        </w:trPr>
        <w:tc>
          <w:tcPr>
            <w:tcW w:w="4678" w:type="dxa"/>
            <w:vMerge w:val="restart"/>
          </w:tcPr>
          <w:p w14:paraId="105045EE" w14:textId="77777777" w:rsidR="00BE36FB" w:rsidRPr="009B7B35" w:rsidRDefault="00BE36FB" w:rsidP="001A7107">
            <w:pPr>
              <w:pStyle w:val="TableText"/>
              <w:rPr>
                <w:rFonts w:cs="Arial"/>
                <w:b/>
                <w:bCs/>
              </w:rPr>
            </w:pPr>
            <w:r w:rsidRPr="009B7B35">
              <w:rPr>
                <w:rFonts w:cs="Arial"/>
                <w:b/>
                <w:bCs/>
              </w:rPr>
              <w:t>PO3</w:t>
            </w:r>
          </w:p>
          <w:p w14:paraId="72977767" w14:textId="77777777" w:rsidR="00BE36FB" w:rsidRPr="009B7B35" w:rsidRDefault="00BE36FB" w:rsidP="001A7107">
            <w:pPr>
              <w:pStyle w:val="TableText"/>
              <w:rPr>
                <w:rFonts w:cs="Arial"/>
              </w:rPr>
            </w:pPr>
            <w:r w:rsidRPr="009B7B35">
              <w:rPr>
                <w:rFonts w:cs="Arial"/>
              </w:rPr>
              <w:t>Development provides adequate separation, screening and buffering from any adjoining residential premises or residential zone so that residential privacy and amenity is not adversely affected.</w:t>
            </w:r>
          </w:p>
        </w:tc>
        <w:tc>
          <w:tcPr>
            <w:tcW w:w="4678" w:type="dxa"/>
          </w:tcPr>
          <w:p w14:paraId="37CC903F" w14:textId="77777777" w:rsidR="00BE36FB" w:rsidRPr="009B7B35" w:rsidRDefault="00BE36FB" w:rsidP="001A7107">
            <w:pPr>
              <w:pStyle w:val="TableText"/>
              <w:rPr>
                <w:rFonts w:cs="Arial"/>
                <w:b/>
                <w:bCs/>
              </w:rPr>
            </w:pPr>
            <w:r w:rsidRPr="009B7B35">
              <w:rPr>
                <w:rFonts w:cs="Arial"/>
                <w:b/>
                <w:bCs/>
              </w:rPr>
              <w:t>AO3.1</w:t>
            </w:r>
          </w:p>
          <w:p w14:paraId="3DC69508" w14:textId="77777777" w:rsidR="00BE36FB" w:rsidRPr="009B7B35" w:rsidRDefault="00BE36FB" w:rsidP="001A7107">
            <w:pPr>
              <w:pStyle w:val="TableText"/>
              <w:rPr>
                <w:rFonts w:cs="Arial"/>
              </w:rPr>
            </w:pPr>
            <w:r w:rsidRPr="009B7B35">
              <w:rPr>
                <w:rFonts w:cs="Arial"/>
              </w:rPr>
              <w:t>Development that shares a boundary with a residential premises or residential zone requires a minimum boundary setback of 6m for:</w:t>
            </w:r>
          </w:p>
          <w:p w14:paraId="06502D13" w14:textId="77777777" w:rsidR="00BE36FB" w:rsidRPr="009B7B35" w:rsidRDefault="00BE36FB" w:rsidP="00BE36FB">
            <w:pPr>
              <w:pStyle w:val="TableText"/>
              <w:numPr>
                <w:ilvl w:val="0"/>
                <w:numId w:val="492"/>
              </w:numPr>
              <w:rPr>
                <w:rFonts w:cs="Arial"/>
              </w:rPr>
            </w:pPr>
            <w:r w:rsidRPr="009B7B35">
              <w:rPr>
                <w:rFonts w:cs="Arial"/>
              </w:rPr>
              <w:t>temporary structures including markets</w:t>
            </w:r>
          </w:p>
          <w:p w14:paraId="4CDDEB39" w14:textId="77777777" w:rsidR="00BE36FB" w:rsidRPr="009B7B35" w:rsidRDefault="00BE36FB" w:rsidP="00BE36FB">
            <w:pPr>
              <w:pStyle w:val="TableText"/>
              <w:numPr>
                <w:ilvl w:val="0"/>
                <w:numId w:val="492"/>
              </w:numPr>
              <w:rPr>
                <w:rFonts w:cs="Arial"/>
              </w:rPr>
            </w:pPr>
            <w:r w:rsidRPr="009B7B35">
              <w:rPr>
                <w:rFonts w:cs="Arial"/>
              </w:rPr>
              <w:t>active outdoor use or sporting areas</w:t>
            </w:r>
          </w:p>
          <w:p w14:paraId="7895C1D2" w14:textId="77777777" w:rsidR="00BE36FB" w:rsidRPr="009B7B35" w:rsidRDefault="00BE36FB" w:rsidP="00BE36FB">
            <w:pPr>
              <w:pStyle w:val="TableText"/>
              <w:numPr>
                <w:ilvl w:val="0"/>
                <w:numId w:val="492"/>
              </w:numPr>
              <w:rPr>
                <w:rFonts w:cs="Arial"/>
              </w:rPr>
            </w:pPr>
            <w:r w:rsidRPr="009B7B35">
              <w:rPr>
                <w:rFonts w:cs="Arial"/>
              </w:rPr>
              <w:t>site access points</w:t>
            </w:r>
          </w:p>
          <w:p w14:paraId="24398682" w14:textId="77777777" w:rsidR="00BE36FB" w:rsidRPr="009B7B35" w:rsidRDefault="00BE36FB" w:rsidP="00BE36FB">
            <w:pPr>
              <w:pStyle w:val="TableText"/>
              <w:numPr>
                <w:ilvl w:val="0"/>
                <w:numId w:val="492"/>
              </w:numPr>
              <w:rPr>
                <w:rFonts w:cs="Arial"/>
              </w:rPr>
            </w:pPr>
            <w:r w:rsidRPr="009B7B35">
              <w:rPr>
                <w:rFonts w:cs="Arial"/>
              </w:rPr>
              <w:t xml:space="preserve">car parking areas, and </w:t>
            </w:r>
          </w:p>
          <w:p w14:paraId="4DE9EE63" w14:textId="77777777" w:rsidR="00BE36FB" w:rsidRPr="009B7B35" w:rsidRDefault="00BE36FB" w:rsidP="00BE36FB">
            <w:pPr>
              <w:pStyle w:val="TableText"/>
              <w:numPr>
                <w:ilvl w:val="0"/>
                <w:numId w:val="492"/>
              </w:numPr>
              <w:rPr>
                <w:rFonts w:cs="Arial"/>
              </w:rPr>
            </w:pPr>
            <w:r w:rsidRPr="009B7B35">
              <w:rPr>
                <w:rFonts w:cs="Arial"/>
              </w:rPr>
              <w:t>servicing or outdoor storage areas.</w:t>
            </w:r>
          </w:p>
        </w:tc>
      </w:tr>
      <w:tr w:rsidR="00BE36FB" w:rsidRPr="009B7B35" w14:paraId="3D18DEF5" w14:textId="77777777" w:rsidTr="001A7107">
        <w:trPr>
          <w:cantSplit/>
        </w:trPr>
        <w:tc>
          <w:tcPr>
            <w:tcW w:w="4678" w:type="dxa"/>
            <w:vMerge/>
          </w:tcPr>
          <w:p w14:paraId="01995867" w14:textId="77777777" w:rsidR="00BE36FB" w:rsidRPr="009B7B35" w:rsidRDefault="00BE36FB" w:rsidP="001A7107">
            <w:pPr>
              <w:rPr>
                <w:rFonts w:cs="Arial"/>
                <w:sz w:val="20"/>
                <w:szCs w:val="20"/>
              </w:rPr>
            </w:pPr>
          </w:p>
        </w:tc>
        <w:tc>
          <w:tcPr>
            <w:tcW w:w="4678" w:type="dxa"/>
          </w:tcPr>
          <w:p w14:paraId="72E11AF7" w14:textId="77777777" w:rsidR="00BE36FB" w:rsidRPr="009B7B35" w:rsidRDefault="00BE36FB" w:rsidP="001A7107">
            <w:pPr>
              <w:pStyle w:val="TableText"/>
              <w:rPr>
                <w:rFonts w:cs="Arial"/>
                <w:b/>
                <w:bCs/>
              </w:rPr>
            </w:pPr>
            <w:r w:rsidRPr="009B7B35">
              <w:rPr>
                <w:rFonts w:cs="Arial"/>
                <w:b/>
                <w:bCs/>
              </w:rPr>
              <w:t>AO3.2</w:t>
            </w:r>
          </w:p>
          <w:p w14:paraId="40D474BC" w14:textId="77777777" w:rsidR="00BE36FB" w:rsidRPr="009B7B35" w:rsidRDefault="00BE36FB" w:rsidP="001A7107">
            <w:pPr>
              <w:pStyle w:val="TableText"/>
              <w:rPr>
                <w:rFonts w:cs="Arial"/>
              </w:rPr>
            </w:pPr>
            <w:r w:rsidRPr="009B7B35">
              <w:rPr>
                <w:rFonts w:cs="Arial"/>
              </w:rPr>
              <w:t xml:space="preserve">Development that shares a boundary with a residential premises or residential zone must ensure all buildings: </w:t>
            </w:r>
          </w:p>
          <w:p w14:paraId="318F312E" w14:textId="77777777" w:rsidR="00BE36FB" w:rsidRPr="009B7B35" w:rsidRDefault="00BE36FB" w:rsidP="00BE36FB">
            <w:pPr>
              <w:pStyle w:val="TableText"/>
              <w:numPr>
                <w:ilvl w:val="0"/>
                <w:numId w:val="493"/>
              </w:numPr>
              <w:ind w:left="510" w:hanging="510"/>
              <w:rPr>
                <w:rFonts w:cs="Arial"/>
              </w:rPr>
            </w:pPr>
            <w:r w:rsidRPr="009B7B35">
              <w:rPr>
                <w:rFonts w:cs="Arial"/>
              </w:rPr>
              <w:t>are setback a minimum of 15m from that common boundary, and</w:t>
            </w:r>
          </w:p>
          <w:p w14:paraId="5D5E863B" w14:textId="77777777" w:rsidR="00BE36FB" w:rsidRPr="009B7B35" w:rsidRDefault="00BE36FB" w:rsidP="00BE36FB">
            <w:pPr>
              <w:pStyle w:val="TableText"/>
              <w:numPr>
                <w:ilvl w:val="0"/>
                <w:numId w:val="493"/>
              </w:numPr>
              <w:ind w:left="510" w:hanging="510"/>
              <w:rPr>
                <w:rFonts w:cs="Arial"/>
              </w:rPr>
            </w:pPr>
            <w:r w:rsidRPr="009B7B35">
              <w:rPr>
                <w:rFonts w:cs="Arial"/>
              </w:rPr>
              <w:t xml:space="preserve">include a minimum 1.8m high solid screen fence along that common boundary, or </w:t>
            </w:r>
          </w:p>
          <w:p w14:paraId="0E505B14" w14:textId="77777777" w:rsidR="00BE36FB" w:rsidRPr="009B7B35" w:rsidRDefault="00BE36FB" w:rsidP="00BE36FB">
            <w:pPr>
              <w:pStyle w:val="TableText"/>
              <w:numPr>
                <w:ilvl w:val="0"/>
                <w:numId w:val="493"/>
              </w:numPr>
              <w:ind w:left="510" w:hanging="510"/>
              <w:rPr>
                <w:rFonts w:cs="Arial"/>
              </w:rPr>
            </w:pPr>
            <w:r w:rsidRPr="009B7B35">
              <w:rPr>
                <w:rFonts w:cs="Arial"/>
              </w:rPr>
              <w:t>a landscaped buffer area consisting of dense screen planting of a minimum 3m width along that common boundary.</w:t>
            </w:r>
          </w:p>
          <w:p w14:paraId="3BC2D958" w14:textId="77777777" w:rsidR="00BE36FB" w:rsidRPr="009B7B35" w:rsidRDefault="00BE36FB" w:rsidP="001A7107">
            <w:pPr>
              <w:pStyle w:val="Notes"/>
              <w:rPr>
                <w:rFonts w:cs="Arial"/>
                <w:sz w:val="20"/>
                <w:szCs w:val="20"/>
              </w:rPr>
            </w:pPr>
            <w:r w:rsidRPr="009B7B35">
              <w:rPr>
                <w:rFonts w:cs="Arial"/>
                <w:sz w:val="20"/>
                <w:szCs w:val="20"/>
              </w:rPr>
              <w:t>Note—Refer also to the Landscape code.</w:t>
            </w:r>
          </w:p>
        </w:tc>
      </w:tr>
      <w:tr w:rsidR="00BE36FB" w:rsidRPr="009B7B35" w14:paraId="39EC0D4E" w14:textId="77777777" w:rsidTr="001A7107">
        <w:trPr>
          <w:cantSplit/>
        </w:trPr>
        <w:tc>
          <w:tcPr>
            <w:tcW w:w="4678" w:type="dxa"/>
            <w:vMerge/>
          </w:tcPr>
          <w:p w14:paraId="7E2E3C9C" w14:textId="77777777" w:rsidR="00BE36FB" w:rsidRPr="009B7B35" w:rsidRDefault="00BE36FB" w:rsidP="001A7107">
            <w:pPr>
              <w:rPr>
                <w:rFonts w:cs="Arial"/>
                <w:sz w:val="20"/>
                <w:szCs w:val="20"/>
              </w:rPr>
            </w:pPr>
          </w:p>
        </w:tc>
        <w:tc>
          <w:tcPr>
            <w:tcW w:w="4678" w:type="dxa"/>
          </w:tcPr>
          <w:p w14:paraId="4ED8242F" w14:textId="77777777" w:rsidR="00BE36FB" w:rsidRPr="009B7B35" w:rsidRDefault="00BE36FB" w:rsidP="001A7107">
            <w:pPr>
              <w:pStyle w:val="TableText"/>
              <w:rPr>
                <w:rFonts w:cs="Arial"/>
                <w:b/>
                <w:bCs/>
              </w:rPr>
            </w:pPr>
            <w:r w:rsidRPr="009B7B35">
              <w:rPr>
                <w:rFonts w:cs="Arial"/>
                <w:b/>
                <w:bCs/>
              </w:rPr>
              <w:t>AO3.3</w:t>
            </w:r>
          </w:p>
          <w:p w14:paraId="54F0EE1F" w14:textId="77777777" w:rsidR="00BE36FB" w:rsidRPr="009B7B35" w:rsidRDefault="00BE36FB" w:rsidP="001A7107">
            <w:pPr>
              <w:pStyle w:val="TableText"/>
              <w:rPr>
                <w:rFonts w:cs="Arial"/>
              </w:rPr>
            </w:pPr>
            <w:r w:rsidRPr="009B7B35">
              <w:rPr>
                <w:rFonts w:cs="Arial"/>
              </w:rPr>
              <w:t>Windows that have a direct view into an adjoining residential use are provided with fixed screening that is a maximum of 50% transparent.</w:t>
            </w:r>
          </w:p>
        </w:tc>
      </w:tr>
      <w:tr w:rsidR="00BE36FB" w:rsidRPr="009B7B35" w14:paraId="4F7F60DB" w14:textId="77777777" w:rsidTr="001A7107">
        <w:tc>
          <w:tcPr>
            <w:tcW w:w="4678" w:type="dxa"/>
            <w:vMerge w:val="restart"/>
          </w:tcPr>
          <w:p w14:paraId="2FC72E59" w14:textId="77777777" w:rsidR="00BE36FB" w:rsidRPr="009B7B35" w:rsidRDefault="00BE36FB" w:rsidP="001A7107">
            <w:pPr>
              <w:pStyle w:val="TableText"/>
              <w:rPr>
                <w:rFonts w:cs="Arial"/>
                <w:b/>
                <w:bCs/>
              </w:rPr>
            </w:pPr>
            <w:r w:rsidRPr="009B7B35">
              <w:rPr>
                <w:rFonts w:cs="Arial"/>
                <w:b/>
                <w:bCs/>
              </w:rPr>
              <w:t>PO4</w:t>
            </w:r>
          </w:p>
          <w:p w14:paraId="0749CAFA" w14:textId="77777777" w:rsidR="00BE36FB" w:rsidRPr="009B7B35" w:rsidRDefault="00BE36FB" w:rsidP="001A7107">
            <w:pPr>
              <w:pStyle w:val="TableText"/>
              <w:rPr>
                <w:rFonts w:cs="Arial"/>
              </w:rPr>
            </w:pPr>
            <w:r w:rsidRPr="009B7B35">
              <w:rPr>
                <w:rFonts w:cs="Arial"/>
              </w:rPr>
              <w:t>Outdoor lighting does not adversely affect the amenity of adjoining properties or create a traffic hazard on adjacent roads.</w:t>
            </w:r>
          </w:p>
        </w:tc>
        <w:tc>
          <w:tcPr>
            <w:tcW w:w="4678" w:type="dxa"/>
          </w:tcPr>
          <w:p w14:paraId="34FC869A" w14:textId="77777777" w:rsidR="00BE36FB" w:rsidRPr="009B7B35" w:rsidRDefault="00BE36FB" w:rsidP="001A7107">
            <w:pPr>
              <w:pStyle w:val="TableText"/>
              <w:rPr>
                <w:rFonts w:cs="Arial"/>
                <w:b/>
                <w:bCs/>
              </w:rPr>
            </w:pPr>
            <w:r w:rsidRPr="009B7B35">
              <w:rPr>
                <w:rFonts w:cs="Arial"/>
                <w:b/>
                <w:bCs/>
              </w:rPr>
              <w:t>AO4.1</w:t>
            </w:r>
          </w:p>
          <w:p w14:paraId="56C49B1C" w14:textId="77777777" w:rsidR="00BE36FB" w:rsidRPr="009B7B35" w:rsidRDefault="00BE36FB" w:rsidP="001A7107">
            <w:pPr>
              <w:pStyle w:val="TableText"/>
              <w:rPr>
                <w:rFonts w:cs="Arial"/>
              </w:rPr>
            </w:pPr>
            <w:r w:rsidRPr="009B7B35">
              <w:rPr>
                <w:rFonts w:cs="Arial"/>
              </w:rPr>
              <w:t xml:space="preserve">Light emanating from any source complies with </w:t>
            </w:r>
            <w:r w:rsidRPr="009B7B35">
              <w:rPr>
                <w:rStyle w:val="StyleItalic"/>
                <w:rFonts w:cs="Arial"/>
              </w:rPr>
              <w:t>Australian Standard AS4282 Control of the Obtrusive Effects of Outdoor Lighting</w:t>
            </w:r>
            <w:r w:rsidRPr="009B7B35">
              <w:rPr>
                <w:rFonts w:cs="Arial"/>
              </w:rPr>
              <w:t xml:space="preserve"> as amended.</w:t>
            </w:r>
          </w:p>
        </w:tc>
      </w:tr>
      <w:tr w:rsidR="00BE36FB" w:rsidRPr="009B7B35" w14:paraId="73CD6FED" w14:textId="77777777" w:rsidTr="001A7107">
        <w:tc>
          <w:tcPr>
            <w:tcW w:w="4678" w:type="dxa"/>
            <w:vMerge/>
          </w:tcPr>
          <w:p w14:paraId="64B389AC" w14:textId="77777777" w:rsidR="00BE36FB" w:rsidRPr="009B7B35" w:rsidRDefault="00BE36FB" w:rsidP="001A7107">
            <w:pPr>
              <w:rPr>
                <w:rFonts w:cs="Arial"/>
                <w:sz w:val="20"/>
                <w:szCs w:val="20"/>
              </w:rPr>
            </w:pPr>
          </w:p>
        </w:tc>
        <w:tc>
          <w:tcPr>
            <w:tcW w:w="4678" w:type="dxa"/>
          </w:tcPr>
          <w:p w14:paraId="56B57CB3" w14:textId="77777777" w:rsidR="00BE36FB" w:rsidRPr="009B7B35" w:rsidRDefault="00BE36FB" w:rsidP="001A7107">
            <w:pPr>
              <w:pStyle w:val="TableText"/>
              <w:rPr>
                <w:rFonts w:cs="Arial"/>
                <w:b/>
                <w:bCs/>
              </w:rPr>
            </w:pPr>
            <w:r w:rsidRPr="009B7B35">
              <w:rPr>
                <w:rFonts w:cs="Arial"/>
                <w:b/>
                <w:bCs/>
              </w:rPr>
              <w:t>AO4.2</w:t>
            </w:r>
          </w:p>
          <w:p w14:paraId="0B7DCA7A" w14:textId="77777777" w:rsidR="00BE36FB" w:rsidRPr="009B7B35" w:rsidRDefault="00BE36FB" w:rsidP="001A7107">
            <w:pPr>
              <w:pStyle w:val="TableText"/>
              <w:rPr>
                <w:rFonts w:cs="Arial"/>
              </w:rPr>
            </w:pPr>
            <w:r w:rsidRPr="009B7B35">
              <w:rPr>
                <w:rFonts w:cs="Arial"/>
              </w:rPr>
              <w:t xml:space="preserve">Outdoor lighting is provided in accordance with </w:t>
            </w:r>
            <w:r w:rsidRPr="009B7B35">
              <w:rPr>
                <w:rStyle w:val="StyleItalic"/>
                <w:rFonts w:cs="Arial"/>
              </w:rPr>
              <w:t>Australian Standard AS1158.1.1 – Road Lighting – Vehicular Traffic (Category V) Lighting – Performance and Installation Design Requirements</w:t>
            </w:r>
            <w:r w:rsidRPr="009B7B35">
              <w:rPr>
                <w:rFonts w:cs="Arial"/>
              </w:rPr>
              <w:t xml:space="preserve"> as amended.</w:t>
            </w:r>
          </w:p>
        </w:tc>
      </w:tr>
      <w:tr w:rsidR="00BE36FB" w:rsidRPr="009B7B35" w14:paraId="60B0DA39" w14:textId="77777777" w:rsidTr="001A7107">
        <w:tc>
          <w:tcPr>
            <w:tcW w:w="4678" w:type="dxa"/>
          </w:tcPr>
          <w:p w14:paraId="2B4BCD7C" w14:textId="77777777" w:rsidR="00BE36FB" w:rsidRPr="009B7B35" w:rsidRDefault="00BE36FB" w:rsidP="001A7107">
            <w:pPr>
              <w:pStyle w:val="TableText"/>
              <w:rPr>
                <w:rFonts w:cs="Arial"/>
                <w:b/>
                <w:bCs/>
              </w:rPr>
            </w:pPr>
            <w:r w:rsidRPr="009B7B35">
              <w:rPr>
                <w:rFonts w:cs="Arial"/>
                <w:b/>
                <w:bCs/>
              </w:rPr>
              <w:t>PO5</w:t>
            </w:r>
          </w:p>
          <w:p w14:paraId="1616E797" w14:textId="77777777" w:rsidR="00BE36FB" w:rsidRPr="009B7B35" w:rsidRDefault="00BE36FB" w:rsidP="001A7107">
            <w:pPr>
              <w:pStyle w:val="TableText"/>
              <w:rPr>
                <w:rFonts w:cs="Arial"/>
              </w:rPr>
            </w:pPr>
            <w:r w:rsidRPr="009B7B35">
              <w:rPr>
                <w:rFonts w:cs="Arial"/>
              </w:rPr>
              <w:t>Development must not unreasonably affect the amenity of the surrounding area.</w:t>
            </w:r>
          </w:p>
        </w:tc>
        <w:tc>
          <w:tcPr>
            <w:tcW w:w="4678" w:type="dxa"/>
          </w:tcPr>
          <w:p w14:paraId="07BF41A8" w14:textId="77777777" w:rsidR="00BE36FB" w:rsidRPr="009B7B35" w:rsidRDefault="00BE36FB" w:rsidP="001A7107">
            <w:pPr>
              <w:pStyle w:val="TableText"/>
              <w:rPr>
                <w:rFonts w:cs="Arial"/>
                <w:b/>
                <w:bCs/>
              </w:rPr>
            </w:pPr>
            <w:r w:rsidRPr="009B7B35">
              <w:rPr>
                <w:rFonts w:cs="Arial"/>
                <w:b/>
                <w:bCs/>
              </w:rPr>
              <w:t>AO5</w:t>
            </w:r>
          </w:p>
          <w:p w14:paraId="4F468D8B" w14:textId="77777777" w:rsidR="00BE36FB" w:rsidRPr="009B7B35" w:rsidRDefault="00BE36FB" w:rsidP="001A7107">
            <w:pPr>
              <w:pStyle w:val="TableText"/>
              <w:rPr>
                <w:rFonts w:cs="Arial"/>
              </w:rPr>
            </w:pPr>
            <w:r w:rsidRPr="009B7B35">
              <w:rPr>
                <w:rFonts w:cs="Arial"/>
              </w:rPr>
              <w:t>Hours of operation are limited to between 7am and 10pm each day.</w:t>
            </w:r>
          </w:p>
        </w:tc>
      </w:tr>
      <w:tr w:rsidR="00BE36FB" w:rsidRPr="009B7B35" w14:paraId="408C4A88" w14:textId="77777777" w:rsidTr="001A7107">
        <w:trPr>
          <w:cantSplit/>
        </w:trPr>
        <w:tc>
          <w:tcPr>
            <w:tcW w:w="9356" w:type="dxa"/>
            <w:gridSpan w:val="2"/>
          </w:tcPr>
          <w:p w14:paraId="7BB0968B"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5BA74C13" w14:textId="77777777" w:rsidTr="001A7107">
        <w:trPr>
          <w:cantSplit/>
        </w:trPr>
        <w:tc>
          <w:tcPr>
            <w:tcW w:w="9356" w:type="dxa"/>
            <w:gridSpan w:val="2"/>
            <w:shd w:val="clear" w:color="auto" w:fill="BFBFBF" w:themeFill="background1" w:themeFillShade="BF"/>
          </w:tcPr>
          <w:p w14:paraId="61141CF2"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14:paraId="40AE40C7" w14:textId="77777777" w:rsidTr="001A7107">
        <w:trPr>
          <w:cantSplit/>
        </w:trPr>
        <w:tc>
          <w:tcPr>
            <w:tcW w:w="4678" w:type="dxa"/>
          </w:tcPr>
          <w:p w14:paraId="3C1E5EC7" w14:textId="77777777" w:rsidR="00BE36FB" w:rsidRPr="009B7B35" w:rsidRDefault="00BE36FB" w:rsidP="001A7107">
            <w:pPr>
              <w:pStyle w:val="TableText"/>
              <w:rPr>
                <w:rFonts w:cs="Arial"/>
                <w:b/>
                <w:bCs/>
              </w:rPr>
            </w:pPr>
            <w:r w:rsidRPr="009B7B35">
              <w:rPr>
                <w:rFonts w:cs="Arial"/>
                <w:b/>
                <w:bCs/>
              </w:rPr>
              <w:t>PO6</w:t>
            </w:r>
          </w:p>
          <w:p w14:paraId="7426C504" w14:textId="77777777" w:rsidR="00BE36FB" w:rsidRPr="009B7B35" w:rsidRDefault="00BE36FB" w:rsidP="001A7107">
            <w:pPr>
              <w:pStyle w:val="TableText"/>
              <w:rPr>
                <w:rFonts w:cs="Arial"/>
              </w:rPr>
            </w:pPr>
            <w:r w:rsidRPr="009B7B35">
              <w:rPr>
                <w:rFonts w:cs="Arial"/>
              </w:rPr>
              <w:t xml:space="preserve">Development facilitates the optimum enjoyment and use of the land for sport and recreation purposes. </w:t>
            </w:r>
          </w:p>
        </w:tc>
        <w:tc>
          <w:tcPr>
            <w:tcW w:w="4678" w:type="dxa"/>
          </w:tcPr>
          <w:p w14:paraId="0E612AA9"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57789DA" w14:textId="77777777" w:rsidTr="001A7107">
        <w:trPr>
          <w:cantSplit/>
        </w:trPr>
        <w:tc>
          <w:tcPr>
            <w:tcW w:w="4678" w:type="dxa"/>
          </w:tcPr>
          <w:p w14:paraId="77F7F2A6" w14:textId="77777777" w:rsidR="00BE36FB" w:rsidRPr="009B7B35" w:rsidRDefault="00BE36FB" w:rsidP="001A7107">
            <w:pPr>
              <w:pStyle w:val="TableText"/>
              <w:rPr>
                <w:rFonts w:cs="Arial"/>
                <w:b/>
                <w:bCs/>
              </w:rPr>
            </w:pPr>
            <w:r w:rsidRPr="009B7B35">
              <w:rPr>
                <w:rFonts w:cs="Arial"/>
                <w:b/>
                <w:bCs/>
              </w:rPr>
              <w:t>PO7</w:t>
            </w:r>
          </w:p>
          <w:p w14:paraId="7E24BAC5" w14:textId="77777777" w:rsidR="00BE36FB" w:rsidRPr="009B7B35" w:rsidRDefault="00BE36FB" w:rsidP="001A7107">
            <w:pPr>
              <w:pStyle w:val="TableText"/>
              <w:rPr>
                <w:rFonts w:cs="Arial"/>
              </w:rPr>
            </w:pPr>
            <w:r w:rsidRPr="009B7B35">
              <w:rPr>
                <w:rFonts w:cs="Arial"/>
              </w:rPr>
              <w:t>Non–recreation uses occur only where they directly support the primary sport and recreation function of the site or are a compatible community–related activity.</w:t>
            </w:r>
          </w:p>
        </w:tc>
        <w:tc>
          <w:tcPr>
            <w:tcW w:w="4678" w:type="dxa"/>
          </w:tcPr>
          <w:p w14:paraId="621E0A21"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77FE8C9" w14:textId="77777777" w:rsidTr="001A7107">
        <w:trPr>
          <w:cantSplit/>
        </w:trPr>
        <w:tc>
          <w:tcPr>
            <w:tcW w:w="4678" w:type="dxa"/>
          </w:tcPr>
          <w:p w14:paraId="45F03F52" w14:textId="77777777" w:rsidR="00BE36FB" w:rsidRPr="009B7B35" w:rsidRDefault="00BE36FB" w:rsidP="001A7107">
            <w:pPr>
              <w:pStyle w:val="TableText"/>
              <w:rPr>
                <w:rFonts w:cs="Arial"/>
                <w:b/>
                <w:bCs/>
              </w:rPr>
            </w:pPr>
            <w:r w:rsidRPr="009B7B35">
              <w:rPr>
                <w:rFonts w:cs="Arial"/>
                <w:b/>
                <w:bCs/>
              </w:rPr>
              <w:t>PO8</w:t>
            </w:r>
          </w:p>
          <w:p w14:paraId="2CB9FF70" w14:textId="77777777" w:rsidR="00BE36FB" w:rsidRPr="009B7B35" w:rsidRDefault="00BE36FB" w:rsidP="001A7107">
            <w:pPr>
              <w:pStyle w:val="TableText"/>
              <w:rPr>
                <w:rFonts w:cs="Arial"/>
              </w:rPr>
            </w:pPr>
            <w:r w:rsidRPr="009B7B35">
              <w:rPr>
                <w:rFonts w:cs="Arial"/>
              </w:rPr>
              <w:t>Buildings, structures and use areas are designed to ensure efficient use of buildings and facilities, and provide for multiple or shared use of facilities where practicable.</w:t>
            </w:r>
          </w:p>
        </w:tc>
        <w:tc>
          <w:tcPr>
            <w:tcW w:w="4678" w:type="dxa"/>
          </w:tcPr>
          <w:p w14:paraId="76892C93"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D309B96" w14:textId="77777777" w:rsidTr="001A7107">
        <w:trPr>
          <w:cantSplit/>
        </w:trPr>
        <w:tc>
          <w:tcPr>
            <w:tcW w:w="9356" w:type="dxa"/>
            <w:gridSpan w:val="2"/>
            <w:shd w:val="clear" w:color="auto" w:fill="BFBFBF" w:themeFill="background1" w:themeFillShade="BF"/>
          </w:tcPr>
          <w:p w14:paraId="5112115A" w14:textId="77777777" w:rsidR="00BE36FB" w:rsidRPr="009B7B35" w:rsidRDefault="00BE36FB" w:rsidP="001A7107">
            <w:pPr>
              <w:pStyle w:val="Tableheading"/>
              <w:rPr>
                <w:rFonts w:ascii="Arial" w:hAnsi="Arial" w:cs="Arial"/>
                <w:szCs w:val="20"/>
              </w:rPr>
            </w:pPr>
            <w:r w:rsidRPr="009B7B35">
              <w:rPr>
                <w:rFonts w:ascii="Arial" w:hAnsi="Arial" w:cs="Arial"/>
                <w:szCs w:val="20"/>
              </w:rPr>
              <w:t>Design and amenity</w:t>
            </w:r>
          </w:p>
        </w:tc>
      </w:tr>
      <w:tr w:rsidR="00BE36FB" w:rsidRPr="009B7B35" w14:paraId="7729DDFD" w14:textId="77777777" w:rsidTr="001A7107">
        <w:trPr>
          <w:cantSplit/>
        </w:trPr>
        <w:tc>
          <w:tcPr>
            <w:tcW w:w="4678" w:type="dxa"/>
          </w:tcPr>
          <w:p w14:paraId="0CCDA6EE" w14:textId="77777777" w:rsidR="00BE36FB" w:rsidRPr="009B7B35" w:rsidRDefault="00BE36FB" w:rsidP="001A7107">
            <w:pPr>
              <w:pStyle w:val="TableText"/>
              <w:rPr>
                <w:rFonts w:cs="Arial"/>
                <w:b/>
                <w:bCs/>
              </w:rPr>
            </w:pPr>
            <w:r w:rsidRPr="009B7B35">
              <w:rPr>
                <w:rFonts w:cs="Arial"/>
                <w:b/>
                <w:bCs/>
              </w:rPr>
              <w:t>PO9</w:t>
            </w:r>
          </w:p>
          <w:p w14:paraId="4889BF58" w14:textId="77777777" w:rsidR="00BE36FB" w:rsidRPr="009B7B35" w:rsidRDefault="00BE36FB" w:rsidP="001A7107">
            <w:pPr>
              <w:pStyle w:val="TableText"/>
              <w:rPr>
                <w:rFonts w:cs="Arial"/>
              </w:rPr>
            </w:pPr>
            <w:r w:rsidRPr="009B7B35">
              <w:rPr>
                <w:rFonts w:cs="Arial"/>
              </w:rPr>
              <w:t>Development does not detract from the site’s visual quality values.</w:t>
            </w:r>
          </w:p>
        </w:tc>
        <w:tc>
          <w:tcPr>
            <w:tcW w:w="4678" w:type="dxa"/>
          </w:tcPr>
          <w:p w14:paraId="677E665D" w14:textId="77777777" w:rsidR="00BE36FB" w:rsidRPr="009B7B35" w:rsidRDefault="00BE36FB">
            <w:pPr>
              <w:pStyle w:val="TableText"/>
              <w:rPr>
                <w:rFonts w:cs="Arial"/>
              </w:rPr>
            </w:pPr>
            <w:r w:rsidRPr="009B7B35">
              <w:rPr>
                <w:rFonts w:cs="Arial"/>
              </w:rPr>
              <w:t>No acceptable outcome is nominated.</w:t>
            </w:r>
          </w:p>
        </w:tc>
      </w:tr>
      <w:tr w:rsidR="00BE36FB" w:rsidRPr="009B7B35" w14:paraId="24ECA495" w14:textId="77777777" w:rsidTr="001A7107">
        <w:trPr>
          <w:cantSplit/>
        </w:trPr>
        <w:tc>
          <w:tcPr>
            <w:tcW w:w="4678" w:type="dxa"/>
          </w:tcPr>
          <w:p w14:paraId="1C363BCF" w14:textId="77777777" w:rsidR="00BE36FB" w:rsidRPr="009B7B35" w:rsidRDefault="00BE36FB" w:rsidP="001A7107">
            <w:pPr>
              <w:pStyle w:val="TableText"/>
              <w:rPr>
                <w:rFonts w:cs="Arial"/>
                <w:b/>
                <w:bCs/>
              </w:rPr>
            </w:pPr>
            <w:r w:rsidRPr="009B7B35">
              <w:rPr>
                <w:rFonts w:cs="Arial"/>
                <w:b/>
                <w:bCs/>
              </w:rPr>
              <w:t>PO10</w:t>
            </w:r>
          </w:p>
          <w:p w14:paraId="67A12247" w14:textId="77777777" w:rsidR="00BE36FB" w:rsidRPr="009B7B35" w:rsidRDefault="00BE36FB" w:rsidP="001A7107">
            <w:pPr>
              <w:pStyle w:val="TableText"/>
              <w:rPr>
                <w:rFonts w:cs="Arial"/>
              </w:rPr>
            </w:pPr>
            <w:r w:rsidRPr="009B7B35">
              <w:rPr>
                <w:rFonts w:cs="Arial"/>
              </w:rPr>
              <w:t xml:space="preserve">Development does not impede public access to, and use of facilities. </w:t>
            </w:r>
          </w:p>
        </w:tc>
        <w:tc>
          <w:tcPr>
            <w:tcW w:w="4678" w:type="dxa"/>
          </w:tcPr>
          <w:p w14:paraId="2BACF2D5" w14:textId="77777777" w:rsidR="00BE36FB" w:rsidRPr="009B7B35" w:rsidRDefault="00BE36FB">
            <w:pPr>
              <w:pStyle w:val="TableText"/>
              <w:rPr>
                <w:rFonts w:cs="Arial"/>
              </w:rPr>
            </w:pPr>
            <w:r w:rsidRPr="009B7B35">
              <w:rPr>
                <w:rFonts w:cs="Arial"/>
              </w:rPr>
              <w:t>No acceptable outcome is nominated.</w:t>
            </w:r>
          </w:p>
        </w:tc>
      </w:tr>
      <w:tr w:rsidR="00BE36FB" w:rsidRPr="009B7B35" w14:paraId="2B4D1C8A" w14:textId="77777777" w:rsidTr="001A7107">
        <w:tc>
          <w:tcPr>
            <w:tcW w:w="4678" w:type="dxa"/>
          </w:tcPr>
          <w:p w14:paraId="25729B62" w14:textId="77777777" w:rsidR="00BE36FB" w:rsidRPr="009B7B35" w:rsidRDefault="00BE36FB" w:rsidP="001A7107">
            <w:pPr>
              <w:pStyle w:val="TableText"/>
              <w:rPr>
                <w:rFonts w:cs="Arial"/>
                <w:b/>
                <w:bCs/>
              </w:rPr>
            </w:pPr>
            <w:r w:rsidRPr="009B7B35">
              <w:rPr>
                <w:rFonts w:cs="Arial"/>
                <w:b/>
                <w:bCs/>
              </w:rPr>
              <w:t>PO11</w:t>
            </w:r>
          </w:p>
          <w:p w14:paraId="38BFBB5F" w14:textId="77777777"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14:paraId="2E83EAE7" w14:textId="77777777" w:rsidR="00BE36FB" w:rsidRPr="009B7B35" w:rsidRDefault="00BE36FB" w:rsidP="00BE36FB">
            <w:pPr>
              <w:pStyle w:val="TableText"/>
              <w:numPr>
                <w:ilvl w:val="0"/>
                <w:numId w:val="526"/>
              </w:numPr>
              <w:rPr>
                <w:rFonts w:cs="Arial"/>
              </w:rPr>
            </w:pPr>
            <w:r w:rsidRPr="009B7B35">
              <w:rPr>
                <w:rFonts w:cs="Arial"/>
              </w:rPr>
              <w:t>noise</w:t>
            </w:r>
          </w:p>
          <w:p w14:paraId="15D76D06" w14:textId="77777777" w:rsidR="00BE36FB" w:rsidRPr="009B7B35" w:rsidRDefault="00BE36FB" w:rsidP="00BE36FB">
            <w:pPr>
              <w:pStyle w:val="TableText"/>
              <w:numPr>
                <w:ilvl w:val="0"/>
                <w:numId w:val="526"/>
              </w:numPr>
              <w:rPr>
                <w:rFonts w:cs="Arial"/>
              </w:rPr>
            </w:pPr>
            <w:r w:rsidRPr="009B7B35">
              <w:rPr>
                <w:rFonts w:cs="Arial"/>
              </w:rPr>
              <w:t>traffic and parking</w:t>
            </w:r>
          </w:p>
          <w:p w14:paraId="047E2F23" w14:textId="77777777" w:rsidR="00BE36FB" w:rsidRPr="009B7B35" w:rsidRDefault="00BE36FB" w:rsidP="00BE36FB">
            <w:pPr>
              <w:pStyle w:val="TableText"/>
              <w:numPr>
                <w:ilvl w:val="0"/>
                <w:numId w:val="526"/>
              </w:numPr>
              <w:rPr>
                <w:rFonts w:cs="Arial"/>
              </w:rPr>
            </w:pPr>
            <w:r w:rsidRPr="009B7B35">
              <w:rPr>
                <w:rFonts w:cs="Arial"/>
              </w:rPr>
              <w:t>visual impact</w:t>
            </w:r>
          </w:p>
          <w:p w14:paraId="77E30EC7" w14:textId="77777777" w:rsidR="00BE36FB" w:rsidRPr="009B7B35" w:rsidRDefault="00BE36FB" w:rsidP="00BE36FB">
            <w:pPr>
              <w:pStyle w:val="TableText"/>
              <w:numPr>
                <w:ilvl w:val="0"/>
                <w:numId w:val="526"/>
              </w:numPr>
              <w:rPr>
                <w:rFonts w:cs="Arial"/>
              </w:rPr>
            </w:pPr>
            <w:r w:rsidRPr="009B7B35">
              <w:rPr>
                <w:rFonts w:cs="Arial"/>
              </w:rPr>
              <w:t>signage</w:t>
            </w:r>
          </w:p>
          <w:p w14:paraId="5CBAE9EB" w14:textId="77777777" w:rsidR="00BE36FB" w:rsidRPr="009B7B35" w:rsidRDefault="00BE36FB" w:rsidP="00BE36FB">
            <w:pPr>
              <w:pStyle w:val="TableText"/>
              <w:numPr>
                <w:ilvl w:val="0"/>
                <w:numId w:val="526"/>
              </w:numPr>
              <w:rPr>
                <w:rFonts w:cs="Arial"/>
              </w:rPr>
            </w:pPr>
            <w:r w:rsidRPr="009B7B35">
              <w:rPr>
                <w:rFonts w:cs="Arial"/>
              </w:rPr>
              <w:t>odour and emissions</w:t>
            </w:r>
          </w:p>
          <w:p w14:paraId="09ACBF81" w14:textId="77777777" w:rsidR="00BE36FB" w:rsidRPr="009B7B35" w:rsidRDefault="00BE36FB" w:rsidP="00BE36FB">
            <w:pPr>
              <w:pStyle w:val="TableText"/>
              <w:numPr>
                <w:ilvl w:val="0"/>
                <w:numId w:val="526"/>
              </w:numPr>
              <w:rPr>
                <w:rFonts w:cs="Arial"/>
              </w:rPr>
            </w:pPr>
            <w:r w:rsidRPr="009B7B35">
              <w:rPr>
                <w:rFonts w:cs="Arial"/>
              </w:rPr>
              <w:t>access to sunlight, and</w:t>
            </w:r>
          </w:p>
          <w:p w14:paraId="433B7741" w14:textId="77777777" w:rsidR="00BE36FB" w:rsidRPr="009B7B35" w:rsidRDefault="00BE36FB" w:rsidP="00BE36FB">
            <w:pPr>
              <w:pStyle w:val="TableText"/>
              <w:numPr>
                <w:ilvl w:val="0"/>
                <w:numId w:val="526"/>
              </w:numPr>
              <w:rPr>
                <w:rFonts w:cs="Arial"/>
              </w:rPr>
            </w:pPr>
            <w:r w:rsidRPr="009B7B35">
              <w:rPr>
                <w:rFonts w:cs="Arial"/>
              </w:rPr>
              <w:t>privacy.</w:t>
            </w:r>
          </w:p>
          <w:p w14:paraId="5B5AC5B7" w14:textId="77777777" w:rsidR="00BE36FB" w:rsidRPr="009B7B35" w:rsidRDefault="00BE36FB">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14:paraId="445FD3CC" w14:textId="77777777" w:rsidR="00BE36FB" w:rsidRPr="009B7B35" w:rsidRDefault="00BE36FB">
            <w:pPr>
              <w:pStyle w:val="TableText"/>
              <w:rPr>
                <w:rFonts w:cs="Arial"/>
              </w:rPr>
            </w:pPr>
            <w:r w:rsidRPr="009B7B35">
              <w:rPr>
                <w:rFonts w:cs="Arial"/>
              </w:rPr>
              <w:t>No acceptable outcome is nominated.</w:t>
            </w:r>
          </w:p>
        </w:tc>
      </w:tr>
      <w:tr w:rsidR="00BE36FB" w:rsidRPr="009B7B35" w14:paraId="2C30BA96" w14:textId="77777777" w:rsidTr="001A7107">
        <w:tc>
          <w:tcPr>
            <w:tcW w:w="4678" w:type="dxa"/>
          </w:tcPr>
          <w:p w14:paraId="484CB565" w14:textId="77777777" w:rsidR="00BE36FB" w:rsidRPr="009B7B35" w:rsidRDefault="00BE36FB" w:rsidP="001A7107">
            <w:pPr>
              <w:pStyle w:val="TableText"/>
              <w:rPr>
                <w:rFonts w:cs="Arial"/>
                <w:b/>
                <w:bCs/>
              </w:rPr>
            </w:pPr>
            <w:r w:rsidRPr="009B7B35">
              <w:rPr>
                <w:rFonts w:cs="Arial"/>
                <w:b/>
                <w:bCs/>
              </w:rPr>
              <w:t>PO12</w:t>
            </w:r>
          </w:p>
          <w:p w14:paraId="41D7C6AC" w14:textId="77777777" w:rsidR="00BE36FB" w:rsidRPr="009B7B35" w:rsidRDefault="00BE36FB" w:rsidP="001A7107">
            <w:pPr>
              <w:rPr>
                <w:rFonts w:cs="Arial"/>
                <w:sz w:val="20"/>
                <w:szCs w:val="20"/>
              </w:rPr>
            </w:pPr>
            <w:r w:rsidRPr="009B7B35">
              <w:rPr>
                <w:rFonts w:cs="Arial"/>
                <w:sz w:val="20"/>
                <w:szCs w:val="20"/>
              </w:rPr>
              <w:t>Landscaping:</w:t>
            </w:r>
          </w:p>
          <w:p w14:paraId="0DED8C4E" w14:textId="77777777" w:rsidR="00BE36FB" w:rsidRPr="009B7B35" w:rsidRDefault="00BE36FB" w:rsidP="00BE36FB">
            <w:pPr>
              <w:pStyle w:val="TableText"/>
              <w:numPr>
                <w:ilvl w:val="0"/>
                <w:numId w:val="494"/>
              </w:numPr>
              <w:rPr>
                <w:rFonts w:cs="Arial"/>
              </w:rPr>
            </w:pPr>
            <w:r w:rsidRPr="009B7B35">
              <w:rPr>
                <w:rFonts w:cs="Arial"/>
              </w:rPr>
              <w:t>enhances visual amenity</w:t>
            </w:r>
          </w:p>
          <w:p w14:paraId="6D2C3B50" w14:textId="77777777" w:rsidR="00BE36FB" w:rsidRPr="009B7B35" w:rsidRDefault="00BE36FB" w:rsidP="00BE36FB">
            <w:pPr>
              <w:pStyle w:val="TableText"/>
              <w:numPr>
                <w:ilvl w:val="0"/>
                <w:numId w:val="494"/>
              </w:numPr>
              <w:rPr>
                <w:rFonts w:cs="Arial"/>
              </w:rPr>
            </w:pPr>
            <w:r w:rsidRPr="009B7B35">
              <w:rPr>
                <w:rFonts w:cs="Arial"/>
              </w:rPr>
              <w:t>integrates with the sport and recreation setting</w:t>
            </w:r>
          </w:p>
          <w:p w14:paraId="54EC67FE" w14:textId="77777777" w:rsidR="00BE36FB" w:rsidRPr="009B7B35" w:rsidRDefault="00BE36FB" w:rsidP="00BE36FB">
            <w:pPr>
              <w:pStyle w:val="TableText"/>
              <w:numPr>
                <w:ilvl w:val="0"/>
                <w:numId w:val="494"/>
              </w:numPr>
              <w:rPr>
                <w:rFonts w:cs="Arial"/>
              </w:rPr>
            </w:pPr>
            <w:r w:rsidRPr="009B7B35">
              <w:rPr>
                <w:rFonts w:cs="Arial"/>
              </w:rPr>
              <w:t>allows for active recreational and sporting activities to occur, and</w:t>
            </w:r>
          </w:p>
          <w:p w14:paraId="0C5E65E6" w14:textId="77777777" w:rsidR="00BE36FB" w:rsidRPr="009B7B35" w:rsidRDefault="00BE36FB" w:rsidP="00BE36FB">
            <w:pPr>
              <w:pStyle w:val="TableText"/>
              <w:numPr>
                <w:ilvl w:val="0"/>
                <w:numId w:val="494"/>
              </w:numPr>
              <w:rPr>
                <w:rFonts w:cs="Arial"/>
              </w:rPr>
            </w:pPr>
            <w:r w:rsidRPr="009B7B35">
              <w:rPr>
                <w:rFonts w:cs="Arial"/>
              </w:rPr>
              <w:t>ensures the sport and recreation area is highly accessible.</w:t>
            </w:r>
          </w:p>
          <w:p w14:paraId="1C77EE3E" w14:textId="77777777" w:rsidR="00BE36FB" w:rsidRPr="009B7B35" w:rsidRDefault="00BE36FB" w:rsidP="001A7107">
            <w:pPr>
              <w:pStyle w:val="Notes"/>
              <w:rPr>
                <w:rFonts w:cs="Arial"/>
                <w:sz w:val="20"/>
                <w:szCs w:val="20"/>
              </w:rPr>
            </w:pPr>
            <w:r w:rsidRPr="009B7B35">
              <w:rPr>
                <w:rFonts w:cs="Arial"/>
                <w:sz w:val="20"/>
                <w:szCs w:val="20"/>
              </w:rPr>
              <w:t>Note—Refer also to the Landscape code.</w:t>
            </w:r>
          </w:p>
        </w:tc>
        <w:tc>
          <w:tcPr>
            <w:tcW w:w="4678" w:type="dxa"/>
          </w:tcPr>
          <w:p w14:paraId="3FFB712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2259E9C" w14:textId="77777777" w:rsidTr="001A7107">
        <w:trPr>
          <w:cantSplit/>
        </w:trPr>
        <w:tc>
          <w:tcPr>
            <w:tcW w:w="4678" w:type="dxa"/>
          </w:tcPr>
          <w:p w14:paraId="6472E907" w14:textId="77777777" w:rsidR="00BE36FB" w:rsidRPr="009B7B35" w:rsidRDefault="00BE36FB" w:rsidP="001A7107">
            <w:pPr>
              <w:pStyle w:val="TableText"/>
              <w:rPr>
                <w:rFonts w:cs="Arial"/>
                <w:b/>
                <w:bCs/>
              </w:rPr>
            </w:pPr>
            <w:r w:rsidRPr="009B7B35">
              <w:rPr>
                <w:rFonts w:cs="Arial"/>
                <w:b/>
                <w:bCs/>
              </w:rPr>
              <w:t>PO13</w:t>
            </w:r>
          </w:p>
          <w:p w14:paraId="276297E6" w14:textId="77777777" w:rsidR="00BE36FB" w:rsidRPr="009B7B35" w:rsidRDefault="00BE36FB" w:rsidP="001A7107">
            <w:pPr>
              <w:pStyle w:val="TableText"/>
              <w:rPr>
                <w:rFonts w:cs="Arial"/>
              </w:rPr>
            </w:pPr>
            <w:r w:rsidRPr="009B7B35">
              <w:rPr>
                <w:rFonts w:cs="Arial"/>
              </w:rPr>
              <w:t xml:space="preserve">Development must ensure safe and legible connections are provided for: </w:t>
            </w:r>
          </w:p>
          <w:p w14:paraId="0C6A0AAE" w14:textId="77777777" w:rsidR="00BE36FB" w:rsidRPr="009B7B35" w:rsidRDefault="00BE36FB" w:rsidP="00BE36FB">
            <w:pPr>
              <w:pStyle w:val="TableText"/>
              <w:numPr>
                <w:ilvl w:val="0"/>
                <w:numId w:val="496"/>
              </w:numPr>
              <w:ind w:left="510" w:hanging="510"/>
              <w:rPr>
                <w:rFonts w:cs="Arial"/>
              </w:rPr>
            </w:pPr>
            <w:r w:rsidRPr="009B7B35">
              <w:rPr>
                <w:rFonts w:cs="Arial"/>
              </w:rPr>
              <w:t>pedestrians and cyclists to, from and within the site</w:t>
            </w:r>
          </w:p>
          <w:p w14:paraId="5B286A8F" w14:textId="77777777" w:rsidR="00BE36FB" w:rsidRPr="009B7B35" w:rsidRDefault="00BE36FB" w:rsidP="00BE36FB">
            <w:pPr>
              <w:pStyle w:val="TableText"/>
              <w:numPr>
                <w:ilvl w:val="0"/>
                <w:numId w:val="496"/>
              </w:numPr>
              <w:ind w:left="510" w:hanging="510"/>
              <w:rPr>
                <w:rFonts w:cs="Arial"/>
              </w:rPr>
            </w:pPr>
            <w:r w:rsidRPr="009B7B35">
              <w:rPr>
                <w:rFonts w:cs="Arial"/>
              </w:rPr>
              <w:t>public transport infrastructure</w:t>
            </w:r>
          </w:p>
          <w:p w14:paraId="388CD661" w14:textId="77777777" w:rsidR="00BE36FB" w:rsidRPr="009B7B35" w:rsidRDefault="00BE36FB" w:rsidP="00BE36FB">
            <w:pPr>
              <w:pStyle w:val="TableText"/>
              <w:numPr>
                <w:ilvl w:val="0"/>
                <w:numId w:val="496"/>
              </w:numPr>
              <w:ind w:left="510" w:hanging="510"/>
              <w:rPr>
                <w:rFonts w:cs="Arial"/>
              </w:rPr>
            </w:pPr>
            <w:r w:rsidRPr="009B7B35">
              <w:rPr>
                <w:rFonts w:cs="Arial"/>
              </w:rPr>
              <w:t>other parts of the sport and recreation network, and</w:t>
            </w:r>
          </w:p>
          <w:p w14:paraId="0E090655" w14:textId="77777777" w:rsidR="00BE36FB" w:rsidRPr="009B7B35" w:rsidRDefault="00BE36FB" w:rsidP="00BE36FB">
            <w:pPr>
              <w:pStyle w:val="TableText"/>
              <w:numPr>
                <w:ilvl w:val="0"/>
                <w:numId w:val="496"/>
              </w:numPr>
              <w:ind w:left="510" w:hanging="510"/>
              <w:rPr>
                <w:rFonts w:cs="Arial"/>
              </w:rPr>
            </w:pPr>
            <w:r w:rsidRPr="009B7B35">
              <w:rPr>
                <w:rFonts w:cs="Arial"/>
              </w:rPr>
              <w:t>open space, parkland, centres and community–related activities.</w:t>
            </w:r>
          </w:p>
        </w:tc>
        <w:tc>
          <w:tcPr>
            <w:tcW w:w="4678" w:type="dxa"/>
          </w:tcPr>
          <w:p w14:paraId="0B449C1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030975A" w14:textId="77777777" w:rsidTr="001A7107">
        <w:trPr>
          <w:cantSplit/>
        </w:trPr>
        <w:tc>
          <w:tcPr>
            <w:tcW w:w="4678" w:type="dxa"/>
          </w:tcPr>
          <w:p w14:paraId="5842A89A" w14:textId="77777777" w:rsidR="00BE36FB" w:rsidRPr="009B7B35" w:rsidRDefault="00BE36FB" w:rsidP="001A7107">
            <w:pPr>
              <w:pStyle w:val="TableText"/>
              <w:rPr>
                <w:rFonts w:cs="Arial"/>
                <w:b/>
                <w:bCs/>
              </w:rPr>
            </w:pPr>
            <w:r w:rsidRPr="009B7B35">
              <w:rPr>
                <w:rFonts w:cs="Arial"/>
                <w:b/>
                <w:bCs/>
              </w:rPr>
              <w:t>PO14</w:t>
            </w:r>
          </w:p>
          <w:p w14:paraId="104B054C" w14:textId="77777777" w:rsidR="00BE36FB" w:rsidRPr="009B7B35" w:rsidRDefault="00BE36FB" w:rsidP="001A7107">
            <w:pPr>
              <w:pStyle w:val="TableText"/>
              <w:rPr>
                <w:rFonts w:cs="Arial"/>
              </w:rPr>
            </w:pPr>
            <w:r w:rsidRPr="009B7B35">
              <w:rPr>
                <w:rFonts w:cs="Arial"/>
              </w:rPr>
              <w:t>The site layout and design responds sensitively to on–site and surrounding topography, coastal foreshore areas, waterways, drainage patterns, ecological values by:</w:t>
            </w:r>
          </w:p>
          <w:p w14:paraId="2916F6EC" w14:textId="77777777" w:rsidR="00BE36FB" w:rsidRPr="009B7B35" w:rsidRDefault="00BE36FB" w:rsidP="00BE36FB">
            <w:pPr>
              <w:pStyle w:val="TableText"/>
              <w:numPr>
                <w:ilvl w:val="0"/>
                <w:numId w:val="495"/>
              </w:numPr>
              <w:rPr>
                <w:rFonts w:cs="Arial"/>
              </w:rPr>
            </w:pPr>
            <w:r w:rsidRPr="009B7B35">
              <w:rPr>
                <w:rFonts w:cs="Arial"/>
              </w:rPr>
              <w:t>any hazards to people or property are avoided</w:t>
            </w:r>
          </w:p>
          <w:p w14:paraId="710B8C0E" w14:textId="77777777" w:rsidR="00BE36FB" w:rsidRPr="009B7B35" w:rsidRDefault="00BE36FB" w:rsidP="00BE36FB">
            <w:pPr>
              <w:pStyle w:val="TableText"/>
              <w:numPr>
                <w:ilvl w:val="0"/>
                <w:numId w:val="495"/>
              </w:numPr>
              <w:rPr>
                <w:rFonts w:cs="Arial"/>
              </w:rPr>
            </w:pPr>
            <w:r w:rsidRPr="009B7B35">
              <w:rPr>
                <w:rFonts w:cs="Arial"/>
              </w:rPr>
              <w:t>any earthworks are minimised</w:t>
            </w:r>
          </w:p>
          <w:p w14:paraId="6308EA7F" w14:textId="77777777" w:rsidR="00BE36FB" w:rsidRPr="009B7B35" w:rsidRDefault="00BE36FB" w:rsidP="00BE36FB">
            <w:pPr>
              <w:pStyle w:val="TableText"/>
              <w:numPr>
                <w:ilvl w:val="0"/>
                <w:numId w:val="495"/>
              </w:numPr>
              <w:rPr>
                <w:rFonts w:cs="Arial"/>
              </w:rPr>
            </w:pPr>
            <w:r w:rsidRPr="009B7B35">
              <w:rPr>
                <w:rFonts w:cs="Arial"/>
              </w:rPr>
              <w:t>the retention of natural drainage lines is maximised</w:t>
            </w:r>
          </w:p>
          <w:p w14:paraId="6818FC40" w14:textId="77777777" w:rsidR="00BE36FB" w:rsidRPr="009B7B35" w:rsidRDefault="00BE36FB" w:rsidP="00BE36FB">
            <w:pPr>
              <w:pStyle w:val="TableText"/>
              <w:numPr>
                <w:ilvl w:val="0"/>
                <w:numId w:val="495"/>
              </w:numPr>
              <w:rPr>
                <w:rFonts w:cs="Arial"/>
              </w:rPr>
            </w:pPr>
            <w:r w:rsidRPr="009B7B35">
              <w:rPr>
                <w:rFonts w:cs="Arial"/>
              </w:rPr>
              <w:t>the retention of existing vegetation is maximised</w:t>
            </w:r>
          </w:p>
          <w:p w14:paraId="21921598" w14:textId="77777777" w:rsidR="00BE36FB" w:rsidRPr="009B7B35" w:rsidRDefault="00BE36FB" w:rsidP="00BE36FB">
            <w:pPr>
              <w:pStyle w:val="TableText"/>
              <w:numPr>
                <w:ilvl w:val="0"/>
                <w:numId w:val="495"/>
              </w:numPr>
              <w:rPr>
                <w:rFonts w:cs="Arial"/>
              </w:rPr>
            </w:pPr>
            <w:r w:rsidRPr="009B7B35">
              <w:rPr>
                <w:rFonts w:cs="Arial"/>
              </w:rPr>
              <w:t xml:space="preserve">damage or disruption to sewerage, stormwater detention and water infrastructure is avoided, and </w:t>
            </w:r>
          </w:p>
          <w:p w14:paraId="7C5322BC" w14:textId="77777777" w:rsidR="00BE36FB" w:rsidRPr="009B7B35" w:rsidRDefault="00BE36FB" w:rsidP="00BE36FB">
            <w:pPr>
              <w:pStyle w:val="TableText"/>
              <w:numPr>
                <w:ilvl w:val="0"/>
                <w:numId w:val="495"/>
              </w:numPr>
              <w:rPr>
                <w:rFonts w:cs="Arial"/>
              </w:rPr>
            </w:pPr>
            <w:r w:rsidRPr="009B7B35">
              <w:rPr>
                <w:rFonts w:cs="Arial"/>
              </w:rPr>
              <w:t>there is adequate buffering, screening or separation to adjoining development.</w:t>
            </w:r>
          </w:p>
        </w:tc>
        <w:tc>
          <w:tcPr>
            <w:tcW w:w="4678" w:type="dxa"/>
          </w:tcPr>
          <w:p w14:paraId="1C68812F"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BBD1EC3" w14:textId="77777777" w:rsidTr="001A7107">
        <w:tc>
          <w:tcPr>
            <w:tcW w:w="4678" w:type="dxa"/>
          </w:tcPr>
          <w:p w14:paraId="132B4924" w14:textId="77777777" w:rsidR="00BE36FB" w:rsidRPr="009B7B35" w:rsidRDefault="00BE36FB" w:rsidP="001A7107">
            <w:pPr>
              <w:pStyle w:val="TableText"/>
              <w:rPr>
                <w:rFonts w:cs="Arial"/>
                <w:b/>
                <w:bCs/>
              </w:rPr>
            </w:pPr>
            <w:r w:rsidRPr="009B7B35">
              <w:rPr>
                <w:rFonts w:cs="Arial"/>
                <w:b/>
                <w:bCs/>
              </w:rPr>
              <w:t>PO15</w:t>
            </w:r>
          </w:p>
          <w:p w14:paraId="7EA19DDA" w14:textId="77777777" w:rsidR="00BE36FB" w:rsidRPr="009B7B35" w:rsidRDefault="00BE36FB" w:rsidP="001A7107">
            <w:pPr>
              <w:pStyle w:val="TableText"/>
              <w:rPr>
                <w:rFonts w:cs="Arial"/>
              </w:rPr>
            </w:pPr>
            <w:r w:rsidRPr="009B7B35">
              <w:rPr>
                <w:rFonts w:cs="Arial"/>
              </w:rPr>
              <w:t>Development is designed to achieve safety for all users having regard to:</w:t>
            </w:r>
          </w:p>
          <w:p w14:paraId="1931A1BE" w14:textId="77777777" w:rsidR="00BE36FB" w:rsidRPr="009B7B35" w:rsidRDefault="00BE36FB" w:rsidP="00BE36FB">
            <w:pPr>
              <w:pStyle w:val="TableText"/>
              <w:numPr>
                <w:ilvl w:val="0"/>
                <w:numId w:val="497"/>
              </w:numPr>
              <w:ind w:left="652" w:hanging="652"/>
              <w:rPr>
                <w:rFonts w:cs="Arial"/>
              </w:rPr>
            </w:pPr>
            <w:r w:rsidRPr="009B7B35">
              <w:rPr>
                <w:rFonts w:cs="Arial"/>
              </w:rPr>
              <w:t>maximising casual surveillance and sight lines</w:t>
            </w:r>
          </w:p>
          <w:p w14:paraId="2016BF15" w14:textId="77777777" w:rsidR="00BE36FB" w:rsidRPr="009B7B35" w:rsidRDefault="00BE36FB" w:rsidP="00BE36FB">
            <w:pPr>
              <w:pStyle w:val="TableText"/>
              <w:numPr>
                <w:ilvl w:val="0"/>
                <w:numId w:val="497"/>
              </w:numPr>
              <w:ind w:left="652" w:hanging="652"/>
              <w:rPr>
                <w:rFonts w:cs="Arial"/>
              </w:rPr>
            </w:pPr>
            <w:r w:rsidRPr="009B7B35">
              <w:rPr>
                <w:rFonts w:cs="Arial"/>
              </w:rPr>
              <w:t>avoiding personal concealment and entrapment locations</w:t>
            </w:r>
          </w:p>
          <w:p w14:paraId="23AD3FEE" w14:textId="77777777" w:rsidR="00BE36FB" w:rsidRPr="009B7B35" w:rsidRDefault="00BE36FB" w:rsidP="00BE36FB">
            <w:pPr>
              <w:pStyle w:val="TableText"/>
              <w:numPr>
                <w:ilvl w:val="0"/>
                <w:numId w:val="497"/>
              </w:numPr>
              <w:ind w:left="652" w:hanging="652"/>
              <w:rPr>
                <w:rFonts w:cs="Arial"/>
              </w:rPr>
            </w:pPr>
            <w:r w:rsidRPr="009B7B35">
              <w:rPr>
                <w:rFonts w:cs="Arial"/>
              </w:rPr>
              <w:t>exterior building design that promotes safety</w:t>
            </w:r>
          </w:p>
          <w:p w14:paraId="487A42E2" w14:textId="77777777" w:rsidR="00BE36FB" w:rsidRPr="009B7B35" w:rsidRDefault="00BE36FB" w:rsidP="00BE36FB">
            <w:pPr>
              <w:pStyle w:val="TableText"/>
              <w:numPr>
                <w:ilvl w:val="0"/>
                <w:numId w:val="497"/>
              </w:numPr>
              <w:ind w:left="652" w:hanging="652"/>
              <w:rPr>
                <w:rFonts w:cs="Arial"/>
              </w:rPr>
            </w:pPr>
            <w:r w:rsidRPr="009B7B35">
              <w:rPr>
                <w:rFonts w:cs="Arial"/>
              </w:rPr>
              <w:t>adequate lighting</w:t>
            </w:r>
          </w:p>
          <w:p w14:paraId="1564C580" w14:textId="77777777" w:rsidR="00BE36FB" w:rsidRPr="009B7B35" w:rsidRDefault="00BE36FB" w:rsidP="00BE36FB">
            <w:pPr>
              <w:pStyle w:val="TableText"/>
              <w:numPr>
                <w:ilvl w:val="0"/>
                <w:numId w:val="497"/>
              </w:numPr>
              <w:ind w:left="652" w:hanging="652"/>
              <w:rPr>
                <w:rFonts w:cs="Arial"/>
              </w:rPr>
            </w:pPr>
            <w:r w:rsidRPr="009B7B35">
              <w:rPr>
                <w:rFonts w:cs="Arial"/>
              </w:rPr>
              <w:t>appropriate signage and wayfinding, and</w:t>
            </w:r>
          </w:p>
          <w:p w14:paraId="55F97A78" w14:textId="77777777" w:rsidR="00BE36FB" w:rsidRPr="009B7B35" w:rsidRDefault="00BE36FB" w:rsidP="00BE36FB">
            <w:pPr>
              <w:pStyle w:val="TableText"/>
              <w:numPr>
                <w:ilvl w:val="0"/>
                <w:numId w:val="497"/>
              </w:numPr>
              <w:ind w:left="652" w:hanging="652"/>
              <w:rPr>
                <w:rFonts w:cs="Arial"/>
              </w:rPr>
            </w:pPr>
            <w:r w:rsidRPr="009B7B35">
              <w:rPr>
                <w:rFonts w:cs="Arial"/>
              </w:rPr>
              <w:t>building entrances, parking areas, loading and storage areas that are well lit and have clearly defined access points.</w:t>
            </w:r>
          </w:p>
          <w:p w14:paraId="5EDC258F" w14:textId="77777777" w:rsidR="00BE36FB" w:rsidRPr="009B7B35" w:rsidRDefault="00BE36FB" w:rsidP="001A7107">
            <w:pPr>
              <w:pStyle w:val="Notes"/>
              <w:rPr>
                <w:rFonts w:cs="Arial"/>
                <w:sz w:val="20"/>
                <w:szCs w:val="20"/>
              </w:rPr>
            </w:pPr>
            <w:r w:rsidRPr="009B7B35">
              <w:rPr>
                <w:rFonts w:cs="Arial"/>
                <w:sz w:val="20"/>
                <w:szCs w:val="20"/>
              </w:rPr>
              <w:t xml:space="preserve">Note—Applicants may find useful guidance in the </w:t>
            </w:r>
            <w:hyperlink r:id="rId73" w:tgtFrame="_blank" w:tooltip="Crime Prevention through Environmental Design Guidelines for Queensland" w:history="1">
              <w:r w:rsidRPr="009B7B35">
                <w:rPr>
                  <w:rStyle w:val="Hyperlink"/>
                  <w:rFonts w:cs="Arial"/>
                  <w:sz w:val="20"/>
                  <w:szCs w:val="20"/>
                </w:rPr>
                <w:t>Queensland Government’s Crime Prevention through Environmental Design Guidelines for Queensland</w:t>
              </w:r>
            </w:hyperlink>
            <w:r w:rsidRPr="009B7B35">
              <w:rPr>
                <w:rFonts w:cs="Arial"/>
                <w:sz w:val="20"/>
                <w:szCs w:val="20"/>
              </w:rPr>
              <w:t>.</w:t>
            </w:r>
          </w:p>
        </w:tc>
        <w:tc>
          <w:tcPr>
            <w:tcW w:w="4678" w:type="dxa"/>
          </w:tcPr>
          <w:p w14:paraId="3E99C23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D992119" w14:textId="77777777" w:rsidTr="001A7107">
        <w:tc>
          <w:tcPr>
            <w:tcW w:w="9356" w:type="dxa"/>
            <w:gridSpan w:val="2"/>
          </w:tcPr>
          <w:p w14:paraId="1151E3B4" w14:textId="77777777" w:rsidR="00BE36FB" w:rsidRPr="009B7B35" w:rsidRDefault="00BE36FB" w:rsidP="001A7107">
            <w:pPr>
              <w:pStyle w:val="Tableheading"/>
              <w:rPr>
                <w:rFonts w:ascii="Arial" w:hAnsi="Arial" w:cs="Arial"/>
                <w:szCs w:val="20"/>
              </w:rPr>
            </w:pPr>
            <w:r w:rsidRPr="009B7B35">
              <w:rPr>
                <w:rFonts w:ascii="Arial" w:hAnsi="Arial" w:cs="Arial"/>
                <w:szCs w:val="20"/>
              </w:rPr>
              <w:t>If in the Benaraby Motor Sport precinct</w:t>
            </w:r>
          </w:p>
        </w:tc>
      </w:tr>
      <w:tr w:rsidR="00BE36FB" w:rsidRPr="009B7B35" w14:paraId="5D4DA276" w14:textId="77777777" w:rsidTr="001A7107">
        <w:tc>
          <w:tcPr>
            <w:tcW w:w="4678" w:type="dxa"/>
          </w:tcPr>
          <w:p w14:paraId="4697721B" w14:textId="77777777" w:rsidR="00BE36FB" w:rsidRPr="009B7B35" w:rsidRDefault="00BE36FB" w:rsidP="001A7107">
            <w:pPr>
              <w:pStyle w:val="TableText"/>
              <w:rPr>
                <w:rFonts w:cs="Arial"/>
                <w:b/>
              </w:rPr>
            </w:pPr>
            <w:r w:rsidRPr="009B7B35">
              <w:rPr>
                <w:rFonts w:cs="Arial"/>
                <w:b/>
              </w:rPr>
              <w:t>PO16</w:t>
            </w:r>
          </w:p>
          <w:p w14:paraId="3B014E39" w14:textId="77777777" w:rsidR="00BE36FB" w:rsidRPr="009B7B35" w:rsidRDefault="00BE36FB" w:rsidP="001A7107">
            <w:pPr>
              <w:pStyle w:val="TableText"/>
              <w:rPr>
                <w:rFonts w:cs="Arial"/>
              </w:rPr>
            </w:pPr>
            <w:r w:rsidRPr="009B7B35">
              <w:rPr>
                <w:rFonts w:cs="Arial"/>
              </w:rPr>
              <w:t>Development:</w:t>
            </w:r>
          </w:p>
          <w:p w14:paraId="3C22C76F" w14:textId="77777777" w:rsidR="00BE36FB" w:rsidRPr="009B7B35" w:rsidRDefault="00BE36FB" w:rsidP="00BE36FB">
            <w:pPr>
              <w:pStyle w:val="TableText"/>
              <w:numPr>
                <w:ilvl w:val="0"/>
                <w:numId w:val="549"/>
              </w:numPr>
              <w:tabs>
                <w:tab w:val="left" w:pos="588"/>
              </w:tabs>
              <w:ind w:left="510" w:hanging="510"/>
              <w:rPr>
                <w:rFonts w:cs="Arial"/>
              </w:rPr>
            </w:pPr>
            <w:r w:rsidRPr="009B7B35">
              <w:rPr>
                <w:rFonts w:cs="Arial"/>
              </w:rPr>
              <w:t>is limited to Motor Sport Facility and associated uses.</w:t>
            </w:r>
          </w:p>
          <w:p w14:paraId="1D49C84A" w14:textId="77777777" w:rsidR="00BE36FB" w:rsidRPr="009B7B35" w:rsidRDefault="00BE36FB" w:rsidP="00BE36FB">
            <w:pPr>
              <w:pStyle w:val="TableText"/>
              <w:numPr>
                <w:ilvl w:val="0"/>
                <w:numId w:val="549"/>
              </w:numPr>
              <w:tabs>
                <w:tab w:val="left" w:pos="588"/>
              </w:tabs>
              <w:ind w:left="510" w:hanging="510"/>
              <w:rPr>
                <w:rFonts w:cs="Arial"/>
              </w:rPr>
            </w:pPr>
            <w:r w:rsidRPr="009B7B35">
              <w:rPr>
                <w:rFonts w:cs="Arial"/>
              </w:rPr>
              <w:t>appropriately manages environmental and amenity impacts on surrounding areas, and</w:t>
            </w:r>
          </w:p>
          <w:p w14:paraId="329585FE" w14:textId="77777777" w:rsidR="00BE36FB" w:rsidRPr="009B7B35" w:rsidRDefault="00BE36FB" w:rsidP="00BE36FB">
            <w:pPr>
              <w:pStyle w:val="TableText"/>
              <w:numPr>
                <w:ilvl w:val="0"/>
                <w:numId w:val="549"/>
              </w:numPr>
              <w:tabs>
                <w:tab w:val="left" w:pos="588"/>
              </w:tabs>
              <w:ind w:left="510" w:hanging="510"/>
              <w:rPr>
                <w:rFonts w:cs="Arial"/>
                <w:b/>
                <w:bCs/>
              </w:rPr>
            </w:pPr>
            <w:r w:rsidRPr="009B7B35">
              <w:rPr>
                <w:rFonts w:cs="Arial"/>
              </w:rPr>
              <w:t>provides a functional layout that supports Motor Sport Facility uses.</w:t>
            </w:r>
          </w:p>
        </w:tc>
        <w:tc>
          <w:tcPr>
            <w:tcW w:w="4678" w:type="dxa"/>
          </w:tcPr>
          <w:p w14:paraId="2D422336" w14:textId="77777777" w:rsidR="00BE36FB" w:rsidRPr="009B7B35" w:rsidRDefault="00BE36FB" w:rsidP="001A7107">
            <w:pPr>
              <w:pStyle w:val="TableText"/>
              <w:rPr>
                <w:rFonts w:cs="Arial"/>
              </w:rPr>
            </w:pPr>
            <w:r w:rsidRPr="009B7B35">
              <w:rPr>
                <w:rFonts w:cs="Arial"/>
              </w:rPr>
              <w:t>No acceptable outcome is nominated.</w:t>
            </w:r>
          </w:p>
        </w:tc>
      </w:tr>
    </w:tbl>
    <w:p w14:paraId="065E6C87" w14:textId="77777777" w:rsidR="00BE36FB" w:rsidRPr="009B7B35" w:rsidRDefault="00BE36FB" w:rsidP="001A7107">
      <w:pPr>
        <w:rPr>
          <w:rFonts w:ascii="Arial" w:hAnsi="Arial" w:cs="Arial"/>
          <w:sz w:val="20"/>
          <w:szCs w:val="20"/>
        </w:rPr>
      </w:pPr>
    </w:p>
    <w:p w14:paraId="6F761A7B"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20E2DDAB" w14:textId="77777777" w:rsidR="00BE36FB" w:rsidRPr="009B7B35" w:rsidRDefault="00BE36FB" w:rsidP="006776DA">
      <w:pPr>
        <w:pStyle w:val="Heading3"/>
        <w:keepLines/>
        <w:numPr>
          <w:ilvl w:val="2"/>
          <w:numId w:val="883"/>
        </w:numPr>
        <w:spacing w:before="240"/>
        <w:rPr>
          <w:rFonts w:ascii="Arial" w:hAnsi="Arial"/>
          <w:sz w:val="20"/>
          <w:szCs w:val="20"/>
        </w:rPr>
      </w:pPr>
      <w:bookmarkStart w:id="191" w:name="_Toc205367354"/>
      <w:r w:rsidRPr="009B7B35">
        <w:rPr>
          <w:rFonts w:ascii="Arial" w:hAnsi="Arial"/>
          <w:sz w:val="20"/>
          <w:szCs w:val="20"/>
        </w:rPr>
        <w:t>Open space</w:t>
      </w:r>
      <w:bookmarkEnd w:id="191"/>
    </w:p>
    <w:p w14:paraId="3A5E9BB3"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5A87ECCE"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2B947F51"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7AE51027" w14:textId="77777777" w:rsidR="00BE36FB" w:rsidRPr="009B7B35" w:rsidRDefault="00BE36FB" w:rsidP="00BE36FB">
      <w:pPr>
        <w:numPr>
          <w:ilvl w:val="0"/>
          <w:numId w:val="250"/>
        </w:numPr>
        <w:rPr>
          <w:rFonts w:ascii="Arial" w:hAnsi="Arial" w:cs="Arial"/>
          <w:sz w:val="20"/>
          <w:szCs w:val="20"/>
        </w:rPr>
      </w:pPr>
      <w:r w:rsidRPr="009B7B35">
        <w:rPr>
          <w:rFonts w:ascii="Arial" w:hAnsi="Arial" w:cs="Arial"/>
          <w:sz w:val="20"/>
          <w:szCs w:val="20"/>
        </w:rPr>
        <w:t>The purpose of the open space zone code is to ensure:</w:t>
      </w:r>
    </w:p>
    <w:p w14:paraId="40A99E2E"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The provision of informal recreation areas where the built form is restricted and subservient  to the enjoyment of the space.</w:t>
      </w:r>
    </w:p>
    <w:p w14:paraId="462627D9"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Open space acts as a buffer from built form in urban areas.</w:t>
      </w:r>
    </w:p>
    <w:p w14:paraId="40D38134"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Places that contribute to the visual amenity and landscape character of the region are protected.</w:t>
      </w:r>
    </w:p>
    <w:p w14:paraId="0D108BC6"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Development maximises community access and use of open space and parkland.</w:t>
      </w:r>
    </w:p>
    <w:p w14:paraId="4ECEE346"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Parkland is designed to meet community needs for informal and passive recreation purposes.</w:t>
      </w:r>
    </w:p>
    <w:p w14:paraId="71F1E50B" w14:textId="77777777" w:rsidR="00BE36FB" w:rsidRPr="009B7B35" w:rsidRDefault="00BE36FB" w:rsidP="00BE36FB">
      <w:pPr>
        <w:numPr>
          <w:ilvl w:val="0"/>
          <w:numId w:val="250"/>
        </w:numPr>
        <w:rPr>
          <w:rFonts w:ascii="Arial" w:hAnsi="Arial" w:cs="Arial"/>
          <w:sz w:val="20"/>
          <w:szCs w:val="20"/>
        </w:rPr>
      </w:pPr>
      <w:r w:rsidRPr="009B7B35">
        <w:rPr>
          <w:rFonts w:ascii="Arial" w:hAnsi="Arial" w:cs="Arial"/>
          <w:sz w:val="20"/>
          <w:szCs w:val="20"/>
        </w:rPr>
        <w:t>The purpose of the zone will be achieved through the following overall outcomes:</w:t>
      </w:r>
    </w:p>
    <w:p w14:paraId="67ECD76C"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Open space is accessible to the general public for a range of outdoor activities.</w:t>
      </w:r>
    </w:p>
    <w:p w14:paraId="041130F7"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A range of functional and accessible open spaces, including local, district and regional scale parks and linkages are available for the use and enjoyment of residents and visitors.</w:t>
      </w:r>
    </w:p>
    <w:p w14:paraId="22902855"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Development contributes towards open space and pathway linkages to the:</w:t>
      </w:r>
    </w:p>
    <w:p w14:paraId="0F680BFD" w14:textId="77777777" w:rsidR="00BE36FB" w:rsidRPr="009B7B35" w:rsidRDefault="00BE36FB" w:rsidP="00BE36FB">
      <w:pPr>
        <w:numPr>
          <w:ilvl w:val="2"/>
          <w:numId w:val="250"/>
        </w:numPr>
        <w:rPr>
          <w:rFonts w:ascii="Arial" w:hAnsi="Arial" w:cs="Arial"/>
          <w:sz w:val="20"/>
          <w:szCs w:val="20"/>
        </w:rPr>
      </w:pPr>
      <w:r w:rsidRPr="009B7B35">
        <w:rPr>
          <w:rFonts w:ascii="Arial" w:hAnsi="Arial" w:cs="Arial"/>
          <w:sz w:val="20"/>
          <w:szCs w:val="20"/>
        </w:rPr>
        <w:t>Lilly Hills Environmental Reserve</w:t>
      </w:r>
    </w:p>
    <w:p w14:paraId="25A0AAD9" w14:textId="77777777" w:rsidR="00BE36FB" w:rsidRPr="009B7B35" w:rsidRDefault="00BE36FB" w:rsidP="00BE36FB">
      <w:pPr>
        <w:numPr>
          <w:ilvl w:val="2"/>
          <w:numId w:val="250"/>
        </w:numPr>
        <w:rPr>
          <w:rFonts w:ascii="Arial" w:hAnsi="Arial" w:cs="Arial"/>
          <w:sz w:val="20"/>
          <w:szCs w:val="20"/>
        </w:rPr>
      </w:pPr>
      <w:r w:rsidRPr="009B7B35">
        <w:rPr>
          <w:rFonts w:ascii="Arial" w:hAnsi="Arial" w:cs="Arial"/>
          <w:sz w:val="20"/>
          <w:szCs w:val="20"/>
        </w:rPr>
        <w:t>Boyne River Open Space System</w:t>
      </w:r>
    </w:p>
    <w:p w14:paraId="1FC71AAE" w14:textId="77777777" w:rsidR="00BE36FB" w:rsidRPr="009B7B35" w:rsidRDefault="00BE36FB" w:rsidP="00BE36FB">
      <w:pPr>
        <w:numPr>
          <w:ilvl w:val="2"/>
          <w:numId w:val="250"/>
        </w:numPr>
        <w:rPr>
          <w:rFonts w:ascii="Arial" w:hAnsi="Arial" w:cs="Arial"/>
          <w:sz w:val="20"/>
          <w:szCs w:val="20"/>
        </w:rPr>
      </w:pPr>
      <w:r w:rsidRPr="009B7B35">
        <w:rPr>
          <w:rFonts w:ascii="Arial" w:hAnsi="Arial" w:cs="Arial"/>
          <w:sz w:val="20"/>
          <w:szCs w:val="20"/>
        </w:rPr>
        <w:t>Canoe Point Environmental Reserve</w:t>
      </w:r>
    </w:p>
    <w:p w14:paraId="34574281" w14:textId="77777777" w:rsidR="00BE36FB" w:rsidRPr="009B7B35" w:rsidRDefault="00BE36FB" w:rsidP="00BE36FB">
      <w:pPr>
        <w:numPr>
          <w:ilvl w:val="2"/>
          <w:numId w:val="250"/>
        </w:numPr>
        <w:rPr>
          <w:rFonts w:ascii="Arial" w:hAnsi="Arial" w:cs="Arial"/>
          <w:sz w:val="20"/>
          <w:szCs w:val="20"/>
        </w:rPr>
      </w:pPr>
      <w:r w:rsidRPr="009B7B35">
        <w:rPr>
          <w:rFonts w:ascii="Arial" w:hAnsi="Arial" w:cs="Arial"/>
          <w:sz w:val="20"/>
          <w:szCs w:val="20"/>
        </w:rPr>
        <w:t>foreshore areas linking with the existing pathway networks.</w:t>
      </w:r>
    </w:p>
    <w:p w14:paraId="129F18AC"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water conservation and public/active transport use.</w:t>
      </w:r>
    </w:p>
    <w:p w14:paraId="7C822EBC"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Development is supported by transport infrastructure that is designed to provide and promote safe and efficient public transport use, walking and cycling.</w:t>
      </w:r>
    </w:p>
    <w:p w14:paraId="2947E19A"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Ancillary structures and buildings such as shelters, amenity facilities, picnic tables, and playgrounds and infrastructure are provided where necessary to support safe access and essential management of open space areas.</w:t>
      </w:r>
    </w:p>
    <w:p w14:paraId="45A69BCC"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Land that is susceptible to flooding or drainage problems, including high groundwater tables, is protected from inappropriate activities or facilities.</w:t>
      </w:r>
    </w:p>
    <w:p w14:paraId="23B3CC8F"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Where open space areas include natural habitats such as bushland, wetlands or waterways, or act as a buffer between natural and developed areas, adverse impacts on areas of ecological significance are avoided where possible.</w:t>
      </w:r>
    </w:p>
    <w:p w14:paraId="43BB4F8F"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The use of open space areas does not affect the amenity of adjacent areas, particularly residential areas.</w:t>
      </w:r>
    </w:p>
    <w:p w14:paraId="03E7F0FA" w14:textId="77777777" w:rsidR="00BE36FB" w:rsidRPr="009B7B35" w:rsidRDefault="00BE36FB" w:rsidP="00BE36FB">
      <w:pPr>
        <w:numPr>
          <w:ilvl w:val="1"/>
          <w:numId w:val="250"/>
        </w:numPr>
        <w:rPr>
          <w:rFonts w:ascii="Arial" w:hAnsi="Arial" w:cs="Arial"/>
          <w:sz w:val="20"/>
          <w:szCs w:val="20"/>
        </w:rPr>
      </w:pPr>
      <w:r w:rsidRPr="009B7B35">
        <w:rPr>
          <w:rFonts w:ascii="Arial" w:hAnsi="Arial" w:cs="Arial"/>
          <w:sz w:val="20"/>
          <w:szCs w:val="20"/>
        </w:rPr>
        <w:t>Open space areas are planned and designed to enhance community liveability, scenic amenity and provide a retreat from developed areas.</w:t>
      </w:r>
    </w:p>
    <w:p w14:paraId="741459FE"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4BCD67CC" w14:textId="77777777" w:rsidR="00BE36FB" w:rsidRPr="009B7B35" w:rsidRDefault="00BE36FB" w:rsidP="00B5414A">
      <w:pPr>
        <w:pStyle w:val="Heading5"/>
        <w:numPr>
          <w:ilvl w:val="0"/>
          <w:numId w:val="0"/>
        </w:numPr>
        <w:rPr>
          <w:rFonts w:cs="Arial"/>
          <w:szCs w:val="20"/>
        </w:rPr>
      </w:pPr>
      <w:r w:rsidRPr="009B7B35">
        <w:rPr>
          <w:rFonts w:cs="Arial"/>
          <w:szCs w:val="20"/>
        </w:rPr>
        <w:t>Table 6.2.9.3.1— Accepted development subject to requirements and assessable development</w:t>
      </w:r>
    </w:p>
    <w:tbl>
      <w:tblPr>
        <w:tblStyle w:val="Tablestyle"/>
        <w:tblW w:w="9356" w:type="dxa"/>
        <w:tblLook w:val="01E0" w:firstRow="1" w:lastRow="1" w:firstColumn="1" w:lastColumn="1" w:noHBand="0" w:noVBand="0"/>
      </w:tblPr>
      <w:tblGrid>
        <w:gridCol w:w="4678"/>
        <w:gridCol w:w="4678"/>
      </w:tblGrid>
      <w:tr w:rsidR="00BE36FB" w:rsidRPr="009B7B35" w14:paraId="66D0110C"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678" w:type="dxa"/>
          </w:tcPr>
          <w:p w14:paraId="2213E723"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cnfStyle w:val="000100000000" w:firstRow="0" w:lastRow="0" w:firstColumn="0" w:lastColumn="1" w:oddVBand="0" w:evenVBand="0" w:oddHBand="0" w:evenHBand="0" w:firstRowFirstColumn="0" w:firstRowLastColumn="0" w:lastRowFirstColumn="0" w:lastRowLastColumn="0"/>
            <w:tcW w:w="4678" w:type="dxa"/>
          </w:tcPr>
          <w:p w14:paraId="7096DE03"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259B27A9"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572AF238"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7D53696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4C4D45A7" w14:textId="77777777" w:rsidR="00BE36FB" w:rsidRPr="009B7B35" w:rsidRDefault="00BE36FB" w:rsidP="001A7107">
            <w:pPr>
              <w:pStyle w:val="TableText"/>
              <w:rPr>
                <w:rFonts w:cs="Arial"/>
                <w:b/>
                <w:bCs/>
              </w:rPr>
            </w:pPr>
            <w:r w:rsidRPr="009B7B35">
              <w:rPr>
                <w:rFonts w:cs="Arial"/>
                <w:b/>
                <w:bCs/>
              </w:rPr>
              <w:t>PO1</w:t>
            </w:r>
          </w:p>
          <w:p w14:paraId="4B75E78B" w14:textId="77777777" w:rsidR="00BE36FB" w:rsidRPr="009B7B35" w:rsidRDefault="00BE36FB" w:rsidP="001A7107">
            <w:pPr>
              <w:pStyle w:val="TableText"/>
              <w:rPr>
                <w:rFonts w:cs="Arial"/>
              </w:rPr>
            </w:pPr>
            <w:r w:rsidRPr="009B7B35">
              <w:rPr>
                <w:rFonts w:cs="Arial"/>
              </w:rPr>
              <w:t>Development is:</w:t>
            </w:r>
          </w:p>
          <w:p w14:paraId="05408B1A" w14:textId="77777777" w:rsidR="00BE36FB" w:rsidRPr="009B7B35" w:rsidRDefault="00BE36FB" w:rsidP="00BE36FB">
            <w:pPr>
              <w:numPr>
                <w:ilvl w:val="0"/>
                <w:numId w:val="129"/>
              </w:numPr>
              <w:rPr>
                <w:rFonts w:cs="Arial"/>
                <w:sz w:val="20"/>
                <w:szCs w:val="20"/>
              </w:rPr>
            </w:pPr>
            <w:r w:rsidRPr="009B7B35">
              <w:rPr>
                <w:rFonts w:cs="Arial"/>
                <w:sz w:val="20"/>
                <w:szCs w:val="20"/>
              </w:rPr>
              <w:t xml:space="preserve">ancillary to the primary use, and </w:t>
            </w:r>
          </w:p>
          <w:p w14:paraId="1825227D" w14:textId="77777777" w:rsidR="00BE36FB" w:rsidRPr="009B7B35" w:rsidRDefault="00BE36FB" w:rsidP="00BE36FB">
            <w:pPr>
              <w:numPr>
                <w:ilvl w:val="0"/>
                <w:numId w:val="129"/>
              </w:numPr>
              <w:rPr>
                <w:rFonts w:cs="Arial"/>
                <w:sz w:val="20"/>
                <w:szCs w:val="20"/>
              </w:rPr>
            </w:pPr>
            <w:r w:rsidRPr="009B7B35">
              <w:rPr>
                <w:rFonts w:cs="Arial"/>
                <w:sz w:val="20"/>
                <w:szCs w:val="20"/>
              </w:rPr>
              <w:t xml:space="preserve">does not compromise the open space and parkland function of this site. </w:t>
            </w:r>
          </w:p>
        </w:tc>
        <w:tc>
          <w:tcPr>
            <w:cnfStyle w:val="000100000000" w:firstRow="0" w:lastRow="0" w:firstColumn="0" w:lastColumn="1" w:oddVBand="0" w:evenVBand="0" w:oddHBand="0" w:evenHBand="0" w:firstRowFirstColumn="0" w:firstRowLastColumn="0" w:lastRowFirstColumn="0" w:lastRowLastColumn="0"/>
            <w:tcW w:w="4678" w:type="dxa"/>
          </w:tcPr>
          <w:p w14:paraId="63A8D82B" w14:textId="77777777" w:rsidR="00BE36FB" w:rsidRPr="009B7B35" w:rsidRDefault="00BE36FB" w:rsidP="001A7107">
            <w:pPr>
              <w:pStyle w:val="TableText"/>
              <w:rPr>
                <w:rFonts w:cs="Arial"/>
                <w:b/>
                <w:bCs/>
                <w:color w:val="auto"/>
              </w:rPr>
            </w:pPr>
            <w:r w:rsidRPr="009B7B35">
              <w:rPr>
                <w:rFonts w:cs="Arial"/>
                <w:b/>
                <w:bCs/>
                <w:color w:val="auto"/>
              </w:rPr>
              <w:t>AO1.1</w:t>
            </w:r>
          </w:p>
          <w:p w14:paraId="5F79E3C1" w14:textId="77777777" w:rsidR="00BE36FB" w:rsidRPr="009B7B35" w:rsidRDefault="00BE36FB" w:rsidP="001A7107">
            <w:pPr>
              <w:pStyle w:val="TableText"/>
              <w:rPr>
                <w:rFonts w:cs="Arial"/>
              </w:rPr>
            </w:pPr>
            <w:r w:rsidRPr="009B7B35">
              <w:rPr>
                <w:rFonts w:cs="Arial"/>
              </w:rPr>
              <w:t>No more than 1 caretaker’s accommodation unit is established on the site.</w:t>
            </w:r>
          </w:p>
          <w:p w14:paraId="62233FCC" w14:textId="77777777" w:rsidR="00BE36FB" w:rsidRPr="009B7B35" w:rsidRDefault="00BE36FB" w:rsidP="001A7107">
            <w:pPr>
              <w:pStyle w:val="TableText"/>
              <w:rPr>
                <w:rFonts w:cs="Arial"/>
              </w:rPr>
            </w:pPr>
          </w:p>
        </w:tc>
      </w:tr>
      <w:tr w:rsidR="00BE36FB" w:rsidRPr="009B7B35" w14:paraId="280AEB6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Pr>
          <w:p w14:paraId="03FF444D" w14:textId="77777777" w:rsidR="00BE36FB" w:rsidRPr="009B7B35" w:rsidRDefault="00BE36FB" w:rsidP="001A7107">
            <w:pPr>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4678" w:type="dxa"/>
          </w:tcPr>
          <w:p w14:paraId="72EBF425" w14:textId="77777777" w:rsidR="00BE36FB" w:rsidRPr="009B7B35" w:rsidRDefault="00BE36FB" w:rsidP="001A7107">
            <w:pPr>
              <w:pStyle w:val="TableText"/>
              <w:rPr>
                <w:rFonts w:cs="Arial"/>
                <w:b/>
                <w:bCs/>
                <w:color w:val="auto"/>
              </w:rPr>
            </w:pPr>
            <w:r w:rsidRPr="009B7B35">
              <w:rPr>
                <w:rFonts w:cs="Arial"/>
                <w:b/>
                <w:bCs/>
                <w:color w:val="auto"/>
              </w:rPr>
              <w:t>AO1.2</w:t>
            </w:r>
          </w:p>
          <w:p w14:paraId="610215CB" w14:textId="77777777" w:rsidR="00BE36FB" w:rsidRPr="009B7B35" w:rsidRDefault="00BE36FB" w:rsidP="001A7107">
            <w:pPr>
              <w:pStyle w:val="TableText"/>
              <w:rPr>
                <w:rFonts w:cs="Arial"/>
              </w:rPr>
            </w:pPr>
            <w:r w:rsidRPr="009B7B35">
              <w:rPr>
                <w:rFonts w:cs="Arial"/>
              </w:rPr>
              <w:t>Caretaker's accommodation is a maximum of 100m</w:t>
            </w:r>
            <w:r w:rsidRPr="009B7B35">
              <w:rPr>
                <w:rStyle w:val="StyleSuperscript"/>
                <w:rFonts w:cs="Arial"/>
              </w:rPr>
              <w:t>2</w:t>
            </w:r>
            <w:r w:rsidRPr="009B7B35">
              <w:rPr>
                <w:rFonts w:cs="Arial"/>
              </w:rPr>
              <w:t xml:space="preserve"> GFA.</w:t>
            </w:r>
          </w:p>
        </w:tc>
      </w:tr>
      <w:tr w:rsidR="00BE36FB" w:rsidRPr="009B7B35" w14:paraId="5C24CFA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45F4D1E3" w14:textId="77777777"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14:paraId="39723D5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0B3EF983" w14:textId="77777777" w:rsidR="00BE36FB" w:rsidRPr="009B7B35" w:rsidRDefault="00BE36FB" w:rsidP="001A7107">
            <w:pPr>
              <w:pStyle w:val="TableText"/>
              <w:rPr>
                <w:rFonts w:cs="Arial"/>
                <w:b/>
                <w:bCs/>
              </w:rPr>
            </w:pPr>
            <w:r w:rsidRPr="009B7B35">
              <w:rPr>
                <w:rFonts w:cs="Arial"/>
                <w:b/>
                <w:bCs/>
              </w:rPr>
              <w:t>PO2</w:t>
            </w:r>
          </w:p>
          <w:p w14:paraId="09F6C0C7" w14:textId="77777777" w:rsidR="00BE36FB" w:rsidRPr="009B7B35" w:rsidRDefault="00BE36FB" w:rsidP="001A7107">
            <w:pPr>
              <w:rPr>
                <w:rFonts w:cs="Arial"/>
                <w:sz w:val="20"/>
                <w:szCs w:val="20"/>
              </w:rPr>
            </w:pPr>
            <w:r w:rsidRPr="009B7B35">
              <w:rPr>
                <w:rFonts w:cs="Arial"/>
                <w:sz w:val="20"/>
                <w:szCs w:val="20"/>
              </w:rPr>
              <w:t>Built form:</w:t>
            </w:r>
          </w:p>
          <w:p w14:paraId="5A4E4FE2" w14:textId="77777777" w:rsidR="00BE36FB" w:rsidRPr="009B7B35" w:rsidRDefault="00BE36FB" w:rsidP="00BE36FB">
            <w:pPr>
              <w:pStyle w:val="TableText"/>
              <w:numPr>
                <w:ilvl w:val="0"/>
                <w:numId w:val="498"/>
              </w:numPr>
              <w:ind w:left="567" w:hanging="567"/>
              <w:rPr>
                <w:rFonts w:cs="Arial"/>
              </w:rPr>
            </w:pPr>
            <w:r w:rsidRPr="009B7B35">
              <w:rPr>
                <w:rFonts w:cs="Arial"/>
              </w:rPr>
              <w:t>is low rise</w:t>
            </w:r>
          </w:p>
          <w:p w14:paraId="095B76C8" w14:textId="77777777" w:rsidR="00BE36FB" w:rsidRPr="009B7B35" w:rsidRDefault="00BE36FB" w:rsidP="00BE36FB">
            <w:pPr>
              <w:pStyle w:val="TableText"/>
              <w:numPr>
                <w:ilvl w:val="0"/>
                <w:numId w:val="498"/>
              </w:numPr>
              <w:ind w:left="567" w:hanging="567"/>
              <w:rPr>
                <w:rFonts w:cs="Arial"/>
              </w:rPr>
            </w:pPr>
            <w:r w:rsidRPr="009B7B35">
              <w:rPr>
                <w:rFonts w:cs="Arial"/>
              </w:rPr>
              <w:t>is visually unobtrusive and integrates within the open space and parkland character</w:t>
            </w:r>
          </w:p>
          <w:p w14:paraId="14E89CCB" w14:textId="77777777" w:rsidR="00BE36FB" w:rsidRPr="009B7B35" w:rsidRDefault="00BE36FB" w:rsidP="00BE36FB">
            <w:pPr>
              <w:pStyle w:val="TableText"/>
              <w:numPr>
                <w:ilvl w:val="0"/>
                <w:numId w:val="498"/>
              </w:numPr>
              <w:ind w:left="567" w:hanging="567"/>
              <w:rPr>
                <w:rFonts w:cs="Arial"/>
              </w:rPr>
            </w:pPr>
            <w:r w:rsidRPr="009B7B35">
              <w:rPr>
                <w:rFonts w:cs="Arial"/>
              </w:rPr>
              <w:t xml:space="preserve">does not dominate the open space and parkland setting, and </w:t>
            </w:r>
          </w:p>
          <w:p w14:paraId="3AD3CBD2" w14:textId="77777777" w:rsidR="00BE36FB" w:rsidRPr="009B7B35" w:rsidRDefault="00BE36FB" w:rsidP="00BE36FB">
            <w:pPr>
              <w:pStyle w:val="TableText"/>
              <w:numPr>
                <w:ilvl w:val="0"/>
                <w:numId w:val="498"/>
              </w:numPr>
              <w:ind w:left="567" w:hanging="567"/>
              <w:rPr>
                <w:rFonts w:cs="Arial"/>
              </w:rPr>
            </w:pPr>
            <w:r w:rsidRPr="009B7B35">
              <w:rPr>
                <w:rFonts w:cs="Arial"/>
              </w:rPr>
              <w:t>does not restrict access to, utility or enjoyment of the open space.</w:t>
            </w:r>
          </w:p>
        </w:tc>
        <w:tc>
          <w:tcPr>
            <w:cnfStyle w:val="000100000000" w:firstRow="0" w:lastRow="0" w:firstColumn="0" w:lastColumn="1" w:oddVBand="0" w:evenVBand="0" w:oddHBand="0" w:evenHBand="0" w:firstRowFirstColumn="0" w:firstRowLastColumn="0" w:lastRowFirstColumn="0" w:lastRowLastColumn="0"/>
            <w:tcW w:w="4678" w:type="dxa"/>
          </w:tcPr>
          <w:p w14:paraId="6A3F1A58" w14:textId="77777777" w:rsidR="00BE36FB" w:rsidRPr="009B7B35" w:rsidRDefault="00BE36FB" w:rsidP="001A7107">
            <w:pPr>
              <w:pStyle w:val="TableText"/>
              <w:rPr>
                <w:rFonts w:cs="Arial"/>
                <w:b/>
                <w:bCs/>
                <w:color w:val="auto"/>
              </w:rPr>
            </w:pPr>
            <w:r w:rsidRPr="009B7B35">
              <w:rPr>
                <w:rFonts w:cs="Arial"/>
                <w:b/>
                <w:bCs/>
                <w:color w:val="auto"/>
              </w:rPr>
              <w:t>AO2.1</w:t>
            </w:r>
          </w:p>
          <w:p w14:paraId="11E280C2" w14:textId="77777777" w:rsidR="00BE36FB" w:rsidRPr="009B7B35" w:rsidRDefault="00BE36FB" w:rsidP="001A7107">
            <w:pPr>
              <w:pStyle w:val="TableText"/>
              <w:rPr>
                <w:rFonts w:cs="Arial"/>
              </w:rPr>
            </w:pPr>
            <w:r w:rsidRPr="009B7B35">
              <w:rPr>
                <w:rFonts w:cs="Arial"/>
              </w:rPr>
              <w:t>Building height does not exceed 8.5m.</w:t>
            </w:r>
          </w:p>
        </w:tc>
      </w:tr>
      <w:tr w:rsidR="00BE36FB" w:rsidRPr="009B7B35" w14:paraId="1F099736" w14:textId="77777777" w:rsidTr="001A7107">
        <w:trPr>
          <w:cnfStyle w:val="000000010000" w:firstRow="0" w:lastRow="0" w:firstColumn="0" w:lastColumn="0" w:oddVBand="0" w:evenVBand="0" w:oddHBand="0" w:evenHBand="1" w:firstRowFirstColumn="0" w:firstRowLastColumn="0" w:lastRowFirstColumn="0" w:lastRowLastColumn="0"/>
          <w:cantSplit/>
          <w:trHeight w:val="930"/>
        </w:trPr>
        <w:tc>
          <w:tcPr>
            <w:cnfStyle w:val="001000000000" w:firstRow="0" w:lastRow="0" w:firstColumn="1" w:lastColumn="0" w:oddVBand="0" w:evenVBand="0" w:oddHBand="0" w:evenHBand="0" w:firstRowFirstColumn="0" w:firstRowLastColumn="0" w:lastRowFirstColumn="0" w:lastRowLastColumn="0"/>
            <w:tcW w:w="4678" w:type="dxa"/>
            <w:vMerge/>
          </w:tcPr>
          <w:p w14:paraId="6EA7E22F" w14:textId="77777777" w:rsidR="00BE36FB" w:rsidRPr="009B7B35" w:rsidRDefault="00BE36FB" w:rsidP="001A7107">
            <w:pPr>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4678" w:type="dxa"/>
          </w:tcPr>
          <w:p w14:paraId="399D0C07" w14:textId="77777777" w:rsidR="00BE36FB" w:rsidRPr="009B7B35" w:rsidRDefault="00BE36FB" w:rsidP="001A7107">
            <w:pPr>
              <w:pStyle w:val="TableText"/>
              <w:rPr>
                <w:rFonts w:cs="Arial"/>
                <w:b/>
                <w:bCs/>
                <w:color w:val="auto"/>
              </w:rPr>
            </w:pPr>
            <w:r w:rsidRPr="009B7B35">
              <w:rPr>
                <w:rFonts w:cs="Arial"/>
                <w:b/>
                <w:bCs/>
                <w:color w:val="auto"/>
              </w:rPr>
              <w:t>AO2.2</w:t>
            </w:r>
          </w:p>
          <w:p w14:paraId="58E33232" w14:textId="77777777" w:rsidR="00BE36FB" w:rsidRPr="009B7B35" w:rsidRDefault="00BE36FB" w:rsidP="001A7107">
            <w:pPr>
              <w:pStyle w:val="TableText"/>
              <w:rPr>
                <w:rFonts w:cs="Arial"/>
              </w:rPr>
            </w:pPr>
            <w:r w:rsidRPr="009B7B35">
              <w:rPr>
                <w:rFonts w:cs="Arial"/>
              </w:rPr>
              <w:t>The site cover of all buildings and temporary structures such as markets and does not exceed the lesser of 10% of the total site area or 400m</w:t>
            </w:r>
            <w:r w:rsidRPr="009B7B35">
              <w:rPr>
                <w:rStyle w:val="StyleSuperscript"/>
                <w:rFonts w:cs="Arial"/>
              </w:rPr>
              <w:t>2</w:t>
            </w:r>
            <w:r w:rsidRPr="009B7B35">
              <w:rPr>
                <w:rFonts w:cs="Arial"/>
              </w:rPr>
              <w:t>.</w:t>
            </w:r>
          </w:p>
        </w:tc>
      </w:tr>
      <w:tr w:rsidR="00BE36FB" w:rsidRPr="009B7B35" w14:paraId="24DC6BB8"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4DFAAD6F" w14:textId="77777777" w:rsidR="00BE36FB" w:rsidRPr="009B7B35" w:rsidRDefault="00BE36FB" w:rsidP="001A7107">
            <w:pPr>
              <w:pStyle w:val="Tableheading"/>
              <w:rPr>
                <w:rFonts w:ascii="Arial" w:hAnsi="Arial" w:cs="Arial"/>
                <w:szCs w:val="20"/>
              </w:rPr>
            </w:pPr>
            <w:r w:rsidRPr="009B7B35">
              <w:rPr>
                <w:rFonts w:ascii="Arial" w:hAnsi="Arial" w:cs="Arial"/>
                <w:szCs w:val="20"/>
              </w:rPr>
              <w:t>Separation of uses</w:t>
            </w:r>
          </w:p>
        </w:tc>
      </w:tr>
      <w:tr w:rsidR="00BE36FB" w:rsidRPr="009B7B35" w14:paraId="3A47D4FE"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371D3701" w14:textId="77777777" w:rsidR="00BE36FB" w:rsidRPr="009B7B35" w:rsidRDefault="00BE36FB" w:rsidP="001A7107">
            <w:pPr>
              <w:pStyle w:val="TableText"/>
              <w:rPr>
                <w:rFonts w:cs="Arial"/>
                <w:b/>
                <w:bCs/>
              </w:rPr>
            </w:pPr>
            <w:r w:rsidRPr="009B7B35">
              <w:rPr>
                <w:rFonts w:cs="Arial"/>
                <w:b/>
                <w:bCs/>
              </w:rPr>
              <w:t>PO3</w:t>
            </w:r>
          </w:p>
          <w:p w14:paraId="76D3EDF0" w14:textId="77777777" w:rsidR="00BE36FB" w:rsidRPr="009B7B35" w:rsidRDefault="00BE36FB" w:rsidP="001A7107">
            <w:pPr>
              <w:pStyle w:val="TableText"/>
              <w:rPr>
                <w:rFonts w:cs="Arial"/>
              </w:rPr>
            </w:pPr>
            <w:r w:rsidRPr="009B7B35">
              <w:rPr>
                <w:rFonts w:cs="Arial"/>
              </w:rPr>
              <w:t>Development provides adequate separation, screening and buffering from any adjoining residential uses or residential zone so that residential privacy and amenity is not adversely affected.</w:t>
            </w:r>
          </w:p>
        </w:tc>
        <w:tc>
          <w:tcPr>
            <w:cnfStyle w:val="000100000000" w:firstRow="0" w:lastRow="0" w:firstColumn="0" w:lastColumn="1" w:oddVBand="0" w:evenVBand="0" w:oddHBand="0" w:evenHBand="0" w:firstRowFirstColumn="0" w:firstRowLastColumn="0" w:lastRowFirstColumn="0" w:lastRowLastColumn="0"/>
            <w:tcW w:w="4678" w:type="dxa"/>
          </w:tcPr>
          <w:p w14:paraId="3B5C0274" w14:textId="77777777" w:rsidR="00BE36FB" w:rsidRPr="009B7B35" w:rsidRDefault="00BE36FB" w:rsidP="001A7107">
            <w:pPr>
              <w:pStyle w:val="TableText"/>
              <w:rPr>
                <w:rFonts w:cs="Arial"/>
                <w:b/>
                <w:bCs/>
                <w:color w:val="auto"/>
              </w:rPr>
            </w:pPr>
            <w:r w:rsidRPr="009B7B35">
              <w:rPr>
                <w:rFonts w:cs="Arial"/>
                <w:b/>
                <w:bCs/>
                <w:color w:val="auto"/>
              </w:rPr>
              <w:t>AO3</w:t>
            </w:r>
          </w:p>
          <w:p w14:paraId="53D6F621" w14:textId="77777777" w:rsidR="00BE36FB" w:rsidRPr="009B7B35" w:rsidRDefault="00BE36FB" w:rsidP="001A7107">
            <w:pPr>
              <w:pStyle w:val="TableText"/>
              <w:rPr>
                <w:rFonts w:cs="Arial"/>
              </w:rPr>
            </w:pPr>
            <w:r w:rsidRPr="009B7B35">
              <w:rPr>
                <w:rFonts w:cs="Arial"/>
              </w:rPr>
              <w:t>Where development (not including a club or community use) adjoins a residential premises or residential zone, a minimum boundary setback of 6m is required for:</w:t>
            </w:r>
          </w:p>
          <w:p w14:paraId="78AD2F98" w14:textId="77777777" w:rsidR="00BE36FB" w:rsidRPr="009B7B35" w:rsidRDefault="00BE36FB" w:rsidP="00BE36FB">
            <w:pPr>
              <w:pStyle w:val="TableText"/>
              <w:numPr>
                <w:ilvl w:val="0"/>
                <w:numId w:val="499"/>
              </w:numPr>
              <w:rPr>
                <w:rFonts w:cs="Arial"/>
              </w:rPr>
            </w:pPr>
            <w:r w:rsidRPr="009B7B35">
              <w:rPr>
                <w:rFonts w:cs="Arial"/>
              </w:rPr>
              <w:t>buildings</w:t>
            </w:r>
          </w:p>
          <w:p w14:paraId="2707D1BB" w14:textId="77777777" w:rsidR="00BE36FB" w:rsidRPr="009B7B35" w:rsidRDefault="00BE36FB" w:rsidP="00BE36FB">
            <w:pPr>
              <w:pStyle w:val="TableText"/>
              <w:numPr>
                <w:ilvl w:val="0"/>
                <w:numId w:val="499"/>
              </w:numPr>
              <w:rPr>
                <w:rFonts w:cs="Arial"/>
              </w:rPr>
            </w:pPr>
            <w:r w:rsidRPr="009B7B35">
              <w:rPr>
                <w:rFonts w:cs="Arial"/>
              </w:rPr>
              <w:t>temporary structures including markets</w:t>
            </w:r>
          </w:p>
          <w:p w14:paraId="7205C1FB" w14:textId="77777777" w:rsidR="00BE36FB" w:rsidRPr="009B7B35" w:rsidRDefault="00BE36FB" w:rsidP="00BE36FB">
            <w:pPr>
              <w:pStyle w:val="TableText"/>
              <w:numPr>
                <w:ilvl w:val="0"/>
                <w:numId w:val="499"/>
              </w:numPr>
              <w:rPr>
                <w:rFonts w:cs="Arial"/>
              </w:rPr>
            </w:pPr>
            <w:r w:rsidRPr="009B7B35">
              <w:rPr>
                <w:rFonts w:cs="Arial"/>
              </w:rPr>
              <w:t>active outdoor use areas</w:t>
            </w:r>
          </w:p>
          <w:p w14:paraId="61EFAC39" w14:textId="77777777" w:rsidR="00BE36FB" w:rsidRPr="009B7B35" w:rsidRDefault="00BE36FB" w:rsidP="00BE36FB">
            <w:pPr>
              <w:pStyle w:val="TableText"/>
              <w:numPr>
                <w:ilvl w:val="0"/>
                <w:numId w:val="499"/>
              </w:numPr>
              <w:rPr>
                <w:rFonts w:cs="Arial"/>
              </w:rPr>
            </w:pPr>
            <w:r w:rsidRPr="009B7B35">
              <w:rPr>
                <w:rFonts w:cs="Arial"/>
              </w:rPr>
              <w:t>site access points</w:t>
            </w:r>
          </w:p>
          <w:p w14:paraId="42AEF23B" w14:textId="77777777" w:rsidR="00BE36FB" w:rsidRPr="009B7B35" w:rsidRDefault="00BE36FB" w:rsidP="00BE36FB">
            <w:pPr>
              <w:pStyle w:val="TableText"/>
              <w:numPr>
                <w:ilvl w:val="0"/>
                <w:numId w:val="499"/>
              </w:numPr>
              <w:rPr>
                <w:rFonts w:cs="Arial"/>
              </w:rPr>
            </w:pPr>
            <w:r w:rsidRPr="009B7B35">
              <w:rPr>
                <w:rFonts w:cs="Arial"/>
              </w:rPr>
              <w:t>car parking areas, and</w:t>
            </w:r>
          </w:p>
          <w:p w14:paraId="4C8F8E03" w14:textId="77777777" w:rsidR="00BE36FB" w:rsidRPr="009B7B35" w:rsidRDefault="00BE36FB" w:rsidP="00BE36FB">
            <w:pPr>
              <w:pStyle w:val="TableText"/>
              <w:numPr>
                <w:ilvl w:val="0"/>
                <w:numId w:val="499"/>
              </w:numPr>
              <w:rPr>
                <w:rFonts w:cs="Arial"/>
              </w:rPr>
            </w:pPr>
            <w:r w:rsidRPr="009B7B35">
              <w:rPr>
                <w:rFonts w:cs="Arial"/>
              </w:rPr>
              <w:t>servicing or outdoor storage areas.</w:t>
            </w:r>
          </w:p>
        </w:tc>
      </w:tr>
      <w:tr w:rsidR="00BE36FB" w:rsidRPr="009B7B35" w14:paraId="01388015"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tcPr>
          <w:p w14:paraId="70C2EE2F"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7538BA3D"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6F96549B"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14:paraId="728D41E1"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1C4DAC2D" w14:textId="77777777" w:rsidR="00BE36FB" w:rsidRPr="009B7B35" w:rsidRDefault="00BE36FB" w:rsidP="001A7107">
            <w:pPr>
              <w:pStyle w:val="TableText"/>
              <w:rPr>
                <w:rFonts w:cs="Arial"/>
                <w:b/>
                <w:bCs/>
              </w:rPr>
            </w:pPr>
            <w:r w:rsidRPr="009B7B35">
              <w:rPr>
                <w:rFonts w:cs="Arial"/>
                <w:b/>
                <w:bCs/>
              </w:rPr>
              <w:t>PO4</w:t>
            </w:r>
          </w:p>
          <w:p w14:paraId="6AD2F11E" w14:textId="77777777" w:rsidR="00BE36FB" w:rsidRPr="009B7B35" w:rsidRDefault="00BE36FB" w:rsidP="001A7107">
            <w:pPr>
              <w:pStyle w:val="TableText"/>
              <w:rPr>
                <w:rFonts w:cs="Arial"/>
              </w:rPr>
            </w:pPr>
            <w:r w:rsidRPr="009B7B35">
              <w:rPr>
                <w:rFonts w:cs="Arial"/>
              </w:rPr>
              <w:t xml:space="preserve">Development facilitates the optimum enjoyment and use of the land for open space and parkland purposes. </w:t>
            </w:r>
          </w:p>
        </w:tc>
        <w:tc>
          <w:tcPr>
            <w:cnfStyle w:val="000100000000" w:firstRow="0" w:lastRow="0" w:firstColumn="0" w:lastColumn="1" w:oddVBand="0" w:evenVBand="0" w:oddHBand="0" w:evenHBand="0" w:firstRowFirstColumn="0" w:firstRowLastColumn="0" w:lastRowFirstColumn="0" w:lastRowLastColumn="0"/>
            <w:tcW w:w="4678" w:type="dxa"/>
          </w:tcPr>
          <w:p w14:paraId="397903A2"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FA63B2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30254163" w14:textId="77777777" w:rsidR="00BE36FB" w:rsidRPr="009B7B35" w:rsidRDefault="00BE36FB" w:rsidP="001A7107">
            <w:pPr>
              <w:pStyle w:val="TableText"/>
              <w:rPr>
                <w:rFonts w:cs="Arial"/>
                <w:b/>
                <w:bCs/>
              </w:rPr>
            </w:pPr>
            <w:r w:rsidRPr="009B7B35">
              <w:rPr>
                <w:rFonts w:cs="Arial"/>
                <w:b/>
                <w:bCs/>
              </w:rPr>
              <w:t>PO5</w:t>
            </w:r>
          </w:p>
          <w:p w14:paraId="204A3521" w14:textId="77777777" w:rsidR="00BE36FB" w:rsidRPr="009B7B35" w:rsidRDefault="00BE36FB" w:rsidP="001A7107">
            <w:pPr>
              <w:pStyle w:val="TableText"/>
              <w:rPr>
                <w:rFonts w:cs="Arial"/>
              </w:rPr>
            </w:pPr>
            <w:r w:rsidRPr="009B7B35">
              <w:rPr>
                <w:rFonts w:cs="Arial"/>
              </w:rPr>
              <w:t>Non–recreation uses occur only where they directly support the primary open space and parkland function of the site or are a compatible community–related activity.</w:t>
            </w:r>
          </w:p>
        </w:tc>
        <w:tc>
          <w:tcPr>
            <w:cnfStyle w:val="000100000000" w:firstRow="0" w:lastRow="0" w:firstColumn="0" w:lastColumn="1" w:oddVBand="0" w:evenVBand="0" w:oddHBand="0" w:evenHBand="0" w:firstRowFirstColumn="0" w:firstRowLastColumn="0" w:lastRowFirstColumn="0" w:lastRowLastColumn="0"/>
            <w:tcW w:w="4678" w:type="dxa"/>
          </w:tcPr>
          <w:p w14:paraId="59E4F560"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05028E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6738AB8C" w14:textId="77777777" w:rsidR="00BE36FB" w:rsidRPr="009B7B35" w:rsidRDefault="00BE36FB" w:rsidP="001A7107">
            <w:pPr>
              <w:pStyle w:val="TableText"/>
              <w:rPr>
                <w:rFonts w:cs="Arial"/>
                <w:b/>
                <w:bCs/>
              </w:rPr>
            </w:pPr>
            <w:r w:rsidRPr="009B7B35">
              <w:rPr>
                <w:rFonts w:cs="Arial"/>
                <w:b/>
                <w:bCs/>
              </w:rPr>
              <w:t>PO6</w:t>
            </w:r>
          </w:p>
          <w:p w14:paraId="041A0C47" w14:textId="77777777" w:rsidR="00BE36FB" w:rsidRPr="009B7B35" w:rsidRDefault="00BE36FB">
            <w:pPr>
              <w:pStyle w:val="TableText"/>
              <w:rPr>
                <w:rFonts w:cs="Arial"/>
              </w:rPr>
            </w:pPr>
            <w:r w:rsidRPr="009B7B35">
              <w:rPr>
                <w:rFonts w:cs="Arial"/>
              </w:rPr>
              <w:t>Development does not impede public access to:</w:t>
            </w:r>
          </w:p>
          <w:p w14:paraId="7655C147" w14:textId="77777777" w:rsidR="00BE36FB" w:rsidRPr="009B7B35" w:rsidRDefault="00BE36FB" w:rsidP="00BE36FB">
            <w:pPr>
              <w:pStyle w:val="TableText"/>
              <w:numPr>
                <w:ilvl w:val="0"/>
                <w:numId w:val="500"/>
              </w:numPr>
              <w:ind w:left="652" w:hanging="652"/>
              <w:rPr>
                <w:rFonts w:cs="Arial"/>
              </w:rPr>
            </w:pPr>
            <w:r w:rsidRPr="009B7B35">
              <w:rPr>
                <w:rFonts w:cs="Arial"/>
              </w:rPr>
              <w:t>parkland</w:t>
            </w:r>
          </w:p>
          <w:p w14:paraId="52E4B78E" w14:textId="77777777" w:rsidR="00BE36FB" w:rsidRPr="009B7B35" w:rsidRDefault="00BE36FB" w:rsidP="00BE36FB">
            <w:pPr>
              <w:pStyle w:val="TableText"/>
              <w:numPr>
                <w:ilvl w:val="0"/>
                <w:numId w:val="500"/>
              </w:numPr>
              <w:ind w:left="652" w:hanging="652"/>
              <w:rPr>
                <w:rFonts w:cs="Arial"/>
              </w:rPr>
            </w:pPr>
            <w:r w:rsidRPr="009B7B35">
              <w:rPr>
                <w:rFonts w:cs="Arial"/>
              </w:rPr>
              <w:t>public foreshore areas, and</w:t>
            </w:r>
          </w:p>
          <w:p w14:paraId="2B6298AE" w14:textId="77777777" w:rsidR="00BE36FB" w:rsidRPr="009B7B35" w:rsidRDefault="00BE36FB" w:rsidP="00BE36FB">
            <w:pPr>
              <w:pStyle w:val="TableText"/>
              <w:numPr>
                <w:ilvl w:val="0"/>
                <w:numId w:val="500"/>
              </w:numPr>
              <w:ind w:left="652" w:hanging="652"/>
              <w:rPr>
                <w:rFonts w:cs="Arial"/>
              </w:rPr>
            </w:pPr>
            <w:r w:rsidRPr="009B7B35">
              <w:rPr>
                <w:rFonts w:cs="Arial"/>
              </w:rPr>
              <w:t>the use of parkland facilities.</w:t>
            </w:r>
          </w:p>
        </w:tc>
        <w:tc>
          <w:tcPr>
            <w:cnfStyle w:val="000100000000" w:firstRow="0" w:lastRow="0" w:firstColumn="0" w:lastColumn="1" w:oddVBand="0" w:evenVBand="0" w:oddHBand="0" w:evenHBand="0" w:firstRowFirstColumn="0" w:firstRowLastColumn="0" w:lastRowFirstColumn="0" w:lastRowLastColumn="0"/>
            <w:tcW w:w="4678" w:type="dxa"/>
          </w:tcPr>
          <w:p w14:paraId="008819BD"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97BD9BC"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1E3EC798" w14:textId="77777777" w:rsidR="00BE36FB" w:rsidRPr="009B7B35" w:rsidRDefault="00BE36FB" w:rsidP="001A7107">
            <w:pPr>
              <w:pStyle w:val="Tableheading"/>
              <w:rPr>
                <w:rFonts w:ascii="Arial" w:hAnsi="Arial" w:cs="Arial"/>
                <w:szCs w:val="20"/>
              </w:rPr>
            </w:pPr>
            <w:r w:rsidRPr="009B7B35">
              <w:rPr>
                <w:rFonts w:ascii="Arial" w:hAnsi="Arial" w:cs="Arial"/>
                <w:szCs w:val="20"/>
              </w:rPr>
              <w:t>Design and amenity</w:t>
            </w:r>
          </w:p>
        </w:tc>
      </w:tr>
      <w:tr w:rsidR="00BE36FB" w:rsidRPr="009B7B35" w14:paraId="01B23FC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4F5CE89F" w14:textId="77777777" w:rsidR="00BE36FB" w:rsidRPr="009B7B35" w:rsidRDefault="00BE36FB" w:rsidP="001A7107">
            <w:pPr>
              <w:pStyle w:val="TableText"/>
              <w:rPr>
                <w:rFonts w:cs="Arial"/>
                <w:b/>
                <w:bCs/>
              </w:rPr>
            </w:pPr>
            <w:r w:rsidRPr="009B7B35">
              <w:rPr>
                <w:rFonts w:cs="Arial"/>
                <w:b/>
                <w:bCs/>
              </w:rPr>
              <w:t>PO7</w:t>
            </w:r>
          </w:p>
          <w:p w14:paraId="3A55081C" w14:textId="77777777" w:rsidR="00BE36FB" w:rsidRPr="009B7B35" w:rsidRDefault="00BE36FB">
            <w:pPr>
              <w:pStyle w:val="TableText"/>
              <w:rPr>
                <w:rFonts w:cs="Arial"/>
              </w:rPr>
            </w:pPr>
            <w:r w:rsidRPr="009B7B35">
              <w:rPr>
                <w:rFonts w:cs="Arial"/>
              </w:rPr>
              <w:t>Development does not detract from the site’s cultural values, visual quality, and landscape quality intent of the zone.</w:t>
            </w:r>
          </w:p>
        </w:tc>
        <w:tc>
          <w:tcPr>
            <w:cnfStyle w:val="000100000000" w:firstRow="0" w:lastRow="0" w:firstColumn="0" w:lastColumn="1" w:oddVBand="0" w:evenVBand="0" w:oddHBand="0" w:evenHBand="0" w:firstRowFirstColumn="0" w:firstRowLastColumn="0" w:lastRowFirstColumn="0" w:lastRowLastColumn="0"/>
            <w:tcW w:w="4678" w:type="dxa"/>
          </w:tcPr>
          <w:p w14:paraId="6B24E6A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90F74A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2E45B9B1" w14:textId="77777777" w:rsidR="00BE36FB" w:rsidRPr="009B7B35" w:rsidRDefault="00BE36FB" w:rsidP="001A7107">
            <w:pPr>
              <w:pStyle w:val="TableText"/>
              <w:rPr>
                <w:rFonts w:cs="Arial"/>
                <w:b/>
                <w:bCs/>
              </w:rPr>
            </w:pPr>
            <w:r w:rsidRPr="009B7B35">
              <w:rPr>
                <w:rFonts w:cs="Arial"/>
                <w:b/>
                <w:bCs/>
              </w:rPr>
              <w:t>PO8</w:t>
            </w:r>
          </w:p>
          <w:p w14:paraId="43F19392" w14:textId="77777777" w:rsidR="00BE36FB" w:rsidRPr="009B7B35" w:rsidRDefault="00BE36FB" w:rsidP="001A7107">
            <w:pPr>
              <w:rPr>
                <w:rFonts w:cs="Arial"/>
                <w:sz w:val="20"/>
                <w:szCs w:val="20"/>
              </w:rPr>
            </w:pPr>
            <w:r w:rsidRPr="009B7B35">
              <w:rPr>
                <w:rFonts w:cs="Arial"/>
                <w:sz w:val="20"/>
                <w:szCs w:val="20"/>
              </w:rPr>
              <w:t>Landscaping:</w:t>
            </w:r>
          </w:p>
          <w:p w14:paraId="25B71179" w14:textId="77777777" w:rsidR="00BE36FB" w:rsidRPr="009B7B35" w:rsidRDefault="00BE36FB" w:rsidP="00BE36FB">
            <w:pPr>
              <w:pStyle w:val="TableText"/>
              <w:numPr>
                <w:ilvl w:val="0"/>
                <w:numId w:val="502"/>
              </w:numPr>
              <w:rPr>
                <w:rFonts w:cs="Arial"/>
              </w:rPr>
            </w:pPr>
            <w:r w:rsidRPr="009B7B35">
              <w:rPr>
                <w:rFonts w:cs="Arial"/>
              </w:rPr>
              <w:t>enhances visual amenity</w:t>
            </w:r>
          </w:p>
          <w:p w14:paraId="7B2602BB" w14:textId="77777777" w:rsidR="00BE36FB" w:rsidRPr="009B7B35" w:rsidRDefault="00BE36FB" w:rsidP="00BE36FB">
            <w:pPr>
              <w:pStyle w:val="TableText"/>
              <w:numPr>
                <w:ilvl w:val="0"/>
                <w:numId w:val="502"/>
              </w:numPr>
              <w:rPr>
                <w:rFonts w:cs="Arial"/>
              </w:rPr>
            </w:pPr>
            <w:r w:rsidRPr="009B7B35">
              <w:rPr>
                <w:rFonts w:cs="Arial"/>
              </w:rPr>
              <w:t>integrates with the open space and parkland setting</w:t>
            </w:r>
          </w:p>
          <w:p w14:paraId="7C43AD7A" w14:textId="77777777" w:rsidR="00BE36FB" w:rsidRPr="009B7B35" w:rsidRDefault="00BE36FB" w:rsidP="00BE36FB">
            <w:pPr>
              <w:pStyle w:val="TableText"/>
              <w:numPr>
                <w:ilvl w:val="0"/>
                <w:numId w:val="502"/>
              </w:numPr>
              <w:rPr>
                <w:rFonts w:cs="Arial"/>
              </w:rPr>
            </w:pPr>
            <w:r w:rsidRPr="009B7B35">
              <w:rPr>
                <w:rFonts w:cs="Arial"/>
              </w:rPr>
              <w:t>allows for passive recreational activities to occur</w:t>
            </w:r>
          </w:p>
          <w:p w14:paraId="4B6310BD" w14:textId="77777777" w:rsidR="00BE36FB" w:rsidRPr="009B7B35" w:rsidRDefault="00BE36FB" w:rsidP="00BE36FB">
            <w:pPr>
              <w:pStyle w:val="TableText"/>
              <w:numPr>
                <w:ilvl w:val="0"/>
                <w:numId w:val="502"/>
              </w:numPr>
              <w:rPr>
                <w:rFonts w:cs="Arial"/>
              </w:rPr>
            </w:pPr>
            <w:r w:rsidRPr="009B7B35">
              <w:rPr>
                <w:rFonts w:cs="Arial"/>
              </w:rPr>
              <w:t>can provide screening to active use areas where adjoining residential use, and</w:t>
            </w:r>
          </w:p>
          <w:p w14:paraId="32860066" w14:textId="77777777" w:rsidR="00BE36FB" w:rsidRPr="009B7B35" w:rsidRDefault="00BE36FB" w:rsidP="00BE36FB">
            <w:pPr>
              <w:pStyle w:val="TableText"/>
              <w:numPr>
                <w:ilvl w:val="0"/>
                <w:numId w:val="502"/>
              </w:numPr>
              <w:rPr>
                <w:rFonts w:cs="Arial"/>
              </w:rPr>
            </w:pPr>
            <w:r w:rsidRPr="009B7B35">
              <w:rPr>
                <w:rFonts w:cs="Arial"/>
              </w:rPr>
              <w:t>ensures open space and parkland is highly accessible.</w:t>
            </w:r>
          </w:p>
          <w:p w14:paraId="59CA0572" w14:textId="77777777" w:rsidR="00BE36FB" w:rsidRPr="009B7B35" w:rsidRDefault="00BE36FB">
            <w:pPr>
              <w:pStyle w:val="Notes"/>
              <w:rPr>
                <w:rFonts w:cs="Arial"/>
                <w:sz w:val="20"/>
                <w:szCs w:val="20"/>
              </w:rPr>
            </w:pPr>
            <w:r w:rsidRPr="009B7B35">
              <w:rPr>
                <w:rFonts w:cs="Arial"/>
                <w:sz w:val="20"/>
                <w:szCs w:val="20"/>
              </w:rPr>
              <w:t>Note–Refer also to the Landscaping code.</w:t>
            </w:r>
          </w:p>
        </w:tc>
        <w:tc>
          <w:tcPr>
            <w:cnfStyle w:val="000100000000" w:firstRow="0" w:lastRow="0" w:firstColumn="0" w:lastColumn="1" w:oddVBand="0" w:evenVBand="0" w:oddHBand="0" w:evenHBand="0" w:firstRowFirstColumn="0" w:firstRowLastColumn="0" w:lastRowFirstColumn="0" w:lastRowLastColumn="0"/>
            <w:tcW w:w="4678" w:type="dxa"/>
          </w:tcPr>
          <w:p w14:paraId="363FCFB0"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FEA98D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70FAB262" w14:textId="77777777" w:rsidR="00BE36FB" w:rsidRPr="009B7B35" w:rsidRDefault="00BE36FB" w:rsidP="001A7107">
            <w:pPr>
              <w:pStyle w:val="TableText"/>
              <w:rPr>
                <w:rFonts w:cs="Arial"/>
                <w:b/>
                <w:bCs/>
              </w:rPr>
            </w:pPr>
            <w:r w:rsidRPr="009B7B35">
              <w:rPr>
                <w:rFonts w:cs="Arial"/>
                <w:b/>
                <w:bCs/>
              </w:rPr>
              <w:t>PO9</w:t>
            </w:r>
          </w:p>
          <w:p w14:paraId="5C9A4EA3" w14:textId="77777777"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14:paraId="26C7B8EE" w14:textId="77777777" w:rsidR="00BE36FB" w:rsidRPr="009B7B35" w:rsidRDefault="00BE36FB" w:rsidP="00BE36FB">
            <w:pPr>
              <w:pStyle w:val="TableText"/>
              <w:numPr>
                <w:ilvl w:val="0"/>
                <w:numId w:val="503"/>
              </w:numPr>
              <w:ind w:left="652" w:hanging="652"/>
              <w:rPr>
                <w:rFonts w:cs="Arial"/>
              </w:rPr>
            </w:pPr>
            <w:r w:rsidRPr="009B7B35">
              <w:rPr>
                <w:rFonts w:cs="Arial"/>
              </w:rPr>
              <w:t>noise</w:t>
            </w:r>
          </w:p>
          <w:p w14:paraId="570E43A6" w14:textId="77777777" w:rsidR="00BE36FB" w:rsidRPr="009B7B35" w:rsidRDefault="00BE36FB" w:rsidP="00BE36FB">
            <w:pPr>
              <w:pStyle w:val="TableText"/>
              <w:numPr>
                <w:ilvl w:val="0"/>
                <w:numId w:val="503"/>
              </w:numPr>
              <w:ind w:left="652" w:hanging="652"/>
              <w:rPr>
                <w:rFonts w:cs="Arial"/>
              </w:rPr>
            </w:pPr>
            <w:r w:rsidRPr="009B7B35">
              <w:rPr>
                <w:rFonts w:cs="Arial"/>
              </w:rPr>
              <w:t>traffic and parking</w:t>
            </w:r>
          </w:p>
          <w:p w14:paraId="59461231" w14:textId="77777777" w:rsidR="00BE36FB" w:rsidRPr="009B7B35" w:rsidRDefault="00BE36FB" w:rsidP="00BE36FB">
            <w:pPr>
              <w:pStyle w:val="TableText"/>
              <w:numPr>
                <w:ilvl w:val="0"/>
                <w:numId w:val="503"/>
              </w:numPr>
              <w:ind w:left="652" w:hanging="652"/>
              <w:rPr>
                <w:rFonts w:cs="Arial"/>
              </w:rPr>
            </w:pPr>
            <w:r w:rsidRPr="009B7B35">
              <w:rPr>
                <w:rFonts w:cs="Arial"/>
              </w:rPr>
              <w:t>visual impact</w:t>
            </w:r>
          </w:p>
          <w:p w14:paraId="7034C84D" w14:textId="77777777" w:rsidR="00BE36FB" w:rsidRPr="009B7B35" w:rsidRDefault="00BE36FB" w:rsidP="00BE36FB">
            <w:pPr>
              <w:pStyle w:val="TableText"/>
              <w:numPr>
                <w:ilvl w:val="0"/>
                <w:numId w:val="503"/>
              </w:numPr>
              <w:ind w:left="652" w:hanging="652"/>
              <w:rPr>
                <w:rFonts w:cs="Arial"/>
              </w:rPr>
            </w:pPr>
            <w:r w:rsidRPr="009B7B35">
              <w:rPr>
                <w:rFonts w:cs="Arial"/>
              </w:rPr>
              <w:t>signage</w:t>
            </w:r>
          </w:p>
          <w:p w14:paraId="33F51E65" w14:textId="77777777" w:rsidR="00BE36FB" w:rsidRPr="009B7B35" w:rsidRDefault="00BE36FB" w:rsidP="00BE36FB">
            <w:pPr>
              <w:pStyle w:val="TableText"/>
              <w:numPr>
                <w:ilvl w:val="0"/>
                <w:numId w:val="503"/>
              </w:numPr>
              <w:ind w:left="652" w:hanging="652"/>
              <w:rPr>
                <w:rFonts w:cs="Arial"/>
              </w:rPr>
            </w:pPr>
            <w:r w:rsidRPr="009B7B35">
              <w:rPr>
                <w:rFonts w:cs="Arial"/>
              </w:rPr>
              <w:t>odour and emissions</w:t>
            </w:r>
          </w:p>
          <w:p w14:paraId="5D9BDC3C" w14:textId="77777777" w:rsidR="00BE36FB" w:rsidRPr="009B7B35" w:rsidRDefault="00BE36FB" w:rsidP="00BE36FB">
            <w:pPr>
              <w:pStyle w:val="TableText"/>
              <w:numPr>
                <w:ilvl w:val="0"/>
                <w:numId w:val="503"/>
              </w:numPr>
              <w:ind w:left="652" w:hanging="652"/>
              <w:rPr>
                <w:rFonts w:cs="Arial"/>
              </w:rPr>
            </w:pPr>
            <w:r w:rsidRPr="009B7B35">
              <w:rPr>
                <w:rFonts w:cs="Arial"/>
              </w:rPr>
              <w:t>lighting</w:t>
            </w:r>
          </w:p>
          <w:p w14:paraId="3F5CD7F1" w14:textId="77777777" w:rsidR="00BE36FB" w:rsidRPr="009B7B35" w:rsidRDefault="00BE36FB" w:rsidP="00BE36FB">
            <w:pPr>
              <w:pStyle w:val="TableText"/>
              <w:numPr>
                <w:ilvl w:val="0"/>
                <w:numId w:val="503"/>
              </w:numPr>
              <w:ind w:left="652" w:hanging="652"/>
              <w:rPr>
                <w:rFonts w:cs="Arial"/>
              </w:rPr>
            </w:pPr>
            <w:r w:rsidRPr="009B7B35">
              <w:rPr>
                <w:rFonts w:cs="Arial"/>
              </w:rPr>
              <w:t>access to sunlight, and</w:t>
            </w:r>
          </w:p>
          <w:p w14:paraId="67D512D6" w14:textId="77777777" w:rsidR="00BE36FB" w:rsidRPr="009B7B35" w:rsidRDefault="00BE36FB" w:rsidP="00BE36FB">
            <w:pPr>
              <w:pStyle w:val="TableText"/>
              <w:numPr>
                <w:ilvl w:val="0"/>
                <w:numId w:val="503"/>
              </w:numPr>
              <w:ind w:left="652" w:hanging="652"/>
              <w:rPr>
                <w:rFonts w:cs="Arial"/>
              </w:rPr>
            </w:pPr>
            <w:r w:rsidRPr="009B7B35">
              <w:rPr>
                <w:rFonts w:cs="Arial"/>
              </w:rPr>
              <w:t>privacy.</w:t>
            </w:r>
          </w:p>
          <w:p w14:paraId="74409739" w14:textId="77777777" w:rsidR="00BE36FB" w:rsidRPr="009B7B35" w:rsidRDefault="00BE36FB" w:rsidP="001A7107">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cnfStyle w:val="000100000000" w:firstRow="0" w:lastRow="0" w:firstColumn="0" w:lastColumn="1" w:oddVBand="0" w:evenVBand="0" w:oddHBand="0" w:evenHBand="0" w:firstRowFirstColumn="0" w:firstRowLastColumn="0" w:lastRowFirstColumn="0" w:lastRowLastColumn="0"/>
            <w:tcW w:w="4678" w:type="dxa"/>
          </w:tcPr>
          <w:p w14:paraId="6CF64CB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2B7BF4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25F67A80" w14:textId="77777777" w:rsidR="00BE36FB" w:rsidRPr="009B7B35" w:rsidRDefault="00BE36FB" w:rsidP="001A7107">
            <w:pPr>
              <w:pStyle w:val="TableText"/>
              <w:rPr>
                <w:rFonts w:cs="Arial"/>
                <w:b/>
                <w:bCs/>
              </w:rPr>
            </w:pPr>
            <w:r w:rsidRPr="009B7B35">
              <w:rPr>
                <w:rFonts w:cs="Arial"/>
                <w:b/>
                <w:bCs/>
              </w:rPr>
              <w:t>PO10</w:t>
            </w:r>
          </w:p>
          <w:p w14:paraId="7BC646C8" w14:textId="77777777" w:rsidR="00BE36FB" w:rsidRPr="009B7B35" w:rsidRDefault="00BE36FB" w:rsidP="001A7107">
            <w:pPr>
              <w:pStyle w:val="TableText"/>
              <w:rPr>
                <w:rFonts w:cs="Arial"/>
              </w:rPr>
            </w:pPr>
            <w:r w:rsidRPr="009B7B35">
              <w:rPr>
                <w:rFonts w:cs="Arial"/>
              </w:rPr>
              <w:t>Development responds sensitively to on–site and surrounding topography, drainage patterns, coastal foreshores, waterways, utility services, access, vegetation and adjoining land uses, such that:</w:t>
            </w:r>
          </w:p>
          <w:p w14:paraId="00964F09" w14:textId="77777777" w:rsidR="00BE36FB" w:rsidRPr="009B7B35" w:rsidRDefault="00BE36FB" w:rsidP="00BE36FB">
            <w:pPr>
              <w:pStyle w:val="TableText"/>
              <w:numPr>
                <w:ilvl w:val="0"/>
                <w:numId w:val="504"/>
              </w:numPr>
              <w:rPr>
                <w:rFonts w:cs="Arial"/>
              </w:rPr>
            </w:pPr>
            <w:r w:rsidRPr="009B7B35">
              <w:rPr>
                <w:rFonts w:cs="Arial"/>
              </w:rPr>
              <w:t>any hazards to people or property are avoided</w:t>
            </w:r>
          </w:p>
          <w:p w14:paraId="2162C0CC" w14:textId="77777777" w:rsidR="00BE36FB" w:rsidRPr="009B7B35" w:rsidRDefault="00BE36FB" w:rsidP="00BE36FB">
            <w:pPr>
              <w:pStyle w:val="TableText"/>
              <w:numPr>
                <w:ilvl w:val="0"/>
                <w:numId w:val="504"/>
              </w:numPr>
              <w:rPr>
                <w:rFonts w:cs="Arial"/>
              </w:rPr>
            </w:pPr>
            <w:r w:rsidRPr="009B7B35">
              <w:rPr>
                <w:rFonts w:cs="Arial"/>
              </w:rPr>
              <w:t>any earthworks are minimised</w:t>
            </w:r>
          </w:p>
          <w:p w14:paraId="648B123F" w14:textId="77777777" w:rsidR="00BE36FB" w:rsidRPr="009B7B35" w:rsidRDefault="00BE36FB" w:rsidP="00BE36FB">
            <w:pPr>
              <w:pStyle w:val="TableText"/>
              <w:numPr>
                <w:ilvl w:val="0"/>
                <w:numId w:val="504"/>
              </w:numPr>
              <w:rPr>
                <w:rFonts w:cs="Arial"/>
              </w:rPr>
            </w:pPr>
            <w:r w:rsidRPr="009B7B35">
              <w:rPr>
                <w:rFonts w:cs="Arial"/>
              </w:rPr>
              <w:t>the retention of natural drainage lines is maximised</w:t>
            </w:r>
          </w:p>
          <w:p w14:paraId="4647F2CF" w14:textId="77777777" w:rsidR="00BE36FB" w:rsidRPr="009B7B35" w:rsidRDefault="00BE36FB" w:rsidP="00BE36FB">
            <w:pPr>
              <w:pStyle w:val="TableText"/>
              <w:numPr>
                <w:ilvl w:val="0"/>
                <w:numId w:val="504"/>
              </w:numPr>
              <w:rPr>
                <w:rFonts w:cs="Arial"/>
              </w:rPr>
            </w:pPr>
            <w:r w:rsidRPr="009B7B35">
              <w:rPr>
                <w:rFonts w:cs="Arial"/>
              </w:rPr>
              <w:t>the retention of existing vegetation is maximised</w:t>
            </w:r>
          </w:p>
          <w:p w14:paraId="513AD15B" w14:textId="77777777" w:rsidR="00BE36FB" w:rsidRPr="009B7B35" w:rsidRDefault="00BE36FB" w:rsidP="00BE36FB">
            <w:pPr>
              <w:pStyle w:val="TableText"/>
              <w:numPr>
                <w:ilvl w:val="0"/>
                <w:numId w:val="504"/>
              </w:numPr>
              <w:rPr>
                <w:rFonts w:cs="Arial"/>
              </w:rPr>
            </w:pPr>
            <w:r w:rsidRPr="009B7B35">
              <w:rPr>
                <w:rFonts w:cs="Arial"/>
              </w:rPr>
              <w:t xml:space="preserve">damage or disruption to sewerage, stormwater and water infrastructure is avoided, and </w:t>
            </w:r>
          </w:p>
          <w:p w14:paraId="587E67F3" w14:textId="77777777" w:rsidR="00BE36FB" w:rsidRPr="009B7B35" w:rsidRDefault="00BE36FB" w:rsidP="00BE36FB">
            <w:pPr>
              <w:pStyle w:val="TableText"/>
              <w:numPr>
                <w:ilvl w:val="0"/>
                <w:numId w:val="504"/>
              </w:numPr>
              <w:rPr>
                <w:rFonts w:cs="Arial"/>
              </w:rPr>
            </w:pPr>
            <w:r w:rsidRPr="009B7B35">
              <w:rPr>
                <w:rFonts w:cs="Arial"/>
              </w:rPr>
              <w:t>there is adequate buffering, screening or separation to adjoining development.</w:t>
            </w:r>
          </w:p>
        </w:tc>
        <w:tc>
          <w:tcPr>
            <w:cnfStyle w:val="000100000000" w:firstRow="0" w:lastRow="0" w:firstColumn="0" w:lastColumn="1" w:oddVBand="0" w:evenVBand="0" w:oddHBand="0" w:evenHBand="0" w:firstRowFirstColumn="0" w:firstRowLastColumn="0" w:lastRowFirstColumn="0" w:lastRowLastColumn="0"/>
            <w:tcW w:w="4678" w:type="dxa"/>
          </w:tcPr>
          <w:p w14:paraId="0466B198" w14:textId="77777777" w:rsidR="00BE36FB" w:rsidRPr="009B7B35" w:rsidRDefault="00BE36FB">
            <w:pPr>
              <w:pStyle w:val="TableText"/>
              <w:rPr>
                <w:rFonts w:cs="Arial"/>
              </w:rPr>
            </w:pPr>
            <w:r w:rsidRPr="009B7B35">
              <w:rPr>
                <w:rFonts w:cs="Arial"/>
              </w:rPr>
              <w:t>No acceptable outcome is nominated.</w:t>
            </w:r>
          </w:p>
        </w:tc>
      </w:tr>
      <w:tr w:rsidR="00BE36FB" w:rsidRPr="009B7B35" w14:paraId="1311D7B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0E32D7D3" w14:textId="77777777" w:rsidR="00BE36FB" w:rsidRPr="009B7B35" w:rsidRDefault="00BE36FB" w:rsidP="001A7107">
            <w:pPr>
              <w:pStyle w:val="TableText"/>
              <w:rPr>
                <w:rFonts w:cs="Arial"/>
                <w:b/>
                <w:bCs/>
              </w:rPr>
            </w:pPr>
            <w:r w:rsidRPr="009B7B35">
              <w:rPr>
                <w:rFonts w:cs="Arial"/>
                <w:b/>
                <w:bCs/>
              </w:rPr>
              <w:t>PO11</w:t>
            </w:r>
          </w:p>
          <w:p w14:paraId="4F8E6E07" w14:textId="77777777" w:rsidR="00BE36FB" w:rsidRPr="009B7B35" w:rsidRDefault="00BE36FB" w:rsidP="001A7107">
            <w:pPr>
              <w:pStyle w:val="TableText"/>
              <w:rPr>
                <w:rFonts w:cs="Arial"/>
              </w:rPr>
            </w:pPr>
            <w:r w:rsidRPr="009B7B35">
              <w:rPr>
                <w:rFonts w:cs="Arial"/>
              </w:rPr>
              <w:t>Development must ensure safe and legible connections are provided for:</w:t>
            </w:r>
          </w:p>
          <w:p w14:paraId="261FDB1C" w14:textId="77777777" w:rsidR="00BE36FB" w:rsidRPr="009B7B35" w:rsidRDefault="00BE36FB" w:rsidP="00BE36FB">
            <w:pPr>
              <w:pStyle w:val="TableText"/>
              <w:numPr>
                <w:ilvl w:val="0"/>
                <w:numId w:val="505"/>
              </w:numPr>
              <w:rPr>
                <w:rFonts w:cs="Arial"/>
              </w:rPr>
            </w:pPr>
            <w:r w:rsidRPr="009B7B35">
              <w:rPr>
                <w:rFonts w:cs="Arial"/>
              </w:rPr>
              <w:t>pedestrians and cyclists to, from and within the site</w:t>
            </w:r>
          </w:p>
          <w:p w14:paraId="2F258F79" w14:textId="77777777" w:rsidR="00BE36FB" w:rsidRPr="009B7B35" w:rsidRDefault="00BE36FB" w:rsidP="00BE36FB">
            <w:pPr>
              <w:pStyle w:val="TableText"/>
              <w:numPr>
                <w:ilvl w:val="0"/>
                <w:numId w:val="505"/>
              </w:numPr>
              <w:rPr>
                <w:rFonts w:cs="Arial"/>
              </w:rPr>
            </w:pPr>
            <w:r w:rsidRPr="009B7B35">
              <w:rPr>
                <w:rFonts w:cs="Arial"/>
              </w:rPr>
              <w:t>public transport infrastructure</w:t>
            </w:r>
          </w:p>
          <w:p w14:paraId="4EFDE7AD" w14:textId="77777777" w:rsidR="00BE36FB" w:rsidRPr="009B7B35" w:rsidRDefault="00BE36FB" w:rsidP="00BE36FB">
            <w:pPr>
              <w:pStyle w:val="TableText"/>
              <w:numPr>
                <w:ilvl w:val="0"/>
                <w:numId w:val="505"/>
              </w:numPr>
              <w:rPr>
                <w:rFonts w:cs="Arial"/>
              </w:rPr>
            </w:pPr>
            <w:r w:rsidRPr="009B7B35">
              <w:rPr>
                <w:rFonts w:cs="Arial"/>
              </w:rPr>
              <w:t>other parts of the open space network</w:t>
            </w:r>
          </w:p>
          <w:p w14:paraId="7DADC610" w14:textId="77777777" w:rsidR="00BE36FB" w:rsidRPr="009B7B35" w:rsidRDefault="00BE36FB" w:rsidP="00BE36FB">
            <w:pPr>
              <w:pStyle w:val="TableText"/>
              <w:numPr>
                <w:ilvl w:val="0"/>
                <w:numId w:val="505"/>
              </w:numPr>
              <w:rPr>
                <w:rFonts w:cs="Arial"/>
              </w:rPr>
            </w:pPr>
            <w:r w:rsidRPr="009B7B35">
              <w:rPr>
                <w:rFonts w:cs="Arial"/>
              </w:rPr>
              <w:t>sport and recreational activities, centres and community–related activities, and</w:t>
            </w:r>
          </w:p>
          <w:p w14:paraId="0E945B70" w14:textId="77777777" w:rsidR="00BE36FB" w:rsidRPr="009B7B35" w:rsidRDefault="00BE36FB" w:rsidP="00BE36FB">
            <w:pPr>
              <w:pStyle w:val="TableText"/>
              <w:numPr>
                <w:ilvl w:val="0"/>
                <w:numId w:val="505"/>
              </w:numPr>
              <w:rPr>
                <w:rFonts w:cs="Arial"/>
              </w:rPr>
            </w:pPr>
            <w:r w:rsidRPr="009B7B35">
              <w:rPr>
                <w:rFonts w:cs="Arial"/>
              </w:rPr>
              <w:t>emergency vehicles.</w:t>
            </w:r>
          </w:p>
          <w:p w14:paraId="6C848278" w14:textId="77777777" w:rsidR="00BE36FB" w:rsidRPr="009B7B35" w:rsidRDefault="00BE36FB" w:rsidP="001A7107">
            <w:pPr>
              <w:pStyle w:val="TableText"/>
              <w:ind w:left="567"/>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14:paraId="328E2AEF"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F86A25F"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2E8C2BA4" w14:textId="77777777" w:rsidR="00BE36FB" w:rsidRPr="009B7B35" w:rsidRDefault="00BE36FB" w:rsidP="001A7107">
            <w:pPr>
              <w:pStyle w:val="TableText"/>
              <w:rPr>
                <w:rFonts w:cs="Arial"/>
                <w:b/>
              </w:rPr>
            </w:pPr>
            <w:r w:rsidRPr="009B7B35">
              <w:rPr>
                <w:rFonts w:cs="Arial"/>
                <w:b/>
              </w:rPr>
              <w:t>PO12</w:t>
            </w:r>
          </w:p>
          <w:p w14:paraId="52730EF7" w14:textId="77777777" w:rsidR="00BE36FB" w:rsidRPr="009B7B35" w:rsidRDefault="00BE36FB" w:rsidP="001A7107">
            <w:pPr>
              <w:pStyle w:val="TableText"/>
              <w:rPr>
                <w:rFonts w:cs="Arial"/>
              </w:rPr>
            </w:pPr>
            <w:r w:rsidRPr="009B7B35">
              <w:rPr>
                <w:rFonts w:cs="Arial"/>
              </w:rPr>
              <w:t>Development is designed to achieve safety for all users having regard to:</w:t>
            </w:r>
          </w:p>
          <w:p w14:paraId="2311F226" w14:textId="77777777" w:rsidR="00BE36FB" w:rsidRPr="009B7B35" w:rsidRDefault="00BE36FB" w:rsidP="00BE36FB">
            <w:pPr>
              <w:pStyle w:val="TableText"/>
              <w:numPr>
                <w:ilvl w:val="0"/>
                <w:numId w:val="506"/>
              </w:numPr>
              <w:ind w:left="652" w:hanging="652"/>
              <w:rPr>
                <w:rFonts w:cs="Arial"/>
              </w:rPr>
            </w:pPr>
            <w:r w:rsidRPr="009B7B35">
              <w:rPr>
                <w:rFonts w:cs="Arial"/>
              </w:rPr>
              <w:t xml:space="preserve">maximising casual surveillance and sight lines; </w:t>
            </w:r>
          </w:p>
          <w:p w14:paraId="02835C2C" w14:textId="77777777" w:rsidR="00BE36FB" w:rsidRPr="009B7B35" w:rsidRDefault="00BE36FB" w:rsidP="00BE36FB">
            <w:pPr>
              <w:pStyle w:val="TableText"/>
              <w:numPr>
                <w:ilvl w:val="0"/>
                <w:numId w:val="506"/>
              </w:numPr>
              <w:ind w:left="652" w:hanging="652"/>
              <w:rPr>
                <w:rFonts w:cs="Arial"/>
              </w:rPr>
            </w:pPr>
            <w:r w:rsidRPr="009B7B35">
              <w:rPr>
                <w:rFonts w:cs="Arial"/>
              </w:rPr>
              <w:t>avoiding personal concealment and entrapment locations;</w:t>
            </w:r>
          </w:p>
          <w:p w14:paraId="0473B897" w14:textId="77777777" w:rsidR="00BE36FB" w:rsidRPr="009B7B35" w:rsidRDefault="00BE36FB" w:rsidP="00BE36FB">
            <w:pPr>
              <w:pStyle w:val="TableText"/>
              <w:numPr>
                <w:ilvl w:val="0"/>
                <w:numId w:val="506"/>
              </w:numPr>
              <w:ind w:left="652" w:hanging="652"/>
              <w:rPr>
                <w:rFonts w:cs="Arial"/>
              </w:rPr>
            </w:pPr>
            <w:r w:rsidRPr="009B7B35">
              <w:rPr>
                <w:rFonts w:cs="Arial"/>
              </w:rPr>
              <w:t>exterior building design that promotes safety;</w:t>
            </w:r>
          </w:p>
          <w:p w14:paraId="667D1999" w14:textId="77777777" w:rsidR="00BE36FB" w:rsidRPr="009B7B35" w:rsidRDefault="00BE36FB" w:rsidP="00BE36FB">
            <w:pPr>
              <w:pStyle w:val="TableText"/>
              <w:numPr>
                <w:ilvl w:val="0"/>
                <w:numId w:val="506"/>
              </w:numPr>
              <w:ind w:left="652" w:hanging="652"/>
              <w:rPr>
                <w:rFonts w:cs="Arial"/>
              </w:rPr>
            </w:pPr>
            <w:r w:rsidRPr="009B7B35">
              <w:rPr>
                <w:rFonts w:cs="Arial"/>
              </w:rPr>
              <w:t>adequate lighting;</w:t>
            </w:r>
          </w:p>
          <w:p w14:paraId="684C01E0" w14:textId="77777777" w:rsidR="00BE36FB" w:rsidRPr="009B7B35" w:rsidRDefault="00BE36FB" w:rsidP="00BE36FB">
            <w:pPr>
              <w:pStyle w:val="TableText"/>
              <w:numPr>
                <w:ilvl w:val="0"/>
                <w:numId w:val="506"/>
              </w:numPr>
              <w:ind w:left="652" w:hanging="652"/>
              <w:rPr>
                <w:rFonts w:cs="Arial"/>
              </w:rPr>
            </w:pPr>
            <w:r w:rsidRPr="009B7B35">
              <w:rPr>
                <w:rFonts w:cs="Arial"/>
              </w:rPr>
              <w:t>appropriate signage and wayfinding; and</w:t>
            </w:r>
          </w:p>
          <w:p w14:paraId="46F0D03B" w14:textId="77777777" w:rsidR="00BE36FB" w:rsidRPr="009B7B35" w:rsidRDefault="00BE36FB" w:rsidP="00BE36FB">
            <w:pPr>
              <w:pStyle w:val="TableText"/>
              <w:numPr>
                <w:ilvl w:val="0"/>
                <w:numId w:val="506"/>
              </w:numPr>
              <w:ind w:left="652" w:hanging="652"/>
              <w:rPr>
                <w:rFonts w:cs="Arial"/>
              </w:rPr>
            </w:pPr>
            <w:r w:rsidRPr="009B7B35">
              <w:rPr>
                <w:rFonts w:cs="Arial"/>
              </w:rPr>
              <w:t>building entrances, parking areas, loading and storage areas that are well lit and have clearly defined access points.</w:t>
            </w:r>
          </w:p>
          <w:p w14:paraId="1F7149D1" w14:textId="77777777" w:rsidR="00BE36FB" w:rsidRPr="009B7B35" w:rsidRDefault="00BE36FB" w:rsidP="001A7107">
            <w:pPr>
              <w:pStyle w:val="Notes"/>
              <w:rPr>
                <w:rFonts w:cs="Arial"/>
                <w:sz w:val="20"/>
                <w:szCs w:val="20"/>
              </w:rPr>
            </w:pPr>
            <w:r w:rsidRPr="009B7B35">
              <w:rPr>
                <w:rFonts w:cs="Arial"/>
                <w:sz w:val="20"/>
                <w:szCs w:val="20"/>
              </w:rPr>
              <w:t>Note–Applicants may find useful guidance in the Queensland Government’s Crime Prevention through Environmental Design Guidelines for Queensland.</w:t>
            </w:r>
          </w:p>
        </w:tc>
        <w:tc>
          <w:tcPr>
            <w:cnfStyle w:val="000100000000" w:firstRow="0" w:lastRow="0" w:firstColumn="0" w:lastColumn="1" w:oddVBand="0" w:evenVBand="0" w:oddHBand="0" w:evenHBand="0" w:firstRowFirstColumn="0" w:firstRowLastColumn="0" w:lastRowFirstColumn="0" w:lastRowLastColumn="0"/>
            <w:tcW w:w="4678" w:type="dxa"/>
          </w:tcPr>
          <w:p w14:paraId="58299D5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C6DAAEA"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7B0FE914" w14:textId="77777777" w:rsidR="00BE36FB" w:rsidRPr="009B7B35" w:rsidRDefault="00BE36FB" w:rsidP="001A7107">
            <w:pPr>
              <w:pStyle w:val="Tableheading"/>
              <w:rPr>
                <w:rFonts w:ascii="Arial" w:hAnsi="Arial" w:cs="Arial"/>
                <w:szCs w:val="20"/>
              </w:rPr>
            </w:pPr>
            <w:r w:rsidRPr="009B7B35">
              <w:rPr>
                <w:rFonts w:ascii="Arial" w:hAnsi="Arial" w:cs="Arial"/>
                <w:szCs w:val="20"/>
              </w:rPr>
              <w:t>Uses – Club and Community use</w:t>
            </w:r>
          </w:p>
        </w:tc>
      </w:tr>
      <w:tr w:rsidR="00BE36FB" w:rsidRPr="009B7B35" w14:paraId="7B088AC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06429639" w14:textId="77777777" w:rsidR="00BE36FB" w:rsidRPr="009B7B35" w:rsidRDefault="00BE36FB" w:rsidP="001A7107">
            <w:pPr>
              <w:pStyle w:val="TableText"/>
              <w:rPr>
                <w:rFonts w:cs="Arial"/>
                <w:b/>
                <w:bCs/>
              </w:rPr>
            </w:pPr>
            <w:r w:rsidRPr="009B7B35">
              <w:rPr>
                <w:rFonts w:cs="Arial"/>
                <w:b/>
                <w:bCs/>
              </w:rPr>
              <w:t>PO13</w:t>
            </w:r>
          </w:p>
          <w:p w14:paraId="4389B98F" w14:textId="77777777" w:rsidR="00BE36FB" w:rsidRPr="009B7B35" w:rsidRDefault="00BE36FB" w:rsidP="001A7107">
            <w:pPr>
              <w:rPr>
                <w:rFonts w:cs="Arial"/>
                <w:sz w:val="20"/>
                <w:szCs w:val="20"/>
              </w:rPr>
            </w:pPr>
            <w:r w:rsidRPr="009B7B35">
              <w:rPr>
                <w:rFonts w:cs="Arial"/>
                <w:sz w:val="20"/>
                <w:szCs w:val="20"/>
              </w:rPr>
              <w:t>Development is located and designed to minimise adverse impacts on:</w:t>
            </w:r>
          </w:p>
          <w:p w14:paraId="15A08D46" w14:textId="77777777" w:rsidR="00BE36FB" w:rsidRPr="009B7B35" w:rsidRDefault="00BE36FB" w:rsidP="00BE36FB">
            <w:pPr>
              <w:numPr>
                <w:ilvl w:val="0"/>
                <w:numId w:val="130"/>
              </w:numPr>
              <w:rPr>
                <w:rFonts w:cs="Arial"/>
                <w:sz w:val="20"/>
                <w:szCs w:val="20"/>
              </w:rPr>
            </w:pPr>
            <w:r w:rsidRPr="009B7B35">
              <w:rPr>
                <w:rFonts w:cs="Arial"/>
                <w:sz w:val="20"/>
                <w:szCs w:val="20"/>
              </w:rPr>
              <w:t>the amenity of open space and parkland, and</w:t>
            </w:r>
          </w:p>
          <w:p w14:paraId="4B58869A" w14:textId="77777777" w:rsidR="00BE36FB" w:rsidRPr="009B7B35" w:rsidRDefault="00BE36FB" w:rsidP="00BE36FB">
            <w:pPr>
              <w:numPr>
                <w:ilvl w:val="0"/>
                <w:numId w:val="130"/>
              </w:numPr>
              <w:ind w:left="652"/>
              <w:rPr>
                <w:rFonts w:cs="Arial"/>
                <w:sz w:val="20"/>
                <w:szCs w:val="20"/>
              </w:rPr>
            </w:pPr>
            <w:r w:rsidRPr="009B7B35">
              <w:rPr>
                <w:rFonts w:cs="Arial"/>
                <w:sz w:val="20"/>
                <w:szCs w:val="20"/>
              </w:rPr>
              <w:t>the amenity of neighbours.</w:t>
            </w:r>
          </w:p>
        </w:tc>
        <w:tc>
          <w:tcPr>
            <w:cnfStyle w:val="000100000000" w:firstRow="0" w:lastRow="0" w:firstColumn="0" w:lastColumn="1" w:oddVBand="0" w:evenVBand="0" w:oddHBand="0" w:evenHBand="0" w:firstRowFirstColumn="0" w:firstRowLastColumn="0" w:lastRowFirstColumn="0" w:lastRowLastColumn="0"/>
            <w:tcW w:w="4678" w:type="dxa"/>
          </w:tcPr>
          <w:p w14:paraId="1E30A96C" w14:textId="77777777" w:rsidR="00BE36FB" w:rsidRPr="009B7B35" w:rsidRDefault="00BE36FB" w:rsidP="001A7107">
            <w:pPr>
              <w:pStyle w:val="TableText"/>
              <w:rPr>
                <w:rFonts w:cs="Arial"/>
                <w:b/>
                <w:bCs/>
                <w:color w:val="auto"/>
              </w:rPr>
            </w:pPr>
            <w:r w:rsidRPr="009B7B35">
              <w:rPr>
                <w:rFonts w:cs="Arial"/>
                <w:b/>
                <w:bCs/>
                <w:color w:val="auto"/>
              </w:rPr>
              <w:t>AO13.1</w:t>
            </w:r>
          </w:p>
          <w:p w14:paraId="4BE06827" w14:textId="77777777" w:rsidR="00BE36FB" w:rsidRPr="009B7B35" w:rsidRDefault="00BE36FB" w:rsidP="001A7107">
            <w:pPr>
              <w:pStyle w:val="TableText"/>
              <w:rPr>
                <w:rFonts w:cs="Arial"/>
              </w:rPr>
            </w:pPr>
            <w:r w:rsidRPr="009B7B35">
              <w:rPr>
                <w:rFonts w:cs="Arial"/>
              </w:rPr>
              <w:t>Development has a maximum GFA of 250m</w:t>
            </w:r>
            <w:r w:rsidRPr="009B7B35">
              <w:rPr>
                <w:rStyle w:val="StyleSuperscript"/>
                <w:rFonts w:cs="Arial"/>
              </w:rPr>
              <w:t>2</w:t>
            </w:r>
            <w:r w:rsidRPr="009B7B35">
              <w:rPr>
                <w:rFonts w:cs="Arial"/>
              </w:rPr>
              <w:t>.</w:t>
            </w:r>
          </w:p>
        </w:tc>
      </w:tr>
      <w:tr w:rsidR="00BE36FB" w:rsidRPr="009B7B35" w14:paraId="6575C2B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Pr>
          <w:p w14:paraId="11C1536F" w14:textId="77777777" w:rsidR="00BE36FB" w:rsidRPr="009B7B35" w:rsidRDefault="00BE36FB" w:rsidP="001A7107">
            <w:pPr>
              <w:rPr>
                <w:rFonts w:cs="Arial"/>
                <w:sz w:val="20"/>
                <w:szCs w:val="20"/>
              </w:rPr>
            </w:pPr>
          </w:p>
        </w:tc>
        <w:tc>
          <w:tcPr>
            <w:cnfStyle w:val="000100000000" w:firstRow="0" w:lastRow="0" w:firstColumn="0" w:lastColumn="1" w:oddVBand="0" w:evenVBand="0" w:oddHBand="0" w:evenHBand="0" w:firstRowFirstColumn="0" w:firstRowLastColumn="0" w:lastRowFirstColumn="0" w:lastRowLastColumn="0"/>
            <w:tcW w:w="4678" w:type="dxa"/>
          </w:tcPr>
          <w:p w14:paraId="40AA7A1A" w14:textId="77777777" w:rsidR="00BE36FB" w:rsidRPr="009B7B35" w:rsidRDefault="00BE36FB" w:rsidP="001A7107">
            <w:pPr>
              <w:pStyle w:val="TableText"/>
              <w:rPr>
                <w:rFonts w:cs="Arial"/>
                <w:b/>
                <w:bCs/>
                <w:color w:val="auto"/>
              </w:rPr>
            </w:pPr>
            <w:r w:rsidRPr="009B7B35">
              <w:rPr>
                <w:rFonts w:cs="Arial"/>
                <w:b/>
                <w:bCs/>
                <w:color w:val="auto"/>
              </w:rPr>
              <w:t>AO13.2</w:t>
            </w:r>
          </w:p>
          <w:p w14:paraId="671B1ACC" w14:textId="77777777" w:rsidR="00BE36FB" w:rsidRPr="009B7B35" w:rsidRDefault="00BE36FB" w:rsidP="001A7107">
            <w:pPr>
              <w:pStyle w:val="TableText"/>
              <w:rPr>
                <w:rFonts w:cs="Arial"/>
              </w:rPr>
            </w:pPr>
            <w:r w:rsidRPr="009B7B35">
              <w:rPr>
                <w:rFonts w:cs="Arial"/>
              </w:rPr>
              <w:t xml:space="preserve">Development that shares a boundary with a residential premises or land within a residential zone must ensure all buildings, car parking, servicing and outdoor storage areas: </w:t>
            </w:r>
          </w:p>
          <w:p w14:paraId="15DFFEC5" w14:textId="77777777" w:rsidR="00BE36FB" w:rsidRPr="009B7B35" w:rsidRDefault="00BE36FB" w:rsidP="00BE36FB">
            <w:pPr>
              <w:pStyle w:val="TableText"/>
              <w:numPr>
                <w:ilvl w:val="0"/>
                <w:numId w:val="501"/>
              </w:numPr>
              <w:rPr>
                <w:rFonts w:cs="Arial"/>
              </w:rPr>
            </w:pPr>
            <w:r w:rsidRPr="009B7B35">
              <w:rPr>
                <w:rFonts w:cs="Arial"/>
              </w:rPr>
              <w:t>are setback a minimum of 15m from that common boundary, and</w:t>
            </w:r>
          </w:p>
          <w:p w14:paraId="4D3D8C4E" w14:textId="77777777" w:rsidR="00BE36FB" w:rsidRPr="009B7B35" w:rsidRDefault="00BE36FB" w:rsidP="00BE36FB">
            <w:pPr>
              <w:pStyle w:val="TableText"/>
              <w:numPr>
                <w:ilvl w:val="0"/>
                <w:numId w:val="501"/>
              </w:numPr>
              <w:rPr>
                <w:rFonts w:cs="Arial"/>
              </w:rPr>
            </w:pPr>
            <w:r w:rsidRPr="009B7B35">
              <w:rPr>
                <w:rFonts w:cs="Arial"/>
              </w:rPr>
              <w:t>include a minimum 1.8m high solid screen fence along that common boundary, or</w:t>
            </w:r>
          </w:p>
          <w:p w14:paraId="4D3C63C7" w14:textId="77777777" w:rsidR="00BE36FB" w:rsidRPr="009B7B35" w:rsidRDefault="00BE36FB" w:rsidP="00BE36FB">
            <w:pPr>
              <w:pStyle w:val="TableText"/>
              <w:numPr>
                <w:ilvl w:val="0"/>
                <w:numId w:val="501"/>
              </w:numPr>
              <w:rPr>
                <w:rFonts w:cs="Arial"/>
              </w:rPr>
            </w:pPr>
            <w:r w:rsidRPr="009B7B35">
              <w:rPr>
                <w:rFonts w:cs="Arial"/>
              </w:rPr>
              <w:t>a landscaped buffer area consisting of dense screen planting of a minimum 3m width along that common boundary.</w:t>
            </w:r>
          </w:p>
          <w:p w14:paraId="20CCA229" w14:textId="77777777" w:rsidR="00BE36FB" w:rsidRPr="009B7B35" w:rsidRDefault="00BE36FB" w:rsidP="001A7107">
            <w:pPr>
              <w:pStyle w:val="Notes"/>
              <w:rPr>
                <w:rFonts w:cs="Arial"/>
                <w:sz w:val="20"/>
                <w:szCs w:val="20"/>
              </w:rPr>
            </w:pPr>
            <w:r w:rsidRPr="009B7B35">
              <w:rPr>
                <w:rFonts w:cs="Arial"/>
                <w:sz w:val="20"/>
                <w:szCs w:val="20"/>
              </w:rPr>
              <w:t>Note–Refer also to the Landscaping code.</w:t>
            </w:r>
          </w:p>
        </w:tc>
      </w:tr>
      <w:tr w:rsidR="00BE36FB" w:rsidRPr="009B7B35" w14:paraId="2B3D3E73" w14:textId="77777777" w:rsidTr="001A710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71BB5BFD" w14:textId="77777777" w:rsidR="00BE36FB" w:rsidRPr="009B7B35" w:rsidRDefault="00BE36FB" w:rsidP="001A7107">
            <w:pPr>
              <w:pStyle w:val="TableText"/>
              <w:rPr>
                <w:rFonts w:cs="Arial"/>
                <w:b/>
                <w:bCs w:val="0"/>
              </w:rPr>
            </w:pPr>
            <w:r w:rsidRPr="009B7B35">
              <w:rPr>
                <w:rFonts w:cs="Arial"/>
                <w:b/>
              </w:rPr>
              <w:t>PO14</w:t>
            </w:r>
          </w:p>
          <w:p w14:paraId="3BC4E8A1" w14:textId="77777777" w:rsidR="00BE36FB" w:rsidRPr="009B7B35" w:rsidRDefault="00BE36FB" w:rsidP="001A7107">
            <w:pPr>
              <w:pStyle w:val="TableText"/>
              <w:rPr>
                <w:rFonts w:cs="Arial"/>
              </w:rPr>
            </w:pPr>
            <w:r w:rsidRPr="009B7B35">
              <w:rPr>
                <w:rFonts w:cs="Arial"/>
              </w:rPr>
              <w:t>Development must not unreasonably affect the amenity of the surrounding area.</w:t>
            </w:r>
          </w:p>
        </w:tc>
        <w:tc>
          <w:tcPr>
            <w:cnfStyle w:val="000100000000" w:firstRow="0" w:lastRow="0" w:firstColumn="0" w:lastColumn="1" w:oddVBand="0" w:evenVBand="0" w:oddHBand="0" w:evenHBand="0" w:firstRowFirstColumn="0" w:firstRowLastColumn="0" w:lastRowFirstColumn="0" w:lastRowLastColumn="0"/>
            <w:tcW w:w="4678" w:type="dxa"/>
          </w:tcPr>
          <w:p w14:paraId="0C1D3BBD" w14:textId="77777777" w:rsidR="00BE36FB" w:rsidRPr="009B7B35" w:rsidRDefault="00BE36FB" w:rsidP="001A7107">
            <w:pPr>
              <w:pStyle w:val="TableText"/>
              <w:rPr>
                <w:rFonts w:cs="Arial"/>
                <w:b/>
                <w:bCs w:val="0"/>
                <w:color w:val="auto"/>
              </w:rPr>
            </w:pPr>
            <w:r w:rsidRPr="009B7B35">
              <w:rPr>
                <w:rFonts w:cs="Arial"/>
                <w:b/>
                <w:color w:val="auto"/>
              </w:rPr>
              <w:t>AO14</w:t>
            </w:r>
          </w:p>
          <w:p w14:paraId="58896D91" w14:textId="77777777" w:rsidR="00BE36FB" w:rsidRPr="009B7B35" w:rsidRDefault="00BE36FB" w:rsidP="001A7107">
            <w:pPr>
              <w:pStyle w:val="TableText"/>
              <w:rPr>
                <w:rFonts w:cs="Arial"/>
              </w:rPr>
            </w:pPr>
            <w:r w:rsidRPr="009B7B35">
              <w:rPr>
                <w:rFonts w:cs="Arial"/>
              </w:rPr>
              <w:t>Hours of operation are limited between 7am and 10pm daily.</w:t>
            </w:r>
          </w:p>
        </w:tc>
      </w:tr>
    </w:tbl>
    <w:p w14:paraId="67919565" w14:textId="77777777" w:rsidR="00BE36FB" w:rsidRPr="009B7B35" w:rsidRDefault="00BE36FB" w:rsidP="001A7107">
      <w:pPr>
        <w:pStyle w:val="NormalIndent"/>
        <w:rPr>
          <w:rFonts w:cs="Arial"/>
          <w:szCs w:val="20"/>
        </w:rPr>
      </w:pPr>
    </w:p>
    <w:p w14:paraId="571D38CE" w14:textId="77777777" w:rsidR="00BE36FB" w:rsidRPr="009B7B35" w:rsidRDefault="00BE36FB" w:rsidP="001A7107">
      <w:pPr>
        <w:pStyle w:val="NormalIndent"/>
        <w:rPr>
          <w:rFonts w:cs="Arial"/>
          <w:szCs w:val="20"/>
        </w:rPr>
      </w:pPr>
    </w:p>
    <w:p w14:paraId="17190D02" w14:textId="77777777" w:rsidR="00BE36FB" w:rsidRPr="009B7B35" w:rsidRDefault="00BE36FB" w:rsidP="001A7107">
      <w:pPr>
        <w:rPr>
          <w:rFonts w:ascii="Arial" w:hAnsi="Arial" w:cs="Arial"/>
          <w:sz w:val="20"/>
          <w:szCs w:val="20"/>
        </w:rPr>
      </w:pPr>
    </w:p>
    <w:p w14:paraId="3714B4DB" w14:textId="77777777" w:rsidR="00BE36FB" w:rsidRPr="009B7B35" w:rsidRDefault="00BE36FB" w:rsidP="001A7107">
      <w:pPr>
        <w:rPr>
          <w:rFonts w:ascii="Arial" w:hAnsi="Arial" w:cs="Arial"/>
          <w:sz w:val="20"/>
          <w:szCs w:val="20"/>
        </w:rPr>
      </w:pPr>
    </w:p>
    <w:p w14:paraId="306B1911" w14:textId="77777777" w:rsidR="00BE36FB" w:rsidRPr="009B7B35" w:rsidRDefault="00BE36FB" w:rsidP="001A7107">
      <w:pPr>
        <w:rPr>
          <w:rFonts w:ascii="Arial" w:hAnsi="Arial" w:cs="Arial"/>
          <w:sz w:val="20"/>
          <w:szCs w:val="20"/>
        </w:rPr>
      </w:pPr>
    </w:p>
    <w:p w14:paraId="17AD5D0C" w14:textId="77777777" w:rsidR="00BE36FB" w:rsidRPr="009B7B35" w:rsidRDefault="00BE36FB" w:rsidP="001A7107">
      <w:pPr>
        <w:rPr>
          <w:rFonts w:ascii="Arial" w:hAnsi="Arial" w:cs="Arial"/>
          <w:sz w:val="20"/>
          <w:szCs w:val="20"/>
        </w:rPr>
      </w:pPr>
    </w:p>
    <w:p w14:paraId="70D74DDA" w14:textId="77777777" w:rsidR="00BE36FB" w:rsidRPr="009B7B35" w:rsidRDefault="00BE36FB" w:rsidP="001A7107">
      <w:pPr>
        <w:rPr>
          <w:rFonts w:ascii="Arial" w:hAnsi="Arial" w:cs="Arial"/>
          <w:sz w:val="20"/>
          <w:szCs w:val="20"/>
        </w:rPr>
      </w:pPr>
    </w:p>
    <w:p w14:paraId="0ED2A2C1" w14:textId="77777777" w:rsidR="00BE36FB" w:rsidRPr="009B7B35" w:rsidRDefault="00BE36FB" w:rsidP="001A7107">
      <w:pPr>
        <w:rPr>
          <w:rFonts w:ascii="Arial" w:hAnsi="Arial" w:cs="Arial"/>
          <w:sz w:val="20"/>
          <w:szCs w:val="20"/>
        </w:rPr>
      </w:pPr>
    </w:p>
    <w:p w14:paraId="41BA71A6" w14:textId="77777777" w:rsidR="00BE36FB" w:rsidRPr="009B7B35" w:rsidRDefault="00BE36FB" w:rsidP="001A7107">
      <w:pPr>
        <w:rPr>
          <w:rFonts w:ascii="Arial" w:hAnsi="Arial" w:cs="Arial"/>
          <w:sz w:val="20"/>
          <w:szCs w:val="20"/>
        </w:rPr>
      </w:pPr>
    </w:p>
    <w:p w14:paraId="28A6B53D" w14:textId="77777777" w:rsidR="00BE36FB" w:rsidRPr="009B7B35" w:rsidRDefault="00BE36FB" w:rsidP="001A7107">
      <w:pPr>
        <w:rPr>
          <w:rFonts w:ascii="Arial" w:hAnsi="Arial" w:cs="Arial"/>
          <w:sz w:val="20"/>
          <w:szCs w:val="20"/>
        </w:rPr>
      </w:pPr>
    </w:p>
    <w:p w14:paraId="1E83A706" w14:textId="77777777" w:rsidR="00BE36FB" w:rsidRPr="009B7B35" w:rsidRDefault="00BE36FB" w:rsidP="006776DA">
      <w:pPr>
        <w:pStyle w:val="Heading3"/>
        <w:keepLines/>
        <w:numPr>
          <w:ilvl w:val="2"/>
          <w:numId w:val="883"/>
        </w:numPr>
        <w:spacing w:before="240"/>
        <w:rPr>
          <w:rFonts w:ascii="Arial" w:hAnsi="Arial"/>
          <w:sz w:val="20"/>
          <w:szCs w:val="20"/>
        </w:rPr>
      </w:pPr>
      <w:bookmarkStart w:id="192" w:name="_Toc205367355"/>
      <w:r w:rsidRPr="009B7B35">
        <w:rPr>
          <w:rFonts w:ascii="Arial" w:hAnsi="Arial"/>
          <w:sz w:val="20"/>
          <w:szCs w:val="20"/>
        </w:rPr>
        <w:t>Environmental management</w:t>
      </w:r>
      <w:bookmarkEnd w:id="192"/>
    </w:p>
    <w:p w14:paraId="3BAB5E0F"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384426DD" w14:textId="77777777"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development where the code is identified as applicable in a table of assessment. When using this code, reference should be made to section 5.3.2 and where applicable, section 5.3.3 located in Part 5.</w:t>
      </w:r>
    </w:p>
    <w:p w14:paraId="2993B5B7"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22AF079F" w14:textId="77777777" w:rsidR="00BE36FB" w:rsidRPr="009B7B35" w:rsidRDefault="00BE36FB" w:rsidP="00BE36FB">
      <w:pPr>
        <w:numPr>
          <w:ilvl w:val="0"/>
          <w:numId w:val="251"/>
        </w:numPr>
        <w:rPr>
          <w:rFonts w:ascii="Arial" w:hAnsi="Arial" w:cs="Arial"/>
          <w:sz w:val="20"/>
          <w:szCs w:val="20"/>
          <w:lang w:eastAsia="en-US"/>
        </w:rPr>
      </w:pPr>
      <w:r w:rsidRPr="009B7B35">
        <w:rPr>
          <w:rFonts w:ascii="Arial" w:hAnsi="Arial" w:cs="Arial"/>
          <w:sz w:val="20"/>
          <w:szCs w:val="20"/>
          <w:lang w:eastAsia="en-US"/>
        </w:rPr>
        <w:t>The purpose of the environmental management zone code is to:</w:t>
      </w:r>
    </w:p>
    <w:p w14:paraId="2FC425F2" w14:textId="77777777"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lang w:eastAsia="en-US"/>
        </w:rPr>
        <w:t>Limit the scale of development in areas of environmental and visual amenity significance such as on the Gladstone harbour islands.</w:t>
      </w:r>
    </w:p>
    <w:p w14:paraId="12F07DD3" w14:textId="77777777"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lang w:eastAsia="en-US"/>
        </w:rPr>
        <w:t>Provide for small scale dwelling houses on lots and limited other low impact tourism and environmental related activities.</w:t>
      </w:r>
    </w:p>
    <w:p w14:paraId="2F17B104" w14:textId="77777777" w:rsidR="00BE36FB" w:rsidRPr="009B7B35" w:rsidRDefault="00BE36FB" w:rsidP="00BE36FB">
      <w:pPr>
        <w:numPr>
          <w:ilvl w:val="0"/>
          <w:numId w:val="251"/>
        </w:numPr>
        <w:rPr>
          <w:rFonts w:ascii="Arial" w:hAnsi="Arial" w:cs="Arial"/>
          <w:sz w:val="20"/>
          <w:szCs w:val="20"/>
          <w:lang w:eastAsia="en-US"/>
        </w:rPr>
      </w:pPr>
      <w:r w:rsidRPr="009B7B35">
        <w:rPr>
          <w:rFonts w:ascii="Arial" w:hAnsi="Arial" w:cs="Arial"/>
          <w:sz w:val="20"/>
          <w:szCs w:val="20"/>
          <w:lang w:eastAsia="en-US"/>
        </w:rPr>
        <w:t>The purpose of the zone will be achieved through the following overall outcomes:</w:t>
      </w:r>
    </w:p>
    <w:p w14:paraId="3AEEA41F" w14:textId="77777777"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lang w:eastAsia="en-US"/>
        </w:rPr>
        <w:t>Low impact, small–scale rural type living opportunities and associated activities are facilitated where they do not adversely impact on any ecological, visual, scenic amenity or coastal character values.</w:t>
      </w:r>
    </w:p>
    <w:p w14:paraId="701AFF8B" w14:textId="77777777"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lang w:eastAsia="en-US"/>
        </w:rPr>
        <w:t>Adverse impacts on natural systems, both on–site and on adjoining land are minimised through the location, design and management of development.</w:t>
      </w:r>
    </w:p>
    <w:p w14:paraId="56CA5FDF" w14:textId="77777777"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lang w:eastAsia="en-US"/>
        </w:rPr>
        <w:t>Adverse impacts from on–site and adjoining sites are minimised or avoided through the location, design and management of development and activities.</w:t>
      </w:r>
    </w:p>
    <w:p w14:paraId="2CCCC8E7" w14:textId="77777777"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lang w:eastAsia="en-US"/>
        </w:rPr>
        <w:t>Development does not fragment regional or local environmental corridors and maintains linkages to areas with other ecological values.</w:t>
      </w:r>
    </w:p>
    <w:p w14:paraId="4744060E" w14:textId="77777777"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rPr>
        <w:t>Development responds to land constraints, including but not limited to bushfire, flooding and minimising changes to natural topography.</w:t>
      </w:r>
    </w:p>
    <w:p w14:paraId="17A93383" w14:textId="77777777" w:rsidR="00BE36FB" w:rsidRPr="009B7B35" w:rsidRDefault="00BE36FB" w:rsidP="00BE36FB">
      <w:pPr>
        <w:numPr>
          <w:ilvl w:val="1"/>
          <w:numId w:val="251"/>
        </w:numPr>
        <w:rPr>
          <w:rFonts w:ascii="Arial" w:hAnsi="Arial" w:cs="Arial"/>
          <w:sz w:val="20"/>
          <w:szCs w:val="20"/>
          <w:lang w:eastAsia="en-US"/>
        </w:rPr>
      </w:pPr>
      <w:r w:rsidRPr="009B7B35">
        <w:rPr>
          <w:rFonts w:ascii="Arial" w:hAnsi="Arial" w:cs="Arial"/>
          <w:sz w:val="20"/>
          <w:szCs w:val="20"/>
          <w:lang w:eastAsia="en-US"/>
        </w:rPr>
        <w:t>Very low intensity development related to the conservation and environmental values of the area may be facilitated where it does not detrimentally affect the environmental values of the area.</w:t>
      </w:r>
    </w:p>
    <w:p w14:paraId="5129D5B2" w14:textId="77777777" w:rsidR="00BE36FB" w:rsidRPr="009B7B35" w:rsidRDefault="00BE36FB" w:rsidP="00BE36FB">
      <w:pPr>
        <w:numPr>
          <w:ilvl w:val="1"/>
          <w:numId w:val="251"/>
        </w:numPr>
        <w:rPr>
          <w:rFonts w:ascii="Arial" w:hAnsi="Arial" w:cs="Arial"/>
          <w:sz w:val="20"/>
          <w:szCs w:val="20"/>
        </w:rPr>
      </w:pPr>
      <w:r w:rsidRPr="009B7B35">
        <w:rPr>
          <w:rFonts w:ascii="Arial" w:hAnsi="Arial" w:cs="Arial"/>
          <w:sz w:val="20"/>
          <w:szCs w:val="20"/>
        </w:rPr>
        <w:t>Further lot reconfiguration does not occur in order to protect areas with high visual and environmental values.</w:t>
      </w:r>
    </w:p>
    <w:p w14:paraId="4CF7F4D7"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5F78BA83" w14:textId="77777777" w:rsidR="00BE36FB" w:rsidRPr="009B7B35" w:rsidRDefault="00BE36FB" w:rsidP="00B5414A">
      <w:pPr>
        <w:pStyle w:val="Heading5"/>
        <w:numPr>
          <w:ilvl w:val="0"/>
          <w:numId w:val="0"/>
        </w:numPr>
        <w:rPr>
          <w:rFonts w:cs="Arial"/>
          <w:szCs w:val="20"/>
        </w:rPr>
      </w:pPr>
      <w:r w:rsidRPr="009B7B35">
        <w:rPr>
          <w:rFonts w:cs="Arial"/>
          <w:szCs w:val="20"/>
          <w:lang w:eastAsia="en-US"/>
        </w:rPr>
        <w:t>Table 6.2.10.3.1—</w:t>
      </w:r>
      <w:r w:rsidRPr="009B7B35">
        <w:rPr>
          <w:rFonts w:cs="Arial"/>
          <w:szCs w:val="20"/>
        </w:rPr>
        <w:t xml:space="preserve"> Accepted development subject to requirements and assessable development</w:t>
      </w:r>
    </w:p>
    <w:tbl>
      <w:tblPr>
        <w:tblStyle w:val="Tablestyle"/>
        <w:tblW w:w="9356" w:type="dxa"/>
        <w:tblLook w:val="01E0" w:firstRow="1" w:lastRow="1" w:firstColumn="1" w:lastColumn="1" w:noHBand="0" w:noVBand="0"/>
      </w:tblPr>
      <w:tblGrid>
        <w:gridCol w:w="4678"/>
        <w:gridCol w:w="4678"/>
      </w:tblGrid>
      <w:tr w:rsidR="00BE36FB" w:rsidRPr="009B7B35" w14:paraId="1952F5B3"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678" w:type="dxa"/>
          </w:tcPr>
          <w:p w14:paraId="35982EB3" w14:textId="77777777" w:rsidR="00BE36FB" w:rsidRPr="009B7B35" w:rsidRDefault="00BE36FB" w:rsidP="001A7107">
            <w:pPr>
              <w:pStyle w:val="TableText"/>
              <w:rPr>
                <w:rFonts w:cs="Arial"/>
                <w:lang w:eastAsia="en-US"/>
              </w:rPr>
            </w:pPr>
            <w:r w:rsidRPr="009B7B35">
              <w:rPr>
                <w:rFonts w:cs="Arial"/>
                <w:lang w:eastAsia="en-US"/>
              </w:rPr>
              <w:t>Performance outcomes</w:t>
            </w:r>
          </w:p>
        </w:tc>
        <w:tc>
          <w:tcPr>
            <w:cnfStyle w:val="000100000000" w:firstRow="0" w:lastRow="0" w:firstColumn="0" w:lastColumn="1" w:oddVBand="0" w:evenVBand="0" w:oddHBand="0" w:evenHBand="0" w:firstRowFirstColumn="0" w:firstRowLastColumn="0" w:lastRowFirstColumn="0" w:lastRowLastColumn="0"/>
            <w:tcW w:w="4678" w:type="dxa"/>
          </w:tcPr>
          <w:p w14:paraId="2A444D37" w14:textId="77777777" w:rsidR="00BE36FB" w:rsidRPr="009B7B35" w:rsidRDefault="00BE36FB" w:rsidP="001A7107">
            <w:pPr>
              <w:pStyle w:val="TableText"/>
              <w:rPr>
                <w:rFonts w:cs="Arial"/>
                <w:lang w:eastAsia="en-US"/>
              </w:rPr>
            </w:pPr>
            <w:r w:rsidRPr="009B7B35">
              <w:rPr>
                <w:rFonts w:cs="Arial"/>
                <w:lang w:eastAsia="en-US"/>
              </w:rPr>
              <w:t>Acceptable outcomes</w:t>
            </w:r>
          </w:p>
        </w:tc>
      </w:tr>
      <w:tr w:rsidR="00BE36FB" w:rsidRPr="009B7B35" w14:paraId="42940F56"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1EA888C7"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Caretaker’s accommodation</w:t>
            </w:r>
          </w:p>
        </w:tc>
      </w:tr>
      <w:tr w:rsidR="00BE36FB" w:rsidRPr="009B7B35" w14:paraId="41611731"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451D364D" w14:textId="77777777" w:rsidR="00BE36FB" w:rsidRPr="009B7B35" w:rsidRDefault="00BE36FB" w:rsidP="001A7107">
            <w:pPr>
              <w:pStyle w:val="TableText"/>
              <w:rPr>
                <w:rFonts w:cs="Arial"/>
                <w:b/>
                <w:bCs/>
                <w:lang w:eastAsia="en-US"/>
              </w:rPr>
            </w:pPr>
            <w:r w:rsidRPr="009B7B35">
              <w:rPr>
                <w:rFonts w:cs="Arial"/>
                <w:b/>
                <w:bCs/>
                <w:lang w:eastAsia="en-US"/>
              </w:rPr>
              <w:t>PO1</w:t>
            </w:r>
          </w:p>
          <w:p w14:paraId="0CB8FC92" w14:textId="77777777" w:rsidR="00BE36FB" w:rsidRPr="009B7B35" w:rsidRDefault="00BE36FB" w:rsidP="001A7107">
            <w:pPr>
              <w:pStyle w:val="TableText"/>
              <w:rPr>
                <w:rFonts w:cs="Arial"/>
                <w:lang w:eastAsia="en-US"/>
              </w:rPr>
            </w:pPr>
            <w:r w:rsidRPr="009B7B35">
              <w:rPr>
                <w:rFonts w:cs="Arial"/>
                <w:lang w:eastAsia="en-US"/>
              </w:rPr>
              <w:t>Development is:</w:t>
            </w:r>
          </w:p>
          <w:p w14:paraId="2FBE234A" w14:textId="77777777" w:rsidR="00BE36FB" w:rsidRPr="009B7B35" w:rsidRDefault="00BE36FB" w:rsidP="00BE36FB">
            <w:pPr>
              <w:pStyle w:val="TableText"/>
              <w:numPr>
                <w:ilvl w:val="0"/>
                <w:numId w:val="191"/>
              </w:numPr>
              <w:rPr>
                <w:rFonts w:cs="Arial"/>
                <w:lang w:eastAsia="en-US"/>
              </w:rPr>
            </w:pPr>
            <w:r w:rsidRPr="009B7B35">
              <w:rPr>
                <w:rFonts w:cs="Arial"/>
                <w:lang w:eastAsia="en-US"/>
              </w:rPr>
              <w:t xml:space="preserve">ancillary to the primary use, and </w:t>
            </w:r>
          </w:p>
          <w:p w14:paraId="2C5C94D7" w14:textId="77777777" w:rsidR="00BE36FB" w:rsidRPr="009B7B35" w:rsidRDefault="00BE36FB" w:rsidP="00BE36FB">
            <w:pPr>
              <w:pStyle w:val="TableText"/>
              <w:numPr>
                <w:ilvl w:val="0"/>
                <w:numId w:val="191"/>
              </w:numPr>
              <w:rPr>
                <w:rFonts w:cs="Arial"/>
                <w:lang w:eastAsia="en-US"/>
              </w:rPr>
            </w:pPr>
            <w:r w:rsidRPr="009B7B35">
              <w:rPr>
                <w:rFonts w:cs="Arial"/>
                <w:lang w:eastAsia="en-US"/>
              </w:rPr>
              <w:t>does not compromise the low density, natural and open space function of the site.</w:t>
            </w:r>
          </w:p>
        </w:tc>
        <w:tc>
          <w:tcPr>
            <w:cnfStyle w:val="000100000000" w:firstRow="0" w:lastRow="0" w:firstColumn="0" w:lastColumn="1" w:oddVBand="0" w:evenVBand="0" w:oddHBand="0" w:evenHBand="0" w:firstRowFirstColumn="0" w:firstRowLastColumn="0" w:lastRowFirstColumn="0" w:lastRowLastColumn="0"/>
            <w:tcW w:w="4678" w:type="dxa"/>
          </w:tcPr>
          <w:p w14:paraId="76C6D677" w14:textId="77777777" w:rsidR="00BE36FB" w:rsidRPr="009B7B35" w:rsidRDefault="00BE36FB" w:rsidP="001A7107">
            <w:pPr>
              <w:pStyle w:val="TableText"/>
              <w:rPr>
                <w:rFonts w:cs="Arial"/>
                <w:b/>
                <w:bCs/>
                <w:color w:val="auto"/>
                <w:lang w:eastAsia="en-US"/>
              </w:rPr>
            </w:pPr>
            <w:r w:rsidRPr="009B7B35">
              <w:rPr>
                <w:rFonts w:cs="Arial"/>
                <w:b/>
                <w:bCs/>
                <w:color w:val="auto"/>
                <w:lang w:eastAsia="en-US"/>
              </w:rPr>
              <w:t>AO1.1</w:t>
            </w:r>
          </w:p>
          <w:p w14:paraId="451E95AE" w14:textId="77777777" w:rsidR="00BE36FB" w:rsidRPr="009B7B35" w:rsidRDefault="00BE36FB" w:rsidP="001A7107">
            <w:pPr>
              <w:pStyle w:val="TableText"/>
              <w:rPr>
                <w:rFonts w:cs="Arial"/>
                <w:lang w:eastAsia="en-US"/>
              </w:rPr>
            </w:pPr>
            <w:r w:rsidRPr="009B7B35">
              <w:rPr>
                <w:rFonts w:cs="Arial"/>
                <w:lang w:eastAsia="en-US"/>
              </w:rPr>
              <w:t xml:space="preserve">No more than 1 caretaker’s accommodation unit is established on the site. </w:t>
            </w:r>
          </w:p>
        </w:tc>
      </w:tr>
      <w:tr w:rsidR="00BE36FB" w:rsidRPr="009B7B35" w14:paraId="35FEA554"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44C38A9E" w14:textId="77777777" w:rsidR="00BE36FB" w:rsidRPr="009B7B35" w:rsidRDefault="00BE36FB" w:rsidP="001A7107">
            <w:pPr>
              <w:pStyle w:val="TableText"/>
              <w:rPr>
                <w:rFonts w:cs="Arial"/>
                <w:lang w:eastAsia="en-US"/>
              </w:rPr>
            </w:pPr>
          </w:p>
        </w:tc>
        <w:tc>
          <w:tcPr>
            <w:cnfStyle w:val="000100000000" w:firstRow="0" w:lastRow="0" w:firstColumn="0" w:lastColumn="1" w:oddVBand="0" w:evenVBand="0" w:oddHBand="0" w:evenHBand="0" w:firstRowFirstColumn="0" w:firstRowLastColumn="0" w:lastRowFirstColumn="0" w:lastRowLastColumn="0"/>
            <w:tcW w:w="4678" w:type="dxa"/>
          </w:tcPr>
          <w:p w14:paraId="1CA9A4BF" w14:textId="77777777" w:rsidR="00BE36FB" w:rsidRPr="009B7B35" w:rsidRDefault="00BE36FB" w:rsidP="001A7107">
            <w:pPr>
              <w:pStyle w:val="TableText"/>
              <w:rPr>
                <w:rFonts w:cs="Arial"/>
                <w:b/>
                <w:bCs/>
                <w:color w:val="auto"/>
                <w:lang w:eastAsia="en-US"/>
              </w:rPr>
            </w:pPr>
            <w:r w:rsidRPr="009B7B35">
              <w:rPr>
                <w:rFonts w:cs="Arial"/>
                <w:b/>
                <w:bCs/>
                <w:color w:val="auto"/>
                <w:lang w:eastAsia="en-US"/>
              </w:rPr>
              <w:t>AO1.2</w:t>
            </w:r>
          </w:p>
          <w:p w14:paraId="3321E298" w14:textId="77777777" w:rsidR="00BE36FB" w:rsidRPr="009B7B35" w:rsidRDefault="00BE36FB" w:rsidP="001A7107">
            <w:pPr>
              <w:pStyle w:val="TableText"/>
              <w:rPr>
                <w:rFonts w:cs="Arial"/>
                <w:lang w:eastAsia="en-US"/>
              </w:rPr>
            </w:pPr>
            <w:r w:rsidRPr="009B7B35">
              <w:rPr>
                <w:rFonts w:cs="Arial"/>
                <w:lang w:eastAsia="en-US"/>
              </w:rPr>
              <w:t>Caretaker's accommodation is a maximum of 100m</w:t>
            </w:r>
            <w:r w:rsidRPr="009B7B35">
              <w:rPr>
                <w:rStyle w:val="StyleSuperscript"/>
                <w:rFonts w:cs="Arial"/>
              </w:rPr>
              <w:t>2</w:t>
            </w:r>
            <w:r w:rsidRPr="009B7B35">
              <w:rPr>
                <w:rFonts w:cs="Arial"/>
                <w:lang w:eastAsia="en-US"/>
              </w:rPr>
              <w:t xml:space="preserve"> GFA.</w:t>
            </w:r>
          </w:p>
        </w:tc>
      </w:tr>
      <w:tr w:rsidR="00BE36FB" w:rsidRPr="009B7B35" w14:paraId="3A5C8A5C"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051965A1"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 xml:space="preserve">Built form </w:t>
            </w:r>
            <w:r w:rsidRPr="009B7B35">
              <w:rPr>
                <w:rFonts w:ascii="Arial" w:hAnsi="Arial" w:cs="Arial"/>
                <w:szCs w:val="20"/>
              </w:rPr>
              <w:t>(if involving building work)</w:t>
            </w:r>
          </w:p>
        </w:tc>
      </w:tr>
      <w:tr w:rsidR="00BE36FB" w:rsidRPr="009B7B35" w14:paraId="15E8ED91"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0B34C018" w14:textId="77777777" w:rsidR="00BE36FB" w:rsidRPr="009B7B35" w:rsidRDefault="00BE36FB" w:rsidP="001A7107">
            <w:pPr>
              <w:pStyle w:val="TableText"/>
              <w:rPr>
                <w:rFonts w:cs="Arial"/>
                <w:b/>
                <w:bCs/>
                <w:lang w:eastAsia="en-US"/>
              </w:rPr>
            </w:pPr>
            <w:r w:rsidRPr="009B7B35">
              <w:rPr>
                <w:rFonts w:cs="Arial"/>
                <w:b/>
                <w:bCs/>
                <w:lang w:eastAsia="en-US"/>
              </w:rPr>
              <w:t>PO2</w:t>
            </w:r>
          </w:p>
          <w:p w14:paraId="01BA15F0" w14:textId="77777777" w:rsidR="00BE36FB" w:rsidRPr="009B7B35" w:rsidRDefault="00BE36FB" w:rsidP="001A7107">
            <w:pPr>
              <w:pStyle w:val="TableText"/>
              <w:rPr>
                <w:rFonts w:cs="Arial"/>
                <w:lang w:eastAsia="en-US"/>
              </w:rPr>
            </w:pPr>
            <w:r w:rsidRPr="009B7B35">
              <w:rPr>
                <w:rFonts w:cs="Arial"/>
                <w:lang w:eastAsia="en-US"/>
              </w:rPr>
              <w:t>Buildings and other structures:</w:t>
            </w:r>
          </w:p>
          <w:p w14:paraId="5AE85B06" w14:textId="77777777" w:rsidR="00BE36FB" w:rsidRPr="009B7B35" w:rsidRDefault="00BE36FB" w:rsidP="00BE36FB">
            <w:pPr>
              <w:pStyle w:val="TableText"/>
              <w:numPr>
                <w:ilvl w:val="0"/>
                <w:numId w:val="189"/>
              </w:numPr>
              <w:ind w:left="567" w:hanging="567"/>
              <w:rPr>
                <w:rFonts w:cs="Arial"/>
                <w:lang w:eastAsia="en-US"/>
              </w:rPr>
            </w:pPr>
            <w:r w:rsidRPr="009B7B35">
              <w:rPr>
                <w:rFonts w:cs="Arial"/>
                <w:lang w:eastAsia="en-US"/>
              </w:rPr>
              <w:t xml:space="preserve">are low rise, and </w:t>
            </w:r>
          </w:p>
          <w:p w14:paraId="1EF8CFEC" w14:textId="77777777" w:rsidR="00BE36FB" w:rsidRPr="009B7B35" w:rsidRDefault="00BE36FB" w:rsidP="00BE36FB">
            <w:pPr>
              <w:pStyle w:val="TableText"/>
              <w:numPr>
                <w:ilvl w:val="0"/>
                <w:numId w:val="189"/>
              </w:numPr>
              <w:ind w:left="567" w:hanging="567"/>
              <w:rPr>
                <w:rFonts w:cs="Arial"/>
                <w:lang w:eastAsia="en-US"/>
              </w:rPr>
            </w:pPr>
            <w:r w:rsidRPr="009B7B35">
              <w:rPr>
                <w:rFonts w:cs="Arial"/>
                <w:lang w:eastAsia="en-US"/>
              </w:rPr>
              <w:t>reflect the low density, natural and open space character of the area.</w:t>
            </w:r>
          </w:p>
        </w:tc>
        <w:tc>
          <w:tcPr>
            <w:cnfStyle w:val="000100000000" w:firstRow="0" w:lastRow="0" w:firstColumn="0" w:lastColumn="1" w:oddVBand="0" w:evenVBand="0" w:oddHBand="0" w:evenHBand="0" w:firstRowFirstColumn="0" w:firstRowLastColumn="0" w:lastRowFirstColumn="0" w:lastRowLastColumn="0"/>
            <w:tcW w:w="4678" w:type="dxa"/>
          </w:tcPr>
          <w:p w14:paraId="4A4D59F0" w14:textId="77777777" w:rsidR="00BE36FB" w:rsidRPr="009B7B35" w:rsidRDefault="00BE36FB" w:rsidP="001A7107">
            <w:pPr>
              <w:pStyle w:val="TableText"/>
              <w:rPr>
                <w:rFonts w:cs="Arial"/>
                <w:b/>
                <w:bCs/>
                <w:color w:val="auto"/>
                <w:lang w:eastAsia="en-US"/>
              </w:rPr>
            </w:pPr>
            <w:r w:rsidRPr="009B7B35">
              <w:rPr>
                <w:rFonts w:cs="Arial"/>
                <w:b/>
                <w:bCs/>
                <w:color w:val="auto"/>
                <w:lang w:eastAsia="en-US"/>
              </w:rPr>
              <w:t>AO2.1</w:t>
            </w:r>
          </w:p>
          <w:p w14:paraId="148037CA" w14:textId="77777777" w:rsidR="00BE36FB" w:rsidRPr="009B7B35" w:rsidRDefault="00BE36FB" w:rsidP="001A7107">
            <w:pPr>
              <w:pStyle w:val="TableText"/>
              <w:rPr>
                <w:rFonts w:cs="Arial"/>
                <w:lang w:eastAsia="en-US"/>
              </w:rPr>
            </w:pPr>
            <w:r w:rsidRPr="009B7B35">
              <w:rPr>
                <w:rFonts w:cs="Arial"/>
                <w:lang w:eastAsia="en-US"/>
              </w:rPr>
              <w:t>Building height does not exceed 8.5m.</w:t>
            </w:r>
          </w:p>
        </w:tc>
      </w:tr>
      <w:tr w:rsidR="00BE36FB" w:rsidRPr="009B7B35" w14:paraId="1A5A3E50"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23EE9B76" w14:textId="77777777" w:rsidR="00BE36FB" w:rsidRPr="009B7B35" w:rsidRDefault="00BE36FB" w:rsidP="001A7107">
            <w:pPr>
              <w:pStyle w:val="TableText"/>
              <w:rPr>
                <w:rFonts w:cs="Arial"/>
                <w:lang w:eastAsia="en-US"/>
              </w:rPr>
            </w:pPr>
          </w:p>
        </w:tc>
        <w:tc>
          <w:tcPr>
            <w:cnfStyle w:val="000100000000" w:firstRow="0" w:lastRow="0" w:firstColumn="0" w:lastColumn="1" w:oddVBand="0" w:evenVBand="0" w:oddHBand="0" w:evenHBand="0" w:firstRowFirstColumn="0" w:firstRowLastColumn="0" w:lastRowFirstColumn="0" w:lastRowLastColumn="0"/>
            <w:tcW w:w="4678" w:type="dxa"/>
          </w:tcPr>
          <w:p w14:paraId="13CEB1CC" w14:textId="77777777" w:rsidR="00BE36FB" w:rsidRPr="009B7B35" w:rsidRDefault="00BE36FB" w:rsidP="001A7107">
            <w:pPr>
              <w:pStyle w:val="TableText"/>
              <w:rPr>
                <w:rFonts w:cs="Arial"/>
                <w:b/>
                <w:bCs/>
                <w:color w:val="auto"/>
                <w:lang w:eastAsia="en-US"/>
              </w:rPr>
            </w:pPr>
            <w:r w:rsidRPr="009B7B35">
              <w:rPr>
                <w:rFonts w:cs="Arial"/>
                <w:b/>
                <w:bCs/>
                <w:color w:val="auto"/>
                <w:lang w:eastAsia="en-US"/>
              </w:rPr>
              <w:t>AO2.2</w:t>
            </w:r>
          </w:p>
          <w:p w14:paraId="7B878DDC" w14:textId="77777777" w:rsidR="00BE36FB" w:rsidRPr="009B7B35" w:rsidRDefault="00BE36FB" w:rsidP="001A7107">
            <w:pPr>
              <w:pStyle w:val="TableText"/>
              <w:rPr>
                <w:rFonts w:cs="Arial"/>
                <w:lang w:eastAsia="en-US"/>
              </w:rPr>
            </w:pPr>
            <w:r w:rsidRPr="009B7B35">
              <w:rPr>
                <w:rFonts w:cs="Arial"/>
                <w:lang w:eastAsia="en-US"/>
              </w:rPr>
              <w:t>The maximum combined site cover of buildings and structures does not exceed the lesser of 10% of the total site area or 500m</w:t>
            </w:r>
            <w:r w:rsidRPr="009B7B35">
              <w:rPr>
                <w:rStyle w:val="StyleSuperscript"/>
                <w:rFonts w:cs="Arial"/>
              </w:rPr>
              <w:t>2</w:t>
            </w:r>
            <w:r w:rsidRPr="009B7B35">
              <w:rPr>
                <w:rFonts w:cs="Arial"/>
                <w:lang w:eastAsia="en-US"/>
              </w:rPr>
              <w:t>.</w:t>
            </w:r>
          </w:p>
        </w:tc>
      </w:tr>
      <w:tr w:rsidR="00BE36FB" w:rsidRPr="009B7B35" w14:paraId="339AAAF8"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1315539D" w14:textId="77777777" w:rsidR="00BE36FB" w:rsidRPr="009B7B35" w:rsidRDefault="00BE36FB" w:rsidP="001A7107">
            <w:pPr>
              <w:pStyle w:val="TableText"/>
              <w:rPr>
                <w:rFonts w:cs="Arial"/>
                <w:lang w:eastAsia="en-US"/>
              </w:rPr>
            </w:pPr>
          </w:p>
        </w:tc>
        <w:tc>
          <w:tcPr>
            <w:cnfStyle w:val="000100000000" w:firstRow="0" w:lastRow="0" w:firstColumn="0" w:lastColumn="1" w:oddVBand="0" w:evenVBand="0" w:oddHBand="0" w:evenHBand="0" w:firstRowFirstColumn="0" w:firstRowLastColumn="0" w:lastRowFirstColumn="0" w:lastRowLastColumn="0"/>
            <w:tcW w:w="4678" w:type="dxa"/>
          </w:tcPr>
          <w:p w14:paraId="34356BA1" w14:textId="77777777" w:rsidR="00BE36FB" w:rsidRPr="009B7B35" w:rsidRDefault="00BE36FB" w:rsidP="001A7107">
            <w:pPr>
              <w:pStyle w:val="TableText"/>
              <w:rPr>
                <w:rFonts w:cs="Arial"/>
                <w:b/>
                <w:bCs/>
                <w:color w:val="auto"/>
                <w:lang w:eastAsia="en-US"/>
              </w:rPr>
            </w:pPr>
            <w:r w:rsidRPr="009B7B35">
              <w:rPr>
                <w:rFonts w:cs="Arial"/>
                <w:b/>
                <w:bCs/>
                <w:color w:val="auto"/>
                <w:lang w:eastAsia="en-US"/>
              </w:rPr>
              <w:t>AO2.3</w:t>
            </w:r>
          </w:p>
          <w:p w14:paraId="006EBECF" w14:textId="77777777" w:rsidR="00BE36FB" w:rsidRPr="009B7B35" w:rsidRDefault="00BE36FB" w:rsidP="001A7107">
            <w:pPr>
              <w:pStyle w:val="TableText"/>
              <w:rPr>
                <w:rFonts w:cs="Arial"/>
                <w:lang w:eastAsia="en-US"/>
              </w:rPr>
            </w:pPr>
            <w:r w:rsidRPr="009B7B35">
              <w:rPr>
                <w:rFonts w:cs="Arial"/>
                <w:lang w:eastAsia="en-US"/>
              </w:rPr>
              <w:t>Non–residential buildings have a maximum combined GFA of 300m</w:t>
            </w:r>
            <w:r w:rsidRPr="009B7B35">
              <w:rPr>
                <w:rStyle w:val="StyleSuperscript"/>
                <w:rFonts w:cs="Arial"/>
              </w:rPr>
              <w:t>2</w:t>
            </w:r>
            <w:r w:rsidRPr="009B7B35">
              <w:rPr>
                <w:rFonts w:cs="Arial"/>
                <w:lang w:eastAsia="en-US"/>
              </w:rPr>
              <w:t>.</w:t>
            </w:r>
          </w:p>
        </w:tc>
      </w:tr>
      <w:tr w:rsidR="00BE36FB" w:rsidRPr="009B7B35" w14:paraId="72D63DF6"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4F9DC688"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Residential density</w:t>
            </w:r>
          </w:p>
        </w:tc>
      </w:tr>
      <w:tr w:rsidR="00BE36FB" w:rsidRPr="009B7B35" w14:paraId="2ADF405A"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2013F3C4" w14:textId="77777777" w:rsidR="00BE36FB" w:rsidRPr="009B7B35" w:rsidRDefault="00BE36FB" w:rsidP="001A7107">
            <w:pPr>
              <w:pStyle w:val="TableText"/>
              <w:rPr>
                <w:rFonts w:cs="Arial"/>
                <w:b/>
                <w:bCs/>
                <w:lang w:eastAsia="en-US"/>
              </w:rPr>
            </w:pPr>
            <w:r w:rsidRPr="009B7B35">
              <w:rPr>
                <w:rFonts w:cs="Arial"/>
                <w:b/>
                <w:bCs/>
                <w:lang w:eastAsia="en-US"/>
              </w:rPr>
              <w:t>PO3</w:t>
            </w:r>
          </w:p>
          <w:p w14:paraId="387B612C" w14:textId="77777777" w:rsidR="00BE36FB" w:rsidRPr="009B7B35" w:rsidRDefault="00BE36FB" w:rsidP="001A7107">
            <w:pPr>
              <w:pStyle w:val="TableText"/>
              <w:rPr>
                <w:rFonts w:cs="Arial"/>
                <w:lang w:eastAsia="en-US"/>
              </w:rPr>
            </w:pPr>
            <w:r w:rsidRPr="009B7B35">
              <w:rPr>
                <w:rFonts w:cs="Arial"/>
                <w:lang w:eastAsia="en-US"/>
              </w:rPr>
              <w:t>Residential density reflects the low intensity and environmental character of the locality.</w:t>
            </w:r>
          </w:p>
        </w:tc>
        <w:tc>
          <w:tcPr>
            <w:cnfStyle w:val="000100000000" w:firstRow="0" w:lastRow="0" w:firstColumn="0" w:lastColumn="1" w:oddVBand="0" w:evenVBand="0" w:oddHBand="0" w:evenHBand="0" w:firstRowFirstColumn="0" w:firstRowLastColumn="0" w:lastRowFirstColumn="0" w:lastRowLastColumn="0"/>
            <w:tcW w:w="4678" w:type="dxa"/>
          </w:tcPr>
          <w:p w14:paraId="704BACF3" w14:textId="77777777" w:rsidR="00BE36FB" w:rsidRPr="009B7B35" w:rsidRDefault="00BE36FB" w:rsidP="001A7107">
            <w:pPr>
              <w:pStyle w:val="TableText"/>
              <w:rPr>
                <w:rFonts w:cs="Arial"/>
                <w:b/>
                <w:bCs/>
                <w:color w:val="auto"/>
                <w:lang w:eastAsia="en-US"/>
              </w:rPr>
            </w:pPr>
            <w:r w:rsidRPr="009B7B35">
              <w:rPr>
                <w:rFonts w:cs="Arial"/>
                <w:b/>
                <w:bCs/>
                <w:color w:val="auto"/>
                <w:lang w:eastAsia="en-US"/>
              </w:rPr>
              <w:t>AO3.1</w:t>
            </w:r>
          </w:p>
          <w:p w14:paraId="2236C98F" w14:textId="77777777" w:rsidR="00BE36FB" w:rsidRPr="009B7B35" w:rsidRDefault="00BE36FB" w:rsidP="001A7107">
            <w:pPr>
              <w:pStyle w:val="TableText"/>
              <w:rPr>
                <w:rFonts w:cs="Arial"/>
                <w:lang w:eastAsia="en-US"/>
              </w:rPr>
            </w:pPr>
            <w:r w:rsidRPr="009B7B35">
              <w:rPr>
                <w:rFonts w:cs="Arial"/>
                <w:lang w:eastAsia="en-US"/>
              </w:rPr>
              <w:t>Residential density is limited to one dwelling house per allotment (including one secondary dwelling).</w:t>
            </w:r>
          </w:p>
        </w:tc>
      </w:tr>
      <w:tr w:rsidR="00BE36FB" w:rsidRPr="009B7B35" w14:paraId="59C9AEBD"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51B48886" w14:textId="77777777" w:rsidR="00BE36FB" w:rsidRPr="009B7B35" w:rsidRDefault="00BE36FB" w:rsidP="001A7107">
            <w:pPr>
              <w:pStyle w:val="TableText"/>
              <w:rPr>
                <w:rFonts w:cs="Arial"/>
                <w:lang w:eastAsia="en-US"/>
              </w:rPr>
            </w:pPr>
          </w:p>
        </w:tc>
        <w:tc>
          <w:tcPr>
            <w:cnfStyle w:val="000100000000" w:firstRow="0" w:lastRow="0" w:firstColumn="0" w:lastColumn="1" w:oddVBand="0" w:evenVBand="0" w:oddHBand="0" w:evenHBand="0" w:firstRowFirstColumn="0" w:firstRowLastColumn="0" w:lastRowFirstColumn="0" w:lastRowLastColumn="0"/>
            <w:tcW w:w="4678" w:type="dxa"/>
          </w:tcPr>
          <w:p w14:paraId="15E64FA1"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AO3.2</w:t>
            </w:r>
          </w:p>
          <w:p w14:paraId="3F8989E3" w14:textId="77777777" w:rsidR="00BE36FB" w:rsidRPr="009B7B35" w:rsidRDefault="00BE36FB" w:rsidP="001A7107">
            <w:pPr>
              <w:pStyle w:val="TableText"/>
              <w:rPr>
                <w:rFonts w:cs="Arial"/>
                <w:lang w:eastAsia="en-US"/>
              </w:rPr>
            </w:pPr>
            <w:r w:rsidRPr="009B7B35">
              <w:rPr>
                <w:rFonts w:cs="Arial"/>
                <w:lang w:eastAsia="en-US"/>
              </w:rPr>
              <w:t xml:space="preserve">Where a dwelling house, any secondary dwelling is: </w:t>
            </w:r>
          </w:p>
          <w:p w14:paraId="1A7B9E5C" w14:textId="77777777" w:rsidR="00BE36FB" w:rsidRPr="009B7B35" w:rsidRDefault="00BE36FB" w:rsidP="00BE36FB">
            <w:pPr>
              <w:pStyle w:val="TableText"/>
              <w:numPr>
                <w:ilvl w:val="0"/>
                <w:numId w:val="412"/>
              </w:numPr>
              <w:rPr>
                <w:rFonts w:cs="Arial"/>
              </w:rPr>
            </w:pPr>
            <w:r w:rsidRPr="009B7B35">
              <w:rPr>
                <w:rFonts w:cs="Arial"/>
              </w:rPr>
              <w:t>a maximum of 80m</w:t>
            </w:r>
            <w:r w:rsidRPr="009B7B35">
              <w:rPr>
                <w:rStyle w:val="StyleSuperscript"/>
                <w:rFonts w:cs="Arial"/>
              </w:rPr>
              <w:t>2</w:t>
            </w:r>
            <w:r w:rsidRPr="009B7B35">
              <w:rPr>
                <w:rFonts w:cs="Arial"/>
              </w:rPr>
              <w:t xml:space="preserve"> GFA</w:t>
            </w:r>
          </w:p>
          <w:p w14:paraId="1377018C" w14:textId="77777777" w:rsidR="00BE36FB" w:rsidRPr="009B7B35" w:rsidRDefault="00BE36FB" w:rsidP="00BE36FB">
            <w:pPr>
              <w:pStyle w:val="TableText"/>
              <w:numPr>
                <w:ilvl w:val="0"/>
                <w:numId w:val="412"/>
              </w:numPr>
              <w:rPr>
                <w:rFonts w:cs="Arial"/>
              </w:rPr>
            </w:pPr>
            <w:r w:rsidRPr="009B7B35">
              <w:rPr>
                <w:rFonts w:cs="Arial"/>
              </w:rPr>
              <w:t>located within 50m of the main building</w:t>
            </w:r>
          </w:p>
          <w:p w14:paraId="57830E55" w14:textId="77777777" w:rsidR="00BE36FB" w:rsidRPr="009B7B35" w:rsidRDefault="00BE36FB" w:rsidP="001A7107">
            <w:pPr>
              <w:ind w:left="567" w:hanging="567"/>
              <w:rPr>
                <w:rFonts w:cs="Arial"/>
                <w:sz w:val="20"/>
                <w:szCs w:val="20"/>
                <w:lang w:eastAsia="en-US"/>
              </w:rPr>
            </w:pPr>
            <w:r w:rsidRPr="009B7B35">
              <w:rPr>
                <w:rFonts w:cs="Arial"/>
                <w:sz w:val="20"/>
                <w:szCs w:val="20"/>
              </w:rPr>
              <w:t>(c)</w:t>
            </w:r>
            <w:r w:rsidRPr="009B7B35">
              <w:rPr>
                <w:rFonts w:cs="Arial"/>
                <w:sz w:val="20"/>
                <w:szCs w:val="20"/>
              </w:rPr>
              <w:tab/>
              <w:t>linked to the main building by a defined footpath in the most direct route possible.</w:t>
            </w:r>
          </w:p>
        </w:tc>
      </w:tr>
      <w:tr w:rsidR="00BE36FB" w:rsidRPr="009B7B35" w14:paraId="50662C64"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auto"/>
          </w:tcPr>
          <w:p w14:paraId="29417D07"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For all assessable development</w:t>
            </w:r>
          </w:p>
        </w:tc>
      </w:tr>
      <w:tr w:rsidR="00BE36FB" w:rsidRPr="009B7B35" w14:paraId="786F0FE0"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7AC1D0AA"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Land use</w:t>
            </w:r>
          </w:p>
        </w:tc>
      </w:tr>
      <w:tr w:rsidR="00BE36FB" w:rsidRPr="009B7B35" w14:paraId="6E658AA7"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57C109F9" w14:textId="77777777" w:rsidR="00BE36FB" w:rsidRPr="009B7B35" w:rsidRDefault="00BE36FB" w:rsidP="001A7107">
            <w:pPr>
              <w:pStyle w:val="TableText"/>
              <w:rPr>
                <w:rFonts w:cs="Arial"/>
                <w:b/>
                <w:bCs/>
                <w:lang w:eastAsia="en-US"/>
              </w:rPr>
            </w:pPr>
            <w:r w:rsidRPr="009B7B35">
              <w:rPr>
                <w:rFonts w:cs="Arial"/>
                <w:b/>
                <w:bCs/>
                <w:lang w:eastAsia="en-US"/>
              </w:rPr>
              <w:t>PO4</w:t>
            </w:r>
          </w:p>
          <w:p w14:paraId="23A86A34" w14:textId="77777777" w:rsidR="00BE36FB" w:rsidRPr="009B7B35" w:rsidRDefault="00BE36FB" w:rsidP="001A7107">
            <w:pPr>
              <w:pStyle w:val="TableText"/>
              <w:rPr>
                <w:rFonts w:cs="Arial"/>
                <w:lang w:eastAsia="en-US"/>
              </w:rPr>
            </w:pPr>
            <w:r w:rsidRPr="009B7B35">
              <w:rPr>
                <w:rFonts w:cs="Arial"/>
                <w:lang w:eastAsia="en-US"/>
              </w:rPr>
              <w:t>Development:</w:t>
            </w:r>
          </w:p>
          <w:p w14:paraId="0EFF1114" w14:textId="77777777" w:rsidR="00BE36FB" w:rsidRPr="009B7B35" w:rsidRDefault="00BE36FB" w:rsidP="00BE36FB">
            <w:pPr>
              <w:pStyle w:val="TableText"/>
              <w:numPr>
                <w:ilvl w:val="0"/>
                <w:numId w:val="192"/>
              </w:numPr>
              <w:rPr>
                <w:rFonts w:cs="Arial"/>
                <w:lang w:eastAsia="en-US"/>
              </w:rPr>
            </w:pPr>
            <w:r w:rsidRPr="009B7B35">
              <w:rPr>
                <w:rFonts w:cs="Arial"/>
                <w:lang w:eastAsia="en-US"/>
              </w:rPr>
              <w:t>is consistent with the environmental character of the locality, and</w:t>
            </w:r>
          </w:p>
          <w:p w14:paraId="6A3EEAFA" w14:textId="77777777" w:rsidR="00BE36FB" w:rsidRPr="009B7B35" w:rsidRDefault="00BE36FB" w:rsidP="00BE36FB">
            <w:pPr>
              <w:pStyle w:val="TableText"/>
              <w:numPr>
                <w:ilvl w:val="0"/>
                <w:numId w:val="192"/>
              </w:numPr>
              <w:rPr>
                <w:rFonts w:cs="Arial"/>
                <w:lang w:eastAsia="en-US"/>
              </w:rPr>
            </w:pPr>
            <w:r w:rsidRPr="009B7B35">
              <w:rPr>
                <w:rFonts w:cs="Arial"/>
                <w:lang w:eastAsia="en-US"/>
              </w:rPr>
              <w:t>protects rural, natural and scenic values of the locality.</w:t>
            </w:r>
          </w:p>
        </w:tc>
        <w:tc>
          <w:tcPr>
            <w:cnfStyle w:val="000100000000" w:firstRow="0" w:lastRow="0" w:firstColumn="0" w:lastColumn="1" w:oddVBand="0" w:evenVBand="0" w:oddHBand="0" w:evenHBand="0" w:firstRowFirstColumn="0" w:firstRowLastColumn="0" w:lastRowFirstColumn="0" w:lastRowLastColumn="0"/>
            <w:tcW w:w="4678" w:type="dxa"/>
          </w:tcPr>
          <w:p w14:paraId="0AC97A4D" w14:textId="77777777" w:rsidR="00BE36FB" w:rsidRPr="009B7B35" w:rsidRDefault="00BE36FB" w:rsidP="001A7107">
            <w:pPr>
              <w:pStyle w:val="TableText"/>
              <w:rPr>
                <w:rFonts w:cs="Arial"/>
                <w:lang w:eastAsia="en-US"/>
              </w:rPr>
            </w:pPr>
            <w:r w:rsidRPr="009B7B35">
              <w:rPr>
                <w:rFonts w:cs="Arial"/>
                <w:lang w:eastAsia="en-US"/>
              </w:rPr>
              <w:t>No acceptable outcomes are nominated.</w:t>
            </w:r>
          </w:p>
        </w:tc>
      </w:tr>
      <w:tr w:rsidR="00BE36FB" w:rsidRPr="009B7B35" w14:paraId="32AC9C51"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488508BA"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Effects of development</w:t>
            </w:r>
          </w:p>
        </w:tc>
      </w:tr>
      <w:tr w:rsidR="00BE36FB" w:rsidRPr="009B7B35" w14:paraId="0B9E343A"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22F5939D" w14:textId="77777777" w:rsidR="00BE36FB" w:rsidRPr="009B7B35" w:rsidRDefault="00BE36FB" w:rsidP="001A7107">
            <w:pPr>
              <w:pStyle w:val="TableText"/>
              <w:rPr>
                <w:rFonts w:cs="Arial"/>
                <w:b/>
                <w:lang w:eastAsia="en-US"/>
              </w:rPr>
            </w:pPr>
            <w:r w:rsidRPr="009B7B35">
              <w:rPr>
                <w:rFonts w:cs="Arial"/>
                <w:b/>
                <w:lang w:eastAsia="en-US"/>
              </w:rPr>
              <w:t>PO5</w:t>
            </w:r>
          </w:p>
          <w:p w14:paraId="422CACC0" w14:textId="77777777" w:rsidR="00BE36FB" w:rsidRPr="009B7B35" w:rsidRDefault="00BE36FB" w:rsidP="001A7107">
            <w:pPr>
              <w:pStyle w:val="TableText"/>
              <w:rPr>
                <w:rFonts w:cs="Arial"/>
                <w:lang w:eastAsia="en-US"/>
              </w:rPr>
            </w:pPr>
            <w:r w:rsidRPr="009B7B35">
              <w:rPr>
                <w:rFonts w:cs="Arial"/>
                <w:lang w:eastAsia="en-US"/>
              </w:rPr>
              <w:t>Development responds sensitively to on–site and surrounding topography, drainage patterns, coastal foreshores, waterways, utility services, access, vegetation and adjoining land use, such that:</w:t>
            </w:r>
          </w:p>
          <w:p w14:paraId="46EC1CDD" w14:textId="77777777" w:rsidR="00BE36FB" w:rsidRPr="009B7B35" w:rsidRDefault="00BE36FB" w:rsidP="00BE36FB">
            <w:pPr>
              <w:pStyle w:val="TableText"/>
              <w:numPr>
                <w:ilvl w:val="0"/>
                <w:numId w:val="193"/>
              </w:numPr>
              <w:rPr>
                <w:rFonts w:cs="Arial"/>
                <w:lang w:eastAsia="en-US"/>
              </w:rPr>
            </w:pPr>
            <w:r w:rsidRPr="009B7B35">
              <w:rPr>
                <w:rFonts w:cs="Arial"/>
                <w:lang w:eastAsia="en-US"/>
              </w:rPr>
              <w:t>any hazards to people or property are avoided</w:t>
            </w:r>
          </w:p>
          <w:p w14:paraId="6B1C1F54" w14:textId="77777777" w:rsidR="00BE36FB" w:rsidRPr="009B7B35" w:rsidRDefault="00BE36FB" w:rsidP="00BE36FB">
            <w:pPr>
              <w:pStyle w:val="TableText"/>
              <w:numPr>
                <w:ilvl w:val="0"/>
                <w:numId w:val="193"/>
              </w:numPr>
              <w:rPr>
                <w:rFonts w:cs="Arial"/>
                <w:lang w:eastAsia="en-US"/>
              </w:rPr>
            </w:pPr>
            <w:r w:rsidRPr="009B7B35">
              <w:rPr>
                <w:rFonts w:cs="Arial"/>
                <w:lang w:eastAsia="en-US"/>
              </w:rPr>
              <w:t>any earthworks are minimised</w:t>
            </w:r>
          </w:p>
          <w:p w14:paraId="30EAB993" w14:textId="77777777" w:rsidR="00BE36FB" w:rsidRPr="009B7B35" w:rsidRDefault="00BE36FB" w:rsidP="00BE36FB">
            <w:pPr>
              <w:pStyle w:val="TableText"/>
              <w:numPr>
                <w:ilvl w:val="0"/>
                <w:numId w:val="193"/>
              </w:numPr>
              <w:rPr>
                <w:rFonts w:cs="Arial"/>
                <w:lang w:eastAsia="en-US"/>
              </w:rPr>
            </w:pPr>
            <w:r w:rsidRPr="009B7B35">
              <w:rPr>
                <w:rFonts w:cs="Arial"/>
                <w:lang w:eastAsia="en-US"/>
              </w:rPr>
              <w:t>the retention of natural drainage line is maximised</w:t>
            </w:r>
          </w:p>
          <w:p w14:paraId="37DE1126" w14:textId="77777777" w:rsidR="00BE36FB" w:rsidRPr="009B7B35" w:rsidRDefault="00BE36FB" w:rsidP="00BE36FB">
            <w:pPr>
              <w:pStyle w:val="TableText"/>
              <w:numPr>
                <w:ilvl w:val="0"/>
                <w:numId w:val="193"/>
              </w:numPr>
              <w:rPr>
                <w:rFonts w:cs="Arial"/>
                <w:lang w:eastAsia="en-US"/>
              </w:rPr>
            </w:pPr>
            <w:r w:rsidRPr="009B7B35">
              <w:rPr>
                <w:rFonts w:cs="Arial"/>
                <w:lang w:eastAsia="en-US"/>
              </w:rPr>
              <w:t>the retention of existing vegetation is maximised</w:t>
            </w:r>
          </w:p>
          <w:p w14:paraId="5D44A2FD" w14:textId="77777777" w:rsidR="00BE36FB" w:rsidRPr="009B7B35" w:rsidRDefault="00BE36FB" w:rsidP="00BE36FB">
            <w:pPr>
              <w:pStyle w:val="TableText"/>
              <w:numPr>
                <w:ilvl w:val="0"/>
                <w:numId w:val="193"/>
              </w:numPr>
              <w:rPr>
                <w:rFonts w:cs="Arial"/>
                <w:lang w:eastAsia="en-US"/>
              </w:rPr>
            </w:pPr>
            <w:r w:rsidRPr="009B7B35">
              <w:rPr>
                <w:rFonts w:cs="Arial"/>
                <w:lang w:eastAsia="en-US"/>
              </w:rPr>
              <w:t>damage or disruption to sewer</w:t>
            </w:r>
            <w:r w:rsidRPr="009B7B35">
              <w:rPr>
                <w:rFonts w:cs="Arial"/>
              </w:rPr>
              <w:t>age</w:t>
            </w:r>
            <w:r w:rsidRPr="009B7B35">
              <w:rPr>
                <w:rFonts w:cs="Arial"/>
                <w:lang w:eastAsia="en-US"/>
              </w:rPr>
              <w:t xml:space="preserve">, stormwater and water infrastructure is avoided, and </w:t>
            </w:r>
          </w:p>
          <w:p w14:paraId="2D2DA8FD" w14:textId="77777777" w:rsidR="00BE36FB" w:rsidRPr="009B7B35" w:rsidRDefault="00BE36FB" w:rsidP="00BE36FB">
            <w:pPr>
              <w:pStyle w:val="TableText"/>
              <w:numPr>
                <w:ilvl w:val="0"/>
                <w:numId w:val="193"/>
              </w:numPr>
              <w:rPr>
                <w:rFonts w:cs="Arial"/>
                <w:lang w:eastAsia="en-US"/>
              </w:rPr>
            </w:pPr>
            <w:r w:rsidRPr="009B7B35">
              <w:rPr>
                <w:rFonts w:cs="Arial"/>
                <w:lang w:eastAsia="en-US"/>
              </w:rPr>
              <w:t>there is adequate buffering, screening or separation to adjoining development.</w:t>
            </w:r>
          </w:p>
        </w:tc>
        <w:tc>
          <w:tcPr>
            <w:cnfStyle w:val="000100000000" w:firstRow="0" w:lastRow="0" w:firstColumn="0" w:lastColumn="1" w:oddVBand="0" w:evenVBand="0" w:oddHBand="0" w:evenHBand="0" w:firstRowFirstColumn="0" w:firstRowLastColumn="0" w:lastRowFirstColumn="0" w:lastRowLastColumn="0"/>
            <w:tcW w:w="4678" w:type="dxa"/>
          </w:tcPr>
          <w:p w14:paraId="4BB8CD06"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574889CC"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4F464EC4"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Nature based tourism</w:t>
            </w:r>
          </w:p>
        </w:tc>
      </w:tr>
      <w:tr w:rsidR="00BE36FB" w:rsidRPr="009B7B35" w14:paraId="33039FDA" w14:textId="77777777"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14DB33B9" w14:textId="77777777" w:rsidR="00BE36FB" w:rsidRPr="009B7B35" w:rsidRDefault="00BE36FB" w:rsidP="001A7107">
            <w:pPr>
              <w:pStyle w:val="TableText"/>
              <w:rPr>
                <w:rFonts w:cs="Arial"/>
                <w:b/>
                <w:bCs w:val="0"/>
                <w:color w:val="auto"/>
                <w:lang w:eastAsia="en-US"/>
              </w:rPr>
            </w:pPr>
            <w:r w:rsidRPr="009B7B35">
              <w:rPr>
                <w:rFonts w:cs="Arial"/>
                <w:b/>
                <w:color w:val="auto"/>
                <w:lang w:eastAsia="en-US"/>
              </w:rPr>
              <w:t>PO6</w:t>
            </w:r>
          </w:p>
          <w:p w14:paraId="385C072A" w14:textId="77777777" w:rsidR="00BE36FB" w:rsidRPr="009B7B35" w:rsidRDefault="00BE36FB" w:rsidP="001A7107">
            <w:pPr>
              <w:pStyle w:val="TableText"/>
              <w:rPr>
                <w:rFonts w:cs="Arial"/>
                <w:color w:val="auto"/>
                <w:lang w:eastAsia="en-US"/>
              </w:rPr>
            </w:pPr>
            <w:r w:rsidRPr="009B7B35">
              <w:rPr>
                <w:rFonts w:cs="Arial"/>
                <w:color w:val="auto"/>
                <w:lang w:eastAsia="en-US"/>
              </w:rPr>
              <w:t xml:space="preserve">Development </w:t>
            </w:r>
            <w:r w:rsidRPr="009B7B35">
              <w:rPr>
                <w:rFonts w:cs="Arial"/>
                <w:color w:val="auto"/>
              </w:rPr>
              <w:t xml:space="preserve">protects environmental values and </w:t>
            </w:r>
            <w:r w:rsidRPr="009B7B35">
              <w:rPr>
                <w:rFonts w:cs="Arial"/>
                <w:color w:val="auto"/>
                <w:lang w:eastAsia="en-US"/>
              </w:rPr>
              <w:t>is of a scale and intensity that does not compromise the low density and environmental character of the locality.</w:t>
            </w:r>
          </w:p>
        </w:tc>
        <w:tc>
          <w:tcPr>
            <w:cnfStyle w:val="000100000000" w:firstRow="0" w:lastRow="0" w:firstColumn="0" w:lastColumn="1" w:oddVBand="0" w:evenVBand="0" w:oddHBand="0" w:evenHBand="0" w:firstRowFirstColumn="0" w:firstRowLastColumn="0" w:lastRowFirstColumn="0" w:lastRowLastColumn="0"/>
            <w:tcW w:w="4678" w:type="dxa"/>
          </w:tcPr>
          <w:p w14:paraId="3D8BB09F" w14:textId="77777777" w:rsidR="00BE36FB" w:rsidRPr="009B7B35" w:rsidRDefault="00BE36FB" w:rsidP="001A7107">
            <w:pPr>
              <w:pStyle w:val="TableText"/>
              <w:rPr>
                <w:rFonts w:cs="Arial"/>
                <w:color w:val="auto"/>
                <w:lang w:eastAsia="en-US"/>
              </w:rPr>
            </w:pPr>
            <w:r w:rsidRPr="009B7B35">
              <w:rPr>
                <w:rFonts w:cs="Arial"/>
                <w:color w:val="auto"/>
                <w:lang w:eastAsia="en-US"/>
              </w:rPr>
              <w:t>No acceptable outcome is nominated.</w:t>
            </w:r>
          </w:p>
        </w:tc>
      </w:tr>
    </w:tbl>
    <w:p w14:paraId="2D182ABD" w14:textId="77777777" w:rsidR="00BE36FB" w:rsidRPr="009B7B35" w:rsidRDefault="00BE36FB" w:rsidP="001A7107">
      <w:pPr>
        <w:rPr>
          <w:rFonts w:ascii="Arial" w:hAnsi="Arial" w:cs="Arial"/>
          <w:sz w:val="20"/>
          <w:szCs w:val="20"/>
        </w:rPr>
      </w:pPr>
    </w:p>
    <w:p w14:paraId="132C6583" w14:textId="77777777" w:rsidR="00BE36FB" w:rsidRPr="009B7B35" w:rsidRDefault="00BE36FB" w:rsidP="006776DA">
      <w:pPr>
        <w:pStyle w:val="Heading3"/>
        <w:keepLines/>
        <w:numPr>
          <w:ilvl w:val="2"/>
          <w:numId w:val="883"/>
        </w:numPr>
        <w:spacing w:before="240"/>
        <w:rPr>
          <w:rFonts w:ascii="Arial" w:hAnsi="Arial"/>
          <w:sz w:val="20"/>
          <w:szCs w:val="20"/>
        </w:rPr>
      </w:pPr>
      <w:bookmarkStart w:id="193" w:name="_Toc205367356"/>
      <w:r w:rsidRPr="009B7B35">
        <w:rPr>
          <w:rFonts w:ascii="Arial" w:hAnsi="Arial"/>
          <w:sz w:val="20"/>
          <w:szCs w:val="20"/>
        </w:rPr>
        <w:t>Conservation</w:t>
      </w:r>
      <w:bookmarkEnd w:id="193"/>
    </w:p>
    <w:p w14:paraId="293F05B1"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71CA2C7E"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7419CBC4"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1CAB10EC" w14:textId="77777777" w:rsidR="00BE36FB" w:rsidRPr="009B7B35" w:rsidRDefault="00BE36FB" w:rsidP="00BE36FB">
      <w:pPr>
        <w:numPr>
          <w:ilvl w:val="0"/>
          <w:numId w:val="252"/>
        </w:numPr>
        <w:rPr>
          <w:rFonts w:ascii="Arial" w:hAnsi="Arial" w:cs="Arial"/>
          <w:sz w:val="20"/>
          <w:szCs w:val="20"/>
        </w:rPr>
      </w:pPr>
      <w:r w:rsidRPr="009B7B35">
        <w:rPr>
          <w:rFonts w:ascii="Arial" w:hAnsi="Arial" w:cs="Arial"/>
          <w:sz w:val="20"/>
          <w:szCs w:val="20"/>
        </w:rPr>
        <w:t>The purpose of the conservation zone code is to provide for the protection, restoration and management of areas (such as National Parks) identified as supporting significant biological diversity and ecological integrity.</w:t>
      </w:r>
    </w:p>
    <w:p w14:paraId="69B4E4CE" w14:textId="77777777" w:rsidR="00BE36FB" w:rsidRPr="009B7B35" w:rsidRDefault="00BE36FB" w:rsidP="00BE36FB">
      <w:pPr>
        <w:numPr>
          <w:ilvl w:val="0"/>
          <w:numId w:val="252"/>
        </w:numPr>
        <w:rPr>
          <w:rFonts w:ascii="Arial" w:hAnsi="Arial" w:cs="Arial"/>
          <w:sz w:val="20"/>
          <w:szCs w:val="20"/>
        </w:rPr>
      </w:pPr>
      <w:r w:rsidRPr="009B7B35">
        <w:rPr>
          <w:rFonts w:ascii="Arial" w:hAnsi="Arial" w:cs="Arial"/>
          <w:sz w:val="20"/>
          <w:szCs w:val="20"/>
        </w:rPr>
        <w:t>The purpose of the zone will be achieved through the following overall outcomes:</w:t>
      </w:r>
    </w:p>
    <w:p w14:paraId="5BBAA014" w14:textId="77777777" w:rsidR="00BE36FB" w:rsidRPr="009B7B35" w:rsidRDefault="00BE36FB" w:rsidP="00BE36FB">
      <w:pPr>
        <w:numPr>
          <w:ilvl w:val="1"/>
          <w:numId w:val="252"/>
        </w:numPr>
        <w:rPr>
          <w:rFonts w:ascii="Arial" w:hAnsi="Arial" w:cs="Arial"/>
          <w:sz w:val="20"/>
          <w:szCs w:val="20"/>
        </w:rPr>
      </w:pPr>
      <w:r w:rsidRPr="009B7B35">
        <w:rPr>
          <w:rFonts w:ascii="Arial" w:hAnsi="Arial" w:cs="Arial"/>
          <w:sz w:val="20"/>
          <w:szCs w:val="20"/>
        </w:rPr>
        <w:t>The ecological values of land in the conservation zone are protected from the impacts of development.</w:t>
      </w:r>
    </w:p>
    <w:p w14:paraId="219C1907" w14:textId="77777777" w:rsidR="00BE36FB" w:rsidRPr="009B7B35" w:rsidRDefault="00BE36FB" w:rsidP="00BE36FB">
      <w:pPr>
        <w:numPr>
          <w:ilvl w:val="1"/>
          <w:numId w:val="252"/>
        </w:numPr>
        <w:rPr>
          <w:rFonts w:ascii="Arial" w:hAnsi="Arial" w:cs="Arial"/>
          <w:sz w:val="20"/>
          <w:szCs w:val="20"/>
        </w:rPr>
      </w:pPr>
      <w:r w:rsidRPr="009B7B35">
        <w:rPr>
          <w:rFonts w:ascii="Arial" w:hAnsi="Arial" w:cs="Arial"/>
          <w:sz w:val="20"/>
          <w:szCs w:val="20"/>
        </w:rPr>
        <w:t>Very low intensity development related to the conservation and environmental values of the area may be facilitated where a demonstrated community need exists.</w:t>
      </w:r>
    </w:p>
    <w:p w14:paraId="7C78DB62" w14:textId="77777777" w:rsidR="00BE36FB" w:rsidRPr="009B7B35" w:rsidRDefault="00BE36FB" w:rsidP="00BE36FB">
      <w:pPr>
        <w:numPr>
          <w:ilvl w:val="1"/>
          <w:numId w:val="252"/>
        </w:numPr>
        <w:rPr>
          <w:rFonts w:ascii="Arial" w:hAnsi="Arial" w:cs="Arial"/>
          <w:sz w:val="20"/>
          <w:szCs w:val="20"/>
        </w:rPr>
      </w:pPr>
      <w:r w:rsidRPr="009B7B35">
        <w:rPr>
          <w:rFonts w:ascii="Arial" w:hAnsi="Arial" w:cs="Arial"/>
          <w:sz w:val="20"/>
          <w:szCs w:val="20"/>
        </w:rPr>
        <w:t>Nature based tourism and outdoor recreation are facilitated where a demonstrated community need exists and the use does not detrimentally affect the environmental values of the area.</w:t>
      </w:r>
    </w:p>
    <w:p w14:paraId="4385477F" w14:textId="77777777" w:rsidR="00BE36FB" w:rsidRPr="009B7B35" w:rsidRDefault="00BE36FB" w:rsidP="00BE36FB">
      <w:pPr>
        <w:numPr>
          <w:ilvl w:val="1"/>
          <w:numId w:val="252"/>
        </w:numPr>
        <w:rPr>
          <w:rFonts w:ascii="Arial" w:hAnsi="Arial" w:cs="Arial"/>
          <w:sz w:val="20"/>
          <w:szCs w:val="20"/>
        </w:rPr>
      </w:pPr>
      <w:r w:rsidRPr="009B7B35">
        <w:rPr>
          <w:rFonts w:ascii="Arial" w:hAnsi="Arial" w:cs="Arial"/>
          <w:sz w:val="20"/>
          <w:szCs w:val="20"/>
        </w:rPr>
        <w:t>Adverse impacts from on–site and adjoining sites are minimised or avoided through the location, design and management of development and activities.</w:t>
      </w:r>
    </w:p>
    <w:p w14:paraId="6B14A794" w14:textId="77777777" w:rsidR="00BE36FB" w:rsidRPr="009B7B35" w:rsidRDefault="00BE36FB" w:rsidP="00BE36FB">
      <w:pPr>
        <w:numPr>
          <w:ilvl w:val="1"/>
          <w:numId w:val="252"/>
        </w:numPr>
        <w:rPr>
          <w:rFonts w:ascii="Arial" w:hAnsi="Arial" w:cs="Arial"/>
          <w:sz w:val="20"/>
          <w:szCs w:val="20"/>
        </w:rPr>
      </w:pPr>
      <w:r w:rsidRPr="009B7B35">
        <w:rPr>
          <w:rFonts w:ascii="Arial" w:hAnsi="Arial" w:cs="Arial"/>
          <w:sz w:val="20"/>
          <w:szCs w:val="20"/>
        </w:rPr>
        <w:t>Activities undertaken by recognised traditional owners in accordance with traditional owner custom and practice may be considered.</w:t>
      </w:r>
    </w:p>
    <w:p w14:paraId="126DCDCF" w14:textId="77777777" w:rsidR="00BE36FB" w:rsidRPr="009B7B35" w:rsidRDefault="00BE36FB" w:rsidP="00BE36FB">
      <w:pPr>
        <w:numPr>
          <w:ilvl w:val="1"/>
          <w:numId w:val="252"/>
        </w:numPr>
        <w:rPr>
          <w:rFonts w:ascii="Arial" w:hAnsi="Arial" w:cs="Arial"/>
          <w:sz w:val="20"/>
          <w:szCs w:val="20"/>
        </w:rPr>
      </w:pPr>
      <w:r w:rsidRPr="009B7B35">
        <w:rPr>
          <w:rFonts w:ascii="Arial" w:hAnsi="Arial" w:cs="Arial"/>
          <w:sz w:val="20"/>
          <w:szCs w:val="20"/>
        </w:rPr>
        <w:t>Land is publically accessible where this does not compromise other overall outcomes.</w:t>
      </w:r>
    </w:p>
    <w:p w14:paraId="197D2730" w14:textId="77777777" w:rsidR="00BE36FB" w:rsidRPr="009B7B35" w:rsidRDefault="00BE36FB" w:rsidP="00BE36FB">
      <w:pPr>
        <w:numPr>
          <w:ilvl w:val="1"/>
          <w:numId w:val="252"/>
        </w:numPr>
        <w:rPr>
          <w:rFonts w:ascii="Arial" w:hAnsi="Arial" w:cs="Arial"/>
          <w:sz w:val="20"/>
          <w:szCs w:val="20"/>
        </w:rPr>
      </w:pPr>
      <w:r w:rsidRPr="009B7B35">
        <w:rPr>
          <w:rFonts w:ascii="Arial" w:hAnsi="Arial" w:cs="Arial"/>
          <w:sz w:val="20"/>
          <w:szCs w:val="20"/>
        </w:rPr>
        <w:t>Development does not fragment regional or local environmental corridors and maintains linkages to areas with other ecological values.</w:t>
      </w:r>
    </w:p>
    <w:p w14:paraId="71551D9F"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695E5E03" w14:textId="77777777" w:rsidR="00BE36FB" w:rsidRPr="009B7B35" w:rsidRDefault="00BE36FB" w:rsidP="003A35DA">
      <w:pPr>
        <w:pStyle w:val="Heading5"/>
        <w:numPr>
          <w:ilvl w:val="0"/>
          <w:numId w:val="0"/>
        </w:numPr>
        <w:rPr>
          <w:rFonts w:cs="Arial"/>
          <w:szCs w:val="20"/>
        </w:rPr>
      </w:pPr>
      <w:r w:rsidRPr="009B7B35">
        <w:rPr>
          <w:rFonts w:cs="Arial"/>
          <w:szCs w:val="20"/>
        </w:rPr>
        <w:t>Table 6.2.11.3.1—Assessable development</w:t>
      </w:r>
    </w:p>
    <w:tbl>
      <w:tblPr>
        <w:tblStyle w:val="Tablestyle"/>
        <w:tblW w:w="0" w:type="auto"/>
        <w:tblLook w:val="04A0" w:firstRow="1" w:lastRow="0" w:firstColumn="1" w:lastColumn="0" w:noHBand="0" w:noVBand="1"/>
      </w:tblPr>
      <w:tblGrid>
        <w:gridCol w:w="4216"/>
        <w:gridCol w:w="4147"/>
      </w:tblGrid>
      <w:tr w:rsidR="00BE36FB" w:rsidRPr="009B7B35" w14:paraId="6DADD127"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678" w:type="dxa"/>
          </w:tcPr>
          <w:p w14:paraId="64497FAA"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72B39025"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Acceptable outcomes</w:t>
            </w:r>
          </w:p>
        </w:tc>
      </w:tr>
      <w:tr w:rsidR="00BE36FB" w:rsidRPr="009B7B35" w14:paraId="191AC9AE"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403DACCB"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267C4C7C"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33B7DB33" w14:textId="77777777" w:rsidR="00BE36FB" w:rsidRPr="009B7B35" w:rsidRDefault="00BE36FB" w:rsidP="001A7107">
            <w:pPr>
              <w:pStyle w:val="TableText"/>
              <w:rPr>
                <w:rFonts w:cs="Arial"/>
                <w:b/>
                <w:bCs/>
              </w:rPr>
            </w:pPr>
            <w:r w:rsidRPr="009B7B35">
              <w:rPr>
                <w:rFonts w:cs="Arial"/>
                <w:b/>
                <w:bCs/>
              </w:rPr>
              <w:t>PO1</w:t>
            </w:r>
          </w:p>
          <w:p w14:paraId="2F60F5D7" w14:textId="77777777" w:rsidR="00BE36FB" w:rsidRPr="009B7B35" w:rsidRDefault="00BE36FB" w:rsidP="001A7107">
            <w:pPr>
              <w:pStyle w:val="TableText"/>
              <w:rPr>
                <w:rFonts w:cs="Arial"/>
              </w:rPr>
            </w:pPr>
            <w:r w:rsidRPr="009B7B35">
              <w:rPr>
                <w:rFonts w:cs="Arial"/>
              </w:rPr>
              <w:t>Development:</w:t>
            </w:r>
          </w:p>
          <w:p w14:paraId="35C4096E" w14:textId="77777777" w:rsidR="00BE36FB" w:rsidRPr="009B7B35" w:rsidRDefault="00BE36FB" w:rsidP="00BE36FB">
            <w:pPr>
              <w:numPr>
                <w:ilvl w:val="0"/>
                <w:numId w:val="131"/>
              </w:numPr>
              <w:rPr>
                <w:rFonts w:cs="Arial"/>
                <w:sz w:val="20"/>
                <w:szCs w:val="20"/>
              </w:rPr>
            </w:pPr>
            <w:r w:rsidRPr="009B7B35">
              <w:rPr>
                <w:rFonts w:cs="Arial"/>
                <w:sz w:val="20"/>
                <w:szCs w:val="20"/>
              </w:rPr>
              <w:t>is ancillary to the primary use</w:t>
            </w:r>
          </w:p>
          <w:p w14:paraId="3CAA9003" w14:textId="77777777" w:rsidR="00BE36FB" w:rsidRPr="009B7B35" w:rsidRDefault="00BE36FB" w:rsidP="00BE36FB">
            <w:pPr>
              <w:numPr>
                <w:ilvl w:val="0"/>
                <w:numId w:val="131"/>
              </w:numPr>
              <w:rPr>
                <w:rFonts w:cs="Arial"/>
                <w:sz w:val="20"/>
                <w:szCs w:val="20"/>
              </w:rPr>
            </w:pPr>
            <w:r w:rsidRPr="009B7B35">
              <w:rPr>
                <w:rFonts w:cs="Arial"/>
                <w:sz w:val="20"/>
                <w:szCs w:val="20"/>
              </w:rPr>
              <w:t>does not compromise the low density, natural and open space character of the site.</w:t>
            </w:r>
          </w:p>
        </w:tc>
        <w:tc>
          <w:tcPr>
            <w:tcW w:w="4678" w:type="dxa"/>
          </w:tcPr>
          <w:p w14:paraId="76638EC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AO1.1</w:t>
            </w:r>
          </w:p>
          <w:p w14:paraId="6468E09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more than 1 caretaker’s accommodation unit is established on the site.</w:t>
            </w:r>
          </w:p>
        </w:tc>
      </w:tr>
      <w:tr w:rsidR="00BE36FB" w:rsidRPr="009B7B35" w14:paraId="0303B5AB"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098EE5CD" w14:textId="77777777" w:rsidR="00BE36FB" w:rsidRPr="009B7B35" w:rsidRDefault="00BE36FB" w:rsidP="001A7107">
            <w:pPr>
              <w:pStyle w:val="TableText"/>
              <w:rPr>
                <w:rFonts w:cs="Arial"/>
              </w:rPr>
            </w:pPr>
          </w:p>
        </w:tc>
        <w:tc>
          <w:tcPr>
            <w:tcW w:w="4678" w:type="dxa"/>
          </w:tcPr>
          <w:p w14:paraId="4A12982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AO1.2</w:t>
            </w:r>
          </w:p>
          <w:p w14:paraId="4663F03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caretaker’s accommodation unit is a maximum of 100m</w:t>
            </w:r>
            <w:r w:rsidRPr="009B7B35">
              <w:rPr>
                <w:rStyle w:val="StyleSuperscript"/>
                <w:rFonts w:cs="Arial"/>
              </w:rPr>
              <w:t>2</w:t>
            </w:r>
            <w:r w:rsidRPr="009B7B35">
              <w:rPr>
                <w:rFonts w:cs="Arial"/>
              </w:rPr>
              <w:t xml:space="preserve"> GFA.</w:t>
            </w:r>
          </w:p>
        </w:tc>
      </w:tr>
      <w:tr w:rsidR="00BE36FB" w:rsidRPr="009B7B35" w14:paraId="4E565E78"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405D175F" w14:textId="77777777" w:rsidR="00BE36FB" w:rsidRPr="009B7B35" w:rsidRDefault="00BE36FB" w:rsidP="001A7107">
            <w:pPr>
              <w:pStyle w:val="Tableheading"/>
              <w:rPr>
                <w:rFonts w:ascii="Arial" w:hAnsi="Arial" w:cs="Arial"/>
                <w:szCs w:val="20"/>
              </w:rPr>
            </w:pPr>
            <w:r w:rsidRPr="009B7B35">
              <w:rPr>
                <w:rFonts w:ascii="Arial" w:hAnsi="Arial" w:cs="Arial"/>
                <w:szCs w:val="20"/>
              </w:rPr>
              <w:t>Uses – Food and drink outlet and Shop</w:t>
            </w:r>
          </w:p>
        </w:tc>
      </w:tr>
      <w:tr w:rsidR="00BE36FB" w:rsidRPr="009B7B35" w14:paraId="44C2C6DD"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627312F5" w14:textId="77777777" w:rsidR="00BE36FB" w:rsidRPr="009B7B35" w:rsidRDefault="00BE36FB" w:rsidP="001A7107">
            <w:pPr>
              <w:pStyle w:val="TableText"/>
              <w:rPr>
                <w:rFonts w:cs="Arial"/>
                <w:b/>
                <w:bCs/>
              </w:rPr>
            </w:pPr>
            <w:r w:rsidRPr="009B7B35">
              <w:rPr>
                <w:rFonts w:cs="Arial"/>
                <w:b/>
                <w:bCs/>
              </w:rPr>
              <w:t>PO2</w:t>
            </w:r>
          </w:p>
          <w:p w14:paraId="73AB3A63" w14:textId="77777777" w:rsidR="00BE36FB" w:rsidRPr="009B7B35" w:rsidRDefault="00BE36FB" w:rsidP="001A7107">
            <w:pPr>
              <w:pStyle w:val="TableText"/>
              <w:rPr>
                <w:rFonts w:cs="Arial"/>
              </w:rPr>
            </w:pPr>
            <w:r w:rsidRPr="009B7B35">
              <w:rPr>
                <w:rFonts w:cs="Arial"/>
              </w:rPr>
              <w:t xml:space="preserve">Development: </w:t>
            </w:r>
          </w:p>
          <w:p w14:paraId="0AEBCBB3" w14:textId="77777777" w:rsidR="00BE36FB" w:rsidRPr="009B7B35" w:rsidRDefault="00BE36FB" w:rsidP="00BE36FB">
            <w:pPr>
              <w:pStyle w:val="TableText"/>
              <w:numPr>
                <w:ilvl w:val="0"/>
                <w:numId w:val="428"/>
              </w:numPr>
              <w:rPr>
                <w:rFonts w:cs="Arial"/>
              </w:rPr>
            </w:pPr>
            <w:r w:rsidRPr="009B7B35">
              <w:rPr>
                <w:rFonts w:cs="Arial"/>
              </w:rPr>
              <w:t>is very low in scale and size</w:t>
            </w:r>
          </w:p>
          <w:p w14:paraId="12F23C84" w14:textId="77777777" w:rsidR="00BE36FB" w:rsidRPr="009B7B35" w:rsidRDefault="00BE36FB" w:rsidP="00BE36FB">
            <w:pPr>
              <w:pStyle w:val="TableText"/>
              <w:numPr>
                <w:ilvl w:val="0"/>
                <w:numId w:val="428"/>
              </w:numPr>
              <w:rPr>
                <w:rFonts w:cs="Arial"/>
              </w:rPr>
            </w:pPr>
            <w:r w:rsidRPr="009B7B35">
              <w:rPr>
                <w:rFonts w:cs="Arial"/>
              </w:rPr>
              <w:t>supports, and is ancillary to, conservation and nature based activities on the land.</w:t>
            </w:r>
          </w:p>
        </w:tc>
        <w:tc>
          <w:tcPr>
            <w:tcW w:w="4678" w:type="dxa"/>
          </w:tcPr>
          <w:p w14:paraId="7208470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AO2</w:t>
            </w:r>
          </w:p>
          <w:p w14:paraId="429AB94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Development is a maximum of 100m</w:t>
            </w:r>
            <w:r w:rsidRPr="009B7B35">
              <w:rPr>
                <w:rStyle w:val="StyleSuperscript"/>
                <w:rFonts w:cs="Arial"/>
              </w:rPr>
              <w:t>2</w:t>
            </w:r>
            <w:r w:rsidRPr="009B7B35">
              <w:rPr>
                <w:rFonts w:cs="Arial"/>
              </w:rPr>
              <w:t xml:space="preserve"> GFA.</w:t>
            </w:r>
          </w:p>
        </w:tc>
      </w:tr>
      <w:tr w:rsidR="00BE36FB" w:rsidRPr="009B7B35" w14:paraId="4FB6168C"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7F53DF9A" w14:textId="77777777" w:rsidR="00BE36FB" w:rsidRPr="009B7B35" w:rsidRDefault="00BE36FB" w:rsidP="001A7107">
            <w:pPr>
              <w:pStyle w:val="Tableheading"/>
              <w:rPr>
                <w:rFonts w:ascii="Arial" w:hAnsi="Arial" w:cs="Arial"/>
                <w:szCs w:val="20"/>
              </w:rPr>
            </w:pPr>
            <w:r w:rsidRPr="009B7B35">
              <w:rPr>
                <w:rFonts w:ascii="Arial" w:hAnsi="Arial" w:cs="Arial"/>
                <w:szCs w:val="20"/>
              </w:rPr>
              <w:t>Built form</w:t>
            </w:r>
          </w:p>
        </w:tc>
      </w:tr>
      <w:tr w:rsidR="00BE36FB" w:rsidRPr="009B7B35" w14:paraId="0734EB2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178BDF97" w14:textId="77777777" w:rsidR="00BE36FB" w:rsidRPr="009B7B35" w:rsidRDefault="00BE36FB" w:rsidP="001A7107">
            <w:pPr>
              <w:pStyle w:val="TableText"/>
              <w:rPr>
                <w:rFonts w:cs="Arial"/>
                <w:b/>
                <w:bCs/>
              </w:rPr>
            </w:pPr>
            <w:r w:rsidRPr="009B7B35">
              <w:rPr>
                <w:rFonts w:cs="Arial"/>
                <w:b/>
                <w:bCs/>
              </w:rPr>
              <w:t>PO3</w:t>
            </w:r>
          </w:p>
          <w:p w14:paraId="6C0D5874" w14:textId="77777777" w:rsidR="00BE36FB" w:rsidRPr="009B7B35" w:rsidRDefault="00BE36FB" w:rsidP="001A7107">
            <w:pPr>
              <w:pStyle w:val="TableText"/>
              <w:rPr>
                <w:rFonts w:cs="Arial"/>
              </w:rPr>
            </w:pPr>
            <w:r w:rsidRPr="009B7B35">
              <w:rPr>
                <w:rFonts w:cs="Arial"/>
              </w:rPr>
              <w:t>Buildings and other structures are of a height and size that reflects the very low density, natural and open space character of the area.</w:t>
            </w:r>
          </w:p>
        </w:tc>
        <w:tc>
          <w:tcPr>
            <w:tcW w:w="4678" w:type="dxa"/>
          </w:tcPr>
          <w:p w14:paraId="5707479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AO3.1</w:t>
            </w:r>
          </w:p>
          <w:p w14:paraId="4D53140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Building height does not exceed 4.5m.</w:t>
            </w:r>
          </w:p>
        </w:tc>
      </w:tr>
      <w:tr w:rsidR="00BE36FB" w:rsidRPr="009B7B35" w14:paraId="3431A00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Pr>
          <w:p w14:paraId="142ED685" w14:textId="77777777" w:rsidR="00BE36FB" w:rsidRPr="009B7B35" w:rsidRDefault="00BE36FB" w:rsidP="001A7107">
            <w:pPr>
              <w:pStyle w:val="TableText"/>
              <w:rPr>
                <w:rFonts w:cs="Arial"/>
              </w:rPr>
            </w:pPr>
          </w:p>
        </w:tc>
        <w:tc>
          <w:tcPr>
            <w:tcW w:w="4678" w:type="dxa"/>
          </w:tcPr>
          <w:p w14:paraId="63E8767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AO3.2</w:t>
            </w:r>
          </w:p>
          <w:p w14:paraId="6816B93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Buildings have a maximum combined GFA of 150m</w:t>
            </w:r>
            <w:r w:rsidRPr="009B7B35">
              <w:rPr>
                <w:rStyle w:val="StyleSuperscript"/>
                <w:rFonts w:cs="Arial"/>
              </w:rPr>
              <w:t>2</w:t>
            </w:r>
            <w:r w:rsidRPr="009B7B35">
              <w:rPr>
                <w:rFonts w:cs="Arial"/>
              </w:rPr>
              <w:t>.</w:t>
            </w:r>
          </w:p>
          <w:p w14:paraId="4ACCF72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01A039A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Borders>
              <w:bottom w:val="single" w:sz="4" w:space="0" w:color="7F7F7F" w:themeColor="text1" w:themeTint="80"/>
            </w:tcBorders>
          </w:tcPr>
          <w:p w14:paraId="6ED4193B" w14:textId="77777777" w:rsidR="00BE36FB" w:rsidRPr="009B7B35" w:rsidRDefault="00BE36FB" w:rsidP="001A7107">
            <w:pPr>
              <w:pStyle w:val="TableText"/>
              <w:rPr>
                <w:rFonts w:cs="Arial"/>
              </w:rPr>
            </w:pPr>
          </w:p>
        </w:tc>
        <w:tc>
          <w:tcPr>
            <w:tcW w:w="4678" w:type="dxa"/>
            <w:tcBorders>
              <w:bottom w:val="single" w:sz="4" w:space="0" w:color="7F7F7F" w:themeColor="text1" w:themeTint="80"/>
            </w:tcBorders>
          </w:tcPr>
          <w:p w14:paraId="59D8E89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AO3.3</w:t>
            </w:r>
          </w:p>
          <w:p w14:paraId="715FC1F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Development does not involve the clearing of native vegetation.</w:t>
            </w:r>
          </w:p>
        </w:tc>
      </w:tr>
      <w:tr w:rsidR="00BE36FB" w:rsidRPr="009B7B35" w14:paraId="0CE1F70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7ACFB1B9"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14:paraId="1CE3399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53CF81DE" w14:textId="77777777" w:rsidR="00BE36FB" w:rsidRPr="009B7B35" w:rsidRDefault="00BE36FB" w:rsidP="001A7107">
            <w:pPr>
              <w:pStyle w:val="TableText"/>
              <w:rPr>
                <w:rFonts w:cs="Arial"/>
                <w:b/>
                <w:bCs/>
              </w:rPr>
            </w:pPr>
            <w:r w:rsidRPr="009B7B35">
              <w:rPr>
                <w:rFonts w:cs="Arial"/>
                <w:b/>
                <w:bCs/>
              </w:rPr>
              <w:t>PO4</w:t>
            </w:r>
          </w:p>
          <w:p w14:paraId="5AB5FAD0" w14:textId="77777777" w:rsidR="00BE36FB" w:rsidRPr="009B7B35" w:rsidRDefault="00BE36FB" w:rsidP="001A7107">
            <w:pPr>
              <w:pStyle w:val="TableText"/>
              <w:rPr>
                <w:rFonts w:cs="Arial"/>
              </w:rPr>
            </w:pPr>
            <w:r w:rsidRPr="009B7B35">
              <w:rPr>
                <w:rFonts w:cs="Arial"/>
              </w:rPr>
              <w:t>Development is limited to:</w:t>
            </w:r>
          </w:p>
          <w:p w14:paraId="1263DD40" w14:textId="77777777" w:rsidR="00BE36FB" w:rsidRPr="009B7B35" w:rsidRDefault="00BE36FB" w:rsidP="00BE36FB">
            <w:pPr>
              <w:pStyle w:val="TableText"/>
              <w:numPr>
                <w:ilvl w:val="0"/>
                <w:numId w:val="507"/>
              </w:numPr>
              <w:ind w:left="567" w:hanging="567"/>
              <w:rPr>
                <w:rFonts w:cs="Arial"/>
              </w:rPr>
            </w:pPr>
            <w:r w:rsidRPr="009B7B35">
              <w:rPr>
                <w:rFonts w:cs="Arial"/>
              </w:rPr>
              <w:t>activities which provide information, recreation or education of visitors directly connected to the values of the land</w:t>
            </w:r>
          </w:p>
          <w:p w14:paraId="1C2B9201" w14:textId="77777777" w:rsidR="00BE36FB" w:rsidRPr="009B7B35" w:rsidRDefault="00BE36FB" w:rsidP="00BE36FB">
            <w:pPr>
              <w:pStyle w:val="TableText"/>
              <w:numPr>
                <w:ilvl w:val="0"/>
                <w:numId w:val="507"/>
              </w:numPr>
              <w:ind w:left="567" w:hanging="567"/>
              <w:rPr>
                <w:rFonts w:cs="Arial"/>
              </w:rPr>
            </w:pPr>
            <w:r w:rsidRPr="009B7B35">
              <w:rPr>
                <w:rFonts w:cs="Arial"/>
              </w:rPr>
              <w:t>ancillary uses that directly support visitation to the land for conservation or recreation purposes</w:t>
            </w:r>
          </w:p>
          <w:p w14:paraId="4E8CFB37" w14:textId="77777777" w:rsidR="00BE36FB" w:rsidRPr="009B7B35" w:rsidRDefault="00BE36FB" w:rsidP="00BE36FB">
            <w:pPr>
              <w:pStyle w:val="TableText"/>
              <w:numPr>
                <w:ilvl w:val="0"/>
                <w:numId w:val="507"/>
              </w:numPr>
              <w:ind w:left="567" w:hanging="567"/>
              <w:rPr>
                <w:rFonts w:cs="Arial"/>
              </w:rPr>
            </w:pPr>
            <w:r w:rsidRPr="009B7B35">
              <w:rPr>
                <w:rFonts w:cs="Arial"/>
              </w:rPr>
              <w:t>the establishment of infrastructure that cannot practicably be located elsewhere.</w:t>
            </w:r>
          </w:p>
        </w:tc>
        <w:tc>
          <w:tcPr>
            <w:tcW w:w="4678" w:type="dxa"/>
          </w:tcPr>
          <w:p w14:paraId="118E586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14:paraId="24DA879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54246610" w14:textId="77777777" w:rsidR="00BE36FB" w:rsidRPr="009B7B35" w:rsidRDefault="00BE36FB" w:rsidP="001A7107">
            <w:pPr>
              <w:pStyle w:val="TableText"/>
              <w:rPr>
                <w:rFonts w:cs="Arial"/>
                <w:b/>
                <w:bCs/>
              </w:rPr>
            </w:pPr>
            <w:r w:rsidRPr="009B7B35">
              <w:rPr>
                <w:rFonts w:cs="Arial"/>
                <w:b/>
                <w:bCs/>
              </w:rPr>
              <w:t>PO5</w:t>
            </w:r>
          </w:p>
          <w:p w14:paraId="136C4D5B" w14:textId="77777777" w:rsidR="00BE36FB" w:rsidRPr="009B7B35" w:rsidRDefault="00BE36FB" w:rsidP="001A7107">
            <w:pPr>
              <w:pStyle w:val="TableText"/>
              <w:rPr>
                <w:rFonts w:cs="Arial"/>
              </w:rPr>
            </w:pPr>
            <w:r w:rsidRPr="009B7B35">
              <w:rPr>
                <w:rFonts w:cs="Arial"/>
              </w:rPr>
              <w:t xml:space="preserve">Development provides for public access to the land except where: </w:t>
            </w:r>
          </w:p>
          <w:p w14:paraId="3CE051DC" w14:textId="77777777" w:rsidR="00BE36FB" w:rsidRPr="009B7B35" w:rsidRDefault="00BE36FB" w:rsidP="00BE36FB">
            <w:pPr>
              <w:pStyle w:val="TableText"/>
              <w:numPr>
                <w:ilvl w:val="0"/>
                <w:numId w:val="429"/>
              </w:numPr>
              <w:rPr>
                <w:rFonts w:cs="Arial"/>
              </w:rPr>
            </w:pPr>
            <w:r w:rsidRPr="009B7B35">
              <w:rPr>
                <w:rFonts w:cs="Arial"/>
              </w:rPr>
              <w:t>environmental values are adversely impacted</w:t>
            </w:r>
          </w:p>
          <w:p w14:paraId="04B12870" w14:textId="77777777" w:rsidR="00BE36FB" w:rsidRPr="009B7B35" w:rsidRDefault="00BE36FB" w:rsidP="00BE36FB">
            <w:pPr>
              <w:pStyle w:val="TableText"/>
              <w:numPr>
                <w:ilvl w:val="0"/>
                <w:numId w:val="429"/>
              </w:numPr>
              <w:rPr>
                <w:rFonts w:cs="Arial"/>
              </w:rPr>
            </w:pPr>
            <w:r w:rsidRPr="009B7B35">
              <w:rPr>
                <w:rFonts w:cs="Arial"/>
              </w:rPr>
              <w:t>there is a risk to public safety.</w:t>
            </w:r>
          </w:p>
        </w:tc>
        <w:tc>
          <w:tcPr>
            <w:tcW w:w="4678" w:type="dxa"/>
          </w:tcPr>
          <w:p w14:paraId="1B68F70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14:paraId="0FEE4CF1" w14:textId="77777777" w:rsidTr="001A7107">
        <w:tblPrEx>
          <w:tblLook w:val="01E0" w:firstRow="1" w:lastRow="1" w:firstColumn="1" w:lastColumn="1" w:noHBand="0" w:noVBand="0"/>
        </w:tblPrEx>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6E8F70FB"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Nature based tourism</w:t>
            </w:r>
          </w:p>
        </w:tc>
      </w:tr>
      <w:tr w:rsidR="00BE36FB" w:rsidRPr="009B7B35" w14:paraId="046B9584" w14:textId="77777777" w:rsidTr="001A7107">
        <w:tblPrEx>
          <w:tblLook w:val="01E0" w:firstRow="1" w:lastRow="1" w:firstColumn="1" w:lastColumn="1" w:noHBand="0" w:noVBand="0"/>
        </w:tblPrEx>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440A617D" w14:textId="77777777" w:rsidR="00BE36FB" w:rsidRPr="009B7B35" w:rsidRDefault="00BE36FB" w:rsidP="001A7107">
            <w:pPr>
              <w:pStyle w:val="TableText"/>
              <w:rPr>
                <w:rFonts w:cs="Arial"/>
                <w:b/>
                <w:bCs/>
                <w:lang w:eastAsia="en-US"/>
              </w:rPr>
            </w:pPr>
            <w:r w:rsidRPr="009B7B35">
              <w:rPr>
                <w:rFonts w:cs="Arial"/>
                <w:b/>
                <w:lang w:eastAsia="en-US"/>
              </w:rPr>
              <w:t>PO6</w:t>
            </w:r>
          </w:p>
          <w:p w14:paraId="5D4ACB21" w14:textId="77777777" w:rsidR="00BE36FB" w:rsidRPr="009B7B35" w:rsidRDefault="00BE36FB" w:rsidP="001A7107">
            <w:pPr>
              <w:pStyle w:val="TableText"/>
              <w:rPr>
                <w:rFonts w:cs="Arial"/>
                <w:lang w:eastAsia="en-US"/>
              </w:rPr>
            </w:pPr>
            <w:r w:rsidRPr="009B7B35">
              <w:rPr>
                <w:rFonts w:cs="Arial"/>
                <w:lang w:eastAsia="en-US"/>
              </w:rPr>
              <w:t xml:space="preserve">Development </w:t>
            </w:r>
            <w:r w:rsidRPr="009B7B35">
              <w:rPr>
                <w:rFonts w:cs="Arial"/>
              </w:rPr>
              <w:t xml:space="preserve">protects environmental values and </w:t>
            </w:r>
            <w:r w:rsidRPr="009B7B35">
              <w:rPr>
                <w:rFonts w:cs="Arial"/>
                <w:lang w:eastAsia="en-US"/>
              </w:rPr>
              <w:t>is of a scale and intensity that does not compromise the low density and environmental character of the locality.</w:t>
            </w:r>
          </w:p>
        </w:tc>
        <w:tc>
          <w:tcPr>
            <w:cnfStyle w:val="000100000000" w:firstRow="0" w:lastRow="0" w:firstColumn="0" w:lastColumn="1" w:oddVBand="0" w:evenVBand="0" w:oddHBand="0" w:evenHBand="0" w:firstRowFirstColumn="0" w:firstRowLastColumn="0" w:lastRowFirstColumn="0" w:lastRowLastColumn="0"/>
            <w:tcW w:w="4678" w:type="dxa"/>
          </w:tcPr>
          <w:p w14:paraId="195F9F36" w14:textId="77777777" w:rsidR="00BE36FB" w:rsidRPr="009B7B35" w:rsidRDefault="00BE36FB" w:rsidP="001A7107">
            <w:pPr>
              <w:pStyle w:val="TableText"/>
              <w:rPr>
                <w:rFonts w:cs="Arial"/>
                <w:color w:val="auto"/>
                <w:lang w:eastAsia="en-US"/>
              </w:rPr>
            </w:pPr>
            <w:r w:rsidRPr="009B7B35">
              <w:rPr>
                <w:rFonts w:cs="Arial"/>
                <w:color w:val="auto"/>
                <w:lang w:eastAsia="en-US"/>
              </w:rPr>
              <w:t>No acceptable outcome is nominated.</w:t>
            </w:r>
          </w:p>
        </w:tc>
      </w:tr>
      <w:tr w:rsidR="00BE36FB" w:rsidRPr="009B7B35" w14:paraId="5751C8E4"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2E539397"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0CE017A9"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7794C624" w14:textId="77777777" w:rsidR="00BE36FB" w:rsidRPr="009B7B35" w:rsidRDefault="00BE36FB" w:rsidP="001A7107">
            <w:pPr>
              <w:pStyle w:val="TableText"/>
              <w:rPr>
                <w:rFonts w:cs="Arial"/>
                <w:b/>
                <w:bCs/>
              </w:rPr>
            </w:pPr>
            <w:r w:rsidRPr="009B7B35">
              <w:rPr>
                <w:rFonts w:cs="Arial"/>
                <w:b/>
                <w:bCs/>
              </w:rPr>
              <w:t>PO7</w:t>
            </w:r>
          </w:p>
          <w:p w14:paraId="218241D3" w14:textId="77777777"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14:paraId="1D24011D" w14:textId="77777777" w:rsidR="00BE36FB" w:rsidRPr="009B7B35" w:rsidRDefault="00BE36FB" w:rsidP="00BE36FB">
            <w:pPr>
              <w:pStyle w:val="TableText"/>
              <w:numPr>
                <w:ilvl w:val="0"/>
                <w:numId w:val="508"/>
              </w:numPr>
              <w:ind w:left="652" w:hanging="652"/>
              <w:rPr>
                <w:rFonts w:cs="Arial"/>
              </w:rPr>
            </w:pPr>
            <w:r w:rsidRPr="009B7B35">
              <w:rPr>
                <w:rFonts w:cs="Arial"/>
              </w:rPr>
              <w:t>any hazards to people or property are avoided</w:t>
            </w:r>
          </w:p>
          <w:p w14:paraId="094B77A0" w14:textId="77777777" w:rsidR="00BE36FB" w:rsidRPr="009B7B35" w:rsidRDefault="00BE36FB" w:rsidP="00BE36FB">
            <w:pPr>
              <w:pStyle w:val="TableText"/>
              <w:numPr>
                <w:ilvl w:val="0"/>
                <w:numId w:val="508"/>
              </w:numPr>
              <w:ind w:left="652" w:hanging="652"/>
              <w:rPr>
                <w:rFonts w:cs="Arial"/>
              </w:rPr>
            </w:pPr>
            <w:r w:rsidRPr="009B7B35">
              <w:rPr>
                <w:rFonts w:cs="Arial"/>
              </w:rPr>
              <w:t>any earthworks are minimised</w:t>
            </w:r>
          </w:p>
          <w:p w14:paraId="2F38F08B" w14:textId="77777777" w:rsidR="00BE36FB" w:rsidRPr="009B7B35" w:rsidRDefault="00BE36FB" w:rsidP="00BE36FB">
            <w:pPr>
              <w:pStyle w:val="TableText"/>
              <w:numPr>
                <w:ilvl w:val="0"/>
                <w:numId w:val="508"/>
              </w:numPr>
              <w:ind w:left="652" w:hanging="652"/>
              <w:rPr>
                <w:rFonts w:cs="Arial"/>
              </w:rPr>
            </w:pPr>
            <w:r w:rsidRPr="009B7B35">
              <w:rPr>
                <w:rFonts w:cs="Arial"/>
              </w:rPr>
              <w:t>the retention of natural drainage lines is maximised</w:t>
            </w:r>
          </w:p>
          <w:p w14:paraId="3670DFE9" w14:textId="77777777" w:rsidR="00BE36FB" w:rsidRPr="009B7B35" w:rsidRDefault="00BE36FB" w:rsidP="00BE36FB">
            <w:pPr>
              <w:pStyle w:val="TableText"/>
              <w:numPr>
                <w:ilvl w:val="0"/>
                <w:numId w:val="508"/>
              </w:numPr>
              <w:ind w:left="652" w:hanging="652"/>
              <w:rPr>
                <w:rFonts w:cs="Arial"/>
              </w:rPr>
            </w:pPr>
            <w:r w:rsidRPr="009B7B35">
              <w:rPr>
                <w:rFonts w:cs="Arial"/>
              </w:rPr>
              <w:t>the retention of existing vegetation is maximised</w:t>
            </w:r>
          </w:p>
          <w:p w14:paraId="234AB833" w14:textId="77777777" w:rsidR="00BE36FB" w:rsidRPr="009B7B35" w:rsidRDefault="00BE36FB" w:rsidP="00BE36FB">
            <w:pPr>
              <w:pStyle w:val="TableText"/>
              <w:numPr>
                <w:ilvl w:val="0"/>
                <w:numId w:val="508"/>
              </w:numPr>
              <w:ind w:left="652" w:hanging="652"/>
              <w:rPr>
                <w:rFonts w:cs="Arial"/>
              </w:rPr>
            </w:pPr>
            <w:r w:rsidRPr="009B7B35">
              <w:rPr>
                <w:rFonts w:cs="Arial"/>
              </w:rPr>
              <w:t>damage or disruption to sewerage, stormwater and water infrastructure is avoided</w:t>
            </w:r>
          </w:p>
          <w:p w14:paraId="04894C1B" w14:textId="77777777" w:rsidR="00BE36FB" w:rsidRPr="009B7B35" w:rsidRDefault="00BE36FB" w:rsidP="00BE36FB">
            <w:pPr>
              <w:pStyle w:val="TableText"/>
              <w:numPr>
                <w:ilvl w:val="0"/>
                <w:numId w:val="508"/>
              </w:numPr>
              <w:ind w:left="652" w:hanging="652"/>
              <w:rPr>
                <w:rFonts w:cs="Arial"/>
              </w:rPr>
            </w:pPr>
            <w:r w:rsidRPr="009B7B35">
              <w:rPr>
                <w:rFonts w:cs="Arial"/>
              </w:rPr>
              <w:t>there is adequate buffering, screening or separation to adjoining development.</w:t>
            </w:r>
          </w:p>
        </w:tc>
        <w:tc>
          <w:tcPr>
            <w:tcW w:w="4678" w:type="dxa"/>
          </w:tcPr>
          <w:p w14:paraId="2239578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bl>
    <w:p w14:paraId="0BF86FA9" w14:textId="77777777" w:rsidR="00BE36FB" w:rsidRPr="009B7B35" w:rsidRDefault="00BE36FB" w:rsidP="001A7107">
      <w:pPr>
        <w:rPr>
          <w:rFonts w:ascii="Arial" w:hAnsi="Arial" w:cs="Arial"/>
          <w:sz w:val="20"/>
          <w:szCs w:val="20"/>
        </w:rPr>
      </w:pPr>
    </w:p>
    <w:p w14:paraId="54E061E3" w14:textId="77777777" w:rsidR="00BE36FB" w:rsidRPr="009B7B35" w:rsidRDefault="00BE36FB" w:rsidP="001A7107">
      <w:pPr>
        <w:rPr>
          <w:rFonts w:ascii="Arial" w:hAnsi="Arial" w:cs="Arial"/>
          <w:sz w:val="20"/>
          <w:szCs w:val="20"/>
        </w:rPr>
      </w:pPr>
    </w:p>
    <w:p w14:paraId="3F1823D9" w14:textId="77777777" w:rsidR="00BE36FB" w:rsidRPr="009B7B35" w:rsidRDefault="00BE36FB" w:rsidP="001A7107">
      <w:pPr>
        <w:rPr>
          <w:rFonts w:ascii="Arial" w:hAnsi="Arial" w:cs="Arial"/>
          <w:sz w:val="20"/>
          <w:szCs w:val="20"/>
        </w:rPr>
      </w:pPr>
    </w:p>
    <w:p w14:paraId="1C240244" w14:textId="77777777" w:rsidR="00BE36FB" w:rsidRPr="009B7B35" w:rsidRDefault="00BE36FB" w:rsidP="001A7107">
      <w:pPr>
        <w:rPr>
          <w:rFonts w:ascii="Arial" w:hAnsi="Arial" w:cs="Arial"/>
          <w:sz w:val="20"/>
          <w:szCs w:val="20"/>
        </w:rPr>
      </w:pPr>
    </w:p>
    <w:p w14:paraId="2C77BAA7" w14:textId="77777777" w:rsidR="00BE36FB" w:rsidRPr="009B7B35" w:rsidRDefault="00BE36FB" w:rsidP="001A7107">
      <w:pPr>
        <w:rPr>
          <w:rFonts w:ascii="Arial" w:hAnsi="Arial" w:cs="Arial"/>
          <w:sz w:val="20"/>
          <w:szCs w:val="20"/>
        </w:rPr>
      </w:pPr>
    </w:p>
    <w:p w14:paraId="08406B3E" w14:textId="77777777" w:rsidR="00BE36FB" w:rsidRPr="009B7B35" w:rsidRDefault="00BE36FB" w:rsidP="001A7107">
      <w:pPr>
        <w:rPr>
          <w:rFonts w:ascii="Arial" w:hAnsi="Arial" w:cs="Arial"/>
          <w:sz w:val="20"/>
          <w:szCs w:val="20"/>
        </w:rPr>
      </w:pPr>
    </w:p>
    <w:p w14:paraId="2A5EE372" w14:textId="77777777" w:rsidR="00BE36FB" w:rsidRPr="009B7B35" w:rsidRDefault="00BE36FB" w:rsidP="001A7107">
      <w:pPr>
        <w:rPr>
          <w:rFonts w:ascii="Arial" w:hAnsi="Arial" w:cs="Arial"/>
          <w:sz w:val="20"/>
          <w:szCs w:val="20"/>
        </w:rPr>
      </w:pPr>
    </w:p>
    <w:p w14:paraId="15484F8E" w14:textId="77777777" w:rsidR="00BE36FB" w:rsidRPr="009B7B35" w:rsidRDefault="00BE36FB" w:rsidP="001A7107">
      <w:pPr>
        <w:rPr>
          <w:rFonts w:ascii="Arial" w:hAnsi="Arial" w:cs="Arial"/>
          <w:sz w:val="20"/>
          <w:szCs w:val="20"/>
        </w:rPr>
      </w:pPr>
    </w:p>
    <w:p w14:paraId="1220A479" w14:textId="77777777" w:rsidR="00BE36FB" w:rsidRPr="009B7B35" w:rsidRDefault="00BE36FB" w:rsidP="006776DA">
      <w:pPr>
        <w:pStyle w:val="Heading3"/>
        <w:keepLines/>
        <w:numPr>
          <w:ilvl w:val="2"/>
          <w:numId w:val="883"/>
        </w:numPr>
        <w:spacing w:before="240"/>
        <w:rPr>
          <w:rFonts w:ascii="Arial" w:hAnsi="Arial"/>
          <w:sz w:val="20"/>
          <w:szCs w:val="20"/>
        </w:rPr>
      </w:pPr>
      <w:bookmarkStart w:id="194" w:name="_Toc205367357"/>
      <w:r w:rsidRPr="009B7B35">
        <w:rPr>
          <w:rFonts w:ascii="Arial" w:hAnsi="Arial"/>
          <w:sz w:val="20"/>
          <w:szCs w:val="20"/>
        </w:rPr>
        <w:t>Low impact industry</w:t>
      </w:r>
      <w:bookmarkEnd w:id="194"/>
    </w:p>
    <w:p w14:paraId="09527E0B"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3CBA156F" w14:textId="77777777"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development where the code is identified as applicable in a table of assessment. When using this code, reference should be made to section 5.3.2 and where applicable, section 5.3.3 located in Part 5.</w:t>
      </w:r>
    </w:p>
    <w:p w14:paraId="49D507F5"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0C9F2A88" w14:textId="77777777" w:rsidR="00BE36FB" w:rsidRPr="009B7B35" w:rsidRDefault="00BE36FB" w:rsidP="00BE36FB">
      <w:pPr>
        <w:numPr>
          <w:ilvl w:val="0"/>
          <w:numId w:val="253"/>
        </w:numPr>
        <w:rPr>
          <w:rFonts w:ascii="Arial" w:hAnsi="Arial" w:cs="Arial"/>
          <w:sz w:val="20"/>
          <w:szCs w:val="20"/>
        </w:rPr>
      </w:pPr>
      <w:r w:rsidRPr="009B7B35">
        <w:rPr>
          <w:rFonts w:ascii="Arial" w:hAnsi="Arial" w:cs="Arial"/>
          <w:sz w:val="20"/>
          <w:szCs w:val="20"/>
          <w:lang w:eastAsia="en-US"/>
        </w:rPr>
        <w:t xml:space="preserve">The purpose of the Low impact industry zone code is to provide for service and low impact industry uses that generally service local needs. Development may include non–industrial and business uses that support industrial activities where they do not compromise the long–term use of the land for industrial purposes. Development does not detract from the function and viability of the region’s centres. </w:t>
      </w:r>
      <w:r w:rsidRPr="009B7B35">
        <w:rPr>
          <w:rFonts w:ascii="Arial" w:hAnsi="Arial" w:cs="Arial"/>
          <w:sz w:val="20"/>
          <w:szCs w:val="20"/>
        </w:rPr>
        <w:t>Development facilitates the safe, efficient and attractive use of land for smaller scale industrial activities that generate low impacts. Land use activities must ensure they minimise impacts on surrounding land having regard to noise, vibration, odour, dust, light or other emissions. Adverse impacts on the health, safety or amenity of nearby residential zoned land or other sensitive land uses are minimised.</w:t>
      </w:r>
    </w:p>
    <w:p w14:paraId="512F65CB" w14:textId="77777777" w:rsidR="00BE36FB" w:rsidRPr="009B7B35" w:rsidRDefault="00BE36FB" w:rsidP="00BE36FB">
      <w:pPr>
        <w:numPr>
          <w:ilvl w:val="0"/>
          <w:numId w:val="253"/>
        </w:numPr>
        <w:rPr>
          <w:rFonts w:ascii="Arial" w:hAnsi="Arial" w:cs="Arial"/>
          <w:sz w:val="20"/>
          <w:szCs w:val="20"/>
        </w:rPr>
      </w:pPr>
      <w:r w:rsidRPr="009B7B35">
        <w:rPr>
          <w:rFonts w:ascii="Arial" w:hAnsi="Arial" w:cs="Arial"/>
          <w:sz w:val="20"/>
          <w:szCs w:val="20"/>
        </w:rPr>
        <w:t>The purpose of the zone will be achieved through the following overall outcomes:</w:t>
      </w:r>
    </w:p>
    <w:p w14:paraId="2260F40A"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The zone primarily accommodates a range of generally smaller scale industrial uses which have low levels of potential impacts on surrounding areas.</w:t>
      </w:r>
    </w:p>
    <w:p w14:paraId="7C7EEE8F"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The zone also accommodates limited activities of wholesale, trade supplies and indoor sport and recreation uses which are difficult to locate in other areas, where these have low levels of potential impacts on surrounding areas.</w:t>
      </w:r>
    </w:p>
    <w:p w14:paraId="2C92D65E"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Other non–industrial uses that are ancillary to, and directly support, the industrial area are facilitated.</w:t>
      </w:r>
    </w:p>
    <w:p w14:paraId="183695B7"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The zone does not accommodate uses which are primarily oriented to retail sales which are more appropriately located in centres, such as shops, shopping centres and large format retail showrooms. Some showroom uses are well established in the Hanson Road precinct and may continue in this precinct but must not undermine the viability of specialised centre zone areas.</w:t>
      </w:r>
    </w:p>
    <w:p w14:paraId="011A3E7D"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 xml:space="preserve">Uses and works for industrial purposes are located, designed and managed to maintain safety to people, avoid significant adverse effects on the natural environment and minimise impacts on adjacent non–industrial land. </w:t>
      </w:r>
    </w:p>
    <w:p w14:paraId="66DBECF1"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 xml:space="preserve">Development maximises the use of existing transport infrastructure and has access to the appropriate level of transport infrastructure (railways, freight routes and motorways) and facilities such as airports and seaports. </w:t>
      </w:r>
    </w:p>
    <w:p w14:paraId="1E1DC7D9"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Development is supported by transport infrastructure that is designed to provide and promote safe and efficient public transport use, walking and cycling.</w:t>
      </w:r>
    </w:p>
    <w:p w14:paraId="77889D28"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and water conservation.</w:t>
      </w:r>
    </w:p>
    <w:p w14:paraId="4F01F2C1"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The scale, character and built form of development contributes to a high standard of amenity and makes a positive contribution to the public domain and streetscape particularly along major roads.</w:t>
      </w:r>
    </w:p>
    <w:p w14:paraId="18CAAD42"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The viability of both existing and future low impact industry uses are protected from the intrusion of incompatible uses.</w:t>
      </w:r>
    </w:p>
    <w:p w14:paraId="326579F8"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Development responds to land constraints, including but not limited to topography, bushfire and flooding.</w:t>
      </w:r>
    </w:p>
    <w:p w14:paraId="7A04F363"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Adverse impacts on natural features and processes, both on–site and from adjoining areas, are minimised through location, design, operation and management of development.</w:t>
      </w:r>
    </w:p>
    <w:p w14:paraId="2AFA0411"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Development avoids significant adverse effects on water quality and the natural environment.</w:t>
      </w:r>
    </w:p>
    <w:p w14:paraId="547AD79E"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Industrial uses are adequately separated from sensitive land uses to minimise the likelihood of environmental harm or environmental nuisance occurring.</w:t>
      </w:r>
    </w:p>
    <w:p w14:paraId="07AEA144" w14:textId="77777777" w:rsidR="00BE36FB" w:rsidRPr="009B7B35" w:rsidRDefault="00BE36FB" w:rsidP="00BE36FB">
      <w:pPr>
        <w:numPr>
          <w:ilvl w:val="0"/>
          <w:numId w:val="253"/>
        </w:numPr>
        <w:rPr>
          <w:rFonts w:ascii="Arial" w:hAnsi="Arial" w:cs="Arial"/>
          <w:sz w:val="20"/>
          <w:szCs w:val="20"/>
        </w:rPr>
      </w:pPr>
      <w:r w:rsidRPr="009B7B35">
        <w:rPr>
          <w:rFonts w:ascii="Arial" w:hAnsi="Arial" w:cs="Arial"/>
          <w:sz w:val="20"/>
          <w:szCs w:val="20"/>
        </w:rPr>
        <w:t xml:space="preserve">The purpose of the zone will also be achieved through the following additional overall outcomes for particular precincts: </w:t>
      </w:r>
    </w:p>
    <w:p w14:paraId="516D7183" w14:textId="77777777" w:rsidR="00BE36FB" w:rsidRPr="009B7B35" w:rsidRDefault="00BE36FB" w:rsidP="00BE36FB">
      <w:pPr>
        <w:numPr>
          <w:ilvl w:val="1"/>
          <w:numId w:val="253"/>
        </w:numPr>
        <w:rPr>
          <w:rFonts w:ascii="Arial" w:hAnsi="Arial" w:cs="Arial"/>
          <w:sz w:val="20"/>
          <w:szCs w:val="20"/>
        </w:rPr>
      </w:pPr>
      <w:r w:rsidRPr="009B7B35">
        <w:rPr>
          <w:rFonts w:ascii="Arial" w:hAnsi="Arial" w:cs="Arial"/>
          <w:sz w:val="20"/>
          <w:szCs w:val="20"/>
        </w:rPr>
        <w:t>Hanson Road precinct</w:t>
      </w:r>
    </w:p>
    <w:p w14:paraId="6EA89730" w14:textId="77777777" w:rsidR="00BE36FB" w:rsidRPr="009B7B35" w:rsidRDefault="00BE36FB" w:rsidP="00BE36FB">
      <w:pPr>
        <w:numPr>
          <w:ilvl w:val="2"/>
          <w:numId w:val="253"/>
        </w:numPr>
        <w:rPr>
          <w:rFonts w:ascii="Arial" w:hAnsi="Arial" w:cs="Arial"/>
          <w:sz w:val="20"/>
          <w:szCs w:val="20"/>
          <w:lang w:eastAsia="en-US"/>
        </w:rPr>
      </w:pPr>
      <w:r w:rsidRPr="009B7B35">
        <w:rPr>
          <w:rFonts w:ascii="Arial" w:hAnsi="Arial" w:cs="Arial"/>
          <w:sz w:val="20"/>
          <w:szCs w:val="20"/>
        </w:rPr>
        <w:t>Development contributes to the region’s automotive and trade supply needs through the display and sale of motor vehicles and associated automotive repair and related services and the retailing of trade supplies</w:t>
      </w:r>
      <w:r w:rsidRPr="009B7B35">
        <w:rPr>
          <w:rFonts w:ascii="Arial" w:hAnsi="Arial" w:cs="Arial"/>
          <w:sz w:val="20"/>
          <w:szCs w:val="20"/>
          <w:lang w:eastAsia="en-US"/>
        </w:rPr>
        <w:t>.</w:t>
      </w:r>
    </w:p>
    <w:p w14:paraId="54BCFC28" w14:textId="77777777" w:rsidR="00BE36FB" w:rsidRPr="009B7B35" w:rsidRDefault="00BE36FB" w:rsidP="00BE36FB">
      <w:pPr>
        <w:numPr>
          <w:ilvl w:val="2"/>
          <w:numId w:val="253"/>
        </w:numPr>
        <w:rPr>
          <w:rFonts w:ascii="Arial" w:hAnsi="Arial" w:cs="Arial"/>
          <w:sz w:val="20"/>
          <w:szCs w:val="20"/>
          <w:lang w:eastAsia="en-US"/>
        </w:rPr>
      </w:pPr>
      <w:r w:rsidRPr="009B7B35">
        <w:rPr>
          <w:rFonts w:ascii="Arial" w:hAnsi="Arial" w:cs="Arial"/>
          <w:sz w:val="20"/>
          <w:szCs w:val="20"/>
        </w:rPr>
        <w:t>Development supports other types of showrooms at a small scale where it does not impact on the viability of the region's centres.</w:t>
      </w:r>
    </w:p>
    <w:p w14:paraId="71225DC6"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4E746D90" w14:textId="77777777" w:rsidR="00BE36FB" w:rsidRPr="009B7B35" w:rsidRDefault="00BE36FB" w:rsidP="003A35DA">
      <w:pPr>
        <w:pStyle w:val="Heading5"/>
        <w:numPr>
          <w:ilvl w:val="0"/>
          <w:numId w:val="0"/>
        </w:numPr>
        <w:rPr>
          <w:rFonts w:cs="Arial"/>
          <w:szCs w:val="20"/>
        </w:rPr>
      </w:pPr>
      <w:r w:rsidRPr="009B7B35">
        <w:rPr>
          <w:rFonts w:cs="Arial"/>
          <w:szCs w:val="20"/>
          <w:lang w:eastAsia="en-US"/>
        </w:rPr>
        <w:t>Table 6.2.12.3.1—</w:t>
      </w:r>
      <w:r w:rsidRPr="009B7B35">
        <w:rPr>
          <w:rFonts w:cs="Arial"/>
          <w:szCs w:val="20"/>
        </w:rPr>
        <w:t xml:space="preserve">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14:paraId="0C6D4492"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hideMark/>
          </w:tcPr>
          <w:p w14:paraId="639C183C"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Performance outcomes</w:t>
            </w:r>
          </w:p>
        </w:tc>
        <w:tc>
          <w:tcPr>
            <w:tcW w:w="4678" w:type="dxa"/>
            <w:hideMark/>
          </w:tcPr>
          <w:p w14:paraId="765A975A"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Acceptable outcomes</w:t>
            </w:r>
          </w:p>
        </w:tc>
      </w:tr>
      <w:tr w:rsidR="00BE36FB" w:rsidRPr="009B7B35" w14:paraId="4139868A" w14:textId="77777777" w:rsidTr="001A7107">
        <w:trPr>
          <w:cantSplit/>
        </w:trPr>
        <w:tc>
          <w:tcPr>
            <w:tcW w:w="9356" w:type="dxa"/>
            <w:gridSpan w:val="2"/>
            <w:shd w:val="clear" w:color="auto" w:fill="BFBFBF" w:themeFill="background1" w:themeFillShade="BF"/>
          </w:tcPr>
          <w:p w14:paraId="56EC45AB"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Uses – Agricultural supplies store, Garden centre and Hardware and trade supplies</w:t>
            </w:r>
          </w:p>
        </w:tc>
      </w:tr>
      <w:tr w:rsidR="00BE36FB" w:rsidRPr="009B7B35" w14:paraId="7C97C30F" w14:textId="77777777" w:rsidTr="001A7107">
        <w:trPr>
          <w:cantSplit/>
        </w:trPr>
        <w:tc>
          <w:tcPr>
            <w:tcW w:w="4678" w:type="dxa"/>
          </w:tcPr>
          <w:p w14:paraId="56EB38AB" w14:textId="77777777" w:rsidR="00BE36FB" w:rsidRPr="009B7B35" w:rsidRDefault="00BE36FB" w:rsidP="001A7107">
            <w:pPr>
              <w:pStyle w:val="TableText"/>
              <w:rPr>
                <w:rFonts w:cs="Arial"/>
                <w:b/>
                <w:bCs/>
                <w:lang w:eastAsia="en-US"/>
              </w:rPr>
            </w:pPr>
            <w:r w:rsidRPr="009B7B35">
              <w:rPr>
                <w:rFonts w:cs="Arial"/>
                <w:b/>
                <w:bCs/>
                <w:lang w:eastAsia="en-US"/>
              </w:rPr>
              <w:t>PO1</w:t>
            </w:r>
          </w:p>
          <w:p w14:paraId="18E9DE7A" w14:textId="77777777" w:rsidR="00BE36FB" w:rsidRPr="009B7B35" w:rsidRDefault="00BE36FB" w:rsidP="001A7107">
            <w:pPr>
              <w:rPr>
                <w:rFonts w:cs="Arial"/>
                <w:sz w:val="20"/>
                <w:szCs w:val="20"/>
                <w:lang w:eastAsia="en-US"/>
              </w:rPr>
            </w:pPr>
            <w:r w:rsidRPr="009B7B35">
              <w:rPr>
                <w:rFonts w:cs="Arial"/>
                <w:sz w:val="20"/>
                <w:szCs w:val="20"/>
                <w:lang w:eastAsia="en-US"/>
              </w:rPr>
              <w:t xml:space="preserve">Development: </w:t>
            </w:r>
          </w:p>
          <w:p w14:paraId="5F08A671" w14:textId="77777777" w:rsidR="00BE36FB" w:rsidRPr="009B7B35" w:rsidRDefault="00BE36FB" w:rsidP="00BE36FB">
            <w:pPr>
              <w:numPr>
                <w:ilvl w:val="0"/>
                <w:numId w:val="168"/>
              </w:numPr>
              <w:rPr>
                <w:rFonts w:cs="Arial"/>
                <w:sz w:val="20"/>
                <w:szCs w:val="20"/>
                <w:lang w:eastAsia="en-US"/>
              </w:rPr>
            </w:pPr>
            <w:r w:rsidRPr="009B7B35">
              <w:rPr>
                <w:rFonts w:cs="Arial"/>
                <w:sz w:val="20"/>
                <w:szCs w:val="20"/>
                <w:lang w:eastAsia="en-US"/>
              </w:rPr>
              <w:t>does not impact on the viability of the region’s centres</w:t>
            </w:r>
          </w:p>
          <w:p w14:paraId="69E618C3" w14:textId="77777777" w:rsidR="00BE36FB" w:rsidRPr="009B7B35" w:rsidRDefault="00BE36FB" w:rsidP="00BE36FB">
            <w:pPr>
              <w:numPr>
                <w:ilvl w:val="0"/>
                <w:numId w:val="168"/>
              </w:numPr>
              <w:rPr>
                <w:rFonts w:cs="Arial"/>
                <w:sz w:val="20"/>
                <w:szCs w:val="20"/>
                <w:lang w:eastAsia="en-US"/>
              </w:rPr>
            </w:pPr>
            <w:r w:rsidRPr="009B7B35">
              <w:rPr>
                <w:rFonts w:cs="Arial"/>
                <w:sz w:val="20"/>
                <w:szCs w:val="20"/>
                <w:lang w:eastAsia="en-US"/>
              </w:rPr>
              <w:t>does not compromise the low impact industry character of the locality, and</w:t>
            </w:r>
          </w:p>
          <w:p w14:paraId="3B50D744" w14:textId="77777777" w:rsidR="00BE36FB" w:rsidRPr="009B7B35" w:rsidRDefault="00BE36FB" w:rsidP="00BE36FB">
            <w:pPr>
              <w:numPr>
                <w:ilvl w:val="0"/>
                <w:numId w:val="168"/>
              </w:numPr>
              <w:rPr>
                <w:rFonts w:cs="Arial"/>
                <w:sz w:val="20"/>
                <w:szCs w:val="20"/>
                <w:lang w:eastAsia="en-US"/>
              </w:rPr>
            </w:pPr>
            <w:r w:rsidRPr="009B7B35">
              <w:rPr>
                <w:rFonts w:cs="Arial"/>
                <w:sz w:val="20"/>
                <w:szCs w:val="20"/>
                <w:lang w:eastAsia="en-US"/>
              </w:rPr>
              <w:t>does not include large format, land consumptive commercial uses.</w:t>
            </w:r>
          </w:p>
        </w:tc>
        <w:tc>
          <w:tcPr>
            <w:tcW w:w="4678" w:type="dxa"/>
          </w:tcPr>
          <w:p w14:paraId="275F3128" w14:textId="77777777" w:rsidR="00BE36FB" w:rsidRPr="009B7B35" w:rsidRDefault="00BE36FB" w:rsidP="001A7107">
            <w:pPr>
              <w:pStyle w:val="TableText"/>
              <w:rPr>
                <w:rFonts w:cs="Arial"/>
                <w:b/>
                <w:bCs/>
                <w:lang w:eastAsia="en-US"/>
              </w:rPr>
            </w:pPr>
            <w:r w:rsidRPr="009B7B35">
              <w:rPr>
                <w:rFonts w:cs="Arial"/>
                <w:b/>
                <w:bCs/>
                <w:lang w:eastAsia="en-US"/>
              </w:rPr>
              <w:t>AO1</w:t>
            </w:r>
          </w:p>
          <w:p w14:paraId="09EDA320" w14:textId="77777777" w:rsidR="00BE36FB" w:rsidRPr="009B7B35" w:rsidRDefault="00BE36FB" w:rsidP="001A7107">
            <w:pPr>
              <w:pStyle w:val="TableText"/>
              <w:rPr>
                <w:rFonts w:cs="Arial"/>
                <w:lang w:eastAsia="en-US"/>
              </w:rPr>
            </w:pPr>
            <w:r w:rsidRPr="009B7B35">
              <w:rPr>
                <w:rFonts w:cs="Arial"/>
                <w:lang w:eastAsia="en-US"/>
              </w:rPr>
              <w:t>GFA does not exceed 250m</w:t>
            </w:r>
            <w:r w:rsidRPr="009B7B35">
              <w:rPr>
                <w:rFonts w:cs="Arial"/>
                <w:vertAlign w:val="superscript"/>
              </w:rPr>
              <w:t>2</w:t>
            </w:r>
            <w:r w:rsidRPr="009B7B35">
              <w:rPr>
                <w:rFonts w:cs="Arial"/>
                <w:lang w:eastAsia="en-US"/>
              </w:rPr>
              <w:t xml:space="preserve"> for any Agricultural supplies store, Garden centre and Hardware and trade supplies.</w:t>
            </w:r>
          </w:p>
        </w:tc>
      </w:tr>
      <w:tr w:rsidR="00BE36FB" w:rsidRPr="009B7B35" w14:paraId="0F5F4873" w14:textId="77777777" w:rsidTr="001A7107">
        <w:trPr>
          <w:cantSplit/>
        </w:trPr>
        <w:tc>
          <w:tcPr>
            <w:tcW w:w="9356" w:type="dxa"/>
            <w:gridSpan w:val="2"/>
            <w:shd w:val="clear" w:color="auto" w:fill="BFBFBF" w:themeFill="background1" w:themeFillShade="BF"/>
            <w:hideMark/>
          </w:tcPr>
          <w:p w14:paraId="65231EBE"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Caretaker’s accommodation</w:t>
            </w:r>
          </w:p>
        </w:tc>
      </w:tr>
      <w:tr w:rsidR="00BE36FB" w:rsidRPr="009B7B35" w14:paraId="3DCEF46E" w14:textId="77777777" w:rsidTr="001A7107">
        <w:tc>
          <w:tcPr>
            <w:tcW w:w="4678" w:type="dxa"/>
            <w:vMerge w:val="restart"/>
          </w:tcPr>
          <w:p w14:paraId="556B2D0E" w14:textId="77777777" w:rsidR="00BE36FB" w:rsidRPr="009B7B35" w:rsidRDefault="00BE36FB" w:rsidP="001A7107">
            <w:pPr>
              <w:pStyle w:val="TableText"/>
              <w:rPr>
                <w:rFonts w:cs="Arial"/>
                <w:b/>
                <w:bCs/>
                <w:lang w:eastAsia="en-US"/>
              </w:rPr>
            </w:pPr>
            <w:r w:rsidRPr="009B7B35">
              <w:rPr>
                <w:rFonts w:cs="Arial"/>
                <w:b/>
                <w:bCs/>
                <w:lang w:eastAsia="en-US"/>
              </w:rPr>
              <w:t>PO2</w:t>
            </w:r>
          </w:p>
          <w:p w14:paraId="0BAC64A8" w14:textId="77777777" w:rsidR="00BE36FB" w:rsidRPr="009B7B35" w:rsidRDefault="00BE36FB" w:rsidP="001A7107">
            <w:pPr>
              <w:rPr>
                <w:rFonts w:cs="Arial"/>
                <w:sz w:val="20"/>
                <w:szCs w:val="20"/>
                <w:lang w:eastAsia="en-US"/>
              </w:rPr>
            </w:pPr>
            <w:r w:rsidRPr="009B7B35">
              <w:rPr>
                <w:rFonts w:cs="Arial"/>
                <w:sz w:val="20"/>
                <w:szCs w:val="20"/>
                <w:lang w:eastAsia="en-US"/>
              </w:rPr>
              <w:t>Development:</w:t>
            </w:r>
          </w:p>
          <w:p w14:paraId="6F9E2A17" w14:textId="77777777" w:rsidR="00BE36FB" w:rsidRPr="009B7B35" w:rsidRDefault="00BE36FB" w:rsidP="00BE36FB">
            <w:pPr>
              <w:pStyle w:val="TableText"/>
              <w:numPr>
                <w:ilvl w:val="0"/>
                <w:numId w:val="516"/>
              </w:numPr>
              <w:ind w:left="652" w:hanging="652"/>
              <w:rPr>
                <w:rFonts w:cs="Arial"/>
                <w:lang w:eastAsia="en-US"/>
              </w:rPr>
            </w:pPr>
            <w:r w:rsidRPr="009B7B35">
              <w:rPr>
                <w:rFonts w:cs="Arial"/>
                <w:lang w:eastAsia="en-US"/>
              </w:rPr>
              <w:t>is subordinate to non–residential uses on the same site, and</w:t>
            </w:r>
          </w:p>
          <w:p w14:paraId="21C1A2E0" w14:textId="77777777" w:rsidR="00BE36FB" w:rsidRPr="009B7B35" w:rsidRDefault="00BE36FB" w:rsidP="00BE36FB">
            <w:pPr>
              <w:pStyle w:val="TableText"/>
              <w:numPr>
                <w:ilvl w:val="0"/>
                <w:numId w:val="516"/>
              </w:numPr>
              <w:ind w:left="652" w:hanging="652"/>
              <w:rPr>
                <w:rFonts w:cs="Arial"/>
                <w:lang w:eastAsia="en-US"/>
              </w:rPr>
            </w:pPr>
            <w:r w:rsidRPr="009B7B35">
              <w:rPr>
                <w:rFonts w:cs="Arial"/>
                <w:lang w:eastAsia="en-US"/>
              </w:rPr>
              <w:t>provides adequate private open space for residents.</w:t>
            </w:r>
          </w:p>
        </w:tc>
        <w:tc>
          <w:tcPr>
            <w:tcW w:w="4678" w:type="dxa"/>
            <w:hideMark/>
          </w:tcPr>
          <w:p w14:paraId="1C924238" w14:textId="77777777" w:rsidR="00BE36FB" w:rsidRPr="009B7B35" w:rsidRDefault="00BE36FB" w:rsidP="001A7107">
            <w:pPr>
              <w:pStyle w:val="TableText"/>
              <w:rPr>
                <w:rFonts w:cs="Arial"/>
                <w:b/>
                <w:bCs/>
                <w:lang w:eastAsia="en-US"/>
              </w:rPr>
            </w:pPr>
            <w:r w:rsidRPr="009B7B35">
              <w:rPr>
                <w:rFonts w:cs="Arial"/>
                <w:b/>
                <w:bCs/>
                <w:lang w:eastAsia="en-US"/>
              </w:rPr>
              <w:t>AO2.1</w:t>
            </w:r>
          </w:p>
          <w:p w14:paraId="320325D4" w14:textId="77777777" w:rsidR="00BE36FB" w:rsidRPr="009B7B35" w:rsidRDefault="00BE36FB" w:rsidP="001A7107">
            <w:pPr>
              <w:pStyle w:val="TableText"/>
              <w:rPr>
                <w:rFonts w:cs="Arial"/>
                <w:lang w:eastAsia="en-US"/>
              </w:rPr>
            </w:pPr>
            <w:r w:rsidRPr="009B7B35">
              <w:rPr>
                <w:rFonts w:cs="Arial"/>
                <w:lang w:eastAsia="en-US"/>
              </w:rPr>
              <w:t>No more than 1 caretaker’s accommodation unit is established per non–residential land use.</w:t>
            </w:r>
          </w:p>
        </w:tc>
      </w:tr>
      <w:tr w:rsidR="00BE36FB" w:rsidRPr="009B7B35" w14:paraId="0558CF12" w14:textId="77777777" w:rsidTr="001A7107">
        <w:tc>
          <w:tcPr>
            <w:tcW w:w="4678" w:type="dxa"/>
            <w:vMerge/>
            <w:hideMark/>
          </w:tcPr>
          <w:p w14:paraId="47840590" w14:textId="77777777" w:rsidR="00BE36FB" w:rsidRPr="009B7B35" w:rsidRDefault="00BE36FB" w:rsidP="001A7107">
            <w:pPr>
              <w:rPr>
                <w:rFonts w:cs="Arial"/>
                <w:sz w:val="20"/>
                <w:szCs w:val="20"/>
                <w:lang w:eastAsia="en-US"/>
              </w:rPr>
            </w:pPr>
          </w:p>
        </w:tc>
        <w:tc>
          <w:tcPr>
            <w:tcW w:w="4678" w:type="dxa"/>
            <w:hideMark/>
          </w:tcPr>
          <w:p w14:paraId="2ED64AD7" w14:textId="77777777" w:rsidR="00BE36FB" w:rsidRPr="009B7B35" w:rsidRDefault="00BE36FB" w:rsidP="001A7107">
            <w:pPr>
              <w:pStyle w:val="TableText"/>
              <w:rPr>
                <w:rFonts w:cs="Arial"/>
                <w:b/>
                <w:bCs/>
                <w:lang w:eastAsia="en-US"/>
              </w:rPr>
            </w:pPr>
            <w:r w:rsidRPr="009B7B35">
              <w:rPr>
                <w:rFonts w:cs="Arial"/>
                <w:b/>
                <w:bCs/>
                <w:lang w:eastAsia="en-US"/>
              </w:rPr>
              <w:t>AO2.2</w:t>
            </w:r>
          </w:p>
          <w:p w14:paraId="6E01F8AA" w14:textId="77777777" w:rsidR="00BE36FB" w:rsidRPr="009B7B35" w:rsidRDefault="00BE36FB" w:rsidP="001A7107">
            <w:pPr>
              <w:pStyle w:val="TableText"/>
              <w:rPr>
                <w:rFonts w:cs="Arial"/>
                <w:lang w:eastAsia="en-US"/>
              </w:rPr>
            </w:pPr>
            <w:r w:rsidRPr="009B7B35">
              <w:rPr>
                <w:rFonts w:cs="Arial"/>
                <w:lang w:eastAsia="en-US"/>
              </w:rPr>
              <w:t>Caretaker’s accommodation is a maximum of 100m</w:t>
            </w:r>
            <w:r w:rsidRPr="009B7B35">
              <w:rPr>
                <w:rStyle w:val="StyleSuperscript"/>
                <w:rFonts w:cs="Arial"/>
              </w:rPr>
              <w:t>2</w:t>
            </w:r>
            <w:r w:rsidRPr="009B7B35">
              <w:rPr>
                <w:rFonts w:cs="Arial"/>
                <w:lang w:eastAsia="en-US"/>
              </w:rPr>
              <w:t xml:space="preserve"> in GFA.</w:t>
            </w:r>
          </w:p>
          <w:p w14:paraId="5CAD7470" w14:textId="77777777" w:rsidR="00BE36FB" w:rsidRPr="009B7B35" w:rsidRDefault="00BE36FB" w:rsidP="001A7107">
            <w:pPr>
              <w:pStyle w:val="TableText"/>
              <w:rPr>
                <w:rFonts w:cs="Arial"/>
                <w:lang w:eastAsia="en-US"/>
              </w:rPr>
            </w:pPr>
          </w:p>
        </w:tc>
      </w:tr>
      <w:tr w:rsidR="00BE36FB" w:rsidRPr="009B7B35" w14:paraId="36B980D2" w14:textId="77777777" w:rsidTr="001A7107">
        <w:tc>
          <w:tcPr>
            <w:tcW w:w="4678" w:type="dxa"/>
            <w:vMerge/>
            <w:hideMark/>
          </w:tcPr>
          <w:p w14:paraId="3B0CABF9" w14:textId="77777777" w:rsidR="00BE36FB" w:rsidRPr="009B7B35" w:rsidRDefault="00BE36FB" w:rsidP="001A7107">
            <w:pPr>
              <w:rPr>
                <w:rFonts w:cs="Arial"/>
                <w:sz w:val="20"/>
                <w:szCs w:val="20"/>
                <w:lang w:eastAsia="en-US"/>
              </w:rPr>
            </w:pPr>
          </w:p>
        </w:tc>
        <w:tc>
          <w:tcPr>
            <w:tcW w:w="4678" w:type="dxa"/>
            <w:hideMark/>
          </w:tcPr>
          <w:p w14:paraId="702E3F67" w14:textId="77777777" w:rsidR="00BE36FB" w:rsidRPr="009B7B35" w:rsidRDefault="00BE36FB" w:rsidP="001A7107">
            <w:pPr>
              <w:pStyle w:val="TableText"/>
              <w:rPr>
                <w:rFonts w:cs="Arial"/>
                <w:b/>
                <w:bCs/>
                <w:lang w:eastAsia="en-US"/>
              </w:rPr>
            </w:pPr>
            <w:r w:rsidRPr="009B7B35">
              <w:rPr>
                <w:rFonts w:cs="Arial"/>
                <w:b/>
                <w:bCs/>
                <w:lang w:eastAsia="en-US"/>
              </w:rPr>
              <w:t>AO2.3</w:t>
            </w:r>
          </w:p>
          <w:p w14:paraId="39434B5A" w14:textId="77777777" w:rsidR="00BE36FB" w:rsidRPr="009B7B35" w:rsidRDefault="00BE36FB" w:rsidP="001A7107">
            <w:pPr>
              <w:rPr>
                <w:rFonts w:cs="Arial"/>
                <w:sz w:val="20"/>
                <w:szCs w:val="20"/>
                <w:lang w:eastAsia="en-US"/>
              </w:rPr>
            </w:pPr>
            <w:r w:rsidRPr="009B7B35">
              <w:rPr>
                <w:rFonts w:cs="Arial"/>
                <w:sz w:val="20"/>
                <w:szCs w:val="20"/>
                <w:lang w:eastAsia="en-US"/>
              </w:rPr>
              <w:t>Caretaker’s accommodation is provided with a private open space area:</w:t>
            </w:r>
          </w:p>
          <w:p w14:paraId="65AE9C20" w14:textId="77777777" w:rsidR="00BE36FB" w:rsidRPr="009B7B35" w:rsidRDefault="00BE36FB" w:rsidP="00BE36FB">
            <w:pPr>
              <w:numPr>
                <w:ilvl w:val="0"/>
                <w:numId w:val="198"/>
              </w:numPr>
              <w:rPr>
                <w:rFonts w:cs="Arial"/>
                <w:sz w:val="20"/>
                <w:szCs w:val="20"/>
                <w:lang w:eastAsia="en-US"/>
              </w:rPr>
            </w:pPr>
            <w:r w:rsidRPr="009B7B35">
              <w:rPr>
                <w:rFonts w:cs="Arial"/>
                <w:sz w:val="20"/>
                <w:szCs w:val="20"/>
                <w:lang w:eastAsia="en-US"/>
              </w:rPr>
              <w:t>that is directly accessible from a habitable room, and</w:t>
            </w:r>
          </w:p>
          <w:p w14:paraId="76A86F0F" w14:textId="77777777" w:rsidR="00BE36FB" w:rsidRPr="009B7B35" w:rsidRDefault="00BE36FB" w:rsidP="00BE36FB">
            <w:pPr>
              <w:numPr>
                <w:ilvl w:val="0"/>
                <w:numId w:val="198"/>
              </w:numPr>
              <w:rPr>
                <w:rFonts w:cs="Arial"/>
                <w:sz w:val="20"/>
                <w:szCs w:val="20"/>
                <w:lang w:eastAsia="en-US"/>
              </w:rPr>
            </w:pPr>
            <w:r w:rsidRPr="009B7B35">
              <w:rPr>
                <w:rFonts w:cs="Arial"/>
                <w:sz w:val="20"/>
                <w:szCs w:val="20"/>
                <w:lang w:eastAsia="en-US"/>
              </w:rPr>
              <w:t xml:space="preserve">where a balcony, a verandah or a deck, has a minimum area of 15m² with </w:t>
            </w:r>
            <w:r w:rsidRPr="009B7B35">
              <w:rPr>
                <w:rFonts w:cs="Arial"/>
                <w:sz w:val="20"/>
                <w:szCs w:val="20"/>
              </w:rPr>
              <w:t xml:space="preserve">a </w:t>
            </w:r>
            <w:r w:rsidRPr="009B7B35">
              <w:rPr>
                <w:rFonts w:cs="Arial"/>
                <w:sz w:val="20"/>
                <w:szCs w:val="20"/>
                <w:lang w:eastAsia="en-US"/>
              </w:rPr>
              <w:t xml:space="preserve">minimum horizontal dimension of 1.25m. </w:t>
            </w:r>
          </w:p>
        </w:tc>
      </w:tr>
      <w:tr w:rsidR="00BE36FB" w:rsidRPr="009B7B35" w14:paraId="76F36AE2" w14:textId="77777777" w:rsidTr="001A7107">
        <w:trPr>
          <w:cantSplit/>
        </w:trPr>
        <w:tc>
          <w:tcPr>
            <w:tcW w:w="9356" w:type="dxa"/>
            <w:gridSpan w:val="2"/>
            <w:shd w:val="clear" w:color="auto" w:fill="BFBFBF" w:themeFill="background1" w:themeFillShade="BF"/>
          </w:tcPr>
          <w:p w14:paraId="058FC133"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Office</w:t>
            </w:r>
          </w:p>
        </w:tc>
      </w:tr>
      <w:tr w:rsidR="00BE36FB" w:rsidRPr="009B7B35" w14:paraId="51FF74A7" w14:textId="77777777" w:rsidTr="001A7107">
        <w:trPr>
          <w:cantSplit/>
        </w:trPr>
        <w:tc>
          <w:tcPr>
            <w:tcW w:w="4678" w:type="dxa"/>
          </w:tcPr>
          <w:p w14:paraId="73586A7E" w14:textId="77777777" w:rsidR="00BE36FB" w:rsidRPr="009B7B35" w:rsidRDefault="00BE36FB" w:rsidP="001A7107">
            <w:pPr>
              <w:pStyle w:val="TableText"/>
              <w:rPr>
                <w:rFonts w:cs="Arial"/>
                <w:b/>
                <w:bCs/>
                <w:lang w:eastAsia="en-US"/>
              </w:rPr>
            </w:pPr>
            <w:r w:rsidRPr="009B7B35">
              <w:rPr>
                <w:rFonts w:cs="Arial"/>
                <w:b/>
                <w:bCs/>
                <w:lang w:eastAsia="en-US"/>
              </w:rPr>
              <w:t>PO3</w:t>
            </w:r>
          </w:p>
          <w:p w14:paraId="21FA507F" w14:textId="77777777" w:rsidR="00BE36FB" w:rsidRPr="009B7B35" w:rsidRDefault="00BE36FB" w:rsidP="001A7107">
            <w:pPr>
              <w:pStyle w:val="TableText"/>
              <w:rPr>
                <w:rFonts w:cs="Arial"/>
                <w:lang w:eastAsia="en-US"/>
              </w:rPr>
            </w:pPr>
            <w:r w:rsidRPr="009B7B35">
              <w:rPr>
                <w:rFonts w:cs="Arial"/>
                <w:lang w:eastAsia="en-US"/>
              </w:rPr>
              <w:t>Offices are accommodated within the zone where they are ancillary to the primary use.</w:t>
            </w:r>
          </w:p>
        </w:tc>
        <w:tc>
          <w:tcPr>
            <w:tcW w:w="4678" w:type="dxa"/>
          </w:tcPr>
          <w:p w14:paraId="1AEEE132" w14:textId="77777777" w:rsidR="00BE36FB" w:rsidRPr="009B7B35" w:rsidRDefault="00BE36FB" w:rsidP="001A7107">
            <w:pPr>
              <w:pStyle w:val="TableText"/>
              <w:rPr>
                <w:rFonts w:cs="Arial"/>
                <w:b/>
                <w:bCs/>
                <w:lang w:eastAsia="en-US"/>
              </w:rPr>
            </w:pPr>
            <w:r w:rsidRPr="009B7B35">
              <w:rPr>
                <w:rFonts w:cs="Arial"/>
                <w:b/>
                <w:bCs/>
                <w:lang w:eastAsia="en-US"/>
              </w:rPr>
              <w:t>AO3</w:t>
            </w:r>
          </w:p>
          <w:p w14:paraId="5941F276" w14:textId="77777777" w:rsidR="00BE36FB" w:rsidRPr="009B7B35" w:rsidRDefault="00BE36FB" w:rsidP="001A7107">
            <w:pPr>
              <w:pStyle w:val="TableText"/>
              <w:rPr>
                <w:rFonts w:cs="Arial"/>
                <w:lang w:eastAsia="en-US"/>
              </w:rPr>
            </w:pPr>
            <w:r w:rsidRPr="009B7B35">
              <w:rPr>
                <w:rFonts w:cs="Arial"/>
                <w:lang w:eastAsia="en-US"/>
              </w:rPr>
              <w:t>The area used for an office use does not exceed 100m</w:t>
            </w:r>
            <w:r w:rsidRPr="009B7B35">
              <w:rPr>
                <w:rFonts w:cs="Arial"/>
                <w:vertAlign w:val="superscript"/>
              </w:rPr>
              <w:t>2</w:t>
            </w:r>
            <w:r w:rsidRPr="009B7B35">
              <w:rPr>
                <w:rFonts w:cs="Arial"/>
                <w:lang w:eastAsia="en-US"/>
              </w:rPr>
              <w:t xml:space="preserve"> GFA.</w:t>
            </w:r>
          </w:p>
        </w:tc>
      </w:tr>
      <w:tr w:rsidR="00BE36FB" w:rsidRPr="009B7B35" w14:paraId="2046FF26" w14:textId="77777777" w:rsidTr="001A7107">
        <w:trPr>
          <w:cantSplit/>
        </w:trPr>
        <w:tc>
          <w:tcPr>
            <w:tcW w:w="9356" w:type="dxa"/>
            <w:gridSpan w:val="2"/>
            <w:shd w:val="clear" w:color="auto" w:fill="BFBFBF" w:themeFill="background1" w:themeFillShade="BF"/>
            <w:hideMark/>
          </w:tcPr>
          <w:p w14:paraId="502B1810"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Sales office</w:t>
            </w:r>
          </w:p>
        </w:tc>
      </w:tr>
      <w:tr w:rsidR="00BE36FB" w:rsidRPr="009B7B35" w14:paraId="5F620141" w14:textId="77777777" w:rsidTr="001A7107">
        <w:trPr>
          <w:cantSplit/>
        </w:trPr>
        <w:tc>
          <w:tcPr>
            <w:tcW w:w="4678" w:type="dxa"/>
            <w:vMerge w:val="restart"/>
          </w:tcPr>
          <w:p w14:paraId="5EB70668" w14:textId="77777777" w:rsidR="00BE36FB" w:rsidRPr="009B7B35" w:rsidRDefault="00BE36FB" w:rsidP="001A7107">
            <w:pPr>
              <w:pStyle w:val="TableText"/>
              <w:rPr>
                <w:rFonts w:cs="Arial"/>
                <w:b/>
                <w:bCs/>
                <w:lang w:eastAsia="en-US"/>
              </w:rPr>
            </w:pPr>
            <w:r w:rsidRPr="009B7B35">
              <w:rPr>
                <w:rFonts w:cs="Arial"/>
                <w:b/>
                <w:bCs/>
                <w:lang w:eastAsia="en-US"/>
              </w:rPr>
              <w:t>PO4</w:t>
            </w:r>
          </w:p>
          <w:p w14:paraId="2E7DA710" w14:textId="77777777" w:rsidR="00BE36FB" w:rsidRPr="009B7B35" w:rsidRDefault="00BE36FB" w:rsidP="001A7107">
            <w:pPr>
              <w:pStyle w:val="TableText"/>
              <w:rPr>
                <w:rFonts w:cs="Arial"/>
                <w:lang w:eastAsia="en-US"/>
              </w:rPr>
            </w:pPr>
            <w:r w:rsidRPr="009B7B35">
              <w:rPr>
                <w:rFonts w:cs="Arial"/>
                <w:lang w:eastAsia="en-US"/>
              </w:rPr>
              <w:t>The use does not adversely impact on the amenity of the surrounding land uses and local character.</w:t>
            </w:r>
          </w:p>
        </w:tc>
        <w:tc>
          <w:tcPr>
            <w:tcW w:w="4678" w:type="dxa"/>
          </w:tcPr>
          <w:p w14:paraId="257EDE24" w14:textId="77777777" w:rsidR="00BE36FB" w:rsidRPr="009B7B35" w:rsidRDefault="00BE36FB" w:rsidP="001A7107">
            <w:pPr>
              <w:pStyle w:val="TableText"/>
              <w:rPr>
                <w:rFonts w:cs="Arial"/>
                <w:b/>
                <w:bCs/>
                <w:lang w:eastAsia="en-US"/>
              </w:rPr>
            </w:pPr>
            <w:r w:rsidRPr="009B7B35">
              <w:rPr>
                <w:rFonts w:cs="Arial"/>
                <w:b/>
                <w:bCs/>
                <w:lang w:eastAsia="en-US"/>
              </w:rPr>
              <w:t>AO4.1</w:t>
            </w:r>
          </w:p>
          <w:p w14:paraId="0F1CCFF1" w14:textId="77777777" w:rsidR="00BE36FB" w:rsidRPr="009B7B35" w:rsidRDefault="00BE36FB" w:rsidP="001A7107">
            <w:pPr>
              <w:pStyle w:val="TableText"/>
              <w:rPr>
                <w:rFonts w:cs="Arial"/>
                <w:lang w:eastAsia="en-US"/>
              </w:rPr>
            </w:pPr>
            <w:r w:rsidRPr="009B7B35">
              <w:rPr>
                <w:rFonts w:cs="Arial"/>
                <w:lang w:eastAsia="en-US"/>
              </w:rPr>
              <w:t>Development of the sales office is in place for no more than two years.</w:t>
            </w:r>
          </w:p>
        </w:tc>
      </w:tr>
      <w:tr w:rsidR="00BE36FB" w:rsidRPr="009B7B35" w14:paraId="261948C3" w14:textId="77777777" w:rsidTr="001A7107">
        <w:trPr>
          <w:cantSplit/>
        </w:trPr>
        <w:tc>
          <w:tcPr>
            <w:tcW w:w="4678" w:type="dxa"/>
            <w:vMerge/>
          </w:tcPr>
          <w:p w14:paraId="4DD6F700" w14:textId="77777777" w:rsidR="00BE36FB" w:rsidRPr="009B7B35" w:rsidRDefault="00BE36FB" w:rsidP="001A7107">
            <w:pPr>
              <w:rPr>
                <w:rFonts w:cs="Arial"/>
                <w:sz w:val="20"/>
                <w:szCs w:val="20"/>
                <w:lang w:eastAsia="en-US"/>
              </w:rPr>
            </w:pPr>
          </w:p>
        </w:tc>
        <w:tc>
          <w:tcPr>
            <w:tcW w:w="4678" w:type="dxa"/>
          </w:tcPr>
          <w:p w14:paraId="4ACE936A" w14:textId="77777777" w:rsidR="00BE36FB" w:rsidRPr="009B7B35" w:rsidRDefault="00BE36FB" w:rsidP="001A7107">
            <w:pPr>
              <w:pStyle w:val="TableText"/>
              <w:rPr>
                <w:rFonts w:cs="Arial"/>
                <w:b/>
                <w:bCs/>
                <w:lang w:eastAsia="en-US"/>
              </w:rPr>
            </w:pPr>
            <w:r w:rsidRPr="009B7B35">
              <w:rPr>
                <w:rFonts w:cs="Arial"/>
                <w:b/>
                <w:bCs/>
                <w:lang w:eastAsia="en-US"/>
              </w:rPr>
              <w:t>AO4.2</w:t>
            </w:r>
          </w:p>
          <w:p w14:paraId="71FA303B" w14:textId="77777777" w:rsidR="00BE36FB" w:rsidRPr="009B7B35" w:rsidRDefault="00BE36FB" w:rsidP="001A7107">
            <w:pPr>
              <w:pStyle w:val="TableText"/>
              <w:rPr>
                <w:rFonts w:cs="Arial"/>
                <w:lang w:eastAsia="en-US"/>
              </w:rPr>
            </w:pPr>
            <w:r w:rsidRPr="009B7B35">
              <w:rPr>
                <w:rFonts w:cs="Arial"/>
                <w:lang w:eastAsia="en-US"/>
              </w:rPr>
              <w:t>There are a maximum of 2 employees on site at any one time.</w:t>
            </w:r>
          </w:p>
        </w:tc>
      </w:tr>
      <w:tr w:rsidR="00BE36FB" w:rsidRPr="009B7B35" w14:paraId="015416F6" w14:textId="77777777" w:rsidTr="001A7107">
        <w:trPr>
          <w:cantSplit/>
        </w:trPr>
        <w:tc>
          <w:tcPr>
            <w:tcW w:w="9356" w:type="dxa"/>
            <w:gridSpan w:val="2"/>
            <w:shd w:val="clear" w:color="auto" w:fill="BFBFBF" w:themeFill="background1" w:themeFillShade="BF"/>
            <w:hideMark/>
          </w:tcPr>
          <w:p w14:paraId="33092819"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Built form (if involving building work)</w:t>
            </w:r>
          </w:p>
        </w:tc>
      </w:tr>
      <w:tr w:rsidR="00BE36FB" w:rsidRPr="009B7B35" w14:paraId="3ED5A5D8" w14:textId="77777777" w:rsidTr="001A7107">
        <w:trPr>
          <w:cantSplit/>
        </w:trPr>
        <w:tc>
          <w:tcPr>
            <w:tcW w:w="4678" w:type="dxa"/>
            <w:vMerge w:val="restart"/>
            <w:hideMark/>
          </w:tcPr>
          <w:p w14:paraId="1201809C" w14:textId="77777777" w:rsidR="00BE36FB" w:rsidRPr="009B7B35" w:rsidRDefault="00BE36FB" w:rsidP="001A7107">
            <w:pPr>
              <w:pStyle w:val="TableText"/>
              <w:rPr>
                <w:rFonts w:cs="Arial"/>
                <w:b/>
                <w:bCs/>
                <w:lang w:eastAsia="en-US"/>
              </w:rPr>
            </w:pPr>
            <w:r w:rsidRPr="009B7B35">
              <w:rPr>
                <w:rFonts w:cs="Arial"/>
                <w:b/>
                <w:bCs/>
                <w:lang w:eastAsia="en-US"/>
              </w:rPr>
              <w:t>PO5</w:t>
            </w:r>
          </w:p>
          <w:p w14:paraId="5EAF9EB6" w14:textId="77777777" w:rsidR="00BE36FB" w:rsidRPr="009B7B35" w:rsidRDefault="00BE36FB" w:rsidP="001A7107">
            <w:pPr>
              <w:rPr>
                <w:rFonts w:cs="Arial"/>
                <w:sz w:val="20"/>
                <w:szCs w:val="20"/>
                <w:lang w:eastAsia="en-US"/>
              </w:rPr>
            </w:pPr>
            <w:r w:rsidRPr="009B7B35">
              <w:rPr>
                <w:rFonts w:cs="Arial"/>
                <w:sz w:val="20"/>
                <w:szCs w:val="20"/>
                <w:lang w:eastAsia="en-US"/>
              </w:rPr>
              <w:t>Buildings, outdoor storage and activity areas:</w:t>
            </w:r>
          </w:p>
          <w:p w14:paraId="1268A0BF" w14:textId="77777777" w:rsidR="00BE36FB" w:rsidRPr="009B7B35" w:rsidRDefault="00BE36FB" w:rsidP="00BE36FB">
            <w:pPr>
              <w:pStyle w:val="TableText"/>
              <w:numPr>
                <w:ilvl w:val="0"/>
                <w:numId w:val="512"/>
              </w:numPr>
              <w:rPr>
                <w:rFonts w:cs="Arial"/>
                <w:lang w:eastAsia="en-US"/>
              </w:rPr>
            </w:pPr>
            <w:r w:rsidRPr="009B7B35">
              <w:rPr>
                <w:rFonts w:cs="Arial"/>
                <w:lang w:eastAsia="en-US"/>
              </w:rPr>
              <w:t>are appropriate to the height, scale, bulk and character of other buildings and activities in the surrounding industrial area, and</w:t>
            </w:r>
          </w:p>
          <w:p w14:paraId="52EB7B7A" w14:textId="77777777" w:rsidR="00BE36FB" w:rsidRPr="009B7B35" w:rsidRDefault="00BE36FB" w:rsidP="00BE36FB">
            <w:pPr>
              <w:pStyle w:val="TableText"/>
              <w:numPr>
                <w:ilvl w:val="0"/>
                <w:numId w:val="512"/>
              </w:numPr>
              <w:rPr>
                <w:rFonts w:cs="Arial"/>
                <w:lang w:eastAsia="en-US"/>
              </w:rPr>
            </w:pPr>
            <w:r w:rsidRPr="009B7B35">
              <w:rPr>
                <w:rFonts w:cs="Arial"/>
                <w:lang w:eastAsia="en-US"/>
              </w:rPr>
              <w:t>do not result in a significant loss of visual amenity.</w:t>
            </w:r>
          </w:p>
        </w:tc>
        <w:tc>
          <w:tcPr>
            <w:tcW w:w="4678" w:type="dxa"/>
            <w:hideMark/>
          </w:tcPr>
          <w:p w14:paraId="2EECEB16" w14:textId="77777777" w:rsidR="00BE36FB" w:rsidRPr="009B7B35" w:rsidRDefault="00BE36FB" w:rsidP="001A7107">
            <w:pPr>
              <w:pStyle w:val="TableText"/>
              <w:rPr>
                <w:rFonts w:cs="Arial"/>
                <w:b/>
                <w:bCs/>
                <w:lang w:eastAsia="en-US"/>
              </w:rPr>
            </w:pPr>
            <w:r w:rsidRPr="009B7B35">
              <w:rPr>
                <w:rFonts w:cs="Arial"/>
                <w:b/>
                <w:bCs/>
                <w:lang w:eastAsia="en-US"/>
              </w:rPr>
              <w:t>AO5.1</w:t>
            </w:r>
          </w:p>
          <w:p w14:paraId="520376D2" w14:textId="77777777" w:rsidR="00BE36FB" w:rsidRPr="009B7B35" w:rsidRDefault="00BE36FB" w:rsidP="001A7107">
            <w:pPr>
              <w:rPr>
                <w:rFonts w:cs="Arial"/>
                <w:sz w:val="20"/>
                <w:szCs w:val="20"/>
                <w:lang w:eastAsia="en-US"/>
              </w:rPr>
            </w:pPr>
            <w:r w:rsidRPr="009B7B35">
              <w:rPr>
                <w:rFonts w:cs="Arial"/>
                <w:sz w:val="20"/>
                <w:szCs w:val="20"/>
                <w:lang w:eastAsia="en-US"/>
              </w:rPr>
              <w:t>Building height does not exceed:</w:t>
            </w:r>
          </w:p>
          <w:p w14:paraId="69F2293C" w14:textId="77777777" w:rsidR="00BE36FB" w:rsidRPr="009B7B35" w:rsidRDefault="00BE36FB" w:rsidP="00BE36FB">
            <w:pPr>
              <w:pStyle w:val="TableText"/>
              <w:numPr>
                <w:ilvl w:val="0"/>
                <w:numId w:val="511"/>
              </w:numPr>
              <w:rPr>
                <w:rFonts w:cs="Arial"/>
                <w:lang w:eastAsia="en-US"/>
              </w:rPr>
            </w:pPr>
            <w:r w:rsidRPr="009B7B35">
              <w:rPr>
                <w:rFonts w:cs="Arial"/>
                <w:lang w:eastAsia="en-US"/>
              </w:rPr>
              <w:t>11m, or</w:t>
            </w:r>
          </w:p>
          <w:p w14:paraId="0A24BF90" w14:textId="77777777" w:rsidR="00BE36FB" w:rsidRPr="009B7B35" w:rsidRDefault="00BE36FB" w:rsidP="00BE36FB">
            <w:pPr>
              <w:pStyle w:val="TableText"/>
              <w:numPr>
                <w:ilvl w:val="0"/>
                <w:numId w:val="511"/>
              </w:numPr>
              <w:rPr>
                <w:rFonts w:cs="Arial"/>
                <w:lang w:eastAsia="en-US"/>
              </w:rPr>
            </w:pPr>
            <w:r w:rsidRPr="009B7B35">
              <w:rPr>
                <w:rFonts w:cs="Arial"/>
                <w:lang w:eastAsia="en-US"/>
              </w:rPr>
              <w:t>8.5m where adjoining a residential premises or residential zone.</w:t>
            </w:r>
          </w:p>
        </w:tc>
      </w:tr>
      <w:tr w:rsidR="00BE36FB" w:rsidRPr="009B7B35" w14:paraId="610D4BC7" w14:textId="77777777" w:rsidTr="001A7107">
        <w:trPr>
          <w:cantSplit/>
        </w:trPr>
        <w:tc>
          <w:tcPr>
            <w:tcW w:w="4678" w:type="dxa"/>
            <w:vMerge/>
          </w:tcPr>
          <w:p w14:paraId="25482198" w14:textId="77777777" w:rsidR="00BE36FB" w:rsidRPr="009B7B35" w:rsidRDefault="00BE36FB" w:rsidP="001A7107">
            <w:pPr>
              <w:rPr>
                <w:rFonts w:cs="Arial"/>
                <w:sz w:val="20"/>
                <w:szCs w:val="20"/>
                <w:lang w:eastAsia="en-US"/>
              </w:rPr>
            </w:pPr>
          </w:p>
        </w:tc>
        <w:tc>
          <w:tcPr>
            <w:tcW w:w="4678" w:type="dxa"/>
          </w:tcPr>
          <w:p w14:paraId="5B3D7AB1" w14:textId="77777777" w:rsidR="00BE36FB" w:rsidRPr="009B7B35" w:rsidRDefault="00BE36FB" w:rsidP="001A7107">
            <w:pPr>
              <w:pStyle w:val="TableText"/>
              <w:rPr>
                <w:rFonts w:cs="Arial"/>
                <w:b/>
                <w:bCs/>
                <w:lang w:eastAsia="en-US"/>
              </w:rPr>
            </w:pPr>
            <w:r w:rsidRPr="009B7B35">
              <w:rPr>
                <w:rFonts w:cs="Arial"/>
                <w:b/>
                <w:bCs/>
                <w:lang w:eastAsia="en-US"/>
              </w:rPr>
              <w:t>AO5.2</w:t>
            </w:r>
          </w:p>
          <w:p w14:paraId="6098B429" w14:textId="77777777" w:rsidR="00BE36FB" w:rsidRPr="009B7B35" w:rsidRDefault="00BE36FB" w:rsidP="001A7107">
            <w:pPr>
              <w:rPr>
                <w:rFonts w:cs="Arial"/>
                <w:sz w:val="20"/>
                <w:szCs w:val="20"/>
                <w:lang w:eastAsia="en-US"/>
              </w:rPr>
            </w:pPr>
            <w:r w:rsidRPr="009B7B35">
              <w:rPr>
                <w:rFonts w:cs="Arial"/>
                <w:sz w:val="20"/>
                <w:szCs w:val="20"/>
                <w:lang w:eastAsia="en-US"/>
              </w:rPr>
              <w:t>Site cover including any outdoor storage areas and sales yards do not exceed:</w:t>
            </w:r>
          </w:p>
          <w:p w14:paraId="5D447D42" w14:textId="77777777" w:rsidR="00BE36FB" w:rsidRPr="009B7B35" w:rsidRDefault="00BE36FB" w:rsidP="00BE36FB">
            <w:pPr>
              <w:pStyle w:val="TableText"/>
              <w:numPr>
                <w:ilvl w:val="0"/>
                <w:numId w:val="509"/>
              </w:numPr>
              <w:rPr>
                <w:rFonts w:cs="Arial"/>
                <w:lang w:eastAsia="en-US"/>
              </w:rPr>
            </w:pPr>
            <w:r w:rsidRPr="009B7B35">
              <w:rPr>
                <w:rFonts w:cs="Arial"/>
                <w:lang w:eastAsia="en-US"/>
              </w:rPr>
              <w:t>70% of the site, or</w:t>
            </w:r>
          </w:p>
          <w:p w14:paraId="27862A30" w14:textId="77777777" w:rsidR="00BE36FB" w:rsidRPr="009B7B35" w:rsidRDefault="00BE36FB" w:rsidP="00BE36FB">
            <w:pPr>
              <w:pStyle w:val="TableText"/>
              <w:numPr>
                <w:ilvl w:val="0"/>
                <w:numId w:val="509"/>
              </w:numPr>
              <w:rPr>
                <w:rFonts w:cs="Arial"/>
                <w:lang w:eastAsia="en-US"/>
              </w:rPr>
            </w:pPr>
            <w:r w:rsidRPr="009B7B35">
              <w:rPr>
                <w:rFonts w:cs="Arial"/>
                <w:lang w:eastAsia="en-US"/>
              </w:rPr>
              <w:t>90% of the site where in the Hanson Road precinct.</w:t>
            </w:r>
          </w:p>
        </w:tc>
      </w:tr>
      <w:tr w:rsidR="00BE36FB" w:rsidRPr="009B7B35" w14:paraId="1026EAC5" w14:textId="77777777" w:rsidTr="001A7107">
        <w:trPr>
          <w:cantSplit/>
        </w:trPr>
        <w:tc>
          <w:tcPr>
            <w:tcW w:w="4678" w:type="dxa"/>
            <w:hideMark/>
          </w:tcPr>
          <w:p w14:paraId="5620F10D" w14:textId="77777777" w:rsidR="00BE36FB" w:rsidRPr="009B7B35" w:rsidRDefault="00BE36FB" w:rsidP="001A7107">
            <w:pPr>
              <w:pStyle w:val="TableText"/>
              <w:rPr>
                <w:rFonts w:cs="Arial"/>
                <w:b/>
                <w:bCs/>
                <w:lang w:eastAsia="en-US"/>
              </w:rPr>
            </w:pPr>
            <w:r w:rsidRPr="009B7B35">
              <w:rPr>
                <w:rFonts w:cs="Arial"/>
                <w:b/>
                <w:bCs/>
                <w:lang w:eastAsia="en-US"/>
              </w:rPr>
              <w:t>PO6</w:t>
            </w:r>
          </w:p>
          <w:p w14:paraId="48CC5ECE" w14:textId="77777777" w:rsidR="00BE36FB" w:rsidRPr="009B7B35" w:rsidRDefault="00BE36FB" w:rsidP="001A7107">
            <w:pPr>
              <w:rPr>
                <w:rFonts w:cs="Arial"/>
                <w:sz w:val="20"/>
                <w:szCs w:val="20"/>
                <w:lang w:eastAsia="en-US"/>
              </w:rPr>
            </w:pPr>
            <w:r w:rsidRPr="009B7B35">
              <w:rPr>
                <w:rFonts w:cs="Arial"/>
                <w:sz w:val="20"/>
                <w:szCs w:val="20"/>
                <w:lang w:eastAsia="en-US"/>
              </w:rPr>
              <w:t xml:space="preserve">Buildings, structures and low impact industry activities are setback from the road frontage to mitigate the impact of activities on the streetscape. </w:t>
            </w:r>
          </w:p>
        </w:tc>
        <w:tc>
          <w:tcPr>
            <w:tcW w:w="4678" w:type="dxa"/>
            <w:hideMark/>
          </w:tcPr>
          <w:p w14:paraId="635DF1EE" w14:textId="77777777" w:rsidR="00BE36FB" w:rsidRPr="009B7B35" w:rsidRDefault="00BE36FB" w:rsidP="001A7107">
            <w:pPr>
              <w:pStyle w:val="TableText"/>
              <w:rPr>
                <w:rFonts w:cs="Arial"/>
                <w:b/>
                <w:bCs/>
                <w:lang w:eastAsia="en-US"/>
              </w:rPr>
            </w:pPr>
            <w:r w:rsidRPr="009B7B35">
              <w:rPr>
                <w:rFonts w:cs="Arial"/>
                <w:b/>
                <w:bCs/>
                <w:lang w:eastAsia="en-US"/>
              </w:rPr>
              <w:t>AO6</w:t>
            </w:r>
          </w:p>
          <w:p w14:paraId="26172349" w14:textId="77777777" w:rsidR="00BE36FB" w:rsidRPr="009B7B35" w:rsidRDefault="00BE36FB" w:rsidP="001A7107">
            <w:pPr>
              <w:rPr>
                <w:rFonts w:cs="Arial"/>
                <w:sz w:val="20"/>
                <w:szCs w:val="20"/>
                <w:lang w:eastAsia="en-US"/>
              </w:rPr>
            </w:pPr>
            <w:r w:rsidRPr="009B7B35">
              <w:rPr>
                <w:rFonts w:cs="Arial"/>
                <w:sz w:val="20"/>
                <w:szCs w:val="20"/>
                <w:lang w:eastAsia="en-US"/>
              </w:rPr>
              <w:t xml:space="preserve">Buildings, structures and industrial activity areas are setback: </w:t>
            </w:r>
          </w:p>
          <w:p w14:paraId="60B1699B" w14:textId="77777777" w:rsidR="00BE36FB" w:rsidRPr="009B7B35" w:rsidRDefault="00BE36FB" w:rsidP="00BE36FB">
            <w:pPr>
              <w:pStyle w:val="TableText"/>
              <w:numPr>
                <w:ilvl w:val="0"/>
                <w:numId w:val="510"/>
              </w:numPr>
              <w:rPr>
                <w:rFonts w:cs="Arial"/>
                <w:lang w:eastAsia="en-US"/>
              </w:rPr>
            </w:pPr>
            <w:r w:rsidRPr="009B7B35">
              <w:rPr>
                <w:rFonts w:cs="Arial"/>
                <w:lang w:eastAsia="en-US"/>
              </w:rPr>
              <w:t>5m for land on a sub–arterial or arterial road, and</w:t>
            </w:r>
          </w:p>
          <w:p w14:paraId="112D4118" w14:textId="77777777" w:rsidR="00BE36FB" w:rsidRPr="009B7B35" w:rsidRDefault="00BE36FB" w:rsidP="00BE36FB">
            <w:pPr>
              <w:pStyle w:val="TableText"/>
              <w:numPr>
                <w:ilvl w:val="0"/>
                <w:numId w:val="510"/>
              </w:numPr>
              <w:rPr>
                <w:rFonts w:cs="Arial"/>
                <w:lang w:eastAsia="en-US"/>
              </w:rPr>
            </w:pPr>
            <w:r w:rsidRPr="009B7B35">
              <w:rPr>
                <w:rFonts w:cs="Arial"/>
                <w:lang w:eastAsia="en-US"/>
              </w:rPr>
              <w:t>3m for land on a road other than a sub–arterial or arterial road.</w:t>
            </w:r>
          </w:p>
        </w:tc>
      </w:tr>
      <w:tr w:rsidR="00BE36FB" w:rsidRPr="009B7B35" w14:paraId="40A03ED6" w14:textId="77777777" w:rsidTr="001A7107">
        <w:trPr>
          <w:cantSplit/>
        </w:trPr>
        <w:tc>
          <w:tcPr>
            <w:tcW w:w="9356" w:type="dxa"/>
            <w:gridSpan w:val="2"/>
            <w:shd w:val="clear" w:color="auto" w:fill="BFBFBF" w:themeFill="background1" w:themeFillShade="BF"/>
          </w:tcPr>
          <w:p w14:paraId="4009521F"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Site area (if involving building work)</w:t>
            </w:r>
          </w:p>
        </w:tc>
      </w:tr>
      <w:tr w:rsidR="00BE36FB" w:rsidRPr="009B7B35" w14:paraId="5F08F043" w14:textId="77777777" w:rsidTr="001A7107">
        <w:tc>
          <w:tcPr>
            <w:tcW w:w="4678" w:type="dxa"/>
            <w:hideMark/>
          </w:tcPr>
          <w:p w14:paraId="5E976DD5" w14:textId="77777777" w:rsidR="00BE36FB" w:rsidRPr="009B7B35" w:rsidRDefault="00BE36FB" w:rsidP="001A7107">
            <w:pPr>
              <w:pStyle w:val="TableText"/>
              <w:rPr>
                <w:rFonts w:cs="Arial"/>
                <w:b/>
                <w:bCs/>
                <w:lang w:eastAsia="en-US"/>
              </w:rPr>
            </w:pPr>
            <w:r w:rsidRPr="009B7B35">
              <w:rPr>
                <w:rFonts w:cs="Arial"/>
                <w:b/>
                <w:bCs/>
                <w:lang w:eastAsia="en-US"/>
              </w:rPr>
              <w:t>PO7</w:t>
            </w:r>
          </w:p>
          <w:p w14:paraId="725D7944" w14:textId="77777777" w:rsidR="00BE36FB" w:rsidRPr="009B7B35" w:rsidRDefault="00BE36FB" w:rsidP="001A7107">
            <w:pPr>
              <w:rPr>
                <w:rFonts w:cs="Arial"/>
                <w:sz w:val="20"/>
                <w:szCs w:val="20"/>
                <w:lang w:eastAsia="en-US"/>
              </w:rPr>
            </w:pPr>
            <w:r w:rsidRPr="009B7B35">
              <w:rPr>
                <w:rFonts w:cs="Arial"/>
                <w:sz w:val="20"/>
                <w:szCs w:val="20"/>
                <w:lang w:eastAsia="en-US"/>
              </w:rPr>
              <w:t xml:space="preserve">Development has sufficient area and frontage to accommodate the following: </w:t>
            </w:r>
          </w:p>
          <w:p w14:paraId="07020D55" w14:textId="77777777" w:rsidR="00BE36FB" w:rsidRPr="009B7B35" w:rsidRDefault="00BE36FB" w:rsidP="00BE36FB">
            <w:pPr>
              <w:pStyle w:val="TableText"/>
              <w:numPr>
                <w:ilvl w:val="0"/>
                <w:numId w:val="513"/>
              </w:numPr>
              <w:ind w:left="652" w:hanging="652"/>
              <w:rPr>
                <w:rFonts w:cs="Arial"/>
                <w:lang w:eastAsia="en-US"/>
              </w:rPr>
            </w:pPr>
            <w:r w:rsidRPr="009B7B35">
              <w:rPr>
                <w:rFonts w:cs="Arial"/>
                <w:lang w:eastAsia="en-US"/>
              </w:rPr>
              <w:t>all buildings and associated storage areas (e.g. stockpiles)</w:t>
            </w:r>
          </w:p>
          <w:p w14:paraId="74C63172" w14:textId="77777777" w:rsidR="00BE36FB" w:rsidRPr="009B7B35" w:rsidRDefault="00BE36FB" w:rsidP="00BE36FB">
            <w:pPr>
              <w:pStyle w:val="TableText"/>
              <w:numPr>
                <w:ilvl w:val="0"/>
                <w:numId w:val="513"/>
              </w:numPr>
              <w:ind w:left="652" w:hanging="652"/>
              <w:rPr>
                <w:rFonts w:cs="Arial"/>
                <w:lang w:eastAsia="en-US"/>
              </w:rPr>
            </w:pPr>
            <w:r w:rsidRPr="009B7B35">
              <w:rPr>
                <w:rFonts w:cs="Arial"/>
                <w:lang w:eastAsia="en-US"/>
              </w:rPr>
              <w:t>car parking areas located in a safe and accessible area</w:t>
            </w:r>
          </w:p>
          <w:p w14:paraId="7263CBC3" w14:textId="77777777" w:rsidR="00BE36FB" w:rsidRPr="009B7B35" w:rsidRDefault="00BE36FB" w:rsidP="00BE36FB">
            <w:pPr>
              <w:pStyle w:val="TableText"/>
              <w:numPr>
                <w:ilvl w:val="0"/>
                <w:numId w:val="513"/>
              </w:numPr>
              <w:ind w:left="652" w:hanging="652"/>
              <w:rPr>
                <w:rFonts w:cs="Arial"/>
                <w:lang w:eastAsia="en-US"/>
              </w:rPr>
            </w:pPr>
            <w:r w:rsidRPr="009B7B35">
              <w:rPr>
                <w:rFonts w:cs="Arial"/>
                <w:lang w:eastAsia="en-US"/>
              </w:rPr>
              <w:t>on site movement of delivery and service vehicles</w:t>
            </w:r>
          </w:p>
          <w:p w14:paraId="798CE0A9" w14:textId="77777777" w:rsidR="00BE36FB" w:rsidRPr="009B7B35" w:rsidRDefault="00BE36FB" w:rsidP="00BE36FB">
            <w:pPr>
              <w:pStyle w:val="TableText"/>
              <w:numPr>
                <w:ilvl w:val="0"/>
                <w:numId w:val="513"/>
              </w:numPr>
              <w:ind w:left="652" w:hanging="652"/>
              <w:rPr>
                <w:rFonts w:cs="Arial"/>
                <w:lang w:eastAsia="en-US"/>
              </w:rPr>
            </w:pPr>
            <w:r w:rsidRPr="009B7B35">
              <w:rPr>
                <w:rFonts w:cs="Arial"/>
                <w:lang w:eastAsia="en-US"/>
              </w:rPr>
              <w:t>vehicle access, and</w:t>
            </w:r>
          </w:p>
          <w:p w14:paraId="2C93B818" w14:textId="77777777" w:rsidR="00BE36FB" w:rsidRPr="009B7B35" w:rsidRDefault="00BE36FB" w:rsidP="00BE36FB">
            <w:pPr>
              <w:pStyle w:val="TableText"/>
              <w:numPr>
                <w:ilvl w:val="0"/>
                <w:numId w:val="513"/>
              </w:numPr>
              <w:ind w:left="652" w:hanging="652"/>
              <w:rPr>
                <w:rFonts w:cs="Arial"/>
                <w:lang w:eastAsia="en-US"/>
              </w:rPr>
            </w:pPr>
            <w:r w:rsidRPr="009B7B35">
              <w:rPr>
                <w:rFonts w:cs="Arial"/>
                <w:lang w:eastAsia="en-US"/>
              </w:rPr>
              <w:t>landscaping.</w:t>
            </w:r>
          </w:p>
          <w:p w14:paraId="3A0A3E92" w14:textId="77777777" w:rsidR="00BE36FB" w:rsidRPr="009B7B35" w:rsidRDefault="00BE36FB" w:rsidP="001A7107">
            <w:pPr>
              <w:pStyle w:val="TableText"/>
              <w:ind w:left="567"/>
              <w:rPr>
                <w:rFonts w:cs="Arial"/>
                <w:lang w:eastAsia="en-US"/>
              </w:rPr>
            </w:pPr>
          </w:p>
        </w:tc>
        <w:tc>
          <w:tcPr>
            <w:tcW w:w="4678" w:type="dxa"/>
          </w:tcPr>
          <w:p w14:paraId="360F3650" w14:textId="77777777" w:rsidR="00BE36FB" w:rsidRPr="009B7B35" w:rsidRDefault="00BE36FB" w:rsidP="001A7107">
            <w:pPr>
              <w:pStyle w:val="TableText"/>
              <w:rPr>
                <w:rFonts w:cs="Arial"/>
                <w:b/>
                <w:bCs/>
                <w:lang w:eastAsia="en-US"/>
              </w:rPr>
            </w:pPr>
            <w:r w:rsidRPr="009B7B35">
              <w:rPr>
                <w:rFonts w:cs="Arial"/>
                <w:b/>
                <w:bCs/>
                <w:lang w:eastAsia="en-US"/>
              </w:rPr>
              <w:t>AO7</w:t>
            </w:r>
          </w:p>
          <w:p w14:paraId="00A37BA6" w14:textId="77777777" w:rsidR="00BE36FB" w:rsidRPr="009B7B35" w:rsidRDefault="00BE36FB" w:rsidP="001A7107">
            <w:pPr>
              <w:rPr>
                <w:rFonts w:cs="Arial"/>
                <w:sz w:val="20"/>
                <w:szCs w:val="20"/>
                <w:lang w:eastAsia="en-US"/>
              </w:rPr>
            </w:pPr>
            <w:r w:rsidRPr="009B7B35">
              <w:rPr>
                <w:rFonts w:cs="Arial"/>
                <w:sz w:val="20"/>
                <w:szCs w:val="20"/>
                <w:lang w:eastAsia="en-US"/>
              </w:rPr>
              <w:t xml:space="preserve">Premises for the following uses have a minimum site area and frontage: </w:t>
            </w:r>
          </w:p>
          <w:p w14:paraId="1ACB47F4" w14:textId="77777777" w:rsidR="00BE36FB" w:rsidRPr="009B7B35" w:rsidRDefault="00BE36FB" w:rsidP="00BE36FB">
            <w:pPr>
              <w:numPr>
                <w:ilvl w:val="0"/>
                <w:numId w:val="166"/>
              </w:numPr>
              <w:rPr>
                <w:rFonts w:cs="Arial"/>
                <w:sz w:val="20"/>
                <w:szCs w:val="20"/>
                <w:lang w:eastAsia="en-US"/>
              </w:rPr>
            </w:pPr>
            <w:r w:rsidRPr="009B7B35">
              <w:rPr>
                <w:rFonts w:cs="Arial"/>
                <w:sz w:val="20"/>
                <w:szCs w:val="20"/>
                <w:lang w:eastAsia="en-US"/>
              </w:rPr>
              <w:t>Low impact industry and other uses if not elsewhere identified</w:t>
            </w:r>
          </w:p>
          <w:p w14:paraId="03941B69" w14:textId="77777777" w:rsidR="00BE36FB" w:rsidRPr="009B7B35" w:rsidRDefault="00BE36FB" w:rsidP="00BE36FB">
            <w:pPr>
              <w:pStyle w:val="TableText"/>
              <w:numPr>
                <w:ilvl w:val="1"/>
                <w:numId w:val="166"/>
              </w:numPr>
              <w:rPr>
                <w:rFonts w:cs="Arial"/>
                <w:lang w:eastAsia="en-US"/>
              </w:rPr>
            </w:pPr>
            <w:r w:rsidRPr="009B7B35">
              <w:rPr>
                <w:rFonts w:cs="Arial"/>
                <w:lang w:eastAsia="en-US"/>
              </w:rPr>
              <w:t>1,000 m</w:t>
            </w:r>
            <w:r w:rsidRPr="009B7B35">
              <w:rPr>
                <w:rFonts w:cs="Arial"/>
                <w:vertAlign w:val="superscript"/>
              </w:rPr>
              <w:t>2</w:t>
            </w:r>
            <w:r w:rsidRPr="009B7B35">
              <w:rPr>
                <w:rFonts w:cs="Arial"/>
                <w:lang w:eastAsia="en-US"/>
              </w:rPr>
              <w:t xml:space="preserve"> site area</w:t>
            </w:r>
          </w:p>
          <w:p w14:paraId="63EC39DC" w14:textId="77777777" w:rsidR="00BE36FB" w:rsidRPr="009B7B35" w:rsidRDefault="00BE36FB" w:rsidP="00BE36FB">
            <w:pPr>
              <w:numPr>
                <w:ilvl w:val="1"/>
                <w:numId w:val="166"/>
              </w:numPr>
              <w:rPr>
                <w:rFonts w:cs="Arial"/>
                <w:sz w:val="20"/>
                <w:szCs w:val="20"/>
                <w:lang w:eastAsia="en-US"/>
              </w:rPr>
            </w:pPr>
            <w:r w:rsidRPr="009B7B35">
              <w:rPr>
                <w:rFonts w:cs="Arial"/>
                <w:sz w:val="20"/>
                <w:szCs w:val="20"/>
                <w:lang w:eastAsia="en-US"/>
              </w:rPr>
              <w:t>20m road frontage.</w:t>
            </w:r>
          </w:p>
          <w:p w14:paraId="7874A3A5" w14:textId="77777777" w:rsidR="00BE36FB" w:rsidRPr="009B7B35" w:rsidRDefault="00BE36FB" w:rsidP="00BE36FB">
            <w:pPr>
              <w:numPr>
                <w:ilvl w:val="0"/>
                <w:numId w:val="166"/>
              </w:numPr>
              <w:rPr>
                <w:rFonts w:cs="Arial"/>
                <w:sz w:val="20"/>
                <w:szCs w:val="20"/>
                <w:lang w:eastAsia="en-US"/>
              </w:rPr>
            </w:pPr>
            <w:r w:rsidRPr="009B7B35">
              <w:rPr>
                <w:rFonts w:cs="Arial"/>
                <w:sz w:val="20"/>
                <w:szCs w:val="20"/>
                <w:lang w:eastAsia="en-US"/>
              </w:rPr>
              <w:t>Service station</w:t>
            </w:r>
          </w:p>
          <w:p w14:paraId="2DB6D6B2" w14:textId="77777777" w:rsidR="00BE36FB" w:rsidRPr="009B7B35" w:rsidRDefault="00BE36FB" w:rsidP="00BE36FB">
            <w:pPr>
              <w:pStyle w:val="TableText"/>
              <w:numPr>
                <w:ilvl w:val="1"/>
                <w:numId w:val="166"/>
              </w:numPr>
              <w:rPr>
                <w:rFonts w:cs="Arial"/>
                <w:lang w:eastAsia="en-US"/>
              </w:rPr>
            </w:pPr>
            <w:r w:rsidRPr="009B7B35">
              <w:rPr>
                <w:rFonts w:cs="Arial"/>
                <w:lang w:eastAsia="en-US"/>
              </w:rPr>
              <w:t>1,500 m</w:t>
            </w:r>
            <w:r w:rsidRPr="009B7B35">
              <w:rPr>
                <w:rFonts w:cs="Arial"/>
                <w:vertAlign w:val="superscript"/>
              </w:rPr>
              <w:t>2</w:t>
            </w:r>
            <w:r w:rsidRPr="009B7B35">
              <w:rPr>
                <w:rFonts w:cs="Arial"/>
                <w:lang w:eastAsia="en-US"/>
              </w:rPr>
              <w:t xml:space="preserve"> site area</w:t>
            </w:r>
          </w:p>
          <w:p w14:paraId="5A5737EA" w14:textId="77777777" w:rsidR="00BE36FB" w:rsidRPr="009B7B35" w:rsidRDefault="00BE36FB" w:rsidP="00BE36FB">
            <w:pPr>
              <w:numPr>
                <w:ilvl w:val="1"/>
                <w:numId w:val="166"/>
              </w:numPr>
              <w:rPr>
                <w:rFonts w:cs="Arial"/>
                <w:sz w:val="20"/>
                <w:szCs w:val="20"/>
                <w:lang w:eastAsia="en-US"/>
              </w:rPr>
            </w:pPr>
            <w:r w:rsidRPr="009B7B35">
              <w:rPr>
                <w:rFonts w:cs="Arial"/>
                <w:sz w:val="20"/>
                <w:szCs w:val="20"/>
                <w:lang w:eastAsia="en-US"/>
              </w:rPr>
              <w:t>40m road frontage.</w:t>
            </w:r>
          </w:p>
        </w:tc>
      </w:tr>
      <w:tr w:rsidR="00BE36FB" w:rsidRPr="009B7B35" w14:paraId="1FA4B80F" w14:textId="77777777" w:rsidTr="001A7107">
        <w:tc>
          <w:tcPr>
            <w:tcW w:w="9356" w:type="dxa"/>
            <w:gridSpan w:val="2"/>
            <w:shd w:val="clear" w:color="auto" w:fill="BFBFBF" w:themeFill="background1" w:themeFillShade="BF"/>
          </w:tcPr>
          <w:p w14:paraId="74F61586"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Building design (if involving building work)</w:t>
            </w:r>
          </w:p>
        </w:tc>
      </w:tr>
      <w:tr w:rsidR="00BE36FB" w:rsidRPr="009B7B35" w14:paraId="539BE384" w14:textId="77777777" w:rsidTr="001A7107">
        <w:tc>
          <w:tcPr>
            <w:tcW w:w="4678" w:type="dxa"/>
            <w:vMerge w:val="restart"/>
          </w:tcPr>
          <w:p w14:paraId="0D35CD07" w14:textId="77777777" w:rsidR="00BE36FB" w:rsidRPr="009B7B35" w:rsidRDefault="00BE36FB" w:rsidP="001A7107">
            <w:pPr>
              <w:pStyle w:val="TableText"/>
              <w:rPr>
                <w:rFonts w:cs="Arial"/>
                <w:b/>
                <w:bCs/>
                <w:lang w:eastAsia="en-US"/>
              </w:rPr>
            </w:pPr>
            <w:r w:rsidRPr="009B7B35">
              <w:rPr>
                <w:rFonts w:cs="Arial"/>
                <w:b/>
                <w:bCs/>
                <w:lang w:eastAsia="en-US"/>
              </w:rPr>
              <w:t>PO8</w:t>
            </w:r>
          </w:p>
          <w:p w14:paraId="64073426" w14:textId="77777777" w:rsidR="00BE36FB" w:rsidRPr="009B7B35" w:rsidRDefault="00BE36FB" w:rsidP="001A7107">
            <w:pPr>
              <w:pStyle w:val="TableText"/>
              <w:rPr>
                <w:rFonts w:cs="Arial"/>
                <w:lang w:eastAsia="en-US"/>
              </w:rPr>
            </w:pPr>
            <w:r w:rsidRPr="009B7B35">
              <w:rPr>
                <w:rFonts w:cs="Arial"/>
                <w:lang w:eastAsia="en-US"/>
              </w:rPr>
              <w:t>Buildings include features that contribute to an attractive streetscape.</w:t>
            </w:r>
          </w:p>
        </w:tc>
        <w:tc>
          <w:tcPr>
            <w:tcW w:w="4678" w:type="dxa"/>
          </w:tcPr>
          <w:p w14:paraId="03686EE6" w14:textId="77777777" w:rsidR="00BE36FB" w:rsidRPr="009B7B35" w:rsidRDefault="00BE36FB" w:rsidP="001A7107">
            <w:pPr>
              <w:pStyle w:val="TableText"/>
              <w:rPr>
                <w:rFonts w:cs="Arial"/>
                <w:b/>
                <w:bCs/>
                <w:lang w:eastAsia="en-US"/>
              </w:rPr>
            </w:pPr>
            <w:r w:rsidRPr="009B7B35">
              <w:rPr>
                <w:rFonts w:cs="Arial"/>
                <w:b/>
                <w:bCs/>
                <w:lang w:eastAsia="en-US"/>
              </w:rPr>
              <w:t>AO8.1</w:t>
            </w:r>
          </w:p>
          <w:p w14:paraId="58731FE8" w14:textId="77777777" w:rsidR="00BE36FB" w:rsidRPr="009B7B35" w:rsidRDefault="00BE36FB" w:rsidP="001A7107">
            <w:pPr>
              <w:pStyle w:val="TableText"/>
              <w:rPr>
                <w:rFonts w:cs="Arial"/>
                <w:lang w:eastAsia="en-US"/>
              </w:rPr>
            </w:pPr>
            <w:r w:rsidRPr="009B7B35">
              <w:rPr>
                <w:rFonts w:cs="Arial"/>
                <w:lang w:eastAsia="en-US"/>
              </w:rPr>
              <w:t>The unarticulated length of external walls along a road frontage does not exceed 15m.</w:t>
            </w:r>
          </w:p>
        </w:tc>
      </w:tr>
      <w:tr w:rsidR="00BE36FB" w:rsidRPr="009B7B35" w14:paraId="09A57DD1" w14:textId="77777777" w:rsidTr="001A7107">
        <w:trPr>
          <w:cantSplit/>
        </w:trPr>
        <w:tc>
          <w:tcPr>
            <w:tcW w:w="4678" w:type="dxa"/>
            <w:vMerge/>
          </w:tcPr>
          <w:p w14:paraId="1E742FCC" w14:textId="77777777" w:rsidR="00BE36FB" w:rsidRPr="009B7B35" w:rsidRDefault="00BE36FB" w:rsidP="001A7107">
            <w:pPr>
              <w:rPr>
                <w:rFonts w:cs="Arial"/>
                <w:sz w:val="20"/>
                <w:szCs w:val="20"/>
                <w:lang w:eastAsia="en-US"/>
              </w:rPr>
            </w:pPr>
          </w:p>
        </w:tc>
        <w:tc>
          <w:tcPr>
            <w:tcW w:w="4678" w:type="dxa"/>
          </w:tcPr>
          <w:p w14:paraId="6A5A6DB6" w14:textId="77777777" w:rsidR="00BE36FB" w:rsidRPr="009B7B35" w:rsidRDefault="00BE36FB" w:rsidP="001A7107">
            <w:pPr>
              <w:pStyle w:val="TableText"/>
              <w:rPr>
                <w:rFonts w:cs="Arial"/>
                <w:b/>
                <w:bCs/>
                <w:lang w:eastAsia="en-US"/>
              </w:rPr>
            </w:pPr>
            <w:r w:rsidRPr="009B7B35">
              <w:rPr>
                <w:rFonts w:cs="Arial"/>
                <w:b/>
                <w:bCs/>
                <w:lang w:eastAsia="en-US"/>
              </w:rPr>
              <w:t>AO8.2</w:t>
            </w:r>
          </w:p>
          <w:p w14:paraId="2A2FDFB2" w14:textId="77777777" w:rsidR="00BE36FB" w:rsidRPr="009B7B35" w:rsidRDefault="00BE36FB" w:rsidP="001A7107">
            <w:pPr>
              <w:pStyle w:val="TableText"/>
              <w:rPr>
                <w:rFonts w:cs="Arial"/>
                <w:lang w:eastAsia="en-US"/>
              </w:rPr>
            </w:pPr>
            <w:r w:rsidRPr="009B7B35">
              <w:rPr>
                <w:rFonts w:cs="Arial"/>
                <w:lang w:eastAsia="en-US"/>
              </w:rPr>
              <w:t>Buildings are designed and constructed with varying façade treatments and high quality finishes such as brick, painted concrete or masonry.</w:t>
            </w:r>
          </w:p>
        </w:tc>
      </w:tr>
      <w:tr w:rsidR="00BE36FB" w:rsidRPr="009B7B35" w14:paraId="65E5E40F" w14:textId="77777777" w:rsidTr="001A7107">
        <w:trPr>
          <w:cantSplit/>
        </w:trPr>
        <w:tc>
          <w:tcPr>
            <w:tcW w:w="4678" w:type="dxa"/>
          </w:tcPr>
          <w:p w14:paraId="2CD87FB6" w14:textId="77777777" w:rsidR="00BE36FB" w:rsidRPr="009B7B35" w:rsidRDefault="00BE36FB" w:rsidP="001A7107">
            <w:pPr>
              <w:pStyle w:val="TableText"/>
              <w:rPr>
                <w:rFonts w:cs="Arial"/>
                <w:b/>
                <w:bCs/>
                <w:lang w:eastAsia="en-US"/>
              </w:rPr>
            </w:pPr>
            <w:r w:rsidRPr="009B7B35">
              <w:rPr>
                <w:rFonts w:cs="Arial"/>
                <w:b/>
                <w:bCs/>
                <w:lang w:eastAsia="en-US"/>
              </w:rPr>
              <w:t>PO9</w:t>
            </w:r>
          </w:p>
          <w:p w14:paraId="08A83938" w14:textId="77777777" w:rsidR="00BE36FB" w:rsidRPr="009B7B35" w:rsidRDefault="00BE36FB" w:rsidP="001A7107">
            <w:pPr>
              <w:rPr>
                <w:rFonts w:cs="Arial"/>
                <w:sz w:val="20"/>
                <w:szCs w:val="20"/>
                <w:lang w:eastAsia="en-US"/>
              </w:rPr>
            </w:pPr>
            <w:r w:rsidRPr="009B7B35">
              <w:rPr>
                <w:rFonts w:cs="Arial"/>
                <w:sz w:val="20"/>
                <w:szCs w:val="20"/>
                <w:lang w:eastAsia="en-US"/>
              </w:rPr>
              <w:t xml:space="preserve">Buildings do not incorporate glass or surfaces that are likely to reflect the sun that has the potential to cause nuisance, discomfort or hazard to any part of the city and adjoining urban areas. </w:t>
            </w:r>
          </w:p>
        </w:tc>
        <w:tc>
          <w:tcPr>
            <w:tcW w:w="4678" w:type="dxa"/>
          </w:tcPr>
          <w:p w14:paraId="38A7D37D" w14:textId="77777777" w:rsidR="00BE36FB" w:rsidRPr="009B7B35" w:rsidRDefault="00BE36FB" w:rsidP="001A7107">
            <w:pPr>
              <w:pStyle w:val="TableText"/>
              <w:rPr>
                <w:rFonts w:cs="Arial"/>
                <w:b/>
                <w:bCs/>
                <w:lang w:eastAsia="en-US"/>
              </w:rPr>
            </w:pPr>
            <w:r w:rsidRPr="009B7B35">
              <w:rPr>
                <w:rFonts w:cs="Arial"/>
                <w:b/>
                <w:bCs/>
                <w:lang w:eastAsia="en-US"/>
              </w:rPr>
              <w:t>AO9</w:t>
            </w:r>
          </w:p>
          <w:p w14:paraId="19693A74" w14:textId="77777777" w:rsidR="00BE36FB" w:rsidRPr="009B7B35" w:rsidRDefault="00BE36FB" w:rsidP="001A7107">
            <w:pPr>
              <w:rPr>
                <w:rFonts w:cs="Arial"/>
                <w:sz w:val="20"/>
                <w:szCs w:val="20"/>
                <w:lang w:eastAsia="en-US"/>
              </w:rPr>
            </w:pPr>
            <w:r w:rsidRPr="009B7B35">
              <w:rPr>
                <w:rFonts w:cs="Arial"/>
                <w:sz w:val="20"/>
                <w:szCs w:val="20"/>
                <w:lang w:eastAsia="en-US"/>
              </w:rPr>
              <w:t>Any reflective glass material, metallic shade structures or other surface has:</w:t>
            </w:r>
          </w:p>
          <w:p w14:paraId="74F43806" w14:textId="77777777" w:rsidR="00BE36FB" w:rsidRPr="009B7B35" w:rsidRDefault="00BE36FB" w:rsidP="00BE36FB">
            <w:pPr>
              <w:numPr>
                <w:ilvl w:val="0"/>
                <w:numId w:val="194"/>
              </w:numPr>
              <w:rPr>
                <w:rFonts w:cs="Arial"/>
                <w:sz w:val="20"/>
                <w:szCs w:val="20"/>
                <w:lang w:eastAsia="en-US"/>
              </w:rPr>
            </w:pPr>
            <w:r w:rsidRPr="009B7B35">
              <w:rPr>
                <w:rFonts w:cs="Arial"/>
                <w:sz w:val="20"/>
                <w:szCs w:val="20"/>
                <w:lang w:eastAsia="en-US"/>
              </w:rPr>
              <w:t xml:space="preserve">a level of light reflectivity that does not exceed 20%, and </w:t>
            </w:r>
          </w:p>
          <w:p w14:paraId="58162DBF" w14:textId="77777777" w:rsidR="00BE36FB" w:rsidRPr="009B7B35" w:rsidRDefault="00BE36FB" w:rsidP="00BE36FB">
            <w:pPr>
              <w:numPr>
                <w:ilvl w:val="0"/>
                <w:numId w:val="194"/>
              </w:numPr>
              <w:rPr>
                <w:rFonts w:cs="Arial"/>
                <w:sz w:val="20"/>
                <w:szCs w:val="20"/>
                <w:lang w:eastAsia="en-US"/>
              </w:rPr>
            </w:pPr>
            <w:r w:rsidRPr="009B7B35">
              <w:rPr>
                <w:rFonts w:cs="Arial"/>
                <w:sz w:val="20"/>
                <w:szCs w:val="20"/>
                <w:lang w:eastAsia="en-US"/>
              </w:rPr>
              <w:t xml:space="preserve">a level of heat transmission of not less than 20%. </w:t>
            </w:r>
          </w:p>
        </w:tc>
      </w:tr>
      <w:tr w:rsidR="00BE36FB" w:rsidRPr="009B7B35" w14:paraId="3F837FC1" w14:textId="77777777" w:rsidTr="001A7107">
        <w:tc>
          <w:tcPr>
            <w:tcW w:w="4678" w:type="dxa"/>
            <w:vMerge w:val="restart"/>
          </w:tcPr>
          <w:p w14:paraId="3F6AEDF7" w14:textId="77777777" w:rsidR="00BE36FB" w:rsidRPr="009B7B35" w:rsidRDefault="00BE36FB" w:rsidP="001A7107">
            <w:pPr>
              <w:pStyle w:val="TableText"/>
              <w:rPr>
                <w:rFonts w:cs="Arial"/>
                <w:b/>
                <w:bCs/>
                <w:lang w:eastAsia="en-US"/>
              </w:rPr>
            </w:pPr>
            <w:r w:rsidRPr="009B7B35">
              <w:rPr>
                <w:rFonts w:cs="Arial"/>
                <w:b/>
                <w:bCs/>
                <w:lang w:eastAsia="en-US"/>
              </w:rPr>
              <w:t>PO10</w:t>
            </w:r>
          </w:p>
          <w:p w14:paraId="0437E065" w14:textId="77777777" w:rsidR="00BE36FB" w:rsidRPr="009B7B35" w:rsidRDefault="00BE36FB" w:rsidP="001A7107">
            <w:pPr>
              <w:rPr>
                <w:rFonts w:cs="Arial"/>
                <w:sz w:val="20"/>
                <w:szCs w:val="20"/>
                <w:lang w:eastAsia="en-US"/>
              </w:rPr>
            </w:pPr>
            <w:r w:rsidRPr="009B7B35">
              <w:rPr>
                <w:rFonts w:cs="Arial"/>
                <w:sz w:val="20"/>
                <w:szCs w:val="20"/>
                <w:lang w:eastAsia="en-US"/>
              </w:rPr>
              <w:t>Building entrances are legible and safe.</w:t>
            </w:r>
          </w:p>
        </w:tc>
        <w:tc>
          <w:tcPr>
            <w:tcW w:w="4678" w:type="dxa"/>
          </w:tcPr>
          <w:p w14:paraId="6EA836FD" w14:textId="77777777" w:rsidR="00BE36FB" w:rsidRPr="009B7B35" w:rsidRDefault="00BE36FB" w:rsidP="001A7107">
            <w:pPr>
              <w:pStyle w:val="TableText"/>
              <w:rPr>
                <w:rFonts w:cs="Arial"/>
                <w:b/>
                <w:bCs/>
                <w:lang w:eastAsia="en-US"/>
              </w:rPr>
            </w:pPr>
            <w:r w:rsidRPr="009B7B35">
              <w:rPr>
                <w:rFonts w:cs="Arial"/>
                <w:b/>
                <w:bCs/>
                <w:lang w:eastAsia="en-US"/>
              </w:rPr>
              <w:t>AO10.1</w:t>
            </w:r>
          </w:p>
          <w:p w14:paraId="46527FDF" w14:textId="77777777" w:rsidR="00BE36FB" w:rsidRPr="009B7B35" w:rsidRDefault="00BE36FB" w:rsidP="001A7107">
            <w:pPr>
              <w:rPr>
                <w:rFonts w:cs="Arial"/>
                <w:sz w:val="20"/>
                <w:szCs w:val="20"/>
                <w:lang w:eastAsia="en-US"/>
              </w:rPr>
            </w:pPr>
            <w:r w:rsidRPr="009B7B35">
              <w:rPr>
                <w:rFonts w:cs="Arial"/>
                <w:sz w:val="20"/>
                <w:szCs w:val="20"/>
                <w:lang w:eastAsia="en-US"/>
              </w:rPr>
              <w:t>The main entry to the premises is:</w:t>
            </w:r>
          </w:p>
          <w:p w14:paraId="66006081" w14:textId="77777777" w:rsidR="00BE36FB" w:rsidRPr="009B7B35" w:rsidRDefault="00BE36FB" w:rsidP="00BE36FB">
            <w:pPr>
              <w:numPr>
                <w:ilvl w:val="0"/>
                <w:numId w:val="195"/>
              </w:numPr>
              <w:rPr>
                <w:rFonts w:cs="Arial"/>
                <w:sz w:val="20"/>
                <w:szCs w:val="20"/>
                <w:lang w:eastAsia="en-US"/>
              </w:rPr>
            </w:pPr>
            <w:r w:rsidRPr="009B7B35">
              <w:rPr>
                <w:rFonts w:cs="Arial"/>
                <w:sz w:val="20"/>
                <w:szCs w:val="20"/>
                <w:lang w:eastAsia="en-US"/>
              </w:rPr>
              <w:t>easily identifiable and directly accessible from the street with a clearly defined entrance point, and</w:t>
            </w:r>
          </w:p>
          <w:p w14:paraId="3783348B" w14:textId="77777777" w:rsidR="00BE36FB" w:rsidRPr="009B7B35" w:rsidRDefault="00BE36FB" w:rsidP="00BE36FB">
            <w:pPr>
              <w:numPr>
                <w:ilvl w:val="0"/>
                <w:numId w:val="195"/>
              </w:numPr>
              <w:rPr>
                <w:rFonts w:cs="Arial"/>
                <w:sz w:val="20"/>
                <w:szCs w:val="20"/>
                <w:lang w:eastAsia="en-US"/>
              </w:rPr>
            </w:pPr>
            <w:r w:rsidRPr="009B7B35">
              <w:rPr>
                <w:rFonts w:cs="Arial"/>
                <w:sz w:val="20"/>
                <w:szCs w:val="20"/>
                <w:lang w:eastAsia="en-US"/>
              </w:rPr>
              <w:t>separate to vehicle access points.</w:t>
            </w:r>
          </w:p>
        </w:tc>
      </w:tr>
      <w:tr w:rsidR="00BE36FB" w:rsidRPr="009B7B35" w14:paraId="048EBD67" w14:textId="77777777" w:rsidTr="001A7107">
        <w:tc>
          <w:tcPr>
            <w:tcW w:w="4678" w:type="dxa"/>
            <w:vMerge/>
          </w:tcPr>
          <w:p w14:paraId="32C8DEFD" w14:textId="77777777" w:rsidR="00BE36FB" w:rsidRPr="009B7B35" w:rsidRDefault="00BE36FB" w:rsidP="001A7107">
            <w:pPr>
              <w:rPr>
                <w:rFonts w:cs="Arial"/>
                <w:sz w:val="20"/>
                <w:szCs w:val="20"/>
                <w:lang w:eastAsia="en-US"/>
              </w:rPr>
            </w:pPr>
          </w:p>
        </w:tc>
        <w:tc>
          <w:tcPr>
            <w:tcW w:w="4678" w:type="dxa"/>
          </w:tcPr>
          <w:p w14:paraId="5F1F5B83" w14:textId="77777777" w:rsidR="00BE36FB" w:rsidRPr="009B7B35" w:rsidRDefault="00BE36FB" w:rsidP="001A7107">
            <w:pPr>
              <w:pStyle w:val="TableText"/>
              <w:rPr>
                <w:rFonts w:cs="Arial"/>
                <w:b/>
                <w:bCs/>
                <w:lang w:eastAsia="en-US"/>
              </w:rPr>
            </w:pPr>
            <w:r w:rsidRPr="009B7B35">
              <w:rPr>
                <w:rFonts w:cs="Arial"/>
                <w:b/>
                <w:bCs/>
                <w:lang w:eastAsia="en-US"/>
              </w:rPr>
              <w:t>AO10.2</w:t>
            </w:r>
          </w:p>
          <w:p w14:paraId="510694FE" w14:textId="77777777" w:rsidR="00BE36FB" w:rsidRPr="009B7B35" w:rsidRDefault="00BE36FB" w:rsidP="001A7107">
            <w:pPr>
              <w:rPr>
                <w:rFonts w:cs="Arial"/>
                <w:sz w:val="20"/>
                <w:szCs w:val="20"/>
                <w:lang w:eastAsia="en-US"/>
              </w:rPr>
            </w:pPr>
            <w:r w:rsidRPr="009B7B35">
              <w:rPr>
                <w:rFonts w:cs="Arial"/>
                <w:sz w:val="20"/>
                <w:szCs w:val="20"/>
                <w:lang w:eastAsia="en-US"/>
              </w:rPr>
              <w:t>Each building or tenancy is provided with a highly visible street and unit number.</w:t>
            </w:r>
          </w:p>
        </w:tc>
      </w:tr>
      <w:tr w:rsidR="00BE36FB" w:rsidRPr="009B7B35" w14:paraId="132C9E86" w14:textId="77777777" w:rsidTr="001A7107">
        <w:tc>
          <w:tcPr>
            <w:tcW w:w="4678" w:type="dxa"/>
            <w:vMerge/>
          </w:tcPr>
          <w:p w14:paraId="7304C5D2" w14:textId="77777777" w:rsidR="00BE36FB" w:rsidRPr="009B7B35" w:rsidRDefault="00BE36FB" w:rsidP="001A7107">
            <w:pPr>
              <w:rPr>
                <w:rFonts w:cs="Arial"/>
                <w:sz w:val="20"/>
                <w:szCs w:val="20"/>
                <w:lang w:eastAsia="en-US"/>
              </w:rPr>
            </w:pPr>
          </w:p>
        </w:tc>
        <w:tc>
          <w:tcPr>
            <w:tcW w:w="4678" w:type="dxa"/>
          </w:tcPr>
          <w:p w14:paraId="19260C57" w14:textId="77777777" w:rsidR="00BE36FB" w:rsidRPr="009B7B35" w:rsidRDefault="00BE36FB" w:rsidP="001A7107">
            <w:pPr>
              <w:pStyle w:val="TableText"/>
              <w:rPr>
                <w:rFonts w:cs="Arial"/>
                <w:b/>
                <w:bCs/>
                <w:lang w:eastAsia="en-US"/>
              </w:rPr>
            </w:pPr>
            <w:r w:rsidRPr="009B7B35">
              <w:rPr>
                <w:rFonts w:cs="Arial"/>
                <w:b/>
                <w:bCs/>
                <w:lang w:eastAsia="en-US"/>
              </w:rPr>
              <w:t>AO10.3</w:t>
            </w:r>
          </w:p>
          <w:p w14:paraId="63B4339B" w14:textId="77777777" w:rsidR="00BE36FB" w:rsidRPr="009B7B35" w:rsidRDefault="00BE36FB" w:rsidP="001A7107">
            <w:pPr>
              <w:rPr>
                <w:rFonts w:cs="Arial"/>
                <w:sz w:val="20"/>
                <w:szCs w:val="20"/>
                <w:lang w:eastAsia="en-US"/>
              </w:rPr>
            </w:pPr>
            <w:r w:rsidRPr="009B7B35">
              <w:rPr>
                <w:rFonts w:cs="Arial"/>
                <w:sz w:val="20"/>
                <w:szCs w:val="20"/>
                <w:lang w:eastAsia="en-US"/>
              </w:rPr>
              <w:t>Premises are provided with external lighting sufficient to provide safe ingress and egress for site users.</w:t>
            </w:r>
          </w:p>
        </w:tc>
      </w:tr>
      <w:tr w:rsidR="00BE36FB" w:rsidRPr="009B7B35" w14:paraId="6C311E53" w14:textId="77777777" w:rsidTr="001A7107">
        <w:tc>
          <w:tcPr>
            <w:tcW w:w="4678" w:type="dxa"/>
            <w:vMerge/>
          </w:tcPr>
          <w:p w14:paraId="31CA2CA8" w14:textId="77777777" w:rsidR="00BE36FB" w:rsidRPr="009B7B35" w:rsidRDefault="00BE36FB" w:rsidP="001A7107">
            <w:pPr>
              <w:rPr>
                <w:rFonts w:cs="Arial"/>
                <w:sz w:val="20"/>
                <w:szCs w:val="20"/>
                <w:lang w:eastAsia="en-US"/>
              </w:rPr>
            </w:pPr>
          </w:p>
        </w:tc>
        <w:tc>
          <w:tcPr>
            <w:tcW w:w="4678" w:type="dxa"/>
          </w:tcPr>
          <w:p w14:paraId="342008CA" w14:textId="77777777" w:rsidR="00BE36FB" w:rsidRPr="009B7B35" w:rsidRDefault="00BE36FB" w:rsidP="001A7107">
            <w:pPr>
              <w:pStyle w:val="TableText"/>
              <w:rPr>
                <w:rFonts w:cs="Arial"/>
                <w:b/>
                <w:bCs/>
                <w:lang w:eastAsia="en-US"/>
              </w:rPr>
            </w:pPr>
            <w:r w:rsidRPr="009B7B35">
              <w:rPr>
                <w:rFonts w:cs="Arial"/>
                <w:b/>
                <w:bCs/>
                <w:lang w:eastAsia="en-US"/>
              </w:rPr>
              <w:t>AO10.4</w:t>
            </w:r>
          </w:p>
          <w:p w14:paraId="4BFE0C77" w14:textId="77777777" w:rsidR="00BE36FB" w:rsidRPr="009B7B35" w:rsidRDefault="00BE36FB" w:rsidP="001A7107">
            <w:pPr>
              <w:rPr>
                <w:rFonts w:cs="Arial"/>
                <w:sz w:val="20"/>
                <w:szCs w:val="20"/>
                <w:lang w:eastAsia="en-US"/>
              </w:rPr>
            </w:pPr>
            <w:r w:rsidRPr="009B7B35">
              <w:rPr>
                <w:rFonts w:cs="Arial"/>
                <w:sz w:val="20"/>
                <w:szCs w:val="20"/>
                <w:lang w:eastAsia="en-US"/>
              </w:rPr>
              <w:t>Office space is sited and orientated towards the principal road frontage of a site.</w:t>
            </w:r>
          </w:p>
        </w:tc>
      </w:tr>
      <w:tr w:rsidR="00BE36FB" w:rsidRPr="009B7B35" w14:paraId="4EA0D5FB" w14:textId="77777777" w:rsidTr="001A7107">
        <w:tc>
          <w:tcPr>
            <w:tcW w:w="9356" w:type="dxa"/>
            <w:gridSpan w:val="2"/>
            <w:shd w:val="clear" w:color="auto" w:fill="BFBFBF" w:themeFill="background1" w:themeFillShade="BF"/>
          </w:tcPr>
          <w:p w14:paraId="336541FA"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Amenity</w:t>
            </w:r>
          </w:p>
        </w:tc>
      </w:tr>
      <w:tr w:rsidR="00BE36FB" w:rsidRPr="009B7B35" w14:paraId="728151F6" w14:textId="77777777" w:rsidTr="001A7107">
        <w:tc>
          <w:tcPr>
            <w:tcW w:w="4678" w:type="dxa"/>
          </w:tcPr>
          <w:p w14:paraId="0B3DE6F0"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PO11</w:t>
            </w:r>
          </w:p>
          <w:p w14:paraId="60D1361D" w14:textId="77777777" w:rsidR="00BE36FB" w:rsidRPr="009B7B35" w:rsidRDefault="00BE36FB" w:rsidP="001A7107">
            <w:pPr>
              <w:rPr>
                <w:rFonts w:cs="Arial"/>
                <w:sz w:val="20"/>
                <w:szCs w:val="20"/>
                <w:lang w:eastAsia="en-US"/>
              </w:rPr>
            </w:pPr>
            <w:r w:rsidRPr="009B7B35">
              <w:rPr>
                <w:rFonts w:cs="Arial"/>
                <w:sz w:val="20"/>
                <w:szCs w:val="20"/>
                <w:lang w:eastAsia="en-US"/>
              </w:rPr>
              <w:t xml:space="preserve">Utility elements (including refuse areas, outdoor storage, plant and equipment, loading and unloading areas) are screened from view from the street and </w:t>
            </w:r>
            <w:r w:rsidRPr="009B7B35">
              <w:rPr>
                <w:rFonts w:cs="Arial"/>
                <w:sz w:val="20"/>
                <w:szCs w:val="20"/>
              </w:rPr>
              <w:t xml:space="preserve">any </w:t>
            </w:r>
            <w:r w:rsidRPr="009B7B35">
              <w:rPr>
                <w:rFonts w:cs="Arial"/>
                <w:sz w:val="20"/>
                <w:szCs w:val="20"/>
                <w:lang w:eastAsia="en-US"/>
              </w:rPr>
              <w:t>adjoining land in another zone.</w:t>
            </w:r>
          </w:p>
        </w:tc>
        <w:tc>
          <w:tcPr>
            <w:tcW w:w="4678" w:type="dxa"/>
          </w:tcPr>
          <w:p w14:paraId="5515E7D3"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AO11</w:t>
            </w:r>
          </w:p>
          <w:p w14:paraId="446B7C11" w14:textId="77777777" w:rsidR="00BE36FB" w:rsidRPr="009B7B35" w:rsidRDefault="00BE36FB" w:rsidP="001A7107">
            <w:pPr>
              <w:rPr>
                <w:rFonts w:cs="Arial"/>
                <w:sz w:val="20"/>
                <w:szCs w:val="20"/>
                <w:lang w:eastAsia="en-US"/>
              </w:rPr>
            </w:pPr>
            <w:r w:rsidRPr="009B7B35">
              <w:rPr>
                <w:rFonts w:cs="Arial"/>
                <w:sz w:val="20"/>
                <w:szCs w:val="20"/>
                <w:lang w:eastAsia="en-US"/>
              </w:rPr>
              <w:t>Utility elements are:</w:t>
            </w:r>
          </w:p>
          <w:p w14:paraId="6A838006" w14:textId="77777777" w:rsidR="00BE36FB" w:rsidRPr="009B7B35" w:rsidRDefault="00BE36FB" w:rsidP="00BE36FB">
            <w:pPr>
              <w:pStyle w:val="TableText"/>
              <w:numPr>
                <w:ilvl w:val="0"/>
                <w:numId w:val="514"/>
              </w:numPr>
              <w:rPr>
                <w:rFonts w:cs="Arial"/>
                <w:lang w:eastAsia="en-US"/>
              </w:rPr>
            </w:pPr>
            <w:r w:rsidRPr="009B7B35">
              <w:rPr>
                <w:rFonts w:cs="Arial"/>
                <w:lang w:eastAsia="en-US"/>
              </w:rPr>
              <w:t>located within or behind the building, or</w:t>
            </w:r>
          </w:p>
          <w:p w14:paraId="51D35CF1" w14:textId="77777777" w:rsidR="00BE36FB" w:rsidRPr="009B7B35" w:rsidRDefault="00BE36FB" w:rsidP="00BE36FB">
            <w:pPr>
              <w:pStyle w:val="TableText"/>
              <w:numPr>
                <w:ilvl w:val="0"/>
                <w:numId w:val="514"/>
              </w:numPr>
              <w:rPr>
                <w:rFonts w:cs="Arial"/>
                <w:lang w:eastAsia="en-US"/>
              </w:rPr>
            </w:pPr>
            <w:r w:rsidRPr="009B7B35">
              <w:rPr>
                <w:rFonts w:cs="Arial"/>
                <w:lang w:eastAsia="en-US"/>
              </w:rPr>
              <w:t>screened by a 1.8m high solid wall or fence, or</w:t>
            </w:r>
          </w:p>
          <w:p w14:paraId="34A15F92" w14:textId="77777777" w:rsidR="00BE36FB" w:rsidRPr="009B7B35" w:rsidRDefault="00BE36FB" w:rsidP="00BE36FB">
            <w:pPr>
              <w:pStyle w:val="TableText"/>
              <w:numPr>
                <w:ilvl w:val="0"/>
                <w:numId w:val="514"/>
              </w:numPr>
              <w:rPr>
                <w:rFonts w:cs="Arial"/>
                <w:lang w:eastAsia="en-US"/>
              </w:rPr>
            </w:pPr>
            <w:r w:rsidRPr="009B7B35">
              <w:rPr>
                <w:rFonts w:cs="Arial"/>
                <w:lang w:eastAsia="en-US"/>
              </w:rPr>
              <w:t>behind landscaping having the same screening effect as a 1.8m screen fence.</w:t>
            </w:r>
          </w:p>
          <w:p w14:paraId="2DDC2B99" w14:textId="77777777" w:rsidR="00BE36FB" w:rsidRPr="009B7B35" w:rsidRDefault="00BE36FB">
            <w:pPr>
              <w:pStyle w:val="Notes"/>
              <w:rPr>
                <w:rFonts w:cs="Arial"/>
                <w:sz w:val="20"/>
                <w:szCs w:val="20"/>
                <w:lang w:eastAsia="en-US"/>
              </w:rPr>
            </w:pPr>
            <w:r w:rsidRPr="009B7B35">
              <w:rPr>
                <w:rFonts w:cs="Arial"/>
                <w:sz w:val="20"/>
                <w:szCs w:val="20"/>
                <w:lang w:eastAsia="en-US"/>
              </w:rPr>
              <w:t>Note—Screening can be provided by any combination of the above treatments to meet the acceptable outcome.</w:t>
            </w:r>
          </w:p>
        </w:tc>
      </w:tr>
      <w:tr w:rsidR="00BE36FB" w:rsidRPr="009B7B35" w14:paraId="0949B600" w14:textId="77777777" w:rsidTr="001A7107">
        <w:tc>
          <w:tcPr>
            <w:tcW w:w="4678" w:type="dxa"/>
          </w:tcPr>
          <w:p w14:paraId="66325236" w14:textId="77777777" w:rsidR="00BE36FB" w:rsidRPr="009B7B35" w:rsidRDefault="00BE36FB" w:rsidP="001A7107">
            <w:pPr>
              <w:pStyle w:val="TableText"/>
              <w:rPr>
                <w:rFonts w:cs="Arial"/>
                <w:b/>
                <w:bCs/>
                <w:lang w:eastAsia="en-US"/>
              </w:rPr>
            </w:pPr>
            <w:r w:rsidRPr="009B7B35">
              <w:rPr>
                <w:rFonts w:cs="Arial"/>
                <w:b/>
                <w:bCs/>
                <w:lang w:eastAsia="en-US"/>
              </w:rPr>
              <w:t>PO12</w:t>
            </w:r>
          </w:p>
          <w:p w14:paraId="3388C798" w14:textId="77777777" w:rsidR="00BE36FB" w:rsidRPr="009B7B35" w:rsidRDefault="00BE36FB" w:rsidP="001A7107">
            <w:pPr>
              <w:pStyle w:val="TableText"/>
              <w:rPr>
                <w:rFonts w:cs="Arial"/>
                <w:lang w:eastAsia="en-US"/>
              </w:rPr>
            </w:pPr>
            <w:r w:rsidRPr="009B7B35">
              <w:rPr>
                <w:rFonts w:cs="Arial"/>
                <w:lang w:eastAsia="en-US"/>
              </w:rPr>
              <w:t>Landscaping is provided to mitigate the visual impact of development and screen unsightly components.</w:t>
            </w:r>
          </w:p>
        </w:tc>
        <w:tc>
          <w:tcPr>
            <w:tcW w:w="4678" w:type="dxa"/>
          </w:tcPr>
          <w:p w14:paraId="215DF43A" w14:textId="77777777" w:rsidR="00BE36FB" w:rsidRPr="009B7B35" w:rsidRDefault="00BE36FB" w:rsidP="001A7107">
            <w:pPr>
              <w:pStyle w:val="TableText"/>
              <w:rPr>
                <w:rFonts w:cs="Arial"/>
                <w:b/>
                <w:bCs/>
                <w:lang w:eastAsia="en-US"/>
              </w:rPr>
            </w:pPr>
            <w:r w:rsidRPr="009B7B35">
              <w:rPr>
                <w:rFonts w:cs="Arial"/>
                <w:b/>
                <w:bCs/>
                <w:lang w:eastAsia="en-US"/>
              </w:rPr>
              <w:t>AO12</w:t>
            </w:r>
          </w:p>
          <w:p w14:paraId="2C6F1F07" w14:textId="77777777" w:rsidR="00BE36FB" w:rsidRPr="009B7B35" w:rsidRDefault="00BE36FB" w:rsidP="001A7107">
            <w:pPr>
              <w:pStyle w:val="TableText"/>
              <w:rPr>
                <w:rFonts w:cs="Arial"/>
                <w:lang w:eastAsia="en-US"/>
              </w:rPr>
            </w:pPr>
            <w:r w:rsidRPr="009B7B35">
              <w:rPr>
                <w:rFonts w:cs="Arial"/>
                <w:lang w:eastAsia="en-US"/>
              </w:rPr>
              <w:t>A minimum 2m width of landscaping is provided along the entire principal road frontage excluding the driveway.</w:t>
            </w:r>
          </w:p>
          <w:p w14:paraId="3E060DBC" w14:textId="77777777" w:rsidR="00BE36FB" w:rsidRPr="009B7B35" w:rsidRDefault="00BE36FB" w:rsidP="001A7107">
            <w:pPr>
              <w:pStyle w:val="TableText"/>
              <w:rPr>
                <w:rFonts w:cs="Arial"/>
                <w:lang w:eastAsia="en-US"/>
              </w:rPr>
            </w:pPr>
          </w:p>
        </w:tc>
      </w:tr>
      <w:tr w:rsidR="00BE36FB" w:rsidRPr="009B7B35" w14:paraId="0BEAE01A" w14:textId="77777777" w:rsidTr="001A7107">
        <w:trPr>
          <w:trHeight w:val="174"/>
        </w:trPr>
        <w:tc>
          <w:tcPr>
            <w:tcW w:w="4678" w:type="dxa"/>
            <w:vMerge w:val="restart"/>
          </w:tcPr>
          <w:p w14:paraId="6BD7C329" w14:textId="77777777" w:rsidR="00BE36FB" w:rsidRPr="009B7B35" w:rsidRDefault="00BE36FB" w:rsidP="001A7107">
            <w:pPr>
              <w:pStyle w:val="TableText"/>
              <w:rPr>
                <w:rFonts w:cs="Arial"/>
                <w:b/>
                <w:bCs/>
                <w:lang w:eastAsia="en-US"/>
              </w:rPr>
            </w:pPr>
            <w:r w:rsidRPr="009B7B35">
              <w:rPr>
                <w:rFonts w:cs="Arial"/>
                <w:b/>
                <w:bCs/>
                <w:lang w:eastAsia="en-US"/>
              </w:rPr>
              <w:t>PO13</w:t>
            </w:r>
          </w:p>
          <w:p w14:paraId="4F66FFB1" w14:textId="77777777" w:rsidR="00BE36FB" w:rsidRPr="009B7B35" w:rsidRDefault="00BE36FB" w:rsidP="001A7107">
            <w:pPr>
              <w:pStyle w:val="TableText"/>
              <w:rPr>
                <w:rFonts w:cs="Arial"/>
                <w:lang w:eastAsia="en-US"/>
              </w:rPr>
            </w:pPr>
            <w:r w:rsidRPr="009B7B35">
              <w:rPr>
                <w:rFonts w:cs="Arial"/>
                <w:lang w:eastAsia="en-US"/>
              </w:rPr>
              <w:t>Development minimises potential conflicts with, or impacts on, other uses having regard to vibration, odour, dust or other emissions.</w:t>
            </w:r>
          </w:p>
        </w:tc>
        <w:tc>
          <w:tcPr>
            <w:tcW w:w="4678" w:type="dxa"/>
          </w:tcPr>
          <w:p w14:paraId="3D6C169F" w14:textId="77777777" w:rsidR="00BE36FB" w:rsidRPr="009B7B35" w:rsidRDefault="00BE36FB" w:rsidP="001A7107">
            <w:pPr>
              <w:pStyle w:val="TableText"/>
              <w:rPr>
                <w:rFonts w:cs="Arial"/>
                <w:b/>
                <w:bCs/>
                <w:lang w:eastAsia="en-US"/>
              </w:rPr>
            </w:pPr>
            <w:r w:rsidRPr="009B7B35">
              <w:rPr>
                <w:rFonts w:cs="Arial"/>
                <w:b/>
                <w:bCs/>
                <w:lang w:eastAsia="en-US"/>
              </w:rPr>
              <w:t>AO13.1</w:t>
            </w:r>
          </w:p>
          <w:p w14:paraId="76ACAC1F" w14:textId="77777777" w:rsidR="00BE36FB" w:rsidRPr="009B7B35" w:rsidRDefault="00BE36FB" w:rsidP="001A7107">
            <w:pPr>
              <w:pStyle w:val="TableText"/>
              <w:rPr>
                <w:rFonts w:cs="Arial"/>
                <w:lang w:eastAsia="en-US"/>
              </w:rPr>
            </w:pPr>
            <w:r w:rsidRPr="009B7B35">
              <w:rPr>
                <w:rFonts w:cs="Arial"/>
                <w:lang w:eastAsia="en-US"/>
              </w:rPr>
              <w:t xml:space="preserve">Development achieves the air quality design objectives set out in the </w:t>
            </w:r>
            <w:r w:rsidRPr="009B7B35">
              <w:rPr>
                <w:rStyle w:val="StyleItalic"/>
                <w:rFonts w:cs="Arial"/>
              </w:rPr>
              <w:t>Environmental Protection (Air) Policy 2008</w:t>
            </w:r>
            <w:r w:rsidRPr="009B7B35">
              <w:rPr>
                <w:rFonts w:cs="Arial"/>
                <w:lang w:eastAsia="en-US"/>
              </w:rPr>
              <w:t>, as amended.</w:t>
            </w:r>
          </w:p>
          <w:p w14:paraId="595423B6" w14:textId="77777777" w:rsidR="00BE36FB" w:rsidRPr="009B7B35" w:rsidRDefault="00BE36FB" w:rsidP="001A7107">
            <w:pPr>
              <w:pStyle w:val="Notes"/>
              <w:rPr>
                <w:rFonts w:cs="Arial"/>
                <w:sz w:val="20"/>
                <w:szCs w:val="20"/>
                <w:lang w:eastAsia="en-US"/>
              </w:rPr>
            </w:pPr>
            <w:r w:rsidRPr="009B7B35">
              <w:rPr>
                <w:rFonts w:cs="Arial"/>
                <w:sz w:val="20"/>
                <w:szCs w:val="20"/>
                <w:lang w:eastAsia="en-US"/>
              </w:rPr>
              <w:t>Note—To achieve compliance, development is planned, designed and managed to ensure emissions from activities to achieve the appropriate acoustic objectives (measured at the receptor dB(A)).</w:t>
            </w:r>
          </w:p>
        </w:tc>
      </w:tr>
      <w:tr w:rsidR="00BE36FB" w:rsidRPr="009B7B35" w14:paraId="3595A904" w14:textId="77777777" w:rsidTr="001A7107">
        <w:trPr>
          <w:cantSplit/>
        </w:trPr>
        <w:tc>
          <w:tcPr>
            <w:tcW w:w="4678" w:type="dxa"/>
            <w:vMerge/>
          </w:tcPr>
          <w:p w14:paraId="4CA3F6E6" w14:textId="77777777" w:rsidR="00BE36FB" w:rsidRPr="009B7B35" w:rsidRDefault="00BE36FB" w:rsidP="001A7107">
            <w:pPr>
              <w:rPr>
                <w:rFonts w:cs="Arial"/>
                <w:sz w:val="20"/>
                <w:szCs w:val="20"/>
                <w:lang w:eastAsia="en-US"/>
              </w:rPr>
            </w:pPr>
          </w:p>
        </w:tc>
        <w:tc>
          <w:tcPr>
            <w:tcW w:w="4678" w:type="dxa"/>
          </w:tcPr>
          <w:p w14:paraId="4943AAE6" w14:textId="77777777" w:rsidR="00BE36FB" w:rsidRPr="009B7B35" w:rsidRDefault="00BE36FB" w:rsidP="001A7107">
            <w:pPr>
              <w:pStyle w:val="TableText"/>
              <w:rPr>
                <w:rFonts w:cs="Arial"/>
                <w:b/>
                <w:bCs/>
                <w:lang w:eastAsia="en-US"/>
              </w:rPr>
            </w:pPr>
            <w:r w:rsidRPr="009B7B35">
              <w:rPr>
                <w:rFonts w:cs="Arial"/>
                <w:b/>
                <w:bCs/>
                <w:lang w:eastAsia="en-US"/>
              </w:rPr>
              <w:t>AO13.2</w:t>
            </w:r>
          </w:p>
          <w:p w14:paraId="44000F1F" w14:textId="77777777" w:rsidR="00BE36FB" w:rsidRPr="009B7B35" w:rsidRDefault="00BE36FB" w:rsidP="001A7107">
            <w:pPr>
              <w:rPr>
                <w:rFonts w:cs="Arial"/>
                <w:sz w:val="20"/>
                <w:szCs w:val="20"/>
                <w:lang w:eastAsia="en-US"/>
              </w:rPr>
            </w:pPr>
            <w:r w:rsidRPr="009B7B35">
              <w:rPr>
                <w:rFonts w:cs="Arial"/>
                <w:sz w:val="20"/>
                <w:szCs w:val="20"/>
                <w:lang w:eastAsia="en-US"/>
              </w:rPr>
              <w:t>Development that involves the storage of materials on site that are capable of generating air contaminants either by wind or when disturbed are managed by:</w:t>
            </w:r>
          </w:p>
          <w:p w14:paraId="515102BC" w14:textId="77777777" w:rsidR="00BE36FB" w:rsidRPr="009B7B35" w:rsidRDefault="00BE36FB" w:rsidP="00BE36FB">
            <w:pPr>
              <w:numPr>
                <w:ilvl w:val="0"/>
                <w:numId w:val="196"/>
              </w:numPr>
              <w:rPr>
                <w:rFonts w:cs="Arial"/>
                <w:sz w:val="20"/>
                <w:szCs w:val="20"/>
                <w:lang w:eastAsia="en-US"/>
              </w:rPr>
            </w:pPr>
            <w:r w:rsidRPr="009B7B35">
              <w:rPr>
                <w:rFonts w:cs="Arial"/>
                <w:sz w:val="20"/>
                <w:szCs w:val="20"/>
                <w:lang w:eastAsia="en-US"/>
              </w:rPr>
              <w:t>being wholly enclosed in storage bins, or</w:t>
            </w:r>
          </w:p>
          <w:p w14:paraId="2BE2C469" w14:textId="77777777" w:rsidR="00BE36FB" w:rsidRPr="009B7B35" w:rsidRDefault="00BE36FB" w:rsidP="00BE36FB">
            <w:pPr>
              <w:numPr>
                <w:ilvl w:val="0"/>
                <w:numId w:val="196"/>
              </w:numPr>
              <w:rPr>
                <w:rFonts w:cs="Arial"/>
                <w:sz w:val="20"/>
                <w:szCs w:val="20"/>
                <w:lang w:eastAsia="en-US"/>
              </w:rPr>
            </w:pPr>
            <w:r w:rsidRPr="009B7B35">
              <w:rPr>
                <w:rFonts w:cs="Arial"/>
                <w:sz w:val="20"/>
                <w:szCs w:val="20"/>
                <w:lang w:eastAsia="en-US"/>
              </w:rPr>
              <w:t>a watering program so material cannot become airborne.</w:t>
            </w:r>
          </w:p>
        </w:tc>
      </w:tr>
      <w:tr w:rsidR="00BE36FB" w:rsidRPr="009B7B35" w14:paraId="4F9D4CE9" w14:textId="77777777" w:rsidTr="001A7107">
        <w:trPr>
          <w:cantSplit/>
        </w:trPr>
        <w:tc>
          <w:tcPr>
            <w:tcW w:w="4678" w:type="dxa"/>
          </w:tcPr>
          <w:p w14:paraId="4981D31F" w14:textId="77777777" w:rsidR="00BE36FB" w:rsidRPr="009B7B35" w:rsidRDefault="00BE36FB" w:rsidP="001A7107">
            <w:pPr>
              <w:pStyle w:val="TableText"/>
              <w:rPr>
                <w:rFonts w:cs="Arial"/>
                <w:b/>
                <w:bCs/>
                <w:lang w:eastAsia="en-US"/>
              </w:rPr>
            </w:pPr>
            <w:r w:rsidRPr="009B7B35">
              <w:rPr>
                <w:rFonts w:cs="Arial"/>
                <w:b/>
                <w:bCs/>
                <w:lang w:eastAsia="en-US"/>
              </w:rPr>
              <w:t>PO14</w:t>
            </w:r>
          </w:p>
          <w:p w14:paraId="148D2FD8" w14:textId="77777777" w:rsidR="00BE36FB" w:rsidRPr="009B7B35" w:rsidRDefault="00BE36FB" w:rsidP="001A7107">
            <w:pPr>
              <w:rPr>
                <w:rFonts w:cs="Arial"/>
                <w:sz w:val="20"/>
                <w:szCs w:val="20"/>
                <w:lang w:eastAsia="en-US"/>
              </w:rPr>
            </w:pPr>
            <w:r w:rsidRPr="009B7B35">
              <w:rPr>
                <w:rFonts w:cs="Arial"/>
                <w:sz w:val="20"/>
                <w:szCs w:val="20"/>
                <w:lang w:eastAsia="en-US"/>
              </w:rPr>
              <w:t>Development prevents or minimises the generation of any noise so that:</w:t>
            </w:r>
          </w:p>
          <w:p w14:paraId="0771344F" w14:textId="77777777" w:rsidR="00BE36FB" w:rsidRPr="009B7B35" w:rsidRDefault="00BE36FB" w:rsidP="00BE36FB">
            <w:pPr>
              <w:pStyle w:val="TableText"/>
              <w:numPr>
                <w:ilvl w:val="0"/>
                <w:numId w:val="515"/>
              </w:numPr>
              <w:rPr>
                <w:rFonts w:cs="Arial"/>
                <w:lang w:eastAsia="en-US"/>
              </w:rPr>
            </w:pPr>
            <w:r w:rsidRPr="009B7B35">
              <w:rPr>
                <w:rFonts w:cs="Arial"/>
                <w:lang w:eastAsia="en-US"/>
              </w:rPr>
              <w:t>nuisance is not caused to adjoining premises or other nearby sensitive land uses, and</w:t>
            </w:r>
          </w:p>
          <w:p w14:paraId="1CF06F14" w14:textId="77777777" w:rsidR="00BE36FB" w:rsidRPr="009B7B35" w:rsidRDefault="00BE36FB" w:rsidP="00BE36FB">
            <w:pPr>
              <w:pStyle w:val="TableText"/>
              <w:numPr>
                <w:ilvl w:val="0"/>
                <w:numId w:val="515"/>
              </w:numPr>
              <w:rPr>
                <w:rFonts w:cs="Arial"/>
                <w:lang w:eastAsia="en-US"/>
              </w:rPr>
            </w:pPr>
            <w:r w:rsidRPr="009B7B35">
              <w:rPr>
                <w:rFonts w:cs="Arial"/>
                <w:lang w:eastAsia="en-US"/>
              </w:rPr>
              <w:t>desired ambient noise levels in residential areas are not exceeded.</w:t>
            </w:r>
          </w:p>
        </w:tc>
        <w:tc>
          <w:tcPr>
            <w:tcW w:w="4678" w:type="dxa"/>
          </w:tcPr>
          <w:p w14:paraId="4EE20478" w14:textId="77777777" w:rsidR="00BE36FB" w:rsidRPr="009B7B35" w:rsidRDefault="00BE36FB" w:rsidP="001A7107">
            <w:pPr>
              <w:pStyle w:val="TableText"/>
              <w:rPr>
                <w:rFonts w:cs="Arial"/>
                <w:b/>
                <w:bCs/>
                <w:lang w:eastAsia="en-US"/>
              </w:rPr>
            </w:pPr>
            <w:r w:rsidRPr="009B7B35">
              <w:rPr>
                <w:rFonts w:cs="Arial"/>
                <w:b/>
                <w:bCs/>
                <w:lang w:eastAsia="en-US"/>
              </w:rPr>
              <w:t>AO14</w:t>
            </w:r>
          </w:p>
          <w:p w14:paraId="4FD23DE5" w14:textId="77777777" w:rsidR="00BE36FB" w:rsidRPr="009B7B35" w:rsidRDefault="00BE36FB" w:rsidP="001A7107">
            <w:pPr>
              <w:rPr>
                <w:rFonts w:cs="Arial"/>
                <w:sz w:val="20"/>
                <w:szCs w:val="20"/>
                <w:lang w:eastAsia="en-US"/>
              </w:rPr>
            </w:pPr>
            <w:r w:rsidRPr="009B7B35">
              <w:rPr>
                <w:rFonts w:cs="Arial"/>
                <w:sz w:val="20"/>
                <w:szCs w:val="20"/>
                <w:lang w:eastAsia="en-US"/>
              </w:rPr>
              <w:t xml:space="preserve">Development achieves the noise generation levels set out in the </w:t>
            </w:r>
            <w:r w:rsidRPr="009B7B35">
              <w:rPr>
                <w:rStyle w:val="StyleItalic"/>
                <w:rFonts w:cs="Arial"/>
                <w:szCs w:val="20"/>
              </w:rPr>
              <w:t>Environmental Protection (Noise) Policy 2008</w:t>
            </w:r>
            <w:r w:rsidRPr="009B7B35">
              <w:rPr>
                <w:rFonts w:cs="Arial"/>
                <w:sz w:val="20"/>
                <w:szCs w:val="20"/>
                <w:lang w:eastAsia="en-US"/>
              </w:rPr>
              <w:t>, as amended.</w:t>
            </w:r>
          </w:p>
        </w:tc>
      </w:tr>
      <w:tr w:rsidR="00BE36FB" w:rsidRPr="009B7B35" w14:paraId="6338AC2B" w14:textId="77777777" w:rsidTr="001A7107">
        <w:trPr>
          <w:cantSplit/>
        </w:trPr>
        <w:tc>
          <w:tcPr>
            <w:tcW w:w="4678" w:type="dxa"/>
            <w:vMerge w:val="restart"/>
          </w:tcPr>
          <w:p w14:paraId="609C74DD" w14:textId="77777777" w:rsidR="00BE36FB" w:rsidRPr="009B7B35" w:rsidRDefault="00BE36FB" w:rsidP="001A7107">
            <w:pPr>
              <w:pStyle w:val="TableText"/>
              <w:rPr>
                <w:rFonts w:cs="Arial"/>
                <w:b/>
                <w:bCs/>
                <w:lang w:eastAsia="en-US"/>
              </w:rPr>
            </w:pPr>
            <w:r w:rsidRPr="009B7B35">
              <w:rPr>
                <w:rFonts w:cs="Arial"/>
                <w:b/>
                <w:bCs/>
                <w:lang w:eastAsia="en-US"/>
              </w:rPr>
              <w:t>PO15</w:t>
            </w:r>
          </w:p>
          <w:p w14:paraId="6D3C238A" w14:textId="77777777" w:rsidR="00BE36FB" w:rsidRPr="009B7B35" w:rsidRDefault="00BE36FB" w:rsidP="001A7107">
            <w:pPr>
              <w:rPr>
                <w:rFonts w:cs="Arial"/>
                <w:sz w:val="20"/>
                <w:szCs w:val="20"/>
                <w:lang w:eastAsia="en-US"/>
              </w:rPr>
            </w:pPr>
            <w:r w:rsidRPr="009B7B35">
              <w:rPr>
                <w:rFonts w:cs="Arial"/>
                <w:sz w:val="20"/>
                <w:szCs w:val="20"/>
                <w:lang w:eastAsia="en-US"/>
              </w:rPr>
              <w:t>Outdoor lighting does not adversely affect the amenity of adjoining properties or create a traffic hazard on adjacent roads.</w:t>
            </w:r>
          </w:p>
        </w:tc>
        <w:tc>
          <w:tcPr>
            <w:tcW w:w="4678" w:type="dxa"/>
          </w:tcPr>
          <w:p w14:paraId="372C5C7F" w14:textId="77777777" w:rsidR="00BE36FB" w:rsidRPr="009B7B35" w:rsidRDefault="00BE36FB" w:rsidP="001A7107">
            <w:pPr>
              <w:pStyle w:val="TableText"/>
              <w:rPr>
                <w:rFonts w:cs="Arial"/>
                <w:b/>
                <w:bCs/>
                <w:lang w:eastAsia="en-US"/>
              </w:rPr>
            </w:pPr>
            <w:r w:rsidRPr="009B7B35">
              <w:rPr>
                <w:rFonts w:cs="Arial"/>
                <w:b/>
                <w:bCs/>
                <w:lang w:eastAsia="en-US"/>
              </w:rPr>
              <w:t>AO15.1</w:t>
            </w:r>
          </w:p>
          <w:p w14:paraId="3BE53540" w14:textId="77777777" w:rsidR="00BE36FB" w:rsidRPr="009B7B35" w:rsidRDefault="00BE36FB" w:rsidP="001A7107">
            <w:pPr>
              <w:rPr>
                <w:rFonts w:cs="Arial"/>
                <w:sz w:val="20"/>
                <w:szCs w:val="20"/>
                <w:lang w:eastAsia="en-US"/>
              </w:rPr>
            </w:pPr>
            <w:r w:rsidRPr="009B7B35">
              <w:rPr>
                <w:rFonts w:cs="Arial"/>
                <w:sz w:val="20"/>
                <w:szCs w:val="20"/>
                <w:lang w:eastAsia="en-US"/>
              </w:rPr>
              <w:t xml:space="preserve">Light emanating from any source complies with </w:t>
            </w:r>
            <w:r w:rsidRPr="009B7B35">
              <w:rPr>
                <w:rStyle w:val="StyleItalic"/>
                <w:rFonts w:cs="Arial"/>
                <w:szCs w:val="20"/>
              </w:rPr>
              <w:t>Australian Standard AS4282 Control of the Obtrusive Effects of Outdoor Lighting</w:t>
            </w:r>
            <w:r w:rsidRPr="009B7B35">
              <w:rPr>
                <w:rFonts w:cs="Arial"/>
                <w:sz w:val="20"/>
                <w:szCs w:val="20"/>
                <w:lang w:eastAsia="en-US"/>
              </w:rPr>
              <w:t>.</w:t>
            </w:r>
          </w:p>
        </w:tc>
      </w:tr>
      <w:tr w:rsidR="00BE36FB" w:rsidRPr="009B7B35" w14:paraId="5C027E53" w14:textId="77777777" w:rsidTr="001A7107">
        <w:trPr>
          <w:cantSplit/>
        </w:trPr>
        <w:tc>
          <w:tcPr>
            <w:tcW w:w="4678" w:type="dxa"/>
            <w:vMerge/>
          </w:tcPr>
          <w:p w14:paraId="1031D83F" w14:textId="77777777" w:rsidR="00BE36FB" w:rsidRPr="009B7B35" w:rsidRDefault="00BE36FB" w:rsidP="001A7107">
            <w:pPr>
              <w:rPr>
                <w:rFonts w:cs="Arial"/>
                <w:sz w:val="20"/>
                <w:szCs w:val="20"/>
                <w:lang w:eastAsia="en-US"/>
              </w:rPr>
            </w:pPr>
          </w:p>
        </w:tc>
        <w:tc>
          <w:tcPr>
            <w:tcW w:w="4678" w:type="dxa"/>
          </w:tcPr>
          <w:p w14:paraId="6341AE91" w14:textId="77777777" w:rsidR="00BE36FB" w:rsidRPr="009B7B35" w:rsidRDefault="00BE36FB" w:rsidP="001A7107">
            <w:pPr>
              <w:pStyle w:val="TableText"/>
              <w:rPr>
                <w:rFonts w:cs="Arial"/>
                <w:b/>
                <w:bCs/>
                <w:lang w:eastAsia="en-US"/>
              </w:rPr>
            </w:pPr>
            <w:r w:rsidRPr="009B7B35">
              <w:rPr>
                <w:rFonts w:cs="Arial"/>
                <w:b/>
                <w:bCs/>
                <w:lang w:eastAsia="en-US"/>
              </w:rPr>
              <w:t>AO15.2</w:t>
            </w:r>
          </w:p>
          <w:p w14:paraId="69D2EE07" w14:textId="77777777" w:rsidR="00BE36FB" w:rsidRPr="009B7B35" w:rsidRDefault="00BE36FB" w:rsidP="001A7107">
            <w:pPr>
              <w:rPr>
                <w:rFonts w:cs="Arial"/>
                <w:sz w:val="20"/>
                <w:szCs w:val="20"/>
                <w:lang w:eastAsia="en-US"/>
              </w:rPr>
            </w:pPr>
            <w:r w:rsidRPr="009B7B35">
              <w:rPr>
                <w:rFonts w:cs="Arial"/>
                <w:sz w:val="20"/>
                <w:szCs w:val="20"/>
                <w:lang w:eastAsia="en-US"/>
              </w:rPr>
              <w:t xml:space="preserve">Outdoor lighting is provided in accordance with </w:t>
            </w:r>
            <w:r w:rsidRPr="009B7B35">
              <w:rPr>
                <w:rStyle w:val="StyleItalic"/>
                <w:rFonts w:cs="Arial"/>
                <w:szCs w:val="20"/>
              </w:rPr>
              <w:t>Australian Standard AS 1158.1.1 – Road Lighting – Vehicular Traffic Category V) Lighting – Performance and Installation Design Requirements</w:t>
            </w:r>
            <w:r w:rsidRPr="009B7B35">
              <w:rPr>
                <w:rFonts w:cs="Arial"/>
                <w:sz w:val="20"/>
                <w:szCs w:val="20"/>
                <w:lang w:eastAsia="en-US"/>
              </w:rPr>
              <w:t>.</w:t>
            </w:r>
          </w:p>
        </w:tc>
      </w:tr>
      <w:tr w:rsidR="00BE36FB" w:rsidRPr="009B7B35" w14:paraId="5660FD9C" w14:textId="77777777" w:rsidTr="001A7107">
        <w:trPr>
          <w:cantSplit/>
        </w:trPr>
        <w:tc>
          <w:tcPr>
            <w:tcW w:w="4678" w:type="dxa"/>
            <w:vMerge w:val="restart"/>
          </w:tcPr>
          <w:p w14:paraId="66B512B0" w14:textId="77777777" w:rsidR="00BE36FB" w:rsidRPr="009B7B35" w:rsidRDefault="00BE36FB" w:rsidP="001A7107">
            <w:pPr>
              <w:pStyle w:val="TableText"/>
              <w:rPr>
                <w:rFonts w:cs="Arial"/>
                <w:b/>
                <w:bCs/>
                <w:lang w:eastAsia="en-US"/>
              </w:rPr>
            </w:pPr>
            <w:r w:rsidRPr="009B7B35">
              <w:rPr>
                <w:rFonts w:cs="Arial"/>
                <w:b/>
                <w:bCs/>
                <w:lang w:eastAsia="en-US"/>
              </w:rPr>
              <w:t>PO16</w:t>
            </w:r>
          </w:p>
          <w:p w14:paraId="4B9AD04A" w14:textId="77777777" w:rsidR="00BE36FB" w:rsidRPr="009B7B35" w:rsidRDefault="00BE36FB" w:rsidP="001A7107">
            <w:pPr>
              <w:pStyle w:val="TableText"/>
              <w:rPr>
                <w:rFonts w:cs="Arial"/>
                <w:lang w:eastAsia="en-US"/>
              </w:rPr>
            </w:pPr>
            <w:r w:rsidRPr="009B7B35">
              <w:rPr>
                <w:rFonts w:cs="Arial"/>
                <w:lang w:eastAsia="en-US"/>
              </w:rPr>
              <w:t>Development provides for the collection, treatment and disposal of liquid wastes or sources of contamination such that off–site releases of contaminants do not occur.</w:t>
            </w:r>
          </w:p>
        </w:tc>
        <w:tc>
          <w:tcPr>
            <w:tcW w:w="4678" w:type="dxa"/>
          </w:tcPr>
          <w:p w14:paraId="0D35855F" w14:textId="77777777" w:rsidR="00BE36FB" w:rsidRPr="009B7B35" w:rsidRDefault="00BE36FB" w:rsidP="001A7107">
            <w:pPr>
              <w:pStyle w:val="TableText"/>
              <w:rPr>
                <w:rFonts w:cs="Arial"/>
                <w:b/>
                <w:bCs/>
                <w:lang w:eastAsia="en-US"/>
              </w:rPr>
            </w:pPr>
            <w:r w:rsidRPr="009B7B35">
              <w:rPr>
                <w:rFonts w:cs="Arial"/>
                <w:b/>
                <w:bCs/>
                <w:lang w:eastAsia="en-US"/>
              </w:rPr>
              <w:t>AO16.1</w:t>
            </w:r>
          </w:p>
          <w:p w14:paraId="594A42DC" w14:textId="77777777" w:rsidR="00BE36FB" w:rsidRPr="009B7B35" w:rsidRDefault="00BE36FB" w:rsidP="001A7107">
            <w:pPr>
              <w:pStyle w:val="TableText"/>
              <w:rPr>
                <w:rFonts w:cs="Arial"/>
                <w:lang w:eastAsia="en-US"/>
              </w:rPr>
            </w:pPr>
            <w:r w:rsidRPr="009B7B35">
              <w:rPr>
                <w:rFonts w:cs="Arial"/>
                <w:lang w:eastAsia="en-US"/>
              </w:rPr>
              <w:t>Areas where potentially contaminating substances are stored or used, are:</w:t>
            </w:r>
          </w:p>
          <w:p w14:paraId="10F3D85A" w14:textId="77777777" w:rsidR="00BE36FB" w:rsidRPr="009B7B35" w:rsidRDefault="00BE36FB" w:rsidP="00BE36FB">
            <w:pPr>
              <w:numPr>
                <w:ilvl w:val="0"/>
                <w:numId w:val="167"/>
              </w:numPr>
              <w:rPr>
                <w:rFonts w:cs="Arial"/>
                <w:sz w:val="20"/>
                <w:szCs w:val="20"/>
                <w:lang w:eastAsia="en-US"/>
              </w:rPr>
            </w:pPr>
            <w:r w:rsidRPr="009B7B35">
              <w:rPr>
                <w:rFonts w:cs="Arial"/>
                <w:sz w:val="20"/>
                <w:szCs w:val="20"/>
                <w:lang w:eastAsia="en-US"/>
              </w:rPr>
              <w:t>roofed and sealed with concrete, asphalt or similar impervious substance and bunded, and</w:t>
            </w:r>
          </w:p>
          <w:p w14:paraId="75BFB3C8" w14:textId="77777777" w:rsidR="00BE36FB" w:rsidRPr="009B7B35" w:rsidRDefault="00BE36FB" w:rsidP="00BE36FB">
            <w:pPr>
              <w:numPr>
                <w:ilvl w:val="0"/>
                <w:numId w:val="167"/>
              </w:numPr>
              <w:rPr>
                <w:rFonts w:cs="Arial"/>
                <w:sz w:val="20"/>
                <w:szCs w:val="20"/>
                <w:lang w:eastAsia="en-US"/>
              </w:rPr>
            </w:pPr>
            <w:r w:rsidRPr="009B7B35">
              <w:rPr>
                <w:rFonts w:cs="Arial"/>
                <w:sz w:val="20"/>
                <w:szCs w:val="20"/>
                <w:lang w:eastAsia="en-US"/>
              </w:rPr>
              <w:t>located in an area free of flooding from a</w:t>
            </w:r>
            <w:r w:rsidRPr="009B7B35">
              <w:rPr>
                <w:rFonts w:cs="Arial"/>
                <w:sz w:val="20"/>
                <w:szCs w:val="20"/>
              </w:rPr>
              <w:t xml:space="preserve"> Defined </w:t>
            </w:r>
            <w:r w:rsidRPr="009B7B35">
              <w:rPr>
                <w:rFonts w:cs="Arial"/>
                <w:sz w:val="20"/>
                <w:szCs w:val="20"/>
                <w:lang w:eastAsia="en-US"/>
              </w:rPr>
              <w:t>flood event, and free from medium or high storm tide inundation.</w:t>
            </w:r>
          </w:p>
        </w:tc>
      </w:tr>
      <w:tr w:rsidR="00BE36FB" w:rsidRPr="009B7B35" w14:paraId="7269C870" w14:textId="77777777" w:rsidTr="001A7107">
        <w:trPr>
          <w:cantSplit/>
        </w:trPr>
        <w:tc>
          <w:tcPr>
            <w:tcW w:w="4678" w:type="dxa"/>
            <w:vMerge/>
          </w:tcPr>
          <w:p w14:paraId="61EE308C" w14:textId="77777777" w:rsidR="00BE36FB" w:rsidRPr="009B7B35" w:rsidRDefault="00BE36FB" w:rsidP="001A7107">
            <w:pPr>
              <w:rPr>
                <w:rFonts w:cs="Arial"/>
                <w:sz w:val="20"/>
                <w:szCs w:val="20"/>
                <w:lang w:eastAsia="en-US"/>
              </w:rPr>
            </w:pPr>
          </w:p>
        </w:tc>
        <w:tc>
          <w:tcPr>
            <w:tcW w:w="4678" w:type="dxa"/>
          </w:tcPr>
          <w:p w14:paraId="09C953C3" w14:textId="77777777" w:rsidR="00BE36FB" w:rsidRPr="009B7B35" w:rsidRDefault="00BE36FB" w:rsidP="001A7107">
            <w:pPr>
              <w:pStyle w:val="TableText"/>
              <w:rPr>
                <w:rFonts w:cs="Arial"/>
                <w:b/>
                <w:bCs/>
                <w:lang w:eastAsia="en-US"/>
              </w:rPr>
            </w:pPr>
            <w:r w:rsidRPr="009B7B35">
              <w:rPr>
                <w:rFonts w:cs="Arial"/>
                <w:b/>
                <w:bCs/>
                <w:lang w:eastAsia="en-US"/>
              </w:rPr>
              <w:t>AO16.2</w:t>
            </w:r>
          </w:p>
          <w:p w14:paraId="0B9F1EB5" w14:textId="77777777" w:rsidR="00BE36FB" w:rsidRPr="009B7B35" w:rsidRDefault="00BE36FB" w:rsidP="001A7107">
            <w:pPr>
              <w:pStyle w:val="TableText"/>
              <w:rPr>
                <w:rFonts w:cs="Arial"/>
                <w:lang w:eastAsia="en-US"/>
              </w:rPr>
            </w:pPr>
            <w:r w:rsidRPr="009B7B35">
              <w:rPr>
                <w:rFonts w:cs="Arial"/>
                <w:lang w:eastAsia="en-US"/>
              </w:rPr>
              <w:t xml:space="preserve">Provision is made for spills to be bunded and retained on site for removal and disposal by an approved means. </w:t>
            </w:r>
          </w:p>
        </w:tc>
      </w:tr>
      <w:tr w:rsidR="00BE36FB" w:rsidRPr="009B7B35" w14:paraId="0EDC76AA" w14:textId="77777777" w:rsidTr="001A7107">
        <w:trPr>
          <w:cantSplit/>
        </w:trPr>
        <w:tc>
          <w:tcPr>
            <w:tcW w:w="4678" w:type="dxa"/>
            <w:vMerge/>
          </w:tcPr>
          <w:p w14:paraId="5F3B63DA" w14:textId="77777777" w:rsidR="00BE36FB" w:rsidRPr="009B7B35" w:rsidRDefault="00BE36FB" w:rsidP="001A7107">
            <w:pPr>
              <w:rPr>
                <w:rFonts w:cs="Arial"/>
                <w:sz w:val="20"/>
                <w:szCs w:val="20"/>
                <w:lang w:eastAsia="en-US"/>
              </w:rPr>
            </w:pPr>
          </w:p>
        </w:tc>
        <w:tc>
          <w:tcPr>
            <w:tcW w:w="4678" w:type="dxa"/>
          </w:tcPr>
          <w:p w14:paraId="04728315" w14:textId="77777777" w:rsidR="00BE36FB" w:rsidRPr="009B7B35" w:rsidRDefault="00BE36FB" w:rsidP="001A7107">
            <w:pPr>
              <w:pStyle w:val="TableText"/>
              <w:rPr>
                <w:rFonts w:cs="Arial"/>
                <w:b/>
                <w:bCs/>
                <w:lang w:eastAsia="en-US"/>
              </w:rPr>
            </w:pPr>
            <w:r w:rsidRPr="009B7B35">
              <w:rPr>
                <w:rFonts w:cs="Arial"/>
                <w:b/>
                <w:bCs/>
                <w:lang w:eastAsia="en-US"/>
              </w:rPr>
              <w:t>AO16.3</w:t>
            </w:r>
          </w:p>
          <w:p w14:paraId="381B6AC9" w14:textId="77777777" w:rsidR="00BE36FB" w:rsidRPr="009B7B35" w:rsidRDefault="00BE36FB" w:rsidP="001A7107">
            <w:pPr>
              <w:pStyle w:val="TableText"/>
              <w:rPr>
                <w:rFonts w:cs="Arial"/>
                <w:lang w:eastAsia="en-US"/>
              </w:rPr>
            </w:pPr>
            <w:r w:rsidRPr="009B7B35">
              <w:rPr>
                <w:rFonts w:cs="Arial"/>
                <w:lang w:eastAsia="en-US"/>
              </w:rPr>
              <w:t>Roof water is piped away from areas of potential contamination.</w:t>
            </w:r>
          </w:p>
        </w:tc>
      </w:tr>
      <w:tr w:rsidR="00BE36FB" w:rsidRPr="009B7B35" w14:paraId="1E6245BC" w14:textId="77777777" w:rsidTr="001A7107">
        <w:trPr>
          <w:cantSplit/>
        </w:trPr>
        <w:tc>
          <w:tcPr>
            <w:tcW w:w="9356" w:type="dxa"/>
            <w:gridSpan w:val="2"/>
            <w:shd w:val="clear" w:color="auto" w:fill="BFBFBF" w:themeFill="background1" w:themeFillShade="BF"/>
          </w:tcPr>
          <w:p w14:paraId="3AC122D6"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Hours of operation</w:t>
            </w:r>
          </w:p>
        </w:tc>
      </w:tr>
      <w:tr w:rsidR="00BE36FB" w:rsidRPr="009B7B35" w14:paraId="6FB6979E" w14:textId="77777777" w:rsidTr="001A7107">
        <w:tc>
          <w:tcPr>
            <w:tcW w:w="4678" w:type="dxa"/>
            <w:vMerge w:val="restart"/>
            <w:hideMark/>
          </w:tcPr>
          <w:p w14:paraId="3B19F68B" w14:textId="77777777" w:rsidR="00BE36FB" w:rsidRPr="009B7B35" w:rsidRDefault="00BE36FB" w:rsidP="001A7107">
            <w:pPr>
              <w:pStyle w:val="TableText"/>
              <w:rPr>
                <w:rFonts w:cs="Arial"/>
                <w:b/>
                <w:bCs/>
                <w:lang w:eastAsia="en-US"/>
              </w:rPr>
            </w:pPr>
            <w:r w:rsidRPr="009B7B35">
              <w:rPr>
                <w:rFonts w:cs="Arial"/>
                <w:b/>
                <w:bCs/>
                <w:lang w:eastAsia="en-US"/>
              </w:rPr>
              <w:t>PO17</w:t>
            </w:r>
          </w:p>
          <w:p w14:paraId="6E1403A4" w14:textId="77777777" w:rsidR="00BE36FB" w:rsidRPr="009B7B35" w:rsidRDefault="00BE36FB" w:rsidP="001A7107">
            <w:pPr>
              <w:pStyle w:val="TableText"/>
              <w:rPr>
                <w:rFonts w:cs="Arial"/>
                <w:lang w:eastAsia="en-US"/>
              </w:rPr>
            </w:pPr>
            <w:r w:rsidRPr="009B7B35">
              <w:rPr>
                <w:rFonts w:cs="Arial"/>
                <w:lang w:eastAsia="en-US"/>
              </w:rPr>
              <w:t>Hours of operation are limited to minimise nuisance to any surrounding sensitive land uses.</w:t>
            </w:r>
          </w:p>
        </w:tc>
        <w:tc>
          <w:tcPr>
            <w:tcW w:w="4678" w:type="dxa"/>
            <w:hideMark/>
          </w:tcPr>
          <w:p w14:paraId="10DC9FEB" w14:textId="77777777" w:rsidR="00BE36FB" w:rsidRPr="009B7B35" w:rsidRDefault="00BE36FB" w:rsidP="001A7107">
            <w:pPr>
              <w:pStyle w:val="TableText"/>
              <w:rPr>
                <w:rFonts w:cs="Arial"/>
                <w:b/>
                <w:bCs/>
                <w:lang w:eastAsia="en-US"/>
              </w:rPr>
            </w:pPr>
            <w:r w:rsidRPr="009B7B35">
              <w:rPr>
                <w:rFonts w:cs="Arial"/>
                <w:b/>
                <w:bCs/>
                <w:lang w:eastAsia="en-US"/>
              </w:rPr>
              <w:t>AO17.1</w:t>
            </w:r>
          </w:p>
          <w:p w14:paraId="7AEFBF3A" w14:textId="77777777" w:rsidR="00BE36FB" w:rsidRPr="009B7B35" w:rsidRDefault="00BE36FB" w:rsidP="001A7107">
            <w:pPr>
              <w:pStyle w:val="TableText"/>
              <w:rPr>
                <w:rFonts w:cs="Arial"/>
                <w:lang w:eastAsia="en-US"/>
              </w:rPr>
            </w:pPr>
            <w:r w:rsidRPr="009B7B35">
              <w:rPr>
                <w:rFonts w:cs="Arial"/>
                <w:lang w:eastAsia="en-US"/>
              </w:rPr>
              <w:t>Where within 150m of a sensitive land use or land in a residential zone, hours of operation are limited to:</w:t>
            </w:r>
          </w:p>
          <w:p w14:paraId="5A881180" w14:textId="77777777" w:rsidR="00BE36FB" w:rsidRPr="009B7B35" w:rsidRDefault="00BE36FB" w:rsidP="00BE36FB">
            <w:pPr>
              <w:numPr>
                <w:ilvl w:val="0"/>
                <w:numId w:val="197"/>
              </w:numPr>
              <w:ind w:left="1291" w:hanging="360"/>
              <w:rPr>
                <w:rFonts w:cs="Arial"/>
                <w:sz w:val="20"/>
                <w:szCs w:val="20"/>
                <w:lang w:eastAsia="en-US"/>
              </w:rPr>
            </w:pPr>
            <w:r w:rsidRPr="009B7B35">
              <w:rPr>
                <w:rFonts w:cs="Arial"/>
                <w:sz w:val="20"/>
                <w:szCs w:val="20"/>
                <w:lang w:eastAsia="en-US"/>
              </w:rPr>
              <w:t>7am to 6pm Monday to Friday, and</w:t>
            </w:r>
          </w:p>
          <w:p w14:paraId="3114380A" w14:textId="77777777" w:rsidR="00BE36FB" w:rsidRPr="009B7B35" w:rsidRDefault="00BE36FB" w:rsidP="00BE36FB">
            <w:pPr>
              <w:numPr>
                <w:ilvl w:val="0"/>
                <w:numId w:val="197"/>
              </w:numPr>
              <w:ind w:left="1291" w:hanging="360"/>
              <w:rPr>
                <w:rFonts w:cs="Arial"/>
                <w:sz w:val="20"/>
                <w:szCs w:val="20"/>
                <w:lang w:eastAsia="en-US"/>
              </w:rPr>
            </w:pPr>
            <w:r w:rsidRPr="009B7B35">
              <w:rPr>
                <w:rFonts w:cs="Arial"/>
                <w:sz w:val="20"/>
                <w:szCs w:val="20"/>
                <w:lang w:eastAsia="en-US"/>
              </w:rPr>
              <w:t>7am to 12pm Saturday.</w:t>
            </w:r>
          </w:p>
        </w:tc>
      </w:tr>
      <w:tr w:rsidR="00BE36FB" w:rsidRPr="009B7B35" w14:paraId="19070D13" w14:textId="77777777" w:rsidTr="001A7107">
        <w:tc>
          <w:tcPr>
            <w:tcW w:w="4678" w:type="dxa"/>
            <w:vMerge/>
          </w:tcPr>
          <w:p w14:paraId="4AE38D3F" w14:textId="77777777" w:rsidR="00BE36FB" w:rsidRPr="009B7B35" w:rsidRDefault="00BE36FB" w:rsidP="001A7107">
            <w:pPr>
              <w:rPr>
                <w:rFonts w:cs="Arial"/>
                <w:sz w:val="20"/>
                <w:szCs w:val="20"/>
                <w:lang w:eastAsia="en-US"/>
              </w:rPr>
            </w:pPr>
          </w:p>
        </w:tc>
        <w:tc>
          <w:tcPr>
            <w:tcW w:w="4678" w:type="dxa"/>
          </w:tcPr>
          <w:p w14:paraId="16AE85AD" w14:textId="77777777" w:rsidR="00BE36FB" w:rsidRPr="009B7B35" w:rsidRDefault="00BE36FB" w:rsidP="001A7107">
            <w:pPr>
              <w:pStyle w:val="TableText"/>
              <w:rPr>
                <w:rFonts w:cs="Arial"/>
                <w:b/>
                <w:bCs/>
                <w:lang w:eastAsia="en-US"/>
              </w:rPr>
            </w:pPr>
            <w:r w:rsidRPr="009B7B35">
              <w:rPr>
                <w:rFonts w:cs="Arial"/>
                <w:b/>
                <w:bCs/>
                <w:lang w:eastAsia="en-US"/>
              </w:rPr>
              <w:t>AO17.2</w:t>
            </w:r>
          </w:p>
          <w:p w14:paraId="404B04E1" w14:textId="77777777" w:rsidR="00BE36FB" w:rsidRPr="009B7B35" w:rsidRDefault="00BE36FB" w:rsidP="001A7107">
            <w:pPr>
              <w:pStyle w:val="TableText"/>
              <w:rPr>
                <w:rFonts w:cs="Arial"/>
                <w:lang w:eastAsia="en-US"/>
              </w:rPr>
            </w:pPr>
            <w:r w:rsidRPr="009B7B35">
              <w:rPr>
                <w:rFonts w:cs="Arial"/>
                <w:lang w:eastAsia="en-US"/>
              </w:rPr>
              <w:t>Where in the Hanson Road precinct, hours of operation are limited to</w:t>
            </w:r>
            <w:r w:rsidRPr="009B7B35">
              <w:rPr>
                <w:rFonts w:cs="Arial"/>
              </w:rPr>
              <w:t xml:space="preserve"> between </w:t>
            </w:r>
            <w:r w:rsidRPr="009B7B35">
              <w:rPr>
                <w:rFonts w:cs="Arial"/>
                <w:lang w:eastAsia="en-US"/>
              </w:rPr>
              <w:t xml:space="preserve">7am </w:t>
            </w:r>
            <w:r w:rsidRPr="009B7B35">
              <w:rPr>
                <w:rFonts w:cs="Arial"/>
              </w:rPr>
              <w:t>and</w:t>
            </w:r>
            <w:r w:rsidRPr="009B7B35">
              <w:rPr>
                <w:rFonts w:cs="Arial"/>
                <w:lang w:eastAsia="en-US"/>
              </w:rPr>
              <w:t xml:space="preserve"> 6pm Monday to Saturday.</w:t>
            </w:r>
          </w:p>
        </w:tc>
      </w:tr>
      <w:tr w:rsidR="00BE36FB" w:rsidRPr="009B7B35" w14:paraId="4C638F25" w14:textId="77777777" w:rsidTr="001A7107">
        <w:trPr>
          <w:cantSplit/>
        </w:trPr>
        <w:tc>
          <w:tcPr>
            <w:tcW w:w="9356" w:type="dxa"/>
            <w:gridSpan w:val="2"/>
            <w:hideMark/>
          </w:tcPr>
          <w:p w14:paraId="3E8D4381"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For all assessable development</w:t>
            </w:r>
          </w:p>
        </w:tc>
      </w:tr>
      <w:tr w:rsidR="00BE36FB" w:rsidRPr="009B7B35" w14:paraId="55A2896D" w14:textId="77777777" w:rsidTr="001A7107">
        <w:trPr>
          <w:cantSplit/>
        </w:trPr>
        <w:tc>
          <w:tcPr>
            <w:tcW w:w="9356" w:type="dxa"/>
            <w:gridSpan w:val="2"/>
            <w:shd w:val="clear" w:color="auto" w:fill="BFBFBF" w:themeFill="background1" w:themeFillShade="BF"/>
          </w:tcPr>
          <w:p w14:paraId="22774BC5"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Land use</w:t>
            </w:r>
          </w:p>
        </w:tc>
      </w:tr>
      <w:tr w:rsidR="00BE36FB" w:rsidRPr="009B7B35" w14:paraId="78E7EA48" w14:textId="77777777" w:rsidTr="001A7107">
        <w:trPr>
          <w:cantSplit/>
        </w:trPr>
        <w:tc>
          <w:tcPr>
            <w:tcW w:w="4678" w:type="dxa"/>
          </w:tcPr>
          <w:p w14:paraId="577EF1AA" w14:textId="77777777" w:rsidR="00BE36FB" w:rsidRPr="009B7B35" w:rsidRDefault="00BE36FB" w:rsidP="001A7107">
            <w:pPr>
              <w:pStyle w:val="TableText"/>
              <w:rPr>
                <w:rFonts w:cs="Arial"/>
                <w:b/>
                <w:bCs/>
                <w:lang w:eastAsia="en-US"/>
              </w:rPr>
            </w:pPr>
            <w:r w:rsidRPr="009B7B35">
              <w:rPr>
                <w:rFonts w:cs="Arial"/>
                <w:b/>
                <w:bCs/>
                <w:lang w:eastAsia="en-US"/>
              </w:rPr>
              <w:t>PO18</w:t>
            </w:r>
          </w:p>
          <w:p w14:paraId="3C09E325" w14:textId="77777777" w:rsidR="00BE36FB" w:rsidRPr="009B7B35" w:rsidRDefault="00BE36FB" w:rsidP="001A7107">
            <w:pPr>
              <w:pStyle w:val="TableText"/>
              <w:rPr>
                <w:rFonts w:cs="Arial"/>
                <w:lang w:eastAsia="en-US"/>
              </w:rPr>
            </w:pPr>
            <w:r w:rsidRPr="009B7B35">
              <w:rPr>
                <w:rFonts w:cs="Arial"/>
                <w:lang w:eastAsia="en-US"/>
              </w:rPr>
              <w:t>Development does not compromise the use of land for industry purposes.</w:t>
            </w:r>
          </w:p>
        </w:tc>
        <w:tc>
          <w:tcPr>
            <w:tcW w:w="4678" w:type="dxa"/>
          </w:tcPr>
          <w:p w14:paraId="625BDADB"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0A1B3A18" w14:textId="77777777" w:rsidTr="001A7107">
        <w:trPr>
          <w:cantSplit/>
        </w:trPr>
        <w:tc>
          <w:tcPr>
            <w:tcW w:w="4678" w:type="dxa"/>
          </w:tcPr>
          <w:p w14:paraId="7413CD7B" w14:textId="77777777" w:rsidR="00BE36FB" w:rsidRPr="009B7B35" w:rsidRDefault="00BE36FB" w:rsidP="001A7107">
            <w:pPr>
              <w:pStyle w:val="TableText"/>
              <w:rPr>
                <w:rFonts w:cs="Arial"/>
                <w:b/>
                <w:bCs/>
                <w:lang w:eastAsia="en-US"/>
              </w:rPr>
            </w:pPr>
            <w:r w:rsidRPr="009B7B35">
              <w:rPr>
                <w:rFonts w:cs="Arial"/>
                <w:b/>
                <w:bCs/>
                <w:lang w:eastAsia="en-US"/>
              </w:rPr>
              <w:t>PO19</w:t>
            </w:r>
          </w:p>
          <w:p w14:paraId="36BED54E" w14:textId="77777777" w:rsidR="00BE36FB" w:rsidRPr="009B7B35" w:rsidRDefault="00BE36FB" w:rsidP="001A7107">
            <w:pPr>
              <w:rPr>
                <w:rFonts w:cs="Arial"/>
                <w:sz w:val="20"/>
                <w:szCs w:val="20"/>
                <w:lang w:eastAsia="en-US"/>
              </w:rPr>
            </w:pPr>
            <w:r w:rsidRPr="009B7B35">
              <w:rPr>
                <w:rFonts w:cs="Arial"/>
                <w:sz w:val="20"/>
                <w:szCs w:val="20"/>
                <w:lang w:eastAsia="en-US"/>
              </w:rPr>
              <w:t>Development is of a low impact nature and is either:</w:t>
            </w:r>
          </w:p>
          <w:p w14:paraId="5209E149" w14:textId="77777777" w:rsidR="00BE36FB" w:rsidRPr="009B7B35" w:rsidRDefault="00BE36FB" w:rsidP="00BE36FB">
            <w:pPr>
              <w:pStyle w:val="TableText"/>
              <w:numPr>
                <w:ilvl w:val="0"/>
                <w:numId w:val="517"/>
              </w:numPr>
              <w:ind w:left="510" w:hanging="510"/>
              <w:rPr>
                <w:rFonts w:cs="Arial"/>
                <w:lang w:eastAsia="en-US"/>
              </w:rPr>
            </w:pPr>
            <w:r w:rsidRPr="009B7B35">
              <w:rPr>
                <w:rFonts w:cs="Arial"/>
                <w:lang w:eastAsia="en-US"/>
              </w:rPr>
              <w:t>a low impact industrial activity</w:t>
            </w:r>
          </w:p>
          <w:p w14:paraId="60148017" w14:textId="77777777" w:rsidR="00BE36FB" w:rsidRPr="009B7B35" w:rsidRDefault="00BE36FB" w:rsidP="00BE36FB">
            <w:pPr>
              <w:pStyle w:val="TableText"/>
              <w:numPr>
                <w:ilvl w:val="0"/>
                <w:numId w:val="517"/>
              </w:numPr>
              <w:ind w:left="510" w:hanging="510"/>
              <w:rPr>
                <w:rFonts w:cs="Arial"/>
                <w:lang w:eastAsia="en-US"/>
              </w:rPr>
            </w:pPr>
            <w:r w:rsidRPr="009B7B35">
              <w:rPr>
                <w:rFonts w:cs="Arial"/>
                <w:lang w:eastAsia="en-US"/>
              </w:rPr>
              <w:t>trade related</w:t>
            </w:r>
          </w:p>
          <w:p w14:paraId="0D82D2A4" w14:textId="77777777" w:rsidR="00BE36FB" w:rsidRPr="009B7B35" w:rsidRDefault="00BE36FB" w:rsidP="00BE36FB">
            <w:pPr>
              <w:pStyle w:val="TableText"/>
              <w:numPr>
                <w:ilvl w:val="0"/>
                <w:numId w:val="517"/>
              </w:numPr>
              <w:ind w:left="510" w:hanging="510"/>
              <w:rPr>
                <w:rFonts w:cs="Arial"/>
                <w:lang w:eastAsia="en-US"/>
              </w:rPr>
            </w:pPr>
            <w:r w:rsidRPr="009B7B35">
              <w:rPr>
                <w:rFonts w:cs="Arial"/>
                <w:lang w:eastAsia="en-US"/>
              </w:rPr>
              <w:t>difficult to locate in other zones due to land area or operational requirements (such as indoor sport and recreation uses), or</w:t>
            </w:r>
          </w:p>
          <w:p w14:paraId="6ED7A0B6" w14:textId="77777777" w:rsidR="00BE36FB" w:rsidRPr="009B7B35" w:rsidRDefault="00BE36FB" w:rsidP="00BE36FB">
            <w:pPr>
              <w:pStyle w:val="TableText"/>
              <w:numPr>
                <w:ilvl w:val="0"/>
                <w:numId w:val="517"/>
              </w:numPr>
              <w:ind w:left="510" w:hanging="510"/>
              <w:rPr>
                <w:rFonts w:cs="Arial"/>
                <w:lang w:eastAsia="en-US"/>
              </w:rPr>
            </w:pPr>
            <w:r w:rsidRPr="009B7B35">
              <w:rPr>
                <w:rFonts w:cs="Arial"/>
                <w:lang w:eastAsia="en-US"/>
              </w:rPr>
              <w:t>small in scale and ancillary to, or directly supports, the industrial functions of the area.</w:t>
            </w:r>
          </w:p>
        </w:tc>
        <w:tc>
          <w:tcPr>
            <w:tcW w:w="4678" w:type="dxa"/>
          </w:tcPr>
          <w:p w14:paraId="613D5CBA"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2B934A44" w14:textId="77777777" w:rsidTr="001A7107">
        <w:trPr>
          <w:cantSplit/>
        </w:trPr>
        <w:tc>
          <w:tcPr>
            <w:tcW w:w="4678" w:type="dxa"/>
          </w:tcPr>
          <w:p w14:paraId="51905B1F" w14:textId="77777777" w:rsidR="00BE36FB" w:rsidRPr="009B7B35" w:rsidRDefault="00BE36FB" w:rsidP="001A7107">
            <w:pPr>
              <w:pStyle w:val="TableText"/>
              <w:rPr>
                <w:rFonts w:cs="Arial"/>
                <w:b/>
                <w:bCs/>
                <w:lang w:eastAsia="en-US"/>
              </w:rPr>
            </w:pPr>
            <w:r w:rsidRPr="009B7B35">
              <w:rPr>
                <w:rFonts w:cs="Arial"/>
                <w:b/>
                <w:bCs/>
                <w:lang w:eastAsia="en-US"/>
              </w:rPr>
              <w:t>PO20</w:t>
            </w:r>
          </w:p>
          <w:p w14:paraId="2A049B24" w14:textId="77777777" w:rsidR="00BE36FB" w:rsidRPr="009B7B35" w:rsidRDefault="00BE36FB" w:rsidP="001A7107">
            <w:pPr>
              <w:pStyle w:val="TableText"/>
              <w:rPr>
                <w:rFonts w:cs="Arial"/>
                <w:lang w:eastAsia="en-US"/>
              </w:rPr>
            </w:pPr>
            <w:r w:rsidRPr="009B7B35">
              <w:rPr>
                <w:rFonts w:cs="Arial"/>
                <w:lang w:eastAsia="en-US"/>
              </w:rPr>
              <w:t>Any Educational establishment must involve the provision of training exclusively and specifically related to industrial or trade related activities.</w:t>
            </w:r>
          </w:p>
        </w:tc>
        <w:tc>
          <w:tcPr>
            <w:tcW w:w="4678" w:type="dxa"/>
          </w:tcPr>
          <w:p w14:paraId="0DC0769E"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48262646" w14:textId="77777777" w:rsidTr="001A7107">
        <w:trPr>
          <w:cantSplit/>
        </w:trPr>
        <w:tc>
          <w:tcPr>
            <w:tcW w:w="4678" w:type="dxa"/>
          </w:tcPr>
          <w:p w14:paraId="4C94D564" w14:textId="77777777" w:rsidR="00BE36FB" w:rsidRPr="009B7B35" w:rsidRDefault="00BE36FB" w:rsidP="001A7107">
            <w:pPr>
              <w:pStyle w:val="TableText"/>
              <w:rPr>
                <w:rFonts w:cs="Arial"/>
                <w:b/>
                <w:bCs/>
                <w:lang w:eastAsia="en-US"/>
              </w:rPr>
            </w:pPr>
            <w:r w:rsidRPr="009B7B35">
              <w:rPr>
                <w:rFonts w:cs="Arial"/>
                <w:b/>
                <w:bCs/>
                <w:lang w:eastAsia="en-US"/>
              </w:rPr>
              <w:t>PO21</w:t>
            </w:r>
          </w:p>
          <w:p w14:paraId="04CB2A22" w14:textId="77777777" w:rsidR="00BE36FB" w:rsidRPr="009B7B35" w:rsidRDefault="00BE36FB" w:rsidP="001A7107">
            <w:pPr>
              <w:pStyle w:val="TableText"/>
              <w:rPr>
                <w:rFonts w:cs="Arial"/>
              </w:rPr>
            </w:pPr>
            <w:r w:rsidRPr="009B7B35">
              <w:rPr>
                <w:rFonts w:cs="Arial"/>
                <w:lang w:eastAsia="en-US"/>
              </w:rPr>
              <w:t>Where in the Hanson Road precinct, any showroom</w:t>
            </w:r>
            <w:r w:rsidRPr="009B7B35">
              <w:rPr>
                <w:rFonts w:cs="Arial"/>
              </w:rPr>
              <w:t xml:space="preserve"> not associated with automotive and trade supplies:</w:t>
            </w:r>
          </w:p>
          <w:p w14:paraId="011C14CD" w14:textId="77777777" w:rsidR="00BE36FB" w:rsidRPr="009B7B35" w:rsidRDefault="00BE36FB" w:rsidP="00BE36FB">
            <w:pPr>
              <w:pStyle w:val="TableText"/>
              <w:numPr>
                <w:ilvl w:val="0"/>
                <w:numId w:val="550"/>
              </w:numPr>
              <w:ind w:left="567" w:hanging="567"/>
              <w:rPr>
                <w:rFonts w:cs="Arial"/>
              </w:rPr>
            </w:pPr>
            <w:r w:rsidRPr="009B7B35">
              <w:rPr>
                <w:rFonts w:cs="Arial"/>
              </w:rPr>
              <w:t>is small scale;</w:t>
            </w:r>
          </w:p>
          <w:p w14:paraId="2D56A3A9" w14:textId="77777777" w:rsidR="00BE36FB" w:rsidRPr="009B7B35" w:rsidRDefault="00BE36FB" w:rsidP="00BE36FB">
            <w:pPr>
              <w:pStyle w:val="TableText"/>
              <w:numPr>
                <w:ilvl w:val="0"/>
                <w:numId w:val="550"/>
              </w:numPr>
              <w:ind w:left="567" w:hanging="567"/>
              <w:rPr>
                <w:rFonts w:cs="Arial"/>
              </w:rPr>
            </w:pPr>
            <w:r w:rsidRPr="009B7B35">
              <w:rPr>
                <w:rFonts w:cs="Arial"/>
              </w:rPr>
              <w:t xml:space="preserve">does not form part of an integrated centre of showrooms; and </w:t>
            </w:r>
          </w:p>
          <w:p w14:paraId="6FD16428" w14:textId="77777777" w:rsidR="00BE36FB" w:rsidRPr="009B7B35" w:rsidRDefault="00BE36FB" w:rsidP="00BE36FB">
            <w:pPr>
              <w:pStyle w:val="TableText"/>
              <w:numPr>
                <w:ilvl w:val="0"/>
                <w:numId w:val="550"/>
              </w:numPr>
              <w:ind w:left="567" w:hanging="567"/>
              <w:rPr>
                <w:rFonts w:cs="Arial"/>
                <w:lang w:eastAsia="en-US"/>
              </w:rPr>
            </w:pPr>
            <w:r w:rsidRPr="009B7B35">
              <w:rPr>
                <w:rFonts w:cs="Arial"/>
              </w:rPr>
              <w:t>does not undermine the viability of the region’s network of centres.</w:t>
            </w:r>
          </w:p>
        </w:tc>
        <w:tc>
          <w:tcPr>
            <w:tcW w:w="4678" w:type="dxa"/>
          </w:tcPr>
          <w:p w14:paraId="4EFC4F19" w14:textId="77777777" w:rsidR="00BE36FB" w:rsidRPr="009B7B35" w:rsidRDefault="00BE36FB" w:rsidP="001A7107">
            <w:pPr>
              <w:pStyle w:val="TableText"/>
              <w:rPr>
                <w:rFonts w:cs="Arial"/>
                <w:b/>
              </w:rPr>
            </w:pPr>
            <w:r w:rsidRPr="009B7B35">
              <w:rPr>
                <w:rFonts w:cs="Arial"/>
                <w:b/>
              </w:rPr>
              <w:t>AO21</w:t>
            </w:r>
          </w:p>
          <w:p w14:paraId="40735E5B" w14:textId="77777777" w:rsidR="00BE36FB" w:rsidRPr="009B7B35" w:rsidRDefault="00BE36FB" w:rsidP="001A7107">
            <w:pPr>
              <w:rPr>
                <w:rFonts w:cs="Arial"/>
                <w:sz w:val="20"/>
                <w:szCs w:val="20"/>
              </w:rPr>
            </w:pPr>
            <w:r w:rsidRPr="009B7B35">
              <w:rPr>
                <w:rFonts w:cs="Arial"/>
                <w:sz w:val="20"/>
                <w:szCs w:val="20"/>
              </w:rPr>
              <w:t>Where in Hanson Road precinct any showroom not associated with automotive and trade supplies has a maximum of 2,500m² GFA.</w:t>
            </w:r>
          </w:p>
          <w:p w14:paraId="24F78E98" w14:textId="77777777" w:rsidR="00BE36FB" w:rsidRPr="009B7B35" w:rsidRDefault="00BE36FB" w:rsidP="001A7107">
            <w:pPr>
              <w:pStyle w:val="TableText"/>
              <w:rPr>
                <w:rFonts w:cs="Arial"/>
                <w:lang w:eastAsia="en-US"/>
              </w:rPr>
            </w:pPr>
          </w:p>
        </w:tc>
      </w:tr>
      <w:tr w:rsidR="00BE36FB" w:rsidRPr="009B7B35" w14:paraId="14103325" w14:textId="77777777" w:rsidTr="001A7107">
        <w:trPr>
          <w:cantSplit/>
        </w:trPr>
        <w:tc>
          <w:tcPr>
            <w:tcW w:w="9356" w:type="dxa"/>
            <w:gridSpan w:val="2"/>
            <w:shd w:val="clear" w:color="auto" w:fill="BFBFBF" w:themeFill="background1" w:themeFillShade="BF"/>
            <w:hideMark/>
          </w:tcPr>
          <w:p w14:paraId="7A972916"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Amenity</w:t>
            </w:r>
          </w:p>
        </w:tc>
      </w:tr>
      <w:tr w:rsidR="00BE36FB" w:rsidRPr="009B7B35" w14:paraId="577CBB1A" w14:textId="77777777" w:rsidTr="001A7107">
        <w:tc>
          <w:tcPr>
            <w:tcW w:w="4678" w:type="dxa"/>
            <w:vMerge w:val="restart"/>
          </w:tcPr>
          <w:p w14:paraId="4C86D98C" w14:textId="77777777" w:rsidR="00BE36FB" w:rsidRPr="009B7B35" w:rsidRDefault="00BE36FB" w:rsidP="001A7107">
            <w:pPr>
              <w:pStyle w:val="TableText"/>
              <w:rPr>
                <w:rFonts w:cs="Arial"/>
                <w:b/>
                <w:bCs/>
                <w:lang w:eastAsia="en-US"/>
              </w:rPr>
            </w:pPr>
            <w:r w:rsidRPr="009B7B35">
              <w:rPr>
                <w:rFonts w:cs="Arial"/>
                <w:b/>
                <w:bCs/>
                <w:lang w:eastAsia="en-US"/>
              </w:rPr>
              <w:t>PO22</w:t>
            </w:r>
          </w:p>
          <w:p w14:paraId="6C54B828" w14:textId="77777777" w:rsidR="00BE36FB" w:rsidRPr="009B7B35" w:rsidRDefault="00BE36FB" w:rsidP="001A7107">
            <w:pPr>
              <w:rPr>
                <w:rFonts w:cs="Arial"/>
                <w:sz w:val="20"/>
                <w:szCs w:val="20"/>
                <w:lang w:eastAsia="en-US"/>
              </w:rPr>
            </w:pPr>
            <w:r w:rsidRPr="009B7B35">
              <w:rPr>
                <w:rFonts w:cs="Arial"/>
                <w:sz w:val="20"/>
                <w:szCs w:val="20"/>
                <w:lang w:eastAsia="en-US"/>
              </w:rPr>
              <w:t>Where adjoining a residential zone</w:t>
            </w:r>
            <w:r w:rsidRPr="009B7B35">
              <w:rPr>
                <w:rFonts w:cs="Arial"/>
                <w:sz w:val="20"/>
                <w:szCs w:val="20"/>
              </w:rPr>
              <w:t xml:space="preserve"> or the Emerging community zone</w:t>
            </w:r>
            <w:r w:rsidRPr="009B7B35">
              <w:rPr>
                <w:rFonts w:cs="Arial"/>
                <w:sz w:val="20"/>
                <w:szCs w:val="20"/>
                <w:lang w:eastAsia="en-US"/>
              </w:rPr>
              <w:t>, development provides adequate buffering and screening so that adverse impacts on privacy and amenity on adjoining properties are minimised.</w:t>
            </w:r>
          </w:p>
        </w:tc>
        <w:tc>
          <w:tcPr>
            <w:tcW w:w="4678" w:type="dxa"/>
          </w:tcPr>
          <w:p w14:paraId="0929D0BE" w14:textId="77777777" w:rsidR="00BE36FB" w:rsidRPr="009B7B35" w:rsidRDefault="00BE36FB" w:rsidP="001A7107">
            <w:pPr>
              <w:pStyle w:val="TableText"/>
              <w:rPr>
                <w:rFonts w:cs="Arial"/>
                <w:b/>
                <w:bCs/>
                <w:lang w:eastAsia="en-US"/>
              </w:rPr>
            </w:pPr>
            <w:r w:rsidRPr="009B7B35">
              <w:rPr>
                <w:rFonts w:cs="Arial"/>
                <w:b/>
                <w:bCs/>
                <w:lang w:eastAsia="en-US"/>
              </w:rPr>
              <w:t>AO22.1</w:t>
            </w:r>
          </w:p>
          <w:p w14:paraId="2439C664" w14:textId="77777777" w:rsidR="00BE36FB" w:rsidRPr="009B7B35" w:rsidRDefault="00BE36FB" w:rsidP="001A7107">
            <w:pPr>
              <w:rPr>
                <w:rFonts w:cs="Arial"/>
                <w:sz w:val="20"/>
                <w:szCs w:val="20"/>
                <w:lang w:eastAsia="en-US"/>
              </w:rPr>
            </w:pPr>
            <w:r w:rsidRPr="009B7B35">
              <w:rPr>
                <w:rFonts w:cs="Arial"/>
                <w:sz w:val="20"/>
                <w:szCs w:val="20"/>
                <w:lang w:eastAsia="en-US"/>
              </w:rPr>
              <w:t>New buildings, plant and equipment, active outdoor use areas, site access and car parking, servicing or outdoor storage areas are set back a minimum of 5m from any boundary adjoining a residential zone</w:t>
            </w:r>
            <w:r w:rsidRPr="009B7B35">
              <w:rPr>
                <w:rFonts w:cs="Arial"/>
                <w:sz w:val="20"/>
                <w:szCs w:val="20"/>
              </w:rPr>
              <w:t xml:space="preserve"> or the Emerging community zone</w:t>
            </w:r>
            <w:r w:rsidRPr="009B7B35">
              <w:rPr>
                <w:rFonts w:cs="Arial"/>
                <w:sz w:val="20"/>
                <w:szCs w:val="20"/>
                <w:lang w:eastAsia="en-US"/>
              </w:rPr>
              <w:t>.</w:t>
            </w:r>
          </w:p>
        </w:tc>
      </w:tr>
      <w:tr w:rsidR="00BE36FB" w:rsidRPr="009B7B35" w14:paraId="17ED4DC2" w14:textId="77777777" w:rsidTr="001A7107">
        <w:tc>
          <w:tcPr>
            <w:tcW w:w="4678" w:type="dxa"/>
            <w:vMerge/>
          </w:tcPr>
          <w:p w14:paraId="6722A6F0" w14:textId="77777777" w:rsidR="00BE36FB" w:rsidRPr="009B7B35" w:rsidRDefault="00BE36FB" w:rsidP="001A7107">
            <w:pPr>
              <w:rPr>
                <w:rFonts w:cs="Arial"/>
                <w:sz w:val="20"/>
                <w:szCs w:val="20"/>
                <w:lang w:eastAsia="en-US"/>
              </w:rPr>
            </w:pPr>
          </w:p>
        </w:tc>
        <w:tc>
          <w:tcPr>
            <w:tcW w:w="4678" w:type="dxa"/>
          </w:tcPr>
          <w:p w14:paraId="376B44DE" w14:textId="77777777" w:rsidR="00BE36FB" w:rsidRPr="009B7B35" w:rsidRDefault="00BE36FB" w:rsidP="001A7107">
            <w:pPr>
              <w:pStyle w:val="TableText"/>
              <w:rPr>
                <w:rFonts w:cs="Arial"/>
                <w:b/>
                <w:bCs/>
                <w:lang w:eastAsia="en-US"/>
              </w:rPr>
            </w:pPr>
            <w:r w:rsidRPr="009B7B35">
              <w:rPr>
                <w:rFonts w:cs="Arial"/>
                <w:b/>
                <w:bCs/>
                <w:lang w:eastAsia="en-US"/>
              </w:rPr>
              <w:t>AO22.2</w:t>
            </w:r>
          </w:p>
          <w:p w14:paraId="293DBFE8" w14:textId="77777777" w:rsidR="00BE36FB" w:rsidRPr="009B7B35" w:rsidRDefault="00BE36FB" w:rsidP="001A7107">
            <w:pPr>
              <w:rPr>
                <w:rFonts w:cs="Arial"/>
                <w:sz w:val="20"/>
                <w:szCs w:val="20"/>
                <w:lang w:eastAsia="en-US"/>
              </w:rPr>
            </w:pPr>
            <w:r w:rsidRPr="009B7B35">
              <w:rPr>
                <w:rFonts w:cs="Arial"/>
                <w:sz w:val="20"/>
                <w:szCs w:val="20"/>
                <w:lang w:eastAsia="en-US"/>
              </w:rPr>
              <w:t>Within the setback area adjoining a residential zone</w:t>
            </w:r>
            <w:r w:rsidRPr="009B7B35">
              <w:rPr>
                <w:rFonts w:cs="Arial"/>
                <w:sz w:val="20"/>
                <w:szCs w:val="20"/>
              </w:rPr>
              <w:t xml:space="preserve"> or the Emerging community zone</w:t>
            </w:r>
            <w:r w:rsidRPr="009B7B35">
              <w:rPr>
                <w:rFonts w:cs="Arial"/>
                <w:sz w:val="20"/>
                <w:szCs w:val="20"/>
                <w:lang w:eastAsia="en-US"/>
              </w:rPr>
              <w:t>, the following is provided:</w:t>
            </w:r>
          </w:p>
          <w:p w14:paraId="40F7F728" w14:textId="77777777" w:rsidR="00BE36FB" w:rsidRPr="009B7B35" w:rsidRDefault="00BE36FB" w:rsidP="00BE36FB">
            <w:pPr>
              <w:pStyle w:val="TableText"/>
              <w:numPr>
                <w:ilvl w:val="0"/>
                <w:numId w:val="519"/>
              </w:numPr>
              <w:rPr>
                <w:rFonts w:cs="Arial"/>
                <w:lang w:eastAsia="en-US"/>
              </w:rPr>
            </w:pPr>
            <w:r w:rsidRPr="009B7B35">
              <w:rPr>
                <w:rFonts w:cs="Arial"/>
                <w:lang w:eastAsia="en-US"/>
              </w:rPr>
              <w:t>a minimum 1.8m high solid boundary fence, and</w:t>
            </w:r>
          </w:p>
          <w:p w14:paraId="03D18523" w14:textId="77777777" w:rsidR="00BE36FB" w:rsidRPr="009B7B35" w:rsidRDefault="00BE36FB" w:rsidP="00BE36FB">
            <w:pPr>
              <w:pStyle w:val="TableText"/>
              <w:numPr>
                <w:ilvl w:val="0"/>
                <w:numId w:val="519"/>
              </w:numPr>
              <w:rPr>
                <w:rFonts w:cs="Arial"/>
                <w:lang w:eastAsia="en-US"/>
              </w:rPr>
            </w:pPr>
            <w:r w:rsidRPr="009B7B35">
              <w:rPr>
                <w:rFonts w:cs="Arial"/>
                <w:lang w:eastAsia="en-US"/>
              </w:rPr>
              <w:t>a densely planted landscape strip, having a minimum width of 3m and the balance setback area turfed.</w:t>
            </w:r>
          </w:p>
        </w:tc>
      </w:tr>
      <w:tr w:rsidR="00BE36FB" w:rsidRPr="009B7B35" w14:paraId="5C477FBB" w14:textId="77777777" w:rsidTr="001A7107">
        <w:tc>
          <w:tcPr>
            <w:tcW w:w="4678" w:type="dxa"/>
            <w:vMerge/>
          </w:tcPr>
          <w:p w14:paraId="05CCCE3E" w14:textId="77777777" w:rsidR="00BE36FB" w:rsidRPr="009B7B35" w:rsidRDefault="00BE36FB" w:rsidP="001A7107">
            <w:pPr>
              <w:rPr>
                <w:rFonts w:cs="Arial"/>
                <w:sz w:val="20"/>
                <w:szCs w:val="20"/>
                <w:lang w:eastAsia="en-US"/>
              </w:rPr>
            </w:pPr>
          </w:p>
        </w:tc>
        <w:tc>
          <w:tcPr>
            <w:tcW w:w="4678" w:type="dxa"/>
          </w:tcPr>
          <w:p w14:paraId="1D10CDEF" w14:textId="77777777" w:rsidR="00BE36FB" w:rsidRPr="009B7B35" w:rsidRDefault="00BE36FB" w:rsidP="001A7107">
            <w:pPr>
              <w:pStyle w:val="TableText"/>
              <w:rPr>
                <w:rFonts w:cs="Arial"/>
                <w:b/>
                <w:bCs/>
                <w:lang w:eastAsia="en-US"/>
              </w:rPr>
            </w:pPr>
            <w:r w:rsidRPr="009B7B35">
              <w:rPr>
                <w:rFonts w:cs="Arial"/>
                <w:b/>
                <w:bCs/>
                <w:lang w:eastAsia="en-US"/>
              </w:rPr>
              <w:t>AO22.3</w:t>
            </w:r>
          </w:p>
          <w:p w14:paraId="28B90026" w14:textId="77777777" w:rsidR="00BE36FB" w:rsidRPr="009B7B35" w:rsidRDefault="00BE36FB" w:rsidP="001A7107">
            <w:pPr>
              <w:pStyle w:val="TableText"/>
              <w:rPr>
                <w:rFonts w:cs="Arial"/>
                <w:lang w:eastAsia="en-US"/>
              </w:rPr>
            </w:pPr>
            <w:r w:rsidRPr="009B7B35">
              <w:rPr>
                <w:rFonts w:cs="Arial"/>
                <w:lang w:eastAsia="en-US"/>
              </w:rPr>
              <w:t>Windows or openings that have direct views into adjoining residential buildings are provided with fixed screening that is a maximum of 50% transparent to obscure views into the adjoining residential building and maintain privacy for those residents.</w:t>
            </w:r>
          </w:p>
        </w:tc>
      </w:tr>
      <w:tr w:rsidR="00BE36FB" w:rsidRPr="009B7B35" w14:paraId="5591AFE7" w14:textId="77777777" w:rsidTr="001A7107">
        <w:tc>
          <w:tcPr>
            <w:tcW w:w="4678" w:type="dxa"/>
          </w:tcPr>
          <w:p w14:paraId="3DFBFF2D" w14:textId="77777777" w:rsidR="00BE36FB" w:rsidRPr="009B7B35" w:rsidRDefault="00BE36FB" w:rsidP="001A7107">
            <w:pPr>
              <w:pStyle w:val="TableText"/>
              <w:rPr>
                <w:rFonts w:cs="Arial"/>
                <w:b/>
                <w:bCs/>
                <w:lang w:eastAsia="en-US"/>
              </w:rPr>
            </w:pPr>
            <w:r w:rsidRPr="009B7B35">
              <w:rPr>
                <w:rFonts w:cs="Arial"/>
                <w:b/>
                <w:bCs/>
                <w:lang w:eastAsia="en-US"/>
              </w:rPr>
              <w:t>PO23</w:t>
            </w:r>
          </w:p>
          <w:p w14:paraId="07793DD0" w14:textId="77777777" w:rsidR="00BE36FB" w:rsidRPr="009B7B35" w:rsidRDefault="00BE36FB" w:rsidP="001A7107">
            <w:pPr>
              <w:rPr>
                <w:rFonts w:cs="Arial"/>
                <w:sz w:val="20"/>
                <w:szCs w:val="20"/>
                <w:lang w:eastAsia="en-US"/>
              </w:rPr>
            </w:pPr>
            <w:r w:rsidRPr="009B7B35">
              <w:rPr>
                <w:rFonts w:cs="Arial"/>
                <w:sz w:val="20"/>
                <w:szCs w:val="20"/>
                <w:lang w:eastAsia="en-US"/>
              </w:rPr>
              <w:t>Development is designed to facilitate the safety and security of people and property having regard to:</w:t>
            </w:r>
          </w:p>
          <w:p w14:paraId="51450D95" w14:textId="77777777" w:rsidR="00BE36FB" w:rsidRPr="009B7B35" w:rsidRDefault="00BE36FB" w:rsidP="00BE36FB">
            <w:pPr>
              <w:pStyle w:val="TableText"/>
              <w:numPr>
                <w:ilvl w:val="0"/>
                <w:numId w:val="520"/>
              </w:numPr>
              <w:ind w:left="652" w:hanging="652"/>
              <w:rPr>
                <w:rFonts w:cs="Arial"/>
                <w:lang w:eastAsia="en-US"/>
              </w:rPr>
            </w:pPr>
            <w:r w:rsidRPr="009B7B35">
              <w:rPr>
                <w:rFonts w:cs="Arial"/>
                <w:lang w:eastAsia="en-US"/>
              </w:rPr>
              <w:t xml:space="preserve">maximising casual surveillance and sight lines </w:t>
            </w:r>
          </w:p>
          <w:p w14:paraId="6126EFBC" w14:textId="77777777" w:rsidR="00BE36FB" w:rsidRPr="009B7B35" w:rsidRDefault="00BE36FB" w:rsidP="00BE36FB">
            <w:pPr>
              <w:pStyle w:val="TableText"/>
              <w:numPr>
                <w:ilvl w:val="0"/>
                <w:numId w:val="520"/>
              </w:numPr>
              <w:ind w:left="652" w:hanging="652"/>
              <w:rPr>
                <w:rFonts w:cs="Arial"/>
                <w:lang w:eastAsia="en-US"/>
              </w:rPr>
            </w:pPr>
            <w:r w:rsidRPr="009B7B35">
              <w:rPr>
                <w:rFonts w:cs="Arial"/>
                <w:lang w:eastAsia="en-US"/>
              </w:rPr>
              <w:t>exterior building design that promotes safety</w:t>
            </w:r>
          </w:p>
          <w:p w14:paraId="2DC7DAA3" w14:textId="77777777" w:rsidR="00BE36FB" w:rsidRPr="009B7B35" w:rsidRDefault="00BE36FB" w:rsidP="00BE36FB">
            <w:pPr>
              <w:pStyle w:val="TableText"/>
              <w:numPr>
                <w:ilvl w:val="0"/>
                <w:numId w:val="520"/>
              </w:numPr>
              <w:ind w:left="652" w:hanging="652"/>
              <w:rPr>
                <w:rFonts w:cs="Arial"/>
                <w:lang w:eastAsia="en-US"/>
              </w:rPr>
            </w:pPr>
            <w:r w:rsidRPr="009B7B35">
              <w:rPr>
                <w:rFonts w:cs="Arial"/>
                <w:lang w:eastAsia="en-US"/>
              </w:rPr>
              <w:t>adequate lighting</w:t>
            </w:r>
          </w:p>
          <w:p w14:paraId="671B62CC" w14:textId="77777777" w:rsidR="00BE36FB" w:rsidRPr="009B7B35" w:rsidRDefault="00BE36FB" w:rsidP="00BE36FB">
            <w:pPr>
              <w:pStyle w:val="TableText"/>
              <w:numPr>
                <w:ilvl w:val="0"/>
                <w:numId w:val="520"/>
              </w:numPr>
              <w:ind w:left="652" w:hanging="652"/>
              <w:rPr>
                <w:rFonts w:cs="Arial"/>
                <w:lang w:eastAsia="en-US"/>
              </w:rPr>
            </w:pPr>
            <w:r w:rsidRPr="009B7B35">
              <w:rPr>
                <w:rFonts w:cs="Arial"/>
                <w:lang w:eastAsia="en-US"/>
              </w:rPr>
              <w:t>appropriate signage and wayfinding</w:t>
            </w:r>
          </w:p>
          <w:p w14:paraId="20AA262B" w14:textId="77777777" w:rsidR="00BE36FB" w:rsidRPr="009B7B35" w:rsidRDefault="00BE36FB" w:rsidP="00BE36FB">
            <w:pPr>
              <w:pStyle w:val="TableText"/>
              <w:numPr>
                <w:ilvl w:val="0"/>
                <w:numId w:val="520"/>
              </w:numPr>
              <w:ind w:left="652" w:hanging="652"/>
              <w:rPr>
                <w:rFonts w:cs="Arial"/>
                <w:lang w:eastAsia="en-US"/>
              </w:rPr>
            </w:pPr>
            <w:r w:rsidRPr="009B7B35">
              <w:rPr>
                <w:rFonts w:cs="Arial"/>
                <w:lang w:eastAsia="en-US"/>
              </w:rPr>
              <w:t>minimisation of personal concealment and entrapment locations, and</w:t>
            </w:r>
          </w:p>
          <w:p w14:paraId="3A871557" w14:textId="77777777" w:rsidR="00BE36FB" w:rsidRPr="009B7B35" w:rsidRDefault="00BE36FB" w:rsidP="00BE36FB">
            <w:pPr>
              <w:pStyle w:val="TableText"/>
              <w:numPr>
                <w:ilvl w:val="0"/>
                <w:numId w:val="520"/>
              </w:numPr>
              <w:ind w:left="652" w:hanging="652"/>
              <w:rPr>
                <w:rFonts w:cs="Arial"/>
                <w:lang w:eastAsia="en-US"/>
              </w:rPr>
            </w:pPr>
            <w:r w:rsidRPr="009B7B35">
              <w:rPr>
                <w:rFonts w:cs="Arial"/>
                <w:lang w:eastAsia="en-US"/>
              </w:rPr>
              <w:t>building entrances, parking, loading and storage areas that are well lit and have clearly defined access points.</w:t>
            </w:r>
          </w:p>
          <w:p w14:paraId="6B4A7CA6" w14:textId="77777777" w:rsidR="00BE36FB" w:rsidRPr="009B7B35" w:rsidRDefault="00BE36FB">
            <w:pPr>
              <w:pStyle w:val="Notes"/>
              <w:rPr>
                <w:rFonts w:cs="Arial"/>
                <w:sz w:val="20"/>
                <w:szCs w:val="20"/>
                <w:lang w:eastAsia="en-US"/>
              </w:rPr>
            </w:pPr>
            <w:r w:rsidRPr="009B7B35">
              <w:rPr>
                <w:rFonts w:cs="Arial"/>
                <w:sz w:val="20"/>
                <w:szCs w:val="20"/>
                <w:lang w:eastAsia="en-US"/>
              </w:rPr>
              <w:t>Note—</w:t>
            </w:r>
            <w:r w:rsidRPr="009B7B35">
              <w:rPr>
                <w:rFonts w:cs="Arial"/>
                <w:sz w:val="20"/>
                <w:szCs w:val="20"/>
              </w:rPr>
              <w:t>A</w:t>
            </w:r>
            <w:r w:rsidRPr="009B7B35">
              <w:rPr>
                <w:rFonts w:cs="Arial"/>
                <w:sz w:val="20"/>
                <w:szCs w:val="20"/>
                <w:lang w:eastAsia="en-US"/>
              </w:rPr>
              <w:t xml:space="preserve">pplicants should have regard to </w:t>
            </w:r>
            <w:hyperlink r:id="rId74" w:tgtFrame="_blank" w:tooltip="Crime Prevention through Environmental Design Guidelines for Queensland" w:history="1">
              <w:r w:rsidRPr="009B7B35">
                <w:rPr>
                  <w:rStyle w:val="Hyperlink"/>
                  <w:rFonts w:cs="Arial"/>
                  <w:sz w:val="20"/>
                  <w:szCs w:val="20"/>
                  <w:lang w:eastAsia="en-US"/>
                </w:rPr>
                <w:t>Crime Prevention through Environmental Design Guidelines for Queensland</w:t>
              </w:r>
            </w:hyperlink>
            <w:r w:rsidRPr="009B7B35">
              <w:rPr>
                <w:rFonts w:cs="Arial"/>
                <w:sz w:val="20"/>
                <w:szCs w:val="20"/>
                <w:lang w:eastAsia="en-US"/>
              </w:rPr>
              <w:t>.</w:t>
            </w:r>
          </w:p>
        </w:tc>
        <w:tc>
          <w:tcPr>
            <w:tcW w:w="4678" w:type="dxa"/>
          </w:tcPr>
          <w:p w14:paraId="239CE88A"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55E9A32C" w14:textId="77777777" w:rsidTr="001A7107">
        <w:tc>
          <w:tcPr>
            <w:tcW w:w="9356" w:type="dxa"/>
            <w:gridSpan w:val="2"/>
            <w:shd w:val="clear" w:color="auto" w:fill="BFBFBF" w:themeFill="background1" w:themeFillShade="BF"/>
            <w:hideMark/>
          </w:tcPr>
          <w:p w14:paraId="51160C7B"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Effects of development</w:t>
            </w:r>
          </w:p>
        </w:tc>
      </w:tr>
      <w:tr w:rsidR="00BE36FB" w:rsidRPr="009B7B35" w14:paraId="671BBAC7" w14:textId="77777777" w:rsidTr="001A7107">
        <w:tc>
          <w:tcPr>
            <w:tcW w:w="4678" w:type="dxa"/>
            <w:hideMark/>
          </w:tcPr>
          <w:p w14:paraId="7F25BCAD" w14:textId="77777777" w:rsidR="00BE36FB" w:rsidRPr="009B7B35" w:rsidRDefault="00BE36FB" w:rsidP="001A7107">
            <w:pPr>
              <w:pStyle w:val="TableText"/>
              <w:rPr>
                <w:rFonts w:cs="Arial"/>
                <w:b/>
                <w:bCs/>
                <w:lang w:eastAsia="en-US"/>
              </w:rPr>
            </w:pPr>
            <w:r w:rsidRPr="009B7B35">
              <w:rPr>
                <w:rFonts w:cs="Arial"/>
                <w:b/>
                <w:bCs/>
                <w:lang w:eastAsia="en-US"/>
              </w:rPr>
              <w:t>PO24</w:t>
            </w:r>
          </w:p>
          <w:p w14:paraId="65C4360D" w14:textId="77777777" w:rsidR="00BE36FB" w:rsidRPr="009B7B35" w:rsidRDefault="00BE36FB" w:rsidP="001A7107">
            <w:pPr>
              <w:rPr>
                <w:rFonts w:cs="Arial"/>
                <w:sz w:val="20"/>
                <w:szCs w:val="20"/>
                <w:lang w:eastAsia="en-US"/>
              </w:rPr>
            </w:pPr>
            <w:r w:rsidRPr="009B7B35">
              <w:rPr>
                <w:rFonts w:cs="Arial"/>
                <w:sz w:val="20"/>
                <w:szCs w:val="20"/>
                <w:lang w:eastAsia="en-US"/>
              </w:rPr>
              <w:t>Development responds sensitively to on–site and surrounding topography, coastal foreshores, waterways, drainage patterns, utility services, access, vegetation and adjoining land uses, such that:</w:t>
            </w:r>
          </w:p>
          <w:p w14:paraId="335A7EA5" w14:textId="77777777" w:rsidR="00BE36FB" w:rsidRPr="009B7B35" w:rsidRDefault="00BE36FB" w:rsidP="00BE36FB">
            <w:pPr>
              <w:pStyle w:val="TableText"/>
              <w:numPr>
                <w:ilvl w:val="0"/>
                <w:numId w:val="521"/>
              </w:numPr>
              <w:rPr>
                <w:rFonts w:cs="Arial"/>
                <w:lang w:eastAsia="en-US"/>
              </w:rPr>
            </w:pPr>
            <w:r w:rsidRPr="009B7B35">
              <w:rPr>
                <w:rFonts w:cs="Arial"/>
                <w:lang w:eastAsia="en-US"/>
              </w:rPr>
              <w:t>any hazards to people or property are avoided</w:t>
            </w:r>
          </w:p>
          <w:p w14:paraId="31B94554" w14:textId="77777777" w:rsidR="00BE36FB" w:rsidRPr="009B7B35" w:rsidRDefault="00BE36FB" w:rsidP="00BE36FB">
            <w:pPr>
              <w:pStyle w:val="TableText"/>
              <w:numPr>
                <w:ilvl w:val="0"/>
                <w:numId w:val="521"/>
              </w:numPr>
              <w:rPr>
                <w:rFonts w:cs="Arial"/>
                <w:lang w:eastAsia="en-US"/>
              </w:rPr>
            </w:pPr>
            <w:r w:rsidRPr="009B7B35">
              <w:rPr>
                <w:rFonts w:cs="Arial"/>
                <w:lang w:eastAsia="en-US"/>
              </w:rPr>
              <w:t>any earthworks are minimised</w:t>
            </w:r>
          </w:p>
          <w:p w14:paraId="2BA562A3" w14:textId="77777777" w:rsidR="00BE36FB" w:rsidRPr="009B7B35" w:rsidRDefault="00BE36FB" w:rsidP="00BE36FB">
            <w:pPr>
              <w:pStyle w:val="TableText"/>
              <w:numPr>
                <w:ilvl w:val="0"/>
                <w:numId w:val="521"/>
              </w:numPr>
              <w:rPr>
                <w:rFonts w:cs="Arial"/>
                <w:lang w:eastAsia="en-US"/>
              </w:rPr>
            </w:pPr>
            <w:r w:rsidRPr="009B7B35">
              <w:rPr>
                <w:rFonts w:cs="Arial"/>
                <w:lang w:eastAsia="en-US"/>
              </w:rPr>
              <w:t xml:space="preserve">the retention of natural drainage lines </w:t>
            </w:r>
            <w:r w:rsidRPr="009B7B35">
              <w:rPr>
                <w:rFonts w:cs="Arial"/>
              </w:rPr>
              <w:t>is</w:t>
            </w:r>
            <w:r w:rsidRPr="009B7B35">
              <w:rPr>
                <w:rFonts w:cs="Arial"/>
                <w:lang w:eastAsia="en-US"/>
              </w:rPr>
              <w:t xml:space="preserve"> maximised</w:t>
            </w:r>
          </w:p>
          <w:p w14:paraId="02C5C6C2" w14:textId="77777777" w:rsidR="00BE36FB" w:rsidRPr="009B7B35" w:rsidRDefault="00BE36FB" w:rsidP="00BE36FB">
            <w:pPr>
              <w:pStyle w:val="TableText"/>
              <w:numPr>
                <w:ilvl w:val="0"/>
                <w:numId w:val="521"/>
              </w:numPr>
              <w:rPr>
                <w:rFonts w:cs="Arial"/>
                <w:lang w:eastAsia="en-US"/>
              </w:rPr>
            </w:pPr>
            <w:r w:rsidRPr="009B7B35">
              <w:rPr>
                <w:rFonts w:cs="Arial"/>
                <w:lang w:eastAsia="en-US"/>
              </w:rPr>
              <w:t>the retention of existing vegetation is maximised</w:t>
            </w:r>
          </w:p>
          <w:p w14:paraId="7866B526" w14:textId="77777777" w:rsidR="00BE36FB" w:rsidRPr="009B7B35" w:rsidRDefault="00BE36FB" w:rsidP="00BE36FB">
            <w:pPr>
              <w:pStyle w:val="TableText"/>
              <w:numPr>
                <w:ilvl w:val="0"/>
                <w:numId w:val="521"/>
              </w:numPr>
              <w:rPr>
                <w:rFonts w:cs="Arial"/>
                <w:lang w:eastAsia="en-US"/>
              </w:rPr>
            </w:pPr>
            <w:r w:rsidRPr="009B7B35">
              <w:rPr>
                <w:rFonts w:cs="Arial"/>
                <w:lang w:eastAsia="en-US"/>
              </w:rPr>
              <w:t>damage or disruption to sewer</w:t>
            </w:r>
            <w:r w:rsidRPr="009B7B35">
              <w:rPr>
                <w:rFonts w:cs="Arial"/>
              </w:rPr>
              <w:t>age</w:t>
            </w:r>
            <w:r w:rsidRPr="009B7B35">
              <w:rPr>
                <w:rFonts w:cs="Arial"/>
                <w:lang w:eastAsia="en-US"/>
              </w:rPr>
              <w:t xml:space="preserve">, stormwater and water infrastructure is avoided, and </w:t>
            </w:r>
          </w:p>
          <w:p w14:paraId="17406740" w14:textId="77777777" w:rsidR="00BE36FB" w:rsidRPr="009B7B35" w:rsidRDefault="00BE36FB" w:rsidP="00BE36FB">
            <w:pPr>
              <w:pStyle w:val="TableText"/>
              <w:numPr>
                <w:ilvl w:val="0"/>
                <w:numId w:val="521"/>
              </w:numPr>
              <w:rPr>
                <w:rFonts w:cs="Arial"/>
                <w:lang w:eastAsia="en-US"/>
              </w:rPr>
            </w:pPr>
            <w:r w:rsidRPr="009B7B35">
              <w:rPr>
                <w:rFonts w:cs="Arial"/>
                <w:lang w:eastAsia="en-US"/>
              </w:rPr>
              <w:t>there is adequate buffering, screening or separation to adjoining development.</w:t>
            </w:r>
          </w:p>
        </w:tc>
        <w:tc>
          <w:tcPr>
            <w:tcW w:w="4678" w:type="dxa"/>
            <w:hideMark/>
          </w:tcPr>
          <w:p w14:paraId="1CC5B0C8"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45E88A61" w14:textId="77777777" w:rsidTr="001A7107">
        <w:trPr>
          <w:cantSplit/>
        </w:trPr>
        <w:tc>
          <w:tcPr>
            <w:tcW w:w="4678" w:type="dxa"/>
            <w:hideMark/>
          </w:tcPr>
          <w:p w14:paraId="2DD94121" w14:textId="77777777" w:rsidR="00BE36FB" w:rsidRPr="009B7B35" w:rsidRDefault="00BE36FB" w:rsidP="001A7107">
            <w:pPr>
              <w:pStyle w:val="TableText"/>
              <w:rPr>
                <w:rFonts w:cs="Arial"/>
                <w:b/>
                <w:bCs/>
                <w:lang w:eastAsia="en-US"/>
              </w:rPr>
            </w:pPr>
            <w:r w:rsidRPr="009B7B35">
              <w:rPr>
                <w:rFonts w:cs="Arial"/>
                <w:b/>
                <w:bCs/>
                <w:lang w:eastAsia="en-US"/>
              </w:rPr>
              <w:t>PO25</w:t>
            </w:r>
          </w:p>
          <w:p w14:paraId="02A46ADB" w14:textId="77777777" w:rsidR="00BE36FB" w:rsidRPr="009B7B35" w:rsidRDefault="00BE36FB" w:rsidP="001A7107">
            <w:pPr>
              <w:pStyle w:val="TableText"/>
              <w:rPr>
                <w:rFonts w:cs="Arial"/>
                <w:lang w:eastAsia="en-US"/>
              </w:rPr>
            </w:pPr>
            <w:r w:rsidRPr="009B7B35">
              <w:rPr>
                <w:rFonts w:cs="Arial"/>
                <w:lang w:eastAsia="en-US"/>
              </w:rPr>
              <w:t>Development is located, designed and operated so that adverse environmental impacts and environmental harm on nearby land is minimised.</w:t>
            </w:r>
          </w:p>
        </w:tc>
        <w:tc>
          <w:tcPr>
            <w:tcW w:w="4678" w:type="dxa"/>
            <w:hideMark/>
          </w:tcPr>
          <w:p w14:paraId="78A3FB31"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09A73EE9" w14:textId="77777777" w:rsidTr="001A7107">
        <w:trPr>
          <w:cantSplit/>
        </w:trPr>
        <w:tc>
          <w:tcPr>
            <w:tcW w:w="9356" w:type="dxa"/>
            <w:gridSpan w:val="2"/>
            <w:shd w:val="clear" w:color="auto" w:fill="BFBFBF" w:themeFill="background1" w:themeFillShade="BF"/>
          </w:tcPr>
          <w:p w14:paraId="0511744C"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Food and drink outlet</w:t>
            </w:r>
          </w:p>
        </w:tc>
      </w:tr>
      <w:tr w:rsidR="00BE36FB" w:rsidRPr="009B7B35" w14:paraId="4503434A" w14:textId="77777777" w:rsidTr="001A7107">
        <w:tc>
          <w:tcPr>
            <w:tcW w:w="4678" w:type="dxa"/>
          </w:tcPr>
          <w:p w14:paraId="70252611" w14:textId="77777777" w:rsidR="00BE36FB" w:rsidRPr="009B7B35" w:rsidRDefault="00BE36FB" w:rsidP="001A7107">
            <w:pPr>
              <w:pStyle w:val="TableText"/>
              <w:rPr>
                <w:rFonts w:cs="Arial"/>
                <w:b/>
                <w:bCs/>
                <w:lang w:eastAsia="en-US"/>
              </w:rPr>
            </w:pPr>
            <w:r w:rsidRPr="009B7B35">
              <w:rPr>
                <w:rFonts w:cs="Arial"/>
                <w:b/>
                <w:bCs/>
                <w:lang w:eastAsia="en-US"/>
              </w:rPr>
              <w:t>PO26</w:t>
            </w:r>
          </w:p>
          <w:p w14:paraId="5C324792" w14:textId="77777777" w:rsidR="00BE36FB" w:rsidRPr="009B7B35" w:rsidRDefault="00BE36FB" w:rsidP="001A7107">
            <w:pPr>
              <w:rPr>
                <w:rFonts w:cs="Arial"/>
                <w:sz w:val="20"/>
                <w:szCs w:val="20"/>
                <w:lang w:eastAsia="en-US"/>
              </w:rPr>
            </w:pPr>
            <w:r w:rsidRPr="009B7B35">
              <w:rPr>
                <w:rFonts w:cs="Arial"/>
                <w:sz w:val="20"/>
                <w:szCs w:val="20"/>
                <w:lang w:eastAsia="en-US"/>
              </w:rPr>
              <w:t xml:space="preserve">Development: </w:t>
            </w:r>
          </w:p>
          <w:p w14:paraId="0FF08D60" w14:textId="77777777" w:rsidR="00BE36FB" w:rsidRPr="009B7B35" w:rsidRDefault="00BE36FB" w:rsidP="00BE36FB">
            <w:pPr>
              <w:numPr>
                <w:ilvl w:val="0"/>
                <w:numId w:val="199"/>
              </w:numPr>
              <w:rPr>
                <w:rFonts w:cs="Arial"/>
                <w:sz w:val="20"/>
                <w:szCs w:val="20"/>
                <w:lang w:eastAsia="en-US"/>
              </w:rPr>
            </w:pPr>
            <w:r w:rsidRPr="009B7B35">
              <w:rPr>
                <w:rFonts w:cs="Arial"/>
                <w:sz w:val="20"/>
                <w:szCs w:val="20"/>
                <w:lang w:eastAsia="en-US"/>
              </w:rPr>
              <w:t>occurs at a scale which provides for the day to day convenience needs of employees in the low impact industry area, and</w:t>
            </w:r>
          </w:p>
          <w:p w14:paraId="1A6C4D7B" w14:textId="77777777" w:rsidR="00BE36FB" w:rsidRPr="009B7B35" w:rsidRDefault="00BE36FB" w:rsidP="00BE36FB">
            <w:pPr>
              <w:numPr>
                <w:ilvl w:val="0"/>
                <w:numId w:val="199"/>
              </w:numPr>
              <w:rPr>
                <w:rFonts w:cs="Arial"/>
                <w:sz w:val="20"/>
                <w:szCs w:val="20"/>
                <w:lang w:eastAsia="en-US"/>
              </w:rPr>
            </w:pPr>
            <w:r w:rsidRPr="009B7B35">
              <w:rPr>
                <w:rFonts w:cs="Arial"/>
                <w:sz w:val="20"/>
                <w:szCs w:val="20"/>
                <w:lang w:eastAsia="en-US"/>
              </w:rPr>
              <w:t>does not impact on the viability of the region’s centres.</w:t>
            </w:r>
          </w:p>
        </w:tc>
        <w:tc>
          <w:tcPr>
            <w:tcW w:w="4678" w:type="dxa"/>
          </w:tcPr>
          <w:p w14:paraId="47E5249A" w14:textId="77777777" w:rsidR="00BE36FB" w:rsidRPr="009B7B35" w:rsidRDefault="00BE36FB" w:rsidP="001A7107">
            <w:pPr>
              <w:pStyle w:val="TableText"/>
              <w:rPr>
                <w:rFonts w:cs="Arial"/>
                <w:b/>
                <w:bCs/>
                <w:lang w:eastAsia="en-US"/>
              </w:rPr>
            </w:pPr>
            <w:r w:rsidRPr="009B7B35">
              <w:rPr>
                <w:rFonts w:cs="Arial"/>
                <w:b/>
                <w:bCs/>
                <w:lang w:eastAsia="en-US"/>
              </w:rPr>
              <w:t>AO26</w:t>
            </w:r>
          </w:p>
          <w:p w14:paraId="3CB9F546" w14:textId="77777777" w:rsidR="00BE36FB" w:rsidRPr="009B7B35" w:rsidRDefault="00BE36FB" w:rsidP="001A7107">
            <w:pPr>
              <w:pStyle w:val="TableText"/>
              <w:rPr>
                <w:rFonts w:cs="Arial"/>
                <w:lang w:eastAsia="en-US"/>
              </w:rPr>
            </w:pPr>
            <w:r w:rsidRPr="009B7B35">
              <w:rPr>
                <w:rFonts w:cs="Arial"/>
                <w:lang w:eastAsia="en-US"/>
              </w:rPr>
              <w:t>GFA including all seating areas does not exceed 150m</w:t>
            </w:r>
            <w:r w:rsidRPr="009B7B35">
              <w:rPr>
                <w:rFonts w:cs="Arial"/>
                <w:vertAlign w:val="superscript"/>
              </w:rPr>
              <w:t>2</w:t>
            </w:r>
            <w:r w:rsidRPr="009B7B35">
              <w:rPr>
                <w:rFonts w:cs="Arial"/>
                <w:lang w:eastAsia="en-US"/>
              </w:rPr>
              <w:t>.</w:t>
            </w:r>
          </w:p>
        </w:tc>
      </w:tr>
      <w:tr w:rsidR="00BE36FB" w:rsidRPr="009B7B35" w14:paraId="5A058BBC" w14:textId="77777777" w:rsidTr="001A7107">
        <w:tc>
          <w:tcPr>
            <w:tcW w:w="4678" w:type="dxa"/>
          </w:tcPr>
          <w:p w14:paraId="293944F4" w14:textId="77777777" w:rsidR="00BE36FB" w:rsidRPr="009B7B35" w:rsidRDefault="00BE36FB" w:rsidP="001A7107">
            <w:pPr>
              <w:pStyle w:val="TableText"/>
              <w:rPr>
                <w:rFonts w:cs="Arial"/>
                <w:b/>
                <w:bCs/>
                <w:lang w:eastAsia="en-US"/>
              </w:rPr>
            </w:pPr>
            <w:r w:rsidRPr="009B7B35">
              <w:rPr>
                <w:rFonts w:cs="Arial"/>
                <w:b/>
                <w:bCs/>
                <w:lang w:eastAsia="en-US"/>
              </w:rPr>
              <w:t>PO27</w:t>
            </w:r>
          </w:p>
          <w:p w14:paraId="1516FAAB" w14:textId="77777777" w:rsidR="00BE36FB" w:rsidRPr="009B7B35" w:rsidRDefault="00BE36FB" w:rsidP="001A7107">
            <w:pPr>
              <w:rPr>
                <w:rFonts w:cs="Arial"/>
                <w:sz w:val="20"/>
                <w:szCs w:val="20"/>
                <w:lang w:eastAsia="en-US"/>
              </w:rPr>
            </w:pPr>
            <w:r w:rsidRPr="009B7B35">
              <w:rPr>
                <w:rFonts w:cs="Arial"/>
                <w:sz w:val="20"/>
                <w:szCs w:val="20"/>
                <w:lang w:eastAsia="en-US"/>
              </w:rPr>
              <w:t>Development provides a safe environment for staff and patrons through:</w:t>
            </w:r>
          </w:p>
          <w:p w14:paraId="2D9B242D" w14:textId="77777777" w:rsidR="00BE36FB" w:rsidRPr="009B7B35" w:rsidRDefault="00BE36FB" w:rsidP="00BE36FB">
            <w:pPr>
              <w:pStyle w:val="TableText"/>
              <w:numPr>
                <w:ilvl w:val="0"/>
                <w:numId w:val="518"/>
              </w:numPr>
              <w:ind w:left="510" w:hanging="510"/>
              <w:rPr>
                <w:rFonts w:cs="Arial"/>
                <w:lang w:eastAsia="en-US"/>
              </w:rPr>
            </w:pPr>
            <w:r w:rsidRPr="009B7B35">
              <w:rPr>
                <w:rFonts w:cs="Arial"/>
                <w:lang w:eastAsia="en-US"/>
              </w:rPr>
              <w:t>adequate separation from the source of any emissions generated by surrounding uses, and</w:t>
            </w:r>
          </w:p>
          <w:p w14:paraId="33C792B6" w14:textId="77777777" w:rsidR="00BE36FB" w:rsidRPr="009B7B35" w:rsidRDefault="00BE36FB" w:rsidP="00BE36FB">
            <w:pPr>
              <w:pStyle w:val="TableText"/>
              <w:numPr>
                <w:ilvl w:val="0"/>
                <w:numId w:val="518"/>
              </w:numPr>
              <w:ind w:left="510" w:hanging="510"/>
              <w:rPr>
                <w:rFonts w:cs="Arial"/>
                <w:lang w:eastAsia="en-US"/>
              </w:rPr>
            </w:pPr>
            <w:r w:rsidRPr="009B7B35">
              <w:rPr>
                <w:rFonts w:cs="Arial"/>
                <w:lang w:eastAsia="en-US"/>
              </w:rPr>
              <w:t>design and construction features which mitigate noise and air quality impacts on food preparation and dining areas.</w:t>
            </w:r>
          </w:p>
        </w:tc>
        <w:tc>
          <w:tcPr>
            <w:tcW w:w="4678" w:type="dxa"/>
          </w:tcPr>
          <w:p w14:paraId="0A542B15"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0D01286E" w14:textId="77777777" w:rsidTr="001A7107">
        <w:trPr>
          <w:cantSplit/>
        </w:trPr>
        <w:tc>
          <w:tcPr>
            <w:tcW w:w="9356" w:type="dxa"/>
            <w:gridSpan w:val="2"/>
            <w:shd w:val="clear" w:color="auto" w:fill="BFBFBF" w:themeFill="background1" w:themeFillShade="BF"/>
          </w:tcPr>
          <w:p w14:paraId="21CE9399"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Service station</w:t>
            </w:r>
          </w:p>
        </w:tc>
      </w:tr>
      <w:tr w:rsidR="00BE36FB" w:rsidRPr="009B7B35" w14:paraId="46DB927D" w14:textId="77777777" w:rsidTr="001A7107">
        <w:trPr>
          <w:cantSplit/>
        </w:trPr>
        <w:tc>
          <w:tcPr>
            <w:tcW w:w="4678" w:type="dxa"/>
          </w:tcPr>
          <w:p w14:paraId="0078C142" w14:textId="77777777" w:rsidR="00BE36FB" w:rsidRPr="009B7B35" w:rsidRDefault="00BE36FB" w:rsidP="001A7107">
            <w:pPr>
              <w:pStyle w:val="TableText"/>
              <w:rPr>
                <w:rFonts w:cs="Arial"/>
                <w:b/>
                <w:bCs/>
                <w:lang w:eastAsia="en-US"/>
              </w:rPr>
            </w:pPr>
            <w:r w:rsidRPr="009B7B35">
              <w:rPr>
                <w:rFonts w:cs="Arial"/>
                <w:b/>
                <w:bCs/>
                <w:lang w:eastAsia="en-US"/>
              </w:rPr>
              <w:t>PO28</w:t>
            </w:r>
          </w:p>
          <w:p w14:paraId="339AA46B" w14:textId="77777777" w:rsidR="00BE36FB" w:rsidRPr="009B7B35" w:rsidRDefault="00BE36FB" w:rsidP="001A7107">
            <w:pPr>
              <w:pStyle w:val="TableText"/>
              <w:rPr>
                <w:rFonts w:cs="Arial"/>
                <w:lang w:eastAsia="en-US"/>
              </w:rPr>
            </w:pPr>
            <w:r w:rsidRPr="009B7B35">
              <w:rPr>
                <w:rFonts w:cs="Arial"/>
                <w:lang w:eastAsia="en-US"/>
              </w:rPr>
              <w:t>Buildings and structures allow for the safe operation of the service station.</w:t>
            </w:r>
          </w:p>
        </w:tc>
        <w:tc>
          <w:tcPr>
            <w:tcW w:w="4678" w:type="dxa"/>
          </w:tcPr>
          <w:p w14:paraId="4EA2737D" w14:textId="77777777" w:rsidR="00BE36FB" w:rsidRPr="009B7B35" w:rsidRDefault="00BE36FB" w:rsidP="001A7107">
            <w:pPr>
              <w:pStyle w:val="TableText"/>
              <w:rPr>
                <w:rFonts w:cs="Arial"/>
                <w:b/>
                <w:bCs/>
                <w:lang w:eastAsia="en-US"/>
              </w:rPr>
            </w:pPr>
            <w:r w:rsidRPr="009B7B35">
              <w:rPr>
                <w:rFonts w:cs="Arial"/>
                <w:b/>
                <w:bCs/>
                <w:lang w:eastAsia="en-US"/>
              </w:rPr>
              <w:t>AO28</w:t>
            </w:r>
          </w:p>
          <w:p w14:paraId="493566DA" w14:textId="77777777" w:rsidR="00BE36FB" w:rsidRPr="009B7B35" w:rsidRDefault="00BE36FB" w:rsidP="001A7107">
            <w:pPr>
              <w:pStyle w:val="TableText"/>
              <w:rPr>
                <w:rFonts w:cs="Arial"/>
                <w:lang w:eastAsia="en-US"/>
              </w:rPr>
            </w:pPr>
            <w:r w:rsidRPr="009B7B35">
              <w:rPr>
                <w:rFonts w:cs="Arial"/>
                <w:lang w:eastAsia="en-US"/>
              </w:rPr>
              <w:t>All buildings and structures, including equipment associated with the service station operation are setback as follows:</w:t>
            </w:r>
          </w:p>
          <w:p w14:paraId="20B792A9" w14:textId="77777777" w:rsidR="00BE36FB" w:rsidRPr="009B7B35" w:rsidRDefault="00BE36FB" w:rsidP="00BE36FB">
            <w:pPr>
              <w:pStyle w:val="TableText"/>
              <w:numPr>
                <w:ilvl w:val="0"/>
                <w:numId w:val="430"/>
              </w:numPr>
              <w:rPr>
                <w:rFonts w:cs="Arial"/>
                <w:lang w:eastAsia="en-US"/>
              </w:rPr>
            </w:pPr>
            <w:r w:rsidRPr="009B7B35">
              <w:rPr>
                <w:rFonts w:cs="Arial"/>
                <w:lang w:eastAsia="en-US"/>
              </w:rPr>
              <w:t>10m from the front boundary</w:t>
            </w:r>
          </w:p>
          <w:p w14:paraId="3D823297" w14:textId="77777777" w:rsidR="00BE36FB" w:rsidRPr="009B7B35" w:rsidRDefault="00BE36FB" w:rsidP="00BE36FB">
            <w:pPr>
              <w:pStyle w:val="TableText"/>
              <w:numPr>
                <w:ilvl w:val="0"/>
                <w:numId w:val="430"/>
              </w:numPr>
              <w:rPr>
                <w:rFonts w:cs="Arial"/>
                <w:lang w:eastAsia="en-US"/>
              </w:rPr>
            </w:pPr>
            <w:r w:rsidRPr="009B7B35">
              <w:rPr>
                <w:rFonts w:cs="Arial"/>
                <w:lang w:eastAsia="en-US"/>
              </w:rPr>
              <w:t>2m from the side and rear boundaries.</w:t>
            </w:r>
          </w:p>
        </w:tc>
      </w:tr>
      <w:tr w:rsidR="00BE36FB" w:rsidRPr="009B7B35" w14:paraId="0A1D7750" w14:textId="77777777" w:rsidTr="001A7107">
        <w:trPr>
          <w:cantSplit/>
        </w:trPr>
        <w:tc>
          <w:tcPr>
            <w:tcW w:w="4678" w:type="dxa"/>
          </w:tcPr>
          <w:p w14:paraId="708F91C2" w14:textId="77777777" w:rsidR="00BE36FB" w:rsidRPr="009B7B35" w:rsidRDefault="00BE36FB" w:rsidP="001A7107">
            <w:pPr>
              <w:pStyle w:val="TableText"/>
              <w:rPr>
                <w:rFonts w:cs="Arial"/>
                <w:b/>
                <w:bCs/>
                <w:lang w:eastAsia="en-US"/>
              </w:rPr>
            </w:pPr>
            <w:r w:rsidRPr="009B7B35">
              <w:rPr>
                <w:rFonts w:cs="Arial"/>
                <w:b/>
                <w:bCs/>
                <w:lang w:eastAsia="en-US"/>
              </w:rPr>
              <w:t>PO29</w:t>
            </w:r>
          </w:p>
          <w:p w14:paraId="4ED7C333" w14:textId="77777777" w:rsidR="00BE36FB" w:rsidRPr="009B7B35" w:rsidRDefault="00BE36FB" w:rsidP="001A7107">
            <w:pPr>
              <w:pStyle w:val="TableText"/>
              <w:rPr>
                <w:rFonts w:cs="Arial"/>
                <w:lang w:eastAsia="en-US"/>
              </w:rPr>
            </w:pPr>
            <w:r w:rsidRPr="009B7B35">
              <w:rPr>
                <w:rFonts w:cs="Arial"/>
                <w:lang w:eastAsia="en-US"/>
              </w:rPr>
              <w:t>Retail components are ancillary to the service station use.</w:t>
            </w:r>
          </w:p>
        </w:tc>
        <w:tc>
          <w:tcPr>
            <w:tcW w:w="4678" w:type="dxa"/>
          </w:tcPr>
          <w:p w14:paraId="466861F4" w14:textId="77777777" w:rsidR="00BE36FB" w:rsidRPr="009B7B35" w:rsidRDefault="00BE36FB" w:rsidP="001A7107">
            <w:pPr>
              <w:pStyle w:val="TableText"/>
              <w:rPr>
                <w:rFonts w:cs="Arial"/>
                <w:b/>
                <w:bCs/>
                <w:lang w:eastAsia="en-US"/>
              </w:rPr>
            </w:pPr>
            <w:r w:rsidRPr="009B7B35">
              <w:rPr>
                <w:rFonts w:cs="Arial"/>
                <w:b/>
                <w:bCs/>
                <w:lang w:eastAsia="en-US"/>
              </w:rPr>
              <w:t>AO29</w:t>
            </w:r>
          </w:p>
          <w:p w14:paraId="2D82B318" w14:textId="77777777" w:rsidR="00BE36FB" w:rsidRPr="009B7B35" w:rsidRDefault="00BE36FB" w:rsidP="001A7107">
            <w:pPr>
              <w:pStyle w:val="TableText"/>
              <w:rPr>
                <w:rFonts w:cs="Arial"/>
                <w:lang w:eastAsia="en-US"/>
              </w:rPr>
            </w:pPr>
            <w:r w:rsidRPr="009B7B35">
              <w:rPr>
                <w:rFonts w:cs="Arial"/>
                <w:lang w:eastAsia="en-US"/>
              </w:rPr>
              <w:t>The maximum area of retail GFA is 80m².</w:t>
            </w:r>
          </w:p>
        </w:tc>
      </w:tr>
      <w:tr w:rsidR="00BE36FB" w:rsidRPr="009B7B35" w14:paraId="1A28286F" w14:textId="77777777" w:rsidTr="001A7107">
        <w:trPr>
          <w:cantSplit/>
        </w:trPr>
        <w:tc>
          <w:tcPr>
            <w:tcW w:w="9356" w:type="dxa"/>
            <w:gridSpan w:val="2"/>
            <w:shd w:val="clear" w:color="auto" w:fill="BFBFBF" w:themeFill="background1" w:themeFillShade="BF"/>
          </w:tcPr>
          <w:p w14:paraId="2776F881"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rPr>
              <w:t>Use - Showroom where in the Hanson Road precinct</w:t>
            </w:r>
          </w:p>
        </w:tc>
      </w:tr>
      <w:tr w:rsidR="00BE36FB" w:rsidRPr="009B7B35" w14:paraId="1C1CB030" w14:textId="77777777" w:rsidTr="001A7107">
        <w:trPr>
          <w:cantSplit/>
        </w:trPr>
        <w:tc>
          <w:tcPr>
            <w:tcW w:w="4678" w:type="dxa"/>
          </w:tcPr>
          <w:p w14:paraId="11A3ED50" w14:textId="77777777" w:rsidR="00BE36FB" w:rsidRPr="009B7B35" w:rsidRDefault="00BE36FB" w:rsidP="001A7107">
            <w:pPr>
              <w:pStyle w:val="TableText"/>
              <w:rPr>
                <w:rFonts w:cs="Arial"/>
                <w:b/>
              </w:rPr>
            </w:pPr>
            <w:r w:rsidRPr="009B7B35">
              <w:rPr>
                <w:rFonts w:cs="Arial"/>
                <w:b/>
              </w:rPr>
              <w:t>PO30</w:t>
            </w:r>
          </w:p>
          <w:p w14:paraId="58D3D85F" w14:textId="77777777" w:rsidR="00BE36FB" w:rsidRPr="009B7B35" w:rsidRDefault="00BE36FB" w:rsidP="001A7107">
            <w:pPr>
              <w:pStyle w:val="TableText"/>
              <w:rPr>
                <w:rFonts w:cs="Arial"/>
                <w:lang w:eastAsia="en-US"/>
              </w:rPr>
            </w:pPr>
            <w:r w:rsidRPr="009B7B35">
              <w:rPr>
                <w:rFonts w:cs="Arial"/>
                <w:lang w:eastAsia="en-US"/>
              </w:rPr>
              <w:t>Design elements contribute to an interesting and attractive streetscape and building through:</w:t>
            </w:r>
          </w:p>
          <w:p w14:paraId="5220AB33" w14:textId="77777777" w:rsidR="00BE36FB" w:rsidRPr="009B7B35" w:rsidRDefault="00BE36FB" w:rsidP="00BE36FB">
            <w:pPr>
              <w:pStyle w:val="TableText"/>
              <w:numPr>
                <w:ilvl w:val="0"/>
                <w:numId w:val="551"/>
              </w:numPr>
              <w:ind w:left="567" w:hanging="567"/>
              <w:rPr>
                <w:rFonts w:cs="Arial"/>
                <w:lang w:eastAsia="en-US"/>
              </w:rPr>
            </w:pPr>
            <w:r w:rsidRPr="009B7B35">
              <w:rPr>
                <w:rFonts w:cs="Arial"/>
                <w:lang w:eastAsia="en-US"/>
              </w:rPr>
              <w:t>variations in material and building form to enable articulation of facades and differentiation between buildings;</w:t>
            </w:r>
          </w:p>
          <w:p w14:paraId="4A549294" w14:textId="77777777" w:rsidR="00BE36FB" w:rsidRPr="009B7B35" w:rsidRDefault="00BE36FB" w:rsidP="00BE36FB">
            <w:pPr>
              <w:pStyle w:val="TableText"/>
              <w:numPr>
                <w:ilvl w:val="0"/>
                <w:numId w:val="551"/>
              </w:numPr>
              <w:ind w:left="567" w:hanging="567"/>
              <w:rPr>
                <w:rFonts w:cs="Arial"/>
                <w:lang w:eastAsia="en-US"/>
              </w:rPr>
            </w:pPr>
            <w:r w:rsidRPr="009B7B35">
              <w:rPr>
                <w:rFonts w:cs="Arial"/>
                <w:lang w:eastAsia="en-US"/>
              </w:rPr>
              <w:t xml:space="preserve">minimising the use of highly reflective materials; </w:t>
            </w:r>
          </w:p>
          <w:p w14:paraId="29880372" w14:textId="77777777" w:rsidR="00BE36FB" w:rsidRPr="009B7B35" w:rsidRDefault="00BE36FB" w:rsidP="00BE36FB">
            <w:pPr>
              <w:pStyle w:val="TableText"/>
              <w:numPr>
                <w:ilvl w:val="0"/>
                <w:numId w:val="551"/>
              </w:numPr>
              <w:ind w:left="567" w:hanging="567"/>
              <w:rPr>
                <w:rFonts w:cs="Arial"/>
                <w:lang w:eastAsia="en-US"/>
              </w:rPr>
            </w:pPr>
            <w:r w:rsidRPr="009B7B35">
              <w:rPr>
                <w:rFonts w:cs="Arial"/>
                <w:lang w:eastAsia="en-US"/>
              </w:rPr>
              <w:t>modulation in the façade, horizontally or vertically;</w:t>
            </w:r>
          </w:p>
          <w:p w14:paraId="61F8F16C" w14:textId="77777777" w:rsidR="00BE36FB" w:rsidRPr="009B7B35" w:rsidRDefault="00BE36FB" w:rsidP="00BE36FB">
            <w:pPr>
              <w:pStyle w:val="TableText"/>
              <w:numPr>
                <w:ilvl w:val="0"/>
                <w:numId w:val="551"/>
              </w:numPr>
              <w:ind w:left="567" w:hanging="567"/>
              <w:rPr>
                <w:rFonts w:cs="Arial"/>
                <w:lang w:eastAsia="en-US"/>
              </w:rPr>
            </w:pPr>
            <w:r w:rsidRPr="009B7B35">
              <w:rPr>
                <w:rFonts w:cs="Arial"/>
                <w:lang w:eastAsia="en-US"/>
              </w:rPr>
              <w:t>articulation of building entrances and openings;</w:t>
            </w:r>
          </w:p>
          <w:p w14:paraId="2652A13D" w14:textId="77777777" w:rsidR="00BE36FB" w:rsidRPr="009B7B35" w:rsidRDefault="00BE36FB" w:rsidP="00BE36FB">
            <w:pPr>
              <w:pStyle w:val="TableText"/>
              <w:numPr>
                <w:ilvl w:val="0"/>
                <w:numId w:val="551"/>
              </w:numPr>
              <w:ind w:left="567" w:hanging="567"/>
              <w:rPr>
                <w:rFonts w:cs="Arial"/>
                <w:lang w:eastAsia="en-US"/>
              </w:rPr>
            </w:pPr>
            <w:r w:rsidRPr="009B7B35">
              <w:rPr>
                <w:rFonts w:cs="Arial"/>
                <w:lang w:eastAsia="en-US"/>
              </w:rPr>
              <w:t>corner treatments to address both street frontages; and</w:t>
            </w:r>
          </w:p>
          <w:p w14:paraId="4B00754E" w14:textId="77777777" w:rsidR="00BE36FB" w:rsidRPr="009B7B35" w:rsidRDefault="00BE36FB" w:rsidP="00BE36FB">
            <w:pPr>
              <w:pStyle w:val="TableText"/>
              <w:numPr>
                <w:ilvl w:val="0"/>
                <w:numId w:val="551"/>
              </w:numPr>
              <w:ind w:left="567" w:hanging="567"/>
              <w:rPr>
                <w:rFonts w:cs="Arial"/>
                <w:b/>
                <w:bCs/>
                <w:lang w:eastAsia="en-US"/>
              </w:rPr>
            </w:pPr>
            <w:r w:rsidRPr="009B7B35">
              <w:rPr>
                <w:rFonts w:cs="Arial"/>
                <w:lang w:eastAsia="en-US"/>
              </w:rPr>
              <w:t>elements which assist in wayfinding and legibility.</w:t>
            </w:r>
          </w:p>
        </w:tc>
        <w:tc>
          <w:tcPr>
            <w:tcW w:w="4678" w:type="dxa"/>
          </w:tcPr>
          <w:p w14:paraId="6BA10A80" w14:textId="77777777" w:rsidR="00BE36FB" w:rsidRPr="009B7B35" w:rsidRDefault="00BE36FB" w:rsidP="001A7107">
            <w:pPr>
              <w:pStyle w:val="TableText"/>
              <w:rPr>
                <w:rFonts w:cs="Arial"/>
                <w:b/>
                <w:bCs/>
                <w:lang w:eastAsia="en-US"/>
              </w:rPr>
            </w:pPr>
            <w:r w:rsidRPr="009B7B35">
              <w:rPr>
                <w:rFonts w:cs="Arial"/>
              </w:rPr>
              <w:t>No acceptable outcome is nominated.</w:t>
            </w:r>
          </w:p>
        </w:tc>
      </w:tr>
      <w:tr w:rsidR="00BE36FB" w:rsidRPr="009B7B35" w14:paraId="42F24FC9" w14:textId="77777777" w:rsidTr="001A7107">
        <w:trPr>
          <w:cantSplit/>
        </w:trPr>
        <w:tc>
          <w:tcPr>
            <w:tcW w:w="4678" w:type="dxa"/>
          </w:tcPr>
          <w:p w14:paraId="139FD345" w14:textId="77777777" w:rsidR="00BE36FB" w:rsidRPr="009B7B35" w:rsidRDefault="00BE36FB" w:rsidP="001A7107">
            <w:pPr>
              <w:pStyle w:val="TableText"/>
              <w:rPr>
                <w:rFonts w:cs="Arial"/>
                <w:b/>
              </w:rPr>
            </w:pPr>
            <w:r w:rsidRPr="009B7B35">
              <w:rPr>
                <w:rFonts w:cs="Arial"/>
                <w:b/>
              </w:rPr>
              <w:t>PO31</w:t>
            </w:r>
          </w:p>
          <w:p w14:paraId="7578A986" w14:textId="77777777" w:rsidR="00BE36FB" w:rsidRPr="009B7B35" w:rsidRDefault="00BE36FB" w:rsidP="001A7107">
            <w:pPr>
              <w:pStyle w:val="TableText"/>
              <w:rPr>
                <w:rFonts w:cs="Arial"/>
              </w:rPr>
            </w:pPr>
            <w:r w:rsidRPr="009B7B35">
              <w:rPr>
                <w:rFonts w:cs="Arial"/>
              </w:rPr>
              <w:t>Building caps and rooftops contribute to the architectural distinction of the building, and effectively screen service structures, lift over-runs, plant and equipment.</w:t>
            </w:r>
          </w:p>
        </w:tc>
        <w:tc>
          <w:tcPr>
            <w:tcW w:w="4678" w:type="dxa"/>
          </w:tcPr>
          <w:p w14:paraId="310C6102" w14:textId="77777777" w:rsidR="00BE36FB" w:rsidRPr="009B7B35" w:rsidRDefault="00BE36FB" w:rsidP="001A7107">
            <w:pPr>
              <w:pStyle w:val="TableText"/>
              <w:rPr>
                <w:rFonts w:cs="Arial"/>
                <w:b/>
                <w:bCs/>
                <w:lang w:eastAsia="en-US"/>
              </w:rPr>
            </w:pPr>
            <w:r w:rsidRPr="009B7B35">
              <w:rPr>
                <w:rFonts w:cs="Arial"/>
              </w:rPr>
              <w:t>No acceptable outcome is nominated.</w:t>
            </w:r>
          </w:p>
        </w:tc>
      </w:tr>
      <w:tr w:rsidR="00BE36FB" w:rsidRPr="009B7B35" w14:paraId="1C661045" w14:textId="77777777" w:rsidTr="001A7107">
        <w:tc>
          <w:tcPr>
            <w:tcW w:w="4678" w:type="dxa"/>
          </w:tcPr>
          <w:p w14:paraId="64EBA57D" w14:textId="77777777" w:rsidR="00BE36FB" w:rsidRPr="009B7B35" w:rsidRDefault="00BE36FB" w:rsidP="001A7107">
            <w:pPr>
              <w:pStyle w:val="TableText"/>
              <w:rPr>
                <w:rFonts w:cs="Arial"/>
                <w:b/>
              </w:rPr>
            </w:pPr>
            <w:r w:rsidRPr="009B7B35">
              <w:rPr>
                <w:rFonts w:cs="Arial"/>
                <w:b/>
              </w:rPr>
              <w:t>PO32</w:t>
            </w:r>
          </w:p>
          <w:p w14:paraId="3F389396" w14:textId="77777777" w:rsidR="00BE36FB" w:rsidRPr="009B7B35" w:rsidRDefault="00BE36FB" w:rsidP="001A7107">
            <w:pPr>
              <w:pStyle w:val="TableText"/>
              <w:rPr>
                <w:rFonts w:cs="Arial"/>
              </w:rPr>
            </w:pPr>
            <w:r w:rsidRPr="009B7B35">
              <w:rPr>
                <w:rFonts w:cs="Arial"/>
              </w:rPr>
              <w:t>Buildings are oriented to:</w:t>
            </w:r>
          </w:p>
          <w:p w14:paraId="7882BFE6" w14:textId="77777777" w:rsidR="00BE36FB" w:rsidRPr="009B7B35" w:rsidRDefault="00BE36FB" w:rsidP="00BE36FB">
            <w:pPr>
              <w:pStyle w:val="TableText"/>
              <w:numPr>
                <w:ilvl w:val="0"/>
                <w:numId w:val="552"/>
              </w:numPr>
              <w:ind w:left="567" w:hanging="567"/>
              <w:rPr>
                <w:rFonts w:cs="Arial"/>
              </w:rPr>
            </w:pPr>
            <w:r w:rsidRPr="009B7B35">
              <w:rPr>
                <w:rFonts w:cs="Arial"/>
              </w:rPr>
              <w:t>the major street frontages and any public open space and public areas to:</w:t>
            </w:r>
          </w:p>
          <w:p w14:paraId="4B08D5A9" w14:textId="77777777" w:rsidR="00BE36FB" w:rsidRPr="009B7B35" w:rsidRDefault="00BE36FB" w:rsidP="00BE36FB">
            <w:pPr>
              <w:pStyle w:val="TableText"/>
              <w:numPr>
                <w:ilvl w:val="0"/>
                <w:numId w:val="558"/>
              </w:numPr>
              <w:ind w:left="1078" w:hanging="284"/>
              <w:rPr>
                <w:rFonts w:cs="Arial"/>
              </w:rPr>
            </w:pPr>
            <w:r w:rsidRPr="009B7B35">
              <w:rPr>
                <w:rFonts w:cs="Arial"/>
              </w:rPr>
              <w:t>promote interaction and casual surveillance;</w:t>
            </w:r>
          </w:p>
          <w:p w14:paraId="2CF99F05" w14:textId="77777777" w:rsidR="00BE36FB" w:rsidRPr="009B7B35" w:rsidRDefault="00BE36FB" w:rsidP="00BE36FB">
            <w:pPr>
              <w:pStyle w:val="TableText"/>
              <w:numPr>
                <w:ilvl w:val="0"/>
                <w:numId w:val="558"/>
              </w:numPr>
              <w:ind w:left="1078" w:hanging="284"/>
              <w:rPr>
                <w:rFonts w:cs="Arial"/>
              </w:rPr>
            </w:pPr>
            <w:r w:rsidRPr="009B7B35">
              <w:rPr>
                <w:rFonts w:cs="Arial"/>
              </w:rPr>
              <w:t>concentrate and reinforce pedestrian activity; and</w:t>
            </w:r>
          </w:p>
          <w:p w14:paraId="7F56487F" w14:textId="77777777" w:rsidR="00BE36FB" w:rsidRPr="009B7B35" w:rsidRDefault="00BE36FB" w:rsidP="00BE36FB">
            <w:pPr>
              <w:pStyle w:val="TableText"/>
              <w:numPr>
                <w:ilvl w:val="0"/>
                <w:numId w:val="558"/>
              </w:numPr>
              <w:ind w:left="1078" w:hanging="284"/>
              <w:rPr>
                <w:rFonts w:cs="Arial"/>
              </w:rPr>
            </w:pPr>
            <w:r w:rsidRPr="009B7B35">
              <w:rPr>
                <w:rFonts w:cs="Arial"/>
              </w:rPr>
              <w:t>avoid opaque facades to provide visual interest to the frontage.</w:t>
            </w:r>
          </w:p>
        </w:tc>
        <w:tc>
          <w:tcPr>
            <w:tcW w:w="4678" w:type="dxa"/>
          </w:tcPr>
          <w:p w14:paraId="2C282D7E" w14:textId="77777777" w:rsidR="00BE36FB" w:rsidRPr="009B7B35" w:rsidRDefault="00BE36FB" w:rsidP="001A7107">
            <w:pPr>
              <w:pStyle w:val="TableText"/>
              <w:rPr>
                <w:rFonts w:cs="Arial"/>
                <w:b/>
                <w:bCs/>
                <w:lang w:eastAsia="en-US"/>
              </w:rPr>
            </w:pPr>
            <w:r w:rsidRPr="009B7B35">
              <w:rPr>
                <w:rFonts w:cs="Arial"/>
              </w:rPr>
              <w:t>No acceptable outcome is nominated.</w:t>
            </w:r>
          </w:p>
        </w:tc>
      </w:tr>
      <w:tr w:rsidR="00BE36FB" w:rsidRPr="009B7B35" w14:paraId="273D83E5" w14:textId="77777777" w:rsidTr="001A7107">
        <w:tc>
          <w:tcPr>
            <w:tcW w:w="4678" w:type="dxa"/>
          </w:tcPr>
          <w:p w14:paraId="128AE436" w14:textId="77777777" w:rsidR="00BE36FB" w:rsidRPr="009B7B35" w:rsidRDefault="00BE36FB" w:rsidP="001A7107">
            <w:pPr>
              <w:pStyle w:val="TableText"/>
              <w:rPr>
                <w:rFonts w:cs="Arial"/>
                <w:b/>
              </w:rPr>
            </w:pPr>
            <w:r w:rsidRPr="009B7B35">
              <w:rPr>
                <w:rFonts w:cs="Arial"/>
                <w:b/>
              </w:rPr>
              <w:t>PO33</w:t>
            </w:r>
          </w:p>
          <w:p w14:paraId="7561A77B" w14:textId="77777777" w:rsidR="00BE36FB" w:rsidRPr="009B7B35" w:rsidRDefault="00BE36FB" w:rsidP="001A7107">
            <w:pPr>
              <w:pStyle w:val="TableText"/>
              <w:rPr>
                <w:rFonts w:cs="Arial"/>
              </w:rPr>
            </w:pPr>
            <w:r w:rsidRPr="009B7B35">
              <w:rPr>
                <w:rFonts w:cs="Arial"/>
              </w:rPr>
              <w:t>Building and pedestrian entries:</w:t>
            </w:r>
          </w:p>
          <w:p w14:paraId="3E631EE8" w14:textId="77777777" w:rsidR="00BE36FB" w:rsidRPr="009B7B35" w:rsidRDefault="00BE36FB" w:rsidP="00BE36FB">
            <w:pPr>
              <w:pStyle w:val="TableText"/>
              <w:numPr>
                <w:ilvl w:val="0"/>
                <w:numId w:val="553"/>
              </w:numPr>
              <w:ind w:left="510" w:hanging="510"/>
              <w:rPr>
                <w:rFonts w:cs="Arial"/>
              </w:rPr>
            </w:pPr>
            <w:r w:rsidRPr="009B7B35">
              <w:rPr>
                <w:rFonts w:cs="Arial"/>
              </w:rPr>
              <w:t>are visible from the street and car parking areas;</w:t>
            </w:r>
          </w:p>
          <w:p w14:paraId="7BA5829E" w14:textId="77777777" w:rsidR="00BE36FB" w:rsidRPr="009B7B35" w:rsidRDefault="00BE36FB" w:rsidP="00BE36FB">
            <w:pPr>
              <w:pStyle w:val="TableText"/>
              <w:numPr>
                <w:ilvl w:val="0"/>
                <w:numId w:val="553"/>
              </w:numPr>
              <w:ind w:left="510" w:hanging="510"/>
              <w:rPr>
                <w:rFonts w:cs="Arial"/>
              </w:rPr>
            </w:pPr>
            <w:r w:rsidRPr="009B7B35">
              <w:rPr>
                <w:rFonts w:cs="Arial"/>
              </w:rPr>
              <w:t>incorporate sun and rain shelter, such as overhangs or awnings; and</w:t>
            </w:r>
          </w:p>
          <w:p w14:paraId="1790ED86" w14:textId="77777777" w:rsidR="00BE36FB" w:rsidRPr="009B7B35" w:rsidRDefault="00BE36FB" w:rsidP="00BE36FB">
            <w:pPr>
              <w:pStyle w:val="TableText"/>
              <w:numPr>
                <w:ilvl w:val="0"/>
                <w:numId w:val="553"/>
              </w:numPr>
              <w:ind w:left="510" w:hanging="510"/>
              <w:rPr>
                <w:rFonts w:cs="Arial"/>
              </w:rPr>
            </w:pPr>
            <w:r w:rsidRPr="009B7B35">
              <w:rPr>
                <w:rFonts w:cs="Arial"/>
              </w:rPr>
              <w:t>are defined by human scale design elements (such as doors, windows, landscaping, etc.).</w:t>
            </w:r>
          </w:p>
        </w:tc>
        <w:tc>
          <w:tcPr>
            <w:tcW w:w="4678" w:type="dxa"/>
          </w:tcPr>
          <w:p w14:paraId="2DF4E68D" w14:textId="77777777" w:rsidR="00BE36FB" w:rsidRPr="009B7B35" w:rsidRDefault="00BE36FB" w:rsidP="001A7107">
            <w:pPr>
              <w:pStyle w:val="TableText"/>
              <w:rPr>
                <w:rFonts w:cs="Arial"/>
                <w:b/>
                <w:bCs/>
                <w:lang w:eastAsia="en-US"/>
              </w:rPr>
            </w:pPr>
            <w:r w:rsidRPr="009B7B35">
              <w:rPr>
                <w:rFonts w:cs="Arial"/>
              </w:rPr>
              <w:t>No acceptable outcome is nominated.</w:t>
            </w:r>
          </w:p>
        </w:tc>
      </w:tr>
      <w:tr w:rsidR="00BE36FB" w:rsidRPr="009B7B35" w14:paraId="4C5C9860" w14:textId="77777777" w:rsidTr="001A7107">
        <w:trPr>
          <w:cantSplit/>
        </w:trPr>
        <w:tc>
          <w:tcPr>
            <w:tcW w:w="4678" w:type="dxa"/>
          </w:tcPr>
          <w:p w14:paraId="7DF9A568" w14:textId="77777777" w:rsidR="00BE36FB" w:rsidRPr="009B7B35" w:rsidRDefault="00BE36FB" w:rsidP="001A7107">
            <w:pPr>
              <w:pStyle w:val="TableText"/>
              <w:rPr>
                <w:rFonts w:cs="Arial"/>
                <w:b/>
              </w:rPr>
            </w:pPr>
            <w:r w:rsidRPr="009B7B35">
              <w:rPr>
                <w:rFonts w:cs="Arial"/>
                <w:b/>
              </w:rPr>
              <w:t>PO34</w:t>
            </w:r>
          </w:p>
          <w:p w14:paraId="6D4B6FFA" w14:textId="77777777" w:rsidR="00BE36FB" w:rsidRPr="009B7B35" w:rsidRDefault="00BE36FB" w:rsidP="001A7107">
            <w:pPr>
              <w:pStyle w:val="TableText"/>
              <w:rPr>
                <w:rFonts w:cs="Arial"/>
              </w:rPr>
            </w:pPr>
            <w:r w:rsidRPr="009B7B35">
              <w:rPr>
                <w:rFonts w:cs="Arial"/>
              </w:rPr>
              <w:t>Development contributes towards high quality streetscape outcomes that integrate effectively with the street and along key pedestrian and cycle routes.</w:t>
            </w:r>
          </w:p>
        </w:tc>
        <w:tc>
          <w:tcPr>
            <w:tcW w:w="4678" w:type="dxa"/>
          </w:tcPr>
          <w:p w14:paraId="0213CAED" w14:textId="77777777" w:rsidR="00BE36FB" w:rsidRPr="009B7B35" w:rsidRDefault="00BE36FB" w:rsidP="001A7107">
            <w:pPr>
              <w:pStyle w:val="TableText"/>
              <w:rPr>
                <w:rFonts w:cs="Arial"/>
                <w:b/>
                <w:bCs/>
                <w:lang w:eastAsia="en-US"/>
              </w:rPr>
            </w:pPr>
            <w:r w:rsidRPr="009B7B35">
              <w:rPr>
                <w:rFonts w:cs="Arial"/>
              </w:rPr>
              <w:t>No acceptable outcome is nominated.</w:t>
            </w:r>
          </w:p>
        </w:tc>
      </w:tr>
      <w:tr w:rsidR="00BE36FB" w:rsidRPr="009B7B35" w14:paraId="52554D2D" w14:textId="77777777" w:rsidTr="001A7107">
        <w:trPr>
          <w:cantSplit/>
        </w:trPr>
        <w:tc>
          <w:tcPr>
            <w:tcW w:w="4678" w:type="dxa"/>
          </w:tcPr>
          <w:p w14:paraId="174E7026" w14:textId="77777777" w:rsidR="00BE36FB" w:rsidRPr="009B7B35" w:rsidRDefault="00BE36FB" w:rsidP="001A7107">
            <w:pPr>
              <w:pStyle w:val="TableText"/>
              <w:rPr>
                <w:rFonts w:cs="Arial"/>
                <w:b/>
              </w:rPr>
            </w:pPr>
            <w:r w:rsidRPr="009B7B35">
              <w:rPr>
                <w:rFonts w:cs="Arial"/>
                <w:b/>
              </w:rPr>
              <w:t>PO35</w:t>
            </w:r>
          </w:p>
          <w:p w14:paraId="3731210C" w14:textId="77777777" w:rsidR="00BE36FB" w:rsidRPr="009B7B35" w:rsidRDefault="00BE36FB" w:rsidP="001A7107">
            <w:pPr>
              <w:pStyle w:val="TableText"/>
              <w:rPr>
                <w:rFonts w:cs="Arial"/>
              </w:rPr>
            </w:pPr>
            <w:r w:rsidRPr="009B7B35">
              <w:rPr>
                <w:rFonts w:cs="Arial"/>
              </w:rPr>
              <w:t>Landscape treatments includes hard and soft elements that:</w:t>
            </w:r>
          </w:p>
          <w:p w14:paraId="72CD8885" w14:textId="77777777" w:rsidR="00BE36FB" w:rsidRPr="009B7B35" w:rsidRDefault="00BE36FB" w:rsidP="00BE36FB">
            <w:pPr>
              <w:pStyle w:val="TableText"/>
              <w:numPr>
                <w:ilvl w:val="0"/>
                <w:numId w:val="554"/>
              </w:numPr>
              <w:ind w:left="567" w:hanging="567"/>
              <w:rPr>
                <w:rFonts w:cs="Arial"/>
              </w:rPr>
            </w:pPr>
            <w:r w:rsidRPr="009B7B35">
              <w:rPr>
                <w:rFonts w:cs="Arial"/>
              </w:rPr>
              <w:t>is of a character and durability that reflects the centre;</w:t>
            </w:r>
          </w:p>
          <w:p w14:paraId="51FB5B3D" w14:textId="77777777" w:rsidR="00BE36FB" w:rsidRPr="009B7B35" w:rsidRDefault="00BE36FB" w:rsidP="00BE36FB">
            <w:pPr>
              <w:pStyle w:val="TableText"/>
              <w:numPr>
                <w:ilvl w:val="0"/>
                <w:numId w:val="554"/>
              </w:numPr>
              <w:ind w:left="567" w:hanging="567"/>
              <w:rPr>
                <w:rFonts w:cs="Arial"/>
              </w:rPr>
            </w:pPr>
            <w:r w:rsidRPr="009B7B35">
              <w:rPr>
                <w:rFonts w:cs="Arial"/>
              </w:rPr>
              <w:t>enhance the appearance of the centre</w:t>
            </w:r>
          </w:p>
          <w:p w14:paraId="32E815FE" w14:textId="77777777" w:rsidR="00BE36FB" w:rsidRPr="009B7B35" w:rsidRDefault="00BE36FB" w:rsidP="00BE36FB">
            <w:pPr>
              <w:pStyle w:val="TableText"/>
              <w:numPr>
                <w:ilvl w:val="0"/>
                <w:numId w:val="554"/>
              </w:numPr>
              <w:ind w:left="567" w:hanging="567"/>
              <w:rPr>
                <w:rFonts w:cs="Arial"/>
              </w:rPr>
            </w:pPr>
            <w:r w:rsidRPr="009B7B35">
              <w:rPr>
                <w:rFonts w:cs="Arial"/>
              </w:rPr>
              <w:t>extends from the street edge into building entrances;</w:t>
            </w:r>
          </w:p>
          <w:p w14:paraId="0CA07B28" w14:textId="77777777" w:rsidR="00BE36FB" w:rsidRPr="009B7B35" w:rsidRDefault="00BE36FB" w:rsidP="00BE36FB">
            <w:pPr>
              <w:pStyle w:val="TableText"/>
              <w:numPr>
                <w:ilvl w:val="0"/>
                <w:numId w:val="554"/>
              </w:numPr>
              <w:ind w:left="567" w:hanging="567"/>
              <w:rPr>
                <w:rFonts w:cs="Arial"/>
              </w:rPr>
            </w:pPr>
            <w:r w:rsidRPr="009B7B35">
              <w:rPr>
                <w:rFonts w:cs="Arial"/>
              </w:rPr>
              <w:t xml:space="preserve">emphasises a clear pedestrian entry point; </w:t>
            </w:r>
          </w:p>
          <w:p w14:paraId="03A164C2" w14:textId="77777777" w:rsidR="00BE36FB" w:rsidRPr="009B7B35" w:rsidRDefault="00BE36FB" w:rsidP="00BE36FB">
            <w:pPr>
              <w:pStyle w:val="TableText"/>
              <w:numPr>
                <w:ilvl w:val="0"/>
                <w:numId w:val="554"/>
              </w:numPr>
              <w:ind w:left="567" w:hanging="567"/>
              <w:rPr>
                <w:rFonts w:cs="Arial"/>
              </w:rPr>
            </w:pPr>
            <w:r w:rsidRPr="009B7B35">
              <w:rPr>
                <w:rFonts w:cs="Arial"/>
              </w:rPr>
              <w:t xml:space="preserve">screen unsightly components; </w:t>
            </w:r>
          </w:p>
          <w:p w14:paraId="61A314EE" w14:textId="77777777" w:rsidR="00BE36FB" w:rsidRPr="009B7B35" w:rsidRDefault="00BE36FB" w:rsidP="00BE36FB">
            <w:pPr>
              <w:pStyle w:val="TableText"/>
              <w:numPr>
                <w:ilvl w:val="0"/>
                <w:numId w:val="554"/>
              </w:numPr>
              <w:ind w:left="567" w:hanging="567"/>
              <w:rPr>
                <w:rFonts w:cs="Arial"/>
              </w:rPr>
            </w:pPr>
            <w:r w:rsidRPr="009B7B35">
              <w:rPr>
                <w:rFonts w:cs="Arial"/>
              </w:rPr>
              <w:t>provide shading; and</w:t>
            </w:r>
          </w:p>
          <w:p w14:paraId="4866DFFA" w14:textId="77777777" w:rsidR="00BE36FB" w:rsidRPr="009B7B35" w:rsidRDefault="00BE36FB" w:rsidP="00BE36FB">
            <w:pPr>
              <w:pStyle w:val="TableText"/>
              <w:numPr>
                <w:ilvl w:val="0"/>
                <w:numId w:val="554"/>
              </w:numPr>
              <w:ind w:left="567" w:hanging="567"/>
              <w:rPr>
                <w:rFonts w:cs="Arial"/>
              </w:rPr>
            </w:pPr>
            <w:r w:rsidRPr="009B7B35">
              <w:rPr>
                <w:rFonts w:cs="Arial"/>
              </w:rPr>
              <w:t>reflects and reinforces a subtropical image through integrating landscape, outdoor and indoor spaces.</w:t>
            </w:r>
          </w:p>
          <w:p w14:paraId="2DAB5AC7" w14:textId="77777777" w:rsidR="00BE36FB" w:rsidRPr="009B7B35" w:rsidRDefault="00BE36FB" w:rsidP="001A7107">
            <w:pPr>
              <w:pStyle w:val="Notes"/>
              <w:rPr>
                <w:rFonts w:cs="Arial"/>
                <w:sz w:val="20"/>
                <w:szCs w:val="20"/>
              </w:rPr>
            </w:pPr>
            <w:r w:rsidRPr="009B7B35">
              <w:rPr>
                <w:rFonts w:cs="Arial"/>
                <w:sz w:val="20"/>
                <w:szCs w:val="20"/>
              </w:rPr>
              <w:t>Editor's note –Refer also to the Landscaping code</w:t>
            </w:r>
          </w:p>
        </w:tc>
        <w:tc>
          <w:tcPr>
            <w:tcW w:w="4678" w:type="dxa"/>
          </w:tcPr>
          <w:p w14:paraId="21C65FC8" w14:textId="77777777" w:rsidR="00BE36FB" w:rsidRPr="009B7B35" w:rsidRDefault="00BE36FB" w:rsidP="001A7107">
            <w:pPr>
              <w:pStyle w:val="TableText"/>
              <w:rPr>
                <w:rFonts w:cs="Arial"/>
                <w:b/>
                <w:bCs/>
                <w:lang w:eastAsia="en-US"/>
              </w:rPr>
            </w:pPr>
            <w:r w:rsidRPr="009B7B35">
              <w:rPr>
                <w:rFonts w:cs="Arial"/>
              </w:rPr>
              <w:t>No acceptable outcome is nominated.</w:t>
            </w:r>
          </w:p>
        </w:tc>
      </w:tr>
    </w:tbl>
    <w:p w14:paraId="2D7EA92A" w14:textId="77777777" w:rsidR="00BE36FB" w:rsidRPr="009B7B35" w:rsidRDefault="00BE36FB" w:rsidP="001A7107">
      <w:pPr>
        <w:pStyle w:val="NormalIndent"/>
        <w:rPr>
          <w:rFonts w:cs="Arial"/>
          <w:szCs w:val="20"/>
        </w:rPr>
      </w:pPr>
    </w:p>
    <w:p w14:paraId="6F2C86B9"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1A395894" w14:textId="77777777" w:rsidR="00BE36FB" w:rsidRPr="009B7B35" w:rsidRDefault="00BE36FB" w:rsidP="006776DA">
      <w:pPr>
        <w:pStyle w:val="Heading3"/>
        <w:keepLines/>
        <w:numPr>
          <w:ilvl w:val="2"/>
          <w:numId w:val="883"/>
        </w:numPr>
        <w:spacing w:before="240"/>
        <w:rPr>
          <w:rFonts w:ascii="Arial" w:hAnsi="Arial"/>
          <w:sz w:val="20"/>
          <w:szCs w:val="20"/>
        </w:rPr>
      </w:pPr>
      <w:bookmarkStart w:id="195" w:name="_Toc205367358"/>
      <w:r w:rsidRPr="009B7B35">
        <w:rPr>
          <w:rFonts w:ascii="Arial" w:hAnsi="Arial"/>
          <w:sz w:val="20"/>
          <w:szCs w:val="20"/>
        </w:rPr>
        <w:t>Medium impact industry</w:t>
      </w:r>
      <w:bookmarkEnd w:id="195"/>
    </w:p>
    <w:p w14:paraId="2507D280"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38233CD6" w14:textId="77777777"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development where the code is identified as applicable in a table of assessment. When using this code, reference should be made to section 5.3.2 and where applicable, section 5.3.3 located in Part 5.</w:t>
      </w:r>
    </w:p>
    <w:p w14:paraId="3AE1AA65"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7E52B78F" w14:textId="77777777" w:rsidR="00BE36FB" w:rsidRPr="009B7B35" w:rsidRDefault="00BE36FB" w:rsidP="00BE36FB">
      <w:pPr>
        <w:numPr>
          <w:ilvl w:val="0"/>
          <w:numId w:val="254"/>
        </w:numPr>
        <w:rPr>
          <w:rFonts w:ascii="Arial" w:hAnsi="Arial" w:cs="Arial"/>
          <w:sz w:val="20"/>
          <w:szCs w:val="20"/>
          <w:lang w:eastAsia="en-US"/>
        </w:rPr>
      </w:pPr>
      <w:r w:rsidRPr="009B7B35">
        <w:rPr>
          <w:rFonts w:ascii="Arial" w:hAnsi="Arial" w:cs="Arial"/>
          <w:sz w:val="20"/>
          <w:szCs w:val="20"/>
          <w:lang w:eastAsia="en-US"/>
        </w:rPr>
        <w:t>The purpose of the Medium impact industry zone code is to provide for medium impact industry uses. Development may include non–industrial and business uses only where they support industrial activities and do not compromise the long–term use of the land for industrial purposes. Development does not detract from the function and viability of the region’s centres. Marine industry activities are supported north of Beckinsale and Drewe Street on land fronting the Auckland inlet. Development facilitates the safe, efficient and attractive use of land for medium impact industries which require medium to large size lots for their intended operation. Land use activities must ensure they minimise impacts on surrounding land having regard to noise, vibration, odour, dust, light or other emissions. Adverse impacts on the health, safety or amenity of sensitive land uses are minimised.</w:t>
      </w:r>
    </w:p>
    <w:p w14:paraId="4658E51B" w14:textId="77777777" w:rsidR="00BE36FB" w:rsidRPr="009B7B35" w:rsidRDefault="00BE36FB" w:rsidP="00BE36FB">
      <w:pPr>
        <w:numPr>
          <w:ilvl w:val="0"/>
          <w:numId w:val="254"/>
        </w:numPr>
        <w:rPr>
          <w:rFonts w:ascii="Arial" w:hAnsi="Arial" w:cs="Arial"/>
          <w:sz w:val="20"/>
          <w:szCs w:val="20"/>
          <w:lang w:eastAsia="en-US"/>
        </w:rPr>
      </w:pPr>
      <w:r w:rsidRPr="009B7B35">
        <w:rPr>
          <w:rFonts w:ascii="Arial" w:hAnsi="Arial" w:cs="Arial"/>
          <w:sz w:val="20"/>
          <w:szCs w:val="20"/>
          <w:lang w:eastAsia="en-US"/>
        </w:rPr>
        <w:t>The purpose of the zone will be achieved through the following overall outcomes:</w:t>
      </w:r>
    </w:p>
    <w:p w14:paraId="5B5A15E6"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The zone accommodates a wide range of industrial uses that are likely to have some potential for off–site impacts, including manufacturing, transport, storage, and other uses which require larger sites in locations separated from sensitive land uses.</w:t>
      </w:r>
    </w:p>
    <w:p w14:paraId="2A06F145"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Residential uses other than caretaker’s accommodation are not located within close proximity to the industrial uses and activities in the zone.</w:t>
      </w:r>
    </w:p>
    <w:p w14:paraId="6762C04D"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Low impact industry and Warehouse uses may be appropriate where they are not detrimentally affected by</w:t>
      </w:r>
      <w:r w:rsidRPr="009B7B35">
        <w:rPr>
          <w:rFonts w:ascii="Arial" w:hAnsi="Arial" w:cs="Arial"/>
          <w:sz w:val="20"/>
          <w:szCs w:val="20"/>
        </w:rPr>
        <w:t>,</w:t>
      </w:r>
      <w:r w:rsidRPr="009B7B35">
        <w:rPr>
          <w:rFonts w:ascii="Arial" w:hAnsi="Arial" w:cs="Arial"/>
          <w:sz w:val="20"/>
          <w:szCs w:val="20"/>
          <w:lang w:eastAsia="en-US"/>
        </w:rPr>
        <w:t xml:space="preserve"> or compromise the operations of medium impact industry uses.</w:t>
      </w:r>
    </w:p>
    <w:p w14:paraId="52783AD0"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Other non–industrial uses that are ancillary to, and directly support, the industrial area are facilitated.</w:t>
      </w:r>
    </w:p>
    <w:p w14:paraId="69752C87"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The zone does not accommodate uses which are primarily oriented to retail sales and which are more appropriately located in centres, such as shops, shopping centres, showrooms or retail based hardware supplies.</w:t>
      </w:r>
    </w:p>
    <w:p w14:paraId="4F3A379F"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The intrusion of incompatible uses, or uses which may be more appropriately accommodated in other zones, is avoided to protect the availability of land for industrial purposes and the viability and efficient operation of existing and future industry uses.</w:t>
      </w:r>
    </w:p>
    <w:p w14:paraId="07749CEA"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Lot sizes provide for a range of large format industrial uses and discourage take up of land for smaller scale activities better suited to the Low impact industrial zone on smaller sites.</w:t>
      </w:r>
    </w:p>
    <w:p w14:paraId="1FB481CB"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Uses and works for industrial purposes are located, designed and managed to maintain safety to people, avoid significant adverse effects on the natural environment and minimise impacts on adjacent non–industrial land.</w:t>
      </w:r>
    </w:p>
    <w:p w14:paraId="6AE418D8"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Development maximises the use of existing transport infrastructure and has access to the appropriate level of transport infrastructure (railways and motorways) and facilities such as airports and seaports.</w:t>
      </w:r>
    </w:p>
    <w:p w14:paraId="4B99F6FA"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Development is designed to incorporate sustainable practices including maximising energy efficiency and water conservation.</w:t>
      </w:r>
    </w:p>
    <w:p w14:paraId="6CA4ACDC"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Development is safe and legible, and designed to establish safe and efficient movement systems.</w:t>
      </w:r>
    </w:p>
    <w:p w14:paraId="04885E2D"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The scale, character and built form of development contribute to a high standard of amenity and makes a positive contribution to the public domain, particularly along major roads.</w:t>
      </w:r>
    </w:p>
    <w:p w14:paraId="7E918756"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Development responds to</w:t>
      </w:r>
      <w:r w:rsidRPr="009B7B35">
        <w:rPr>
          <w:rFonts w:ascii="Arial" w:hAnsi="Arial" w:cs="Arial"/>
          <w:sz w:val="20"/>
          <w:szCs w:val="20"/>
        </w:rPr>
        <w:t xml:space="preserve"> land constraints including but not limited to flooding.</w:t>
      </w:r>
    </w:p>
    <w:p w14:paraId="3001E7C7"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Development has access to development infrastructure and essential services.</w:t>
      </w:r>
    </w:p>
    <w:p w14:paraId="542588BF"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Adverse impacts on natural features and processes, both on–site and from adjoining areas, are minimised through location, design, operation and management of development.</w:t>
      </w:r>
    </w:p>
    <w:p w14:paraId="3EFBDDDB"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Development avoids significant adverse effects on water quality and the natural environment.</w:t>
      </w:r>
    </w:p>
    <w:p w14:paraId="5F7AE58F"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Industrial uses are adequately separated from sensitive land uses to minimise the likelihood of environmental harm or environmental nuisance occurring.</w:t>
      </w:r>
    </w:p>
    <w:p w14:paraId="08C59856" w14:textId="77777777" w:rsidR="00BE36FB" w:rsidRPr="009B7B35" w:rsidRDefault="00BE36FB" w:rsidP="00BE36FB">
      <w:pPr>
        <w:numPr>
          <w:ilvl w:val="0"/>
          <w:numId w:val="254"/>
        </w:numPr>
        <w:rPr>
          <w:rFonts w:ascii="Arial" w:hAnsi="Arial" w:cs="Arial"/>
          <w:sz w:val="20"/>
          <w:szCs w:val="20"/>
          <w:lang w:eastAsia="en-US"/>
        </w:rPr>
      </w:pPr>
      <w:r w:rsidRPr="009B7B35">
        <w:rPr>
          <w:rFonts w:ascii="Arial" w:hAnsi="Arial" w:cs="Arial"/>
          <w:sz w:val="20"/>
          <w:szCs w:val="20"/>
          <w:lang w:eastAsia="en-US"/>
        </w:rPr>
        <w:t xml:space="preserve">The purpose of the zone will also be achieved through the following additional overall outcomes for particular precincts: </w:t>
      </w:r>
    </w:p>
    <w:p w14:paraId="1F71D89C" w14:textId="77777777" w:rsidR="00BE36FB" w:rsidRPr="009B7B35" w:rsidRDefault="00BE36FB" w:rsidP="00BE36FB">
      <w:pPr>
        <w:numPr>
          <w:ilvl w:val="1"/>
          <w:numId w:val="254"/>
        </w:numPr>
        <w:rPr>
          <w:rFonts w:ascii="Arial" w:hAnsi="Arial" w:cs="Arial"/>
          <w:sz w:val="20"/>
          <w:szCs w:val="20"/>
          <w:lang w:eastAsia="en-US"/>
        </w:rPr>
      </w:pPr>
      <w:r w:rsidRPr="009B7B35">
        <w:rPr>
          <w:rFonts w:ascii="Arial" w:hAnsi="Arial" w:cs="Arial"/>
          <w:sz w:val="20"/>
          <w:szCs w:val="20"/>
          <w:lang w:eastAsia="en-US"/>
        </w:rPr>
        <w:t>Red Rover Road precinct</w:t>
      </w:r>
    </w:p>
    <w:p w14:paraId="6D8FA971" w14:textId="77777777" w:rsidR="00BE36FB" w:rsidRPr="009B7B35" w:rsidRDefault="00BE36FB" w:rsidP="00BE36FB">
      <w:pPr>
        <w:numPr>
          <w:ilvl w:val="2"/>
          <w:numId w:val="254"/>
        </w:numPr>
        <w:rPr>
          <w:rFonts w:ascii="Arial" w:hAnsi="Arial" w:cs="Arial"/>
          <w:sz w:val="20"/>
          <w:szCs w:val="20"/>
          <w:lang w:eastAsia="en-US"/>
        </w:rPr>
      </w:pPr>
      <w:r w:rsidRPr="009B7B35">
        <w:rPr>
          <w:rFonts w:ascii="Arial" w:hAnsi="Arial" w:cs="Arial"/>
          <w:sz w:val="20"/>
          <w:szCs w:val="20"/>
          <w:lang w:eastAsia="en-US"/>
        </w:rPr>
        <w:t xml:space="preserve">This precinct represents a large area of land suitable for medium impact industry uses </w:t>
      </w:r>
    </w:p>
    <w:p w14:paraId="3B644CE9" w14:textId="77777777" w:rsidR="00BE36FB" w:rsidRPr="009B7B35" w:rsidRDefault="00BE36FB" w:rsidP="00BE36FB">
      <w:pPr>
        <w:numPr>
          <w:ilvl w:val="2"/>
          <w:numId w:val="254"/>
        </w:numPr>
        <w:rPr>
          <w:rFonts w:ascii="Arial" w:hAnsi="Arial" w:cs="Arial"/>
          <w:sz w:val="20"/>
          <w:szCs w:val="20"/>
          <w:lang w:eastAsia="en-US"/>
        </w:rPr>
      </w:pPr>
      <w:r w:rsidRPr="009B7B35">
        <w:rPr>
          <w:rFonts w:ascii="Arial" w:hAnsi="Arial" w:cs="Arial"/>
          <w:sz w:val="20"/>
          <w:szCs w:val="20"/>
          <w:lang w:eastAsia="en-US"/>
        </w:rPr>
        <w:t>Development occurs in accordance with an industrial structure plan that:</w:t>
      </w:r>
    </w:p>
    <w:p w14:paraId="11E7600A" w14:textId="77777777" w:rsidR="00BE36FB" w:rsidRPr="009B7B35" w:rsidRDefault="00BE36FB" w:rsidP="00BE36FB">
      <w:pPr>
        <w:pStyle w:val="ListBullet2"/>
        <w:numPr>
          <w:ilvl w:val="3"/>
          <w:numId w:val="254"/>
        </w:numPr>
        <w:rPr>
          <w:rFonts w:cs="Arial"/>
          <w:szCs w:val="20"/>
        </w:rPr>
      </w:pPr>
      <w:r w:rsidRPr="009B7B35">
        <w:rPr>
          <w:rFonts w:cs="Arial"/>
          <w:szCs w:val="20"/>
        </w:rPr>
        <w:t>establishes a mix of medium to large size lots (greater than 3,000m</w:t>
      </w:r>
      <w:r w:rsidRPr="009B7B35">
        <w:rPr>
          <w:rFonts w:cs="Arial"/>
          <w:szCs w:val="20"/>
          <w:vertAlign w:val="superscript"/>
        </w:rPr>
        <w:t>2</w:t>
      </w:r>
      <w:r w:rsidRPr="009B7B35">
        <w:rPr>
          <w:rFonts w:cs="Arial"/>
          <w:szCs w:val="20"/>
        </w:rPr>
        <w:t>) to facilitate medium impact industry land uses</w:t>
      </w:r>
    </w:p>
    <w:p w14:paraId="745C077E" w14:textId="77777777" w:rsidR="00BE36FB" w:rsidRPr="009B7B35" w:rsidRDefault="00BE36FB" w:rsidP="00BE36FB">
      <w:pPr>
        <w:pStyle w:val="ListBullet2"/>
        <w:numPr>
          <w:ilvl w:val="3"/>
          <w:numId w:val="254"/>
        </w:numPr>
        <w:rPr>
          <w:rFonts w:cs="Arial"/>
          <w:szCs w:val="20"/>
        </w:rPr>
      </w:pPr>
      <w:r w:rsidRPr="009B7B35">
        <w:rPr>
          <w:rFonts w:cs="Arial"/>
          <w:szCs w:val="20"/>
        </w:rPr>
        <w:t>demonstrates appropriate infrastructure, services and transport connections can support industrial development</w:t>
      </w:r>
    </w:p>
    <w:p w14:paraId="09985EE5" w14:textId="77777777" w:rsidR="00BE36FB" w:rsidRPr="009B7B35" w:rsidRDefault="00BE36FB" w:rsidP="00BE36FB">
      <w:pPr>
        <w:pStyle w:val="ListBullet2"/>
        <w:numPr>
          <w:ilvl w:val="3"/>
          <w:numId w:val="254"/>
        </w:numPr>
        <w:rPr>
          <w:rFonts w:cs="Arial"/>
          <w:szCs w:val="20"/>
        </w:rPr>
      </w:pPr>
      <w:r w:rsidRPr="009B7B35">
        <w:rPr>
          <w:rFonts w:cs="Arial"/>
          <w:szCs w:val="20"/>
        </w:rPr>
        <w:t>establishes development footprints that respond to environmental constraints and hazards in the locality, and</w:t>
      </w:r>
    </w:p>
    <w:p w14:paraId="357D1CE2" w14:textId="77777777" w:rsidR="00BE36FB" w:rsidRPr="009B7B35" w:rsidRDefault="00BE36FB" w:rsidP="00BE36FB">
      <w:pPr>
        <w:pStyle w:val="ListBullet2"/>
        <w:numPr>
          <w:ilvl w:val="3"/>
          <w:numId w:val="254"/>
        </w:numPr>
        <w:rPr>
          <w:rFonts w:cs="Arial"/>
          <w:szCs w:val="20"/>
          <w:lang w:eastAsia="en-US"/>
        </w:rPr>
      </w:pPr>
      <w:r w:rsidRPr="009B7B35">
        <w:rPr>
          <w:rFonts w:cs="Arial"/>
          <w:szCs w:val="20"/>
        </w:rPr>
        <w:t>prov</w:t>
      </w:r>
      <w:r w:rsidRPr="009B7B35">
        <w:rPr>
          <w:rFonts w:cs="Arial"/>
          <w:szCs w:val="20"/>
          <w:lang w:eastAsia="en-US"/>
        </w:rPr>
        <w:t>ides an appropriate interface to the Clinton Park residential area.</w:t>
      </w:r>
    </w:p>
    <w:p w14:paraId="1BC9CB97" w14:textId="77777777" w:rsidR="00BE36FB" w:rsidRPr="009B7B35" w:rsidRDefault="00BE36FB" w:rsidP="001A7107">
      <w:pPr>
        <w:pStyle w:val="Notes"/>
        <w:rPr>
          <w:rFonts w:cs="Arial"/>
          <w:sz w:val="20"/>
          <w:szCs w:val="20"/>
          <w:lang w:eastAsia="en-US"/>
        </w:rPr>
      </w:pPr>
      <w:r w:rsidRPr="009B7B35">
        <w:rPr>
          <w:rFonts w:cs="Arial"/>
          <w:sz w:val="20"/>
          <w:szCs w:val="20"/>
          <w:lang w:eastAsia="en-US"/>
        </w:rPr>
        <w:t xml:space="preserve">Note—Plans of development are to be accordance with the </w:t>
      </w:r>
      <w:r w:rsidRPr="009B7B35">
        <w:rPr>
          <w:rFonts w:cs="Arial"/>
          <w:i/>
          <w:sz w:val="20"/>
          <w:szCs w:val="20"/>
          <w:lang w:eastAsia="en-US"/>
        </w:rPr>
        <w:t>Plan of development planning scheme policy</w:t>
      </w:r>
      <w:r w:rsidRPr="009B7B35">
        <w:rPr>
          <w:rFonts w:cs="Arial"/>
          <w:sz w:val="20"/>
          <w:szCs w:val="20"/>
          <w:lang w:eastAsia="en-US"/>
        </w:rPr>
        <w:t xml:space="preserve">. </w:t>
      </w:r>
    </w:p>
    <w:p w14:paraId="27943041"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7B0C03A1" w14:textId="77777777" w:rsidR="00BE36FB" w:rsidRPr="009B7B35" w:rsidRDefault="00BE36FB" w:rsidP="003A35DA">
      <w:pPr>
        <w:pStyle w:val="Heading5"/>
        <w:numPr>
          <w:ilvl w:val="0"/>
          <w:numId w:val="0"/>
        </w:numPr>
        <w:rPr>
          <w:rFonts w:cs="Arial"/>
          <w:szCs w:val="20"/>
        </w:rPr>
      </w:pPr>
      <w:r w:rsidRPr="009B7B35">
        <w:rPr>
          <w:rFonts w:cs="Arial"/>
          <w:szCs w:val="20"/>
          <w:lang w:eastAsia="en-US"/>
        </w:rPr>
        <w:t>Table 6.2.13.3.1—</w:t>
      </w:r>
      <w:r w:rsidRPr="009B7B35">
        <w:rPr>
          <w:rFonts w:cs="Arial"/>
          <w:szCs w:val="20"/>
        </w:rPr>
        <w:t xml:space="preserve">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14:paraId="0FA6E666"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hideMark/>
          </w:tcPr>
          <w:p w14:paraId="16F42569" w14:textId="77777777" w:rsidR="00BE36FB" w:rsidRPr="009B7B35" w:rsidRDefault="00BE36FB" w:rsidP="001A7107">
            <w:pPr>
              <w:pStyle w:val="TableText"/>
              <w:rPr>
                <w:rFonts w:cs="Arial"/>
                <w:lang w:eastAsia="en-US"/>
              </w:rPr>
            </w:pPr>
            <w:r w:rsidRPr="009B7B35">
              <w:rPr>
                <w:rFonts w:cs="Arial"/>
                <w:lang w:eastAsia="en-US"/>
              </w:rPr>
              <w:t>Performance outcomes</w:t>
            </w:r>
          </w:p>
        </w:tc>
        <w:tc>
          <w:tcPr>
            <w:tcW w:w="4678" w:type="dxa"/>
            <w:hideMark/>
          </w:tcPr>
          <w:p w14:paraId="2F4BF29B" w14:textId="77777777" w:rsidR="00BE36FB" w:rsidRPr="009B7B35" w:rsidRDefault="00BE36FB" w:rsidP="001A7107">
            <w:pPr>
              <w:pStyle w:val="TableText"/>
              <w:rPr>
                <w:rFonts w:cs="Arial"/>
                <w:lang w:eastAsia="en-US"/>
              </w:rPr>
            </w:pPr>
            <w:r w:rsidRPr="009B7B35">
              <w:rPr>
                <w:rFonts w:cs="Arial"/>
                <w:lang w:eastAsia="en-US"/>
              </w:rPr>
              <w:t>Acceptable outcomes</w:t>
            </w:r>
          </w:p>
        </w:tc>
      </w:tr>
      <w:tr w:rsidR="00BE36FB" w:rsidRPr="009B7B35" w14:paraId="38BD075F" w14:textId="77777777" w:rsidTr="001A7107">
        <w:trPr>
          <w:cantSplit/>
        </w:trPr>
        <w:tc>
          <w:tcPr>
            <w:tcW w:w="9356" w:type="dxa"/>
            <w:gridSpan w:val="2"/>
            <w:shd w:val="clear" w:color="auto" w:fill="BFBFBF" w:themeFill="background1" w:themeFillShade="BF"/>
            <w:hideMark/>
          </w:tcPr>
          <w:p w14:paraId="10E1927A"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Caretaker’s accommodation</w:t>
            </w:r>
          </w:p>
        </w:tc>
      </w:tr>
      <w:tr w:rsidR="00BE36FB" w:rsidRPr="009B7B35" w14:paraId="1084CA87" w14:textId="77777777" w:rsidTr="001A7107">
        <w:tc>
          <w:tcPr>
            <w:tcW w:w="4678" w:type="dxa"/>
            <w:vMerge w:val="restart"/>
          </w:tcPr>
          <w:p w14:paraId="46D09211" w14:textId="77777777" w:rsidR="00BE36FB" w:rsidRPr="009B7B35" w:rsidRDefault="00BE36FB" w:rsidP="001A7107">
            <w:pPr>
              <w:pStyle w:val="TableText"/>
              <w:rPr>
                <w:rFonts w:cs="Arial"/>
                <w:b/>
                <w:bCs/>
                <w:lang w:eastAsia="en-US"/>
              </w:rPr>
            </w:pPr>
            <w:r w:rsidRPr="009B7B35">
              <w:rPr>
                <w:rFonts w:cs="Arial"/>
                <w:b/>
                <w:bCs/>
                <w:lang w:eastAsia="en-US"/>
              </w:rPr>
              <w:t>PO1</w:t>
            </w:r>
          </w:p>
          <w:p w14:paraId="4A8065C0" w14:textId="77777777" w:rsidR="00BE36FB" w:rsidRPr="009B7B35" w:rsidRDefault="00BE36FB" w:rsidP="001A7107">
            <w:pPr>
              <w:pStyle w:val="TableText"/>
              <w:rPr>
                <w:rFonts w:cs="Arial"/>
                <w:lang w:eastAsia="en-US"/>
              </w:rPr>
            </w:pPr>
            <w:r w:rsidRPr="009B7B35">
              <w:rPr>
                <w:rFonts w:cs="Arial"/>
                <w:lang w:eastAsia="en-US"/>
              </w:rPr>
              <w:t>Development for caretaker’s accommodation:</w:t>
            </w:r>
          </w:p>
          <w:p w14:paraId="3ACC4CD8" w14:textId="77777777" w:rsidR="00BE36FB" w:rsidRPr="009B7B35" w:rsidRDefault="00BE36FB" w:rsidP="00BE36FB">
            <w:pPr>
              <w:pStyle w:val="TableText"/>
              <w:numPr>
                <w:ilvl w:val="0"/>
                <w:numId w:val="208"/>
              </w:numPr>
              <w:rPr>
                <w:rFonts w:cs="Arial"/>
                <w:lang w:eastAsia="en-US"/>
              </w:rPr>
            </w:pPr>
            <w:r w:rsidRPr="009B7B35">
              <w:rPr>
                <w:rFonts w:cs="Arial"/>
                <w:lang w:eastAsia="en-US"/>
              </w:rPr>
              <w:t>is subordinate to non–residential uses on the same site</w:t>
            </w:r>
          </w:p>
          <w:p w14:paraId="4AACC8FE" w14:textId="77777777" w:rsidR="00BE36FB" w:rsidRPr="009B7B35" w:rsidRDefault="00BE36FB" w:rsidP="00BE36FB">
            <w:pPr>
              <w:pStyle w:val="TableText"/>
              <w:numPr>
                <w:ilvl w:val="0"/>
                <w:numId w:val="208"/>
              </w:numPr>
              <w:rPr>
                <w:rFonts w:cs="Arial"/>
                <w:lang w:eastAsia="en-US"/>
              </w:rPr>
            </w:pPr>
            <w:r w:rsidRPr="009B7B35">
              <w:rPr>
                <w:rFonts w:cs="Arial"/>
                <w:lang w:eastAsia="en-US"/>
              </w:rPr>
              <w:t>provides adequate private open space for residents.</w:t>
            </w:r>
          </w:p>
        </w:tc>
        <w:tc>
          <w:tcPr>
            <w:tcW w:w="4678" w:type="dxa"/>
            <w:hideMark/>
          </w:tcPr>
          <w:p w14:paraId="61A79FE6" w14:textId="77777777" w:rsidR="00BE36FB" w:rsidRPr="009B7B35" w:rsidRDefault="00BE36FB" w:rsidP="001A7107">
            <w:pPr>
              <w:pStyle w:val="TableText"/>
              <w:rPr>
                <w:rFonts w:cs="Arial"/>
                <w:b/>
                <w:bCs/>
                <w:lang w:eastAsia="en-US"/>
              </w:rPr>
            </w:pPr>
            <w:r w:rsidRPr="009B7B35">
              <w:rPr>
                <w:rFonts w:cs="Arial"/>
                <w:b/>
                <w:bCs/>
                <w:lang w:eastAsia="en-US"/>
              </w:rPr>
              <w:t>AO1.1</w:t>
            </w:r>
          </w:p>
          <w:p w14:paraId="76AE1C68" w14:textId="77777777" w:rsidR="00BE36FB" w:rsidRPr="009B7B35" w:rsidRDefault="00BE36FB" w:rsidP="001A7107">
            <w:pPr>
              <w:pStyle w:val="TableText"/>
              <w:rPr>
                <w:rFonts w:cs="Arial"/>
                <w:lang w:eastAsia="en-US"/>
              </w:rPr>
            </w:pPr>
            <w:r w:rsidRPr="009B7B35">
              <w:rPr>
                <w:rFonts w:cs="Arial"/>
                <w:lang w:eastAsia="en-US"/>
              </w:rPr>
              <w:t>No more than 1 caretaker’s accommodation unit is established per non–residential land use.</w:t>
            </w:r>
          </w:p>
        </w:tc>
      </w:tr>
      <w:tr w:rsidR="00BE36FB" w:rsidRPr="009B7B35" w14:paraId="5B2F49B3" w14:textId="77777777" w:rsidTr="001A7107">
        <w:tc>
          <w:tcPr>
            <w:tcW w:w="4678" w:type="dxa"/>
            <w:vMerge/>
            <w:hideMark/>
          </w:tcPr>
          <w:p w14:paraId="515A638D" w14:textId="77777777" w:rsidR="00BE36FB" w:rsidRPr="009B7B35" w:rsidRDefault="00BE36FB" w:rsidP="001A7107">
            <w:pPr>
              <w:pStyle w:val="TableText"/>
              <w:rPr>
                <w:rFonts w:cs="Arial"/>
                <w:lang w:eastAsia="en-US"/>
              </w:rPr>
            </w:pPr>
          </w:p>
        </w:tc>
        <w:tc>
          <w:tcPr>
            <w:tcW w:w="4678" w:type="dxa"/>
            <w:hideMark/>
          </w:tcPr>
          <w:p w14:paraId="13A9EF24" w14:textId="77777777" w:rsidR="00BE36FB" w:rsidRPr="009B7B35" w:rsidRDefault="00BE36FB" w:rsidP="001A7107">
            <w:pPr>
              <w:pStyle w:val="TableText"/>
              <w:rPr>
                <w:rFonts w:cs="Arial"/>
                <w:b/>
                <w:bCs/>
                <w:lang w:eastAsia="en-US"/>
              </w:rPr>
            </w:pPr>
            <w:r w:rsidRPr="009B7B35">
              <w:rPr>
                <w:rFonts w:cs="Arial"/>
                <w:b/>
                <w:bCs/>
                <w:lang w:eastAsia="en-US"/>
              </w:rPr>
              <w:t>AO1.2</w:t>
            </w:r>
          </w:p>
          <w:p w14:paraId="79480686" w14:textId="77777777" w:rsidR="00BE36FB" w:rsidRPr="009B7B35" w:rsidRDefault="00BE36FB" w:rsidP="001A7107">
            <w:pPr>
              <w:pStyle w:val="TableText"/>
              <w:rPr>
                <w:rFonts w:cs="Arial"/>
                <w:lang w:eastAsia="en-US"/>
              </w:rPr>
            </w:pPr>
            <w:r w:rsidRPr="009B7B35">
              <w:rPr>
                <w:rFonts w:cs="Arial"/>
                <w:lang w:eastAsia="en-US"/>
              </w:rPr>
              <w:t>Caretaker’s accommodation is a maximum of 100m</w:t>
            </w:r>
            <w:r w:rsidRPr="009B7B35">
              <w:rPr>
                <w:rFonts w:cs="Arial"/>
                <w:vertAlign w:val="superscript"/>
                <w:lang w:eastAsia="en-US"/>
              </w:rPr>
              <w:t>2</w:t>
            </w:r>
            <w:r w:rsidRPr="009B7B35">
              <w:rPr>
                <w:rFonts w:cs="Arial"/>
                <w:lang w:eastAsia="en-US"/>
              </w:rPr>
              <w:t xml:space="preserve"> GFA.</w:t>
            </w:r>
          </w:p>
        </w:tc>
      </w:tr>
      <w:tr w:rsidR="00BE36FB" w:rsidRPr="009B7B35" w14:paraId="225F0443" w14:textId="77777777" w:rsidTr="001A7107">
        <w:tc>
          <w:tcPr>
            <w:tcW w:w="4678" w:type="dxa"/>
            <w:vMerge/>
            <w:hideMark/>
          </w:tcPr>
          <w:p w14:paraId="402B3E28" w14:textId="77777777" w:rsidR="00BE36FB" w:rsidRPr="009B7B35" w:rsidRDefault="00BE36FB" w:rsidP="001A7107">
            <w:pPr>
              <w:pStyle w:val="TableText"/>
              <w:rPr>
                <w:rFonts w:cs="Arial"/>
                <w:lang w:eastAsia="en-US"/>
              </w:rPr>
            </w:pPr>
          </w:p>
        </w:tc>
        <w:tc>
          <w:tcPr>
            <w:tcW w:w="4678" w:type="dxa"/>
            <w:hideMark/>
          </w:tcPr>
          <w:p w14:paraId="55FC4E1C" w14:textId="77777777" w:rsidR="00BE36FB" w:rsidRPr="009B7B35" w:rsidRDefault="00BE36FB" w:rsidP="001A7107">
            <w:pPr>
              <w:pStyle w:val="TableText"/>
              <w:rPr>
                <w:rFonts w:cs="Arial"/>
                <w:b/>
                <w:bCs/>
                <w:lang w:eastAsia="en-US"/>
              </w:rPr>
            </w:pPr>
            <w:r w:rsidRPr="009B7B35">
              <w:rPr>
                <w:rFonts w:cs="Arial"/>
                <w:b/>
                <w:bCs/>
                <w:lang w:eastAsia="en-US"/>
              </w:rPr>
              <w:t>AO1.3</w:t>
            </w:r>
          </w:p>
          <w:p w14:paraId="4B4D703F" w14:textId="77777777" w:rsidR="00BE36FB" w:rsidRPr="009B7B35" w:rsidRDefault="00BE36FB" w:rsidP="001A7107">
            <w:pPr>
              <w:pStyle w:val="TableText"/>
              <w:rPr>
                <w:rFonts w:cs="Arial"/>
                <w:lang w:eastAsia="en-US"/>
              </w:rPr>
            </w:pPr>
            <w:r w:rsidRPr="009B7B35">
              <w:rPr>
                <w:rFonts w:cs="Arial"/>
                <w:lang w:eastAsia="en-US"/>
              </w:rPr>
              <w:t>Caretaker’s accommodation is provided with a private open space area which:</w:t>
            </w:r>
          </w:p>
          <w:p w14:paraId="74D80630" w14:textId="77777777" w:rsidR="00BE36FB" w:rsidRPr="009B7B35" w:rsidRDefault="00BE36FB" w:rsidP="00BE36FB">
            <w:pPr>
              <w:pStyle w:val="TableText"/>
              <w:numPr>
                <w:ilvl w:val="0"/>
                <w:numId w:val="171"/>
              </w:numPr>
              <w:rPr>
                <w:rFonts w:cs="Arial"/>
                <w:lang w:eastAsia="en-US"/>
              </w:rPr>
            </w:pPr>
            <w:r w:rsidRPr="009B7B35">
              <w:rPr>
                <w:rFonts w:cs="Arial"/>
                <w:lang w:eastAsia="en-US"/>
              </w:rPr>
              <w:t>is directly accessible from a habitable room, and</w:t>
            </w:r>
          </w:p>
          <w:p w14:paraId="1E724F75" w14:textId="77777777" w:rsidR="00BE36FB" w:rsidRPr="009B7B35" w:rsidRDefault="00BE36FB" w:rsidP="00BE36FB">
            <w:pPr>
              <w:pStyle w:val="TableText"/>
              <w:numPr>
                <w:ilvl w:val="0"/>
                <w:numId w:val="171"/>
              </w:numPr>
              <w:rPr>
                <w:rFonts w:cs="Arial"/>
                <w:lang w:eastAsia="en-US"/>
              </w:rPr>
            </w:pPr>
            <w:r w:rsidRPr="009B7B35">
              <w:rPr>
                <w:rFonts w:cs="Arial"/>
                <w:lang w:eastAsia="en-US"/>
              </w:rPr>
              <w:t>where a balcony, a verandah or a deck, has a minimum area of 15m</w:t>
            </w:r>
            <w:r w:rsidRPr="009B7B35">
              <w:rPr>
                <w:rStyle w:val="StyleSuperscript"/>
                <w:rFonts w:cs="Arial"/>
              </w:rPr>
              <w:t>2</w:t>
            </w:r>
            <w:r w:rsidRPr="009B7B35">
              <w:rPr>
                <w:rFonts w:cs="Arial"/>
                <w:lang w:eastAsia="en-US"/>
              </w:rPr>
              <w:t xml:space="preserve"> with </w:t>
            </w:r>
            <w:r w:rsidRPr="009B7B35">
              <w:rPr>
                <w:rFonts w:cs="Arial"/>
              </w:rPr>
              <w:t xml:space="preserve">a </w:t>
            </w:r>
            <w:r w:rsidRPr="009B7B35">
              <w:rPr>
                <w:rFonts w:cs="Arial"/>
                <w:lang w:eastAsia="en-US"/>
              </w:rPr>
              <w:t xml:space="preserve">minimum horizontal dimension of 1.25m. </w:t>
            </w:r>
          </w:p>
        </w:tc>
      </w:tr>
      <w:tr w:rsidR="00BE36FB" w:rsidRPr="009B7B35" w14:paraId="732FF7E5" w14:textId="77777777" w:rsidTr="001A7107">
        <w:tc>
          <w:tcPr>
            <w:tcW w:w="9356" w:type="dxa"/>
            <w:gridSpan w:val="2"/>
            <w:shd w:val="clear" w:color="auto" w:fill="BFBFBF" w:themeFill="background1" w:themeFillShade="BF"/>
          </w:tcPr>
          <w:p w14:paraId="32334021"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Office</w:t>
            </w:r>
          </w:p>
        </w:tc>
      </w:tr>
      <w:tr w:rsidR="00BE36FB" w:rsidRPr="009B7B35" w14:paraId="6D5D1328" w14:textId="77777777" w:rsidTr="001A7107">
        <w:trPr>
          <w:cantSplit/>
        </w:trPr>
        <w:tc>
          <w:tcPr>
            <w:tcW w:w="4678" w:type="dxa"/>
          </w:tcPr>
          <w:p w14:paraId="1245F817" w14:textId="77777777" w:rsidR="00BE36FB" w:rsidRPr="009B7B35" w:rsidRDefault="00BE36FB" w:rsidP="001A7107">
            <w:pPr>
              <w:pStyle w:val="TableText"/>
              <w:rPr>
                <w:rFonts w:cs="Arial"/>
                <w:b/>
                <w:bCs/>
                <w:lang w:eastAsia="en-US"/>
              </w:rPr>
            </w:pPr>
            <w:r w:rsidRPr="009B7B35">
              <w:rPr>
                <w:rFonts w:cs="Arial"/>
                <w:b/>
                <w:bCs/>
                <w:lang w:eastAsia="en-US"/>
              </w:rPr>
              <w:t>PO2</w:t>
            </w:r>
          </w:p>
          <w:p w14:paraId="214B536A" w14:textId="77777777" w:rsidR="00BE36FB" w:rsidRPr="009B7B35" w:rsidRDefault="00BE36FB" w:rsidP="001A7107">
            <w:pPr>
              <w:pStyle w:val="TableText"/>
              <w:rPr>
                <w:rFonts w:cs="Arial"/>
                <w:lang w:eastAsia="en-US"/>
              </w:rPr>
            </w:pPr>
            <w:r w:rsidRPr="009B7B35">
              <w:rPr>
                <w:rFonts w:cs="Arial"/>
                <w:lang w:eastAsia="en-US"/>
              </w:rPr>
              <w:t>Offices are accommodated within the zone where they are ancillary to the primary use.</w:t>
            </w:r>
          </w:p>
        </w:tc>
        <w:tc>
          <w:tcPr>
            <w:tcW w:w="4678" w:type="dxa"/>
          </w:tcPr>
          <w:p w14:paraId="61CBC0CE" w14:textId="77777777" w:rsidR="00BE36FB" w:rsidRPr="009B7B35" w:rsidRDefault="00BE36FB" w:rsidP="001A7107">
            <w:pPr>
              <w:pStyle w:val="TableText"/>
              <w:rPr>
                <w:rFonts w:cs="Arial"/>
                <w:b/>
                <w:bCs/>
                <w:lang w:eastAsia="en-US"/>
              </w:rPr>
            </w:pPr>
            <w:r w:rsidRPr="009B7B35">
              <w:rPr>
                <w:rFonts w:cs="Arial"/>
                <w:b/>
                <w:bCs/>
                <w:lang w:eastAsia="en-US"/>
              </w:rPr>
              <w:t>AO2</w:t>
            </w:r>
          </w:p>
          <w:p w14:paraId="60B07A9F" w14:textId="77777777" w:rsidR="00BE36FB" w:rsidRPr="009B7B35" w:rsidRDefault="00BE36FB" w:rsidP="001A7107">
            <w:pPr>
              <w:pStyle w:val="TableText"/>
              <w:rPr>
                <w:rFonts w:cs="Arial"/>
                <w:lang w:eastAsia="en-US"/>
              </w:rPr>
            </w:pPr>
            <w:r w:rsidRPr="009B7B35">
              <w:rPr>
                <w:rFonts w:cs="Arial"/>
                <w:lang w:eastAsia="en-US"/>
              </w:rPr>
              <w:t>The area used for an Office use does not exceed 100m</w:t>
            </w:r>
            <w:r w:rsidRPr="009B7B35">
              <w:rPr>
                <w:rStyle w:val="StyleSuperscript"/>
                <w:rFonts w:cs="Arial"/>
              </w:rPr>
              <w:t>2</w:t>
            </w:r>
            <w:r w:rsidRPr="009B7B35">
              <w:rPr>
                <w:rFonts w:cs="Arial"/>
                <w:lang w:eastAsia="en-US"/>
              </w:rPr>
              <w:t xml:space="preserve"> GFA.</w:t>
            </w:r>
          </w:p>
        </w:tc>
      </w:tr>
      <w:tr w:rsidR="00BE36FB" w:rsidRPr="009B7B35" w14:paraId="003DE455" w14:textId="77777777" w:rsidTr="001A7107">
        <w:trPr>
          <w:cantSplit/>
        </w:trPr>
        <w:tc>
          <w:tcPr>
            <w:tcW w:w="9356" w:type="dxa"/>
            <w:gridSpan w:val="2"/>
            <w:shd w:val="clear" w:color="auto" w:fill="BFBFBF" w:themeFill="background1" w:themeFillShade="BF"/>
            <w:hideMark/>
          </w:tcPr>
          <w:p w14:paraId="26B4C6DD"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Sales office</w:t>
            </w:r>
          </w:p>
        </w:tc>
      </w:tr>
      <w:tr w:rsidR="00BE36FB" w:rsidRPr="009B7B35" w14:paraId="00A2A5E3" w14:textId="77777777" w:rsidTr="001A7107">
        <w:trPr>
          <w:cantSplit/>
        </w:trPr>
        <w:tc>
          <w:tcPr>
            <w:tcW w:w="4678" w:type="dxa"/>
            <w:vMerge w:val="restart"/>
          </w:tcPr>
          <w:p w14:paraId="616D2E66" w14:textId="77777777" w:rsidR="00BE36FB" w:rsidRPr="009B7B35" w:rsidRDefault="00BE36FB" w:rsidP="001A7107">
            <w:pPr>
              <w:pStyle w:val="TableText"/>
              <w:rPr>
                <w:rFonts w:cs="Arial"/>
                <w:b/>
                <w:bCs/>
                <w:lang w:eastAsia="en-US"/>
              </w:rPr>
            </w:pPr>
            <w:r w:rsidRPr="009B7B35">
              <w:rPr>
                <w:rFonts w:cs="Arial"/>
                <w:b/>
                <w:bCs/>
                <w:lang w:eastAsia="en-US"/>
              </w:rPr>
              <w:t>PO3</w:t>
            </w:r>
          </w:p>
          <w:p w14:paraId="3499EEA0" w14:textId="77777777" w:rsidR="00BE36FB" w:rsidRPr="009B7B35" w:rsidRDefault="00BE36FB" w:rsidP="001A7107">
            <w:pPr>
              <w:pStyle w:val="TableText"/>
              <w:rPr>
                <w:rFonts w:cs="Arial"/>
                <w:lang w:eastAsia="en-US"/>
              </w:rPr>
            </w:pPr>
            <w:r w:rsidRPr="009B7B35">
              <w:rPr>
                <w:rFonts w:cs="Arial"/>
                <w:lang w:eastAsia="en-US"/>
              </w:rPr>
              <w:t>The use does not adversely impact on the amenity of the surrounding land uses and local character.</w:t>
            </w:r>
          </w:p>
        </w:tc>
        <w:tc>
          <w:tcPr>
            <w:tcW w:w="4678" w:type="dxa"/>
          </w:tcPr>
          <w:p w14:paraId="106443C0" w14:textId="77777777" w:rsidR="00BE36FB" w:rsidRPr="009B7B35" w:rsidRDefault="00BE36FB" w:rsidP="001A7107">
            <w:pPr>
              <w:pStyle w:val="TableText"/>
              <w:rPr>
                <w:rFonts w:cs="Arial"/>
                <w:b/>
                <w:bCs/>
                <w:lang w:eastAsia="en-US"/>
              </w:rPr>
            </w:pPr>
            <w:r w:rsidRPr="009B7B35">
              <w:rPr>
                <w:rFonts w:cs="Arial"/>
                <w:b/>
                <w:bCs/>
                <w:lang w:eastAsia="en-US"/>
              </w:rPr>
              <w:t>AO3.1</w:t>
            </w:r>
          </w:p>
          <w:p w14:paraId="7187C522" w14:textId="77777777" w:rsidR="00BE36FB" w:rsidRPr="009B7B35" w:rsidRDefault="00BE36FB" w:rsidP="001A7107">
            <w:pPr>
              <w:pStyle w:val="TableText"/>
              <w:rPr>
                <w:rFonts w:cs="Arial"/>
                <w:lang w:eastAsia="en-US"/>
              </w:rPr>
            </w:pPr>
            <w:r w:rsidRPr="009B7B35">
              <w:rPr>
                <w:rFonts w:cs="Arial"/>
                <w:lang w:eastAsia="en-US"/>
              </w:rPr>
              <w:t>Development of the sales office is in place for no more than two years.</w:t>
            </w:r>
          </w:p>
        </w:tc>
      </w:tr>
      <w:tr w:rsidR="00BE36FB" w:rsidRPr="009B7B35" w14:paraId="23A2F10A" w14:textId="77777777" w:rsidTr="001A7107">
        <w:trPr>
          <w:cantSplit/>
        </w:trPr>
        <w:tc>
          <w:tcPr>
            <w:tcW w:w="4678" w:type="dxa"/>
            <w:vMerge/>
          </w:tcPr>
          <w:p w14:paraId="7AC2A4BE" w14:textId="77777777" w:rsidR="00BE36FB" w:rsidRPr="009B7B35" w:rsidRDefault="00BE36FB" w:rsidP="001A7107">
            <w:pPr>
              <w:pStyle w:val="TableText"/>
              <w:rPr>
                <w:rFonts w:cs="Arial"/>
                <w:lang w:eastAsia="en-US"/>
              </w:rPr>
            </w:pPr>
          </w:p>
        </w:tc>
        <w:tc>
          <w:tcPr>
            <w:tcW w:w="4678" w:type="dxa"/>
          </w:tcPr>
          <w:p w14:paraId="1836FE78" w14:textId="77777777" w:rsidR="00BE36FB" w:rsidRPr="009B7B35" w:rsidRDefault="00BE36FB" w:rsidP="001A7107">
            <w:pPr>
              <w:pStyle w:val="TableText"/>
              <w:rPr>
                <w:rFonts w:cs="Arial"/>
                <w:b/>
                <w:bCs/>
                <w:lang w:eastAsia="en-US"/>
              </w:rPr>
            </w:pPr>
            <w:r w:rsidRPr="009B7B35">
              <w:rPr>
                <w:rFonts w:cs="Arial"/>
                <w:b/>
                <w:bCs/>
                <w:lang w:eastAsia="en-US"/>
              </w:rPr>
              <w:t>AO3.2</w:t>
            </w:r>
          </w:p>
          <w:p w14:paraId="10CD00C3" w14:textId="77777777" w:rsidR="00BE36FB" w:rsidRPr="009B7B35" w:rsidRDefault="00BE36FB" w:rsidP="001A7107">
            <w:pPr>
              <w:pStyle w:val="TableText"/>
              <w:rPr>
                <w:rFonts w:cs="Arial"/>
                <w:lang w:eastAsia="en-US"/>
              </w:rPr>
            </w:pPr>
            <w:r w:rsidRPr="009B7B35">
              <w:rPr>
                <w:rFonts w:cs="Arial"/>
                <w:lang w:eastAsia="en-US"/>
              </w:rPr>
              <w:t>There are a maximum of 2 employees on site at any one time.</w:t>
            </w:r>
          </w:p>
        </w:tc>
      </w:tr>
      <w:tr w:rsidR="00BE36FB" w:rsidRPr="009B7B35" w14:paraId="21FAF496" w14:textId="77777777" w:rsidTr="001A7107">
        <w:trPr>
          <w:cantSplit/>
        </w:trPr>
        <w:tc>
          <w:tcPr>
            <w:tcW w:w="9356" w:type="dxa"/>
            <w:gridSpan w:val="2"/>
            <w:shd w:val="clear" w:color="auto" w:fill="BFBFBF" w:themeFill="background1" w:themeFillShade="BF"/>
            <w:hideMark/>
          </w:tcPr>
          <w:p w14:paraId="3D05C8F3"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Built form (if involving building work)</w:t>
            </w:r>
          </w:p>
        </w:tc>
      </w:tr>
      <w:tr w:rsidR="00BE36FB" w:rsidRPr="009B7B35" w14:paraId="14C09A7A" w14:textId="77777777" w:rsidTr="001A7107">
        <w:trPr>
          <w:cantSplit/>
        </w:trPr>
        <w:tc>
          <w:tcPr>
            <w:tcW w:w="4678" w:type="dxa"/>
            <w:hideMark/>
          </w:tcPr>
          <w:p w14:paraId="3385DDF5" w14:textId="77777777" w:rsidR="00BE36FB" w:rsidRPr="009B7B35" w:rsidRDefault="00BE36FB" w:rsidP="001A7107">
            <w:pPr>
              <w:pStyle w:val="TableText"/>
              <w:rPr>
                <w:rFonts w:cs="Arial"/>
                <w:b/>
                <w:bCs/>
                <w:lang w:eastAsia="en-US"/>
              </w:rPr>
            </w:pPr>
            <w:r w:rsidRPr="009B7B35">
              <w:rPr>
                <w:rFonts w:cs="Arial"/>
                <w:b/>
                <w:bCs/>
                <w:lang w:eastAsia="en-US"/>
              </w:rPr>
              <w:t>PO4</w:t>
            </w:r>
          </w:p>
          <w:p w14:paraId="31A0D413" w14:textId="77777777" w:rsidR="00BE36FB" w:rsidRPr="009B7B35" w:rsidRDefault="00BE36FB" w:rsidP="001A7107">
            <w:pPr>
              <w:pStyle w:val="TableText"/>
              <w:rPr>
                <w:rFonts w:cs="Arial"/>
                <w:lang w:eastAsia="en-US"/>
              </w:rPr>
            </w:pPr>
            <w:r w:rsidRPr="009B7B35">
              <w:rPr>
                <w:rFonts w:cs="Arial"/>
                <w:lang w:eastAsia="en-US"/>
              </w:rPr>
              <w:t>Buildings and outdoor storage areas:</w:t>
            </w:r>
          </w:p>
          <w:p w14:paraId="01F4AF1A" w14:textId="77777777" w:rsidR="00BE36FB" w:rsidRPr="009B7B35" w:rsidRDefault="00BE36FB" w:rsidP="00BE36FB">
            <w:pPr>
              <w:pStyle w:val="TableText"/>
              <w:numPr>
                <w:ilvl w:val="0"/>
                <w:numId w:val="200"/>
              </w:numPr>
              <w:ind w:left="510" w:hanging="510"/>
              <w:rPr>
                <w:rFonts w:cs="Arial"/>
                <w:lang w:eastAsia="en-US"/>
              </w:rPr>
            </w:pPr>
            <w:r w:rsidRPr="009B7B35">
              <w:rPr>
                <w:rFonts w:cs="Arial"/>
                <w:lang w:eastAsia="en-US"/>
              </w:rPr>
              <w:t>are appropriate to the scale, bulk and character of other buildings and activities in the surrounding industrial area or intended in the zone, and</w:t>
            </w:r>
          </w:p>
          <w:p w14:paraId="22EE35E3" w14:textId="77777777" w:rsidR="00BE36FB" w:rsidRPr="009B7B35" w:rsidRDefault="00BE36FB" w:rsidP="00BE36FB">
            <w:pPr>
              <w:pStyle w:val="TableText"/>
              <w:numPr>
                <w:ilvl w:val="0"/>
                <w:numId w:val="200"/>
              </w:numPr>
              <w:ind w:left="510" w:hanging="510"/>
              <w:rPr>
                <w:rFonts w:cs="Arial"/>
                <w:lang w:eastAsia="en-US"/>
              </w:rPr>
            </w:pPr>
            <w:r w:rsidRPr="009B7B35">
              <w:rPr>
                <w:rFonts w:cs="Arial"/>
                <w:lang w:eastAsia="en-US"/>
              </w:rPr>
              <w:t>do not result in a significant loss of visual amenity.</w:t>
            </w:r>
          </w:p>
        </w:tc>
        <w:tc>
          <w:tcPr>
            <w:tcW w:w="4678" w:type="dxa"/>
            <w:hideMark/>
          </w:tcPr>
          <w:p w14:paraId="27961D36" w14:textId="77777777" w:rsidR="00BE36FB" w:rsidRPr="009B7B35" w:rsidRDefault="00BE36FB" w:rsidP="001A7107">
            <w:pPr>
              <w:pStyle w:val="TableText"/>
              <w:rPr>
                <w:rFonts w:cs="Arial"/>
                <w:b/>
                <w:bCs/>
                <w:lang w:eastAsia="en-US"/>
              </w:rPr>
            </w:pPr>
            <w:r w:rsidRPr="009B7B35">
              <w:rPr>
                <w:rFonts w:cs="Arial"/>
                <w:b/>
                <w:bCs/>
                <w:lang w:eastAsia="en-US"/>
              </w:rPr>
              <w:t>AO4</w:t>
            </w:r>
          </w:p>
          <w:p w14:paraId="44EB5FA2" w14:textId="77777777" w:rsidR="00BE36FB" w:rsidRPr="009B7B35" w:rsidRDefault="00BE36FB" w:rsidP="001A7107">
            <w:pPr>
              <w:pStyle w:val="TableText"/>
              <w:rPr>
                <w:rFonts w:cs="Arial"/>
                <w:lang w:eastAsia="en-US"/>
              </w:rPr>
            </w:pPr>
            <w:r w:rsidRPr="009B7B35">
              <w:rPr>
                <w:rFonts w:cs="Arial"/>
                <w:lang w:eastAsia="en-US"/>
              </w:rPr>
              <w:t>Site cover including any outdoor storage area does not exceed 80% of the total site area.</w:t>
            </w:r>
          </w:p>
        </w:tc>
      </w:tr>
      <w:tr w:rsidR="00BE36FB" w:rsidRPr="009B7B35" w14:paraId="248574AA" w14:textId="77777777" w:rsidTr="001A7107">
        <w:tc>
          <w:tcPr>
            <w:tcW w:w="4678" w:type="dxa"/>
            <w:hideMark/>
          </w:tcPr>
          <w:p w14:paraId="3BF2FEE1" w14:textId="77777777" w:rsidR="00BE36FB" w:rsidRPr="009B7B35" w:rsidRDefault="00BE36FB" w:rsidP="001A7107">
            <w:pPr>
              <w:pStyle w:val="TableText"/>
              <w:rPr>
                <w:rFonts w:cs="Arial"/>
                <w:b/>
                <w:bCs/>
                <w:lang w:eastAsia="en-US"/>
              </w:rPr>
            </w:pPr>
            <w:r w:rsidRPr="009B7B35">
              <w:rPr>
                <w:rFonts w:cs="Arial"/>
                <w:b/>
                <w:bCs/>
                <w:lang w:eastAsia="en-US"/>
              </w:rPr>
              <w:t>PO5</w:t>
            </w:r>
          </w:p>
          <w:p w14:paraId="7428DF4B" w14:textId="77777777" w:rsidR="00BE36FB" w:rsidRPr="009B7B35" w:rsidRDefault="00BE36FB" w:rsidP="001A7107">
            <w:pPr>
              <w:pStyle w:val="TableText"/>
              <w:rPr>
                <w:rFonts w:cs="Arial"/>
                <w:lang w:eastAsia="en-US"/>
              </w:rPr>
            </w:pPr>
            <w:r w:rsidRPr="009B7B35">
              <w:rPr>
                <w:rFonts w:cs="Arial"/>
                <w:lang w:eastAsia="en-US"/>
              </w:rPr>
              <w:t>Buildings, structures and industrial activities are setback from the road frontage to mitigate the impact of activities on the streetscape.</w:t>
            </w:r>
          </w:p>
        </w:tc>
        <w:tc>
          <w:tcPr>
            <w:tcW w:w="4678" w:type="dxa"/>
            <w:hideMark/>
          </w:tcPr>
          <w:p w14:paraId="5F0B2D1E" w14:textId="77777777" w:rsidR="00BE36FB" w:rsidRPr="009B7B35" w:rsidRDefault="00BE36FB" w:rsidP="001A7107">
            <w:pPr>
              <w:pStyle w:val="TableText"/>
              <w:rPr>
                <w:rFonts w:cs="Arial"/>
                <w:b/>
                <w:bCs/>
                <w:lang w:eastAsia="en-US"/>
              </w:rPr>
            </w:pPr>
            <w:r w:rsidRPr="009B7B35">
              <w:rPr>
                <w:rFonts w:cs="Arial"/>
                <w:b/>
                <w:bCs/>
                <w:lang w:eastAsia="en-US"/>
              </w:rPr>
              <w:t>AO5</w:t>
            </w:r>
          </w:p>
          <w:p w14:paraId="4ACEAEE4" w14:textId="77777777" w:rsidR="00BE36FB" w:rsidRPr="009B7B35" w:rsidRDefault="00BE36FB" w:rsidP="001A7107">
            <w:pPr>
              <w:pStyle w:val="TableText"/>
              <w:rPr>
                <w:rFonts w:cs="Arial"/>
                <w:lang w:eastAsia="en-US"/>
              </w:rPr>
            </w:pPr>
            <w:r w:rsidRPr="009B7B35">
              <w:rPr>
                <w:rFonts w:cs="Arial"/>
                <w:lang w:eastAsia="en-US"/>
              </w:rPr>
              <w:t xml:space="preserve">Buildings, structures and industrial activity areas are setback a minimum of: </w:t>
            </w:r>
          </w:p>
          <w:p w14:paraId="7618363E" w14:textId="77777777" w:rsidR="00BE36FB" w:rsidRPr="009B7B35" w:rsidRDefault="00BE36FB" w:rsidP="00BE36FB">
            <w:pPr>
              <w:pStyle w:val="TableText"/>
              <w:numPr>
                <w:ilvl w:val="0"/>
                <w:numId w:val="201"/>
              </w:numPr>
              <w:rPr>
                <w:rFonts w:cs="Arial"/>
                <w:lang w:eastAsia="en-US"/>
              </w:rPr>
            </w:pPr>
            <w:r w:rsidRPr="009B7B35">
              <w:rPr>
                <w:rFonts w:cs="Arial"/>
                <w:lang w:eastAsia="en-US"/>
              </w:rPr>
              <w:t>5m for land on a sub–arterial or arterial road, and</w:t>
            </w:r>
          </w:p>
          <w:p w14:paraId="19E5EB6D" w14:textId="77777777" w:rsidR="00BE36FB" w:rsidRPr="009B7B35" w:rsidRDefault="00BE36FB" w:rsidP="00BE36FB">
            <w:pPr>
              <w:pStyle w:val="TableText"/>
              <w:numPr>
                <w:ilvl w:val="0"/>
                <w:numId w:val="201"/>
              </w:numPr>
              <w:rPr>
                <w:rFonts w:cs="Arial"/>
                <w:lang w:eastAsia="en-US"/>
              </w:rPr>
            </w:pPr>
            <w:r w:rsidRPr="009B7B35">
              <w:rPr>
                <w:rFonts w:cs="Arial"/>
                <w:lang w:eastAsia="en-US"/>
              </w:rPr>
              <w:t>3m for land on a road other than a sub–arterial or arterial road.</w:t>
            </w:r>
          </w:p>
        </w:tc>
      </w:tr>
      <w:tr w:rsidR="00BE36FB" w:rsidRPr="009B7B35" w14:paraId="63CBC86C" w14:textId="77777777" w:rsidTr="001A7107">
        <w:tc>
          <w:tcPr>
            <w:tcW w:w="9356" w:type="dxa"/>
            <w:gridSpan w:val="2"/>
            <w:shd w:val="clear" w:color="auto" w:fill="BFBFBF" w:themeFill="background1" w:themeFillShade="BF"/>
          </w:tcPr>
          <w:p w14:paraId="2ED95CD9"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Site area (if involving building work)</w:t>
            </w:r>
          </w:p>
        </w:tc>
      </w:tr>
      <w:tr w:rsidR="00BE36FB" w:rsidRPr="009B7B35" w14:paraId="3342BDBC" w14:textId="77777777" w:rsidTr="001A7107">
        <w:tc>
          <w:tcPr>
            <w:tcW w:w="4678" w:type="dxa"/>
            <w:hideMark/>
          </w:tcPr>
          <w:p w14:paraId="1BD4BE0A" w14:textId="77777777" w:rsidR="00BE36FB" w:rsidRPr="009B7B35" w:rsidRDefault="00BE36FB" w:rsidP="001A7107">
            <w:pPr>
              <w:pStyle w:val="TableText"/>
              <w:rPr>
                <w:rFonts w:cs="Arial"/>
                <w:b/>
                <w:bCs/>
                <w:lang w:eastAsia="en-US"/>
              </w:rPr>
            </w:pPr>
            <w:r w:rsidRPr="009B7B35">
              <w:rPr>
                <w:rFonts w:cs="Arial"/>
                <w:b/>
                <w:bCs/>
                <w:lang w:eastAsia="en-US"/>
              </w:rPr>
              <w:t>PO6</w:t>
            </w:r>
          </w:p>
          <w:p w14:paraId="4B8B4133" w14:textId="77777777" w:rsidR="00BE36FB" w:rsidRPr="009B7B35" w:rsidRDefault="00BE36FB" w:rsidP="001A7107">
            <w:pPr>
              <w:pStyle w:val="TableText"/>
              <w:rPr>
                <w:rFonts w:cs="Arial"/>
                <w:lang w:eastAsia="en-US"/>
              </w:rPr>
            </w:pPr>
            <w:r w:rsidRPr="009B7B35">
              <w:rPr>
                <w:rFonts w:cs="Arial"/>
                <w:lang w:eastAsia="en-US"/>
              </w:rPr>
              <w:t xml:space="preserve">Development has sufficient area, frontage and buffers to accommodate the following: </w:t>
            </w:r>
          </w:p>
          <w:p w14:paraId="38512AE1" w14:textId="77777777" w:rsidR="00BE36FB" w:rsidRPr="009B7B35" w:rsidRDefault="00BE36FB" w:rsidP="00BE36FB">
            <w:pPr>
              <w:pStyle w:val="TableText"/>
              <w:numPr>
                <w:ilvl w:val="0"/>
                <w:numId w:val="202"/>
              </w:numPr>
              <w:rPr>
                <w:rFonts w:cs="Arial"/>
                <w:lang w:eastAsia="en-US"/>
              </w:rPr>
            </w:pPr>
            <w:r w:rsidRPr="009B7B35">
              <w:rPr>
                <w:rFonts w:cs="Arial"/>
                <w:lang w:eastAsia="en-US"/>
              </w:rPr>
              <w:t>the building or buildings and associated storage areas (e.g. stockpiles)</w:t>
            </w:r>
          </w:p>
          <w:p w14:paraId="1CE6BC0D" w14:textId="77777777" w:rsidR="00BE36FB" w:rsidRPr="009B7B35" w:rsidRDefault="00BE36FB" w:rsidP="00BE36FB">
            <w:pPr>
              <w:pStyle w:val="TableText"/>
              <w:numPr>
                <w:ilvl w:val="0"/>
                <w:numId w:val="202"/>
              </w:numPr>
              <w:rPr>
                <w:rFonts w:cs="Arial"/>
                <w:lang w:eastAsia="en-US"/>
              </w:rPr>
            </w:pPr>
            <w:r w:rsidRPr="009B7B35">
              <w:rPr>
                <w:rFonts w:cs="Arial"/>
                <w:lang w:eastAsia="en-US"/>
              </w:rPr>
              <w:t>associated car parking areas located in a safe and accessible area</w:t>
            </w:r>
          </w:p>
          <w:p w14:paraId="5AC90F0B" w14:textId="77777777" w:rsidR="00BE36FB" w:rsidRPr="009B7B35" w:rsidRDefault="00BE36FB" w:rsidP="00BE36FB">
            <w:pPr>
              <w:pStyle w:val="TableText"/>
              <w:numPr>
                <w:ilvl w:val="0"/>
                <w:numId w:val="202"/>
              </w:numPr>
              <w:rPr>
                <w:rFonts w:cs="Arial"/>
                <w:lang w:eastAsia="en-US"/>
              </w:rPr>
            </w:pPr>
            <w:r w:rsidRPr="009B7B35">
              <w:rPr>
                <w:rFonts w:cs="Arial"/>
                <w:lang w:eastAsia="en-US"/>
              </w:rPr>
              <w:t>on site movement of delivery and service vehicles</w:t>
            </w:r>
          </w:p>
          <w:p w14:paraId="6E530E68" w14:textId="77777777" w:rsidR="00BE36FB" w:rsidRPr="009B7B35" w:rsidRDefault="00BE36FB" w:rsidP="00BE36FB">
            <w:pPr>
              <w:pStyle w:val="TableText"/>
              <w:numPr>
                <w:ilvl w:val="0"/>
                <w:numId w:val="202"/>
              </w:numPr>
              <w:rPr>
                <w:rFonts w:cs="Arial"/>
                <w:lang w:eastAsia="en-US"/>
              </w:rPr>
            </w:pPr>
            <w:r w:rsidRPr="009B7B35">
              <w:rPr>
                <w:rFonts w:cs="Arial"/>
                <w:lang w:eastAsia="en-US"/>
              </w:rPr>
              <w:t>separation of medium impact uses to adjoining non industrial land uses</w:t>
            </w:r>
          </w:p>
          <w:p w14:paraId="035C9DD3" w14:textId="77777777" w:rsidR="00BE36FB" w:rsidRPr="009B7B35" w:rsidRDefault="00BE36FB" w:rsidP="00BE36FB">
            <w:pPr>
              <w:pStyle w:val="TableText"/>
              <w:numPr>
                <w:ilvl w:val="0"/>
                <w:numId w:val="202"/>
              </w:numPr>
              <w:rPr>
                <w:rFonts w:cs="Arial"/>
                <w:lang w:eastAsia="en-US"/>
              </w:rPr>
            </w:pPr>
            <w:r w:rsidRPr="009B7B35">
              <w:rPr>
                <w:rFonts w:cs="Arial"/>
                <w:lang w:eastAsia="en-US"/>
              </w:rPr>
              <w:t>vehicle access, and</w:t>
            </w:r>
          </w:p>
          <w:p w14:paraId="131F6CD0" w14:textId="77777777" w:rsidR="00BE36FB" w:rsidRPr="009B7B35" w:rsidRDefault="00BE36FB" w:rsidP="00BE36FB">
            <w:pPr>
              <w:pStyle w:val="TableText"/>
              <w:numPr>
                <w:ilvl w:val="0"/>
                <w:numId w:val="202"/>
              </w:numPr>
              <w:rPr>
                <w:rFonts w:cs="Arial"/>
                <w:lang w:eastAsia="en-US"/>
              </w:rPr>
            </w:pPr>
            <w:r w:rsidRPr="009B7B35">
              <w:rPr>
                <w:rFonts w:cs="Arial"/>
                <w:lang w:eastAsia="en-US"/>
              </w:rPr>
              <w:t>landscaping.</w:t>
            </w:r>
          </w:p>
        </w:tc>
        <w:tc>
          <w:tcPr>
            <w:tcW w:w="4678" w:type="dxa"/>
          </w:tcPr>
          <w:p w14:paraId="379E3424" w14:textId="77777777" w:rsidR="00BE36FB" w:rsidRPr="009B7B35" w:rsidRDefault="00BE36FB" w:rsidP="001A7107">
            <w:pPr>
              <w:pStyle w:val="TableText"/>
              <w:rPr>
                <w:rFonts w:cs="Arial"/>
                <w:b/>
                <w:bCs/>
                <w:lang w:eastAsia="en-US"/>
              </w:rPr>
            </w:pPr>
            <w:r w:rsidRPr="009B7B35">
              <w:rPr>
                <w:rFonts w:cs="Arial"/>
                <w:b/>
                <w:bCs/>
                <w:lang w:eastAsia="en-US"/>
              </w:rPr>
              <w:t>AO6</w:t>
            </w:r>
          </w:p>
          <w:p w14:paraId="4B4314FB" w14:textId="77777777" w:rsidR="00BE36FB" w:rsidRPr="009B7B35" w:rsidRDefault="00BE36FB" w:rsidP="001A7107">
            <w:pPr>
              <w:pStyle w:val="TableText"/>
              <w:rPr>
                <w:rFonts w:cs="Arial"/>
                <w:lang w:eastAsia="en-US"/>
              </w:rPr>
            </w:pPr>
            <w:r w:rsidRPr="009B7B35">
              <w:rPr>
                <w:rFonts w:cs="Arial"/>
                <w:lang w:eastAsia="en-US"/>
              </w:rPr>
              <w:t>Premises for the following uses has a minimum site area, frontage and buffers as follows:</w:t>
            </w:r>
          </w:p>
          <w:p w14:paraId="6788BB18" w14:textId="77777777" w:rsidR="00BE36FB" w:rsidRPr="009B7B35" w:rsidRDefault="00BE36FB" w:rsidP="00BE36FB">
            <w:pPr>
              <w:pStyle w:val="TableText"/>
              <w:numPr>
                <w:ilvl w:val="0"/>
                <w:numId w:val="169"/>
              </w:numPr>
              <w:rPr>
                <w:rFonts w:cs="Arial"/>
                <w:lang w:eastAsia="en-US"/>
              </w:rPr>
            </w:pPr>
            <w:r w:rsidRPr="009B7B35">
              <w:rPr>
                <w:rFonts w:cs="Arial"/>
                <w:lang w:eastAsia="en-US"/>
              </w:rPr>
              <w:t>medium impact industry, renewable energy facility, major electricity infrastructure:</w:t>
            </w:r>
          </w:p>
          <w:p w14:paraId="037E86BA" w14:textId="77777777" w:rsidR="00BE36FB" w:rsidRPr="009B7B35" w:rsidRDefault="00BE36FB" w:rsidP="00BE36FB">
            <w:pPr>
              <w:pStyle w:val="TableText"/>
              <w:numPr>
                <w:ilvl w:val="1"/>
                <w:numId w:val="169"/>
              </w:numPr>
              <w:rPr>
                <w:rFonts w:cs="Arial"/>
                <w:lang w:eastAsia="en-US"/>
              </w:rPr>
            </w:pPr>
            <w:r w:rsidRPr="009B7B35">
              <w:rPr>
                <w:rFonts w:cs="Arial"/>
                <w:lang w:eastAsia="en-US"/>
              </w:rPr>
              <w:t>4,000m</w:t>
            </w:r>
            <w:r w:rsidRPr="009B7B35">
              <w:rPr>
                <w:rFonts w:cs="Arial"/>
                <w:vertAlign w:val="superscript"/>
                <w:lang w:eastAsia="en-US"/>
              </w:rPr>
              <w:t>2</w:t>
            </w:r>
            <w:r w:rsidRPr="009B7B35">
              <w:rPr>
                <w:rFonts w:cs="Arial"/>
                <w:lang w:eastAsia="en-US"/>
              </w:rPr>
              <w:t xml:space="preserve"> site area</w:t>
            </w:r>
          </w:p>
          <w:p w14:paraId="28033C7A" w14:textId="77777777" w:rsidR="00BE36FB" w:rsidRPr="009B7B35" w:rsidRDefault="00BE36FB" w:rsidP="00BE36FB">
            <w:pPr>
              <w:pStyle w:val="TableText"/>
              <w:numPr>
                <w:ilvl w:val="1"/>
                <w:numId w:val="169"/>
              </w:numPr>
              <w:rPr>
                <w:rFonts w:cs="Arial"/>
                <w:lang w:eastAsia="en-US"/>
              </w:rPr>
            </w:pPr>
            <w:r w:rsidRPr="009B7B35">
              <w:rPr>
                <w:rFonts w:cs="Arial"/>
                <w:lang w:eastAsia="en-US"/>
              </w:rPr>
              <w:t>40m road frontage (where not a major electricity infrastructure use)</w:t>
            </w:r>
          </w:p>
          <w:p w14:paraId="1F33E2EC" w14:textId="77777777" w:rsidR="00BE36FB" w:rsidRPr="009B7B35" w:rsidRDefault="00BE36FB" w:rsidP="00BE36FB">
            <w:pPr>
              <w:pStyle w:val="TableText"/>
              <w:numPr>
                <w:ilvl w:val="1"/>
                <w:numId w:val="169"/>
              </w:numPr>
              <w:rPr>
                <w:rFonts w:cs="Arial"/>
                <w:lang w:eastAsia="en-US"/>
              </w:rPr>
            </w:pPr>
            <w:r w:rsidRPr="009B7B35">
              <w:rPr>
                <w:rFonts w:cs="Arial"/>
                <w:lang w:eastAsia="en-US"/>
              </w:rPr>
              <w:t>5m wide buffer along all site boundaries that adjoin land not included in the medium impact industry or special industry zone</w:t>
            </w:r>
          </w:p>
          <w:p w14:paraId="24953FF8" w14:textId="77777777" w:rsidR="00BE36FB" w:rsidRPr="009B7B35" w:rsidRDefault="00BE36FB" w:rsidP="00BE36FB">
            <w:pPr>
              <w:pStyle w:val="TableText"/>
              <w:numPr>
                <w:ilvl w:val="0"/>
                <w:numId w:val="169"/>
              </w:numPr>
              <w:rPr>
                <w:rFonts w:cs="Arial"/>
              </w:rPr>
            </w:pPr>
            <w:r w:rsidRPr="009B7B35">
              <w:rPr>
                <w:rFonts w:cs="Arial"/>
              </w:rPr>
              <w:t>transport depot:</w:t>
            </w:r>
          </w:p>
          <w:p w14:paraId="0CC3C478" w14:textId="77777777" w:rsidR="00BE36FB" w:rsidRPr="009B7B35" w:rsidRDefault="00BE36FB" w:rsidP="00BE36FB">
            <w:pPr>
              <w:pStyle w:val="TableText"/>
              <w:numPr>
                <w:ilvl w:val="1"/>
                <w:numId w:val="169"/>
              </w:numPr>
              <w:rPr>
                <w:rFonts w:cs="Arial"/>
              </w:rPr>
            </w:pPr>
            <w:r w:rsidRPr="009B7B35">
              <w:rPr>
                <w:rFonts w:cs="Arial"/>
              </w:rPr>
              <w:t>4,000m</w:t>
            </w:r>
            <w:r w:rsidRPr="009B7B35">
              <w:rPr>
                <w:rFonts w:cs="Arial"/>
                <w:vertAlign w:val="superscript"/>
              </w:rPr>
              <w:t>2</w:t>
            </w:r>
            <w:r w:rsidRPr="009B7B35">
              <w:rPr>
                <w:rFonts w:cs="Arial"/>
              </w:rPr>
              <w:t xml:space="preserve"> site area</w:t>
            </w:r>
          </w:p>
          <w:p w14:paraId="4D54EBFC" w14:textId="77777777" w:rsidR="00BE36FB" w:rsidRPr="009B7B35" w:rsidRDefault="00BE36FB" w:rsidP="00BE36FB">
            <w:pPr>
              <w:pStyle w:val="TableText"/>
              <w:numPr>
                <w:ilvl w:val="1"/>
                <w:numId w:val="169"/>
              </w:numPr>
              <w:rPr>
                <w:rFonts w:cs="Arial"/>
              </w:rPr>
            </w:pPr>
            <w:r w:rsidRPr="009B7B35">
              <w:rPr>
                <w:rFonts w:cs="Arial"/>
              </w:rPr>
              <w:t>40m road frontage</w:t>
            </w:r>
          </w:p>
          <w:p w14:paraId="4DEE0BD2" w14:textId="77777777" w:rsidR="00BE36FB" w:rsidRPr="009B7B35" w:rsidRDefault="00BE36FB" w:rsidP="00BE36FB">
            <w:pPr>
              <w:pStyle w:val="TableText"/>
              <w:numPr>
                <w:ilvl w:val="0"/>
                <w:numId w:val="169"/>
              </w:numPr>
              <w:rPr>
                <w:rFonts w:cs="Arial"/>
              </w:rPr>
            </w:pPr>
            <w:r w:rsidRPr="009B7B35">
              <w:rPr>
                <w:rFonts w:cs="Arial"/>
              </w:rPr>
              <w:t>service station:</w:t>
            </w:r>
          </w:p>
          <w:p w14:paraId="404858FF" w14:textId="77777777" w:rsidR="00BE36FB" w:rsidRPr="009B7B35" w:rsidRDefault="00BE36FB" w:rsidP="00BE36FB">
            <w:pPr>
              <w:pStyle w:val="TableText"/>
              <w:numPr>
                <w:ilvl w:val="1"/>
                <w:numId w:val="169"/>
              </w:numPr>
              <w:rPr>
                <w:rFonts w:cs="Arial"/>
              </w:rPr>
            </w:pPr>
            <w:r w:rsidRPr="009B7B35">
              <w:rPr>
                <w:rFonts w:cs="Arial"/>
              </w:rPr>
              <w:t>1,500m</w:t>
            </w:r>
            <w:r w:rsidRPr="009B7B35">
              <w:rPr>
                <w:rFonts w:cs="Arial"/>
                <w:vertAlign w:val="superscript"/>
              </w:rPr>
              <w:t>2</w:t>
            </w:r>
            <w:r w:rsidRPr="009B7B35">
              <w:rPr>
                <w:rFonts w:cs="Arial"/>
              </w:rPr>
              <w:t xml:space="preserve"> site area</w:t>
            </w:r>
          </w:p>
          <w:p w14:paraId="328B0315" w14:textId="77777777" w:rsidR="00BE36FB" w:rsidRPr="009B7B35" w:rsidRDefault="00BE36FB" w:rsidP="00BE36FB">
            <w:pPr>
              <w:pStyle w:val="TableText"/>
              <w:numPr>
                <w:ilvl w:val="1"/>
                <w:numId w:val="169"/>
              </w:numPr>
              <w:rPr>
                <w:rFonts w:cs="Arial"/>
              </w:rPr>
            </w:pPr>
            <w:r w:rsidRPr="009B7B35">
              <w:rPr>
                <w:rFonts w:cs="Arial"/>
              </w:rPr>
              <w:t>40m road frontage</w:t>
            </w:r>
          </w:p>
          <w:p w14:paraId="1A020B4E" w14:textId="77777777" w:rsidR="00BE36FB" w:rsidRPr="009B7B35" w:rsidRDefault="00BE36FB" w:rsidP="00BE36FB">
            <w:pPr>
              <w:pStyle w:val="TableText"/>
              <w:numPr>
                <w:ilvl w:val="0"/>
                <w:numId w:val="169"/>
              </w:numPr>
              <w:rPr>
                <w:rFonts w:cs="Arial"/>
              </w:rPr>
            </w:pPr>
            <w:r w:rsidRPr="009B7B35">
              <w:rPr>
                <w:rFonts w:cs="Arial"/>
              </w:rPr>
              <w:t>low impact industry and other uses if not elsewhere identified:</w:t>
            </w:r>
          </w:p>
          <w:p w14:paraId="5B787E89" w14:textId="77777777" w:rsidR="00BE36FB" w:rsidRPr="009B7B35" w:rsidRDefault="00BE36FB" w:rsidP="00BE36FB">
            <w:pPr>
              <w:pStyle w:val="TableText"/>
              <w:numPr>
                <w:ilvl w:val="1"/>
                <w:numId w:val="169"/>
              </w:numPr>
              <w:rPr>
                <w:rFonts w:cs="Arial"/>
              </w:rPr>
            </w:pPr>
            <w:r w:rsidRPr="009B7B35">
              <w:rPr>
                <w:rFonts w:cs="Arial"/>
              </w:rPr>
              <w:t>4,000m</w:t>
            </w:r>
            <w:r w:rsidRPr="009B7B35">
              <w:rPr>
                <w:rFonts w:cs="Arial"/>
                <w:vertAlign w:val="superscript"/>
              </w:rPr>
              <w:t>2</w:t>
            </w:r>
            <w:r w:rsidRPr="009B7B35">
              <w:rPr>
                <w:rFonts w:cs="Arial"/>
              </w:rPr>
              <w:t xml:space="preserve"> site area </w:t>
            </w:r>
          </w:p>
          <w:p w14:paraId="389B2762" w14:textId="77777777" w:rsidR="00BE36FB" w:rsidRPr="009B7B35" w:rsidRDefault="00BE36FB" w:rsidP="00BE36FB">
            <w:pPr>
              <w:pStyle w:val="TableText"/>
              <w:numPr>
                <w:ilvl w:val="1"/>
                <w:numId w:val="169"/>
              </w:numPr>
              <w:rPr>
                <w:rFonts w:cs="Arial"/>
                <w:lang w:eastAsia="en-US"/>
              </w:rPr>
            </w:pPr>
            <w:r w:rsidRPr="009B7B35">
              <w:rPr>
                <w:rFonts w:cs="Arial"/>
              </w:rPr>
              <w:t>40m road frontage.</w:t>
            </w:r>
          </w:p>
        </w:tc>
      </w:tr>
      <w:tr w:rsidR="00BE36FB" w:rsidRPr="009B7B35" w14:paraId="13D5F10B" w14:textId="77777777" w:rsidTr="001A7107">
        <w:trPr>
          <w:cantSplit/>
        </w:trPr>
        <w:tc>
          <w:tcPr>
            <w:tcW w:w="9356" w:type="dxa"/>
            <w:gridSpan w:val="2"/>
            <w:shd w:val="clear" w:color="auto" w:fill="BFBFBF" w:themeFill="background1" w:themeFillShade="BF"/>
          </w:tcPr>
          <w:p w14:paraId="227594B0"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Building design (if involving building work)</w:t>
            </w:r>
          </w:p>
        </w:tc>
      </w:tr>
      <w:tr w:rsidR="00BE36FB" w:rsidRPr="009B7B35" w14:paraId="512F9C24" w14:textId="77777777" w:rsidTr="001A7107">
        <w:trPr>
          <w:cantSplit/>
        </w:trPr>
        <w:tc>
          <w:tcPr>
            <w:tcW w:w="4678" w:type="dxa"/>
            <w:vMerge w:val="restart"/>
          </w:tcPr>
          <w:p w14:paraId="118CE2F4" w14:textId="77777777" w:rsidR="00BE36FB" w:rsidRPr="009B7B35" w:rsidRDefault="00BE36FB" w:rsidP="001A7107">
            <w:pPr>
              <w:pStyle w:val="TableText"/>
              <w:rPr>
                <w:rFonts w:cs="Arial"/>
                <w:b/>
                <w:bCs/>
                <w:lang w:eastAsia="en-US"/>
              </w:rPr>
            </w:pPr>
            <w:r w:rsidRPr="009B7B35">
              <w:rPr>
                <w:rFonts w:cs="Arial"/>
                <w:b/>
                <w:bCs/>
                <w:lang w:eastAsia="en-US"/>
              </w:rPr>
              <w:t>PO7</w:t>
            </w:r>
          </w:p>
          <w:p w14:paraId="64EB67B5" w14:textId="77777777" w:rsidR="00BE36FB" w:rsidRPr="009B7B35" w:rsidRDefault="00BE36FB" w:rsidP="001A7107">
            <w:pPr>
              <w:pStyle w:val="TableText"/>
              <w:rPr>
                <w:rFonts w:cs="Arial"/>
                <w:lang w:eastAsia="en-US"/>
              </w:rPr>
            </w:pPr>
            <w:r w:rsidRPr="009B7B35">
              <w:rPr>
                <w:rFonts w:cs="Arial"/>
                <w:lang w:eastAsia="en-US"/>
              </w:rPr>
              <w:t>Buildings include features that contribute to an attractive streetscape.</w:t>
            </w:r>
          </w:p>
        </w:tc>
        <w:tc>
          <w:tcPr>
            <w:tcW w:w="4678" w:type="dxa"/>
          </w:tcPr>
          <w:p w14:paraId="35F66604" w14:textId="77777777" w:rsidR="00BE36FB" w:rsidRPr="009B7B35" w:rsidRDefault="00BE36FB" w:rsidP="001A7107">
            <w:pPr>
              <w:pStyle w:val="TableText"/>
              <w:rPr>
                <w:rFonts w:cs="Arial"/>
                <w:b/>
                <w:bCs/>
                <w:lang w:eastAsia="en-US"/>
              </w:rPr>
            </w:pPr>
            <w:r w:rsidRPr="009B7B35">
              <w:rPr>
                <w:rFonts w:cs="Arial"/>
                <w:b/>
                <w:bCs/>
                <w:lang w:eastAsia="en-US"/>
              </w:rPr>
              <w:t>AO7.1</w:t>
            </w:r>
          </w:p>
          <w:p w14:paraId="48B48A6F" w14:textId="77777777" w:rsidR="00BE36FB" w:rsidRPr="009B7B35" w:rsidRDefault="00BE36FB" w:rsidP="001A7107">
            <w:pPr>
              <w:pStyle w:val="TableText"/>
              <w:rPr>
                <w:rFonts w:cs="Arial"/>
                <w:lang w:eastAsia="en-US"/>
              </w:rPr>
            </w:pPr>
            <w:r w:rsidRPr="009B7B35">
              <w:rPr>
                <w:rFonts w:cs="Arial"/>
                <w:lang w:eastAsia="en-US"/>
              </w:rPr>
              <w:t>The unarticulated length of external walls along a road frontage does not exceed 15m.</w:t>
            </w:r>
          </w:p>
        </w:tc>
      </w:tr>
      <w:tr w:rsidR="00BE36FB" w:rsidRPr="009B7B35" w14:paraId="28209E1A" w14:textId="77777777" w:rsidTr="001A7107">
        <w:trPr>
          <w:cantSplit/>
        </w:trPr>
        <w:tc>
          <w:tcPr>
            <w:tcW w:w="4678" w:type="dxa"/>
            <w:vMerge/>
          </w:tcPr>
          <w:p w14:paraId="2A85E66C" w14:textId="77777777" w:rsidR="00BE36FB" w:rsidRPr="009B7B35" w:rsidRDefault="00BE36FB" w:rsidP="001A7107">
            <w:pPr>
              <w:pStyle w:val="TableText"/>
              <w:rPr>
                <w:rFonts w:cs="Arial"/>
                <w:lang w:eastAsia="en-US"/>
              </w:rPr>
            </w:pPr>
          </w:p>
        </w:tc>
        <w:tc>
          <w:tcPr>
            <w:tcW w:w="4678" w:type="dxa"/>
          </w:tcPr>
          <w:p w14:paraId="6DE592CD" w14:textId="77777777" w:rsidR="00BE36FB" w:rsidRPr="009B7B35" w:rsidRDefault="00BE36FB" w:rsidP="001A7107">
            <w:pPr>
              <w:pStyle w:val="TableText"/>
              <w:rPr>
                <w:rFonts w:cs="Arial"/>
                <w:b/>
                <w:bCs/>
                <w:lang w:eastAsia="en-US"/>
              </w:rPr>
            </w:pPr>
            <w:r w:rsidRPr="009B7B35">
              <w:rPr>
                <w:rFonts w:cs="Arial"/>
                <w:b/>
                <w:bCs/>
                <w:lang w:eastAsia="en-US"/>
              </w:rPr>
              <w:t>AO7.2</w:t>
            </w:r>
          </w:p>
          <w:p w14:paraId="1B3DACF3" w14:textId="77777777" w:rsidR="00BE36FB" w:rsidRPr="009B7B35" w:rsidRDefault="00BE36FB" w:rsidP="001A7107">
            <w:pPr>
              <w:pStyle w:val="TableText"/>
              <w:rPr>
                <w:rFonts w:cs="Arial"/>
                <w:lang w:eastAsia="en-US"/>
              </w:rPr>
            </w:pPr>
            <w:r w:rsidRPr="009B7B35">
              <w:rPr>
                <w:rFonts w:cs="Arial"/>
                <w:lang w:eastAsia="en-US"/>
              </w:rPr>
              <w:t>Buildings are designed and constructed with varying façade treatments and high quality finishes such as brick, painted concrete or masonry.</w:t>
            </w:r>
          </w:p>
        </w:tc>
      </w:tr>
      <w:tr w:rsidR="00BE36FB" w:rsidRPr="009B7B35" w14:paraId="7F1C86C6" w14:textId="77777777" w:rsidTr="001A7107">
        <w:trPr>
          <w:cantSplit/>
        </w:trPr>
        <w:tc>
          <w:tcPr>
            <w:tcW w:w="4678" w:type="dxa"/>
          </w:tcPr>
          <w:p w14:paraId="065E0B4A" w14:textId="77777777" w:rsidR="00BE36FB" w:rsidRPr="009B7B35" w:rsidRDefault="00BE36FB" w:rsidP="001A7107">
            <w:pPr>
              <w:pStyle w:val="TableText"/>
              <w:rPr>
                <w:rFonts w:cs="Arial"/>
                <w:b/>
                <w:bCs/>
                <w:lang w:eastAsia="en-US"/>
              </w:rPr>
            </w:pPr>
            <w:r w:rsidRPr="009B7B35">
              <w:rPr>
                <w:rFonts w:cs="Arial"/>
                <w:b/>
                <w:bCs/>
                <w:lang w:eastAsia="en-US"/>
              </w:rPr>
              <w:t>PO8</w:t>
            </w:r>
          </w:p>
          <w:p w14:paraId="60E3C011" w14:textId="77777777" w:rsidR="00BE36FB" w:rsidRPr="009B7B35" w:rsidRDefault="00BE36FB" w:rsidP="001A7107">
            <w:pPr>
              <w:pStyle w:val="TableText"/>
              <w:rPr>
                <w:rFonts w:cs="Arial"/>
                <w:lang w:eastAsia="en-US"/>
              </w:rPr>
            </w:pPr>
            <w:r w:rsidRPr="009B7B35">
              <w:rPr>
                <w:rFonts w:cs="Arial"/>
                <w:lang w:eastAsia="en-US"/>
              </w:rPr>
              <w:t xml:space="preserve">Buildings do not incorporate glass or surfaces that are likely to reflect the sun that has the potential to cause nuisance, discomfort or hazard to any part of the city and adjoining urban areas. </w:t>
            </w:r>
          </w:p>
        </w:tc>
        <w:tc>
          <w:tcPr>
            <w:tcW w:w="4678" w:type="dxa"/>
          </w:tcPr>
          <w:p w14:paraId="1C4C3022" w14:textId="77777777" w:rsidR="00BE36FB" w:rsidRPr="009B7B35" w:rsidRDefault="00BE36FB" w:rsidP="001A7107">
            <w:pPr>
              <w:pStyle w:val="TableText"/>
              <w:rPr>
                <w:rFonts w:cs="Arial"/>
                <w:b/>
                <w:bCs/>
                <w:lang w:eastAsia="en-US"/>
              </w:rPr>
            </w:pPr>
            <w:r w:rsidRPr="009B7B35">
              <w:rPr>
                <w:rFonts w:cs="Arial"/>
                <w:b/>
                <w:bCs/>
                <w:lang w:eastAsia="en-US"/>
              </w:rPr>
              <w:t>AO8</w:t>
            </w:r>
          </w:p>
          <w:p w14:paraId="31DF47AB" w14:textId="77777777" w:rsidR="00BE36FB" w:rsidRPr="009B7B35" w:rsidRDefault="00BE36FB" w:rsidP="001A7107">
            <w:pPr>
              <w:pStyle w:val="TableText"/>
              <w:rPr>
                <w:rFonts w:cs="Arial"/>
                <w:lang w:eastAsia="en-US"/>
              </w:rPr>
            </w:pPr>
            <w:r w:rsidRPr="009B7B35">
              <w:rPr>
                <w:rFonts w:cs="Arial"/>
                <w:lang w:eastAsia="en-US"/>
              </w:rPr>
              <w:t>Any reflective glass material, metallic shade structures or other surface has:</w:t>
            </w:r>
          </w:p>
          <w:p w14:paraId="5DCD3141" w14:textId="77777777" w:rsidR="00BE36FB" w:rsidRPr="009B7B35" w:rsidRDefault="00BE36FB" w:rsidP="00BE36FB">
            <w:pPr>
              <w:pStyle w:val="TableText"/>
              <w:numPr>
                <w:ilvl w:val="0"/>
                <w:numId w:val="170"/>
              </w:numPr>
              <w:rPr>
                <w:rFonts w:cs="Arial"/>
                <w:lang w:eastAsia="en-US"/>
              </w:rPr>
            </w:pPr>
            <w:r w:rsidRPr="009B7B35">
              <w:rPr>
                <w:rFonts w:cs="Arial"/>
                <w:lang w:eastAsia="en-US"/>
              </w:rPr>
              <w:t>a level of light reflectivity that does not exceed 20</w:t>
            </w:r>
            <w:r w:rsidRPr="009B7B35">
              <w:rPr>
                <w:rFonts w:cs="Arial"/>
              </w:rPr>
              <w:t>%</w:t>
            </w:r>
            <w:r w:rsidRPr="009B7B35">
              <w:rPr>
                <w:rFonts w:cs="Arial"/>
                <w:lang w:eastAsia="en-US"/>
              </w:rPr>
              <w:t>, and</w:t>
            </w:r>
          </w:p>
          <w:p w14:paraId="23E7650E" w14:textId="77777777" w:rsidR="00BE36FB" w:rsidRPr="009B7B35" w:rsidRDefault="00BE36FB" w:rsidP="00BE36FB">
            <w:pPr>
              <w:pStyle w:val="TableText"/>
              <w:numPr>
                <w:ilvl w:val="0"/>
                <w:numId w:val="170"/>
              </w:numPr>
              <w:rPr>
                <w:rFonts w:cs="Arial"/>
                <w:lang w:eastAsia="en-US"/>
              </w:rPr>
            </w:pPr>
            <w:r w:rsidRPr="009B7B35">
              <w:rPr>
                <w:rFonts w:cs="Arial"/>
                <w:lang w:eastAsia="en-US"/>
              </w:rPr>
              <w:t>a level of heat transmission of not less than 20</w:t>
            </w:r>
            <w:r w:rsidRPr="009B7B35">
              <w:rPr>
                <w:rFonts w:cs="Arial"/>
              </w:rPr>
              <w:t>%</w:t>
            </w:r>
            <w:r w:rsidRPr="009B7B35">
              <w:rPr>
                <w:rFonts w:cs="Arial"/>
                <w:lang w:eastAsia="en-US"/>
              </w:rPr>
              <w:t>.</w:t>
            </w:r>
          </w:p>
        </w:tc>
      </w:tr>
      <w:tr w:rsidR="00BE36FB" w:rsidRPr="009B7B35" w14:paraId="42FA0268" w14:textId="77777777" w:rsidTr="001A7107">
        <w:trPr>
          <w:cantSplit/>
        </w:trPr>
        <w:tc>
          <w:tcPr>
            <w:tcW w:w="4678" w:type="dxa"/>
            <w:vMerge w:val="restart"/>
          </w:tcPr>
          <w:p w14:paraId="046B5F15" w14:textId="77777777" w:rsidR="00BE36FB" w:rsidRPr="009B7B35" w:rsidRDefault="00BE36FB" w:rsidP="001A7107">
            <w:pPr>
              <w:pStyle w:val="TableText"/>
              <w:rPr>
                <w:rFonts w:cs="Arial"/>
                <w:b/>
                <w:bCs/>
                <w:lang w:eastAsia="en-US"/>
              </w:rPr>
            </w:pPr>
            <w:r w:rsidRPr="009B7B35">
              <w:rPr>
                <w:rFonts w:cs="Arial"/>
                <w:b/>
                <w:bCs/>
                <w:lang w:eastAsia="en-US"/>
              </w:rPr>
              <w:t>PO9</w:t>
            </w:r>
          </w:p>
          <w:p w14:paraId="262B5391" w14:textId="77777777" w:rsidR="00BE36FB" w:rsidRPr="009B7B35" w:rsidRDefault="00BE36FB" w:rsidP="001A7107">
            <w:pPr>
              <w:pStyle w:val="TableText"/>
              <w:rPr>
                <w:rFonts w:cs="Arial"/>
                <w:lang w:eastAsia="en-US"/>
              </w:rPr>
            </w:pPr>
            <w:r w:rsidRPr="009B7B35">
              <w:rPr>
                <w:rFonts w:cs="Arial"/>
                <w:lang w:eastAsia="en-US"/>
              </w:rPr>
              <w:t>Building entrances are legible and safe.</w:t>
            </w:r>
          </w:p>
        </w:tc>
        <w:tc>
          <w:tcPr>
            <w:tcW w:w="4678" w:type="dxa"/>
          </w:tcPr>
          <w:p w14:paraId="67319839" w14:textId="77777777" w:rsidR="00BE36FB" w:rsidRPr="009B7B35" w:rsidRDefault="00BE36FB" w:rsidP="001A7107">
            <w:pPr>
              <w:pStyle w:val="TableText"/>
              <w:rPr>
                <w:rFonts w:cs="Arial"/>
                <w:b/>
                <w:bCs/>
                <w:lang w:eastAsia="en-US"/>
              </w:rPr>
            </w:pPr>
            <w:r w:rsidRPr="009B7B35">
              <w:rPr>
                <w:rFonts w:cs="Arial"/>
                <w:b/>
                <w:bCs/>
                <w:lang w:eastAsia="en-US"/>
              </w:rPr>
              <w:t>AO9.1</w:t>
            </w:r>
          </w:p>
          <w:p w14:paraId="74A9A589" w14:textId="77777777" w:rsidR="00BE36FB" w:rsidRPr="009B7B35" w:rsidRDefault="00BE36FB" w:rsidP="001A7107">
            <w:pPr>
              <w:pStyle w:val="TableText"/>
              <w:rPr>
                <w:rFonts w:cs="Arial"/>
                <w:lang w:eastAsia="en-US"/>
              </w:rPr>
            </w:pPr>
            <w:r w:rsidRPr="009B7B35">
              <w:rPr>
                <w:rFonts w:cs="Arial"/>
                <w:lang w:eastAsia="en-US"/>
              </w:rPr>
              <w:t>The main entry to the premises is:</w:t>
            </w:r>
          </w:p>
          <w:p w14:paraId="2B406904" w14:textId="77777777" w:rsidR="00BE36FB" w:rsidRPr="009B7B35" w:rsidRDefault="00BE36FB" w:rsidP="00BE36FB">
            <w:pPr>
              <w:pStyle w:val="TableText"/>
              <w:numPr>
                <w:ilvl w:val="0"/>
                <w:numId w:val="203"/>
              </w:numPr>
              <w:ind w:left="652" w:hanging="652"/>
              <w:rPr>
                <w:rFonts w:cs="Arial"/>
                <w:lang w:eastAsia="en-US"/>
              </w:rPr>
            </w:pPr>
            <w:r w:rsidRPr="009B7B35">
              <w:rPr>
                <w:rFonts w:cs="Arial"/>
                <w:lang w:eastAsia="en-US"/>
              </w:rPr>
              <w:t>easily identifiable and directly accessible from the street with a clearly defined entrance point, and</w:t>
            </w:r>
          </w:p>
          <w:p w14:paraId="610975D3" w14:textId="77777777" w:rsidR="00BE36FB" w:rsidRPr="009B7B35" w:rsidRDefault="00BE36FB" w:rsidP="00BE36FB">
            <w:pPr>
              <w:pStyle w:val="TableText"/>
              <w:numPr>
                <w:ilvl w:val="0"/>
                <w:numId w:val="203"/>
              </w:numPr>
              <w:ind w:left="652" w:hanging="652"/>
              <w:rPr>
                <w:rFonts w:cs="Arial"/>
                <w:lang w:eastAsia="en-US"/>
              </w:rPr>
            </w:pPr>
            <w:r w:rsidRPr="009B7B35">
              <w:rPr>
                <w:rFonts w:cs="Arial"/>
                <w:lang w:eastAsia="en-US"/>
              </w:rPr>
              <w:t>separate to vehicle access points.</w:t>
            </w:r>
          </w:p>
        </w:tc>
      </w:tr>
      <w:tr w:rsidR="00BE36FB" w:rsidRPr="009B7B35" w14:paraId="354ECD7A" w14:textId="77777777" w:rsidTr="001A7107">
        <w:trPr>
          <w:cantSplit/>
        </w:trPr>
        <w:tc>
          <w:tcPr>
            <w:tcW w:w="4678" w:type="dxa"/>
            <w:vMerge/>
          </w:tcPr>
          <w:p w14:paraId="0C3B390F" w14:textId="77777777" w:rsidR="00BE36FB" w:rsidRPr="009B7B35" w:rsidRDefault="00BE36FB" w:rsidP="001A7107">
            <w:pPr>
              <w:pStyle w:val="TableText"/>
              <w:rPr>
                <w:rFonts w:cs="Arial"/>
                <w:lang w:eastAsia="en-US"/>
              </w:rPr>
            </w:pPr>
          </w:p>
        </w:tc>
        <w:tc>
          <w:tcPr>
            <w:tcW w:w="4678" w:type="dxa"/>
          </w:tcPr>
          <w:p w14:paraId="5708AFCB" w14:textId="77777777" w:rsidR="00BE36FB" w:rsidRPr="009B7B35" w:rsidRDefault="00BE36FB" w:rsidP="001A7107">
            <w:pPr>
              <w:pStyle w:val="TableText"/>
              <w:rPr>
                <w:rFonts w:cs="Arial"/>
                <w:b/>
                <w:bCs/>
                <w:lang w:eastAsia="en-US"/>
              </w:rPr>
            </w:pPr>
            <w:r w:rsidRPr="009B7B35">
              <w:rPr>
                <w:rFonts w:cs="Arial"/>
                <w:b/>
                <w:bCs/>
                <w:lang w:eastAsia="en-US"/>
              </w:rPr>
              <w:t>AO9.2</w:t>
            </w:r>
          </w:p>
          <w:p w14:paraId="034CD332" w14:textId="77777777" w:rsidR="00BE36FB" w:rsidRPr="009B7B35" w:rsidRDefault="00BE36FB" w:rsidP="001A7107">
            <w:pPr>
              <w:pStyle w:val="TableText"/>
              <w:rPr>
                <w:rFonts w:cs="Arial"/>
                <w:lang w:eastAsia="en-US"/>
              </w:rPr>
            </w:pPr>
            <w:r w:rsidRPr="009B7B35">
              <w:rPr>
                <w:rFonts w:cs="Arial"/>
                <w:lang w:eastAsia="en-US"/>
              </w:rPr>
              <w:t>Each building or tenancy is provided with a highly visible street and unit number.</w:t>
            </w:r>
          </w:p>
        </w:tc>
      </w:tr>
      <w:tr w:rsidR="00BE36FB" w:rsidRPr="009B7B35" w14:paraId="0830CB0C" w14:textId="77777777" w:rsidTr="001A7107">
        <w:trPr>
          <w:cantSplit/>
        </w:trPr>
        <w:tc>
          <w:tcPr>
            <w:tcW w:w="4678" w:type="dxa"/>
            <w:vMerge/>
          </w:tcPr>
          <w:p w14:paraId="2B2D9086" w14:textId="77777777" w:rsidR="00BE36FB" w:rsidRPr="009B7B35" w:rsidRDefault="00BE36FB" w:rsidP="001A7107">
            <w:pPr>
              <w:pStyle w:val="TableText"/>
              <w:rPr>
                <w:rFonts w:cs="Arial"/>
                <w:lang w:eastAsia="en-US"/>
              </w:rPr>
            </w:pPr>
          </w:p>
        </w:tc>
        <w:tc>
          <w:tcPr>
            <w:tcW w:w="4678" w:type="dxa"/>
          </w:tcPr>
          <w:p w14:paraId="0E0E2EF0" w14:textId="77777777" w:rsidR="00BE36FB" w:rsidRPr="009B7B35" w:rsidRDefault="00BE36FB" w:rsidP="001A7107">
            <w:pPr>
              <w:pStyle w:val="TableText"/>
              <w:rPr>
                <w:rFonts w:cs="Arial"/>
                <w:b/>
                <w:bCs/>
                <w:lang w:eastAsia="en-US"/>
              </w:rPr>
            </w:pPr>
            <w:r w:rsidRPr="009B7B35">
              <w:rPr>
                <w:rFonts w:cs="Arial"/>
                <w:b/>
                <w:bCs/>
                <w:lang w:eastAsia="en-US"/>
              </w:rPr>
              <w:t>AO9.3</w:t>
            </w:r>
          </w:p>
          <w:p w14:paraId="512B60E3" w14:textId="77777777" w:rsidR="00BE36FB" w:rsidRPr="009B7B35" w:rsidRDefault="00BE36FB" w:rsidP="001A7107">
            <w:pPr>
              <w:pStyle w:val="TableText"/>
              <w:rPr>
                <w:rFonts w:cs="Arial"/>
                <w:lang w:eastAsia="en-US"/>
              </w:rPr>
            </w:pPr>
            <w:r w:rsidRPr="009B7B35">
              <w:rPr>
                <w:rFonts w:cs="Arial"/>
                <w:lang w:eastAsia="en-US"/>
              </w:rPr>
              <w:t>Premises are provided with external lighting sufficient to provide safe ingress and egress for site users.</w:t>
            </w:r>
          </w:p>
        </w:tc>
      </w:tr>
      <w:tr w:rsidR="00BE36FB" w:rsidRPr="009B7B35" w14:paraId="14401342" w14:textId="77777777" w:rsidTr="001A7107">
        <w:trPr>
          <w:cantSplit/>
        </w:trPr>
        <w:tc>
          <w:tcPr>
            <w:tcW w:w="4678" w:type="dxa"/>
            <w:vMerge/>
          </w:tcPr>
          <w:p w14:paraId="52EA3206" w14:textId="77777777" w:rsidR="00BE36FB" w:rsidRPr="009B7B35" w:rsidRDefault="00BE36FB" w:rsidP="001A7107">
            <w:pPr>
              <w:pStyle w:val="TableText"/>
              <w:rPr>
                <w:rFonts w:cs="Arial"/>
                <w:lang w:eastAsia="en-US"/>
              </w:rPr>
            </w:pPr>
          </w:p>
        </w:tc>
        <w:tc>
          <w:tcPr>
            <w:tcW w:w="4678" w:type="dxa"/>
          </w:tcPr>
          <w:p w14:paraId="7D8DDF86" w14:textId="77777777" w:rsidR="00BE36FB" w:rsidRPr="009B7B35" w:rsidRDefault="00BE36FB" w:rsidP="001A7107">
            <w:pPr>
              <w:pStyle w:val="TableText"/>
              <w:rPr>
                <w:rFonts w:cs="Arial"/>
                <w:b/>
                <w:bCs/>
                <w:lang w:eastAsia="en-US"/>
              </w:rPr>
            </w:pPr>
            <w:r w:rsidRPr="009B7B35">
              <w:rPr>
                <w:rFonts w:cs="Arial"/>
                <w:b/>
                <w:bCs/>
                <w:lang w:eastAsia="en-US"/>
              </w:rPr>
              <w:t>AO9.4</w:t>
            </w:r>
          </w:p>
          <w:p w14:paraId="46C52598" w14:textId="77777777" w:rsidR="00BE36FB" w:rsidRPr="009B7B35" w:rsidRDefault="00BE36FB" w:rsidP="001A7107">
            <w:pPr>
              <w:pStyle w:val="TableText"/>
              <w:rPr>
                <w:rFonts w:cs="Arial"/>
                <w:lang w:eastAsia="en-US"/>
              </w:rPr>
            </w:pPr>
            <w:r w:rsidRPr="009B7B35">
              <w:rPr>
                <w:rFonts w:cs="Arial"/>
                <w:lang w:eastAsia="en-US"/>
              </w:rPr>
              <w:t>Office space is sited and orientated towards the principal road frontage of a site.</w:t>
            </w:r>
          </w:p>
        </w:tc>
      </w:tr>
      <w:tr w:rsidR="00BE36FB" w:rsidRPr="009B7B35" w14:paraId="320F6BE7" w14:textId="77777777" w:rsidTr="001A7107">
        <w:trPr>
          <w:cantSplit/>
        </w:trPr>
        <w:tc>
          <w:tcPr>
            <w:tcW w:w="9356" w:type="dxa"/>
            <w:gridSpan w:val="2"/>
            <w:shd w:val="clear" w:color="auto" w:fill="BFBFBF" w:themeFill="background1" w:themeFillShade="BF"/>
          </w:tcPr>
          <w:p w14:paraId="792F990C" w14:textId="77777777" w:rsidR="00BE36FB" w:rsidRPr="009B7B35" w:rsidRDefault="00BE36FB" w:rsidP="001A7107">
            <w:pPr>
              <w:pStyle w:val="TableText"/>
              <w:rPr>
                <w:rFonts w:cs="Arial"/>
                <w:b/>
                <w:bCs/>
                <w:lang w:eastAsia="en-US"/>
              </w:rPr>
            </w:pPr>
            <w:r w:rsidRPr="009B7B35">
              <w:rPr>
                <w:rFonts w:cs="Arial"/>
                <w:b/>
                <w:bCs/>
                <w:lang w:eastAsia="en-US"/>
              </w:rPr>
              <w:t>Amenity</w:t>
            </w:r>
          </w:p>
        </w:tc>
      </w:tr>
      <w:tr w:rsidR="00BE36FB" w:rsidRPr="009B7B35" w14:paraId="1B97978C" w14:textId="77777777" w:rsidTr="001A7107">
        <w:tc>
          <w:tcPr>
            <w:tcW w:w="4678" w:type="dxa"/>
          </w:tcPr>
          <w:p w14:paraId="14AB5137" w14:textId="77777777" w:rsidR="00BE36FB" w:rsidRPr="009B7B35" w:rsidRDefault="00BE36FB" w:rsidP="001A7107">
            <w:pPr>
              <w:pStyle w:val="TableText"/>
              <w:rPr>
                <w:rFonts w:cs="Arial"/>
                <w:b/>
                <w:bCs/>
                <w:lang w:eastAsia="en-US"/>
              </w:rPr>
            </w:pPr>
            <w:r w:rsidRPr="009B7B35">
              <w:rPr>
                <w:rFonts w:cs="Arial"/>
                <w:b/>
                <w:bCs/>
                <w:lang w:eastAsia="en-US"/>
              </w:rPr>
              <w:t>PO10</w:t>
            </w:r>
          </w:p>
          <w:p w14:paraId="0B576BB9" w14:textId="77777777" w:rsidR="00BE36FB" w:rsidRPr="009B7B35" w:rsidRDefault="00BE36FB" w:rsidP="001A7107">
            <w:pPr>
              <w:pStyle w:val="TableText"/>
              <w:rPr>
                <w:rFonts w:cs="Arial"/>
                <w:lang w:eastAsia="en-US"/>
              </w:rPr>
            </w:pPr>
            <w:r w:rsidRPr="009B7B35">
              <w:rPr>
                <w:rFonts w:cs="Arial"/>
                <w:lang w:eastAsia="en-US"/>
              </w:rPr>
              <w:t>Utility elements (including refuse areas, outdoor storage, plant and equipment, loading and unloading areas) are screened from view from the street and adjoining any land in another zone.</w:t>
            </w:r>
          </w:p>
        </w:tc>
        <w:tc>
          <w:tcPr>
            <w:tcW w:w="4678" w:type="dxa"/>
          </w:tcPr>
          <w:p w14:paraId="33CC4949" w14:textId="77777777" w:rsidR="00BE36FB" w:rsidRPr="009B7B35" w:rsidRDefault="00BE36FB" w:rsidP="001A7107">
            <w:pPr>
              <w:pStyle w:val="TableText"/>
              <w:rPr>
                <w:rFonts w:cs="Arial"/>
                <w:b/>
                <w:bCs/>
                <w:lang w:eastAsia="en-US"/>
              </w:rPr>
            </w:pPr>
            <w:r w:rsidRPr="009B7B35">
              <w:rPr>
                <w:rFonts w:cs="Arial"/>
                <w:b/>
                <w:bCs/>
                <w:lang w:eastAsia="en-US"/>
              </w:rPr>
              <w:t>AO10</w:t>
            </w:r>
          </w:p>
          <w:p w14:paraId="3F244E63" w14:textId="77777777" w:rsidR="00BE36FB" w:rsidRPr="009B7B35" w:rsidRDefault="00BE36FB" w:rsidP="001A7107">
            <w:pPr>
              <w:pStyle w:val="TableText"/>
              <w:rPr>
                <w:rFonts w:cs="Arial"/>
                <w:lang w:eastAsia="en-US"/>
              </w:rPr>
            </w:pPr>
            <w:r w:rsidRPr="009B7B35">
              <w:rPr>
                <w:rFonts w:cs="Arial"/>
                <w:lang w:eastAsia="en-US"/>
              </w:rPr>
              <w:t>Utility elements are:</w:t>
            </w:r>
          </w:p>
          <w:p w14:paraId="6EDFEFC6" w14:textId="77777777" w:rsidR="00BE36FB" w:rsidRPr="009B7B35" w:rsidRDefault="00BE36FB" w:rsidP="00BE36FB">
            <w:pPr>
              <w:pStyle w:val="TableText"/>
              <w:numPr>
                <w:ilvl w:val="0"/>
                <w:numId w:val="204"/>
              </w:numPr>
              <w:ind w:left="652" w:hanging="652"/>
              <w:rPr>
                <w:rFonts w:cs="Arial"/>
                <w:lang w:eastAsia="en-US"/>
              </w:rPr>
            </w:pPr>
            <w:r w:rsidRPr="009B7B35">
              <w:rPr>
                <w:rFonts w:cs="Arial"/>
                <w:lang w:eastAsia="en-US"/>
              </w:rPr>
              <w:t>located within or behind the building, or</w:t>
            </w:r>
          </w:p>
          <w:p w14:paraId="1FFE6788" w14:textId="77777777" w:rsidR="00BE36FB" w:rsidRPr="009B7B35" w:rsidRDefault="00BE36FB" w:rsidP="00BE36FB">
            <w:pPr>
              <w:pStyle w:val="TableText"/>
              <w:numPr>
                <w:ilvl w:val="0"/>
                <w:numId w:val="204"/>
              </w:numPr>
              <w:ind w:left="652" w:hanging="652"/>
              <w:rPr>
                <w:rFonts w:cs="Arial"/>
                <w:lang w:eastAsia="en-US"/>
              </w:rPr>
            </w:pPr>
            <w:r w:rsidRPr="009B7B35">
              <w:rPr>
                <w:rFonts w:cs="Arial"/>
                <w:lang w:eastAsia="en-US"/>
              </w:rPr>
              <w:t>screened by a 1.8m high solid wall or fence, or</w:t>
            </w:r>
          </w:p>
          <w:p w14:paraId="7DD695C2" w14:textId="77777777" w:rsidR="00BE36FB" w:rsidRPr="009B7B35" w:rsidRDefault="00BE36FB" w:rsidP="00BE36FB">
            <w:pPr>
              <w:pStyle w:val="TableText"/>
              <w:numPr>
                <w:ilvl w:val="0"/>
                <w:numId w:val="204"/>
              </w:numPr>
              <w:ind w:left="652" w:hanging="652"/>
              <w:rPr>
                <w:rFonts w:cs="Arial"/>
                <w:lang w:eastAsia="en-US"/>
              </w:rPr>
            </w:pPr>
            <w:r w:rsidRPr="009B7B35">
              <w:rPr>
                <w:rFonts w:cs="Arial"/>
                <w:lang w:eastAsia="en-US"/>
              </w:rPr>
              <w:t>behind landscaping having the same screening effect as a 1.8m screen fence.</w:t>
            </w:r>
          </w:p>
          <w:p w14:paraId="2C3C2D03" w14:textId="77777777" w:rsidR="00BE36FB" w:rsidRPr="009B7B35" w:rsidRDefault="00BE36FB" w:rsidP="001A7107">
            <w:pPr>
              <w:pStyle w:val="Notes"/>
              <w:rPr>
                <w:rFonts w:cs="Arial"/>
                <w:sz w:val="20"/>
                <w:szCs w:val="20"/>
                <w:lang w:eastAsia="en-US"/>
              </w:rPr>
            </w:pPr>
            <w:r w:rsidRPr="009B7B35">
              <w:rPr>
                <w:rFonts w:cs="Arial"/>
                <w:sz w:val="20"/>
                <w:szCs w:val="20"/>
                <w:lang w:eastAsia="en-US"/>
              </w:rPr>
              <w:t>Note—</w:t>
            </w:r>
            <w:r w:rsidRPr="009B7B35">
              <w:rPr>
                <w:rFonts w:cs="Arial"/>
                <w:sz w:val="20"/>
                <w:szCs w:val="20"/>
              </w:rPr>
              <w:t>S</w:t>
            </w:r>
            <w:r w:rsidRPr="009B7B35">
              <w:rPr>
                <w:rFonts w:cs="Arial"/>
                <w:sz w:val="20"/>
                <w:szCs w:val="20"/>
                <w:lang w:eastAsia="en-US"/>
              </w:rPr>
              <w:t>creening can be provided by any combination of the above treatments to meet the acceptable outcome.</w:t>
            </w:r>
          </w:p>
        </w:tc>
      </w:tr>
      <w:tr w:rsidR="00BE36FB" w:rsidRPr="009B7B35" w14:paraId="2FAD2C4E" w14:textId="77777777" w:rsidTr="001A7107">
        <w:tc>
          <w:tcPr>
            <w:tcW w:w="4678" w:type="dxa"/>
          </w:tcPr>
          <w:p w14:paraId="219D85F7" w14:textId="77777777" w:rsidR="00BE36FB" w:rsidRPr="009B7B35" w:rsidRDefault="00BE36FB" w:rsidP="001A7107">
            <w:pPr>
              <w:pStyle w:val="TableText"/>
              <w:rPr>
                <w:rFonts w:cs="Arial"/>
                <w:b/>
                <w:bCs/>
                <w:lang w:eastAsia="en-US"/>
              </w:rPr>
            </w:pPr>
            <w:r w:rsidRPr="009B7B35">
              <w:rPr>
                <w:rFonts w:cs="Arial"/>
                <w:b/>
                <w:bCs/>
                <w:lang w:eastAsia="en-US"/>
              </w:rPr>
              <w:t>PO11</w:t>
            </w:r>
          </w:p>
          <w:p w14:paraId="33291FBC" w14:textId="77777777" w:rsidR="00BE36FB" w:rsidRPr="009B7B35" w:rsidRDefault="00BE36FB" w:rsidP="001A7107">
            <w:pPr>
              <w:pStyle w:val="TableText"/>
              <w:rPr>
                <w:rFonts w:cs="Arial"/>
                <w:lang w:eastAsia="en-US"/>
              </w:rPr>
            </w:pPr>
            <w:r w:rsidRPr="009B7B35">
              <w:rPr>
                <w:rFonts w:cs="Arial"/>
                <w:lang w:eastAsia="en-US"/>
              </w:rPr>
              <w:t>Landscaping is provided to mitigate the visual impact of development and screen unsightly components.</w:t>
            </w:r>
          </w:p>
        </w:tc>
        <w:tc>
          <w:tcPr>
            <w:tcW w:w="4678" w:type="dxa"/>
          </w:tcPr>
          <w:p w14:paraId="4BB34251" w14:textId="77777777" w:rsidR="00BE36FB" w:rsidRPr="009B7B35" w:rsidRDefault="00BE36FB" w:rsidP="001A7107">
            <w:pPr>
              <w:pStyle w:val="TableText"/>
              <w:rPr>
                <w:rFonts w:cs="Arial"/>
                <w:b/>
                <w:bCs/>
                <w:lang w:eastAsia="en-US"/>
              </w:rPr>
            </w:pPr>
            <w:r w:rsidRPr="009B7B35">
              <w:rPr>
                <w:rFonts w:cs="Arial"/>
                <w:b/>
                <w:bCs/>
                <w:lang w:eastAsia="en-US"/>
              </w:rPr>
              <w:t>AO11</w:t>
            </w:r>
          </w:p>
          <w:p w14:paraId="37040128" w14:textId="77777777" w:rsidR="00BE36FB" w:rsidRPr="009B7B35" w:rsidRDefault="00BE36FB" w:rsidP="001A7107">
            <w:pPr>
              <w:pStyle w:val="TableText"/>
              <w:rPr>
                <w:rFonts w:cs="Arial"/>
                <w:lang w:eastAsia="en-US"/>
              </w:rPr>
            </w:pPr>
            <w:r w:rsidRPr="009B7B35">
              <w:rPr>
                <w:rFonts w:cs="Arial"/>
                <w:lang w:eastAsia="en-US"/>
              </w:rPr>
              <w:t>A minimum 2m width of landscaping is provided along the entire principal site frontage excluding driveway.</w:t>
            </w:r>
          </w:p>
        </w:tc>
      </w:tr>
      <w:tr w:rsidR="00BE36FB" w:rsidRPr="009B7B35" w14:paraId="50AC5B93" w14:textId="77777777" w:rsidTr="001A7107">
        <w:trPr>
          <w:cantSplit/>
        </w:trPr>
        <w:tc>
          <w:tcPr>
            <w:tcW w:w="4678" w:type="dxa"/>
            <w:vMerge w:val="restart"/>
          </w:tcPr>
          <w:p w14:paraId="21897ED6" w14:textId="77777777" w:rsidR="00BE36FB" w:rsidRPr="009B7B35" w:rsidRDefault="00BE36FB" w:rsidP="001A7107">
            <w:pPr>
              <w:pStyle w:val="TableText"/>
              <w:rPr>
                <w:rFonts w:cs="Arial"/>
                <w:b/>
                <w:bCs/>
                <w:lang w:eastAsia="en-US"/>
              </w:rPr>
            </w:pPr>
            <w:r w:rsidRPr="009B7B35">
              <w:rPr>
                <w:rFonts w:cs="Arial"/>
                <w:b/>
                <w:bCs/>
                <w:lang w:eastAsia="en-US"/>
              </w:rPr>
              <w:t>PO12</w:t>
            </w:r>
          </w:p>
          <w:p w14:paraId="32D38AB2" w14:textId="77777777" w:rsidR="00BE36FB" w:rsidRPr="009B7B35" w:rsidRDefault="00BE36FB" w:rsidP="001A7107">
            <w:pPr>
              <w:pStyle w:val="TableText"/>
              <w:rPr>
                <w:rFonts w:cs="Arial"/>
                <w:lang w:eastAsia="en-US"/>
              </w:rPr>
            </w:pPr>
            <w:r w:rsidRPr="009B7B35">
              <w:rPr>
                <w:rFonts w:cs="Arial"/>
                <w:lang w:eastAsia="en-US"/>
              </w:rPr>
              <w:t>Development minimises potential conflicts with, or impacts on, other uses having regard to vibration, odour, dust or other emissions.</w:t>
            </w:r>
          </w:p>
        </w:tc>
        <w:tc>
          <w:tcPr>
            <w:tcW w:w="4678" w:type="dxa"/>
          </w:tcPr>
          <w:p w14:paraId="787C95EB" w14:textId="77777777" w:rsidR="00BE36FB" w:rsidRPr="009B7B35" w:rsidRDefault="00BE36FB" w:rsidP="001A7107">
            <w:pPr>
              <w:pStyle w:val="TableText"/>
              <w:rPr>
                <w:rFonts w:cs="Arial"/>
                <w:b/>
                <w:bCs/>
                <w:lang w:eastAsia="en-US"/>
              </w:rPr>
            </w:pPr>
            <w:r w:rsidRPr="009B7B35">
              <w:rPr>
                <w:rFonts w:cs="Arial"/>
                <w:b/>
                <w:bCs/>
                <w:lang w:eastAsia="en-US"/>
              </w:rPr>
              <w:t>AO12.1</w:t>
            </w:r>
          </w:p>
          <w:p w14:paraId="5E904E9B" w14:textId="77777777" w:rsidR="00BE36FB" w:rsidRPr="009B7B35" w:rsidRDefault="00BE36FB" w:rsidP="001A7107">
            <w:pPr>
              <w:pStyle w:val="TableText"/>
              <w:rPr>
                <w:rFonts w:cs="Arial"/>
                <w:lang w:eastAsia="en-US"/>
              </w:rPr>
            </w:pPr>
            <w:r w:rsidRPr="009B7B35">
              <w:rPr>
                <w:rFonts w:cs="Arial"/>
                <w:lang w:eastAsia="en-US"/>
              </w:rPr>
              <w:t xml:space="preserve">Development achieves the air quality design objectives set out in the </w:t>
            </w:r>
            <w:r w:rsidRPr="009B7B35">
              <w:rPr>
                <w:rStyle w:val="StyleItalic"/>
                <w:rFonts w:cs="Arial"/>
              </w:rPr>
              <w:t>Environmental Protection (Air) Policy 2008</w:t>
            </w:r>
            <w:r w:rsidRPr="009B7B35">
              <w:rPr>
                <w:rFonts w:cs="Arial"/>
                <w:lang w:eastAsia="en-US"/>
              </w:rPr>
              <w:t>, as amended.</w:t>
            </w:r>
          </w:p>
          <w:p w14:paraId="6124826C" w14:textId="77777777" w:rsidR="00BE36FB" w:rsidRPr="009B7B35" w:rsidRDefault="00BE36FB" w:rsidP="001A7107">
            <w:pPr>
              <w:pStyle w:val="Notes"/>
              <w:rPr>
                <w:rFonts w:cs="Arial"/>
                <w:sz w:val="20"/>
                <w:szCs w:val="20"/>
                <w:lang w:eastAsia="en-US"/>
              </w:rPr>
            </w:pPr>
            <w:r w:rsidRPr="009B7B35">
              <w:rPr>
                <w:rFonts w:cs="Arial"/>
                <w:sz w:val="20"/>
                <w:szCs w:val="20"/>
                <w:lang w:eastAsia="en-US"/>
              </w:rPr>
              <w:t>Note—To achieve compliance, development is planned, designed and managed to ensure emissions from activities to achieve the appropriate acoustic objectives (measured at the receptor dB(A)).</w:t>
            </w:r>
          </w:p>
        </w:tc>
      </w:tr>
      <w:tr w:rsidR="00BE36FB" w:rsidRPr="009B7B35" w14:paraId="378577AF" w14:textId="77777777" w:rsidTr="001A7107">
        <w:trPr>
          <w:cantSplit/>
        </w:trPr>
        <w:tc>
          <w:tcPr>
            <w:tcW w:w="4678" w:type="dxa"/>
            <w:vMerge/>
          </w:tcPr>
          <w:p w14:paraId="7F41F748" w14:textId="77777777" w:rsidR="00BE36FB" w:rsidRPr="009B7B35" w:rsidRDefault="00BE36FB" w:rsidP="001A7107">
            <w:pPr>
              <w:pStyle w:val="TableText"/>
              <w:rPr>
                <w:rFonts w:cs="Arial"/>
                <w:lang w:eastAsia="en-US"/>
              </w:rPr>
            </w:pPr>
          </w:p>
        </w:tc>
        <w:tc>
          <w:tcPr>
            <w:tcW w:w="4678" w:type="dxa"/>
          </w:tcPr>
          <w:p w14:paraId="20B8800A" w14:textId="77777777" w:rsidR="00BE36FB" w:rsidRPr="009B7B35" w:rsidRDefault="00BE36FB" w:rsidP="001A7107">
            <w:pPr>
              <w:pStyle w:val="TableText"/>
              <w:rPr>
                <w:rFonts w:cs="Arial"/>
                <w:b/>
                <w:bCs/>
                <w:lang w:eastAsia="en-US"/>
              </w:rPr>
            </w:pPr>
            <w:r w:rsidRPr="009B7B35">
              <w:rPr>
                <w:rFonts w:cs="Arial"/>
                <w:b/>
                <w:bCs/>
                <w:lang w:eastAsia="en-US"/>
              </w:rPr>
              <w:t>AO12.2</w:t>
            </w:r>
          </w:p>
          <w:p w14:paraId="6114D546" w14:textId="77777777" w:rsidR="00BE36FB" w:rsidRPr="009B7B35" w:rsidRDefault="00BE36FB" w:rsidP="001A7107">
            <w:pPr>
              <w:pStyle w:val="TableText"/>
              <w:rPr>
                <w:rFonts w:cs="Arial"/>
                <w:lang w:eastAsia="en-US"/>
              </w:rPr>
            </w:pPr>
            <w:r w:rsidRPr="009B7B35">
              <w:rPr>
                <w:rFonts w:cs="Arial"/>
                <w:lang w:eastAsia="en-US"/>
              </w:rPr>
              <w:t>Development that involves the storage of materials on site that are capable of generating air contaminants either by wind or when disturbed are managed by:</w:t>
            </w:r>
          </w:p>
          <w:p w14:paraId="7746CFDE" w14:textId="77777777" w:rsidR="00BE36FB" w:rsidRPr="009B7B35" w:rsidRDefault="00BE36FB" w:rsidP="00BE36FB">
            <w:pPr>
              <w:pStyle w:val="TableText"/>
              <w:numPr>
                <w:ilvl w:val="0"/>
                <w:numId w:val="206"/>
              </w:numPr>
              <w:rPr>
                <w:rFonts w:cs="Arial"/>
                <w:lang w:eastAsia="en-US"/>
              </w:rPr>
            </w:pPr>
            <w:r w:rsidRPr="009B7B35">
              <w:rPr>
                <w:rFonts w:cs="Arial"/>
                <w:lang w:eastAsia="en-US"/>
              </w:rPr>
              <w:t>being wholly enclosed in storage bins, or</w:t>
            </w:r>
          </w:p>
          <w:p w14:paraId="72A177FF" w14:textId="77777777" w:rsidR="00BE36FB" w:rsidRPr="009B7B35" w:rsidRDefault="00BE36FB" w:rsidP="00BE36FB">
            <w:pPr>
              <w:pStyle w:val="TableText"/>
              <w:numPr>
                <w:ilvl w:val="0"/>
                <w:numId w:val="206"/>
              </w:numPr>
              <w:rPr>
                <w:rFonts w:cs="Arial"/>
                <w:lang w:eastAsia="en-US"/>
              </w:rPr>
            </w:pPr>
            <w:r w:rsidRPr="009B7B35">
              <w:rPr>
                <w:rFonts w:cs="Arial"/>
                <w:lang w:eastAsia="en-US"/>
              </w:rPr>
              <w:t>a watering program so material cannot become airborne.</w:t>
            </w:r>
          </w:p>
        </w:tc>
      </w:tr>
      <w:tr w:rsidR="00BE36FB" w:rsidRPr="009B7B35" w14:paraId="4A622D12" w14:textId="77777777" w:rsidTr="001A7107">
        <w:trPr>
          <w:cantSplit/>
        </w:trPr>
        <w:tc>
          <w:tcPr>
            <w:tcW w:w="4678" w:type="dxa"/>
          </w:tcPr>
          <w:p w14:paraId="164D4CC5" w14:textId="77777777" w:rsidR="00BE36FB" w:rsidRPr="009B7B35" w:rsidRDefault="00BE36FB" w:rsidP="001A7107">
            <w:pPr>
              <w:pStyle w:val="TableText"/>
              <w:rPr>
                <w:rFonts w:cs="Arial"/>
                <w:b/>
                <w:bCs/>
                <w:lang w:eastAsia="en-US"/>
              </w:rPr>
            </w:pPr>
            <w:r w:rsidRPr="009B7B35">
              <w:rPr>
                <w:rFonts w:cs="Arial"/>
                <w:b/>
                <w:bCs/>
                <w:lang w:eastAsia="en-US"/>
              </w:rPr>
              <w:t>PO13</w:t>
            </w:r>
          </w:p>
          <w:p w14:paraId="2E86CD07" w14:textId="77777777" w:rsidR="00BE36FB" w:rsidRPr="009B7B35" w:rsidRDefault="00BE36FB" w:rsidP="001A7107">
            <w:pPr>
              <w:pStyle w:val="TableText"/>
              <w:rPr>
                <w:rFonts w:cs="Arial"/>
                <w:lang w:eastAsia="en-US"/>
              </w:rPr>
            </w:pPr>
            <w:r w:rsidRPr="009B7B35">
              <w:rPr>
                <w:rFonts w:cs="Arial"/>
                <w:lang w:eastAsia="en-US"/>
              </w:rPr>
              <w:t>Development prevents or minimises the generation of any noise so that:</w:t>
            </w:r>
          </w:p>
          <w:p w14:paraId="04744682" w14:textId="77777777" w:rsidR="00BE36FB" w:rsidRPr="009B7B35" w:rsidRDefault="00BE36FB" w:rsidP="00BE36FB">
            <w:pPr>
              <w:pStyle w:val="TableText"/>
              <w:numPr>
                <w:ilvl w:val="0"/>
                <w:numId w:val="205"/>
              </w:numPr>
              <w:ind w:left="720" w:hanging="360"/>
              <w:rPr>
                <w:rFonts w:cs="Arial"/>
                <w:lang w:eastAsia="en-US"/>
              </w:rPr>
            </w:pPr>
            <w:r w:rsidRPr="009B7B35">
              <w:rPr>
                <w:rFonts w:cs="Arial"/>
                <w:lang w:eastAsia="en-US"/>
              </w:rPr>
              <w:t>nuisance is not caused to adjoining premises or other nearby sensitive land uses, and</w:t>
            </w:r>
          </w:p>
          <w:p w14:paraId="7BC1AF35" w14:textId="77777777" w:rsidR="00BE36FB" w:rsidRPr="009B7B35" w:rsidRDefault="00BE36FB" w:rsidP="00BE36FB">
            <w:pPr>
              <w:pStyle w:val="TableText"/>
              <w:numPr>
                <w:ilvl w:val="0"/>
                <w:numId w:val="205"/>
              </w:numPr>
              <w:ind w:left="720" w:hanging="360"/>
              <w:rPr>
                <w:rFonts w:cs="Arial"/>
                <w:lang w:eastAsia="en-US"/>
              </w:rPr>
            </w:pPr>
            <w:r w:rsidRPr="009B7B35">
              <w:rPr>
                <w:rFonts w:cs="Arial"/>
                <w:lang w:eastAsia="en-US"/>
              </w:rPr>
              <w:t>desired ambient noise levels in residential areas are not exceeded.</w:t>
            </w:r>
          </w:p>
        </w:tc>
        <w:tc>
          <w:tcPr>
            <w:tcW w:w="4678" w:type="dxa"/>
          </w:tcPr>
          <w:p w14:paraId="506B771E" w14:textId="77777777" w:rsidR="00BE36FB" w:rsidRPr="009B7B35" w:rsidRDefault="00BE36FB" w:rsidP="001A7107">
            <w:pPr>
              <w:pStyle w:val="TableText"/>
              <w:rPr>
                <w:rFonts w:cs="Arial"/>
                <w:b/>
                <w:bCs/>
                <w:lang w:eastAsia="en-US"/>
              </w:rPr>
            </w:pPr>
            <w:r w:rsidRPr="009B7B35">
              <w:rPr>
                <w:rFonts w:cs="Arial"/>
                <w:b/>
                <w:bCs/>
                <w:lang w:eastAsia="en-US"/>
              </w:rPr>
              <w:t>AO13</w:t>
            </w:r>
          </w:p>
          <w:p w14:paraId="45C5A545" w14:textId="77777777" w:rsidR="00BE36FB" w:rsidRPr="009B7B35" w:rsidRDefault="00BE36FB" w:rsidP="001A7107">
            <w:pPr>
              <w:pStyle w:val="TableText"/>
              <w:rPr>
                <w:rFonts w:cs="Arial"/>
                <w:lang w:eastAsia="en-US"/>
              </w:rPr>
            </w:pPr>
            <w:r w:rsidRPr="009B7B35">
              <w:rPr>
                <w:rFonts w:cs="Arial"/>
                <w:lang w:eastAsia="en-US"/>
              </w:rPr>
              <w:t xml:space="preserve">Development achieves the noise generation levels set out in the </w:t>
            </w:r>
            <w:r w:rsidRPr="009B7B35">
              <w:rPr>
                <w:rStyle w:val="StyleItalic"/>
                <w:rFonts w:cs="Arial"/>
              </w:rPr>
              <w:t>Environmental Protection (Noise) Policy 2008</w:t>
            </w:r>
            <w:r w:rsidRPr="009B7B35">
              <w:rPr>
                <w:rFonts w:cs="Arial"/>
                <w:lang w:eastAsia="en-US"/>
              </w:rPr>
              <w:t>, as amended.</w:t>
            </w:r>
          </w:p>
        </w:tc>
      </w:tr>
      <w:tr w:rsidR="00BE36FB" w:rsidRPr="009B7B35" w14:paraId="6250A9D8" w14:textId="77777777" w:rsidTr="001A7107">
        <w:trPr>
          <w:cantSplit/>
        </w:trPr>
        <w:tc>
          <w:tcPr>
            <w:tcW w:w="4678" w:type="dxa"/>
            <w:vMerge w:val="restart"/>
          </w:tcPr>
          <w:p w14:paraId="3367DFAF" w14:textId="77777777" w:rsidR="00BE36FB" w:rsidRPr="009B7B35" w:rsidRDefault="00BE36FB" w:rsidP="001A7107">
            <w:pPr>
              <w:pStyle w:val="TableText"/>
              <w:rPr>
                <w:rFonts w:cs="Arial"/>
                <w:b/>
                <w:bCs/>
                <w:lang w:eastAsia="en-US"/>
              </w:rPr>
            </w:pPr>
            <w:r w:rsidRPr="009B7B35">
              <w:rPr>
                <w:rFonts w:cs="Arial"/>
                <w:b/>
                <w:bCs/>
                <w:lang w:eastAsia="en-US"/>
              </w:rPr>
              <w:t>PO14</w:t>
            </w:r>
          </w:p>
          <w:p w14:paraId="32FD15BD" w14:textId="77777777" w:rsidR="00BE36FB" w:rsidRPr="009B7B35" w:rsidRDefault="00BE36FB" w:rsidP="001A7107">
            <w:pPr>
              <w:pStyle w:val="TableText"/>
              <w:rPr>
                <w:rFonts w:cs="Arial"/>
                <w:lang w:eastAsia="en-US"/>
              </w:rPr>
            </w:pPr>
            <w:r w:rsidRPr="009B7B35">
              <w:rPr>
                <w:rFonts w:cs="Arial"/>
                <w:lang w:eastAsia="en-US"/>
              </w:rPr>
              <w:t>Outdoor lighting does not adversely affect the amenity of adjoining properties or create a traffic hazard on adjacent roads.</w:t>
            </w:r>
          </w:p>
        </w:tc>
        <w:tc>
          <w:tcPr>
            <w:tcW w:w="4678" w:type="dxa"/>
          </w:tcPr>
          <w:p w14:paraId="3237D358" w14:textId="77777777" w:rsidR="00BE36FB" w:rsidRPr="009B7B35" w:rsidRDefault="00BE36FB" w:rsidP="001A7107">
            <w:pPr>
              <w:pStyle w:val="TableText"/>
              <w:rPr>
                <w:rFonts w:cs="Arial"/>
                <w:b/>
                <w:bCs/>
                <w:lang w:eastAsia="en-US"/>
              </w:rPr>
            </w:pPr>
            <w:r w:rsidRPr="009B7B35">
              <w:rPr>
                <w:rFonts w:cs="Arial"/>
                <w:b/>
                <w:bCs/>
                <w:lang w:eastAsia="en-US"/>
              </w:rPr>
              <w:t>AO14.1</w:t>
            </w:r>
          </w:p>
          <w:p w14:paraId="22B3AF16" w14:textId="77777777" w:rsidR="00BE36FB" w:rsidRPr="009B7B35" w:rsidRDefault="00BE36FB" w:rsidP="001A7107">
            <w:pPr>
              <w:pStyle w:val="TableText"/>
              <w:rPr>
                <w:rFonts w:cs="Arial"/>
                <w:lang w:eastAsia="en-US"/>
              </w:rPr>
            </w:pPr>
            <w:r w:rsidRPr="009B7B35">
              <w:rPr>
                <w:rFonts w:cs="Arial"/>
                <w:lang w:eastAsia="en-US"/>
              </w:rPr>
              <w:t xml:space="preserve">Light emanating from any source complies with </w:t>
            </w:r>
            <w:r w:rsidRPr="009B7B35">
              <w:rPr>
                <w:rStyle w:val="StyleItalic"/>
                <w:rFonts w:cs="Arial"/>
              </w:rPr>
              <w:t>Australian Standard AS4282 Control of the Obtrusive Effects of Outdoor Lighting</w:t>
            </w:r>
            <w:r w:rsidRPr="009B7B35">
              <w:rPr>
                <w:rFonts w:cs="Arial"/>
                <w:lang w:eastAsia="en-US"/>
              </w:rPr>
              <w:t>.</w:t>
            </w:r>
          </w:p>
        </w:tc>
      </w:tr>
      <w:tr w:rsidR="00BE36FB" w:rsidRPr="009B7B35" w14:paraId="2E10A5CB" w14:textId="77777777" w:rsidTr="001A7107">
        <w:trPr>
          <w:cantSplit/>
        </w:trPr>
        <w:tc>
          <w:tcPr>
            <w:tcW w:w="4678" w:type="dxa"/>
            <w:vMerge/>
          </w:tcPr>
          <w:p w14:paraId="4B90AEEA" w14:textId="77777777" w:rsidR="00BE36FB" w:rsidRPr="009B7B35" w:rsidRDefault="00BE36FB" w:rsidP="001A7107">
            <w:pPr>
              <w:pStyle w:val="TableText"/>
              <w:rPr>
                <w:rFonts w:cs="Arial"/>
                <w:lang w:eastAsia="en-US"/>
              </w:rPr>
            </w:pPr>
          </w:p>
        </w:tc>
        <w:tc>
          <w:tcPr>
            <w:tcW w:w="4678" w:type="dxa"/>
          </w:tcPr>
          <w:p w14:paraId="089332FC" w14:textId="77777777" w:rsidR="00BE36FB" w:rsidRPr="009B7B35" w:rsidRDefault="00BE36FB" w:rsidP="001A7107">
            <w:pPr>
              <w:pStyle w:val="TableText"/>
              <w:rPr>
                <w:rFonts w:cs="Arial"/>
                <w:b/>
                <w:bCs/>
                <w:lang w:eastAsia="en-US"/>
              </w:rPr>
            </w:pPr>
            <w:r w:rsidRPr="009B7B35">
              <w:rPr>
                <w:rFonts w:cs="Arial"/>
                <w:b/>
                <w:bCs/>
                <w:lang w:eastAsia="en-US"/>
              </w:rPr>
              <w:t>AO14.2</w:t>
            </w:r>
          </w:p>
          <w:p w14:paraId="12179736" w14:textId="77777777" w:rsidR="00BE36FB" w:rsidRPr="009B7B35" w:rsidRDefault="00BE36FB" w:rsidP="001A7107">
            <w:pPr>
              <w:pStyle w:val="TableText"/>
              <w:rPr>
                <w:rFonts w:cs="Arial"/>
                <w:lang w:eastAsia="en-US"/>
              </w:rPr>
            </w:pPr>
            <w:r w:rsidRPr="009B7B35">
              <w:rPr>
                <w:rFonts w:cs="Arial"/>
                <w:lang w:eastAsia="en-US"/>
              </w:rPr>
              <w:t xml:space="preserve">Outdoor lighting is provided in accordance with </w:t>
            </w:r>
            <w:r w:rsidRPr="009B7B35">
              <w:rPr>
                <w:rStyle w:val="StyleItalic"/>
                <w:rFonts w:cs="Arial"/>
              </w:rPr>
              <w:t>Australian Standard AS 1158.1.1 – Road Lighting – Vehicular Traffic Category V) Lighting – Performance and Installation Design Requirements</w:t>
            </w:r>
            <w:r w:rsidRPr="009B7B35">
              <w:rPr>
                <w:rFonts w:cs="Arial"/>
                <w:lang w:eastAsia="en-US"/>
              </w:rPr>
              <w:t>.</w:t>
            </w:r>
          </w:p>
        </w:tc>
      </w:tr>
      <w:tr w:rsidR="00BE36FB" w:rsidRPr="009B7B35" w14:paraId="7C5081AE" w14:textId="77777777" w:rsidTr="001A7107">
        <w:trPr>
          <w:cantSplit/>
        </w:trPr>
        <w:tc>
          <w:tcPr>
            <w:tcW w:w="4678" w:type="dxa"/>
            <w:vMerge w:val="restart"/>
          </w:tcPr>
          <w:p w14:paraId="4FB538E8" w14:textId="77777777" w:rsidR="00BE36FB" w:rsidRPr="009B7B35" w:rsidRDefault="00BE36FB" w:rsidP="001A7107">
            <w:pPr>
              <w:pStyle w:val="TableText"/>
              <w:rPr>
                <w:rFonts w:cs="Arial"/>
                <w:b/>
                <w:bCs/>
                <w:lang w:eastAsia="en-US"/>
              </w:rPr>
            </w:pPr>
            <w:r w:rsidRPr="009B7B35">
              <w:rPr>
                <w:rFonts w:cs="Arial"/>
                <w:b/>
                <w:bCs/>
                <w:lang w:eastAsia="en-US"/>
              </w:rPr>
              <w:t>PO15</w:t>
            </w:r>
          </w:p>
          <w:p w14:paraId="76550627" w14:textId="77777777" w:rsidR="00BE36FB" w:rsidRPr="009B7B35" w:rsidRDefault="00BE36FB" w:rsidP="001A7107">
            <w:pPr>
              <w:pStyle w:val="TableText"/>
              <w:rPr>
                <w:rFonts w:cs="Arial"/>
                <w:lang w:eastAsia="en-US"/>
              </w:rPr>
            </w:pPr>
            <w:r w:rsidRPr="009B7B35">
              <w:rPr>
                <w:rFonts w:cs="Arial"/>
                <w:lang w:eastAsia="en-US"/>
              </w:rPr>
              <w:t>Development provides for the collection, treatment and disposal of liquid wastes or sources of contamination such that off–site releases of contaminants do not occur.</w:t>
            </w:r>
          </w:p>
        </w:tc>
        <w:tc>
          <w:tcPr>
            <w:tcW w:w="4678" w:type="dxa"/>
          </w:tcPr>
          <w:p w14:paraId="36D9F942" w14:textId="77777777" w:rsidR="00BE36FB" w:rsidRPr="009B7B35" w:rsidRDefault="00BE36FB" w:rsidP="001A7107">
            <w:pPr>
              <w:pStyle w:val="TableText"/>
              <w:rPr>
                <w:rFonts w:cs="Arial"/>
                <w:b/>
                <w:bCs/>
                <w:lang w:eastAsia="en-US"/>
              </w:rPr>
            </w:pPr>
            <w:r w:rsidRPr="009B7B35">
              <w:rPr>
                <w:rFonts w:cs="Arial"/>
                <w:b/>
                <w:bCs/>
                <w:lang w:eastAsia="en-US"/>
              </w:rPr>
              <w:t>AO15.1</w:t>
            </w:r>
          </w:p>
          <w:p w14:paraId="633C32D0" w14:textId="77777777" w:rsidR="00BE36FB" w:rsidRPr="009B7B35" w:rsidRDefault="00BE36FB" w:rsidP="001A7107">
            <w:pPr>
              <w:pStyle w:val="TableText"/>
              <w:rPr>
                <w:rFonts w:cs="Arial"/>
                <w:lang w:eastAsia="en-US"/>
              </w:rPr>
            </w:pPr>
            <w:r w:rsidRPr="009B7B35">
              <w:rPr>
                <w:rFonts w:cs="Arial"/>
                <w:lang w:eastAsia="en-US"/>
              </w:rPr>
              <w:t>Areas where potentially contaminating substances are stored or used, are:</w:t>
            </w:r>
          </w:p>
          <w:p w14:paraId="17764D9A" w14:textId="77777777" w:rsidR="00BE36FB" w:rsidRPr="009B7B35" w:rsidRDefault="00BE36FB" w:rsidP="00BE36FB">
            <w:pPr>
              <w:pStyle w:val="TableText"/>
              <w:numPr>
                <w:ilvl w:val="0"/>
                <w:numId w:val="207"/>
              </w:numPr>
              <w:rPr>
                <w:rFonts w:cs="Arial"/>
                <w:lang w:eastAsia="en-US"/>
              </w:rPr>
            </w:pPr>
            <w:r w:rsidRPr="009B7B35">
              <w:rPr>
                <w:rFonts w:cs="Arial"/>
                <w:lang w:eastAsia="en-US"/>
              </w:rPr>
              <w:t>roofed and sealed with concrete, asphalt or similar impervious substance and bunded, and</w:t>
            </w:r>
          </w:p>
          <w:p w14:paraId="308BBFF9" w14:textId="77777777" w:rsidR="00BE36FB" w:rsidRPr="009B7B35" w:rsidRDefault="00BE36FB" w:rsidP="00BE36FB">
            <w:pPr>
              <w:pStyle w:val="TableText"/>
              <w:numPr>
                <w:ilvl w:val="0"/>
                <w:numId w:val="207"/>
              </w:numPr>
              <w:rPr>
                <w:rFonts w:cs="Arial"/>
                <w:lang w:eastAsia="en-US"/>
              </w:rPr>
            </w:pPr>
            <w:r w:rsidRPr="009B7B35">
              <w:rPr>
                <w:rFonts w:cs="Arial"/>
                <w:lang w:eastAsia="en-US"/>
              </w:rPr>
              <w:t xml:space="preserve">located in an area free of flooding </w:t>
            </w:r>
            <w:r w:rsidRPr="009B7B35">
              <w:rPr>
                <w:rFonts w:cs="Arial"/>
              </w:rPr>
              <w:t>by</w:t>
            </w:r>
            <w:r w:rsidRPr="009B7B35">
              <w:rPr>
                <w:rFonts w:cs="Arial"/>
                <w:lang w:eastAsia="en-US"/>
              </w:rPr>
              <w:t xml:space="preserve"> a </w:t>
            </w:r>
            <w:r w:rsidRPr="009B7B35">
              <w:rPr>
                <w:rFonts w:cs="Arial"/>
              </w:rPr>
              <w:t>Defined</w:t>
            </w:r>
            <w:r w:rsidRPr="009B7B35">
              <w:rPr>
                <w:rFonts w:cs="Arial"/>
                <w:lang w:eastAsia="en-US"/>
              </w:rPr>
              <w:t xml:space="preserve"> flood event, and free from medium or high storm tide inundation.</w:t>
            </w:r>
          </w:p>
        </w:tc>
      </w:tr>
      <w:tr w:rsidR="00BE36FB" w:rsidRPr="009B7B35" w14:paraId="61554170" w14:textId="77777777" w:rsidTr="001A7107">
        <w:trPr>
          <w:cantSplit/>
        </w:trPr>
        <w:tc>
          <w:tcPr>
            <w:tcW w:w="4678" w:type="dxa"/>
            <w:vMerge/>
          </w:tcPr>
          <w:p w14:paraId="378BE254" w14:textId="77777777" w:rsidR="00BE36FB" w:rsidRPr="009B7B35" w:rsidRDefault="00BE36FB" w:rsidP="001A7107">
            <w:pPr>
              <w:pStyle w:val="TableText"/>
              <w:rPr>
                <w:rFonts w:cs="Arial"/>
                <w:lang w:eastAsia="en-US"/>
              </w:rPr>
            </w:pPr>
          </w:p>
        </w:tc>
        <w:tc>
          <w:tcPr>
            <w:tcW w:w="4678" w:type="dxa"/>
          </w:tcPr>
          <w:p w14:paraId="0C767C92" w14:textId="77777777" w:rsidR="00BE36FB" w:rsidRPr="009B7B35" w:rsidRDefault="00BE36FB" w:rsidP="001A7107">
            <w:pPr>
              <w:pStyle w:val="TableText"/>
              <w:rPr>
                <w:rFonts w:cs="Arial"/>
                <w:b/>
                <w:bCs/>
                <w:lang w:eastAsia="en-US"/>
              </w:rPr>
            </w:pPr>
            <w:r w:rsidRPr="009B7B35">
              <w:rPr>
                <w:rFonts w:cs="Arial"/>
                <w:b/>
                <w:bCs/>
                <w:lang w:eastAsia="en-US"/>
              </w:rPr>
              <w:t>AO15.2</w:t>
            </w:r>
          </w:p>
          <w:p w14:paraId="3895AE87" w14:textId="77777777" w:rsidR="00BE36FB" w:rsidRPr="009B7B35" w:rsidRDefault="00BE36FB" w:rsidP="001A7107">
            <w:pPr>
              <w:pStyle w:val="TableText"/>
              <w:rPr>
                <w:rFonts w:cs="Arial"/>
                <w:lang w:eastAsia="en-US"/>
              </w:rPr>
            </w:pPr>
            <w:r w:rsidRPr="009B7B35">
              <w:rPr>
                <w:rFonts w:cs="Arial"/>
                <w:lang w:eastAsia="en-US"/>
              </w:rPr>
              <w:t xml:space="preserve">Provision is made for spills to be bunded and retained on site for removal and disposal by an approved means. </w:t>
            </w:r>
          </w:p>
        </w:tc>
      </w:tr>
      <w:tr w:rsidR="00BE36FB" w:rsidRPr="009B7B35" w14:paraId="222D5EB7" w14:textId="77777777" w:rsidTr="001A7107">
        <w:trPr>
          <w:cantSplit/>
        </w:trPr>
        <w:tc>
          <w:tcPr>
            <w:tcW w:w="4678" w:type="dxa"/>
            <w:vMerge/>
          </w:tcPr>
          <w:p w14:paraId="1EBC6212" w14:textId="77777777" w:rsidR="00BE36FB" w:rsidRPr="009B7B35" w:rsidRDefault="00BE36FB" w:rsidP="001A7107">
            <w:pPr>
              <w:pStyle w:val="TableText"/>
              <w:rPr>
                <w:rFonts w:cs="Arial"/>
                <w:lang w:eastAsia="en-US"/>
              </w:rPr>
            </w:pPr>
          </w:p>
        </w:tc>
        <w:tc>
          <w:tcPr>
            <w:tcW w:w="4678" w:type="dxa"/>
          </w:tcPr>
          <w:p w14:paraId="3C0B1419" w14:textId="77777777" w:rsidR="00BE36FB" w:rsidRPr="009B7B35" w:rsidRDefault="00BE36FB" w:rsidP="001A7107">
            <w:pPr>
              <w:pStyle w:val="TableText"/>
              <w:rPr>
                <w:rFonts w:cs="Arial"/>
                <w:b/>
                <w:bCs/>
                <w:lang w:eastAsia="en-US"/>
              </w:rPr>
            </w:pPr>
            <w:r w:rsidRPr="009B7B35">
              <w:rPr>
                <w:rFonts w:cs="Arial"/>
                <w:b/>
                <w:bCs/>
                <w:lang w:eastAsia="en-US"/>
              </w:rPr>
              <w:t>AO15.3</w:t>
            </w:r>
          </w:p>
          <w:p w14:paraId="100EC878" w14:textId="77777777" w:rsidR="00BE36FB" w:rsidRPr="009B7B35" w:rsidRDefault="00BE36FB" w:rsidP="001A7107">
            <w:pPr>
              <w:pStyle w:val="TableText"/>
              <w:rPr>
                <w:rFonts w:cs="Arial"/>
                <w:lang w:eastAsia="en-US"/>
              </w:rPr>
            </w:pPr>
            <w:r w:rsidRPr="009B7B35">
              <w:rPr>
                <w:rFonts w:cs="Arial"/>
                <w:lang w:eastAsia="en-US"/>
              </w:rPr>
              <w:t>Roof water is piped away from areas of potential contamination.</w:t>
            </w:r>
          </w:p>
        </w:tc>
      </w:tr>
      <w:tr w:rsidR="00BE36FB" w:rsidRPr="009B7B35" w14:paraId="653264DA" w14:textId="77777777" w:rsidTr="001A7107">
        <w:trPr>
          <w:cantSplit/>
        </w:trPr>
        <w:tc>
          <w:tcPr>
            <w:tcW w:w="9356" w:type="dxa"/>
            <w:gridSpan w:val="2"/>
            <w:hideMark/>
          </w:tcPr>
          <w:p w14:paraId="41975205"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For all assessable development</w:t>
            </w:r>
          </w:p>
        </w:tc>
      </w:tr>
      <w:tr w:rsidR="00BE36FB" w:rsidRPr="009B7B35" w14:paraId="04B67209" w14:textId="77777777" w:rsidTr="001A7107">
        <w:trPr>
          <w:cantSplit/>
        </w:trPr>
        <w:tc>
          <w:tcPr>
            <w:tcW w:w="9356" w:type="dxa"/>
            <w:gridSpan w:val="2"/>
            <w:shd w:val="clear" w:color="auto" w:fill="BFBFBF" w:themeFill="background1" w:themeFillShade="BF"/>
          </w:tcPr>
          <w:p w14:paraId="5953F3A2"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Land use</w:t>
            </w:r>
          </w:p>
        </w:tc>
      </w:tr>
      <w:tr w:rsidR="00BE36FB" w:rsidRPr="009B7B35" w14:paraId="564B4646" w14:textId="77777777" w:rsidTr="001A7107">
        <w:tc>
          <w:tcPr>
            <w:tcW w:w="4678" w:type="dxa"/>
          </w:tcPr>
          <w:p w14:paraId="66417120" w14:textId="77777777" w:rsidR="00BE36FB" w:rsidRPr="009B7B35" w:rsidRDefault="00BE36FB" w:rsidP="001A7107">
            <w:pPr>
              <w:pStyle w:val="TableText"/>
              <w:rPr>
                <w:rFonts w:cs="Arial"/>
                <w:b/>
                <w:bCs/>
                <w:lang w:eastAsia="en-US"/>
              </w:rPr>
            </w:pPr>
            <w:r w:rsidRPr="009B7B35">
              <w:rPr>
                <w:rFonts w:cs="Arial"/>
                <w:b/>
                <w:bCs/>
                <w:lang w:eastAsia="en-US"/>
              </w:rPr>
              <w:t>PO16</w:t>
            </w:r>
          </w:p>
          <w:p w14:paraId="779DB8C1" w14:textId="77777777" w:rsidR="00BE36FB" w:rsidRPr="009B7B35" w:rsidRDefault="00BE36FB" w:rsidP="001A7107">
            <w:pPr>
              <w:pStyle w:val="TableText"/>
              <w:rPr>
                <w:rFonts w:cs="Arial"/>
                <w:lang w:eastAsia="en-US"/>
              </w:rPr>
            </w:pPr>
            <w:r w:rsidRPr="009B7B35">
              <w:rPr>
                <w:rFonts w:cs="Arial"/>
                <w:lang w:eastAsia="en-US"/>
              </w:rPr>
              <w:t>Development does not compromise the use of land for medium impact industry purposes.</w:t>
            </w:r>
          </w:p>
        </w:tc>
        <w:tc>
          <w:tcPr>
            <w:tcW w:w="4678" w:type="dxa"/>
          </w:tcPr>
          <w:p w14:paraId="78C5C609"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1411A2EC" w14:textId="77777777" w:rsidTr="001A7107">
        <w:trPr>
          <w:trHeight w:val="20"/>
        </w:trPr>
        <w:tc>
          <w:tcPr>
            <w:tcW w:w="4678" w:type="dxa"/>
          </w:tcPr>
          <w:p w14:paraId="20D3C0C6" w14:textId="77777777" w:rsidR="00BE36FB" w:rsidRPr="009B7B35" w:rsidRDefault="00BE36FB" w:rsidP="001A7107">
            <w:pPr>
              <w:pStyle w:val="TableText"/>
              <w:rPr>
                <w:rFonts w:cs="Arial"/>
                <w:b/>
                <w:bCs/>
                <w:lang w:eastAsia="en-US"/>
              </w:rPr>
            </w:pPr>
            <w:r w:rsidRPr="009B7B35">
              <w:rPr>
                <w:rFonts w:cs="Arial"/>
                <w:b/>
                <w:bCs/>
                <w:lang w:eastAsia="en-US"/>
              </w:rPr>
              <w:t>PO17</w:t>
            </w:r>
          </w:p>
          <w:p w14:paraId="7697417F" w14:textId="77777777" w:rsidR="00BE36FB" w:rsidRPr="009B7B35" w:rsidRDefault="00BE36FB" w:rsidP="001A7107">
            <w:pPr>
              <w:pStyle w:val="TableText"/>
              <w:rPr>
                <w:rFonts w:cs="Arial"/>
                <w:lang w:eastAsia="en-US"/>
              </w:rPr>
            </w:pPr>
            <w:r w:rsidRPr="009B7B35">
              <w:rPr>
                <w:rFonts w:cs="Arial"/>
                <w:lang w:eastAsia="en-US"/>
              </w:rPr>
              <w:t>Development is of a medium impact nature and includes:</w:t>
            </w:r>
          </w:p>
          <w:p w14:paraId="23B88F9D" w14:textId="77777777" w:rsidR="00BE36FB" w:rsidRPr="009B7B35" w:rsidRDefault="00BE36FB" w:rsidP="00BE36FB">
            <w:pPr>
              <w:pStyle w:val="TableText"/>
              <w:numPr>
                <w:ilvl w:val="0"/>
                <w:numId w:val="209"/>
              </w:numPr>
              <w:ind w:left="652" w:hanging="652"/>
              <w:rPr>
                <w:rFonts w:cs="Arial"/>
                <w:lang w:eastAsia="en-US"/>
              </w:rPr>
            </w:pPr>
            <w:r w:rsidRPr="009B7B35">
              <w:rPr>
                <w:rFonts w:cs="Arial"/>
                <w:lang w:eastAsia="en-US"/>
              </w:rPr>
              <w:t>industrial activities whose impacts on the natural environment can be appropriately managed, or</w:t>
            </w:r>
          </w:p>
          <w:p w14:paraId="7A6A31DA" w14:textId="77777777" w:rsidR="00BE36FB" w:rsidRPr="009B7B35" w:rsidRDefault="00BE36FB" w:rsidP="00BE36FB">
            <w:pPr>
              <w:pStyle w:val="TableText"/>
              <w:numPr>
                <w:ilvl w:val="0"/>
                <w:numId w:val="209"/>
              </w:numPr>
              <w:ind w:left="652" w:hanging="652"/>
              <w:rPr>
                <w:rFonts w:cs="Arial"/>
                <w:lang w:eastAsia="en-US"/>
              </w:rPr>
            </w:pPr>
            <w:r w:rsidRPr="009B7B35">
              <w:rPr>
                <w:rFonts w:cs="Arial"/>
                <w:lang w:eastAsia="en-US"/>
              </w:rPr>
              <w:t>uses which require medium to large sites in locations that are separated from sensitive land uses, and are not more appropriately accommodated in other zones, or</w:t>
            </w:r>
          </w:p>
          <w:p w14:paraId="570784C2" w14:textId="77777777" w:rsidR="00BE36FB" w:rsidRPr="009B7B35" w:rsidRDefault="00BE36FB" w:rsidP="00BE36FB">
            <w:pPr>
              <w:pStyle w:val="TableText"/>
              <w:numPr>
                <w:ilvl w:val="0"/>
                <w:numId w:val="209"/>
              </w:numPr>
              <w:ind w:left="652" w:hanging="652"/>
              <w:rPr>
                <w:rFonts w:cs="Arial"/>
                <w:lang w:eastAsia="en-US"/>
              </w:rPr>
            </w:pPr>
            <w:r w:rsidRPr="009B7B35">
              <w:rPr>
                <w:rFonts w:cs="Arial"/>
                <w:lang w:eastAsia="en-US"/>
              </w:rPr>
              <w:t>non–industrial uses which are small in scale and ancillary to or directly support the industrial functions of the area.</w:t>
            </w:r>
          </w:p>
        </w:tc>
        <w:tc>
          <w:tcPr>
            <w:tcW w:w="4678" w:type="dxa"/>
          </w:tcPr>
          <w:p w14:paraId="567CFD63"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444973DB" w14:textId="77777777" w:rsidTr="001A7107">
        <w:trPr>
          <w:trHeight w:val="20"/>
        </w:trPr>
        <w:tc>
          <w:tcPr>
            <w:tcW w:w="9356" w:type="dxa"/>
            <w:gridSpan w:val="2"/>
            <w:shd w:val="clear" w:color="auto" w:fill="BFBFBF" w:themeFill="background1" w:themeFillShade="BF"/>
            <w:hideMark/>
          </w:tcPr>
          <w:p w14:paraId="03A3F70E"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Design</w:t>
            </w:r>
          </w:p>
        </w:tc>
      </w:tr>
      <w:tr w:rsidR="00BE36FB" w:rsidRPr="009B7B35" w14:paraId="4838C9C0" w14:textId="77777777" w:rsidTr="001A7107">
        <w:trPr>
          <w:trHeight w:val="20"/>
        </w:trPr>
        <w:tc>
          <w:tcPr>
            <w:tcW w:w="4678" w:type="dxa"/>
          </w:tcPr>
          <w:p w14:paraId="50EE72FF" w14:textId="77777777" w:rsidR="00BE36FB" w:rsidRPr="009B7B35" w:rsidRDefault="00BE36FB" w:rsidP="001A7107">
            <w:pPr>
              <w:pStyle w:val="TableText"/>
              <w:rPr>
                <w:rFonts w:cs="Arial"/>
                <w:b/>
                <w:bCs/>
                <w:lang w:eastAsia="en-US"/>
              </w:rPr>
            </w:pPr>
            <w:r w:rsidRPr="009B7B35">
              <w:rPr>
                <w:rFonts w:cs="Arial"/>
                <w:b/>
                <w:bCs/>
                <w:lang w:eastAsia="en-US"/>
              </w:rPr>
              <w:t>PO18</w:t>
            </w:r>
          </w:p>
          <w:p w14:paraId="66BE83B1" w14:textId="77777777" w:rsidR="00BE36FB" w:rsidRPr="009B7B35" w:rsidRDefault="00BE36FB" w:rsidP="001A7107">
            <w:pPr>
              <w:pStyle w:val="TableText"/>
              <w:rPr>
                <w:rFonts w:cs="Arial"/>
                <w:lang w:eastAsia="en-US"/>
              </w:rPr>
            </w:pPr>
            <w:r w:rsidRPr="009B7B35">
              <w:rPr>
                <w:rFonts w:cs="Arial"/>
                <w:lang w:eastAsia="en-US"/>
              </w:rPr>
              <w:t>Development is designed to facilitate the safety and security of people and property having regard to:</w:t>
            </w:r>
          </w:p>
          <w:p w14:paraId="35CEFC16" w14:textId="77777777" w:rsidR="00BE36FB" w:rsidRPr="009B7B35" w:rsidRDefault="00BE36FB" w:rsidP="00BE36FB">
            <w:pPr>
              <w:pStyle w:val="TableText"/>
              <w:numPr>
                <w:ilvl w:val="0"/>
                <w:numId w:val="212"/>
              </w:numPr>
              <w:rPr>
                <w:rFonts w:cs="Arial"/>
                <w:lang w:eastAsia="en-US"/>
              </w:rPr>
            </w:pPr>
            <w:r w:rsidRPr="009B7B35">
              <w:rPr>
                <w:rFonts w:cs="Arial"/>
                <w:lang w:eastAsia="en-US"/>
              </w:rPr>
              <w:t>maximising casual surveillance and sight lines</w:t>
            </w:r>
          </w:p>
          <w:p w14:paraId="60A9A936" w14:textId="77777777" w:rsidR="00BE36FB" w:rsidRPr="009B7B35" w:rsidRDefault="00BE36FB" w:rsidP="00BE36FB">
            <w:pPr>
              <w:pStyle w:val="TableText"/>
              <w:numPr>
                <w:ilvl w:val="0"/>
                <w:numId w:val="212"/>
              </w:numPr>
              <w:rPr>
                <w:rFonts w:cs="Arial"/>
                <w:lang w:eastAsia="en-US"/>
              </w:rPr>
            </w:pPr>
            <w:r w:rsidRPr="009B7B35">
              <w:rPr>
                <w:rFonts w:cs="Arial"/>
                <w:lang w:eastAsia="en-US"/>
              </w:rPr>
              <w:t>exterior building design that promotes safety</w:t>
            </w:r>
          </w:p>
          <w:p w14:paraId="67CD78EC" w14:textId="77777777" w:rsidR="00BE36FB" w:rsidRPr="009B7B35" w:rsidRDefault="00BE36FB" w:rsidP="00BE36FB">
            <w:pPr>
              <w:pStyle w:val="TableText"/>
              <w:numPr>
                <w:ilvl w:val="0"/>
                <w:numId w:val="212"/>
              </w:numPr>
              <w:rPr>
                <w:rFonts w:cs="Arial"/>
                <w:lang w:eastAsia="en-US"/>
              </w:rPr>
            </w:pPr>
            <w:r w:rsidRPr="009B7B35">
              <w:rPr>
                <w:rFonts w:cs="Arial"/>
                <w:lang w:eastAsia="en-US"/>
              </w:rPr>
              <w:t>adequate lighting</w:t>
            </w:r>
          </w:p>
          <w:p w14:paraId="50A4DCAF" w14:textId="77777777" w:rsidR="00BE36FB" w:rsidRPr="009B7B35" w:rsidRDefault="00BE36FB" w:rsidP="00BE36FB">
            <w:pPr>
              <w:pStyle w:val="TableText"/>
              <w:numPr>
                <w:ilvl w:val="0"/>
                <w:numId w:val="212"/>
              </w:numPr>
              <w:rPr>
                <w:rFonts w:cs="Arial"/>
                <w:lang w:eastAsia="en-US"/>
              </w:rPr>
            </w:pPr>
            <w:r w:rsidRPr="009B7B35">
              <w:rPr>
                <w:rFonts w:cs="Arial"/>
                <w:lang w:eastAsia="en-US"/>
              </w:rPr>
              <w:t>appropriate signage and wayfinding</w:t>
            </w:r>
          </w:p>
          <w:p w14:paraId="5FB31571" w14:textId="77777777" w:rsidR="00BE36FB" w:rsidRPr="009B7B35" w:rsidRDefault="00BE36FB" w:rsidP="00BE36FB">
            <w:pPr>
              <w:pStyle w:val="TableText"/>
              <w:numPr>
                <w:ilvl w:val="0"/>
                <w:numId w:val="212"/>
              </w:numPr>
              <w:rPr>
                <w:rFonts w:cs="Arial"/>
                <w:lang w:eastAsia="en-US"/>
              </w:rPr>
            </w:pPr>
            <w:r w:rsidRPr="009B7B35">
              <w:rPr>
                <w:rFonts w:cs="Arial"/>
                <w:lang w:eastAsia="en-US"/>
              </w:rPr>
              <w:t>minimisation of personal concealment and entrapment locations, and</w:t>
            </w:r>
          </w:p>
          <w:p w14:paraId="744A7128" w14:textId="77777777" w:rsidR="00BE36FB" w:rsidRPr="009B7B35" w:rsidRDefault="00BE36FB" w:rsidP="00BE36FB">
            <w:pPr>
              <w:pStyle w:val="TableText"/>
              <w:numPr>
                <w:ilvl w:val="0"/>
                <w:numId w:val="212"/>
              </w:numPr>
              <w:rPr>
                <w:rFonts w:cs="Arial"/>
                <w:lang w:eastAsia="en-US"/>
              </w:rPr>
            </w:pPr>
            <w:r w:rsidRPr="009B7B35">
              <w:rPr>
                <w:rFonts w:cs="Arial"/>
                <w:lang w:eastAsia="en-US"/>
              </w:rPr>
              <w:t>building entrances, parking, loading and storage areas that are well lit and have clearly defined access points.</w:t>
            </w:r>
          </w:p>
          <w:p w14:paraId="66E3F4F4" w14:textId="77777777" w:rsidR="00BE36FB" w:rsidRPr="009B7B35" w:rsidRDefault="00BE36FB" w:rsidP="001A7107">
            <w:pPr>
              <w:pStyle w:val="Notes"/>
              <w:rPr>
                <w:rFonts w:cs="Arial"/>
                <w:sz w:val="20"/>
                <w:szCs w:val="20"/>
                <w:lang w:eastAsia="en-US"/>
              </w:rPr>
            </w:pPr>
            <w:r w:rsidRPr="009B7B35">
              <w:rPr>
                <w:rFonts w:cs="Arial"/>
                <w:sz w:val="20"/>
                <w:szCs w:val="20"/>
                <w:lang w:eastAsia="en-US"/>
              </w:rPr>
              <w:t>Note—</w:t>
            </w:r>
            <w:r w:rsidRPr="009B7B35">
              <w:rPr>
                <w:rFonts w:cs="Arial"/>
                <w:sz w:val="20"/>
                <w:szCs w:val="20"/>
              </w:rPr>
              <w:t>A</w:t>
            </w:r>
            <w:r w:rsidRPr="009B7B35">
              <w:rPr>
                <w:rFonts w:cs="Arial"/>
                <w:sz w:val="20"/>
                <w:szCs w:val="20"/>
                <w:lang w:eastAsia="en-US"/>
              </w:rPr>
              <w:t xml:space="preserve">pplicants should have regard to </w:t>
            </w:r>
            <w:hyperlink r:id="rId75" w:tgtFrame="_blank" w:tooltip="Crime Prevention through Environmental Design Guidelines for Queensland" w:history="1">
              <w:r w:rsidRPr="009B7B35">
                <w:rPr>
                  <w:rStyle w:val="Hyperlink"/>
                  <w:rFonts w:cs="Arial"/>
                  <w:sz w:val="20"/>
                  <w:szCs w:val="20"/>
                  <w:lang w:eastAsia="en-US"/>
                </w:rPr>
                <w:t>Crime Prevention through Environmental Design Guidelines for Queensland</w:t>
              </w:r>
            </w:hyperlink>
            <w:r w:rsidRPr="009B7B35">
              <w:rPr>
                <w:rFonts w:cs="Arial"/>
                <w:sz w:val="20"/>
                <w:szCs w:val="20"/>
                <w:lang w:eastAsia="en-US"/>
              </w:rPr>
              <w:t>.</w:t>
            </w:r>
          </w:p>
        </w:tc>
        <w:tc>
          <w:tcPr>
            <w:tcW w:w="4678" w:type="dxa"/>
          </w:tcPr>
          <w:p w14:paraId="5239245C"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p w14:paraId="7534B097" w14:textId="77777777" w:rsidR="00BE36FB" w:rsidRPr="009B7B35" w:rsidRDefault="00BE36FB" w:rsidP="001A7107">
            <w:pPr>
              <w:rPr>
                <w:rFonts w:cs="Arial"/>
                <w:sz w:val="20"/>
                <w:szCs w:val="20"/>
                <w:lang w:eastAsia="en-US"/>
              </w:rPr>
            </w:pPr>
          </w:p>
          <w:p w14:paraId="01678287" w14:textId="77777777" w:rsidR="00BE36FB" w:rsidRPr="009B7B35" w:rsidRDefault="00BE36FB" w:rsidP="001A7107">
            <w:pPr>
              <w:rPr>
                <w:rFonts w:cs="Arial"/>
                <w:sz w:val="20"/>
                <w:szCs w:val="20"/>
                <w:lang w:eastAsia="en-US"/>
              </w:rPr>
            </w:pPr>
          </w:p>
          <w:p w14:paraId="7B071748" w14:textId="77777777" w:rsidR="00BE36FB" w:rsidRPr="009B7B35" w:rsidRDefault="00BE36FB" w:rsidP="001A7107">
            <w:pPr>
              <w:rPr>
                <w:rFonts w:cs="Arial"/>
                <w:sz w:val="20"/>
                <w:szCs w:val="20"/>
                <w:lang w:eastAsia="en-US"/>
              </w:rPr>
            </w:pPr>
          </w:p>
          <w:p w14:paraId="5A1525BC" w14:textId="77777777" w:rsidR="00BE36FB" w:rsidRPr="009B7B35" w:rsidRDefault="00BE36FB" w:rsidP="001A7107">
            <w:pPr>
              <w:rPr>
                <w:rFonts w:cs="Arial"/>
                <w:sz w:val="20"/>
                <w:szCs w:val="20"/>
                <w:lang w:eastAsia="en-US"/>
              </w:rPr>
            </w:pPr>
          </w:p>
          <w:p w14:paraId="785576FC" w14:textId="77777777" w:rsidR="00BE36FB" w:rsidRPr="009B7B35" w:rsidRDefault="00BE36FB" w:rsidP="001A7107">
            <w:pPr>
              <w:rPr>
                <w:rFonts w:cs="Arial"/>
                <w:sz w:val="20"/>
                <w:szCs w:val="20"/>
                <w:lang w:eastAsia="en-US"/>
              </w:rPr>
            </w:pPr>
          </w:p>
          <w:p w14:paraId="01C28BA6" w14:textId="77777777" w:rsidR="00BE36FB" w:rsidRPr="009B7B35" w:rsidRDefault="00BE36FB" w:rsidP="001A7107">
            <w:pPr>
              <w:rPr>
                <w:rFonts w:cs="Arial"/>
                <w:sz w:val="20"/>
                <w:szCs w:val="20"/>
                <w:lang w:eastAsia="en-US"/>
              </w:rPr>
            </w:pPr>
          </w:p>
          <w:p w14:paraId="1F741A93" w14:textId="77777777" w:rsidR="00BE36FB" w:rsidRPr="009B7B35" w:rsidRDefault="00BE36FB" w:rsidP="001A7107">
            <w:pPr>
              <w:rPr>
                <w:rFonts w:cs="Arial"/>
                <w:sz w:val="20"/>
                <w:szCs w:val="20"/>
                <w:lang w:eastAsia="en-US"/>
              </w:rPr>
            </w:pPr>
          </w:p>
          <w:p w14:paraId="442C46E1" w14:textId="77777777" w:rsidR="00BE36FB" w:rsidRPr="009B7B35" w:rsidRDefault="00BE36FB" w:rsidP="001A7107">
            <w:pPr>
              <w:rPr>
                <w:rFonts w:cs="Arial"/>
                <w:sz w:val="20"/>
                <w:szCs w:val="20"/>
                <w:lang w:eastAsia="en-US"/>
              </w:rPr>
            </w:pPr>
          </w:p>
          <w:p w14:paraId="71A80F89" w14:textId="77777777" w:rsidR="00BE36FB" w:rsidRPr="009B7B35" w:rsidRDefault="00BE36FB" w:rsidP="001A7107">
            <w:pPr>
              <w:rPr>
                <w:rFonts w:cs="Arial"/>
                <w:sz w:val="20"/>
                <w:szCs w:val="20"/>
                <w:lang w:eastAsia="en-US"/>
              </w:rPr>
            </w:pPr>
          </w:p>
          <w:p w14:paraId="5768E6E4" w14:textId="77777777" w:rsidR="00BE36FB" w:rsidRPr="009B7B35" w:rsidRDefault="00BE36FB" w:rsidP="001A7107">
            <w:pPr>
              <w:rPr>
                <w:rFonts w:cs="Arial"/>
                <w:sz w:val="20"/>
                <w:szCs w:val="20"/>
                <w:lang w:eastAsia="en-US"/>
              </w:rPr>
            </w:pPr>
          </w:p>
          <w:p w14:paraId="6E6E96DC" w14:textId="77777777" w:rsidR="00BE36FB" w:rsidRPr="009B7B35" w:rsidRDefault="00BE36FB" w:rsidP="001A7107">
            <w:pPr>
              <w:rPr>
                <w:rFonts w:cs="Arial"/>
                <w:sz w:val="20"/>
                <w:szCs w:val="20"/>
                <w:lang w:eastAsia="en-US"/>
              </w:rPr>
            </w:pPr>
          </w:p>
          <w:p w14:paraId="239E748E" w14:textId="77777777" w:rsidR="00BE36FB" w:rsidRPr="009B7B35" w:rsidRDefault="00BE36FB" w:rsidP="001A7107">
            <w:pPr>
              <w:rPr>
                <w:rFonts w:cs="Arial"/>
                <w:sz w:val="20"/>
                <w:szCs w:val="20"/>
                <w:lang w:eastAsia="en-US"/>
              </w:rPr>
            </w:pPr>
          </w:p>
          <w:p w14:paraId="10EA1E2A" w14:textId="77777777" w:rsidR="00BE36FB" w:rsidRPr="009B7B35" w:rsidRDefault="00BE36FB" w:rsidP="001A7107">
            <w:pPr>
              <w:rPr>
                <w:rFonts w:cs="Arial"/>
                <w:sz w:val="20"/>
                <w:szCs w:val="20"/>
                <w:lang w:eastAsia="en-US"/>
              </w:rPr>
            </w:pPr>
          </w:p>
          <w:p w14:paraId="0093FC0A" w14:textId="77777777" w:rsidR="00BE36FB" w:rsidRPr="009B7B35" w:rsidRDefault="00BE36FB" w:rsidP="001A7107">
            <w:pPr>
              <w:tabs>
                <w:tab w:val="left" w:pos="1545"/>
              </w:tabs>
              <w:rPr>
                <w:rFonts w:cs="Arial"/>
                <w:sz w:val="20"/>
                <w:szCs w:val="20"/>
                <w:lang w:eastAsia="en-US"/>
              </w:rPr>
            </w:pPr>
          </w:p>
        </w:tc>
      </w:tr>
      <w:tr w:rsidR="00BE36FB" w:rsidRPr="009B7B35" w14:paraId="3C6D0DCC" w14:textId="77777777" w:rsidTr="001A7107">
        <w:trPr>
          <w:trHeight w:val="20"/>
        </w:trPr>
        <w:tc>
          <w:tcPr>
            <w:tcW w:w="9356" w:type="dxa"/>
            <w:gridSpan w:val="2"/>
            <w:shd w:val="clear" w:color="auto" w:fill="BFBFBF" w:themeFill="background1" w:themeFillShade="BF"/>
            <w:hideMark/>
          </w:tcPr>
          <w:p w14:paraId="45A0947B"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Effects of development</w:t>
            </w:r>
          </w:p>
        </w:tc>
      </w:tr>
      <w:tr w:rsidR="00BE36FB" w:rsidRPr="009B7B35" w14:paraId="3ED729AC" w14:textId="77777777" w:rsidTr="001A7107">
        <w:trPr>
          <w:trHeight w:val="20"/>
        </w:trPr>
        <w:tc>
          <w:tcPr>
            <w:tcW w:w="4678" w:type="dxa"/>
            <w:hideMark/>
          </w:tcPr>
          <w:p w14:paraId="3EB72027"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PO19</w:t>
            </w:r>
          </w:p>
          <w:p w14:paraId="1259583B" w14:textId="77777777" w:rsidR="00BE36FB" w:rsidRPr="009B7B35" w:rsidRDefault="00BE36FB" w:rsidP="001A7107">
            <w:pPr>
              <w:pStyle w:val="TableText"/>
              <w:rPr>
                <w:rFonts w:cs="Arial"/>
                <w:lang w:eastAsia="en-US"/>
              </w:rPr>
            </w:pPr>
            <w:r w:rsidRPr="009B7B35">
              <w:rPr>
                <w:rFonts w:cs="Arial"/>
                <w:lang w:eastAsia="en-US"/>
              </w:rPr>
              <w:t>Development responds sensitively to on–site and surrounding topography, coastal foreshores, waterways, drainage patterns, utility services, access, vegetation and adjoining land uses, such that:</w:t>
            </w:r>
          </w:p>
          <w:p w14:paraId="089A7DAB" w14:textId="77777777" w:rsidR="00BE36FB" w:rsidRPr="009B7B35" w:rsidRDefault="00BE36FB" w:rsidP="00BE36FB">
            <w:pPr>
              <w:pStyle w:val="TableText"/>
              <w:numPr>
                <w:ilvl w:val="0"/>
                <w:numId w:val="173"/>
              </w:numPr>
              <w:rPr>
                <w:rFonts w:cs="Arial"/>
                <w:lang w:eastAsia="en-US"/>
              </w:rPr>
            </w:pPr>
            <w:r w:rsidRPr="009B7B35">
              <w:rPr>
                <w:rFonts w:cs="Arial"/>
                <w:lang w:eastAsia="en-US"/>
              </w:rPr>
              <w:t>any hazards to people or property are avoided</w:t>
            </w:r>
          </w:p>
          <w:p w14:paraId="29D3BF5F" w14:textId="77777777" w:rsidR="00BE36FB" w:rsidRPr="009B7B35" w:rsidRDefault="00BE36FB" w:rsidP="00BE36FB">
            <w:pPr>
              <w:pStyle w:val="TableText"/>
              <w:numPr>
                <w:ilvl w:val="0"/>
                <w:numId w:val="173"/>
              </w:numPr>
              <w:rPr>
                <w:rFonts w:cs="Arial"/>
                <w:lang w:eastAsia="en-US"/>
              </w:rPr>
            </w:pPr>
            <w:r w:rsidRPr="009B7B35">
              <w:rPr>
                <w:rFonts w:cs="Arial"/>
                <w:lang w:eastAsia="en-US"/>
              </w:rPr>
              <w:t>any earthworks are minimised</w:t>
            </w:r>
          </w:p>
          <w:p w14:paraId="3B616678" w14:textId="77777777" w:rsidR="00BE36FB" w:rsidRPr="009B7B35" w:rsidRDefault="00BE36FB" w:rsidP="00BE36FB">
            <w:pPr>
              <w:pStyle w:val="TableText"/>
              <w:numPr>
                <w:ilvl w:val="0"/>
                <w:numId w:val="173"/>
              </w:numPr>
              <w:rPr>
                <w:rFonts w:cs="Arial"/>
                <w:lang w:eastAsia="en-US"/>
              </w:rPr>
            </w:pPr>
            <w:r w:rsidRPr="009B7B35">
              <w:rPr>
                <w:rFonts w:cs="Arial"/>
                <w:lang w:eastAsia="en-US"/>
              </w:rPr>
              <w:t>the retention of natural drainage line is maximised</w:t>
            </w:r>
          </w:p>
          <w:p w14:paraId="22A4E3F6" w14:textId="77777777" w:rsidR="00BE36FB" w:rsidRPr="009B7B35" w:rsidRDefault="00BE36FB" w:rsidP="00BE36FB">
            <w:pPr>
              <w:pStyle w:val="TableText"/>
              <w:numPr>
                <w:ilvl w:val="0"/>
                <w:numId w:val="173"/>
              </w:numPr>
              <w:rPr>
                <w:rFonts w:cs="Arial"/>
                <w:lang w:eastAsia="en-US"/>
              </w:rPr>
            </w:pPr>
            <w:r w:rsidRPr="009B7B35">
              <w:rPr>
                <w:rFonts w:cs="Arial"/>
                <w:lang w:eastAsia="en-US"/>
              </w:rPr>
              <w:t>the retention of existing vegetation is maximised</w:t>
            </w:r>
          </w:p>
          <w:p w14:paraId="2ACA0A18" w14:textId="77777777" w:rsidR="00BE36FB" w:rsidRPr="009B7B35" w:rsidRDefault="00BE36FB" w:rsidP="00BE36FB">
            <w:pPr>
              <w:pStyle w:val="TableText"/>
              <w:numPr>
                <w:ilvl w:val="0"/>
                <w:numId w:val="173"/>
              </w:numPr>
              <w:rPr>
                <w:rFonts w:cs="Arial"/>
                <w:lang w:eastAsia="en-US"/>
              </w:rPr>
            </w:pPr>
            <w:r w:rsidRPr="009B7B35">
              <w:rPr>
                <w:rFonts w:cs="Arial"/>
                <w:lang w:eastAsia="en-US"/>
              </w:rPr>
              <w:t>damage or disruption to sewer</w:t>
            </w:r>
            <w:r w:rsidRPr="009B7B35">
              <w:rPr>
                <w:rFonts w:cs="Arial"/>
              </w:rPr>
              <w:t>age</w:t>
            </w:r>
            <w:r w:rsidRPr="009B7B35">
              <w:rPr>
                <w:rFonts w:cs="Arial"/>
                <w:lang w:eastAsia="en-US"/>
              </w:rPr>
              <w:t xml:space="preserve">, stormwater and water infrastructure is avoided, and </w:t>
            </w:r>
          </w:p>
          <w:p w14:paraId="23F1F743" w14:textId="77777777" w:rsidR="00BE36FB" w:rsidRPr="009B7B35" w:rsidRDefault="00BE36FB" w:rsidP="00BE36FB">
            <w:pPr>
              <w:pStyle w:val="TableText"/>
              <w:numPr>
                <w:ilvl w:val="0"/>
                <w:numId w:val="173"/>
              </w:numPr>
              <w:rPr>
                <w:rFonts w:cs="Arial"/>
                <w:lang w:eastAsia="en-US"/>
              </w:rPr>
            </w:pPr>
            <w:r w:rsidRPr="009B7B35">
              <w:rPr>
                <w:rFonts w:cs="Arial"/>
                <w:lang w:eastAsia="en-US"/>
              </w:rPr>
              <w:t>there is adequate buffering, screening or separation to adjoining development.</w:t>
            </w:r>
          </w:p>
        </w:tc>
        <w:tc>
          <w:tcPr>
            <w:tcW w:w="4678" w:type="dxa"/>
            <w:hideMark/>
          </w:tcPr>
          <w:p w14:paraId="14A79631"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p w14:paraId="7C3988E6" w14:textId="77777777" w:rsidR="00BE36FB" w:rsidRPr="009B7B35" w:rsidRDefault="00BE36FB" w:rsidP="001A7107">
            <w:pPr>
              <w:rPr>
                <w:rFonts w:cs="Arial"/>
                <w:sz w:val="20"/>
                <w:szCs w:val="20"/>
                <w:lang w:eastAsia="en-US"/>
              </w:rPr>
            </w:pPr>
          </w:p>
          <w:p w14:paraId="4645DB1D" w14:textId="77777777" w:rsidR="00BE36FB" w:rsidRPr="009B7B35" w:rsidRDefault="00BE36FB" w:rsidP="001A7107">
            <w:pPr>
              <w:rPr>
                <w:rFonts w:cs="Arial"/>
                <w:sz w:val="20"/>
                <w:szCs w:val="20"/>
                <w:lang w:eastAsia="en-US"/>
              </w:rPr>
            </w:pPr>
          </w:p>
          <w:p w14:paraId="00F3AF3F" w14:textId="77777777" w:rsidR="00BE36FB" w:rsidRPr="009B7B35" w:rsidRDefault="00BE36FB" w:rsidP="001A7107">
            <w:pPr>
              <w:rPr>
                <w:rFonts w:cs="Arial"/>
                <w:sz w:val="20"/>
                <w:szCs w:val="20"/>
                <w:lang w:eastAsia="en-US"/>
              </w:rPr>
            </w:pPr>
          </w:p>
          <w:p w14:paraId="1F96B0D9" w14:textId="77777777" w:rsidR="00BE36FB" w:rsidRPr="009B7B35" w:rsidRDefault="00BE36FB" w:rsidP="001A7107">
            <w:pPr>
              <w:rPr>
                <w:rFonts w:cs="Arial"/>
                <w:sz w:val="20"/>
                <w:szCs w:val="20"/>
                <w:lang w:eastAsia="en-US"/>
              </w:rPr>
            </w:pPr>
          </w:p>
          <w:p w14:paraId="730B27B5" w14:textId="77777777" w:rsidR="00BE36FB" w:rsidRPr="009B7B35" w:rsidRDefault="00BE36FB" w:rsidP="001A7107">
            <w:pPr>
              <w:rPr>
                <w:rFonts w:cs="Arial"/>
                <w:sz w:val="20"/>
                <w:szCs w:val="20"/>
                <w:lang w:eastAsia="en-US"/>
              </w:rPr>
            </w:pPr>
          </w:p>
          <w:p w14:paraId="0DFF3CE9" w14:textId="77777777" w:rsidR="00BE36FB" w:rsidRPr="009B7B35" w:rsidRDefault="00BE36FB" w:rsidP="001A7107">
            <w:pPr>
              <w:rPr>
                <w:rFonts w:cs="Arial"/>
                <w:sz w:val="20"/>
                <w:szCs w:val="20"/>
                <w:lang w:eastAsia="en-US"/>
              </w:rPr>
            </w:pPr>
          </w:p>
          <w:p w14:paraId="13D072F7" w14:textId="77777777" w:rsidR="00BE36FB" w:rsidRPr="009B7B35" w:rsidRDefault="00BE36FB" w:rsidP="001A7107">
            <w:pPr>
              <w:tabs>
                <w:tab w:val="left" w:pos="3090"/>
              </w:tabs>
              <w:rPr>
                <w:rFonts w:cs="Arial"/>
                <w:sz w:val="20"/>
                <w:szCs w:val="20"/>
                <w:lang w:eastAsia="en-US"/>
              </w:rPr>
            </w:pPr>
          </w:p>
        </w:tc>
      </w:tr>
      <w:tr w:rsidR="00BE36FB" w:rsidRPr="009B7B35" w14:paraId="2271CEBE" w14:textId="77777777" w:rsidTr="001A7107">
        <w:trPr>
          <w:trHeight w:val="20"/>
        </w:trPr>
        <w:tc>
          <w:tcPr>
            <w:tcW w:w="4678" w:type="dxa"/>
            <w:hideMark/>
          </w:tcPr>
          <w:p w14:paraId="5F66914F"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PO20</w:t>
            </w:r>
          </w:p>
          <w:p w14:paraId="7CE17E21" w14:textId="77777777" w:rsidR="00BE36FB" w:rsidRPr="009B7B35" w:rsidRDefault="00BE36FB" w:rsidP="001A7107">
            <w:pPr>
              <w:pStyle w:val="TableText"/>
              <w:rPr>
                <w:rFonts w:cs="Arial"/>
                <w:lang w:eastAsia="en-US"/>
              </w:rPr>
            </w:pPr>
            <w:r w:rsidRPr="009B7B35">
              <w:rPr>
                <w:rFonts w:cs="Arial"/>
                <w:lang w:eastAsia="en-US"/>
              </w:rPr>
              <w:t>Development is located, designed and operated so that adverse environmental impacts and environmental harm on nearby land is minimised.</w:t>
            </w:r>
          </w:p>
        </w:tc>
        <w:tc>
          <w:tcPr>
            <w:tcW w:w="4678" w:type="dxa"/>
            <w:hideMark/>
          </w:tcPr>
          <w:p w14:paraId="71B0B08C"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58CB71A3" w14:textId="77777777" w:rsidTr="001A7107">
        <w:trPr>
          <w:trHeight w:val="20"/>
        </w:trPr>
        <w:tc>
          <w:tcPr>
            <w:tcW w:w="9356" w:type="dxa"/>
            <w:gridSpan w:val="2"/>
            <w:shd w:val="clear" w:color="auto" w:fill="BFBFBF" w:themeFill="background1" w:themeFillShade="BF"/>
          </w:tcPr>
          <w:p w14:paraId="03150773"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Food and drink outlet</w:t>
            </w:r>
          </w:p>
        </w:tc>
      </w:tr>
      <w:tr w:rsidR="00BE36FB" w:rsidRPr="009B7B35" w14:paraId="1172D1DD" w14:textId="77777777" w:rsidTr="001A7107">
        <w:trPr>
          <w:trHeight w:val="20"/>
        </w:trPr>
        <w:tc>
          <w:tcPr>
            <w:tcW w:w="4678" w:type="dxa"/>
          </w:tcPr>
          <w:p w14:paraId="0FD3502A" w14:textId="77777777" w:rsidR="00BE36FB" w:rsidRPr="009B7B35" w:rsidRDefault="00BE36FB" w:rsidP="001A7107">
            <w:pPr>
              <w:pStyle w:val="TableText"/>
              <w:rPr>
                <w:rFonts w:cs="Arial"/>
                <w:b/>
                <w:bCs/>
                <w:lang w:eastAsia="en-US"/>
              </w:rPr>
            </w:pPr>
            <w:r w:rsidRPr="009B7B35">
              <w:rPr>
                <w:rFonts w:cs="Arial"/>
                <w:b/>
                <w:bCs/>
                <w:lang w:eastAsia="en-US"/>
              </w:rPr>
              <w:t>PO21</w:t>
            </w:r>
          </w:p>
          <w:p w14:paraId="38B70C7D" w14:textId="77777777" w:rsidR="00BE36FB" w:rsidRPr="009B7B35" w:rsidRDefault="00BE36FB" w:rsidP="001A7107">
            <w:pPr>
              <w:pStyle w:val="TableText"/>
              <w:rPr>
                <w:rFonts w:cs="Arial"/>
                <w:lang w:eastAsia="en-US"/>
              </w:rPr>
            </w:pPr>
            <w:r w:rsidRPr="009B7B35">
              <w:rPr>
                <w:rFonts w:cs="Arial"/>
                <w:lang w:eastAsia="en-US"/>
              </w:rPr>
              <w:t xml:space="preserve">Development: </w:t>
            </w:r>
          </w:p>
          <w:p w14:paraId="6166D7D9" w14:textId="77777777" w:rsidR="00BE36FB" w:rsidRPr="009B7B35" w:rsidRDefault="00BE36FB" w:rsidP="00BE36FB">
            <w:pPr>
              <w:pStyle w:val="TableText"/>
              <w:numPr>
                <w:ilvl w:val="0"/>
                <w:numId w:val="210"/>
              </w:numPr>
              <w:ind w:left="652" w:hanging="652"/>
              <w:rPr>
                <w:rFonts w:cs="Arial"/>
                <w:lang w:eastAsia="en-US"/>
              </w:rPr>
            </w:pPr>
            <w:r w:rsidRPr="009B7B35">
              <w:rPr>
                <w:rFonts w:cs="Arial"/>
                <w:lang w:eastAsia="en-US"/>
              </w:rPr>
              <w:t>occurs at a scale which provides for the day to day convenience needs of employees in the medium impact industry area, and</w:t>
            </w:r>
          </w:p>
          <w:p w14:paraId="417381C3" w14:textId="77777777" w:rsidR="00BE36FB" w:rsidRPr="009B7B35" w:rsidRDefault="00BE36FB" w:rsidP="00BE36FB">
            <w:pPr>
              <w:pStyle w:val="TableText"/>
              <w:numPr>
                <w:ilvl w:val="0"/>
                <w:numId w:val="210"/>
              </w:numPr>
              <w:ind w:left="652" w:hanging="652"/>
              <w:rPr>
                <w:rFonts w:cs="Arial"/>
                <w:lang w:eastAsia="en-US"/>
              </w:rPr>
            </w:pPr>
            <w:r w:rsidRPr="009B7B35">
              <w:rPr>
                <w:rFonts w:cs="Arial"/>
                <w:lang w:eastAsia="en-US"/>
              </w:rPr>
              <w:t>does not impact on the viability of the region’s centres.</w:t>
            </w:r>
          </w:p>
        </w:tc>
        <w:tc>
          <w:tcPr>
            <w:tcW w:w="4678" w:type="dxa"/>
          </w:tcPr>
          <w:p w14:paraId="0745FF31" w14:textId="77777777" w:rsidR="00BE36FB" w:rsidRPr="009B7B35" w:rsidRDefault="00BE36FB" w:rsidP="001A7107">
            <w:pPr>
              <w:pStyle w:val="TableText"/>
              <w:rPr>
                <w:rFonts w:cs="Arial"/>
                <w:b/>
                <w:bCs/>
                <w:lang w:eastAsia="en-US"/>
              </w:rPr>
            </w:pPr>
            <w:r w:rsidRPr="009B7B35">
              <w:rPr>
                <w:rFonts w:cs="Arial"/>
                <w:b/>
                <w:bCs/>
                <w:lang w:eastAsia="en-US"/>
              </w:rPr>
              <w:t>AO21</w:t>
            </w:r>
          </w:p>
          <w:p w14:paraId="235BBD1D" w14:textId="77777777" w:rsidR="00BE36FB" w:rsidRPr="009B7B35" w:rsidRDefault="00BE36FB" w:rsidP="001A7107">
            <w:pPr>
              <w:pStyle w:val="TableText"/>
              <w:rPr>
                <w:rFonts w:cs="Arial"/>
                <w:lang w:eastAsia="en-US"/>
              </w:rPr>
            </w:pPr>
            <w:r w:rsidRPr="009B7B35">
              <w:rPr>
                <w:rFonts w:cs="Arial"/>
                <w:lang w:eastAsia="en-US"/>
              </w:rPr>
              <w:t>GFA including all seating areas does not exceed 150m</w:t>
            </w:r>
            <w:r w:rsidRPr="009B7B35">
              <w:rPr>
                <w:rStyle w:val="StyleSuperscript"/>
                <w:rFonts w:cs="Arial"/>
              </w:rPr>
              <w:t>2</w:t>
            </w:r>
            <w:r w:rsidRPr="009B7B35">
              <w:rPr>
                <w:rFonts w:cs="Arial"/>
                <w:lang w:eastAsia="en-US"/>
              </w:rPr>
              <w:t>.</w:t>
            </w:r>
          </w:p>
        </w:tc>
      </w:tr>
      <w:tr w:rsidR="00BE36FB" w:rsidRPr="009B7B35" w14:paraId="2275C16A" w14:textId="77777777" w:rsidTr="001A7107">
        <w:trPr>
          <w:trHeight w:val="20"/>
        </w:trPr>
        <w:tc>
          <w:tcPr>
            <w:tcW w:w="4678" w:type="dxa"/>
          </w:tcPr>
          <w:p w14:paraId="7CE9B3F8" w14:textId="77777777" w:rsidR="00BE36FB" w:rsidRPr="009B7B35" w:rsidRDefault="00BE36FB" w:rsidP="001A7107">
            <w:pPr>
              <w:pStyle w:val="TableText"/>
              <w:rPr>
                <w:rFonts w:cs="Arial"/>
                <w:b/>
                <w:bCs/>
                <w:lang w:eastAsia="en-US"/>
              </w:rPr>
            </w:pPr>
            <w:r w:rsidRPr="009B7B35">
              <w:rPr>
                <w:rFonts w:cs="Arial"/>
                <w:b/>
                <w:bCs/>
                <w:lang w:eastAsia="en-US"/>
              </w:rPr>
              <w:t>PO22</w:t>
            </w:r>
          </w:p>
          <w:p w14:paraId="2CAA2323" w14:textId="77777777" w:rsidR="00BE36FB" w:rsidRPr="009B7B35" w:rsidRDefault="00BE36FB" w:rsidP="001A7107">
            <w:pPr>
              <w:pStyle w:val="TableText"/>
              <w:rPr>
                <w:rFonts w:cs="Arial"/>
                <w:lang w:eastAsia="en-US"/>
              </w:rPr>
            </w:pPr>
            <w:r w:rsidRPr="009B7B35">
              <w:rPr>
                <w:rFonts w:cs="Arial"/>
                <w:lang w:eastAsia="en-US"/>
              </w:rPr>
              <w:t>Development provides a safe environment for staff and patrons through:</w:t>
            </w:r>
          </w:p>
          <w:p w14:paraId="1612BAE0" w14:textId="77777777" w:rsidR="00BE36FB" w:rsidRPr="009B7B35" w:rsidRDefault="00BE36FB" w:rsidP="00BE36FB">
            <w:pPr>
              <w:pStyle w:val="TableText"/>
              <w:numPr>
                <w:ilvl w:val="0"/>
                <w:numId w:val="172"/>
              </w:numPr>
              <w:rPr>
                <w:rFonts w:cs="Arial"/>
                <w:lang w:eastAsia="en-US"/>
              </w:rPr>
            </w:pPr>
            <w:r w:rsidRPr="009B7B35">
              <w:rPr>
                <w:rFonts w:cs="Arial"/>
                <w:lang w:eastAsia="en-US"/>
              </w:rPr>
              <w:t>adequate separation from the source of any emissions generated by surrounding uses, and</w:t>
            </w:r>
          </w:p>
          <w:p w14:paraId="6797EFF3" w14:textId="77777777" w:rsidR="00BE36FB" w:rsidRPr="009B7B35" w:rsidRDefault="00BE36FB" w:rsidP="00BE36FB">
            <w:pPr>
              <w:pStyle w:val="TableText"/>
              <w:numPr>
                <w:ilvl w:val="0"/>
                <w:numId w:val="172"/>
              </w:numPr>
              <w:rPr>
                <w:rFonts w:cs="Arial"/>
                <w:lang w:eastAsia="en-US"/>
              </w:rPr>
            </w:pPr>
            <w:r w:rsidRPr="009B7B35">
              <w:rPr>
                <w:rFonts w:cs="Arial"/>
                <w:lang w:eastAsia="en-US"/>
              </w:rPr>
              <w:t>design and construction features which mitigate noise and air quality impacts on food preparation and dining areas.</w:t>
            </w:r>
          </w:p>
        </w:tc>
        <w:tc>
          <w:tcPr>
            <w:tcW w:w="4678" w:type="dxa"/>
          </w:tcPr>
          <w:p w14:paraId="4ADD2F8B"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2F76414A" w14:textId="77777777" w:rsidTr="001A7107">
        <w:trPr>
          <w:cantSplit/>
        </w:trPr>
        <w:tc>
          <w:tcPr>
            <w:tcW w:w="9356" w:type="dxa"/>
            <w:gridSpan w:val="2"/>
            <w:shd w:val="clear" w:color="auto" w:fill="BFBFBF" w:themeFill="background1" w:themeFillShade="BF"/>
          </w:tcPr>
          <w:p w14:paraId="1A89B1CA"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Service station</w:t>
            </w:r>
          </w:p>
        </w:tc>
      </w:tr>
      <w:tr w:rsidR="00BE36FB" w:rsidRPr="009B7B35" w14:paraId="05769826" w14:textId="77777777" w:rsidTr="001A7107">
        <w:trPr>
          <w:cantSplit/>
        </w:trPr>
        <w:tc>
          <w:tcPr>
            <w:tcW w:w="4678" w:type="dxa"/>
          </w:tcPr>
          <w:p w14:paraId="66B3827B" w14:textId="77777777" w:rsidR="00BE36FB" w:rsidRPr="009B7B35" w:rsidRDefault="00BE36FB" w:rsidP="001A7107">
            <w:pPr>
              <w:pStyle w:val="TableText"/>
              <w:rPr>
                <w:rFonts w:cs="Arial"/>
                <w:b/>
                <w:bCs/>
                <w:lang w:eastAsia="en-US"/>
              </w:rPr>
            </w:pPr>
            <w:r w:rsidRPr="009B7B35">
              <w:rPr>
                <w:rFonts w:cs="Arial"/>
                <w:b/>
                <w:bCs/>
                <w:lang w:eastAsia="en-US"/>
              </w:rPr>
              <w:t>PO23</w:t>
            </w:r>
          </w:p>
          <w:p w14:paraId="0FA19748" w14:textId="77777777" w:rsidR="00BE36FB" w:rsidRPr="009B7B35" w:rsidRDefault="00BE36FB" w:rsidP="001A7107">
            <w:pPr>
              <w:pStyle w:val="TableText"/>
              <w:rPr>
                <w:rFonts w:cs="Arial"/>
                <w:lang w:eastAsia="en-US"/>
              </w:rPr>
            </w:pPr>
            <w:r w:rsidRPr="009B7B35">
              <w:rPr>
                <w:rFonts w:cs="Arial"/>
                <w:lang w:eastAsia="en-US"/>
              </w:rPr>
              <w:t>Buildings and structures allow for the safe operation of the service station.</w:t>
            </w:r>
          </w:p>
        </w:tc>
        <w:tc>
          <w:tcPr>
            <w:tcW w:w="4678" w:type="dxa"/>
          </w:tcPr>
          <w:p w14:paraId="45355C87" w14:textId="77777777" w:rsidR="00BE36FB" w:rsidRPr="009B7B35" w:rsidRDefault="00BE36FB" w:rsidP="001A7107">
            <w:pPr>
              <w:pStyle w:val="TableText"/>
              <w:rPr>
                <w:rFonts w:cs="Arial"/>
                <w:b/>
                <w:bCs/>
                <w:lang w:eastAsia="en-US"/>
              </w:rPr>
            </w:pPr>
            <w:r w:rsidRPr="009B7B35">
              <w:rPr>
                <w:rFonts w:cs="Arial"/>
                <w:b/>
                <w:bCs/>
                <w:lang w:eastAsia="en-US"/>
              </w:rPr>
              <w:t>AO23</w:t>
            </w:r>
          </w:p>
          <w:p w14:paraId="2B2B89CD" w14:textId="77777777" w:rsidR="00BE36FB" w:rsidRPr="009B7B35" w:rsidRDefault="00BE36FB" w:rsidP="001A7107">
            <w:pPr>
              <w:pStyle w:val="TableText"/>
              <w:rPr>
                <w:rFonts w:cs="Arial"/>
                <w:lang w:eastAsia="en-US"/>
              </w:rPr>
            </w:pPr>
            <w:r w:rsidRPr="009B7B35">
              <w:rPr>
                <w:rFonts w:cs="Arial"/>
                <w:lang w:eastAsia="en-US"/>
              </w:rPr>
              <w:t>All buildings and structures, including equipment associated with the service station operation are setback as follows:</w:t>
            </w:r>
          </w:p>
          <w:p w14:paraId="40524062" w14:textId="77777777" w:rsidR="00BE36FB" w:rsidRPr="009B7B35" w:rsidRDefault="00BE36FB" w:rsidP="00BE36FB">
            <w:pPr>
              <w:pStyle w:val="TableText"/>
              <w:numPr>
                <w:ilvl w:val="0"/>
                <w:numId w:val="211"/>
              </w:numPr>
              <w:ind w:left="652" w:hanging="652"/>
              <w:rPr>
                <w:rFonts w:cs="Arial"/>
                <w:lang w:eastAsia="en-US"/>
              </w:rPr>
            </w:pPr>
            <w:r w:rsidRPr="009B7B35">
              <w:rPr>
                <w:rFonts w:cs="Arial"/>
                <w:lang w:eastAsia="en-US"/>
              </w:rPr>
              <w:t>10m from the front boundary</w:t>
            </w:r>
          </w:p>
          <w:p w14:paraId="2E7CD14F" w14:textId="77777777" w:rsidR="00BE36FB" w:rsidRPr="009B7B35" w:rsidRDefault="00BE36FB" w:rsidP="00BE36FB">
            <w:pPr>
              <w:pStyle w:val="TableText"/>
              <w:numPr>
                <w:ilvl w:val="0"/>
                <w:numId w:val="211"/>
              </w:numPr>
              <w:ind w:left="652" w:hanging="652"/>
              <w:rPr>
                <w:rFonts w:cs="Arial"/>
                <w:lang w:eastAsia="en-US"/>
              </w:rPr>
            </w:pPr>
            <w:r w:rsidRPr="009B7B35">
              <w:rPr>
                <w:rFonts w:cs="Arial"/>
                <w:lang w:eastAsia="en-US"/>
              </w:rPr>
              <w:t>2m from the side and rear boundaries.</w:t>
            </w:r>
          </w:p>
        </w:tc>
      </w:tr>
      <w:tr w:rsidR="00BE36FB" w:rsidRPr="009B7B35" w14:paraId="48E65493" w14:textId="77777777" w:rsidTr="001A7107">
        <w:trPr>
          <w:cantSplit/>
        </w:trPr>
        <w:tc>
          <w:tcPr>
            <w:tcW w:w="4678" w:type="dxa"/>
          </w:tcPr>
          <w:p w14:paraId="31B7921E" w14:textId="77777777" w:rsidR="00BE36FB" w:rsidRPr="009B7B35" w:rsidRDefault="00BE36FB" w:rsidP="001A7107">
            <w:pPr>
              <w:pStyle w:val="TableText"/>
              <w:rPr>
                <w:rFonts w:cs="Arial"/>
                <w:b/>
                <w:bCs/>
                <w:lang w:eastAsia="en-US"/>
              </w:rPr>
            </w:pPr>
            <w:r w:rsidRPr="009B7B35">
              <w:rPr>
                <w:rFonts w:cs="Arial"/>
                <w:b/>
                <w:bCs/>
                <w:lang w:eastAsia="en-US"/>
              </w:rPr>
              <w:t>PO24</w:t>
            </w:r>
          </w:p>
          <w:p w14:paraId="6A6D5818" w14:textId="77777777" w:rsidR="00BE36FB" w:rsidRPr="009B7B35" w:rsidRDefault="00BE36FB" w:rsidP="001A7107">
            <w:pPr>
              <w:pStyle w:val="TableText"/>
              <w:rPr>
                <w:rFonts w:cs="Arial"/>
                <w:lang w:eastAsia="en-US"/>
              </w:rPr>
            </w:pPr>
            <w:r w:rsidRPr="009B7B35">
              <w:rPr>
                <w:rFonts w:cs="Arial"/>
                <w:lang w:eastAsia="en-US"/>
              </w:rPr>
              <w:t>Retail components are ancillary to the service station use.</w:t>
            </w:r>
          </w:p>
        </w:tc>
        <w:tc>
          <w:tcPr>
            <w:tcW w:w="4678" w:type="dxa"/>
          </w:tcPr>
          <w:p w14:paraId="7FD990B1" w14:textId="77777777" w:rsidR="00BE36FB" w:rsidRPr="009B7B35" w:rsidRDefault="00BE36FB" w:rsidP="001A7107">
            <w:pPr>
              <w:pStyle w:val="TableText"/>
              <w:rPr>
                <w:rFonts w:cs="Arial"/>
                <w:b/>
                <w:bCs/>
                <w:lang w:eastAsia="en-US"/>
              </w:rPr>
            </w:pPr>
            <w:r w:rsidRPr="009B7B35">
              <w:rPr>
                <w:rFonts w:cs="Arial"/>
                <w:b/>
                <w:bCs/>
                <w:lang w:eastAsia="en-US"/>
              </w:rPr>
              <w:t>AO24</w:t>
            </w:r>
          </w:p>
          <w:p w14:paraId="5890DFCB" w14:textId="77777777" w:rsidR="00BE36FB" w:rsidRPr="009B7B35" w:rsidRDefault="00BE36FB">
            <w:pPr>
              <w:pStyle w:val="TableText"/>
              <w:rPr>
                <w:rFonts w:cs="Arial"/>
                <w:lang w:eastAsia="en-US"/>
              </w:rPr>
            </w:pPr>
            <w:r w:rsidRPr="009B7B35">
              <w:rPr>
                <w:rFonts w:cs="Arial"/>
                <w:lang w:eastAsia="en-US"/>
              </w:rPr>
              <w:t>The maximum area of retail GFA is 80m</w:t>
            </w:r>
            <w:r w:rsidRPr="009B7B35">
              <w:rPr>
                <w:rStyle w:val="StyleSuperscript"/>
                <w:rFonts w:cs="Arial"/>
              </w:rPr>
              <w:t>2</w:t>
            </w:r>
            <w:r w:rsidRPr="009B7B35">
              <w:rPr>
                <w:rFonts w:cs="Arial"/>
                <w:lang w:eastAsia="en-US"/>
              </w:rPr>
              <w:t>.</w:t>
            </w:r>
          </w:p>
        </w:tc>
      </w:tr>
    </w:tbl>
    <w:p w14:paraId="47475F79" w14:textId="77777777" w:rsidR="00BE36FB" w:rsidRPr="009B7B35" w:rsidRDefault="00BE36FB" w:rsidP="001A7107">
      <w:pPr>
        <w:rPr>
          <w:rFonts w:ascii="Arial" w:hAnsi="Arial" w:cs="Arial"/>
          <w:sz w:val="20"/>
          <w:szCs w:val="20"/>
        </w:rPr>
      </w:pPr>
    </w:p>
    <w:p w14:paraId="18267728"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16B5F6FA" w14:textId="77777777" w:rsidR="00BE36FB" w:rsidRPr="009B7B35" w:rsidRDefault="00BE36FB" w:rsidP="006776DA">
      <w:pPr>
        <w:pStyle w:val="Heading3"/>
        <w:keepLines/>
        <w:numPr>
          <w:ilvl w:val="2"/>
          <w:numId w:val="883"/>
        </w:numPr>
        <w:spacing w:before="240"/>
        <w:rPr>
          <w:rFonts w:ascii="Arial" w:hAnsi="Arial"/>
          <w:sz w:val="20"/>
          <w:szCs w:val="20"/>
        </w:rPr>
      </w:pPr>
      <w:bookmarkStart w:id="196" w:name="_Toc205367359"/>
      <w:r w:rsidRPr="009B7B35">
        <w:rPr>
          <w:rFonts w:ascii="Arial" w:hAnsi="Arial"/>
          <w:sz w:val="20"/>
          <w:szCs w:val="20"/>
        </w:rPr>
        <w:t>Special industry</w:t>
      </w:r>
      <w:bookmarkEnd w:id="196"/>
    </w:p>
    <w:p w14:paraId="5DD08632"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23B920E8" w14:textId="77777777"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development where the code is identified as applicable in a table of assessment. When using this code, reference should be made to section 5.3.2 and where applicable, section 5.3.3 located in Part 5.</w:t>
      </w:r>
    </w:p>
    <w:p w14:paraId="1030179C"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20067F69" w14:textId="77777777" w:rsidR="00BE36FB" w:rsidRPr="009B7B35" w:rsidRDefault="00BE36FB" w:rsidP="00BE36FB">
      <w:pPr>
        <w:numPr>
          <w:ilvl w:val="0"/>
          <w:numId w:val="255"/>
        </w:numPr>
        <w:ind w:left="567" w:hanging="567"/>
        <w:jc w:val="both"/>
        <w:rPr>
          <w:rFonts w:ascii="Arial" w:hAnsi="Arial" w:cs="Arial"/>
          <w:sz w:val="20"/>
          <w:szCs w:val="20"/>
          <w:lang w:eastAsia="en-US"/>
        </w:rPr>
      </w:pPr>
      <w:r w:rsidRPr="009B7B35">
        <w:rPr>
          <w:rFonts w:ascii="Arial" w:hAnsi="Arial" w:cs="Arial"/>
          <w:sz w:val="20"/>
          <w:szCs w:val="20"/>
          <w:lang w:eastAsia="en-US"/>
        </w:rPr>
        <w:t>The purpose of the Special Industry zone code is to provide for high impact and specialised industry uses including those that are noxious and hazardous. These industrial activities are of a scale or nature which is of significance to the state and regional economy. Development may include non–industrial and business uses that support the industrial activities where they do not compromise the long–term use of the land for industrial purposes. Development does not detract from the function and viability of centres. Activities considered generally appropriate in this zone are defined as special industry and high impact industry in the schedule of definitions. Development facilitates the safe, efficient and attractive use of land for high impact and specialised industries which require large size lots, buffers and separation distances to adjoining land uses and other zones for their intended operation. Land use activities must ensure they minimise impacts on surrounding land having regard to noise, vibration, odour, dust, light or other emissions. Adverse impacts on the health, safety or amenity of sensitive land uses are minimised.</w:t>
      </w:r>
    </w:p>
    <w:p w14:paraId="34529A6A" w14:textId="77777777" w:rsidR="00BE36FB" w:rsidRPr="009B7B35" w:rsidRDefault="00BE36FB" w:rsidP="00BE36FB">
      <w:pPr>
        <w:numPr>
          <w:ilvl w:val="0"/>
          <w:numId w:val="255"/>
        </w:numPr>
        <w:tabs>
          <w:tab w:val="left" w:pos="360"/>
        </w:tabs>
        <w:ind w:left="567" w:hanging="567"/>
        <w:rPr>
          <w:rFonts w:ascii="Arial" w:hAnsi="Arial" w:cs="Arial"/>
          <w:sz w:val="20"/>
          <w:szCs w:val="20"/>
          <w:lang w:eastAsia="en-US"/>
        </w:rPr>
      </w:pPr>
      <w:r w:rsidRPr="009B7B35">
        <w:rPr>
          <w:rFonts w:ascii="Arial" w:hAnsi="Arial" w:cs="Arial"/>
          <w:sz w:val="20"/>
          <w:szCs w:val="20"/>
          <w:lang w:eastAsia="en-US"/>
        </w:rPr>
        <w:t>The purpose of the zone will be achieved through the following overall outcomes:</w:t>
      </w:r>
    </w:p>
    <w:p w14:paraId="5FFAA1FB" w14:textId="77777777"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A range of high impact, noxious and hazardous industrial uses that require large development sites with appropriate separation from other land use activities will be facilitated.</w:t>
      </w:r>
    </w:p>
    <w:p w14:paraId="2D251358" w14:textId="77777777"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Residential and sensitive land uses other than caretaker’s accommodation are not located within close proximity to the industrial uses and activities in the zone.</w:t>
      </w:r>
    </w:p>
    <w:p w14:paraId="0263E5CC" w14:textId="77777777"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Non–industrial uses such as office uses that directly support the industrial area are facilitated.</w:t>
      </w:r>
    </w:p>
    <w:p w14:paraId="4D7379E2" w14:textId="77777777"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The zone does not accommodate uses which are primarily oriented to retail sales and which are more appropriately located in centres, such as shops, shopping centres, showrooms or retail based hardware supplies.</w:t>
      </w:r>
    </w:p>
    <w:p w14:paraId="6217A479" w14:textId="77777777"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The intrusion of incompatible uses, or uses which may be more appropriately accommodated in other zones, is avoided to protect the availability of land for industrial purposes and the viability and efficient operation of existing and future industry uses.</w:t>
      </w:r>
    </w:p>
    <w:p w14:paraId="400DB0D7" w14:textId="77777777"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Lot sizes provide for a range of large format industrial uses and discourage take up of land for smaller scale activities better suited to other industrial zones.</w:t>
      </w:r>
    </w:p>
    <w:p w14:paraId="6845FDBF" w14:textId="77777777"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Uses and works for special industrial purposes are located, designed and managed to maintain safety to people, avoid significant adverse effects on the natural environment and minimise impacts on adjacent nonindustrial land having regard to the inherent risks associated with these types of industries.</w:t>
      </w:r>
    </w:p>
    <w:p w14:paraId="602479D4" w14:textId="77777777"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 xml:space="preserve">Development maximises the use of existing transport infrastructure and has access to the appropriate level of transport infrastructure (railways and motorways) and facilities such as airports and seaports. </w:t>
      </w:r>
    </w:p>
    <w:p w14:paraId="72629400" w14:textId="77777777"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Development is designed to incorporate sustainable practices including maximising energy efficiency and water conservation.</w:t>
      </w:r>
    </w:p>
    <w:p w14:paraId="4AD4C9F9" w14:textId="77777777"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Development has access to development infrastructure and essential services.</w:t>
      </w:r>
    </w:p>
    <w:p w14:paraId="6055269A" w14:textId="77777777"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Adverse impacts on natural features and processes, both on–site and from adjoining areas, are minimised through location, design, operation and management of development.</w:t>
      </w:r>
    </w:p>
    <w:p w14:paraId="3DB6D749" w14:textId="77777777"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Development responds to land constraints, including but not limited to topography, bushfire and flooding.</w:t>
      </w:r>
    </w:p>
    <w:p w14:paraId="2A6DD03B" w14:textId="77777777"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Development avoids significant adverse effects on water quality and the natural environment.</w:t>
      </w:r>
    </w:p>
    <w:p w14:paraId="51DA3090" w14:textId="77777777" w:rsidR="00BE36FB" w:rsidRPr="009B7B35" w:rsidRDefault="00BE36FB" w:rsidP="00BE36FB">
      <w:pPr>
        <w:numPr>
          <w:ilvl w:val="1"/>
          <w:numId w:val="255"/>
        </w:numPr>
        <w:ind w:left="1134" w:hanging="567"/>
        <w:rPr>
          <w:rFonts w:ascii="Arial" w:hAnsi="Arial" w:cs="Arial"/>
          <w:sz w:val="20"/>
          <w:szCs w:val="20"/>
          <w:lang w:eastAsia="en-US"/>
        </w:rPr>
      </w:pPr>
      <w:r w:rsidRPr="009B7B35">
        <w:rPr>
          <w:rFonts w:ascii="Arial" w:hAnsi="Arial" w:cs="Arial"/>
          <w:sz w:val="20"/>
          <w:szCs w:val="20"/>
          <w:lang w:eastAsia="en-US"/>
        </w:rPr>
        <w:t>Industrial uses are adequately separated from sensitive land uses to minimise the likelihood of environmental harm or environmental nuisance occurring.</w:t>
      </w:r>
    </w:p>
    <w:p w14:paraId="3A85E8F1"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3E463D38" w14:textId="77777777" w:rsidR="00BE36FB" w:rsidRPr="009B7B35" w:rsidRDefault="00BE36FB" w:rsidP="003A35DA">
      <w:pPr>
        <w:pStyle w:val="Heading5"/>
        <w:numPr>
          <w:ilvl w:val="0"/>
          <w:numId w:val="0"/>
        </w:numPr>
        <w:rPr>
          <w:rFonts w:cs="Arial"/>
          <w:szCs w:val="20"/>
          <w:lang w:eastAsia="en-US"/>
        </w:rPr>
      </w:pPr>
      <w:r w:rsidRPr="009B7B35">
        <w:rPr>
          <w:rFonts w:cs="Arial"/>
          <w:szCs w:val="20"/>
          <w:lang w:eastAsia="en-US"/>
        </w:rPr>
        <w:t>Table 6.2.14.3.1—Assessable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14:paraId="7ED982AB"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hideMark/>
          </w:tcPr>
          <w:p w14:paraId="27A754C1" w14:textId="77777777" w:rsidR="00BE36FB" w:rsidRPr="009B7B35" w:rsidRDefault="00BE36FB" w:rsidP="001A7107">
            <w:pPr>
              <w:pStyle w:val="TableText"/>
              <w:rPr>
                <w:rFonts w:cs="Arial"/>
                <w:lang w:eastAsia="en-US"/>
              </w:rPr>
            </w:pPr>
            <w:r w:rsidRPr="009B7B35">
              <w:rPr>
                <w:rFonts w:cs="Arial"/>
                <w:lang w:eastAsia="en-US"/>
              </w:rPr>
              <w:t>Performance outcomes</w:t>
            </w:r>
          </w:p>
        </w:tc>
        <w:tc>
          <w:tcPr>
            <w:tcW w:w="4678" w:type="dxa"/>
            <w:hideMark/>
          </w:tcPr>
          <w:p w14:paraId="596B278F" w14:textId="77777777" w:rsidR="00BE36FB" w:rsidRPr="009B7B35" w:rsidRDefault="00BE36FB" w:rsidP="001A7107">
            <w:pPr>
              <w:pStyle w:val="TableText"/>
              <w:rPr>
                <w:rFonts w:cs="Arial"/>
                <w:lang w:eastAsia="en-US"/>
              </w:rPr>
            </w:pPr>
            <w:r w:rsidRPr="009B7B35">
              <w:rPr>
                <w:rFonts w:cs="Arial"/>
                <w:lang w:eastAsia="en-US"/>
              </w:rPr>
              <w:t>Acceptable outcomes</w:t>
            </w:r>
          </w:p>
        </w:tc>
      </w:tr>
      <w:tr w:rsidR="00BE36FB" w:rsidRPr="009B7B35" w14:paraId="61548072" w14:textId="77777777" w:rsidTr="001A7107">
        <w:trPr>
          <w:cantSplit/>
        </w:trPr>
        <w:tc>
          <w:tcPr>
            <w:tcW w:w="9356" w:type="dxa"/>
            <w:gridSpan w:val="2"/>
            <w:shd w:val="clear" w:color="auto" w:fill="BFBFBF" w:themeFill="background1" w:themeFillShade="BF"/>
            <w:hideMark/>
          </w:tcPr>
          <w:p w14:paraId="7976E5A2"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Built form</w:t>
            </w:r>
          </w:p>
        </w:tc>
      </w:tr>
      <w:tr w:rsidR="00BE36FB" w:rsidRPr="009B7B35" w14:paraId="35CF7241" w14:textId="77777777" w:rsidTr="001A7107">
        <w:trPr>
          <w:cantSplit/>
        </w:trPr>
        <w:tc>
          <w:tcPr>
            <w:tcW w:w="4678" w:type="dxa"/>
            <w:hideMark/>
          </w:tcPr>
          <w:p w14:paraId="01D0745A" w14:textId="77777777" w:rsidR="00BE36FB" w:rsidRPr="009B7B35" w:rsidRDefault="00BE36FB" w:rsidP="001A7107">
            <w:pPr>
              <w:pStyle w:val="TableText"/>
              <w:rPr>
                <w:rFonts w:cs="Arial"/>
                <w:b/>
                <w:bCs/>
                <w:lang w:eastAsia="en-US"/>
              </w:rPr>
            </w:pPr>
            <w:r w:rsidRPr="009B7B35">
              <w:rPr>
                <w:rFonts w:cs="Arial"/>
                <w:b/>
                <w:bCs/>
                <w:lang w:eastAsia="en-US"/>
              </w:rPr>
              <w:t>PO1</w:t>
            </w:r>
          </w:p>
          <w:p w14:paraId="350C597E" w14:textId="77777777" w:rsidR="00BE36FB" w:rsidRPr="009B7B35" w:rsidRDefault="00BE36FB" w:rsidP="001A7107">
            <w:pPr>
              <w:pStyle w:val="TableText"/>
              <w:rPr>
                <w:rFonts w:cs="Arial"/>
                <w:lang w:eastAsia="en-US"/>
              </w:rPr>
            </w:pPr>
            <w:r w:rsidRPr="009B7B35">
              <w:rPr>
                <w:rFonts w:cs="Arial"/>
                <w:lang w:eastAsia="en-US"/>
              </w:rPr>
              <w:t xml:space="preserve">Buildings and outdoor storage areas: </w:t>
            </w:r>
          </w:p>
          <w:p w14:paraId="35D2047A" w14:textId="77777777" w:rsidR="00BE36FB" w:rsidRPr="009B7B35" w:rsidRDefault="00BE36FB" w:rsidP="00BE36FB">
            <w:pPr>
              <w:pStyle w:val="TableText"/>
              <w:numPr>
                <w:ilvl w:val="0"/>
                <w:numId w:val="256"/>
              </w:numPr>
              <w:ind w:left="510" w:hanging="510"/>
              <w:rPr>
                <w:rFonts w:cs="Arial"/>
                <w:lang w:eastAsia="en-US"/>
              </w:rPr>
            </w:pPr>
            <w:r w:rsidRPr="009B7B35">
              <w:rPr>
                <w:rFonts w:cs="Arial"/>
                <w:lang w:eastAsia="en-US"/>
              </w:rPr>
              <w:t>are appropriate to the scale, bulk and character of other buildings and activities in the surrounding industrial area or intended in the zone, and</w:t>
            </w:r>
          </w:p>
          <w:p w14:paraId="550294A9" w14:textId="77777777" w:rsidR="00BE36FB" w:rsidRPr="009B7B35" w:rsidRDefault="00BE36FB" w:rsidP="00BE36FB">
            <w:pPr>
              <w:pStyle w:val="TableText"/>
              <w:numPr>
                <w:ilvl w:val="0"/>
                <w:numId w:val="256"/>
              </w:numPr>
              <w:ind w:left="510" w:hanging="510"/>
              <w:rPr>
                <w:rFonts w:cs="Arial"/>
                <w:lang w:eastAsia="en-US"/>
              </w:rPr>
            </w:pPr>
            <w:r w:rsidRPr="009B7B35">
              <w:rPr>
                <w:rFonts w:cs="Arial"/>
                <w:lang w:eastAsia="en-US"/>
              </w:rPr>
              <w:t>do not result in a significant loss of visual amenity.</w:t>
            </w:r>
          </w:p>
        </w:tc>
        <w:tc>
          <w:tcPr>
            <w:tcW w:w="4678" w:type="dxa"/>
            <w:hideMark/>
          </w:tcPr>
          <w:p w14:paraId="5F0DF727"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2681DC8F" w14:textId="77777777" w:rsidTr="001A7107">
        <w:trPr>
          <w:cantSplit/>
        </w:trPr>
        <w:tc>
          <w:tcPr>
            <w:tcW w:w="4678" w:type="dxa"/>
            <w:hideMark/>
          </w:tcPr>
          <w:p w14:paraId="725EEE58" w14:textId="77777777" w:rsidR="00BE36FB" w:rsidRPr="009B7B35" w:rsidRDefault="00BE36FB" w:rsidP="001A7107">
            <w:pPr>
              <w:pStyle w:val="TableText"/>
              <w:rPr>
                <w:rFonts w:cs="Arial"/>
                <w:b/>
                <w:bCs/>
                <w:lang w:eastAsia="en-US"/>
              </w:rPr>
            </w:pPr>
            <w:r w:rsidRPr="009B7B35">
              <w:rPr>
                <w:rFonts w:cs="Arial"/>
                <w:b/>
                <w:bCs/>
                <w:lang w:eastAsia="en-US"/>
              </w:rPr>
              <w:t>PO2</w:t>
            </w:r>
          </w:p>
          <w:p w14:paraId="3EEA91CA" w14:textId="77777777" w:rsidR="00BE36FB" w:rsidRPr="009B7B35" w:rsidRDefault="00BE36FB" w:rsidP="001A7107">
            <w:pPr>
              <w:pStyle w:val="TableText"/>
              <w:rPr>
                <w:rFonts w:cs="Arial"/>
                <w:lang w:eastAsia="en-US"/>
              </w:rPr>
            </w:pPr>
            <w:r w:rsidRPr="009B7B35">
              <w:rPr>
                <w:rFonts w:cs="Arial"/>
                <w:lang w:eastAsia="en-US"/>
              </w:rPr>
              <w:t xml:space="preserve">Buildings, structures and high impact industry and specialised industrial activities are setback from the road frontage to mitigate the impact of activities on the streetscape. </w:t>
            </w:r>
          </w:p>
        </w:tc>
        <w:tc>
          <w:tcPr>
            <w:tcW w:w="4678" w:type="dxa"/>
            <w:hideMark/>
          </w:tcPr>
          <w:p w14:paraId="47E7DAE8" w14:textId="77777777" w:rsidR="00BE36FB" w:rsidRPr="009B7B35" w:rsidRDefault="00BE36FB" w:rsidP="001A7107">
            <w:pPr>
              <w:pStyle w:val="TableText"/>
              <w:rPr>
                <w:rFonts w:cs="Arial"/>
                <w:b/>
                <w:bCs/>
                <w:lang w:eastAsia="en-US"/>
              </w:rPr>
            </w:pPr>
            <w:r w:rsidRPr="009B7B35">
              <w:rPr>
                <w:rFonts w:cs="Arial"/>
                <w:b/>
                <w:bCs/>
                <w:lang w:eastAsia="en-US"/>
              </w:rPr>
              <w:t>AO2</w:t>
            </w:r>
          </w:p>
          <w:p w14:paraId="24C5DF08" w14:textId="77777777" w:rsidR="00BE36FB" w:rsidRPr="009B7B35" w:rsidRDefault="00BE36FB" w:rsidP="001A7107">
            <w:pPr>
              <w:pStyle w:val="TableText"/>
              <w:rPr>
                <w:rFonts w:cs="Arial"/>
                <w:lang w:eastAsia="en-US"/>
              </w:rPr>
            </w:pPr>
            <w:r w:rsidRPr="009B7B35">
              <w:rPr>
                <w:rFonts w:cs="Arial"/>
                <w:lang w:eastAsia="en-US"/>
              </w:rPr>
              <w:t xml:space="preserve">Buildings, structures and industrial activity areas are setback: </w:t>
            </w:r>
          </w:p>
          <w:p w14:paraId="560A0D32" w14:textId="77777777" w:rsidR="00BE36FB" w:rsidRPr="009B7B35" w:rsidRDefault="00BE36FB" w:rsidP="00BE36FB">
            <w:pPr>
              <w:pStyle w:val="TableText"/>
              <w:numPr>
                <w:ilvl w:val="0"/>
                <w:numId w:val="257"/>
              </w:numPr>
              <w:ind w:left="652" w:hanging="652"/>
              <w:rPr>
                <w:rFonts w:cs="Arial"/>
                <w:lang w:eastAsia="en-US"/>
              </w:rPr>
            </w:pPr>
            <w:r w:rsidRPr="009B7B35">
              <w:rPr>
                <w:rFonts w:cs="Arial"/>
                <w:lang w:eastAsia="en-US"/>
              </w:rPr>
              <w:t xml:space="preserve">10m for land on a sub–arterial or arterial road, and </w:t>
            </w:r>
          </w:p>
          <w:p w14:paraId="5AA92874" w14:textId="77777777" w:rsidR="00BE36FB" w:rsidRPr="009B7B35" w:rsidRDefault="00BE36FB" w:rsidP="00BE36FB">
            <w:pPr>
              <w:pStyle w:val="TableText"/>
              <w:numPr>
                <w:ilvl w:val="0"/>
                <w:numId w:val="257"/>
              </w:numPr>
              <w:ind w:left="652" w:hanging="652"/>
              <w:rPr>
                <w:rFonts w:cs="Arial"/>
                <w:lang w:eastAsia="en-US"/>
              </w:rPr>
            </w:pPr>
            <w:r w:rsidRPr="009B7B35">
              <w:rPr>
                <w:rFonts w:cs="Arial"/>
                <w:lang w:eastAsia="en-US"/>
              </w:rPr>
              <w:t>6m for land on a road other than a sub–arterial or arterial road.</w:t>
            </w:r>
          </w:p>
        </w:tc>
      </w:tr>
      <w:tr w:rsidR="00BE36FB" w:rsidRPr="009B7B35" w14:paraId="48E46816" w14:textId="77777777" w:rsidTr="001A7107">
        <w:trPr>
          <w:cantSplit/>
        </w:trPr>
        <w:tc>
          <w:tcPr>
            <w:tcW w:w="9356" w:type="dxa"/>
            <w:gridSpan w:val="2"/>
            <w:shd w:val="clear" w:color="auto" w:fill="BFBFBF" w:themeFill="background1" w:themeFillShade="BF"/>
          </w:tcPr>
          <w:p w14:paraId="5EF71B6F"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Site area (if involving building work)</w:t>
            </w:r>
          </w:p>
        </w:tc>
      </w:tr>
      <w:tr w:rsidR="00BE36FB" w:rsidRPr="009B7B35" w14:paraId="38583A9A" w14:textId="77777777" w:rsidTr="001A7107">
        <w:tc>
          <w:tcPr>
            <w:tcW w:w="4678" w:type="dxa"/>
            <w:hideMark/>
          </w:tcPr>
          <w:p w14:paraId="7D79EA02" w14:textId="77777777" w:rsidR="00BE36FB" w:rsidRPr="009B7B35" w:rsidRDefault="00BE36FB" w:rsidP="001A7107">
            <w:pPr>
              <w:pStyle w:val="TableText"/>
              <w:rPr>
                <w:rFonts w:cs="Arial"/>
                <w:b/>
                <w:bCs/>
                <w:lang w:eastAsia="en-US"/>
              </w:rPr>
            </w:pPr>
            <w:r w:rsidRPr="009B7B35">
              <w:rPr>
                <w:rFonts w:cs="Arial"/>
                <w:b/>
                <w:bCs/>
                <w:lang w:eastAsia="en-US"/>
              </w:rPr>
              <w:t>PO3</w:t>
            </w:r>
          </w:p>
          <w:p w14:paraId="49133CA5" w14:textId="77777777" w:rsidR="00BE36FB" w:rsidRPr="009B7B35" w:rsidRDefault="00BE36FB" w:rsidP="001A7107">
            <w:pPr>
              <w:pStyle w:val="TableText"/>
              <w:rPr>
                <w:rFonts w:cs="Arial"/>
                <w:lang w:eastAsia="en-US"/>
              </w:rPr>
            </w:pPr>
            <w:r w:rsidRPr="009B7B35">
              <w:rPr>
                <w:rFonts w:cs="Arial"/>
                <w:lang w:eastAsia="en-US"/>
              </w:rPr>
              <w:t xml:space="preserve">Development has sufficient area, frontage and buffers to accommodate the following: </w:t>
            </w:r>
          </w:p>
          <w:p w14:paraId="020A71C4" w14:textId="77777777" w:rsidR="00BE36FB" w:rsidRPr="009B7B35" w:rsidRDefault="00BE36FB" w:rsidP="00BE36FB">
            <w:pPr>
              <w:pStyle w:val="TableText"/>
              <w:numPr>
                <w:ilvl w:val="0"/>
                <w:numId w:val="174"/>
              </w:numPr>
              <w:rPr>
                <w:rFonts w:cs="Arial"/>
                <w:lang w:eastAsia="en-US"/>
              </w:rPr>
            </w:pPr>
            <w:r w:rsidRPr="009B7B35">
              <w:rPr>
                <w:rFonts w:cs="Arial"/>
                <w:lang w:eastAsia="en-US"/>
              </w:rPr>
              <w:t>the building or buildings and associated storage areas (e.g. stockpiles)</w:t>
            </w:r>
          </w:p>
          <w:p w14:paraId="65BB2E4A" w14:textId="77777777" w:rsidR="00BE36FB" w:rsidRPr="009B7B35" w:rsidRDefault="00BE36FB" w:rsidP="00BE36FB">
            <w:pPr>
              <w:pStyle w:val="TableText"/>
              <w:numPr>
                <w:ilvl w:val="0"/>
                <w:numId w:val="174"/>
              </w:numPr>
              <w:rPr>
                <w:rFonts w:cs="Arial"/>
                <w:lang w:eastAsia="en-US"/>
              </w:rPr>
            </w:pPr>
            <w:r w:rsidRPr="009B7B35">
              <w:rPr>
                <w:rFonts w:cs="Arial"/>
                <w:lang w:eastAsia="en-US"/>
              </w:rPr>
              <w:t>associated car parking areas located in a safe and accessible area</w:t>
            </w:r>
          </w:p>
          <w:p w14:paraId="58EBAEAA" w14:textId="77777777" w:rsidR="00BE36FB" w:rsidRPr="009B7B35" w:rsidRDefault="00BE36FB" w:rsidP="00BE36FB">
            <w:pPr>
              <w:pStyle w:val="TableText"/>
              <w:numPr>
                <w:ilvl w:val="0"/>
                <w:numId w:val="174"/>
              </w:numPr>
              <w:rPr>
                <w:rFonts w:cs="Arial"/>
                <w:lang w:eastAsia="en-US"/>
              </w:rPr>
            </w:pPr>
            <w:r w:rsidRPr="009B7B35">
              <w:rPr>
                <w:rFonts w:cs="Arial"/>
                <w:lang w:eastAsia="en-US"/>
              </w:rPr>
              <w:t>on site movement of delivery and service vehicles</w:t>
            </w:r>
          </w:p>
          <w:p w14:paraId="6498A22C" w14:textId="77777777" w:rsidR="00BE36FB" w:rsidRPr="009B7B35" w:rsidRDefault="00BE36FB" w:rsidP="00BE36FB">
            <w:pPr>
              <w:pStyle w:val="TableText"/>
              <w:numPr>
                <w:ilvl w:val="0"/>
                <w:numId w:val="174"/>
              </w:numPr>
              <w:rPr>
                <w:rFonts w:cs="Arial"/>
                <w:lang w:eastAsia="en-US"/>
              </w:rPr>
            </w:pPr>
            <w:r w:rsidRPr="009B7B35">
              <w:rPr>
                <w:rFonts w:cs="Arial"/>
                <w:lang w:eastAsia="en-US"/>
              </w:rPr>
              <w:t>vehicle access</w:t>
            </w:r>
          </w:p>
          <w:p w14:paraId="4E9259D6" w14:textId="77777777" w:rsidR="00BE36FB" w:rsidRPr="009B7B35" w:rsidRDefault="00BE36FB" w:rsidP="00BE36FB">
            <w:pPr>
              <w:pStyle w:val="TableText"/>
              <w:numPr>
                <w:ilvl w:val="0"/>
                <w:numId w:val="174"/>
              </w:numPr>
              <w:rPr>
                <w:rFonts w:cs="Arial"/>
                <w:lang w:eastAsia="en-US"/>
              </w:rPr>
            </w:pPr>
            <w:r w:rsidRPr="009B7B35">
              <w:rPr>
                <w:rFonts w:cs="Arial"/>
                <w:lang w:eastAsia="en-US"/>
              </w:rPr>
              <w:t>separation of high impact and specialised industry uses to adjoining non industrial land uses, and</w:t>
            </w:r>
          </w:p>
          <w:p w14:paraId="5F8D3723" w14:textId="77777777" w:rsidR="00BE36FB" w:rsidRPr="009B7B35" w:rsidRDefault="00BE36FB" w:rsidP="00BE36FB">
            <w:pPr>
              <w:pStyle w:val="TableText"/>
              <w:numPr>
                <w:ilvl w:val="0"/>
                <w:numId w:val="174"/>
              </w:numPr>
              <w:rPr>
                <w:rFonts w:cs="Arial"/>
                <w:lang w:eastAsia="en-US"/>
              </w:rPr>
            </w:pPr>
            <w:r w:rsidRPr="009B7B35">
              <w:rPr>
                <w:rFonts w:cs="Arial"/>
                <w:lang w:eastAsia="en-US"/>
              </w:rPr>
              <w:t>landscaping.</w:t>
            </w:r>
          </w:p>
        </w:tc>
        <w:tc>
          <w:tcPr>
            <w:tcW w:w="4678" w:type="dxa"/>
          </w:tcPr>
          <w:p w14:paraId="47893618" w14:textId="77777777" w:rsidR="00BE36FB" w:rsidRPr="009B7B35" w:rsidRDefault="00BE36FB" w:rsidP="001A7107">
            <w:pPr>
              <w:pStyle w:val="TableText"/>
              <w:rPr>
                <w:rFonts w:cs="Arial"/>
                <w:b/>
                <w:bCs/>
                <w:lang w:eastAsia="en-US"/>
              </w:rPr>
            </w:pPr>
            <w:r w:rsidRPr="009B7B35">
              <w:rPr>
                <w:rFonts w:cs="Arial"/>
                <w:b/>
                <w:bCs/>
                <w:lang w:eastAsia="en-US"/>
              </w:rPr>
              <w:t>AO3</w:t>
            </w:r>
          </w:p>
          <w:p w14:paraId="75ED24A3" w14:textId="77777777" w:rsidR="00BE36FB" w:rsidRPr="009B7B35" w:rsidRDefault="00BE36FB" w:rsidP="001A7107">
            <w:pPr>
              <w:pStyle w:val="TableText"/>
              <w:rPr>
                <w:rFonts w:cs="Arial"/>
                <w:lang w:eastAsia="en-US"/>
              </w:rPr>
            </w:pPr>
            <w:r w:rsidRPr="009B7B35">
              <w:rPr>
                <w:rFonts w:cs="Arial"/>
                <w:lang w:eastAsia="en-US"/>
              </w:rPr>
              <w:t xml:space="preserve">Premises for the following uses has a minimum site area, frontage and buffers as follows: </w:t>
            </w:r>
          </w:p>
          <w:p w14:paraId="25A36CF7" w14:textId="77777777" w:rsidR="00BE36FB" w:rsidRPr="009B7B35" w:rsidRDefault="00BE36FB" w:rsidP="00BE36FB">
            <w:pPr>
              <w:pStyle w:val="TableText"/>
              <w:numPr>
                <w:ilvl w:val="0"/>
                <w:numId w:val="175"/>
              </w:numPr>
              <w:rPr>
                <w:rFonts w:cs="Arial"/>
                <w:lang w:eastAsia="en-US"/>
              </w:rPr>
            </w:pPr>
            <w:r w:rsidRPr="009B7B35">
              <w:rPr>
                <w:rFonts w:cs="Arial"/>
                <w:lang w:eastAsia="en-US"/>
              </w:rPr>
              <w:t>high Impact industry and Special industry:</w:t>
            </w:r>
          </w:p>
          <w:p w14:paraId="0997FB01" w14:textId="77777777" w:rsidR="00BE36FB" w:rsidRPr="009B7B35" w:rsidRDefault="00BE36FB" w:rsidP="00BE36FB">
            <w:pPr>
              <w:pStyle w:val="TableText"/>
              <w:numPr>
                <w:ilvl w:val="1"/>
                <w:numId w:val="175"/>
              </w:numPr>
              <w:rPr>
                <w:rFonts w:cs="Arial"/>
              </w:rPr>
            </w:pPr>
            <w:r w:rsidRPr="009B7B35">
              <w:rPr>
                <w:rFonts w:cs="Arial"/>
                <w:lang w:eastAsia="en-US"/>
              </w:rPr>
              <w:t xml:space="preserve">1 </w:t>
            </w:r>
            <w:r w:rsidRPr="009B7B35">
              <w:rPr>
                <w:rFonts w:cs="Arial"/>
              </w:rPr>
              <w:t>hectare site area</w:t>
            </w:r>
          </w:p>
          <w:p w14:paraId="2684FC7A" w14:textId="77777777" w:rsidR="00BE36FB" w:rsidRPr="009B7B35" w:rsidRDefault="00BE36FB" w:rsidP="00BE36FB">
            <w:pPr>
              <w:pStyle w:val="TableText"/>
              <w:numPr>
                <w:ilvl w:val="1"/>
                <w:numId w:val="175"/>
              </w:numPr>
              <w:rPr>
                <w:rFonts w:cs="Arial"/>
              </w:rPr>
            </w:pPr>
            <w:r w:rsidRPr="009B7B35">
              <w:rPr>
                <w:rFonts w:cs="Arial"/>
              </w:rPr>
              <w:t>60m road frontage</w:t>
            </w:r>
          </w:p>
          <w:p w14:paraId="56D6A71D" w14:textId="77777777" w:rsidR="00BE36FB" w:rsidRPr="009B7B35" w:rsidRDefault="00BE36FB" w:rsidP="00BE36FB">
            <w:pPr>
              <w:pStyle w:val="TableText"/>
              <w:numPr>
                <w:ilvl w:val="1"/>
                <w:numId w:val="175"/>
              </w:numPr>
              <w:rPr>
                <w:rFonts w:cs="Arial"/>
                <w:lang w:eastAsia="en-US"/>
              </w:rPr>
            </w:pPr>
            <w:r w:rsidRPr="009B7B35">
              <w:rPr>
                <w:rFonts w:cs="Arial"/>
              </w:rPr>
              <w:t>20m wide buffer along all site boundaries that adjoin uses other than special industry uses</w:t>
            </w:r>
            <w:r w:rsidRPr="009B7B35">
              <w:rPr>
                <w:rFonts w:cs="Arial"/>
                <w:lang w:eastAsia="en-US"/>
              </w:rPr>
              <w:t>.</w:t>
            </w:r>
          </w:p>
          <w:p w14:paraId="03D5F8BA" w14:textId="77777777" w:rsidR="00BE36FB" w:rsidRPr="009B7B35" w:rsidRDefault="00BE36FB" w:rsidP="00BE36FB">
            <w:pPr>
              <w:pStyle w:val="TableText"/>
              <w:numPr>
                <w:ilvl w:val="0"/>
                <w:numId w:val="175"/>
              </w:numPr>
              <w:rPr>
                <w:rFonts w:cs="Arial"/>
                <w:lang w:eastAsia="en-US"/>
              </w:rPr>
            </w:pPr>
            <w:r w:rsidRPr="009B7B35">
              <w:rPr>
                <w:rFonts w:cs="Arial"/>
                <w:lang w:eastAsia="en-US"/>
              </w:rPr>
              <w:t>renewable energy facility, major electricity infrastructure</w:t>
            </w:r>
          </w:p>
          <w:p w14:paraId="42B3AE58" w14:textId="77777777" w:rsidR="00BE36FB" w:rsidRPr="009B7B35" w:rsidRDefault="00BE36FB" w:rsidP="00BE36FB">
            <w:pPr>
              <w:pStyle w:val="TableText"/>
              <w:numPr>
                <w:ilvl w:val="1"/>
                <w:numId w:val="175"/>
              </w:numPr>
              <w:rPr>
                <w:rFonts w:cs="Arial"/>
              </w:rPr>
            </w:pPr>
            <w:r w:rsidRPr="009B7B35">
              <w:rPr>
                <w:rFonts w:cs="Arial"/>
                <w:lang w:eastAsia="en-US"/>
              </w:rPr>
              <w:t>4,</w:t>
            </w:r>
            <w:r w:rsidRPr="009B7B35">
              <w:rPr>
                <w:rFonts w:cs="Arial"/>
              </w:rPr>
              <w:t>000m</w:t>
            </w:r>
            <w:r w:rsidRPr="009B7B35">
              <w:rPr>
                <w:rFonts w:cs="Arial"/>
                <w:vertAlign w:val="superscript"/>
              </w:rPr>
              <w:t>2</w:t>
            </w:r>
            <w:r w:rsidRPr="009B7B35">
              <w:rPr>
                <w:rFonts w:cs="Arial"/>
              </w:rPr>
              <w:t xml:space="preserve"> site area</w:t>
            </w:r>
          </w:p>
          <w:p w14:paraId="02343758" w14:textId="77777777" w:rsidR="00BE36FB" w:rsidRPr="009B7B35" w:rsidRDefault="00BE36FB" w:rsidP="00BE36FB">
            <w:pPr>
              <w:pStyle w:val="TableText"/>
              <w:numPr>
                <w:ilvl w:val="1"/>
                <w:numId w:val="175"/>
              </w:numPr>
              <w:rPr>
                <w:rFonts w:cs="Arial"/>
              </w:rPr>
            </w:pPr>
            <w:r w:rsidRPr="009B7B35">
              <w:rPr>
                <w:rFonts w:cs="Arial"/>
              </w:rPr>
              <w:t>40m road frontage(where not a major electricity infrastructure use)</w:t>
            </w:r>
          </w:p>
          <w:p w14:paraId="283BE87D" w14:textId="77777777" w:rsidR="00BE36FB" w:rsidRPr="009B7B35" w:rsidRDefault="00BE36FB" w:rsidP="00BE36FB">
            <w:pPr>
              <w:pStyle w:val="TableText"/>
              <w:numPr>
                <w:ilvl w:val="1"/>
                <w:numId w:val="175"/>
              </w:numPr>
              <w:rPr>
                <w:rFonts w:cs="Arial"/>
                <w:lang w:eastAsia="en-US"/>
              </w:rPr>
            </w:pPr>
            <w:r w:rsidRPr="009B7B35">
              <w:rPr>
                <w:rFonts w:cs="Arial"/>
              </w:rPr>
              <w:t>10m wide buffer along all site boundaries that adjoin land not included in the medium impact industry, high impact industry or special</w:t>
            </w:r>
            <w:r w:rsidRPr="009B7B35">
              <w:rPr>
                <w:rFonts w:cs="Arial"/>
                <w:lang w:eastAsia="en-US"/>
              </w:rPr>
              <w:t xml:space="preserve"> industry zone</w:t>
            </w:r>
          </w:p>
          <w:p w14:paraId="1D52BBC3" w14:textId="77777777" w:rsidR="00BE36FB" w:rsidRPr="009B7B35" w:rsidRDefault="00BE36FB" w:rsidP="00BE36FB">
            <w:pPr>
              <w:pStyle w:val="TableText"/>
              <w:numPr>
                <w:ilvl w:val="0"/>
                <w:numId w:val="175"/>
              </w:numPr>
              <w:rPr>
                <w:rFonts w:cs="Arial"/>
                <w:lang w:eastAsia="en-US"/>
              </w:rPr>
            </w:pPr>
            <w:r w:rsidRPr="009B7B35">
              <w:rPr>
                <w:rFonts w:cs="Arial"/>
                <w:lang w:eastAsia="en-US"/>
              </w:rPr>
              <w:t>Other uses not elsewhere identified</w:t>
            </w:r>
          </w:p>
          <w:p w14:paraId="09F9E2BD" w14:textId="77777777" w:rsidR="00BE36FB" w:rsidRPr="009B7B35" w:rsidRDefault="00BE36FB" w:rsidP="00BE36FB">
            <w:pPr>
              <w:pStyle w:val="TableText"/>
              <w:numPr>
                <w:ilvl w:val="1"/>
                <w:numId w:val="175"/>
              </w:numPr>
              <w:rPr>
                <w:rFonts w:cs="Arial"/>
              </w:rPr>
            </w:pPr>
            <w:r w:rsidRPr="009B7B35">
              <w:rPr>
                <w:rFonts w:cs="Arial"/>
              </w:rPr>
              <w:t>4,000m</w:t>
            </w:r>
            <w:r w:rsidRPr="009B7B35">
              <w:rPr>
                <w:rFonts w:cs="Arial"/>
                <w:vertAlign w:val="superscript"/>
              </w:rPr>
              <w:t>2</w:t>
            </w:r>
            <w:r w:rsidRPr="009B7B35">
              <w:rPr>
                <w:rFonts w:cs="Arial"/>
              </w:rPr>
              <w:t xml:space="preserve"> site area</w:t>
            </w:r>
          </w:p>
          <w:p w14:paraId="527C174B" w14:textId="77777777" w:rsidR="00BE36FB" w:rsidRPr="009B7B35" w:rsidRDefault="00BE36FB" w:rsidP="00BE36FB">
            <w:pPr>
              <w:pStyle w:val="TableText"/>
              <w:numPr>
                <w:ilvl w:val="1"/>
                <w:numId w:val="175"/>
              </w:numPr>
              <w:rPr>
                <w:rFonts w:cs="Arial"/>
                <w:lang w:eastAsia="en-US"/>
              </w:rPr>
            </w:pPr>
            <w:r w:rsidRPr="009B7B35">
              <w:rPr>
                <w:rFonts w:cs="Arial"/>
              </w:rPr>
              <w:t>40m road frontage</w:t>
            </w:r>
          </w:p>
          <w:p w14:paraId="7D967FA5" w14:textId="77777777" w:rsidR="00BE36FB" w:rsidRPr="009B7B35" w:rsidRDefault="00BE36FB" w:rsidP="00BE36FB">
            <w:pPr>
              <w:pStyle w:val="TableText"/>
              <w:numPr>
                <w:ilvl w:val="0"/>
                <w:numId w:val="175"/>
              </w:numPr>
              <w:rPr>
                <w:rFonts w:cs="Arial"/>
                <w:lang w:eastAsia="en-US"/>
              </w:rPr>
            </w:pPr>
            <w:r w:rsidRPr="009B7B35">
              <w:rPr>
                <w:rFonts w:cs="Arial"/>
                <w:lang w:eastAsia="en-US"/>
              </w:rPr>
              <w:t>Service station</w:t>
            </w:r>
          </w:p>
          <w:p w14:paraId="11ABD042" w14:textId="77777777" w:rsidR="00BE36FB" w:rsidRPr="009B7B35" w:rsidRDefault="00BE36FB" w:rsidP="00BE36FB">
            <w:pPr>
              <w:pStyle w:val="TableText"/>
              <w:numPr>
                <w:ilvl w:val="1"/>
                <w:numId w:val="175"/>
              </w:numPr>
              <w:rPr>
                <w:rFonts w:cs="Arial"/>
              </w:rPr>
            </w:pPr>
            <w:r w:rsidRPr="009B7B35">
              <w:rPr>
                <w:rFonts w:cs="Arial"/>
              </w:rPr>
              <w:t>1,500m</w:t>
            </w:r>
            <w:r w:rsidRPr="009B7B35">
              <w:rPr>
                <w:rFonts w:cs="Arial"/>
                <w:vertAlign w:val="superscript"/>
              </w:rPr>
              <w:t>2</w:t>
            </w:r>
            <w:r w:rsidRPr="009B7B35">
              <w:rPr>
                <w:rFonts w:cs="Arial"/>
              </w:rPr>
              <w:t xml:space="preserve"> site area</w:t>
            </w:r>
          </w:p>
          <w:p w14:paraId="07613C70" w14:textId="77777777" w:rsidR="00BE36FB" w:rsidRPr="009B7B35" w:rsidRDefault="00BE36FB" w:rsidP="00BE36FB">
            <w:pPr>
              <w:pStyle w:val="TableText"/>
              <w:numPr>
                <w:ilvl w:val="1"/>
                <w:numId w:val="175"/>
              </w:numPr>
              <w:rPr>
                <w:rFonts w:cs="Arial"/>
                <w:lang w:eastAsia="en-US"/>
              </w:rPr>
            </w:pPr>
            <w:r w:rsidRPr="009B7B35">
              <w:rPr>
                <w:rFonts w:cs="Arial"/>
              </w:rPr>
              <w:t>40m road frontage.</w:t>
            </w:r>
          </w:p>
        </w:tc>
      </w:tr>
      <w:tr w:rsidR="00BE36FB" w:rsidRPr="009B7B35" w14:paraId="71F959A3" w14:textId="77777777" w:rsidTr="001A7107">
        <w:tc>
          <w:tcPr>
            <w:tcW w:w="9356" w:type="dxa"/>
            <w:gridSpan w:val="2"/>
            <w:shd w:val="clear" w:color="auto" w:fill="BFBFBF" w:themeFill="background1" w:themeFillShade="BF"/>
          </w:tcPr>
          <w:p w14:paraId="2BCCFC57"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Land use</w:t>
            </w:r>
          </w:p>
        </w:tc>
      </w:tr>
      <w:tr w:rsidR="00BE36FB" w:rsidRPr="009B7B35" w14:paraId="755422B6" w14:textId="77777777" w:rsidTr="001A7107">
        <w:tc>
          <w:tcPr>
            <w:tcW w:w="4678" w:type="dxa"/>
          </w:tcPr>
          <w:p w14:paraId="05F0BFB9" w14:textId="77777777" w:rsidR="00BE36FB" w:rsidRPr="009B7B35" w:rsidRDefault="00BE36FB" w:rsidP="001A7107">
            <w:pPr>
              <w:pStyle w:val="TableText"/>
              <w:rPr>
                <w:rFonts w:cs="Arial"/>
                <w:b/>
                <w:bCs/>
                <w:lang w:eastAsia="en-US"/>
              </w:rPr>
            </w:pPr>
            <w:r w:rsidRPr="009B7B35">
              <w:rPr>
                <w:rFonts w:cs="Arial"/>
                <w:b/>
                <w:bCs/>
                <w:lang w:eastAsia="en-US"/>
              </w:rPr>
              <w:t>PO4</w:t>
            </w:r>
          </w:p>
          <w:p w14:paraId="7FF7D945" w14:textId="77777777" w:rsidR="00BE36FB" w:rsidRPr="009B7B35" w:rsidRDefault="00BE36FB" w:rsidP="001A7107">
            <w:pPr>
              <w:pStyle w:val="TableText"/>
              <w:rPr>
                <w:rFonts w:cs="Arial"/>
                <w:lang w:eastAsia="en-US"/>
              </w:rPr>
            </w:pPr>
            <w:r w:rsidRPr="009B7B35">
              <w:rPr>
                <w:rFonts w:cs="Arial"/>
                <w:lang w:eastAsia="en-US"/>
              </w:rPr>
              <w:t>Development:</w:t>
            </w:r>
          </w:p>
          <w:p w14:paraId="62572DB1" w14:textId="77777777" w:rsidR="00BE36FB" w:rsidRPr="009B7B35" w:rsidRDefault="00BE36FB" w:rsidP="00BE36FB">
            <w:pPr>
              <w:pStyle w:val="TableText"/>
              <w:numPr>
                <w:ilvl w:val="0"/>
                <w:numId w:val="176"/>
              </w:numPr>
              <w:rPr>
                <w:rFonts w:cs="Arial"/>
                <w:lang w:eastAsia="en-US"/>
              </w:rPr>
            </w:pPr>
            <w:r w:rsidRPr="009B7B35">
              <w:rPr>
                <w:rFonts w:cs="Arial"/>
                <w:lang w:eastAsia="en-US"/>
              </w:rPr>
              <w:t>does not compromise the use of land for high impact and specialised industry purposes</w:t>
            </w:r>
          </w:p>
          <w:p w14:paraId="4580C26E" w14:textId="77777777" w:rsidR="00BE36FB" w:rsidRPr="009B7B35" w:rsidRDefault="00BE36FB" w:rsidP="00BE36FB">
            <w:pPr>
              <w:pStyle w:val="TableText"/>
              <w:numPr>
                <w:ilvl w:val="0"/>
                <w:numId w:val="176"/>
              </w:numPr>
              <w:rPr>
                <w:rFonts w:cs="Arial"/>
                <w:lang w:eastAsia="en-US"/>
              </w:rPr>
            </w:pPr>
            <w:r w:rsidRPr="009B7B35">
              <w:rPr>
                <w:rFonts w:cs="Arial"/>
                <w:lang w:eastAsia="en-US"/>
              </w:rPr>
              <w:t>accommodates industrial uses with potential for high, noxious or hazardous impacts</w:t>
            </w:r>
          </w:p>
          <w:p w14:paraId="77AFDBB6" w14:textId="77777777" w:rsidR="00BE36FB" w:rsidRPr="009B7B35" w:rsidRDefault="00BE36FB" w:rsidP="00BE36FB">
            <w:pPr>
              <w:pStyle w:val="TableText"/>
              <w:numPr>
                <w:ilvl w:val="0"/>
                <w:numId w:val="176"/>
              </w:numPr>
              <w:rPr>
                <w:rFonts w:cs="Arial"/>
                <w:lang w:eastAsia="en-US"/>
              </w:rPr>
            </w:pPr>
            <w:r w:rsidRPr="009B7B35">
              <w:rPr>
                <w:rFonts w:cs="Arial"/>
                <w:lang w:eastAsia="en-US"/>
              </w:rPr>
              <w:t>requires larger sites in locations that are well separated from sensitive land uses, and</w:t>
            </w:r>
          </w:p>
          <w:p w14:paraId="308CC895" w14:textId="77777777" w:rsidR="00BE36FB" w:rsidRPr="009B7B35" w:rsidRDefault="00BE36FB" w:rsidP="00BE36FB">
            <w:pPr>
              <w:pStyle w:val="TableText"/>
              <w:numPr>
                <w:ilvl w:val="0"/>
                <w:numId w:val="176"/>
              </w:numPr>
              <w:rPr>
                <w:rFonts w:cs="Arial"/>
                <w:lang w:eastAsia="en-US"/>
              </w:rPr>
            </w:pPr>
            <w:r w:rsidRPr="009B7B35">
              <w:rPr>
                <w:rFonts w:cs="Arial"/>
                <w:lang w:eastAsia="en-US"/>
              </w:rPr>
              <w:t>does not accommodate uses that attract members of the public who are not employed in the zone.</w:t>
            </w:r>
          </w:p>
        </w:tc>
        <w:tc>
          <w:tcPr>
            <w:tcW w:w="4678" w:type="dxa"/>
          </w:tcPr>
          <w:p w14:paraId="23F7D286"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0CDFC032" w14:textId="77777777" w:rsidTr="001A7107">
        <w:trPr>
          <w:cantSplit/>
        </w:trPr>
        <w:tc>
          <w:tcPr>
            <w:tcW w:w="9356" w:type="dxa"/>
            <w:gridSpan w:val="2"/>
            <w:shd w:val="clear" w:color="auto" w:fill="BFBFBF" w:themeFill="background1" w:themeFillShade="BF"/>
            <w:hideMark/>
          </w:tcPr>
          <w:p w14:paraId="37C49D9F"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Building design</w:t>
            </w:r>
          </w:p>
        </w:tc>
      </w:tr>
      <w:tr w:rsidR="00BE36FB" w:rsidRPr="009B7B35" w14:paraId="6AA7D75C" w14:textId="77777777" w:rsidTr="001A7107">
        <w:trPr>
          <w:cantSplit/>
        </w:trPr>
        <w:tc>
          <w:tcPr>
            <w:tcW w:w="4678" w:type="dxa"/>
            <w:vMerge w:val="restart"/>
          </w:tcPr>
          <w:p w14:paraId="7EDCF30F" w14:textId="77777777" w:rsidR="00BE36FB" w:rsidRPr="009B7B35" w:rsidRDefault="00BE36FB" w:rsidP="001A7107">
            <w:pPr>
              <w:pStyle w:val="TableText"/>
              <w:rPr>
                <w:rFonts w:cs="Arial"/>
                <w:b/>
                <w:bCs/>
                <w:lang w:eastAsia="en-US"/>
              </w:rPr>
            </w:pPr>
            <w:r w:rsidRPr="009B7B35">
              <w:rPr>
                <w:rFonts w:cs="Arial"/>
                <w:b/>
                <w:bCs/>
                <w:lang w:eastAsia="en-US"/>
              </w:rPr>
              <w:t>PO5</w:t>
            </w:r>
          </w:p>
          <w:p w14:paraId="7D658FCA" w14:textId="77777777" w:rsidR="00BE36FB" w:rsidRPr="009B7B35" w:rsidRDefault="00BE36FB">
            <w:pPr>
              <w:pStyle w:val="TableText"/>
              <w:rPr>
                <w:rFonts w:cs="Arial"/>
                <w:lang w:eastAsia="en-US"/>
              </w:rPr>
            </w:pPr>
            <w:r w:rsidRPr="009B7B35">
              <w:rPr>
                <w:rFonts w:cs="Arial"/>
                <w:lang w:eastAsia="en-US"/>
              </w:rPr>
              <w:t>Building</w:t>
            </w:r>
            <w:r w:rsidRPr="009B7B35">
              <w:rPr>
                <w:rFonts w:cs="Arial"/>
              </w:rPr>
              <w:t>s</w:t>
            </w:r>
            <w:r w:rsidRPr="009B7B35">
              <w:rPr>
                <w:rFonts w:cs="Arial"/>
                <w:lang w:eastAsia="en-US"/>
              </w:rPr>
              <w:t xml:space="preserve"> include features that contribute to an attractive streetscape.</w:t>
            </w:r>
          </w:p>
        </w:tc>
        <w:tc>
          <w:tcPr>
            <w:tcW w:w="4678" w:type="dxa"/>
          </w:tcPr>
          <w:p w14:paraId="3C4A36A3" w14:textId="77777777" w:rsidR="00BE36FB" w:rsidRPr="009B7B35" w:rsidRDefault="00BE36FB" w:rsidP="001A7107">
            <w:pPr>
              <w:pStyle w:val="TableText"/>
              <w:rPr>
                <w:rFonts w:cs="Arial"/>
                <w:lang w:eastAsia="en-US"/>
              </w:rPr>
            </w:pPr>
            <w:r w:rsidRPr="009B7B35">
              <w:rPr>
                <w:rFonts w:cs="Arial"/>
                <w:b/>
                <w:bCs/>
              </w:rPr>
              <w:t>A5.1</w:t>
            </w:r>
          </w:p>
          <w:p w14:paraId="061EE79B" w14:textId="77777777" w:rsidR="00BE36FB" w:rsidRPr="009B7B35" w:rsidRDefault="00BE36FB" w:rsidP="001A7107">
            <w:pPr>
              <w:pStyle w:val="TableText"/>
              <w:rPr>
                <w:rFonts w:cs="Arial"/>
                <w:lang w:eastAsia="en-US"/>
              </w:rPr>
            </w:pPr>
            <w:r w:rsidRPr="009B7B35">
              <w:rPr>
                <w:rFonts w:cs="Arial"/>
                <w:lang w:eastAsia="en-US"/>
              </w:rPr>
              <w:t>The unarticulated length of external walls along a road frontage does not exceed 15m.</w:t>
            </w:r>
          </w:p>
        </w:tc>
      </w:tr>
      <w:tr w:rsidR="00BE36FB" w:rsidRPr="009B7B35" w14:paraId="0E83AAD5" w14:textId="77777777" w:rsidTr="001A7107">
        <w:trPr>
          <w:cantSplit/>
        </w:trPr>
        <w:tc>
          <w:tcPr>
            <w:tcW w:w="4678" w:type="dxa"/>
            <w:vMerge/>
          </w:tcPr>
          <w:p w14:paraId="43FDCB26" w14:textId="77777777" w:rsidR="00BE36FB" w:rsidRPr="009B7B35" w:rsidRDefault="00BE36FB" w:rsidP="001A7107">
            <w:pPr>
              <w:pStyle w:val="TableText"/>
              <w:rPr>
                <w:rFonts w:cs="Arial"/>
                <w:lang w:eastAsia="en-US"/>
              </w:rPr>
            </w:pPr>
          </w:p>
        </w:tc>
        <w:tc>
          <w:tcPr>
            <w:tcW w:w="4678" w:type="dxa"/>
          </w:tcPr>
          <w:p w14:paraId="7A674BC4" w14:textId="77777777" w:rsidR="00BE36FB" w:rsidRPr="009B7B35" w:rsidRDefault="00BE36FB" w:rsidP="001A7107">
            <w:pPr>
              <w:pStyle w:val="TableText"/>
              <w:rPr>
                <w:rFonts w:cs="Arial"/>
                <w:b/>
                <w:bCs/>
                <w:lang w:eastAsia="en-US"/>
              </w:rPr>
            </w:pPr>
            <w:r w:rsidRPr="009B7B35">
              <w:rPr>
                <w:rFonts w:cs="Arial"/>
                <w:b/>
                <w:bCs/>
                <w:lang w:eastAsia="en-US"/>
              </w:rPr>
              <w:t>AO5.2</w:t>
            </w:r>
          </w:p>
          <w:p w14:paraId="67D28BAC" w14:textId="77777777" w:rsidR="00BE36FB" w:rsidRPr="009B7B35" w:rsidRDefault="00BE36FB" w:rsidP="001A7107">
            <w:pPr>
              <w:pStyle w:val="TableText"/>
              <w:rPr>
                <w:rFonts w:cs="Arial"/>
                <w:lang w:eastAsia="en-US"/>
              </w:rPr>
            </w:pPr>
            <w:r w:rsidRPr="009B7B35">
              <w:rPr>
                <w:rFonts w:cs="Arial"/>
                <w:lang w:eastAsia="en-US"/>
              </w:rPr>
              <w:t>Buildings:</w:t>
            </w:r>
          </w:p>
          <w:p w14:paraId="13452DDD" w14:textId="77777777" w:rsidR="00BE36FB" w:rsidRPr="009B7B35" w:rsidRDefault="00BE36FB" w:rsidP="00BE36FB">
            <w:pPr>
              <w:pStyle w:val="TableText"/>
              <w:numPr>
                <w:ilvl w:val="0"/>
                <w:numId w:val="262"/>
              </w:numPr>
              <w:rPr>
                <w:rFonts w:cs="Arial"/>
                <w:lang w:eastAsia="en-US"/>
              </w:rPr>
            </w:pPr>
            <w:r w:rsidRPr="009B7B35">
              <w:rPr>
                <w:rFonts w:cs="Arial"/>
                <w:lang w:eastAsia="en-US"/>
              </w:rPr>
              <w:t xml:space="preserve">are designed and constructed with varying façade treatments and high quality finishes such as brick, painted concrete or masonry, and </w:t>
            </w:r>
          </w:p>
          <w:p w14:paraId="5FFD2BBC" w14:textId="77777777" w:rsidR="00BE36FB" w:rsidRPr="009B7B35" w:rsidRDefault="00BE36FB" w:rsidP="00BE36FB">
            <w:pPr>
              <w:pStyle w:val="TableText"/>
              <w:numPr>
                <w:ilvl w:val="0"/>
                <w:numId w:val="262"/>
              </w:numPr>
              <w:rPr>
                <w:rFonts w:cs="Arial"/>
                <w:lang w:eastAsia="en-US"/>
              </w:rPr>
            </w:pPr>
            <w:r w:rsidRPr="009B7B35">
              <w:rPr>
                <w:rFonts w:cs="Arial"/>
                <w:lang w:eastAsia="en-US"/>
              </w:rPr>
              <w:t>do not incorporate highly reflective materials.</w:t>
            </w:r>
          </w:p>
        </w:tc>
      </w:tr>
      <w:tr w:rsidR="00BE36FB" w:rsidRPr="009B7B35" w14:paraId="267AB3CE" w14:textId="77777777" w:rsidTr="001A7107">
        <w:tc>
          <w:tcPr>
            <w:tcW w:w="4678" w:type="dxa"/>
            <w:vMerge w:val="restart"/>
          </w:tcPr>
          <w:p w14:paraId="6C3D778E" w14:textId="77777777" w:rsidR="00BE36FB" w:rsidRPr="009B7B35" w:rsidRDefault="00BE36FB" w:rsidP="001A7107">
            <w:pPr>
              <w:pStyle w:val="TableText"/>
              <w:rPr>
                <w:rFonts w:cs="Arial"/>
                <w:b/>
                <w:lang w:eastAsia="en-US"/>
              </w:rPr>
            </w:pPr>
            <w:r w:rsidRPr="009B7B35">
              <w:rPr>
                <w:rFonts w:cs="Arial"/>
                <w:b/>
                <w:lang w:eastAsia="en-US"/>
              </w:rPr>
              <w:t>PO6</w:t>
            </w:r>
          </w:p>
          <w:p w14:paraId="0D207C0C" w14:textId="77777777" w:rsidR="00BE36FB" w:rsidRPr="009B7B35" w:rsidRDefault="00BE36FB" w:rsidP="001A7107">
            <w:pPr>
              <w:pStyle w:val="TableText"/>
              <w:rPr>
                <w:rFonts w:cs="Arial"/>
                <w:lang w:eastAsia="en-US"/>
              </w:rPr>
            </w:pPr>
            <w:r w:rsidRPr="009B7B35">
              <w:rPr>
                <w:rFonts w:cs="Arial"/>
                <w:lang w:eastAsia="en-US"/>
              </w:rPr>
              <w:t>Building entrances are legible and safe.</w:t>
            </w:r>
          </w:p>
        </w:tc>
        <w:tc>
          <w:tcPr>
            <w:tcW w:w="4678" w:type="dxa"/>
          </w:tcPr>
          <w:p w14:paraId="32439CC5" w14:textId="77777777" w:rsidR="00BE36FB" w:rsidRPr="009B7B35" w:rsidRDefault="00BE36FB" w:rsidP="001A7107">
            <w:pPr>
              <w:pStyle w:val="TableText"/>
              <w:rPr>
                <w:rFonts w:cs="Arial"/>
                <w:b/>
                <w:bCs/>
                <w:lang w:eastAsia="en-US"/>
              </w:rPr>
            </w:pPr>
            <w:r w:rsidRPr="009B7B35">
              <w:rPr>
                <w:rFonts w:cs="Arial"/>
                <w:b/>
                <w:bCs/>
                <w:lang w:eastAsia="en-US"/>
              </w:rPr>
              <w:t>AO6.1</w:t>
            </w:r>
          </w:p>
          <w:p w14:paraId="66E2052F" w14:textId="77777777" w:rsidR="00BE36FB" w:rsidRPr="009B7B35" w:rsidRDefault="00BE36FB" w:rsidP="001A7107">
            <w:pPr>
              <w:pStyle w:val="TableText"/>
              <w:rPr>
                <w:rFonts w:cs="Arial"/>
                <w:lang w:eastAsia="en-US"/>
              </w:rPr>
            </w:pPr>
            <w:r w:rsidRPr="009B7B35">
              <w:rPr>
                <w:rFonts w:cs="Arial"/>
                <w:lang w:eastAsia="en-US"/>
              </w:rPr>
              <w:t>The main entry to the premises is:</w:t>
            </w:r>
          </w:p>
          <w:p w14:paraId="07EDD131" w14:textId="77777777" w:rsidR="00BE36FB" w:rsidRPr="009B7B35" w:rsidRDefault="00BE36FB" w:rsidP="00BE36FB">
            <w:pPr>
              <w:pStyle w:val="TableText"/>
              <w:numPr>
                <w:ilvl w:val="0"/>
                <w:numId w:val="263"/>
              </w:numPr>
              <w:ind w:left="652" w:hanging="652"/>
              <w:rPr>
                <w:rFonts w:cs="Arial"/>
                <w:lang w:eastAsia="en-US"/>
              </w:rPr>
            </w:pPr>
            <w:r w:rsidRPr="009B7B35">
              <w:rPr>
                <w:rFonts w:cs="Arial"/>
                <w:lang w:eastAsia="en-US"/>
              </w:rPr>
              <w:t>easily identifiable and directly accessible from the street with a clearly defined entrance point, and</w:t>
            </w:r>
          </w:p>
          <w:p w14:paraId="497EF49B" w14:textId="77777777" w:rsidR="00BE36FB" w:rsidRPr="009B7B35" w:rsidRDefault="00BE36FB" w:rsidP="00BE36FB">
            <w:pPr>
              <w:pStyle w:val="TableText"/>
              <w:numPr>
                <w:ilvl w:val="0"/>
                <w:numId w:val="263"/>
              </w:numPr>
              <w:ind w:left="652" w:hanging="652"/>
              <w:rPr>
                <w:rFonts w:cs="Arial"/>
                <w:lang w:eastAsia="en-US"/>
              </w:rPr>
            </w:pPr>
            <w:r w:rsidRPr="009B7B35">
              <w:rPr>
                <w:rFonts w:cs="Arial"/>
                <w:lang w:eastAsia="en-US"/>
              </w:rPr>
              <w:t>separate to vehicle access points.</w:t>
            </w:r>
          </w:p>
        </w:tc>
      </w:tr>
      <w:tr w:rsidR="00BE36FB" w:rsidRPr="009B7B35" w14:paraId="11EB2453" w14:textId="77777777" w:rsidTr="001A7107">
        <w:tc>
          <w:tcPr>
            <w:tcW w:w="4678" w:type="dxa"/>
            <w:vMerge/>
          </w:tcPr>
          <w:p w14:paraId="4C50A2FA" w14:textId="77777777" w:rsidR="00BE36FB" w:rsidRPr="009B7B35" w:rsidRDefault="00BE36FB" w:rsidP="001A7107">
            <w:pPr>
              <w:pStyle w:val="TableText"/>
              <w:rPr>
                <w:rFonts w:cs="Arial"/>
                <w:lang w:eastAsia="en-US"/>
              </w:rPr>
            </w:pPr>
          </w:p>
        </w:tc>
        <w:tc>
          <w:tcPr>
            <w:tcW w:w="4678" w:type="dxa"/>
          </w:tcPr>
          <w:p w14:paraId="4C89330D" w14:textId="77777777" w:rsidR="00BE36FB" w:rsidRPr="009B7B35" w:rsidRDefault="00BE36FB" w:rsidP="001A7107">
            <w:pPr>
              <w:pStyle w:val="TableText"/>
              <w:rPr>
                <w:rFonts w:cs="Arial"/>
                <w:b/>
                <w:bCs/>
                <w:lang w:eastAsia="en-US"/>
              </w:rPr>
            </w:pPr>
            <w:r w:rsidRPr="009B7B35">
              <w:rPr>
                <w:rFonts w:cs="Arial"/>
                <w:b/>
                <w:bCs/>
                <w:lang w:eastAsia="en-US"/>
              </w:rPr>
              <w:t>AO6.2</w:t>
            </w:r>
          </w:p>
          <w:p w14:paraId="46785895" w14:textId="77777777" w:rsidR="00BE36FB" w:rsidRPr="009B7B35" w:rsidRDefault="00BE36FB" w:rsidP="001A7107">
            <w:pPr>
              <w:pStyle w:val="TableText"/>
              <w:rPr>
                <w:rFonts w:cs="Arial"/>
                <w:lang w:eastAsia="en-US"/>
              </w:rPr>
            </w:pPr>
            <w:r w:rsidRPr="009B7B35">
              <w:rPr>
                <w:rFonts w:cs="Arial"/>
                <w:lang w:eastAsia="en-US"/>
              </w:rPr>
              <w:t>Each building or tenancy is provided with a highly visible street and unit number.</w:t>
            </w:r>
          </w:p>
        </w:tc>
      </w:tr>
      <w:tr w:rsidR="00BE36FB" w:rsidRPr="009B7B35" w14:paraId="46C2940C" w14:textId="77777777" w:rsidTr="001A7107">
        <w:tc>
          <w:tcPr>
            <w:tcW w:w="4678" w:type="dxa"/>
            <w:vMerge/>
          </w:tcPr>
          <w:p w14:paraId="04DD2F9D" w14:textId="77777777" w:rsidR="00BE36FB" w:rsidRPr="009B7B35" w:rsidRDefault="00BE36FB" w:rsidP="001A7107">
            <w:pPr>
              <w:pStyle w:val="TableText"/>
              <w:rPr>
                <w:rFonts w:cs="Arial"/>
                <w:lang w:eastAsia="en-US"/>
              </w:rPr>
            </w:pPr>
          </w:p>
        </w:tc>
        <w:tc>
          <w:tcPr>
            <w:tcW w:w="4678" w:type="dxa"/>
          </w:tcPr>
          <w:p w14:paraId="34785B00" w14:textId="77777777" w:rsidR="00BE36FB" w:rsidRPr="009B7B35" w:rsidRDefault="00BE36FB" w:rsidP="001A7107">
            <w:pPr>
              <w:pStyle w:val="TableText"/>
              <w:rPr>
                <w:rFonts w:cs="Arial"/>
                <w:b/>
                <w:bCs/>
                <w:lang w:eastAsia="en-US"/>
              </w:rPr>
            </w:pPr>
            <w:r w:rsidRPr="009B7B35">
              <w:rPr>
                <w:rFonts w:cs="Arial"/>
                <w:b/>
                <w:bCs/>
                <w:lang w:eastAsia="en-US"/>
              </w:rPr>
              <w:t>AO6.3</w:t>
            </w:r>
          </w:p>
          <w:p w14:paraId="0847D4FD" w14:textId="77777777" w:rsidR="00BE36FB" w:rsidRPr="009B7B35" w:rsidRDefault="00BE36FB" w:rsidP="001A7107">
            <w:pPr>
              <w:pStyle w:val="TableText"/>
              <w:rPr>
                <w:rFonts w:cs="Arial"/>
                <w:lang w:eastAsia="en-US"/>
              </w:rPr>
            </w:pPr>
            <w:r w:rsidRPr="009B7B35">
              <w:rPr>
                <w:rFonts w:cs="Arial"/>
                <w:lang w:eastAsia="en-US"/>
              </w:rPr>
              <w:t>Premises are provided with external lighting sufficient to provide safe ingress and egress for site users.</w:t>
            </w:r>
          </w:p>
        </w:tc>
      </w:tr>
      <w:tr w:rsidR="00BE36FB" w:rsidRPr="009B7B35" w14:paraId="3E3325D7" w14:textId="77777777" w:rsidTr="001A7107">
        <w:tc>
          <w:tcPr>
            <w:tcW w:w="4678" w:type="dxa"/>
            <w:vMerge/>
          </w:tcPr>
          <w:p w14:paraId="31B67BA8" w14:textId="77777777" w:rsidR="00BE36FB" w:rsidRPr="009B7B35" w:rsidRDefault="00BE36FB" w:rsidP="001A7107">
            <w:pPr>
              <w:pStyle w:val="TableText"/>
              <w:rPr>
                <w:rFonts w:cs="Arial"/>
                <w:lang w:eastAsia="en-US"/>
              </w:rPr>
            </w:pPr>
          </w:p>
        </w:tc>
        <w:tc>
          <w:tcPr>
            <w:tcW w:w="4678" w:type="dxa"/>
          </w:tcPr>
          <w:p w14:paraId="40B2BA11" w14:textId="77777777" w:rsidR="00BE36FB" w:rsidRPr="009B7B35" w:rsidRDefault="00BE36FB" w:rsidP="001A7107">
            <w:pPr>
              <w:pStyle w:val="TableText"/>
              <w:rPr>
                <w:rFonts w:cs="Arial"/>
                <w:b/>
                <w:bCs/>
                <w:lang w:eastAsia="en-US"/>
              </w:rPr>
            </w:pPr>
            <w:r w:rsidRPr="009B7B35">
              <w:rPr>
                <w:rFonts w:cs="Arial"/>
                <w:b/>
                <w:bCs/>
                <w:lang w:eastAsia="en-US"/>
              </w:rPr>
              <w:t>AO6.4</w:t>
            </w:r>
          </w:p>
          <w:p w14:paraId="2398F672" w14:textId="77777777" w:rsidR="00BE36FB" w:rsidRPr="009B7B35" w:rsidRDefault="00BE36FB" w:rsidP="001A7107">
            <w:pPr>
              <w:pStyle w:val="TableText"/>
              <w:rPr>
                <w:rFonts w:cs="Arial"/>
                <w:lang w:eastAsia="en-US"/>
              </w:rPr>
            </w:pPr>
            <w:r w:rsidRPr="009B7B35">
              <w:rPr>
                <w:rFonts w:cs="Arial"/>
                <w:lang w:eastAsia="en-US"/>
              </w:rPr>
              <w:t xml:space="preserve">Office space is sited and orientated towards the principal road frontage of a site. </w:t>
            </w:r>
          </w:p>
        </w:tc>
      </w:tr>
      <w:tr w:rsidR="00BE36FB" w:rsidRPr="009B7B35" w14:paraId="6B56D7C4" w14:textId="77777777" w:rsidTr="001A7107">
        <w:tc>
          <w:tcPr>
            <w:tcW w:w="4678" w:type="dxa"/>
          </w:tcPr>
          <w:p w14:paraId="4B3F8C4F" w14:textId="77777777" w:rsidR="00BE36FB" w:rsidRPr="009B7B35" w:rsidRDefault="00BE36FB" w:rsidP="001A7107">
            <w:pPr>
              <w:pStyle w:val="TableText"/>
              <w:rPr>
                <w:rFonts w:cs="Arial"/>
                <w:b/>
                <w:bCs/>
                <w:lang w:eastAsia="en-US"/>
              </w:rPr>
            </w:pPr>
            <w:r w:rsidRPr="009B7B35">
              <w:rPr>
                <w:rFonts w:cs="Arial"/>
                <w:b/>
                <w:bCs/>
                <w:lang w:eastAsia="en-US"/>
              </w:rPr>
              <w:t>PO7</w:t>
            </w:r>
          </w:p>
          <w:p w14:paraId="5FF69F6B" w14:textId="77777777" w:rsidR="00BE36FB" w:rsidRPr="009B7B35" w:rsidRDefault="00BE36FB" w:rsidP="001A7107">
            <w:pPr>
              <w:pStyle w:val="TableText"/>
              <w:rPr>
                <w:rFonts w:cs="Arial"/>
                <w:lang w:eastAsia="en-US"/>
              </w:rPr>
            </w:pPr>
            <w:r w:rsidRPr="009B7B35">
              <w:rPr>
                <w:rFonts w:cs="Arial"/>
                <w:lang w:eastAsia="en-US"/>
              </w:rPr>
              <w:t>Development is designed to facilitate the safety and security of people and property having regard to:</w:t>
            </w:r>
          </w:p>
          <w:p w14:paraId="134EBB38" w14:textId="77777777" w:rsidR="00BE36FB" w:rsidRPr="009B7B35" w:rsidRDefault="00BE36FB" w:rsidP="00BE36FB">
            <w:pPr>
              <w:pStyle w:val="TableText"/>
              <w:numPr>
                <w:ilvl w:val="0"/>
                <w:numId w:val="264"/>
              </w:numPr>
              <w:ind w:left="567" w:hanging="567"/>
              <w:rPr>
                <w:rFonts w:cs="Arial"/>
                <w:lang w:eastAsia="en-US"/>
              </w:rPr>
            </w:pPr>
            <w:r w:rsidRPr="009B7B35">
              <w:rPr>
                <w:rFonts w:cs="Arial"/>
                <w:lang w:eastAsia="en-US"/>
              </w:rPr>
              <w:t>maximising casual surveillance and sight lines</w:t>
            </w:r>
          </w:p>
          <w:p w14:paraId="4E7103AC" w14:textId="77777777" w:rsidR="00BE36FB" w:rsidRPr="009B7B35" w:rsidRDefault="00BE36FB" w:rsidP="00BE36FB">
            <w:pPr>
              <w:pStyle w:val="TableText"/>
              <w:numPr>
                <w:ilvl w:val="0"/>
                <w:numId w:val="264"/>
              </w:numPr>
              <w:ind w:left="567" w:hanging="567"/>
              <w:rPr>
                <w:rFonts w:cs="Arial"/>
                <w:lang w:eastAsia="en-US"/>
              </w:rPr>
            </w:pPr>
            <w:r w:rsidRPr="009B7B35">
              <w:rPr>
                <w:rFonts w:cs="Arial"/>
                <w:lang w:eastAsia="en-US"/>
              </w:rPr>
              <w:t>exterior building design that promotes safety</w:t>
            </w:r>
          </w:p>
          <w:p w14:paraId="60A6BD64" w14:textId="77777777" w:rsidR="00BE36FB" w:rsidRPr="009B7B35" w:rsidRDefault="00BE36FB" w:rsidP="00BE36FB">
            <w:pPr>
              <w:pStyle w:val="TableText"/>
              <w:numPr>
                <w:ilvl w:val="0"/>
                <w:numId w:val="264"/>
              </w:numPr>
              <w:ind w:left="567" w:hanging="567"/>
              <w:rPr>
                <w:rFonts w:cs="Arial"/>
                <w:lang w:eastAsia="en-US"/>
              </w:rPr>
            </w:pPr>
            <w:r w:rsidRPr="009B7B35">
              <w:rPr>
                <w:rFonts w:cs="Arial"/>
                <w:lang w:eastAsia="en-US"/>
              </w:rPr>
              <w:t>adequate lighting</w:t>
            </w:r>
          </w:p>
          <w:p w14:paraId="77BC9259" w14:textId="77777777" w:rsidR="00BE36FB" w:rsidRPr="009B7B35" w:rsidRDefault="00BE36FB" w:rsidP="00BE36FB">
            <w:pPr>
              <w:pStyle w:val="TableText"/>
              <w:numPr>
                <w:ilvl w:val="0"/>
                <w:numId w:val="264"/>
              </w:numPr>
              <w:ind w:left="567" w:hanging="567"/>
              <w:rPr>
                <w:rFonts w:cs="Arial"/>
                <w:lang w:eastAsia="en-US"/>
              </w:rPr>
            </w:pPr>
            <w:r w:rsidRPr="009B7B35">
              <w:rPr>
                <w:rFonts w:cs="Arial"/>
                <w:lang w:eastAsia="en-US"/>
              </w:rPr>
              <w:t>appropriate signage and wayfinding</w:t>
            </w:r>
          </w:p>
          <w:p w14:paraId="18474530" w14:textId="77777777" w:rsidR="00BE36FB" w:rsidRPr="009B7B35" w:rsidRDefault="00BE36FB" w:rsidP="00BE36FB">
            <w:pPr>
              <w:pStyle w:val="TableText"/>
              <w:numPr>
                <w:ilvl w:val="0"/>
                <w:numId w:val="264"/>
              </w:numPr>
              <w:ind w:left="567" w:hanging="567"/>
              <w:rPr>
                <w:rFonts w:cs="Arial"/>
                <w:lang w:eastAsia="en-US"/>
              </w:rPr>
            </w:pPr>
            <w:r w:rsidRPr="009B7B35">
              <w:rPr>
                <w:rFonts w:cs="Arial"/>
                <w:lang w:eastAsia="en-US"/>
              </w:rPr>
              <w:t>minimisation of personal concealment and entrapment locations, and</w:t>
            </w:r>
          </w:p>
          <w:p w14:paraId="013608CD" w14:textId="77777777" w:rsidR="00BE36FB" w:rsidRPr="009B7B35" w:rsidRDefault="00BE36FB" w:rsidP="00BE36FB">
            <w:pPr>
              <w:pStyle w:val="TableText"/>
              <w:numPr>
                <w:ilvl w:val="0"/>
                <w:numId w:val="264"/>
              </w:numPr>
              <w:ind w:left="567" w:hanging="567"/>
              <w:rPr>
                <w:rFonts w:cs="Arial"/>
                <w:lang w:eastAsia="en-US"/>
              </w:rPr>
            </w:pPr>
            <w:r w:rsidRPr="009B7B35">
              <w:rPr>
                <w:rFonts w:cs="Arial"/>
                <w:lang w:eastAsia="en-US"/>
              </w:rPr>
              <w:t>building entrances, parking, loading and storage areas that are well lit and have clearly defined access points.</w:t>
            </w:r>
          </w:p>
          <w:p w14:paraId="10FC4318" w14:textId="77777777" w:rsidR="00BE36FB" w:rsidRPr="009B7B35" w:rsidRDefault="00BE36FB">
            <w:pPr>
              <w:pStyle w:val="Notes"/>
              <w:rPr>
                <w:rFonts w:cs="Arial"/>
                <w:sz w:val="20"/>
                <w:szCs w:val="20"/>
                <w:lang w:eastAsia="en-US"/>
              </w:rPr>
            </w:pPr>
            <w:r w:rsidRPr="009B7B35">
              <w:rPr>
                <w:rFonts w:cs="Arial"/>
                <w:sz w:val="20"/>
                <w:szCs w:val="20"/>
                <w:lang w:eastAsia="en-US"/>
              </w:rPr>
              <w:t>Note—</w:t>
            </w:r>
            <w:r w:rsidRPr="009B7B35">
              <w:rPr>
                <w:rFonts w:cs="Arial"/>
                <w:sz w:val="20"/>
                <w:szCs w:val="20"/>
              </w:rPr>
              <w:t>A</w:t>
            </w:r>
            <w:r w:rsidRPr="009B7B35">
              <w:rPr>
                <w:rFonts w:cs="Arial"/>
                <w:sz w:val="20"/>
                <w:szCs w:val="20"/>
                <w:lang w:eastAsia="en-US"/>
              </w:rPr>
              <w:t xml:space="preserve">pplicants should have regard to </w:t>
            </w:r>
            <w:hyperlink r:id="rId76" w:tgtFrame="_blank" w:tooltip="Crime Prevention through Environmental Design Guidelines for Queensland" w:history="1">
              <w:r w:rsidRPr="009B7B35">
                <w:rPr>
                  <w:rStyle w:val="Hyperlink"/>
                  <w:rFonts w:cs="Arial"/>
                  <w:sz w:val="20"/>
                  <w:szCs w:val="20"/>
                  <w:lang w:eastAsia="en-US"/>
                </w:rPr>
                <w:t>Crime Prevention through Environmental Design Guidelines for Queensland</w:t>
              </w:r>
            </w:hyperlink>
            <w:r w:rsidRPr="009B7B35">
              <w:rPr>
                <w:rFonts w:cs="Arial"/>
                <w:sz w:val="20"/>
                <w:szCs w:val="20"/>
                <w:lang w:eastAsia="en-US"/>
              </w:rPr>
              <w:t>.</w:t>
            </w:r>
          </w:p>
        </w:tc>
        <w:tc>
          <w:tcPr>
            <w:tcW w:w="4678" w:type="dxa"/>
          </w:tcPr>
          <w:p w14:paraId="38A6A00D"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0FD5617F" w14:textId="77777777" w:rsidTr="001A7107">
        <w:trPr>
          <w:cantSplit/>
        </w:trPr>
        <w:tc>
          <w:tcPr>
            <w:tcW w:w="9356" w:type="dxa"/>
            <w:gridSpan w:val="2"/>
            <w:shd w:val="clear" w:color="auto" w:fill="BFBFBF" w:themeFill="background1" w:themeFillShade="BF"/>
          </w:tcPr>
          <w:p w14:paraId="7DA075D5"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Amenity</w:t>
            </w:r>
          </w:p>
        </w:tc>
      </w:tr>
      <w:tr w:rsidR="00BE36FB" w:rsidRPr="009B7B35" w14:paraId="3C5F3853" w14:textId="77777777" w:rsidTr="001A7107">
        <w:trPr>
          <w:cantSplit/>
        </w:trPr>
        <w:tc>
          <w:tcPr>
            <w:tcW w:w="4678" w:type="dxa"/>
          </w:tcPr>
          <w:p w14:paraId="0809F505" w14:textId="77777777" w:rsidR="00BE36FB" w:rsidRPr="009B7B35" w:rsidRDefault="00BE36FB" w:rsidP="001A7107">
            <w:pPr>
              <w:pStyle w:val="TableText"/>
              <w:rPr>
                <w:rFonts w:cs="Arial"/>
                <w:b/>
                <w:bCs/>
                <w:lang w:eastAsia="en-US"/>
              </w:rPr>
            </w:pPr>
            <w:r w:rsidRPr="009B7B35">
              <w:rPr>
                <w:rFonts w:cs="Arial"/>
                <w:b/>
                <w:bCs/>
                <w:lang w:eastAsia="en-US"/>
              </w:rPr>
              <w:t>PO8</w:t>
            </w:r>
          </w:p>
          <w:p w14:paraId="010976EB" w14:textId="77777777" w:rsidR="00BE36FB" w:rsidRPr="009B7B35" w:rsidRDefault="00BE36FB" w:rsidP="001A7107">
            <w:pPr>
              <w:pStyle w:val="TableText"/>
              <w:rPr>
                <w:rFonts w:cs="Arial"/>
                <w:lang w:eastAsia="en-US"/>
              </w:rPr>
            </w:pPr>
            <w:r w:rsidRPr="009B7B35">
              <w:rPr>
                <w:rFonts w:cs="Arial"/>
                <w:lang w:eastAsia="en-US"/>
              </w:rPr>
              <w:t>Utility elements (including refuse areas, outdoor storage, plant and equipment, loading and unloading areas) are screened from view from the street and adjoining any land in another zone.</w:t>
            </w:r>
          </w:p>
        </w:tc>
        <w:tc>
          <w:tcPr>
            <w:tcW w:w="4678" w:type="dxa"/>
          </w:tcPr>
          <w:p w14:paraId="6323CE64" w14:textId="77777777" w:rsidR="00BE36FB" w:rsidRPr="009B7B35" w:rsidRDefault="00BE36FB" w:rsidP="001A7107">
            <w:pPr>
              <w:pStyle w:val="TableText"/>
              <w:rPr>
                <w:rFonts w:cs="Arial"/>
                <w:b/>
                <w:bCs/>
                <w:lang w:eastAsia="en-US"/>
              </w:rPr>
            </w:pPr>
            <w:r w:rsidRPr="009B7B35">
              <w:rPr>
                <w:rFonts w:cs="Arial"/>
                <w:b/>
                <w:bCs/>
                <w:lang w:eastAsia="en-US"/>
              </w:rPr>
              <w:t>AO8</w:t>
            </w:r>
          </w:p>
          <w:p w14:paraId="6FB1B4EF" w14:textId="77777777" w:rsidR="00BE36FB" w:rsidRPr="009B7B35" w:rsidRDefault="00BE36FB" w:rsidP="001A7107">
            <w:pPr>
              <w:pStyle w:val="TableText"/>
              <w:rPr>
                <w:rFonts w:cs="Arial"/>
                <w:lang w:eastAsia="en-US"/>
              </w:rPr>
            </w:pPr>
            <w:r w:rsidRPr="009B7B35">
              <w:rPr>
                <w:rFonts w:cs="Arial"/>
                <w:lang w:eastAsia="en-US"/>
              </w:rPr>
              <w:t>Utility elements are:</w:t>
            </w:r>
          </w:p>
          <w:p w14:paraId="0F771BA1" w14:textId="77777777" w:rsidR="00BE36FB" w:rsidRPr="009B7B35" w:rsidRDefault="00BE36FB" w:rsidP="00BE36FB">
            <w:pPr>
              <w:pStyle w:val="TableText"/>
              <w:numPr>
                <w:ilvl w:val="0"/>
                <w:numId w:val="265"/>
              </w:numPr>
              <w:rPr>
                <w:rFonts w:cs="Arial"/>
                <w:lang w:eastAsia="en-US"/>
              </w:rPr>
            </w:pPr>
            <w:r w:rsidRPr="009B7B35">
              <w:rPr>
                <w:rFonts w:cs="Arial"/>
                <w:lang w:eastAsia="en-US"/>
              </w:rPr>
              <w:t xml:space="preserve">located within or behind the building, or </w:t>
            </w:r>
          </w:p>
          <w:p w14:paraId="676BAB0E" w14:textId="77777777" w:rsidR="00BE36FB" w:rsidRPr="009B7B35" w:rsidRDefault="00BE36FB" w:rsidP="00BE36FB">
            <w:pPr>
              <w:pStyle w:val="TableText"/>
              <w:numPr>
                <w:ilvl w:val="0"/>
                <w:numId w:val="265"/>
              </w:numPr>
              <w:rPr>
                <w:rFonts w:cs="Arial"/>
                <w:lang w:eastAsia="en-US"/>
              </w:rPr>
            </w:pPr>
            <w:r w:rsidRPr="009B7B35">
              <w:rPr>
                <w:rFonts w:cs="Arial"/>
                <w:lang w:eastAsia="en-US"/>
              </w:rPr>
              <w:t>screened by a 1.8m high solid wall or fence, or</w:t>
            </w:r>
          </w:p>
          <w:p w14:paraId="288E2170" w14:textId="77777777" w:rsidR="00BE36FB" w:rsidRPr="009B7B35" w:rsidRDefault="00BE36FB" w:rsidP="00BE36FB">
            <w:pPr>
              <w:pStyle w:val="TableText"/>
              <w:numPr>
                <w:ilvl w:val="0"/>
                <w:numId w:val="265"/>
              </w:numPr>
              <w:rPr>
                <w:rFonts w:cs="Arial"/>
                <w:lang w:eastAsia="en-US"/>
              </w:rPr>
            </w:pPr>
            <w:r w:rsidRPr="009B7B35">
              <w:rPr>
                <w:rFonts w:cs="Arial"/>
                <w:lang w:eastAsia="en-US"/>
              </w:rPr>
              <w:t>behind landscaping having the same screening effect as a 1.8m screen fence.</w:t>
            </w:r>
          </w:p>
          <w:p w14:paraId="6FA587FF" w14:textId="77777777" w:rsidR="00BE36FB" w:rsidRPr="009B7B35" w:rsidRDefault="00BE36FB" w:rsidP="001A7107">
            <w:pPr>
              <w:pStyle w:val="Notes"/>
              <w:rPr>
                <w:rFonts w:cs="Arial"/>
                <w:sz w:val="20"/>
                <w:szCs w:val="20"/>
                <w:lang w:eastAsia="en-US"/>
              </w:rPr>
            </w:pPr>
            <w:r w:rsidRPr="009B7B35">
              <w:rPr>
                <w:rFonts w:cs="Arial"/>
                <w:sz w:val="20"/>
                <w:szCs w:val="20"/>
                <w:lang w:eastAsia="en-US"/>
              </w:rPr>
              <w:t>Note—</w:t>
            </w:r>
            <w:r w:rsidRPr="009B7B35">
              <w:rPr>
                <w:rFonts w:cs="Arial"/>
                <w:sz w:val="20"/>
                <w:szCs w:val="20"/>
              </w:rPr>
              <w:t>S</w:t>
            </w:r>
            <w:r w:rsidRPr="009B7B35">
              <w:rPr>
                <w:rFonts w:cs="Arial"/>
                <w:sz w:val="20"/>
                <w:szCs w:val="20"/>
                <w:lang w:eastAsia="en-US"/>
              </w:rPr>
              <w:t>creening can be provided by any combination of the above treatments to meet the acceptable outcome.</w:t>
            </w:r>
          </w:p>
        </w:tc>
      </w:tr>
      <w:tr w:rsidR="00BE36FB" w:rsidRPr="009B7B35" w14:paraId="1C299464" w14:textId="77777777" w:rsidTr="001A7107">
        <w:trPr>
          <w:cantSplit/>
        </w:trPr>
        <w:tc>
          <w:tcPr>
            <w:tcW w:w="4678" w:type="dxa"/>
            <w:hideMark/>
          </w:tcPr>
          <w:p w14:paraId="2C009734" w14:textId="77777777" w:rsidR="00BE36FB" w:rsidRPr="009B7B35" w:rsidRDefault="00BE36FB" w:rsidP="001A7107">
            <w:pPr>
              <w:pStyle w:val="TableText"/>
              <w:rPr>
                <w:rFonts w:cs="Arial"/>
                <w:b/>
                <w:bCs/>
                <w:lang w:eastAsia="en-US"/>
              </w:rPr>
            </w:pPr>
            <w:r w:rsidRPr="009B7B35">
              <w:rPr>
                <w:rFonts w:cs="Arial"/>
                <w:b/>
                <w:bCs/>
                <w:lang w:eastAsia="en-US"/>
              </w:rPr>
              <w:t>PO9</w:t>
            </w:r>
          </w:p>
          <w:p w14:paraId="2DB57192" w14:textId="77777777" w:rsidR="00BE36FB" w:rsidRPr="009B7B35" w:rsidRDefault="00BE36FB" w:rsidP="001A7107">
            <w:pPr>
              <w:pStyle w:val="TableText"/>
              <w:rPr>
                <w:rFonts w:cs="Arial"/>
                <w:lang w:eastAsia="en-US"/>
              </w:rPr>
            </w:pPr>
            <w:r w:rsidRPr="009B7B35">
              <w:rPr>
                <w:rFonts w:cs="Arial"/>
                <w:lang w:eastAsia="en-US"/>
              </w:rPr>
              <w:t>Landscaping is provided to mitigate the visual impact of development and screen unsightly components.</w:t>
            </w:r>
          </w:p>
          <w:p w14:paraId="24D2B30D" w14:textId="77777777" w:rsidR="00BE36FB" w:rsidRPr="009B7B35" w:rsidRDefault="00BE36FB" w:rsidP="001A7107">
            <w:pPr>
              <w:pStyle w:val="Notes"/>
              <w:rPr>
                <w:rFonts w:cs="Arial"/>
                <w:sz w:val="20"/>
                <w:szCs w:val="20"/>
                <w:lang w:eastAsia="en-US"/>
              </w:rPr>
            </w:pPr>
            <w:r w:rsidRPr="009B7B35">
              <w:rPr>
                <w:rFonts w:cs="Arial"/>
                <w:sz w:val="20"/>
                <w:szCs w:val="20"/>
                <w:lang w:eastAsia="en-US"/>
              </w:rPr>
              <w:t>Note—</w:t>
            </w:r>
            <w:r w:rsidRPr="009B7B35">
              <w:rPr>
                <w:rFonts w:cs="Arial"/>
                <w:sz w:val="20"/>
                <w:szCs w:val="20"/>
              </w:rPr>
              <w:t>R</w:t>
            </w:r>
            <w:r w:rsidRPr="009B7B35">
              <w:rPr>
                <w:rFonts w:cs="Arial"/>
                <w:sz w:val="20"/>
                <w:szCs w:val="20"/>
                <w:lang w:eastAsia="en-US"/>
              </w:rPr>
              <w:t>efer also to the Landscaping code.</w:t>
            </w:r>
          </w:p>
        </w:tc>
        <w:tc>
          <w:tcPr>
            <w:tcW w:w="4678" w:type="dxa"/>
          </w:tcPr>
          <w:p w14:paraId="422BB85D" w14:textId="77777777" w:rsidR="00BE36FB" w:rsidRPr="009B7B35" w:rsidRDefault="00BE36FB" w:rsidP="001A7107">
            <w:pPr>
              <w:pStyle w:val="TableText"/>
              <w:rPr>
                <w:rFonts w:cs="Arial"/>
                <w:b/>
                <w:bCs/>
                <w:lang w:eastAsia="en-US"/>
              </w:rPr>
            </w:pPr>
            <w:r w:rsidRPr="009B7B35">
              <w:rPr>
                <w:rFonts w:cs="Arial"/>
                <w:b/>
                <w:bCs/>
                <w:lang w:eastAsia="en-US"/>
              </w:rPr>
              <w:t>AO9</w:t>
            </w:r>
          </w:p>
          <w:p w14:paraId="224C9BEF" w14:textId="77777777" w:rsidR="00BE36FB" w:rsidRPr="009B7B35" w:rsidRDefault="00BE36FB" w:rsidP="001A7107">
            <w:pPr>
              <w:pStyle w:val="TableText"/>
              <w:rPr>
                <w:rFonts w:cs="Arial"/>
                <w:lang w:eastAsia="en-US"/>
              </w:rPr>
            </w:pPr>
            <w:r w:rsidRPr="009B7B35">
              <w:rPr>
                <w:rFonts w:cs="Arial"/>
                <w:lang w:eastAsia="en-US"/>
              </w:rPr>
              <w:t xml:space="preserve">Landscaping is provided along the entire principal site frontage, excluding driveway, with a minimum width of: </w:t>
            </w:r>
          </w:p>
          <w:p w14:paraId="7006D29F" w14:textId="77777777" w:rsidR="00BE36FB" w:rsidRPr="009B7B35" w:rsidRDefault="00BE36FB" w:rsidP="00BE36FB">
            <w:pPr>
              <w:pStyle w:val="TableText"/>
              <w:numPr>
                <w:ilvl w:val="0"/>
                <w:numId w:val="266"/>
              </w:numPr>
              <w:rPr>
                <w:rFonts w:cs="Arial"/>
                <w:lang w:eastAsia="en-US"/>
              </w:rPr>
            </w:pPr>
            <w:r w:rsidRPr="009B7B35">
              <w:rPr>
                <w:rFonts w:cs="Arial"/>
                <w:lang w:eastAsia="en-US"/>
              </w:rPr>
              <w:t>4m along an arterial road, and</w:t>
            </w:r>
          </w:p>
          <w:p w14:paraId="50CB23CF" w14:textId="77777777" w:rsidR="00BE36FB" w:rsidRPr="009B7B35" w:rsidRDefault="00BE36FB" w:rsidP="00BE36FB">
            <w:pPr>
              <w:pStyle w:val="TableText"/>
              <w:numPr>
                <w:ilvl w:val="0"/>
                <w:numId w:val="266"/>
              </w:numPr>
              <w:rPr>
                <w:rFonts w:cs="Arial"/>
                <w:lang w:eastAsia="en-US"/>
              </w:rPr>
            </w:pPr>
            <w:r w:rsidRPr="009B7B35">
              <w:rPr>
                <w:rFonts w:cs="Arial"/>
                <w:lang w:eastAsia="en-US"/>
              </w:rPr>
              <w:t>2m along any other road.</w:t>
            </w:r>
          </w:p>
        </w:tc>
      </w:tr>
      <w:tr w:rsidR="00BE36FB" w:rsidRPr="009B7B35" w14:paraId="497FEC9E" w14:textId="77777777" w:rsidTr="001A7107">
        <w:trPr>
          <w:cantSplit/>
        </w:trPr>
        <w:tc>
          <w:tcPr>
            <w:tcW w:w="4678" w:type="dxa"/>
            <w:vMerge w:val="restart"/>
          </w:tcPr>
          <w:p w14:paraId="022E9227" w14:textId="77777777" w:rsidR="00BE36FB" w:rsidRPr="009B7B35" w:rsidRDefault="00BE36FB" w:rsidP="001A7107">
            <w:pPr>
              <w:pStyle w:val="TableText"/>
              <w:rPr>
                <w:rFonts w:cs="Arial"/>
                <w:b/>
                <w:bCs/>
                <w:lang w:eastAsia="en-US"/>
              </w:rPr>
            </w:pPr>
            <w:r w:rsidRPr="009B7B35">
              <w:rPr>
                <w:rFonts w:cs="Arial"/>
                <w:b/>
                <w:bCs/>
                <w:lang w:eastAsia="en-US"/>
              </w:rPr>
              <w:t>PO10</w:t>
            </w:r>
          </w:p>
          <w:p w14:paraId="4FA9A321" w14:textId="77777777" w:rsidR="00BE36FB" w:rsidRPr="009B7B35" w:rsidRDefault="00BE36FB" w:rsidP="001A7107">
            <w:pPr>
              <w:pStyle w:val="TableText"/>
              <w:rPr>
                <w:rFonts w:cs="Arial"/>
                <w:lang w:eastAsia="en-US"/>
              </w:rPr>
            </w:pPr>
            <w:r w:rsidRPr="009B7B35">
              <w:rPr>
                <w:rFonts w:cs="Arial"/>
                <w:lang w:eastAsia="en-US"/>
              </w:rPr>
              <w:t>Outdoor lighting does not adversely affect the amenity of adjoining properties or create a traffic hazard on adjacent roads.</w:t>
            </w:r>
          </w:p>
        </w:tc>
        <w:tc>
          <w:tcPr>
            <w:tcW w:w="4678" w:type="dxa"/>
          </w:tcPr>
          <w:p w14:paraId="39E41556" w14:textId="77777777" w:rsidR="00BE36FB" w:rsidRPr="009B7B35" w:rsidRDefault="00BE36FB" w:rsidP="001A7107">
            <w:pPr>
              <w:pStyle w:val="TableText"/>
              <w:rPr>
                <w:rFonts w:cs="Arial"/>
                <w:b/>
                <w:bCs/>
                <w:lang w:eastAsia="en-US"/>
              </w:rPr>
            </w:pPr>
            <w:r w:rsidRPr="009B7B35">
              <w:rPr>
                <w:rFonts w:cs="Arial"/>
                <w:b/>
                <w:bCs/>
                <w:lang w:eastAsia="en-US"/>
              </w:rPr>
              <w:t>AO10.1</w:t>
            </w:r>
          </w:p>
          <w:p w14:paraId="7E1367BE" w14:textId="77777777" w:rsidR="00BE36FB" w:rsidRPr="009B7B35" w:rsidRDefault="00BE36FB" w:rsidP="001A7107">
            <w:pPr>
              <w:pStyle w:val="TableText"/>
              <w:rPr>
                <w:rFonts w:cs="Arial"/>
                <w:lang w:eastAsia="en-US"/>
              </w:rPr>
            </w:pPr>
            <w:r w:rsidRPr="009B7B35">
              <w:rPr>
                <w:rFonts w:cs="Arial"/>
                <w:lang w:eastAsia="en-US"/>
              </w:rPr>
              <w:t xml:space="preserve">Light emanating from any source complies with </w:t>
            </w:r>
            <w:r w:rsidRPr="009B7B35">
              <w:rPr>
                <w:rStyle w:val="StyleItalic"/>
                <w:rFonts w:cs="Arial"/>
              </w:rPr>
              <w:t>Australian Standard AS4282 Control of the Obtrusive Effects of Outdoor Lighting</w:t>
            </w:r>
            <w:r w:rsidRPr="009B7B35">
              <w:rPr>
                <w:rFonts w:cs="Arial"/>
                <w:lang w:eastAsia="en-US"/>
              </w:rPr>
              <w:t>.</w:t>
            </w:r>
          </w:p>
        </w:tc>
      </w:tr>
      <w:tr w:rsidR="00BE36FB" w:rsidRPr="009B7B35" w14:paraId="147B8195" w14:textId="77777777" w:rsidTr="001A7107">
        <w:trPr>
          <w:cantSplit/>
        </w:trPr>
        <w:tc>
          <w:tcPr>
            <w:tcW w:w="4678" w:type="dxa"/>
            <w:vMerge/>
          </w:tcPr>
          <w:p w14:paraId="4BA54855" w14:textId="77777777" w:rsidR="00BE36FB" w:rsidRPr="009B7B35" w:rsidRDefault="00BE36FB" w:rsidP="001A7107">
            <w:pPr>
              <w:pStyle w:val="TableText"/>
              <w:rPr>
                <w:rFonts w:cs="Arial"/>
                <w:lang w:eastAsia="en-US"/>
              </w:rPr>
            </w:pPr>
          </w:p>
        </w:tc>
        <w:tc>
          <w:tcPr>
            <w:tcW w:w="4678" w:type="dxa"/>
          </w:tcPr>
          <w:p w14:paraId="1ED4C40A" w14:textId="77777777" w:rsidR="00BE36FB" w:rsidRPr="009B7B35" w:rsidRDefault="00BE36FB" w:rsidP="001A7107">
            <w:pPr>
              <w:pStyle w:val="TableText"/>
              <w:rPr>
                <w:rFonts w:cs="Arial"/>
                <w:b/>
                <w:bCs/>
                <w:lang w:eastAsia="en-US"/>
              </w:rPr>
            </w:pPr>
            <w:r w:rsidRPr="009B7B35">
              <w:rPr>
                <w:rFonts w:cs="Arial"/>
                <w:b/>
                <w:bCs/>
                <w:lang w:eastAsia="en-US"/>
              </w:rPr>
              <w:t>AO10.2</w:t>
            </w:r>
          </w:p>
          <w:p w14:paraId="63718155" w14:textId="77777777" w:rsidR="00BE36FB" w:rsidRPr="009B7B35" w:rsidRDefault="00BE36FB" w:rsidP="001A7107">
            <w:pPr>
              <w:pStyle w:val="TableText"/>
              <w:rPr>
                <w:rFonts w:cs="Arial"/>
                <w:lang w:eastAsia="en-US"/>
              </w:rPr>
            </w:pPr>
            <w:r w:rsidRPr="009B7B35">
              <w:rPr>
                <w:rFonts w:cs="Arial"/>
                <w:lang w:eastAsia="en-US"/>
              </w:rPr>
              <w:t xml:space="preserve">Outdoor lighting is provided in accordance with </w:t>
            </w:r>
            <w:r w:rsidRPr="009B7B35">
              <w:rPr>
                <w:rStyle w:val="StyleItalic"/>
                <w:rFonts w:cs="Arial"/>
              </w:rPr>
              <w:t>Australian Standard AS 1158.1.1 – Road Lighting – Vehicular Traffic Category V) Lighting – Performance and Installation Design Requirements</w:t>
            </w:r>
            <w:r w:rsidRPr="009B7B35">
              <w:rPr>
                <w:rFonts w:cs="Arial"/>
                <w:lang w:eastAsia="en-US"/>
              </w:rPr>
              <w:t>.</w:t>
            </w:r>
          </w:p>
        </w:tc>
      </w:tr>
      <w:tr w:rsidR="00BE36FB" w:rsidRPr="009B7B35" w14:paraId="2E5BC61E" w14:textId="77777777" w:rsidTr="001A7107">
        <w:trPr>
          <w:cantSplit/>
        </w:trPr>
        <w:tc>
          <w:tcPr>
            <w:tcW w:w="9356" w:type="dxa"/>
            <w:gridSpan w:val="2"/>
            <w:shd w:val="clear" w:color="auto" w:fill="BFBFBF" w:themeFill="background1" w:themeFillShade="BF"/>
            <w:hideMark/>
          </w:tcPr>
          <w:p w14:paraId="6126F397"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Effects of development</w:t>
            </w:r>
          </w:p>
        </w:tc>
      </w:tr>
      <w:tr w:rsidR="00BE36FB" w:rsidRPr="009B7B35" w14:paraId="41A73635" w14:textId="77777777" w:rsidTr="001A7107">
        <w:trPr>
          <w:cantSplit/>
        </w:trPr>
        <w:tc>
          <w:tcPr>
            <w:tcW w:w="4678" w:type="dxa"/>
            <w:hideMark/>
          </w:tcPr>
          <w:p w14:paraId="11CC33B5" w14:textId="77777777" w:rsidR="00BE36FB" w:rsidRPr="009B7B35" w:rsidRDefault="00BE36FB" w:rsidP="001A7107">
            <w:pPr>
              <w:pStyle w:val="TableText"/>
              <w:rPr>
                <w:rFonts w:cs="Arial"/>
                <w:b/>
                <w:bCs/>
                <w:lang w:eastAsia="en-US"/>
              </w:rPr>
            </w:pPr>
            <w:r w:rsidRPr="009B7B35">
              <w:rPr>
                <w:rFonts w:cs="Arial"/>
                <w:b/>
                <w:bCs/>
                <w:lang w:eastAsia="en-US"/>
              </w:rPr>
              <w:t>PO11</w:t>
            </w:r>
          </w:p>
          <w:p w14:paraId="61E8732E" w14:textId="77777777" w:rsidR="00BE36FB" w:rsidRPr="009B7B35" w:rsidRDefault="00BE36FB" w:rsidP="001A7107">
            <w:pPr>
              <w:pStyle w:val="TableText"/>
              <w:rPr>
                <w:rFonts w:cs="Arial"/>
                <w:lang w:eastAsia="en-US"/>
              </w:rPr>
            </w:pPr>
            <w:r w:rsidRPr="009B7B35">
              <w:rPr>
                <w:rFonts w:cs="Arial"/>
                <w:lang w:eastAsia="en-US"/>
              </w:rPr>
              <w:t>Development responds sensitively to on–site and surrounding topography, coastal foreshores, waterways, drainage patterns, utility services, access, vegetation and adjoining land use, such that:</w:t>
            </w:r>
          </w:p>
          <w:p w14:paraId="2D97900B" w14:textId="77777777" w:rsidR="00BE36FB" w:rsidRPr="009B7B35" w:rsidRDefault="00BE36FB" w:rsidP="00BE36FB">
            <w:pPr>
              <w:pStyle w:val="TableText"/>
              <w:numPr>
                <w:ilvl w:val="0"/>
                <w:numId w:val="267"/>
              </w:numPr>
              <w:ind w:left="510" w:hanging="510"/>
              <w:rPr>
                <w:rFonts w:cs="Arial"/>
                <w:lang w:eastAsia="en-US"/>
              </w:rPr>
            </w:pPr>
            <w:r w:rsidRPr="009B7B35">
              <w:rPr>
                <w:rFonts w:cs="Arial"/>
                <w:lang w:eastAsia="en-US"/>
              </w:rPr>
              <w:t>any hazards to people or property are avoided</w:t>
            </w:r>
          </w:p>
          <w:p w14:paraId="2A7DB1CA" w14:textId="77777777" w:rsidR="00BE36FB" w:rsidRPr="009B7B35" w:rsidRDefault="00BE36FB" w:rsidP="00BE36FB">
            <w:pPr>
              <w:pStyle w:val="TableText"/>
              <w:numPr>
                <w:ilvl w:val="0"/>
                <w:numId w:val="267"/>
              </w:numPr>
              <w:ind w:left="510" w:hanging="510"/>
              <w:rPr>
                <w:rFonts w:cs="Arial"/>
                <w:lang w:eastAsia="en-US"/>
              </w:rPr>
            </w:pPr>
            <w:r w:rsidRPr="009B7B35">
              <w:rPr>
                <w:rFonts w:cs="Arial"/>
                <w:lang w:eastAsia="en-US"/>
              </w:rPr>
              <w:t>any earthworks are minimised</w:t>
            </w:r>
          </w:p>
          <w:p w14:paraId="331A6A46" w14:textId="77777777" w:rsidR="00BE36FB" w:rsidRPr="009B7B35" w:rsidRDefault="00BE36FB" w:rsidP="00BE36FB">
            <w:pPr>
              <w:pStyle w:val="TableText"/>
              <w:numPr>
                <w:ilvl w:val="0"/>
                <w:numId w:val="267"/>
              </w:numPr>
              <w:ind w:left="510" w:hanging="510"/>
              <w:rPr>
                <w:rFonts w:cs="Arial"/>
                <w:lang w:eastAsia="en-US"/>
              </w:rPr>
            </w:pPr>
            <w:r w:rsidRPr="009B7B35">
              <w:rPr>
                <w:rFonts w:cs="Arial"/>
                <w:lang w:eastAsia="en-US"/>
              </w:rPr>
              <w:t>the retention of natural drainage line is maximised</w:t>
            </w:r>
          </w:p>
          <w:p w14:paraId="176BDBBF" w14:textId="77777777" w:rsidR="00BE36FB" w:rsidRPr="009B7B35" w:rsidRDefault="00BE36FB" w:rsidP="00BE36FB">
            <w:pPr>
              <w:pStyle w:val="TableText"/>
              <w:numPr>
                <w:ilvl w:val="0"/>
                <w:numId w:val="267"/>
              </w:numPr>
              <w:ind w:left="510" w:hanging="510"/>
              <w:rPr>
                <w:rFonts w:cs="Arial"/>
                <w:lang w:eastAsia="en-US"/>
              </w:rPr>
            </w:pPr>
            <w:r w:rsidRPr="009B7B35">
              <w:rPr>
                <w:rFonts w:cs="Arial"/>
                <w:lang w:eastAsia="en-US"/>
              </w:rPr>
              <w:t>the retention of existing vegetation is maximised</w:t>
            </w:r>
          </w:p>
          <w:p w14:paraId="1FD9D979" w14:textId="77777777" w:rsidR="00BE36FB" w:rsidRPr="009B7B35" w:rsidRDefault="00BE36FB" w:rsidP="00BE36FB">
            <w:pPr>
              <w:pStyle w:val="TableText"/>
              <w:numPr>
                <w:ilvl w:val="0"/>
                <w:numId w:val="267"/>
              </w:numPr>
              <w:ind w:left="510" w:hanging="510"/>
              <w:rPr>
                <w:rFonts w:cs="Arial"/>
                <w:lang w:eastAsia="en-US"/>
              </w:rPr>
            </w:pPr>
            <w:r w:rsidRPr="009B7B35">
              <w:rPr>
                <w:rFonts w:cs="Arial"/>
                <w:lang w:eastAsia="en-US"/>
              </w:rPr>
              <w:t>damage or disruption to sewer</w:t>
            </w:r>
            <w:r w:rsidRPr="009B7B35">
              <w:rPr>
                <w:rFonts w:cs="Arial"/>
              </w:rPr>
              <w:t>age</w:t>
            </w:r>
            <w:r w:rsidRPr="009B7B35">
              <w:rPr>
                <w:rFonts w:cs="Arial"/>
                <w:lang w:eastAsia="en-US"/>
              </w:rPr>
              <w:t xml:space="preserve">, stormwater and water infrastructure is avoided, and </w:t>
            </w:r>
          </w:p>
          <w:p w14:paraId="0378BB72" w14:textId="77777777" w:rsidR="00BE36FB" w:rsidRPr="009B7B35" w:rsidRDefault="00BE36FB" w:rsidP="00BE36FB">
            <w:pPr>
              <w:pStyle w:val="TableText"/>
              <w:numPr>
                <w:ilvl w:val="0"/>
                <w:numId w:val="267"/>
              </w:numPr>
              <w:ind w:left="510" w:hanging="510"/>
              <w:rPr>
                <w:rFonts w:cs="Arial"/>
                <w:lang w:eastAsia="en-US"/>
              </w:rPr>
            </w:pPr>
            <w:r w:rsidRPr="009B7B35">
              <w:rPr>
                <w:rFonts w:cs="Arial"/>
                <w:lang w:eastAsia="en-US"/>
              </w:rPr>
              <w:t>there is adequate buffering, screening or separation to adjoining development.</w:t>
            </w:r>
          </w:p>
        </w:tc>
        <w:tc>
          <w:tcPr>
            <w:tcW w:w="4678" w:type="dxa"/>
            <w:hideMark/>
          </w:tcPr>
          <w:p w14:paraId="49BBB8A4"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6CD4BF0E" w14:textId="77777777" w:rsidTr="001A7107">
        <w:trPr>
          <w:cantSplit/>
        </w:trPr>
        <w:tc>
          <w:tcPr>
            <w:tcW w:w="4678" w:type="dxa"/>
            <w:vMerge w:val="restart"/>
            <w:hideMark/>
          </w:tcPr>
          <w:p w14:paraId="46D765CC" w14:textId="77777777" w:rsidR="00BE36FB" w:rsidRPr="009B7B35" w:rsidRDefault="00BE36FB" w:rsidP="001A7107">
            <w:pPr>
              <w:pStyle w:val="TableText"/>
              <w:rPr>
                <w:rFonts w:cs="Arial"/>
                <w:b/>
                <w:bCs/>
                <w:lang w:eastAsia="en-US"/>
              </w:rPr>
            </w:pPr>
            <w:r w:rsidRPr="009B7B35">
              <w:rPr>
                <w:rFonts w:cs="Arial"/>
                <w:b/>
                <w:bCs/>
                <w:lang w:eastAsia="en-US"/>
              </w:rPr>
              <w:t>PO12</w:t>
            </w:r>
          </w:p>
          <w:p w14:paraId="50691515" w14:textId="77777777" w:rsidR="00BE36FB" w:rsidRPr="009B7B35" w:rsidRDefault="00BE36FB" w:rsidP="001A7107">
            <w:pPr>
              <w:pStyle w:val="TableText"/>
              <w:rPr>
                <w:rFonts w:cs="Arial"/>
                <w:lang w:eastAsia="en-US"/>
              </w:rPr>
            </w:pPr>
            <w:r w:rsidRPr="009B7B35">
              <w:rPr>
                <w:rFonts w:cs="Arial"/>
                <w:lang w:eastAsia="en-US"/>
              </w:rPr>
              <w:t>Development minimises potential conflicts with, or impacts on, other uses having regard to vibration, odour, dust or other emissions.</w:t>
            </w:r>
          </w:p>
        </w:tc>
        <w:tc>
          <w:tcPr>
            <w:tcW w:w="4678" w:type="dxa"/>
            <w:hideMark/>
          </w:tcPr>
          <w:p w14:paraId="6A5A9587" w14:textId="77777777" w:rsidR="00BE36FB" w:rsidRPr="009B7B35" w:rsidRDefault="00BE36FB" w:rsidP="001A7107">
            <w:pPr>
              <w:pStyle w:val="TableText"/>
              <w:rPr>
                <w:rFonts w:cs="Arial"/>
                <w:b/>
                <w:bCs/>
                <w:lang w:eastAsia="en-US"/>
              </w:rPr>
            </w:pPr>
            <w:r w:rsidRPr="009B7B35">
              <w:rPr>
                <w:rFonts w:cs="Arial"/>
                <w:b/>
                <w:bCs/>
                <w:lang w:eastAsia="en-US"/>
              </w:rPr>
              <w:t>AO12.1</w:t>
            </w:r>
          </w:p>
          <w:p w14:paraId="30274026" w14:textId="77777777" w:rsidR="00BE36FB" w:rsidRPr="009B7B35" w:rsidRDefault="00BE36FB" w:rsidP="001A7107">
            <w:pPr>
              <w:pStyle w:val="TableText"/>
              <w:rPr>
                <w:rFonts w:cs="Arial"/>
                <w:lang w:eastAsia="en-US"/>
              </w:rPr>
            </w:pPr>
            <w:r w:rsidRPr="009B7B35">
              <w:rPr>
                <w:rFonts w:cs="Arial"/>
                <w:lang w:eastAsia="en-US"/>
              </w:rPr>
              <w:t xml:space="preserve">Development achieves the air quality design objectives set out in the </w:t>
            </w:r>
            <w:r w:rsidRPr="009B7B35">
              <w:rPr>
                <w:rStyle w:val="StyleItalic"/>
                <w:rFonts w:cs="Arial"/>
              </w:rPr>
              <w:t>Environmental Protection (Air) Policy 2008</w:t>
            </w:r>
            <w:r w:rsidRPr="009B7B35">
              <w:rPr>
                <w:rFonts w:cs="Arial"/>
                <w:lang w:eastAsia="en-US"/>
              </w:rPr>
              <w:t>, as amended.</w:t>
            </w:r>
          </w:p>
        </w:tc>
      </w:tr>
      <w:tr w:rsidR="00BE36FB" w:rsidRPr="009B7B35" w14:paraId="426D9026" w14:textId="77777777" w:rsidTr="001A7107">
        <w:trPr>
          <w:cantSplit/>
        </w:trPr>
        <w:tc>
          <w:tcPr>
            <w:tcW w:w="4678" w:type="dxa"/>
            <w:vMerge/>
          </w:tcPr>
          <w:p w14:paraId="38B26057" w14:textId="77777777" w:rsidR="00BE36FB" w:rsidRPr="009B7B35" w:rsidRDefault="00BE36FB" w:rsidP="001A7107">
            <w:pPr>
              <w:pStyle w:val="TableText"/>
              <w:rPr>
                <w:rFonts w:cs="Arial"/>
                <w:lang w:eastAsia="en-US"/>
              </w:rPr>
            </w:pPr>
          </w:p>
        </w:tc>
        <w:tc>
          <w:tcPr>
            <w:tcW w:w="4678" w:type="dxa"/>
          </w:tcPr>
          <w:p w14:paraId="2E26C4F2" w14:textId="77777777" w:rsidR="00BE36FB" w:rsidRPr="009B7B35" w:rsidRDefault="00BE36FB" w:rsidP="001A7107">
            <w:pPr>
              <w:pStyle w:val="TableText"/>
              <w:rPr>
                <w:rFonts w:cs="Arial"/>
                <w:b/>
                <w:bCs/>
                <w:lang w:eastAsia="en-US"/>
              </w:rPr>
            </w:pPr>
            <w:r w:rsidRPr="009B7B35">
              <w:rPr>
                <w:rFonts w:cs="Arial"/>
                <w:b/>
                <w:bCs/>
                <w:lang w:eastAsia="en-US"/>
              </w:rPr>
              <w:t>AO12.2</w:t>
            </w:r>
          </w:p>
          <w:p w14:paraId="205E3B80" w14:textId="77777777" w:rsidR="00BE36FB" w:rsidRPr="009B7B35" w:rsidRDefault="00BE36FB" w:rsidP="001A7107">
            <w:pPr>
              <w:pStyle w:val="TableText"/>
              <w:rPr>
                <w:rFonts w:cs="Arial"/>
                <w:lang w:eastAsia="en-US"/>
              </w:rPr>
            </w:pPr>
            <w:r w:rsidRPr="009B7B35">
              <w:rPr>
                <w:rFonts w:cs="Arial"/>
                <w:lang w:eastAsia="en-US"/>
              </w:rPr>
              <w:t>Development that involves the storage of materials on site that are capable of generating air contaminants either by wind or when disturbed are managed by:</w:t>
            </w:r>
          </w:p>
          <w:p w14:paraId="5A1D7132" w14:textId="77777777" w:rsidR="00BE36FB" w:rsidRPr="009B7B35" w:rsidRDefault="00BE36FB" w:rsidP="00BE36FB">
            <w:pPr>
              <w:pStyle w:val="TableText"/>
              <w:numPr>
                <w:ilvl w:val="0"/>
                <w:numId w:val="268"/>
              </w:numPr>
              <w:rPr>
                <w:rFonts w:cs="Arial"/>
                <w:lang w:eastAsia="en-US"/>
              </w:rPr>
            </w:pPr>
            <w:r w:rsidRPr="009B7B35">
              <w:rPr>
                <w:rFonts w:cs="Arial"/>
                <w:lang w:eastAsia="en-US"/>
              </w:rPr>
              <w:t>being wholly enclosed in storage bins, or</w:t>
            </w:r>
          </w:p>
          <w:p w14:paraId="368C60E2" w14:textId="77777777" w:rsidR="00BE36FB" w:rsidRPr="009B7B35" w:rsidRDefault="00BE36FB" w:rsidP="00BE36FB">
            <w:pPr>
              <w:pStyle w:val="TableText"/>
              <w:numPr>
                <w:ilvl w:val="0"/>
                <w:numId w:val="268"/>
              </w:numPr>
              <w:rPr>
                <w:rFonts w:cs="Arial"/>
                <w:lang w:eastAsia="en-US"/>
              </w:rPr>
            </w:pPr>
            <w:r w:rsidRPr="009B7B35">
              <w:rPr>
                <w:rFonts w:cs="Arial"/>
                <w:lang w:eastAsia="en-US"/>
              </w:rPr>
              <w:t>a watering program so material cannot become airborne.</w:t>
            </w:r>
          </w:p>
        </w:tc>
      </w:tr>
      <w:tr w:rsidR="00BE36FB" w:rsidRPr="009B7B35" w14:paraId="197553FF" w14:textId="77777777" w:rsidTr="001A7107">
        <w:trPr>
          <w:cantSplit/>
        </w:trPr>
        <w:tc>
          <w:tcPr>
            <w:tcW w:w="4678" w:type="dxa"/>
            <w:hideMark/>
          </w:tcPr>
          <w:p w14:paraId="003FD7AD" w14:textId="77777777" w:rsidR="00BE36FB" w:rsidRPr="009B7B35" w:rsidRDefault="00BE36FB" w:rsidP="001A7107">
            <w:pPr>
              <w:pStyle w:val="TableText"/>
              <w:rPr>
                <w:rFonts w:cs="Arial"/>
                <w:b/>
                <w:bCs/>
                <w:lang w:eastAsia="en-US"/>
              </w:rPr>
            </w:pPr>
            <w:r w:rsidRPr="009B7B35">
              <w:rPr>
                <w:rFonts w:cs="Arial"/>
                <w:b/>
                <w:bCs/>
                <w:lang w:eastAsia="en-US"/>
              </w:rPr>
              <w:t>PO13</w:t>
            </w:r>
          </w:p>
          <w:p w14:paraId="2C41C178" w14:textId="77777777" w:rsidR="00BE36FB" w:rsidRPr="009B7B35" w:rsidRDefault="00BE36FB" w:rsidP="001A7107">
            <w:pPr>
              <w:pStyle w:val="TableText"/>
              <w:rPr>
                <w:rFonts w:cs="Arial"/>
                <w:lang w:eastAsia="en-US"/>
              </w:rPr>
            </w:pPr>
            <w:r w:rsidRPr="009B7B35">
              <w:rPr>
                <w:rFonts w:cs="Arial"/>
                <w:lang w:eastAsia="en-US"/>
              </w:rPr>
              <w:t>Development prevents or minimises the generation of any noise so that:</w:t>
            </w:r>
          </w:p>
          <w:p w14:paraId="71A7E638" w14:textId="77777777" w:rsidR="00BE36FB" w:rsidRPr="009B7B35" w:rsidRDefault="00BE36FB" w:rsidP="00BE36FB">
            <w:pPr>
              <w:pStyle w:val="TableText"/>
              <w:numPr>
                <w:ilvl w:val="0"/>
                <w:numId w:val="269"/>
              </w:numPr>
              <w:ind w:left="567" w:hanging="567"/>
              <w:rPr>
                <w:rFonts w:cs="Arial"/>
                <w:lang w:eastAsia="en-US"/>
              </w:rPr>
            </w:pPr>
            <w:r w:rsidRPr="009B7B35">
              <w:rPr>
                <w:rFonts w:cs="Arial"/>
                <w:lang w:eastAsia="en-US"/>
              </w:rPr>
              <w:t>nuisance is not caused to adjoining premises or other nearby sensitive land uses, and</w:t>
            </w:r>
          </w:p>
          <w:p w14:paraId="5137E176" w14:textId="77777777" w:rsidR="00BE36FB" w:rsidRPr="009B7B35" w:rsidRDefault="00BE36FB" w:rsidP="00BE36FB">
            <w:pPr>
              <w:pStyle w:val="TableText"/>
              <w:numPr>
                <w:ilvl w:val="0"/>
                <w:numId w:val="269"/>
              </w:numPr>
              <w:ind w:left="567" w:hanging="567"/>
              <w:rPr>
                <w:rFonts w:cs="Arial"/>
                <w:lang w:eastAsia="en-US"/>
              </w:rPr>
            </w:pPr>
            <w:r w:rsidRPr="009B7B35">
              <w:rPr>
                <w:rFonts w:cs="Arial"/>
                <w:lang w:eastAsia="en-US"/>
              </w:rPr>
              <w:t>desired ambient noise levels in residential areas are not exceeded.</w:t>
            </w:r>
          </w:p>
        </w:tc>
        <w:tc>
          <w:tcPr>
            <w:tcW w:w="4678" w:type="dxa"/>
            <w:hideMark/>
          </w:tcPr>
          <w:p w14:paraId="67D15417" w14:textId="77777777" w:rsidR="00BE36FB" w:rsidRPr="009B7B35" w:rsidRDefault="00BE36FB" w:rsidP="001A7107">
            <w:pPr>
              <w:pStyle w:val="TableText"/>
              <w:rPr>
                <w:rFonts w:cs="Arial"/>
                <w:b/>
                <w:bCs/>
                <w:lang w:eastAsia="en-US"/>
              </w:rPr>
            </w:pPr>
            <w:r w:rsidRPr="009B7B35">
              <w:rPr>
                <w:rFonts w:cs="Arial"/>
                <w:b/>
                <w:bCs/>
                <w:lang w:eastAsia="en-US"/>
              </w:rPr>
              <w:t>AO13</w:t>
            </w:r>
          </w:p>
          <w:p w14:paraId="6493E998" w14:textId="77777777" w:rsidR="00BE36FB" w:rsidRPr="009B7B35" w:rsidRDefault="00BE36FB" w:rsidP="001A7107">
            <w:pPr>
              <w:pStyle w:val="TableText"/>
              <w:rPr>
                <w:rFonts w:cs="Arial"/>
                <w:lang w:eastAsia="en-US"/>
              </w:rPr>
            </w:pPr>
            <w:r w:rsidRPr="009B7B35">
              <w:rPr>
                <w:rFonts w:cs="Arial"/>
                <w:lang w:eastAsia="en-US"/>
              </w:rPr>
              <w:t xml:space="preserve">Development achieves the noise generation levels set out in the </w:t>
            </w:r>
            <w:r w:rsidRPr="009B7B35">
              <w:rPr>
                <w:rStyle w:val="StyleItalic"/>
                <w:rFonts w:cs="Arial"/>
              </w:rPr>
              <w:t>Environmental Protection (Noise) Policy 2008</w:t>
            </w:r>
            <w:r w:rsidRPr="009B7B35">
              <w:rPr>
                <w:rFonts w:cs="Arial"/>
                <w:lang w:eastAsia="en-US"/>
              </w:rPr>
              <w:t>, as amended.</w:t>
            </w:r>
          </w:p>
        </w:tc>
      </w:tr>
      <w:tr w:rsidR="00BE36FB" w:rsidRPr="009B7B35" w14:paraId="19113156" w14:textId="77777777" w:rsidTr="001A7107">
        <w:trPr>
          <w:cantSplit/>
        </w:trPr>
        <w:tc>
          <w:tcPr>
            <w:tcW w:w="4678" w:type="dxa"/>
            <w:vMerge w:val="restart"/>
            <w:hideMark/>
          </w:tcPr>
          <w:p w14:paraId="45242711" w14:textId="77777777" w:rsidR="00BE36FB" w:rsidRPr="009B7B35" w:rsidRDefault="00BE36FB" w:rsidP="001A7107">
            <w:pPr>
              <w:pStyle w:val="TableText"/>
              <w:rPr>
                <w:rFonts w:cs="Arial"/>
                <w:b/>
                <w:bCs/>
                <w:lang w:eastAsia="en-US"/>
              </w:rPr>
            </w:pPr>
            <w:r w:rsidRPr="009B7B35">
              <w:rPr>
                <w:rFonts w:cs="Arial"/>
                <w:b/>
                <w:bCs/>
                <w:lang w:eastAsia="en-US"/>
              </w:rPr>
              <w:t>PO14</w:t>
            </w:r>
          </w:p>
          <w:p w14:paraId="16FB9151" w14:textId="77777777" w:rsidR="00BE36FB" w:rsidRPr="009B7B35" w:rsidRDefault="00BE36FB" w:rsidP="001A7107">
            <w:pPr>
              <w:pStyle w:val="TableText"/>
              <w:rPr>
                <w:rFonts w:cs="Arial"/>
                <w:lang w:eastAsia="en-US"/>
              </w:rPr>
            </w:pPr>
            <w:r w:rsidRPr="009B7B35">
              <w:rPr>
                <w:rFonts w:cs="Arial"/>
                <w:lang w:eastAsia="en-US"/>
              </w:rPr>
              <w:t>Development provides for the collection, treatment and disposal of liquid wastes or sources of contamination such that off–site releases of contaminants do not occur.</w:t>
            </w:r>
          </w:p>
        </w:tc>
        <w:tc>
          <w:tcPr>
            <w:tcW w:w="4678" w:type="dxa"/>
          </w:tcPr>
          <w:p w14:paraId="4C02979B" w14:textId="77777777" w:rsidR="00BE36FB" w:rsidRPr="009B7B35" w:rsidRDefault="00BE36FB" w:rsidP="001A7107">
            <w:pPr>
              <w:pStyle w:val="TableText"/>
              <w:rPr>
                <w:rFonts w:cs="Arial"/>
                <w:b/>
                <w:bCs/>
                <w:lang w:eastAsia="en-US"/>
              </w:rPr>
            </w:pPr>
            <w:r w:rsidRPr="009B7B35">
              <w:rPr>
                <w:rFonts w:cs="Arial"/>
                <w:b/>
                <w:bCs/>
                <w:lang w:eastAsia="en-US"/>
              </w:rPr>
              <w:t>AO14.1</w:t>
            </w:r>
          </w:p>
          <w:p w14:paraId="1A7F0494" w14:textId="77777777" w:rsidR="00BE36FB" w:rsidRPr="009B7B35" w:rsidRDefault="00BE36FB" w:rsidP="001A7107">
            <w:pPr>
              <w:pStyle w:val="TableText"/>
              <w:rPr>
                <w:rFonts w:cs="Arial"/>
                <w:lang w:eastAsia="en-US"/>
              </w:rPr>
            </w:pPr>
            <w:r w:rsidRPr="009B7B35">
              <w:rPr>
                <w:rFonts w:cs="Arial"/>
                <w:lang w:eastAsia="en-US"/>
              </w:rPr>
              <w:t>Areas where potentially contaminating substances are stored or used, are:</w:t>
            </w:r>
          </w:p>
          <w:p w14:paraId="15DF717E" w14:textId="77777777" w:rsidR="00BE36FB" w:rsidRPr="009B7B35" w:rsidRDefault="00BE36FB" w:rsidP="00BE36FB">
            <w:pPr>
              <w:pStyle w:val="TableText"/>
              <w:numPr>
                <w:ilvl w:val="0"/>
                <w:numId w:val="314"/>
              </w:numPr>
              <w:rPr>
                <w:rFonts w:cs="Arial"/>
                <w:lang w:eastAsia="en-US"/>
              </w:rPr>
            </w:pPr>
            <w:r w:rsidRPr="009B7B35">
              <w:rPr>
                <w:rFonts w:cs="Arial"/>
                <w:lang w:eastAsia="en-US"/>
              </w:rPr>
              <w:t>roofed and sealed with concrete, asphalt or similar impervious substance and bunded, and</w:t>
            </w:r>
          </w:p>
          <w:p w14:paraId="3811AC71" w14:textId="77777777" w:rsidR="00BE36FB" w:rsidRPr="009B7B35" w:rsidRDefault="00BE36FB" w:rsidP="00BE36FB">
            <w:pPr>
              <w:pStyle w:val="TableText"/>
              <w:numPr>
                <w:ilvl w:val="0"/>
                <w:numId w:val="314"/>
              </w:numPr>
              <w:rPr>
                <w:rFonts w:cs="Arial"/>
                <w:lang w:eastAsia="en-US"/>
              </w:rPr>
            </w:pPr>
            <w:r w:rsidRPr="009B7B35">
              <w:rPr>
                <w:rFonts w:cs="Arial"/>
                <w:lang w:eastAsia="en-US"/>
              </w:rPr>
              <w:t xml:space="preserve">located in an area free of flooding </w:t>
            </w:r>
            <w:r w:rsidRPr="009B7B35">
              <w:rPr>
                <w:rFonts w:cs="Arial"/>
              </w:rPr>
              <w:t xml:space="preserve">by </w:t>
            </w:r>
            <w:r w:rsidRPr="009B7B35">
              <w:rPr>
                <w:rFonts w:cs="Arial"/>
                <w:lang w:eastAsia="en-US"/>
              </w:rPr>
              <w:t xml:space="preserve">a </w:t>
            </w:r>
            <w:r w:rsidRPr="009B7B35">
              <w:rPr>
                <w:rFonts w:cs="Arial"/>
              </w:rPr>
              <w:t xml:space="preserve">Defined </w:t>
            </w:r>
            <w:r w:rsidRPr="009B7B35">
              <w:rPr>
                <w:rFonts w:cs="Arial"/>
                <w:lang w:eastAsia="en-US"/>
              </w:rPr>
              <w:t>flood event, and free from medium or high storm tide inundation.</w:t>
            </w:r>
          </w:p>
        </w:tc>
      </w:tr>
      <w:tr w:rsidR="00BE36FB" w:rsidRPr="009B7B35" w14:paraId="36A9B588" w14:textId="77777777" w:rsidTr="001A7107">
        <w:trPr>
          <w:cantSplit/>
        </w:trPr>
        <w:tc>
          <w:tcPr>
            <w:tcW w:w="4678" w:type="dxa"/>
            <w:vMerge/>
          </w:tcPr>
          <w:p w14:paraId="439E7241" w14:textId="77777777" w:rsidR="00BE36FB" w:rsidRPr="009B7B35" w:rsidRDefault="00BE36FB" w:rsidP="001A7107">
            <w:pPr>
              <w:pStyle w:val="TableText"/>
              <w:rPr>
                <w:rFonts w:cs="Arial"/>
                <w:lang w:eastAsia="en-US"/>
              </w:rPr>
            </w:pPr>
          </w:p>
        </w:tc>
        <w:tc>
          <w:tcPr>
            <w:tcW w:w="4678" w:type="dxa"/>
          </w:tcPr>
          <w:p w14:paraId="3092026D" w14:textId="77777777" w:rsidR="00BE36FB" w:rsidRPr="009B7B35" w:rsidRDefault="00BE36FB" w:rsidP="001A7107">
            <w:pPr>
              <w:pStyle w:val="TableText"/>
              <w:rPr>
                <w:rFonts w:cs="Arial"/>
                <w:b/>
                <w:bCs/>
                <w:lang w:eastAsia="en-US"/>
              </w:rPr>
            </w:pPr>
            <w:r w:rsidRPr="009B7B35">
              <w:rPr>
                <w:rFonts w:cs="Arial"/>
                <w:b/>
                <w:bCs/>
                <w:lang w:eastAsia="en-US"/>
              </w:rPr>
              <w:t>AO14.2</w:t>
            </w:r>
          </w:p>
          <w:p w14:paraId="6C73EF21" w14:textId="77777777" w:rsidR="00BE36FB" w:rsidRPr="009B7B35" w:rsidRDefault="00BE36FB" w:rsidP="001A7107">
            <w:pPr>
              <w:pStyle w:val="TableText"/>
              <w:rPr>
                <w:rFonts w:cs="Arial"/>
                <w:lang w:eastAsia="en-US"/>
              </w:rPr>
            </w:pPr>
            <w:r w:rsidRPr="009B7B35">
              <w:rPr>
                <w:rFonts w:cs="Arial"/>
                <w:lang w:eastAsia="en-US"/>
              </w:rPr>
              <w:t>Provision is made for spills to be bunded and retained on site for removal and disposal by an approved means.</w:t>
            </w:r>
          </w:p>
        </w:tc>
      </w:tr>
      <w:tr w:rsidR="00BE36FB" w:rsidRPr="009B7B35" w14:paraId="032DCEFE" w14:textId="77777777" w:rsidTr="001A7107">
        <w:trPr>
          <w:cantSplit/>
        </w:trPr>
        <w:tc>
          <w:tcPr>
            <w:tcW w:w="4678" w:type="dxa"/>
            <w:vMerge/>
          </w:tcPr>
          <w:p w14:paraId="27A5F5A7" w14:textId="77777777" w:rsidR="00BE36FB" w:rsidRPr="009B7B35" w:rsidRDefault="00BE36FB" w:rsidP="001A7107">
            <w:pPr>
              <w:pStyle w:val="TableText"/>
              <w:rPr>
                <w:rFonts w:cs="Arial"/>
                <w:lang w:eastAsia="en-US"/>
              </w:rPr>
            </w:pPr>
          </w:p>
        </w:tc>
        <w:tc>
          <w:tcPr>
            <w:tcW w:w="4678" w:type="dxa"/>
          </w:tcPr>
          <w:p w14:paraId="24CDD9F1" w14:textId="77777777" w:rsidR="00BE36FB" w:rsidRPr="009B7B35" w:rsidRDefault="00BE36FB" w:rsidP="001A7107">
            <w:pPr>
              <w:pStyle w:val="TableText"/>
              <w:rPr>
                <w:rFonts w:cs="Arial"/>
                <w:b/>
                <w:bCs/>
                <w:lang w:eastAsia="en-US"/>
              </w:rPr>
            </w:pPr>
            <w:r w:rsidRPr="009B7B35">
              <w:rPr>
                <w:rFonts w:cs="Arial"/>
                <w:b/>
                <w:bCs/>
                <w:lang w:eastAsia="en-US"/>
              </w:rPr>
              <w:t>AO14.3</w:t>
            </w:r>
          </w:p>
          <w:p w14:paraId="082EB6F7" w14:textId="77777777" w:rsidR="00BE36FB" w:rsidRPr="009B7B35" w:rsidRDefault="00BE36FB" w:rsidP="001A7107">
            <w:pPr>
              <w:pStyle w:val="TableText"/>
              <w:rPr>
                <w:rFonts w:cs="Arial"/>
                <w:lang w:eastAsia="en-US"/>
              </w:rPr>
            </w:pPr>
            <w:r w:rsidRPr="009B7B35">
              <w:rPr>
                <w:rFonts w:cs="Arial"/>
                <w:lang w:eastAsia="en-US"/>
              </w:rPr>
              <w:t>Roof water is piped away from areas of potential contamination.</w:t>
            </w:r>
          </w:p>
        </w:tc>
      </w:tr>
      <w:tr w:rsidR="00BE36FB" w:rsidRPr="009B7B35" w14:paraId="1BAC8E46" w14:textId="77777777" w:rsidTr="001A7107">
        <w:trPr>
          <w:cantSplit/>
        </w:trPr>
        <w:tc>
          <w:tcPr>
            <w:tcW w:w="4678" w:type="dxa"/>
            <w:hideMark/>
          </w:tcPr>
          <w:p w14:paraId="0F6A8EAA" w14:textId="77777777" w:rsidR="00BE36FB" w:rsidRPr="009B7B35" w:rsidRDefault="00BE36FB" w:rsidP="001A7107">
            <w:pPr>
              <w:pStyle w:val="TableText"/>
              <w:rPr>
                <w:rFonts w:cs="Arial"/>
                <w:b/>
                <w:bCs/>
                <w:lang w:eastAsia="en-US"/>
              </w:rPr>
            </w:pPr>
            <w:r w:rsidRPr="009B7B35">
              <w:rPr>
                <w:rFonts w:cs="Arial"/>
                <w:b/>
                <w:bCs/>
                <w:lang w:eastAsia="en-US"/>
              </w:rPr>
              <w:t>PO15</w:t>
            </w:r>
          </w:p>
          <w:p w14:paraId="05EFBF91" w14:textId="77777777" w:rsidR="00BE36FB" w:rsidRPr="009B7B35" w:rsidRDefault="00BE36FB" w:rsidP="001A7107">
            <w:pPr>
              <w:pStyle w:val="TableText"/>
              <w:rPr>
                <w:rFonts w:cs="Arial"/>
                <w:lang w:eastAsia="en-US"/>
              </w:rPr>
            </w:pPr>
            <w:r w:rsidRPr="009B7B35">
              <w:rPr>
                <w:rFonts w:cs="Arial"/>
                <w:lang w:eastAsia="en-US"/>
              </w:rPr>
              <w:t>Development is located, designed and operated so that adverse environmental impacts and environmental harm on nearby land is minimised.</w:t>
            </w:r>
          </w:p>
          <w:p w14:paraId="5994E3CF" w14:textId="77777777" w:rsidR="00BE36FB" w:rsidRPr="009B7B35" w:rsidRDefault="00BE36FB" w:rsidP="001A7107">
            <w:pPr>
              <w:pStyle w:val="Notes"/>
              <w:rPr>
                <w:rFonts w:cs="Arial"/>
                <w:sz w:val="20"/>
                <w:szCs w:val="20"/>
                <w:lang w:eastAsia="en-US"/>
              </w:rPr>
            </w:pPr>
            <w:r w:rsidRPr="009B7B35">
              <w:rPr>
                <w:rFonts w:cs="Arial"/>
                <w:sz w:val="20"/>
                <w:szCs w:val="20"/>
                <w:lang w:eastAsia="en-US"/>
              </w:rPr>
              <w:t>Note</w:t>
            </w:r>
            <w:r w:rsidRPr="009B7B35">
              <w:rPr>
                <w:rFonts w:cs="Arial"/>
                <w:sz w:val="20"/>
                <w:szCs w:val="20"/>
              </w:rPr>
              <w:t>—</w:t>
            </w:r>
            <w:r w:rsidRPr="009B7B35">
              <w:rPr>
                <w:rFonts w:cs="Arial"/>
                <w:sz w:val="20"/>
                <w:szCs w:val="20"/>
                <w:lang w:eastAsia="en-US"/>
              </w:rPr>
              <w:t>Applicants may be required to engage specialists to provide detailed investigations into the above matters in order to demonstrate compliance with this performance criterion.</w:t>
            </w:r>
          </w:p>
        </w:tc>
        <w:tc>
          <w:tcPr>
            <w:tcW w:w="4678" w:type="dxa"/>
            <w:hideMark/>
          </w:tcPr>
          <w:p w14:paraId="3FF456A3"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75CB3B6A" w14:textId="77777777" w:rsidTr="001A7107">
        <w:trPr>
          <w:cantSplit/>
        </w:trPr>
        <w:tc>
          <w:tcPr>
            <w:tcW w:w="9356" w:type="dxa"/>
            <w:gridSpan w:val="2"/>
            <w:shd w:val="clear" w:color="auto" w:fill="BFBFBF" w:themeFill="background1" w:themeFillShade="BF"/>
            <w:hideMark/>
          </w:tcPr>
          <w:p w14:paraId="45DACBDA"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Caretaker’s accommodation</w:t>
            </w:r>
          </w:p>
        </w:tc>
      </w:tr>
      <w:tr w:rsidR="00BE36FB" w:rsidRPr="009B7B35" w14:paraId="31BD87C9" w14:textId="77777777" w:rsidTr="001A7107">
        <w:tc>
          <w:tcPr>
            <w:tcW w:w="4678" w:type="dxa"/>
            <w:vMerge w:val="restart"/>
          </w:tcPr>
          <w:p w14:paraId="10B34DD1" w14:textId="77777777" w:rsidR="00BE36FB" w:rsidRPr="009B7B35" w:rsidRDefault="00BE36FB" w:rsidP="001A7107">
            <w:pPr>
              <w:pStyle w:val="TableText"/>
              <w:rPr>
                <w:rFonts w:cs="Arial"/>
                <w:b/>
                <w:bCs/>
                <w:lang w:eastAsia="en-US"/>
              </w:rPr>
            </w:pPr>
            <w:r w:rsidRPr="009B7B35">
              <w:rPr>
                <w:rFonts w:cs="Arial"/>
                <w:b/>
                <w:bCs/>
                <w:lang w:eastAsia="en-US"/>
              </w:rPr>
              <w:t>PO16</w:t>
            </w:r>
          </w:p>
          <w:p w14:paraId="49BD0B97" w14:textId="77777777" w:rsidR="00BE36FB" w:rsidRPr="009B7B35" w:rsidRDefault="00BE36FB" w:rsidP="001A7107">
            <w:pPr>
              <w:pStyle w:val="TableText"/>
              <w:rPr>
                <w:rFonts w:cs="Arial"/>
                <w:lang w:eastAsia="en-US"/>
              </w:rPr>
            </w:pPr>
            <w:r w:rsidRPr="009B7B35">
              <w:rPr>
                <w:rFonts w:cs="Arial"/>
                <w:lang w:eastAsia="en-US"/>
              </w:rPr>
              <w:t>Development for caretaker’s accommodation:</w:t>
            </w:r>
          </w:p>
          <w:p w14:paraId="74727053" w14:textId="77777777" w:rsidR="00BE36FB" w:rsidRPr="009B7B35" w:rsidRDefault="00BE36FB" w:rsidP="00BE36FB">
            <w:pPr>
              <w:pStyle w:val="TableText"/>
              <w:numPr>
                <w:ilvl w:val="0"/>
                <w:numId w:val="258"/>
              </w:numPr>
              <w:rPr>
                <w:rFonts w:cs="Arial"/>
                <w:lang w:eastAsia="en-US"/>
              </w:rPr>
            </w:pPr>
            <w:r w:rsidRPr="009B7B35">
              <w:rPr>
                <w:rFonts w:cs="Arial"/>
                <w:lang w:eastAsia="en-US"/>
              </w:rPr>
              <w:t>is subordinate to non–residential uses on the same site</w:t>
            </w:r>
          </w:p>
          <w:p w14:paraId="654C2380" w14:textId="77777777" w:rsidR="00BE36FB" w:rsidRPr="009B7B35" w:rsidRDefault="00BE36FB" w:rsidP="00BE36FB">
            <w:pPr>
              <w:pStyle w:val="TableText"/>
              <w:numPr>
                <w:ilvl w:val="0"/>
                <w:numId w:val="258"/>
              </w:numPr>
              <w:rPr>
                <w:rFonts w:cs="Arial"/>
                <w:lang w:eastAsia="en-US"/>
              </w:rPr>
            </w:pPr>
            <w:r w:rsidRPr="009B7B35">
              <w:rPr>
                <w:rFonts w:cs="Arial"/>
                <w:lang w:eastAsia="en-US"/>
              </w:rPr>
              <w:t>provides adequate private open space for residents.</w:t>
            </w:r>
          </w:p>
        </w:tc>
        <w:tc>
          <w:tcPr>
            <w:tcW w:w="4678" w:type="dxa"/>
            <w:hideMark/>
          </w:tcPr>
          <w:p w14:paraId="34FACF60" w14:textId="77777777" w:rsidR="00BE36FB" w:rsidRPr="009B7B35" w:rsidRDefault="00BE36FB" w:rsidP="001A7107">
            <w:pPr>
              <w:pStyle w:val="TableText"/>
              <w:rPr>
                <w:rFonts w:cs="Arial"/>
                <w:b/>
                <w:bCs/>
                <w:lang w:eastAsia="en-US"/>
              </w:rPr>
            </w:pPr>
            <w:r w:rsidRPr="009B7B35">
              <w:rPr>
                <w:rFonts w:cs="Arial"/>
                <w:b/>
                <w:bCs/>
                <w:lang w:eastAsia="en-US"/>
              </w:rPr>
              <w:t>AO16</w:t>
            </w:r>
            <w:r w:rsidRPr="009B7B35">
              <w:rPr>
                <w:rFonts w:cs="Arial"/>
                <w:b/>
                <w:bCs/>
              </w:rPr>
              <w:t>.</w:t>
            </w:r>
            <w:r w:rsidRPr="009B7B35">
              <w:rPr>
                <w:rFonts w:cs="Arial"/>
                <w:b/>
                <w:bCs/>
                <w:lang w:eastAsia="en-US"/>
              </w:rPr>
              <w:t>1</w:t>
            </w:r>
          </w:p>
          <w:p w14:paraId="14F2629B" w14:textId="77777777" w:rsidR="00BE36FB" w:rsidRPr="009B7B35" w:rsidRDefault="00BE36FB" w:rsidP="001A7107">
            <w:pPr>
              <w:pStyle w:val="TableText"/>
              <w:rPr>
                <w:rFonts w:cs="Arial"/>
                <w:lang w:eastAsia="en-US"/>
              </w:rPr>
            </w:pPr>
            <w:r w:rsidRPr="009B7B35">
              <w:rPr>
                <w:rFonts w:cs="Arial"/>
                <w:lang w:eastAsia="en-US"/>
              </w:rPr>
              <w:t>No more than 1 caretaker’s accommodation unit is established per non–residential land use.</w:t>
            </w:r>
          </w:p>
        </w:tc>
      </w:tr>
      <w:tr w:rsidR="00BE36FB" w:rsidRPr="009B7B35" w14:paraId="335208CC" w14:textId="77777777" w:rsidTr="001A7107">
        <w:tc>
          <w:tcPr>
            <w:tcW w:w="4678" w:type="dxa"/>
            <w:vMerge/>
            <w:hideMark/>
          </w:tcPr>
          <w:p w14:paraId="4F0EFBB1" w14:textId="77777777" w:rsidR="00BE36FB" w:rsidRPr="009B7B35" w:rsidRDefault="00BE36FB" w:rsidP="001A7107">
            <w:pPr>
              <w:pStyle w:val="TableText"/>
              <w:rPr>
                <w:rFonts w:cs="Arial"/>
                <w:lang w:eastAsia="en-US"/>
              </w:rPr>
            </w:pPr>
          </w:p>
        </w:tc>
        <w:tc>
          <w:tcPr>
            <w:tcW w:w="4678" w:type="dxa"/>
            <w:hideMark/>
          </w:tcPr>
          <w:p w14:paraId="0CDA8EB2" w14:textId="77777777" w:rsidR="00BE36FB" w:rsidRPr="009B7B35" w:rsidRDefault="00BE36FB" w:rsidP="001A7107">
            <w:pPr>
              <w:pStyle w:val="TableText"/>
              <w:rPr>
                <w:rFonts w:cs="Arial"/>
                <w:b/>
                <w:bCs/>
                <w:lang w:eastAsia="en-US"/>
              </w:rPr>
            </w:pPr>
            <w:r w:rsidRPr="009B7B35">
              <w:rPr>
                <w:rFonts w:cs="Arial"/>
                <w:b/>
                <w:bCs/>
                <w:lang w:eastAsia="en-US"/>
              </w:rPr>
              <w:t>AO16.2</w:t>
            </w:r>
          </w:p>
          <w:p w14:paraId="37A0EA87" w14:textId="77777777" w:rsidR="00BE36FB" w:rsidRPr="009B7B35" w:rsidRDefault="00BE36FB" w:rsidP="001A7107">
            <w:pPr>
              <w:pStyle w:val="TableText"/>
              <w:rPr>
                <w:rFonts w:cs="Arial"/>
                <w:lang w:eastAsia="en-US"/>
              </w:rPr>
            </w:pPr>
            <w:r w:rsidRPr="009B7B35">
              <w:rPr>
                <w:rFonts w:cs="Arial"/>
                <w:lang w:eastAsia="en-US"/>
              </w:rPr>
              <w:t>Caretaker’s accommodation is a maximum of 100m</w:t>
            </w:r>
            <w:r w:rsidRPr="009B7B35">
              <w:rPr>
                <w:rFonts w:cs="Arial"/>
                <w:vertAlign w:val="superscript"/>
                <w:lang w:eastAsia="en-US"/>
              </w:rPr>
              <w:t>2</w:t>
            </w:r>
            <w:r w:rsidRPr="009B7B35">
              <w:rPr>
                <w:rFonts w:cs="Arial"/>
                <w:lang w:eastAsia="en-US"/>
              </w:rPr>
              <w:t xml:space="preserve"> GFA.</w:t>
            </w:r>
          </w:p>
        </w:tc>
      </w:tr>
      <w:tr w:rsidR="00BE36FB" w:rsidRPr="009B7B35" w14:paraId="7CE822FB" w14:textId="77777777" w:rsidTr="001A7107">
        <w:tc>
          <w:tcPr>
            <w:tcW w:w="4678" w:type="dxa"/>
            <w:vMerge/>
            <w:hideMark/>
          </w:tcPr>
          <w:p w14:paraId="6D284616" w14:textId="77777777" w:rsidR="00BE36FB" w:rsidRPr="009B7B35" w:rsidRDefault="00BE36FB" w:rsidP="001A7107">
            <w:pPr>
              <w:pStyle w:val="TableText"/>
              <w:rPr>
                <w:rFonts w:cs="Arial"/>
                <w:lang w:eastAsia="en-US"/>
              </w:rPr>
            </w:pPr>
          </w:p>
        </w:tc>
        <w:tc>
          <w:tcPr>
            <w:tcW w:w="4678" w:type="dxa"/>
            <w:hideMark/>
          </w:tcPr>
          <w:p w14:paraId="3D159AE0" w14:textId="77777777" w:rsidR="00BE36FB" w:rsidRPr="009B7B35" w:rsidRDefault="00BE36FB" w:rsidP="001A7107">
            <w:pPr>
              <w:pStyle w:val="TableText"/>
              <w:rPr>
                <w:rFonts w:cs="Arial"/>
                <w:b/>
                <w:bCs/>
                <w:lang w:eastAsia="en-US"/>
              </w:rPr>
            </w:pPr>
            <w:r w:rsidRPr="009B7B35">
              <w:rPr>
                <w:rFonts w:cs="Arial"/>
                <w:b/>
                <w:bCs/>
                <w:lang w:eastAsia="en-US"/>
              </w:rPr>
              <w:t>AO16.3</w:t>
            </w:r>
          </w:p>
          <w:p w14:paraId="00E357F9" w14:textId="77777777" w:rsidR="00BE36FB" w:rsidRPr="009B7B35" w:rsidRDefault="00BE36FB" w:rsidP="001A7107">
            <w:pPr>
              <w:pStyle w:val="TableText"/>
              <w:rPr>
                <w:rFonts w:cs="Arial"/>
                <w:lang w:eastAsia="en-US"/>
              </w:rPr>
            </w:pPr>
            <w:r w:rsidRPr="009B7B35">
              <w:rPr>
                <w:rFonts w:cs="Arial"/>
                <w:lang w:eastAsia="en-US"/>
              </w:rPr>
              <w:t>Caretaker’s accommodation is provided with a private open space area which:</w:t>
            </w:r>
          </w:p>
          <w:p w14:paraId="2CB2A1B5" w14:textId="77777777" w:rsidR="00BE36FB" w:rsidRPr="009B7B35" w:rsidRDefault="00BE36FB" w:rsidP="00BE36FB">
            <w:pPr>
              <w:pStyle w:val="TableText"/>
              <w:numPr>
                <w:ilvl w:val="0"/>
                <w:numId w:val="259"/>
              </w:numPr>
              <w:rPr>
                <w:rFonts w:cs="Arial"/>
                <w:lang w:eastAsia="en-US"/>
              </w:rPr>
            </w:pPr>
            <w:r w:rsidRPr="009B7B35">
              <w:rPr>
                <w:rFonts w:cs="Arial"/>
                <w:lang w:eastAsia="en-US"/>
              </w:rPr>
              <w:t>is directly accessible from a habitable room, and</w:t>
            </w:r>
          </w:p>
          <w:p w14:paraId="5BF263B6" w14:textId="77777777" w:rsidR="00BE36FB" w:rsidRPr="009B7B35" w:rsidRDefault="00BE36FB" w:rsidP="00BE36FB">
            <w:pPr>
              <w:pStyle w:val="TableText"/>
              <w:numPr>
                <w:ilvl w:val="0"/>
                <w:numId w:val="259"/>
              </w:numPr>
              <w:rPr>
                <w:rFonts w:cs="Arial"/>
                <w:lang w:eastAsia="en-US"/>
              </w:rPr>
            </w:pPr>
            <w:r w:rsidRPr="009B7B35">
              <w:rPr>
                <w:rFonts w:cs="Arial"/>
                <w:lang w:eastAsia="en-US"/>
              </w:rPr>
              <w:t>where a balcony, a verandah or a deck, has a minimum area of 15m</w:t>
            </w:r>
            <w:r w:rsidRPr="009B7B35">
              <w:rPr>
                <w:rStyle w:val="StyleSuperscript"/>
                <w:rFonts w:cs="Arial"/>
              </w:rPr>
              <w:t>2</w:t>
            </w:r>
            <w:r w:rsidRPr="009B7B35">
              <w:rPr>
                <w:rFonts w:cs="Arial"/>
                <w:lang w:eastAsia="en-US"/>
              </w:rPr>
              <w:t xml:space="preserve"> with </w:t>
            </w:r>
            <w:r w:rsidRPr="009B7B35">
              <w:rPr>
                <w:rFonts w:cs="Arial"/>
              </w:rPr>
              <w:t xml:space="preserve">a </w:t>
            </w:r>
            <w:r w:rsidRPr="009B7B35">
              <w:rPr>
                <w:rFonts w:cs="Arial"/>
                <w:lang w:eastAsia="en-US"/>
              </w:rPr>
              <w:t xml:space="preserve">minimum horizontal dimension of 1.25m. </w:t>
            </w:r>
          </w:p>
        </w:tc>
      </w:tr>
      <w:tr w:rsidR="00BE36FB" w:rsidRPr="009B7B35" w14:paraId="2408FDB7" w14:textId="77777777" w:rsidTr="001A7107">
        <w:trPr>
          <w:cantSplit/>
        </w:trPr>
        <w:tc>
          <w:tcPr>
            <w:tcW w:w="4678" w:type="dxa"/>
          </w:tcPr>
          <w:p w14:paraId="7092E1E1" w14:textId="77777777" w:rsidR="00BE36FB" w:rsidRPr="009B7B35" w:rsidRDefault="00BE36FB" w:rsidP="001A7107">
            <w:pPr>
              <w:pStyle w:val="TableText"/>
              <w:rPr>
                <w:rFonts w:cs="Arial"/>
                <w:b/>
                <w:bCs/>
                <w:lang w:eastAsia="en-US"/>
              </w:rPr>
            </w:pPr>
            <w:r w:rsidRPr="009B7B35">
              <w:rPr>
                <w:rFonts w:cs="Arial"/>
                <w:b/>
                <w:bCs/>
                <w:lang w:eastAsia="en-US"/>
              </w:rPr>
              <w:t>AO17</w:t>
            </w:r>
          </w:p>
          <w:p w14:paraId="4DF067C1" w14:textId="77777777" w:rsidR="00BE36FB" w:rsidRPr="009B7B35" w:rsidRDefault="00BE36FB" w:rsidP="001A7107">
            <w:pPr>
              <w:pStyle w:val="TableText"/>
              <w:rPr>
                <w:rFonts w:cs="Arial"/>
                <w:lang w:eastAsia="en-US"/>
              </w:rPr>
            </w:pPr>
            <w:r w:rsidRPr="009B7B35">
              <w:rPr>
                <w:rFonts w:cs="Arial"/>
                <w:lang w:eastAsia="en-US"/>
              </w:rPr>
              <w:t>Development for caretaker’s accommodation provides a safe living environment for residents through:</w:t>
            </w:r>
          </w:p>
          <w:p w14:paraId="1AC92A10" w14:textId="77777777" w:rsidR="00BE36FB" w:rsidRPr="009B7B35" w:rsidRDefault="00BE36FB" w:rsidP="00BE36FB">
            <w:pPr>
              <w:pStyle w:val="TableText"/>
              <w:numPr>
                <w:ilvl w:val="0"/>
                <w:numId w:val="260"/>
              </w:numPr>
              <w:ind w:left="567" w:hanging="567"/>
              <w:rPr>
                <w:rFonts w:cs="Arial"/>
                <w:lang w:eastAsia="en-US"/>
              </w:rPr>
            </w:pPr>
            <w:r w:rsidRPr="009B7B35">
              <w:rPr>
                <w:rFonts w:cs="Arial"/>
                <w:lang w:eastAsia="en-US"/>
              </w:rPr>
              <w:t>adequate separation from the source of any emissions generated by the primary use of the site, and</w:t>
            </w:r>
          </w:p>
          <w:p w14:paraId="325F5E36" w14:textId="77777777" w:rsidR="00BE36FB" w:rsidRPr="009B7B35" w:rsidRDefault="00BE36FB" w:rsidP="00BE36FB">
            <w:pPr>
              <w:pStyle w:val="TableText"/>
              <w:numPr>
                <w:ilvl w:val="0"/>
                <w:numId w:val="260"/>
              </w:numPr>
              <w:ind w:left="567" w:hanging="567"/>
              <w:rPr>
                <w:rFonts w:cs="Arial"/>
                <w:lang w:eastAsia="en-US"/>
              </w:rPr>
            </w:pPr>
            <w:r w:rsidRPr="009B7B35">
              <w:rPr>
                <w:rFonts w:cs="Arial"/>
                <w:lang w:eastAsia="en-US"/>
              </w:rPr>
              <w:t>design and construction features which mitigate noise, lighting and air quality impacts on habitable rooms.</w:t>
            </w:r>
          </w:p>
        </w:tc>
        <w:tc>
          <w:tcPr>
            <w:tcW w:w="4678" w:type="dxa"/>
          </w:tcPr>
          <w:p w14:paraId="0FAE1284"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1EA96B81" w14:textId="77777777" w:rsidTr="001A7107">
        <w:trPr>
          <w:cantSplit/>
        </w:trPr>
        <w:tc>
          <w:tcPr>
            <w:tcW w:w="9356" w:type="dxa"/>
            <w:gridSpan w:val="2"/>
            <w:shd w:val="clear" w:color="auto" w:fill="BFBFBF" w:themeFill="background1" w:themeFillShade="BF"/>
          </w:tcPr>
          <w:p w14:paraId="07FA0BF5"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Office</w:t>
            </w:r>
          </w:p>
        </w:tc>
      </w:tr>
      <w:tr w:rsidR="00BE36FB" w:rsidRPr="009B7B35" w14:paraId="390BFE5A" w14:textId="77777777" w:rsidTr="001A7107">
        <w:trPr>
          <w:cantSplit/>
        </w:trPr>
        <w:tc>
          <w:tcPr>
            <w:tcW w:w="4678" w:type="dxa"/>
          </w:tcPr>
          <w:p w14:paraId="648E01DD" w14:textId="77777777" w:rsidR="00BE36FB" w:rsidRPr="009B7B35" w:rsidRDefault="00BE36FB" w:rsidP="001A7107">
            <w:pPr>
              <w:pStyle w:val="TableText"/>
              <w:rPr>
                <w:rFonts w:cs="Arial"/>
                <w:b/>
                <w:bCs/>
                <w:lang w:eastAsia="en-US"/>
              </w:rPr>
            </w:pPr>
            <w:r w:rsidRPr="009B7B35">
              <w:rPr>
                <w:rFonts w:cs="Arial"/>
                <w:b/>
                <w:bCs/>
                <w:lang w:eastAsia="en-US"/>
              </w:rPr>
              <w:t>PO18</w:t>
            </w:r>
          </w:p>
          <w:p w14:paraId="36EA587F" w14:textId="77777777" w:rsidR="00BE36FB" w:rsidRPr="009B7B35" w:rsidRDefault="00BE36FB" w:rsidP="001A7107">
            <w:pPr>
              <w:pStyle w:val="TableText"/>
              <w:rPr>
                <w:rFonts w:cs="Arial"/>
                <w:lang w:eastAsia="en-US"/>
              </w:rPr>
            </w:pPr>
            <w:r w:rsidRPr="009B7B35">
              <w:rPr>
                <w:rFonts w:cs="Arial"/>
                <w:lang w:eastAsia="en-US"/>
              </w:rPr>
              <w:t>Offices are accommodated within the zone where they are ancillary to the primary use.</w:t>
            </w:r>
          </w:p>
        </w:tc>
        <w:tc>
          <w:tcPr>
            <w:tcW w:w="4678" w:type="dxa"/>
          </w:tcPr>
          <w:p w14:paraId="5751D87A" w14:textId="77777777" w:rsidR="00BE36FB" w:rsidRPr="009B7B35" w:rsidRDefault="00BE36FB" w:rsidP="001A7107">
            <w:pPr>
              <w:pStyle w:val="TableText"/>
              <w:rPr>
                <w:rFonts w:cs="Arial"/>
                <w:b/>
                <w:bCs/>
                <w:lang w:eastAsia="en-US"/>
              </w:rPr>
            </w:pPr>
            <w:r w:rsidRPr="009B7B35">
              <w:rPr>
                <w:rFonts w:cs="Arial"/>
                <w:b/>
                <w:bCs/>
                <w:lang w:eastAsia="en-US"/>
              </w:rPr>
              <w:t>AO18</w:t>
            </w:r>
          </w:p>
          <w:p w14:paraId="79EAA013" w14:textId="77777777" w:rsidR="00BE36FB" w:rsidRPr="009B7B35" w:rsidRDefault="00BE36FB" w:rsidP="001A7107">
            <w:pPr>
              <w:pStyle w:val="TableText"/>
              <w:rPr>
                <w:rFonts w:cs="Arial"/>
                <w:lang w:eastAsia="en-US"/>
              </w:rPr>
            </w:pPr>
            <w:r w:rsidRPr="009B7B35">
              <w:rPr>
                <w:rFonts w:cs="Arial"/>
                <w:lang w:eastAsia="en-US"/>
              </w:rPr>
              <w:t>The area used for an Office use does not exceed 250m</w:t>
            </w:r>
            <w:r w:rsidRPr="009B7B35">
              <w:rPr>
                <w:rStyle w:val="StyleSuperscript"/>
                <w:rFonts w:cs="Arial"/>
              </w:rPr>
              <w:t>2</w:t>
            </w:r>
            <w:r w:rsidRPr="009B7B35">
              <w:rPr>
                <w:rFonts w:cs="Arial"/>
                <w:lang w:eastAsia="en-US"/>
              </w:rPr>
              <w:t xml:space="preserve"> GFA.</w:t>
            </w:r>
          </w:p>
        </w:tc>
      </w:tr>
      <w:tr w:rsidR="00BE36FB" w:rsidRPr="009B7B35" w14:paraId="008CE64B" w14:textId="77777777" w:rsidTr="001A7107">
        <w:trPr>
          <w:cantSplit/>
        </w:trPr>
        <w:tc>
          <w:tcPr>
            <w:tcW w:w="9356" w:type="dxa"/>
            <w:gridSpan w:val="2"/>
            <w:shd w:val="clear" w:color="auto" w:fill="BFBFBF" w:themeFill="background1" w:themeFillShade="BF"/>
          </w:tcPr>
          <w:p w14:paraId="1C298981"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Service station</w:t>
            </w:r>
          </w:p>
        </w:tc>
      </w:tr>
      <w:tr w:rsidR="00BE36FB" w:rsidRPr="009B7B35" w14:paraId="7B25EF48" w14:textId="77777777" w:rsidTr="001A7107">
        <w:trPr>
          <w:cantSplit/>
        </w:trPr>
        <w:tc>
          <w:tcPr>
            <w:tcW w:w="4678" w:type="dxa"/>
          </w:tcPr>
          <w:p w14:paraId="386B8936" w14:textId="77777777" w:rsidR="00BE36FB" w:rsidRPr="009B7B35" w:rsidRDefault="00BE36FB" w:rsidP="001A7107">
            <w:pPr>
              <w:pStyle w:val="TableText"/>
              <w:rPr>
                <w:rFonts w:cs="Arial"/>
                <w:b/>
                <w:bCs/>
                <w:lang w:eastAsia="en-US"/>
              </w:rPr>
            </w:pPr>
            <w:r w:rsidRPr="009B7B35">
              <w:rPr>
                <w:rFonts w:cs="Arial"/>
                <w:b/>
                <w:bCs/>
                <w:lang w:eastAsia="en-US"/>
              </w:rPr>
              <w:t>PO19</w:t>
            </w:r>
          </w:p>
          <w:p w14:paraId="107BBEC7" w14:textId="77777777" w:rsidR="00BE36FB" w:rsidRPr="009B7B35" w:rsidRDefault="00BE36FB" w:rsidP="001A7107">
            <w:pPr>
              <w:pStyle w:val="TableText"/>
              <w:rPr>
                <w:rFonts w:cs="Arial"/>
                <w:lang w:eastAsia="en-US"/>
              </w:rPr>
            </w:pPr>
            <w:r w:rsidRPr="009B7B35">
              <w:rPr>
                <w:rFonts w:cs="Arial"/>
                <w:lang w:eastAsia="en-US"/>
              </w:rPr>
              <w:t>Buildings and structures allow for the safe operation of the service station.</w:t>
            </w:r>
          </w:p>
        </w:tc>
        <w:tc>
          <w:tcPr>
            <w:tcW w:w="4678" w:type="dxa"/>
          </w:tcPr>
          <w:p w14:paraId="76529548" w14:textId="77777777" w:rsidR="00BE36FB" w:rsidRPr="009B7B35" w:rsidRDefault="00BE36FB" w:rsidP="001A7107">
            <w:pPr>
              <w:pStyle w:val="TableText"/>
              <w:rPr>
                <w:rFonts w:cs="Arial"/>
                <w:b/>
                <w:bCs/>
                <w:lang w:eastAsia="en-US"/>
              </w:rPr>
            </w:pPr>
            <w:r w:rsidRPr="009B7B35">
              <w:rPr>
                <w:rFonts w:cs="Arial"/>
                <w:b/>
                <w:bCs/>
                <w:lang w:eastAsia="en-US"/>
              </w:rPr>
              <w:t>AO19</w:t>
            </w:r>
          </w:p>
          <w:p w14:paraId="5935E5D0" w14:textId="77777777" w:rsidR="00BE36FB" w:rsidRPr="009B7B35" w:rsidRDefault="00BE36FB" w:rsidP="001A7107">
            <w:pPr>
              <w:pStyle w:val="TableText"/>
              <w:rPr>
                <w:rFonts w:cs="Arial"/>
                <w:lang w:eastAsia="en-US"/>
              </w:rPr>
            </w:pPr>
            <w:r w:rsidRPr="009B7B35">
              <w:rPr>
                <w:rFonts w:cs="Arial"/>
                <w:lang w:eastAsia="en-US"/>
              </w:rPr>
              <w:t>All buildings and structures, including equipment associated with the service station operation are setback as follows:</w:t>
            </w:r>
          </w:p>
          <w:p w14:paraId="03BE43BE" w14:textId="77777777" w:rsidR="00BE36FB" w:rsidRPr="009B7B35" w:rsidRDefault="00BE36FB" w:rsidP="00BE36FB">
            <w:pPr>
              <w:pStyle w:val="TableText"/>
              <w:numPr>
                <w:ilvl w:val="0"/>
                <w:numId w:val="261"/>
              </w:numPr>
              <w:rPr>
                <w:rFonts w:cs="Arial"/>
                <w:lang w:eastAsia="en-US"/>
              </w:rPr>
            </w:pPr>
            <w:r w:rsidRPr="009B7B35">
              <w:rPr>
                <w:rFonts w:cs="Arial"/>
                <w:lang w:eastAsia="en-US"/>
              </w:rPr>
              <w:t>10m from the front boundary</w:t>
            </w:r>
          </w:p>
          <w:p w14:paraId="35398812" w14:textId="77777777" w:rsidR="00BE36FB" w:rsidRPr="009B7B35" w:rsidRDefault="00BE36FB" w:rsidP="00BE36FB">
            <w:pPr>
              <w:pStyle w:val="TableText"/>
              <w:numPr>
                <w:ilvl w:val="0"/>
                <w:numId w:val="261"/>
              </w:numPr>
              <w:rPr>
                <w:rFonts w:cs="Arial"/>
                <w:lang w:eastAsia="en-US"/>
              </w:rPr>
            </w:pPr>
            <w:r w:rsidRPr="009B7B35">
              <w:rPr>
                <w:rFonts w:cs="Arial"/>
                <w:lang w:eastAsia="en-US"/>
              </w:rPr>
              <w:t>2m from the side and rear boundaries.</w:t>
            </w:r>
          </w:p>
        </w:tc>
      </w:tr>
      <w:tr w:rsidR="00BE36FB" w:rsidRPr="009B7B35" w14:paraId="339C9369" w14:textId="77777777" w:rsidTr="001A7107">
        <w:trPr>
          <w:cantSplit/>
        </w:trPr>
        <w:tc>
          <w:tcPr>
            <w:tcW w:w="4678" w:type="dxa"/>
          </w:tcPr>
          <w:p w14:paraId="795987B3" w14:textId="77777777" w:rsidR="00BE36FB" w:rsidRPr="009B7B35" w:rsidRDefault="00BE36FB" w:rsidP="001A7107">
            <w:pPr>
              <w:pStyle w:val="TableText"/>
              <w:rPr>
                <w:rFonts w:cs="Arial"/>
                <w:b/>
                <w:bCs/>
                <w:lang w:eastAsia="en-US"/>
              </w:rPr>
            </w:pPr>
            <w:r w:rsidRPr="009B7B35">
              <w:rPr>
                <w:rFonts w:cs="Arial"/>
                <w:b/>
                <w:bCs/>
                <w:lang w:eastAsia="en-US"/>
              </w:rPr>
              <w:t>PO20</w:t>
            </w:r>
          </w:p>
          <w:p w14:paraId="7AB7E99E" w14:textId="77777777" w:rsidR="00BE36FB" w:rsidRPr="009B7B35" w:rsidRDefault="00BE36FB" w:rsidP="001A7107">
            <w:pPr>
              <w:pStyle w:val="TableText"/>
              <w:rPr>
                <w:rFonts w:cs="Arial"/>
                <w:lang w:eastAsia="en-US"/>
              </w:rPr>
            </w:pPr>
            <w:r w:rsidRPr="009B7B35">
              <w:rPr>
                <w:rFonts w:cs="Arial"/>
                <w:lang w:eastAsia="en-US"/>
              </w:rPr>
              <w:t>Retail components are ancillary to the service station use.</w:t>
            </w:r>
          </w:p>
        </w:tc>
        <w:tc>
          <w:tcPr>
            <w:tcW w:w="4678" w:type="dxa"/>
          </w:tcPr>
          <w:p w14:paraId="7C8A3B85" w14:textId="77777777" w:rsidR="00BE36FB" w:rsidRPr="009B7B35" w:rsidRDefault="00BE36FB" w:rsidP="001A7107">
            <w:pPr>
              <w:pStyle w:val="TableText"/>
              <w:rPr>
                <w:rFonts w:cs="Arial"/>
                <w:b/>
                <w:bCs/>
                <w:lang w:eastAsia="en-US"/>
              </w:rPr>
            </w:pPr>
            <w:r w:rsidRPr="009B7B35">
              <w:rPr>
                <w:rFonts w:cs="Arial"/>
                <w:b/>
                <w:bCs/>
                <w:lang w:eastAsia="en-US"/>
              </w:rPr>
              <w:t>AO20</w:t>
            </w:r>
          </w:p>
          <w:p w14:paraId="5E1A5786" w14:textId="77777777" w:rsidR="00BE36FB" w:rsidRPr="009B7B35" w:rsidRDefault="00BE36FB" w:rsidP="001A7107">
            <w:pPr>
              <w:pStyle w:val="TableText"/>
              <w:rPr>
                <w:rFonts w:cs="Arial"/>
                <w:lang w:eastAsia="en-US"/>
              </w:rPr>
            </w:pPr>
            <w:r w:rsidRPr="009B7B35">
              <w:rPr>
                <w:rFonts w:cs="Arial"/>
                <w:lang w:eastAsia="en-US"/>
              </w:rPr>
              <w:t>The maximum area of retail GFA is 80m</w:t>
            </w:r>
            <w:r w:rsidRPr="009B7B35">
              <w:rPr>
                <w:rStyle w:val="StyleSuperscript"/>
                <w:rFonts w:cs="Arial"/>
              </w:rPr>
              <w:t>2</w:t>
            </w:r>
            <w:r w:rsidRPr="009B7B35">
              <w:rPr>
                <w:rFonts w:cs="Arial"/>
                <w:lang w:eastAsia="en-US"/>
              </w:rPr>
              <w:t>.</w:t>
            </w:r>
          </w:p>
        </w:tc>
      </w:tr>
    </w:tbl>
    <w:p w14:paraId="18CFF3EC" w14:textId="77777777" w:rsidR="00BE36FB" w:rsidRPr="009B7B35" w:rsidRDefault="00BE36FB" w:rsidP="001A7107">
      <w:pPr>
        <w:rPr>
          <w:rFonts w:ascii="Arial" w:hAnsi="Arial" w:cs="Arial"/>
          <w:sz w:val="20"/>
          <w:szCs w:val="20"/>
        </w:rPr>
      </w:pPr>
    </w:p>
    <w:p w14:paraId="7CCD50DD" w14:textId="77777777" w:rsidR="00BE36FB" w:rsidRPr="009B7B35" w:rsidRDefault="00BE36FB" w:rsidP="001A7107">
      <w:pPr>
        <w:rPr>
          <w:rFonts w:ascii="Arial" w:hAnsi="Arial" w:cs="Arial"/>
          <w:sz w:val="20"/>
          <w:szCs w:val="20"/>
        </w:rPr>
      </w:pPr>
    </w:p>
    <w:p w14:paraId="6BA42DF6" w14:textId="77777777" w:rsidR="00BE36FB" w:rsidRPr="009B7B35" w:rsidRDefault="00BE36FB" w:rsidP="001A7107">
      <w:pPr>
        <w:rPr>
          <w:rFonts w:ascii="Arial" w:hAnsi="Arial" w:cs="Arial"/>
          <w:sz w:val="20"/>
          <w:szCs w:val="20"/>
        </w:rPr>
      </w:pPr>
    </w:p>
    <w:p w14:paraId="148423FE" w14:textId="77777777" w:rsidR="00BE36FB" w:rsidRPr="009B7B35" w:rsidRDefault="00BE36FB" w:rsidP="001A7107">
      <w:pPr>
        <w:rPr>
          <w:rFonts w:ascii="Arial" w:hAnsi="Arial" w:cs="Arial"/>
          <w:sz w:val="20"/>
          <w:szCs w:val="20"/>
        </w:rPr>
      </w:pPr>
    </w:p>
    <w:p w14:paraId="2C6570DC" w14:textId="77777777" w:rsidR="00BE36FB" w:rsidRPr="009B7B35" w:rsidRDefault="00BE36FB" w:rsidP="001A7107">
      <w:pPr>
        <w:rPr>
          <w:rFonts w:ascii="Arial" w:hAnsi="Arial" w:cs="Arial"/>
          <w:sz w:val="20"/>
          <w:szCs w:val="20"/>
        </w:rPr>
      </w:pPr>
    </w:p>
    <w:p w14:paraId="4AA77A7E" w14:textId="77777777" w:rsidR="00BE36FB" w:rsidRPr="009B7B35" w:rsidRDefault="00BE36FB" w:rsidP="001A7107">
      <w:pPr>
        <w:rPr>
          <w:rFonts w:ascii="Arial" w:hAnsi="Arial" w:cs="Arial"/>
          <w:sz w:val="20"/>
          <w:szCs w:val="20"/>
        </w:rPr>
      </w:pPr>
    </w:p>
    <w:p w14:paraId="1613140F" w14:textId="77777777" w:rsidR="00BE36FB" w:rsidRPr="009B7B35" w:rsidRDefault="00BE36FB" w:rsidP="001A7107">
      <w:pPr>
        <w:rPr>
          <w:rFonts w:ascii="Arial" w:hAnsi="Arial" w:cs="Arial"/>
          <w:sz w:val="20"/>
          <w:szCs w:val="20"/>
        </w:rPr>
      </w:pPr>
    </w:p>
    <w:p w14:paraId="74F54695" w14:textId="77777777" w:rsidR="00BE36FB" w:rsidRPr="009B7B35" w:rsidRDefault="00BE36FB" w:rsidP="001A7107">
      <w:pPr>
        <w:rPr>
          <w:rFonts w:ascii="Arial" w:hAnsi="Arial" w:cs="Arial"/>
          <w:sz w:val="20"/>
          <w:szCs w:val="20"/>
        </w:rPr>
      </w:pPr>
    </w:p>
    <w:p w14:paraId="00A1B8BF" w14:textId="77777777" w:rsidR="00BE36FB" w:rsidRPr="009B7B35" w:rsidRDefault="00BE36FB" w:rsidP="001A7107">
      <w:pPr>
        <w:rPr>
          <w:rFonts w:ascii="Arial" w:hAnsi="Arial" w:cs="Arial"/>
          <w:sz w:val="20"/>
          <w:szCs w:val="20"/>
        </w:rPr>
      </w:pPr>
    </w:p>
    <w:p w14:paraId="5739192E" w14:textId="77777777" w:rsidR="00BE36FB" w:rsidRPr="009B7B35" w:rsidRDefault="00BE36FB" w:rsidP="001A7107">
      <w:pPr>
        <w:rPr>
          <w:rFonts w:ascii="Arial" w:hAnsi="Arial" w:cs="Arial"/>
          <w:sz w:val="20"/>
          <w:szCs w:val="20"/>
        </w:rPr>
      </w:pPr>
    </w:p>
    <w:p w14:paraId="4487D07B" w14:textId="77777777" w:rsidR="00BE36FB" w:rsidRPr="009B7B35" w:rsidRDefault="00BE36FB" w:rsidP="001A7107">
      <w:pPr>
        <w:rPr>
          <w:rFonts w:ascii="Arial" w:hAnsi="Arial" w:cs="Arial"/>
          <w:sz w:val="20"/>
          <w:szCs w:val="20"/>
        </w:rPr>
      </w:pPr>
    </w:p>
    <w:p w14:paraId="2955CAAA" w14:textId="77777777" w:rsidR="00BE36FB" w:rsidRPr="009B7B35" w:rsidRDefault="00BE36FB" w:rsidP="001A7107">
      <w:pPr>
        <w:rPr>
          <w:rFonts w:ascii="Arial" w:hAnsi="Arial" w:cs="Arial"/>
          <w:sz w:val="20"/>
          <w:szCs w:val="20"/>
        </w:rPr>
      </w:pPr>
    </w:p>
    <w:p w14:paraId="5B4C9647" w14:textId="77777777" w:rsidR="00BE36FB" w:rsidRPr="009B7B35" w:rsidRDefault="00BE36FB" w:rsidP="001A7107">
      <w:pPr>
        <w:rPr>
          <w:rFonts w:ascii="Arial" w:hAnsi="Arial" w:cs="Arial"/>
          <w:sz w:val="20"/>
          <w:szCs w:val="20"/>
        </w:rPr>
      </w:pPr>
    </w:p>
    <w:p w14:paraId="242DF650" w14:textId="77777777" w:rsidR="00BE36FB" w:rsidRPr="009B7B35" w:rsidRDefault="00BE36FB" w:rsidP="001A7107">
      <w:pPr>
        <w:rPr>
          <w:rFonts w:ascii="Arial" w:hAnsi="Arial" w:cs="Arial"/>
          <w:sz w:val="20"/>
          <w:szCs w:val="20"/>
        </w:rPr>
      </w:pPr>
    </w:p>
    <w:p w14:paraId="124F30B5" w14:textId="77777777" w:rsidR="00BE36FB" w:rsidRPr="009B7B35" w:rsidRDefault="00BE36FB" w:rsidP="001A7107">
      <w:pPr>
        <w:rPr>
          <w:rFonts w:ascii="Arial" w:hAnsi="Arial" w:cs="Arial"/>
          <w:sz w:val="20"/>
          <w:szCs w:val="20"/>
        </w:rPr>
      </w:pPr>
    </w:p>
    <w:p w14:paraId="030C5AD6" w14:textId="77777777" w:rsidR="00BE36FB" w:rsidRPr="009B7B35" w:rsidRDefault="00BE36FB" w:rsidP="001A7107">
      <w:pPr>
        <w:rPr>
          <w:rFonts w:ascii="Arial" w:hAnsi="Arial" w:cs="Arial"/>
          <w:sz w:val="20"/>
          <w:szCs w:val="20"/>
        </w:rPr>
      </w:pPr>
    </w:p>
    <w:p w14:paraId="0C05775F" w14:textId="77777777" w:rsidR="00BE36FB" w:rsidRPr="009B7B35" w:rsidRDefault="00BE36FB" w:rsidP="001A7107">
      <w:pPr>
        <w:rPr>
          <w:rFonts w:ascii="Arial" w:hAnsi="Arial" w:cs="Arial"/>
          <w:sz w:val="20"/>
          <w:szCs w:val="20"/>
        </w:rPr>
      </w:pPr>
    </w:p>
    <w:p w14:paraId="48C130C2" w14:textId="77777777" w:rsidR="00BE36FB" w:rsidRPr="009B7B35" w:rsidRDefault="00BE36FB" w:rsidP="001A7107">
      <w:pPr>
        <w:rPr>
          <w:rFonts w:ascii="Arial" w:hAnsi="Arial" w:cs="Arial"/>
          <w:sz w:val="20"/>
          <w:szCs w:val="20"/>
        </w:rPr>
      </w:pPr>
    </w:p>
    <w:p w14:paraId="36786A9E" w14:textId="77777777" w:rsidR="00BE36FB" w:rsidRPr="009B7B35" w:rsidRDefault="00BE36FB" w:rsidP="001A7107">
      <w:pPr>
        <w:rPr>
          <w:rFonts w:ascii="Arial" w:hAnsi="Arial" w:cs="Arial"/>
          <w:sz w:val="20"/>
          <w:szCs w:val="20"/>
        </w:rPr>
      </w:pPr>
    </w:p>
    <w:p w14:paraId="449F0C62" w14:textId="77777777" w:rsidR="00BE36FB" w:rsidRPr="009B7B35" w:rsidRDefault="00BE36FB" w:rsidP="006776DA">
      <w:pPr>
        <w:pStyle w:val="Heading3"/>
        <w:keepLines/>
        <w:numPr>
          <w:ilvl w:val="2"/>
          <w:numId w:val="883"/>
        </w:numPr>
        <w:spacing w:before="240"/>
        <w:rPr>
          <w:rFonts w:ascii="Arial" w:hAnsi="Arial"/>
          <w:sz w:val="20"/>
          <w:szCs w:val="20"/>
        </w:rPr>
      </w:pPr>
      <w:bookmarkStart w:id="197" w:name="_Toc205367360"/>
      <w:r w:rsidRPr="009B7B35">
        <w:rPr>
          <w:rFonts w:ascii="Arial" w:hAnsi="Arial"/>
          <w:sz w:val="20"/>
          <w:szCs w:val="20"/>
        </w:rPr>
        <w:t>Industry investigation</w:t>
      </w:r>
      <w:bookmarkEnd w:id="197"/>
    </w:p>
    <w:p w14:paraId="24AAF567"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4D95362D" w14:textId="77777777"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development where the code is identified as applicable in a table of assessment.</w:t>
      </w:r>
    </w:p>
    <w:p w14:paraId="704C3A4E" w14:textId="77777777"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When using this code, reference should be made to section 5.3.2 and where applicable, section 5.3.3 located in Part 5.</w:t>
      </w:r>
    </w:p>
    <w:p w14:paraId="3765B9FF"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549D489F" w14:textId="77777777" w:rsidR="00BE36FB" w:rsidRPr="009B7B35" w:rsidRDefault="00BE36FB" w:rsidP="00BE36FB">
      <w:pPr>
        <w:numPr>
          <w:ilvl w:val="0"/>
          <w:numId w:val="270"/>
        </w:numPr>
        <w:rPr>
          <w:rFonts w:ascii="Arial" w:hAnsi="Arial" w:cs="Arial"/>
          <w:sz w:val="20"/>
          <w:szCs w:val="20"/>
          <w:lang w:eastAsia="en-US"/>
        </w:rPr>
      </w:pPr>
      <w:r w:rsidRPr="009B7B35">
        <w:rPr>
          <w:rFonts w:ascii="Arial" w:hAnsi="Arial" w:cs="Arial"/>
          <w:sz w:val="20"/>
          <w:szCs w:val="20"/>
          <w:lang w:eastAsia="en-US"/>
        </w:rPr>
        <w:t>The purpose of the industry investigation zone code is to identify and protect land that may be suitable for industrial activities in the future. The immediate development of this land is generally inappropriate owing to one or more constraints. These constraints may include a lack of trunk infrastructure necessary to service industrial development and also resolving hydraulic issues in the locality. However, some low scale land uses may be appropriate where onsite services are provided.</w:t>
      </w:r>
    </w:p>
    <w:p w14:paraId="30F7E590" w14:textId="77777777" w:rsidR="00BE36FB" w:rsidRPr="009B7B35" w:rsidRDefault="00BE36FB" w:rsidP="001A7107">
      <w:pPr>
        <w:pStyle w:val="Notes"/>
        <w:rPr>
          <w:rFonts w:cs="Arial"/>
          <w:sz w:val="20"/>
          <w:szCs w:val="20"/>
        </w:rPr>
      </w:pPr>
      <w:r w:rsidRPr="009B7B35">
        <w:rPr>
          <w:rFonts w:cs="Arial"/>
          <w:sz w:val="20"/>
          <w:szCs w:val="20"/>
        </w:rPr>
        <w:t>Note—Future industrial development must be in accordance with an approved Plan of development. SC6.3 Plans of development provide further guidance on these matters.</w:t>
      </w:r>
    </w:p>
    <w:p w14:paraId="312E8B12" w14:textId="77777777" w:rsidR="00BE36FB" w:rsidRPr="009B7B35" w:rsidRDefault="00BE36FB" w:rsidP="00BE36FB">
      <w:pPr>
        <w:numPr>
          <w:ilvl w:val="0"/>
          <w:numId w:val="270"/>
        </w:numPr>
        <w:rPr>
          <w:rFonts w:ascii="Arial" w:hAnsi="Arial" w:cs="Arial"/>
          <w:sz w:val="20"/>
          <w:szCs w:val="20"/>
          <w:lang w:eastAsia="en-US"/>
        </w:rPr>
      </w:pPr>
      <w:r w:rsidRPr="009B7B35">
        <w:rPr>
          <w:rFonts w:ascii="Arial" w:hAnsi="Arial" w:cs="Arial"/>
          <w:sz w:val="20"/>
          <w:szCs w:val="20"/>
          <w:lang w:eastAsia="en-US"/>
        </w:rPr>
        <w:t>The purpose of the zone will be achieved through the following overall outcomes:</w:t>
      </w:r>
    </w:p>
    <w:p w14:paraId="619A0F7F" w14:textId="77777777" w:rsidR="00BE36FB" w:rsidRPr="009B7B35" w:rsidRDefault="00BE36FB" w:rsidP="00BE36FB">
      <w:pPr>
        <w:numPr>
          <w:ilvl w:val="1"/>
          <w:numId w:val="270"/>
        </w:numPr>
        <w:rPr>
          <w:rFonts w:ascii="Arial" w:hAnsi="Arial" w:cs="Arial"/>
          <w:sz w:val="20"/>
          <w:szCs w:val="20"/>
          <w:lang w:eastAsia="en-US"/>
        </w:rPr>
      </w:pPr>
      <w:r w:rsidRPr="009B7B35">
        <w:rPr>
          <w:rFonts w:ascii="Arial" w:hAnsi="Arial" w:cs="Arial"/>
          <w:sz w:val="20"/>
          <w:szCs w:val="20"/>
          <w:lang w:eastAsia="en-US"/>
        </w:rPr>
        <w:t>Land that is suitable for industrial purposes is only developed where suitable trunk or onsite infrastructure is provided to service the development.</w:t>
      </w:r>
    </w:p>
    <w:p w14:paraId="6E5172CB" w14:textId="77777777" w:rsidR="00BE36FB" w:rsidRPr="009B7B35" w:rsidRDefault="00BE36FB" w:rsidP="00BE36FB">
      <w:pPr>
        <w:numPr>
          <w:ilvl w:val="1"/>
          <w:numId w:val="270"/>
        </w:numPr>
        <w:rPr>
          <w:rFonts w:ascii="Arial" w:hAnsi="Arial" w:cs="Arial"/>
          <w:sz w:val="20"/>
          <w:szCs w:val="20"/>
          <w:lang w:eastAsia="en-US"/>
        </w:rPr>
      </w:pPr>
      <w:r w:rsidRPr="009B7B35">
        <w:rPr>
          <w:rFonts w:ascii="Arial" w:hAnsi="Arial" w:cs="Arial"/>
          <w:sz w:val="20"/>
          <w:szCs w:val="20"/>
          <w:lang w:eastAsia="en-US"/>
        </w:rPr>
        <w:t>Where development proposes onsite infrastructure, land uses are of a scale and nature that do not compromise the future development potential of the area for industrial purposes.</w:t>
      </w:r>
    </w:p>
    <w:p w14:paraId="45ADD905" w14:textId="77777777" w:rsidR="00BE36FB" w:rsidRPr="009B7B35" w:rsidRDefault="00BE36FB" w:rsidP="00BE36FB">
      <w:pPr>
        <w:numPr>
          <w:ilvl w:val="1"/>
          <w:numId w:val="270"/>
        </w:numPr>
        <w:rPr>
          <w:rFonts w:ascii="Arial" w:hAnsi="Arial" w:cs="Arial"/>
          <w:sz w:val="20"/>
          <w:szCs w:val="20"/>
          <w:lang w:eastAsia="en-US"/>
        </w:rPr>
      </w:pPr>
      <w:r w:rsidRPr="009B7B35">
        <w:rPr>
          <w:rFonts w:ascii="Arial" w:hAnsi="Arial" w:cs="Arial"/>
          <w:sz w:val="20"/>
          <w:szCs w:val="20"/>
          <w:lang w:eastAsia="en-US"/>
        </w:rPr>
        <w:t>Land that is suitable for future industrial purposes is located to minimise impacts on non–industrial land.</w:t>
      </w:r>
    </w:p>
    <w:p w14:paraId="396B77A6"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6AD9E52F" w14:textId="77777777" w:rsidR="00BE36FB" w:rsidRPr="009B7B35" w:rsidRDefault="00BE36FB" w:rsidP="003A35DA">
      <w:pPr>
        <w:pStyle w:val="Heading5"/>
        <w:numPr>
          <w:ilvl w:val="0"/>
          <w:numId w:val="0"/>
        </w:numPr>
        <w:rPr>
          <w:rFonts w:cs="Arial"/>
          <w:szCs w:val="20"/>
        </w:rPr>
      </w:pPr>
      <w:r w:rsidRPr="009B7B35">
        <w:rPr>
          <w:rFonts w:cs="Arial"/>
          <w:szCs w:val="20"/>
          <w:lang w:eastAsia="en-US"/>
        </w:rPr>
        <w:t>Table 6.2.15.3.1—</w:t>
      </w:r>
      <w:r w:rsidRPr="009B7B35">
        <w:rPr>
          <w:rFonts w:cs="Arial"/>
          <w:szCs w:val="20"/>
        </w:rPr>
        <w:t xml:space="preserve"> Accepted development subject to requirements and assessable development</w:t>
      </w:r>
    </w:p>
    <w:tbl>
      <w:tblPr>
        <w:tblStyle w:val="Tablestyle"/>
        <w:tblW w:w="0" w:type="auto"/>
        <w:tblLayout w:type="fixed"/>
        <w:tblLook w:val="0620" w:firstRow="1" w:lastRow="0" w:firstColumn="0" w:lastColumn="0" w:noHBand="1" w:noVBand="1"/>
      </w:tblPr>
      <w:tblGrid>
        <w:gridCol w:w="4678"/>
        <w:gridCol w:w="4678"/>
      </w:tblGrid>
      <w:tr w:rsidR="00BE36FB" w:rsidRPr="009B7B35" w14:paraId="3EF71201" w14:textId="77777777" w:rsidTr="001A7107">
        <w:trPr>
          <w:cnfStyle w:val="100000000000" w:firstRow="1" w:lastRow="0" w:firstColumn="0" w:lastColumn="0" w:oddVBand="0" w:evenVBand="0" w:oddHBand="0" w:evenHBand="0" w:firstRowFirstColumn="0" w:firstRowLastColumn="0" w:lastRowFirstColumn="0" w:lastRowLastColumn="0"/>
          <w:tblHeader/>
        </w:trPr>
        <w:tc>
          <w:tcPr>
            <w:tcW w:w="4678" w:type="dxa"/>
          </w:tcPr>
          <w:p w14:paraId="443A19A9"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Performance outcomes</w:t>
            </w:r>
          </w:p>
        </w:tc>
        <w:tc>
          <w:tcPr>
            <w:tcW w:w="4678" w:type="dxa"/>
          </w:tcPr>
          <w:p w14:paraId="03F73D4B"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Acceptable outcomes</w:t>
            </w:r>
          </w:p>
        </w:tc>
      </w:tr>
      <w:tr w:rsidR="00BE36FB" w:rsidRPr="009B7B35" w14:paraId="2387B964" w14:textId="77777777" w:rsidTr="001A7107">
        <w:tc>
          <w:tcPr>
            <w:tcW w:w="9356" w:type="dxa"/>
            <w:gridSpan w:val="2"/>
            <w:shd w:val="clear" w:color="auto" w:fill="BFBFBF" w:themeFill="background1" w:themeFillShade="BF"/>
          </w:tcPr>
          <w:p w14:paraId="277A8D34"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Caretaker’s accommodation</w:t>
            </w:r>
          </w:p>
        </w:tc>
      </w:tr>
      <w:tr w:rsidR="00BE36FB" w:rsidRPr="009B7B35" w14:paraId="29DC4AD3" w14:textId="77777777" w:rsidTr="001A7107">
        <w:tc>
          <w:tcPr>
            <w:tcW w:w="4678" w:type="dxa"/>
            <w:vMerge w:val="restart"/>
          </w:tcPr>
          <w:p w14:paraId="28DFFF55" w14:textId="77777777" w:rsidR="00BE36FB" w:rsidRPr="009B7B35" w:rsidRDefault="00BE36FB" w:rsidP="001A7107">
            <w:pPr>
              <w:pStyle w:val="TableText"/>
              <w:rPr>
                <w:rFonts w:cs="Arial"/>
                <w:b/>
                <w:lang w:eastAsia="en-US"/>
              </w:rPr>
            </w:pPr>
            <w:r w:rsidRPr="009B7B35">
              <w:rPr>
                <w:rFonts w:cs="Arial"/>
                <w:b/>
                <w:lang w:eastAsia="en-US"/>
              </w:rPr>
              <w:t>PO1</w:t>
            </w:r>
          </w:p>
          <w:p w14:paraId="345316BA" w14:textId="77777777" w:rsidR="00BE36FB" w:rsidRPr="009B7B35" w:rsidRDefault="00BE36FB" w:rsidP="001A7107">
            <w:pPr>
              <w:pStyle w:val="TableText"/>
              <w:rPr>
                <w:rFonts w:cs="Arial"/>
                <w:lang w:eastAsia="en-US"/>
              </w:rPr>
            </w:pPr>
            <w:r w:rsidRPr="009B7B35">
              <w:rPr>
                <w:rFonts w:cs="Arial"/>
                <w:lang w:eastAsia="en-US"/>
              </w:rPr>
              <w:t xml:space="preserve">Development: </w:t>
            </w:r>
          </w:p>
          <w:p w14:paraId="729BB5E8" w14:textId="77777777" w:rsidR="00BE36FB" w:rsidRPr="009B7B35" w:rsidRDefault="00BE36FB" w:rsidP="00BE36FB">
            <w:pPr>
              <w:pStyle w:val="TableText"/>
              <w:numPr>
                <w:ilvl w:val="0"/>
                <w:numId w:val="272"/>
              </w:numPr>
              <w:rPr>
                <w:rFonts w:cs="Arial"/>
                <w:lang w:eastAsia="en-US"/>
              </w:rPr>
            </w:pPr>
            <w:r w:rsidRPr="009B7B35">
              <w:rPr>
                <w:rFonts w:cs="Arial"/>
                <w:lang w:eastAsia="en-US"/>
              </w:rPr>
              <w:t>does not compromise the future industrial use of the site, and</w:t>
            </w:r>
          </w:p>
          <w:p w14:paraId="5A9E8B67" w14:textId="77777777" w:rsidR="00BE36FB" w:rsidRPr="009B7B35" w:rsidRDefault="00BE36FB" w:rsidP="00BE36FB">
            <w:pPr>
              <w:pStyle w:val="TableText"/>
              <w:numPr>
                <w:ilvl w:val="0"/>
                <w:numId w:val="272"/>
              </w:numPr>
              <w:rPr>
                <w:rFonts w:cs="Arial"/>
                <w:lang w:eastAsia="en-US"/>
              </w:rPr>
            </w:pPr>
            <w:r w:rsidRPr="009B7B35">
              <w:rPr>
                <w:rFonts w:cs="Arial"/>
                <w:lang w:eastAsia="en-US"/>
              </w:rPr>
              <w:t>provides adequate open space for the caretaker.</w:t>
            </w:r>
          </w:p>
        </w:tc>
        <w:tc>
          <w:tcPr>
            <w:tcW w:w="4678" w:type="dxa"/>
          </w:tcPr>
          <w:p w14:paraId="0F56CDA8" w14:textId="77777777" w:rsidR="00BE36FB" w:rsidRPr="009B7B35" w:rsidRDefault="00BE36FB" w:rsidP="001A7107">
            <w:pPr>
              <w:pStyle w:val="TableText"/>
              <w:rPr>
                <w:rFonts w:cs="Arial"/>
                <w:b/>
                <w:bCs/>
                <w:lang w:eastAsia="en-US"/>
              </w:rPr>
            </w:pPr>
            <w:r w:rsidRPr="009B7B35">
              <w:rPr>
                <w:rFonts w:cs="Arial"/>
                <w:b/>
                <w:bCs/>
                <w:lang w:eastAsia="en-US"/>
              </w:rPr>
              <w:t>AO1.1</w:t>
            </w:r>
          </w:p>
          <w:p w14:paraId="101C5457" w14:textId="77777777" w:rsidR="00BE36FB" w:rsidRPr="009B7B35" w:rsidRDefault="00BE36FB" w:rsidP="001A7107">
            <w:pPr>
              <w:pStyle w:val="TableText"/>
              <w:rPr>
                <w:rFonts w:cs="Arial"/>
                <w:lang w:eastAsia="en-US"/>
              </w:rPr>
            </w:pPr>
            <w:r w:rsidRPr="009B7B35">
              <w:rPr>
                <w:rFonts w:cs="Arial"/>
                <w:lang w:eastAsia="en-US"/>
              </w:rPr>
              <w:t>No more than 1 caretaker’s accommodation unit is established on the site.</w:t>
            </w:r>
          </w:p>
        </w:tc>
      </w:tr>
      <w:tr w:rsidR="00BE36FB" w:rsidRPr="009B7B35" w14:paraId="6E2258D0" w14:textId="77777777" w:rsidTr="001A7107">
        <w:tc>
          <w:tcPr>
            <w:tcW w:w="4678" w:type="dxa"/>
            <w:vMerge/>
          </w:tcPr>
          <w:p w14:paraId="032F437E" w14:textId="77777777" w:rsidR="00BE36FB" w:rsidRPr="009B7B35" w:rsidRDefault="00BE36FB" w:rsidP="001A7107">
            <w:pPr>
              <w:pStyle w:val="TableText"/>
              <w:rPr>
                <w:rFonts w:cs="Arial"/>
                <w:lang w:eastAsia="en-US"/>
              </w:rPr>
            </w:pPr>
          </w:p>
        </w:tc>
        <w:tc>
          <w:tcPr>
            <w:tcW w:w="4678" w:type="dxa"/>
          </w:tcPr>
          <w:p w14:paraId="473CED26" w14:textId="77777777" w:rsidR="00BE36FB" w:rsidRPr="009B7B35" w:rsidRDefault="00BE36FB" w:rsidP="001A7107">
            <w:pPr>
              <w:pStyle w:val="TableText"/>
              <w:rPr>
                <w:rFonts w:cs="Arial"/>
                <w:b/>
                <w:bCs/>
                <w:lang w:eastAsia="en-US"/>
              </w:rPr>
            </w:pPr>
            <w:r w:rsidRPr="009B7B35">
              <w:rPr>
                <w:rFonts w:cs="Arial"/>
                <w:b/>
                <w:bCs/>
                <w:lang w:eastAsia="en-US"/>
              </w:rPr>
              <w:t>AO1.2</w:t>
            </w:r>
          </w:p>
          <w:p w14:paraId="0762A360" w14:textId="77777777" w:rsidR="00BE36FB" w:rsidRPr="009B7B35" w:rsidRDefault="00BE36FB" w:rsidP="001A7107">
            <w:pPr>
              <w:pStyle w:val="TableText"/>
              <w:rPr>
                <w:rFonts w:cs="Arial"/>
                <w:lang w:eastAsia="en-US"/>
              </w:rPr>
            </w:pPr>
            <w:r w:rsidRPr="009B7B35">
              <w:rPr>
                <w:rFonts w:cs="Arial"/>
                <w:lang w:eastAsia="en-US"/>
              </w:rPr>
              <w:t>The caretaker’s accommodation unit is a maximum of 100m</w:t>
            </w:r>
            <w:r w:rsidRPr="009B7B35">
              <w:rPr>
                <w:rFonts w:cs="Arial"/>
                <w:vertAlign w:val="superscript"/>
              </w:rPr>
              <w:t>2</w:t>
            </w:r>
            <w:r w:rsidRPr="009B7B35">
              <w:rPr>
                <w:rFonts w:cs="Arial"/>
                <w:lang w:eastAsia="en-US"/>
              </w:rPr>
              <w:t xml:space="preserve"> GFA.</w:t>
            </w:r>
          </w:p>
        </w:tc>
      </w:tr>
      <w:tr w:rsidR="00BE36FB" w:rsidRPr="009B7B35" w14:paraId="021A03E3" w14:textId="77777777" w:rsidTr="001A7107">
        <w:tc>
          <w:tcPr>
            <w:tcW w:w="9356" w:type="dxa"/>
            <w:gridSpan w:val="2"/>
            <w:shd w:val="clear" w:color="auto" w:fill="BFBFBF" w:themeFill="background1" w:themeFillShade="BF"/>
          </w:tcPr>
          <w:p w14:paraId="36B61395"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Sales office</w:t>
            </w:r>
          </w:p>
        </w:tc>
      </w:tr>
      <w:tr w:rsidR="00BE36FB" w:rsidRPr="009B7B35" w14:paraId="72D4E45C" w14:textId="77777777" w:rsidTr="001A7107">
        <w:tc>
          <w:tcPr>
            <w:tcW w:w="4678" w:type="dxa"/>
            <w:vMerge w:val="restart"/>
          </w:tcPr>
          <w:p w14:paraId="3B13DD41" w14:textId="77777777" w:rsidR="00BE36FB" w:rsidRPr="009B7B35" w:rsidRDefault="00BE36FB" w:rsidP="001A7107">
            <w:pPr>
              <w:pStyle w:val="TableText"/>
              <w:rPr>
                <w:rFonts w:cs="Arial"/>
                <w:b/>
                <w:bCs/>
                <w:lang w:eastAsia="en-US"/>
              </w:rPr>
            </w:pPr>
            <w:r w:rsidRPr="009B7B35">
              <w:rPr>
                <w:rFonts w:cs="Arial"/>
                <w:b/>
                <w:bCs/>
                <w:lang w:eastAsia="en-US"/>
              </w:rPr>
              <w:t>PO2</w:t>
            </w:r>
          </w:p>
          <w:p w14:paraId="041BCC87" w14:textId="77777777" w:rsidR="00BE36FB" w:rsidRPr="009B7B35" w:rsidRDefault="00BE36FB" w:rsidP="001A7107">
            <w:pPr>
              <w:pStyle w:val="TableText"/>
              <w:rPr>
                <w:rFonts w:cs="Arial"/>
                <w:lang w:eastAsia="en-US"/>
              </w:rPr>
            </w:pPr>
            <w:r w:rsidRPr="009B7B35">
              <w:rPr>
                <w:rFonts w:cs="Arial"/>
                <w:lang w:eastAsia="en-US"/>
              </w:rPr>
              <w:t>The use does not adversely impact on the amenity of the surrounding land uses and local character</w:t>
            </w:r>
            <w:r w:rsidRPr="009B7B35">
              <w:rPr>
                <w:rFonts w:cs="Arial"/>
              </w:rPr>
              <w:t>.</w:t>
            </w:r>
          </w:p>
        </w:tc>
        <w:tc>
          <w:tcPr>
            <w:tcW w:w="4678" w:type="dxa"/>
          </w:tcPr>
          <w:p w14:paraId="39820D38" w14:textId="77777777" w:rsidR="00BE36FB" w:rsidRPr="009B7B35" w:rsidRDefault="00BE36FB" w:rsidP="001A7107">
            <w:pPr>
              <w:pStyle w:val="TableText"/>
              <w:rPr>
                <w:rFonts w:cs="Arial"/>
                <w:b/>
                <w:bCs/>
                <w:lang w:eastAsia="en-US"/>
              </w:rPr>
            </w:pPr>
            <w:r w:rsidRPr="009B7B35">
              <w:rPr>
                <w:rFonts w:cs="Arial"/>
                <w:b/>
                <w:bCs/>
                <w:lang w:eastAsia="en-US"/>
              </w:rPr>
              <w:t>AO2.1</w:t>
            </w:r>
          </w:p>
          <w:p w14:paraId="4D41DD55" w14:textId="77777777" w:rsidR="00BE36FB" w:rsidRPr="009B7B35" w:rsidRDefault="00BE36FB" w:rsidP="001A7107">
            <w:pPr>
              <w:pStyle w:val="TableText"/>
              <w:rPr>
                <w:rFonts w:cs="Arial"/>
                <w:lang w:eastAsia="en-US"/>
              </w:rPr>
            </w:pPr>
            <w:r w:rsidRPr="009B7B35">
              <w:rPr>
                <w:rFonts w:cs="Arial"/>
                <w:lang w:eastAsia="en-US"/>
              </w:rPr>
              <w:t>Development of the sales office is in place for no more than two years.</w:t>
            </w:r>
          </w:p>
        </w:tc>
      </w:tr>
      <w:tr w:rsidR="00BE36FB" w:rsidRPr="009B7B35" w14:paraId="341904AB" w14:textId="77777777" w:rsidTr="001A7107">
        <w:tc>
          <w:tcPr>
            <w:tcW w:w="4678" w:type="dxa"/>
            <w:vMerge/>
          </w:tcPr>
          <w:p w14:paraId="6C499F7F" w14:textId="77777777" w:rsidR="00BE36FB" w:rsidRPr="009B7B35" w:rsidRDefault="00BE36FB" w:rsidP="001A7107">
            <w:pPr>
              <w:pStyle w:val="TableText"/>
              <w:rPr>
                <w:rFonts w:cs="Arial"/>
                <w:lang w:eastAsia="en-US"/>
              </w:rPr>
            </w:pPr>
          </w:p>
        </w:tc>
        <w:tc>
          <w:tcPr>
            <w:tcW w:w="4678" w:type="dxa"/>
          </w:tcPr>
          <w:p w14:paraId="5F78B190" w14:textId="77777777" w:rsidR="00BE36FB" w:rsidRPr="009B7B35" w:rsidRDefault="00BE36FB" w:rsidP="001A7107">
            <w:pPr>
              <w:pStyle w:val="TableText"/>
              <w:rPr>
                <w:rFonts w:cs="Arial"/>
                <w:b/>
                <w:bCs/>
                <w:lang w:eastAsia="en-US"/>
              </w:rPr>
            </w:pPr>
            <w:r w:rsidRPr="009B7B35">
              <w:rPr>
                <w:rFonts w:cs="Arial"/>
                <w:b/>
                <w:bCs/>
                <w:lang w:eastAsia="en-US"/>
              </w:rPr>
              <w:t>AO2.2</w:t>
            </w:r>
          </w:p>
          <w:p w14:paraId="3440C6D7" w14:textId="77777777" w:rsidR="00BE36FB" w:rsidRPr="009B7B35" w:rsidRDefault="00BE36FB" w:rsidP="001A7107">
            <w:pPr>
              <w:pStyle w:val="TableText"/>
              <w:rPr>
                <w:rFonts w:cs="Arial"/>
                <w:lang w:eastAsia="en-US"/>
              </w:rPr>
            </w:pPr>
            <w:r w:rsidRPr="009B7B35">
              <w:rPr>
                <w:rFonts w:cs="Arial"/>
                <w:lang w:eastAsia="en-US"/>
              </w:rPr>
              <w:t>There are a maximum of 2 employees on site at any one time.</w:t>
            </w:r>
          </w:p>
        </w:tc>
      </w:tr>
      <w:tr w:rsidR="00BE36FB" w:rsidRPr="009B7B35" w14:paraId="054D3AFF" w14:textId="77777777" w:rsidTr="001A7107">
        <w:tc>
          <w:tcPr>
            <w:tcW w:w="9356" w:type="dxa"/>
            <w:gridSpan w:val="2"/>
            <w:shd w:val="clear" w:color="auto" w:fill="BFBFBF" w:themeFill="background1" w:themeFillShade="BF"/>
          </w:tcPr>
          <w:p w14:paraId="3ED4D070"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 xml:space="preserve">Building height </w:t>
            </w:r>
            <w:r w:rsidRPr="009B7B35">
              <w:rPr>
                <w:rFonts w:ascii="Arial" w:hAnsi="Arial" w:cs="Arial"/>
                <w:szCs w:val="20"/>
              </w:rPr>
              <w:t>(if involving building work)</w:t>
            </w:r>
          </w:p>
        </w:tc>
      </w:tr>
      <w:tr w:rsidR="00BE36FB" w:rsidRPr="009B7B35" w14:paraId="4CC27CB5" w14:textId="77777777" w:rsidTr="001A7107">
        <w:tc>
          <w:tcPr>
            <w:tcW w:w="4678" w:type="dxa"/>
          </w:tcPr>
          <w:p w14:paraId="7EDD0819" w14:textId="77777777" w:rsidR="00BE36FB" w:rsidRPr="009B7B35" w:rsidRDefault="00BE36FB" w:rsidP="001A7107">
            <w:pPr>
              <w:pStyle w:val="TableText"/>
              <w:rPr>
                <w:rFonts w:cs="Arial"/>
                <w:b/>
                <w:lang w:eastAsia="en-US"/>
              </w:rPr>
            </w:pPr>
            <w:r w:rsidRPr="009B7B35">
              <w:rPr>
                <w:rFonts w:cs="Arial"/>
                <w:b/>
                <w:lang w:eastAsia="en-US"/>
              </w:rPr>
              <w:t>PO3</w:t>
            </w:r>
          </w:p>
          <w:p w14:paraId="008CA185" w14:textId="77777777" w:rsidR="00BE36FB" w:rsidRPr="009B7B35" w:rsidRDefault="00BE36FB" w:rsidP="001A7107">
            <w:pPr>
              <w:pStyle w:val="TableText"/>
              <w:rPr>
                <w:rFonts w:cs="Arial"/>
                <w:lang w:eastAsia="en-US"/>
              </w:rPr>
            </w:pPr>
            <w:r w:rsidRPr="009B7B35">
              <w:rPr>
                <w:rFonts w:cs="Arial"/>
                <w:lang w:eastAsia="en-US"/>
              </w:rPr>
              <w:t>Buildings are:</w:t>
            </w:r>
          </w:p>
          <w:p w14:paraId="2E1D174D" w14:textId="77777777" w:rsidR="00BE36FB" w:rsidRPr="009B7B35" w:rsidRDefault="00BE36FB" w:rsidP="00BE36FB">
            <w:pPr>
              <w:pStyle w:val="TableText"/>
              <w:numPr>
                <w:ilvl w:val="0"/>
                <w:numId w:val="271"/>
              </w:numPr>
              <w:rPr>
                <w:rFonts w:cs="Arial"/>
                <w:lang w:eastAsia="en-US"/>
              </w:rPr>
            </w:pPr>
            <w:r w:rsidRPr="009B7B35">
              <w:rPr>
                <w:rFonts w:cs="Arial"/>
                <w:lang w:eastAsia="en-US"/>
              </w:rPr>
              <w:t>low rise, and</w:t>
            </w:r>
          </w:p>
          <w:p w14:paraId="2D13B05A" w14:textId="77777777" w:rsidR="00BE36FB" w:rsidRPr="009B7B35" w:rsidRDefault="00BE36FB" w:rsidP="00BE36FB">
            <w:pPr>
              <w:pStyle w:val="TableText"/>
              <w:numPr>
                <w:ilvl w:val="0"/>
                <w:numId w:val="271"/>
              </w:numPr>
              <w:rPr>
                <w:rFonts w:cs="Arial"/>
                <w:lang w:eastAsia="en-US"/>
              </w:rPr>
            </w:pPr>
            <w:r w:rsidRPr="009B7B35">
              <w:rPr>
                <w:rFonts w:cs="Arial"/>
                <w:lang w:eastAsia="en-US"/>
              </w:rPr>
              <w:t>consistent with the character of the area.</w:t>
            </w:r>
          </w:p>
        </w:tc>
        <w:tc>
          <w:tcPr>
            <w:tcW w:w="4678" w:type="dxa"/>
          </w:tcPr>
          <w:p w14:paraId="676147B2" w14:textId="77777777" w:rsidR="00BE36FB" w:rsidRPr="009B7B35" w:rsidRDefault="00BE36FB" w:rsidP="001A7107">
            <w:pPr>
              <w:pStyle w:val="TableText"/>
              <w:rPr>
                <w:rFonts w:cs="Arial"/>
                <w:b/>
                <w:bCs/>
                <w:lang w:eastAsia="en-US"/>
              </w:rPr>
            </w:pPr>
            <w:r w:rsidRPr="009B7B35">
              <w:rPr>
                <w:rFonts w:cs="Arial"/>
                <w:b/>
                <w:bCs/>
                <w:lang w:eastAsia="en-US"/>
              </w:rPr>
              <w:t>AO3</w:t>
            </w:r>
          </w:p>
          <w:p w14:paraId="1A085571" w14:textId="77777777" w:rsidR="00BE36FB" w:rsidRPr="009B7B35" w:rsidRDefault="00BE36FB" w:rsidP="001A7107">
            <w:pPr>
              <w:pStyle w:val="TableText"/>
              <w:rPr>
                <w:rFonts w:cs="Arial"/>
                <w:lang w:eastAsia="en-US"/>
              </w:rPr>
            </w:pPr>
            <w:r w:rsidRPr="009B7B35">
              <w:rPr>
                <w:rFonts w:cs="Arial"/>
                <w:lang w:eastAsia="en-US"/>
              </w:rPr>
              <w:t>Building height does not exceed 8.5m.</w:t>
            </w:r>
          </w:p>
        </w:tc>
      </w:tr>
      <w:tr w:rsidR="00BE36FB" w:rsidRPr="009B7B35" w14:paraId="4759D8D2" w14:textId="77777777" w:rsidTr="001A7107">
        <w:tc>
          <w:tcPr>
            <w:tcW w:w="9356" w:type="dxa"/>
            <w:gridSpan w:val="2"/>
          </w:tcPr>
          <w:p w14:paraId="5C370F7B"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For all assessable development</w:t>
            </w:r>
          </w:p>
        </w:tc>
      </w:tr>
      <w:tr w:rsidR="00BE36FB" w:rsidRPr="009B7B35" w14:paraId="0F407256" w14:textId="77777777" w:rsidTr="001A7107">
        <w:tc>
          <w:tcPr>
            <w:tcW w:w="9356" w:type="dxa"/>
            <w:gridSpan w:val="2"/>
            <w:shd w:val="clear" w:color="auto" w:fill="BFBFBF" w:themeFill="background1" w:themeFillShade="BF"/>
          </w:tcPr>
          <w:p w14:paraId="5CDFC2C9"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Uses</w:t>
            </w:r>
          </w:p>
        </w:tc>
      </w:tr>
      <w:tr w:rsidR="00BE36FB" w:rsidRPr="009B7B35" w14:paraId="3D42B4BA" w14:textId="77777777" w:rsidTr="001A7107">
        <w:tc>
          <w:tcPr>
            <w:tcW w:w="4678" w:type="dxa"/>
          </w:tcPr>
          <w:p w14:paraId="366F1480" w14:textId="77777777" w:rsidR="00BE36FB" w:rsidRPr="009B7B35" w:rsidRDefault="00BE36FB" w:rsidP="001A7107">
            <w:pPr>
              <w:pStyle w:val="TableText"/>
              <w:rPr>
                <w:rFonts w:cs="Arial"/>
                <w:b/>
                <w:bCs/>
                <w:lang w:eastAsia="en-US"/>
              </w:rPr>
            </w:pPr>
            <w:r w:rsidRPr="009B7B35">
              <w:rPr>
                <w:rFonts w:cs="Arial"/>
                <w:b/>
                <w:bCs/>
                <w:lang w:eastAsia="en-US"/>
              </w:rPr>
              <w:t>PO4</w:t>
            </w:r>
          </w:p>
          <w:p w14:paraId="5E72425F" w14:textId="77777777" w:rsidR="00BE36FB" w:rsidRPr="009B7B35" w:rsidRDefault="00BE36FB" w:rsidP="001A7107">
            <w:pPr>
              <w:pStyle w:val="TableText"/>
              <w:rPr>
                <w:rFonts w:cs="Arial"/>
                <w:lang w:eastAsia="en-US"/>
              </w:rPr>
            </w:pPr>
            <w:r w:rsidRPr="009B7B35">
              <w:rPr>
                <w:rFonts w:cs="Arial"/>
                <w:lang w:eastAsia="en-US"/>
              </w:rPr>
              <w:t>Development does not reduce or preclude the long–term use of land within the industry investigation area for industrial purposes.</w:t>
            </w:r>
          </w:p>
        </w:tc>
        <w:tc>
          <w:tcPr>
            <w:tcW w:w="4678" w:type="dxa"/>
          </w:tcPr>
          <w:p w14:paraId="6069287A"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252BBEA7" w14:textId="77777777" w:rsidTr="001A7107">
        <w:tc>
          <w:tcPr>
            <w:tcW w:w="9356" w:type="dxa"/>
            <w:gridSpan w:val="2"/>
            <w:shd w:val="clear" w:color="auto" w:fill="BFBFBF" w:themeFill="background1" w:themeFillShade="BF"/>
          </w:tcPr>
          <w:p w14:paraId="431C0655"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Infrastructure</w:t>
            </w:r>
          </w:p>
        </w:tc>
      </w:tr>
      <w:tr w:rsidR="00BE36FB" w:rsidRPr="009B7B35" w14:paraId="2F51CC07" w14:textId="77777777" w:rsidTr="001A7107">
        <w:tc>
          <w:tcPr>
            <w:tcW w:w="4678" w:type="dxa"/>
          </w:tcPr>
          <w:p w14:paraId="1A3DC2FE" w14:textId="77777777" w:rsidR="00BE36FB" w:rsidRPr="009B7B35" w:rsidRDefault="00BE36FB" w:rsidP="001A7107">
            <w:pPr>
              <w:pStyle w:val="TableText"/>
              <w:rPr>
                <w:rFonts w:cs="Arial"/>
                <w:b/>
                <w:bCs/>
                <w:lang w:eastAsia="en-US"/>
              </w:rPr>
            </w:pPr>
            <w:r w:rsidRPr="009B7B35">
              <w:rPr>
                <w:rFonts w:cs="Arial"/>
                <w:b/>
                <w:bCs/>
                <w:lang w:eastAsia="en-US"/>
              </w:rPr>
              <w:t>PO5</w:t>
            </w:r>
          </w:p>
          <w:p w14:paraId="4E6E5833" w14:textId="77777777" w:rsidR="00BE36FB" w:rsidRPr="009B7B35" w:rsidRDefault="00BE36FB" w:rsidP="001A7107">
            <w:pPr>
              <w:pStyle w:val="TableText"/>
              <w:rPr>
                <w:rFonts w:cs="Arial"/>
                <w:lang w:eastAsia="en-US"/>
              </w:rPr>
            </w:pPr>
            <w:r w:rsidRPr="009B7B35">
              <w:rPr>
                <w:rFonts w:cs="Arial"/>
                <w:lang w:eastAsia="en-US"/>
              </w:rPr>
              <w:t>Development is serviced with infrastructure commensurate with its needs.</w:t>
            </w:r>
          </w:p>
        </w:tc>
        <w:tc>
          <w:tcPr>
            <w:tcW w:w="4678" w:type="dxa"/>
          </w:tcPr>
          <w:p w14:paraId="7A3A72C4"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3EFBB172" w14:textId="77777777" w:rsidTr="001A7107">
        <w:tc>
          <w:tcPr>
            <w:tcW w:w="9356" w:type="dxa"/>
            <w:gridSpan w:val="2"/>
            <w:shd w:val="clear" w:color="auto" w:fill="BFBFBF" w:themeFill="background1" w:themeFillShade="BF"/>
          </w:tcPr>
          <w:p w14:paraId="700D0813"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Effects of development</w:t>
            </w:r>
          </w:p>
        </w:tc>
      </w:tr>
      <w:tr w:rsidR="00BE36FB" w:rsidRPr="009B7B35" w14:paraId="2EC51791" w14:textId="77777777" w:rsidTr="001A7107">
        <w:tc>
          <w:tcPr>
            <w:tcW w:w="4678" w:type="dxa"/>
          </w:tcPr>
          <w:p w14:paraId="58D335A9"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PO6</w:t>
            </w:r>
          </w:p>
          <w:p w14:paraId="39BE66AB" w14:textId="77777777" w:rsidR="00BE36FB" w:rsidRPr="009B7B35" w:rsidRDefault="00BE36FB" w:rsidP="001A7107">
            <w:pPr>
              <w:pStyle w:val="TableText"/>
              <w:rPr>
                <w:rFonts w:cs="Arial"/>
                <w:lang w:eastAsia="en-US"/>
              </w:rPr>
            </w:pPr>
            <w:r w:rsidRPr="009B7B35">
              <w:rPr>
                <w:rFonts w:cs="Arial"/>
                <w:lang w:eastAsia="en-US"/>
              </w:rPr>
              <w:t>Development minimises impacts on non–industrial uses, having regard to:</w:t>
            </w:r>
          </w:p>
          <w:p w14:paraId="58757288" w14:textId="77777777" w:rsidR="00BE36FB" w:rsidRPr="009B7B35" w:rsidRDefault="00BE36FB" w:rsidP="00BE36FB">
            <w:pPr>
              <w:pStyle w:val="TableText"/>
              <w:numPr>
                <w:ilvl w:val="0"/>
                <w:numId w:val="273"/>
              </w:numPr>
              <w:ind w:left="510" w:hanging="510"/>
              <w:rPr>
                <w:rFonts w:cs="Arial"/>
                <w:lang w:eastAsia="en-US"/>
              </w:rPr>
            </w:pPr>
            <w:r w:rsidRPr="009B7B35">
              <w:rPr>
                <w:rFonts w:cs="Arial"/>
                <w:lang w:eastAsia="en-US"/>
              </w:rPr>
              <w:t>noise</w:t>
            </w:r>
          </w:p>
          <w:p w14:paraId="2CB79F07" w14:textId="77777777" w:rsidR="00BE36FB" w:rsidRPr="009B7B35" w:rsidRDefault="00BE36FB" w:rsidP="00BE36FB">
            <w:pPr>
              <w:pStyle w:val="TableText"/>
              <w:numPr>
                <w:ilvl w:val="0"/>
                <w:numId w:val="273"/>
              </w:numPr>
              <w:ind w:left="510" w:hanging="510"/>
              <w:rPr>
                <w:rFonts w:cs="Arial"/>
                <w:lang w:eastAsia="en-US"/>
              </w:rPr>
            </w:pPr>
            <w:r w:rsidRPr="009B7B35">
              <w:rPr>
                <w:rFonts w:cs="Arial"/>
                <w:lang w:eastAsia="en-US"/>
              </w:rPr>
              <w:t>traffic and parking</w:t>
            </w:r>
          </w:p>
          <w:p w14:paraId="1B5C9E4C" w14:textId="77777777" w:rsidR="00BE36FB" w:rsidRPr="009B7B35" w:rsidRDefault="00BE36FB" w:rsidP="00BE36FB">
            <w:pPr>
              <w:pStyle w:val="TableText"/>
              <w:numPr>
                <w:ilvl w:val="0"/>
                <w:numId w:val="273"/>
              </w:numPr>
              <w:ind w:left="510" w:hanging="510"/>
              <w:rPr>
                <w:rFonts w:cs="Arial"/>
                <w:lang w:eastAsia="en-US"/>
              </w:rPr>
            </w:pPr>
            <w:r w:rsidRPr="009B7B35">
              <w:rPr>
                <w:rFonts w:cs="Arial"/>
                <w:lang w:eastAsia="en-US"/>
              </w:rPr>
              <w:t>visual impact</w:t>
            </w:r>
          </w:p>
          <w:p w14:paraId="4B31796A" w14:textId="77777777" w:rsidR="00BE36FB" w:rsidRPr="009B7B35" w:rsidRDefault="00BE36FB" w:rsidP="00BE36FB">
            <w:pPr>
              <w:pStyle w:val="TableText"/>
              <w:numPr>
                <w:ilvl w:val="0"/>
                <w:numId w:val="273"/>
              </w:numPr>
              <w:ind w:left="510" w:hanging="510"/>
              <w:rPr>
                <w:rFonts w:cs="Arial"/>
                <w:lang w:eastAsia="en-US"/>
              </w:rPr>
            </w:pPr>
            <w:r w:rsidRPr="009B7B35">
              <w:rPr>
                <w:rFonts w:cs="Arial"/>
                <w:lang w:eastAsia="en-US"/>
              </w:rPr>
              <w:t>vibrations</w:t>
            </w:r>
          </w:p>
          <w:p w14:paraId="440BAD00" w14:textId="77777777" w:rsidR="00BE36FB" w:rsidRPr="009B7B35" w:rsidRDefault="00BE36FB" w:rsidP="00BE36FB">
            <w:pPr>
              <w:pStyle w:val="TableText"/>
              <w:numPr>
                <w:ilvl w:val="0"/>
                <w:numId w:val="273"/>
              </w:numPr>
              <w:ind w:left="510" w:hanging="510"/>
              <w:rPr>
                <w:rFonts w:cs="Arial"/>
                <w:lang w:eastAsia="en-US"/>
              </w:rPr>
            </w:pPr>
            <w:r w:rsidRPr="009B7B35">
              <w:rPr>
                <w:rFonts w:cs="Arial"/>
                <w:lang w:eastAsia="en-US"/>
              </w:rPr>
              <w:t>signage</w:t>
            </w:r>
          </w:p>
          <w:p w14:paraId="0EF8BC82" w14:textId="77777777" w:rsidR="00BE36FB" w:rsidRPr="009B7B35" w:rsidRDefault="00BE36FB" w:rsidP="00BE36FB">
            <w:pPr>
              <w:pStyle w:val="TableText"/>
              <w:numPr>
                <w:ilvl w:val="0"/>
                <w:numId w:val="273"/>
              </w:numPr>
              <w:ind w:left="510" w:hanging="510"/>
              <w:rPr>
                <w:rFonts w:cs="Arial"/>
                <w:lang w:eastAsia="en-US"/>
              </w:rPr>
            </w:pPr>
            <w:r w:rsidRPr="009B7B35">
              <w:rPr>
                <w:rFonts w:cs="Arial"/>
                <w:lang w:eastAsia="en-US"/>
              </w:rPr>
              <w:t>odour and emissions, and</w:t>
            </w:r>
          </w:p>
          <w:p w14:paraId="77648317" w14:textId="77777777" w:rsidR="00BE36FB" w:rsidRPr="009B7B35" w:rsidRDefault="00BE36FB" w:rsidP="00BE36FB">
            <w:pPr>
              <w:pStyle w:val="TableText"/>
              <w:numPr>
                <w:ilvl w:val="0"/>
                <w:numId w:val="273"/>
              </w:numPr>
              <w:ind w:left="510" w:hanging="510"/>
              <w:rPr>
                <w:rFonts w:cs="Arial"/>
                <w:lang w:eastAsia="en-US"/>
              </w:rPr>
            </w:pPr>
            <w:r w:rsidRPr="009B7B35">
              <w:rPr>
                <w:rFonts w:cs="Arial"/>
                <w:lang w:eastAsia="en-US"/>
              </w:rPr>
              <w:t>lighting.</w:t>
            </w:r>
          </w:p>
          <w:p w14:paraId="66060E93" w14:textId="77777777" w:rsidR="00BE36FB" w:rsidRPr="009B7B35" w:rsidRDefault="00BE36FB" w:rsidP="001A7107">
            <w:pPr>
              <w:pStyle w:val="Notes"/>
              <w:rPr>
                <w:rFonts w:cs="Arial"/>
                <w:sz w:val="20"/>
                <w:szCs w:val="20"/>
                <w:lang w:eastAsia="en-US"/>
              </w:rPr>
            </w:pPr>
            <w:r w:rsidRPr="009B7B35">
              <w:rPr>
                <w:rFonts w:cs="Arial"/>
                <w:sz w:val="20"/>
                <w:szCs w:val="20"/>
                <w:lang w:eastAsia="en-US"/>
              </w:rPr>
              <w:t>Note—Applicants may be required to engage specialists to provide detailed investigations into the above matters in order to demonstrate compliance with this performance criterion.</w:t>
            </w:r>
          </w:p>
        </w:tc>
        <w:tc>
          <w:tcPr>
            <w:tcW w:w="4678" w:type="dxa"/>
          </w:tcPr>
          <w:p w14:paraId="116A1C1C"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53B55190" w14:textId="77777777" w:rsidTr="001A7107">
        <w:tc>
          <w:tcPr>
            <w:tcW w:w="4678" w:type="dxa"/>
          </w:tcPr>
          <w:p w14:paraId="5A25F4C2" w14:textId="77777777" w:rsidR="00BE36FB" w:rsidRPr="009B7B35" w:rsidRDefault="00BE36FB" w:rsidP="001A7107">
            <w:pPr>
              <w:pStyle w:val="TableText"/>
              <w:rPr>
                <w:rFonts w:cs="Arial"/>
                <w:b/>
                <w:bCs/>
                <w:lang w:eastAsia="en-US"/>
              </w:rPr>
            </w:pPr>
            <w:r w:rsidRPr="009B7B35">
              <w:rPr>
                <w:rFonts w:cs="Arial"/>
                <w:b/>
                <w:bCs/>
                <w:lang w:eastAsia="en-US"/>
              </w:rPr>
              <w:t>PO7</w:t>
            </w:r>
          </w:p>
          <w:p w14:paraId="7D2BA392" w14:textId="77777777" w:rsidR="00BE36FB" w:rsidRPr="009B7B35" w:rsidRDefault="00BE36FB" w:rsidP="001A7107">
            <w:pPr>
              <w:pStyle w:val="TableText"/>
              <w:rPr>
                <w:rFonts w:cs="Arial"/>
                <w:lang w:eastAsia="en-US"/>
              </w:rPr>
            </w:pPr>
            <w:r w:rsidRPr="009B7B35">
              <w:rPr>
                <w:rFonts w:cs="Arial"/>
                <w:lang w:eastAsia="en-US"/>
              </w:rPr>
              <w:t>Development responds sensitively to on–site and surrounding topography, drainage patterns, coastal foreshores, waterways, utility services, access, vegetation and adjoining land use, such that:</w:t>
            </w:r>
          </w:p>
          <w:p w14:paraId="0E2F03DD" w14:textId="77777777" w:rsidR="00BE36FB" w:rsidRPr="009B7B35" w:rsidRDefault="00BE36FB" w:rsidP="00BE36FB">
            <w:pPr>
              <w:pStyle w:val="TableText"/>
              <w:numPr>
                <w:ilvl w:val="0"/>
                <w:numId w:val="132"/>
              </w:numPr>
              <w:rPr>
                <w:rFonts w:cs="Arial"/>
                <w:lang w:eastAsia="en-US"/>
              </w:rPr>
            </w:pPr>
            <w:r w:rsidRPr="009B7B35">
              <w:rPr>
                <w:rFonts w:cs="Arial"/>
                <w:lang w:eastAsia="en-US"/>
              </w:rPr>
              <w:t>any hazards to people or property are avoided</w:t>
            </w:r>
          </w:p>
          <w:p w14:paraId="3CB3F773" w14:textId="77777777" w:rsidR="00BE36FB" w:rsidRPr="009B7B35" w:rsidRDefault="00BE36FB" w:rsidP="00BE36FB">
            <w:pPr>
              <w:pStyle w:val="TableText"/>
              <w:numPr>
                <w:ilvl w:val="0"/>
                <w:numId w:val="132"/>
              </w:numPr>
              <w:rPr>
                <w:rFonts w:cs="Arial"/>
                <w:lang w:eastAsia="en-US"/>
              </w:rPr>
            </w:pPr>
            <w:r w:rsidRPr="009B7B35">
              <w:rPr>
                <w:rFonts w:cs="Arial"/>
                <w:lang w:eastAsia="en-US"/>
              </w:rPr>
              <w:t>any earthworks are minimised</w:t>
            </w:r>
          </w:p>
          <w:p w14:paraId="5F28B92A" w14:textId="77777777" w:rsidR="00BE36FB" w:rsidRPr="009B7B35" w:rsidRDefault="00BE36FB" w:rsidP="00BE36FB">
            <w:pPr>
              <w:pStyle w:val="TableText"/>
              <w:numPr>
                <w:ilvl w:val="0"/>
                <w:numId w:val="132"/>
              </w:numPr>
              <w:rPr>
                <w:rFonts w:cs="Arial"/>
                <w:lang w:eastAsia="en-US"/>
              </w:rPr>
            </w:pPr>
            <w:r w:rsidRPr="009B7B35">
              <w:rPr>
                <w:rFonts w:cs="Arial"/>
                <w:lang w:eastAsia="en-US"/>
              </w:rPr>
              <w:t>the retention of natural drainage line</w:t>
            </w:r>
            <w:r w:rsidRPr="009B7B35">
              <w:rPr>
                <w:rFonts w:cs="Arial"/>
              </w:rPr>
              <w:t>s</w:t>
            </w:r>
            <w:r w:rsidRPr="009B7B35">
              <w:rPr>
                <w:rFonts w:cs="Arial"/>
                <w:lang w:eastAsia="en-US"/>
              </w:rPr>
              <w:t xml:space="preserve"> is maximised</w:t>
            </w:r>
          </w:p>
          <w:p w14:paraId="3854578D" w14:textId="77777777" w:rsidR="00BE36FB" w:rsidRPr="009B7B35" w:rsidRDefault="00BE36FB" w:rsidP="00BE36FB">
            <w:pPr>
              <w:pStyle w:val="TableText"/>
              <w:numPr>
                <w:ilvl w:val="0"/>
                <w:numId w:val="132"/>
              </w:numPr>
              <w:rPr>
                <w:rFonts w:cs="Arial"/>
                <w:lang w:eastAsia="en-US"/>
              </w:rPr>
            </w:pPr>
            <w:r w:rsidRPr="009B7B35">
              <w:rPr>
                <w:rFonts w:cs="Arial"/>
                <w:lang w:eastAsia="en-US"/>
              </w:rPr>
              <w:t>the retention of existing vegetation is maximised</w:t>
            </w:r>
          </w:p>
          <w:p w14:paraId="16AF8727" w14:textId="77777777" w:rsidR="00BE36FB" w:rsidRPr="009B7B35" w:rsidRDefault="00BE36FB" w:rsidP="00BE36FB">
            <w:pPr>
              <w:pStyle w:val="TableText"/>
              <w:numPr>
                <w:ilvl w:val="0"/>
                <w:numId w:val="132"/>
              </w:numPr>
              <w:rPr>
                <w:rFonts w:cs="Arial"/>
                <w:lang w:eastAsia="en-US"/>
              </w:rPr>
            </w:pPr>
            <w:r w:rsidRPr="009B7B35">
              <w:rPr>
                <w:rFonts w:cs="Arial"/>
                <w:lang w:eastAsia="en-US"/>
              </w:rPr>
              <w:t>damage or disruption to sewer</w:t>
            </w:r>
            <w:r w:rsidRPr="009B7B35">
              <w:rPr>
                <w:rFonts w:cs="Arial"/>
              </w:rPr>
              <w:t>age</w:t>
            </w:r>
            <w:r w:rsidRPr="009B7B35">
              <w:rPr>
                <w:rFonts w:cs="Arial"/>
                <w:lang w:eastAsia="en-US"/>
              </w:rPr>
              <w:t xml:space="preserve">, stormwater and water infrastructure is avoided, and </w:t>
            </w:r>
          </w:p>
          <w:p w14:paraId="66E0AF38" w14:textId="77777777" w:rsidR="00BE36FB" w:rsidRPr="009B7B35" w:rsidRDefault="00BE36FB" w:rsidP="00BE36FB">
            <w:pPr>
              <w:pStyle w:val="TableText"/>
              <w:numPr>
                <w:ilvl w:val="0"/>
                <w:numId w:val="132"/>
              </w:numPr>
              <w:rPr>
                <w:rFonts w:cs="Arial"/>
                <w:lang w:eastAsia="en-US"/>
              </w:rPr>
            </w:pPr>
            <w:r w:rsidRPr="009B7B35">
              <w:rPr>
                <w:rFonts w:cs="Arial"/>
                <w:lang w:eastAsia="en-US"/>
              </w:rPr>
              <w:t>there is adequate buffering, screening or separation to adjoining development.</w:t>
            </w:r>
          </w:p>
        </w:tc>
        <w:tc>
          <w:tcPr>
            <w:tcW w:w="4678" w:type="dxa"/>
          </w:tcPr>
          <w:p w14:paraId="54AEDF32"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177F9F70" w14:textId="77777777" w:rsidTr="001A7107">
        <w:tc>
          <w:tcPr>
            <w:tcW w:w="9356" w:type="dxa"/>
            <w:gridSpan w:val="2"/>
            <w:shd w:val="clear" w:color="auto" w:fill="BFBFBF" w:themeFill="background1" w:themeFillShade="BF"/>
          </w:tcPr>
          <w:p w14:paraId="6E06D754"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Outdoor sport and recreation</w:t>
            </w:r>
          </w:p>
        </w:tc>
      </w:tr>
      <w:tr w:rsidR="00BE36FB" w:rsidRPr="009B7B35" w14:paraId="24E8006F" w14:textId="77777777" w:rsidTr="001A7107">
        <w:tc>
          <w:tcPr>
            <w:tcW w:w="4678" w:type="dxa"/>
          </w:tcPr>
          <w:p w14:paraId="16145126" w14:textId="77777777" w:rsidR="00BE36FB" w:rsidRPr="009B7B35" w:rsidRDefault="00BE36FB" w:rsidP="001A7107">
            <w:pPr>
              <w:pStyle w:val="TableText"/>
              <w:rPr>
                <w:rFonts w:cs="Arial"/>
                <w:b/>
                <w:bCs/>
                <w:lang w:eastAsia="en-US"/>
              </w:rPr>
            </w:pPr>
            <w:r w:rsidRPr="009B7B35">
              <w:rPr>
                <w:rFonts w:cs="Arial"/>
                <w:b/>
                <w:bCs/>
                <w:lang w:eastAsia="en-US"/>
              </w:rPr>
              <w:t>PO8</w:t>
            </w:r>
          </w:p>
          <w:p w14:paraId="2479E0E5" w14:textId="77777777" w:rsidR="00BE36FB" w:rsidRPr="009B7B35" w:rsidRDefault="00BE36FB" w:rsidP="001A7107">
            <w:pPr>
              <w:pStyle w:val="TableText"/>
              <w:rPr>
                <w:rFonts w:cs="Arial"/>
                <w:lang w:eastAsia="en-US"/>
              </w:rPr>
            </w:pPr>
            <w:r w:rsidRPr="009B7B35">
              <w:rPr>
                <w:rFonts w:cs="Arial"/>
                <w:lang w:eastAsia="en-US"/>
              </w:rPr>
              <w:t>All buildings must:</w:t>
            </w:r>
          </w:p>
          <w:p w14:paraId="72B56C9B" w14:textId="77777777" w:rsidR="00BE36FB" w:rsidRPr="009B7B35" w:rsidRDefault="00BE36FB" w:rsidP="00BE36FB">
            <w:pPr>
              <w:pStyle w:val="TableText"/>
              <w:numPr>
                <w:ilvl w:val="0"/>
                <w:numId w:val="133"/>
              </w:numPr>
              <w:rPr>
                <w:rFonts w:cs="Arial"/>
                <w:lang w:eastAsia="en-US"/>
              </w:rPr>
            </w:pPr>
            <w:r w:rsidRPr="009B7B35">
              <w:rPr>
                <w:rFonts w:cs="Arial"/>
                <w:lang w:eastAsia="en-US"/>
              </w:rPr>
              <w:t xml:space="preserve">be associated with the </w:t>
            </w:r>
            <w:r w:rsidRPr="009B7B35">
              <w:rPr>
                <w:rFonts w:cs="Arial"/>
              </w:rPr>
              <w:t>O</w:t>
            </w:r>
            <w:r w:rsidRPr="009B7B35">
              <w:rPr>
                <w:rFonts w:cs="Arial"/>
                <w:lang w:eastAsia="en-US"/>
              </w:rPr>
              <w:t>utdoor sport and recreation activity, and</w:t>
            </w:r>
          </w:p>
          <w:p w14:paraId="35147816" w14:textId="77777777" w:rsidR="00BE36FB" w:rsidRPr="009B7B35" w:rsidRDefault="00BE36FB" w:rsidP="00BE36FB">
            <w:pPr>
              <w:pStyle w:val="TableText"/>
              <w:numPr>
                <w:ilvl w:val="0"/>
                <w:numId w:val="133"/>
              </w:numPr>
              <w:rPr>
                <w:rFonts w:cs="Arial"/>
                <w:lang w:eastAsia="en-US"/>
              </w:rPr>
            </w:pPr>
            <w:r w:rsidRPr="009B7B35">
              <w:rPr>
                <w:rFonts w:cs="Arial"/>
                <w:lang w:eastAsia="en-US"/>
              </w:rPr>
              <w:t>low in scale and density.</w:t>
            </w:r>
          </w:p>
        </w:tc>
        <w:tc>
          <w:tcPr>
            <w:tcW w:w="4678" w:type="dxa"/>
          </w:tcPr>
          <w:p w14:paraId="6D4FAE8B"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53C8050E" w14:textId="77777777" w:rsidTr="001A7107">
        <w:tc>
          <w:tcPr>
            <w:tcW w:w="4678" w:type="dxa"/>
            <w:vMerge w:val="restart"/>
          </w:tcPr>
          <w:p w14:paraId="73657890" w14:textId="77777777" w:rsidR="00BE36FB" w:rsidRPr="009B7B35" w:rsidRDefault="00BE36FB" w:rsidP="001A7107">
            <w:pPr>
              <w:pStyle w:val="TableText"/>
              <w:rPr>
                <w:rFonts w:cs="Arial"/>
                <w:b/>
                <w:bCs/>
                <w:lang w:eastAsia="en-US"/>
              </w:rPr>
            </w:pPr>
            <w:r w:rsidRPr="009B7B35">
              <w:rPr>
                <w:rFonts w:cs="Arial"/>
                <w:b/>
                <w:bCs/>
                <w:lang w:eastAsia="en-US"/>
              </w:rPr>
              <w:t>PO9</w:t>
            </w:r>
          </w:p>
          <w:p w14:paraId="16CF2F24" w14:textId="77777777" w:rsidR="00BE36FB" w:rsidRPr="009B7B35" w:rsidRDefault="00BE36FB" w:rsidP="001A7107">
            <w:pPr>
              <w:pStyle w:val="TableText"/>
              <w:rPr>
                <w:rFonts w:cs="Arial"/>
                <w:lang w:eastAsia="en-US"/>
              </w:rPr>
            </w:pPr>
            <w:r w:rsidRPr="009B7B35">
              <w:rPr>
                <w:rFonts w:cs="Arial"/>
                <w:lang w:eastAsia="en-US"/>
              </w:rPr>
              <w:t>Outdoor lighting does not adversely affect the amenity of adjoining properties or create a traffic hazard on adjacent roads.</w:t>
            </w:r>
          </w:p>
        </w:tc>
        <w:tc>
          <w:tcPr>
            <w:tcW w:w="4678" w:type="dxa"/>
          </w:tcPr>
          <w:p w14:paraId="25503140" w14:textId="77777777" w:rsidR="00BE36FB" w:rsidRPr="009B7B35" w:rsidRDefault="00BE36FB" w:rsidP="001A7107">
            <w:pPr>
              <w:pStyle w:val="TableText"/>
              <w:rPr>
                <w:rFonts w:cs="Arial"/>
                <w:b/>
                <w:bCs/>
                <w:lang w:eastAsia="en-US"/>
              </w:rPr>
            </w:pPr>
            <w:r w:rsidRPr="009B7B35">
              <w:rPr>
                <w:rFonts w:cs="Arial"/>
                <w:b/>
                <w:bCs/>
                <w:lang w:eastAsia="en-US"/>
              </w:rPr>
              <w:t>AO9.1</w:t>
            </w:r>
          </w:p>
          <w:p w14:paraId="107E2E6F" w14:textId="77777777" w:rsidR="00BE36FB" w:rsidRPr="009B7B35" w:rsidRDefault="00BE36FB" w:rsidP="001A7107">
            <w:pPr>
              <w:pStyle w:val="TableText"/>
              <w:rPr>
                <w:rFonts w:cs="Arial"/>
                <w:lang w:eastAsia="en-US"/>
              </w:rPr>
            </w:pPr>
            <w:r w:rsidRPr="009B7B35">
              <w:rPr>
                <w:rFonts w:cs="Arial"/>
                <w:lang w:eastAsia="en-US"/>
              </w:rPr>
              <w:t xml:space="preserve">Light emanating from any source complies with </w:t>
            </w:r>
            <w:r w:rsidRPr="009B7B35">
              <w:rPr>
                <w:rStyle w:val="StyleItalic"/>
                <w:rFonts w:cs="Arial"/>
              </w:rPr>
              <w:t>Australian Standard AS4282 Control of the Obtrusive Effects of Outdoor Lighting</w:t>
            </w:r>
            <w:r w:rsidRPr="009B7B35">
              <w:rPr>
                <w:rFonts w:cs="Arial"/>
                <w:lang w:eastAsia="en-US"/>
              </w:rPr>
              <w:t xml:space="preserve"> as amended.</w:t>
            </w:r>
          </w:p>
        </w:tc>
      </w:tr>
      <w:tr w:rsidR="00BE36FB" w:rsidRPr="009B7B35" w14:paraId="46F9B4DA" w14:textId="77777777" w:rsidTr="001A7107">
        <w:tc>
          <w:tcPr>
            <w:tcW w:w="4678" w:type="dxa"/>
            <w:vMerge/>
          </w:tcPr>
          <w:p w14:paraId="3B76D4C9" w14:textId="77777777" w:rsidR="00BE36FB" w:rsidRPr="009B7B35" w:rsidRDefault="00BE36FB" w:rsidP="001A7107">
            <w:pPr>
              <w:pStyle w:val="TableText"/>
              <w:rPr>
                <w:rFonts w:cs="Arial"/>
                <w:lang w:eastAsia="en-US"/>
              </w:rPr>
            </w:pPr>
          </w:p>
        </w:tc>
        <w:tc>
          <w:tcPr>
            <w:tcW w:w="4678" w:type="dxa"/>
          </w:tcPr>
          <w:p w14:paraId="58CDEFAC" w14:textId="77777777" w:rsidR="00BE36FB" w:rsidRPr="009B7B35" w:rsidRDefault="00BE36FB" w:rsidP="001A7107">
            <w:pPr>
              <w:pStyle w:val="TableText"/>
              <w:rPr>
                <w:rFonts w:cs="Arial"/>
                <w:b/>
                <w:bCs/>
                <w:lang w:eastAsia="en-US"/>
              </w:rPr>
            </w:pPr>
            <w:r w:rsidRPr="009B7B35">
              <w:rPr>
                <w:rFonts w:cs="Arial"/>
                <w:b/>
                <w:bCs/>
                <w:lang w:eastAsia="en-US"/>
              </w:rPr>
              <w:t>AO9.2</w:t>
            </w:r>
          </w:p>
          <w:p w14:paraId="6F706C5A" w14:textId="77777777" w:rsidR="00BE36FB" w:rsidRPr="009B7B35" w:rsidRDefault="00BE36FB" w:rsidP="001A7107">
            <w:pPr>
              <w:pStyle w:val="TableText"/>
              <w:rPr>
                <w:rFonts w:cs="Arial"/>
                <w:lang w:eastAsia="en-US"/>
              </w:rPr>
            </w:pPr>
            <w:r w:rsidRPr="009B7B35">
              <w:rPr>
                <w:rFonts w:cs="Arial"/>
                <w:lang w:eastAsia="en-US"/>
              </w:rPr>
              <w:t xml:space="preserve">Outdoor lighting is provided in accordance with </w:t>
            </w:r>
            <w:r w:rsidRPr="009B7B35">
              <w:rPr>
                <w:rStyle w:val="StyleItalic"/>
                <w:rFonts w:cs="Arial"/>
              </w:rPr>
              <w:t xml:space="preserve">Australian Standard AS1158.1.1 – Road Lighting – Vehicular Traffic (Category V) Lighting – Performance and Installation Design Requirements </w:t>
            </w:r>
            <w:r w:rsidRPr="009B7B35">
              <w:rPr>
                <w:rFonts w:cs="Arial"/>
                <w:lang w:eastAsia="en-US"/>
              </w:rPr>
              <w:t>as amended.</w:t>
            </w:r>
          </w:p>
        </w:tc>
      </w:tr>
    </w:tbl>
    <w:p w14:paraId="749BE848" w14:textId="77777777" w:rsidR="00BE36FB" w:rsidRPr="009B7B35" w:rsidRDefault="00BE36FB" w:rsidP="001A7107">
      <w:pPr>
        <w:rPr>
          <w:rFonts w:ascii="Arial" w:hAnsi="Arial" w:cs="Arial"/>
          <w:sz w:val="20"/>
          <w:szCs w:val="20"/>
        </w:rPr>
      </w:pPr>
    </w:p>
    <w:p w14:paraId="1C2B113D"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3B410709" w14:textId="77777777" w:rsidR="00BE36FB" w:rsidRPr="009B7B35" w:rsidRDefault="00BE36FB" w:rsidP="006776DA">
      <w:pPr>
        <w:pStyle w:val="Heading3"/>
        <w:keepLines/>
        <w:numPr>
          <w:ilvl w:val="2"/>
          <w:numId w:val="883"/>
        </w:numPr>
        <w:spacing w:before="240"/>
        <w:rPr>
          <w:rFonts w:ascii="Arial" w:hAnsi="Arial"/>
          <w:sz w:val="20"/>
          <w:szCs w:val="20"/>
        </w:rPr>
      </w:pPr>
      <w:bookmarkStart w:id="198" w:name="_Toc205367361"/>
      <w:r w:rsidRPr="009B7B35">
        <w:rPr>
          <w:rFonts w:ascii="Arial" w:hAnsi="Arial"/>
          <w:sz w:val="20"/>
          <w:szCs w:val="20"/>
        </w:rPr>
        <w:t>Major tourism</w:t>
      </w:r>
      <w:bookmarkEnd w:id="198"/>
    </w:p>
    <w:p w14:paraId="48B7AEC0"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49B7C45B" w14:textId="77777777"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assessing development where the code is identified as applicable in the table of assessment for the major tourism zone. When using this code, reference should be made to section 5.3.2 and where applicable, section 5.3.3 located in Part 5.</w:t>
      </w:r>
    </w:p>
    <w:p w14:paraId="29F4B146"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2B419895" w14:textId="77777777" w:rsidR="00BE36FB" w:rsidRPr="009B7B35" w:rsidRDefault="00BE36FB" w:rsidP="00BE36FB">
      <w:pPr>
        <w:numPr>
          <w:ilvl w:val="0"/>
          <w:numId w:val="134"/>
        </w:numPr>
        <w:rPr>
          <w:rFonts w:ascii="Arial" w:hAnsi="Arial" w:cs="Arial"/>
          <w:sz w:val="20"/>
          <w:szCs w:val="20"/>
          <w:lang w:eastAsia="en-US"/>
        </w:rPr>
      </w:pPr>
      <w:r w:rsidRPr="009B7B35">
        <w:rPr>
          <w:rFonts w:ascii="Arial" w:hAnsi="Arial" w:cs="Arial"/>
          <w:sz w:val="20"/>
          <w:szCs w:val="20"/>
          <w:lang w:eastAsia="en-US"/>
        </w:rPr>
        <w:t>The purpose of the major tourism zone code is to provide for:</w:t>
      </w:r>
    </w:p>
    <w:p w14:paraId="0E8750EB" w14:textId="77777777"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rPr>
        <w:t>I</w:t>
      </w:r>
      <w:r w:rsidRPr="009B7B35">
        <w:rPr>
          <w:rFonts w:ascii="Arial" w:hAnsi="Arial" w:cs="Arial"/>
          <w:sz w:val="20"/>
          <w:szCs w:val="20"/>
          <w:lang w:eastAsia="en-US"/>
        </w:rPr>
        <w:t xml:space="preserve">ntegrated resort complexes and facilities </w:t>
      </w:r>
      <w:r w:rsidRPr="009B7B35">
        <w:rPr>
          <w:rFonts w:ascii="Arial" w:hAnsi="Arial" w:cs="Arial"/>
          <w:sz w:val="20"/>
          <w:szCs w:val="20"/>
        </w:rPr>
        <w:t>on parts of Heron Island, Quoin Island, Wilson Island and Lady Elliot Island that meet the needs of tourists at a scale consistent with the islands environmental values</w:t>
      </w:r>
      <w:r w:rsidRPr="009B7B35">
        <w:rPr>
          <w:rFonts w:ascii="Arial" w:hAnsi="Arial" w:cs="Arial"/>
          <w:sz w:val="20"/>
          <w:szCs w:val="20"/>
          <w:lang w:eastAsia="en-US"/>
        </w:rPr>
        <w:t>.</w:t>
      </w:r>
    </w:p>
    <w:p w14:paraId="7837F11A" w14:textId="77777777"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 xml:space="preserve">A mix of uses including tourist facilities, resort complexes, tourist attractions, short–term accommodation, retail, education, </w:t>
      </w:r>
      <w:r w:rsidRPr="009B7B35">
        <w:rPr>
          <w:rFonts w:ascii="Arial" w:hAnsi="Arial" w:cs="Arial"/>
          <w:sz w:val="20"/>
          <w:szCs w:val="20"/>
        </w:rPr>
        <w:t xml:space="preserve">research, </w:t>
      </w:r>
      <w:r w:rsidRPr="009B7B35">
        <w:rPr>
          <w:rFonts w:ascii="Arial" w:hAnsi="Arial" w:cs="Arial"/>
          <w:sz w:val="20"/>
          <w:szCs w:val="20"/>
          <w:lang w:eastAsia="en-US"/>
        </w:rPr>
        <w:t>community purpose, recreation and open space that support the needs of tourists and visitors.</w:t>
      </w:r>
    </w:p>
    <w:p w14:paraId="15297952" w14:textId="77777777"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Permanent residential accommodation only for management and employed personnel may be appropriate.</w:t>
      </w:r>
    </w:p>
    <w:p w14:paraId="731FF077" w14:textId="77777777" w:rsidR="00BE36FB" w:rsidRPr="009B7B35" w:rsidRDefault="00BE36FB" w:rsidP="00BE36FB">
      <w:pPr>
        <w:pStyle w:val="NormalIndent"/>
        <w:numPr>
          <w:ilvl w:val="0"/>
          <w:numId w:val="134"/>
        </w:numPr>
        <w:rPr>
          <w:rFonts w:cs="Arial"/>
          <w:szCs w:val="20"/>
          <w:lang w:eastAsia="en-US"/>
        </w:rPr>
      </w:pPr>
      <w:r w:rsidRPr="009B7B35">
        <w:rPr>
          <w:rFonts w:cs="Arial"/>
          <w:szCs w:val="20"/>
          <w:lang w:eastAsia="en-US"/>
        </w:rPr>
        <w:t>The purpose of the zone will be achieved through the following overall outcomes:</w:t>
      </w:r>
    </w:p>
    <w:p w14:paraId="2B58EF7B" w14:textId="77777777"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rPr>
        <w:t xml:space="preserve">Uses </w:t>
      </w:r>
      <w:r w:rsidRPr="009B7B35">
        <w:rPr>
          <w:rFonts w:ascii="Arial" w:hAnsi="Arial" w:cs="Arial"/>
          <w:sz w:val="20"/>
          <w:szCs w:val="20"/>
          <w:lang w:eastAsia="en-US"/>
        </w:rPr>
        <w:t>are subordinate to or directly associated with tourism activities particularly where included as part of an integrated development.</w:t>
      </w:r>
    </w:p>
    <w:p w14:paraId="0DE80B0B" w14:textId="77777777"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A range of accommodation</w:t>
      </w:r>
      <w:r w:rsidRPr="009B7B35">
        <w:rPr>
          <w:rFonts w:ascii="Arial" w:hAnsi="Arial" w:cs="Arial"/>
          <w:sz w:val="20"/>
          <w:szCs w:val="20"/>
        </w:rPr>
        <w:t xml:space="preserve"> densities and types are provided to meet the </w:t>
      </w:r>
      <w:r w:rsidRPr="009B7B35">
        <w:rPr>
          <w:rFonts w:ascii="Arial" w:hAnsi="Arial" w:cs="Arial"/>
          <w:sz w:val="20"/>
          <w:szCs w:val="20"/>
          <w:lang w:eastAsia="en-US"/>
        </w:rPr>
        <w:t>needs of tourists, visitors, management and staff.</w:t>
      </w:r>
    </w:p>
    <w:p w14:paraId="19FC51CE" w14:textId="77777777"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Development protects and enhances the unique local, scenic, environmental, cultural and historic character of the locality.</w:t>
      </w:r>
    </w:p>
    <w:p w14:paraId="7FDB1723" w14:textId="77777777"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Development services the needs of tourists, visitors and staff.</w:t>
      </w:r>
    </w:p>
    <w:p w14:paraId="1313889D" w14:textId="77777777"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Development provides a high level of amenity.</w:t>
      </w:r>
    </w:p>
    <w:p w14:paraId="6F6C9BEA" w14:textId="77777777"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Development minimises adverse impacts on ecological values.</w:t>
      </w:r>
    </w:p>
    <w:p w14:paraId="34A658A5" w14:textId="77777777" w:rsidR="00BE36FB" w:rsidRPr="009B7B35" w:rsidRDefault="00BE36FB" w:rsidP="00BE36FB">
      <w:pPr>
        <w:numPr>
          <w:ilvl w:val="1"/>
          <w:numId w:val="134"/>
        </w:numPr>
        <w:rPr>
          <w:rFonts w:ascii="Arial" w:hAnsi="Arial" w:cs="Arial"/>
          <w:sz w:val="20"/>
          <w:szCs w:val="20"/>
          <w:lang w:eastAsia="en-US"/>
        </w:rPr>
      </w:pPr>
      <w:r w:rsidRPr="009B7B35">
        <w:rPr>
          <w:rFonts w:ascii="Arial" w:hAnsi="Arial" w:cs="Arial"/>
          <w:sz w:val="20"/>
          <w:szCs w:val="20"/>
          <w:lang w:eastAsia="en-US"/>
        </w:rPr>
        <w:t xml:space="preserve">Development responds to land </w:t>
      </w:r>
      <w:r w:rsidRPr="009B7B35">
        <w:rPr>
          <w:rFonts w:ascii="Arial" w:hAnsi="Arial" w:cs="Arial"/>
          <w:sz w:val="20"/>
          <w:szCs w:val="20"/>
        </w:rPr>
        <w:t xml:space="preserve">and infrastructure </w:t>
      </w:r>
      <w:r w:rsidRPr="009B7B35">
        <w:rPr>
          <w:rFonts w:ascii="Arial" w:hAnsi="Arial" w:cs="Arial"/>
          <w:sz w:val="20"/>
          <w:szCs w:val="20"/>
          <w:lang w:eastAsia="en-US"/>
        </w:rPr>
        <w:t>constraints including topography, bushfire, flooding and coastal hazards.</w:t>
      </w:r>
    </w:p>
    <w:p w14:paraId="6CA37680"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5605EE0E" w14:textId="77777777" w:rsidR="00BE36FB" w:rsidRPr="009B7B35" w:rsidRDefault="00BE36FB" w:rsidP="003A35DA">
      <w:pPr>
        <w:pStyle w:val="Heading5"/>
        <w:numPr>
          <w:ilvl w:val="0"/>
          <w:numId w:val="0"/>
        </w:numPr>
        <w:rPr>
          <w:rFonts w:cs="Arial"/>
          <w:szCs w:val="20"/>
        </w:rPr>
      </w:pPr>
      <w:r w:rsidRPr="009B7B35">
        <w:rPr>
          <w:rFonts w:cs="Arial"/>
          <w:szCs w:val="20"/>
          <w:lang w:eastAsia="en-US"/>
        </w:rPr>
        <w:t>Table 6.2.16.3.1—</w:t>
      </w:r>
      <w:r w:rsidRPr="009B7B35">
        <w:rPr>
          <w:rFonts w:cs="Arial"/>
          <w:szCs w:val="20"/>
        </w:rPr>
        <w:t xml:space="preserve">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14:paraId="3E34CBF7"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3C8A7C1B" w14:textId="77777777" w:rsidR="00BE36FB" w:rsidRPr="009B7B35" w:rsidRDefault="00BE36FB" w:rsidP="001A7107">
            <w:pPr>
              <w:pStyle w:val="TableText"/>
              <w:rPr>
                <w:rFonts w:cs="Arial"/>
                <w:lang w:eastAsia="en-US"/>
              </w:rPr>
            </w:pPr>
            <w:r w:rsidRPr="009B7B35">
              <w:rPr>
                <w:rFonts w:cs="Arial"/>
                <w:lang w:eastAsia="en-US"/>
              </w:rPr>
              <w:t>Performance outcomes</w:t>
            </w:r>
          </w:p>
        </w:tc>
        <w:tc>
          <w:tcPr>
            <w:tcW w:w="4678" w:type="dxa"/>
          </w:tcPr>
          <w:p w14:paraId="27C7FCAA" w14:textId="77777777" w:rsidR="00BE36FB" w:rsidRPr="009B7B35" w:rsidRDefault="00BE36FB" w:rsidP="001A7107">
            <w:pPr>
              <w:pStyle w:val="TableText"/>
              <w:rPr>
                <w:rFonts w:cs="Arial"/>
                <w:lang w:eastAsia="en-US"/>
              </w:rPr>
            </w:pPr>
            <w:r w:rsidRPr="009B7B35">
              <w:rPr>
                <w:rFonts w:cs="Arial"/>
                <w:lang w:eastAsia="en-US"/>
              </w:rPr>
              <w:t>Acceptable outcomes</w:t>
            </w:r>
          </w:p>
        </w:tc>
      </w:tr>
      <w:tr w:rsidR="00BE36FB" w:rsidRPr="009B7B35" w14:paraId="2A82B1A7" w14:textId="77777777" w:rsidTr="001A7107">
        <w:trPr>
          <w:cantSplit/>
        </w:trPr>
        <w:tc>
          <w:tcPr>
            <w:tcW w:w="9356" w:type="dxa"/>
            <w:gridSpan w:val="2"/>
            <w:shd w:val="clear" w:color="auto" w:fill="BFBFBF" w:themeFill="background1" w:themeFillShade="BF"/>
          </w:tcPr>
          <w:p w14:paraId="0A81A424"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Caretaker’s accommodation</w:t>
            </w:r>
          </w:p>
        </w:tc>
      </w:tr>
      <w:tr w:rsidR="00BE36FB" w:rsidRPr="009B7B35" w14:paraId="2C71B5B2" w14:textId="77777777" w:rsidTr="001A7107">
        <w:trPr>
          <w:cantSplit/>
        </w:trPr>
        <w:tc>
          <w:tcPr>
            <w:tcW w:w="4678" w:type="dxa"/>
            <w:vMerge w:val="restart"/>
          </w:tcPr>
          <w:p w14:paraId="72E60C76" w14:textId="77777777" w:rsidR="00BE36FB" w:rsidRPr="009B7B35" w:rsidRDefault="00BE36FB" w:rsidP="001A7107">
            <w:pPr>
              <w:pStyle w:val="TableText"/>
              <w:rPr>
                <w:rFonts w:cs="Arial"/>
                <w:b/>
                <w:bCs/>
              </w:rPr>
            </w:pPr>
            <w:r w:rsidRPr="009B7B35">
              <w:rPr>
                <w:rFonts w:cs="Arial"/>
                <w:b/>
                <w:bCs/>
              </w:rPr>
              <w:t>PO1</w:t>
            </w:r>
          </w:p>
          <w:p w14:paraId="7E78FEED" w14:textId="77777777" w:rsidR="00BE36FB" w:rsidRPr="009B7B35" w:rsidRDefault="00BE36FB" w:rsidP="001A7107">
            <w:pPr>
              <w:pStyle w:val="TableText"/>
              <w:rPr>
                <w:rFonts w:cs="Arial"/>
                <w:lang w:eastAsia="en-US"/>
              </w:rPr>
            </w:pPr>
            <w:r w:rsidRPr="009B7B35">
              <w:rPr>
                <w:rFonts w:cs="Arial"/>
                <w:lang w:eastAsia="en-US"/>
              </w:rPr>
              <w:t>Development is:</w:t>
            </w:r>
          </w:p>
          <w:p w14:paraId="02D8D83E" w14:textId="77777777" w:rsidR="00BE36FB" w:rsidRPr="009B7B35" w:rsidRDefault="00BE36FB" w:rsidP="00BE36FB">
            <w:pPr>
              <w:pStyle w:val="TableText"/>
              <w:numPr>
                <w:ilvl w:val="0"/>
                <w:numId w:val="275"/>
              </w:numPr>
              <w:ind w:left="510" w:hanging="510"/>
              <w:rPr>
                <w:rFonts w:cs="Arial"/>
                <w:lang w:eastAsia="en-US"/>
              </w:rPr>
            </w:pPr>
            <w:r w:rsidRPr="009B7B35">
              <w:rPr>
                <w:rFonts w:cs="Arial"/>
                <w:lang w:eastAsia="en-US"/>
              </w:rPr>
              <w:t>ancillary to the primary use, and</w:t>
            </w:r>
          </w:p>
          <w:p w14:paraId="53EC65AA" w14:textId="77777777" w:rsidR="00BE36FB" w:rsidRPr="009B7B35" w:rsidRDefault="00BE36FB" w:rsidP="00BE36FB">
            <w:pPr>
              <w:pStyle w:val="TableText"/>
              <w:numPr>
                <w:ilvl w:val="0"/>
                <w:numId w:val="275"/>
              </w:numPr>
              <w:ind w:left="510" w:hanging="510"/>
              <w:rPr>
                <w:rFonts w:cs="Arial"/>
                <w:lang w:eastAsia="en-US"/>
              </w:rPr>
            </w:pPr>
            <w:r w:rsidRPr="009B7B35">
              <w:rPr>
                <w:rFonts w:cs="Arial"/>
                <w:lang w:eastAsia="en-US"/>
              </w:rPr>
              <w:t>does not compromise the low density, open space character of this area.</w:t>
            </w:r>
          </w:p>
        </w:tc>
        <w:tc>
          <w:tcPr>
            <w:tcW w:w="4678" w:type="dxa"/>
          </w:tcPr>
          <w:p w14:paraId="2F050BDE" w14:textId="77777777" w:rsidR="00BE36FB" w:rsidRPr="009B7B35" w:rsidRDefault="00BE36FB" w:rsidP="001A7107">
            <w:pPr>
              <w:pStyle w:val="TableText"/>
              <w:rPr>
                <w:rFonts w:cs="Arial"/>
                <w:b/>
                <w:bCs/>
                <w:lang w:eastAsia="en-US"/>
              </w:rPr>
            </w:pPr>
            <w:r w:rsidRPr="009B7B35">
              <w:rPr>
                <w:rFonts w:cs="Arial"/>
                <w:b/>
                <w:bCs/>
                <w:lang w:eastAsia="en-US"/>
              </w:rPr>
              <w:t>AO1.1</w:t>
            </w:r>
          </w:p>
          <w:p w14:paraId="6FA51DB6" w14:textId="77777777" w:rsidR="00BE36FB" w:rsidRPr="009B7B35" w:rsidRDefault="00BE36FB" w:rsidP="001A7107">
            <w:pPr>
              <w:pStyle w:val="TableText"/>
              <w:rPr>
                <w:rFonts w:cs="Arial"/>
                <w:lang w:eastAsia="en-US"/>
              </w:rPr>
            </w:pPr>
            <w:r w:rsidRPr="009B7B35">
              <w:rPr>
                <w:rFonts w:cs="Arial"/>
                <w:lang w:eastAsia="en-US"/>
              </w:rPr>
              <w:t>No more than 1 caretaker’s accommodation unit is established on the site.</w:t>
            </w:r>
          </w:p>
        </w:tc>
      </w:tr>
      <w:tr w:rsidR="00BE36FB" w:rsidRPr="009B7B35" w14:paraId="1F5526A7" w14:textId="77777777" w:rsidTr="001A7107">
        <w:trPr>
          <w:cantSplit/>
        </w:trPr>
        <w:tc>
          <w:tcPr>
            <w:tcW w:w="4678" w:type="dxa"/>
            <w:vMerge/>
          </w:tcPr>
          <w:p w14:paraId="21543AC4" w14:textId="77777777" w:rsidR="00BE36FB" w:rsidRPr="009B7B35" w:rsidRDefault="00BE36FB" w:rsidP="001A7107">
            <w:pPr>
              <w:pStyle w:val="TableText"/>
              <w:rPr>
                <w:rFonts w:cs="Arial"/>
                <w:lang w:eastAsia="en-US"/>
              </w:rPr>
            </w:pPr>
          </w:p>
        </w:tc>
        <w:tc>
          <w:tcPr>
            <w:tcW w:w="4678" w:type="dxa"/>
          </w:tcPr>
          <w:p w14:paraId="375F4785" w14:textId="77777777" w:rsidR="00BE36FB" w:rsidRPr="009B7B35" w:rsidRDefault="00BE36FB" w:rsidP="001A7107">
            <w:pPr>
              <w:pStyle w:val="TableText"/>
              <w:rPr>
                <w:rFonts w:cs="Arial"/>
                <w:b/>
                <w:bCs/>
                <w:lang w:eastAsia="en-US"/>
              </w:rPr>
            </w:pPr>
            <w:r w:rsidRPr="009B7B35">
              <w:rPr>
                <w:rFonts w:cs="Arial"/>
                <w:b/>
                <w:bCs/>
                <w:lang w:eastAsia="en-US"/>
              </w:rPr>
              <w:t>AO1.2</w:t>
            </w:r>
          </w:p>
          <w:p w14:paraId="5D479CBF" w14:textId="77777777" w:rsidR="00BE36FB" w:rsidRPr="009B7B35" w:rsidRDefault="00BE36FB" w:rsidP="001A7107">
            <w:pPr>
              <w:pStyle w:val="TableText"/>
              <w:rPr>
                <w:rFonts w:cs="Arial"/>
                <w:lang w:eastAsia="en-US"/>
              </w:rPr>
            </w:pPr>
            <w:r w:rsidRPr="009B7B35">
              <w:rPr>
                <w:rFonts w:cs="Arial"/>
                <w:lang w:eastAsia="en-US"/>
              </w:rPr>
              <w:t>Caretaker's accommodation is a maximum of 100m</w:t>
            </w:r>
            <w:r w:rsidRPr="009B7B35">
              <w:rPr>
                <w:rFonts w:cs="Arial"/>
                <w:vertAlign w:val="superscript"/>
                <w:lang w:eastAsia="en-US"/>
              </w:rPr>
              <w:t>2</w:t>
            </w:r>
            <w:r w:rsidRPr="009B7B35">
              <w:rPr>
                <w:rFonts w:cs="Arial"/>
                <w:lang w:eastAsia="en-US"/>
              </w:rPr>
              <w:t xml:space="preserve"> GFA.</w:t>
            </w:r>
          </w:p>
        </w:tc>
      </w:tr>
      <w:tr w:rsidR="00BE36FB" w:rsidRPr="009B7B35" w14:paraId="63AA7555" w14:textId="77777777" w:rsidTr="001A7107">
        <w:trPr>
          <w:cantSplit/>
        </w:trPr>
        <w:tc>
          <w:tcPr>
            <w:tcW w:w="9356" w:type="dxa"/>
            <w:gridSpan w:val="2"/>
            <w:shd w:val="clear" w:color="auto" w:fill="BFBFBF" w:themeFill="background1" w:themeFillShade="BF"/>
          </w:tcPr>
          <w:p w14:paraId="20B8914A"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 xml:space="preserve">Built form </w:t>
            </w:r>
            <w:r w:rsidRPr="009B7B35">
              <w:rPr>
                <w:rFonts w:ascii="Arial" w:hAnsi="Arial" w:cs="Arial"/>
                <w:szCs w:val="20"/>
              </w:rPr>
              <w:t>(if involving building work)</w:t>
            </w:r>
          </w:p>
        </w:tc>
      </w:tr>
      <w:tr w:rsidR="00BE36FB" w:rsidRPr="009B7B35" w14:paraId="211A1F08" w14:textId="77777777" w:rsidTr="001A7107">
        <w:tc>
          <w:tcPr>
            <w:tcW w:w="4678" w:type="dxa"/>
          </w:tcPr>
          <w:p w14:paraId="1D643997" w14:textId="77777777" w:rsidR="00BE36FB" w:rsidRPr="009B7B35" w:rsidRDefault="00BE36FB" w:rsidP="001A7107">
            <w:pPr>
              <w:pStyle w:val="TableText"/>
              <w:rPr>
                <w:rFonts w:cs="Arial"/>
                <w:b/>
                <w:bCs/>
                <w:lang w:eastAsia="en-US"/>
              </w:rPr>
            </w:pPr>
            <w:r w:rsidRPr="009B7B35">
              <w:rPr>
                <w:rFonts w:cs="Arial"/>
                <w:b/>
                <w:bCs/>
                <w:lang w:eastAsia="en-US"/>
              </w:rPr>
              <w:t>PO2</w:t>
            </w:r>
          </w:p>
          <w:p w14:paraId="29020510" w14:textId="77777777" w:rsidR="00BE36FB" w:rsidRPr="009B7B35" w:rsidRDefault="00BE36FB" w:rsidP="001A7107">
            <w:pPr>
              <w:pStyle w:val="TableText"/>
              <w:rPr>
                <w:rFonts w:cs="Arial"/>
                <w:lang w:eastAsia="en-US"/>
              </w:rPr>
            </w:pPr>
            <w:r w:rsidRPr="009B7B35">
              <w:rPr>
                <w:rFonts w:cs="Arial"/>
                <w:lang w:eastAsia="en-US"/>
              </w:rPr>
              <w:t>Buildings and other structures:</w:t>
            </w:r>
          </w:p>
          <w:p w14:paraId="4D88FAEC" w14:textId="77777777" w:rsidR="00BE36FB" w:rsidRPr="009B7B35" w:rsidRDefault="00BE36FB" w:rsidP="00BE36FB">
            <w:pPr>
              <w:pStyle w:val="TableText"/>
              <w:numPr>
                <w:ilvl w:val="0"/>
                <w:numId w:val="274"/>
              </w:numPr>
              <w:rPr>
                <w:rFonts w:cs="Arial"/>
                <w:lang w:eastAsia="en-US"/>
              </w:rPr>
            </w:pPr>
            <w:r w:rsidRPr="009B7B35">
              <w:rPr>
                <w:rFonts w:cs="Arial"/>
                <w:lang w:eastAsia="en-US"/>
              </w:rPr>
              <w:t>are low rise, and</w:t>
            </w:r>
          </w:p>
          <w:p w14:paraId="1B0F0DD9" w14:textId="77777777" w:rsidR="00BE36FB" w:rsidRPr="009B7B35" w:rsidRDefault="00BE36FB" w:rsidP="00BE36FB">
            <w:pPr>
              <w:pStyle w:val="TableText"/>
              <w:numPr>
                <w:ilvl w:val="0"/>
                <w:numId w:val="274"/>
              </w:numPr>
              <w:rPr>
                <w:rFonts w:cs="Arial"/>
                <w:lang w:eastAsia="en-US"/>
              </w:rPr>
            </w:pPr>
            <w:r w:rsidRPr="009B7B35">
              <w:rPr>
                <w:rFonts w:cs="Arial"/>
                <w:lang w:eastAsia="en-US"/>
              </w:rPr>
              <w:t>reflect a low density that maintains open space and coastal character.</w:t>
            </w:r>
          </w:p>
        </w:tc>
        <w:tc>
          <w:tcPr>
            <w:tcW w:w="4678" w:type="dxa"/>
          </w:tcPr>
          <w:p w14:paraId="2B92F6B4" w14:textId="77777777" w:rsidR="00BE36FB" w:rsidRPr="009B7B35" w:rsidRDefault="00BE36FB" w:rsidP="001A7107">
            <w:pPr>
              <w:pStyle w:val="TableText"/>
              <w:rPr>
                <w:rFonts w:cs="Arial"/>
                <w:b/>
                <w:bCs/>
                <w:lang w:eastAsia="en-US"/>
              </w:rPr>
            </w:pPr>
            <w:r w:rsidRPr="009B7B35">
              <w:rPr>
                <w:rFonts w:cs="Arial"/>
                <w:b/>
                <w:bCs/>
                <w:lang w:eastAsia="en-US"/>
              </w:rPr>
              <w:t>AO2</w:t>
            </w:r>
          </w:p>
          <w:p w14:paraId="400F2C0F" w14:textId="77777777" w:rsidR="00BE36FB" w:rsidRPr="009B7B35" w:rsidRDefault="00BE36FB" w:rsidP="001A7107">
            <w:pPr>
              <w:pStyle w:val="TableText"/>
              <w:rPr>
                <w:rFonts w:cs="Arial"/>
                <w:lang w:eastAsia="en-US"/>
              </w:rPr>
            </w:pPr>
            <w:r w:rsidRPr="009B7B35">
              <w:rPr>
                <w:rFonts w:cs="Arial"/>
                <w:lang w:eastAsia="en-US"/>
              </w:rPr>
              <w:t>Building height does not exceed 8.5m.</w:t>
            </w:r>
          </w:p>
        </w:tc>
      </w:tr>
      <w:tr w:rsidR="00BE36FB" w:rsidRPr="009B7B35" w14:paraId="68FEABC2" w14:textId="77777777" w:rsidTr="001A7107">
        <w:tc>
          <w:tcPr>
            <w:tcW w:w="9356" w:type="dxa"/>
            <w:gridSpan w:val="2"/>
          </w:tcPr>
          <w:p w14:paraId="022538BF"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For all assessable development</w:t>
            </w:r>
          </w:p>
        </w:tc>
      </w:tr>
      <w:tr w:rsidR="00BE36FB" w:rsidRPr="009B7B35" w14:paraId="411DEB16" w14:textId="77777777" w:rsidTr="001A7107">
        <w:tc>
          <w:tcPr>
            <w:tcW w:w="9356" w:type="dxa"/>
            <w:gridSpan w:val="2"/>
            <w:shd w:val="clear" w:color="auto" w:fill="BFBFBF" w:themeFill="background1" w:themeFillShade="BF"/>
          </w:tcPr>
          <w:p w14:paraId="0D103069"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Land use</w:t>
            </w:r>
          </w:p>
        </w:tc>
      </w:tr>
      <w:tr w:rsidR="00BE36FB" w:rsidRPr="009B7B35" w14:paraId="13955062" w14:textId="77777777" w:rsidTr="001A7107">
        <w:tc>
          <w:tcPr>
            <w:tcW w:w="4678" w:type="dxa"/>
          </w:tcPr>
          <w:p w14:paraId="33D074A6" w14:textId="77777777" w:rsidR="00BE36FB" w:rsidRPr="009B7B35" w:rsidRDefault="00BE36FB" w:rsidP="001A7107">
            <w:pPr>
              <w:pStyle w:val="TableText"/>
              <w:rPr>
                <w:rFonts w:cs="Arial"/>
                <w:b/>
                <w:bCs/>
                <w:lang w:eastAsia="en-US"/>
              </w:rPr>
            </w:pPr>
            <w:r w:rsidRPr="009B7B35">
              <w:rPr>
                <w:rFonts w:cs="Arial"/>
                <w:b/>
                <w:bCs/>
                <w:lang w:eastAsia="en-US"/>
              </w:rPr>
              <w:t>PO3</w:t>
            </w:r>
          </w:p>
          <w:p w14:paraId="5F17CCFC" w14:textId="77777777" w:rsidR="00BE36FB" w:rsidRPr="009B7B35" w:rsidRDefault="00BE36FB" w:rsidP="001A7107">
            <w:pPr>
              <w:pStyle w:val="TableText"/>
              <w:rPr>
                <w:rFonts w:cs="Arial"/>
                <w:lang w:eastAsia="en-US"/>
              </w:rPr>
            </w:pPr>
            <w:r w:rsidRPr="009B7B35">
              <w:rPr>
                <w:rFonts w:cs="Arial"/>
                <w:lang w:eastAsia="en-US"/>
              </w:rPr>
              <w:t>Non–tourism uses occur only where they:</w:t>
            </w:r>
          </w:p>
          <w:p w14:paraId="2F1FC0BB" w14:textId="77777777" w:rsidR="00BE36FB" w:rsidRPr="009B7B35" w:rsidRDefault="00BE36FB" w:rsidP="00BE36FB">
            <w:pPr>
              <w:pStyle w:val="TableText"/>
              <w:numPr>
                <w:ilvl w:val="0"/>
                <w:numId w:val="276"/>
              </w:numPr>
              <w:rPr>
                <w:rFonts w:cs="Arial"/>
                <w:lang w:eastAsia="en-US"/>
              </w:rPr>
            </w:pPr>
            <w:r w:rsidRPr="009B7B35">
              <w:rPr>
                <w:rFonts w:cs="Arial"/>
                <w:lang w:eastAsia="en-US"/>
              </w:rPr>
              <w:t>are ancillary uses that are part of a resort complex, nature based tourism activity or other related tourist activity</w:t>
            </w:r>
          </w:p>
          <w:p w14:paraId="70318FF6" w14:textId="77777777" w:rsidR="00BE36FB" w:rsidRPr="009B7B35" w:rsidRDefault="00BE36FB" w:rsidP="00BE36FB">
            <w:pPr>
              <w:pStyle w:val="TableText"/>
              <w:numPr>
                <w:ilvl w:val="0"/>
                <w:numId w:val="276"/>
              </w:numPr>
              <w:rPr>
                <w:rFonts w:cs="Arial"/>
                <w:lang w:eastAsia="en-US"/>
              </w:rPr>
            </w:pPr>
            <w:r w:rsidRPr="009B7B35">
              <w:rPr>
                <w:rFonts w:cs="Arial"/>
                <w:lang w:eastAsia="en-US"/>
              </w:rPr>
              <w:t>are small–scale</w:t>
            </w:r>
          </w:p>
          <w:p w14:paraId="386CBBE4" w14:textId="77777777" w:rsidR="00BE36FB" w:rsidRPr="009B7B35" w:rsidRDefault="00BE36FB" w:rsidP="00BE36FB">
            <w:pPr>
              <w:pStyle w:val="TableText"/>
              <w:numPr>
                <w:ilvl w:val="0"/>
                <w:numId w:val="276"/>
              </w:numPr>
              <w:rPr>
                <w:rFonts w:cs="Arial"/>
                <w:lang w:eastAsia="en-US"/>
              </w:rPr>
            </w:pPr>
            <w:r w:rsidRPr="009B7B35">
              <w:rPr>
                <w:rFonts w:cs="Arial"/>
                <w:lang w:eastAsia="en-US"/>
              </w:rPr>
              <w:t>support the development of the zone for short–term tourist accommodation purposes</w:t>
            </w:r>
            <w:r w:rsidRPr="009B7B35">
              <w:rPr>
                <w:rFonts w:cs="Arial"/>
              </w:rPr>
              <w:t>; or</w:t>
            </w:r>
          </w:p>
          <w:p w14:paraId="3E70E67B" w14:textId="77777777" w:rsidR="00BE36FB" w:rsidRPr="009B7B35" w:rsidRDefault="00BE36FB" w:rsidP="00BE36FB">
            <w:pPr>
              <w:pStyle w:val="TableText"/>
              <w:numPr>
                <w:ilvl w:val="0"/>
                <w:numId w:val="276"/>
              </w:numPr>
              <w:rPr>
                <w:rFonts w:cs="Arial"/>
                <w:lang w:eastAsia="en-US"/>
              </w:rPr>
            </w:pPr>
            <w:r w:rsidRPr="009B7B35">
              <w:rPr>
                <w:rFonts w:cs="Arial"/>
              </w:rPr>
              <w:t>are for educational or research purposes.</w:t>
            </w:r>
            <w:r w:rsidRPr="009B7B35">
              <w:rPr>
                <w:rFonts w:cs="Arial"/>
                <w:lang w:eastAsia="en-US"/>
              </w:rPr>
              <w:t xml:space="preserve"> </w:t>
            </w:r>
          </w:p>
        </w:tc>
        <w:tc>
          <w:tcPr>
            <w:tcW w:w="4678" w:type="dxa"/>
          </w:tcPr>
          <w:p w14:paraId="0C46CF8F"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50E0F95C" w14:textId="77777777" w:rsidTr="001A7107">
        <w:trPr>
          <w:cantSplit/>
        </w:trPr>
        <w:tc>
          <w:tcPr>
            <w:tcW w:w="9356" w:type="dxa"/>
            <w:gridSpan w:val="2"/>
            <w:shd w:val="clear" w:color="auto" w:fill="BFBFBF" w:themeFill="background1" w:themeFillShade="BF"/>
          </w:tcPr>
          <w:p w14:paraId="62397240"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Design</w:t>
            </w:r>
          </w:p>
        </w:tc>
      </w:tr>
      <w:tr w:rsidR="00BE36FB" w:rsidRPr="009B7B35" w14:paraId="7D818E1D" w14:textId="77777777" w:rsidTr="001A7107">
        <w:trPr>
          <w:cantSplit/>
        </w:trPr>
        <w:tc>
          <w:tcPr>
            <w:tcW w:w="4678" w:type="dxa"/>
          </w:tcPr>
          <w:p w14:paraId="61CB1EC7"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PO4</w:t>
            </w:r>
          </w:p>
          <w:p w14:paraId="4868A8C3" w14:textId="77777777" w:rsidR="00BE36FB" w:rsidRPr="009B7B35" w:rsidRDefault="00BE36FB" w:rsidP="001A7107">
            <w:pPr>
              <w:pStyle w:val="TableText"/>
              <w:rPr>
                <w:rFonts w:cs="Arial"/>
                <w:lang w:eastAsia="en-US"/>
              </w:rPr>
            </w:pPr>
            <w:r w:rsidRPr="009B7B35">
              <w:rPr>
                <w:rFonts w:cs="Arial"/>
                <w:lang w:eastAsia="en-US"/>
              </w:rPr>
              <w:t>Residential uses for visitors are designed to provide adequate:</w:t>
            </w:r>
          </w:p>
          <w:p w14:paraId="721F0CF7" w14:textId="77777777" w:rsidR="00BE36FB" w:rsidRPr="009B7B35" w:rsidRDefault="00BE36FB" w:rsidP="00BE36FB">
            <w:pPr>
              <w:pStyle w:val="TableText"/>
              <w:numPr>
                <w:ilvl w:val="0"/>
                <w:numId w:val="277"/>
              </w:numPr>
              <w:rPr>
                <w:rFonts w:cs="Arial"/>
                <w:lang w:eastAsia="en-US"/>
              </w:rPr>
            </w:pPr>
            <w:r w:rsidRPr="009B7B35">
              <w:rPr>
                <w:rFonts w:cs="Arial"/>
                <w:lang w:eastAsia="en-US"/>
              </w:rPr>
              <w:t>private open space</w:t>
            </w:r>
          </w:p>
          <w:p w14:paraId="2C414E8D" w14:textId="77777777" w:rsidR="00BE36FB" w:rsidRPr="009B7B35" w:rsidRDefault="00BE36FB" w:rsidP="00BE36FB">
            <w:pPr>
              <w:pStyle w:val="TableText"/>
              <w:numPr>
                <w:ilvl w:val="0"/>
                <w:numId w:val="277"/>
              </w:numPr>
              <w:rPr>
                <w:rFonts w:cs="Arial"/>
                <w:lang w:eastAsia="en-US"/>
              </w:rPr>
            </w:pPr>
            <w:r w:rsidRPr="009B7B35">
              <w:rPr>
                <w:rFonts w:cs="Arial"/>
                <w:lang w:eastAsia="en-US"/>
              </w:rPr>
              <w:t>communal open space, and</w:t>
            </w:r>
          </w:p>
          <w:p w14:paraId="606F4393" w14:textId="77777777" w:rsidR="00BE36FB" w:rsidRPr="009B7B35" w:rsidRDefault="00BE36FB" w:rsidP="00BE36FB">
            <w:pPr>
              <w:pStyle w:val="TableText"/>
              <w:numPr>
                <w:ilvl w:val="0"/>
                <w:numId w:val="277"/>
              </w:numPr>
              <w:rPr>
                <w:rFonts w:cs="Arial"/>
                <w:lang w:eastAsia="en-US"/>
              </w:rPr>
            </w:pPr>
            <w:r w:rsidRPr="009B7B35">
              <w:rPr>
                <w:rFonts w:cs="Arial"/>
                <w:lang w:eastAsia="en-US"/>
              </w:rPr>
              <w:t xml:space="preserve">services and facilities to support intended short term stays. </w:t>
            </w:r>
          </w:p>
        </w:tc>
        <w:tc>
          <w:tcPr>
            <w:tcW w:w="4678" w:type="dxa"/>
          </w:tcPr>
          <w:p w14:paraId="27803BC4"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5B4AB6E0" w14:textId="77777777" w:rsidTr="001A7107">
        <w:trPr>
          <w:cantSplit/>
        </w:trPr>
        <w:tc>
          <w:tcPr>
            <w:tcW w:w="4678" w:type="dxa"/>
          </w:tcPr>
          <w:p w14:paraId="6E35EC6A" w14:textId="77777777" w:rsidR="00BE36FB" w:rsidRPr="009B7B35" w:rsidRDefault="00BE36FB" w:rsidP="001A7107">
            <w:pPr>
              <w:pStyle w:val="TableText"/>
              <w:rPr>
                <w:rFonts w:cs="Arial"/>
                <w:b/>
                <w:bCs/>
                <w:lang w:eastAsia="en-US"/>
              </w:rPr>
            </w:pPr>
            <w:r w:rsidRPr="009B7B35">
              <w:rPr>
                <w:rFonts w:cs="Arial"/>
                <w:b/>
                <w:bCs/>
                <w:lang w:eastAsia="en-US"/>
              </w:rPr>
              <w:t>PO5</w:t>
            </w:r>
          </w:p>
          <w:p w14:paraId="25BB7E58" w14:textId="77777777" w:rsidR="00BE36FB" w:rsidRPr="009B7B35" w:rsidRDefault="00BE36FB" w:rsidP="001A7107">
            <w:pPr>
              <w:pStyle w:val="TableText"/>
              <w:rPr>
                <w:rFonts w:cs="Arial"/>
                <w:lang w:eastAsia="en-US"/>
              </w:rPr>
            </w:pPr>
            <w:r w:rsidRPr="009B7B35">
              <w:rPr>
                <w:rFonts w:cs="Arial"/>
                <w:lang w:eastAsia="en-US"/>
              </w:rPr>
              <w:t>Buildings and structures do not compromise local, scenic, environmental and amenity values.</w:t>
            </w:r>
          </w:p>
        </w:tc>
        <w:tc>
          <w:tcPr>
            <w:tcW w:w="4678" w:type="dxa"/>
          </w:tcPr>
          <w:p w14:paraId="24EAB5BC"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5E3E1753" w14:textId="77777777" w:rsidTr="001A7107">
        <w:tc>
          <w:tcPr>
            <w:tcW w:w="4678" w:type="dxa"/>
          </w:tcPr>
          <w:p w14:paraId="5C569773" w14:textId="77777777" w:rsidR="00BE36FB" w:rsidRPr="009B7B35" w:rsidRDefault="00BE36FB" w:rsidP="001A7107">
            <w:pPr>
              <w:pStyle w:val="TableText"/>
              <w:rPr>
                <w:rFonts w:cs="Arial"/>
                <w:b/>
                <w:bCs/>
                <w:lang w:eastAsia="en-US"/>
              </w:rPr>
            </w:pPr>
            <w:r w:rsidRPr="009B7B35">
              <w:rPr>
                <w:rFonts w:cs="Arial"/>
                <w:b/>
                <w:bCs/>
                <w:lang w:eastAsia="en-US"/>
              </w:rPr>
              <w:t>PO6</w:t>
            </w:r>
          </w:p>
          <w:p w14:paraId="00FCFC16" w14:textId="77777777" w:rsidR="00BE36FB" w:rsidRPr="009B7B35" w:rsidRDefault="00BE36FB" w:rsidP="001A7107">
            <w:pPr>
              <w:pStyle w:val="TableText"/>
              <w:rPr>
                <w:rFonts w:cs="Arial"/>
                <w:lang w:eastAsia="en-US"/>
              </w:rPr>
            </w:pPr>
            <w:r w:rsidRPr="009B7B35">
              <w:rPr>
                <w:rFonts w:cs="Arial"/>
                <w:lang w:eastAsia="en-US"/>
              </w:rPr>
              <w:t>Development provides for public access to foreshore areas except where:</w:t>
            </w:r>
          </w:p>
          <w:p w14:paraId="045F7B4A" w14:textId="77777777" w:rsidR="00BE36FB" w:rsidRPr="009B7B35" w:rsidRDefault="00BE36FB" w:rsidP="00BE36FB">
            <w:pPr>
              <w:pStyle w:val="TableText"/>
              <w:numPr>
                <w:ilvl w:val="0"/>
                <w:numId w:val="278"/>
              </w:numPr>
              <w:ind w:left="510" w:hanging="510"/>
              <w:rPr>
                <w:rFonts w:cs="Arial"/>
                <w:lang w:eastAsia="en-US"/>
              </w:rPr>
            </w:pPr>
            <w:r w:rsidRPr="009B7B35">
              <w:rPr>
                <w:rFonts w:cs="Arial"/>
                <w:lang w:eastAsia="en-US"/>
              </w:rPr>
              <w:t>environmental values are adversely impacted, and</w:t>
            </w:r>
          </w:p>
          <w:p w14:paraId="5E096833" w14:textId="77777777" w:rsidR="00BE36FB" w:rsidRPr="009B7B35" w:rsidRDefault="00BE36FB" w:rsidP="00BE36FB">
            <w:pPr>
              <w:pStyle w:val="TableText"/>
              <w:numPr>
                <w:ilvl w:val="0"/>
                <w:numId w:val="278"/>
              </w:numPr>
              <w:ind w:left="510" w:hanging="510"/>
              <w:rPr>
                <w:rFonts w:cs="Arial"/>
                <w:lang w:eastAsia="en-US"/>
              </w:rPr>
            </w:pPr>
            <w:r w:rsidRPr="009B7B35">
              <w:rPr>
                <w:rFonts w:cs="Arial"/>
                <w:lang w:eastAsia="en-US"/>
              </w:rPr>
              <w:t>there is a risk to public safety.</w:t>
            </w:r>
          </w:p>
        </w:tc>
        <w:tc>
          <w:tcPr>
            <w:tcW w:w="4678" w:type="dxa"/>
          </w:tcPr>
          <w:p w14:paraId="29EF5935"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36071283" w14:textId="77777777" w:rsidTr="001A7107">
        <w:tc>
          <w:tcPr>
            <w:tcW w:w="9356" w:type="dxa"/>
            <w:gridSpan w:val="2"/>
            <w:shd w:val="clear" w:color="auto" w:fill="BFBFBF" w:themeFill="background1" w:themeFillShade="BF"/>
          </w:tcPr>
          <w:p w14:paraId="0F11B986"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Amenity</w:t>
            </w:r>
          </w:p>
        </w:tc>
      </w:tr>
      <w:tr w:rsidR="00BE36FB" w:rsidRPr="009B7B35" w14:paraId="744879E9" w14:textId="77777777" w:rsidTr="001A7107">
        <w:tc>
          <w:tcPr>
            <w:tcW w:w="4678" w:type="dxa"/>
          </w:tcPr>
          <w:p w14:paraId="485DF458" w14:textId="77777777" w:rsidR="00BE36FB" w:rsidRPr="009B7B35" w:rsidRDefault="00BE36FB" w:rsidP="001A7107">
            <w:pPr>
              <w:pStyle w:val="TableText"/>
              <w:rPr>
                <w:rFonts w:cs="Arial"/>
                <w:b/>
                <w:bCs/>
                <w:lang w:eastAsia="en-US"/>
              </w:rPr>
            </w:pPr>
            <w:r w:rsidRPr="009B7B35">
              <w:rPr>
                <w:rFonts w:cs="Arial"/>
                <w:b/>
                <w:bCs/>
                <w:lang w:eastAsia="en-US"/>
              </w:rPr>
              <w:t>PO7</w:t>
            </w:r>
          </w:p>
          <w:p w14:paraId="5773BC1E" w14:textId="77777777" w:rsidR="00BE36FB" w:rsidRPr="009B7B35" w:rsidRDefault="00BE36FB" w:rsidP="001A7107">
            <w:pPr>
              <w:pStyle w:val="TableText"/>
              <w:rPr>
                <w:rFonts w:cs="Arial"/>
                <w:lang w:eastAsia="en-US"/>
              </w:rPr>
            </w:pPr>
            <w:r w:rsidRPr="009B7B35">
              <w:rPr>
                <w:rFonts w:cs="Arial"/>
                <w:lang w:eastAsia="en-US"/>
              </w:rPr>
              <w:t>Development minimises impacts on surrounding land and uses, having regard to:</w:t>
            </w:r>
          </w:p>
          <w:p w14:paraId="0E04B72C" w14:textId="77777777" w:rsidR="00BE36FB" w:rsidRPr="009B7B35" w:rsidRDefault="00BE36FB" w:rsidP="00BE36FB">
            <w:pPr>
              <w:pStyle w:val="TableText"/>
              <w:numPr>
                <w:ilvl w:val="0"/>
                <w:numId w:val="177"/>
              </w:numPr>
              <w:rPr>
                <w:rFonts w:cs="Arial"/>
                <w:lang w:eastAsia="en-US"/>
              </w:rPr>
            </w:pPr>
            <w:r w:rsidRPr="009B7B35">
              <w:rPr>
                <w:rFonts w:cs="Arial"/>
                <w:lang w:eastAsia="en-US"/>
              </w:rPr>
              <w:t>noise</w:t>
            </w:r>
          </w:p>
          <w:p w14:paraId="65F3D884" w14:textId="77777777" w:rsidR="00BE36FB" w:rsidRPr="009B7B35" w:rsidRDefault="00BE36FB" w:rsidP="00BE36FB">
            <w:pPr>
              <w:pStyle w:val="TableText"/>
              <w:numPr>
                <w:ilvl w:val="0"/>
                <w:numId w:val="177"/>
              </w:numPr>
              <w:rPr>
                <w:rFonts w:cs="Arial"/>
                <w:lang w:eastAsia="en-US"/>
              </w:rPr>
            </w:pPr>
            <w:r w:rsidRPr="009B7B35">
              <w:rPr>
                <w:rFonts w:cs="Arial"/>
                <w:lang w:eastAsia="en-US"/>
              </w:rPr>
              <w:t>hours of operation</w:t>
            </w:r>
          </w:p>
          <w:p w14:paraId="56C62F5F" w14:textId="77777777" w:rsidR="00BE36FB" w:rsidRPr="009B7B35" w:rsidRDefault="00BE36FB" w:rsidP="00BE36FB">
            <w:pPr>
              <w:pStyle w:val="TableText"/>
              <w:numPr>
                <w:ilvl w:val="0"/>
                <w:numId w:val="177"/>
              </w:numPr>
              <w:rPr>
                <w:rFonts w:cs="Arial"/>
                <w:lang w:eastAsia="en-US"/>
              </w:rPr>
            </w:pPr>
            <w:r w:rsidRPr="009B7B35">
              <w:rPr>
                <w:rFonts w:cs="Arial"/>
                <w:lang w:eastAsia="en-US"/>
              </w:rPr>
              <w:t>visual impact</w:t>
            </w:r>
          </w:p>
          <w:p w14:paraId="0C142D2D" w14:textId="77777777" w:rsidR="00BE36FB" w:rsidRPr="009B7B35" w:rsidRDefault="00BE36FB" w:rsidP="00BE36FB">
            <w:pPr>
              <w:pStyle w:val="TableText"/>
              <w:numPr>
                <w:ilvl w:val="0"/>
                <w:numId w:val="177"/>
              </w:numPr>
              <w:rPr>
                <w:rFonts w:cs="Arial"/>
                <w:lang w:eastAsia="en-US"/>
              </w:rPr>
            </w:pPr>
            <w:r w:rsidRPr="009B7B35">
              <w:rPr>
                <w:rFonts w:cs="Arial"/>
                <w:lang w:eastAsia="en-US"/>
              </w:rPr>
              <w:t>signage</w:t>
            </w:r>
          </w:p>
          <w:p w14:paraId="7D15CCC5" w14:textId="77777777" w:rsidR="00BE36FB" w:rsidRPr="009B7B35" w:rsidRDefault="00BE36FB" w:rsidP="00BE36FB">
            <w:pPr>
              <w:pStyle w:val="TableText"/>
              <w:numPr>
                <w:ilvl w:val="0"/>
                <w:numId w:val="177"/>
              </w:numPr>
              <w:rPr>
                <w:rFonts w:cs="Arial"/>
                <w:lang w:eastAsia="en-US"/>
              </w:rPr>
            </w:pPr>
            <w:r w:rsidRPr="009B7B35">
              <w:rPr>
                <w:rFonts w:cs="Arial"/>
                <w:lang w:eastAsia="en-US"/>
              </w:rPr>
              <w:t>odour and emissions</w:t>
            </w:r>
          </w:p>
          <w:p w14:paraId="485D8EF6" w14:textId="77777777" w:rsidR="00BE36FB" w:rsidRPr="009B7B35" w:rsidRDefault="00BE36FB" w:rsidP="00BE36FB">
            <w:pPr>
              <w:pStyle w:val="TableText"/>
              <w:numPr>
                <w:ilvl w:val="0"/>
                <w:numId w:val="177"/>
              </w:numPr>
              <w:rPr>
                <w:rFonts w:cs="Arial"/>
                <w:lang w:eastAsia="en-US"/>
              </w:rPr>
            </w:pPr>
            <w:r w:rsidRPr="009B7B35">
              <w:rPr>
                <w:rFonts w:cs="Arial"/>
                <w:lang w:eastAsia="en-US"/>
              </w:rPr>
              <w:t xml:space="preserve">access to sunlight, and </w:t>
            </w:r>
          </w:p>
          <w:p w14:paraId="484254B3" w14:textId="77777777" w:rsidR="00BE36FB" w:rsidRPr="009B7B35" w:rsidRDefault="00BE36FB" w:rsidP="00BE36FB">
            <w:pPr>
              <w:pStyle w:val="TableText"/>
              <w:numPr>
                <w:ilvl w:val="0"/>
                <w:numId w:val="177"/>
              </w:numPr>
              <w:rPr>
                <w:rFonts w:cs="Arial"/>
                <w:lang w:eastAsia="en-US"/>
              </w:rPr>
            </w:pPr>
            <w:r w:rsidRPr="009B7B35">
              <w:rPr>
                <w:rFonts w:cs="Arial"/>
                <w:lang w:eastAsia="en-US"/>
              </w:rPr>
              <w:t>privacy.</w:t>
            </w:r>
          </w:p>
          <w:p w14:paraId="33B82EFF" w14:textId="77777777" w:rsidR="00BE36FB" w:rsidRPr="009B7B35" w:rsidRDefault="00BE36FB" w:rsidP="001A7107">
            <w:pPr>
              <w:pStyle w:val="Notes"/>
              <w:rPr>
                <w:rFonts w:cs="Arial"/>
                <w:sz w:val="20"/>
                <w:szCs w:val="20"/>
                <w:lang w:eastAsia="en-US"/>
              </w:rPr>
            </w:pPr>
            <w:r w:rsidRPr="009B7B35">
              <w:rPr>
                <w:rFonts w:cs="Arial"/>
                <w:sz w:val="20"/>
                <w:szCs w:val="20"/>
                <w:lang w:eastAsia="en-US"/>
              </w:rPr>
              <w:t>Note—Applicants may be required to engage specialists to provide detailed investigations into the above matters in order to demonstrate compliance with this performance outcome.</w:t>
            </w:r>
          </w:p>
        </w:tc>
        <w:tc>
          <w:tcPr>
            <w:tcW w:w="4678" w:type="dxa"/>
          </w:tcPr>
          <w:p w14:paraId="3BEFA98E"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1AE51EBF" w14:textId="77777777" w:rsidTr="001A7107">
        <w:tc>
          <w:tcPr>
            <w:tcW w:w="4678" w:type="dxa"/>
          </w:tcPr>
          <w:p w14:paraId="1B79CADF" w14:textId="77777777" w:rsidR="00BE36FB" w:rsidRPr="009B7B35" w:rsidRDefault="00BE36FB" w:rsidP="001A7107">
            <w:pPr>
              <w:pStyle w:val="TableText"/>
              <w:rPr>
                <w:rFonts w:cs="Arial"/>
                <w:b/>
                <w:bCs/>
                <w:lang w:eastAsia="en-US"/>
              </w:rPr>
            </w:pPr>
            <w:r w:rsidRPr="009B7B35">
              <w:rPr>
                <w:rFonts w:cs="Arial"/>
                <w:b/>
                <w:bCs/>
                <w:lang w:eastAsia="en-US"/>
              </w:rPr>
              <w:t>PO8</w:t>
            </w:r>
          </w:p>
          <w:p w14:paraId="2A687DCB" w14:textId="77777777" w:rsidR="00BE36FB" w:rsidRPr="009B7B35" w:rsidRDefault="00BE36FB" w:rsidP="001A7107">
            <w:pPr>
              <w:pStyle w:val="TableText"/>
              <w:rPr>
                <w:rFonts w:cs="Arial"/>
                <w:lang w:eastAsia="en-US"/>
              </w:rPr>
            </w:pPr>
            <w:r w:rsidRPr="009B7B35">
              <w:rPr>
                <w:rFonts w:cs="Arial"/>
                <w:lang w:eastAsia="en-US"/>
              </w:rPr>
              <w:t>Landscaping is provided to enhance the appearance of the development, screen unsightly components, create an attractive on–site environment and provide shading.</w:t>
            </w:r>
          </w:p>
          <w:p w14:paraId="05AE91BE" w14:textId="77777777" w:rsidR="00BE36FB" w:rsidRPr="009B7B35" w:rsidRDefault="00BE36FB" w:rsidP="001A7107">
            <w:pPr>
              <w:pStyle w:val="Notes"/>
              <w:rPr>
                <w:rFonts w:cs="Arial"/>
                <w:sz w:val="20"/>
                <w:szCs w:val="20"/>
                <w:lang w:eastAsia="en-US"/>
              </w:rPr>
            </w:pPr>
            <w:r w:rsidRPr="009B7B35">
              <w:rPr>
                <w:rFonts w:cs="Arial"/>
                <w:sz w:val="20"/>
                <w:szCs w:val="20"/>
                <w:lang w:eastAsia="en-US"/>
              </w:rPr>
              <w:t>Note—Refer also to the Landscaping code.</w:t>
            </w:r>
          </w:p>
        </w:tc>
        <w:tc>
          <w:tcPr>
            <w:tcW w:w="4678" w:type="dxa"/>
          </w:tcPr>
          <w:p w14:paraId="1519D3F5"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420B4C18" w14:textId="77777777" w:rsidTr="001A7107">
        <w:tc>
          <w:tcPr>
            <w:tcW w:w="9356" w:type="dxa"/>
            <w:gridSpan w:val="2"/>
            <w:shd w:val="clear" w:color="auto" w:fill="BFBFBF" w:themeFill="background1" w:themeFillShade="BF"/>
          </w:tcPr>
          <w:p w14:paraId="62D93677"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Protection of natural values</w:t>
            </w:r>
          </w:p>
        </w:tc>
      </w:tr>
      <w:tr w:rsidR="00BE36FB" w:rsidRPr="009B7B35" w14:paraId="3EC8E208" w14:textId="77777777" w:rsidTr="001A7107">
        <w:tc>
          <w:tcPr>
            <w:tcW w:w="4678" w:type="dxa"/>
          </w:tcPr>
          <w:p w14:paraId="46731EE4" w14:textId="77777777" w:rsidR="00BE36FB" w:rsidRPr="009B7B35" w:rsidRDefault="00BE36FB" w:rsidP="001A7107">
            <w:pPr>
              <w:pStyle w:val="TableText"/>
              <w:rPr>
                <w:rFonts w:cs="Arial"/>
                <w:b/>
                <w:bCs/>
                <w:lang w:eastAsia="en-US"/>
              </w:rPr>
            </w:pPr>
            <w:r w:rsidRPr="009B7B35">
              <w:rPr>
                <w:rFonts w:cs="Arial"/>
                <w:b/>
                <w:bCs/>
                <w:lang w:eastAsia="en-US"/>
              </w:rPr>
              <w:t>PO9</w:t>
            </w:r>
          </w:p>
          <w:p w14:paraId="4974F96E" w14:textId="77777777" w:rsidR="00BE36FB" w:rsidRPr="009B7B35" w:rsidRDefault="00BE36FB" w:rsidP="001A7107">
            <w:pPr>
              <w:pStyle w:val="TableText"/>
              <w:rPr>
                <w:rFonts w:cs="Arial"/>
                <w:lang w:eastAsia="en-US"/>
              </w:rPr>
            </w:pPr>
            <w:r w:rsidRPr="009B7B35">
              <w:rPr>
                <w:rFonts w:cs="Arial"/>
                <w:lang w:eastAsia="en-US"/>
              </w:rPr>
              <w:t xml:space="preserve">The site layout and design responds sensitively to on–site and surrounding topography, coastal foreshore areas, waterways, drainage patterns, </w:t>
            </w:r>
            <w:r w:rsidRPr="009B7B35">
              <w:rPr>
                <w:rFonts w:cs="Arial"/>
              </w:rPr>
              <w:t xml:space="preserve">and </w:t>
            </w:r>
            <w:r w:rsidRPr="009B7B35">
              <w:rPr>
                <w:rFonts w:cs="Arial"/>
                <w:lang w:eastAsia="en-US"/>
              </w:rPr>
              <w:t>ecological values</w:t>
            </w:r>
            <w:r w:rsidRPr="009B7B35">
              <w:rPr>
                <w:rFonts w:cs="Arial"/>
              </w:rPr>
              <w:t>, such that</w:t>
            </w:r>
            <w:r w:rsidRPr="009B7B35">
              <w:rPr>
                <w:rFonts w:cs="Arial"/>
                <w:lang w:eastAsia="en-US"/>
              </w:rPr>
              <w:t>:</w:t>
            </w:r>
          </w:p>
          <w:p w14:paraId="2791BA51" w14:textId="77777777" w:rsidR="00BE36FB" w:rsidRPr="009B7B35" w:rsidRDefault="00BE36FB" w:rsidP="00BE36FB">
            <w:pPr>
              <w:pStyle w:val="TableText"/>
              <w:numPr>
                <w:ilvl w:val="0"/>
                <w:numId w:val="279"/>
              </w:numPr>
              <w:rPr>
                <w:rFonts w:cs="Arial"/>
                <w:lang w:eastAsia="en-US"/>
              </w:rPr>
            </w:pPr>
            <w:r w:rsidRPr="009B7B35">
              <w:rPr>
                <w:rFonts w:cs="Arial"/>
                <w:lang w:eastAsia="en-US"/>
              </w:rPr>
              <w:t>any hazards to people or property are avoided</w:t>
            </w:r>
          </w:p>
          <w:p w14:paraId="1CA58899" w14:textId="77777777" w:rsidR="00BE36FB" w:rsidRPr="009B7B35" w:rsidRDefault="00BE36FB" w:rsidP="00BE36FB">
            <w:pPr>
              <w:pStyle w:val="TableText"/>
              <w:numPr>
                <w:ilvl w:val="0"/>
                <w:numId w:val="279"/>
              </w:numPr>
              <w:rPr>
                <w:rFonts w:cs="Arial"/>
                <w:lang w:eastAsia="en-US"/>
              </w:rPr>
            </w:pPr>
            <w:r w:rsidRPr="009B7B35">
              <w:rPr>
                <w:rFonts w:cs="Arial"/>
                <w:lang w:eastAsia="en-US"/>
              </w:rPr>
              <w:t>any earthworks are minimised</w:t>
            </w:r>
          </w:p>
          <w:p w14:paraId="157620E3" w14:textId="77777777" w:rsidR="00BE36FB" w:rsidRPr="009B7B35" w:rsidRDefault="00BE36FB" w:rsidP="00BE36FB">
            <w:pPr>
              <w:pStyle w:val="TableText"/>
              <w:numPr>
                <w:ilvl w:val="0"/>
                <w:numId w:val="279"/>
              </w:numPr>
              <w:rPr>
                <w:rFonts w:cs="Arial"/>
                <w:lang w:eastAsia="en-US"/>
              </w:rPr>
            </w:pPr>
            <w:r w:rsidRPr="009B7B35">
              <w:rPr>
                <w:rFonts w:cs="Arial"/>
                <w:lang w:eastAsia="en-US"/>
              </w:rPr>
              <w:t xml:space="preserve">the retention of natural drainage lines </w:t>
            </w:r>
            <w:r w:rsidRPr="009B7B35">
              <w:rPr>
                <w:rFonts w:cs="Arial"/>
              </w:rPr>
              <w:t>is</w:t>
            </w:r>
            <w:r w:rsidRPr="009B7B35">
              <w:rPr>
                <w:rFonts w:cs="Arial"/>
                <w:lang w:eastAsia="en-US"/>
              </w:rPr>
              <w:t xml:space="preserve"> maximised</w:t>
            </w:r>
          </w:p>
          <w:p w14:paraId="6FD86CFE" w14:textId="77777777" w:rsidR="00BE36FB" w:rsidRPr="009B7B35" w:rsidRDefault="00BE36FB" w:rsidP="00BE36FB">
            <w:pPr>
              <w:pStyle w:val="TableText"/>
              <w:numPr>
                <w:ilvl w:val="0"/>
                <w:numId w:val="279"/>
              </w:numPr>
              <w:rPr>
                <w:rFonts w:cs="Arial"/>
                <w:lang w:eastAsia="en-US"/>
              </w:rPr>
            </w:pPr>
            <w:r w:rsidRPr="009B7B35">
              <w:rPr>
                <w:rFonts w:cs="Arial"/>
                <w:lang w:eastAsia="en-US"/>
              </w:rPr>
              <w:t>the retention of existing vegetation is maximised</w:t>
            </w:r>
          </w:p>
          <w:p w14:paraId="5CDA45E1" w14:textId="77777777" w:rsidR="00BE36FB" w:rsidRPr="009B7B35" w:rsidRDefault="00BE36FB" w:rsidP="00BE36FB">
            <w:pPr>
              <w:pStyle w:val="TableText"/>
              <w:numPr>
                <w:ilvl w:val="0"/>
                <w:numId w:val="279"/>
              </w:numPr>
              <w:rPr>
                <w:rFonts w:cs="Arial"/>
                <w:lang w:eastAsia="en-US"/>
              </w:rPr>
            </w:pPr>
            <w:r w:rsidRPr="009B7B35">
              <w:rPr>
                <w:rFonts w:cs="Arial"/>
                <w:lang w:eastAsia="en-US"/>
              </w:rPr>
              <w:t>sewer</w:t>
            </w:r>
            <w:r w:rsidRPr="009B7B35">
              <w:rPr>
                <w:rFonts w:cs="Arial"/>
              </w:rPr>
              <w:t>age</w:t>
            </w:r>
            <w:r w:rsidRPr="009B7B35">
              <w:rPr>
                <w:rFonts w:cs="Arial"/>
                <w:lang w:eastAsia="en-US"/>
              </w:rPr>
              <w:t xml:space="preserve">, stormwater and water infrastructure is </w:t>
            </w:r>
            <w:r w:rsidRPr="009B7B35">
              <w:rPr>
                <w:rFonts w:cs="Arial"/>
              </w:rPr>
              <w:t>sustainable;</w:t>
            </w:r>
            <w:r w:rsidRPr="009B7B35">
              <w:rPr>
                <w:rFonts w:cs="Arial"/>
                <w:lang w:eastAsia="en-US"/>
              </w:rPr>
              <w:t xml:space="preserve"> and </w:t>
            </w:r>
          </w:p>
          <w:p w14:paraId="3CB7C173" w14:textId="77777777" w:rsidR="00BE36FB" w:rsidRPr="009B7B35" w:rsidRDefault="00BE36FB" w:rsidP="00BE36FB">
            <w:pPr>
              <w:pStyle w:val="TableText"/>
              <w:numPr>
                <w:ilvl w:val="0"/>
                <w:numId w:val="279"/>
              </w:numPr>
              <w:rPr>
                <w:rFonts w:cs="Arial"/>
                <w:lang w:eastAsia="en-US"/>
              </w:rPr>
            </w:pPr>
            <w:r w:rsidRPr="009B7B35">
              <w:rPr>
                <w:rFonts w:cs="Arial"/>
                <w:lang w:eastAsia="en-US"/>
              </w:rPr>
              <w:t>there is adequate buffering, screening or separation to adjoining development.</w:t>
            </w:r>
          </w:p>
        </w:tc>
        <w:tc>
          <w:tcPr>
            <w:tcW w:w="4678" w:type="dxa"/>
          </w:tcPr>
          <w:p w14:paraId="70852427" w14:textId="77777777" w:rsidR="00BE36FB" w:rsidRPr="009B7B35" w:rsidRDefault="00BE36FB" w:rsidP="001A7107">
            <w:pPr>
              <w:pStyle w:val="TableText"/>
              <w:rPr>
                <w:rFonts w:cs="Arial"/>
                <w:lang w:eastAsia="en-US"/>
              </w:rPr>
            </w:pPr>
            <w:r w:rsidRPr="009B7B35">
              <w:rPr>
                <w:rFonts w:cs="Arial"/>
                <w:lang w:eastAsia="en-US"/>
              </w:rPr>
              <w:t>No acceptable outcome is nominated.</w:t>
            </w:r>
          </w:p>
        </w:tc>
      </w:tr>
      <w:tr w:rsidR="00BE36FB" w:rsidRPr="009B7B35" w14:paraId="3C07116C" w14:textId="77777777" w:rsidTr="001A7107">
        <w:tblPrEx>
          <w:tblLook w:val="01E0" w:firstRow="1" w:lastRow="1" w:firstColumn="1" w:lastColumn="1" w:noHBand="0" w:noVBand="0"/>
        </w:tblPrEx>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3B941C1B"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Nature based tourism</w:t>
            </w:r>
          </w:p>
        </w:tc>
      </w:tr>
      <w:tr w:rsidR="00BE36FB" w:rsidRPr="009B7B35" w14:paraId="490B3EBF" w14:textId="77777777" w:rsidTr="001A7107">
        <w:tblPrEx>
          <w:tblLook w:val="01E0" w:firstRow="1" w:lastRow="1" w:firstColumn="1" w:lastColumn="1" w:noHBand="0" w:noVBand="0"/>
        </w:tblPrEx>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76343F5D" w14:textId="77777777" w:rsidR="00BE36FB" w:rsidRPr="009B7B35" w:rsidRDefault="00BE36FB" w:rsidP="001A7107">
            <w:pPr>
              <w:pStyle w:val="TableText"/>
              <w:rPr>
                <w:rFonts w:cs="Arial"/>
                <w:b/>
                <w:bCs w:val="0"/>
                <w:color w:val="auto"/>
                <w:lang w:eastAsia="en-US"/>
              </w:rPr>
            </w:pPr>
            <w:r w:rsidRPr="009B7B35">
              <w:rPr>
                <w:rFonts w:cs="Arial"/>
                <w:b/>
                <w:color w:val="auto"/>
                <w:lang w:eastAsia="en-US"/>
              </w:rPr>
              <w:t>PO10</w:t>
            </w:r>
          </w:p>
          <w:p w14:paraId="4D6FB88A" w14:textId="77777777" w:rsidR="00BE36FB" w:rsidRPr="009B7B35" w:rsidRDefault="00BE36FB" w:rsidP="001A7107">
            <w:pPr>
              <w:pStyle w:val="TableText"/>
              <w:rPr>
                <w:rFonts w:cs="Arial"/>
                <w:color w:val="auto"/>
                <w:lang w:eastAsia="en-US"/>
              </w:rPr>
            </w:pPr>
            <w:r w:rsidRPr="009B7B35">
              <w:rPr>
                <w:rFonts w:cs="Arial"/>
                <w:color w:val="auto"/>
                <w:lang w:eastAsia="en-US"/>
              </w:rPr>
              <w:t xml:space="preserve">Development </w:t>
            </w:r>
            <w:r w:rsidRPr="009B7B35">
              <w:rPr>
                <w:rFonts w:cs="Arial"/>
                <w:color w:val="auto"/>
              </w:rPr>
              <w:t xml:space="preserve">protects environmental values and </w:t>
            </w:r>
            <w:r w:rsidRPr="009B7B35">
              <w:rPr>
                <w:rFonts w:cs="Arial"/>
                <w:color w:val="auto"/>
                <w:lang w:eastAsia="en-US"/>
              </w:rPr>
              <w:t>is of a scale and intensity that does not compromise the low density and environmental character of the locality.</w:t>
            </w:r>
          </w:p>
        </w:tc>
        <w:tc>
          <w:tcPr>
            <w:cnfStyle w:val="000100000000" w:firstRow="0" w:lastRow="0" w:firstColumn="0" w:lastColumn="1" w:oddVBand="0" w:evenVBand="0" w:oddHBand="0" w:evenHBand="0" w:firstRowFirstColumn="0" w:firstRowLastColumn="0" w:lastRowFirstColumn="0" w:lastRowLastColumn="0"/>
            <w:tcW w:w="4678" w:type="dxa"/>
          </w:tcPr>
          <w:p w14:paraId="52075362" w14:textId="77777777" w:rsidR="00BE36FB" w:rsidRPr="009B7B35" w:rsidRDefault="00BE36FB" w:rsidP="001A7107">
            <w:pPr>
              <w:pStyle w:val="TableText"/>
              <w:rPr>
                <w:rFonts w:cs="Arial"/>
                <w:b/>
                <w:color w:val="auto"/>
              </w:rPr>
            </w:pPr>
            <w:r w:rsidRPr="009B7B35">
              <w:rPr>
                <w:rFonts w:cs="Arial"/>
                <w:b/>
                <w:color w:val="auto"/>
              </w:rPr>
              <w:t>AO10</w:t>
            </w:r>
          </w:p>
          <w:p w14:paraId="7E16BADA" w14:textId="77777777" w:rsidR="00BE36FB" w:rsidRPr="009B7B35" w:rsidRDefault="00BE36FB" w:rsidP="001A7107">
            <w:pPr>
              <w:pStyle w:val="TableText"/>
              <w:rPr>
                <w:rFonts w:cs="Arial"/>
                <w:color w:val="auto"/>
                <w:lang w:eastAsia="en-US"/>
              </w:rPr>
            </w:pPr>
            <w:r w:rsidRPr="009B7B35">
              <w:rPr>
                <w:rFonts w:cs="Arial"/>
                <w:color w:val="auto"/>
                <w:lang w:eastAsia="en-US"/>
              </w:rPr>
              <w:t>Development does not exceed more than one guest per 1,000m</w:t>
            </w:r>
            <w:r w:rsidRPr="009B7B35">
              <w:rPr>
                <w:rFonts w:cs="Arial"/>
                <w:color w:val="auto"/>
                <w:vertAlign w:val="superscript"/>
                <w:lang w:eastAsia="en-US"/>
              </w:rPr>
              <w:t>2</w:t>
            </w:r>
            <w:r w:rsidRPr="009B7B35">
              <w:rPr>
                <w:rFonts w:cs="Arial"/>
                <w:color w:val="auto"/>
                <w:lang w:eastAsia="en-US"/>
              </w:rPr>
              <w:t xml:space="preserve"> of site area.</w:t>
            </w:r>
          </w:p>
        </w:tc>
      </w:tr>
    </w:tbl>
    <w:p w14:paraId="4F730179" w14:textId="77777777" w:rsidR="00BE36FB" w:rsidRPr="009B7B35" w:rsidRDefault="00BE36FB" w:rsidP="001A7107">
      <w:pPr>
        <w:pStyle w:val="NormalIndent"/>
        <w:rPr>
          <w:rFonts w:cs="Arial"/>
          <w:szCs w:val="20"/>
        </w:rPr>
      </w:pPr>
    </w:p>
    <w:p w14:paraId="0A0C61DE"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18132C23" w14:textId="77777777" w:rsidR="00BE36FB" w:rsidRPr="009B7B35" w:rsidRDefault="00BE36FB" w:rsidP="006776DA">
      <w:pPr>
        <w:pStyle w:val="Heading3"/>
        <w:keepLines/>
        <w:numPr>
          <w:ilvl w:val="2"/>
          <w:numId w:val="883"/>
        </w:numPr>
        <w:spacing w:before="240"/>
        <w:rPr>
          <w:rFonts w:ascii="Arial" w:hAnsi="Arial"/>
          <w:sz w:val="20"/>
          <w:szCs w:val="20"/>
        </w:rPr>
      </w:pPr>
      <w:bookmarkStart w:id="199" w:name="_Toc205367362"/>
      <w:r w:rsidRPr="009B7B35">
        <w:rPr>
          <w:rFonts w:ascii="Arial" w:hAnsi="Arial"/>
          <w:sz w:val="20"/>
          <w:szCs w:val="20"/>
        </w:rPr>
        <w:t>Minor tourism</w:t>
      </w:r>
      <w:bookmarkEnd w:id="199"/>
    </w:p>
    <w:p w14:paraId="3290EDD1"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7D00401E" w14:textId="77777777"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assessing development where the code is identified as applicable in the table of assessment for the m</w:t>
      </w:r>
      <w:r w:rsidRPr="009B7B35">
        <w:rPr>
          <w:rFonts w:ascii="Arial" w:hAnsi="Arial" w:cs="Arial"/>
          <w:sz w:val="20"/>
          <w:szCs w:val="20"/>
        </w:rPr>
        <w:t>in</w:t>
      </w:r>
      <w:r w:rsidRPr="009B7B35">
        <w:rPr>
          <w:rFonts w:ascii="Arial" w:hAnsi="Arial" w:cs="Arial"/>
          <w:sz w:val="20"/>
          <w:szCs w:val="20"/>
          <w:lang w:eastAsia="en-US"/>
        </w:rPr>
        <w:t>or tourism zone. When using this code, reference should be made to section 5.3.2 and where applicable, section 5.3.3 located in Part 5.</w:t>
      </w:r>
    </w:p>
    <w:p w14:paraId="0DA8ACE6"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1AFD998C" w14:textId="77777777" w:rsidR="00BE36FB" w:rsidRPr="009B7B35" w:rsidRDefault="00BE36FB" w:rsidP="00BE36FB">
      <w:pPr>
        <w:numPr>
          <w:ilvl w:val="0"/>
          <w:numId w:val="280"/>
        </w:numPr>
        <w:ind w:left="567" w:hanging="567"/>
        <w:rPr>
          <w:rFonts w:ascii="Arial" w:hAnsi="Arial" w:cs="Arial"/>
          <w:sz w:val="20"/>
          <w:szCs w:val="20"/>
          <w:lang w:eastAsia="en-US"/>
        </w:rPr>
      </w:pPr>
      <w:r w:rsidRPr="009B7B35">
        <w:rPr>
          <w:rFonts w:ascii="Arial" w:hAnsi="Arial" w:cs="Arial"/>
          <w:sz w:val="20"/>
          <w:szCs w:val="20"/>
          <w:lang w:eastAsia="en-US"/>
        </w:rPr>
        <w:t>The purpose of the minor tourism zone code is to provide for the ongoing operation of tourism activities employing less than 20 persons in coastal tourist parks and nature based tourism activities located throughout the region. Development provides for tourist facilities and related short term accommodation and services that provide for the needs of tourists and visitors. Permanent residential accommodation for only management and employed personnel may be appropriate.</w:t>
      </w:r>
    </w:p>
    <w:p w14:paraId="0DF846DC" w14:textId="77777777" w:rsidR="00BE36FB" w:rsidRPr="009B7B35" w:rsidRDefault="00BE36FB" w:rsidP="00BE36FB">
      <w:pPr>
        <w:numPr>
          <w:ilvl w:val="0"/>
          <w:numId w:val="280"/>
        </w:numPr>
        <w:ind w:left="567" w:hanging="567"/>
        <w:rPr>
          <w:rFonts w:ascii="Arial" w:hAnsi="Arial" w:cs="Arial"/>
          <w:sz w:val="20"/>
          <w:szCs w:val="20"/>
          <w:lang w:eastAsia="en-US"/>
        </w:rPr>
      </w:pPr>
      <w:r w:rsidRPr="009B7B35">
        <w:rPr>
          <w:rFonts w:ascii="Arial" w:hAnsi="Arial" w:cs="Arial"/>
          <w:sz w:val="20"/>
          <w:szCs w:val="20"/>
          <w:lang w:eastAsia="en-US"/>
        </w:rPr>
        <w:t>The purpose of the zone will be achieved through the following overall outcomes:</w:t>
      </w:r>
    </w:p>
    <w:p w14:paraId="08C325D7" w14:textId="77777777" w:rsidR="00BE36FB" w:rsidRPr="009B7B35" w:rsidRDefault="00BE36FB" w:rsidP="00BE36FB">
      <w:pPr>
        <w:numPr>
          <w:ilvl w:val="1"/>
          <w:numId w:val="280"/>
        </w:numPr>
        <w:ind w:left="1134" w:hanging="567"/>
        <w:rPr>
          <w:rFonts w:ascii="Arial" w:hAnsi="Arial" w:cs="Arial"/>
          <w:sz w:val="20"/>
          <w:szCs w:val="20"/>
          <w:lang w:eastAsia="en-US"/>
        </w:rPr>
      </w:pPr>
      <w:r w:rsidRPr="009B7B35">
        <w:rPr>
          <w:rFonts w:ascii="Arial" w:hAnsi="Arial" w:cs="Arial"/>
          <w:sz w:val="20"/>
          <w:szCs w:val="20"/>
          <w:lang w:eastAsia="en-US"/>
        </w:rPr>
        <w:t>A range of uses are provided where subordinate to or directly associated with the existing tourist park and nature based tourism opportunities activities.</w:t>
      </w:r>
    </w:p>
    <w:p w14:paraId="418F5A42" w14:textId="77777777" w:rsidR="00BE36FB" w:rsidRPr="009B7B35" w:rsidRDefault="00BE36FB" w:rsidP="00BE36FB">
      <w:pPr>
        <w:numPr>
          <w:ilvl w:val="1"/>
          <w:numId w:val="280"/>
        </w:numPr>
        <w:ind w:left="1134" w:hanging="567"/>
        <w:rPr>
          <w:rFonts w:ascii="Arial" w:hAnsi="Arial" w:cs="Arial"/>
          <w:sz w:val="20"/>
          <w:szCs w:val="20"/>
          <w:lang w:eastAsia="en-US"/>
        </w:rPr>
      </w:pPr>
      <w:r w:rsidRPr="009B7B35">
        <w:rPr>
          <w:rFonts w:ascii="Arial" w:hAnsi="Arial" w:cs="Arial"/>
          <w:sz w:val="20"/>
          <w:szCs w:val="20"/>
          <w:lang w:eastAsia="en-US"/>
        </w:rPr>
        <w:t>Development services the day to day convenience needs of tourists, visitors and staff.</w:t>
      </w:r>
    </w:p>
    <w:p w14:paraId="338675D0" w14:textId="77777777" w:rsidR="00BE36FB" w:rsidRPr="009B7B35" w:rsidRDefault="00BE36FB" w:rsidP="00BE36FB">
      <w:pPr>
        <w:numPr>
          <w:ilvl w:val="1"/>
          <w:numId w:val="280"/>
        </w:numPr>
        <w:ind w:left="1134" w:hanging="567"/>
        <w:rPr>
          <w:rFonts w:ascii="Arial" w:hAnsi="Arial" w:cs="Arial"/>
          <w:sz w:val="20"/>
          <w:szCs w:val="20"/>
          <w:lang w:eastAsia="en-US"/>
        </w:rPr>
      </w:pPr>
      <w:r w:rsidRPr="009B7B35">
        <w:rPr>
          <w:rFonts w:ascii="Arial" w:hAnsi="Arial" w:cs="Arial"/>
          <w:sz w:val="20"/>
          <w:szCs w:val="20"/>
          <w:lang w:eastAsia="en-US"/>
        </w:rPr>
        <w:t>Development is of a scale that does not impact on the viability of surrounding centres.</w:t>
      </w:r>
    </w:p>
    <w:p w14:paraId="48626C40" w14:textId="77777777" w:rsidR="00BE36FB" w:rsidRPr="009B7B35" w:rsidRDefault="00BE36FB" w:rsidP="00BE36FB">
      <w:pPr>
        <w:numPr>
          <w:ilvl w:val="1"/>
          <w:numId w:val="280"/>
        </w:numPr>
        <w:ind w:left="1134" w:hanging="567"/>
        <w:rPr>
          <w:rFonts w:ascii="Arial" w:hAnsi="Arial" w:cs="Arial"/>
          <w:sz w:val="20"/>
          <w:szCs w:val="20"/>
          <w:lang w:eastAsia="en-US"/>
        </w:rPr>
      </w:pPr>
      <w:r w:rsidRPr="009B7B35">
        <w:rPr>
          <w:rFonts w:ascii="Arial" w:hAnsi="Arial" w:cs="Arial"/>
          <w:sz w:val="20"/>
          <w:szCs w:val="20"/>
          <w:lang w:eastAsia="en-US"/>
        </w:rPr>
        <w:t>Development provides a high level of amenity for visitors.</w:t>
      </w:r>
    </w:p>
    <w:p w14:paraId="02DFBC3B" w14:textId="77777777" w:rsidR="00BE36FB" w:rsidRPr="009B7B35" w:rsidRDefault="00BE36FB" w:rsidP="00BE36FB">
      <w:pPr>
        <w:numPr>
          <w:ilvl w:val="1"/>
          <w:numId w:val="280"/>
        </w:numPr>
        <w:ind w:left="1134" w:hanging="567"/>
        <w:rPr>
          <w:rFonts w:ascii="Arial" w:hAnsi="Arial" w:cs="Arial"/>
          <w:sz w:val="20"/>
          <w:szCs w:val="20"/>
          <w:lang w:eastAsia="en-US"/>
        </w:rPr>
      </w:pPr>
      <w:r w:rsidRPr="009B7B35">
        <w:rPr>
          <w:rFonts w:ascii="Arial" w:hAnsi="Arial" w:cs="Arial"/>
          <w:sz w:val="20"/>
          <w:szCs w:val="20"/>
          <w:lang w:eastAsia="en-US"/>
        </w:rPr>
        <w:t xml:space="preserve">Development minimises adverse impacts on ecological values. </w:t>
      </w:r>
    </w:p>
    <w:p w14:paraId="5C44C2E7" w14:textId="77777777" w:rsidR="00BE36FB" w:rsidRPr="009B7B35" w:rsidRDefault="00BE36FB" w:rsidP="00BE36FB">
      <w:pPr>
        <w:numPr>
          <w:ilvl w:val="1"/>
          <w:numId w:val="280"/>
        </w:numPr>
        <w:ind w:left="1134" w:hanging="567"/>
        <w:rPr>
          <w:rFonts w:ascii="Arial" w:hAnsi="Arial" w:cs="Arial"/>
          <w:sz w:val="20"/>
          <w:szCs w:val="20"/>
          <w:lang w:eastAsia="en-US"/>
        </w:rPr>
      </w:pPr>
      <w:r w:rsidRPr="009B7B35">
        <w:rPr>
          <w:rFonts w:ascii="Arial" w:hAnsi="Arial" w:cs="Arial"/>
          <w:sz w:val="20"/>
          <w:szCs w:val="20"/>
          <w:lang w:eastAsia="en-US"/>
        </w:rPr>
        <w:t>Development protects and enhances the unique local, scenic, environmental, cultural and historic character of the locality.</w:t>
      </w:r>
    </w:p>
    <w:p w14:paraId="54F5FCD9" w14:textId="77777777" w:rsidR="00BE36FB" w:rsidRPr="009B7B35" w:rsidRDefault="00BE36FB" w:rsidP="00BE36FB">
      <w:pPr>
        <w:numPr>
          <w:ilvl w:val="1"/>
          <w:numId w:val="280"/>
        </w:numPr>
        <w:ind w:left="1134" w:hanging="567"/>
        <w:rPr>
          <w:rFonts w:ascii="Arial" w:hAnsi="Arial" w:cs="Arial"/>
          <w:sz w:val="20"/>
          <w:szCs w:val="20"/>
          <w:lang w:eastAsia="en-US"/>
        </w:rPr>
      </w:pPr>
      <w:r w:rsidRPr="009B7B35">
        <w:rPr>
          <w:rFonts w:ascii="Arial" w:hAnsi="Arial" w:cs="Arial"/>
          <w:sz w:val="20"/>
          <w:szCs w:val="20"/>
          <w:lang w:eastAsia="en-US"/>
        </w:rPr>
        <w:t>Development responds to land constraints including topography, bushfire, flooding and coastal hazards.</w:t>
      </w:r>
    </w:p>
    <w:p w14:paraId="7BF1F502"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0C514850" w14:textId="77777777" w:rsidR="00BE36FB" w:rsidRPr="009B7B35" w:rsidRDefault="00BE36FB" w:rsidP="003A35DA">
      <w:pPr>
        <w:pStyle w:val="Heading5"/>
        <w:numPr>
          <w:ilvl w:val="0"/>
          <w:numId w:val="0"/>
        </w:numPr>
        <w:rPr>
          <w:rFonts w:cs="Arial"/>
          <w:szCs w:val="20"/>
          <w:lang w:eastAsia="en-US"/>
        </w:rPr>
      </w:pPr>
      <w:r w:rsidRPr="009B7B35">
        <w:rPr>
          <w:rFonts w:cs="Arial"/>
          <w:szCs w:val="20"/>
          <w:lang w:eastAsia="en-US"/>
        </w:rPr>
        <w:t>Table 6.2.17.3.1—Assessable development</w:t>
      </w:r>
    </w:p>
    <w:tbl>
      <w:tblPr>
        <w:tblStyle w:val="Tablestyle"/>
        <w:tblW w:w="0" w:type="auto"/>
        <w:tblLook w:val="01E0" w:firstRow="1" w:lastRow="1" w:firstColumn="1" w:lastColumn="1" w:noHBand="0" w:noVBand="0"/>
      </w:tblPr>
      <w:tblGrid>
        <w:gridCol w:w="4043"/>
        <w:gridCol w:w="4320"/>
      </w:tblGrid>
      <w:tr w:rsidR="00BE36FB" w:rsidRPr="009B7B35" w14:paraId="0474320C"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678" w:type="dxa"/>
          </w:tcPr>
          <w:p w14:paraId="254FDED6"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Performance outcomes</w:t>
            </w:r>
          </w:p>
        </w:tc>
        <w:tc>
          <w:tcPr>
            <w:cnfStyle w:val="000100000000" w:firstRow="0" w:lastRow="0" w:firstColumn="0" w:lastColumn="1" w:oddVBand="0" w:evenVBand="0" w:oddHBand="0" w:evenHBand="0" w:firstRowFirstColumn="0" w:firstRowLastColumn="0" w:lastRowFirstColumn="0" w:lastRowLastColumn="0"/>
            <w:tcW w:w="4678" w:type="dxa"/>
          </w:tcPr>
          <w:p w14:paraId="04246CF2"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Acceptable outcomes</w:t>
            </w:r>
          </w:p>
        </w:tc>
      </w:tr>
      <w:tr w:rsidR="00BE36FB" w:rsidRPr="009B7B35" w14:paraId="29AA485C"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78B09753"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Built form</w:t>
            </w:r>
          </w:p>
        </w:tc>
      </w:tr>
      <w:tr w:rsidR="00BE36FB" w:rsidRPr="009B7B35" w14:paraId="534B2C1A"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04A6B8FB" w14:textId="77777777" w:rsidR="00BE36FB" w:rsidRPr="009B7B35" w:rsidRDefault="00BE36FB" w:rsidP="001A7107">
            <w:pPr>
              <w:pStyle w:val="TableText"/>
              <w:rPr>
                <w:rFonts w:cs="Arial"/>
                <w:b/>
                <w:bCs/>
                <w:lang w:eastAsia="en-US"/>
              </w:rPr>
            </w:pPr>
            <w:r w:rsidRPr="009B7B35">
              <w:rPr>
                <w:rFonts w:cs="Arial"/>
                <w:b/>
                <w:bCs/>
                <w:lang w:eastAsia="en-US"/>
              </w:rPr>
              <w:t>PO1</w:t>
            </w:r>
          </w:p>
          <w:p w14:paraId="0B133A92" w14:textId="77777777" w:rsidR="00BE36FB" w:rsidRPr="009B7B35" w:rsidRDefault="00BE36FB" w:rsidP="001A7107">
            <w:pPr>
              <w:rPr>
                <w:rFonts w:cs="Arial"/>
                <w:sz w:val="20"/>
                <w:szCs w:val="20"/>
                <w:lang w:eastAsia="en-US"/>
              </w:rPr>
            </w:pPr>
            <w:r w:rsidRPr="009B7B35">
              <w:rPr>
                <w:rFonts w:cs="Arial"/>
                <w:sz w:val="20"/>
                <w:szCs w:val="20"/>
                <w:lang w:eastAsia="en-US"/>
              </w:rPr>
              <w:t>Buildings and other structures are:</w:t>
            </w:r>
          </w:p>
          <w:p w14:paraId="7BBAAE27" w14:textId="77777777" w:rsidR="00BE36FB" w:rsidRPr="009B7B35" w:rsidRDefault="00BE36FB" w:rsidP="00BE36FB">
            <w:pPr>
              <w:numPr>
                <w:ilvl w:val="0"/>
                <w:numId w:val="178"/>
              </w:numPr>
              <w:rPr>
                <w:rFonts w:cs="Arial"/>
                <w:sz w:val="20"/>
                <w:szCs w:val="20"/>
                <w:lang w:eastAsia="en-US"/>
              </w:rPr>
            </w:pPr>
            <w:r w:rsidRPr="009B7B35">
              <w:rPr>
                <w:rFonts w:cs="Arial"/>
                <w:sz w:val="20"/>
                <w:szCs w:val="20"/>
                <w:lang w:eastAsia="en-US"/>
              </w:rPr>
              <w:t>low rise, and</w:t>
            </w:r>
          </w:p>
          <w:p w14:paraId="43B81A6F" w14:textId="77777777" w:rsidR="00BE36FB" w:rsidRPr="009B7B35" w:rsidRDefault="00BE36FB" w:rsidP="00BE36FB">
            <w:pPr>
              <w:numPr>
                <w:ilvl w:val="0"/>
                <w:numId w:val="178"/>
              </w:numPr>
              <w:rPr>
                <w:rFonts w:cs="Arial"/>
                <w:sz w:val="20"/>
                <w:szCs w:val="20"/>
                <w:lang w:eastAsia="en-US"/>
              </w:rPr>
            </w:pPr>
            <w:r w:rsidRPr="009B7B35">
              <w:rPr>
                <w:rFonts w:cs="Arial"/>
                <w:sz w:val="20"/>
                <w:szCs w:val="20"/>
                <w:lang w:eastAsia="en-US"/>
              </w:rPr>
              <w:t>designed to reflect a low density that maintains open space and coastal character.</w:t>
            </w:r>
          </w:p>
        </w:tc>
        <w:tc>
          <w:tcPr>
            <w:cnfStyle w:val="000100000000" w:firstRow="0" w:lastRow="0" w:firstColumn="0" w:lastColumn="1" w:oddVBand="0" w:evenVBand="0" w:oddHBand="0" w:evenHBand="0" w:firstRowFirstColumn="0" w:firstRowLastColumn="0" w:lastRowFirstColumn="0" w:lastRowLastColumn="0"/>
            <w:tcW w:w="4678" w:type="dxa"/>
          </w:tcPr>
          <w:p w14:paraId="08DAEF5E" w14:textId="77777777" w:rsidR="00BE36FB" w:rsidRPr="009B7B35" w:rsidRDefault="00BE36FB" w:rsidP="001A7107">
            <w:pPr>
              <w:pStyle w:val="TableText"/>
              <w:rPr>
                <w:rFonts w:cs="Arial"/>
                <w:b/>
                <w:bCs/>
                <w:color w:val="auto"/>
                <w:lang w:eastAsia="en-US"/>
              </w:rPr>
            </w:pPr>
            <w:r w:rsidRPr="009B7B35">
              <w:rPr>
                <w:rFonts w:cs="Arial"/>
                <w:b/>
                <w:bCs/>
                <w:color w:val="auto"/>
                <w:lang w:eastAsia="en-US"/>
              </w:rPr>
              <w:t>AO1</w:t>
            </w:r>
          </w:p>
          <w:p w14:paraId="521D90DC" w14:textId="77777777" w:rsidR="00BE36FB" w:rsidRPr="009B7B35" w:rsidRDefault="00BE36FB" w:rsidP="001A7107">
            <w:pPr>
              <w:rPr>
                <w:rFonts w:cs="Arial"/>
                <w:sz w:val="20"/>
                <w:szCs w:val="20"/>
                <w:lang w:eastAsia="en-US"/>
              </w:rPr>
            </w:pPr>
            <w:r w:rsidRPr="009B7B35">
              <w:rPr>
                <w:rFonts w:cs="Arial"/>
                <w:sz w:val="20"/>
                <w:szCs w:val="20"/>
                <w:lang w:eastAsia="en-US"/>
              </w:rPr>
              <w:t>Building height does not exceed 8.5m.</w:t>
            </w:r>
          </w:p>
        </w:tc>
      </w:tr>
      <w:tr w:rsidR="00BE36FB" w:rsidRPr="009B7B35" w14:paraId="25311AE5"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05E7B5AB"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Land use</w:t>
            </w:r>
          </w:p>
        </w:tc>
      </w:tr>
      <w:tr w:rsidR="00BE36FB" w:rsidRPr="009B7B35" w14:paraId="30A6682A"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67E17863" w14:textId="77777777" w:rsidR="00BE36FB" w:rsidRPr="009B7B35" w:rsidRDefault="00BE36FB" w:rsidP="001A7107">
            <w:pPr>
              <w:pStyle w:val="TableText"/>
              <w:rPr>
                <w:rFonts w:cs="Arial"/>
                <w:b/>
                <w:bCs/>
                <w:lang w:eastAsia="en-US"/>
              </w:rPr>
            </w:pPr>
            <w:r w:rsidRPr="009B7B35">
              <w:rPr>
                <w:rFonts w:cs="Arial"/>
                <w:b/>
                <w:bCs/>
                <w:lang w:eastAsia="en-US"/>
              </w:rPr>
              <w:t>PO2</w:t>
            </w:r>
          </w:p>
          <w:p w14:paraId="4FD46CD1" w14:textId="77777777" w:rsidR="00BE36FB" w:rsidRPr="009B7B35" w:rsidRDefault="00BE36FB" w:rsidP="001A7107">
            <w:pPr>
              <w:rPr>
                <w:rFonts w:cs="Arial"/>
                <w:sz w:val="20"/>
                <w:szCs w:val="20"/>
                <w:lang w:eastAsia="en-US"/>
              </w:rPr>
            </w:pPr>
            <w:r w:rsidRPr="009B7B35">
              <w:rPr>
                <w:rFonts w:cs="Arial"/>
                <w:sz w:val="20"/>
                <w:szCs w:val="20"/>
                <w:lang w:eastAsia="en-US"/>
              </w:rPr>
              <w:t>Development:</w:t>
            </w:r>
          </w:p>
          <w:p w14:paraId="235F7B9F" w14:textId="77777777" w:rsidR="00BE36FB" w:rsidRPr="009B7B35" w:rsidRDefault="00BE36FB" w:rsidP="00BE36FB">
            <w:pPr>
              <w:numPr>
                <w:ilvl w:val="0"/>
                <w:numId w:val="281"/>
              </w:numPr>
              <w:rPr>
                <w:rFonts w:cs="Arial"/>
                <w:sz w:val="20"/>
                <w:szCs w:val="20"/>
                <w:lang w:eastAsia="en-US"/>
              </w:rPr>
            </w:pPr>
            <w:r w:rsidRPr="009B7B35">
              <w:rPr>
                <w:rFonts w:cs="Arial"/>
                <w:sz w:val="20"/>
                <w:szCs w:val="20"/>
                <w:lang w:eastAsia="en-US"/>
              </w:rPr>
              <w:t>is primarily a tourist related activity, or</w:t>
            </w:r>
          </w:p>
          <w:p w14:paraId="2116599B" w14:textId="77777777" w:rsidR="00BE36FB" w:rsidRPr="009B7B35" w:rsidRDefault="00BE36FB" w:rsidP="00BE36FB">
            <w:pPr>
              <w:numPr>
                <w:ilvl w:val="0"/>
                <w:numId w:val="281"/>
              </w:numPr>
              <w:rPr>
                <w:rFonts w:cs="Arial"/>
                <w:sz w:val="20"/>
                <w:szCs w:val="20"/>
                <w:lang w:eastAsia="en-US"/>
              </w:rPr>
            </w:pPr>
            <w:r w:rsidRPr="009B7B35">
              <w:rPr>
                <w:rFonts w:cs="Arial"/>
                <w:sz w:val="20"/>
                <w:szCs w:val="20"/>
                <w:lang w:eastAsia="en-US"/>
              </w:rPr>
              <w:t>is directly associated with a tourist related activity.</w:t>
            </w:r>
          </w:p>
        </w:tc>
        <w:tc>
          <w:tcPr>
            <w:cnfStyle w:val="000100000000" w:firstRow="0" w:lastRow="0" w:firstColumn="0" w:lastColumn="1" w:oddVBand="0" w:evenVBand="0" w:oddHBand="0" w:evenHBand="0" w:firstRowFirstColumn="0" w:firstRowLastColumn="0" w:lastRowFirstColumn="0" w:lastRowLastColumn="0"/>
            <w:tcW w:w="4678" w:type="dxa"/>
          </w:tcPr>
          <w:p w14:paraId="717856CA" w14:textId="77777777" w:rsidR="00BE36FB" w:rsidRPr="009B7B35" w:rsidRDefault="00BE36FB" w:rsidP="001A7107">
            <w:pPr>
              <w:rPr>
                <w:rFonts w:cs="Arial"/>
                <w:sz w:val="20"/>
                <w:szCs w:val="20"/>
                <w:lang w:eastAsia="en-US"/>
              </w:rPr>
            </w:pPr>
            <w:r w:rsidRPr="009B7B35">
              <w:rPr>
                <w:rFonts w:cs="Arial"/>
                <w:sz w:val="20"/>
                <w:szCs w:val="20"/>
                <w:lang w:eastAsia="en-US"/>
              </w:rPr>
              <w:t>No acceptable outcome is nominated.</w:t>
            </w:r>
          </w:p>
        </w:tc>
      </w:tr>
      <w:tr w:rsidR="00BE36FB" w:rsidRPr="009B7B35" w14:paraId="35DFC903"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7AF6D292" w14:textId="77777777" w:rsidR="00BE36FB" w:rsidRPr="009B7B35" w:rsidRDefault="00BE36FB" w:rsidP="001A7107">
            <w:pPr>
              <w:pStyle w:val="TableText"/>
              <w:rPr>
                <w:rFonts w:cs="Arial"/>
                <w:b/>
                <w:bCs/>
                <w:lang w:eastAsia="en-US"/>
              </w:rPr>
            </w:pPr>
            <w:r w:rsidRPr="009B7B35">
              <w:rPr>
                <w:rFonts w:cs="Arial"/>
                <w:b/>
                <w:bCs/>
                <w:lang w:eastAsia="en-US"/>
              </w:rPr>
              <w:t>PO3</w:t>
            </w:r>
          </w:p>
          <w:p w14:paraId="69F91788" w14:textId="77777777" w:rsidR="00BE36FB" w:rsidRPr="009B7B35" w:rsidRDefault="00BE36FB" w:rsidP="001A7107">
            <w:pPr>
              <w:rPr>
                <w:rFonts w:cs="Arial"/>
                <w:sz w:val="20"/>
                <w:szCs w:val="20"/>
                <w:lang w:eastAsia="en-US"/>
              </w:rPr>
            </w:pPr>
            <w:r w:rsidRPr="009B7B35">
              <w:rPr>
                <w:rFonts w:cs="Arial"/>
                <w:sz w:val="20"/>
                <w:szCs w:val="20"/>
                <w:lang w:eastAsia="en-US"/>
              </w:rPr>
              <w:t>The scale of any ancillary kiosk or food and drink outlet:</w:t>
            </w:r>
          </w:p>
          <w:p w14:paraId="1408BD36" w14:textId="77777777" w:rsidR="00BE36FB" w:rsidRPr="009B7B35" w:rsidRDefault="00BE36FB" w:rsidP="00BE36FB">
            <w:pPr>
              <w:numPr>
                <w:ilvl w:val="0"/>
                <w:numId w:val="282"/>
              </w:numPr>
              <w:rPr>
                <w:rFonts w:cs="Arial"/>
                <w:sz w:val="20"/>
                <w:szCs w:val="20"/>
                <w:lang w:eastAsia="en-US"/>
              </w:rPr>
            </w:pPr>
            <w:r w:rsidRPr="009B7B35">
              <w:rPr>
                <w:rFonts w:cs="Arial"/>
                <w:sz w:val="20"/>
                <w:szCs w:val="20"/>
                <w:lang w:eastAsia="en-US"/>
              </w:rPr>
              <w:t>serves the on</w:t>
            </w:r>
            <w:r w:rsidRPr="009B7B35">
              <w:rPr>
                <w:rFonts w:cs="Arial"/>
                <w:sz w:val="20"/>
                <w:szCs w:val="20"/>
              </w:rPr>
              <w:t>–</w:t>
            </w:r>
            <w:r w:rsidRPr="009B7B35">
              <w:rPr>
                <w:rFonts w:cs="Arial"/>
                <w:sz w:val="20"/>
                <w:szCs w:val="20"/>
                <w:lang w:eastAsia="en-US"/>
              </w:rPr>
              <w:t>site needs of tourists and visitors, and</w:t>
            </w:r>
          </w:p>
          <w:p w14:paraId="2E4F7D4F" w14:textId="77777777" w:rsidR="00BE36FB" w:rsidRPr="009B7B35" w:rsidRDefault="00BE36FB" w:rsidP="00BE36FB">
            <w:pPr>
              <w:numPr>
                <w:ilvl w:val="0"/>
                <w:numId w:val="282"/>
              </w:numPr>
              <w:rPr>
                <w:rFonts w:cs="Arial"/>
                <w:sz w:val="20"/>
                <w:szCs w:val="20"/>
                <w:lang w:eastAsia="en-US"/>
              </w:rPr>
            </w:pPr>
            <w:r w:rsidRPr="009B7B35">
              <w:rPr>
                <w:rFonts w:cs="Arial"/>
                <w:sz w:val="20"/>
                <w:szCs w:val="20"/>
                <w:lang w:eastAsia="en-US"/>
              </w:rPr>
              <w:t>does not impact on retail activities occurring within surrounding centres.</w:t>
            </w:r>
          </w:p>
        </w:tc>
        <w:tc>
          <w:tcPr>
            <w:cnfStyle w:val="000100000000" w:firstRow="0" w:lastRow="0" w:firstColumn="0" w:lastColumn="1" w:oddVBand="0" w:evenVBand="0" w:oddHBand="0" w:evenHBand="0" w:firstRowFirstColumn="0" w:firstRowLastColumn="0" w:lastRowFirstColumn="0" w:lastRowLastColumn="0"/>
            <w:tcW w:w="4678" w:type="dxa"/>
          </w:tcPr>
          <w:p w14:paraId="3A871E7C" w14:textId="77777777" w:rsidR="00BE36FB" w:rsidRPr="009B7B35" w:rsidRDefault="00BE36FB" w:rsidP="001A7107">
            <w:pPr>
              <w:pStyle w:val="TableText"/>
              <w:rPr>
                <w:rFonts w:cs="Arial"/>
                <w:b/>
                <w:bCs/>
                <w:color w:val="auto"/>
                <w:lang w:eastAsia="en-US"/>
              </w:rPr>
            </w:pPr>
            <w:r w:rsidRPr="009B7B35">
              <w:rPr>
                <w:rFonts w:cs="Arial"/>
                <w:b/>
                <w:bCs/>
                <w:color w:val="auto"/>
                <w:lang w:eastAsia="en-US"/>
              </w:rPr>
              <w:t>AO3</w:t>
            </w:r>
          </w:p>
          <w:p w14:paraId="6CA94C44" w14:textId="77777777" w:rsidR="00BE36FB" w:rsidRPr="009B7B35" w:rsidRDefault="00BE36FB" w:rsidP="001A7107">
            <w:pPr>
              <w:pStyle w:val="TableText"/>
              <w:rPr>
                <w:rFonts w:cs="Arial"/>
                <w:lang w:eastAsia="en-US"/>
              </w:rPr>
            </w:pPr>
            <w:r w:rsidRPr="009B7B35">
              <w:rPr>
                <w:rFonts w:cs="Arial"/>
                <w:lang w:eastAsia="en-US"/>
              </w:rPr>
              <w:t>The combined maximum GFA of any ancillary kiosk and food and drink outlet does not exceed 100m</w:t>
            </w:r>
            <w:r w:rsidRPr="009B7B35">
              <w:rPr>
                <w:rStyle w:val="StyleSuperscript"/>
                <w:rFonts w:cs="Arial"/>
              </w:rPr>
              <w:t>2</w:t>
            </w:r>
            <w:r w:rsidRPr="009B7B35">
              <w:rPr>
                <w:rFonts w:cs="Arial"/>
                <w:lang w:eastAsia="en-US"/>
              </w:rPr>
              <w:t>.</w:t>
            </w:r>
          </w:p>
        </w:tc>
      </w:tr>
      <w:tr w:rsidR="00BE36FB" w:rsidRPr="009B7B35" w14:paraId="5FA11496"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652F38C0"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Amenity</w:t>
            </w:r>
          </w:p>
        </w:tc>
      </w:tr>
      <w:tr w:rsidR="00BE36FB" w:rsidRPr="009B7B35" w14:paraId="4CD65015"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419F9B7A" w14:textId="77777777" w:rsidR="00BE36FB" w:rsidRPr="009B7B35" w:rsidRDefault="00BE36FB" w:rsidP="001A7107">
            <w:pPr>
              <w:pStyle w:val="TableText"/>
              <w:rPr>
                <w:rFonts w:cs="Arial"/>
                <w:b/>
                <w:bCs/>
                <w:lang w:eastAsia="en-US"/>
              </w:rPr>
            </w:pPr>
            <w:r w:rsidRPr="009B7B35">
              <w:rPr>
                <w:rFonts w:cs="Arial"/>
                <w:b/>
                <w:bCs/>
                <w:lang w:eastAsia="en-US"/>
              </w:rPr>
              <w:t>PO4</w:t>
            </w:r>
          </w:p>
          <w:p w14:paraId="231C811F" w14:textId="77777777" w:rsidR="00BE36FB" w:rsidRPr="009B7B35" w:rsidRDefault="00BE36FB" w:rsidP="001A7107">
            <w:pPr>
              <w:rPr>
                <w:rFonts w:cs="Arial"/>
                <w:sz w:val="20"/>
                <w:szCs w:val="20"/>
                <w:lang w:eastAsia="en-US"/>
              </w:rPr>
            </w:pPr>
            <w:r w:rsidRPr="009B7B35">
              <w:rPr>
                <w:rFonts w:cs="Arial"/>
                <w:sz w:val="20"/>
                <w:szCs w:val="20"/>
                <w:lang w:eastAsia="en-US"/>
              </w:rPr>
              <w:t>Development provides adequate separation, screening and buffering from any adjoining residential premises or residential zone so that residential privacy and amenity is not adversely affected.</w:t>
            </w:r>
          </w:p>
        </w:tc>
        <w:tc>
          <w:tcPr>
            <w:cnfStyle w:val="000100000000" w:firstRow="0" w:lastRow="0" w:firstColumn="0" w:lastColumn="1" w:oddVBand="0" w:evenVBand="0" w:oddHBand="0" w:evenHBand="0" w:firstRowFirstColumn="0" w:firstRowLastColumn="0" w:lastRowFirstColumn="0" w:lastRowLastColumn="0"/>
            <w:tcW w:w="4678" w:type="dxa"/>
          </w:tcPr>
          <w:p w14:paraId="17924806" w14:textId="77777777" w:rsidR="00BE36FB" w:rsidRPr="009B7B35" w:rsidRDefault="00BE36FB" w:rsidP="001A7107">
            <w:pPr>
              <w:pStyle w:val="TableText"/>
              <w:rPr>
                <w:rFonts w:cs="Arial"/>
                <w:b/>
                <w:bCs/>
                <w:color w:val="auto"/>
                <w:lang w:eastAsia="en-US"/>
              </w:rPr>
            </w:pPr>
            <w:r w:rsidRPr="009B7B35">
              <w:rPr>
                <w:rFonts w:cs="Arial"/>
                <w:b/>
                <w:bCs/>
                <w:color w:val="auto"/>
                <w:lang w:eastAsia="en-US"/>
              </w:rPr>
              <w:t>AO4.1</w:t>
            </w:r>
          </w:p>
          <w:p w14:paraId="61E1C5C6" w14:textId="77777777" w:rsidR="00BE36FB" w:rsidRPr="009B7B35" w:rsidRDefault="00BE36FB" w:rsidP="001A7107">
            <w:pPr>
              <w:rPr>
                <w:rFonts w:cs="Arial"/>
                <w:sz w:val="20"/>
                <w:szCs w:val="20"/>
                <w:lang w:eastAsia="en-US"/>
              </w:rPr>
            </w:pPr>
            <w:r w:rsidRPr="009B7B35">
              <w:rPr>
                <w:rFonts w:cs="Arial"/>
                <w:sz w:val="20"/>
                <w:szCs w:val="20"/>
                <w:lang w:eastAsia="en-US"/>
              </w:rPr>
              <w:t>Where adjoining a residential use or residential zone:</w:t>
            </w:r>
          </w:p>
          <w:p w14:paraId="2D6D3497" w14:textId="77777777" w:rsidR="00BE36FB" w:rsidRPr="009B7B35" w:rsidRDefault="00BE36FB" w:rsidP="00BE36FB">
            <w:pPr>
              <w:numPr>
                <w:ilvl w:val="0"/>
                <w:numId w:val="283"/>
              </w:numPr>
              <w:rPr>
                <w:rFonts w:cs="Arial"/>
                <w:sz w:val="20"/>
                <w:szCs w:val="20"/>
                <w:lang w:eastAsia="en-US"/>
              </w:rPr>
            </w:pPr>
            <w:r w:rsidRPr="009B7B35">
              <w:rPr>
                <w:rFonts w:cs="Arial"/>
                <w:sz w:val="20"/>
                <w:szCs w:val="20"/>
                <w:lang w:eastAsia="en-US"/>
              </w:rPr>
              <w:t>a minimum side and rear boundary setback of 3m is required for any:</w:t>
            </w:r>
          </w:p>
          <w:p w14:paraId="518761C4" w14:textId="77777777" w:rsidR="00BE36FB" w:rsidRPr="009B7B35" w:rsidRDefault="00BE36FB" w:rsidP="00BE36FB">
            <w:pPr>
              <w:pStyle w:val="TableText"/>
              <w:numPr>
                <w:ilvl w:val="1"/>
                <w:numId w:val="283"/>
              </w:numPr>
              <w:ind w:left="1115" w:hanging="360"/>
              <w:rPr>
                <w:rFonts w:cs="Arial"/>
                <w:lang w:eastAsia="en-US"/>
              </w:rPr>
            </w:pPr>
            <w:r w:rsidRPr="009B7B35">
              <w:rPr>
                <w:rFonts w:cs="Arial"/>
                <w:lang w:eastAsia="en-US"/>
              </w:rPr>
              <w:t>ancillary kiosk or food and drink outlet premises</w:t>
            </w:r>
          </w:p>
          <w:p w14:paraId="51BE7F08" w14:textId="77777777" w:rsidR="00BE36FB" w:rsidRPr="009B7B35" w:rsidRDefault="00BE36FB" w:rsidP="00BE36FB">
            <w:pPr>
              <w:pStyle w:val="TableText"/>
              <w:numPr>
                <w:ilvl w:val="1"/>
                <w:numId w:val="283"/>
              </w:numPr>
              <w:ind w:left="1077" w:hanging="283"/>
              <w:rPr>
                <w:rFonts w:cs="Arial"/>
                <w:lang w:eastAsia="en-US"/>
              </w:rPr>
            </w:pPr>
            <w:r w:rsidRPr="009B7B35">
              <w:rPr>
                <w:rFonts w:cs="Arial"/>
                <w:lang w:eastAsia="en-US"/>
              </w:rPr>
              <w:t>site access points, and</w:t>
            </w:r>
          </w:p>
          <w:p w14:paraId="141C4627" w14:textId="77777777" w:rsidR="00BE36FB" w:rsidRPr="009B7B35" w:rsidRDefault="00BE36FB" w:rsidP="00BE36FB">
            <w:pPr>
              <w:pStyle w:val="TableText"/>
              <w:numPr>
                <w:ilvl w:val="1"/>
                <w:numId w:val="283"/>
              </w:numPr>
              <w:ind w:left="1077" w:hanging="283"/>
              <w:rPr>
                <w:rFonts w:cs="Arial"/>
                <w:lang w:eastAsia="en-US"/>
              </w:rPr>
            </w:pPr>
            <w:r w:rsidRPr="009B7B35">
              <w:rPr>
                <w:rFonts w:cs="Arial"/>
                <w:lang w:eastAsia="en-US"/>
              </w:rPr>
              <w:t>car parking areas</w:t>
            </w:r>
          </w:p>
          <w:p w14:paraId="1BBBFD65" w14:textId="77777777" w:rsidR="00BE36FB" w:rsidRPr="009B7B35" w:rsidRDefault="00BE36FB" w:rsidP="00BE36FB">
            <w:pPr>
              <w:numPr>
                <w:ilvl w:val="0"/>
                <w:numId w:val="283"/>
              </w:numPr>
              <w:rPr>
                <w:rFonts w:cs="Arial"/>
                <w:sz w:val="20"/>
                <w:szCs w:val="20"/>
                <w:lang w:eastAsia="en-US"/>
              </w:rPr>
            </w:pPr>
            <w:r w:rsidRPr="009B7B35">
              <w:rPr>
                <w:rFonts w:cs="Arial"/>
                <w:sz w:val="20"/>
                <w:szCs w:val="20"/>
                <w:lang w:eastAsia="en-US"/>
              </w:rPr>
              <w:t>a minimum boundary setback of 10m is required for any:</w:t>
            </w:r>
          </w:p>
          <w:p w14:paraId="15F4BA26" w14:textId="77777777" w:rsidR="00BE36FB" w:rsidRPr="009B7B35" w:rsidRDefault="00BE36FB" w:rsidP="00BE36FB">
            <w:pPr>
              <w:pStyle w:val="TableText"/>
              <w:numPr>
                <w:ilvl w:val="1"/>
                <w:numId w:val="283"/>
              </w:numPr>
              <w:ind w:left="1077" w:hanging="283"/>
              <w:rPr>
                <w:rFonts w:cs="Arial"/>
                <w:lang w:eastAsia="en-US"/>
              </w:rPr>
            </w:pPr>
            <w:r w:rsidRPr="009B7B35">
              <w:rPr>
                <w:rFonts w:cs="Arial"/>
                <w:lang w:eastAsia="en-US"/>
              </w:rPr>
              <w:t>amenity buildings</w:t>
            </w:r>
          </w:p>
          <w:p w14:paraId="68960EF5" w14:textId="77777777" w:rsidR="00BE36FB" w:rsidRPr="009B7B35" w:rsidRDefault="00BE36FB" w:rsidP="00BE36FB">
            <w:pPr>
              <w:pStyle w:val="TableText"/>
              <w:numPr>
                <w:ilvl w:val="1"/>
                <w:numId w:val="283"/>
              </w:numPr>
              <w:ind w:left="1077" w:hanging="283"/>
              <w:rPr>
                <w:rFonts w:cs="Arial"/>
                <w:lang w:eastAsia="en-US"/>
              </w:rPr>
            </w:pPr>
            <w:r w:rsidRPr="009B7B35">
              <w:rPr>
                <w:rFonts w:cs="Arial"/>
                <w:lang w:eastAsia="en-US"/>
              </w:rPr>
              <w:t>servicing or outdoor storage areas</w:t>
            </w:r>
          </w:p>
          <w:p w14:paraId="5FC8ADF6" w14:textId="77777777" w:rsidR="00BE36FB" w:rsidRPr="009B7B35" w:rsidRDefault="00BE36FB" w:rsidP="00BE36FB">
            <w:pPr>
              <w:pStyle w:val="TableText"/>
              <w:numPr>
                <w:ilvl w:val="1"/>
                <w:numId w:val="283"/>
              </w:numPr>
              <w:ind w:left="1077" w:hanging="283"/>
              <w:rPr>
                <w:rFonts w:cs="Arial"/>
                <w:lang w:eastAsia="en-US"/>
              </w:rPr>
            </w:pPr>
            <w:r w:rsidRPr="009B7B35">
              <w:rPr>
                <w:rFonts w:cs="Arial"/>
                <w:lang w:eastAsia="en-US"/>
              </w:rPr>
              <w:t>temporary structures including caravans and tents, and</w:t>
            </w:r>
          </w:p>
          <w:p w14:paraId="30C691DB" w14:textId="77777777" w:rsidR="00BE36FB" w:rsidRPr="009B7B35" w:rsidRDefault="00BE36FB" w:rsidP="00BE36FB">
            <w:pPr>
              <w:pStyle w:val="TableText"/>
              <w:numPr>
                <w:ilvl w:val="1"/>
                <w:numId w:val="283"/>
              </w:numPr>
              <w:ind w:left="1077" w:hanging="283"/>
              <w:rPr>
                <w:rFonts w:cs="Arial"/>
                <w:lang w:eastAsia="en-US"/>
              </w:rPr>
            </w:pPr>
            <w:r w:rsidRPr="009B7B35">
              <w:rPr>
                <w:rFonts w:cs="Arial"/>
                <w:lang w:eastAsia="en-US"/>
              </w:rPr>
              <w:t>active outdoor use areas.</w:t>
            </w:r>
          </w:p>
        </w:tc>
      </w:tr>
      <w:tr w:rsidR="00BE36FB" w:rsidRPr="009B7B35" w14:paraId="7FB3B0D1"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54CB0115" w14:textId="77777777" w:rsidR="00BE36FB" w:rsidRPr="009B7B35" w:rsidRDefault="00BE36FB" w:rsidP="001A7107">
            <w:pPr>
              <w:rPr>
                <w:rFonts w:cs="Arial"/>
                <w:sz w:val="20"/>
                <w:szCs w:val="20"/>
                <w:lang w:eastAsia="en-US"/>
              </w:rPr>
            </w:pPr>
          </w:p>
        </w:tc>
        <w:tc>
          <w:tcPr>
            <w:cnfStyle w:val="000100000000" w:firstRow="0" w:lastRow="0" w:firstColumn="0" w:lastColumn="1" w:oddVBand="0" w:evenVBand="0" w:oddHBand="0" w:evenHBand="0" w:firstRowFirstColumn="0" w:firstRowLastColumn="0" w:lastRowFirstColumn="0" w:lastRowLastColumn="0"/>
            <w:tcW w:w="4678" w:type="dxa"/>
          </w:tcPr>
          <w:p w14:paraId="0AF5591A" w14:textId="77777777" w:rsidR="00BE36FB" w:rsidRPr="009B7B35" w:rsidRDefault="00BE36FB" w:rsidP="001A7107">
            <w:pPr>
              <w:pStyle w:val="TableText"/>
              <w:rPr>
                <w:rFonts w:cs="Arial"/>
                <w:b/>
                <w:bCs/>
                <w:color w:val="auto"/>
                <w:lang w:eastAsia="en-US"/>
              </w:rPr>
            </w:pPr>
            <w:r w:rsidRPr="009B7B35">
              <w:rPr>
                <w:rFonts w:cs="Arial"/>
                <w:b/>
                <w:bCs/>
                <w:color w:val="auto"/>
                <w:lang w:eastAsia="en-US"/>
              </w:rPr>
              <w:t>AO4.2</w:t>
            </w:r>
          </w:p>
          <w:p w14:paraId="0167DF17" w14:textId="77777777" w:rsidR="00BE36FB" w:rsidRPr="009B7B35" w:rsidRDefault="00BE36FB" w:rsidP="001A7107">
            <w:pPr>
              <w:pStyle w:val="TableText"/>
              <w:rPr>
                <w:rFonts w:cs="Arial"/>
                <w:lang w:eastAsia="en-US"/>
              </w:rPr>
            </w:pPr>
            <w:r w:rsidRPr="009B7B35">
              <w:rPr>
                <w:rFonts w:cs="Arial"/>
                <w:lang w:eastAsia="en-US"/>
              </w:rPr>
              <w:t>Plant and air–conditioning equipment is screened from view of the road or adjoining residential activity.</w:t>
            </w:r>
          </w:p>
          <w:p w14:paraId="08E62204" w14:textId="77777777" w:rsidR="00BE36FB" w:rsidRPr="009B7B35" w:rsidRDefault="00BE36FB" w:rsidP="001A7107">
            <w:pPr>
              <w:pStyle w:val="TableText"/>
              <w:rPr>
                <w:rFonts w:cs="Arial"/>
                <w:lang w:eastAsia="en-US"/>
              </w:rPr>
            </w:pPr>
          </w:p>
        </w:tc>
      </w:tr>
      <w:tr w:rsidR="00BE36FB" w:rsidRPr="009B7B35" w14:paraId="60FA53B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2B934491" w14:textId="77777777" w:rsidR="00BE36FB" w:rsidRPr="009B7B35" w:rsidRDefault="00BE36FB" w:rsidP="001A7107">
            <w:pPr>
              <w:pStyle w:val="TableText"/>
              <w:rPr>
                <w:rFonts w:cs="Arial"/>
                <w:b/>
                <w:bCs/>
                <w:lang w:eastAsia="en-US"/>
              </w:rPr>
            </w:pPr>
            <w:r w:rsidRPr="009B7B35">
              <w:rPr>
                <w:rFonts w:cs="Arial"/>
                <w:b/>
                <w:bCs/>
                <w:lang w:eastAsia="en-US"/>
              </w:rPr>
              <w:t>PO5</w:t>
            </w:r>
          </w:p>
          <w:p w14:paraId="4BBA297E" w14:textId="77777777" w:rsidR="00BE36FB" w:rsidRPr="009B7B35" w:rsidRDefault="00BE36FB" w:rsidP="001A7107">
            <w:pPr>
              <w:pStyle w:val="TableText"/>
              <w:rPr>
                <w:rFonts w:cs="Arial"/>
                <w:lang w:eastAsia="en-US"/>
              </w:rPr>
            </w:pPr>
            <w:r w:rsidRPr="009B7B35">
              <w:rPr>
                <w:rFonts w:cs="Arial"/>
                <w:lang w:eastAsia="en-US"/>
              </w:rPr>
              <w:t>Development must not unreasonably affect the amenity of the surrounding area.</w:t>
            </w:r>
          </w:p>
        </w:tc>
        <w:tc>
          <w:tcPr>
            <w:cnfStyle w:val="000100000000" w:firstRow="0" w:lastRow="0" w:firstColumn="0" w:lastColumn="1" w:oddVBand="0" w:evenVBand="0" w:oddHBand="0" w:evenHBand="0" w:firstRowFirstColumn="0" w:firstRowLastColumn="0" w:lastRowFirstColumn="0" w:lastRowLastColumn="0"/>
            <w:tcW w:w="4678" w:type="dxa"/>
          </w:tcPr>
          <w:p w14:paraId="3FD6B72B" w14:textId="77777777" w:rsidR="00BE36FB" w:rsidRPr="009B7B35" w:rsidRDefault="00BE36FB" w:rsidP="001A7107">
            <w:pPr>
              <w:pStyle w:val="TableText"/>
              <w:rPr>
                <w:rFonts w:cs="Arial"/>
                <w:b/>
                <w:bCs/>
                <w:color w:val="auto"/>
                <w:lang w:eastAsia="en-US"/>
              </w:rPr>
            </w:pPr>
            <w:r w:rsidRPr="009B7B35">
              <w:rPr>
                <w:rFonts w:cs="Arial"/>
                <w:b/>
                <w:bCs/>
                <w:color w:val="auto"/>
                <w:lang w:eastAsia="en-US"/>
              </w:rPr>
              <w:t>AO5</w:t>
            </w:r>
          </w:p>
          <w:p w14:paraId="2B3DB1C8" w14:textId="77777777" w:rsidR="00BE36FB" w:rsidRPr="009B7B35" w:rsidRDefault="00BE36FB" w:rsidP="001A7107">
            <w:pPr>
              <w:pStyle w:val="TableText"/>
              <w:rPr>
                <w:rFonts w:cs="Arial"/>
                <w:lang w:eastAsia="en-US"/>
              </w:rPr>
            </w:pPr>
            <w:r w:rsidRPr="009B7B35">
              <w:rPr>
                <w:rFonts w:cs="Arial"/>
                <w:lang w:eastAsia="en-US"/>
              </w:rPr>
              <w:t>Hours of operation of any ancillary kiosk or food and drink outlet are limited to 6</w:t>
            </w:r>
            <w:r w:rsidRPr="009B7B35">
              <w:rPr>
                <w:rFonts w:cs="Arial"/>
              </w:rPr>
              <w:t>am</w:t>
            </w:r>
            <w:r w:rsidRPr="009B7B35">
              <w:rPr>
                <w:rFonts w:cs="Arial"/>
                <w:lang w:eastAsia="en-US"/>
              </w:rPr>
              <w:t xml:space="preserve"> to </w:t>
            </w:r>
            <w:r w:rsidRPr="009B7B35">
              <w:rPr>
                <w:rFonts w:cs="Arial"/>
              </w:rPr>
              <w:t>8pm</w:t>
            </w:r>
            <w:r w:rsidRPr="009B7B35">
              <w:rPr>
                <w:rFonts w:cs="Arial"/>
                <w:lang w:eastAsia="en-US"/>
              </w:rPr>
              <w:t>.</w:t>
            </w:r>
          </w:p>
          <w:p w14:paraId="78DA123B" w14:textId="77777777" w:rsidR="00BE36FB" w:rsidRPr="009B7B35" w:rsidRDefault="00BE36FB" w:rsidP="001A7107">
            <w:pPr>
              <w:pStyle w:val="TableText"/>
              <w:rPr>
                <w:rFonts w:cs="Arial"/>
                <w:lang w:eastAsia="en-US"/>
              </w:rPr>
            </w:pPr>
          </w:p>
        </w:tc>
      </w:tr>
      <w:tr w:rsidR="00BE36FB" w:rsidRPr="009B7B35" w14:paraId="04BEFE4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7E69D403" w14:textId="77777777" w:rsidR="00BE36FB" w:rsidRPr="009B7B35" w:rsidRDefault="00BE36FB" w:rsidP="001A7107">
            <w:pPr>
              <w:pStyle w:val="TableText"/>
              <w:rPr>
                <w:rFonts w:cs="Arial"/>
                <w:b/>
                <w:bCs/>
                <w:lang w:eastAsia="en-US"/>
              </w:rPr>
            </w:pPr>
            <w:r w:rsidRPr="009B7B35">
              <w:rPr>
                <w:rFonts w:cs="Arial"/>
                <w:b/>
                <w:bCs/>
                <w:lang w:eastAsia="en-US"/>
              </w:rPr>
              <w:t>PO6</w:t>
            </w:r>
          </w:p>
          <w:p w14:paraId="3CF77D10" w14:textId="77777777" w:rsidR="00BE36FB" w:rsidRPr="009B7B35" w:rsidRDefault="00BE36FB" w:rsidP="001A7107">
            <w:pPr>
              <w:rPr>
                <w:rFonts w:cs="Arial"/>
                <w:sz w:val="20"/>
                <w:szCs w:val="20"/>
                <w:lang w:eastAsia="en-US"/>
              </w:rPr>
            </w:pPr>
            <w:r w:rsidRPr="009B7B35">
              <w:rPr>
                <w:rFonts w:cs="Arial"/>
                <w:sz w:val="20"/>
                <w:szCs w:val="20"/>
                <w:lang w:eastAsia="en-US"/>
              </w:rPr>
              <w:t>Development minimises impacts on surrounding land and uses, having regard to:</w:t>
            </w:r>
          </w:p>
          <w:p w14:paraId="7D859FF5" w14:textId="77777777" w:rsidR="00BE36FB" w:rsidRPr="009B7B35" w:rsidRDefault="00BE36FB" w:rsidP="00BE36FB">
            <w:pPr>
              <w:pStyle w:val="TableText"/>
              <w:numPr>
                <w:ilvl w:val="0"/>
                <w:numId w:val="522"/>
              </w:numPr>
              <w:ind w:left="510" w:hanging="510"/>
              <w:rPr>
                <w:rFonts w:cs="Arial"/>
                <w:lang w:eastAsia="en-US"/>
              </w:rPr>
            </w:pPr>
            <w:r w:rsidRPr="009B7B35">
              <w:rPr>
                <w:rFonts w:cs="Arial"/>
                <w:lang w:eastAsia="en-US"/>
              </w:rPr>
              <w:t>noise</w:t>
            </w:r>
          </w:p>
          <w:p w14:paraId="0A566F58" w14:textId="77777777" w:rsidR="00BE36FB" w:rsidRPr="009B7B35" w:rsidRDefault="00BE36FB" w:rsidP="00BE36FB">
            <w:pPr>
              <w:pStyle w:val="TableText"/>
              <w:numPr>
                <w:ilvl w:val="0"/>
                <w:numId w:val="522"/>
              </w:numPr>
              <w:ind w:left="510" w:hanging="510"/>
              <w:rPr>
                <w:rFonts w:cs="Arial"/>
                <w:lang w:eastAsia="en-US"/>
              </w:rPr>
            </w:pPr>
            <w:r w:rsidRPr="009B7B35">
              <w:rPr>
                <w:rFonts w:cs="Arial"/>
                <w:lang w:eastAsia="en-US"/>
              </w:rPr>
              <w:t>visual impact</w:t>
            </w:r>
          </w:p>
          <w:p w14:paraId="30FA47D4" w14:textId="77777777" w:rsidR="00BE36FB" w:rsidRPr="009B7B35" w:rsidRDefault="00BE36FB" w:rsidP="00BE36FB">
            <w:pPr>
              <w:pStyle w:val="TableText"/>
              <w:numPr>
                <w:ilvl w:val="0"/>
                <w:numId w:val="522"/>
              </w:numPr>
              <w:ind w:left="510" w:hanging="510"/>
              <w:rPr>
                <w:rFonts w:cs="Arial"/>
                <w:lang w:eastAsia="en-US"/>
              </w:rPr>
            </w:pPr>
            <w:r w:rsidRPr="009B7B35">
              <w:rPr>
                <w:rFonts w:cs="Arial"/>
                <w:lang w:eastAsia="en-US"/>
              </w:rPr>
              <w:t>signage</w:t>
            </w:r>
          </w:p>
          <w:p w14:paraId="0CA26716" w14:textId="77777777" w:rsidR="00BE36FB" w:rsidRPr="009B7B35" w:rsidRDefault="00BE36FB" w:rsidP="00BE36FB">
            <w:pPr>
              <w:pStyle w:val="TableText"/>
              <w:numPr>
                <w:ilvl w:val="0"/>
                <w:numId w:val="522"/>
              </w:numPr>
              <w:ind w:left="510" w:hanging="510"/>
              <w:rPr>
                <w:rFonts w:cs="Arial"/>
                <w:lang w:eastAsia="en-US"/>
              </w:rPr>
            </w:pPr>
            <w:r w:rsidRPr="009B7B35">
              <w:rPr>
                <w:rFonts w:cs="Arial"/>
                <w:lang w:eastAsia="en-US"/>
              </w:rPr>
              <w:t>odour and emissions</w:t>
            </w:r>
          </w:p>
          <w:p w14:paraId="4D596D04" w14:textId="77777777" w:rsidR="00BE36FB" w:rsidRPr="009B7B35" w:rsidRDefault="00BE36FB" w:rsidP="00BE36FB">
            <w:pPr>
              <w:pStyle w:val="TableText"/>
              <w:numPr>
                <w:ilvl w:val="0"/>
                <w:numId w:val="522"/>
              </w:numPr>
              <w:ind w:left="510" w:hanging="510"/>
              <w:rPr>
                <w:rFonts w:cs="Arial"/>
                <w:lang w:eastAsia="en-US"/>
              </w:rPr>
            </w:pPr>
            <w:r w:rsidRPr="009B7B35">
              <w:rPr>
                <w:rFonts w:cs="Arial"/>
                <w:lang w:eastAsia="en-US"/>
              </w:rPr>
              <w:t>lighting</w:t>
            </w:r>
          </w:p>
          <w:p w14:paraId="7AB80ADE" w14:textId="77777777" w:rsidR="00BE36FB" w:rsidRPr="009B7B35" w:rsidRDefault="00BE36FB" w:rsidP="00BE36FB">
            <w:pPr>
              <w:pStyle w:val="TableText"/>
              <w:numPr>
                <w:ilvl w:val="0"/>
                <w:numId w:val="522"/>
              </w:numPr>
              <w:ind w:left="510" w:hanging="510"/>
              <w:rPr>
                <w:rFonts w:cs="Arial"/>
                <w:lang w:eastAsia="en-US"/>
              </w:rPr>
            </w:pPr>
            <w:r w:rsidRPr="009B7B35">
              <w:rPr>
                <w:rFonts w:cs="Arial"/>
                <w:lang w:eastAsia="en-US"/>
              </w:rPr>
              <w:t xml:space="preserve">access to sunlight, and </w:t>
            </w:r>
          </w:p>
          <w:p w14:paraId="0185CD61" w14:textId="77777777" w:rsidR="00BE36FB" w:rsidRPr="009B7B35" w:rsidRDefault="00BE36FB" w:rsidP="00BE36FB">
            <w:pPr>
              <w:pStyle w:val="TableText"/>
              <w:numPr>
                <w:ilvl w:val="0"/>
                <w:numId w:val="522"/>
              </w:numPr>
              <w:ind w:left="510" w:hanging="510"/>
              <w:rPr>
                <w:rFonts w:cs="Arial"/>
                <w:lang w:eastAsia="en-US"/>
              </w:rPr>
            </w:pPr>
            <w:r w:rsidRPr="009B7B35">
              <w:rPr>
                <w:rFonts w:cs="Arial"/>
                <w:lang w:eastAsia="en-US"/>
              </w:rPr>
              <w:t>privacy.</w:t>
            </w:r>
          </w:p>
          <w:p w14:paraId="0524B6EB" w14:textId="77777777" w:rsidR="00BE36FB" w:rsidRPr="009B7B35" w:rsidRDefault="00BE36FB" w:rsidP="001A7107">
            <w:pPr>
              <w:pStyle w:val="Notes"/>
              <w:rPr>
                <w:rFonts w:cs="Arial"/>
                <w:sz w:val="20"/>
                <w:szCs w:val="20"/>
                <w:lang w:eastAsia="en-US"/>
              </w:rPr>
            </w:pPr>
            <w:r w:rsidRPr="009B7B35">
              <w:rPr>
                <w:rFonts w:cs="Arial"/>
                <w:sz w:val="20"/>
                <w:szCs w:val="20"/>
                <w:lang w:eastAsia="en-US"/>
              </w:rPr>
              <w:t>Note—Applicants may be required to engage specialists to provide detailed investigations into the above matters in order to demonstrate compliance with this performance outcome.</w:t>
            </w:r>
          </w:p>
        </w:tc>
        <w:tc>
          <w:tcPr>
            <w:cnfStyle w:val="000100000000" w:firstRow="0" w:lastRow="0" w:firstColumn="0" w:lastColumn="1" w:oddVBand="0" w:evenVBand="0" w:oddHBand="0" w:evenHBand="0" w:firstRowFirstColumn="0" w:firstRowLastColumn="0" w:lastRowFirstColumn="0" w:lastRowLastColumn="0"/>
            <w:tcW w:w="4678" w:type="dxa"/>
          </w:tcPr>
          <w:p w14:paraId="6C89FD15" w14:textId="77777777" w:rsidR="00BE36FB" w:rsidRPr="009B7B35" w:rsidRDefault="00BE36FB" w:rsidP="001A7107">
            <w:pPr>
              <w:rPr>
                <w:rFonts w:cs="Arial"/>
                <w:sz w:val="20"/>
                <w:szCs w:val="20"/>
                <w:lang w:eastAsia="en-US"/>
              </w:rPr>
            </w:pPr>
            <w:r w:rsidRPr="009B7B35">
              <w:rPr>
                <w:rFonts w:cs="Arial"/>
                <w:sz w:val="20"/>
                <w:szCs w:val="20"/>
                <w:lang w:eastAsia="en-US"/>
              </w:rPr>
              <w:t>No acceptable outcome is nominated.</w:t>
            </w:r>
          </w:p>
        </w:tc>
      </w:tr>
      <w:tr w:rsidR="00BE36FB" w:rsidRPr="009B7B35" w14:paraId="552E9D6F"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2E2ED1AD"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Protection of natural values</w:t>
            </w:r>
          </w:p>
        </w:tc>
      </w:tr>
      <w:tr w:rsidR="00BE36FB" w:rsidRPr="009B7B35" w14:paraId="1A2B117C"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785A7F04" w14:textId="77777777" w:rsidR="00BE36FB" w:rsidRPr="009B7B35" w:rsidRDefault="00BE36FB" w:rsidP="001A7107">
            <w:pPr>
              <w:pStyle w:val="TableText"/>
              <w:rPr>
                <w:rFonts w:cs="Arial"/>
                <w:b/>
                <w:lang w:eastAsia="en-US"/>
              </w:rPr>
            </w:pPr>
            <w:r w:rsidRPr="009B7B35">
              <w:rPr>
                <w:rFonts w:cs="Arial"/>
                <w:b/>
                <w:lang w:eastAsia="en-US"/>
              </w:rPr>
              <w:t>PO7</w:t>
            </w:r>
          </w:p>
          <w:p w14:paraId="42C7B889" w14:textId="77777777" w:rsidR="00BE36FB" w:rsidRPr="009B7B35" w:rsidRDefault="00BE36FB" w:rsidP="001A7107">
            <w:pPr>
              <w:rPr>
                <w:rFonts w:cs="Arial"/>
                <w:sz w:val="20"/>
                <w:szCs w:val="20"/>
                <w:lang w:eastAsia="en-US"/>
              </w:rPr>
            </w:pPr>
            <w:r w:rsidRPr="009B7B35">
              <w:rPr>
                <w:rFonts w:cs="Arial"/>
                <w:sz w:val="20"/>
                <w:szCs w:val="20"/>
                <w:lang w:eastAsia="en-US"/>
              </w:rPr>
              <w:t xml:space="preserve">The site layout and design responds sensitively to on–site and surrounding topography, coastal foreshore areas, waterways, drainage patterns, </w:t>
            </w:r>
            <w:r w:rsidRPr="009B7B35">
              <w:rPr>
                <w:rFonts w:cs="Arial"/>
                <w:sz w:val="20"/>
                <w:szCs w:val="20"/>
              </w:rPr>
              <w:t xml:space="preserve">and </w:t>
            </w:r>
            <w:r w:rsidRPr="009B7B35">
              <w:rPr>
                <w:rFonts w:cs="Arial"/>
                <w:sz w:val="20"/>
                <w:szCs w:val="20"/>
                <w:lang w:eastAsia="en-US"/>
              </w:rPr>
              <w:t xml:space="preserve">ecological values </w:t>
            </w:r>
            <w:r w:rsidRPr="009B7B35">
              <w:rPr>
                <w:rFonts w:cs="Arial"/>
                <w:sz w:val="20"/>
                <w:szCs w:val="20"/>
              </w:rPr>
              <w:t>such that</w:t>
            </w:r>
            <w:r w:rsidRPr="009B7B35">
              <w:rPr>
                <w:rFonts w:cs="Arial"/>
                <w:sz w:val="20"/>
                <w:szCs w:val="20"/>
                <w:lang w:eastAsia="en-US"/>
              </w:rPr>
              <w:t>:</w:t>
            </w:r>
          </w:p>
          <w:p w14:paraId="02FF31D2" w14:textId="77777777" w:rsidR="00BE36FB" w:rsidRPr="009B7B35" w:rsidRDefault="00BE36FB" w:rsidP="00BE36FB">
            <w:pPr>
              <w:pStyle w:val="TableText"/>
              <w:numPr>
                <w:ilvl w:val="0"/>
                <w:numId w:val="523"/>
              </w:numPr>
              <w:rPr>
                <w:rFonts w:cs="Arial"/>
                <w:lang w:eastAsia="en-US"/>
              </w:rPr>
            </w:pPr>
            <w:r w:rsidRPr="009B7B35">
              <w:rPr>
                <w:rFonts w:cs="Arial"/>
                <w:lang w:eastAsia="en-US"/>
              </w:rPr>
              <w:t>any hazards to people or property are avoided</w:t>
            </w:r>
          </w:p>
          <w:p w14:paraId="1326F4CC" w14:textId="77777777" w:rsidR="00BE36FB" w:rsidRPr="009B7B35" w:rsidRDefault="00BE36FB" w:rsidP="00BE36FB">
            <w:pPr>
              <w:pStyle w:val="TableText"/>
              <w:numPr>
                <w:ilvl w:val="0"/>
                <w:numId w:val="523"/>
              </w:numPr>
              <w:rPr>
                <w:rFonts w:cs="Arial"/>
                <w:lang w:eastAsia="en-US"/>
              </w:rPr>
            </w:pPr>
            <w:r w:rsidRPr="009B7B35">
              <w:rPr>
                <w:rFonts w:cs="Arial"/>
                <w:lang w:eastAsia="en-US"/>
              </w:rPr>
              <w:t>any earthworks are minimised</w:t>
            </w:r>
          </w:p>
          <w:p w14:paraId="5889EFBB" w14:textId="77777777" w:rsidR="00BE36FB" w:rsidRPr="009B7B35" w:rsidRDefault="00BE36FB" w:rsidP="00BE36FB">
            <w:pPr>
              <w:pStyle w:val="TableText"/>
              <w:numPr>
                <w:ilvl w:val="0"/>
                <w:numId w:val="523"/>
              </w:numPr>
              <w:rPr>
                <w:rFonts w:cs="Arial"/>
                <w:lang w:eastAsia="en-US"/>
              </w:rPr>
            </w:pPr>
            <w:r w:rsidRPr="009B7B35">
              <w:rPr>
                <w:rFonts w:cs="Arial"/>
                <w:lang w:eastAsia="en-US"/>
              </w:rPr>
              <w:t xml:space="preserve">the retention of natural drainage lines </w:t>
            </w:r>
            <w:r w:rsidRPr="009B7B35">
              <w:rPr>
                <w:rFonts w:cs="Arial"/>
              </w:rPr>
              <w:t>is</w:t>
            </w:r>
            <w:r w:rsidRPr="009B7B35">
              <w:rPr>
                <w:rFonts w:cs="Arial"/>
                <w:lang w:eastAsia="en-US"/>
              </w:rPr>
              <w:t xml:space="preserve"> maximised</w:t>
            </w:r>
          </w:p>
          <w:p w14:paraId="3EBEBD90" w14:textId="77777777" w:rsidR="00BE36FB" w:rsidRPr="009B7B35" w:rsidRDefault="00BE36FB" w:rsidP="00BE36FB">
            <w:pPr>
              <w:pStyle w:val="TableText"/>
              <w:numPr>
                <w:ilvl w:val="0"/>
                <w:numId w:val="523"/>
              </w:numPr>
              <w:rPr>
                <w:rFonts w:cs="Arial"/>
                <w:lang w:eastAsia="en-US"/>
              </w:rPr>
            </w:pPr>
            <w:r w:rsidRPr="009B7B35">
              <w:rPr>
                <w:rFonts w:cs="Arial"/>
                <w:lang w:eastAsia="en-US"/>
              </w:rPr>
              <w:t>the retention of existing vegetation is maximised</w:t>
            </w:r>
          </w:p>
          <w:p w14:paraId="367B14FB" w14:textId="77777777" w:rsidR="00BE36FB" w:rsidRPr="009B7B35" w:rsidRDefault="00BE36FB" w:rsidP="00BE36FB">
            <w:pPr>
              <w:pStyle w:val="TableText"/>
              <w:numPr>
                <w:ilvl w:val="0"/>
                <w:numId w:val="523"/>
              </w:numPr>
              <w:rPr>
                <w:rFonts w:cs="Arial"/>
                <w:lang w:eastAsia="en-US"/>
              </w:rPr>
            </w:pPr>
            <w:r w:rsidRPr="009B7B35">
              <w:rPr>
                <w:rFonts w:cs="Arial"/>
                <w:lang w:eastAsia="en-US"/>
              </w:rPr>
              <w:t>damage  or disruption to sewer</w:t>
            </w:r>
            <w:r w:rsidRPr="009B7B35">
              <w:rPr>
                <w:rFonts w:cs="Arial"/>
              </w:rPr>
              <w:t>age</w:t>
            </w:r>
            <w:r w:rsidRPr="009B7B35">
              <w:rPr>
                <w:rFonts w:cs="Arial"/>
                <w:lang w:eastAsia="en-US"/>
              </w:rPr>
              <w:t xml:space="preserve">, stormwater and water infrastructure is avoided, and </w:t>
            </w:r>
          </w:p>
          <w:p w14:paraId="2AE0A898" w14:textId="77777777" w:rsidR="00BE36FB" w:rsidRPr="009B7B35" w:rsidRDefault="00BE36FB" w:rsidP="00BE36FB">
            <w:pPr>
              <w:pStyle w:val="TableText"/>
              <w:numPr>
                <w:ilvl w:val="0"/>
                <w:numId w:val="523"/>
              </w:numPr>
              <w:rPr>
                <w:rFonts w:cs="Arial"/>
                <w:lang w:eastAsia="en-US"/>
              </w:rPr>
            </w:pPr>
            <w:r w:rsidRPr="009B7B35">
              <w:rPr>
                <w:rFonts w:cs="Arial"/>
                <w:lang w:eastAsia="en-US"/>
              </w:rPr>
              <w:t>there is adequate buffering, screening or separation to adjoining development.</w:t>
            </w:r>
          </w:p>
        </w:tc>
        <w:tc>
          <w:tcPr>
            <w:cnfStyle w:val="000100000000" w:firstRow="0" w:lastRow="0" w:firstColumn="0" w:lastColumn="1" w:oddVBand="0" w:evenVBand="0" w:oddHBand="0" w:evenHBand="0" w:firstRowFirstColumn="0" w:firstRowLastColumn="0" w:lastRowFirstColumn="0" w:lastRowLastColumn="0"/>
            <w:tcW w:w="4678" w:type="dxa"/>
          </w:tcPr>
          <w:p w14:paraId="07B086AB" w14:textId="77777777" w:rsidR="00BE36FB" w:rsidRPr="009B7B35" w:rsidRDefault="00BE36FB" w:rsidP="001A7107">
            <w:pPr>
              <w:rPr>
                <w:rFonts w:cs="Arial"/>
                <w:sz w:val="20"/>
                <w:szCs w:val="20"/>
                <w:lang w:eastAsia="en-US"/>
              </w:rPr>
            </w:pPr>
            <w:r w:rsidRPr="009B7B35">
              <w:rPr>
                <w:rFonts w:cs="Arial"/>
                <w:sz w:val="20"/>
                <w:szCs w:val="20"/>
                <w:lang w:eastAsia="en-US"/>
              </w:rPr>
              <w:t>No acceptable outcome is nominated.</w:t>
            </w:r>
          </w:p>
        </w:tc>
      </w:tr>
      <w:tr w:rsidR="00BE36FB" w:rsidRPr="009B7B35" w14:paraId="223D73D3"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014A80D7"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Nature based tourism</w:t>
            </w:r>
          </w:p>
        </w:tc>
      </w:tr>
      <w:tr w:rsidR="00BE36FB" w:rsidRPr="009B7B35" w14:paraId="75B2D0C7" w14:textId="77777777"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2A913694" w14:textId="77777777" w:rsidR="00BE36FB" w:rsidRPr="009B7B35" w:rsidRDefault="00BE36FB" w:rsidP="001A7107">
            <w:pPr>
              <w:pStyle w:val="TableText"/>
              <w:rPr>
                <w:rFonts w:cs="Arial"/>
                <w:b/>
                <w:bCs w:val="0"/>
                <w:color w:val="auto"/>
                <w:lang w:eastAsia="en-US"/>
              </w:rPr>
            </w:pPr>
            <w:r w:rsidRPr="009B7B35">
              <w:rPr>
                <w:rFonts w:cs="Arial"/>
                <w:b/>
                <w:color w:val="auto"/>
                <w:lang w:eastAsia="en-US"/>
              </w:rPr>
              <w:t>PO8</w:t>
            </w:r>
          </w:p>
          <w:p w14:paraId="1FE79157" w14:textId="77777777" w:rsidR="00BE36FB" w:rsidRPr="009B7B35" w:rsidRDefault="00BE36FB" w:rsidP="001A7107">
            <w:pPr>
              <w:pStyle w:val="TableText"/>
              <w:rPr>
                <w:rFonts w:cs="Arial"/>
                <w:color w:val="auto"/>
                <w:lang w:eastAsia="en-US"/>
              </w:rPr>
            </w:pPr>
            <w:r w:rsidRPr="009B7B35">
              <w:rPr>
                <w:rFonts w:cs="Arial"/>
                <w:color w:val="auto"/>
                <w:lang w:eastAsia="en-US"/>
              </w:rPr>
              <w:t xml:space="preserve">Development </w:t>
            </w:r>
            <w:r w:rsidRPr="009B7B35">
              <w:rPr>
                <w:rFonts w:cs="Arial"/>
                <w:color w:val="auto"/>
              </w:rPr>
              <w:t xml:space="preserve">protects environmental values and </w:t>
            </w:r>
            <w:r w:rsidRPr="009B7B35">
              <w:rPr>
                <w:rFonts w:cs="Arial"/>
                <w:color w:val="auto"/>
                <w:lang w:eastAsia="en-US"/>
              </w:rPr>
              <w:t>is of a scale and intensity that does not compromise the low density and environmental character of the locality.</w:t>
            </w:r>
          </w:p>
        </w:tc>
        <w:tc>
          <w:tcPr>
            <w:cnfStyle w:val="000100000000" w:firstRow="0" w:lastRow="0" w:firstColumn="0" w:lastColumn="1" w:oddVBand="0" w:evenVBand="0" w:oddHBand="0" w:evenHBand="0" w:firstRowFirstColumn="0" w:firstRowLastColumn="0" w:lastRowFirstColumn="0" w:lastRowLastColumn="0"/>
            <w:tcW w:w="4678" w:type="dxa"/>
          </w:tcPr>
          <w:p w14:paraId="11BF6FF7" w14:textId="77777777" w:rsidR="00BE36FB" w:rsidRPr="009B7B35" w:rsidRDefault="00BE36FB" w:rsidP="001A7107">
            <w:pPr>
              <w:pStyle w:val="TableText"/>
              <w:rPr>
                <w:rFonts w:cs="Arial"/>
                <w:b/>
                <w:color w:val="auto"/>
              </w:rPr>
            </w:pPr>
            <w:r w:rsidRPr="009B7B35">
              <w:rPr>
                <w:rFonts w:cs="Arial"/>
                <w:b/>
                <w:color w:val="auto"/>
              </w:rPr>
              <w:t>AO8</w:t>
            </w:r>
          </w:p>
          <w:p w14:paraId="78371F25" w14:textId="77777777" w:rsidR="00BE36FB" w:rsidRPr="009B7B35" w:rsidRDefault="00BE36FB" w:rsidP="001A7107">
            <w:pPr>
              <w:pStyle w:val="TableText"/>
              <w:rPr>
                <w:rFonts w:cs="Arial"/>
                <w:color w:val="auto"/>
                <w:lang w:eastAsia="en-US"/>
              </w:rPr>
            </w:pPr>
            <w:r w:rsidRPr="009B7B35">
              <w:rPr>
                <w:rFonts w:cs="Arial"/>
                <w:color w:val="auto"/>
                <w:lang w:eastAsia="en-US"/>
              </w:rPr>
              <w:t>Development does not exceed more than one guest per 1,000m</w:t>
            </w:r>
            <w:r w:rsidRPr="009B7B35">
              <w:rPr>
                <w:rFonts w:cs="Arial"/>
                <w:color w:val="auto"/>
                <w:vertAlign w:val="superscript"/>
                <w:lang w:eastAsia="en-US"/>
              </w:rPr>
              <w:t>2</w:t>
            </w:r>
            <w:r w:rsidRPr="009B7B35">
              <w:rPr>
                <w:rFonts w:cs="Arial"/>
                <w:color w:val="auto"/>
                <w:lang w:eastAsia="en-US"/>
              </w:rPr>
              <w:t xml:space="preserve"> of site area.</w:t>
            </w:r>
          </w:p>
        </w:tc>
      </w:tr>
    </w:tbl>
    <w:p w14:paraId="68004DF6" w14:textId="77777777" w:rsidR="00BE36FB" w:rsidRPr="009B7B35" w:rsidRDefault="00BE36FB" w:rsidP="001A7107">
      <w:pPr>
        <w:rPr>
          <w:rFonts w:ascii="Arial" w:hAnsi="Arial" w:cs="Arial"/>
          <w:sz w:val="20"/>
          <w:szCs w:val="20"/>
        </w:rPr>
      </w:pPr>
    </w:p>
    <w:p w14:paraId="6EBBD751"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37402F6B" w14:textId="77777777" w:rsidR="00BE36FB" w:rsidRPr="009B7B35" w:rsidRDefault="00BE36FB" w:rsidP="006776DA">
      <w:pPr>
        <w:pStyle w:val="Heading3"/>
        <w:keepLines/>
        <w:numPr>
          <w:ilvl w:val="2"/>
          <w:numId w:val="883"/>
        </w:numPr>
        <w:spacing w:before="240"/>
        <w:rPr>
          <w:rFonts w:ascii="Arial" w:hAnsi="Arial"/>
          <w:sz w:val="20"/>
          <w:szCs w:val="20"/>
        </w:rPr>
      </w:pPr>
      <w:bookmarkStart w:id="200" w:name="_Toc205367363"/>
      <w:r w:rsidRPr="009B7B35">
        <w:rPr>
          <w:rFonts w:ascii="Arial" w:hAnsi="Arial"/>
          <w:sz w:val="20"/>
          <w:szCs w:val="20"/>
        </w:rPr>
        <w:t>Community facilities</w:t>
      </w:r>
      <w:bookmarkEnd w:id="200"/>
    </w:p>
    <w:p w14:paraId="3467F26A"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12CB9E7C"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288BA396"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100F6F3D" w14:textId="77777777" w:rsidR="00BE36FB" w:rsidRPr="009B7B35" w:rsidRDefault="00BE36FB" w:rsidP="00BE36FB">
      <w:pPr>
        <w:numPr>
          <w:ilvl w:val="0"/>
          <w:numId w:val="284"/>
        </w:numPr>
        <w:rPr>
          <w:rFonts w:ascii="Arial" w:hAnsi="Arial" w:cs="Arial"/>
          <w:sz w:val="20"/>
          <w:szCs w:val="20"/>
        </w:rPr>
      </w:pPr>
      <w:r w:rsidRPr="009B7B35">
        <w:rPr>
          <w:rFonts w:ascii="Arial" w:hAnsi="Arial" w:cs="Arial"/>
          <w:sz w:val="20"/>
          <w:szCs w:val="20"/>
        </w:rPr>
        <w:t xml:space="preserve">The purpose of the community facilities zone code is to: </w:t>
      </w:r>
    </w:p>
    <w:p w14:paraId="3B2B1E0C" w14:textId="77777777"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provide for community related activities and facilities whether under public or private ownership;</w:t>
      </w:r>
    </w:p>
    <w:p w14:paraId="002C969E" w14:textId="77777777"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ensure all communities have access to a range of community services and facilities which meet local needs; and</w:t>
      </w:r>
    </w:p>
    <w:p w14:paraId="499AE039" w14:textId="77777777"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 xml:space="preserve">locate higher order community facilities generally in the Gladstone urban area. </w:t>
      </w:r>
    </w:p>
    <w:p w14:paraId="5598C6B8" w14:textId="77777777" w:rsidR="00BE36FB" w:rsidRPr="009B7B35" w:rsidRDefault="00BE36FB" w:rsidP="00BE36FB">
      <w:pPr>
        <w:pStyle w:val="NormalIndent"/>
        <w:numPr>
          <w:ilvl w:val="0"/>
          <w:numId w:val="284"/>
        </w:numPr>
        <w:rPr>
          <w:rFonts w:cs="Arial"/>
          <w:szCs w:val="20"/>
        </w:rPr>
      </w:pPr>
      <w:r w:rsidRPr="009B7B35">
        <w:rPr>
          <w:rFonts w:cs="Arial"/>
          <w:szCs w:val="20"/>
        </w:rPr>
        <w:t xml:space="preserve">Community facilities may include the provision of municipal services, government installations, hospitals and schools and community infrastructure of an artistic, social or cultural nature. </w:t>
      </w:r>
    </w:p>
    <w:p w14:paraId="610C6B2A" w14:textId="77777777" w:rsidR="00BE36FB" w:rsidRPr="009B7B35" w:rsidRDefault="00BE36FB" w:rsidP="00BE36FB">
      <w:pPr>
        <w:numPr>
          <w:ilvl w:val="0"/>
          <w:numId w:val="284"/>
        </w:numPr>
        <w:rPr>
          <w:rFonts w:ascii="Arial" w:hAnsi="Arial" w:cs="Arial"/>
          <w:sz w:val="20"/>
          <w:szCs w:val="20"/>
        </w:rPr>
      </w:pPr>
      <w:r w:rsidRPr="009B7B35">
        <w:rPr>
          <w:rFonts w:ascii="Arial" w:hAnsi="Arial" w:cs="Arial"/>
          <w:sz w:val="20"/>
          <w:szCs w:val="20"/>
        </w:rPr>
        <w:t>The purpose of the zone will be achieved through the following overall outcomes:</w:t>
      </w:r>
    </w:p>
    <w:p w14:paraId="347820CC" w14:textId="77777777"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Development is generally consistent in scale, height and bulk with that of surrounding development.</w:t>
      </w:r>
    </w:p>
    <w:p w14:paraId="7F8EF338" w14:textId="77777777"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Community facilities are in highly accessible locations and are designed to promote safe and efficient public use, walking and cycling.</w:t>
      </w:r>
    </w:p>
    <w:p w14:paraId="2A15A5A1" w14:textId="77777777"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Adverse impacts on natural features and processes are avoided.</w:t>
      </w:r>
    </w:p>
    <w:p w14:paraId="1B7FD5C0" w14:textId="77777777"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Development is sited, designed and operated in a way that does not adversely impact on the amenity of adjoining properties.</w:t>
      </w:r>
    </w:p>
    <w:p w14:paraId="1237EC70" w14:textId="77777777"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Development is designed to incorporate sustainable practices including maximising energy efficiency and water conservation.</w:t>
      </w:r>
    </w:p>
    <w:p w14:paraId="06763552" w14:textId="77777777"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Impacts on adjacent areas from development and activities within the zone are managed through buffering to adjacent sensitive land uses and appropriate design, siting and operation of facilities and infrastructure.</w:t>
      </w:r>
    </w:p>
    <w:p w14:paraId="7FE839D7" w14:textId="77777777"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Areas of ecological significance, high scenic amenity or cultural heritage are protected from the adverse impacts of sport and recreation activities.</w:t>
      </w:r>
    </w:p>
    <w:p w14:paraId="0AFFF002" w14:textId="77777777" w:rsidR="00BE36FB" w:rsidRPr="009B7B35" w:rsidRDefault="00BE36FB" w:rsidP="00BE36FB">
      <w:pPr>
        <w:numPr>
          <w:ilvl w:val="1"/>
          <w:numId w:val="284"/>
        </w:numPr>
        <w:rPr>
          <w:rFonts w:ascii="Arial" w:hAnsi="Arial" w:cs="Arial"/>
          <w:sz w:val="20"/>
          <w:szCs w:val="20"/>
        </w:rPr>
      </w:pPr>
      <w:r w:rsidRPr="009B7B35">
        <w:rPr>
          <w:rFonts w:ascii="Arial" w:hAnsi="Arial" w:cs="Arial"/>
          <w:sz w:val="20"/>
          <w:szCs w:val="20"/>
        </w:rPr>
        <w:t>Development responds to land constraints, including but not limited to topography, bushfire and flooding.</w:t>
      </w:r>
    </w:p>
    <w:p w14:paraId="17A73CCB"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05D3F6D7" w14:textId="77777777" w:rsidR="00BE36FB" w:rsidRPr="009B7B35" w:rsidRDefault="00BE36FB" w:rsidP="003A35DA">
      <w:pPr>
        <w:pStyle w:val="Heading5"/>
        <w:numPr>
          <w:ilvl w:val="0"/>
          <w:numId w:val="0"/>
        </w:numPr>
        <w:rPr>
          <w:rFonts w:cs="Arial"/>
          <w:szCs w:val="20"/>
        </w:rPr>
      </w:pPr>
      <w:r w:rsidRPr="009B7B35">
        <w:rPr>
          <w:rFonts w:cs="Arial"/>
          <w:szCs w:val="20"/>
        </w:rPr>
        <w:t>Table 6.2.18.3.1— Accepted development subject to requirements and assessable development</w:t>
      </w:r>
    </w:p>
    <w:tbl>
      <w:tblPr>
        <w:tblStyle w:val="Tablestyle"/>
        <w:tblW w:w="0" w:type="auto"/>
        <w:tblLook w:val="04A0" w:firstRow="1" w:lastRow="0" w:firstColumn="1" w:lastColumn="0" w:noHBand="0" w:noVBand="1"/>
      </w:tblPr>
      <w:tblGrid>
        <w:gridCol w:w="4214"/>
        <w:gridCol w:w="4149"/>
      </w:tblGrid>
      <w:tr w:rsidR="00BE36FB" w:rsidRPr="009B7B35" w14:paraId="0E44EB25"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705" w:type="dxa"/>
          </w:tcPr>
          <w:p w14:paraId="2FB14756" w14:textId="77777777" w:rsidR="00BE36FB" w:rsidRPr="009B7B35" w:rsidRDefault="00BE36FB" w:rsidP="001A7107">
            <w:pPr>
              <w:pStyle w:val="TableText"/>
              <w:rPr>
                <w:rFonts w:cs="Arial"/>
              </w:rPr>
            </w:pPr>
            <w:r w:rsidRPr="009B7B35">
              <w:rPr>
                <w:rFonts w:cs="Arial"/>
              </w:rPr>
              <w:t>Performance outcomes</w:t>
            </w:r>
          </w:p>
        </w:tc>
        <w:tc>
          <w:tcPr>
            <w:tcW w:w="4706" w:type="dxa"/>
          </w:tcPr>
          <w:p w14:paraId="3F0A6EAE"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Acceptable outcomes</w:t>
            </w:r>
          </w:p>
        </w:tc>
      </w:tr>
      <w:tr w:rsidR="00BE36FB" w:rsidRPr="009B7B35" w14:paraId="12F31747"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411" w:type="dxa"/>
            <w:gridSpan w:val="2"/>
            <w:shd w:val="clear" w:color="auto" w:fill="BFBFBF" w:themeFill="background1" w:themeFillShade="BF"/>
          </w:tcPr>
          <w:p w14:paraId="04FDAD6E"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 accommodation</w:t>
            </w:r>
          </w:p>
        </w:tc>
      </w:tr>
      <w:tr w:rsidR="00BE36FB" w:rsidRPr="009B7B35" w14:paraId="1D9A2D5F"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val="restart"/>
          </w:tcPr>
          <w:p w14:paraId="12D0A8C2" w14:textId="77777777" w:rsidR="00BE36FB" w:rsidRPr="009B7B35" w:rsidRDefault="00BE36FB" w:rsidP="001A7107">
            <w:pPr>
              <w:pStyle w:val="TableText"/>
              <w:rPr>
                <w:rFonts w:cs="Arial"/>
                <w:b/>
                <w:bCs/>
              </w:rPr>
            </w:pPr>
            <w:r w:rsidRPr="009B7B35">
              <w:rPr>
                <w:rFonts w:cs="Arial"/>
                <w:b/>
                <w:bCs/>
              </w:rPr>
              <w:t>PO1</w:t>
            </w:r>
          </w:p>
          <w:p w14:paraId="69E6C329" w14:textId="77777777" w:rsidR="00BE36FB" w:rsidRPr="009B7B35" w:rsidRDefault="00BE36FB" w:rsidP="001A7107">
            <w:pPr>
              <w:pStyle w:val="TableText"/>
              <w:rPr>
                <w:rFonts w:cs="Arial"/>
              </w:rPr>
            </w:pPr>
            <w:r w:rsidRPr="009B7B35">
              <w:rPr>
                <w:rFonts w:cs="Arial"/>
              </w:rPr>
              <w:t xml:space="preserve">Development: </w:t>
            </w:r>
          </w:p>
          <w:p w14:paraId="54D9EDEF" w14:textId="77777777" w:rsidR="00BE36FB" w:rsidRPr="009B7B35" w:rsidRDefault="00BE36FB" w:rsidP="00BE36FB">
            <w:pPr>
              <w:pStyle w:val="TableText"/>
              <w:numPr>
                <w:ilvl w:val="0"/>
                <w:numId w:val="180"/>
              </w:numPr>
              <w:rPr>
                <w:rFonts w:cs="Arial"/>
              </w:rPr>
            </w:pPr>
            <w:r w:rsidRPr="009B7B35">
              <w:rPr>
                <w:rFonts w:cs="Arial"/>
              </w:rPr>
              <w:t>is ancillary to the primary use, and</w:t>
            </w:r>
          </w:p>
          <w:p w14:paraId="4789D532" w14:textId="77777777" w:rsidR="00BE36FB" w:rsidRPr="009B7B35" w:rsidRDefault="00BE36FB" w:rsidP="00BE36FB">
            <w:pPr>
              <w:pStyle w:val="TableText"/>
              <w:numPr>
                <w:ilvl w:val="0"/>
                <w:numId w:val="180"/>
              </w:numPr>
              <w:rPr>
                <w:rFonts w:cs="Arial"/>
              </w:rPr>
            </w:pPr>
            <w:r w:rsidRPr="009B7B35">
              <w:rPr>
                <w:rFonts w:cs="Arial"/>
              </w:rPr>
              <w:t>provides adequate open space for the caretaker.</w:t>
            </w:r>
          </w:p>
        </w:tc>
        <w:tc>
          <w:tcPr>
            <w:tcW w:w="4706" w:type="dxa"/>
          </w:tcPr>
          <w:p w14:paraId="0DC4C42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AO1.1</w:t>
            </w:r>
          </w:p>
          <w:p w14:paraId="50A679C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No more than 1 caretaker’s accommodation unit is established on the site. </w:t>
            </w:r>
          </w:p>
        </w:tc>
      </w:tr>
      <w:tr w:rsidR="00BE36FB" w:rsidRPr="009B7B35" w14:paraId="66F2C05B"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tcPr>
          <w:p w14:paraId="3ECB4ED5" w14:textId="77777777" w:rsidR="00BE36FB" w:rsidRPr="009B7B35" w:rsidRDefault="00BE36FB" w:rsidP="001A7107">
            <w:pPr>
              <w:pStyle w:val="TableText"/>
              <w:rPr>
                <w:rFonts w:cs="Arial"/>
              </w:rPr>
            </w:pPr>
          </w:p>
        </w:tc>
        <w:tc>
          <w:tcPr>
            <w:tcW w:w="4706" w:type="dxa"/>
          </w:tcPr>
          <w:p w14:paraId="189C197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AO1.2</w:t>
            </w:r>
          </w:p>
          <w:p w14:paraId="378AE7F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caretaker’s accommodation unit is a maximum of 100m</w:t>
            </w:r>
            <w:r w:rsidRPr="009B7B35">
              <w:rPr>
                <w:rStyle w:val="StyleSuperscript"/>
                <w:rFonts w:cs="Arial"/>
              </w:rPr>
              <w:t>2</w:t>
            </w:r>
            <w:r w:rsidRPr="009B7B35">
              <w:rPr>
                <w:rFonts w:cs="Arial"/>
              </w:rPr>
              <w:t xml:space="preserve"> GFA.</w:t>
            </w:r>
          </w:p>
        </w:tc>
      </w:tr>
      <w:tr w:rsidR="00BE36FB" w:rsidRPr="009B7B35" w14:paraId="2D4E88CC"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tcPr>
          <w:p w14:paraId="09CA4F09" w14:textId="77777777" w:rsidR="00BE36FB" w:rsidRPr="009B7B35" w:rsidRDefault="00BE36FB" w:rsidP="001A7107">
            <w:pPr>
              <w:pStyle w:val="TableText"/>
              <w:rPr>
                <w:rFonts w:cs="Arial"/>
              </w:rPr>
            </w:pPr>
          </w:p>
        </w:tc>
        <w:tc>
          <w:tcPr>
            <w:tcW w:w="4706" w:type="dxa"/>
          </w:tcPr>
          <w:p w14:paraId="3146B5E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AO1.3</w:t>
            </w:r>
          </w:p>
          <w:p w14:paraId="00BE450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Private open space area is provided which: </w:t>
            </w:r>
          </w:p>
          <w:p w14:paraId="1E69ED2A" w14:textId="77777777" w:rsidR="00BE36FB" w:rsidRPr="009B7B35" w:rsidRDefault="00BE36FB" w:rsidP="00BE36FB">
            <w:pPr>
              <w:pStyle w:val="TableText"/>
              <w:numPr>
                <w:ilvl w:val="0"/>
                <w:numId w:val="289"/>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is directly accessible from a habitable room, and </w:t>
            </w:r>
          </w:p>
          <w:p w14:paraId="60BC27C5" w14:textId="77777777" w:rsidR="00BE36FB" w:rsidRPr="009B7B35" w:rsidRDefault="00BE36FB" w:rsidP="00BE36FB">
            <w:pPr>
              <w:pStyle w:val="TableText"/>
              <w:numPr>
                <w:ilvl w:val="0"/>
                <w:numId w:val="289"/>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where a balcony, a verandah or a deck, has a minimum area of 15m</w:t>
            </w:r>
            <w:r w:rsidRPr="009B7B35">
              <w:rPr>
                <w:rStyle w:val="StyleSuperscript"/>
                <w:rFonts w:cs="Arial"/>
              </w:rPr>
              <w:t>2</w:t>
            </w:r>
            <w:r w:rsidRPr="009B7B35">
              <w:rPr>
                <w:rFonts w:cs="Arial"/>
              </w:rPr>
              <w:t xml:space="preserve"> with minimum horizontal dimensions of 1.25m.</w:t>
            </w:r>
          </w:p>
        </w:tc>
      </w:tr>
      <w:tr w:rsidR="00BE36FB" w:rsidRPr="009B7B35" w14:paraId="6D5AABF1"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411" w:type="dxa"/>
            <w:gridSpan w:val="2"/>
            <w:shd w:val="clear" w:color="auto" w:fill="BFBFBF" w:themeFill="background1" w:themeFillShade="BF"/>
          </w:tcPr>
          <w:p w14:paraId="38E2BC32" w14:textId="77777777"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14:paraId="08F98A57"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tcPr>
          <w:p w14:paraId="4A833E54" w14:textId="77777777" w:rsidR="00BE36FB" w:rsidRPr="009B7B35" w:rsidRDefault="00BE36FB" w:rsidP="001A7107">
            <w:pPr>
              <w:pStyle w:val="TableText"/>
              <w:rPr>
                <w:rFonts w:cs="Arial"/>
                <w:b/>
                <w:bCs/>
              </w:rPr>
            </w:pPr>
            <w:r w:rsidRPr="009B7B35">
              <w:rPr>
                <w:rFonts w:cs="Arial"/>
                <w:b/>
                <w:bCs/>
              </w:rPr>
              <w:t>PO2</w:t>
            </w:r>
          </w:p>
          <w:p w14:paraId="27FAE712" w14:textId="77777777" w:rsidR="00BE36FB" w:rsidRPr="009B7B35" w:rsidRDefault="00BE36FB" w:rsidP="001A7107">
            <w:pPr>
              <w:pStyle w:val="TableText"/>
              <w:rPr>
                <w:rFonts w:cs="Arial"/>
              </w:rPr>
            </w:pPr>
            <w:r w:rsidRPr="009B7B35">
              <w:rPr>
                <w:rFonts w:cs="Arial"/>
              </w:rPr>
              <w:t xml:space="preserve">Built form is of a height that: </w:t>
            </w:r>
          </w:p>
          <w:p w14:paraId="5F7F6D1C" w14:textId="77777777" w:rsidR="00BE36FB" w:rsidRPr="009B7B35" w:rsidRDefault="00BE36FB" w:rsidP="00BE36FB">
            <w:pPr>
              <w:pStyle w:val="TableText"/>
              <w:numPr>
                <w:ilvl w:val="0"/>
                <w:numId w:val="179"/>
              </w:numPr>
              <w:rPr>
                <w:rFonts w:cs="Arial"/>
              </w:rPr>
            </w:pPr>
            <w:r w:rsidRPr="009B7B35">
              <w:rPr>
                <w:rFonts w:cs="Arial"/>
              </w:rPr>
              <w:t>is low–medium rise and visually unobtrusive</w:t>
            </w:r>
          </w:p>
          <w:p w14:paraId="3689C7A1" w14:textId="77777777" w:rsidR="00BE36FB" w:rsidRPr="009B7B35" w:rsidRDefault="00BE36FB" w:rsidP="00BE36FB">
            <w:pPr>
              <w:pStyle w:val="TableText"/>
              <w:numPr>
                <w:ilvl w:val="0"/>
                <w:numId w:val="179"/>
              </w:numPr>
              <w:rPr>
                <w:rFonts w:cs="Arial"/>
              </w:rPr>
            </w:pPr>
            <w:r w:rsidRPr="009B7B35">
              <w:rPr>
                <w:rFonts w:cs="Arial"/>
              </w:rPr>
              <w:t>protects residential amenity and minimises overshadowing and overlooking where adjoining an existing residential use or a residential zone.</w:t>
            </w:r>
          </w:p>
        </w:tc>
        <w:tc>
          <w:tcPr>
            <w:tcW w:w="4706" w:type="dxa"/>
          </w:tcPr>
          <w:p w14:paraId="5EBC3A0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AO2</w:t>
            </w:r>
          </w:p>
          <w:p w14:paraId="760A6CB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Building height does not exceed 12m.</w:t>
            </w:r>
          </w:p>
        </w:tc>
      </w:tr>
      <w:tr w:rsidR="00BE36FB" w:rsidRPr="009B7B35" w14:paraId="1DC978A6"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val="restart"/>
          </w:tcPr>
          <w:p w14:paraId="683CE7C5" w14:textId="77777777" w:rsidR="00BE36FB" w:rsidRPr="009B7B35" w:rsidRDefault="00BE36FB" w:rsidP="001A7107">
            <w:pPr>
              <w:pStyle w:val="TableText"/>
              <w:rPr>
                <w:rFonts w:cs="Arial"/>
                <w:b/>
                <w:bCs/>
              </w:rPr>
            </w:pPr>
            <w:r w:rsidRPr="009B7B35">
              <w:rPr>
                <w:rFonts w:cs="Arial"/>
                <w:b/>
                <w:bCs/>
              </w:rPr>
              <w:t>PO3</w:t>
            </w:r>
          </w:p>
          <w:p w14:paraId="03946B4E" w14:textId="77777777" w:rsidR="00BE36FB" w:rsidRPr="009B7B35" w:rsidRDefault="00BE36FB" w:rsidP="001A7107">
            <w:pPr>
              <w:pStyle w:val="TableText"/>
              <w:rPr>
                <w:rFonts w:cs="Arial"/>
              </w:rPr>
            </w:pPr>
            <w:r w:rsidRPr="009B7B35">
              <w:rPr>
                <w:rFonts w:cs="Arial"/>
              </w:rPr>
              <w:t>Front building setbacks and orientation provide for an attractive streetscape that is compatible with existing characteristics of the local area.</w:t>
            </w:r>
          </w:p>
        </w:tc>
        <w:tc>
          <w:tcPr>
            <w:tcW w:w="4706" w:type="dxa"/>
          </w:tcPr>
          <w:p w14:paraId="6FE530A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AO3.1</w:t>
            </w:r>
          </w:p>
          <w:p w14:paraId="4689568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Buildings have their main facade and entry facing the street</w:t>
            </w:r>
          </w:p>
        </w:tc>
      </w:tr>
      <w:tr w:rsidR="00BE36FB" w:rsidRPr="009B7B35" w14:paraId="20180E50"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tcPr>
          <w:p w14:paraId="55263898" w14:textId="77777777" w:rsidR="00BE36FB" w:rsidRPr="009B7B35" w:rsidRDefault="00BE36FB" w:rsidP="001A7107">
            <w:pPr>
              <w:pStyle w:val="TableText"/>
              <w:rPr>
                <w:rFonts w:cs="Arial"/>
              </w:rPr>
            </w:pPr>
          </w:p>
        </w:tc>
        <w:tc>
          <w:tcPr>
            <w:tcW w:w="4706" w:type="dxa"/>
          </w:tcPr>
          <w:p w14:paraId="3655F33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AO3.2</w:t>
            </w:r>
          </w:p>
          <w:p w14:paraId="1A60503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Front boundary setbacks for buildings are: </w:t>
            </w:r>
          </w:p>
          <w:p w14:paraId="7BF1E92D" w14:textId="77777777" w:rsidR="00BE36FB" w:rsidRPr="009B7B35" w:rsidRDefault="00BE36FB" w:rsidP="00BE36FB">
            <w:pPr>
              <w:pStyle w:val="TableText"/>
              <w:numPr>
                <w:ilvl w:val="0"/>
                <w:numId w:val="28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within 20% of the average front setback of adjoining buildings, or </w:t>
            </w:r>
          </w:p>
          <w:p w14:paraId="0A8B6115" w14:textId="77777777" w:rsidR="00BE36FB" w:rsidRPr="009B7B35" w:rsidRDefault="00BE36FB" w:rsidP="00BE36FB">
            <w:pPr>
              <w:pStyle w:val="TableText"/>
              <w:numPr>
                <w:ilvl w:val="0"/>
                <w:numId w:val="285"/>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where there are no adjoining buildings, 6m.</w:t>
            </w:r>
          </w:p>
        </w:tc>
      </w:tr>
      <w:tr w:rsidR="00BE36FB" w:rsidRPr="009B7B35" w14:paraId="3BB311CE"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tcPr>
          <w:p w14:paraId="55E9E8EE" w14:textId="77777777" w:rsidR="00BE36FB" w:rsidRPr="009B7B35" w:rsidRDefault="00BE36FB" w:rsidP="001A7107">
            <w:pPr>
              <w:pStyle w:val="TableText"/>
              <w:rPr>
                <w:rFonts w:cs="Arial"/>
                <w:b/>
                <w:bCs/>
              </w:rPr>
            </w:pPr>
            <w:r w:rsidRPr="009B7B35">
              <w:rPr>
                <w:rFonts w:cs="Arial"/>
                <w:b/>
                <w:bCs/>
              </w:rPr>
              <w:t>PO4</w:t>
            </w:r>
          </w:p>
          <w:p w14:paraId="0999D273" w14:textId="77777777" w:rsidR="00BE36FB" w:rsidRPr="009B7B35" w:rsidRDefault="00BE36FB" w:rsidP="001A7107">
            <w:pPr>
              <w:pStyle w:val="TableText"/>
              <w:rPr>
                <w:rFonts w:cs="Arial"/>
              </w:rPr>
            </w:pPr>
            <w:r w:rsidRPr="009B7B35">
              <w:rPr>
                <w:rFonts w:cs="Arial"/>
              </w:rPr>
              <w:t>Development minimises the bulk of buildings to assist integration with surrounding development and character of the locality.</w:t>
            </w:r>
          </w:p>
        </w:tc>
        <w:tc>
          <w:tcPr>
            <w:tcW w:w="4706" w:type="dxa"/>
          </w:tcPr>
          <w:p w14:paraId="6D2B2D0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AO4</w:t>
            </w:r>
          </w:p>
          <w:p w14:paraId="2C6BB95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Walls are articulated so that they do not exceed a length of 15m without a change in plane of at least 1m depth.</w:t>
            </w:r>
          </w:p>
        </w:tc>
      </w:tr>
      <w:tr w:rsidR="00BE36FB" w:rsidRPr="009B7B35" w14:paraId="3B247C82"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411" w:type="dxa"/>
            <w:gridSpan w:val="2"/>
            <w:shd w:val="clear" w:color="auto" w:fill="BFBFBF" w:themeFill="background1" w:themeFillShade="BF"/>
          </w:tcPr>
          <w:p w14:paraId="5FBEF0B0" w14:textId="77777777"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14:paraId="7F51D52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vMerge w:val="restart"/>
          </w:tcPr>
          <w:p w14:paraId="01C968A3" w14:textId="77777777" w:rsidR="00BE36FB" w:rsidRPr="009B7B35" w:rsidRDefault="00BE36FB" w:rsidP="001A7107">
            <w:pPr>
              <w:pStyle w:val="TableText"/>
              <w:rPr>
                <w:rFonts w:cs="Arial"/>
                <w:b/>
                <w:bCs/>
              </w:rPr>
            </w:pPr>
            <w:r w:rsidRPr="009B7B35">
              <w:rPr>
                <w:rFonts w:cs="Arial"/>
                <w:b/>
                <w:bCs/>
              </w:rPr>
              <w:t>PO5</w:t>
            </w:r>
          </w:p>
          <w:p w14:paraId="26BFEDCA" w14:textId="77777777" w:rsidR="00BE36FB" w:rsidRPr="009B7B35" w:rsidRDefault="00BE36FB" w:rsidP="001A7107">
            <w:pPr>
              <w:pStyle w:val="TableText"/>
              <w:rPr>
                <w:rFonts w:cs="Arial"/>
              </w:rPr>
            </w:pPr>
            <w:r w:rsidRPr="009B7B35">
              <w:rPr>
                <w:rFonts w:cs="Arial"/>
              </w:rPr>
              <w:t>Development provides adequate separation and buffering from any adjoining residential premises or residential zone so that residential privacy and amenity is not adversely affected.</w:t>
            </w:r>
          </w:p>
        </w:tc>
        <w:tc>
          <w:tcPr>
            <w:tcW w:w="4706" w:type="dxa"/>
          </w:tcPr>
          <w:p w14:paraId="2C12172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AO5.1</w:t>
            </w:r>
          </w:p>
          <w:p w14:paraId="4D10246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Buildings are set back 3m or half the height of that part of the building, whichever is the greater, from any boundary shared with a residential use or land within a residential zone.</w:t>
            </w:r>
          </w:p>
        </w:tc>
      </w:tr>
      <w:tr w:rsidR="00BE36FB" w:rsidRPr="009B7B35" w14:paraId="375825B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vMerge/>
          </w:tcPr>
          <w:p w14:paraId="016AAFBB" w14:textId="77777777" w:rsidR="00BE36FB" w:rsidRPr="009B7B35" w:rsidRDefault="00BE36FB" w:rsidP="001A7107">
            <w:pPr>
              <w:pStyle w:val="TableText"/>
              <w:rPr>
                <w:rFonts w:cs="Arial"/>
              </w:rPr>
            </w:pPr>
          </w:p>
        </w:tc>
        <w:tc>
          <w:tcPr>
            <w:tcW w:w="4706" w:type="dxa"/>
          </w:tcPr>
          <w:p w14:paraId="74E450E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AO5.2</w:t>
            </w:r>
          </w:p>
          <w:p w14:paraId="7600A20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Where development adjoins a residential use or land within a residential zone: </w:t>
            </w:r>
          </w:p>
          <w:p w14:paraId="1155ED4C" w14:textId="77777777" w:rsidR="00BE36FB" w:rsidRPr="009B7B35" w:rsidRDefault="00BE36FB" w:rsidP="00BE36FB">
            <w:pPr>
              <w:pStyle w:val="TableText"/>
              <w:numPr>
                <w:ilvl w:val="0"/>
                <w:numId w:val="286"/>
              </w:numPr>
              <w:ind w:left="625" w:hanging="625"/>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a 1.8m high solid screen fence is provided along that common boundary, or </w:t>
            </w:r>
          </w:p>
          <w:p w14:paraId="287D39FA" w14:textId="77777777" w:rsidR="00BE36FB" w:rsidRPr="009B7B35" w:rsidRDefault="00BE36FB" w:rsidP="00BE36FB">
            <w:pPr>
              <w:pStyle w:val="TableText"/>
              <w:numPr>
                <w:ilvl w:val="0"/>
                <w:numId w:val="286"/>
              </w:numPr>
              <w:ind w:left="625" w:hanging="625"/>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 landscaped buffer with a minimum width of 3m and consisting of dense screen planting is provided along that common boundary.</w:t>
            </w:r>
          </w:p>
          <w:p w14:paraId="6725FC97" w14:textId="77777777" w:rsidR="00BE36FB" w:rsidRPr="009B7B35" w:rsidRDefault="00BE36FB">
            <w:pPr>
              <w:pStyle w:val="Notes"/>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Note—Refer also to the Landscaping code.</w:t>
            </w:r>
          </w:p>
        </w:tc>
      </w:tr>
      <w:tr w:rsidR="00BE36FB" w:rsidRPr="009B7B35" w14:paraId="513FAEC8"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tcPr>
          <w:p w14:paraId="4BABB6CB" w14:textId="77777777" w:rsidR="00BE36FB" w:rsidRPr="009B7B35" w:rsidRDefault="00BE36FB" w:rsidP="001A7107">
            <w:pPr>
              <w:pStyle w:val="TableText"/>
              <w:rPr>
                <w:rFonts w:cs="Arial"/>
              </w:rPr>
            </w:pPr>
          </w:p>
        </w:tc>
        <w:tc>
          <w:tcPr>
            <w:tcW w:w="4706" w:type="dxa"/>
          </w:tcPr>
          <w:p w14:paraId="1590775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AO5.3</w:t>
            </w:r>
          </w:p>
          <w:p w14:paraId="6240210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Windows that have a direct view into an adjoining residential use are provided with fixed screening that is a maximum of 50% transparent to obscure views and maintain privacy for residents.</w:t>
            </w:r>
          </w:p>
        </w:tc>
      </w:tr>
      <w:tr w:rsidR="00BE36FB" w:rsidRPr="009B7B35" w14:paraId="4A2ACAD2"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tcPr>
          <w:p w14:paraId="13211310" w14:textId="77777777" w:rsidR="00BE36FB" w:rsidRPr="009B7B35" w:rsidRDefault="00BE36FB" w:rsidP="001A7107">
            <w:pPr>
              <w:pStyle w:val="TableText"/>
              <w:rPr>
                <w:rFonts w:cs="Arial"/>
              </w:rPr>
            </w:pPr>
          </w:p>
        </w:tc>
        <w:tc>
          <w:tcPr>
            <w:tcW w:w="4706" w:type="dxa"/>
          </w:tcPr>
          <w:p w14:paraId="76E50F9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AO5.4</w:t>
            </w:r>
          </w:p>
          <w:p w14:paraId="4C934E2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Plant and air–conditioning equipment is screened from view of the road or adjoining residential activity.</w:t>
            </w:r>
          </w:p>
        </w:tc>
      </w:tr>
      <w:tr w:rsidR="00BE36FB" w:rsidRPr="009B7B35" w14:paraId="120FB3A4"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tcPr>
          <w:p w14:paraId="66B3B626" w14:textId="77777777" w:rsidR="00BE36FB" w:rsidRPr="009B7B35" w:rsidRDefault="00BE36FB" w:rsidP="001A7107">
            <w:pPr>
              <w:pStyle w:val="TableText"/>
              <w:rPr>
                <w:rFonts w:cs="Arial"/>
                <w:b/>
                <w:bCs/>
              </w:rPr>
            </w:pPr>
            <w:r w:rsidRPr="009B7B35">
              <w:rPr>
                <w:rFonts w:cs="Arial"/>
                <w:b/>
                <w:bCs/>
              </w:rPr>
              <w:t>PO6</w:t>
            </w:r>
          </w:p>
          <w:p w14:paraId="175FC42C" w14:textId="77777777" w:rsidR="00BE36FB" w:rsidRPr="009B7B35" w:rsidRDefault="00BE36FB" w:rsidP="001A7107">
            <w:pPr>
              <w:pStyle w:val="TableText"/>
              <w:rPr>
                <w:rFonts w:cs="Arial"/>
              </w:rPr>
            </w:pPr>
            <w:r w:rsidRPr="009B7B35">
              <w:rPr>
                <w:rFonts w:cs="Arial"/>
              </w:rPr>
              <w:t>The amenity of the locality is not unreasonably affected as a result of the development.</w:t>
            </w:r>
          </w:p>
        </w:tc>
        <w:tc>
          <w:tcPr>
            <w:tcW w:w="4706" w:type="dxa"/>
          </w:tcPr>
          <w:p w14:paraId="4FF582D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AO6</w:t>
            </w:r>
          </w:p>
          <w:p w14:paraId="18A8FDB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Hours of operation are limited to:</w:t>
            </w:r>
          </w:p>
          <w:p w14:paraId="261A5B9B" w14:textId="77777777" w:rsidR="00BE36FB" w:rsidRPr="009B7B35" w:rsidRDefault="00BE36FB" w:rsidP="00BE36FB">
            <w:pPr>
              <w:pStyle w:val="TableText"/>
              <w:numPr>
                <w:ilvl w:val="0"/>
                <w:numId w:val="287"/>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7am to 6pm, or</w:t>
            </w:r>
          </w:p>
          <w:p w14:paraId="5C390207" w14:textId="77777777" w:rsidR="00BE36FB" w:rsidRPr="009B7B35" w:rsidRDefault="00BE36FB" w:rsidP="00BE36FB">
            <w:pPr>
              <w:pStyle w:val="TableText"/>
              <w:numPr>
                <w:ilvl w:val="0"/>
                <w:numId w:val="287"/>
              </w:numPr>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6am to 10pm where not adjoining an existing residential use or land within a residential zone.</w:t>
            </w:r>
          </w:p>
        </w:tc>
      </w:tr>
      <w:tr w:rsidR="00BE36FB" w:rsidRPr="009B7B35" w14:paraId="7F6D669D"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val="restart"/>
          </w:tcPr>
          <w:p w14:paraId="7F6B6008" w14:textId="77777777" w:rsidR="00BE36FB" w:rsidRPr="009B7B35" w:rsidRDefault="00BE36FB" w:rsidP="001A7107">
            <w:pPr>
              <w:pStyle w:val="TableText"/>
              <w:rPr>
                <w:rFonts w:cs="Arial"/>
                <w:b/>
                <w:bCs/>
              </w:rPr>
            </w:pPr>
            <w:r w:rsidRPr="009B7B35">
              <w:rPr>
                <w:rFonts w:cs="Arial"/>
                <w:b/>
                <w:bCs/>
              </w:rPr>
              <w:t>PO7</w:t>
            </w:r>
          </w:p>
          <w:p w14:paraId="555021B8" w14:textId="77777777" w:rsidR="00BE36FB" w:rsidRPr="009B7B35" w:rsidRDefault="00BE36FB" w:rsidP="001A7107">
            <w:pPr>
              <w:pStyle w:val="TableText"/>
              <w:rPr>
                <w:rFonts w:cs="Arial"/>
              </w:rPr>
            </w:pPr>
            <w:r w:rsidRPr="009B7B35">
              <w:rPr>
                <w:rFonts w:cs="Arial"/>
              </w:rPr>
              <w:t>Outdoor lighting does not adversely affect the amenity of adjoining properties or create a traffic hazard on adjacent roads.</w:t>
            </w:r>
          </w:p>
        </w:tc>
        <w:tc>
          <w:tcPr>
            <w:tcW w:w="4706" w:type="dxa"/>
          </w:tcPr>
          <w:p w14:paraId="7E2A71C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AO7.1</w:t>
            </w:r>
          </w:p>
          <w:p w14:paraId="3D5BA24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Light emanating from any source complies with A</w:t>
            </w:r>
            <w:r w:rsidRPr="009B7B35">
              <w:rPr>
                <w:rStyle w:val="StyleItalic"/>
                <w:rFonts w:cs="Arial"/>
              </w:rPr>
              <w:t>ustralian Standard AS4282 Control of the Obtrusive Effects of Outdoor Lighting</w:t>
            </w:r>
            <w:r w:rsidRPr="009B7B35">
              <w:rPr>
                <w:rFonts w:cs="Arial"/>
              </w:rPr>
              <w:t xml:space="preserve"> as amended.</w:t>
            </w:r>
          </w:p>
        </w:tc>
      </w:tr>
      <w:tr w:rsidR="00BE36FB" w:rsidRPr="009B7B35" w14:paraId="26501D8A"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tcPr>
          <w:p w14:paraId="230699A9" w14:textId="77777777" w:rsidR="00BE36FB" w:rsidRPr="009B7B35" w:rsidRDefault="00BE36FB" w:rsidP="001A7107">
            <w:pPr>
              <w:pStyle w:val="TableText"/>
              <w:rPr>
                <w:rFonts w:cs="Arial"/>
              </w:rPr>
            </w:pPr>
          </w:p>
        </w:tc>
        <w:tc>
          <w:tcPr>
            <w:tcW w:w="4706" w:type="dxa"/>
          </w:tcPr>
          <w:p w14:paraId="4F41AF5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AO7.2</w:t>
            </w:r>
          </w:p>
          <w:p w14:paraId="25F0EA1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Outdoor lighting is provided in accordance with </w:t>
            </w:r>
            <w:r w:rsidRPr="009B7B35">
              <w:rPr>
                <w:rStyle w:val="StyleItalic"/>
                <w:rFonts w:cs="Arial"/>
              </w:rPr>
              <w:t>Australian Standard AS1158.1.1 – Road Lighting – Vehicular Traffic (Category V) Lighting – Performance and Installation Design Requirements</w:t>
            </w:r>
            <w:r w:rsidRPr="009B7B35">
              <w:rPr>
                <w:rFonts w:cs="Arial"/>
              </w:rPr>
              <w:t xml:space="preserve"> as amended.</w:t>
            </w:r>
          </w:p>
        </w:tc>
      </w:tr>
      <w:tr w:rsidR="00BE36FB" w:rsidRPr="009B7B35" w14:paraId="01C4844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14:paraId="6A89F3AC" w14:textId="77777777" w:rsidR="00BE36FB" w:rsidRPr="009B7B35" w:rsidRDefault="00BE36FB" w:rsidP="001A7107">
            <w:pPr>
              <w:pStyle w:val="TableText"/>
              <w:rPr>
                <w:rFonts w:cs="Arial"/>
                <w:b/>
                <w:bCs/>
              </w:rPr>
            </w:pPr>
            <w:r w:rsidRPr="009B7B35">
              <w:rPr>
                <w:rFonts w:cs="Arial"/>
                <w:b/>
                <w:bCs/>
              </w:rPr>
              <w:t>PO8</w:t>
            </w:r>
          </w:p>
          <w:p w14:paraId="495604B2" w14:textId="77777777" w:rsidR="00BE36FB" w:rsidRPr="009B7B35" w:rsidRDefault="00BE36FB" w:rsidP="001A7107">
            <w:pPr>
              <w:pStyle w:val="TableText"/>
              <w:rPr>
                <w:rFonts w:cs="Arial"/>
              </w:rPr>
            </w:pPr>
            <w:r w:rsidRPr="009B7B35">
              <w:rPr>
                <w:rFonts w:cs="Arial"/>
              </w:rPr>
              <w:t xml:space="preserve">Refuse storage areas and storage of goods or materials in open areas is presented in a manner that does not detract from the visual amenity of the locality. </w:t>
            </w:r>
          </w:p>
        </w:tc>
        <w:tc>
          <w:tcPr>
            <w:tcW w:w="4706" w:type="dxa"/>
          </w:tcPr>
          <w:p w14:paraId="03FEFA2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color w:val="auto"/>
              </w:rPr>
              <w:t>AO8</w:t>
            </w:r>
          </w:p>
          <w:p w14:paraId="67CE992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The open area used for the storage of refuse, vehicles, machinery, goods and materials used on the site is: </w:t>
            </w:r>
          </w:p>
          <w:p w14:paraId="7BD767B4" w14:textId="77777777" w:rsidR="00BE36FB" w:rsidRPr="009B7B35" w:rsidRDefault="00BE36FB" w:rsidP="00BE36FB">
            <w:pPr>
              <w:pStyle w:val="TableText"/>
              <w:numPr>
                <w:ilvl w:val="0"/>
                <w:numId w:val="288"/>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located no closer than 3m from any boundary, and </w:t>
            </w:r>
          </w:p>
          <w:p w14:paraId="11B2571C" w14:textId="77777777" w:rsidR="00BE36FB" w:rsidRPr="009B7B35" w:rsidRDefault="00BE36FB" w:rsidP="00BE36FB">
            <w:pPr>
              <w:pStyle w:val="TableText"/>
              <w:numPr>
                <w:ilvl w:val="0"/>
                <w:numId w:val="288"/>
              </w:numPr>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are screened from view by a 1.8m high solid screen.</w:t>
            </w:r>
          </w:p>
        </w:tc>
      </w:tr>
      <w:tr w:rsidR="00BE36FB" w:rsidRPr="009B7B35" w14:paraId="3325F7F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11" w:type="dxa"/>
            <w:gridSpan w:val="2"/>
          </w:tcPr>
          <w:p w14:paraId="6B122BC4"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5ADEFA3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11" w:type="dxa"/>
            <w:gridSpan w:val="2"/>
            <w:shd w:val="clear" w:color="auto" w:fill="BFBFBF" w:themeFill="background1" w:themeFillShade="BF"/>
          </w:tcPr>
          <w:p w14:paraId="52A68F94" w14:textId="77777777" w:rsidR="00BE36FB" w:rsidRPr="009B7B35" w:rsidRDefault="00BE36FB" w:rsidP="001A7107">
            <w:pPr>
              <w:pStyle w:val="Tableheading"/>
              <w:rPr>
                <w:rFonts w:ascii="Arial" w:hAnsi="Arial" w:cs="Arial"/>
                <w:szCs w:val="20"/>
              </w:rPr>
            </w:pPr>
            <w:r w:rsidRPr="009B7B35">
              <w:rPr>
                <w:rFonts w:ascii="Arial" w:hAnsi="Arial" w:cs="Arial"/>
                <w:szCs w:val="20"/>
              </w:rPr>
              <w:t>Uses</w:t>
            </w:r>
          </w:p>
        </w:tc>
      </w:tr>
      <w:tr w:rsidR="00BE36FB" w:rsidRPr="009B7B35" w14:paraId="7017062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14:paraId="37327EA1" w14:textId="77777777" w:rsidR="00BE36FB" w:rsidRPr="009B7B35" w:rsidRDefault="00BE36FB" w:rsidP="001A7107">
            <w:pPr>
              <w:pStyle w:val="TableText"/>
              <w:rPr>
                <w:rFonts w:cs="Arial"/>
                <w:b/>
                <w:bCs/>
              </w:rPr>
            </w:pPr>
            <w:r w:rsidRPr="009B7B35">
              <w:rPr>
                <w:rFonts w:cs="Arial"/>
                <w:b/>
                <w:bCs/>
              </w:rPr>
              <w:t>PO9</w:t>
            </w:r>
          </w:p>
          <w:p w14:paraId="2730AE1F" w14:textId="77777777" w:rsidR="00BE36FB" w:rsidRPr="009B7B35" w:rsidRDefault="00BE36FB" w:rsidP="001A7107">
            <w:pPr>
              <w:pStyle w:val="TableText"/>
              <w:rPr>
                <w:rFonts w:cs="Arial"/>
              </w:rPr>
            </w:pPr>
            <w:r w:rsidRPr="009B7B35">
              <w:rPr>
                <w:rFonts w:cs="Arial"/>
              </w:rPr>
              <w:t xml:space="preserve">Non community related activities only occur where they: </w:t>
            </w:r>
          </w:p>
          <w:p w14:paraId="1194A79E" w14:textId="77777777" w:rsidR="00BE36FB" w:rsidRPr="009B7B35" w:rsidRDefault="00BE36FB" w:rsidP="00BE36FB">
            <w:pPr>
              <w:pStyle w:val="TableText"/>
              <w:numPr>
                <w:ilvl w:val="0"/>
                <w:numId w:val="181"/>
              </w:numPr>
              <w:rPr>
                <w:rFonts w:cs="Arial"/>
              </w:rPr>
            </w:pPr>
            <w:r w:rsidRPr="009B7B35">
              <w:rPr>
                <w:rFonts w:cs="Arial"/>
              </w:rPr>
              <w:t xml:space="preserve">support or are otherwise complementary, to the community related activities or facilities on the site, and </w:t>
            </w:r>
          </w:p>
          <w:p w14:paraId="0EEF0F66" w14:textId="77777777" w:rsidR="00BE36FB" w:rsidRPr="009B7B35" w:rsidRDefault="00BE36FB" w:rsidP="00BE36FB">
            <w:pPr>
              <w:pStyle w:val="TableText"/>
              <w:numPr>
                <w:ilvl w:val="0"/>
                <w:numId w:val="181"/>
              </w:numPr>
              <w:rPr>
                <w:rFonts w:cs="Arial"/>
              </w:rPr>
            </w:pPr>
            <w:r w:rsidRPr="009B7B35">
              <w:rPr>
                <w:rFonts w:cs="Arial"/>
              </w:rPr>
              <w:t>are subordinate to those community activities or facilities.</w:t>
            </w:r>
          </w:p>
        </w:tc>
        <w:tc>
          <w:tcPr>
            <w:tcW w:w="4706" w:type="dxa"/>
          </w:tcPr>
          <w:p w14:paraId="042E7BF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color w:val="auto"/>
              </w:rPr>
            </w:pPr>
            <w:r w:rsidRPr="009B7B35">
              <w:rPr>
                <w:rFonts w:cs="Arial"/>
                <w:b/>
                <w:bCs/>
                <w:color w:val="auto"/>
              </w:rPr>
              <w:t>AO9</w:t>
            </w:r>
          </w:p>
          <w:p w14:paraId="0656B09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Development for a shop or food and drink outlet is: </w:t>
            </w:r>
          </w:p>
          <w:p w14:paraId="46C23081" w14:textId="77777777" w:rsidR="00BE36FB" w:rsidRPr="009B7B35" w:rsidRDefault="00BE36FB" w:rsidP="00BE36FB">
            <w:pPr>
              <w:pStyle w:val="TableText"/>
              <w:numPr>
                <w:ilvl w:val="0"/>
                <w:numId w:val="290"/>
              </w:numPr>
              <w:ind w:left="625" w:hanging="625"/>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 maximum of 150m</w:t>
            </w:r>
            <w:r w:rsidRPr="009B7B35">
              <w:rPr>
                <w:rStyle w:val="StyleSuperscript"/>
                <w:rFonts w:cs="Arial"/>
              </w:rPr>
              <w:t>2</w:t>
            </w:r>
            <w:r w:rsidRPr="009B7B35">
              <w:rPr>
                <w:rFonts w:cs="Arial"/>
              </w:rPr>
              <w:t xml:space="preserve">; and </w:t>
            </w:r>
          </w:p>
          <w:p w14:paraId="22CBAAEB" w14:textId="77777777" w:rsidR="00BE36FB" w:rsidRPr="009B7B35" w:rsidRDefault="00BE36FB" w:rsidP="00BE36FB">
            <w:pPr>
              <w:pStyle w:val="TableText"/>
              <w:numPr>
                <w:ilvl w:val="0"/>
                <w:numId w:val="290"/>
              </w:numPr>
              <w:ind w:left="625" w:hanging="625"/>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part of the building including community related activities. </w:t>
            </w:r>
          </w:p>
          <w:p w14:paraId="7A68BBFB" w14:textId="77777777" w:rsidR="00BE36FB" w:rsidRPr="009B7B35" w:rsidRDefault="00BE36FB" w:rsidP="001A7107">
            <w:pPr>
              <w:pStyle w:val="TableText"/>
              <w:ind w:left="625"/>
              <w:cnfStyle w:val="000000100000" w:firstRow="0" w:lastRow="0" w:firstColumn="0" w:lastColumn="0" w:oddVBand="0" w:evenVBand="0" w:oddHBand="1" w:evenHBand="0" w:firstRowFirstColumn="0" w:firstRowLastColumn="0" w:lastRowFirstColumn="0" w:lastRowLastColumn="0"/>
              <w:rPr>
                <w:rFonts w:cs="Arial"/>
              </w:rPr>
            </w:pPr>
          </w:p>
          <w:p w14:paraId="1F00786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Otherwise no acceptable outcome is nominated</w:t>
            </w:r>
          </w:p>
        </w:tc>
      </w:tr>
      <w:tr w:rsidR="00BE36FB" w:rsidRPr="009B7B35" w14:paraId="6025AC6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14:paraId="3E546CCC" w14:textId="77777777" w:rsidR="00BE36FB" w:rsidRPr="009B7B35" w:rsidRDefault="00BE36FB" w:rsidP="001A7107">
            <w:pPr>
              <w:pStyle w:val="TableText"/>
              <w:rPr>
                <w:rFonts w:cs="Arial"/>
                <w:b/>
                <w:bCs/>
              </w:rPr>
            </w:pPr>
            <w:r w:rsidRPr="009B7B35">
              <w:rPr>
                <w:rFonts w:cs="Arial"/>
                <w:b/>
                <w:bCs/>
              </w:rPr>
              <w:t>PO10</w:t>
            </w:r>
          </w:p>
          <w:p w14:paraId="47DEAB8B" w14:textId="77777777" w:rsidR="00BE36FB" w:rsidRPr="009B7B35" w:rsidRDefault="00BE36FB" w:rsidP="001A7107">
            <w:pPr>
              <w:rPr>
                <w:rFonts w:cs="Arial"/>
                <w:sz w:val="20"/>
                <w:szCs w:val="20"/>
              </w:rPr>
            </w:pPr>
            <w:r w:rsidRPr="009B7B35">
              <w:rPr>
                <w:rFonts w:cs="Arial"/>
                <w:sz w:val="20"/>
                <w:szCs w:val="20"/>
              </w:rPr>
              <w:t>Development does not prejudice the ongoing operation and expansion of existing community related activities on the site.</w:t>
            </w:r>
          </w:p>
        </w:tc>
        <w:tc>
          <w:tcPr>
            <w:tcW w:w="4706" w:type="dxa"/>
          </w:tcPr>
          <w:p w14:paraId="4467E0B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14:paraId="1229E665"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tcPr>
          <w:p w14:paraId="20546515" w14:textId="77777777" w:rsidR="00BE36FB" w:rsidRPr="009B7B35" w:rsidRDefault="00BE36FB" w:rsidP="001A7107">
            <w:pPr>
              <w:pStyle w:val="TableText"/>
              <w:rPr>
                <w:rFonts w:cs="Arial"/>
                <w:b/>
                <w:bCs/>
              </w:rPr>
            </w:pPr>
            <w:r w:rsidRPr="009B7B35">
              <w:rPr>
                <w:rFonts w:cs="Arial"/>
                <w:b/>
                <w:bCs/>
              </w:rPr>
              <w:t>PO11</w:t>
            </w:r>
          </w:p>
          <w:p w14:paraId="60B692CB" w14:textId="77777777" w:rsidR="00BE36FB" w:rsidRPr="009B7B35" w:rsidRDefault="00BE36FB" w:rsidP="001A7107">
            <w:pPr>
              <w:pStyle w:val="TableText"/>
              <w:rPr>
                <w:rFonts w:cs="Arial"/>
              </w:rPr>
            </w:pPr>
            <w:r w:rsidRPr="009B7B35">
              <w:rPr>
                <w:rFonts w:cs="Arial"/>
              </w:rPr>
              <w:t>Development facilitates opportunities for appropriate co–location of community related activities or facilities.</w:t>
            </w:r>
          </w:p>
        </w:tc>
        <w:tc>
          <w:tcPr>
            <w:tcW w:w="4706" w:type="dxa"/>
          </w:tcPr>
          <w:p w14:paraId="572A707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14:paraId="60AD828B"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411" w:type="dxa"/>
            <w:gridSpan w:val="2"/>
            <w:shd w:val="clear" w:color="auto" w:fill="BFBFBF" w:themeFill="background1" w:themeFillShade="BF"/>
          </w:tcPr>
          <w:p w14:paraId="6C785DA5" w14:textId="77777777" w:rsidR="00BE36FB" w:rsidRPr="009B7B35" w:rsidRDefault="00BE36FB" w:rsidP="001A7107">
            <w:pPr>
              <w:pStyle w:val="Tableheading"/>
              <w:rPr>
                <w:rFonts w:ascii="Arial" w:hAnsi="Arial" w:cs="Arial"/>
                <w:szCs w:val="20"/>
              </w:rPr>
            </w:pPr>
            <w:r w:rsidRPr="009B7B35">
              <w:rPr>
                <w:rFonts w:ascii="Arial" w:hAnsi="Arial" w:cs="Arial"/>
                <w:szCs w:val="20"/>
              </w:rPr>
              <w:t>Design and amenity</w:t>
            </w:r>
          </w:p>
        </w:tc>
      </w:tr>
      <w:tr w:rsidR="00BE36FB" w:rsidRPr="009B7B35" w14:paraId="30715E3E"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tcPr>
          <w:p w14:paraId="7B75F538" w14:textId="77777777" w:rsidR="00BE36FB" w:rsidRPr="009B7B35" w:rsidRDefault="00BE36FB" w:rsidP="001A7107">
            <w:pPr>
              <w:pStyle w:val="TableText"/>
              <w:rPr>
                <w:rFonts w:cs="Arial"/>
                <w:b/>
                <w:bCs/>
              </w:rPr>
            </w:pPr>
            <w:r w:rsidRPr="009B7B35">
              <w:rPr>
                <w:rFonts w:cs="Arial"/>
                <w:b/>
                <w:bCs/>
              </w:rPr>
              <w:t>PO12</w:t>
            </w:r>
          </w:p>
          <w:p w14:paraId="774D66AB" w14:textId="77777777" w:rsidR="00BE36FB" w:rsidRPr="009B7B35" w:rsidRDefault="00BE36FB" w:rsidP="001A7107">
            <w:pPr>
              <w:pStyle w:val="TableText"/>
              <w:rPr>
                <w:rFonts w:cs="Arial"/>
              </w:rPr>
            </w:pPr>
            <w:r w:rsidRPr="009B7B35">
              <w:rPr>
                <w:rFonts w:cs="Arial"/>
              </w:rPr>
              <w:t xml:space="preserve">Development maintains a high level of amenity within the site and minimises impacts on surrounding areas, having regard to: </w:t>
            </w:r>
          </w:p>
          <w:p w14:paraId="6F689BBD" w14:textId="77777777" w:rsidR="00BE36FB" w:rsidRPr="009B7B35" w:rsidRDefault="00BE36FB" w:rsidP="00BE36FB">
            <w:pPr>
              <w:pStyle w:val="TableText"/>
              <w:numPr>
                <w:ilvl w:val="0"/>
                <w:numId w:val="291"/>
              </w:numPr>
              <w:rPr>
                <w:rFonts w:cs="Arial"/>
              </w:rPr>
            </w:pPr>
            <w:r w:rsidRPr="009B7B35">
              <w:rPr>
                <w:rFonts w:cs="Arial"/>
              </w:rPr>
              <w:t>noise</w:t>
            </w:r>
          </w:p>
          <w:p w14:paraId="1B2B97F9" w14:textId="77777777" w:rsidR="00BE36FB" w:rsidRPr="009B7B35" w:rsidRDefault="00BE36FB" w:rsidP="00BE36FB">
            <w:pPr>
              <w:pStyle w:val="TableText"/>
              <w:numPr>
                <w:ilvl w:val="0"/>
                <w:numId w:val="291"/>
              </w:numPr>
              <w:rPr>
                <w:rFonts w:cs="Arial"/>
              </w:rPr>
            </w:pPr>
            <w:r w:rsidRPr="009B7B35">
              <w:rPr>
                <w:rFonts w:cs="Arial"/>
              </w:rPr>
              <w:t>traffic and parking</w:t>
            </w:r>
          </w:p>
          <w:p w14:paraId="7271FE1A" w14:textId="77777777" w:rsidR="00BE36FB" w:rsidRPr="009B7B35" w:rsidRDefault="00BE36FB" w:rsidP="00BE36FB">
            <w:pPr>
              <w:pStyle w:val="TableText"/>
              <w:numPr>
                <w:ilvl w:val="0"/>
                <w:numId w:val="291"/>
              </w:numPr>
              <w:rPr>
                <w:rFonts w:cs="Arial"/>
              </w:rPr>
            </w:pPr>
            <w:r w:rsidRPr="009B7B35">
              <w:rPr>
                <w:rFonts w:cs="Arial"/>
              </w:rPr>
              <w:t>visual impact</w:t>
            </w:r>
          </w:p>
          <w:p w14:paraId="1A2E12B3" w14:textId="77777777" w:rsidR="00BE36FB" w:rsidRPr="009B7B35" w:rsidRDefault="00BE36FB" w:rsidP="00BE36FB">
            <w:pPr>
              <w:pStyle w:val="TableText"/>
              <w:numPr>
                <w:ilvl w:val="0"/>
                <w:numId w:val="291"/>
              </w:numPr>
              <w:rPr>
                <w:rFonts w:cs="Arial"/>
              </w:rPr>
            </w:pPr>
            <w:r w:rsidRPr="009B7B35">
              <w:rPr>
                <w:rFonts w:cs="Arial"/>
              </w:rPr>
              <w:t>signage</w:t>
            </w:r>
          </w:p>
          <w:p w14:paraId="74901C30" w14:textId="77777777" w:rsidR="00BE36FB" w:rsidRPr="009B7B35" w:rsidRDefault="00BE36FB" w:rsidP="00BE36FB">
            <w:pPr>
              <w:pStyle w:val="TableText"/>
              <w:numPr>
                <w:ilvl w:val="0"/>
                <w:numId w:val="291"/>
              </w:numPr>
              <w:rPr>
                <w:rFonts w:cs="Arial"/>
              </w:rPr>
            </w:pPr>
            <w:r w:rsidRPr="009B7B35">
              <w:rPr>
                <w:rFonts w:cs="Arial"/>
              </w:rPr>
              <w:t>odour and emissions</w:t>
            </w:r>
          </w:p>
          <w:p w14:paraId="5796625C" w14:textId="77777777" w:rsidR="00BE36FB" w:rsidRPr="009B7B35" w:rsidRDefault="00BE36FB" w:rsidP="00BE36FB">
            <w:pPr>
              <w:pStyle w:val="TableText"/>
              <w:numPr>
                <w:ilvl w:val="0"/>
                <w:numId w:val="291"/>
              </w:numPr>
              <w:rPr>
                <w:rFonts w:cs="Arial"/>
              </w:rPr>
            </w:pPr>
            <w:r w:rsidRPr="009B7B35">
              <w:rPr>
                <w:rFonts w:cs="Arial"/>
              </w:rPr>
              <w:t xml:space="preserve">access to sunlight, and </w:t>
            </w:r>
          </w:p>
          <w:p w14:paraId="3F484641" w14:textId="77777777" w:rsidR="00BE36FB" w:rsidRPr="009B7B35" w:rsidRDefault="00BE36FB" w:rsidP="00BE36FB">
            <w:pPr>
              <w:pStyle w:val="TableText"/>
              <w:numPr>
                <w:ilvl w:val="0"/>
                <w:numId w:val="291"/>
              </w:numPr>
              <w:rPr>
                <w:rFonts w:cs="Arial"/>
              </w:rPr>
            </w:pPr>
            <w:r w:rsidRPr="009B7B35">
              <w:rPr>
                <w:rFonts w:cs="Arial"/>
              </w:rPr>
              <w:t>privacy.</w:t>
            </w:r>
          </w:p>
          <w:p w14:paraId="52BBF57E" w14:textId="77777777" w:rsidR="00BE36FB" w:rsidRPr="009B7B35" w:rsidRDefault="00BE36FB">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706" w:type="dxa"/>
          </w:tcPr>
          <w:p w14:paraId="0FC5C05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14:paraId="46ECDF7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14:paraId="08393BAE" w14:textId="77777777" w:rsidR="00BE36FB" w:rsidRPr="009B7B35" w:rsidRDefault="00BE36FB" w:rsidP="001A7107">
            <w:pPr>
              <w:pStyle w:val="TableText"/>
              <w:rPr>
                <w:rFonts w:cs="Arial"/>
                <w:b/>
                <w:bCs/>
              </w:rPr>
            </w:pPr>
            <w:r w:rsidRPr="009B7B35">
              <w:rPr>
                <w:rFonts w:cs="Arial"/>
                <w:b/>
                <w:bCs/>
              </w:rPr>
              <w:t>PO13</w:t>
            </w:r>
          </w:p>
          <w:p w14:paraId="16B33CCF" w14:textId="77777777" w:rsidR="00BE36FB" w:rsidRPr="009B7B35" w:rsidRDefault="00BE36FB" w:rsidP="001A7107">
            <w:pPr>
              <w:pStyle w:val="TableText"/>
              <w:rPr>
                <w:rFonts w:cs="Arial"/>
              </w:rPr>
            </w:pPr>
            <w:r w:rsidRPr="009B7B35">
              <w:rPr>
                <w:rFonts w:cs="Arial"/>
              </w:rPr>
              <w:t xml:space="preserve">Development must ensure safe, convenient and legible connections are provided: </w:t>
            </w:r>
          </w:p>
          <w:p w14:paraId="75308652" w14:textId="77777777" w:rsidR="00BE36FB" w:rsidRPr="009B7B35" w:rsidRDefault="00BE36FB" w:rsidP="00BE36FB">
            <w:pPr>
              <w:pStyle w:val="TableText"/>
              <w:numPr>
                <w:ilvl w:val="0"/>
                <w:numId w:val="292"/>
              </w:numPr>
              <w:rPr>
                <w:rFonts w:cs="Arial"/>
              </w:rPr>
            </w:pPr>
            <w:r w:rsidRPr="009B7B35">
              <w:rPr>
                <w:rFonts w:cs="Arial"/>
              </w:rPr>
              <w:t>for pedestrians and cyclists to, from and within the site</w:t>
            </w:r>
          </w:p>
          <w:p w14:paraId="619DEFAC" w14:textId="77777777" w:rsidR="00BE36FB" w:rsidRPr="009B7B35" w:rsidRDefault="00BE36FB" w:rsidP="00BE36FB">
            <w:pPr>
              <w:pStyle w:val="TableText"/>
              <w:numPr>
                <w:ilvl w:val="0"/>
                <w:numId w:val="292"/>
              </w:numPr>
              <w:rPr>
                <w:rFonts w:cs="Arial"/>
              </w:rPr>
            </w:pPr>
            <w:r w:rsidRPr="009B7B35">
              <w:rPr>
                <w:rFonts w:cs="Arial"/>
              </w:rPr>
              <w:t>to public transport infrastructure, open space, parkland, centres and community–related activities.</w:t>
            </w:r>
          </w:p>
        </w:tc>
        <w:tc>
          <w:tcPr>
            <w:tcW w:w="4706" w:type="dxa"/>
          </w:tcPr>
          <w:p w14:paraId="03008B4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14:paraId="4F3C567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14:paraId="0844BD0F" w14:textId="77777777" w:rsidR="00BE36FB" w:rsidRPr="009B7B35" w:rsidRDefault="00BE36FB" w:rsidP="001A7107">
            <w:pPr>
              <w:pStyle w:val="TableText"/>
              <w:rPr>
                <w:rFonts w:cs="Arial"/>
                <w:b/>
                <w:bCs/>
              </w:rPr>
            </w:pPr>
            <w:r w:rsidRPr="009B7B35">
              <w:rPr>
                <w:rFonts w:cs="Arial"/>
                <w:b/>
                <w:bCs/>
              </w:rPr>
              <w:t>PO14</w:t>
            </w:r>
          </w:p>
          <w:p w14:paraId="5015AC1C" w14:textId="77777777" w:rsidR="00BE36FB" w:rsidRPr="009B7B35" w:rsidRDefault="00BE36FB" w:rsidP="001A7107">
            <w:pPr>
              <w:pStyle w:val="TableText"/>
              <w:rPr>
                <w:rFonts w:cs="Arial"/>
              </w:rPr>
            </w:pPr>
            <w:r w:rsidRPr="009B7B35">
              <w:rPr>
                <w:rFonts w:cs="Arial"/>
              </w:rPr>
              <w:t>Development is designed to achieve safety for all users having regard to:</w:t>
            </w:r>
          </w:p>
          <w:p w14:paraId="6A7888D5" w14:textId="77777777" w:rsidR="00BE36FB" w:rsidRPr="009B7B35" w:rsidRDefault="00BE36FB" w:rsidP="00BE36FB">
            <w:pPr>
              <w:numPr>
                <w:ilvl w:val="0"/>
                <w:numId w:val="293"/>
              </w:numPr>
              <w:rPr>
                <w:rFonts w:cs="Arial"/>
                <w:sz w:val="20"/>
                <w:szCs w:val="20"/>
              </w:rPr>
            </w:pPr>
            <w:r w:rsidRPr="009B7B35">
              <w:rPr>
                <w:rFonts w:cs="Arial"/>
                <w:sz w:val="20"/>
                <w:szCs w:val="20"/>
              </w:rPr>
              <w:t>maximising casual surveillance and sight lines</w:t>
            </w:r>
          </w:p>
          <w:p w14:paraId="2D264B57" w14:textId="77777777" w:rsidR="00BE36FB" w:rsidRPr="009B7B35" w:rsidRDefault="00BE36FB" w:rsidP="00BE36FB">
            <w:pPr>
              <w:numPr>
                <w:ilvl w:val="0"/>
                <w:numId w:val="293"/>
              </w:numPr>
              <w:rPr>
                <w:rFonts w:cs="Arial"/>
                <w:sz w:val="20"/>
                <w:szCs w:val="20"/>
              </w:rPr>
            </w:pPr>
            <w:r w:rsidRPr="009B7B35">
              <w:rPr>
                <w:rFonts w:cs="Arial"/>
                <w:sz w:val="20"/>
                <w:szCs w:val="20"/>
              </w:rPr>
              <w:t>avoiding personal concealment and entrapment locations</w:t>
            </w:r>
          </w:p>
          <w:p w14:paraId="31251B07" w14:textId="77777777" w:rsidR="00BE36FB" w:rsidRPr="009B7B35" w:rsidRDefault="00BE36FB" w:rsidP="00BE36FB">
            <w:pPr>
              <w:numPr>
                <w:ilvl w:val="0"/>
                <w:numId w:val="293"/>
              </w:numPr>
              <w:rPr>
                <w:rFonts w:cs="Arial"/>
                <w:sz w:val="20"/>
                <w:szCs w:val="20"/>
              </w:rPr>
            </w:pPr>
            <w:r w:rsidRPr="009B7B35">
              <w:rPr>
                <w:rFonts w:cs="Arial"/>
                <w:sz w:val="20"/>
                <w:szCs w:val="20"/>
              </w:rPr>
              <w:t>exterior building design that promotes safety</w:t>
            </w:r>
          </w:p>
          <w:p w14:paraId="778AADE3" w14:textId="77777777" w:rsidR="00BE36FB" w:rsidRPr="009B7B35" w:rsidRDefault="00BE36FB" w:rsidP="00BE36FB">
            <w:pPr>
              <w:numPr>
                <w:ilvl w:val="0"/>
                <w:numId w:val="293"/>
              </w:numPr>
              <w:rPr>
                <w:rFonts w:cs="Arial"/>
                <w:sz w:val="20"/>
                <w:szCs w:val="20"/>
              </w:rPr>
            </w:pPr>
            <w:r w:rsidRPr="009B7B35">
              <w:rPr>
                <w:rFonts w:cs="Arial"/>
                <w:sz w:val="20"/>
                <w:szCs w:val="20"/>
              </w:rPr>
              <w:t>adequate lighting</w:t>
            </w:r>
          </w:p>
          <w:p w14:paraId="1E3DCF35" w14:textId="77777777" w:rsidR="00BE36FB" w:rsidRPr="009B7B35" w:rsidRDefault="00BE36FB" w:rsidP="00BE36FB">
            <w:pPr>
              <w:numPr>
                <w:ilvl w:val="0"/>
                <w:numId w:val="293"/>
              </w:numPr>
              <w:rPr>
                <w:rFonts w:cs="Arial"/>
                <w:sz w:val="20"/>
                <w:szCs w:val="20"/>
              </w:rPr>
            </w:pPr>
            <w:r w:rsidRPr="009B7B35">
              <w:rPr>
                <w:rFonts w:cs="Arial"/>
                <w:sz w:val="20"/>
                <w:szCs w:val="20"/>
              </w:rPr>
              <w:t xml:space="preserve">appropriate signage and wayfinding, and </w:t>
            </w:r>
          </w:p>
          <w:p w14:paraId="4442F3E7" w14:textId="77777777" w:rsidR="00BE36FB" w:rsidRPr="009B7B35" w:rsidRDefault="00BE36FB" w:rsidP="00BE36FB">
            <w:pPr>
              <w:numPr>
                <w:ilvl w:val="0"/>
                <w:numId w:val="293"/>
              </w:numPr>
              <w:rPr>
                <w:rFonts w:cs="Arial"/>
                <w:sz w:val="20"/>
                <w:szCs w:val="20"/>
              </w:rPr>
            </w:pPr>
            <w:r w:rsidRPr="009B7B35">
              <w:rPr>
                <w:rFonts w:cs="Arial"/>
                <w:sz w:val="20"/>
                <w:szCs w:val="20"/>
              </w:rPr>
              <w:t xml:space="preserve">building entrances, parking areas, loading and storage areas that are well lit and have clearly defined access points. </w:t>
            </w:r>
          </w:p>
          <w:p w14:paraId="5793C1FA" w14:textId="77777777" w:rsidR="00BE36FB" w:rsidRPr="009B7B35" w:rsidRDefault="00BE36FB" w:rsidP="001A7107">
            <w:pPr>
              <w:pStyle w:val="Notes"/>
              <w:rPr>
                <w:rFonts w:cs="Arial"/>
                <w:sz w:val="20"/>
                <w:szCs w:val="20"/>
              </w:rPr>
            </w:pPr>
            <w:r w:rsidRPr="009B7B35">
              <w:rPr>
                <w:rFonts w:cs="Arial"/>
                <w:sz w:val="20"/>
                <w:szCs w:val="20"/>
              </w:rPr>
              <w:t>Note—Applicants may find useful guidance in the Queensland Government’s Crime Prevention through Environmental Design Guidelines for Queensland.</w:t>
            </w:r>
          </w:p>
        </w:tc>
        <w:tc>
          <w:tcPr>
            <w:tcW w:w="4706" w:type="dxa"/>
          </w:tcPr>
          <w:p w14:paraId="5A85849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14:paraId="3B665AD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14:paraId="58CEFE1B" w14:textId="77777777" w:rsidR="00BE36FB" w:rsidRPr="009B7B35" w:rsidRDefault="00BE36FB" w:rsidP="001A7107">
            <w:pPr>
              <w:pStyle w:val="TableText"/>
              <w:rPr>
                <w:rFonts w:cs="Arial"/>
                <w:b/>
                <w:bCs/>
              </w:rPr>
            </w:pPr>
            <w:r w:rsidRPr="009B7B35">
              <w:rPr>
                <w:rFonts w:cs="Arial"/>
                <w:b/>
                <w:bCs/>
              </w:rPr>
              <w:t>PO15</w:t>
            </w:r>
          </w:p>
          <w:p w14:paraId="17F745F3" w14:textId="77777777" w:rsidR="00BE36FB" w:rsidRPr="009B7B35" w:rsidRDefault="00BE36FB" w:rsidP="001A7107">
            <w:pPr>
              <w:pStyle w:val="TableText"/>
              <w:rPr>
                <w:rFonts w:cs="Arial"/>
              </w:rPr>
            </w:pPr>
            <w:r w:rsidRPr="009B7B35">
              <w:rPr>
                <w:rFonts w:cs="Arial"/>
              </w:rPr>
              <w:t>Design elements contribute to an interesting and attractive streetscape and building through:</w:t>
            </w:r>
          </w:p>
          <w:p w14:paraId="04434396" w14:textId="77777777" w:rsidR="00BE36FB" w:rsidRPr="009B7B35" w:rsidRDefault="00BE36FB" w:rsidP="00BE36FB">
            <w:pPr>
              <w:pStyle w:val="TableText"/>
              <w:numPr>
                <w:ilvl w:val="0"/>
                <w:numId w:val="294"/>
              </w:numPr>
              <w:ind w:left="510" w:hanging="510"/>
              <w:rPr>
                <w:rFonts w:cs="Arial"/>
              </w:rPr>
            </w:pPr>
            <w:r w:rsidRPr="009B7B35">
              <w:rPr>
                <w:rFonts w:cs="Arial"/>
              </w:rPr>
              <w:t>variations in material and building form to enable articulation of facades and differentiation between buildings</w:t>
            </w:r>
          </w:p>
          <w:p w14:paraId="23848FD6" w14:textId="77777777" w:rsidR="00BE36FB" w:rsidRPr="009B7B35" w:rsidRDefault="00BE36FB" w:rsidP="00BE36FB">
            <w:pPr>
              <w:pStyle w:val="TableText"/>
              <w:numPr>
                <w:ilvl w:val="0"/>
                <w:numId w:val="294"/>
              </w:numPr>
              <w:ind w:left="510" w:hanging="510"/>
              <w:rPr>
                <w:rFonts w:cs="Arial"/>
              </w:rPr>
            </w:pPr>
            <w:r w:rsidRPr="009B7B35">
              <w:rPr>
                <w:rFonts w:cs="Arial"/>
              </w:rPr>
              <w:t>modulation in the façade, horizontally or vertically</w:t>
            </w:r>
          </w:p>
          <w:p w14:paraId="2F8EBD04" w14:textId="77777777" w:rsidR="00BE36FB" w:rsidRPr="009B7B35" w:rsidRDefault="00BE36FB" w:rsidP="00BE36FB">
            <w:pPr>
              <w:pStyle w:val="TableText"/>
              <w:numPr>
                <w:ilvl w:val="0"/>
                <w:numId w:val="294"/>
              </w:numPr>
              <w:ind w:left="510" w:hanging="510"/>
              <w:rPr>
                <w:rFonts w:cs="Arial"/>
              </w:rPr>
            </w:pPr>
            <w:r w:rsidRPr="009B7B35">
              <w:rPr>
                <w:rFonts w:cs="Arial"/>
              </w:rPr>
              <w:t>articulation of building entrances and openings</w:t>
            </w:r>
          </w:p>
          <w:p w14:paraId="11F605BE" w14:textId="77777777" w:rsidR="00BE36FB" w:rsidRPr="009B7B35" w:rsidRDefault="00BE36FB" w:rsidP="00BE36FB">
            <w:pPr>
              <w:pStyle w:val="TableText"/>
              <w:numPr>
                <w:ilvl w:val="0"/>
                <w:numId w:val="294"/>
              </w:numPr>
              <w:ind w:left="510" w:hanging="510"/>
              <w:rPr>
                <w:rFonts w:cs="Arial"/>
              </w:rPr>
            </w:pPr>
            <w:r w:rsidRPr="009B7B35">
              <w:rPr>
                <w:rFonts w:cs="Arial"/>
              </w:rPr>
              <w:t>corner treatments to address both street frontages</w:t>
            </w:r>
          </w:p>
          <w:p w14:paraId="264701D9" w14:textId="77777777" w:rsidR="00BE36FB" w:rsidRPr="009B7B35" w:rsidRDefault="00BE36FB" w:rsidP="00BE36FB">
            <w:pPr>
              <w:pStyle w:val="TableText"/>
              <w:numPr>
                <w:ilvl w:val="0"/>
                <w:numId w:val="294"/>
              </w:numPr>
              <w:ind w:left="510" w:hanging="510"/>
              <w:rPr>
                <w:rFonts w:cs="Arial"/>
              </w:rPr>
            </w:pPr>
            <w:r w:rsidRPr="009B7B35">
              <w:rPr>
                <w:rFonts w:cs="Arial"/>
              </w:rPr>
              <w:t>elements which assist in wayfinding and legibility, and</w:t>
            </w:r>
          </w:p>
          <w:p w14:paraId="0D1EA1AD" w14:textId="77777777" w:rsidR="00BE36FB" w:rsidRPr="009B7B35" w:rsidRDefault="00BE36FB" w:rsidP="00BE36FB">
            <w:pPr>
              <w:pStyle w:val="TableText"/>
              <w:numPr>
                <w:ilvl w:val="0"/>
                <w:numId w:val="294"/>
              </w:numPr>
              <w:ind w:left="510" w:hanging="510"/>
              <w:rPr>
                <w:rFonts w:cs="Arial"/>
              </w:rPr>
            </w:pPr>
            <w:r w:rsidRPr="009B7B35">
              <w:rPr>
                <w:rFonts w:cs="Arial"/>
              </w:rPr>
              <w:t>elements which relate to the context including surrounding buildings, parks, streets and open spaces.</w:t>
            </w:r>
          </w:p>
        </w:tc>
        <w:tc>
          <w:tcPr>
            <w:tcW w:w="4706" w:type="dxa"/>
          </w:tcPr>
          <w:p w14:paraId="6B2D140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14:paraId="236F8CD2"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411" w:type="dxa"/>
            <w:gridSpan w:val="2"/>
            <w:shd w:val="clear" w:color="auto" w:fill="BFBFBF" w:themeFill="background1" w:themeFillShade="BF"/>
          </w:tcPr>
          <w:p w14:paraId="60B88FBF"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7DC1FA4B"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tcPr>
          <w:p w14:paraId="097A267D" w14:textId="77777777" w:rsidR="00BE36FB" w:rsidRPr="009B7B35" w:rsidRDefault="00BE36FB" w:rsidP="001A7107">
            <w:pPr>
              <w:pStyle w:val="TableText"/>
              <w:rPr>
                <w:rFonts w:cs="Arial"/>
                <w:b/>
                <w:bCs/>
              </w:rPr>
            </w:pPr>
            <w:r w:rsidRPr="009B7B35">
              <w:rPr>
                <w:rFonts w:cs="Arial"/>
                <w:b/>
                <w:bCs/>
              </w:rPr>
              <w:t>PO16</w:t>
            </w:r>
          </w:p>
          <w:p w14:paraId="2E2346DA" w14:textId="77777777"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14:paraId="1A61F0F0" w14:textId="77777777" w:rsidR="00BE36FB" w:rsidRPr="009B7B35" w:rsidRDefault="00BE36FB" w:rsidP="00BE36FB">
            <w:pPr>
              <w:pStyle w:val="TableText"/>
              <w:numPr>
                <w:ilvl w:val="0"/>
                <w:numId w:val="135"/>
              </w:numPr>
              <w:rPr>
                <w:rFonts w:cs="Arial"/>
              </w:rPr>
            </w:pPr>
            <w:r w:rsidRPr="009B7B35">
              <w:rPr>
                <w:rFonts w:cs="Arial"/>
              </w:rPr>
              <w:t>any hazards to people or property are avoided</w:t>
            </w:r>
          </w:p>
          <w:p w14:paraId="3A64F590" w14:textId="77777777" w:rsidR="00BE36FB" w:rsidRPr="009B7B35" w:rsidRDefault="00BE36FB" w:rsidP="00BE36FB">
            <w:pPr>
              <w:pStyle w:val="TableText"/>
              <w:numPr>
                <w:ilvl w:val="0"/>
                <w:numId w:val="135"/>
              </w:numPr>
              <w:rPr>
                <w:rFonts w:cs="Arial"/>
              </w:rPr>
            </w:pPr>
            <w:r w:rsidRPr="009B7B35">
              <w:rPr>
                <w:rFonts w:cs="Arial"/>
              </w:rPr>
              <w:t>any earthworks are minimised</w:t>
            </w:r>
          </w:p>
          <w:p w14:paraId="4E2D6F00" w14:textId="77777777" w:rsidR="00BE36FB" w:rsidRPr="009B7B35" w:rsidRDefault="00BE36FB" w:rsidP="00BE36FB">
            <w:pPr>
              <w:pStyle w:val="TableText"/>
              <w:numPr>
                <w:ilvl w:val="0"/>
                <w:numId w:val="135"/>
              </w:numPr>
              <w:rPr>
                <w:rFonts w:cs="Arial"/>
              </w:rPr>
            </w:pPr>
            <w:r w:rsidRPr="009B7B35">
              <w:rPr>
                <w:rFonts w:cs="Arial"/>
              </w:rPr>
              <w:t>the retention of natural drainage lines is maximised</w:t>
            </w:r>
          </w:p>
          <w:p w14:paraId="40083D19" w14:textId="77777777" w:rsidR="00BE36FB" w:rsidRPr="009B7B35" w:rsidRDefault="00BE36FB" w:rsidP="00BE36FB">
            <w:pPr>
              <w:pStyle w:val="TableText"/>
              <w:numPr>
                <w:ilvl w:val="0"/>
                <w:numId w:val="135"/>
              </w:numPr>
              <w:rPr>
                <w:rFonts w:cs="Arial"/>
              </w:rPr>
            </w:pPr>
            <w:r w:rsidRPr="009B7B35">
              <w:rPr>
                <w:rFonts w:cs="Arial"/>
              </w:rPr>
              <w:t>the retention of existing vegetation is maximised</w:t>
            </w:r>
          </w:p>
          <w:p w14:paraId="171CC9B7" w14:textId="77777777" w:rsidR="00BE36FB" w:rsidRPr="009B7B35" w:rsidRDefault="00BE36FB" w:rsidP="00BE36FB">
            <w:pPr>
              <w:pStyle w:val="TableText"/>
              <w:numPr>
                <w:ilvl w:val="0"/>
                <w:numId w:val="135"/>
              </w:numPr>
              <w:rPr>
                <w:rFonts w:cs="Arial"/>
              </w:rPr>
            </w:pPr>
            <w:r w:rsidRPr="009B7B35">
              <w:rPr>
                <w:rFonts w:cs="Arial"/>
              </w:rPr>
              <w:t xml:space="preserve">damage or disruption to sewerage, stormwater and water infrastructure is avoided, and </w:t>
            </w:r>
          </w:p>
          <w:p w14:paraId="46733EF5" w14:textId="77777777" w:rsidR="00BE36FB" w:rsidRPr="009B7B35" w:rsidRDefault="00BE36FB" w:rsidP="00BE36FB">
            <w:pPr>
              <w:pStyle w:val="TableText"/>
              <w:numPr>
                <w:ilvl w:val="0"/>
                <w:numId w:val="135"/>
              </w:numPr>
              <w:rPr>
                <w:rFonts w:cs="Arial"/>
              </w:rPr>
            </w:pPr>
            <w:r w:rsidRPr="009B7B35">
              <w:rPr>
                <w:rFonts w:cs="Arial"/>
              </w:rPr>
              <w:t>there is adequate buffering, screening or separation to adjoining development.</w:t>
            </w:r>
          </w:p>
        </w:tc>
        <w:tc>
          <w:tcPr>
            <w:tcW w:w="4706" w:type="dxa"/>
          </w:tcPr>
          <w:p w14:paraId="4E430FC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14:paraId="0557FAD6"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411" w:type="dxa"/>
            <w:gridSpan w:val="2"/>
            <w:shd w:val="clear" w:color="auto" w:fill="BFBFBF" w:themeFill="background1" w:themeFillShade="BF"/>
          </w:tcPr>
          <w:p w14:paraId="15AC12C0" w14:textId="77777777" w:rsidR="00BE36FB" w:rsidRPr="009B7B35" w:rsidRDefault="00BE36FB" w:rsidP="001A7107">
            <w:pPr>
              <w:pStyle w:val="Tableheading"/>
              <w:rPr>
                <w:rFonts w:ascii="Arial" w:hAnsi="Arial" w:cs="Arial"/>
                <w:szCs w:val="20"/>
              </w:rPr>
            </w:pPr>
            <w:r w:rsidRPr="009B7B35">
              <w:rPr>
                <w:rFonts w:ascii="Arial" w:hAnsi="Arial" w:cs="Arial"/>
                <w:szCs w:val="20"/>
              </w:rPr>
              <w:t>Use - Child care centre</w:t>
            </w:r>
          </w:p>
        </w:tc>
      </w:tr>
      <w:tr w:rsidR="00BE36FB" w:rsidRPr="009B7B35" w14:paraId="5B6F832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14:paraId="1B3EA83B" w14:textId="77777777" w:rsidR="00BE36FB" w:rsidRPr="009B7B35" w:rsidRDefault="00BE36FB" w:rsidP="001A7107">
            <w:pPr>
              <w:pStyle w:val="TableText"/>
              <w:rPr>
                <w:rFonts w:cs="Arial"/>
                <w:b/>
              </w:rPr>
            </w:pPr>
            <w:r w:rsidRPr="009B7B35">
              <w:rPr>
                <w:rFonts w:cs="Arial"/>
                <w:b/>
              </w:rPr>
              <w:t>PO17</w:t>
            </w:r>
          </w:p>
          <w:p w14:paraId="4DC893A8" w14:textId="77777777" w:rsidR="00BE36FB" w:rsidRPr="009B7B35" w:rsidRDefault="00BE36FB" w:rsidP="001A7107">
            <w:pPr>
              <w:pStyle w:val="TableText"/>
              <w:rPr>
                <w:rFonts w:cs="Arial"/>
              </w:rPr>
            </w:pPr>
            <w:r w:rsidRPr="009B7B35">
              <w:rPr>
                <w:rFonts w:cs="Arial"/>
              </w:rPr>
              <w:t>Development is:</w:t>
            </w:r>
          </w:p>
          <w:p w14:paraId="22D58506" w14:textId="77777777" w:rsidR="00BE36FB" w:rsidRPr="009B7B35" w:rsidRDefault="00BE36FB" w:rsidP="00BE36FB">
            <w:pPr>
              <w:pStyle w:val="TableText"/>
              <w:numPr>
                <w:ilvl w:val="0"/>
                <w:numId w:val="555"/>
              </w:numPr>
              <w:ind w:left="567" w:hanging="567"/>
              <w:rPr>
                <w:rFonts w:cs="Arial"/>
              </w:rPr>
            </w:pPr>
            <w:r w:rsidRPr="009B7B35">
              <w:rPr>
                <w:rFonts w:cs="Arial"/>
              </w:rPr>
              <w:t>compatible with neighbouring uses</w:t>
            </w:r>
          </w:p>
          <w:p w14:paraId="745D0DB8" w14:textId="77777777" w:rsidR="00BE36FB" w:rsidRPr="009B7B35" w:rsidRDefault="00BE36FB" w:rsidP="00BE36FB">
            <w:pPr>
              <w:pStyle w:val="TableText"/>
              <w:numPr>
                <w:ilvl w:val="0"/>
                <w:numId w:val="555"/>
              </w:numPr>
              <w:ind w:left="567" w:hanging="567"/>
              <w:rPr>
                <w:rFonts w:cs="Arial"/>
              </w:rPr>
            </w:pPr>
            <w:r w:rsidRPr="009B7B35">
              <w:rPr>
                <w:rFonts w:cs="Arial"/>
              </w:rPr>
              <w:t>complementary to local character and amenity</w:t>
            </w:r>
          </w:p>
          <w:p w14:paraId="30E4442E" w14:textId="77777777" w:rsidR="00BE36FB" w:rsidRPr="009B7B35" w:rsidRDefault="00BE36FB" w:rsidP="00BE36FB">
            <w:pPr>
              <w:pStyle w:val="TableText"/>
              <w:numPr>
                <w:ilvl w:val="0"/>
                <w:numId w:val="555"/>
              </w:numPr>
              <w:ind w:left="567" w:hanging="567"/>
              <w:rPr>
                <w:rFonts w:cs="Arial"/>
              </w:rPr>
            </w:pPr>
            <w:r w:rsidRPr="009B7B35">
              <w:rPr>
                <w:rFonts w:cs="Arial"/>
              </w:rPr>
              <w:t>supports the day to day needs of residents</w:t>
            </w:r>
          </w:p>
          <w:p w14:paraId="401867C3" w14:textId="77777777" w:rsidR="00BE36FB" w:rsidRPr="009B7B35" w:rsidRDefault="00BE36FB" w:rsidP="00BE36FB">
            <w:pPr>
              <w:pStyle w:val="TableText"/>
              <w:numPr>
                <w:ilvl w:val="0"/>
                <w:numId w:val="555"/>
              </w:numPr>
              <w:ind w:left="567" w:hanging="567"/>
              <w:rPr>
                <w:rFonts w:cs="Arial"/>
              </w:rPr>
            </w:pPr>
            <w:r w:rsidRPr="009B7B35">
              <w:rPr>
                <w:rFonts w:cs="Arial"/>
              </w:rPr>
              <w:t>located on a site which  adequately accommodates activity needs and space requirements</w:t>
            </w:r>
          </w:p>
          <w:p w14:paraId="03516F85" w14:textId="77777777" w:rsidR="00BE36FB" w:rsidRPr="009B7B35" w:rsidRDefault="00BE36FB" w:rsidP="001A7107">
            <w:pPr>
              <w:pStyle w:val="TableText"/>
              <w:rPr>
                <w:rFonts w:cs="Arial"/>
              </w:rPr>
            </w:pPr>
          </w:p>
        </w:tc>
        <w:tc>
          <w:tcPr>
            <w:tcW w:w="4706" w:type="dxa"/>
          </w:tcPr>
          <w:p w14:paraId="6630065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14:paraId="02B7CA8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14:paraId="600780AD" w14:textId="77777777" w:rsidR="00BE36FB" w:rsidRPr="009B7B35" w:rsidRDefault="00BE36FB" w:rsidP="001A7107">
            <w:pPr>
              <w:pStyle w:val="TableText"/>
              <w:rPr>
                <w:rFonts w:cs="Arial"/>
                <w:b/>
              </w:rPr>
            </w:pPr>
            <w:r w:rsidRPr="009B7B35">
              <w:rPr>
                <w:rFonts w:cs="Arial"/>
                <w:b/>
              </w:rPr>
              <w:t>PO18</w:t>
            </w:r>
          </w:p>
          <w:p w14:paraId="1AE06350" w14:textId="77777777" w:rsidR="00BE36FB" w:rsidRPr="009B7B35" w:rsidRDefault="00BE36FB" w:rsidP="001A7107">
            <w:pPr>
              <w:pStyle w:val="TableText"/>
              <w:rPr>
                <w:rFonts w:cs="Arial"/>
                <w:b/>
                <w:bCs/>
              </w:rPr>
            </w:pPr>
            <w:r w:rsidRPr="009B7B35">
              <w:rPr>
                <w:rFonts w:cs="Arial"/>
              </w:rPr>
              <w:t>Development does not adversely impact on the amenity of area.</w:t>
            </w:r>
          </w:p>
        </w:tc>
        <w:tc>
          <w:tcPr>
            <w:tcW w:w="4706" w:type="dxa"/>
          </w:tcPr>
          <w:p w14:paraId="2D4EAE3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AO18</w:t>
            </w:r>
          </w:p>
          <w:p w14:paraId="3E7DFF4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Hours of operation are limited to between 6am and 7pm daily.</w:t>
            </w:r>
          </w:p>
        </w:tc>
      </w:tr>
      <w:tr w:rsidR="00BE36FB" w:rsidRPr="009B7B35" w14:paraId="236DE37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vMerge w:val="restart"/>
          </w:tcPr>
          <w:p w14:paraId="5FE03357" w14:textId="77777777" w:rsidR="00BE36FB" w:rsidRPr="009B7B35" w:rsidRDefault="00BE36FB" w:rsidP="001A7107">
            <w:pPr>
              <w:pStyle w:val="TableText"/>
              <w:rPr>
                <w:rFonts w:cs="Arial"/>
                <w:b/>
              </w:rPr>
            </w:pPr>
            <w:r w:rsidRPr="009B7B35">
              <w:rPr>
                <w:rFonts w:cs="Arial"/>
                <w:b/>
              </w:rPr>
              <w:t>PO19</w:t>
            </w:r>
          </w:p>
          <w:p w14:paraId="371E7C35" w14:textId="77777777" w:rsidR="00BE36FB" w:rsidRPr="009B7B35" w:rsidRDefault="00BE36FB" w:rsidP="001A7107">
            <w:pPr>
              <w:pStyle w:val="TableText"/>
              <w:rPr>
                <w:rFonts w:cs="Arial"/>
              </w:rPr>
            </w:pPr>
            <w:r w:rsidRPr="009B7B35">
              <w:rPr>
                <w:rFonts w:cs="Arial"/>
              </w:rPr>
              <w:t>Development minimises:</w:t>
            </w:r>
          </w:p>
          <w:p w14:paraId="278FC171" w14:textId="77777777" w:rsidR="00BE36FB" w:rsidRPr="009B7B35" w:rsidRDefault="00BE36FB" w:rsidP="00BE36FB">
            <w:pPr>
              <w:pStyle w:val="TableText"/>
              <w:numPr>
                <w:ilvl w:val="0"/>
                <w:numId w:val="556"/>
              </w:numPr>
              <w:ind w:left="510" w:hanging="510"/>
              <w:rPr>
                <w:rFonts w:cs="Arial"/>
              </w:rPr>
            </w:pPr>
            <w:r w:rsidRPr="009B7B35">
              <w:rPr>
                <w:rFonts w:cs="Arial"/>
              </w:rPr>
              <w:t>the hazards of heavy traffic</w:t>
            </w:r>
          </w:p>
          <w:p w14:paraId="50FCCAC4" w14:textId="77777777" w:rsidR="00BE36FB" w:rsidRPr="009B7B35" w:rsidRDefault="00BE36FB" w:rsidP="00BE36FB">
            <w:pPr>
              <w:pStyle w:val="TableText"/>
              <w:numPr>
                <w:ilvl w:val="0"/>
                <w:numId w:val="556"/>
              </w:numPr>
              <w:ind w:left="510" w:hanging="510"/>
              <w:rPr>
                <w:rFonts w:cs="Arial"/>
              </w:rPr>
            </w:pPr>
            <w:r w:rsidRPr="009B7B35">
              <w:rPr>
                <w:rFonts w:cs="Arial"/>
              </w:rPr>
              <w:t>introduction of non–local traffic into minor, residential streets, and</w:t>
            </w:r>
          </w:p>
          <w:p w14:paraId="0CFB9C52" w14:textId="77777777" w:rsidR="00BE36FB" w:rsidRPr="009B7B35" w:rsidRDefault="00BE36FB" w:rsidP="00BE36FB">
            <w:pPr>
              <w:pStyle w:val="TableText"/>
              <w:numPr>
                <w:ilvl w:val="0"/>
                <w:numId w:val="556"/>
              </w:numPr>
              <w:ind w:left="510" w:hanging="510"/>
              <w:rPr>
                <w:rFonts w:cs="Arial"/>
              </w:rPr>
            </w:pPr>
            <w:r w:rsidRPr="009B7B35">
              <w:rPr>
                <w:rFonts w:cs="Arial"/>
              </w:rPr>
              <w:t>on–site conflict between children’s activities, pedestrian movement, vehicle movement and car parking.</w:t>
            </w:r>
          </w:p>
        </w:tc>
        <w:tc>
          <w:tcPr>
            <w:tcW w:w="4706" w:type="dxa"/>
          </w:tcPr>
          <w:p w14:paraId="2BA8A47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AO19.1</w:t>
            </w:r>
          </w:p>
          <w:p w14:paraId="7FBA6FA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The use is not accessed from:</w:t>
            </w:r>
          </w:p>
          <w:p w14:paraId="2E5A2E43" w14:textId="77777777" w:rsidR="00BE36FB" w:rsidRPr="009B7B35" w:rsidRDefault="00BE36FB" w:rsidP="00BE36FB">
            <w:pPr>
              <w:pStyle w:val="TableText"/>
              <w:numPr>
                <w:ilvl w:val="0"/>
                <w:numId w:val="557"/>
              </w:numPr>
              <w:ind w:left="483" w:hanging="483"/>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arterial/sub–arterial routes, or</w:t>
            </w:r>
          </w:p>
          <w:p w14:paraId="54AD9D06" w14:textId="77777777" w:rsidR="00BE36FB" w:rsidRPr="009B7B35" w:rsidRDefault="00BE36FB" w:rsidP="00BE36FB">
            <w:pPr>
              <w:pStyle w:val="TableText"/>
              <w:numPr>
                <w:ilvl w:val="0"/>
                <w:numId w:val="557"/>
              </w:numPr>
              <w:ind w:left="483" w:hanging="483"/>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an access street or access place.</w:t>
            </w:r>
          </w:p>
        </w:tc>
      </w:tr>
      <w:tr w:rsidR="00BE36FB" w:rsidRPr="009B7B35" w14:paraId="77BF6808"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5" w:type="dxa"/>
            <w:vMerge/>
          </w:tcPr>
          <w:p w14:paraId="49BC48D6" w14:textId="77777777" w:rsidR="00BE36FB" w:rsidRPr="009B7B35" w:rsidRDefault="00BE36FB" w:rsidP="001A7107">
            <w:pPr>
              <w:pStyle w:val="TableText"/>
              <w:rPr>
                <w:rFonts w:cs="Arial"/>
              </w:rPr>
            </w:pPr>
          </w:p>
        </w:tc>
        <w:tc>
          <w:tcPr>
            <w:tcW w:w="4706" w:type="dxa"/>
          </w:tcPr>
          <w:p w14:paraId="5743163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AO19.2</w:t>
            </w:r>
          </w:p>
          <w:p w14:paraId="43B7A84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Parking spaces are located so that children are not required to cross the driveway or vehicular access way to reach the building.</w:t>
            </w:r>
          </w:p>
        </w:tc>
      </w:tr>
    </w:tbl>
    <w:p w14:paraId="0506FC9C" w14:textId="77777777" w:rsidR="00BE36FB" w:rsidRPr="009B7B35" w:rsidRDefault="00BE36FB" w:rsidP="001A7107">
      <w:pPr>
        <w:pStyle w:val="NormalIndent"/>
        <w:rPr>
          <w:rFonts w:cs="Arial"/>
          <w:szCs w:val="20"/>
        </w:rPr>
      </w:pPr>
    </w:p>
    <w:p w14:paraId="7815B054"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731A878A" w14:textId="77777777" w:rsidR="00BE36FB" w:rsidRPr="009B7B35" w:rsidRDefault="00BE36FB" w:rsidP="006776DA">
      <w:pPr>
        <w:pStyle w:val="Heading3"/>
        <w:keepLines/>
        <w:numPr>
          <w:ilvl w:val="2"/>
          <w:numId w:val="883"/>
        </w:numPr>
        <w:spacing w:before="240"/>
        <w:rPr>
          <w:rFonts w:ascii="Arial" w:hAnsi="Arial"/>
          <w:sz w:val="20"/>
          <w:szCs w:val="20"/>
        </w:rPr>
      </w:pPr>
      <w:bookmarkStart w:id="201" w:name="_Toc205367364"/>
      <w:r w:rsidRPr="009B7B35">
        <w:rPr>
          <w:rFonts w:ascii="Arial" w:hAnsi="Arial"/>
          <w:sz w:val="20"/>
          <w:szCs w:val="20"/>
        </w:rPr>
        <w:t>Emerging community</w:t>
      </w:r>
      <w:bookmarkEnd w:id="201"/>
    </w:p>
    <w:p w14:paraId="5BCEB13E"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237277F5" w14:textId="77777777"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development where the code is identified as applicable in a table of assessment.</w:t>
      </w:r>
    </w:p>
    <w:p w14:paraId="7970C313" w14:textId="77777777"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When using this code, reference should be made to section 5.3.2 and where applicable, section 5.3.3 located in Part 5.</w:t>
      </w:r>
    </w:p>
    <w:p w14:paraId="75F89E45"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5DDCAC55" w14:textId="77777777" w:rsidR="00BE36FB" w:rsidRPr="009B7B35" w:rsidRDefault="00BE36FB" w:rsidP="00BE36FB">
      <w:pPr>
        <w:numPr>
          <w:ilvl w:val="0"/>
          <w:numId w:val="295"/>
        </w:numPr>
        <w:ind w:left="567" w:hanging="567"/>
        <w:rPr>
          <w:rFonts w:ascii="Arial" w:hAnsi="Arial" w:cs="Arial"/>
          <w:sz w:val="20"/>
          <w:szCs w:val="20"/>
          <w:lang w:eastAsia="en-US"/>
        </w:rPr>
      </w:pPr>
      <w:r w:rsidRPr="009B7B35">
        <w:rPr>
          <w:rFonts w:ascii="Arial" w:hAnsi="Arial" w:cs="Arial"/>
          <w:sz w:val="20"/>
          <w:szCs w:val="20"/>
          <w:lang w:eastAsia="en-US"/>
        </w:rPr>
        <w:t>The purpose of the emerging community zone code is to:</w:t>
      </w:r>
    </w:p>
    <w:p w14:paraId="75CC2F0A" w14:textId="77777777" w:rsidR="00BE36FB" w:rsidRPr="009B7B35" w:rsidRDefault="00BE36FB" w:rsidP="00BE36FB">
      <w:pPr>
        <w:numPr>
          <w:ilvl w:val="1"/>
          <w:numId w:val="295"/>
        </w:numPr>
        <w:ind w:left="1134" w:hanging="567"/>
        <w:rPr>
          <w:rFonts w:ascii="Arial" w:hAnsi="Arial" w:cs="Arial"/>
          <w:sz w:val="20"/>
          <w:szCs w:val="20"/>
          <w:lang w:eastAsia="en-US"/>
        </w:rPr>
      </w:pPr>
      <w:r w:rsidRPr="009B7B35">
        <w:rPr>
          <w:rFonts w:ascii="Arial" w:hAnsi="Arial" w:cs="Arial"/>
          <w:sz w:val="20"/>
          <w:szCs w:val="20"/>
          <w:lang w:eastAsia="en-US"/>
        </w:rPr>
        <w:t>Identify and conserve land that may be suitable for urban development in the future.</w:t>
      </w:r>
    </w:p>
    <w:p w14:paraId="35357DA2" w14:textId="77777777" w:rsidR="00BE36FB" w:rsidRPr="009B7B35" w:rsidRDefault="00BE36FB" w:rsidP="00BE36FB">
      <w:pPr>
        <w:numPr>
          <w:ilvl w:val="1"/>
          <w:numId w:val="295"/>
        </w:numPr>
        <w:ind w:left="1134" w:hanging="567"/>
        <w:rPr>
          <w:rFonts w:ascii="Arial" w:hAnsi="Arial" w:cs="Arial"/>
          <w:sz w:val="20"/>
          <w:szCs w:val="20"/>
          <w:lang w:eastAsia="en-US"/>
        </w:rPr>
      </w:pPr>
      <w:r w:rsidRPr="009B7B35">
        <w:rPr>
          <w:rFonts w:ascii="Arial" w:hAnsi="Arial" w:cs="Arial"/>
          <w:sz w:val="20"/>
          <w:szCs w:val="20"/>
          <w:lang w:eastAsia="en-US"/>
        </w:rPr>
        <w:t>Manage the timely conversion of non–urban land to urban purposes when needed to meet community needs</w:t>
      </w:r>
      <w:r w:rsidRPr="009B7B35">
        <w:rPr>
          <w:rFonts w:ascii="Arial" w:hAnsi="Arial" w:cs="Arial"/>
          <w:sz w:val="20"/>
          <w:szCs w:val="20"/>
        </w:rPr>
        <w:t>.</w:t>
      </w:r>
    </w:p>
    <w:p w14:paraId="60217203" w14:textId="77777777" w:rsidR="00BE36FB" w:rsidRPr="009B7B35" w:rsidRDefault="00BE36FB" w:rsidP="00BE36FB">
      <w:pPr>
        <w:numPr>
          <w:ilvl w:val="1"/>
          <w:numId w:val="295"/>
        </w:numPr>
        <w:ind w:left="1134" w:hanging="567"/>
        <w:rPr>
          <w:rFonts w:ascii="Arial" w:hAnsi="Arial" w:cs="Arial"/>
          <w:sz w:val="20"/>
          <w:szCs w:val="20"/>
          <w:lang w:eastAsia="en-US"/>
        </w:rPr>
      </w:pPr>
      <w:r w:rsidRPr="009B7B35">
        <w:rPr>
          <w:rFonts w:ascii="Arial" w:hAnsi="Arial" w:cs="Arial"/>
          <w:sz w:val="20"/>
          <w:szCs w:val="20"/>
        </w:rPr>
        <w:t>Development for the purpose of new urban communities is undertaken only where there is overriding community and economic need and in accordance with a Plan of development.</w:t>
      </w:r>
    </w:p>
    <w:p w14:paraId="7E1FC5D6" w14:textId="77777777" w:rsidR="00BE36FB" w:rsidRPr="009B7B35" w:rsidRDefault="00BE36FB" w:rsidP="001A7107">
      <w:pPr>
        <w:spacing w:before="120" w:after="120"/>
        <w:rPr>
          <w:rFonts w:ascii="Arial" w:hAnsi="Arial" w:cs="Arial"/>
          <w:sz w:val="20"/>
          <w:szCs w:val="20"/>
          <w:lang w:eastAsia="en-US"/>
        </w:rPr>
      </w:pPr>
      <w:r w:rsidRPr="009B7B35">
        <w:rPr>
          <w:rFonts w:ascii="Arial" w:hAnsi="Arial" w:cs="Arial"/>
          <w:sz w:val="20"/>
          <w:szCs w:val="20"/>
          <w:lang w:eastAsia="en-US"/>
        </w:rPr>
        <w:t xml:space="preserve">Note—Future urban development must be provided with a Plan of development in accordance with the </w:t>
      </w:r>
      <w:r w:rsidRPr="009B7B35">
        <w:rPr>
          <w:rFonts w:ascii="Arial" w:hAnsi="Arial" w:cs="Arial"/>
          <w:i/>
          <w:sz w:val="20"/>
          <w:szCs w:val="20"/>
          <w:lang w:eastAsia="en-US"/>
        </w:rPr>
        <w:t>Plan of development planning scheme policy</w:t>
      </w:r>
      <w:r w:rsidRPr="009B7B35">
        <w:rPr>
          <w:rFonts w:ascii="Arial" w:hAnsi="Arial" w:cs="Arial"/>
          <w:sz w:val="20"/>
          <w:szCs w:val="20"/>
          <w:lang w:eastAsia="en-US"/>
        </w:rPr>
        <w:t xml:space="preserve"> and a Community and economic needs assessment in accordance with the </w:t>
      </w:r>
      <w:r w:rsidRPr="009B7B35">
        <w:rPr>
          <w:rFonts w:ascii="Arial" w:hAnsi="Arial" w:cs="Arial"/>
          <w:i/>
          <w:sz w:val="20"/>
          <w:szCs w:val="20"/>
          <w:lang w:eastAsia="en-US"/>
        </w:rPr>
        <w:t>Community and economic needs assessment planning scheme policy</w:t>
      </w:r>
      <w:r w:rsidRPr="009B7B35">
        <w:rPr>
          <w:rFonts w:ascii="Arial" w:hAnsi="Arial" w:cs="Arial"/>
          <w:sz w:val="20"/>
          <w:szCs w:val="20"/>
          <w:lang w:eastAsia="en-US"/>
        </w:rPr>
        <w:t xml:space="preserve">. </w:t>
      </w:r>
    </w:p>
    <w:p w14:paraId="23F5A066" w14:textId="77777777" w:rsidR="00BE36FB" w:rsidRPr="009B7B35" w:rsidRDefault="00BE36FB" w:rsidP="00BE36FB">
      <w:pPr>
        <w:numPr>
          <w:ilvl w:val="1"/>
          <w:numId w:val="295"/>
        </w:numPr>
        <w:ind w:left="1134" w:hanging="567"/>
        <w:rPr>
          <w:rFonts w:ascii="Arial" w:hAnsi="Arial" w:cs="Arial"/>
          <w:sz w:val="20"/>
          <w:szCs w:val="20"/>
          <w:lang w:eastAsia="en-US"/>
        </w:rPr>
      </w:pPr>
      <w:r w:rsidRPr="009B7B35">
        <w:rPr>
          <w:rFonts w:ascii="Arial" w:hAnsi="Arial" w:cs="Arial"/>
          <w:sz w:val="20"/>
          <w:szCs w:val="20"/>
        </w:rPr>
        <w:t>Prevent or discourage development that is likely to compromise appropriate longer term use</w:t>
      </w:r>
      <w:r w:rsidRPr="009B7B35">
        <w:rPr>
          <w:rFonts w:ascii="Arial" w:hAnsi="Arial" w:cs="Arial"/>
          <w:sz w:val="20"/>
          <w:szCs w:val="20"/>
          <w:lang w:eastAsia="en-US"/>
        </w:rPr>
        <w:t>.</w:t>
      </w:r>
    </w:p>
    <w:p w14:paraId="2117340F" w14:textId="77777777" w:rsidR="00BE36FB" w:rsidRPr="009B7B35" w:rsidRDefault="00BE36FB" w:rsidP="00BE36FB">
      <w:pPr>
        <w:numPr>
          <w:ilvl w:val="0"/>
          <w:numId w:val="295"/>
        </w:numPr>
        <w:ind w:left="567" w:hanging="567"/>
        <w:rPr>
          <w:rFonts w:ascii="Arial" w:hAnsi="Arial" w:cs="Arial"/>
          <w:sz w:val="20"/>
          <w:szCs w:val="20"/>
          <w:lang w:eastAsia="en-US"/>
        </w:rPr>
      </w:pPr>
      <w:r w:rsidRPr="009B7B35">
        <w:rPr>
          <w:rFonts w:ascii="Arial" w:hAnsi="Arial" w:cs="Arial"/>
          <w:sz w:val="20"/>
          <w:szCs w:val="20"/>
          <w:lang w:eastAsia="en-US"/>
        </w:rPr>
        <w:t>The purpose of the zone will be achieved through the following overall outcomes:</w:t>
      </w:r>
    </w:p>
    <w:p w14:paraId="1234F679" w14:textId="77777777" w:rsidR="00BE36FB" w:rsidRPr="009B7B35" w:rsidRDefault="00BE36FB" w:rsidP="00BE36FB">
      <w:pPr>
        <w:numPr>
          <w:ilvl w:val="1"/>
          <w:numId w:val="295"/>
        </w:numPr>
        <w:ind w:left="1134" w:hanging="567"/>
        <w:rPr>
          <w:rFonts w:ascii="Arial" w:hAnsi="Arial" w:cs="Arial"/>
          <w:sz w:val="20"/>
          <w:szCs w:val="20"/>
        </w:rPr>
      </w:pPr>
      <w:r w:rsidRPr="009B7B35">
        <w:rPr>
          <w:rFonts w:ascii="Arial" w:hAnsi="Arial" w:cs="Arial"/>
          <w:sz w:val="20"/>
          <w:szCs w:val="20"/>
        </w:rPr>
        <w:t>Development of l</w:t>
      </w:r>
      <w:r w:rsidRPr="009B7B35">
        <w:rPr>
          <w:rFonts w:ascii="Arial" w:hAnsi="Arial" w:cs="Arial"/>
          <w:sz w:val="20"/>
          <w:szCs w:val="20"/>
          <w:lang w:eastAsia="en-US"/>
        </w:rPr>
        <w:t xml:space="preserve">and </w:t>
      </w:r>
      <w:r w:rsidRPr="009B7B35">
        <w:rPr>
          <w:rFonts w:ascii="Arial" w:hAnsi="Arial" w:cs="Arial"/>
          <w:sz w:val="20"/>
          <w:szCs w:val="20"/>
        </w:rPr>
        <w:t>that is considered generally suitable for urban purposes only occurs after detailed planning studies have been undertaken to identify scenic, environmental and infrastructure constraints and opportunities.</w:t>
      </w:r>
    </w:p>
    <w:p w14:paraId="14E03D54" w14:textId="77777777" w:rsidR="00BE36FB" w:rsidRPr="009B7B35" w:rsidRDefault="00BE36FB" w:rsidP="00BE36FB">
      <w:pPr>
        <w:numPr>
          <w:ilvl w:val="1"/>
          <w:numId w:val="295"/>
        </w:numPr>
        <w:ind w:left="1134" w:hanging="567"/>
        <w:rPr>
          <w:rFonts w:ascii="Arial" w:hAnsi="Arial" w:cs="Arial"/>
          <w:sz w:val="20"/>
          <w:szCs w:val="20"/>
        </w:rPr>
      </w:pPr>
      <w:r w:rsidRPr="009B7B35">
        <w:rPr>
          <w:rFonts w:ascii="Arial" w:hAnsi="Arial" w:cs="Arial"/>
          <w:sz w:val="20"/>
          <w:szCs w:val="20"/>
        </w:rPr>
        <w:t>Interim development does not compromise the future development potential of the area for urban purposes and uses that are incompatible with residential uses are not encouraged.</w:t>
      </w:r>
    </w:p>
    <w:p w14:paraId="799D69EC" w14:textId="77777777" w:rsidR="00BE36FB" w:rsidRPr="009B7B35" w:rsidRDefault="00BE36FB" w:rsidP="00BE36FB">
      <w:pPr>
        <w:numPr>
          <w:ilvl w:val="1"/>
          <w:numId w:val="295"/>
        </w:numPr>
        <w:ind w:left="1134" w:hanging="567"/>
        <w:rPr>
          <w:rFonts w:ascii="Arial" w:hAnsi="Arial" w:cs="Arial"/>
          <w:sz w:val="20"/>
          <w:szCs w:val="20"/>
        </w:rPr>
      </w:pPr>
      <w:r w:rsidRPr="009B7B35">
        <w:rPr>
          <w:rFonts w:ascii="Arial" w:hAnsi="Arial" w:cs="Arial"/>
          <w:sz w:val="20"/>
          <w:szCs w:val="20"/>
        </w:rPr>
        <w:t>Development is based upon the efficient provision of infrastructure, consideration of environmental constraints and desired settlement pattern for the area.</w:t>
      </w:r>
    </w:p>
    <w:p w14:paraId="26F57B98" w14:textId="77777777" w:rsidR="00BE36FB" w:rsidRPr="009B7B35" w:rsidRDefault="00BE36FB" w:rsidP="00BE36FB">
      <w:pPr>
        <w:numPr>
          <w:ilvl w:val="1"/>
          <w:numId w:val="295"/>
        </w:numPr>
        <w:ind w:left="1134" w:hanging="567"/>
        <w:rPr>
          <w:rFonts w:ascii="Arial" w:hAnsi="Arial" w:cs="Arial"/>
          <w:sz w:val="20"/>
          <w:szCs w:val="20"/>
        </w:rPr>
      </w:pPr>
      <w:r w:rsidRPr="009B7B35">
        <w:rPr>
          <w:rFonts w:ascii="Arial" w:hAnsi="Arial" w:cs="Arial"/>
          <w:sz w:val="20"/>
          <w:szCs w:val="20"/>
        </w:rPr>
        <w:t>Significant historical, architectural, topographic, landscape, scenic, social, recreational and cultural features and associations, as well as natural habitat areas, wildlife corridors, wetlands and waterway corridors are protected and enhanced.</w:t>
      </w:r>
    </w:p>
    <w:p w14:paraId="32934F9C" w14:textId="77777777" w:rsidR="00BE36FB" w:rsidRPr="009B7B35" w:rsidRDefault="00BE36FB" w:rsidP="00BE36FB">
      <w:pPr>
        <w:numPr>
          <w:ilvl w:val="1"/>
          <w:numId w:val="295"/>
        </w:numPr>
        <w:ind w:left="1134" w:hanging="567"/>
        <w:rPr>
          <w:rFonts w:ascii="Arial" w:hAnsi="Arial" w:cs="Arial"/>
          <w:sz w:val="20"/>
          <w:szCs w:val="20"/>
        </w:rPr>
      </w:pPr>
      <w:r w:rsidRPr="009B7B35">
        <w:rPr>
          <w:rFonts w:ascii="Arial" w:hAnsi="Arial" w:cs="Arial"/>
          <w:sz w:val="20"/>
          <w:szCs w:val="20"/>
        </w:rPr>
        <w:t>Proposed roads and other transport corridors are coordinated and interconnected to ensure pedestrian, bike, public transport and private vehicles have accessibility between neighbourhoods, centres and other locations.</w:t>
      </w:r>
    </w:p>
    <w:p w14:paraId="5861E1E5" w14:textId="77777777" w:rsidR="00BE36FB" w:rsidRPr="009B7B35" w:rsidRDefault="00BE36FB" w:rsidP="00BE36FB">
      <w:pPr>
        <w:numPr>
          <w:ilvl w:val="1"/>
          <w:numId w:val="295"/>
        </w:numPr>
        <w:ind w:left="1134" w:hanging="567"/>
        <w:rPr>
          <w:rFonts w:ascii="Arial" w:hAnsi="Arial" w:cs="Arial"/>
          <w:sz w:val="20"/>
          <w:szCs w:val="20"/>
          <w:lang w:eastAsia="en-US"/>
        </w:rPr>
      </w:pPr>
      <w:r w:rsidRPr="009B7B35">
        <w:rPr>
          <w:rFonts w:ascii="Arial" w:hAnsi="Arial" w:cs="Arial"/>
          <w:sz w:val="20"/>
          <w:szCs w:val="20"/>
        </w:rPr>
        <w:t>Development</w:t>
      </w:r>
      <w:r w:rsidRPr="009B7B35">
        <w:rPr>
          <w:rFonts w:ascii="Arial" w:hAnsi="Arial" w:cs="Arial"/>
          <w:sz w:val="20"/>
          <w:szCs w:val="20"/>
          <w:lang w:eastAsia="en-US"/>
        </w:rPr>
        <w:t xml:space="preserve"> responds to land constraints, including but not limited to topography, bushfire and flooding.</w:t>
      </w:r>
    </w:p>
    <w:p w14:paraId="3E24004F"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062CA2AE" w14:textId="77777777" w:rsidR="00BE36FB" w:rsidRPr="009B7B35" w:rsidRDefault="00BE36FB" w:rsidP="003A35DA">
      <w:pPr>
        <w:pStyle w:val="Heading5"/>
        <w:numPr>
          <w:ilvl w:val="0"/>
          <w:numId w:val="0"/>
        </w:numPr>
        <w:rPr>
          <w:rFonts w:cs="Arial"/>
          <w:szCs w:val="20"/>
        </w:rPr>
      </w:pPr>
      <w:r w:rsidRPr="009B7B35">
        <w:rPr>
          <w:rFonts w:cs="Arial"/>
          <w:szCs w:val="20"/>
          <w:lang w:eastAsia="en-US"/>
        </w:rPr>
        <w:t>Table 6.2.19.3.1—</w:t>
      </w:r>
      <w:r w:rsidRPr="009B7B35">
        <w:rPr>
          <w:rFonts w:cs="Arial"/>
          <w:szCs w:val="20"/>
        </w:rPr>
        <w:t xml:space="preserve"> Accepted development subject to requirements and assessable development</w:t>
      </w:r>
    </w:p>
    <w:tbl>
      <w:tblPr>
        <w:tblStyle w:val="Tablestyle"/>
        <w:tblW w:w="9356" w:type="dxa"/>
        <w:tblLayout w:type="fixed"/>
        <w:tblLook w:val="01E0" w:firstRow="1" w:lastRow="1" w:firstColumn="1" w:lastColumn="1" w:noHBand="0" w:noVBand="0"/>
      </w:tblPr>
      <w:tblGrid>
        <w:gridCol w:w="4678"/>
        <w:gridCol w:w="4678"/>
      </w:tblGrid>
      <w:tr w:rsidR="00BE36FB" w:rsidRPr="009B7B35" w14:paraId="769088C8"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678" w:type="dxa"/>
          </w:tcPr>
          <w:p w14:paraId="7969A7BA" w14:textId="77777777" w:rsidR="00BE36FB" w:rsidRPr="009B7B35" w:rsidRDefault="00BE36FB" w:rsidP="001A7107">
            <w:pPr>
              <w:pStyle w:val="TableText"/>
              <w:rPr>
                <w:rFonts w:cs="Arial"/>
              </w:rPr>
            </w:pPr>
            <w:r w:rsidRPr="009B7B35">
              <w:rPr>
                <w:rFonts w:cs="Arial"/>
              </w:rPr>
              <w:t>Performance outcomes</w:t>
            </w:r>
          </w:p>
        </w:tc>
        <w:tc>
          <w:tcPr>
            <w:cnfStyle w:val="000100000000" w:firstRow="0" w:lastRow="0" w:firstColumn="0" w:lastColumn="1" w:oddVBand="0" w:evenVBand="0" w:oddHBand="0" w:evenHBand="0" w:firstRowFirstColumn="0" w:firstRowLastColumn="0" w:lastRowFirstColumn="0" w:lastRowLastColumn="0"/>
            <w:tcW w:w="4678" w:type="dxa"/>
          </w:tcPr>
          <w:p w14:paraId="65548573" w14:textId="77777777" w:rsidR="00BE36FB" w:rsidRPr="009B7B35" w:rsidRDefault="00BE36FB" w:rsidP="001A7107">
            <w:pPr>
              <w:pStyle w:val="TableText"/>
              <w:rPr>
                <w:rFonts w:cs="Arial"/>
              </w:rPr>
            </w:pPr>
            <w:r w:rsidRPr="009B7B35">
              <w:rPr>
                <w:rFonts w:cs="Arial"/>
              </w:rPr>
              <w:t>Acceptable outcomes</w:t>
            </w:r>
          </w:p>
        </w:tc>
      </w:tr>
      <w:tr w:rsidR="00BE36FB" w:rsidRPr="009B7B35" w14:paraId="1C466339"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21DC521A"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527BD275"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535948E3" w14:textId="77777777" w:rsidR="00BE36FB" w:rsidRPr="009B7B35" w:rsidRDefault="00BE36FB" w:rsidP="001A7107">
            <w:pPr>
              <w:pStyle w:val="TableText"/>
              <w:rPr>
                <w:rFonts w:cs="Arial"/>
                <w:b/>
                <w:bCs/>
              </w:rPr>
            </w:pPr>
            <w:r w:rsidRPr="009B7B35">
              <w:rPr>
                <w:rFonts w:cs="Arial"/>
                <w:b/>
                <w:bCs/>
              </w:rPr>
              <w:t>PO1</w:t>
            </w:r>
          </w:p>
          <w:p w14:paraId="234E1BBC" w14:textId="77777777" w:rsidR="00BE36FB" w:rsidRPr="009B7B35" w:rsidRDefault="00BE36FB" w:rsidP="001A7107">
            <w:pPr>
              <w:pStyle w:val="TableText"/>
              <w:rPr>
                <w:rFonts w:cs="Arial"/>
              </w:rPr>
            </w:pPr>
            <w:r w:rsidRPr="009B7B35">
              <w:rPr>
                <w:rFonts w:cs="Arial"/>
              </w:rPr>
              <w:t xml:space="preserve">Development: </w:t>
            </w:r>
          </w:p>
          <w:p w14:paraId="068ACB06" w14:textId="77777777" w:rsidR="00BE36FB" w:rsidRPr="009B7B35" w:rsidRDefault="00BE36FB" w:rsidP="00BE36FB">
            <w:pPr>
              <w:pStyle w:val="TableText"/>
              <w:numPr>
                <w:ilvl w:val="0"/>
                <w:numId w:val="297"/>
              </w:numPr>
              <w:rPr>
                <w:rFonts w:cs="Arial"/>
              </w:rPr>
            </w:pPr>
            <w:r w:rsidRPr="009B7B35">
              <w:rPr>
                <w:rFonts w:cs="Arial"/>
              </w:rPr>
              <w:t>does not compromise the future urban use of the site, and</w:t>
            </w:r>
          </w:p>
          <w:p w14:paraId="159B62D9" w14:textId="77777777" w:rsidR="00BE36FB" w:rsidRPr="009B7B35" w:rsidRDefault="00BE36FB" w:rsidP="00BE36FB">
            <w:pPr>
              <w:pStyle w:val="TableText"/>
              <w:numPr>
                <w:ilvl w:val="0"/>
                <w:numId w:val="297"/>
              </w:numPr>
              <w:rPr>
                <w:rFonts w:cs="Arial"/>
              </w:rPr>
            </w:pPr>
            <w:r w:rsidRPr="009B7B35">
              <w:rPr>
                <w:rFonts w:cs="Arial"/>
              </w:rPr>
              <w:t>provides adequate open space for the caretaker.</w:t>
            </w:r>
          </w:p>
        </w:tc>
        <w:tc>
          <w:tcPr>
            <w:cnfStyle w:val="000100000000" w:firstRow="0" w:lastRow="0" w:firstColumn="0" w:lastColumn="1" w:oddVBand="0" w:evenVBand="0" w:oddHBand="0" w:evenHBand="0" w:firstRowFirstColumn="0" w:firstRowLastColumn="0" w:lastRowFirstColumn="0" w:lastRowLastColumn="0"/>
            <w:tcW w:w="4678" w:type="dxa"/>
          </w:tcPr>
          <w:p w14:paraId="052BE51E" w14:textId="77777777" w:rsidR="00BE36FB" w:rsidRPr="009B7B35" w:rsidRDefault="00BE36FB" w:rsidP="001A7107">
            <w:pPr>
              <w:pStyle w:val="TableText"/>
              <w:rPr>
                <w:rFonts w:cs="Arial"/>
                <w:b/>
                <w:bCs/>
                <w:color w:val="auto"/>
              </w:rPr>
            </w:pPr>
            <w:r w:rsidRPr="009B7B35">
              <w:rPr>
                <w:rFonts w:cs="Arial"/>
                <w:b/>
                <w:bCs/>
                <w:color w:val="auto"/>
              </w:rPr>
              <w:t>AO1.1</w:t>
            </w:r>
          </w:p>
          <w:p w14:paraId="000171EA" w14:textId="77777777" w:rsidR="00BE36FB" w:rsidRPr="009B7B35" w:rsidRDefault="00BE36FB" w:rsidP="001A7107">
            <w:pPr>
              <w:pStyle w:val="TableText"/>
              <w:rPr>
                <w:rFonts w:cs="Arial"/>
              </w:rPr>
            </w:pPr>
            <w:r w:rsidRPr="009B7B35">
              <w:rPr>
                <w:rFonts w:cs="Arial"/>
              </w:rPr>
              <w:t>No more than 1 caretaker’s accommodation unit is established on the site.</w:t>
            </w:r>
          </w:p>
        </w:tc>
      </w:tr>
      <w:tr w:rsidR="00BE36FB" w:rsidRPr="009B7B35" w14:paraId="5D438E5F"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7345B209"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14:paraId="53CC01AC" w14:textId="77777777" w:rsidR="00BE36FB" w:rsidRPr="009B7B35" w:rsidRDefault="00BE36FB" w:rsidP="001A7107">
            <w:pPr>
              <w:pStyle w:val="TableText"/>
              <w:rPr>
                <w:rFonts w:cs="Arial"/>
                <w:b/>
                <w:bCs/>
                <w:color w:val="auto"/>
              </w:rPr>
            </w:pPr>
            <w:r w:rsidRPr="009B7B35">
              <w:rPr>
                <w:rFonts w:cs="Arial"/>
                <w:b/>
                <w:bCs/>
                <w:color w:val="auto"/>
              </w:rPr>
              <w:t>AO1.2</w:t>
            </w:r>
          </w:p>
          <w:p w14:paraId="54690DCF" w14:textId="77777777" w:rsidR="00BE36FB" w:rsidRPr="009B7B35" w:rsidRDefault="00BE36FB" w:rsidP="001A7107">
            <w:pPr>
              <w:pStyle w:val="TableText"/>
              <w:rPr>
                <w:rFonts w:cs="Arial"/>
              </w:rPr>
            </w:pPr>
            <w:r w:rsidRPr="009B7B35">
              <w:rPr>
                <w:rFonts w:cs="Arial"/>
              </w:rPr>
              <w:t>The caretaker’s accommodation unit is a maximum of 100m</w:t>
            </w:r>
            <w:r w:rsidRPr="009B7B35">
              <w:rPr>
                <w:rStyle w:val="StyleSuperscript"/>
                <w:rFonts w:cs="Arial"/>
              </w:rPr>
              <w:t>2</w:t>
            </w:r>
            <w:r w:rsidRPr="009B7B35">
              <w:rPr>
                <w:rFonts w:cs="Arial"/>
              </w:rPr>
              <w:t xml:space="preserve"> GFA.</w:t>
            </w:r>
          </w:p>
        </w:tc>
      </w:tr>
      <w:tr w:rsidR="00BE36FB" w:rsidRPr="009B7B35" w14:paraId="0720F2D5"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03B9B9FE" w14:textId="77777777"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14:paraId="28809926"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161099A4" w14:textId="77777777" w:rsidR="00BE36FB" w:rsidRPr="009B7B35" w:rsidRDefault="00BE36FB" w:rsidP="001A7107">
            <w:pPr>
              <w:pStyle w:val="TableText"/>
              <w:rPr>
                <w:rFonts w:cs="Arial"/>
                <w:b/>
                <w:bCs/>
              </w:rPr>
            </w:pPr>
            <w:r w:rsidRPr="009B7B35">
              <w:rPr>
                <w:rFonts w:cs="Arial"/>
                <w:b/>
                <w:bCs/>
              </w:rPr>
              <w:t>PO2</w:t>
            </w:r>
          </w:p>
          <w:p w14:paraId="15E2EE44" w14:textId="77777777"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cnfStyle w:val="000100000000" w:firstRow="0" w:lastRow="0" w:firstColumn="0" w:lastColumn="1" w:oddVBand="0" w:evenVBand="0" w:oddHBand="0" w:evenHBand="0" w:firstRowFirstColumn="0" w:firstRowLastColumn="0" w:lastRowFirstColumn="0" w:lastRowLastColumn="0"/>
            <w:tcW w:w="4678" w:type="dxa"/>
          </w:tcPr>
          <w:p w14:paraId="3DDB5755" w14:textId="77777777" w:rsidR="00BE36FB" w:rsidRPr="009B7B35" w:rsidRDefault="00BE36FB" w:rsidP="001A7107">
            <w:pPr>
              <w:pStyle w:val="TableText"/>
              <w:rPr>
                <w:rFonts w:cs="Arial"/>
                <w:b/>
                <w:bCs/>
                <w:color w:val="auto"/>
              </w:rPr>
            </w:pPr>
            <w:r w:rsidRPr="009B7B35">
              <w:rPr>
                <w:rFonts w:cs="Arial"/>
                <w:b/>
                <w:bCs/>
                <w:color w:val="auto"/>
              </w:rPr>
              <w:t>AO2.1</w:t>
            </w:r>
          </w:p>
          <w:p w14:paraId="22B22D4D" w14:textId="77777777" w:rsidR="00BE36FB" w:rsidRPr="009B7B35" w:rsidRDefault="00BE36FB" w:rsidP="001A7107">
            <w:pPr>
              <w:pStyle w:val="TableText"/>
              <w:rPr>
                <w:rFonts w:cs="Arial"/>
              </w:rPr>
            </w:pPr>
            <w:r w:rsidRPr="009B7B35">
              <w:rPr>
                <w:rFonts w:cs="Arial"/>
              </w:rPr>
              <w:t>Development of the sales office is in place for no more than two years.</w:t>
            </w:r>
          </w:p>
        </w:tc>
      </w:tr>
      <w:tr w:rsidR="00BE36FB" w:rsidRPr="009B7B35" w14:paraId="2C55B0DF"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688006CB"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14:paraId="1291783C" w14:textId="77777777" w:rsidR="00BE36FB" w:rsidRPr="009B7B35" w:rsidRDefault="00BE36FB" w:rsidP="001A7107">
            <w:pPr>
              <w:pStyle w:val="TableText"/>
              <w:rPr>
                <w:rFonts w:cs="Arial"/>
                <w:b/>
                <w:bCs/>
                <w:color w:val="auto"/>
              </w:rPr>
            </w:pPr>
            <w:r w:rsidRPr="009B7B35">
              <w:rPr>
                <w:rFonts w:cs="Arial"/>
                <w:b/>
                <w:bCs/>
                <w:color w:val="auto"/>
              </w:rPr>
              <w:t>AO2.2</w:t>
            </w:r>
          </w:p>
          <w:p w14:paraId="71BE4B25" w14:textId="77777777" w:rsidR="00BE36FB" w:rsidRPr="009B7B35" w:rsidRDefault="00BE36FB" w:rsidP="001A7107">
            <w:pPr>
              <w:pStyle w:val="TableText"/>
              <w:rPr>
                <w:rFonts w:cs="Arial"/>
              </w:rPr>
            </w:pPr>
            <w:r w:rsidRPr="009B7B35">
              <w:rPr>
                <w:rFonts w:cs="Arial"/>
              </w:rPr>
              <w:t>The site coverage of the building is a maximum of 50% of the site area.</w:t>
            </w:r>
          </w:p>
        </w:tc>
      </w:tr>
      <w:tr w:rsidR="00BE36FB" w:rsidRPr="009B7B35" w14:paraId="1137CB6B"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6E6F1A2C"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14:paraId="374C0EE8" w14:textId="77777777" w:rsidR="00BE36FB" w:rsidRPr="009B7B35" w:rsidRDefault="00BE36FB" w:rsidP="001A7107">
            <w:pPr>
              <w:pStyle w:val="TableText"/>
              <w:rPr>
                <w:rFonts w:cs="Arial"/>
                <w:b/>
                <w:bCs/>
                <w:color w:val="auto"/>
              </w:rPr>
            </w:pPr>
            <w:r w:rsidRPr="009B7B35">
              <w:rPr>
                <w:rFonts w:cs="Arial"/>
                <w:b/>
                <w:bCs/>
                <w:color w:val="auto"/>
              </w:rPr>
              <w:t>AO2.3</w:t>
            </w:r>
          </w:p>
          <w:p w14:paraId="7BE4BD1C" w14:textId="77777777"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14:paraId="46F776E2"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24837F3F"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14:paraId="63B55047" w14:textId="77777777" w:rsidR="00BE36FB" w:rsidRPr="009B7B35" w:rsidRDefault="00BE36FB" w:rsidP="001A7107">
            <w:pPr>
              <w:pStyle w:val="TableText"/>
              <w:rPr>
                <w:rFonts w:cs="Arial"/>
                <w:b/>
                <w:bCs/>
                <w:color w:val="auto"/>
              </w:rPr>
            </w:pPr>
            <w:r w:rsidRPr="009B7B35">
              <w:rPr>
                <w:rFonts w:cs="Arial"/>
                <w:b/>
                <w:bCs/>
                <w:color w:val="auto"/>
              </w:rPr>
              <w:t>AO2.4</w:t>
            </w:r>
          </w:p>
          <w:p w14:paraId="3DD59D11" w14:textId="77777777" w:rsidR="00BE36FB" w:rsidRPr="009B7B35" w:rsidRDefault="00BE36FB" w:rsidP="001A7107">
            <w:pPr>
              <w:pStyle w:val="TableText"/>
              <w:rPr>
                <w:rFonts w:cs="Arial"/>
              </w:rPr>
            </w:pPr>
            <w:r w:rsidRPr="009B7B35">
              <w:rPr>
                <w:rFonts w:cs="Arial"/>
              </w:rPr>
              <w:t>The use operates between 9am and 6pm Monday to Saturday and 9am to 1pm on Sunday.</w:t>
            </w:r>
          </w:p>
        </w:tc>
      </w:tr>
      <w:tr w:rsidR="00BE36FB" w:rsidRPr="009B7B35" w14:paraId="5DEE1988"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1E98908C" w14:textId="77777777" w:rsidR="00BE36FB" w:rsidRPr="009B7B35" w:rsidRDefault="00BE36FB" w:rsidP="001A7107">
            <w:pPr>
              <w:pStyle w:val="Tableheading"/>
              <w:rPr>
                <w:rFonts w:ascii="Arial" w:hAnsi="Arial" w:cs="Arial"/>
                <w:szCs w:val="20"/>
              </w:rPr>
            </w:pPr>
            <w:r w:rsidRPr="009B7B35">
              <w:rPr>
                <w:rFonts w:ascii="Arial" w:hAnsi="Arial" w:cs="Arial"/>
                <w:szCs w:val="20"/>
              </w:rPr>
              <w:t>Building height (if involving building work)</w:t>
            </w:r>
          </w:p>
        </w:tc>
      </w:tr>
      <w:tr w:rsidR="00BE36FB" w:rsidRPr="009B7B35" w14:paraId="25D20B4A"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12566BF9" w14:textId="77777777" w:rsidR="00BE36FB" w:rsidRPr="009B7B35" w:rsidRDefault="00BE36FB" w:rsidP="001A7107">
            <w:pPr>
              <w:pStyle w:val="TableText"/>
              <w:rPr>
                <w:rFonts w:cs="Arial"/>
                <w:b/>
                <w:bCs/>
              </w:rPr>
            </w:pPr>
            <w:r w:rsidRPr="009B7B35">
              <w:rPr>
                <w:rFonts w:cs="Arial"/>
                <w:b/>
                <w:bCs/>
              </w:rPr>
              <w:t>PO3</w:t>
            </w:r>
          </w:p>
          <w:p w14:paraId="1878E2B6" w14:textId="77777777" w:rsidR="00BE36FB" w:rsidRPr="009B7B35" w:rsidRDefault="00BE36FB" w:rsidP="001A7107">
            <w:pPr>
              <w:pStyle w:val="TableText"/>
              <w:rPr>
                <w:rFonts w:cs="Arial"/>
              </w:rPr>
            </w:pPr>
            <w:r w:rsidRPr="009B7B35">
              <w:rPr>
                <w:rFonts w:cs="Arial"/>
              </w:rPr>
              <w:t>Buildings :</w:t>
            </w:r>
          </w:p>
          <w:p w14:paraId="709E1CE2" w14:textId="77777777" w:rsidR="00BE36FB" w:rsidRPr="009B7B35" w:rsidRDefault="00BE36FB" w:rsidP="00BE36FB">
            <w:pPr>
              <w:pStyle w:val="TableText"/>
              <w:numPr>
                <w:ilvl w:val="0"/>
                <w:numId w:val="296"/>
              </w:numPr>
              <w:ind w:left="567" w:hanging="567"/>
              <w:rPr>
                <w:rFonts w:cs="Arial"/>
              </w:rPr>
            </w:pPr>
            <w:r w:rsidRPr="009B7B35">
              <w:rPr>
                <w:rFonts w:cs="Arial"/>
              </w:rPr>
              <w:t>are low rise</w:t>
            </w:r>
          </w:p>
          <w:p w14:paraId="7CC6EFDA" w14:textId="77777777" w:rsidR="00BE36FB" w:rsidRPr="009B7B35" w:rsidRDefault="00BE36FB" w:rsidP="00BE36FB">
            <w:pPr>
              <w:pStyle w:val="TableText"/>
              <w:numPr>
                <w:ilvl w:val="0"/>
                <w:numId w:val="296"/>
              </w:numPr>
              <w:ind w:left="567" w:hanging="567"/>
              <w:rPr>
                <w:rFonts w:cs="Arial"/>
              </w:rPr>
            </w:pPr>
            <w:r w:rsidRPr="009B7B35">
              <w:rPr>
                <w:rFonts w:cs="Arial"/>
              </w:rPr>
              <w:t>do not create overshadowing on adjoining residential properties, and</w:t>
            </w:r>
          </w:p>
          <w:p w14:paraId="76EC71CF" w14:textId="77777777" w:rsidR="00BE36FB" w:rsidRPr="009B7B35" w:rsidRDefault="00BE36FB" w:rsidP="00BE36FB">
            <w:pPr>
              <w:pStyle w:val="TableText"/>
              <w:numPr>
                <w:ilvl w:val="0"/>
                <w:numId w:val="296"/>
              </w:numPr>
              <w:ind w:left="567" w:hanging="567"/>
              <w:rPr>
                <w:rFonts w:cs="Arial"/>
              </w:rPr>
            </w:pPr>
            <w:r w:rsidRPr="009B7B35">
              <w:rPr>
                <w:rFonts w:cs="Arial"/>
              </w:rPr>
              <w:t>do not adversely impact on the character and amenity of the area.</w:t>
            </w:r>
          </w:p>
        </w:tc>
        <w:tc>
          <w:tcPr>
            <w:cnfStyle w:val="000100000000" w:firstRow="0" w:lastRow="0" w:firstColumn="0" w:lastColumn="1" w:oddVBand="0" w:evenVBand="0" w:oddHBand="0" w:evenHBand="0" w:firstRowFirstColumn="0" w:firstRowLastColumn="0" w:lastRowFirstColumn="0" w:lastRowLastColumn="0"/>
            <w:tcW w:w="4678" w:type="dxa"/>
          </w:tcPr>
          <w:p w14:paraId="67D6F687" w14:textId="77777777" w:rsidR="00BE36FB" w:rsidRPr="009B7B35" w:rsidRDefault="00BE36FB" w:rsidP="001A7107">
            <w:pPr>
              <w:pStyle w:val="TableText"/>
              <w:rPr>
                <w:rFonts w:cs="Arial"/>
                <w:b/>
                <w:bCs/>
                <w:color w:val="auto"/>
              </w:rPr>
            </w:pPr>
            <w:r w:rsidRPr="009B7B35">
              <w:rPr>
                <w:rFonts w:cs="Arial"/>
                <w:b/>
                <w:bCs/>
                <w:color w:val="auto"/>
              </w:rPr>
              <w:t>AO3</w:t>
            </w:r>
          </w:p>
          <w:p w14:paraId="3CBC7B46" w14:textId="77777777" w:rsidR="00BE36FB" w:rsidRPr="009B7B35" w:rsidRDefault="00BE36FB" w:rsidP="001A7107">
            <w:pPr>
              <w:pStyle w:val="TableText"/>
              <w:rPr>
                <w:rFonts w:cs="Arial"/>
              </w:rPr>
            </w:pPr>
            <w:r w:rsidRPr="009B7B35">
              <w:rPr>
                <w:rFonts w:cs="Arial"/>
              </w:rPr>
              <w:t>Building height does not exceed 8.5m.</w:t>
            </w:r>
          </w:p>
        </w:tc>
      </w:tr>
      <w:tr w:rsidR="00BE36FB" w:rsidRPr="009B7B35" w14:paraId="794520B9"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0607EE14" w14:textId="77777777"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14:paraId="5FA539D8"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6C054088" w14:textId="77777777" w:rsidR="00BE36FB" w:rsidRPr="009B7B35" w:rsidRDefault="00BE36FB" w:rsidP="001A7107">
            <w:pPr>
              <w:pStyle w:val="TableText"/>
              <w:rPr>
                <w:rFonts w:cs="Arial"/>
                <w:b/>
                <w:bCs/>
              </w:rPr>
            </w:pPr>
            <w:r w:rsidRPr="009B7B35">
              <w:rPr>
                <w:rFonts w:cs="Arial"/>
                <w:b/>
                <w:bCs/>
              </w:rPr>
              <w:t>PO4</w:t>
            </w:r>
          </w:p>
          <w:p w14:paraId="20898DD4" w14:textId="77777777" w:rsidR="00BE36FB" w:rsidRPr="009B7B35" w:rsidRDefault="00BE36FB" w:rsidP="001A7107">
            <w:pPr>
              <w:pStyle w:val="TableText"/>
              <w:rPr>
                <w:rFonts w:cs="Arial"/>
              </w:rPr>
            </w:pPr>
            <w:r w:rsidRPr="009B7B35">
              <w:rPr>
                <w:rFonts w:cs="Arial"/>
              </w:rPr>
              <w:t>Development reflects the low density character of the area.</w:t>
            </w:r>
          </w:p>
        </w:tc>
        <w:tc>
          <w:tcPr>
            <w:cnfStyle w:val="000100000000" w:firstRow="0" w:lastRow="0" w:firstColumn="0" w:lastColumn="1" w:oddVBand="0" w:evenVBand="0" w:oddHBand="0" w:evenHBand="0" w:firstRowFirstColumn="0" w:firstRowLastColumn="0" w:lastRowFirstColumn="0" w:lastRowLastColumn="0"/>
            <w:tcW w:w="4678" w:type="dxa"/>
          </w:tcPr>
          <w:p w14:paraId="5812D18F" w14:textId="77777777" w:rsidR="00BE36FB" w:rsidRPr="009B7B35" w:rsidRDefault="00BE36FB" w:rsidP="001A7107">
            <w:pPr>
              <w:pStyle w:val="TableText"/>
              <w:rPr>
                <w:rFonts w:cs="Arial"/>
                <w:b/>
                <w:bCs/>
                <w:color w:val="auto"/>
              </w:rPr>
            </w:pPr>
            <w:r w:rsidRPr="009B7B35">
              <w:rPr>
                <w:rFonts w:cs="Arial"/>
                <w:b/>
                <w:bCs/>
                <w:color w:val="auto"/>
              </w:rPr>
              <w:t>AO4.1</w:t>
            </w:r>
          </w:p>
          <w:p w14:paraId="64FE4918" w14:textId="77777777" w:rsidR="00BE36FB" w:rsidRPr="009B7B35" w:rsidRDefault="00BE36FB" w:rsidP="001A7107">
            <w:pPr>
              <w:pStyle w:val="TableText"/>
              <w:rPr>
                <w:rFonts w:cs="Arial"/>
              </w:rPr>
            </w:pPr>
            <w:r w:rsidRPr="009B7B35">
              <w:rPr>
                <w:rFonts w:cs="Arial"/>
              </w:rPr>
              <w:t>Residential density is limited to:</w:t>
            </w:r>
          </w:p>
          <w:p w14:paraId="0A46F803" w14:textId="77777777" w:rsidR="00BE36FB" w:rsidRPr="009B7B35" w:rsidRDefault="00BE36FB" w:rsidP="00BE36FB">
            <w:pPr>
              <w:pStyle w:val="TableText"/>
              <w:numPr>
                <w:ilvl w:val="0"/>
                <w:numId w:val="112"/>
              </w:numPr>
              <w:ind w:left="510" w:hanging="510"/>
              <w:rPr>
                <w:rFonts w:cs="Arial"/>
              </w:rPr>
            </w:pPr>
            <w:r w:rsidRPr="009B7B35">
              <w:rPr>
                <w:rFonts w:cs="Arial"/>
              </w:rPr>
              <w:t>one dwelling house per allotment (including one secondary dwelling).</w:t>
            </w:r>
          </w:p>
        </w:tc>
      </w:tr>
      <w:tr w:rsidR="00BE36FB" w:rsidRPr="009B7B35" w14:paraId="39718025"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60A8FA7E"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14:paraId="4D9EAA9C" w14:textId="77777777" w:rsidR="00BE36FB" w:rsidRPr="009B7B35" w:rsidRDefault="00BE36FB" w:rsidP="001A7107">
            <w:pPr>
              <w:pStyle w:val="Tableheading"/>
              <w:rPr>
                <w:rFonts w:ascii="Arial" w:hAnsi="Arial" w:cs="Arial"/>
                <w:szCs w:val="20"/>
              </w:rPr>
            </w:pPr>
            <w:r w:rsidRPr="009B7B35">
              <w:rPr>
                <w:rFonts w:ascii="Arial" w:hAnsi="Arial" w:cs="Arial"/>
                <w:szCs w:val="20"/>
              </w:rPr>
              <w:t>AO4.2</w:t>
            </w:r>
          </w:p>
          <w:p w14:paraId="5B03FFA8" w14:textId="77777777" w:rsidR="00BE36FB" w:rsidRPr="009B7B35" w:rsidRDefault="00BE36FB" w:rsidP="001A7107">
            <w:pPr>
              <w:pStyle w:val="TableText"/>
              <w:rPr>
                <w:rFonts w:cs="Arial"/>
              </w:rPr>
            </w:pPr>
            <w:r w:rsidRPr="009B7B35">
              <w:rPr>
                <w:rFonts w:cs="Arial"/>
              </w:rPr>
              <w:t xml:space="preserve">Where a dwelling house, any secondary dwelling is: </w:t>
            </w:r>
          </w:p>
          <w:p w14:paraId="4373B9D5" w14:textId="77777777" w:rsidR="00BE36FB" w:rsidRPr="009B7B35" w:rsidRDefault="00BE36FB" w:rsidP="00BE36FB">
            <w:pPr>
              <w:pStyle w:val="TableText"/>
              <w:numPr>
                <w:ilvl w:val="0"/>
                <w:numId w:val="413"/>
              </w:numPr>
              <w:rPr>
                <w:rFonts w:cs="Arial"/>
              </w:rPr>
            </w:pPr>
            <w:r w:rsidRPr="009B7B35">
              <w:rPr>
                <w:rFonts w:cs="Arial"/>
              </w:rPr>
              <w:t>a maximum of 80m</w:t>
            </w:r>
            <w:r w:rsidRPr="009B7B35">
              <w:rPr>
                <w:rStyle w:val="StyleSuperscript"/>
                <w:rFonts w:cs="Arial"/>
              </w:rPr>
              <w:t>2</w:t>
            </w:r>
            <w:r w:rsidRPr="009B7B35">
              <w:rPr>
                <w:rFonts w:cs="Arial"/>
              </w:rPr>
              <w:t xml:space="preserve"> GFA</w:t>
            </w:r>
          </w:p>
          <w:p w14:paraId="49ACE623" w14:textId="77777777" w:rsidR="00BE36FB" w:rsidRPr="009B7B35" w:rsidRDefault="00BE36FB" w:rsidP="00BE36FB">
            <w:pPr>
              <w:pStyle w:val="TableText"/>
              <w:numPr>
                <w:ilvl w:val="0"/>
                <w:numId w:val="413"/>
              </w:numPr>
              <w:rPr>
                <w:rFonts w:cs="Arial"/>
              </w:rPr>
            </w:pPr>
            <w:r w:rsidRPr="009B7B35">
              <w:rPr>
                <w:rFonts w:cs="Arial"/>
              </w:rPr>
              <w:t>located within 50m of the main building</w:t>
            </w:r>
          </w:p>
          <w:p w14:paraId="0905AAAE" w14:textId="77777777" w:rsidR="00BE36FB" w:rsidRPr="009B7B35" w:rsidRDefault="00BE36FB" w:rsidP="001A7107">
            <w:pPr>
              <w:pStyle w:val="ListParagraph"/>
              <w:ind w:left="567" w:hanging="567"/>
              <w:rPr>
                <w:rFonts w:cs="Arial"/>
                <w:szCs w:val="20"/>
              </w:rPr>
            </w:pPr>
            <w:r w:rsidRPr="009B7B35">
              <w:rPr>
                <w:rFonts w:cs="Arial"/>
                <w:szCs w:val="20"/>
              </w:rPr>
              <w:t>(c)</w:t>
            </w:r>
            <w:r w:rsidRPr="009B7B35">
              <w:rPr>
                <w:rFonts w:cs="Arial"/>
                <w:szCs w:val="20"/>
              </w:rPr>
              <w:tab/>
              <w:t>linked to the main building by a defined footpath in the most direct route possible.</w:t>
            </w:r>
          </w:p>
        </w:tc>
      </w:tr>
      <w:tr w:rsidR="00BE36FB" w:rsidRPr="009B7B35" w14:paraId="11D7A787"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tcPr>
          <w:p w14:paraId="524DE85A"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2E63CE52"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1942AFED"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14:paraId="5597E64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45EEF49C" w14:textId="77777777" w:rsidR="00BE36FB" w:rsidRPr="009B7B35" w:rsidRDefault="00BE36FB" w:rsidP="001A7107">
            <w:pPr>
              <w:pStyle w:val="TableText"/>
              <w:rPr>
                <w:rFonts w:cs="Arial"/>
                <w:b/>
                <w:bCs/>
              </w:rPr>
            </w:pPr>
            <w:r w:rsidRPr="009B7B35">
              <w:rPr>
                <w:rFonts w:cs="Arial"/>
                <w:b/>
                <w:bCs/>
              </w:rPr>
              <w:t>PO5</w:t>
            </w:r>
          </w:p>
          <w:p w14:paraId="7B2ACFD2" w14:textId="77777777" w:rsidR="00BE36FB" w:rsidRPr="009B7B35" w:rsidRDefault="00BE36FB" w:rsidP="001A7107">
            <w:pPr>
              <w:pStyle w:val="TableText"/>
              <w:rPr>
                <w:rFonts w:cs="Arial"/>
              </w:rPr>
            </w:pPr>
            <w:r w:rsidRPr="009B7B35">
              <w:rPr>
                <w:rFonts w:cs="Arial"/>
              </w:rPr>
              <w:t>Interim non–urban development does not reduce or preclude the long–term use of the site or nearby land for urban purposes, having regard to the scale and nature of the activity and its likely impacts.</w:t>
            </w:r>
          </w:p>
        </w:tc>
        <w:tc>
          <w:tcPr>
            <w:cnfStyle w:val="000100000000" w:firstRow="0" w:lastRow="0" w:firstColumn="0" w:lastColumn="1" w:oddVBand="0" w:evenVBand="0" w:oddHBand="0" w:evenHBand="0" w:firstRowFirstColumn="0" w:firstRowLastColumn="0" w:lastRowFirstColumn="0" w:lastRowLastColumn="0"/>
            <w:tcW w:w="4678" w:type="dxa"/>
          </w:tcPr>
          <w:p w14:paraId="3473B29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328F93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3F6B4429" w14:textId="77777777" w:rsidR="00BE36FB" w:rsidRPr="009B7B35" w:rsidRDefault="00BE36FB" w:rsidP="001A7107">
            <w:pPr>
              <w:pStyle w:val="TableText"/>
              <w:rPr>
                <w:rFonts w:cs="Arial"/>
                <w:b/>
                <w:bCs/>
              </w:rPr>
            </w:pPr>
            <w:r w:rsidRPr="009B7B35">
              <w:rPr>
                <w:rFonts w:cs="Arial"/>
                <w:b/>
                <w:bCs/>
              </w:rPr>
              <w:t>PO6</w:t>
            </w:r>
          </w:p>
          <w:p w14:paraId="11229C1C" w14:textId="77777777" w:rsidR="00BE36FB" w:rsidRPr="009B7B35" w:rsidRDefault="00BE36FB" w:rsidP="001A7107">
            <w:pPr>
              <w:pStyle w:val="TableText"/>
              <w:rPr>
                <w:rFonts w:cs="Arial"/>
                <w:bCs/>
              </w:rPr>
            </w:pPr>
            <w:r w:rsidRPr="009B7B35">
              <w:rPr>
                <w:rFonts w:cs="Arial"/>
                <w:bCs/>
              </w:rPr>
              <w:t>New urban communities are established whereby:</w:t>
            </w:r>
          </w:p>
          <w:p w14:paraId="77CB8F06" w14:textId="77777777" w:rsidR="00BE36FB" w:rsidRPr="009B7B35" w:rsidRDefault="00BE36FB" w:rsidP="00BE36FB">
            <w:pPr>
              <w:pStyle w:val="TableText"/>
              <w:numPr>
                <w:ilvl w:val="0"/>
                <w:numId w:val="591"/>
              </w:numPr>
              <w:ind w:left="510" w:hanging="510"/>
              <w:rPr>
                <w:rFonts w:cs="Arial"/>
              </w:rPr>
            </w:pPr>
            <w:r w:rsidRPr="009B7B35">
              <w:rPr>
                <w:rFonts w:cs="Arial"/>
              </w:rPr>
              <w:t>there is an overriding community and economic need; and</w:t>
            </w:r>
          </w:p>
          <w:p w14:paraId="573AC380" w14:textId="77777777" w:rsidR="00BE36FB" w:rsidRPr="009B7B35" w:rsidRDefault="00BE36FB" w:rsidP="00BE36FB">
            <w:pPr>
              <w:pStyle w:val="TableText"/>
              <w:numPr>
                <w:ilvl w:val="0"/>
                <w:numId w:val="591"/>
              </w:numPr>
              <w:ind w:left="510" w:hanging="510"/>
              <w:rPr>
                <w:rFonts w:cs="Arial"/>
                <w:bCs/>
              </w:rPr>
            </w:pPr>
            <w:r w:rsidRPr="009B7B35">
              <w:rPr>
                <w:rFonts w:cs="Arial"/>
              </w:rPr>
              <w:t>development is supported by a Plan of development.</w:t>
            </w:r>
          </w:p>
        </w:tc>
        <w:tc>
          <w:tcPr>
            <w:cnfStyle w:val="000100000000" w:firstRow="0" w:lastRow="0" w:firstColumn="0" w:lastColumn="1" w:oddVBand="0" w:evenVBand="0" w:oddHBand="0" w:evenHBand="0" w:firstRowFirstColumn="0" w:firstRowLastColumn="0" w:lastRowFirstColumn="0" w:lastRowLastColumn="0"/>
            <w:tcW w:w="4678" w:type="dxa"/>
          </w:tcPr>
          <w:p w14:paraId="046AFC1E" w14:textId="77777777" w:rsidR="00BE36FB" w:rsidRPr="009B7B35" w:rsidRDefault="00BE36FB" w:rsidP="001A7107">
            <w:pPr>
              <w:pStyle w:val="TableText"/>
              <w:rPr>
                <w:rFonts w:cs="Arial"/>
                <w:b/>
                <w:bCs/>
                <w:color w:val="auto"/>
              </w:rPr>
            </w:pPr>
            <w:r w:rsidRPr="009B7B35">
              <w:rPr>
                <w:rFonts w:cs="Arial"/>
                <w:b/>
                <w:bCs/>
                <w:color w:val="auto"/>
              </w:rPr>
              <w:t>AO6.1</w:t>
            </w:r>
          </w:p>
          <w:p w14:paraId="1756AC9E" w14:textId="77777777" w:rsidR="00BE36FB" w:rsidRPr="009B7B35" w:rsidRDefault="00BE36FB" w:rsidP="001A7107">
            <w:pPr>
              <w:pStyle w:val="TableText"/>
              <w:rPr>
                <w:rFonts w:cs="Arial"/>
                <w:i/>
                <w:color w:val="auto"/>
              </w:rPr>
            </w:pPr>
            <w:r w:rsidRPr="009B7B35">
              <w:rPr>
                <w:rFonts w:cs="Arial"/>
                <w:color w:val="auto"/>
              </w:rPr>
              <w:t xml:space="preserve">Development is provided with a Community and economic needs assessment in accordance with the </w:t>
            </w:r>
            <w:r w:rsidRPr="009B7B35">
              <w:rPr>
                <w:rFonts w:cs="Arial"/>
                <w:i/>
                <w:color w:val="auto"/>
              </w:rPr>
              <w:t xml:space="preserve">Community and economic needs assessment planning scheme policy. </w:t>
            </w:r>
          </w:p>
        </w:tc>
      </w:tr>
      <w:tr w:rsidR="00BE36FB" w:rsidRPr="009B7B35" w14:paraId="6B0CC33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Pr>
          <w:p w14:paraId="05ECDE2A" w14:textId="77777777" w:rsidR="00BE36FB" w:rsidRPr="009B7B35" w:rsidRDefault="00BE36FB" w:rsidP="001A7107">
            <w:pPr>
              <w:pStyle w:val="TableText"/>
              <w:rPr>
                <w:rFonts w:cs="Arial"/>
                <w:b/>
                <w:bCs/>
              </w:rPr>
            </w:pPr>
          </w:p>
        </w:tc>
        <w:tc>
          <w:tcPr>
            <w:cnfStyle w:val="000100000000" w:firstRow="0" w:lastRow="0" w:firstColumn="0" w:lastColumn="1" w:oddVBand="0" w:evenVBand="0" w:oddHBand="0" w:evenHBand="0" w:firstRowFirstColumn="0" w:firstRowLastColumn="0" w:lastRowFirstColumn="0" w:lastRowLastColumn="0"/>
            <w:tcW w:w="4678" w:type="dxa"/>
          </w:tcPr>
          <w:p w14:paraId="6B13B36B" w14:textId="77777777" w:rsidR="00BE36FB" w:rsidRPr="009B7B35" w:rsidRDefault="00BE36FB" w:rsidP="001A7107">
            <w:pPr>
              <w:pStyle w:val="TableText"/>
              <w:rPr>
                <w:rFonts w:cs="Arial"/>
                <w:b/>
                <w:bCs/>
                <w:color w:val="auto"/>
              </w:rPr>
            </w:pPr>
            <w:r w:rsidRPr="009B7B35">
              <w:rPr>
                <w:rFonts w:cs="Arial"/>
                <w:b/>
                <w:bCs/>
                <w:color w:val="auto"/>
              </w:rPr>
              <w:t>AO6.2</w:t>
            </w:r>
          </w:p>
          <w:p w14:paraId="6DD6F89E" w14:textId="77777777" w:rsidR="00BE36FB" w:rsidRPr="009B7B35" w:rsidRDefault="00BE36FB" w:rsidP="001A7107">
            <w:pPr>
              <w:pStyle w:val="TableText"/>
              <w:rPr>
                <w:rFonts w:cs="Arial"/>
                <w:b/>
                <w:bCs/>
                <w:color w:val="auto"/>
              </w:rPr>
            </w:pPr>
            <w:r w:rsidRPr="009B7B35">
              <w:rPr>
                <w:rFonts w:cs="Arial"/>
                <w:color w:val="auto"/>
              </w:rPr>
              <w:t xml:space="preserve">Development is provided with a Plan of development in accordance with the </w:t>
            </w:r>
            <w:r w:rsidRPr="009B7B35">
              <w:rPr>
                <w:rFonts w:cs="Arial"/>
                <w:i/>
                <w:color w:val="auto"/>
              </w:rPr>
              <w:t>Plans of development planning scheme policy.</w:t>
            </w:r>
          </w:p>
        </w:tc>
      </w:tr>
      <w:tr w:rsidR="00BE36FB" w:rsidRPr="009B7B35" w14:paraId="77DA083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63A97AD4"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0B7E0AB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027AAAE3" w14:textId="77777777" w:rsidR="00BE36FB" w:rsidRPr="009B7B35" w:rsidRDefault="00BE36FB" w:rsidP="001A7107">
            <w:pPr>
              <w:pStyle w:val="TableText"/>
              <w:rPr>
                <w:rFonts w:cs="Arial"/>
                <w:b/>
                <w:bCs/>
              </w:rPr>
            </w:pPr>
            <w:r w:rsidRPr="009B7B35">
              <w:rPr>
                <w:rFonts w:cs="Arial"/>
                <w:b/>
                <w:bCs/>
              </w:rPr>
              <w:t>PO7</w:t>
            </w:r>
          </w:p>
          <w:p w14:paraId="36FA65DC" w14:textId="77777777" w:rsidR="00BE36FB" w:rsidRPr="009B7B35" w:rsidRDefault="00BE36FB" w:rsidP="001A7107">
            <w:pPr>
              <w:pStyle w:val="TableText"/>
              <w:rPr>
                <w:rFonts w:cs="Arial"/>
              </w:rPr>
            </w:pPr>
            <w:r w:rsidRPr="009B7B35">
              <w:rPr>
                <w:rFonts w:cs="Arial"/>
              </w:rPr>
              <w:t>Development responds sensitively to on–site and surrounding topography, drainage patterns, utility services, access, vegetation and adjoining land use, such that:</w:t>
            </w:r>
          </w:p>
          <w:p w14:paraId="3F2286E2" w14:textId="77777777" w:rsidR="00BE36FB" w:rsidRPr="009B7B35" w:rsidRDefault="00BE36FB" w:rsidP="00BE36FB">
            <w:pPr>
              <w:pStyle w:val="TableText"/>
              <w:numPr>
                <w:ilvl w:val="0"/>
                <w:numId w:val="300"/>
              </w:numPr>
              <w:rPr>
                <w:rFonts w:cs="Arial"/>
              </w:rPr>
            </w:pPr>
            <w:r w:rsidRPr="009B7B35">
              <w:rPr>
                <w:rFonts w:cs="Arial"/>
              </w:rPr>
              <w:t>any hazards to people or property are avoided</w:t>
            </w:r>
          </w:p>
          <w:p w14:paraId="2A9D7467" w14:textId="77777777" w:rsidR="00BE36FB" w:rsidRPr="009B7B35" w:rsidRDefault="00BE36FB" w:rsidP="00BE36FB">
            <w:pPr>
              <w:pStyle w:val="TableText"/>
              <w:numPr>
                <w:ilvl w:val="0"/>
                <w:numId w:val="300"/>
              </w:numPr>
              <w:rPr>
                <w:rFonts w:cs="Arial"/>
              </w:rPr>
            </w:pPr>
            <w:r w:rsidRPr="009B7B35">
              <w:rPr>
                <w:rFonts w:cs="Arial"/>
              </w:rPr>
              <w:t>any earthworks are minimised</w:t>
            </w:r>
          </w:p>
          <w:p w14:paraId="75876743" w14:textId="77777777" w:rsidR="00BE36FB" w:rsidRPr="009B7B35" w:rsidRDefault="00BE36FB" w:rsidP="00BE36FB">
            <w:pPr>
              <w:pStyle w:val="TableText"/>
              <w:numPr>
                <w:ilvl w:val="0"/>
                <w:numId w:val="300"/>
              </w:numPr>
              <w:rPr>
                <w:rFonts w:cs="Arial"/>
              </w:rPr>
            </w:pPr>
            <w:r w:rsidRPr="009B7B35">
              <w:rPr>
                <w:rFonts w:cs="Arial"/>
              </w:rPr>
              <w:t>the retention of natural drainage lines is maximised</w:t>
            </w:r>
          </w:p>
          <w:p w14:paraId="669158FE" w14:textId="77777777" w:rsidR="00BE36FB" w:rsidRPr="009B7B35" w:rsidRDefault="00BE36FB" w:rsidP="00BE36FB">
            <w:pPr>
              <w:pStyle w:val="TableText"/>
              <w:numPr>
                <w:ilvl w:val="0"/>
                <w:numId w:val="300"/>
              </w:numPr>
              <w:rPr>
                <w:rFonts w:cs="Arial"/>
              </w:rPr>
            </w:pPr>
            <w:r w:rsidRPr="009B7B35">
              <w:rPr>
                <w:rFonts w:cs="Arial"/>
              </w:rPr>
              <w:t>the retention of existing vegetation is maximised</w:t>
            </w:r>
          </w:p>
          <w:p w14:paraId="710FF897" w14:textId="77777777" w:rsidR="00BE36FB" w:rsidRPr="009B7B35" w:rsidRDefault="00BE36FB" w:rsidP="00BE36FB">
            <w:pPr>
              <w:pStyle w:val="TableText"/>
              <w:numPr>
                <w:ilvl w:val="0"/>
                <w:numId w:val="300"/>
              </w:numPr>
              <w:rPr>
                <w:rFonts w:cs="Arial"/>
              </w:rPr>
            </w:pPr>
            <w:r w:rsidRPr="009B7B35">
              <w:rPr>
                <w:rFonts w:cs="Arial"/>
              </w:rPr>
              <w:t xml:space="preserve">damage or disruption to sewerage, stormwater and water infrastructure is avoided, and </w:t>
            </w:r>
          </w:p>
          <w:p w14:paraId="0CC09D6A" w14:textId="77777777" w:rsidR="00BE36FB" w:rsidRPr="009B7B35" w:rsidRDefault="00BE36FB" w:rsidP="00BE36FB">
            <w:pPr>
              <w:pStyle w:val="TableText"/>
              <w:numPr>
                <w:ilvl w:val="0"/>
                <w:numId w:val="300"/>
              </w:numPr>
              <w:rPr>
                <w:rFonts w:cs="Arial"/>
              </w:rPr>
            </w:pPr>
            <w:r w:rsidRPr="009B7B35">
              <w:rPr>
                <w:rFonts w:cs="Arial"/>
              </w:rPr>
              <w:t>there is adequate buffering, screening or separation to adjoining development.</w:t>
            </w:r>
          </w:p>
        </w:tc>
        <w:tc>
          <w:tcPr>
            <w:cnfStyle w:val="000100000000" w:firstRow="0" w:lastRow="0" w:firstColumn="0" w:lastColumn="1" w:oddVBand="0" w:evenVBand="0" w:oddHBand="0" w:evenHBand="0" w:firstRowFirstColumn="0" w:firstRowLastColumn="0" w:lastRowFirstColumn="0" w:lastRowLastColumn="0"/>
            <w:tcW w:w="4678" w:type="dxa"/>
          </w:tcPr>
          <w:p w14:paraId="546395F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0D64F23"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7D6EC9DA" w14:textId="77777777" w:rsidR="00BE36FB" w:rsidRPr="009B7B35" w:rsidRDefault="00BE36FB" w:rsidP="001A7107">
            <w:pPr>
              <w:pStyle w:val="TableText"/>
              <w:rPr>
                <w:rFonts w:cs="Arial"/>
                <w:b/>
                <w:bCs/>
              </w:rPr>
            </w:pPr>
            <w:r w:rsidRPr="009B7B35">
              <w:rPr>
                <w:rFonts w:cs="Arial"/>
                <w:b/>
                <w:bCs/>
              </w:rPr>
              <w:t>PO8</w:t>
            </w:r>
          </w:p>
          <w:p w14:paraId="1E429E31" w14:textId="77777777"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14:paraId="7CBB8A26" w14:textId="77777777" w:rsidR="00BE36FB" w:rsidRPr="009B7B35" w:rsidRDefault="00BE36FB" w:rsidP="00BE36FB">
            <w:pPr>
              <w:pStyle w:val="TableText"/>
              <w:numPr>
                <w:ilvl w:val="0"/>
                <w:numId w:val="301"/>
              </w:numPr>
              <w:rPr>
                <w:rFonts w:cs="Arial"/>
              </w:rPr>
            </w:pPr>
            <w:r w:rsidRPr="009B7B35">
              <w:rPr>
                <w:rFonts w:cs="Arial"/>
              </w:rPr>
              <w:t>noise</w:t>
            </w:r>
          </w:p>
          <w:p w14:paraId="41AFD787" w14:textId="77777777" w:rsidR="00BE36FB" w:rsidRPr="009B7B35" w:rsidRDefault="00BE36FB" w:rsidP="00BE36FB">
            <w:pPr>
              <w:pStyle w:val="TableText"/>
              <w:numPr>
                <w:ilvl w:val="0"/>
                <w:numId w:val="301"/>
              </w:numPr>
              <w:rPr>
                <w:rFonts w:cs="Arial"/>
              </w:rPr>
            </w:pPr>
            <w:r w:rsidRPr="009B7B35">
              <w:rPr>
                <w:rFonts w:cs="Arial"/>
              </w:rPr>
              <w:t>traffic and parking</w:t>
            </w:r>
          </w:p>
          <w:p w14:paraId="11EC3C79" w14:textId="77777777" w:rsidR="00BE36FB" w:rsidRPr="009B7B35" w:rsidRDefault="00BE36FB" w:rsidP="00BE36FB">
            <w:pPr>
              <w:pStyle w:val="TableText"/>
              <w:numPr>
                <w:ilvl w:val="0"/>
                <w:numId w:val="301"/>
              </w:numPr>
              <w:rPr>
                <w:rFonts w:cs="Arial"/>
              </w:rPr>
            </w:pPr>
            <w:r w:rsidRPr="009B7B35">
              <w:rPr>
                <w:rFonts w:cs="Arial"/>
              </w:rPr>
              <w:t>visual impact</w:t>
            </w:r>
          </w:p>
          <w:p w14:paraId="2ED8AD0C" w14:textId="77777777" w:rsidR="00BE36FB" w:rsidRPr="009B7B35" w:rsidRDefault="00BE36FB" w:rsidP="00BE36FB">
            <w:pPr>
              <w:pStyle w:val="TableText"/>
              <w:numPr>
                <w:ilvl w:val="0"/>
                <w:numId w:val="301"/>
              </w:numPr>
              <w:rPr>
                <w:rFonts w:cs="Arial"/>
              </w:rPr>
            </w:pPr>
            <w:r w:rsidRPr="009B7B35">
              <w:rPr>
                <w:rFonts w:cs="Arial"/>
              </w:rPr>
              <w:t>signage</w:t>
            </w:r>
          </w:p>
          <w:p w14:paraId="49737CF3" w14:textId="77777777" w:rsidR="00BE36FB" w:rsidRPr="009B7B35" w:rsidRDefault="00BE36FB" w:rsidP="00BE36FB">
            <w:pPr>
              <w:pStyle w:val="TableText"/>
              <w:numPr>
                <w:ilvl w:val="0"/>
                <w:numId w:val="301"/>
              </w:numPr>
              <w:rPr>
                <w:rFonts w:cs="Arial"/>
              </w:rPr>
            </w:pPr>
            <w:r w:rsidRPr="009B7B35">
              <w:rPr>
                <w:rFonts w:cs="Arial"/>
              </w:rPr>
              <w:t>odour and emissions, and</w:t>
            </w:r>
          </w:p>
          <w:p w14:paraId="6E8D5D14" w14:textId="77777777" w:rsidR="00BE36FB" w:rsidRPr="009B7B35" w:rsidRDefault="00BE36FB" w:rsidP="00BE36FB">
            <w:pPr>
              <w:pStyle w:val="TableText"/>
              <w:numPr>
                <w:ilvl w:val="0"/>
                <w:numId w:val="301"/>
              </w:numPr>
              <w:rPr>
                <w:rFonts w:cs="Arial"/>
              </w:rPr>
            </w:pPr>
            <w:r w:rsidRPr="009B7B35">
              <w:rPr>
                <w:rFonts w:cs="Arial"/>
              </w:rPr>
              <w:t xml:space="preserve">lighting. </w:t>
            </w:r>
          </w:p>
          <w:p w14:paraId="4038AA32" w14:textId="77777777" w:rsidR="00BE36FB" w:rsidRPr="009B7B35" w:rsidRDefault="00BE36FB" w:rsidP="001A7107">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cnfStyle w:val="000100000000" w:firstRow="0" w:lastRow="0" w:firstColumn="0" w:lastColumn="1" w:oddVBand="0" w:evenVBand="0" w:oddHBand="0" w:evenHBand="0" w:firstRowFirstColumn="0" w:firstRowLastColumn="0" w:lastRowFirstColumn="0" w:lastRowLastColumn="0"/>
            <w:tcW w:w="4678" w:type="dxa"/>
          </w:tcPr>
          <w:p w14:paraId="58E62996"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B598862"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08A6BDEC" w14:textId="77777777" w:rsidR="00BE36FB" w:rsidRPr="009B7B35" w:rsidRDefault="00BE36FB" w:rsidP="001A7107">
            <w:pPr>
              <w:pStyle w:val="TableText"/>
              <w:rPr>
                <w:rFonts w:cs="Arial"/>
                <w:b/>
              </w:rPr>
            </w:pPr>
            <w:r w:rsidRPr="009B7B35">
              <w:rPr>
                <w:rFonts w:cs="Arial"/>
                <w:b/>
              </w:rPr>
              <w:t>PO9</w:t>
            </w:r>
          </w:p>
          <w:p w14:paraId="7FD0AFCB" w14:textId="77777777" w:rsidR="00BE36FB" w:rsidRPr="009B7B35" w:rsidRDefault="00BE36FB" w:rsidP="001A7107">
            <w:pPr>
              <w:pStyle w:val="TableText"/>
              <w:rPr>
                <w:rFonts w:cs="Arial"/>
              </w:rPr>
            </w:pPr>
            <w:r w:rsidRPr="009B7B35">
              <w:rPr>
                <w:rFonts w:cs="Arial"/>
              </w:rPr>
              <w:t>Development is to:</w:t>
            </w:r>
          </w:p>
          <w:p w14:paraId="03F4ED45" w14:textId="77777777" w:rsidR="00BE36FB" w:rsidRPr="009B7B35" w:rsidRDefault="00BE36FB" w:rsidP="00BE36FB">
            <w:pPr>
              <w:pStyle w:val="TableText"/>
              <w:numPr>
                <w:ilvl w:val="0"/>
                <w:numId w:val="302"/>
              </w:numPr>
              <w:ind w:left="510" w:hanging="510"/>
              <w:rPr>
                <w:rFonts w:cs="Arial"/>
              </w:rPr>
            </w:pPr>
            <w:r w:rsidRPr="009B7B35">
              <w:rPr>
                <w:rFonts w:cs="Arial"/>
              </w:rPr>
              <w:t>minimise noise dust, odour or other nuisance from existing lawful uses including adjoining industrial uses</w:t>
            </w:r>
          </w:p>
          <w:p w14:paraId="663F208B" w14:textId="77777777" w:rsidR="00BE36FB" w:rsidRPr="009B7B35" w:rsidRDefault="00BE36FB" w:rsidP="00BE36FB">
            <w:pPr>
              <w:pStyle w:val="TableText"/>
              <w:numPr>
                <w:ilvl w:val="0"/>
                <w:numId w:val="302"/>
              </w:numPr>
              <w:ind w:left="510" w:hanging="510"/>
              <w:rPr>
                <w:rFonts w:cs="Arial"/>
              </w:rPr>
            </w:pPr>
            <w:r w:rsidRPr="009B7B35">
              <w:rPr>
                <w:rFonts w:cs="Arial"/>
              </w:rPr>
              <w:t>minimise nuisance caused by noise, vibration and dust emissions generated by the state–controlled road and rail network in the vicinity of land in the low density residential zone.</w:t>
            </w:r>
          </w:p>
        </w:tc>
        <w:tc>
          <w:tcPr>
            <w:cnfStyle w:val="000100000000" w:firstRow="0" w:lastRow="0" w:firstColumn="0" w:lastColumn="1" w:oddVBand="0" w:evenVBand="0" w:oddHBand="0" w:evenHBand="0" w:firstRowFirstColumn="0" w:firstRowLastColumn="0" w:lastRowFirstColumn="0" w:lastRowLastColumn="0"/>
            <w:tcW w:w="4678" w:type="dxa"/>
          </w:tcPr>
          <w:p w14:paraId="1ED06258"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6EB996B"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74D1FD34" w14:textId="77777777" w:rsidR="00BE36FB" w:rsidRPr="009B7B35" w:rsidRDefault="00BE36FB" w:rsidP="001A7107">
            <w:pPr>
              <w:pStyle w:val="Tableheading"/>
              <w:rPr>
                <w:rFonts w:ascii="Arial" w:hAnsi="Arial" w:cs="Arial"/>
                <w:szCs w:val="20"/>
              </w:rPr>
            </w:pPr>
            <w:r w:rsidRPr="009B7B35">
              <w:rPr>
                <w:rFonts w:ascii="Arial" w:hAnsi="Arial" w:cs="Arial"/>
                <w:szCs w:val="20"/>
              </w:rPr>
              <w:t>Use – Outdoor sport and recreation</w:t>
            </w:r>
          </w:p>
        </w:tc>
      </w:tr>
      <w:tr w:rsidR="00BE36FB" w:rsidRPr="009B7B35" w14:paraId="49777445" w14:textId="77777777" w:rsidTr="001A710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07697C82" w14:textId="77777777" w:rsidR="00BE36FB" w:rsidRPr="009B7B35" w:rsidRDefault="00BE36FB" w:rsidP="001A7107">
            <w:pPr>
              <w:pStyle w:val="TableText"/>
              <w:rPr>
                <w:rFonts w:cs="Arial"/>
                <w:b/>
                <w:bCs/>
              </w:rPr>
            </w:pPr>
            <w:r w:rsidRPr="009B7B35">
              <w:rPr>
                <w:rFonts w:cs="Arial"/>
                <w:b/>
                <w:bCs/>
              </w:rPr>
              <w:t>PO10</w:t>
            </w:r>
          </w:p>
          <w:p w14:paraId="74DA4A82" w14:textId="77777777" w:rsidR="00BE36FB" w:rsidRPr="009B7B35" w:rsidRDefault="00BE36FB" w:rsidP="001A7107">
            <w:pPr>
              <w:pStyle w:val="TableText"/>
              <w:rPr>
                <w:rFonts w:cs="Arial"/>
              </w:rPr>
            </w:pPr>
            <w:r w:rsidRPr="009B7B35">
              <w:rPr>
                <w:rFonts w:cs="Arial"/>
              </w:rPr>
              <w:t>All buildings must:</w:t>
            </w:r>
          </w:p>
          <w:p w14:paraId="756961C6" w14:textId="77777777" w:rsidR="00BE36FB" w:rsidRPr="009B7B35" w:rsidRDefault="00BE36FB" w:rsidP="00BE36FB">
            <w:pPr>
              <w:pStyle w:val="TableText"/>
              <w:numPr>
                <w:ilvl w:val="0"/>
                <w:numId w:val="298"/>
              </w:numPr>
              <w:rPr>
                <w:rFonts w:cs="Arial"/>
              </w:rPr>
            </w:pPr>
            <w:r w:rsidRPr="009B7B35">
              <w:rPr>
                <w:rFonts w:cs="Arial"/>
              </w:rPr>
              <w:t>be associated with the Outdoor sport and recreation activity, and</w:t>
            </w:r>
          </w:p>
          <w:p w14:paraId="66D8CF34" w14:textId="77777777" w:rsidR="00BE36FB" w:rsidRPr="009B7B35" w:rsidRDefault="00BE36FB" w:rsidP="00BE36FB">
            <w:pPr>
              <w:pStyle w:val="TableText"/>
              <w:numPr>
                <w:ilvl w:val="0"/>
                <w:numId w:val="298"/>
              </w:numPr>
              <w:rPr>
                <w:rFonts w:cs="Arial"/>
              </w:rPr>
            </w:pPr>
            <w:r w:rsidRPr="009B7B35">
              <w:rPr>
                <w:rFonts w:cs="Arial"/>
              </w:rPr>
              <w:t>low in scale and density.</w:t>
            </w:r>
          </w:p>
        </w:tc>
        <w:tc>
          <w:tcPr>
            <w:cnfStyle w:val="000100000000" w:firstRow="0" w:lastRow="0" w:firstColumn="0" w:lastColumn="1" w:oddVBand="0" w:evenVBand="0" w:oddHBand="0" w:evenHBand="0" w:firstRowFirstColumn="0" w:firstRowLastColumn="0" w:lastRowFirstColumn="0" w:lastRowLastColumn="0"/>
            <w:tcW w:w="4678" w:type="dxa"/>
          </w:tcPr>
          <w:p w14:paraId="2691FBD9"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0F0DC7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06B45D00" w14:textId="77777777" w:rsidR="00BE36FB" w:rsidRPr="009B7B35" w:rsidRDefault="00BE36FB" w:rsidP="001A7107">
            <w:pPr>
              <w:pStyle w:val="TableText"/>
              <w:rPr>
                <w:rFonts w:cs="Arial"/>
                <w:b/>
                <w:bCs/>
              </w:rPr>
            </w:pPr>
            <w:r w:rsidRPr="009B7B35">
              <w:rPr>
                <w:rFonts w:cs="Arial"/>
                <w:b/>
                <w:bCs/>
              </w:rPr>
              <w:t>PO11</w:t>
            </w:r>
          </w:p>
          <w:p w14:paraId="50608BFC" w14:textId="77777777" w:rsidR="00BE36FB" w:rsidRPr="009B7B35" w:rsidRDefault="00BE36FB" w:rsidP="001A7107">
            <w:pPr>
              <w:pStyle w:val="TableText"/>
              <w:rPr>
                <w:rFonts w:cs="Arial"/>
              </w:rPr>
            </w:pPr>
            <w:r w:rsidRPr="009B7B35">
              <w:rPr>
                <w:rFonts w:cs="Arial"/>
              </w:rPr>
              <w:t>Development provides adequate separation, screening and buffering from any adjoining residential premises or residential zone so that residential privacy and amenity is not adversely affected.</w:t>
            </w:r>
          </w:p>
        </w:tc>
        <w:tc>
          <w:tcPr>
            <w:cnfStyle w:val="000100000000" w:firstRow="0" w:lastRow="0" w:firstColumn="0" w:lastColumn="1" w:oddVBand="0" w:evenVBand="0" w:oddHBand="0" w:evenHBand="0" w:firstRowFirstColumn="0" w:firstRowLastColumn="0" w:lastRowFirstColumn="0" w:lastRowLastColumn="0"/>
            <w:tcW w:w="4678" w:type="dxa"/>
          </w:tcPr>
          <w:p w14:paraId="22E72B39" w14:textId="77777777" w:rsidR="00BE36FB" w:rsidRPr="009B7B35" w:rsidRDefault="00BE36FB" w:rsidP="001A7107">
            <w:pPr>
              <w:pStyle w:val="TableText"/>
              <w:rPr>
                <w:rFonts w:cs="Arial"/>
                <w:b/>
                <w:bCs/>
                <w:color w:val="auto"/>
              </w:rPr>
            </w:pPr>
            <w:r w:rsidRPr="009B7B35">
              <w:rPr>
                <w:rFonts w:cs="Arial"/>
                <w:b/>
                <w:bCs/>
                <w:color w:val="auto"/>
              </w:rPr>
              <w:t>AO11.1</w:t>
            </w:r>
          </w:p>
          <w:p w14:paraId="1971FA08" w14:textId="77777777" w:rsidR="00BE36FB" w:rsidRPr="009B7B35" w:rsidRDefault="00BE36FB" w:rsidP="001A7107">
            <w:pPr>
              <w:pStyle w:val="TableText"/>
              <w:rPr>
                <w:rFonts w:cs="Arial"/>
              </w:rPr>
            </w:pPr>
            <w:r w:rsidRPr="009B7B35">
              <w:rPr>
                <w:rFonts w:cs="Arial"/>
              </w:rPr>
              <w:t>Development that shares a boundary with a residential premises or residential zone requires a minimum boundary setback of 6m for:</w:t>
            </w:r>
          </w:p>
          <w:p w14:paraId="4491D3F5" w14:textId="77777777" w:rsidR="00BE36FB" w:rsidRPr="009B7B35" w:rsidRDefault="00BE36FB" w:rsidP="00BE36FB">
            <w:pPr>
              <w:pStyle w:val="TableText"/>
              <w:numPr>
                <w:ilvl w:val="0"/>
                <w:numId w:val="299"/>
              </w:numPr>
              <w:ind w:left="652" w:hanging="652"/>
              <w:rPr>
                <w:rFonts w:cs="Arial"/>
              </w:rPr>
            </w:pPr>
            <w:r w:rsidRPr="009B7B35">
              <w:rPr>
                <w:rFonts w:cs="Arial"/>
              </w:rPr>
              <w:t>active outdoor use or sporting areas</w:t>
            </w:r>
          </w:p>
          <w:p w14:paraId="297D29AF" w14:textId="77777777" w:rsidR="00BE36FB" w:rsidRPr="009B7B35" w:rsidRDefault="00BE36FB" w:rsidP="00BE36FB">
            <w:pPr>
              <w:pStyle w:val="TableText"/>
              <w:numPr>
                <w:ilvl w:val="0"/>
                <w:numId w:val="299"/>
              </w:numPr>
              <w:ind w:left="652" w:hanging="652"/>
              <w:rPr>
                <w:rFonts w:cs="Arial"/>
              </w:rPr>
            </w:pPr>
            <w:r w:rsidRPr="009B7B35">
              <w:rPr>
                <w:rFonts w:cs="Arial"/>
              </w:rPr>
              <w:t>site access points</w:t>
            </w:r>
          </w:p>
          <w:p w14:paraId="41B4E395" w14:textId="77777777" w:rsidR="00BE36FB" w:rsidRPr="009B7B35" w:rsidRDefault="00BE36FB" w:rsidP="00BE36FB">
            <w:pPr>
              <w:pStyle w:val="TableText"/>
              <w:numPr>
                <w:ilvl w:val="0"/>
                <w:numId w:val="299"/>
              </w:numPr>
              <w:ind w:left="652" w:hanging="652"/>
              <w:rPr>
                <w:rFonts w:cs="Arial"/>
              </w:rPr>
            </w:pPr>
            <w:r w:rsidRPr="009B7B35">
              <w:rPr>
                <w:rFonts w:cs="Arial"/>
              </w:rPr>
              <w:t>car parking areas, and</w:t>
            </w:r>
          </w:p>
          <w:p w14:paraId="538BB022" w14:textId="77777777" w:rsidR="00BE36FB" w:rsidRPr="009B7B35" w:rsidRDefault="00BE36FB" w:rsidP="00BE36FB">
            <w:pPr>
              <w:pStyle w:val="TableText"/>
              <w:numPr>
                <w:ilvl w:val="0"/>
                <w:numId w:val="299"/>
              </w:numPr>
              <w:ind w:left="652" w:hanging="652"/>
              <w:rPr>
                <w:rFonts w:cs="Arial"/>
              </w:rPr>
            </w:pPr>
            <w:r w:rsidRPr="009B7B35">
              <w:rPr>
                <w:rFonts w:cs="Arial"/>
              </w:rPr>
              <w:t>servicing or outdoor storage areas.</w:t>
            </w:r>
          </w:p>
        </w:tc>
      </w:tr>
      <w:tr w:rsidR="00BE36FB" w:rsidRPr="009B7B35" w14:paraId="2763F86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Merge/>
          </w:tcPr>
          <w:p w14:paraId="2347CD4E"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14:paraId="149BE2A9" w14:textId="77777777" w:rsidR="00BE36FB" w:rsidRPr="009B7B35" w:rsidRDefault="00BE36FB" w:rsidP="001A7107">
            <w:pPr>
              <w:pStyle w:val="TableText"/>
              <w:rPr>
                <w:rFonts w:cs="Arial"/>
                <w:b/>
                <w:bCs/>
                <w:color w:val="auto"/>
              </w:rPr>
            </w:pPr>
            <w:r w:rsidRPr="009B7B35">
              <w:rPr>
                <w:rFonts w:cs="Arial"/>
                <w:b/>
                <w:bCs/>
                <w:color w:val="auto"/>
              </w:rPr>
              <w:t>AO11.2</w:t>
            </w:r>
          </w:p>
          <w:p w14:paraId="3B531F26" w14:textId="77777777" w:rsidR="00BE36FB" w:rsidRPr="009B7B35" w:rsidRDefault="00BE36FB" w:rsidP="001A7107">
            <w:pPr>
              <w:pStyle w:val="TableText"/>
              <w:rPr>
                <w:rFonts w:cs="Arial"/>
              </w:rPr>
            </w:pPr>
            <w:r w:rsidRPr="009B7B35">
              <w:rPr>
                <w:rFonts w:cs="Arial"/>
              </w:rPr>
              <w:t xml:space="preserve">Development that shares a boundary with a residential premises or residential zone must ensure all buildings: </w:t>
            </w:r>
          </w:p>
          <w:p w14:paraId="7EDEBFA8" w14:textId="77777777" w:rsidR="00BE36FB" w:rsidRPr="009B7B35" w:rsidRDefault="00BE36FB" w:rsidP="00BE36FB">
            <w:pPr>
              <w:pStyle w:val="TableText"/>
              <w:numPr>
                <w:ilvl w:val="0"/>
                <w:numId w:val="136"/>
              </w:numPr>
              <w:rPr>
                <w:rFonts w:cs="Arial"/>
              </w:rPr>
            </w:pPr>
            <w:r w:rsidRPr="009B7B35">
              <w:rPr>
                <w:rFonts w:cs="Arial"/>
              </w:rPr>
              <w:t>are setback a minimum of 15m from that common boundary, and</w:t>
            </w:r>
          </w:p>
          <w:p w14:paraId="426B7B7B" w14:textId="77777777" w:rsidR="00BE36FB" w:rsidRPr="009B7B35" w:rsidRDefault="00BE36FB" w:rsidP="00BE36FB">
            <w:pPr>
              <w:pStyle w:val="TableText"/>
              <w:numPr>
                <w:ilvl w:val="0"/>
                <w:numId w:val="136"/>
              </w:numPr>
              <w:rPr>
                <w:rFonts w:cs="Arial"/>
              </w:rPr>
            </w:pPr>
            <w:r w:rsidRPr="009B7B35">
              <w:rPr>
                <w:rFonts w:cs="Arial"/>
              </w:rPr>
              <w:t xml:space="preserve">include a minimum 1.8m high solid screen fence along that common boundary, or </w:t>
            </w:r>
          </w:p>
          <w:p w14:paraId="306CE371" w14:textId="77777777" w:rsidR="00BE36FB" w:rsidRPr="009B7B35" w:rsidRDefault="00BE36FB" w:rsidP="00BE36FB">
            <w:pPr>
              <w:pStyle w:val="TableText"/>
              <w:numPr>
                <w:ilvl w:val="0"/>
                <w:numId w:val="136"/>
              </w:numPr>
              <w:rPr>
                <w:rFonts w:cs="Arial"/>
              </w:rPr>
            </w:pPr>
            <w:r w:rsidRPr="009B7B35">
              <w:rPr>
                <w:rFonts w:cs="Arial"/>
              </w:rPr>
              <w:t>a landscaped buffer area consisting of dense screen planting of a minimum 3m width along that common boundary.</w:t>
            </w:r>
          </w:p>
          <w:p w14:paraId="5C5E4402" w14:textId="77777777" w:rsidR="00BE36FB" w:rsidRPr="009B7B35" w:rsidRDefault="00BE36FB" w:rsidP="001A7107">
            <w:pPr>
              <w:pStyle w:val="Notes"/>
              <w:rPr>
                <w:rFonts w:cs="Arial"/>
                <w:sz w:val="20"/>
                <w:szCs w:val="20"/>
              </w:rPr>
            </w:pPr>
            <w:r w:rsidRPr="009B7B35">
              <w:rPr>
                <w:rFonts w:cs="Arial"/>
                <w:sz w:val="20"/>
                <w:szCs w:val="20"/>
              </w:rPr>
              <w:t>Note—Refer also to the Landscape code.</w:t>
            </w:r>
          </w:p>
        </w:tc>
      </w:tr>
      <w:tr w:rsidR="00BE36FB" w:rsidRPr="009B7B35" w14:paraId="17D9CE02" w14:textId="77777777" w:rsidTr="001A71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413CCAE0" w14:textId="77777777" w:rsidR="00BE36FB" w:rsidRPr="009B7B35" w:rsidRDefault="00BE36FB" w:rsidP="001A7107">
            <w:pPr>
              <w:pStyle w:val="TableText"/>
              <w:rPr>
                <w:rFonts w:cs="Arial"/>
                <w:b/>
                <w:bCs/>
              </w:rPr>
            </w:pPr>
            <w:r w:rsidRPr="009B7B35">
              <w:rPr>
                <w:rFonts w:cs="Arial"/>
                <w:b/>
                <w:bCs/>
              </w:rPr>
              <w:t>PO12</w:t>
            </w:r>
          </w:p>
          <w:p w14:paraId="543FD634" w14:textId="77777777" w:rsidR="00BE36FB" w:rsidRPr="009B7B35" w:rsidRDefault="00BE36FB" w:rsidP="001A7107">
            <w:pPr>
              <w:pStyle w:val="TableText"/>
              <w:rPr>
                <w:rFonts w:cs="Arial"/>
              </w:rPr>
            </w:pPr>
            <w:r w:rsidRPr="009B7B35">
              <w:rPr>
                <w:rFonts w:cs="Arial"/>
              </w:rPr>
              <w:t>Outdoor lighting does not adversely affect the amenity of adjoining properties or create a traffic hazard on adjacent roads.</w:t>
            </w:r>
          </w:p>
        </w:tc>
        <w:tc>
          <w:tcPr>
            <w:cnfStyle w:val="000100000000" w:firstRow="0" w:lastRow="0" w:firstColumn="0" w:lastColumn="1" w:oddVBand="0" w:evenVBand="0" w:oddHBand="0" w:evenHBand="0" w:firstRowFirstColumn="0" w:firstRowLastColumn="0" w:lastRowFirstColumn="0" w:lastRowLastColumn="0"/>
            <w:tcW w:w="4678" w:type="dxa"/>
          </w:tcPr>
          <w:p w14:paraId="30097922" w14:textId="77777777" w:rsidR="00BE36FB" w:rsidRPr="009B7B35" w:rsidRDefault="00BE36FB" w:rsidP="001A7107">
            <w:pPr>
              <w:pStyle w:val="TableText"/>
              <w:rPr>
                <w:rFonts w:cs="Arial"/>
                <w:b/>
                <w:bCs/>
                <w:color w:val="auto"/>
              </w:rPr>
            </w:pPr>
            <w:r w:rsidRPr="009B7B35">
              <w:rPr>
                <w:rFonts w:cs="Arial"/>
                <w:b/>
                <w:bCs/>
                <w:color w:val="auto"/>
              </w:rPr>
              <w:t>AO12.1</w:t>
            </w:r>
          </w:p>
          <w:p w14:paraId="7678EAEF" w14:textId="77777777" w:rsidR="00BE36FB" w:rsidRPr="009B7B35" w:rsidRDefault="00BE36FB" w:rsidP="001A7107">
            <w:pPr>
              <w:pStyle w:val="TableText"/>
              <w:rPr>
                <w:rFonts w:cs="Arial"/>
              </w:rPr>
            </w:pPr>
            <w:r w:rsidRPr="009B7B35">
              <w:rPr>
                <w:rFonts w:cs="Arial"/>
              </w:rPr>
              <w:t xml:space="preserve">Light emanating from any source complies with </w:t>
            </w:r>
            <w:r w:rsidRPr="009B7B35">
              <w:rPr>
                <w:rStyle w:val="StyleItalic"/>
                <w:rFonts w:cs="Arial"/>
              </w:rPr>
              <w:t>Australian Standard AS4282 Control of the Obtrusive Effects of Outdoor Lighting</w:t>
            </w:r>
            <w:r w:rsidRPr="009B7B35">
              <w:rPr>
                <w:rFonts w:cs="Arial"/>
              </w:rPr>
              <w:t xml:space="preserve"> as amended.</w:t>
            </w:r>
          </w:p>
        </w:tc>
      </w:tr>
      <w:tr w:rsidR="00BE36FB" w:rsidRPr="009B7B35" w14:paraId="0D590AB2" w14:textId="77777777" w:rsidTr="001A7107">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vMerge/>
          </w:tcPr>
          <w:p w14:paraId="19C0EDE2" w14:textId="77777777" w:rsidR="00BE36FB" w:rsidRPr="009B7B35" w:rsidRDefault="00BE36FB" w:rsidP="001A7107">
            <w:pPr>
              <w:pStyle w:val="TableText"/>
              <w:rPr>
                <w:rFonts w:cs="Arial"/>
              </w:rPr>
            </w:pPr>
          </w:p>
        </w:tc>
        <w:tc>
          <w:tcPr>
            <w:cnfStyle w:val="000100000000" w:firstRow="0" w:lastRow="0" w:firstColumn="0" w:lastColumn="1" w:oddVBand="0" w:evenVBand="0" w:oddHBand="0" w:evenHBand="0" w:firstRowFirstColumn="0" w:firstRowLastColumn="0" w:lastRowFirstColumn="0" w:lastRowLastColumn="0"/>
            <w:tcW w:w="4678" w:type="dxa"/>
          </w:tcPr>
          <w:p w14:paraId="1972B1B3" w14:textId="77777777" w:rsidR="00BE36FB" w:rsidRPr="009B7B35" w:rsidRDefault="00BE36FB" w:rsidP="001A7107">
            <w:pPr>
              <w:pStyle w:val="TableText"/>
              <w:rPr>
                <w:rFonts w:cs="Arial"/>
                <w:b/>
                <w:bCs w:val="0"/>
                <w:color w:val="auto"/>
              </w:rPr>
            </w:pPr>
            <w:r w:rsidRPr="009B7B35">
              <w:rPr>
                <w:rFonts w:cs="Arial"/>
                <w:b/>
                <w:color w:val="auto"/>
              </w:rPr>
              <w:t>AO12.2</w:t>
            </w:r>
          </w:p>
          <w:p w14:paraId="6017D526" w14:textId="77777777" w:rsidR="00BE36FB" w:rsidRPr="009B7B35" w:rsidRDefault="00BE36FB" w:rsidP="001A7107">
            <w:pPr>
              <w:pStyle w:val="TableText"/>
              <w:rPr>
                <w:rFonts w:cs="Arial"/>
              </w:rPr>
            </w:pPr>
            <w:r w:rsidRPr="009B7B35">
              <w:rPr>
                <w:rFonts w:cs="Arial"/>
              </w:rPr>
              <w:t xml:space="preserve">Outdoor lighting is provided in accordance with </w:t>
            </w:r>
            <w:r w:rsidRPr="009B7B35">
              <w:rPr>
                <w:rStyle w:val="StyleItalic"/>
                <w:rFonts w:cs="Arial"/>
              </w:rPr>
              <w:t>Australian Standard AS1158.1.1 – Road Lighting – Vehicular Traffic (Category V) Lighting – Performance and Installation Design Requirements</w:t>
            </w:r>
            <w:r w:rsidRPr="009B7B35">
              <w:rPr>
                <w:rFonts w:cs="Arial"/>
              </w:rPr>
              <w:t xml:space="preserve"> as amended.</w:t>
            </w:r>
          </w:p>
        </w:tc>
      </w:tr>
    </w:tbl>
    <w:p w14:paraId="2BFBF3C1" w14:textId="77777777" w:rsidR="00BE36FB" w:rsidRPr="009B7B35" w:rsidRDefault="00BE36FB" w:rsidP="001A7107">
      <w:pPr>
        <w:rPr>
          <w:rFonts w:ascii="Arial" w:hAnsi="Arial" w:cs="Arial"/>
          <w:sz w:val="20"/>
          <w:szCs w:val="20"/>
        </w:rPr>
      </w:pPr>
    </w:p>
    <w:p w14:paraId="7BC30994"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04536423" w14:textId="77777777" w:rsidR="00BE36FB" w:rsidRPr="009B7B35" w:rsidRDefault="00BE36FB" w:rsidP="006776DA">
      <w:pPr>
        <w:pStyle w:val="Heading3"/>
        <w:keepLines/>
        <w:numPr>
          <w:ilvl w:val="2"/>
          <w:numId w:val="883"/>
        </w:numPr>
        <w:spacing w:before="240"/>
        <w:rPr>
          <w:rFonts w:ascii="Arial" w:hAnsi="Arial"/>
          <w:sz w:val="20"/>
          <w:szCs w:val="20"/>
        </w:rPr>
      </w:pPr>
      <w:bookmarkStart w:id="202" w:name="_Toc205367365"/>
      <w:r w:rsidRPr="009B7B35">
        <w:rPr>
          <w:rFonts w:ascii="Arial" w:hAnsi="Arial"/>
          <w:sz w:val="20"/>
          <w:szCs w:val="20"/>
        </w:rPr>
        <w:t>Limited development</w:t>
      </w:r>
      <w:bookmarkEnd w:id="202"/>
    </w:p>
    <w:p w14:paraId="0E353F73"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2BCFE31D"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61489C2F"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399CB04F" w14:textId="77777777" w:rsidR="00BE36FB" w:rsidRPr="009B7B35" w:rsidRDefault="00BE36FB" w:rsidP="00BE36FB">
      <w:pPr>
        <w:numPr>
          <w:ilvl w:val="0"/>
          <w:numId w:val="303"/>
        </w:numPr>
        <w:rPr>
          <w:rFonts w:ascii="Arial" w:hAnsi="Arial" w:cs="Arial"/>
          <w:sz w:val="20"/>
          <w:szCs w:val="20"/>
        </w:rPr>
      </w:pPr>
      <w:r w:rsidRPr="009B7B35">
        <w:rPr>
          <w:rFonts w:ascii="Arial" w:hAnsi="Arial" w:cs="Arial"/>
          <w:sz w:val="20"/>
          <w:szCs w:val="20"/>
        </w:rPr>
        <w:t>The purpose of the limited development zone code is to limit the scale and form of development in those areas affected by significant development constraints:</w:t>
      </w:r>
    </w:p>
    <w:p w14:paraId="4B249C7E" w14:textId="77777777"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Such as localised flooding within the Gladstone urban area in the catchments of Police, Auckland, Carthurbie and Tigalee creeks; or</w:t>
      </w:r>
    </w:p>
    <w:p w14:paraId="569466CA" w14:textId="77777777"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In areas that act as buffers for major industrial development excluding the Gladstone State Development Area and Gladstone Port activities.</w:t>
      </w:r>
    </w:p>
    <w:p w14:paraId="16382522" w14:textId="77777777" w:rsidR="00BE36FB" w:rsidRPr="009B7B35" w:rsidRDefault="00BE36FB" w:rsidP="00BE36FB">
      <w:pPr>
        <w:pStyle w:val="NormalIndent"/>
        <w:numPr>
          <w:ilvl w:val="0"/>
          <w:numId w:val="303"/>
        </w:numPr>
        <w:rPr>
          <w:rFonts w:cs="Arial"/>
          <w:szCs w:val="20"/>
        </w:rPr>
      </w:pPr>
      <w:r w:rsidRPr="009B7B35">
        <w:rPr>
          <w:rFonts w:cs="Arial"/>
          <w:szCs w:val="20"/>
        </w:rPr>
        <w:t>These constraints pose severe restrictions on the ability of the land to be developed for urban purposes.</w:t>
      </w:r>
    </w:p>
    <w:p w14:paraId="02F5435A" w14:textId="77777777" w:rsidR="00BE36FB" w:rsidRPr="009B7B35" w:rsidRDefault="00BE36FB" w:rsidP="00BE36FB">
      <w:pPr>
        <w:numPr>
          <w:ilvl w:val="0"/>
          <w:numId w:val="303"/>
        </w:numPr>
        <w:rPr>
          <w:rFonts w:ascii="Arial" w:hAnsi="Arial" w:cs="Arial"/>
          <w:sz w:val="20"/>
          <w:szCs w:val="20"/>
        </w:rPr>
      </w:pPr>
      <w:r w:rsidRPr="009B7B35">
        <w:rPr>
          <w:rFonts w:ascii="Arial" w:hAnsi="Arial" w:cs="Arial"/>
          <w:sz w:val="20"/>
          <w:szCs w:val="20"/>
        </w:rPr>
        <w:t>The purpose of the zone will be achieved through the following overall outcomes:</w:t>
      </w:r>
    </w:p>
    <w:p w14:paraId="16257770" w14:textId="77777777"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Development constraints limit the number and type of land uses that can occur.</w:t>
      </w:r>
    </w:p>
    <w:p w14:paraId="3663CFD1" w14:textId="77777777"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New uses and works reflect a low intensity nature, are provided with an appropriate level of infrastructure and access and are designed appropriately given the constraints of the land.</w:t>
      </w:r>
    </w:p>
    <w:p w14:paraId="2E286463" w14:textId="77777777"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Low impact, small scale living opportunities are facilitated where compatible with the area’s values and not in close proximity to major industrial development.</w:t>
      </w:r>
    </w:p>
    <w:p w14:paraId="5E9FED2D" w14:textId="77777777"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Low impact outdoor recreation activities are possible within the zone where compatible with the land constraints and the amenity of surrounding urban areas.</w:t>
      </w:r>
    </w:p>
    <w:p w14:paraId="385AAE91" w14:textId="77777777" w:rsidR="00BE36FB" w:rsidRPr="009B7B35" w:rsidRDefault="00BE36FB" w:rsidP="00BE36FB">
      <w:pPr>
        <w:numPr>
          <w:ilvl w:val="0"/>
          <w:numId w:val="303"/>
        </w:numPr>
        <w:rPr>
          <w:rFonts w:ascii="Arial" w:hAnsi="Arial" w:cs="Arial"/>
          <w:sz w:val="20"/>
          <w:szCs w:val="20"/>
        </w:rPr>
      </w:pPr>
      <w:r w:rsidRPr="009B7B35">
        <w:rPr>
          <w:rFonts w:ascii="Arial" w:hAnsi="Arial" w:cs="Arial"/>
          <w:sz w:val="20"/>
          <w:szCs w:val="20"/>
        </w:rPr>
        <w:t xml:space="preserve">The purpose of the zone will also be achieved through the following additional overall outcomes for particular precincts: </w:t>
      </w:r>
    </w:p>
    <w:p w14:paraId="09E7B4A4" w14:textId="77777777"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Flood affected lands precinct:</w:t>
      </w:r>
    </w:p>
    <w:p w14:paraId="1909A164" w14:textId="77777777" w:rsidR="00BE36FB" w:rsidRPr="009B7B35" w:rsidRDefault="00BE36FB" w:rsidP="00BE36FB">
      <w:pPr>
        <w:numPr>
          <w:ilvl w:val="2"/>
          <w:numId w:val="303"/>
        </w:numPr>
        <w:rPr>
          <w:rFonts w:ascii="Arial" w:hAnsi="Arial" w:cs="Arial"/>
          <w:sz w:val="20"/>
          <w:szCs w:val="20"/>
        </w:rPr>
      </w:pPr>
      <w:r w:rsidRPr="009B7B35">
        <w:rPr>
          <w:rFonts w:ascii="Arial" w:hAnsi="Arial" w:cs="Arial"/>
          <w:sz w:val="20"/>
          <w:szCs w:val="20"/>
        </w:rPr>
        <w:t>Development is only permitted where it is compatible with the level of risk having regard to flow depth, flow velocity, rate of flood level rise and the duration of the inundation or the impacts of flooding can be managed such that there can be no foreseeable risk to personal safety or to property; and.</w:t>
      </w:r>
    </w:p>
    <w:p w14:paraId="21813A71" w14:textId="77777777" w:rsidR="00BE36FB" w:rsidRPr="009B7B35" w:rsidRDefault="00BE36FB" w:rsidP="00BE36FB">
      <w:pPr>
        <w:numPr>
          <w:ilvl w:val="2"/>
          <w:numId w:val="303"/>
        </w:numPr>
        <w:rPr>
          <w:rFonts w:ascii="Arial" w:hAnsi="Arial" w:cs="Arial"/>
          <w:sz w:val="20"/>
          <w:szCs w:val="20"/>
        </w:rPr>
      </w:pPr>
      <w:r w:rsidRPr="009B7B35">
        <w:rPr>
          <w:rFonts w:ascii="Arial" w:hAnsi="Arial" w:cs="Arial"/>
          <w:sz w:val="20"/>
          <w:szCs w:val="20"/>
        </w:rPr>
        <w:t>Does not impact upon the hydraulic performance of the flood affected area; and</w:t>
      </w:r>
    </w:p>
    <w:p w14:paraId="75ABD4F8" w14:textId="77777777" w:rsidR="00BE36FB" w:rsidRPr="009B7B35" w:rsidRDefault="00BE36FB" w:rsidP="00BE36FB">
      <w:pPr>
        <w:numPr>
          <w:ilvl w:val="2"/>
          <w:numId w:val="303"/>
        </w:numPr>
        <w:rPr>
          <w:rFonts w:ascii="Arial" w:hAnsi="Arial" w:cs="Arial"/>
          <w:sz w:val="20"/>
          <w:szCs w:val="20"/>
        </w:rPr>
      </w:pPr>
      <w:r w:rsidRPr="009B7B35">
        <w:rPr>
          <w:rFonts w:ascii="Arial" w:hAnsi="Arial" w:cs="Arial"/>
          <w:sz w:val="20"/>
          <w:szCs w:val="20"/>
        </w:rPr>
        <w:t>Does not result in an increase in the extent or severity of flood risk to the site or other land.</w:t>
      </w:r>
    </w:p>
    <w:p w14:paraId="5C1618B7" w14:textId="77777777" w:rsidR="00BE36FB" w:rsidRPr="009B7B35" w:rsidRDefault="00BE36FB" w:rsidP="00BE36FB">
      <w:pPr>
        <w:numPr>
          <w:ilvl w:val="1"/>
          <w:numId w:val="303"/>
        </w:numPr>
        <w:rPr>
          <w:rFonts w:ascii="Arial" w:hAnsi="Arial" w:cs="Arial"/>
          <w:sz w:val="20"/>
          <w:szCs w:val="20"/>
        </w:rPr>
      </w:pPr>
      <w:r w:rsidRPr="009B7B35">
        <w:rPr>
          <w:rFonts w:ascii="Arial" w:hAnsi="Arial" w:cs="Arial"/>
          <w:sz w:val="20"/>
          <w:szCs w:val="20"/>
        </w:rPr>
        <w:t>Major industry buffer precinct:</w:t>
      </w:r>
    </w:p>
    <w:p w14:paraId="56BF109A" w14:textId="77777777" w:rsidR="00BE36FB" w:rsidRPr="009B7B35" w:rsidRDefault="00BE36FB" w:rsidP="00BE36FB">
      <w:pPr>
        <w:numPr>
          <w:ilvl w:val="2"/>
          <w:numId w:val="303"/>
        </w:numPr>
        <w:rPr>
          <w:rFonts w:ascii="Arial" w:hAnsi="Arial" w:cs="Arial"/>
          <w:sz w:val="20"/>
          <w:szCs w:val="20"/>
        </w:rPr>
      </w:pPr>
      <w:r w:rsidRPr="009B7B35">
        <w:rPr>
          <w:rFonts w:ascii="Arial" w:hAnsi="Arial" w:cs="Arial"/>
          <w:sz w:val="20"/>
          <w:szCs w:val="20"/>
        </w:rPr>
        <w:t>Inappropriate development does not encroach upon or impact on the continued operation of adjacent major industry activities.</w:t>
      </w:r>
    </w:p>
    <w:p w14:paraId="7AECC1E7"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67D7B294" w14:textId="77777777" w:rsidR="00BE36FB" w:rsidRPr="009B7B35" w:rsidRDefault="00BE36FB" w:rsidP="003A35DA">
      <w:pPr>
        <w:pStyle w:val="Heading5"/>
        <w:numPr>
          <w:ilvl w:val="0"/>
          <w:numId w:val="0"/>
        </w:numPr>
        <w:rPr>
          <w:rFonts w:cs="Arial"/>
          <w:szCs w:val="20"/>
        </w:rPr>
      </w:pPr>
      <w:r w:rsidRPr="009B7B35">
        <w:rPr>
          <w:rFonts w:cs="Arial"/>
          <w:szCs w:val="20"/>
        </w:rPr>
        <w:t>Table 6.2.20.3.1—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14:paraId="0C6BCDFC"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58EAB4C0" w14:textId="77777777" w:rsidR="00BE36FB" w:rsidRPr="009B7B35" w:rsidRDefault="00BE36FB" w:rsidP="001A7107">
            <w:pPr>
              <w:pStyle w:val="TableText"/>
              <w:rPr>
                <w:rFonts w:cs="Arial"/>
              </w:rPr>
            </w:pPr>
            <w:r w:rsidRPr="009B7B35">
              <w:rPr>
                <w:rFonts w:cs="Arial"/>
              </w:rPr>
              <w:t>Performance outcomes</w:t>
            </w:r>
          </w:p>
        </w:tc>
        <w:tc>
          <w:tcPr>
            <w:tcW w:w="4678" w:type="dxa"/>
          </w:tcPr>
          <w:p w14:paraId="3F25138D" w14:textId="77777777" w:rsidR="00BE36FB" w:rsidRPr="009B7B35" w:rsidRDefault="00BE36FB" w:rsidP="001A7107">
            <w:pPr>
              <w:pStyle w:val="TableText"/>
              <w:rPr>
                <w:rFonts w:cs="Arial"/>
              </w:rPr>
            </w:pPr>
            <w:r w:rsidRPr="009B7B35">
              <w:rPr>
                <w:rFonts w:cs="Arial"/>
              </w:rPr>
              <w:t>Acceptable outcomes</w:t>
            </w:r>
          </w:p>
        </w:tc>
      </w:tr>
      <w:tr w:rsidR="00BE36FB" w:rsidRPr="009B7B35" w14:paraId="44A800BD" w14:textId="77777777" w:rsidTr="001A7107">
        <w:trPr>
          <w:cantSplit/>
        </w:trPr>
        <w:tc>
          <w:tcPr>
            <w:tcW w:w="9356" w:type="dxa"/>
            <w:gridSpan w:val="2"/>
            <w:shd w:val="clear" w:color="auto" w:fill="BFBFBF" w:themeFill="background1" w:themeFillShade="BF"/>
          </w:tcPr>
          <w:p w14:paraId="1EC9F425"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1FAE76BF" w14:textId="77777777" w:rsidTr="001A7107">
        <w:trPr>
          <w:cantSplit/>
        </w:trPr>
        <w:tc>
          <w:tcPr>
            <w:tcW w:w="4678" w:type="dxa"/>
            <w:vMerge w:val="restart"/>
          </w:tcPr>
          <w:p w14:paraId="7C312F91" w14:textId="77777777" w:rsidR="00BE36FB" w:rsidRPr="009B7B35" w:rsidRDefault="00BE36FB" w:rsidP="001A7107">
            <w:pPr>
              <w:pStyle w:val="TableText"/>
              <w:rPr>
                <w:rFonts w:cs="Arial"/>
                <w:b/>
                <w:bCs/>
              </w:rPr>
            </w:pPr>
            <w:r w:rsidRPr="009B7B35">
              <w:rPr>
                <w:rFonts w:cs="Arial"/>
                <w:b/>
                <w:bCs/>
              </w:rPr>
              <w:t>PO1</w:t>
            </w:r>
          </w:p>
          <w:p w14:paraId="05FAD6E0" w14:textId="77777777" w:rsidR="00BE36FB" w:rsidRPr="009B7B35" w:rsidRDefault="00BE36FB" w:rsidP="001A7107">
            <w:pPr>
              <w:pStyle w:val="TableText"/>
              <w:rPr>
                <w:rFonts w:cs="Arial"/>
              </w:rPr>
            </w:pPr>
            <w:r w:rsidRPr="009B7B35">
              <w:rPr>
                <w:rFonts w:cs="Arial"/>
              </w:rPr>
              <w:t xml:space="preserve">Development: </w:t>
            </w:r>
          </w:p>
          <w:p w14:paraId="0311F2F8" w14:textId="77777777" w:rsidR="00BE36FB" w:rsidRPr="009B7B35" w:rsidRDefault="00BE36FB" w:rsidP="00BE36FB">
            <w:pPr>
              <w:pStyle w:val="TableText"/>
              <w:numPr>
                <w:ilvl w:val="0"/>
                <w:numId w:val="305"/>
              </w:numPr>
              <w:rPr>
                <w:rFonts w:cs="Arial"/>
              </w:rPr>
            </w:pPr>
            <w:r w:rsidRPr="009B7B35">
              <w:rPr>
                <w:rFonts w:cs="Arial"/>
              </w:rPr>
              <w:t>is ancillary to the primary use, and</w:t>
            </w:r>
          </w:p>
          <w:p w14:paraId="62A2D248" w14:textId="77777777" w:rsidR="00BE36FB" w:rsidRPr="009B7B35" w:rsidRDefault="00BE36FB" w:rsidP="00BE36FB">
            <w:pPr>
              <w:pStyle w:val="TableText"/>
              <w:numPr>
                <w:ilvl w:val="0"/>
                <w:numId w:val="305"/>
              </w:numPr>
              <w:rPr>
                <w:rFonts w:cs="Arial"/>
              </w:rPr>
            </w:pPr>
            <w:r w:rsidRPr="009B7B35">
              <w:rPr>
                <w:rFonts w:cs="Arial"/>
              </w:rPr>
              <w:t>provides adequate open space for the caretaker.</w:t>
            </w:r>
          </w:p>
        </w:tc>
        <w:tc>
          <w:tcPr>
            <w:tcW w:w="4678" w:type="dxa"/>
          </w:tcPr>
          <w:p w14:paraId="1B6A0B39" w14:textId="77777777" w:rsidR="00BE36FB" w:rsidRPr="009B7B35" w:rsidRDefault="00BE36FB" w:rsidP="001A7107">
            <w:pPr>
              <w:pStyle w:val="TableText"/>
              <w:rPr>
                <w:rFonts w:cs="Arial"/>
                <w:b/>
                <w:bCs/>
              </w:rPr>
            </w:pPr>
            <w:r w:rsidRPr="009B7B35">
              <w:rPr>
                <w:rFonts w:cs="Arial"/>
                <w:b/>
                <w:bCs/>
              </w:rPr>
              <w:t>AO1.1</w:t>
            </w:r>
          </w:p>
          <w:p w14:paraId="4E3D45E0" w14:textId="77777777" w:rsidR="00BE36FB" w:rsidRPr="009B7B35" w:rsidRDefault="00BE36FB" w:rsidP="001A7107">
            <w:pPr>
              <w:pStyle w:val="TableText"/>
              <w:rPr>
                <w:rFonts w:cs="Arial"/>
              </w:rPr>
            </w:pPr>
            <w:r w:rsidRPr="009B7B35">
              <w:rPr>
                <w:rFonts w:cs="Arial"/>
              </w:rPr>
              <w:t>No more than 1 caretaker’s accommodation unit is established on the site.</w:t>
            </w:r>
          </w:p>
        </w:tc>
      </w:tr>
      <w:tr w:rsidR="00BE36FB" w:rsidRPr="009B7B35" w14:paraId="184485AB" w14:textId="77777777" w:rsidTr="001A7107">
        <w:trPr>
          <w:cantSplit/>
        </w:trPr>
        <w:tc>
          <w:tcPr>
            <w:tcW w:w="4678" w:type="dxa"/>
            <w:vMerge/>
          </w:tcPr>
          <w:p w14:paraId="030E4519" w14:textId="77777777" w:rsidR="00BE36FB" w:rsidRPr="009B7B35" w:rsidRDefault="00BE36FB" w:rsidP="001A7107">
            <w:pPr>
              <w:pStyle w:val="TableText"/>
              <w:rPr>
                <w:rFonts w:cs="Arial"/>
              </w:rPr>
            </w:pPr>
          </w:p>
        </w:tc>
        <w:tc>
          <w:tcPr>
            <w:tcW w:w="4678" w:type="dxa"/>
          </w:tcPr>
          <w:p w14:paraId="557D7D0A" w14:textId="77777777" w:rsidR="00BE36FB" w:rsidRPr="009B7B35" w:rsidRDefault="00BE36FB" w:rsidP="001A7107">
            <w:pPr>
              <w:pStyle w:val="TableText"/>
              <w:rPr>
                <w:rFonts w:cs="Arial"/>
                <w:b/>
                <w:bCs/>
              </w:rPr>
            </w:pPr>
            <w:r w:rsidRPr="009B7B35">
              <w:rPr>
                <w:rFonts w:cs="Arial"/>
                <w:b/>
                <w:bCs/>
              </w:rPr>
              <w:t>AO1.2</w:t>
            </w:r>
          </w:p>
          <w:p w14:paraId="4A32C1E0" w14:textId="77777777" w:rsidR="00BE36FB" w:rsidRPr="009B7B35" w:rsidRDefault="00BE36FB" w:rsidP="001A7107">
            <w:pPr>
              <w:pStyle w:val="TableText"/>
              <w:rPr>
                <w:rFonts w:cs="Arial"/>
              </w:rPr>
            </w:pPr>
            <w:r w:rsidRPr="009B7B35">
              <w:rPr>
                <w:rFonts w:cs="Arial"/>
              </w:rPr>
              <w:t>The caretaker’s accommodation unit is a maximum of 100m</w:t>
            </w:r>
            <w:r w:rsidRPr="009B7B35">
              <w:rPr>
                <w:rFonts w:cs="Arial"/>
                <w:vertAlign w:val="superscript"/>
              </w:rPr>
              <w:t>2</w:t>
            </w:r>
            <w:r w:rsidRPr="009B7B35">
              <w:rPr>
                <w:rFonts w:cs="Arial"/>
              </w:rPr>
              <w:t xml:space="preserve"> in GFA.</w:t>
            </w:r>
          </w:p>
        </w:tc>
      </w:tr>
      <w:tr w:rsidR="00BE36FB" w:rsidRPr="009B7B35" w14:paraId="0AE30AC7" w14:textId="77777777" w:rsidTr="001A7107">
        <w:trPr>
          <w:cantSplit/>
        </w:trPr>
        <w:tc>
          <w:tcPr>
            <w:tcW w:w="9356" w:type="dxa"/>
            <w:gridSpan w:val="2"/>
            <w:shd w:val="clear" w:color="auto" w:fill="BFBFBF" w:themeFill="background1" w:themeFillShade="BF"/>
          </w:tcPr>
          <w:p w14:paraId="17C8BC0D" w14:textId="77777777" w:rsidR="00BE36FB" w:rsidRPr="009B7B35" w:rsidRDefault="00BE36FB" w:rsidP="001A7107">
            <w:pPr>
              <w:pStyle w:val="Tableheading"/>
              <w:rPr>
                <w:rFonts w:ascii="Arial" w:hAnsi="Arial" w:cs="Arial"/>
                <w:szCs w:val="20"/>
              </w:rPr>
            </w:pPr>
            <w:r w:rsidRPr="009B7B35">
              <w:rPr>
                <w:rFonts w:ascii="Arial" w:hAnsi="Arial" w:cs="Arial"/>
                <w:szCs w:val="20"/>
              </w:rPr>
              <w:t>Building height (if involving building work)</w:t>
            </w:r>
          </w:p>
        </w:tc>
      </w:tr>
      <w:tr w:rsidR="00BE36FB" w:rsidRPr="009B7B35" w14:paraId="37E7172F" w14:textId="77777777" w:rsidTr="001A7107">
        <w:trPr>
          <w:cantSplit/>
        </w:trPr>
        <w:tc>
          <w:tcPr>
            <w:tcW w:w="4678" w:type="dxa"/>
          </w:tcPr>
          <w:p w14:paraId="432135C8" w14:textId="77777777" w:rsidR="00BE36FB" w:rsidRPr="009B7B35" w:rsidRDefault="00BE36FB" w:rsidP="001A7107">
            <w:pPr>
              <w:pStyle w:val="TableText"/>
              <w:rPr>
                <w:rFonts w:cs="Arial"/>
                <w:b/>
                <w:bCs/>
              </w:rPr>
            </w:pPr>
            <w:r w:rsidRPr="009B7B35">
              <w:rPr>
                <w:rFonts w:cs="Arial"/>
                <w:b/>
                <w:bCs/>
              </w:rPr>
              <w:t>PO2</w:t>
            </w:r>
          </w:p>
          <w:p w14:paraId="6C190A0D" w14:textId="77777777" w:rsidR="00BE36FB" w:rsidRPr="009B7B35" w:rsidRDefault="00BE36FB" w:rsidP="001A7107">
            <w:pPr>
              <w:pStyle w:val="TableText"/>
              <w:rPr>
                <w:rFonts w:cs="Arial"/>
              </w:rPr>
            </w:pPr>
            <w:r w:rsidRPr="009B7B35">
              <w:rPr>
                <w:rFonts w:cs="Arial"/>
              </w:rPr>
              <w:t xml:space="preserve">Buildings and other structures: </w:t>
            </w:r>
          </w:p>
          <w:p w14:paraId="17A3911B" w14:textId="77777777" w:rsidR="00BE36FB" w:rsidRPr="009B7B35" w:rsidRDefault="00BE36FB" w:rsidP="00BE36FB">
            <w:pPr>
              <w:pStyle w:val="TableText"/>
              <w:numPr>
                <w:ilvl w:val="0"/>
                <w:numId w:val="304"/>
              </w:numPr>
              <w:rPr>
                <w:rFonts w:cs="Arial"/>
              </w:rPr>
            </w:pPr>
            <w:r w:rsidRPr="009B7B35">
              <w:rPr>
                <w:rFonts w:cs="Arial"/>
              </w:rPr>
              <w:t>are low rise, and</w:t>
            </w:r>
          </w:p>
          <w:p w14:paraId="7902805D" w14:textId="77777777" w:rsidR="00BE36FB" w:rsidRPr="009B7B35" w:rsidRDefault="00BE36FB" w:rsidP="00BE36FB">
            <w:pPr>
              <w:pStyle w:val="TableText"/>
              <w:numPr>
                <w:ilvl w:val="0"/>
                <w:numId w:val="304"/>
              </w:numPr>
              <w:rPr>
                <w:rFonts w:cs="Arial"/>
              </w:rPr>
            </w:pPr>
            <w:r w:rsidRPr="009B7B35">
              <w:rPr>
                <w:rFonts w:cs="Arial"/>
              </w:rPr>
              <w:t>do not to adversely impact on the rural or open space character of the area.</w:t>
            </w:r>
          </w:p>
        </w:tc>
        <w:tc>
          <w:tcPr>
            <w:tcW w:w="4678" w:type="dxa"/>
          </w:tcPr>
          <w:p w14:paraId="70035B88" w14:textId="77777777" w:rsidR="00BE36FB" w:rsidRPr="009B7B35" w:rsidRDefault="00BE36FB" w:rsidP="001A7107">
            <w:pPr>
              <w:pStyle w:val="TableText"/>
              <w:rPr>
                <w:rFonts w:cs="Arial"/>
                <w:b/>
                <w:bCs/>
              </w:rPr>
            </w:pPr>
            <w:r w:rsidRPr="009B7B35">
              <w:rPr>
                <w:rFonts w:cs="Arial"/>
                <w:b/>
                <w:bCs/>
              </w:rPr>
              <w:t>AO2</w:t>
            </w:r>
          </w:p>
          <w:p w14:paraId="4BDB520A" w14:textId="77777777" w:rsidR="00BE36FB" w:rsidRPr="009B7B35" w:rsidRDefault="00BE36FB" w:rsidP="001A7107">
            <w:pPr>
              <w:pStyle w:val="TableText"/>
              <w:rPr>
                <w:rFonts w:cs="Arial"/>
              </w:rPr>
            </w:pPr>
            <w:r w:rsidRPr="009B7B35">
              <w:rPr>
                <w:rFonts w:cs="Arial"/>
              </w:rPr>
              <w:t>Building height does not exceed 8.5m.</w:t>
            </w:r>
          </w:p>
        </w:tc>
      </w:tr>
      <w:tr w:rsidR="00BE36FB" w:rsidRPr="009B7B35" w14:paraId="0EAAE5D0" w14:textId="77777777" w:rsidTr="001A7107">
        <w:trPr>
          <w:cantSplit/>
        </w:trPr>
        <w:tc>
          <w:tcPr>
            <w:tcW w:w="9356" w:type="dxa"/>
            <w:gridSpan w:val="2"/>
          </w:tcPr>
          <w:p w14:paraId="37713FD7"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07E3FAF9" w14:textId="77777777" w:rsidTr="001A7107">
        <w:trPr>
          <w:cantSplit/>
        </w:trPr>
        <w:tc>
          <w:tcPr>
            <w:tcW w:w="9356" w:type="dxa"/>
            <w:gridSpan w:val="2"/>
            <w:shd w:val="clear" w:color="auto" w:fill="BFBFBF" w:themeFill="background1" w:themeFillShade="BF"/>
          </w:tcPr>
          <w:p w14:paraId="4D3F13B6"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14:paraId="7CE3F4AD" w14:textId="77777777" w:rsidTr="001A7107">
        <w:trPr>
          <w:cantSplit/>
        </w:trPr>
        <w:tc>
          <w:tcPr>
            <w:tcW w:w="4678" w:type="dxa"/>
          </w:tcPr>
          <w:p w14:paraId="501FCB5E" w14:textId="77777777" w:rsidR="00BE36FB" w:rsidRPr="009B7B35" w:rsidRDefault="00BE36FB" w:rsidP="001A7107">
            <w:pPr>
              <w:pStyle w:val="TableText"/>
              <w:rPr>
                <w:rFonts w:cs="Arial"/>
                <w:b/>
                <w:bCs/>
              </w:rPr>
            </w:pPr>
            <w:r w:rsidRPr="009B7B35">
              <w:rPr>
                <w:rFonts w:cs="Arial"/>
                <w:b/>
                <w:bCs/>
              </w:rPr>
              <w:t>PO3</w:t>
            </w:r>
          </w:p>
          <w:p w14:paraId="6EC9B5BA" w14:textId="77777777" w:rsidR="00BE36FB" w:rsidRPr="009B7B35" w:rsidRDefault="00BE36FB" w:rsidP="001A7107">
            <w:pPr>
              <w:pStyle w:val="TableText"/>
              <w:rPr>
                <w:rFonts w:cs="Arial"/>
              </w:rPr>
            </w:pPr>
            <w:r w:rsidRPr="009B7B35">
              <w:rPr>
                <w:rFonts w:cs="Arial"/>
              </w:rPr>
              <w:t>Development is very low impact and compatible with the physical constraints of the land.</w:t>
            </w:r>
          </w:p>
        </w:tc>
        <w:tc>
          <w:tcPr>
            <w:tcW w:w="4678" w:type="dxa"/>
          </w:tcPr>
          <w:p w14:paraId="4B4DA5F1"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30FAD9C" w14:textId="77777777" w:rsidTr="001A7107">
        <w:trPr>
          <w:cantSplit/>
        </w:trPr>
        <w:tc>
          <w:tcPr>
            <w:tcW w:w="9356" w:type="dxa"/>
            <w:gridSpan w:val="2"/>
            <w:shd w:val="clear" w:color="auto" w:fill="BFBFBF" w:themeFill="background1" w:themeFillShade="BF"/>
          </w:tcPr>
          <w:p w14:paraId="502E80CA" w14:textId="77777777"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14:paraId="5AF359CA" w14:textId="77777777" w:rsidTr="001A7107">
        <w:tc>
          <w:tcPr>
            <w:tcW w:w="4678" w:type="dxa"/>
          </w:tcPr>
          <w:p w14:paraId="2B84068D" w14:textId="77777777" w:rsidR="00BE36FB" w:rsidRPr="009B7B35" w:rsidRDefault="00BE36FB" w:rsidP="001A7107">
            <w:pPr>
              <w:pStyle w:val="TableText"/>
              <w:rPr>
                <w:rFonts w:cs="Arial"/>
                <w:b/>
                <w:bCs/>
              </w:rPr>
            </w:pPr>
            <w:r w:rsidRPr="009B7B35">
              <w:rPr>
                <w:rFonts w:cs="Arial"/>
                <w:b/>
                <w:bCs/>
              </w:rPr>
              <w:t>PO4</w:t>
            </w:r>
          </w:p>
          <w:p w14:paraId="02FC10A4" w14:textId="77777777"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14:paraId="1B1706A6" w14:textId="77777777" w:rsidR="00BE36FB" w:rsidRPr="009B7B35" w:rsidRDefault="00BE36FB" w:rsidP="00BE36FB">
            <w:pPr>
              <w:pStyle w:val="TableText"/>
              <w:numPr>
                <w:ilvl w:val="0"/>
                <w:numId w:val="137"/>
              </w:numPr>
              <w:rPr>
                <w:rFonts w:cs="Arial"/>
              </w:rPr>
            </w:pPr>
            <w:r w:rsidRPr="009B7B35">
              <w:rPr>
                <w:rFonts w:cs="Arial"/>
              </w:rPr>
              <w:t>noise</w:t>
            </w:r>
          </w:p>
          <w:p w14:paraId="5D66C215" w14:textId="77777777" w:rsidR="00BE36FB" w:rsidRPr="009B7B35" w:rsidRDefault="00BE36FB" w:rsidP="00BE36FB">
            <w:pPr>
              <w:pStyle w:val="TableText"/>
              <w:numPr>
                <w:ilvl w:val="0"/>
                <w:numId w:val="137"/>
              </w:numPr>
              <w:rPr>
                <w:rFonts w:cs="Arial"/>
              </w:rPr>
            </w:pPr>
            <w:r w:rsidRPr="009B7B35">
              <w:rPr>
                <w:rFonts w:cs="Arial"/>
              </w:rPr>
              <w:t>traffic and parking</w:t>
            </w:r>
          </w:p>
          <w:p w14:paraId="4A307DD0" w14:textId="77777777" w:rsidR="00BE36FB" w:rsidRPr="009B7B35" w:rsidRDefault="00BE36FB" w:rsidP="00BE36FB">
            <w:pPr>
              <w:pStyle w:val="TableText"/>
              <w:numPr>
                <w:ilvl w:val="0"/>
                <w:numId w:val="137"/>
              </w:numPr>
              <w:rPr>
                <w:rFonts w:cs="Arial"/>
              </w:rPr>
            </w:pPr>
            <w:r w:rsidRPr="009B7B35">
              <w:rPr>
                <w:rFonts w:cs="Arial"/>
              </w:rPr>
              <w:t>visual impact</w:t>
            </w:r>
          </w:p>
          <w:p w14:paraId="41577AC4" w14:textId="77777777" w:rsidR="00BE36FB" w:rsidRPr="009B7B35" w:rsidRDefault="00BE36FB" w:rsidP="00BE36FB">
            <w:pPr>
              <w:pStyle w:val="TableText"/>
              <w:numPr>
                <w:ilvl w:val="0"/>
                <w:numId w:val="137"/>
              </w:numPr>
              <w:rPr>
                <w:rFonts w:cs="Arial"/>
              </w:rPr>
            </w:pPr>
            <w:r w:rsidRPr="009B7B35">
              <w:rPr>
                <w:rFonts w:cs="Arial"/>
              </w:rPr>
              <w:t>signage</w:t>
            </w:r>
          </w:p>
          <w:p w14:paraId="540D81C0" w14:textId="77777777" w:rsidR="00BE36FB" w:rsidRPr="009B7B35" w:rsidRDefault="00BE36FB" w:rsidP="00BE36FB">
            <w:pPr>
              <w:pStyle w:val="TableText"/>
              <w:numPr>
                <w:ilvl w:val="0"/>
                <w:numId w:val="137"/>
              </w:numPr>
              <w:rPr>
                <w:rFonts w:cs="Arial"/>
              </w:rPr>
            </w:pPr>
            <w:r w:rsidRPr="009B7B35">
              <w:rPr>
                <w:rFonts w:cs="Arial"/>
              </w:rPr>
              <w:t>odour and emissions</w:t>
            </w:r>
          </w:p>
          <w:p w14:paraId="253786B5" w14:textId="77777777" w:rsidR="00BE36FB" w:rsidRPr="009B7B35" w:rsidRDefault="00BE36FB" w:rsidP="00BE36FB">
            <w:pPr>
              <w:pStyle w:val="TableText"/>
              <w:numPr>
                <w:ilvl w:val="0"/>
                <w:numId w:val="137"/>
              </w:numPr>
              <w:rPr>
                <w:rFonts w:cs="Arial"/>
              </w:rPr>
            </w:pPr>
            <w:r w:rsidRPr="009B7B35">
              <w:rPr>
                <w:rFonts w:cs="Arial"/>
              </w:rPr>
              <w:t>access to sunlight, and</w:t>
            </w:r>
          </w:p>
          <w:p w14:paraId="5E378D11" w14:textId="77777777" w:rsidR="00BE36FB" w:rsidRPr="009B7B35" w:rsidRDefault="00BE36FB" w:rsidP="00BE36FB">
            <w:pPr>
              <w:pStyle w:val="TableText"/>
              <w:numPr>
                <w:ilvl w:val="0"/>
                <w:numId w:val="137"/>
              </w:numPr>
              <w:rPr>
                <w:rFonts w:cs="Arial"/>
              </w:rPr>
            </w:pPr>
            <w:r w:rsidRPr="009B7B35">
              <w:rPr>
                <w:rFonts w:cs="Arial"/>
              </w:rPr>
              <w:t>privacy.</w:t>
            </w:r>
          </w:p>
          <w:p w14:paraId="142BB1AD" w14:textId="77777777" w:rsidR="00BE36FB" w:rsidRPr="009B7B35" w:rsidRDefault="00BE36FB" w:rsidP="001A7107">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14:paraId="6B4BEDE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0F4BC51" w14:textId="77777777" w:rsidTr="001A7107">
        <w:tc>
          <w:tcPr>
            <w:tcW w:w="4678" w:type="dxa"/>
          </w:tcPr>
          <w:p w14:paraId="44C87951" w14:textId="77777777" w:rsidR="00BE36FB" w:rsidRPr="009B7B35" w:rsidRDefault="00BE36FB" w:rsidP="001A7107">
            <w:pPr>
              <w:pStyle w:val="TableText"/>
              <w:rPr>
                <w:rFonts w:cs="Arial"/>
                <w:b/>
                <w:bCs/>
              </w:rPr>
            </w:pPr>
            <w:r w:rsidRPr="009B7B35">
              <w:rPr>
                <w:rFonts w:cs="Arial"/>
                <w:b/>
                <w:bCs/>
              </w:rPr>
              <w:t>PO5</w:t>
            </w:r>
          </w:p>
          <w:p w14:paraId="59E2F795" w14:textId="77777777" w:rsidR="00BE36FB" w:rsidRPr="009B7B35" w:rsidRDefault="00BE36FB" w:rsidP="001A7107">
            <w:pPr>
              <w:pStyle w:val="TableText"/>
              <w:rPr>
                <w:rFonts w:cs="Arial"/>
              </w:rPr>
            </w:pPr>
            <w:r w:rsidRPr="009B7B35">
              <w:rPr>
                <w:rFonts w:cs="Arial"/>
              </w:rPr>
              <w:t>Development does not unduly impact on the existing amenity and character of the locality having regard to:</w:t>
            </w:r>
          </w:p>
          <w:p w14:paraId="73410331" w14:textId="77777777" w:rsidR="00BE36FB" w:rsidRPr="009B7B35" w:rsidRDefault="00BE36FB" w:rsidP="00BE36FB">
            <w:pPr>
              <w:pStyle w:val="TableText"/>
              <w:numPr>
                <w:ilvl w:val="0"/>
                <w:numId w:val="306"/>
              </w:numPr>
              <w:rPr>
                <w:rFonts w:cs="Arial"/>
              </w:rPr>
            </w:pPr>
            <w:r w:rsidRPr="009B7B35">
              <w:rPr>
                <w:rFonts w:cs="Arial"/>
              </w:rPr>
              <w:t>the scale, siting and design of buildings and structures</w:t>
            </w:r>
          </w:p>
          <w:p w14:paraId="20245681" w14:textId="77777777" w:rsidR="00BE36FB" w:rsidRPr="009B7B35" w:rsidRDefault="00BE36FB" w:rsidP="00BE36FB">
            <w:pPr>
              <w:pStyle w:val="TableText"/>
              <w:numPr>
                <w:ilvl w:val="0"/>
                <w:numId w:val="306"/>
              </w:numPr>
              <w:rPr>
                <w:rFonts w:cs="Arial"/>
              </w:rPr>
            </w:pPr>
            <w:r w:rsidRPr="009B7B35">
              <w:rPr>
                <w:rFonts w:cs="Arial"/>
              </w:rPr>
              <w:t>visibility from roads and other public view points, screening vegetation and landscaping, and</w:t>
            </w:r>
          </w:p>
          <w:p w14:paraId="2D175553" w14:textId="77777777" w:rsidR="00BE36FB" w:rsidRPr="009B7B35" w:rsidRDefault="00BE36FB" w:rsidP="00BE36FB">
            <w:pPr>
              <w:pStyle w:val="TableText"/>
              <w:numPr>
                <w:ilvl w:val="0"/>
                <w:numId w:val="306"/>
              </w:numPr>
              <w:rPr>
                <w:rFonts w:cs="Arial"/>
              </w:rPr>
            </w:pPr>
            <w:r w:rsidRPr="009B7B35">
              <w:rPr>
                <w:rFonts w:cs="Arial"/>
              </w:rPr>
              <w:t>the natural landform and avoidance of visual scarring.</w:t>
            </w:r>
          </w:p>
        </w:tc>
        <w:tc>
          <w:tcPr>
            <w:tcW w:w="4678" w:type="dxa"/>
          </w:tcPr>
          <w:p w14:paraId="73312F69"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B40339D" w14:textId="77777777" w:rsidTr="001A7107">
        <w:trPr>
          <w:cantSplit/>
        </w:trPr>
        <w:tc>
          <w:tcPr>
            <w:tcW w:w="4678" w:type="dxa"/>
          </w:tcPr>
          <w:p w14:paraId="07E93BEE" w14:textId="77777777" w:rsidR="00BE36FB" w:rsidRPr="009B7B35" w:rsidRDefault="00BE36FB" w:rsidP="001A7107">
            <w:pPr>
              <w:pStyle w:val="TableText"/>
              <w:rPr>
                <w:rFonts w:cs="Arial"/>
                <w:b/>
                <w:bCs/>
              </w:rPr>
            </w:pPr>
            <w:r w:rsidRPr="009B7B35">
              <w:rPr>
                <w:rFonts w:cs="Arial"/>
                <w:b/>
                <w:bCs/>
              </w:rPr>
              <w:t>PO6</w:t>
            </w:r>
          </w:p>
          <w:p w14:paraId="19ACDE66" w14:textId="77777777" w:rsidR="00BE36FB" w:rsidRPr="009B7B35" w:rsidRDefault="00BE36FB" w:rsidP="001A7107">
            <w:pPr>
              <w:pStyle w:val="TableText"/>
              <w:rPr>
                <w:rFonts w:cs="Arial"/>
              </w:rPr>
            </w:pPr>
            <w:r w:rsidRPr="009B7B35">
              <w:rPr>
                <w:rFonts w:cs="Arial"/>
              </w:rPr>
              <w:t>All uses:</w:t>
            </w:r>
          </w:p>
          <w:p w14:paraId="17DCA6BB" w14:textId="77777777" w:rsidR="00BE36FB" w:rsidRPr="009B7B35" w:rsidRDefault="00BE36FB" w:rsidP="00BE36FB">
            <w:pPr>
              <w:pStyle w:val="TableText"/>
              <w:numPr>
                <w:ilvl w:val="0"/>
                <w:numId w:val="307"/>
              </w:numPr>
              <w:ind w:left="510" w:hanging="510"/>
              <w:rPr>
                <w:rFonts w:cs="Arial"/>
              </w:rPr>
            </w:pPr>
            <w:r w:rsidRPr="009B7B35">
              <w:rPr>
                <w:rFonts w:cs="Arial"/>
              </w:rPr>
              <w:t>minimise noise, dust, odour or other nuisance from existing lawful uses including industrial uses</w:t>
            </w:r>
          </w:p>
          <w:p w14:paraId="06F505D7" w14:textId="77777777" w:rsidR="00BE36FB" w:rsidRPr="009B7B35" w:rsidRDefault="00BE36FB" w:rsidP="00BE36FB">
            <w:pPr>
              <w:pStyle w:val="TableText"/>
              <w:numPr>
                <w:ilvl w:val="0"/>
                <w:numId w:val="307"/>
              </w:numPr>
              <w:ind w:left="510" w:hanging="510"/>
              <w:rPr>
                <w:rFonts w:cs="Arial"/>
              </w:rPr>
            </w:pPr>
            <w:r w:rsidRPr="009B7B35">
              <w:rPr>
                <w:rFonts w:cs="Arial"/>
              </w:rPr>
              <w:t>minimise nuisance caused by noise, vibration and dust emissions generated by the state–controlled road and rail network in the vicinity of the land.</w:t>
            </w:r>
          </w:p>
        </w:tc>
        <w:tc>
          <w:tcPr>
            <w:tcW w:w="4678" w:type="dxa"/>
          </w:tcPr>
          <w:p w14:paraId="00EDBB89"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F25EFA8" w14:textId="77777777" w:rsidTr="001A7107">
        <w:trPr>
          <w:cantSplit/>
        </w:trPr>
        <w:tc>
          <w:tcPr>
            <w:tcW w:w="4678" w:type="dxa"/>
            <w:vMerge w:val="restart"/>
          </w:tcPr>
          <w:p w14:paraId="2908D465" w14:textId="77777777" w:rsidR="00BE36FB" w:rsidRPr="009B7B35" w:rsidRDefault="00BE36FB" w:rsidP="001A7107">
            <w:pPr>
              <w:pStyle w:val="TableText"/>
              <w:rPr>
                <w:rFonts w:cs="Arial"/>
                <w:b/>
                <w:bCs/>
              </w:rPr>
            </w:pPr>
            <w:r w:rsidRPr="009B7B35">
              <w:rPr>
                <w:rFonts w:cs="Arial"/>
                <w:b/>
                <w:bCs/>
              </w:rPr>
              <w:t>PO7</w:t>
            </w:r>
          </w:p>
          <w:p w14:paraId="52C8FB23" w14:textId="77777777" w:rsidR="00BE36FB" w:rsidRPr="009B7B35" w:rsidRDefault="00BE36FB" w:rsidP="001A7107">
            <w:pPr>
              <w:pStyle w:val="TableText"/>
              <w:rPr>
                <w:rFonts w:cs="Arial"/>
              </w:rPr>
            </w:pPr>
            <w:r w:rsidRPr="009B7B35">
              <w:rPr>
                <w:rFonts w:cs="Arial"/>
              </w:rPr>
              <w:t>Outdoor lighting does not adversely affect the amenity of adjoining properties or create a traffic hazard on adjacent roads.</w:t>
            </w:r>
          </w:p>
        </w:tc>
        <w:tc>
          <w:tcPr>
            <w:tcW w:w="4678" w:type="dxa"/>
          </w:tcPr>
          <w:p w14:paraId="03573C65" w14:textId="77777777" w:rsidR="00BE36FB" w:rsidRPr="009B7B35" w:rsidRDefault="00BE36FB" w:rsidP="001A7107">
            <w:pPr>
              <w:pStyle w:val="TableText"/>
              <w:rPr>
                <w:rFonts w:cs="Arial"/>
                <w:b/>
                <w:bCs/>
              </w:rPr>
            </w:pPr>
            <w:r w:rsidRPr="009B7B35">
              <w:rPr>
                <w:rFonts w:cs="Arial"/>
                <w:b/>
                <w:bCs/>
              </w:rPr>
              <w:t>AO7.1</w:t>
            </w:r>
          </w:p>
          <w:p w14:paraId="44B49787" w14:textId="77777777" w:rsidR="00BE36FB" w:rsidRPr="009B7B35" w:rsidRDefault="00BE36FB" w:rsidP="001A7107">
            <w:pPr>
              <w:pStyle w:val="TableText"/>
              <w:rPr>
                <w:rFonts w:cs="Arial"/>
              </w:rPr>
            </w:pPr>
            <w:r w:rsidRPr="009B7B35">
              <w:rPr>
                <w:rFonts w:cs="Arial"/>
              </w:rPr>
              <w:t xml:space="preserve">Light emanating from any source complies with </w:t>
            </w:r>
            <w:r w:rsidRPr="009B7B35">
              <w:rPr>
                <w:rStyle w:val="StyleItalic"/>
                <w:rFonts w:cs="Arial"/>
              </w:rPr>
              <w:t xml:space="preserve">Australian Standard AS4282 Control of the Obtrusive Effects of Outdoor Lighting </w:t>
            </w:r>
            <w:r w:rsidRPr="009B7B35">
              <w:rPr>
                <w:rFonts w:cs="Arial"/>
              </w:rPr>
              <w:t>as amended.</w:t>
            </w:r>
          </w:p>
        </w:tc>
      </w:tr>
      <w:tr w:rsidR="00BE36FB" w:rsidRPr="009B7B35" w14:paraId="1B2E8E1A" w14:textId="77777777" w:rsidTr="001A7107">
        <w:trPr>
          <w:cantSplit/>
        </w:trPr>
        <w:tc>
          <w:tcPr>
            <w:tcW w:w="4678" w:type="dxa"/>
            <w:vMerge/>
          </w:tcPr>
          <w:p w14:paraId="4D67E329" w14:textId="77777777" w:rsidR="00BE36FB" w:rsidRPr="009B7B35" w:rsidRDefault="00BE36FB" w:rsidP="001A7107">
            <w:pPr>
              <w:pStyle w:val="TableText"/>
              <w:rPr>
                <w:rFonts w:cs="Arial"/>
              </w:rPr>
            </w:pPr>
          </w:p>
        </w:tc>
        <w:tc>
          <w:tcPr>
            <w:tcW w:w="4678" w:type="dxa"/>
          </w:tcPr>
          <w:p w14:paraId="258281A6" w14:textId="77777777" w:rsidR="00BE36FB" w:rsidRPr="009B7B35" w:rsidRDefault="00BE36FB" w:rsidP="001A7107">
            <w:pPr>
              <w:pStyle w:val="TableText"/>
              <w:rPr>
                <w:rFonts w:cs="Arial"/>
                <w:b/>
                <w:bCs/>
              </w:rPr>
            </w:pPr>
            <w:r w:rsidRPr="009B7B35">
              <w:rPr>
                <w:rFonts w:cs="Arial"/>
                <w:b/>
                <w:bCs/>
              </w:rPr>
              <w:t>AO7.2</w:t>
            </w:r>
          </w:p>
          <w:p w14:paraId="1AB48A69" w14:textId="77777777" w:rsidR="00BE36FB" w:rsidRPr="009B7B35" w:rsidRDefault="00BE36FB" w:rsidP="001A7107">
            <w:pPr>
              <w:pStyle w:val="TableText"/>
              <w:rPr>
                <w:rFonts w:cs="Arial"/>
              </w:rPr>
            </w:pPr>
            <w:r w:rsidRPr="009B7B35">
              <w:rPr>
                <w:rFonts w:cs="Arial"/>
              </w:rPr>
              <w:t xml:space="preserve">Outdoor lighting is provided in accordance with </w:t>
            </w:r>
            <w:r w:rsidRPr="009B7B35">
              <w:rPr>
                <w:rStyle w:val="StyleItalic"/>
                <w:rFonts w:cs="Arial"/>
              </w:rPr>
              <w:t>Australian Standard AS1158.1.1 – Road Lighting – Vehicular Traffic (Category V) Lighting – Performance and Installation Design Requirements</w:t>
            </w:r>
            <w:r w:rsidRPr="009B7B35">
              <w:rPr>
                <w:rFonts w:cs="Arial"/>
              </w:rPr>
              <w:t xml:space="preserve"> as amended.</w:t>
            </w:r>
          </w:p>
        </w:tc>
      </w:tr>
      <w:tr w:rsidR="00BE36FB" w:rsidRPr="009B7B35" w14:paraId="109AD4DB" w14:textId="77777777" w:rsidTr="001A7107">
        <w:trPr>
          <w:cantSplit/>
        </w:trPr>
        <w:tc>
          <w:tcPr>
            <w:tcW w:w="9356" w:type="dxa"/>
            <w:gridSpan w:val="2"/>
            <w:shd w:val="clear" w:color="auto" w:fill="BFBFBF" w:themeFill="background1" w:themeFillShade="BF"/>
          </w:tcPr>
          <w:p w14:paraId="640E3883"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404A8FB4" w14:textId="77777777" w:rsidTr="001A7107">
        <w:trPr>
          <w:cantSplit/>
        </w:trPr>
        <w:tc>
          <w:tcPr>
            <w:tcW w:w="4678" w:type="dxa"/>
          </w:tcPr>
          <w:p w14:paraId="1EE4922E" w14:textId="77777777" w:rsidR="00BE36FB" w:rsidRPr="009B7B35" w:rsidRDefault="00BE36FB" w:rsidP="001A7107">
            <w:pPr>
              <w:pStyle w:val="TableText"/>
              <w:rPr>
                <w:rFonts w:cs="Arial"/>
                <w:b/>
                <w:bCs/>
              </w:rPr>
            </w:pPr>
            <w:r w:rsidRPr="009B7B35">
              <w:rPr>
                <w:rFonts w:cs="Arial"/>
                <w:b/>
                <w:bCs/>
              </w:rPr>
              <w:t>PO8</w:t>
            </w:r>
          </w:p>
          <w:p w14:paraId="41C8A02A" w14:textId="77777777" w:rsidR="00BE36FB" w:rsidRPr="009B7B35" w:rsidRDefault="00BE36FB" w:rsidP="001A7107">
            <w:pPr>
              <w:pStyle w:val="TableText"/>
              <w:rPr>
                <w:rFonts w:cs="Arial"/>
              </w:rPr>
            </w:pPr>
            <w:r w:rsidRPr="009B7B35">
              <w:rPr>
                <w:rFonts w:cs="Arial"/>
              </w:rPr>
              <w:t>Development responds sensitively to on–site and surrounding topography, drainage patterns, coastal foreshores, waterways, utility services, access, vegetation and adjoining land use, such that:</w:t>
            </w:r>
          </w:p>
          <w:p w14:paraId="48B5409A" w14:textId="77777777" w:rsidR="00BE36FB" w:rsidRPr="009B7B35" w:rsidRDefault="00BE36FB" w:rsidP="00BE36FB">
            <w:pPr>
              <w:pStyle w:val="TableText"/>
              <w:numPr>
                <w:ilvl w:val="0"/>
                <w:numId w:val="138"/>
              </w:numPr>
              <w:rPr>
                <w:rFonts w:cs="Arial"/>
              </w:rPr>
            </w:pPr>
            <w:r w:rsidRPr="009B7B35">
              <w:rPr>
                <w:rFonts w:cs="Arial"/>
              </w:rPr>
              <w:t>any hazards to people or property are avoided</w:t>
            </w:r>
          </w:p>
          <w:p w14:paraId="6C7C2983" w14:textId="77777777" w:rsidR="00BE36FB" w:rsidRPr="009B7B35" w:rsidRDefault="00BE36FB" w:rsidP="00BE36FB">
            <w:pPr>
              <w:pStyle w:val="TableText"/>
              <w:numPr>
                <w:ilvl w:val="0"/>
                <w:numId w:val="138"/>
              </w:numPr>
              <w:rPr>
                <w:rFonts w:cs="Arial"/>
              </w:rPr>
            </w:pPr>
            <w:r w:rsidRPr="009B7B35">
              <w:rPr>
                <w:rFonts w:cs="Arial"/>
              </w:rPr>
              <w:t>any earthworks are minimised</w:t>
            </w:r>
          </w:p>
          <w:p w14:paraId="7251710F" w14:textId="77777777" w:rsidR="00BE36FB" w:rsidRPr="009B7B35" w:rsidRDefault="00BE36FB" w:rsidP="00BE36FB">
            <w:pPr>
              <w:pStyle w:val="TableText"/>
              <w:numPr>
                <w:ilvl w:val="0"/>
                <w:numId w:val="138"/>
              </w:numPr>
              <w:rPr>
                <w:rFonts w:cs="Arial"/>
              </w:rPr>
            </w:pPr>
            <w:r w:rsidRPr="009B7B35">
              <w:rPr>
                <w:rFonts w:cs="Arial"/>
              </w:rPr>
              <w:t>the retention of natural drainage lines is maximised</w:t>
            </w:r>
          </w:p>
          <w:p w14:paraId="396B5100" w14:textId="77777777" w:rsidR="00BE36FB" w:rsidRPr="009B7B35" w:rsidRDefault="00BE36FB" w:rsidP="00BE36FB">
            <w:pPr>
              <w:pStyle w:val="TableText"/>
              <w:numPr>
                <w:ilvl w:val="0"/>
                <w:numId w:val="138"/>
              </w:numPr>
              <w:rPr>
                <w:rFonts w:cs="Arial"/>
              </w:rPr>
            </w:pPr>
            <w:r w:rsidRPr="009B7B35">
              <w:rPr>
                <w:rFonts w:cs="Arial"/>
              </w:rPr>
              <w:t>the retention of existing vegetation is maximised</w:t>
            </w:r>
          </w:p>
          <w:p w14:paraId="650F2CE9" w14:textId="77777777" w:rsidR="00BE36FB" w:rsidRPr="009B7B35" w:rsidRDefault="00BE36FB" w:rsidP="00BE36FB">
            <w:pPr>
              <w:pStyle w:val="TableText"/>
              <w:numPr>
                <w:ilvl w:val="0"/>
                <w:numId w:val="138"/>
              </w:numPr>
              <w:rPr>
                <w:rFonts w:cs="Arial"/>
              </w:rPr>
            </w:pPr>
            <w:r w:rsidRPr="009B7B35">
              <w:rPr>
                <w:rFonts w:cs="Arial"/>
              </w:rPr>
              <w:t xml:space="preserve">damage or disruption to sewerage, stormwater and water infrastructure is avoided, and </w:t>
            </w:r>
          </w:p>
          <w:p w14:paraId="123AE487" w14:textId="77777777" w:rsidR="00BE36FB" w:rsidRPr="009B7B35" w:rsidRDefault="00BE36FB" w:rsidP="00BE36FB">
            <w:pPr>
              <w:pStyle w:val="TableText"/>
              <w:numPr>
                <w:ilvl w:val="0"/>
                <w:numId w:val="138"/>
              </w:numPr>
              <w:rPr>
                <w:rFonts w:cs="Arial"/>
              </w:rPr>
            </w:pPr>
            <w:r w:rsidRPr="009B7B35">
              <w:rPr>
                <w:rFonts w:cs="Arial"/>
              </w:rPr>
              <w:t>there is adequate buffering, screening or separation to adjoining development.</w:t>
            </w:r>
          </w:p>
          <w:p w14:paraId="785DC883" w14:textId="77777777" w:rsidR="00BE36FB" w:rsidRPr="009B7B35" w:rsidRDefault="00BE36FB" w:rsidP="001A7107">
            <w:pPr>
              <w:pStyle w:val="TableText"/>
              <w:ind w:left="567"/>
              <w:rPr>
                <w:rFonts w:cs="Arial"/>
              </w:rPr>
            </w:pPr>
          </w:p>
        </w:tc>
        <w:tc>
          <w:tcPr>
            <w:tcW w:w="4678" w:type="dxa"/>
          </w:tcPr>
          <w:p w14:paraId="40E22FA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813C195" w14:textId="77777777" w:rsidTr="001A7107">
        <w:trPr>
          <w:cantSplit/>
        </w:trPr>
        <w:tc>
          <w:tcPr>
            <w:tcW w:w="9356" w:type="dxa"/>
            <w:gridSpan w:val="2"/>
            <w:shd w:val="clear" w:color="auto" w:fill="BFBFBF" w:themeFill="background1" w:themeFillShade="BF"/>
          </w:tcPr>
          <w:p w14:paraId="0777C02A" w14:textId="77777777" w:rsidR="00BE36FB" w:rsidRPr="009B7B35" w:rsidRDefault="00BE36FB" w:rsidP="001A7107">
            <w:pPr>
              <w:pStyle w:val="Tableheading"/>
              <w:rPr>
                <w:rFonts w:ascii="Arial" w:hAnsi="Arial" w:cs="Arial"/>
                <w:szCs w:val="20"/>
              </w:rPr>
            </w:pPr>
            <w:r w:rsidRPr="009B7B35">
              <w:rPr>
                <w:rFonts w:ascii="Arial" w:hAnsi="Arial" w:cs="Arial"/>
                <w:szCs w:val="20"/>
              </w:rPr>
              <w:t>If in the flood affected lands precinct</w:t>
            </w:r>
          </w:p>
        </w:tc>
      </w:tr>
      <w:tr w:rsidR="00BE36FB" w:rsidRPr="009B7B35" w14:paraId="46AB877F" w14:textId="77777777" w:rsidTr="001A7107">
        <w:tc>
          <w:tcPr>
            <w:tcW w:w="4678" w:type="dxa"/>
            <w:vMerge w:val="restart"/>
          </w:tcPr>
          <w:p w14:paraId="48F63F0E" w14:textId="77777777" w:rsidR="00BE36FB" w:rsidRPr="009B7B35" w:rsidRDefault="00BE36FB" w:rsidP="001A7107">
            <w:pPr>
              <w:pStyle w:val="TableText"/>
              <w:rPr>
                <w:rFonts w:cs="Arial"/>
                <w:b/>
                <w:bCs/>
              </w:rPr>
            </w:pPr>
            <w:r w:rsidRPr="009B7B35">
              <w:rPr>
                <w:rFonts w:cs="Arial"/>
                <w:b/>
                <w:bCs/>
              </w:rPr>
              <w:t>PO9</w:t>
            </w:r>
          </w:p>
          <w:p w14:paraId="29DDD255" w14:textId="77777777" w:rsidR="00BE36FB" w:rsidRPr="009B7B35" w:rsidRDefault="00BE36FB" w:rsidP="001A7107">
            <w:pPr>
              <w:pStyle w:val="TableText"/>
              <w:rPr>
                <w:rFonts w:cs="Arial"/>
              </w:rPr>
            </w:pPr>
            <w:r w:rsidRPr="009B7B35">
              <w:rPr>
                <w:rFonts w:cs="Arial"/>
              </w:rPr>
              <w:t>Residential density reflects the constrained limited development potential of the land.</w:t>
            </w:r>
          </w:p>
        </w:tc>
        <w:tc>
          <w:tcPr>
            <w:tcW w:w="4678" w:type="dxa"/>
          </w:tcPr>
          <w:p w14:paraId="3DDABCFA" w14:textId="77777777" w:rsidR="00BE36FB" w:rsidRPr="009B7B35" w:rsidRDefault="00BE36FB" w:rsidP="001A7107">
            <w:pPr>
              <w:pStyle w:val="TableText"/>
              <w:rPr>
                <w:rFonts w:cs="Arial"/>
                <w:b/>
                <w:bCs/>
              </w:rPr>
            </w:pPr>
            <w:r w:rsidRPr="009B7B35">
              <w:rPr>
                <w:rFonts w:cs="Arial"/>
                <w:b/>
                <w:bCs/>
              </w:rPr>
              <w:t>AO9.1</w:t>
            </w:r>
          </w:p>
          <w:p w14:paraId="0B90A235" w14:textId="77777777" w:rsidR="00BE36FB" w:rsidRPr="009B7B35" w:rsidRDefault="00BE36FB" w:rsidP="001A7107">
            <w:pPr>
              <w:pStyle w:val="TableText"/>
              <w:rPr>
                <w:rFonts w:cs="Arial"/>
              </w:rPr>
            </w:pPr>
            <w:r w:rsidRPr="009B7B35">
              <w:rPr>
                <w:rFonts w:cs="Arial"/>
              </w:rPr>
              <w:t>Residential density is limited to one dwelling house per allotment (including one secondary dwelling).</w:t>
            </w:r>
          </w:p>
        </w:tc>
      </w:tr>
      <w:tr w:rsidR="00BE36FB" w:rsidRPr="009B7B35" w14:paraId="30C74FE6" w14:textId="77777777" w:rsidTr="001A7107">
        <w:tc>
          <w:tcPr>
            <w:tcW w:w="4678" w:type="dxa"/>
            <w:vMerge/>
          </w:tcPr>
          <w:p w14:paraId="3D79EE7A" w14:textId="77777777" w:rsidR="00BE36FB" w:rsidRPr="009B7B35" w:rsidRDefault="00BE36FB" w:rsidP="001A7107">
            <w:pPr>
              <w:pStyle w:val="TableText"/>
              <w:rPr>
                <w:rFonts w:cs="Arial"/>
              </w:rPr>
            </w:pPr>
          </w:p>
        </w:tc>
        <w:tc>
          <w:tcPr>
            <w:tcW w:w="4678" w:type="dxa"/>
          </w:tcPr>
          <w:p w14:paraId="09BE81E9" w14:textId="77777777" w:rsidR="00BE36FB" w:rsidRPr="009B7B35" w:rsidRDefault="00BE36FB" w:rsidP="001A7107">
            <w:pPr>
              <w:pStyle w:val="TableText"/>
              <w:rPr>
                <w:rFonts w:cs="Arial"/>
                <w:b/>
                <w:bCs/>
              </w:rPr>
            </w:pPr>
            <w:r w:rsidRPr="009B7B35">
              <w:rPr>
                <w:rFonts w:cs="Arial"/>
                <w:b/>
                <w:bCs/>
              </w:rPr>
              <w:t>AO9.2</w:t>
            </w:r>
          </w:p>
          <w:p w14:paraId="6C8A74F9" w14:textId="77777777" w:rsidR="00BE36FB" w:rsidRPr="009B7B35" w:rsidRDefault="00BE36FB" w:rsidP="001A7107">
            <w:pPr>
              <w:pStyle w:val="TableText"/>
              <w:rPr>
                <w:rFonts w:cs="Arial"/>
              </w:rPr>
            </w:pPr>
            <w:r w:rsidRPr="009B7B35">
              <w:rPr>
                <w:rFonts w:cs="Arial"/>
              </w:rPr>
              <w:t xml:space="preserve">Where a dwelling house, any secondary dwelling is: </w:t>
            </w:r>
          </w:p>
          <w:p w14:paraId="16B6708B" w14:textId="77777777" w:rsidR="00BE36FB" w:rsidRPr="009B7B35" w:rsidRDefault="00BE36FB" w:rsidP="00BE36FB">
            <w:pPr>
              <w:pStyle w:val="TableText"/>
              <w:numPr>
                <w:ilvl w:val="0"/>
                <w:numId w:val="414"/>
              </w:numPr>
              <w:rPr>
                <w:rFonts w:cs="Arial"/>
              </w:rPr>
            </w:pPr>
            <w:r w:rsidRPr="009B7B35">
              <w:rPr>
                <w:rFonts w:cs="Arial"/>
              </w:rPr>
              <w:t>a maximum of 80m</w:t>
            </w:r>
            <w:r w:rsidRPr="009B7B35">
              <w:rPr>
                <w:rStyle w:val="StyleSuperscript"/>
                <w:rFonts w:cs="Arial"/>
              </w:rPr>
              <w:t>2</w:t>
            </w:r>
            <w:r w:rsidRPr="009B7B35">
              <w:rPr>
                <w:rFonts w:cs="Arial"/>
              </w:rPr>
              <w:t xml:space="preserve"> GFA </w:t>
            </w:r>
          </w:p>
          <w:p w14:paraId="7008302D" w14:textId="77777777" w:rsidR="00BE36FB" w:rsidRPr="009B7B35" w:rsidRDefault="00BE36FB" w:rsidP="00BE36FB">
            <w:pPr>
              <w:pStyle w:val="TableText"/>
              <w:numPr>
                <w:ilvl w:val="0"/>
                <w:numId w:val="414"/>
              </w:numPr>
              <w:rPr>
                <w:rFonts w:cs="Arial"/>
              </w:rPr>
            </w:pPr>
            <w:r w:rsidRPr="009B7B35">
              <w:rPr>
                <w:rFonts w:cs="Arial"/>
              </w:rPr>
              <w:t>located within 50m of the main building</w:t>
            </w:r>
          </w:p>
          <w:p w14:paraId="052D2A95" w14:textId="77777777" w:rsidR="00BE36FB" w:rsidRPr="009B7B35" w:rsidRDefault="00BE36FB" w:rsidP="00BE36FB">
            <w:pPr>
              <w:pStyle w:val="TableText"/>
              <w:numPr>
                <w:ilvl w:val="0"/>
                <w:numId w:val="414"/>
              </w:numPr>
              <w:rPr>
                <w:rFonts w:cs="Arial"/>
              </w:rPr>
            </w:pPr>
            <w:r w:rsidRPr="009B7B35">
              <w:rPr>
                <w:rFonts w:cs="Arial"/>
              </w:rPr>
              <w:t>linked to the main building by a defined footpath in the most direct route possible.</w:t>
            </w:r>
          </w:p>
        </w:tc>
      </w:tr>
      <w:tr w:rsidR="00BE36FB" w:rsidRPr="009B7B35" w14:paraId="64648563" w14:textId="77777777" w:rsidTr="001A7107">
        <w:trPr>
          <w:cantSplit/>
        </w:trPr>
        <w:tc>
          <w:tcPr>
            <w:tcW w:w="9356" w:type="dxa"/>
            <w:gridSpan w:val="2"/>
            <w:shd w:val="clear" w:color="auto" w:fill="BFBFBF" w:themeFill="background1" w:themeFillShade="BF"/>
          </w:tcPr>
          <w:p w14:paraId="6951061D" w14:textId="77777777" w:rsidR="00BE36FB" w:rsidRPr="009B7B35" w:rsidRDefault="00BE36FB" w:rsidP="001A7107">
            <w:pPr>
              <w:pStyle w:val="Tableheading"/>
              <w:rPr>
                <w:rFonts w:ascii="Arial" w:hAnsi="Arial" w:cs="Arial"/>
                <w:szCs w:val="20"/>
              </w:rPr>
            </w:pPr>
            <w:r w:rsidRPr="009B7B35">
              <w:rPr>
                <w:rFonts w:ascii="Arial" w:hAnsi="Arial" w:cs="Arial"/>
                <w:szCs w:val="20"/>
              </w:rPr>
              <w:t>If in the major industry buffer precinct</w:t>
            </w:r>
          </w:p>
        </w:tc>
      </w:tr>
      <w:tr w:rsidR="00BE36FB" w:rsidRPr="009B7B35" w14:paraId="7F701539" w14:textId="77777777" w:rsidTr="001A7107">
        <w:trPr>
          <w:cantSplit/>
        </w:trPr>
        <w:tc>
          <w:tcPr>
            <w:tcW w:w="4678" w:type="dxa"/>
          </w:tcPr>
          <w:p w14:paraId="7F5E14A8" w14:textId="77777777" w:rsidR="00BE36FB" w:rsidRPr="009B7B35" w:rsidRDefault="00BE36FB">
            <w:pPr>
              <w:pStyle w:val="TableText"/>
              <w:rPr>
                <w:rFonts w:cs="Arial"/>
                <w:b/>
                <w:bCs/>
              </w:rPr>
            </w:pPr>
            <w:r w:rsidRPr="009B7B35">
              <w:rPr>
                <w:rFonts w:cs="Arial"/>
                <w:b/>
                <w:bCs/>
              </w:rPr>
              <w:t>PO1</w:t>
            </w:r>
            <w:r w:rsidRPr="009B7B35">
              <w:rPr>
                <w:rFonts w:cs="Arial"/>
                <w:b/>
              </w:rPr>
              <w:t>0</w:t>
            </w:r>
          </w:p>
          <w:p w14:paraId="574B6E3C" w14:textId="77777777" w:rsidR="00BE36FB" w:rsidRPr="009B7B35" w:rsidRDefault="00BE36FB" w:rsidP="001A7107">
            <w:pPr>
              <w:pStyle w:val="TableText"/>
              <w:rPr>
                <w:rFonts w:cs="Arial"/>
              </w:rPr>
            </w:pPr>
            <w:r w:rsidRPr="009B7B35">
              <w:rPr>
                <w:rFonts w:cs="Arial"/>
              </w:rPr>
              <w:t>Development does not encroach on surrounding existing or approved major industry operations or uses that may result in an impact on amenity, health or safety.</w:t>
            </w:r>
          </w:p>
        </w:tc>
        <w:tc>
          <w:tcPr>
            <w:tcW w:w="4678" w:type="dxa"/>
          </w:tcPr>
          <w:p w14:paraId="03D0E1B8"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1131769" w14:textId="77777777" w:rsidTr="001A7107">
        <w:trPr>
          <w:cantSplit/>
        </w:trPr>
        <w:tc>
          <w:tcPr>
            <w:tcW w:w="4678" w:type="dxa"/>
          </w:tcPr>
          <w:p w14:paraId="09EB338E" w14:textId="77777777" w:rsidR="00BE36FB" w:rsidRPr="009B7B35" w:rsidRDefault="00BE36FB">
            <w:pPr>
              <w:pStyle w:val="TableText"/>
              <w:rPr>
                <w:rFonts w:cs="Arial"/>
                <w:b/>
                <w:bCs/>
              </w:rPr>
            </w:pPr>
            <w:r w:rsidRPr="009B7B35">
              <w:rPr>
                <w:rFonts w:cs="Arial"/>
                <w:b/>
                <w:bCs/>
              </w:rPr>
              <w:t>PO1</w:t>
            </w:r>
            <w:r w:rsidRPr="009B7B35">
              <w:rPr>
                <w:rFonts w:cs="Arial"/>
                <w:b/>
              </w:rPr>
              <w:t>1</w:t>
            </w:r>
          </w:p>
          <w:p w14:paraId="1F258E34" w14:textId="77777777" w:rsidR="00BE36FB" w:rsidRPr="009B7B35" w:rsidRDefault="00BE36FB" w:rsidP="001A7107">
            <w:pPr>
              <w:pStyle w:val="TableText"/>
              <w:rPr>
                <w:rFonts w:cs="Arial"/>
              </w:rPr>
            </w:pPr>
            <w:r w:rsidRPr="009B7B35">
              <w:rPr>
                <w:rFonts w:cs="Arial"/>
              </w:rPr>
              <w:t>Development for any caretaker’s accommodation provides a safe living environment for residents through:</w:t>
            </w:r>
          </w:p>
          <w:p w14:paraId="7ECD1C88" w14:textId="77777777" w:rsidR="00BE36FB" w:rsidRPr="009B7B35" w:rsidRDefault="00BE36FB" w:rsidP="00BE36FB">
            <w:pPr>
              <w:pStyle w:val="TableText"/>
              <w:numPr>
                <w:ilvl w:val="0"/>
                <w:numId w:val="308"/>
              </w:numPr>
              <w:rPr>
                <w:rFonts w:cs="Arial"/>
              </w:rPr>
            </w:pPr>
            <w:r w:rsidRPr="009B7B35">
              <w:rPr>
                <w:rFonts w:cs="Arial"/>
              </w:rPr>
              <w:t>adequate separation from the source of any emissions generated by the primary use of the site, and</w:t>
            </w:r>
          </w:p>
          <w:p w14:paraId="1DCC7DBA" w14:textId="77777777" w:rsidR="00BE36FB" w:rsidRPr="009B7B35" w:rsidRDefault="00BE36FB" w:rsidP="00BE36FB">
            <w:pPr>
              <w:pStyle w:val="TableText"/>
              <w:numPr>
                <w:ilvl w:val="0"/>
                <w:numId w:val="308"/>
              </w:numPr>
              <w:rPr>
                <w:rFonts w:cs="Arial"/>
              </w:rPr>
            </w:pPr>
            <w:r w:rsidRPr="009B7B35">
              <w:rPr>
                <w:rFonts w:cs="Arial"/>
              </w:rPr>
              <w:t>design and construction features which mitigate noise, lighting and air quality impacts on habitable rooms.</w:t>
            </w:r>
          </w:p>
        </w:tc>
        <w:tc>
          <w:tcPr>
            <w:tcW w:w="4678" w:type="dxa"/>
          </w:tcPr>
          <w:p w14:paraId="490006D6" w14:textId="77777777" w:rsidR="00BE36FB" w:rsidRPr="009B7B35" w:rsidRDefault="00BE36FB" w:rsidP="001A7107">
            <w:pPr>
              <w:pStyle w:val="TableText"/>
              <w:rPr>
                <w:rFonts w:cs="Arial"/>
              </w:rPr>
            </w:pPr>
            <w:r w:rsidRPr="009B7B35">
              <w:rPr>
                <w:rFonts w:cs="Arial"/>
              </w:rPr>
              <w:t>No acceptable outcome is nominated.</w:t>
            </w:r>
          </w:p>
        </w:tc>
      </w:tr>
    </w:tbl>
    <w:p w14:paraId="7475DE8C" w14:textId="77777777" w:rsidR="00BE36FB" w:rsidRPr="009B7B35" w:rsidRDefault="00BE36FB" w:rsidP="006776DA">
      <w:pPr>
        <w:pStyle w:val="Heading3"/>
        <w:keepLines/>
        <w:numPr>
          <w:ilvl w:val="2"/>
          <w:numId w:val="883"/>
        </w:numPr>
        <w:spacing w:before="240"/>
        <w:rPr>
          <w:rFonts w:ascii="Arial" w:hAnsi="Arial"/>
          <w:sz w:val="20"/>
          <w:szCs w:val="20"/>
        </w:rPr>
      </w:pPr>
      <w:bookmarkStart w:id="203" w:name="_Toc205367366"/>
      <w:r w:rsidRPr="009B7B35">
        <w:rPr>
          <w:rFonts w:ascii="Arial" w:hAnsi="Arial"/>
          <w:sz w:val="20"/>
          <w:szCs w:val="20"/>
        </w:rPr>
        <w:t>Mixed use</w:t>
      </w:r>
      <w:bookmarkEnd w:id="203"/>
    </w:p>
    <w:p w14:paraId="68E7A508"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19B30DA2" w14:textId="77777777" w:rsidR="00BE36FB" w:rsidRPr="009B7B35" w:rsidRDefault="00BE36FB" w:rsidP="001A7107">
      <w:pPr>
        <w:rPr>
          <w:rFonts w:ascii="Arial" w:hAnsi="Arial" w:cs="Arial"/>
          <w:sz w:val="20"/>
          <w:szCs w:val="20"/>
          <w:lang w:eastAsia="en-US"/>
        </w:rPr>
      </w:pPr>
      <w:r w:rsidRPr="009B7B35">
        <w:rPr>
          <w:rFonts w:ascii="Arial" w:hAnsi="Arial" w:cs="Arial"/>
          <w:sz w:val="20"/>
          <w:szCs w:val="20"/>
          <w:lang w:eastAsia="en-US"/>
        </w:rPr>
        <w:t>This code applies to development where the code is identified as applicable in a table of assessment. When using this code, reference should be made to section 5.3.2 and where applicable, section 5.3.3 located in Part 5.</w:t>
      </w:r>
    </w:p>
    <w:p w14:paraId="051EBEA5"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07847BAA" w14:textId="77777777" w:rsidR="00BE36FB" w:rsidRPr="009B7B35" w:rsidRDefault="00BE36FB" w:rsidP="00BE36FB">
      <w:pPr>
        <w:numPr>
          <w:ilvl w:val="0"/>
          <w:numId w:val="139"/>
        </w:numPr>
        <w:rPr>
          <w:rFonts w:ascii="Arial" w:hAnsi="Arial" w:cs="Arial"/>
          <w:sz w:val="20"/>
          <w:szCs w:val="20"/>
          <w:lang w:eastAsia="en-US"/>
        </w:rPr>
      </w:pPr>
      <w:r w:rsidRPr="009B7B35">
        <w:rPr>
          <w:rFonts w:ascii="Arial" w:hAnsi="Arial" w:cs="Arial"/>
          <w:sz w:val="20"/>
          <w:szCs w:val="20"/>
          <w:lang w:eastAsia="en-US"/>
        </w:rPr>
        <w:t>The purpose of the mixed use zone code is to:</w:t>
      </w:r>
    </w:p>
    <w:p w14:paraId="0088D352"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Provide for a mixture of development that may include business, retail, residential, tourist accommodation, community, service industry, entertainment and associated services.</w:t>
      </w:r>
    </w:p>
    <w:p w14:paraId="1C1FAADC"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rPr>
        <w:t>E</w:t>
      </w:r>
      <w:r w:rsidRPr="009B7B35">
        <w:rPr>
          <w:rFonts w:ascii="Arial" w:hAnsi="Arial" w:cs="Arial"/>
          <w:sz w:val="20"/>
          <w:szCs w:val="20"/>
          <w:lang w:eastAsia="en-US"/>
        </w:rPr>
        <w:t>stablish urban revitalisation areas in parts of the Valley, Toolooa Street west and the CBD fringe as high quality mixed use centres where people can live, work and play in Gladstone’s inner city areas</w:t>
      </w:r>
      <w:r w:rsidRPr="009B7B35">
        <w:rPr>
          <w:rFonts w:ascii="Arial" w:hAnsi="Arial" w:cs="Arial"/>
          <w:sz w:val="20"/>
          <w:szCs w:val="20"/>
        </w:rPr>
        <w:t>.</w:t>
      </w:r>
    </w:p>
    <w:p w14:paraId="05EA8B00"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rPr>
        <w:t>C</w:t>
      </w:r>
      <w:r w:rsidRPr="009B7B35">
        <w:rPr>
          <w:rFonts w:ascii="Arial" w:hAnsi="Arial" w:cs="Arial"/>
          <w:sz w:val="20"/>
          <w:szCs w:val="20"/>
          <w:lang w:eastAsia="en-US"/>
        </w:rPr>
        <w:t>reate an urban form characterised by high quality building design and streetscape outcomes</w:t>
      </w:r>
      <w:r w:rsidRPr="009B7B35">
        <w:rPr>
          <w:rFonts w:ascii="Arial" w:hAnsi="Arial" w:cs="Arial"/>
          <w:sz w:val="20"/>
          <w:szCs w:val="20"/>
        </w:rPr>
        <w:t>.</w:t>
      </w:r>
    </w:p>
    <w:p w14:paraId="11E32C26"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rPr>
        <w:t>E</w:t>
      </w:r>
      <w:r w:rsidRPr="009B7B35">
        <w:rPr>
          <w:rFonts w:ascii="Arial" w:hAnsi="Arial" w:cs="Arial"/>
          <w:sz w:val="20"/>
          <w:szCs w:val="20"/>
          <w:lang w:eastAsia="en-US"/>
        </w:rPr>
        <w:t>nsure a level of amenity commensurate with a</w:t>
      </w:r>
      <w:r w:rsidRPr="009B7B35">
        <w:rPr>
          <w:rFonts w:ascii="Arial" w:hAnsi="Arial" w:cs="Arial"/>
          <w:sz w:val="20"/>
          <w:szCs w:val="20"/>
        </w:rPr>
        <w:t>n urbanised</w:t>
      </w:r>
      <w:r w:rsidRPr="009B7B35">
        <w:rPr>
          <w:rFonts w:ascii="Arial" w:hAnsi="Arial" w:cs="Arial"/>
          <w:sz w:val="20"/>
          <w:szCs w:val="20"/>
          <w:lang w:eastAsia="en-US"/>
        </w:rPr>
        <w:t xml:space="preserve"> mixed use area</w:t>
      </w:r>
      <w:r w:rsidRPr="009B7B35">
        <w:rPr>
          <w:rFonts w:ascii="Arial" w:hAnsi="Arial" w:cs="Arial"/>
          <w:sz w:val="20"/>
          <w:szCs w:val="20"/>
        </w:rPr>
        <w:t>.</w:t>
      </w:r>
    </w:p>
    <w:p w14:paraId="53215EEB"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rPr>
        <w:t>P</w:t>
      </w:r>
      <w:r w:rsidRPr="009B7B35">
        <w:rPr>
          <w:rFonts w:ascii="Arial" w:hAnsi="Arial" w:cs="Arial"/>
          <w:sz w:val="20"/>
          <w:szCs w:val="20"/>
          <w:lang w:eastAsia="en-US"/>
        </w:rPr>
        <w:t>rovide opportunities for development which meets the short term accommodation needs of the resources and tourism sectors.</w:t>
      </w:r>
    </w:p>
    <w:p w14:paraId="42434CE7" w14:textId="77777777" w:rsidR="00BE36FB" w:rsidRPr="009B7B35" w:rsidRDefault="00BE36FB" w:rsidP="00BE36FB">
      <w:pPr>
        <w:numPr>
          <w:ilvl w:val="0"/>
          <w:numId w:val="139"/>
        </w:numPr>
        <w:rPr>
          <w:rFonts w:ascii="Arial" w:hAnsi="Arial" w:cs="Arial"/>
          <w:sz w:val="20"/>
          <w:szCs w:val="20"/>
          <w:lang w:eastAsia="en-US"/>
        </w:rPr>
      </w:pPr>
      <w:r w:rsidRPr="009B7B35">
        <w:rPr>
          <w:rFonts w:ascii="Arial" w:hAnsi="Arial" w:cs="Arial"/>
          <w:sz w:val="20"/>
          <w:szCs w:val="20"/>
          <w:lang w:eastAsia="en-US"/>
        </w:rPr>
        <w:t>The purpose of the zone will be achieved through the following overall outcomes:</w:t>
      </w:r>
    </w:p>
    <w:p w14:paraId="2AEA0EE3"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 xml:space="preserve">A mix of uses and activities including </w:t>
      </w:r>
      <w:r w:rsidRPr="009B7B35">
        <w:rPr>
          <w:rFonts w:ascii="Arial" w:hAnsi="Arial" w:cs="Arial"/>
          <w:sz w:val="20"/>
          <w:szCs w:val="20"/>
        </w:rPr>
        <w:t xml:space="preserve">small scale </w:t>
      </w:r>
      <w:r w:rsidRPr="009B7B35">
        <w:rPr>
          <w:rFonts w:ascii="Arial" w:hAnsi="Arial" w:cs="Arial"/>
          <w:sz w:val="20"/>
          <w:szCs w:val="20"/>
          <w:lang w:eastAsia="en-US"/>
        </w:rPr>
        <w:t>retail, commercial, tourism, service industry and residential uses are provided without detracting from the viability of the region’s centres.</w:t>
      </w:r>
    </w:p>
    <w:p w14:paraId="7049F38D"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A range of after-hours activities, particularly on primary frontages are promoted to support activation of the Valley where consistent with surrounding activity.</w:t>
      </w:r>
    </w:p>
    <w:p w14:paraId="6011674D" w14:textId="77777777" w:rsidR="00BE36FB" w:rsidRPr="009B7B35" w:rsidRDefault="00BE36FB" w:rsidP="001A7107">
      <w:pPr>
        <w:pStyle w:val="Notes"/>
        <w:rPr>
          <w:rFonts w:cs="Arial"/>
          <w:sz w:val="20"/>
          <w:szCs w:val="20"/>
          <w:lang w:eastAsia="en-US"/>
        </w:rPr>
      </w:pPr>
      <w:r w:rsidRPr="009B7B35">
        <w:rPr>
          <w:rFonts w:cs="Arial"/>
          <w:sz w:val="20"/>
          <w:szCs w:val="20"/>
          <w:lang w:eastAsia="en-US"/>
        </w:rPr>
        <w:t>Note—Primary frontages are identified on the Building height and frontages overlay map.</w:t>
      </w:r>
    </w:p>
    <w:p w14:paraId="16B4D136"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The scale, character and built form of development contributes to a high standard of amenity.</w:t>
      </w:r>
    </w:p>
    <w:p w14:paraId="31CACF19"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encourages and facilitates urban consolidation and the efficient use of physical and social infrastructure.</w:t>
      </w:r>
    </w:p>
    <w:p w14:paraId="4C77BAB0"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Buildings are of a scale, height and size that complement the mixed use character for the area through design elements that reduce building bulk and create an attractive streetscape.</w:t>
      </w:r>
    </w:p>
    <w:p w14:paraId="2841CC27"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creates pleasant living environments that ensure privacy, access to sunlight, open space, ventilation and natural climate control.</w:t>
      </w:r>
    </w:p>
    <w:p w14:paraId="7F41C251"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is designed to incorporate sustainable practices including maximising energy efficiency, water conservation and public/active transport use.</w:t>
      </w:r>
    </w:p>
    <w:p w14:paraId="18C88893"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is supported by transport infrastructure that is designed to provide and promote safe and efficient public transport use, walking and cycling.</w:t>
      </w:r>
    </w:p>
    <w:p w14:paraId="602C3FA6"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is facilitated where uses provide a compact urban form.</w:t>
      </w:r>
    </w:p>
    <w:p w14:paraId="1C92B1C0"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activates streets on primary frontages, promotes a mix of employment opportunities and enhances walking, cycling and public transport use.</w:t>
      </w:r>
    </w:p>
    <w:p w14:paraId="42B9E28C"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New development promotes and enhances Tank and Goondoon Streets as ‘main streets’ through high quality built form and streetscape treatments.</w:t>
      </w:r>
    </w:p>
    <w:p w14:paraId="7034FFDB"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rPr>
        <w:t>Development responds to land constraints, including but not limited to bushfire, flooding and minimising changes to natural topography.</w:t>
      </w:r>
    </w:p>
    <w:p w14:paraId="3C485D16"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mitigates any adverse impacts on adjoining areas of environmental significance, including creeks, gullies, waterways, wetlands, coastal areas, habitats, vegetation and bushland through location, design, operation and management requirements.</w:t>
      </w:r>
    </w:p>
    <w:p w14:paraId="3F27D774"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Residential development is protected from the impacts of any nearby industrial activities, transport corridors, infrastructure, installations and major facilities.</w:t>
      </w:r>
    </w:p>
    <w:p w14:paraId="76815B66"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Development has access to development infrastructure and essential services.</w:t>
      </w:r>
    </w:p>
    <w:p w14:paraId="5B9C4539" w14:textId="77777777" w:rsidR="00BE36FB" w:rsidRPr="009B7B35" w:rsidRDefault="00BE36FB" w:rsidP="00BE36FB">
      <w:pPr>
        <w:numPr>
          <w:ilvl w:val="0"/>
          <w:numId w:val="139"/>
        </w:numPr>
        <w:rPr>
          <w:rFonts w:ascii="Arial" w:hAnsi="Arial" w:cs="Arial"/>
          <w:sz w:val="20"/>
          <w:szCs w:val="20"/>
          <w:lang w:eastAsia="en-US"/>
        </w:rPr>
      </w:pPr>
      <w:r w:rsidRPr="009B7B35">
        <w:rPr>
          <w:rFonts w:ascii="Arial" w:hAnsi="Arial" w:cs="Arial"/>
          <w:sz w:val="20"/>
          <w:szCs w:val="20"/>
          <w:lang w:eastAsia="en-US"/>
        </w:rPr>
        <w:t>The purpose of the zone will also be achieved through the following additional overall outcomes for particular precincts.</w:t>
      </w:r>
    </w:p>
    <w:p w14:paraId="15188E93" w14:textId="77777777" w:rsidR="00BE36FB" w:rsidRPr="009B7B35" w:rsidRDefault="00BE36FB" w:rsidP="00BE36FB">
      <w:pPr>
        <w:numPr>
          <w:ilvl w:val="1"/>
          <w:numId w:val="139"/>
        </w:numPr>
        <w:rPr>
          <w:rFonts w:ascii="Arial" w:hAnsi="Arial" w:cs="Arial"/>
          <w:sz w:val="20"/>
          <w:szCs w:val="20"/>
          <w:lang w:eastAsia="en-US"/>
        </w:rPr>
      </w:pPr>
      <w:r w:rsidRPr="009B7B35">
        <w:rPr>
          <w:rFonts w:ascii="Arial" w:hAnsi="Arial" w:cs="Arial"/>
          <w:sz w:val="20"/>
          <w:szCs w:val="20"/>
          <w:lang w:eastAsia="en-US"/>
        </w:rPr>
        <w:t xml:space="preserve">Jeffery </w:t>
      </w:r>
      <w:r w:rsidRPr="009B7B35">
        <w:rPr>
          <w:rFonts w:ascii="Arial" w:hAnsi="Arial" w:cs="Arial"/>
          <w:sz w:val="20"/>
          <w:szCs w:val="20"/>
        </w:rPr>
        <w:t>Court</w:t>
      </w:r>
      <w:r w:rsidRPr="009B7B35">
        <w:rPr>
          <w:rFonts w:ascii="Arial" w:hAnsi="Arial" w:cs="Arial"/>
          <w:sz w:val="20"/>
          <w:szCs w:val="20"/>
          <w:lang w:eastAsia="en-US"/>
        </w:rPr>
        <w:t xml:space="preserve"> precinct:</w:t>
      </w:r>
    </w:p>
    <w:p w14:paraId="6A226256" w14:textId="77777777" w:rsidR="00BE36FB" w:rsidRPr="009B7B35" w:rsidRDefault="00BE36FB" w:rsidP="00BE36FB">
      <w:pPr>
        <w:numPr>
          <w:ilvl w:val="5"/>
          <w:numId w:val="139"/>
        </w:numPr>
        <w:ind w:left="1701" w:hanging="567"/>
        <w:rPr>
          <w:rFonts w:ascii="Arial" w:hAnsi="Arial" w:cs="Arial"/>
          <w:sz w:val="20"/>
          <w:szCs w:val="20"/>
          <w:lang w:eastAsia="en-US"/>
        </w:rPr>
      </w:pPr>
      <w:r w:rsidRPr="009B7B35">
        <w:rPr>
          <w:rFonts w:ascii="Arial" w:hAnsi="Arial" w:cs="Arial"/>
          <w:sz w:val="20"/>
          <w:szCs w:val="20"/>
          <w:lang w:eastAsia="en-US"/>
        </w:rPr>
        <w:t>Development supports coastal based tourism opportunities with a focus on Short term accommodation and small scale Food and drink outlets, Bars, retail and community uses. Other forms of Business and Centre activities are not supported.</w:t>
      </w:r>
    </w:p>
    <w:p w14:paraId="44235B47" w14:textId="77777777" w:rsidR="00BE36FB" w:rsidRPr="009B7B35" w:rsidRDefault="00BE36FB" w:rsidP="00BE36FB">
      <w:pPr>
        <w:numPr>
          <w:ilvl w:val="5"/>
          <w:numId w:val="139"/>
        </w:numPr>
        <w:ind w:left="1701" w:hanging="567"/>
        <w:rPr>
          <w:rFonts w:ascii="Arial" w:hAnsi="Arial" w:cs="Arial"/>
          <w:sz w:val="20"/>
          <w:szCs w:val="20"/>
          <w:lang w:eastAsia="en-US"/>
        </w:rPr>
      </w:pPr>
      <w:r w:rsidRPr="009B7B35">
        <w:rPr>
          <w:rFonts w:ascii="Arial" w:hAnsi="Arial" w:cs="Arial"/>
          <w:sz w:val="20"/>
          <w:szCs w:val="20"/>
          <w:lang w:eastAsia="en-US"/>
        </w:rPr>
        <w:t>Development with frontage to the foreshore must provide continuous public access to Main Beach that includes connections with Tom Jeffery Memorial Park and more broadly with linkages along the foreshore between the Surf Club to the north and the Headland to the south.</w:t>
      </w:r>
    </w:p>
    <w:p w14:paraId="1B718B10" w14:textId="77777777" w:rsidR="00BE36FB" w:rsidRPr="009B7B35" w:rsidRDefault="00BE36FB" w:rsidP="00BE36FB">
      <w:pPr>
        <w:numPr>
          <w:ilvl w:val="5"/>
          <w:numId w:val="139"/>
        </w:numPr>
        <w:ind w:left="1701" w:hanging="567"/>
        <w:rPr>
          <w:rFonts w:ascii="Arial" w:hAnsi="Arial" w:cs="Arial"/>
          <w:sz w:val="20"/>
          <w:szCs w:val="20"/>
          <w:lang w:eastAsia="en-US"/>
        </w:rPr>
      </w:pPr>
      <w:r w:rsidRPr="009B7B35">
        <w:rPr>
          <w:rFonts w:ascii="Arial" w:hAnsi="Arial" w:cs="Arial"/>
          <w:sz w:val="20"/>
          <w:szCs w:val="20"/>
          <w:lang w:eastAsia="en-US"/>
        </w:rPr>
        <w:t xml:space="preserve">Development </w:t>
      </w:r>
      <w:r w:rsidRPr="009B7B35">
        <w:rPr>
          <w:rFonts w:ascii="Arial" w:hAnsi="Arial" w:cs="Arial"/>
          <w:sz w:val="20"/>
          <w:szCs w:val="20"/>
        </w:rPr>
        <w:t xml:space="preserve">supports a mix of coastal tourism related uses and </w:t>
      </w:r>
      <w:r w:rsidRPr="009B7B35">
        <w:rPr>
          <w:rFonts w:ascii="Arial" w:hAnsi="Arial" w:cs="Arial"/>
          <w:sz w:val="20"/>
          <w:szCs w:val="20"/>
          <w:lang w:eastAsia="en-US"/>
        </w:rPr>
        <w:t xml:space="preserve">is of a height and scale </w:t>
      </w:r>
      <w:r w:rsidRPr="009B7B35">
        <w:rPr>
          <w:rFonts w:ascii="Arial" w:hAnsi="Arial" w:cs="Arial"/>
          <w:sz w:val="20"/>
          <w:szCs w:val="20"/>
        </w:rPr>
        <w:t xml:space="preserve">that </w:t>
      </w:r>
      <w:r w:rsidRPr="009B7B35">
        <w:rPr>
          <w:rFonts w:ascii="Arial" w:hAnsi="Arial" w:cs="Arial"/>
          <w:sz w:val="20"/>
          <w:szCs w:val="20"/>
          <w:lang w:eastAsia="en-US"/>
        </w:rPr>
        <w:t xml:space="preserve">does </w:t>
      </w:r>
      <w:r w:rsidRPr="009B7B35">
        <w:rPr>
          <w:rFonts w:ascii="Arial" w:hAnsi="Arial" w:cs="Arial"/>
          <w:sz w:val="20"/>
          <w:szCs w:val="20"/>
        </w:rPr>
        <w:t xml:space="preserve">not </w:t>
      </w:r>
      <w:r w:rsidRPr="009B7B35">
        <w:rPr>
          <w:rFonts w:ascii="Arial" w:hAnsi="Arial" w:cs="Arial"/>
          <w:sz w:val="20"/>
          <w:szCs w:val="20"/>
          <w:lang w:eastAsia="en-US"/>
        </w:rPr>
        <w:t>adversely impact on the coastal and visual character of the precinct</w:t>
      </w:r>
      <w:r w:rsidRPr="009B7B35">
        <w:rPr>
          <w:rFonts w:ascii="Arial" w:hAnsi="Arial" w:cs="Arial"/>
          <w:sz w:val="20"/>
          <w:szCs w:val="20"/>
        </w:rPr>
        <w:t xml:space="preserve"> or locality</w:t>
      </w:r>
      <w:r w:rsidRPr="009B7B35">
        <w:rPr>
          <w:rFonts w:ascii="Arial" w:hAnsi="Arial" w:cs="Arial"/>
          <w:sz w:val="20"/>
          <w:szCs w:val="20"/>
          <w:lang w:eastAsia="en-US"/>
        </w:rPr>
        <w:t>.</w:t>
      </w:r>
    </w:p>
    <w:p w14:paraId="6DF0973D"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41E6E25E" w14:textId="77777777" w:rsidR="00BE36FB" w:rsidRPr="009B7B35" w:rsidRDefault="00BE36FB" w:rsidP="003A35DA">
      <w:pPr>
        <w:pStyle w:val="Heading5"/>
        <w:numPr>
          <w:ilvl w:val="0"/>
          <w:numId w:val="0"/>
        </w:numPr>
        <w:rPr>
          <w:rFonts w:cs="Arial"/>
          <w:szCs w:val="20"/>
        </w:rPr>
      </w:pPr>
      <w:r w:rsidRPr="009B7B35">
        <w:rPr>
          <w:rFonts w:cs="Arial"/>
          <w:szCs w:val="20"/>
          <w:lang w:eastAsia="en-US"/>
        </w:rPr>
        <w:t>Table 6.2.21.3.1—</w:t>
      </w:r>
      <w:r w:rsidRPr="009B7B35">
        <w:rPr>
          <w:rFonts w:cs="Arial"/>
          <w:szCs w:val="20"/>
        </w:rPr>
        <w:t xml:space="preserve">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14:paraId="707AA1F1"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5186F681" w14:textId="77777777" w:rsidR="00BE36FB" w:rsidRPr="009B7B35" w:rsidRDefault="00BE36FB" w:rsidP="001A7107">
            <w:pPr>
              <w:pStyle w:val="TableText"/>
              <w:rPr>
                <w:rFonts w:cs="Arial"/>
              </w:rPr>
            </w:pPr>
            <w:r w:rsidRPr="009B7B35">
              <w:rPr>
                <w:rFonts w:cs="Arial"/>
              </w:rPr>
              <w:t>Performance outcomes</w:t>
            </w:r>
          </w:p>
        </w:tc>
        <w:tc>
          <w:tcPr>
            <w:tcW w:w="4678" w:type="dxa"/>
          </w:tcPr>
          <w:p w14:paraId="41ABA235" w14:textId="77777777" w:rsidR="00BE36FB" w:rsidRPr="009B7B35" w:rsidRDefault="00BE36FB" w:rsidP="001A7107">
            <w:pPr>
              <w:pStyle w:val="TableText"/>
              <w:rPr>
                <w:rFonts w:cs="Arial"/>
              </w:rPr>
            </w:pPr>
            <w:r w:rsidRPr="009B7B35">
              <w:rPr>
                <w:rFonts w:cs="Arial"/>
              </w:rPr>
              <w:t>Acceptable outcomes</w:t>
            </w:r>
          </w:p>
        </w:tc>
      </w:tr>
      <w:tr w:rsidR="00BE36FB" w:rsidRPr="009B7B35" w14:paraId="3F5D854F" w14:textId="77777777" w:rsidTr="001A7107">
        <w:trPr>
          <w:cantSplit/>
        </w:trPr>
        <w:tc>
          <w:tcPr>
            <w:tcW w:w="9356" w:type="dxa"/>
            <w:gridSpan w:val="2"/>
            <w:shd w:val="clear" w:color="auto" w:fill="BFBFBF" w:themeFill="background1" w:themeFillShade="BF"/>
          </w:tcPr>
          <w:p w14:paraId="2BA3A0D3"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1D10BE74" w14:textId="77777777" w:rsidTr="001A7107">
        <w:tc>
          <w:tcPr>
            <w:tcW w:w="4678" w:type="dxa"/>
            <w:vMerge w:val="restart"/>
          </w:tcPr>
          <w:p w14:paraId="01D00C8F" w14:textId="77777777" w:rsidR="00BE36FB" w:rsidRPr="009B7B35" w:rsidRDefault="00BE36FB" w:rsidP="001A7107">
            <w:pPr>
              <w:pStyle w:val="TableText"/>
              <w:rPr>
                <w:rFonts w:cs="Arial"/>
                <w:b/>
                <w:bCs/>
              </w:rPr>
            </w:pPr>
            <w:r w:rsidRPr="009B7B35">
              <w:rPr>
                <w:rFonts w:cs="Arial"/>
                <w:b/>
                <w:bCs/>
              </w:rPr>
              <w:t>PO1</w:t>
            </w:r>
          </w:p>
          <w:p w14:paraId="257E69CC" w14:textId="77777777" w:rsidR="00BE36FB" w:rsidRPr="009B7B35" w:rsidRDefault="00BE36FB" w:rsidP="001A7107">
            <w:pPr>
              <w:pStyle w:val="TableText"/>
              <w:rPr>
                <w:rFonts w:cs="Arial"/>
              </w:rPr>
            </w:pPr>
            <w:r w:rsidRPr="009B7B35">
              <w:rPr>
                <w:rFonts w:cs="Arial"/>
              </w:rPr>
              <w:t>Development for caretaker’s accommodation:</w:t>
            </w:r>
          </w:p>
          <w:p w14:paraId="7DAD7227" w14:textId="77777777" w:rsidR="00BE36FB" w:rsidRPr="009B7B35" w:rsidRDefault="00BE36FB" w:rsidP="00BE36FB">
            <w:pPr>
              <w:pStyle w:val="TableText"/>
              <w:numPr>
                <w:ilvl w:val="0"/>
                <w:numId w:val="311"/>
              </w:numPr>
              <w:rPr>
                <w:rFonts w:cs="Arial"/>
              </w:rPr>
            </w:pPr>
            <w:r w:rsidRPr="009B7B35">
              <w:rPr>
                <w:rFonts w:cs="Arial"/>
              </w:rPr>
              <w:t>is subordinate to non–residential uses on the same site, and</w:t>
            </w:r>
          </w:p>
          <w:p w14:paraId="0201381C" w14:textId="77777777" w:rsidR="00BE36FB" w:rsidRPr="009B7B35" w:rsidRDefault="00BE36FB" w:rsidP="00BE36FB">
            <w:pPr>
              <w:pStyle w:val="TableText"/>
              <w:numPr>
                <w:ilvl w:val="0"/>
                <w:numId w:val="311"/>
              </w:numPr>
              <w:rPr>
                <w:rFonts w:cs="Arial"/>
              </w:rPr>
            </w:pPr>
            <w:r w:rsidRPr="009B7B35">
              <w:rPr>
                <w:rFonts w:cs="Arial"/>
              </w:rPr>
              <w:t>provides adequate private open space for residents.</w:t>
            </w:r>
          </w:p>
        </w:tc>
        <w:tc>
          <w:tcPr>
            <w:tcW w:w="4678" w:type="dxa"/>
          </w:tcPr>
          <w:p w14:paraId="03D23A0E" w14:textId="77777777" w:rsidR="00BE36FB" w:rsidRPr="009B7B35" w:rsidRDefault="00BE36FB" w:rsidP="001A7107">
            <w:pPr>
              <w:pStyle w:val="TableText"/>
              <w:rPr>
                <w:rFonts w:cs="Arial"/>
                <w:b/>
                <w:bCs/>
              </w:rPr>
            </w:pPr>
            <w:r w:rsidRPr="009B7B35">
              <w:rPr>
                <w:rFonts w:cs="Arial"/>
                <w:b/>
                <w:bCs/>
              </w:rPr>
              <w:t>AO1.1</w:t>
            </w:r>
          </w:p>
          <w:p w14:paraId="3309E130" w14:textId="77777777"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14:paraId="7B439B63" w14:textId="77777777" w:rsidTr="001A7107">
        <w:tc>
          <w:tcPr>
            <w:tcW w:w="4678" w:type="dxa"/>
            <w:vMerge/>
          </w:tcPr>
          <w:p w14:paraId="2667326F" w14:textId="77777777" w:rsidR="00BE36FB" w:rsidRPr="009B7B35" w:rsidRDefault="00BE36FB" w:rsidP="001A7107">
            <w:pPr>
              <w:pStyle w:val="TableText"/>
              <w:rPr>
                <w:rFonts w:cs="Arial"/>
              </w:rPr>
            </w:pPr>
          </w:p>
        </w:tc>
        <w:tc>
          <w:tcPr>
            <w:tcW w:w="4678" w:type="dxa"/>
          </w:tcPr>
          <w:p w14:paraId="600696B0" w14:textId="77777777" w:rsidR="00BE36FB" w:rsidRPr="009B7B35" w:rsidRDefault="00BE36FB" w:rsidP="001A7107">
            <w:pPr>
              <w:pStyle w:val="TableText"/>
              <w:rPr>
                <w:rFonts w:cs="Arial"/>
                <w:b/>
                <w:bCs/>
              </w:rPr>
            </w:pPr>
            <w:r w:rsidRPr="009B7B35">
              <w:rPr>
                <w:rFonts w:cs="Arial"/>
                <w:b/>
                <w:bCs/>
              </w:rPr>
              <w:t>AO1.2</w:t>
            </w:r>
          </w:p>
          <w:p w14:paraId="77CFD5A2" w14:textId="77777777"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GFA.</w:t>
            </w:r>
          </w:p>
        </w:tc>
      </w:tr>
      <w:tr w:rsidR="00BE36FB" w:rsidRPr="009B7B35" w14:paraId="2541EF8E" w14:textId="77777777" w:rsidTr="001A7107">
        <w:tc>
          <w:tcPr>
            <w:tcW w:w="4678" w:type="dxa"/>
            <w:vMerge/>
          </w:tcPr>
          <w:p w14:paraId="6BAD28C3" w14:textId="77777777" w:rsidR="00BE36FB" w:rsidRPr="009B7B35" w:rsidRDefault="00BE36FB" w:rsidP="001A7107">
            <w:pPr>
              <w:pStyle w:val="TableText"/>
              <w:rPr>
                <w:rFonts w:cs="Arial"/>
              </w:rPr>
            </w:pPr>
          </w:p>
        </w:tc>
        <w:tc>
          <w:tcPr>
            <w:tcW w:w="4678" w:type="dxa"/>
          </w:tcPr>
          <w:p w14:paraId="6D01AE28" w14:textId="77777777" w:rsidR="00BE36FB" w:rsidRPr="009B7B35" w:rsidRDefault="00BE36FB" w:rsidP="001A7107">
            <w:pPr>
              <w:pStyle w:val="TableText"/>
              <w:rPr>
                <w:rFonts w:cs="Arial"/>
                <w:b/>
                <w:bCs/>
              </w:rPr>
            </w:pPr>
            <w:r w:rsidRPr="009B7B35">
              <w:rPr>
                <w:rFonts w:cs="Arial"/>
                <w:b/>
                <w:bCs/>
              </w:rPr>
              <w:t>AO1.3</w:t>
            </w:r>
          </w:p>
          <w:p w14:paraId="74833555" w14:textId="77777777" w:rsidR="00BE36FB" w:rsidRPr="009B7B35" w:rsidRDefault="00BE36FB" w:rsidP="001A7107">
            <w:pPr>
              <w:pStyle w:val="TableText"/>
              <w:rPr>
                <w:rFonts w:cs="Arial"/>
              </w:rPr>
            </w:pPr>
            <w:r w:rsidRPr="009B7B35">
              <w:rPr>
                <w:rFonts w:cs="Arial"/>
              </w:rPr>
              <w:t>Caretaker’s accommodation where on a primary frontage is located above the ground floor level, or to the rear of ground level business activities.</w:t>
            </w:r>
          </w:p>
          <w:p w14:paraId="68A1E102" w14:textId="77777777" w:rsidR="00BE36FB" w:rsidRPr="009B7B35" w:rsidRDefault="00BE36FB">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14:paraId="0EC17A53" w14:textId="77777777" w:rsidTr="001A7107">
        <w:tc>
          <w:tcPr>
            <w:tcW w:w="4678" w:type="dxa"/>
            <w:vMerge/>
          </w:tcPr>
          <w:p w14:paraId="6D8FEEA7" w14:textId="77777777" w:rsidR="00BE36FB" w:rsidRPr="009B7B35" w:rsidRDefault="00BE36FB" w:rsidP="001A7107">
            <w:pPr>
              <w:pStyle w:val="TableText"/>
              <w:rPr>
                <w:rFonts w:cs="Arial"/>
              </w:rPr>
            </w:pPr>
          </w:p>
        </w:tc>
        <w:tc>
          <w:tcPr>
            <w:tcW w:w="4678" w:type="dxa"/>
          </w:tcPr>
          <w:p w14:paraId="45C3753A" w14:textId="77777777" w:rsidR="00BE36FB" w:rsidRPr="009B7B35" w:rsidRDefault="00BE36FB" w:rsidP="001A7107">
            <w:pPr>
              <w:pStyle w:val="TableText"/>
              <w:rPr>
                <w:rFonts w:cs="Arial"/>
                <w:b/>
                <w:bCs/>
              </w:rPr>
            </w:pPr>
            <w:r w:rsidRPr="009B7B35">
              <w:rPr>
                <w:rFonts w:cs="Arial"/>
                <w:b/>
                <w:bCs/>
              </w:rPr>
              <w:t>AO1.4</w:t>
            </w:r>
          </w:p>
          <w:p w14:paraId="767515F2" w14:textId="77777777" w:rsidR="00BE36FB" w:rsidRPr="009B7B35" w:rsidRDefault="00BE36FB" w:rsidP="001A7107">
            <w:pPr>
              <w:pStyle w:val="TableText"/>
              <w:rPr>
                <w:rFonts w:cs="Arial"/>
              </w:rPr>
            </w:pPr>
            <w:r w:rsidRPr="009B7B35">
              <w:rPr>
                <w:rFonts w:cs="Arial"/>
              </w:rPr>
              <w:t>Caretaker’s accommodation is provided with a private open space area which:</w:t>
            </w:r>
          </w:p>
          <w:p w14:paraId="04D7E9FE" w14:textId="77777777" w:rsidR="00BE36FB" w:rsidRPr="009B7B35" w:rsidRDefault="00BE36FB" w:rsidP="00BE36FB">
            <w:pPr>
              <w:pStyle w:val="TableText"/>
              <w:numPr>
                <w:ilvl w:val="0"/>
                <w:numId w:val="398"/>
              </w:numPr>
              <w:ind w:left="510" w:hanging="510"/>
              <w:rPr>
                <w:rFonts w:cs="Arial"/>
              </w:rPr>
            </w:pPr>
            <w:r w:rsidRPr="009B7B35">
              <w:rPr>
                <w:rFonts w:cs="Arial"/>
              </w:rPr>
              <w:t>is directly accessible from a habitable room, and</w:t>
            </w:r>
          </w:p>
          <w:p w14:paraId="6A385929" w14:textId="77777777" w:rsidR="00BE36FB" w:rsidRPr="009B7B35" w:rsidRDefault="00BE36FB" w:rsidP="00BE36FB">
            <w:pPr>
              <w:pStyle w:val="TableText"/>
              <w:numPr>
                <w:ilvl w:val="0"/>
                <w:numId w:val="398"/>
              </w:numPr>
              <w:ind w:left="510" w:hanging="510"/>
              <w:rPr>
                <w:rFonts w:cs="Arial"/>
              </w:rPr>
            </w:pPr>
            <w:r w:rsidRPr="009B7B35">
              <w:rPr>
                <w:rFonts w:cs="Arial"/>
              </w:rPr>
              <w:t>where a balcony, a verandah or a deck, has a minimum area of 15m</w:t>
            </w:r>
            <w:r w:rsidRPr="009B7B35">
              <w:rPr>
                <w:rStyle w:val="StyleSuperscript"/>
                <w:rFonts w:cs="Arial"/>
              </w:rPr>
              <w:t>2</w:t>
            </w:r>
            <w:r w:rsidRPr="009B7B35">
              <w:rPr>
                <w:rFonts w:cs="Arial"/>
              </w:rPr>
              <w:t xml:space="preserve"> with a minimum horizontal dimension of 1.25m. </w:t>
            </w:r>
          </w:p>
        </w:tc>
      </w:tr>
      <w:tr w:rsidR="00BE36FB" w:rsidRPr="009B7B35" w14:paraId="235C1D2D" w14:textId="77777777" w:rsidTr="001A7107">
        <w:tc>
          <w:tcPr>
            <w:tcW w:w="9356" w:type="dxa"/>
            <w:gridSpan w:val="2"/>
            <w:shd w:val="clear" w:color="auto" w:fill="BFBFBF" w:themeFill="background1" w:themeFillShade="BF"/>
          </w:tcPr>
          <w:p w14:paraId="2F7E825E" w14:textId="77777777" w:rsidR="00BE36FB" w:rsidRPr="009B7B35" w:rsidRDefault="00BE36FB" w:rsidP="001A7107">
            <w:pPr>
              <w:pStyle w:val="Tableheading"/>
              <w:rPr>
                <w:rFonts w:ascii="Arial" w:hAnsi="Arial" w:cs="Arial"/>
                <w:szCs w:val="20"/>
              </w:rPr>
            </w:pPr>
            <w:r w:rsidRPr="009B7B35">
              <w:rPr>
                <w:rFonts w:ascii="Arial" w:hAnsi="Arial" w:cs="Arial"/>
                <w:szCs w:val="20"/>
              </w:rPr>
              <w:t>Use – Dwelling unit</w:t>
            </w:r>
          </w:p>
        </w:tc>
      </w:tr>
      <w:tr w:rsidR="00BE36FB" w:rsidRPr="009B7B35" w14:paraId="332BEF3A" w14:textId="77777777" w:rsidTr="001A7107">
        <w:tc>
          <w:tcPr>
            <w:tcW w:w="4678" w:type="dxa"/>
          </w:tcPr>
          <w:p w14:paraId="1FD816B3" w14:textId="77777777" w:rsidR="00BE36FB" w:rsidRPr="009B7B35" w:rsidRDefault="00BE36FB" w:rsidP="001A7107">
            <w:pPr>
              <w:pStyle w:val="TableText"/>
              <w:rPr>
                <w:rFonts w:cs="Arial"/>
                <w:b/>
                <w:bCs/>
              </w:rPr>
            </w:pPr>
            <w:r w:rsidRPr="009B7B35">
              <w:rPr>
                <w:rFonts w:cs="Arial"/>
                <w:b/>
                <w:bCs/>
              </w:rPr>
              <w:t>PO2</w:t>
            </w:r>
          </w:p>
          <w:p w14:paraId="3FEB9237" w14:textId="77777777" w:rsidR="00BE36FB" w:rsidRPr="009B7B35" w:rsidRDefault="00BE36FB" w:rsidP="001A7107">
            <w:pPr>
              <w:pStyle w:val="TableText"/>
              <w:rPr>
                <w:rFonts w:cs="Arial"/>
              </w:rPr>
            </w:pPr>
            <w:r w:rsidRPr="009B7B35">
              <w:rPr>
                <w:rFonts w:cs="Arial"/>
              </w:rPr>
              <w:t>Development does not compromise ground level business activities being established.</w:t>
            </w:r>
          </w:p>
        </w:tc>
        <w:tc>
          <w:tcPr>
            <w:tcW w:w="4678" w:type="dxa"/>
          </w:tcPr>
          <w:p w14:paraId="4B5522DE" w14:textId="77777777" w:rsidR="00BE36FB" w:rsidRPr="009B7B35" w:rsidRDefault="00BE36FB" w:rsidP="001A7107">
            <w:pPr>
              <w:pStyle w:val="TableText"/>
              <w:rPr>
                <w:rFonts w:cs="Arial"/>
                <w:b/>
                <w:bCs/>
              </w:rPr>
            </w:pPr>
            <w:r w:rsidRPr="009B7B35">
              <w:rPr>
                <w:rFonts w:cs="Arial"/>
                <w:b/>
                <w:bCs/>
              </w:rPr>
              <w:t>AO2</w:t>
            </w:r>
          </w:p>
          <w:p w14:paraId="1C278527" w14:textId="77777777" w:rsidR="00BE36FB" w:rsidRPr="009B7B35" w:rsidRDefault="00BE36FB" w:rsidP="001A7107">
            <w:pPr>
              <w:pStyle w:val="TableText"/>
              <w:rPr>
                <w:rFonts w:cs="Arial"/>
              </w:rPr>
            </w:pPr>
            <w:r w:rsidRPr="009B7B35">
              <w:rPr>
                <w:rFonts w:cs="Arial"/>
              </w:rPr>
              <w:t>Dwelling units are located either above the ground floor level, or to the rear of ground level business activities.</w:t>
            </w:r>
          </w:p>
        </w:tc>
      </w:tr>
      <w:tr w:rsidR="00BE36FB" w:rsidRPr="009B7B35" w14:paraId="7337368E" w14:textId="77777777" w:rsidTr="001A7107">
        <w:trPr>
          <w:cantSplit/>
        </w:trPr>
        <w:tc>
          <w:tcPr>
            <w:tcW w:w="4678" w:type="dxa"/>
          </w:tcPr>
          <w:p w14:paraId="3785578B" w14:textId="77777777" w:rsidR="00BE36FB" w:rsidRPr="009B7B35" w:rsidRDefault="00BE36FB" w:rsidP="001A7107">
            <w:pPr>
              <w:pStyle w:val="TableText"/>
              <w:rPr>
                <w:rFonts w:cs="Arial"/>
                <w:b/>
                <w:bCs/>
              </w:rPr>
            </w:pPr>
            <w:r w:rsidRPr="009B7B35">
              <w:rPr>
                <w:rFonts w:cs="Arial"/>
                <w:b/>
                <w:bCs/>
              </w:rPr>
              <w:t>PO3</w:t>
            </w:r>
          </w:p>
          <w:p w14:paraId="117C3050" w14:textId="77777777" w:rsidR="00BE36FB" w:rsidRPr="009B7B35" w:rsidRDefault="00BE36FB" w:rsidP="001A7107">
            <w:pPr>
              <w:pStyle w:val="TableText"/>
              <w:rPr>
                <w:rFonts w:cs="Arial"/>
              </w:rPr>
            </w:pPr>
            <w:r w:rsidRPr="009B7B35">
              <w:rPr>
                <w:rFonts w:cs="Arial"/>
              </w:rPr>
              <w:t>Development must provide sufficient and accessible open space for resident's needs.</w:t>
            </w:r>
          </w:p>
        </w:tc>
        <w:tc>
          <w:tcPr>
            <w:tcW w:w="4678" w:type="dxa"/>
          </w:tcPr>
          <w:p w14:paraId="6456251B" w14:textId="77777777" w:rsidR="00BE36FB" w:rsidRPr="009B7B35" w:rsidRDefault="00BE36FB" w:rsidP="001A7107">
            <w:pPr>
              <w:pStyle w:val="TableText"/>
              <w:rPr>
                <w:rFonts w:cs="Arial"/>
                <w:b/>
                <w:bCs/>
              </w:rPr>
            </w:pPr>
            <w:r w:rsidRPr="009B7B35">
              <w:rPr>
                <w:rFonts w:cs="Arial"/>
                <w:b/>
                <w:bCs/>
              </w:rPr>
              <w:t>AO3</w:t>
            </w:r>
          </w:p>
          <w:p w14:paraId="57DA77EA" w14:textId="77777777" w:rsidR="00BE36FB" w:rsidRPr="009B7B35" w:rsidRDefault="00BE36FB" w:rsidP="001A7107">
            <w:pPr>
              <w:pStyle w:val="TableText"/>
              <w:rPr>
                <w:rFonts w:cs="Arial"/>
              </w:rPr>
            </w:pPr>
            <w:r w:rsidRPr="009B7B35">
              <w:rPr>
                <w:rFonts w:cs="Arial"/>
              </w:rPr>
              <w:t>Development provides a minimum of 16m</w:t>
            </w:r>
            <w:r w:rsidRPr="009B7B35">
              <w:rPr>
                <w:rFonts w:cs="Arial"/>
                <w:vertAlign w:val="superscript"/>
              </w:rPr>
              <w:t>2</w:t>
            </w:r>
            <w:r w:rsidRPr="009B7B35">
              <w:rPr>
                <w:rFonts w:cs="Arial"/>
              </w:rPr>
              <w:t xml:space="preserve"> private open space for each dwelling with a minimum dimension of 3m in any direction.</w:t>
            </w:r>
          </w:p>
        </w:tc>
      </w:tr>
      <w:tr w:rsidR="00BE36FB" w:rsidRPr="009B7B35" w14:paraId="0C4FB6F3" w14:textId="77777777" w:rsidTr="001A7107">
        <w:trPr>
          <w:cantSplit/>
        </w:trPr>
        <w:tc>
          <w:tcPr>
            <w:tcW w:w="9356" w:type="dxa"/>
            <w:gridSpan w:val="2"/>
            <w:shd w:val="clear" w:color="auto" w:fill="BFBFBF" w:themeFill="background1" w:themeFillShade="BF"/>
          </w:tcPr>
          <w:p w14:paraId="2834CAAA" w14:textId="77777777" w:rsidR="00BE36FB" w:rsidRPr="009B7B35" w:rsidRDefault="00BE36FB">
            <w:pPr>
              <w:pStyle w:val="Tableheading"/>
              <w:rPr>
                <w:rFonts w:ascii="Arial" w:hAnsi="Arial" w:cs="Arial"/>
                <w:szCs w:val="20"/>
              </w:rPr>
            </w:pPr>
            <w:r w:rsidRPr="009B7B35">
              <w:rPr>
                <w:rFonts w:ascii="Arial" w:hAnsi="Arial" w:cs="Arial"/>
                <w:szCs w:val="20"/>
              </w:rPr>
              <w:t>Uses – Food and drink outlet, Bar and Club</w:t>
            </w:r>
          </w:p>
        </w:tc>
      </w:tr>
      <w:tr w:rsidR="00BE36FB" w:rsidRPr="009B7B35" w14:paraId="7864DC76" w14:textId="77777777" w:rsidTr="001A7107">
        <w:trPr>
          <w:cantSplit/>
        </w:trPr>
        <w:tc>
          <w:tcPr>
            <w:tcW w:w="4678" w:type="dxa"/>
          </w:tcPr>
          <w:p w14:paraId="692A3DEC" w14:textId="77777777" w:rsidR="00BE36FB" w:rsidRPr="009B7B35" w:rsidRDefault="00BE36FB" w:rsidP="001A7107">
            <w:pPr>
              <w:pStyle w:val="TableText"/>
              <w:rPr>
                <w:rFonts w:cs="Arial"/>
                <w:b/>
                <w:bCs/>
              </w:rPr>
            </w:pPr>
            <w:r w:rsidRPr="009B7B35">
              <w:rPr>
                <w:rFonts w:cs="Arial"/>
                <w:b/>
                <w:bCs/>
              </w:rPr>
              <w:t>PO4</w:t>
            </w:r>
          </w:p>
          <w:p w14:paraId="1496890A" w14:textId="77777777" w:rsidR="00BE36FB" w:rsidRPr="009B7B35" w:rsidRDefault="00BE36FB" w:rsidP="001A7107">
            <w:pPr>
              <w:pStyle w:val="TableText"/>
              <w:rPr>
                <w:rFonts w:cs="Arial"/>
              </w:rPr>
            </w:pPr>
            <w:r w:rsidRPr="009B7B35">
              <w:rPr>
                <w:rFonts w:cs="Arial"/>
              </w:rPr>
              <w:t>Hours of operation are limited to minimise nuisance on residential uses.</w:t>
            </w:r>
          </w:p>
        </w:tc>
        <w:tc>
          <w:tcPr>
            <w:tcW w:w="4678" w:type="dxa"/>
          </w:tcPr>
          <w:p w14:paraId="6E13F33C" w14:textId="77777777" w:rsidR="00BE36FB" w:rsidRPr="009B7B35" w:rsidRDefault="00BE36FB" w:rsidP="001A7107">
            <w:pPr>
              <w:pStyle w:val="TableText"/>
              <w:rPr>
                <w:rFonts w:cs="Arial"/>
                <w:b/>
                <w:bCs/>
              </w:rPr>
            </w:pPr>
            <w:r w:rsidRPr="009B7B35">
              <w:rPr>
                <w:rFonts w:cs="Arial"/>
                <w:b/>
                <w:bCs/>
              </w:rPr>
              <w:t>AO4</w:t>
            </w:r>
          </w:p>
          <w:p w14:paraId="0E674441" w14:textId="77777777" w:rsidR="00BE36FB" w:rsidRPr="009B7B35" w:rsidRDefault="00BE36FB" w:rsidP="001A7107">
            <w:pPr>
              <w:pStyle w:val="TableText"/>
              <w:rPr>
                <w:rFonts w:cs="Arial"/>
              </w:rPr>
            </w:pPr>
            <w:r w:rsidRPr="009B7B35">
              <w:rPr>
                <w:rFonts w:cs="Arial"/>
              </w:rPr>
              <w:t>Where adjoining, or part of a building with residential uses (not including short term accommodation):</w:t>
            </w:r>
          </w:p>
          <w:p w14:paraId="2AB2240B" w14:textId="77777777" w:rsidR="00BE36FB" w:rsidRPr="009B7B35" w:rsidRDefault="00BE36FB" w:rsidP="00BE36FB">
            <w:pPr>
              <w:pStyle w:val="TableText"/>
              <w:numPr>
                <w:ilvl w:val="0"/>
                <w:numId w:val="397"/>
              </w:numPr>
              <w:ind w:left="510" w:hanging="510"/>
              <w:rPr>
                <w:rFonts w:cs="Arial"/>
              </w:rPr>
            </w:pPr>
            <w:r w:rsidRPr="009B7B35">
              <w:rPr>
                <w:rFonts w:cs="Arial"/>
              </w:rPr>
              <w:t>hours of operation are limited to between 7am and 10pm, and</w:t>
            </w:r>
          </w:p>
          <w:p w14:paraId="0F1D76D7" w14:textId="77777777" w:rsidR="00BE36FB" w:rsidRPr="009B7B35" w:rsidRDefault="00BE36FB" w:rsidP="00BE36FB">
            <w:pPr>
              <w:pStyle w:val="TableText"/>
              <w:numPr>
                <w:ilvl w:val="0"/>
                <w:numId w:val="397"/>
              </w:numPr>
              <w:ind w:left="510" w:hanging="510"/>
              <w:rPr>
                <w:rFonts w:cs="Arial"/>
              </w:rPr>
            </w:pPr>
            <w:r w:rsidRPr="009B7B35">
              <w:rPr>
                <w:rFonts w:cs="Arial"/>
              </w:rPr>
              <w:t>the use does not involve amplified music audible external to the premises.</w:t>
            </w:r>
          </w:p>
        </w:tc>
      </w:tr>
      <w:tr w:rsidR="00BE36FB" w:rsidRPr="009B7B35" w14:paraId="22451076" w14:textId="77777777" w:rsidTr="001A7107">
        <w:trPr>
          <w:cantSplit/>
        </w:trPr>
        <w:tc>
          <w:tcPr>
            <w:tcW w:w="9356" w:type="dxa"/>
            <w:gridSpan w:val="2"/>
            <w:shd w:val="clear" w:color="auto" w:fill="BFBFBF" w:themeFill="background1" w:themeFillShade="BF"/>
          </w:tcPr>
          <w:p w14:paraId="506A8A36" w14:textId="77777777"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14:paraId="70247023" w14:textId="77777777" w:rsidTr="001A7107">
        <w:trPr>
          <w:cantSplit/>
        </w:trPr>
        <w:tc>
          <w:tcPr>
            <w:tcW w:w="4678" w:type="dxa"/>
            <w:vMerge w:val="restart"/>
          </w:tcPr>
          <w:p w14:paraId="4E954659" w14:textId="77777777" w:rsidR="00BE36FB" w:rsidRPr="009B7B35" w:rsidRDefault="00BE36FB" w:rsidP="001A7107">
            <w:pPr>
              <w:pStyle w:val="TableText"/>
              <w:rPr>
                <w:rFonts w:cs="Arial"/>
                <w:b/>
                <w:bCs/>
              </w:rPr>
            </w:pPr>
            <w:r w:rsidRPr="009B7B35">
              <w:rPr>
                <w:rFonts w:cs="Arial"/>
                <w:b/>
                <w:bCs/>
              </w:rPr>
              <w:t>PO5</w:t>
            </w:r>
          </w:p>
          <w:p w14:paraId="4FB8A91C" w14:textId="77777777"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14:paraId="7A3C7CC5" w14:textId="77777777" w:rsidR="00BE36FB" w:rsidRPr="009B7B35" w:rsidRDefault="00BE36FB" w:rsidP="001A7107">
            <w:pPr>
              <w:pStyle w:val="TableText"/>
              <w:rPr>
                <w:rFonts w:cs="Arial"/>
                <w:b/>
                <w:bCs/>
              </w:rPr>
            </w:pPr>
            <w:r w:rsidRPr="009B7B35">
              <w:rPr>
                <w:rFonts w:cs="Arial"/>
                <w:b/>
                <w:bCs/>
              </w:rPr>
              <w:t>AO5.1</w:t>
            </w:r>
          </w:p>
          <w:p w14:paraId="7D8B9D74" w14:textId="77777777" w:rsidR="00BE36FB" w:rsidRPr="009B7B35" w:rsidRDefault="00BE36FB" w:rsidP="001A7107">
            <w:pPr>
              <w:pStyle w:val="TableText"/>
              <w:rPr>
                <w:rFonts w:cs="Arial"/>
              </w:rPr>
            </w:pPr>
            <w:r w:rsidRPr="009B7B35">
              <w:rPr>
                <w:rFonts w:cs="Arial"/>
              </w:rPr>
              <w:t>Development of the sales office is in place for no more than two years.</w:t>
            </w:r>
          </w:p>
        </w:tc>
      </w:tr>
      <w:tr w:rsidR="00BE36FB" w:rsidRPr="009B7B35" w14:paraId="4608EB40" w14:textId="77777777" w:rsidTr="001A7107">
        <w:trPr>
          <w:cantSplit/>
        </w:trPr>
        <w:tc>
          <w:tcPr>
            <w:tcW w:w="4678" w:type="dxa"/>
            <w:vMerge/>
          </w:tcPr>
          <w:p w14:paraId="40EED870" w14:textId="77777777" w:rsidR="00BE36FB" w:rsidRPr="009B7B35" w:rsidRDefault="00BE36FB" w:rsidP="001A7107">
            <w:pPr>
              <w:pStyle w:val="TableText"/>
              <w:rPr>
                <w:rFonts w:cs="Arial"/>
              </w:rPr>
            </w:pPr>
          </w:p>
        </w:tc>
        <w:tc>
          <w:tcPr>
            <w:tcW w:w="4678" w:type="dxa"/>
          </w:tcPr>
          <w:p w14:paraId="25F225EB" w14:textId="77777777" w:rsidR="00BE36FB" w:rsidRPr="009B7B35" w:rsidRDefault="00BE36FB" w:rsidP="001A7107">
            <w:pPr>
              <w:pStyle w:val="TableText"/>
              <w:rPr>
                <w:rFonts w:cs="Arial"/>
                <w:b/>
                <w:bCs/>
              </w:rPr>
            </w:pPr>
            <w:r w:rsidRPr="009B7B35">
              <w:rPr>
                <w:rFonts w:cs="Arial"/>
                <w:b/>
                <w:bCs/>
              </w:rPr>
              <w:t>AO5.2</w:t>
            </w:r>
          </w:p>
          <w:p w14:paraId="55A56B0E" w14:textId="77777777"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14:paraId="2F882800" w14:textId="77777777" w:rsidTr="001A7107">
        <w:trPr>
          <w:cantSplit/>
        </w:trPr>
        <w:tc>
          <w:tcPr>
            <w:tcW w:w="9356" w:type="dxa"/>
            <w:gridSpan w:val="2"/>
            <w:shd w:val="clear" w:color="auto" w:fill="BFBFBF" w:themeFill="background1" w:themeFillShade="BF"/>
          </w:tcPr>
          <w:p w14:paraId="5F35D70E" w14:textId="77777777"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14:paraId="31348617" w14:textId="77777777" w:rsidTr="001A7107">
        <w:trPr>
          <w:cantSplit/>
        </w:trPr>
        <w:tc>
          <w:tcPr>
            <w:tcW w:w="4678" w:type="dxa"/>
          </w:tcPr>
          <w:p w14:paraId="157361C4" w14:textId="77777777" w:rsidR="00BE36FB" w:rsidRPr="009B7B35" w:rsidRDefault="00BE36FB" w:rsidP="001A7107">
            <w:pPr>
              <w:pStyle w:val="TableText"/>
              <w:rPr>
                <w:rFonts w:cs="Arial"/>
                <w:b/>
                <w:bCs/>
              </w:rPr>
            </w:pPr>
            <w:r w:rsidRPr="009B7B35">
              <w:rPr>
                <w:rFonts w:cs="Arial"/>
                <w:b/>
                <w:bCs/>
              </w:rPr>
              <w:t>PO6</w:t>
            </w:r>
          </w:p>
          <w:p w14:paraId="067A66E9" w14:textId="77777777" w:rsidR="00BE36FB" w:rsidRPr="009B7B35" w:rsidRDefault="00BE36FB" w:rsidP="001A7107">
            <w:pPr>
              <w:pStyle w:val="TableText"/>
              <w:rPr>
                <w:rFonts w:cs="Arial"/>
              </w:rPr>
            </w:pPr>
            <w:r w:rsidRPr="009B7B35">
              <w:rPr>
                <w:rFonts w:cs="Arial"/>
              </w:rPr>
              <w:t>Building height:</w:t>
            </w:r>
          </w:p>
          <w:p w14:paraId="20CAAFCB" w14:textId="77777777" w:rsidR="00BE36FB" w:rsidRPr="009B7B35" w:rsidRDefault="00BE36FB" w:rsidP="00BE36FB">
            <w:pPr>
              <w:numPr>
                <w:ilvl w:val="0"/>
                <w:numId w:val="312"/>
              </w:numPr>
              <w:ind w:left="510" w:hanging="510"/>
              <w:rPr>
                <w:rFonts w:cs="Arial"/>
                <w:sz w:val="20"/>
                <w:szCs w:val="20"/>
              </w:rPr>
            </w:pPr>
            <w:r w:rsidRPr="009B7B35">
              <w:rPr>
                <w:rFonts w:cs="Arial"/>
                <w:sz w:val="20"/>
                <w:szCs w:val="20"/>
              </w:rPr>
              <w:t>is consistent with the intended character of the mixed use area, and</w:t>
            </w:r>
          </w:p>
          <w:p w14:paraId="1AC6CC99" w14:textId="77777777" w:rsidR="00BE36FB" w:rsidRPr="009B7B35" w:rsidRDefault="00BE36FB" w:rsidP="00BE36FB">
            <w:pPr>
              <w:numPr>
                <w:ilvl w:val="0"/>
                <w:numId w:val="312"/>
              </w:numPr>
              <w:ind w:left="510" w:hanging="510"/>
              <w:rPr>
                <w:rFonts w:cs="Arial"/>
                <w:sz w:val="20"/>
                <w:szCs w:val="20"/>
              </w:rPr>
            </w:pPr>
            <w:r w:rsidRPr="009B7B35">
              <w:rPr>
                <w:rFonts w:cs="Arial"/>
                <w:sz w:val="20"/>
                <w:szCs w:val="20"/>
              </w:rPr>
              <w:t>does not result in a significant loss of visual amenity.</w:t>
            </w:r>
          </w:p>
        </w:tc>
        <w:tc>
          <w:tcPr>
            <w:tcW w:w="4678" w:type="dxa"/>
          </w:tcPr>
          <w:p w14:paraId="57A3D8DB" w14:textId="77777777" w:rsidR="00BE36FB" w:rsidRPr="009B7B35" w:rsidRDefault="00BE36FB" w:rsidP="001A7107">
            <w:pPr>
              <w:pStyle w:val="TableText"/>
              <w:rPr>
                <w:rFonts w:cs="Arial"/>
                <w:b/>
                <w:bCs/>
              </w:rPr>
            </w:pPr>
            <w:r w:rsidRPr="009B7B35">
              <w:rPr>
                <w:rFonts w:cs="Arial"/>
                <w:b/>
                <w:bCs/>
              </w:rPr>
              <w:t>AO6</w:t>
            </w:r>
          </w:p>
          <w:p w14:paraId="43C32A24" w14:textId="77777777" w:rsidR="00BE36FB" w:rsidRPr="009B7B35" w:rsidRDefault="00BE36FB" w:rsidP="001A7107">
            <w:pPr>
              <w:pStyle w:val="TableText"/>
              <w:rPr>
                <w:rFonts w:cs="Arial"/>
              </w:rPr>
            </w:pPr>
            <w:r w:rsidRPr="009B7B35">
              <w:rPr>
                <w:rFonts w:cs="Arial"/>
              </w:rPr>
              <w:t xml:space="preserve">Building height does not exceed that shown on the </w:t>
            </w:r>
            <w:r w:rsidRPr="009B7B35">
              <w:rPr>
                <w:rStyle w:val="StyleItalic"/>
                <w:rFonts w:cs="Arial"/>
              </w:rPr>
              <w:t>Building height and frontages overlay map</w:t>
            </w:r>
            <w:r w:rsidRPr="009B7B35">
              <w:rPr>
                <w:rFonts w:cs="Arial"/>
              </w:rPr>
              <w:t>.</w:t>
            </w:r>
          </w:p>
        </w:tc>
      </w:tr>
      <w:tr w:rsidR="00BE36FB" w:rsidRPr="009B7B35" w14:paraId="04931045" w14:textId="77777777" w:rsidTr="001A7107">
        <w:trPr>
          <w:cantSplit/>
        </w:trPr>
        <w:tc>
          <w:tcPr>
            <w:tcW w:w="4678" w:type="dxa"/>
            <w:vMerge w:val="restart"/>
          </w:tcPr>
          <w:p w14:paraId="4708E01F" w14:textId="77777777" w:rsidR="00BE36FB" w:rsidRPr="009B7B35" w:rsidRDefault="00BE36FB" w:rsidP="001A7107">
            <w:pPr>
              <w:pStyle w:val="TableText"/>
              <w:rPr>
                <w:rFonts w:cs="Arial"/>
                <w:b/>
                <w:bCs/>
              </w:rPr>
            </w:pPr>
            <w:r w:rsidRPr="009B7B35">
              <w:rPr>
                <w:rFonts w:cs="Arial"/>
                <w:b/>
                <w:bCs/>
              </w:rPr>
              <w:t>PO7</w:t>
            </w:r>
          </w:p>
          <w:p w14:paraId="3A8ACED8" w14:textId="77777777" w:rsidR="00BE36FB" w:rsidRPr="009B7B35" w:rsidRDefault="00BE36FB" w:rsidP="001A7107">
            <w:pPr>
              <w:pStyle w:val="TableText"/>
              <w:rPr>
                <w:rFonts w:cs="Arial"/>
              </w:rPr>
            </w:pPr>
            <w:r w:rsidRPr="009B7B35">
              <w:rPr>
                <w:rFonts w:cs="Arial"/>
              </w:rPr>
              <w:t>Podiums where located on a primary frontage:</w:t>
            </w:r>
          </w:p>
          <w:p w14:paraId="7A2DF62D" w14:textId="77777777" w:rsidR="00BE36FB" w:rsidRPr="009B7B35" w:rsidRDefault="00BE36FB" w:rsidP="00BE36FB">
            <w:pPr>
              <w:pStyle w:val="TableText"/>
              <w:numPr>
                <w:ilvl w:val="0"/>
                <w:numId w:val="313"/>
              </w:numPr>
              <w:rPr>
                <w:rFonts w:cs="Arial"/>
              </w:rPr>
            </w:pPr>
            <w:r w:rsidRPr="009B7B35">
              <w:rPr>
                <w:rFonts w:cs="Arial"/>
              </w:rPr>
              <w:t>are low rise and human scale at street level</w:t>
            </w:r>
          </w:p>
          <w:p w14:paraId="504A2803" w14:textId="77777777" w:rsidR="00BE36FB" w:rsidRPr="009B7B35" w:rsidRDefault="00BE36FB" w:rsidP="00BE36FB">
            <w:pPr>
              <w:pStyle w:val="TableText"/>
              <w:numPr>
                <w:ilvl w:val="0"/>
                <w:numId w:val="313"/>
              </w:numPr>
              <w:rPr>
                <w:rFonts w:cs="Arial"/>
              </w:rPr>
            </w:pPr>
            <w:r w:rsidRPr="009B7B35">
              <w:rPr>
                <w:rFonts w:cs="Arial"/>
              </w:rPr>
              <w:t>allow for active uses at street level that overlook the street or public thoroughfare.</w:t>
            </w:r>
          </w:p>
          <w:p w14:paraId="47EDEB1C"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c>
          <w:tcPr>
            <w:tcW w:w="4678" w:type="dxa"/>
          </w:tcPr>
          <w:p w14:paraId="0D6159DB" w14:textId="77777777" w:rsidR="00BE36FB" w:rsidRPr="009B7B35" w:rsidRDefault="00BE36FB" w:rsidP="001A7107">
            <w:pPr>
              <w:pStyle w:val="TableText"/>
              <w:rPr>
                <w:rFonts w:cs="Arial"/>
                <w:b/>
                <w:bCs/>
              </w:rPr>
            </w:pPr>
            <w:r w:rsidRPr="009B7B35">
              <w:rPr>
                <w:rFonts w:cs="Arial"/>
                <w:b/>
                <w:bCs/>
              </w:rPr>
              <w:t>AO7.1</w:t>
            </w:r>
          </w:p>
          <w:p w14:paraId="6AC0E160" w14:textId="77777777" w:rsidR="00BE36FB" w:rsidRPr="009B7B35" w:rsidRDefault="00BE36FB" w:rsidP="001A7107">
            <w:pPr>
              <w:pStyle w:val="TableText"/>
              <w:rPr>
                <w:rFonts w:cs="Arial"/>
              </w:rPr>
            </w:pPr>
            <w:r w:rsidRPr="009B7B35">
              <w:rPr>
                <w:rFonts w:cs="Arial"/>
              </w:rPr>
              <w:t>Development located on a primary frontage includes a podium that does not exceed 1 storey.</w:t>
            </w:r>
          </w:p>
        </w:tc>
      </w:tr>
      <w:tr w:rsidR="00BE36FB" w:rsidRPr="009B7B35" w14:paraId="0448083F" w14:textId="77777777" w:rsidTr="001A7107">
        <w:trPr>
          <w:cantSplit/>
        </w:trPr>
        <w:tc>
          <w:tcPr>
            <w:tcW w:w="4678" w:type="dxa"/>
            <w:vMerge/>
          </w:tcPr>
          <w:p w14:paraId="18E3EC3A" w14:textId="77777777" w:rsidR="00BE36FB" w:rsidRPr="009B7B35" w:rsidRDefault="00BE36FB" w:rsidP="001A7107">
            <w:pPr>
              <w:pStyle w:val="TableText"/>
              <w:rPr>
                <w:rFonts w:cs="Arial"/>
              </w:rPr>
            </w:pPr>
          </w:p>
        </w:tc>
        <w:tc>
          <w:tcPr>
            <w:tcW w:w="4678" w:type="dxa"/>
          </w:tcPr>
          <w:p w14:paraId="7AEA39A5" w14:textId="77777777" w:rsidR="00BE36FB" w:rsidRPr="009B7B35" w:rsidRDefault="00BE36FB" w:rsidP="001A7107">
            <w:pPr>
              <w:pStyle w:val="TableText"/>
              <w:rPr>
                <w:rFonts w:cs="Arial"/>
                <w:b/>
                <w:bCs/>
              </w:rPr>
            </w:pPr>
            <w:r w:rsidRPr="009B7B35">
              <w:rPr>
                <w:rFonts w:cs="Arial"/>
                <w:b/>
                <w:bCs/>
              </w:rPr>
              <w:t>AO7.2</w:t>
            </w:r>
          </w:p>
          <w:p w14:paraId="06B26136" w14:textId="77777777" w:rsidR="00BE36FB" w:rsidRPr="009B7B35" w:rsidRDefault="00BE36FB" w:rsidP="001A7107">
            <w:pPr>
              <w:pStyle w:val="TableText"/>
              <w:rPr>
                <w:rFonts w:cs="Arial"/>
              </w:rPr>
            </w:pPr>
            <w:r w:rsidRPr="009B7B35">
              <w:rPr>
                <w:rFonts w:cs="Arial"/>
              </w:rPr>
              <w:t>Development located on a primary frontage includes a minimum ground floor height of 4.5m (floor to floor).</w:t>
            </w:r>
          </w:p>
        </w:tc>
      </w:tr>
      <w:tr w:rsidR="00BE36FB" w:rsidRPr="009B7B35" w14:paraId="0AF7AECF" w14:textId="77777777" w:rsidTr="001A7107">
        <w:tc>
          <w:tcPr>
            <w:tcW w:w="4678" w:type="dxa"/>
          </w:tcPr>
          <w:p w14:paraId="5A711221" w14:textId="77777777" w:rsidR="00BE36FB" w:rsidRPr="009B7B35" w:rsidRDefault="00BE36FB" w:rsidP="001A7107">
            <w:pPr>
              <w:pStyle w:val="TableText"/>
              <w:rPr>
                <w:rFonts w:cs="Arial"/>
                <w:b/>
                <w:bCs/>
              </w:rPr>
            </w:pPr>
            <w:r w:rsidRPr="009B7B35">
              <w:rPr>
                <w:rFonts w:cs="Arial"/>
                <w:b/>
                <w:bCs/>
              </w:rPr>
              <w:t>PO8</w:t>
            </w:r>
          </w:p>
          <w:p w14:paraId="3ED17380" w14:textId="77777777" w:rsidR="00BE36FB" w:rsidRPr="009B7B35" w:rsidRDefault="00BE36FB" w:rsidP="001A7107">
            <w:pPr>
              <w:pStyle w:val="TableText"/>
              <w:rPr>
                <w:rFonts w:cs="Arial"/>
              </w:rPr>
            </w:pPr>
            <w:r w:rsidRPr="009B7B35">
              <w:rPr>
                <w:rFonts w:cs="Arial"/>
              </w:rPr>
              <w:t>Development:</w:t>
            </w:r>
          </w:p>
          <w:p w14:paraId="0448C47A" w14:textId="77777777" w:rsidR="00BE36FB" w:rsidRPr="009B7B35" w:rsidRDefault="00BE36FB" w:rsidP="00BE36FB">
            <w:pPr>
              <w:pStyle w:val="TableText"/>
              <w:numPr>
                <w:ilvl w:val="0"/>
                <w:numId w:val="309"/>
              </w:numPr>
              <w:ind w:left="567" w:hanging="567"/>
              <w:rPr>
                <w:rFonts w:cs="Arial"/>
              </w:rPr>
            </w:pPr>
            <w:r w:rsidRPr="009B7B35">
              <w:rPr>
                <w:rFonts w:cs="Arial"/>
              </w:rPr>
              <w:t>is proportionate to the size and street frontage of the site</w:t>
            </w:r>
          </w:p>
          <w:p w14:paraId="76A64107" w14:textId="77777777" w:rsidR="00BE36FB" w:rsidRPr="009B7B35" w:rsidRDefault="00BE36FB" w:rsidP="00BE36FB">
            <w:pPr>
              <w:pStyle w:val="TableText"/>
              <w:numPr>
                <w:ilvl w:val="0"/>
                <w:numId w:val="309"/>
              </w:numPr>
              <w:ind w:left="567" w:hanging="567"/>
              <w:rPr>
                <w:rFonts w:cs="Arial"/>
              </w:rPr>
            </w:pPr>
            <w:r w:rsidRPr="009B7B35">
              <w:rPr>
                <w:rFonts w:cs="Arial"/>
              </w:rPr>
              <w:t>actively interfaces with streets and public spaces</w:t>
            </w:r>
          </w:p>
          <w:p w14:paraId="63199909" w14:textId="77777777" w:rsidR="00BE36FB" w:rsidRPr="009B7B35" w:rsidRDefault="00BE36FB" w:rsidP="00BE36FB">
            <w:pPr>
              <w:pStyle w:val="TableText"/>
              <w:numPr>
                <w:ilvl w:val="0"/>
                <w:numId w:val="309"/>
              </w:numPr>
              <w:ind w:left="567" w:hanging="567"/>
              <w:rPr>
                <w:rFonts w:cs="Arial"/>
              </w:rPr>
            </w:pPr>
            <w:r w:rsidRPr="009B7B35">
              <w:rPr>
                <w:rFonts w:cs="Arial"/>
              </w:rPr>
              <w:t>maintains and enhances the existing streetscape</w:t>
            </w:r>
          </w:p>
          <w:p w14:paraId="6810D2E5" w14:textId="77777777" w:rsidR="00BE36FB" w:rsidRPr="009B7B35" w:rsidRDefault="00BE36FB" w:rsidP="00BE36FB">
            <w:pPr>
              <w:pStyle w:val="TableText"/>
              <w:numPr>
                <w:ilvl w:val="0"/>
                <w:numId w:val="309"/>
              </w:numPr>
              <w:ind w:left="567" w:hanging="567"/>
              <w:rPr>
                <w:rFonts w:cs="Arial"/>
              </w:rPr>
            </w:pPr>
            <w:r w:rsidRPr="009B7B35">
              <w:rPr>
                <w:rFonts w:cs="Arial"/>
              </w:rPr>
              <w:t>protects adjacent amenity</w:t>
            </w:r>
          </w:p>
          <w:p w14:paraId="68779938" w14:textId="77777777" w:rsidR="00BE36FB" w:rsidRPr="009B7B35" w:rsidRDefault="00BE36FB" w:rsidP="00BE36FB">
            <w:pPr>
              <w:pStyle w:val="TableText"/>
              <w:numPr>
                <w:ilvl w:val="0"/>
                <w:numId w:val="309"/>
              </w:numPr>
              <w:ind w:left="567" w:hanging="567"/>
              <w:rPr>
                <w:rFonts w:cs="Arial"/>
              </w:rPr>
            </w:pPr>
            <w:r w:rsidRPr="009B7B35">
              <w:rPr>
                <w:rFonts w:cs="Arial"/>
              </w:rPr>
              <w:t>provides setbacks that maintain appropriate levels of light and solar penetration, air circulation, privacy for adjoining properties</w:t>
            </w:r>
          </w:p>
          <w:p w14:paraId="4F3DE71D" w14:textId="77777777" w:rsidR="00BE36FB" w:rsidRPr="009B7B35" w:rsidRDefault="00BE36FB" w:rsidP="00BE36FB">
            <w:pPr>
              <w:pStyle w:val="TableText"/>
              <w:numPr>
                <w:ilvl w:val="0"/>
                <w:numId w:val="309"/>
              </w:numPr>
              <w:ind w:left="567" w:hanging="567"/>
              <w:rPr>
                <w:rFonts w:cs="Arial"/>
              </w:rPr>
            </w:pPr>
            <w:r w:rsidRPr="009B7B35">
              <w:rPr>
                <w:rFonts w:cs="Arial"/>
              </w:rPr>
              <w:t xml:space="preserve">provides for public space and landscape areas, and </w:t>
            </w:r>
          </w:p>
          <w:p w14:paraId="14D82159" w14:textId="77777777" w:rsidR="00BE36FB" w:rsidRPr="009B7B35" w:rsidRDefault="00BE36FB" w:rsidP="00BE36FB">
            <w:pPr>
              <w:pStyle w:val="TableText"/>
              <w:numPr>
                <w:ilvl w:val="0"/>
                <w:numId w:val="309"/>
              </w:numPr>
              <w:ind w:left="567" w:hanging="567"/>
              <w:rPr>
                <w:rFonts w:cs="Arial"/>
              </w:rPr>
            </w:pPr>
            <w:r w:rsidRPr="009B7B35">
              <w:rPr>
                <w:rFonts w:cs="Arial"/>
              </w:rPr>
              <w:t>reduces building bulk.</w:t>
            </w:r>
          </w:p>
        </w:tc>
        <w:tc>
          <w:tcPr>
            <w:tcW w:w="4678" w:type="dxa"/>
          </w:tcPr>
          <w:p w14:paraId="428416B1" w14:textId="77777777" w:rsidR="00BE36FB" w:rsidRPr="009B7B35" w:rsidRDefault="00BE36FB" w:rsidP="001A7107">
            <w:pPr>
              <w:pStyle w:val="TableText"/>
              <w:rPr>
                <w:rFonts w:cs="Arial"/>
                <w:b/>
                <w:bCs/>
              </w:rPr>
            </w:pPr>
            <w:r w:rsidRPr="009B7B35">
              <w:rPr>
                <w:rFonts w:cs="Arial"/>
                <w:b/>
                <w:bCs/>
              </w:rPr>
              <w:t>AO8</w:t>
            </w:r>
          </w:p>
          <w:p w14:paraId="60676974" w14:textId="77777777" w:rsidR="00BE36FB" w:rsidRPr="009B7B35" w:rsidRDefault="00BE36FB" w:rsidP="001A7107">
            <w:pPr>
              <w:pStyle w:val="TableText"/>
              <w:rPr>
                <w:rFonts w:cs="Arial"/>
              </w:rPr>
            </w:pPr>
            <w:r w:rsidRPr="009B7B35">
              <w:rPr>
                <w:rFonts w:cs="Arial"/>
              </w:rPr>
              <w:t>Development is in accordance with the following building types:</w:t>
            </w:r>
          </w:p>
          <w:p w14:paraId="7A456938" w14:textId="77777777" w:rsidR="00BE36FB" w:rsidRPr="009B7B35" w:rsidRDefault="00BE36FB" w:rsidP="00BE36FB">
            <w:pPr>
              <w:pStyle w:val="TableText"/>
              <w:numPr>
                <w:ilvl w:val="0"/>
                <w:numId w:val="310"/>
              </w:numPr>
              <w:ind w:left="510" w:hanging="510"/>
              <w:rPr>
                <w:rFonts w:cs="Arial"/>
              </w:rPr>
            </w:pPr>
            <w:r w:rsidRPr="009B7B35">
              <w:rPr>
                <w:rFonts w:cs="Arial"/>
              </w:rPr>
              <w:t>Figure 1—Primary frontage building where located on a primary frontage</w:t>
            </w:r>
          </w:p>
          <w:p w14:paraId="53E280A1" w14:textId="77777777" w:rsidR="00BE36FB" w:rsidRPr="009B7B35" w:rsidRDefault="00BE36FB" w:rsidP="00BE36FB">
            <w:pPr>
              <w:pStyle w:val="TableText"/>
              <w:numPr>
                <w:ilvl w:val="0"/>
                <w:numId w:val="310"/>
              </w:numPr>
              <w:ind w:left="510" w:hanging="510"/>
              <w:rPr>
                <w:rFonts w:cs="Arial"/>
              </w:rPr>
            </w:pPr>
            <w:r w:rsidRPr="009B7B35">
              <w:rPr>
                <w:rFonts w:cs="Arial"/>
              </w:rPr>
              <w:t>Figure 2—Secondary frontage building where not located on a primary frontage.</w:t>
            </w:r>
          </w:p>
          <w:p w14:paraId="336D80EC"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 Refer to Diagram 6.2.21.3.2—Primary and rear frontage, for a site located on a primary frontage which also includes a rear frontage.</w:t>
            </w:r>
          </w:p>
        </w:tc>
      </w:tr>
      <w:tr w:rsidR="00BE36FB" w:rsidRPr="009B7B35" w14:paraId="4459D116" w14:textId="77777777" w:rsidTr="001A7107">
        <w:tc>
          <w:tcPr>
            <w:tcW w:w="9356" w:type="dxa"/>
            <w:gridSpan w:val="2"/>
            <w:shd w:val="clear" w:color="auto" w:fill="BFBFBF" w:themeFill="background1" w:themeFillShade="BF"/>
          </w:tcPr>
          <w:p w14:paraId="5AFA0334"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 mix</w:t>
            </w:r>
          </w:p>
        </w:tc>
      </w:tr>
      <w:tr w:rsidR="00BE36FB" w:rsidRPr="009B7B35" w14:paraId="16A74A7F" w14:textId="77777777" w:rsidTr="001A7107">
        <w:tc>
          <w:tcPr>
            <w:tcW w:w="4678" w:type="dxa"/>
            <w:vMerge w:val="restart"/>
          </w:tcPr>
          <w:p w14:paraId="44B701BF" w14:textId="77777777" w:rsidR="00BE36FB" w:rsidRPr="009B7B35" w:rsidRDefault="00BE36FB" w:rsidP="001A7107">
            <w:pPr>
              <w:pStyle w:val="TableText"/>
              <w:rPr>
                <w:rFonts w:cs="Arial"/>
                <w:b/>
                <w:bCs/>
              </w:rPr>
            </w:pPr>
            <w:r w:rsidRPr="009B7B35">
              <w:rPr>
                <w:rFonts w:cs="Arial"/>
                <w:b/>
                <w:bCs/>
              </w:rPr>
              <w:t>PO9</w:t>
            </w:r>
          </w:p>
          <w:p w14:paraId="3BCAE48A" w14:textId="77777777" w:rsidR="00BE36FB" w:rsidRPr="009B7B35" w:rsidRDefault="00BE36FB" w:rsidP="001A7107">
            <w:pPr>
              <w:pStyle w:val="TableText"/>
              <w:rPr>
                <w:rFonts w:cs="Arial"/>
              </w:rPr>
            </w:pPr>
            <w:r w:rsidRPr="009B7B35">
              <w:rPr>
                <w:rFonts w:cs="Arial"/>
              </w:rPr>
              <w:t xml:space="preserve">Retail and commercial development: </w:t>
            </w:r>
          </w:p>
          <w:p w14:paraId="71AE480A" w14:textId="77777777" w:rsidR="00BE36FB" w:rsidRPr="009B7B35" w:rsidRDefault="00BE36FB" w:rsidP="00BE36FB">
            <w:pPr>
              <w:pStyle w:val="TableText"/>
              <w:numPr>
                <w:ilvl w:val="0"/>
                <w:numId w:val="396"/>
              </w:numPr>
              <w:rPr>
                <w:rFonts w:cs="Arial"/>
              </w:rPr>
            </w:pPr>
            <w:r w:rsidRPr="009B7B35">
              <w:rPr>
                <w:rFonts w:cs="Arial"/>
              </w:rPr>
              <w:t>occurs at a scale which provides for the small scale needs of residents, workers and tourists</w:t>
            </w:r>
          </w:p>
          <w:p w14:paraId="460E9388" w14:textId="77777777" w:rsidR="00BE36FB" w:rsidRPr="009B7B35" w:rsidRDefault="00BE36FB" w:rsidP="00BE36FB">
            <w:pPr>
              <w:pStyle w:val="TableText"/>
              <w:numPr>
                <w:ilvl w:val="0"/>
                <w:numId w:val="396"/>
              </w:numPr>
              <w:rPr>
                <w:rFonts w:cs="Arial"/>
              </w:rPr>
            </w:pPr>
            <w:r w:rsidRPr="009B7B35">
              <w:rPr>
                <w:rFonts w:cs="Arial"/>
              </w:rPr>
              <w:t>is compatible with the character of the area</w:t>
            </w:r>
          </w:p>
          <w:p w14:paraId="383E9176" w14:textId="77777777" w:rsidR="00BE36FB" w:rsidRPr="009B7B35" w:rsidRDefault="00BE36FB" w:rsidP="00BE36FB">
            <w:pPr>
              <w:pStyle w:val="TableText"/>
              <w:numPr>
                <w:ilvl w:val="0"/>
                <w:numId w:val="396"/>
              </w:numPr>
              <w:rPr>
                <w:rFonts w:cs="Arial"/>
              </w:rPr>
            </w:pPr>
            <w:r w:rsidRPr="009B7B35">
              <w:rPr>
                <w:rFonts w:cs="Arial"/>
              </w:rPr>
              <w:t>does not impact on the viability of the region’s centres, and</w:t>
            </w:r>
          </w:p>
          <w:p w14:paraId="535F3987" w14:textId="77777777" w:rsidR="00BE36FB" w:rsidRPr="009B7B35" w:rsidRDefault="00BE36FB" w:rsidP="00BE36FB">
            <w:pPr>
              <w:pStyle w:val="TableText"/>
              <w:numPr>
                <w:ilvl w:val="0"/>
                <w:numId w:val="396"/>
              </w:numPr>
              <w:rPr>
                <w:rFonts w:cs="Arial"/>
              </w:rPr>
            </w:pPr>
            <w:r w:rsidRPr="009B7B35">
              <w:rPr>
                <w:rFonts w:cs="Arial"/>
              </w:rPr>
              <w:t>does not include large format, land consumptive commercial uses.</w:t>
            </w:r>
          </w:p>
        </w:tc>
        <w:tc>
          <w:tcPr>
            <w:tcW w:w="4678" w:type="dxa"/>
          </w:tcPr>
          <w:p w14:paraId="072ECBD5" w14:textId="77777777" w:rsidR="00BE36FB" w:rsidRPr="009B7B35" w:rsidRDefault="00BE36FB" w:rsidP="001A7107">
            <w:pPr>
              <w:pStyle w:val="TableText"/>
              <w:rPr>
                <w:rFonts w:cs="Arial"/>
                <w:b/>
                <w:bCs/>
              </w:rPr>
            </w:pPr>
            <w:r w:rsidRPr="009B7B35">
              <w:rPr>
                <w:rFonts w:cs="Arial"/>
                <w:b/>
                <w:bCs/>
              </w:rPr>
              <w:t>AO9.1</w:t>
            </w:r>
          </w:p>
          <w:p w14:paraId="294E716A" w14:textId="77777777" w:rsidR="00BE36FB" w:rsidRPr="009B7B35" w:rsidRDefault="00BE36FB" w:rsidP="001A7107">
            <w:pPr>
              <w:pStyle w:val="TableText"/>
              <w:rPr>
                <w:rFonts w:cs="Arial"/>
              </w:rPr>
            </w:pPr>
            <w:r w:rsidRPr="009B7B35">
              <w:rPr>
                <w:rFonts w:cs="Arial"/>
              </w:rPr>
              <w:t>GFA of the following uses does not exceed:</w:t>
            </w:r>
          </w:p>
          <w:p w14:paraId="4161AA7A" w14:textId="77777777" w:rsidR="00BE36FB" w:rsidRPr="009B7B35" w:rsidRDefault="00BE36FB" w:rsidP="00BE36FB">
            <w:pPr>
              <w:pStyle w:val="TableText"/>
              <w:numPr>
                <w:ilvl w:val="0"/>
                <w:numId w:val="140"/>
              </w:numPr>
              <w:rPr>
                <w:rFonts w:cs="Arial"/>
              </w:rPr>
            </w:pPr>
            <w:r w:rsidRPr="009B7B35">
              <w:rPr>
                <w:rFonts w:cs="Arial"/>
              </w:rPr>
              <w:t>1,000m</w:t>
            </w:r>
            <w:r w:rsidRPr="009B7B35">
              <w:rPr>
                <w:rFonts w:cs="Arial"/>
                <w:vertAlign w:val="superscript"/>
              </w:rPr>
              <w:t>2</w:t>
            </w:r>
            <w:r w:rsidRPr="009B7B35">
              <w:rPr>
                <w:rFonts w:cs="Arial"/>
              </w:rPr>
              <w:t xml:space="preserve"> for Shop or Shopping centre</w:t>
            </w:r>
          </w:p>
          <w:p w14:paraId="5AD5E249" w14:textId="77777777" w:rsidR="00BE36FB" w:rsidRPr="009B7B35" w:rsidRDefault="00BE36FB" w:rsidP="00BE36FB">
            <w:pPr>
              <w:pStyle w:val="TableText"/>
              <w:numPr>
                <w:ilvl w:val="0"/>
                <w:numId w:val="140"/>
              </w:numPr>
              <w:rPr>
                <w:rFonts w:cs="Arial"/>
              </w:rPr>
            </w:pPr>
            <w:r w:rsidRPr="009B7B35">
              <w:rPr>
                <w:rFonts w:cs="Arial"/>
              </w:rPr>
              <w:t>250m</w:t>
            </w:r>
            <w:r w:rsidRPr="009B7B35">
              <w:rPr>
                <w:rFonts w:cs="Arial"/>
                <w:vertAlign w:val="superscript"/>
              </w:rPr>
              <w:t>2</w:t>
            </w:r>
            <w:r w:rsidRPr="009B7B35">
              <w:rPr>
                <w:rFonts w:cs="Arial"/>
              </w:rPr>
              <w:t xml:space="preserve"> for:</w:t>
            </w:r>
          </w:p>
          <w:p w14:paraId="5A56EDCC" w14:textId="77777777" w:rsidR="00BE36FB" w:rsidRPr="009B7B35" w:rsidRDefault="00BE36FB" w:rsidP="00BE36FB">
            <w:pPr>
              <w:pStyle w:val="TableText"/>
              <w:numPr>
                <w:ilvl w:val="1"/>
                <w:numId w:val="140"/>
              </w:numPr>
              <w:rPr>
                <w:rFonts w:cs="Arial"/>
              </w:rPr>
            </w:pPr>
            <w:r w:rsidRPr="009B7B35">
              <w:rPr>
                <w:rFonts w:cs="Arial"/>
              </w:rPr>
              <w:t>Adult store</w:t>
            </w:r>
          </w:p>
          <w:p w14:paraId="53ED9ECC" w14:textId="77777777" w:rsidR="00BE36FB" w:rsidRPr="009B7B35" w:rsidRDefault="00BE36FB" w:rsidP="00BE36FB">
            <w:pPr>
              <w:pStyle w:val="TableText"/>
              <w:numPr>
                <w:ilvl w:val="1"/>
                <w:numId w:val="140"/>
              </w:numPr>
              <w:rPr>
                <w:rFonts w:cs="Arial"/>
              </w:rPr>
            </w:pPr>
            <w:r w:rsidRPr="009B7B35">
              <w:rPr>
                <w:rFonts w:cs="Arial"/>
              </w:rPr>
              <w:t>Bar</w:t>
            </w:r>
          </w:p>
          <w:p w14:paraId="5DF1E355" w14:textId="77777777" w:rsidR="00BE36FB" w:rsidRPr="009B7B35" w:rsidRDefault="00BE36FB" w:rsidP="00BE36FB">
            <w:pPr>
              <w:pStyle w:val="TableText"/>
              <w:numPr>
                <w:ilvl w:val="1"/>
                <w:numId w:val="140"/>
              </w:numPr>
              <w:rPr>
                <w:rFonts w:cs="Arial"/>
              </w:rPr>
            </w:pPr>
            <w:r w:rsidRPr="009B7B35">
              <w:rPr>
                <w:rFonts w:cs="Arial"/>
              </w:rPr>
              <w:t>Car wash</w:t>
            </w:r>
          </w:p>
          <w:p w14:paraId="23AB0AF3" w14:textId="77777777" w:rsidR="00BE36FB" w:rsidRPr="009B7B35" w:rsidRDefault="00BE36FB" w:rsidP="00BE36FB">
            <w:pPr>
              <w:pStyle w:val="TableText"/>
              <w:numPr>
                <w:ilvl w:val="1"/>
                <w:numId w:val="140"/>
              </w:numPr>
              <w:rPr>
                <w:rFonts w:cs="Arial"/>
              </w:rPr>
            </w:pPr>
            <w:r w:rsidRPr="009B7B35">
              <w:rPr>
                <w:rFonts w:cs="Arial"/>
              </w:rPr>
              <w:t>Club</w:t>
            </w:r>
          </w:p>
          <w:p w14:paraId="73CFC24C" w14:textId="77777777" w:rsidR="00BE36FB" w:rsidRPr="009B7B35" w:rsidRDefault="00BE36FB" w:rsidP="00BE36FB">
            <w:pPr>
              <w:pStyle w:val="TableText"/>
              <w:numPr>
                <w:ilvl w:val="1"/>
                <w:numId w:val="140"/>
              </w:numPr>
              <w:rPr>
                <w:rFonts w:cs="Arial"/>
              </w:rPr>
            </w:pPr>
            <w:r w:rsidRPr="009B7B35">
              <w:rPr>
                <w:rFonts w:cs="Arial"/>
              </w:rPr>
              <w:t>Community care centre</w:t>
            </w:r>
          </w:p>
          <w:p w14:paraId="045DDC64" w14:textId="77777777" w:rsidR="00BE36FB" w:rsidRPr="009B7B35" w:rsidRDefault="00BE36FB" w:rsidP="00BE36FB">
            <w:pPr>
              <w:pStyle w:val="TableText"/>
              <w:numPr>
                <w:ilvl w:val="1"/>
                <w:numId w:val="140"/>
              </w:numPr>
              <w:rPr>
                <w:rFonts w:cs="Arial"/>
              </w:rPr>
            </w:pPr>
            <w:r w:rsidRPr="009B7B35">
              <w:rPr>
                <w:rFonts w:cs="Arial"/>
              </w:rPr>
              <w:t>Community use</w:t>
            </w:r>
          </w:p>
          <w:p w14:paraId="1FDCA8B2" w14:textId="77777777" w:rsidR="00BE36FB" w:rsidRPr="009B7B35" w:rsidRDefault="00BE36FB" w:rsidP="00BE36FB">
            <w:pPr>
              <w:pStyle w:val="TableText"/>
              <w:numPr>
                <w:ilvl w:val="1"/>
                <w:numId w:val="140"/>
              </w:numPr>
              <w:rPr>
                <w:rFonts w:cs="Arial"/>
              </w:rPr>
            </w:pPr>
            <w:r w:rsidRPr="009B7B35">
              <w:rPr>
                <w:rFonts w:cs="Arial"/>
              </w:rPr>
              <w:t>Educational establishment</w:t>
            </w:r>
          </w:p>
          <w:p w14:paraId="6F406943" w14:textId="77777777" w:rsidR="00BE36FB" w:rsidRPr="009B7B35" w:rsidRDefault="00BE36FB" w:rsidP="00BE36FB">
            <w:pPr>
              <w:pStyle w:val="TableText"/>
              <w:numPr>
                <w:ilvl w:val="1"/>
                <w:numId w:val="140"/>
              </w:numPr>
              <w:rPr>
                <w:rFonts w:cs="Arial"/>
              </w:rPr>
            </w:pPr>
            <w:r w:rsidRPr="009B7B35">
              <w:rPr>
                <w:rFonts w:cs="Arial"/>
              </w:rPr>
              <w:t>Food and drink outlet</w:t>
            </w:r>
          </w:p>
          <w:p w14:paraId="15131CD0" w14:textId="77777777" w:rsidR="00BE36FB" w:rsidRPr="009B7B35" w:rsidRDefault="00BE36FB" w:rsidP="00BE36FB">
            <w:pPr>
              <w:pStyle w:val="TableText"/>
              <w:numPr>
                <w:ilvl w:val="1"/>
                <w:numId w:val="140"/>
              </w:numPr>
              <w:rPr>
                <w:rFonts w:cs="Arial"/>
              </w:rPr>
            </w:pPr>
            <w:r w:rsidRPr="009B7B35">
              <w:rPr>
                <w:rFonts w:cs="Arial"/>
              </w:rPr>
              <w:t>Function facility</w:t>
            </w:r>
          </w:p>
          <w:p w14:paraId="19451994" w14:textId="77777777" w:rsidR="00BE36FB" w:rsidRPr="009B7B35" w:rsidRDefault="00BE36FB" w:rsidP="00BE36FB">
            <w:pPr>
              <w:pStyle w:val="TableText"/>
              <w:numPr>
                <w:ilvl w:val="1"/>
                <w:numId w:val="140"/>
              </w:numPr>
              <w:rPr>
                <w:rFonts w:cs="Arial"/>
              </w:rPr>
            </w:pPr>
            <w:r w:rsidRPr="009B7B35">
              <w:rPr>
                <w:rFonts w:cs="Arial"/>
              </w:rPr>
              <w:t>Funeral parlour</w:t>
            </w:r>
          </w:p>
          <w:p w14:paraId="0AF2F738" w14:textId="77777777" w:rsidR="00BE36FB" w:rsidRPr="009B7B35" w:rsidRDefault="00BE36FB" w:rsidP="00BE36FB">
            <w:pPr>
              <w:pStyle w:val="TableText"/>
              <w:numPr>
                <w:ilvl w:val="1"/>
                <w:numId w:val="140"/>
              </w:numPr>
              <w:rPr>
                <w:rFonts w:cs="Arial"/>
              </w:rPr>
            </w:pPr>
            <w:r w:rsidRPr="009B7B35">
              <w:rPr>
                <w:rFonts w:cs="Arial"/>
              </w:rPr>
              <w:t>Garden centre</w:t>
            </w:r>
          </w:p>
          <w:p w14:paraId="2602D884" w14:textId="77777777" w:rsidR="00BE36FB" w:rsidRPr="009B7B35" w:rsidRDefault="00BE36FB" w:rsidP="00BE36FB">
            <w:pPr>
              <w:pStyle w:val="TableText"/>
              <w:numPr>
                <w:ilvl w:val="1"/>
                <w:numId w:val="140"/>
              </w:numPr>
              <w:rPr>
                <w:rFonts w:cs="Arial"/>
              </w:rPr>
            </w:pPr>
            <w:r w:rsidRPr="009B7B35">
              <w:rPr>
                <w:rFonts w:cs="Arial"/>
              </w:rPr>
              <w:t>Hardware and trade supplies</w:t>
            </w:r>
          </w:p>
          <w:p w14:paraId="56390A22" w14:textId="77777777" w:rsidR="00BE36FB" w:rsidRPr="009B7B35" w:rsidRDefault="00BE36FB" w:rsidP="00BE36FB">
            <w:pPr>
              <w:pStyle w:val="TableText"/>
              <w:numPr>
                <w:ilvl w:val="1"/>
                <w:numId w:val="140"/>
              </w:numPr>
              <w:rPr>
                <w:rFonts w:cs="Arial"/>
              </w:rPr>
            </w:pPr>
            <w:r w:rsidRPr="009B7B35">
              <w:rPr>
                <w:rFonts w:cs="Arial"/>
              </w:rPr>
              <w:t>Indoor sport and recreation</w:t>
            </w:r>
          </w:p>
          <w:p w14:paraId="65468D72" w14:textId="77777777" w:rsidR="00BE36FB" w:rsidRPr="009B7B35" w:rsidRDefault="00BE36FB" w:rsidP="00BE36FB">
            <w:pPr>
              <w:pStyle w:val="TableText"/>
              <w:numPr>
                <w:ilvl w:val="1"/>
                <w:numId w:val="140"/>
              </w:numPr>
              <w:rPr>
                <w:rFonts w:cs="Arial"/>
              </w:rPr>
            </w:pPr>
            <w:r w:rsidRPr="009B7B35">
              <w:rPr>
                <w:rFonts w:cs="Arial"/>
              </w:rPr>
              <w:t>Market</w:t>
            </w:r>
          </w:p>
          <w:p w14:paraId="5EAD391C" w14:textId="77777777" w:rsidR="00BE36FB" w:rsidRPr="009B7B35" w:rsidRDefault="00BE36FB" w:rsidP="00BE36FB">
            <w:pPr>
              <w:pStyle w:val="TableText"/>
              <w:numPr>
                <w:ilvl w:val="1"/>
                <w:numId w:val="140"/>
              </w:numPr>
              <w:rPr>
                <w:rFonts w:cs="Arial"/>
              </w:rPr>
            </w:pPr>
            <w:r w:rsidRPr="009B7B35">
              <w:rPr>
                <w:rFonts w:cs="Arial"/>
              </w:rPr>
              <w:t>Place of worship</w:t>
            </w:r>
          </w:p>
          <w:p w14:paraId="3674DA30" w14:textId="77777777" w:rsidR="00BE36FB" w:rsidRPr="009B7B35" w:rsidRDefault="00BE36FB" w:rsidP="00BE36FB">
            <w:pPr>
              <w:pStyle w:val="TableText"/>
              <w:numPr>
                <w:ilvl w:val="1"/>
                <w:numId w:val="140"/>
              </w:numPr>
              <w:rPr>
                <w:rFonts w:cs="Arial"/>
              </w:rPr>
            </w:pPr>
            <w:r w:rsidRPr="009B7B35">
              <w:rPr>
                <w:rFonts w:cs="Arial"/>
              </w:rPr>
              <w:t>Service industry</w:t>
            </w:r>
          </w:p>
          <w:p w14:paraId="3BE3364F" w14:textId="77777777" w:rsidR="00BE36FB" w:rsidRPr="009B7B35" w:rsidRDefault="00BE36FB" w:rsidP="00BE36FB">
            <w:pPr>
              <w:pStyle w:val="TableText"/>
              <w:numPr>
                <w:ilvl w:val="1"/>
                <w:numId w:val="140"/>
              </w:numPr>
              <w:rPr>
                <w:rFonts w:cs="Arial"/>
              </w:rPr>
            </w:pPr>
            <w:r w:rsidRPr="009B7B35">
              <w:rPr>
                <w:rFonts w:cs="Arial"/>
              </w:rPr>
              <w:t>Veterinary services.</w:t>
            </w:r>
          </w:p>
        </w:tc>
      </w:tr>
      <w:tr w:rsidR="00BE36FB" w:rsidRPr="009B7B35" w14:paraId="37E0E452" w14:textId="77777777" w:rsidTr="001A7107">
        <w:trPr>
          <w:cantSplit/>
        </w:trPr>
        <w:tc>
          <w:tcPr>
            <w:tcW w:w="4678" w:type="dxa"/>
            <w:vMerge/>
          </w:tcPr>
          <w:p w14:paraId="2AE19CCA" w14:textId="77777777" w:rsidR="00BE36FB" w:rsidRPr="009B7B35" w:rsidRDefault="00BE36FB" w:rsidP="001A7107">
            <w:pPr>
              <w:pStyle w:val="TableText"/>
              <w:rPr>
                <w:rFonts w:cs="Arial"/>
              </w:rPr>
            </w:pPr>
          </w:p>
        </w:tc>
        <w:tc>
          <w:tcPr>
            <w:tcW w:w="4678" w:type="dxa"/>
          </w:tcPr>
          <w:p w14:paraId="2C48C322" w14:textId="77777777" w:rsidR="00BE36FB" w:rsidRPr="009B7B35" w:rsidRDefault="00BE36FB" w:rsidP="001A7107">
            <w:pPr>
              <w:pStyle w:val="TableText"/>
              <w:rPr>
                <w:rFonts w:cs="Arial"/>
                <w:b/>
                <w:bCs/>
              </w:rPr>
            </w:pPr>
            <w:r w:rsidRPr="009B7B35">
              <w:rPr>
                <w:rFonts w:cs="Arial"/>
                <w:b/>
                <w:bCs/>
              </w:rPr>
              <w:t>AO9.2</w:t>
            </w:r>
          </w:p>
          <w:p w14:paraId="7E72A958" w14:textId="77777777" w:rsidR="00BE36FB" w:rsidRPr="009B7B35" w:rsidRDefault="00BE36FB" w:rsidP="001A7107">
            <w:pPr>
              <w:pStyle w:val="TableText"/>
              <w:rPr>
                <w:rFonts w:cs="Arial"/>
              </w:rPr>
            </w:pPr>
            <w:r w:rsidRPr="009B7B35">
              <w:rPr>
                <w:rFonts w:cs="Arial"/>
              </w:rPr>
              <w:t>If located in the Jeffery Court precinct, GFA of the following uses does not exceed 250m</w:t>
            </w:r>
            <w:r w:rsidRPr="009B7B35">
              <w:rPr>
                <w:rFonts w:cs="Arial"/>
                <w:vertAlign w:val="superscript"/>
              </w:rPr>
              <w:t>2</w:t>
            </w:r>
            <w:r w:rsidRPr="009B7B35">
              <w:rPr>
                <w:rFonts w:cs="Arial"/>
              </w:rPr>
              <w:t xml:space="preserve"> for:</w:t>
            </w:r>
          </w:p>
          <w:p w14:paraId="0FD78570" w14:textId="77777777" w:rsidR="00BE36FB" w:rsidRPr="009B7B35" w:rsidRDefault="00BE36FB" w:rsidP="00BE36FB">
            <w:pPr>
              <w:pStyle w:val="TableText"/>
              <w:numPr>
                <w:ilvl w:val="0"/>
                <w:numId w:val="141"/>
              </w:numPr>
              <w:rPr>
                <w:rFonts w:cs="Arial"/>
              </w:rPr>
            </w:pPr>
            <w:r w:rsidRPr="009B7B35">
              <w:rPr>
                <w:rFonts w:cs="Arial"/>
              </w:rPr>
              <w:t>Bar</w:t>
            </w:r>
          </w:p>
          <w:p w14:paraId="5A26E5E3" w14:textId="77777777" w:rsidR="00BE36FB" w:rsidRPr="009B7B35" w:rsidRDefault="00BE36FB" w:rsidP="00BE36FB">
            <w:pPr>
              <w:pStyle w:val="TableText"/>
              <w:numPr>
                <w:ilvl w:val="0"/>
                <w:numId w:val="141"/>
              </w:numPr>
              <w:rPr>
                <w:rFonts w:cs="Arial"/>
              </w:rPr>
            </w:pPr>
            <w:r w:rsidRPr="009B7B35">
              <w:rPr>
                <w:rFonts w:cs="Arial"/>
              </w:rPr>
              <w:t>Club</w:t>
            </w:r>
          </w:p>
          <w:p w14:paraId="214E2B41" w14:textId="77777777" w:rsidR="00BE36FB" w:rsidRPr="009B7B35" w:rsidRDefault="00BE36FB" w:rsidP="00BE36FB">
            <w:pPr>
              <w:pStyle w:val="TableText"/>
              <w:numPr>
                <w:ilvl w:val="0"/>
                <w:numId w:val="141"/>
              </w:numPr>
              <w:rPr>
                <w:rFonts w:cs="Arial"/>
              </w:rPr>
            </w:pPr>
            <w:r w:rsidRPr="009B7B35">
              <w:rPr>
                <w:rFonts w:cs="Arial"/>
              </w:rPr>
              <w:t>Community use</w:t>
            </w:r>
          </w:p>
          <w:p w14:paraId="4EDE24C5" w14:textId="77777777" w:rsidR="00BE36FB" w:rsidRPr="009B7B35" w:rsidRDefault="00BE36FB" w:rsidP="00BE36FB">
            <w:pPr>
              <w:pStyle w:val="TableText"/>
              <w:numPr>
                <w:ilvl w:val="0"/>
                <w:numId w:val="141"/>
              </w:numPr>
              <w:rPr>
                <w:rFonts w:cs="Arial"/>
              </w:rPr>
            </w:pPr>
            <w:r w:rsidRPr="009B7B35">
              <w:rPr>
                <w:rFonts w:cs="Arial"/>
              </w:rPr>
              <w:t>Food and drink outlet</w:t>
            </w:r>
          </w:p>
          <w:p w14:paraId="3B357056" w14:textId="77777777" w:rsidR="00BE36FB" w:rsidRPr="009B7B35" w:rsidRDefault="00BE36FB" w:rsidP="00BE36FB">
            <w:pPr>
              <w:pStyle w:val="TableText"/>
              <w:numPr>
                <w:ilvl w:val="0"/>
                <w:numId w:val="141"/>
              </w:numPr>
              <w:rPr>
                <w:rFonts w:cs="Arial"/>
              </w:rPr>
            </w:pPr>
            <w:r w:rsidRPr="009B7B35">
              <w:rPr>
                <w:rFonts w:cs="Arial"/>
              </w:rPr>
              <w:t>Function facility</w:t>
            </w:r>
          </w:p>
          <w:p w14:paraId="0C2353C2" w14:textId="77777777" w:rsidR="00BE36FB" w:rsidRPr="009B7B35" w:rsidRDefault="00BE36FB" w:rsidP="00BE36FB">
            <w:pPr>
              <w:pStyle w:val="TableText"/>
              <w:numPr>
                <w:ilvl w:val="0"/>
                <w:numId w:val="141"/>
              </w:numPr>
              <w:rPr>
                <w:rFonts w:cs="Arial"/>
              </w:rPr>
            </w:pPr>
            <w:r w:rsidRPr="009B7B35">
              <w:rPr>
                <w:rFonts w:cs="Arial"/>
              </w:rPr>
              <w:t>Market</w:t>
            </w:r>
          </w:p>
          <w:p w14:paraId="4250FC03" w14:textId="77777777" w:rsidR="00BE36FB" w:rsidRPr="009B7B35" w:rsidRDefault="00BE36FB" w:rsidP="00BE36FB">
            <w:pPr>
              <w:pStyle w:val="TableText"/>
              <w:numPr>
                <w:ilvl w:val="0"/>
                <w:numId w:val="141"/>
              </w:numPr>
              <w:rPr>
                <w:rFonts w:cs="Arial"/>
              </w:rPr>
            </w:pPr>
            <w:r w:rsidRPr="009B7B35">
              <w:rPr>
                <w:rFonts w:cs="Arial"/>
              </w:rPr>
              <w:t>Shop</w:t>
            </w:r>
          </w:p>
        </w:tc>
      </w:tr>
      <w:tr w:rsidR="00BE36FB" w:rsidRPr="009B7B35" w14:paraId="2EE77520" w14:textId="77777777" w:rsidTr="001A7107">
        <w:trPr>
          <w:cantSplit/>
        </w:trPr>
        <w:tc>
          <w:tcPr>
            <w:tcW w:w="9356" w:type="dxa"/>
            <w:gridSpan w:val="2"/>
          </w:tcPr>
          <w:p w14:paraId="49A3E07A"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0A6D0B18" w14:textId="77777777" w:rsidTr="001A7107">
        <w:trPr>
          <w:cantSplit/>
        </w:trPr>
        <w:tc>
          <w:tcPr>
            <w:tcW w:w="9356" w:type="dxa"/>
            <w:gridSpan w:val="2"/>
            <w:shd w:val="clear" w:color="auto" w:fill="BFBFBF" w:themeFill="background1" w:themeFillShade="BF"/>
          </w:tcPr>
          <w:p w14:paraId="00850713"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14:paraId="7F31A056" w14:textId="77777777" w:rsidTr="001A7107">
        <w:tc>
          <w:tcPr>
            <w:tcW w:w="4678" w:type="dxa"/>
          </w:tcPr>
          <w:p w14:paraId="144F4B20" w14:textId="77777777" w:rsidR="00BE36FB" w:rsidRPr="009B7B35" w:rsidRDefault="00BE36FB" w:rsidP="001A7107">
            <w:pPr>
              <w:pStyle w:val="TableText"/>
              <w:rPr>
                <w:rFonts w:cs="Arial"/>
                <w:b/>
              </w:rPr>
            </w:pPr>
            <w:r w:rsidRPr="009B7B35">
              <w:rPr>
                <w:rFonts w:cs="Arial"/>
                <w:b/>
              </w:rPr>
              <w:t>PO10</w:t>
            </w:r>
          </w:p>
          <w:p w14:paraId="4101BA78" w14:textId="77777777" w:rsidR="00BE36FB" w:rsidRPr="009B7B35" w:rsidRDefault="00BE36FB" w:rsidP="001A7107">
            <w:pPr>
              <w:pStyle w:val="TableText"/>
              <w:rPr>
                <w:rFonts w:cs="Arial"/>
              </w:rPr>
            </w:pPr>
            <w:r w:rsidRPr="009B7B35">
              <w:rPr>
                <w:rFonts w:cs="Arial"/>
              </w:rPr>
              <w:t>Development provides a fine grain mix of smaller tenancies along Goondoon and Tank streets and identified primary frontages to support a range of business, community and enterprise opportunities.</w:t>
            </w:r>
          </w:p>
          <w:p w14:paraId="7A5B5363" w14:textId="77777777" w:rsidR="00BE36FB" w:rsidRPr="009B7B35" w:rsidRDefault="00BE36FB">
            <w:pPr>
              <w:pStyle w:val="Notes"/>
              <w:rPr>
                <w:rFonts w:cs="Arial"/>
                <w:sz w:val="20"/>
                <w:szCs w:val="20"/>
              </w:rPr>
            </w:pPr>
            <w:r w:rsidRPr="009B7B35">
              <w:rPr>
                <w:rFonts w:cs="Arial"/>
                <w:sz w:val="20"/>
                <w:szCs w:val="20"/>
              </w:rPr>
              <w:t>Note—Primary frontages are identified on the Building height and frontages overlay map.</w:t>
            </w:r>
          </w:p>
        </w:tc>
        <w:tc>
          <w:tcPr>
            <w:tcW w:w="4678" w:type="dxa"/>
          </w:tcPr>
          <w:p w14:paraId="1C9AF18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AA0A79E" w14:textId="77777777" w:rsidTr="001A7107">
        <w:tc>
          <w:tcPr>
            <w:tcW w:w="4678" w:type="dxa"/>
          </w:tcPr>
          <w:p w14:paraId="2DE0F596" w14:textId="77777777" w:rsidR="00BE36FB" w:rsidRPr="009B7B35" w:rsidRDefault="00BE36FB" w:rsidP="001A7107">
            <w:pPr>
              <w:pStyle w:val="TableText"/>
              <w:rPr>
                <w:rFonts w:cs="Arial"/>
                <w:b/>
                <w:bCs/>
              </w:rPr>
            </w:pPr>
            <w:r w:rsidRPr="009B7B35">
              <w:rPr>
                <w:rFonts w:cs="Arial"/>
                <w:b/>
                <w:bCs/>
              </w:rPr>
              <w:t>PO11</w:t>
            </w:r>
          </w:p>
          <w:p w14:paraId="2A3A362A" w14:textId="77777777" w:rsidR="00BE36FB" w:rsidRPr="009B7B35" w:rsidRDefault="00BE36FB" w:rsidP="001A7107">
            <w:pPr>
              <w:pStyle w:val="TableText"/>
              <w:rPr>
                <w:rFonts w:cs="Arial"/>
              </w:rPr>
            </w:pPr>
            <w:r w:rsidRPr="009B7B35">
              <w:rPr>
                <w:rFonts w:cs="Arial"/>
              </w:rPr>
              <w:t>Where accommodation activities are proposed, residential density:</w:t>
            </w:r>
          </w:p>
          <w:p w14:paraId="163CA55A" w14:textId="77777777" w:rsidR="00BE36FB" w:rsidRPr="009B7B35" w:rsidRDefault="00BE36FB" w:rsidP="00BE36FB">
            <w:pPr>
              <w:pStyle w:val="TableText"/>
              <w:numPr>
                <w:ilvl w:val="0"/>
                <w:numId w:val="395"/>
              </w:numPr>
              <w:rPr>
                <w:rFonts w:cs="Arial"/>
              </w:rPr>
            </w:pPr>
            <w:r w:rsidRPr="009B7B35">
              <w:rPr>
                <w:rFonts w:cs="Arial"/>
              </w:rPr>
              <w:t>is capable of being supported by local infrastructure and services</w:t>
            </w:r>
          </w:p>
          <w:p w14:paraId="2FA03B19" w14:textId="77777777" w:rsidR="00BE36FB" w:rsidRPr="009B7B35" w:rsidRDefault="00BE36FB" w:rsidP="00BE36FB">
            <w:pPr>
              <w:pStyle w:val="TableText"/>
              <w:numPr>
                <w:ilvl w:val="0"/>
                <w:numId w:val="395"/>
              </w:numPr>
              <w:rPr>
                <w:rFonts w:cs="Arial"/>
              </w:rPr>
            </w:pPr>
            <w:r w:rsidRPr="009B7B35">
              <w:rPr>
                <w:rFonts w:cs="Arial"/>
              </w:rPr>
              <w:t>can be achieved without creating conflict between residential and non–residential uses, and</w:t>
            </w:r>
          </w:p>
          <w:p w14:paraId="3107F9E9" w14:textId="77777777" w:rsidR="00BE36FB" w:rsidRPr="009B7B35" w:rsidRDefault="00BE36FB" w:rsidP="00BE36FB">
            <w:pPr>
              <w:pStyle w:val="TableText"/>
              <w:numPr>
                <w:ilvl w:val="0"/>
                <w:numId w:val="395"/>
              </w:numPr>
              <w:rPr>
                <w:rFonts w:cs="Arial"/>
              </w:rPr>
            </w:pPr>
            <w:r w:rsidRPr="009B7B35">
              <w:rPr>
                <w:rFonts w:cs="Arial"/>
              </w:rPr>
              <w:t>supports a concentrated residential population in proximity to local active and public transport networks.</w:t>
            </w:r>
          </w:p>
        </w:tc>
        <w:tc>
          <w:tcPr>
            <w:tcW w:w="4678" w:type="dxa"/>
          </w:tcPr>
          <w:p w14:paraId="1A0B3298"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F15685F" w14:textId="77777777" w:rsidTr="001A7107">
        <w:trPr>
          <w:cantSplit/>
        </w:trPr>
        <w:tc>
          <w:tcPr>
            <w:tcW w:w="9356" w:type="dxa"/>
            <w:gridSpan w:val="2"/>
            <w:shd w:val="clear" w:color="auto" w:fill="BFBFBF" w:themeFill="background1" w:themeFillShade="BF"/>
          </w:tcPr>
          <w:p w14:paraId="404B2D4B" w14:textId="77777777" w:rsidR="00BE36FB" w:rsidRPr="009B7B35" w:rsidRDefault="00BE36FB" w:rsidP="001A7107">
            <w:pPr>
              <w:pStyle w:val="Tableheading"/>
              <w:rPr>
                <w:rFonts w:ascii="Arial" w:hAnsi="Arial" w:cs="Arial"/>
                <w:szCs w:val="20"/>
              </w:rPr>
            </w:pPr>
            <w:r w:rsidRPr="009B7B35">
              <w:rPr>
                <w:rFonts w:ascii="Arial" w:hAnsi="Arial" w:cs="Arial"/>
                <w:szCs w:val="20"/>
              </w:rPr>
              <w:t>Building design and appearance</w:t>
            </w:r>
          </w:p>
        </w:tc>
      </w:tr>
      <w:tr w:rsidR="00BE36FB" w:rsidRPr="009B7B35" w14:paraId="655E5D15" w14:textId="77777777" w:rsidTr="001A7107">
        <w:trPr>
          <w:cantSplit/>
        </w:trPr>
        <w:tc>
          <w:tcPr>
            <w:tcW w:w="4678" w:type="dxa"/>
          </w:tcPr>
          <w:p w14:paraId="1351BAFD" w14:textId="77777777" w:rsidR="00BE36FB" w:rsidRPr="009B7B35" w:rsidRDefault="00BE36FB" w:rsidP="001A7107">
            <w:pPr>
              <w:pStyle w:val="TableText"/>
              <w:rPr>
                <w:rFonts w:cs="Arial"/>
                <w:b/>
                <w:bCs/>
              </w:rPr>
            </w:pPr>
            <w:r w:rsidRPr="009B7B35">
              <w:rPr>
                <w:rFonts w:cs="Arial"/>
                <w:b/>
                <w:bCs/>
              </w:rPr>
              <w:t>PO12</w:t>
            </w:r>
          </w:p>
          <w:p w14:paraId="417F3169" w14:textId="77777777" w:rsidR="00BE36FB" w:rsidRPr="009B7B35" w:rsidRDefault="00BE36FB" w:rsidP="001A7107">
            <w:pPr>
              <w:pStyle w:val="TableText"/>
              <w:rPr>
                <w:rFonts w:cs="Arial"/>
              </w:rPr>
            </w:pPr>
            <w:r w:rsidRPr="009B7B35">
              <w:rPr>
                <w:rFonts w:cs="Arial"/>
              </w:rPr>
              <w:t xml:space="preserve">Buildings are designed to: </w:t>
            </w:r>
          </w:p>
          <w:p w14:paraId="47975725" w14:textId="77777777" w:rsidR="00BE36FB" w:rsidRPr="009B7B35" w:rsidRDefault="00BE36FB" w:rsidP="00BE36FB">
            <w:pPr>
              <w:pStyle w:val="TableText"/>
              <w:numPr>
                <w:ilvl w:val="0"/>
                <w:numId w:val="394"/>
              </w:numPr>
              <w:rPr>
                <w:rFonts w:cs="Arial"/>
              </w:rPr>
            </w:pPr>
            <w:r w:rsidRPr="009B7B35">
              <w:rPr>
                <w:rFonts w:cs="Arial"/>
              </w:rPr>
              <w:t>respect and complement the existing character of the area</w:t>
            </w:r>
          </w:p>
          <w:p w14:paraId="13F703A8" w14:textId="77777777" w:rsidR="00BE36FB" w:rsidRPr="009B7B35" w:rsidRDefault="00BE36FB" w:rsidP="00BE36FB">
            <w:pPr>
              <w:pStyle w:val="TableText"/>
              <w:numPr>
                <w:ilvl w:val="0"/>
                <w:numId w:val="394"/>
              </w:numPr>
              <w:rPr>
                <w:rFonts w:cs="Arial"/>
              </w:rPr>
            </w:pPr>
            <w:r w:rsidRPr="009B7B35">
              <w:rPr>
                <w:rFonts w:cs="Arial"/>
              </w:rPr>
              <w:t>maintain an appropriate human scale which is open and readily accessible from the street</w:t>
            </w:r>
          </w:p>
          <w:p w14:paraId="0653F603" w14:textId="77777777" w:rsidR="00BE36FB" w:rsidRPr="009B7B35" w:rsidRDefault="00BE36FB" w:rsidP="00BE36FB">
            <w:pPr>
              <w:pStyle w:val="TableText"/>
              <w:numPr>
                <w:ilvl w:val="0"/>
                <w:numId w:val="394"/>
              </w:numPr>
              <w:rPr>
                <w:rFonts w:cs="Arial"/>
              </w:rPr>
            </w:pPr>
            <w:r w:rsidRPr="009B7B35">
              <w:rPr>
                <w:rFonts w:cs="Arial"/>
              </w:rPr>
              <w:t>minimise the use of highly reflective materials, and</w:t>
            </w:r>
          </w:p>
          <w:p w14:paraId="5E118A7C" w14:textId="77777777" w:rsidR="00BE36FB" w:rsidRPr="009B7B35" w:rsidRDefault="00BE36FB" w:rsidP="00BE36FB">
            <w:pPr>
              <w:pStyle w:val="TableText"/>
              <w:numPr>
                <w:ilvl w:val="0"/>
                <w:numId w:val="394"/>
              </w:numPr>
              <w:rPr>
                <w:rFonts w:cs="Arial"/>
              </w:rPr>
            </w:pPr>
            <w:r w:rsidRPr="009B7B35">
              <w:rPr>
                <w:rFonts w:cs="Arial"/>
              </w:rPr>
              <w:t>respond to climatic conditions.</w:t>
            </w:r>
          </w:p>
        </w:tc>
        <w:tc>
          <w:tcPr>
            <w:tcW w:w="4678" w:type="dxa"/>
          </w:tcPr>
          <w:p w14:paraId="61FA9621"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EA59714" w14:textId="77777777" w:rsidTr="001A7107">
        <w:trPr>
          <w:cantSplit/>
        </w:trPr>
        <w:tc>
          <w:tcPr>
            <w:tcW w:w="4678" w:type="dxa"/>
          </w:tcPr>
          <w:p w14:paraId="7025DA73" w14:textId="77777777" w:rsidR="00BE36FB" w:rsidRPr="009B7B35" w:rsidRDefault="00BE36FB" w:rsidP="001A7107">
            <w:pPr>
              <w:pStyle w:val="TableText"/>
              <w:rPr>
                <w:rFonts w:cs="Arial"/>
                <w:b/>
                <w:bCs/>
              </w:rPr>
            </w:pPr>
            <w:r w:rsidRPr="009B7B35">
              <w:rPr>
                <w:rFonts w:cs="Arial"/>
                <w:b/>
                <w:bCs/>
              </w:rPr>
              <w:t>PO13</w:t>
            </w:r>
          </w:p>
          <w:p w14:paraId="773A5639" w14:textId="77777777" w:rsidR="00BE36FB" w:rsidRPr="009B7B35" w:rsidRDefault="00BE36FB" w:rsidP="001A7107">
            <w:pPr>
              <w:pStyle w:val="TableText"/>
              <w:rPr>
                <w:rFonts w:cs="Arial"/>
              </w:rPr>
            </w:pPr>
            <w:r w:rsidRPr="009B7B35">
              <w:rPr>
                <w:rFonts w:cs="Arial"/>
              </w:rPr>
              <w:t>Design elements contribute to an interesting and attractive building through:</w:t>
            </w:r>
          </w:p>
          <w:p w14:paraId="140AD101" w14:textId="77777777" w:rsidR="00BE36FB" w:rsidRPr="009B7B35" w:rsidRDefault="00BE36FB" w:rsidP="00BE36FB">
            <w:pPr>
              <w:pStyle w:val="TableText"/>
              <w:numPr>
                <w:ilvl w:val="0"/>
                <w:numId w:val="393"/>
              </w:numPr>
              <w:rPr>
                <w:rFonts w:cs="Arial"/>
              </w:rPr>
            </w:pPr>
            <w:r w:rsidRPr="009B7B35">
              <w:rPr>
                <w:rFonts w:cs="Arial"/>
              </w:rPr>
              <w:t>variations in materials and building form to enable articulation of facades and differentiation between buildings</w:t>
            </w:r>
          </w:p>
          <w:p w14:paraId="7E00D66C" w14:textId="77777777" w:rsidR="00BE36FB" w:rsidRPr="009B7B35" w:rsidRDefault="00BE36FB" w:rsidP="00BE36FB">
            <w:pPr>
              <w:pStyle w:val="TableText"/>
              <w:numPr>
                <w:ilvl w:val="0"/>
                <w:numId w:val="393"/>
              </w:numPr>
              <w:rPr>
                <w:rFonts w:cs="Arial"/>
              </w:rPr>
            </w:pPr>
            <w:r w:rsidRPr="009B7B35">
              <w:rPr>
                <w:rFonts w:cs="Arial"/>
              </w:rPr>
              <w:t>modulation in the façade, horizontally or vertically</w:t>
            </w:r>
          </w:p>
          <w:p w14:paraId="012EDCE2" w14:textId="77777777" w:rsidR="00BE36FB" w:rsidRPr="009B7B35" w:rsidRDefault="00BE36FB" w:rsidP="00BE36FB">
            <w:pPr>
              <w:pStyle w:val="TableText"/>
              <w:numPr>
                <w:ilvl w:val="0"/>
                <w:numId w:val="393"/>
              </w:numPr>
              <w:rPr>
                <w:rFonts w:cs="Arial"/>
              </w:rPr>
            </w:pPr>
            <w:r w:rsidRPr="009B7B35">
              <w:rPr>
                <w:rFonts w:cs="Arial"/>
              </w:rPr>
              <w:t>articulation of building entrances and openings</w:t>
            </w:r>
          </w:p>
          <w:p w14:paraId="7DDC7016" w14:textId="77777777" w:rsidR="00BE36FB" w:rsidRPr="009B7B35" w:rsidRDefault="00BE36FB" w:rsidP="00BE36FB">
            <w:pPr>
              <w:pStyle w:val="TableText"/>
              <w:numPr>
                <w:ilvl w:val="0"/>
                <w:numId w:val="393"/>
              </w:numPr>
              <w:rPr>
                <w:rFonts w:cs="Arial"/>
              </w:rPr>
            </w:pPr>
            <w:r w:rsidRPr="009B7B35">
              <w:rPr>
                <w:rFonts w:cs="Arial"/>
              </w:rPr>
              <w:t>corner treatments to address both street frontages, and</w:t>
            </w:r>
          </w:p>
          <w:p w14:paraId="0CC4FFB9" w14:textId="77777777" w:rsidR="00BE36FB" w:rsidRPr="009B7B35" w:rsidRDefault="00BE36FB" w:rsidP="00BE36FB">
            <w:pPr>
              <w:pStyle w:val="TableText"/>
              <w:numPr>
                <w:ilvl w:val="0"/>
                <w:numId w:val="393"/>
              </w:numPr>
              <w:rPr>
                <w:rFonts w:cs="Arial"/>
              </w:rPr>
            </w:pPr>
            <w:r w:rsidRPr="009B7B35">
              <w:rPr>
                <w:rFonts w:cs="Arial"/>
              </w:rPr>
              <w:t>elements which assist in wayfinding and legibility.</w:t>
            </w:r>
          </w:p>
        </w:tc>
        <w:tc>
          <w:tcPr>
            <w:tcW w:w="4678" w:type="dxa"/>
          </w:tcPr>
          <w:p w14:paraId="7C93014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2DE7064" w14:textId="77777777" w:rsidTr="001A7107">
        <w:tc>
          <w:tcPr>
            <w:tcW w:w="4678" w:type="dxa"/>
          </w:tcPr>
          <w:p w14:paraId="21A1A56C" w14:textId="77777777" w:rsidR="00BE36FB" w:rsidRPr="009B7B35" w:rsidRDefault="00BE36FB" w:rsidP="001A7107">
            <w:pPr>
              <w:pStyle w:val="TableText"/>
              <w:rPr>
                <w:rFonts w:cs="Arial"/>
                <w:b/>
                <w:bCs/>
              </w:rPr>
            </w:pPr>
            <w:r w:rsidRPr="009B7B35">
              <w:rPr>
                <w:rFonts w:cs="Arial"/>
                <w:b/>
                <w:bCs/>
              </w:rPr>
              <w:t>PO14</w:t>
            </w:r>
          </w:p>
          <w:p w14:paraId="5153DAD4" w14:textId="77777777" w:rsidR="00BE36FB" w:rsidRPr="009B7B35" w:rsidRDefault="00BE36FB" w:rsidP="001A7107">
            <w:pPr>
              <w:pStyle w:val="TableText"/>
              <w:rPr>
                <w:rFonts w:cs="Arial"/>
              </w:rPr>
            </w:pPr>
            <w:r w:rsidRPr="009B7B35">
              <w:rPr>
                <w:rFonts w:cs="Arial"/>
              </w:rPr>
              <w:t>Building caps and rooftops contribute to the architectural distinction of the building, and effectively screen service structures, lift over–runs, plant and equipment.</w:t>
            </w:r>
          </w:p>
        </w:tc>
        <w:tc>
          <w:tcPr>
            <w:tcW w:w="4678" w:type="dxa"/>
          </w:tcPr>
          <w:p w14:paraId="18FED281"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843A08B" w14:textId="77777777" w:rsidTr="001A7107">
        <w:tc>
          <w:tcPr>
            <w:tcW w:w="4678" w:type="dxa"/>
          </w:tcPr>
          <w:p w14:paraId="2A8A516B" w14:textId="77777777" w:rsidR="00BE36FB" w:rsidRPr="009B7B35" w:rsidRDefault="00BE36FB" w:rsidP="001A7107">
            <w:pPr>
              <w:pStyle w:val="TableText"/>
              <w:rPr>
                <w:rFonts w:cs="Arial"/>
                <w:b/>
                <w:bCs/>
              </w:rPr>
            </w:pPr>
            <w:r w:rsidRPr="009B7B35">
              <w:rPr>
                <w:rFonts w:cs="Arial"/>
                <w:b/>
                <w:bCs/>
              </w:rPr>
              <w:t>PO15</w:t>
            </w:r>
          </w:p>
          <w:p w14:paraId="17624C58" w14:textId="77777777" w:rsidR="00BE36FB" w:rsidRPr="009B7B35" w:rsidRDefault="00BE36FB" w:rsidP="001A7107">
            <w:pPr>
              <w:pStyle w:val="TableText"/>
              <w:rPr>
                <w:rFonts w:cs="Arial"/>
              </w:rPr>
            </w:pPr>
            <w:r w:rsidRPr="009B7B35">
              <w:rPr>
                <w:rFonts w:cs="Arial"/>
              </w:rPr>
              <w:t>Development is designed to facilitate the safety and security of people and property having regard to:</w:t>
            </w:r>
          </w:p>
          <w:p w14:paraId="3117879D" w14:textId="77777777" w:rsidR="00BE36FB" w:rsidRPr="009B7B35" w:rsidRDefault="00BE36FB" w:rsidP="00BE36FB">
            <w:pPr>
              <w:pStyle w:val="TableText"/>
              <w:numPr>
                <w:ilvl w:val="0"/>
                <w:numId w:val="142"/>
              </w:numPr>
              <w:rPr>
                <w:rFonts w:cs="Arial"/>
              </w:rPr>
            </w:pPr>
            <w:r w:rsidRPr="009B7B35">
              <w:rPr>
                <w:rFonts w:cs="Arial"/>
              </w:rPr>
              <w:t xml:space="preserve">maximising casual surveillance and sight lines </w:t>
            </w:r>
          </w:p>
          <w:p w14:paraId="6EBA5BFD" w14:textId="77777777" w:rsidR="00BE36FB" w:rsidRPr="009B7B35" w:rsidRDefault="00BE36FB" w:rsidP="00BE36FB">
            <w:pPr>
              <w:pStyle w:val="TableText"/>
              <w:numPr>
                <w:ilvl w:val="0"/>
                <w:numId w:val="142"/>
              </w:numPr>
              <w:rPr>
                <w:rFonts w:cs="Arial"/>
              </w:rPr>
            </w:pPr>
            <w:r w:rsidRPr="009B7B35">
              <w:rPr>
                <w:rFonts w:cs="Arial"/>
              </w:rPr>
              <w:t>exterior building design that promotes safety</w:t>
            </w:r>
          </w:p>
          <w:p w14:paraId="7E67DD76" w14:textId="77777777" w:rsidR="00BE36FB" w:rsidRPr="009B7B35" w:rsidRDefault="00BE36FB" w:rsidP="00BE36FB">
            <w:pPr>
              <w:pStyle w:val="TableText"/>
              <w:numPr>
                <w:ilvl w:val="0"/>
                <w:numId w:val="142"/>
              </w:numPr>
              <w:rPr>
                <w:rFonts w:cs="Arial"/>
              </w:rPr>
            </w:pPr>
            <w:r w:rsidRPr="009B7B35">
              <w:rPr>
                <w:rFonts w:cs="Arial"/>
              </w:rPr>
              <w:t>adequate lighting</w:t>
            </w:r>
          </w:p>
          <w:p w14:paraId="71A7EF13" w14:textId="77777777" w:rsidR="00BE36FB" w:rsidRPr="009B7B35" w:rsidRDefault="00BE36FB" w:rsidP="00BE36FB">
            <w:pPr>
              <w:pStyle w:val="TableText"/>
              <w:numPr>
                <w:ilvl w:val="0"/>
                <w:numId w:val="142"/>
              </w:numPr>
              <w:rPr>
                <w:rFonts w:cs="Arial"/>
              </w:rPr>
            </w:pPr>
            <w:r w:rsidRPr="009B7B35">
              <w:rPr>
                <w:rFonts w:cs="Arial"/>
              </w:rPr>
              <w:t>appropriate signage and wayfinding</w:t>
            </w:r>
          </w:p>
          <w:p w14:paraId="528BABCE" w14:textId="77777777" w:rsidR="00BE36FB" w:rsidRPr="009B7B35" w:rsidRDefault="00BE36FB" w:rsidP="00BE36FB">
            <w:pPr>
              <w:pStyle w:val="TableText"/>
              <w:numPr>
                <w:ilvl w:val="0"/>
                <w:numId w:val="142"/>
              </w:numPr>
              <w:rPr>
                <w:rFonts w:cs="Arial"/>
              </w:rPr>
            </w:pPr>
            <w:r w:rsidRPr="009B7B35">
              <w:rPr>
                <w:rFonts w:cs="Arial"/>
              </w:rPr>
              <w:t>minimisation of personal concealment and entrapment locations, and</w:t>
            </w:r>
          </w:p>
          <w:p w14:paraId="534ADA12" w14:textId="77777777" w:rsidR="00BE36FB" w:rsidRPr="009B7B35" w:rsidRDefault="00BE36FB" w:rsidP="00BE36FB">
            <w:pPr>
              <w:pStyle w:val="TableText"/>
              <w:numPr>
                <w:ilvl w:val="0"/>
                <w:numId w:val="142"/>
              </w:numPr>
              <w:rPr>
                <w:rFonts w:cs="Arial"/>
              </w:rPr>
            </w:pPr>
            <w:r w:rsidRPr="009B7B35">
              <w:rPr>
                <w:rFonts w:cs="Arial"/>
              </w:rPr>
              <w:t>building entrances, parking, loading and storage areas that are well lit and have clearly defined access points.</w:t>
            </w:r>
          </w:p>
          <w:p w14:paraId="799CD561" w14:textId="77777777" w:rsidR="00BE36FB" w:rsidRPr="009B7B35" w:rsidRDefault="00BE36FB" w:rsidP="001A7107">
            <w:pPr>
              <w:pStyle w:val="Notes"/>
              <w:rPr>
                <w:rFonts w:cs="Arial"/>
                <w:sz w:val="20"/>
                <w:szCs w:val="20"/>
              </w:rPr>
            </w:pPr>
            <w:r w:rsidRPr="009B7B35">
              <w:rPr>
                <w:rFonts w:cs="Arial"/>
                <w:sz w:val="20"/>
                <w:szCs w:val="20"/>
              </w:rPr>
              <w:t xml:space="preserve">Note—Applicants should have regard to </w:t>
            </w:r>
            <w:hyperlink r:id="rId77" w:tgtFrame="_blank" w:tooltip="Crime Prevention through Environmental Design Guidelines for Queensland" w:history="1">
              <w:r w:rsidRPr="009B7B35">
                <w:rPr>
                  <w:rStyle w:val="Hyperlink"/>
                  <w:rFonts w:cs="Arial"/>
                  <w:sz w:val="20"/>
                  <w:szCs w:val="20"/>
                </w:rPr>
                <w:t>Crime Prevention through Environmental Design Guidelines for Queensland</w:t>
              </w:r>
            </w:hyperlink>
            <w:r w:rsidRPr="009B7B35">
              <w:rPr>
                <w:rFonts w:cs="Arial"/>
                <w:sz w:val="20"/>
                <w:szCs w:val="20"/>
              </w:rPr>
              <w:t>.</w:t>
            </w:r>
          </w:p>
        </w:tc>
        <w:tc>
          <w:tcPr>
            <w:tcW w:w="4678" w:type="dxa"/>
          </w:tcPr>
          <w:p w14:paraId="10B2D936"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FAD730F" w14:textId="77777777" w:rsidTr="001A7107">
        <w:trPr>
          <w:cantSplit/>
        </w:trPr>
        <w:tc>
          <w:tcPr>
            <w:tcW w:w="9356" w:type="dxa"/>
            <w:gridSpan w:val="2"/>
            <w:shd w:val="clear" w:color="auto" w:fill="BFBFBF" w:themeFill="background1" w:themeFillShade="BF"/>
          </w:tcPr>
          <w:p w14:paraId="1572C99E" w14:textId="77777777" w:rsidR="00BE36FB" w:rsidRPr="009B7B35" w:rsidRDefault="00BE36FB" w:rsidP="001A7107">
            <w:pPr>
              <w:pStyle w:val="Tableheading"/>
              <w:rPr>
                <w:rFonts w:ascii="Arial" w:hAnsi="Arial" w:cs="Arial"/>
                <w:szCs w:val="20"/>
              </w:rPr>
            </w:pPr>
            <w:r w:rsidRPr="009B7B35">
              <w:rPr>
                <w:rFonts w:ascii="Arial" w:hAnsi="Arial" w:cs="Arial"/>
                <w:szCs w:val="20"/>
              </w:rPr>
              <w:t>Street interface</w:t>
            </w:r>
          </w:p>
        </w:tc>
      </w:tr>
      <w:tr w:rsidR="00BE36FB" w:rsidRPr="009B7B35" w14:paraId="015A95F0" w14:textId="77777777" w:rsidTr="001A7107">
        <w:trPr>
          <w:cantSplit/>
        </w:trPr>
        <w:tc>
          <w:tcPr>
            <w:tcW w:w="4678" w:type="dxa"/>
          </w:tcPr>
          <w:p w14:paraId="6C23FD48" w14:textId="77777777" w:rsidR="00BE36FB" w:rsidRPr="009B7B35" w:rsidRDefault="00BE36FB" w:rsidP="001A7107">
            <w:pPr>
              <w:pStyle w:val="TableText"/>
              <w:rPr>
                <w:rFonts w:cs="Arial"/>
                <w:b/>
                <w:bCs/>
              </w:rPr>
            </w:pPr>
            <w:r w:rsidRPr="009B7B35">
              <w:rPr>
                <w:rFonts w:cs="Arial"/>
                <w:b/>
                <w:bCs/>
              </w:rPr>
              <w:t>PO16</w:t>
            </w:r>
          </w:p>
          <w:p w14:paraId="3BB8B6A8" w14:textId="77777777" w:rsidR="00BE36FB" w:rsidRPr="009B7B35" w:rsidRDefault="00BE36FB" w:rsidP="001A7107">
            <w:pPr>
              <w:pStyle w:val="TableText"/>
              <w:rPr>
                <w:rFonts w:cs="Arial"/>
              </w:rPr>
            </w:pPr>
            <w:r w:rsidRPr="009B7B35">
              <w:rPr>
                <w:rFonts w:cs="Arial"/>
              </w:rPr>
              <w:t>Development is oriented to address all street frontages, public open space and public areas to:</w:t>
            </w:r>
          </w:p>
          <w:p w14:paraId="38441C7B" w14:textId="77777777" w:rsidR="00BE36FB" w:rsidRPr="009B7B35" w:rsidRDefault="00BE36FB" w:rsidP="00BE36FB">
            <w:pPr>
              <w:pStyle w:val="TableText"/>
              <w:numPr>
                <w:ilvl w:val="0"/>
                <w:numId w:val="392"/>
              </w:numPr>
              <w:ind w:left="510" w:hanging="510"/>
              <w:rPr>
                <w:rFonts w:cs="Arial"/>
              </w:rPr>
            </w:pPr>
            <w:r w:rsidRPr="009B7B35">
              <w:rPr>
                <w:rFonts w:cs="Arial"/>
              </w:rPr>
              <w:t>promote interaction and casual surveillance</w:t>
            </w:r>
          </w:p>
          <w:p w14:paraId="28055F2B" w14:textId="77777777" w:rsidR="00BE36FB" w:rsidRPr="009B7B35" w:rsidRDefault="00BE36FB" w:rsidP="00BE36FB">
            <w:pPr>
              <w:pStyle w:val="TableText"/>
              <w:numPr>
                <w:ilvl w:val="0"/>
                <w:numId w:val="392"/>
              </w:numPr>
              <w:ind w:left="510" w:hanging="510"/>
              <w:rPr>
                <w:rFonts w:cs="Arial"/>
              </w:rPr>
            </w:pPr>
            <w:r w:rsidRPr="009B7B35">
              <w:rPr>
                <w:rFonts w:cs="Arial"/>
              </w:rPr>
              <w:t>concentrate and reinforce pedestrian activity</w:t>
            </w:r>
          </w:p>
          <w:p w14:paraId="7120CF35" w14:textId="77777777" w:rsidR="00BE36FB" w:rsidRPr="009B7B35" w:rsidRDefault="00BE36FB" w:rsidP="00BE36FB">
            <w:pPr>
              <w:pStyle w:val="TableText"/>
              <w:numPr>
                <w:ilvl w:val="0"/>
                <w:numId w:val="392"/>
              </w:numPr>
              <w:ind w:left="510" w:hanging="510"/>
              <w:rPr>
                <w:rFonts w:cs="Arial"/>
              </w:rPr>
            </w:pPr>
            <w:r w:rsidRPr="009B7B35">
              <w:rPr>
                <w:rFonts w:cs="Arial"/>
              </w:rPr>
              <w:t>avoid opaque facades to provide visual interest to the frontage, and</w:t>
            </w:r>
          </w:p>
          <w:p w14:paraId="12BA1540" w14:textId="77777777" w:rsidR="00BE36FB" w:rsidRPr="009B7B35" w:rsidRDefault="00BE36FB" w:rsidP="00BE36FB">
            <w:pPr>
              <w:pStyle w:val="TableText"/>
              <w:numPr>
                <w:ilvl w:val="0"/>
                <w:numId w:val="392"/>
              </w:numPr>
              <w:ind w:left="510" w:hanging="510"/>
              <w:rPr>
                <w:rFonts w:cs="Arial"/>
              </w:rPr>
            </w:pPr>
            <w:r w:rsidRPr="009B7B35">
              <w:rPr>
                <w:rFonts w:cs="Arial"/>
              </w:rPr>
              <w:t>clearly define the public and private realm.</w:t>
            </w:r>
          </w:p>
        </w:tc>
        <w:tc>
          <w:tcPr>
            <w:tcW w:w="4678" w:type="dxa"/>
          </w:tcPr>
          <w:p w14:paraId="07CDE86F"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6C79451" w14:textId="77777777" w:rsidTr="001A7107">
        <w:trPr>
          <w:cantSplit/>
        </w:trPr>
        <w:tc>
          <w:tcPr>
            <w:tcW w:w="4678" w:type="dxa"/>
          </w:tcPr>
          <w:p w14:paraId="0B36C0BA" w14:textId="77777777" w:rsidR="00BE36FB" w:rsidRPr="009B7B35" w:rsidRDefault="00BE36FB" w:rsidP="001A7107">
            <w:pPr>
              <w:pStyle w:val="TableText"/>
              <w:rPr>
                <w:rFonts w:cs="Arial"/>
                <w:b/>
                <w:bCs/>
              </w:rPr>
            </w:pPr>
            <w:r w:rsidRPr="009B7B35">
              <w:rPr>
                <w:rFonts w:cs="Arial"/>
                <w:b/>
                <w:bCs/>
              </w:rPr>
              <w:t>PO17</w:t>
            </w:r>
          </w:p>
          <w:p w14:paraId="4E8C5D50" w14:textId="77777777" w:rsidR="00BE36FB" w:rsidRPr="009B7B35" w:rsidRDefault="00BE36FB" w:rsidP="001A7107">
            <w:pPr>
              <w:pStyle w:val="TableText"/>
              <w:rPr>
                <w:rFonts w:cs="Arial"/>
              </w:rPr>
            </w:pPr>
            <w:r w:rsidRPr="009B7B35">
              <w:rPr>
                <w:rFonts w:cs="Arial"/>
              </w:rPr>
              <w:t>Buildings and pedestrian entries:</w:t>
            </w:r>
          </w:p>
          <w:p w14:paraId="79E49ED0" w14:textId="77777777" w:rsidR="00BE36FB" w:rsidRPr="009B7B35" w:rsidRDefault="00BE36FB" w:rsidP="00BE36FB">
            <w:pPr>
              <w:pStyle w:val="TableText"/>
              <w:numPr>
                <w:ilvl w:val="0"/>
                <w:numId w:val="391"/>
              </w:numPr>
              <w:rPr>
                <w:rFonts w:cs="Arial"/>
              </w:rPr>
            </w:pPr>
            <w:r w:rsidRPr="009B7B35">
              <w:rPr>
                <w:rFonts w:cs="Arial"/>
              </w:rPr>
              <w:t>are visible from the street and car parking areas</w:t>
            </w:r>
          </w:p>
          <w:p w14:paraId="52AD8480" w14:textId="77777777" w:rsidR="00BE36FB" w:rsidRPr="009B7B35" w:rsidRDefault="00BE36FB" w:rsidP="00BE36FB">
            <w:pPr>
              <w:pStyle w:val="TableText"/>
              <w:numPr>
                <w:ilvl w:val="0"/>
                <w:numId w:val="391"/>
              </w:numPr>
              <w:rPr>
                <w:rFonts w:cs="Arial"/>
              </w:rPr>
            </w:pPr>
            <w:r w:rsidRPr="009B7B35">
              <w:rPr>
                <w:rFonts w:cs="Arial"/>
              </w:rPr>
              <w:t>incorporate sun and rain shelter such as overhangs, and</w:t>
            </w:r>
          </w:p>
          <w:p w14:paraId="65C114EA" w14:textId="77777777" w:rsidR="00BE36FB" w:rsidRPr="009B7B35" w:rsidRDefault="00BE36FB" w:rsidP="00BE36FB">
            <w:pPr>
              <w:pStyle w:val="TableText"/>
              <w:numPr>
                <w:ilvl w:val="0"/>
                <w:numId w:val="391"/>
              </w:numPr>
              <w:rPr>
                <w:rFonts w:cs="Arial"/>
              </w:rPr>
            </w:pPr>
            <w:r w:rsidRPr="009B7B35">
              <w:rPr>
                <w:rFonts w:cs="Arial"/>
              </w:rPr>
              <w:t>are defined by design elements (such as doors and landscaping, etc).</w:t>
            </w:r>
          </w:p>
        </w:tc>
        <w:tc>
          <w:tcPr>
            <w:tcW w:w="4678" w:type="dxa"/>
          </w:tcPr>
          <w:p w14:paraId="3B4C3CD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87B8F68" w14:textId="77777777" w:rsidTr="001A7107">
        <w:trPr>
          <w:cantSplit/>
        </w:trPr>
        <w:tc>
          <w:tcPr>
            <w:tcW w:w="4678" w:type="dxa"/>
          </w:tcPr>
          <w:p w14:paraId="6191E3CE" w14:textId="77777777" w:rsidR="00BE36FB" w:rsidRPr="009B7B35" w:rsidRDefault="00BE36FB" w:rsidP="001A7107">
            <w:pPr>
              <w:pStyle w:val="TableText"/>
              <w:rPr>
                <w:rFonts w:cs="Arial"/>
                <w:b/>
                <w:bCs/>
              </w:rPr>
            </w:pPr>
            <w:r w:rsidRPr="009B7B35">
              <w:rPr>
                <w:rFonts w:cs="Arial"/>
                <w:b/>
                <w:bCs/>
              </w:rPr>
              <w:t>PO18</w:t>
            </w:r>
          </w:p>
          <w:p w14:paraId="34DD43C2" w14:textId="77777777" w:rsidR="00BE36FB" w:rsidRPr="009B7B35" w:rsidRDefault="00BE36FB" w:rsidP="001A7107">
            <w:pPr>
              <w:pStyle w:val="TableText"/>
              <w:rPr>
                <w:rFonts w:cs="Arial"/>
              </w:rPr>
            </w:pPr>
            <w:r w:rsidRPr="009B7B35">
              <w:rPr>
                <w:rFonts w:cs="Arial"/>
              </w:rPr>
              <w:t>Ground floor spaces are designed to enable the flexible reuse of non–residential floor area to support changing community and business needs.</w:t>
            </w:r>
          </w:p>
        </w:tc>
        <w:tc>
          <w:tcPr>
            <w:tcW w:w="4678" w:type="dxa"/>
          </w:tcPr>
          <w:p w14:paraId="277D2EDD"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FB6638F" w14:textId="77777777" w:rsidTr="001A7107">
        <w:trPr>
          <w:cantSplit/>
        </w:trPr>
        <w:tc>
          <w:tcPr>
            <w:tcW w:w="4678" w:type="dxa"/>
          </w:tcPr>
          <w:p w14:paraId="07394853" w14:textId="77777777" w:rsidR="00BE36FB" w:rsidRPr="009B7B35" w:rsidRDefault="00BE36FB" w:rsidP="001A7107">
            <w:pPr>
              <w:pStyle w:val="TableText"/>
              <w:rPr>
                <w:rFonts w:cs="Arial"/>
                <w:b/>
                <w:bCs/>
              </w:rPr>
            </w:pPr>
            <w:r w:rsidRPr="009B7B35">
              <w:rPr>
                <w:rFonts w:cs="Arial"/>
                <w:b/>
                <w:bCs/>
              </w:rPr>
              <w:t>PO19</w:t>
            </w:r>
          </w:p>
          <w:p w14:paraId="3B984CD4" w14:textId="77777777" w:rsidR="00BE36FB" w:rsidRPr="009B7B35" w:rsidRDefault="00BE36FB" w:rsidP="001A7107">
            <w:pPr>
              <w:pStyle w:val="TableText"/>
              <w:rPr>
                <w:rFonts w:cs="Arial"/>
              </w:rPr>
            </w:pPr>
            <w:r w:rsidRPr="009B7B35">
              <w:rPr>
                <w:rFonts w:cs="Arial"/>
              </w:rPr>
              <w:t>Buildings include windows and openings to:</w:t>
            </w:r>
          </w:p>
          <w:p w14:paraId="5CC82F17" w14:textId="77777777" w:rsidR="00BE36FB" w:rsidRPr="009B7B35" w:rsidRDefault="00BE36FB" w:rsidP="00BE36FB">
            <w:pPr>
              <w:pStyle w:val="TableText"/>
              <w:numPr>
                <w:ilvl w:val="0"/>
                <w:numId w:val="390"/>
              </w:numPr>
              <w:ind w:left="510" w:hanging="510"/>
              <w:rPr>
                <w:rFonts w:cs="Arial"/>
              </w:rPr>
            </w:pPr>
            <w:r w:rsidRPr="009B7B35">
              <w:rPr>
                <w:rFonts w:cs="Arial"/>
              </w:rPr>
              <w:t>promote street life and business activities</w:t>
            </w:r>
          </w:p>
          <w:p w14:paraId="06C3698A" w14:textId="77777777" w:rsidR="00BE36FB" w:rsidRPr="009B7B35" w:rsidRDefault="00BE36FB" w:rsidP="00BE36FB">
            <w:pPr>
              <w:pStyle w:val="TableText"/>
              <w:numPr>
                <w:ilvl w:val="0"/>
                <w:numId w:val="390"/>
              </w:numPr>
              <w:ind w:left="510" w:hanging="510"/>
              <w:rPr>
                <w:rFonts w:cs="Arial"/>
              </w:rPr>
            </w:pPr>
            <w:r w:rsidRPr="009B7B35">
              <w:rPr>
                <w:rFonts w:cs="Arial"/>
              </w:rPr>
              <w:t>encourage strong indoor/outdoor relationships at ground level, and</w:t>
            </w:r>
          </w:p>
          <w:p w14:paraId="11B480FE" w14:textId="77777777" w:rsidR="00BE36FB" w:rsidRPr="009B7B35" w:rsidRDefault="00BE36FB" w:rsidP="00BE36FB">
            <w:pPr>
              <w:pStyle w:val="TableText"/>
              <w:numPr>
                <w:ilvl w:val="0"/>
                <w:numId w:val="390"/>
              </w:numPr>
              <w:ind w:left="510" w:hanging="510"/>
              <w:rPr>
                <w:rFonts w:cs="Arial"/>
              </w:rPr>
            </w:pPr>
            <w:r w:rsidRPr="009B7B35">
              <w:rPr>
                <w:rFonts w:cs="Arial"/>
              </w:rPr>
              <w:t>to facilitate casual surveillance.</w:t>
            </w:r>
          </w:p>
        </w:tc>
        <w:tc>
          <w:tcPr>
            <w:tcW w:w="4678" w:type="dxa"/>
          </w:tcPr>
          <w:p w14:paraId="54C54A0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FD2D4F2" w14:textId="77777777" w:rsidTr="001A7107">
        <w:trPr>
          <w:cantSplit/>
        </w:trPr>
        <w:tc>
          <w:tcPr>
            <w:tcW w:w="4678" w:type="dxa"/>
          </w:tcPr>
          <w:p w14:paraId="03163D72" w14:textId="77777777" w:rsidR="00BE36FB" w:rsidRPr="009B7B35" w:rsidRDefault="00BE36FB" w:rsidP="001A7107">
            <w:pPr>
              <w:pStyle w:val="TableText"/>
              <w:rPr>
                <w:rFonts w:cs="Arial"/>
                <w:b/>
                <w:bCs/>
              </w:rPr>
            </w:pPr>
            <w:r w:rsidRPr="009B7B35">
              <w:rPr>
                <w:rFonts w:cs="Arial"/>
                <w:b/>
                <w:bCs/>
              </w:rPr>
              <w:t>PO20</w:t>
            </w:r>
          </w:p>
          <w:p w14:paraId="073FDF63" w14:textId="77777777" w:rsidR="00BE36FB" w:rsidRPr="009B7B35" w:rsidRDefault="00BE36FB" w:rsidP="001A7107">
            <w:pPr>
              <w:pStyle w:val="TableText"/>
              <w:rPr>
                <w:rFonts w:cs="Arial"/>
              </w:rPr>
            </w:pPr>
            <w:r w:rsidRPr="009B7B35">
              <w:rPr>
                <w:rFonts w:cs="Arial"/>
              </w:rPr>
              <w:t xml:space="preserve">Development must ensure safe, convenient and legible connections are provided: </w:t>
            </w:r>
          </w:p>
          <w:p w14:paraId="38698972" w14:textId="77777777" w:rsidR="00BE36FB" w:rsidRPr="009B7B35" w:rsidRDefault="00BE36FB" w:rsidP="00BE36FB">
            <w:pPr>
              <w:pStyle w:val="TableText"/>
              <w:numPr>
                <w:ilvl w:val="0"/>
                <w:numId w:val="182"/>
              </w:numPr>
              <w:rPr>
                <w:rFonts w:cs="Arial"/>
              </w:rPr>
            </w:pPr>
            <w:r w:rsidRPr="009B7B35">
              <w:rPr>
                <w:rFonts w:cs="Arial"/>
              </w:rPr>
              <w:t>for pedestrians and cyclists to, from and within the site</w:t>
            </w:r>
          </w:p>
          <w:p w14:paraId="43CAB8E4" w14:textId="77777777" w:rsidR="00BE36FB" w:rsidRPr="009B7B35" w:rsidRDefault="00BE36FB" w:rsidP="00BE36FB">
            <w:pPr>
              <w:pStyle w:val="TableText"/>
              <w:numPr>
                <w:ilvl w:val="0"/>
                <w:numId w:val="182"/>
              </w:numPr>
              <w:rPr>
                <w:rFonts w:cs="Arial"/>
              </w:rPr>
            </w:pPr>
            <w:r w:rsidRPr="009B7B35">
              <w:rPr>
                <w:rFonts w:cs="Arial"/>
              </w:rPr>
              <w:t>to public transport infrastructure, open space, parkland, public spaces and community–related activities.</w:t>
            </w:r>
          </w:p>
        </w:tc>
        <w:tc>
          <w:tcPr>
            <w:tcW w:w="4678" w:type="dxa"/>
          </w:tcPr>
          <w:p w14:paraId="5323CF41"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358EAEE" w14:textId="77777777" w:rsidTr="001A7107">
        <w:tc>
          <w:tcPr>
            <w:tcW w:w="4678" w:type="dxa"/>
          </w:tcPr>
          <w:p w14:paraId="764003B4" w14:textId="77777777" w:rsidR="00BE36FB" w:rsidRPr="009B7B35" w:rsidRDefault="00BE36FB" w:rsidP="001A7107">
            <w:pPr>
              <w:pStyle w:val="TableText"/>
              <w:rPr>
                <w:rFonts w:cs="Arial"/>
                <w:b/>
                <w:bCs/>
              </w:rPr>
            </w:pPr>
            <w:r w:rsidRPr="009B7B35">
              <w:rPr>
                <w:rFonts w:cs="Arial"/>
                <w:b/>
                <w:bCs/>
              </w:rPr>
              <w:t>PO21</w:t>
            </w:r>
          </w:p>
          <w:p w14:paraId="10DB0EA6" w14:textId="77777777" w:rsidR="00BE36FB" w:rsidRPr="009B7B35" w:rsidRDefault="00BE36FB" w:rsidP="001A7107">
            <w:pPr>
              <w:pStyle w:val="TableText"/>
              <w:rPr>
                <w:rFonts w:cs="Arial"/>
              </w:rPr>
            </w:pPr>
            <w:r w:rsidRPr="009B7B35">
              <w:rPr>
                <w:rFonts w:cs="Arial"/>
              </w:rPr>
              <w:t>Development must contribute towards high quality streetscape outcomes that integrate effectively with intended street types and along key pedestrian and cycle routes.</w:t>
            </w:r>
          </w:p>
        </w:tc>
        <w:tc>
          <w:tcPr>
            <w:tcW w:w="4678" w:type="dxa"/>
          </w:tcPr>
          <w:p w14:paraId="3ECDAC5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FE0DAA4" w14:textId="77777777" w:rsidTr="001A7107">
        <w:tc>
          <w:tcPr>
            <w:tcW w:w="4678" w:type="dxa"/>
          </w:tcPr>
          <w:p w14:paraId="35399330" w14:textId="77777777" w:rsidR="00BE36FB" w:rsidRPr="009B7B35" w:rsidRDefault="00BE36FB" w:rsidP="001A7107">
            <w:pPr>
              <w:pStyle w:val="TableText"/>
              <w:rPr>
                <w:rFonts w:cs="Arial"/>
                <w:b/>
                <w:bCs/>
              </w:rPr>
            </w:pPr>
            <w:r w:rsidRPr="009B7B35">
              <w:rPr>
                <w:rFonts w:cs="Arial"/>
                <w:b/>
                <w:bCs/>
              </w:rPr>
              <w:t>PO22</w:t>
            </w:r>
          </w:p>
          <w:p w14:paraId="7CD07379" w14:textId="77777777" w:rsidR="00BE36FB" w:rsidRPr="009B7B35" w:rsidRDefault="00BE36FB" w:rsidP="001A7107">
            <w:pPr>
              <w:pStyle w:val="TableText"/>
              <w:rPr>
                <w:rFonts w:cs="Arial"/>
              </w:rPr>
            </w:pPr>
            <w:r w:rsidRPr="009B7B35">
              <w:rPr>
                <w:rFonts w:cs="Arial"/>
              </w:rPr>
              <w:t xml:space="preserve">Awnings: </w:t>
            </w:r>
          </w:p>
          <w:p w14:paraId="63EADD65" w14:textId="77777777" w:rsidR="00BE36FB" w:rsidRPr="009B7B35" w:rsidRDefault="00BE36FB" w:rsidP="00BE36FB">
            <w:pPr>
              <w:pStyle w:val="TableText"/>
              <w:numPr>
                <w:ilvl w:val="0"/>
                <w:numId w:val="389"/>
              </w:numPr>
              <w:ind w:left="510" w:hanging="510"/>
              <w:rPr>
                <w:rFonts w:cs="Arial"/>
              </w:rPr>
            </w:pPr>
            <w:r w:rsidRPr="009B7B35">
              <w:rPr>
                <w:rFonts w:cs="Arial"/>
              </w:rPr>
              <w:t>are provided along primary frontages</w:t>
            </w:r>
          </w:p>
          <w:p w14:paraId="443C5005" w14:textId="77777777" w:rsidR="00BE36FB" w:rsidRPr="009B7B35" w:rsidRDefault="00BE36FB" w:rsidP="00BE36FB">
            <w:pPr>
              <w:pStyle w:val="TableText"/>
              <w:numPr>
                <w:ilvl w:val="0"/>
                <w:numId w:val="389"/>
              </w:numPr>
              <w:ind w:left="510" w:hanging="510"/>
              <w:rPr>
                <w:rFonts w:cs="Arial"/>
              </w:rPr>
            </w:pPr>
            <w:r w:rsidRPr="009B7B35">
              <w:rPr>
                <w:rFonts w:cs="Arial"/>
              </w:rPr>
              <w:t>complement and integrate with the front building façade</w:t>
            </w:r>
          </w:p>
          <w:p w14:paraId="58D6B1F9" w14:textId="77777777" w:rsidR="00BE36FB" w:rsidRPr="009B7B35" w:rsidRDefault="00BE36FB" w:rsidP="00BE36FB">
            <w:pPr>
              <w:pStyle w:val="TableText"/>
              <w:numPr>
                <w:ilvl w:val="0"/>
                <w:numId w:val="389"/>
              </w:numPr>
              <w:ind w:left="510" w:hanging="510"/>
              <w:rPr>
                <w:rFonts w:cs="Arial"/>
              </w:rPr>
            </w:pPr>
            <w:r w:rsidRPr="009B7B35">
              <w:rPr>
                <w:rFonts w:cs="Arial"/>
              </w:rPr>
              <w:t>protect street footpaths from rain and sun</w:t>
            </w:r>
          </w:p>
          <w:p w14:paraId="3F767559" w14:textId="77777777" w:rsidR="00BE36FB" w:rsidRPr="009B7B35" w:rsidRDefault="00BE36FB" w:rsidP="00BE36FB">
            <w:pPr>
              <w:pStyle w:val="TableText"/>
              <w:numPr>
                <w:ilvl w:val="0"/>
                <w:numId w:val="389"/>
              </w:numPr>
              <w:ind w:left="510" w:hanging="510"/>
              <w:rPr>
                <w:rFonts w:cs="Arial"/>
              </w:rPr>
            </w:pPr>
            <w:r w:rsidRPr="009B7B35">
              <w:rPr>
                <w:rFonts w:cs="Arial"/>
              </w:rPr>
              <w:t>are continuous and compatible with existing pedestrian shelter and awnings</w:t>
            </w:r>
          </w:p>
          <w:p w14:paraId="3E80B3A5" w14:textId="77777777" w:rsidR="00BE36FB" w:rsidRPr="009B7B35" w:rsidRDefault="00BE36FB" w:rsidP="00BE36FB">
            <w:pPr>
              <w:pStyle w:val="TableText"/>
              <w:numPr>
                <w:ilvl w:val="0"/>
                <w:numId w:val="389"/>
              </w:numPr>
              <w:ind w:left="510" w:hanging="510"/>
              <w:rPr>
                <w:rFonts w:cs="Arial"/>
              </w:rPr>
            </w:pPr>
            <w:r w:rsidRPr="009B7B35">
              <w:rPr>
                <w:rFonts w:cs="Arial"/>
              </w:rPr>
              <w:t>allow for street trees and other landscaping</w:t>
            </w:r>
          </w:p>
          <w:p w14:paraId="6A789263" w14:textId="77777777" w:rsidR="00BE36FB" w:rsidRPr="009B7B35" w:rsidRDefault="00BE36FB" w:rsidP="00BE36FB">
            <w:pPr>
              <w:pStyle w:val="TableText"/>
              <w:numPr>
                <w:ilvl w:val="0"/>
                <w:numId w:val="389"/>
              </w:numPr>
              <w:ind w:left="510" w:hanging="510"/>
              <w:rPr>
                <w:rFonts w:cs="Arial"/>
              </w:rPr>
            </w:pPr>
            <w:r w:rsidRPr="009B7B35">
              <w:rPr>
                <w:rFonts w:cs="Arial"/>
              </w:rPr>
              <w:t>are visually safe and amenable</w:t>
            </w:r>
          </w:p>
          <w:p w14:paraId="2E94CAD0" w14:textId="77777777" w:rsidR="00BE36FB" w:rsidRPr="009B7B35" w:rsidRDefault="00BE36FB" w:rsidP="00BE36FB">
            <w:pPr>
              <w:pStyle w:val="TableText"/>
              <w:numPr>
                <w:ilvl w:val="0"/>
                <w:numId w:val="389"/>
              </w:numPr>
              <w:ind w:left="510" w:hanging="510"/>
              <w:rPr>
                <w:rFonts w:cs="Arial"/>
              </w:rPr>
            </w:pPr>
            <w:r w:rsidRPr="009B7B35">
              <w:rPr>
                <w:rFonts w:cs="Arial"/>
              </w:rPr>
              <w:t>are cantilevered from the main building and do not include posts within the footpath, and</w:t>
            </w:r>
          </w:p>
          <w:p w14:paraId="1D356827" w14:textId="77777777" w:rsidR="00BE36FB" w:rsidRPr="009B7B35" w:rsidRDefault="00BE36FB" w:rsidP="00BE36FB">
            <w:pPr>
              <w:pStyle w:val="TableText"/>
              <w:numPr>
                <w:ilvl w:val="0"/>
                <w:numId w:val="389"/>
              </w:numPr>
              <w:ind w:left="510" w:hanging="510"/>
              <w:rPr>
                <w:rFonts w:cs="Arial"/>
              </w:rPr>
            </w:pPr>
            <w:r w:rsidRPr="009B7B35">
              <w:rPr>
                <w:rFonts w:cs="Arial"/>
              </w:rPr>
              <w:t>are constructed of lightweight materials.</w:t>
            </w:r>
          </w:p>
          <w:p w14:paraId="24E96ACC" w14:textId="77777777" w:rsidR="00BE36FB" w:rsidRPr="009B7B35" w:rsidRDefault="00BE36FB">
            <w:pPr>
              <w:pStyle w:val="Notes"/>
              <w:rPr>
                <w:rFonts w:cs="Arial"/>
                <w:sz w:val="20"/>
                <w:szCs w:val="20"/>
              </w:rPr>
            </w:pPr>
            <w:r w:rsidRPr="009B7B35">
              <w:rPr>
                <w:rFonts w:cs="Arial"/>
                <w:sz w:val="20"/>
                <w:szCs w:val="20"/>
              </w:rPr>
              <w:t>Note—Primary frontages are identified on the Building height and frontages overlay map.</w:t>
            </w:r>
          </w:p>
        </w:tc>
        <w:tc>
          <w:tcPr>
            <w:tcW w:w="4678" w:type="dxa"/>
          </w:tcPr>
          <w:p w14:paraId="29B2EAA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D92342B" w14:textId="77777777" w:rsidTr="001A7107">
        <w:trPr>
          <w:cantSplit/>
        </w:trPr>
        <w:tc>
          <w:tcPr>
            <w:tcW w:w="4678" w:type="dxa"/>
            <w:vMerge w:val="restart"/>
          </w:tcPr>
          <w:p w14:paraId="0030947B" w14:textId="77777777" w:rsidR="00BE36FB" w:rsidRPr="009B7B35" w:rsidRDefault="00BE36FB" w:rsidP="001A7107">
            <w:pPr>
              <w:pStyle w:val="TableText"/>
              <w:rPr>
                <w:rFonts w:cs="Arial"/>
                <w:b/>
                <w:bCs/>
              </w:rPr>
            </w:pPr>
            <w:r w:rsidRPr="009B7B35">
              <w:rPr>
                <w:rFonts w:cs="Arial"/>
                <w:b/>
                <w:bCs/>
              </w:rPr>
              <w:t>PO23</w:t>
            </w:r>
          </w:p>
          <w:p w14:paraId="62BCF06C" w14:textId="77777777" w:rsidR="00BE36FB" w:rsidRPr="009B7B35" w:rsidRDefault="00BE36FB" w:rsidP="001A7107">
            <w:pPr>
              <w:pStyle w:val="TableText"/>
              <w:rPr>
                <w:rFonts w:cs="Arial"/>
              </w:rPr>
            </w:pPr>
            <w:r w:rsidRPr="009B7B35">
              <w:rPr>
                <w:rFonts w:cs="Arial"/>
              </w:rPr>
              <w:t xml:space="preserve">Fencing and walls: </w:t>
            </w:r>
          </w:p>
          <w:p w14:paraId="056052DB" w14:textId="77777777" w:rsidR="00BE36FB" w:rsidRPr="009B7B35" w:rsidRDefault="00BE36FB" w:rsidP="00BE36FB">
            <w:pPr>
              <w:pStyle w:val="TableText"/>
              <w:numPr>
                <w:ilvl w:val="0"/>
                <w:numId w:val="388"/>
              </w:numPr>
              <w:rPr>
                <w:rFonts w:cs="Arial"/>
              </w:rPr>
            </w:pPr>
            <w:r w:rsidRPr="009B7B35">
              <w:rPr>
                <w:rFonts w:cs="Arial"/>
              </w:rPr>
              <w:t>allow casual surveillance of the street</w:t>
            </w:r>
          </w:p>
          <w:p w14:paraId="5B574179" w14:textId="77777777" w:rsidR="00BE36FB" w:rsidRPr="009B7B35" w:rsidRDefault="00BE36FB" w:rsidP="00BE36FB">
            <w:pPr>
              <w:pStyle w:val="TableText"/>
              <w:numPr>
                <w:ilvl w:val="0"/>
                <w:numId w:val="388"/>
              </w:numPr>
              <w:rPr>
                <w:rFonts w:cs="Arial"/>
              </w:rPr>
            </w:pPr>
            <w:r w:rsidRPr="009B7B35">
              <w:rPr>
                <w:rFonts w:cs="Arial"/>
              </w:rPr>
              <w:t>provide safe entry areas, and</w:t>
            </w:r>
          </w:p>
          <w:p w14:paraId="3D77955A" w14:textId="77777777" w:rsidR="00BE36FB" w:rsidRPr="009B7B35" w:rsidRDefault="00BE36FB" w:rsidP="00BE36FB">
            <w:pPr>
              <w:pStyle w:val="TableText"/>
              <w:numPr>
                <w:ilvl w:val="0"/>
                <w:numId w:val="388"/>
              </w:numPr>
              <w:rPr>
                <w:rFonts w:cs="Arial"/>
              </w:rPr>
            </w:pPr>
            <w:r w:rsidRPr="009B7B35">
              <w:rPr>
                <w:rFonts w:cs="Arial"/>
              </w:rPr>
              <w:t>are not visually imposing.</w:t>
            </w:r>
          </w:p>
        </w:tc>
        <w:tc>
          <w:tcPr>
            <w:tcW w:w="4678" w:type="dxa"/>
          </w:tcPr>
          <w:p w14:paraId="2FA961BB" w14:textId="77777777" w:rsidR="00BE36FB" w:rsidRPr="009B7B35" w:rsidRDefault="00BE36FB" w:rsidP="001A7107">
            <w:pPr>
              <w:pStyle w:val="TableText"/>
              <w:rPr>
                <w:rFonts w:cs="Arial"/>
                <w:b/>
                <w:bCs/>
              </w:rPr>
            </w:pPr>
            <w:r w:rsidRPr="009B7B35">
              <w:rPr>
                <w:rFonts w:cs="Arial"/>
                <w:b/>
                <w:bCs/>
              </w:rPr>
              <w:t>AO23.1</w:t>
            </w:r>
          </w:p>
          <w:p w14:paraId="10171A14" w14:textId="77777777" w:rsidR="00BE36FB" w:rsidRPr="009B7B35" w:rsidRDefault="00BE36FB" w:rsidP="001A7107">
            <w:pPr>
              <w:pStyle w:val="TableText"/>
              <w:rPr>
                <w:rFonts w:cs="Arial"/>
              </w:rPr>
            </w:pPr>
            <w:r w:rsidRPr="009B7B35">
              <w:rPr>
                <w:rFonts w:cs="Arial"/>
              </w:rPr>
              <w:t>Fences and walls along street frontages:</w:t>
            </w:r>
          </w:p>
          <w:p w14:paraId="61502E41" w14:textId="77777777" w:rsidR="00BE36FB" w:rsidRPr="009B7B35" w:rsidRDefault="00BE36FB" w:rsidP="00BE36FB">
            <w:pPr>
              <w:pStyle w:val="TableText"/>
              <w:numPr>
                <w:ilvl w:val="0"/>
                <w:numId w:val="183"/>
              </w:numPr>
              <w:rPr>
                <w:rFonts w:cs="Arial"/>
              </w:rPr>
            </w:pPr>
            <w:r w:rsidRPr="009B7B35">
              <w:rPr>
                <w:rFonts w:cs="Arial"/>
              </w:rPr>
              <w:t>have an open construction with at least 50% visual permeability, or</w:t>
            </w:r>
          </w:p>
          <w:p w14:paraId="5C0B6E45" w14:textId="77777777" w:rsidR="00BE36FB" w:rsidRPr="009B7B35" w:rsidRDefault="00BE36FB" w:rsidP="00BE36FB">
            <w:pPr>
              <w:pStyle w:val="TableText"/>
              <w:numPr>
                <w:ilvl w:val="0"/>
                <w:numId w:val="183"/>
              </w:numPr>
              <w:rPr>
                <w:rFonts w:cs="Arial"/>
              </w:rPr>
            </w:pPr>
            <w:r w:rsidRPr="009B7B35">
              <w:rPr>
                <w:rFonts w:cs="Arial"/>
              </w:rPr>
              <w:t>are not greater than 1.2m in height.</w:t>
            </w:r>
          </w:p>
        </w:tc>
      </w:tr>
      <w:tr w:rsidR="00BE36FB" w:rsidRPr="009B7B35" w14:paraId="1AA09C3A" w14:textId="77777777" w:rsidTr="001A7107">
        <w:trPr>
          <w:cantSplit/>
        </w:trPr>
        <w:tc>
          <w:tcPr>
            <w:tcW w:w="4678" w:type="dxa"/>
            <w:vMerge/>
          </w:tcPr>
          <w:p w14:paraId="2CE82D10" w14:textId="77777777" w:rsidR="00BE36FB" w:rsidRPr="009B7B35" w:rsidRDefault="00BE36FB" w:rsidP="001A7107">
            <w:pPr>
              <w:pStyle w:val="TableText"/>
              <w:rPr>
                <w:rFonts w:cs="Arial"/>
              </w:rPr>
            </w:pPr>
          </w:p>
        </w:tc>
        <w:tc>
          <w:tcPr>
            <w:tcW w:w="4678" w:type="dxa"/>
          </w:tcPr>
          <w:p w14:paraId="621597AD" w14:textId="77777777" w:rsidR="00BE36FB" w:rsidRPr="009B7B35" w:rsidRDefault="00BE36FB" w:rsidP="001A7107">
            <w:pPr>
              <w:pStyle w:val="TableText"/>
              <w:rPr>
                <w:rFonts w:cs="Arial"/>
                <w:b/>
                <w:bCs/>
              </w:rPr>
            </w:pPr>
            <w:r w:rsidRPr="009B7B35">
              <w:rPr>
                <w:rFonts w:cs="Arial"/>
                <w:b/>
                <w:bCs/>
              </w:rPr>
              <w:t>AO23.2</w:t>
            </w:r>
          </w:p>
          <w:p w14:paraId="7168B205" w14:textId="77777777" w:rsidR="00BE36FB" w:rsidRPr="009B7B35" w:rsidRDefault="00BE36FB" w:rsidP="001A7107">
            <w:pPr>
              <w:pStyle w:val="TableText"/>
              <w:rPr>
                <w:rFonts w:cs="Arial"/>
              </w:rPr>
            </w:pPr>
            <w:r w:rsidRPr="009B7B35">
              <w:rPr>
                <w:rFonts w:cs="Arial"/>
              </w:rPr>
              <w:t>There are no front fences located along primary frontages.</w:t>
            </w:r>
          </w:p>
          <w:p w14:paraId="5882526A" w14:textId="77777777" w:rsidR="00BE36FB" w:rsidRPr="009B7B35" w:rsidRDefault="00BE36FB">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14:paraId="02C585D5" w14:textId="77777777" w:rsidTr="001A7107">
        <w:trPr>
          <w:cantSplit/>
        </w:trPr>
        <w:tc>
          <w:tcPr>
            <w:tcW w:w="9356" w:type="dxa"/>
            <w:gridSpan w:val="2"/>
            <w:shd w:val="clear" w:color="auto" w:fill="BFBFBF" w:themeFill="background1" w:themeFillShade="BF"/>
          </w:tcPr>
          <w:p w14:paraId="1E96303E" w14:textId="77777777" w:rsidR="00BE36FB" w:rsidRPr="009B7B35" w:rsidRDefault="00BE36FB" w:rsidP="001A7107">
            <w:pPr>
              <w:pStyle w:val="Tableheading"/>
              <w:rPr>
                <w:rFonts w:ascii="Arial" w:hAnsi="Arial" w:cs="Arial"/>
                <w:szCs w:val="20"/>
              </w:rPr>
            </w:pPr>
            <w:r w:rsidRPr="009B7B35">
              <w:rPr>
                <w:rFonts w:ascii="Arial" w:hAnsi="Arial" w:cs="Arial"/>
                <w:szCs w:val="20"/>
              </w:rPr>
              <w:t>Landscape design</w:t>
            </w:r>
          </w:p>
        </w:tc>
      </w:tr>
      <w:tr w:rsidR="00BE36FB" w:rsidRPr="009B7B35" w14:paraId="5C62E3AF" w14:textId="77777777" w:rsidTr="001A7107">
        <w:trPr>
          <w:cantSplit/>
        </w:trPr>
        <w:tc>
          <w:tcPr>
            <w:tcW w:w="4678" w:type="dxa"/>
          </w:tcPr>
          <w:p w14:paraId="6EABDE8B" w14:textId="77777777" w:rsidR="00BE36FB" w:rsidRPr="009B7B35" w:rsidRDefault="00BE36FB" w:rsidP="001A7107">
            <w:pPr>
              <w:pStyle w:val="TableText"/>
              <w:rPr>
                <w:rFonts w:cs="Arial"/>
                <w:b/>
                <w:bCs/>
              </w:rPr>
            </w:pPr>
            <w:r w:rsidRPr="009B7B35">
              <w:rPr>
                <w:rFonts w:cs="Arial"/>
                <w:b/>
                <w:bCs/>
              </w:rPr>
              <w:t>PO24</w:t>
            </w:r>
          </w:p>
          <w:p w14:paraId="5285741B" w14:textId="77777777" w:rsidR="00BE36FB" w:rsidRPr="009B7B35" w:rsidRDefault="00BE36FB" w:rsidP="001A7107">
            <w:pPr>
              <w:pStyle w:val="TableText"/>
              <w:rPr>
                <w:rFonts w:cs="Arial"/>
              </w:rPr>
            </w:pPr>
            <w:r w:rsidRPr="009B7B35">
              <w:rPr>
                <w:rFonts w:cs="Arial"/>
              </w:rPr>
              <w:t>Landscape elements are integrated in the building design through planting at various levels including on top of podiums, rooftops and within storeys.</w:t>
            </w:r>
          </w:p>
          <w:p w14:paraId="64C41915" w14:textId="77777777" w:rsidR="00BE36FB" w:rsidRPr="009B7B35" w:rsidRDefault="00BE36FB" w:rsidP="001A7107">
            <w:pPr>
              <w:pStyle w:val="Notes"/>
              <w:rPr>
                <w:rFonts w:cs="Arial"/>
                <w:sz w:val="20"/>
                <w:szCs w:val="20"/>
              </w:rPr>
            </w:pPr>
            <w:r w:rsidRPr="009B7B35">
              <w:rPr>
                <w:rFonts w:cs="Arial"/>
                <w:sz w:val="20"/>
                <w:szCs w:val="20"/>
              </w:rPr>
              <w:t>Note—Applicants are also referred to the Landscaping code.</w:t>
            </w:r>
          </w:p>
        </w:tc>
        <w:tc>
          <w:tcPr>
            <w:tcW w:w="4678" w:type="dxa"/>
          </w:tcPr>
          <w:p w14:paraId="52031C56"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8756DD5" w14:textId="77777777" w:rsidTr="001A7107">
        <w:trPr>
          <w:cantSplit/>
        </w:trPr>
        <w:tc>
          <w:tcPr>
            <w:tcW w:w="4678" w:type="dxa"/>
          </w:tcPr>
          <w:p w14:paraId="58C5A59C" w14:textId="77777777" w:rsidR="00BE36FB" w:rsidRPr="009B7B35" w:rsidRDefault="00BE36FB" w:rsidP="001A7107">
            <w:pPr>
              <w:pStyle w:val="TableText"/>
              <w:rPr>
                <w:rFonts w:cs="Arial"/>
                <w:b/>
                <w:bCs/>
              </w:rPr>
            </w:pPr>
            <w:r w:rsidRPr="009B7B35">
              <w:rPr>
                <w:rFonts w:cs="Arial"/>
                <w:b/>
                <w:bCs/>
              </w:rPr>
              <w:t>PO25</w:t>
            </w:r>
          </w:p>
          <w:p w14:paraId="316F473C" w14:textId="77777777" w:rsidR="00BE36FB" w:rsidRPr="009B7B35" w:rsidRDefault="00BE36FB" w:rsidP="001A7107">
            <w:pPr>
              <w:pStyle w:val="TableText"/>
              <w:rPr>
                <w:rFonts w:cs="Arial"/>
              </w:rPr>
            </w:pPr>
            <w:r w:rsidRPr="009B7B35">
              <w:rPr>
                <w:rFonts w:cs="Arial"/>
              </w:rPr>
              <w:t>Landscape treatments include hard and soft elements that:</w:t>
            </w:r>
          </w:p>
          <w:p w14:paraId="150CA26A" w14:textId="77777777" w:rsidR="00BE36FB" w:rsidRPr="009B7B35" w:rsidRDefault="00BE36FB" w:rsidP="00BE36FB">
            <w:pPr>
              <w:pStyle w:val="TableText"/>
              <w:numPr>
                <w:ilvl w:val="0"/>
                <w:numId w:val="387"/>
              </w:numPr>
              <w:rPr>
                <w:rFonts w:cs="Arial"/>
              </w:rPr>
            </w:pPr>
            <w:r w:rsidRPr="009B7B35">
              <w:rPr>
                <w:rFonts w:cs="Arial"/>
              </w:rPr>
              <w:t>are of a character and durability that reflects the mixed use locality</w:t>
            </w:r>
          </w:p>
          <w:p w14:paraId="20BF7947" w14:textId="77777777" w:rsidR="00BE36FB" w:rsidRPr="009B7B35" w:rsidRDefault="00BE36FB" w:rsidP="00BE36FB">
            <w:pPr>
              <w:pStyle w:val="TableText"/>
              <w:numPr>
                <w:ilvl w:val="0"/>
                <w:numId w:val="387"/>
              </w:numPr>
              <w:rPr>
                <w:rFonts w:cs="Arial"/>
              </w:rPr>
            </w:pPr>
            <w:r w:rsidRPr="009B7B35">
              <w:rPr>
                <w:rFonts w:cs="Arial"/>
              </w:rPr>
              <w:t>enhance the appearance of the development</w:t>
            </w:r>
          </w:p>
          <w:p w14:paraId="6C9C582E" w14:textId="77777777" w:rsidR="00BE36FB" w:rsidRPr="009B7B35" w:rsidRDefault="00BE36FB" w:rsidP="00BE36FB">
            <w:pPr>
              <w:pStyle w:val="TableText"/>
              <w:numPr>
                <w:ilvl w:val="0"/>
                <w:numId w:val="387"/>
              </w:numPr>
              <w:rPr>
                <w:rFonts w:cs="Arial"/>
              </w:rPr>
            </w:pPr>
            <w:r w:rsidRPr="009B7B35">
              <w:rPr>
                <w:rFonts w:cs="Arial"/>
              </w:rPr>
              <w:t>extend from the street edge into building entrances, foyers and onto podiums</w:t>
            </w:r>
          </w:p>
          <w:p w14:paraId="44EFD02D" w14:textId="77777777" w:rsidR="00BE36FB" w:rsidRPr="009B7B35" w:rsidRDefault="00BE36FB" w:rsidP="00BE36FB">
            <w:pPr>
              <w:pStyle w:val="TableText"/>
              <w:numPr>
                <w:ilvl w:val="0"/>
                <w:numId w:val="387"/>
              </w:numPr>
              <w:rPr>
                <w:rFonts w:cs="Arial"/>
              </w:rPr>
            </w:pPr>
            <w:r w:rsidRPr="009B7B35">
              <w:rPr>
                <w:rFonts w:cs="Arial"/>
              </w:rPr>
              <w:t>emphasises a clear pedestrian entry point</w:t>
            </w:r>
          </w:p>
          <w:p w14:paraId="3F1224BE" w14:textId="77777777" w:rsidR="00BE36FB" w:rsidRPr="009B7B35" w:rsidRDefault="00BE36FB" w:rsidP="00BE36FB">
            <w:pPr>
              <w:pStyle w:val="TableText"/>
              <w:numPr>
                <w:ilvl w:val="0"/>
                <w:numId w:val="387"/>
              </w:numPr>
              <w:rPr>
                <w:rFonts w:cs="Arial"/>
              </w:rPr>
            </w:pPr>
            <w:r w:rsidRPr="009B7B35">
              <w:rPr>
                <w:rFonts w:cs="Arial"/>
              </w:rPr>
              <w:t>screen unsightly components</w:t>
            </w:r>
          </w:p>
          <w:p w14:paraId="3618510F" w14:textId="77777777" w:rsidR="00BE36FB" w:rsidRPr="009B7B35" w:rsidRDefault="00BE36FB" w:rsidP="00BE36FB">
            <w:pPr>
              <w:pStyle w:val="TableText"/>
              <w:numPr>
                <w:ilvl w:val="0"/>
                <w:numId w:val="387"/>
              </w:numPr>
              <w:rPr>
                <w:rFonts w:cs="Arial"/>
              </w:rPr>
            </w:pPr>
            <w:r w:rsidRPr="009B7B35">
              <w:rPr>
                <w:rFonts w:cs="Arial"/>
              </w:rPr>
              <w:t>provide shading, and</w:t>
            </w:r>
          </w:p>
          <w:p w14:paraId="5DEA8397" w14:textId="77777777" w:rsidR="00BE36FB" w:rsidRPr="009B7B35" w:rsidRDefault="00BE36FB" w:rsidP="00BE36FB">
            <w:pPr>
              <w:pStyle w:val="TableText"/>
              <w:numPr>
                <w:ilvl w:val="0"/>
                <w:numId w:val="387"/>
              </w:numPr>
              <w:rPr>
                <w:rFonts w:cs="Arial"/>
              </w:rPr>
            </w:pPr>
            <w:r w:rsidRPr="009B7B35">
              <w:rPr>
                <w:rFonts w:cs="Arial"/>
              </w:rPr>
              <w:t>reflect and reinforce a subtropical image through integrating landscape, outdoor and indoor spaces.</w:t>
            </w:r>
          </w:p>
          <w:p w14:paraId="08C71B37" w14:textId="77777777" w:rsidR="00BE36FB" w:rsidRPr="009B7B35" w:rsidRDefault="00BE36FB" w:rsidP="001A7107">
            <w:pPr>
              <w:pStyle w:val="Notes"/>
              <w:rPr>
                <w:rFonts w:cs="Arial"/>
                <w:sz w:val="20"/>
                <w:szCs w:val="20"/>
              </w:rPr>
            </w:pPr>
            <w:r w:rsidRPr="009B7B35">
              <w:rPr>
                <w:rFonts w:cs="Arial"/>
                <w:sz w:val="20"/>
                <w:szCs w:val="20"/>
              </w:rPr>
              <w:t>Note—Applicants are also referred to the Landscaping code.</w:t>
            </w:r>
          </w:p>
          <w:p w14:paraId="596BBAE9" w14:textId="77777777" w:rsidR="00BE36FB" w:rsidRPr="009B7B35" w:rsidRDefault="00BE36FB" w:rsidP="001A7107">
            <w:pPr>
              <w:pStyle w:val="Notes"/>
              <w:rPr>
                <w:rFonts w:cs="Arial"/>
                <w:sz w:val="20"/>
                <w:szCs w:val="20"/>
              </w:rPr>
            </w:pPr>
          </w:p>
        </w:tc>
        <w:tc>
          <w:tcPr>
            <w:tcW w:w="4678" w:type="dxa"/>
          </w:tcPr>
          <w:p w14:paraId="14EE63C0"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25D3FE9" w14:textId="77777777" w:rsidTr="001A7107">
        <w:trPr>
          <w:cantSplit/>
        </w:trPr>
        <w:tc>
          <w:tcPr>
            <w:tcW w:w="9356" w:type="dxa"/>
            <w:gridSpan w:val="2"/>
            <w:shd w:val="clear" w:color="auto" w:fill="BFBFBF" w:themeFill="background1" w:themeFillShade="BF"/>
          </w:tcPr>
          <w:p w14:paraId="6C0336E1" w14:textId="77777777"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14:paraId="2150692C" w14:textId="77777777" w:rsidTr="001A7107">
        <w:tc>
          <w:tcPr>
            <w:tcW w:w="4678" w:type="dxa"/>
          </w:tcPr>
          <w:p w14:paraId="5E69B651" w14:textId="77777777" w:rsidR="00BE36FB" w:rsidRPr="009B7B35" w:rsidRDefault="00BE36FB" w:rsidP="001A7107">
            <w:pPr>
              <w:pStyle w:val="TableText"/>
              <w:rPr>
                <w:rFonts w:cs="Arial"/>
                <w:b/>
                <w:bCs/>
              </w:rPr>
            </w:pPr>
            <w:r w:rsidRPr="009B7B35">
              <w:rPr>
                <w:rFonts w:cs="Arial"/>
                <w:b/>
                <w:bCs/>
              </w:rPr>
              <w:t>PO26</w:t>
            </w:r>
          </w:p>
          <w:p w14:paraId="1884381D" w14:textId="77777777" w:rsidR="00BE36FB" w:rsidRPr="009B7B35" w:rsidRDefault="00BE36FB" w:rsidP="001A7107">
            <w:pPr>
              <w:pStyle w:val="TableText"/>
              <w:rPr>
                <w:rFonts w:cs="Arial"/>
              </w:rPr>
            </w:pPr>
            <w:r w:rsidRPr="009B7B35">
              <w:rPr>
                <w:rFonts w:cs="Arial"/>
              </w:rPr>
              <w:t>Mixed–use premises must ensure the transmission of noise between residential and non–residential uses is minimised.</w:t>
            </w:r>
          </w:p>
        </w:tc>
        <w:tc>
          <w:tcPr>
            <w:tcW w:w="4678" w:type="dxa"/>
          </w:tcPr>
          <w:p w14:paraId="23697F96"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AA83381" w14:textId="77777777" w:rsidTr="001A7107">
        <w:tc>
          <w:tcPr>
            <w:tcW w:w="4678" w:type="dxa"/>
          </w:tcPr>
          <w:p w14:paraId="24DF81FF" w14:textId="77777777" w:rsidR="00BE36FB" w:rsidRPr="009B7B35" w:rsidRDefault="00BE36FB" w:rsidP="001A7107">
            <w:pPr>
              <w:pStyle w:val="TableText"/>
              <w:rPr>
                <w:rFonts w:cs="Arial"/>
                <w:b/>
                <w:bCs/>
              </w:rPr>
            </w:pPr>
            <w:r w:rsidRPr="009B7B35">
              <w:rPr>
                <w:rFonts w:cs="Arial"/>
                <w:b/>
                <w:bCs/>
              </w:rPr>
              <w:t>PO27</w:t>
            </w:r>
          </w:p>
          <w:p w14:paraId="2D8AD247" w14:textId="77777777" w:rsidR="00BE36FB" w:rsidRPr="009B7B35" w:rsidRDefault="00BE36FB" w:rsidP="001A7107">
            <w:pPr>
              <w:pStyle w:val="TableText"/>
              <w:rPr>
                <w:rFonts w:cs="Arial"/>
              </w:rPr>
            </w:pPr>
            <w:r w:rsidRPr="009B7B35">
              <w:rPr>
                <w:rFonts w:cs="Arial"/>
              </w:rPr>
              <w:t>Development minimises impacts on surrounding land and provides for an appropriate level of amenity within the mixed use centre, having regard to:</w:t>
            </w:r>
          </w:p>
          <w:p w14:paraId="41B1C1F0" w14:textId="77777777" w:rsidR="00BE36FB" w:rsidRPr="009B7B35" w:rsidRDefault="00BE36FB" w:rsidP="00BE36FB">
            <w:pPr>
              <w:pStyle w:val="TableText"/>
              <w:numPr>
                <w:ilvl w:val="0"/>
                <w:numId w:val="386"/>
              </w:numPr>
              <w:ind w:left="510" w:hanging="510"/>
              <w:rPr>
                <w:rFonts w:cs="Arial"/>
              </w:rPr>
            </w:pPr>
            <w:r w:rsidRPr="009B7B35">
              <w:rPr>
                <w:rFonts w:cs="Arial"/>
              </w:rPr>
              <w:t>noise</w:t>
            </w:r>
          </w:p>
          <w:p w14:paraId="5B69ED5A" w14:textId="77777777" w:rsidR="00BE36FB" w:rsidRPr="009B7B35" w:rsidRDefault="00BE36FB" w:rsidP="00BE36FB">
            <w:pPr>
              <w:pStyle w:val="TableText"/>
              <w:numPr>
                <w:ilvl w:val="0"/>
                <w:numId w:val="386"/>
              </w:numPr>
              <w:ind w:left="510" w:hanging="510"/>
              <w:rPr>
                <w:rFonts w:cs="Arial"/>
              </w:rPr>
            </w:pPr>
            <w:r w:rsidRPr="009B7B35">
              <w:rPr>
                <w:rFonts w:cs="Arial"/>
              </w:rPr>
              <w:t>hours of operation</w:t>
            </w:r>
          </w:p>
          <w:p w14:paraId="09C37562" w14:textId="77777777" w:rsidR="00BE36FB" w:rsidRPr="009B7B35" w:rsidRDefault="00BE36FB" w:rsidP="00BE36FB">
            <w:pPr>
              <w:pStyle w:val="TableText"/>
              <w:numPr>
                <w:ilvl w:val="0"/>
                <w:numId w:val="386"/>
              </w:numPr>
              <w:ind w:left="510" w:hanging="510"/>
              <w:rPr>
                <w:rFonts w:cs="Arial"/>
              </w:rPr>
            </w:pPr>
            <w:r w:rsidRPr="009B7B35">
              <w:rPr>
                <w:rFonts w:cs="Arial"/>
              </w:rPr>
              <w:t>traffic</w:t>
            </w:r>
          </w:p>
          <w:p w14:paraId="2A7AE25B" w14:textId="77777777" w:rsidR="00BE36FB" w:rsidRPr="009B7B35" w:rsidRDefault="00BE36FB" w:rsidP="00BE36FB">
            <w:pPr>
              <w:pStyle w:val="TableText"/>
              <w:numPr>
                <w:ilvl w:val="0"/>
                <w:numId w:val="386"/>
              </w:numPr>
              <w:ind w:left="510" w:hanging="510"/>
              <w:rPr>
                <w:rFonts w:cs="Arial"/>
              </w:rPr>
            </w:pPr>
            <w:r w:rsidRPr="009B7B35">
              <w:rPr>
                <w:rFonts w:cs="Arial"/>
              </w:rPr>
              <w:t>visual impact</w:t>
            </w:r>
          </w:p>
          <w:p w14:paraId="474A87E9" w14:textId="77777777" w:rsidR="00BE36FB" w:rsidRPr="009B7B35" w:rsidRDefault="00BE36FB" w:rsidP="00BE36FB">
            <w:pPr>
              <w:pStyle w:val="TableText"/>
              <w:numPr>
                <w:ilvl w:val="0"/>
                <w:numId w:val="386"/>
              </w:numPr>
              <w:ind w:left="510" w:hanging="510"/>
              <w:rPr>
                <w:rFonts w:cs="Arial"/>
              </w:rPr>
            </w:pPr>
            <w:r w:rsidRPr="009B7B35">
              <w:rPr>
                <w:rFonts w:cs="Arial"/>
              </w:rPr>
              <w:t>signage</w:t>
            </w:r>
          </w:p>
          <w:p w14:paraId="114CE118" w14:textId="77777777" w:rsidR="00BE36FB" w:rsidRPr="009B7B35" w:rsidRDefault="00BE36FB" w:rsidP="00BE36FB">
            <w:pPr>
              <w:pStyle w:val="TableText"/>
              <w:numPr>
                <w:ilvl w:val="0"/>
                <w:numId w:val="386"/>
              </w:numPr>
              <w:ind w:left="510" w:hanging="510"/>
              <w:rPr>
                <w:rFonts w:cs="Arial"/>
              </w:rPr>
            </w:pPr>
            <w:r w:rsidRPr="009B7B35">
              <w:rPr>
                <w:rFonts w:cs="Arial"/>
              </w:rPr>
              <w:t>odour and emissions</w:t>
            </w:r>
          </w:p>
          <w:p w14:paraId="4D641B54" w14:textId="77777777" w:rsidR="00BE36FB" w:rsidRPr="009B7B35" w:rsidRDefault="00BE36FB" w:rsidP="00BE36FB">
            <w:pPr>
              <w:pStyle w:val="TableText"/>
              <w:numPr>
                <w:ilvl w:val="0"/>
                <w:numId w:val="386"/>
              </w:numPr>
              <w:ind w:left="510" w:hanging="510"/>
              <w:rPr>
                <w:rFonts w:cs="Arial"/>
              </w:rPr>
            </w:pPr>
            <w:r w:rsidRPr="009B7B35">
              <w:rPr>
                <w:rFonts w:cs="Arial"/>
              </w:rPr>
              <w:t>lighting</w:t>
            </w:r>
          </w:p>
          <w:p w14:paraId="1479358B" w14:textId="77777777" w:rsidR="00BE36FB" w:rsidRPr="009B7B35" w:rsidRDefault="00BE36FB" w:rsidP="00BE36FB">
            <w:pPr>
              <w:pStyle w:val="TableText"/>
              <w:numPr>
                <w:ilvl w:val="0"/>
                <w:numId w:val="386"/>
              </w:numPr>
              <w:ind w:left="510" w:hanging="510"/>
              <w:rPr>
                <w:rFonts w:cs="Arial"/>
              </w:rPr>
            </w:pPr>
            <w:r w:rsidRPr="009B7B35">
              <w:rPr>
                <w:rFonts w:cs="Arial"/>
              </w:rPr>
              <w:t>access to sunlight</w:t>
            </w:r>
          </w:p>
          <w:p w14:paraId="0907C8AD" w14:textId="77777777" w:rsidR="00BE36FB" w:rsidRPr="009B7B35" w:rsidRDefault="00BE36FB" w:rsidP="00BE36FB">
            <w:pPr>
              <w:pStyle w:val="TableText"/>
              <w:numPr>
                <w:ilvl w:val="0"/>
                <w:numId w:val="386"/>
              </w:numPr>
              <w:ind w:left="510" w:hanging="510"/>
              <w:rPr>
                <w:rFonts w:cs="Arial"/>
              </w:rPr>
            </w:pPr>
            <w:r w:rsidRPr="009B7B35">
              <w:rPr>
                <w:rFonts w:cs="Arial"/>
              </w:rPr>
              <w:t>privacy, and</w:t>
            </w:r>
          </w:p>
          <w:p w14:paraId="0AAA4AA6" w14:textId="77777777" w:rsidR="00BE36FB" w:rsidRPr="009B7B35" w:rsidRDefault="00BE36FB" w:rsidP="00BE36FB">
            <w:pPr>
              <w:pStyle w:val="TableText"/>
              <w:numPr>
                <w:ilvl w:val="0"/>
                <w:numId w:val="386"/>
              </w:numPr>
              <w:ind w:left="510" w:hanging="510"/>
              <w:rPr>
                <w:rFonts w:cs="Arial"/>
              </w:rPr>
            </w:pPr>
            <w:r w:rsidRPr="009B7B35">
              <w:rPr>
                <w:rFonts w:cs="Arial"/>
              </w:rPr>
              <w:t>outlook.</w:t>
            </w:r>
          </w:p>
          <w:p w14:paraId="41FE85D1" w14:textId="77777777" w:rsidR="00BE36FB" w:rsidRPr="009B7B35" w:rsidRDefault="00BE36FB" w:rsidP="001A7107">
            <w:pPr>
              <w:pStyle w:val="TableText"/>
              <w:rPr>
                <w:rFonts w:cs="Arial"/>
              </w:rPr>
            </w:pPr>
          </w:p>
        </w:tc>
        <w:tc>
          <w:tcPr>
            <w:tcW w:w="4678" w:type="dxa"/>
          </w:tcPr>
          <w:p w14:paraId="5C606FA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56E0AF4" w14:textId="77777777" w:rsidTr="001A7107">
        <w:trPr>
          <w:cantSplit/>
        </w:trPr>
        <w:tc>
          <w:tcPr>
            <w:tcW w:w="4678" w:type="dxa"/>
          </w:tcPr>
          <w:p w14:paraId="21CCD3E7" w14:textId="77777777" w:rsidR="00BE36FB" w:rsidRPr="009B7B35" w:rsidRDefault="00BE36FB" w:rsidP="001A7107">
            <w:pPr>
              <w:pStyle w:val="TableText"/>
              <w:rPr>
                <w:rFonts w:cs="Arial"/>
                <w:b/>
                <w:bCs/>
              </w:rPr>
            </w:pPr>
            <w:r w:rsidRPr="009B7B35">
              <w:rPr>
                <w:rFonts w:cs="Arial"/>
                <w:b/>
                <w:bCs/>
              </w:rPr>
              <w:t>PO28</w:t>
            </w:r>
          </w:p>
          <w:p w14:paraId="49E9F818" w14:textId="77777777" w:rsidR="00BE36FB" w:rsidRPr="009B7B35" w:rsidRDefault="00BE36FB" w:rsidP="001A7107">
            <w:pPr>
              <w:pStyle w:val="TableText"/>
              <w:rPr>
                <w:rFonts w:cs="Arial"/>
              </w:rPr>
            </w:pPr>
            <w:r w:rsidRPr="009B7B35">
              <w:rPr>
                <w:rFonts w:cs="Arial"/>
              </w:rPr>
              <w:t>All uses:</w:t>
            </w:r>
          </w:p>
          <w:p w14:paraId="2FDF8CE2" w14:textId="77777777" w:rsidR="00BE36FB" w:rsidRPr="009B7B35" w:rsidRDefault="00BE36FB" w:rsidP="00BE36FB">
            <w:pPr>
              <w:pStyle w:val="TableText"/>
              <w:numPr>
                <w:ilvl w:val="0"/>
                <w:numId w:val="385"/>
              </w:numPr>
              <w:ind w:left="510" w:hanging="510"/>
              <w:rPr>
                <w:rFonts w:cs="Arial"/>
              </w:rPr>
            </w:pPr>
            <w:r w:rsidRPr="009B7B35">
              <w:rPr>
                <w:rFonts w:cs="Arial"/>
              </w:rPr>
              <w:t>minimise noise, dust, odour or other nuisance from existing lawful uses, and</w:t>
            </w:r>
          </w:p>
          <w:p w14:paraId="2E2C7D9D" w14:textId="77777777" w:rsidR="00BE36FB" w:rsidRPr="009B7B35" w:rsidRDefault="00BE36FB" w:rsidP="00BE36FB">
            <w:pPr>
              <w:pStyle w:val="TableText"/>
              <w:numPr>
                <w:ilvl w:val="0"/>
                <w:numId w:val="385"/>
              </w:numPr>
              <w:ind w:left="510" w:hanging="510"/>
              <w:rPr>
                <w:rFonts w:cs="Arial"/>
              </w:rPr>
            </w:pPr>
            <w:r w:rsidRPr="009B7B35">
              <w:rPr>
                <w:rFonts w:cs="Arial"/>
              </w:rPr>
              <w:t xml:space="preserve">minimise nuisance caused by noise, vibration and dust emissions generated by the state–controlled road and rail network in the vicinity. </w:t>
            </w:r>
          </w:p>
          <w:p w14:paraId="7BDBBCC2" w14:textId="77777777" w:rsidR="00BE36FB" w:rsidRPr="009B7B35" w:rsidRDefault="00BE36FB" w:rsidP="001A7107">
            <w:pPr>
              <w:pStyle w:val="TableText"/>
              <w:rPr>
                <w:rFonts w:cs="Arial"/>
              </w:rPr>
            </w:pPr>
          </w:p>
        </w:tc>
        <w:tc>
          <w:tcPr>
            <w:tcW w:w="4678" w:type="dxa"/>
          </w:tcPr>
          <w:p w14:paraId="37E55EA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F506F0A" w14:textId="77777777" w:rsidTr="001A7107">
        <w:trPr>
          <w:cantSplit/>
        </w:trPr>
        <w:tc>
          <w:tcPr>
            <w:tcW w:w="9356" w:type="dxa"/>
            <w:gridSpan w:val="2"/>
            <w:shd w:val="clear" w:color="auto" w:fill="BFBFBF" w:themeFill="background1" w:themeFillShade="BF"/>
          </w:tcPr>
          <w:p w14:paraId="19A7395D" w14:textId="77777777" w:rsidR="00BE36FB" w:rsidRPr="009B7B35" w:rsidRDefault="00BE36FB" w:rsidP="001A7107">
            <w:pPr>
              <w:pStyle w:val="Tableheading"/>
              <w:rPr>
                <w:rFonts w:ascii="Arial" w:hAnsi="Arial" w:cs="Arial"/>
                <w:szCs w:val="20"/>
              </w:rPr>
            </w:pPr>
            <w:r w:rsidRPr="009B7B35">
              <w:rPr>
                <w:rFonts w:ascii="Arial" w:hAnsi="Arial" w:cs="Arial"/>
                <w:szCs w:val="20"/>
              </w:rPr>
              <w:t>Parking areas and access</w:t>
            </w:r>
          </w:p>
        </w:tc>
      </w:tr>
      <w:tr w:rsidR="00BE36FB" w:rsidRPr="009B7B35" w14:paraId="213664C1" w14:textId="77777777" w:rsidTr="001A7107">
        <w:tc>
          <w:tcPr>
            <w:tcW w:w="4678" w:type="dxa"/>
            <w:vMerge w:val="restart"/>
          </w:tcPr>
          <w:p w14:paraId="0BC0ACB3" w14:textId="77777777" w:rsidR="00BE36FB" w:rsidRPr="009B7B35" w:rsidRDefault="00BE36FB" w:rsidP="001A7107">
            <w:pPr>
              <w:pStyle w:val="TableText"/>
              <w:rPr>
                <w:rFonts w:cs="Arial"/>
                <w:b/>
                <w:bCs/>
              </w:rPr>
            </w:pPr>
            <w:r w:rsidRPr="009B7B35">
              <w:rPr>
                <w:rFonts w:cs="Arial"/>
                <w:b/>
                <w:bCs/>
              </w:rPr>
              <w:t>PO29</w:t>
            </w:r>
          </w:p>
          <w:p w14:paraId="79AE0F3D" w14:textId="77777777" w:rsidR="00BE36FB" w:rsidRPr="009B7B35" w:rsidRDefault="00BE36FB" w:rsidP="001A7107">
            <w:pPr>
              <w:pStyle w:val="TableText"/>
              <w:rPr>
                <w:rFonts w:cs="Arial"/>
              </w:rPr>
            </w:pPr>
            <w:r w:rsidRPr="009B7B35">
              <w:rPr>
                <w:rFonts w:cs="Arial"/>
              </w:rPr>
              <w:t>Parking areas do not visually dominate the streetscape.</w:t>
            </w:r>
          </w:p>
        </w:tc>
        <w:tc>
          <w:tcPr>
            <w:tcW w:w="4678" w:type="dxa"/>
          </w:tcPr>
          <w:p w14:paraId="258B8A8D" w14:textId="77777777" w:rsidR="00BE36FB" w:rsidRPr="009B7B35" w:rsidRDefault="00BE36FB" w:rsidP="001A7107">
            <w:pPr>
              <w:pStyle w:val="TableText"/>
              <w:rPr>
                <w:rFonts w:cs="Arial"/>
                <w:b/>
                <w:bCs/>
              </w:rPr>
            </w:pPr>
            <w:r w:rsidRPr="009B7B35">
              <w:rPr>
                <w:rFonts w:cs="Arial"/>
                <w:b/>
                <w:bCs/>
              </w:rPr>
              <w:t>AO29.1</w:t>
            </w:r>
          </w:p>
          <w:p w14:paraId="754F1292" w14:textId="77777777" w:rsidR="00BE36FB" w:rsidRPr="009B7B35" w:rsidRDefault="00BE36FB" w:rsidP="001A7107">
            <w:pPr>
              <w:pStyle w:val="TableText"/>
              <w:rPr>
                <w:rFonts w:cs="Arial"/>
              </w:rPr>
            </w:pPr>
            <w:r w:rsidRPr="009B7B35">
              <w:rPr>
                <w:rFonts w:cs="Arial"/>
              </w:rPr>
              <w:t>Parking areas are:</w:t>
            </w:r>
          </w:p>
          <w:p w14:paraId="75885296" w14:textId="77777777" w:rsidR="00BE36FB" w:rsidRPr="009B7B35" w:rsidRDefault="00BE36FB" w:rsidP="00BE36FB">
            <w:pPr>
              <w:pStyle w:val="TableText"/>
              <w:numPr>
                <w:ilvl w:val="0"/>
                <w:numId w:val="144"/>
              </w:numPr>
              <w:rPr>
                <w:rFonts w:cs="Arial"/>
              </w:rPr>
            </w:pPr>
            <w:r w:rsidRPr="009B7B35">
              <w:rPr>
                <w:rFonts w:cs="Arial"/>
              </w:rPr>
              <w:t>located in a basement, or</w:t>
            </w:r>
          </w:p>
          <w:p w14:paraId="09D545E6" w14:textId="77777777" w:rsidR="00BE36FB" w:rsidRPr="009B7B35" w:rsidRDefault="00BE36FB" w:rsidP="00BE36FB">
            <w:pPr>
              <w:pStyle w:val="TableText"/>
              <w:numPr>
                <w:ilvl w:val="0"/>
                <w:numId w:val="144"/>
              </w:numPr>
              <w:rPr>
                <w:rFonts w:cs="Arial"/>
              </w:rPr>
            </w:pPr>
            <w:r w:rsidRPr="009B7B35">
              <w:rPr>
                <w:rFonts w:cs="Arial"/>
              </w:rPr>
              <w:t>setback a minimum of 15m from any street frontage and screened to allow a building edge for active uses.</w:t>
            </w:r>
          </w:p>
          <w:p w14:paraId="55E73057"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14:paraId="3DF7180F" w14:textId="77777777" w:rsidTr="001A7107">
        <w:tc>
          <w:tcPr>
            <w:tcW w:w="4678" w:type="dxa"/>
            <w:vMerge/>
          </w:tcPr>
          <w:p w14:paraId="3EC41036" w14:textId="77777777" w:rsidR="00BE36FB" w:rsidRPr="009B7B35" w:rsidRDefault="00BE36FB" w:rsidP="001A7107">
            <w:pPr>
              <w:pStyle w:val="TableText"/>
              <w:rPr>
                <w:rFonts w:cs="Arial"/>
              </w:rPr>
            </w:pPr>
          </w:p>
        </w:tc>
        <w:tc>
          <w:tcPr>
            <w:tcW w:w="4678" w:type="dxa"/>
          </w:tcPr>
          <w:p w14:paraId="02AEC821" w14:textId="77777777" w:rsidR="00BE36FB" w:rsidRPr="009B7B35" w:rsidRDefault="00BE36FB" w:rsidP="001A7107">
            <w:pPr>
              <w:pStyle w:val="TableText"/>
              <w:rPr>
                <w:rFonts w:cs="Arial"/>
                <w:b/>
                <w:bCs/>
              </w:rPr>
            </w:pPr>
            <w:r w:rsidRPr="009B7B35">
              <w:rPr>
                <w:rFonts w:cs="Arial"/>
                <w:b/>
                <w:bCs/>
              </w:rPr>
              <w:t>AO29.2</w:t>
            </w:r>
          </w:p>
          <w:p w14:paraId="06404BAB" w14:textId="77777777" w:rsidR="00BE36FB" w:rsidRPr="009B7B35" w:rsidRDefault="00BE36FB" w:rsidP="001A7107">
            <w:pPr>
              <w:pStyle w:val="TableText"/>
              <w:rPr>
                <w:rFonts w:cs="Arial"/>
              </w:rPr>
            </w:pPr>
            <w:r w:rsidRPr="009B7B35">
              <w:rPr>
                <w:rFonts w:cs="Arial"/>
              </w:rPr>
              <w:t xml:space="preserve">Vehicle loading areas: </w:t>
            </w:r>
          </w:p>
          <w:p w14:paraId="6BA3A302" w14:textId="77777777" w:rsidR="00BE36FB" w:rsidRPr="009B7B35" w:rsidRDefault="00BE36FB" w:rsidP="00BE36FB">
            <w:pPr>
              <w:pStyle w:val="TableText"/>
              <w:numPr>
                <w:ilvl w:val="0"/>
                <w:numId w:val="143"/>
              </w:numPr>
              <w:rPr>
                <w:rFonts w:cs="Arial"/>
              </w:rPr>
            </w:pPr>
            <w:r w:rsidRPr="009B7B35">
              <w:rPr>
                <w:rFonts w:cs="Arial"/>
              </w:rPr>
              <w:t>are screened from footpaths, streets and public areas by fences with screening at least 1.5m in height and are 50% visually permeable, and</w:t>
            </w:r>
          </w:p>
          <w:p w14:paraId="7FB163EC" w14:textId="77777777" w:rsidR="00BE36FB" w:rsidRPr="009B7B35" w:rsidRDefault="00BE36FB" w:rsidP="00BE36FB">
            <w:pPr>
              <w:pStyle w:val="TableText"/>
              <w:numPr>
                <w:ilvl w:val="0"/>
                <w:numId w:val="143"/>
              </w:numPr>
              <w:rPr>
                <w:rFonts w:cs="Arial"/>
              </w:rPr>
            </w:pPr>
            <w:r w:rsidRPr="009B7B35">
              <w:rPr>
                <w:rFonts w:cs="Arial"/>
              </w:rPr>
              <w:t>are not accessed via a primary frontage unless where there is no other access available to the site.</w:t>
            </w:r>
          </w:p>
          <w:p w14:paraId="53534E7E"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14:paraId="586829AC" w14:textId="77777777" w:rsidTr="001A7107">
        <w:tc>
          <w:tcPr>
            <w:tcW w:w="4678" w:type="dxa"/>
            <w:vMerge w:val="restart"/>
          </w:tcPr>
          <w:p w14:paraId="4B62BA96" w14:textId="77777777" w:rsidR="00BE36FB" w:rsidRPr="009B7B35" w:rsidRDefault="00BE36FB" w:rsidP="001A7107">
            <w:pPr>
              <w:pStyle w:val="TableText"/>
              <w:rPr>
                <w:rFonts w:cs="Arial"/>
                <w:b/>
                <w:bCs/>
              </w:rPr>
            </w:pPr>
            <w:r w:rsidRPr="009B7B35">
              <w:rPr>
                <w:rFonts w:cs="Arial"/>
                <w:b/>
                <w:bCs/>
              </w:rPr>
              <w:t>PO30</w:t>
            </w:r>
          </w:p>
          <w:p w14:paraId="259CDCBE" w14:textId="77777777" w:rsidR="00BE36FB" w:rsidRPr="009B7B35" w:rsidRDefault="00BE36FB" w:rsidP="001A7107">
            <w:pPr>
              <w:pStyle w:val="TableText"/>
              <w:rPr>
                <w:rFonts w:cs="Arial"/>
              </w:rPr>
            </w:pPr>
            <w:r w:rsidRPr="009B7B35">
              <w:rPr>
                <w:rFonts w:cs="Arial"/>
              </w:rPr>
              <w:t xml:space="preserve">Crossovers are minimised to: </w:t>
            </w:r>
          </w:p>
          <w:p w14:paraId="0DCD2D1C" w14:textId="77777777" w:rsidR="00BE36FB" w:rsidRPr="009B7B35" w:rsidRDefault="00BE36FB" w:rsidP="00BE36FB">
            <w:pPr>
              <w:pStyle w:val="TableText"/>
              <w:numPr>
                <w:ilvl w:val="0"/>
                <w:numId w:val="184"/>
              </w:numPr>
              <w:rPr>
                <w:rFonts w:cs="Arial"/>
              </w:rPr>
            </w:pPr>
            <w:r w:rsidRPr="009B7B35">
              <w:rPr>
                <w:rFonts w:cs="Arial"/>
              </w:rPr>
              <w:t>reduce conflict with pedestrians, cyclists and public transport, and</w:t>
            </w:r>
          </w:p>
          <w:p w14:paraId="1348349C" w14:textId="77777777" w:rsidR="00BE36FB" w:rsidRPr="009B7B35" w:rsidRDefault="00BE36FB" w:rsidP="00BE36FB">
            <w:pPr>
              <w:pStyle w:val="TableText"/>
              <w:numPr>
                <w:ilvl w:val="0"/>
                <w:numId w:val="184"/>
              </w:numPr>
              <w:rPr>
                <w:rFonts w:cs="Arial"/>
              </w:rPr>
            </w:pPr>
            <w:r w:rsidRPr="009B7B35">
              <w:rPr>
                <w:rFonts w:cs="Arial"/>
              </w:rPr>
              <w:t>maintain high quality streetscape environments through footpaths and street trees.</w:t>
            </w:r>
          </w:p>
        </w:tc>
        <w:tc>
          <w:tcPr>
            <w:tcW w:w="4678" w:type="dxa"/>
          </w:tcPr>
          <w:p w14:paraId="5417094E" w14:textId="77777777" w:rsidR="00BE36FB" w:rsidRPr="009B7B35" w:rsidRDefault="00BE36FB" w:rsidP="001A7107">
            <w:pPr>
              <w:pStyle w:val="TableText"/>
              <w:rPr>
                <w:rFonts w:cs="Arial"/>
                <w:b/>
                <w:bCs/>
              </w:rPr>
            </w:pPr>
            <w:r w:rsidRPr="009B7B35">
              <w:rPr>
                <w:rFonts w:cs="Arial"/>
                <w:b/>
                <w:bCs/>
              </w:rPr>
              <w:t>AO30.1</w:t>
            </w:r>
          </w:p>
          <w:p w14:paraId="12CCDDDD" w14:textId="77777777" w:rsidR="00BE36FB" w:rsidRPr="009B7B35" w:rsidRDefault="00BE36FB" w:rsidP="001A7107">
            <w:pPr>
              <w:pStyle w:val="TableText"/>
              <w:rPr>
                <w:rFonts w:cs="Arial"/>
              </w:rPr>
            </w:pPr>
            <w:r w:rsidRPr="009B7B35">
              <w:rPr>
                <w:rFonts w:cs="Arial"/>
              </w:rPr>
              <w:t>Development is limited to one crossover.</w:t>
            </w:r>
          </w:p>
        </w:tc>
      </w:tr>
      <w:tr w:rsidR="00BE36FB" w:rsidRPr="009B7B35" w14:paraId="246BF1EA" w14:textId="77777777" w:rsidTr="001A7107">
        <w:tc>
          <w:tcPr>
            <w:tcW w:w="4678" w:type="dxa"/>
            <w:vMerge/>
          </w:tcPr>
          <w:p w14:paraId="2F1382C7" w14:textId="77777777" w:rsidR="00BE36FB" w:rsidRPr="009B7B35" w:rsidRDefault="00BE36FB" w:rsidP="001A7107">
            <w:pPr>
              <w:pStyle w:val="TableText"/>
              <w:rPr>
                <w:rFonts w:cs="Arial"/>
              </w:rPr>
            </w:pPr>
          </w:p>
        </w:tc>
        <w:tc>
          <w:tcPr>
            <w:tcW w:w="4678" w:type="dxa"/>
          </w:tcPr>
          <w:p w14:paraId="1A8CD739" w14:textId="77777777" w:rsidR="00BE36FB" w:rsidRPr="009B7B35" w:rsidRDefault="00BE36FB" w:rsidP="001A7107">
            <w:pPr>
              <w:pStyle w:val="TableText"/>
              <w:rPr>
                <w:rFonts w:cs="Arial"/>
                <w:b/>
                <w:bCs/>
              </w:rPr>
            </w:pPr>
            <w:r w:rsidRPr="009B7B35">
              <w:rPr>
                <w:rFonts w:cs="Arial"/>
                <w:b/>
                <w:bCs/>
              </w:rPr>
              <w:t>AO30.2</w:t>
            </w:r>
          </w:p>
          <w:p w14:paraId="282971C3" w14:textId="77777777" w:rsidR="00BE36FB" w:rsidRPr="009B7B35" w:rsidRDefault="00BE36FB" w:rsidP="001A7107">
            <w:pPr>
              <w:pStyle w:val="TableText"/>
              <w:rPr>
                <w:rFonts w:cs="Arial"/>
              </w:rPr>
            </w:pPr>
            <w:r w:rsidRPr="009B7B35">
              <w:rPr>
                <w:rFonts w:cs="Arial"/>
              </w:rPr>
              <w:t>Vehicular access is not located on a primary frontage unless where there is no other access available to the site.</w:t>
            </w:r>
          </w:p>
          <w:p w14:paraId="58FE0753"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14:paraId="306BF81A" w14:textId="77777777" w:rsidTr="001A7107">
        <w:tc>
          <w:tcPr>
            <w:tcW w:w="9356" w:type="dxa"/>
            <w:gridSpan w:val="2"/>
            <w:shd w:val="clear" w:color="auto" w:fill="BFBFBF" w:themeFill="background1" w:themeFillShade="BF"/>
          </w:tcPr>
          <w:p w14:paraId="5C2C7406" w14:textId="77777777" w:rsidR="00BE36FB" w:rsidRPr="009B7B35" w:rsidRDefault="00BE36FB" w:rsidP="001A7107">
            <w:pPr>
              <w:pStyle w:val="Tableheading"/>
              <w:rPr>
                <w:rFonts w:ascii="Arial" w:hAnsi="Arial" w:cs="Arial"/>
                <w:szCs w:val="20"/>
              </w:rPr>
            </w:pPr>
            <w:r w:rsidRPr="009B7B35">
              <w:rPr>
                <w:rFonts w:ascii="Arial" w:hAnsi="Arial" w:cs="Arial"/>
                <w:szCs w:val="20"/>
              </w:rPr>
              <w:t>Storage areas</w:t>
            </w:r>
          </w:p>
        </w:tc>
      </w:tr>
      <w:tr w:rsidR="00BE36FB" w:rsidRPr="009B7B35" w14:paraId="02163407" w14:textId="77777777" w:rsidTr="001A7107">
        <w:trPr>
          <w:cantSplit/>
        </w:trPr>
        <w:tc>
          <w:tcPr>
            <w:tcW w:w="4678" w:type="dxa"/>
          </w:tcPr>
          <w:p w14:paraId="3919C2D4" w14:textId="77777777" w:rsidR="00BE36FB" w:rsidRPr="009B7B35" w:rsidRDefault="00BE36FB" w:rsidP="001A7107">
            <w:pPr>
              <w:pStyle w:val="TableText"/>
              <w:rPr>
                <w:rFonts w:cs="Arial"/>
                <w:b/>
                <w:bCs/>
              </w:rPr>
            </w:pPr>
            <w:r w:rsidRPr="009B7B35">
              <w:rPr>
                <w:rFonts w:cs="Arial"/>
                <w:b/>
                <w:bCs/>
              </w:rPr>
              <w:t>PO31</w:t>
            </w:r>
          </w:p>
          <w:p w14:paraId="2C542080" w14:textId="77777777" w:rsidR="00BE36FB" w:rsidRPr="009B7B35" w:rsidRDefault="00BE36FB" w:rsidP="001A7107">
            <w:pPr>
              <w:pStyle w:val="TableText"/>
              <w:rPr>
                <w:rFonts w:cs="Arial"/>
              </w:rPr>
            </w:pPr>
            <w:r w:rsidRPr="009B7B35">
              <w:rPr>
                <w:rFonts w:cs="Arial"/>
              </w:rPr>
              <w:t>Ancillary storage of goods or materials must be located in a manner that does not detract from the visual amenity of the local area.</w:t>
            </w:r>
          </w:p>
        </w:tc>
        <w:tc>
          <w:tcPr>
            <w:tcW w:w="4678" w:type="dxa"/>
          </w:tcPr>
          <w:p w14:paraId="326F8E0A" w14:textId="77777777" w:rsidR="00BE36FB" w:rsidRPr="009B7B35" w:rsidRDefault="00BE36FB" w:rsidP="001A7107">
            <w:pPr>
              <w:pStyle w:val="TableText"/>
              <w:rPr>
                <w:rFonts w:cs="Arial"/>
                <w:b/>
                <w:bCs/>
              </w:rPr>
            </w:pPr>
            <w:r w:rsidRPr="009B7B35">
              <w:rPr>
                <w:rFonts w:cs="Arial"/>
                <w:b/>
                <w:bCs/>
              </w:rPr>
              <w:t>AO31</w:t>
            </w:r>
          </w:p>
          <w:p w14:paraId="7CA8F0AB" w14:textId="77777777" w:rsidR="00BE36FB" w:rsidRPr="009B7B35" w:rsidRDefault="00BE36FB" w:rsidP="001A7107">
            <w:pPr>
              <w:pStyle w:val="TableText"/>
              <w:rPr>
                <w:rFonts w:cs="Arial"/>
              </w:rPr>
            </w:pPr>
            <w:r w:rsidRPr="009B7B35">
              <w:rPr>
                <w:rFonts w:cs="Arial"/>
              </w:rPr>
              <w:t xml:space="preserve">Equipment, materials, goods and/or, machinery used on site are either: </w:t>
            </w:r>
          </w:p>
          <w:p w14:paraId="7825C48E" w14:textId="77777777" w:rsidR="00BE36FB" w:rsidRPr="009B7B35" w:rsidRDefault="00BE36FB" w:rsidP="00BE36FB">
            <w:pPr>
              <w:pStyle w:val="TableText"/>
              <w:numPr>
                <w:ilvl w:val="0"/>
                <w:numId w:val="384"/>
              </w:numPr>
              <w:rPr>
                <w:rFonts w:cs="Arial"/>
              </w:rPr>
            </w:pPr>
            <w:r w:rsidRPr="009B7B35">
              <w:rPr>
                <w:rFonts w:cs="Arial"/>
              </w:rPr>
              <w:t>stored behind the front building setback and screened from view, or</w:t>
            </w:r>
          </w:p>
          <w:p w14:paraId="5BF28647" w14:textId="77777777" w:rsidR="00BE36FB" w:rsidRPr="009B7B35" w:rsidRDefault="00BE36FB" w:rsidP="00BE36FB">
            <w:pPr>
              <w:pStyle w:val="TableText"/>
              <w:numPr>
                <w:ilvl w:val="0"/>
                <w:numId w:val="384"/>
              </w:numPr>
              <w:rPr>
                <w:rFonts w:cs="Arial"/>
              </w:rPr>
            </w:pPr>
            <w:r w:rsidRPr="009B7B35">
              <w:rPr>
                <w:rFonts w:cs="Arial"/>
              </w:rPr>
              <w:t>stored within a building.</w:t>
            </w:r>
          </w:p>
        </w:tc>
      </w:tr>
      <w:tr w:rsidR="00BE36FB" w:rsidRPr="009B7B35" w14:paraId="4E1FBCD3" w14:textId="77777777" w:rsidTr="001A7107">
        <w:trPr>
          <w:cantSplit/>
        </w:trPr>
        <w:tc>
          <w:tcPr>
            <w:tcW w:w="9356" w:type="dxa"/>
            <w:gridSpan w:val="2"/>
            <w:shd w:val="clear" w:color="auto" w:fill="BFBFBF" w:themeFill="background1" w:themeFillShade="BF"/>
          </w:tcPr>
          <w:p w14:paraId="28D6A90A"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491AACA6" w14:textId="77777777" w:rsidTr="001A7107">
        <w:trPr>
          <w:cantSplit/>
        </w:trPr>
        <w:tc>
          <w:tcPr>
            <w:tcW w:w="4678" w:type="dxa"/>
          </w:tcPr>
          <w:p w14:paraId="329BD37A" w14:textId="77777777" w:rsidR="00BE36FB" w:rsidRPr="009B7B35" w:rsidRDefault="00BE36FB" w:rsidP="001A7107">
            <w:pPr>
              <w:pStyle w:val="TableText"/>
              <w:rPr>
                <w:rFonts w:cs="Arial"/>
                <w:b/>
                <w:bCs/>
              </w:rPr>
            </w:pPr>
            <w:r w:rsidRPr="009B7B35">
              <w:rPr>
                <w:rFonts w:cs="Arial"/>
                <w:b/>
                <w:bCs/>
              </w:rPr>
              <w:t>PO32</w:t>
            </w:r>
          </w:p>
          <w:p w14:paraId="1F0CCD95" w14:textId="77777777"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14:paraId="493793F0" w14:textId="77777777" w:rsidR="00BE36FB" w:rsidRPr="009B7B35" w:rsidRDefault="00BE36FB" w:rsidP="00BE36FB">
            <w:pPr>
              <w:pStyle w:val="TableText"/>
              <w:numPr>
                <w:ilvl w:val="0"/>
                <w:numId w:val="383"/>
              </w:numPr>
              <w:ind w:left="510" w:hanging="510"/>
              <w:rPr>
                <w:rFonts w:cs="Arial"/>
              </w:rPr>
            </w:pPr>
            <w:r w:rsidRPr="009B7B35">
              <w:rPr>
                <w:rFonts w:cs="Arial"/>
              </w:rPr>
              <w:t>any hazards to people or property are avoided</w:t>
            </w:r>
          </w:p>
          <w:p w14:paraId="74332A9D" w14:textId="77777777" w:rsidR="00BE36FB" w:rsidRPr="009B7B35" w:rsidRDefault="00BE36FB" w:rsidP="00BE36FB">
            <w:pPr>
              <w:pStyle w:val="TableText"/>
              <w:numPr>
                <w:ilvl w:val="0"/>
                <w:numId w:val="383"/>
              </w:numPr>
              <w:ind w:left="510" w:hanging="510"/>
              <w:rPr>
                <w:rFonts w:cs="Arial"/>
              </w:rPr>
            </w:pPr>
            <w:r w:rsidRPr="009B7B35">
              <w:rPr>
                <w:rFonts w:cs="Arial"/>
              </w:rPr>
              <w:t>any earthworks are minimised</w:t>
            </w:r>
          </w:p>
          <w:p w14:paraId="69F6AD5D" w14:textId="77777777" w:rsidR="00BE36FB" w:rsidRPr="009B7B35" w:rsidRDefault="00BE36FB" w:rsidP="00BE36FB">
            <w:pPr>
              <w:pStyle w:val="TableText"/>
              <w:numPr>
                <w:ilvl w:val="0"/>
                <w:numId w:val="383"/>
              </w:numPr>
              <w:ind w:left="510" w:hanging="510"/>
              <w:rPr>
                <w:rFonts w:cs="Arial"/>
              </w:rPr>
            </w:pPr>
            <w:r w:rsidRPr="009B7B35">
              <w:rPr>
                <w:rFonts w:cs="Arial"/>
              </w:rPr>
              <w:t>the retention of natural drainage lines is maximised</w:t>
            </w:r>
          </w:p>
          <w:p w14:paraId="3765AB04" w14:textId="77777777" w:rsidR="00BE36FB" w:rsidRPr="009B7B35" w:rsidRDefault="00BE36FB" w:rsidP="00BE36FB">
            <w:pPr>
              <w:pStyle w:val="TableText"/>
              <w:numPr>
                <w:ilvl w:val="0"/>
                <w:numId w:val="383"/>
              </w:numPr>
              <w:ind w:left="510" w:hanging="510"/>
              <w:rPr>
                <w:rFonts w:cs="Arial"/>
              </w:rPr>
            </w:pPr>
            <w:r w:rsidRPr="009B7B35">
              <w:rPr>
                <w:rFonts w:cs="Arial"/>
              </w:rPr>
              <w:t>the retention of existing vegetation is maximised</w:t>
            </w:r>
          </w:p>
          <w:p w14:paraId="525E9750" w14:textId="77777777" w:rsidR="00BE36FB" w:rsidRPr="009B7B35" w:rsidRDefault="00BE36FB" w:rsidP="00BE36FB">
            <w:pPr>
              <w:pStyle w:val="TableText"/>
              <w:numPr>
                <w:ilvl w:val="0"/>
                <w:numId w:val="383"/>
              </w:numPr>
              <w:ind w:left="510" w:hanging="510"/>
              <w:rPr>
                <w:rFonts w:cs="Arial"/>
              </w:rPr>
            </w:pPr>
            <w:r w:rsidRPr="009B7B35">
              <w:rPr>
                <w:rFonts w:cs="Arial"/>
              </w:rPr>
              <w:t xml:space="preserve">damage or disruption to sewerage, stormwater and water infrastructure is avoided, and </w:t>
            </w:r>
          </w:p>
          <w:p w14:paraId="11DFB042" w14:textId="77777777" w:rsidR="00BE36FB" w:rsidRPr="009B7B35" w:rsidRDefault="00BE36FB" w:rsidP="00BE36FB">
            <w:pPr>
              <w:pStyle w:val="TableText"/>
              <w:numPr>
                <w:ilvl w:val="0"/>
                <w:numId w:val="383"/>
              </w:numPr>
              <w:ind w:left="510" w:hanging="510"/>
              <w:rPr>
                <w:rFonts w:cs="Arial"/>
              </w:rPr>
            </w:pPr>
            <w:r w:rsidRPr="009B7B35">
              <w:rPr>
                <w:rFonts w:cs="Arial"/>
              </w:rPr>
              <w:t>there is adequate buffering, screening or separation to adjoining development.</w:t>
            </w:r>
          </w:p>
        </w:tc>
        <w:tc>
          <w:tcPr>
            <w:tcW w:w="4678" w:type="dxa"/>
          </w:tcPr>
          <w:p w14:paraId="4D797F6F"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427CF27" w14:textId="77777777" w:rsidTr="001A7107">
        <w:trPr>
          <w:cantSplit/>
        </w:trPr>
        <w:tc>
          <w:tcPr>
            <w:tcW w:w="4678" w:type="dxa"/>
          </w:tcPr>
          <w:p w14:paraId="1F5E48A7" w14:textId="77777777" w:rsidR="00BE36FB" w:rsidRPr="009B7B35" w:rsidRDefault="00BE36FB" w:rsidP="001A7107">
            <w:pPr>
              <w:pStyle w:val="TableText"/>
              <w:rPr>
                <w:rFonts w:cs="Arial"/>
                <w:b/>
                <w:bCs/>
              </w:rPr>
            </w:pPr>
            <w:r w:rsidRPr="009B7B35">
              <w:rPr>
                <w:rFonts w:cs="Arial"/>
                <w:b/>
                <w:bCs/>
              </w:rPr>
              <w:t>PO33</w:t>
            </w:r>
          </w:p>
          <w:p w14:paraId="7F15FB2B" w14:textId="77777777" w:rsidR="00BE36FB" w:rsidRPr="009B7B35" w:rsidRDefault="00BE36FB" w:rsidP="001A7107">
            <w:pPr>
              <w:pStyle w:val="TableText"/>
              <w:rPr>
                <w:rFonts w:cs="Arial"/>
              </w:rPr>
            </w:pPr>
            <w:r w:rsidRPr="009B7B35">
              <w:rPr>
                <w:rFonts w:cs="Arial"/>
              </w:rPr>
              <w:t xml:space="preserve">Residential development where located near port facilities, major industries and major infrastructure must mitigate operational effects including: </w:t>
            </w:r>
          </w:p>
          <w:p w14:paraId="09518BEC" w14:textId="77777777" w:rsidR="00BE36FB" w:rsidRPr="009B7B35" w:rsidRDefault="00BE36FB" w:rsidP="00BE36FB">
            <w:pPr>
              <w:pStyle w:val="TableText"/>
              <w:numPr>
                <w:ilvl w:val="0"/>
                <w:numId w:val="382"/>
              </w:numPr>
              <w:rPr>
                <w:rFonts w:cs="Arial"/>
              </w:rPr>
            </w:pPr>
            <w:r w:rsidRPr="009B7B35">
              <w:rPr>
                <w:rFonts w:cs="Arial"/>
              </w:rPr>
              <w:t xml:space="preserve">using air–conditioning or other energy–efficient ventilation, where necessary, to minimise the effects of odours and emissions, and </w:t>
            </w:r>
          </w:p>
          <w:p w14:paraId="18719469" w14:textId="77777777" w:rsidR="00BE36FB" w:rsidRPr="009B7B35" w:rsidRDefault="00BE36FB" w:rsidP="00BE36FB">
            <w:pPr>
              <w:pStyle w:val="TableText"/>
              <w:numPr>
                <w:ilvl w:val="0"/>
                <w:numId w:val="382"/>
              </w:numPr>
              <w:rPr>
                <w:rFonts w:cs="Arial"/>
              </w:rPr>
            </w:pPr>
            <w:r w:rsidRPr="009B7B35">
              <w:rPr>
                <w:rFonts w:cs="Arial"/>
              </w:rPr>
              <w:t>comprehensive on site landscaping to provide visual relief from the industrial landscape.</w:t>
            </w:r>
          </w:p>
        </w:tc>
        <w:tc>
          <w:tcPr>
            <w:tcW w:w="4678" w:type="dxa"/>
          </w:tcPr>
          <w:p w14:paraId="5857320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AFFE172" w14:textId="77777777" w:rsidTr="001A7107">
        <w:trPr>
          <w:cantSplit/>
        </w:trPr>
        <w:tc>
          <w:tcPr>
            <w:tcW w:w="9356" w:type="dxa"/>
            <w:gridSpan w:val="2"/>
            <w:shd w:val="clear" w:color="auto" w:fill="BFBFBF" w:themeFill="background1" w:themeFillShade="BF"/>
          </w:tcPr>
          <w:p w14:paraId="2642C803" w14:textId="77777777" w:rsidR="00BE36FB" w:rsidRPr="009B7B35" w:rsidRDefault="00BE36FB" w:rsidP="001A7107">
            <w:pPr>
              <w:pStyle w:val="Tableheading"/>
              <w:rPr>
                <w:rFonts w:ascii="Arial" w:hAnsi="Arial" w:cs="Arial"/>
                <w:szCs w:val="20"/>
              </w:rPr>
            </w:pPr>
            <w:r w:rsidRPr="009B7B35">
              <w:rPr>
                <w:rFonts w:ascii="Arial" w:hAnsi="Arial" w:cs="Arial"/>
                <w:szCs w:val="20"/>
              </w:rPr>
              <w:t>Use – Child care centre</w:t>
            </w:r>
          </w:p>
        </w:tc>
      </w:tr>
      <w:tr w:rsidR="00BE36FB" w:rsidRPr="009B7B35" w14:paraId="16E767C7" w14:textId="77777777" w:rsidTr="001A7107">
        <w:tc>
          <w:tcPr>
            <w:tcW w:w="4678" w:type="dxa"/>
          </w:tcPr>
          <w:p w14:paraId="7578C1C1" w14:textId="77777777" w:rsidR="00BE36FB" w:rsidRPr="009B7B35" w:rsidRDefault="00BE36FB" w:rsidP="001A7107">
            <w:pPr>
              <w:pStyle w:val="TableText"/>
              <w:rPr>
                <w:rFonts w:cs="Arial"/>
                <w:b/>
                <w:bCs/>
              </w:rPr>
            </w:pPr>
            <w:r w:rsidRPr="009B7B35">
              <w:rPr>
                <w:rFonts w:cs="Arial"/>
                <w:b/>
                <w:bCs/>
              </w:rPr>
              <w:t>PO34</w:t>
            </w:r>
          </w:p>
          <w:p w14:paraId="34AE0652" w14:textId="77777777" w:rsidR="00BE36FB" w:rsidRPr="009B7B35" w:rsidRDefault="00BE36FB" w:rsidP="001A7107">
            <w:pPr>
              <w:pStyle w:val="TableText"/>
              <w:rPr>
                <w:rFonts w:cs="Arial"/>
              </w:rPr>
            </w:pPr>
            <w:r w:rsidRPr="009B7B35">
              <w:rPr>
                <w:rFonts w:cs="Arial"/>
              </w:rPr>
              <w:t>Development is:</w:t>
            </w:r>
          </w:p>
          <w:p w14:paraId="13353F59" w14:textId="77777777" w:rsidR="00BE36FB" w:rsidRPr="009B7B35" w:rsidRDefault="00BE36FB" w:rsidP="00BE36FB">
            <w:pPr>
              <w:pStyle w:val="TableText"/>
              <w:numPr>
                <w:ilvl w:val="0"/>
                <w:numId w:val="147"/>
              </w:numPr>
              <w:rPr>
                <w:rFonts w:cs="Arial"/>
              </w:rPr>
            </w:pPr>
            <w:r w:rsidRPr="009B7B35">
              <w:rPr>
                <w:rFonts w:cs="Arial"/>
              </w:rPr>
              <w:t>compatible with neighbouring uses</w:t>
            </w:r>
          </w:p>
          <w:p w14:paraId="7CCBFEB6" w14:textId="77777777" w:rsidR="00BE36FB" w:rsidRPr="009B7B35" w:rsidRDefault="00BE36FB" w:rsidP="00BE36FB">
            <w:pPr>
              <w:pStyle w:val="TableText"/>
              <w:numPr>
                <w:ilvl w:val="0"/>
                <w:numId w:val="147"/>
              </w:numPr>
              <w:rPr>
                <w:rFonts w:cs="Arial"/>
              </w:rPr>
            </w:pPr>
            <w:r w:rsidRPr="009B7B35">
              <w:rPr>
                <w:rFonts w:cs="Arial"/>
              </w:rPr>
              <w:t>complementary to local character and amenity</w:t>
            </w:r>
          </w:p>
          <w:p w14:paraId="38F793F7" w14:textId="77777777" w:rsidR="00BE36FB" w:rsidRPr="009B7B35" w:rsidRDefault="00BE36FB" w:rsidP="00BE36FB">
            <w:pPr>
              <w:pStyle w:val="TableText"/>
              <w:numPr>
                <w:ilvl w:val="0"/>
                <w:numId w:val="147"/>
              </w:numPr>
              <w:rPr>
                <w:rFonts w:cs="Arial"/>
              </w:rPr>
            </w:pPr>
            <w:r w:rsidRPr="009B7B35">
              <w:rPr>
                <w:rFonts w:cs="Arial"/>
              </w:rPr>
              <w:t>supports the day to day needs of residents</w:t>
            </w:r>
          </w:p>
          <w:p w14:paraId="0CF42A59" w14:textId="77777777" w:rsidR="00BE36FB" w:rsidRPr="009B7B35" w:rsidRDefault="00BE36FB" w:rsidP="00BE36FB">
            <w:pPr>
              <w:pStyle w:val="TableText"/>
              <w:numPr>
                <w:ilvl w:val="0"/>
                <w:numId w:val="147"/>
              </w:numPr>
              <w:rPr>
                <w:rFonts w:cs="Arial"/>
              </w:rPr>
            </w:pPr>
            <w:r w:rsidRPr="009B7B35">
              <w:rPr>
                <w:rFonts w:cs="Arial"/>
              </w:rPr>
              <w:t>located on a site which adequately accommodates activity needs and space requirements.</w:t>
            </w:r>
          </w:p>
        </w:tc>
        <w:tc>
          <w:tcPr>
            <w:tcW w:w="4678" w:type="dxa"/>
          </w:tcPr>
          <w:p w14:paraId="0E0953FA"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6B4705F" w14:textId="77777777" w:rsidTr="001A7107">
        <w:tc>
          <w:tcPr>
            <w:tcW w:w="4678" w:type="dxa"/>
          </w:tcPr>
          <w:p w14:paraId="4684FB7C" w14:textId="77777777" w:rsidR="00BE36FB" w:rsidRPr="009B7B35" w:rsidRDefault="00BE36FB" w:rsidP="001A7107">
            <w:pPr>
              <w:pStyle w:val="TableText"/>
              <w:rPr>
                <w:rFonts w:cs="Arial"/>
                <w:b/>
                <w:bCs/>
              </w:rPr>
            </w:pPr>
            <w:r w:rsidRPr="009B7B35">
              <w:rPr>
                <w:rFonts w:cs="Arial"/>
                <w:b/>
                <w:bCs/>
              </w:rPr>
              <w:t>PO35</w:t>
            </w:r>
          </w:p>
          <w:p w14:paraId="76B094BE" w14:textId="77777777" w:rsidR="00BE36FB" w:rsidRPr="009B7B35" w:rsidRDefault="00BE36FB" w:rsidP="001A7107">
            <w:pPr>
              <w:pStyle w:val="TableText"/>
              <w:rPr>
                <w:rFonts w:cs="Arial"/>
              </w:rPr>
            </w:pPr>
            <w:r w:rsidRPr="009B7B35">
              <w:rPr>
                <w:rFonts w:cs="Arial"/>
              </w:rPr>
              <w:t>Development does not adversely impact on the amenity of area.</w:t>
            </w:r>
          </w:p>
        </w:tc>
        <w:tc>
          <w:tcPr>
            <w:tcW w:w="4678" w:type="dxa"/>
          </w:tcPr>
          <w:p w14:paraId="6F472EE9" w14:textId="77777777" w:rsidR="00BE36FB" w:rsidRPr="009B7B35" w:rsidRDefault="00BE36FB" w:rsidP="001A7107">
            <w:pPr>
              <w:pStyle w:val="TableText"/>
              <w:rPr>
                <w:rFonts w:cs="Arial"/>
                <w:b/>
                <w:bCs/>
              </w:rPr>
            </w:pPr>
            <w:r w:rsidRPr="009B7B35">
              <w:rPr>
                <w:rFonts w:cs="Arial"/>
                <w:b/>
                <w:bCs/>
              </w:rPr>
              <w:t>AO35</w:t>
            </w:r>
          </w:p>
          <w:p w14:paraId="18DFA472" w14:textId="77777777" w:rsidR="00BE36FB" w:rsidRPr="009B7B35" w:rsidRDefault="00BE36FB" w:rsidP="001A7107">
            <w:pPr>
              <w:pStyle w:val="TableText"/>
              <w:rPr>
                <w:rFonts w:cs="Arial"/>
              </w:rPr>
            </w:pPr>
            <w:r w:rsidRPr="009B7B35">
              <w:rPr>
                <w:rFonts w:cs="Arial"/>
              </w:rPr>
              <w:t>Hours of operation are limited to between 6am and 7pm daily.</w:t>
            </w:r>
          </w:p>
        </w:tc>
      </w:tr>
      <w:tr w:rsidR="00BE36FB" w:rsidRPr="009B7B35" w14:paraId="256157C2" w14:textId="77777777" w:rsidTr="001A7107">
        <w:trPr>
          <w:cantSplit/>
        </w:trPr>
        <w:tc>
          <w:tcPr>
            <w:tcW w:w="4678" w:type="dxa"/>
          </w:tcPr>
          <w:p w14:paraId="6347C6E0" w14:textId="77777777" w:rsidR="00BE36FB" w:rsidRPr="009B7B35" w:rsidRDefault="00BE36FB" w:rsidP="001A7107">
            <w:pPr>
              <w:pStyle w:val="TableText"/>
              <w:rPr>
                <w:rFonts w:cs="Arial"/>
                <w:b/>
                <w:bCs/>
              </w:rPr>
            </w:pPr>
            <w:r w:rsidRPr="009B7B35">
              <w:rPr>
                <w:rFonts w:cs="Arial"/>
                <w:b/>
                <w:bCs/>
              </w:rPr>
              <w:t>PO36</w:t>
            </w:r>
          </w:p>
          <w:p w14:paraId="53A55B76" w14:textId="77777777" w:rsidR="00BE36FB" w:rsidRPr="009B7B35" w:rsidRDefault="00BE36FB" w:rsidP="001A7107">
            <w:pPr>
              <w:pStyle w:val="TableText"/>
              <w:rPr>
                <w:rFonts w:cs="Arial"/>
              </w:rPr>
            </w:pPr>
            <w:r w:rsidRPr="009B7B35">
              <w:rPr>
                <w:rFonts w:cs="Arial"/>
              </w:rPr>
              <w:t xml:space="preserve">Where adjoining a residential use, development must ensure residential amenity is maintained on adjoining properties. </w:t>
            </w:r>
          </w:p>
        </w:tc>
        <w:tc>
          <w:tcPr>
            <w:tcW w:w="4678" w:type="dxa"/>
          </w:tcPr>
          <w:p w14:paraId="09B2A0C7" w14:textId="77777777" w:rsidR="00BE36FB" w:rsidRPr="009B7B35" w:rsidRDefault="00BE36FB" w:rsidP="001A7107">
            <w:pPr>
              <w:pStyle w:val="TableText"/>
              <w:rPr>
                <w:rFonts w:cs="Arial"/>
                <w:b/>
                <w:bCs/>
              </w:rPr>
            </w:pPr>
            <w:r w:rsidRPr="009B7B35">
              <w:rPr>
                <w:rFonts w:cs="Arial"/>
                <w:b/>
                <w:bCs/>
              </w:rPr>
              <w:t>AO36</w:t>
            </w:r>
          </w:p>
          <w:p w14:paraId="24CE9CC8" w14:textId="77777777" w:rsidR="00BE36FB" w:rsidRPr="009B7B35" w:rsidRDefault="00BE36FB" w:rsidP="001A7107">
            <w:pPr>
              <w:pStyle w:val="TableText"/>
              <w:rPr>
                <w:rFonts w:cs="Arial"/>
              </w:rPr>
            </w:pPr>
            <w:r w:rsidRPr="009B7B35">
              <w:rPr>
                <w:rFonts w:cs="Arial"/>
              </w:rPr>
              <w:t xml:space="preserve">Development provides a 1.8m acoustic screen fence where adjoining a residential use. </w:t>
            </w:r>
          </w:p>
        </w:tc>
      </w:tr>
      <w:tr w:rsidR="00BE36FB" w:rsidRPr="009B7B35" w14:paraId="7D08DC95" w14:textId="77777777" w:rsidTr="001A7107">
        <w:trPr>
          <w:cantSplit/>
        </w:trPr>
        <w:tc>
          <w:tcPr>
            <w:tcW w:w="4678" w:type="dxa"/>
            <w:vMerge w:val="restart"/>
          </w:tcPr>
          <w:p w14:paraId="227082AC" w14:textId="77777777" w:rsidR="00BE36FB" w:rsidRPr="009B7B35" w:rsidRDefault="00BE36FB" w:rsidP="001A7107">
            <w:pPr>
              <w:pStyle w:val="TableText"/>
              <w:rPr>
                <w:rFonts w:cs="Arial"/>
                <w:b/>
                <w:bCs/>
              </w:rPr>
            </w:pPr>
            <w:r w:rsidRPr="009B7B35">
              <w:rPr>
                <w:rFonts w:cs="Arial"/>
                <w:b/>
                <w:bCs/>
              </w:rPr>
              <w:t>PO37</w:t>
            </w:r>
          </w:p>
          <w:p w14:paraId="5151C81D" w14:textId="77777777" w:rsidR="00BE36FB" w:rsidRPr="009B7B35" w:rsidRDefault="00BE36FB" w:rsidP="001A7107">
            <w:pPr>
              <w:pStyle w:val="TableText"/>
              <w:rPr>
                <w:rFonts w:cs="Arial"/>
              </w:rPr>
            </w:pPr>
            <w:r w:rsidRPr="009B7B35">
              <w:rPr>
                <w:rFonts w:cs="Arial"/>
              </w:rPr>
              <w:t>Development minimises:</w:t>
            </w:r>
          </w:p>
          <w:p w14:paraId="4976F340" w14:textId="77777777" w:rsidR="00BE36FB" w:rsidRPr="009B7B35" w:rsidRDefault="00BE36FB" w:rsidP="00BE36FB">
            <w:pPr>
              <w:pStyle w:val="TableText"/>
              <w:numPr>
                <w:ilvl w:val="0"/>
                <w:numId w:val="378"/>
              </w:numPr>
              <w:rPr>
                <w:rFonts w:cs="Arial"/>
              </w:rPr>
            </w:pPr>
            <w:r w:rsidRPr="009B7B35">
              <w:rPr>
                <w:rFonts w:cs="Arial"/>
              </w:rPr>
              <w:t>the hazards of heavy traffic</w:t>
            </w:r>
          </w:p>
          <w:p w14:paraId="735EBB9C" w14:textId="77777777" w:rsidR="00BE36FB" w:rsidRPr="009B7B35" w:rsidRDefault="00BE36FB" w:rsidP="00BE36FB">
            <w:pPr>
              <w:pStyle w:val="TableText"/>
              <w:numPr>
                <w:ilvl w:val="0"/>
                <w:numId w:val="378"/>
              </w:numPr>
              <w:rPr>
                <w:rFonts w:cs="Arial"/>
              </w:rPr>
            </w:pPr>
            <w:r w:rsidRPr="009B7B35">
              <w:rPr>
                <w:rFonts w:cs="Arial"/>
              </w:rPr>
              <w:t>introduction of non–local traffic into minor, residential streets, and</w:t>
            </w:r>
          </w:p>
          <w:p w14:paraId="145035F4" w14:textId="77777777" w:rsidR="00BE36FB" w:rsidRPr="009B7B35" w:rsidRDefault="00BE36FB" w:rsidP="00BE36FB">
            <w:pPr>
              <w:pStyle w:val="TableText"/>
              <w:numPr>
                <w:ilvl w:val="0"/>
                <w:numId w:val="378"/>
              </w:numPr>
              <w:rPr>
                <w:rFonts w:cs="Arial"/>
              </w:rPr>
            </w:pPr>
            <w:r w:rsidRPr="009B7B35">
              <w:rPr>
                <w:rFonts w:cs="Arial"/>
              </w:rPr>
              <w:t>on–site conflict between children’s activities, pedestrian movement, vehicle movement and car parking.</w:t>
            </w:r>
          </w:p>
        </w:tc>
        <w:tc>
          <w:tcPr>
            <w:tcW w:w="4678" w:type="dxa"/>
          </w:tcPr>
          <w:p w14:paraId="643282DE" w14:textId="77777777" w:rsidR="00BE36FB" w:rsidRPr="009B7B35" w:rsidRDefault="00BE36FB" w:rsidP="001A7107">
            <w:pPr>
              <w:pStyle w:val="TableText"/>
              <w:rPr>
                <w:rFonts w:cs="Arial"/>
                <w:b/>
                <w:bCs/>
              </w:rPr>
            </w:pPr>
            <w:r w:rsidRPr="009B7B35">
              <w:rPr>
                <w:rFonts w:cs="Arial"/>
                <w:b/>
                <w:bCs/>
              </w:rPr>
              <w:t>AO37.1</w:t>
            </w:r>
          </w:p>
          <w:p w14:paraId="00D36574" w14:textId="77777777" w:rsidR="00BE36FB" w:rsidRPr="009B7B35" w:rsidRDefault="00BE36FB" w:rsidP="001A7107">
            <w:pPr>
              <w:pStyle w:val="TableText"/>
              <w:rPr>
                <w:rFonts w:cs="Arial"/>
              </w:rPr>
            </w:pPr>
            <w:r w:rsidRPr="009B7B35">
              <w:rPr>
                <w:rFonts w:cs="Arial"/>
              </w:rPr>
              <w:t>The use is not accessed from:</w:t>
            </w:r>
          </w:p>
          <w:p w14:paraId="48E7CEB5" w14:textId="77777777" w:rsidR="00BE36FB" w:rsidRPr="009B7B35" w:rsidRDefault="00BE36FB" w:rsidP="00BE36FB">
            <w:pPr>
              <w:pStyle w:val="TableText"/>
              <w:numPr>
                <w:ilvl w:val="0"/>
                <w:numId w:val="379"/>
              </w:numPr>
              <w:ind w:left="652" w:hanging="652"/>
              <w:rPr>
                <w:rFonts w:cs="Arial"/>
              </w:rPr>
            </w:pPr>
            <w:r w:rsidRPr="009B7B35">
              <w:rPr>
                <w:rFonts w:cs="Arial"/>
              </w:rPr>
              <w:t>arterial/sub–arterial routes, or</w:t>
            </w:r>
          </w:p>
          <w:p w14:paraId="7FF1DF1A" w14:textId="77777777" w:rsidR="00BE36FB" w:rsidRPr="009B7B35" w:rsidRDefault="00BE36FB" w:rsidP="00BE36FB">
            <w:pPr>
              <w:pStyle w:val="TableText"/>
              <w:numPr>
                <w:ilvl w:val="0"/>
                <w:numId w:val="379"/>
              </w:numPr>
              <w:ind w:left="652" w:hanging="652"/>
              <w:rPr>
                <w:rFonts w:cs="Arial"/>
              </w:rPr>
            </w:pPr>
            <w:r w:rsidRPr="009B7B35">
              <w:rPr>
                <w:rFonts w:cs="Arial"/>
              </w:rPr>
              <w:t>an access street or access place.</w:t>
            </w:r>
          </w:p>
        </w:tc>
      </w:tr>
      <w:tr w:rsidR="00BE36FB" w:rsidRPr="009B7B35" w14:paraId="0BACA01D" w14:textId="77777777" w:rsidTr="001A7107">
        <w:trPr>
          <w:cantSplit/>
        </w:trPr>
        <w:tc>
          <w:tcPr>
            <w:tcW w:w="4678" w:type="dxa"/>
            <w:vMerge/>
          </w:tcPr>
          <w:p w14:paraId="58032EF2" w14:textId="77777777" w:rsidR="00BE36FB" w:rsidRPr="009B7B35" w:rsidRDefault="00BE36FB" w:rsidP="001A7107">
            <w:pPr>
              <w:pStyle w:val="TableText"/>
              <w:rPr>
                <w:rFonts w:cs="Arial"/>
              </w:rPr>
            </w:pPr>
          </w:p>
        </w:tc>
        <w:tc>
          <w:tcPr>
            <w:tcW w:w="4678" w:type="dxa"/>
          </w:tcPr>
          <w:p w14:paraId="0D2CECA2" w14:textId="77777777" w:rsidR="00BE36FB" w:rsidRPr="009B7B35" w:rsidRDefault="00BE36FB" w:rsidP="001A7107">
            <w:pPr>
              <w:pStyle w:val="TableText"/>
              <w:rPr>
                <w:rFonts w:cs="Arial"/>
                <w:b/>
                <w:bCs/>
              </w:rPr>
            </w:pPr>
            <w:r w:rsidRPr="009B7B35">
              <w:rPr>
                <w:rFonts w:cs="Arial"/>
                <w:b/>
                <w:bCs/>
              </w:rPr>
              <w:t>AO37.2</w:t>
            </w:r>
          </w:p>
          <w:p w14:paraId="0F7EB9DA" w14:textId="77777777" w:rsidR="00BE36FB" w:rsidRPr="009B7B35" w:rsidRDefault="00BE36FB" w:rsidP="001A7107">
            <w:pPr>
              <w:pStyle w:val="TableText"/>
              <w:rPr>
                <w:rFonts w:cs="Arial"/>
              </w:rPr>
            </w:pPr>
            <w:r w:rsidRPr="009B7B35">
              <w:rPr>
                <w:rFonts w:cs="Arial"/>
              </w:rPr>
              <w:t>Parking spaces are located so that children are not required to cross the driveway or vehicular access way to reach the building.</w:t>
            </w:r>
          </w:p>
        </w:tc>
      </w:tr>
      <w:tr w:rsidR="00BE36FB" w:rsidRPr="009B7B35" w14:paraId="745724C5" w14:textId="77777777" w:rsidTr="001A7107">
        <w:trPr>
          <w:cantSplit/>
        </w:trPr>
        <w:tc>
          <w:tcPr>
            <w:tcW w:w="9356" w:type="dxa"/>
            <w:gridSpan w:val="2"/>
            <w:shd w:val="clear" w:color="auto" w:fill="BFBFBF" w:themeFill="background1" w:themeFillShade="BF"/>
          </w:tcPr>
          <w:p w14:paraId="788729AF" w14:textId="77777777" w:rsidR="00BE36FB" w:rsidRPr="009B7B35" w:rsidRDefault="00BE36FB" w:rsidP="001A7107">
            <w:pPr>
              <w:pStyle w:val="Tableheading"/>
              <w:rPr>
                <w:rFonts w:ascii="Arial" w:hAnsi="Arial" w:cs="Arial"/>
                <w:szCs w:val="20"/>
              </w:rPr>
            </w:pPr>
            <w:r w:rsidRPr="009B7B35">
              <w:rPr>
                <w:rFonts w:ascii="Arial" w:hAnsi="Arial" w:cs="Arial"/>
                <w:szCs w:val="20"/>
              </w:rPr>
              <w:t>Uses – Multiple dwelling, Retirement facility, Residential care facility, Rooming accommodation</w:t>
            </w:r>
          </w:p>
        </w:tc>
      </w:tr>
      <w:tr w:rsidR="00BE36FB" w:rsidRPr="009B7B35" w14:paraId="283CE050" w14:textId="77777777" w:rsidTr="001A7107">
        <w:trPr>
          <w:cantSplit/>
        </w:trPr>
        <w:tc>
          <w:tcPr>
            <w:tcW w:w="4678" w:type="dxa"/>
          </w:tcPr>
          <w:p w14:paraId="4E2A7FB1" w14:textId="77777777" w:rsidR="00BE36FB" w:rsidRPr="009B7B35" w:rsidRDefault="00BE36FB" w:rsidP="001A7107">
            <w:pPr>
              <w:pStyle w:val="TableText"/>
              <w:rPr>
                <w:rFonts w:cs="Arial"/>
                <w:b/>
                <w:bCs/>
              </w:rPr>
            </w:pPr>
            <w:r w:rsidRPr="009B7B35">
              <w:rPr>
                <w:rFonts w:cs="Arial"/>
                <w:b/>
                <w:bCs/>
              </w:rPr>
              <w:t>PO38</w:t>
            </w:r>
          </w:p>
          <w:p w14:paraId="4F719951" w14:textId="77777777" w:rsidR="00BE36FB" w:rsidRPr="009B7B35" w:rsidRDefault="00BE36FB" w:rsidP="001A7107">
            <w:pPr>
              <w:pStyle w:val="TableText"/>
              <w:rPr>
                <w:rFonts w:cs="Arial"/>
              </w:rPr>
            </w:pPr>
            <w:r w:rsidRPr="009B7B35">
              <w:rPr>
                <w:rFonts w:cs="Arial"/>
              </w:rPr>
              <w:t>Development on a primary frontage does not compromise ground level business activities being established.</w:t>
            </w:r>
          </w:p>
        </w:tc>
        <w:tc>
          <w:tcPr>
            <w:tcW w:w="4678" w:type="dxa"/>
          </w:tcPr>
          <w:p w14:paraId="5413A778" w14:textId="77777777" w:rsidR="00BE36FB" w:rsidRPr="009B7B35" w:rsidRDefault="00BE36FB" w:rsidP="001A7107">
            <w:pPr>
              <w:pStyle w:val="TableText"/>
              <w:rPr>
                <w:rFonts w:cs="Arial"/>
                <w:b/>
                <w:bCs/>
              </w:rPr>
            </w:pPr>
            <w:r w:rsidRPr="009B7B35">
              <w:rPr>
                <w:rFonts w:cs="Arial"/>
                <w:b/>
                <w:bCs/>
              </w:rPr>
              <w:t>AO38</w:t>
            </w:r>
          </w:p>
          <w:p w14:paraId="110C87C7" w14:textId="77777777" w:rsidR="00BE36FB" w:rsidRPr="009B7B35" w:rsidRDefault="00BE36FB" w:rsidP="001A7107">
            <w:pPr>
              <w:pStyle w:val="TableText"/>
              <w:rPr>
                <w:rFonts w:cs="Arial"/>
              </w:rPr>
            </w:pPr>
            <w:r w:rsidRPr="009B7B35">
              <w:rPr>
                <w:rFonts w:cs="Arial"/>
              </w:rPr>
              <w:t>Development on a primary frontage is located either above the ground floor level, or to the rear of ground level business activities.</w:t>
            </w:r>
          </w:p>
          <w:p w14:paraId="28C1A753"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14:paraId="2FCA517D" w14:textId="77777777" w:rsidTr="001A7107">
        <w:trPr>
          <w:cantSplit/>
        </w:trPr>
        <w:tc>
          <w:tcPr>
            <w:tcW w:w="4678" w:type="dxa"/>
          </w:tcPr>
          <w:p w14:paraId="427629A4" w14:textId="77777777" w:rsidR="00BE36FB" w:rsidRPr="009B7B35" w:rsidRDefault="00BE36FB" w:rsidP="001A7107">
            <w:pPr>
              <w:pStyle w:val="TableText"/>
              <w:rPr>
                <w:rFonts w:cs="Arial"/>
                <w:b/>
                <w:bCs/>
              </w:rPr>
            </w:pPr>
            <w:r w:rsidRPr="009B7B35">
              <w:rPr>
                <w:rFonts w:cs="Arial"/>
                <w:b/>
                <w:bCs/>
              </w:rPr>
              <w:t>PO39</w:t>
            </w:r>
          </w:p>
          <w:p w14:paraId="4A28447B" w14:textId="77777777" w:rsidR="00BE36FB" w:rsidRPr="009B7B35" w:rsidRDefault="00BE36FB" w:rsidP="001A7107">
            <w:pPr>
              <w:pStyle w:val="TableText"/>
              <w:rPr>
                <w:rFonts w:cs="Arial"/>
              </w:rPr>
            </w:pPr>
            <w:r w:rsidRPr="009B7B35">
              <w:rPr>
                <w:rFonts w:cs="Arial"/>
              </w:rPr>
              <w:t>Development provides a mix of housing sizes to meet housing needs across the community.</w:t>
            </w:r>
          </w:p>
        </w:tc>
        <w:tc>
          <w:tcPr>
            <w:tcW w:w="4678" w:type="dxa"/>
          </w:tcPr>
          <w:p w14:paraId="05D7FC9A" w14:textId="77777777" w:rsidR="00BE36FB" w:rsidRPr="009B7B35" w:rsidRDefault="00BE36FB" w:rsidP="001A7107">
            <w:pPr>
              <w:pStyle w:val="TableText"/>
              <w:rPr>
                <w:rFonts w:cs="Arial"/>
                <w:b/>
                <w:bCs/>
              </w:rPr>
            </w:pPr>
            <w:r w:rsidRPr="009B7B35">
              <w:rPr>
                <w:rFonts w:cs="Arial"/>
                <w:b/>
                <w:bCs/>
              </w:rPr>
              <w:t>AO39</w:t>
            </w:r>
          </w:p>
          <w:p w14:paraId="4A025239" w14:textId="77777777" w:rsidR="00BE36FB" w:rsidRPr="009B7B35" w:rsidRDefault="00BE36FB" w:rsidP="001A7107">
            <w:pPr>
              <w:pStyle w:val="TableText"/>
              <w:rPr>
                <w:rFonts w:cs="Arial"/>
              </w:rPr>
            </w:pPr>
            <w:r w:rsidRPr="009B7B35">
              <w:rPr>
                <w:rFonts w:cs="Arial"/>
              </w:rPr>
              <w:t>Development of 15 or more dwellings includes the following proportion of dwelling sizes:</w:t>
            </w:r>
          </w:p>
          <w:p w14:paraId="561929F9" w14:textId="77777777" w:rsidR="00BE36FB" w:rsidRPr="009B7B35" w:rsidRDefault="00BE36FB" w:rsidP="00BE36FB">
            <w:pPr>
              <w:pStyle w:val="TableText"/>
              <w:numPr>
                <w:ilvl w:val="0"/>
                <w:numId w:val="381"/>
              </w:numPr>
              <w:rPr>
                <w:rFonts w:cs="Arial"/>
              </w:rPr>
            </w:pPr>
            <w:r w:rsidRPr="009B7B35">
              <w:rPr>
                <w:rFonts w:cs="Arial"/>
              </w:rPr>
              <w:t>25% – one bedroom or studio</w:t>
            </w:r>
          </w:p>
          <w:p w14:paraId="1E6C2A6C" w14:textId="77777777" w:rsidR="00BE36FB" w:rsidRPr="009B7B35" w:rsidRDefault="00BE36FB" w:rsidP="00BE36FB">
            <w:pPr>
              <w:pStyle w:val="TableText"/>
              <w:numPr>
                <w:ilvl w:val="0"/>
                <w:numId w:val="381"/>
              </w:numPr>
              <w:rPr>
                <w:rFonts w:cs="Arial"/>
              </w:rPr>
            </w:pPr>
            <w:r w:rsidRPr="009B7B35">
              <w:rPr>
                <w:rFonts w:cs="Arial"/>
              </w:rPr>
              <w:t>40% – two bedrooms</w:t>
            </w:r>
          </w:p>
          <w:p w14:paraId="36A43977" w14:textId="77777777" w:rsidR="00BE36FB" w:rsidRPr="009B7B35" w:rsidRDefault="00BE36FB" w:rsidP="00BE36FB">
            <w:pPr>
              <w:pStyle w:val="TableText"/>
              <w:numPr>
                <w:ilvl w:val="0"/>
                <w:numId w:val="381"/>
              </w:numPr>
              <w:rPr>
                <w:rFonts w:cs="Arial"/>
              </w:rPr>
            </w:pPr>
            <w:r w:rsidRPr="009B7B35">
              <w:rPr>
                <w:rFonts w:cs="Arial"/>
              </w:rPr>
              <w:t>15% – three bedrooms or more</w:t>
            </w:r>
          </w:p>
          <w:p w14:paraId="553D67F7" w14:textId="77777777" w:rsidR="00BE36FB" w:rsidRPr="009B7B35" w:rsidRDefault="00BE36FB" w:rsidP="00BE36FB">
            <w:pPr>
              <w:pStyle w:val="TableText"/>
              <w:numPr>
                <w:ilvl w:val="0"/>
                <w:numId w:val="381"/>
              </w:numPr>
              <w:rPr>
                <w:rFonts w:cs="Arial"/>
              </w:rPr>
            </w:pPr>
            <w:r w:rsidRPr="009B7B35">
              <w:rPr>
                <w:rFonts w:cs="Arial"/>
              </w:rPr>
              <w:t>remaining 20% is unrestricted.</w:t>
            </w:r>
          </w:p>
        </w:tc>
      </w:tr>
      <w:tr w:rsidR="00BE36FB" w:rsidRPr="009B7B35" w14:paraId="6F5B91C1" w14:textId="77777777" w:rsidTr="001A7107">
        <w:trPr>
          <w:cantSplit/>
        </w:trPr>
        <w:tc>
          <w:tcPr>
            <w:tcW w:w="4678" w:type="dxa"/>
            <w:vMerge w:val="restart"/>
          </w:tcPr>
          <w:p w14:paraId="7FA4EB51" w14:textId="77777777" w:rsidR="00BE36FB" w:rsidRPr="009B7B35" w:rsidRDefault="00BE36FB" w:rsidP="001A7107">
            <w:pPr>
              <w:pStyle w:val="TableText"/>
              <w:rPr>
                <w:rFonts w:cs="Arial"/>
                <w:b/>
                <w:bCs/>
              </w:rPr>
            </w:pPr>
            <w:r w:rsidRPr="009B7B35">
              <w:rPr>
                <w:rFonts w:cs="Arial"/>
                <w:b/>
                <w:bCs/>
              </w:rPr>
              <w:t>PO40</w:t>
            </w:r>
          </w:p>
          <w:p w14:paraId="74E48A7E" w14:textId="77777777" w:rsidR="00BE36FB" w:rsidRPr="009B7B35" w:rsidRDefault="00BE36FB" w:rsidP="001A7107">
            <w:pPr>
              <w:pStyle w:val="TableText"/>
              <w:rPr>
                <w:rFonts w:cs="Arial"/>
              </w:rPr>
            </w:pPr>
            <w:r w:rsidRPr="009B7B35">
              <w:rPr>
                <w:rFonts w:cs="Arial"/>
              </w:rPr>
              <w:t>Development must provide sufficient and accessible open space for residents' needs.</w:t>
            </w:r>
          </w:p>
        </w:tc>
        <w:tc>
          <w:tcPr>
            <w:tcW w:w="4678" w:type="dxa"/>
          </w:tcPr>
          <w:p w14:paraId="7EA1FE94" w14:textId="77777777" w:rsidR="00BE36FB" w:rsidRPr="009B7B35" w:rsidRDefault="00BE36FB" w:rsidP="001A7107">
            <w:pPr>
              <w:pStyle w:val="TableText"/>
              <w:rPr>
                <w:rFonts w:cs="Arial"/>
                <w:b/>
                <w:bCs/>
              </w:rPr>
            </w:pPr>
            <w:r w:rsidRPr="009B7B35">
              <w:rPr>
                <w:rFonts w:cs="Arial"/>
                <w:b/>
                <w:bCs/>
              </w:rPr>
              <w:t>AO40.1</w:t>
            </w:r>
          </w:p>
          <w:p w14:paraId="27B068E1" w14:textId="77777777" w:rsidR="00BE36FB" w:rsidRPr="009B7B35" w:rsidRDefault="00BE36FB" w:rsidP="001A7107">
            <w:pPr>
              <w:pStyle w:val="TableText"/>
              <w:rPr>
                <w:rFonts w:cs="Arial"/>
              </w:rPr>
            </w:pPr>
            <w:r w:rsidRPr="009B7B35">
              <w:rPr>
                <w:rFonts w:cs="Arial"/>
              </w:rPr>
              <w:t>Open space is provided in accordance with the following building types:</w:t>
            </w:r>
          </w:p>
          <w:p w14:paraId="35B455FB" w14:textId="77777777" w:rsidR="00BE36FB" w:rsidRPr="009B7B35" w:rsidRDefault="00BE36FB" w:rsidP="00BE36FB">
            <w:pPr>
              <w:pStyle w:val="TableText"/>
              <w:numPr>
                <w:ilvl w:val="0"/>
                <w:numId w:val="380"/>
              </w:numPr>
              <w:rPr>
                <w:rFonts w:cs="Arial"/>
              </w:rPr>
            </w:pPr>
            <w:r w:rsidRPr="009B7B35">
              <w:rPr>
                <w:rFonts w:cs="Arial"/>
              </w:rPr>
              <w:t>Figure 1—Primary frontage building where located on a primary frontage</w:t>
            </w:r>
          </w:p>
          <w:p w14:paraId="62535AA5" w14:textId="77777777" w:rsidR="00BE36FB" w:rsidRPr="009B7B35" w:rsidRDefault="00BE36FB" w:rsidP="00BE36FB">
            <w:pPr>
              <w:pStyle w:val="TableText"/>
              <w:numPr>
                <w:ilvl w:val="0"/>
                <w:numId w:val="380"/>
              </w:numPr>
              <w:rPr>
                <w:rFonts w:cs="Arial"/>
              </w:rPr>
            </w:pPr>
            <w:r w:rsidRPr="009B7B35">
              <w:rPr>
                <w:rFonts w:cs="Arial"/>
              </w:rPr>
              <w:t>Figure 2—Secondary frontage building where not located on a primary frontage.</w:t>
            </w:r>
          </w:p>
          <w:p w14:paraId="32C94B54" w14:textId="77777777" w:rsidR="00BE36FB" w:rsidRPr="009B7B35" w:rsidRDefault="00BE36FB" w:rsidP="001A7107">
            <w:pPr>
              <w:pStyle w:val="Notes"/>
              <w:rPr>
                <w:rFonts w:cs="Arial"/>
                <w:sz w:val="20"/>
                <w:szCs w:val="20"/>
              </w:rPr>
            </w:pPr>
            <w:r w:rsidRPr="009B7B35">
              <w:rPr>
                <w:rFonts w:cs="Arial"/>
                <w:sz w:val="20"/>
                <w:szCs w:val="20"/>
              </w:rPr>
              <w:t>Note—Primary frontages are identified on the Building height and frontages overlay map.</w:t>
            </w:r>
          </w:p>
        </w:tc>
      </w:tr>
      <w:tr w:rsidR="00BE36FB" w:rsidRPr="009B7B35" w14:paraId="42B63021" w14:textId="77777777" w:rsidTr="001A7107">
        <w:trPr>
          <w:cantSplit/>
        </w:trPr>
        <w:tc>
          <w:tcPr>
            <w:tcW w:w="4678" w:type="dxa"/>
            <w:vMerge/>
          </w:tcPr>
          <w:p w14:paraId="26F39AD1" w14:textId="77777777" w:rsidR="00BE36FB" w:rsidRPr="009B7B35" w:rsidRDefault="00BE36FB" w:rsidP="001A7107">
            <w:pPr>
              <w:pStyle w:val="TableText"/>
              <w:rPr>
                <w:rFonts w:cs="Arial"/>
              </w:rPr>
            </w:pPr>
          </w:p>
        </w:tc>
        <w:tc>
          <w:tcPr>
            <w:tcW w:w="4678" w:type="dxa"/>
          </w:tcPr>
          <w:p w14:paraId="6A870795" w14:textId="77777777" w:rsidR="00BE36FB" w:rsidRPr="009B7B35" w:rsidRDefault="00BE36FB" w:rsidP="001A7107">
            <w:pPr>
              <w:pStyle w:val="TableText"/>
              <w:rPr>
                <w:rFonts w:cs="Arial"/>
                <w:b/>
                <w:bCs/>
              </w:rPr>
            </w:pPr>
            <w:r w:rsidRPr="009B7B35">
              <w:rPr>
                <w:rFonts w:cs="Arial"/>
                <w:b/>
                <w:bCs/>
              </w:rPr>
              <w:t>AO40.2</w:t>
            </w:r>
          </w:p>
          <w:p w14:paraId="593AE027" w14:textId="77777777" w:rsidR="00BE36FB" w:rsidRPr="009B7B35" w:rsidRDefault="00BE36FB" w:rsidP="001A7107">
            <w:pPr>
              <w:pStyle w:val="TableText"/>
              <w:rPr>
                <w:rFonts w:cs="Arial"/>
              </w:rPr>
            </w:pPr>
            <w:r w:rsidRPr="009B7B35">
              <w:rPr>
                <w:rFonts w:cs="Arial"/>
              </w:rPr>
              <w:t>Private open space is directly adjacent to the main living area.</w:t>
            </w:r>
          </w:p>
        </w:tc>
      </w:tr>
      <w:tr w:rsidR="00BE36FB" w:rsidRPr="009B7B35" w14:paraId="320A02AB" w14:textId="77777777" w:rsidTr="001A7107">
        <w:trPr>
          <w:cantSplit/>
        </w:trPr>
        <w:tc>
          <w:tcPr>
            <w:tcW w:w="4678" w:type="dxa"/>
          </w:tcPr>
          <w:p w14:paraId="62613468" w14:textId="77777777" w:rsidR="00BE36FB" w:rsidRPr="009B7B35" w:rsidRDefault="00BE36FB" w:rsidP="001A7107">
            <w:pPr>
              <w:pStyle w:val="TableText"/>
              <w:rPr>
                <w:rFonts w:cs="Arial"/>
                <w:b/>
                <w:bCs/>
              </w:rPr>
            </w:pPr>
            <w:r w:rsidRPr="009B7B35">
              <w:rPr>
                <w:rFonts w:cs="Arial"/>
                <w:b/>
                <w:bCs/>
              </w:rPr>
              <w:t>PO41</w:t>
            </w:r>
          </w:p>
          <w:p w14:paraId="4624727E" w14:textId="77777777" w:rsidR="00BE36FB" w:rsidRPr="009B7B35" w:rsidRDefault="00BE36FB" w:rsidP="001A7107">
            <w:pPr>
              <w:pStyle w:val="TableText"/>
              <w:rPr>
                <w:rFonts w:cs="Arial"/>
              </w:rPr>
            </w:pPr>
            <w:r w:rsidRPr="009B7B35">
              <w:rPr>
                <w:rFonts w:cs="Arial"/>
              </w:rPr>
              <w:t>Open space is oriented to provide adequate solar access.</w:t>
            </w:r>
          </w:p>
        </w:tc>
        <w:tc>
          <w:tcPr>
            <w:tcW w:w="4678" w:type="dxa"/>
          </w:tcPr>
          <w:p w14:paraId="7F491726"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6686556" w14:textId="77777777" w:rsidTr="001A7107">
        <w:tc>
          <w:tcPr>
            <w:tcW w:w="4678" w:type="dxa"/>
          </w:tcPr>
          <w:p w14:paraId="45152952" w14:textId="77777777" w:rsidR="00BE36FB" w:rsidRPr="009B7B35" w:rsidRDefault="00BE36FB" w:rsidP="001A7107">
            <w:pPr>
              <w:pStyle w:val="TableText"/>
              <w:rPr>
                <w:rFonts w:cs="Arial"/>
                <w:b/>
                <w:bCs/>
              </w:rPr>
            </w:pPr>
            <w:r w:rsidRPr="009B7B35">
              <w:rPr>
                <w:rFonts w:cs="Arial"/>
                <w:b/>
                <w:bCs/>
              </w:rPr>
              <w:t>PO42</w:t>
            </w:r>
          </w:p>
          <w:p w14:paraId="57DF0867" w14:textId="77777777" w:rsidR="00BE36FB" w:rsidRPr="009B7B35" w:rsidRDefault="00BE36FB" w:rsidP="001A7107">
            <w:pPr>
              <w:pStyle w:val="TableText"/>
              <w:rPr>
                <w:rFonts w:cs="Arial"/>
              </w:rPr>
            </w:pPr>
            <w:r w:rsidRPr="009B7B35">
              <w:rPr>
                <w:rFonts w:cs="Arial"/>
              </w:rPr>
              <w:t xml:space="preserve">Communal open space is: </w:t>
            </w:r>
          </w:p>
          <w:p w14:paraId="22523A8D" w14:textId="77777777" w:rsidR="00BE36FB" w:rsidRPr="009B7B35" w:rsidRDefault="00BE36FB" w:rsidP="00BE36FB">
            <w:pPr>
              <w:pStyle w:val="TableText"/>
              <w:numPr>
                <w:ilvl w:val="0"/>
                <w:numId w:val="145"/>
              </w:numPr>
              <w:rPr>
                <w:rFonts w:cs="Arial"/>
              </w:rPr>
            </w:pPr>
            <w:r w:rsidRPr="009B7B35">
              <w:rPr>
                <w:rFonts w:cs="Arial"/>
              </w:rPr>
              <w:t>designed to provide useable areas for communal activities such as clothes drying and social interaction</w:t>
            </w:r>
          </w:p>
          <w:p w14:paraId="479CF29D" w14:textId="77777777" w:rsidR="00BE36FB" w:rsidRPr="009B7B35" w:rsidRDefault="00BE36FB" w:rsidP="00BE36FB">
            <w:pPr>
              <w:pStyle w:val="TableText"/>
              <w:numPr>
                <w:ilvl w:val="0"/>
                <w:numId w:val="145"/>
              </w:numPr>
              <w:rPr>
                <w:rFonts w:cs="Arial"/>
              </w:rPr>
            </w:pPr>
            <w:r w:rsidRPr="009B7B35">
              <w:rPr>
                <w:rFonts w:cs="Arial"/>
              </w:rPr>
              <w:t>open to the sky, and</w:t>
            </w:r>
          </w:p>
          <w:p w14:paraId="6B143E22" w14:textId="77777777" w:rsidR="00BE36FB" w:rsidRPr="009B7B35" w:rsidRDefault="00BE36FB" w:rsidP="00BE36FB">
            <w:pPr>
              <w:pStyle w:val="TableText"/>
              <w:numPr>
                <w:ilvl w:val="0"/>
                <w:numId w:val="145"/>
              </w:numPr>
              <w:rPr>
                <w:rFonts w:cs="Arial"/>
              </w:rPr>
            </w:pPr>
            <w:r w:rsidRPr="009B7B35">
              <w:rPr>
                <w:rFonts w:cs="Arial"/>
              </w:rPr>
              <w:t>is not dominated by landscaping.</w:t>
            </w:r>
          </w:p>
        </w:tc>
        <w:tc>
          <w:tcPr>
            <w:tcW w:w="4678" w:type="dxa"/>
          </w:tcPr>
          <w:p w14:paraId="02A09B09"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7A49442" w14:textId="77777777" w:rsidTr="001A7107">
        <w:tc>
          <w:tcPr>
            <w:tcW w:w="4678" w:type="dxa"/>
          </w:tcPr>
          <w:p w14:paraId="4E046F82" w14:textId="77777777" w:rsidR="00BE36FB" w:rsidRPr="009B7B35" w:rsidRDefault="00BE36FB" w:rsidP="001A7107">
            <w:pPr>
              <w:pStyle w:val="TableText"/>
              <w:rPr>
                <w:rFonts w:cs="Arial"/>
                <w:b/>
                <w:bCs/>
              </w:rPr>
            </w:pPr>
            <w:r w:rsidRPr="009B7B35">
              <w:rPr>
                <w:rFonts w:cs="Arial"/>
                <w:b/>
                <w:bCs/>
              </w:rPr>
              <w:t>PO43</w:t>
            </w:r>
          </w:p>
          <w:p w14:paraId="1B36A1D9" w14:textId="77777777" w:rsidR="00BE36FB" w:rsidRPr="009B7B35" w:rsidRDefault="00BE36FB" w:rsidP="001A7107">
            <w:pPr>
              <w:pStyle w:val="TableText"/>
              <w:rPr>
                <w:rFonts w:cs="Arial"/>
              </w:rPr>
            </w:pPr>
            <w:r w:rsidRPr="009B7B35">
              <w:rPr>
                <w:rFonts w:cs="Arial"/>
              </w:rPr>
              <w:t>Habitable spaces must not directly overlook dwellings on adjacent land.</w:t>
            </w:r>
          </w:p>
        </w:tc>
        <w:tc>
          <w:tcPr>
            <w:tcW w:w="4678" w:type="dxa"/>
          </w:tcPr>
          <w:p w14:paraId="19EBD096" w14:textId="77777777" w:rsidR="00BE36FB" w:rsidRPr="009B7B35" w:rsidRDefault="00BE36FB" w:rsidP="001A7107">
            <w:pPr>
              <w:pStyle w:val="TableText"/>
              <w:rPr>
                <w:rFonts w:cs="Arial"/>
                <w:b/>
                <w:bCs/>
              </w:rPr>
            </w:pPr>
            <w:r w:rsidRPr="009B7B35">
              <w:rPr>
                <w:rFonts w:cs="Arial"/>
                <w:b/>
                <w:bCs/>
              </w:rPr>
              <w:t>AO43</w:t>
            </w:r>
          </w:p>
          <w:p w14:paraId="06ADBA4D" w14:textId="77777777" w:rsidR="00BE36FB" w:rsidRPr="009B7B35" w:rsidRDefault="00BE36FB" w:rsidP="001A7107">
            <w:pPr>
              <w:pStyle w:val="TableText"/>
              <w:rPr>
                <w:rFonts w:cs="Arial"/>
              </w:rPr>
            </w:pPr>
            <w:r w:rsidRPr="009B7B35">
              <w:rPr>
                <w:rFonts w:cs="Arial"/>
              </w:rPr>
              <w:t>Habitable room windows of a dwelling unit are separated a minimum of 9m from a habitable room window or private open space of another dwelling unit unless:</w:t>
            </w:r>
          </w:p>
          <w:p w14:paraId="51D0CB1A" w14:textId="77777777" w:rsidR="00BE36FB" w:rsidRPr="009B7B35" w:rsidRDefault="00BE36FB" w:rsidP="00BE36FB">
            <w:pPr>
              <w:pStyle w:val="TableText"/>
              <w:numPr>
                <w:ilvl w:val="0"/>
                <w:numId w:val="146"/>
              </w:numPr>
              <w:rPr>
                <w:rFonts w:cs="Arial"/>
              </w:rPr>
            </w:pPr>
            <w:r w:rsidRPr="009B7B35">
              <w:rPr>
                <w:rFonts w:cs="Arial"/>
              </w:rPr>
              <w:t>windows have translucent glazing or sill heights of at least 1.5m, or</w:t>
            </w:r>
          </w:p>
          <w:p w14:paraId="520C87F3" w14:textId="77777777" w:rsidR="00BE36FB" w:rsidRPr="009B7B35" w:rsidRDefault="00BE36FB" w:rsidP="00BE36FB">
            <w:pPr>
              <w:pStyle w:val="TableText"/>
              <w:numPr>
                <w:ilvl w:val="0"/>
                <w:numId w:val="146"/>
              </w:numPr>
              <w:rPr>
                <w:rFonts w:cs="Arial"/>
              </w:rPr>
            </w:pPr>
            <w:r w:rsidRPr="009B7B35">
              <w:rPr>
                <w:rFonts w:cs="Arial"/>
              </w:rPr>
              <w:t>there is a 1.8m high dividing fence at ground level</w:t>
            </w:r>
          </w:p>
          <w:p w14:paraId="45C85782" w14:textId="77777777" w:rsidR="00BE36FB" w:rsidRPr="009B7B35" w:rsidRDefault="00BE36FB" w:rsidP="00BE36FB">
            <w:pPr>
              <w:pStyle w:val="TableText"/>
              <w:numPr>
                <w:ilvl w:val="0"/>
                <w:numId w:val="146"/>
              </w:numPr>
              <w:rPr>
                <w:rFonts w:cs="Arial"/>
              </w:rPr>
            </w:pPr>
            <w:r w:rsidRPr="009B7B35">
              <w:rPr>
                <w:rFonts w:cs="Arial"/>
              </w:rPr>
              <w:t>outlook from windows, balconies, and terraces of a dwelling unit is screened where screening is</w:t>
            </w:r>
          </w:p>
          <w:p w14:paraId="31D1F516" w14:textId="77777777" w:rsidR="00BE36FB" w:rsidRPr="009B7B35" w:rsidRDefault="00BE36FB" w:rsidP="00BE36FB">
            <w:pPr>
              <w:pStyle w:val="TableText"/>
              <w:numPr>
                <w:ilvl w:val="0"/>
                <w:numId w:val="146"/>
              </w:numPr>
              <w:rPr>
                <w:rFonts w:cs="Arial"/>
              </w:rPr>
            </w:pPr>
            <w:r w:rsidRPr="009B7B35">
              <w:rPr>
                <w:rFonts w:cs="Arial"/>
              </w:rPr>
              <w:t>a permanent screen, perforated panels or trellises which have a maximum of 50% openings, and</w:t>
            </w:r>
          </w:p>
          <w:p w14:paraId="5EB4252E" w14:textId="77777777" w:rsidR="00BE36FB" w:rsidRPr="009B7B35" w:rsidRDefault="00BE36FB" w:rsidP="00BE36FB">
            <w:pPr>
              <w:pStyle w:val="TableText"/>
              <w:numPr>
                <w:ilvl w:val="0"/>
                <w:numId w:val="146"/>
              </w:numPr>
              <w:rPr>
                <w:rFonts w:cs="Arial"/>
              </w:rPr>
            </w:pPr>
            <w:r w:rsidRPr="009B7B35">
              <w:rPr>
                <w:rFonts w:cs="Arial"/>
              </w:rPr>
              <w:t>permanent and fixed, and designed to complement the development.</w:t>
            </w:r>
          </w:p>
          <w:p w14:paraId="40034DE5" w14:textId="77777777" w:rsidR="00BE36FB" w:rsidRPr="009B7B35" w:rsidRDefault="00BE36FB" w:rsidP="001A7107">
            <w:pPr>
              <w:pStyle w:val="Notes"/>
              <w:rPr>
                <w:rFonts w:cs="Arial"/>
                <w:sz w:val="20"/>
                <w:szCs w:val="20"/>
              </w:rPr>
            </w:pPr>
            <w:r w:rsidRPr="009B7B35">
              <w:rPr>
                <w:rFonts w:cs="Arial"/>
                <w:sz w:val="20"/>
                <w:szCs w:val="20"/>
              </w:rPr>
              <w:t>Note—Refer below to Diagram 1—Privacy.</w:t>
            </w:r>
          </w:p>
          <w:p w14:paraId="59D03184" w14:textId="77777777" w:rsidR="00BE36FB" w:rsidRPr="009B7B35" w:rsidRDefault="00BE36FB" w:rsidP="001A7107">
            <w:pPr>
              <w:pStyle w:val="Notes"/>
              <w:rPr>
                <w:rFonts w:cs="Arial"/>
                <w:sz w:val="20"/>
                <w:szCs w:val="20"/>
              </w:rPr>
            </w:pPr>
            <w:r w:rsidRPr="009B7B35">
              <w:rPr>
                <w:rFonts w:cs="Arial"/>
                <w:noProof/>
                <w:sz w:val="20"/>
                <w:szCs w:val="20"/>
              </w:rPr>
              <w:drawing>
                <wp:inline distT="0" distB="0" distL="0" distR="0" wp14:anchorId="56D7134B" wp14:editId="140C00A3">
                  <wp:extent cx="2788464" cy="3112477"/>
                  <wp:effectExtent l="0" t="0" r="0" b="0"/>
                  <wp:docPr id="97" name="Picture 97"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0909 Privacy Sections (100)"/>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845" t="16667" r="61736" b="18762"/>
                          <a:stretch/>
                        </pic:blipFill>
                        <pic:spPr bwMode="auto">
                          <a:xfrm>
                            <a:off x="0" y="0"/>
                            <a:ext cx="2789300" cy="3113411"/>
                          </a:xfrm>
                          <a:prstGeom prst="rect">
                            <a:avLst/>
                          </a:prstGeom>
                          <a:noFill/>
                          <a:ln>
                            <a:noFill/>
                          </a:ln>
                          <a:extLst>
                            <a:ext uri="{53640926-AAD7-44D8-BBD7-CCE9431645EC}">
                              <a14:shadowObscured xmlns:a14="http://schemas.microsoft.com/office/drawing/2010/main"/>
                            </a:ext>
                          </a:extLst>
                        </pic:spPr>
                      </pic:pic>
                    </a:graphicData>
                  </a:graphic>
                </wp:inline>
              </w:drawing>
            </w:r>
          </w:p>
          <w:p w14:paraId="2308814D" w14:textId="77777777" w:rsidR="00BE36FB" w:rsidRPr="009B7B35" w:rsidRDefault="00BE36FB" w:rsidP="001A7107">
            <w:pPr>
              <w:pStyle w:val="Notes"/>
              <w:rPr>
                <w:rFonts w:cs="Arial"/>
                <w:sz w:val="20"/>
                <w:szCs w:val="20"/>
              </w:rPr>
            </w:pPr>
            <w:r w:rsidRPr="009B7B35">
              <w:rPr>
                <w:rFonts w:cs="Arial"/>
                <w:noProof/>
                <w:sz w:val="20"/>
                <w:szCs w:val="20"/>
              </w:rPr>
              <w:drawing>
                <wp:inline distT="0" distB="0" distL="0" distR="0" wp14:anchorId="2B811F45" wp14:editId="13995A6F">
                  <wp:extent cx="2760784" cy="1244056"/>
                  <wp:effectExtent l="0" t="0" r="1905" b="0"/>
                  <wp:docPr id="98" name="Picture 98" descr="130909 Privacy Section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0909 Privacy Sections (10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4841" t="27892" r="5426" b="33333"/>
                          <a:stretch/>
                        </pic:blipFill>
                        <pic:spPr bwMode="auto">
                          <a:xfrm>
                            <a:off x="0" y="0"/>
                            <a:ext cx="2764315" cy="1245647"/>
                          </a:xfrm>
                          <a:prstGeom prst="rect">
                            <a:avLst/>
                          </a:prstGeom>
                          <a:noFill/>
                          <a:ln>
                            <a:noFill/>
                          </a:ln>
                          <a:extLst>
                            <a:ext uri="{53640926-AAD7-44D8-BBD7-CCE9431645EC}">
                              <a14:shadowObscured xmlns:a14="http://schemas.microsoft.com/office/drawing/2010/main"/>
                            </a:ext>
                          </a:extLst>
                        </pic:spPr>
                      </pic:pic>
                    </a:graphicData>
                  </a:graphic>
                </wp:inline>
              </w:drawing>
            </w:r>
          </w:p>
          <w:p w14:paraId="1855337A" w14:textId="77777777" w:rsidR="00BE36FB" w:rsidRPr="009B7B35" w:rsidRDefault="00BE36FB" w:rsidP="001A7107">
            <w:pPr>
              <w:pStyle w:val="Notes"/>
              <w:rPr>
                <w:rFonts w:cs="Arial"/>
                <w:sz w:val="20"/>
                <w:szCs w:val="20"/>
              </w:rPr>
            </w:pPr>
            <w:r w:rsidRPr="009B7B35">
              <w:rPr>
                <w:rFonts w:cs="Arial"/>
                <w:sz w:val="20"/>
                <w:szCs w:val="20"/>
              </w:rPr>
              <w:tab/>
              <w:t>Lattice</w:t>
            </w:r>
            <w:r w:rsidRPr="009B7B35">
              <w:rPr>
                <w:rFonts w:cs="Arial"/>
                <w:sz w:val="20"/>
                <w:szCs w:val="20"/>
              </w:rPr>
              <w:tab/>
              <w:t>Batterns</w:t>
            </w:r>
          </w:p>
        </w:tc>
      </w:tr>
      <w:tr w:rsidR="00BE36FB" w:rsidRPr="009B7B35" w14:paraId="4ADA3B92" w14:textId="77777777" w:rsidTr="001A7107">
        <w:trPr>
          <w:cantSplit/>
        </w:trPr>
        <w:tc>
          <w:tcPr>
            <w:tcW w:w="9356" w:type="dxa"/>
            <w:gridSpan w:val="2"/>
            <w:shd w:val="clear" w:color="auto" w:fill="BFBFBF" w:themeFill="background1" w:themeFillShade="BF"/>
          </w:tcPr>
          <w:p w14:paraId="1FD85FA7" w14:textId="77777777" w:rsidR="00BE36FB" w:rsidRPr="009B7B35" w:rsidRDefault="00BE36FB" w:rsidP="001A7107">
            <w:pPr>
              <w:pStyle w:val="Tableheading"/>
              <w:rPr>
                <w:rFonts w:ascii="Arial" w:hAnsi="Arial" w:cs="Arial"/>
                <w:szCs w:val="20"/>
              </w:rPr>
            </w:pPr>
            <w:r w:rsidRPr="009B7B35">
              <w:rPr>
                <w:rFonts w:ascii="Arial" w:hAnsi="Arial" w:cs="Arial"/>
                <w:szCs w:val="20"/>
              </w:rPr>
              <w:t>If in the Jeffery Court precinct</w:t>
            </w:r>
          </w:p>
        </w:tc>
      </w:tr>
      <w:tr w:rsidR="00BE36FB" w:rsidRPr="009B7B35" w14:paraId="2DEC6D0F" w14:textId="77777777" w:rsidTr="001A7107">
        <w:trPr>
          <w:cantSplit/>
        </w:trPr>
        <w:tc>
          <w:tcPr>
            <w:tcW w:w="4678" w:type="dxa"/>
          </w:tcPr>
          <w:p w14:paraId="312C28D5" w14:textId="77777777" w:rsidR="00BE36FB" w:rsidRPr="009B7B35" w:rsidRDefault="00BE36FB" w:rsidP="001A7107">
            <w:pPr>
              <w:pStyle w:val="TableText"/>
              <w:rPr>
                <w:rFonts w:cs="Arial"/>
                <w:b/>
                <w:bCs/>
              </w:rPr>
            </w:pPr>
            <w:r w:rsidRPr="009B7B35">
              <w:rPr>
                <w:rFonts w:cs="Arial"/>
                <w:b/>
                <w:bCs/>
              </w:rPr>
              <w:t>PO44</w:t>
            </w:r>
          </w:p>
          <w:p w14:paraId="06273039" w14:textId="77777777" w:rsidR="00BE36FB" w:rsidRPr="009B7B35" w:rsidRDefault="00BE36FB" w:rsidP="001A7107">
            <w:pPr>
              <w:pStyle w:val="TableText"/>
              <w:rPr>
                <w:rFonts w:cs="Arial"/>
              </w:rPr>
            </w:pPr>
            <w:r w:rsidRPr="009B7B35">
              <w:rPr>
                <w:rFonts w:cs="Arial"/>
              </w:rPr>
              <w:t>Development with frontage to the foreshore must be generally consistent with Diagram 6.2.21.3.1—Jeffery Court precinct plan through including the following elements:</w:t>
            </w:r>
          </w:p>
          <w:p w14:paraId="2871C111" w14:textId="77777777" w:rsidR="00BE36FB" w:rsidRPr="009B7B35" w:rsidRDefault="00BE36FB" w:rsidP="00BE36FB">
            <w:pPr>
              <w:pStyle w:val="TableText"/>
              <w:numPr>
                <w:ilvl w:val="0"/>
                <w:numId w:val="377"/>
              </w:numPr>
              <w:ind w:left="510" w:hanging="510"/>
              <w:rPr>
                <w:rFonts w:cs="Arial"/>
              </w:rPr>
            </w:pPr>
            <w:r w:rsidRPr="009B7B35">
              <w:rPr>
                <w:rFonts w:cs="Arial"/>
              </w:rPr>
              <w:t>public access and view lines from Jeffery Court to Main Beach</w:t>
            </w:r>
          </w:p>
          <w:p w14:paraId="2F087228" w14:textId="77777777" w:rsidR="00BE36FB" w:rsidRPr="009B7B35" w:rsidRDefault="00BE36FB" w:rsidP="00BE36FB">
            <w:pPr>
              <w:pStyle w:val="TableText"/>
              <w:numPr>
                <w:ilvl w:val="0"/>
                <w:numId w:val="377"/>
              </w:numPr>
              <w:ind w:left="510" w:hanging="510"/>
              <w:rPr>
                <w:rFonts w:cs="Arial"/>
              </w:rPr>
            </w:pPr>
            <w:r w:rsidRPr="009B7B35">
              <w:rPr>
                <w:rFonts w:cs="Arial"/>
              </w:rPr>
              <w:t>pedestrian linkages with Tom Jeffery Memorial Park, and</w:t>
            </w:r>
          </w:p>
          <w:p w14:paraId="72103F38" w14:textId="77777777" w:rsidR="00BE36FB" w:rsidRPr="009B7B35" w:rsidRDefault="00BE36FB" w:rsidP="00BE36FB">
            <w:pPr>
              <w:pStyle w:val="TableText"/>
              <w:numPr>
                <w:ilvl w:val="0"/>
                <w:numId w:val="377"/>
              </w:numPr>
              <w:ind w:left="510" w:hanging="510"/>
              <w:rPr>
                <w:rFonts w:cs="Arial"/>
              </w:rPr>
            </w:pPr>
            <w:r w:rsidRPr="009B7B35">
              <w:rPr>
                <w:rFonts w:cs="Arial"/>
              </w:rPr>
              <w:t>buildings and structures are sufficiently setback from the foreshore through the provision of public open space.</w:t>
            </w:r>
          </w:p>
        </w:tc>
        <w:tc>
          <w:tcPr>
            <w:tcW w:w="4678" w:type="dxa"/>
          </w:tcPr>
          <w:p w14:paraId="74564D9D" w14:textId="77777777" w:rsidR="00BE36FB" w:rsidRPr="009B7B35" w:rsidRDefault="00BE36FB" w:rsidP="001A7107">
            <w:pPr>
              <w:pStyle w:val="TableText"/>
              <w:rPr>
                <w:rFonts w:cs="Arial"/>
              </w:rPr>
            </w:pPr>
            <w:r w:rsidRPr="009B7B35">
              <w:rPr>
                <w:rFonts w:cs="Arial"/>
              </w:rPr>
              <w:t>No acceptable outcome is nominated.</w:t>
            </w:r>
          </w:p>
        </w:tc>
      </w:tr>
    </w:tbl>
    <w:p w14:paraId="62209703" w14:textId="77777777" w:rsidR="00BE36FB" w:rsidRPr="009B7B35" w:rsidRDefault="00BE36FB" w:rsidP="003A35DA">
      <w:pPr>
        <w:pStyle w:val="Heading5"/>
        <w:numPr>
          <w:ilvl w:val="0"/>
          <w:numId w:val="0"/>
        </w:numPr>
        <w:rPr>
          <w:rFonts w:cs="Arial"/>
          <w:noProof/>
          <w:szCs w:val="20"/>
        </w:rPr>
      </w:pPr>
      <w:r w:rsidRPr="009B7B35">
        <w:rPr>
          <w:rFonts w:cs="Arial"/>
          <w:szCs w:val="20"/>
        </w:rPr>
        <w:t>Diagram 6.2.21.3.1—Jeffery Court precinct plan</w:t>
      </w:r>
    </w:p>
    <w:p w14:paraId="174E41A2" w14:textId="77777777"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7D2F08EC" wp14:editId="10763335">
            <wp:extent cx="5706208" cy="3469000"/>
            <wp:effectExtent l="0" t="0" r="0" b="0"/>
            <wp:docPr id="99" name="Picture 99" descr="130909_CENTRE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30909_CENTRE_03"/>
                    <pic:cNvPicPr>
                      <a:picLocks noChangeAspect="1" noChangeArrowheads="1"/>
                    </pic:cNvPicPr>
                  </pic:nvPicPr>
                  <pic:blipFill>
                    <a:blip r:embed="rId78" cstate="print">
                      <a:extLst>
                        <a:ext uri="{28A0092B-C50C-407E-A947-70E740481C1C}">
                          <a14:useLocalDpi xmlns:a14="http://schemas.microsoft.com/office/drawing/2010/main" val="0"/>
                        </a:ext>
                      </a:extLst>
                    </a:blip>
                    <a:srcRect l="6561" t="10321" r="5434" b="14011"/>
                    <a:stretch>
                      <a:fillRect/>
                    </a:stretch>
                  </pic:blipFill>
                  <pic:spPr bwMode="auto">
                    <a:xfrm>
                      <a:off x="0" y="0"/>
                      <a:ext cx="5706208" cy="3469000"/>
                    </a:xfrm>
                    <a:prstGeom prst="rect">
                      <a:avLst/>
                    </a:prstGeom>
                    <a:noFill/>
                    <a:ln>
                      <a:noFill/>
                    </a:ln>
                  </pic:spPr>
                </pic:pic>
              </a:graphicData>
            </a:graphic>
          </wp:inline>
        </w:drawing>
      </w:r>
    </w:p>
    <w:p w14:paraId="30389AC6"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06967D3E" w14:textId="77777777" w:rsidR="00BE36FB" w:rsidRPr="009B7B35" w:rsidRDefault="00BE36FB" w:rsidP="003A35DA">
      <w:pPr>
        <w:pStyle w:val="Heading5"/>
        <w:numPr>
          <w:ilvl w:val="0"/>
          <w:numId w:val="0"/>
        </w:numPr>
        <w:rPr>
          <w:rFonts w:cs="Arial"/>
          <w:szCs w:val="20"/>
        </w:rPr>
      </w:pPr>
      <w:r w:rsidRPr="009B7B35">
        <w:rPr>
          <w:rFonts w:cs="Arial"/>
          <w:szCs w:val="20"/>
        </w:rPr>
        <w:t>Figure 1—Primary frontage building</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261"/>
        <w:gridCol w:w="5102"/>
      </w:tblGrid>
      <w:tr w:rsidR="00BE36FB" w:rsidRPr="009B7B35" w14:paraId="68D1593F" w14:textId="77777777" w:rsidTr="001A7107">
        <w:trPr>
          <w:trHeight w:val="2654"/>
        </w:trPr>
        <w:tc>
          <w:tcPr>
            <w:tcW w:w="4253" w:type="dxa"/>
            <w:vAlign w:val="center"/>
          </w:tcPr>
          <w:p w14:paraId="564F68CC" w14:textId="77777777" w:rsidR="00BE36FB" w:rsidRPr="009B7B35" w:rsidRDefault="00BE36FB" w:rsidP="001A7107">
            <w:pPr>
              <w:pStyle w:val="TableText"/>
              <w:rPr>
                <w:rFonts w:cs="Arial"/>
              </w:rPr>
            </w:pPr>
            <w:r w:rsidRPr="009B7B35">
              <w:rPr>
                <w:rFonts w:cs="Arial"/>
              </w:rPr>
              <w:t>This building type can accommodate a diversity of land uses at higher intensities while still maintaining human scale at street level. Buildings are built to their front alignment allowing a range of finer grain uses such as shops and cafes to define main streets such as Goondoon Street and public spaces. A single storey podium defines the base of the buildings.</w:t>
            </w:r>
          </w:p>
        </w:tc>
        <w:tc>
          <w:tcPr>
            <w:tcW w:w="5103" w:type="dxa"/>
          </w:tcPr>
          <w:p w14:paraId="3F743992"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21973A45" wp14:editId="41A31D84">
                  <wp:extent cx="3166281" cy="1501253"/>
                  <wp:effectExtent l="0" t="0" r="0" b="3810"/>
                  <wp:docPr id="37" name="Picture 37" descr="\\BVDC01\users\13\13-4263 PL - Gladstone Regional Planning Scheme - CT\Zoning\Zone Codes\Deicke Richards typologies\1. Primary frontage building\Mixed Us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VDC01\users\13\13-4263 PL - Gladstone Regional Planning Scheme - CT\Zoning\Zone Codes\Deicke Richards typologies\1. Primary frontage building\Mixed Use_7+.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69711" cy="1502879"/>
                          </a:xfrm>
                          <a:prstGeom prst="rect">
                            <a:avLst/>
                          </a:prstGeom>
                          <a:noFill/>
                          <a:ln>
                            <a:noFill/>
                          </a:ln>
                        </pic:spPr>
                      </pic:pic>
                    </a:graphicData>
                  </a:graphic>
                </wp:inline>
              </w:drawing>
            </w:r>
          </w:p>
        </w:tc>
      </w:tr>
    </w:tbl>
    <w:p w14:paraId="4259C377" w14:textId="77777777"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13"/>
        <w:gridCol w:w="952"/>
        <w:gridCol w:w="1037"/>
        <w:gridCol w:w="1609"/>
        <w:gridCol w:w="4352"/>
      </w:tblGrid>
      <w:tr w:rsidR="00BE36FB" w:rsidRPr="009B7B35" w14:paraId="4C981692" w14:textId="77777777" w:rsidTr="001A7107">
        <w:trPr>
          <w:cnfStyle w:val="100000000000" w:firstRow="1" w:lastRow="0" w:firstColumn="0" w:lastColumn="0" w:oddVBand="0" w:evenVBand="0" w:oddHBand="0" w:evenHBand="0" w:firstRowFirstColumn="0" w:firstRowLastColumn="0" w:lastRowFirstColumn="0" w:lastRowLastColumn="0"/>
        </w:trPr>
        <w:tc>
          <w:tcPr>
            <w:tcW w:w="2680" w:type="dxa"/>
            <w:gridSpan w:val="3"/>
            <w:shd w:val="clear" w:color="auto" w:fill="BFBFBF" w:themeFill="background1" w:themeFillShade="BF"/>
          </w:tcPr>
          <w:p w14:paraId="08AC968F" w14:textId="77777777" w:rsidR="00BE36FB" w:rsidRPr="009B7B35" w:rsidRDefault="00BE36FB" w:rsidP="001A7107">
            <w:pPr>
              <w:pStyle w:val="TableText"/>
              <w:rPr>
                <w:rFonts w:cs="Arial"/>
              </w:rPr>
            </w:pPr>
            <w:r w:rsidRPr="009B7B35">
              <w:rPr>
                <w:rFonts w:cs="Arial"/>
              </w:rPr>
              <w:t>Element</w:t>
            </w:r>
          </w:p>
        </w:tc>
        <w:tc>
          <w:tcPr>
            <w:tcW w:w="2777" w:type="dxa"/>
            <w:shd w:val="clear" w:color="auto" w:fill="BFBFBF" w:themeFill="background1" w:themeFillShade="BF"/>
          </w:tcPr>
          <w:p w14:paraId="601895C2" w14:textId="77777777" w:rsidR="00BE36FB" w:rsidRPr="009B7B35" w:rsidRDefault="00BE36FB" w:rsidP="001A7107">
            <w:pPr>
              <w:pStyle w:val="TableText"/>
              <w:rPr>
                <w:rFonts w:cs="Arial"/>
              </w:rPr>
            </w:pPr>
            <w:r w:rsidRPr="009B7B35">
              <w:rPr>
                <w:rFonts w:cs="Arial"/>
              </w:rPr>
              <w:t>Acceptable solutions</w:t>
            </w:r>
          </w:p>
        </w:tc>
        <w:tc>
          <w:tcPr>
            <w:tcW w:w="3954" w:type="dxa"/>
            <w:vMerge w:val="restart"/>
            <w:tcBorders>
              <w:top w:val="nil"/>
              <w:bottom w:val="nil"/>
              <w:right w:val="nil"/>
            </w:tcBorders>
          </w:tcPr>
          <w:p w14:paraId="2A361AF4"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29B0307D" wp14:editId="6740F596">
                  <wp:extent cx="2691441" cy="4891177"/>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ary.PNG"/>
                          <pic:cNvPicPr/>
                        </pic:nvPicPr>
                        <pic:blipFill>
                          <a:blip r:embed="rId64">
                            <a:extLst>
                              <a:ext uri="{28A0092B-C50C-407E-A947-70E740481C1C}">
                                <a14:useLocalDpi xmlns:a14="http://schemas.microsoft.com/office/drawing/2010/main" val="0"/>
                              </a:ext>
                            </a:extLst>
                          </a:blip>
                          <a:stretch>
                            <a:fillRect/>
                          </a:stretch>
                        </pic:blipFill>
                        <pic:spPr>
                          <a:xfrm>
                            <a:off x="0" y="0"/>
                            <a:ext cx="2689757" cy="4888117"/>
                          </a:xfrm>
                          <a:prstGeom prst="rect">
                            <a:avLst/>
                          </a:prstGeom>
                        </pic:spPr>
                      </pic:pic>
                    </a:graphicData>
                  </a:graphic>
                </wp:inline>
              </w:drawing>
            </w:r>
          </w:p>
          <w:p w14:paraId="78B4D68F"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421A74F3" wp14:editId="0C0578FB">
                  <wp:extent cx="2524760" cy="518795"/>
                  <wp:effectExtent l="0" t="0" r="8890" b="0"/>
                  <wp:docPr id="83" name="Picture 83"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ypologies_Legend-h"/>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24760" cy="518795"/>
                          </a:xfrm>
                          <a:prstGeom prst="rect">
                            <a:avLst/>
                          </a:prstGeom>
                          <a:noFill/>
                          <a:ln>
                            <a:noFill/>
                          </a:ln>
                        </pic:spPr>
                      </pic:pic>
                    </a:graphicData>
                  </a:graphic>
                </wp:inline>
              </w:drawing>
            </w:r>
          </w:p>
        </w:tc>
      </w:tr>
      <w:tr w:rsidR="00BE36FB" w:rsidRPr="009B7B35" w14:paraId="057E9762" w14:textId="77777777" w:rsidTr="001A7107">
        <w:tc>
          <w:tcPr>
            <w:tcW w:w="532" w:type="dxa"/>
          </w:tcPr>
          <w:p w14:paraId="01A6CB2A" w14:textId="77777777" w:rsidR="00BE36FB" w:rsidRPr="009B7B35" w:rsidRDefault="00BE36FB" w:rsidP="001A7107">
            <w:pPr>
              <w:pStyle w:val="TableText"/>
              <w:rPr>
                <w:rFonts w:cs="Arial"/>
              </w:rPr>
            </w:pPr>
            <w:r w:rsidRPr="009B7B35">
              <w:rPr>
                <w:rFonts w:cs="Arial"/>
              </w:rPr>
              <w:t>1.1</w:t>
            </w:r>
          </w:p>
        </w:tc>
        <w:tc>
          <w:tcPr>
            <w:tcW w:w="2148" w:type="dxa"/>
            <w:gridSpan w:val="2"/>
          </w:tcPr>
          <w:p w14:paraId="76CCC1DA" w14:textId="77777777" w:rsidR="00BE36FB" w:rsidRPr="009B7B35" w:rsidRDefault="00BE36FB" w:rsidP="001A7107">
            <w:pPr>
              <w:pStyle w:val="TableText"/>
              <w:rPr>
                <w:rFonts w:cs="Arial"/>
              </w:rPr>
            </w:pPr>
            <w:r w:rsidRPr="009B7B35">
              <w:rPr>
                <w:rFonts w:cs="Arial"/>
              </w:rPr>
              <w:t>Minimum frontage</w:t>
            </w:r>
          </w:p>
        </w:tc>
        <w:tc>
          <w:tcPr>
            <w:tcW w:w="2777" w:type="dxa"/>
          </w:tcPr>
          <w:p w14:paraId="2835BFDC" w14:textId="77777777" w:rsidR="00BE36FB" w:rsidRPr="009B7B35" w:rsidRDefault="00BE36FB" w:rsidP="001A7107">
            <w:pPr>
              <w:pStyle w:val="TableText"/>
              <w:rPr>
                <w:rFonts w:cs="Arial"/>
              </w:rPr>
            </w:pPr>
            <w:r w:rsidRPr="009B7B35">
              <w:rPr>
                <w:rFonts w:cs="Arial"/>
              </w:rPr>
              <w:t>30m</w:t>
            </w:r>
          </w:p>
        </w:tc>
        <w:tc>
          <w:tcPr>
            <w:tcW w:w="3954" w:type="dxa"/>
            <w:vMerge/>
            <w:tcBorders>
              <w:bottom w:val="nil"/>
              <w:right w:val="nil"/>
            </w:tcBorders>
          </w:tcPr>
          <w:p w14:paraId="310E1D16" w14:textId="77777777" w:rsidR="00BE36FB" w:rsidRPr="009B7B35" w:rsidRDefault="00BE36FB" w:rsidP="001A7107">
            <w:pPr>
              <w:pStyle w:val="TableText"/>
              <w:rPr>
                <w:rFonts w:cs="Arial"/>
              </w:rPr>
            </w:pPr>
          </w:p>
        </w:tc>
      </w:tr>
      <w:tr w:rsidR="00BE36FB" w:rsidRPr="009B7B35" w14:paraId="60C94E6D" w14:textId="77777777" w:rsidTr="001A7107">
        <w:tc>
          <w:tcPr>
            <w:tcW w:w="532" w:type="dxa"/>
          </w:tcPr>
          <w:p w14:paraId="64823B87" w14:textId="77777777" w:rsidR="00BE36FB" w:rsidRPr="009B7B35" w:rsidRDefault="00BE36FB" w:rsidP="001A7107">
            <w:pPr>
              <w:pStyle w:val="TableText"/>
              <w:rPr>
                <w:rFonts w:cs="Arial"/>
              </w:rPr>
            </w:pPr>
            <w:r w:rsidRPr="009B7B35">
              <w:rPr>
                <w:rFonts w:cs="Arial"/>
              </w:rPr>
              <w:t>1.2</w:t>
            </w:r>
          </w:p>
        </w:tc>
        <w:tc>
          <w:tcPr>
            <w:tcW w:w="2148" w:type="dxa"/>
            <w:gridSpan w:val="2"/>
          </w:tcPr>
          <w:p w14:paraId="73329B55" w14:textId="77777777" w:rsidR="00BE36FB" w:rsidRPr="009B7B35" w:rsidRDefault="00BE36FB" w:rsidP="001A7107">
            <w:pPr>
              <w:pStyle w:val="TableText"/>
              <w:rPr>
                <w:rFonts w:cs="Arial"/>
              </w:rPr>
            </w:pPr>
            <w:r w:rsidRPr="009B7B35">
              <w:rPr>
                <w:rFonts w:cs="Arial"/>
              </w:rPr>
              <w:t>Minimum area</w:t>
            </w:r>
          </w:p>
        </w:tc>
        <w:tc>
          <w:tcPr>
            <w:tcW w:w="2777" w:type="dxa"/>
          </w:tcPr>
          <w:p w14:paraId="777DFE4B" w14:textId="77777777" w:rsidR="00BE36FB" w:rsidRPr="009B7B35" w:rsidRDefault="00BE36FB" w:rsidP="001A7107">
            <w:pPr>
              <w:pStyle w:val="TableText"/>
              <w:rPr>
                <w:rFonts w:cs="Arial"/>
              </w:rPr>
            </w:pPr>
            <w:r w:rsidRPr="009B7B35">
              <w:rPr>
                <w:rFonts w:cs="Arial"/>
              </w:rPr>
              <w:t>1,500m</w:t>
            </w:r>
            <w:r w:rsidRPr="009B7B35">
              <w:rPr>
                <w:rFonts w:cs="Arial"/>
                <w:vertAlign w:val="superscript"/>
              </w:rPr>
              <w:t>2</w:t>
            </w:r>
          </w:p>
        </w:tc>
        <w:tc>
          <w:tcPr>
            <w:tcW w:w="3954" w:type="dxa"/>
            <w:vMerge/>
            <w:tcBorders>
              <w:bottom w:val="nil"/>
              <w:right w:val="nil"/>
            </w:tcBorders>
          </w:tcPr>
          <w:p w14:paraId="37916B2C" w14:textId="77777777" w:rsidR="00BE36FB" w:rsidRPr="009B7B35" w:rsidRDefault="00BE36FB" w:rsidP="001A7107">
            <w:pPr>
              <w:pStyle w:val="TableText"/>
              <w:rPr>
                <w:rFonts w:cs="Arial"/>
              </w:rPr>
            </w:pPr>
          </w:p>
        </w:tc>
      </w:tr>
      <w:tr w:rsidR="00BE36FB" w:rsidRPr="009B7B35" w14:paraId="44B85F57" w14:textId="77777777" w:rsidTr="001A7107">
        <w:tc>
          <w:tcPr>
            <w:tcW w:w="532" w:type="dxa"/>
          </w:tcPr>
          <w:p w14:paraId="25D28477" w14:textId="77777777" w:rsidR="00BE36FB" w:rsidRPr="009B7B35" w:rsidRDefault="00BE36FB" w:rsidP="001A7107">
            <w:pPr>
              <w:pStyle w:val="TableText"/>
              <w:rPr>
                <w:rFonts w:cs="Arial"/>
              </w:rPr>
            </w:pPr>
            <w:r w:rsidRPr="009B7B35">
              <w:rPr>
                <w:rFonts w:cs="Arial"/>
              </w:rPr>
              <w:t>1.3</w:t>
            </w:r>
          </w:p>
        </w:tc>
        <w:tc>
          <w:tcPr>
            <w:tcW w:w="2148" w:type="dxa"/>
            <w:gridSpan w:val="2"/>
          </w:tcPr>
          <w:p w14:paraId="18308D0B" w14:textId="77777777" w:rsidR="00BE36FB" w:rsidRPr="009B7B35" w:rsidRDefault="00BE36FB" w:rsidP="001A7107">
            <w:pPr>
              <w:pStyle w:val="TableText"/>
              <w:rPr>
                <w:rFonts w:cs="Arial"/>
              </w:rPr>
            </w:pPr>
            <w:r w:rsidRPr="009B7B35">
              <w:rPr>
                <w:rFonts w:cs="Arial"/>
              </w:rPr>
              <w:t>Maximum building depth from the main street frontage</w:t>
            </w:r>
          </w:p>
        </w:tc>
        <w:tc>
          <w:tcPr>
            <w:tcW w:w="2777" w:type="dxa"/>
          </w:tcPr>
          <w:p w14:paraId="199FA13C" w14:textId="77777777" w:rsidR="00BE36FB" w:rsidRPr="009B7B35" w:rsidRDefault="00BE36FB" w:rsidP="001A7107">
            <w:pPr>
              <w:pStyle w:val="TableText"/>
              <w:rPr>
                <w:rFonts w:cs="Arial"/>
              </w:rPr>
            </w:pPr>
            <w:r w:rsidRPr="009B7B35">
              <w:rPr>
                <w:rFonts w:cs="Arial"/>
              </w:rPr>
              <w:t>36m to OMP including podium.</w:t>
            </w:r>
          </w:p>
        </w:tc>
        <w:tc>
          <w:tcPr>
            <w:tcW w:w="3954" w:type="dxa"/>
            <w:vMerge/>
            <w:tcBorders>
              <w:bottom w:val="nil"/>
              <w:right w:val="nil"/>
            </w:tcBorders>
          </w:tcPr>
          <w:p w14:paraId="1BF94427" w14:textId="77777777" w:rsidR="00BE36FB" w:rsidRPr="009B7B35" w:rsidRDefault="00BE36FB" w:rsidP="001A7107">
            <w:pPr>
              <w:pStyle w:val="TableText"/>
              <w:rPr>
                <w:rFonts w:cs="Arial"/>
              </w:rPr>
            </w:pPr>
          </w:p>
        </w:tc>
      </w:tr>
      <w:tr w:rsidR="00BE36FB" w:rsidRPr="009B7B35" w14:paraId="12CA9A30" w14:textId="77777777" w:rsidTr="001A7107">
        <w:tc>
          <w:tcPr>
            <w:tcW w:w="532" w:type="dxa"/>
            <w:vMerge w:val="restart"/>
          </w:tcPr>
          <w:p w14:paraId="702E57E8" w14:textId="77777777" w:rsidR="00BE36FB" w:rsidRPr="009B7B35" w:rsidRDefault="00BE36FB" w:rsidP="001A7107">
            <w:pPr>
              <w:pStyle w:val="TableText"/>
              <w:rPr>
                <w:rFonts w:cs="Arial"/>
              </w:rPr>
            </w:pPr>
            <w:r w:rsidRPr="009B7B35">
              <w:rPr>
                <w:rFonts w:cs="Arial"/>
              </w:rPr>
              <w:t>1.4</w:t>
            </w:r>
          </w:p>
        </w:tc>
        <w:tc>
          <w:tcPr>
            <w:tcW w:w="2148" w:type="dxa"/>
            <w:gridSpan w:val="2"/>
            <w:vMerge w:val="restart"/>
          </w:tcPr>
          <w:p w14:paraId="3CEF4E2D" w14:textId="77777777" w:rsidR="00BE36FB" w:rsidRPr="009B7B35" w:rsidRDefault="00BE36FB" w:rsidP="001A7107">
            <w:pPr>
              <w:pStyle w:val="TableText"/>
              <w:rPr>
                <w:rFonts w:cs="Arial"/>
              </w:rPr>
            </w:pPr>
            <w:r w:rsidRPr="009B7B35">
              <w:rPr>
                <w:rFonts w:cs="Arial"/>
              </w:rPr>
              <w:t>Residential open space</w:t>
            </w:r>
          </w:p>
        </w:tc>
        <w:tc>
          <w:tcPr>
            <w:tcW w:w="2777" w:type="dxa"/>
          </w:tcPr>
          <w:p w14:paraId="4396E798" w14:textId="77777777" w:rsidR="00BE36FB" w:rsidRPr="009B7B35" w:rsidRDefault="00BE36FB" w:rsidP="001A7107">
            <w:pPr>
              <w:pStyle w:val="TableText"/>
              <w:rPr>
                <w:rFonts w:cs="Arial"/>
              </w:rPr>
            </w:pPr>
            <w:r w:rsidRPr="009B7B35">
              <w:rPr>
                <w:rFonts w:cs="Arial"/>
              </w:rPr>
              <w:t>Minimum private open space of 16m</w:t>
            </w:r>
            <w:r w:rsidRPr="009B7B35">
              <w:rPr>
                <w:rFonts w:cs="Arial"/>
                <w:vertAlign w:val="superscript"/>
              </w:rPr>
              <w:t>2</w:t>
            </w:r>
            <w:r w:rsidRPr="009B7B35">
              <w:rPr>
                <w:rFonts w:cs="Arial"/>
              </w:rPr>
              <w:t xml:space="preserve"> per dwelling with a minimum dimension of 3m in any direction.</w:t>
            </w:r>
          </w:p>
        </w:tc>
        <w:tc>
          <w:tcPr>
            <w:tcW w:w="3954" w:type="dxa"/>
            <w:vMerge/>
            <w:tcBorders>
              <w:bottom w:val="nil"/>
              <w:right w:val="nil"/>
            </w:tcBorders>
          </w:tcPr>
          <w:p w14:paraId="0F3F847E" w14:textId="77777777" w:rsidR="00BE36FB" w:rsidRPr="009B7B35" w:rsidRDefault="00BE36FB" w:rsidP="001A7107">
            <w:pPr>
              <w:pStyle w:val="TableText"/>
              <w:rPr>
                <w:rFonts w:cs="Arial"/>
              </w:rPr>
            </w:pPr>
          </w:p>
        </w:tc>
      </w:tr>
      <w:tr w:rsidR="00BE36FB" w:rsidRPr="009B7B35" w14:paraId="7528525E" w14:textId="77777777" w:rsidTr="001A7107">
        <w:tc>
          <w:tcPr>
            <w:tcW w:w="532" w:type="dxa"/>
            <w:vMerge/>
          </w:tcPr>
          <w:p w14:paraId="0189D0B3" w14:textId="77777777" w:rsidR="00BE36FB" w:rsidRPr="009B7B35" w:rsidRDefault="00BE36FB" w:rsidP="001A7107">
            <w:pPr>
              <w:pStyle w:val="TableText"/>
              <w:rPr>
                <w:rFonts w:cs="Arial"/>
              </w:rPr>
            </w:pPr>
          </w:p>
        </w:tc>
        <w:tc>
          <w:tcPr>
            <w:tcW w:w="2148" w:type="dxa"/>
            <w:gridSpan w:val="2"/>
            <w:vMerge/>
          </w:tcPr>
          <w:p w14:paraId="1F180B6B" w14:textId="77777777" w:rsidR="00BE36FB" w:rsidRPr="009B7B35" w:rsidRDefault="00BE36FB" w:rsidP="001A7107">
            <w:pPr>
              <w:pStyle w:val="TableText"/>
              <w:rPr>
                <w:rFonts w:cs="Arial"/>
              </w:rPr>
            </w:pPr>
          </w:p>
        </w:tc>
        <w:tc>
          <w:tcPr>
            <w:tcW w:w="2777" w:type="dxa"/>
          </w:tcPr>
          <w:p w14:paraId="787AB7AC" w14:textId="77777777" w:rsidR="00BE36FB" w:rsidRPr="009B7B35" w:rsidRDefault="00BE36FB" w:rsidP="001A7107">
            <w:pPr>
              <w:rPr>
                <w:rFonts w:cs="Arial"/>
                <w:sz w:val="20"/>
                <w:szCs w:val="20"/>
              </w:rPr>
            </w:pPr>
            <w:r w:rsidRPr="009B7B35">
              <w:rPr>
                <w:rFonts w:cs="Arial"/>
                <w:sz w:val="20"/>
                <w:szCs w:val="20"/>
              </w:rPr>
              <w:t>Minimum communal open space of 20% of the site area with a minimum dimension of 5m in any direction.</w:t>
            </w:r>
          </w:p>
        </w:tc>
        <w:tc>
          <w:tcPr>
            <w:tcW w:w="3954" w:type="dxa"/>
            <w:vMerge/>
            <w:tcBorders>
              <w:bottom w:val="nil"/>
              <w:right w:val="nil"/>
            </w:tcBorders>
          </w:tcPr>
          <w:p w14:paraId="16E548D8" w14:textId="77777777" w:rsidR="00BE36FB" w:rsidRPr="009B7B35" w:rsidRDefault="00BE36FB" w:rsidP="001A7107">
            <w:pPr>
              <w:pStyle w:val="TableText"/>
              <w:rPr>
                <w:rFonts w:cs="Arial"/>
              </w:rPr>
            </w:pPr>
          </w:p>
        </w:tc>
      </w:tr>
      <w:tr w:rsidR="00BE36FB" w:rsidRPr="009B7B35" w14:paraId="3114D131" w14:textId="77777777" w:rsidTr="001A7107">
        <w:tc>
          <w:tcPr>
            <w:tcW w:w="532" w:type="dxa"/>
            <w:vMerge w:val="restart"/>
          </w:tcPr>
          <w:p w14:paraId="26ECE06D" w14:textId="77777777" w:rsidR="00BE36FB" w:rsidRPr="009B7B35" w:rsidRDefault="00BE36FB" w:rsidP="001A7107">
            <w:pPr>
              <w:pStyle w:val="TableText"/>
              <w:rPr>
                <w:rFonts w:cs="Arial"/>
              </w:rPr>
            </w:pPr>
            <w:r w:rsidRPr="009B7B35">
              <w:rPr>
                <w:rFonts w:cs="Arial"/>
              </w:rPr>
              <w:t>1.5</w:t>
            </w:r>
          </w:p>
        </w:tc>
        <w:tc>
          <w:tcPr>
            <w:tcW w:w="1111" w:type="dxa"/>
            <w:vMerge w:val="restart"/>
          </w:tcPr>
          <w:p w14:paraId="686A8E3C" w14:textId="77777777" w:rsidR="00BE36FB" w:rsidRPr="009B7B35" w:rsidRDefault="00BE36FB" w:rsidP="001A7107">
            <w:pPr>
              <w:pStyle w:val="TableText"/>
              <w:rPr>
                <w:rFonts w:cs="Arial"/>
              </w:rPr>
            </w:pPr>
            <w:r w:rsidRPr="009B7B35">
              <w:rPr>
                <w:rFonts w:cs="Arial"/>
              </w:rPr>
              <w:t>Minimum setbacks</w:t>
            </w:r>
          </w:p>
        </w:tc>
        <w:tc>
          <w:tcPr>
            <w:tcW w:w="1037" w:type="dxa"/>
            <w:vMerge w:val="restart"/>
          </w:tcPr>
          <w:p w14:paraId="5ADF8F6D" w14:textId="77777777" w:rsidR="00BE36FB" w:rsidRPr="009B7B35" w:rsidRDefault="00BE36FB" w:rsidP="001A7107">
            <w:pPr>
              <w:rPr>
                <w:rFonts w:cs="Arial"/>
                <w:sz w:val="20"/>
                <w:szCs w:val="20"/>
              </w:rPr>
            </w:pPr>
            <w:r w:rsidRPr="009B7B35">
              <w:rPr>
                <w:rFonts w:cs="Arial"/>
                <w:sz w:val="20"/>
                <w:szCs w:val="20"/>
              </w:rPr>
              <w:t>Podium</w:t>
            </w:r>
          </w:p>
          <w:p w14:paraId="4D8E3D8F" w14:textId="77777777" w:rsidR="00BE36FB" w:rsidRPr="009B7B35" w:rsidRDefault="00BE36FB" w:rsidP="001A7107">
            <w:pPr>
              <w:pStyle w:val="TableText"/>
              <w:rPr>
                <w:rFonts w:cs="Arial"/>
              </w:rPr>
            </w:pPr>
            <w:r w:rsidRPr="009B7B35">
              <w:rPr>
                <w:rFonts w:cs="Arial"/>
              </w:rPr>
              <w:t>(in all directions)</w:t>
            </w:r>
          </w:p>
        </w:tc>
        <w:tc>
          <w:tcPr>
            <w:tcW w:w="2777" w:type="dxa"/>
          </w:tcPr>
          <w:p w14:paraId="64DC858B" w14:textId="77777777" w:rsidR="00BE36FB" w:rsidRPr="009B7B35" w:rsidRDefault="00BE36FB" w:rsidP="001A7107">
            <w:pPr>
              <w:pStyle w:val="TableText"/>
              <w:rPr>
                <w:rFonts w:cs="Arial"/>
              </w:rPr>
            </w:pPr>
            <w:r w:rsidRPr="009B7B35">
              <w:rPr>
                <w:rFonts w:cs="Arial"/>
              </w:rPr>
              <w:t>0m where abutting an existing podium or non–residential building.</w:t>
            </w:r>
          </w:p>
        </w:tc>
        <w:tc>
          <w:tcPr>
            <w:tcW w:w="3954" w:type="dxa"/>
            <w:vMerge/>
            <w:tcBorders>
              <w:bottom w:val="nil"/>
              <w:right w:val="nil"/>
            </w:tcBorders>
          </w:tcPr>
          <w:p w14:paraId="7AFC033A" w14:textId="77777777" w:rsidR="00BE36FB" w:rsidRPr="009B7B35" w:rsidRDefault="00BE36FB" w:rsidP="001A7107">
            <w:pPr>
              <w:pStyle w:val="TableText"/>
              <w:rPr>
                <w:rFonts w:cs="Arial"/>
              </w:rPr>
            </w:pPr>
          </w:p>
        </w:tc>
      </w:tr>
      <w:tr w:rsidR="00BE36FB" w:rsidRPr="009B7B35" w14:paraId="75634F46" w14:textId="77777777" w:rsidTr="001A7107">
        <w:tc>
          <w:tcPr>
            <w:tcW w:w="532" w:type="dxa"/>
            <w:vMerge/>
          </w:tcPr>
          <w:p w14:paraId="06AA07DE" w14:textId="77777777" w:rsidR="00BE36FB" w:rsidRPr="009B7B35" w:rsidRDefault="00BE36FB" w:rsidP="001A7107">
            <w:pPr>
              <w:pStyle w:val="TableText"/>
              <w:rPr>
                <w:rFonts w:cs="Arial"/>
              </w:rPr>
            </w:pPr>
          </w:p>
        </w:tc>
        <w:tc>
          <w:tcPr>
            <w:tcW w:w="1111" w:type="dxa"/>
            <w:vMerge/>
          </w:tcPr>
          <w:p w14:paraId="43FC7291" w14:textId="77777777" w:rsidR="00BE36FB" w:rsidRPr="009B7B35" w:rsidRDefault="00BE36FB" w:rsidP="001A7107">
            <w:pPr>
              <w:pStyle w:val="TableText"/>
              <w:rPr>
                <w:rFonts w:cs="Arial"/>
              </w:rPr>
            </w:pPr>
          </w:p>
        </w:tc>
        <w:tc>
          <w:tcPr>
            <w:tcW w:w="1037" w:type="dxa"/>
            <w:vMerge/>
          </w:tcPr>
          <w:p w14:paraId="46C3F0E1" w14:textId="77777777" w:rsidR="00BE36FB" w:rsidRPr="009B7B35" w:rsidRDefault="00BE36FB" w:rsidP="001A7107">
            <w:pPr>
              <w:pStyle w:val="TableText"/>
              <w:rPr>
                <w:rFonts w:cs="Arial"/>
              </w:rPr>
            </w:pPr>
          </w:p>
        </w:tc>
        <w:tc>
          <w:tcPr>
            <w:tcW w:w="2777" w:type="dxa"/>
          </w:tcPr>
          <w:p w14:paraId="65FCB729" w14:textId="77777777" w:rsidR="00BE36FB" w:rsidRPr="009B7B35" w:rsidRDefault="00BE36FB" w:rsidP="001A7107">
            <w:pPr>
              <w:pStyle w:val="TableText"/>
              <w:rPr>
                <w:rFonts w:cs="Arial"/>
              </w:rPr>
            </w:pPr>
            <w:r w:rsidRPr="009B7B35">
              <w:rPr>
                <w:rFonts w:cs="Arial"/>
              </w:rPr>
              <w:t>3m where adjoining a residential zone.</w:t>
            </w:r>
          </w:p>
        </w:tc>
        <w:tc>
          <w:tcPr>
            <w:tcW w:w="3954" w:type="dxa"/>
            <w:vMerge/>
            <w:tcBorders>
              <w:bottom w:val="nil"/>
              <w:right w:val="nil"/>
            </w:tcBorders>
          </w:tcPr>
          <w:p w14:paraId="2B0B8E6A" w14:textId="77777777" w:rsidR="00BE36FB" w:rsidRPr="009B7B35" w:rsidRDefault="00BE36FB" w:rsidP="001A7107">
            <w:pPr>
              <w:pStyle w:val="TableText"/>
              <w:rPr>
                <w:rFonts w:cs="Arial"/>
              </w:rPr>
            </w:pPr>
          </w:p>
        </w:tc>
      </w:tr>
      <w:tr w:rsidR="00BE36FB" w:rsidRPr="009B7B35" w14:paraId="5D45C42D" w14:textId="77777777" w:rsidTr="001A7107">
        <w:tc>
          <w:tcPr>
            <w:tcW w:w="532" w:type="dxa"/>
            <w:vMerge/>
          </w:tcPr>
          <w:p w14:paraId="7DE5174E" w14:textId="77777777" w:rsidR="00BE36FB" w:rsidRPr="009B7B35" w:rsidRDefault="00BE36FB" w:rsidP="001A7107">
            <w:pPr>
              <w:pStyle w:val="TableText"/>
              <w:rPr>
                <w:rFonts w:cs="Arial"/>
              </w:rPr>
            </w:pPr>
          </w:p>
        </w:tc>
        <w:tc>
          <w:tcPr>
            <w:tcW w:w="1111" w:type="dxa"/>
            <w:vMerge/>
          </w:tcPr>
          <w:p w14:paraId="58BBF44F" w14:textId="77777777" w:rsidR="00BE36FB" w:rsidRPr="009B7B35" w:rsidRDefault="00BE36FB" w:rsidP="001A7107">
            <w:pPr>
              <w:pStyle w:val="TableText"/>
              <w:rPr>
                <w:rFonts w:cs="Arial"/>
              </w:rPr>
            </w:pPr>
          </w:p>
        </w:tc>
        <w:tc>
          <w:tcPr>
            <w:tcW w:w="1037" w:type="dxa"/>
          </w:tcPr>
          <w:p w14:paraId="3D9866F9" w14:textId="77777777" w:rsidR="00BE36FB" w:rsidRPr="009B7B35" w:rsidRDefault="00BE36FB" w:rsidP="001A7107">
            <w:pPr>
              <w:pStyle w:val="TableText"/>
              <w:rPr>
                <w:rFonts w:cs="Arial"/>
              </w:rPr>
            </w:pPr>
            <w:r w:rsidRPr="009B7B35">
              <w:rPr>
                <w:rFonts w:cs="Arial"/>
              </w:rPr>
              <w:t>Front</w:t>
            </w:r>
            <w:r w:rsidRPr="009B7B35">
              <w:rPr>
                <w:rStyle w:val="FootnoteReference"/>
                <w:rFonts w:cs="Arial"/>
              </w:rPr>
              <w:footnoteReference w:id="6"/>
            </w:r>
          </w:p>
        </w:tc>
        <w:tc>
          <w:tcPr>
            <w:tcW w:w="2777" w:type="dxa"/>
          </w:tcPr>
          <w:p w14:paraId="1AB323FE" w14:textId="77777777" w:rsidR="00BE36FB" w:rsidRPr="009B7B35" w:rsidRDefault="00BE36FB" w:rsidP="001A7107">
            <w:pPr>
              <w:pStyle w:val="TableText"/>
              <w:rPr>
                <w:rFonts w:cs="Arial"/>
              </w:rPr>
            </w:pPr>
            <w:r w:rsidRPr="009B7B35">
              <w:rPr>
                <w:rFonts w:cs="Arial"/>
              </w:rPr>
              <w:t>6m to main face of building (3m OMP in articulation zone</w:t>
            </w:r>
            <w:r w:rsidRPr="009B7B35">
              <w:rPr>
                <w:rStyle w:val="FootnoteReference"/>
                <w:rFonts w:cs="Arial"/>
              </w:rPr>
              <w:footnoteReference w:id="7"/>
            </w:r>
            <w:r w:rsidRPr="009B7B35">
              <w:rPr>
                <w:rFonts w:cs="Arial"/>
              </w:rPr>
              <w:t>).</w:t>
            </w:r>
          </w:p>
        </w:tc>
        <w:tc>
          <w:tcPr>
            <w:tcW w:w="3954" w:type="dxa"/>
            <w:vMerge/>
            <w:tcBorders>
              <w:bottom w:val="nil"/>
              <w:right w:val="nil"/>
            </w:tcBorders>
          </w:tcPr>
          <w:p w14:paraId="65789054" w14:textId="77777777" w:rsidR="00BE36FB" w:rsidRPr="009B7B35" w:rsidRDefault="00BE36FB" w:rsidP="001A7107">
            <w:pPr>
              <w:pStyle w:val="TableText"/>
              <w:rPr>
                <w:rFonts w:cs="Arial"/>
              </w:rPr>
            </w:pPr>
          </w:p>
        </w:tc>
      </w:tr>
      <w:tr w:rsidR="00BE36FB" w:rsidRPr="009B7B35" w14:paraId="6C560902" w14:textId="77777777" w:rsidTr="001A7107">
        <w:tc>
          <w:tcPr>
            <w:tcW w:w="532" w:type="dxa"/>
            <w:vMerge/>
          </w:tcPr>
          <w:p w14:paraId="5883CE22" w14:textId="77777777" w:rsidR="00BE36FB" w:rsidRPr="009B7B35" w:rsidRDefault="00BE36FB" w:rsidP="001A7107">
            <w:pPr>
              <w:pStyle w:val="TableText"/>
              <w:rPr>
                <w:rFonts w:cs="Arial"/>
              </w:rPr>
            </w:pPr>
          </w:p>
        </w:tc>
        <w:tc>
          <w:tcPr>
            <w:tcW w:w="1111" w:type="dxa"/>
            <w:vMerge/>
          </w:tcPr>
          <w:p w14:paraId="5387DBBF" w14:textId="77777777" w:rsidR="00BE36FB" w:rsidRPr="009B7B35" w:rsidRDefault="00BE36FB" w:rsidP="001A7107">
            <w:pPr>
              <w:pStyle w:val="TableText"/>
              <w:rPr>
                <w:rFonts w:cs="Arial"/>
              </w:rPr>
            </w:pPr>
          </w:p>
        </w:tc>
        <w:tc>
          <w:tcPr>
            <w:tcW w:w="1037" w:type="dxa"/>
          </w:tcPr>
          <w:p w14:paraId="1E060FB9" w14:textId="77777777" w:rsidR="00BE36FB" w:rsidRPr="009B7B35" w:rsidRDefault="00BE36FB" w:rsidP="001A7107">
            <w:pPr>
              <w:pStyle w:val="TableText"/>
              <w:rPr>
                <w:rFonts w:cs="Arial"/>
              </w:rPr>
            </w:pPr>
            <w:r w:rsidRPr="009B7B35">
              <w:rPr>
                <w:rFonts w:cs="Arial"/>
              </w:rPr>
              <w:t>Rear</w:t>
            </w:r>
            <w:r w:rsidRPr="009B7B35">
              <w:rPr>
                <w:rStyle w:val="FootnoteReference"/>
                <w:rFonts w:cs="Arial"/>
              </w:rPr>
              <w:footnoteReference w:id="8"/>
            </w:r>
          </w:p>
        </w:tc>
        <w:tc>
          <w:tcPr>
            <w:tcW w:w="2777" w:type="dxa"/>
          </w:tcPr>
          <w:p w14:paraId="6995DDCF" w14:textId="77777777" w:rsidR="00BE36FB" w:rsidRPr="009B7B35" w:rsidRDefault="00BE36FB" w:rsidP="001A7107">
            <w:pPr>
              <w:pStyle w:val="TableText"/>
              <w:rPr>
                <w:rFonts w:cs="Arial"/>
              </w:rPr>
            </w:pPr>
            <w:r w:rsidRPr="009B7B35">
              <w:rPr>
                <w:rFonts w:cs="Arial"/>
              </w:rPr>
              <w:t>12m to OMP.</w:t>
            </w:r>
          </w:p>
        </w:tc>
        <w:tc>
          <w:tcPr>
            <w:tcW w:w="3954" w:type="dxa"/>
            <w:vMerge/>
            <w:tcBorders>
              <w:bottom w:val="nil"/>
              <w:right w:val="nil"/>
            </w:tcBorders>
          </w:tcPr>
          <w:p w14:paraId="356B317B" w14:textId="77777777" w:rsidR="00BE36FB" w:rsidRPr="009B7B35" w:rsidRDefault="00BE36FB" w:rsidP="001A7107">
            <w:pPr>
              <w:pStyle w:val="TableText"/>
              <w:rPr>
                <w:rFonts w:cs="Arial"/>
              </w:rPr>
            </w:pPr>
          </w:p>
        </w:tc>
      </w:tr>
      <w:tr w:rsidR="00BE36FB" w:rsidRPr="009B7B35" w14:paraId="7E68359C" w14:textId="77777777" w:rsidTr="001A7107">
        <w:tc>
          <w:tcPr>
            <w:tcW w:w="532" w:type="dxa"/>
            <w:vMerge/>
          </w:tcPr>
          <w:p w14:paraId="3BA47CF3" w14:textId="77777777" w:rsidR="00BE36FB" w:rsidRPr="009B7B35" w:rsidRDefault="00BE36FB" w:rsidP="001A7107">
            <w:pPr>
              <w:pStyle w:val="TableText"/>
              <w:rPr>
                <w:rFonts w:cs="Arial"/>
              </w:rPr>
            </w:pPr>
          </w:p>
        </w:tc>
        <w:tc>
          <w:tcPr>
            <w:tcW w:w="1111" w:type="dxa"/>
            <w:vMerge/>
          </w:tcPr>
          <w:p w14:paraId="305A4D6C" w14:textId="77777777" w:rsidR="00BE36FB" w:rsidRPr="009B7B35" w:rsidRDefault="00BE36FB" w:rsidP="001A7107">
            <w:pPr>
              <w:pStyle w:val="TableText"/>
              <w:rPr>
                <w:rFonts w:cs="Arial"/>
              </w:rPr>
            </w:pPr>
          </w:p>
        </w:tc>
        <w:tc>
          <w:tcPr>
            <w:tcW w:w="1037" w:type="dxa"/>
          </w:tcPr>
          <w:p w14:paraId="1358E53B" w14:textId="77777777" w:rsidR="00BE36FB" w:rsidRPr="009B7B35" w:rsidRDefault="00BE36FB" w:rsidP="001A7107">
            <w:pPr>
              <w:pStyle w:val="TableText"/>
              <w:rPr>
                <w:rFonts w:cs="Arial"/>
              </w:rPr>
            </w:pPr>
            <w:r w:rsidRPr="009B7B35">
              <w:rPr>
                <w:rFonts w:cs="Arial"/>
              </w:rPr>
              <w:t>Side</w:t>
            </w:r>
          </w:p>
        </w:tc>
        <w:tc>
          <w:tcPr>
            <w:tcW w:w="2777" w:type="dxa"/>
          </w:tcPr>
          <w:p w14:paraId="545EB65D" w14:textId="77777777" w:rsidR="00BE36FB" w:rsidRPr="009B7B35" w:rsidRDefault="00BE36FB" w:rsidP="001A7107">
            <w:pPr>
              <w:rPr>
                <w:rFonts w:cs="Arial"/>
                <w:sz w:val="20"/>
                <w:szCs w:val="20"/>
              </w:rPr>
            </w:pPr>
            <w:r w:rsidRPr="009B7B35">
              <w:rPr>
                <w:rFonts w:cs="Arial"/>
                <w:sz w:val="20"/>
                <w:szCs w:val="20"/>
              </w:rPr>
              <w:t>Levels 2–6: 3m to OMP</w:t>
            </w:r>
          </w:p>
          <w:p w14:paraId="5086F4E3" w14:textId="77777777" w:rsidR="00BE36FB" w:rsidRPr="009B7B35" w:rsidRDefault="00BE36FB" w:rsidP="001A7107">
            <w:pPr>
              <w:pStyle w:val="TableText"/>
              <w:rPr>
                <w:rFonts w:cs="Arial"/>
              </w:rPr>
            </w:pPr>
            <w:r w:rsidRPr="009B7B35">
              <w:rPr>
                <w:rFonts w:cs="Arial"/>
              </w:rPr>
              <w:t>Levels 7+: 6m to OMP</w:t>
            </w:r>
          </w:p>
          <w:p w14:paraId="646D7FE7" w14:textId="77777777" w:rsidR="00BE36FB" w:rsidRPr="009B7B35" w:rsidRDefault="00BE36FB" w:rsidP="001A7107">
            <w:pPr>
              <w:pStyle w:val="TableText"/>
              <w:rPr>
                <w:rFonts w:cs="Arial"/>
              </w:rPr>
            </w:pPr>
            <w:r w:rsidRPr="009B7B35">
              <w:rPr>
                <w:rFonts w:cs="Arial"/>
              </w:rPr>
              <w:t>(9m where balconies overlook side boundary in any circumstance).</w:t>
            </w:r>
          </w:p>
        </w:tc>
        <w:tc>
          <w:tcPr>
            <w:tcW w:w="3954" w:type="dxa"/>
            <w:vMerge/>
            <w:tcBorders>
              <w:bottom w:val="nil"/>
              <w:right w:val="nil"/>
            </w:tcBorders>
          </w:tcPr>
          <w:p w14:paraId="57D0C025" w14:textId="77777777" w:rsidR="00BE36FB" w:rsidRPr="009B7B35" w:rsidRDefault="00BE36FB" w:rsidP="001A7107">
            <w:pPr>
              <w:pStyle w:val="TableText"/>
              <w:rPr>
                <w:rFonts w:cs="Arial"/>
              </w:rPr>
            </w:pPr>
          </w:p>
        </w:tc>
      </w:tr>
    </w:tbl>
    <w:p w14:paraId="7EDDB0A2" w14:textId="77777777" w:rsidR="00BE36FB" w:rsidRPr="009B7B35" w:rsidRDefault="00BE36FB">
      <w:pPr>
        <w:rPr>
          <w:rFonts w:ascii="Arial" w:hAnsi="Arial" w:cs="Arial"/>
          <w:sz w:val="20"/>
          <w:szCs w:val="20"/>
        </w:rPr>
      </w:pPr>
      <w:r w:rsidRPr="009B7B35">
        <w:rPr>
          <w:rFonts w:ascii="Arial" w:hAnsi="Arial" w:cs="Arial"/>
          <w:sz w:val="20"/>
          <w:szCs w:val="20"/>
        </w:rPr>
        <w:br w:type="page"/>
      </w:r>
    </w:p>
    <w:p w14:paraId="19CE2693" w14:textId="77777777" w:rsidR="00BE36FB" w:rsidRPr="009B7B35" w:rsidRDefault="00BE36FB" w:rsidP="003A35DA">
      <w:pPr>
        <w:pStyle w:val="Heading5"/>
        <w:numPr>
          <w:ilvl w:val="0"/>
          <w:numId w:val="0"/>
        </w:numPr>
        <w:rPr>
          <w:rFonts w:cs="Arial"/>
          <w:szCs w:val="20"/>
        </w:rPr>
      </w:pPr>
      <w:r w:rsidRPr="009B7B35">
        <w:rPr>
          <w:rFonts w:cs="Arial"/>
          <w:szCs w:val="20"/>
        </w:rPr>
        <w:t>Diagram 6.2.21.3.2—Primary and rear frontage</w:t>
      </w:r>
    </w:p>
    <w:p w14:paraId="14AA824A" w14:textId="77777777" w:rsidR="00BE36FB" w:rsidRPr="009B7B35" w:rsidRDefault="00BE36FB" w:rsidP="001A7107">
      <w:pPr>
        <w:rPr>
          <w:rFonts w:ascii="Arial" w:hAnsi="Arial" w:cs="Arial"/>
          <w:sz w:val="20"/>
          <w:szCs w:val="20"/>
        </w:rPr>
      </w:pPr>
      <w:r w:rsidRPr="009B7B35">
        <w:rPr>
          <w:rFonts w:ascii="Arial" w:hAnsi="Arial" w:cs="Arial"/>
          <w:sz w:val="20"/>
          <w:szCs w:val="20"/>
        </w:rPr>
        <w:t>Where a site located on a primary frontage has front and rear street frontages, the building treatment will be in accordance with the intent of this diagram as follows:</w:t>
      </w:r>
    </w:p>
    <w:p w14:paraId="6C54FCCA" w14:textId="77777777" w:rsidR="00BE36FB" w:rsidRPr="009B7B35" w:rsidRDefault="00BE36FB" w:rsidP="00BE36FB">
      <w:pPr>
        <w:numPr>
          <w:ilvl w:val="0"/>
          <w:numId w:val="188"/>
        </w:numPr>
        <w:rPr>
          <w:rFonts w:ascii="Arial" w:hAnsi="Arial" w:cs="Arial"/>
          <w:sz w:val="20"/>
          <w:szCs w:val="20"/>
        </w:rPr>
      </w:pPr>
      <w:r w:rsidRPr="009B7B35">
        <w:rPr>
          <w:rFonts w:ascii="Arial" w:hAnsi="Arial" w:cs="Arial"/>
          <w:sz w:val="20"/>
          <w:szCs w:val="20"/>
        </w:rPr>
        <w:t>The podium extends across the entire depth of the site.</w:t>
      </w:r>
    </w:p>
    <w:p w14:paraId="1372BC29" w14:textId="77777777" w:rsidR="00BE36FB" w:rsidRPr="009B7B35" w:rsidRDefault="00BE36FB" w:rsidP="00BE36FB">
      <w:pPr>
        <w:numPr>
          <w:ilvl w:val="0"/>
          <w:numId w:val="188"/>
        </w:numPr>
        <w:rPr>
          <w:rFonts w:ascii="Arial" w:hAnsi="Arial" w:cs="Arial"/>
          <w:sz w:val="20"/>
          <w:szCs w:val="20"/>
        </w:rPr>
      </w:pPr>
      <w:r w:rsidRPr="009B7B35">
        <w:rPr>
          <w:rFonts w:ascii="Arial" w:hAnsi="Arial" w:cs="Arial"/>
          <w:sz w:val="20"/>
          <w:szCs w:val="20"/>
        </w:rPr>
        <w:t>Car parking areas within the podium or basement are not permitted to extend to any street frontage and must be sleeved by the requisite frontage treatment for at least the full height of the podium or two storeys whichever is the greater.</w:t>
      </w:r>
    </w:p>
    <w:p w14:paraId="33A91E3A" w14:textId="77777777"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48FEDB79" wp14:editId="743683D3">
            <wp:extent cx="5936776" cy="2922830"/>
            <wp:effectExtent l="0" t="0" r="6985" b="0"/>
            <wp:docPr id="43" name="Picture 43" descr="Principal Centre Centre - Dual Fro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ncipal Centre Centre - Dual Frontage"/>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902" t="13663" r="2000" b="6171"/>
                    <a:stretch/>
                  </pic:blipFill>
                  <pic:spPr bwMode="auto">
                    <a:xfrm>
                      <a:off x="0" y="0"/>
                      <a:ext cx="5939790" cy="2924314"/>
                    </a:xfrm>
                    <a:prstGeom prst="rect">
                      <a:avLst/>
                    </a:prstGeom>
                    <a:noFill/>
                    <a:ln>
                      <a:noFill/>
                    </a:ln>
                    <a:extLst>
                      <a:ext uri="{53640926-AAD7-44D8-BBD7-CCE9431645EC}">
                        <a14:shadowObscured xmlns:a14="http://schemas.microsoft.com/office/drawing/2010/main"/>
                      </a:ext>
                    </a:extLst>
                  </pic:spPr>
                </pic:pic>
              </a:graphicData>
            </a:graphic>
          </wp:inline>
        </w:drawing>
      </w:r>
    </w:p>
    <w:p w14:paraId="79F96CC9" w14:textId="77777777" w:rsidR="00BE36FB" w:rsidRPr="009B7B35" w:rsidRDefault="00BE36FB" w:rsidP="001A7107">
      <w:pPr>
        <w:jc w:val="center"/>
        <w:rPr>
          <w:rFonts w:ascii="Arial" w:hAnsi="Arial" w:cs="Arial"/>
          <w:sz w:val="20"/>
          <w:szCs w:val="20"/>
        </w:rPr>
      </w:pPr>
      <w:r w:rsidRPr="009B7B35">
        <w:rPr>
          <w:rFonts w:ascii="Arial" w:hAnsi="Arial" w:cs="Arial"/>
          <w:noProof/>
          <w:sz w:val="20"/>
          <w:szCs w:val="20"/>
        </w:rPr>
        <w:drawing>
          <wp:inline distT="0" distB="0" distL="0" distR="0" wp14:anchorId="6A6C31CE" wp14:editId="53BFAB4A">
            <wp:extent cx="2879725" cy="600710"/>
            <wp:effectExtent l="0" t="0" r="0" b="8890"/>
            <wp:docPr id="79" name="Picture 79"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ypologies_Legend-h"/>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79725" cy="600710"/>
                    </a:xfrm>
                    <a:prstGeom prst="rect">
                      <a:avLst/>
                    </a:prstGeom>
                    <a:noFill/>
                    <a:ln>
                      <a:noFill/>
                    </a:ln>
                  </pic:spPr>
                </pic:pic>
              </a:graphicData>
            </a:graphic>
          </wp:inline>
        </w:drawing>
      </w:r>
    </w:p>
    <w:p w14:paraId="70CF536D"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5CC078E7" w14:textId="77777777" w:rsidR="00BE36FB" w:rsidRPr="009B7B35" w:rsidRDefault="00BE36FB" w:rsidP="003A35DA">
      <w:pPr>
        <w:pStyle w:val="Heading5"/>
        <w:numPr>
          <w:ilvl w:val="0"/>
          <w:numId w:val="0"/>
        </w:numPr>
        <w:rPr>
          <w:rFonts w:cs="Arial"/>
          <w:szCs w:val="20"/>
        </w:rPr>
      </w:pPr>
      <w:r w:rsidRPr="009B7B35">
        <w:rPr>
          <w:rFonts w:cs="Arial"/>
          <w:szCs w:val="20"/>
        </w:rPr>
        <w:t>Figure 2—Secondary frontage building</w:t>
      </w:r>
    </w:p>
    <w:tbl>
      <w:tblPr>
        <w:tblStyle w:val="Tablestyle"/>
        <w:tblW w:w="0" w:type="auto"/>
        <w:tblBorders>
          <w:left w:val="none" w:sz="0" w:space="0" w:color="auto"/>
          <w:right w:val="none" w:sz="0" w:space="0" w:color="auto"/>
          <w:insideV w:val="none" w:sz="0" w:space="0" w:color="auto"/>
        </w:tblBorders>
        <w:tblLook w:val="0600" w:firstRow="0" w:lastRow="0" w:firstColumn="0" w:lastColumn="0" w:noHBand="1" w:noVBand="1"/>
      </w:tblPr>
      <w:tblGrid>
        <w:gridCol w:w="3288"/>
        <w:gridCol w:w="5075"/>
      </w:tblGrid>
      <w:tr w:rsidR="00BE36FB" w:rsidRPr="009B7B35" w14:paraId="432CF2F3" w14:textId="77777777" w:rsidTr="001A7107">
        <w:tc>
          <w:tcPr>
            <w:tcW w:w="4253" w:type="dxa"/>
            <w:vAlign w:val="center"/>
          </w:tcPr>
          <w:p w14:paraId="5EEB1CF1" w14:textId="77777777" w:rsidR="00BE36FB" w:rsidRPr="009B7B35" w:rsidRDefault="00BE36FB" w:rsidP="001A7107">
            <w:pPr>
              <w:pStyle w:val="TableText"/>
              <w:rPr>
                <w:rFonts w:cs="Arial"/>
              </w:rPr>
            </w:pPr>
            <w:r w:rsidRPr="009B7B35">
              <w:rPr>
                <w:rFonts w:cs="Arial"/>
              </w:rPr>
              <w:t>This building type occurs generally on those streets in centres and mixed use areas where buildings are not required to provide active uses at ground level. These buildings may be single use commercial or residential buildings or vertically mixed use.</w:t>
            </w:r>
          </w:p>
        </w:tc>
        <w:tc>
          <w:tcPr>
            <w:tcW w:w="5103" w:type="dxa"/>
          </w:tcPr>
          <w:p w14:paraId="7CC24062" w14:textId="77777777" w:rsidR="00BE36FB" w:rsidRPr="009B7B35" w:rsidRDefault="00BE36FB" w:rsidP="001A7107">
            <w:pPr>
              <w:rPr>
                <w:rFonts w:cs="Arial"/>
                <w:sz w:val="20"/>
                <w:szCs w:val="20"/>
              </w:rPr>
            </w:pPr>
            <w:r w:rsidRPr="009B7B35">
              <w:rPr>
                <w:rFonts w:cs="Arial"/>
                <w:noProof/>
                <w:sz w:val="20"/>
                <w:szCs w:val="20"/>
              </w:rPr>
              <w:drawing>
                <wp:inline distT="0" distB="0" distL="0" distR="0" wp14:anchorId="7B1B0E98" wp14:editId="580BDFD1">
                  <wp:extent cx="3111690" cy="1632580"/>
                  <wp:effectExtent l="0" t="0" r="0" b="6350"/>
                  <wp:docPr id="80" name="Picture 80" descr="\\BVDC01\users\13\13-4263 PL - Gladstone Regional Planning Scheme - CT\Zoning\Zone Codes\Deicke Richards typologies\2. Secondary frontage building\MBRC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VDC01\users\13\13-4263 PL - Gladstone Regional Planning Scheme - CT\Zoning\Zone Codes\Deicke Richards typologies\2. Secondary frontage building\MBRC_4-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12023" cy="1632755"/>
                          </a:xfrm>
                          <a:prstGeom prst="rect">
                            <a:avLst/>
                          </a:prstGeom>
                          <a:noFill/>
                          <a:ln>
                            <a:noFill/>
                          </a:ln>
                        </pic:spPr>
                      </pic:pic>
                    </a:graphicData>
                  </a:graphic>
                </wp:inline>
              </w:drawing>
            </w:r>
          </w:p>
        </w:tc>
      </w:tr>
    </w:tbl>
    <w:p w14:paraId="2E713E27" w14:textId="77777777"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446"/>
        <w:gridCol w:w="996"/>
        <w:gridCol w:w="644"/>
        <w:gridCol w:w="1933"/>
        <w:gridCol w:w="4344"/>
      </w:tblGrid>
      <w:tr w:rsidR="00BE36FB" w:rsidRPr="009B7B35" w14:paraId="75E19CC1" w14:textId="77777777" w:rsidTr="001A7107">
        <w:trPr>
          <w:cnfStyle w:val="100000000000" w:firstRow="1" w:lastRow="0" w:firstColumn="0" w:lastColumn="0" w:oddVBand="0" w:evenVBand="0" w:oddHBand="0" w:evenHBand="0" w:firstRowFirstColumn="0" w:firstRowLastColumn="0" w:lastRowFirstColumn="0" w:lastRowLastColumn="0"/>
        </w:trPr>
        <w:tc>
          <w:tcPr>
            <w:tcW w:w="2410" w:type="dxa"/>
            <w:gridSpan w:val="3"/>
            <w:shd w:val="clear" w:color="auto" w:fill="BFBFBF" w:themeFill="background1" w:themeFillShade="BF"/>
          </w:tcPr>
          <w:p w14:paraId="496A2AE5" w14:textId="77777777" w:rsidR="00BE36FB" w:rsidRPr="009B7B35" w:rsidRDefault="00BE36FB" w:rsidP="001A7107">
            <w:pPr>
              <w:pStyle w:val="TableText"/>
              <w:rPr>
                <w:rFonts w:cs="Arial"/>
              </w:rPr>
            </w:pPr>
            <w:r w:rsidRPr="009B7B35">
              <w:rPr>
                <w:rFonts w:cs="Arial"/>
              </w:rPr>
              <w:t>Element</w:t>
            </w:r>
          </w:p>
        </w:tc>
        <w:tc>
          <w:tcPr>
            <w:tcW w:w="2835" w:type="dxa"/>
            <w:shd w:val="clear" w:color="auto" w:fill="BFBFBF" w:themeFill="background1" w:themeFillShade="BF"/>
          </w:tcPr>
          <w:p w14:paraId="08FC6D09" w14:textId="77777777" w:rsidR="00BE36FB" w:rsidRPr="009B7B35" w:rsidRDefault="00BE36FB" w:rsidP="001A7107">
            <w:pPr>
              <w:pStyle w:val="TableText"/>
              <w:rPr>
                <w:rFonts w:cs="Arial"/>
              </w:rPr>
            </w:pPr>
            <w:r w:rsidRPr="009B7B35">
              <w:rPr>
                <w:rFonts w:cs="Arial"/>
              </w:rPr>
              <w:t>Acceptable solutions</w:t>
            </w:r>
          </w:p>
        </w:tc>
        <w:tc>
          <w:tcPr>
            <w:tcW w:w="4111" w:type="dxa"/>
            <w:vMerge w:val="restart"/>
            <w:tcBorders>
              <w:top w:val="nil"/>
              <w:bottom w:val="nil"/>
              <w:right w:val="nil"/>
            </w:tcBorders>
          </w:tcPr>
          <w:p w14:paraId="56EF9D94" w14:textId="77777777" w:rsidR="00BE36FB" w:rsidRPr="009B7B35" w:rsidRDefault="00BE36FB" w:rsidP="001A7107">
            <w:pPr>
              <w:pStyle w:val="TableText"/>
              <w:rPr>
                <w:rFonts w:cs="Arial"/>
              </w:rPr>
            </w:pPr>
            <w:r w:rsidRPr="009B7B35">
              <w:rPr>
                <w:rFonts w:cs="Arial"/>
                <w:noProof/>
              </w:rPr>
              <w:drawing>
                <wp:inline distT="0" distB="0" distL="0" distR="0" wp14:anchorId="5A9645D7" wp14:editId="52023F0B">
                  <wp:extent cx="2682815" cy="5037826"/>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ondary.PNG"/>
                          <pic:cNvPicPr/>
                        </pic:nvPicPr>
                        <pic:blipFill>
                          <a:blip r:embed="rId69">
                            <a:extLst>
                              <a:ext uri="{28A0092B-C50C-407E-A947-70E740481C1C}">
                                <a14:useLocalDpi xmlns:a14="http://schemas.microsoft.com/office/drawing/2010/main" val="0"/>
                              </a:ext>
                            </a:extLst>
                          </a:blip>
                          <a:stretch>
                            <a:fillRect/>
                          </a:stretch>
                        </pic:blipFill>
                        <pic:spPr>
                          <a:xfrm>
                            <a:off x="0" y="0"/>
                            <a:ext cx="2683191" cy="5038532"/>
                          </a:xfrm>
                          <a:prstGeom prst="rect">
                            <a:avLst/>
                          </a:prstGeom>
                        </pic:spPr>
                      </pic:pic>
                    </a:graphicData>
                  </a:graphic>
                </wp:inline>
              </w:drawing>
            </w:r>
          </w:p>
          <w:p w14:paraId="417D1028" w14:textId="77777777" w:rsidR="00BE36FB" w:rsidRPr="009B7B35" w:rsidRDefault="00BE36FB" w:rsidP="001A7107">
            <w:pPr>
              <w:pStyle w:val="TableText"/>
              <w:rPr>
                <w:rFonts w:cs="Arial"/>
              </w:rPr>
            </w:pPr>
            <w:r w:rsidRPr="009B7B35">
              <w:rPr>
                <w:rFonts w:cs="Arial"/>
                <w:noProof/>
              </w:rPr>
              <w:drawing>
                <wp:inline distT="0" distB="0" distL="0" distR="0" wp14:anchorId="3B395F17" wp14:editId="2301C3E2">
                  <wp:extent cx="2524125" cy="523875"/>
                  <wp:effectExtent l="0" t="0" r="9525" b="9525"/>
                  <wp:docPr id="82" name="Picture 82" descr="Typologies_Legen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ypologies_Legend-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24125" cy="523875"/>
                          </a:xfrm>
                          <a:prstGeom prst="rect">
                            <a:avLst/>
                          </a:prstGeom>
                          <a:noFill/>
                          <a:ln>
                            <a:noFill/>
                          </a:ln>
                        </pic:spPr>
                      </pic:pic>
                    </a:graphicData>
                  </a:graphic>
                </wp:inline>
              </w:drawing>
            </w:r>
          </w:p>
        </w:tc>
      </w:tr>
      <w:tr w:rsidR="00BE36FB" w:rsidRPr="009B7B35" w14:paraId="6224D08C" w14:textId="77777777" w:rsidTr="001A7107">
        <w:tc>
          <w:tcPr>
            <w:tcW w:w="538" w:type="dxa"/>
          </w:tcPr>
          <w:p w14:paraId="6B478A3A" w14:textId="77777777" w:rsidR="00BE36FB" w:rsidRPr="009B7B35" w:rsidRDefault="00BE36FB" w:rsidP="001A7107">
            <w:pPr>
              <w:pStyle w:val="TableText"/>
              <w:rPr>
                <w:rFonts w:cs="Arial"/>
              </w:rPr>
            </w:pPr>
            <w:r w:rsidRPr="009B7B35">
              <w:rPr>
                <w:rFonts w:cs="Arial"/>
              </w:rPr>
              <w:t>2.1</w:t>
            </w:r>
          </w:p>
        </w:tc>
        <w:tc>
          <w:tcPr>
            <w:tcW w:w="1872" w:type="dxa"/>
            <w:gridSpan w:val="2"/>
          </w:tcPr>
          <w:p w14:paraId="328EC57D" w14:textId="77777777" w:rsidR="00BE36FB" w:rsidRPr="009B7B35" w:rsidRDefault="00BE36FB" w:rsidP="001A7107">
            <w:pPr>
              <w:pStyle w:val="TableText"/>
              <w:rPr>
                <w:rFonts w:cs="Arial"/>
              </w:rPr>
            </w:pPr>
            <w:r w:rsidRPr="009B7B35">
              <w:rPr>
                <w:rFonts w:cs="Arial"/>
              </w:rPr>
              <w:t>Minimum frontage</w:t>
            </w:r>
          </w:p>
        </w:tc>
        <w:tc>
          <w:tcPr>
            <w:tcW w:w="2835" w:type="dxa"/>
          </w:tcPr>
          <w:p w14:paraId="2A3B0DF9" w14:textId="77777777" w:rsidR="00BE36FB" w:rsidRPr="009B7B35" w:rsidRDefault="00BE36FB" w:rsidP="001A7107">
            <w:pPr>
              <w:pStyle w:val="TableText"/>
              <w:rPr>
                <w:rFonts w:cs="Arial"/>
              </w:rPr>
            </w:pPr>
            <w:r w:rsidRPr="009B7B35">
              <w:rPr>
                <w:rFonts w:cs="Arial"/>
              </w:rPr>
              <w:t>30m</w:t>
            </w:r>
          </w:p>
        </w:tc>
        <w:tc>
          <w:tcPr>
            <w:tcW w:w="4111" w:type="dxa"/>
            <w:vMerge/>
            <w:tcBorders>
              <w:bottom w:val="nil"/>
              <w:right w:val="nil"/>
            </w:tcBorders>
          </w:tcPr>
          <w:p w14:paraId="3693E0D3" w14:textId="77777777" w:rsidR="00BE36FB" w:rsidRPr="009B7B35" w:rsidRDefault="00BE36FB" w:rsidP="001A7107">
            <w:pPr>
              <w:pStyle w:val="TableText"/>
              <w:rPr>
                <w:rFonts w:cs="Arial"/>
              </w:rPr>
            </w:pPr>
          </w:p>
        </w:tc>
      </w:tr>
      <w:tr w:rsidR="00BE36FB" w:rsidRPr="009B7B35" w14:paraId="71C6F54F" w14:textId="77777777" w:rsidTr="001A7107">
        <w:tc>
          <w:tcPr>
            <w:tcW w:w="538" w:type="dxa"/>
          </w:tcPr>
          <w:p w14:paraId="39617928" w14:textId="77777777" w:rsidR="00BE36FB" w:rsidRPr="009B7B35" w:rsidRDefault="00BE36FB" w:rsidP="001A7107">
            <w:pPr>
              <w:pStyle w:val="TableText"/>
              <w:rPr>
                <w:rFonts w:cs="Arial"/>
              </w:rPr>
            </w:pPr>
            <w:r w:rsidRPr="009B7B35">
              <w:rPr>
                <w:rFonts w:cs="Arial"/>
              </w:rPr>
              <w:t>2.2</w:t>
            </w:r>
          </w:p>
        </w:tc>
        <w:tc>
          <w:tcPr>
            <w:tcW w:w="1872" w:type="dxa"/>
            <w:gridSpan w:val="2"/>
          </w:tcPr>
          <w:p w14:paraId="6B71B564" w14:textId="77777777" w:rsidR="00BE36FB" w:rsidRPr="009B7B35" w:rsidRDefault="00BE36FB" w:rsidP="001A7107">
            <w:pPr>
              <w:pStyle w:val="TableText"/>
              <w:rPr>
                <w:rFonts w:cs="Arial"/>
              </w:rPr>
            </w:pPr>
            <w:r w:rsidRPr="009B7B35">
              <w:rPr>
                <w:rFonts w:cs="Arial"/>
              </w:rPr>
              <w:t>Minimum area</w:t>
            </w:r>
          </w:p>
        </w:tc>
        <w:tc>
          <w:tcPr>
            <w:tcW w:w="2835" w:type="dxa"/>
          </w:tcPr>
          <w:p w14:paraId="0448B092" w14:textId="77777777" w:rsidR="00BE36FB" w:rsidRPr="009B7B35" w:rsidRDefault="00BE36FB" w:rsidP="001A7107">
            <w:pPr>
              <w:pStyle w:val="TableText"/>
              <w:rPr>
                <w:rFonts w:cs="Arial"/>
              </w:rPr>
            </w:pPr>
            <w:r w:rsidRPr="009B7B35">
              <w:rPr>
                <w:rFonts w:cs="Arial"/>
              </w:rPr>
              <w:t>1,500m</w:t>
            </w:r>
            <w:r w:rsidRPr="009B7B35">
              <w:rPr>
                <w:rFonts w:cs="Arial"/>
                <w:vertAlign w:val="superscript"/>
              </w:rPr>
              <w:t>2</w:t>
            </w:r>
          </w:p>
        </w:tc>
        <w:tc>
          <w:tcPr>
            <w:tcW w:w="4111" w:type="dxa"/>
            <w:vMerge/>
            <w:tcBorders>
              <w:bottom w:val="nil"/>
              <w:right w:val="nil"/>
            </w:tcBorders>
          </w:tcPr>
          <w:p w14:paraId="73AA9299" w14:textId="77777777" w:rsidR="00BE36FB" w:rsidRPr="009B7B35" w:rsidRDefault="00BE36FB" w:rsidP="001A7107">
            <w:pPr>
              <w:pStyle w:val="TableText"/>
              <w:rPr>
                <w:rFonts w:cs="Arial"/>
              </w:rPr>
            </w:pPr>
          </w:p>
        </w:tc>
      </w:tr>
      <w:tr w:rsidR="00BE36FB" w:rsidRPr="009B7B35" w14:paraId="6DCABF01" w14:textId="77777777" w:rsidTr="001A7107">
        <w:tc>
          <w:tcPr>
            <w:tcW w:w="538" w:type="dxa"/>
          </w:tcPr>
          <w:p w14:paraId="78BDD01B" w14:textId="77777777" w:rsidR="00BE36FB" w:rsidRPr="009B7B35" w:rsidRDefault="00BE36FB" w:rsidP="001A7107">
            <w:pPr>
              <w:pStyle w:val="TableText"/>
              <w:rPr>
                <w:rFonts w:cs="Arial"/>
              </w:rPr>
            </w:pPr>
            <w:r w:rsidRPr="009B7B35">
              <w:rPr>
                <w:rFonts w:cs="Arial"/>
              </w:rPr>
              <w:t>2.3</w:t>
            </w:r>
          </w:p>
        </w:tc>
        <w:tc>
          <w:tcPr>
            <w:tcW w:w="1872" w:type="dxa"/>
            <w:gridSpan w:val="2"/>
          </w:tcPr>
          <w:p w14:paraId="24E5981E" w14:textId="77777777" w:rsidR="00BE36FB" w:rsidRPr="009B7B35" w:rsidRDefault="00BE36FB" w:rsidP="001A7107">
            <w:pPr>
              <w:pStyle w:val="TableText"/>
              <w:rPr>
                <w:rFonts w:cs="Arial"/>
              </w:rPr>
            </w:pPr>
            <w:r w:rsidRPr="009B7B35">
              <w:rPr>
                <w:rFonts w:cs="Arial"/>
              </w:rPr>
              <w:t>Maximum building depth from the main street frontage</w:t>
            </w:r>
          </w:p>
        </w:tc>
        <w:tc>
          <w:tcPr>
            <w:tcW w:w="2835" w:type="dxa"/>
          </w:tcPr>
          <w:p w14:paraId="17097790" w14:textId="77777777" w:rsidR="00BE36FB" w:rsidRPr="009B7B35" w:rsidRDefault="00BE36FB" w:rsidP="001A7107">
            <w:pPr>
              <w:pStyle w:val="TableText"/>
              <w:rPr>
                <w:rFonts w:cs="Arial"/>
              </w:rPr>
            </w:pPr>
            <w:r w:rsidRPr="009B7B35">
              <w:rPr>
                <w:rFonts w:cs="Arial"/>
              </w:rPr>
              <w:t>36m to OMP</w:t>
            </w:r>
          </w:p>
        </w:tc>
        <w:tc>
          <w:tcPr>
            <w:tcW w:w="4111" w:type="dxa"/>
            <w:vMerge/>
            <w:tcBorders>
              <w:bottom w:val="nil"/>
              <w:right w:val="nil"/>
            </w:tcBorders>
          </w:tcPr>
          <w:p w14:paraId="613C9FC9" w14:textId="77777777" w:rsidR="00BE36FB" w:rsidRPr="009B7B35" w:rsidRDefault="00BE36FB" w:rsidP="001A7107">
            <w:pPr>
              <w:pStyle w:val="TableText"/>
              <w:rPr>
                <w:rFonts w:cs="Arial"/>
              </w:rPr>
            </w:pPr>
          </w:p>
        </w:tc>
      </w:tr>
      <w:tr w:rsidR="00BE36FB" w:rsidRPr="009B7B35" w14:paraId="505069BF" w14:textId="77777777" w:rsidTr="001A7107">
        <w:tc>
          <w:tcPr>
            <w:tcW w:w="538" w:type="dxa"/>
            <w:vMerge w:val="restart"/>
          </w:tcPr>
          <w:p w14:paraId="160E732A" w14:textId="77777777" w:rsidR="00BE36FB" w:rsidRPr="009B7B35" w:rsidRDefault="00BE36FB" w:rsidP="001A7107">
            <w:pPr>
              <w:pStyle w:val="TableText"/>
              <w:rPr>
                <w:rFonts w:cs="Arial"/>
              </w:rPr>
            </w:pPr>
            <w:r w:rsidRPr="009B7B35">
              <w:rPr>
                <w:rFonts w:cs="Arial"/>
              </w:rPr>
              <w:t>2.4</w:t>
            </w:r>
          </w:p>
        </w:tc>
        <w:tc>
          <w:tcPr>
            <w:tcW w:w="1872" w:type="dxa"/>
            <w:gridSpan w:val="2"/>
            <w:vMerge w:val="restart"/>
          </w:tcPr>
          <w:p w14:paraId="4364D804" w14:textId="77777777" w:rsidR="00BE36FB" w:rsidRPr="009B7B35" w:rsidRDefault="00BE36FB" w:rsidP="001A7107">
            <w:pPr>
              <w:pStyle w:val="TableText"/>
              <w:rPr>
                <w:rFonts w:cs="Arial"/>
              </w:rPr>
            </w:pPr>
            <w:r w:rsidRPr="009B7B35">
              <w:rPr>
                <w:rFonts w:cs="Arial"/>
              </w:rPr>
              <w:t>Residential open space</w:t>
            </w:r>
          </w:p>
        </w:tc>
        <w:tc>
          <w:tcPr>
            <w:tcW w:w="2835" w:type="dxa"/>
          </w:tcPr>
          <w:p w14:paraId="0EBFEF6B" w14:textId="77777777" w:rsidR="00BE36FB" w:rsidRPr="009B7B35" w:rsidRDefault="00BE36FB" w:rsidP="001A7107">
            <w:pPr>
              <w:pStyle w:val="TableText"/>
              <w:rPr>
                <w:rFonts w:cs="Arial"/>
              </w:rPr>
            </w:pPr>
            <w:r w:rsidRPr="009B7B35">
              <w:rPr>
                <w:rFonts w:cs="Arial"/>
              </w:rPr>
              <w:t>Minimum private open space of 16m</w:t>
            </w:r>
            <w:r w:rsidRPr="009B7B35">
              <w:rPr>
                <w:rFonts w:cs="Arial"/>
                <w:vertAlign w:val="superscript"/>
              </w:rPr>
              <w:t>2</w:t>
            </w:r>
            <w:r w:rsidRPr="009B7B35">
              <w:rPr>
                <w:rFonts w:cs="Arial"/>
              </w:rPr>
              <w:t xml:space="preserve"> per dwelling with a minimum dimension of 3m in any direction.</w:t>
            </w:r>
          </w:p>
        </w:tc>
        <w:tc>
          <w:tcPr>
            <w:tcW w:w="4111" w:type="dxa"/>
            <w:vMerge/>
            <w:tcBorders>
              <w:bottom w:val="nil"/>
              <w:right w:val="nil"/>
            </w:tcBorders>
          </w:tcPr>
          <w:p w14:paraId="745086CD" w14:textId="77777777" w:rsidR="00BE36FB" w:rsidRPr="009B7B35" w:rsidRDefault="00BE36FB" w:rsidP="001A7107">
            <w:pPr>
              <w:pStyle w:val="TableText"/>
              <w:rPr>
                <w:rFonts w:cs="Arial"/>
              </w:rPr>
            </w:pPr>
          </w:p>
        </w:tc>
      </w:tr>
      <w:tr w:rsidR="00BE36FB" w:rsidRPr="009B7B35" w14:paraId="1228C655" w14:textId="77777777" w:rsidTr="001A7107">
        <w:tc>
          <w:tcPr>
            <w:tcW w:w="538" w:type="dxa"/>
            <w:vMerge/>
          </w:tcPr>
          <w:p w14:paraId="37F5A738" w14:textId="77777777" w:rsidR="00BE36FB" w:rsidRPr="009B7B35" w:rsidRDefault="00BE36FB" w:rsidP="001A7107">
            <w:pPr>
              <w:pStyle w:val="TableText"/>
              <w:rPr>
                <w:rFonts w:cs="Arial"/>
              </w:rPr>
            </w:pPr>
          </w:p>
        </w:tc>
        <w:tc>
          <w:tcPr>
            <w:tcW w:w="1872" w:type="dxa"/>
            <w:gridSpan w:val="2"/>
            <w:vMerge/>
          </w:tcPr>
          <w:p w14:paraId="661CD939" w14:textId="77777777" w:rsidR="00BE36FB" w:rsidRPr="009B7B35" w:rsidRDefault="00BE36FB" w:rsidP="001A7107">
            <w:pPr>
              <w:pStyle w:val="TableText"/>
              <w:rPr>
                <w:rFonts w:cs="Arial"/>
              </w:rPr>
            </w:pPr>
          </w:p>
        </w:tc>
        <w:tc>
          <w:tcPr>
            <w:tcW w:w="2835" w:type="dxa"/>
          </w:tcPr>
          <w:p w14:paraId="7BC63D4A" w14:textId="77777777" w:rsidR="00BE36FB" w:rsidRPr="009B7B35" w:rsidRDefault="00BE36FB" w:rsidP="001A7107">
            <w:pPr>
              <w:pStyle w:val="TableText"/>
              <w:rPr>
                <w:rFonts w:cs="Arial"/>
              </w:rPr>
            </w:pPr>
            <w:r w:rsidRPr="009B7B35">
              <w:rPr>
                <w:rFonts w:cs="Arial"/>
              </w:rPr>
              <w:t>Minimum communal open space of 20% of the site area with a minimum dimension of 5m in any direction.</w:t>
            </w:r>
          </w:p>
        </w:tc>
        <w:tc>
          <w:tcPr>
            <w:tcW w:w="4111" w:type="dxa"/>
            <w:vMerge/>
            <w:tcBorders>
              <w:bottom w:val="nil"/>
              <w:right w:val="nil"/>
            </w:tcBorders>
          </w:tcPr>
          <w:p w14:paraId="7F2A3B10" w14:textId="77777777" w:rsidR="00BE36FB" w:rsidRPr="009B7B35" w:rsidRDefault="00BE36FB" w:rsidP="001A7107">
            <w:pPr>
              <w:pStyle w:val="TableText"/>
              <w:rPr>
                <w:rFonts w:cs="Arial"/>
              </w:rPr>
            </w:pPr>
          </w:p>
        </w:tc>
      </w:tr>
      <w:tr w:rsidR="00BE36FB" w:rsidRPr="009B7B35" w14:paraId="067A3A46" w14:textId="77777777" w:rsidTr="001A7107">
        <w:trPr>
          <w:trHeight w:val="25"/>
        </w:trPr>
        <w:tc>
          <w:tcPr>
            <w:tcW w:w="538" w:type="dxa"/>
            <w:vMerge w:val="restart"/>
          </w:tcPr>
          <w:p w14:paraId="414D658C" w14:textId="77777777" w:rsidR="00BE36FB" w:rsidRPr="009B7B35" w:rsidRDefault="00BE36FB" w:rsidP="001A7107">
            <w:pPr>
              <w:pStyle w:val="TableText"/>
              <w:rPr>
                <w:rFonts w:cs="Arial"/>
              </w:rPr>
            </w:pPr>
            <w:r w:rsidRPr="009B7B35">
              <w:rPr>
                <w:rFonts w:cs="Arial"/>
              </w:rPr>
              <w:t>2.5</w:t>
            </w:r>
          </w:p>
        </w:tc>
        <w:tc>
          <w:tcPr>
            <w:tcW w:w="1119" w:type="dxa"/>
            <w:vMerge w:val="restart"/>
          </w:tcPr>
          <w:p w14:paraId="513D8E50" w14:textId="77777777" w:rsidR="00BE36FB" w:rsidRPr="009B7B35" w:rsidRDefault="00BE36FB" w:rsidP="001A7107">
            <w:pPr>
              <w:pStyle w:val="TableText"/>
              <w:rPr>
                <w:rFonts w:cs="Arial"/>
              </w:rPr>
            </w:pPr>
            <w:r w:rsidRPr="009B7B35">
              <w:rPr>
                <w:rFonts w:cs="Arial"/>
              </w:rPr>
              <w:t>Minimum setbacks</w:t>
            </w:r>
          </w:p>
        </w:tc>
        <w:tc>
          <w:tcPr>
            <w:tcW w:w="753" w:type="dxa"/>
          </w:tcPr>
          <w:p w14:paraId="418986D4" w14:textId="77777777" w:rsidR="00BE36FB" w:rsidRPr="009B7B35" w:rsidRDefault="00BE36FB" w:rsidP="001A7107">
            <w:pPr>
              <w:pStyle w:val="TableText"/>
              <w:rPr>
                <w:rFonts w:cs="Arial"/>
              </w:rPr>
            </w:pPr>
            <w:r w:rsidRPr="009B7B35">
              <w:rPr>
                <w:rFonts w:cs="Arial"/>
              </w:rPr>
              <w:t>Front</w:t>
            </w:r>
          </w:p>
        </w:tc>
        <w:tc>
          <w:tcPr>
            <w:tcW w:w="2835" w:type="dxa"/>
          </w:tcPr>
          <w:p w14:paraId="54063ED8" w14:textId="77777777" w:rsidR="00BE36FB" w:rsidRPr="009B7B35" w:rsidRDefault="00BE36FB" w:rsidP="001A7107">
            <w:pPr>
              <w:pStyle w:val="TableText"/>
              <w:rPr>
                <w:rFonts w:cs="Arial"/>
              </w:rPr>
            </w:pPr>
            <w:r w:rsidRPr="009B7B35">
              <w:rPr>
                <w:rFonts w:cs="Arial"/>
              </w:rPr>
              <w:t>6m to main face of building (3m OMP in articulation zone</w:t>
            </w:r>
            <w:r w:rsidRPr="009B7B35">
              <w:rPr>
                <w:rStyle w:val="FootnoteReference"/>
                <w:rFonts w:cs="Arial"/>
              </w:rPr>
              <w:footnoteReference w:id="9"/>
            </w:r>
            <w:r w:rsidRPr="009B7B35">
              <w:rPr>
                <w:rFonts w:cs="Arial"/>
              </w:rPr>
              <w:t>).</w:t>
            </w:r>
          </w:p>
        </w:tc>
        <w:tc>
          <w:tcPr>
            <w:tcW w:w="4111" w:type="dxa"/>
            <w:vMerge/>
            <w:tcBorders>
              <w:bottom w:val="nil"/>
              <w:right w:val="nil"/>
            </w:tcBorders>
          </w:tcPr>
          <w:p w14:paraId="0EA5B76B" w14:textId="77777777" w:rsidR="00BE36FB" w:rsidRPr="009B7B35" w:rsidRDefault="00BE36FB" w:rsidP="001A7107">
            <w:pPr>
              <w:pStyle w:val="TableText"/>
              <w:rPr>
                <w:rFonts w:cs="Arial"/>
              </w:rPr>
            </w:pPr>
          </w:p>
        </w:tc>
      </w:tr>
      <w:tr w:rsidR="00BE36FB" w:rsidRPr="009B7B35" w14:paraId="76676FD9" w14:textId="77777777" w:rsidTr="001A7107">
        <w:tc>
          <w:tcPr>
            <w:tcW w:w="538" w:type="dxa"/>
            <w:vMerge/>
          </w:tcPr>
          <w:p w14:paraId="1A1A3DF6" w14:textId="77777777" w:rsidR="00BE36FB" w:rsidRPr="009B7B35" w:rsidRDefault="00BE36FB" w:rsidP="001A7107">
            <w:pPr>
              <w:pStyle w:val="TableText"/>
              <w:rPr>
                <w:rFonts w:cs="Arial"/>
              </w:rPr>
            </w:pPr>
          </w:p>
        </w:tc>
        <w:tc>
          <w:tcPr>
            <w:tcW w:w="1119" w:type="dxa"/>
            <w:vMerge/>
          </w:tcPr>
          <w:p w14:paraId="7BC7D87C" w14:textId="77777777" w:rsidR="00BE36FB" w:rsidRPr="009B7B35" w:rsidRDefault="00BE36FB" w:rsidP="001A7107">
            <w:pPr>
              <w:pStyle w:val="TableText"/>
              <w:rPr>
                <w:rFonts w:cs="Arial"/>
              </w:rPr>
            </w:pPr>
          </w:p>
        </w:tc>
        <w:tc>
          <w:tcPr>
            <w:tcW w:w="753" w:type="dxa"/>
          </w:tcPr>
          <w:p w14:paraId="3CC9103F" w14:textId="77777777" w:rsidR="00BE36FB" w:rsidRPr="009B7B35" w:rsidRDefault="00BE36FB" w:rsidP="001A7107">
            <w:pPr>
              <w:pStyle w:val="TableText"/>
              <w:rPr>
                <w:rFonts w:cs="Arial"/>
              </w:rPr>
            </w:pPr>
            <w:r w:rsidRPr="009B7B35">
              <w:rPr>
                <w:rFonts w:cs="Arial"/>
              </w:rPr>
              <w:t>Rear</w:t>
            </w:r>
          </w:p>
        </w:tc>
        <w:tc>
          <w:tcPr>
            <w:tcW w:w="2835" w:type="dxa"/>
          </w:tcPr>
          <w:p w14:paraId="08811CD4" w14:textId="77777777" w:rsidR="00BE36FB" w:rsidRPr="009B7B35" w:rsidRDefault="00BE36FB" w:rsidP="001A7107">
            <w:pPr>
              <w:pStyle w:val="TableText"/>
              <w:rPr>
                <w:rFonts w:cs="Arial"/>
              </w:rPr>
            </w:pPr>
            <w:r w:rsidRPr="009B7B35">
              <w:rPr>
                <w:rFonts w:cs="Arial"/>
              </w:rPr>
              <w:t>12m to OMP.</w:t>
            </w:r>
          </w:p>
        </w:tc>
        <w:tc>
          <w:tcPr>
            <w:tcW w:w="4111" w:type="dxa"/>
            <w:vMerge/>
            <w:tcBorders>
              <w:bottom w:val="nil"/>
              <w:right w:val="nil"/>
            </w:tcBorders>
          </w:tcPr>
          <w:p w14:paraId="5C3B9F9F" w14:textId="77777777" w:rsidR="00BE36FB" w:rsidRPr="009B7B35" w:rsidRDefault="00BE36FB" w:rsidP="001A7107">
            <w:pPr>
              <w:pStyle w:val="TableText"/>
              <w:rPr>
                <w:rFonts w:cs="Arial"/>
              </w:rPr>
            </w:pPr>
          </w:p>
        </w:tc>
      </w:tr>
      <w:tr w:rsidR="00BE36FB" w:rsidRPr="009B7B35" w14:paraId="3AB03818" w14:textId="77777777" w:rsidTr="001A7107">
        <w:tc>
          <w:tcPr>
            <w:tcW w:w="538" w:type="dxa"/>
            <w:vMerge/>
          </w:tcPr>
          <w:p w14:paraId="793AD6E8" w14:textId="77777777" w:rsidR="00BE36FB" w:rsidRPr="009B7B35" w:rsidRDefault="00BE36FB" w:rsidP="001A7107">
            <w:pPr>
              <w:pStyle w:val="TableText"/>
              <w:rPr>
                <w:rFonts w:cs="Arial"/>
              </w:rPr>
            </w:pPr>
          </w:p>
        </w:tc>
        <w:tc>
          <w:tcPr>
            <w:tcW w:w="1119" w:type="dxa"/>
            <w:vMerge/>
          </w:tcPr>
          <w:p w14:paraId="615384E1" w14:textId="77777777" w:rsidR="00BE36FB" w:rsidRPr="009B7B35" w:rsidRDefault="00BE36FB" w:rsidP="001A7107">
            <w:pPr>
              <w:pStyle w:val="TableText"/>
              <w:rPr>
                <w:rFonts w:cs="Arial"/>
              </w:rPr>
            </w:pPr>
          </w:p>
        </w:tc>
        <w:tc>
          <w:tcPr>
            <w:tcW w:w="753" w:type="dxa"/>
          </w:tcPr>
          <w:p w14:paraId="5C1D9CA7" w14:textId="77777777" w:rsidR="00BE36FB" w:rsidRPr="009B7B35" w:rsidRDefault="00BE36FB" w:rsidP="001A7107">
            <w:pPr>
              <w:pStyle w:val="TableText"/>
              <w:rPr>
                <w:rFonts w:cs="Arial"/>
              </w:rPr>
            </w:pPr>
            <w:r w:rsidRPr="009B7B35">
              <w:rPr>
                <w:rFonts w:cs="Arial"/>
              </w:rPr>
              <w:t>Side</w:t>
            </w:r>
          </w:p>
        </w:tc>
        <w:tc>
          <w:tcPr>
            <w:tcW w:w="2835" w:type="dxa"/>
          </w:tcPr>
          <w:p w14:paraId="770FA89A" w14:textId="77777777" w:rsidR="00BE36FB" w:rsidRPr="009B7B35" w:rsidRDefault="00BE36FB" w:rsidP="001A7107">
            <w:pPr>
              <w:rPr>
                <w:rFonts w:cs="Arial"/>
                <w:sz w:val="20"/>
                <w:szCs w:val="20"/>
              </w:rPr>
            </w:pPr>
            <w:r w:rsidRPr="009B7B35">
              <w:rPr>
                <w:rFonts w:cs="Arial"/>
                <w:sz w:val="20"/>
                <w:szCs w:val="20"/>
              </w:rPr>
              <w:t>Levels 1–6: 3m to OMP</w:t>
            </w:r>
          </w:p>
          <w:p w14:paraId="2EC41867" w14:textId="77777777" w:rsidR="00BE36FB" w:rsidRPr="009B7B35" w:rsidRDefault="00BE36FB" w:rsidP="001A7107">
            <w:pPr>
              <w:rPr>
                <w:rFonts w:cs="Arial"/>
                <w:sz w:val="20"/>
                <w:szCs w:val="20"/>
              </w:rPr>
            </w:pPr>
            <w:r w:rsidRPr="009B7B35">
              <w:rPr>
                <w:rFonts w:cs="Arial"/>
                <w:sz w:val="20"/>
                <w:szCs w:val="20"/>
              </w:rPr>
              <w:t>Levels 7+: 6m to OMP</w:t>
            </w:r>
          </w:p>
          <w:p w14:paraId="33E8F605" w14:textId="77777777" w:rsidR="00BE36FB" w:rsidRPr="009B7B35" w:rsidRDefault="00BE36FB" w:rsidP="001A7107">
            <w:pPr>
              <w:pStyle w:val="TableText"/>
              <w:rPr>
                <w:rFonts w:cs="Arial"/>
              </w:rPr>
            </w:pPr>
            <w:r w:rsidRPr="009B7B35">
              <w:rPr>
                <w:rFonts w:cs="Arial"/>
              </w:rPr>
              <w:t>(9m where balconies overlook side boundary in any circumstance).</w:t>
            </w:r>
          </w:p>
        </w:tc>
        <w:tc>
          <w:tcPr>
            <w:tcW w:w="4111" w:type="dxa"/>
            <w:vMerge/>
            <w:tcBorders>
              <w:bottom w:val="nil"/>
              <w:right w:val="nil"/>
            </w:tcBorders>
          </w:tcPr>
          <w:p w14:paraId="0B32E60D" w14:textId="77777777" w:rsidR="00BE36FB" w:rsidRPr="009B7B35" w:rsidRDefault="00BE36FB" w:rsidP="001A7107">
            <w:pPr>
              <w:pStyle w:val="TableText"/>
              <w:rPr>
                <w:rFonts w:cs="Arial"/>
              </w:rPr>
            </w:pPr>
          </w:p>
        </w:tc>
      </w:tr>
    </w:tbl>
    <w:p w14:paraId="1564D37A"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5811B23B" w14:textId="4025CF52" w:rsidR="00BE36FB" w:rsidRPr="009B7B35" w:rsidRDefault="00BE36FB" w:rsidP="003A35DA">
      <w:pPr>
        <w:pStyle w:val="Heading3"/>
        <w:keepLines/>
        <w:numPr>
          <w:ilvl w:val="2"/>
          <w:numId w:val="883"/>
        </w:numPr>
        <w:spacing w:before="240"/>
        <w:rPr>
          <w:rFonts w:ascii="Arial" w:hAnsi="Arial"/>
          <w:sz w:val="20"/>
          <w:szCs w:val="20"/>
        </w:rPr>
      </w:pPr>
      <w:bookmarkStart w:id="204" w:name="_Toc205367367"/>
      <w:r w:rsidRPr="009B7B35">
        <w:rPr>
          <w:rFonts w:ascii="Arial" w:hAnsi="Arial"/>
          <w:sz w:val="20"/>
          <w:szCs w:val="20"/>
        </w:rPr>
        <w:t>Rural</w:t>
      </w:r>
      <w:bookmarkEnd w:id="204"/>
    </w:p>
    <w:p w14:paraId="39EF6324"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2FBB3086"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3B41535B"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54279942" w14:textId="77777777" w:rsidR="00BE36FB" w:rsidRPr="009B7B35" w:rsidRDefault="00BE36FB" w:rsidP="00BE36FB">
      <w:pPr>
        <w:numPr>
          <w:ilvl w:val="0"/>
          <w:numId w:val="376"/>
        </w:numPr>
        <w:ind w:left="540" w:hanging="540"/>
        <w:rPr>
          <w:rFonts w:ascii="Arial" w:hAnsi="Arial" w:cs="Arial"/>
          <w:sz w:val="20"/>
          <w:szCs w:val="20"/>
        </w:rPr>
      </w:pPr>
      <w:r w:rsidRPr="009B7B35">
        <w:rPr>
          <w:rFonts w:ascii="Arial" w:hAnsi="Arial" w:cs="Arial"/>
          <w:sz w:val="20"/>
          <w:szCs w:val="20"/>
        </w:rPr>
        <w:t>The purpose of the rural zone code is to:</w:t>
      </w:r>
    </w:p>
    <w:p w14:paraId="0E2F5298"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Ensure appropriately sized lots, being predominantly very large lots, display rural and landscape character and provide for a wide range of rural uses including cropping, intensive horticulture, intensive animal industries, animal husbandry, grazing, animal keeping and other primary production activities.</w:t>
      </w:r>
    </w:p>
    <w:p w14:paraId="48804DFC"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Provide opportunities for non–rural uses that are compatible with agricultural and rural activities, and the landscape character of the rural area where they do not compromise the long–term use of the land for rural purposes.</w:t>
      </w:r>
    </w:p>
    <w:p w14:paraId="7D3CA24C"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Protect or manage significant natural features, resources, and processes, including the capacity for primary production and extractive industry in designated areas.</w:t>
      </w:r>
    </w:p>
    <w:p w14:paraId="1A2B3114"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Ensure rural uses are not adversely impacted by inappropriate land uses and development.</w:t>
      </w:r>
    </w:p>
    <w:p w14:paraId="06067C4C" w14:textId="77777777" w:rsidR="00BE36FB" w:rsidRPr="009B7B35" w:rsidRDefault="00BE36FB" w:rsidP="00BE36FB">
      <w:pPr>
        <w:numPr>
          <w:ilvl w:val="1"/>
          <w:numId w:val="376"/>
        </w:numPr>
        <w:spacing w:before="60" w:after="60"/>
        <w:ind w:left="1134" w:hanging="567"/>
        <w:rPr>
          <w:rFonts w:ascii="Arial" w:hAnsi="Arial" w:cs="Arial"/>
          <w:color w:val="000000"/>
          <w:sz w:val="20"/>
          <w:szCs w:val="20"/>
        </w:rPr>
      </w:pPr>
      <w:r w:rsidRPr="009B7B35">
        <w:rPr>
          <w:rFonts w:ascii="Arial" w:hAnsi="Arial" w:cs="Arial"/>
          <w:color w:val="000000"/>
          <w:sz w:val="20"/>
          <w:szCs w:val="20"/>
        </w:rPr>
        <w:t>Ensure areas of Agricultural Land Classification Class A and B agricultural land are protected for agricultural uses and from fragmentation, alienation or diminished agricultural productivity.</w:t>
      </w:r>
    </w:p>
    <w:p w14:paraId="41DB33A5" w14:textId="77777777" w:rsidR="00BE36FB" w:rsidRPr="009B7B35" w:rsidRDefault="00BE36FB" w:rsidP="00BE36FB">
      <w:pPr>
        <w:numPr>
          <w:ilvl w:val="1"/>
          <w:numId w:val="376"/>
        </w:numPr>
        <w:spacing w:before="60" w:after="60"/>
        <w:ind w:left="1134" w:hanging="567"/>
        <w:rPr>
          <w:rFonts w:ascii="Arial" w:hAnsi="Arial" w:cs="Arial"/>
          <w:color w:val="000000"/>
          <w:sz w:val="20"/>
          <w:szCs w:val="20"/>
        </w:rPr>
      </w:pPr>
      <w:r w:rsidRPr="009B7B35">
        <w:rPr>
          <w:rFonts w:ascii="Arial" w:hAnsi="Arial" w:cs="Arial"/>
          <w:color w:val="000000"/>
          <w:sz w:val="20"/>
          <w:szCs w:val="20"/>
        </w:rPr>
        <w:t xml:space="preserve">The potential for conflict between agricultural and other uses on Agricultural Land Classification Class A and B are minimised . </w:t>
      </w:r>
    </w:p>
    <w:p w14:paraId="11591816"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Classification Class A and B agricultural land from further fragmentation.</w:t>
      </w:r>
    </w:p>
    <w:p w14:paraId="21FDC0FC" w14:textId="77777777" w:rsidR="00BE36FB" w:rsidRPr="009B7B35" w:rsidRDefault="00BE36FB" w:rsidP="00BE36FB">
      <w:pPr>
        <w:numPr>
          <w:ilvl w:val="0"/>
          <w:numId w:val="376"/>
        </w:numPr>
        <w:ind w:left="540" w:hanging="540"/>
        <w:rPr>
          <w:rFonts w:ascii="Arial" w:hAnsi="Arial" w:cs="Arial"/>
          <w:sz w:val="20"/>
          <w:szCs w:val="20"/>
        </w:rPr>
      </w:pPr>
      <w:r w:rsidRPr="009B7B35">
        <w:rPr>
          <w:rFonts w:ascii="Arial" w:hAnsi="Arial" w:cs="Arial"/>
          <w:sz w:val="20"/>
          <w:szCs w:val="20"/>
        </w:rPr>
        <w:t>The purpose of the zone will be achieved through the following overall outcomes:</w:t>
      </w:r>
    </w:p>
    <w:p w14:paraId="1EE157D8"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Areas for use for primary production are conserved and fragmentation is avoided through maintaining appropriate lot sizes, being predominantly large lots to support sustainable rural agricultural activities.</w:t>
      </w:r>
    </w:p>
    <w:p w14:paraId="45F3BA35"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The viability of both existing and future rural uses and activities are protected from the intrusion of incompatible uses.</w:t>
      </w:r>
    </w:p>
    <w:p w14:paraId="323B5AB2"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The establishment of a wide range of rural pursuits is facilitated, including cropping, intensive horticulture, grazing, intensive animal industries, animal husbandry and animal keeping and other compatible primary production uses.</w:t>
      </w:r>
    </w:p>
    <w:p w14:paraId="2A133788"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Cropping activities are encouraged on Agricultural Land Classification Class A and B agricultural land.</w:t>
      </w:r>
    </w:p>
    <w:p w14:paraId="3E462037"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Development does not result in the fragmentation of Agricultural Land Classification Class A and B agricultural land. This applies to reconfiguring a lot except where it has been assessed that there is an overriding need in the public interest for a related material change of use and the reconfiguring of a lot is consistent with the material change of use.</w:t>
      </w:r>
    </w:p>
    <w:p w14:paraId="234EC695"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Development located adjacent to Agricultural Land Classification Class A and B agricultural land incorporates an adequate separation area to prevent any impact from the agricultural use on the amenity or use on the occupants of the development.</w:t>
      </w:r>
    </w:p>
    <w:p w14:paraId="20250B7C"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Extractive industries:</w:t>
      </w:r>
    </w:p>
    <w:p w14:paraId="48366738" w14:textId="77777777"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mitigate impacts on the environment and adjoining land uses</w:t>
      </w:r>
    </w:p>
    <w:p w14:paraId="6A229AA5" w14:textId="77777777"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do not occur on Class A and B agricultural land, and</w:t>
      </w:r>
    </w:p>
    <w:p w14:paraId="4C939AD6" w14:textId="77777777"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rehabilitate sites upon completion of resource extraction.</w:t>
      </w:r>
    </w:p>
    <w:p w14:paraId="55A7D6FD" w14:textId="77777777" w:rsidR="00BE36FB" w:rsidRPr="009B7B35" w:rsidRDefault="00BE36FB">
      <w:pPr>
        <w:pStyle w:val="Notes"/>
        <w:rPr>
          <w:rFonts w:cs="Arial"/>
          <w:sz w:val="20"/>
          <w:szCs w:val="20"/>
        </w:rPr>
      </w:pPr>
      <w:r w:rsidRPr="009B7B35">
        <w:rPr>
          <w:rFonts w:cs="Arial"/>
          <w:sz w:val="20"/>
          <w:szCs w:val="20"/>
        </w:rPr>
        <w:t>Note—Refer also to the Extractive industry code in Part 9.</w:t>
      </w:r>
    </w:p>
    <w:p w14:paraId="22EF7A2F"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The establishment of outdoor recreation and small–scale tourism facilities in suitable locations is facilitated only where they do not compromise the use of the land for rural activities and minimise any land–use conflicts.</w:t>
      </w:r>
    </w:p>
    <w:p w14:paraId="582F217C"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Natural features such as creeks, gullies, waterways, wetlands and bushland are retained, managed and separated from adjacent development where possible.</w:t>
      </w:r>
    </w:p>
    <w:p w14:paraId="232465AB"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Rural land uses incorporate sustainable practices to prevent soil erosion, protect the quality of land resources and water catchments, and maintain habitat values of waterways and native timber and forest areas.</w:t>
      </w:r>
    </w:p>
    <w:p w14:paraId="465D1FDF" w14:textId="77777777" w:rsidR="00BE36FB" w:rsidRPr="009B7B35" w:rsidRDefault="00BE36FB" w:rsidP="00BE36FB">
      <w:pPr>
        <w:numPr>
          <w:ilvl w:val="1"/>
          <w:numId w:val="376"/>
        </w:numPr>
        <w:ind w:left="1134" w:hanging="567"/>
        <w:rPr>
          <w:rFonts w:ascii="Arial" w:hAnsi="Arial" w:cs="Arial"/>
          <w:sz w:val="20"/>
          <w:szCs w:val="20"/>
        </w:rPr>
      </w:pPr>
      <w:r w:rsidRPr="009B7B35">
        <w:rPr>
          <w:rFonts w:ascii="Arial" w:hAnsi="Arial" w:cs="Arial"/>
          <w:sz w:val="20"/>
          <w:szCs w:val="20"/>
        </w:rPr>
        <w:t>Non–resident workforce accommodation:</w:t>
      </w:r>
    </w:p>
    <w:p w14:paraId="7D9C842D" w14:textId="77777777"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is only located in this zone where it is demonstrated it cannot be located in an urban area</w:t>
      </w:r>
    </w:p>
    <w:p w14:paraId="7887AE33" w14:textId="77777777"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does not adversely impact on surrounding rural character or activities</w:t>
      </w:r>
    </w:p>
    <w:p w14:paraId="0832E479" w14:textId="77777777"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does not create a demand for urban services and infrastructure that cannot be provided on-site by that development</w:t>
      </w:r>
    </w:p>
    <w:p w14:paraId="2373B8DF" w14:textId="77777777"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is temporary to service the short term needs of resource or infrastructure development projects, and</w:t>
      </w:r>
    </w:p>
    <w:p w14:paraId="2987FE5B" w14:textId="77777777" w:rsidR="00BE36FB" w:rsidRPr="009B7B35" w:rsidRDefault="00BE36FB" w:rsidP="00BE36FB">
      <w:pPr>
        <w:numPr>
          <w:ilvl w:val="2"/>
          <w:numId w:val="376"/>
        </w:numPr>
        <w:ind w:left="1701" w:hanging="283"/>
        <w:rPr>
          <w:rFonts w:ascii="Arial" w:hAnsi="Arial" w:cs="Arial"/>
          <w:sz w:val="20"/>
          <w:szCs w:val="20"/>
        </w:rPr>
      </w:pPr>
      <w:r w:rsidRPr="009B7B35">
        <w:rPr>
          <w:rFonts w:ascii="Arial" w:hAnsi="Arial" w:cs="Arial"/>
          <w:sz w:val="20"/>
          <w:szCs w:val="20"/>
        </w:rPr>
        <w:t>does not sterilise the land for future rural activities.</w:t>
      </w:r>
    </w:p>
    <w:p w14:paraId="6135BD80" w14:textId="77777777" w:rsidR="00BE36FB" w:rsidRPr="009B7B35" w:rsidRDefault="00BE36FB" w:rsidP="00BE36FB">
      <w:pPr>
        <w:numPr>
          <w:ilvl w:val="1"/>
          <w:numId w:val="376"/>
        </w:numPr>
        <w:rPr>
          <w:rFonts w:ascii="Arial" w:hAnsi="Arial" w:cs="Arial"/>
          <w:sz w:val="20"/>
          <w:szCs w:val="20"/>
        </w:rPr>
      </w:pPr>
      <w:r w:rsidRPr="009B7B35">
        <w:rPr>
          <w:rFonts w:ascii="Arial" w:hAnsi="Arial" w:cs="Arial"/>
          <w:sz w:val="20"/>
          <w:szCs w:val="20"/>
        </w:rPr>
        <w:t>Urban and rural residential expansion does not occur on land in the rural zone.</w:t>
      </w:r>
    </w:p>
    <w:p w14:paraId="65B3CC89" w14:textId="77777777" w:rsidR="00BE36FB" w:rsidRPr="009B7B35" w:rsidRDefault="00BE36FB" w:rsidP="001A7107">
      <w:pPr>
        <w:rPr>
          <w:rFonts w:ascii="Arial" w:hAnsi="Arial" w:cs="Arial"/>
          <w:sz w:val="20"/>
          <w:szCs w:val="20"/>
        </w:rPr>
      </w:pPr>
    </w:p>
    <w:p w14:paraId="3DBA9955"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3A992B7E" w14:textId="77777777" w:rsidR="00BE36FB" w:rsidRPr="009B7B35" w:rsidRDefault="00BE36FB" w:rsidP="003A35DA">
      <w:pPr>
        <w:pStyle w:val="Heading5"/>
        <w:numPr>
          <w:ilvl w:val="0"/>
          <w:numId w:val="0"/>
        </w:numPr>
        <w:rPr>
          <w:rFonts w:cs="Arial"/>
          <w:szCs w:val="20"/>
        </w:rPr>
      </w:pPr>
      <w:r w:rsidRPr="009B7B35">
        <w:rPr>
          <w:rFonts w:cs="Arial"/>
          <w:szCs w:val="20"/>
        </w:rPr>
        <w:t>Table 6.2.22.3.1—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14:paraId="4415E596" w14:textId="77777777" w:rsidTr="001A7107">
        <w:trPr>
          <w:cnfStyle w:val="100000000000" w:firstRow="1" w:lastRow="0" w:firstColumn="0" w:lastColumn="0" w:oddVBand="0" w:evenVBand="0" w:oddHBand="0" w:evenHBand="0" w:firstRowFirstColumn="0" w:firstRowLastColumn="0" w:lastRowFirstColumn="0" w:lastRowLastColumn="0"/>
          <w:tblHeader/>
        </w:trPr>
        <w:tc>
          <w:tcPr>
            <w:tcW w:w="4678" w:type="dxa"/>
          </w:tcPr>
          <w:p w14:paraId="212663E8" w14:textId="77777777" w:rsidR="00BE36FB" w:rsidRPr="009B7B35" w:rsidRDefault="00BE36FB" w:rsidP="001A7107">
            <w:pPr>
              <w:pStyle w:val="TableText"/>
              <w:rPr>
                <w:rFonts w:cs="Arial"/>
              </w:rPr>
            </w:pPr>
            <w:r w:rsidRPr="009B7B35">
              <w:rPr>
                <w:rFonts w:cs="Arial"/>
              </w:rPr>
              <w:t>Performance outcomes</w:t>
            </w:r>
          </w:p>
        </w:tc>
        <w:tc>
          <w:tcPr>
            <w:tcW w:w="4678" w:type="dxa"/>
          </w:tcPr>
          <w:p w14:paraId="58D37AAB" w14:textId="77777777" w:rsidR="00BE36FB" w:rsidRPr="009B7B35" w:rsidRDefault="00BE36FB" w:rsidP="001A7107">
            <w:pPr>
              <w:pStyle w:val="TableText"/>
              <w:rPr>
                <w:rFonts w:cs="Arial"/>
              </w:rPr>
            </w:pPr>
            <w:r w:rsidRPr="009B7B35">
              <w:rPr>
                <w:rFonts w:cs="Arial"/>
              </w:rPr>
              <w:t>Acceptable outcomes</w:t>
            </w:r>
          </w:p>
        </w:tc>
      </w:tr>
      <w:tr w:rsidR="00BE36FB" w:rsidRPr="009B7B35" w14:paraId="2F21C5A1" w14:textId="77777777" w:rsidTr="001A7107">
        <w:tc>
          <w:tcPr>
            <w:tcW w:w="9356" w:type="dxa"/>
            <w:gridSpan w:val="2"/>
            <w:shd w:val="clear" w:color="auto" w:fill="BFBFBF" w:themeFill="background1" w:themeFillShade="BF"/>
          </w:tcPr>
          <w:p w14:paraId="171581D0"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519BD649" w14:textId="77777777" w:rsidTr="001A7107">
        <w:tc>
          <w:tcPr>
            <w:tcW w:w="4678" w:type="dxa"/>
          </w:tcPr>
          <w:p w14:paraId="3DA78CC0" w14:textId="77777777" w:rsidR="00BE36FB" w:rsidRPr="009B7B35" w:rsidRDefault="00BE36FB" w:rsidP="001A7107">
            <w:pPr>
              <w:pStyle w:val="TableText"/>
              <w:rPr>
                <w:rFonts w:cs="Arial"/>
                <w:b/>
                <w:bCs/>
              </w:rPr>
            </w:pPr>
            <w:r w:rsidRPr="009B7B35">
              <w:rPr>
                <w:rFonts w:cs="Arial"/>
                <w:b/>
                <w:bCs/>
              </w:rPr>
              <w:t>PO1</w:t>
            </w:r>
          </w:p>
          <w:p w14:paraId="5FCF84BB" w14:textId="77777777" w:rsidR="00BE36FB" w:rsidRPr="009B7B35" w:rsidRDefault="00BE36FB" w:rsidP="001A7107">
            <w:pPr>
              <w:pStyle w:val="TableText"/>
              <w:rPr>
                <w:rFonts w:cs="Arial"/>
              </w:rPr>
            </w:pPr>
            <w:r w:rsidRPr="009B7B35">
              <w:rPr>
                <w:rFonts w:cs="Arial"/>
              </w:rPr>
              <w:t xml:space="preserve">Development is ancillary to the primary use. </w:t>
            </w:r>
          </w:p>
        </w:tc>
        <w:tc>
          <w:tcPr>
            <w:tcW w:w="4678" w:type="dxa"/>
          </w:tcPr>
          <w:p w14:paraId="3723D1C0" w14:textId="77777777" w:rsidR="00BE36FB" w:rsidRPr="009B7B35" w:rsidRDefault="00BE36FB" w:rsidP="001A7107">
            <w:pPr>
              <w:pStyle w:val="TableText"/>
              <w:rPr>
                <w:rFonts w:cs="Arial"/>
                <w:b/>
                <w:bCs/>
              </w:rPr>
            </w:pPr>
            <w:r w:rsidRPr="009B7B35">
              <w:rPr>
                <w:rFonts w:cs="Arial"/>
                <w:b/>
                <w:bCs/>
              </w:rPr>
              <w:t>AO1</w:t>
            </w:r>
          </w:p>
          <w:p w14:paraId="74328817" w14:textId="77777777"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14:paraId="4797E620" w14:textId="77777777" w:rsidTr="001A7107">
        <w:tc>
          <w:tcPr>
            <w:tcW w:w="9356" w:type="dxa"/>
            <w:gridSpan w:val="2"/>
            <w:shd w:val="clear" w:color="auto" w:fill="BFBFBF" w:themeFill="background1" w:themeFillShade="BF"/>
          </w:tcPr>
          <w:p w14:paraId="62789924" w14:textId="77777777" w:rsidR="00BE36FB" w:rsidRPr="009B7B35" w:rsidRDefault="00BE36FB" w:rsidP="001A7107">
            <w:pPr>
              <w:pStyle w:val="Tableheading"/>
              <w:rPr>
                <w:rFonts w:ascii="Arial" w:hAnsi="Arial" w:cs="Arial"/>
                <w:szCs w:val="20"/>
              </w:rPr>
            </w:pPr>
            <w:r w:rsidRPr="009B7B35">
              <w:rPr>
                <w:rFonts w:ascii="Arial" w:hAnsi="Arial" w:cs="Arial"/>
                <w:szCs w:val="20"/>
              </w:rPr>
              <w:t>Use – Roadside stall</w:t>
            </w:r>
          </w:p>
        </w:tc>
      </w:tr>
      <w:tr w:rsidR="00BE36FB" w:rsidRPr="009B7B35" w14:paraId="12573BD5" w14:textId="77777777" w:rsidTr="001A7107">
        <w:tc>
          <w:tcPr>
            <w:tcW w:w="4678" w:type="dxa"/>
            <w:vMerge w:val="restart"/>
          </w:tcPr>
          <w:p w14:paraId="2964309E" w14:textId="77777777" w:rsidR="00BE36FB" w:rsidRPr="009B7B35" w:rsidRDefault="00BE36FB" w:rsidP="001A7107">
            <w:pPr>
              <w:pStyle w:val="TableText"/>
              <w:rPr>
                <w:rFonts w:cs="Arial"/>
                <w:b/>
                <w:bCs/>
              </w:rPr>
            </w:pPr>
            <w:r w:rsidRPr="009B7B35">
              <w:rPr>
                <w:rFonts w:cs="Arial"/>
                <w:b/>
                <w:bCs/>
              </w:rPr>
              <w:t>PO2</w:t>
            </w:r>
          </w:p>
          <w:p w14:paraId="03A9F2D2" w14:textId="77777777" w:rsidR="00BE36FB" w:rsidRPr="009B7B35" w:rsidRDefault="00BE36FB" w:rsidP="001A7107">
            <w:pPr>
              <w:pStyle w:val="TableText"/>
              <w:rPr>
                <w:rFonts w:cs="Arial"/>
              </w:rPr>
            </w:pPr>
            <w:r w:rsidRPr="009B7B35">
              <w:rPr>
                <w:rFonts w:cs="Arial"/>
              </w:rPr>
              <w:t>Roadside stalls are of a scale in keeping with the rural character of the locality and capable of operating safely with the road system.</w:t>
            </w:r>
          </w:p>
        </w:tc>
        <w:tc>
          <w:tcPr>
            <w:tcW w:w="4678" w:type="dxa"/>
          </w:tcPr>
          <w:p w14:paraId="29D51877" w14:textId="77777777" w:rsidR="00BE36FB" w:rsidRPr="009B7B35" w:rsidRDefault="00BE36FB" w:rsidP="001A7107">
            <w:pPr>
              <w:pStyle w:val="TableText"/>
              <w:rPr>
                <w:rFonts w:cs="Arial"/>
                <w:b/>
                <w:bCs/>
              </w:rPr>
            </w:pPr>
            <w:r w:rsidRPr="009B7B35">
              <w:rPr>
                <w:rFonts w:cs="Arial"/>
                <w:b/>
                <w:bCs/>
              </w:rPr>
              <w:t>AO2.1</w:t>
            </w:r>
          </w:p>
          <w:p w14:paraId="6F184D37" w14:textId="77777777" w:rsidR="00BE36FB" w:rsidRPr="009B7B35" w:rsidRDefault="00BE36FB" w:rsidP="001A7107">
            <w:pPr>
              <w:pStyle w:val="TableText"/>
              <w:rPr>
                <w:rFonts w:cs="Arial"/>
              </w:rPr>
            </w:pPr>
            <w:r w:rsidRPr="009B7B35">
              <w:rPr>
                <w:rFonts w:cs="Arial"/>
              </w:rPr>
              <w:t>Structures associated with the use are limited to 30m</w:t>
            </w:r>
            <w:r w:rsidRPr="009B7B35">
              <w:rPr>
                <w:rStyle w:val="StyleSuperscript"/>
                <w:rFonts w:cs="Arial"/>
              </w:rPr>
              <w:t>2</w:t>
            </w:r>
            <w:r w:rsidRPr="009B7B35">
              <w:rPr>
                <w:rFonts w:cs="Arial"/>
              </w:rPr>
              <w:t xml:space="preserve"> GFA.</w:t>
            </w:r>
          </w:p>
        </w:tc>
      </w:tr>
      <w:tr w:rsidR="00BE36FB" w:rsidRPr="009B7B35" w14:paraId="784BD235" w14:textId="77777777" w:rsidTr="001A7107">
        <w:tc>
          <w:tcPr>
            <w:tcW w:w="4678" w:type="dxa"/>
            <w:vMerge/>
          </w:tcPr>
          <w:p w14:paraId="379F0FCE" w14:textId="77777777" w:rsidR="00BE36FB" w:rsidRPr="009B7B35" w:rsidRDefault="00BE36FB" w:rsidP="001A7107">
            <w:pPr>
              <w:pStyle w:val="TableText"/>
              <w:rPr>
                <w:rFonts w:cs="Arial"/>
              </w:rPr>
            </w:pPr>
          </w:p>
        </w:tc>
        <w:tc>
          <w:tcPr>
            <w:tcW w:w="4678" w:type="dxa"/>
          </w:tcPr>
          <w:p w14:paraId="6C2E18DE" w14:textId="77777777" w:rsidR="00BE36FB" w:rsidRPr="009B7B35" w:rsidRDefault="00BE36FB" w:rsidP="001A7107">
            <w:pPr>
              <w:pStyle w:val="TableText"/>
              <w:rPr>
                <w:rFonts w:cs="Arial"/>
                <w:b/>
                <w:bCs/>
              </w:rPr>
            </w:pPr>
            <w:r w:rsidRPr="009B7B35">
              <w:rPr>
                <w:rFonts w:cs="Arial"/>
                <w:b/>
                <w:bCs/>
              </w:rPr>
              <w:t>AO2.2</w:t>
            </w:r>
          </w:p>
          <w:p w14:paraId="3F7CDDFB" w14:textId="77777777" w:rsidR="00BE36FB" w:rsidRPr="009B7B35" w:rsidRDefault="00BE36FB" w:rsidP="001A7107">
            <w:pPr>
              <w:pStyle w:val="TableText"/>
              <w:rPr>
                <w:rFonts w:cs="Arial"/>
              </w:rPr>
            </w:pPr>
            <w:r w:rsidRPr="009B7B35">
              <w:rPr>
                <w:rFonts w:cs="Arial"/>
              </w:rPr>
              <w:t>A roadside stall is setback a minimum of:</w:t>
            </w:r>
          </w:p>
          <w:p w14:paraId="345CBE3A" w14:textId="77777777" w:rsidR="00BE36FB" w:rsidRPr="009B7B35" w:rsidRDefault="00BE36FB" w:rsidP="00BE36FB">
            <w:pPr>
              <w:pStyle w:val="TableText"/>
              <w:numPr>
                <w:ilvl w:val="0"/>
                <w:numId w:val="372"/>
              </w:numPr>
              <w:ind w:left="652" w:hanging="652"/>
              <w:rPr>
                <w:rFonts w:cs="Arial"/>
              </w:rPr>
            </w:pPr>
            <w:r w:rsidRPr="009B7B35">
              <w:rPr>
                <w:rFonts w:cs="Arial"/>
              </w:rPr>
              <w:t xml:space="preserve">0m from the front boundary and 5m from the side boundaries for allotments less than 2ha; and </w:t>
            </w:r>
          </w:p>
          <w:p w14:paraId="64FA7AF4" w14:textId="77777777" w:rsidR="00BE36FB" w:rsidRPr="009B7B35" w:rsidRDefault="00BE36FB" w:rsidP="00BE36FB">
            <w:pPr>
              <w:pStyle w:val="TableText"/>
              <w:numPr>
                <w:ilvl w:val="0"/>
                <w:numId w:val="372"/>
              </w:numPr>
              <w:ind w:left="652" w:hanging="652"/>
              <w:rPr>
                <w:rFonts w:cs="Arial"/>
              </w:rPr>
            </w:pPr>
            <w:r w:rsidRPr="009B7B35">
              <w:rPr>
                <w:rFonts w:cs="Arial"/>
              </w:rPr>
              <w:t>10m for allotments greater than 2ha.</w:t>
            </w:r>
          </w:p>
        </w:tc>
      </w:tr>
      <w:tr w:rsidR="00BE36FB" w:rsidRPr="009B7B35" w14:paraId="25FB4CBE" w14:textId="77777777" w:rsidTr="001A7107">
        <w:tc>
          <w:tcPr>
            <w:tcW w:w="9356" w:type="dxa"/>
            <w:gridSpan w:val="2"/>
            <w:shd w:val="clear" w:color="auto" w:fill="BFBFBF" w:themeFill="background1" w:themeFillShade="BF"/>
          </w:tcPr>
          <w:p w14:paraId="0FCC26DB" w14:textId="77777777"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14:paraId="0F927C33" w14:textId="77777777" w:rsidTr="001A7107">
        <w:tc>
          <w:tcPr>
            <w:tcW w:w="4678" w:type="dxa"/>
            <w:vMerge w:val="restart"/>
          </w:tcPr>
          <w:p w14:paraId="34BBDCCE" w14:textId="77777777" w:rsidR="00BE36FB" w:rsidRPr="009B7B35" w:rsidRDefault="00BE36FB" w:rsidP="001A7107">
            <w:pPr>
              <w:pStyle w:val="TableText"/>
              <w:rPr>
                <w:rFonts w:cs="Arial"/>
                <w:b/>
                <w:bCs/>
              </w:rPr>
            </w:pPr>
            <w:r w:rsidRPr="009B7B35">
              <w:rPr>
                <w:rFonts w:cs="Arial"/>
                <w:b/>
                <w:bCs/>
              </w:rPr>
              <w:t>PO3</w:t>
            </w:r>
          </w:p>
          <w:p w14:paraId="2612A520" w14:textId="77777777" w:rsidR="00BE36FB" w:rsidRPr="009B7B35" w:rsidRDefault="00BE36FB" w:rsidP="001A7107">
            <w:pPr>
              <w:pStyle w:val="TableText"/>
              <w:rPr>
                <w:rFonts w:cs="Arial"/>
              </w:rPr>
            </w:pPr>
            <w:r w:rsidRPr="009B7B35">
              <w:rPr>
                <w:rFonts w:cs="Arial"/>
              </w:rPr>
              <w:t>Buildings are designed and located so as not to adversely impact on the rural character and amenity of the locality.</w:t>
            </w:r>
          </w:p>
        </w:tc>
        <w:tc>
          <w:tcPr>
            <w:tcW w:w="4678" w:type="dxa"/>
          </w:tcPr>
          <w:p w14:paraId="345591BF" w14:textId="77777777" w:rsidR="00BE36FB" w:rsidRPr="009B7B35" w:rsidRDefault="00BE36FB" w:rsidP="001A7107">
            <w:pPr>
              <w:pStyle w:val="TableText"/>
              <w:rPr>
                <w:rFonts w:cs="Arial"/>
                <w:b/>
                <w:bCs/>
              </w:rPr>
            </w:pPr>
            <w:r w:rsidRPr="009B7B35">
              <w:rPr>
                <w:rFonts w:cs="Arial"/>
                <w:b/>
                <w:bCs/>
              </w:rPr>
              <w:t>AO3.1</w:t>
            </w:r>
          </w:p>
          <w:p w14:paraId="51C50D0D" w14:textId="77777777" w:rsidR="00BE36FB" w:rsidRPr="009B7B35" w:rsidRDefault="00BE36FB" w:rsidP="001A7107">
            <w:pPr>
              <w:pStyle w:val="TableText"/>
              <w:rPr>
                <w:rFonts w:cs="Arial"/>
              </w:rPr>
            </w:pPr>
            <w:r w:rsidRPr="009B7B35">
              <w:rPr>
                <w:rFonts w:cs="Arial"/>
              </w:rPr>
              <w:t>Building height for a dwelling house does not exceed 8.5m. Building height for Rural activities does not exceed 20m.</w:t>
            </w:r>
          </w:p>
        </w:tc>
      </w:tr>
      <w:tr w:rsidR="00BE36FB" w:rsidRPr="009B7B35" w14:paraId="06C63C70" w14:textId="77777777" w:rsidTr="001A7107">
        <w:tc>
          <w:tcPr>
            <w:tcW w:w="4678" w:type="dxa"/>
            <w:vMerge/>
          </w:tcPr>
          <w:p w14:paraId="01B36727" w14:textId="77777777" w:rsidR="00BE36FB" w:rsidRPr="009B7B35" w:rsidRDefault="00BE36FB" w:rsidP="001A7107">
            <w:pPr>
              <w:pStyle w:val="TableText"/>
              <w:rPr>
                <w:rFonts w:cs="Arial"/>
              </w:rPr>
            </w:pPr>
          </w:p>
        </w:tc>
        <w:tc>
          <w:tcPr>
            <w:tcW w:w="4678" w:type="dxa"/>
          </w:tcPr>
          <w:p w14:paraId="5A89069A" w14:textId="77777777" w:rsidR="00BE36FB" w:rsidRPr="009B7B35" w:rsidRDefault="00BE36FB" w:rsidP="001A7107">
            <w:pPr>
              <w:pStyle w:val="TableText"/>
              <w:rPr>
                <w:rFonts w:cs="Arial"/>
                <w:b/>
                <w:bCs/>
              </w:rPr>
            </w:pPr>
            <w:r w:rsidRPr="009B7B35">
              <w:rPr>
                <w:rFonts w:cs="Arial"/>
                <w:b/>
                <w:bCs/>
              </w:rPr>
              <w:t>AO3.3</w:t>
            </w:r>
          </w:p>
          <w:p w14:paraId="55CF2E11" w14:textId="77777777" w:rsidR="00BE36FB" w:rsidRPr="009B7B35" w:rsidRDefault="00BE36FB" w:rsidP="001A7107">
            <w:pPr>
              <w:pStyle w:val="TableText"/>
              <w:rPr>
                <w:rFonts w:cs="Arial"/>
              </w:rPr>
            </w:pPr>
            <w:r w:rsidRPr="009B7B35">
              <w:rPr>
                <w:rFonts w:cs="Arial"/>
              </w:rPr>
              <w:t>Buildings, other than a roadside stall, are setback a minimum of:</w:t>
            </w:r>
          </w:p>
          <w:p w14:paraId="08273724" w14:textId="77777777" w:rsidR="00BE36FB" w:rsidRPr="009B7B35" w:rsidRDefault="00BE36FB" w:rsidP="00BE36FB">
            <w:pPr>
              <w:pStyle w:val="TableText"/>
              <w:numPr>
                <w:ilvl w:val="0"/>
                <w:numId w:val="148"/>
              </w:numPr>
              <w:rPr>
                <w:rFonts w:cs="Arial"/>
              </w:rPr>
            </w:pPr>
            <w:r w:rsidRPr="009B7B35">
              <w:rPr>
                <w:rFonts w:cs="Arial"/>
              </w:rPr>
              <w:t>10m from the front and side boundaries for allotments greater than 2ha, or</w:t>
            </w:r>
          </w:p>
          <w:p w14:paraId="637B284F" w14:textId="77777777" w:rsidR="00BE36FB" w:rsidRPr="009B7B35" w:rsidRDefault="00BE36FB" w:rsidP="00BE36FB">
            <w:pPr>
              <w:pStyle w:val="TableText"/>
              <w:numPr>
                <w:ilvl w:val="0"/>
                <w:numId w:val="148"/>
              </w:numPr>
              <w:rPr>
                <w:rFonts w:cs="Arial"/>
              </w:rPr>
            </w:pPr>
            <w:r w:rsidRPr="009B7B35">
              <w:rPr>
                <w:rFonts w:cs="Arial"/>
              </w:rPr>
              <w:t>5m from the front and side boundaries for allotments less than 2ha.</w:t>
            </w:r>
          </w:p>
        </w:tc>
      </w:tr>
      <w:tr w:rsidR="00BE36FB" w:rsidRPr="009B7B35" w14:paraId="4678558A" w14:textId="77777777" w:rsidTr="001A7107">
        <w:tc>
          <w:tcPr>
            <w:tcW w:w="9356" w:type="dxa"/>
            <w:gridSpan w:val="2"/>
            <w:shd w:val="clear" w:color="auto" w:fill="BFBFBF" w:themeFill="background1" w:themeFillShade="BF"/>
          </w:tcPr>
          <w:p w14:paraId="7E095114" w14:textId="77777777"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14:paraId="01A228F0" w14:textId="77777777" w:rsidTr="001A7107">
        <w:tc>
          <w:tcPr>
            <w:tcW w:w="4678" w:type="dxa"/>
            <w:vMerge w:val="restart"/>
          </w:tcPr>
          <w:p w14:paraId="117670EB" w14:textId="77777777" w:rsidR="00BE36FB" w:rsidRPr="009B7B35" w:rsidRDefault="00BE36FB" w:rsidP="001A7107">
            <w:pPr>
              <w:pStyle w:val="TableText"/>
              <w:rPr>
                <w:rFonts w:cs="Arial"/>
                <w:b/>
                <w:bCs/>
              </w:rPr>
            </w:pPr>
            <w:r w:rsidRPr="009B7B35">
              <w:rPr>
                <w:rFonts w:cs="Arial"/>
                <w:b/>
                <w:bCs/>
              </w:rPr>
              <w:t>PO4</w:t>
            </w:r>
          </w:p>
          <w:p w14:paraId="07D69C6D" w14:textId="77777777" w:rsidR="00BE36FB" w:rsidRPr="009B7B35" w:rsidRDefault="00BE36FB" w:rsidP="001A7107">
            <w:pPr>
              <w:pStyle w:val="TableText"/>
              <w:rPr>
                <w:rFonts w:cs="Arial"/>
              </w:rPr>
            </w:pPr>
            <w:r w:rsidRPr="009B7B35">
              <w:rPr>
                <w:rFonts w:cs="Arial"/>
              </w:rPr>
              <w:t>Residential density reflects the low intensity rural character of the locality.</w:t>
            </w:r>
          </w:p>
        </w:tc>
        <w:tc>
          <w:tcPr>
            <w:tcW w:w="4678" w:type="dxa"/>
          </w:tcPr>
          <w:p w14:paraId="4F3BA5CA" w14:textId="77777777" w:rsidR="00BE36FB" w:rsidRPr="009B7B35" w:rsidRDefault="00BE36FB" w:rsidP="001A7107">
            <w:pPr>
              <w:pStyle w:val="TableText"/>
              <w:rPr>
                <w:rFonts w:cs="Arial"/>
                <w:b/>
                <w:bCs/>
              </w:rPr>
            </w:pPr>
            <w:r w:rsidRPr="009B7B35">
              <w:rPr>
                <w:rFonts w:cs="Arial"/>
                <w:b/>
                <w:bCs/>
              </w:rPr>
              <w:t>AO4.1</w:t>
            </w:r>
          </w:p>
          <w:p w14:paraId="3E5405F5" w14:textId="77777777" w:rsidR="00BE36FB" w:rsidRPr="009B7B35" w:rsidRDefault="00BE36FB" w:rsidP="001A7107">
            <w:pPr>
              <w:pStyle w:val="TableText"/>
              <w:rPr>
                <w:rFonts w:cs="Arial"/>
              </w:rPr>
            </w:pPr>
            <w:r w:rsidRPr="009B7B35">
              <w:rPr>
                <w:rFonts w:cs="Arial"/>
              </w:rPr>
              <w:t>Residential density is limited to:</w:t>
            </w:r>
          </w:p>
          <w:p w14:paraId="38755E19" w14:textId="77777777" w:rsidR="00BE36FB" w:rsidRPr="009B7B35" w:rsidRDefault="00BE36FB" w:rsidP="00BE36FB">
            <w:pPr>
              <w:pStyle w:val="TableText"/>
              <w:numPr>
                <w:ilvl w:val="0"/>
                <w:numId w:val="375"/>
              </w:numPr>
              <w:rPr>
                <w:rFonts w:cs="Arial"/>
              </w:rPr>
            </w:pPr>
            <w:r w:rsidRPr="009B7B35">
              <w:rPr>
                <w:rFonts w:cs="Arial"/>
              </w:rPr>
              <w:t>one dwelling house per allotment including a secondary dwelling, and</w:t>
            </w:r>
          </w:p>
          <w:p w14:paraId="09A7B39C" w14:textId="77777777" w:rsidR="00BE36FB" w:rsidRPr="009B7B35" w:rsidRDefault="00BE36FB" w:rsidP="00BE36FB">
            <w:pPr>
              <w:pStyle w:val="TableText"/>
              <w:numPr>
                <w:ilvl w:val="0"/>
                <w:numId w:val="375"/>
              </w:numPr>
              <w:rPr>
                <w:rFonts w:cs="Arial"/>
              </w:rPr>
            </w:pPr>
            <w:r w:rsidRPr="009B7B35">
              <w:rPr>
                <w:rFonts w:cs="Arial"/>
              </w:rPr>
              <w:t>one dwelling where for rural workers accommodation.</w:t>
            </w:r>
          </w:p>
        </w:tc>
      </w:tr>
      <w:tr w:rsidR="00BE36FB" w:rsidRPr="009B7B35" w14:paraId="150502C7" w14:textId="77777777" w:rsidTr="001A7107">
        <w:tc>
          <w:tcPr>
            <w:tcW w:w="4678" w:type="dxa"/>
            <w:vMerge/>
          </w:tcPr>
          <w:p w14:paraId="45093AAE" w14:textId="77777777" w:rsidR="00BE36FB" w:rsidRPr="009B7B35" w:rsidRDefault="00BE36FB" w:rsidP="001A7107">
            <w:pPr>
              <w:pStyle w:val="TableText"/>
              <w:rPr>
                <w:rFonts w:cs="Arial"/>
              </w:rPr>
            </w:pPr>
          </w:p>
        </w:tc>
        <w:tc>
          <w:tcPr>
            <w:tcW w:w="4678" w:type="dxa"/>
          </w:tcPr>
          <w:p w14:paraId="0E1D0799" w14:textId="77777777" w:rsidR="00BE36FB" w:rsidRPr="009B7B35" w:rsidRDefault="00BE36FB" w:rsidP="001A7107">
            <w:pPr>
              <w:pStyle w:val="TableText"/>
              <w:rPr>
                <w:rFonts w:cs="Arial"/>
                <w:b/>
                <w:bCs/>
              </w:rPr>
            </w:pPr>
            <w:r w:rsidRPr="009B7B35">
              <w:rPr>
                <w:rFonts w:cs="Arial"/>
                <w:b/>
                <w:bCs/>
              </w:rPr>
              <w:t>AO4.2</w:t>
            </w:r>
          </w:p>
          <w:p w14:paraId="0AB9241E" w14:textId="77777777" w:rsidR="00BE36FB" w:rsidRPr="009B7B35" w:rsidRDefault="00BE36FB" w:rsidP="001A7107">
            <w:pPr>
              <w:pStyle w:val="TableText"/>
              <w:rPr>
                <w:rFonts w:cs="Arial"/>
              </w:rPr>
            </w:pPr>
            <w:r w:rsidRPr="009B7B35">
              <w:rPr>
                <w:rFonts w:cs="Arial"/>
              </w:rPr>
              <w:t xml:space="preserve">Where a dwelling house, any secondary dwelling is: </w:t>
            </w:r>
          </w:p>
          <w:p w14:paraId="7BAB5AD4" w14:textId="77777777" w:rsidR="00BE36FB" w:rsidRPr="009B7B35" w:rsidRDefault="00BE36FB" w:rsidP="00BE36FB">
            <w:pPr>
              <w:pStyle w:val="TableText"/>
              <w:numPr>
                <w:ilvl w:val="0"/>
                <w:numId w:val="415"/>
              </w:numPr>
              <w:rPr>
                <w:rFonts w:cs="Arial"/>
              </w:rPr>
            </w:pPr>
            <w:r w:rsidRPr="009B7B35">
              <w:rPr>
                <w:rFonts w:cs="Arial"/>
              </w:rPr>
              <w:t>a maximum of 80m</w:t>
            </w:r>
            <w:r w:rsidRPr="009B7B35">
              <w:rPr>
                <w:rStyle w:val="StyleSuperscript"/>
                <w:rFonts w:cs="Arial"/>
              </w:rPr>
              <w:t>2</w:t>
            </w:r>
            <w:r w:rsidRPr="009B7B35">
              <w:rPr>
                <w:rFonts w:cs="Arial"/>
              </w:rPr>
              <w:t xml:space="preserve"> GFA </w:t>
            </w:r>
          </w:p>
          <w:p w14:paraId="77C85F3D" w14:textId="77777777" w:rsidR="00BE36FB" w:rsidRPr="009B7B35" w:rsidRDefault="00BE36FB" w:rsidP="00BE36FB">
            <w:pPr>
              <w:pStyle w:val="TableText"/>
              <w:numPr>
                <w:ilvl w:val="0"/>
                <w:numId w:val="415"/>
              </w:numPr>
              <w:rPr>
                <w:rFonts w:cs="Arial"/>
              </w:rPr>
            </w:pPr>
            <w:r w:rsidRPr="009B7B35">
              <w:rPr>
                <w:rFonts w:cs="Arial"/>
              </w:rPr>
              <w:t>located within 50m of the main building</w:t>
            </w:r>
          </w:p>
          <w:p w14:paraId="5CFA9A79" w14:textId="77777777" w:rsidR="00BE36FB" w:rsidRPr="009B7B35" w:rsidRDefault="00BE36FB" w:rsidP="00BE36FB">
            <w:pPr>
              <w:pStyle w:val="TableText"/>
              <w:numPr>
                <w:ilvl w:val="0"/>
                <w:numId w:val="415"/>
              </w:numPr>
              <w:rPr>
                <w:rFonts w:cs="Arial"/>
              </w:rPr>
            </w:pPr>
            <w:r w:rsidRPr="009B7B35">
              <w:rPr>
                <w:rFonts w:cs="Arial"/>
              </w:rPr>
              <w:t>linked to the main building by a defined footpath in the most direct route possible.</w:t>
            </w:r>
          </w:p>
        </w:tc>
      </w:tr>
      <w:tr w:rsidR="00BE36FB" w:rsidRPr="009B7B35" w14:paraId="7E7AAF6E" w14:textId="77777777" w:rsidTr="001A7107">
        <w:tc>
          <w:tcPr>
            <w:tcW w:w="9356" w:type="dxa"/>
            <w:gridSpan w:val="2"/>
            <w:shd w:val="clear" w:color="auto" w:fill="BFBFBF" w:themeFill="background1" w:themeFillShade="BF"/>
          </w:tcPr>
          <w:p w14:paraId="7C485891" w14:textId="77777777"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14:paraId="02E64D91" w14:textId="77777777" w:rsidTr="001A7107">
        <w:tc>
          <w:tcPr>
            <w:tcW w:w="4678" w:type="dxa"/>
          </w:tcPr>
          <w:p w14:paraId="43A8F96F" w14:textId="77777777" w:rsidR="00BE36FB" w:rsidRPr="009B7B35" w:rsidRDefault="00BE36FB" w:rsidP="001A7107">
            <w:pPr>
              <w:pStyle w:val="TableText"/>
              <w:rPr>
                <w:rFonts w:cs="Arial"/>
                <w:b/>
                <w:bCs/>
              </w:rPr>
            </w:pPr>
            <w:r w:rsidRPr="009B7B35">
              <w:rPr>
                <w:rFonts w:cs="Arial"/>
                <w:b/>
                <w:bCs/>
              </w:rPr>
              <w:t>PO5</w:t>
            </w:r>
          </w:p>
          <w:p w14:paraId="4475F582" w14:textId="77777777" w:rsidR="00BE36FB" w:rsidRPr="009B7B35" w:rsidRDefault="00BE36FB" w:rsidP="001A7107">
            <w:pPr>
              <w:pStyle w:val="TableText"/>
              <w:rPr>
                <w:rFonts w:cs="Arial"/>
              </w:rPr>
            </w:pPr>
            <w:r w:rsidRPr="009B7B35">
              <w:rPr>
                <w:rFonts w:cs="Arial"/>
              </w:rPr>
              <w:t>Accommodation and community activities do not encroach on existing or approved rural and extractive industry operations or uses that may result in an adverse impact on amenity, health or safety.</w:t>
            </w:r>
          </w:p>
        </w:tc>
        <w:tc>
          <w:tcPr>
            <w:tcW w:w="4678" w:type="dxa"/>
          </w:tcPr>
          <w:p w14:paraId="7C58626D" w14:textId="77777777" w:rsidR="00BE36FB" w:rsidRPr="009B7B35" w:rsidRDefault="00BE36FB" w:rsidP="001A7107">
            <w:pPr>
              <w:pStyle w:val="TableText"/>
              <w:rPr>
                <w:rFonts w:cs="Arial"/>
                <w:b/>
                <w:bCs/>
              </w:rPr>
            </w:pPr>
            <w:r w:rsidRPr="009B7B35">
              <w:rPr>
                <w:rFonts w:cs="Arial"/>
                <w:b/>
                <w:bCs/>
              </w:rPr>
              <w:t>AO5</w:t>
            </w:r>
          </w:p>
          <w:p w14:paraId="65C4E682" w14:textId="77777777" w:rsidR="00BE36FB" w:rsidRPr="009B7B35" w:rsidRDefault="00BE36FB" w:rsidP="001A7107">
            <w:pPr>
              <w:pStyle w:val="TableText"/>
              <w:rPr>
                <w:rFonts w:cs="Arial"/>
              </w:rPr>
            </w:pPr>
            <w:r w:rsidRPr="009B7B35">
              <w:rPr>
                <w:rFonts w:cs="Arial"/>
              </w:rPr>
              <w:t>Sensitive land uses are separated from:</w:t>
            </w:r>
          </w:p>
          <w:p w14:paraId="4DCBED41" w14:textId="77777777" w:rsidR="00BE36FB" w:rsidRPr="009B7B35" w:rsidRDefault="00BE36FB" w:rsidP="00BE36FB">
            <w:pPr>
              <w:pStyle w:val="TableText"/>
              <w:numPr>
                <w:ilvl w:val="0"/>
                <w:numId w:val="374"/>
              </w:numPr>
              <w:rPr>
                <w:rFonts w:cs="Arial"/>
              </w:rPr>
            </w:pPr>
            <w:r w:rsidRPr="009B7B35">
              <w:rPr>
                <w:rFonts w:cs="Arial"/>
              </w:rPr>
              <w:t>intensive animal industry uses by a minimum of 2km</w:t>
            </w:r>
          </w:p>
          <w:p w14:paraId="2359C343" w14:textId="77777777" w:rsidR="00BE36FB" w:rsidRPr="009B7B35" w:rsidRDefault="00BE36FB" w:rsidP="00BE36FB">
            <w:pPr>
              <w:pStyle w:val="TableText"/>
              <w:numPr>
                <w:ilvl w:val="0"/>
                <w:numId w:val="374"/>
              </w:numPr>
              <w:rPr>
                <w:rFonts w:cs="Arial"/>
              </w:rPr>
            </w:pPr>
            <w:r w:rsidRPr="009B7B35">
              <w:rPr>
                <w:rFonts w:cs="Arial"/>
              </w:rPr>
              <w:t>animal keeping (if only catteries and kennels) by a minimum of 1km</w:t>
            </w:r>
          </w:p>
          <w:p w14:paraId="45A4A35A" w14:textId="77777777" w:rsidR="00BE36FB" w:rsidRPr="009B7B35" w:rsidRDefault="00BE36FB" w:rsidP="00BE36FB">
            <w:pPr>
              <w:pStyle w:val="TableText"/>
              <w:numPr>
                <w:ilvl w:val="0"/>
                <w:numId w:val="374"/>
              </w:numPr>
              <w:rPr>
                <w:rFonts w:cs="Arial"/>
              </w:rPr>
            </w:pPr>
            <w:r w:rsidRPr="009B7B35">
              <w:rPr>
                <w:rFonts w:cs="Arial"/>
              </w:rPr>
              <w:t>waste disposal areas connected to an animal husbandry operation by a minimum of 500m</w:t>
            </w:r>
          </w:p>
          <w:p w14:paraId="581B8E82" w14:textId="77777777" w:rsidR="00BE36FB" w:rsidRPr="009B7B35" w:rsidRDefault="00BE36FB" w:rsidP="00BE36FB">
            <w:pPr>
              <w:pStyle w:val="TableText"/>
              <w:numPr>
                <w:ilvl w:val="0"/>
                <w:numId w:val="374"/>
              </w:numPr>
              <w:rPr>
                <w:rFonts w:cs="Arial"/>
              </w:rPr>
            </w:pPr>
            <w:r w:rsidRPr="009B7B35">
              <w:rPr>
                <w:rFonts w:cs="Arial"/>
              </w:rPr>
              <w:t>cropping on areas of agricultural land by a minimum of 300m</w:t>
            </w:r>
          </w:p>
          <w:p w14:paraId="3436F0C3" w14:textId="77777777" w:rsidR="00BE36FB" w:rsidRPr="009B7B35" w:rsidRDefault="00BE36FB" w:rsidP="00BE36FB">
            <w:pPr>
              <w:pStyle w:val="TableText"/>
              <w:numPr>
                <w:ilvl w:val="0"/>
                <w:numId w:val="374"/>
              </w:numPr>
              <w:rPr>
                <w:rFonts w:cs="Arial"/>
              </w:rPr>
            </w:pPr>
            <w:r w:rsidRPr="009B7B35">
              <w:rPr>
                <w:rFonts w:cs="Arial"/>
              </w:rPr>
              <w:t>other agricultural activities (excluding cropping activities) by a minimum of 50m</w:t>
            </w:r>
          </w:p>
          <w:p w14:paraId="3ABF3305" w14:textId="77777777" w:rsidR="00BE36FB" w:rsidRPr="009B7B35" w:rsidRDefault="00BE36FB" w:rsidP="00BE36FB">
            <w:pPr>
              <w:pStyle w:val="TableText"/>
              <w:numPr>
                <w:ilvl w:val="0"/>
                <w:numId w:val="374"/>
              </w:numPr>
              <w:rPr>
                <w:rFonts w:cs="Arial"/>
              </w:rPr>
            </w:pPr>
            <w:r w:rsidRPr="009B7B35">
              <w:rPr>
                <w:rFonts w:cs="Arial"/>
              </w:rPr>
              <w:t>other rural activities, not elsewhere mentioned, by a minimum of 100m</w:t>
            </w:r>
          </w:p>
          <w:p w14:paraId="541519E9" w14:textId="77777777" w:rsidR="00BE36FB" w:rsidRPr="009B7B35" w:rsidRDefault="00BE36FB" w:rsidP="00BE36FB">
            <w:pPr>
              <w:pStyle w:val="TableText"/>
              <w:numPr>
                <w:ilvl w:val="0"/>
                <w:numId w:val="374"/>
              </w:numPr>
              <w:rPr>
                <w:rFonts w:cs="Arial"/>
              </w:rPr>
            </w:pPr>
            <w:r w:rsidRPr="009B7B35">
              <w:rPr>
                <w:rFonts w:cs="Arial"/>
              </w:rPr>
              <w:t>railway activities by a minimum of 100m</w:t>
            </w:r>
          </w:p>
          <w:p w14:paraId="488FEA58" w14:textId="77777777" w:rsidR="00BE36FB" w:rsidRPr="009B7B35" w:rsidRDefault="00BE36FB" w:rsidP="00BE36FB">
            <w:pPr>
              <w:pStyle w:val="TableText"/>
              <w:numPr>
                <w:ilvl w:val="0"/>
                <w:numId w:val="374"/>
              </w:numPr>
              <w:rPr>
                <w:rFonts w:cs="Arial"/>
              </w:rPr>
            </w:pPr>
            <w:r w:rsidRPr="009B7B35">
              <w:rPr>
                <w:rFonts w:cs="Arial"/>
              </w:rPr>
              <w:t>the Benaraby Motorsport Facility by a minimum of 1,000m</w:t>
            </w:r>
          </w:p>
          <w:p w14:paraId="541DFE9F" w14:textId="77777777" w:rsidR="00BE36FB" w:rsidRPr="009B7B35" w:rsidRDefault="00BE36FB" w:rsidP="00BE36FB">
            <w:pPr>
              <w:pStyle w:val="TableText"/>
              <w:numPr>
                <w:ilvl w:val="0"/>
                <w:numId w:val="374"/>
              </w:numPr>
              <w:spacing w:after="120"/>
              <w:rPr>
                <w:rFonts w:cs="Arial"/>
              </w:rPr>
            </w:pPr>
            <w:r w:rsidRPr="009B7B35">
              <w:rPr>
                <w:rFonts w:cs="Arial"/>
              </w:rPr>
              <w:t>extractive industry operations as follows:</w:t>
            </w:r>
          </w:p>
          <w:tbl>
            <w:tblPr>
              <w:tblStyle w:val="Tablestyle"/>
              <w:tblW w:w="0" w:type="auto"/>
              <w:tblLook w:val="0620" w:firstRow="1" w:lastRow="0" w:firstColumn="0" w:lastColumn="0" w:noHBand="1" w:noVBand="1"/>
            </w:tblPr>
            <w:tblGrid>
              <w:gridCol w:w="2858"/>
              <w:gridCol w:w="1559"/>
            </w:tblGrid>
            <w:tr w:rsidR="00BE36FB" w:rsidRPr="009B7B35" w14:paraId="1F230AF5" w14:textId="77777777" w:rsidTr="001A7107">
              <w:trPr>
                <w:cnfStyle w:val="100000000000" w:firstRow="1" w:lastRow="0" w:firstColumn="0" w:lastColumn="0" w:oddVBand="0" w:evenVBand="0" w:oddHBand="0" w:evenHBand="0" w:firstRowFirstColumn="0" w:firstRowLastColumn="0" w:lastRowFirstColumn="0" w:lastRowLastColumn="0"/>
              </w:trPr>
              <w:tc>
                <w:tcPr>
                  <w:tcW w:w="2858" w:type="dxa"/>
                </w:tcPr>
                <w:p w14:paraId="1DBDECA3" w14:textId="77777777" w:rsidR="00BE36FB" w:rsidRPr="009B7B35" w:rsidRDefault="00BE36FB" w:rsidP="001A7107">
                  <w:pPr>
                    <w:pStyle w:val="TableText"/>
                    <w:rPr>
                      <w:rFonts w:cs="Arial"/>
                    </w:rPr>
                  </w:pPr>
                  <w:r w:rsidRPr="009B7B35">
                    <w:rPr>
                      <w:rFonts w:cs="Arial"/>
                    </w:rPr>
                    <w:t>Operation</w:t>
                  </w:r>
                </w:p>
              </w:tc>
              <w:tc>
                <w:tcPr>
                  <w:tcW w:w="1559" w:type="dxa"/>
                </w:tcPr>
                <w:p w14:paraId="1A2BD8A6" w14:textId="77777777" w:rsidR="00BE36FB" w:rsidRPr="009B7B35" w:rsidRDefault="00BE36FB" w:rsidP="001A7107">
                  <w:pPr>
                    <w:pStyle w:val="TableText"/>
                    <w:rPr>
                      <w:rFonts w:cs="Arial"/>
                    </w:rPr>
                  </w:pPr>
                  <w:r w:rsidRPr="009B7B35">
                    <w:rPr>
                      <w:rFonts w:cs="Arial"/>
                    </w:rPr>
                    <w:t>Separation distance</w:t>
                  </w:r>
                </w:p>
              </w:tc>
            </w:tr>
            <w:tr w:rsidR="00BE36FB" w:rsidRPr="009B7B35" w14:paraId="44A14447" w14:textId="77777777" w:rsidTr="001A7107">
              <w:tc>
                <w:tcPr>
                  <w:tcW w:w="2858" w:type="dxa"/>
                </w:tcPr>
                <w:p w14:paraId="1E682AC1" w14:textId="77777777" w:rsidR="00BE36FB" w:rsidRPr="009B7B35" w:rsidRDefault="00BE36FB" w:rsidP="001A7107">
                  <w:pPr>
                    <w:pStyle w:val="TableText"/>
                    <w:rPr>
                      <w:rFonts w:cs="Arial"/>
                    </w:rPr>
                  </w:pPr>
                  <w:r w:rsidRPr="009B7B35">
                    <w:rPr>
                      <w:rFonts w:cs="Arial"/>
                    </w:rPr>
                    <w:t>Extraction or processing involving blasting or crushing</w:t>
                  </w:r>
                </w:p>
              </w:tc>
              <w:tc>
                <w:tcPr>
                  <w:tcW w:w="1559" w:type="dxa"/>
                </w:tcPr>
                <w:p w14:paraId="1D3CE81C" w14:textId="77777777" w:rsidR="00BE36FB" w:rsidRPr="009B7B35" w:rsidRDefault="00BE36FB" w:rsidP="001A7107">
                  <w:pPr>
                    <w:pStyle w:val="TableText"/>
                    <w:rPr>
                      <w:rFonts w:cs="Arial"/>
                    </w:rPr>
                  </w:pPr>
                  <w:r w:rsidRPr="009B7B35">
                    <w:rPr>
                      <w:rFonts w:cs="Arial"/>
                    </w:rPr>
                    <w:t>1000m</w:t>
                  </w:r>
                </w:p>
              </w:tc>
            </w:tr>
            <w:tr w:rsidR="00BE36FB" w:rsidRPr="009B7B35" w14:paraId="64D56D27" w14:textId="77777777" w:rsidTr="001A7107">
              <w:tc>
                <w:tcPr>
                  <w:tcW w:w="2858" w:type="dxa"/>
                </w:tcPr>
                <w:p w14:paraId="79C523EB" w14:textId="77777777" w:rsidR="00BE36FB" w:rsidRPr="009B7B35" w:rsidRDefault="00BE36FB" w:rsidP="001A7107">
                  <w:pPr>
                    <w:pStyle w:val="TableText"/>
                    <w:rPr>
                      <w:rFonts w:cs="Arial"/>
                    </w:rPr>
                  </w:pPr>
                  <w:r w:rsidRPr="009B7B35">
                    <w:rPr>
                      <w:rFonts w:cs="Arial"/>
                    </w:rPr>
                    <w:t>Extraction or processing not involving blasting or crushing.</w:t>
                  </w:r>
                </w:p>
              </w:tc>
              <w:tc>
                <w:tcPr>
                  <w:tcW w:w="1559" w:type="dxa"/>
                </w:tcPr>
                <w:p w14:paraId="1AFFDD31" w14:textId="77777777" w:rsidR="00BE36FB" w:rsidRPr="009B7B35" w:rsidRDefault="00BE36FB" w:rsidP="001A7107">
                  <w:pPr>
                    <w:pStyle w:val="TableText"/>
                    <w:rPr>
                      <w:rFonts w:cs="Arial"/>
                    </w:rPr>
                  </w:pPr>
                  <w:r w:rsidRPr="009B7B35">
                    <w:rPr>
                      <w:rFonts w:cs="Arial"/>
                    </w:rPr>
                    <w:t>200m</w:t>
                  </w:r>
                </w:p>
              </w:tc>
            </w:tr>
            <w:tr w:rsidR="00BE36FB" w:rsidRPr="009B7B35" w14:paraId="09AC5C62" w14:textId="77777777" w:rsidTr="001A7107">
              <w:tc>
                <w:tcPr>
                  <w:tcW w:w="2858" w:type="dxa"/>
                </w:tcPr>
                <w:p w14:paraId="6AC94E87" w14:textId="77777777" w:rsidR="00BE36FB" w:rsidRPr="009B7B35" w:rsidRDefault="00BE36FB" w:rsidP="001A7107">
                  <w:pPr>
                    <w:pStyle w:val="TableText"/>
                    <w:rPr>
                      <w:rFonts w:cs="Arial"/>
                    </w:rPr>
                  </w:pPr>
                  <w:r w:rsidRPr="009B7B35">
                    <w:rPr>
                      <w:rFonts w:cs="Arial"/>
                    </w:rPr>
                    <w:t xml:space="preserve">Transport route </w:t>
                  </w:r>
                </w:p>
              </w:tc>
              <w:tc>
                <w:tcPr>
                  <w:tcW w:w="1559" w:type="dxa"/>
                </w:tcPr>
                <w:p w14:paraId="47D67752" w14:textId="77777777" w:rsidR="00BE36FB" w:rsidRPr="009B7B35" w:rsidRDefault="00BE36FB" w:rsidP="001A7107">
                  <w:pPr>
                    <w:pStyle w:val="TableText"/>
                    <w:rPr>
                      <w:rFonts w:cs="Arial"/>
                    </w:rPr>
                  </w:pPr>
                  <w:r w:rsidRPr="009B7B35">
                    <w:rPr>
                      <w:rFonts w:cs="Arial"/>
                    </w:rPr>
                    <w:t>100m</w:t>
                  </w:r>
                </w:p>
              </w:tc>
            </w:tr>
          </w:tbl>
          <w:p w14:paraId="3460DC0A" w14:textId="77777777" w:rsidR="00BE36FB" w:rsidRPr="009B7B35" w:rsidRDefault="00BE36FB" w:rsidP="001A7107">
            <w:pPr>
              <w:pStyle w:val="TableText"/>
              <w:rPr>
                <w:rFonts w:cs="Arial"/>
              </w:rPr>
            </w:pPr>
            <w:r w:rsidRPr="009B7B35">
              <w:rPr>
                <w:rFonts w:cs="Arial"/>
              </w:rPr>
              <w:t xml:space="preserve">   </w:t>
            </w:r>
          </w:p>
        </w:tc>
      </w:tr>
      <w:tr w:rsidR="00BE36FB" w:rsidRPr="009B7B35" w14:paraId="6262585A" w14:textId="77777777" w:rsidTr="001A7107">
        <w:tc>
          <w:tcPr>
            <w:tcW w:w="4678" w:type="dxa"/>
            <w:vMerge w:val="restart"/>
          </w:tcPr>
          <w:p w14:paraId="583A76A9" w14:textId="77777777" w:rsidR="00BE36FB" w:rsidRPr="009B7B35" w:rsidRDefault="00BE36FB" w:rsidP="001A7107">
            <w:pPr>
              <w:pStyle w:val="TableText"/>
              <w:rPr>
                <w:rFonts w:cs="Arial"/>
                <w:b/>
                <w:bCs/>
              </w:rPr>
            </w:pPr>
            <w:r w:rsidRPr="009B7B35">
              <w:rPr>
                <w:rFonts w:cs="Arial"/>
                <w:b/>
                <w:bCs/>
              </w:rPr>
              <w:t>PO6</w:t>
            </w:r>
          </w:p>
          <w:p w14:paraId="55E71A12" w14:textId="77777777" w:rsidR="00BE36FB" w:rsidRPr="009B7B35" w:rsidRDefault="00BE36FB" w:rsidP="001A7107">
            <w:pPr>
              <w:pStyle w:val="TableText"/>
              <w:rPr>
                <w:rFonts w:cs="Arial"/>
              </w:rPr>
            </w:pPr>
            <w:r w:rsidRPr="009B7B35">
              <w:rPr>
                <w:rFonts w:cs="Arial"/>
              </w:rPr>
              <w:t>Outdoor lighting does not adversely affect the amenity of adjoining properties or create a traffic hazard on adjacent roads.</w:t>
            </w:r>
          </w:p>
        </w:tc>
        <w:tc>
          <w:tcPr>
            <w:tcW w:w="4678" w:type="dxa"/>
          </w:tcPr>
          <w:p w14:paraId="1DE00BDE" w14:textId="77777777" w:rsidR="00BE36FB" w:rsidRPr="009B7B35" w:rsidRDefault="00BE36FB" w:rsidP="001A7107">
            <w:pPr>
              <w:pStyle w:val="TableText"/>
              <w:rPr>
                <w:rFonts w:cs="Arial"/>
                <w:b/>
                <w:bCs/>
              </w:rPr>
            </w:pPr>
            <w:r w:rsidRPr="009B7B35">
              <w:rPr>
                <w:rFonts w:cs="Arial"/>
                <w:b/>
                <w:bCs/>
              </w:rPr>
              <w:t>AO6.1</w:t>
            </w:r>
          </w:p>
          <w:p w14:paraId="373409A2" w14:textId="77777777" w:rsidR="00BE36FB" w:rsidRPr="009B7B35" w:rsidRDefault="00BE36FB" w:rsidP="001A7107">
            <w:pPr>
              <w:pStyle w:val="TableText"/>
              <w:rPr>
                <w:rFonts w:cs="Arial"/>
              </w:rPr>
            </w:pPr>
            <w:r w:rsidRPr="009B7B35">
              <w:rPr>
                <w:rFonts w:cs="Arial"/>
              </w:rPr>
              <w:t xml:space="preserve">Light emanating from any source complies with </w:t>
            </w:r>
            <w:r w:rsidRPr="009B7B35">
              <w:rPr>
                <w:rStyle w:val="StyleItalic"/>
                <w:rFonts w:cs="Arial"/>
              </w:rPr>
              <w:t>Australian Standard AS4282 Control of the Obtrusive Effects of Outdoor Lighting</w:t>
            </w:r>
            <w:r w:rsidRPr="009B7B35">
              <w:rPr>
                <w:rFonts w:cs="Arial"/>
              </w:rPr>
              <w:t xml:space="preserve"> or current version.</w:t>
            </w:r>
          </w:p>
        </w:tc>
      </w:tr>
      <w:tr w:rsidR="00BE36FB" w:rsidRPr="009B7B35" w14:paraId="1460AB65" w14:textId="77777777" w:rsidTr="001A7107">
        <w:tc>
          <w:tcPr>
            <w:tcW w:w="4678" w:type="dxa"/>
            <w:vMerge/>
          </w:tcPr>
          <w:p w14:paraId="71E45FFD" w14:textId="77777777" w:rsidR="00BE36FB" w:rsidRPr="009B7B35" w:rsidRDefault="00BE36FB" w:rsidP="001A7107">
            <w:pPr>
              <w:pStyle w:val="TableText"/>
              <w:rPr>
                <w:rFonts w:cs="Arial"/>
              </w:rPr>
            </w:pPr>
          </w:p>
        </w:tc>
        <w:tc>
          <w:tcPr>
            <w:tcW w:w="4678" w:type="dxa"/>
          </w:tcPr>
          <w:p w14:paraId="6143714F" w14:textId="77777777" w:rsidR="00BE36FB" w:rsidRPr="009B7B35" w:rsidRDefault="00BE36FB" w:rsidP="001A7107">
            <w:pPr>
              <w:pStyle w:val="TableText"/>
              <w:rPr>
                <w:rFonts w:cs="Arial"/>
                <w:b/>
                <w:bCs/>
              </w:rPr>
            </w:pPr>
            <w:r w:rsidRPr="009B7B35">
              <w:rPr>
                <w:rFonts w:cs="Arial"/>
                <w:b/>
                <w:bCs/>
              </w:rPr>
              <w:t>AO6.2</w:t>
            </w:r>
          </w:p>
          <w:p w14:paraId="735EBC09" w14:textId="77777777" w:rsidR="00BE36FB" w:rsidRPr="009B7B35" w:rsidRDefault="00BE36FB" w:rsidP="001A7107">
            <w:pPr>
              <w:pStyle w:val="TableText"/>
              <w:rPr>
                <w:rFonts w:cs="Arial"/>
              </w:rPr>
            </w:pPr>
            <w:r w:rsidRPr="009B7B35">
              <w:rPr>
                <w:rFonts w:cs="Arial"/>
              </w:rPr>
              <w:t xml:space="preserve">Outdoor lighting is provided in accordance with </w:t>
            </w:r>
            <w:r w:rsidRPr="009B7B35">
              <w:rPr>
                <w:rStyle w:val="StyleItalic"/>
                <w:rFonts w:cs="Arial"/>
              </w:rPr>
              <w:t>Australian Standard AS 1158.1.1 – Road Lighting – Vehicular Traffic Category V) Lighting – Performance and Installation Design Requirements</w:t>
            </w:r>
            <w:r w:rsidRPr="009B7B35">
              <w:rPr>
                <w:rFonts w:cs="Arial"/>
              </w:rPr>
              <w:t xml:space="preserve"> or current version.</w:t>
            </w:r>
          </w:p>
        </w:tc>
      </w:tr>
      <w:tr w:rsidR="00BE36FB" w:rsidRPr="009B7B35" w14:paraId="4A68565F" w14:textId="77777777" w:rsidTr="001A7107">
        <w:tc>
          <w:tcPr>
            <w:tcW w:w="4678" w:type="dxa"/>
          </w:tcPr>
          <w:p w14:paraId="5B9BFA90" w14:textId="77777777" w:rsidR="00BE36FB" w:rsidRPr="009B7B35" w:rsidRDefault="00BE36FB" w:rsidP="001A7107">
            <w:pPr>
              <w:pStyle w:val="TableText"/>
              <w:rPr>
                <w:rFonts w:cs="Arial"/>
                <w:b/>
                <w:bCs/>
              </w:rPr>
            </w:pPr>
            <w:r w:rsidRPr="009B7B35">
              <w:rPr>
                <w:rFonts w:cs="Arial"/>
                <w:b/>
                <w:bCs/>
              </w:rPr>
              <w:t>PO7</w:t>
            </w:r>
          </w:p>
          <w:p w14:paraId="09E83AFC" w14:textId="77777777" w:rsidR="00BE36FB" w:rsidRPr="009B7B35" w:rsidRDefault="00BE36FB" w:rsidP="001A7107">
            <w:pPr>
              <w:pStyle w:val="TableText"/>
              <w:rPr>
                <w:rFonts w:cs="Arial"/>
              </w:rPr>
            </w:pPr>
            <w:r w:rsidRPr="009B7B35">
              <w:rPr>
                <w:rFonts w:cs="Arial"/>
              </w:rPr>
              <w:t>Development does not adversely impact on the amenity of the surrounding rural or residential land uses or rural landscape character.</w:t>
            </w:r>
          </w:p>
        </w:tc>
        <w:tc>
          <w:tcPr>
            <w:tcW w:w="4678" w:type="dxa"/>
          </w:tcPr>
          <w:p w14:paraId="2D2B92C4" w14:textId="77777777" w:rsidR="00BE36FB" w:rsidRPr="009B7B35" w:rsidRDefault="00BE36FB" w:rsidP="001A7107">
            <w:pPr>
              <w:pStyle w:val="TableText"/>
              <w:rPr>
                <w:rFonts w:cs="Arial"/>
                <w:b/>
                <w:bCs/>
              </w:rPr>
            </w:pPr>
            <w:r w:rsidRPr="009B7B35">
              <w:rPr>
                <w:rFonts w:cs="Arial"/>
                <w:b/>
                <w:bCs/>
              </w:rPr>
              <w:t>AO7</w:t>
            </w:r>
          </w:p>
          <w:p w14:paraId="7BAA2C09" w14:textId="77777777" w:rsidR="00BE36FB" w:rsidRPr="009B7B35" w:rsidRDefault="00BE36FB" w:rsidP="001A7107">
            <w:pPr>
              <w:pStyle w:val="TableText"/>
              <w:rPr>
                <w:rFonts w:cs="Arial"/>
              </w:rPr>
            </w:pPr>
            <w:r w:rsidRPr="009B7B35">
              <w:rPr>
                <w:rFonts w:cs="Arial"/>
              </w:rPr>
              <w:t>Plant and air–conditioning equipment, storage areas and processing activities are screened from view of the road or adjoining residential uses.</w:t>
            </w:r>
          </w:p>
        </w:tc>
      </w:tr>
      <w:tr w:rsidR="00BE36FB" w:rsidRPr="009B7B35" w14:paraId="1670D470" w14:textId="77777777" w:rsidTr="001A7107">
        <w:tc>
          <w:tcPr>
            <w:tcW w:w="9356" w:type="dxa"/>
            <w:gridSpan w:val="2"/>
            <w:shd w:val="clear" w:color="auto" w:fill="BFBFBF" w:themeFill="background1" w:themeFillShade="BF"/>
          </w:tcPr>
          <w:p w14:paraId="1FC65327" w14:textId="77777777" w:rsidR="00BE36FB" w:rsidRPr="009B7B35" w:rsidRDefault="00BE36FB" w:rsidP="001A7107">
            <w:pPr>
              <w:pStyle w:val="Tableheading"/>
              <w:rPr>
                <w:rFonts w:ascii="Arial" w:hAnsi="Arial" w:cs="Arial"/>
                <w:szCs w:val="20"/>
              </w:rPr>
            </w:pPr>
            <w:r w:rsidRPr="009B7B35">
              <w:rPr>
                <w:rFonts w:ascii="Arial" w:hAnsi="Arial" w:cs="Arial"/>
                <w:szCs w:val="20"/>
              </w:rPr>
              <w:t>Stock routes</w:t>
            </w:r>
          </w:p>
        </w:tc>
      </w:tr>
      <w:tr w:rsidR="00BE36FB" w:rsidRPr="009B7B35" w14:paraId="45EDEE85" w14:textId="77777777" w:rsidTr="001A7107">
        <w:tc>
          <w:tcPr>
            <w:tcW w:w="4678" w:type="dxa"/>
          </w:tcPr>
          <w:p w14:paraId="01929B4B" w14:textId="77777777" w:rsidR="00BE36FB" w:rsidRPr="009B7B35" w:rsidRDefault="00BE36FB" w:rsidP="001A7107">
            <w:pPr>
              <w:pStyle w:val="TableText"/>
              <w:rPr>
                <w:rFonts w:cs="Arial"/>
                <w:b/>
                <w:bCs/>
              </w:rPr>
            </w:pPr>
            <w:r w:rsidRPr="009B7B35">
              <w:rPr>
                <w:rFonts w:cs="Arial"/>
                <w:b/>
                <w:bCs/>
              </w:rPr>
              <w:t>PO8</w:t>
            </w:r>
          </w:p>
          <w:p w14:paraId="705C2E1C" w14:textId="77777777" w:rsidR="00BE36FB" w:rsidRPr="009B7B35" w:rsidRDefault="00BE36FB" w:rsidP="001A7107">
            <w:pPr>
              <w:pStyle w:val="TableText"/>
              <w:rPr>
                <w:rFonts w:cs="Arial"/>
              </w:rPr>
            </w:pPr>
            <w:r w:rsidRPr="009B7B35">
              <w:rPr>
                <w:rFonts w:cs="Arial"/>
              </w:rPr>
              <w:t>Development on or adjoining a stock route shown on overlay map Agricultural Land Classification Overlay does not compromise the use of the stock route by travelling stock.</w:t>
            </w:r>
          </w:p>
        </w:tc>
        <w:tc>
          <w:tcPr>
            <w:tcW w:w="4678" w:type="dxa"/>
          </w:tcPr>
          <w:p w14:paraId="1B61EC46" w14:textId="77777777" w:rsidR="00BE36FB" w:rsidRPr="009B7B35" w:rsidRDefault="00BE36FB" w:rsidP="001A7107">
            <w:pPr>
              <w:pStyle w:val="TableText"/>
              <w:rPr>
                <w:rFonts w:cs="Arial"/>
                <w:b/>
                <w:bCs/>
              </w:rPr>
            </w:pPr>
            <w:r w:rsidRPr="009B7B35">
              <w:rPr>
                <w:rFonts w:cs="Arial"/>
                <w:b/>
                <w:bCs/>
              </w:rPr>
              <w:t>AO8</w:t>
            </w:r>
          </w:p>
          <w:p w14:paraId="16B20170" w14:textId="77777777" w:rsidR="00BE36FB" w:rsidRPr="009B7B35" w:rsidRDefault="00BE36FB" w:rsidP="001A7107">
            <w:pPr>
              <w:pStyle w:val="TableText"/>
              <w:rPr>
                <w:rFonts w:cs="Arial"/>
              </w:rPr>
            </w:pPr>
            <w:r w:rsidRPr="009B7B35">
              <w:rPr>
                <w:rFonts w:cs="Arial"/>
              </w:rPr>
              <w:t>Accommodation activities (excluding dwelling house on an existing allotment, Caretaker‘s accommodation and Rural workers’ accommodation) and community activities are separated from a stock route by a minimum of 200m.</w:t>
            </w:r>
          </w:p>
        </w:tc>
      </w:tr>
      <w:tr w:rsidR="00BE36FB" w:rsidRPr="009B7B35" w14:paraId="5F36C723" w14:textId="77777777" w:rsidTr="001A7107">
        <w:tc>
          <w:tcPr>
            <w:tcW w:w="4678" w:type="dxa"/>
          </w:tcPr>
          <w:p w14:paraId="53E42D12" w14:textId="77777777" w:rsidR="00BE36FB" w:rsidRPr="009B7B35" w:rsidRDefault="00BE36FB" w:rsidP="001A7107">
            <w:pPr>
              <w:pStyle w:val="TableText"/>
              <w:rPr>
                <w:rFonts w:cs="Arial"/>
                <w:b/>
                <w:bCs/>
              </w:rPr>
            </w:pPr>
            <w:r w:rsidRPr="009B7B35">
              <w:rPr>
                <w:rFonts w:cs="Arial"/>
                <w:b/>
                <w:bCs/>
              </w:rPr>
              <w:t>PO9</w:t>
            </w:r>
          </w:p>
          <w:p w14:paraId="73A1F3B0" w14:textId="77777777" w:rsidR="00BE36FB" w:rsidRPr="009B7B35" w:rsidRDefault="00BE36FB" w:rsidP="001A7107">
            <w:pPr>
              <w:pStyle w:val="TableText"/>
              <w:rPr>
                <w:rFonts w:cs="Arial"/>
              </w:rPr>
            </w:pPr>
            <w:r w:rsidRPr="009B7B35">
              <w:rPr>
                <w:rFonts w:cs="Arial"/>
              </w:rPr>
              <w:t>Development on or crossing a stock route does not impede the free movement of stock.</w:t>
            </w:r>
          </w:p>
        </w:tc>
        <w:tc>
          <w:tcPr>
            <w:tcW w:w="4678" w:type="dxa"/>
          </w:tcPr>
          <w:p w14:paraId="270E9336" w14:textId="77777777" w:rsidR="00BE36FB" w:rsidRPr="009B7B35" w:rsidRDefault="00BE36FB" w:rsidP="001A7107">
            <w:pPr>
              <w:pStyle w:val="TableText"/>
              <w:rPr>
                <w:rFonts w:cs="Arial"/>
                <w:b/>
                <w:bCs/>
              </w:rPr>
            </w:pPr>
            <w:r w:rsidRPr="009B7B35">
              <w:rPr>
                <w:rFonts w:cs="Arial"/>
                <w:b/>
                <w:bCs/>
              </w:rPr>
              <w:t>AO9</w:t>
            </w:r>
          </w:p>
          <w:p w14:paraId="75324439" w14:textId="77777777" w:rsidR="00BE36FB" w:rsidRPr="009B7B35" w:rsidRDefault="00BE36FB" w:rsidP="001A7107">
            <w:pPr>
              <w:pStyle w:val="TableText"/>
              <w:rPr>
                <w:rFonts w:cs="Arial"/>
              </w:rPr>
            </w:pPr>
            <w:r w:rsidRPr="009B7B35">
              <w:rPr>
                <w:rFonts w:cs="Arial"/>
              </w:rPr>
              <w:t>Development provides:</w:t>
            </w:r>
          </w:p>
          <w:p w14:paraId="24703519" w14:textId="77777777" w:rsidR="00BE36FB" w:rsidRPr="009B7B35" w:rsidRDefault="00BE36FB" w:rsidP="00BE36FB">
            <w:pPr>
              <w:pStyle w:val="TableText"/>
              <w:numPr>
                <w:ilvl w:val="0"/>
                <w:numId w:val="373"/>
              </w:numPr>
              <w:rPr>
                <w:rFonts w:cs="Arial"/>
              </w:rPr>
            </w:pPr>
            <w:r w:rsidRPr="009B7B35">
              <w:rPr>
                <w:rFonts w:cs="Arial"/>
              </w:rPr>
              <w:t>for grade separation of transport infrastructure and stock, or</w:t>
            </w:r>
          </w:p>
          <w:p w14:paraId="7FB1B341" w14:textId="77777777" w:rsidR="00BE36FB" w:rsidRPr="009B7B35" w:rsidRDefault="00BE36FB" w:rsidP="00BE36FB">
            <w:pPr>
              <w:pStyle w:val="TableText"/>
              <w:numPr>
                <w:ilvl w:val="0"/>
                <w:numId w:val="373"/>
              </w:numPr>
              <w:rPr>
                <w:rFonts w:cs="Arial"/>
              </w:rPr>
            </w:pPr>
            <w:r w:rsidRPr="009B7B35">
              <w:rPr>
                <w:rFonts w:cs="Arial"/>
              </w:rPr>
              <w:t>alternate unimpeded and watered stock route access.</w:t>
            </w:r>
          </w:p>
        </w:tc>
      </w:tr>
      <w:tr w:rsidR="00BE36FB" w:rsidRPr="009B7B35" w14:paraId="4E9EF453" w14:textId="77777777" w:rsidTr="001A7107">
        <w:tc>
          <w:tcPr>
            <w:tcW w:w="9356" w:type="dxa"/>
            <w:gridSpan w:val="2"/>
          </w:tcPr>
          <w:p w14:paraId="538273BD"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For all assessable development </w:t>
            </w:r>
          </w:p>
        </w:tc>
      </w:tr>
      <w:tr w:rsidR="00BE36FB" w:rsidRPr="009B7B35" w14:paraId="53EDC92C" w14:textId="77777777" w:rsidTr="001A7107">
        <w:tc>
          <w:tcPr>
            <w:tcW w:w="9356" w:type="dxa"/>
            <w:gridSpan w:val="2"/>
            <w:shd w:val="clear" w:color="auto" w:fill="BFBFBF" w:themeFill="background1" w:themeFillShade="BF"/>
          </w:tcPr>
          <w:p w14:paraId="430FE5C0"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14:paraId="13410369" w14:textId="77777777" w:rsidTr="001A7107">
        <w:tc>
          <w:tcPr>
            <w:tcW w:w="4678" w:type="dxa"/>
          </w:tcPr>
          <w:p w14:paraId="644B6F54" w14:textId="77777777" w:rsidR="00BE36FB" w:rsidRPr="009B7B35" w:rsidRDefault="00BE36FB" w:rsidP="001A7107">
            <w:pPr>
              <w:pStyle w:val="TableText"/>
              <w:rPr>
                <w:rFonts w:cs="Arial"/>
                <w:b/>
                <w:bCs/>
              </w:rPr>
            </w:pPr>
            <w:r w:rsidRPr="009B7B35">
              <w:rPr>
                <w:rFonts w:cs="Arial"/>
                <w:b/>
                <w:bCs/>
              </w:rPr>
              <w:t>PO10</w:t>
            </w:r>
          </w:p>
          <w:p w14:paraId="3CFADB42" w14:textId="77777777" w:rsidR="00BE36FB" w:rsidRPr="009B7B35" w:rsidRDefault="00BE36FB" w:rsidP="001A7107">
            <w:pPr>
              <w:pStyle w:val="TableText"/>
              <w:rPr>
                <w:rFonts w:cs="Arial"/>
              </w:rPr>
            </w:pPr>
            <w:r w:rsidRPr="009B7B35">
              <w:rPr>
                <w:rFonts w:cs="Arial"/>
              </w:rPr>
              <w:t>Development:</w:t>
            </w:r>
          </w:p>
          <w:p w14:paraId="7EBA4279" w14:textId="77777777" w:rsidR="00BE36FB" w:rsidRPr="009B7B35" w:rsidRDefault="00BE36FB" w:rsidP="00BE36FB">
            <w:pPr>
              <w:pStyle w:val="TableText"/>
              <w:numPr>
                <w:ilvl w:val="0"/>
                <w:numId w:val="371"/>
              </w:numPr>
              <w:ind w:left="510" w:hanging="510"/>
              <w:rPr>
                <w:rFonts w:cs="Arial"/>
              </w:rPr>
            </w:pPr>
            <w:r w:rsidRPr="009B7B35">
              <w:rPr>
                <w:rFonts w:cs="Arial"/>
              </w:rPr>
              <w:t>is consistent with the rural character of the locality</w:t>
            </w:r>
          </w:p>
          <w:p w14:paraId="4A951172" w14:textId="77777777" w:rsidR="00BE36FB" w:rsidRPr="009B7B35" w:rsidRDefault="00BE36FB" w:rsidP="00BE36FB">
            <w:pPr>
              <w:pStyle w:val="TableText"/>
              <w:numPr>
                <w:ilvl w:val="0"/>
                <w:numId w:val="371"/>
              </w:numPr>
              <w:ind w:left="510" w:hanging="510"/>
              <w:rPr>
                <w:rFonts w:cs="Arial"/>
              </w:rPr>
            </w:pPr>
            <w:r w:rsidRPr="009B7B35">
              <w:rPr>
                <w:rFonts w:cs="Arial"/>
              </w:rPr>
              <w:t>supports the primary rural function of the zone; and</w:t>
            </w:r>
          </w:p>
          <w:p w14:paraId="53CB150F" w14:textId="77777777" w:rsidR="00BE36FB" w:rsidRPr="009B7B35" w:rsidRDefault="00BE36FB" w:rsidP="00BE36FB">
            <w:pPr>
              <w:pStyle w:val="TableText"/>
              <w:numPr>
                <w:ilvl w:val="0"/>
                <w:numId w:val="371"/>
              </w:numPr>
              <w:ind w:left="510" w:hanging="510"/>
              <w:rPr>
                <w:rFonts w:cs="Arial"/>
              </w:rPr>
            </w:pPr>
            <w:r w:rsidRPr="009B7B35">
              <w:rPr>
                <w:rFonts w:cs="Arial"/>
              </w:rPr>
              <w:t>protects rural, natural and scenic values of the locality.</w:t>
            </w:r>
          </w:p>
        </w:tc>
        <w:tc>
          <w:tcPr>
            <w:tcW w:w="4678" w:type="dxa"/>
          </w:tcPr>
          <w:p w14:paraId="30F3C7B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F6134B7" w14:textId="77777777" w:rsidTr="001A7107">
        <w:tc>
          <w:tcPr>
            <w:tcW w:w="4678" w:type="dxa"/>
          </w:tcPr>
          <w:p w14:paraId="402C7D68" w14:textId="77777777" w:rsidR="00BE36FB" w:rsidRPr="009B7B35" w:rsidRDefault="00BE36FB" w:rsidP="001A7107">
            <w:pPr>
              <w:pStyle w:val="TableText"/>
              <w:rPr>
                <w:rFonts w:cs="Arial"/>
                <w:b/>
                <w:bCs/>
              </w:rPr>
            </w:pPr>
            <w:r w:rsidRPr="009B7B35">
              <w:rPr>
                <w:rFonts w:cs="Arial"/>
                <w:b/>
                <w:bCs/>
              </w:rPr>
              <w:t>PO11</w:t>
            </w:r>
          </w:p>
          <w:p w14:paraId="05D3C358" w14:textId="77777777" w:rsidR="00BE36FB" w:rsidRPr="009B7B35" w:rsidRDefault="00BE36FB" w:rsidP="001A7107">
            <w:pPr>
              <w:pStyle w:val="TableText"/>
              <w:rPr>
                <w:rFonts w:cs="Arial"/>
              </w:rPr>
            </w:pPr>
            <w:r w:rsidRPr="009B7B35">
              <w:rPr>
                <w:rFonts w:cs="Arial"/>
              </w:rPr>
              <w:t>Tourism (including associated accommodation) and recreation–related uses are:</w:t>
            </w:r>
          </w:p>
          <w:p w14:paraId="27F9C22A" w14:textId="77777777" w:rsidR="00BE36FB" w:rsidRPr="009B7B35" w:rsidRDefault="00BE36FB" w:rsidP="00BE36FB">
            <w:pPr>
              <w:pStyle w:val="TableText"/>
              <w:numPr>
                <w:ilvl w:val="0"/>
                <w:numId w:val="370"/>
              </w:numPr>
              <w:rPr>
                <w:rFonts w:cs="Arial"/>
              </w:rPr>
            </w:pPr>
            <w:r w:rsidRPr="009B7B35">
              <w:rPr>
                <w:rFonts w:cs="Arial"/>
              </w:rPr>
              <w:t>small scale, and</w:t>
            </w:r>
          </w:p>
          <w:p w14:paraId="339A8BC4" w14:textId="77777777" w:rsidR="00BE36FB" w:rsidRPr="009B7B35" w:rsidRDefault="00BE36FB" w:rsidP="00BE36FB">
            <w:pPr>
              <w:pStyle w:val="TableText"/>
              <w:numPr>
                <w:ilvl w:val="0"/>
                <w:numId w:val="370"/>
              </w:numPr>
              <w:rPr>
                <w:rFonts w:cs="Arial"/>
              </w:rPr>
            </w:pPr>
            <w:r w:rsidRPr="009B7B35">
              <w:rPr>
                <w:rFonts w:cs="Arial"/>
              </w:rPr>
              <w:t>compatible with rural production, natural resources and landscape amenity.</w:t>
            </w:r>
          </w:p>
        </w:tc>
        <w:tc>
          <w:tcPr>
            <w:tcW w:w="4678" w:type="dxa"/>
          </w:tcPr>
          <w:p w14:paraId="4AF0B51F"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11A33E9" w14:textId="77777777" w:rsidTr="001A7107">
        <w:tc>
          <w:tcPr>
            <w:tcW w:w="9356" w:type="dxa"/>
            <w:gridSpan w:val="2"/>
            <w:shd w:val="clear" w:color="auto" w:fill="BFBFBF" w:themeFill="background1" w:themeFillShade="BF"/>
          </w:tcPr>
          <w:p w14:paraId="1F300AC7" w14:textId="77777777" w:rsidR="00BE36FB" w:rsidRPr="009B7B35" w:rsidRDefault="00BE36FB">
            <w:pPr>
              <w:pStyle w:val="Tableheading"/>
              <w:rPr>
                <w:rFonts w:ascii="Arial" w:hAnsi="Arial" w:cs="Arial"/>
                <w:szCs w:val="20"/>
              </w:rPr>
            </w:pPr>
            <w:r w:rsidRPr="009B7B35">
              <w:rPr>
                <w:rFonts w:ascii="Arial" w:hAnsi="Arial" w:cs="Arial"/>
                <w:szCs w:val="20"/>
              </w:rPr>
              <w:t>Design and amenity</w:t>
            </w:r>
          </w:p>
        </w:tc>
      </w:tr>
      <w:tr w:rsidR="00BE36FB" w:rsidRPr="009B7B35" w14:paraId="4563C93A" w14:textId="77777777" w:rsidTr="001A7107">
        <w:tc>
          <w:tcPr>
            <w:tcW w:w="4678" w:type="dxa"/>
            <w:vMerge w:val="restart"/>
          </w:tcPr>
          <w:p w14:paraId="35462D4A" w14:textId="77777777" w:rsidR="00BE36FB" w:rsidRPr="009B7B35" w:rsidRDefault="00BE36FB" w:rsidP="001A7107">
            <w:pPr>
              <w:pStyle w:val="TableText"/>
              <w:rPr>
                <w:rFonts w:cs="Arial"/>
                <w:b/>
                <w:bCs/>
              </w:rPr>
            </w:pPr>
            <w:r w:rsidRPr="009B7B35">
              <w:rPr>
                <w:rFonts w:cs="Arial"/>
                <w:b/>
                <w:bCs/>
              </w:rPr>
              <w:t>PO12</w:t>
            </w:r>
          </w:p>
          <w:p w14:paraId="604439D6" w14:textId="77777777" w:rsidR="00BE36FB" w:rsidRPr="009B7B35" w:rsidRDefault="00BE36FB" w:rsidP="001A7107">
            <w:pPr>
              <w:pStyle w:val="TableText"/>
              <w:rPr>
                <w:rFonts w:cs="Arial"/>
              </w:rPr>
            </w:pPr>
            <w:r w:rsidRPr="009B7B35">
              <w:rPr>
                <w:rFonts w:cs="Arial"/>
              </w:rPr>
              <w:t>Development minimises potential conflicts with, or impacts on, other uses having regard to vibration, odour, dust or other emissions.</w:t>
            </w:r>
          </w:p>
        </w:tc>
        <w:tc>
          <w:tcPr>
            <w:tcW w:w="4678" w:type="dxa"/>
          </w:tcPr>
          <w:p w14:paraId="346BAB4C" w14:textId="77777777" w:rsidR="00BE36FB" w:rsidRPr="009B7B35" w:rsidRDefault="00BE36FB" w:rsidP="001A7107">
            <w:pPr>
              <w:pStyle w:val="TableText"/>
              <w:rPr>
                <w:rFonts w:cs="Arial"/>
                <w:b/>
                <w:bCs/>
              </w:rPr>
            </w:pPr>
            <w:r w:rsidRPr="009B7B35">
              <w:rPr>
                <w:rFonts w:cs="Arial"/>
                <w:b/>
                <w:bCs/>
              </w:rPr>
              <w:t>AO12.1</w:t>
            </w:r>
          </w:p>
          <w:p w14:paraId="2197534F" w14:textId="77777777" w:rsidR="00BE36FB" w:rsidRPr="009B7B35" w:rsidRDefault="00BE36FB" w:rsidP="001A7107">
            <w:pPr>
              <w:pStyle w:val="TableText"/>
              <w:rPr>
                <w:rFonts w:cs="Arial"/>
              </w:rPr>
            </w:pPr>
            <w:r w:rsidRPr="009B7B35">
              <w:rPr>
                <w:rFonts w:cs="Arial"/>
              </w:rPr>
              <w:t>Development achieves the air quality design objectives set out in the</w:t>
            </w:r>
            <w:r w:rsidRPr="009B7B35">
              <w:rPr>
                <w:rStyle w:val="StyleItalic"/>
                <w:rFonts w:cs="Arial"/>
              </w:rPr>
              <w:t xml:space="preserve"> Environmental Protection (Air) Policy 2008</w:t>
            </w:r>
            <w:r w:rsidRPr="009B7B35">
              <w:rPr>
                <w:rFonts w:cs="Arial"/>
              </w:rPr>
              <w:t>, as amended.</w:t>
            </w:r>
          </w:p>
        </w:tc>
      </w:tr>
      <w:tr w:rsidR="00BE36FB" w:rsidRPr="009B7B35" w14:paraId="2FE9D739" w14:textId="77777777" w:rsidTr="001A7107">
        <w:tc>
          <w:tcPr>
            <w:tcW w:w="4678" w:type="dxa"/>
            <w:vMerge/>
          </w:tcPr>
          <w:p w14:paraId="202B9382" w14:textId="77777777" w:rsidR="00BE36FB" w:rsidRPr="009B7B35" w:rsidRDefault="00BE36FB" w:rsidP="001A7107">
            <w:pPr>
              <w:pStyle w:val="TableText"/>
              <w:rPr>
                <w:rFonts w:cs="Arial"/>
              </w:rPr>
            </w:pPr>
          </w:p>
        </w:tc>
        <w:tc>
          <w:tcPr>
            <w:tcW w:w="4678" w:type="dxa"/>
          </w:tcPr>
          <w:p w14:paraId="42C6A91C" w14:textId="77777777" w:rsidR="00BE36FB" w:rsidRPr="009B7B35" w:rsidRDefault="00BE36FB" w:rsidP="001A7107">
            <w:pPr>
              <w:pStyle w:val="TableText"/>
              <w:rPr>
                <w:rFonts w:cs="Arial"/>
                <w:b/>
                <w:bCs/>
              </w:rPr>
            </w:pPr>
            <w:r w:rsidRPr="009B7B35">
              <w:rPr>
                <w:rFonts w:cs="Arial"/>
                <w:b/>
                <w:bCs/>
              </w:rPr>
              <w:t>AO12.2</w:t>
            </w:r>
          </w:p>
          <w:p w14:paraId="5A526A91" w14:textId="77777777" w:rsidR="00BE36FB" w:rsidRPr="009B7B35" w:rsidRDefault="00BE36FB" w:rsidP="001A7107">
            <w:pPr>
              <w:pStyle w:val="TableText"/>
              <w:rPr>
                <w:rFonts w:cs="Arial"/>
              </w:rPr>
            </w:pPr>
            <w:r w:rsidRPr="009B7B35">
              <w:rPr>
                <w:rFonts w:cs="Arial"/>
              </w:rPr>
              <w:t>Development that involves the storage of materials on site that are capable of generating air contaminants either by wind or when disturbed are managed by:</w:t>
            </w:r>
          </w:p>
          <w:p w14:paraId="26CF1CE3" w14:textId="77777777" w:rsidR="00BE36FB" w:rsidRPr="009B7B35" w:rsidRDefault="00BE36FB" w:rsidP="00BE36FB">
            <w:pPr>
              <w:pStyle w:val="TableText"/>
              <w:numPr>
                <w:ilvl w:val="0"/>
                <w:numId w:val="369"/>
              </w:numPr>
              <w:ind w:left="510" w:hanging="510"/>
              <w:rPr>
                <w:rFonts w:cs="Arial"/>
              </w:rPr>
            </w:pPr>
            <w:r w:rsidRPr="009B7B35">
              <w:rPr>
                <w:rFonts w:cs="Arial"/>
              </w:rPr>
              <w:t>being wholly enclosed in storage bins, or</w:t>
            </w:r>
          </w:p>
          <w:p w14:paraId="7293ECA1" w14:textId="77777777" w:rsidR="00BE36FB" w:rsidRPr="009B7B35" w:rsidRDefault="00BE36FB" w:rsidP="00BE36FB">
            <w:pPr>
              <w:pStyle w:val="TableText"/>
              <w:numPr>
                <w:ilvl w:val="0"/>
                <w:numId w:val="369"/>
              </w:numPr>
              <w:ind w:left="510" w:hanging="510"/>
              <w:rPr>
                <w:rFonts w:cs="Arial"/>
              </w:rPr>
            </w:pPr>
            <w:r w:rsidRPr="009B7B35">
              <w:rPr>
                <w:rFonts w:cs="Arial"/>
              </w:rPr>
              <w:t>a watering program so material cannot become airborne.</w:t>
            </w:r>
          </w:p>
        </w:tc>
      </w:tr>
      <w:tr w:rsidR="00BE36FB" w:rsidRPr="009B7B35" w14:paraId="336DF7B8" w14:textId="77777777" w:rsidTr="001A7107">
        <w:tc>
          <w:tcPr>
            <w:tcW w:w="4678" w:type="dxa"/>
          </w:tcPr>
          <w:p w14:paraId="38F26D90" w14:textId="77777777" w:rsidR="00BE36FB" w:rsidRPr="009B7B35" w:rsidRDefault="00BE36FB" w:rsidP="001A7107">
            <w:pPr>
              <w:pStyle w:val="TableText"/>
              <w:rPr>
                <w:rFonts w:cs="Arial"/>
                <w:b/>
                <w:bCs/>
              </w:rPr>
            </w:pPr>
            <w:r w:rsidRPr="009B7B35">
              <w:rPr>
                <w:rFonts w:cs="Arial"/>
                <w:b/>
                <w:bCs/>
              </w:rPr>
              <w:t>PO13</w:t>
            </w:r>
          </w:p>
          <w:p w14:paraId="47620E92" w14:textId="77777777" w:rsidR="00BE36FB" w:rsidRPr="009B7B35" w:rsidRDefault="00BE36FB" w:rsidP="001A7107">
            <w:pPr>
              <w:pStyle w:val="TableText"/>
              <w:rPr>
                <w:rFonts w:cs="Arial"/>
              </w:rPr>
            </w:pPr>
            <w:r w:rsidRPr="009B7B35">
              <w:rPr>
                <w:rFonts w:cs="Arial"/>
              </w:rPr>
              <w:t>Development prevents or minimises the generation of noise so that:</w:t>
            </w:r>
          </w:p>
          <w:p w14:paraId="17D5C80A" w14:textId="77777777" w:rsidR="00BE36FB" w:rsidRPr="009B7B35" w:rsidRDefault="00BE36FB" w:rsidP="00BE36FB">
            <w:pPr>
              <w:pStyle w:val="TableText"/>
              <w:numPr>
                <w:ilvl w:val="0"/>
                <w:numId w:val="368"/>
              </w:numPr>
              <w:rPr>
                <w:rFonts w:cs="Arial"/>
              </w:rPr>
            </w:pPr>
            <w:r w:rsidRPr="009B7B35">
              <w:rPr>
                <w:rFonts w:cs="Arial"/>
              </w:rPr>
              <w:t>nuisance is not caused to adjoining premises or other nearby sensitive land uses, and</w:t>
            </w:r>
          </w:p>
          <w:p w14:paraId="7F67E8AB" w14:textId="77777777" w:rsidR="00BE36FB" w:rsidRPr="009B7B35" w:rsidRDefault="00BE36FB" w:rsidP="00BE36FB">
            <w:pPr>
              <w:pStyle w:val="TableText"/>
              <w:numPr>
                <w:ilvl w:val="0"/>
                <w:numId w:val="368"/>
              </w:numPr>
              <w:rPr>
                <w:rFonts w:cs="Arial"/>
              </w:rPr>
            </w:pPr>
            <w:r w:rsidRPr="009B7B35">
              <w:rPr>
                <w:rFonts w:cs="Arial"/>
              </w:rPr>
              <w:t>desired ambient noise levels in residential areas are not exceeded.</w:t>
            </w:r>
          </w:p>
        </w:tc>
        <w:tc>
          <w:tcPr>
            <w:tcW w:w="4678" w:type="dxa"/>
          </w:tcPr>
          <w:p w14:paraId="5055DB6F" w14:textId="77777777" w:rsidR="00BE36FB" w:rsidRPr="009B7B35" w:rsidRDefault="00BE36FB" w:rsidP="001A7107">
            <w:pPr>
              <w:pStyle w:val="TableText"/>
              <w:rPr>
                <w:rFonts w:cs="Arial"/>
                <w:b/>
                <w:bCs/>
              </w:rPr>
            </w:pPr>
            <w:r w:rsidRPr="009B7B35">
              <w:rPr>
                <w:rFonts w:cs="Arial"/>
                <w:b/>
                <w:bCs/>
              </w:rPr>
              <w:t>AO13</w:t>
            </w:r>
          </w:p>
          <w:p w14:paraId="08D02026" w14:textId="77777777" w:rsidR="00BE36FB" w:rsidRPr="009B7B35" w:rsidRDefault="00BE36FB" w:rsidP="001A7107">
            <w:pPr>
              <w:pStyle w:val="TableText"/>
              <w:rPr>
                <w:rFonts w:cs="Arial"/>
              </w:rPr>
            </w:pPr>
            <w:r w:rsidRPr="009B7B35">
              <w:rPr>
                <w:rFonts w:cs="Arial"/>
              </w:rPr>
              <w:t xml:space="preserve">Development achieves the noise generation levels set out in the </w:t>
            </w:r>
            <w:r w:rsidRPr="009B7B35">
              <w:rPr>
                <w:rStyle w:val="StyleItalic"/>
                <w:rFonts w:cs="Arial"/>
              </w:rPr>
              <w:t>Environmental Protection (Noise) Policy 2008</w:t>
            </w:r>
            <w:r w:rsidRPr="009B7B35">
              <w:rPr>
                <w:rFonts w:cs="Arial"/>
              </w:rPr>
              <w:t>, as amended.</w:t>
            </w:r>
          </w:p>
        </w:tc>
      </w:tr>
      <w:tr w:rsidR="00BE36FB" w:rsidRPr="009B7B35" w14:paraId="6F0A5D4C" w14:textId="77777777" w:rsidTr="001A7107">
        <w:tc>
          <w:tcPr>
            <w:tcW w:w="4678" w:type="dxa"/>
          </w:tcPr>
          <w:p w14:paraId="1CC5243D" w14:textId="77777777" w:rsidR="00BE36FB" w:rsidRPr="009B7B35" w:rsidRDefault="00BE36FB" w:rsidP="001A7107">
            <w:pPr>
              <w:pStyle w:val="TableText"/>
              <w:rPr>
                <w:rFonts w:cs="Arial"/>
                <w:b/>
                <w:bCs/>
              </w:rPr>
            </w:pPr>
            <w:r w:rsidRPr="009B7B35">
              <w:rPr>
                <w:rFonts w:cs="Arial"/>
                <w:b/>
                <w:bCs/>
              </w:rPr>
              <w:t>PO14</w:t>
            </w:r>
          </w:p>
          <w:p w14:paraId="520BFC32" w14:textId="77777777" w:rsidR="00BE36FB" w:rsidRPr="009B7B35" w:rsidRDefault="00BE36FB" w:rsidP="001A7107">
            <w:pPr>
              <w:pStyle w:val="TableText"/>
              <w:rPr>
                <w:rFonts w:cs="Arial"/>
              </w:rPr>
            </w:pPr>
            <w:r w:rsidRPr="009B7B35">
              <w:rPr>
                <w:rFonts w:cs="Arial"/>
              </w:rPr>
              <w:t>Development does not unduly impact on the existing amenity and character of the locality having regard to:</w:t>
            </w:r>
          </w:p>
          <w:p w14:paraId="30D6E14F" w14:textId="77777777" w:rsidR="00BE36FB" w:rsidRPr="009B7B35" w:rsidRDefault="00BE36FB" w:rsidP="00BE36FB">
            <w:pPr>
              <w:pStyle w:val="TableText"/>
              <w:numPr>
                <w:ilvl w:val="0"/>
                <w:numId w:val="149"/>
              </w:numPr>
              <w:rPr>
                <w:rFonts w:cs="Arial"/>
              </w:rPr>
            </w:pPr>
            <w:r w:rsidRPr="009B7B35">
              <w:rPr>
                <w:rFonts w:cs="Arial"/>
              </w:rPr>
              <w:t>the scale, siting and design of buildings and structures</w:t>
            </w:r>
          </w:p>
          <w:p w14:paraId="3E8E50B1" w14:textId="77777777" w:rsidR="00BE36FB" w:rsidRPr="009B7B35" w:rsidRDefault="00BE36FB" w:rsidP="00BE36FB">
            <w:pPr>
              <w:pStyle w:val="TableText"/>
              <w:numPr>
                <w:ilvl w:val="0"/>
                <w:numId w:val="149"/>
              </w:numPr>
              <w:rPr>
                <w:rFonts w:cs="Arial"/>
              </w:rPr>
            </w:pPr>
            <w:r w:rsidRPr="009B7B35">
              <w:rPr>
                <w:rFonts w:cs="Arial"/>
              </w:rPr>
              <w:t>visibility from roads and other public view points, screening vegetation and landscaping</w:t>
            </w:r>
          </w:p>
          <w:p w14:paraId="74BA6A98" w14:textId="77777777" w:rsidR="00BE36FB" w:rsidRPr="009B7B35" w:rsidRDefault="00BE36FB" w:rsidP="00BE36FB">
            <w:pPr>
              <w:pStyle w:val="TableText"/>
              <w:numPr>
                <w:ilvl w:val="0"/>
                <w:numId w:val="149"/>
              </w:numPr>
              <w:rPr>
                <w:rFonts w:cs="Arial"/>
              </w:rPr>
            </w:pPr>
            <w:r w:rsidRPr="009B7B35">
              <w:rPr>
                <w:rFonts w:cs="Arial"/>
              </w:rPr>
              <w:t>the natural landform and avoidance of visual scarring, and</w:t>
            </w:r>
          </w:p>
          <w:p w14:paraId="2E983052" w14:textId="77777777" w:rsidR="00BE36FB" w:rsidRPr="009B7B35" w:rsidRDefault="00BE36FB" w:rsidP="00BE36FB">
            <w:pPr>
              <w:pStyle w:val="TableText"/>
              <w:numPr>
                <w:ilvl w:val="0"/>
                <w:numId w:val="149"/>
              </w:numPr>
              <w:rPr>
                <w:rFonts w:cs="Arial"/>
              </w:rPr>
            </w:pPr>
            <w:r w:rsidRPr="009B7B35">
              <w:rPr>
                <w:rFonts w:cs="Arial"/>
              </w:rPr>
              <w:t>vibration, odour, dust, spray drift and other emissions.</w:t>
            </w:r>
          </w:p>
        </w:tc>
        <w:tc>
          <w:tcPr>
            <w:tcW w:w="4678" w:type="dxa"/>
          </w:tcPr>
          <w:p w14:paraId="1F82913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CAC82A4" w14:textId="77777777" w:rsidTr="001A7107">
        <w:tc>
          <w:tcPr>
            <w:tcW w:w="4678" w:type="dxa"/>
          </w:tcPr>
          <w:p w14:paraId="7BAA16C8" w14:textId="77777777" w:rsidR="00BE36FB" w:rsidRPr="009B7B35" w:rsidRDefault="00BE36FB" w:rsidP="001A7107">
            <w:pPr>
              <w:pStyle w:val="TableText"/>
              <w:rPr>
                <w:rFonts w:cs="Arial"/>
                <w:b/>
                <w:bCs/>
              </w:rPr>
            </w:pPr>
            <w:r w:rsidRPr="009B7B35">
              <w:rPr>
                <w:rFonts w:cs="Arial"/>
                <w:b/>
                <w:bCs/>
              </w:rPr>
              <w:t>PO15</w:t>
            </w:r>
          </w:p>
          <w:p w14:paraId="4738DF55" w14:textId="77777777" w:rsidR="00BE36FB" w:rsidRPr="009B7B35" w:rsidRDefault="00BE36FB" w:rsidP="001A7107">
            <w:pPr>
              <w:pStyle w:val="TableText"/>
              <w:rPr>
                <w:rFonts w:cs="Arial"/>
              </w:rPr>
            </w:pPr>
            <w:r w:rsidRPr="009B7B35">
              <w:rPr>
                <w:rFonts w:cs="Arial"/>
              </w:rPr>
              <w:t>All uses:</w:t>
            </w:r>
          </w:p>
          <w:p w14:paraId="6BDC9046" w14:textId="77777777" w:rsidR="00BE36FB" w:rsidRPr="009B7B35" w:rsidRDefault="00BE36FB" w:rsidP="00BE36FB">
            <w:pPr>
              <w:pStyle w:val="TableText"/>
              <w:numPr>
                <w:ilvl w:val="0"/>
                <w:numId w:val="367"/>
              </w:numPr>
              <w:rPr>
                <w:rFonts w:cs="Arial"/>
              </w:rPr>
            </w:pPr>
            <w:r w:rsidRPr="009B7B35">
              <w:rPr>
                <w:rFonts w:cs="Arial"/>
              </w:rPr>
              <w:t>minimise noise, dust, odour or other nuisance from existing lawful uses including rural and industrial uses</w:t>
            </w:r>
          </w:p>
          <w:p w14:paraId="0797C9D0" w14:textId="77777777" w:rsidR="00BE36FB" w:rsidRPr="009B7B35" w:rsidRDefault="00BE36FB" w:rsidP="00BE36FB">
            <w:pPr>
              <w:pStyle w:val="TableText"/>
              <w:numPr>
                <w:ilvl w:val="0"/>
                <w:numId w:val="367"/>
              </w:numPr>
              <w:rPr>
                <w:rFonts w:cs="Arial"/>
              </w:rPr>
            </w:pPr>
            <w:r w:rsidRPr="009B7B35">
              <w:rPr>
                <w:rFonts w:cs="Arial"/>
              </w:rPr>
              <w:t>minimise nuisance caused by noise, vibration and dust emissions generated by the state–controlled road and rail network in the vicinity of the land.</w:t>
            </w:r>
          </w:p>
        </w:tc>
        <w:tc>
          <w:tcPr>
            <w:tcW w:w="4678" w:type="dxa"/>
          </w:tcPr>
          <w:p w14:paraId="6525F81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A4224A8" w14:textId="77777777" w:rsidTr="001A7107">
        <w:tc>
          <w:tcPr>
            <w:tcW w:w="4678" w:type="dxa"/>
          </w:tcPr>
          <w:p w14:paraId="011CD56D" w14:textId="77777777" w:rsidR="00BE36FB" w:rsidRPr="009B7B35" w:rsidRDefault="00BE36FB" w:rsidP="001A7107">
            <w:pPr>
              <w:pStyle w:val="TableText"/>
              <w:rPr>
                <w:rFonts w:cs="Arial"/>
                <w:b/>
                <w:bCs/>
              </w:rPr>
            </w:pPr>
            <w:r w:rsidRPr="009B7B35">
              <w:rPr>
                <w:rFonts w:cs="Arial"/>
                <w:b/>
                <w:bCs/>
              </w:rPr>
              <w:t>PO16</w:t>
            </w:r>
          </w:p>
          <w:p w14:paraId="4A347636" w14:textId="77777777" w:rsidR="00BE36FB" w:rsidRPr="009B7B35" w:rsidRDefault="00BE36FB" w:rsidP="001A7107">
            <w:pPr>
              <w:pStyle w:val="TableText"/>
              <w:rPr>
                <w:rFonts w:cs="Arial"/>
              </w:rPr>
            </w:pPr>
            <w:r w:rsidRPr="009B7B35">
              <w:rPr>
                <w:rFonts w:cs="Arial"/>
              </w:rPr>
              <w:t>Development ensures ecological values, habitat corridors and soil and water quality are protected, having regard to:</w:t>
            </w:r>
          </w:p>
          <w:p w14:paraId="59A7D7A0" w14:textId="77777777" w:rsidR="00BE36FB" w:rsidRPr="009B7B35" w:rsidRDefault="00BE36FB" w:rsidP="00BE36FB">
            <w:pPr>
              <w:pStyle w:val="TableText"/>
              <w:numPr>
                <w:ilvl w:val="0"/>
                <w:numId w:val="366"/>
              </w:numPr>
              <w:ind w:left="510" w:hanging="510"/>
              <w:rPr>
                <w:rFonts w:cs="Arial"/>
              </w:rPr>
            </w:pPr>
            <w:r w:rsidRPr="009B7B35">
              <w:rPr>
                <w:rFonts w:cs="Arial"/>
              </w:rPr>
              <w:t>maximising the retention of vegetation and the protection of vegetation from the impacts of development</w:t>
            </w:r>
          </w:p>
          <w:p w14:paraId="1707EA8C" w14:textId="77777777" w:rsidR="00BE36FB" w:rsidRPr="009B7B35" w:rsidRDefault="00BE36FB" w:rsidP="00BE36FB">
            <w:pPr>
              <w:pStyle w:val="TableText"/>
              <w:numPr>
                <w:ilvl w:val="0"/>
                <w:numId w:val="366"/>
              </w:numPr>
              <w:ind w:left="510" w:hanging="510"/>
              <w:rPr>
                <w:rFonts w:cs="Arial"/>
              </w:rPr>
            </w:pPr>
            <w:r w:rsidRPr="009B7B35">
              <w:rPr>
                <w:rFonts w:cs="Arial"/>
              </w:rPr>
              <w:t>minimising the potential for erosion and minimisation of earthworks</w:t>
            </w:r>
          </w:p>
          <w:p w14:paraId="25BDB309" w14:textId="77777777" w:rsidR="00BE36FB" w:rsidRPr="009B7B35" w:rsidRDefault="00BE36FB" w:rsidP="00BE36FB">
            <w:pPr>
              <w:pStyle w:val="TableText"/>
              <w:numPr>
                <w:ilvl w:val="0"/>
                <w:numId w:val="366"/>
              </w:numPr>
              <w:ind w:left="510" w:hanging="510"/>
              <w:rPr>
                <w:rFonts w:cs="Arial"/>
              </w:rPr>
            </w:pPr>
            <w:r w:rsidRPr="009B7B35">
              <w:rPr>
                <w:rFonts w:cs="Arial"/>
              </w:rPr>
              <w:t>maximising the retention and protection of natural drainage lines and hydrological regimes, and</w:t>
            </w:r>
          </w:p>
          <w:p w14:paraId="798A2041" w14:textId="77777777" w:rsidR="00BE36FB" w:rsidRPr="009B7B35" w:rsidRDefault="00BE36FB" w:rsidP="00BE36FB">
            <w:pPr>
              <w:pStyle w:val="TableText"/>
              <w:numPr>
                <w:ilvl w:val="0"/>
                <w:numId w:val="366"/>
              </w:numPr>
              <w:ind w:left="510" w:hanging="510"/>
              <w:rPr>
                <w:rFonts w:cs="Arial"/>
              </w:rPr>
            </w:pPr>
            <w:r w:rsidRPr="009B7B35">
              <w:rPr>
                <w:rFonts w:cs="Arial"/>
              </w:rPr>
              <w:t>avoidance of leeching by nutrients, pesticides or other contaminants, or potential for salinity.</w:t>
            </w:r>
          </w:p>
        </w:tc>
        <w:tc>
          <w:tcPr>
            <w:tcW w:w="4678" w:type="dxa"/>
          </w:tcPr>
          <w:p w14:paraId="43046276"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8932F24" w14:textId="77777777" w:rsidTr="001A7107">
        <w:tc>
          <w:tcPr>
            <w:tcW w:w="9356" w:type="dxa"/>
            <w:gridSpan w:val="2"/>
            <w:shd w:val="clear" w:color="auto" w:fill="BFBFBF" w:themeFill="background1" w:themeFillShade="BF"/>
          </w:tcPr>
          <w:p w14:paraId="7685080F" w14:textId="77777777" w:rsidR="00BE36FB" w:rsidRPr="009B7B35" w:rsidRDefault="00BE36FB" w:rsidP="001A7107">
            <w:pPr>
              <w:pStyle w:val="TableText"/>
              <w:rPr>
                <w:rFonts w:cs="Arial"/>
                <w:b/>
                <w:bCs/>
              </w:rPr>
            </w:pPr>
            <w:r w:rsidRPr="009B7B35">
              <w:rPr>
                <w:rFonts w:cs="Arial"/>
                <w:b/>
                <w:bCs/>
              </w:rPr>
              <w:t>Use – Animal keeping (kennels or catteries)</w:t>
            </w:r>
          </w:p>
        </w:tc>
      </w:tr>
      <w:tr w:rsidR="00BE36FB" w:rsidRPr="009B7B35" w14:paraId="02A5EEBF" w14:textId="77777777" w:rsidTr="001A7107">
        <w:tc>
          <w:tcPr>
            <w:tcW w:w="4678" w:type="dxa"/>
            <w:vMerge w:val="restart"/>
          </w:tcPr>
          <w:p w14:paraId="7184767B" w14:textId="77777777" w:rsidR="00BE36FB" w:rsidRPr="009B7B35" w:rsidRDefault="00BE36FB" w:rsidP="001A7107">
            <w:pPr>
              <w:pStyle w:val="TableText"/>
              <w:rPr>
                <w:rFonts w:cs="Arial"/>
                <w:b/>
                <w:bCs/>
              </w:rPr>
            </w:pPr>
            <w:r w:rsidRPr="009B7B35">
              <w:rPr>
                <w:rFonts w:cs="Arial"/>
                <w:b/>
                <w:bCs/>
              </w:rPr>
              <w:t>PO17</w:t>
            </w:r>
          </w:p>
          <w:p w14:paraId="01C236F0" w14:textId="77777777" w:rsidR="00BE36FB" w:rsidRPr="009B7B35" w:rsidRDefault="00BE36FB" w:rsidP="001A7107">
            <w:pPr>
              <w:pStyle w:val="TableText"/>
              <w:rPr>
                <w:rFonts w:cs="Arial"/>
              </w:rPr>
            </w:pPr>
            <w:r w:rsidRPr="009B7B35">
              <w:rPr>
                <w:rFonts w:cs="Arial"/>
              </w:rPr>
              <w:t>Development is sited, constructed and managed such that:</w:t>
            </w:r>
          </w:p>
          <w:p w14:paraId="12C2382F" w14:textId="77777777" w:rsidR="00BE36FB" w:rsidRPr="009B7B35" w:rsidRDefault="00BE36FB" w:rsidP="00BE36FB">
            <w:pPr>
              <w:pStyle w:val="TableText"/>
              <w:numPr>
                <w:ilvl w:val="0"/>
                <w:numId w:val="365"/>
              </w:numPr>
              <w:rPr>
                <w:rFonts w:cs="Arial"/>
              </w:rPr>
            </w:pPr>
            <w:r w:rsidRPr="009B7B35">
              <w:rPr>
                <w:rFonts w:cs="Arial"/>
              </w:rPr>
              <w:t>animals are securely housed, and</w:t>
            </w:r>
          </w:p>
          <w:p w14:paraId="3FF20FE2" w14:textId="77777777" w:rsidR="00BE36FB" w:rsidRPr="009B7B35" w:rsidRDefault="00BE36FB" w:rsidP="00BE36FB">
            <w:pPr>
              <w:pStyle w:val="TableText"/>
              <w:numPr>
                <w:ilvl w:val="0"/>
                <w:numId w:val="365"/>
              </w:numPr>
              <w:rPr>
                <w:rFonts w:cs="Arial"/>
              </w:rPr>
            </w:pPr>
            <w:r w:rsidRPr="009B7B35">
              <w:rPr>
                <w:rFonts w:cs="Arial"/>
              </w:rPr>
              <w:t>the use does not create an unreasonable nuisance beyond the site boundaries.</w:t>
            </w:r>
          </w:p>
        </w:tc>
        <w:tc>
          <w:tcPr>
            <w:tcW w:w="4678" w:type="dxa"/>
          </w:tcPr>
          <w:p w14:paraId="44583368" w14:textId="77777777" w:rsidR="00BE36FB" w:rsidRPr="009B7B35" w:rsidRDefault="00BE36FB" w:rsidP="001A7107">
            <w:pPr>
              <w:pStyle w:val="TableText"/>
              <w:rPr>
                <w:rFonts w:cs="Arial"/>
                <w:b/>
                <w:bCs/>
              </w:rPr>
            </w:pPr>
            <w:r w:rsidRPr="009B7B35">
              <w:rPr>
                <w:rFonts w:cs="Arial"/>
                <w:b/>
                <w:bCs/>
              </w:rPr>
              <w:t>AO17.1</w:t>
            </w:r>
          </w:p>
          <w:p w14:paraId="06B9029D" w14:textId="77777777" w:rsidR="00BE36FB" w:rsidRPr="009B7B35" w:rsidRDefault="00BE36FB" w:rsidP="001A7107">
            <w:pPr>
              <w:pStyle w:val="TableText"/>
              <w:rPr>
                <w:rFonts w:cs="Arial"/>
              </w:rPr>
            </w:pPr>
            <w:r w:rsidRPr="009B7B35">
              <w:rPr>
                <w:rFonts w:cs="Arial"/>
              </w:rPr>
              <w:t>A minimum site area of 3 hectares is required.</w:t>
            </w:r>
          </w:p>
        </w:tc>
      </w:tr>
      <w:tr w:rsidR="00BE36FB" w:rsidRPr="009B7B35" w14:paraId="2E235388" w14:textId="77777777" w:rsidTr="001A7107">
        <w:tc>
          <w:tcPr>
            <w:tcW w:w="4678" w:type="dxa"/>
            <w:vMerge/>
          </w:tcPr>
          <w:p w14:paraId="32C4C139" w14:textId="77777777" w:rsidR="00BE36FB" w:rsidRPr="009B7B35" w:rsidRDefault="00BE36FB" w:rsidP="001A7107">
            <w:pPr>
              <w:pStyle w:val="TableText"/>
              <w:rPr>
                <w:rFonts w:cs="Arial"/>
              </w:rPr>
            </w:pPr>
          </w:p>
        </w:tc>
        <w:tc>
          <w:tcPr>
            <w:tcW w:w="4678" w:type="dxa"/>
          </w:tcPr>
          <w:p w14:paraId="41356527" w14:textId="77777777" w:rsidR="00BE36FB" w:rsidRPr="009B7B35" w:rsidRDefault="00BE36FB" w:rsidP="001A7107">
            <w:pPr>
              <w:pStyle w:val="TableText"/>
              <w:rPr>
                <w:rFonts w:cs="Arial"/>
                <w:b/>
                <w:bCs/>
              </w:rPr>
            </w:pPr>
            <w:r w:rsidRPr="009B7B35">
              <w:rPr>
                <w:rFonts w:cs="Arial"/>
                <w:b/>
                <w:bCs/>
              </w:rPr>
              <w:t>AO17.2</w:t>
            </w:r>
          </w:p>
          <w:p w14:paraId="3876518D" w14:textId="77777777" w:rsidR="00BE36FB" w:rsidRPr="009B7B35" w:rsidRDefault="00BE36FB" w:rsidP="001A7107">
            <w:pPr>
              <w:pStyle w:val="TableText"/>
              <w:rPr>
                <w:rFonts w:cs="Arial"/>
              </w:rPr>
            </w:pPr>
            <w:r w:rsidRPr="009B7B35">
              <w:rPr>
                <w:rFonts w:cs="Arial"/>
              </w:rPr>
              <w:t xml:space="preserve">Buildings used for animal keeping are constructed with impervious reinforced concrete floors, gravity drained to the effluent collection/treatment point. </w:t>
            </w:r>
          </w:p>
        </w:tc>
      </w:tr>
      <w:tr w:rsidR="00BE36FB" w:rsidRPr="009B7B35" w14:paraId="7BF430A7" w14:textId="77777777" w:rsidTr="001A7107">
        <w:tc>
          <w:tcPr>
            <w:tcW w:w="4678" w:type="dxa"/>
            <w:vMerge/>
          </w:tcPr>
          <w:p w14:paraId="1C4862EC" w14:textId="77777777" w:rsidR="00BE36FB" w:rsidRPr="009B7B35" w:rsidRDefault="00BE36FB" w:rsidP="001A7107">
            <w:pPr>
              <w:pStyle w:val="TableText"/>
              <w:rPr>
                <w:rFonts w:cs="Arial"/>
              </w:rPr>
            </w:pPr>
          </w:p>
        </w:tc>
        <w:tc>
          <w:tcPr>
            <w:tcW w:w="4678" w:type="dxa"/>
          </w:tcPr>
          <w:p w14:paraId="2007BB66" w14:textId="77777777" w:rsidR="00BE36FB" w:rsidRPr="009B7B35" w:rsidRDefault="00BE36FB" w:rsidP="001A7107">
            <w:pPr>
              <w:pStyle w:val="TableText"/>
              <w:rPr>
                <w:rFonts w:cs="Arial"/>
                <w:b/>
                <w:bCs/>
              </w:rPr>
            </w:pPr>
            <w:r w:rsidRPr="009B7B35">
              <w:rPr>
                <w:rFonts w:cs="Arial"/>
                <w:b/>
                <w:bCs/>
              </w:rPr>
              <w:t>AO17.3</w:t>
            </w:r>
          </w:p>
          <w:p w14:paraId="63ACEC5A" w14:textId="77777777" w:rsidR="00BE36FB" w:rsidRPr="009B7B35" w:rsidRDefault="00BE36FB" w:rsidP="001A7107">
            <w:pPr>
              <w:pStyle w:val="TableText"/>
              <w:rPr>
                <w:rFonts w:cs="Arial"/>
              </w:rPr>
            </w:pPr>
            <w:r w:rsidRPr="009B7B35">
              <w:rPr>
                <w:rFonts w:cs="Arial"/>
              </w:rPr>
              <w:t xml:space="preserve">Animal proof fencing or other appropriate barrier features are provided to a minimum height of 1.8m within the site to prevent the escape of animals. </w:t>
            </w:r>
          </w:p>
        </w:tc>
      </w:tr>
      <w:tr w:rsidR="00BE36FB" w:rsidRPr="009B7B35" w14:paraId="5C3EC1E1" w14:textId="77777777" w:rsidTr="001A7107">
        <w:tc>
          <w:tcPr>
            <w:tcW w:w="4678" w:type="dxa"/>
            <w:vMerge/>
          </w:tcPr>
          <w:p w14:paraId="61FB6F73" w14:textId="77777777" w:rsidR="00BE36FB" w:rsidRPr="009B7B35" w:rsidRDefault="00BE36FB" w:rsidP="001A7107">
            <w:pPr>
              <w:pStyle w:val="TableText"/>
              <w:rPr>
                <w:rFonts w:cs="Arial"/>
              </w:rPr>
            </w:pPr>
          </w:p>
        </w:tc>
        <w:tc>
          <w:tcPr>
            <w:tcW w:w="4678" w:type="dxa"/>
          </w:tcPr>
          <w:p w14:paraId="05EF877E" w14:textId="77777777" w:rsidR="00BE36FB" w:rsidRPr="009B7B35" w:rsidRDefault="00BE36FB" w:rsidP="001A7107">
            <w:pPr>
              <w:pStyle w:val="TableText"/>
              <w:rPr>
                <w:rFonts w:cs="Arial"/>
                <w:b/>
                <w:bCs/>
              </w:rPr>
            </w:pPr>
            <w:r w:rsidRPr="009B7B35">
              <w:rPr>
                <w:rFonts w:cs="Arial"/>
                <w:b/>
                <w:bCs/>
              </w:rPr>
              <w:t>AO17.4</w:t>
            </w:r>
          </w:p>
          <w:p w14:paraId="512D91CA" w14:textId="77777777" w:rsidR="00BE36FB" w:rsidRPr="009B7B35" w:rsidRDefault="00BE36FB" w:rsidP="001A7107">
            <w:pPr>
              <w:pStyle w:val="TableText"/>
              <w:rPr>
                <w:rFonts w:cs="Arial"/>
              </w:rPr>
            </w:pPr>
            <w:r w:rsidRPr="009B7B35">
              <w:rPr>
                <w:rFonts w:cs="Arial"/>
              </w:rPr>
              <w:t>Kennels or catteries are a minimum of 1km from an existing sensitive land use.</w:t>
            </w:r>
          </w:p>
        </w:tc>
      </w:tr>
      <w:tr w:rsidR="00BE36FB" w:rsidRPr="009B7B35" w14:paraId="1CB2BF2F" w14:textId="77777777" w:rsidTr="001A7107">
        <w:trPr>
          <w:trHeight w:val="1139"/>
        </w:trPr>
        <w:tc>
          <w:tcPr>
            <w:tcW w:w="4678" w:type="dxa"/>
            <w:vMerge/>
          </w:tcPr>
          <w:p w14:paraId="6EA0CA39" w14:textId="77777777" w:rsidR="00BE36FB" w:rsidRPr="009B7B35" w:rsidRDefault="00BE36FB" w:rsidP="001A7107">
            <w:pPr>
              <w:pStyle w:val="TableText"/>
              <w:rPr>
                <w:rFonts w:cs="Arial"/>
              </w:rPr>
            </w:pPr>
          </w:p>
        </w:tc>
        <w:tc>
          <w:tcPr>
            <w:tcW w:w="4678" w:type="dxa"/>
          </w:tcPr>
          <w:p w14:paraId="297AE5B8" w14:textId="77777777" w:rsidR="00BE36FB" w:rsidRPr="009B7B35" w:rsidRDefault="00BE36FB" w:rsidP="001A7107">
            <w:pPr>
              <w:pStyle w:val="TableText"/>
              <w:rPr>
                <w:rFonts w:cs="Arial"/>
                <w:b/>
              </w:rPr>
            </w:pPr>
            <w:r w:rsidRPr="009B7B35">
              <w:rPr>
                <w:rFonts w:cs="Arial"/>
                <w:b/>
              </w:rPr>
              <w:t>AO17.5</w:t>
            </w:r>
          </w:p>
          <w:p w14:paraId="6ACB84CE" w14:textId="77777777" w:rsidR="00BE36FB" w:rsidRPr="009B7B35" w:rsidRDefault="00BE36FB" w:rsidP="001A7107">
            <w:pPr>
              <w:pStyle w:val="TableText"/>
              <w:rPr>
                <w:rFonts w:cs="Arial"/>
                <w:b/>
                <w:bCs/>
              </w:rPr>
            </w:pPr>
            <w:r w:rsidRPr="009B7B35">
              <w:rPr>
                <w:rFonts w:cs="Arial"/>
              </w:rPr>
              <w:t>Animals are kept in fenced enclosures, inside buildings at all times between the hours of 6pm and 7am</w:t>
            </w:r>
          </w:p>
        </w:tc>
      </w:tr>
      <w:tr w:rsidR="00BE36FB" w:rsidRPr="009B7B35" w14:paraId="01954F7D" w14:textId="77777777" w:rsidTr="001A7107">
        <w:tc>
          <w:tcPr>
            <w:tcW w:w="4678" w:type="dxa"/>
            <w:vMerge/>
          </w:tcPr>
          <w:p w14:paraId="105D3ABB" w14:textId="77777777" w:rsidR="00BE36FB" w:rsidRPr="009B7B35" w:rsidRDefault="00BE36FB" w:rsidP="001A7107">
            <w:pPr>
              <w:pStyle w:val="TableText"/>
              <w:rPr>
                <w:rFonts w:cs="Arial"/>
              </w:rPr>
            </w:pPr>
          </w:p>
        </w:tc>
        <w:tc>
          <w:tcPr>
            <w:tcW w:w="4678" w:type="dxa"/>
          </w:tcPr>
          <w:p w14:paraId="63A2C470" w14:textId="77777777" w:rsidR="00BE36FB" w:rsidRPr="009B7B35" w:rsidRDefault="00BE36FB" w:rsidP="001A7107">
            <w:pPr>
              <w:pStyle w:val="TableText"/>
              <w:rPr>
                <w:rFonts w:cs="Arial"/>
                <w:b/>
                <w:bCs/>
              </w:rPr>
            </w:pPr>
            <w:r w:rsidRPr="009B7B35">
              <w:rPr>
                <w:rFonts w:cs="Arial"/>
                <w:b/>
                <w:bCs/>
              </w:rPr>
              <w:t>AO17.</w:t>
            </w:r>
            <w:r w:rsidRPr="009B7B35">
              <w:rPr>
                <w:rFonts w:cs="Arial"/>
                <w:b/>
              </w:rPr>
              <w:t>6</w:t>
            </w:r>
          </w:p>
          <w:p w14:paraId="7656F8D7" w14:textId="77777777" w:rsidR="00BE36FB" w:rsidRPr="009B7B35" w:rsidRDefault="00BE36FB" w:rsidP="001A7107">
            <w:pPr>
              <w:pStyle w:val="TableText"/>
              <w:rPr>
                <w:rFonts w:cs="Arial"/>
              </w:rPr>
            </w:pPr>
            <w:r w:rsidRPr="009B7B35">
              <w:rPr>
                <w:rFonts w:cs="Arial"/>
              </w:rPr>
              <w:t>A person who is responsible for the supervision of the operation of the development is accommodated on the premises at all times.</w:t>
            </w:r>
          </w:p>
        </w:tc>
      </w:tr>
      <w:tr w:rsidR="00BE36FB" w:rsidRPr="009B7B35" w14:paraId="1370263A" w14:textId="77777777" w:rsidTr="001A7107">
        <w:tc>
          <w:tcPr>
            <w:tcW w:w="4678" w:type="dxa"/>
            <w:vMerge/>
          </w:tcPr>
          <w:p w14:paraId="581719CB" w14:textId="77777777" w:rsidR="00BE36FB" w:rsidRPr="009B7B35" w:rsidRDefault="00BE36FB" w:rsidP="001A7107">
            <w:pPr>
              <w:pStyle w:val="TableText"/>
              <w:rPr>
                <w:rFonts w:cs="Arial"/>
              </w:rPr>
            </w:pPr>
          </w:p>
        </w:tc>
        <w:tc>
          <w:tcPr>
            <w:tcW w:w="4678" w:type="dxa"/>
          </w:tcPr>
          <w:p w14:paraId="0945611C" w14:textId="77777777" w:rsidR="00BE36FB" w:rsidRPr="009B7B35" w:rsidRDefault="00BE36FB" w:rsidP="001A7107">
            <w:pPr>
              <w:pStyle w:val="TableText"/>
              <w:rPr>
                <w:rFonts w:cs="Arial"/>
                <w:b/>
                <w:bCs/>
              </w:rPr>
            </w:pPr>
            <w:r w:rsidRPr="009B7B35">
              <w:rPr>
                <w:rFonts w:cs="Arial"/>
                <w:b/>
                <w:bCs/>
              </w:rPr>
              <w:t>AO17.</w:t>
            </w:r>
            <w:r w:rsidRPr="009B7B35">
              <w:rPr>
                <w:rFonts w:cs="Arial"/>
                <w:b/>
              </w:rPr>
              <w:t>7</w:t>
            </w:r>
          </w:p>
          <w:p w14:paraId="45AB1E60" w14:textId="77777777" w:rsidR="00BE36FB" w:rsidRPr="009B7B35" w:rsidRDefault="00BE36FB" w:rsidP="001A7107">
            <w:pPr>
              <w:pStyle w:val="TableText"/>
              <w:spacing w:after="120"/>
              <w:rPr>
                <w:rFonts w:cs="Arial"/>
              </w:rPr>
            </w:pPr>
            <w:r w:rsidRPr="009B7B35">
              <w:rPr>
                <w:rFonts w:cs="Arial"/>
              </w:rPr>
              <w:t>Animal enclosures are set back to roads, streets and water resources as follows:</w:t>
            </w:r>
          </w:p>
          <w:tbl>
            <w:tblPr>
              <w:tblStyle w:val="Tablestyle"/>
              <w:tblW w:w="0" w:type="auto"/>
              <w:tblLook w:val="0600" w:firstRow="0" w:lastRow="0" w:firstColumn="0" w:lastColumn="0" w:noHBand="1" w:noVBand="1"/>
            </w:tblPr>
            <w:tblGrid>
              <w:gridCol w:w="3567"/>
              <w:gridCol w:w="813"/>
            </w:tblGrid>
            <w:tr w:rsidR="00BE36FB" w:rsidRPr="009B7B35" w14:paraId="006ABD4A" w14:textId="77777777" w:rsidTr="001A7107">
              <w:tc>
                <w:tcPr>
                  <w:tcW w:w="3567" w:type="dxa"/>
                </w:tcPr>
                <w:p w14:paraId="50B93359" w14:textId="77777777" w:rsidR="00BE36FB" w:rsidRPr="009B7B35" w:rsidRDefault="00BE36FB" w:rsidP="001A7107">
                  <w:pPr>
                    <w:pStyle w:val="TableText"/>
                    <w:rPr>
                      <w:rFonts w:cs="Arial"/>
                    </w:rPr>
                  </w:pPr>
                  <w:r w:rsidRPr="009B7B35">
                    <w:rPr>
                      <w:rFonts w:cs="Arial"/>
                    </w:rPr>
                    <w:t>Road frontages</w:t>
                  </w:r>
                </w:p>
              </w:tc>
              <w:tc>
                <w:tcPr>
                  <w:tcW w:w="813" w:type="dxa"/>
                </w:tcPr>
                <w:p w14:paraId="6BF3BB71" w14:textId="77777777" w:rsidR="00BE36FB" w:rsidRPr="009B7B35" w:rsidRDefault="00BE36FB" w:rsidP="001A7107">
                  <w:pPr>
                    <w:pStyle w:val="TableText"/>
                    <w:rPr>
                      <w:rFonts w:cs="Arial"/>
                    </w:rPr>
                  </w:pPr>
                  <w:r w:rsidRPr="009B7B35">
                    <w:rPr>
                      <w:rFonts w:cs="Arial"/>
                    </w:rPr>
                    <w:t>50m</w:t>
                  </w:r>
                </w:p>
              </w:tc>
            </w:tr>
            <w:tr w:rsidR="00BE36FB" w:rsidRPr="009B7B35" w14:paraId="5495F70B" w14:textId="77777777" w:rsidTr="001A7107">
              <w:tc>
                <w:tcPr>
                  <w:tcW w:w="3567" w:type="dxa"/>
                </w:tcPr>
                <w:p w14:paraId="19EC6E44" w14:textId="77777777" w:rsidR="00BE36FB" w:rsidRPr="009B7B35" w:rsidRDefault="00BE36FB" w:rsidP="001A7107">
                  <w:pPr>
                    <w:pStyle w:val="TableText"/>
                    <w:rPr>
                      <w:rFonts w:cs="Arial"/>
                    </w:rPr>
                  </w:pPr>
                  <w:r w:rsidRPr="009B7B35">
                    <w:rPr>
                      <w:rFonts w:cs="Arial"/>
                    </w:rPr>
                    <w:t>Top bank of creek, river, stream, wetland, edge of well, bore, dam, weir, intake or the like which provides potable water supply to the site or surrounds</w:t>
                  </w:r>
                </w:p>
              </w:tc>
              <w:tc>
                <w:tcPr>
                  <w:tcW w:w="813" w:type="dxa"/>
                </w:tcPr>
                <w:p w14:paraId="1E4EEAE4" w14:textId="77777777" w:rsidR="00BE36FB" w:rsidRPr="009B7B35" w:rsidRDefault="00BE36FB" w:rsidP="001A7107">
                  <w:pPr>
                    <w:pStyle w:val="TableText"/>
                    <w:rPr>
                      <w:rFonts w:cs="Arial"/>
                    </w:rPr>
                  </w:pPr>
                  <w:r w:rsidRPr="009B7B35">
                    <w:rPr>
                      <w:rFonts w:cs="Arial"/>
                    </w:rPr>
                    <w:t>100m</w:t>
                  </w:r>
                </w:p>
              </w:tc>
            </w:tr>
            <w:tr w:rsidR="00BE36FB" w:rsidRPr="009B7B35" w14:paraId="459932BA" w14:textId="77777777" w:rsidTr="001A7107">
              <w:tc>
                <w:tcPr>
                  <w:tcW w:w="3567" w:type="dxa"/>
                </w:tcPr>
                <w:p w14:paraId="18334AC3" w14:textId="77777777" w:rsidR="00BE36FB" w:rsidRPr="009B7B35" w:rsidRDefault="00BE36FB" w:rsidP="001A7107">
                  <w:pPr>
                    <w:pStyle w:val="TableText"/>
                    <w:rPr>
                      <w:rFonts w:cs="Arial"/>
                    </w:rPr>
                  </w:pPr>
                  <w:r w:rsidRPr="009B7B35">
                    <w:rPr>
                      <w:rFonts w:cs="Arial"/>
                    </w:rPr>
                    <w:t>Top bank of dry or perennial gully</w:t>
                  </w:r>
                </w:p>
              </w:tc>
              <w:tc>
                <w:tcPr>
                  <w:tcW w:w="813" w:type="dxa"/>
                </w:tcPr>
                <w:p w14:paraId="02C7C9E6" w14:textId="77777777" w:rsidR="00BE36FB" w:rsidRPr="009B7B35" w:rsidRDefault="00BE36FB" w:rsidP="001A7107">
                  <w:pPr>
                    <w:pStyle w:val="TableText"/>
                    <w:rPr>
                      <w:rFonts w:cs="Arial"/>
                    </w:rPr>
                  </w:pPr>
                  <w:r w:rsidRPr="009B7B35">
                    <w:rPr>
                      <w:rFonts w:cs="Arial"/>
                    </w:rPr>
                    <w:t>30m</w:t>
                  </w:r>
                </w:p>
              </w:tc>
            </w:tr>
          </w:tbl>
          <w:p w14:paraId="213BEFED" w14:textId="77777777" w:rsidR="00BE36FB" w:rsidRPr="009B7B35" w:rsidRDefault="00BE36FB" w:rsidP="001A7107">
            <w:pPr>
              <w:pStyle w:val="TableText"/>
              <w:rPr>
                <w:rFonts w:cs="Arial"/>
              </w:rPr>
            </w:pPr>
          </w:p>
        </w:tc>
      </w:tr>
      <w:tr w:rsidR="00BE36FB" w:rsidRPr="009B7B35" w14:paraId="06C702F3" w14:textId="77777777" w:rsidTr="001A7107">
        <w:tc>
          <w:tcPr>
            <w:tcW w:w="9356" w:type="dxa"/>
            <w:gridSpan w:val="2"/>
            <w:shd w:val="clear" w:color="auto" w:fill="BFBFBF" w:themeFill="background1" w:themeFillShade="BF"/>
          </w:tcPr>
          <w:p w14:paraId="50772B5A" w14:textId="77777777" w:rsidR="00BE36FB" w:rsidRPr="009B7B35" w:rsidRDefault="00BE36FB">
            <w:pPr>
              <w:pStyle w:val="Tableheading"/>
              <w:rPr>
                <w:rFonts w:ascii="Arial" w:hAnsi="Arial" w:cs="Arial"/>
                <w:szCs w:val="20"/>
              </w:rPr>
            </w:pPr>
            <w:r w:rsidRPr="009B7B35">
              <w:rPr>
                <w:rFonts w:ascii="Arial" w:hAnsi="Arial" w:cs="Arial"/>
                <w:szCs w:val="20"/>
              </w:rPr>
              <w:t>Uses – Bulk landscaping supplies, Rural industry, Wholesale nursery and Garden centre</w:t>
            </w:r>
          </w:p>
        </w:tc>
      </w:tr>
      <w:tr w:rsidR="00BE36FB" w:rsidRPr="009B7B35" w14:paraId="4B5D71D4" w14:textId="77777777" w:rsidTr="001A7107">
        <w:tc>
          <w:tcPr>
            <w:tcW w:w="4678" w:type="dxa"/>
            <w:vMerge w:val="restart"/>
          </w:tcPr>
          <w:p w14:paraId="1BC8E34B" w14:textId="77777777" w:rsidR="00BE36FB" w:rsidRPr="009B7B35" w:rsidRDefault="00BE36FB" w:rsidP="001A7107">
            <w:pPr>
              <w:pStyle w:val="TableText"/>
              <w:rPr>
                <w:rFonts w:cs="Arial"/>
                <w:b/>
                <w:bCs/>
              </w:rPr>
            </w:pPr>
            <w:r w:rsidRPr="009B7B35">
              <w:rPr>
                <w:rFonts w:cs="Arial"/>
                <w:b/>
                <w:bCs/>
              </w:rPr>
              <w:t>PO18</w:t>
            </w:r>
          </w:p>
          <w:p w14:paraId="04C484DF" w14:textId="77777777" w:rsidR="00BE36FB" w:rsidRPr="009B7B35" w:rsidRDefault="00BE36FB" w:rsidP="001A7107">
            <w:pPr>
              <w:pStyle w:val="TableText"/>
              <w:rPr>
                <w:rFonts w:cs="Arial"/>
              </w:rPr>
            </w:pPr>
            <w:r w:rsidRPr="009B7B35">
              <w:rPr>
                <w:rFonts w:cs="Arial"/>
              </w:rPr>
              <w:t>Development is located and designed on sites of sufficient size, to minimise adverse impacts on:</w:t>
            </w:r>
          </w:p>
          <w:p w14:paraId="022A2393" w14:textId="77777777" w:rsidR="00BE36FB" w:rsidRPr="009B7B35" w:rsidRDefault="00BE36FB" w:rsidP="00BE36FB">
            <w:pPr>
              <w:pStyle w:val="TableText"/>
              <w:numPr>
                <w:ilvl w:val="0"/>
                <w:numId w:val="150"/>
              </w:numPr>
              <w:rPr>
                <w:rFonts w:cs="Arial"/>
              </w:rPr>
            </w:pPr>
            <w:r w:rsidRPr="009B7B35">
              <w:rPr>
                <w:rFonts w:cs="Arial"/>
              </w:rPr>
              <w:t>the amenity of the setting, in particular noise, odour and dust emissions</w:t>
            </w:r>
          </w:p>
          <w:p w14:paraId="25A37999" w14:textId="77777777" w:rsidR="00BE36FB" w:rsidRPr="009B7B35" w:rsidRDefault="00BE36FB" w:rsidP="00BE36FB">
            <w:pPr>
              <w:pStyle w:val="TableText"/>
              <w:numPr>
                <w:ilvl w:val="0"/>
                <w:numId w:val="150"/>
              </w:numPr>
              <w:rPr>
                <w:rFonts w:cs="Arial"/>
              </w:rPr>
            </w:pPr>
            <w:r w:rsidRPr="009B7B35">
              <w:rPr>
                <w:rFonts w:cs="Arial"/>
              </w:rPr>
              <w:t>the amenity of neighbours, and</w:t>
            </w:r>
          </w:p>
          <w:p w14:paraId="0B7CA918" w14:textId="77777777" w:rsidR="00BE36FB" w:rsidRPr="009B7B35" w:rsidRDefault="00BE36FB" w:rsidP="00BE36FB">
            <w:pPr>
              <w:pStyle w:val="TableText"/>
              <w:numPr>
                <w:ilvl w:val="0"/>
                <w:numId w:val="150"/>
              </w:numPr>
              <w:rPr>
                <w:rFonts w:cs="Arial"/>
              </w:rPr>
            </w:pPr>
            <w:r w:rsidRPr="009B7B35">
              <w:rPr>
                <w:rFonts w:cs="Arial"/>
              </w:rPr>
              <w:t>operating within the safe and effective design capacity of the region’s road system.</w:t>
            </w:r>
          </w:p>
        </w:tc>
        <w:tc>
          <w:tcPr>
            <w:tcW w:w="4678" w:type="dxa"/>
          </w:tcPr>
          <w:p w14:paraId="486FC546" w14:textId="77777777" w:rsidR="00BE36FB" w:rsidRPr="009B7B35" w:rsidRDefault="00BE36FB" w:rsidP="001A7107">
            <w:pPr>
              <w:pStyle w:val="TableText"/>
              <w:rPr>
                <w:rFonts w:cs="Arial"/>
                <w:b/>
                <w:bCs/>
              </w:rPr>
            </w:pPr>
            <w:r w:rsidRPr="009B7B35">
              <w:rPr>
                <w:rFonts w:cs="Arial"/>
                <w:b/>
                <w:bCs/>
              </w:rPr>
              <w:t>AO18.1</w:t>
            </w:r>
          </w:p>
          <w:p w14:paraId="02EFFA2E" w14:textId="77777777" w:rsidR="00BE36FB" w:rsidRPr="009B7B35" w:rsidRDefault="00BE36FB" w:rsidP="001A7107">
            <w:pPr>
              <w:pStyle w:val="TableText"/>
              <w:rPr>
                <w:rFonts w:cs="Arial"/>
              </w:rPr>
            </w:pPr>
            <w:r w:rsidRPr="009B7B35">
              <w:rPr>
                <w:rFonts w:cs="Arial"/>
              </w:rPr>
              <w:t xml:space="preserve">A minimum site area of 2 hectares is required. </w:t>
            </w:r>
          </w:p>
        </w:tc>
      </w:tr>
      <w:tr w:rsidR="00BE36FB" w:rsidRPr="009B7B35" w14:paraId="7DD81BF4" w14:textId="77777777" w:rsidTr="001A7107">
        <w:tc>
          <w:tcPr>
            <w:tcW w:w="4678" w:type="dxa"/>
            <w:vMerge/>
          </w:tcPr>
          <w:p w14:paraId="5AE4B7EB" w14:textId="77777777" w:rsidR="00BE36FB" w:rsidRPr="009B7B35" w:rsidRDefault="00BE36FB" w:rsidP="001A7107">
            <w:pPr>
              <w:pStyle w:val="TableText"/>
              <w:rPr>
                <w:rFonts w:cs="Arial"/>
              </w:rPr>
            </w:pPr>
          </w:p>
        </w:tc>
        <w:tc>
          <w:tcPr>
            <w:tcW w:w="4678" w:type="dxa"/>
          </w:tcPr>
          <w:p w14:paraId="1370A46A" w14:textId="77777777" w:rsidR="00BE36FB" w:rsidRPr="009B7B35" w:rsidRDefault="00BE36FB" w:rsidP="001A7107">
            <w:pPr>
              <w:pStyle w:val="TableText"/>
              <w:rPr>
                <w:rFonts w:cs="Arial"/>
                <w:b/>
                <w:bCs/>
              </w:rPr>
            </w:pPr>
            <w:r w:rsidRPr="009B7B35">
              <w:rPr>
                <w:rFonts w:cs="Arial"/>
                <w:b/>
                <w:bCs/>
              </w:rPr>
              <w:t>AO18.2</w:t>
            </w:r>
          </w:p>
          <w:p w14:paraId="63603B84" w14:textId="77777777" w:rsidR="00BE36FB" w:rsidRPr="009B7B35" w:rsidRDefault="00BE36FB" w:rsidP="001A7107">
            <w:pPr>
              <w:pStyle w:val="TableText"/>
              <w:rPr>
                <w:rFonts w:cs="Arial"/>
              </w:rPr>
            </w:pPr>
            <w:r w:rsidRPr="009B7B35">
              <w:rPr>
                <w:rFonts w:cs="Arial"/>
              </w:rPr>
              <w:t>A minimum 15m setback is required from any adjoining property boundary.</w:t>
            </w:r>
          </w:p>
        </w:tc>
      </w:tr>
      <w:tr w:rsidR="00BE36FB" w:rsidRPr="009B7B35" w14:paraId="75D21C1F" w14:textId="77777777" w:rsidTr="001A7107">
        <w:tc>
          <w:tcPr>
            <w:tcW w:w="4678" w:type="dxa"/>
            <w:vMerge/>
          </w:tcPr>
          <w:p w14:paraId="66B55A25" w14:textId="77777777" w:rsidR="00BE36FB" w:rsidRPr="009B7B35" w:rsidRDefault="00BE36FB" w:rsidP="001A7107">
            <w:pPr>
              <w:pStyle w:val="TableText"/>
              <w:rPr>
                <w:rFonts w:cs="Arial"/>
              </w:rPr>
            </w:pPr>
          </w:p>
        </w:tc>
        <w:tc>
          <w:tcPr>
            <w:tcW w:w="4678" w:type="dxa"/>
          </w:tcPr>
          <w:p w14:paraId="56503D0B" w14:textId="77777777" w:rsidR="00BE36FB" w:rsidRPr="009B7B35" w:rsidRDefault="00BE36FB" w:rsidP="001A7107">
            <w:pPr>
              <w:pStyle w:val="TableText"/>
              <w:rPr>
                <w:rFonts w:cs="Arial"/>
                <w:b/>
                <w:bCs/>
              </w:rPr>
            </w:pPr>
            <w:r w:rsidRPr="009B7B35">
              <w:rPr>
                <w:rFonts w:cs="Arial"/>
                <w:b/>
                <w:bCs/>
              </w:rPr>
              <w:t>AO18.3</w:t>
            </w:r>
          </w:p>
          <w:p w14:paraId="5F42B5A5" w14:textId="77777777" w:rsidR="00BE36FB" w:rsidRPr="009B7B35" w:rsidRDefault="00BE36FB">
            <w:pPr>
              <w:pStyle w:val="TableText"/>
              <w:rPr>
                <w:rFonts w:cs="Arial"/>
              </w:rPr>
            </w:pPr>
            <w:r w:rsidRPr="009B7B35">
              <w:rPr>
                <w:rFonts w:cs="Arial"/>
              </w:rPr>
              <w:t>Sales, storage, handling, packaging and production areas are setback a minimum of:</w:t>
            </w:r>
          </w:p>
          <w:p w14:paraId="1D3F754D" w14:textId="77777777" w:rsidR="00BE36FB" w:rsidRPr="009B7B35" w:rsidRDefault="00BE36FB" w:rsidP="00BE36FB">
            <w:pPr>
              <w:pStyle w:val="TableText"/>
              <w:numPr>
                <w:ilvl w:val="0"/>
                <w:numId w:val="364"/>
              </w:numPr>
              <w:rPr>
                <w:rFonts w:cs="Arial"/>
              </w:rPr>
            </w:pPr>
            <w:r w:rsidRPr="009B7B35">
              <w:rPr>
                <w:rFonts w:cs="Arial"/>
              </w:rPr>
              <w:t>100m from any accommodation activity (50m for Garden centre)</w:t>
            </w:r>
          </w:p>
          <w:p w14:paraId="2683D634" w14:textId="77777777" w:rsidR="00BE36FB" w:rsidRPr="009B7B35" w:rsidRDefault="00BE36FB" w:rsidP="00BE36FB">
            <w:pPr>
              <w:pStyle w:val="TableText"/>
              <w:numPr>
                <w:ilvl w:val="0"/>
                <w:numId w:val="364"/>
              </w:numPr>
              <w:rPr>
                <w:rFonts w:cs="Arial"/>
              </w:rPr>
            </w:pPr>
            <w:r w:rsidRPr="009B7B35">
              <w:rPr>
                <w:rFonts w:cs="Arial"/>
              </w:rPr>
              <w:t>50m from state–controlled roads and 20m from all other roads</w:t>
            </w:r>
          </w:p>
          <w:p w14:paraId="2ABD4A74" w14:textId="77777777" w:rsidR="00BE36FB" w:rsidRPr="009B7B35" w:rsidRDefault="00BE36FB" w:rsidP="00BE36FB">
            <w:pPr>
              <w:pStyle w:val="TableText"/>
              <w:numPr>
                <w:ilvl w:val="0"/>
                <w:numId w:val="364"/>
              </w:numPr>
              <w:rPr>
                <w:rFonts w:cs="Arial"/>
              </w:rPr>
            </w:pPr>
            <w:r w:rsidRPr="009B7B35">
              <w:rPr>
                <w:rFonts w:cs="Arial"/>
              </w:rPr>
              <w:t>20m from any residential dwelling on the same or neighbouring site (10m for Garden centre)</w:t>
            </w:r>
          </w:p>
          <w:p w14:paraId="3ADE1B82" w14:textId="77777777" w:rsidR="00BE36FB" w:rsidRPr="009B7B35" w:rsidRDefault="00BE36FB" w:rsidP="00BE36FB">
            <w:pPr>
              <w:pStyle w:val="TableText"/>
              <w:numPr>
                <w:ilvl w:val="0"/>
                <w:numId w:val="364"/>
              </w:numPr>
              <w:rPr>
                <w:rFonts w:cs="Arial"/>
              </w:rPr>
            </w:pPr>
            <w:r w:rsidRPr="009B7B35">
              <w:rPr>
                <w:rFonts w:cs="Arial"/>
              </w:rPr>
              <w:t>30m from top bank of creek, river, stream or wetland edge of well, bore, dam, weir, or intake that provides potable water.</w:t>
            </w:r>
          </w:p>
        </w:tc>
      </w:tr>
      <w:tr w:rsidR="00BE36FB" w:rsidRPr="009B7B35" w14:paraId="416D6A77" w14:textId="77777777" w:rsidTr="001A7107">
        <w:tc>
          <w:tcPr>
            <w:tcW w:w="4678" w:type="dxa"/>
            <w:vMerge/>
          </w:tcPr>
          <w:p w14:paraId="188DBF8F" w14:textId="77777777" w:rsidR="00BE36FB" w:rsidRPr="009B7B35" w:rsidRDefault="00BE36FB" w:rsidP="001A7107">
            <w:pPr>
              <w:pStyle w:val="TableText"/>
              <w:rPr>
                <w:rFonts w:cs="Arial"/>
              </w:rPr>
            </w:pPr>
          </w:p>
        </w:tc>
        <w:tc>
          <w:tcPr>
            <w:tcW w:w="4678" w:type="dxa"/>
          </w:tcPr>
          <w:p w14:paraId="10FA92D0" w14:textId="77777777" w:rsidR="00BE36FB" w:rsidRPr="009B7B35" w:rsidRDefault="00BE36FB" w:rsidP="001A7107">
            <w:pPr>
              <w:pStyle w:val="TableText"/>
              <w:rPr>
                <w:rFonts w:cs="Arial"/>
                <w:b/>
                <w:bCs/>
              </w:rPr>
            </w:pPr>
            <w:r w:rsidRPr="009B7B35">
              <w:rPr>
                <w:rFonts w:cs="Arial"/>
                <w:b/>
                <w:bCs/>
              </w:rPr>
              <w:t>AO18.4</w:t>
            </w:r>
          </w:p>
          <w:p w14:paraId="77DF0270" w14:textId="77777777" w:rsidR="00BE36FB" w:rsidRPr="009B7B35" w:rsidRDefault="00BE36FB">
            <w:pPr>
              <w:pStyle w:val="TableText"/>
              <w:rPr>
                <w:rFonts w:cs="Arial"/>
              </w:rPr>
            </w:pPr>
            <w:r w:rsidRPr="009B7B35">
              <w:rPr>
                <w:rFonts w:cs="Arial"/>
              </w:rPr>
              <w:t>Infrastructure and material storage areas are confined to free draining areas and sites on slopes not exceeding 10%.</w:t>
            </w:r>
          </w:p>
        </w:tc>
      </w:tr>
      <w:tr w:rsidR="00BE36FB" w:rsidRPr="009B7B35" w14:paraId="5B5FF4BF" w14:textId="77777777" w:rsidTr="001A7107">
        <w:tc>
          <w:tcPr>
            <w:tcW w:w="4678" w:type="dxa"/>
            <w:vMerge/>
          </w:tcPr>
          <w:p w14:paraId="1D9A20BD" w14:textId="77777777" w:rsidR="00BE36FB" w:rsidRPr="009B7B35" w:rsidRDefault="00BE36FB" w:rsidP="001A7107">
            <w:pPr>
              <w:pStyle w:val="TableText"/>
              <w:rPr>
                <w:rFonts w:cs="Arial"/>
              </w:rPr>
            </w:pPr>
          </w:p>
        </w:tc>
        <w:tc>
          <w:tcPr>
            <w:tcW w:w="4678" w:type="dxa"/>
          </w:tcPr>
          <w:p w14:paraId="3CE6AD68" w14:textId="77777777" w:rsidR="00BE36FB" w:rsidRPr="009B7B35" w:rsidRDefault="00BE36FB" w:rsidP="001A7107">
            <w:pPr>
              <w:pStyle w:val="TableText"/>
              <w:rPr>
                <w:rFonts w:cs="Arial"/>
                <w:b/>
                <w:bCs/>
              </w:rPr>
            </w:pPr>
            <w:r w:rsidRPr="009B7B35">
              <w:rPr>
                <w:rFonts w:cs="Arial"/>
                <w:b/>
                <w:bCs/>
              </w:rPr>
              <w:t>AO18.5</w:t>
            </w:r>
          </w:p>
          <w:p w14:paraId="789731D7" w14:textId="77777777" w:rsidR="00BE36FB" w:rsidRPr="009B7B35" w:rsidRDefault="00BE36FB">
            <w:pPr>
              <w:pStyle w:val="TableText"/>
              <w:rPr>
                <w:rFonts w:cs="Arial"/>
              </w:rPr>
            </w:pPr>
            <w:r w:rsidRPr="009B7B35">
              <w:rPr>
                <w:rFonts w:cs="Arial"/>
              </w:rPr>
              <w:t>There is direct access from the property boundary to a road.</w:t>
            </w:r>
          </w:p>
        </w:tc>
      </w:tr>
      <w:tr w:rsidR="00BE36FB" w:rsidRPr="009B7B35" w14:paraId="62FA210D" w14:textId="77777777" w:rsidTr="001A7107">
        <w:tc>
          <w:tcPr>
            <w:tcW w:w="4678" w:type="dxa"/>
            <w:vMerge/>
          </w:tcPr>
          <w:p w14:paraId="0B3D361B" w14:textId="77777777" w:rsidR="00BE36FB" w:rsidRPr="009B7B35" w:rsidRDefault="00BE36FB" w:rsidP="001A7107">
            <w:pPr>
              <w:pStyle w:val="TableText"/>
              <w:rPr>
                <w:rFonts w:cs="Arial"/>
              </w:rPr>
            </w:pPr>
          </w:p>
        </w:tc>
        <w:tc>
          <w:tcPr>
            <w:tcW w:w="4678" w:type="dxa"/>
          </w:tcPr>
          <w:p w14:paraId="465160CE" w14:textId="77777777" w:rsidR="00BE36FB" w:rsidRPr="009B7B35" w:rsidRDefault="00BE36FB" w:rsidP="001A7107">
            <w:pPr>
              <w:pStyle w:val="TableText"/>
              <w:rPr>
                <w:rFonts w:cs="Arial"/>
                <w:b/>
                <w:bCs/>
              </w:rPr>
            </w:pPr>
            <w:r w:rsidRPr="009B7B35">
              <w:rPr>
                <w:rFonts w:cs="Arial"/>
                <w:b/>
                <w:bCs/>
              </w:rPr>
              <w:t>AO18.6</w:t>
            </w:r>
          </w:p>
          <w:p w14:paraId="3AFBA51D" w14:textId="77777777" w:rsidR="00BE36FB" w:rsidRPr="009B7B35" w:rsidRDefault="00BE36FB">
            <w:pPr>
              <w:pStyle w:val="TableText"/>
              <w:rPr>
                <w:rFonts w:cs="Arial"/>
              </w:rPr>
            </w:pPr>
            <w:r w:rsidRPr="009B7B35">
              <w:rPr>
                <w:rFonts w:cs="Arial"/>
              </w:rPr>
              <w:t>Hours of operation are limited to between 7am and 5pm.</w:t>
            </w:r>
          </w:p>
        </w:tc>
      </w:tr>
      <w:tr w:rsidR="00BE36FB" w:rsidRPr="009B7B35" w14:paraId="227160A4" w14:textId="77777777" w:rsidTr="001A7107">
        <w:tc>
          <w:tcPr>
            <w:tcW w:w="9356" w:type="dxa"/>
            <w:gridSpan w:val="2"/>
            <w:shd w:val="clear" w:color="auto" w:fill="BFBFBF" w:themeFill="background1" w:themeFillShade="BF"/>
          </w:tcPr>
          <w:p w14:paraId="30D2CF8F" w14:textId="77777777" w:rsidR="00BE36FB" w:rsidRPr="009B7B35" w:rsidRDefault="00BE36FB" w:rsidP="001A7107">
            <w:pPr>
              <w:pStyle w:val="Tableheading"/>
              <w:rPr>
                <w:rFonts w:ascii="Arial" w:hAnsi="Arial" w:cs="Arial"/>
                <w:szCs w:val="20"/>
              </w:rPr>
            </w:pPr>
            <w:r w:rsidRPr="009B7B35">
              <w:rPr>
                <w:rFonts w:ascii="Arial" w:hAnsi="Arial" w:cs="Arial"/>
                <w:szCs w:val="20"/>
              </w:rPr>
              <w:t>Use – Club or community use</w:t>
            </w:r>
          </w:p>
        </w:tc>
      </w:tr>
      <w:tr w:rsidR="00BE36FB" w:rsidRPr="009B7B35" w14:paraId="46982605" w14:textId="77777777" w:rsidTr="001A7107">
        <w:tc>
          <w:tcPr>
            <w:tcW w:w="4678" w:type="dxa"/>
            <w:vMerge w:val="restart"/>
          </w:tcPr>
          <w:p w14:paraId="72953630" w14:textId="77777777" w:rsidR="00BE36FB" w:rsidRPr="009B7B35" w:rsidRDefault="00BE36FB" w:rsidP="001A7107">
            <w:pPr>
              <w:pStyle w:val="TableText"/>
              <w:rPr>
                <w:rFonts w:cs="Arial"/>
                <w:b/>
                <w:bCs/>
              </w:rPr>
            </w:pPr>
            <w:r w:rsidRPr="009B7B35">
              <w:rPr>
                <w:rFonts w:cs="Arial"/>
                <w:b/>
                <w:bCs/>
              </w:rPr>
              <w:t>PO19</w:t>
            </w:r>
          </w:p>
          <w:p w14:paraId="614CBBA2" w14:textId="77777777" w:rsidR="00BE36FB" w:rsidRPr="009B7B35" w:rsidRDefault="00BE36FB">
            <w:pPr>
              <w:pStyle w:val="TableText"/>
              <w:rPr>
                <w:rFonts w:cs="Arial"/>
              </w:rPr>
            </w:pPr>
            <w:r w:rsidRPr="009B7B35">
              <w:rPr>
                <w:rFonts w:cs="Arial"/>
              </w:rPr>
              <w:t>Development is located and designed on sites of sufficient size, to minimise adverse impacts on:</w:t>
            </w:r>
          </w:p>
          <w:p w14:paraId="57C71AC7" w14:textId="77777777" w:rsidR="00BE36FB" w:rsidRPr="009B7B35" w:rsidRDefault="00BE36FB" w:rsidP="00BE36FB">
            <w:pPr>
              <w:pStyle w:val="TableText"/>
              <w:numPr>
                <w:ilvl w:val="0"/>
                <w:numId w:val="362"/>
              </w:numPr>
              <w:ind w:left="567" w:hanging="567"/>
              <w:rPr>
                <w:rFonts w:cs="Arial"/>
              </w:rPr>
            </w:pPr>
            <w:r w:rsidRPr="009B7B35">
              <w:rPr>
                <w:rFonts w:cs="Arial"/>
              </w:rPr>
              <w:t>the amenity of the setting, in particular noise, odour and dust emissions</w:t>
            </w:r>
          </w:p>
          <w:p w14:paraId="0C5B37D6" w14:textId="77777777" w:rsidR="00BE36FB" w:rsidRPr="009B7B35" w:rsidRDefault="00BE36FB" w:rsidP="00BE36FB">
            <w:pPr>
              <w:pStyle w:val="TableText"/>
              <w:numPr>
                <w:ilvl w:val="0"/>
                <w:numId w:val="362"/>
              </w:numPr>
              <w:ind w:left="567" w:hanging="567"/>
              <w:rPr>
                <w:rFonts w:cs="Arial"/>
              </w:rPr>
            </w:pPr>
            <w:r w:rsidRPr="009B7B35">
              <w:rPr>
                <w:rFonts w:cs="Arial"/>
              </w:rPr>
              <w:t>the amenity of neighbours, and</w:t>
            </w:r>
          </w:p>
          <w:p w14:paraId="2279C3AB" w14:textId="77777777" w:rsidR="00BE36FB" w:rsidRPr="009B7B35" w:rsidRDefault="00BE36FB" w:rsidP="00BE36FB">
            <w:pPr>
              <w:pStyle w:val="TableText"/>
              <w:numPr>
                <w:ilvl w:val="0"/>
                <w:numId w:val="362"/>
              </w:numPr>
              <w:ind w:left="567" w:hanging="567"/>
              <w:rPr>
                <w:rFonts w:cs="Arial"/>
              </w:rPr>
            </w:pPr>
            <w:r w:rsidRPr="009B7B35">
              <w:rPr>
                <w:rFonts w:cs="Arial"/>
              </w:rPr>
              <w:t>operating within the safe and effective design capacity of the region’s road system.</w:t>
            </w:r>
          </w:p>
        </w:tc>
        <w:tc>
          <w:tcPr>
            <w:tcW w:w="4678" w:type="dxa"/>
          </w:tcPr>
          <w:p w14:paraId="34543011" w14:textId="77777777" w:rsidR="00BE36FB" w:rsidRPr="009B7B35" w:rsidRDefault="00BE36FB" w:rsidP="001A7107">
            <w:pPr>
              <w:pStyle w:val="TableText"/>
              <w:rPr>
                <w:rFonts w:cs="Arial"/>
                <w:b/>
                <w:bCs/>
              </w:rPr>
            </w:pPr>
            <w:r w:rsidRPr="009B7B35">
              <w:rPr>
                <w:rFonts w:cs="Arial"/>
                <w:b/>
                <w:bCs/>
              </w:rPr>
              <w:t>AO19.1</w:t>
            </w:r>
          </w:p>
          <w:p w14:paraId="1CC4D7D1" w14:textId="77777777" w:rsidR="00BE36FB" w:rsidRPr="009B7B35" w:rsidRDefault="00BE36FB" w:rsidP="001A7107">
            <w:pPr>
              <w:pStyle w:val="TableText"/>
              <w:rPr>
                <w:rFonts w:cs="Arial"/>
              </w:rPr>
            </w:pPr>
            <w:r w:rsidRPr="009B7B35">
              <w:rPr>
                <w:rFonts w:cs="Arial"/>
              </w:rPr>
              <w:t>A minimum site area of 2 hectares is required.</w:t>
            </w:r>
          </w:p>
        </w:tc>
      </w:tr>
      <w:tr w:rsidR="00BE36FB" w:rsidRPr="009B7B35" w14:paraId="23992DE4" w14:textId="77777777" w:rsidTr="001A7107">
        <w:tc>
          <w:tcPr>
            <w:tcW w:w="4678" w:type="dxa"/>
            <w:vMerge/>
          </w:tcPr>
          <w:p w14:paraId="55F77764" w14:textId="77777777" w:rsidR="00BE36FB" w:rsidRPr="009B7B35" w:rsidRDefault="00BE36FB" w:rsidP="001A7107">
            <w:pPr>
              <w:pStyle w:val="TableText"/>
              <w:rPr>
                <w:rFonts w:cs="Arial"/>
              </w:rPr>
            </w:pPr>
          </w:p>
        </w:tc>
        <w:tc>
          <w:tcPr>
            <w:tcW w:w="4678" w:type="dxa"/>
          </w:tcPr>
          <w:p w14:paraId="11AC0E8C" w14:textId="77777777" w:rsidR="00BE36FB" w:rsidRPr="009B7B35" w:rsidRDefault="00BE36FB" w:rsidP="001A7107">
            <w:pPr>
              <w:pStyle w:val="TableText"/>
              <w:rPr>
                <w:rFonts w:cs="Arial"/>
                <w:b/>
                <w:bCs/>
              </w:rPr>
            </w:pPr>
            <w:r w:rsidRPr="009B7B35">
              <w:rPr>
                <w:rFonts w:cs="Arial"/>
                <w:b/>
                <w:bCs/>
              </w:rPr>
              <w:t>AO19.2</w:t>
            </w:r>
          </w:p>
          <w:p w14:paraId="10B6D4D3" w14:textId="77777777" w:rsidR="00BE36FB" w:rsidRPr="009B7B35" w:rsidRDefault="00BE36FB">
            <w:pPr>
              <w:pStyle w:val="TableText"/>
              <w:rPr>
                <w:rFonts w:cs="Arial"/>
              </w:rPr>
            </w:pPr>
            <w:r w:rsidRPr="009B7B35">
              <w:rPr>
                <w:rFonts w:cs="Arial"/>
              </w:rPr>
              <w:t>Siting and layout includes:</w:t>
            </w:r>
          </w:p>
          <w:p w14:paraId="510F4C76" w14:textId="77777777" w:rsidR="00BE36FB" w:rsidRPr="009B7B35" w:rsidRDefault="00BE36FB" w:rsidP="00BE36FB">
            <w:pPr>
              <w:pStyle w:val="TableText"/>
              <w:numPr>
                <w:ilvl w:val="0"/>
                <w:numId w:val="363"/>
              </w:numPr>
              <w:ind w:left="510" w:hanging="510"/>
              <w:rPr>
                <w:rFonts w:cs="Arial"/>
              </w:rPr>
            </w:pPr>
            <w:r w:rsidRPr="009B7B35">
              <w:rPr>
                <w:rFonts w:cs="Arial"/>
              </w:rPr>
              <w:t>the total area of covered buildings and roof structures is no greater than 10% of site area, and</w:t>
            </w:r>
          </w:p>
          <w:p w14:paraId="52F53258" w14:textId="77777777" w:rsidR="00BE36FB" w:rsidRPr="009B7B35" w:rsidRDefault="00BE36FB" w:rsidP="00BE36FB">
            <w:pPr>
              <w:pStyle w:val="TableText"/>
              <w:numPr>
                <w:ilvl w:val="0"/>
                <w:numId w:val="363"/>
              </w:numPr>
              <w:ind w:left="510" w:hanging="510"/>
              <w:rPr>
                <w:rFonts w:cs="Arial"/>
              </w:rPr>
            </w:pPr>
            <w:r w:rsidRPr="009B7B35">
              <w:rPr>
                <w:rFonts w:cs="Arial"/>
              </w:rPr>
              <w:t>no building or structure is closer than 15m to any site boundary.</w:t>
            </w:r>
          </w:p>
        </w:tc>
      </w:tr>
      <w:tr w:rsidR="00BE36FB" w:rsidRPr="009B7B35" w14:paraId="24671795" w14:textId="77777777" w:rsidTr="001A7107">
        <w:tc>
          <w:tcPr>
            <w:tcW w:w="4678" w:type="dxa"/>
            <w:vMerge/>
          </w:tcPr>
          <w:p w14:paraId="46824816" w14:textId="77777777" w:rsidR="00BE36FB" w:rsidRPr="009B7B35" w:rsidRDefault="00BE36FB" w:rsidP="001A7107">
            <w:pPr>
              <w:pStyle w:val="TableText"/>
              <w:rPr>
                <w:rFonts w:cs="Arial"/>
              </w:rPr>
            </w:pPr>
          </w:p>
        </w:tc>
        <w:tc>
          <w:tcPr>
            <w:tcW w:w="4678" w:type="dxa"/>
          </w:tcPr>
          <w:p w14:paraId="0F14600B" w14:textId="77777777" w:rsidR="00BE36FB" w:rsidRPr="009B7B35" w:rsidRDefault="00BE36FB" w:rsidP="001A7107">
            <w:pPr>
              <w:pStyle w:val="TableText"/>
              <w:rPr>
                <w:rFonts w:cs="Arial"/>
                <w:b/>
                <w:bCs/>
              </w:rPr>
            </w:pPr>
            <w:r w:rsidRPr="009B7B35">
              <w:rPr>
                <w:rFonts w:cs="Arial"/>
                <w:b/>
                <w:bCs/>
              </w:rPr>
              <w:t>AO19.3</w:t>
            </w:r>
          </w:p>
          <w:p w14:paraId="1BB536A1" w14:textId="77777777" w:rsidR="00BE36FB" w:rsidRPr="009B7B35" w:rsidRDefault="00BE36FB" w:rsidP="001A7107">
            <w:pPr>
              <w:pStyle w:val="TableText"/>
              <w:rPr>
                <w:rFonts w:cs="Arial"/>
              </w:rPr>
            </w:pPr>
            <w:r w:rsidRPr="009B7B35">
              <w:rPr>
                <w:rFonts w:cs="Arial"/>
              </w:rPr>
              <w:t>Buildings and structures associated with the use are limited to:</w:t>
            </w:r>
          </w:p>
          <w:p w14:paraId="11FD6D8C" w14:textId="77777777" w:rsidR="00BE36FB" w:rsidRPr="009B7B35" w:rsidRDefault="00BE36FB" w:rsidP="00BE36FB">
            <w:pPr>
              <w:pStyle w:val="TableText"/>
              <w:numPr>
                <w:ilvl w:val="0"/>
                <w:numId w:val="361"/>
              </w:numPr>
              <w:ind w:left="567" w:hanging="567"/>
              <w:rPr>
                <w:rFonts w:cs="Arial"/>
              </w:rPr>
            </w:pPr>
            <w:r w:rsidRPr="009B7B35">
              <w:rPr>
                <w:rFonts w:cs="Arial"/>
              </w:rPr>
              <w:t>shelters</w:t>
            </w:r>
          </w:p>
          <w:p w14:paraId="42604A08" w14:textId="77777777" w:rsidR="00BE36FB" w:rsidRPr="009B7B35" w:rsidRDefault="00BE36FB" w:rsidP="00BE36FB">
            <w:pPr>
              <w:pStyle w:val="TableText"/>
              <w:numPr>
                <w:ilvl w:val="0"/>
                <w:numId w:val="361"/>
              </w:numPr>
              <w:ind w:left="567" w:hanging="567"/>
              <w:rPr>
                <w:rFonts w:cs="Arial"/>
              </w:rPr>
            </w:pPr>
            <w:r w:rsidRPr="009B7B35">
              <w:rPr>
                <w:rFonts w:cs="Arial"/>
              </w:rPr>
              <w:t>toilets</w:t>
            </w:r>
          </w:p>
          <w:p w14:paraId="0304FB43" w14:textId="77777777" w:rsidR="00BE36FB" w:rsidRPr="009B7B35" w:rsidRDefault="00BE36FB" w:rsidP="00BE36FB">
            <w:pPr>
              <w:pStyle w:val="TableText"/>
              <w:numPr>
                <w:ilvl w:val="0"/>
                <w:numId w:val="361"/>
              </w:numPr>
              <w:ind w:left="567" w:hanging="567"/>
              <w:rPr>
                <w:rFonts w:cs="Arial"/>
              </w:rPr>
            </w:pPr>
            <w:r w:rsidRPr="009B7B35">
              <w:rPr>
                <w:rFonts w:cs="Arial"/>
              </w:rPr>
              <w:t>kiosks</w:t>
            </w:r>
          </w:p>
          <w:p w14:paraId="7127F175" w14:textId="77777777" w:rsidR="00BE36FB" w:rsidRPr="009B7B35" w:rsidRDefault="00BE36FB" w:rsidP="00BE36FB">
            <w:pPr>
              <w:pStyle w:val="TableText"/>
              <w:numPr>
                <w:ilvl w:val="0"/>
                <w:numId w:val="361"/>
              </w:numPr>
              <w:ind w:left="567" w:hanging="567"/>
              <w:rPr>
                <w:rFonts w:cs="Arial"/>
              </w:rPr>
            </w:pPr>
            <w:r w:rsidRPr="009B7B35">
              <w:rPr>
                <w:rFonts w:cs="Arial"/>
              </w:rPr>
              <w:t>hall/function area.</w:t>
            </w:r>
          </w:p>
        </w:tc>
      </w:tr>
      <w:tr w:rsidR="00BE36FB" w:rsidRPr="009B7B35" w14:paraId="78DE6124" w14:textId="77777777" w:rsidTr="001A7107">
        <w:tc>
          <w:tcPr>
            <w:tcW w:w="4678" w:type="dxa"/>
            <w:vMerge/>
          </w:tcPr>
          <w:p w14:paraId="22008646" w14:textId="77777777" w:rsidR="00BE36FB" w:rsidRPr="009B7B35" w:rsidRDefault="00BE36FB" w:rsidP="001A7107">
            <w:pPr>
              <w:pStyle w:val="TableText"/>
              <w:rPr>
                <w:rFonts w:cs="Arial"/>
              </w:rPr>
            </w:pPr>
          </w:p>
        </w:tc>
        <w:tc>
          <w:tcPr>
            <w:tcW w:w="4678" w:type="dxa"/>
          </w:tcPr>
          <w:p w14:paraId="092BE86D" w14:textId="77777777" w:rsidR="00BE36FB" w:rsidRPr="009B7B35" w:rsidRDefault="00BE36FB" w:rsidP="001A7107">
            <w:pPr>
              <w:pStyle w:val="TableText"/>
              <w:rPr>
                <w:rFonts w:cs="Arial"/>
                <w:b/>
                <w:bCs/>
              </w:rPr>
            </w:pPr>
            <w:r w:rsidRPr="009B7B35">
              <w:rPr>
                <w:rFonts w:cs="Arial"/>
                <w:b/>
                <w:bCs/>
              </w:rPr>
              <w:t>AO19.4</w:t>
            </w:r>
          </w:p>
          <w:p w14:paraId="74804B87" w14:textId="77777777" w:rsidR="00BE36FB" w:rsidRPr="009B7B35" w:rsidRDefault="00BE36FB" w:rsidP="001A7107">
            <w:pPr>
              <w:pStyle w:val="TableText"/>
              <w:rPr>
                <w:rFonts w:cs="Arial"/>
              </w:rPr>
            </w:pPr>
            <w:r w:rsidRPr="009B7B35">
              <w:rPr>
                <w:rFonts w:cs="Arial"/>
              </w:rPr>
              <w:t>Hours of operation are limited to between 7am and 10pm.</w:t>
            </w:r>
          </w:p>
        </w:tc>
      </w:tr>
      <w:tr w:rsidR="00BE36FB" w:rsidRPr="009B7B35" w14:paraId="1E9F7A0B" w14:textId="77777777" w:rsidTr="001A7107">
        <w:tc>
          <w:tcPr>
            <w:tcW w:w="9356" w:type="dxa"/>
            <w:gridSpan w:val="2"/>
            <w:shd w:val="clear" w:color="auto" w:fill="BFBFBF" w:themeFill="background1" w:themeFillShade="BF"/>
          </w:tcPr>
          <w:p w14:paraId="06419FE3" w14:textId="77777777" w:rsidR="00BE36FB" w:rsidRPr="009B7B35" w:rsidRDefault="00BE36FB" w:rsidP="001A7107">
            <w:pPr>
              <w:pStyle w:val="Tableheading"/>
              <w:rPr>
                <w:rFonts w:ascii="Arial" w:hAnsi="Arial" w:cs="Arial"/>
                <w:szCs w:val="20"/>
              </w:rPr>
            </w:pPr>
            <w:r w:rsidRPr="009B7B35">
              <w:rPr>
                <w:rFonts w:ascii="Arial" w:hAnsi="Arial" w:cs="Arial"/>
                <w:szCs w:val="20"/>
              </w:rPr>
              <w:t>Use – Non–resident workforce accommodation</w:t>
            </w:r>
          </w:p>
        </w:tc>
      </w:tr>
      <w:tr w:rsidR="00BE36FB" w:rsidRPr="009B7B35" w14:paraId="4410AE2A" w14:textId="77777777" w:rsidTr="001A7107">
        <w:tc>
          <w:tcPr>
            <w:tcW w:w="4678" w:type="dxa"/>
          </w:tcPr>
          <w:p w14:paraId="6719C2C6" w14:textId="77777777" w:rsidR="00BE36FB" w:rsidRPr="009B7B35" w:rsidRDefault="00BE36FB" w:rsidP="001A7107">
            <w:pPr>
              <w:pStyle w:val="TableText"/>
              <w:rPr>
                <w:rFonts w:cs="Arial"/>
                <w:b/>
                <w:bCs/>
              </w:rPr>
            </w:pPr>
            <w:r w:rsidRPr="009B7B35">
              <w:rPr>
                <w:rFonts w:cs="Arial"/>
                <w:b/>
                <w:bCs/>
              </w:rPr>
              <w:t>PO20</w:t>
            </w:r>
          </w:p>
          <w:p w14:paraId="62520A68" w14:textId="77777777" w:rsidR="00BE36FB" w:rsidRPr="009B7B35" w:rsidRDefault="00BE36FB" w:rsidP="001A7107">
            <w:pPr>
              <w:pStyle w:val="TableText"/>
              <w:rPr>
                <w:rFonts w:cs="Arial"/>
              </w:rPr>
            </w:pPr>
            <w:r w:rsidRPr="009B7B35">
              <w:rPr>
                <w:rFonts w:cs="Arial"/>
              </w:rPr>
              <w:t>Development:</w:t>
            </w:r>
          </w:p>
          <w:p w14:paraId="006627E1" w14:textId="77777777" w:rsidR="00BE36FB" w:rsidRPr="009B7B35" w:rsidRDefault="00BE36FB" w:rsidP="00BE36FB">
            <w:pPr>
              <w:pStyle w:val="TableText"/>
              <w:numPr>
                <w:ilvl w:val="0"/>
                <w:numId w:val="360"/>
              </w:numPr>
              <w:ind w:left="573" w:hanging="573"/>
              <w:rPr>
                <w:rFonts w:cs="Arial"/>
              </w:rPr>
            </w:pPr>
            <w:r w:rsidRPr="009B7B35">
              <w:rPr>
                <w:rFonts w:cs="Arial"/>
              </w:rPr>
              <w:t>is of a scale and intensity that minimises impact on rural character, environmental quality and amenity with regard to:</w:t>
            </w:r>
          </w:p>
          <w:p w14:paraId="6A148C06" w14:textId="77777777" w:rsidR="00BE36FB" w:rsidRPr="009B7B35" w:rsidRDefault="00BE36FB" w:rsidP="00BE36FB">
            <w:pPr>
              <w:pStyle w:val="TableText"/>
              <w:numPr>
                <w:ilvl w:val="1"/>
                <w:numId w:val="360"/>
              </w:numPr>
              <w:ind w:left="1023" w:hanging="180"/>
              <w:rPr>
                <w:rFonts w:cs="Arial"/>
              </w:rPr>
            </w:pPr>
            <w:r w:rsidRPr="009B7B35">
              <w:rPr>
                <w:rFonts w:cs="Arial"/>
              </w:rPr>
              <w:t>visual and built form impacts</w:t>
            </w:r>
          </w:p>
          <w:p w14:paraId="314C9F3E" w14:textId="77777777" w:rsidR="00BE36FB" w:rsidRPr="009B7B35" w:rsidRDefault="00BE36FB" w:rsidP="00BE36FB">
            <w:pPr>
              <w:pStyle w:val="TableText"/>
              <w:numPr>
                <w:ilvl w:val="1"/>
                <w:numId w:val="360"/>
              </w:numPr>
              <w:ind w:left="1023" w:hanging="180"/>
              <w:rPr>
                <w:rFonts w:cs="Arial"/>
              </w:rPr>
            </w:pPr>
            <w:r w:rsidRPr="009B7B35">
              <w:rPr>
                <w:rFonts w:cs="Arial"/>
              </w:rPr>
              <w:t>traffic generation</w:t>
            </w:r>
          </w:p>
          <w:p w14:paraId="6385E650" w14:textId="77777777" w:rsidR="00BE36FB" w:rsidRPr="009B7B35" w:rsidRDefault="00BE36FB" w:rsidP="00BE36FB">
            <w:pPr>
              <w:pStyle w:val="TableText"/>
              <w:numPr>
                <w:ilvl w:val="1"/>
                <w:numId w:val="360"/>
              </w:numPr>
              <w:ind w:left="1023" w:hanging="180"/>
              <w:rPr>
                <w:rFonts w:cs="Arial"/>
              </w:rPr>
            </w:pPr>
            <w:r w:rsidRPr="009B7B35">
              <w:rPr>
                <w:rFonts w:cs="Arial"/>
              </w:rPr>
              <w:t>light and noise impacts</w:t>
            </w:r>
          </w:p>
          <w:p w14:paraId="22E16E45" w14:textId="77777777" w:rsidR="00BE36FB" w:rsidRPr="009B7B35" w:rsidRDefault="00BE36FB" w:rsidP="00BE36FB">
            <w:pPr>
              <w:pStyle w:val="TableText"/>
              <w:numPr>
                <w:ilvl w:val="1"/>
                <w:numId w:val="360"/>
              </w:numPr>
              <w:ind w:left="1023" w:hanging="180"/>
              <w:rPr>
                <w:rFonts w:cs="Arial"/>
              </w:rPr>
            </w:pPr>
            <w:r w:rsidRPr="009B7B35">
              <w:rPr>
                <w:rFonts w:cs="Arial"/>
              </w:rPr>
              <w:t>minimising earthworks and alterations to the land.</w:t>
            </w:r>
          </w:p>
          <w:p w14:paraId="3D50136D" w14:textId="77777777" w:rsidR="00BE36FB" w:rsidRPr="009B7B35" w:rsidRDefault="00BE36FB" w:rsidP="00BE36FB">
            <w:pPr>
              <w:pStyle w:val="TableText"/>
              <w:numPr>
                <w:ilvl w:val="0"/>
                <w:numId w:val="360"/>
              </w:numPr>
              <w:ind w:left="510" w:hanging="510"/>
              <w:rPr>
                <w:rFonts w:cs="Arial"/>
              </w:rPr>
            </w:pPr>
            <w:r w:rsidRPr="009B7B35">
              <w:rPr>
                <w:rFonts w:cs="Arial"/>
              </w:rPr>
              <w:t>provides infrastructure necessary for adequate water supply, effluent disposal and other services and facilities to support on site residents</w:t>
            </w:r>
          </w:p>
          <w:p w14:paraId="44060594" w14:textId="77777777" w:rsidR="00BE36FB" w:rsidRPr="009B7B35" w:rsidRDefault="00BE36FB" w:rsidP="00BE36FB">
            <w:pPr>
              <w:pStyle w:val="TableText"/>
              <w:numPr>
                <w:ilvl w:val="0"/>
                <w:numId w:val="360"/>
              </w:numPr>
              <w:ind w:left="510" w:hanging="510"/>
              <w:rPr>
                <w:rFonts w:cs="Arial"/>
              </w:rPr>
            </w:pPr>
            <w:r w:rsidRPr="009B7B35">
              <w:rPr>
                <w:rFonts w:cs="Arial"/>
              </w:rPr>
              <w:t>manages social impacts associated with the development, including the demand for social and emergency services.</w:t>
            </w:r>
          </w:p>
          <w:p w14:paraId="3610D575" w14:textId="77777777" w:rsidR="00BE36FB" w:rsidRPr="009B7B35" w:rsidRDefault="00BE36FB" w:rsidP="001A7107">
            <w:pPr>
              <w:pStyle w:val="Notes"/>
              <w:rPr>
                <w:rFonts w:cs="Arial"/>
                <w:sz w:val="20"/>
                <w:szCs w:val="20"/>
              </w:rPr>
            </w:pPr>
            <w:r w:rsidRPr="009B7B35">
              <w:rPr>
                <w:rFonts w:cs="Arial"/>
                <w:sz w:val="20"/>
                <w:szCs w:val="20"/>
              </w:rPr>
              <w:t>Note—Refer to the Non–resident workers accommodation planning scheme policy for further guidance in responding to this performance outcome.</w:t>
            </w:r>
          </w:p>
        </w:tc>
        <w:tc>
          <w:tcPr>
            <w:tcW w:w="4678" w:type="dxa"/>
          </w:tcPr>
          <w:p w14:paraId="3ED9C96A"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DB82CBE" w14:textId="77777777" w:rsidTr="001A7107">
        <w:tblPrEx>
          <w:tblLook w:val="01E0" w:firstRow="1" w:lastRow="1" w:firstColumn="1" w:lastColumn="1" w:noHBand="0" w:noVBand="0"/>
        </w:tblPrEx>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4EF6661C"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Nature based tourism</w:t>
            </w:r>
          </w:p>
        </w:tc>
      </w:tr>
      <w:tr w:rsidR="00BE36FB" w:rsidRPr="009B7B35" w14:paraId="570090BD" w14:textId="77777777" w:rsidTr="001A7107">
        <w:tblPrEx>
          <w:tblLook w:val="01E0" w:firstRow="1" w:lastRow="1" w:firstColumn="1" w:lastColumn="1" w:noHBand="0" w:noVBand="0"/>
        </w:tblPrEx>
        <w:trPr>
          <w:cnfStyle w:val="010000000000" w:firstRow="0" w:lastRow="1"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7D99566D" w14:textId="77777777" w:rsidR="00BE36FB" w:rsidRPr="009B7B35" w:rsidRDefault="00BE36FB" w:rsidP="001A7107">
            <w:pPr>
              <w:pStyle w:val="TableText"/>
              <w:rPr>
                <w:rFonts w:cs="Arial"/>
                <w:b/>
                <w:bCs w:val="0"/>
                <w:color w:val="auto"/>
                <w:lang w:eastAsia="en-US"/>
              </w:rPr>
            </w:pPr>
            <w:r w:rsidRPr="009B7B35">
              <w:rPr>
                <w:rFonts w:cs="Arial"/>
                <w:b/>
                <w:color w:val="auto"/>
                <w:lang w:eastAsia="en-US"/>
              </w:rPr>
              <w:t>PO21</w:t>
            </w:r>
          </w:p>
          <w:p w14:paraId="7E9598E4" w14:textId="77777777" w:rsidR="00BE36FB" w:rsidRPr="009B7B35" w:rsidRDefault="00BE36FB" w:rsidP="001A7107">
            <w:pPr>
              <w:pStyle w:val="TableText"/>
              <w:rPr>
                <w:rFonts w:cs="Arial"/>
                <w:color w:val="auto"/>
                <w:lang w:eastAsia="en-US"/>
              </w:rPr>
            </w:pPr>
            <w:r w:rsidRPr="009B7B35">
              <w:rPr>
                <w:rFonts w:cs="Arial"/>
                <w:color w:val="auto"/>
                <w:lang w:eastAsia="en-US"/>
              </w:rPr>
              <w:t xml:space="preserve">Development </w:t>
            </w:r>
            <w:r w:rsidRPr="009B7B35">
              <w:rPr>
                <w:rFonts w:cs="Arial"/>
                <w:color w:val="auto"/>
              </w:rPr>
              <w:t xml:space="preserve">protects environmental values and </w:t>
            </w:r>
            <w:r w:rsidRPr="009B7B35">
              <w:rPr>
                <w:rFonts w:cs="Arial"/>
                <w:color w:val="auto"/>
                <w:lang w:eastAsia="en-US"/>
              </w:rPr>
              <w:t>is of a scale and intensity that does not compromise the low density and environmental character of the locality.</w:t>
            </w:r>
          </w:p>
        </w:tc>
        <w:tc>
          <w:tcPr>
            <w:cnfStyle w:val="000100000000" w:firstRow="0" w:lastRow="0" w:firstColumn="0" w:lastColumn="1" w:oddVBand="0" w:evenVBand="0" w:oddHBand="0" w:evenHBand="0" w:firstRowFirstColumn="0" w:firstRowLastColumn="0" w:lastRowFirstColumn="0" w:lastRowLastColumn="0"/>
            <w:tcW w:w="4678" w:type="dxa"/>
          </w:tcPr>
          <w:p w14:paraId="4C17686D" w14:textId="77777777" w:rsidR="00BE36FB" w:rsidRPr="009B7B35" w:rsidRDefault="00BE36FB" w:rsidP="001A7107">
            <w:pPr>
              <w:pStyle w:val="TableText"/>
              <w:rPr>
                <w:rFonts w:cs="Arial"/>
                <w:b/>
                <w:color w:val="auto"/>
              </w:rPr>
            </w:pPr>
            <w:r w:rsidRPr="009B7B35">
              <w:rPr>
                <w:rFonts w:cs="Arial"/>
                <w:b/>
                <w:color w:val="auto"/>
              </w:rPr>
              <w:t>AO21</w:t>
            </w:r>
          </w:p>
          <w:p w14:paraId="390DF258" w14:textId="77777777" w:rsidR="00BE36FB" w:rsidRPr="009B7B35" w:rsidRDefault="00BE36FB" w:rsidP="001A7107">
            <w:pPr>
              <w:pStyle w:val="TableText"/>
              <w:rPr>
                <w:rFonts w:cs="Arial"/>
                <w:color w:val="auto"/>
                <w:lang w:eastAsia="en-US"/>
              </w:rPr>
            </w:pPr>
            <w:r w:rsidRPr="009B7B35">
              <w:rPr>
                <w:rFonts w:cs="Arial"/>
                <w:color w:val="auto"/>
                <w:lang w:eastAsia="en-US"/>
              </w:rPr>
              <w:t>Development does not exceed more than:</w:t>
            </w:r>
          </w:p>
          <w:tbl>
            <w:tblPr>
              <w:tblStyle w:val="Tablestyle"/>
              <w:tblW w:w="0" w:type="auto"/>
              <w:tblLook w:val="0620" w:firstRow="1" w:lastRow="0" w:firstColumn="0" w:lastColumn="0" w:noHBand="1" w:noVBand="1"/>
            </w:tblPr>
            <w:tblGrid>
              <w:gridCol w:w="1582"/>
              <w:gridCol w:w="2835"/>
            </w:tblGrid>
            <w:tr w:rsidR="00BE36FB" w:rsidRPr="009B7B35" w14:paraId="2DCD4300" w14:textId="77777777" w:rsidTr="001A7107">
              <w:trPr>
                <w:cnfStyle w:val="100000000000" w:firstRow="1" w:lastRow="0" w:firstColumn="0" w:lastColumn="0" w:oddVBand="0" w:evenVBand="0" w:oddHBand="0" w:evenHBand="0" w:firstRowFirstColumn="0" w:firstRowLastColumn="0" w:lastRowFirstColumn="0" w:lastRowLastColumn="0"/>
              </w:trPr>
              <w:tc>
                <w:tcPr>
                  <w:tcW w:w="1582" w:type="dxa"/>
                </w:tcPr>
                <w:p w14:paraId="6716DE27" w14:textId="77777777" w:rsidR="00BE36FB" w:rsidRPr="009B7B35" w:rsidRDefault="00BE36FB" w:rsidP="001A7107">
                  <w:pPr>
                    <w:pStyle w:val="TableText"/>
                    <w:rPr>
                      <w:rFonts w:cs="Arial"/>
                    </w:rPr>
                  </w:pPr>
                  <w:r w:rsidRPr="009B7B35">
                    <w:rPr>
                      <w:rFonts w:cs="Arial"/>
                    </w:rPr>
                    <w:t>Site area (ha)</w:t>
                  </w:r>
                </w:p>
              </w:tc>
              <w:tc>
                <w:tcPr>
                  <w:tcW w:w="2835" w:type="dxa"/>
                </w:tcPr>
                <w:p w14:paraId="7355633E" w14:textId="77777777" w:rsidR="00BE36FB" w:rsidRPr="009B7B35" w:rsidRDefault="00BE36FB" w:rsidP="001A7107">
                  <w:pPr>
                    <w:pStyle w:val="TableText"/>
                    <w:rPr>
                      <w:rFonts w:cs="Arial"/>
                    </w:rPr>
                  </w:pPr>
                  <w:r w:rsidRPr="009B7B35">
                    <w:rPr>
                      <w:rFonts w:cs="Arial"/>
                    </w:rPr>
                    <w:t>Maximum number of guests</w:t>
                  </w:r>
                </w:p>
              </w:tc>
            </w:tr>
            <w:tr w:rsidR="00BE36FB" w:rsidRPr="009B7B35" w14:paraId="32E827AE" w14:textId="77777777" w:rsidTr="001A7107">
              <w:tc>
                <w:tcPr>
                  <w:tcW w:w="1582" w:type="dxa"/>
                </w:tcPr>
                <w:p w14:paraId="36902C0B" w14:textId="77777777" w:rsidR="00BE36FB" w:rsidRPr="009B7B35" w:rsidRDefault="00BE36FB" w:rsidP="001A7107">
                  <w:pPr>
                    <w:pStyle w:val="TableText"/>
                    <w:rPr>
                      <w:rFonts w:cs="Arial"/>
                    </w:rPr>
                  </w:pPr>
                  <w:r w:rsidRPr="009B7B35">
                    <w:rPr>
                      <w:rFonts w:cs="Arial"/>
                    </w:rPr>
                    <w:t>0-20</w:t>
                  </w:r>
                </w:p>
              </w:tc>
              <w:tc>
                <w:tcPr>
                  <w:tcW w:w="2835" w:type="dxa"/>
                </w:tcPr>
                <w:p w14:paraId="53F6820E" w14:textId="77777777" w:rsidR="00BE36FB" w:rsidRPr="009B7B35" w:rsidRDefault="00BE36FB" w:rsidP="001A7107">
                  <w:pPr>
                    <w:pStyle w:val="TableText"/>
                    <w:rPr>
                      <w:rFonts w:cs="Arial"/>
                    </w:rPr>
                  </w:pPr>
                  <w:r w:rsidRPr="009B7B35">
                    <w:rPr>
                      <w:rFonts w:cs="Arial"/>
                    </w:rPr>
                    <w:t>10</w:t>
                  </w:r>
                </w:p>
              </w:tc>
            </w:tr>
            <w:tr w:rsidR="00BE36FB" w:rsidRPr="009B7B35" w14:paraId="74485608" w14:textId="77777777" w:rsidTr="001A7107">
              <w:tc>
                <w:tcPr>
                  <w:tcW w:w="1582" w:type="dxa"/>
                </w:tcPr>
                <w:p w14:paraId="0F471AD3" w14:textId="77777777" w:rsidR="00BE36FB" w:rsidRPr="009B7B35" w:rsidRDefault="00BE36FB" w:rsidP="001A7107">
                  <w:pPr>
                    <w:pStyle w:val="TableText"/>
                    <w:rPr>
                      <w:rFonts w:cs="Arial"/>
                    </w:rPr>
                  </w:pPr>
                  <w:r w:rsidRPr="009B7B35">
                    <w:rPr>
                      <w:rFonts w:cs="Arial"/>
                    </w:rPr>
                    <w:t>21-40</w:t>
                  </w:r>
                </w:p>
              </w:tc>
              <w:tc>
                <w:tcPr>
                  <w:tcW w:w="2835" w:type="dxa"/>
                </w:tcPr>
                <w:p w14:paraId="35DCD79C" w14:textId="77777777" w:rsidR="00BE36FB" w:rsidRPr="009B7B35" w:rsidRDefault="00BE36FB" w:rsidP="001A7107">
                  <w:pPr>
                    <w:pStyle w:val="TableText"/>
                    <w:rPr>
                      <w:rFonts w:cs="Arial"/>
                    </w:rPr>
                  </w:pPr>
                  <w:r w:rsidRPr="009B7B35">
                    <w:rPr>
                      <w:rFonts w:cs="Arial"/>
                    </w:rPr>
                    <w:t>20</w:t>
                  </w:r>
                </w:p>
              </w:tc>
            </w:tr>
            <w:tr w:rsidR="00BE36FB" w:rsidRPr="009B7B35" w14:paraId="54775073" w14:textId="77777777" w:rsidTr="001A7107">
              <w:tc>
                <w:tcPr>
                  <w:tcW w:w="1582" w:type="dxa"/>
                </w:tcPr>
                <w:p w14:paraId="1619735C" w14:textId="77777777" w:rsidR="00BE36FB" w:rsidRPr="009B7B35" w:rsidRDefault="00BE36FB" w:rsidP="001A7107">
                  <w:pPr>
                    <w:pStyle w:val="TableText"/>
                    <w:rPr>
                      <w:rFonts w:cs="Arial"/>
                    </w:rPr>
                  </w:pPr>
                  <w:r w:rsidRPr="009B7B35">
                    <w:rPr>
                      <w:rFonts w:cs="Arial"/>
                    </w:rPr>
                    <w:t xml:space="preserve">41-60 </w:t>
                  </w:r>
                </w:p>
              </w:tc>
              <w:tc>
                <w:tcPr>
                  <w:tcW w:w="2835" w:type="dxa"/>
                </w:tcPr>
                <w:p w14:paraId="696B4D09" w14:textId="77777777" w:rsidR="00BE36FB" w:rsidRPr="009B7B35" w:rsidRDefault="00BE36FB" w:rsidP="001A7107">
                  <w:pPr>
                    <w:pStyle w:val="TableText"/>
                    <w:rPr>
                      <w:rFonts w:cs="Arial"/>
                    </w:rPr>
                  </w:pPr>
                  <w:r w:rsidRPr="009B7B35">
                    <w:rPr>
                      <w:rFonts w:cs="Arial"/>
                    </w:rPr>
                    <w:t>30</w:t>
                  </w:r>
                </w:p>
              </w:tc>
            </w:tr>
            <w:tr w:rsidR="00BE36FB" w:rsidRPr="009B7B35" w14:paraId="019EEA7F" w14:textId="77777777" w:rsidTr="001A7107">
              <w:tc>
                <w:tcPr>
                  <w:tcW w:w="1582" w:type="dxa"/>
                </w:tcPr>
                <w:p w14:paraId="00562120" w14:textId="77777777" w:rsidR="00BE36FB" w:rsidRPr="009B7B35" w:rsidRDefault="00BE36FB" w:rsidP="001A7107">
                  <w:pPr>
                    <w:pStyle w:val="TableText"/>
                    <w:rPr>
                      <w:rFonts w:cs="Arial"/>
                    </w:rPr>
                  </w:pPr>
                  <w:r w:rsidRPr="009B7B35">
                    <w:rPr>
                      <w:rFonts w:cs="Arial"/>
                    </w:rPr>
                    <w:t>More than 60</w:t>
                  </w:r>
                </w:p>
              </w:tc>
              <w:tc>
                <w:tcPr>
                  <w:tcW w:w="2835" w:type="dxa"/>
                </w:tcPr>
                <w:p w14:paraId="034177D5" w14:textId="77777777" w:rsidR="00BE36FB" w:rsidRPr="009B7B35" w:rsidRDefault="00BE36FB" w:rsidP="001A7107">
                  <w:pPr>
                    <w:pStyle w:val="TableText"/>
                    <w:rPr>
                      <w:rFonts w:cs="Arial"/>
                    </w:rPr>
                  </w:pPr>
                  <w:r w:rsidRPr="009B7B35">
                    <w:rPr>
                      <w:rFonts w:cs="Arial"/>
                    </w:rPr>
                    <w:t>40</w:t>
                  </w:r>
                </w:p>
              </w:tc>
            </w:tr>
          </w:tbl>
          <w:p w14:paraId="4896A9E5" w14:textId="77777777" w:rsidR="00BE36FB" w:rsidRPr="009B7B35" w:rsidRDefault="00BE36FB" w:rsidP="001A7107">
            <w:pPr>
              <w:pStyle w:val="TableText"/>
              <w:rPr>
                <w:rFonts w:cs="Arial"/>
                <w:color w:val="auto"/>
                <w:lang w:eastAsia="en-US"/>
              </w:rPr>
            </w:pPr>
          </w:p>
        </w:tc>
      </w:tr>
    </w:tbl>
    <w:p w14:paraId="4BBD97D9" w14:textId="77777777" w:rsidR="00BE36FB" w:rsidRPr="009B7B35" w:rsidRDefault="00BE36FB">
      <w:pPr>
        <w:rPr>
          <w:rFonts w:ascii="Arial" w:hAnsi="Arial" w:cs="Arial"/>
          <w:sz w:val="20"/>
          <w:szCs w:val="20"/>
        </w:rPr>
      </w:pPr>
      <w:r w:rsidRPr="009B7B35">
        <w:rPr>
          <w:rFonts w:ascii="Arial" w:hAnsi="Arial" w:cs="Arial"/>
          <w:sz w:val="20"/>
          <w:szCs w:val="20"/>
        </w:rPr>
        <w:br w:type="page"/>
      </w:r>
    </w:p>
    <w:p w14:paraId="43773CF8" w14:textId="77777777" w:rsidR="00BE36FB" w:rsidRPr="009B7B35" w:rsidRDefault="00BE36FB" w:rsidP="006776DA">
      <w:pPr>
        <w:pStyle w:val="Heading3"/>
        <w:keepLines/>
        <w:numPr>
          <w:ilvl w:val="2"/>
          <w:numId w:val="883"/>
        </w:numPr>
        <w:spacing w:before="240"/>
        <w:rPr>
          <w:rFonts w:ascii="Arial" w:hAnsi="Arial"/>
          <w:sz w:val="20"/>
          <w:szCs w:val="20"/>
        </w:rPr>
      </w:pPr>
      <w:bookmarkStart w:id="205" w:name="_Toc205367368"/>
      <w:r w:rsidRPr="009B7B35">
        <w:rPr>
          <w:rFonts w:ascii="Arial" w:hAnsi="Arial"/>
          <w:sz w:val="20"/>
          <w:szCs w:val="20"/>
        </w:rPr>
        <w:t>Rural residential</w:t>
      </w:r>
      <w:bookmarkEnd w:id="205"/>
    </w:p>
    <w:p w14:paraId="506AC777"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2B73041D"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767184E1"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7C039C5A" w14:textId="77777777" w:rsidR="00BE36FB" w:rsidRPr="009B7B35" w:rsidRDefault="00BE36FB" w:rsidP="00BE36FB">
      <w:pPr>
        <w:numPr>
          <w:ilvl w:val="0"/>
          <w:numId w:val="151"/>
        </w:numPr>
        <w:rPr>
          <w:rFonts w:ascii="Arial" w:hAnsi="Arial" w:cs="Arial"/>
          <w:sz w:val="20"/>
          <w:szCs w:val="20"/>
        </w:rPr>
      </w:pPr>
      <w:r w:rsidRPr="009B7B35">
        <w:rPr>
          <w:rFonts w:ascii="Arial" w:hAnsi="Arial" w:cs="Arial"/>
          <w:sz w:val="20"/>
          <w:szCs w:val="20"/>
        </w:rPr>
        <w:t xml:space="preserve">The purpose of the rural residential zone code is to provide for: </w:t>
      </w:r>
    </w:p>
    <w:p w14:paraId="31922933" w14:textId="77777777"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Limited housing and lifestyle choices generally on the fringe of existing urban areas.</w:t>
      </w:r>
    </w:p>
    <w:p w14:paraId="4F4350C9" w14:textId="77777777"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Development of large lots for residential development at a very low density.</w:t>
      </w:r>
    </w:p>
    <w:p w14:paraId="647EFEE4" w14:textId="77777777"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A limited level of servicing that is less than that provided in urban areas.</w:t>
      </w:r>
    </w:p>
    <w:p w14:paraId="770562CB" w14:textId="77777777" w:rsidR="00BE36FB" w:rsidRPr="009B7B35" w:rsidRDefault="00BE36FB" w:rsidP="00BE36FB">
      <w:pPr>
        <w:numPr>
          <w:ilvl w:val="0"/>
          <w:numId w:val="151"/>
        </w:numPr>
        <w:rPr>
          <w:rFonts w:ascii="Arial" w:hAnsi="Arial" w:cs="Arial"/>
          <w:sz w:val="20"/>
          <w:szCs w:val="20"/>
        </w:rPr>
      </w:pPr>
      <w:r w:rsidRPr="009B7B35">
        <w:rPr>
          <w:rFonts w:ascii="Arial" w:hAnsi="Arial" w:cs="Arial"/>
          <w:sz w:val="20"/>
          <w:szCs w:val="20"/>
        </w:rPr>
        <w:t>The purpose of the zone will be achieved through the following overall outcomes:</w:t>
      </w:r>
    </w:p>
    <w:p w14:paraId="24ABEA27" w14:textId="77777777"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 xml:space="preserve">Development of large residential lots with limited provision of infrastructure and services is facilitated. </w:t>
      </w:r>
    </w:p>
    <w:p w14:paraId="72429CED" w14:textId="77777777"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Lot sizes are responsive to the localities prevailing lot size, topography, scenic amenity, bushfire risk, flooding and the existing level of water infrastructure. Areas without reticulated water are larger than serviced areas in order to facilitate on site servicing and firefighting arrangements.</w:t>
      </w:r>
    </w:p>
    <w:p w14:paraId="008B2A3C" w14:textId="77777777"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Development provides a high level of residential amenity appropriate to the character of the particular rural residential zone.</w:t>
      </w:r>
    </w:p>
    <w:p w14:paraId="75DFF644" w14:textId="77777777"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Natural features such as creeks, gullies, waterways, wetlands and vegetation and bushland are retained, enhanced and buffered from the impacts of development. Any unavoidable impacts are minimised through location, design operation and management requirements.</w:t>
      </w:r>
    </w:p>
    <w:p w14:paraId="2BF790EE" w14:textId="77777777"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Non–residential uses may be appropriate where such uses provide for the day–to–day needs of the area or have a direct relationship to the land.</w:t>
      </w:r>
    </w:p>
    <w:p w14:paraId="537FD400" w14:textId="77777777"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Development responds to land constraints, including but not limited to topography, bushfire and flooding.</w:t>
      </w:r>
    </w:p>
    <w:p w14:paraId="69F4E029" w14:textId="77777777" w:rsidR="00BE36FB" w:rsidRPr="009B7B35" w:rsidRDefault="00BE36FB" w:rsidP="00BE36FB">
      <w:pPr>
        <w:numPr>
          <w:ilvl w:val="0"/>
          <w:numId w:val="151"/>
        </w:numPr>
        <w:rPr>
          <w:rFonts w:ascii="Arial" w:hAnsi="Arial" w:cs="Arial"/>
          <w:sz w:val="20"/>
          <w:szCs w:val="20"/>
        </w:rPr>
      </w:pPr>
      <w:r w:rsidRPr="009B7B35">
        <w:rPr>
          <w:rFonts w:ascii="Arial" w:hAnsi="Arial" w:cs="Arial"/>
          <w:sz w:val="20"/>
          <w:szCs w:val="20"/>
        </w:rPr>
        <w:t>The purpose of the zone will also be achieved through the following additional overall outcomes for particular precincts:</w:t>
      </w:r>
    </w:p>
    <w:p w14:paraId="72486EC4" w14:textId="77777777"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Bicentennial Drive enterprise precinct:</w:t>
      </w:r>
    </w:p>
    <w:p w14:paraId="5FCE484B" w14:textId="77777777" w:rsidR="00BE36FB" w:rsidRPr="009B7B35" w:rsidRDefault="00BE36FB" w:rsidP="00BE36FB">
      <w:pPr>
        <w:numPr>
          <w:ilvl w:val="2"/>
          <w:numId w:val="151"/>
        </w:numPr>
        <w:rPr>
          <w:rFonts w:ascii="Arial" w:hAnsi="Arial" w:cs="Arial"/>
          <w:sz w:val="20"/>
          <w:szCs w:val="20"/>
        </w:rPr>
      </w:pPr>
      <w:r w:rsidRPr="009B7B35">
        <w:rPr>
          <w:rFonts w:ascii="Arial" w:hAnsi="Arial" w:cs="Arial"/>
          <w:sz w:val="20"/>
          <w:szCs w:val="20"/>
        </w:rPr>
        <w:t>Supports a range of low impact business activities (not including shop, shopping centre or showroom), tourism uses and creative enterprises that operate on larger land parcels.</w:t>
      </w:r>
    </w:p>
    <w:p w14:paraId="07B83F17" w14:textId="77777777" w:rsidR="00BE36FB" w:rsidRPr="009B7B35" w:rsidRDefault="00BE36FB" w:rsidP="00BE36FB">
      <w:pPr>
        <w:numPr>
          <w:ilvl w:val="2"/>
          <w:numId w:val="151"/>
        </w:numPr>
        <w:rPr>
          <w:rFonts w:ascii="Arial" w:hAnsi="Arial" w:cs="Arial"/>
          <w:sz w:val="20"/>
          <w:szCs w:val="20"/>
        </w:rPr>
      </w:pPr>
      <w:r w:rsidRPr="009B7B35">
        <w:rPr>
          <w:rFonts w:ascii="Arial" w:hAnsi="Arial" w:cs="Arial"/>
          <w:sz w:val="20"/>
          <w:szCs w:val="20"/>
        </w:rPr>
        <w:t>Land use activities do not adversely affect the viability of the Agnes Water town centre.</w:t>
      </w:r>
    </w:p>
    <w:p w14:paraId="425900AA" w14:textId="77777777" w:rsidR="00BE36FB" w:rsidRPr="009B7B35" w:rsidRDefault="00BE36FB" w:rsidP="00BE36FB">
      <w:pPr>
        <w:numPr>
          <w:ilvl w:val="2"/>
          <w:numId w:val="151"/>
        </w:numPr>
        <w:rPr>
          <w:rFonts w:ascii="Arial" w:hAnsi="Arial" w:cs="Arial"/>
          <w:sz w:val="20"/>
          <w:szCs w:val="20"/>
        </w:rPr>
      </w:pPr>
      <w:r w:rsidRPr="009B7B35">
        <w:rPr>
          <w:rFonts w:ascii="Arial" w:hAnsi="Arial" w:cs="Arial"/>
          <w:sz w:val="20"/>
          <w:szCs w:val="20"/>
        </w:rPr>
        <w:t>Development is able to function appropriately without reticulated water and sewerage infrastructure.</w:t>
      </w:r>
    </w:p>
    <w:p w14:paraId="6B7B5325" w14:textId="77777777" w:rsidR="00BE36FB" w:rsidRPr="009B7B35" w:rsidRDefault="00BE36FB" w:rsidP="00BE36FB">
      <w:pPr>
        <w:numPr>
          <w:ilvl w:val="1"/>
          <w:numId w:val="151"/>
        </w:numPr>
        <w:rPr>
          <w:rFonts w:ascii="Arial" w:hAnsi="Arial" w:cs="Arial"/>
          <w:sz w:val="20"/>
          <w:szCs w:val="20"/>
        </w:rPr>
      </w:pPr>
      <w:r w:rsidRPr="009B7B35">
        <w:rPr>
          <w:rFonts w:ascii="Arial" w:hAnsi="Arial" w:cs="Arial"/>
          <w:sz w:val="20"/>
          <w:szCs w:val="20"/>
        </w:rPr>
        <w:t>Beecher/Burua constant flow precinct:</w:t>
      </w:r>
    </w:p>
    <w:p w14:paraId="7531A707" w14:textId="77777777" w:rsidR="00BE36FB" w:rsidRPr="009B7B35" w:rsidRDefault="00BE36FB" w:rsidP="00BE36FB">
      <w:pPr>
        <w:numPr>
          <w:ilvl w:val="2"/>
          <w:numId w:val="151"/>
        </w:numPr>
        <w:rPr>
          <w:rFonts w:ascii="Arial" w:hAnsi="Arial" w:cs="Arial"/>
          <w:sz w:val="20"/>
          <w:szCs w:val="20"/>
        </w:rPr>
      </w:pPr>
      <w:r w:rsidRPr="009B7B35">
        <w:rPr>
          <w:rFonts w:ascii="Arial" w:hAnsi="Arial" w:cs="Arial"/>
          <w:sz w:val="20"/>
          <w:szCs w:val="20"/>
        </w:rPr>
        <w:t>Development where creating new rural residential lots only occurs where suitable water pressure exists to cater for the proposed density and lots reflect the existing character of the area.</w:t>
      </w:r>
    </w:p>
    <w:p w14:paraId="0CE1A9AA" w14:textId="77777777" w:rsidR="00BE36FB" w:rsidRPr="009B7B35" w:rsidRDefault="00BE36FB" w:rsidP="00BE36FB">
      <w:pPr>
        <w:numPr>
          <w:ilvl w:val="2"/>
          <w:numId w:val="151"/>
        </w:numPr>
        <w:rPr>
          <w:rFonts w:ascii="Arial" w:hAnsi="Arial" w:cs="Arial"/>
          <w:sz w:val="20"/>
          <w:szCs w:val="20"/>
        </w:rPr>
      </w:pPr>
      <w:r w:rsidRPr="009B7B35">
        <w:rPr>
          <w:rFonts w:ascii="Arial" w:hAnsi="Arial" w:cs="Arial"/>
          <w:sz w:val="20"/>
          <w:szCs w:val="20"/>
        </w:rPr>
        <w:t xml:space="preserve">Where it is determined that water pressure is at capacity, development creating new or infill lots is not supported for the life of the Planning scheme. </w:t>
      </w:r>
    </w:p>
    <w:p w14:paraId="48368472"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6E83F143" w14:textId="77777777" w:rsidR="00BE36FB" w:rsidRPr="009B7B35" w:rsidRDefault="00BE36FB" w:rsidP="003A35DA">
      <w:pPr>
        <w:pStyle w:val="Heading5"/>
        <w:numPr>
          <w:ilvl w:val="0"/>
          <w:numId w:val="0"/>
        </w:numPr>
        <w:rPr>
          <w:rFonts w:cs="Arial"/>
          <w:szCs w:val="20"/>
        </w:rPr>
      </w:pPr>
      <w:r w:rsidRPr="009B7B35">
        <w:rPr>
          <w:rFonts w:cs="Arial"/>
          <w:szCs w:val="20"/>
        </w:rPr>
        <w:t>Table 6.2.23.3.1—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14:paraId="4B9FE9A8"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56CB8E1A"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5A175189"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658643E3" w14:textId="77777777" w:rsidTr="001A7107">
        <w:trPr>
          <w:cantSplit/>
        </w:trPr>
        <w:tc>
          <w:tcPr>
            <w:tcW w:w="9356" w:type="dxa"/>
            <w:gridSpan w:val="2"/>
            <w:shd w:val="clear" w:color="auto" w:fill="BFBFBF" w:themeFill="background1" w:themeFillShade="BF"/>
          </w:tcPr>
          <w:p w14:paraId="50D3B9A8"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01E91D72" w14:textId="77777777" w:rsidTr="001A7107">
        <w:trPr>
          <w:cantSplit/>
        </w:trPr>
        <w:tc>
          <w:tcPr>
            <w:tcW w:w="4678" w:type="dxa"/>
            <w:vMerge w:val="restart"/>
          </w:tcPr>
          <w:p w14:paraId="6AE73DD8" w14:textId="77777777" w:rsidR="00BE36FB" w:rsidRPr="009B7B35" w:rsidRDefault="00BE36FB" w:rsidP="001A7107">
            <w:pPr>
              <w:pStyle w:val="TableText"/>
              <w:rPr>
                <w:rFonts w:cs="Arial"/>
                <w:b/>
                <w:bCs/>
              </w:rPr>
            </w:pPr>
            <w:r w:rsidRPr="009B7B35">
              <w:rPr>
                <w:rFonts w:cs="Arial"/>
                <w:b/>
                <w:bCs/>
              </w:rPr>
              <w:t>PO1</w:t>
            </w:r>
          </w:p>
          <w:p w14:paraId="443C7444" w14:textId="77777777" w:rsidR="00BE36FB" w:rsidRPr="009B7B35" w:rsidRDefault="00BE36FB" w:rsidP="001A7107">
            <w:pPr>
              <w:pStyle w:val="TableText"/>
              <w:rPr>
                <w:rFonts w:cs="Arial"/>
              </w:rPr>
            </w:pPr>
            <w:r w:rsidRPr="009B7B35">
              <w:rPr>
                <w:rFonts w:cs="Arial"/>
              </w:rPr>
              <w:t xml:space="preserve">Development is ancillary to the primary use. </w:t>
            </w:r>
          </w:p>
        </w:tc>
        <w:tc>
          <w:tcPr>
            <w:tcW w:w="4678" w:type="dxa"/>
          </w:tcPr>
          <w:p w14:paraId="5E4524A6" w14:textId="77777777" w:rsidR="00BE36FB" w:rsidRPr="009B7B35" w:rsidRDefault="00BE36FB" w:rsidP="001A7107">
            <w:pPr>
              <w:pStyle w:val="TableText"/>
              <w:rPr>
                <w:rFonts w:cs="Arial"/>
                <w:b/>
                <w:bCs/>
              </w:rPr>
            </w:pPr>
            <w:r w:rsidRPr="009B7B35">
              <w:rPr>
                <w:rFonts w:cs="Arial"/>
                <w:b/>
                <w:bCs/>
              </w:rPr>
              <w:t>AO1.1</w:t>
            </w:r>
          </w:p>
          <w:p w14:paraId="1D9BED3E" w14:textId="77777777"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14:paraId="155BE7BB" w14:textId="77777777" w:rsidTr="001A7107">
        <w:trPr>
          <w:cantSplit/>
        </w:trPr>
        <w:tc>
          <w:tcPr>
            <w:tcW w:w="4678" w:type="dxa"/>
            <w:vMerge/>
          </w:tcPr>
          <w:p w14:paraId="671B618C" w14:textId="77777777" w:rsidR="00BE36FB" w:rsidRPr="009B7B35" w:rsidRDefault="00BE36FB" w:rsidP="001A7107">
            <w:pPr>
              <w:rPr>
                <w:rFonts w:cs="Arial"/>
                <w:sz w:val="20"/>
                <w:szCs w:val="20"/>
              </w:rPr>
            </w:pPr>
          </w:p>
        </w:tc>
        <w:tc>
          <w:tcPr>
            <w:tcW w:w="4678" w:type="dxa"/>
          </w:tcPr>
          <w:p w14:paraId="207A2E7A" w14:textId="77777777" w:rsidR="00BE36FB" w:rsidRPr="009B7B35" w:rsidRDefault="00BE36FB" w:rsidP="001A7107">
            <w:pPr>
              <w:pStyle w:val="TableText"/>
              <w:rPr>
                <w:rFonts w:cs="Arial"/>
                <w:b/>
                <w:bCs/>
              </w:rPr>
            </w:pPr>
            <w:r w:rsidRPr="009B7B35">
              <w:rPr>
                <w:rFonts w:cs="Arial"/>
                <w:b/>
                <w:bCs/>
              </w:rPr>
              <w:t>AO1.2</w:t>
            </w:r>
          </w:p>
          <w:p w14:paraId="0A55B70B" w14:textId="77777777"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GFA.</w:t>
            </w:r>
          </w:p>
        </w:tc>
      </w:tr>
      <w:tr w:rsidR="00BE36FB" w:rsidRPr="009B7B35" w14:paraId="7EC302C6" w14:textId="77777777" w:rsidTr="001A7107">
        <w:trPr>
          <w:cantSplit/>
        </w:trPr>
        <w:tc>
          <w:tcPr>
            <w:tcW w:w="9356" w:type="dxa"/>
            <w:gridSpan w:val="2"/>
            <w:shd w:val="clear" w:color="auto" w:fill="BFBFBF" w:themeFill="background1" w:themeFillShade="BF"/>
          </w:tcPr>
          <w:p w14:paraId="01D5B665" w14:textId="77777777" w:rsidR="00BE36FB" w:rsidRPr="009B7B35" w:rsidRDefault="00BE36FB" w:rsidP="001A7107">
            <w:pPr>
              <w:pStyle w:val="Tableheading"/>
              <w:rPr>
                <w:rFonts w:ascii="Arial" w:hAnsi="Arial" w:cs="Arial"/>
                <w:szCs w:val="20"/>
              </w:rPr>
            </w:pPr>
            <w:r w:rsidRPr="009B7B35">
              <w:rPr>
                <w:rFonts w:ascii="Arial" w:hAnsi="Arial" w:cs="Arial"/>
                <w:szCs w:val="20"/>
              </w:rPr>
              <w:t>Use – Roadside stall</w:t>
            </w:r>
          </w:p>
        </w:tc>
      </w:tr>
      <w:tr w:rsidR="00BE36FB" w:rsidRPr="009B7B35" w14:paraId="5DCAB9D1" w14:textId="77777777" w:rsidTr="001A7107">
        <w:trPr>
          <w:cantSplit/>
        </w:trPr>
        <w:tc>
          <w:tcPr>
            <w:tcW w:w="4678" w:type="dxa"/>
            <w:vMerge w:val="restart"/>
          </w:tcPr>
          <w:p w14:paraId="1A4E6E14" w14:textId="77777777" w:rsidR="00BE36FB" w:rsidRPr="009B7B35" w:rsidRDefault="00BE36FB" w:rsidP="001A7107">
            <w:pPr>
              <w:pStyle w:val="TableText"/>
              <w:rPr>
                <w:rFonts w:cs="Arial"/>
                <w:b/>
                <w:bCs/>
              </w:rPr>
            </w:pPr>
            <w:r w:rsidRPr="009B7B35">
              <w:rPr>
                <w:rFonts w:cs="Arial"/>
                <w:b/>
                <w:bCs/>
              </w:rPr>
              <w:t>PO2</w:t>
            </w:r>
          </w:p>
          <w:p w14:paraId="4DE1C151" w14:textId="77777777" w:rsidR="00BE36FB" w:rsidRPr="009B7B35" w:rsidRDefault="00BE36FB" w:rsidP="001A7107">
            <w:pPr>
              <w:pStyle w:val="TableText"/>
              <w:rPr>
                <w:rFonts w:cs="Arial"/>
              </w:rPr>
            </w:pPr>
            <w:r w:rsidRPr="009B7B35">
              <w:rPr>
                <w:rFonts w:cs="Arial"/>
              </w:rPr>
              <w:t>Roadside stalls are of a scale in keeping with the rural residential character of the area.</w:t>
            </w:r>
          </w:p>
        </w:tc>
        <w:tc>
          <w:tcPr>
            <w:tcW w:w="4678" w:type="dxa"/>
          </w:tcPr>
          <w:p w14:paraId="68C22846" w14:textId="77777777" w:rsidR="00BE36FB" w:rsidRPr="009B7B35" w:rsidRDefault="00BE36FB" w:rsidP="001A7107">
            <w:pPr>
              <w:pStyle w:val="TableText"/>
              <w:rPr>
                <w:rFonts w:cs="Arial"/>
                <w:b/>
                <w:bCs/>
              </w:rPr>
            </w:pPr>
            <w:r w:rsidRPr="009B7B35">
              <w:rPr>
                <w:rFonts w:cs="Arial"/>
                <w:b/>
                <w:bCs/>
              </w:rPr>
              <w:t>AO2.1</w:t>
            </w:r>
          </w:p>
          <w:p w14:paraId="7B8FFC30" w14:textId="77777777" w:rsidR="00BE36FB" w:rsidRPr="009B7B35" w:rsidRDefault="00BE36FB" w:rsidP="001A7107">
            <w:pPr>
              <w:pStyle w:val="TableText"/>
              <w:rPr>
                <w:rFonts w:cs="Arial"/>
              </w:rPr>
            </w:pPr>
            <w:r w:rsidRPr="009B7B35">
              <w:rPr>
                <w:rFonts w:cs="Arial"/>
              </w:rPr>
              <w:t>Structures associated with the use are limited to 30m</w:t>
            </w:r>
            <w:r w:rsidRPr="009B7B35">
              <w:rPr>
                <w:rStyle w:val="StyleSuperscript"/>
                <w:rFonts w:cs="Arial"/>
              </w:rPr>
              <w:t>2</w:t>
            </w:r>
            <w:r w:rsidRPr="009B7B35">
              <w:rPr>
                <w:rFonts w:cs="Arial"/>
              </w:rPr>
              <w:t xml:space="preserve"> GFA.</w:t>
            </w:r>
          </w:p>
        </w:tc>
      </w:tr>
      <w:tr w:rsidR="00BE36FB" w:rsidRPr="009B7B35" w14:paraId="3FC68562" w14:textId="77777777" w:rsidTr="001A7107">
        <w:trPr>
          <w:cantSplit/>
        </w:trPr>
        <w:tc>
          <w:tcPr>
            <w:tcW w:w="4678" w:type="dxa"/>
            <w:vMerge/>
          </w:tcPr>
          <w:p w14:paraId="454774D8" w14:textId="77777777" w:rsidR="00BE36FB" w:rsidRPr="009B7B35" w:rsidRDefault="00BE36FB" w:rsidP="001A7107">
            <w:pPr>
              <w:rPr>
                <w:rFonts w:cs="Arial"/>
                <w:sz w:val="20"/>
                <w:szCs w:val="20"/>
              </w:rPr>
            </w:pPr>
          </w:p>
        </w:tc>
        <w:tc>
          <w:tcPr>
            <w:tcW w:w="4678" w:type="dxa"/>
          </w:tcPr>
          <w:p w14:paraId="615A6E37" w14:textId="77777777" w:rsidR="00BE36FB" w:rsidRPr="009B7B35" w:rsidRDefault="00BE36FB" w:rsidP="001A7107">
            <w:pPr>
              <w:pStyle w:val="TableText"/>
              <w:rPr>
                <w:rFonts w:cs="Arial"/>
                <w:b/>
                <w:bCs/>
              </w:rPr>
            </w:pPr>
            <w:r w:rsidRPr="009B7B35">
              <w:rPr>
                <w:rFonts w:cs="Arial"/>
                <w:b/>
                <w:bCs/>
              </w:rPr>
              <w:t>AO2.2</w:t>
            </w:r>
          </w:p>
          <w:p w14:paraId="65431576" w14:textId="77777777" w:rsidR="00BE36FB" w:rsidRPr="009B7B35" w:rsidRDefault="00BE36FB" w:rsidP="001A7107">
            <w:pPr>
              <w:pStyle w:val="TableText"/>
              <w:rPr>
                <w:rFonts w:cs="Arial"/>
              </w:rPr>
            </w:pPr>
            <w:r w:rsidRPr="009B7B35">
              <w:rPr>
                <w:rFonts w:cs="Arial"/>
              </w:rPr>
              <w:t xml:space="preserve">Structures associated with the use are setback: </w:t>
            </w:r>
          </w:p>
          <w:p w14:paraId="599B35C5" w14:textId="77777777" w:rsidR="00BE36FB" w:rsidRPr="009B7B35" w:rsidRDefault="00BE36FB" w:rsidP="00BE36FB">
            <w:pPr>
              <w:numPr>
                <w:ilvl w:val="0"/>
                <w:numId w:val="357"/>
              </w:numPr>
              <w:rPr>
                <w:rFonts w:cs="Arial"/>
                <w:sz w:val="20"/>
                <w:szCs w:val="20"/>
              </w:rPr>
            </w:pPr>
            <w:r w:rsidRPr="009B7B35">
              <w:rPr>
                <w:rFonts w:cs="Arial"/>
                <w:sz w:val="20"/>
                <w:szCs w:val="20"/>
              </w:rPr>
              <w:t>0m from the front boundary and 3m from the side boundary for allotments greater than 2ha, or</w:t>
            </w:r>
          </w:p>
          <w:p w14:paraId="326AA19B" w14:textId="77777777" w:rsidR="00BE36FB" w:rsidRPr="009B7B35" w:rsidRDefault="00BE36FB" w:rsidP="00BE36FB">
            <w:pPr>
              <w:numPr>
                <w:ilvl w:val="0"/>
                <w:numId w:val="357"/>
              </w:numPr>
              <w:rPr>
                <w:rFonts w:cs="Arial"/>
                <w:sz w:val="20"/>
                <w:szCs w:val="20"/>
              </w:rPr>
            </w:pPr>
            <w:r w:rsidRPr="009B7B35">
              <w:rPr>
                <w:rFonts w:cs="Arial"/>
                <w:sz w:val="20"/>
                <w:szCs w:val="20"/>
              </w:rPr>
              <w:t>5m from the front boundary and 3m from the side boundary for allotments less than 2ha.</w:t>
            </w:r>
          </w:p>
        </w:tc>
      </w:tr>
      <w:tr w:rsidR="00BE36FB" w:rsidRPr="009B7B35" w14:paraId="6A10A0E0" w14:textId="77777777" w:rsidTr="001A7107">
        <w:trPr>
          <w:cantSplit/>
        </w:trPr>
        <w:tc>
          <w:tcPr>
            <w:tcW w:w="9356" w:type="dxa"/>
            <w:gridSpan w:val="2"/>
            <w:shd w:val="clear" w:color="auto" w:fill="BFBFBF" w:themeFill="background1" w:themeFillShade="BF"/>
          </w:tcPr>
          <w:p w14:paraId="3DF7E4C8" w14:textId="77777777" w:rsidR="00BE36FB" w:rsidRPr="009B7B35" w:rsidRDefault="00BE36FB" w:rsidP="001A7107">
            <w:pPr>
              <w:pStyle w:val="Tableheading"/>
              <w:rPr>
                <w:rFonts w:ascii="Arial" w:hAnsi="Arial" w:cs="Arial"/>
                <w:szCs w:val="20"/>
              </w:rPr>
            </w:pPr>
            <w:r w:rsidRPr="009B7B35">
              <w:rPr>
                <w:rFonts w:ascii="Arial" w:hAnsi="Arial" w:cs="Arial"/>
                <w:szCs w:val="20"/>
              </w:rPr>
              <w:t>Use – Sales office</w:t>
            </w:r>
          </w:p>
        </w:tc>
      </w:tr>
      <w:tr w:rsidR="00BE36FB" w:rsidRPr="009B7B35" w14:paraId="7C67C298" w14:textId="77777777" w:rsidTr="001A7107">
        <w:trPr>
          <w:cantSplit/>
        </w:trPr>
        <w:tc>
          <w:tcPr>
            <w:tcW w:w="4678" w:type="dxa"/>
            <w:vMerge w:val="restart"/>
          </w:tcPr>
          <w:p w14:paraId="1AF89183" w14:textId="77777777" w:rsidR="00BE36FB" w:rsidRPr="009B7B35" w:rsidRDefault="00BE36FB" w:rsidP="001A7107">
            <w:pPr>
              <w:pStyle w:val="TableText"/>
              <w:rPr>
                <w:rFonts w:cs="Arial"/>
                <w:b/>
                <w:bCs/>
              </w:rPr>
            </w:pPr>
            <w:r w:rsidRPr="009B7B35">
              <w:rPr>
                <w:rFonts w:cs="Arial"/>
                <w:b/>
                <w:bCs/>
              </w:rPr>
              <w:t>PO3</w:t>
            </w:r>
          </w:p>
          <w:p w14:paraId="4CF303CA" w14:textId="77777777" w:rsidR="00BE36FB" w:rsidRPr="009B7B35" w:rsidRDefault="00BE36FB" w:rsidP="001A7107">
            <w:pPr>
              <w:pStyle w:val="TableText"/>
              <w:rPr>
                <w:rFonts w:cs="Arial"/>
              </w:rPr>
            </w:pPr>
            <w:r w:rsidRPr="009B7B35">
              <w:rPr>
                <w:rFonts w:cs="Arial"/>
              </w:rPr>
              <w:t>The use does not adversely impact on the amenity of the surrounding land uses and local character.</w:t>
            </w:r>
          </w:p>
        </w:tc>
        <w:tc>
          <w:tcPr>
            <w:tcW w:w="4678" w:type="dxa"/>
          </w:tcPr>
          <w:p w14:paraId="21E534E0" w14:textId="77777777" w:rsidR="00BE36FB" w:rsidRPr="009B7B35" w:rsidRDefault="00BE36FB" w:rsidP="001A7107">
            <w:pPr>
              <w:pStyle w:val="TableText"/>
              <w:rPr>
                <w:rFonts w:cs="Arial"/>
                <w:b/>
                <w:bCs/>
              </w:rPr>
            </w:pPr>
            <w:r w:rsidRPr="009B7B35">
              <w:rPr>
                <w:rFonts w:cs="Arial"/>
                <w:b/>
                <w:bCs/>
              </w:rPr>
              <w:t>AO3.1</w:t>
            </w:r>
          </w:p>
          <w:p w14:paraId="712A3CB4" w14:textId="77777777" w:rsidR="00BE36FB" w:rsidRPr="009B7B35" w:rsidRDefault="00BE36FB" w:rsidP="001A7107">
            <w:pPr>
              <w:pStyle w:val="TableText"/>
              <w:rPr>
                <w:rFonts w:cs="Arial"/>
              </w:rPr>
            </w:pPr>
            <w:r w:rsidRPr="009B7B35">
              <w:rPr>
                <w:rFonts w:cs="Arial"/>
              </w:rPr>
              <w:t>Development of the sales office is in place for no more than two years.</w:t>
            </w:r>
          </w:p>
        </w:tc>
      </w:tr>
      <w:tr w:rsidR="00BE36FB" w:rsidRPr="009B7B35" w14:paraId="18FDDB21" w14:textId="77777777" w:rsidTr="001A7107">
        <w:trPr>
          <w:cantSplit/>
        </w:trPr>
        <w:tc>
          <w:tcPr>
            <w:tcW w:w="4678" w:type="dxa"/>
            <w:vMerge/>
          </w:tcPr>
          <w:p w14:paraId="33A12F24" w14:textId="77777777" w:rsidR="00BE36FB" w:rsidRPr="009B7B35" w:rsidRDefault="00BE36FB" w:rsidP="001A7107">
            <w:pPr>
              <w:rPr>
                <w:rFonts w:cs="Arial"/>
                <w:sz w:val="20"/>
                <w:szCs w:val="20"/>
              </w:rPr>
            </w:pPr>
          </w:p>
        </w:tc>
        <w:tc>
          <w:tcPr>
            <w:tcW w:w="4678" w:type="dxa"/>
          </w:tcPr>
          <w:p w14:paraId="499A3D89" w14:textId="77777777" w:rsidR="00BE36FB" w:rsidRPr="009B7B35" w:rsidRDefault="00BE36FB" w:rsidP="001A7107">
            <w:pPr>
              <w:pStyle w:val="TableText"/>
              <w:rPr>
                <w:rFonts w:cs="Arial"/>
                <w:b/>
                <w:bCs/>
              </w:rPr>
            </w:pPr>
            <w:r w:rsidRPr="009B7B35">
              <w:rPr>
                <w:rFonts w:cs="Arial"/>
                <w:b/>
                <w:bCs/>
              </w:rPr>
              <w:t>AO3.2</w:t>
            </w:r>
          </w:p>
          <w:p w14:paraId="3D379938" w14:textId="77777777" w:rsidR="00BE36FB" w:rsidRPr="009B7B35" w:rsidRDefault="00BE36FB" w:rsidP="001A7107">
            <w:pPr>
              <w:pStyle w:val="TableText"/>
              <w:rPr>
                <w:rFonts w:cs="Arial"/>
              </w:rPr>
            </w:pPr>
            <w:r w:rsidRPr="009B7B35">
              <w:rPr>
                <w:rFonts w:cs="Arial"/>
              </w:rPr>
              <w:t>The site coverage of the building is a maximum of 40% of the site area.</w:t>
            </w:r>
          </w:p>
        </w:tc>
      </w:tr>
      <w:tr w:rsidR="00BE36FB" w:rsidRPr="009B7B35" w14:paraId="4B7ECE55" w14:textId="77777777" w:rsidTr="001A7107">
        <w:trPr>
          <w:cantSplit/>
        </w:trPr>
        <w:tc>
          <w:tcPr>
            <w:tcW w:w="4678" w:type="dxa"/>
            <w:vMerge/>
          </w:tcPr>
          <w:p w14:paraId="5DCC3609" w14:textId="77777777" w:rsidR="00BE36FB" w:rsidRPr="009B7B35" w:rsidRDefault="00BE36FB" w:rsidP="001A7107">
            <w:pPr>
              <w:rPr>
                <w:rFonts w:cs="Arial"/>
                <w:sz w:val="20"/>
                <w:szCs w:val="20"/>
              </w:rPr>
            </w:pPr>
          </w:p>
        </w:tc>
        <w:tc>
          <w:tcPr>
            <w:tcW w:w="4678" w:type="dxa"/>
          </w:tcPr>
          <w:p w14:paraId="7E41E82F" w14:textId="77777777" w:rsidR="00BE36FB" w:rsidRPr="009B7B35" w:rsidRDefault="00BE36FB" w:rsidP="001A7107">
            <w:pPr>
              <w:pStyle w:val="TableText"/>
              <w:rPr>
                <w:rFonts w:cs="Arial"/>
                <w:b/>
                <w:bCs/>
              </w:rPr>
            </w:pPr>
            <w:r w:rsidRPr="009B7B35">
              <w:rPr>
                <w:rFonts w:cs="Arial"/>
                <w:b/>
                <w:bCs/>
              </w:rPr>
              <w:t>AO3.3</w:t>
            </w:r>
          </w:p>
          <w:p w14:paraId="41754903" w14:textId="77777777" w:rsidR="00BE36FB" w:rsidRPr="009B7B35" w:rsidRDefault="00BE36FB" w:rsidP="001A7107">
            <w:pPr>
              <w:pStyle w:val="TableText"/>
              <w:rPr>
                <w:rFonts w:cs="Arial"/>
              </w:rPr>
            </w:pPr>
            <w:r w:rsidRPr="009B7B35">
              <w:rPr>
                <w:rFonts w:cs="Arial"/>
              </w:rPr>
              <w:t>There are a maximum of 2 employees on site at any one time.</w:t>
            </w:r>
          </w:p>
        </w:tc>
      </w:tr>
      <w:tr w:rsidR="00BE36FB" w:rsidRPr="009B7B35" w14:paraId="0FEC124B" w14:textId="77777777" w:rsidTr="001A7107">
        <w:trPr>
          <w:cantSplit/>
        </w:trPr>
        <w:tc>
          <w:tcPr>
            <w:tcW w:w="4678" w:type="dxa"/>
            <w:vMerge/>
          </w:tcPr>
          <w:p w14:paraId="5ABE6F57" w14:textId="77777777" w:rsidR="00BE36FB" w:rsidRPr="009B7B35" w:rsidRDefault="00BE36FB" w:rsidP="001A7107">
            <w:pPr>
              <w:rPr>
                <w:rFonts w:cs="Arial"/>
                <w:sz w:val="20"/>
                <w:szCs w:val="20"/>
              </w:rPr>
            </w:pPr>
          </w:p>
        </w:tc>
        <w:tc>
          <w:tcPr>
            <w:tcW w:w="4678" w:type="dxa"/>
          </w:tcPr>
          <w:p w14:paraId="56C23BFD" w14:textId="77777777" w:rsidR="00BE36FB" w:rsidRPr="009B7B35" w:rsidRDefault="00BE36FB" w:rsidP="001A7107">
            <w:pPr>
              <w:pStyle w:val="TableText"/>
              <w:rPr>
                <w:rFonts w:cs="Arial"/>
                <w:b/>
                <w:bCs/>
              </w:rPr>
            </w:pPr>
            <w:r w:rsidRPr="009B7B35">
              <w:rPr>
                <w:rFonts w:cs="Arial"/>
                <w:b/>
                <w:bCs/>
              </w:rPr>
              <w:t>AO3.4</w:t>
            </w:r>
          </w:p>
          <w:p w14:paraId="74843B83" w14:textId="77777777" w:rsidR="00BE36FB" w:rsidRPr="009B7B35" w:rsidRDefault="00BE36FB" w:rsidP="001A7107">
            <w:pPr>
              <w:pStyle w:val="TableText"/>
              <w:rPr>
                <w:rFonts w:cs="Arial"/>
              </w:rPr>
            </w:pPr>
            <w:r w:rsidRPr="009B7B35">
              <w:rPr>
                <w:rFonts w:cs="Arial"/>
              </w:rPr>
              <w:t>The use operates between 9am and 10pm Monday to Saturday and 9am and 1pm on Sunday.</w:t>
            </w:r>
          </w:p>
        </w:tc>
      </w:tr>
      <w:tr w:rsidR="00BE36FB" w:rsidRPr="009B7B35" w14:paraId="3A8BC0F2" w14:textId="77777777" w:rsidTr="001A7107">
        <w:trPr>
          <w:cantSplit/>
        </w:trPr>
        <w:tc>
          <w:tcPr>
            <w:tcW w:w="9356" w:type="dxa"/>
            <w:gridSpan w:val="2"/>
            <w:shd w:val="clear" w:color="auto" w:fill="BFBFBF" w:themeFill="background1" w:themeFillShade="BF"/>
          </w:tcPr>
          <w:p w14:paraId="6E868AE7" w14:textId="77777777" w:rsidR="00BE36FB" w:rsidRPr="009B7B35" w:rsidRDefault="00BE36FB" w:rsidP="001A7107">
            <w:pPr>
              <w:pStyle w:val="Tableheading"/>
              <w:rPr>
                <w:rFonts w:ascii="Arial" w:hAnsi="Arial" w:cs="Arial"/>
                <w:szCs w:val="20"/>
              </w:rPr>
            </w:pPr>
            <w:r w:rsidRPr="009B7B35">
              <w:rPr>
                <w:rFonts w:ascii="Arial" w:hAnsi="Arial" w:cs="Arial"/>
                <w:szCs w:val="20"/>
              </w:rPr>
              <w:t>Built form (if involving building work)</w:t>
            </w:r>
          </w:p>
        </w:tc>
      </w:tr>
      <w:tr w:rsidR="00BE36FB" w:rsidRPr="009B7B35" w14:paraId="4F8C2469" w14:textId="77777777" w:rsidTr="001A7107">
        <w:trPr>
          <w:cantSplit/>
        </w:trPr>
        <w:tc>
          <w:tcPr>
            <w:tcW w:w="4678" w:type="dxa"/>
          </w:tcPr>
          <w:p w14:paraId="1E75D5AA" w14:textId="77777777" w:rsidR="00BE36FB" w:rsidRPr="009B7B35" w:rsidRDefault="00BE36FB" w:rsidP="001A7107">
            <w:pPr>
              <w:pStyle w:val="TableText"/>
              <w:rPr>
                <w:rFonts w:cs="Arial"/>
                <w:b/>
                <w:bCs/>
              </w:rPr>
            </w:pPr>
            <w:r w:rsidRPr="009B7B35">
              <w:rPr>
                <w:rFonts w:cs="Arial"/>
                <w:b/>
                <w:bCs/>
              </w:rPr>
              <w:t>PO4</w:t>
            </w:r>
          </w:p>
          <w:p w14:paraId="299294C1" w14:textId="77777777" w:rsidR="00BE36FB" w:rsidRPr="009B7B35" w:rsidRDefault="00BE36FB" w:rsidP="001A7107">
            <w:pPr>
              <w:pStyle w:val="TableText"/>
              <w:rPr>
                <w:rFonts w:cs="Arial"/>
              </w:rPr>
            </w:pPr>
            <w:r w:rsidRPr="009B7B35">
              <w:rPr>
                <w:rFonts w:cs="Arial"/>
              </w:rPr>
              <w:t>Buildings are designed and located so as not to adversely impact on the rural residential character of the area.</w:t>
            </w:r>
          </w:p>
        </w:tc>
        <w:tc>
          <w:tcPr>
            <w:tcW w:w="4678" w:type="dxa"/>
          </w:tcPr>
          <w:p w14:paraId="77617A37" w14:textId="77777777" w:rsidR="00BE36FB" w:rsidRPr="009B7B35" w:rsidRDefault="00BE36FB" w:rsidP="001A7107">
            <w:pPr>
              <w:pStyle w:val="TableText"/>
              <w:rPr>
                <w:rFonts w:cs="Arial"/>
                <w:b/>
                <w:bCs/>
              </w:rPr>
            </w:pPr>
            <w:r w:rsidRPr="009B7B35">
              <w:rPr>
                <w:rFonts w:cs="Arial"/>
                <w:b/>
                <w:bCs/>
              </w:rPr>
              <w:t>AO4</w:t>
            </w:r>
          </w:p>
          <w:p w14:paraId="719A8278" w14:textId="77777777" w:rsidR="00BE36FB" w:rsidRPr="009B7B35" w:rsidRDefault="00BE36FB" w:rsidP="001A7107">
            <w:pPr>
              <w:pStyle w:val="TableText"/>
              <w:rPr>
                <w:rFonts w:cs="Arial"/>
              </w:rPr>
            </w:pPr>
            <w:r w:rsidRPr="009B7B35">
              <w:rPr>
                <w:rFonts w:cs="Arial"/>
              </w:rPr>
              <w:t>Building height does not exceed 8.5m.</w:t>
            </w:r>
          </w:p>
        </w:tc>
      </w:tr>
      <w:tr w:rsidR="00BE36FB" w:rsidRPr="009B7B35" w14:paraId="3BDB93B2" w14:textId="77777777" w:rsidTr="001A7107">
        <w:trPr>
          <w:cantSplit/>
        </w:trPr>
        <w:tc>
          <w:tcPr>
            <w:tcW w:w="4678" w:type="dxa"/>
          </w:tcPr>
          <w:p w14:paraId="4E5DC2DC" w14:textId="77777777" w:rsidR="00BE36FB" w:rsidRPr="009B7B35" w:rsidRDefault="00BE36FB" w:rsidP="001A7107">
            <w:pPr>
              <w:pStyle w:val="TableText"/>
              <w:rPr>
                <w:rFonts w:cs="Arial"/>
                <w:b/>
                <w:bCs/>
              </w:rPr>
            </w:pPr>
            <w:r w:rsidRPr="009B7B35">
              <w:rPr>
                <w:rFonts w:cs="Arial"/>
                <w:b/>
                <w:bCs/>
              </w:rPr>
              <w:t>PO5</w:t>
            </w:r>
          </w:p>
          <w:p w14:paraId="7E094F47" w14:textId="77777777" w:rsidR="00BE36FB" w:rsidRPr="009B7B35" w:rsidRDefault="00BE36FB" w:rsidP="001A7107">
            <w:pPr>
              <w:pStyle w:val="TableText"/>
              <w:rPr>
                <w:rFonts w:cs="Arial"/>
              </w:rPr>
            </w:pPr>
            <w:r w:rsidRPr="009B7B35">
              <w:rPr>
                <w:rFonts w:cs="Arial"/>
              </w:rPr>
              <w:t>Buildings and other structures are located on the site to:</w:t>
            </w:r>
          </w:p>
          <w:p w14:paraId="4633636F" w14:textId="77777777" w:rsidR="00BE36FB" w:rsidRPr="009B7B35" w:rsidRDefault="00BE36FB" w:rsidP="00BE36FB">
            <w:pPr>
              <w:numPr>
                <w:ilvl w:val="0"/>
                <w:numId w:val="359"/>
              </w:numPr>
              <w:rPr>
                <w:rFonts w:cs="Arial"/>
                <w:sz w:val="20"/>
                <w:szCs w:val="20"/>
              </w:rPr>
            </w:pPr>
            <w:r w:rsidRPr="009B7B35">
              <w:rPr>
                <w:rFonts w:cs="Arial"/>
                <w:sz w:val="20"/>
                <w:szCs w:val="20"/>
              </w:rPr>
              <w:t xml:space="preserve">protect the amenity of residents and neighbours, and </w:t>
            </w:r>
          </w:p>
          <w:p w14:paraId="3C7A70EA" w14:textId="77777777" w:rsidR="00BE36FB" w:rsidRPr="009B7B35" w:rsidRDefault="00BE36FB" w:rsidP="00BE36FB">
            <w:pPr>
              <w:numPr>
                <w:ilvl w:val="0"/>
                <w:numId w:val="359"/>
              </w:numPr>
              <w:rPr>
                <w:rFonts w:cs="Arial"/>
                <w:sz w:val="20"/>
                <w:szCs w:val="20"/>
              </w:rPr>
            </w:pPr>
            <w:r w:rsidRPr="009B7B35">
              <w:rPr>
                <w:rFonts w:cs="Arial"/>
                <w:sz w:val="20"/>
                <w:szCs w:val="20"/>
              </w:rPr>
              <w:t>not impact on existing rural industries on neighbouring rural zoned land.</w:t>
            </w:r>
          </w:p>
        </w:tc>
        <w:tc>
          <w:tcPr>
            <w:tcW w:w="4678" w:type="dxa"/>
          </w:tcPr>
          <w:p w14:paraId="404AA7CF" w14:textId="77777777" w:rsidR="00BE36FB" w:rsidRPr="009B7B35" w:rsidRDefault="00BE36FB" w:rsidP="001A7107">
            <w:pPr>
              <w:pStyle w:val="TableText"/>
              <w:rPr>
                <w:rFonts w:cs="Arial"/>
                <w:b/>
                <w:bCs/>
              </w:rPr>
            </w:pPr>
            <w:r w:rsidRPr="009B7B35">
              <w:rPr>
                <w:rFonts w:cs="Arial"/>
                <w:b/>
                <w:bCs/>
              </w:rPr>
              <w:t>AO5</w:t>
            </w:r>
          </w:p>
          <w:p w14:paraId="0B149222" w14:textId="77777777" w:rsidR="00BE36FB" w:rsidRPr="009B7B35" w:rsidRDefault="00BE36FB" w:rsidP="001A7107">
            <w:pPr>
              <w:pStyle w:val="TableText"/>
              <w:rPr>
                <w:rFonts w:cs="Arial"/>
              </w:rPr>
            </w:pPr>
            <w:r w:rsidRPr="009B7B35">
              <w:rPr>
                <w:rFonts w:cs="Arial"/>
              </w:rPr>
              <w:t>Buildings, other than a roadside stall, are setback a minimum of:</w:t>
            </w:r>
          </w:p>
          <w:p w14:paraId="2F36E557" w14:textId="77777777" w:rsidR="00BE36FB" w:rsidRPr="009B7B35" w:rsidRDefault="00BE36FB" w:rsidP="00BE36FB">
            <w:pPr>
              <w:numPr>
                <w:ilvl w:val="0"/>
                <w:numId w:val="358"/>
              </w:numPr>
              <w:ind w:left="510" w:hanging="510"/>
              <w:rPr>
                <w:rFonts w:cs="Arial"/>
                <w:sz w:val="20"/>
                <w:szCs w:val="20"/>
              </w:rPr>
            </w:pPr>
            <w:r w:rsidRPr="009B7B35">
              <w:rPr>
                <w:rFonts w:cs="Arial"/>
                <w:sz w:val="20"/>
                <w:szCs w:val="20"/>
              </w:rPr>
              <w:t>6m from the front boundary and 3m from the side boundaries for allotments greater than 2ha, or</w:t>
            </w:r>
          </w:p>
          <w:p w14:paraId="6808FCEA" w14:textId="77777777" w:rsidR="00BE36FB" w:rsidRPr="009B7B35" w:rsidRDefault="00BE36FB" w:rsidP="00BE36FB">
            <w:pPr>
              <w:numPr>
                <w:ilvl w:val="0"/>
                <w:numId w:val="358"/>
              </w:numPr>
              <w:ind w:left="510" w:hanging="510"/>
              <w:rPr>
                <w:rFonts w:cs="Arial"/>
                <w:sz w:val="20"/>
                <w:szCs w:val="20"/>
              </w:rPr>
            </w:pPr>
            <w:r w:rsidRPr="009B7B35">
              <w:rPr>
                <w:rFonts w:cs="Arial"/>
                <w:sz w:val="20"/>
                <w:szCs w:val="20"/>
              </w:rPr>
              <w:t>5m front boundary and 3m side boundaries for allotments less than 2ha.</w:t>
            </w:r>
          </w:p>
        </w:tc>
      </w:tr>
      <w:tr w:rsidR="00BE36FB" w:rsidRPr="009B7B35" w14:paraId="1CAF5229" w14:textId="77777777" w:rsidTr="001A7107">
        <w:trPr>
          <w:cantSplit/>
        </w:trPr>
        <w:tc>
          <w:tcPr>
            <w:tcW w:w="9356" w:type="dxa"/>
            <w:gridSpan w:val="2"/>
            <w:shd w:val="clear" w:color="auto" w:fill="BFBFBF" w:themeFill="background1" w:themeFillShade="BF"/>
          </w:tcPr>
          <w:p w14:paraId="71BDE2B6" w14:textId="77777777"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14:paraId="19F2A258" w14:textId="77777777" w:rsidTr="001A7107">
        <w:tc>
          <w:tcPr>
            <w:tcW w:w="4678" w:type="dxa"/>
            <w:vMerge w:val="restart"/>
          </w:tcPr>
          <w:p w14:paraId="0CEFB40F" w14:textId="77777777" w:rsidR="00BE36FB" w:rsidRPr="009B7B35" w:rsidRDefault="00BE36FB" w:rsidP="001A7107">
            <w:pPr>
              <w:pStyle w:val="TableText"/>
              <w:rPr>
                <w:rFonts w:cs="Arial"/>
                <w:b/>
                <w:bCs/>
              </w:rPr>
            </w:pPr>
            <w:r w:rsidRPr="009B7B35">
              <w:rPr>
                <w:rFonts w:cs="Arial"/>
                <w:b/>
                <w:bCs/>
              </w:rPr>
              <w:t>PO6</w:t>
            </w:r>
          </w:p>
          <w:p w14:paraId="62DB49A9" w14:textId="77777777" w:rsidR="00BE36FB" w:rsidRPr="009B7B35" w:rsidRDefault="00BE36FB" w:rsidP="001A7107">
            <w:pPr>
              <w:pStyle w:val="TableText"/>
              <w:rPr>
                <w:rFonts w:cs="Arial"/>
              </w:rPr>
            </w:pPr>
            <w:r w:rsidRPr="009B7B35">
              <w:rPr>
                <w:rFonts w:cs="Arial"/>
              </w:rPr>
              <w:t>Residential density reflects the very low intensity character of the locality.</w:t>
            </w:r>
          </w:p>
        </w:tc>
        <w:tc>
          <w:tcPr>
            <w:tcW w:w="4678" w:type="dxa"/>
          </w:tcPr>
          <w:p w14:paraId="11A5CAAA" w14:textId="77777777" w:rsidR="00BE36FB" w:rsidRPr="009B7B35" w:rsidRDefault="00BE36FB" w:rsidP="001A7107">
            <w:pPr>
              <w:pStyle w:val="TableText"/>
              <w:rPr>
                <w:rFonts w:cs="Arial"/>
                <w:b/>
                <w:bCs/>
              </w:rPr>
            </w:pPr>
            <w:r w:rsidRPr="009B7B35">
              <w:rPr>
                <w:rFonts w:cs="Arial"/>
                <w:b/>
                <w:bCs/>
              </w:rPr>
              <w:t>AO6.1</w:t>
            </w:r>
          </w:p>
          <w:p w14:paraId="205C8F50" w14:textId="77777777" w:rsidR="00BE36FB" w:rsidRPr="009B7B35" w:rsidRDefault="00BE36FB" w:rsidP="001A7107">
            <w:pPr>
              <w:pStyle w:val="TableText"/>
              <w:rPr>
                <w:rFonts w:cs="Arial"/>
              </w:rPr>
            </w:pPr>
            <w:r w:rsidRPr="009B7B35">
              <w:rPr>
                <w:rFonts w:cs="Arial"/>
              </w:rPr>
              <w:t>Residential density is limited to one dwelling house per allotment including a secondary dwelling.</w:t>
            </w:r>
          </w:p>
        </w:tc>
      </w:tr>
      <w:tr w:rsidR="00BE36FB" w:rsidRPr="009B7B35" w14:paraId="779AC8D8" w14:textId="77777777" w:rsidTr="001A7107">
        <w:tc>
          <w:tcPr>
            <w:tcW w:w="4678" w:type="dxa"/>
            <w:vMerge/>
          </w:tcPr>
          <w:p w14:paraId="0C4AB8E1" w14:textId="77777777" w:rsidR="00BE36FB" w:rsidRPr="009B7B35" w:rsidRDefault="00BE36FB" w:rsidP="001A7107">
            <w:pPr>
              <w:rPr>
                <w:rFonts w:cs="Arial"/>
                <w:sz w:val="20"/>
                <w:szCs w:val="20"/>
              </w:rPr>
            </w:pPr>
          </w:p>
        </w:tc>
        <w:tc>
          <w:tcPr>
            <w:tcW w:w="4678" w:type="dxa"/>
          </w:tcPr>
          <w:p w14:paraId="29A337FA" w14:textId="77777777" w:rsidR="00BE36FB" w:rsidRPr="009B7B35" w:rsidRDefault="00BE36FB" w:rsidP="001A7107">
            <w:pPr>
              <w:pStyle w:val="TableText"/>
              <w:rPr>
                <w:rFonts w:cs="Arial"/>
                <w:b/>
                <w:bCs/>
              </w:rPr>
            </w:pPr>
            <w:r w:rsidRPr="009B7B35">
              <w:rPr>
                <w:rFonts w:cs="Arial"/>
                <w:b/>
                <w:bCs/>
              </w:rPr>
              <w:t>AO6.2</w:t>
            </w:r>
          </w:p>
          <w:p w14:paraId="75A73A0C" w14:textId="77777777" w:rsidR="00BE36FB" w:rsidRPr="009B7B35" w:rsidRDefault="00BE36FB">
            <w:pPr>
              <w:pStyle w:val="TableText"/>
              <w:rPr>
                <w:rFonts w:cs="Arial"/>
              </w:rPr>
            </w:pPr>
            <w:r w:rsidRPr="009B7B35">
              <w:rPr>
                <w:rFonts w:cs="Arial"/>
              </w:rPr>
              <w:t xml:space="preserve">Where a dwelling house, any secondary dwelling is: </w:t>
            </w:r>
          </w:p>
          <w:p w14:paraId="2B6AE276" w14:textId="77777777" w:rsidR="00BE36FB" w:rsidRPr="009B7B35" w:rsidRDefault="00BE36FB" w:rsidP="00BE36FB">
            <w:pPr>
              <w:pStyle w:val="TableText"/>
              <w:numPr>
                <w:ilvl w:val="0"/>
                <w:numId w:val="416"/>
              </w:numPr>
              <w:rPr>
                <w:rFonts w:cs="Arial"/>
              </w:rPr>
            </w:pPr>
            <w:r w:rsidRPr="009B7B35">
              <w:rPr>
                <w:rFonts w:cs="Arial"/>
              </w:rPr>
              <w:t>a maximum of 80m</w:t>
            </w:r>
            <w:r w:rsidRPr="009B7B35">
              <w:rPr>
                <w:rStyle w:val="StyleSuperscript"/>
                <w:rFonts w:cs="Arial"/>
              </w:rPr>
              <w:t>2</w:t>
            </w:r>
            <w:r w:rsidRPr="009B7B35">
              <w:rPr>
                <w:rFonts w:cs="Arial"/>
              </w:rPr>
              <w:t xml:space="preserve"> GFA</w:t>
            </w:r>
          </w:p>
          <w:p w14:paraId="3E7E8556" w14:textId="77777777" w:rsidR="00BE36FB" w:rsidRPr="009B7B35" w:rsidRDefault="00BE36FB" w:rsidP="00BE36FB">
            <w:pPr>
              <w:pStyle w:val="TableText"/>
              <w:numPr>
                <w:ilvl w:val="0"/>
                <w:numId w:val="416"/>
              </w:numPr>
              <w:rPr>
                <w:rFonts w:cs="Arial"/>
              </w:rPr>
            </w:pPr>
            <w:r w:rsidRPr="009B7B35">
              <w:rPr>
                <w:rFonts w:cs="Arial"/>
              </w:rPr>
              <w:t>located within 50m of the main building</w:t>
            </w:r>
          </w:p>
          <w:p w14:paraId="16CDFE20" w14:textId="77777777" w:rsidR="00BE36FB" w:rsidRPr="009B7B35" w:rsidRDefault="00BE36FB" w:rsidP="001A7107">
            <w:pPr>
              <w:pStyle w:val="TableText"/>
              <w:ind w:left="567" w:hanging="567"/>
              <w:rPr>
                <w:rFonts w:cs="Arial"/>
              </w:rPr>
            </w:pPr>
            <w:r w:rsidRPr="009B7B35">
              <w:rPr>
                <w:rFonts w:cs="Arial"/>
              </w:rPr>
              <w:t>(c)</w:t>
            </w:r>
            <w:r w:rsidRPr="009B7B35">
              <w:rPr>
                <w:rFonts w:cs="Arial"/>
              </w:rPr>
              <w:tab/>
              <w:t>linked to the main building by a defined footpath in the most direct route possible.</w:t>
            </w:r>
          </w:p>
        </w:tc>
      </w:tr>
      <w:tr w:rsidR="00BE36FB" w:rsidRPr="009B7B35" w14:paraId="1C042ED3" w14:textId="77777777" w:rsidTr="001A7107">
        <w:tc>
          <w:tcPr>
            <w:tcW w:w="9356" w:type="dxa"/>
            <w:gridSpan w:val="2"/>
          </w:tcPr>
          <w:p w14:paraId="081801A8"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76A6BF5F" w14:textId="77777777" w:rsidTr="001A7107">
        <w:tc>
          <w:tcPr>
            <w:tcW w:w="9356" w:type="dxa"/>
            <w:gridSpan w:val="2"/>
            <w:shd w:val="clear" w:color="auto" w:fill="BFBFBF" w:themeFill="background1" w:themeFillShade="BF"/>
          </w:tcPr>
          <w:p w14:paraId="67850F3F"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14:paraId="0AA5BB1D" w14:textId="77777777" w:rsidTr="001A7107">
        <w:tc>
          <w:tcPr>
            <w:tcW w:w="4678" w:type="dxa"/>
          </w:tcPr>
          <w:p w14:paraId="76089765" w14:textId="77777777" w:rsidR="00BE36FB" w:rsidRPr="009B7B35" w:rsidRDefault="00BE36FB" w:rsidP="001A7107">
            <w:pPr>
              <w:pStyle w:val="TableText"/>
              <w:rPr>
                <w:rFonts w:cs="Arial"/>
                <w:b/>
                <w:bCs/>
              </w:rPr>
            </w:pPr>
            <w:r w:rsidRPr="009B7B35">
              <w:rPr>
                <w:rFonts w:cs="Arial"/>
                <w:b/>
                <w:bCs/>
              </w:rPr>
              <w:t>PO7</w:t>
            </w:r>
          </w:p>
          <w:p w14:paraId="42A4EF82" w14:textId="77777777" w:rsidR="00BE36FB" w:rsidRPr="009B7B35" w:rsidRDefault="00BE36FB" w:rsidP="001A7107">
            <w:pPr>
              <w:pStyle w:val="TableText"/>
              <w:rPr>
                <w:rFonts w:cs="Arial"/>
              </w:rPr>
            </w:pPr>
            <w:r w:rsidRPr="009B7B35">
              <w:rPr>
                <w:rFonts w:cs="Arial"/>
              </w:rPr>
              <w:t>Non–residential uses and are limited to those which:</w:t>
            </w:r>
          </w:p>
          <w:p w14:paraId="4C8524C5" w14:textId="77777777" w:rsidR="00BE36FB" w:rsidRPr="009B7B35" w:rsidRDefault="00BE36FB" w:rsidP="00BE36FB">
            <w:pPr>
              <w:numPr>
                <w:ilvl w:val="0"/>
                <w:numId w:val="356"/>
              </w:numPr>
              <w:ind w:left="510" w:hanging="510"/>
              <w:rPr>
                <w:rFonts w:cs="Arial"/>
                <w:sz w:val="20"/>
                <w:szCs w:val="20"/>
              </w:rPr>
            </w:pPr>
            <w:r w:rsidRPr="009B7B35">
              <w:rPr>
                <w:rFonts w:cs="Arial"/>
                <w:sz w:val="20"/>
                <w:szCs w:val="20"/>
              </w:rPr>
              <w:t>are subordinate to the primary residential use (where not in the Bicentennial Drive Enterprise precinct) and support the day to day needs of residents.</w:t>
            </w:r>
          </w:p>
          <w:p w14:paraId="2AE06B8A" w14:textId="77777777" w:rsidR="00BE36FB" w:rsidRPr="009B7B35" w:rsidRDefault="00BE36FB" w:rsidP="00BE36FB">
            <w:pPr>
              <w:numPr>
                <w:ilvl w:val="0"/>
                <w:numId w:val="356"/>
              </w:numPr>
              <w:ind w:left="510" w:hanging="510"/>
              <w:rPr>
                <w:rFonts w:cs="Arial"/>
                <w:sz w:val="20"/>
                <w:szCs w:val="20"/>
              </w:rPr>
            </w:pPr>
            <w:r w:rsidRPr="009B7B35">
              <w:rPr>
                <w:rFonts w:cs="Arial"/>
                <w:sz w:val="20"/>
                <w:szCs w:val="20"/>
              </w:rPr>
              <w:t>do not impact on residential amenity</w:t>
            </w:r>
          </w:p>
          <w:p w14:paraId="7E8A5C07" w14:textId="77777777" w:rsidR="00BE36FB" w:rsidRPr="009B7B35" w:rsidRDefault="00BE36FB" w:rsidP="00BE36FB">
            <w:pPr>
              <w:numPr>
                <w:ilvl w:val="0"/>
                <w:numId w:val="356"/>
              </w:numPr>
              <w:ind w:left="510" w:hanging="510"/>
              <w:rPr>
                <w:rFonts w:cs="Arial"/>
                <w:sz w:val="20"/>
                <w:szCs w:val="20"/>
              </w:rPr>
            </w:pPr>
            <w:r w:rsidRPr="009B7B35">
              <w:rPr>
                <w:rFonts w:cs="Arial"/>
                <w:sz w:val="20"/>
                <w:szCs w:val="20"/>
              </w:rPr>
              <w:t>are compatible with neighbouring rural uses</w:t>
            </w:r>
          </w:p>
          <w:p w14:paraId="1CF98303" w14:textId="77777777" w:rsidR="00BE36FB" w:rsidRPr="009B7B35" w:rsidRDefault="00BE36FB" w:rsidP="00BE36FB">
            <w:pPr>
              <w:numPr>
                <w:ilvl w:val="0"/>
                <w:numId w:val="356"/>
              </w:numPr>
              <w:ind w:left="510" w:hanging="510"/>
              <w:rPr>
                <w:rFonts w:cs="Arial"/>
                <w:sz w:val="20"/>
                <w:szCs w:val="20"/>
              </w:rPr>
            </w:pPr>
            <w:r w:rsidRPr="009B7B35">
              <w:rPr>
                <w:rFonts w:cs="Arial"/>
                <w:sz w:val="20"/>
                <w:szCs w:val="20"/>
              </w:rPr>
              <w:t>are complementary to local character and amenity; and</w:t>
            </w:r>
          </w:p>
          <w:p w14:paraId="2B23D758" w14:textId="77777777" w:rsidR="00BE36FB" w:rsidRPr="009B7B35" w:rsidRDefault="00BE36FB" w:rsidP="00BE36FB">
            <w:pPr>
              <w:numPr>
                <w:ilvl w:val="0"/>
                <w:numId w:val="356"/>
              </w:numPr>
              <w:ind w:left="510" w:hanging="510"/>
              <w:rPr>
                <w:rFonts w:cs="Arial"/>
                <w:sz w:val="20"/>
                <w:szCs w:val="20"/>
              </w:rPr>
            </w:pPr>
            <w:r w:rsidRPr="009B7B35">
              <w:rPr>
                <w:rFonts w:cs="Arial"/>
                <w:sz w:val="20"/>
                <w:szCs w:val="20"/>
              </w:rPr>
              <w:t>are home businesses, small scale tourist uses, low impact creative enterprises or small scale horticulture.</w:t>
            </w:r>
          </w:p>
        </w:tc>
        <w:tc>
          <w:tcPr>
            <w:tcW w:w="4678" w:type="dxa"/>
          </w:tcPr>
          <w:p w14:paraId="190908DD"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488D003" w14:textId="77777777" w:rsidTr="001A7107">
        <w:trPr>
          <w:cantSplit/>
        </w:trPr>
        <w:tc>
          <w:tcPr>
            <w:tcW w:w="9356" w:type="dxa"/>
            <w:gridSpan w:val="2"/>
            <w:shd w:val="clear" w:color="auto" w:fill="BFBFBF" w:themeFill="background1" w:themeFillShade="BF"/>
          </w:tcPr>
          <w:p w14:paraId="1307FD30" w14:textId="77777777" w:rsidR="00BE36FB" w:rsidRPr="009B7B35" w:rsidRDefault="00BE36FB" w:rsidP="001A7107">
            <w:pPr>
              <w:pStyle w:val="Tableheading"/>
              <w:rPr>
                <w:rFonts w:ascii="Arial" w:hAnsi="Arial" w:cs="Arial"/>
                <w:szCs w:val="20"/>
              </w:rPr>
            </w:pPr>
            <w:r w:rsidRPr="009B7B35">
              <w:rPr>
                <w:rFonts w:ascii="Arial" w:hAnsi="Arial" w:cs="Arial"/>
                <w:szCs w:val="20"/>
              </w:rPr>
              <w:t>Community use</w:t>
            </w:r>
          </w:p>
        </w:tc>
      </w:tr>
      <w:tr w:rsidR="00BE36FB" w:rsidRPr="009B7B35" w14:paraId="44BB19D6" w14:textId="77777777" w:rsidTr="001A7107">
        <w:trPr>
          <w:cantSplit/>
        </w:trPr>
        <w:tc>
          <w:tcPr>
            <w:tcW w:w="4678" w:type="dxa"/>
            <w:vMerge w:val="restart"/>
          </w:tcPr>
          <w:p w14:paraId="7FA0D80E" w14:textId="77777777" w:rsidR="00BE36FB" w:rsidRPr="009B7B35" w:rsidRDefault="00BE36FB" w:rsidP="001A7107">
            <w:pPr>
              <w:pStyle w:val="TableText"/>
              <w:rPr>
                <w:rFonts w:cs="Arial"/>
                <w:b/>
                <w:bCs/>
              </w:rPr>
            </w:pPr>
            <w:r w:rsidRPr="009B7B35">
              <w:rPr>
                <w:rFonts w:cs="Arial"/>
                <w:b/>
                <w:bCs/>
              </w:rPr>
              <w:t>PO8</w:t>
            </w:r>
          </w:p>
          <w:p w14:paraId="588D908A" w14:textId="77777777" w:rsidR="00BE36FB" w:rsidRPr="009B7B35" w:rsidRDefault="00BE36FB" w:rsidP="001A7107">
            <w:pPr>
              <w:pStyle w:val="TableText"/>
              <w:rPr>
                <w:rFonts w:cs="Arial"/>
              </w:rPr>
            </w:pPr>
            <w:r w:rsidRPr="009B7B35">
              <w:rPr>
                <w:rFonts w:cs="Arial"/>
              </w:rPr>
              <w:t>Development is located and designed on sites of sufficient size to minimise adverse impacts on:</w:t>
            </w:r>
          </w:p>
          <w:p w14:paraId="49EED6EC" w14:textId="77777777" w:rsidR="00BE36FB" w:rsidRPr="009B7B35" w:rsidRDefault="00BE36FB" w:rsidP="00BE36FB">
            <w:pPr>
              <w:numPr>
                <w:ilvl w:val="0"/>
                <w:numId w:val="355"/>
              </w:numPr>
              <w:rPr>
                <w:rFonts w:cs="Arial"/>
                <w:sz w:val="20"/>
                <w:szCs w:val="20"/>
              </w:rPr>
            </w:pPr>
            <w:r w:rsidRPr="009B7B35">
              <w:rPr>
                <w:rFonts w:cs="Arial"/>
                <w:sz w:val="20"/>
                <w:szCs w:val="20"/>
              </w:rPr>
              <w:t>the amenity of the setting, in particular noise, odour and dust emissions</w:t>
            </w:r>
          </w:p>
          <w:p w14:paraId="6AB7FEF0" w14:textId="77777777" w:rsidR="00BE36FB" w:rsidRPr="009B7B35" w:rsidRDefault="00BE36FB" w:rsidP="00BE36FB">
            <w:pPr>
              <w:numPr>
                <w:ilvl w:val="0"/>
                <w:numId w:val="355"/>
              </w:numPr>
              <w:rPr>
                <w:rFonts w:cs="Arial"/>
                <w:sz w:val="20"/>
                <w:szCs w:val="20"/>
              </w:rPr>
            </w:pPr>
            <w:r w:rsidRPr="009B7B35">
              <w:rPr>
                <w:rFonts w:cs="Arial"/>
                <w:sz w:val="20"/>
                <w:szCs w:val="20"/>
              </w:rPr>
              <w:t xml:space="preserve">the amenity of neighbours, and </w:t>
            </w:r>
          </w:p>
          <w:p w14:paraId="2FBC29E9" w14:textId="77777777" w:rsidR="00BE36FB" w:rsidRPr="009B7B35" w:rsidRDefault="00BE36FB" w:rsidP="00BE36FB">
            <w:pPr>
              <w:numPr>
                <w:ilvl w:val="0"/>
                <w:numId w:val="355"/>
              </w:numPr>
              <w:rPr>
                <w:rFonts w:cs="Arial"/>
                <w:sz w:val="20"/>
                <w:szCs w:val="20"/>
              </w:rPr>
            </w:pPr>
            <w:r w:rsidRPr="009B7B35">
              <w:rPr>
                <w:rFonts w:cs="Arial"/>
                <w:sz w:val="20"/>
                <w:szCs w:val="20"/>
              </w:rPr>
              <w:t>the safe and effective design capacity of the region’s road system.</w:t>
            </w:r>
          </w:p>
        </w:tc>
        <w:tc>
          <w:tcPr>
            <w:tcW w:w="4678" w:type="dxa"/>
          </w:tcPr>
          <w:p w14:paraId="60A0989F" w14:textId="77777777" w:rsidR="00BE36FB" w:rsidRPr="009B7B35" w:rsidRDefault="00BE36FB" w:rsidP="001A7107">
            <w:pPr>
              <w:pStyle w:val="TableText"/>
              <w:rPr>
                <w:rFonts w:cs="Arial"/>
                <w:b/>
                <w:bCs/>
              </w:rPr>
            </w:pPr>
            <w:r w:rsidRPr="009B7B35">
              <w:rPr>
                <w:rFonts w:cs="Arial"/>
                <w:b/>
                <w:bCs/>
              </w:rPr>
              <w:t>AO8.1</w:t>
            </w:r>
          </w:p>
          <w:p w14:paraId="0C0C08D2" w14:textId="77777777" w:rsidR="00BE36FB" w:rsidRPr="009B7B35" w:rsidRDefault="00BE36FB" w:rsidP="001A7107">
            <w:pPr>
              <w:pStyle w:val="TableText"/>
              <w:rPr>
                <w:rFonts w:cs="Arial"/>
              </w:rPr>
            </w:pPr>
            <w:r w:rsidRPr="009B7B35">
              <w:rPr>
                <w:rFonts w:cs="Arial"/>
              </w:rPr>
              <w:t>A minimum site area for a community use is 2ha.</w:t>
            </w:r>
          </w:p>
        </w:tc>
      </w:tr>
      <w:tr w:rsidR="00BE36FB" w:rsidRPr="009B7B35" w14:paraId="488C02E6" w14:textId="77777777" w:rsidTr="001A7107">
        <w:trPr>
          <w:cantSplit/>
        </w:trPr>
        <w:tc>
          <w:tcPr>
            <w:tcW w:w="4678" w:type="dxa"/>
            <w:vMerge/>
          </w:tcPr>
          <w:p w14:paraId="58DAED66" w14:textId="77777777" w:rsidR="00BE36FB" w:rsidRPr="009B7B35" w:rsidRDefault="00BE36FB" w:rsidP="001A7107">
            <w:pPr>
              <w:rPr>
                <w:rFonts w:cs="Arial"/>
                <w:sz w:val="20"/>
                <w:szCs w:val="20"/>
              </w:rPr>
            </w:pPr>
          </w:p>
        </w:tc>
        <w:tc>
          <w:tcPr>
            <w:tcW w:w="4678" w:type="dxa"/>
          </w:tcPr>
          <w:p w14:paraId="61D246E8" w14:textId="77777777" w:rsidR="00BE36FB" w:rsidRPr="009B7B35" w:rsidRDefault="00BE36FB" w:rsidP="001A7107">
            <w:pPr>
              <w:pStyle w:val="TableText"/>
              <w:rPr>
                <w:rFonts w:cs="Arial"/>
                <w:b/>
                <w:bCs/>
              </w:rPr>
            </w:pPr>
            <w:r w:rsidRPr="009B7B35">
              <w:rPr>
                <w:rFonts w:cs="Arial"/>
                <w:b/>
                <w:bCs/>
              </w:rPr>
              <w:t>AO8.2</w:t>
            </w:r>
          </w:p>
          <w:p w14:paraId="5AF71EDA" w14:textId="77777777" w:rsidR="00BE36FB" w:rsidRPr="009B7B35" w:rsidRDefault="00BE36FB" w:rsidP="001A7107">
            <w:pPr>
              <w:pStyle w:val="TableText"/>
              <w:rPr>
                <w:rFonts w:cs="Arial"/>
              </w:rPr>
            </w:pPr>
            <w:r w:rsidRPr="009B7B35">
              <w:rPr>
                <w:rFonts w:cs="Arial"/>
              </w:rPr>
              <w:t>Siting and layout of the community use includes:</w:t>
            </w:r>
          </w:p>
          <w:p w14:paraId="5567729A" w14:textId="77777777" w:rsidR="00BE36FB" w:rsidRPr="009B7B35" w:rsidRDefault="00BE36FB" w:rsidP="00BE36FB">
            <w:pPr>
              <w:numPr>
                <w:ilvl w:val="0"/>
                <w:numId w:val="354"/>
              </w:numPr>
              <w:rPr>
                <w:rFonts w:cs="Arial"/>
                <w:sz w:val="20"/>
                <w:szCs w:val="20"/>
              </w:rPr>
            </w:pPr>
            <w:r w:rsidRPr="009B7B35">
              <w:rPr>
                <w:rFonts w:cs="Arial"/>
                <w:sz w:val="20"/>
                <w:szCs w:val="20"/>
              </w:rPr>
              <w:t>a total area of covered buildings and roof structures that is no greater than 10% of the site area, and</w:t>
            </w:r>
          </w:p>
          <w:p w14:paraId="7CA45CE0" w14:textId="77777777" w:rsidR="00BE36FB" w:rsidRPr="009B7B35" w:rsidRDefault="00BE36FB" w:rsidP="00BE36FB">
            <w:pPr>
              <w:numPr>
                <w:ilvl w:val="0"/>
                <w:numId w:val="354"/>
              </w:numPr>
              <w:rPr>
                <w:rFonts w:cs="Arial"/>
                <w:sz w:val="20"/>
                <w:szCs w:val="20"/>
              </w:rPr>
            </w:pPr>
            <w:r w:rsidRPr="009B7B35">
              <w:rPr>
                <w:rFonts w:cs="Arial"/>
                <w:sz w:val="20"/>
                <w:szCs w:val="20"/>
              </w:rPr>
              <w:t>no building or structure closer than 15m to any site boundary.</w:t>
            </w:r>
          </w:p>
        </w:tc>
      </w:tr>
      <w:tr w:rsidR="00BE36FB" w:rsidRPr="009B7B35" w14:paraId="029710EE" w14:textId="77777777" w:rsidTr="001A7107">
        <w:trPr>
          <w:cantSplit/>
        </w:trPr>
        <w:tc>
          <w:tcPr>
            <w:tcW w:w="4678" w:type="dxa"/>
            <w:vMerge/>
          </w:tcPr>
          <w:p w14:paraId="3E57FF68" w14:textId="77777777" w:rsidR="00BE36FB" w:rsidRPr="009B7B35" w:rsidRDefault="00BE36FB" w:rsidP="001A7107">
            <w:pPr>
              <w:rPr>
                <w:rFonts w:cs="Arial"/>
                <w:sz w:val="20"/>
                <w:szCs w:val="20"/>
              </w:rPr>
            </w:pPr>
          </w:p>
        </w:tc>
        <w:tc>
          <w:tcPr>
            <w:tcW w:w="4678" w:type="dxa"/>
          </w:tcPr>
          <w:p w14:paraId="50EE080E" w14:textId="77777777" w:rsidR="00BE36FB" w:rsidRPr="009B7B35" w:rsidRDefault="00BE36FB" w:rsidP="001A7107">
            <w:pPr>
              <w:pStyle w:val="TableText"/>
              <w:rPr>
                <w:rFonts w:cs="Arial"/>
                <w:b/>
                <w:bCs/>
              </w:rPr>
            </w:pPr>
            <w:r w:rsidRPr="009B7B35">
              <w:rPr>
                <w:rFonts w:cs="Arial"/>
                <w:b/>
                <w:bCs/>
              </w:rPr>
              <w:t>AO8.3</w:t>
            </w:r>
          </w:p>
          <w:p w14:paraId="56B7E1AB" w14:textId="77777777" w:rsidR="00BE36FB" w:rsidRPr="009B7B35" w:rsidRDefault="00BE36FB" w:rsidP="001A7107">
            <w:pPr>
              <w:pStyle w:val="TableText"/>
              <w:rPr>
                <w:rFonts w:cs="Arial"/>
              </w:rPr>
            </w:pPr>
            <w:r w:rsidRPr="009B7B35">
              <w:rPr>
                <w:rFonts w:cs="Arial"/>
              </w:rPr>
              <w:t>Buildings and structures associated with a community use only include:</w:t>
            </w:r>
          </w:p>
          <w:p w14:paraId="67593C21" w14:textId="77777777" w:rsidR="00BE36FB" w:rsidRPr="009B7B35" w:rsidRDefault="00BE36FB" w:rsidP="00BE36FB">
            <w:pPr>
              <w:numPr>
                <w:ilvl w:val="0"/>
                <w:numId w:val="152"/>
              </w:numPr>
              <w:rPr>
                <w:rFonts w:cs="Arial"/>
                <w:sz w:val="20"/>
                <w:szCs w:val="20"/>
              </w:rPr>
            </w:pPr>
            <w:r w:rsidRPr="009B7B35">
              <w:rPr>
                <w:rFonts w:cs="Arial"/>
                <w:sz w:val="20"/>
                <w:szCs w:val="20"/>
              </w:rPr>
              <w:t>shelters</w:t>
            </w:r>
          </w:p>
          <w:p w14:paraId="6564A41D" w14:textId="77777777" w:rsidR="00BE36FB" w:rsidRPr="009B7B35" w:rsidRDefault="00BE36FB" w:rsidP="00BE36FB">
            <w:pPr>
              <w:numPr>
                <w:ilvl w:val="0"/>
                <w:numId w:val="152"/>
              </w:numPr>
              <w:rPr>
                <w:rFonts w:cs="Arial"/>
                <w:sz w:val="20"/>
                <w:szCs w:val="20"/>
              </w:rPr>
            </w:pPr>
            <w:r w:rsidRPr="009B7B35">
              <w:rPr>
                <w:rFonts w:cs="Arial"/>
                <w:sz w:val="20"/>
                <w:szCs w:val="20"/>
              </w:rPr>
              <w:t>toilets</w:t>
            </w:r>
          </w:p>
          <w:p w14:paraId="60F8DC7A" w14:textId="77777777" w:rsidR="00BE36FB" w:rsidRPr="009B7B35" w:rsidRDefault="00BE36FB" w:rsidP="00BE36FB">
            <w:pPr>
              <w:numPr>
                <w:ilvl w:val="0"/>
                <w:numId w:val="152"/>
              </w:numPr>
              <w:rPr>
                <w:rFonts w:cs="Arial"/>
                <w:sz w:val="20"/>
                <w:szCs w:val="20"/>
              </w:rPr>
            </w:pPr>
            <w:r w:rsidRPr="009B7B35">
              <w:rPr>
                <w:rFonts w:cs="Arial"/>
                <w:sz w:val="20"/>
                <w:szCs w:val="20"/>
              </w:rPr>
              <w:t>stands and/or grandstands</w:t>
            </w:r>
          </w:p>
          <w:p w14:paraId="462F1C65" w14:textId="77777777" w:rsidR="00BE36FB" w:rsidRPr="009B7B35" w:rsidRDefault="00BE36FB" w:rsidP="00BE36FB">
            <w:pPr>
              <w:numPr>
                <w:ilvl w:val="0"/>
                <w:numId w:val="152"/>
              </w:numPr>
              <w:rPr>
                <w:rFonts w:cs="Arial"/>
                <w:sz w:val="20"/>
                <w:szCs w:val="20"/>
              </w:rPr>
            </w:pPr>
            <w:r w:rsidRPr="009B7B35">
              <w:rPr>
                <w:rFonts w:cs="Arial"/>
                <w:sz w:val="20"/>
                <w:szCs w:val="20"/>
              </w:rPr>
              <w:t>kiosks</w:t>
            </w:r>
          </w:p>
          <w:p w14:paraId="186133FF" w14:textId="77777777" w:rsidR="00BE36FB" w:rsidRPr="009B7B35" w:rsidRDefault="00BE36FB" w:rsidP="00BE36FB">
            <w:pPr>
              <w:numPr>
                <w:ilvl w:val="0"/>
                <w:numId w:val="152"/>
              </w:numPr>
              <w:rPr>
                <w:rFonts w:cs="Arial"/>
                <w:sz w:val="20"/>
                <w:szCs w:val="20"/>
              </w:rPr>
            </w:pPr>
            <w:r w:rsidRPr="009B7B35">
              <w:rPr>
                <w:rFonts w:cs="Arial"/>
                <w:sz w:val="20"/>
                <w:szCs w:val="20"/>
              </w:rPr>
              <w:t>hall/function area, or</w:t>
            </w:r>
          </w:p>
          <w:p w14:paraId="6414874A" w14:textId="77777777" w:rsidR="00BE36FB" w:rsidRPr="009B7B35" w:rsidRDefault="00BE36FB" w:rsidP="00BE36FB">
            <w:pPr>
              <w:numPr>
                <w:ilvl w:val="0"/>
                <w:numId w:val="152"/>
              </w:numPr>
              <w:rPr>
                <w:rFonts w:cs="Arial"/>
                <w:sz w:val="20"/>
                <w:szCs w:val="20"/>
              </w:rPr>
            </w:pPr>
            <w:r w:rsidRPr="009B7B35">
              <w:rPr>
                <w:rFonts w:cs="Arial"/>
                <w:sz w:val="20"/>
                <w:szCs w:val="20"/>
              </w:rPr>
              <w:t>lighting.</w:t>
            </w:r>
          </w:p>
        </w:tc>
      </w:tr>
      <w:tr w:rsidR="00BE36FB" w:rsidRPr="009B7B35" w14:paraId="7FC2AD53" w14:textId="77777777" w:rsidTr="001A7107">
        <w:trPr>
          <w:cantSplit/>
        </w:trPr>
        <w:tc>
          <w:tcPr>
            <w:tcW w:w="4678" w:type="dxa"/>
            <w:vMerge/>
          </w:tcPr>
          <w:p w14:paraId="78713547" w14:textId="77777777" w:rsidR="00BE36FB" w:rsidRPr="009B7B35" w:rsidRDefault="00BE36FB" w:rsidP="001A7107">
            <w:pPr>
              <w:rPr>
                <w:rFonts w:cs="Arial"/>
                <w:sz w:val="20"/>
                <w:szCs w:val="20"/>
              </w:rPr>
            </w:pPr>
          </w:p>
        </w:tc>
        <w:tc>
          <w:tcPr>
            <w:tcW w:w="4678" w:type="dxa"/>
          </w:tcPr>
          <w:p w14:paraId="2A15D530" w14:textId="77777777" w:rsidR="00BE36FB" w:rsidRPr="009B7B35" w:rsidRDefault="00BE36FB" w:rsidP="001A7107">
            <w:pPr>
              <w:pStyle w:val="TableText"/>
              <w:rPr>
                <w:rFonts w:cs="Arial"/>
                <w:b/>
                <w:bCs/>
              </w:rPr>
            </w:pPr>
            <w:r w:rsidRPr="009B7B35">
              <w:rPr>
                <w:rFonts w:cs="Arial"/>
                <w:b/>
                <w:bCs/>
              </w:rPr>
              <w:t>AO8.4</w:t>
            </w:r>
          </w:p>
          <w:p w14:paraId="22A06EAD" w14:textId="77777777" w:rsidR="00BE36FB" w:rsidRPr="009B7B35" w:rsidRDefault="00BE36FB" w:rsidP="001A7107">
            <w:pPr>
              <w:pStyle w:val="TableText"/>
              <w:rPr>
                <w:rFonts w:cs="Arial"/>
              </w:rPr>
            </w:pPr>
            <w:r w:rsidRPr="009B7B35">
              <w:rPr>
                <w:rFonts w:cs="Arial"/>
              </w:rPr>
              <w:t>Hours of operation are limited to between 7am and 10pm daily.</w:t>
            </w:r>
          </w:p>
        </w:tc>
      </w:tr>
      <w:tr w:rsidR="00BE36FB" w:rsidRPr="009B7B35" w14:paraId="295C5EB7" w14:textId="77777777" w:rsidTr="001A7107">
        <w:tc>
          <w:tcPr>
            <w:tcW w:w="4678" w:type="dxa"/>
          </w:tcPr>
          <w:p w14:paraId="6A80381E" w14:textId="77777777" w:rsidR="00BE36FB" w:rsidRPr="009B7B35" w:rsidRDefault="00BE36FB" w:rsidP="001A7107">
            <w:pPr>
              <w:pStyle w:val="TableText"/>
              <w:rPr>
                <w:rFonts w:cs="Arial"/>
                <w:b/>
                <w:bCs/>
              </w:rPr>
            </w:pPr>
            <w:r w:rsidRPr="009B7B35">
              <w:rPr>
                <w:rFonts w:cs="Arial"/>
                <w:b/>
                <w:bCs/>
              </w:rPr>
              <w:t>PO9</w:t>
            </w:r>
          </w:p>
          <w:p w14:paraId="53F5D78D" w14:textId="77777777"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14:paraId="195B1158" w14:textId="77777777" w:rsidR="00BE36FB" w:rsidRPr="009B7B35" w:rsidRDefault="00BE36FB" w:rsidP="00BE36FB">
            <w:pPr>
              <w:pStyle w:val="TableText"/>
              <w:numPr>
                <w:ilvl w:val="0"/>
                <w:numId w:val="419"/>
              </w:numPr>
              <w:ind w:left="510" w:hanging="510"/>
              <w:rPr>
                <w:rFonts w:cs="Arial"/>
              </w:rPr>
            </w:pPr>
            <w:r w:rsidRPr="009B7B35">
              <w:rPr>
                <w:rFonts w:cs="Arial"/>
              </w:rPr>
              <w:t>traffic and parking</w:t>
            </w:r>
          </w:p>
          <w:p w14:paraId="55B51DA2" w14:textId="77777777" w:rsidR="00BE36FB" w:rsidRPr="009B7B35" w:rsidRDefault="00BE36FB" w:rsidP="00BE36FB">
            <w:pPr>
              <w:pStyle w:val="TableText"/>
              <w:numPr>
                <w:ilvl w:val="0"/>
                <w:numId w:val="419"/>
              </w:numPr>
              <w:ind w:left="510" w:hanging="510"/>
              <w:rPr>
                <w:rFonts w:cs="Arial"/>
              </w:rPr>
            </w:pPr>
            <w:r w:rsidRPr="009B7B35">
              <w:rPr>
                <w:rFonts w:cs="Arial"/>
              </w:rPr>
              <w:t>visual impact</w:t>
            </w:r>
          </w:p>
          <w:p w14:paraId="203EA054" w14:textId="77777777" w:rsidR="00BE36FB" w:rsidRPr="009B7B35" w:rsidRDefault="00BE36FB" w:rsidP="00BE36FB">
            <w:pPr>
              <w:pStyle w:val="TableText"/>
              <w:numPr>
                <w:ilvl w:val="0"/>
                <w:numId w:val="419"/>
              </w:numPr>
              <w:ind w:left="510" w:hanging="510"/>
              <w:rPr>
                <w:rFonts w:cs="Arial"/>
              </w:rPr>
            </w:pPr>
            <w:r w:rsidRPr="009B7B35">
              <w:rPr>
                <w:rFonts w:cs="Arial"/>
              </w:rPr>
              <w:t>signage</w:t>
            </w:r>
          </w:p>
          <w:p w14:paraId="1D996D24" w14:textId="77777777" w:rsidR="00BE36FB" w:rsidRPr="009B7B35" w:rsidRDefault="00BE36FB" w:rsidP="00BE36FB">
            <w:pPr>
              <w:pStyle w:val="TableText"/>
              <w:numPr>
                <w:ilvl w:val="0"/>
                <w:numId w:val="419"/>
              </w:numPr>
              <w:ind w:left="510" w:hanging="510"/>
              <w:rPr>
                <w:rFonts w:cs="Arial"/>
              </w:rPr>
            </w:pPr>
            <w:r w:rsidRPr="009B7B35">
              <w:rPr>
                <w:rFonts w:cs="Arial"/>
              </w:rPr>
              <w:t>access to sunlight</w:t>
            </w:r>
          </w:p>
          <w:p w14:paraId="21FCC184" w14:textId="77777777" w:rsidR="00BE36FB" w:rsidRPr="009B7B35" w:rsidRDefault="00BE36FB" w:rsidP="00BE36FB">
            <w:pPr>
              <w:pStyle w:val="TableText"/>
              <w:numPr>
                <w:ilvl w:val="0"/>
                <w:numId w:val="419"/>
              </w:numPr>
              <w:ind w:left="510" w:hanging="510"/>
              <w:rPr>
                <w:rFonts w:cs="Arial"/>
              </w:rPr>
            </w:pPr>
            <w:r w:rsidRPr="009B7B35">
              <w:rPr>
                <w:rFonts w:cs="Arial"/>
              </w:rPr>
              <w:t>privacy.</w:t>
            </w:r>
          </w:p>
          <w:p w14:paraId="7898AAB5" w14:textId="77777777" w:rsidR="00BE36FB" w:rsidRPr="009B7B35" w:rsidRDefault="00BE36FB">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14:paraId="13D9E61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CD71C52" w14:textId="77777777" w:rsidTr="001A7107">
        <w:tc>
          <w:tcPr>
            <w:tcW w:w="9356" w:type="dxa"/>
            <w:gridSpan w:val="2"/>
            <w:shd w:val="clear" w:color="auto" w:fill="BFBFBF" w:themeFill="background1" w:themeFillShade="BF"/>
          </w:tcPr>
          <w:p w14:paraId="57AA56F7"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44BAA9C8" w14:textId="77777777" w:rsidTr="001A7107">
        <w:tc>
          <w:tcPr>
            <w:tcW w:w="4678" w:type="dxa"/>
          </w:tcPr>
          <w:p w14:paraId="2366406B" w14:textId="77777777" w:rsidR="00BE36FB" w:rsidRPr="009B7B35" w:rsidRDefault="00BE36FB" w:rsidP="001A7107">
            <w:pPr>
              <w:pStyle w:val="TableText"/>
              <w:rPr>
                <w:rFonts w:cs="Arial"/>
                <w:b/>
                <w:bCs/>
              </w:rPr>
            </w:pPr>
            <w:r w:rsidRPr="009B7B35">
              <w:rPr>
                <w:rFonts w:cs="Arial"/>
                <w:b/>
                <w:bCs/>
              </w:rPr>
              <w:t>PO10</w:t>
            </w:r>
          </w:p>
          <w:p w14:paraId="24C21F6A" w14:textId="77777777" w:rsidR="00BE36FB" w:rsidRPr="009B7B35" w:rsidRDefault="00BE36FB">
            <w:pPr>
              <w:pStyle w:val="TableText"/>
              <w:rPr>
                <w:rFonts w:cs="Arial"/>
              </w:rPr>
            </w:pPr>
            <w:r w:rsidRPr="009B7B35">
              <w:rPr>
                <w:rFonts w:cs="Arial"/>
              </w:rPr>
              <w:t>Development responds sensitively to on–site and surrounding topography, drainage patterns, foreshore areas, utility services, access, vegetation and adjoining land uses, such that:</w:t>
            </w:r>
          </w:p>
          <w:p w14:paraId="463BF77B" w14:textId="77777777" w:rsidR="00BE36FB" w:rsidRPr="009B7B35" w:rsidRDefault="00BE36FB" w:rsidP="00BE36FB">
            <w:pPr>
              <w:pStyle w:val="TableText"/>
              <w:numPr>
                <w:ilvl w:val="0"/>
                <w:numId w:val="532"/>
              </w:numPr>
              <w:rPr>
                <w:rFonts w:cs="Arial"/>
              </w:rPr>
            </w:pPr>
            <w:r w:rsidRPr="009B7B35">
              <w:rPr>
                <w:rFonts w:cs="Arial"/>
              </w:rPr>
              <w:t>any hazards to people or property are avoided</w:t>
            </w:r>
          </w:p>
          <w:p w14:paraId="0591F896" w14:textId="77777777" w:rsidR="00BE36FB" w:rsidRPr="009B7B35" w:rsidRDefault="00BE36FB" w:rsidP="00BE36FB">
            <w:pPr>
              <w:pStyle w:val="TableText"/>
              <w:numPr>
                <w:ilvl w:val="0"/>
                <w:numId w:val="532"/>
              </w:numPr>
              <w:rPr>
                <w:rFonts w:cs="Arial"/>
              </w:rPr>
            </w:pPr>
            <w:r w:rsidRPr="009B7B35">
              <w:rPr>
                <w:rFonts w:cs="Arial"/>
              </w:rPr>
              <w:t>any earthworks are minimised</w:t>
            </w:r>
          </w:p>
          <w:p w14:paraId="4BFA503C" w14:textId="77777777" w:rsidR="00BE36FB" w:rsidRPr="009B7B35" w:rsidRDefault="00BE36FB" w:rsidP="00BE36FB">
            <w:pPr>
              <w:pStyle w:val="TableText"/>
              <w:numPr>
                <w:ilvl w:val="0"/>
                <w:numId w:val="532"/>
              </w:numPr>
              <w:rPr>
                <w:rFonts w:cs="Arial"/>
              </w:rPr>
            </w:pPr>
            <w:r w:rsidRPr="009B7B35">
              <w:rPr>
                <w:rFonts w:cs="Arial"/>
              </w:rPr>
              <w:t>the retention of natural drainage lines is maximised</w:t>
            </w:r>
          </w:p>
          <w:p w14:paraId="5CE4DB0C" w14:textId="77777777" w:rsidR="00BE36FB" w:rsidRPr="009B7B35" w:rsidRDefault="00BE36FB" w:rsidP="00BE36FB">
            <w:pPr>
              <w:pStyle w:val="TableText"/>
              <w:numPr>
                <w:ilvl w:val="0"/>
                <w:numId w:val="532"/>
              </w:numPr>
              <w:rPr>
                <w:rFonts w:cs="Arial"/>
              </w:rPr>
            </w:pPr>
            <w:r w:rsidRPr="009B7B35">
              <w:rPr>
                <w:rFonts w:cs="Arial"/>
              </w:rPr>
              <w:t>the retention of existing vegetation is maximised</w:t>
            </w:r>
          </w:p>
          <w:p w14:paraId="52B43F9D" w14:textId="77777777" w:rsidR="00BE36FB" w:rsidRPr="009B7B35" w:rsidRDefault="00BE36FB" w:rsidP="00BE36FB">
            <w:pPr>
              <w:pStyle w:val="TableText"/>
              <w:numPr>
                <w:ilvl w:val="0"/>
                <w:numId w:val="532"/>
              </w:numPr>
              <w:rPr>
                <w:rFonts w:cs="Arial"/>
              </w:rPr>
            </w:pPr>
            <w:r w:rsidRPr="009B7B35">
              <w:rPr>
                <w:rFonts w:cs="Arial"/>
              </w:rPr>
              <w:t xml:space="preserve">damage or disruption to sewerage, stormwater and water infrastructure is avoided, and </w:t>
            </w:r>
          </w:p>
          <w:p w14:paraId="67F94539" w14:textId="77777777" w:rsidR="00BE36FB" w:rsidRPr="009B7B35" w:rsidRDefault="00BE36FB" w:rsidP="00BE36FB">
            <w:pPr>
              <w:pStyle w:val="TableText"/>
              <w:numPr>
                <w:ilvl w:val="0"/>
                <w:numId w:val="532"/>
              </w:numPr>
              <w:rPr>
                <w:rFonts w:cs="Arial"/>
              </w:rPr>
            </w:pPr>
            <w:r w:rsidRPr="009B7B35">
              <w:rPr>
                <w:rFonts w:cs="Arial"/>
              </w:rPr>
              <w:t>there is adequate buffering, screening or separation to adjoining development.</w:t>
            </w:r>
          </w:p>
        </w:tc>
        <w:tc>
          <w:tcPr>
            <w:tcW w:w="4678" w:type="dxa"/>
          </w:tcPr>
          <w:p w14:paraId="60E177B8"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27B9CAA" w14:textId="77777777" w:rsidTr="001A7107">
        <w:trPr>
          <w:cantSplit/>
        </w:trPr>
        <w:tc>
          <w:tcPr>
            <w:tcW w:w="4678" w:type="dxa"/>
          </w:tcPr>
          <w:p w14:paraId="481032A0" w14:textId="77777777" w:rsidR="00BE36FB" w:rsidRPr="009B7B35" w:rsidRDefault="00BE36FB" w:rsidP="001A7107">
            <w:pPr>
              <w:pStyle w:val="TableText"/>
              <w:rPr>
                <w:rFonts w:cs="Arial"/>
                <w:b/>
                <w:bCs/>
              </w:rPr>
            </w:pPr>
            <w:r w:rsidRPr="009B7B35">
              <w:rPr>
                <w:rFonts w:cs="Arial"/>
                <w:b/>
                <w:bCs/>
              </w:rPr>
              <w:t>PO11</w:t>
            </w:r>
          </w:p>
          <w:p w14:paraId="3072FD37" w14:textId="77777777" w:rsidR="00BE36FB" w:rsidRPr="009B7B35" w:rsidRDefault="00BE36FB" w:rsidP="001A7107">
            <w:pPr>
              <w:pStyle w:val="TableText"/>
              <w:rPr>
                <w:rFonts w:cs="Arial"/>
              </w:rPr>
            </w:pPr>
            <w:r w:rsidRPr="009B7B35">
              <w:rPr>
                <w:rFonts w:cs="Arial"/>
              </w:rPr>
              <w:t>All uses:</w:t>
            </w:r>
          </w:p>
          <w:p w14:paraId="4668FFB2" w14:textId="77777777" w:rsidR="00BE36FB" w:rsidRPr="009B7B35" w:rsidRDefault="00BE36FB" w:rsidP="00BE36FB">
            <w:pPr>
              <w:pStyle w:val="TableText"/>
              <w:numPr>
                <w:ilvl w:val="0"/>
                <w:numId w:val="420"/>
              </w:numPr>
              <w:ind w:left="510" w:hanging="510"/>
              <w:rPr>
                <w:rFonts w:cs="Arial"/>
              </w:rPr>
            </w:pPr>
            <w:r w:rsidRPr="009B7B35">
              <w:rPr>
                <w:rFonts w:cs="Arial"/>
              </w:rPr>
              <w:t>minimise noise, dust, odour or other nuisance from existing lawful uses including rural and industrial uses</w:t>
            </w:r>
          </w:p>
          <w:p w14:paraId="45262BE7" w14:textId="77777777" w:rsidR="00BE36FB" w:rsidRPr="009B7B35" w:rsidRDefault="00BE36FB" w:rsidP="00BE36FB">
            <w:pPr>
              <w:pStyle w:val="TableText"/>
              <w:numPr>
                <w:ilvl w:val="0"/>
                <w:numId w:val="420"/>
              </w:numPr>
              <w:ind w:left="510" w:hanging="510"/>
              <w:rPr>
                <w:rFonts w:cs="Arial"/>
              </w:rPr>
            </w:pPr>
            <w:r w:rsidRPr="009B7B35">
              <w:rPr>
                <w:rFonts w:cs="Arial"/>
              </w:rPr>
              <w:t>minimise nuisance caused by noise, vibration and dust emissions generated by the state–controlled road and rail network in the vicinity of land in the rural residential zone.</w:t>
            </w:r>
          </w:p>
        </w:tc>
        <w:tc>
          <w:tcPr>
            <w:tcW w:w="4678" w:type="dxa"/>
          </w:tcPr>
          <w:p w14:paraId="646F076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BEA03D2" w14:textId="77777777" w:rsidTr="001A7107">
        <w:tblPrEx>
          <w:tblLook w:val="01E0" w:firstRow="1" w:lastRow="1" w:firstColumn="1" w:lastColumn="1" w:noHBand="0" w:noVBand="0"/>
        </w:tblPrEx>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BFBFBF" w:themeFill="background1" w:themeFillShade="BF"/>
          </w:tcPr>
          <w:p w14:paraId="2B35D99C" w14:textId="77777777" w:rsidR="00BE36FB" w:rsidRPr="009B7B35" w:rsidRDefault="00BE36FB" w:rsidP="001A7107">
            <w:pPr>
              <w:pStyle w:val="Tableheading"/>
              <w:rPr>
                <w:rFonts w:ascii="Arial" w:hAnsi="Arial" w:cs="Arial"/>
                <w:szCs w:val="20"/>
                <w:lang w:eastAsia="en-US"/>
              </w:rPr>
            </w:pPr>
            <w:r w:rsidRPr="009B7B35">
              <w:rPr>
                <w:rFonts w:ascii="Arial" w:hAnsi="Arial" w:cs="Arial"/>
                <w:szCs w:val="20"/>
                <w:lang w:eastAsia="en-US"/>
              </w:rPr>
              <w:t>Use – Nature based tourism</w:t>
            </w:r>
          </w:p>
        </w:tc>
      </w:tr>
      <w:tr w:rsidR="00BE36FB" w:rsidRPr="009B7B35" w14:paraId="267029C5" w14:textId="77777777" w:rsidTr="001A7107">
        <w:tblPrEx>
          <w:tblLook w:val="01E0" w:firstRow="1" w:lastRow="1" w:firstColumn="1" w:lastColumn="1" w:noHBand="0" w:noVBand="0"/>
        </w:tblPrEx>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678" w:type="dxa"/>
          </w:tcPr>
          <w:p w14:paraId="6BA17A6F" w14:textId="77777777" w:rsidR="00BE36FB" w:rsidRPr="009B7B35" w:rsidRDefault="00BE36FB" w:rsidP="001A7107">
            <w:pPr>
              <w:pStyle w:val="TableText"/>
              <w:rPr>
                <w:rFonts w:cs="Arial"/>
                <w:b/>
                <w:bCs/>
                <w:lang w:eastAsia="en-US"/>
              </w:rPr>
            </w:pPr>
            <w:r w:rsidRPr="009B7B35">
              <w:rPr>
                <w:rFonts w:cs="Arial"/>
                <w:b/>
                <w:lang w:eastAsia="en-US"/>
              </w:rPr>
              <w:t>PO12</w:t>
            </w:r>
          </w:p>
          <w:p w14:paraId="2CE2EACA" w14:textId="77777777" w:rsidR="00BE36FB" w:rsidRPr="009B7B35" w:rsidRDefault="00BE36FB" w:rsidP="001A7107">
            <w:pPr>
              <w:pStyle w:val="TableText"/>
              <w:rPr>
                <w:rFonts w:cs="Arial"/>
                <w:lang w:eastAsia="en-US"/>
              </w:rPr>
            </w:pPr>
            <w:r w:rsidRPr="009B7B35">
              <w:rPr>
                <w:rFonts w:cs="Arial"/>
                <w:lang w:eastAsia="en-US"/>
              </w:rPr>
              <w:t xml:space="preserve">Development </w:t>
            </w:r>
            <w:r w:rsidRPr="009B7B35">
              <w:rPr>
                <w:rFonts w:cs="Arial"/>
              </w:rPr>
              <w:t xml:space="preserve">protects environmental values and </w:t>
            </w:r>
            <w:r w:rsidRPr="009B7B35">
              <w:rPr>
                <w:rFonts w:cs="Arial"/>
                <w:lang w:eastAsia="en-US"/>
              </w:rPr>
              <w:t>is of a scale and intensity that does not compromise the low density and environmental character of the locality.</w:t>
            </w:r>
          </w:p>
        </w:tc>
        <w:tc>
          <w:tcPr>
            <w:cnfStyle w:val="000100000000" w:firstRow="0" w:lastRow="0" w:firstColumn="0" w:lastColumn="1" w:oddVBand="0" w:evenVBand="0" w:oddHBand="0" w:evenHBand="0" w:firstRowFirstColumn="0" w:firstRowLastColumn="0" w:lastRowFirstColumn="0" w:lastRowLastColumn="0"/>
            <w:tcW w:w="4678" w:type="dxa"/>
          </w:tcPr>
          <w:p w14:paraId="1856019B" w14:textId="77777777" w:rsidR="00BE36FB" w:rsidRPr="009B7B35" w:rsidRDefault="00BE36FB" w:rsidP="001A7107">
            <w:pPr>
              <w:pStyle w:val="TableText"/>
              <w:rPr>
                <w:rFonts w:cs="Arial"/>
                <w:b/>
                <w:color w:val="auto"/>
              </w:rPr>
            </w:pPr>
            <w:r w:rsidRPr="009B7B35">
              <w:rPr>
                <w:rFonts w:cs="Arial"/>
                <w:b/>
                <w:color w:val="auto"/>
              </w:rPr>
              <w:t>AO12</w:t>
            </w:r>
          </w:p>
          <w:p w14:paraId="36884FF5" w14:textId="77777777" w:rsidR="00BE36FB" w:rsidRPr="009B7B35" w:rsidRDefault="00BE36FB" w:rsidP="001A7107">
            <w:pPr>
              <w:pStyle w:val="TableText"/>
              <w:rPr>
                <w:rFonts w:cs="Arial"/>
                <w:color w:val="auto"/>
                <w:lang w:eastAsia="en-US"/>
              </w:rPr>
            </w:pPr>
            <w:r w:rsidRPr="009B7B35">
              <w:rPr>
                <w:rFonts w:cs="Arial"/>
                <w:color w:val="auto"/>
                <w:lang w:eastAsia="en-US"/>
              </w:rPr>
              <w:t>Development does not exceed more than one guest per 1,000m</w:t>
            </w:r>
            <w:r w:rsidRPr="009B7B35">
              <w:rPr>
                <w:rFonts w:cs="Arial"/>
                <w:color w:val="auto"/>
                <w:vertAlign w:val="superscript"/>
                <w:lang w:eastAsia="en-US"/>
              </w:rPr>
              <w:t>2</w:t>
            </w:r>
            <w:r w:rsidRPr="009B7B35">
              <w:rPr>
                <w:rFonts w:cs="Arial"/>
                <w:color w:val="auto"/>
                <w:lang w:eastAsia="en-US"/>
              </w:rPr>
              <w:t xml:space="preserve"> of site area.</w:t>
            </w:r>
          </w:p>
        </w:tc>
      </w:tr>
      <w:tr w:rsidR="00BE36FB" w:rsidRPr="009B7B35" w14:paraId="54805784" w14:textId="77777777" w:rsidTr="001A7107">
        <w:trPr>
          <w:cantSplit/>
        </w:trPr>
        <w:tc>
          <w:tcPr>
            <w:tcW w:w="9356" w:type="dxa"/>
            <w:gridSpan w:val="2"/>
            <w:shd w:val="clear" w:color="auto" w:fill="BFBFBF" w:themeFill="background1" w:themeFillShade="BF"/>
          </w:tcPr>
          <w:p w14:paraId="37FF3426" w14:textId="77777777" w:rsidR="00BE36FB" w:rsidRPr="009B7B35" w:rsidRDefault="00BE36FB" w:rsidP="001A7107">
            <w:pPr>
              <w:pStyle w:val="Tableheading"/>
              <w:rPr>
                <w:rFonts w:ascii="Arial" w:hAnsi="Arial" w:cs="Arial"/>
                <w:szCs w:val="20"/>
              </w:rPr>
            </w:pPr>
            <w:r w:rsidRPr="009B7B35">
              <w:rPr>
                <w:rFonts w:ascii="Arial" w:hAnsi="Arial" w:cs="Arial"/>
                <w:szCs w:val="20"/>
              </w:rPr>
              <w:t>Where in the Bicentennial Drive Enterprise precinct</w:t>
            </w:r>
          </w:p>
        </w:tc>
      </w:tr>
      <w:tr w:rsidR="00BE36FB" w:rsidRPr="009B7B35" w14:paraId="2EFC2998" w14:textId="77777777" w:rsidTr="001A7107">
        <w:trPr>
          <w:cantSplit/>
        </w:trPr>
        <w:tc>
          <w:tcPr>
            <w:tcW w:w="4678" w:type="dxa"/>
            <w:vMerge w:val="restart"/>
          </w:tcPr>
          <w:p w14:paraId="5AAA4841" w14:textId="77777777" w:rsidR="00BE36FB" w:rsidRPr="009B7B35" w:rsidRDefault="00BE36FB" w:rsidP="001A7107">
            <w:pPr>
              <w:pStyle w:val="TableText"/>
              <w:rPr>
                <w:rFonts w:cs="Arial"/>
                <w:b/>
                <w:bCs/>
              </w:rPr>
            </w:pPr>
            <w:r w:rsidRPr="009B7B35">
              <w:rPr>
                <w:rFonts w:cs="Arial"/>
                <w:b/>
                <w:bCs/>
              </w:rPr>
              <w:t>PO13</w:t>
            </w:r>
          </w:p>
          <w:p w14:paraId="51A2D5A1" w14:textId="77777777" w:rsidR="00BE36FB" w:rsidRPr="009B7B35" w:rsidRDefault="00BE36FB" w:rsidP="001A7107">
            <w:pPr>
              <w:pStyle w:val="TableText"/>
              <w:rPr>
                <w:rFonts w:cs="Arial"/>
              </w:rPr>
            </w:pPr>
            <w:r w:rsidRPr="009B7B35">
              <w:rPr>
                <w:rFonts w:cs="Arial"/>
              </w:rPr>
              <w:t>Non–residential uses:</w:t>
            </w:r>
          </w:p>
          <w:p w14:paraId="6EEA7088" w14:textId="77777777" w:rsidR="00BE36FB" w:rsidRPr="009B7B35" w:rsidRDefault="00BE36FB" w:rsidP="00BE36FB">
            <w:pPr>
              <w:numPr>
                <w:ilvl w:val="0"/>
                <w:numId w:val="353"/>
              </w:numPr>
              <w:ind w:left="510" w:hanging="510"/>
              <w:rPr>
                <w:rFonts w:cs="Arial"/>
                <w:sz w:val="20"/>
                <w:szCs w:val="20"/>
              </w:rPr>
            </w:pPr>
            <w:r w:rsidRPr="009B7B35">
              <w:rPr>
                <w:rFonts w:cs="Arial"/>
                <w:sz w:val="20"/>
                <w:szCs w:val="20"/>
              </w:rPr>
              <w:t>are limited in scale and consistent with local character</w:t>
            </w:r>
          </w:p>
          <w:p w14:paraId="32EBF297" w14:textId="77777777" w:rsidR="00BE36FB" w:rsidRPr="009B7B35" w:rsidRDefault="00BE36FB" w:rsidP="00BE36FB">
            <w:pPr>
              <w:numPr>
                <w:ilvl w:val="0"/>
                <w:numId w:val="353"/>
              </w:numPr>
              <w:ind w:left="510" w:hanging="510"/>
              <w:rPr>
                <w:rFonts w:cs="Arial"/>
                <w:sz w:val="20"/>
                <w:szCs w:val="20"/>
              </w:rPr>
            </w:pPr>
            <w:r w:rsidRPr="009B7B35">
              <w:rPr>
                <w:rFonts w:cs="Arial"/>
                <w:sz w:val="20"/>
                <w:szCs w:val="20"/>
              </w:rPr>
              <w:t>do not adversely impact on adjoining residential uses and amenity.</w:t>
            </w:r>
          </w:p>
        </w:tc>
        <w:tc>
          <w:tcPr>
            <w:tcW w:w="4678" w:type="dxa"/>
          </w:tcPr>
          <w:p w14:paraId="20C654F6" w14:textId="77777777" w:rsidR="00BE36FB" w:rsidRPr="009B7B35" w:rsidRDefault="00BE36FB" w:rsidP="001A7107">
            <w:pPr>
              <w:pStyle w:val="TableText"/>
              <w:rPr>
                <w:rFonts w:cs="Arial"/>
                <w:b/>
                <w:bCs/>
              </w:rPr>
            </w:pPr>
            <w:r w:rsidRPr="009B7B35">
              <w:rPr>
                <w:rFonts w:cs="Arial"/>
                <w:b/>
                <w:bCs/>
              </w:rPr>
              <w:t>AO13.1</w:t>
            </w:r>
          </w:p>
          <w:p w14:paraId="73B62D7E" w14:textId="77777777" w:rsidR="00BE36FB" w:rsidRPr="009B7B35" w:rsidRDefault="00BE36FB" w:rsidP="001A7107">
            <w:pPr>
              <w:pStyle w:val="TableText"/>
              <w:rPr>
                <w:rFonts w:cs="Arial"/>
              </w:rPr>
            </w:pPr>
            <w:r w:rsidRPr="009B7B35">
              <w:rPr>
                <w:rFonts w:cs="Arial"/>
              </w:rPr>
              <w:t>Minimum site area is 1.5ha.</w:t>
            </w:r>
          </w:p>
        </w:tc>
      </w:tr>
      <w:tr w:rsidR="00BE36FB" w:rsidRPr="009B7B35" w14:paraId="45C42D65" w14:textId="77777777" w:rsidTr="001A7107">
        <w:trPr>
          <w:cantSplit/>
        </w:trPr>
        <w:tc>
          <w:tcPr>
            <w:tcW w:w="4678" w:type="dxa"/>
            <w:vMerge/>
          </w:tcPr>
          <w:p w14:paraId="1AD47893" w14:textId="77777777" w:rsidR="00BE36FB" w:rsidRPr="009B7B35" w:rsidRDefault="00BE36FB" w:rsidP="001A7107">
            <w:pPr>
              <w:rPr>
                <w:rFonts w:cs="Arial"/>
                <w:sz w:val="20"/>
                <w:szCs w:val="20"/>
              </w:rPr>
            </w:pPr>
          </w:p>
        </w:tc>
        <w:tc>
          <w:tcPr>
            <w:tcW w:w="4678" w:type="dxa"/>
          </w:tcPr>
          <w:p w14:paraId="64225666" w14:textId="77777777" w:rsidR="00BE36FB" w:rsidRPr="009B7B35" w:rsidRDefault="00BE36FB" w:rsidP="001A7107">
            <w:pPr>
              <w:pStyle w:val="TableText"/>
              <w:rPr>
                <w:rFonts w:cs="Arial"/>
                <w:b/>
                <w:bCs/>
              </w:rPr>
            </w:pPr>
            <w:r w:rsidRPr="009B7B35">
              <w:rPr>
                <w:rFonts w:cs="Arial"/>
                <w:b/>
                <w:bCs/>
              </w:rPr>
              <w:t>AO13.2</w:t>
            </w:r>
          </w:p>
          <w:p w14:paraId="14596D56" w14:textId="77777777" w:rsidR="00BE36FB" w:rsidRPr="009B7B35" w:rsidRDefault="00BE36FB" w:rsidP="001A7107">
            <w:pPr>
              <w:pStyle w:val="TableText"/>
              <w:rPr>
                <w:rFonts w:cs="Arial"/>
              </w:rPr>
            </w:pPr>
            <w:r w:rsidRPr="009B7B35">
              <w:rPr>
                <w:rFonts w:cs="Arial"/>
              </w:rPr>
              <w:t>The total area of premises covered by buildings and roof structures is no greater than 40% of the site area.</w:t>
            </w:r>
          </w:p>
        </w:tc>
      </w:tr>
      <w:tr w:rsidR="00BE36FB" w:rsidRPr="009B7B35" w14:paraId="4A38377A" w14:textId="77777777" w:rsidTr="001A7107">
        <w:trPr>
          <w:cantSplit/>
        </w:trPr>
        <w:tc>
          <w:tcPr>
            <w:tcW w:w="4678" w:type="dxa"/>
            <w:vMerge/>
          </w:tcPr>
          <w:p w14:paraId="120E5B87" w14:textId="77777777" w:rsidR="00BE36FB" w:rsidRPr="009B7B35" w:rsidRDefault="00BE36FB" w:rsidP="001A7107">
            <w:pPr>
              <w:rPr>
                <w:rFonts w:cs="Arial"/>
                <w:sz w:val="20"/>
                <w:szCs w:val="20"/>
              </w:rPr>
            </w:pPr>
          </w:p>
        </w:tc>
        <w:tc>
          <w:tcPr>
            <w:tcW w:w="4678" w:type="dxa"/>
          </w:tcPr>
          <w:p w14:paraId="4BDA09BB" w14:textId="77777777" w:rsidR="00BE36FB" w:rsidRPr="009B7B35" w:rsidRDefault="00BE36FB" w:rsidP="001A7107">
            <w:pPr>
              <w:pStyle w:val="TableText"/>
              <w:rPr>
                <w:rFonts w:cs="Arial"/>
                <w:b/>
                <w:bCs/>
              </w:rPr>
            </w:pPr>
            <w:r w:rsidRPr="009B7B35">
              <w:rPr>
                <w:rFonts w:cs="Arial"/>
                <w:b/>
                <w:bCs/>
              </w:rPr>
              <w:t>AO13.3</w:t>
            </w:r>
          </w:p>
          <w:p w14:paraId="06B433E9" w14:textId="77777777" w:rsidR="00BE36FB" w:rsidRPr="009B7B35" w:rsidRDefault="00BE36FB" w:rsidP="001A7107">
            <w:pPr>
              <w:pStyle w:val="TableText"/>
              <w:rPr>
                <w:rFonts w:cs="Arial"/>
              </w:rPr>
            </w:pPr>
            <w:r w:rsidRPr="009B7B35">
              <w:rPr>
                <w:rFonts w:cs="Arial"/>
              </w:rPr>
              <w:t>No building, structure or activity area is closer than 10m to any site boundary.</w:t>
            </w:r>
          </w:p>
        </w:tc>
      </w:tr>
      <w:tr w:rsidR="00BE36FB" w:rsidRPr="009B7B35" w14:paraId="42683369" w14:textId="77777777" w:rsidTr="001A7107">
        <w:trPr>
          <w:cantSplit/>
        </w:trPr>
        <w:tc>
          <w:tcPr>
            <w:tcW w:w="4678" w:type="dxa"/>
            <w:vMerge/>
          </w:tcPr>
          <w:p w14:paraId="69B5283F" w14:textId="77777777" w:rsidR="00BE36FB" w:rsidRPr="009B7B35" w:rsidRDefault="00BE36FB" w:rsidP="001A7107">
            <w:pPr>
              <w:rPr>
                <w:rFonts w:cs="Arial"/>
                <w:sz w:val="20"/>
                <w:szCs w:val="20"/>
              </w:rPr>
            </w:pPr>
          </w:p>
        </w:tc>
        <w:tc>
          <w:tcPr>
            <w:tcW w:w="4678" w:type="dxa"/>
          </w:tcPr>
          <w:p w14:paraId="65D5EC6D" w14:textId="77777777" w:rsidR="00BE36FB" w:rsidRPr="009B7B35" w:rsidRDefault="00BE36FB" w:rsidP="001A7107">
            <w:pPr>
              <w:pStyle w:val="TableText"/>
              <w:rPr>
                <w:rFonts w:cs="Arial"/>
                <w:b/>
                <w:bCs/>
              </w:rPr>
            </w:pPr>
            <w:r w:rsidRPr="009B7B35">
              <w:rPr>
                <w:rFonts w:cs="Arial"/>
                <w:b/>
                <w:bCs/>
              </w:rPr>
              <w:t>AO13.4</w:t>
            </w:r>
          </w:p>
          <w:p w14:paraId="5ADBEEE2" w14:textId="77777777" w:rsidR="00BE36FB" w:rsidRPr="009B7B35" w:rsidRDefault="00BE36FB" w:rsidP="001A7107">
            <w:pPr>
              <w:pStyle w:val="TableText"/>
              <w:rPr>
                <w:rFonts w:cs="Arial"/>
              </w:rPr>
            </w:pPr>
            <w:r w:rsidRPr="009B7B35">
              <w:rPr>
                <w:rFonts w:cs="Arial"/>
              </w:rPr>
              <w:t>Hours of operation are limited to between 7am and 6pm daily.</w:t>
            </w:r>
          </w:p>
        </w:tc>
      </w:tr>
      <w:tr w:rsidR="00BE36FB" w:rsidRPr="009B7B35" w14:paraId="798D11F1" w14:textId="77777777" w:rsidTr="001A7107">
        <w:trPr>
          <w:cantSplit/>
        </w:trPr>
        <w:tc>
          <w:tcPr>
            <w:tcW w:w="4678" w:type="dxa"/>
            <w:vMerge w:val="restart"/>
          </w:tcPr>
          <w:p w14:paraId="32891EC8" w14:textId="77777777" w:rsidR="00BE36FB" w:rsidRPr="009B7B35" w:rsidRDefault="00BE36FB" w:rsidP="001A7107">
            <w:pPr>
              <w:pStyle w:val="TableText"/>
              <w:rPr>
                <w:rFonts w:cs="Arial"/>
                <w:b/>
                <w:bCs/>
              </w:rPr>
            </w:pPr>
            <w:r w:rsidRPr="009B7B35">
              <w:rPr>
                <w:rFonts w:cs="Arial"/>
                <w:b/>
                <w:bCs/>
              </w:rPr>
              <w:t>PO14</w:t>
            </w:r>
          </w:p>
          <w:p w14:paraId="516EBE1D" w14:textId="77777777" w:rsidR="00BE36FB" w:rsidRPr="009B7B35" w:rsidRDefault="00BE36FB" w:rsidP="001A7107">
            <w:pPr>
              <w:pStyle w:val="TableText"/>
              <w:rPr>
                <w:rFonts w:cs="Arial"/>
              </w:rPr>
            </w:pPr>
            <w:r w:rsidRPr="009B7B35">
              <w:rPr>
                <w:rFonts w:cs="Arial"/>
              </w:rPr>
              <w:t>Non–residential uses do not:</w:t>
            </w:r>
          </w:p>
          <w:p w14:paraId="2080481D" w14:textId="77777777" w:rsidR="00BE36FB" w:rsidRPr="009B7B35" w:rsidRDefault="00BE36FB" w:rsidP="00BE36FB">
            <w:pPr>
              <w:numPr>
                <w:ilvl w:val="0"/>
                <w:numId w:val="352"/>
              </w:numPr>
              <w:rPr>
                <w:rFonts w:cs="Arial"/>
                <w:sz w:val="20"/>
                <w:szCs w:val="20"/>
              </w:rPr>
            </w:pPr>
            <w:r w:rsidRPr="009B7B35">
              <w:rPr>
                <w:rFonts w:cs="Arial"/>
                <w:sz w:val="20"/>
                <w:szCs w:val="20"/>
              </w:rPr>
              <w:t>adversely affect the viability of the Agnes Water town centre, and</w:t>
            </w:r>
          </w:p>
          <w:p w14:paraId="745B3163" w14:textId="77777777" w:rsidR="00BE36FB" w:rsidRPr="009B7B35" w:rsidRDefault="00BE36FB" w:rsidP="00BE36FB">
            <w:pPr>
              <w:numPr>
                <w:ilvl w:val="0"/>
                <w:numId w:val="352"/>
              </w:numPr>
              <w:rPr>
                <w:rFonts w:cs="Arial"/>
                <w:sz w:val="20"/>
                <w:szCs w:val="20"/>
              </w:rPr>
            </w:pPr>
            <w:r w:rsidRPr="009B7B35">
              <w:rPr>
                <w:rFonts w:cs="Arial"/>
                <w:sz w:val="20"/>
                <w:szCs w:val="20"/>
              </w:rPr>
              <w:t>include large format, land consumptive commercial uses.</w:t>
            </w:r>
          </w:p>
        </w:tc>
        <w:tc>
          <w:tcPr>
            <w:tcW w:w="4678" w:type="dxa"/>
          </w:tcPr>
          <w:p w14:paraId="69828D49" w14:textId="77777777" w:rsidR="00BE36FB" w:rsidRPr="009B7B35" w:rsidRDefault="00BE36FB" w:rsidP="001A7107">
            <w:pPr>
              <w:pStyle w:val="TableText"/>
              <w:rPr>
                <w:rFonts w:cs="Arial"/>
                <w:b/>
                <w:bCs/>
              </w:rPr>
            </w:pPr>
            <w:r w:rsidRPr="009B7B35">
              <w:rPr>
                <w:rFonts w:cs="Arial"/>
                <w:b/>
                <w:bCs/>
              </w:rPr>
              <w:t>AO14.1</w:t>
            </w:r>
          </w:p>
          <w:p w14:paraId="50732021" w14:textId="77777777" w:rsidR="00BE36FB" w:rsidRPr="009B7B35" w:rsidRDefault="00BE36FB">
            <w:pPr>
              <w:pStyle w:val="TableText"/>
              <w:rPr>
                <w:rFonts w:cs="Arial"/>
              </w:rPr>
            </w:pPr>
            <w:r w:rsidRPr="009B7B35">
              <w:rPr>
                <w:rFonts w:cs="Arial"/>
              </w:rPr>
              <w:t>GFA of the following uses does not exceed 250m</w:t>
            </w:r>
            <w:r w:rsidRPr="009B7B35">
              <w:rPr>
                <w:rFonts w:cs="Arial"/>
                <w:vertAlign w:val="superscript"/>
              </w:rPr>
              <w:t>2</w:t>
            </w:r>
            <w:r w:rsidRPr="009B7B35">
              <w:rPr>
                <w:rFonts w:cs="Arial"/>
              </w:rPr>
              <w:t xml:space="preserve"> for: </w:t>
            </w:r>
          </w:p>
          <w:p w14:paraId="6BA4806E" w14:textId="77777777" w:rsidR="00BE36FB" w:rsidRPr="009B7B35" w:rsidRDefault="00BE36FB" w:rsidP="00BE36FB">
            <w:pPr>
              <w:pStyle w:val="TableText"/>
              <w:numPr>
                <w:ilvl w:val="0"/>
                <w:numId w:val="421"/>
              </w:numPr>
              <w:rPr>
                <w:rFonts w:cs="Arial"/>
              </w:rPr>
            </w:pPr>
            <w:r w:rsidRPr="009B7B35">
              <w:rPr>
                <w:rFonts w:cs="Arial"/>
              </w:rPr>
              <w:t>agricultural supplies store</w:t>
            </w:r>
          </w:p>
          <w:p w14:paraId="20DFF220" w14:textId="77777777" w:rsidR="00BE36FB" w:rsidRPr="009B7B35" w:rsidRDefault="00BE36FB" w:rsidP="00BE36FB">
            <w:pPr>
              <w:pStyle w:val="TableText"/>
              <w:numPr>
                <w:ilvl w:val="0"/>
                <w:numId w:val="421"/>
              </w:numPr>
              <w:rPr>
                <w:rFonts w:cs="Arial"/>
              </w:rPr>
            </w:pPr>
            <w:r w:rsidRPr="009B7B35">
              <w:rPr>
                <w:rFonts w:cs="Arial"/>
              </w:rPr>
              <w:t>bulk landscape supplies</w:t>
            </w:r>
          </w:p>
          <w:p w14:paraId="4A587A55" w14:textId="77777777" w:rsidR="00BE36FB" w:rsidRPr="009B7B35" w:rsidRDefault="00BE36FB" w:rsidP="00BE36FB">
            <w:pPr>
              <w:pStyle w:val="TableText"/>
              <w:numPr>
                <w:ilvl w:val="0"/>
                <w:numId w:val="421"/>
              </w:numPr>
              <w:rPr>
                <w:rFonts w:cs="Arial"/>
              </w:rPr>
            </w:pPr>
            <w:r w:rsidRPr="009B7B35">
              <w:rPr>
                <w:rFonts w:cs="Arial"/>
              </w:rPr>
              <w:t>garden centre</w:t>
            </w:r>
          </w:p>
          <w:p w14:paraId="3F59FE5F" w14:textId="77777777" w:rsidR="00BE36FB" w:rsidRPr="009B7B35" w:rsidRDefault="00BE36FB" w:rsidP="00BE36FB">
            <w:pPr>
              <w:pStyle w:val="TableText"/>
              <w:numPr>
                <w:ilvl w:val="0"/>
                <w:numId w:val="421"/>
              </w:numPr>
              <w:rPr>
                <w:rFonts w:cs="Arial"/>
              </w:rPr>
            </w:pPr>
            <w:r w:rsidRPr="009B7B35">
              <w:rPr>
                <w:rFonts w:cs="Arial"/>
              </w:rPr>
              <w:t xml:space="preserve">hardware and trade supplies </w:t>
            </w:r>
          </w:p>
          <w:p w14:paraId="7A806723" w14:textId="77777777" w:rsidR="00BE36FB" w:rsidRPr="009B7B35" w:rsidRDefault="00BE36FB" w:rsidP="00BE36FB">
            <w:pPr>
              <w:pStyle w:val="TableText"/>
              <w:numPr>
                <w:ilvl w:val="0"/>
                <w:numId w:val="421"/>
              </w:numPr>
              <w:rPr>
                <w:rFonts w:cs="Arial"/>
              </w:rPr>
            </w:pPr>
            <w:r w:rsidRPr="009B7B35">
              <w:rPr>
                <w:rFonts w:cs="Arial"/>
              </w:rPr>
              <w:t>service industry, and</w:t>
            </w:r>
          </w:p>
          <w:p w14:paraId="2B01A7BF" w14:textId="77777777" w:rsidR="00BE36FB" w:rsidRPr="009B7B35" w:rsidRDefault="00BE36FB" w:rsidP="00BE36FB">
            <w:pPr>
              <w:pStyle w:val="TableText"/>
              <w:numPr>
                <w:ilvl w:val="0"/>
                <w:numId w:val="421"/>
              </w:numPr>
              <w:rPr>
                <w:rFonts w:cs="Arial"/>
              </w:rPr>
            </w:pPr>
            <w:r w:rsidRPr="009B7B35">
              <w:rPr>
                <w:rFonts w:cs="Arial"/>
              </w:rPr>
              <w:t>warehouse.</w:t>
            </w:r>
          </w:p>
        </w:tc>
      </w:tr>
      <w:tr w:rsidR="00BE36FB" w:rsidRPr="009B7B35" w14:paraId="45A1C5CC" w14:textId="77777777" w:rsidTr="001A7107">
        <w:trPr>
          <w:cantSplit/>
        </w:trPr>
        <w:tc>
          <w:tcPr>
            <w:tcW w:w="4678" w:type="dxa"/>
            <w:vMerge/>
          </w:tcPr>
          <w:p w14:paraId="33F6364C" w14:textId="77777777" w:rsidR="00BE36FB" w:rsidRPr="009B7B35" w:rsidRDefault="00BE36FB" w:rsidP="001A7107">
            <w:pPr>
              <w:rPr>
                <w:rFonts w:cs="Arial"/>
                <w:sz w:val="20"/>
                <w:szCs w:val="20"/>
              </w:rPr>
            </w:pPr>
          </w:p>
        </w:tc>
        <w:tc>
          <w:tcPr>
            <w:tcW w:w="4678" w:type="dxa"/>
          </w:tcPr>
          <w:p w14:paraId="078DE33F" w14:textId="77777777" w:rsidR="00BE36FB" w:rsidRPr="009B7B35" w:rsidRDefault="00BE36FB" w:rsidP="001A7107">
            <w:pPr>
              <w:pStyle w:val="TableText"/>
              <w:rPr>
                <w:rFonts w:cs="Arial"/>
                <w:b/>
                <w:bCs/>
              </w:rPr>
            </w:pPr>
            <w:r w:rsidRPr="009B7B35">
              <w:rPr>
                <w:rFonts w:cs="Arial"/>
                <w:b/>
                <w:bCs/>
              </w:rPr>
              <w:t>AO13.2</w:t>
            </w:r>
          </w:p>
          <w:p w14:paraId="69538EFF" w14:textId="77777777" w:rsidR="00BE36FB" w:rsidRPr="009B7B35" w:rsidRDefault="00BE36FB" w:rsidP="001A7107">
            <w:pPr>
              <w:pStyle w:val="TableText"/>
              <w:rPr>
                <w:rFonts w:cs="Arial"/>
              </w:rPr>
            </w:pPr>
            <w:r w:rsidRPr="009B7B35">
              <w:rPr>
                <w:rFonts w:cs="Arial"/>
              </w:rPr>
              <w:t>Any outdoor sales use does not exceed a development footprint of 500m</w:t>
            </w:r>
            <w:r w:rsidRPr="009B7B35">
              <w:rPr>
                <w:rFonts w:cs="Arial"/>
                <w:vertAlign w:val="superscript"/>
              </w:rPr>
              <w:t>2</w:t>
            </w:r>
            <w:r w:rsidRPr="009B7B35">
              <w:rPr>
                <w:rFonts w:cs="Arial"/>
              </w:rPr>
              <w:t>.</w:t>
            </w:r>
          </w:p>
        </w:tc>
      </w:tr>
      <w:tr w:rsidR="00BE36FB" w:rsidRPr="009B7B35" w14:paraId="37146473" w14:textId="77777777" w:rsidTr="001A7107">
        <w:trPr>
          <w:cantSplit/>
        </w:trPr>
        <w:tc>
          <w:tcPr>
            <w:tcW w:w="4678" w:type="dxa"/>
            <w:vMerge w:val="restart"/>
          </w:tcPr>
          <w:p w14:paraId="6A2DF1EF" w14:textId="77777777" w:rsidR="00BE36FB" w:rsidRPr="009B7B35" w:rsidRDefault="00BE36FB" w:rsidP="001A7107">
            <w:pPr>
              <w:pStyle w:val="TableText"/>
              <w:rPr>
                <w:rFonts w:cs="Arial"/>
                <w:b/>
                <w:bCs/>
              </w:rPr>
            </w:pPr>
            <w:r w:rsidRPr="009B7B35">
              <w:rPr>
                <w:rFonts w:cs="Arial"/>
                <w:b/>
                <w:bCs/>
              </w:rPr>
              <w:t>PO15</w:t>
            </w:r>
          </w:p>
          <w:p w14:paraId="7FA73AF5" w14:textId="77777777" w:rsidR="00BE36FB" w:rsidRPr="009B7B35" w:rsidRDefault="00BE36FB" w:rsidP="001A7107">
            <w:pPr>
              <w:pStyle w:val="TableText"/>
              <w:rPr>
                <w:rFonts w:cs="Arial"/>
              </w:rPr>
            </w:pPr>
            <w:r w:rsidRPr="009B7B35">
              <w:rPr>
                <w:rFonts w:cs="Arial"/>
              </w:rPr>
              <w:t>Where a Tourist park, development provides adequate separation, screening and buffering from any adjoining residential premises or residential zone so that residential privacy and amenity is not adversely affected.</w:t>
            </w:r>
          </w:p>
        </w:tc>
        <w:tc>
          <w:tcPr>
            <w:tcW w:w="4678" w:type="dxa"/>
          </w:tcPr>
          <w:p w14:paraId="4D8DC0BD" w14:textId="77777777" w:rsidR="00BE36FB" w:rsidRPr="009B7B35" w:rsidRDefault="00BE36FB" w:rsidP="001A7107">
            <w:pPr>
              <w:pStyle w:val="TableText"/>
              <w:rPr>
                <w:rFonts w:cs="Arial"/>
                <w:b/>
                <w:bCs/>
              </w:rPr>
            </w:pPr>
            <w:r w:rsidRPr="009B7B35">
              <w:rPr>
                <w:rFonts w:cs="Arial"/>
                <w:b/>
                <w:bCs/>
              </w:rPr>
              <w:t xml:space="preserve">AO15.1 </w:t>
            </w:r>
          </w:p>
          <w:p w14:paraId="5227F6B0" w14:textId="77777777" w:rsidR="00BE36FB" w:rsidRPr="009B7B35" w:rsidRDefault="00BE36FB">
            <w:pPr>
              <w:pStyle w:val="TableText"/>
              <w:rPr>
                <w:rFonts w:cs="Arial"/>
              </w:rPr>
            </w:pPr>
            <w:r w:rsidRPr="009B7B35">
              <w:rPr>
                <w:rFonts w:cs="Arial"/>
              </w:rPr>
              <w:t>Where a Tourist park and adjoining a residential use:</w:t>
            </w:r>
          </w:p>
          <w:p w14:paraId="622FAA95" w14:textId="77777777" w:rsidR="00BE36FB" w:rsidRPr="009B7B35" w:rsidRDefault="00BE36FB" w:rsidP="00BE36FB">
            <w:pPr>
              <w:pStyle w:val="TableText"/>
              <w:numPr>
                <w:ilvl w:val="0"/>
                <w:numId w:val="531"/>
              </w:numPr>
              <w:ind w:left="575" w:hanging="575"/>
              <w:rPr>
                <w:rFonts w:cs="Arial"/>
              </w:rPr>
            </w:pPr>
            <w:r w:rsidRPr="009B7B35">
              <w:rPr>
                <w:rFonts w:cs="Arial"/>
              </w:rPr>
              <w:t>a minimum side and rear boundary setback of 3m is required for any:</w:t>
            </w:r>
          </w:p>
          <w:p w14:paraId="59AFFE81" w14:textId="77777777" w:rsidR="00BE36FB" w:rsidRPr="009B7B35" w:rsidRDefault="00BE36FB" w:rsidP="00BE36FB">
            <w:pPr>
              <w:pStyle w:val="TableText"/>
              <w:numPr>
                <w:ilvl w:val="1"/>
                <w:numId w:val="531"/>
              </w:numPr>
              <w:ind w:left="1077" w:hanging="283"/>
              <w:rPr>
                <w:rFonts w:cs="Arial"/>
              </w:rPr>
            </w:pPr>
            <w:r w:rsidRPr="009B7B35">
              <w:rPr>
                <w:rFonts w:cs="Arial"/>
              </w:rPr>
              <w:t>ancillary kiosk or food and drink outlet premises</w:t>
            </w:r>
          </w:p>
          <w:p w14:paraId="4FC375AD" w14:textId="77777777" w:rsidR="00BE36FB" w:rsidRPr="009B7B35" w:rsidRDefault="00BE36FB" w:rsidP="00BE36FB">
            <w:pPr>
              <w:pStyle w:val="TableText"/>
              <w:numPr>
                <w:ilvl w:val="1"/>
                <w:numId w:val="531"/>
              </w:numPr>
              <w:ind w:left="1077" w:hanging="283"/>
              <w:rPr>
                <w:rFonts w:cs="Arial"/>
              </w:rPr>
            </w:pPr>
            <w:r w:rsidRPr="009B7B35">
              <w:rPr>
                <w:rFonts w:cs="Arial"/>
              </w:rPr>
              <w:t>site access points, and</w:t>
            </w:r>
          </w:p>
          <w:p w14:paraId="18864D62" w14:textId="77777777" w:rsidR="00BE36FB" w:rsidRPr="009B7B35" w:rsidRDefault="00BE36FB" w:rsidP="00BE36FB">
            <w:pPr>
              <w:pStyle w:val="TableText"/>
              <w:numPr>
                <w:ilvl w:val="1"/>
                <w:numId w:val="531"/>
              </w:numPr>
              <w:ind w:left="1077" w:hanging="283"/>
              <w:rPr>
                <w:rFonts w:cs="Arial"/>
              </w:rPr>
            </w:pPr>
            <w:r w:rsidRPr="009B7B35">
              <w:rPr>
                <w:rFonts w:cs="Arial"/>
              </w:rPr>
              <w:t>car parking areas.</w:t>
            </w:r>
          </w:p>
          <w:p w14:paraId="735372C7" w14:textId="77777777" w:rsidR="00BE36FB" w:rsidRPr="009B7B35" w:rsidRDefault="00BE36FB" w:rsidP="00BE36FB">
            <w:pPr>
              <w:pStyle w:val="TableText"/>
              <w:numPr>
                <w:ilvl w:val="0"/>
                <w:numId w:val="531"/>
              </w:numPr>
              <w:ind w:left="575" w:hanging="540"/>
              <w:rPr>
                <w:rFonts w:cs="Arial"/>
              </w:rPr>
            </w:pPr>
            <w:r w:rsidRPr="009B7B35">
              <w:rPr>
                <w:rFonts w:cs="Arial"/>
              </w:rPr>
              <w:t>a minimum boundary setback of 10m is required for any:</w:t>
            </w:r>
          </w:p>
          <w:p w14:paraId="636735C0" w14:textId="77777777" w:rsidR="00BE36FB" w:rsidRPr="009B7B35" w:rsidRDefault="00BE36FB" w:rsidP="00BE36FB">
            <w:pPr>
              <w:pStyle w:val="TableText"/>
              <w:numPr>
                <w:ilvl w:val="1"/>
                <w:numId w:val="531"/>
              </w:numPr>
              <w:ind w:left="1077" w:hanging="283"/>
              <w:rPr>
                <w:rFonts w:cs="Arial"/>
              </w:rPr>
            </w:pPr>
            <w:r w:rsidRPr="009B7B35">
              <w:rPr>
                <w:rFonts w:cs="Arial"/>
              </w:rPr>
              <w:t>amenity buildings</w:t>
            </w:r>
          </w:p>
          <w:p w14:paraId="0985F187" w14:textId="77777777" w:rsidR="00BE36FB" w:rsidRPr="009B7B35" w:rsidRDefault="00BE36FB" w:rsidP="00BE36FB">
            <w:pPr>
              <w:pStyle w:val="TableText"/>
              <w:numPr>
                <w:ilvl w:val="1"/>
                <w:numId w:val="531"/>
              </w:numPr>
              <w:ind w:left="1077" w:hanging="283"/>
              <w:rPr>
                <w:rFonts w:cs="Arial"/>
              </w:rPr>
            </w:pPr>
            <w:r w:rsidRPr="009B7B35">
              <w:rPr>
                <w:rFonts w:cs="Arial"/>
              </w:rPr>
              <w:t>servicing or outdoor storage areas</w:t>
            </w:r>
          </w:p>
          <w:p w14:paraId="728F754C" w14:textId="77777777" w:rsidR="00BE36FB" w:rsidRPr="009B7B35" w:rsidRDefault="00BE36FB" w:rsidP="00BE36FB">
            <w:pPr>
              <w:pStyle w:val="TableText"/>
              <w:numPr>
                <w:ilvl w:val="1"/>
                <w:numId w:val="531"/>
              </w:numPr>
              <w:ind w:left="1077" w:hanging="283"/>
              <w:rPr>
                <w:rFonts w:cs="Arial"/>
              </w:rPr>
            </w:pPr>
            <w:r w:rsidRPr="009B7B35">
              <w:rPr>
                <w:rFonts w:cs="Arial"/>
              </w:rPr>
              <w:t>temporary structures including caravans and tents, and</w:t>
            </w:r>
          </w:p>
          <w:p w14:paraId="0493D9BA" w14:textId="77777777" w:rsidR="00BE36FB" w:rsidRPr="009B7B35" w:rsidRDefault="00BE36FB" w:rsidP="00BE36FB">
            <w:pPr>
              <w:pStyle w:val="TableText"/>
              <w:numPr>
                <w:ilvl w:val="1"/>
                <w:numId w:val="531"/>
              </w:numPr>
              <w:ind w:left="1077" w:hanging="283"/>
              <w:rPr>
                <w:rFonts w:cs="Arial"/>
              </w:rPr>
            </w:pPr>
            <w:r w:rsidRPr="009B7B35">
              <w:rPr>
                <w:rFonts w:cs="Arial"/>
              </w:rPr>
              <w:t>active outdoor use areas.</w:t>
            </w:r>
          </w:p>
        </w:tc>
      </w:tr>
      <w:tr w:rsidR="00BE36FB" w:rsidRPr="009B7B35" w14:paraId="3731B2C9" w14:textId="77777777" w:rsidTr="001A7107">
        <w:trPr>
          <w:cantSplit/>
        </w:trPr>
        <w:tc>
          <w:tcPr>
            <w:tcW w:w="4678" w:type="dxa"/>
            <w:vMerge/>
          </w:tcPr>
          <w:p w14:paraId="245E6C3E" w14:textId="77777777" w:rsidR="00BE36FB" w:rsidRPr="009B7B35" w:rsidRDefault="00BE36FB" w:rsidP="001A7107">
            <w:pPr>
              <w:rPr>
                <w:rFonts w:cs="Arial"/>
                <w:sz w:val="20"/>
                <w:szCs w:val="20"/>
              </w:rPr>
            </w:pPr>
          </w:p>
        </w:tc>
        <w:tc>
          <w:tcPr>
            <w:tcW w:w="4678" w:type="dxa"/>
          </w:tcPr>
          <w:p w14:paraId="556B3F8B" w14:textId="77777777" w:rsidR="00BE36FB" w:rsidRPr="009B7B35" w:rsidRDefault="00BE36FB" w:rsidP="001A7107">
            <w:pPr>
              <w:pStyle w:val="TableText"/>
              <w:rPr>
                <w:rFonts w:cs="Arial"/>
                <w:b/>
                <w:bCs/>
              </w:rPr>
            </w:pPr>
            <w:r w:rsidRPr="009B7B35">
              <w:rPr>
                <w:rFonts w:cs="Arial"/>
                <w:b/>
                <w:bCs/>
              </w:rPr>
              <w:t>AO15.2</w:t>
            </w:r>
          </w:p>
          <w:p w14:paraId="0E719A1B" w14:textId="77777777" w:rsidR="00BE36FB" w:rsidRPr="009B7B35" w:rsidRDefault="00BE36FB" w:rsidP="001A7107">
            <w:pPr>
              <w:pStyle w:val="TableText"/>
              <w:rPr>
                <w:rFonts w:cs="Arial"/>
              </w:rPr>
            </w:pPr>
            <w:r w:rsidRPr="009B7B35">
              <w:rPr>
                <w:rFonts w:cs="Arial"/>
              </w:rPr>
              <w:t>Where a Tourist park, any plant and air–conditioning equipment is screened from view of the road or adjoining residential activity.</w:t>
            </w:r>
          </w:p>
        </w:tc>
      </w:tr>
      <w:tr w:rsidR="00BE36FB" w:rsidRPr="009B7B35" w14:paraId="2BB2EA01" w14:textId="77777777" w:rsidTr="001A7107">
        <w:trPr>
          <w:cantSplit/>
        </w:trPr>
        <w:tc>
          <w:tcPr>
            <w:tcW w:w="9356" w:type="dxa"/>
            <w:gridSpan w:val="2"/>
            <w:shd w:val="clear" w:color="auto" w:fill="BFBFBF" w:themeFill="background1" w:themeFillShade="BF"/>
          </w:tcPr>
          <w:p w14:paraId="08A48C9C" w14:textId="77777777" w:rsidR="00BE36FB" w:rsidRPr="009B7B35" w:rsidRDefault="00BE36FB" w:rsidP="001A7107">
            <w:pPr>
              <w:pStyle w:val="TableText"/>
              <w:rPr>
                <w:rFonts w:cs="Arial"/>
                <w:b/>
              </w:rPr>
            </w:pPr>
            <w:r w:rsidRPr="009B7B35">
              <w:rPr>
                <w:rFonts w:cs="Arial"/>
                <w:b/>
              </w:rPr>
              <w:t>Where in the Beecher/Burua constant flow precinct</w:t>
            </w:r>
          </w:p>
        </w:tc>
      </w:tr>
      <w:tr w:rsidR="00BE36FB" w:rsidRPr="009B7B35" w14:paraId="6972C1DB" w14:textId="77777777" w:rsidTr="001A7107">
        <w:trPr>
          <w:cantSplit/>
          <w:trHeight w:val="1012"/>
        </w:trPr>
        <w:tc>
          <w:tcPr>
            <w:tcW w:w="4678" w:type="dxa"/>
          </w:tcPr>
          <w:p w14:paraId="09C7FE16" w14:textId="77777777" w:rsidR="00BE36FB" w:rsidRPr="009B7B35" w:rsidRDefault="00BE36FB" w:rsidP="001A7107">
            <w:pPr>
              <w:pStyle w:val="TableText"/>
              <w:rPr>
                <w:rFonts w:cs="Arial"/>
                <w:b/>
                <w:bCs/>
              </w:rPr>
            </w:pPr>
            <w:r w:rsidRPr="009B7B35">
              <w:rPr>
                <w:rFonts w:cs="Arial"/>
                <w:b/>
                <w:bCs/>
              </w:rPr>
              <w:t>PO16</w:t>
            </w:r>
          </w:p>
          <w:p w14:paraId="586B3DAD" w14:textId="77777777" w:rsidR="00BE36FB" w:rsidRPr="009B7B35" w:rsidRDefault="00BE36FB" w:rsidP="001A7107">
            <w:pPr>
              <w:pStyle w:val="TableText"/>
              <w:rPr>
                <w:rFonts w:cs="Arial"/>
                <w:b/>
                <w:bCs/>
              </w:rPr>
            </w:pPr>
            <w:r w:rsidRPr="009B7B35">
              <w:rPr>
                <w:rFonts w:cs="Arial"/>
              </w:rPr>
              <w:t>Reconfigurations attain an overall lot yield commensurate with the capacity of the water infrastructure network.</w:t>
            </w:r>
          </w:p>
        </w:tc>
        <w:tc>
          <w:tcPr>
            <w:tcW w:w="4678" w:type="dxa"/>
          </w:tcPr>
          <w:p w14:paraId="2529EBB8" w14:textId="77777777" w:rsidR="00BE36FB" w:rsidRPr="009B7B35" w:rsidRDefault="00BE36FB" w:rsidP="001A7107">
            <w:pPr>
              <w:pStyle w:val="TableText"/>
              <w:rPr>
                <w:rFonts w:cs="Arial"/>
                <w:b/>
                <w:bCs/>
              </w:rPr>
            </w:pPr>
            <w:r w:rsidRPr="009B7B35">
              <w:rPr>
                <w:rFonts w:cs="Arial"/>
                <w:b/>
                <w:bCs/>
              </w:rPr>
              <w:t>AO16</w:t>
            </w:r>
          </w:p>
          <w:p w14:paraId="5444AB76" w14:textId="77777777" w:rsidR="00BE36FB" w:rsidRPr="009B7B35" w:rsidRDefault="00BE36FB" w:rsidP="001A7107">
            <w:pPr>
              <w:pStyle w:val="TableText"/>
              <w:rPr>
                <w:rFonts w:cs="Arial"/>
                <w:bCs/>
              </w:rPr>
            </w:pPr>
            <w:r w:rsidRPr="009B7B35">
              <w:rPr>
                <w:rFonts w:cs="Arial"/>
                <w:bCs/>
              </w:rPr>
              <w:t xml:space="preserve">Development complies with the </w:t>
            </w:r>
            <w:r w:rsidRPr="009B7B35">
              <w:rPr>
                <w:rFonts w:cs="Arial"/>
                <w:bCs/>
                <w:i/>
              </w:rPr>
              <w:t>Beecher/Burua constant flow precinct planning scheme policy</w:t>
            </w:r>
            <w:r w:rsidRPr="009B7B35">
              <w:rPr>
                <w:rFonts w:cs="Arial"/>
                <w:bCs/>
              </w:rPr>
              <w:t>.</w:t>
            </w:r>
          </w:p>
        </w:tc>
      </w:tr>
    </w:tbl>
    <w:p w14:paraId="7283CF4A" w14:textId="77777777" w:rsidR="00BE36FB" w:rsidRPr="009B7B35" w:rsidRDefault="00BE36FB" w:rsidP="001A7107">
      <w:pPr>
        <w:rPr>
          <w:rFonts w:ascii="Arial" w:hAnsi="Arial" w:cs="Arial"/>
          <w:sz w:val="20"/>
          <w:szCs w:val="20"/>
        </w:rPr>
      </w:pPr>
    </w:p>
    <w:p w14:paraId="45B436D4"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2DA8410D" w14:textId="77777777" w:rsidR="00BE36FB" w:rsidRPr="009B7B35" w:rsidRDefault="00BE36FB" w:rsidP="006776DA">
      <w:pPr>
        <w:pStyle w:val="Heading3"/>
        <w:keepLines/>
        <w:numPr>
          <w:ilvl w:val="2"/>
          <w:numId w:val="883"/>
        </w:numPr>
        <w:spacing w:before="240"/>
        <w:rPr>
          <w:rFonts w:ascii="Arial" w:hAnsi="Arial"/>
          <w:sz w:val="20"/>
          <w:szCs w:val="20"/>
        </w:rPr>
      </w:pPr>
      <w:bookmarkStart w:id="206" w:name="_Toc205367369"/>
      <w:r w:rsidRPr="009B7B35">
        <w:rPr>
          <w:rFonts w:ascii="Arial" w:hAnsi="Arial"/>
          <w:sz w:val="20"/>
          <w:szCs w:val="20"/>
        </w:rPr>
        <w:t>Special purpose</w:t>
      </w:r>
      <w:bookmarkEnd w:id="206"/>
    </w:p>
    <w:p w14:paraId="2AD467FD"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31A62DB4"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4F340F3B"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1B393728" w14:textId="77777777" w:rsidR="00BE36FB" w:rsidRPr="009B7B35" w:rsidRDefault="00BE36FB" w:rsidP="00BE36FB">
      <w:pPr>
        <w:numPr>
          <w:ilvl w:val="0"/>
          <w:numId w:val="351"/>
        </w:numPr>
        <w:rPr>
          <w:rFonts w:ascii="Arial" w:hAnsi="Arial" w:cs="Arial"/>
          <w:sz w:val="20"/>
          <w:szCs w:val="20"/>
        </w:rPr>
      </w:pPr>
      <w:r w:rsidRPr="009B7B35">
        <w:rPr>
          <w:rFonts w:ascii="Arial" w:hAnsi="Arial" w:cs="Arial"/>
          <w:sz w:val="20"/>
          <w:szCs w:val="20"/>
        </w:rPr>
        <w:t xml:space="preserve">The purpose of the Special purpose zone is to provide for public uses that are owned or operated by a government, semi–government, statutory authority, government owned corporation, local government or private organisations in the course of a public utility undertaking such as: </w:t>
      </w:r>
    </w:p>
    <w:p w14:paraId="7D05C282"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Sewage treatment plants, pump stations and other related network elements.</w:t>
      </w:r>
    </w:p>
    <w:p w14:paraId="6103F248"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Water supply facilities, water treatment plants, water reservoirs and other related network elements.</w:t>
      </w:r>
    </w:p>
    <w:p w14:paraId="6F729423"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High voltage electricity transmission corridors, substations, gas and other related network elements.</w:t>
      </w:r>
    </w:p>
    <w:p w14:paraId="19A9F6B5"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Telecommunication exchanges and certain telecommunication transmission facilities.</w:t>
      </w:r>
    </w:p>
    <w:p w14:paraId="286A3820"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 xml:space="preserve">Refuse management facilities, </w:t>
      </w:r>
    </w:p>
    <w:p w14:paraId="0DF7EA36"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Transport infrastructure network elements such as railway corridors and terminals and the Gladstone Airport, and</w:t>
      </w:r>
    </w:p>
    <w:p w14:paraId="7AE0D123"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A defence establishment.</w:t>
      </w:r>
    </w:p>
    <w:p w14:paraId="1DC41C69" w14:textId="77777777" w:rsidR="00BE36FB" w:rsidRPr="009B7B35" w:rsidRDefault="00BE36FB" w:rsidP="00BE36FB">
      <w:pPr>
        <w:pStyle w:val="NormalIndent"/>
        <w:numPr>
          <w:ilvl w:val="0"/>
          <w:numId w:val="351"/>
        </w:numPr>
        <w:rPr>
          <w:rFonts w:cs="Arial"/>
          <w:szCs w:val="20"/>
        </w:rPr>
      </w:pPr>
      <w:r w:rsidRPr="009B7B35">
        <w:rPr>
          <w:rFonts w:cs="Arial"/>
          <w:szCs w:val="20"/>
        </w:rPr>
        <w:t xml:space="preserve">Development is buffered from encroachment by incompatible uses. </w:t>
      </w:r>
    </w:p>
    <w:p w14:paraId="0782A2D1" w14:textId="77777777" w:rsidR="00BE36FB" w:rsidRPr="009B7B35" w:rsidRDefault="00BE36FB" w:rsidP="00BE36FB">
      <w:pPr>
        <w:pStyle w:val="NormalIndent"/>
        <w:numPr>
          <w:ilvl w:val="0"/>
          <w:numId w:val="351"/>
        </w:numPr>
        <w:rPr>
          <w:rFonts w:cs="Arial"/>
          <w:szCs w:val="20"/>
        </w:rPr>
      </w:pPr>
      <w:r w:rsidRPr="009B7B35">
        <w:rPr>
          <w:rFonts w:cs="Arial"/>
          <w:szCs w:val="20"/>
        </w:rPr>
        <w:t>The zone also acknowledges special development areas regulated by planning instruments other than the planning scheme including the Gladstone State Development Area, “Strategic Port Land” at the Port of Gladstone and Port Alma and the “Priority Development Areas” at Clinton, Toolooa and Tannum Sands.</w:t>
      </w:r>
    </w:p>
    <w:p w14:paraId="39ACE805" w14:textId="77777777" w:rsidR="00BE36FB" w:rsidRPr="009B7B35" w:rsidRDefault="00BE36FB">
      <w:pPr>
        <w:pStyle w:val="Notes"/>
        <w:rPr>
          <w:rFonts w:cs="Arial"/>
          <w:sz w:val="20"/>
          <w:szCs w:val="20"/>
        </w:rPr>
      </w:pPr>
      <w:r w:rsidRPr="009B7B35">
        <w:rPr>
          <w:rFonts w:cs="Arial"/>
          <w:sz w:val="20"/>
          <w:szCs w:val="20"/>
        </w:rPr>
        <w:t>Note—Material change of use applications in the Gladstone State Development Area are administered by the Coordinator–General through the Development Scheme for the Gladstone State Development Area. In this area, only development applications for reconfiguring a lot and operational works or building and plumbing applications will be assessed by Gladstone Regional Council.</w:t>
      </w:r>
    </w:p>
    <w:p w14:paraId="394DD538" w14:textId="77777777" w:rsidR="00BE36FB" w:rsidRPr="009B7B35" w:rsidRDefault="00BE36FB">
      <w:pPr>
        <w:pStyle w:val="Notes"/>
        <w:rPr>
          <w:rFonts w:cs="Arial"/>
          <w:sz w:val="20"/>
          <w:szCs w:val="20"/>
        </w:rPr>
      </w:pPr>
      <w:r w:rsidRPr="009B7B35">
        <w:rPr>
          <w:rFonts w:cs="Arial"/>
          <w:sz w:val="20"/>
          <w:szCs w:val="20"/>
        </w:rPr>
        <w:t xml:space="preserve">Within Strategic Port Land the Gladstone Ports Corporation is the assessment manager for development unless the land is located within the Gladstone State Development Area wherein the Coordinator–General through the Development Scheme for the Gladstone State Development Area is the assessment manager. </w:t>
      </w:r>
    </w:p>
    <w:p w14:paraId="79F9912B" w14:textId="77777777" w:rsidR="00BE36FB" w:rsidRPr="009B7B35" w:rsidRDefault="00BE36FB">
      <w:pPr>
        <w:pStyle w:val="Notes"/>
        <w:rPr>
          <w:rFonts w:cs="Arial"/>
          <w:sz w:val="20"/>
          <w:szCs w:val="20"/>
        </w:rPr>
      </w:pPr>
      <w:r w:rsidRPr="009B7B35">
        <w:rPr>
          <w:rFonts w:cs="Arial"/>
          <w:sz w:val="20"/>
          <w:szCs w:val="20"/>
        </w:rPr>
        <w:t>For each Priority Development Area, development is managed within a Development Scheme approved by the Minister for Economic Development Queensland.</w:t>
      </w:r>
    </w:p>
    <w:p w14:paraId="764317ED" w14:textId="77777777" w:rsidR="00BE36FB" w:rsidRPr="009B7B35" w:rsidRDefault="00BE36FB">
      <w:pPr>
        <w:pStyle w:val="Notes"/>
        <w:rPr>
          <w:rFonts w:cs="Arial"/>
          <w:sz w:val="20"/>
          <w:szCs w:val="20"/>
        </w:rPr>
      </w:pPr>
      <w:r w:rsidRPr="009B7B35">
        <w:rPr>
          <w:rFonts w:cs="Arial"/>
          <w:sz w:val="20"/>
          <w:szCs w:val="20"/>
        </w:rPr>
        <w:t xml:space="preserve">Defence land (Gladstone Training Depot) is regulated under the </w:t>
      </w:r>
      <w:r w:rsidRPr="009B7B35">
        <w:rPr>
          <w:rFonts w:cs="Arial"/>
          <w:i/>
          <w:sz w:val="20"/>
          <w:szCs w:val="20"/>
        </w:rPr>
        <w:t>Commonwealth Defence Act 1903</w:t>
      </w:r>
      <w:r w:rsidRPr="009B7B35">
        <w:rPr>
          <w:rFonts w:cs="Arial"/>
          <w:sz w:val="20"/>
          <w:szCs w:val="20"/>
        </w:rPr>
        <w:t xml:space="preserve"> and is not subject to the planning scheme.</w:t>
      </w:r>
    </w:p>
    <w:p w14:paraId="06F9E24D" w14:textId="77777777" w:rsidR="00BE36FB" w:rsidRPr="009B7B35" w:rsidRDefault="00BE36FB" w:rsidP="00BE36FB">
      <w:pPr>
        <w:numPr>
          <w:ilvl w:val="0"/>
          <w:numId w:val="351"/>
        </w:numPr>
        <w:rPr>
          <w:rFonts w:ascii="Arial" w:hAnsi="Arial" w:cs="Arial"/>
          <w:sz w:val="20"/>
          <w:szCs w:val="20"/>
        </w:rPr>
      </w:pPr>
      <w:r w:rsidRPr="009B7B35">
        <w:rPr>
          <w:rFonts w:ascii="Arial" w:hAnsi="Arial" w:cs="Arial"/>
          <w:sz w:val="20"/>
          <w:szCs w:val="20"/>
        </w:rPr>
        <w:t>The purpose of the zone will be achieved through the following overall outcomes:</w:t>
      </w:r>
    </w:p>
    <w:p w14:paraId="3B6B598C"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Special uses and works that are owned or operated by federal, state or local government and government entities are accommodated within this zone. These activities include, airports, sea ports, rail lines, rail stations, the provision of water supply, sewerage, electricity, gas, telecommunications, transport, drainage and other like services.</w:t>
      </w:r>
    </w:p>
    <w:p w14:paraId="205724D5"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Development is located appropriate to the type of special purpose proposed and is generally consistent in scale, height and bulk with that of the surrounding development.</w:t>
      </w:r>
    </w:p>
    <w:p w14:paraId="4A2CB21B"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The viability of special purpose uses are protected by excluding development that could limit the ongoing operation of existing special purpose uses or prejudice appropriate new activities.</w:t>
      </w:r>
    </w:p>
    <w:p w14:paraId="2FB98E86"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Development will be provided with a level of development infrastructure that is appropriate to the use.</w:t>
      </w:r>
    </w:p>
    <w:p w14:paraId="7C9D86EA"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 xml:space="preserve">Development responds to land constraints, including but not limited to topography, bushfire and flooding. </w:t>
      </w:r>
    </w:p>
    <w:p w14:paraId="424DAFDA"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Adverse impacts on natural features and processes, both on–site and from adjoining areas, are minimised through location, design, operation and management of development.</w:t>
      </w:r>
    </w:p>
    <w:p w14:paraId="396006F4"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Development avoids significant adverse effects on water quality and the natural environment.</w:t>
      </w:r>
    </w:p>
    <w:p w14:paraId="33F7806E" w14:textId="77777777" w:rsidR="00BE36FB" w:rsidRPr="009B7B35" w:rsidRDefault="00BE36FB" w:rsidP="00BE36FB">
      <w:pPr>
        <w:numPr>
          <w:ilvl w:val="0"/>
          <w:numId w:val="351"/>
        </w:numPr>
        <w:rPr>
          <w:rFonts w:ascii="Arial" w:hAnsi="Arial" w:cs="Arial"/>
          <w:sz w:val="20"/>
          <w:szCs w:val="20"/>
        </w:rPr>
      </w:pPr>
      <w:r w:rsidRPr="009B7B35">
        <w:rPr>
          <w:rFonts w:ascii="Arial" w:hAnsi="Arial" w:cs="Arial"/>
          <w:sz w:val="20"/>
          <w:szCs w:val="20"/>
        </w:rPr>
        <w:t xml:space="preserve">The purpose of the zone will also be achieved through the following additional overall outcomes for particular precincts: </w:t>
      </w:r>
    </w:p>
    <w:p w14:paraId="3906C1DF"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Special development:</w:t>
      </w:r>
    </w:p>
    <w:p w14:paraId="53484D8B" w14:textId="77777777" w:rsidR="00BE36FB" w:rsidRPr="009B7B35" w:rsidRDefault="00BE36FB" w:rsidP="00BE36FB">
      <w:pPr>
        <w:numPr>
          <w:ilvl w:val="2"/>
          <w:numId w:val="351"/>
        </w:numPr>
        <w:rPr>
          <w:rFonts w:ascii="Arial" w:hAnsi="Arial" w:cs="Arial"/>
          <w:sz w:val="20"/>
          <w:szCs w:val="20"/>
        </w:rPr>
      </w:pPr>
      <w:r w:rsidRPr="009B7B35">
        <w:rPr>
          <w:rFonts w:ascii="Arial" w:hAnsi="Arial" w:cs="Arial"/>
          <w:sz w:val="20"/>
          <w:szCs w:val="20"/>
        </w:rPr>
        <w:t xml:space="preserve">development is regulated in accordance with planning instruments identified in Part 10 of this planning scheme. </w:t>
      </w:r>
    </w:p>
    <w:p w14:paraId="17D3BCEB" w14:textId="77777777" w:rsidR="00BE36FB" w:rsidRPr="009B7B35" w:rsidRDefault="00BE36FB" w:rsidP="00BE36FB">
      <w:pPr>
        <w:numPr>
          <w:ilvl w:val="1"/>
          <w:numId w:val="351"/>
        </w:numPr>
        <w:rPr>
          <w:rFonts w:ascii="Arial" w:hAnsi="Arial" w:cs="Arial"/>
          <w:sz w:val="20"/>
          <w:szCs w:val="20"/>
        </w:rPr>
      </w:pPr>
      <w:r w:rsidRPr="009B7B35">
        <w:rPr>
          <w:rFonts w:ascii="Arial" w:hAnsi="Arial" w:cs="Arial"/>
          <w:sz w:val="20"/>
          <w:szCs w:val="20"/>
        </w:rPr>
        <w:t>Gladstone Airport:</w:t>
      </w:r>
    </w:p>
    <w:p w14:paraId="31033AAB" w14:textId="77777777" w:rsidR="00BE36FB" w:rsidRPr="009B7B35" w:rsidRDefault="00BE36FB" w:rsidP="00BE36FB">
      <w:pPr>
        <w:numPr>
          <w:ilvl w:val="2"/>
          <w:numId w:val="351"/>
        </w:numPr>
        <w:rPr>
          <w:rFonts w:ascii="Arial" w:hAnsi="Arial" w:cs="Arial"/>
          <w:sz w:val="20"/>
          <w:szCs w:val="20"/>
        </w:rPr>
      </w:pPr>
      <w:r w:rsidRPr="009B7B35">
        <w:rPr>
          <w:rFonts w:ascii="Arial" w:hAnsi="Arial" w:cs="Arial"/>
          <w:sz w:val="20"/>
          <w:szCs w:val="20"/>
        </w:rPr>
        <w:t>development provides only for air services within the airport operations area</w:t>
      </w:r>
    </w:p>
    <w:p w14:paraId="63EE8DE8" w14:textId="77777777" w:rsidR="00BE36FB" w:rsidRPr="009B7B35" w:rsidRDefault="00BE36FB" w:rsidP="00BE36FB">
      <w:pPr>
        <w:numPr>
          <w:ilvl w:val="2"/>
          <w:numId w:val="351"/>
        </w:numPr>
        <w:rPr>
          <w:rFonts w:ascii="Arial" w:hAnsi="Arial" w:cs="Arial"/>
          <w:sz w:val="20"/>
          <w:szCs w:val="20"/>
        </w:rPr>
      </w:pPr>
      <w:r w:rsidRPr="009B7B35">
        <w:rPr>
          <w:rFonts w:ascii="Arial" w:hAnsi="Arial" w:cs="Arial"/>
          <w:sz w:val="20"/>
          <w:szCs w:val="20"/>
        </w:rPr>
        <w:t xml:space="preserve">development ensures the efficient and safe operation of the Gladstone regional airport. </w:t>
      </w:r>
    </w:p>
    <w:p w14:paraId="51C6EAAD"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5725D02E" w14:textId="77777777" w:rsidR="00BE36FB" w:rsidRPr="009B7B35" w:rsidRDefault="00BE36FB" w:rsidP="003A35DA">
      <w:pPr>
        <w:pStyle w:val="Heading5"/>
        <w:numPr>
          <w:ilvl w:val="0"/>
          <w:numId w:val="0"/>
        </w:numPr>
        <w:rPr>
          <w:rFonts w:cs="Arial"/>
          <w:szCs w:val="20"/>
        </w:rPr>
      </w:pPr>
      <w:r w:rsidRPr="009B7B35">
        <w:rPr>
          <w:rFonts w:cs="Arial"/>
          <w:szCs w:val="20"/>
        </w:rPr>
        <w:t>Table 6.2.24.3.1—Assessable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14:paraId="0192FB52"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hideMark/>
          </w:tcPr>
          <w:p w14:paraId="60B04CAD" w14:textId="77777777" w:rsidR="00BE36FB" w:rsidRPr="009B7B35" w:rsidRDefault="00BE36FB" w:rsidP="001A7107">
            <w:pPr>
              <w:pStyle w:val="TableText"/>
              <w:rPr>
                <w:rFonts w:cs="Arial"/>
              </w:rPr>
            </w:pPr>
            <w:r w:rsidRPr="009B7B35">
              <w:rPr>
                <w:rFonts w:cs="Arial"/>
              </w:rPr>
              <w:t>Performance outcomes</w:t>
            </w:r>
          </w:p>
        </w:tc>
        <w:tc>
          <w:tcPr>
            <w:tcW w:w="4678" w:type="dxa"/>
            <w:hideMark/>
          </w:tcPr>
          <w:p w14:paraId="667A6C20" w14:textId="77777777" w:rsidR="00BE36FB" w:rsidRPr="009B7B35" w:rsidRDefault="00BE36FB" w:rsidP="001A7107">
            <w:pPr>
              <w:pStyle w:val="TableText"/>
              <w:rPr>
                <w:rFonts w:cs="Arial"/>
              </w:rPr>
            </w:pPr>
            <w:r w:rsidRPr="009B7B35">
              <w:rPr>
                <w:rFonts w:cs="Arial"/>
              </w:rPr>
              <w:t>Acceptable outcomes</w:t>
            </w:r>
          </w:p>
        </w:tc>
      </w:tr>
      <w:tr w:rsidR="00BE36FB" w:rsidRPr="009B7B35" w14:paraId="2A4A2297" w14:textId="77777777" w:rsidTr="001A7107">
        <w:trPr>
          <w:cantSplit/>
        </w:trPr>
        <w:tc>
          <w:tcPr>
            <w:tcW w:w="9356" w:type="dxa"/>
            <w:gridSpan w:val="2"/>
            <w:shd w:val="clear" w:color="auto" w:fill="BFBFBF" w:themeFill="background1" w:themeFillShade="BF"/>
            <w:hideMark/>
          </w:tcPr>
          <w:p w14:paraId="7EC01748" w14:textId="77777777" w:rsidR="00BE36FB" w:rsidRPr="009B7B35" w:rsidRDefault="00BE36FB" w:rsidP="001A7107">
            <w:pPr>
              <w:pStyle w:val="Tableheading"/>
              <w:rPr>
                <w:rFonts w:ascii="Arial" w:hAnsi="Arial" w:cs="Arial"/>
                <w:szCs w:val="20"/>
              </w:rPr>
            </w:pPr>
            <w:r w:rsidRPr="009B7B35">
              <w:rPr>
                <w:rFonts w:ascii="Arial" w:hAnsi="Arial" w:cs="Arial"/>
                <w:szCs w:val="20"/>
              </w:rPr>
              <w:t>Built form</w:t>
            </w:r>
          </w:p>
        </w:tc>
      </w:tr>
      <w:tr w:rsidR="00BE36FB" w:rsidRPr="009B7B35" w14:paraId="0E548897" w14:textId="77777777" w:rsidTr="001A7107">
        <w:trPr>
          <w:cantSplit/>
        </w:trPr>
        <w:tc>
          <w:tcPr>
            <w:tcW w:w="4678" w:type="dxa"/>
            <w:hideMark/>
          </w:tcPr>
          <w:p w14:paraId="791DBC6A" w14:textId="77777777" w:rsidR="00BE36FB" w:rsidRPr="009B7B35" w:rsidRDefault="00BE36FB" w:rsidP="001A7107">
            <w:pPr>
              <w:pStyle w:val="TableText"/>
              <w:rPr>
                <w:rFonts w:cs="Arial"/>
                <w:b/>
                <w:bCs/>
              </w:rPr>
            </w:pPr>
            <w:r w:rsidRPr="009B7B35">
              <w:rPr>
                <w:rFonts w:cs="Arial"/>
                <w:b/>
                <w:bCs/>
              </w:rPr>
              <w:t>PO1</w:t>
            </w:r>
          </w:p>
          <w:p w14:paraId="04D22C3E" w14:textId="77777777" w:rsidR="00BE36FB" w:rsidRPr="009B7B35" w:rsidRDefault="00BE36FB" w:rsidP="001A7107">
            <w:pPr>
              <w:pStyle w:val="TableText"/>
              <w:rPr>
                <w:rFonts w:cs="Arial"/>
              </w:rPr>
            </w:pPr>
            <w:r w:rsidRPr="009B7B35">
              <w:rPr>
                <w:rFonts w:cs="Arial"/>
              </w:rPr>
              <w:t xml:space="preserve">Buildings and outdoor storage areas: </w:t>
            </w:r>
          </w:p>
          <w:p w14:paraId="0DF7F236" w14:textId="77777777" w:rsidR="00BE36FB" w:rsidRPr="009B7B35" w:rsidRDefault="00BE36FB" w:rsidP="00BE36FB">
            <w:pPr>
              <w:pStyle w:val="TableText"/>
              <w:numPr>
                <w:ilvl w:val="0"/>
                <w:numId w:val="350"/>
              </w:numPr>
              <w:ind w:left="510" w:hanging="510"/>
              <w:rPr>
                <w:rFonts w:cs="Arial"/>
              </w:rPr>
            </w:pPr>
            <w:r w:rsidRPr="009B7B35">
              <w:rPr>
                <w:rFonts w:cs="Arial"/>
              </w:rPr>
              <w:t>are appropriate to the scale, bulk and character of other buildings and activities in the surrounding industrial area or intended in the zone, and</w:t>
            </w:r>
          </w:p>
          <w:p w14:paraId="7C13B11E" w14:textId="77777777" w:rsidR="00BE36FB" w:rsidRPr="009B7B35" w:rsidRDefault="00BE36FB" w:rsidP="00BE36FB">
            <w:pPr>
              <w:pStyle w:val="TableText"/>
              <w:numPr>
                <w:ilvl w:val="0"/>
                <w:numId w:val="350"/>
              </w:numPr>
              <w:ind w:left="510" w:hanging="510"/>
              <w:rPr>
                <w:rFonts w:cs="Arial"/>
              </w:rPr>
            </w:pPr>
            <w:r w:rsidRPr="009B7B35">
              <w:rPr>
                <w:rFonts w:cs="Arial"/>
              </w:rPr>
              <w:t>do not result in a significant loss of visual amenity.</w:t>
            </w:r>
          </w:p>
        </w:tc>
        <w:tc>
          <w:tcPr>
            <w:tcW w:w="4678" w:type="dxa"/>
            <w:hideMark/>
          </w:tcPr>
          <w:p w14:paraId="1A7ED23F"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7DA591F" w14:textId="77777777" w:rsidTr="001A7107">
        <w:tc>
          <w:tcPr>
            <w:tcW w:w="4678" w:type="dxa"/>
            <w:hideMark/>
          </w:tcPr>
          <w:p w14:paraId="5C08CA31" w14:textId="77777777" w:rsidR="00BE36FB" w:rsidRPr="009B7B35" w:rsidRDefault="00BE36FB" w:rsidP="001A7107">
            <w:pPr>
              <w:pStyle w:val="TableText"/>
              <w:rPr>
                <w:rFonts w:cs="Arial"/>
                <w:b/>
                <w:bCs/>
              </w:rPr>
            </w:pPr>
            <w:r w:rsidRPr="009B7B35">
              <w:rPr>
                <w:rFonts w:cs="Arial"/>
                <w:b/>
                <w:bCs/>
              </w:rPr>
              <w:t>PO2</w:t>
            </w:r>
          </w:p>
          <w:p w14:paraId="5841A2A0" w14:textId="77777777" w:rsidR="00BE36FB" w:rsidRPr="009B7B35" w:rsidRDefault="00BE36FB" w:rsidP="001A7107">
            <w:pPr>
              <w:pStyle w:val="TableText"/>
              <w:rPr>
                <w:rFonts w:cs="Arial"/>
              </w:rPr>
            </w:pPr>
            <w:r w:rsidRPr="009B7B35">
              <w:rPr>
                <w:rFonts w:cs="Arial"/>
              </w:rPr>
              <w:t xml:space="preserve">Buildings, structures and high impact industry and specialised industrial activities are setback from the road frontage to mitigate the impact of activities on the streetscape. </w:t>
            </w:r>
          </w:p>
        </w:tc>
        <w:tc>
          <w:tcPr>
            <w:tcW w:w="4678" w:type="dxa"/>
            <w:hideMark/>
          </w:tcPr>
          <w:p w14:paraId="6908B262" w14:textId="77777777" w:rsidR="00BE36FB" w:rsidRPr="009B7B35" w:rsidRDefault="00BE36FB" w:rsidP="001A7107">
            <w:pPr>
              <w:pStyle w:val="TableText"/>
              <w:rPr>
                <w:rFonts w:cs="Arial"/>
                <w:b/>
                <w:bCs/>
              </w:rPr>
            </w:pPr>
            <w:r w:rsidRPr="009B7B35">
              <w:rPr>
                <w:rFonts w:cs="Arial"/>
                <w:b/>
                <w:bCs/>
              </w:rPr>
              <w:t>AO2</w:t>
            </w:r>
          </w:p>
          <w:p w14:paraId="0DB046C7" w14:textId="77777777" w:rsidR="00BE36FB" w:rsidRPr="009B7B35" w:rsidRDefault="00BE36FB" w:rsidP="001A7107">
            <w:pPr>
              <w:pStyle w:val="TableText"/>
              <w:rPr>
                <w:rFonts w:cs="Arial"/>
              </w:rPr>
            </w:pPr>
            <w:r w:rsidRPr="009B7B35">
              <w:rPr>
                <w:rFonts w:cs="Arial"/>
              </w:rPr>
              <w:t xml:space="preserve">Buildings, structures and industrial activity areas are setback: </w:t>
            </w:r>
          </w:p>
          <w:p w14:paraId="3E97E65B" w14:textId="77777777" w:rsidR="00BE36FB" w:rsidRPr="009B7B35" w:rsidRDefault="00BE36FB" w:rsidP="00BE36FB">
            <w:pPr>
              <w:pStyle w:val="TableText"/>
              <w:numPr>
                <w:ilvl w:val="0"/>
                <w:numId w:val="349"/>
              </w:numPr>
              <w:rPr>
                <w:rFonts w:cs="Arial"/>
              </w:rPr>
            </w:pPr>
            <w:r w:rsidRPr="009B7B35">
              <w:rPr>
                <w:rFonts w:cs="Arial"/>
              </w:rPr>
              <w:t xml:space="preserve">10m for land on a sub–arterial or arterial  road, and </w:t>
            </w:r>
          </w:p>
          <w:p w14:paraId="646D1563" w14:textId="77777777" w:rsidR="00BE36FB" w:rsidRPr="009B7B35" w:rsidRDefault="00BE36FB" w:rsidP="00BE36FB">
            <w:pPr>
              <w:pStyle w:val="TableText"/>
              <w:numPr>
                <w:ilvl w:val="0"/>
                <w:numId w:val="349"/>
              </w:numPr>
              <w:rPr>
                <w:rFonts w:cs="Arial"/>
              </w:rPr>
            </w:pPr>
            <w:r w:rsidRPr="009B7B35">
              <w:rPr>
                <w:rFonts w:cs="Arial"/>
              </w:rPr>
              <w:t>6m for land on a road other than a sub–arterial or arterial road.</w:t>
            </w:r>
          </w:p>
        </w:tc>
      </w:tr>
      <w:tr w:rsidR="00BE36FB" w:rsidRPr="009B7B35" w14:paraId="0E1FFE7C" w14:textId="77777777" w:rsidTr="001A7107">
        <w:tc>
          <w:tcPr>
            <w:tcW w:w="9356" w:type="dxa"/>
            <w:gridSpan w:val="2"/>
            <w:shd w:val="clear" w:color="auto" w:fill="BFBFBF" w:themeFill="background1" w:themeFillShade="BF"/>
          </w:tcPr>
          <w:p w14:paraId="1E99D228"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14:paraId="7303A9F1" w14:textId="77777777" w:rsidTr="001A7107">
        <w:tc>
          <w:tcPr>
            <w:tcW w:w="4678" w:type="dxa"/>
          </w:tcPr>
          <w:p w14:paraId="7C728621" w14:textId="77777777" w:rsidR="00BE36FB" w:rsidRPr="009B7B35" w:rsidRDefault="00BE36FB" w:rsidP="001A7107">
            <w:pPr>
              <w:pStyle w:val="TableText"/>
              <w:rPr>
                <w:rFonts w:cs="Arial"/>
                <w:b/>
                <w:bCs/>
              </w:rPr>
            </w:pPr>
            <w:r w:rsidRPr="009B7B35">
              <w:rPr>
                <w:rFonts w:cs="Arial"/>
                <w:b/>
                <w:bCs/>
              </w:rPr>
              <w:t>PO3</w:t>
            </w:r>
          </w:p>
          <w:p w14:paraId="50908AD6" w14:textId="77777777" w:rsidR="00BE36FB" w:rsidRPr="009B7B35" w:rsidRDefault="00BE36FB" w:rsidP="001A7107">
            <w:pPr>
              <w:pStyle w:val="TableText"/>
              <w:rPr>
                <w:rFonts w:cs="Arial"/>
              </w:rPr>
            </w:pPr>
            <w:r w:rsidRPr="009B7B35">
              <w:rPr>
                <w:rFonts w:cs="Arial"/>
              </w:rPr>
              <w:t>Development:</w:t>
            </w:r>
          </w:p>
          <w:p w14:paraId="542B0E7B" w14:textId="77777777" w:rsidR="00BE36FB" w:rsidRPr="009B7B35" w:rsidRDefault="00BE36FB" w:rsidP="00BE36FB">
            <w:pPr>
              <w:pStyle w:val="TableText"/>
              <w:numPr>
                <w:ilvl w:val="0"/>
                <w:numId w:val="154"/>
              </w:numPr>
              <w:rPr>
                <w:rFonts w:cs="Arial"/>
              </w:rPr>
            </w:pPr>
            <w:r w:rsidRPr="009B7B35">
              <w:rPr>
                <w:rFonts w:cs="Arial"/>
              </w:rPr>
              <w:t>does not compromise the use of land for special purposes including public utilities and infrastructure, and</w:t>
            </w:r>
          </w:p>
          <w:p w14:paraId="12D75D40" w14:textId="77777777" w:rsidR="00BE36FB" w:rsidRPr="009B7B35" w:rsidRDefault="00BE36FB" w:rsidP="00BE36FB">
            <w:pPr>
              <w:pStyle w:val="TableText"/>
              <w:numPr>
                <w:ilvl w:val="0"/>
                <w:numId w:val="154"/>
              </w:numPr>
              <w:rPr>
                <w:rFonts w:cs="Arial"/>
              </w:rPr>
            </w:pPr>
            <w:r w:rsidRPr="009B7B35">
              <w:rPr>
                <w:rFonts w:cs="Arial"/>
              </w:rPr>
              <w:t>requires larger sites in locations that are well separated from sensitive land uses.</w:t>
            </w:r>
          </w:p>
        </w:tc>
        <w:tc>
          <w:tcPr>
            <w:tcW w:w="4678" w:type="dxa"/>
          </w:tcPr>
          <w:p w14:paraId="6B212E8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5A46614" w14:textId="77777777" w:rsidTr="001A7107">
        <w:trPr>
          <w:cantSplit/>
        </w:trPr>
        <w:tc>
          <w:tcPr>
            <w:tcW w:w="4678" w:type="dxa"/>
          </w:tcPr>
          <w:p w14:paraId="6E9B70C5" w14:textId="77777777" w:rsidR="00BE36FB" w:rsidRPr="009B7B35" w:rsidRDefault="00BE36FB" w:rsidP="001A7107">
            <w:pPr>
              <w:pStyle w:val="TableText"/>
              <w:rPr>
                <w:rFonts w:cs="Arial"/>
                <w:b/>
                <w:bCs/>
              </w:rPr>
            </w:pPr>
            <w:r w:rsidRPr="009B7B35">
              <w:rPr>
                <w:rFonts w:cs="Arial"/>
                <w:b/>
                <w:bCs/>
              </w:rPr>
              <w:t>PO4</w:t>
            </w:r>
          </w:p>
          <w:p w14:paraId="5C4216E6" w14:textId="77777777" w:rsidR="00BE36FB" w:rsidRPr="009B7B35" w:rsidRDefault="00BE36FB" w:rsidP="001A7107">
            <w:pPr>
              <w:pStyle w:val="TableText"/>
              <w:rPr>
                <w:rFonts w:cs="Arial"/>
              </w:rPr>
            </w:pPr>
            <w:r w:rsidRPr="009B7B35">
              <w:rPr>
                <w:rFonts w:cs="Arial"/>
              </w:rPr>
              <w:t>Where in the Gladstone Airport precinct, development:</w:t>
            </w:r>
          </w:p>
          <w:p w14:paraId="6E754D98" w14:textId="77777777" w:rsidR="00BE36FB" w:rsidRPr="009B7B35" w:rsidRDefault="00BE36FB" w:rsidP="00BE36FB">
            <w:pPr>
              <w:pStyle w:val="TableText"/>
              <w:numPr>
                <w:ilvl w:val="0"/>
                <w:numId w:val="346"/>
              </w:numPr>
              <w:rPr>
                <w:rFonts w:cs="Arial"/>
              </w:rPr>
            </w:pPr>
            <w:r w:rsidRPr="009B7B35">
              <w:rPr>
                <w:rFonts w:cs="Arial"/>
              </w:rPr>
              <w:t>is only associated with air services activities, and</w:t>
            </w:r>
          </w:p>
          <w:p w14:paraId="252EAA78" w14:textId="77777777" w:rsidR="00BE36FB" w:rsidRPr="009B7B35" w:rsidRDefault="00BE36FB" w:rsidP="00BE36FB">
            <w:pPr>
              <w:pStyle w:val="TableText"/>
              <w:numPr>
                <w:ilvl w:val="0"/>
                <w:numId w:val="346"/>
              </w:numPr>
              <w:rPr>
                <w:rFonts w:cs="Arial"/>
              </w:rPr>
            </w:pPr>
            <w:r w:rsidRPr="009B7B35">
              <w:rPr>
                <w:rFonts w:cs="Arial"/>
              </w:rPr>
              <w:t>ensures the safe operation of air services activities.</w:t>
            </w:r>
          </w:p>
          <w:p w14:paraId="0A4E86F4" w14:textId="77777777" w:rsidR="00BE36FB" w:rsidRPr="009B7B35" w:rsidRDefault="00BE36FB" w:rsidP="001A7107">
            <w:pPr>
              <w:pStyle w:val="Notes"/>
              <w:rPr>
                <w:rFonts w:cs="Arial"/>
                <w:sz w:val="20"/>
                <w:szCs w:val="20"/>
              </w:rPr>
            </w:pPr>
            <w:r w:rsidRPr="009B7B35">
              <w:rPr>
                <w:rFonts w:cs="Arial"/>
                <w:sz w:val="20"/>
                <w:szCs w:val="20"/>
              </w:rPr>
              <w:t>Note—Refer also to the Airport overlay code.</w:t>
            </w:r>
          </w:p>
        </w:tc>
        <w:tc>
          <w:tcPr>
            <w:tcW w:w="4678" w:type="dxa"/>
          </w:tcPr>
          <w:p w14:paraId="019BEB7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4928F9C" w14:textId="77777777" w:rsidTr="001A7107">
        <w:trPr>
          <w:cantSplit/>
        </w:trPr>
        <w:tc>
          <w:tcPr>
            <w:tcW w:w="9356" w:type="dxa"/>
            <w:gridSpan w:val="2"/>
            <w:shd w:val="clear" w:color="auto" w:fill="BFBFBF" w:themeFill="background1" w:themeFillShade="BF"/>
            <w:hideMark/>
          </w:tcPr>
          <w:p w14:paraId="1EECFC2A"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Building design </w:t>
            </w:r>
          </w:p>
        </w:tc>
      </w:tr>
      <w:tr w:rsidR="00BE36FB" w:rsidRPr="009B7B35" w14:paraId="20A771F9" w14:textId="77777777" w:rsidTr="001A7107">
        <w:trPr>
          <w:cantSplit/>
        </w:trPr>
        <w:tc>
          <w:tcPr>
            <w:tcW w:w="4678" w:type="dxa"/>
            <w:vMerge w:val="restart"/>
          </w:tcPr>
          <w:p w14:paraId="059BF791" w14:textId="77777777" w:rsidR="00BE36FB" w:rsidRPr="009B7B35" w:rsidRDefault="00BE36FB" w:rsidP="001A7107">
            <w:pPr>
              <w:pStyle w:val="TableText"/>
              <w:rPr>
                <w:rFonts w:cs="Arial"/>
                <w:b/>
                <w:bCs/>
              </w:rPr>
            </w:pPr>
            <w:r w:rsidRPr="009B7B35">
              <w:rPr>
                <w:rFonts w:cs="Arial"/>
                <w:b/>
                <w:bCs/>
              </w:rPr>
              <w:t>PO5</w:t>
            </w:r>
          </w:p>
          <w:p w14:paraId="4B752960" w14:textId="77777777" w:rsidR="00BE36FB" w:rsidRPr="009B7B35" w:rsidRDefault="00BE36FB" w:rsidP="001A7107">
            <w:pPr>
              <w:pStyle w:val="TableText"/>
              <w:rPr>
                <w:rFonts w:cs="Arial"/>
              </w:rPr>
            </w:pPr>
            <w:r w:rsidRPr="009B7B35">
              <w:rPr>
                <w:rFonts w:cs="Arial"/>
              </w:rPr>
              <w:t>Buildings include features that contribute to an attractive streetscape.</w:t>
            </w:r>
          </w:p>
        </w:tc>
        <w:tc>
          <w:tcPr>
            <w:tcW w:w="4678" w:type="dxa"/>
          </w:tcPr>
          <w:p w14:paraId="68C12E73" w14:textId="77777777" w:rsidR="00BE36FB" w:rsidRPr="009B7B35" w:rsidRDefault="00BE36FB" w:rsidP="001A7107">
            <w:pPr>
              <w:pStyle w:val="TableText"/>
              <w:rPr>
                <w:rFonts w:cs="Arial"/>
                <w:b/>
                <w:bCs/>
              </w:rPr>
            </w:pPr>
            <w:r w:rsidRPr="009B7B35">
              <w:rPr>
                <w:rFonts w:cs="Arial"/>
                <w:b/>
                <w:bCs/>
              </w:rPr>
              <w:t>AO5.1</w:t>
            </w:r>
          </w:p>
          <w:p w14:paraId="561FE52A" w14:textId="77777777" w:rsidR="00BE36FB" w:rsidRPr="009B7B35" w:rsidRDefault="00BE36FB" w:rsidP="001A7107">
            <w:pPr>
              <w:pStyle w:val="TableText"/>
              <w:rPr>
                <w:rFonts w:cs="Arial"/>
              </w:rPr>
            </w:pPr>
            <w:r w:rsidRPr="009B7B35">
              <w:rPr>
                <w:rFonts w:cs="Arial"/>
              </w:rPr>
              <w:t>The unarticulated length of external walls along a road frontage does not exceed 15m.</w:t>
            </w:r>
          </w:p>
        </w:tc>
      </w:tr>
      <w:tr w:rsidR="00BE36FB" w:rsidRPr="009B7B35" w14:paraId="5342FA25" w14:textId="77777777" w:rsidTr="001A7107">
        <w:trPr>
          <w:cantSplit/>
        </w:trPr>
        <w:tc>
          <w:tcPr>
            <w:tcW w:w="4678" w:type="dxa"/>
            <w:vMerge/>
          </w:tcPr>
          <w:p w14:paraId="52CC1EA5" w14:textId="77777777" w:rsidR="00BE36FB" w:rsidRPr="009B7B35" w:rsidRDefault="00BE36FB" w:rsidP="001A7107">
            <w:pPr>
              <w:pStyle w:val="TableText"/>
              <w:rPr>
                <w:rFonts w:cs="Arial"/>
              </w:rPr>
            </w:pPr>
          </w:p>
        </w:tc>
        <w:tc>
          <w:tcPr>
            <w:tcW w:w="4678" w:type="dxa"/>
          </w:tcPr>
          <w:p w14:paraId="7BC07AD3" w14:textId="77777777" w:rsidR="00BE36FB" w:rsidRPr="009B7B35" w:rsidRDefault="00BE36FB" w:rsidP="001A7107">
            <w:pPr>
              <w:pStyle w:val="TableText"/>
              <w:rPr>
                <w:rFonts w:cs="Arial"/>
                <w:b/>
                <w:bCs/>
              </w:rPr>
            </w:pPr>
            <w:r w:rsidRPr="009B7B35">
              <w:rPr>
                <w:rFonts w:cs="Arial"/>
                <w:b/>
                <w:bCs/>
              </w:rPr>
              <w:t>AO5.2</w:t>
            </w:r>
          </w:p>
          <w:p w14:paraId="2234FD85" w14:textId="77777777" w:rsidR="00BE36FB" w:rsidRPr="009B7B35" w:rsidRDefault="00BE36FB" w:rsidP="001A7107">
            <w:pPr>
              <w:pStyle w:val="TableText"/>
              <w:rPr>
                <w:rFonts w:cs="Arial"/>
              </w:rPr>
            </w:pPr>
            <w:r w:rsidRPr="009B7B35">
              <w:rPr>
                <w:rFonts w:cs="Arial"/>
              </w:rPr>
              <w:t>Buildings:</w:t>
            </w:r>
          </w:p>
          <w:p w14:paraId="65EE9D5F" w14:textId="77777777" w:rsidR="00BE36FB" w:rsidRPr="009B7B35" w:rsidRDefault="00BE36FB" w:rsidP="00BE36FB">
            <w:pPr>
              <w:pStyle w:val="TableText"/>
              <w:numPr>
                <w:ilvl w:val="0"/>
                <w:numId w:val="345"/>
              </w:numPr>
              <w:ind w:left="567" w:hanging="567"/>
              <w:rPr>
                <w:rFonts w:cs="Arial"/>
              </w:rPr>
            </w:pPr>
            <w:r w:rsidRPr="009B7B35">
              <w:rPr>
                <w:rFonts w:cs="Arial"/>
              </w:rPr>
              <w:t xml:space="preserve">are designed and constructed with varying façade treatments and high quality finishes such as brick, painted concrete or masonry, and </w:t>
            </w:r>
          </w:p>
          <w:p w14:paraId="0E183F59" w14:textId="77777777" w:rsidR="00BE36FB" w:rsidRPr="009B7B35" w:rsidRDefault="00BE36FB" w:rsidP="00BE36FB">
            <w:pPr>
              <w:pStyle w:val="TableText"/>
              <w:numPr>
                <w:ilvl w:val="0"/>
                <w:numId w:val="345"/>
              </w:numPr>
              <w:ind w:left="567" w:hanging="567"/>
              <w:rPr>
                <w:rFonts w:cs="Arial"/>
              </w:rPr>
            </w:pPr>
            <w:r w:rsidRPr="009B7B35">
              <w:rPr>
                <w:rFonts w:cs="Arial"/>
              </w:rPr>
              <w:t>do not incorporate highly reflective materials.</w:t>
            </w:r>
          </w:p>
        </w:tc>
      </w:tr>
      <w:tr w:rsidR="00BE36FB" w:rsidRPr="009B7B35" w14:paraId="032E2198" w14:textId="77777777" w:rsidTr="001A7107">
        <w:tc>
          <w:tcPr>
            <w:tcW w:w="4678" w:type="dxa"/>
            <w:vMerge w:val="restart"/>
          </w:tcPr>
          <w:p w14:paraId="4B833BDA" w14:textId="77777777" w:rsidR="00BE36FB" w:rsidRPr="009B7B35" w:rsidRDefault="00BE36FB" w:rsidP="001A7107">
            <w:pPr>
              <w:pStyle w:val="TableText"/>
              <w:rPr>
                <w:rFonts w:cs="Arial"/>
                <w:b/>
                <w:bCs/>
              </w:rPr>
            </w:pPr>
            <w:r w:rsidRPr="009B7B35">
              <w:rPr>
                <w:rFonts w:cs="Arial"/>
                <w:b/>
                <w:bCs/>
              </w:rPr>
              <w:t>PO6</w:t>
            </w:r>
          </w:p>
          <w:p w14:paraId="049BEEF1" w14:textId="77777777" w:rsidR="00BE36FB" w:rsidRPr="009B7B35" w:rsidRDefault="00BE36FB" w:rsidP="001A7107">
            <w:pPr>
              <w:pStyle w:val="TableText"/>
              <w:rPr>
                <w:rFonts w:cs="Arial"/>
              </w:rPr>
            </w:pPr>
            <w:r w:rsidRPr="009B7B35">
              <w:rPr>
                <w:rFonts w:cs="Arial"/>
              </w:rPr>
              <w:t>Building entrances are legible and safe.</w:t>
            </w:r>
          </w:p>
        </w:tc>
        <w:tc>
          <w:tcPr>
            <w:tcW w:w="4678" w:type="dxa"/>
          </w:tcPr>
          <w:p w14:paraId="6D2A57BC" w14:textId="77777777" w:rsidR="00BE36FB" w:rsidRPr="009B7B35" w:rsidRDefault="00BE36FB" w:rsidP="001A7107">
            <w:pPr>
              <w:pStyle w:val="TableText"/>
              <w:rPr>
                <w:rFonts w:cs="Arial"/>
                <w:b/>
                <w:bCs/>
              </w:rPr>
            </w:pPr>
            <w:r w:rsidRPr="009B7B35">
              <w:rPr>
                <w:rFonts w:cs="Arial"/>
                <w:b/>
                <w:bCs/>
              </w:rPr>
              <w:t>AO6.1</w:t>
            </w:r>
          </w:p>
          <w:p w14:paraId="0C74AC61" w14:textId="77777777" w:rsidR="00BE36FB" w:rsidRPr="009B7B35" w:rsidRDefault="00BE36FB" w:rsidP="001A7107">
            <w:pPr>
              <w:pStyle w:val="TableText"/>
              <w:rPr>
                <w:rFonts w:cs="Arial"/>
              </w:rPr>
            </w:pPr>
            <w:r w:rsidRPr="009B7B35">
              <w:rPr>
                <w:rFonts w:cs="Arial"/>
              </w:rPr>
              <w:t>The main entry to the premises is:</w:t>
            </w:r>
          </w:p>
          <w:p w14:paraId="7305BA0F" w14:textId="77777777" w:rsidR="00BE36FB" w:rsidRPr="009B7B35" w:rsidRDefault="00BE36FB" w:rsidP="00BE36FB">
            <w:pPr>
              <w:pStyle w:val="TableText"/>
              <w:numPr>
                <w:ilvl w:val="0"/>
                <w:numId w:val="344"/>
              </w:numPr>
              <w:ind w:left="510" w:hanging="510"/>
              <w:rPr>
                <w:rFonts w:cs="Arial"/>
              </w:rPr>
            </w:pPr>
            <w:r w:rsidRPr="009B7B35">
              <w:rPr>
                <w:rFonts w:cs="Arial"/>
              </w:rPr>
              <w:t>easily identifiable and directly accessible from the street with a clearly defined entrance point, and</w:t>
            </w:r>
          </w:p>
          <w:p w14:paraId="3DBFD3D3" w14:textId="77777777" w:rsidR="00BE36FB" w:rsidRPr="009B7B35" w:rsidRDefault="00BE36FB" w:rsidP="00BE36FB">
            <w:pPr>
              <w:pStyle w:val="TableText"/>
              <w:numPr>
                <w:ilvl w:val="0"/>
                <w:numId w:val="344"/>
              </w:numPr>
              <w:ind w:left="510" w:hanging="510"/>
              <w:rPr>
                <w:rFonts w:cs="Arial"/>
              </w:rPr>
            </w:pPr>
            <w:r w:rsidRPr="009B7B35">
              <w:rPr>
                <w:rFonts w:cs="Arial"/>
              </w:rPr>
              <w:t>separate to vehicle access points.</w:t>
            </w:r>
          </w:p>
        </w:tc>
      </w:tr>
      <w:tr w:rsidR="00BE36FB" w:rsidRPr="009B7B35" w14:paraId="0371BD33" w14:textId="77777777" w:rsidTr="001A7107">
        <w:tc>
          <w:tcPr>
            <w:tcW w:w="4678" w:type="dxa"/>
            <w:vMerge/>
          </w:tcPr>
          <w:p w14:paraId="1BCB72D4" w14:textId="77777777" w:rsidR="00BE36FB" w:rsidRPr="009B7B35" w:rsidRDefault="00BE36FB" w:rsidP="001A7107">
            <w:pPr>
              <w:pStyle w:val="TableText"/>
              <w:rPr>
                <w:rFonts w:cs="Arial"/>
              </w:rPr>
            </w:pPr>
          </w:p>
        </w:tc>
        <w:tc>
          <w:tcPr>
            <w:tcW w:w="4678" w:type="dxa"/>
          </w:tcPr>
          <w:p w14:paraId="6700E1BE" w14:textId="77777777" w:rsidR="00BE36FB" w:rsidRPr="009B7B35" w:rsidRDefault="00BE36FB" w:rsidP="001A7107">
            <w:pPr>
              <w:pStyle w:val="TableText"/>
              <w:rPr>
                <w:rFonts w:cs="Arial"/>
                <w:b/>
                <w:bCs/>
              </w:rPr>
            </w:pPr>
            <w:r w:rsidRPr="009B7B35">
              <w:rPr>
                <w:rFonts w:cs="Arial"/>
                <w:b/>
                <w:bCs/>
              </w:rPr>
              <w:t>AO6.2</w:t>
            </w:r>
          </w:p>
          <w:p w14:paraId="27E125BE" w14:textId="77777777" w:rsidR="00BE36FB" w:rsidRPr="009B7B35" w:rsidRDefault="00BE36FB" w:rsidP="001A7107">
            <w:pPr>
              <w:pStyle w:val="TableText"/>
              <w:rPr>
                <w:rFonts w:cs="Arial"/>
              </w:rPr>
            </w:pPr>
            <w:r w:rsidRPr="009B7B35">
              <w:rPr>
                <w:rFonts w:cs="Arial"/>
              </w:rPr>
              <w:t>Each building is provided with a highly visible street number.</w:t>
            </w:r>
          </w:p>
        </w:tc>
      </w:tr>
      <w:tr w:rsidR="00BE36FB" w:rsidRPr="009B7B35" w14:paraId="0A384149" w14:textId="77777777" w:rsidTr="001A7107">
        <w:tc>
          <w:tcPr>
            <w:tcW w:w="4678" w:type="dxa"/>
            <w:vMerge/>
          </w:tcPr>
          <w:p w14:paraId="3D73F278" w14:textId="77777777" w:rsidR="00BE36FB" w:rsidRPr="009B7B35" w:rsidRDefault="00BE36FB" w:rsidP="001A7107">
            <w:pPr>
              <w:pStyle w:val="TableText"/>
              <w:rPr>
                <w:rFonts w:cs="Arial"/>
              </w:rPr>
            </w:pPr>
          </w:p>
        </w:tc>
        <w:tc>
          <w:tcPr>
            <w:tcW w:w="4678" w:type="dxa"/>
          </w:tcPr>
          <w:p w14:paraId="2429AE20" w14:textId="77777777" w:rsidR="00BE36FB" w:rsidRPr="009B7B35" w:rsidRDefault="00BE36FB" w:rsidP="001A7107">
            <w:pPr>
              <w:pStyle w:val="TableText"/>
              <w:rPr>
                <w:rFonts w:cs="Arial"/>
                <w:b/>
                <w:bCs/>
              </w:rPr>
            </w:pPr>
            <w:r w:rsidRPr="009B7B35">
              <w:rPr>
                <w:rFonts w:cs="Arial"/>
                <w:b/>
                <w:bCs/>
              </w:rPr>
              <w:t>AO6.3</w:t>
            </w:r>
          </w:p>
          <w:p w14:paraId="6E09D4DE" w14:textId="77777777" w:rsidR="00BE36FB" w:rsidRPr="009B7B35" w:rsidRDefault="00BE36FB" w:rsidP="001A7107">
            <w:pPr>
              <w:pStyle w:val="TableText"/>
              <w:rPr>
                <w:rFonts w:cs="Arial"/>
              </w:rPr>
            </w:pPr>
            <w:r w:rsidRPr="009B7B35">
              <w:rPr>
                <w:rFonts w:cs="Arial"/>
              </w:rPr>
              <w:t>Premises are provided with external lighting sufficient to provide safe ingress and egress for site users.</w:t>
            </w:r>
          </w:p>
        </w:tc>
      </w:tr>
      <w:tr w:rsidR="00BE36FB" w:rsidRPr="009B7B35" w14:paraId="7EFB26CF" w14:textId="77777777" w:rsidTr="001A7107">
        <w:tc>
          <w:tcPr>
            <w:tcW w:w="4678" w:type="dxa"/>
            <w:vMerge/>
          </w:tcPr>
          <w:p w14:paraId="2B2D5215" w14:textId="77777777" w:rsidR="00BE36FB" w:rsidRPr="009B7B35" w:rsidRDefault="00BE36FB" w:rsidP="001A7107">
            <w:pPr>
              <w:pStyle w:val="TableText"/>
              <w:rPr>
                <w:rFonts w:cs="Arial"/>
              </w:rPr>
            </w:pPr>
          </w:p>
        </w:tc>
        <w:tc>
          <w:tcPr>
            <w:tcW w:w="4678" w:type="dxa"/>
          </w:tcPr>
          <w:p w14:paraId="04B2AAD4" w14:textId="77777777" w:rsidR="00BE36FB" w:rsidRPr="009B7B35" w:rsidRDefault="00BE36FB" w:rsidP="001A7107">
            <w:pPr>
              <w:pStyle w:val="TableText"/>
              <w:rPr>
                <w:rFonts w:cs="Arial"/>
                <w:b/>
                <w:bCs/>
              </w:rPr>
            </w:pPr>
            <w:r w:rsidRPr="009B7B35">
              <w:rPr>
                <w:rFonts w:cs="Arial"/>
                <w:b/>
                <w:bCs/>
              </w:rPr>
              <w:t>AO6.4</w:t>
            </w:r>
          </w:p>
          <w:p w14:paraId="55502729" w14:textId="77777777" w:rsidR="00BE36FB" w:rsidRPr="009B7B35" w:rsidRDefault="00BE36FB" w:rsidP="001A7107">
            <w:pPr>
              <w:pStyle w:val="TableText"/>
              <w:rPr>
                <w:rFonts w:cs="Arial"/>
              </w:rPr>
            </w:pPr>
            <w:r w:rsidRPr="009B7B35">
              <w:rPr>
                <w:rFonts w:cs="Arial"/>
              </w:rPr>
              <w:t>Office space is sited and orientated towards the principal road frontage of a site.</w:t>
            </w:r>
          </w:p>
        </w:tc>
      </w:tr>
      <w:tr w:rsidR="00BE36FB" w:rsidRPr="009B7B35" w14:paraId="63A46FA7" w14:textId="77777777" w:rsidTr="001A7107">
        <w:tc>
          <w:tcPr>
            <w:tcW w:w="4678" w:type="dxa"/>
          </w:tcPr>
          <w:p w14:paraId="040CC804" w14:textId="77777777" w:rsidR="00BE36FB" w:rsidRPr="009B7B35" w:rsidRDefault="00BE36FB" w:rsidP="001A7107">
            <w:pPr>
              <w:pStyle w:val="TableText"/>
              <w:rPr>
                <w:rFonts w:cs="Arial"/>
                <w:b/>
                <w:bCs/>
              </w:rPr>
            </w:pPr>
            <w:r w:rsidRPr="009B7B35">
              <w:rPr>
                <w:rFonts w:cs="Arial"/>
                <w:b/>
                <w:bCs/>
              </w:rPr>
              <w:t>PO7</w:t>
            </w:r>
          </w:p>
          <w:p w14:paraId="7961FBD2" w14:textId="77777777" w:rsidR="00BE36FB" w:rsidRPr="009B7B35" w:rsidRDefault="00BE36FB" w:rsidP="001A7107">
            <w:pPr>
              <w:pStyle w:val="TableText"/>
              <w:rPr>
                <w:rFonts w:cs="Arial"/>
              </w:rPr>
            </w:pPr>
            <w:r w:rsidRPr="009B7B35">
              <w:rPr>
                <w:rFonts w:cs="Arial"/>
              </w:rPr>
              <w:t>Development is designed to facilitate the safety and security of people and property having regard to:</w:t>
            </w:r>
          </w:p>
          <w:p w14:paraId="3F06943C" w14:textId="77777777" w:rsidR="00BE36FB" w:rsidRPr="009B7B35" w:rsidRDefault="00BE36FB" w:rsidP="00BE36FB">
            <w:pPr>
              <w:pStyle w:val="TableText"/>
              <w:numPr>
                <w:ilvl w:val="0"/>
                <w:numId w:val="155"/>
              </w:numPr>
              <w:rPr>
                <w:rFonts w:cs="Arial"/>
              </w:rPr>
            </w:pPr>
            <w:r w:rsidRPr="009B7B35">
              <w:rPr>
                <w:rFonts w:cs="Arial"/>
              </w:rPr>
              <w:t>maximising casual surveillance and sight lines</w:t>
            </w:r>
          </w:p>
          <w:p w14:paraId="7A719FD4" w14:textId="77777777" w:rsidR="00BE36FB" w:rsidRPr="009B7B35" w:rsidRDefault="00BE36FB" w:rsidP="00BE36FB">
            <w:pPr>
              <w:pStyle w:val="TableText"/>
              <w:numPr>
                <w:ilvl w:val="0"/>
                <w:numId w:val="155"/>
              </w:numPr>
              <w:rPr>
                <w:rFonts w:cs="Arial"/>
              </w:rPr>
            </w:pPr>
            <w:r w:rsidRPr="009B7B35">
              <w:rPr>
                <w:rFonts w:cs="Arial"/>
              </w:rPr>
              <w:t>exterior building design that promotes safety</w:t>
            </w:r>
          </w:p>
          <w:p w14:paraId="740D86A4" w14:textId="77777777" w:rsidR="00BE36FB" w:rsidRPr="009B7B35" w:rsidRDefault="00BE36FB" w:rsidP="00BE36FB">
            <w:pPr>
              <w:pStyle w:val="TableText"/>
              <w:numPr>
                <w:ilvl w:val="0"/>
                <w:numId w:val="155"/>
              </w:numPr>
              <w:rPr>
                <w:rFonts w:cs="Arial"/>
              </w:rPr>
            </w:pPr>
            <w:r w:rsidRPr="009B7B35">
              <w:rPr>
                <w:rFonts w:cs="Arial"/>
              </w:rPr>
              <w:t>adequate lighting</w:t>
            </w:r>
          </w:p>
          <w:p w14:paraId="45F340E2" w14:textId="77777777" w:rsidR="00BE36FB" w:rsidRPr="009B7B35" w:rsidRDefault="00BE36FB" w:rsidP="00BE36FB">
            <w:pPr>
              <w:pStyle w:val="TableText"/>
              <w:numPr>
                <w:ilvl w:val="0"/>
                <w:numId w:val="155"/>
              </w:numPr>
              <w:rPr>
                <w:rFonts w:cs="Arial"/>
              </w:rPr>
            </w:pPr>
            <w:r w:rsidRPr="009B7B35">
              <w:rPr>
                <w:rFonts w:cs="Arial"/>
              </w:rPr>
              <w:t>appropriate signage and wayfinding</w:t>
            </w:r>
          </w:p>
          <w:p w14:paraId="200CE8F5" w14:textId="77777777" w:rsidR="00BE36FB" w:rsidRPr="009B7B35" w:rsidRDefault="00BE36FB" w:rsidP="00BE36FB">
            <w:pPr>
              <w:pStyle w:val="TableText"/>
              <w:numPr>
                <w:ilvl w:val="0"/>
                <w:numId w:val="155"/>
              </w:numPr>
              <w:rPr>
                <w:rFonts w:cs="Arial"/>
              </w:rPr>
            </w:pPr>
            <w:r w:rsidRPr="009B7B35">
              <w:rPr>
                <w:rFonts w:cs="Arial"/>
              </w:rPr>
              <w:t>minimisation of personal concealment and entrapment locations, and</w:t>
            </w:r>
          </w:p>
          <w:p w14:paraId="2A51C417" w14:textId="77777777" w:rsidR="00BE36FB" w:rsidRPr="009B7B35" w:rsidRDefault="00BE36FB" w:rsidP="00BE36FB">
            <w:pPr>
              <w:pStyle w:val="TableText"/>
              <w:numPr>
                <w:ilvl w:val="0"/>
                <w:numId w:val="155"/>
              </w:numPr>
              <w:rPr>
                <w:rFonts w:cs="Arial"/>
              </w:rPr>
            </w:pPr>
            <w:r w:rsidRPr="009B7B35">
              <w:rPr>
                <w:rFonts w:cs="Arial"/>
              </w:rPr>
              <w:t>building entrances, parking, loading and storage areas that are well lit and have clearly defined access points.</w:t>
            </w:r>
          </w:p>
          <w:p w14:paraId="1DDC6BF7" w14:textId="77777777" w:rsidR="00BE36FB" w:rsidRPr="009B7B35" w:rsidRDefault="00BE36FB" w:rsidP="001A7107">
            <w:pPr>
              <w:pStyle w:val="Notes"/>
              <w:rPr>
                <w:rFonts w:cs="Arial"/>
                <w:sz w:val="20"/>
                <w:szCs w:val="20"/>
              </w:rPr>
            </w:pPr>
            <w:r w:rsidRPr="009B7B35">
              <w:rPr>
                <w:rFonts w:cs="Arial"/>
                <w:sz w:val="20"/>
                <w:szCs w:val="20"/>
              </w:rPr>
              <w:t xml:space="preserve">Note—applicants should have regard to </w:t>
            </w:r>
            <w:hyperlink r:id="rId82" w:tgtFrame="_blank" w:tooltip="Crime Prevention through Environmental Design Guidelines for Queensland" w:history="1">
              <w:r w:rsidRPr="009B7B35">
                <w:rPr>
                  <w:rStyle w:val="Hyperlink"/>
                  <w:rFonts w:eastAsiaTheme="majorEastAsia" w:cs="Arial"/>
                  <w:sz w:val="20"/>
                  <w:szCs w:val="20"/>
                </w:rPr>
                <w:t>Crime Prevention through Environmental Design Guidelines for Queensland</w:t>
              </w:r>
            </w:hyperlink>
            <w:r w:rsidRPr="009B7B35">
              <w:rPr>
                <w:rFonts w:cs="Arial"/>
                <w:sz w:val="20"/>
                <w:szCs w:val="20"/>
              </w:rPr>
              <w:t>.</w:t>
            </w:r>
          </w:p>
        </w:tc>
        <w:tc>
          <w:tcPr>
            <w:tcW w:w="4678" w:type="dxa"/>
          </w:tcPr>
          <w:p w14:paraId="2C26B2C1"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A89EFE5" w14:textId="77777777" w:rsidTr="001A7107">
        <w:trPr>
          <w:cantSplit/>
        </w:trPr>
        <w:tc>
          <w:tcPr>
            <w:tcW w:w="9356" w:type="dxa"/>
            <w:gridSpan w:val="2"/>
            <w:shd w:val="clear" w:color="auto" w:fill="BFBFBF" w:themeFill="background1" w:themeFillShade="BF"/>
          </w:tcPr>
          <w:p w14:paraId="365C35D5" w14:textId="77777777"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14:paraId="6FC65817" w14:textId="77777777" w:rsidTr="001A7107">
        <w:trPr>
          <w:cantSplit/>
        </w:trPr>
        <w:tc>
          <w:tcPr>
            <w:tcW w:w="4678" w:type="dxa"/>
            <w:hideMark/>
          </w:tcPr>
          <w:p w14:paraId="68C4CA8D" w14:textId="77777777" w:rsidR="00BE36FB" w:rsidRPr="009B7B35" w:rsidRDefault="00BE36FB" w:rsidP="001A7107">
            <w:pPr>
              <w:pStyle w:val="TableText"/>
              <w:rPr>
                <w:rFonts w:cs="Arial"/>
                <w:b/>
                <w:bCs/>
              </w:rPr>
            </w:pPr>
            <w:r w:rsidRPr="009B7B35">
              <w:rPr>
                <w:rFonts w:cs="Arial"/>
                <w:b/>
                <w:bCs/>
              </w:rPr>
              <w:t>PO8</w:t>
            </w:r>
          </w:p>
          <w:p w14:paraId="609B836C" w14:textId="77777777" w:rsidR="00BE36FB" w:rsidRPr="009B7B35" w:rsidRDefault="00BE36FB" w:rsidP="001A7107">
            <w:pPr>
              <w:pStyle w:val="TableText"/>
              <w:rPr>
                <w:rFonts w:cs="Arial"/>
              </w:rPr>
            </w:pPr>
            <w:r w:rsidRPr="009B7B35">
              <w:rPr>
                <w:rFonts w:cs="Arial"/>
              </w:rPr>
              <w:t>Utility elements (including refuse areas, outdoor storage, plant and equipment, loading and unloading areas) are screened from view from the street and land within other zones.</w:t>
            </w:r>
          </w:p>
        </w:tc>
        <w:tc>
          <w:tcPr>
            <w:tcW w:w="4678" w:type="dxa"/>
            <w:hideMark/>
          </w:tcPr>
          <w:p w14:paraId="490DBE45" w14:textId="77777777" w:rsidR="00BE36FB" w:rsidRPr="009B7B35" w:rsidRDefault="00BE36FB" w:rsidP="001A7107">
            <w:pPr>
              <w:pStyle w:val="TableText"/>
              <w:rPr>
                <w:rFonts w:cs="Arial"/>
                <w:b/>
                <w:bCs/>
              </w:rPr>
            </w:pPr>
            <w:r w:rsidRPr="009B7B35">
              <w:rPr>
                <w:rFonts w:cs="Arial"/>
                <w:b/>
                <w:bCs/>
              </w:rPr>
              <w:t>AO8</w:t>
            </w:r>
          </w:p>
          <w:p w14:paraId="2F493675" w14:textId="77777777" w:rsidR="00BE36FB" w:rsidRPr="009B7B35" w:rsidRDefault="00BE36FB" w:rsidP="001A7107">
            <w:pPr>
              <w:pStyle w:val="TableText"/>
              <w:rPr>
                <w:rFonts w:cs="Arial"/>
              </w:rPr>
            </w:pPr>
            <w:r w:rsidRPr="009B7B35">
              <w:rPr>
                <w:rFonts w:cs="Arial"/>
              </w:rPr>
              <w:t>Utility elements are:</w:t>
            </w:r>
          </w:p>
          <w:p w14:paraId="26BAF4BB" w14:textId="77777777" w:rsidR="00BE36FB" w:rsidRPr="009B7B35" w:rsidRDefault="00BE36FB" w:rsidP="00BE36FB">
            <w:pPr>
              <w:pStyle w:val="TableText"/>
              <w:numPr>
                <w:ilvl w:val="0"/>
                <w:numId w:val="343"/>
              </w:numPr>
              <w:rPr>
                <w:rFonts w:cs="Arial"/>
              </w:rPr>
            </w:pPr>
            <w:r w:rsidRPr="009B7B35">
              <w:rPr>
                <w:rFonts w:cs="Arial"/>
              </w:rPr>
              <w:t xml:space="preserve">located within or behind the building, or </w:t>
            </w:r>
          </w:p>
          <w:p w14:paraId="6D4B75AF" w14:textId="77777777" w:rsidR="00BE36FB" w:rsidRPr="009B7B35" w:rsidRDefault="00BE36FB" w:rsidP="00BE36FB">
            <w:pPr>
              <w:pStyle w:val="TableText"/>
              <w:numPr>
                <w:ilvl w:val="0"/>
                <w:numId w:val="343"/>
              </w:numPr>
              <w:rPr>
                <w:rFonts w:cs="Arial"/>
              </w:rPr>
            </w:pPr>
            <w:r w:rsidRPr="009B7B35">
              <w:rPr>
                <w:rFonts w:cs="Arial"/>
              </w:rPr>
              <w:t>screened by a 1.8m high solid wall or fence, or</w:t>
            </w:r>
          </w:p>
          <w:p w14:paraId="02EEACEB" w14:textId="77777777" w:rsidR="00BE36FB" w:rsidRPr="009B7B35" w:rsidRDefault="00BE36FB" w:rsidP="00BE36FB">
            <w:pPr>
              <w:pStyle w:val="TableText"/>
              <w:numPr>
                <w:ilvl w:val="0"/>
                <w:numId w:val="343"/>
              </w:numPr>
              <w:rPr>
                <w:rFonts w:cs="Arial"/>
              </w:rPr>
            </w:pPr>
            <w:r w:rsidRPr="009B7B35">
              <w:rPr>
                <w:rFonts w:cs="Arial"/>
              </w:rPr>
              <w:t>behind landscaping having the same screening effect as a 1.8m screen fence.</w:t>
            </w:r>
          </w:p>
          <w:p w14:paraId="196C6E0B" w14:textId="77777777" w:rsidR="00BE36FB" w:rsidRPr="009B7B35" w:rsidRDefault="00BE36FB">
            <w:pPr>
              <w:pStyle w:val="Notes"/>
              <w:rPr>
                <w:rFonts w:cs="Arial"/>
                <w:sz w:val="20"/>
                <w:szCs w:val="20"/>
              </w:rPr>
            </w:pPr>
            <w:r w:rsidRPr="009B7B35">
              <w:rPr>
                <w:rFonts w:cs="Arial"/>
                <w:sz w:val="20"/>
                <w:szCs w:val="20"/>
              </w:rPr>
              <w:t>Note—Screening can be provided by any combination of the above treatments to meet the acceptable outcome.</w:t>
            </w:r>
          </w:p>
        </w:tc>
      </w:tr>
      <w:tr w:rsidR="00BE36FB" w:rsidRPr="009B7B35" w14:paraId="4A6971AA" w14:textId="77777777" w:rsidTr="001A7107">
        <w:trPr>
          <w:cantSplit/>
        </w:trPr>
        <w:tc>
          <w:tcPr>
            <w:tcW w:w="4678" w:type="dxa"/>
            <w:hideMark/>
          </w:tcPr>
          <w:p w14:paraId="272E4EC3" w14:textId="77777777" w:rsidR="00BE36FB" w:rsidRPr="009B7B35" w:rsidRDefault="00BE36FB" w:rsidP="001A7107">
            <w:pPr>
              <w:pStyle w:val="TableText"/>
              <w:rPr>
                <w:rFonts w:cs="Arial"/>
                <w:b/>
                <w:bCs/>
              </w:rPr>
            </w:pPr>
            <w:r w:rsidRPr="009B7B35">
              <w:rPr>
                <w:rFonts w:cs="Arial"/>
                <w:b/>
                <w:bCs/>
              </w:rPr>
              <w:t>PO9</w:t>
            </w:r>
          </w:p>
          <w:p w14:paraId="3690519A" w14:textId="77777777" w:rsidR="00BE36FB" w:rsidRPr="009B7B35" w:rsidRDefault="00BE36FB" w:rsidP="001A7107">
            <w:pPr>
              <w:pStyle w:val="TableText"/>
              <w:rPr>
                <w:rFonts w:cs="Arial"/>
              </w:rPr>
            </w:pPr>
            <w:r w:rsidRPr="009B7B35">
              <w:rPr>
                <w:rFonts w:cs="Arial"/>
              </w:rPr>
              <w:t>Landscaping is provided to mitigate the visual impact of development and screen unsightly components.</w:t>
            </w:r>
          </w:p>
          <w:p w14:paraId="599754B7" w14:textId="77777777" w:rsidR="00BE36FB" w:rsidRPr="009B7B35" w:rsidRDefault="00BE36FB" w:rsidP="001A7107">
            <w:pPr>
              <w:pStyle w:val="Notes"/>
              <w:rPr>
                <w:rFonts w:cs="Arial"/>
                <w:sz w:val="20"/>
                <w:szCs w:val="20"/>
              </w:rPr>
            </w:pPr>
            <w:r w:rsidRPr="009B7B35">
              <w:rPr>
                <w:rFonts w:cs="Arial"/>
                <w:sz w:val="20"/>
                <w:szCs w:val="20"/>
              </w:rPr>
              <w:t>Note—refer also to the Landscaping code.</w:t>
            </w:r>
          </w:p>
        </w:tc>
        <w:tc>
          <w:tcPr>
            <w:tcW w:w="4678" w:type="dxa"/>
          </w:tcPr>
          <w:p w14:paraId="1D99CD2B" w14:textId="77777777" w:rsidR="00BE36FB" w:rsidRPr="009B7B35" w:rsidRDefault="00BE36FB" w:rsidP="001A7107">
            <w:pPr>
              <w:pStyle w:val="TableText"/>
              <w:rPr>
                <w:rFonts w:cs="Arial"/>
                <w:b/>
                <w:bCs/>
              </w:rPr>
            </w:pPr>
            <w:r w:rsidRPr="009B7B35">
              <w:rPr>
                <w:rFonts w:cs="Arial"/>
                <w:b/>
                <w:bCs/>
              </w:rPr>
              <w:t>AO9</w:t>
            </w:r>
          </w:p>
          <w:p w14:paraId="3060B88C" w14:textId="77777777" w:rsidR="00BE36FB" w:rsidRPr="009B7B35" w:rsidRDefault="00BE36FB" w:rsidP="001A7107">
            <w:pPr>
              <w:pStyle w:val="TableText"/>
              <w:rPr>
                <w:rFonts w:cs="Arial"/>
              </w:rPr>
            </w:pPr>
            <w:r w:rsidRPr="009B7B35">
              <w:rPr>
                <w:rFonts w:cs="Arial"/>
              </w:rPr>
              <w:t xml:space="preserve">Landscaping is provided along the entire principal site frontage, excluding driveway, with a minimum width of: </w:t>
            </w:r>
          </w:p>
          <w:p w14:paraId="0994A91B" w14:textId="77777777" w:rsidR="00BE36FB" w:rsidRPr="009B7B35" w:rsidRDefault="00BE36FB" w:rsidP="00BE36FB">
            <w:pPr>
              <w:pStyle w:val="TableText"/>
              <w:numPr>
                <w:ilvl w:val="0"/>
                <w:numId w:val="342"/>
              </w:numPr>
              <w:rPr>
                <w:rFonts w:cs="Arial"/>
              </w:rPr>
            </w:pPr>
            <w:r w:rsidRPr="009B7B35">
              <w:rPr>
                <w:rFonts w:cs="Arial"/>
              </w:rPr>
              <w:t>4m along an arterial road, and</w:t>
            </w:r>
          </w:p>
          <w:p w14:paraId="272826E9" w14:textId="77777777" w:rsidR="00BE36FB" w:rsidRPr="009B7B35" w:rsidRDefault="00BE36FB" w:rsidP="00BE36FB">
            <w:pPr>
              <w:pStyle w:val="TableText"/>
              <w:numPr>
                <w:ilvl w:val="0"/>
                <w:numId w:val="342"/>
              </w:numPr>
              <w:rPr>
                <w:rFonts w:cs="Arial"/>
              </w:rPr>
            </w:pPr>
            <w:r w:rsidRPr="009B7B35">
              <w:rPr>
                <w:rFonts w:cs="Arial"/>
              </w:rPr>
              <w:t>2m along any other road.</w:t>
            </w:r>
          </w:p>
        </w:tc>
      </w:tr>
      <w:tr w:rsidR="00BE36FB" w:rsidRPr="009B7B35" w14:paraId="75FD28C7" w14:textId="77777777" w:rsidTr="001A7107">
        <w:tc>
          <w:tcPr>
            <w:tcW w:w="4678" w:type="dxa"/>
            <w:vMerge w:val="restart"/>
          </w:tcPr>
          <w:p w14:paraId="4A3A695D" w14:textId="77777777" w:rsidR="00BE36FB" w:rsidRPr="009B7B35" w:rsidRDefault="00BE36FB" w:rsidP="001A7107">
            <w:pPr>
              <w:pStyle w:val="TableText"/>
              <w:rPr>
                <w:rFonts w:cs="Arial"/>
                <w:b/>
                <w:bCs/>
              </w:rPr>
            </w:pPr>
            <w:r w:rsidRPr="009B7B35">
              <w:rPr>
                <w:rFonts w:cs="Arial"/>
                <w:b/>
                <w:bCs/>
              </w:rPr>
              <w:t>PO10</w:t>
            </w:r>
          </w:p>
          <w:p w14:paraId="3DE8F020" w14:textId="77777777" w:rsidR="00BE36FB" w:rsidRPr="009B7B35" w:rsidRDefault="00BE36FB" w:rsidP="001A7107">
            <w:pPr>
              <w:pStyle w:val="TableText"/>
              <w:rPr>
                <w:rFonts w:cs="Arial"/>
              </w:rPr>
            </w:pPr>
            <w:r w:rsidRPr="009B7B35">
              <w:rPr>
                <w:rFonts w:cs="Arial"/>
              </w:rPr>
              <w:t>Outdoor lighting does not adversely affect the amenity of adjoining properties or create a traffic hazard on adjacent roads.</w:t>
            </w:r>
          </w:p>
        </w:tc>
        <w:tc>
          <w:tcPr>
            <w:tcW w:w="4678" w:type="dxa"/>
          </w:tcPr>
          <w:p w14:paraId="2C50BF36" w14:textId="77777777" w:rsidR="00BE36FB" w:rsidRPr="009B7B35" w:rsidRDefault="00BE36FB" w:rsidP="001A7107">
            <w:pPr>
              <w:pStyle w:val="TableText"/>
              <w:rPr>
                <w:rFonts w:cs="Arial"/>
                <w:b/>
                <w:bCs/>
              </w:rPr>
            </w:pPr>
            <w:r w:rsidRPr="009B7B35">
              <w:rPr>
                <w:rFonts w:cs="Arial"/>
                <w:b/>
                <w:bCs/>
              </w:rPr>
              <w:t>AO10.1</w:t>
            </w:r>
          </w:p>
          <w:p w14:paraId="30C44E50" w14:textId="77777777" w:rsidR="00BE36FB" w:rsidRPr="009B7B35" w:rsidRDefault="00BE36FB" w:rsidP="001A7107">
            <w:pPr>
              <w:pStyle w:val="TableText"/>
              <w:rPr>
                <w:rFonts w:cs="Arial"/>
              </w:rPr>
            </w:pPr>
            <w:r w:rsidRPr="009B7B35">
              <w:rPr>
                <w:rFonts w:cs="Arial"/>
              </w:rPr>
              <w:t xml:space="preserve">Light emanating from any source complies with </w:t>
            </w:r>
            <w:r w:rsidRPr="009B7B35">
              <w:rPr>
                <w:rStyle w:val="StyleItalic"/>
                <w:rFonts w:cs="Arial"/>
              </w:rPr>
              <w:t>Australian Standard AS4282 Control of the Obtrusive Effects of Outdoor Lighting</w:t>
            </w:r>
            <w:r w:rsidRPr="009B7B35">
              <w:rPr>
                <w:rFonts w:cs="Arial"/>
              </w:rPr>
              <w:t>.</w:t>
            </w:r>
          </w:p>
        </w:tc>
      </w:tr>
      <w:tr w:rsidR="00BE36FB" w:rsidRPr="009B7B35" w14:paraId="0B2F0CE3" w14:textId="77777777" w:rsidTr="001A7107">
        <w:tc>
          <w:tcPr>
            <w:tcW w:w="4678" w:type="dxa"/>
            <w:vMerge/>
          </w:tcPr>
          <w:p w14:paraId="0C1252B5" w14:textId="77777777" w:rsidR="00BE36FB" w:rsidRPr="009B7B35" w:rsidRDefault="00BE36FB" w:rsidP="001A7107">
            <w:pPr>
              <w:pStyle w:val="TableText"/>
              <w:rPr>
                <w:rFonts w:cs="Arial"/>
              </w:rPr>
            </w:pPr>
          </w:p>
        </w:tc>
        <w:tc>
          <w:tcPr>
            <w:tcW w:w="4678" w:type="dxa"/>
          </w:tcPr>
          <w:p w14:paraId="35FB9956" w14:textId="77777777" w:rsidR="00BE36FB" w:rsidRPr="009B7B35" w:rsidRDefault="00BE36FB" w:rsidP="001A7107">
            <w:pPr>
              <w:pStyle w:val="TableText"/>
              <w:rPr>
                <w:rFonts w:cs="Arial"/>
                <w:b/>
                <w:bCs/>
              </w:rPr>
            </w:pPr>
            <w:r w:rsidRPr="009B7B35">
              <w:rPr>
                <w:rFonts w:cs="Arial"/>
                <w:b/>
                <w:bCs/>
              </w:rPr>
              <w:t>AO10.2</w:t>
            </w:r>
          </w:p>
          <w:p w14:paraId="103638D5" w14:textId="77777777" w:rsidR="00BE36FB" w:rsidRPr="009B7B35" w:rsidRDefault="00BE36FB" w:rsidP="001A7107">
            <w:pPr>
              <w:pStyle w:val="TableText"/>
              <w:rPr>
                <w:rFonts w:cs="Arial"/>
              </w:rPr>
            </w:pPr>
            <w:r w:rsidRPr="009B7B35">
              <w:rPr>
                <w:rFonts w:cs="Arial"/>
              </w:rPr>
              <w:t xml:space="preserve">Outdoor lighting is provided in accordance with </w:t>
            </w:r>
            <w:r w:rsidRPr="009B7B35">
              <w:rPr>
                <w:rStyle w:val="StyleItalic"/>
                <w:rFonts w:cs="Arial"/>
              </w:rPr>
              <w:t>Australian Standard AS 1158.1.1 – Road Lighting – Vehicular Traffic Category V) Lighting – Performance and Installation Design Requirements</w:t>
            </w:r>
            <w:r w:rsidRPr="009B7B35">
              <w:rPr>
                <w:rFonts w:cs="Arial"/>
              </w:rPr>
              <w:t>.</w:t>
            </w:r>
          </w:p>
        </w:tc>
      </w:tr>
      <w:tr w:rsidR="00BE36FB" w:rsidRPr="009B7B35" w14:paraId="6336A9AD" w14:textId="77777777" w:rsidTr="001A7107">
        <w:tc>
          <w:tcPr>
            <w:tcW w:w="9356" w:type="dxa"/>
            <w:gridSpan w:val="2"/>
            <w:shd w:val="clear" w:color="auto" w:fill="BFBFBF" w:themeFill="background1" w:themeFillShade="BF"/>
            <w:hideMark/>
          </w:tcPr>
          <w:p w14:paraId="270E1B36"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6591E829" w14:textId="77777777" w:rsidTr="001A7107">
        <w:tc>
          <w:tcPr>
            <w:tcW w:w="4678" w:type="dxa"/>
            <w:hideMark/>
          </w:tcPr>
          <w:p w14:paraId="4318417E" w14:textId="77777777" w:rsidR="00BE36FB" w:rsidRPr="009B7B35" w:rsidRDefault="00BE36FB" w:rsidP="001A7107">
            <w:pPr>
              <w:pStyle w:val="TableText"/>
              <w:rPr>
                <w:rFonts w:cs="Arial"/>
                <w:b/>
                <w:bCs/>
              </w:rPr>
            </w:pPr>
            <w:r w:rsidRPr="009B7B35">
              <w:rPr>
                <w:rFonts w:cs="Arial"/>
                <w:b/>
                <w:bCs/>
              </w:rPr>
              <w:t>PO11</w:t>
            </w:r>
          </w:p>
          <w:p w14:paraId="14954AFA" w14:textId="77777777"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14:paraId="3E6A283F" w14:textId="77777777" w:rsidR="00BE36FB" w:rsidRPr="009B7B35" w:rsidRDefault="00BE36FB" w:rsidP="00BE36FB">
            <w:pPr>
              <w:pStyle w:val="TableText"/>
              <w:numPr>
                <w:ilvl w:val="0"/>
                <w:numId w:val="315"/>
              </w:numPr>
              <w:rPr>
                <w:rFonts w:cs="Arial"/>
              </w:rPr>
            </w:pPr>
            <w:r w:rsidRPr="009B7B35">
              <w:rPr>
                <w:rFonts w:cs="Arial"/>
              </w:rPr>
              <w:t>any hazards to people or property are avoided</w:t>
            </w:r>
          </w:p>
          <w:p w14:paraId="0996C10C" w14:textId="77777777" w:rsidR="00BE36FB" w:rsidRPr="009B7B35" w:rsidRDefault="00BE36FB" w:rsidP="00BE36FB">
            <w:pPr>
              <w:pStyle w:val="TableText"/>
              <w:numPr>
                <w:ilvl w:val="0"/>
                <w:numId w:val="315"/>
              </w:numPr>
              <w:rPr>
                <w:rFonts w:cs="Arial"/>
              </w:rPr>
            </w:pPr>
            <w:r w:rsidRPr="009B7B35">
              <w:rPr>
                <w:rFonts w:cs="Arial"/>
              </w:rPr>
              <w:t>any earthworks are minimised</w:t>
            </w:r>
          </w:p>
          <w:p w14:paraId="777899C3" w14:textId="77777777" w:rsidR="00BE36FB" w:rsidRPr="009B7B35" w:rsidRDefault="00BE36FB" w:rsidP="00BE36FB">
            <w:pPr>
              <w:pStyle w:val="TableText"/>
              <w:numPr>
                <w:ilvl w:val="0"/>
                <w:numId w:val="315"/>
              </w:numPr>
              <w:rPr>
                <w:rFonts w:cs="Arial"/>
              </w:rPr>
            </w:pPr>
            <w:r w:rsidRPr="009B7B35">
              <w:rPr>
                <w:rFonts w:cs="Arial"/>
              </w:rPr>
              <w:t>the retention of natural drainage lines is maximised</w:t>
            </w:r>
          </w:p>
          <w:p w14:paraId="68AFB4B7" w14:textId="77777777" w:rsidR="00BE36FB" w:rsidRPr="009B7B35" w:rsidRDefault="00BE36FB" w:rsidP="00BE36FB">
            <w:pPr>
              <w:pStyle w:val="TableText"/>
              <w:numPr>
                <w:ilvl w:val="0"/>
                <w:numId w:val="315"/>
              </w:numPr>
              <w:rPr>
                <w:rFonts w:cs="Arial"/>
              </w:rPr>
            </w:pPr>
            <w:r w:rsidRPr="009B7B35">
              <w:rPr>
                <w:rFonts w:cs="Arial"/>
              </w:rPr>
              <w:t>the retention of existing vegetation is maximised</w:t>
            </w:r>
          </w:p>
          <w:p w14:paraId="37B4B975" w14:textId="77777777" w:rsidR="00BE36FB" w:rsidRPr="009B7B35" w:rsidRDefault="00BE36FB" w:rsidP="00BE36FB">
            <w:pPr>
              <w:pStyle w:val="TableText"/>
              <w:numPr>
                <w:ilvl w:val="0"/>
                <w:numId w:val="315"/>
              </w:numPr>
              <w:rPr>
                <w:rFonts w:cs="Arial"/>
              </w:rPr>
            </w:pPr>
            <w:r w:rsidRPr="009B7B35">
              <w:rPr>
                <w:rFonts w:cs="Arial"/>
              </w:rPr>
              <w:t xml:space="preserve">damage or disruption to sewerage, stormwater and water infrastructure is avoided, and </w:t>
            </w:r>
          </w:p>
          <w:p w14:paraId="2B3B8357" w14:textId="77777777" w:rsidR="00BE36FB" w:rsidRPr="009B7B35" w:rsidRDefault="00BE36FB" w:rsidP="00BE36FB">
            <w:pPr>
              <w:pStyle w:val="TableText"/>
              <w:numPr>
                <w:ilvl w:val="0"/>
                <w:numId w:val="315"/>
              </w:numPr>
              <w:rPr>
                <w:rFonts w:cs="Arial"/>
              </w:rPr>
            </w:pPr>
            <w:r w:rsidRPr="009B7B35">
              <w:rPr>
                <w:rFonts w:cs="Arial"/>
              </w:rPr>
              <w:t>there is adequate buffering, screening or separation to adjoining development.</w:t>
            </w:r>
          </w:p>
        </w:tc>
        <w:tc>
          <w:tcPr>
            <w:tcW w:w="4678" w:type="dxa"/>
            <w:hideMark/>
          </w:tcPr>
          <w:p w14:paraId="252A5F2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42E6528" w14:textId="77777777" w:rsidTr="001A7107">
        <w:trPr>
          <w:cantSplit/>
        </w:trPr>
        <w:tc>
          <w:tcPr>
            <w:tcW w:w="4678" w:type="dxa"/>
            <w:vMerge w:val="restart"/>
            <w:hideMark/>
          </w:tcPr>
          <w:p w14:paraId="29844A2F" w14:textId="77777777" w:rsidR="00BE36FB" w:rsidRPr="009B7B35" w:rsidRDefault="00BE36FB" w:rsidP="001A7107">
            <w:pPr>
              <w:pStyle w:val="TableText"/>
              <w:rPr>
                <w:rFonts w:cs="Arial"/>
                <w:b/>
                <w:bCs/>
              </w:rPr>
            </w:pPr>
            <w:r w:rsidRPr="009B7B35">
              <w:rPr>
                <w:rFonts w:cs="Arial"/>
                <w:b/>
                <w:bCs/>
              </w:rPr>
              <w:t>PO12</w:t>
            </w:r>
          </w:p>
          <w:p w14:paraId="531EA605" w14:textId="77777777" w:rsidR="00BE36FB" w:rsidRPr="009B7B35" w:rsidRDefault="00BE36FB" w:rsidP="001A7107">
            <w:pPr>
              <w:pStyle w:val="TableText"/>
              <w:rPr>
                <w:rFonts w:cs="Arial"/>
              </w:rPr>
            </w:pPr>
            <w:r w:rsidRPr="009B7B35">
              <w:rPr>
                <w:rFonts w:cs="Arial"/>
              </w:rPr>
              <w:t>Development minimises potential conflicts with, or impacts on, other uses having regard to vibration, odour, dust or other emissions.</w:t>
            </w:r>
          </w:p>
        </w:tc>
        <w:tc>
          <w:tcPr>
            <w:tcW w:w="4678" w:type="dxa"/>
            <w:hideMark/>
          </w:tcPr>
          <w:p w14:paraId="59D3E974" w14:textId="77777777" w:rsidR="00BE36FB" w:rsidRPr="009B7B35" w:rsidRDefault="00BE36FB" w:rsidP="001A7107">
            <w:pPr>
              <w:pStyle w:val="TableText"/>
              <w:rPr>
                <w:rFonts w:cs="Arial"/>
                <w:b/>
                <w:bCs/>
              </w:rPr>
            </w:pPr>
            <w:r w:rsidRPr="009B7B35">
              <w:rPr>
                <w:rFonts w:cs="Arial"/>
                <w:b/>
                <w:bCs/>
              </w:rPr>
              <w:t>AO12.1</w:t>
            </w:r>
          </w:p>
          <w:p w14:paraId="31AFE69A" w14:textId="77777777" w:rsidR="00BE36FB" w:rsidRPr="009B7B35" w:rsidRDefault="00BE36FB" w:rsidP="001A7107">
            <w:pPr>
              <w:pStyle w:val="TableText"/>
              <w:rPr>
                <w:rFonts w:cs="Arial"/>
              </w:rPr>
            </w:pPr>
            <w:r w:rsidRPr="009B7B35">
              <w:rPr>
                <w:rFonts w:cs="Arial"/>
              </w:rPr>
              <w:t xml:space="preserve">Development achieves the air quality design objectives set out in the </w:t>
            </w:r>
            <w:r w:rsidRPr="009B7B35">
              <w:rPr>
                <w:rStyle w:val="StyleItalic"/>
                <w:rFonts w:cs="Arial"/>
              </w:rPr>
              <w:t>Environmental Protection (Air) Policy 2008</w:t>
            </w:r>
            <w:r w:rsidRPr="009B7B35">
              <w:rPr>
                <w:rFonts w:cs="Arial"/>
              </w:rPr>
              <w:t>, as amended.</w:t>
            </w:r>
          </w:p>
        </w:tc>
      </w:tr>
      <w:tr w:rsidR="00BE36FB" w:rsidRPr="009B7B35" w14:paraId="61E2C03A" w14:textId="77777777" w:rsidTr="001A7107">
        <w:trPr>
          <w:cantSplit/>
        </w:trPr>
        <w:tc>
          <w:tcPr>
            <w:tcW w:w="4678" w:type="dxa"/>
            <w:vMerge/>
          </w:tcPr>
          <w:p w14:paraId="42EB86BF" w14:textId="77777777" w:rsidR="00BE36FB" w:rsidRPr="009B7B35" w:rsidRDefault="00BE36FB" w:rsidP="001A7107">
            <w:pPr>
              <w:pStyle w:val="TableText"/>
              <w:rPr>
                <w:rFonts w:cs="Arial"/>
              </w:rPr>
            </w:pPr>
          </w:p>
        </w:tc>
        <w:tc>
          <w:tcPr>
            <w:tcW w:w="4678" w:type="dxa"/>
          </w:tcPr>
          <w:p w14:paraId="609D37B5" w14:textId="77777777" w:rsidR="00BE36FB" w:rsidRPr="009B7B35" w:rsidRDefault="00BE36FB" w:rsidP="001A7107">
            <w:pPr>
              <w:pStyle w:val="TableText"/>
              <w:rPr>
                <w:rFonts w:cs="Arial"/>
                <w:b/>
                <w:bCs/>
              </w:rPr>
            </w:pPr>
            <w:r w:rsidRPr="009B7B35">
              <w:rPr>
                <w:rFonts w:cs="Arial"/>
                <w:b/>
                <w:bCs/>
              </w:rPr>
              <w:t>AO12.2</w:t>
            </w:r>
          </w:p>
          <w:p w14:paraId="0A6F114B" w14:textId="77777777" w:rsidR="00BE36FB" w:rsidRPr="009B7B35" w:rsidRDefault="00BE36FB" w:rsidP="001A7107">
            <w:pPr>
              <w:pStyle w:val="TableText"/>
              <w:rPr>
                <w:rFonts w:cs="Arial"/>
              </w:rPr>
            </w:pPr>
            <w:r w:rsidRPr="009B7B35">
              <w:rPr>
                <w:rFonts w:cs="Arial"/>
              </w:rPr>
              <w:t>Development that involves the storage of materials on site that are capable of generating air contaminants either by wind or when disturbed are managed by:</w:t>
            </w:r>
          </w:p>
          <w:p w14:paraId="61F72B5B" w14:textId="77777777" w:rsidR="00BE36FB" w:rsidRPr="009B7B35" w:rsidRDefault="00BE36FB" w:rsidP="00BE36FB">
            <w:pPr>
              <w:pStyle w:val="TableText"/>
              <w:numPr>
                <w:ilvl w:val="0"/>
                <w:numId w:val="341"/>
              </w:numPr>
              <w:ind w:left="567" w:hanging="567"/>
              <w:rPr>
                <w:rFonts w:cs="Arial"/>
              </w:rPr>
            </w:pPr>
            <w:r w:rsidRPr="009B7B35">
              <w:rPr>
                <w:rFonts w:cs="Arial"/>
              </w:rPr>
              <w:t>being wholly enclosed in storage bins, or</w:t>
            </w:r>
          </w:p>
          <w:p w14:paraId="62473C57" w14:textId="77777777" w:rsidR="00BE36FB" w:rsidRPr="009B7B35" w:rsidRDefault="00BE36FB" w:rsidP="00BE36FB">
            <w:pPr>
              <w:pStyle w:val="TableText"/>
              <w:numPr>
                <w:ilvl w:val="0"/>
                <w:numId w:val="341"/>
              </w:numPr>
              <w:ind w:left="567" w:hanging="567"/>
              <w:rPr>
                <w:rFonts w:cs="Arial"/>
              </w:rPr>
            </w:pPr>
            <w:r w:rsidRPr="009B7B35">
              <w:rPr>
                <w:rFonts w:cs="Arial"/>
              </w:rPr>
              <w:t>a watering program so material cannot become airborne.</w:t>
            </w:r>
          </w:p>
        </w:tc>
      </w:tr>
      <w:tr w:rsidR="00BE36FB" w:rsidRPr="009B7B35" w14:paraId="7E640E88" w14:textId="77777777" w:rsidTr="001A7107">
        <w:trPr>
          <w:cantSplit/>
        </w:trPr>
        <w:tc>
          <w:tcPr>
            <w:tcW w:w="4678" w:type="dxa"/>
            <w:hideMark/>
          </w:tcPr>
          <w:p w14:paraId="52F55D1E" w14:textId="77777777" w:rsidR="00BE36FB" w:rsidRPr="009B7B35" w:rsidRDefault="00BE36FB" w:rsidP="001A7107">
            <w:pPr>
              <w:pStyle w:val="TableText"/>
              <w:rPr>
                <w:rFonts w:cs="Arial"/>
                <w:b/>
                <w:bCs/>
              </w:rPr>
            </w:pPr>
            <w:r w:rsidRPr="009B7B35">
              <w:rPr>
                <w:rFonts w:cs="Arial"/>
                <w:b/>
                <w:bCs/>
              </w:rPr>
              <w:t>PO13</w:t>
            </w:r>
          </w:p>
          <w:p w14:paraId="2A021EE4" w14:textId="77777777" w:rsidR="00BE36FB" w:rsidRPr="009B7B35" w:rsidRDefault="00BE36FB" w:rsidP="001A7107">
            <w:pPr>
              <w:pStyle w:val="TableText"/>
              <w:rPr>
                <w:rFonts w:cs="Arial"/>
              </w:rPr>
            </w:pPr>
            <w:r w:rsidRPr="009B7B35">
              <w:rPr>
                <w:rFonts w:cs="Arial"/>
              </w:rPr>
              <w:t>Development prevents or minimises the generation of any noise so that:</w:t>
            </w:r>
          </w:p>
          <w:p w14:paraId="2E67E63F" w14:textId="77777777" w:rsidR="00BE36FB" w:rsidRPr="009B7B35" w:rsidRDefault="00BE36FB" w:rsidP="00BE36FB">
            <w:pPr>
              <w:pStyle w:val="TableText"/>
              <w:numPr>
                <w:ilvl w:val="0"/>
                <w:numId w:val="340"/>
              </w:numPr>
              <w:ind w:left="510" w:hanging="510"/>
              <w:rPr>
                <w:rFonts w:cs="Arial"/>
              </w:rPr>
            </w:pPr>
            <w:r w:rsidRPr="009B7B35">
              <w:rPr>
                <w:rFonts w:cs="Arial"/>
              </w:rPr>
              <w:t>nuisance is not caused to adjoining premises or other nearby sensitive land uses, and</w:t>
            </w:r>
          </w:p>
          <w:p w14:paraId="62F8DB6C" w14:textId="77777777" w:rsidR="00BE36FB" w:rsidRPr="009B7B35" w:rsidRDefault="00BE36FB" w:rsidP="00BE36FB">
            <w:pPr>
              <w:pStyle w:val="TableText"/>
              <w:numPr>
                <w:ilvl w:val="0"/>
                <w:numId w:val="340"/>
              </w:numPr>
              <w:ind w:left="510" w:hanging="510"/>
              <w:rPr>
                <w:rFonts w:cs="Arial"/>
              </w:rPr>
            </w:pPr>
            <w:r w:rsidRPr="009B7B35">
              <w:rPr>
                <w:rFonts w:cs="Arial"/>
              </w:rPr>
              <w:t>desired ambient noise levels in residential areas are not exceeded.</w:t>
            </w:r>
          </w:p>
        </w:tc>
        <w:tc>
          <w:tcPr>
            <w:tcW w:w="4678" w:type="dxa"/>
            <w:hideMark/>
          </w:tcPr>
          <w:p w14:paraId="0006A497" w14:textId="77777777" w:rsidR="00BE36FB" w:rsidRPr="009B7B35" w:rsidRDefault="00BE36FB" w:rsidP="001A7107">
            <w:pPr>
              <w:pStyle w:val="TableText"/>
              <w:rPr>
                <w:rFonts w:cs="Arial"/>
                <w:b/>
                <w:bCs/>
              </w:rPr>
            </w:pPr>
            <w:r w:rsidRPr="009B7B35">
              <w:rPr>
                <w:rFonts w:cs="Arial"/>
                <w:b/>
                <w:bCs/>
              </w:rPr>
              <w:t>AO13</w:t>
            </w:r>
          </w:p>
          <w:p w14:paraId="19E4ECFB" w14:textId="77777777" w:rsidR="00BE36FB" w:rsidRPr="009B7B35" w:rsidRDefault="00BE36FB" w:rsidP="001A7107">
            <w:pPr>
              <w:pStyle w:val="TableText"/>
              <w:rPr>
                <w:rFonts w:cs="Arial"/>
              </w:rPr>
            </w:pPr>
            <w:r w:rsidRPr="009B7B35">
              <w:rPr>
                <w:rFonts w:cs="Arial"/>
              </w:rPr>
              <w:t xml:space="preserve">Development achieves the noise generation levels set out in the </w:t>
            </w:r>
            <w:r w:rsidRPr="009B7B35">
              <w:rPr>
                <w:rStyle w:val="StyleItalic"/>
                <w:rFonts w:cs="Arial"/>
              </w:rPr>
              <w:t>Environmental Protection (Noise) Policy 2008</w:t>
            </w:r>
            <w:r w:rsidRPr="009B7B35">
              <w:rPr>
                <w:rFonts w:cs="Arial"/>
              </w:rPr>
              <w:t>, as amended.</w:t>
            </w:r>
          </w:p>
        </w:tc>
      </w:tr>
      <w:tr w:rsidR="00BE36FB" w:rsidRPr="009B7B35" w14:paraId="304E0296" w14:textId="77777777" w:rsidTr="001A7107">
        <w:trPr>
          <w:cantSplit/>
        </w:trPr>
        <w:tc>
          <w:tcPr>
            <w:tcW w:w="4678" w:type="dxa"/>
            <w:vMerge w:val="restart"/>
            <w:hideMark/>
          </w:tcPr>
          <w:p w14:paraId="5F8E6B7D" w14:textId="77777777" w:rsidR="00BE36FB" w:rsidRPr="009B7B35" w:rsidRDefault="00BE36FB" w:rsidP="001A7107">
            <w:pPr>
              <w:pStyle w:val="TableText"/>
              <w:rPr>
                <w:rFonts w:cs="Arial"/>
                <w:b/>
                <w:bCs/>
              </w:rPr>
            </w:pPr>
            <w:r w:rsidRPr="009B7B35">
              <w:rPr>
                <w:rFonts w:cs="Arial"/>
                <w:b/>
                <w:bCs/>
              </w:rPr>
              <w:t>PO14</w:t>
            </w:r>
          </w:p>
          <w:p w14:paraId="75BE7A64" w14:textId="77777777" w:rsidR="00BE36FB" w:rsidRPr="009B7B35" w:rsidRDefault="00BE36FB" w:rsidP="001A7107">
            <w:pPr>
              <w:pStyle w:val="TableText"/>
              <w:rPr>
                <w:rFonts w:cs="Arial"/>
              </w:rPr>
            </w:pPr>
            <w:r w:rsidRPr="009B7B35">
              <w:rPr>
                <w:rFonts w:cs="Arial"/>
              </w:rPr>
              <w:t>Development provides for the collection, treatment and disposal of liquid wastes or sources of contamination such that off–site releases of contaminants do not occur.</w:t>
            </w:r>
          </w:p>
        </w:tc>
        <w:tc>
          <w:tcPr>
            <w:tcW w:w="4678" w:type="dxa"/>
          </w:tcPr>
          <w:p w14:paraId="276A4252" w14:textId="77777777" w:rsidR="00BE36FB" w:rsidRPr="009B7B35" w:rsidRDefault="00BE36FB" w:rsidP="001A7107">
            <w:pPr>
              <w:pStyle w:val="TableText"/>
              <w:rPr>
                <w:rFonts w:cs="Arial"/>
                <w:b/>
                <w:bCs/>
              </w:rPr>
            </w:pPr>
            <w:r w:rsidRPr="009B7B35">
              <w:rPr>
                <w:rFonts w:cs="Arial"/>
                <w:b/>
                <w:bCs/>
              </w:rPr>
              <w:t>AO14.1</w:t>
            </w:r>
          </w:p>
          <w:p w14:paraId="327EFE29" w14:textId="77777777" w:rsidR="00BE36FB" w:rsidRPr="009B7B35" w:rsidRDefault="00BE36FB" w:rsidP="001A7107">
            <w:pPr>
              <w:pStyle w:val="TableText"/>
              <w:rPr>
                <w:rFonts w:cs="Arial"/>
              </w:rPr>
            </w:pPr>
            <w:r w:rsidRPr="009B7B35">
              <w:rPr>
                <w:rFonts w:cs="Arial"/>
              </w:rPr>
              <w:t>Areas where potentially contaminating substances are stored or used, are:</w:t>
            </w:r>
          </w:p>
          <w:p w14:paraId="4CE9317A" w14:textId="77777777" w:rsidR="00BE36FB" w:rsidRPr="009B7B35" w:rsidRDefault="00BE36FB" w:rsidP="00BE36FB">
            <w:pPr>
              <w:pStyle w:val="TableText"/>
              <w:numPr>
                <w:ilvl w:val="0"/>
                <w:numId w:val="156"/>
              </w:numPr>
              <w:rPr>
                <w:rFonts w:cs="Arial"/>
              </w:rPr>
            </w:pPr>
            <w:r w:rsidRPr="009B7B35">
              <w:rPr>
                <w:rFonts w:cs="Arial"/>
              </w:rPr>
              <w:t>roofed and sealed with concrete, asphalt or similar impervious substance and bunded, and</w:t>
            </w:r>
          </w:p>
          <w:p w14:paraId="291BF335" w14:textId="77777777" w:rsidR="00BE36FB" w:rsidRPr="009B7B35" w:rsidRDefault="00BE36FB" w:rsidP="00BE36FB">
            <w:pPr>
              <w:pStyle w:val="TableText"/>
              <w:numPr>
                <w:ilvl w:val="0"/>
                <w:numId w:val="156"/>
              </w:numPr>
              <w:rPr>
                <w:rFonts w:cs="Arial"/>
              </w:rPr>
            </w:pPr>
            <w:r w:rsidRPr="009B7B35">
              <w:rPr>
                <w:rFonts w:cs="Arial"/>
                <w:lang w:eastAsia="en-US"/>
              </w:rPr>
              <w:t>located in an area free of flooding from a 1% AEP flood event, and free from medium or high storm tide inundation.</w:t>
            </w:r>
          </w:p>
        </w:tc>
      </w:tr>
      <w:tr w:rsidR="00BE36FB" w:rsidRPr="009B7B35" w14:paraId="2C4A96E9" w14:textId="77777777" w:rsidTr="001A7107">
        <w:trPr>
          <w:cantSplit/>
        </w:trPr>
        <w:tc>
          <w:tcPr>
            <w:tcW w:w="4678" w:type="dxa"/>
            <w:vMerge/>
          </w:tcPr>
          <w:p w14:paraId="3BC5EF29" w14:textId="77777777" w:rsidR="00BE36FB" w:rsidRPr="009B7B35" w:rsidRDefault="00BE36FB" w:rsidP="001A7107">
            <w:pPr>
              <w:pStyle w:val="TableText"/>
              <w:rPr>
                <w:rFonts w:cs="Arial"/>
              </w:rPr>
            </w:pPr>
          </w:p>
        </w:tc>
        <w:tc>
          <w:tcPr>
            <w:tcW w:w="4678" w:type="dxa"/>
          </w:tcPr>
          <w:p w14:paraId="3374DA5A" w14:textId="77777777" w:rsidR="00BE36FB" w:rsidRPr="009B7B35" w:rsidRDefault="00BE36FB" w:rsidP="001A7107">
            <w:pPr>
              <w:pStyle w:val="TableText"/>
              <w:rPr>
                <w:rFonts w:cs="Arial"/>
                <w:b/>
                <w:bCs/>
              </w:rPr>
            </w:pPr>
            <w:r w:rsidRPr="009B7B35">
              <w:rPr>
                <w:rFonts w:cs="Arial"/>
                <w:b/>
                <w:bCs/>
              </w:rPr>
              <w:t>AO14.2</w:t>
            </w:r>
          </w:p>
          <w:p w14:paraId="24E97C19" w14:textId="77777777" w:rsidR="00BE36FB" w:rsidRPr="009B7B35" w:rsidRDefault="00BE36FB" w:rsidP="001A7107">
            <w:pPr>
              <w:pStyle w:val="TableText"/>
              <w:rPr>
                <w:rFonts w:cs="Arial"/>
              </w:rPr>
            </w:pPr>
            <w:r w:rsidRPr="009B7B35">
              <w:rPr>
                <w:rFonts w:cs="Arial"/>
              </w:rPr>
              <w:t xml:space="preserve">Provision is made for spills to be bunded and retained on site for removal and disposal by an approved means. </w:t>
            </w:r>
          </w:p>
        </w:tc>
      </w:tr>
      <w:tr w:rsidR="00BE36FB" w:rsidRPr="009B7B35" w14:paraId="2DA2955E" w14:textId="77777777" w:rsidTr="001A7107">
        <w:trPr>
          <w:cantSplit/>
        </w:trPr>
        <w:tc>
          <w:tcPr>
            <w:tcW w:w="4678" w:type="dxa"/>
            <w:vMerge/>
          </w:tcPr>
          <w:p w14:paraId="448C3B97" w14:textId="77777777" w:rsidR="00BE36FB" w:rsidRPr="009B7B35" w:rsidRDefault="00BE36FB" w:rsidP="001A7107">
            <w:pPr>
              <w:pStyle w:val="TableText"/>
              <w:rPr>
                <w:rFonts w:cs="Arial"/>
              </w:rPr>
            </w:pPr>
          </w:p>
        </w:tc>
        <w:tc>
          <w:tcPr>
            <w:tcW w:w="4678" w:type="dxa"/>
          </w:tcPr>
          <w:p w14:paraId="52D6EC9E" w14:textId="77777777" w:rsidR="00BE36FB" w:rsidRPr="009B7B35" w:rsidRDefault="00BE36FB" w:rsidP="001A7107">
            <w:pPr>
              <w:pStyle w:val="TableText"/>
              <w:rPr>
                <w:rFonts w:cs="Arial"/>
                <w:b/>
                <w:bCs/>
              </w:rPr>
            </w:pPr>
            <w:r w:rsidRPr="009B7B35">
              <w:rPr>
                <w:rFonts w:cs="Arial"/>
                <w:b/>
                <w:bCs/>
              </w:rPr>
              <w:t>AO14.3</w:t>
            </w:r>
          </w:p>
          <w:p w14:paraId="1A403E4B" w14:textId="77777777" w:rsidR="00BE36FB" w:rsidRPr="009B7B35" w:rsidRDefault="00BE36FB" w:rsidP="001A7107">
            <w:pPr>
              <w:pStyle w:val="TableText"/>
              <w:rPr>
                <w:rFonts w:cs="Arial"/>
              </w:rPr>
            </w:pPr>
            <w:r w:rsidRPr="009B7B35">
              <w:rPr>
                <w:rFonts w:cs="Arial"/>
              </w:rPr>
              <w:t>Roof water is piped away from areas of potential contamination.</w:t>
            </w:r>
          </w:p>
        </w:tc>
      </w:tr>
      <w:tr w:rsidR="00BE36FB" w:rsidRPr="009B7B35" w14:paraId="6253C0BA" w14:textId="77777777" w:rsidTr="001A7107">
        <w:trPr>
          <w:cantSplit/>
        </w:trPr>
        <w:tc>
          <w:tcPr>
            <w:tcW w:w="4678" w:type="dxa"/>
            <w:hideMark/>
          </w:tcPr>
          <w:p w14:paraId="514913FC" w14:textId="77777777" w:rsidR="00BE36FB" w:rsidRPr="009B7B35" w:rsidRDefault="00BE36FB" w:rsidP="001A7107">
            <w:pPr>
              <w:pStyle w:val="TableText"/>
              <w:rPr>
                <w:rFonts w:cs="Arial"/>
                <w:b/>
                <w:bCs/>
              </w:rPr>
            </w:pPr>
            <w:r w:rsidRPr="009B7B35">
              <w:rPr>
                <w:rFonts w:cs="Arial"/>
                <w:b/>
                <w:bCs/>
              </w:rPr>
              <w:t>PO15</w:t>
            </w:r>
          </w:p>
          <w:p w14:paraId="7B908668" w14:textId="77777777" w:rsidR="00BE36FB" w:rsidRPr="009B7B35" w:rsidRDefault="00BE36FB" w:rsidP="001A7107">
            <w:pPr>
              <w:pStyle w:val="TableText"/>
              <w:rPr>
                <w:rFonts w:cs="Arial"/>
              </w:rPr>
            </w:pPr>
            <w:r w:rsidRPr="009B7B35">
              <w:rPr>
                <w:rFonts w:cs="Arial"/>
              </w:rPr>
              <w:t>Development is located, designed and operated so that adverse environmental impacts and environmental harm on nearby land is minimised.</w:t>
            </w:r>
          </w:p>
        </w:tc>
        <w:tc>
          <w:tcPr>
            <w:tcW w:w="4678" w:type="dxa"/>
            <w:hideMark/>
          </w:tcPr>
          <w:p w14:paraId="7281382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DB4393F" w14:textId="77777777" w:rsidTr="001A7107">
        <w:trPr>
          <w:cantSplit/>
        </w:trPr>
        <w:tc>
          <w:tcPr>
            <w:tcW w:w="9356" w:type="dxa"/>
            <w:gridSpan w:val="2"/>
            <w:shd w:val="clear" w:color="auto" w:fill="BFBFBF" w:themeFill="background1" w:themeFillShade="BF"/>
            <w:hideMark/>
          </w:tcPr>
          <w:p w14:paraId="42157EF4"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135B045F" w14:textId="77777777" w:rsidTr="001A7107">
        <w:tc>
          <w:tcPr>
            <w:tcW w:w="4678" w:type="dxa"/>
            <w:vMerge w:val="restart"/>
          </w:tcPr>
          <w:p w14:paraId="1605013A" w14:textId="77777777" w:rsidR="00BE36FB" w:rsidRPr="009B7B35" w:rsidRDefault="00BE36FB" w:rsidP="001A7107">
            <w:pPr>
              <w:pStyle w:val="TableText"/>
              <w:rPr>
                <w:rFonts w:cs="Arial"/>
                <w:b/>
                <w:bCs/>
              </w:rPr>
            </w:pPr>
            <w:r w:rsidRPr="009B7B35">
              <w:rPr>
                <w:rFonts w:cs="Arial"/>
                <w:b/>
                <w:bCs/>
              </w:rPr>
              <w:t>PO16</w:t>
            </w:r>
          </w:p>
          <w:p w14:paraId="590CD1A8" w14:textId="77777777" w:rsidR="00BE36FB" w:rsidRPr="009B7B35" w:rsidRDefault="00BE36FB" w:rsidP="001A7107">
            <w:pPr>
              <w:pStyle w:val="TableText"/>
              <w:rPr>
                <w:rFonts w:cs="Arial"/>
              </w:rPr>
            </w:pPr>
            <w:r w:rsidRPr="009B7B35">
              <w:rPr>
                <w:rFonts w:cs="Arial"/>
              </w:rPr>
              <w:t>Development for caretaker’s accommodation:</w:t>
            </w:r>
          </w:p>
          <w:p w14:paraId="5BD3EDBA" w14:textId="77777777" w:rsidR="00BE36FB" w:rsidRPr="009B7B35" w:rsidRDefault="00BE36FB" w:rsidP="00BE36FB">
            <w:pPr>
              <w:pStyle w:val="TableText"/>
              <w:numPr>
                <w:ilvl w:val="0"/>
                <w:numId w:val="348"/>
              </w:numPr>
              <w:rPr>
                <w:rFonts w:cs="Arial"/>
              </w:rPr>
            </w:pPr>
            <w:r w:rsidRPr="009B7B35">
              <w:rPr>
                <w:rFonts w:cs="Arial"/>
              </w:rPr>
              <w:t>is subordinate to non–residential uses on the same site, and</w:t>
            </w:r>
          </w:p>
          <w:p w14:paraId="6C53CE49" w14:textId="77777777" w:rsidR="00BE36FB" w:rsidRPr="009B7B35" w:rsidRDefault="00BE36FB" w:rsidP="00BE36FB">
            <w:pPr>
              <w:pStyle w:val="TableText"/>
              <w:numPr>
                <w:ilvl w:val="0"/>
                <w:numId w:val="348"/>
              </w:numPr>
              <w:rPr>
                <w:rFonts w:cs="Arial"/>
              </w:rPr>
            </w:pPr>
            <w:r w:rsidRPr="009B7B35">
              <w:rPr>
                <w:rFonts w:cs="Arial"/>
              </w:rPr>
              <w:t>provides adequate private open space for residents.</w:t>
            </w:r>
          </w:p>
        </w:tc>
        <w:tc>
          <w:tcPr>
            <w:tcW w:w="4678" w:type="dxa"/>
            <w:hideMark/>
          </w:tcPr>
          <w:p w14:paraId="661DBEED" w14:textId="77777777" w:rsidR="00BE36FB" w:rsidRPr="009B7B35" w:rsidRDefault="00BE36FB" w:rsidP="001A7107">
            <w:pPr>
              <w:pStyle w:val="TableText"/>
              <w:rPr>
                <w:rFonts w:cs="Arial"/>
                <w:b/>
                <w:bCs/>
              </w:rPr>
            </w:pPr>
            <w:r w:rsidRPr="009B7B35">
              <w:rPr>
                <w:rFonts w:cs="Arial"/>
                <w:b/>
                <w:bCs/>
              </w:rPr>
              <w:t>AO16.1</w:t>
            </w:r>
          </w:p>
          <w:p w14:paraId="1E328668" w14:textId="77777777" w:rsidR="00BE36FB" w:rsidRPr="009B7B35" w:rsidRDefault="00BE36FB" w:rsidP="001A7107">
            <w:pPr>
              <w:pStyle w:val="TableText"/>
              <w:rPr>
                <w:rFonts w:cs="Arial"/>
              </w:rPr>
            </w:pPr>
            <w:r w:rsidRPr="009B7B35">
              <w:rPr>
                <w:rFonts w:cs="Arial"/>
              </w:rPr>
              <w:t>No more than 1 caretaker’s accommodation unit is established per non–residential land use.</w:t>
            </w:r>
          </w:p>
        </w:tc>
      </w:tr>
      <w:tr w:rsidR="00BE36FB" w:rsidRPr="009B7B35" w14:paraId="4846F328" w14:textId="77777777" w:rsidTr="001A7107">
        <w:tc>
          <w:tcPr>
            <w:tcW w:w="4678" w:type="dxa"/>
            <w:vMerge/>
            <w:hideMark/>
          </w:tcPr>
          <w:p w14:paraId="25C37A05" w14:textId="77777777" w:rsidR="00BE36FB" w:rsidRPr="009B7B35" w:rsidRDefault="00BE36FB" w:rsidP="001A7107">
            <w:pPr>
              <w:pStyle w:val="TableText"/>
              <w:rPr>
                <w:rFonts w:cs="Arial"/>
              </w:rPr>
            </w:pPr>
          </w:p>
        </w:tc>
        <w:tc>
          <w:tcPr>
            <w:tcW w:w="4678" w:type="dxa"/>
            <w:hideMark/>
          </w:tcPr>
          <w:p w14:paraId="572CCC8F" w14:textId="77777777" w:rsidR="00BE36FB" w:rsidRPr="009B7B35" w:rsidRDefault="00BE36FB" w:rsidP="001A7107">
            <w:pPr>
              <w:pStyle w:val="TableText"/>
              <w:rPr>
                <w:rFonts w:cs="Arial"/>
                <w:b/>
                <w:bCs/>
              </w:rPr>
            </w:pPr>
            <w:r w:rsidRPr="009B7B35">
              <w:rPr>
                <w:rFonts w:cs="Arial"/>
                <w:b/>
                <w:bCs/>
              </w:rPr>
              <w:t>AO16.2</w:t>
            </w:r>
          </w:p>
          <w:p w14:paraId="6CB0735F" w14:textId="77777777"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in GFA.</w:t>
            </w:r>
          </w:p>
        </w:tc>
      </w:tr>
      <w:tr w:rsidR="00BE36FB" w:rsidRPr="009B7B35" w14:paraId="7FBCB8DE" w14:textId="77777777" w:rsidTr="001A7107">
        <w:tc>
          <w:tcPr>
            <w:tcW w:w="4678" w:type="dxa"/>
            <w:vMerge/>
            <w:hideMark/>
          </w:tcPr>
          <w:p w14:paraId="64EB11E2" w14:textId="77777777" w:rsidR="00BE36FB" w:rsidRPr="009B7B35" w:rsidRDefault="00BE36FB" w:rsidP="001A7107">
            <w:pPr>
              <w:pStyle w:val="TableText"/>
              <w:rPr>
                <w:rFonts w:cs="Arial"/>
              </w:rPr>
            </w:pPr>
          </w:p>
        </w:tc>
        <w:tc>
          <w:tcPr>
            <w:tcW w:w="4678" w:type="dxa"/>
            <w:hideMark/>
          </w:tcPr>
          <w:p w14:paraId="2919E877" w14:textId="77777777" w:rsidR="00BE36FB" w:rsidRPr="009B7B35" w:rsidRDefault="00BE36FB" w:rsidP="001A7107">
            <w:pPr>
              <w:pStyle w:val="TableText"/>
              <w:rPr>
                <w:rFonts w:cs="Arial"/>
                <w:b/>
                <w:bCs/>
              </w:rPr>
            </w:pPr>
            <w:r w:rsidRPr="009B7B35">
              <w:rPr>
                <w:rFonts w:cs="Arial"/>
                <w:b/>
                <w:bCs/>
              </w:rPr>
              <w:t>AO16.3</w:t>
            </w:r>
          </w:p>
          <w:p w14:paraId="61F7DD24" w14:textId="77777777" w:rsidR="00BE36FB" w:rsidRPr="009B7B35" w:rsidRDefault="00BE36FB" w:rsidP="001A7107">
            <w:pPr>
              <w:pStyle w:val="TableText"/>
              <w:rPr>
                <w:rFonts w:cs="Arial"/>
              </w:rPr>
            </w:pPr>
            <w:r w:rsidRPr="009B7B35">
              <w:rPr>
                <w:rFonts w:cs="Arial"/>
              </w:rPr>
              <w:t>Caretaker’s accommodation is provided with a private open space area which:</w:t>
            </w:r>
          </w:p>
          <w:p w14:paraId="7CEBABF4" w14:textId="77777777" w:rsidR="00BE36FB" w:rsidRPr="009B7B35" w:rsidRDefault="00BE36FB" w:rsidP="00BE36FB">
            <w:pPr>
              <w:pStyle w:val="TableText"/>
              <w:numPr>
                <w:ilvl w:val="0"/>
                <w:numId w:val="153"/>
              </w:numPr>
              <w:rPr>
                <w:rFonts w:cs="Arial"/>
              </w:rPr>
            </w:pPr>
            <w:r w:rsidRPr="009B7B35">
              <w:rPr>
                <w:rFonts w:cs="Arial"/>
              </w:rPr>
              <w:t>is directly accessible from a habitable room, and</w:t>
            </w:r>
          </w:p>
          <w:p w14:paraId="7830B5D6" w14:textId="77777777" w:rsidR="00BE36FB" w:rsidRPr="009B7B35" w:rsidRDefault="00BE36FB" w:rsidP="00BE36FB">
            <w:pPr>
              <w:pStyle w:val="TableText"/>
              <w:numPr>
                <w:ilvl w:val="0"/>
                <w:numId w:val="153"/>
              </w:numPr>
              <w:rPr>
                <w:rFonts w:cs="Arial"/>
              </w:rPr>
            </w:pPr>
            <w:r w:rsidRPr="009B7B35">
              <w:rPr>
                <w:rFonts w:cs="Arial"/>
              </w:rPr>
              <w:t>where a balcony, a verandah or a deck, has a minimum area of 15m</w:t>
            </w:r>
            <w:r w:rsidRPr="009B7B35">
              <w:rPr>
                <w:rStyle w:val="StyleSuperscript"/>
                <w:rFonts w:cs="Arial"/>
              </w:rPr>
              <w:t>2</w:t>
            </w:r>
            <w:r w:rsidRPr="009B7B35">
              <w:rPr>
                <w:rFonts w:cs="Arial"/>
              </w:rPr>
              <w:t xml:space="preserve"> with minimum horizontal dimensions of 1.25m. </w:t>
            </w:r>
          </w:p>
        </w:tc>
      </w:tr>
      <w:tr w:rsidR="00BE36FB" w:rsidRPr="009B7B35" w14:paraId="7F343D67" w14:textId="77777777" w:rsidTr="001A7107">
        <w:trPr>
          <w:cantSplit/>
        </w:trPr>
        <w:tc>
          <w:tcPr>
            <w:tcW w:w="4678" w:type="dxa"/>
          </w:tcPr>
          <w:p w14:paraId="060D0CAC" w14:textId="77777777" w:rsidR="00BE36FB" w:rsidRPr="009B7B35" w:rsidRDefault="00BE36FB" w:rsidP="001A7107">
            <w:pPr>
              <w:pStyle w:val="TableText"/>
              <w:rPr>
                <w:rFonts w:cs="Arial"/>
                <w:b/>
                <w:bCs/>
              </w:rPr>
            </w:pPr>
            <w:r w:rsidRPr="009B7B35">
              <w:rPr>
                <w:rFonts w:cs="Arial"/>
                <w:b/>
                <w:bCs/>
              </w:rPr>
              <w:t>AO17</w:t>
            </w:r>
          </w:p>
          <w:p w14:paraId="3DABC4E0" w14:textId="77777777" w:rsidR="00BE36FB" w:rsidRPr="009B7B35" w:rsidRDefault="00BE36FB" w:rsidP="001A7107">
            <w:pPr>
              <w:pStyle w:val="TableText"/>
              <w:rPr>
                <w:rFonts w:cs="Arial"/>
              </w:rPr>
            </w:pPr>
            <w:r w:rsidRPr="009B7B35">
              <w:rPr>
                <w:rFonts w:cs="Arial"/>
              </w:rPr>
              <w:t>Development for caretaker’s accommodation provides a safe living environment for residents through:</w:t>
            </w:r>
          </w:p>
          <w:p w14:paraId="01ACAD88" w14:textId="77777777" w:rsidR="00BE36FB" w:rsidRPr="009B7B35" w:rsidRDefault="00BE36FB" w:rsidP="00BE36FB">
            <w:pPr>
              <w:pStyle w:val="TableText"/>
              <w:numPr>
                <w:ilvl w:val="0"/>
                <w:numId w:val="347"/>
              </w:numPr>
              <w:ind w:left="567" w:hanging="567"/>
              <w:rPr>
                <w:rFonts w:cs="Arial"/>
              </w:rPr>
            </w:pPr>
            <w:r w:rsidRPr="009B7B35">
              <w:rPr>
                <w:rFonts w:cs="Arial"/>
              </w:rPr>
              <w:t>adequate separation from the source of any emissions generated by the primary use of the site, and</w:t>
            </w:r>
          </w:p>
          <w:p w14:paraId="5889D9F3" w14:textId="77777777" w:rsidR="00BE36FB" w:rsidRPr="009B7B35" w:rsidRDefault="00BE36FB" w:rsidP="00BE36FB">
            <w:pPr>
              <w:pStyle w:val="TableText"/>
              <w:numPr>
                <w:ilvl w:val="0"/>
                <w:numId w:val="347"/>
              </w:numPr>
              <w:ind w:left="567" w:hanging="567"/>
              <w:rPr>
                <w:rFonts w:cs="Arial"/>
              </w:rPr>
            </w:pPr>
            <w:r w:rsidRPr="009B7B35">
              <w:rPr>
                <w:rFonts w:cs="Arial"/>
              </w:rPr>
              <w:t>design and construction features which mitigate noise, lighting and air quality impacts on habitable rooms.</w:t>
            </w:r>
          </w:p>
        </w:tc>
        <w:tc>
          <w:tcPr>
            <w:tcW w:w="4678" w:type="dxa"/>
          </w:tcPr>
          <w:p w14:paraId="3B7B2B2D" w14:textId="77777777" w:rsidR="00BE36FB" w:rsidRPr="009B7B35" w:rsidRDefault="00BE36FB" w:rsidP="001A7107">
            <w:pPr>
              <w:pStyle w:val="TableText"/>
              <w:rPr>
                <w:rFonts w:cs="Arial"/>
              </w:rPr>
            </w:pPr>
            <w:r w:rsidRPr="009B7B35">
              <w:rPr>
                <w:rFonts w:cs="Arial"/>
              </w:rPr>
              <w:t>No acceptable outcome is nominated.</w:t>
            </w:r>
          </w:p>
        </w:tc>
      </w:tr>
    </w:tbl>
    <w:p w14:paraId="12249361" w14:textId="77777777" w:rsidR="00BE36FB" w:rsidRPr="009B7B35" w:rsidRDefault="00BE36FB" w:rsidP="001A7107">
      <w:pPr>
        <w:rPr>
          <w:rFonts w:ascii="Arial" w:hAnsi="Arial" w:cs="Arial"/>
          <w:sz w:val="20"/>
          <w:szCs w:val="20"/>
        </w:rPr>
      </w:pPr>
    </w:p>
    <w:p w14:paraId="2036A690"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6BA0B03C" w14:textId="77777777" w:rsidR="00BE36FB" w:rsidRPr="009B7B35" w:rsidRDefault="00BE36FB" w:rsidP="006776DA">
      <w:pPr>
        <w:pStyle w:val="Heading3"/>
        <w:keepLines/>
        <w:numPr>
          <w:ilvl w:val="2"/>
          <w:numId w:val="883"/>
        </w:numPr>
        <w:spacing w:before="240"/>
        <w:rPr>
          <w:rFonts w:ascii="Arial" w:hAnsi="Arial"/>
          <w:sz w:val="20"/>
          <w:szCs w:val="20"/>
        </w:rPr>
      </w:pPr>
      <w:bookmarkStart w:id="207" w:name="_Toc205367370"/>
      <w:r w:rsidRPr="009B7B35">
        <w:rPr>
          <w:rFonts w:ascii="Arial" w:hAnsi="Arial"/>
          <w:sz w:val="20"/>
          <w:szCs w:val="20"/>
        </w:rPr>
        <w:t>Specialised centre</w:t>
      </w:r>
      <w:bookmarkEnd w:id="207"/>
    </w:p>
    <w:p w14:paraId="0E95EA68"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284E4DF5"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5F116FFE"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3B0241C2" w14:textId="77777777" w:rsidR="00BE36FB" w:rsidRPr="009B7B35" w:rsidRDefault="00BE36FB" w:rsidP="00BE36FB">
      <w:pPr>
        <w:numPr>
          <w:ilvl w:val="0"/>
          <w:numId w:val="339"/>
        </w:numPr>
        <w:ind w:left="360" w:hanging="360"/>
        <w:rPr>
          <w:rFonts w:ascii="Arial" w:hAnsi="Arial" w:cs="Arial"/>
          <w:sz w:val="20"/>
          <w:szCs w:val="20"/>
        </w:rPr>
      </w:pPr>
      <w:r w:rsidRPr="009B7B35">
        <w:rPr>
          <w:rFonts w:ascii="Arial" w:hAnsi="Arial" w:cs="Arial"/>
          <w:sz w:val="20"/>
          <w:szCs w:val="20"/>
        </w:rPr>
        <w:t>The purpose of the specialised centre zone code is to:</w:t>
      </w:r>
    </w:p>
    <w:p w14:paraId="60A18B30" w14:textId="77777777"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Provide for designated areas for the retailing of bulky goods and other related commercial uses that cannot be accommodated in other centres such as mixed use centres and shopping centres.</w:t>
      </w:r>
    </w:p>
    <w:p w14:paraId="306596DE" w14:textId="77777777"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Promote high quality centre and building design for large format retail buildings, showrooms and outdoor sales activities.</w:t>
      </w:r>
    </w:p>
    <w:p w14:paraId="445981BD" w14:textId="77777777" w:rsidR="00BE36FB" w:rsidRPr="009B7B35" w:rsidRDefault="00BE36FB" w:rsidP="00BE36FB">
      <w:pPr>
        <w:numPr>
          <w:ilvl w:val="0"/>
          <w:numId w:val="339"/>
        </w:numPr>
        <w:ind w:left="360" w:hanging="360"/>
        <w:rPr>
          <w:rFonts w:ascii="Arial" w:hAnsi="Arial" w:cs="Arial"/>
          <w:sz w:val="20"/>
          <w:szCs w:val="20"/>
        </w:rPr>
      </w:pPr>
      <w:r w:rsidRPr="009B7B35">
        <w:rPr>
          <w:rFonts w:ascii="Arial" w:hAnsi="Arial" w:cs="Arial"/>
          <w:sz w:val="20"/>
          <w:szCs w:val="20"/>
        </w:rPr>
        <w:t>The purpose of the zone will be achieved through the following overall outcomes:</w:t>
      </w:r>
    </w:p>
    <w:p w14:paraId="38D30741" w14:textId="77777777"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Development is readily and safely accessible from major roads.</w:t>
      </w:r>
    </w:p>
    <w:p w14:paraId="12CA090E" w14:textId="77777777"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Development provides a high level of amenity and is reflective of the surrounding character of the area.</w:t>
      </w:r>
    </w:p>
    <w:p w14:paraId="6BCA19A7" w14:textId="77777777"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Development is designed to incorporate sustainable practices including maximising energy efficiency, water conservation and transport use.</w:t>
      </w:r>
    </w:p>
    <w:p w14:paraId="43470504" w14:textId="77777777"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Development responds to land constraints, including but not limited to flooding and minimising changes to natural topography.</w:t>
      </w:r>
    </w:p>
    <w:p w14:paraId="16985348" w14:textId="77777777"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Development encourages public transport accessibility and use, walking and cycling.</w:t>
      </w:r>
    </w:p>
    <w:p w14:paraId="6CBFA90D" w14:textId="77777777"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Development does not compromise the viability of the network of centres throughout the region.</w:t>
      </w:r>
    </w:p>
    <w:p w14:paraId="0FC544E5" w14:textId="77777777" w:rsidR="00BE36FB" w:rsidRPr="009B7B35" w:rsidRDefault="00BE36FB" w:rsidP="00BE36FB">
      <w:pPr>
        <w:numPr>
          <w:ilvl w:val="0"/>
          <w:numId w:val="339"/>
        </w:numPr>
        <w:ind w:left="360" w:hanging="360"/>
        <w:rPr>
          <w:rFonts w:ascii="Arial" w:hAnsi="Arial" w:cs="Arial"/>
          <w:sz w:val="20"/>
          <w:szCs w:val="20"/>
        </w:rPr>
      </w:pPr>
      <w:r w:rsidRPr="009B7B35">
        <w:rPr>
          <w:rFonts w:ascii="Arial" w:hAnsi="Arial" w:cs="Arial"/>
          <w:sz w:val="20"/>
          <w:szCs w:val="20"/>
        </w:rPr>
        <w:t xml:space="preserve">The purpose of the zone will also be achieved through the following additional overall outcomes for particular precincts: </w:t>
      </w:r>
    </w:p>
    <w:p w14:paraId="1DF0D1B2" w14:textId="77777777" w:rsidR="00BE36FB" w:rsidRPr="009B7B35" w:rsidRDefault="00BE36FB" w:rsidP="00BE36FB">
      <w:pPr>
        <w:numPr>
          <w:ilvl w:val="1"/>
          <w:numId w:val="339"/>
        </w:numPr>
        <w:ind w:firstLine="360"/>
        <w:rPr>
          <w:rFonts w:ascii="Arial" w:hAnsi="Arial" w:cs="Arial"/>
          <w:sz w:val="20"/>
          <w:szCs w:val="20"/>
        </w:rPr>
      </w:pPr>
      <w:r w:rsidRPr="009B7B35">
        <w:rPr>
          <w:rFonts w:ascii="Arial" w:hAnsi="Arial" w:cs="Arial"/>
          <w:sz w:val="20"/>
          <w:szCs w:val="20"/>
        </w:rPr>
        <w:t>Clinton precinct:</w:t>
      </w:r>
    </w:p>
    <w:p w14:paraId="3AA95E99" w14:textId="77777777" w:rsidR="00BE36FB" w:rsidRPr="009B7B35" w:rsidRDefault="00BE36FB" w:rsidP="00BE36FB">
      <w:pPr>
        <w:numPr>
          <w:ilvl w:val="2"/>
          <w:numId w:val="339"/>
        </w:numPr>
        <w:ind w:left="1080" w:hanging="180"/>
        <w:rPr>
          <w:rFonts w:ascii="Arial" w:hAnsi="Arial" w:cs="Arial"/>
          <w:sz w:val="20"/>
          <w:szCs w:val="20"/>
        </w:rPr>
      </w:pPr>
      <w:r w:rsidRPr="009B7B35">
        <w:rPr>
          <w:rFonts w:ascii="Arial" w:hAnsi="Arial" w:cs="Arial"/>
          <w:sz w:val="20"/>
          <w:szCs w:val="20"/>
        </w:rPr>
        <w:t>Development provides for predominately large floor plate ‘home maker’ retailing primarily in the form of showrooms and bulky good premises located in an integrated development site.</w:t>
      </w:r>
    </w:p>
    <w:p w14:paraId="0E9EF19F" w14:textId="77777777" w:rsidR="00BE36FB" w:rsidRPr="009B7B35" w:rsidRDefault="00BE36FB" w:rsidP="00BE36FB">
      <w:pPr>
        <w:numPr>
          <w:ilvl w:val="1"/>
          <w:numId w:val="339"/>
        </w:numPr>
        <w:ind w:left="450" w:hanging="90"/>
        <w:rPr>
          <w:rFonts w:ascii="Arial" w:hAnsi="Arial" w:cs="Arial"/>
          <w:sz w:val="20"/>
          <w:szCs w:val="20"/>
        </w:rPr>
      </w:pPr>
      <w:r w:rsidRPr="009B7B35">
        <w:rPr>
          <w:rFonts w:ascii="Arial" w:hAnsi="Arial" w:cs="Arial"/>
          <w:sz w:val="20"/>
          <w:szCs w:val="20"/>
        </w:rPr>
        <w:t>Central Gladstone precinct:</w:t>
      </w:r>
    </w:p>
    <w:p w14:paraId="02A812AB" w14:textId="77777777" w:rsidR="00BE36FB" w:rsidRPr="009B7B35" w:rsidRDefault="00BE36FB" w:rsidP="00BE36FB">
      <w:pPr>
        <w:numPr>
          <w:ilvl w:val="2"/>
          <w:numId w:val="339"/>
        </w:numPr>
        <w:ind w:left="1080" w:hanging="180"/>
        <w:rPr>
          <w:rFonts w:ascii="Arial" w:hAnsi="Arial" w:cs="Arial"/>
          <w:sz w:val="20"/>
          <w:szCs w:val="20"/>
        </w:rPr>
      </w:pPr>
      <w:r w:rsidRPr="009B7B35">
        <w:rPr>
          <w:rFonts w:ascii="Arial" w:hAnsi="Arial" w:cs="Arial"/>
          <w:sz w:val="20"/>
          <w:szCs w:val="20"/>
        </w:rPr>
        <w:t>Development provides for the retailing of smaller scale bulky goods showrooms and outdoor sales activities in keeping with the constrained site characteristics due to its location between the Dawson Highway and rail corridor.</w:t>
      </w:r>
    </w:p>
    <w:p w14:paraId="04E0DC8D" w14:textId="77777777" w:rsidR="00BE36FB" w:rsidRPr="009B7B35" w:rsidRDefault="00BE36FB" w:rsidP="00BE36FB">
      <w:pPr>
        <w:numPr>
          <w:ilvl w:val="2"/>
          <w:numId w:val="339"/>
        </w:numPr>
        <w:ind w:left="1080" w:hanging="180"/>
        <w:rPr>
          <w:rFonts w:ascii="Arial" w:hAnsi="Arial" w:cs="Arial"/>
          <w:sz w:val="20"/>
          <w:szCs w:val="20"/>
        </w:rPr>
      </w:pPr>
      <w:r w:rsidRPr="009B7B35">
        <w:rPr>
          <w:rFonts w:ascii="Arial" w:hAnsi="Arial" w:cs="Arial"/>
          <w:sz w:val="20"/>
          <w:szCs w:val="20"/>
        </w:rPr>
        <w:t>Development minimises the proliferation of access points from the Dawson Highway.</w:t>
      </w:r>
    </w:p>
    <w:p w14:paraId="4179CA11" w14:textId="77777777" w:rsidR="00BE36FB" w:rsidRPr="009B7B35" w:rsidRDefault="00BE36FB" w:rsidP="00BE36FB">
      <w:pPr>
        <w:numPr>
          <w:ilvl w:val="1"/>
          <w:numId w:val="339"/>
        </w:numPr>
        <w:ind w:left="720" w:hanging="360"/>
        <w:rPr>
          <w:rFonts w:ascii="Arial" w:hAnsi="Arial" w:cs="Arial"/>
          <w:sz w:val="20"/>
          <w:szCs w:val="20"/>
        </w:rPr>
      </w:pPr>
      <w:r w:rsidRPr="009B7B35">
        <w:rPr>
          <w:rFonts w:ascii="Arial" w:hAnsi="Arial" w:cs="Arial"/>
          <w:sz w:val="20"/>
          <w:szCs w:val="20"/>
        </w:rPr>
        <w:t>Toolooa Street east precinct:</w:t>
      </w:r>
    </w:p>
    <w:p w14:paraId="7849CB86" w14:textId="77777777" w:rsidR="00BE36FB" w:rsidRPr="009B7B35" w:rsidRDefault="00BE36FB" w:rsidP="00BE36FB">
      <w:pPr>
        <w:numPr>
          <w:ilvl w:val="2"/>
          <w:numId w:val="339"/>
        </w:numPr>
        <w:ind w:left="1080" w:hanging="180"/>
        <w:rPr>
          <w:rFonts w:ascii="Arial" w:hAnsi="Arial" w:cs="Arial"/>
          <w:sz w:val="20"/>
          <w:szCs w:val="20"/>
        </w:rPr>
      </w:pPr>
      <w:r w:rsidRPr="009B7B35">
        <w:rPr>
          <w:rFonts w:ascii="Arial" w:hAnsi="Arial" w:cs="Arial"/>
          <w:sz w:val="20"/>
          <w:szCs w:val="20"/>
        </w:rPr>
        <w:t>Development provides for the retailing of smaller scale bulky goods showrooms and outdoor sales activities in keeping with the constrained site characteristics due to its location between Toolooa Street and rail corridor.</w:t>
      </w:r>
    </w:p>
    <w:p w14:paraId="4211D109" w14:textId="77777777" w:rsidR="00BE36FB" w:rsidRPr="009B7B35" w:rsidRDefault="00BE36FB" w:rsidP="00BE36FB">
      <w:pPr>
        <w:numPr>
          <w:ilvl w:val="2"/>
          <w:numId w:val="339"/>
        </w:numPr>
        <w:ind w:left="1080" w:hanging="180"/>
        <w:rPr>
          <w:rFonts w:ascii="Arial" w:hAnsi="Arial" w:cs="Arial"/>
          <w:sz w:val="20"/>
          <w:szCs w:val="20"/>
        </w:rPr>
      </w:pPr>
      <w:r w:rsidRPr="009B7B35">
        <w:rPr>
          <w:rFonts w:ascii="Arial" w:hAnsi="Arial" w:cs="Arial"/>
          <w:sz w:val="20"/>
          <w:szCs w:val="20"/>
        </w:rPr>
        <w:t>Development minimises the proliferation of access points from Toolooa Street.</w:t>
      </w:r>
    </w:p>
    <w:p w14:paraId="408D1BC3"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006EEB59" w14:textId="77777777" w:rsidR="00BE36FB" w:rsidRPr="009B7B35" w:rsidRDefault="00BE36FB" w:rsidP="003A35DA">
      <w:pPr>
        <w:pStyle w:val="Heading5"/>
        <w:numPr>
          <w:ilvl w:val="0"/>
          <w:numId w:val="0"/>
        </w:numPr>
        <w:rPr>
          <w:rFonts w:cs="Arial"/>
          <w:szCs w:val="20"/>
        </w:rPr>
      </w:pPr>
      <w:r w:rsidRPr="009B7B35">
        <w:rPr>
          <w:rFonts w:cs="Arial"/>
          <w:szCs w:val="20"/>
        </w:rPr>
        <w:t>Table 6.2.25.3.1— Accepted development subject to requirements and 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14:paraId="4C86099E"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3A477133" w14:textId="77777777" w:rsidR="00BE36FB" w:rsidRPr="009B7B35" w:rsidRDefault="00BE36FB" w:rsidP="001A7107">
            <w:pPr>
              <w:pStyle w:val="TableText"/>
              <w:rPr>
                <w:rFonts w:cs="Arial"/>
              </w:rPr>
            </w:pPr>
            <w:r w:rsidRPr="009B7B35">
              <w:rPr>
                <w:rFonts w:cs="Arial"/>
              </w:rPr>
              <w:t>Performance outcomes</w:t>
            </w:r>
          </w:p>
        </w:tc>
        <w:tc>
          <w:tcPr>
            <w:tcW w:w="4678" w:type="dxa"/>
          </w:tcPr>
          <w:p w14:paraId="61CE9063" w14:textId="77777777" w:rsidR="00BE36FB" w:rsidRPr="009B7B35" w:rsidRDefault="00BE36FB" w:rsidP="001A7107">
            <w:pPr>
              <w:pStyle w:val="TableText"/>
              <w:rPr>
                <w:rFonts w:cs="Arial"/>
              </w:rPr>
            </w:pPr>
            <w:r w:rsidRPr="009B7B35">
              <w:rPr>
                <w:rFonts w:cs="Arial"/>
              </w:rPr>
              <w:t>Acceptable outcomes</w:t>
            </w:r>
          </w:p>
        </w:tc>
      </w:tr>
      <w:tr w:rsidR="00BE36FB" w:rsidRPr="009B7B35" w14:paraId="279FAB4B" w14:textId="77777777" w:rsidTr="001A7107">
        <w:trPr>
          <w:cantSplit/>
        </w:trPr>
        <w:tc>
          <w:tcPr>
            <w:tcW w:w="9356" w:type="dxa"/>
            <w:gridSpan w:val="2"/>
            <w:shd w:val="clear" w:color="auto" w:fill="BFBFBF" w:themeFill="background1" w:themeFillShade="BF"/>
          </w:tcPr>
          <w:p w14:paraId="4D2BE291"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25004C36" w14:textId="77777777" w:rsidTr="001A7107">
        <w:trPr>
          <w:cantSplit/>
        </w:trPr>
        <w:tc>
          <w:tcPr>
            <w:tcW w:w="4678" w:type="dxa"/>
            <w:vMerge w:val="restart"/>
          </w:tcPr>
          <w:p w14:paraId="337B3530" w14:textId="77777777" w:rsidR="00BE36FB" w:rsidRPr="009B7B35" w:rsidRDefault="00BE36FB" w:rsidP="001A7107">
            <w:pPr>
              <w:pStyle w:val="TableText"/>
              <w:rPr>
                <w:rFonts w:cs="Arial"/>
                <w:b/>
                <w:bCs/>
              </w:rPr>
            </w:pPr>
            <w:r w:rsidRPr="009B7B35">
              <w:rPr>
                <w:rFonts w:cs="Arial"/>
                <w:b/>
                <w:bCs/>
              </w:rPr>
              <w:t>PO1</w:t>
            </w:r>
          </w:p>
          <w:p w14:paraId="18B43D38" w14:textId="77777777" w:rsidR="00BE36FB" w:rsidRPr="009B7B35" w:rsidRDefault="00BE36FB" w:rsidP="001A7107">
            <w:pPr>
              <w:pStyle w:val="TableText"/>
              <w:rPr>
                <w:rFonts w:cs="Arial"/>
              </w:rPr>
            </w:pPr>
            <w:r w:rsidRPr="009B7B35">
              <w:rPr>
                <w:rFonts w:cs="Arial"/>
              </w:rPr>
              <w:t>Development:</w:t>
            </w:r>
          </w:p>
          <w:p w14:paraId="559D4B75" w14:textId="77777777" w:rsidR="00BE36FB" w:rsidRPr="009B7B35" w:rsidRDefault="00BE36FB" w:rsidP="00BE36FB">
            <w:pPr>
              <w:pStyle w:val="TableText"/>
              <w:numPr>
                <w:ilvl w:val="0"/>
                <w:numId w:val="185"/>
              </w:numPr>
              <w:rPr>
                <w:rFonts w:cs="Arial"/>
              </w:rPr>
            </w:pPr>
            <w:r w:rsidRPr="009B7B35">
              <w:rPr>
                <w:rFonts w:cs="Arial"/>
              </w:rPr>
              <w:t xml:space="preserve">is ancillary to the primary use, and </w:t>
            </w:r>
          </w:p>
          <w:p w14:paraId="0E64B79A" w14:textId="77777777" w:rsidR="00BE36FB" w:rsidRPr="009B7B35" w:rsidRDefault="00BE36FB" w:rsidP="00BE36FB">
            <w:pPr>
              <w:pStyle w:val="TableText"/>
              <w:numPr>
                <w:ilvl w:val="0"/>
                <w:numId w:val="185"/>
              </w:numPr>
              <w:rPr>
                <w:rFonts w:cs="Arial"/>
              </w:rPr>
            </w:pPr>
            <w:r w:rsidRPr="009B7B35">
              <w:rPr>
                <w:rFonts w:cs="Arial"/>
              </w:rPr>
              <w:t>provides adequate private open space for the caretaker</w:t>
            </w:r>
          </w:p>
          <w:p w14:paraId="48E4383B" w14:textId="77777777" w:rsidR="00BE36FB" w:rsidRPr="009B7B35" w:rsidRDefault="00BE36FB" w:rsidP="00BE36FB">
            <w:pPr>
              <w:pStyle w:val="TableText"/>
              <w:numPr>
                <w:ilvl w:val="0"/>
                <w:numId w:val="185"/>
              </w:numPr>
              <w:rPr>
                <w:rFonts w:cs="Arial"/>
              </w:rPr>
            </w:pPr>
            <w:r w:rsidRPr="009B7B35">
              <w:rPr>
                <w:rFonts w:cs="Arial"/>
              </w:rPr>
              <w:t>does not compromise ground level business activities being established.</w:t>
            </w:r>
          </w:p>
        </w:tc>
        <w:tc>
          <w:tcPr>
            <w:tcW w:w="4678" w:type="dxa"/>
          </w:tcPr>
          <w:p w14:paraId="764E0C7E" w14:textId="77777777" w:rsidR="00BE36FB" w:rsidRPr="009B7B35" w:rsidRDefault="00BE36FB" w:rsidP="001A7107">
            <w:pPr>
              <w:pStyle w:val="TableText"/>
              <w:rPr>
                <w:rFonts w:cs="Arial"/>
                <w:b/>
                <w:bCs/>
              </w:rPr>
            </w:pPr>
            <w:r w:rsidRPr="009B7B35">
              <w:rPr>
                <w:rFonts w:cs="Arial"/>
                <w:b/>
                <w:bCs/>
              </w:rPr>
              <w:t>AO1.1</w:t>
            </w:r>
          </w:p>
          <w:p w14:paraId="2B422E8B" w14:textId="77777777" w:rsidR="00BE36FB" w:rsidRPr="009B7B35" w:rsidRDefault="00BE36FB" w:rsidP="001A7107">
            <w:pPr>
              <w:pStyle w:val="TableText"/>
              <w:rPr>
                <w:rFonts w:cs="Arial"/>
              </w:rPr>
            </w:pPr>
            <w:r w:rsidRPr="009B7B35">
              <w:rPr>
                <w:rFonts w:cs="Arial"/>
              </w:rPr>
              <w:t xml:space="preserve">No more than 1 caretaker’s accommodation unit is established on the site. </w:t>
            </w:r>
          </w:p>
        </w:tc>
      </w:tr>
      <w:tr w:rsidR="00BE36FB" w:rsidRPr="009B7B35" w14:paraId="6D75EE18" w14:textId="77777777" w:rsidTr="001A7107">
        <w:trPr>
          <w:cantSplit/>
        </w:trPr>
        <w:tc>
          <w:tcPr>
            <w:tcW w:w="4678" w:type="dxa"/>
            <w:vMerge/>
          </w:tcPr>
          <w:p w14:paraId="1778728F" w14:textId="77777777" w:rsidR="00BE36FB" w:rsidRPr="009B7B35" w:rsidRDefault="00BE36FB" w:rsidP="001A7107">
            <w:pPr>
              <w:pStyle w:val="TableText"/>
              <w:rPr>
                <w:rFonts w:cs="Arial"/>
              </w:rPr>
            </w:pPr>
          </w:p>
        </w:tc>
        <w:tc>
          <w:tcPr>
            <w:tcW w:w="4678" w:type="dxa"/>
          </w:tcPr>
          <w:p w14:paraId="02CFA19C" w14:textId="77777777" w:rsidR="00BE36FB" w:rsidRPr="009B7B35" w:rsidRDefault="00BE36FB" w:rsidP="001A7107">
            <w:pPr>
              <w:pStyle w:val="TableText"/>
              <w:rPr>
                <w:rFonts w:cs="Arial"/>
                <w:b/>
                <w:bCs/>
              </w:rPr>
            </w:pPr>
            <w:r w:rsidRPr="009B7B35">
              <w:rPr>
                <w:rFonts w:cs="Arial"/>
                <w:b/>
                <w:bCs/>
              </w:rPr>
              <w:t>AO1.2</w:t>
            </w:r>
          </w:p>
          <w:p w14:paraId="72777FFC" w14:textId="77777777" w:rsidR="00BE36FB" w:rsidRPr="009B7B35" w:rsidRDefault="00BE36FB" w:rsidP="001A7107">
            <w:pPr>
              <w:pStyle w:val="TableText"/>
              <w:rPr>
                <w:rFonts w:cs="Arial"/>
              </w:rPr>
            </w:pPr>
            <w:r w:rsidRPr="009B7B35">
              <w:rPr>
                <w:rFonts w:cs="Arial"/>
              </w:rPr>
              <w:t>Caretaker’s accommodation is a maximum of 100m</w:t>
            </w:r>
            <w:r w:rsidRPr="009B7B35">
              <w:rPr>
                <w:rFonts w:cs="Arial"/>
                <w:vertAlign w:val="superscript"/>
              </w:rPr>
              <w:t>2</w:t>
            </w:r>
            <w:r w:rsidRPr="009B7B35">
              <w:rPr>
                <w:rFonts w:cs="Arial"/>
              </w:rPr>
              <w:t xml:space="preserve"> GFA.</w:t>
            </w:r>
          </w:p>
        </w:tc>
      </w:tr>
      <w:tr w:rsidR="00BE36FB" w:rsidRPr="009B7B35" w14:paraId="5D54078F" w14:textId="77777777" w:rsidTr="001A7107">
        <w:trPr>
          <w:cantSplit/>
        </w:trPr>
        <w:tc>
          <w:tcPr>
            <w:tcW w:w="4678" w:type="dxa"/>
            <w:vMerge/>
          </w:tcPr>
          <w:p w14:paraId="603BEFC0" w14:textId="77777777" w:rsidR="00BE36FB" w:rsidRPr="009B7B35" w:rsidRDefault="00BE36FB" w:rsidP="001A7107">
            <w:pPr>
              <w:pStyle w:val="TableText"/>
              <w:rPr>
                <w:rFonts w:cs="Arial"/>
              </w:rPr>
            </w:pPr>
          </w:p>
        </w:tc>
        <w:tc>
          <w:tcPr>
            <w:tcW w:w="4678" w:type="dxa"/>
          </w:tcPr>
          <w:p w14:paraId="76697B47" w14:textId="77777777" w:rsidR="00BE36FB" w:rsidRPr="009B7B35" w:rsidRDefault="00BE36FB" w:rsidP="001A7107">
            <w:pPr>
              <w:pStyle w:val="TableText"/>
              <w:rPr>
                <w:rFonts w:cs="Arial"/>
                <w:b/>
                <w:bCs/>
              </w:rPr>
            </w:pPr>
            <w:r w:rsidRPr="009B7B35">
              <w:rPr>
                <w:rFonts w:cs="Arial"/>
                <w:b/>
                <w:bCs/>
              </w:rPr>
              <w:t>AO1.3</w:t>
            </w:r>
          </w:p>
          <w:p w14:paraId="47AB4D86" w14:textId="77777777" w:rsidR="00BE36FB" w:rsidRPr="009B7B35" w:rsidRDefault="00BE36FB" w:rsidP="001A7107">
            <w:pPr>
              <w:pStyle w:val="TableText"/>
              <w:rPr>
                <w:rFonts w:cs="Arial"/>
              </w:rPr>
            </w:pPr>
            <w:r w:rsidRPr="009B7B35">
              <w:rPr>
                <w:rFonts w:cs="Arial"/>
              </w:rPr>
              <w:t>Caretaker’s accommodation is:</w:t>
            </w:r>
          </w:p>
          <w:p w14:paraId="11C9FBE7" w14:textId="77777777" w:rsidR="00BE36FB" w:rsidRPr="009B7B35" w:rsidRDefault="00BE36FB" w:rsidP="00BE36FB">
            <w:pPr>
              <w:pStyle w:val="TableText"/>
              <w:numPr>
                <w:ilvl w:val="0"/>
                <w:numId w:val="594"/>
              </w:numPr>
              <w:ind w:left="485" w:hanging="485"/>
              <w:rPr>
                <w:rFonts w:cs="Arial"/>
              </w:rPr>
            </w:pPr>
            <w:r w:rsidRPr="009B7B35">
              <w:rPr>
                <w:rFonts w:cs="Arial"/>
              </w:rPr>
              <w:t>located above the ground floor level, or</w:t>
            </w:r>
          </w:p>
          <w:p w14:paraId="0CD187D1" w14:textId="77777777" w:rsidR="00BE36FB" w:rsidRPr="009B7B35" w:rsidRDefault="00BE36FB" w:rsidP="00BE36FB">
            <w:pPr>
              <w:pStyle w:val="TableText"/>
              <w:numPr>
                <w:ilvl w:val="0"/>
                <w:numId w:val="594"/>
              </w:numPr>
              <w:ind w:left="485" w:hanging="485"/>
              <w:rPr>
                <w:rFonts w:cs="Arial"/>
              </w:rPr>
            </w:pPr>
            <w:r w:rsidRPr="009B7B35">
              <w:rPr>
                <w:rFonts w:cs="Arial"/>
              </w:rPr>
              <w:t>to the rear of ground level business activities.</w:t>
            </w:r>
          </w:p>
        </w:tc>
      </w:tr>
      <w:tr w:rsidR="00BE36FB" w:rsidRPr="009B7B35" w14:paraId="779B105A" w14:textId="77777777" w:rsidTr="001A7107">
        <w:trPr>
          <w:cantSplit/>
        </w:trPr>
        <w:tc>
          <w:tcPr>
            <w:tcW w:w="4678" w:type="dxa"/>
            <w:vMerge/>
          </w:tcPr>
          <w:p w14:paraId="7BB2E059" w14:textId="77777777" w:rsidR="00BE36FB" w:rsidRPr="009B7B35" w:rsidRDefault="00BE36FB" w:rsidP="001A7107">
            <w:pPr>
              <w:pStyle w:val="TableText"/>
              <w:rPr>
                <w:rFonts w:cs="Arial"/>
              </w:rPr>
            </w:pPr>
          </w:p>
        </w:tc>
        <w:tc>
          <w:tcPr>
            <w:tcW w:w="4678" w:type="dxa"/>
          </w:tcPr>
          <w:p w14:paraId="1855A9A6" w14:textId="77777777" w:rsidR="00BE36FB" w:rsidRPr="009B7B35" w:rsidRDefault="00BE36FB" w:rsidP="001A7107">
            <w:pPr>
              <w:pStyle w:val="TableText"/>
              <w:rPr>
                <w:rFonts w:cs="Arial"/>
                <w:b/>
                <w:bCs/>
              </w:rPr>
            </w:pPr>
            <w:r w:rsidRPr="009B7B35">
              <w:rPr>
                <w:rFonts w:cs="Arial"/>
                <w:b/>
                <w:bCs/>
              </w:rPr>
              <w:t>AO1.4</w:t>
            </w:r>
          </w:p>
          <w:p w14:paraId="295A0DC3" w14:textId="77777777" w:rsidR="00BE36FB" w:rsidRPr="009B7B35" w:rsidRDefault="00BE36FB" w:rsidP="001A7107">
            <w:pPr>
              <w:pStyle w:val="TableText"/>
              <w:rPr>
                <w:rFonts w:cs="Arial"/>
              </w:rPr>
            </w:pPr>
            <w:r w:rsidRPr="009B7B35">
              <w:rPr>
                <w:rFonts w:cs="Arial"/>
              </w:rPr>
              <w:t>Caretaker’s accommodation is provided with a private open space area which:</w:t>
            </w:r>
          </w:p>
          <w:p w14:paraId="7ECEBE1D" w14:textId="77777777" w:rsidR="00BE36FB" w:rsidRPr="009B7B35" w:rsidRDefault="00BE36FB" w:rsidP="00BE36FB">
            <w:pPr>
              <w:pStyle w:val="TableText"/>
              <w:numPr>
                <w:ilvl w:val="0"/>
                <w:numId w:val="338"/>
              </w:numPr>
              <w:ind w:left="510" w:hanging="510"/>
              <w:rPr>
                <w:rFonts w:cs="Arial"/>
              </w:rPr>
            </w:pPr>
            <w:r w:rsidRPr="009B7B35">
              <w:rPr>
                <w:rFonts w:cs="Arial"/>
              </w:rPr>
              <w:t>is directly accessible from a habitable room, and</w:t>
            </w:r>
          </w:p>
          <w:p w14:paraId="5C605B4A" w14:textId="77777777" w:rsidR="00BE36FB" w:rsidRPr="009B7B35" w:rsidRDefault="00BE36FB" w:rsidP="00BE36FB">
            <w:pPr>
              <w:pStyle w:val="TableText"/>
              <w:numPr>
                <w:ilvl w:val="0"/>
                <w:numId w:val="338"/>
              </w:numPr>
              <w:ind w:left="510" w:hanging="510"/>
              <w:rPr>
                <w:rFonts w:cs="Arial"/>
              </w:rPr>
            </w:pPr>
            <w:r w:rsidRPr="009B7B35">
              <w:rPr>
                <w:rFonts w:cs="Arial"/>
              </w:rPr>
              <w:t>where a balcony, a verandah or a deck, has a minimum area of 15m</w:t>
            </w:r>
            <w:r w:rsidRPr="009B7B35">
              <w:rPr>
                <w:rStyle w:val="StyleSuperscript"/>
                <w:rFonts w:cs="Arial"/>
              </w:rPr>
              <w:t>2</w:t>
            </w:r>
            <w:r w:rsidRPr="009B7B35">
              <w:rPr>
                <w:rFonts w:cs="Arial"/>
              </w:rPr>
              <w:t xml:space="preserve"> with a minimum horizontal dimension of 1.25m. </w:t>
            </w:r>
          </w:p>
        </w:tc>
      </w:tr>
      <w:tr w:rsidR="00BE36FB" w:rsidRPr="009B7B35" w14:paraId="3669BDDB" w14:textId="77777777" w:rsidTr="001A7107">
        <w:trPr>
          <w:cantSplit/>
        </w:trPr>
        <w:tc>
          <w:tcPr>
            <w:tcW w:w="9356" w:type="dxa"/>
            <w:gridSpan w:val="2"/>
            <w:shd w:val="clear" w:color="auto" w:fill="BFBFBF" w:themeFill="background1" w:themeFillShade="BF"/>
          </w:tcPr>
          <w:p w14:paraId="12CF512C" w14:textId="77777777" w:rsidR="00BE36FB" w:rsidRPr="009B7B35" w:rsidRDefault="00BE36FB" w:rsidP="001A7107">
            <w:pPr>
              <w:pStyle w:val="Tableheading"/>
              <w:rPr>
                <w:rFonts w:ascii="Arial" w:hAnsi="Arial" w:cs="Arial"/>
                <w:szCs w:val="20"/>
              </w:rPr>
            </w:pPr>
            <w:r w:rsidRPr="009B7B35">
              <w:rPr>
                <w:rFonts w:ascii="Arial" w:hAnsi="Arial" w:cs="Arial"/>
                <w:szCs w:val="20"/>
              </w:rPr>
              <w:t>Use – Dwelling unit</w:t>
            </w:r>
          </w:p>
        </w:tc>
      </w:tr>
      <w:tr w:rsidR="00BE36FB" w:rsidRPr="009B7B35" w14:paraId="13A93397" w14:textId="77777777" w:rsidTr="001A7107">
        <w:trPr>
          <w:cantSplit/>
        </w:trPr>
        <w:tc>
          <w:tcPr>
            <w:tcW w:w="4678" w:type="dxa"/>
          </w:tcPr>
          <w:p w14:paraId="11A54F3B" w14:textId="77777777" w:rsidR="00BE36FB" w:rsidRPr="009B7B35" w:rsidRDefault="00BE36FB" w:rsidP="001A7107">
            <w:pPr>
              <w:pStyle w:val="TableText"/>
              <w:rPr>
                <w:rFonts w:cs="Arial"/>
                <w:b/>
                <w:bCs/>
              </w:rPr>
            </w:pPr>
            <w:r w:rsidRPr="009B7B35">
              <w:rPr>
                <w:rFonts w:cs="Arial"/>
                <w:b/>
                <w:bCs/>
              </w:rPr>
              <w:t>PO2</w:t>
            </w:r>
          </w:p>
          <w:p w14:paraId="0DDD47A7" w14:textId="77777777" w:rsidR="00BE36FB" w:rsidRPr="009B7B35" w:rsidRDefault="00BE36FB" w:rsidP="001A7107">
            <w:pPr>
              <w:pStyle w:val="TableText"/>
              <w:rPr>
                <w:rFonts w:cs="Arial"/>
              </w:rPr>
            </w:pPr>
            <w:r w:rsidRPr="009B7B35">
              <w:rPr>
                <w:rFonts w:cs="Arial"/>
              </w:rPr>
              <w:t>Development does not compromise ground level business activities being established.</w:t>
            </w:r>
          </w:p>
        </w:tc>
        <w:tc>
          <w:tcPr>
            <w:tcW w:w="4678" w:type="dxa"/>
          </w:tcPr>
          <w:p w14:paraId="7D129480" w14:textId="77777777" w:rsidR="00BE36FB" w:rsidRPr="009B7B35" w:rsidRDefault="00BE36FB" w:rsidP="001A7107">
            <w:pPr>
              <w:pStyle w:val="TableText"/>
              <w:rPr>
                <w:rFonts w:cs="Arial"/>
                <w:b/>
                <w:bCs/>
              </w:rPr>
            </w:pPr>
            <w:r w:rsidRPr="009B7B35">
              <w:rPr>
                <w:rFonts w:cs="Arial"/>
                <w:b/>
                <w:bCs/>
              </w:rPr>
              <w:t>AO2</w:t>
            </w:r>
          </w:p>
          <w:p w14:paraId="4CD7F39A" w14:textId="77777777" w:rsidR="00BE36FB" w:rsidRPr="009B7B35" w:rsidRDefault="00BE36FB" w:rsidP="001A7107">
            <w:pPr>
              <w:pStyle w:val="TableText"/>
              <w:rPr>
                <w:rFonts w:cs="Arial"/>
              </w:rPr>
            </w:pPr>
            <w:r w:rsidRPr="009B7B35">
              <w:rPr>
                <w:rFonts w:cs="Arial"/>
              </w:rPr>
              <w:t>Development units are located either above the ground floor level, or to the rear of ground level business activities.</w:t>
            </w:r>
          </w:p>
        </w:tc>
      </w:tr>
      <w:tr w:rsidR="00BE36FB" w:rsidRPr="009B7B35" w14:paraId="36FF4096" w14:textId="77777777" w:rsidTr="001A7107">
        <w:trPr>
          <w:cantSplit/>
        </w:trPr>
        <w:tc>
          <w:tcPr>
            <w:tcW w:w="4678" w:type="dxa"/>
          </w:tcPr>
          <w:p w14:paraId="5D2CD6C2" w14:textId="77777777" w:rsidR="00BE36FB" w:rsidRPr="009B7B35" w:rsidRDefault="00BE36FB" w:rsidP="001A7107">
            <w:pPr>
              <w:pStyle w:val="TableText"/>
              <w:rPr>
                <w:rFonts w:cs="Arial"/>
                <w:b/>
                <w:bCs/>
              </w:rPr>
            </w:pPr>
            <w:r w:rsidRPr="009B7B35">
              <w:rPr>
                <w:rFonts w:cs="Arial"/>
                <w:b/>
                <w:bCs/>
              </w:rPr>
              <w:t>PO3</w:t>
            </w:r>
          </w:p>
          <w:p w14:paraId="1C37C571" w14:textId="77777777" w:rsidR="00BE36FB" w:rsidRPr="009B7B35" w:rsidRDefault="00BE36FB">
            <w:pPr>
              <w:pStyle w:val="TableText"/>
              <w:rPr>
                <w:rFonts w:cs="Arial"/>
              </w:rPr>
            </w:pPr>
            <w:r w:rsidRPr="009B7B35">
              <w:rPr>
                <w:rFonts w:cs="Arial"/>
              </w:rPr>
              <w:t>Development must provide sufficient and accessible open space for residents' needs.</w:t>
            </w:r>
          </w:p>
        </w:tc>
        <w:tc>
          <w:tcPr>
            <w:tcW w:w="4678" w:type="dxa"/>
          </w:tcPr>
          <w:p w14:paraId="229E4849" w14:textId="77777777" w:rsidR="00BE36FB" w:rsidRPr="009B7B35" w:rsidRDefault="00BE36FB" w:rsidP="001A7107">
            <w:pPr>
              <w:pStyle w:val="TableText"/>
              <w:rPr>
                <w:rFonts w:cs="Arial"/>
                <w:b/>
                <w:bCs/>
              </w:rPr>
            </w:pPr>
            <w:r w:rsidRPr="009B7B35">
              <w:rPr>
                <w:rFonts w:cs="Arial"/>
                <w:b/>
                <w:bCs/>
              </w:rPr>
              <w:t>AO3</w:t>
            </w:r>
          </w:p>
          <w:p w14:paraId="2D47CFE5" w14:textId="77777777" w:rsidR="00BE36FB" w:rsidRPr="009B7B35" w:rsidRDefault="00BE36FB" w:rsidP="001A7107">
            <w:pPr>
              <w:pStyle w:val="TableText"/>
              <w:rPr>
                <w:rFonts w:cs="Arial"/>
              </w:rPr>
            </w:pPr>
            <w:r w:rsidRPr="009B7B35">
              <w:rPr>
                <w:rFonts w:cs="Arial"/>
              </w:rPr>
              <w:t>Development provides a minimum of 16m</w:t>
            </w:r>
            <w:r w:rsidRPr="009B7B35">
              <w:rPr>
                <w:rFonts w:cs="Arial"/>
                <w:vertAlign w:val="superscript"/>
              </w:rPr>
              <w:t>2</w:t>
            </w:r>
            <w:r w:rsidRPr="009B7B35">
              <w:rPr>
                <w:rFonts w:cs="Arial"/>
              </w:rPr>
              <w:t xml:space="preserve"> private open space for each dwelling with a minimum horizontal dimension of 3m in any direction.</w:t>
            </w:r>
          </w:p>
        </w:tc>
      </w:tr>
      <w:tr w:rsidR="00BE36FB" w:rsidRPr="009B7B35" w14:paraId="12A0BA21" w14:textId="77777777" w:rsidTr="001A7107">
        <w:trPr>
          <w:cantSplit/>
        </w:trPr>
        <w:tc>
          <w:tcPr>
            <w:tcW w:w="9356" w:type="dxa"/>
            <w:gridSpan w:val="2"/>
            <w:shd w:val="clear" w:color="auto" w:fill="BFBFBF" w:themeFill="background1" w:themeFillShade="BF"/>
          </w:tcPr>
          <w:p w14:paraId="795D7D66" w14:textId="77777777" w:rsidR="00BE36FB" w:rsidRPr="009B7B35" w:rsidRDefault="00BE36FB" w:rsidP="001A7107">
            <w:pPr>
              <w:pStyle w:val="Tableheading"/>
              <w:rPr>
                <w:rFonts w:ascii="Arial" w:hAnsi="Arial" w:cs="Arial"/>
                <w:szCs w:val="20"/>
              </w:rPr>
            </w:pPr>
            <w:r w:rsidRPr="009B7B35">
              <w:rPr>
                <w:rFonts w:ascii="Arial" w:hAnsi="Arial" w:cs="Arial"/>
                <w:szCs w:val="20"/>
              </w:rPr>
              <w:t>Building height (if involving building work)</w:t>
            </w:r>
          </w:p>
        </w:tc>
      </w:tr>
      <w:tr w:rsidR="00BE36FB" w:rsidRPr="009B7B35" w14:paraId="3BD6E548" w14:textId="77777777" w:rsidTr="001A7107">
        <w:trPr>
          <w:cantSplit/>
        </w:trPr>
        <w:tc>
          <w:tcPr>
            <w:tcW w:w="4678" w:type="dxa"/>
          </w:tcPr>
          <w:p w14:paraId="3B113212" w14:textId="77777777" w:rsidR="00BE36FB" w:rsidRPr="009B7B35" w:rsidRDefault="00BE36FB" w:rsidP="001A7107">
            <w:pPr>
              <w:pStyle w:val="TableText"/>
              <w:rPr>
                <w:rFonts w:cs="Arial"/>
                <w:b/>
                <w:bCs/>
              </w:rPr>
            </w:pPr>
            <w:r w:rsidRPr="009B7B35">
              <w:rPr>
                <w:rFonts w:cs="Arial"/>
                <w:b/>
                <w:bCs/>
              </w:rPr>
              <w:t>PO4</w:t>
            </w:r>
          </w:p>
          <w:p w14:paraId="1DBAAB37" w14:textId="77777777" w:rsidR="00BE36FB" w:rsidRPr="009B7B35" w:rsidRDefault="00BE36FB" w:rsidP="001A7107">
            <w:pPr>
              <w:pStyle w:val="TableText"/>
              <w:rPr>
                <w:rFonts w:cs="Arial"/>
              </w:rPr>
            </w:pPr>
            <w:r w:rsidRPr="009B7B35">
              <w:rPr>
                <w:rFonts w:cs="Arial"/>
              </w:rPr>
              <w:t>Building height is consistent with the intended character of the specialised centre and surroundings.</w:t>
            </w:r>
          </w:p>
        </w:tc>
        <w:tc>
          <w:tcPr>
            <w:tcW w:w="4678" w:type="dxa"/>
          </w:tcPr>
          <w:p w14:paraId="1D472C2F" w14:textId="77777777" w:rsidR="00BE36FB" w:rsidRPr="009B7B35" w:rsidRDefault="00BE36FB" w:rsidP="001A7107">
            <w:pPr>
              <w:pStyle w:val="TableText"/>
              <w:rPr>
                <w:rFonts w:cs="Arial"/>
                <w:b/>
                <w:bCs/>
              </w:rPr>
            </w:pPr>
            <w:r w:rsidRPr="009B7B35">
              <w:rPr>
                <w:rFonts w:cs="Arial"/>
                <w:b/>
                <w:bCs/>
              </w:rPr>
              <w:t>AO4</w:t>
            </w:r>
          </w:p>
          <w:p w14:paraId="4E76BA53" w14:textId="77777777" w:rsidR="00BE36FB" w:rsidRPr="009B7B35" w:rsidRDefault="00BE36FB" w:rsidP="001A7107">
            <w:pPr>
              <w:pStyle w:val="TableText"/>
              <w:rPr>
                <w:rFonts w:cs="Arial"/>
              </w:rPr>
            </w:pPr>
            <w:r w:rsidRPr="009B7B35">
              <w:rPr>
                <w:rFonts w:cs="Arial"/>
              </w:rPr>
              <w:t>Building height does not exceed 12m.</w:t>
            </w:r>
          </w:p>
        </w:tc>
      </w:tr>
      <w:tr w:rsidR="00BE36FB" w:rsidRPr="009B7B35" w14:paraId="748F17BE" w14:textId="77777777" w:rsidTr="001A7107">
        <w:trPr>
          <w:cantSplit/>
        </w:trPr>
        <w:tc>
          <w:tcPr>
            <w:tcW w:w="9356" w:type="dxa"/>
            <w:gridSpan w:val="2"/>
            <w:shd w:val="clear" w:color="auto" w:fill="BFBFBF" w:themeFill="background1" w:themeFillShade="BF"/>
          </w:tcPr>
          <w:p w14:paraId="3E26E0E9" w14:textId="77777777" w:rsidR="00BE36FB" w:rsidRPr="009B7B35" w:rsidRDefault="00BE36FB" w:rsidP="001A7107">
            <w:pPr>
              <w:pStyle w:val="Tableheading"/>
              <w:rPr>
                <w:rFonts w:ascii="Arial" w:hAnsi="Arial" w:cs="Arial"/>
                <w:szCs w:val="20"/>
              </w:rPr>
            </w:pPr>
            <w:r w:rsidRPr="009B7B35">
              <w:rPr>
                <w:rFonts w:ascii="Arial" w:hAnsi="Arial" w:cs="Arial"/>
                <w:szCs w:val="20"/>
              </w:rPr>
              <w:t>If in the Clinton precinct</w:t>
            </w:r>
          </w:p>
        </w:tc>
      </w:tr>
      <w:tr w:rsidR="00BE36FB" w:rsidRPr="009B7B35" w14:paraId="46AB5AF6" w14:textId="77777777" w:rsidTr="001A7107">
        <w:trPr>
          <w:cantSplit/>
        </w:trPr>
        <w:tc>
          <w:tcPr>
            <w:tcW w:w="4678" w:type="dxa"/>
          </w:tcPr>
          <w:p w14:paraId="308ED0B5" w14:textId="77777777" w:rsidR="00BE36FB" w:rsidRPr="009B7B35" w:rsidRDefault="00BE36FB" w:rsidP="001A7107">
            <w:pPr>
              <w:pStyle w:val="TableText"/>
              <w:rPr>
                <w:rFonts w:cs="Arial"/>
                <w:b/>
                <w:bCs/>
              </w:rPr>
            </w:pPr>
            <w:r w:rsidRPr="009B7B35">
              <w:rPr>
                <w:rFonts w:cs="Arial"/>
                <w:b/>
                <w:bCs/>
              </w:rPr>
              <w:t>PO5</w:t>
            </w:r>
          </w:p>
          <w:p w14:paraId="71E96CD1" w14:textId="77777777" w:rsidR="00BE36FB" w:rsidRPr="009B7B35" w:rsidRDefault="00BE36FB">
            <w:pPr>
              <w:pStyle w:val="TableText"/>
              <w:rPr>
                <w:rFonts w:cs="Arial"/>
              </w:rPr>
            </w:pPr>
            <w:r w:rsidRPr="009B7B35">
              <w:rPr>
                <w:rFonts w:cs="Arial"/>
              </w:rPr>
              <w:t xml:space="preserve">Retail development: </w:t>
            </w:r>
          </w:p>
          <w:p w14:paraId="23008F8E" w14:textId="77777777" w:rsidR="00BE36FB" w:rsidRPr="009B7B35" w:rsidRDefault="00BE36FB" w:rsidP="00BE36FB">
            <w:pPr>
              <w:pStyle w:val="TableText"/>
              <w:numPr>
                <w:ilvl w:val="0"/>
                <w:numId w:val="337"/>
              </w:numPr>
              <w:rPr>
                <w:rFonts w:cs="Arial"/>
              </w:rPr>
            </w:pPr>
            <w:r w:rsidRPr="009B7B35">
              <w:rPr>
                <w:rFonts w:cs="Arial"/>
              </w:rPr>
              <w:t>supports large format, land consumptive showroom uses</w:t>
            </w:r>
          </w:p>
          <w:p w14:paraId="678FF75A" w14:textId="77777777" w:rsidR="00BE36FB" w:rsidRPr="009B7B35" w:rsidRDefault="00BE36FB" w:rsidP="00BE36FB">
            <w:pPr>
              <w:pStyle w:val="TableText"/>
              <w:numPr>
                <w:ilvl w:val="0"/>
                <w:numId w:val="337"/>
              </w:numPr>
              <w:rPr>
                <w:rFonts w:cs="Arial"/>
              </w:rPr>
            </w:pPr>
            <w:r w:rsidRPr="009B7B35">
              <w:rPr>
                <w:rFonts w:cs="Arial"/>
              </w:rPr>
              <w:t>does not service convenience level needs, and</w:t>
            </w:r>
          </w:p>
          <w:p w14:paraId="19111D73" w14:textId="77777777" w:rsidR="00BE36FB" w:rsidRPr="009B7B35" w:rsidRDefault="00BE36FB" w:rsidP="00BE36FB">
            <w:pPr>
              <w:pStyle w:val="TableText"/>
              <w:numPr>
                <w:ilvl w:val="0"/>
                <w:numId w:val="337"/>
              </w:numPr>
              <w:rPr>
                <w:rFonts w:cs="Arial"/>
              </w:rPr>
            </w:pPr>
            <w:r w:rsidRPr="009B7B35">
              <w:rPr>
                <w:rFonts w:cs="Arial"/>
              </w:rPr>
              <w:t>does not impact on the viability of the region’s centres.</w:t>
            </w:r>
          </w:p>
        </w:tc>
        <w:tc>
          <w:tcPr>
            <w:tcW w:w="4678" w:type="dxa"/>
          </w:tcPr>
          <w:p w14:paraId="40A391E1" w14:textId="77777777" w:rsidR="00BE36FB" w:rsidRPr="009B7B35" w:rsidRDefault="00BE36FB" w:rsidP="001A7107">
            <w:pPr>
              <w:pStyle w:val="TableText"/>
              <w:rPr>
                <w:rFonts w:cs="Arial"/>
                <w:b/>
                <w:bCs/>
              </w:rPr>
            </w:pPr>
            <w:r w:rsidRPr="009B7B35">
              <w:rPr>
                <w:rFonts w:cs="Arial"/>
                <w:b/>
                <w:bCs/>
              </w:rPr>
              <w:t>AO5</w:t>
            </w:r>
          </w:p>
          <w:p w14:paraId="5E203B0E" w14:textId="77777777" w:rsidR="00BE36FB" w:rsidRPr="009B7B35" w:rsidRDefault="00BE36FB">
            <w:pPr>
              <w:pStyle w:val="TableText"/>
              <w:rPr>
                <w:rFonts w:cs="Arial"/>
              </w:rPr>
            </w:pPr>
            <w:r w:rsidRPr="009B7B35">
              <w:rPr>
                <w:rFonts w:cs="Arial"/>
              </w:rPr>
              <w:t>GFA is in accordance with the following:</w:t>
            </w:r>
          </w:p>
          <w:p w14:paraId="15866B85" w14:textId="77777777" w:rsidR="00BE36FB" w:rsidRPr="009B7B35" w:rsidRDefault="00BE36FB" w:rsidP="00BE36FB">
            <w:pPr>
              <w:pStyle w:val="TableText"/>
              <w:numPr>
                <w:ilvl w:val="0"/>
                <w:numId w:val="336"/>
              </w:numPr>
              <w:rPr>
                <w:rFonts w:cs="Arial"/>
              </w:rPr>
            </w:pPr>
            <w:r w:rsidRPr="009B7B35">
              <w:rPr>
                <w:rFonts w:cs="Arial"/>
              </w:rPr>
              <w:t>a minimum of 500m</w:t>
            </w:r>
            <w:r w:rsidRPr="009B7B35">
              <w:rPr>
                <w:rStyle w:val="StyleSuperscript"/>
                <w:rFonts w:cs="Arial"/>
              </w:rPr>
              <w:t>2</w:t>
            </w:r>
            <w:r w:rsidRPr="009B7B35">
              <w:rPr>
                <w:rFonts w:cs="Arial"/>
              </w:rPr>
              <w:t xml:space="preserve"> for shop (where not a supermarket)</w:t>
            </w:r>
          </w:p>
          <w:p w14:paraId="60D78237" w14:textId="77777777" w:rsidR="00BE36FB" w:rsidRPr="009B7B35" w:rsidRDefault="00BE36FB" w:rsidP="00BE36FB">
            <w:pPr>
              <w:pStyle w:val="TableText"/>
              <w:numPr>
                <w:ilvl w:val="0"/>
                <w:numId w:val="336"/>
              </w:numPr>
              <w:rPr>
                <w:rFonts w:cs="Arial"/>
              </w:rPr>
            </w:pPr>
            <w:r w:rsidRPr="009B7B35">
              <w:rPr>
                <w:rFonts w:cs="Arial"/>
              </w:rPr>
              <w:t>a maximum of 100m</w:t>
            </w:r>
            <w:r w:rsidRPr="009B7B35">
              <w:rPr>
                <w:rStyle w:val="StyleSuperscript"/>
                <w:rFonts w:cs="Arial"/>
              </w:rPr>
              <w:t>2</w:t>
            </w:r>
            <w:r w:rsidRPr="009B7B35">
              <w:rPr>
                <w:rFonts w:cs="Arial"/>
              </w:rPr>
              <w:t xml:space="preserve"> for food and drink outlet.</w:t>
            </w:r>
          </w:p>
        </w:tc>
      </w:tr>
      <w:tr w:rsidR="00BE36FB" w:rsidRPr="009B7B35" w14:paraId="00FC4B6C" w14:textId="77777777" w:rsidTr="001A7107">
        <w:trPr>
          <w:cantSplit/>
        </w:trPr>
        <w:tc>
          <w:tcPr>
            <w:tcW w:w="9356" w:type="dxa"/>
            <w:gridSpan w:val="2"/>
            <w:shd w:val="clear" w:color="auto" w:fill="BFBFBF" w:themeFill="background1" w:themeFillShade="BF"/>
          </w:tcPr>
          <w:p w14:paraId="36CD672F" w14:textId="77777777" w:rsidR="00BE36FB" w:rsidRPr="009B7B35" w:rsidRDefault="00BE36FB" w:rsidP="001A7107">
            <w:pPr>
              <w:pStyle w:val="Tableheading"/>
              <w:rPr>
                <w:rFonts w:ascii="Arial" w:hAnsi="Arial" w:cs="Arial"/>
                <w:szCs w:val="20"/>
              </w:rPr>
            </w:pPr>
            <w:r w:rsidRPr="009B7B35">
              <w:rPr>
                <w:rFonts w:ascii="Arial" w:hAnsi="Arial" w:cs="Arial"/>
                <w:szCs w:val="20"/>
              </w:rPr>
              <w:t>If in the Central Gladstone or Toolooa Street east precincts</w:t>
            </w:r>
          </w:p>
        </w:tc>
      </w:tr>
      <w:tr w:rsidR="00BE36FB" w:rsidRPr="009B7B35" w14:paraId="18C021AD" w14:textId="77777777" w:rsidTr="001A7107">
        <w:trPr>
          <w:cantSplit/>
        </w:trPr>
        <w:tc>
          <w:tcPr>
            <w:tcW w:w="4678" w:type="dxa"/>
          </w:tcPr>
          <w:p w14:paraId="69E61D70" w14:textId="77777777" w:rsidR="00BE36FB" w:rsidRPr="009B7B35" w:rsidRDefault="00BE36FB" w:rsidP="001A7107">
            <w:pPr>
              <w:pStyle w:val="TableText"/>
              <w:rPr>
                <w:rFonts w:cs="Arial"/>
                <w:b/>
                <w:bCs/>
              </w:rPr>
            </w:pPr>
            <w:r w:rsidRPr="009B7B35">
              <w:rPr>
                <w:rFonts w:cs="Arial"/>
                <w:b/>
                <w:bCs/>
              </w:rPr>
              <w:t>PO6</w:t>
            </w:r>
          </w:p>
          <w:p w14:paraId="3C043C2A" w14:textId="77777777" w:rsidR="00BE36FB" w:rsidRPr="009B7B35" w:rsidRDefault="00BE36FB">
            <w:pPr>
              <w:pStyle w:val="TableText"/>
              <w:rPr>
                <w:rFonts w:cs="Arial"/>
              </w:rPr>
            </w:pPr>
            <w:r w:rsidRPr="009B7B35">
              <w:rPr>
                <w:rFonts w:cs="Arial"/>
              </w:rPr>
              <w:t xml:space="preserve">Retail or office development does not: </w:t>
            </w:r>
          </w:p>
          <w:p w14:paraId="0984DA79" w14:textId="77777777" w:rsidR="00BE36FB" w:rsidRPr="009B7B35" w:rsidRDefault="00BE36FB" w:rsidP="00BE36FB">
            <w:pPr>
              <w:pStyle w:val="TableText"/>
              <w:numPr>
                <w:ilvl w:val="0"/>
                <w:numId w:val="335"/>
              </w:numPr>
              <w:ind w:left="510" w:hanging="510"/>
              <w:rPr>
                <w:rFonts w:cs="Arial"/>
              </w:rPr>
            </w:pPr>
            <w:r w:rsidRPr="009B7B35">
              <w:rPr>
                <w:rFonts w:cs="Arial"/>
              </w:rPr>
              <w:t>impact on the viability of the region’s specialised centres, and</w:t>
            </w:r>
          </w:p>
          <w:p w14:paraId="48BE04CF" w14:textId="77777777" w:rsidR="00BE36FB" w:rsidRPr="009B7B35" w:rsidRDefault="00BE36FB" w:rsidP="00BE36FB">
            <w:pPr>
              <w:pStyle w:val="TableText"/>
              <w:numPr>
                <w:ilvl w:val="0"/>
                <w:numId w:val="335"/>
              </w:numPr>
              <w:ind w:left="510" w:hanging="510"/>
              <w:rPr>
                <w:rFonts w:cs="Arial"/>
              </w:rPr>
            </w:pPr>
            <w:r w:rsidRPr="009B7B35">
              <w:rPr>
                <w:rFonts w:cs="Arial"/>
              </w:rPr>
              <w:t>does not compromise the use of land for specialised centre purposes.</w:t>
            </w:r>
          </w:p>
        </w:tc>
        <w:tc>
          <w:tcPr>
            <w:tcW w:w="4678" w:type="dxa"/>
          </w:tcPr>
          <w:p w14:paraId="3CCB6386" w14:textId="77777777" w:rsidR="00BE36FB" w:rsidRPr="009B7B35" w:rsidRDefault="00BE36FB" w:rsidP="001A7107">
            <w:pPr>
              <w:pStyle w:val="TableText"/>
              <w:rPr>
                <w:rFonts w:cs="Arial"/>
                <w:b/>
                <w:bCs/>
              </w:rPr>
            </w:pPr>
            <w:r w:rsidRPr="009B7B35">
              <w:rPr>
                <w:rFonts w:cs="Arial"/>
                <w:b/>
                <w:bCs/>
              </w:rPr>
              <w:t>AO6</w:t>
            </w:r>
          </w:p>
          <w:p w14:paraId="61B5DBDA" w14:textId="77777777" w:rsidR="00BE36FB" w:rsidRPr="009B7B35" w:rsidRDefault="00BE36FB" w:rsidP="001A7107">
            <w:pPr>
              <w:pStyle w:val="TableText"/>
              <w:rPr>
                <w:rFonts w:cs="Arial"/>
              </w:rPr>
            </w:pPr>
            <w:r w:rsidRPr="009B7B35">
              <w:rPr>
                <w:rFonts w:cs="Arial"/>
              </w:rPr>
              <w:t>GFA for Shop or Office is a maximum of 250m</w:t>
            </w:r>
            <w:r w:rsidRPr="009B7B35">
              <w:rPr>
                <w:rFonts w:cs="Arial"/>
                <w:vertAlign w:val="superscript"/>
              </w:rPr>
              <w:t>2</w:t>
            </w:r>
            <w:r w:rsidRPr="009B7B35">
              <w:rPr>
                <w:rFonts w:cs="Arial"/>
              </w:rPr>
              <w:t xml:space="preserve">. </w:t>
            </w:r>
          </w:p>
        </w:tc>
      </w:tr>
      <w:tr w:rsidR="00BE36FB" w:rsidRPr="009B7B35" w14:paraId="1935350B" w14:textId="77777777" w:rsidTr="001A7107">
        <w:trPr>
          <w:cantSplit/>
        </w:trPr>
        <w:tc>
          <w:tcPr>
            <w:tcW w:w="9356" w:type="dxa"/>
            <w:gridSpan w:val="2"/>
          </w:tcPr>
          <w:p w14:paraId="1DD89768"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312D6634" w14:textId="77777777" w:rsidTr="001A7107">
        <w:trPr>
          <w:cantSplit/>
        </w:trPr>
        <w:tc>
          <w:tcPr>
            <w:tcW w:w="9356" w:type="dxa"/>
            <w:gridSpan w:val="2"/>
            <w:shd w:val="clear" w:color="auto" w:fill="BFBFBF" w:themeFill="background1" w:themeFillShade="BF"/>
          </w:tcPr>
          <w:p w14:paraId="2940ACAE" w14:textId="77777777" w:rsidR="00BE36FB" w:rsidRPr="009B7B35" w:rsidRDefault="00BE36FB" w:rsidP="001A7107">
            <w:pPr>
              <w:pStyle w:val="Tableheading"/>
              <w:rPr>
                <w:rFonts w:ascii="Arial" w:hAnsi="Arial" w:cs="Arial"/>
                <w:szCs w:val="20"/>
              </w:rPr>
            </w:pPr>
            <w:r w:rsidRPr="009B7B35">
              <w:rPr>
                <w:rFonts w:ascii="Arial" w:hAnsi="Arial" w:cs="Arial"/>
                <w:szCs w:val="20"/>
              </w:rPr>
              <w:t>Use, scale and tenancy mix</w:t>
            </w:r>
          </w:p>
        </w:tc>
      </w:tr>
      <w:tr w:rsidR="00BE36FB" w:rsidRPr="009B7B35" w14:paraId="4B8A6D28" w14:textId="77777777" w:rsidTr="001A7107">
        <w:trPr>
          <w:cantSplit/>
        </w:trPr>
        <w:tc>
          <w:tcPr>
            <w:tcW w:w="4678" w:type="dxa"/>
          </w:tcPr>
          <w:p w14:paraId="35B6AE4F" w14:textId="77777777" w:rsidR="00BE36FB" w:rsidRPr="009B7B35" w:rsidRDefault="00BE36FB" w:rsidP="001A7107">
            <w:pPr>
              <w:pStyle w:val="TableText"/>
              <w:rPr>
                <w:rFonts w:cs="Arial"/>
                <w:b/>
                <w:bCs/>
              </w:rPr>
            </w:pPr>
            <w:r w:rsidRPr="009B7B35">
              <w:rPr>
                <w:rFonts w:cs="Arial"/>
                <w:b/>
                <w:bCs/>
              </w:rPr>
              <w:t>PO7</w:t>
            </w:r>
          </w:p>
          <w:p w14:paraId="3C49E93C" w14:textId="77777777" w:rsidR="00BE36FB" w:rsidRPr="009B7B35" w:rsidRDefault="00BE36FB" w:rsidP="001A7107">
            <w:pPr>
              <w:pStyle w:val="TableText"/>
              <w:rPr>
                <w:rFonts w:cs="Arial"/>
              </w:rPr>
            </w:pPr>
            <w:r w:rsidRPr="009B7B35">
              <w:rPr>
                <w:rFonts w:cs="Arial"/>
              </w:rPr>
              <w:t>Development:</w:t>
            </w:r>
          </w:p>
          <w:p w14:paraId="7A858925" w14:textId="77777777" w:rsidR="00BE36FB" w:rsidRPr="009B7B35" w:rsidRDefault="00BE36FB" w:rsidP="00BE36FB">
            <w:pPr>
              <w:pStyle w:val="TableText"/>
              <w:numPr>
                <w:ilvl w:val="0"/>
                <w:numId w:val="334"/>
              </w:numPr>
              <w:ind w:left="510" w:hanging="510"/>
              <w:rPr>
                <w:rFonts w:cs="Arial"/>
              </w:rPr>
            </w:pPr>
            <w:r w:rsidRPr="009B7B35">
              <w:rPr>
                <w:rFonts w:cs="Arial"/>
              </w:rPr>
              <w:t>provides for, or supports, specialised centre uses that are not appropriate in other centres</w:t>
            </w:r>
          </w:p>
          <w:p w14:paraId="6FEB5549" w14:textId="77777777" w:rsidR="00BE36FB" w:rsidRPr="009B7B35" w:rsidRDefault="00BE36FB" w:rsidP="00BE36FB">
            <w:pPr>
              <w:pStyle w:val="TableText"/>
              <w:numPr>
                <w:ilvl w:val="0"/>
                <w:numId w:val="334"/>
              </w:numPr>
              <w:ind w:left="510" w:hanging="510"/>
              <w:rPr>
                <w:rFonts w:cs="Arial"/>
              </w:rPr>
            </w:pPr>
            <w:r w:rsidRPr="009B7B35">
              <w:rPr>
                <w:rFonts w:cs="Arial"/>
              </w:rPr>
              <w:t>is of a size and scale that meets the needs of the community, and</w:t>
            </w:r>
          </w:p>
          <w:p w14:paraId="3233D3AC" w14:textId="77777777" w:rsidR="00BE36FB" w:rsidRPr="009B7B35" w:rsidRDefault="00BE36FB" w:rsidP="00BE36FB">
            <w:pPr>
              <w:pStyle w:val="TableText"/>
              <w:numPr>
                <w:ilvl w:val="0"/>
                <w:numId w:val="334"/>
              </w:numPr>
              <w:ind w:left="510" w:hanging="510"/>
              <w:rPr>
                <w:rFonts w:cs="Arial"/>
              </w:rPr>
            </w:pPr>
            <w:r w:rsidRPr="009B7B35">
              <w:rPr>
                <w:rFonts w:cs="Arial"/>
              </w:rPr>
              <w:t>does not impact on the viability of other centres in the region.</w:t>
            </w:r>
          </w:p>
        </w:tc>
        <w:tc>
          <w:tcPr>
            <w:tcW w:w="4678" w:type="dxa"/>
          </w:tcPr>
          <w:p w14:paraId="094C3498"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1462588" w14:textId="77777777" w:rsidTr="001A7107">
        <w:trPr>
          <w:cantSplit/>
        </w:trPr>
        <w:tc>
          <w:tcPr>
            <w:tcW w:w="9356" w:type="dxa"/>
            <w:gridSpan w:val="2"/>
            <w:shd w:val="clear" w:color="auto" w:fill="BFBFBF" w:themeFill="background1" w:themeFillShade="BF"/>
          </w:tcPr>
          <w:p w14:paraId="188A6B61" w14:textId="77777777" w:rsidR="00BE36FB" w:rsidRPr="009B7B35" w:rsidRDefault="00BE36FB" w:rsidP="001A7107">
            <w:pPr>
              <w:pStyle w:val="Tableheading"/>
              <w:rPr>
                <w:rFonts w:ascii="Arial" w:hAnsi="Arial" w:cs="Arial"/>
                <w:szCs w:val="20"/>
              </w:rPr>
            </w:pPr>
            <w:r w:rsidRPr="009B7B35">
              <w:rPr>
                <w:rFonts w:ascii="Arial" w:hAnsi="Arial" w:cs="Arial"/>
                <w:szCs w:val="20"/>
              </w:rPr>
              <w:t>Centre design</w:t>
            </w:r>
          </w:p>
        </w:tc>
      </w:tr>
      <w:tr w:rsidR="00BE36FB" w:rsidRPr="009B7B35" w14:paraId="53A7A971" w14:textId="77777777" w:rsidTr="001A7107">
        <w:trPr>
          <w:cantSplit/>
        </w:trPr>
        <w:tc>
          <w:tcPr>
            <w:tcW w:w="4678" w:type="dxa"/>
          </w:tcPr>
          <w:p w14:paraId="4B1A9C36" w14:textId="77777777" w:rsidR="00BE36FB" w:rsidRPr="009B7B35" w:rsidRDefault="00BE36FB" w:rsidP="001A7107">
            <w:pPr>
              <w:pStyle w:val="TableText"/>
              <w:rPr>
                <w:rFonts w:cs="Arial"/>
                <w:b/>
                <w:bCs/>
              </w:rPr>
            </w:pPr>
            <w:r w:rsidRPr="009B7B35">
              <w:rPr>
                <w:rFonts w:cs="Arial"/>
                <w:b/>
                <w:bCs/>
              </w:rPr>
              <w:t>PO8</w:t>
            </w:r>
          </w:p>
          <w:p w14:paraId="56E79A3C" w14:textId="77777777" w:rsidR="00BE36FB" w:rsidRPr="009B7B35" w:rsidRDefault="00BE36FB">
            <w:pPr>
              <w:pStyle w:val="TableText"/>
              <w:rPr>
                <w:rFonts w:cs="Arial"/>
              </w:rPr>
            </w:pPr>
            <w:r w:rsidRPr="009B7B35">
              <w:rPr>
                <w:rFonts w:cs="Arial"/>
              </w:rPr>
              <w:t>Development:</w:t>
            </w:r>
          </w:p>
          <w:p w14:paraId="0E14C8BD" w14:textId="77777777" w:rsidR="00BE36FB" w:rsidRPr="009B7B35" w:rsidRDefault="00BE36FB" w:rsidP="00BE36FB">
            <w:pPr>
              <w:pStyle w:val="TableText"/>
              <w:numPr>
                <w:ilvl w:val="0"/>
                <w:numId w:val="333"/>
              </w:numPr>
              <w:rPr>
                <w:rFonts w:cs="Arial"/>
              </w:rPr>
            </w:pPr>
            <w:r w:rsidRPr="009B7B35">
              <w:rPr>
                <w:rFonts w:cs="Arial"/>
              </w:rPr>
              <w:t>is proportionate to the size of the site</w:t>
            </w:r>
          </w:p>
          <w:p w14:paraId="4E65C570" w14:textId="77777777" w:rsidR="00BE36FB" w:rsidRPr="009B7B35" w:rsidRDefault="00BE36FB" w:rsidP="00BE36FB">
            <w:pPr>
              <w:pStyle w:val="TableText"/>
              <w:numPr>
                <w:ilvl w:val="0"/>
                <w:numId w:val="333"/>
              </w:numPr>
              <w:rPr>
                <w:rFonts w:cs="Arial"/>
              </w:rPr>
            </w:pPr>
            <w:r w:rsidRPr="009B7B35">
              <w:rPr>
                <w:rFonts w:cs="Arial"/>
              </w:rPr>
              <w:t>maintains and enhances the existing streetscape</w:t>
            </w:r>
          </w:p>
          <w:p w14:paraId="31543E2B" w14:textId="77777777" w:rsidR="00BE36FB" w:rsidRPr="009B7B35" w:rsidRDefault="00BE36FB" w:rsidP="00BE36FB">
            <w:pPr>
              <w:pStyle w:val="TableText"/>
              <w:numPr>
                <w:ilvl w:val="0"/>
                <w:numId w:val="333"/>
              </w:numPr>
              <w:rPr>
                <w:rFonts w:cs="Arial"/>
              </w:rPr>
            </w:pPr>
            <w:r w:rsidRPr="009B7B35">
              <w:rPr>
                <w:rFonts w:cs="Arial"/>
              </w:rPr>
              <w:t>protects adjacent amenity</w:t>
            </w:r>
          </w:p>
          <w:p w14:paraId="07E1C15B" w14:textId="77777777" w:rsidR="00BE36FB" w:rsidRPr="009B7B35" w:rsidRDefault="00BE36FB" w:rsidP="00BE36FB">
            <w:pPr>
              <w:pStyle w:val="TableText"/>
              <w:numPr>
                <w:ilvl w:val="0"/>
                <w:numId w:val="333"/>
              </w:numPr>
              <w:rPr>
                <w:rFonts w:cs="Arial"/>
              </w:rPr>
            </w:pPr>
            <w:r w:rsidRPr="009B7B35">
              <w:rPr>
                <w:rFonts w:cs="Arial"/>
              </w:rPr>
              <w:t>maintains appropriate levels of light and solar penetration, air circulation, and privacy for adjoining properties</w:t>
            </w:r>
          </w:p>
          <w:p w14:paraId="7AC36957" w14:textId="77777777" w:rsidR="00BE36FB" w:rsidRPr="009B7B35" w:rsidRDefault="00BE36FB" w:rsidP="00BE36FB">
            <w:pPr>
              <w:pStyle w:val="TableText"/>
              <w:numPr>
                <w:ilvl w:val="0"/>
                <w:numId w:val="333"/>
              </w:numPr>
              <w:rPr>
                <w:rFonts w:cs="Arial"/>
              </w:rPr>
            </w:pPr>
            <w:r w:rsidRPr="009B7B35">
              <w:rPr>
                <w:rFonts w:cs="Arial"/>
              </w:rPr>
              <w:t>provides for public space and landscape areas, and</w:t>
            </w:r>
          </w:p>
          <w:p w14:paraId="35AD3208" w14:textId="77777777" w:rsidR="00BE36FB" w:rsidRPr="009B7B35" w:rsidRDefault="00BE36FB" w:rsidP="00BE36FB">
            <w:pPr>
              <w:pStyle w:val="TableText"/>
              <w:numPr>
                <w:ilvl w:val="0"/>
                <w:numId w:val="333"/>
              </w:numPr>
              <w:rPr>
                <w:rFonts w:cs="Arial"/>
              </w:rPr>
            </w:pPr>
            <w:r w:rsidRPr="009B7B35">
              <w:rPr>
                <w:rFonts w:cs="Arial"/>
              </w:rPr>
              <w:t>reduces building bulk.</w:t>
            </w:r>
          </w:p>
        </w:tc>
        <w:tc>
          <w:tcPr>
            <w:tcW w:w="4678" w:type="dxa"/>
          </w:tcPr>
          <w:p w14:paraId="50652776"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BFA5E52" w14:textId="77777777" w:rsidTr="001A7107">
        <w:tc>
          <w:tcPr>
            <w:tcW w:w="4678" w:type="dxa"/>
          </w:tcPr>
          <w:p w14:paraId="621C2A24" w14:textId="77777777" w:rsidR="00BE36FB" w:rsidRPr="009B7B35" w:rsidRDefault="00BE36FB" w:rsidP="001A7107">
            <w:pPr>
              <w:pStyle w:val="TableText"/>
              <w:rPr>
                <w:rFonts w:cs="Arial"/>
                <w:b/>
                <w:bCs/>
              </w:rPr>
            </w:pPr>
            <w:r w:rsidRPr="009B7B35">
              <w:rPr>
                <w:rFonts w:cs="Arial"/>
                <w:b/>
                <w:bCs/>
              </w:rPr>
              <w:t>PO9</w:t>
            </w:r>
          </w:p>
          <w:p w14:paraId="6D899BF7" w14:textId="77777777" w:rsidR="00BE36FB" w:rsidRPr="009B7B35" w:rsidRDefault="00BE36FB">
            <w:pPr>
              <w:pStyle w:val="TableText"/>
              <w:rPr>
                <w:rFonts w:cs="Arial"/>
              </w:rPr>
            </w:pPr>
            <w:r w:rsidRPr="009B7B35">
              <w:rPr>
                <w:rFonts w:cs="Arial"/>
              </w:rPr>
              <w:t xml:space="preserve">Buildings are designed to: </w:t>
            </w:r>
          </w:p>
          <w:p w14:paraId="53313A5B" w14:textId="77777777" w:rsidR="00BE36FB" w:rsidRPr="009B7B35" w:rsidRDefault="00BE36FB" w:rsidP="00BE36FB">
            <w:pPr>
              <w:pStyle w:val="TableText"/>
              <w:numPr>
                <w:ilvl w:val="0"/>
                <w:numId w:val="332"/>
              </w:numPr>
              <w:rPr>
                <w:rFonts w:cs="Arial"/>
              </w:rPr>
            </w:pPr>
            <w:r w:rsidRPr="009B7B35">
              <w:rPr>
                <w:rFonts w:cs="Arial"/>
              </w:rPr>
              <w:t>respect and complement the existing character of the area</w:t>
            </w:r>
          </w:p>
          <w:p w14:paraId="229896FE" w14:textId="77777777" w:rsidR="00BE36FB" w:rsidRPr="009B7B35" w:rsidRDefault="00BE36FB" w:rsidP="00BE36FB">
            <w:pPr>
              <w:pStyle w:val="TableText"/>
              <w:numPr>
                <w:ilvl w:val="0"/>
                <w:numId w:val="332"/>
              </w:numPr>
              <w:rPr>
                <w:rFonts w:cs="Arial"/>
              </w:rPr>
            </w:pPr>
            <w:r w:rsidRPr="009B7B35">
              <w:rPr>
                <w:rFonts w:cs="Arial"/>
              </w:rPr>
              <w:t>maintain an appropriate human scale</w:t>
            </w:r>
          </w:p>
          <w:p w14:paraId="52E55142" w14:textId="77777777" w:rsidR="00BE36FB" w:rsidRPr="009B7B35" w:rsidRDefault="00BE36FB" w:rsidP="00BE36FB">
            <w:pPr>
              <w:pStyle w:val="TableText"/>
              <w:numPr>
                <w:ilvl w:val="0"/>
                <w:numId w:val="332"/>
              </w:numPr>
              <w:rPr>
                <w:rFonts w:cs="Arial"/>
              </w:rPr>
            </w:pPr>
            <w:r w:rsidRPr="009B7B35">
              <w:rPr>
                <w:rFonts w:cs="Arial"/>
              </w:rPr>
              <w:t>minimise the use of highly reflective materials, and</w:t>
            </w:r>
          </w:p>
          <w:p w14:paraId="426B39A7" w14:textId="77777777" w:rsidR="00BE36FB" w:rsidRPr="009B7B35" w:rsidRDefault="00BE36FB" w:rsidP="00BE36FB">
            <w:pPr>
              <w:pStyle w:val="TableText"/>
              <w:numPr>
                <w:ilvl w:val="0"/>
                <w:numId w:val="332"/>
              </w:numPr>
              <w:rPr>
                <w:rFonts w:cs="Arial"/>
              </w:rPr>
            </w:pPr>
            <w:r w:rsidRPr="009B7B35">
              <w:rPr>
                <w:rFonts w:cs="Arial"/>
              </w:rPr>
              <w:t>respond to climatic conditions.</w:t>
            </w:r>
          </w:p>
        </w:tc>
        <w:tc>
          <w:tcPr>
            <w:tcW w:w="4678" w:type="dxa"/>
          </w:tcPr>
          <w:p w14:paraId="268F8BF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2C33849" w14:textId="77777777" w:rsidTr="001A7107">
        <w:tc>
          <w:tcPr>
            <w:tcW w:w="4678" w:type="dxa"/>
          </w:tcPr>
          <w:p w14:paraId="7F0161D4" w14:textId="77777777" w:rsidR="00BE36FB" w:rsidRPr="009B7B35" w:rsidRDefault="00BE36FB" w:rsidP="001A7107">
            <w:pPr>
              <w:pStyle w:val="TableText"/>
              <w:rPr>
                <w:rFonts w:cs="Arial"/>
                <w:b/>
                <w:bCs/>
              </w:rPr>
            </w:pPr>
            <w:r w:rsidRPr="009B7B35">
              <w:rPr>
                <w:rFonts w:cs="Arial"/>
                <w:b/>
                <w:bCs/>
              </w:rPr>
              <w:t>PO10</w:t>
            </w:r>
          </w:p>
          <w:p w14:paraId="7312ED89" w14:textId="77777777" w:rsidR="00BE36FB" w:rsidRPr="009B7B35" w:rsidRDefault="00BE36FB">
            <w:pPr>
              <w:pStyle w:val="TableText"/>
              <w:rPr>
                <w:rFonts w:cs="Arial"/>
              </w:rPr>
            </w:pPr>
            <w:r w:rsidRPr="009B7B35">
              <w:rPr>
                <w:rFonts w:cs="Arial"/>
              </w:rPr>
              <w:t>Design elements contribute to an interesting and attractive streetscape and building through:</w:t>
            </w:r>
          </w:p>
          <w:p w14:paraId="382F93C9" w14:textId="77777777" w:rsidR="00BE36FB" w:rsidRPr="009B7B35" w:rsidRDefault="00BE36FB" w:rsidP="00BE36FB">
            <w:pPr>
              <w:pStyle w:val="TableText"/>
              <w:numPr>
                <w:ilvl w:val="0"/>
                <w:numId w:val="331"/>
              </w:numPr>
              <w:ind w:left="510" w:hanging="510"/>
              <w:rPr>
                <w:rFonts w:cs="Arial"/>
              </w:rPr>
            </w:pPr>
            <w:r w:rsidRPr="009B7B35">
              <w:rPr>
                <w:rFonts w:cs="Arial"/>
              </w:rPr>
              <w:t>variations in material and building form to enable articulation of facades and differentiation between buildings</w:t>
            </w:r>
          </w:p>
          <w:p w14:paraId="144558F8" w14:textId="77777777" w:rsidR="00BE36FB" w:rsidRPr="009B7B35" w:rsidRDefault="00BE36FB" w:rsidP="00BE36FB">
            <w:pPr>
              <w:pStyle w:val="TableText"/>
              <w:numPr>
                <w:ilvl w:val="0"/>
                <w:numId w:val="331"/>
              </w:numPr>
              <w:ind w:left="510" w:hanging="510"/>
              <w:rPr>
                <w:rFonts w:cs="Arial"/>
              </w:rPr>
            </w:pPr>
            <w:r w:rsidRPr="009B7B35">
              <w:rPr>
                <w:rFonts w:cs="Arial"/>
              </w:rPr>
              <w:t>modulation in the façade, horizontally or vertically</w:t>
            </w:r>
          </w:p>
          <w:p w14:paraId="4372D87E" w14:textId="77777777" w:rsidR="00BE36FB" w:rsidRPr="009B7B35" w:rsidRDefault="00BE36FB" w:rsidP="00BE36FB">
            <w:pPr>
              <w:pStyle w:val="TableText"/>
              <w:numPr>
                <w:ilvl w:val="0"/>
                <w:numId w:val="331"/>
              </w:numPr>
              <w:ind w:left="510" w:hanging="510"/>
              <w:rPr>
                <w:rFonts w:cs="Arial"/>
              </w:rPr>
            </w:pPr>
            <w:r w:rsidRPr="009B7B35">
              <w:rPr>
                <w:rFonts w:cs="Arial"/>
              </w:rPr>
              <w:t>articulation of building entrances and openings</w:t>
            </w:r>
          </w:p>
          <w:p w14:paraId="27E82EAB" w14:textId="77777777" w:rsidR="00BE36FB" w:rsidRPr="009B7B35" w:rsidRDefault="00BE36FB" w:rsidP="00BE36FB">
            <w:pPr>
              <w:pStyle w:val="TableText"/>
              <w:numPr>
                <w:ilvl w:val="0"/>
                <w:numId w:val="331"/>
              </w:numPr>
              <w:ind w:left="510" w:hanging="510"/>
              <w:rPr>
                <w:rFonts w:cs="Arial"/>
              </w:rPr>
            </w:pPr>
            <w:r w:rsidRPr="009B7B35">
              <w:rPr>
                <w:rFonts w:cs="Arial"/>
              </w:rPr>
              <w:t>corner treatments to address both street frontages, and</w:t>
            </w:r>
          </w:p>
          <w:p w14:paraId="1153283F" w14:textId="77777777" w:rsidR="00BE36FB" w:rsidRPr="009B7B35" w:rsidRDefault="00BE36FB" w:rsidP="00BE36FB">
            <w:pPr>
              <w:pStyle w:val="TableText"/>
              <w:numPr>
                <w:ilvl w:val="0"/>
                <w:numId w:val="331"/>
              </w:numPr>
              <w:ind w:left="510" w:hanging="510"/>
              <w:rPr>
                <w:rFonts w:cs="Arial"/>
              </w:rPr>
            </w:pPr>
            <w:r w:rsidRPr="009B7B35">
              <w:rPr>
                <w:rFonts w:cs="Arial"/>
              </w:rPr>
              <w:t>elements which assist in wayfinding and legibility.</w:t>
            </w:r>
          </w:p>
        </w:tc>
        <w:tc>
          <w:tcPr>
            <w:tcW w:w="4678" w:type="dxa"/>
          </w:tcPr>
          <w:p w14:paraId="3E3BAF5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15F475C" w14:textId="77777777" w:rsidTr="001A7107">
        <w:trPr>
          <w:cantSplit/>
        </w:trPr>
        <w:tc>
          <w:tcPr>
            <w:tcW w:w="4678" w:type="dxa"/>
          </w:tcPr>
          <w:p w14:paraId="66531685" w14:textId="77777777" w:rsidR="00BE36FB" w:rsidRPr="009B7B35" w:rsidRDefault="00BE36FB" w:rsidP="001A7107">
            <w:pPr>
              <w:pStyle w:val="TableText"/>
              <w:rPr>
                <w:rFonts w:cs="Arial"/>
                <w:b/>
                <w:bCs/>
              </w:rPr>
            </w:pPr>
            <w:r w:rsidRPr="009B7B35">
              <w:rPr>
                <w:rFonts w:cs="Arial"/>
                <w:b/>
                <w:bCs/>
              </w:rPr>
              <w:t>PO11</w:t>
            </w:r>
          </w:p>
          <w:p w14:paraId="1C93C988" w14:textId="77777777" w:rsidR="00BE36FB" w:rsidRPr="009B7B35" w:rsidRDefault="00BE36FB" w:rsidP="001A7107">
            <w:pPr>
              <w:pStyle w:val="TableText"/>
              <w:rPr>
                <w:rFonts w:cs="Arial"/>
              </w:rPr>
            </w:pPr>
            <w:r w:rsidRPr="009B7B35">
              <w:rPr>
                <w:rFonts w:cs="Arial"/>
              </w:rPr>
              <w:t>Building caps and rooftops contribute to the architectural distinction of the building, and effectively screen service structures, lift over–runs, plant and equipment.</w:t>
            </w:r>
          </w:p>
        </w:tc>
        <w:tc>
          <w:tcPr>
            <w:tcW w:w="4678" w:type="dxa"/>
          </w:tcPr>
          <w:p w14:paraId="6CA71862"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FD3DB1C" w14:textId="77777777" w:rsidTr="001A7107">
        <w:trPr>
          <w:cantSplit/>
        </w:trPr>
        <w:tc>
          <w:tcPr>
            <w:tcW w:w="4678" w:type="dxa"/>
          </w:tcPr>
          <w:p w14:paraId="1F4173A8" w14:textId="77777777" w:rsidR="00BE36FB" w:rsidRPr="009B7B35" w:rsidRDefault="00BE36FB" w:rsidP="001A7107">
            <w:pPr>
              <w:pStyle w:val="TableText"/>
              <w:rPr>
                <w:rFonts w:cs="Arial"/>
                <w:b/>
                <w:bCs/>
              </w:rPr>
            </w:pPr>
            <w:r w:rsidRPr="009B7B35">
              <w:rPr>
                <w:rFonts w:cs="Arial"/>
                <w:b/>
                <w:bCs/>
              </w:rPr>
              <w:t>PO12</w:t>
            </w:r>
          </w:p>
          <w:p w14:paraId="2CFEC8B4" w14:textId="77777777" w:rsidR="00BE36FB" w:rsidRPr="009B7B35" w:rsidRDefault="00BE36FB">
            <w:pPr>
              <w:pStyle w:val="TableText"/>
              <w:rPr>
                <w:rFonts w:cs="Arial"/>
              </w:rPr>
            </w:pPr>
            <w:r w:rsidRPr="009B7B35">
              <w:rPr>
                <w:rFonts w:cs="Arial"/>
              </w:rPr>
              <w:t>Development is designed to facilitate the safety and security of people and property having regard to:</w:t>
            </w:r>
          </w:p>
          <w:p w14:paraId="45665E9B" w14:textId="77777777" w:rsidR="00BE36FB" w:rsidRPr="009B7B35" w:rsidRDefault="00BE36FB" w:rsidP="00BE36FB">
            <w:pPr>
              <w:pStyle w:val="TableText"/>
              <w:numPr>
                <w:ilvl w:val="0"/>
                <w:numId w:val="330"/>
              </w:numPr>
              <w:rPr>
                <w:rFonts w:cs="Arial"/>
              </w:rPr>
            </w:pPr>
            <w:r w:rsidRPr="009B7B35">
              <w:rPr>
                <w:rFonts w:cs="Arial"/>
              </w:rPr>
              <w:t>maximising casual surveillance and sight lines</w:t>
            </w:r>
          </w:p>
          <w:p w14:paraId="03484983" w14:textId="77777777" w:rsidR="00BE36FB" w:rsidRPr="009B7B35" w:rsidRDefault="00BE36FB" w:rsidP="00BE36FB">
            <w:pPr>
              <w:pStyle w:val="TableText"/>
              <w:numPr>
                <w:ilvl w:val="0"/>
                <w:numId w:val="330"/>
              </w:numPr>
              <w:rPr>
                <w:rFonts w:cs="Arial"/>
              </w:rPr>
            </w:pPr>
            <w:r w:rsidRPr="009B7B35">
              <w:rPr>
                <w:rFonts w:cs="Arial"/>
              </w:rPr>
              <w:t>exterior building design that promotes safety</w:t>
            </w:r>
          </w:p>
          <w:p w14:paraId="0738DAF8" w14:textId="77777777" w:rsidR="00BE36FB" w:rsidRPr="009B7B35" w:rsidRDefault="00BE36FB" w:rsidP="00BE36FB">
            <w:pPr>
              <w:pStyle w:val="TableText"/>
              <w:numPr>
                <w:ilvl w:val="0"/>
                <w:numId w:val="330"/>
              </w:numPr>
              <w:rPr>
                <w:rFonts w:cs="Arial"/>
              </w:rPr>
            </w:pPr>
            <w:r w:rsidRPr="009B7B35">
              <w:rPr>
                <w:rFonts w:cs="Arial"/>
              </w:rPr>
              <w:t>adequate lighting</w:t>
            </w:r>
          </w:p>
          <w:p w14:paraId="2B350E4D" w14:textId="77777777" w:rsidR="00BE36FB" w:rsidRPr="009B7B35" w:rsidRDefault="00BE36FB" w:rsidP="00BE36FB">
            <w:pPr>
              <w:pStyle w:val="TableText"/>
              <w:numPr>
                <w:ilvl w:val="0"/>
                <w:numId w:val="330"/>
              </w:numPr>
              <w:rPr>
                <w:rFonts w:cs="Arial"/>
              </w:rPr>
            </w:pPr>
            <w:r w:rsidRPr="009B7B35">
              <w:rPr>
                <w:rFonts w:cs="Arial"/>
              </w:rPr>
              <w:t>appropriate signage and wayfinding</w:t>
            </w:r>
          </w:p>
          <w:p w14:paraId="2D725EE8" w14:textId="77777777" w:rsidR="00BE36FB" w:rsidRPr="009B7B35" w:rsidRDefault="00BE36FB" w:rsidP="00BE36FB">
            <w:pPr>
              <w:pStyle w:val="TableText"/>
              <w:numPr>
                <w:ilvl w:val="0"/>
                <w:numId w:val="330"/>
              </w:numPr>
              <w:rPr>
                <w:rFonts w:cs="Arial"/>
              </w:rPr>
            </w:pPr>
            <w:r w:rsidRPr="009B7B35">
              <w:rPr>
                <w:rFonts w:cs="Arial"/>
              </w:rPr>
              <w:t>minimisation of personal concealment and entrapment locations, and</w:t>
            </w:r>
          </w:p>
          <w:p w14:paraId="17AFA4B1" w14:textId="77777777" w:rsidR="00BE36FB" w:rsidRPr="009B7B35" w:rsidRDefault="00BE36FB" w:rsidP="00BE36FB">
            <w:pPr>
              <w:pStyle w:val="TableText"/>
              <w:numPr>
                <w:ilvl w:val="0"/>
                <w:numId w:val="330"/>
              </w:numPr>
              <w:rPr>
                <w:rFonts w:cs="Arial"/>
              </w:rPr>
            </w:pPr>
            <w:r w:rsidRPr="009B7B35">
              <w:rPr>
                <w:rFonts w:cs="Arial"/>
              </w:rPr>
              <w:t>building entrances, parking, loading and storage areas that are well lit and have clearly defined access points.</w:t>
            </w:r>
          </w:p>
          <w:p w14:paraId="484DD130" w14:textId="77777777" w:rsidR="00BE36FB" w:rsidRPr="009B7B35" w:rsidRDefault="00BE36FB" w:rsidP="001A7107">
            <w:pPr>
              <w:pStyle w:val="Notes"/>
              <w:rPr>
                <w:rFonts w:cs="Arial"/>
                <w:sz w:val="20"/>
                <w:szCs w:val="20"/>
              </w:rPr>
            </w:pPr>
            <w:r w:rsidRPr="009B7B35">
              <w:rPr>
                <w:rFonts w:cs="Arial"/>
                <w:sz w:val="20"/>
                <w:szCs w:val="20"/>
              </w:rPr>
              <w:t xml:space="preserve">Note—Applicants should have regard to </w:t>
            </w:r>
            <w:hyperlink r:id="rId83" w:tgtFrame="_blank" w:tooltip="Crime Prevention through Environmental Design Guidelines for Queensland" w:history="1">
              <w:r w:rsidRPr="009B7B35">
                <w:rPr>
                  <w:rStyle w:val="Hyperlink"/>
                  <w:rFonts w:eastAsiaTheme="majorEastAsia" w:cs="Arial"/>
                  <w:sz w:val="20"/>
                  <w:szCs w:val="20"/>
                </w:rPr>
                <w:t>Crime Prevention through Environmental Design Guidelines for Queensland</w:t>
              </w:r>
            </w:hyperlink>
            <w:r w:rsidRPr="009B7B35">
              <w:rPr>
                <w:rFonts w:cs="Arial"/>
                <w:sz w:val="20"/>
                <w:szCs w:val="20"/>
              </w:rPr>
              <w:t>.</w:t>
            </w:r>
          </w:p>
        </w:tc>
        <w:tc>
          <w:tcPr>
            <w:tcW w:w="4678" w:type="dxa"/>
          </w:tcPr>
          <w:p w14:paraId="6C5EE71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07D3140" w14:textId="77777777" w:rsidTr="001A7107">
        <w:trPr>
          <w:cantSplit/>
        </w:trPr>
        <w:tc>
          <w:tcPr>
            <w:tcW w:w="9356" w:type="dxa"/>
            <w:gridSpan w:val="2"/>
            <w:shd w:val="clear" w:color="auto" w:fill="BFBFBF" w:themeFill="background1" w:themeFillShade="BF"/>
          </w:tcPr>
          <w:p w14:paraId="4D8989ED" w14:textId="77777777" w:rsidR="00BE36FB" w:rsidRPr="009B7B35" w:rsidRDefault="00BE36FB" w:rsidP="001A7107">
            <w:pPr>
              <w:pStyle w:val="Tableheading"/>
              <w:rPr>
                <w:rFonts w:ascii="Arial" w:hAnsi="Arial" w:cs="Arial"/>
                <w:szCs w:val="20"/>
              </w:rPr>
            </w:pPr>
            <w:r w:rsidRPr="009B7B35">
              <w:rPr>
                <w:rFonts w:ascii="Arial" w:hAnsi="Arial" w:cs="Arial"/>
                <w:szCs w:val="20"/>
              </w:rPr>
              <w:t>Street interface</w:t>
            </w:r>
          </w:p>
        </w:tc>
      </w:tr>
      <w:tr w:rsidR="00BE36FB" w:rsidRPr="009B7B35" w14:paraId="64F7B0BF" w14:textId="77777777" w:rsidTr="001A7107">
        <w:tc>
          <w:tcPr>
            <w:tcW w:w="4678" w:type="dxa"/>
          </w:tcPr>
          <w:p w14:paraId="4DD72A28" w14:textId="77777777" w:rsidR="00BE36FB" w:rsidRPr="009B7B35" w:rsidRDefault="00BE36FB" w:rsidP="001A7107">
            <w:pPr>
              <w:pStyle w:val="TableText"/>
              <w:rPr>
                <w:rFonts w:cs="Arial"/>
                <w:b/>
                <w:bCs/>
              </w:rPr>
            </w:pPr>
            <w:r w:rsidRPr="009B7B35">
              <w:rPr>
                <w:rFonts w:cs="Arial"/>
                <w:b/>
                <w:bCs/>
              </w:rPr>
              <w:t>PO13</w:t>
            </w:r>
          </w:p>
          <w:p w14:paraId="52792C6D" w14:textId="77777777" w:rsidR="00BE36FB" w:rsidRPr="009B7B35" w:rsidRDefault="00BE36FB">
            <w:pPr>
              <w:pStyle w:val="TableText"/>
              <w:rPr>
                <w:rFonts w:cs="Arial"/>
              </w:rPr>
            </w:pPr>
            <w:r w:rsidRPr="009B7B35">
              <w:rPr>
                <w:rFonts w:cs="Arial"/>
              </w:rPr>
              <w:t xml:space="preserve">Buildings are oriented to: </w:t>
            </w:r>
          </w:p>
          <w:p w14:paraId="0DAA4105" w14:textId="77777777" w:rsidR="00BE36FB" w:rsidRPr="009B7B35" w:rsidRDefault="00BE36FB" w:rsidP="00BE36FB">
            <w:pPr>
              <w:pStyle w:val="TableText"/>
              <w:numPr>
                <w:ilvl w:val="0"/>
                <w:numId w:val="329"/>
              </w:numPr>
              <w:rPr>
                <w:rFonts w:cs="Arial"/>
              </w:rPr>
            </w:pPr>
            <w:r w:rsidRPr="009B7B35">
              <w:rPr>
                <w:rFonts w:cs="Arial"/>
              </w:rPr>
              <w:t>the major street frontages and any public open space and public areas to:</w:t>
            </w:r>
          </w:p>
          <w:p w14:paraId="578D141D" w14:textId="77777777" w:rsidR="00BE36FB" w:rsidRPr="009B7B35" w:rsidRDefault="00BE36FB" w:rsidP="00BE36FB">
            <w:pPr>
              <w:pStyle w:val="TableText"/>
              <w:numPr>
                <w:ilvl w:val="1"/>
                <w:numId w:val="329"/>
              </w:numPr>
              <w:rPr>
                <w:rFonts w:cs="Arial"/>
              </w:rPr>
            </w:pPr>
            <w:r w:rsidRPr="009B7B35">
              <w:rPr>
                <w:rFonts w:cs="Arial"/>
              </w:rPr>
              <w:t>promote, interaction and casual surveillance</w:t>
            </w:r>
          </w:p>
          <w:p w14:paraId="5A497852" w14:textId="77777777" w:rsidR="00BE36FB" w:rsidRPr="009B7B35" w:rsidRDefault="00BE36FB" w:rsidP="00BE36FB">
            <w:pPr>
              <w:pStyle w:val="TableText"/>
              <w:numPr>
                <w:ilvl w:val="1"/>
                <w:numId w:val="329"/>
              </w:numPr>
              <w:rPr>
                <w:rFonts w:cs="Arial"/>
              </w:rPr>
            </w:pPr>
            <w:r w:rsidRPr="009B7B35">
              <w:rPr>
                <w:rFonts w:cs="Arial"/>
              </w:rPr>
              <w:t>concentrate and reinforce pedestrian activity, and</w:t>
            </w:r>
          </w:p>
          <w:p w14:paraId="4F99CF2F" w14:textId="77777777" w:rsidR="00BE36FB" w:rsidRPr="009B7B35" w:rsidRDefault="00BE36FB" w:rsidP="00BE36FB">
            <w:pPr>
              <w:pStyle w:val="TableText"/>
              <w:numPr>
                <w:ilvl w:val="1"/>
                <w:numId w:val="329"/>
              </w:numPr>
              <w:rPr>
                <w:rFonts w:cs="Arial"/>
              </w:rPr>
            </w:pPr>
            <w:r w:rsidRPr="009B7B35">
              <w:rPr>
                <w:rFonts w:cs="Arial"/>
              </w:rPr>
              <w:t>avoid opaque facades to provide visual interest to the frontage.</w:t>
            </w:r>
          </w:p>
        </w:tc>
        <w:tc>
          <w:tcPr>
            <w:tcW w:w="4678" w:type="dxa"/>
          </w:tcPr>
          <w:p w14:paraId="5AAE1F68"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4590260" w14:textId="77777777" w:rsidTr="001A7107">
        <w:tc>
          <w:tcPr>
            <w:tcW w:w="4678" w:type="dxa"/>
          </w:tcPr>
          <w:p w14:paraId="0D4472AC" w14:textId="77777777" w:rsidR="00BE36FB" w:rsidRPr="009B7B35" w:rsidRDefault="00BE36FB" w:rsidP="001A7107">
            <w:pPr>
              <w:pStyle w:val="TableText"/>
              <w:rPr>
                <w:rFonts w:cs="Arial"/>
                <w:b/>
                <w:bCs/>
              </w:rPr>
            </w:pPr>
            <w:r w:rsidRPr="009B7B35">
              <w:rPr>
                <w:rFonts w:cs="Arial"/>
                <w:b/>
                <w:bCs/>
              </w:rPr>
              <w:t>PO14</w:t>
            </w:r>
          </w:p>
          <w:p w14:paraId="15EFD773" w14:textId="77777777" w:rsidR="00BE36FB" w:rsidRPr="009B7B35" w:rsidRDefault="00BE36FB" w:rsidP="001A7107">
            <w:pPr>
              <w:pStyle w:val="TableText"/>
              <w:rPr>
                <w:rFonts w:cs="Arial"/>
              </w:rPr>
            </w:pPr>
            <w:r w:rsidRPr="009B7B35">
              <w:rPr>
                <w:rFonts w:cs="Arial"/>
              </w:rPr>
              <w:t>Building and pedestrian entries:</w:t>
            </w:r>
          </w:p>
          <w:p w14:paraId="2D291BA3" w14:textId="77777777" w:rsidR="00BE36FB" w:rsidRPr="009B7B35" w:rsidRDefault="00BE36FB" w:rsidP="00BE36FB">
            <w:pPr>
              <w:pStyle w:val="TableText"/>
              <w:numPr>
                <w:ilvl w:val="0"/>
                <w:numId w:val="158"/>
              </w:numPr>
              <w:rPr>
                <w:rFonts w:cs="Arial"/>
              </w:rPr>
            </w:pPr>
            <w:r w:rsidRPr="009B7B35">
              <w:rPr>
                <w:rFonts w:cs="Arial"/>
              </w:rPr>
              <w:t>are visible from the street and car parking areas</w:t>
            </w:r>
          </w:p>
          <w:p w14:paraId="1D161349" w14:textId="77777777" w:rsidR="00BE36FB" w:rsidRPr="009B7B35" w:rsidRDefault="00BE36FB" w:rsidP="00BE36FB">
            <w:pPr>
              <w:pStyle w:val="TableText"/>
              <w:numPr>
                <w:ilvl w:val="0"/>
                <w:numId w:val="158"/>
              </w:numPr>
              <w:rPr>
                <w:rFonts w:cs="Arial"/>
              </w:rPr>
            </w:pPr>
            <w:r w:rsidRPr="009B7B35">
              <w:rPr>
                <w:rFonts w:cs="Arial"/>
              </w:rPr>
              <w:t>incorporate sun and rain shelter, such as overhangs or awnings, and</w:t>
            </w:r>
          </w:p>
          <w:p w14:paraId="72EE8D8A" w14:textId="77777777" w:rsidR="00BE36FB" w:rsidRPr="009B7B35" w:rsidRDefault="00BE36FB" w:rsidP="00BE36FB">
            <w:pPr>
              <w:pStyle w:val="TableText"/>
              <w:numPr>
                <w:ilvl w:val="0"/>
                <w:numId w:val="158"/>
              </w:numPr>
              <w:rPr>
                <w:rFonts w:cs="Arial"/>
              </w:rPr>
            </w:pPr>
            <w:r w:rsidRPr="009B7B35">
              <w:rPr>
                <w:rFonts w:cs="Arial"/>
              </w:rPr>
              <w:t>are defined by human scale design elements (such as doors, windows, landscaping, etc).</w:t>
            </w:r>
          </w:p>
        </w:tc>
        <w:tc>
          <w:tcPr>
            <w:tcW w:w="4678" w:type="dxa"/>
          </w:tcPr>
          <w:p w14:paraId="44B8E5E9"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94A5065" w14:textId="77777777" w:rsidTr="001A7107">
        <w:tc>
          <w:tcPr>
            <w:tcW w:w="4678" w:type="dxa"/>
          </w:tcPr>
          <w:p w14:paraId="65BCD179" w14:textId="77777777" w:rsidR="00BE36FB" w:rsidRPr="009B7B35" w:rsidRDefault="00BE36FB" w:rsidP="001A7107">
            <w:pPr>
              <w:pStyle w:val="TableText"/>
              <w:rPr>
                <w:rFonts w:cs="Arial"/>
                <w:b/>
                <w:bCs/>
              </w:rPr>
            </w:pPr>
            <w:r w:rsidRPr="009B7B35">
              <w:rPr>
                <w:rFonts w:cs="Arial"/>
                <w:b/>
                <w:bCs/>
              </w:rPr>
              <w:t>PO15</w:t>
            </w:r>
          </w:p>
          <w:p w14:paraId="17BCFC6E" w14:textId="77777777" w:rsidR="00BE36FB" w:rsidRPr="009B7B35" w:rsidRDefault="00BE36FB" w:rsidP="001A7107">
            <w:pPr>
              <w:pStyle w:val="TableText"/>
              <w:rPr>
                <w:rFonts w:cs="Arial"/>
              </w:rPr>
            </w:pPr>
            <w:r w:rsidRPr="009B7B35">
              <w:rPr>
                <w:rFonts w:cs="Arial"/>
              </w:rPr>
              <w:t>Development contributes towards high quality streetscape outcomes that integrate effectively with the street and along key pedestrian and cycle routes.</w:t>
            </w:r>
          </w:p>
        </w:tc>
        <w:tc>
          <w:tcPr>
            <w:tcW w:w="4678" w:type="dxa"/>
          </w:tcPr>
          <w:p w14:paraId="482CC9E6"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C12FE46" w14:textId="77777777" w:rsidTr="001A7107">
        <w:tc>
          <w:tcPr>
            <w:tcW w:w="4678" w:type="dxa"/>
          </w:tcPr>
          <w:p w14:paraId="32FB3CB6" w14:textId="77777777" w:rsidR="00BE36FB" w:rsidRPr="009B7B35" w:rsidRDefault="00BE36FB" w:rsidP="001A7107">
            <w:pPr>
              <w:pStyle w:val="TableText"/>
              <w:rPr>
                <w:rFonts w:cs="Arial"/>
                <w:b/>
                <w:bCs/>
              </w:rPr>
            </w:pPr>
            <w:r w:rsidRPr="009B7B35">
              <w:rPr>
                <w:rFonts w:cs="Arial"/>
                <w:b/>
                <w:bCs/>
              </w:rPr>
              <w:t>PO16</w:t>
            </w:r>
          </w:p>
          <w:p w14:paraId="6B54DC12" w14:textId="77777777" w:rsidR="00BE36FB" w:rsidRPr="009B7B35" w:rsidRDefault="00BE36FB" w:rsidP="001A7107">
            <w:pPr>
              <w:pStyle w:val="TableText"/>
              <w:rPr>
                <w:rFonts w:cs="Arial"/>
              </w:rPr>
            </w:pPr>
            <w:r w:rsidRPr="009B7B35">
              <w:rPr>
                <w:rFonts w:cs="Arial"/>
              </w:rPr>
              <w:t xml:space="preserve">Development ensures safe, convenient and legible connections and pathways are provided: </w:t>
            </w:r>
          </w:p>
          <w:p w14:paraId="318B8318" w14:textId="77777777" w:rsidR="00BE36FB" w:rsidRPr="009B7B35" w:rsidRDefault="00BE36FB" w:rsidP="00BE36FB">
            <w:pPr>
              <w:pStyle w:val="TableText"/>
              <w:numPr>
                <w:ilvl w:val="0"/>
                <w:numId w:val="186"/>
              </w:numPr>
              <w:rPr>
                <w:rFonts w:cs="Arial"/>
              </w:rPr>
            </w:pPr>
            <w:r w:rsidRPr="009B7B35">
              <w:rPr>
                <w:rFonts w:cs="Arial"/>
              </w:rPr>
              <w:t>for pedestrians and cyclists to, from and within the site, and</w:t>
            </w:r>
          </w:p>
          <w:p w14:paraId="50310091" w14:textId="77777777" w:rsidR="00BE36FB" w:rsidRPr="009B7B35" w:rsidRDefault="00BE36FB" w:rsidP="00BE36FB">
            <w:pPr>
              <w:pStyle w:val="TableText"/>
              <w:numPr>
                <w:ilvl w:val="0"/>
                <w:numId w:val="186"/>
              </w:numPr>
              <w:rPr>
                <w:rFonts w:cs="Arial"/>
              </w:rPr>
            </w:pPr>
            <w:r w:rsidRPr="009B7B35">
              <w:rPr>
                <w:rFonts w:cs="Arial"/>
              </w:rPr>
              <w:t>to public transport infrastructure, open space, parkland, centres and community–related activities.</w:t>
            </w:r>
          </w:p>
        </w:tc>
        <w:tc>
          <w:tcPr>
            <w:tcW w:w="4678" w:type="dxa"/>
          </w:tcPr>
          <w:p w14:paraId="02EF942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930C82C" w14:textId="77777777" w:rsidTr="001A7107">
        <w:trPr>
          <w:cantSplit/>
        </w:trPr>
        <w:tc>
          <w:tcPr>
            <w:tcW w:w="9356" w:type="dxa"/>
            <w:gridSpan w:val="2"/>
            <w:shd w:val="clear" w:color="auto" w:fill="BFBFBF" w:themeFill="background1" w:themeFillShade="BF"/>
          </w:tcPr>
          <w:p w14:paraId="3FB18B10" w14:textId="77777777" w:rsidR="00BE36FB" w:rsidRPr="009B7B35" w:rsidRDefault="00BE36FB" w:rsidP="001A7107">
            <w:pPr>
              <w:pStyle w:val="Tableheading"/>
              <w:rPr>
                <w:rFonts w:ascii="Arial" w:hAnsi="Arial" w:cs="Arial"/>
                <w:szCs w:val="20"/>
              </w:rPr>
            </w:pPr>
            <w:r w:rsidRPr="009B7B35">
              <w:rPr>
                <w:rFonts w:ascii="Arial" w:hAnsi="Arial" w:cs="Arial"/>
                <w:szCs w:val="20"/>
              </w:rPr>
              <w:t>Landscape design</w:t>
            </w:r>
          </w:p>
        </w:tc>
      </w:tr>
      <w:tr w:rsidR="00BE36FB" w:rsidRPr="009B7B35" w14:paraId="62BC4ABA" w14:textId="77777777" w:rsidTr="001A7107">
        <w:trPr>
          <w:cantSplit/>
        </w:trPr>
        <w:tc>
          <w:tcPr>
            <w:tcW w:w="4678" w:type="dxa"/>
          </w:tcPr>
          <w:p w14:paraId="7F7BEDE9" w14:textId="77777777" w:rsidR="00BE36FB" w:rsidRPr="009B7B35" w:rsidRDefault="00BE36FB" w:rsidP="001A7107">
            <w:pPr>
              <w:pStyle w:val="TableText"/>
              <w:rPr>
                <w:rFonts w:cs="Arial"/>
                <w:b/>
                <w:bCs/>
              </w:rPr>
            </w:pPr>
            <w:r w:rsidRPr="009B7B35">
              <w:rPr>
                <w:rFonts w:cs="Arial"/>
                <w:b/>
                <w:bCs/>
              </w:rPr>
              <w:t>PO17</w:t>
            </w:r>
          </w:p>
          <w:p w14:paraId="5063111C" w14:textId="77777777" w:rsidR="00BE36FB" w:rsidRPr="009B7B35" w:rsidRDefault="00BE36FB" w:rsidP="001A7107">
            <w:pPr>
              <w:pStyle w:val="TableText"/>
              <w:rPr>
                <w:rFonts w:cs="Arial"/>
              </w:rPr>
            </w:pPr>
            <w:r w:rsidRPr="009B7B35">
              <w:rPr>
                <w:rFonts w:cs="Arial"/>
              </w:rPr>
              <w:t>Landscape elements are integrated in the building design through planting at various levels including on top of podiums, rooftops and within storeys.</w:t>
            </w:r>
          </w:p>
          <w:p w14:paraId="0394369E" w14:textId="77777777" w:rsidR="00BE36FB" w:rsidRPr="009B7B35" w:rsidRDefault="00BE36FB">
            <w:pPr>
              <w:pStyle w:val="Notes"/>
              <w:rPr>
                <w:rFonts w:cs="Arial"/>
                <w:sz w:val="20"/>
                <w:szCs w:val="20"/>
              </w:rPr>
            </w:pPr>
            <w:r w:rsidRPr="009B7B35">
              <w:rPr>
                <w:rFonts w:cs="Arial"/>
                <w:sz w:val="20"/>
                <w:szCs w:val="20"/>
              </w:rPr>
              <w:t>Note—Refer also to the Landscaping code.</w:t>
            </w:r>
          </w:p>
        </w:tc>
        <w:tc>
          <w:tcPr>
            <w:tcW w:w="4678" w:type="dxa"/>
          </w:tcPr>
          <w:p w14:paraId="67FFFDE6"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70B6E0D" w14:textId="77777777" w:rsidTr="001A7107">
        <w:trPr>
          <w:cantSplit/>
        </w:trPr>
        <w:tc>
          <w:tcPr>
            <w:tcW w:w="4678" w:type="dxa"/>
          </w:tcPr>
          <w:p w14:paraId="6C8BAA2B" w14:textId="77777777" w:rsidR="00BE36FB" w:rsidRPr="009B7B35" w:rsidRDefault="00BE36FB" w:rsidP="001A7107">
            <w:pPr>
              <w:pStyle w:val="TableText"/>
              <w:rPr>
                <w:rFonts w:cs="Arial"/>
                <w:b/>
                <w:bCs/>
              </w:rPr>
            </w:pPr>
            <w:r w:rsidRPr="009B7B35">
              <w:rPr>
                <w:rFonts w:cs="Arial"/>
                <w:b/>
                <w:bCs/>
              </w:rPr>
              <w:t>PO18</w:t>
            </w:r>
          </w:p>
          <w:p w14:paraId="450C2357" w14:textId="77777777" w:rsidR="00BE36FB" w:rsidRPr="009B7B35" w:rsidRDefault="00BE36FB" w:rsidP="001A7107">
            <w:pPr>
              <w:pStyle w:val="TableText"/>
              <w:rPr>
                <w:rFonts w:cs="Arial"/>
              </w:rPr>
            </w:pPr>
            <w:r w:rsidRPr="009B7B35">
              <w:rPr>
                <w:rFonts w:cs="Arial"/>
              </w:rPr>
              <w:t>Landscape treatments include hard and soft elements that:</w:t>
            </w:r>
          </w:p>
          <w:p w14:paraId="7DB493D9" w14:textId="77777777" w:rsidR="00BE36FB" w:rsidRPr="009B7B35" w:rsidRDefault="00BE36FB" w:rsidP="00BE36FB">
            <w:pPr>
              <w:pStyle w:val="TableText"/>
              <w:numPr>
                <w:ilvl w:val="0"/>
                <w:numId w:val="157"/>
              </w:numPr>
              <w:rPr>
                <w:rFonts w:cs="Arial"/>
              </w:rPr>
            </w:pPr>
            <w:r w:rsidRPr="009B7B35">
              <w:rPr>
                <w:rFonts w:cs="Arial"/>
              </w:rPr>
              <w:t>are of a character and durability that reflects the centre</w:t>
            </w:r>
          </w:p>
          <w:p w14:paraId="1398E478" w14:textId="77777777" w:rsidR="00BE36FB" w:rsidRPr="009B7B35" w:rsidRDefault="00BE36FB" w:rsidP="00BE36FB">
            <w:pPr>
              <w:pStyle w:val="TableText"/>
              <w:numPr>
                <w:ilvl w:val="0"/>
                <w:numId w:val="157"/>
              </w:numPr>
              <w:rPr>
                <w:rFonts w:cs="Arial"/>
              </w:rPr>
            </w:pPr>
            <w:r w:rsidRPr="009B7B35">
              <w:rPr>
                <w:rFonts w:cs="Arial"/>
              </w:rPr>
              <w:t>enhance the appearance of the centre</w:t>
            </w:r>
          </w:p>
          <w:p w14:paraId="6B819427" w14:textId="77777777" w:rsidR="00BE36FB" w:rsidRPr="009B7B35" w:rsidRDefault="00BE36FB" w:rsidP="00BE36FB">
            <w:pPr>
              <w:pStyle w:val="TableText"/>
              <w:numPr>
                <w:ilvl w:val="0"/>
                <w:numId w:val="157"/>
              </w:numPr>
              <w:rPr>
                <w:rFonts w:cs="Arial"/>
              </w:rPr>
            </w:pPr>
            <w:r w:rsidRPr="009B7B35">
              <w:rPr>
                <w:rFonts w:cs="Arial"/>
              </w:rPr>
              <w:t>extends from the street edge into building entrances</w:t>
            </w:r>
          </w:p>
          <w:p w14:paraId="651D7DB9" w14:textId="77777777" w:rsidR="00BE36FB" w:rsidRPr="009B7B35" w:rsidRDefault="00BE36FB" w:rsidP="00BE36FB">
            <w:pPr>
              <w:pStyle w:val="TableText"/>
              <w:numPr>
                <w:ilvl w:val="0"/>
                <w:numId w:val="157"/>
              </w:numPr>
              <w:rPr>
                <w:rFonts w:cs="Arial"/>
              </w:rPr>
            </w:pPr>
            <w:r w:rsidRPr="009B7B35">
              <w:rPr>
                <w:rFonts w:cs="Arial"/>
              </w:rPr>
              <w:t>emphasises a clear pedestrian entry point</w:t>
            </w:r>
          </w:p>
          <w:p w14:paraId="376D0F3B" w14:textId="77777777" w:rsidR="00BE36FB" w:rsidRPr="009B7B35" w:rsidRDefault="00BE36FB" w:rsidP="00BE36FB">
            <w:pPr>
              <w:pStyle w:val="TableText"/>
              <w:numPr>
                <w:ilvl w:val="0"/>
                <w:numId w:val="157"/>
              </w:numPr>
              <w:rPr>
                <w:rFonts w:cs="Arial"/>
              </w:rPr>
            </w:pPr>
            <w:r w:rsidRPr="009B7B35">
              <w:rPr>
                <w:rFonts w:cs="Arial"/>
              </w:rPr>
              <w:t>screen unsightly components</w:t>
            </w:r>
          </w:p>
          <w:p w14:paraId="6DEE08EC" w14:textId="77777777" w:rsidR="00BE36FB" w:rsidRPr="009B7B35" w:rsidRDefault="00BE36FB" w:rsidP="00BE36FB">
            <w:pPr>
              <w:pStyle w:val="TableText"/>
              <w:numPr>
                <w:ilvl w:val="0"/>
                <w:numId w:val="157"/>
              </w:numPr>
              <w:rPr>
                <w:rFonts w:cs="Arial"/>
              </w:rPr>
            </w:pPr>
            <w:r w:rsidRPr="009B7B35">
              <w:rPr>
                <w:rFonts w:cs="Arial"/>
              </w:rPr>
              <w:t>provide shading, and</w:t>
            </w:r>
          </w:p>
          <w:p w14:paraId="5FD9324E" w14:textId="77777777" w:rsidR="00BE36FB" w:rsidRPr="009B7B35" w:rsidRDefault="00BE36FB" w:rsidP="00BE36FB">
            <w:pPr>
              <w:pStyle w:val="TableText"/>
              <w:numPr>
                <w:ilvl w:val="0"/>
                <w:numId w:val="157"/>
              </w:numPr>
              <w:rPr>
                <w:rFonts w:cs="Arial"/>
              </w:rPr>
            </w:pPr>
            <w:r w:rsidRPr="009B7B35">
              <w:rPr>
                <w:rFonts w:cs="Arial"/>
              </w:rPr>
              <w:t>reflect and reinforces a subtropical image through integrating landscape, outdoor and indoor spaces.</w:t>
            </w:r>
          </w:p>
          <w:p w14:paraId="2A6BBBD2" w14:textId="77777777" w:rsidR="00BE36FB" w:rsidRPr="009B7B35" w:rsidRDefault="00BE36FB" w:rsidP="001A7107">
            <w:pPr>
              <w:pStyle w:val="Notes"/>
              <w:rPr>
                <w:rFonts w:cs="Arial"/>
                <w:sz w:val="20"/>
                <w:szCs w:val="20"/>
              </w:rPr>
            </w:pPr>
            <w:r w:rsidRPr="009B7B35">
              <w:rPr>
                <w:rFonts w:cs="Arial"/>
                <w:sz w:val="20"/>
                <w:szCs w:val="20"/>
              </w:rPr>
              <w:t>Note—Refer also to the Landscaping code.</w:t>
            </w:r>
          </w:p>
        </w:tc>
        <w:tc>
          <w:tcPr>
            <w:tcW w:w="4678" w:type="dxa"/>
          </w:tcPr>
          <w:p w14:paraId="021126D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FF66914" w14:textId="77777777" w:rsidTr="001A7107">
        <w:trPr>
          <w:cantSplit/>
        </w:trPr>
        <w:tc>
          <w:tcPr>
            <w:tcW w:w="9356" w:type="dxa"/>
            <w:gridSpan w:val="2"/>
            <w:shd w:val="clear" w:color="auto" w:fill="BFBFBF" w:themeFill="background1" w:themeFillShade="BF"/>
          </w:tcPr>
          <w:p w14:paraId="3C89DD2A" w14:textId="77777777" w:rsidR="00BE36FB" w:rsidRPr="009B7B35" w:rsidRDefault="00BE36FB" w:rsidP="001A7107">
            <w:pPr>
              <w:pStyle w:val="Tableheading"/>
              <w:rPr>
                <w:rFonts w:ascii="Arial" w:hAnsi="Arial" w:cs="Arial"/>
                <w:szCs w:val="20"/>
              </w:rPr>
            </w:pPr>
            <w:r w:rsidRPr="009B7B35">
              <w:rPr>
                <w:rFonts w:ascii="Arial" w:hAnsi="Arial" w:cs="Arial"/>
                <w:szCs w:val="20"/>
              </w:rPr>
              <w:t>Design and amenity</w:t>
            </w:r>
          </w:p>
        </w:tc>
      </w:tr>
      <w:tr w:rsidR="00BE36FB" w:rsidRPr="009B7B35" w14:paraId="35218F33" w14:textId="77777777" w:rsidTr="001A7107">
        <w:trPr>
          <w:cantSplit/>
        </w:trPr>
        <w:tc>
          <w:tcPr>
            <w:tcW w:w="4678" w:type="dxa"/>
            <w:vMerge w:val="restart"/>
          </w:tcPr>
          <w:p w14:paraId="7B29EF6A" w14:textId="77777777" w:rsidR="00BE36FB" w:rsidRPr="009B7B35" w:rsidRDefault="00BE36FB" w:rsidP="001A7107">
            <w:pPr>
              <w:pStyle w:val="TableText"/>
              <w:rPr>
                <w:rFonts w:cs="Arial"/>
                <w:b/>
                <w:bCs/>
              </w:rPr>
            </w:pPr>
            <w:r w:rsidRPr="009B7B35">
              <w:rPr>
                <w:rFonts w:cs="Arial"/>
                <w:b/>
                <w:bCs/>
              </w:rPr>
              <w:t>PO19</w:t>
            </w:r>
          </w:p>
          <w:p w14:paraId="12D2BCD5" w14:textId="77777777" w:rsidR="00BE36FB" w:rsidRPr="009B7B35" w:rsidRDefault="00BE36FB" w:rsidP="001A7107">
            <w:pPr>
              <w:pStyle w:val="TableText"/>
              <w:rPr>
                <w:rFonts w:cs="Arial"/>
              </w:rPr>
            </w:pPr>
            <w:r w:rsidRPr="009B7B35">
              <w:rPr>
                <w:rFonts w:cs="Arial"/>
              </w:rPr>
              <w:t>Development is located and operated so that adverse impacts on privacy and amenity on nearby land in a residential zone are minimised.</w:t>
            </w:r>
          </w:p>
        </w:tc>
        <w:tc>
          <w:tcPr>
            <w:tcW w:w="4678" w:type="dxa"/>
          </w:tcPr>
          <w:p w14:paraId="39A2ECA7" w14:textId="77777777" w:rsidR="00BE36FB" w:rsidRPr="009B7B35" w:rsidRDefault="00BE36FB" w:rsidP="001A7107">
            <w:pPr>
              <w:pStyle w:val="TableText"/>
              <w:rPr>
                <w:rFonts w:cs="Arial"/>
                <w:b/>
                <w:bCs/>
              </w:rPr>
            </w:pPr>
            <w:r w:rsidRPr="009B7B35">
              <w:rPr>
                <w:rFonts w:cs="Arial"/>
                <w:b/>
                <w:bCs/>
              </w:rPr>
              <w:t>AO19.1</w:t>
            </w:r>
          </w:p>
          <w:p w14:paraId="3A5DA221" w14:textId="77777777" w:rsidR="00BE36FB" w:rsidRPr="009B7B35" w:rsidRDefault="00BE36FB" w:rsidP="001A7107">
            <w:pPr>
              <w:pStyle w:val="TableText"/>
              <w:rPr>
                <w:rFonts w:cs="Arial"/>
              </w:rPr>
            </w:pPr>
            <w:r w:rsidRPr="009B7B35">
              <w:rPr>
                <w:rFonts w:cs="Arial"/>
              </w:rPr>
              <w:t>Buildings are set back 3m from any boundary shared with a residential zone.</w:t>
            </w:r>
          </w:p>
        </w:tc>
      </w:tr>
      <w:tr w:rsidR="00BE36FB" w:rsidRPr="009B7B35" w14:paraId="3D46EB57" w14:textId="77777777" w:rsidTr="001A7107">
        <w:trPr>
          <w:cantSplit/>
        </w:trPr>
        <w:tc>
          <w:tcPr>
            <w:tcW w:w="4678" w:type="dxa"/>
            <w:vMerge/>
          </w:tcPr>
          <w:p w14:paraId="637F6EBE" w14:textId="77777777" w:rsidR="00BE36FB" w:rsidRPr="009B7B35" w:rsidRDefault="00BE36FB" w:rsidP="001A7107">
            <w:pPr>
              <w:pStyle w:val="TableText"/>
              <w:rPr>
                <w:rFonts w:cs="Arial"/>
              </w:rPr>
            </w:pPr>
          </w:p>
        </w:tc>
        <w:tc>
          <w:tcPr>
            <w:tcW w:w="4678" w:type="dxa"/>
          </w:tcPr>
          <w:p w14:paraId="2AC85959" w14:textId="77777777" w:rsidR="00BE36FB" w:rsidRPr="009B7B35" w:rsidRDefault="00BE36FB" w:rsidP="001A7107">
            <w:pPr>
              <w:pStyle w:val="TableText"/>
              <w:rPr>
                <w:rFonts w:cs="Arial"/>
                <w:b/>
                <w:bCs/>
              </w:rPr>
            </w:pPr>
            <w:r w:rsidRPr="009B7B35">
              <w:rPr>
                <w:rFonts w:cs="Arial"/>
                <w:b/>
                <w:bCs/>
              </w:rPr>
              <w:t>AO19.2</w:t>
            </w:r>
          </w:p>
          <w:p w14:paraId="63187B81" w14:textId="77777777" w:rsidR="00BE36FB" w:rsidRPr="009B7B35" w:rsidRDefault="00BE36FB" w:rsidP="001A7107">
            <w:pPr>
              <w:pStyle w:val="TableText"/>
              <w:rPr>
                <w:rFonts w:cs="Arial"/>
              </w:rPr>
            </w:pPr>
            <w:r w:rsidRPr="009B7B35">
              <w:rPr>
                <w:rFonts w:cs="Arial"/>
              </w:rPr>
              <w:t>A 1.8m high solid screen fence is provided along all boundaries shared with a residential zone.</w:t>
            </w:r>
          </w:p>
        </w:tc>
      </w:tr>
      <w:tr w:rsidR="00BE36FB" w:rsidRPr="009B7B35" w14:paraId="513BD7CF" w14:textId="77777777" w:rsidTr="001A7107">
        <w:trPr>
          <w:cantSplit/>
        </w:trPr>
        <w:tc>
          <w:tcPr>
            <w:tcW w:w="4678" w:type="dxa"/>
            <w:vMerge/>
          </w:tcPr>
          <w:p w14:paraId="64BF3C86" w14:textId="77777777" w:rsidR="00BE36FB" w:rsidRPr="009B7B35" w:rsidRDefault="00BE36FB" w:rsidP="001A7107">
            <w:pPr>
              <w:pStyle w:val="TableText"/>
              <w:rPr>
                <w:rFonts w:cs="Arial"/>
              </w:rPr>
            </w:pPr>
          </w:p>
        </w:tc>
        <w:tc>
          <w:tcPr>
            <w:tcW w:w="4678" w:type="dxa"/>
          </w:tcPr>
          <w:p w14:paraId="1781CB4E" w14:textId="77777777" w:rsidR="00BE36FB" w:rsidRPr="009B7B35" w:rsidRDefault="00BE36FB" w:rsidP="001A7107">
            <w:pPr>
              <w:pStyle w:val="TableText"/>
              <w:rPr>
                <w:rFonts w:cs="Arial"/>
                <w:b/>
                <w:bCs/>
              </w:rPr>
            </w:pPr>
            <w:r w:rsidRPr="009B7B35">
              <w:rPr>
                <w:rFonts w:cs="Arial"/>
                <w:b/>
                <w:bCs/>
              </w:rPr>
              <w:t>AO19.3</w:t>
            </w:r>
          </w:p>
          <w:p w14:paraId="69613504" w14:textId="77777777" w:rsidR="00BE36FB" w:rsidRPr="009B7B35" w:rsidRDefault="00BE36FB" w:rsidP="001A7107">
            <w:pPr>
              <w:pStyle w:val="TableText"/>
              <w:rPr>
                <w:rFonts w:cs="Arial"/>
              </w:rPr>
            </w:pPr>
            <w:r w:rsidRPr="009B7B35">
              <w:rPr>
                <w:rFonts w:cs="Arial"/>
              </w:rPr>
              <w:t>A landscaped buffer with a minimum width of 2m and consisting of dense screen planting is provided along all boundaries shared with a residential zone.</w:t>
            </w:r>
          </w:p>
        </w:tc>
      </w:tr>
      <w:tr w:rsidR="00BE36FB" w:rsidRPr="009B7B35" w14:paraId="744E51B3" w14:textId="77777777" w:rsidTr="001A7107">
        <w:trPr>
          <w:cantSplit/>
        </w:trPr>
        <w:tc>
          <w:tcPr>
            <w:tcW w:w="4678" w:type="dxa"/>
            <w:vMerge/>
          </w:tcPr>
          <w:p w14:paraId="7FD2F59D" w14:textId="77777777" w:rsidR="00BE36FB" w:rsidRPr="009B7B35" w:rsidRDefault="00BE36FB" w:rsidP="001A7107">
            <w:pPr>
              <w:pStyle w:val="TableText"/>
              <w:rPr>
                <w:rFonts w:cs="Arial"/>
              </w:rPr>
            </w:pPr>
          </w:p>
        </w:tc>
        <w:tc>
          <w:tcPr>
            <w:tcW w:w="4678" w:type="dxa"/>
          </w:tcPr>
          <w:p w14:paraId="5B258AEF" w14:textId="77777777" w:rsidR="00BE36FB" w:rsidRPr="009B7B35" w:rsidRDefault="00BE36FB" w:rsidP="001A7107">
            <w:pPr>
              <w:pStyle w:val="TableText"/>
              <w:rPr>
                <w:rFonts w:cs="Arial"/>
                <w:b/>
                <w:bCs/>
              </w:rPr>
            </w:pPr>
            <w:r w:rsidRPr="009B7B35">
              <w:rPr>
                <w:rFonts w:cs="Arial"/>
                <w:b/>
                <w:bCs/>
              </w:rPr>
              <w:t>AO19.4</w:t>
            </w:r>
          </w:p>
          <w:p w14:paraId="4A4FD940" w14:textId="77777777" w:rsidR="00BE36FB" w:rsidRPr="009B7B35" w:rsidRDefault="00BE36FB" w:rsidP="001A7107">
            <w:pPr>
              <w:pStyle w:val="TableText"/>
              <w:rPr>
                <w:rFonts w:cs="Arial"/>
              </w:rPr>
            </w:pPr>
            <w:r w:rsidRPr="009B7B35">
              <w:rPr>
                <w:rFonts w:cs="Arial"/>
              </w:rPr>
              <w:t>Windows that have a direct view into an adjoining residential use are provided with fixed screening that is a maximum of 50% transparent to obscure views and maintain privacy for residents.</w:t>
            </w:r>
          </w:p>
        </w:tc>
      </w:tr>
      <w:tr w:rsidR="00BE36FB" w:rsidRPr="009B7B35" w14:paraId="476DD8C3" w14:textId="77777777" w:rsidTr="001A7107">
        <w:tc>
          <w:tcPr>
            <w:tcW w:w="4678" w:type="dxa"/>
          </w:tcPr>
          <w:p w14:paraId="7BA13DFA" w14:textId="77777777" w:rsidR="00BE36FB" w:rsidRPr="009B7B35" w:rsidRDefault="00BE36FB" w:rsidP="001A7107">
            <w:pPr>
              <w:pStyle w:val="TableText"/>
              <w:rPr>
                <w:rFonts w:cs="Arial"/>
                <w:b/>
                <w:bCs/>
              </w:rPr>
            </w:pPr>
            <w:r w:rsidRPr="009B7B35">
              <w:rPr>
                <w:rFonts w:cs="Arial"/>
                <w:b/>
                <w:bCs/>
              </w:rPr>
              <w:t>PO20</w:t>
            </w:r>
          </w:p>
          <w:p w14:paraId="73D3AD0F" w14:textId="77777777" w:rsidR="00BE36FB" w:rsidRPr="009B7B35" w:rsidRDefault="00BE36FB" w:rsidP="001A7107">
            <w:pPr>
              <w:pStyle w:val="TableText"/>
              <w:rPr>
                <w:rFonts w:cs="Arial"/>
              </w:rPr>
            </w:pPr>
            <w:r w:rsidRPr="009B7B35">
              <w:rPr>
                <w:rFonts w:cs="Arial"/>
              </w:rPr>
              <w:t>Development does not adversely impact on the amenity of any adjoining residential uses.</w:t>
            </w:r>
          </w:p>
        </w:tc>
        <w:tc>
          <w:tcPr>
            <w:tcW w:w="4678" w:type="dxa"/>
          </w:tcPr>
          <w:p w14:paraId="1AA3016D" w14:textId="77777777" w:rsidR="00BE36FB" w:rsidRPr="009B7B35" w:rsidRDefault="00BE36FB" w:rsidP="001A7107">
            <w:pPr>
              <w:pStyle w:val="TableText"/>
              <w:rPr>
                <w:rFonts w:cs="Arial"/>
                <w:b/>
                <w:bCs/>
              </w:rPr>
            </w:pPr>
            <w:r w:rsidRPr="009B7B35">
              <w:rPr>
                <w:rFonts w:cs="Arial"/>
                <w:b/>
                <w:bCs/>
              </w:rPr>
              <w:t>AO20</w:t>
            </w:r>
          </w:p>
          <w:p w14:paraId="7A7A7881" w14:textId="77777777" w:rsidR="00BE36FB" w:rsidRPr="009B7B35" w:rsidRDefault="00BE36FB" w:rsidP="001A7107">
            <w:pPr>
              <w:pStyle w:val="TableText"/>
              <w:rPr>
                <w:rFonts w:cs="Arial"/>
              </w:rPr>
            </w:pPr>
            <w:r w:rsidRPr="009B7B35">
              <w:rPr>
                <w:rFonts w:cs="Arial"/>
              </w:rPr>
              <w:t>Where adjoining a residential zone, hours of operation for any non–residential use is limited to between 6am and 10pm.</w:t>
            </w:r>
          </w:p>
        </w:tc>
      </w:tr>
      <w:tr w:rsidR="00BE36FB" w:rsidRPr="009B7B35" w14:paraId="10045DE7" w14:textId="77777777" w:rsidTr="001A7107">
        <w:tc>
          <w:tcPr>
            <w:tcW w:w="4678" w:type="dxa"/>
          </w:tcPr>
          <w:p w14:paraId="5C2179E5" w14:textId="77777777" w:rsidR="00BE36FB" w:rsidRPr="009B7B35" w:rsidRDefault="00BE36FB" w:rsidP="001A7107">
            <w:pPr>
              <w:pStyle w:val="TableText"/>
              <w:rPr>
                <w:rFonts w:cs="Arial"/>
                <w:b/>
                <w:bCs/>
              </w:rPr>
            </w:pPr>
            <w:r w:rsidRPr="009B7B35">
              <w:rPr>
                <w:rFonts w:cs="Arial"/>
                <w:b/>
                <w:bCs/>
              </w:rPr>
              <w:t>PO21</w:t>
            </w:r>
          </w:p>
          <w:p w14:paraId="0B4E23DB" w14:textId="77777777" w:rsidR="00BE36FB" w:rsidRPr="009B7B35" w:rsidRDefault="00BE36FB" w:rsidP="001A7107">
            <w:pPr>
              <w:pStyle w:val="TableText"/>
              <w:rPr>
                <w:rFonts w:cs="Arial"/>
              </w:rPr>
            </w:pPr>
            <w:r w:rsidRPr="009B7B35">
              <w:rPr>
                <w:rFonts w:cs="Arial"/>
              </w:rPr>
              <w:t>Development minimises impacts on surrounding land and provides for an appropriate level of amenity within the centre, having regard to:</w:t>
            </w:r>
          </w:p>
          <w:p w14:paraId="4FC23DFB" w14:textId="77777777" w:rsidR="00BE36FB" w:rsidRPr="009B7B35" w:rsidRDefault="00BE36FB" w:rsidP="00BE36FB">
            <w:pPr>
              <w:pStyle w:val="TableText"/>
              <w:numPr>
                <w:ilvl w:val="0"/>
                <w:numId w:val="159"/>
              </w:numPr>
              <w:rPr>
                <w:rFonts w:cs="Arial"/>
              </w:rPr>
            </w:pPr>
            <w:r w:rsidRPr="009B7B35">
              <w:rPr>
                <w:rFonts w:cs="Arial"/>
              </w:rPr>
              <w:t>noise</w:t>
            </w:r>
          </w:p>
          <w:p w14:paraId="69D0B394" w14:textId="77777777" w:rsidR="00BE36FB" w:rsidRPr="009B7B35" w:rsidRDefault="00BE36FB" w:rsidP="00BE36FB">
            <w:pPr>
              <w:pStyle w:val="TableText"/>
              <w:numPr>
                <w:ilvl w:val="0"/>
                <w:numId w:val="159"/>
              </w:numPr>
              <w:rPr>
                <w:rFonts w:cs="Arial"/>
              </w:rPr>
            </w:pPr>
            <w:r w:rsidRPr="009B7B35">
              <w:rPr>
                <w:rFonts w:cs="Arial"/>
              </w:rPr>
              <w:t>traffic</w:t>
            </w:r>
          </w:p>
          <w:p w14:paraId="0686161A" w14:textId="77777777" w:rsidR="00BE36FB" w:rsidRPr="009B7B35" w:rsidRDefault="00BE36FB" w:rsidP="00BE36FB">
            <w:pPr>
              <w:pStyle w:val="TableText"/>
              <w:numPr>
                <w:ilvl w:val="0"/>
                <w:numId w:val="159"/>
              </w:numPr>
              <w:rPr>
                <w:rFonts w:cs="Arial"/>
              </w:rPr>
            </w:pPr>
            <w:r w:rsidRPr="009B7B35">
              <w:rPr>
                <w:rFonts w:cs="Arial"/>
              </w:rPr>
              <w:t>visual impact</w:t>
            </w:r>
          </w:p>
          <w:p w14:paraId="610A950C" w14:textId="77777777" w:rsidR="00BE36FB" w:rsidRPr="009B7B35" w:rsidRDefault="00BE36FB" w:rsidP="00BE36FB">
            <w:pPr>
              <w:pStyle w:val="TableText"/>
              <w:numPr>
                <w:ilvl w:val="0"/>
                <w:numId w:val="159"/>
              </w:numPr>
              <w:rPr>
                <w:rFonts w:cs="Arial"/>
              </w:rPr>
            </w:pPr>
            <w:r w:rsidRPr="009B7B35">
              <w:rPr>
                <w:rFonts w:cs="Arial"/>
              </w:rPr>
              <w:t>signage</w:t>
            </w:r>
          </w:p>
          <w:p w14:paraId="6E04D0A3" w14:textId="77777777" w:rsidR="00BE36FB" w:rsidRPr="009B7B35" w:rsidRDefault="00BE36FB" w:rsidP="00BE36FB">
            <w:pPr>
              <w:pStyle w:val="TableText"/>
              <w:numPr>
                <w:ilvl w:val="0"/>
                <w:numId w:val="159"/>
              </w:numPr>
              <w:rPr>
                <w:rFonts w:cs="Arial"/>
              </w:rPr>
            </w:pPr>
            <w:r w:rsidRPr="009B7B35">
              <w:rPr>
                <w:rFonts w:cs="Arial"/>
              </w:rPr>
              <w:t>odour and emissions</w:t>
            </w:r>
          </w:p>
          <w:p w14:paraId="49C4F0E7" w14:textId="77777777" w:rsidR="00BE36FB" w:rsidRPr="009B7B35" w:rsidRDefault="00BE36FB" w:rsidP="00BE36FB">
            <w:pPr>
              <w:pStyle w:val="TableText"/>
              <w:numPr>
                <w:ilvl w:val="0"/>
                <w:numId w:val="159"/>
              </w:numPr>
              <w:rPr>
                <w:rFonts w:cs="Arial"/>
              </w:rPr>
            </w:pPr>
            <w:r w:rsidRPr="009B7B35">
              <w:rPr>
                <w:rFonts w:cs="Arial"/>
              </w:rPr>
              <w:t>lighting</w:t>
            </w:r>
          </w:p>
          <w:p w14:paraId="235AB924" w14:textId="77777777" w:rsidR="00BE36FB" w:rsidRPr="009B7B35" w:rsidRDefault="00BE36FB" w:rsidP="00BE36FB">
            <w:pPr>
              <w:pStyle w:val="TableText"/>
              <w:numPr>
                <w:ilvl w:val="0"/>
                <w:numId w:val="159"/>
              </w:numPr>
              <w:rPr>
                <w:rFonts w:cs="Arial"/>
              </w:rPr>
            </w:pPr>
            <w:r w:rsidRPr="009B7B35">
              <w:rPr>
                <w:rFonts w:cs="Arial"/>
              </w:rPr>
              <w:t>access to sunlight</w:t>
            </w:r>
          </w:p>
          <w:p w14:paraId="6A7D7124" w14:textId="77777777" w:rsidR="00BE36FB" w:rsidRPr="009B7B35" w:rsidRDefault="00BE36FB" w:rsidP="00BE36FB">
            <w:pPr>
              <w:pStyle w:val="TableText"/>
              <w:numPr>
                <w:ilvl w:val="0"/>
                <w:numId w:val="159"/>
              </w:numPr>
              <w:rPr>
                <w:rFonts w:cs="Arial"/>
              </w:rPr>
            </w:pPr>
            <w:r w:rsidRPr="009B7B35">
              <w:rPr>
                <w:rFonts w:cs="Arial"/>
              </w:rPr>
              <w:t>privacy, and</w:t>
            </w:r>
          </w:p>
          <w:p w14:paraId="696A74D3" w14:textId="77777777" w:rsidR="00BE36FB" w:rsidRPr="009B7B35" w:rsidRDefault="00BE36FB" w:rsidP="00BE36FB">
            <w:pPr>
              <w:pStyle w:val="TableText"/>
              <w:numPr>
                <w:ilvl w:val="0"/>
                <w:numId w:val="159"/>
              </w:numPr>
              <w:rPr>
                <w:rFonts w:cs="Arial"/>
              </w:rPr>
            </w:pPr>
            <w:r w:rsidRPr="009B7B35">
              <w:rPr>
                <w:rFonts w:cs="Arial"/>
              </w:rPr>
              <w:t>outlook.</w:t>
            </w:r>
          </w:p>
          <w:p w14:paraId="3410C16F" w14:textId="77777777" w:rsidR="00BE36FB" w:rsidRPr="009B7B35" w:rsidRDefault="00BE36FB" w:rsidP="001A7107">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14:paraId="01D97FB1"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81E5047" w14:textId="77777777" w:rsidTr="001A7107">
        <w:trPr>
          <w:cantSplit/>
        </w:trPr>
        <w:tc>
          <w:tcPr>
            <w:tcW w:w="4678" w:type="dxa"/>
          </w:tcPr>
          <w:p w14:paraId="12932E08" w14:textId="77777777" w:rsidR="00BE36FB" w:rsidRPr="009B7B35" w:rsidRDefault="00BE36FB" w:rsidP="001A7107">
            <w:pPr>
              <w:pStyle w:val="TableText"/>
              <w:rPr>
                <w:rFonts w:cs="Arial"/>
                <w:b/>
                <w:bCs/>
              </w:rPr>
            </w:pPr>
            <w:r w:rsidRPr="009B7B35">
              <w:rPr>
                <w:rFonts w:cs="Arial"/>
                <w:b/>
                <w:bCs/>
              </w:rPr>
              <w:t>PO22</w:t>
            </w:r>
          </w:p>
          <w:p w14:paraId="33599B7C" w14:textId="77777777" w:rsidR="00BE36FB" w:rsidRPr="009B7B35" w:rsidRDefault="00BE36FB">
            <w:pPr>
              <w:pStyle w:val="TableText"/>
              <w:rPr>
                <w:rFonts w:cs="Arial"/>
              </w:rPr>
            </w:pPr>
            <w:r w:rsidRPr="009B7B35">
              <w:rPr>
                <w:rFonts w:cs="Arial"/>
              </w:rPr>
              <w:t>All uses:</w:t>
            </w:r>
          </w:p>
          <w:p w14:paraId="0FAEAED4" w14:textId="77777777" w:rsidR="00BE36FB" w:rsidRPr="009B7B35" w:rsidRDefault="00BE36FB" w:rsidP="00BE36FB">
            <w:pPr>
              <w:pStyle w:val="TableText"/>
              <w:numPr>
                <w:ilvl w:val="0"/>
                <w:numId w:val="328"/>
              </w:numPr>
              <w:rPr>
                <w:rFonts w:cs="Arial"/>
              </w:rPr>
            </w:pPr>
            <w:r w:rsidRPr="009B7B35">
              <w:rPr>
                <w:rFonts w:cs="Arial"/>
              </w:rPr>
              <w:t>minimise noise, dust, odour or other nuisance from existing lawful uses, and</w:t>
            </w:r>
          </w:p>
          <w:p w14:paraId="3B75B922" w14:textId="77777777" w:rsidR="00BE36FB" w:rsidRPr="009B7B35" w:rsidRDefault="00BE36FB" w:rsidP="00BE36FB">
            <w:pPr>
              <w:pStyle w:val="TableText"/>
              <w:numPr>
                <w:ilvl w:val="0"/>
                <w:numId w:val="328"/>
              </w:numPr>
              <w:rPr>
                <w:rFonts w:cs="Arial"/>
              </w:rPr>
            </w:pPr>
            <w:r w:rsidRPr="009B7B35">
              <w:rPr>
                <w:rFonts w:cs="Arial"/>
              </w:rPr>
              <w:t xml:space="preserve">minimise nuisance caused by noise, vibration and dust emissions generated by the state–controlled road and rail network in the vicinity. </w:t>
            </w:r>
          </w:p>
        </w:tc>
        <w:tc>
          <w:tcPr>
            <w:tcW w:w="4678" w:type="dxa"/>
          </w:tcPr>
          <w:p w14:paraId="2E4C171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093EBF7" w14:textId="77777777" w:rsidTr="001A7107">
        <w:trPr>
          <w:cantSplit/>
        </w:trPr>
        <w:tc>
          <w:tcPr>
            <w:tcW w:w="9356" w:type="dxa"/>
            <w:gridSpan w:val="2"/>
            <w:shd w:val="clear" w:color="auto" w:fill="BFBFBF" w:themeFill="background1" w:themeFillShade="BF"/>
          </w:tcPr>
          <w:p w14:paraId="7DFA90DA" w14:textId="77777777" w:rsidR="00BE36FB" w:rsidRPr="009B7B35" w:rsidRDefault="00BE36FB" w:rsidP="001A7107">
            <w:pPr>
              <w:pStyle w:val="Tableheading"/>
              <w:rPr>
                <w:rFonts w:ascii="Arial" w:hAnsi="Arial" w:cs="Arial"/>
                <w:szCs w:val="20"/>
              </w:rPr>
            </w:pPr>
            <w:r w:rsidRPr="009B7B35">
              <w:rPr>
                <w:rFonts w:ascii="Arial" w:hAnsi="Arial" w:cs="Arial"/>
                <w:szCs w:val="20"/>
              </w:rPr>
              <w:t>Car parking</w:t>
            </w:r>
          </w:p>
        </w:tc>
      </w:tr>
      <w:tr w:rsidR="00BE36FB" w:rsidRPr="009B7B35" w14:paraId="10E9993D" w14:textId="77777777" w:rsidTr="001A7107">
        <w:trPr>
          <w:cantSplit/>
        </w:trPr>
        <w:tc>
          <w:tcPr>
            <w:tcW w:w="4678" w:type="dxa"/>
          </w:tcPr>
          <w:p w14:paraId="15D02472" w14:textId="77777777" w:rsidR="00BE36FB" w:rsidRPr="009B7B35" w:rsidRDefault="00BE36FB" w:rsidP="001A7107">
            <w:pPr>
              <w:pStyle w:val="TableText"/>
              <w:rPr>
                <w:rFonts w:cs="Arial"/>
                <w:b/>
                <w:bCs/>
              </w:rPr>
            </w:pPr>
            <w:r w:rsidRPr="009B7B35">
              <w:rPr>
                <w:rFonts w:cs="Arial"/>
                <w:b/>
                <w:bCs/>
              </w:rPr>
              <w:t>PO23</w:t>
            </w:r>
          </w:p>
          <w:p w14:paraId="6D12E85A" w14:textId="77777777" w:rsidR="00BE36FB" w:rsidRPr="009B7B35" w:rsidRDefault="00BE36FB" w:rsidP="001A7107">
            <w:pPr>
              <w:pStyle w:val="TableText"/>
              <w:rPr>
                <w:rFonts w:cs="Arial"/>
              </w:rPr>
            </w:pPr>
            <w:r w:rsidRPr="009B7B35">
              <w:rPr>
                <w:rFonts w:cs="Arial"/>
              </w:rPr>
              <w:t>Parking and loading areas do not visually dominate the streetscape.</w:t>
            </w:r>
          </w:p>
        </w:tc>
        <w:tc>
          <w:tcPr>
            <w:tcW w:w="4678" w:type="dxa"/>
          </w:tcPr>
          <w:p w14:paraId="0968B4B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6818230" w14:textId="77777777" w:rsidTr="001A7107">
        <w:trPr>
          <w:cantSplit/>
        </w:trPr>
        <w:tc>
          <w:tcPr>
            <w:tcW w:w="9356" w:type="dxa"/>
            <w:gridSpan w:val="2"/>
            <w:shd w:val="clear" w:color="auto" w:fill="BFBFBF" w:themeFill="background1" w:themeFillShade="BF"/>
          </w:tcPr>
          <w:p w14:paraId="6CA87AF2" w14:textId="77777777" w:rsidR="00BE36FB" w:rsidRPr="009B7B35" w:rsidRDefault="00BE36FB" w:rsidP="001A7107">
            <w:pPr>
              <w:pStyle w:val="Tableheading"/>
              <w:rPr>
                <w:rFonts w:ascii="Arial" w:hAnsi="Arial" w:cs="Arial"/>
                <w:szCs w:val="20"/>
              </w:rPr>
            </w:pPr>
            <w:r w:rsidRPr="009B7B35">
              <w:rPr>
                <w:rFonts w:ascii="Arial" w:hAnsi="Arial" w:cs="Arial"/>
                <w:szCs w:val="20"/>
              </w:rPr>
              <w:t>Storage areas</w:t>
            </w:r>
          </w:p>
        </w:tc>
      </w:tr>
      <w:tr w:rsidR="00BE36FB" w:rsidRPr="009B7B35" w14:paraId="43F35989" w14:textId="77777777" w:rsidTr="001A7107">
        <w:tc>
          <w:tcPr>
            <w:tcW w:w="4678" w:type="dxa"/>
          </w:tcPr>
          <w:p w14:paraId="016C310D" w14:textId="77777777" w:rsidR="00BE36FB" w:rsidRPr="009B7B35" w:rsidRDefault="00BE36FB" w:rsidP="001A7107">
            <w:pPr>
              <w:pStyle w:val="TableText"/>
              <w:rPr>
                <w:rFonts w:cs="Arial"/>
                <w:b/>
                <w:bCs/>
              </w:rPr>
            </w:pPr>
            <w:r w:rsidRPr="009B7B35">
              <w:rPr>
                <w:rFonts w:cs="Arial"/>
                <w:b/>
                <w:bCs/>
              </w:rPr>
              <w:t>PO24</w:t>
            </w:r>
          </w:p>
          <w:p w14:paraId="2EA26962" w14:textId="77777777" w:rsidR="00BE36FB" w:rsidRPr="009B7B35" w:rsidRDefault="00BE36FB" w:rsidP="001A7107">
            <w:pPr>
              <w:pStyle w:val="TableText"/>
              <w:rPr>
                <w:rFonts w:cs="Arial"/>
              </w:rPr>
            </w:pPr>
            <w:r w:rsidRPr="009B7B35">
              <w:rPr>
                <w:rFonts w:cs="Arial"/>
              </w:rPr>
              <w:t>Ancillary storage of goods or materials is located in a manner that does not detract from the visual amenity of the local area.</w:t>
            </w:r>
          </w:p>
        </w:tc>
        <w:tc>
          <w:tcPr>
            <w:tcW w:w="4678" w:type="dxa"/>
          </w:tcPr>
          <w:p w14:paraId="27B1AE25" w14:textId="77777777" w:rsidR="00BE36FB" w:rsidRPr="009B7B35" w:rsidRDefault="00BE36FB" w:rsidP="001A7107">
            <w:pPr>
              <w:pStyle w:val="TableText"/>
              <w:rPr>
                <w:rFonts w:cs="Arial"/>
                <w:b/>
                <w:bCs/>
              </w:rPr>
            </w:pPr>
            <w:r w:rsidRPr="009B7B35">
              <w:rPr>
                <w:rFonts w:cs="Arial"/>
                <w:b/>
                <w:bCs/>
              </w:rPr>
              <w:t>AO24</w:t>
            </w:r>
          </w:p>
          <w:p w14:paraId="667282BD" w14:textId="77777777" w:rsidR="00BE36FB" w:rsidRPr="009B7B35" w:rsidRDefault="00BE36FB">
            <w:pPr>
              <w:pStyle w:val="TableText"/>
              <w:rPr>
                <w:rFonts w:cs="Arial"/>
              </w:rPr>
            </w:pPr>
            <w:r w:rsidRPr="009B7B35">
              <w:rPr>
                <w:rFonts w:cs="Arial"/>
              </w:rPr>
              <w:t xml:space="preserve">Equipment, materials, goods and/or, machinery used on site are either: </w:t>
            </w:r>
          </w:p>
          <w:p w14:paraId="520E852E" w14:textId="77777777" w:rsidR="00BE36FB" w:rsidRPr="009B7B35" w:rsidRDefault="00BE36FB" w:rsidP="00BE36FB">
            <w:pPr>
              <w:pStyle w:val="TableText"/>
              <w:numPr>
                <w:ilvl w:val="0"/>
                <w:numId w:val="327"/>
              </w:numPr>
              <w:ind w:left="567" w:hanging="567"/>
              <w:rPr>
                <w:rFonts w:cs="Arial"/>
              </w:rPr>
            </w:pPr>
            <w:r w:rsidRPr="009B7B35">
              <w:rPr>
                <w:rFonts w:cs="Arial"/>
              </w:rPr>
              <w:t>stored behind the front building setback and screened from view, or</w:t>
            </w:r>
          </w:p>
          <w:p w14:paraId="12182941" w14:textId="77777777" w:rsidR="00BE36FB" w:rsidRPr="009B7B35" w:rsidRDefault="00BE36FB" w:rsidP="00BE36FB">
            <w:pPr>
              <w:pStyle w:val="TableText"/>
              <w:numPr>
                <w:ilvl w:val="0"/>
                <w:numId w:val="327"/>
              </w:numPr>
              <w:ind w:left="567" w:hanging="567"/>
              <w:rPr>
                <w:rFonts w:cs="Arial"/>
              </w:rPr>
            </w:pPr>
            <w:r w:rsidRPr="009B7B35">
              <w:rPr>
                <w:rFonts w:cs="Arial"/>
              </w:rPr>
              <w:t>stored within a building.</w:t>
            </w:r>
          </w:p>
        </w:tc>
      </w:tr>
      <w:tr w:rsidR="00BE36FB" w:rsidRPr="009B7B35" w14:paraId="554226E7" w14:textId="77777777" w:rsidTr="001A7107">
        <w:tc>
          <w:tcPr>
            <w:tcW w:w="9356" w:type="dxa"/>
            <w:gridSpan w:val="2"/>
            <w:shd w:val="clear" w:color="auto" w:fill="BFBFBF" w:themeFill="background1" w:themeFillShade="BF"/>
          </w:tcPr>
          <w:p w14:paraId="69BEBC13" w14:textId="77777777" w:rsidR="00BE36FB" w:rsidRPr="009B7B35" w:rsidRDefault="00BE36FB" w:rsidP="001A7107">
            <w:pPr>
              <w:pStyle w:val="Tableheading"/>
              <w:rPr>
                <w:rFonts w:ascii="Arial" w:hAnsi="Arial" w:cs="Arial"/>
                <w:szCs w:val="20"/>
              </w:rPr>
            </w:pPr>
            <w:r w:rsidRPr="009B7B35">
              <w:rPr>
                <w:rFonts w:ascii="Arial" w:hAnsi="Arial" w:cs="Arial"/>
                <w:szCs w:val="20"/>
              </w:rPr>
              <w:t>Effects of development</w:t>
            </w:r>
          </w:p>
        </w:tc>
      </w:tr>
      <w:tr w:rsidR="00BE36FB" w:rsidRPr="009B7B35" w14:paraId="1FD57C0F" w14:textId="77777777" w:rsidTr="001A7107">
        <w:tc>
          <w:tcPr>
            <w:tcW w:w="4678" w:type="dxa"/>
          </w:tcPr>
          <w:p w14:paraId="65DB4B60" w14:textId="77777777" w:rsidR="00BE36FB" w:rsidRPr="009B7B35" w:rsidRDefault="00BE36FB" w:rsidP="001A7107">
            <w:pPr>
              <w:pStyle w:val="TableText"/>
              <w:rPr>
                <w:rFonts w:cs="Arial"/>
                <w:b/>
                <w:bCs/>
              </w:rPr>
            </w:pPr>
            <w:r w:rsidRPr="009B7B35">
              <w:rPr>
                <w:rFonts w:cs="Arial"/>
                <w:b/>
                <w:bCs/>
              </w:rPr>
              <w:t>PO25</w:t>
            </w:r>
          </w:p>
          <w:p w14:paraId="28E78B73" w14:textId="77777777" w:rsidR="00BE36FB" w:rsidRPr="009B7B35" w:rsidRDefault="00BE36FB" w:rsidP="001A7107">
            <w:pPr>
              <w:pStyle w:val="TableText"/>
              <w:rPr>
                <w:rFonts w:cs="Arial"/>
              </w:rPr>
            </w:pPr>
            <w:r w:rsidRPr="009B7B35">
              <w:rPr>
                <w:rFonts w:cs="Arial"/>
              </w:rPr>
              <w:t>Development responds sensitively to on–site and surrounding topography, coastal foreshores, waterways, drainage patterns, utility services, access, vegetation and adjoining land use, such that:</w:t>
            </w:r>
          </w:p>
          <w:p w14:paraId="55DD91FE" w14:textId="77777777" w:rsidR="00BE36FB" w:rsidRPr="009B7B35" w:rsidRDefault="00BE36FB" w:rsidP="00BE36FB">
            <w:pPr>
              <w:pStyle w:val="TableText"/>
              <w:numPr>
                <w:ilvl w:val="0"/>
                <w:numId w:val="316"/>
              </w:numPr>
              <w:ind w:left="510" w:hanging="510"/>
              <w:rPr>
                <w:rFonts w:cs="Arial"/>
              </w:rPr>
            </w:pPr>
            <w:r w:rsidRPr="009B7B35">
              <w:rPr>
                <w:rFonts w:cs="Arial"/>
              </w:rPr>
              <w:t>any hazards to people or property are avoided</w:t>
            </w:r>
          </w:p>
          <w:p w14:paraId="3036A799" w14:textId="77777777" w:rsidR="00BE36FB" w:rsidRPr="009B7B35" w:rsidRDefault="00BE36FB" w:rsidP="00BE36FB">
            <w:pPr>
              <w:pStyle w:val="TableText"/>
              <w:numPr>
                <w:ilvl w:val="0"/>
                <w:numId w:val="316"/>
              </w:numPr>
              <w:ind w:left="510" w:hanging="510"/>
              <w:rPr>
                <w:rFonts w:cs="Arial"/>
              </w:rPr>
            </w:pPr>
            <w:r w:rsidRPr="009B7B35">
              <w:rPr>
                <w:rFonts w:cs="Arial"/>
              </w:rPr>
              <w:t>any earthworks are minimised</w:t>
            </w:r>
          </w:p>
          <w:p w14:paraId="3BC868C2" w14:textId="77777777" w:rsidR="00BE36FB" w:rsidRPr="009B7B35" w:rsidRDefault="00BE36FB" w:rsidP="00BE36FB">
            <w:pPr>
              <w:pStyle w:val="TableText"/>
              <w:numPr>
                <w:ilvl w:val="0"/>
                <w:numId w:val="316"/>
              </w:numPr>
              <w:ind w:left="510" w:hanging="510"/>
              <w:rPr>
                <w:rFonts w:cs="Arial"/>
              </w:rPr>
            </w:pPr>
            <w:r w:rsidRPr="009B7B35">
              <w:rPr>
                <w:rFonts w:cs="Arial"/>
              </w:rPr>
              <w:t>the retention of natural drainage lines is maximised</w:t>
            </w:r>
          </w:p>
          <w:p w14:paraId="12679B98" w14:textId="77777777" w:rsidR="00BE36FB" w:rsidRPr="009B7B35" w:rsidRDefault="00BE36FB" w:rsidP="00BE36FB">
            <w:pPr>
              <w:pStyle w:val="TableText"/>
              <w:numPr>
                <w:ilvl w:val="0"/>
                <w:numId w:val="316"/>
              </w:numPr>
              <w:ind w:left="510" w:hanging="510"/>
              <w:rPr>
                <w:rFonts w:cs="Arial"/>
              </w:rPr>
            </w:pPr>
            <w:r w:rsidRPr="009B7B35">
              <w:rPr>
                <w:rFonts w:cs="Arial"/>
              </w:rPr>
              <w:t>the retention of existing vegetation is maximised</w:t>
            </w:r>
          </w:p>
          <w:p w14:paraId="2BC8C3C7" w14:textId="77777777" w:rsidR="00BE36FB" w:rsidRPr="009B7B35" w:rsidRDefault="00BE36FB" w:rsidP="00BE36FB">
            <w:pPr>
              <w:pStyle w:val="TableText"/>
              <w:numPr>
                <w:ilvl w:val="0"/>
                <w:numId w:val="316"/>
              </w:numPr>
              <w:ind w:left="510" w:hanging="510"/>
              <w:rPr>
                <w:rFonts w:cs="Arial"/>
              </w:rPr>
            </w:pPr>
            <w:r w:rsidRPr="009B7B35">
              <w:rPr>
                <w:rFonts w:cs="Arial"/>
              </w:rPr>
              <w:t xml:space="preserve">damage or disruption to sewerage, stormwater and water infrastructure is avoided, and </w:t>
            </w:r>
          </w:p>
          <w:p w14:paraId="500B6D8D" w14:textId="77777777" w:rsidR="00BE36FB" w:rsidRPr="009B7B35" w:rsidRDefault="00BE36FB" w:rsidP="00BE36FB">
            <w:pPr>
              <w:pStyle w:val="TableText"/>
              <w:numPr>
                <w:ilvl w:val="0"/>
                <w:numId w:val="316"/>
              </w:numPr>
              <w:ind w:left="510" w:hanging="510"/>
              <w:rPr>
                <w:rFonts w:cs="Arial"/>
              </w:rPr>
            </w:pPr>
            <w:r w:rsidRPr="009B7B35">
              <w:rPr>
                <w:rFonts w:cs="Arial"/>
              </w:rPr>
              <w:t>there is adequate buffering, screening or separation to adjoining development.</w:t>
            </w:r>
          </w:p>
        </w:tc>
        <w:tc>
          <w:tcPr>
            <w:tcW w:w="4678" w:type="dxa"/>
          </w:tcPr>
          <w:p w14:paraId="6176A64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BCAC12F" w14:textId="77777777" w:rsidTr="001A7107">
        <w:trPr>
          <w:cantSplit/>
        </w:trPr>
        <w:tc>
          <w:tcPr>
            <w:tcW w:w="9356" w:type="dxa"/>
            <w:gridSpan w:val="2"/>
            <w:shd w:val="clear" w:color="auto" w:fill="BFBFBF" w:themeFill="background1" w:themeFillShade="BF"/>
          </w:tcPr>
          <w:p w14:paraId="5C0520DE" w14:textId="77777777" w:rsidR="00BE36FB" w:rsidRPr="009B7B35" w:rsidRDefault="00BE36FB" w:rsidP="001A7107">
            <w:pPr>
              <w:pStyle w:val="Tableheading"/>
              <w:rPr>
                <w:rFonts w:ascii="Arial" w:hAnsi="Arial" w:cs="Arial"/>
                <w:szCs w:val="20"/>
              </w:rPr>
            </w:pPr>
            <w:r w:rsidRPr="009B7B35">
              <w:rPr>
                <w:rFonts w:ascii="Arial" w:hAnsi="Arial" w:cs="Arial"/>
                <w:szCs w:val="20"/>
              </w:rPr>
              <w:t>Use – Service station</w:t>
            </w:r>
          </w:p>
        </w:tc>
      </w:tr>
      <w:tr w:rsidR="00BE36FB" w:rsidRPr="009B7B35" w14:paraId="740EB1E3" w14:textId="77777777" w:rsidTr="001A7107">
        <w:trPr>
          <w:cantSplit/>
        </w:trPr>
        <w:tc>
          <w:tcPr>
            <w:tcW w:w="4678" w:type="dxa"/>
          </w:tcPr>
          <w:p w14:paraId="3C620E6D" w14:textId="77777777" w:rsidR="00BE36FB" w:rsidRPr="009B7B35" w:rsidRDefault="00BE36FB" w:rsidP="001A7107">
            <w:pPr>
              <w:pStyle w:val="TableText"/>
              <w:rPr>
                <w:rFonts w:cs="Arial"/>
                <w:b/>
                <w:bCs/>
              </w:rPr>
            </w:pPr>
            <w:r w:rsidRPr="009B7B35">
              <w:rPr>
                <w:rFonts w:cs="Arial"/>
                <w:b/>
                <w:bCs/>
              </w:rPr>
              <w:t>PO26</w:t>
            </w:r>
          </w:p>
          <w:p w14:paraId="18D04A16" w14:textId="77777777" w:rsidR="00BE36FB" w:rsidRPr="009B7B35" w:rsidRDefault="00BE36FB" w:rsidP="001A7107">
            <w:pPr>
              <w:pStyle w:val="TableText"/>
              <w:rPr>
                <w:rFonts w:cs="Arial"/>
              </w:rPr>
            </w:pPr>
            <w:r w:rsidRPr="009B7B35">
              <w:rPr>
                <w:rFonts w:cs="Arial"/>
              </w:rPr>
              <w:t>Buildings and structures allow for the safe operation of the service station.</w:t>
            </w:r>
          </w:p>
        </w:tc>
        <w:tc>
          <w:tcPr>
            <w:tcW w:w="4678" w:type="dxa"/>
          </w:tcPr>
          <w:p w14:paraId="09B6E358" w14:textId="77777777" w:rsidR="00BE36FB" w:rsidRPr="009B7B35" w:rsidRDefault="00BE36FB" w:rsidP="001A7107">
            <w:pPr>
              <w:pStyle w:val="TableText"/>
              <w:rPr>
                <w:rFonts w:cs="Arial"/>
                <w:b/>
                <w:bCs/>
              </w:rPr>
            </w:pPr>
            <w:r w:rsidRPr="009B7B35">
              <w:rPr>
                <w:rFonts w:cs="Arial"/>
                <w:b/>
                <w:bCs/>
              </w:rPr>
              <w:t>AO26</w:t>
            </w:r>
          </w:p>
          <w:p w14:paraId="483C6708" w14:textId="77777777" w:rsidR="00BE36FB" w:rsidRPr="009B7B35" w:rsidRDefault="00BE36FB">
            <w:pPr>
              <w:pStyle w:val="TableText"/>
              <w:rPr>
                <w:rFonts w:cs="Arial"/>
              </w:rPr>
            </w:pPr>
            <w:r w:rsidRPr="009B7B35">
              <w:rPr>
                <w:rFonts w:cs="Arial"/>
              </w:rPr>
              <w:t>All buildings and structures, including equipment associated with the service station operation are setback as follows:</w:t>
            </w:r>
          </w:p>
          <w:p w14:paraId="5049835C" w14:textId="77777777" w:rsidR="00BE36FB" w:rsidRPr="009B7B35" w:rsidRDefault="00BE36FB" w:rsidP="00BE36FB">
            <w:pPr>
              <w:pStyle w:val="TableText"/>
              <w:numPr>
                <w:ilvl w:val="0"/>
                <w:numId w:val="326"/>
              </w:numPr>
              <w:rPr>
                <w:rFonts w:cs="Arial"/>
              </w:rPr>
            </w:pPr>
            <w:r w:rsidRPr="009B7B35">
              <w:rPr>
                <w:rFonts w:cs="Arial"/>
              </w:rPr>
              <w:t>10m from the front boundary</w:t>
            </w:r>
          </w:p>
          <w:p w14:paraId="2F413804" w14:textId="77777777" w:rsidR="00BE36FB" w:rsidRPr="009B7B35" w:rsidRDefault="00BE36FB" w:rsidP="00BE36FB">
            <w:pPr>
              <w:pStyle w:val="TableText"/>
              <w:numPr>
                <w:ilvl w:val="0"/>
                <w:numId w:val="326"/>
              </w:numPr>
              <w:rPr>
                <w:rFonts w:cs="Arial"/>
              </w:rPr>
            </w:pPr>
            <w:r w:rsidRPr="009B7B35">
              <w:rPr>
                <w:rFonts w:cs="Arial"/>
              </w:rPr>
              <w:t>2m from the side and rear boundaries.</w:t>
            </w:r>
          </w:p>
        </w:tc>
      </w:tr>
      <w:tr w:rsidR="00BE36FB" w:rsidRPr="009B7B35" w14:paraId="767E3E1E" w14:textId="77777777" w:rsidTr="001A7107">
        <w:trPr>
          <w:cantSplit/>
        </w:trPr>
        <w:tc>
          <w:tcPr>
            <w:tcW w:w="4678" w:type="dxa"/>
          </w:tcPr>
          <w:p w14:paraId="72CB59C2" w14:textId="77777777" w:rsidR="00BE36FB" w:rsidRPr="009B7B35" w:rsidRDefault="00BE36FB" w:rsidP="001A7107">
            <w:pPr>
              <w:pStyle w:val="TableText"/>
              <w:rPr>
                <w:rFonts w:cs="Arial"/>
                <w:b/>
                <w:bCs/>
              </w:rPr>
            </w:pPr>
            <w:r w:rsidRPr="009B7B35">
              <w:rPr>
                <w:rFonts w:cs="Arial"/>
                <w:b/>
                <w:bCs/>
              </w:rPr>
              <w:t>PO27</w:t>
            </w:r>
          </w:p>
          <w:p w14:paraId="7E3F50E6" w14:textId="77777777" w:rsidR="00BE36FB" w:rsidRPr="009B7B35" w:rsidRDefault="00BE36FB" w:rsidP="001A7107">
            <w:pPr>
              <w:pStyle w:val="TableText"/>
              <w:rPr>
                <w:rFonts w:cs="Arial"/>
              </w:rPr>
            </w:pPr>
            <w:r w:rsidRPr="009B7B35">
              <w:rPr>
                <w:rFonts w:cs="Arial"/>
              </w:rPr>
              <w:t>Retail components are ancillary to the service station use.</w:t>
            </w:r>
          </w:p>
        </w:tc>
        <w:tc>
          <w:tcPr>
            <w:tcW w:w="4678" w:type="dxa"/>
          </w:tcPr>
          <w:p w14:paraId="5E0F7745" w14:textId="77777777" w:rsidR="00BE36FB" w:rsidRPr="009B7B35" w:rsidRDefault="00BE36FB" w:rsidP="001A7107">
            <w:pPr>
              <w:pStyle w:val="TableText"/>
              <w:rPr>
                <w:rFonts w:cs="Arial"/>
                <w:b/>
                <w:bCs/>
              </w:rPr>
            </w:pPr>
            <w:r w:rsidRPr="009B7B35">
              <w:rPr>
                <w:rFonts w:cs="Arial"/>
                <w:b/>
                <w:bCs/>
              </w:rPr>
              <w:t>AO27</w:t>
            </w:r>
          </w:p>
          <w:p w14:paraId="125F8BAE" w14:textId="77777777" w:rsidR="00BE36FB" w:rsidRPr="009B7B35" w:rsidRDefault="00BE36FB" w:rsidP="001A7107">
            <w:pPr>
              <w:pStyle w:val="TableText"/>
              <w:rPr>
                <w:rFonts w:cs="Arial"/>
              </w:rPr>
            </w:pPr>
            <w:r w:rsidRPr="009B7B35">
              <w:rPr>
                <w:rFonts w:cs="Arial"/>
              </w:rPr>
              <w:t>The maximum area of retail GFA is 80m</w:t>
            </w:r>
            <w:r w:rsidRPr="009B7B35">
              <w:rPr>
                <w:rStyle w:val="StyleSuperscript"/>
                <w:rFonts w:cs="Arial"/>
              </w:rPr>
              <w:t>2</w:t>
            </w:r>
            <w:r w:rsidRPr="009B7B35">
              <w:rPr>
                <w:rFonts w:cs="Arial"/>
              </w:rPr>
              <w:t>.</w:t>
            </w:r>
          </w:p>
        </w:tc>
      </w:tr>
    </w:tbl>
    <w:p w14:paraId="6421EFAB" w14:textId="77777777" w:rsidR="00BE36FB" w:rsidRPr="009B7B35" w:rsidRDefault="00BE36FB" w:rsidP="001A7107">
      <w:pPr>
        <w:rPr>
          <w:rFonts w:ascii="Arial" w:hAnsi="Arial" w:cs="Arial"/>
          <w:sz w:val="20"/>
          <w:szCs w:val="20"/>
        </w:rPr>
      </w:pPr>
    </w:p>
    <w:p w14:paraId="04F46D2F"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300D536E" w14:textId="77777777" w:rsidR="00BE36FB" w:rsidRPr="009B7B35" w:rsidRDefault="00BE36FB" w:rsidP="006776DA">
      <w:pPr>
        <w:pStyle w:val="Heading3"/>
        <w:keepLines/>
        <w:numPr>
          <w:ilvl w:val="2"/>
          <w:numId w:val="883"/>
        </w:numPr>
        <w:spacing w:before="240"/>
        <w:rPr>
          <w:rFonts w:ascii="Arial" w:hAnsi="Arial"/>
          <w:sz w:val="20"/>
          <w:szCs w:val="20"/>
        </w:rPr>
      </w:pPr>
      <w:bookmarkStart w:id="208" w:name="_Toc205367371"/>
      <w:r w:rsidRPr="009B7B35">
        <w:rPr>
          <w:rFonts w:ascii="Arial" w:hAnsi="Arial"/>
          <w:sz w:val="20"/>
          <w:szCs w:val="20"/>
        </w:rPr>
        <w:t>Township</w:t>
      </w:r>
      <w:bookmarkEnd w:id="208"/>
    </w:p>
    <w:p w14:paraId="0A467503" w14:textId="77777777" w:rsidR="00BE36FB" w:rsidRPr="009B7B35" w:rsidRDefault="00BE36FB" w:rsidP="006776DA">
      <w:pPr>
        <w:pStyle w:val="Heading4"/>
        <w:numPr>
          <w:ilvl w:val="3"/>
          <w:numId w:val="883"/>
        </w:numPr>
        <w:rPr>
          <w:rFonts w:ascii="Arial" w:hAnsi="Arial" w:cs="Arial"/>
          <w:sz w:val="20"/>
          <w:szCs w:val="20"/>
        </w:rPr>
      </w:pPr>
      <w:bookmarkStart w:id="209" w:name="_Toc341449030"/>
      <w:r w:rsidRPr="009B7B35">
        <w:rPr>
          <w:rFonts w:ascii="Arial" w:hAnsi="Arial" w:cs="Arial"/>
          <w:sz w:val="20"/>
          <w:szCs w:val="20"/>
        </w:rPr>
        <w:t>Application</w:t>
      </w:r>
      <w:bookmarkEnd w:id="209"/>
    </w:p>
    <w:p w14:paraId="4C03A398"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42A7DE34" w14:textId="77777777" w:rsidR="00BE36FB" w:rsidRPr="009B7B35" w:rsidRDefault="00BE36FB" w:rsidP="006776DA">
      <w:pPr>
        <w:pStyle w:val="Heading4"/>
        <w:numPr>
          <w:ilvl w:val="3"/>
          <w:numId w:val="883"/>
        </w:numPr>
        <w:rPr>
          <w:rFonts w:ascii="Arial" w:hAnsi="Arial" w:cs="Arial"/>
          <w:sz w:val="20"/>
          <w:szCs w:val="20"/>
        </w:rPr>
      </w:pPr>
      <w:bookmarkStart w:id="210" w:name="_Toc341449031"/>
      <w:r w:rsidRPr="009B7B35">
        <w:rPr>
          <w:rFonts w:ascii="Arial" w:hAnsi="Arial" w:cs="Arial"/>
          <w:sz w:val="20"/>
          <w:szCs w:val="20"/>
        </w:rPr>
        <w:t>Purpose</w:t>
      </w:r>
      <w:bookmarkEnd w:id="210"/>
    </w:p>
    <w:p w14:paraId="3D043E84" w14:textId="77777777" w:rsidR="00BE36FB" w:rsidRPr="009B7B35" w:rsidRDefault="00BE36FB" w:rsidP="00BE36FB">
      <w:pPr>
        <w:numPr>
          <w:ilvl w:val="0"/>
          <w:numId w:val="160"/>
        </w:numPr>
        <w:ind w:left="567" w:hanging="567"/>
        <w:rPr>
          <w:rFonts w:ascii="Arial" w:hAnsi="Arial" w:cs="Arial"/>
          <w:sz w:val="20"/>
          <w:szCs w:val="20"/>
        </w:rPr>
      </w:pPr>
      <w:r w:rsidRPr="009B7B35">
        <w:rPr>
          <w:rFonts w:ascii="Arial" w:hAnsi="Arial" w:cs="Arial"/>
          <w:sz w:val="20"/>
          <w:szCs w:val="20"/>
        </w:rPr>
        <w:t>The purpose of the township zone code is to provide for small village and town settlements in rural and coastal places. Development provides for a mix of uses including residential, retail, business, education, community purpose, recreation and open space that support the needs of the local community and surrounding hinterland areas. Non–residential uses can also include highway services and rural services. Tourist related uses such as tourist parks and small scale short–term accommodation may also be appropriate where they are consistent with township character.</w:t>
      </w:r>
    </w:p>
    <w:p w14:paraId="66DF2EAF" w14:textId="77777777" w:rsidR="00BE36FB" w:rsidRPr="009B7B35" w:rsidRDefault="00BE36FB" w:rsidP="00BE36FB">
      <w:pPr>
        <w:numPr>
          <w:ilvl w:val="0"/>
          <w:numId w:val="160"/>
        </w:numPr>
        <w:ind w:left="567" w:hanging="567"/>
        <w:rPr>
          <w:rFonts w:ascii="Arial" w:hAnsi="Arial" w:cs="Arial"/>
          <w:sz w:val="20"/>
          <w:szCs w:val="20"/>
        </w:rPr>
      </w:pPr>
      <w:r w:rsidRPr="009B7B35">
        <w:rPr>
          <w:rFonts w:ascii="Arial" w:hAnsi="Arial" w:cs="Arial"/>
          <w:sz w:val="20"/>
          <w:szCs w:val="20"/>
        </w:rPr>
        <w:t>The purpose of the zone will be achieved through the following overall outcomes:</w:t>
      </w:r>
    </w:p>
    <w:p w14:paraId="1B0EDC86" w14:textId="77777777"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A range of residential, retail, commercial, administrative and cultural uses are provided.</w:t>
      </w:r>
    </w:p>
    <w:p w14:paraId="242EB834" w14:textId="77777777"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 xml:space="preserve">Non–residential uses are clustered on the main street of the township to ensure commercial uses are co-located and to minimise the amenity impacts on any adjoining residential uses. </w:t>
      </w:r>
    </w:p>
    <w:p w14:paraId="2F5D6D39" w14:textId="77777777"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Development protects and enhances the unique local or historic character of a town.</w:t>
      </w:r>
    </w:p>
    <w:p w14:paraId="2E33DE61" w14:textId="77777777"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 xml:space="preserve">Developments provide entry statements which are unique to the local history of the township. </w:t>
      </w:r>
    </w:p>
    <w:p w14:paraId="16E6EB55" w14:textId="77777777"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Development services the needs of both local residents, residents of the surrounding rural and coastal hinterland areas and visitors.</w:t>
      </w:r>
    </w:p>
    <w:p w14:paraId="33DEE948" w14:textId="77777777"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Development is designed to incorporate sustainable practices including maximising energy efficiency and water conservation.</w:t>
      </w:r>
    </w:p>
    <w:p w14:paraId="09A83AFD" w14:textId="77777777"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Development provides a high level of amenity.</w:t>
      </w:r>
    </w:p>
    <w:p w14:paraId="15EBA87F" w14:textId="77777777"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Community facilities and infrastructure that directly supports the local community is facilitated.</w:t>
      </w:r>
    </w:p>
    <w:p w14:paraId="0CABC68A" w14:textId="77777777"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Natural features such as creeks, gullies, waterways, wetlands, habitats, vegetation and bushland are retained, enhanced and buffered from the impacts of adjacent uses and any unavoidable impacts are minimised through location, design, operation and management requirements.</w:t>
      </w:r>
    </w:p>
    <w:p w14:paraId="34EC4AAA" w14:textId="77777777" w:rsidR="00BE36FB" w:rsidRPr="009B7B35" w:rsidRDefault="00BE36FB" w:rsidP="00BE36FB">
      <w:pPr>
        <w:numPr>
          <w:ilvl w:val="1"/>
          <w:numId w:val="160"/>
        </w:numPr>
        <w:ind w:left="1134" w:hanging="567"/>
        <w:rPr>
          <w:rFonts w:ascii="Arial" w:hAnsi="Arial" w:cs="Arial"/>
          <w:sz w:val="20"/>
          <w:szCs w:val="20"/>
        </w:rPr>
      </w:pPr>
      <w:r w:rsidRPr="009B7B35">
        <w:rPr>
          <w:rFonts w:ascii="Arial" w:hAnsi="Arial" w:cs="Arial"/>
          <w:sz w:val="20"/>
          <w:szCs w:val="20"/>
        </w:rPr>
        <w:t>Development responds to land constraints, including but not limited to topography, bushfire and flooding.</w:t>
      </w:r>
    </w:p>
    <w:p w14:paraId="67F92DE1" w14:textId="77777777" w:rsidR="00BE36FB" w:rsidRPr="009B7B35" w:rsidRDefault="00BE36FB" w:rsidP="006776DA">
      <w:pPr>
        <w:pStyle w:val="Heading4"/>
        <w:numPr>
          <w:ilvl w:val="3"/>
          <w:numId w:val="883"/>
        </w:numPr>
        <w:rPr>
          <w:rFonts w:ascii="Arial" w:hAnsi="Arial" w:cs="Arial"/>
          <w:sz w:val="20"/>
          <w:szCs w:val="20"/>
        </w:rPr>
      </w:pPr>
      <w:bookmarkStart w:id="211" w:name="_Toc341449032"/>
      <w:r w:rsidRPr="009B7B35">
        <w:rPr>
          <w:rFonts w:ascii="Arial" w:hAnsi="Arial" w:cs="Arial"/>
          <w:sz w:val="20"/>
          <w:szCs w:val="20"/>
        </w:rPr>
        <w:t xml:space="preserve">Assessment </w:t>
      </w:r>
      <w:bookmarkEnd w:id="211"/>
      <w:r w:rsidRPr="009B7B35">
        <w:rPr>
          <w:rFonts w:ascii="Arial" w:hAnsi="Arial" w:cs="Arial"/>
          <w:sz w:val="20"/>
          <w:szCs w:val="20"/>
        </w:rPr>
        <w:t>benchmarks</w:t>
      </w:r>
    </w:p>
    <w:p w14:paraId="5D61ED93" w14:textId="77777777" w:rsidR="00BE36FB" w:rsidRPr="009B7B35" w:rsidRDefault="00BE36FB" w:rsidP="003A35DA">
      <w:pPr>
        <w:pStyle w:val="Heading5"/>
        <w:numPr>
          <w:ilvl w:val="0"/>
          <w:numId w:val="0"/>
        </w:numPr>
        <w:rPr>
          <w:rFonts w:cs="Arial"/>
          <w:szCs w:val="20"/>
        </w:rPr>
      </w:pPr>
      <w:bookmarkStart w:id="212" w:name="_Toc341449033"/>
      <w:r w:rsidRPr="009B7B35">
        <w:rPr>
          <w:rFonts w:cs="Arial"/>
          <w:szCs w:val="20"/>
        </w:rPr>
        <w:t>Table 6.2.26.3.1—</w:t>
      </w:r>
      <w:bookmarkEnd w:id="212"/>
      <w:r w:rsidRPr="009B7B35">
        <w:rPr>
          <w:rFonts w:cs="Arial"/>
          <w:szCs w:val="20"/>
        </w:rPr>
        <w:t xml:space="preserve">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14:paraId="7442F899"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10E3FC45"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15518AB5"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0DD9445B" w14:textId="77777777" w:rsidTr="001A7107">
        <w:trPr>
          <w:cantSplit/>
        </w:trPr>
        <w:tc>
          <w:tcPr>
            <w:tcW w:w="9356" w:type="dxa"/>
            <w:gridSpan w:val="2"/>
            <w:shd w:val="clear" w:color="auto" w:fill="BFBFBF" w:themeFill="background1" w:themeFillShade="BF"/>
          </w:tcPr>
          <w:p w14:paraId="48480449" w14:textId="77777777" w:rsidR="00BE36FB" w:rsidRPr="009B7B35" w:rsidRDefault="00BE36FB" w:rsidP="001A7107">
            <w:pPr>
              <w:pStyle w:val="Tableheading"/>
              <w:rPr>
                <w:rFonts w:ascii="Arial" w:hAnsi="Arial" w:cs="Arial"/>
                <w:szCs w:val="20"/>
              </w:rPr>
            </w:pPr>
            <w:r w:rsidRPr="009B7B35">
              <w:rPr>
                <w:rFonts w:ascii="Arial" w:hAnsi="Arial" w:cs="Arial"/>
                <w:szCs w:val="20"/>
              </w:rPr>
              <w:t>Use – Caretaker’s accommodation</w:t>
            </w:r>
          </w:p>
        </w:tc>
      </w:tr>
      <w:tr w:rsidR="00BE36FB" w:rsidRPr="009B7B35" w14:paraId="62BEE468" w14:textId="77777777" w:rsidTr="001A7107">
        <w:trPr>
          <w:cantSplit/>
        </w:trPr>
        <w:tc>
          <w:tcPr>
            <w:tcW w:w="4678" w:type="dxa"/>
            <w:vMerge w:val="restart"/>
          </w:tcPr>
          <w:p w14:paraId="632016BF" w14:textId="77777777" w:rsidR="00BE36FB" w:rsidRPr="009B7B35" w:rsidRDefault="00BE36FB" w:rsidP="001A7107">
            <w:pPr>
              <w:pStyle w:val="TableText"/>
              <w:rPr>
                <w:rFonts w:cs="Arial"/>
                <w:b/>
                <w:bCs/>
              </w:rPr>
            </w:pPr>
            <w:r w:rsidRPr="009B7B35">
              <w:rPr>
                <w:rFonts w:cs="Arial"/>
                <w:b/>
                <w:bCs/>
              </w:rPr>
              <w:t>PO1</w:t>
            </w:r>
          </w:p>
          <w:p w14:paraId="6115865C" w14:textId="77777777" w:rsidR="00BE36FB" w:rsidRPr="009B7B35" w:rsidRDefault="00BE36FB" w:rsidP="001A7107">
            <w:pPr>
              <w:pStyle w:val="TableText"/>
              <w:rPr>
                <w:rFonts w:cs="Arial"/>
              </w:rPr>
            </w:pPr>
            <w:r w:rsidRPr="009B7B35">
              <w:rPr>
                <w:rFonts w:cs="Arial"/>
              </w:rPr>
              <w:t xml:space="preserve">Development: </w:t>
            </w:r>
          </w:p>
          <w:p w14:paraId="11D0639F" w14:textId="77777777" w:rsidR="00BE36FB" w:rsidRPr="009B7B35" w:rsidRDefault="00BE36FB" w:rsidP="00BE36FB">
            <w:pPr>
              <w:pStyle w:val="TableText"/>
              <w:numPr>
                <w:ilvl w:val="0"/>
                <w:numId w:val="321"/>
              </w:numPr>
              <w:rPr>
                <w:rFonts w:cs="Arial"/>
              </w:rPr>
            </w:pPr>
            <w:r w:rsidRPr="009B7B35">
              <w:rPr>
                <w:rFonts w:cs="Arial"/>
              </w:rPr>
              <w:t>is ancillary to a non–residential use on the same site</w:t>
            </w:r>
          </w:p>
          <w:p w14:paraId="028A8955" w14:textId="77777777" w:rsidR="00BE36FB" w:rsidRPr="009B7B35" w:rsidRDefault="00BE36FB" w:rsidP="00BE36FB">
            <w:pPr>
              <w:pStyle w:val="TableText"/>
              <w:numPr>
                <w:ilvl w:val="0"/>
                <w:numId w:val="321"/>
              </w:numPr>
              <w:rPr>
                <w:rFonts w:cs="Arial"/>
              </w:rPr>
            </w:pPr>
            <w:r w:rsidRPr="009B7B35">
              <w:rPr>
                <w:rFonts w:cs="Arial"/>
              </w:rPr>
              <w:t>provides adequate open space for the caretaker, and</w:t>
            </w:r>
          </w:p>
          <w:p w14:paraId="17C328B2" w14:textId="77777777" w:rsidR="00BE36FB" w:rsidRPr="009B7B35" w:rsidRDefault="00BE36FB" w:rsidP="00BE36FB">
            <w:pPr>
              <w:pStyle w:val="TableText"/>
              <w:numPr>
                <w:ilvl w:val="0"/>
                <w:numId w:val="321"/>
              </w:numPr>
              <w:rPr>
                <w:rFonts w:cs="Arial"/>
              </w:rPr>
            </w:pPr>
            <w:r w:rsidRPr="009B7B35">
              <w:rPr>
                <w:rFonts w:cs="Arial"/>
              </w:rPr>
              <w:t>does not compromise the low density, semi–rural or village character of the immediate area.</w:t>
            </w:r>
          </w:p>
        </w:tc>
        <w:tc>
          <w:tcPr>
            <w:tcW w:w="4678" w:type="dxa"/>
          </w:tcPr>
          <w:p w14:paraId="34FCEB97" w14:textId="77777777" w:rsidR="00BE36FB" w:rsidRPr="009B7B35" w:rsidRDefault="00BE36FB" w:rsidP="001A7107">
            <w:pPr>
              <w:pStyle w:val="TableText"/>
              <w:rPr>
                <w:rFonts w:cs="Arial"/>
                <w:b/>
                <w:bCs/>
              </w:rPr>
            </w:pPr>
            <w:r w:rsidRPr="009B7B35">
              <w:rPr>
                <w:rFonts w:cs="Arial"/>
                <w:b/>
                <w:bCs/>
              </w:rPr>
              <w:t>AO1.1</w:t>
            </w:r>
          </w:p>
          <w:p w14:paraId="65E6CFCD" w14:textId="77777777" w:rsidR="00BE36FB" w:rsidRPr="009B7B35" w:rsidRDefault="00BE36FB" w:rsidP="001A7107">
            <w:pPr>
              <w:pStyle w:val="TableText"/>
              <w:rPr>
                <w:rFonts w:cs="Arial"/>
              </w:rPr>
            </w:pPr>
            <w:r w:rsidRPr="009B7B35">
              <w:rPr>
                <w:rFonts w:cs="Arial"/>
              </w:rPr>
              <w:t>No more than 1 caretaker’s accommodation unit is established on the site.</w:t>
            </w:r>
          </w:p>
        </w:tc>
      </w:tr>
      <w:tr w:rsidR="00BE36FB" w:rsidRPr="009B7B35" w14:paraId="1033B726" w14:textId="77777777" w:rsidTr="001A7107">
        <w:trPr>
          <w:cantSplit/>
        </w:trPr>
        <w:tc>
          <w:tcPr>
            <w:tcW w:w="4678" w:type="dxa"/>
            <w:vMerge/>
          </w:tcPr>
          <w:p w14:paraId="504D4A10" w14:textId="77777777" w:rsidR="00BE36FB" w:rsidRPr="009B7B35" w:rsidRDefault="00BE36FB" w:rsidP="001A7107">
            <w:pPr>
              <w:rPr>
                <w:rFonts w:cs="Arial"/>
                <w:sz w:val="20"/>
                <w:szCs w:val="20"/>
              </w:rPr>
            </w:pPr>
          </w:p>
        </w:tc>
        <w:tc>
          <w:tcPr>
            <w:tcW w:w="4678" w:type="dxa"/>
          </w:tcPr>
          <w:p w14:paraId="401F3150" w14:textId="77777777" w:rsidR="00BE36FB" w:rsidRPr="009B7B35" w:rsidRDefault="00BE36FB" w:rsidP="001A7107">
            <w:pPr>
              <w:pStyle w:val="TableText"/>
              <w:rPr>
                <w:rFonts w:cs="Arial"/>
                <w:b/>
                <w:bCs/>
              </w:rPr>
            </w:pPr>
            <w:r w:rsidRPr="009B7B35">
              <w:rPr>
                <w:rFonts w:cs="Arial"/>
                <w:b/>
                <w:bCs/>
              </w:rPr>
              <w:t>AO1.2</w:t>
            </w:r>
          </w:p>
          <w:p w14:paraId="07B39A51" w14:textId="77777777" w:rsidR="00BE36FB" w:rsidRPr="009B7B35" w:rsidRDefault="00BE36FB" w:rsidP="001A7107">
            <w:pPr>
              <w:pStyle w:val="TableText"/>
              <w:rPr>
                <w:rFonts w:cs="Arial"/>
              </w:rPr>
            </w:pPr>
            <w:r w:rsidRPr="009B7B35">
              <w:rPr>
                <w:rFonts w:cs="Arial"/>
              </w:rPr>
              <w:t>The caretaker’s accommodation unit is a maximum of 100m</w:t>
            </w:r>
            <w:r w:rsidRPr="009B7B35">
              <w:rPr>
                <w:rStyle w:val="StyleSuperscript"/>
                <w:rFonts w:cs="Arial"/>
              </w:rPr>
              <w:t>2</w:t>
            </w:r>
            <w:r w:rsidRPr="009B7B35">
              <w:rPr>
                <w:rFonts w:cs="Arial"/>
              </w:rPr>
              <w:t xml:space="preserve"> GFA.</w:t>
            </w:r>
          </w:p>
        </w:tc>
      </w:tr>
      <w:tr w:rsidR="00BE36FB" w:rsidRPr="009B7B35" w14:paraId="55F031F0" w14:textId="77777777" w:rsidTr="001A7107">
        <w:trPr>
          <w:cantSplit/>
        </w:trPr>
        <w:tc>
          <w:tcPr>
            <w:tcW w:w="4678" w:type="dxa"/>
            <w:vMerge/>
          </w:tcPr>
          <w:p w14:paraId="2B05D63E" w14:textId="77777777" w:rsidR="00BE36FB" w:rsidRPr="009B7B35" w:rsidRDefault="00BE36FB" w:rsidP="001A7107">
            <w:pPr>
              <w:rPr>
                <w:rFonts w:cs="Arial"/>
                <w:sz w:val="20"/>
                <w:szCs w:val="20"/>
              </w:rPr>
            </w:pPr>
          </w:p>
        </w:tc>
        <w:tc>
          <w:tcPr>
            <w:tcW w:w="4678" w:type="dxa"/>
          </w:tcPr>
          <w:p w14:paraId="19F8CD29" w14:textId="77777777" w:rsidR="00BE36FB" w:rsidRPr="009B7B35" w:rsidRDefault="00BE36FB" w:rsidP="001A7107">
            <w:pPr>
              <w:pStyle w:val="TableText"/>
              <w:rPr>
                <w:rFonts w:cs="Arial"/>
                <w:b/>
                <w:bCs/>
              </w:rPr>
            </w:pPr>
            <w:r w:rsidRPr="009B7B35">
              <w:rPr>
                <w:rFonts w:cs="Arial"/>
                <w:b/>
                <w:bCs/>
              </w:rPr>
              <w:t>AO1.3</w:t>
            </w:r>
          </w:p>
          <w:p w14:paraId="78E3600E" w14:textId="77777777" w:rsidR="00BE36FB" w:rsidRPr="009B7B35" w:rsidRDefault="00BE36FB" w:rsidP="001A7107">
            <w:pPr>
              <w:pStyle w:val="TableText"/>
              <w:rPr>
                <w:rFonts w:cs="Arial"/>
              </w:rPr>
            </w:pPr>
            <w:r w:rsidRPr="009B7B35">
              <w:rPr>
                <w:rFonts w:cs="Arial"/>
              </w:rPr>
              <w:t>Private open space area is provided which:</w:t>
            </w:r>
          </w:p>
          <w:p w14:paraId="45E8E1D6" w14:textId="77777777" w:rsidR="00BE36FB" w:rsidRPr="009B7B35" w:rsidRDefault="00BE36FB" w:rsidP="00BE36FB">
            <w:pPr>
              <w:pStyle w:val="TableText"/>
              <w:numPr>
                <w:ilvl w:val="0"/>
                <w:numId w:val="320"/>
              </w:numPr>
              <w:rPr>
                <w:rFonts w:cs="Arial"/>
              </w:rPr>
            </w:pPr>
            <w:r w:rsidRPr="009B7B35">
              <w:rPr>
                <w:rFonts w:cs="Arial"/>
              </w:rPr>
              <w:t>is directly accessible from a habitable room, and</w:t>
            </w:r>
          </w:p>
          <w:p w14:paraId="122CA630" w14:textId="77777777" w:rsidR="00BE36FB" w:rsidRPr="009B7B35" w:rsidRDefault="00BE36FB" w:rsidP="00BE36FB">
            <w:pPr>
              <w:pStyle w:val="TableText"/>
              <w:numPr>
                <w:ilvl w:val="0"/>
                <w:numId w:val="320"/>
              </w:numPr>
              <w:rPr>
                <w:rFonts w:cs="Arial"/>
              </w:rPr>
            </w:pPr>
            <w:r w:rsidRPr="009B7B35">
              <w:rPr>
                <w:rFonts w:cs="Arial"/>
              </w:rPr>
              <w:t>where a balcony, a verandah or a deck, has a minimum area of 15m</w:t>
            </w:r>
            <w:r w:rsidRPr="009B7B35">
              <w:rPr>
                <w:rStyle w:val="StyleSuperscript"/>
                <w:rFonts w:cs="Arial"/>
              </w:rPr>
              <w:t>2</w:t>
            </w:r>
            <w:r w:rsidRPr="009B7B35">
              <w:rPr>
                <w:rFonts w:cs="Arial"/>
              </w:rPr>
              <w:t xml:space="preserve"> with minimum horizontal dimensions of 1.25m.</w:t>
            </w:r>
          </w:p>
        </w:tc>
      </w:tr>
      <w:tr w:rsidR="00BE36FB" w:rsidRPr="009B7B35" w14:paraId="1A05E806" w14:textId="77777777" w:rsidTr="001A7107">
        <w:trPr>
          <w:cantSplit/>
        </w:trPr>
        <w:tc>
          <w:tcPr>
            <w:tcW w:w="9356" w:type="dxa"/>
            <w:gridSpan w:val="2"/>
            <w:shd w:val="clear" w:color="auto" w:fill="BFBFBF" w:themeFill="background1" w:themeFillShade="BF"/>
          </w:tcPr>
          <w:p w14:paraId="7AB8AE5C" w14:textId="77777777" w:rsidR="00BE36FB" w:rsidRPr="009B7B35" w:rsidRDefault="00BE36FB" w:rsidP="001A7107">
            <w:pPr>
              <w:pStyle w:val="Tableheading"/>
              <w:rPr>
                <w:rFonts w:ascii="Arial" w:hAnsi="Arial" w:cs="Arial"/>
                <w:szCs w:val="20"/>
              </w:rPr>
            </w:pPr>
            <w:r w:rsidRPr="009B7B35">
              <w:rPr>
                <w:rFonts w:ascii="Arial" w:hAnsi="Arial" w:cs="Arial"/>
                <w:szCs w:val="20"/>
              </w:rPr>
              <w:t>Building height (if involving building work)</w:t>
            </w:r>
          </w:p>
        </w:tc>
      </w:tr>
      <w:tr w:rsidR="00BE36FB" w:rsidRPr="009B7B35" w14:paraId="77486D7E" w14:textId="77777777" w:rsidTr="001A7107">
        <w:trPr>
          <w:cantSplit/>
        </w:trPr>
        <w:tc>
          <w:tcPr>
            <w:tcW w:w="4678" w:type="dxa"/>
          </w:tcPr>
          <w:p w14:paraId="6FA2F788" w14:textId="77777777" w:rsidR="00BE36FB" w:rsidRPr="009B7B35" w:rsidRDefault="00BE36FB" w:rsidP="001A7107">
            <w:pPr>
              <w:pStyle w:val="TableText"/>
              <w:rPr>
                <w:rFonts w:cs="Arial"/>
                <w:b/>
                <w:bCs/>
              </w:rPr>
            </w:pPr>
            <w:r w:rsidRPr="009B7B35">
              <w:rPr>
                <w:rFonts w:cs="Arial"/>
                <w:b/>
                <w:bCs/>
              </w:rPr>
              <w:t>PO2</w:t>
            </w:r>
          </w:p>
          <w:p w14:paraId="59FF15F0" w14:textId="77777777" w:rsidR="00BE36FB" w:rsidRPr="009B7B35" w:rsidRDefault="00BE36FB" w:rsidP="001A7107">
            <w:pPr>
              <w:pStyle w:val="TableText"/>
              <w:rPr>
                <w:rFonts w:cs="Arial"/>
              </w:rPr>
            </w:pPr>
            <w:r w:rsidRPr="009B7B35">
              <w:rPr>
                <w:rFonts w:cs="Arial"/>
              </w:rPr>
              <w:t>Buildings are:</w:t>
            </w:r>
          </w:p>
          <w:p w14:paraId="29F98A01" w14:textId="77777777" w:rsidR="00BE36FB" w:rsidRPr="009B7B35" w:rsidRDefault="00BE36FB" w:rsidP="00BE36FB">
            <w:pPr>
              <w:pStyle w:val="TableText"/>
              <w:numPr>
                <w:ilvl w:val="0"/>
                <w:numId w:val="325"/>
              </w:numPr>
              <w:ind w:left="567" w:hanging="567"/>
              <w:rPr>
                <w:rFonts w:cs="Arial"/>
              </w:rPr>
            </w:pPr>
            <w:r w:rsidRPr="009B7B35">
              <w:rPr>
                <w:rFonts w:cs="Arial"/>
              </w:rPr>
              <w:t>low rise and visually unobtrusive, and</w:t>
            </w:r>
          </w:p>
          <w:p w14:paraId="65301ED4" w14:textId="77777777" w:rsidR="00BE36FB" w:rsidRPr="009B7B35" w:rsidRDefault="00BE36FB" w:rsidP="00BE36FB">
            <w:pPr>
              <w:pStyle w:val="TableText"/>
              <w:numPr>
                <w:ilvl w:val="0"/>
                <w:numId w:val="325"/>
              </w:numPr>
              <w:ind w:left="567" w:hanging="567"/>
              <w:rPr>
                <w:rFonts w:cs="Arial"/>
              </w:rPr>
            </w:pPr>
            <w:r w:rsidRPr="009B7B35">
              <w:rPr>
                <w:rFonts w:cs="Arial"/>
              </w:rPr>
              <w:t>located and designed to reflect the low density or village character of the area.</w:t>
            </w:r>
          </w:p>
        </w:tc>
        <w:tc>
          <w:tcPr>
            <w:tcW w:w="4678" w:type="dxa"/>
          </w:tcPr>
          <w:p w14:paraId="021B9C63" w14:textId="77777777" w:rsidR="00BE36FB" w:rsidRPr="009B7B35" w:rsidRDefault="00BE36FB" w:rsidP="001A7107">
            <w:pPr>
              <w:pStyle w:val="TableText"/>
              <w:rPr>
                <w:rFonts w:cs="Arial"/>
                <w:b/>
                <w:bCs/>
              </w:rPr>
            </w:pPr>
            <w:r w:rsidRPr="009B7B35">
              <w:rPr>
                <w:rFonts w:cs="Arial"/>
                <w:b/>
                <w:bCs/>
              </w:rPr>
              <w:t>AO2</w:t>
            </w:r>
          </w:p>
          <w:p w14:paraId="784B2E9E" w14:textId="77777777" w:rsidR="00BE36FB" w:rsidRPr="009B7B35" w:rsidRDefault="00BE36FB" w:rsidP="001A7107">
            <w:pPr>
              <w:pStyle w:val="TableText"/>
              <w:rPr>
                <w:rFonts w:cs="Arial"/>
              </w:rPr>
            </w:pPr>
            <w:r w:rsidRPr="009B7B35">
              <w:rPr>
                <w:rFonts w:cs="Arial"/>
              </w:rPr>
              <w:t>Building height does not exceed 8.5m.</w:t>
            </w:r>
          </w:p>
        </w:tc>
      </w:tr>
      <w:tr w:rsidR="00BE36FB" w:rsidRPr="009B7B35" w14:paraId="20DA84BB" w14:textId="77777777" w:rsidTr="001A7107">
        <w:trPr>
          <w:cantSplit/>
        </w:trPr>
        <w:tc>
          <w:tcPr>
            <w:tcW w:w="9356" w:type="dxa"/>
            <w:gridSpan w:val="2"/>
            <w:shd w:val="clear" w:color="auto" w:fill="BFBFBF" w:themeFill="background1" w:themeFillShade="BF"/>
          </w:tcPr>
          <w:p w14:paraId="309D628D" w14:textId="77777777" w:rsidR="00BE36FB" w:rsidRPr="009B7B35" w:rsidRDefault="00BE36FB" w:rsidP="001A7107">
            <w:pPr>
              <w:pStyle w:val="Tableheading"/>
              <w:rPr>
                <w:rFonts w:ascii="Arial" w:hAnsi="Arial" w:cs="Arial"/>
                <w:szCs w:val="20"/>
              </w:rPr>
            </w:pPr>
            <w:r w:rsidRPr="009B7B35">
              <w:rPr>
                <w:rFonts w:ascii="Arial" w:hAnsi="Arial" w:cs="Arial"/>
                <w:szCs w:val="20"/>
              </w:rPr>
              <w:t>Residential density</w:t>
            </w:r>
          </w:p>
        </w:tc>
      </w:tr>
      <w:tr w:rsidR="00BE36FB" w:rsidRPr="009B7B35" w14:paraId="7541251A" w14:textId="77777777" w:rsidTr="001A7107">
        <w:tc>
          <w:tcPr>
            <w:tcW w:w="4678" w:type="dxa"/>
            <w:vMerge w:val="restart"/>
          </w:tcPr>
          <w:p w14:paraId="7A22B4AD" w14:textId="77777777" w:rsidR="00BE36FB" w:rsidRPr="009B7B35" w:rsidRDefault="00BE36FB" w:rsidP="001A7107">
            <w:pPr>
              <w:pStyle w:val="TableText"/>
              <w:rPr>
                <w:rFonts w:cs="Arial"/>
                <w:b/>
                <w:bCs/>
              </w:rPr>
            </w:pPr>
            <w:r w:rsidRPr="009B7B35">
              <w:rPr>
                <w:rFonts w:cs="Arial"/>
                <w:b/>
                <w:bCs/>
              </w:rPr>
              <w:t>PO3</w:t>
            </w:r>
          </w:p>
          <w:p w14:paraId="207A3A46" w14:textId="77777777" w:rsidR="00BE36FB" w:rsidRPr="009B7B35" w:rsidRDefault="00BE36FB" w:rsidP="001A7107">
            <w:pPr>
              <w:pStyle w:val="TableText"/>
              <w:rPr>
                <w:rFonts w:cs="Arial"/>
              </w:rPr>
            </w:pPr>
            <w:r w:rsidRPr="009B7B35">
              <w:rPr>
                <w:rFonts w:cs="Arial"/>
              </w:rPr>
              <w:t>Development reflects the low density character of the locality.</w:t>
            </w:r>
          </w:p>
        </w:tc>
        <w:tc>
          <w:tcPr>
            <w:tcW w:w="4678" w:type="dxa"/>
          </w:tcPr>
          <w:p w14:paraId="0C1A58CA" w14:textId="77777777" w:rsidR="00BE36FB" w:rsidRPr="009B7B35" w:rsidRDefault="00BE36FB" w:rsidP="001A7107">
            <w:pPr>
              <w:pStyle w:val="TableText"/>
              <w:rPr>
                <w:rFonts w:cs="Arial"/>
                <w:b/>
                <w:bCs/>
              </w:rPr>
            </w:pPr>
            <w:r w:rsidRPr="009B7B35">
              <w:rPr>
                <w:rFonts w:cs="Arial"/>
                <w:b/>
                <w:bCs/>
              </w:rPr>
              <w:t>AO3.1</w:t>
            </w:r>
          </w:p>
          <w:p w14:paraId="69CCEA30" w14:textId="77777777" w:rsidR="00BE36FB" w:rsidRPr="009B7B35" w:rsidRDefault="00BE36FB" w:rsidP="001A7107">
            <w:pPr>
              <w:pStyle w:val="TableText"/>
              <w:rPr>
                <w:rFonts w:cs="Arial"/>
              </w:rPr>
            </w:pPr>
            <w:r w:rsidRPr="009B7B35">
              <w:rPr>
                <w:rFonts w:cs="Arial"/>
              </w:rPr>
              <w:t>Maximum site cover is 50% or where a dual occupancy 40% of the total site area.</w:t>
            </w:r>
          </w:p>
        </w:tc>
      </w:tr>
      <w:tr w:rsidR="00BE36FB" w:rsidRPr="009B7B35" w14:paraId="4B57FAC7" w14:textId="77777777" w:rsidTr="001A7107">
        <w:tc>
          <w:tcPr>
            <w:tcW w:w="4678" w:type="dxa"/>
            <w:vMerge/>
          </w:tcPr>
          <w:p w14:paraId="5F394556" w14:textId="77777777" w:rsidR="00BE36FB" w:rsidRPr="009B7B35" w:rsidRDefault="00BE36FB" w:rsidP="001A7107">
            <w:pPr>
              <w:rPr>
                <w:rFonts w:cs="Arial"/>
                <w:sz w:val="20"/>
                <w:szCs w:val="20"/>
              </w:rPr>
            </w:pPr>
          </w:p>
        </w:tc>
        <w:tc>
          <w:tcPr>
            <w:tcW w:w="4678" w:type="dxa"/>
          </w:tcPr>
          <w:p w14:paraId="3325EDDA" w14:textId="77777777" w:rsidR="00BE36FB" w:rsidRPr="009B7B35" w:rsidRDefault="00BE36FB" w:rsidP="001A7107">
            <w:pPr>
              <w:pStyle w:val="TableText"/>
              <w:rPr>
                <w:rFonts w:cs="Arial"/>
                <w:b/>
                <w:bCs/>
              </w:rPr>
            </w:pPr>
            <w:r w:rsidRPr="009B7B35">
              <w:rPr>
                <w:rFonts w:cs="Arial"/>
                <w:b/>
                <w:bCs/>
              </w:rPr>
              <w:t>AO3.2</w:t>
            </w:r>
          </w:p>
          <w:p w14:paraId="51229677" w14:textId="77777777" w:rsidR="00BE36FB" w:rsidRPr="009B7B35" w:rsidRDefault="00BE36FB" w:rsidP="001A7107">
            <w:pPr>
              <w:pStyle w:val="TableText"/>
              <w:rPr>
                <w:rFonts w:cs="Arial"/>
              </w:rPr>
            </w:pPr>
            <w:r w:rsidRPr="009B7B35">
              <w:rPr>
                <w:rFonts w:cs="Arial"/>
              </w:rPr>
              <w:t xml:space="preserve">Subject to compatibility of the site to sustainably dispose of effluent onsite, residential density is a maximum of: </w:t>
            </w:r>
          </w:p>
          <w:p w14:paraId="36F33E01" w14:textId="77777777" w:rsidR="00BE36FB" w:rsidRPr="009B7B35" w:rsidRDefault="00BE36FB" w:rsidP="00BE36FB">
            <w:pPr>
              <w:pStyle w:val="TableText"/>
              <w:numPr>
                <w:ilvl w:val="0"/>
                <w:numId w:val="324"/>
              </w:numPr>
              <w:rPr>
                <w:rFonts w:cs="Arial"/>
              </w:rPr>
            </w:pPr>
            <w:r w:rsidRPr="009B7B35">
              <w:rPr>
                <w:rFonts w:cs="Arial"/>
              </w:rPr>
              <w:t>one dwelling per allotment where a dwelling house (including one secondary dwelling), or</w:t>
            </w:r>
          </w:p>
          <w:p w14:paraId="2C9E7FFC" w14:textId="77777777" w:rsidR="00BE36FB" w:rsidRPr="009B7B35" w:rsidRDefault="00BE36FB" w:rsidP="00BE36FB">
            <w:pPr>
              <w:pStyle w:val="TableText"/>
              <w:numPr>
                <w:ilvl w:val="0"/>
                <w:numId w:val="324"/>
              </w:numPr>
              <w:rPr>
                <w:rFonts w:cs="Arial"/>
              </w:rPr>
            </w:pPr>
            <w:r w:rsidRPr="009B7B35">
              <w:rPr>
                <w:rFonts w:cs="Arial"/>
              </w:rPr>
              <w:t>one dwelling per 400m</w:t>
            </w:r>
            <w:r w:rsidRPr="009B7B35">
              <w:rPr>
                <w:rStyle w:val="StyleSuperscript"/>
                <w:rFonts w:cs="Arial"/>
              </w:rPr>
              <w:t>2</w:t>
            </w:r>
            <w:r w:rsidRPr="009B7B35">
              <w:rPr>
                <w:rFonts w:cs="Arial"/>
              </w:rPr>
              <w:t xml:space="preserve"> where a dual occupancy, and</w:t>
            </w:r>
          </w:p>
          <w:p w14:paraId="57A0B54C" w14:textId="77777777" w:rsidR="00BE36FB" w:rsidRPr="009B7B35" w:rsidRDefault="00BE36FB" w:rsidP="00BE36FB">
            <w:pPr>
              <w:pStyle w:val="TableText"/>
              <w:numPr>
                <w:ilvl w:val="0"/>
                <w:numId w:val="324"/>
              </w:numPr>
              <w:rPr>
                <w:rFonts w:cs="Arial"/>
              </w:rPr>
            </w:pPr>
            <w:r w:rsidRPr="009B7B35">
              <w:rPr>
                <w:rFonts w:cs="Arial"/>
              </w:rPr>
              <w:t xml:space="preserve">where connection to a sewage system is not possible, sustainable effluent disposal on each allotment. </w:t>
            </w:r>
          </w:p>
        </w:tc>
      </w:tr>
      <w:tr w:rsidR="00BE36FB" w:rsidRPr="009B7B35" w14:paraId="7979C0CF" w14:textId="77777777" w:rsidTr="001A7107">
        <w:tc>
          <w:tcPr>
            <w:tcW w:w="4678" w:type="dxa"/>
            <w:vMerge/>
          </w:tcPr>
          <w:p w14:paraId="093C79CA" w14:textId="77777777" w:rsidR="00BE36FB" w:rsidRPr="009B7B35" w:rsidRDefault="00BE36FB" w:rsidP="001A7107">
            <w:pPr>
              <w:rPr>
                <w:rFonts w:cs="Arial"/>
                <w:sz w:val="20"/>
                <w:szCs w:val="20"/>
              </w:rPr>
            </w:pPr>
          </w:p>
        </w:tc>
        <w:tc>
          <w:tcPr>
            <w:tcW w:w="4678" w:type="dxa"/>
          </w:tcPr>
          <w:p w14:paraId="7018F786" w14:textId="77777777" w:rsidR="00BE36FB" w:rsidRPr="009B7B35" w:rsidRDefault="00BE36FB" w:rsidP="001A7107">
            <w:pPr>
              <w:pStyle w:val="TableText"/>
              <w:rPr>
                <w:rFonts w:cs="Arial"/>
                <w:b/>
                <w:bCs/>
              </w:rPr>
            </w:pPr>
            <w:r w:rsidRPr="009B7B35">
              <w:rPr>
                <w:rFonts w:cs="Arial"/>
                <w:b/>
                <w:bCs/>
              </w:rPr>
              <w:t>AO3.3</w:t>
            </w:r>
          </w:p>
          <w:p w14:paraId="08DCB1EA" w14:textId="77777777" w:rsidR="00BE36FB" w:rsidRPr="009B7B35" w:rsidRDefault="00BE36FB" w:rsidP="001A7107">
            <w:pPr>
              <w:pStyle w:val="TableText"/>
              <w:rPr>
                <w:rFonts w:cs="Arial"/>
              </w:rPr>
            </w:pPr>
            <w:r w:rsidRPr="009B7B35">
              <w:rPr>
                <w:rFonts w:cs="Arial"/>
              </w:rPr>
              <w:t xml:space="preserve">Where a dwelling house, any secondary dwelling is: </w:t>
            </w:r>
          </w:p>
          <w:p w14:paraId="15A21695" w14:textId="77777777" w:rsidR="00BE36FB" w:rsidRPr="009B7B35" w:rsidRDefault="00BE36FB" w:rsidP="00BE36FB">
            <w:pPr>
              <w:pStyle w:val="TableText"/>
              <w:numPr>
                <w:ilvl w:val="0"/>
                <w:numId w:val="417"/>
              </w:numPr>
              <w:rPr>
                <w:rFonts w:cs="Arial"/>
              </w:rPr>
            </w:pPr>
            <w:r w:rsidRPr="009B7B35">
              <w:rPr>
                <w:rFonts w:cs="Arial"/>
              </w:rPr>
              <w:t>a maximum of 80m</w:t>
            </w:r>
            <w:r w:rsidRPr="009B7B35">
              <w:rPr>
                <w:rStyle w:val="StyleSuperscript"/>
                <w:rFonts w:cs="Arial"/>
              </w:rPr>
              <w:t>2</w:t>
            </w:r>
            <w:r w:rsidRPr="009B7B35">
              <w:rPr>
                <w:rFonts w:cs="Arial"/>
              </w:rPr>
              <w:t xml:space="preserve"> GFA</w:t>
            </w:r>
          </w:p>
          <w:p w14:paraId="06490AEE" w14:textId="77777777" w:rsidR="00BE36FB" w:rsidRPr="009B7B35" w:rsidRDefault="00BE36FB" w:rsidP="00BE36FB">
            <w:pPr>
              <w:pStyle w:val="TableText"/>
              <w:numPr>
                <w:ilvl w:val="0"/>
                <w:numId w:val="417"/>
              </w:numPr>
              <w:rPr>
                <w:rFonts w:cs="Arial"/>
              </w:rPr>
            </w:pPr>
            <w:r w:rsidRPr="009B7B35">
              <w:rPr>
                <w:rFonts w:cs="Arial"/>
              </w:rPr>
              <w:t>located within 50m of the main building</w:t>
            </w:r>
          </w:p>
          <w:p w14:paraId="3B34F3CD" w14:textId="77777777" w:rsidR="00BE36FB" w:rsidRPr="009B7B35" w:rsidRDefault="00BE36FB" w:rsidP="00BE36FB">
            <w:pPr>
              <w:pStyle w:val="TableText"/>
              <w:numPr>
                <w:ilvl w:val="0"/>
                <w:numId w:val="417"/>
              </w:numPr>
              <w:rPr>
                <w:rFonts w:cs="Arial"/>
              </w:rPr>
            </w:pPr>
            <w:r w:rsidRPr="009B7B35">
              <w:rPr>
                <w:rFonts w:cs="Arial"/>
              </w:rPr>
              <w:t>linked to the main building by a defined footpath in the most direct route possible.</w:t>
            </w:r>
          </w:p>
        </w:tc>
      </w:tr>
      <w:tr w:rsidR="00BE36FB" w:rsidRPr="009B7B35" w14:paraId="02AEFA85" w14:textId="77777777" w:rsidTr="001A7107">
        <w:tc>
          <w:tcPr>
            <w:tcW w:w="9356" w:type="dxa"/>
            <w:gridSpan w:val="2"/>
            <w:shd w:val="clear" w:color="auto" w:fill="BFBFBF" w:themeFill="background1" w:themeFillShade="BF"/>
          </w:tcPr>
          <w:p w14:paraId="4EE6AE06" w14:textId="77777777" w:rsidR="00BE36FB" w:rsidRPr="009B7B35" w:rsidRDefault="00BE36FB" w:rsidP="001A7107">
            <w:pPr>
              <w:pStyle w:val="Tableheading"/>
              <w:rPr>
                <w:rFonts w:ascii="Arial" w:hAnsi="Arial" w:cs="Arial"/>
                <w:szCs w:val="20"/>
              </w:rPr>
            </w:pPr>
            <w:r w:rsidRPr="009B7B35">
              <w:rPr>
                <w:rFonts w:ascii="Arial" w:hAnsi="Arial" w:cs="Arial"/>
                <w:szCs w:val="20"/>
              </w:rPr>
              <w:t>Scale</w:t>
            </w:r>
          </w:p>
        </w:tc>
      </w:tr>
      <w:tr w:rsidR="00BE36FB" w:rsidRPr="009B7B35" w14:paraId="22002510" w14:textId="77777777" w:rsidTr="001A7107">
        <w:tc>
          <w:tcPr>
            <w:tcW w:w="4678" w:type="dxa"/>
          </w:tcPr>
          <w:p w14:paraId="0DCD67BB" w14:textId="77777777" w:rsidR="00BE36FB" w:rsidRPr="009B7B35" w:rsidRDefault="00BE36FB" w:rsidP="001A7107">
            <w:pPr>
              <w:pStyle w:val="TableText"/>
              <w:rPr>
                <w:rFonts w:cs="Arial"/>
                <w:b/>
                <w:bCs/>
              </w:rPr>
            </w:pPr>
            <w:r w:rsidRPr="009B7B35">
              <w:rPr>
                <w:rFonts w:cs="Arial"/>
                <w:b/>
                <w:bCs/>
              </w:rPr>
              <w:t>PO4</w:t>
            </w:r>
          </w:p>
          <w:p w14:paraId="1C11393F" w14:textId="77777777" w:rsidR="00BE36FB" w:rsidRPr="009B7B35" w:rsidRDefault="00BE36FB" w:rsidP="001A7107">
            <w:pPr>
              <w:pStyle w:val="TableText"/>
              <w:rPr>
                <w:rFonts w:cs="Arial"/>
              </w:rPr>
            </w:pPr>
            <w:r w:rsidRPr="009B7B35">
              <w:rPr>
                <w:rFonts w:cs="Arial"/>
              </w:rPr>
              <w:t xml:space="preserve">Non–residential development: </w:t>
            </w:r>
          </w:p>
          <w:p w14:paraId="5BCDD4DE" w14:textId="77777777" w:rsidR="00BE36FB" w:rsidRPr="009B7B35" w:rsidRDefault="00BE36FB" w:rsidP="00BE36FB">
            <w:pPr>
              <w:pStyle w:val="TableText"/>
              <w:numPr>
                <w:ilvl w:val="0"/>
                <w:numId w:val="322"/>
              </w:numPr>
              <w:rPr>
                <w:rFonts w:cs="Arial"/>
              </w:rPr>
            </w:pPr>
            <w:r w:rsidRPr="009B7B35">
              <w:rPr>
                <w:rFonts w:cs="Arial"/>
              </w:rPr>
              <w:t>occurs at a scale which provides for the day to day convenience needs of township residents and hinterland areas</w:t>
            </w:r>
          </w:p>
          <w:p w14:paraId="026C1E38" w14:textId="77777777" w:rsidR="00BE36FB" w:rsidRPr="009B7B35" w:rsidRDefault="00BE36FB" w:rsidP="00BE36FB">
            <w:pPr>
              <w:pStyle w:val="TableText"/>
              <w:numPr>
                <w:ilvl w:val="0"/>
                <w:numId w:val="322"/>
              </w:numPr>
              <w:rPr>
                <w:rFonts w:cs="Arial"/>
              </w:rPr>
            </w:pPr>
            <w:r w:rsidRPr="009B7B35">
              <w:rPr>
                <w:rFonts w:cs="Arial"/>
              </w:rPr>
              <w:t>does not impact on the viability of the region’s centres</w:t>
            </w:r>
          </w:p>
          <w:p w14:paraId="08D00E75" w14:textId="77777777" w:rsidR="00BE36FB" w:rsidRPr="009B7B35" w:rsidRDefault="00BE36FB" w:rsidP="00BE36FB">
            <w:pPr>
              <w:pStyle w:val="TableText"/>
              <w:numPr>
                <w:ilvl w:val="0"/>
                <w:numId w:val="322"/>
              </w:numPr>
              <w:rPr>
                <w:rFonts w:cs="Arial"/>
              </w:rPr>
            </w:pPr>
            <w:r w:rsidRPr="009B7B35">
              <w:rPr>
                <w:rFonts w:cs="Arial"/>
              </w:rPr>
              <w:t>does not compromise the low density village character of the locality, and</w:t>
            </w:r>
          </w:p>
          <w:p w14:paraId="30C75641" w14:textId="77777777" w:rsidR="00BE36FB" w:rsidRPr="009B7B35" w:rsidRDefault="00BE36FB" w:rsidP="00BE36FB">
            <w:pPr>
              <w:pStyle w:val="TableText"/>
              <w:numPr>
                <w:ilvl w:val="0"/>
                <w:numId w:val="322"/>
              </w:numPr>
              <w:rPr>
                <w:rFonts w:cs="Arial"/>
              </w:rPr>
            </w:pPr>
            <w:r w:rsidRPr="009B7B35">
              <w:rPr>
                <w:rFonts w:cs="Arial"/>
              </w:rPr>
              <w:t>does not include large format, land consumptive commercial uses.</w:t>
            </w:r>
          </w:p>
        </w:tc>
        <w:tc>
          <w:tcPr>
            <w:tcW w:w="4678" w:type="dxa"/>
          </w:tcPr>
          <w:p w14:paraId="6A44CB7A" w14:textId="77777777" w:rsidR="00BE36FB" w:rsidRPr="009B7B35" w:rsidRDefault="00BE36FB" w:rsidP="001A7107">
            <w:pPr>
              <w:pStyle w:val="TableText"/>
              <w:rPr>
                <w:rFonts w:cs="Arial"/>
                <w:b/>
                <w:bCs/>
              </w:rPr>
            </w:pPr>
            <w:r w:rsidRPr="009B7B35">
              <w:rPr>
                <w:rFonts w:cs="Arial"/>
                <w:b/>
                <w:bCs/>
              </w:rPr>
              <w:t>AO4</w:t>
            </w:r>
          </w:p>
          <w:p w14:paraId="6C3EEA09" w14:textId="77777777" w:rsidR="00BE36FB" w:rsidRPr="009B7B35" w:rsidRDefault="00BE36FB" w:rsidP="001A7107">
            <w:pPr>
              <w:pStyle w:val="TableText"/>
              <w:rPr>
                <w:rFonts w:cs="Arial"/>
              </w:rPr>
            </w:pPr>
            <w:r w:rsidRPr="009B7B35">
              <w:rPr>
                <w:rFonts w:cs="Arial"/>
              </w:rPr>
              <w:t>GFA of the following uses does not exceed:</w:t>
            </w:r>
          </w:p>
          <w:p w14:paraId="44A55434" w14:textId="77777777" w:rsidR="00BE36FB" w:rsidRPr="009B7B35" w:rsidRDefault="00BE36FB" w:rsidP="00BE36FB">
            <w:pPr>
              <w:pStyle w:val="TableText"/>
              <w:numPr>
                <w:ilvl w:val="0"/>
                <w:numId w:val="323"/>
              </w:numPr>
              <w:ind w:left="510" w:hanging="510"/>
              <w:rPr>
                <w:rFonts w:cs="Arial"/>
              </w:rPr>
            </w:pPr>
            <w:r w:rsidRPr="009B7B35">
              <w:rPr>
                <w:rFonts w:cs="Arial"/>
              </w:rPr>
              <w:t>500m</w:t>
            </w:r>
            <w:r w:rsidRPr="009B7B35">
              <w:rPr>
                <w:rStyle w:val="StyleSuperscript"/>
                <w:rFonts w:cs="Arial"/>
              </w:rPr>
              <w:t>2</w:t>
            </w:r>
            <w:r w:rsidRPr="009B7B35">
              <w:rPr>
                <w:rFonts w:cs="Arial"/>
              </w:rPr>
              <w:t xml:space="preserve"> for shop or shopping centre</w:t>
            </w:r>
          </w:p>
          <w:p w14:paraId="159C2F54" w14:textId="77777777" w:rsidR="00BE36FB" w:rsidRPr="009B7B35" w:rsidRDefault="00BE36FB" w:rsidP="00BE36FB">
            <w:pPr>
              <w:pStyle w:val="TableText"/>
              <w:numPr>
                <w:ilvl w:val="0"/>
                <w:numId w:val="323"/>
              </w:numPr>
              <w:ind w:left="510" w:hanging="510"/>
              <w:rPr>
                <w:rFonts w:cs="Arial"/>
              </w:rPr>
            </w:pPr>
            <w:r w:rsidRPr="009B7B35">
              <w:rPr>
                <w:rFonts w:cs="Arial"/>
              </w:rPr>
              <w:t>250m</w:t>
            </w:r>
            <w:r w:rsidRPr="009B7B35">
              <w:rPr>
                <w:rStyle w:val="StyleSuperscript"/>
                <w:rFonts w:cs="Arial"/>
              </w:rPr>
              <w:t>2</w:t>
            </w:r>
            <w:r w:rsidRPr="009B7B35">
              <w:rPr>
                <w:rFonts w:cs="Arial"/>
              </w:rPr>
              <w:t xml:space="preserve"> for agricultural supplies store, bulk landscape supplies, garden centre, hardware and trade supplies and health care services</w:t>
            </w:r>
          </w:p>
          <w:p w14:paraId="23D0543A" w14:textId="77777777" w:rsidR="00BE36FB" w:rsidRPr="009B7B35" w:rsidRDefault="00BE36FB" w:rsidP="00BE36FB">
            <w:pPr>
              <w:pStyle w:val="TableText"/>
              <w:numPr>
                <w:ilvl w:val="0"/>
                <w:numId w:val="323"/>
              </w:numPr>
              <w:ind w:left="510" w:hanging="510"/>
              <w:rPr>
                <w:rFonts w:cs="Arial"/>
              </w:rPr>
            </w:pPr>
            <w:r w:rsidRPr="009B7B35">
              <w:rPr>
                <w:rFonts w:cs="Arial"/>
              </w:rPr>
              <w:t>150m</w:t>
            </w:r>
            <w:r w:rsidRPr="009B7B35">
              <w:rPr>
                <w:rStyle w:val="StyleSuperscript"/>
                <w:rFonts w:cs="Arial"/>
              </w:rPr>
              <w:t>2</w:t>
            </w:r>
            <w:r w:rsidRPr="009B7B35">
              <w:rPr>
                <w:rFonts w:cs="Arial"/>
              </w:rPr>
              <w:t xml:space="preserve"> for:</w:t>
            </w:r>
          </w:p>
          <w:p w14:paraId="0A3BFD14" w14:textId="77777777" w:rsidR="00BE36FB" w:rsidRPr="009B7B35" w:rsidRDefault="00BE36FB" w:rsidP="00BE36FB">
            <w:pPr>
              <w:pStyle w:val="TableText"/>
              <w:numPr>
                <w:ilvl w:val="1"/>
                <w:numId w:val="323"/>
              </w:numPr>
              <w:ind w:left="1077" w:hanging="283"/>
              <w:rPr>
                <w:rFonts w:cs="Arial"/>
              </w:rPr>
            </w:pPr>
            <w:r w:rsidRPr="009B7B35">
              <w:rPr>
                <w:rFonts w:cs="Arial"/>
              </w:rPr>
              <w:t>Food and drink outlet</w:t>
            </w:r>
          </w:p>
          <w:p w14:paraId="3A68B119" w14:textId="77777777" w:rsidR="00BE36FB" w:rsidRPr="009B7B35" w:rsidRDefault="00BE36FB" w:rsidP="00BE36FB">
            <w:pPr>
              <w:pStyle w:val="TableText"/>
              <w:numPr>
                <w:ilvl w:val="1"/>
                <w:numId w:val="323"/>
              </w:numPr>
              <w:ind w:left="1077" w:hanging="283"/>
              <w:rPr>
                <w:rFonts w:cs="Arial"/>
              </w:rPr>
            </w:pPr>
            <w:r w:rsidRPr="009B7B35">
              <w:rPr>
                <w:rFonts w:cs="Arial"/>
              </w:rPr>
              <w:t>Club</w:t>
            </w:r>
          </w:p>
          <w:p w14:paraId="5D5ED4D6" w14:textId="77777777" w:rsidR="00BE36FB" w:rsidRPr="009B7B35" w:rsidRDefault="00BE36FB" w:rsidP="00BE36FB">
            <w:pPr>
              <w:pStyle w:val="TableText"/>
              <w:numPr>
                <w:ilvl w:val="1"/>
                <w:numId w:val="323"/>
              </w:numPr>
              <w:ind w:left="1077" w:hanging="283"/>
              <w:rPr>
                <w:rFonts w:cs="Arial"/>
              </w:rPr>
            </w:pPr>
            <w:r w:rsidRPr="009B7B35">
              <w:rPr>
                <w:rFonts w:cs="Arial"/>
              </w:rPr>
              <w:t>Community use</w:t>
            </w:r>
          </w:p>
          <w:p w14:paraId="1A17FDE5" w14:textId="77777777" w:rsidR="00BE36FB" w:rsidRPr="009B7B35" w:rsidRDefault="00BE36FB" w:rsidP="00BE36FB">
            <w:pPr>
              <w:pStyle w:val="TableText"/>
              <w:numPr>
                <w:ilvl w:val="1"/>
                <w:numId w:val="323"/>
              </w:numPr>
              <w:ind w:left="1077" w:hanging="283"/>
              <w:rPr>
                <w:rFonts w:cs="Arial"/>
              </w:rPr>
            </w:pPr>
            <w:r w:rsidRPr="009B7B35">
              <w:rPr>
                <w:rFonts w:cs="Arial"/>
              </w:rPr>
              <w:t>indoor sport and recreation</w:t>
            </w:r>
          </w:p>
          <w:p w14:paraId="2574001A" w14:textId="77777777" w:rsidR="00BE36FB" w:rsidRPr="009B7B35" w:rsidRDefault="00BE36FB" w:rsidP="00BE36FB">
            <w:pPr>
              <w:pStyle w:val="TableText"/>
              <w:numPr>
                <w:ilvl w:val="1"/>
                <w:numId w:val="323"/>
              </w:numPr>
              <w:ind w:left="1077" w:hanging="283"/>
              <w:rPr>
                <w:rFonts w:cs="Arial"/>
              </w:rPr>
            </w:pPr>
            <w:r w:rsidRPr="009B7B35">
              <w:rPr>
                <w:rFonts w:cs="Arial"/>
              </w:rPr>
              <w:t>Market</w:t>
            </w:r>
          </w:p>
          <w:p w14:paraId="6E34AAFA" w14:textId="77777777" w:rsidR="00BE36FB" w:rsidRPr="009B7B35" w:rsidRDefault="00BE36FB" w:rsidP="00BE36FB">
            <w:pPr>
              <w:pStyle w:val="TableText"/>
              <w:numPr>
                <w:ilvl w:val="1"/>
                <w:numId w:val="323"/>
              </w:numPr>
              <w:ind w:left="1077" w:hanging="283"/>
              <w:rPr>
                <w:rFonts w:cs="Arial"/>
              </w:rPr>
            </w:pPr>
            <w:r w:rsidRPr="009B7B35">
              <w:rPr>
                <w:rFonts w:cs="Arial"/>
              </w:rPr>
              <w:t>Office</w:t>
            </w:r>
          </w:p>
          <w:p w14:paraId="7590283C" w14:textId="77777777" w:rsidR="00BE36FB" w:rsidRPr="009B7B35" w:rsidRDefault="00BE36FB" w:rsidP="00BE36FB">
            <w:pPr>
              <w:pStyle w:val="TableText"/>
              <w:numPr>
                <w:ilvl w:val="1"/>
                <w:numId w:val="323"/>
              </w:numPr>
              <w:ind w:left="1077" w:hanging="283"/>
              <w:rPr>
                <w:rFonts w:cs="Arial"/>
              </w:rPr>
            </w:pPr>
            <w:r w:rsidRPr="009B7B35">
              <w:rPr>
                <w:rFonts w:cs="Arial"/>
              </w:rPr>
              <w:t>Place of worship</w:t>
            </w:r>
          </w:p>
          <w:p w14:paraId="366489E5" w14:textId="77777777" w:rsidR="00BE36FB" w:rsidRPr="009B7B35" w:rsidRDefault="00BE36FB" w:rsidP="00BE36FB">
            <w:pPr>
              <w:pStyle w:val="TableText"/>
              <w:numPr>
                <w:ilvl w:val="1"/>
                <w:numId w:val="323"/>
              </w:numPr>
              <w:ind w:left="1077" w:hanging="283"/>
              <w:rPr>
                <w:rFonts w:cs="Arial"/>
              </w:rPr>
            </w:pPr>
            <w:r w:rsidRPr="009B7B35">
              <w:rPr>
                <w:rFonts w:cs="Arial"/>
              </w:rPr>
              <w:t>Service industry</w:t>
            </w:r>
          </w:p>
          <w:p w14:paraId="4A0AF906" w14:textId="77777777" w:rsidR="00BE36FB" w:rsidRPr="009B7B35" w:rsidRDefault="00BE36FB" w:rsidP="00BE36FB">
            <w:pPr>
              <w:pStyle w:val="TableText"/>
              <w:numPr>
                <w:ilvl w:val="1"/>
                <w:numId w:val="323"/>
              </w:numPr>
              <w:ind w:left="1077" w:hanging="283"/>
              <w:rPr>
                <w:rFonts w:cs="Arial"/>
              </w:rPr>
            </w:pPr>
            <w:r w:rsidRPr="009B7B35">
              <w:rPr>
                <w:rFonts w:cs="Arial"/>
              </w:rPr>
              <w:t>Veterinary services.</w:t>
            </w:r>
          </w:p>
        </w:tc>
      </w:tr>
      <w:tr w:rsidR="00BE36FB" w:rsidRPr="009B7B35" w14:paraId="1647C417" w14:textId="77777777" w:rsidTr="001A7107">
        <w:trPr>
          <w:cantSplit/>
        </w:trPr>
        <w:tc>
          <w:tcPr>
            <w:tcW w:w="9356" w:type="dxa"/>
            <w:gridSpan w:val="2"/>
            <w:shd w:val="clear" w:color="auto" w:fill="BFBFBF" w:themeFill="background1" w:themeFillShade="BF"/>
          </w:tcPr>
          <w:p w14:paraId="7A9A8E08" w14:textId="77777777" w:rsidR="00BE36FB" w:rsidRPr="009B7B35" w:rsidRDefault="00BE36FB" w:rsidP="001A7107">
            <w:pPr>
              <w:pStyle w:val="Tableheading"/>
              <w:rPr>
                <w:rFonts w:ascii="Arial" w:hAnsi="Arial" w:cs="Arial"/>
                <w:szCs w:val="20"/>
              </w:rPr>
            </w:pPr>
            <w:r w:rsidRPr="009B7B35">
              <w:rPr>
                <w:rFonts w:ascii="Arial" w:hAnsi="Arial" w:cs="Arial"/>
                <w:szCs w:val="20"/>
              </w:rPr>
              <w:t>Amenity</w:t>
            </w:r>
          </w:p>
        </w:tc>
      </w:tr>
      <w:tr w:rsidR="00BE36FB" w:rsidRPr="009B7B35" w14:paraId="0FC63133" w14:textId="77777777" w:rsidTr="001A7107">
        <w:trPr>
          <w:cantSplit/>
        </w:trPr>
        <w:tc>
          <w:tcPr>
            <w:tcW w:w="4678" w:type="dxa"/>
          </w:tcPr>
          <w:p w14:paraId="5A3A7182" w14:textId="77777777" w:rsidR="00BE36FB" w:rsidRPr="009B7B35" w:rsidRDefault="00BE36FB" w:rsidP="001A7107">
            <w:pPr>
              <w:pStyle w:val="TableText"/>
              <w:rPr>
                <w:rFonts w:cs="Arial"/>
                <w:b/>
                <w:bCs/>
              </w:rPr>
            </w:pPr>
            <w:r w:rsidRPr="009B7B35">
              <w:rPr>
                <w:rFonts w:cs="Arial"/>
                <w:b/>
                <w:bCs/>
              </w:rPr>
              <w:t>PO5</w:t>
            </w:r>
          </w:p>
          <w:p w14:paraId="0F216930" w14:textId="77777777" w:rsidR="00BE36FB" w:rsidRPr="009B7B35" w:rsidRDefault="00BE36FB" w:rsidP="001A7107">
            <w:pPr>
              <w:pStyle w:val="TableText"/>
              <w:rPr>
                <w:rFonts w:cs="Arial"/>
              </w:rPr>
            </w:pPr>
            <w:r w:rsidRPr="009B7B35">
              <w:rPr>
                <w:rFonts w:cs="Arial"/>
              </w:rPr>
              <w:t>The amenity of any adjoining residential uses is not unreasonably affected as a result of non–residential activity.</w:t>
            </w:r>
          </w:p>
        </w:tc>
        <w:tc>
          <w:tcPr>
            <w:tcW w:w="4678" w:type="dxa"/>
          </w:tcPr>
          <w:p w14:paraId="0FCD0B91" w14:textId="77777777" w:rsidR="00BE36FB" w:rsidRPr="009B7B35" w:rsidRDefault="00BE36FB" w:rsidP="001A7107">
            <w:pPr>
              <w:pStyle w:val="TableText"/>
              <w:rPr>
                <w:rFonts w:cs="Arial"/>
                <w:b/>
                <w:bCs/>
              </w:rPr>
            </w:pPr>
            <w:r w:rsidRPr="009B7B35">
              <w:rPr>
                <w:rFonts w:cs="Arial"/>
                <w:b/>
                <w:bCs/>
              </w:rPr>
              <w:t>AO5</w:t>
            </w:r>
          </w:p>
          <w:p w14:paraId="484164D6" w14:textId="77777777" w:rsidR="00BE36FB" w:rsidRPr="009B7B35" w:rsidRDefault="00BE36FB" w:rsidP="001A7107">
            <w:pPr>
              <w:pStyle w:val="TableText"/>
              <w:rPr>
                <w:rFonts w:cs="Arial"/>
              </w:rPr>
            </w:pPr>
            <w:r w:rsidRPr="009B7B35">
              <w:rPr>
                <w:rFonts w:cs="Arial"/>
              </w:rPr>
              <w:t>Where non–residential development adjoins a residential use, hours of operation are limited to 7am to 7pm.</w:t>
            </w:r>
          </w:p>
        </w:tc>
      </w:tr>
      <w:tr w:rsidR="00BE36FB" w:rsidRPr="009B7B35" w14:paraId="4E2A0FFC" w14:textId="77777777" w:rsidTr="001A7107">
        <w:trPr>
          <w:cantSplit/>
        </w:trPr>
        <w:tc>
          <w:tcPr>
            <w:tcW w:w="4678" w:type="dxa"/>
            <w:vMerge w:val="restart"/>
          </w:tcPr>
          <w:p w14:paraId="415A21A2" w14:textId="77777777" w:rsidR="00BE36FB" w:rsidRPr="009B7B35" w:rsidRDefault="00BE36FB" w:rsidP="001A7107">
            <w:pPr>
              <w:pStyle w:val="TableText"/>
              <w:rPr>
                <w:rFonts w:cs="Arial"/>
                <w:b/>
                <w:bCs/>
              </w:rPr>
            </w:pPr>
            <w:r w:rsidRPr="009B7B35">
              <w:rPr>
                <w:rFonts w:cs="Arial"/>
                <w:b/>
                <w:bCs/>
              </w:rPr>
              <w:t>PO6</w:t>
            </w:r>
          </w:p>
          <w:p w14:paraId="39C90EDB" w14:textId="77777777" w:rsidR="00BE36FB" w:rsidRPr="009B7B35" w:rsidRDefault="00BE36FB" w:rsidP="001A7107">
            <w:pPr>
              <w:pStyle w:val="TableText"/>
              <w:rPr>
                <w:rFonts w:cs="Arial"/>
              </w:rPr>
            </w:pPr>
            <w:r w:rsidRPr="009B7B35">
              <w:rPr>
                <w:rFonts w:cs="Arial"/>
              </w:rPr>
              <w:t>Development provides adequate buffering and screening from any adjoining residential premises so that the privacy and amenity of residential premises are not adversely affected.</w:t>
            </w:r>
          </w:p>
        </w:tc>
        <w:tc>
          <w:tcPr>
            <w:tcW w:w="4678" w:type="dxa"/>
          </w:tcPr>
          <w:p w14:paraId="714BBA94" w14:textId="77777777" w:rsidR="00BE36FB" w:rsidRPr="009B7B35" w:rsidRDefault="00BE36FB" w:rsidP="001A7107">
            <w:pPr>
              <w:pStyle w:val="TableText"/>
              <w:rPr>
                <w:rFonts w:cs="Arial"/>
                <w:b/>
                <w:bCs/>
              </w:rPr>
            </w:pPr>
            <w:r w:rsidRPr="009B7B35">
              <w:rPr>
                <w:rFonts w:cs="Arial"/>
                <w:b/>
                <w:bCs/>
              </w:rPr>
              <w:t>AO6.1</w:t>
            </w:r>
          </w:p>
          <w:p w14:paraId="0141A380" w14:textId="77777777" w:rsidR="00BE36FB" w:rsidRPr="009B7B35" w:rsidRDefault="00BE36FB" w:rsidP="001A7107">
            <w:pPr>
              <w:pStyle w:val="TableText"/>
              <w:rPr>
                <w:rFonts w:cs="Arial"/>
              </w:rPr>
            </w:pPr>
            <w:r w:rsidRPr="009B7B35">
              <w:rPr>
                <w:rFonts w:cs="Arial"/>
              </w:rPr>
              <w:t>Where non–residential development adjoins residential premises, a 1.8m high solid screen fence is provided along all boundaries shared with residential premises.</w:t>
            </w:r>
          </w:p>
        </w:tc>
      </w:tr>
      <w:tr w:rsidR="00BE36FB" w:rsidRPr="009B7B35" w14:paraId="39AF9DCB" w14:textId="77777777" w:rsidTr="001A7107">
        <w:trPr>
          <w:cantSplit/>
        </w:trPr>
        <w:tc>
          <w:tcPr>
            <w:tcW w:w="4678" w:type="dxa"/>
            <w:vMerge/>
          </w:tcPr>
          <w:p w14:paraId="3EB41003" w14:textId="77777777" w:rsidR="00BE36FB" w:rsidRPr="009B7B35" w:rsidRDefault="00BE36FB" w:rsidP="001A7107">
            <w:pPr>
              <w:rPr>
                <w:rFonts w:cs="Arial"/>
                <w:sz w:val="20"/>
                <w:szCs w:val="20"/>
              </w:rPr>
            </w:pPr>
          </w:p>
        </w:tc>
        <w:tc>
          <w:tcPr>
            <w:tcW w:w="4678" w:type="dxa"/>
          </w:tcPr>
          <w:p w14:paraId="1CD723C0" w14:textId="77777777" w:rsidR="00BE36FB" w:rsidRPr="009B7B35" w:rsidRDefault="00BE36FB" w:rsidP="001A7107">
            <w:pPr>
              <w:pStyle w:val="TableText"/>
              <w:rPr>
                <w:rFonts w:cs="Arial"/>
                <w:b/>
                <w:bCs/>
              </w:rPr>
            </w:pPr>
            <w:r w:rsidRPr="009B7B35">
              <w:rPr>
                <w:rFonts w:cs="Arial"/>
                <w:b/>
                <w:bCs/>
              </w:rPr>
              <w:t>AO6.2</w:t>
            </w:r>
          </w:p>
          <w:p w14:paraId="04833C5E" w14:textId="77777777" w:rsidR="00BE36FB" w:rsidRPr="009B7B35" w:rsidRDefault="00BE36FB" w:rsidP="001A7107">
            <w:pPr>
              <w:pStyle w:val="TableText"/>
              <w:rPr>
                <w:rFonts w:cs="Arial"/>
              </w:rPr>
            </w:pPr>
            <w:r w:rsidRPr="009B7B35">
              <w:rPr>
                <w:rFonts w:cs="Arial"/>
              </w:rPr>
              <w:t>Plant and air–conditioning equipment is screened from view of the road or adjoining residential premises.</w:t>
            </w:r>
          </w:p>
        </w:tc>
      </w:tr>
      <w:tr w:rsidR="00BE36FB" w:rsidRPr="009B7B35" w14:paraId="78833D94" w14:textId="77777777" w:rsidTr="001A7107">
        <w:trPr>
          <w:cantSplit/>
        </w:trPr>
        <w:tc>
          <w:tcPr>
            <w:tcW w:w="9356" w:type="dxa"/>
            <w:gridSpan w:val="2"/>
          </w:tcPr>
          <w:p w14:paraId="21453EB4"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345C899F" w14:textId="77777777" w:rsidTr="001A7107">
        <w:trPr>
          <w:cantSplit/>
        </w:trPr>
        <w:tc>
          <w:tcPr>
            <w:tcW w:w="9356" w:type="dxa"/>
            <w:gridSpan w:val="2"/>
            <w:shd w:val="clear" w:color="auto" w:fill="BFBFBF" w:themeFill="background1" w:themeFillShade="BF"/>
          </w:tcPr>
          <w:p w14:paraId="5DDE4DD3"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w:t>
            </w:r>
          </w:p>
        </w:tc>
      </w:tr>
      <w:tr w:rsidR="00BE36FB" w:rsidRPr="009B7B35" w14:paraId="13A02F4A" w14:textId="77777777" w:rsidTr="001A7107">
        <w:tc>
          <w:tcPr>
            <w:tcW w:w="4678" w:type="dxa"/>
          </w:tcPr>
          <w:p w14:paraId="5D1856CD" w14:textId="77777777" w:rsidR="00BE36FB" w:rsidRPr="009B7B35" w:rsidRDefault="00BE36FB" w:rsidP="001A7107">
            <w:pPr>
              <w:pStyle w:val="TableText"/>
              <w:rPr>
                <w:rFonts w:cs="Arial"/>
                <w:b/>
                <w:bCs/>
              </w:rPr>
            </w:pPr>
            <w:r w:rsidRPr="009B7B35">
              <w:rPr>
                <w:rFonts w:cs="Arial"/>
                <w:b/>
                <w:bCs/>
              </w:rPr>
              <w:t>PO7</w:t>
            </w:r>
          </w:p>
          <w:p w14:paraId="09C6DF9A" w14:textId="77777777" w:rsidR="00BE36FB" w:rsidRPr="009B7B35" w:rsidRDefault="00BE36FB" w:rsidP="001A7107">
            <w:pPr>
              <w:rPr>
                <w:rFonts w:cs="Arial"/>
                <w:sz w:val="20"/>
                <w:szCs w:val="20"/>
              </w:rPr>
            </w:pPr>
            <w:r w:rsidRPr="009B7B35">
              <w:rPr>
                <w:rFonts w:cs="Arial"/>
                <w:sz w:val="20"/>
                <w:szCs w:val="20"/>
              </w:rPr>
              <w:t>Non–residential uses:</w:t>
            </w:r>
          </w:p>
          <w:p w14:paraId="2D7CC45A" w14:textId="77777777" w:rsidR="00BE36FB" w:rsidRPr="009B7B35" w:rsidRDefault="00BE36FB" w:rsidP="00BE36FB">
            <w:pPr>
              <w:numPr>
                <w:ilvl w:val="0"/>
                <w:numId w:val="187"/>
              </w:numPr>
              <w:rPr>
                <w:rFonts w:cs="Arial"/>
                <w:sz w:val="20"/>
                <w:szCs w:val="20"/>
              </w:rPr>
            </w:pPr>
            <w:r w:rsidRPr="009B7B35">
              <w:rPr>
                <w:rFonts w:cs="Arial"/>
                <w:sz w:val="20"/>
                <w:szCs w:val="20"/>
              </w:rPr>
              <w:t>are located in clusters adjoining other non–residential uses on the town’s main street</w:t>
            </w:r>
          </w:p>
          <w:p w14:paraId="26858D62" w14:textId="77777777" w:rsidR="00BE36FB" w:rsidRPr="009B7B35" w:rsidRDefault="00BE36FB" w:rsidP="00BE36FB">
            <w:pPr>
              <w:numPr>
                <w:ilvl w:val="0"/>
                <w:numId w:val="187"/>
              </w:numPr>
              <w:rPr>
                <w:rFonts w:cs="Arial"/>
                <w:sz w:val="20"/>
                <w:szCs w:val="20"/>
              </w:rPr>
            </w:pPr>
            <w:r w:rsidRPr="009B7B35">
              <w:rPr>
                <w:rFonts w:cs="Arial"/>
                <w:sz w:val="20"/>
                <w:szCs w:val="20"/>
              </w:rPr>
              <w:t>reinforce a main street character and streetscape.</w:t>
            </w:r>
          </w:p>
        </w:tc>
        <w:tc>
          <w:tcPr>
            <w:tcW w:w="4678" w:type="dxa"/>
          </w:tcPr>
          <w:p w14:paraId="6C8DB686" w14:textId="77777777" w:rsidR="00BE36FB" w:rsidRPr="009B7B35" w:rsidRDefault="00BE36FB" w:rsidP="001A7107">
            <w:pPr>
              <w:rPr>
                <w:rFonts w:cs="Arial"/>
                <w:sz w:val="20"/>
                <w:szCs w:val="20"/>
              </w:rPr>
            </w:pPr>
            <w:r w:rsidRPr="009B7B35">
              <w:rPr>
                <w:rFonts w:cs="Arial"/>
                <w:sz w:val="20"/>
                <w:szCs w:val="20"/>
              </w:rPr>
              <w:t>No acceptable outcome is nominated.</w:t>
            </w:r>
          </w:p>
        </w:tc>
      </w:tr>
      <w:tr w:rsidR="00BE36FB" w:rsidRPr="009B7B35" w14:paraId="379A5F70" w14:textId="77777777" w:rsidTr="001A7107">
        <w:tc>
          <w:tcPr>
            <w:tcW w:w="9356" w:type="dxa"/>
            <w:gridSpan w:val="2"/>
            <w:shd w:val="clear" w:color="auto" w:fill="BFBFBF" w:themeFill="background1" w:themeFillShade="BF"/>
          </w:tcPr>
          <w:p w14:paraId="0342E00F" w14:textId="77777777" w:rsidR="00BE36FB" w:rsidRPr="009B7B35" w:rsidRDefault="00BE36FB" w:rsidP="001A7107">
            <w:pPr>
              <w:pStyle w:val="Tableheading"/>
              <w:rPr>
                <w:rFonts w:ascii="Arial" w:hAnsi="Arial" w:cs="Arial"/>
                <w:szCs w:val="20"/>
              </w:rPr>
            </w:pPr>
            <w:r w:rsidRPr="009B7B35">
              <w:rPr>
                <w:rFonts w:ascii="Arial" w:hAnsi="Arial" w:cs="Arial"/>
                <w:szCs w:val="20"/>
              </w:rPr>
              <w:t>Design and amenity</w:t>
            </w:r>
          </w:p>
        </w:tc>
      </w:tr>
      <w:tr w:rsidR="00BE36FB" w:rsidRPr="009B7B35" w14:paraId="03AB988B" w14:textId="77777777" w:rsidTr="001A7107">
        <w:tc>
          <w:tcPr>
            <w:tcW w:w="4678" w:type="dxa"/>
          </w:tcPr>
          <w:p w14:paraId="384C2A2D" w14:textId="77777777" w:rsidR="00BE36FB" w:rsidRPr="009B7B35" w:rsidRDefault="00BE36FB" w:rsidP="001A7107">
            <w:pPr>
              <w:pStyle w:val="TableText"/>
              <w:rPr>
                <w:rFonts w:cs="Arial"/>
                <w:b/>
                <w:bCs/>
              </w:rPr>
            </w:pPr>
            <w:r w:rsidRPr="009B7B35">
              <w:rPr>
                <w:rFonts w:cs="Arial"/>
                <w:b/>
                <w:bCs/>
              </w:rPr>
              <w:t>PO8</w:t>
            </w:r>
          </w:p>
          <w:p w14:paraId="5CFACCB3" w14:textId="77777777" w:rsidR="00BE36FB" w:rsidRPr="009B7B35" w:rsidRDefault="00BE36FB" w:rsidP="001A7107">
            <w:pPr>
              <w:rPr>
                <w:rFonts w:cs="Arial"/>
                <w:sz w:val="20"/>
                <w:szCs w:val="20"/>
              </w:rPr>
            </w:pPr>
            <w:r w:rsidRPr="009B7B35">
              <w:rPr>
                <w:rFonts w:cs="Arial"/>
                <w:sz w:val="20"/>
                <w:szCs w:val="20"/>
              </w:rPr>
              <w:t>Non–residential development provides adequate separation, buffering and screening from any adjoining residential premises so that the privacy and amenity of residential premises are not adversely affected.</w:t>
            </w:r>
          </w:p>
        </w:tc>
        <w:tc>
          <w:tcPr>
            <w:tcW w:w="4678" w:type="dxa"/>
          </w:tcPr>
          <w:p w14:paraId="1C8BCC64" w14:textId="77777777" w:rsidR="00BE36FB" w:rsidRPr="009B7B35" w:rsidRDefault="00BE36FB" w:rsidP="001A7107">
            <w:pPr>
              <w:pStyle w:val="TableText"/>
              <w:rPr>
                <w:rFonts w:cs="Arial"/>
                <w:b/>
                <w:bCs/>
              </w:rPr>
            </w:pPr>
            <w:r w:rsidRPr="009B7B35">
              <w:rPr>
                <w:rFonts w:cs="Arial"/>
                <w:b/>
                <w:bCs/>
              </w:rPr>
              <w:t>AO8</w:t>
            </w:r>
          </w:p>
          <w:p w14:paraId="3A2CD83E" w14:textId="77777777" w:rsidR="00BE36FB" w:rsidRPr="009B7B35" w:rsidRDefault="00BE36FB" w:rsidP="001A7107">
            <w:pPr>
              <w:pStyle w:val="TableText"/>
              <w:rPr>
                <w:rFonts w:cs="Arial"/>
              </w:rPr>
            </w:pPr>
            <w:r w:rsidRPr="009B7B35">
              <w:rPr>
                <w:rFonts w:cs="Arial"/>
              </w:rPr>
              <w:t>Where non–residential activities adjoin residential premises, a minimum boundary side and rear setback of 3m is required for any:</w:t>
            </w:r>
          </w:p>
          <w:p w14:paraId="65709A0A" w14:textId="77777777" w:rsidR="00BE36FB" w:rsidRPr="009B7B35" w:rsidRDefault="00BE36FB" w:rsidP="00BE36FB">
            <w:pPr>
              <w:pStyle w:val="TableText"/>
              <w:numPr>
                <w:ilvl w:val="0"/>
                <w:numId w:val="422"/>
              </w:numPr>
              <w:rPr>
                <w:rFonts w:cs="Arial"/>
              </w:rPr>
            </w:pPr>
            <w:r w:rsidRPr="009B7B35">
              <w:rPr>
                <w:rFonts w:cs="Arial"/>
              </w:rPr>
              <w:t>buildings</w:t>
            </w:r>
          </w:p>
          <w:p w14:paraId="2BD25178" w14:textId="77777777" w:rsidR="00BE36FB" w:rsidRPr="009B7B35" w:rsidRDefault="00BE36FB" w:rsidP="00BE36FB">
            <w:pPr>
              <w:pStyle w:val="TableText"/>
              <w:numPr>
                <w:ilvl w:val="0"/>
                <w:numId w:val="422"/>
              </w:numPr>
              <w:rPr>
                <w:rFonts w:cs="Arial"/>
              </w:rPr>
            </w:pPr>
            <w:r w:rsidRPr="009B7B35">
              <w:rPr>
                <w:rFonts w:cs="Arial"/>
              </w:rPr>
              <w:t>temporary structure including markets</w:t>
            </w:r>
          </w:p>
          <w:p w14:paraId="3E8C2849" w14:textId="77777777" w:rsidR="00BE36FB" w:rsidRPr="009B7B35" w:rsidRDefault="00BE36FB" w:rsidP="00BE36FB">
            <w:pPr>
              <w:pStyle w:val="TableText"/>
              <w:numPr>
                <w:ilvl w:val="0"/>
                <w:numId w:val="422"/>
              </w:numPr>
              <w:rPr>
                <w:rFonts w:cs="Arial"/>
              </w:rPr>
            </w:pPr>
            <w:r w:rsidRPr="009B7B35">
              <w:rPr>
                <w:rFonts w:cs="Arial"/>
              </w:rPr>
              <w:t>active outdoor use areas</w:t>
            </w:r>
          </w:p>
          <w:p w14:paraId="21F23B22" w14:textId="77777777" w:rsidR="00BE36FB" w:rsidRPr="009B7B35" w:rsidRDefault="00BE36FB" w:rsidP="00BE36FB">
            <w:pPr>
              <w:pStyle w:val="TableText"/>
              <w:numPr>
                <w:ilvl w:val="0"/>
                <w:numId w:val="422"/>
              </w:numPr>
              <w:rPr>
                <w:rFonts w:cs="Arial"/>
              </w:rPr>
            </w:pPr>
            <w:r w:rsidRPr="009B7B35">
              <w:rPr>
                <w:rFonts w:cs="Arial"/>
              </w:rPr>
              <w:t>site access points</w:t>
            </w:r>
          </w:p>
          <w:p w14:paraId="64D34D2F" w14:textId="77777777" w:rsidR="00BE36FB" w:rsidRPr="009B7B35" w:rsidRDefault="00BE36FB" w:rsidP="00BE36FB">
            <w:pPr>
              <w:pStyle w:val="TableText"/>
              <w:numPr>
                <w:ilvl w:val="0"/>
                <w:numId w:val="422"/>
              </w:numPr>
              <w:rPr>
                <w:rFonts w:cs="Arial"/>
              </w:rPr>
            </w:pPr>
            <w:r w:rsidRPr="009B7B35">
              <w:rPr>
                <w:rFonts w:cs="Arial"/>
              </w:rPr>
              <w:t>car parking areas</w:t>
            </w:r>
          </w:p>
          <w:p w14:paraId="1944E901" w14:textId="77777777" w:rsidR="00BE36FB" w:rsidRPr="009B7B35" w:rsidRDefault="00BE36FB" w:rsidP="00BE36FB">
            <w:pPr>
              <w:pStyle w:val="TableText"/>
              <w:numPr>
                <w:ilvl w:val="0"/>
                <w:numId w:val="422"/>
              </w:numPr>
              <w:rPr>
                <w:rFonts w:cs="Arial"/>
              </w:rPr>
            </w:pPr>
            <w:r w:rsidRPr="009B7B35">
              <w:rPr>
                <w:rFonts w:cs="Arial"/>
              </w:rPr>
              <w:t>servicing or outdoor storage areas.</w:t>
            </w:r>
          </w:p>
        </w:tc>
      </w:tr>
      <w:tr w:rsidR="00BE36FB" w:rsidRPr="009B7B35" w14:paraId="6F3FECCA" w14:textId="77777777" w:rsidTr="001A7107">
        <w:tc>
          <w:tcPr>
            <w:tcW w:w="4678" w:type="dxa"/>
          </w:tcPr>
          <w:p w14:paraId="6907C36B" w14:textId="77777777" w:rsidR="00BE36FB" w:rsidRPr="009B7B35" w:rsidRDefault="00BE36FB" w:rsidP="001A7107">
            <w:pPr>
              <w:pStyle w:val="TableText"/>
              <w:rPr>
                <w:rFonts w:cs="Arial"/>
                <w:b/>
                <w:bCs/>
              </w:rPr>
            </w:pPr>
            <w:r w:rsidRPr="009B7B35">
              <w:rPr>
                <w:rFonts w:cs="Arial"/>
                <w:b/>
                <w:bCs/>
              </w:rPr>
              <w:t>PO9</w:t>
            </w:r>
          </w:p>
          <w:p w14:paraId="69E0BF2D" w14:textId="77777777" w:rsidR="00BE36FB" w:rsidRPr="009B7B35" w:rsidRDefault="00BE36FB" w:rsidP="001A7107">
            <w:pPr>
              <w:pStyle w:val="TableText"/>
              <w:rPr>
                <w:rFonts w:cs="Arial"/>
              </w:rPr>
            </w:pPr>
            <w:r w:rsidRPr="009B7B35">
              <w:rPr>
                <w:rFonts w:cs="Arial"/>
              </w:rPr>
              <w:t>Development has a high quality appearance and makes a positive contribution to the streetscape.</w:t>
            </w:r>
          </w:p>
        </w:tc>
        <w:tc>
          <w:tcPr>
            <w:tcW w:w="4678" w:type="dxa"/>
          </w:tcPr>
          <w:p w14:paraId="6E132359"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FA713F9" w14:textId="77777777" w:rsidTr="001A7107">
        <w:trPr>
          <w:cantSplit/>
        </w:trPr>
        <w:tc>
          <w:tcPr>
            <w:tcW w:w="4678" w:type="dxa"/>
          </w:tcPr>
          <w:p w14:paraId="026BEB1C" w14:textId="77777777" w:rsidR="00BE36FB" w:rsidRPr="009B7B35" w:rsidRDefault="00BE36FB" w:rsidP="001A7107">
            <w:pPr>
              <w:pStyle w:val="TableText"/>
              <w:rPr>
                <w:rFonts w:cs="Arial"/>
                <w:b/>
                <w:bCs/>
              </w:rPr>
            </w:pPr>
            <w:r w:rsidRPr="009B7B35">
              <w:rPr>
                <w:rFonts w:cs="Arial"/>
                <w:b/>
                <w:bCs/>
              </w:rPr>
              <w:t>PO10</w:t>
            </w:r>
          </w:p>
          <w:p w14:paraId="0127500A" w14:textId="77777777" w:rsidR="00BE36FB" w:rsidRPr="009B7B35" w:rsidRDefault="00BE36FB" w:rsidP="001A7107">
            <w:pPr>
              <w:pStyle w:val="TableText"/>
              <w:rPr>
                <w:rFonts w:cs="Arial"/>
              </w:rPr>
            </w:pPr>
            <w:r w:rsidRPr="009B7B35">
              <w:rPr>
                <w:rFonts w:cs="Arial"/>
              </w:rPr>
              <w:t>Development maintains a high level of amenity within the site and minimises impacts on surrounding areas, having regard to:</w:t>
            </w:r>
          </w:p>
          <w:p w14:paraId="5C365252" w14:textId="77777777" w:rsidR="00BE36FB" w:rsidRPr="009B7B35" w:rsidRDefault="00BE36FB" w:rsidP="00BE36FB">
            <w:pPr>
              <w:pStyle w:val="TableText"/>
              <w:numPr>
                <w:ilvl w:val="0"/>
                <w:numId w:val="423"/>
              </w:numPr>
              <w:rPr>
                <w:rFonts w:cs="Arial"/>
              </w:rPr>
            </w:pPr>
            <w:r w:rsidRPr="009B7B35">
              <w:rPr>
                <w:rFonts w:cs="Arial"/>
              </w:rPr>
              <w:t>noise</w:t>
            </w:r>
          </w:p>
          <w:p w14:paraId="2B00F797" w14:textId="77777777" w:rsidR="00BE36FB" w:rsidRPr="009B7B35" w:rsidRDefault="00BE36FB" w:rsidP="00BE36FB">
            <w:pPr>
              <w:pStyle w:val="TableText"/>
              <w:numPr>
                <w:ilvl w:val="0"/>
                <w:numId w:val="423"/>
              </w:numPr>
              <w:rPr>
                <w:rFonts w:cs="Arial"/>
              </w:rPr>
            </w:pPr>
            <w:r w:rsidRPr="009B7B35">
              <w:rPr>
                <w:rFonts w:cs="Arial"/>
              </w:rPr>
              <w:t>traffic and parking</w:t>
            </w:r>
          </w:p>
          <w:p w14:paraId="5F27207D" w14:textId="77777777" w:rsidR="00BE36FB" w:rsidRPr="009B7B35" w:rsidRDefault="00BE36FB" w:rsidP="00BE36FB">
            <w:pPr>
              <w:pStyle w:val="TableText"/>
              <w:numPr>
                <w:ilvl w:val="0"/>
                <w:numId w:val="423"/>
              </w:numPr>
              <w:rPr>
                <w:rFonts w:cs="Arial"/>
              </w:rPr>
            </w:pPr>
            <w:r w:rsidRPr="009B7B35">
              <w:rPr>
                <w:rFonts w:cs="Arial"/>
              </w:rPr>
              <w:t>visual impact</w:t>
            </w:r>
          </w:p>
          <w:p w14:paraId="7B1643EF" w14:textId="77777777" w:rsidR="00BE36FB" w:rsidRPr="009B7B35" w:rsidRDefault="00BE36FB" w:rsidP="00BE36FB">
            <w:pPr>
              <w:pStyle w:val="TableText"/>
              <w:numPr>
                <w:ilvl w:val="0"/>
                <w:numId w:val="423"/>
              </w:numPr>
              <w:rPr>
                <w:rFonts w:cs="Arial"/>
              </w:rPr>
            </w:pPr>
            <w:r w:rsidRPr="009B7B35">
              <w:rPr>
                <w:rFonts w:cs="Arial"/>
              </w:rPr>
              <w:t>odour and emissions</w:t>
            </w:r>
          </w:p>
          <w:p w14:paraId="20391094" w14:textId="77777777" w:rsidR="00BE36FB" w:rsidRPr="009B7B35" w:rsidRDefault="00BE36FB" w:rsidP="00BE36FB">
            <w:pPr>
              <w:pStyle w:val="TableText"/>
              <w:numPr>
                <w:ilvl w:val="0"/>
                <w:numId w:val="423"/>
              </w:numPr>
              <w:rPr>
                <w:rFonts w:cs="Arial"/>
              </w:rPr>
            </w:pPr>
            <w:r w:rsidRPr="009B7B35">
              <w:rPr>
                <w:rFonts w:cs="Arial"/>
              </w:rPr>
              <w:t>lighting</w:t>
            </w:r>
          </w:p>
          <w:p w14:paraId="483DAED8" w14:textId="77777777" w:rsidR="00BE36FB" w:rsidRPr="009B7B35" w:rsidRDefault="00BE36FB" w:rsidP="00BE36FB">
            <w:pPr>
              <w:pStyle w:val="TableText"/>
              <w:numPr>
                <w:ilvl w:val="0"/>
                <w:numId w:val="423"/>
              </w:numPr>
              <w:rPr>
                <w:rFonts w:cs="Arial"/>
              </w:rPr>
            </w:pPr>
            <w:r w:rsidRPr="009B7B35">
              <w:rPr>
                <w:rFonts w:cs="Arial"/>
              </w:rPr>
              <w:t>access to sunlight, and</w:t>
            </w:r>
          </w:p>
          <w:p w14:paraId="01696D56" w14:textId="77777777" w:rsidR="00BE36FB" w:rsidRPr="009B7B35" w:rsidRDefault="00BE36FB" w:rsidP="00BE36FB">
            <w:pPr>
              <w:pStyle w:val="TableText"/>
              <w:numPr>
                <w:ilvl w:val="0"/>
                <w:numId w:val="423"/>
              </w:numPr>
              <w:rPr>
                <w:rFonts w:cs="Arial"/>
              </w:rPr>
            </w:pPr>
            <w:r w:rsidRPr="009B7B35">
              <w:rPr>
                <w:rFonts w:cs="Arial"/>
              </w:rPr>
              <w:t>privacy.</w:t>
            </w:r>
          </w:p>
          <w:p w14:paraId="4494400D" w14:textId="77777777" w:rsidR="00BE36FB" w:rsidRPr="009B7B35" w:rsidRDefault="00BE36FB">
            <w:pPr>
              <w:pStyle w:val="Notes"/>
              <w:rPr>
                <w:rFonts w:cs="Arial"/>
                <w:sz w:val="20"/>
                <w:szCs w:val="20"/>
              </w:rPr>
            </w:pPr>
            <w:r w:rsidRPr="009B7B35">
              <w:rPr>
                <w:rFonts w:cs="Arial"/>
                <w:sz w:val="20"/>
                <w:szCs w:val="20"/>
              </w:rPr>
              <w:t>Note—Applicants may be required to engage specialists to provide detailed investigations into the above matters in order to demonstrate compliance with this performance criterion.</w:t>
            </w:r>
          </w:p>
        </w:tc>
        <w:tc>
          <w:tcPr>
            <w:tcW w:w="4678" w:type="dxa"/>
          </w:tcPr>
          <w:p w14:paraId="066A1B54" w14:textId="77777777" w:rsidR="00BE36FB" w:rsidRPr="009B7B35" w:rsidRDefault="00BE36FB" w:rsidP="001A7107">
            <w:pPr>
              <w:rPr>
                <w:rFonts w:cs="Arial"/>
                <w:sz w:val="20"/>
                <w:szCs w:val="20"/>
              </w:rPr>
            </w:pPr>
            <w:r w:rsidRPr="009B7B35">
              <w:rPr>
                <w:rFonts w:cs="Arial"/>
                <w:sz w:val="20"/>
                <w:szCs w:val="20"/>
              </w:rPr>
              <w:t>No acceptable outcome is nominated.</w:t>
            </w:r>
          </w:p>
        </w:tc>
      </w:tr>
      <w:tr w:rsidR="00BE36FB" w:rsidRPr="009B7B35" w14:paraId="44FA8EC7" w14:textId="77777777" w:rsidTr="001A7107">
        <w:tc>
          <w:tcPr>
            <w:tcW w:w="4678" w:type="dxa"/>
          </w:tcPr>
          <w:p w14:paraId="37B6029C" w14:textId="77777777" w:rsidR="00BE36FB" w:rsidRPr="009B7B35" w:rsidRDefault="00BE36FB" w:rsidP="001A7107">
            <w:pPr>
              <w:pStyle w:val="TableText"/>
              <w:rPr>
                <w:rFonts w:cs="Arial"/>
                <w:b/>
                <w:bCs/>
              </w:rPr>
            </w:pPr>
            <w:r w:rsidRPr="009B7B35">
              <w:rPr>
                <w:rFonts w:cs="Arial"/>
                <w:b/>
                <w:bCs/>
              </w:rPr>
              <w:t>PO11</w:t>
            </w:r>
          </w:p>
          <w:p w14:paraId="5C8EFBA1" w14:textId="77777777" w:rsidR="00BE36FB" w:rsidRPr="009B7B35" w:rsidRDefault="00BE36FB" w:rsidP="001A7107">
            <w:pPr>
              <w:pStyle w:val="TableText"/>
              <w:rPr>
                <w:rFonts w:cs="Arial"/>
              </w:rPr>
            </w:pPr>
            <w:r w:rsidRPr="009B7B35">
              <w:rPr>
                <w:rFonts w:cs="Arial"/>
              </w:rPr>
              <w:t>Development is to:</w:t>
            </w:r>
          </w:p>
          <w:p w14:paraId="74582AF9" w14:textId="77777777" w:rsidR="00BE36FB" w:rsidRPr="009B7B35" w:rsidRDefault="00BE36FB" w:rsidP="00BE36FB">
            <w:pPr>
              <w:numPr>
                <w:ilvl w:val="0"/>
                <w:numId w:val="319"/>
              </w:numPr>
              <w:rPr>
                <w:rFonts w:cs="Arial"/>
                <w:sz w:val="20"/>
                <w:szCs w:val="20"/>
              </w:rPr>
            </w:pPr>
            <w:r w:rsidRPr="009B7B35">
              <w:rPr>
                <w:rFonts w:cs="Arial"/>
                <w:sz w:val="20"/>
                <w:szCs w:val="20"/>
              </w:rPr>
              <w:t>minimise noise dust, odour or other nuisance from existing lawful uses including rural and industrial uses</w:t>
            </w:r>
          </w:p>
          <w:p w14:paraId="75758A57" w14:textId="77777777" w:rsidR="00BE36FB" w:rsidRPr="009B7B35" w:rsidRDefault="00BE36FB" w:rsidP="00BE36FB">
            <w:pPr>
              <w:numPr>
                <w:ilvl w:val="0"/>
                <w:numId w:val="319"/>
              </w:numPr>
              <w:rPr>
                <w:rFonts w:cs="Arial"/>
                <w:sz w:val="20"/>
                <w:szCs w:val="20"/>
              </w:rPr>
            </w:pPr>
            <w:r w:rsidRPr="009B7B35">
              <w:rPr>
                <w:rFonts w:cs="Arial"/>
                <w:sz w:val="20"/>
                <w:szCs w:val="20"/>
              </w:rPr>
              <w:t>minimise nuisance caused by noise, vibration and dust emissions generated by the state–controlled road and rail network in the vicinity of the land.</w:t>
            </w:r>
          </w:p>
        </w:tc>
        <w:tc>
          <w:tcPr>
            <w:tcW w:w="4678" w:type="dxa"/>
          </w:tcPr>
          <w:p w14:paraId="39491D6C" w14:textId="77777777" w:rsidR="00BE36FB" w:rsidRPr="009B7B35" w:rsidRDefault="00BE36FB" w:rsidP="001A7107">
            <w:pPr>
              <w:rPr>
                <w:rFonts w:cs="Arial"/>
                <w:sz w:val="20"/>
                <w:szCs w:val="20"/>
              </w:rPr>
            </w:pPr>
            <w:r w:rsidRPr="009B7B35">
              <w:rPr>
                <w:rFonts w:cs="Arial"/>
                <w:sz w:val="20"/>
                <w:szCs w:val="20"/>
              </w:rPr>
              <w:t>No acceptable outcome is nominated.</w:t>
            </w:r>
          </w:p>
        </w:tc>
      </w:tr>
      <w:tr w:rsidR="00BE36FB" w:rsidRPr="009B7B35" w14:paraId="14892F24" w14:textId="77777777" w:rsidTr="001A7107">
        <w:tc>
          <w:tcPr>
            <w:tcW w:w="4678" w:type="dxa"/>
          </w:tcPr>
          <w:p w14:paraId="5B443A43" w14:textId="77777777" w:rsidR="00BE36FB" w:rsidRPr="009B7B35" w:rsidRDefault="00BE36FB" w:rsidP="001A7107">
            <w:pPr>
              <w:pStyle w:val="TableText"/>
              <w:rPr>
                <w:rFonts w:cs="Arial"/>
                <w:b/>
                <w:bCs/>
              </w:rPr>
            </w:pPr>
            <w:r w:rsidRPr="009B7B35">
              <w:rPr>
                <w:rFonts w:cs="Arial"/>
                <w:b/>
                <w:bCs/>
              </w:rPr>
              <w:t>PO12</w:t>
            </w:r>
          </w:p>
          <w:p w14:paraId="637C119A" w14:textId="77777777" w:rsidR="00BE36FB" w:rsidRPr="009B7B35" w:rsidRDefault="00BE36FB" w:rsidP="001A7107">
            <w:pPr>
              <w:pStyle w:val="TableText"/>
              <w:rPr>
                <w:rFonts w:cs="Arial"/>
              </w:rPr>
            </w:pPr>
            <w:r w:rsidRPr="009B7B35">
              <w:rPr>
                <w:rFonts w:cs="Arial"/>
              </w:rPr>
              <w:t>Development is designed to achieve safety for all users having regard to:</w:t>
            </w:r>
          </w:p>
          <w:p w14:paraId="29BC250D" w14:textId="77777777" w:rsidR="00BE36FB" w:rsidRPr="009B7B35" w:rsidRDefault="00BE36FB" w:rsidP="00BE36FB">
            <w:pPr>
              <w:pStyle w:val="TableText"/>
              <w:numPr>
                <w:ilvl w:val="0"/>
                <w:numId w:val="527"/>
              </w:numPr>
              <w:rPr>
                <w:rFonts w:cs="Arial"/>
              </w:rPr>
            </w:pPr>
            <w:r w:rsidRPr="009B7B35">
              <w:rPr>
                <w:rFonts w:cs="Arial"/>
              </w:rPr>
              <w:t>maximising casual surveillance and sight lines</w:t>
            </w:r>
          </w:p>
          <w:p w14:paraId="31E630FA" w14:textId="77777777" w:rsidR="00BE36FB" w:rsidRPr="009B7B35" w:rsidRDefault="00BE36FB" w:rsidP="00BE36FB">
            <w:pPr>
              <w:pStyle w:val="TableText"/>
              <w:numPr>
                <w:ilvl w:val="0"/>
                <w:numId w:val="527"/>
              </w:numPr>
              <w:rPr>
                <w:rFonts w:cs="Arial"/>
              </w:rPr>
            </w:pPr>
            <w:r w:rsidRPr="009B7B35">
              <w:rPr>
                <w:rFonts w:cs="Arial"/>
              </w:rPr>
              <w:t>avoiding personal concealment and entrapment locations</w:t>
            </w:r>
          </w:p>
          <w:p w14:paraId="66F1A4B6" w14:textId="77777777" w:rsidR="00BE36FB" w:rsidRPr="009B7B35" w:rsidRDefault="00BE36FB" w:rsidP="00BE36FB">
            <w:pPr>
              <w:pStyle w:val="TableText"/>
              <w:numPr>
                <w:ilvl w:val="0"/>
                <w:numId w:val="527"/>
              </w:numPr>
              <w:rPr>
                <w:rFonts w:cs="Arial"/>
              </w:rPr>
            </w:pPr>
            <w:r w:rsidRPr="009B7B35">
              <w:rPr>
                <w:rFonts w:cs="Arial"/>
              </w:rPr>
              <w:t>exterior building design that promotes safety</w:t>
            </w:r>
          </w:p>
          <w:p w14:paraId="5F48B54E" w14:textId="77777777" w:rsidR="00BE36FB" w:rsidRPr="009B7B35" w:rsidRDefault="00BE36FB" w:rsidP="00BE36FB">
            <w:pPr>
              <w:pStyle w:val="TableText"/>
              <w:numPr>
                <w:ilvl w:val="0"/>
                <w:numId w:val="527"/>
              </w:numPr>
              <w:rPr>
                <w:rFonts w:cs="Arial"/>
              </w:rPr>
            </w:pPr>
            <w:r w:rsidRPr="009B7B35">
              <w:rPr>
                <w:rFonts w:cs="Arial"/>
              </w:rPr>
              <w:t>adequate lighting</w:t>
            </w:r>
          </w:p>
          <w:p w14:paraId="03604D5A" w14:textId="77777777" w:rsidR="00BE36FB" w:rsidRPr="009B7B35" w:rsidRDefault="00BE36FB" w:rsidP="00BE36FB">
            <w:pPr>
              <w:pStyle w:val="TableText"/>
              <w:numPr>
                <w:ilvl w:val="0"/>
                <w:numId w:val="527"/>
              </w:numPr>
              <w:rPr>
                <w:rFonts w:cs="Arial"/>
              </w:rPr>
            </w:pPr>
            <w:r w:rsidRPr="009B7B35">
              <w:rPr>
                <w:rFonts w:cs="Arial"/>
              </w:rPr>
              <w:t>appropriate signage and wayfinding, and</w:t>
            </w:r>
          </w:p>
          <w:p w14:paraId="20842B45" w14:textId="77777777" w:rsidR="00BE36FB" w:rsidRPr="009B7B35" w:rsidRDefault="00BE36FB" w:rsidP="00BE36FB">
            <w:pPr>
              <w:pStyle w:val="TableText"/>
              <w:numPr>
                <w:ilvl w:val="0"/>
                <w:numId w:val="527"/>
              </w:numPr>
              <w:rPr>
                <w:rFonts w:cs="Arial"/>
              </w:rPr>
            </w:pPr>
            <w:r w:rsidRPr="009B7B35">
              <w:rPr>
                <w:rFonts w:cs="Arial"/>
              </w:rPr>
              <w:t>building entrances, parking areas, loading and storage areas that are well lit and have clearly defined access points.</w:t>
            </w:r>
          </w:p>
          <w:p w14:paraId="097CCB0A" w14:textId="77777777" w:rsidR="00BE36FB" w:rsidRPr="009B7B35" w:rsidRDefault="00BE36FB" w:rsidP="001A7107">
            <w:pPr>
              <w:pStyle w:val="Notes"/>
              <w:rPr>
                <w:rFonts w:cs="Arial"/>
                <w:sz w:val="20"/>
                <w:szCs w:val="20"/>
              </w:rPr>
            </w:pPr>
            <w:r w:rsidRPr="009B7B35">
              <w:rPr>
                <w:rFonts w:cs="Arial"/>
                <w:sz w:val="20"/>
                <w:szCs w:val="20"/>
              </w:rPr>
              <w:t>Note—Applicants may find useful guidance in the Queensland Government’s Crime Prevention through Environmental Design Guidelines for Queensland.</w:t>
            </w:r>
          </w:p>
        </w:tc>
        <w:tc>
          <w:tcPr>
            <w:tcW w:w="4678" w:type="dxa"/>
          </w:tcPr>
          <w:p w14:paraId="1385F15D" w14:textId="77777777" w:rsidR="00BE36FB" w:rsidRPr="009B7B35" w:rsidRDefault="00BE36FB" w:rsidP="001A7107">
            <w:pPr>
              <w:rPr>
                <w:rFonts w:cs="Arial"/>
                <w:sz w:val="20"/>
                <w:szCs w:val="20"/>
              </w:rPr>
            </w:pPr>
            <w:r w:rsidRPr="009B7B35">
              <w:rPr>
                <w:rFonts w:cs="Arial"/>
                <w:sz w:val="20"/>
                <w:szCs w:val="20"/>
              </w:rPr>
              <w:t>No acceptable outcome is nominated.</w:t>
            </w:r>
          </w:p>
        </w:tc>
      </w:tr>
      <w:tr w:rsidR="00BE36FB" w:rsidRPr="009B7B35" w14:paraId="46E33BF6" w14:textId="77777777" w:rsidTr="001A7107">
        <w:tc>
          <w:tcPr>
            <w:tcW w:w="4678" w:type="dxa"/>
          </w:tcPr>
          <w:p w14:paraId="6DE22DF3" w14:textId="77777777" w:rsidR="00BE36FB" w:rsidRPr="009B7B35" w:rsidRDefault="00BE36FB" w:rsidP="001A7107">
            <w:pPr>
              <w:pStyle w:val="TableText"/>
              <w:rPr>
                <w:rFonts w:cs="Arial"/>
                <w:b/>
                <w:bCs/>
              </w:rPr>
            </w:pPr>
            <w:r w:rsidRPr="009B7B35">
              <w:rPr>
                <w:rFonts w:cs="Arial"/>
                <w:b/>
                <w:bCs/>
              </w:rPr>
              <w:t>PO13</w:t>
            </w:r>
          </w:p>
          <w:p w14:paraId="1909B41F" w14:textId="77777777" w:rsidR="00BE36FB" w:rsidRPr="009B7B35" w:rsidRDefault="00BE36FB" w:rsidP="001A7107">
            <w:pPr>
              <w:pStyle w:val="TableText"/>
              <w:rPr>
                <w:rFonts w:cs="Arial"/>
              </w:rPr>
            </w:pPr>
            <w:r w:rsidRPr="009B7B35">
              <w:rPr>
                <w:rFonts w:cs="Arial"/>
              </w:rPr>
              <w:t>Development responds sensitively to on–site and surrounding topography, coastal foreshores, drainage patterns, utility services, access, vegetation and adjoining land use, such that:</w:t>
            </w:r>
          </w:p>
          <w:p w14:paraId="244FD205" w14:textId="77777777" w:rsidR="00BE36FB" w:rsidRPr="009B7B35" w:rsidRDefault="00BE36FB" w:rsidP="00BE36FB">
            <w:pPr>
              <w:pStyle w:val="TableText"/>
              <w:numPr>
                <w:ilvl w:val="0"/>
                <w:numId w:val="528"/>
              </w:numPr>
              <w:rPr>
                <w:rFonts w:cs="Arial"/>
              </w:rPr>
            </w:pPr>
            <w:r w:rsidRPr="009B7B35">
              <w:rPr>
                <w:rFonts w:cs="Arial"/>
              </w:rPr>
              <w:t>any hazards to people or property are avoided</w:t>
            </w:r>
          </w:p>
          <w:p w14:paraId="2538CB9B" w14:textId="77777777" w:rsidR="00BE36FB" w:rsidRPr="009B7B35" w:rsidRDefault="00BE36FB" w:rsidP="00BE36FB">
            <w:pPr>
              <w:pStyle w:val="TableText"/>
              <w:numPr>
                <w:ilvl w:val="0"/>
                <w:numId w:val="528"/>
              </w:numPr>
              <w:rPr>
                <w:rFonts w:cs="Arial"/>
              </w:rPr>
            </w:pPr>
            <w:r w:rsidRPr="009B7B35">
              <w:rPr>
                <w:rFonts w:cs="Arial"/>
              </w:rPr>
              <w:t>any earthworks are minimised</w:t>
            </w:r>
          </w:p>
          <w:p w14:paraId="0EE7BF38" w14:textId="77777777" w:rsidR="00BE36FB" w:rsidRPr="009B7B35" w:rsidRDefault="00BE36FB" w:rsidP="00BE36FB">
            <w:pPr>
              <w:pStyle w:val="TableText"/>
              <w:numPr>
                <w:ilvl w:val="0"/>
                <w:numId w:val="528"/>
              </w:numPr>
              <w:rPr>
                <w:rFonts w:cs="Arial"/>
              </w:rPr>
            </w:pPr>
            <w:r w:rsidRPr="009B7B35">
              <w:rPr>
                <w:rFonts w:cs="Arial"/>
              </w:rPr>
              <w:t>the retention of natural drainage lines is maximised</w:t>
            </w:r>
          </w:p>
          <w:p w14:paraId="6B9F8CE0" w14:textId="77777777" w:rsidR="00BE36FB" w:rsidRPr="009B7B35" w:rsidRDefault="00BE36FB" w:rsidP="00BE36FB">
            <w:pPr>
              <w:pStyle w:val="TableText"/>
              <w:numPr>
                <w:ilvl w:val="0"/>
                <w:numId w:val="528"/>
              </w:numPr>
              <w:rPr>
                <w:rFonts w:cs="Arial"/>
              </w:rPr>
            </w:pPr>
            <w:r w:rsidRPr="009B7B35">
              <w:rPr>
                <w:rFonts w:cs="Arial"/>
              </w:rPr>
              <w:t>the retention of existing vegetation is maximised</w:t>
            </w:r>
          </w:p>
          <w:p w14:paraId="62EC5CCB" w14:textId="77777777" w:rsidR="00BE36FB" w:rsidRPr="009B7B35" w:rsidRDefault="00BE36FB" w:rsidP="00BE36FB">
            <w:pPr>
              <w:pStyle w:val="TableText"/>
              <w:numPr>
                <w:ilvl w:val="0"/>
                <w:numId w:val="528"/>
              </w:numPr>
              <w:rPr>
                <w:rFonts w:cs="Arial"/>
              </w:rPr>
            </w:pPr>
            <w:r w:rsidRPr="009B7B35">
              <w:rPr>
                <w:rFonts w:cs="Arial"/>
              </w:rPr>
              <w:t xml:space="preserve">damage or disruption to sewerage, stormwater and water infrastructure is avoided, and </w:t>
            </w:r>
          </w:p>
          <w:p w14:paraId="20B0B57C" w14:textId="77777777" w:rsidR="00BE36FB" w:rsidRPr="009B7B35" w:rsidRDefault="00BE36FB" w:rsidP="00BE36FB">
            <w:pPr>
              <w:pStyle w:val="TableText"/>
              <w:numPr>
                <w:ilvl w:val="0"/>
                <w:numId w:val="528"/>
              </w:numPr>
              <w:rPr>
                <w:rFonts w:cs="Arial"/>
              </w:rPr>
            </w:pPr>
            <w:r w:rsidRPr="009B7B35">
              <w:rPr>
                <w:rFonts w:cs="Arial"/>
              </w:rPr>
              <w:t>there is adequate buffering, screening or separation to adjoining development.</w:t>
            </w:r>
          </w:p>
        </w:tc>
        <w:tc>
          <w:tcPr>
            <w:tcW w:w="4678" w:type="dxa"/>
          </w:tcPr>
          <w:p w14:paraId="362F1271" w14:textId="77777777" w:rsidR="00BE36FB" w:rsidRPr="009B7B35" w:rsidRDefault="00BE36FB" w:rsidP="001A7107">
            <w:pPr>
              <w:rPr>
                <w:rFonts w:cs="Arial"/>
                <w:sz w:val="20"/>
                <w:szCs w:val="20"/>
              </w:rPr>
            </w:pPr>
            <w:r w:rsidRPr="009B7B35">
              <w:rPr>
                <w:rFonts w:cs="Arial"/>
                <w:sz w:val="20"/>
                <w:szCs w:val="20"/>
              </w:rPr>
              <w:t>No acceptable outcome is nominated.</w:t>
            </w:r>
          </w:p>
        </w:tc>
      </w:tr>
      <w:tr w:rsidR="00BE36FB" w:rsidRPr="009B7B35" w14:paraId="388347ED" w14:textId="77777777" w:rsidTr="001A7107">
        <w:tc>
          <w:tcPr>
            <w:tcW w:w="4678" w:type="dxa"/>
          </w:tcPr>
          <w:p w14:paraId="16802E14" w14:textId="77777777" w:rsidR="00BE36FB" w:rsidRPr="009B7B35" w:rsidRDefault="00BE36FB" w:rsidP="001A7107">
            <w:pPr>
              <w:pStyle w:val="TableText"/>
              <w:rPr>
                <w:rFonts w:cs="Arial"/>
                <w:b/>
                <w:bCs/>
              </w:rPr>
            </w:pPr>
            <w:r w:rsidRPr="009B7B35">
              <w:rPr>
                <w:rFonts w:cs="Arial"/>
                <w:b/>
                <w:bCs/>
              </w:rPr>
              <w:t>PO14</w:t>
            </w:r>
          </w:p>
          <w:p w14:paraId="4E746359" w14:textId="77777777" w:rsidR="00BE36FB" w:rsidRPr="009B7B35" w:rsidRDefault="00BE36FB" w:rsidP="001A7107">
            <w:pPr>
              <w:pStyle w:val="TableText"/>
              <w:rPr>
                <w:rFonts w:cs="Arial"/>
                <w:b/>
                <w:bCs/>
              </w:rPr>
            </w:pPr>
            <w:r w:rsidRPr="009B7B35">
              <w:rPr>
                <w:rFonts w:cs="Arial"/>
              </w:rPr>
              <w:t xml:space="preserve">Development that fronts the Bruce Highway provides an entry statement which incorporates artwork and landscaping along the full frontage relevant to the history and character of the Township. </w:t>
            </w:r>
          </w:p>
        </w:tc>
        <w:tc>
          <w:tcPr>
            <w:tcW w:w="4678" w:type="dxa"/>
          </w:tcPr>
          <w:p w14:paraId="62141C01" w14:textId="77777777" w:rsidR="00BE36FB" w:rsidRPr="009B7B35" w:rsidRDefault="00BE36FB" w:rsidP="001A7107">
            <w:pPr>
              <w:rPr>
                <w:rFonts w:cs="Arial"/>
                <w:sz w:val="20"/>
                <w:szCs w:val="20"/>
              </w:rPr>
            </w:pPr>
            <w:r w:rsidRPr="009B7B35">
              <w:rPr>
                <w:rFonts w:cs="Arial"/>
                <w:sz w:val="20"/>
                <w:szCs w:val="20"/>
              </w:rPr>
              <w:t>No acceptable outcome is nominated.</w:t>
            </w:r>
          </w:p>
        </w:tc>
      </w:tr>
      <w:tr w:rsidR="00BE36FB" w:rsidRPr="009B7B35" w14:paraId="6D05B13F" w14:textId="77777777" w:rsidTr="001A7107">
        <w:trPr>
          <w:cantSplit/>
        </w:trPr>
        <w:tc>
          <w:tcPr>
            <w:tcW w:w="9356" w:type="dxa"/>
            <w:gridSpan w:val="2"/>
            <w:shd w:val="clear" w:color="auto" w:fill="BFBFBF" w:themeFill="background1" w:themeFillShade="BF"/>
          </w:tcPr>
          <w:p w14:paraId="1F6B28B7" w14:textId="77777777" w:rsidR="00BE36FB" w:rsidRPr="009B7B35" w:rsidRDefault="00BE36FB" w:rsidP="001A7107">
            <w:pPr>
              <w:pStyle w:val="Tableheading"/>
              <w:rPr>
                <w:rFonts w:ascii="Arial" w:hAnsi="Arial" w:cs="Arial"/>
                <w:szCs w:val="20"/>
              </w:rPr>
            </w:pPr>
            <w:r w:rsidRPr="009B7B35">
              <w:rPr>
                <w:rFonts w:ascii="Arial" w:hAnsi="Arial" w:cs="Arial"/>
                <w:szCs w:val="20"/>
              </w:rPr>
              <w:t>Use – Short term accommodation and tourist park</w:t>
            </w:r>
          </w:p>
        </w:tc>
      </w:tr>
      <w:tr w:rsidR="00BE36FB" w:rsidRPr="009B7B35" w14:paraId="2E1FD7C8" w14:textId="77777777" w:rsidTr="001A7107">
        <w:trPr>
          <w:cantSplit/>
        </w:trPr>
        <w:tc>
          <w:tcPr>
            <w:tcW w:w="4678" w:type="dxa"/>
            <w:vMerge w:val="restart"/>
          </w:tcPr>
          <w:p w14:paraId="0E6DA3A5" w14:textId="77777777" w:rsidR="00BE36FB" w:rsidRPr="009B7B35" w:rsidRDefault="00BE36FB" w:rsidP="001A7107">
            <w:pPr>
              <w:pStyle w:val="TableText"/>
              <w:rPr>
                <w:rFonts w:cs="Arial"/>
                <w:b/>
                <w:bCs/>
              </w:rPr>
            </w:pPr>
            <w:r w:rsidRPr="009B7B35">
              <w:rPr>
                <w:rFonts w:cs="Arial"/>
                <w:b/>
                <w:bCs/>
              </w:rPr>
              <w:t>PO15</w:t>
            </w:r>
          </w:p>
          <w:p w14:paraId="1F2B97D5" w14:textId="77777777" w:rsidR="00BE36FB" w:rsidRPr="009B7B35" w:rsidRDefault="00BE36FB" w:rsidP="001A7107">
            <w:pPr>
              <w:pStyle w:val="TableText"/>
              <w:rPr>
                <w:rFonts w:cs="Arial"/>
              </w:rPr>
            </w:pPr>
            <w:r w:rsidRPr="009B7B35">
              <w:rPr>
                <w:rFonts w:cs="Arial"/>
              </w:rPr>
              <w:t>Development is of a scale that does not compromise the low density and village character of the locality.</w:t>
            </w:r>
          </w:p>
        </w:tc>
        <w:tc>
          <w:tcPr>
            <w:tcW w:w="4678" w:type="dxa"/>
          </w:tcPr>
          <w:p w14:paraId="666C8445" w14:textId="77777777" w:rsidR="00BE36FB" w:rsidRPr="009B7B35" w:rsidRDefault="00BE36FB" w:rsidP="001A7107">
            <w:pPr>
              <w:pStyle w:val="TableText"/>
              <w:rPr>
                <w:rFonts w:cs="Arial"/>
                <w:b/>
                <w:bCs/>
              </w:rPr>
            </w:pPr>
            <w:r w:rsidRPr="009B7B35">
              <w:rPr>
                <w:rFonts w:cs="Arial"/>
                <w:b/>
                <w:bCs/>
              </w:rPr>
              <w:t>AO15.1</w:t>
            </w:r>
          </w:p>
          <w:p w14:paraId="6C1B2640" w14:textId="77777777" w:rsidR="00BE36FB" w:rsidRPr="009B7B35" w:rsidRDefault="00BE36FB" w:rsidP="001A7107">
            <w:pPr>
              <w:pStyle w:val="TableText"/>
              <w:rPr>
                <w:rFonts w:cs="Arial"/>
              </w:rPr>
            </w:pPr>
            <w:r w:rsidRPr="009B7B35">
              <w:rPr>
                <w:rFonts w:cs="Arial"/>
              </w:rPr>
              <w:t>Development of short term accommodation where a:</w:t>
            </w:r>
          </w:p>
          <w:p w14:paraId="689767A0" w14:textId="77777777" w:rsidR="00BE36FB" w:rsidRPr="009B7B35" w:rsidRDefault="00BE36FB" w:rsidP="00BE36FB">
            <w:pPr>
              <w:numPr>
                <w:ilvl w:val="0"/>
                <w:numId w:val="318"/>
              </w:numPr>
              <w:ind w:left="510" w:hanging="510"/>
              <w:rPr>
                <w:rFonts w:cs="Arial"/>
                <w:sz w:val="20"/>
                <w:szCs w:val="20"/>
              </w:rPr>
            </w:pPr>
            <w:r w:rsidRPr="009B7B35">
              <w:rPr>
                <w:rFonts w:cs="Arial"/>
                <w:sz w:val="20"/>
                <w:szCs w:val="20"/>
              </w:rPr>
              <w:t>motel does not exceed 15 motel units</w:t>
            </w:r>
          </w:p>
          <w:p w14:paraId="136F4111" w14:textId="77777777" w:rsidR="00BE36FB" w:rsidRPr="009B7B35" w:rsidRDefault="00BE36FB" w:rsidP="00BE36FB">
            <w:pPr>
              <w:numPr>
                <w:ilvl w:val="0"/>
                <w:numId w:val="318"/>
              </w:numPr>
              <w:ind w:left="510" w:hanging="510"/>
              <w:rPr>
                <w:rFonts w:cs="Arial"/>
                <w:sz w:val="20"/>
                <w:szCs w:val="20"/>
              </w:rPr>
            </w:pPr>
            <w:r w:rsidRPr="009B7B35">
              <w:rPr>
                <w:rFonts w:cs="Arial"/>
                <w:sz w:val="20"/>
                <w:szCs w:val="20"/>
              </w:rPr>
              <w:t>backpackers establishment does not exceed 30 beds.</w:t>
            </w:r>
          </w:p>
        </w:tc>
      </w:tr>
      <w:tr w:rsidR="00BE36FB" w:rsidRPr="009B7B35" w14:paraId="7BA7F520" w14:textId="77777777" w:rsidTr="001A7107">
        <w:trPr>
          <w:cantSplit/>
        </w:trPr>
        <w:tc>
          <w:tcPr>
            <w:tcW w:w="4678" w:type="dxa"/>
            <w:vMerge/>
          </w:tcPr>
          <w:p w14:paraId="16A5ECC0" w14:textId="77777777" w:rsidR="00BE36FB" w:rsidRPr="009B7B35" w:rsidRDefault="00BE36FB" w:rsidP="001A7107">
            <w:pPr>
              <w:rPr>
                <w:rFonts w:cs="Arial"/>
                <w:sz w:val="20"/>
                <w:szCs w:val="20"/>
              </w:rPr>
            </w:pPr>
          </w:p>
        </w:tc>
        <w:tc>
          <w:tcPr>
            <w:tcW w:w="4678" w:type="dxa"/>
          </w:tcPr>
          <w:p w14:paraId="76783419" w14:textId="77777777" w:rsidR="00BE36FB" w:rsidRPr="009B7B35" w:rsidRDefault="00BE36FB" w:rsidP="001A7107">
            <w:pPr>
              <w:pStyle w:val="TableText"/>
              <w:rPr>
                <w:rFonts w:cs="Arial"/>
                <w:b/>
                <w:bCs/>
              </w:rPr>
            </w:pPr>
            <w:r w:rsidRPr="009B7B35">
              <w:rPr>
                <w:rFonts w:cs="Arial"/>
                <w:b/>
                <w:bCs/>
              </w:rPr>
              <w:t>AO15.2</w:t>
            </w:r>
          </w:p>
          <w:p w14:paraId="7C73A5AE" w14:textId="77777777" w:rsidR="00BE36FB" w:rsidRPr="009B7B35" w:rsidRDefault="00BE36FB" w:rsidP="001A7107">
            <w:pPr>
              <w:pStyle w:val="TableText"/>
              <w:rPr>
                <w:rFonts w:cs="Arial"/>
              </w:rPr>
            </w:pPr>
            <w:r w:rsidRPr="009B7B35">
              <w:rPr>
                <w:rFonts w:cs="Arial"/>
              </w:rPr>
              <w:t>Development for a tourist park does not exceed 50 park sites including 10 holiday cabins.</w:t>
            </w:r>
          </w:p>
        </w:tc>
      </w:tr>
      <w:tr w:rsidR="00BE36FB" w:rsidRPr="009B7B35" w14:paraId="6BEB03A1" w14:textId="77777777" w:rsidTr="001A7107">
        <w:trPr>
          <w:cantSplit/>
        </w:trPr>
        <w:tc>
          <w:tcPr>
            <w:tcW w:w="4678" w:type="dxa"/>
          </w:tcPr>
          <w:p w14:paraId="7573C2A2" w14:textId="77777777" w:rsidR="00BE36FB" w:rsidRPr="009B7B35" w:rsidRDefault="00BE36FB" w:rsidP="001A7107">
            <w:pPr>
              <w:pStyle w:val="TableText"/>
              <w:rPr>
                <w:rFonts w:cs="Arial"/>
                <w:b/>
                <w:bCs/>
              </w:rPr>
            </w:pPr>
            <w:r w:rsidRPr="009B7B35">
              <w:rPr>
                <w:rFonts w:cs="Arial"/>
                <w:b/>
                <w:bCs/>
              </w:rPr>
              <w:t>PO16</w:t>
            </w:r>
          </w:p>
          <w:p w14:paraId="74FEC459" w14:textId="77777777" w:rsidR="00BE36FB" w:rsidRPr="009B7B35" w:rsidRDefault="00BE36FB" w:rsidP="001A7107">
            <w:pPr>
              <w:pStyle w:val="TableText"/>
              <w:rPr>
                <w:rFonts w:cs="Arial"/>
              </w:rPr>
            </w:pPr>
            <w:r w:rsidRPr="009B7B35">
              <w:rPr>
                <w:rFonts w:cs="Arial"/>
              </w:rPr>
              <w:t>Development provides adequate separation from any adjoining residential premises so that the privacy and amenity of residential premises are not adversely affected.</w:t>
            </w:r>
          </w:p>
        </w:tc>
        <w:tc>
          <w:tcPr>
            <w:tcW w:w="4678" w:type="dxa"/>
          </w:tcPr>
          <w:p w14:paraId="6CBF8224" w14:textId="77777777" w:rsidR="00BE36FB" w:rsidRPr="009B7B35" w:rsidRDefault="00BE36FB" w:rsidP="001A7107">
            <w:pPr>
              <w:pStyle w:val="TableText"/>
              <w:rPr>
                <w:rFonts w:cs="Arial"/>
                <w:b/>
                <w:bCs/>
              </w:rPr>
            </w:pPr>
            <w:r w:rsidRPr="009B7B35">
              <w:rPr>
                <w:rFonts w:cs="Arial"/>
                <w:b/>
                <w:bCs/>
              </w:rPr>
              <w:t>AO16</w:t>
            </w:r>
          </w:p>
          <w:p w14:paraId="09F08A01" w14:textId="77777777" w:rsidR="00BE36FB" w:rsidRPr="009B7B35" w:rsidRDefault="00BE36FB" w:rsidP="001A7107">
            <w:pPr>
              <w:pStyle w:val="TableText"/>
              <w:rPr>
                <w:rFonts w:cs="Arial"/>
              </w:rPr>
            </w:pPr>
            <w:r w:rsidRPr="009B7B35">
              <w:rPr>
                <w:rFonts w:cs="Arial"/>
              </w:rPr>
              <w:t>Where a tourist park adjoins residential premises, the minimum setback to any communal buildings is 10m.</w:t>
            </w:r>
          </w:p>
        </w:tc>
      </w:tr>
      <w:tr w:rsidR="00BE36FB" w:rsidRPr="009B7B35" w14:paraId="72460875" w14:textId="77777777" w:rsidTr="001A7107">
        <w:trPr>
          <w:cantSplit/>
        </w:trPr>
        <w:tc>
          <w:tcPr>
            <w:tcW w:w="9356" w:type="dxa"/>
            <w:gridSpan w:val="2"/>
            <w:shd w:val="clear" w:color="auto" w:fill="BFBFBF" w:themeFill="background1" w:themeFillShade="BF"/>
          </w:tcPr>
          <w:p w14:paraId="31F72B54" w14:textId="77777777" w:rsidR="00BE36FB" w:rsidRPr="009B7B35" w:rsidRDefault="00BE36FB" w:rsidP="001A7107">
            <w:pPr>
              <w:pStyle w:val="Tableheading"/>
              <w:rPr>
                <w:rFonts w:ascii="Arial" w:hAnsi="Arial" w:cs="Arial"/>
                <w:szCs w:val="20"/>
              </w:rPr>
            </w:pPr>
            <w:r w:rsidRPr="009B7B35">
              <w:rPr>
                <w:rFonts w:ascii="Arial" w:hAnsi="Arial" w:cs="Arial"/>
                <w:szCs w:val="20"/>
              </w:rPr>
              <w:t>Use – Service station</w:t>
            </w:r>
          </w:p>
        </w:tc>
      </w:tr>
      <w:tr w:rsidR="00BE36FB" w:rsidRPr="009B7B35" w14:paraId="3016E5C2" w14:textId="77777777" w:rsidTr="001A7107">
        <w:trPr>
          <w:cantSplit/>
        </w:trPr>
        <w:tc>
          <w:tcPr>
            <w:tcW w:w="4678" w:type="dxa"/>
          </w:tcPr>
          <w:p w14:paraId="03BF73A2" w14:textId="77777777" w:rsidR="00BE36FB" w:rsidRPr="009B7B35" w:rsidRDefault="00BE36FB" w:rsidP="001A7107">
            <w:pPr>
              <w:pStyle w:val="TableText"/>
              <w:rPr>
                <w:rFonts w:cs="Arial"/>
                <w:b/>
                <w:bCs/>
              </w:rPr>
            </w:pPr>
            <w:r w:rsidRPr="009B7B35">
              <w:rPr>
                <w:rFonts w:cs="Arial"/>
                <w:b/>
                <w:bCs/>
              </w:rPr>
              <w:t>PO17</w:t>
            </w:r>
          </w:p>
          <w:p w14:paraId="62C3BC88" w14:textId="77777777" w:rsidR="00BE36FB" w:rsidRPr="009B7B35" w:rsidRDefault="00BE36FB" w:rsidP="001A7107">
            <w:pPr>
              <w:pStyle w:val="TableText"/>
              <w:rPr>
                <w:rFonts w:cs="Arial"/>
              </w:rPr>
            </w:pPr>
            <w:r w:rsidRPr="009B7B35">
              <w:rPr>
                <w:rFonts w:cs="Arial"/>
              </w:rPr>
              <w:t>Buildings and structures allow for the safe operation of the Service station.</w:t>
            </w:r>
          </w:p>
        </w:tc>
        <w:tc>
          <w:tcPr>
            <w:tcW w:w="4678" w:type="dxa"/>
          </w:tcPr>
          <w:p w14:paraId="0A248D78" w14:textId="77777777" w:rsidR="00BE36FB" w:rsidRPr="009B7B35" w:rsidRDefault="00BE36FB" w:rsidP="001A7107">
            <w:pPr>
              <w:pStyle w:val="TableText"/>
              <w:rPr>
                <w:rFonts w:cs="Arial"/>
                <w:b/>
                <w:bCs/>
              </w:rPr>
            </w:pPr>
            <w:r w:rsidRPr="009B7B35">
              <w:rPr>
                <w:rFonts w:cs="Arial"/>
                <w:b/>
                <w:bCs/>
              </w:rPr>
              <w:t>AO17</w:t>
            </w:r>
          </w:p>
          <w:p w14:paraId="3753E2D3" w14:textId="77777777" w:rsidR="00BE36FB" w:rsidRPr="009B7B35" w:rsidRDefault="00BE36FB" w:rsidP="001A7107">
            <w:pPr>
              <w:pStyle w:val="TableText"/>
              <w:rPr>
                <w:rFonts w:cs="Arial"/>
              </w:rPr>
            </w:pPr>
            <w:r w:rsidRPr="009B7B35">
              <w:rPr>
                <w:rFonts w:cs="Arial"/>
              </w:rPr>
              <w:t>All buildings and structures, including equipment associated with the service station operation are setback as follows:</w:t>
            </w:r>
          </w:p>
          <w:p w14:paraId="28319544" w14:textId="77777777" w:rsidR="00BE36FB" w:rsidRPr="009B7B35" w:rsidRDefault="00BE36FB" w:rsidP="00BE36FB">
            <w:pPr>
              <w:numPr>
                <w:ilvl w:val="0"/>
                <w:numId w:val="317"/>
              </w:numPr>
              <w:rPr>
                <w:rFonts w:cs="Arial"/>
                <w:sz w:val="20"/>
                <w:szCs w:val="20"/>
              </w:rPr>
            </w:pPr>
            <w:r w:rsidRPr="009B7B35">
              <w:rPr>
                <w:rFonts w:cs="Arial"/>
                <w:sz w:val="20"/>
                <w:szCs w:val="20"/>
              </w:rPr>
              <w:t>10m from the front boundary</w:t>
            </w:r>
          </w:p>
          <w:p w14:paraId="113818AA" w14:textId="77777777" w:rsidR="00BE36FB" w:rsidRPr="009B7B35" w:rsidRDefault="00BE36FB" w:rsidP="00BE36FB">
            <w:pPr>
              <w:numPr>
                <w:ilvl w:val="0"/>
                <w:numId w:val="317"/>
              </w:numPr>
              <w:rPr>
                <w:rFonts w:cs="Arial"/>
                <w:sz w:val="20"/>
                <w:szCs w:val="20"/>
              </w:rPr>
            </w:pPr>
            <w:r w:rsidRPr="009B7B35">
              <w:rPr>
                <w:rFonts w:cs="Arial"/>
                <w:sz w:val="20"/>
                <w:szCs w:val="20"/>
              </w:rPr>
              <w:t>3m from the side and rear boundaries.</w:t>
            </w:r>
          </w:p>
        </w:tc>
      </w:tr>
      <w:tr w:rsidR="00BE36FB" w:rsidRPr="009B7B35" w14:paraId="387A11E6" w14:textId="77777777" w:rsidTr="001A7107">
        <w:trPr>
          <w:cantSplit/>
        </w:trPr>
        <w:tc>
          <w:tcPr>
            <w:tcW w:w="4678" w:type="dxa"/>
          </w:tcPr>
          <w:p w14:paraId="79791F8F" w14:textId="77777777" w:rsidR="00BE36FB" w:rsidRPr="009B7B35" w:rsidRDefault="00BE36FB" w:rsidP="001A7107">
            <w:pPr>
              <w:pStyle w:val="TableText"/>
              <w:rPr>
                <w:rFonts w:cs="Arial"/>
                <w:b/>
                <w:bCs/>
              </w:rPr>
            </w:pPr>
            <w:r w:rsidRPr="009B7B35">
              <w:rPr>
                <w:rFonts w:cs="Arial"/>
                <w:b/>
                <w:bCs/>
              </w:rPr>
              <w:t>PO18</w:t>
            </w:r>
          </w:p>
          <w:p w14:paraId="36BCBA38" w14:textId="77777777" w:rsidR="00BE36FB" w:rsidRPr="009B7B35" w:rsidRDefault="00BE36FB" w:rsidP="001A7107">
            <w:pPr>
              <w:pStyle w:val="TableText"/>
              <w:rPr>
                <w:rFonts w:cs="Arial"/>
              </w:rPr>
            </w:pPr>
            <w:r w:rsidRPr="009B7B35">
              <w:rPr>
                <w:rFonts w:cs="Arial"/>
              </w:rPr>
              <w:t>Retail components are ancillary to the Service station use.</w:t>
            </w:r>
          </w:p>
        </w:tc>
        <w:tc>
          <w:tcPr>
            <w:tcW w:w="4678" w:type="dxa"/>
          </w:tcPr>
          <w:p w14:paraId="0140C732" w14:textId="77777777" w:rsidR="00BE36FB" w:rsidRPr="009B7B35" w:rsidRDefault="00BE36FB" w:rsidP="001A7107">
            <w:pPr>
              <w:pStyle w:val="TableText"/>
              <w:rPr>
                <w:rFonts w:cs="Arial"/>
                <w:b/>
                <w:bCs/>
              </w:rPr>
            </w:pPr>
            <w:r w:rsidRPr="009B7B35">
              <w:rPr>
                <w:rFonts w:cs="Arial"/>
                <w:b/>
                <w:bCs/>
              </w:rPr>
              <w:t>AO18</w:t>
            </w:r>
          </w:p>
          <w:p w14:paraId="2D267C44" w14:textId="77777777" w:rsidR="00BE36FB" w:rsidRPr="009B7B35" w:rsidRDefault="00BE36FB" w:rsidP="001A7107">
            <w:pPr>
              <w:pStyle w:val="TableText"/>
              <w:rPr>
                <w:rFonts w:cs="Arial"/>
              </w:rPr>
            </w:pPr>
            <w:r w:rsidRPr="009B7B35">
              <w:rPr>
                <w:rFonts w:cs="Arial"/>
              </w:rPr>
              <w:t>The maximum area of retail GFA including any Food and drink outlet is 150m</w:t>
            </w:r>
            <w:r w:rsidRPr="009B7B35">
              <w:rPr>
                <w:rStyle w:val="StyleSuperscript"/>
                <w:rFonts w:cs="Arial"/>
              </w:rPr>
              <w:t>2</w:t>
            </w:r>
            <w:r w:rsidRPr="009B7B35">
              <w:rPr>
                <w:rFonts w:cs="Arial"/>
              </w:rPr>
              <w:t>.</w:t>
            </w:r>
          </w:p>
        </w:tc>
      </w:tr>
      <w:tr w:rsidR="00BE36FB" w:rsidRPr="009B7B35" w14:paraId="25B575E7" w14:textId="77777777" w:rsidTr="001A7107">
        <w:trPr>
          <w:cantSplit/>
        </w:trPr>
        <w:tc>
          <w:tcPr>
            <w:tcW w:w="9356" w:type="dxa"/>
            <w:gridSpan w:val="2"/>
            <w:shd w:val="clear" w:color="auto" w:fill="BFBFBF" w:themeFill="background1" w:themeFillShade="BF"/>
          </w:tcPr>
          <w:p w14:paraId="3E0D77B0" w14:textId="77777777" w:rsidR="00BE36FB" w:rsidRPr="009B7B35" w:rsidRDefault="00BE36FB" w:rsidP="001A7107">
            <w:pPr>
              <w:pStyle w:val="Tableheading"/>
              <w:rPr>
                <w:rFonts w:ascii="Arial" w:hAnsi="Arial" w:cs="Arial"/>
                <w:szCs w:val="20"/>
              </w:rPr>
            </w:pPr>
            <w:r w:rsidRPr="009B7B35">
              <w:rPr>
                <w:rFonts w:ascii="Arial" w:hAnsi="Arial" w:cs="Arial"/>
                <w:szCs w:val="20"/>
              </w:rPr>
              <w:t>Use – Child care centre</w:t>
            </w:r>
          </w:p>
        </w:tc>
      </w:tr>
      <w:tr w:rsidR="00BE36FB" w:rsidRPr="009B7B35" w14:paraId="4D97FE6F" w14:textId="77777777" w:rsidTr="001A7107">
        <w:trPr>
          <w:cantSplit/>
        </w:trPr>
        <w:tc>
          <w:tcPr>
            <w:tcW w:w="4678" w:type="dxa"/>
          </w:tcPr>
          <w:p w14:paraId="3D78E607" w14:textId="77777777" w:rsidR="00BE36FB" w:rsidRPr="009B7B35" w:rsidRDefault="00BE36FB" w:rsidP="001A7107">
            <w:pPr>
              <w:pStyle w:val="TableText"/>
              <w:rPr>
                <w:rFonts w:cs="Arial"/>
                <w:b/>
                <w:bCs/>
              </w:rPr>
            </w:pPr>
            <w:r w:rsidRPr="009B7B35">
              <w:rPr>
                <w:rFonts w:cs="Arial"/>
                <w:b/>
                <w:bCs/>
              </w:rPr>
              <w:t>PO19</w:t>
            </w:r>
          </w:p>
          <w:p w14:paraId="621D5C7A" w14:textId="77777777" w:rsidR="00BE36FB" w:rsidRPr="009B7B35" w:rsidRDefault="00BE36FB" w:rsidP="001A7107">
            <w:pPr>
              <w:pStyle w:val="TableText"/>
              <w:rPr>
                <w:rFonts w:cs="Arial"/>
              </w:rPr>
            </w:pPr>
            <w:r w:rsidRPr="009B7B35">
              <w:rPr>
                <w:rFonts w:cs="Arial"/>
              </w:rPr>
              <w:t>Development is:</w:t>
            </w:r>
          </w:p>
          <w:p w14:paraId="1B71AE88" w14:textId="77777777" w:rsidR="00BE36FB" w:rsidRPr="009B7B35" w:rsidRDefault="00BE36FB" w:rsidP="00BE36FB">
            <w:pPr>
              <w:pStyle w:val="TableText"/>
              <w:numPr>
                <w:ilvl w:val="0"/>
                <w:numId w:val="529"/>
              </w:numPr>
              <w:rPr>
                <w:rFonts w:cs="Arial"/>
              </w:rPr>
            </w:pPr>
            <w:r w:rsidRPr="009B7B35">
              <w:rPr>
                <w:rFonts w:cs="Arial"/>
              </w:rPr>
              <w:t>compatible with neighbouring uses</w:t>
            </w:r>
          </w:p>
          <w:p w14:paraId="734154B2" w14:textId="77777777" w:rsidR="00BE36FB" w:rsidRPr="009B7B35" w:rsidRDefault="00BE36FB" w:rsidP="00BE36FB">
            <w:pPr>
              <w:pStyle w:val="TableText"/>
              <w:numPr>
                <w:ilvl w:val="0"/>
                <w:numId w:val="529"/>
              </w:numPr>
              <w:rPr>
                <w:rFonts w:cs="Arial"/>
              </w:rPr>
            </w:pPr>
            <w:r w:rsidRPr="009B7B35">
              <w:rPr>
                <w:rFonts w:cs="Arial"/>
              </w:rPr>
              <w:t>complementary to local character and amenity</w:t>
            </w:r>
          </w:p>
          <w:p w14:paraId="2C5B20D5" w14:textId="77777777" w:rsidR="00BE36FB" w:rsidRPr="009B7B35" w:rsidRDefault="00BE36FB" w:rsidP="00BE36FB">
            <w:pPr>
              <w:pStyle w:val="TableText"/>
              <w:numPr>
                <w:ilvl w:val="0"/>
                <w:numId w:val="529"/>
              </w:numPr>
              <w:rPr>
                <w:rFonts w:cs="Arial"/>
              </w:rPr>
            </w:pPr>
            <w:r w:rsidRPr="009B7B35">
              <w:rPr>
                <w:rFonts w:cs="Arial"/>
              </w:rPr>
              <w:t>supports the day to day needs of residents</w:t>
            </w:r>
          </w:p>
          <w:p w14:paraId="3F076212" w14:textId="77777777" w:rsidR="00BE36FB" w:rsidRPr="009B7B35" w:rsidRDefault="00BE36FB" w:rsidP="00BE36FB">
            <w:pPr>
              <w:pStyle w:val="TableText"/>
              <w:numPr>
                <w:ilvl w:val="0"/>
                <w:numId w:val="529"/>
              </w:numPr>
              <w:rPr>
                <w:rFonts w:cs="Arial"/>
              </w:rPr>
            </w:pPr>
            <w:r w:rsidRPr="009B7B35">
              <w:rPr>
                <w:rFonts w:cs="Arial"/>
              </w:rPr>
              <w:t>located on a site which must adequately accommodate activity needs and space requirements.</w:t>
            </w:r>
          </w:p>
        </w:tc>
        <w:tc>
          <w:tcPr>
            <w:tcW w:w="4678" w:type="dxa"/>
          </w:tcPr>
          <w:p w14:paraId="194A2C73"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D327D38" w14:textId="77777777" w:rsidTr="001A7107">
        <w:tc>
          <w:tcPr>
            <w:tcW w:w="4678" w:type="dxa"/>
            <w:vMerge w:val="restart"/>
          </w:tcPr>
          <w:p w14:paraId="5B08CD2D" w14:textId="77777777" w:rsidR="00BE36FB" w:rsidRPr="009B7B35" w:rsidRDefault="00BE36FB" w:rsidP="001A7107">
            <w:pPr>
              <w:pStyle w:val="TableText"/>
              <w:rPr>
                <w:rFonts w:cs="Arial"/>
                <w:b/>
                <w:bCs/>
              </w:rPr>
            </w:pPr>
            <w:r w:rsidRPr="009B7B35">
              <w:rPr>
                <w:rFonts w:cs="Arial"/>
                <w:b/>
                <w:bCs/>
              </w:rPr>
              <w:t>PO20</w:t>
            </w:r>
          </w:p>
          <w:p w14:paraId="7BB423EA" w14:textId="77777777" w:rsidR="00BE36FB" w:rsidRPr="009B7B35" w:rsidRDefault="00BE36FB" w:rsidP="001A7107">
            <w:pPr>
              <w:pStyle w:val="TableText"/>
              <w:rPr>
                <w:rFonts w:cs="Arial"/>
              </w:rPr>
            </w:pPr>
            <w:r w:rsidRPr="009B7B35">
              <w:rPr>
                <w:rFonts w:cs="Arial"/>
              </w:rPr>
              <w:t>Where a child care centre, development minimises:</w:t>
            </w:r>
          </w:p>
          <w:p w14:paraId="48D2CFC7" w14:textId="77777777" w:rsidR="00BE36FB" w:rsidRPr="009B7B35" w:rsidRDefault="00BE36FB" w:rsidP="00BE36FB">
            <w:pPr>
              <w:pStyle w:val="TableText"/>
              <w:numPr>
                <w:ilvl w:val="0"/>
                <w:numId w:val="424"/>
              </w:numPr>
              <w:rPr>
                <w:rFonts w:cs="Arial"/>
              </w:rPr>
            </w:pPr>
            <w:r w:rsidRPr="009B7B35">
              <w:rPr>
                <w:rFonts w:cs="Arial"/>
              </w:rPr>
              <w:t>the hazards of heavy traffic</w:t>
            </w:r>
          </w:p>
          <w:p w14:paraId="5A79E43A" w14:textId="77777777" w:rsidR="00BE36FB" w:rsidRPr="009B7B35" w:rsidRDefault="00BE36FB" w:rsidP="00BE36FB">
            <w:pPr>
              <w:pStyle w:val="TableText"/>
              <w:numPr>
                <w:ilvl w:val="0"/>
                <w:numId w:val="424"/>
              </w:numPr>
              <w:rPr>
                <w:rFonts w:cs="Arial"/>
              </w:rPr>
            </w:pPr>
            <w:r w:rsidRPr="009B7B35">
              <w:rPr>
                <w:rFonts w:cs="Arial"/>
              </w:rPr>
              <w:t>introduction of non–local traffic into minor, residential streets, and</w:t>
            </w:r>
          </w:p>
          <w:p w14:paraId="1135643C" w14:textId="77777777" w:rsidR="00BE36FB" w:rsidRPr="009B7B35" w:rsidRDefault="00BE36FB" w:rsidP="00BE36FB">
            <w:pPr>
              <w:pStyle w:val="TableText"/>
              <w:numPr>
                <w:ilvl w:val="0"/>
                <w:numId w:val="424"/>
              </w:numPr>
              <w:rPr>
                <w:rFonts w:cs="Arial"/>
              </w:rPr>
            </w:pPr>
            <w:r w:rsidRPr="009B7B35">
              <w:rPr>
                <w:rFonts w:cs="Arial"/>
              </w:rPr>
              <w:t>on–site conflict between children’s activities, pedestrian movement, vehicle movement and car parking.</w:t>
            </w:r>
          </w:p>
        </w:tc>
        <w:tc>
          <w:tcPr>
            <w:tcW w:w="4678" w:type="dxa"/>
          </w:tcPr>
          <w:p w14:paraId="4852F922" w14:textId="77777777" w:rsidR="00BE36FB" w:rsidRPr="009B7B35" w:rsidRDefault="00BE36FB" w:rsidP="001A7107">
            <w:pPr>
              <w:pStyle w:val="TableText"/>
              <w:rPr>
                <w:rFonts w:cs="Arial"/>
                <w:b/>
                <w:bCs/>
              </w:rPr>
            </w:pPr>
            <w:r w:rsidRPr="009B7B35">
              <w:rPr>
                <w:rFonts w:cs="Arial"/>
                <w:b/>
                <w:bCs/>
              </w:rPr>
              <w:t>AO20.1</w:t>
            </w:r>
          </w:p>
          <w:p w14:paraId="322C750E" w14:textId="77777777" w:rsidR="00BE36FB" w:rsidRPr="009B7B35" w:rsidRDefault="00BE36FB" w:rsidP="001A7107">
            <w:pPr>
              <w:pStyle w:val="TableText"/>
              <w:rPr>
                <w:rFonts w:cs="Arial"/>
              </w:rPr>
            </w:pPr>
            <w:r w:rsidRPr="009B7B35">
              <w:rPr>
                <w:rFonts w:cs="Arial"/>
              </w:rPr>
              <w:t>The use is not accessed from:</w:t>
            </w:r>
          </w:p>
          <w:p w14:paraId="6E935C8B" w14:textId="77777777" w:rsidR="00BE36FB" w:rsidRPr="009B7B35" w:rsidRDefault="00BE36FB" w:rsidP="00BE36FB">
            <w:pPr>
              <w:pStyle w:val="TableText"/>
              <w:numPr>
                <w:ilvl w:val="0"/>
                <w:numId w:val="425"/>
              </w:numPr>
              <w:ind w:left="510" w:hanging="510"/>
              <w:rPr>
                <w:rFonts w:cs="Arial"/>
              </w:rPr>
            </w:pPr>
            <w:r w:rsidRPr="009B7B35">
              <w:rPr>
                <w:rFonts w:cs="Arial"/>
              </w:rPr>
              <w:t>arterial/sub–arterial routes, or</w:t>
            </w:r>
          </w:p>
          <w:p w14:paraId="2652451F" w14:textId="77777777" w:rsidR="00BE36FB" w:rsidRPr="009B7B35" w:rsidRDefault="00BE36FB" w:rsidP="00BE36FB">
            <w:pPr>
              <w:pStyle w:val="TableText"/>
              <w:numPr>
                <w:ilvl w:val="0"/>
                <w:numId w:val="425"/>
              </w:numPr>
              <w:ind w:left="510" w:hanging="510"/>
              <w:rPr>
                <w:rFonts w:cs="Arial"/>
              </w:rPr>
            </w:pPr>
            <w:r w:rsidRPr="009B7B35">
              <w:rPr>
                <w:rFonts w:cs="Arial"/>
              </w:rPr>
              <w:t>an access street or access place.</w:t>
            </w:r>
          </w:p>
        </w:tc>
      </w:tr>
      <w:tr w:rsidR="00BE36FB" w:rsidRPr="009B7B35" w14:paraId="688268EF" w14:textId="77777777" w:rsidTr="001A7107">
        <w:trPr>
          <w:cantSplit/>
        </w:trPr>
        <w:tc>
          <w:tcPr>
            <w:tcW w:w="4678" w:type="dxa"/>
            <w:vMerge/>
          </w:tcPr>
          <w:p w14:paraId="54FAA7B5" w14:textId="77777777" w:rsidR="00BE36FB" w:rsidRPr="009B7B35" w:rsidRDefault="00BE36FB" w:rsidP="001A7107">
            <w:pPr>
              <w:rPr>
                <w:rFonts w:cs="Arial"/>
                <w:sz w:val="20"/>
                <w:szCs w:val="20"/>
              </w:rPr>
            </w:pPr>
          </w:p>
        </w:tc>
        <w:tc>
          <w:tcPr>
            <w:tcW w:w="4678" w:type="dxa"/>
          </w:tcPr>
          <w:p w14:paraId="2F00A6D8" w14:textId="77777777" w:rsidR="00BE36FB" w:rsidRPr="009B7B35" w:rsidRDefault="00BE36FB" w:rsidP="001A7107">
            <w:pPr>
              <w:pStyle w:val="TableText"/>
              <w:rPr>
                <w:rFonts w:cs="Arial"/>
                <w:b/>
                <w:bCs/>
              </w:rPr>
            </w:pPr>
            <w:r w:rsidRPr="009B7B35">
              <w:rPr>
                <w:rFonts w:cs="Arial"/>
                <w:b/>
                <w:bCs/>
              </w:rPr>
              <w:t>AO20.2</w:t>
            </w:r>
          </w:p>
          <w:p w14:paraId="470D6903" w14:textId="77777777" w:rsidR="00BE36FB" w:rsidRPr="009B7B35" w:rsidRDefault="00BE36FB" w:rsidP="001A7107">
            <w:pPr>
              <w:pStyle w:val="TableText"/>
              <w:rPr>
                <w:rFonts w:cs="Arial"/>
              </w:rPr>
            </w:pPr>
            <w:r w:rsidRPr="009B7B35">
              <w:rPr>
                <w:rFonts w:cs="Arial"/>
              </w:rPr>
              <w:t>Parking spaces are located so that children are not required to cross the driveway or vehicular access way to reach the building.</w:t>
            </w:r>
          </w:p>
        </w:tc>
      </w:tr>
    </w:tbl>
    <w:p w14:paraId="6E0098A6" w14:textId="77777777" w:rsidR="000D716B" w:rsidRDefault="000D716B" w:rsidP="001A7107">
      <w:pPr>
        <w:rPr>
          <w:rFonts w:ascii="Arial" w:hAnsi="Arial" w:cs="Arial"/>
          <w:sz w:val="20"/>
          <w:szCs w:val="20"/>
        </w:rPr>
      </w:pPr>
    </w:p>
    <w:p w14:paraId="27ED13DD" w14:textId="77777777" w:rsidR="000D716B" w:rsidRDefault="000D716B">
      <w:pPr>
        <w:rPr>
          <w:rFonts w:ascii="Arial" w:hAnsi="Arial" w:cs="Arial"/>
          <w:sz w:val="20"/>
          <w:szCs w:val="20"/>
        </w:rPr>
      </w:pPr>
      <w:r>
        <w:rPr>
          <w:rFonts w:ascii="Arial" w:hAnsi="Arial" w:cs="Arial"/>
          <w:sz w:val="20"/>
          <w:szCs w:val="20"/>
        </w:rPr>
        <w:br w:type="page"/>
      </w:r>
    </w:p>
    <w:p w14:paraId="4D1FCCFE" w14:textId="77777777" w:rsidR="00BE36FB" w:rsidRPr="009B7B35" w:rsidRDefault="00BE36FB" w:rsidP="006776DA">
      <w:pPr>
        <w:pStyle w:val="Heading1"/>
        <w:numPr>
          <w:ilvl w:val="0"/>
          <w:numId w:val="883"/>
        </w:numPr>
        <w:rPr>
          <w:rFonts w:ascii="Arial" w:hAnsi="Arial"/>
          <w:sz w:val="20"/>
          <w:szCs w:val="20"/>
        </w:rPr>
      </w:pPr>
      <w:bookmarkStart w:id="213" w:name="_Toc205367372"/>
      <w:r w:rsidRPr="009B7B35">
        <w:rPr>
          <w:rFonts w:ascii="Arial" w:hAnsi="Arial"/>
          <w:sz w:val="20"/>
          <w:szCs w:val="20"/>
        </w:rPr>
        <w:t>Local plans</w:t>
      </w:r>
      <w:bookmarkEnd w:id="213"/>
    </w:p>
    <w:p w14:paraId="5807FF98" w14:textId="77777777" w:rsidR="00BE36FB" w:rsidRPr="009B7B35" w:rsidRDefault="00BE36FB" w:rsidP="001A7107">
      <w:pPr>
        <w:rPr>
          <w:rFonts w:ascii="Arial" w:hAnsi="Arial" w:cs="Arial"/>
          <w:sz w:val="20"/>
          <w:szCs w:val="20"/>
        </w:rPr>
      </w:pPr>
      <w:r w:rsidRPr="009B7B35">
        <w:rPr>
          <w:rFonts w:ascii="Arial" w:hAnsi="Arial" w:cs="Arial"/>
          <w:sz w:val="20"/>
          <w:szCs w:val="20"/>
        </w:rPr>
        <w:t>There are no local plans in the planning scheme.</w:t>
      </w:r>
    </w:p>
    <w:p w14:paraId="45E54375" w14:textId="77777777" w:rsidR="000D716B" w:rsidRDefault="000D716B">
      <w:pPr>
        <w:rPr>
          <w:rFonts w:ascii="Arial" w:hAnsi="Arial" w:cs="Arial"/>
          <w:sz w:val="20"/>
          <w:szCs w:val="20"/>
        </w:rPr>
      </w:pPr>
      <w:r>
        <w:rPr>
          <w:rFonts w:ascii="Arial" w:hAnsi="Arial" w:cs="Arial"/>
          <w:sz w:val="20"/>
          <w:szCs w:val="20"/>
        </w:rPr>
        <w:br w:type="page"/>
      </w:r>
    </w:p>
    <w:p w14:paraId="0759C629" w14:textId="77777777" w:rsidR="00BE36FB" w:rsidRPr="009B7B35" w:rsidRDefault="00BE36FB" w:rsidP="006776DA">
      <w:pPr>
        <w:pStyle w:val="Heading1"/>
        <w:numPr>
          <w:ilvl w:val="0"/>
          <w:numId w:val="883"/>
        </w:numPr>
        <w:rPr>
          <w:rFonts w:ascii="Arial" w:hAnsi="Arial"/>
          <w:sz w:val="20"/>
          <w:szCs w:val="20"/>
        </w:rPr>
      </w:pPr>
      <w:bookmarkStart w:id="214" w:name="_Toc205367373"/>
      <w:r w:rsidRPr="009B7B35">
        <w:rPr>
          <w:rFonts w:ascii="Arial" w:hAnsi="Arial"/>
          <w:sz w:val="20"/>
          <w:szCs w:val="20"/>
        </w:rPr>
        <w:t>Overlays</w:t>
      </w:r>
      <w:bookmarkEnd w:id="214"/>
    </w:p>
    <w:p w14:paraId="1A13C087" w14:textId="77777777" w:rsidR="00BE36FB" w:rsidRPr="009B7B35" w:rsidRDefault="00BE36FB" w:rsidP="006776DA">
      <w:pPr>
        <w:pStyle w:val="Heading2"/>
        <w:numPr>
          <w:ilvl w:val="1"/>
          <w:numId w:val="883"/>
        </w:numPr>
        <w:rPr>
          <w:rFonts w:ascii="Arial" w:hAnsi="Arial"/>
          <w:sz w:val="20"/>
          <w:szCs w:val="20"/>
        </w:rPr>
      </w:pPr>
      <w:bookmarkStart w:id="215" w:name="_Toc205367374"/>
      <w:r w:rsidRPr="009B7B35">
        <w:rPr>
          <w:rFonts w:ascii="Arial" w:hAnsi="Arial"/>
          <w:sz w:val="20"/>
          <w:szCs w:val="20"/>
        </w:rPr>
        <w:t>Preliminary</w:t>
      </w:r>
      <w:bookmarkEnd w:id="215"/>
    </w:p>
    <w:p w14:paraId="02CDC646" w14:textId="77777777"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Overlays identify areas in the planning scheme that reflect state and local level interests and that have one or more of the following characteristics:</w:t>
      </w:r>
    </w:p>
    <w:p w14:paraId="2B3C2CFE"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there is a particular sensitivity to the effects of development</w:t>
      </w:r>
    </w:p>
    <w:p w14:paraId="3E96E3A5"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there is a constraint on land use or development outcomes</w:t>
      </w:r>
    </w:p>
    <w:p w14:paraId="3DA7F37A"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there is the presence of valuable resources</w:t>
      </w:r>
    </w:p>
    <w:p w14:paraId="6F34748C"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there are particular opportunities for development.</w:t>
      </w:r>
    </w:p>
    <w:p w14:paraId="4A6807E9" w14:textId="77777777"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Overlays are mapped and included in Schedule 2.</w:t>
      </w:r>
    </w:p>
    <w:p w14:paraId="14044299" w14:textId="77777777"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The changed category of development or assessment, if applicable, for development affected by an overlay are in Part 5.</w:t>
      </w:r>
    </w:p>
    <w:p w14:paraId="027BAFF8" w14:textId="77777777"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Some overlays may be included for information purposes only. This should not result in a change to the category of development or assessment or any additional assessment benchmarks.</w:t>
      </w:r>
    </w:p>
    <w:p w14:paraId="5E1A5C0A" w14:textId="77777777"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Assessment benchmarks for an overlay may be contained in one or more of the following:</w:t>
      </w:r>
    </w:p>
    <w:p w14:paraId="3449C626"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 xml:space="preserve">a map for an overlay </w:t>
      </w:r>
    </w:p>
    <w:p w14:paraId="0D437A79"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a code for an overlay</w:t>
      </w:r>
    </w:p>
    <w:p w14:paraId="70BE1F30"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a zone code</w:t>
      </w:r>
    </w:p>
    <w:p w14:paraId="48BF6D39"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a local plan code</w:t>
      </w:r>
    </w:p>
    <w:p w14:paraId="72CDF60D"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a development code.</w:t>
      </w:r>
    </w:p>
    <w:p w14:paraId="62654276" w14:textId="77777777"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Where development is proposed on premises partly affected by an overlay, the assessment benchmarks for the overlay only relate to the part of the premises affected by the overlay.</w:t>
      </w:r>
    </w:p>
    <w:p w14:paraId="61B39EE1" w14:textId="77777777"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The overlays for the planning scheme are:</w:t>
      </w:r>
    </w:p>
    <w:p w14:paraId="42E2FACD"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Acid sulfate soils</w:t>
      </w:r>
    </w:p>
    <w:p w14:paraId="18BC54E1"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Airport environs</w:t>
      </w:r>
    </w:p>
    <w:p w14:paraId="0C10FD61"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Biodiversity</w:t>
      </w:r>
    </w:p>
    <w:p w14:paraId="02D52A37"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Bushfire hazard</w:t>
      </w:r>
    </w:p>
    <w:p w14:paraId="46C12765"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Coastal hazard</w:t>
      </w:r>
    </w:p>
    <w:p w14:paraId="7B1115FF"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Extractive resources and minerals</w:t>
      </w:r>
    </w:p>
    <w:p w14:paraId="5985D358"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Flood hazard</w:t>
      </w:r>
    </w:p>
    <w:p w14:paraId="7E09AC9C"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Hazardous activities</w:t>
      </w:r>
    </w:p>
    <w:p w14:paraId="542FCE1D"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Heritage</w:t>
      </w:r>
    </w:p>
    <w:p w14:paraId="490308AC"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Regional infrastructure</w:t>
      </w:r>
    </w:p>
    <w:p w14:paraId="14709C08"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Scenic amenity</w:t>
      </w:r>
    </w:p>
    <w:p w14:paraId="3F1EA7D0"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Steep land</w:t>
      </w:r>
    </w:p>
    <w:p w14:paraId="1618A64A"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Water resource catchment.</w:t>
      </w:r>
    </w:p>
    <w:p w14:paraId="4AB0228C" w14:textId="77777777"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The following overlays for the planning scheme without code(s) are:</w:t>
      </w:r>
    </w:p>
    <w:p w14:paraId="622A4181"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Building height and frontages</w:t>
      </w:r>
    </w:p>
    <w:p w14:paraId="0A1FDA3E"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Road hierarchy</w:t>
      </w:r>
    </w:p>
    <w:p w14:paraId="030430FA" w14:textId="77777777" w:rsidR="00BE36FB" w:rsidRPr="009B7B35" w:rsidRDefault="00BE36FB" w:rsidP="00BE36FB">
      <w:pPr>
        <w:numPr>
          <w:ilvl w:val="0"/>
          <w:numId w:val="595"/>
        </w:numPr>
        <w:rPr>
          <w:rFonts w:ascii="Arial" w:hAnsi="Arial" w:cs="Arial"/>
          <w:sz w:val="20"/>
          <w:szCs w:val="20"/>
        </w:rPr>
      </w:pPr>
      <w:r w:rsidRPr="009B7B35">
        <w:rPr>
          <w:rFonts w:ascii="Arial" w:hAnsi="Arial" w:cs="Arial"/>
          <w:sz w:val="20"/>
          <w:szCs w:val="20"/>
        </w:rPr>
        <w:t>The following overlays for the planning scheme are for information purposes only:</w:t>
      </w:r>
    </w:p>
    <w:p w14:paraId="52D79FFD"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Agricultural land classification</w:t>
      </w:r>
    </w:p>
    <w:p w14:paraId="35219D75"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Historic mine sites</w:t>
      </w:r>
    </w:p>
    <w:p w14:paraId="65A2553D"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Mining lease</w:t>
      </w:r>
    </w:p>
    <w:p w14:paraId="1FACE6CB"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Stock routes and reserves</w:t>
      </w:r>
    </w:p>
    <w:p w14:paraId="471EC739" w14:textId="77777777" w:rsidR="00BE36FB" w:rsidRPr="009B7B35" w:rsidRDefault="00BE36FB" w:rsidP="00BE36FB">
      <w:pPr>
        <w:numPr>
          <w:ilvl w:val="1"/>
          <w:numId w:val="595"/>
        </w:numPr>
        <w:rPr>
          <w:rFonts w:ascii="Arial" w:hAnsi="Arial" w:cs="Arial"/>
          <w:sz w:val="20"/>
          <w:szCs w:val="20"/>
        </w:rPr>
      </w:pPr>
      <w:r w:rsidRPr="009B7B35">
        <w:rPr>
          <w:rFonts w:ascii="Arial" w:hAnsi="Arial" w:cs="Arial"/>
          <w:sz w:val="20"/>
          <w:szCs w:val="20"/>
        </w:rPr>
        <w:t>Transport noise corridor</w:t>
      </w:r>
    </w:p>
    <w:p w14:paraId="02CDA882" w14:textId="77777777" w:rsidR="00BE36FB" w:rsidRPr="009B7B35" w:rsidRDefault="00BE36FB" w:rsidP="006776DA">
      <w:pPr>
        <w:pStyle w:val="Heading2"/>
        <w:numPr>
          <w:ilvl w:val="1"/>
          <w:numId w:val="883"/>
        </w:numPr>
        <w:rPr>
          <w:rFonts w:ascii="Arial" w:hAnsi="Arial"/>
          <w:sz w:val="20"/>
          <w:szCs w:val="20"/>
        </w:rPr>
      </w:pPr>
      <w:bookmarkStart w:id="216" w:name="_Toc205367375"/>
      <w:r w:rsidRPr="009B7B35">
        <w:rPr>
          <w:rFonts w:ascii="Arial" w:hAnsi="Arial"/>
          <w:sz w:val="20"/>
          <w:szCs w:val="20"/>
        </w:rPr>
        <w:t>Overlay codes</w:t>
      </w:r>
      <w:bookmarkEnd w:id="216"/>
    </w:p>
    <w:p w14:paraId="26C62BB1" w14:textId="77777777" w:rsidR="00BE36FB" w:rsidRPr="009B7B35" w:rsidRDefault="00BE36FB" w:rsidP="001A7107">
      <w:pPr>
        <w:rPr>
          <w:rFonts w:ascii="Arial" w:hAnsi="Arial" w:cs="Arial"/>
          <w:sz w:val="20"/>
          <w:szCs w:val="20"/>
        </w:rPr>
      </w:pPr>
    </w:p>
    <w:p w14:paraId="1B86DC14"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1FB5AD48" w14:textId="77777777" w:rsidR="00BE36FB" w:rsidRPr="009B7B35" w:rsidRDefault="00BE36FB" w:rsidP="006776DA">
      <w:pPr>
        <w:pStyle w:val="Heading3"/>
        <w:numPr>
          <w:ilvl w:val="2"/>
          <w:numId w:val="883"/>
        </w:numPr>
        <w:spacing w:before="240"/>
        <w:rPr>
          <w:rFonts w:ascii="Arial" w:hAnsi="Arial"/>
          <w:sz w:val="20"/>
          <w:szCs w:val="20"/>
        </w:rPr>
      </w:pPr>
      <w:bookmarkStart w:id="217" w:name="_Toc205367376"/>
      <w:r w:rsidRPr="009B7B35">
        <w:rPr>
          <w:rFonts w:ascii="Arial" w:hAnsi="Arial"/>
          <w:sz w:val="20"/>
          <w:szCs w:val="20"/>
        </w:rPr>
        <w:t>Acid sulfate soils</w:t>
      </w:r>
      <w:bookmarkEnd w:id="217"/>
    </w:p>
    <w:p w14:paraId="17C5579C" w14:textId="77777777" w:rsidR="00BE36FB" w:rsidRPr="009B7B35" w:rsidRDefault="00BE36FB" w:rsidP="006776DA">
      <w:pPr>
        <w:pStyle w:val="Heading4"/>
        <w:widowControl w:val="0"/>
        <w:numPr>
          <w:ilvl w:val="3"/>
          <w:numId w:val="883"/>
        </w:numPr>
        <w:rPr>
          <w:rFonts w:ascii="Arial" w:hAnsi="Arial" w:cs="Arial"/>
          <w:sz w:val="20"/>
          <w:szCs w:val="20"/>
        </w:rPr>
      </w:pPr>
      <w:bookmarkStart w:id="218" w:name="_Toc341451469"/>
      <w:bookmarkStart w:id="219" w:name="_Toc236391496"/>
      <w:bookmarkStart w:id="220" w:name="_Toc236391643"/>
      <w:bookmarkStart w:id="221" w:name="_Toc236404773"/>
      <w:bookmarkStart w:id="222" w:name="_Toc236404909"/>
      <w:bookmarkStart w:id="223" w:name="_Toc236503470"/>
      <w:bookmarkStart w:id="224" w:name="_Toc236503889"/>
      <w:bookmarkStart w:id="225" w:name="_Toc236542516"/>
      <w:bookmarkStart w:id="226" w:name="_Toc236544770"/>
      <w:bookmarkStart w:id="227" w:name="_Toc236545765"/>
      <w:bookmarkStart w:id="228" w:name="_Toc237244297"/>
      <w:bookmarkStart w:id="229" w:name="_Toc237344094"/>
      <w:bookmarkStart w:id="230" w:name="_Toc237344503"/>
      <w:bookmarkStart w:id="231" w:name="_Toc238536934"/>
      <w:bookmarkStart w:id="232" w:name="_Toc238614980"/>
      <w:bookmarkStart w:id="233" w:name="_Toc238615162"/>
      <w:bookmarkStart w:id="234" w:name="_Toc239750046"/>
      <w:bookmarkStart w:id="235" w:name="_Toc239750205"/>
      <w:bookmarkStart w:id="236" w:name="_Toc239759835"/>
      <w:bookmarkStart w:id="237" w:name="_Toc248023504"/>
      <w:bookmarkStart w:id="238" w:name="_Toc248209333"/>
      <w:bookmarkStart w:id="239" w:name="_Toc248833683"/>
      <w:r w:rsidRPr="009B7B35">
        <w:rPr>
          <w:rFonts w:ascii="Arial" w:hAnsi="Arial" w:cs="Arial"/>
          <w:sz w:val="20"/>
          <w:szCs w:val="20"/>
        </w:rPr>
        <w:t>Application</w:t>
      </w:r>
      <w:bookmarkEnd w:id="218"/>
    </w:p>
    <w:p w14:paraId="08BEB4D9"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Acid Sulfate Soils (ASS) overlay and applies to any areas identified on acid sulfate soils overlay map. When using this code, reference should be made to section 5.3.2 and where applicable, section 5.3.3 located in Part 5.</w:t>
      </w:r>
    </w:p>
    <w:p w14:paraId="172C8CA7" w14:textId="77777777" w:rsidR="00BE36FB" w:rsidRPr="009B7B35" w:rsidRDefault="00BE36FB" w:rsidP="006776DA">
      <w:pPr>
        <w:pStyle w:val="Heading4"/>
        <w:widowControl w:val="0"/>
        <w:numPr>
          <w:ilvl w:val="3"/>
          <w:numId w:val="883"/>
        </w:numPr>
        <w:rPr>
          <w:rFonts w:ascii="Arial" w:hAnsi="Arial" w:cs="Arial"/>
          <w:sz w:val="20"/>
          <w:szCs w:val="20"/>
        </w:rPr>
      </w:pPr>
      <w:bookmarkStart w:id="240" w:name="_Toc341451470"/>
      <w:r w:rsidRPr="009B7B35">
        <w:rPr>
          <w:rFonts w:ascii="Arial" w:hAnsi="Arial" w:cs="Arial"/>
          <w:sz w:val="20"/>
          <w:szCs w:val="20"/>
        </w:rPr>
        <w:t>Purpose</w:t>
      </w:r>
      <w:bookmarkEnd w:id="240"/>
    </w:p>
    <w:p w14:paraId="231C8F67" w14:textId="77777777" w:rsidR="00BE36FB" w:rsidRPr="009B7B35" w:rsidRDefault="00BE36FB" w:rsidP="00BE36FB">
      <w:pPr>
        <w:numPr>
          <w:ilvl w:val="0"/>
          <w:numId w:val="641"/>
        </w:numPr>
        <w:rPr>
          <w:rFonts w:ascii="Arial" w:hAnsi="Arial" w:cs="Arial"/>
          <w:sz w:val="20"/>
          <w:szCs w:val="20"/>
        </w:rPr>
      </w:pPr>
      <w:r w:rsidRPr="009B7B35">
        <w:rPr>
          <w:rFonts w:ascii="Arial" w:hAnsi="Arial" w:cs="Arial"/>
          <w:sz w:val="20"/>
          <w:szCs w:val="20"/>
        </w:rPr>
        <w:t>The purpose of the acid sulfate soils overlay code is to ensure that development avoids or manages the risks and consequences associated with the disturbance of acid sulfate soils.</w:t>
      </w:r>
    </w:p>
    <w:p w14:paraId="19B626C1" w14:textId="77777777" w:rsidR="00BE36FB" w:rsidRPr="009B7B35" w:rsidRDefault="00BE36FB" w:rsidP="00BE36FB">
      <w:pPr>
        <w:numPr>
          <w:ilvl w:val="0"/>
          <w:numId w:val="641"/>
        </w:numPr>
        <w:rPr>
          <w:rFonts w:ascii="Arial" w:hAnsi="Arial" w:cs="Arial"/>
          <w:sz w:val="20"/>
          <w:szCs w:val="20"/>
        </w:rPr>
      </w:pPr>
      <w:r w:rsidRPr="009B7B35">
        <w:rPr>
          <w:rFonts w:ascii="Arial" w:hAnsi="Arial" w:cs="Arial"/>
          <w:sz w:val="20"/>
          <w:szCs w:val="20"/>
        </w:rPr>
        <w:t xml:space="preserve">The purpose of the acid sulfate soils overlay code will be achieved through the following overall outcome: </w:t>
      </w:r>
    </w:p>
    <w:p w14:paraId="7BF986C3" w14:textId="77777777" w:rsidR="00BE36FB" w:rsidRPr="009B7B35" w:rsidRDefault="00BE36FB" w:rsidP="00BE36FB">
      <w:pPr>
        <w:numPr>
          <w:ilvl w:val="1"/>
          <w:numId w:val="641"/>
        </w:numPr>
        <w:rPr>
          <w:rFonts w:ascii="Arial" w:hAnsi="Arial" w:cs="Arial"/>
          <w:sz w:val="20"/>
          <w:szCs w:val="20"/>
        </w:rPr>
      </w:pPr>
      <w:r w:rsidRPr="009B7B35">
        <w:rPr>
          <w:rFonts w:ascii="Arial" w:hAnsi="Arial" w:cs="Arial"/>
          <w:sz w:val="20"/>
          <w:szCs w:val="20"/>
        </w:rPr>
        <w:t>Development in potential acid sulfate soil areas is undertaken so that:</w:t>
      </w:r>
    </w:p>
    <w:p w14:paraId="2EB3E013" w14:textId="77777777" w:rsidR="00BE36FB" w:rsidRPr="009B7B35" w:rsidRDefault="00BE36FB" w:rsidP="00BE36FB">
      <w:pPr>
        <w:numPr>
          <w:ilvl w:val="2"/>
          <w:numId w:val="641"/>
        </w:numPr>
        <w:rPr>
          <w:rFonts w:ascii="Arial" w:hAnsi="Arial" w:cs="Arial"/>
          <w:sz w:val="20"/>
          <w:szCs w:val="20"/>
        </w:rPr>
      </w:pPr>
      <w:r w:rsidRPr="009B7B35">
        <w:rPr>
          <w:rFonts w:ascii="Arial" w:hAnsi="Arial" w:cs="Arial"/>
          <w:sz w:val="20"/>
          <w:szCs w:val="20"/>
        </w:rPr>
        <w:t>the disturbance of acid sulfate soils is avoided, or</w:t>
      </w:r>
    </w:p>
    <w:p w14:paraId="45A80ED8" w14:textId="77777777" w:rsidR="00BE36FB" w:rsidRPr="009B7B35" w:rsidRDefault="00BE36FB" w:rsidP="00BE36FB">
      <w:pPr>
        <w:numPr>
          <w:ilvl w:val="2"/>
          <w:numId w:val="641"/>
        </w:numPr>
        <w:rPr>
          <w:rFonts w:ascii="Arial" w:hAnsi="Arial" w:cs="Arial"/>
          <w:sz w:val="20"/>
          <w:szCs w:val="20"/>
        </w:rPr>
      </w:pPr>
      <w:r w:rsidRPr="009B7B35">
        <w:rPr>
          <w:rFonts w:ascii="Arial" w:hAnsi="Arial" w:cs="Arial"/>
          <w:sz w:val="20"/>
          <w:szCs w:val="20"/>
        </w:rPr>
        <w:t>where disturbance is unavoidable, the generation or release of acid and metal contaminants from disturbed acid sulfate soils do not have adverse impacts on the natural and built environment or human health.</w:t>
      </w:r>
    </w:p>
    <w:p w14:paraId="5B4E5B6B" w14:textId="77777777" w:rsidR="00BE36FB" w:rsidRPr="009B7B35" w:rsidRDefault="00BE36FB" w:rsidP="006776DA">
      <w:pPr>
        <w:pStyle w:val="Heading4"/>
        <w:widowControl w:val="0"/>
        <w:numPr>
          <w:ilvl w:val="3"/>
          <w:numId w:val="883"/>
        </w:numPr>
        <w:rPr>
          <w:rFonts w:ascii="Arial" w:hAnsi="Arial" w:cs="Arial"/>
          <w:sz w:val="20"/>
          <w:szCs w:val="20"/>
        </w:rPr>
      </w:pPr>
      <w:bookmarkStart w:id="241" w:name="_Toc341451471"/>
      <w:r w:rsidRPr="009B7B35">
        <w:rPr>
          <w:rFonts w:ascii="Arial" w:hAnsi="Arial" w:cs="Arial"/>
          <w:sz w:val="20"/>
          <w:szCs w:val="20"/>
        </w:rPr>
        <w:t xml:space="preserve">Assessment </w:t>
      </w:r>
      <w:bookmarkEnd w:id="241"/>
      <w:r w:rsidRPr="009B7B35">
        <w:rPr>
          <w:rFonts w:ascii="Arial" w:hAnsi="Arial" w:cs="Arial"/>
          <w:sz w:val="20"/>
          <w:szCs w:val="20"/>
        </w:rPr>
        <w:t>benchmarks</w:t>
      </w:r>
    </w:p>
    <w:p w14:paraId="681607BD" w14:textId="77777777" w:rsidR="00BE36FB" w:rsidRPr="009B7B35" w:rsidRDefault="00BE36FB" w:rsidP="001A7107">
      <w:pPr>
        <w:pStyle w:val="Heading5"/>
        <w:numPr>
          <w:ilvl w:val="0"/>
          <w:numId w:val="0"/>
        </w:numPr>
        <w:rPr>
          <w:rFonts w:cs="Arial"/>
          <w:szCs w:val="20"/>
        </w:rPr>
      </w:pPr>
      <w:bookmarkStart w:id="242" w:name="_Toc341451472"/>
      <w:r w:rsidRPr="009B7B35">
        <w:rPr>
          <w:rFonts w:cs="Arial"/>
          <w:szCs w:val="20"/>
        </w:rPr>
        <w:t>Table 8.2.1.3.1—</w:t>
      </w:r>
      <w:bookmarkEnd w:id="242"/>
      <w:r w:rsidRPr="009B7B35">
        <w:rPr>
          <w:rFonts w:cs="Arial"/>
          <w:szCs w:val="20"/>
        </w:rPr>
        <w:t xml:space="preserve"> Accepted development subject to requirements and assessable development</w:t>
      </w:r>
    </w:p>
    <w:tbl>
      <w:tblPr>
        <w:tblStyle w:val="Tablestyle"/>
        <w:tblW w:w="0" w:type="auto"/>
        <w:tblLook w:val="0620" w:firstRow="1" w:lastRow="0" w:firstColumn="0" w:lastColumn="0" w:noHBand="1" w:noVBand="1"/>
      </w:tblPr>
      <w:tblGrid>
        <w:gridCol w:w="4054"/>
        <w:gridCol w:w="4309"/>
      </w:tblGrid>
      <w:tr w:rsidR="00BE36FB" w:rsidRPr="009B7B35" w14:paraId="0E173FC6"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3033BEC5"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4C2A4EA0"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60E10BA7" w14:textId="77777777" w:rsidTr="001A7107">
        <w:tc>
          <w:tcPr>
            <w:tcW w:w="4678" w:type="dxa"/>
            <w:vMerge w:val="restart"/>
          </w:tcPr>
          <w:p w14:paraId="2CF634C5" w14:textId="77777777" w:rsidR="00BE36FB" w:rsidRPr="009B7B35" w:rsidRDefault="00BE36FB" w:rsidP="001A7107">
            <w:pPr>
              <w:pStyle w:val="TableText"/>
              <w:rPr>
                <w:rFonts w:cs="Arial"/>
                <w:b/>
                <w:bCs/>
              </w:rPr>
            </w:pPr>
            <w:r w:rsidRPr="009B7B35">
              <w:rPr>
                <w:rFonts w:cs="Arial"/>
                <w:b/>
                <w:bCs/>
              </w:rPr>
              <w:t>PO1</w:t>
            </w:r>
          </w:p>
          <w:p w14:paraId="7C5338FD" w14:textId="77777777" w:rsidR="00BE36FB" w:rsidRPr="009B7B35" w:rsidRDefault="00BE36FB" w:rsidP="001A7107">
            <w:pPr>
              <w:pStyle w:val="TableText"/>
              <w:rPr>
                <w:rFonts w:cs="Arial"/>
              </w:rPr>
            </w:pPr>
            <w:r w:rsidRPr="009B7B35">
              <w:rPr>
                <w:rFonts w:cs="Arial"/>
              </w:rPr>
              <w:t>Development avoids disturbing acid sulfate soils or is managed to prevent the mobilisation and release of acid and metal contaminants.</w:t>
            </w:r>
          </w:p>
          <w:p w14:paraId="1FBE306F" w14:textId="77777777" w:rsidR="00BE36FB" w:rsidRPr="009B7B35" w:rsidRDefault="00BE36FB" w:rsidP="001A7107">
            <w:pPr>
              <w:pStyle w:val="Notes"/>
              <w:rPr>
                <w:rFonts w:cs="Arial"/>
                <w:sz w:val="20"/>
                <w:szCs w:val="20"/>
              </w:rPr>
            </w:pPr>
            <w:r w:rsidRPr="009B7B35">
              <w:rPr>
                <w:rFonts w:cs="Arial"/>
                <w:sz w:val="20"/>
                <w:szCs w:val="20"/>
              </w:rPr>
              <w:t xml:space="preserve">Note—The presence or absence of acid sulfate soils is required to be determined prior to the lodgement of a development application. The assessment must be undertaken in accordance with the Guidelines for Sampling and Analysis of lowland acid sulfate soils in Queensland 1998 that forms a part of the Queensland Acid Sulfate Soil Technical Manual. </w:t>
            </w:r>
          </w:p>
          <w:p w14:paraId="5E54C2CD" w14:textId="77777777" w:rsidR="00BE36FB" w:rsidRPr="009B7B35" w:rsidRDefault="00BE36FB" w:rsidP="001A7107">
            <w:pPr>
              <w:pStyle w:val="Notes"/>
              <w:rPr>
                <w:rFonts w:cs="Arial"/>
                <w:sz w:val="20"/>
                <w:szCs w:val="20"/>
              </w:rPr>
            </w:pPr>
            <w:r w:rsidRPr="009B7B35">
              <w:rPr>
                <w:rFonts w:cs="Arial"/>
                <w:sz w:val="20"/>
                <w:szCs w:val="20"/>
              </w:rPr>
              <w:t>Note—Applicants proposing to disturb acid sulfate soils will be required to engage specialists to provide detailed investigations into the above matters and provide an Acid sulfate soil management plan in order to demonstrate compliance with this performance criterion.</w:t>
            </w:r>
          </w:p>
        </w:tc>
        <w:tc>
          <w:tcPr>
            <w:tcW w:w="4678" w:type="dxa"/>
          </w:tcPr>
          <w:p w14:paraId="74C22051" w14:textId="77777777" w:rsidR="00BE36FB" w:rsidRPr="009B7B35" w:rsidRDefault="00BE36FB" w:rsidP="001A7107">
            <w:pPr>
              <w:pStyle w:val="TableText"/>
              <w:rPr>
                <w:rFonts w:cs="Arial"/>
                <w:b/>
                <w:bCs/>
              </w:rPr>
            </w:pPr>
            <w:r w:rsidRPr="009B7B35">
              <w:rPr>
                <w:rFonts w:cs="Arial"/>
                <w:b/>
                <w:bCs/>
              </w:rPr>
              <w:t>AO1.1</w:t>
            </w:r>
          </w:p>
          <w:p w14:paraId="565EA834" w14:textId="77777777" w:rsidR="00BE36FB" w:rsidRPr="009B7B35" w:rsidRDefault="00BE36FB" w:rsidP="001A7107">
            <w:pPr>
              <w:pStyle w:val="TableText"/>
              <w:rPr>
                <w:rFonts w:cs="Arial"/>
              </w:rPr>
            </w:pPr>
            <w:r w:rsidRPr="009B7B35">
              <w:rPr>
                <w:rFonts w:cs="Arial"/>
              </w:rPr>
              <w:t>The disturbance of acid sulfate soils is avoided by:</w:t>
            </w:r>
          </w:p>
          <w:p w14:paraId="0867B892" w14:textId="77777777" w:rsidR="00BE36FB" w:rsidRPr="009B7B35" w:rsidRDefault="00BE36FB" w:rsidP="00BE36FB">
            <w:pPr>
              <w:pStyle w:val="TableText"/>
              <w:numPr>
                <w:ilvl w:val="0"/>
                <w:numId w:val="642"/>
              </w:numPr>
              <w:rPr>
                <w:rFonts w:cs="Arial"/>
              </w:rPr>
            </w:pPr>
            <w:r w:rsidRPr="009B7B35">
              <w:rPr>
                <w:rFonts w:cs="Arial"/>
              </w:rPr>
              <w:t>not excavating or otherwise removing soil or sediment identified as containing acid sulfate soils</w:t>
            </w:r>
          </w:p>
          <w:p w14:paraId="0E207F2D" w14:textId="77777777" w:rsidR="00BE36FB" w:rsidRPr="009B7B35" w:rsidRDefault="00BE36FB" w:rsidP="00BE36FB">
            <w:pPr>
              <w:pStyle w:val="TableText"/>
              <w:numPr>
                <w:ilvl w:val="0"/>
                <w:numId w:val="642"/>
              </w:numPr>
              <w:rPr>
                <w:rFonts w:cs="Arial"/>
              </w:rPr>
            </w:pPr>
            <w:r w:rsidRPr="009B7B35">
              <w:rPr>
                <w:rFonts w:cs="Arial"/>
              </w:rPr>
              <w:t>not permanently or temporarily extracting groundwater that results in the oxygenation of previously saturated acid sulfate soils</w:t>
            </w:r>
          </w:p>
          <w:p w14:paraId="0FBB956D" w14:textId="77777777" w:rsidR="00BE36FB" w:rsidRPr="009B7B35" w:rsidRDefault="00BE36FB" w:rsidP="00BE36FB">
            <w:pPr>
              <w:pStyle w:val="TableText"/>
              <w:numPr>
                <w:ilvl w:val="0"/>
                <w:numId w:val="642"/>
              </w:numPr>
              <w:rPr>
                <w:rFonts w:cs="Arial"/>
              </w:rPr>
            </w:pPr>
            <w:r w:rsidRPr="009B7B35">
              <w:rPr>
                <w:rFonts w:cs="Arial"/>
              </w:rPr>
              <w:t>not undertaking filling that results in:</w:t>
            </w:r>
          </w:p>
          <w:p w14:paraId="2A60334B" w14:textId="77777777" w:rsidR="00BE36FB" w:rsidRPr="009B7B35" w:rsidRDefault="00BE36FB" w:rsidP="00BE36FB">
            <w:pPr>
              <w:pStyle w:val="TableText"/>
              <w:numPr>
                <w:ilvl w:val="1"/>
                <w:numId w:val="642"/>
              </w:numPr>
              <w:rPr>
                <w:rFonts w:cs="Arial"/>
              </w:rPr>
            </w:pPr>
            <w:r w:rsidRPr="009B7B35">
              <w:rPr>
                <w:rFonts w:cs="Arial"/>
              </w:rPr>
              <w:t>actual acid sulfate soils being moved below the water table</w:t>
            </w:r>
          </w:p>
          <w:p w14:paraId="479C7CAB" w14:textId="77777777" w:rsidR="00BE36FB" w:rsidRPr="009B7B35" w:rsidRDefault="00BE36FB" w:rsidP="00BE36FB">
            <w:pPr>
              <w:pStyle w:val="TableText"/>
              <w:numPr>
                <w:ilvl w:val="1"/>
                <w:numId w:val="642"/>
              </w:numPr>
              <w:rPr>
                <w:rFonts w:cs="Arial"/>
              </w:rPr>
            </w:pPr>
            <w:r w:rsidRPr="009B7B35">
              <w:rPr>
                <w:rFonts w:cs="Arial"/>
              </w:rPr>
              <w:t>previously saturated acid sulfate soils being aerated.</w:t>
            </w:r>
          </w:p>
          <w:p w14:paraId="59677D58" w14:textId="77777777" w:rsidR="00BE36FB" w:rsidRPr="009B7B35" w:rsidRDefault="00BE36FB" w:rsidP="001A7107">
            <w:pPr>
              <w:pStyle w:val="TableText"/>
              <w:rPr>
                <w:rFonts w:cs="Arial"/>
              </w:rPr>
            </w:pPr>
            <w:r w:rsidRPr="009B7B35">
              <w:rPr>
                <w:rFonts w:cs="Arial"/>
              </w:rPr>
              <w:t>OR</w:t>
            </w:r>
          </w:p>
          <w:p w14:paraId="72406EE9" w14:textId="77777777" w:rsidR="00BE36FB" w:rsidRPr="009B7B35" w:rsidRDefault="00BE36FB" w:rsidP="001A7107">
            <w:pPr>
              <w:pStyle w:val="TableText"/>
              <w:rPr>
                <w:rFonts w:cs="Arial"/>
              </w:rPr>
            </w:pPr>
            <w:r w:rsidRPr="009B7B35">
              <w:rPr>
                <w:rFonts w:cs="Arial"/>
              </w:rPr>
              <w:t>The disturbance of acid sulfate soils prevents the mobilisation and release of acid and metal contaminants by:</w:t>
            </w:r>
          </w:p>
          <w:p w14:paraId="2CEBC799" w14:textId="77777777" w:rsidR="00BE36FB" w:rsidRPr="009B7B35" w:rsidRDefault="00BE36FB" w:rsidP="00BE36FB">
            <w:pPr>
              <w:pStyle w:val="TableText"/>
              <w:numPr>
                <w:ilvl w:val="0"/>
                <w:numId w:val="643"/>
              </w:numPr>
              <w:rPr>
                <w:rFonts w:cs="Arial"/>
              </w:rPr>
            </w:pPr>
            <w:r w:rsidRPr="009B7B35">
              <w:rPr>
                <w:rFonts w:cs="Arial"/>
              </w:rPr>
              <w:t xml:space="preserve">neutralising existing acidity and preventing the generation of acid and metal contaminants using strategies documented in the </w:t>
            </w:r>
            <w:r w:rsidRPr="009B7B35">
              <w:rPr>
                <w:rStyle w:val="StyleItalic"/>
                <w:rFonts w:cs="Arial"/>
              </w:rPr>
              <w:t>Queensland Acid Sulfate Soil Technical Manual</w:t>
            </w:r>
            <w:r w:rsidRPr="009B7B35">
              <w:rPr>
                <w:rFonts w:cs="Arial"/>
              </w:rPr>
              <w:t>, and</w:t>
            </w:r>
          </w:p>
          <w:p w14:paraId="6C55023C" w14:textId="77777777" w:rsidR="00BE36FB" w:rsidRPr="009B7B35" w:rsidRDefault="00BE36FB" w:rsidP="00BE36FB">
            <w:pPr>
              <w:pStyle w:val="TableText"/>
              <w:numPr>
                <w:ilvl w:val="0"/>
                <w:numId w:val="643"/>
              </w:numPr>
              <w:rPr>
                <w:rFonts w:cs="Arial"/>
              </w:rPr>
            </w:pPr>
            <w:r w:rsidRPr="009B7B35">
              <w:rPr>
                <w:rFonts w:cs="Arial"/>
              </w:rPr>
              <w:t>preventing the release of surface or groundwater flows containing acid and metal contaminants into the environment, and</w:t>
            </w:r>
          </w:p>
          <w:p w14:paraId="1443A6D8" w14:textId="77777777" w:rsidR="00BE36FB" w:rsidRPr="009B7B35" w:rsidRDefault="00BE36FB" w:rsidP="00BE36FB">
            <w:pPr>
              <w:pStyle w:val="TableText"/>
              <w:numPr>
                <w:ilvl w:val="0"/>
                <w:numId w:val="643"/>
              </w:numPr>
              <w:rPr>
                <w:rFonts w:cs="Arial"/>
              </w:rPr>
            </w:pPr>
            <w:r w:rsidRPr="009B7B35">
              <w:rPr>
                <w:rFonts w:cs="Arial"/>
              </w:rPr>
              <w:t>preventing the in situ oxidation of acid sulfate soils through groundwater level management, and</w:t>
            </w:r>
          </w:p>
          <w:p w14:paraId="02646771" w14:textId="77777777" w:rsidR="00BE36FB" w:rsidRPr="009B7B35" w:rsidRDefault="00BE36FB" w:rsidP="00BE36FB">
            <w:pPr>
              <w:pStyle w:val="TableText"/>
              <w:numPr>
                <w:ilvl w:val="0"/>
                <w:numId w:val="643"/>
              </w:numPr>
              <w:rPr>
                <w:rFonts w:cs="Arial"/>
              </w:rPr>
            </w:pPr>
            <w:r w:rsidRPr="009B7B35">
              <w:rPr>
                <w:rFonts w:cs="Arial"/>
              </w:rPr>
              <w:t>documenting management strategies and reporting requirements in an acid sulfate soils environmental management plan.</w:t>
            </w:r>
          </w:p>
        </w:tc>
      </w:tr>
      <w:tr w:rsidR="00BE36FB" w:rsidRPr="009B7B35" w14:paraId="799D9F1E" w14:textId="77777777" w:rsidTr="001A7107">
        <w:tc>
          <w:tcPr>
            <w:tcW w:w="4678" w:type="dxa"/>
            <w:vMerge/>
          </w:tcPr>
          <w:p w14:paraId="3488E8F4" w14:textId="77777777" w:rsidR="00BE36FB" w:rsidRPr="009B7B35" w:rsidRDefault="00BE36FB" w:rsidP="001A7107">
            <w:pPr>
              <w:rPr>
                <w:rFonts w:cs="Arial"/>
                <w:sz w:val="20"/>
                <w:szCs w:val="20"/>
              </w:rPr>
            </w:pPr>
          </w:p>
        </w:tc>
        <w:tc>
          <w:tcPr>
            <w:tcW w:w="4678" w:type="dxa"/>
          </w:tcPr>
          <w:p w14:paraId="035D969C" w14:textId="77777777" w:rsidR="00BE36FB" w:rsidRPr="009B7B35" w:rsidRDefault="00BE36FB" w:rsidP="001A7107">
            <w:pPr>
              <w:pStyle w:val="TableText"/>
              <w:rPr>
                <w:rFonts w:cs="Arial"/>
                <w:b/>
                <w:bCs/>
              </w:rPr>
            </w:pPr>
            <w:r w:rsidRPr="009B7B35">
              <w:rPr>
                <w:rFonts w:cs="Arial"/>
                <w:b/>
                <w:bCs/>
              </w:rPr>
              <w:t>AO1.2</w:t>
            </w:r>
          </w:p>
          <w:p w14:paraId="38679A77" w14:textId="77777777" w:rsidR="00BE36FB" w:rsidRPr="009B7B35" w:rsidRDefault="00BE36FB" w:rsidP="001A7107">
            <w:pPr>
              <w:pStyle w:val="TableText"/>
              <w:rPr>
                <w:rFonts w:cs="Arial"/>
              </w:rPr>
            </w:pPr>
            <w:r w:rsidRPr="009B7B35">
              <w:rPr>
                <w:rFonts w:cs="Arial"/>
              </w:rPr>
              <w:t>Acid sulfate soils undergo appropriate treatment before disposal whether or not that disposal occurs offsite.</w:t>
            </w:r>
          </w:p>
        </w:tc>
      </w:tr>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tbl>
    <w:p w14:paraId="2EEE4493" w14:textId="77777777" w:rsidR="00BE36FB" w:rsidRPr="009B7B35" w:rsidRDefault="00BE36FB" w:rsidP="001A7107">
      <w:pPr>
        <w:pStyle w:val="NormalIndent"/>
        <w:rPr>
          <w:rFonts w:cs="Arial"/>
          <w:szCs w:val="20"/>
        </w:rPr>
      </w:pPr>
    </w:p>
    <w:p w14:paraId="05C98CDA"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202D4BAF" w14:textId="77777777" w:rsidR="00BE36FB" w:rsidRPr="009B7B35" w:rsidRDefault="00BE36FB" w:rsidP="006776DA">
      <w:pPr>
        <w:pStyle w:val="Heading3"/>
        <w:numPr>
          <w:ilvl w:val="2"/>
          <w:numId w:val="883"/>
        </w:numPr>
        <w:spacing w:before="240"/>
        <w:rPr>
          <w:rFonts w:ascii="Arial" w:hAnsi="Arial"/>
          <w:sz w:val="20"/>
          <w:szCs w:val="20"/>
        </w:rPr>
      </w:pPr>
      <w:bookmarkStart w:id="243" w:name="_Toc205367377"/>
      <w:r w:rsidRPr="009B7B35">
        <w:rPr>
          <w:rFonts w:ascii="Arial" w:hAnsi="Arial"/>
          <w:sz w:val="20"/>
          <w:szCs w:val="20"/>
        </w:rPr>
        <w:t>Airport environs</w:t>
      </w:r>
      <w:bookmarkEnd w:id="243"/>
    </w:p>
    <w:p w14:paraId="04BD2CCE"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Application</w:t>
      </w:r>
    </w:p>
    <w:p w14:paraId="686C7F19"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Airport environs overlay code. When using this code, reference should be made to section 5.3.2 and where applicable, section 5.3.3 located in Part 5.</w:t>
      </w:r>
    </w:p>
    <w:p w14:paraId="2554DEFD"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Purpose</w:t>
      </w:r>
    </w:p>
    <w:p w14:paraId="43FB61E2" w14:textId="77777777" w:rsidR="00BE36FB" w:rsidRPr="009B7B35" w:rsidRDefault="00BE36FB" w:rsidP="00BE36FB">
      <w:pPr>
        <w:numPr>
          <w:ilvl w:val="0"/>
          <w:numId w:val="633"/>
        </w:numPr>
        <w:rPr>
          <w:rFonts w:ascii="Arial" w:hAnsi="Arial" w:cs="Arial"/>
          <w:sz w:val="20"/>
          <w:szCs w:val="20"/>
        </w:rPr>
      </w:pPr>
      <w:r w:rsidRPr="009B7B35">
        <w:rPr>
          <w:rFonts w:ascii="Arial" w:hAnsi="Arial" w:cs="Arial"/>
          <w:sz w:val="20"/>
          <w:szCs w:val="20"/>
        </w:rPr>
        <w:t>The purpose of the Airport Environs overlay code is to:</w:t>
      </w:r>
    </w:p>
    <w:p w14:paraId="1DE6EA01" w14:textId="77777777"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protect the ongoing operation of Gladstone's strategic airport and aviation facilities</w:t>
      </w:r>
    </w:p>
    <w:p w14:paraId="3EABE61B" w14:textId="77777777"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minimise safety risks to aircraft operations for the Gladstone Airport and aviation facilities</w:t>
      </w:r>
    </w:p>
    <w:p w14:paraId="63A7670F" w14:textId="77777777"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ensure current and future airport operations are not adversely impacted upon by inappropriate development and land uses</w:t>
      </w:r>
    </w:p>
    <w:p w14:paraId="28298EB4" w14:textId="77777777"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maintain reasonable levels of amenity for development surrounding the Gladstone Airport.</w:t>
      </w:r>
    </w:p>
    <w:p w14:paraId="5D546A94" w14:textId="77777777" w:rsidR="00BE36FB" w:rsidRPr="009B7B35" w:rsidRDefault="00BE36FB" w:rsidP="00BE36FB">
      <w:pPr>
        <w:numPr>
          <w:ilvl w:val="0"/>
          <w:numId w:val="633"/>
        </w:numPr>
        <w:rPr>
          <w:rFonts w:ascii="Arial" w:hAnsi="Arial" w:cs="Arial"/>
          <w:sz w:val="20"/>
          <w:szCs w:val="20"/>
        </w:rPr>
      </w:pPr>
      <w:r w:rsidRPr="009B7B35">
        <w:rPr>
          <w:rFonts w:ascii="Arial" w:hAnsi="Arial" w:cs="Arial"/>
          <w:sz w:val="20"/>
          <w:szCs w:val="20"/>
        </w:rPr>
        <w:t>The purpose of the code will be achieved through the following overall outcomes:</w:t>
      </w:r>
    </w:p>
    <w:p w14:paraId="0A898BC8" w14:textId="77777777"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development protects the safety of aircraft and aviation facilities operating within an airport’s operational airspace</w:t>
      </w:r>
    </w:p>
    <w:p w14:paraId="59C42D3B" w14:textId="77777777"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development does not increase the risk to public safety near airport runways</w:t>
      </w:r>
    </w:p>
    <w:p w14:paraId="56080567" w14:textId="77777777"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development including any buildings or intrusions do not encroach above the Obstacle Limitation Surface (OLS)</w:t>
      </w:r>
    </w:p>
    <w:p w14:paraId="0CC41983" w14:textId="77777777"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development protects aviation facilities including navigation, communication and surveillance equipment and facilities from incompatible intrusions, land uses, buildings, structures and works</w:t>
      </w:r>
    </w:p>
    <w:p w14:paraId="5A1368F1" w14:textId="77777777"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development does not generate air emissions, attract wildlife or generate inappropriate lighting that compromises aircraft safety</w:t>
      </w:r>
    </w:p>
    <w:p w14:paraId="35ADC1CA" w14:textId="77777777" w:rsidR="00BE36FB" w:rsidRPr="009B7B35" w:rsidRDefault="00BE36FB" w:rsidP="00BE36FB">
      <w:pPr>
        <w:numPr>
          <w:ilvl w:val="1"/>
          <w:numId w:val="633"/>
        </w:numPr>
        <w:rPr>
          <w:rFonts w:ascii="Arial" w:hAnsi="Arial" w:cs="Arial"/>
          <w:sz w:val="20"/>
          <w:szCs w:val="20"/>
        </w:rPr>
      </w:pPr>
      <w:r w:rsidRPr="009B7B35">
        <w:rPr>
          <w:rFonts w:ascii="Arial" w:hAnsi="Arial" w:cs="Arial"/>
          <w:sz w:val="20"/>
          <w:szCs w:val="20"/>
        </w:rPr>
        <w:t>development mitigates adverse impacts of aircraft noise and is compatible with forecast levels of aircraft noise within the Australian Noise Exposure Forecast (ANEF) contours.</w:t>
      </w:r>
    </w:p>
    <w:p w14:paraId="65F02CDC" w14:textId="77777777" w:rsidR="00BE36FB" w:rsidRPr="009B7B35" w:rsidRDefault="00BE36FB" w:rsidP="001A7107">
      <w:pPr>
        <w:pStyle w:val="Notes"/>
        <w:rPr>
          <w:rFonts w:cs="Arial"/>
          <w:sz w:val="20"/>
          <w:szCs w:val="20"/>
        </w:rPr>
      </w:pPr>
      <w:r w:rsidRPr="009B7B35">
        <w:rPr>
          <w:rFonts w:cs="Arial"/>
          <w:sz w:val="20"/>
          <w:szCs w:val="20"/>
        </w:rPr>
        <w:t xml:space="preserve">Note—Aviation facilities include navigation, communication, or surveillance installations provided to assist the safe and efficient movement of aircraft and may be located either on or off airport. These are included within the OLS mapping within the Transitional Surface, Approach and Departure Surfaces (for the Instrument Landing System) and the Aviation Facilities delineation. </w:t>
      </w:r>
    </w:p>
    <w:p w14:paraId="49F5E2E4" w14:textId="77777777" w:rsidR="00BE36FB" w:rsidRPr="009B7B35" w:rsidRDefault="00BE36FB" w:rsidP="001A7107">
      <w:pPr>
        <w:pStyle w:val="Notes"/>
        <w:rPr>
          <w:rFonts w:cs="Arial"/>
          <w:sz w:val="20"/>
          <w:szCs w:val="20"/>
        </w:rPr>
      </w:pPr>
      <w:r w:rsidRPr="009B7B35">
        <w:rPr>
          <w:rFonts w:cs="Arial"/>
          <w:sz w:val="20"/>
          <w:szCs w:val="20"/>
        </w:rPr>
        <w:t xml:space="preserve">Note—The operational airspace refers to the area which the full extent of the Airport Overlay applies, namely to the outer edge of the Outer Horizontal Obstacle Limitation Surface. </w:t>
      </w:r>
    </w:p>
    <w:p w14:paraId="790E1F0A"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Assessment benchmarks</w:t>
      </w:r>
    </w:p>
    <w:p w14:paraId="2DC9B726" w14:textId="77777777" w:rsidR="00BE36FB" w:rsidRPr="009B7B35" w:rsidRDefault="00BE36FB" w:rsidP="001A7107">
      <w:pPr>
        <w:pStyle w:val="Heading5"/>
        <w:numPr>
          <w:ilvl w:val="0"/>
          <w:numId w:val="0"/>
        </w:numPr>
        <w:rPr>
          <w:rFonts w:cs="Arial"/>
          <w:szCs w:val="20"/>
        </w:rPr>
      </w:pPr>
      <w:r w:rsidRPr="009B7B35">
        <w:rPr>
          <w:rFonts w:cs="Arial"/>
          <w:szCs w:val="20"/>
        </w:rPr>
        <w:t>Table 8.2.2.3.1—Assessable development</w:t>
      </w:r>
    </w:p>
    <w:tbl>
      <w:tblPr>
        <w:tblStyle w:val="Tablestyle"/>
        <w:tblW w:w="0" w:type="auto"/>
        <w:tblLook w:val="0620" w:firstRow="1" w:lastRow="0" w:firstColumn="0" w:lastColumn="0" w:noHBand="1" w:noVBand="1"/>
      </w:tblPr>
      <w:tblGrid>
        <w:gridCol w:w="4183"/>
        <w:gridCol w:w="4180"/>
      </w:tblGrid>
      <w:tr w:rsidR="00BE36FB" w:rsidRPr="009B7B35" w14:paraId="657CC409"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2E83F1AA"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16DADDD4"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17FE8F17" w14:textId="77777777" w:rsidTr="001A7107">
        <w:trPr>
          <w:cantSplit/>
        </w:trPr>
        <w:tc>
          <w:tcPr>
            <w:tcW w:w="9356" w:type="dxa"/>
            <w:gridSpan w:val="2"/>
            <w:shd w:val="clear" w:color="auto" w:fill="BFBFBF" w:themeFill="background1" w:themeFillShade="BF"/>
          </w:tcPr>
          <w:p w14:paraId="7E798C0B"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Obstructions and hazards </w:t>
            </w:r>
          </w:p>
        </w:tc>
      </w:tr>
      <w:tr w:rsidR="00BE36FB" w:rsidRPr="009B7B35" w14:paraId="1897BD80" w14:textId="77777777" w:rsidTr="001A7107">
        <w:tc>
          <w:tcPr>
            <w:tcW w:w="4678" w:type="dxa"/>
            <w:vMerge w:val="restart"/>
          </w:tcPr>
          <w:p w14:paraId="1BC41A08" w14:textId="77777777" w:rsidR="00BE36FB" w:rsidRPr="009B7B35" w:rsidRDefault="00BE36FB" w:rsidP="001A7107">
            <w:pPr>
              <w:pStyle w:val="TableText"/>
              <w:rPr>
                <w:rFonts w:cs="Arial"/>
                <w:b/>
              </w:rPr>
            </w:pPr>
            <w:r w:rsidRPr="009B7B35">
              <w:rPr>
                <w:rFonts w:cs="Arial"/>
                <w:b/>
              </w:rPr>
              <w:t>PO1</w:t>
            </w:r>
          </w:p>
          <w:p w14:paraId="4D2772FB" w14:textId="77777777" w:rsidR="00BE36FB" w:rsidRPr="009B7B35" w:rsidRDefault="00BE36FB" w:rsidP="001A7107">
            <w:pPr>
              <w:pStyle w:val="TableText"/>
              <w:rPr>
                <w:rFonts w:cs="Arial"/>
              </w:rPr>
            </w:pPr>
            <w:r w:rsidRPr="009B7B35">
              <w:rPr>
                <w:rFonts w:cs="Arial"/>
              </w:rPr>
              <w:t>Development (including any associated permanent or temporary structures and landscaping) does not cause a permanent or temporary physical or transient obstruction to the safe movement of aircraft within the airport's operational airspace.</w:t>
            </w:r>
          </w:p>
        </w:tc>
        <w:tc>
          <w:tcPr>
            <w:tcW w:w="4678" w:type="dxa"/>
          </w:tcPr>
          <w:p w14:paraId="7D72EB5C" w14:textId="77777777" w:rsidR="00BE36FB" w:rsidRPr="009B7B35" w:rsidRDefault="00BE36FB" w:rsidP="001A7107">
            <w:pPr>
              <w:pStyle w:val="TableText"/>
              <w:rPr>
                <w:rFonts w:cs="Arial"/>
                <w:b/>
              </w:rPr>
            </w:pPr>
            <w:r w:rsidRPr="009B7B35">
              <w:rPr>
                <w:rFonts w:cs="Arial"/>
                <w:b/>
              </w:rPr>
              <w:t>AO1.1</w:t>
            </w:r>
          </w:p>
          <w:p w14:paraId="3CBC2301" w14:textId="77777777" w:rsidR="00BE36FB" w:rsidRPr="009B7B35" w:rsidRDefault="00BE36FB" w:rsidP="001A7107">
            <w:pPr>
              <w:pStyle w:val="TableText"/>
              <w:rPr>
                <w:rFonts w:cs="Arial"/>
              </w:rPr>
            </w:pPr>
            <w:r w:rsidRPr="009B7B35">
              <w:rPr>
                <w:rFonts w:cs="Arial"/>
              </w:rPr>
              <w:t>Buildings, structures (both free standing and attached to buildings, including signs, masts or antennae) and vegetation at its mature height do not penetrate the Obstacle Limitation Surface (OLS) as identified on Airport Environs Overlay Map.</w:t>
            </w:r>
          </w:p>
        </w:tc>
      </w:tr>
      <w:tr w:rsidR="00BE36FB" w:rsidRPr="009B7B35" w14:paraId="4C2D7725" w14:textId="77777777" w:rsidTr="001A7107">
        <w:tc>
          <w:tcPr>
            <w:tcW w:w="4678" w:type="dxa"/>
            <w:vMerge/>
          </w:tcPr>
          <w:p w14:paraId="104D8CB4" w14:textId="77777777" w:rsidR="00BE36FB" w:rsidRPr="009B7B35" w:rsidRDefault="00BE36FB" w:rsidP="001A7107">
            <w:pPr>
              <w:pStyle w:val="TableText"/>
              <w:rPr>
                <w:rFonts w:cs="Arial"/>
              </w:rPr>
            </w:pPr>
          </w:p>
        </w:tc>
        <w:tc>
          <w:tcPr>
            <w:tcW w:w="4678" w:type="dxa"/>
          </w:tcPr>
          <w:p w14:paraId="0A1B8785"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AO1.2</w:t>
            </w:r>
          </w:p>
          <w:p w14:paraId="5D2AC0A6" w14:textId="77777777" w:rsidR="00BE36FB" w:rsidRPr="009B7B35" w:rsidRDefault="00BE36FB" w:rsidP="001A7107">
            <w:pPr>
              <w:pStyle w:val="TableText"/>
              <w:rPr>
                <w:rFonts w:cs="Arial"/>
              </w:rPr>
            </w:pPr>
            <w:r w:rsidRPr="009B7B35">
              <w:rPr>
                <w:rFonts w:cs="Arial"/>
              </w:rPr>
              <w:t>Cranes and other construction equipment or activities do not penetrate the Obstacle Limitation Surface (OLS) as identified on Airport Environs Overlay Map.</w:t>
            </w:r>
          </w:p>
        </w:tc>
      </w:tr>
      <w:tr w:rsidR="00BE36FB" w:rsidRPr="009B7B35" w14:paraId="63984325" w14:textId="77777777" w:rsidTr="001A7107">
        <w:tc>
          <w:tcPr>
            <w:tcW w:w="4678" w:type="dxa"/>
            <w:vMerge/>
          </w:tcPr>
          <w:p w14:paraId="0740B44A" w14:textId="77777777" w:rsidR="00BE36FB" w:rsidRPr="009B7B35" w:rsidRDefault="00BE36FB" w:rsidP="001A7107">
            <w:pPr>
              <w:pStyle w:val="TableText"/>
              <w:rPr>
                <w:rFonts w:cs="Arial"/>
              </w:rPr>
            </w:pPr>
          </w:p>
        </w:tc>
        <w:tc>
          <w:tcPr>
            <w:tcW w:w="4678" w:type="dxa"/>
          </w:tcPr>
          <w:p w14:paraId="5851394C" w14:textId="77777777" w:rsidR="00BE36FB" w:rsidRPr="009B7B35" w:rsidRDefault="00BE36FB" w:rsidP="001A7107">
            <w:pPr>
              <w:pStyle w:val="TableText"/>
              <w:rPr>
                <w:rFonts w:cs="Arial"/>
                <w:b/>
              </w:rPr>
            </w:pPr>
            <w:r w:rsidRPr="009B7B35">
              <w:rPr>
                <w:rFonts w:cs="Arial"/>
                <w:b/>
              </w:rPr>
              <w:t>AO1.3</w:t>
            </w:r>
          </w:p>
          <w:p w14:paraId="3F0FFE36" w14:textId="77777777" w:rsidR="00BE36FB" w:rsidRPr="009B7B35" w:rsidRDefault="00BE36FB" w:rsidP="001A7107">
            <w:pPr>
              <w:pStyle w:val="TableText"/>
              <w:rPr>
                <w:rFonts w:cs="Arial"/>
              </w:rPr>
            </w:pPr>
            <w:r w:rsidRPr="009B7B35">
              <w:rPr>
                <w:rFonts w:cs="Arial"/>
              </w:rPr>
              <w:t xml:space="preserve">Transient activities associated with development such as parachuting, hot air ballooning and hang–gliding will not occur within the airport's operational airspace. </w:t>
            </w:r>
          </w:p>
        </w:tc>
      </w:tr>
      <w:tr w:rsidR="00BE36FB" w:rsidRPr="009B7B35" w14:paraId="457CFFAE" w14:textId="77777777" w:rsidTr="001A7107">
        <w:tc>
          <w:tcPr>
            <w:tcW w:w="9356" w:type="dxa"/>
            <w:gridSpan w:val="2"/>
            <w:shd w:val="clear" w:color="auto" w:fill="BFBFBF" w:themeFill="background1" w:themeFillShade="BF"/>
          </w:tcPr>
          <w:p w14:paraId="6354C100" w14:textId="77777777" w:rsidR="00BE36FB" w:rsidRPr="009B7B35" w:rsidRDefault="00BE36FB" w:rsidP="001A7107">
            <w:pPr>
              <w:pStyle w:val="Tableheading"/>
              <w:rPr>
                <w:rFonts w:ascii="Arial" w:hAnsi="Arial" w:cs="Arial"/>
                <w:szCs w:val="20"/>
              </w:rPr>
            </w:pPr>
            <w:r w:rsidRPr="009B7B35">
              <w:rPr>
                <w:rFonts w:ascii="Arial" w:hAnsi="Arial" w:cs="Arial"/>
                <w:szCs w:val="20"/>
              </w:rPr>
              <w:t>Lighting and reflective surfaces</w:t>
            </w:r>
          </w:p>
        </w:tc>
      </w:tr>
      <w:tr w:rsidR="00BE36FB" w:rsidRPr="009B7B35" w14:paraId="1B0E00F1" w14:textId="77777777" w:rsidTr="001A7107">
        <w:tc>
          <w:tcPr>
            <w:tcW w:w="4678" w:type="dxa"/>
            <w:vMerge w:val="restart"/>
          </w:tcPr>
          <w:p w14:paraId="67699884" w14:textId="77777777" w:rsidR="00BE36FB" w:rsidRPr="009B7B35" w:rsidRDefault="00BE36FB" w:rsidP="001A7107">
            <w:pPr>
              <w:pStyle w:val="TableText"/>
              <w:rPr>
                <w:rFonts w:cs="Arial"/>
                <w:b/>
              </w:rPr>
            </w:pPr>
            <w:r w:rsidRPr="009B7B35">
              <w:rPr>
                <w:rFonts w:cs="Arial"/>
                <w:b/>
              </w:rPr>
              <w:t>PO2</w:t>
            </w:r>
          </w:p>
          <w:p w14:paraId="590CE5C8" w14:textId="77777777" w:rsidR="00BE36FB" w:rsidRPr="009B7B35" w:rsidRDefault="00BE36FB" w:rsidP="001A7107">
            <w:pPr>
              <w:pStyle w:val="TableText"/>
              <w:rPr>
                <w:rFonts w:cs="Arial"/>
              </w:rPr>
            </w:pPr>
            <w:r w:rsidRPr="009B7B35">
              <w:rPr>
                <w:rFonts w:cs="Arial"/>
              </w:rPr>
              <w:t>Development does not cause an obstruction or hazard to the safe movement of aircraft within an airport's operational airspace through the installation of external lighting that could distract or interfere with a pilot's vision, or confuse the visual identification of a runway approach or navigational lighting from the air.</w:t>
            </w:r>
          </w:p>
        </w:tc>
        <w:tc>
          <w:tcPr>
            <w:tcW w:w="4678" w:type="dxa"/>
          </w:tcPr>
          <w:p w14:paraId="5ED7FDB9" w14:textId="77777777" w:rsidR="00BE36FB" w:rsidRPr="009B7B35" w:rsidRDefault="00BE36FB" w:rsidP="001A7107">
            <w:pPr>
              <w:pStyle w:val="TableText"/>
              <w:rPr>
                <w:rFonts w:cs="Arial"/>
                <w:b/>
              </w:rPr>
            </w:pPr>
            <w:r w:rsidRPr="009B7B35">
              <w:rPr>
                <w:rFonts w:cs="Arial"/>
                <w:b/>
              </w:rPr>
              <w:t>AO2.1</w:t>
            </w:r>
          </w:p>
          <w:p w14:paraId="1F2D9AC5" w14:textId="77777777" w:rsidR="00BE36FB" w:rsidRPr="009B7B35" w:rsidRDefault="00BE36FB" w:rsidP="001A7107">
            <w:pPr>
              <w:pStyle w:val="TableText"/>
              <w:rPr>
                <w:rFonts w:cs="Arial"/>
              </w:rPr>
            </w:pPr>
            <w:r w:rsidRPr="009B7B35">
              <w:rPr>
                <w:rFonts w:cs="Arial"/>
              </w:rPr>
              <w:t>Within the Approach and Departure Surfaces, Transitional Surface and Inner Horizontal Surface, outdoor lighting (including street lighting and security lighting) does not involve any of the following:</w:t>
            </w:r>
          </w:p>
          <w:p w14:paraId="33973502" w14:textId="77777777" w:rsidR="00BE36FB" w:rsidRPr="009B7B35" w:rsidRDefault="00BE36FB" w:rsidP="00BE36FB">
            <w:pPr>
              <w:pStyle w:val="TableText"/>
              <w:numPr>
                <w:ilvl w:val="0"/>
                <w:numId w:val="634"/>
              </w:numPr>
              <w:rPr>
                <w:rFonts w:cs="Arial"/>
              </w:rPr>
            </w:pPr>
            <w:r w:rsidRPr="009B7B35">
              <w:rPr>
                <w:rFonts w:cs="Arial"/>
              </w:rPr>
              <w:t>straight parallel lines of lighting 500m to 1000m in length</w:t>
            </w:r>
          </w:p>
          <w:p w14:paraId="4AD96578" w14:textId="77777777" w:rsidR="00BE36FB" w:rsidRPr="009B7B35" w:rsidRDefault="00BE36FB" w:rsidP="00BE36FB">
            <w:pPr>
              <w:pStyle w:val="TableText"/>
              <w:numPr>
                <w:ilvl w:val="0"/>
                <w:numId w:val="634"/>
              </w:numPr>
              <w:rPr>
                <w:rFonts w:cs="Arial"/>
              </w:rPr>
            </w:pPr>
            <w:r w:rsidRPr="009B7B35">
              <w:rPr>
                <w:rFonts w:cs="Arial"/>
              </w:rPr>
              <w:t>lighting that shines, projects or reflects light above a horizontal plane</w:t>
            </w:r>
          </w:p>
          <w:p w14:paraId="11167AF9" w14:textId="77777777" w:rsidR="00BE36FB" w:rsidRPr="009B7B35" w:rsidRDefault="00BE36FB" w:rsidP="00BE36FB">
            <w:pPr>
              <w:pStyle w:val="TableText"/>
              <w:numPr>
                <w:ilvl w:val="0"/>
                <w:numId w:val="634"/>
              </w:numPr>
              <w:rPr>
                <w:rFonts w:cs="Arial"/>
              </w:rPr>
            </w:pPr>
            <w:r w:rsidRPr="009B7B35">
              <w:rPr>
                <w:rFonts w:cs="Arial"/>
              </w:rPr>
              <w:t>coloured, flashing or sodium lighting</w:t>
            </w:r>
          </w:p>
          <w:p w14:paraId="267855C9" w14:textId="77777777" w:rsidR="00BE36FB" w:rsidRPr="009B7B35" w:rsidRDefault="00BE36FB" w:rsidP="00BE36FB">
            <w:pPr>
              <w:pStyle w:val="TableText"/>
              <w:numPr>
                <w:ilvl w:val="0"/>
                <w:numId w:val="634"/>
              </w:numPr>
              <w:rPr>
                <w:rFonts w:cs="Arial"/>
              </w:rPr>
            </w:pPr>
            <w:r w:rsidRPr="009B7B35">
              <w:rPr>
                <w:rFonts w:cs="Arial"/>
              </w:rPr>
              <w:t>flare plumes</w:t>
            </w:r>
          </w:p>
          <w:p w14:paraId="717FC3C1" w14:textId="77777777" w:rsidR="00BE36FB" w:rsidRPr="009B7B35" w:rsidRDefault="00BE36FB" w:rsidP="00BE36FB">
            <w:pPr>
              <w:pStyle w:val="TableText"/>
              <w:numPr>
                <w:ilvl w:val="0"/>
                <w:numId w:val="634"/>
              </w:numPr>
              <w:rPr>
                <w:rFonts w:cs="Arial"/>
              </w:rPr>
            </w:pPr>
            <w:r w:rsidRPr="009B7B35">
              <w:rPr>
                <w:rFonts w:cs="Arial"/>
              </w:rPr>
              <w:t>buildings with reflective cladding</w:t>
            </w:r>
          </w:p>
          <w:p w14:paraId="4D85A4BF" w14:textId="77777777" w:rsidR="00BE36FB" w:rsidRPr="009B7B35" w:rsidRDefault="00BE36FB" w:rsidP="00BE36FB">
            <w:pPr>
              <w:pStyle w:val="TableText"/>
              <w:numPr>
                <w:ilvl w:val="0"/>
                <w:numId w:val="634"/>
              </w:numPr>
              <w:rPr>
                <w:rFonts w:cs="Arial"/>
              </w:rPr>
            </w:pPr>
            <w:r w:rsidRPr="009B7B35">
              <w:rPr>
                <w:rFonts w:cs="Arial"/>
              </w:rPr>
              <w:t>laser lights.</w:t>
            </w:r>
          </w:p>
        </w:tc>
      </w:tr>
      <w:tr w:rsidR="00BE36FB" w:rsidRPr="009B7B35" w14:paraId="53558F89" w14:textId="77777777" w:rsidTr="001A7107">
        <w:trPr>
          <w:cantSplit/>
        </w:trPr>
        <w:tc>
          <w:tcPr>
            <w:tcW w:w="4678" w:type="dxa"/>
            <w:vMerge/>
          </w:tcPr>
          <w:p w14:paraId="0346D0F5" w14:textId="77777777" w:rsidR="00BE36FB" w:rsidRPr="009B7B35" w:rsidRDefault="00BE36FB" w:rsidP="001A7107">
            <w:pPr>
              <w:pStyle w:val="TableText"/>
              <w:rPr>
                <w:rFonts w:cs="Arial"/>
              </w:rPr>
            </w:pPr>
          </w:p>
        </w:tc>
        <w:tc>
          <w:tcPr>
            <w:tcW w:w="4678" w:type="dxa"/>
          </w:tcPr>
          <w:p w14:paraId="4ECAEB58" w14:textId="77777777" w:rsidR="00BE36FB" w:rsidRPr="009B7B35" w:rsidRDefault="00BE36FB" w:rsidP="001A7107">
            <w:pPr>
              <w:pStyle w:val="TableText"/>
              <w:rPr>
                <w:rFonts w:cs="Arial"/>
                <w:b/>
              </w:rPr>
            </w:pPr>
            <w:r w:rsidRPr="009B7B35">
              <w:rPr>
                <w:rFonts w:cs="Arial"/>
                <w:b/>
              </w:rPr>
              <w:t>AO2.</w:t>
            </w:r>
            <w:r w:rsidRPr="009B7B35">
              <w:rPr>
                <w:rStyle w:val="Strong"/>
                <w:rFonts w:eastAsiaTheme="majorEastAsia" w:cs="Arial"/>
              </w:rPr>
              <w:t>2</w:t>
            </w:r>
          </w:p>
          <w:p w14:paraId="59B36C7B" w14:textId="77777777" w:rsidR="00BE36FB" w:rsidRPr="009B7B35" w:rsidRDefault="00BE36FB" w:rsidP="001A7107">
            <w:pPr>
              <w:pStyle w:val="TableText"/>
              <w:rPr>
                <w:rFonts w:cs="Arial"/>
              </w:rPr>
            </w:pPr>
            <w:r w:rsidRPr="009B7B35">
              <w:rPr>
                <w:rFonts w:cs="Arial"/>
              </w:rPr>
              <w:t xml:space="preserve">Street Lighting and Outdoor Lighting complies with </w:t>
            </w:r>
            <w:r w:rsidRPr="009B7B35">
              <w:rPr>
                <w:rStyle w:val="StyleItalic"/>
                <w:rFonts w:cs="Arial"/>
              </w:rPr>
              <w:t>AS4282–1997 Control of Obstructive effects of Outdoor Lighting</w:t>
            </w:r>
            <w:r w:rsidRPr="009B7B35">
              <w:rPr>
                <w:rFonts w:cs="Arial"/>
              </w:rPr>
              <w:t>.</w:t>
            </w:r>
          </w:p>
        </w:tc>
      </w:tr>
      <w:tr w:rsidR="00BE36FB" w:rsidRPr="009B7B35" w14:paraId="37395603" w14:textId="77777777" w:rsidTr="001A7107">
        <w:trPr>
          <w:cantSplit/>
        </w:trPr>
        <w:tc>
          <w:tcPr>
            <w:tcW w:w="9356" w:type="dxa"/>
            <w:gridSpan w:val="2"/>
            <w:shd w:val="clear" w:color="auto" w:fill="BFBFBF" w:themeFill="background1" w:themeFillShade="BF"/>
          </w:tcPr>
          <w:p w14:paraId="14706758" w14:textId="77777777" w:rsidR="00BE36FB" w:rsidRPr="009B7B35" w:rsidRDefault="00BE36FB" w:rsidP="001A7107">
            <w:pPr>
              <w:pStyle w:val="Tableheading"/>
              <w:rPr>
                <w:rFonts w:ascii="Arial" w:hAnsi="Arial" w:cs="Arial"/>
                <w:szCs w:val="20"/>
              </w:rPr>
            </w:pPr>
            <w:r w:rsidRPr="009B7B35">
              <w:rPr>
                <w:rFonts w:ascii="Arial" w:hAnsi="Arial" w:cs="Arial"/>
                <w:szCs w:val="20"/>
              </w:rPr>
              <w:t>Emissions</w:t>
            </w:r>
          </w:p>
        </w:tc>
      </w:tr>
      <w:tr w:rsidR="00BE36FB" w:rsidRPr="009B7B35" w14:paraId="338DF3B4" w14:textId="77777777" w:rsidTr="001A7107">
        <w:trPr>
          <w:cantSplit/>
        </w:trPr>
        <w:tc>
          <w:tcPr>
            <w:tcW w:w="4678" w:type="dxa"/>
          </w:tcPr>
          <w:p w14:paraId="2DA59007" w14:textId="77777777" w:rsidR="00BE36FB" w:rsidRPr="009B7B35" w:rsidRDefault="00BE36FB" w:rsidP="001A7107">
            <w:pPr>
              <w:pStyle w:val="TableText"/>
              <w:rPr>
                <w:rFonts w:cs="Arial"/>
                <w:b/>
              </w:rPr>
            </w:pPr>
            <w:r w:rsidRPr="009B7B35">
              <w:rPr>
                <w:rFonts w:cs="Arial"/>
                <w:b/>
              </w:rPr>
              <w:t>PO3</w:t>
            </w:r>
          </w:p>
          <w:p w14:paraId="43931557" w14:textId="77777777" w:rsidR="00BE36FB" w:rsidRPr="009B7B35" w:rsidRDefault="00BE36FB" w:rsidP="001A7107">
            <w:pPr>
              <w:pStyle w:val="TableText"/>
              <w:rPr>
                <w:rFonts w:cs="Arial"/>
              </w:rPr>
            </w:pPr>
            <w:r w:rsidRPr="009B7B35">
              <w:rPr>
                <w:rFonts w:cs="Arial"/>
              </w:rPr>
              <w:t xml:space="preserve">Development does not significantly increase air turbulence, reduce visibility or cause an obstruction or hazard to the safe movement of aircraft within an airport's Obstacle Limitation Surface (OLS) (Inner and Outer), Transitional Surface or Approach and Departure Limitation Surface as identified on Airport Environs Overlay Map through the emission of particulates, gasses or other materials. </w:t>
            </w:r>
          </w:p>
        </w:tc>
        <w:tc>
          <w:tcPr>
            <w:tcW w:w="4678" w:type="dxa"/>
          </w:tcPr>
          <w:p w14:paraId="7CA6784D" w14:textId="77777777" w:rsidR="00BE36FB" w:rsidRPr="009B7B35" w:rsidRDefault="00BE36FB" w:rsidP="001A7107">
            <w:pPr>
              <w:pStyle w:val="TableText"/>
              <w:rPr>
                <w:rFonts w:cs="Arial"/>
                <w:b/>
              </w:rPr>
            </w:pPr>
            <w:r w:rsidRPr="009B7B35">
              <w:rPr>
                <w:rFonts w:cs="Arial"/>
                <w:b/>
              </w:rPr>
              <w:t>AO3</w:t>
            </w:r>
          </w:p>
          <w:p w14:paraId="1962300A" w14:textId="77777777" w:rsidR="00BE36FB" w:rsidRPr="009B7B35" w:rsidRDefault="00BE36FB" w:rsidP="001A7107">
            <w:pPr>
              <w:pStyle w:val="TableText"/>
              <w:rPr>
                <w:rFonts w:cs="Arial"/>
              </w:rPr>
            </w:pPr>
            <w:r w:rsidRPr="009B7B35">
              <w:rPr>
                <w:rFonts w:cs="Arial"/>
              </w:rPr>
              <w:t>Development does not generate:</w:t>
            </w:r>
          </w:p>
          <w:p w14:paraId="66D9B218" w14:textId="77777777" w:rsidR="00BE36FB" w:rsidRPr="009B7B35" w:rsidRDefault="00BE36FB" w:rsidP="00BE36FB">
            <w:pPr>
              <w:pStyle w:val="TableText"/>
              <w:numPr>
                <w:ilvl w:val="0"/>
                <w:numId w:val="662"/>
              </w:numPr>
              <w:rPr>
                <w:rFonts w:cs="Arial"/>
              </w:rPr>
            </w:pPr>
            <w:r w:rsidRPr="009B7B35">
              <w:rPr>
                <w:rFonts w:cs="Arial"/>
              </w:rPr>
              <w:t>gaseous plumes with a velocity exceeding 4.3m per second</w:t>
            </w:r>
          </w:p>
          <w:p w14:paraId="489220FA" w14:textId="77777777" w:rsidR="00BE36FB" w:rsidRPr="009B7B35" w:rsidRDefault="00BE36FB" w:rsidP="00BE36FB">
            <w:pPr>
              <w:numPr>
                <w:ilvl w:val="0"/>
                <w:numId w:val="662"/>
              </w:numPr>
              <w:rPr>
                <w:rFonts w:cs="Arial"/>
                <w:sz w:val="20"/>
                <w:szCs w:val="20"/>
              </w:rPr>
            </w:pPr>
            <w:r w:rsidRPr="009B7B35">
              <w:rPr>
                <w:rFonts w:cs="Arial"/>
                <w:sz w:val="20"/>
                <w:szCs w:val="20"/>
              </w:rPr>
              <w:t xml:space="preserve">smoke, dust, ash or steam that will penetrate the Obstacle Limitation Surface (OLS) (Inner and Outer), Transitional Surface or Approach and Departure Limitation Surface as identified on Airport Environs Overlay Map, or </w:t>
            </w:r>
          </w:p>
          <w:p w14:paraId="290803FE" w14:textId="77777777" w:rsidR="00BE36FB" w:rsidRPr="009B7B35" w:rsidRDefault="00BE36FB" w:rsidP="00BE36FB">
            <w:pPr>
              <w:pStyle w:val="TableText"/>
              <w:numPr>
                <w:ilvl w:val="0"/>
                <w:numId w:val="662"/>
              </w:numPr>
              <w:rPr>
                <w:rFonts w:cs="Arial"/>
              </w:rPr>
            </w:pPr>
            <w:r w:rsidRPr="009B7B35">
              <w:rPr>
                <w:rFonts w:cs="Arial"/>
              </w:rPr>
              <w:t xml:space="preserve">emissions with depleted oxygen content. </w:t>
            </w:r>
          </w:p>
        </w:tc>
      </w:tr>
      <w:tr w:rsidR="00BE36FB" w:rsidRPr="009B7B35" w14:paraId="718CCB36" w14:textId="77777777" w:rsidTr="001A7107">
        <w:trPr>
          <w:cantSplit/>
        </w:trPr>
        <w:tc>
          <w:tcPr>
            <w:tcW w:w="9356" w:type="dxa"/>
            <w:gridSpan w:val="2"/>
            <w:shd w:val="clear" w:color="auto" w:fill="BFBFBF" w:themeFill="background1" w:themeFillShade="BF"/>
          </w:tcPr>
          <w:p w14:paraId="67CAFE5B" w14:textId="77777777" w:rsidR="00BE36FB" w:rsidRPr="009B7B35" w:rsidRDefault="00BE36FB" w:rsidP="001A7107">
            <w:pPr>
              <w:pStyle w:val="Tableheading"/>
              <w:rPr>
                <w:rFonts w:ascii="Arial" w:hAnsi="Arial" w:cs="Arial"/>
                <w:szCs w:val="20"/>
              </w:rPr>
            </w:pPr>
            <w:r w:rsidRPr="009B7B35">
              <w:rPr>
                <w:rFonts w:ascii="Arial" w:hAnsi="Arial" w:cs="Arial"/>
                <w:szCs w:val="20"/>
              </w:rPr>
              <w:t>Wildlife hazards</w:t>
            </w:r>
          </w:p>
        </w:tc>
      </w:tr>
      <w:tr w:rsidR="00BE36FB" w:rsidRPr="009B7B35" w14:paraId="21C49EC1" w14:textId="77777777" w:rsidTr="001A7107">
        <w:tc>
          <w:tcPr>
            <w:tcW w:w="4678" w:type="dxa"/>
            <w:vMerge w:val="restart"/>
          </w:tcPr>
          <w:p w14:paraId="415CD4DF" w14:textId="77777777" w:rsidR="00BE36FB" w:rsidRPr="009B7B35" w:rsidRDefault="00BE36FB" w:rsidP="001A7107">
            <w:pPr>
              <w:pStyle w:val="TableText"/>
              <w:rPr>
                <w:rFonts w:cs="Arial"/>
                <w:b/>
              </w:rPr>
            </w:pPr>
            <w:r w:rsidRPr="009B7B35">
              <w:rPr>
                <w:rFonts w:cs="Arial"/>
                <w:b/>
              </w:rPr>
              <w:t>PO4</w:t>
            </w:r>
          </w:p>
          <w:p w14:paraId="215F4B67" w14:textId="77777777" w:rsidR="00BE36FB" w:rsidRPr="009B7B35" w:rsidRDefault="00BE36FB" w:rsidP="001A7107">
            <w:pPr>
              <w:pStyle w:val="TableText"/>
              <w:rPr>
                <w:rFonts w:cs="Arial"/>
              </w:rPr>
            </w:pPr>
            <w:r w:rsidRPr="009B7B35">
              <w:rPr>
                <w:rFonts w:cs="Arial"/>
              </w:rPr>
              <w:t>Development does not cause wildlife to create an obstruction or hazard to the safe movement of aircraft within an airport's operational airspace through the attracting of a significant number of wildlife, in particular birds and bats.</w:t>
            </w:r>
          </w:p>
        </w:tc>
        <w:tc>
          <w:tcPr>
            <w:tcW w:w="4678" w:type="dxa"/>
          </w:tcPr>
          <w:p w14:paraId="5FDC6078" w14:textId="77777777" w:rsidR="00BE36FB" w:rsidRPr="009B7B35" w:rsidRDefault="00BE36FB" w:rsidP="001A7107">
            <w:pPr>
              <w:pStyle w:val="TableText"/>
              <w:rPr>
                <w:rFonts w:cs="Arial"/>
                <w:b/>
              </w:rPr>
            </w:pPr>
            <w:r w:rsidRPr="009B7B35">
              <w:rPr>
                <w:rFonts w:cs="Arial"/>
                <w:b/>
              </w:rPr>
              <w:t>AO4.1</w:t>
            </w:r>
          </w:p>
          <w:p w14:paraId="246DC253" w14:textId="77777777" w:rsidR="00BE36FB" w:rsidRPr="009B7B35" w:rsidRDefault="00BE36FB" w:rsidP="001A7107">
            <w:pPr>
              <w:pStyle w:val="TableText"/>
              <w:rPr>
                <w:rFonts w:cs="Arial"/>
              </w:rPr>
            </w:pPr>
            <w:r w:rsidRPr="009B7B35">
              <w:rPr>
                <w:rFonts w:cs="Arial"/>
              </w:rPr>
              <w:t xml:space="preserve">Development located within 3km of the airport's runway as identified on Airport environs overlay map does not involve uses listed in column 1 of Table 8.2.2.3.2 which are associated with increases in wildlife strikes. </w:t>
            </w:r>
          </w:p>
        </w:tc>
      </w:tr>
      <w:tr w:rsidR="00BE36FB" w:rsidRPr="009B7B35" w14:paraId="4D5164AC" w14:textId="77777777" w:rsidTr="001A7107">
        <w:tc>
          <w:tcPr>
            <w:tcW w:w="4678" w:type="dxa"/>
            <w:vMerge/>
          </w:tcPr>
          <w:p w14:paraId="0F0B1939" w14:textId="77777777" w:rsidR="00BE36FB" w:rsidRPr="009B7B35" w:rsidRDefault="00BE36FB" w:rsidP="001A7107">
            <w:pPr>
              <w:pStyle w:val="TableText"/>
              <w:rPr>
                <w:rFonts w:cs="Arial"/>
              </w:rPr>
            </w:pPr>
          </w:p>
        </w:tc>
        <w:tc>
          <w:tcPr>
            <w:tcW w:w="4678" w:type="dxa"/>
          </w:tcPr>
          <w:p w14:paraId="37D361A5" w14:textId="77777777" w:rsidR="00BE36FB" w:rsidRPr="009B7B35" w:rsidRDefault="00BE36FB" w:rsidP="001A7107">
            <w:pPr>
              <w:pStyle w:val="TableText"/>
              <w:rPr>
                <w:rFonts w:cs="Arial"/>
                <w:b/>
              </w:rPr>
            </w:pPr>
            <w:r w:rsidRPr="009B7B35">
              <w:rPr>
                <w:rFonts w:cs="Arial"/>
                <w:b/>
              </w:rPr>
              <w:t>AO4.2</w:t>
            </w:r>
          </w:p>
          <w:p w14:paraId="4355CAC9" w14:textId="77777777" w:rsidR="00BE36FB" w:rsidRPr="009B7B35" w:rsidRDefault="00BE36FB" w:rsidP="001A7107">
            <w:pPr>
              <w:pStyle w:val="TableText"/>
              <w:rPr>
                <w:rFonts w:cs="Arial"/>
              </w:rPr>
            </w:pPr>
            <w:r w:rsidRPr="009B7B35">
              <w:rPr>
                <w:rFonts w:cs="Arial"/>
              </w:rPr>
              <w:t>Development located within 3km of the airport's runway as identified on Airport environs overlay map, involving a use listed in column 2 of Table 8.2.2.3.2 include measures to reduce the potential to attract birds and bats, including covering potential food sources and bird scarers or netting (rural activities).</w:t>
            </w:r>
          </w:p>
        </w:tc>
      </w:tr>
      <w:tr w:rsidR="00BE36FB" w:rsidRPr="009B7B35" w14:paraId="491C35A5" w14:textId="77777777" w:rsidTr="001A7107">
        <w:tc>
          <w:tcPr>
            <w:tcW w:w="4678" w:type="dxa"/>
            <w:vMerge/>
          </w:tcPr>
          <w:p w14:paraId="46900AA7" w14:textId="77777777" w:rsidR="00BE36FB" w:rsidRPr="009B7B35" w:rsidRDefault="00BE36FB" w:rsidP="001A7107">
            <w:pPr>
              <w:pStyle w:val="TableText"/>
              <w:rPr>
                <w:rFonts w:cs="Arial"/>
              </w:rPr>
            </w:pPr>
          </w:p>
        </w:tc>
        <w:tc>
          <w:tcPr>
            <w:tcW w:w="4678" w:type="dxa"/>
          </w:tcPr>
          <w:p w14:paraId="1EF57F4A" w14:textId="77777777" w:rsidR="00BE36FB" w:rsidRPr="009B7B35" w:rsidRDefault="00BE36FB" w:rsidP="001A7107">
            <w:pPr>
              <w:pStyle w:val="TableText"/>
              <w:rPr>
                <w:rFonts w:cs="Arial"/>
                <w:b/>
              </w:rPr>
            </w:pPr>
            <w:r w:rsidRPr="009B7B35">
              <w:rPr>
                <w:rFonts w:cs="Arial"/>
                <w:b/>
              </w:rPr>
              <w:t>AO4.3</w:t>
            </w:r>
          </w:p>
          <w:p w14:paraId="4B20EC76" w14:textId="77777777" w:rsidR="00BE36FB" w:rsidRPr="009B7B35" w:rsidRDefault="00BE36FB" w:rsidP="001A7107">
            <w:pPr>
              <w:pStyle w:val="TableText"/>
              <w:rPr>
                <w:rFonts w:cs="Arial"/>
              </w:rPr>
            </w:pPr>
            <w:r w:rsidRPr="009B7B35">
              <w:rPr>
                <w:rFonts w:cs="Arial"/>
              </w:rPr>
              <w:t xml:space="preserve">Development located between 3km and 8km of the airport's runway as identified on Airport Environs Overlay Map, involving a use in either column 1 or column 2 of Table 8.2.2.3.2 includes measures to reduce the potential to attract birds and bats, including covering potential food sources and bird scarers or netting (rural activities). </w:t>
            </w:r>
          </w:p>
        </w:tc>
      </w:tr>
      <w:tr w:rsidR="00BE36FB" w:rsidRPr="009B7B35" w14:paraId="64E4204C" w14:textId="77777777" w:rsidTr="001A7107">
        <w:trPr>
          <w:cantSplit/>
        </w:trPr>
        <w:tc>
          <w:tcPr>
            <w:tcW w:w="4678" w:type="dxa"/>
            <w:vMerge/>
          </w:tcPr>
          <w:p w14:paraId="5A42DF6B" w14:textId="77777777" w:rsidR="00BE36FB" w:rsidRPr="009B7B35" w:rsidRDefault="00BE36FB" w:rsidP="001A7107">
            <w:pPr>
              <w:pStyle w:val="TableText"/>
              <w:rPr>
                <w:rFonts w:cs="Arial"/>
              </w:rPr>
            </w:pPr>
          </w:p>
        </w:tc>
        <w:tc>
          <w:tcPr>
            <w:tcW w:w="4678" w:type="dxa"/>
          </w:tcPr>
          <w:p w14:paraId="5281FBF7" w14:textId="77777777" w:rsidR="00BE36FB" w:rsidRPr="009B7B35" w:rsidRDefault="00BE36FB" w:rsidP="001A7107">
            <w:pPr>
              <w:pStyle w:val="TableText"/>
              <w:rPr>
                <w:rFonts w:cs="Arial"/>
                <w:b/>
              </w:rPr>
            </w:pPr>
            <w:r w:rsidRPr="009B7B35">
              <w:rPr>
                <w:rFonts w:cs="Arial"/>
                <w:b/>
              </w:rPr>
              <w:t>AO4.4</w:t>
            </w:r>
          </w:p>
          <w:p w14:paraId="5FAC0261" w14:textId="77777777" w:rsidR="00BE36FB" w:rsidRPr="009B7B35" w:rsidRDefault="00BE36FB" w:rsidP="001A7107">
            <w:pPr>
              <w:pStyle w:val="TableText"/>
              <w:rPr>
                <w:rFonts w:cs="Arial"/>
              </w:rPr>
            </w:pPr>
            <w:r w:rsidRPr="009B7B35">
              <w:rPr>
                <w:rFonts w:cs="Arial"/>
              </w:rPr>
              <w:t>Development located between 8km and 13km of the airport's runway as identified on Airport Environs Overlay Map involving a use in either column 1 or column 2 of Table 8.2.2.3.2 does not increase the potential to attract birds and bats.</w:t>
            </w:r>
          </w:p>
        </w:tc>
      </w:tr>
      <w:tr w:rsidR="00BE36FB" w:rsidRPr="009B7B35" w14:paraId="6FC744E4" w14:textId="77777777" w:rsidTr="001A7107">
        <w:trPr>
          <w:cantSplit/>
        </w:trPr>
        <w:tc>
          <w:tcPr>
            <w:tcW w:w="4678" w:type="dxa"/>
          </w:tcPr>
          <w:p w14:paraId="1EB7F461" w14:textId="77777777" w:rsidR="00BE36FB" w:rsidRPr="009B7B35" w:rsidRDefault="00BE36FB" w:rsidP="001A7107">
            <w:pPr>
              <w:pStyle w:val="TableText"/>
              <w:rPr>
                <w:rFonts w:cs="Arial"/>
                <w:b/>
              </w:rPr>
            </w:pPr>
            <w:r w:rsidRPr="009B7B35">
              <w:rPr>
                <w:rFonts w:cs="Arial"/>
                <w:b/>
              </w:rPr>
              <w:t>PO5</w:t>
            </w:r>
          </w:p>
          <w:p w14:paraId="1226EEE1" w14:textId="77777777" w:rsidR="00BE36FB" w:rsidRPr="009B7B35" w:rsidRDefault="00BE36FB" w:rsidP="001A7107">
            <w:pPr>
              <w:pStyle w:val="TableText"/>
              <w:rPr>
                <w:rFonts w:cs="Arial"/>
              </w:rPr>
            </w:pPr>
            <w:r w:rsidRPr="009B7B35">
              <w:rPr>
                <w:rFonts w:cs="Arial"/>
              </w:rPr>
              <w:t>Landscaping and drainage works (including artificial water bodies) for development within the Transitional Surface as identified on Airport Environs Overlay Map are designed and located to avoid attracting birds and bats (e.g. avoidance of fruiting and/ or flowering plant species).</w:t>
            </w:r>
          </w:p>
        </w:tc>
        <w:tc>
          <w:tcPr>
            <w:tcW w:w="4678" w:type="dxa"/>
          </w:tcPr>
          <w:p w14:paraId="7AA6E5B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5A025A9" w14:textId="77777777" w:rsidTr="001A7107">
        <w:trPr>
          <w:cantSplit/>
        </w:trPr>
        <w:tc>
          <w:tcPr>
            <w:tcW w:w="9356" w:type="dxa"/>
            <w:gridSpan w:val="2"/>
            <w:shd w:val="clear" w:color="auto" w:fill="BFBFBF" w:themeFill="background1" w:themeFillShade="BF"/>
          </w:tcPr>
          <w:p w14:paraId="4AAACDA6" w14:textId="77777777" w:rsidR="00BE36FB" w:rsidRPr="009B7B35" w:rsidRDefault="00BE36FB" w:rsidP="001A7107">
            <w:pPr>
              <w:pStyle w:val="Tableheading"/>
              <w:rPr>
                <w:rFonts w:ascii="Arial" w:hAnsi="Arial" w:cs="Arial"/>
                <w:szCs w:val="20"/>
              </w:rPr>
            </w:pPr>
            <w:r w:rsidRPr="009B7B35">
              <w:rPr>
                <w:rFonts w:ascii="Arial" w:hAnsi="Arial" w:cs="Arial"/>
                <w:szCs w:val="20"/>
              </w:rPr>
              <w:t>Aviation facilities</w:t>
            </w:r>
          </w:p>
        </w:tc>
      </w:tr>
      <w:tr w:rsidR="00BE36FB" w:rsidRPr="009B7B35" w14:paraId="2A372837" w14:textId="77777777" w:rsidTr="001A7107">
        <w:tc>
          <w:tcPr>
            <w:tcW w:w="4678" w:type="dxa"/>
          </w:tcPr>
          <w:p w14:paraId="3BD17B64" w14:textId="77777777" w:rsidR="00BE36FB" w:rsidRPr="009B7B35" w:rsidRDefault="00BE36FB" w:rsidP="001A7107">
            <w:pPr>
              <w:pStyle w:val="TableText"/>
              <w:rPr>
                <w:rFonts w:cs="Arial"/>
                <w:b/>
              </w:rPr>
            </w:pPr>
            <w:r w:rsidRPr="009B7B35">
              <w:rPr>
                <w:rFonts w:cs="Arial"/>
                <w:b/>
              </w:rPr>
              <w:t>PO6</w:t>
            </w:r>
          </w:p>
          <w:p w14:paraId="6E77919A" w14:textId="77777777" w:rsidR="00BE36FB" w:rsidRPr="009B7B35" w:rsidRDefault="00BE36FB" w:rsidP="001A7107">
            <w:pPr>
              <w:pStyle w:val="TableText"/>
              <w:rPr>
                <w:rFonts w:cs="Arial"/>
              </w:rPr>
            </w:pPr>
            <w:r w:rsidRPr="009B7B35">
              <w:rPr>
                <w:rFonts w:cs="Arial"/>
              </w:rPr>
              <w:t xml:space="preserve">Development does not interfere with the function of aviation facilities or the approach and departure surfaces. </w:t>
            </w:r>
          </w:p>
        </w:tc>
        <w:tc>
          <w:tcPr>
            <w:tcW w:w="4678" w:type="dxa"/>
          </w:tcPr>
          <w:p w14:paraId="7C19BED2" w14:textId="77777777" w:rsidR="00BE36FB" w:rsidRPr="009B7B35" w:rsidRDefault="00BE36FB" w:rsidP="001A7107">
            <w:pPr>
              <w:pStyle w:val="TableText"/>
              <w:rPr>
                <w:rFonts w:cs="Arial"/>
                <w:b/>
              </w:rPr>
            </w:pPr>
            <w:r w:rsidRPr="009B7B35">
              <w:rPr>
                <w:rFonts w:cs="Arial"/>
                <w:b/>
              </w:rPr>
              <w:t>AO6.1</w:t>
            </w:r>
          </w:p>
          <w:p w14:paraId="02BA847D" w14:textId="77777777" w:rsidR="00BE36FB" w:rsidRPr="009B7B35" w:rsidRDefault="00BE36FB" w:rsidP="001A7107">
            <w:pPr>
              <w:pStyle w:val="TableText"/>
              <w:rPr>
                <w:rFonts w:cs="Arial"/>
              </w:rPr>
            </w:pPr>
            <w:r w:rsidRPr="009B7B35">
              <w:rPr>
                <w:rFonts w:cs="Arial"/>
              </w:rPr>
              <w:t>Development located within the building restricted area for an aviation facility, an approach surface or a departure surface does not create:</w:t>
            </w:r>
          </w:p>
          <w:p w14:paraId="48796F2D" w14:textId="77777777" w:rsidR="00BE36FB" w:rsidRPr="009B7B35" w:rsidRDefault="00BE36FB" w:rsidP="00BE36FB">
            <w:pPr>
              <w:pStyle w:val="TableText"/>
              <w:numPr>
                <w:ilvl w:val="0"/>
                <w:numId w:val="695"/>
              </w:numPr>
              <w:rPr>
                <w:rFonts w:cs="Arial"/>
              </w:rPr>
            </w:pPr>
            <w:r w:rsidRPr="009B7B35">
              <w:rPr>
                <w:rFonts w:cs="Arial"/>
              </w:rPr>
              <w:t>permanent or temporary physical obstructions in the line of sight between antennas</w:t>
            </w:r>
          </w:p>
          <w:p w14:paraId="75AADAED" w14:textId="77777777" w:rsidR="00BE36FB" w:rsidRPr="009B7B35" w:rsidRDefault="00BE36FB" w:rsidP="00BE36FB">
            <w:pPr>
              <w:pStyle w:val="TableText"/>
              <w:numPr>
                <w:ilvl w:val="0"/>
                <w:numId w:val="695"/>
              </w:numPr>
              <w:rPr>
                <w:rFonts w:cs="Arial"/>
              </w:rPr>
            </w:pPr>
            <w:r w:rsidRPr="009B7B35">
              <w:rPr>
                <w:rFonts w:cs="Arial"/>
              </w:rPr>
              <w:t>permanent or temporary physical intrusion through an approach surface or departure surface</w:t>
            </w:r>
          </w:p>
          <w:p w14:paraId="369DB52D" w14:textId="77777777" w:rsidR="00BE36FB" w:rsidRPr="009B7B35" w:rsidRDefault="00BE36FB" w:rsidP="00BE36FB">
            <w:pPr>
              <w:pStyle w:val="TableText"/>
              <w:numPr>
                <w:ilvl w:val="0"/>
                <w:numId w:val="695"/>
              </w:numPr>
              <w:rPr>
                <w:rFonts w:cs="Arial"/>
              </w:rPr>
            </w:pPr>
            <w:r w:rsidRPr="009B7B35">
              <w:rPr>
                <w:rFonts w:cs="Arial"/>
              </w:rPr>
              <w:t>an electrical or electromagnetic field that will interfere with signals transmitted by:</w:t>
            </w:r>
          </w:p>
          <w:p w14:paraId="5B3C5B95" w14:textId="77777777" w:rsidR="00BE36FB" w:rsidRPr="009B7B35" w:rsidRDefault="00BE36FB" w:rsidP="00BE36FB">
            <w:pPr>
              <w:pStyle w:val="TableText"/>
              <w:numPr>
                <w:ilvl w:val="1"/>
                <w:numId w:val="695"/>
              </w:numPr>
              <w:rPr>
                <w:rFonts w:cs="Arial"/>
              </w:rPr>
            </w:pPr>
            <w:r w:rsidRPr="009B7B35">
              <w:rPr>
                <w:rFonts w:cs="Arial"/>
              </w:rPr>
              <w:t>the aviation facility; or</w:t>
            </w:r>
          </w:p>
          <w:p w14:paraId="359253F9" w14:textId="77777777" w:rsidR="00BE36FB" w:rsidRPr="009B7B35" w:rsidRDefault="00BE36FB" w:rsidP="00BE36FB">
            <w:pPr>
              <w:pStyle w:val="TableText"/>
              <w:numPr>
                <w:ilvl w:val="1"/>
                <w:numId w:val="695"/>
              </w:numPr>
              <w:rPr>
                <w:rFonts w:cs="Arial"/>
              </w:rPr>
            </w:pPr>
            <w:r w:rsidRPr="009B7B35">
              <w:rPr>
                <w:rFonts w:cs="Arial"/>
              </w:rPr>
              <w:t>an air service related device within the approach surface or departure surface</w:t>
            </w:r>
          </w:p>
          <w:p w14:paraId="49AC4010" w14:textId="77777777" w:rsidR="00BE36FB" w:rsidRPr="009B7B35" w:rsidRDefault="00BE36FB" w:rsidP="00BE36FB">
            <w:pPr>
              <w:pStyle w:val="TableText"/>
              <w:numPr>
                <w:ilvl w:val="0"/>
                <w:numId w:val="695"/>
              </w:numPr>
              <w:rPr>
                <w:rFonts w:cs="Arial"/>
              </w:rPr>
            </w:pPr>
            <w:r w:rsidRPr="009B7B35">
              <w:rPr>
                <w:rFonts w:cs="Arial"/>
              </w:rPr>
              <w:t>reflective surfaces that could deflect or interfere with signals transmitted by:</w:t>
            </w:r>
          </w:p>
          <w:p w14:paraId="70228006" w14:textId="77777777" w:rsidR="00BE36FB" w:rsidRPr="009B7B35" w:rsidRDefault="00BE36FB" w:rsidP="00BE36FB">
            <w:pPr>
              <w:pStyle w:val="TableText"/>
              <w:numPr>
                <w:ilvl w:val="1"/>
                <w:numId w:val="695"/>
              </w:numPr>
              <w:rPr>
                <w:rFonts w:cs="Arial"/>
              </w:rPr>
            </w:pPr>
            <w:r w:rsidRPr="009B7B35">
              <w:rPr>
                <w:rFonts w:cs="Arial"/>
              </w:rPr>
              <w:t>the aviation facility; or</w:t>
            </w:r>
          </w:p>
          <w:p w14:paraId="76965AB1" w14:textId="77777777" w:rsidR="00BE36FB" w:rsidRPr="009B7B35" w:rsidRDefault="00BE36FB" w:rsidP="00BE36FB">
            <w:pPr>
              <w:pStyle w:val="TableText"/>
              <w:numPr>
                <w:ilvl w:val="1"/>
                <w:numId w:val="695"/>
              </w:numPr>
              <w:rPr>
                <w:rFonts w:cs="Arial"/>
              </w:rPr>
            </w:pPr>
            <w:r w:rsidRPr="009B7B35">
              <w:rPr>
                <w:rFonts w:cs="Arial"/>
              </w:rPr>
              <w:t>an air service related device within the approach surface or departure surface.</w:t>
            </w:r>
          </w:p>
          <w:p w14:paraId="01222387" w14:textId="77777777" w:rsidR="00BE36FB" w:rsidRPr="009B7B35" w:rsidRDefault="00BE36FB" w:rsidP="001A7107">
            <w:pPr>
              <w:pStyle w:val="TableText"/>
              <w:rPr>
                <w:rFonts w:cs="Arial"/>
              </w:rPr>
            </w:pPr>
            <w:r w:rsidRPr="009B7B35">
              <w:rPr>
                <w:rFonts w:cs="Arial"/>
              </w:rPr>
              <w:t>OR</w:t>
            </w:r>
          </w:p>
          <w:p w14:paraId="15B9A2D3" w14:textId="77777777" w:rsidR="00BE36FB" w:rsidRPr="009B7B35" w:rsidRDefault="00BE36FB" w:rsidP="001A7107">
            <w:pPr>
              <w:pStyle w:val="TableText"/>
              <w:rPr>
                <w:rFonts w:cs="Arial"/>
                <w:b/>
              </w:rPr>
            </w:pPr>
            <w:r w:rsidRPr="009B7B35">
              <w:rPr>
                <w:rFonts w:cs="Arial"/>
                <w:b/>
              </w:rPr>
              <w:t>AO6.2</w:t>
            </w:r>
          </w:p>
          <w:p w14:paraId="0DA835A6" w14:textId="77777777" w:rsidR="00BE36FB" w:rsidRPr="009B7B35" w:rsidRDefault="00BE36FB" w:rsidP="001A7107">
            <w:pPr>
              <w:autoSpaceDE w:val="0"/>
              <w:autoSpaceDN w:val="0"/>
              <w:adjustRightInd w:val="0"/>
              <w:rPr>
                <w:rFonts w:cs="Arial"/>
                <w:iCs/>
                <w:sz w:val="20"/>
                <w:szCs w:val="20"/>
              </w:rPr>
            </w:pPr>
            <w:r w:rsidRPr="009B7B35">
              <w:rPr>
                <w:rFonts w:cs="Arial"/>
                <w:iCs/>
                <w:sz w:val="20"/>
                <w:szCs w:val="20"/>
              </w:rPr>
              <w:t>Development located within the building restricted area for an aviation facility, an approach</w:t>
            </w:r>
          </w:p>
          <w:p w14:paraId="091EDABE" w14:textId="77777777" w:rsidR="00BE36FB" w:rsidRPr="009B7B35" w:rsidRDefault="00BE36FB" w:rsidP="001A7107">
            <w:pPr>
              <w:autoSpaceDE w:val="0"/>
              <w:autoSpaceDN w:val="0"/>
              <w:adjustRightInd w:val="0"/>
              <w:rPr>
                <w:rFonts w:cs="Arial"/>
                <w:iCs/>
                <w:sz w:val="20"/>
                <w:szCs w:val="20"/>
              </w:rPr>
            </w:pPr>
            <w:r w:rsidRPr="009B7B35">
              <w:rPr>
                <w:rFonts w:cs="Arial"/>
                <w:iCs/>
                <w:sz w:val="20"/>
                <w:szCs w:val="20"/>
              </w:rPr>
              <w:t>surface or a departure surface is designed and constructed to mitigate the adverse impacts on</w:t>
            </w:r>
          </w:p>
          <w:p w14:paraId="7FBA540B" w14:textId="77777777" w:rsidR="00BE36FB" w:rsidRPr="009B7B35" w:rsidRDefault="00BE36FB" w:rsidP="001A7107">
            <w:pPr>
              <w:pStyle w:val="TableText"/>
              <w:rPr>
                <w:rFonts w:cs="Arial"/>
                <w:b/>
              </w:rPr>
            </w:pPr>
            <w:r w:rsidRPr="009B7B35">
              <w:rPr>
                <w:rFonts w:cs="Arial"/>
                <w:iCs/>
              </w:rPr>
              <w:t>the function of the aviation facility, the approach surface or the departure surface.</w:t>
            </w:r>
          </w:p>
        </w:tc>
      </w:tr>
      <w:tr w:rsidR="00BE36FB" w:rsidRPr="009B7B35" w14:paraId="4613AF9F" w14:textId="77777777" w:rsidTr="001A7107">
        <w:tc>
          <w:tcPr>
            <w:tcW w:w="9356" w:type="dxa"/>
            <w:gridSpan w:val="2"/>
            <w:shd w:val="clear" w:color="auto" w:fill="BFBFBF" w:themeFill="background1" w:themeFillShade="BF"/>
          </w:tcPr>
          <w:p w14:paraId="210E8BBE" w14:textId="77777777" w:rsidR="00BE36FB" w:rsidRPr="009B7B35" w:rsidRDefault="00BE36FB" w:rsidP="001A7107">
            <w:pPr>
              <w:pStyle w:val="Tableheading"/>
              <w:rPr>
                <w:rFonts w:ascii="Arial" w:hAnsi="Arial" w:cs="Arial"/>
                <w:szCs w:val="20"/>
              </w:rPr>
            </w:pPr>
            <w:r w:rsidRPr="009B7B35">
              <w:rPr>
                <w:rFonts w:ascii="Arial" w:hAnsi="Arial" w:cs="Arial"/>
                <w:szCs w:val="20"/>
              </w:rPr>
              <w:t>Airport public safety areas</w:t>
            </w:r>
          </w:p>
        </w:tc>
      </w:tr>
      <w:tr w:rsidR="00BE36FB" w:rsidRPr="009B7B35" w14:paraId="068741C1" w14:textId="77777777" w:rsidTr="001A7107">
        <w:tc>
          <w:tcPr>
            <w:tcW w:w="4678" w:type="dxa"/>
          </w:tcPr>
          <w:p w14:paraId="7C45380E" w14:textId="77777777" w:rsidR="00BE36FB" w:rsidRPr="009B7B35" w:rsidRDefault="00BE36FB" w:rsidP="001A7107">
            <w:pPr>
              <w:pStyle w:val="TableText"/>
              <w:rPr>
                <w:rFonts w:cs="Arial"/>
                <w:b/>
              </w:rPr>
            </w:pPr>
            <w:r w:rsidRPr="009B7B35">
              <w:rPr>
                <w:rFonts w:cs="Arial"/>
                <w:b/>
              </w:rPr>
              <w:t>PO7</w:t>
            </w:r>
          </w:p>
          <w:p w14:paraId="0684745D" w14:textId="77777777" w:rsidR="00BE36FB" w:rsidRPr="009B7B35" w:rsidRDefault="00BE36FB" w:rsidP="001A7107">
            <w:pPr>
              <w:pStyle w:val="TableText"/>
              <w:rPr>
                <w:rFonts w:cs="Arial"/>
              </w:rPr>
            </w:pPr>
            <w:r w:rsidRPr="009B7B35">
              <w:rPr>
                <w:rFonts w:cs="Arial"/>
              </w:rPr>
              <w:t>Development within the public safety areas located at the end of the airport runway avoids:</w:t>
            </w:r>
          </w:p>
          <w:p w14:paraId="2270D041" w14:textId="77777777" w:rsidR="00BE36FB" w:rsidRPr="009B7B35" w:rsidRDefault="00BE36FB" w:rsidP="00BE36FB">
            <w:pPr>
              <w:pStyle w:val="TableText"/>
              <w:numPr>
                <w:ilvl w:val="0"/>
                <w:numId w:val="635"/>
              </w:numPr>
              <w:rPr>
                <w:rFonts w:cs="Arial"/>
              </w:rPr>
            </w:pPr>
            <w:r w:rsidRPr="009B7B35">
              <w:rPr>
                <w:rFonts w:cs="Arial"/>
              </w:rPr>
              <w:t>a significant increase in the number of people living, working or congregating in those areas, and</w:t>
            </w:r>
          </w:p>
          <w:p w14:paraId="5CF2177E" w14:textId="77777777" w:rsidR="00BE36FB" w:rsidRPr="009B7B35" w:rsidRDefault="00BE36FB" w:rsidP="00BE36FB">
            <w:pPr>
              <w:pStyle w:val="TableText"/>
              <w:numPr>
                <w:ilvl w:val="0"/>
                <w:numId w:val="635"/>
              </w:numPr>
              <w:rPr>
                <w:rFonts w:cs="Arial"/>
              </w:rPr>
            </w:pPr>
            <w:r w:rsidRPr="009B7B35">
              <w:rPr>
                <w:rFonts w:cs="Arial"/>
              </w:rPr>
              <w:t xml:space="preserve">the use or storage of hazardous materials. </w:t>
            </w:r>
          </w:p>
        </w:tc>
        <w:tc>
          <w:tcPr>
            <w:tcW w:w="4678" w:type="dxa"/>
          </w:tcPr>
          <w:p w14:paraId="4E7C1A5C" w14:textId="77777777" w:rsidR="00BE36FB" w:rsidRPr="009B7B35" w:rsidRDefault="00BE36FB" w:rsidP="001A7107">
            <w:pPr>
              <w:pStyle w:val="TableText"/>
              <w:rPr>
                <w:rFonts w:cs="Arial"/>
                <w:b/>
              </w:rPr>
            </w:pPr>
            <w:r w:rsidRPr="009B7B35">
              <w:rPr>
                <w:rFonts w:cs="Arial"/>
                <w:b/>
              </w:rPr>
              <w:t>AO7</w:t>
            </w:r>
          </w:p>
          <w:p w14:paraId="0A0C103F" w14:textId="77777777" w:rsidR="00BE36FB" w:rsidRPr="009B7B35" w:rsidRDefault="00BE36FB" w:rsidP="001A7107">
            <w:pPr>
              <w:pStyle w:val="TableText"/>
              <w:rPr>
                <w:rFonts w:cs="Arial"/>
              </w:rPr>
            </w:pPr>
            <w:r w:rsidRPr="009B7B35">
              <w:rPr>
                <w:rFonts w:cs="Arial"/>
              </w:rPr>
              <w:t>Development within the public safety areas, as identified on the Airport Environs Overlay Map, does not involve:</w:t>
            </w:r>
          </w:p>
          <w:p w14:paraId="0BD7E5AE" w14:textId="77777777" w:rsidR="00BE36FB" w:rsidRPr="009B7B35" w:rsidRDefault="00BE36FB" w:rsidP="00BE36FB">
            <w:pPr>
              <w:pStyle w:val="TableText"/>
              <w:numPr>
                <w:ilvl w:val="0"/>
                <w:numId w:val="636"/>
              </w:numPr>
              <w:rPr>
                <w:rFonts w:cs="Arial"/>
              </w:rPr>
            </w:pPr>
            <w:r w:rsidRPr="009B7B35">
              <w:rPr>
                <w:rFonts w:cs="Arial"/>
              </w:rPr>
              <w:t>residential or sensitive land uses</w:t>
            </w:r>
          </w:p>
          <w:p w14:paraId="7492FECD" w14:textId="77777777" w:rsidR="00BE36FB" w:rsidRPr="009B7B35" w:rsidRDefault="00BE36FB" w:rsidP="00BE36FB">
            <w:pPr>
              <w:pStyle w:val="TableText"/>
              <w:numPr>
                <w:ilvl w:val="0"/>
                <w:numId w:val="636"/>
              </w:numPr>
              <w:rPr>
                <w:rFonts w:cs="Arial"/>
              </w:rPr>
            </w:pPr>
            <w:r w:rsidRPr="009B7B35">
              <w:rPr>
                <w:rFonts w:cs="Arial"/>
              </w:rPr>
              <w:t>any new building or increase in GFA for any existing business, industrial, community, sport and recreation uses or other non–residential use, or</w:t>
            </w:r>
          </w:p>
          <w:p w14:paraId="46460053" w14:textId="77777777" w:rsidR="00BE36FB" w:rsidRPr="009B7B35" w:rsidRDefault="00BE36FB" w:rsidP="00BE36FB">
            <w:pPr>
              <w:pStyle w:val="TableText"/>
              <w:numPr>
                <w:ilvl w:val="0"/>
                <w:numId w:val="636"/>
              </w:numPr>
              <w:rPr>
                <w:rFonts w:cs="Arial"/>
              </w:rPr>
            </w:pPr>
            <w:r w:rsidRPr="009B7B35">
              <w:rPr>
                <w:rFonts w:cs="Arial"/>
              </w:rPr>
              <w:t xml:space="preserve">any uses involving the production, manufacture or bulk storage of flammable or hazardous materials or goods. </w:t>
            </w:r>
          </w:p>
        </w:tc>
      </w:tr>
      <w:tr w:rsidR="00BE36FB" w:rsidRPr="009B7B35" w14:paraId="1FEEAB55" w14:textId="77777777" w:rsidTr="001A7107">
        <w:trPr>
          <w:cantSplit/>
        </w:trPr>
        <w:tc>
          <w:tcPr>
            <w:tcW w:w="9356" w:type="dxa"/>
            <w:gridSpan w:val="2"/>
            <w:shd w:val="clear" w:color="auto" w:fill="BFBFBF" w:themeFill="background1" w:themeFillShade="BF"/>
          </w:tcPr>
          <w:p w14:paraId="0DF2352D" w14:textId="77777777" w:rsidR="00BE36FB" w:rsidRPr="009B7B35" w:rsidRDefault="00BE36FB" w:rsidP="001A7107">
            <w:pPr>
              <w:pStyle w:val="Tableheading"/>
              <w:rPr>
                <w:rFonts w:ascii="Arial" w:hAnsi="Arial" w:cs="Arial"/>
                <w:szCs w:val="20"/>
              </w:rPr>
            </w:pPr>
            <w:r w:rsidRPr="009B7B35">
              <w:rPr>
                <w:rFonts w:ascii="Arial" w:hAnsi="Arial" w:cs="Arial"/>
                <w:szCs w:val="20"/>
              </w:rPr>
              <w:t>Noise</w:t>
            </w:r>
          </w:p>
        </w:tc>
      </w:tr>
      <w:tr w:rsidR="00BE36FB" w:rsidRPr="009B7B35" w14:paraId="06512147" w14:textId="77777777" w:rsidTr="001A7107">
        <w:trPr>
          <w:cantSplit/>
        </w:trPr>
        <w:tc>
          <w:tcPr>
            <w:tcW w:w="4678" w:type="dxa"/>
            <w:vMerge w:val="restart"/>
          </w:tcPr>
          <w:p w14:paraId="222FA742" w14:textId="77777777" w:rsidR="00BE36FB" w:rsidRPr="009B7B35" w:rsidRDefault="00BE36FB" w:rsidP="001A7107">
            <w:pPr>
              <w:pStyle w:val="TableText"/>
              <w:rPr>
                <w:rFonts w:cs="Arial"/>
                <w:b/>
              </w:rPr>
            </w:pPr>
            <w:r w:rsidRPr="009B7B35">
              <w:rPr>
                <w:rFonts w:cs="Arial"/>
                <w:b/>
              </w:rPr>
              <w:t>PO8</w:t>
            </w:r>
          </w:p>
          <w:p w14:paraId="19305E7A" w14:textId="77777777" w:rsidR="00BE36FB" w:rsidRPr="009B7B35" w:rsidRDefault="00BE36FB" w:rsidP="001A7107">
            <w:pPr>
              <w:pStyle w:val="TableText"/>
              <w:rPr>
                <w:rFonts w:cs="Arial"/>
              </w:rPr>
            </w:pPr>
            <w:r w:rsidRPr="009B7B35">
              <w:rPr>
                <w:rFonts w:cs="Arial"/>
              </w:rPr>
              <w:t>Development is:</w:t>
            </w:r>
          </w:p>
          <w:p w14:paraId="6FA53D71" w14:textId="77777777" w:rsidR="00BE36FB" w:rsidRPr="009B7B35" w:rsidRDefault="00BE36FB" w:rsidP="00BE36FB">
            <w:pPr>
              <w:pStyle w:val="TableText"/>
              <w:numPr>
                <w:ilvl w:val="0"/>
                <w:numId w:val="637"/>
              </w:numPr>
              <w:rPr>
                <w:rFonts w:cs="Arial"/>
              </w:rPr>
            </w:pPr>
            <w:r w:rsidRPr="009B7B35">
              <w:rPr>
                <w:rFonts w:cs="Arial"/>
              </w:rPr>
              <w:t>appropriately located and designed to prevent adverse impacts from aircraft noise</w:t>
            </w:r>
          </w:p>
          <w:p w14:paraId="31331110" w14:textId="77777777" w:rsidR="00BE36FB" w:rsidRPr="009B7B35" w:rsidRDefault="00BE36FB" w:rsidP="00BE36FB">
            <w:pPr>
              <w:pStyle w:val="TableText"/>
              <w:numPr>
                <w:ilvl w:val="0"/>
                <w:numId w:val="637"/>
              </w:numPr>
              <w:rPr>
                <w:rFonts w:cs="Arial"/>
              </w:rPr>
            </w:pPr>
            <w:r w:rsidRPr="009B7B35">
              <w:rPr>
                <w:rFonts w:cs="Arial"/>
              </w:rPr>
              <w:t>compatible with the forecast levels of the aircraft noise identified in Table 8.2.2.3.3 unless there:</w:t>
            </w:r>
          </w:p>
          <w:p w14:paraId="0F2253C7" w14:textId="77777777" w:rsidR="00BE36FB" w:rsidRPr="009B7B35" w:rsidRDefault="00BE36FB" w:rsidP="00BE36FB">
            <w:pPr>
              <w:pStyle w:val="TableText"/>
              <w:numPr>
                <w:ilvl w:val="1"/>
                <w:numId w:val="637"/>
              </w:numPr>
              <w:rPr>
                <w:rFonts w:cs="Arial"/>
              </w:rPr>
            </w:pPr>
            <w:r w:rsidRPr="009B7B35">
              <w:rPr>
                <w:rFonts w:cs="Arial"/>
              </w:rPr>
              <w:t>is an overriding need in the public interest, and</w:t>
            </w:r>
          </w:p>
          <w:p w14:paraId="32F4BF47" w14:textId="77777777" w:rsidR="00BE36FB" w:rsidRPr="009B7B35" w:rsidRDefault="00BE36FB" w:rsidP="00BE36FB">
            <w:pPr>
              <w:pStyle w:val="TableText"/>
              <w:numPr>
                <w:ilvl w:val="1"/>
                <w:numId w:val="637"/>
              </w:numPr>
              <w:rPr>
                <w:rFonts w:cs="Arial"/>
              </w:rPr>
            </w:pPr>
            <w:r w:rsidRPr="009B7B35">
              <w:rPr>
                <w:rFonts w:cs="Arial"/>
              </w:rPr>
              <w:t>is not a reasonable alternative site available for the use, and</w:t>
            </w:r>
          </w:p>
          <w:p w14:paraId="725AD34B" w14:textId="77777777" w:rsidR="00BE36FB" w:rsidRPr="009B7B35" w:rsidRDefault="00BE36FB" w:rsidP="00BE36FB">
            <w:pPr>
              <w:pStyle w:val="TableText"/>
              <w:numPr>
                <w:ilvl w:val="1"/>
                <w:numId w:val="637"/>
              </w:numPr>
              <w:rPr>
                <w:rFonts w:cs="Arial"/>
              </w:rPr>
            </w:pPr>
            <w:r w:rsidRPr="009B7B35">
              <w:rPr>
                <w:rFonts w:cs="Arial"/>
              </w:rPr>
              <w:t>are noise attenuation measures such as double glazing, mechanical ventilation and concrete masonry external walls.</w:t>
            </w:r>
          </w:p>
          <w:p w14:paraId="2168CF8C" w14:textId="77777777" w:rsidR="00BE36FB" w:rsidRPr="009B7B35" w:rsidRDefault="00BE36FB" w:rsidP="001A7107">
            <w:pPr>
              <w:pStyle w:val="Notes"/>
              <w:rPr>
                <w:rFonts w:cs="Arial"/>
                <w:sz w:val="20"/>
                <w:szCs w:val="20"/>
              </w:rPr>
            </w:pPr>
            <w:r w:rsidRPr="009B7B35">
              <w:rPr>
                <w:rFonts w:cs="Arial"/>
                <w:sz w:val="20"/>
                <w:szCs w:val="20"/>
              </w:rPr>
              <w:t>Note—Where the acceptable outcomes cannot be met, an appropriately qualified acoustic practitioner may be required to be engaged in order to demonstrate compliance with this performance outcome.</w:t>
            </w:r>
          </w:p>
        </w:tc>
        <w:tc>
          <w:tcPr>
            <w:tcW w:w="4678" w:type="dxa"/>
          </w:tcPr>
          <w:p w14:paraId="4CEEE588" w14:textId="77777777" w:rsidR="00BE36FB" w:rsidRPr="009B7B35" w:rsidRDefault="00BE36FB" w:rsidP="001A7107">
            <w:pPr>
              <w:pStyle w:val="TableText"/>
              <w:rPr>
                <w:rFonts w:cs="Arial"/>
                <w:b/>
              </w:rPr>
            </w:pPr>
            <w:r w:rsidRPr="009B7B35">
              <w:rPr>
                <w:rFonts w:cs="Arial"/>
                <w:b/>
              </w:rPr>
              <w:t>AO8.1</w:t>
            </w:r>
          </w:p>
          <w:p w14:paraId="03E86AAD" w14:textId="77777777" w:rsidR="00BE36FB" w:rsidRPr="009B7B35" w:rsidRDefault="00BE36FB" w:rsidP="001A7107">
            <w:pPr>
              <w:pStyle w:val="TableText"/>
              <w:rPr>
                <w:rFonts w:cs="Arial"/>
              </w:rPr>
            </w:pPr>
            <w:r w:rsidRPr="009B7B35">
              <w:rPr>
                <w:rFonts w:cs="Arial"/>
              </w:rPr>
              <w:t>Reconfiguring a lot does not occur within the Australian Noise Exposure Forecast (ANEF) 25 - 30 or 30 - 35 contour area as identified on the Airport Environs Overlay Map.</w:t>
            </w:r>
          </w:p>
        </w:tc>
      </w:tr>
      <w:tr w:rsidR="00BE36FB" w:rsidRPr="009B7B35" w14:paraId="53DD05E8" w14:textId="77777777" w:rsidTr="001A7107">
        <w:trPr>
          <w:cantSplit/>
        </w:trPr>
        <w:tc>
          <w:tcPr>
            <w:tcW w:w="4678" w:type="dxa"/>
            <w:vMerge/>
          </w:tcPr>
          <w:p w14:paraId="71765DA2" w14:textId="77777777" w:rsidR="00BE36FB" w:rsidRPr="009B7B35" w:rsidRDefault="00BE36FB" w:rsidP="001A7107">
            <w:pPr>
              <w:pStyle w:val="TableText"/>
              <w:rPr>
                <w:rFonts w:cs="Arial"/>
              </w:rPr>
            </w:pPr>
          </w:p>
        </w:tc>
        <w:tc>
          <w:tcPr>
            <w:tcW w:w="4678" w:type="dxa"/>
          </w:tcPr>
          <w:p w14:paraId="64F2FC92" w14:textId="77777777" w:rsidR="00BE36FB" w:rsidRPr="009B7B35" w:rsidRDefault="00BE36FB" w:rsidP="001A7107">
            <w:pPr>
              <w:pStyle w:val="TableText"/>
              <w:rPr>
                <w:rFonts w:cs="Arial"/>
                <w:b/>
              </w:rPr>
            </w:pPr>
            <w:r w:rsidRPr="009B7B35">
              <w:rPr>
                <w:rFonts w:cs="Arial"/>
                <w:b/>
              </w:rPr>
              <w:t>AO8</w:t>
            </w:r>
            <w:r w:rsidRPr="009B7B35">
              <w:rPr>
                <w:rStyle w:val="Strong"/>
                <w:rFonts w:eastAsiaTheme="majorEastAsia" w:cs="Arial"/>
              </w:rPr>
              <w:t>.2</w:t>
            </w:r>
          </w:p>
          <w:p w14:paraId="58D05C75" w14:textId="77777777" w:rsidR="00BE36FB" w:rsidRPr="009B7B35" w:rsidRDefault="00BE36FB" w:rsidP="001A7107">
            <w:pPr>
              <w:pStyle w:val="TableText"/>
              <w:rPr>
                <w:rFonts w:cs="Arial"/>
              </w:rPr>
            </w:pPr>
            <w:r w:rsidRPr="009B7B35">
              <w:rPr>
                <w:rFonts w:cs="Arial"/>
              </w:rPr>
              <w:t>Within the Australian Noise Exposure Forecast (ANEF) 30 - 35 contour area, as identified on the Airport Environs Overlay Map development does not include the following uses:</w:t>
            </w:r>
          </w:p>
          <w:p w14:paraId="4C77D22A" w14:textId="77777777" w:rsidR="00BE36FB" w:rsidRPr="009B7B35" w:rsidRDefault="00BE36FB" w:rsidP="00BE36FB">
            <w:pPr>
              <w:pStyle w:val="TableText"/>
              <w:numPr>
                <w:ilvl w:val="0"/>
                <w:numId w:val="638"/>
              </w:numPr>
              <w:rPr>
                <w:rFonts w:cs="Arial"/>
              </w:rPr>
            </w:pPr>
            <w:r w:rsidRPr="009B7B35">
              <w:rPr>
                <w:rFonts w:cs="Arial"/>
              </w:rPr>
              <w:t>accommodation activities (except Non–resident workforce accommodation), or</w:t>
            </w:r>
          </w:p>
          <w:p w14:paraId="2BC6710C" w14:textId="77777777" w:rsidR="00BE36FB" w:rsidRPr="009B7B35" w:rsidRDefault="00BE36FB" w:rsidP="00BE36FB">
            <w:pPr>
              <w:pStyle w:val="TableText"/>
              <w:numPr>
                <w:ilvl w:val="0"/>
                <w:numId w:val="638"/>
              </w:numPr>
              <w:rPr>
                <w:rFonts w:cs="Arial"/>
              </w:rPr>
            </w:pPr>
            <w:r w:rsidRPr="009B7B35">
              <w:rPr>
                <w:rFonts w:cs="Arial"/>
              </w:rPr>
              <w:t xml:space="preserve">educational establishment, or </w:t>
            </w:r>
          </w:p>
          <w:p w14:paraId="76EBA063" w14:textId="77777777" w:rsidR="00BE36FB" w:rsidRPr="009B7B35" w:rsidRDefault="00BE36FB" w:rsidP="00BE36FB">
            <w:pPr>
              <w:pStyle w:val="TableText"/>
              <w:numPr>
                <w:ilvl w:val="0"/>
                <w:numId w:val="638"/>
              </w:numPr>
              <w:rPr>
                <w:rFonts w:cs="Arial"/>
              </w:rPr>
            </w:pPr>
            <w:r w:rsidRPr="009B7B35">
              <w:rPr>
                <w:rFonts w:cs="Arial"/>
              </w:rPr>
              <w:t xml:space="preserve">hospital, or </w:t>
            </w:r>
          </w:p>
          <w:p w14:paraId="4874FDA9" w14:textId="77777777" w:rsidR="00BE36FB" w:rsidRPr="009B7B35" w:rsidRDefault="00BE36FB" w:rsidP="00BE36FB">
            <w:pPr>
              <w:pStyle w:val="TableText"/>
              <w:numPr>
                <w:ilvl w:val="0"/>
                <w:numId w:val="638"/>
              </w:numPr>
              <w:rPr>
                <w:rFonts w:cs="Arial"/>
              </w:rPr>
            </w:pPr>
            <w:r w:rsidRPr="009B7B35">
              <w:rPr>
                <w:rFonts w:cs="Arial"/>
              </w:rPr>
              <w:t>community activities, or</w:t>
            </w:r>
          </w:p>
          <w:p w14:paraId="4B34146F" w14:textId="77777777" w:rsidR="00BE36FB" w:rsidRPr="009B7B35" w:rsidRDefault="00BE36FB" w:rsidP="00BE36FB">
            <w:pPr>
              <w:pStyle w:val="TableText"/>
              <w:numPr>
                <w:ilvl w:val="0"/>
                <w:numId w:val="638"/>
              </w:numPr>
              <w:rPr>
                <w:rFonts w:cs="Arial"/>
              </w:rPr>
            </w:pPr>
            <w:r w:rsidRPr="009B7B35">
              <w:rPr>
                <w:rFonts w:cs="Arial"/>
              </w:rPr>
              <w:t>business activities (except office), or</w:t>
            </w:r>
          </w:p>
          <w:p w14:paraId="2800D093" w14:textId="77777777" w:rsidR="00BE36FB" w:rsidRPr="009B7B35" w:rsidRDefault="00BE36FB" w:rsidP="00BE36FB">
            <w:pPr>
              <w:pStyle w:val="TableText"/>
              <w:numPr>
                <w:ilvl w:val="0"/>
                <w:numId w:val="638"/>
              </w:numPr>
              <w:rPr>
                <w:rFonts w:cs="Arial"/>
              </w:rPr>
            </w:pPr>
            <w:r w:rsidRPr="009B7B35">
              <w:rPr>
                <w:rFonts w:cs="Arial"/>
              </w:rPr>
              <w:t xml:space="preserve">recreational activities, or </w:t>
            </w:r>
          </w:p>
          <w:p w14:paraId="424E609C" w14:textId="77777777" w:rsidR="00BE36FB" w:rsidRPr="009B7B35" w:rsidRDefault="00BE36FB" w:rsidP="00BE36FB">
            <w:pPr>
              <w:pStyle w:val="TableText"/>
              <w:numPr>
                <w:ilvl w:val="0"/>
                <w:numId w:val="638"/>
              </w:numPr>
              <w:rPr>
                <w:rFonts w:cs="Arial"/>
              </w:rPr>
            </w:pPr>
            <w:r w:rsidRPr="009B7B35">
              <w:rPr>
                <w:rFonts w:cs="Arial"/>
              </w:rPr>
              <w:t>entertainment activities.</w:t>
            </w:r>
          </w:p>
        </w:tc>
      </w:tr>
      <w:tr w:rsidR="00BE36FB" w:rsidRPr="009B7B35" w14:paraId="489A4E2C" w14:textId="77777777" w:rsidTr="001A7107">
        <w:trPr>
          <w:cantSplit/>
        </w:trPr>
        <w:tc>
          <w:tcPr>
            <w:tcW w:w="4678" w:type="dxa"/>
            <w:vMerge/>
          </w:tcPr>
          <w:p w14:paraId="613868D3" w14:textId="77777777" w:rsidR="00BE36FB" w:rsidRPr="009B7B35" w:rsidRDefault="00BE36FB" w:rsidP="001A7107">
            <w:pPr>
              <w:pStyle w:val="TableText"/>
              <w:rPr>
                <w:rFonts w:cs="Arial"/>
              </w:rPr>
            </w:pPr>
          </w:p>
        </w:tc>
        <w:tc>
          <w:tcPr>
            <w:tcW w:w="4678" w:type="dxa"/>
          </w:tcPr>
          <w:p w14:paraId="4C1A54CC"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AO8.3</w:t>
            </w:r>
          </w:p>
          <w:p w14:paraId="2933F066" w14:textId="77777777" w:rsidR="00BE36FB" w:rsidRPr="009B7B35" w:rsidRDefault="00BE36FB" w:rsidP="001A7107">
            <w:pPr>
              <w:pStyle w:val="TableText"/>
              <w:rPr>
                <w:rFonts w:cs="Arial"/>
              </w:rPr>
            </w:pPr>
            <w:r w:rsidRPr="009B7B35">
              <w:rPr>
                <w:rFonts w:cs="Arial"/>
              </w:rPr>
              <w:t>Within the Australian Noise Exposure Forecast (ANEF) 25 - 30 contour area, as identified on the Airport Environs Overlay Map development is a minimum of 500m from the airport's runway and must achieve compliance with the indoor design level requirements of Table 8.2.2.3.3.</w:t>
            </w:r>
          </w:p>
        </w:tc>
      </w:tr>
    </w:tbl>
    <w:p w14:paraId="62B5D502" w14:textId="77777777" w:rsidR="00BE36FB" w:rsidRPr="009B7B35" w:rsidRDefault="00BE36FB" w:rsidP="001A7107">
      <w:pPr>
        <w:pStyle w:val="Heading5"/>
        <w:numPr>
          <w:ilvl w:val="0"/>
          <w:numId w:val="0"/>
        </w:numPr>
        <w:rPr>
          <w:rFonts w:cs="Arial"/>
          <w:szCs w:val="20"/>
        </w:rPr>
      </w:pPr>
      <w:r w:rsidRPr="009B7B35">
        <w:rPr>
          <w:rFonts w:cs="Arial"/>
          <w:szCs w:val="20"/>
        </w:rPr>
        <w:t>Table 8.2.2.3.2—Land uses associated with increases in wildlife strikes and hazards</w:t>
      </w:r>
    </w:p>
    <w:tbl>
      <w:tblPr>
        <w:tblStyle w:val="Tablestyle"/>
        <w:tblW w:w="0" w:type="auto"/>
        <w:tblLook w:val="0620" w:firstRow="1" w:lastRow="0" w:firstColumn="0" w:lastColumn="0" w:noHBand="1" w:noVBand="1"/>
      </w:tblPr>
      <w:tblGrid>
        <w:gridCol w:w="4118"/>
        <w:gridCol w:w="4245"/>
      </w:tblGrid>
      <w:tr w:rsidR="00BE36FB" w:rsidRPr="009B7B35" w14:paraId="23371E7C" w14:textId="77777777" w:rsidTr="001A7107">
        <w:trPr>
          <w:cnfStyle w:val="100000000000" w:firstRow="1" w:lastRow="0" w:firstColumn="0" w:lastColumn="0" w:oddVBand="0" w:evenVBand="0" w:oddHBand="0" w:evenHBand="0" w:firstRowFirstColumn="0" w:firstRowLastColumn="0" w:lastRowFirstColumn="0" w:lastRowLastColumn="0"/>
        </w:trPr>
        <w:tc>
          <w:tcPr>
            <w:tcW w:w="4678" w:type="dxa"/>
          </w:tcPr>
          <w:p w14:paraId="74B9A48F" w14:textId="77777777" w:rsidR="00BE36FB" w:rsidRPr="009B7B35" w:rsidRDefault="00BE36FB" w:rsidP="001A7107">
            <w:pPr>
              <w:pStyle w:val="Tableheading"/>
              <w:rPr>
                <w:rFonts w:ascii="Arial" w:hAnsi="Arial" w:cs="Arial"/>
                <w:szCs w:val="20"/>
              </w:rPr>
            </w:pPr>
            <w:r w:rsidRPr="009B7B35">
              <w:rPr>
                <w:rFonts w:ascii="Arial" w:hAnsi="Arial" w:cs="Arial"/>
                <w:szCs w:val="20"/>
              </w:rPr>
              <w:t>Column 1</w:t>
            </w:r>
            <w:r w:rsidRPr="009B7B35">
              <w:rPr>
                <w:rFonts w:ascii="Arial" w:hAnsi="Arial" w:cs="Arial"/>
                <w:szCs w:val="20"/>
              </w:rPr>
              <w:br/>
              <w:t>High risk</w:t>
            </w:r>
          </w:p>
        </w:tc>
        <w:tc>
          <w:tcPr>
            <w:tcW w:w="4678" w:type="dxa"/>
          </w:tcPr>
          <w:p w14:paraId="10EB054D" w14:textId="77777777" w:rsidR="00BE36FB" w:rsidRPr="009B7B35" w:rsidRDefault="00BE36FB" w:rsidP="001A7107">
            <w:pPr>
              <w:pStyle w:val="Tableheading"/>
              <w:rPr>
                <w:rFonts w:ascii="Arial" w:hAnsi="Arial" w:cs="Arial"/>
                <w:szCs w:val="20"/>
              </w:rPr>
            </w:pPr>
            <w:r w:rsidRPr="009B7B35">
              <w:rPr>
                <w:rFonts w:ascii="Arial" w:hAnsi="Arial" w:cs="Arial"/>
                <w:szCs w:val="20"/>
              </w:rPr>
              <w:t>Column 2</w:t>
            </w:r>
            <w:r w:rsidRPr="009B7B35">
              <w:rPr>
                <w:rFonts w:ascii="Arial" w:hAnsi="Arial" w:cs="Arial"/>
                <w:szCs w:val="20"/>
              </w:rPr>
              <w:br/>
              <w:t>Moderate risk</w:t>
            </w:r>
          </w:p>
        </w:tc>
      </w:tr>
      <w:tr w:rsidR="00BE36FB" w:rsidRPr="009B7B35" w14:paraId="6D836B14" w14:textId="77777777" w:rsidTr="001A7107">
        <w:tc>
          <w:tcPr>
            <w:tcW w:w="4678" w:type="dxa"/>
          </w:tcPr>
          <w:p w14:paraId="149947C7" w14:textId="77777777" w:rsidR="00BE36FB" w:rsidRPr="009B7B35" w:rsidRDefault="00BE36FB" w:rsidP="001A7107">
            <w:pPr>
              <w:pStyle w:val="TableText"/>
              <w:rPr>
                <w:rFonts w:cs="Arial"/>
                <w:b/>
              </w:rPr>
            </w:pPr>
            <w:r w:rsidRPr="009B7B35">
              <w:rPr>
                <w:rFonts w:cs="Arial"/>
                <w:b/>
              </w:rPr>
              <w:t>Rural activities</w:t>
            </w:r>
            <w:r w:rsidRPr="009B7B35">
              <w:rPr>
                <w:rFonts w:cs="Arial"/>
              </w:rPr>
              <w:t>:</w:t>
            </w:r>
          </w:p>
          <w:p w14:paraId="576350C5" w14:textId="77777777" w:rsidR="00BE36FB" w:rsidRPr="009B7B35" w:rsidRDefault="00BE36FB" w:rsidP="00BE36FB">
            <w:pPr>
              <w:pStyle w:val="TableText"/>
              <w:numPr>
                <w:ilvl w:val="0"/>
                <w:numId w:val="639"/>
              </w:numPr>
              <w:rPr>
                <w:rFonts w:cs="Arial"/>
              </w:rPr>
            </w:pPr>
            <w:r w:rsidRPr="009B7B35">
              <w:rPr>
                <w:rFonts w:cs="Arial"/>
              </w:rPr>
              <w:t>cropping (turf farm)</w:t>
            </w:r>
          </w:p>
          <w:p w14:paraId="181E673E" w14:textId="77777777" w:rsidR="00BE36FB" w:rsidRPr="009B7B35" w:rsidRDefault="00BE36FB" w:rsidP="00BE36FB">
            <w:pPr>
              <w:pStyle w:val="TableText"/>
              <w:numPr>
                <w:ilvl w:val="0"/>
                <w:numId w:val="639"/>
              </w:numPr>
              <w:rPr>
                <w:rFonts w:cs="Arial"/>
              </w:rPr>
            </w:pPr>
            <w:r w:rsidRPr="009B7B35">
              <w:rPr>
                <w:rFonts w:cs="Arial"/>
              </w:rPr>
              <w:t>cropping (fruit tree farm)</w:t>
            </w:r>
          </w:p>
          <w:p w14:paraId="616B688C" w14:textId="77777777" w:rsidR="00BE36FB" w:rsidRPr="009B7B35" w:rsidRDefault="00BE36FB" w:rsidP="00BE36FB">
            <w:pPr>
              <w:pStyle w:val="TableText"/>
              <w:numPr>
                <w:ilvl w:val="0"/>
                <w:numId w:val="639"/>
              </w:numPr>
              <w:rPr>
                <w:rFonts w:cs="Arial"/>
              </w:rPr>
            </w:pPr>
            <w:r w:rsidRPr="009B7B35">
              <w:rPr>
                <w:rFonts w:cs="Arial"/>
              </w:rPr>
              <w:t>intensive animal industry (piggery)</w:t>
            </w:r>
          </w:p>
          <w:p w14:paraId="7096B772" w14:textId="77777777" w:rsidR="00BE36FB" w:rsidRPr="009B7B35" w:rsidRDefault="00BE36FB" w:rsidP="00BE36FB">
            <w:pPr>
              <w:pStyle w:val="TableText"/>
              <w:numPr>
                <w:ilvl w:val="0"/>
                <w:numId w:val="639"/>
              </w:numPr>
              <w:rPr>
                <w:rFonts w:cs="Arial"/>
              </w:rPr>
            </w:pPr>
            <w:r w:rsidRPr="009B7B35">
              <w:rPr>
                <w:rFonts w:cs="Arial"/>
              </w:rPr>
              <w:t>aquaculture (fish processing/packing plant)</w:t>
            </w:r>
          </w:p>
          <w:p w14:paraId="61088287" w14:textId="77777777" w:rsidR="00BE36FB" w:rsidRPr="009B7B35" w:rsidRDefault="00BE36FB" w:rsidP="00BE36FB">
            <w:pPr>
              <w:pStyle w:val="TableText"/>
              <w:numPr>
                <w:ilvl w:val="0"/>
                <w:numId w:val="639"/>
              </w:numPr>
              <w:rPr>
                <w:rFonts w:cs="Arial"/>
              </w:rPr>
            </w:pPr>
            <w:r w:rsidRPr="009B7B35">
              <w:rPr>
                <w:rFonts w:cs="Arial"/>
              </w:rPr>
              <w:t>animal keeping, where involving wildlife or bird sanctuary.</w:t>
            </w:r>
          </w:p>
          <w:p w14:paraId="1E846776" w14:textId="77777777" w:rsidR="00BE36FB" w:rsidRPr="009B7B35" w:rsidRDefault="00BE36FB" w:rsidP="001A7107">
            <w:pPr>
              <w:pStyle w:val="TableText"/>
              <w:rPr>
                <w:rFonts w:cs="Arial"/>
                <w:b/>
              </w:rPr>
            </w:pPr>
            <w:r w:rsidRPr="009B7B35">
              <w:rPr>
                <w:rFonts w:cs="Arial"/>
                <w:b/>
              </w:rPr>
              <w:t>Conservation</w:t>
            </w:r>
            <w:r w:rsidRPr="009B7B35">
              <w:rPr>
                <w:rFonts w:cs="Arial"/>
              </w:rPr>
              <w:t>:</w:t>
            </w:r>
          </w:p>
          <w:p w14:paraId="5881DB5A" w14:textId="77777777" w:rsidR="00BE36FB" w:rsidRPr="009B7B35" w:rsidRDefault="00BE36FB" w:rsidP="00BE36FB">
            <w:pPr>
              <w:pStyle w:val="TableText"/>
              <w:numPr>
                <w:ilvl w:val="0"/>
                <w:numId w:val="639"/>
              </w:numPr>
              <w:rPr>
                <w:rFonts w:cs="Arial"/>
              </w:rPr>
            </w:pPr>
            <w:r w:rsidRPr="009B7B35">
              <w:rPr>
                <w:rFonts w:cs="Arial"/>
              </w:rPr>
              <w:t>conservation estate (e.g. wetland).</w:t>
            </w:r>
          </w:p>
          <w:p w14:paraId="08C90276" w14:textId="77777777" w:rsidR="00BE36FB" w:rsidRPr="009B7B35" w:rsidRDefault="00BE36FB" w:rsidP="001A7107">
            <w:pPr>
              <w:pStyle w:val="TableText"/>
              <w:rPr>
                <w:rFonts w:cs="Arial"/>
                <w:b/>
              </w:rPr>
            </w:pPr>
            <w:r w:rsidRPr="009B7B35">
              <w:rPr>
                <w:rFonts w:cs="Arial"/>
                <w:b/>
              </w:rPr>
              <w:t>Recreation activities</w:t>
            </w:r>
            <w:r w:rsidRPr="009B7B35">
              <w:rPr>
                <w:rFonts w:cs="Arial"/>
              </w:rPr>
              <w:t>:</w:t>
            </w:r>
          </w:p>
          <w:p w14:paraId="22701886" w14:textId="77777777" w:rsidR="00BE36FB" w:rsidRPr="009B7B35" w:rsidRDefault="00BE36FB" w:rsidP="00BE36FB">
            <w:pPr>
              <w:pStyle w:val="TableText"/>
              <w:numPr>
                <w:ilvl w:val="0"/>
                <w:numId w:val="639"/>
              </w:numPr>
              <w:rPr>
                <w:rFonts w:cs="Arial"/>
                <w:w w:val="99"/>
              </w:rPr>
            </w:pPr>
            <w:r w:rsidRPr="009B7B35">
              <w:rPr>
                <w:rFonts w:cs="Arial"/>
                <w:w w:val="99"/>
              </w:rPr>
              <w:t>major sport, recreation, entertainment facility (showground, including pyrotechnic displays).</w:t>
            </w:r>
          </w:p>
          <w:p w14:paraId="4169943D" w14:textId="77777777" w:rsidR="00BE36FB" w:rsidRPr="009B7B35" w:rsidRDefault="00BE36FB" w:rsidP="001A7107">
            <w:pPr>
              <w:pStyle w:val="TableText"/>
              <w:rPr>
                <w:rFonts w:cs="Arial"/>
                <w:b/>
              </w:rPr>
            </w:pPr>
            <w:r w:rsidRPr="009B7B35">
              <w:rPr>
                <w:rFonts w:cs="Arial"/>
                <w:b/>
              </w:rPr>
              <w:t>Industry activities</w:t>
            </w:r>
            <w:r w:rsidRPr="009B7B35">
              <w:rPr>
                <w:rFonts w:cs="Arial"/>
              </w:rPr>
              <w:t>:</w:t>
            </w:r>
          </w:p>
          <w:p w14:paraId="0A68AD8C" w14:textId="77777777" w:rsidR="00BE36FB" w:rsidRPr="009B7B35" w:rsidRDefault="00BE36FB" w:rsidP="00BE36FB">
            <w:pPr>
              <w:pStyle w:val="TableText"/>
              <w:numPr>
                <w:ilvl w:val="0"/>
                <w:numId w:val="639"/>
              </w:numPr>
              <w:rPr>
                <w:rFonts w:cs="Arial"/>
              </w:rPr>
            </w:pPr>
            <w:r w:rsidRPr="009B7B35">
              <w:rPr>
                <w:rFonts w:cs="Arial"/>
              </w:rPr>
              <w:t>low–impact industry (food processing plant, stock handling and slaughtering)</w:t>
            </w:r>
          </w:p>
          <w:p w14:paraId="6CD68EFA" w14:textId="77777777" w:rsidR="00BE36FB" w:rsidRPr="009B7B35" w:rsidRDefault="00BE36FB" w:rsidP="00BE36FB">
            <w:pPr>
              <w:pStyle w:val="TableText"/>
              <w:numPr>
                <w:ilvl w:val="0"/>
                <w:numId w:val="639"/>
              </w:numPr>
              <w:rPr>
                <w:rFonts w:cs="Arial"/>
              </w:rPr>
            </w:pPr>
            <w:r w:rsidRPr="009B7B35">
              <w:rPr>
                <w:rFonts w:cs="Arial"/>
              </w:rPr>
              <w:t>high–impact industry (food processing plant, stock handling and slaughtering).</w:t>
            </w:r>
          </w:p>
          <w:p w14:paraId="7E37F2B8" w14:textId="77777777" w:rsidR="00BE36FB" w:rsidRPr="009B7B35" w:rsidRDefault="00BE36FB" w:rsidP="001A7107">
            <w:pPr>
              <w:pStyle w:val="TableText"/>
              <w:rPr>
                <w:rFonts w:cs="Arial"/>
                <w:b/>
              </w:rPr>
            </w:pPr>
            <w:r w:rsidRPr="009B7B35">
              <w:rPr>
                <w:rFonts w:cs="Arial"/>
                <w:b/>
              </w:rPr>
              <w:t>Utility installation</w:t>
            </w:r>
            <w:r w:rsidRPr="009B7B35">
              <w:rPr>
                <w:rFonts w:cs="Arial"/>
              </w:rPr>
              <w:t>:</w:t>
            </w:r>
          </w:p>
          <w:p w14:paraId="43677E3F" w14:textId="77777777" w:rsidR="00BE36FB" w:rsidRPr="009B7B35" w:rsidRDefault="00BE36FB" w:rsidP="00BE36FB">
            <w:pPr>
              <w:pStyle w:val="TableText"/>
              <w:numPr>
                <w:ilvl w:val="0"/>
                <w:numId w:val="639"/>
              </w:numPr>
              <w:rPr>
                <w:rFonts w:cs="Arial"/>
              </w:rPr>
            </w:pPr>
            <w:r w:rsidRPr="009B7B35">
              <w:rPr>
                <w:rFonts w:cs="Arial"/>
              </w:rPr>
              <w:t>food/organic waste facility</w:t>
            </w:r>
          </w:p>
          <w:p w14:paraId="74630509" w14:textId="77777777" w:rsidR="00BE36FB" w:rsidRPr="009B7B35" w:rsidRDefault="00BE36FB" w:rsidP="00BE36FB">
            <w:pPr>
              <w:pStyle w:val="TableText"/>
              <w:numPr>
                <w:ilvl w:val="0"/>
                <w:numId w:val="639"/>
              </w:numPr>
              <w:rPr>
                <w:rFonts w:cs="Arial"/>
              </w:rPr>
            </w:pPr>
            <w:r w:rsidRPr="009B7B35">
              <w:rPr>
                <w:rFonts w:cs="Arial"/>
              </w:rPr>
              <w:t>putrescible waste facility (e.g. landfill, transfer station).</w:t>
            </w:r>
          </w:p>
        </w:tc>
        <w:tc>
          <w:tcPr>
            <w:tcW w:w="4678" w:type="dxa"/>
          </w:tcPr>
          <w:p w14:paraId="15C5156B" w14:textId="77777777" w:rsidR="00BE36FB" w:rsidRPr="009B7B35" w:rsidRDefault="00BE36FB" w:rsidP="001A7107">
            <w:pPr>
              <w:pStyle w:val="TableText"/>
              <w:rPr>
                <w:rFonts w:cs="Arial"/>
                <w:b/>
              </w:rPr>
            </w:pPr>
            <w:r w:rsidRPr="009B7B35">
              <w:rPr>
                <w:rFonts w:cs="Arial"/>
                <w:b/>
              </w:rPr>
              <w:t>Rural activities</w:t>
            </w:r>
            <w:r w:rsidRPr="009B7B35">
              <w:rPr>
                <w:rFonts w:cs="Arial"/>
              </w:rPr>
              <w:t>:</w:t>
            </w:r>
          </w:p>
          <w:p w14:paraId="44D37A1F" w14:textId="77777777" w:rsidR="00BE36FB" w:rsidRPr="009B7B35" w:rsidRDefault="00BE36FB" w:rsidP="00BE36FB">
            <w:pPr>
              <w:pStyle w:val="TableText"/>
              <w:numPr>
                <w:ilvl w:val="0"/>
                <w:numId w:val="640"/>
              </w:numPr>
              <w:rPr>
                <w:rFonts w:cs="Arial"/>
              </w:rPr>
            </w:pPr>
            <w:r w:rsidRPr="009B7B35">
              <w:rPr>
                <w:rFonts w:cs="Arial"/>
              </w:rPr>
              <w:t>animal husbandry (cattle/dairy farm)</w:t>
            </w:r>
          </w:p>
          <w:p w14:paraId="0000BF59" w14:textId="77777777" w:rsidR="00BE36FB" w:rsidRPr="009B7B35" w:rsidRDefault="00BE36FB" w:rsidP="00BE36FB">
            <w:pPr>
              <w:pStyle w:val="TableText"/>
              <w:numPr>
                <w:ilvl w:val="0"/>
                <w:numId w:val="640"/>
              </w:numPr>
              <w:rPr>
                <w:rFonts w:cs="Arial"/>
              </w:rPr>
            </w:pPr>
            <w:r w:rsidRPr="009B7B35">
              <w:rPr>
                <w:rFonts w:cs="Arial"/>
              </w:rPr>
              <w:t>intensive animal industry (poultry farm).</w:t>
            </w:r>
          </w:p>
          <w:p w14:paraId="37B962C5" w14:textId="77777777" w:rsidR="00BE36FB" w:rsidRPr="009B7B35" w:rsidRDefault="00BE36FB" w:rsidP="001A7107">
            <w:pPr>
              <w:pStyle w:val="TableText"/>
              <w:rPr>
                <w:rFonts w:cs="Arial"/>
                <w:b/>
              </w:rPr>
            </w:pPr>
            <w:r w:rsidRPr="009B7B35">
              <w:rPr>
                <w:rFonts w:cs="Arial"/>
                <w:b/>
              </w:rPr>
              <w:t>Conservation</w:t>
            </w:r>
            <w:r w:rsidRPr="009B7B35">
              <w:rPr>
                <w:rFonts w:cs="Arial"/>
              </w:rPr>
              <w:t>:</w:t>
            </w:r>
          </w:p>
          <w:p w14:paraId="5E0EE433" w14:textId="77777777" w:rsidR="00BE36FB" w:rsidRPr="009B7B35" w:rsidRDefault="00BE36FB" w:rsidP="00BE36FB">
            <w:pPr>
              <w:pStyle w:val="TableText"/>
              <w:numPr>
                <w:ilvl w:val="0"/>
                <w:numId w:val="640"/>
              </w:numPr>
              <w:rPr>
                <w:rFonts w:cs="Arial"/>
              </w:rPr>
            </w:pPr>
            <w:r w:rsidRPr="009B7B35">
              <w:rPr>
                <w:rFonts w:cs="Arial"/>
              </w:rPr>
              <w:t>conservation estate (all other).</w:t>
            </w:r>
          </w:p>
          <w:p w14:paraId="7C556ED6" w14:textId="77777777" w:rsidR="00BE36FB" w:rsidRPr="009B7B35" w:rsidRDefault="00BE36FB" w:rsidP="001A7107">
            <w:pPr>
              <w:pStyle w:val="TableText"/>
              <w:rPr>
                <w:rFonts w:cs="Arial"/>
                <w:b/>
              </w:rPr>
            </w:pPr>
            <w:r w:rsidRPr="009B7B35">
              <w:rPr>
                <w:rFonts w:cs="Arial"/>
                <w:b/>
              </w:rPr>
              <w:t>Recreation activities</w:t>
            </w:r>
            <w:r w:rsidRPr="009B7B35">
              <w:rPr>
                <w:rFonts w:cs="Arial"/>
              </w:rPr>
              <w:t>:</w:t>
            </w:r>
          </w:p>
          <w:p w14:paraId="748A00AC" w14:textId="77777777" w:rsidR="00BE36FB" w:rsidRPr="009B7B35" w:rsidRDefault="00BE36FB" w:rsidP="00BE36FB">
            <w:pPr>
              <w:pStyle w:val="TableText"/>
              <w:numPr>
                <w:ilvl w:val="0"/>
                <w:numId w:val="640"/>
              </w:numPr>
              <w:rPr>
                <w:rFonts w:cs="Arial"/>
              </w:rPr>
            </w:pPr>
            <w:r w:rsidRPr="009B7B35">
              <w:rPr>
                <w:rFonts w:cs="Arial"/>
              </w:rPr>
              <w:t>major sport, recreation and entertainment facility (all other, including racecourse)</w:t>
            </w:r>
          </w:p>
          <w:p w14:paraId="6D48CD47" w14:textId="77777777" w:rsidR="00BE36FB" w:rsidRPr="009B7B35" w:rsidRDefault="00BE36FB" w:rsidP="00BE36FB">
            <w:pPr>
              <w:pStyle w:val="TableText"/>
              <w:numPr>
                <w:ilvl w:val="0"/>
                <w:numId w:val="640"/>
              </w:numPr>
              <w:rPr>
                <w:rFonts w:cs="Arial"/>
              </w:rPr>
            </w:pPr>
            <w:r w:rsidRPr="009B7B35">
              <w:rPr>
                <w:rFonts w:cs="Arial"/>
              </w:rPr>
              <w:t>outdoor sport and recreation</w:t>
            </w:r>
          </w:p>
          <w:p w14:paraId="1CF8144E" w14:textId="77777777" w:rsidR="00BE36FB" w:rsidRPr="009B7B35" w:rsidRDefault="00BE36FB" w:rsidP="00BE36FB">
            <w:pPr>
              <w:pStyle w:val="TableText"/>
              <w:numPr>
                <w:ilvl w:val="0"/>
                <w:numId w:val="640"/>
              </w:numPr>
              <w:rPr>
                <w:rFonts w:cs="Arial"/>
              </w:rPr>
            </w:pPr>
            <w:r w:rsidRPr="009B7B35">
              <w:rPr>
                <w:rFonts w:cs="Arial"/>
              </w:rPr>
              <w:t>park</w:t>
            </w:r>
          </w:p>
          <w:p w14:paraId="742FC362" w14:textId="77777777" w:rsidR="00BE36FB" w:rsidRPr="009B7B35" w:rsidRDefault="00BE36FB" w:rsidP="00BE36FB">
            <w:pPr>
              <w:pStyle w:val="TableText"/>
              <w:numPr>
                <w:ilvl w:val="0"/>
                <w:numId w:val="640"/>
              </w:numPr>
              <w:rPr>
                <w:rFonts w:cs="Arial"/>
              </w:rPr>
            </w:pPr>
            <w:r w:rsidRPr="009B7B35">
              <w:rPr>
                <w:rFonts w:cs="Arial"/>
              </w:rPr>
              <w:t>outdoor food and drink outlet with outdoor dining.</w:t>
            </w:r>
          </w:p>
          <w:p w14:paraId="676778A4" w14:textId="77777777" w:rsidR="00BE36FB" w:rsidRPr="009B7B35" w:rsidRDefault="00BE36FB" w:rsidP="001A7107">
            <w:pPr>
              <w:pStyle w:val="TableText"/>
              <w:rPr>
                <w:rFonts w:cs="Arial"/>
                <w:b/>
              </w:rPr>
            </w:pPr>
            <w:r w:rsidRPr="009B7B35">
              <w:rPr>
                <w:rFonts w:cs="Arial"/>
                <w:b/>
              </w:rPr>
              <w:t>Utility installation</w:t>
            </w:r>
            <w:r w:rsidRPr="009B7B35">
              <w:rPr>
                <w:rFonts w:cs="Arial"/>
              </w:rPr>
              <w:t>:</w:t>
            </w:r>
          </w:p>
          <w:p w14:paraId="078C171B" w14:textId="77777777" w:rsidR="00BE36FB" w:rsidRPr="009B7B35" w:rsidRDefault="00BE36FB" w:rsidP="00BE36FB">
            <w:pPr>
              <w:pStyle w:val="TableText"/>
              <w:numPr>
                <w:ilvl w:val="0"/>
                <w:numId w:val="640"/>
              </w:numPr>
              <w:rPr>
                <w:rFonts w:cs="Arial"/>
              </w:rPr>
            </w:pPr>
            <w:r w:rsidRPr="009B7B35">
              <w:rPr>
                <w:rFonts w:cs="Arial"/>
              </w:rPr>
              <w:t>non–putrescible waste facility (e.g. landfill, transfer station)</w:t>
            </w:r>
          </w:p>
          <w:p w14:paraId="245F0D06" w14:textId="77777777" w:rsidR="00BE36FB" w:rsidRPr="009B7B35" w:rsidRDefault="00BE36FB" w:rsidP="00BE36FB">
            <w:pPr>
              <w:pStyle w:val="TableText"/>
              <w:numPr>
                <w:ilvl w:val="0"/>
                <w:numId w:val="640"/>
              </w:numPr>
              <w:rPr>
                <w:rFonts w:cs="Arial"/>
              </w:rPr>
            </w:pPr>
            <w:r w:rsidRPr="009B7B35">
              <w:rPr>
                <w:rFonts w:cs="Arial"/>
              </w:rPr>
              <w:t>Sewage/wastewater treatment facility.</w:t>
            </w:r>
          </w:p>
        </w:tc>
      </w:tr>
    </w:tbl>
    <w:p w14:paraId="65AFDE8A" w14:textId="77777777" w:rsidR="00BE36FB" w:rsidRPr="009B7B35" w:rsidRDefault="00BE36FB" w:rsidP="001A7107">
      <w:pPr>
        <w:pStyle w:val="Heading5"/>
        <w:numPr>
          <w:ilvl w:val="0"/>
          <w:numId w:val="0"/>
        </w:numPr>
        <w:rPr>
          <w:rFonts w:cs="Arial"/>
          <w:szCs w:val="20"/>
        </w:rPr>
      </w:pPr>
      <w:r w:rsidRPr="009B7B35">
        <w:rPr>
          <w:rFonts w:cs="Arial"/>
          <w:szCs w:val="20"/>
        </w:rPr>
        <w:t>Table 8.2.2.3.3—Desirable indoor design sound levels for building type and land uses</w:t>
      </w:r>
    </w:p>
    <w:tbl>
      <w:tblPr>
        <w:tblStyle w:val="Tablestyle"/>
        <w:tblW w:w="0" w:type="auto"/>
        <w:tblLook w:val="04A0" w:firstRow="1" w:lastRow="0" w:firstColumn="1" w:lastColumn="0" w:noHBand="0" w:noVBand="1"/>
      </w:tblPr>
      <w:tblGrid>
        <w:gridCol w:w="3079"/>
        <w:gridCol w:w="3396"/>
        <w:gridCol w:w="1888"/>
      </w:tblGrid>
      <w:tr w:rsidR="00BE36FB" w:rsidRPr="009B7B35" w14:paraId="390C0E09" w14:textId="77777777"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02" w:type="dxa"/>
          </w:tcPr>
          <w:p w14:paraId="26F95323" w14:textId="77777777" w:rsidR="00BE36FB" w:rsidRPr="009B7B35" w:rsidRDefault="00BE36FB" w:rsidP="001A7107">
            <w:pPr>
              <w:pStyle w:val="TableText"/>
              <w:rPr>
                <w:rFonts w:cs="Arial"/>
              </w:rPr>
            </w:pPr>
            <w:r w:rsidRPr="009B7B35">
              <w:rPr>
                <w:rFonts w:cs="Arial"/>
              </w:rPr>
              <w:t>Land use</w:t>
            </w:r>
          </w:p>
        </w:tc>
        <w:tc>
          <w:tcPr>
            <w:tcW w:w="3828" w:type="dxa"/>
          </w:tcPr>
          <w:p w14:paraId="45F73AFC"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Location within development</w:t>
            </w:r>
          </w:p>
        </w:tc>
        <w:tc>
          <w:tcPr>
            <w:tcW w:w="2126" w:type="dxa"/>
          </w:tcPr>
          <w:p w14:paraId="389EA426"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Indoor design sound level dB(A)</w:t>
            </w:r>
          </w:p>
        </w:tc>
      </w:tr>
      <w:tr w:rsidR="00BE36FB" w:rsidRPr="009B7B35" w14:paraId="061901C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1E834D02" w14:textId="77777777" w:rsidR="00BE36FB" w:rsidRPr="009B7B35" w:rsidRDefault="00BE36FB">
            <w:pPr>
              <w:pStyle w:val="TableText"/>
              <w:rPr>
                <w:rFonts w:cs="Arial"/>
              </w:rPr>
            </w:pPr>
            <w:r w:rsidRPr="009B7B35">
              <w:rPr>
                <w:rFonts w:cs="Arial"/>
              </w:rPr>
              <w:t>Accommodation activities (dwelling houses, multiple dwellings, tourist parks)</w:t>
            </w:r>
          </w:p>
          <w:p w14:paraId="2E2E021F" w14:textId="77777777" w:rsidR="00BE36FB" w:rsidRPr="009B7B35" w:rsidRDefault="00BE36FB">
            <w:pPr>
              <w:pStyle w:val="TableText"/>
              <w:rPr>
                <w:rFonts w:cs="Arial"/>
              </w:rPr>
            </w:pPr>
            <w:r w:rsidRPr="009B7B35">
              <w:rPr>
                <w:rFonts w:cs="Arial"/>
              </w:rPr>
              <w:t>Residential care facilities</w:t>
            </w:r>
          </w:p>
        </w:tc>
        <w:tc>
          <w:tcPr>
            <w:tcW w:w="3828" w:type="dxa"/>
          </w:tcPr>
          <w:p w14:paraId="3614222C"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Sleeping areas</w:t>
            </w:r>
          </w:p>
        </w:tc>
        <w:tc>
          <w:tcPr>
            <w:tcW w:w="2126" w:type="dxa"/>
          </w:tcPr>
          <w:p w14:paraId="3D6FD3B1"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50</w:t>
            </w:r>
          </w:p>
        </w:tc>
      </w:tr>
      <w:tr w:rsidR="00BE36FB" w:rsidRPr="009B7B35" w14:paraId="25E60C8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14:paraId="0864CB11" w14:textId="77777777" w:rsidR="00BE36FB" w:rsidRPr="009B7B35" w:rsidRDefault="00BE36FB">
            <w:pPr>
              <w:pStyle w:val="TableText"/>
              <w:rPr>
                <w:rFonts w:cs="Arial"/>
              </w:rPr>
            </w:pPr>
          </w:p>
        </w:tc>
        <w:tc>
          <w:tcPr>
            <w:tcW w:w="3828" w:type="dxa"/>
          </w:tcPr>
          <w:p w14:paraId="1DCEF404"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 habitable</w:t>
            </w:r>
          </w:p>
        </w:tc>
        <w:tc>
          <w:tcPr>
            <w:tcW w:w="2126" w:type="dxa"/>
          </w:tcPr>
          <w:p w14:paraId="2773F0B5"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55</w:t>
            </w:r>
          </w:p>
        </w:tc>
      </w:tr>
      <w:tr w:rsidR="00BE36FB" w:rsidRPr="009B7B35" w14:paraId="5F32009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14:paraId="057B3013" w14:textId="77777777" w:rsidR="00BE36FB" w:rsidRPr="009B7B35" w:rsidRDefault="00BE36FB">
            <w:pPr>
              <w:pStyle w:val="TableText"/>
              <w:rPr>
                <w:rFonts w:cs="Arial"/>
              </w:rPr>
            </w:pPr>
          </w:p>
        </w:tc>
        <w:tc>
          <w:tcPr>
            <w:tcW w:w="3828" w:type="dxa"/>
          </w:tcPr>
          <w:p w14:paraId="61EFEFA3"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Bathrooms, toilets, laundries</w:t>
            </w:r>
          </w:p>
        </w:tc>
        <w:tc>
          <w:tcPr>
            <w:tcW w:w="2126" w:type="dxa"/>
          </w:tcPr>
          <w:p w14:paraId="4CC93CE5"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60</w:t>
            </w:r>
          </w:p>
        </w:tc>
      </w:tr>
      <w:tr w:rsidR="00BE36FB" w:rsidRPr="009B7B35" w14:paraId="51F2BBC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1C4EAF07" w14:textId="77777777" w:rsidR="00BE36FB" w:rsidRPr="009B7B35" w:rsidRDefault="00BE36FB">
            <w:pPr>
              <w:pStyle w:val="TableText"/>
              <w:rPr>
                <w:rFonts w:cs="Arial"/>
              </w:rPr>
            </w:pPr>
            <w:r w:rsidRPr="009B7B35">
              <w:rPr>
                <w:rFonts w:cs="Arial"/>
              </w:rPr>
              <w:t xml:space="preserve">Short–term accommodation </w:t>
            </w:r>
          </w:p>
          <w:p w14:paraId="119D5C2A" w14:textId="77777777" w:rsidR="00BE36FB" w:rsidRPr="009B7B35" w:rsidRDefault="00BE36FB">
            <w:pPr>
              <w:pStyle w:val="TableText"/>
              <w:rPr>
                <w:rFonts w:cs="Arial"/>
              </w:rPr>
            </w:pPr>
            <w:r w:rsidRPr="009B7B35">
              <w:rPr>
                <w:rFonts w:cs="Arial"/>
              </w:rPr>
              <w:t>Hotels</w:t>
            </w:r>
          </w:p>
          <w:p w14:paraId="5CE568B6" w14:textId="77777777" w:rsidR="00BE36FB" w:rsidRPr="009B7B35" w:rsidRDefault="00BE36FB">
            <w:pPr>
              <w:pStyle w:val="TableText"/>
              <w:rPr>
                <w:rFonts w:cs="Arial"/>
              </w:rPr>
            </w:pPr>
            <w:r w:rsidRPr="009B7B35">
              <w:rPr>
                <w:rFonts w:cs="Arial"/>
              </w:rPr>
              <w:t>Rooming Accommodation</w:t>
            </w:r>
          </w:p>
        </w:tc>
        <w:tc>
          <w:tcPr>
            <w:tcW w:w="3828" w:type="dxa"/>
          </w:tcPr>
          <w:p w14:paraId="67EEE375"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Sleeping areas</w:t>
            </w:r>
          </w:p>
        </w:tc>
        <w:tc>
          <w:tcPr>
            <w:tcW w:w="2126" w:type="dxa"/>
          </w:tcPr>
          <w:p w14:paraId="5298FB6F"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55</w:t>
            </w:r>
          </w:p>
        </w:tc>
      </w:tr>
      <w:tr w:rsidR="00BE36FB" w:rsidRPr="009B7B35" w14:paraId="540AB60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14:paraId="681B5F38" w14:textId="77777777" w:rsidR="00BE36FB" w:rsidRPr="009B7B35" w:rsidRDefault="00BE36FB">
            <w:pPr>
              <w:pStyle w:val="TableText"/>
              <w:rPr>
                <w:rFonts w:cs="Arial"/>
              </w:rPr>
            </w:pPr>
          </w:p>
        </w:tc>
        <w:tc>
          <w:tcPr>
            <w:tcW w:w="3828" w:type="dxa"/>
          </w:tcPr>
          <w:p w14:paraId="7D20C693"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Social activities</w:t>
            </w:r>
          </w:p>
        </w:tc>
        <w:tc>
          <w:tcPr>
            <w:tcW w:w="2126" w:type="dxa"/>
          </w:tcPr>
          <w:p w14:paraId="6D6EF06F"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70</w:t>
            </w:r>
          </w:p>
        </w:tc>
      </w:tr>
      <w:tr w:rsidR="00BE36FB" w:rsidRPr="009B7B35" w14:paraId="00CB1FE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14:paraId="39F707EF" w14:textId="77777777" w:rsidR="00BE36FB" w:rsidRPr="009B7B35" w:rsidRDefault="00BE36FB">
            <w:pPr>
              <w:pStyle w:val="TableText"/>
              <w:rPr>
                <w:rFonts w:cs="Arial"/>
              </w:rPr>
            </w:pPr>
          </w:p>
        </w:tc>
        <w:tc>
          <w:tcPr>
            <w:tcW w:w="3828" w:type="dxa"/>
          </w:tcPr>
          <w:p w14:paraId="54F8354A"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Service activities</w:t>
            </w:r>
          </w:p>
        </w:tc>
        <w:tc>
          <w:tcPr>
            <w:tcW w:w="2126" w:type="dxa"/>
          </w:tcPr>
          <w:p w14:paraId="51212D13"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75</w:t>
            </w:r>
          </w:p>
        </w:tc>
      </w:tr>
      <w:tr w:rsidR="00BE36FB" w:rsidRPr="009B7B35" w14:paraId="7AC7C58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0B9386E9" w14:textId="77777777" w:rsidR="00BE36FB" w:rsidRPr="009B7B35" w:rsidRDefault="00BE36FB">
            <w:pPr>
              <w:pStyle w:val="TableText"/>
              <w:rPr>
                <w:rFonts w:cs="Arial"/>
              </w:rPr>
            </w:pPr>
            <w:r w:rsidRPr="009B7B35">
              <w:rPr>
                <w:rFonts w:cs="Arial"/>
              </w:rPr>
              <w:t>Educational establishments</w:t>
            </w:r>
          </w:p>
          <w:p w14:paraId="35AB4FA5" w14:textId="77777777" w:rsidR="00BE36FB" w:rsidRPr="009B7B35" w:rsidRDefault="00BE36FB">
            <w:pPr>
              <w:pStyle w:val="TableText"/>
              <w:rPr>
                <w:rFonts w:cs="Arial"/>
              </w:rPr>
            </w:pPr>
            <w:r w:rsidRPr="009B7B35">
              <w:rPr>
                <w:rFonts w:cs="Arial"/>
              </w:rPr>
              <w:t>Child care centres</w:t>
            </w:r>
          </w:p>
        </w:tc>
        <w:tc>
          <w:tcPr>
            <w:tcW w:w="3828" w:type="dxa"/>
          </w:tcPr>
          <w:p w14:paraId="081B385C"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Libraries</w:t>
            </w:r>
          </w:p>
          <w:p w14:paraId="174DE143"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Classrooms, study areas</w:t>
            </w:r>
          </w:p>
          <w:p w14:paraId="21C797E4"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Sleeping areas</w:t>
            </w:r>
          </w:p>
        </w:tc>
        <w:tc>
          <w:tcPr>
            <w:tcW w:w="2126" w:type="dxa"/>
          </w:tcPr>
          <w:p w14:paraId="011AC36C"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50</w:t>
            </w:r>
          </w:p>
        </w:tc>
      </w:tr>
      <w:tr w:rsidR="00BE36FB" w:rsidRPr="009B7B35" w14:paraId="487BC5B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14:paraId="5CF2785B" w14:textId="77777777" w:rsidR="00BE36FB" w:rsidRPr="009B7B35" w:rsidRDefault="00BE36FB">
            <w:pPr>
              <w:pStyle w:val="TableText"/>
              <w:rPr>
                <w:rFonts w:cs="Arial"/>
              </w:rPr>
            </w:pPr>
          </w:p>
        </w:tc>
        <w:tc>
          <w:tcPr>
            <w:tcW w:w="3828" w:type="dxa"/>
          </w:tcPr>
          <w:p w14:paraId="5D002109"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Teaching area, assembly areas</w:t>
            </w:r>
          </w:p>
        </w:tc>
        <w:tc>
          <w:tcPr>
            <w:tcW w:w="2126" w:type="dxa"/>
          </w:tcPr>
          <w:p w14:paraId="69003846"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55</w:t>
            </w:r>
          </w:p>
        </w:tc>
      </w:tr>
      <w:tr w:rsidR="00BE36FB" w:rsidRPr="009B7B35" w14:paraId="586F8BB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14:paraId="4F5E14F1" w14:textId="77777777" w:rsidR="00BE36FB" w:rsidRPr="009B7B35" w:rsidRDefault="00BE36FB">
            <w:pPr>
              <w:pStyle w:val="TableText"/>
              <w:rPr>
                <w:rFonts w:cs="Arial"/>
              </w:rPr>
            </w:pPr>
          </w:p>
        </w:tc>
        <w:tc>
          <w:tcPr>
            <w:tcW w:w="3828" w:type="dxa"/>
          </w:tcPr>
          <w:p w14:paraId="6756323F"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Workshop, gymnasia</w:t>
            </w:r>
          </w:p>
        </w:tc>
        <w:tc>
          <w:tcPr>
            <w:tcW w:w="2126" w:type="dxa"/>
          </w:tcPr>
          <w:p w14:paraId="70D28CC6"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75</w:t>
            </w:r>
          </w:p>
        </w:tc>
      </w:tr>
      <w:tr w:rsidR="00BE36FB" w:rsidRPr="009B7B35" w14:paraId="677F575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4A504BE4" w14:textId="77777777" w:rsidR="00BE36FB" w:rsidRPr="009B7B35" w:rsidRDefault="00BE36FB">
            <w:pPr>
              <w:pStyle w:val="TableText"/>
              <w:rPr>
                <w:rFonts w:cs="Arial"/>
              </w:rPr>
            </w:pPr>
            <w:r w:rsidRPr="009B7B35">
              <w:rPr>
                <w:rFonts w:cs="Arial"/>
              </w:rPr>
              <w:t>Hospitals</w:t>
            </w:r>
          </w:p>
          <w:p w14:paraId="057C4432" w14:textId="77777777" w:rsidR="00BE36FB" w:rsidRPr="009B7B35" w:rsidRDefault="00BE36FB">
            <w:pPr>
              <w:pStyle w:val="TableText"/>
              <w:rPr>
                <w:rFonts w:cs="Arial"/>
              </w:rPr>
            </w:pPr>
            <w:r w:rsidRPr="009B7B35">
              <w:rPr>
                <w:rFonts w:cs="Arial"/>
              </w:rPr>
              <w:t>Health care services</w:t>
            </w:r>
          </w:p>
        </w:tc>
        <w:tc>
          <w:tcPr>
            <w:tcW w:w="3828" w:type="dxa"/>
          </w:tcPr>
          <w:p w14:paraId="0B50E7E4"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Wards, theatres, treatment and consulting rooms</w:t>
            </w:r>
          </w:p>
        </w:tc>
        <w:tc>
          <w:tcPr>
            <w:tcW w:w="2126" w:type="dxa"/>
          </w:tcPr>
          <w:p w14:paraId="39DCD25F"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50</w:t>
            </w:r>
          </w:p>
        </w:tc>
      </w:tr>
      <w:tr w:rsidR="00BE36FB" w:rsidRPr="009B7B35" w14:paraId="6BF139E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14:paraId="1B473DE4" w14:textId="77777777" w:rsidR="00BE36FB" w:rsidRPr="009B7B35" w:rsidRDefault="00BE36FB">
            <w:pPr>
              <w:pStyle w:val="TableText"/>
              <w:rPr>
                <w:rFonts w:cs="Arial"/>
              </w:rPr>
            </w:pPr>
          </w:p>
        </w:tc>
        <w:tc>
          <w:tcPr>
            <w:tcW w:w="3828" w:type="dxa"/>
          </w:tcPr>
          <w:p w14:paraId="171E02A9"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Laboratories</w:t>
            </w:r>
          </w:p>
        </w:tc>
        <w:tc>
          <w:tcPr>
            <w:tcW w:w="2126" w:type="dxa"/>
          </w:tcPr>
          <w:p w14:paraId="7558D506"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65</w:t>
            </w:r>
          </w:p>
        </w:tc>
      </w:tr>
      <w:tr w:rsidR="00BE36FB" w:rsidRPr="009B7B35" w14:paraId="69C34F6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14:paraId="2046E3A1" w14:textId="77777777" w:rsidR="00BE36FB" w:rsidRPr="009B7B35" w:rsidRDefault="00BE36FB">
            <w:pPr>
              <w:pStyle w:val="TableText"/>
              <w:rPr>
                <w:rFonts w:cs="Arial"/>
              </w:rPr>
            </w:pPr>
          </w:p>
        </w:tc>
        <w:tc>
          <w:tcPr>
            <w:tcW w:w="3828" w:type="dxa"/>
          </w:tcPr>
          <w:p w14:paraId="5A975E72"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Service areas</w:t>
            </w:r>
          </w:p>
        </w:tc>
        <w:tc>
          <w:tcPr>
            <w:tcW w:w="2126" w:type="dxa"/>
          </w:tcPr>
          <w:p w14:paraId="7C0F15C6"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75</w:t>
            </w:r>
          </w:p>
        </w:tc>
      </w:tr>
      <w:tr w:rsidR="00BE36FB" w:rsidRPr="009B7B35" w14:paraId="3C3482B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04C91F39" w14:textId="77777777" w:rsidR="00BE36FB" w:rsidRPr="009B7B35" w:rsidRDefault="00BE36FB">
            <w:pPr>
              <w:pStyle w:val="TableText"/>
              <w:rPr>
                <w:rFonts w:cs="Arial"/>
              </w:rPr>
            </w:pPr>
            <w:r w:rsidRPr="009B7B35">
              <w:rPr>
                <w:rFonts w:cs="Arial"/>
              </w:rPr>
              <w:t xml:space="preserve">Community uses </w:t>
            </w:r>
          </w:p>
        </w:tc>
        <w:tc>
          <w:tcPr>
            <w:tcW w:w="3828" w:type="dxa"/>
          </w:tcPr>
          <w:p w14:paraId="32BF7F29"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Places of worship, Court houses, libraries, galleries</w:t>
            </w:r>
          </w:p>
        </w:tc>
        <w:tc>
          <w:tcPr>
            <w:tcW w:w="2126" w:type="dxa"/>
          </w:tcPr>
          <w:p w14:paraId="777E1D3C"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50</w:t>
            </w:r>
          </w:p>
        </w:tc>
      </w:tr>
      <w:tr w:rsidR="00BE36FB" w:rsidRPr="009B7B35" w14:paraId="5650321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14:paraId="45880431" w14:textId="77777777" w:rsidR="00BE36FB" w:rsidRPr="009B7B35" w:rsidRDefault="00BE36FB">
            <w:pPr>
              <w:pStyle w:val="TableText"/>
              <w:rPr>
                <w:rFonts w:cs="Arial"/>
              </w:rPr>
            </w:pPr>
          </w:p>
        </w:tc>
        <w:tc>
          <w:tcPr>
            <w:tcW w:w="3828" w:type="dxa"/>
          </w:tcPr>
          <w:p w14:paraId="0E15B7DA"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Theatres, cinemas, recording studios</w:t>
            </w:r>
          </w:p>
        </w:tc>
        <w:tc>
          <w:tcPr>
            <w:tcW w:w="2126" w:type="dxa"/>
          </w:tcPr>
          <w:p w14:paraId="723AD6D2"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40</w:t>
            </w:r>
          </w:p>
        </w:tc>
      </w:tr>
      <w:tr w:rsidR="00BE36FB" w:rsidRPr="009B7B35" w14:paraId="356BDAC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5D9DB913" w14:textId="77777777" w:rsidR="00BE36FB" w:rsidRPr="009B7B35" w:rsidRDefault="00BE36FB">
            <w:pPr>
              <w:pStyle w:val="TableText"/>
              <w:rPr>
                <w:rFonts w:cs="Arial"/>
              </w:rPr>
            </w:pPr>
            <w:r w:rsidRPr="009B7B35">
              <w:rPr>
                <w:rFonts w:cs="Arial"/>
              </w:rPr>
              <w:t>Offices</w:t>
            </w:r>
          </w:p>
        </w:tc>
        <w:tc>
          <w:tcPr>
            <w:tcW w:w="3828" w:type="dxa"/>
          </w:tcPr>
          <w:p w14:paraId="06D1F442"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Private offices, conference rooms</w:t>
            </w:r>
          </w:p>
        </w:tc>
        <w:tc>
          <w:tcPr>
            <w:tcW w:w="2126" w:type="dxa"/>
          </w:tcPr>
          <w:p w14:paraId="3F944019"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55</w:t>
            </w:r>
          </w:p>
        </w:tc>
      </w:tr>
      <w:tr w:rsidR="00BE36FB" w:rsidRPr="009B7B35" w14:paraId="7ADC639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14:paraId="05B5842D" w14:textId="77777777" w:rsidR="00BE36FB" w:rsidRPr="009B7B35" w:rsidRDefault="00BE36FB">
            <w:pPr>
              <w:pStyle w:val="TableText"/>
              <w:rPr>
                <w:rFonts w:cs="Arial"/>
              </w:rPr>
            </w:pPr>
          </w:p>
        </w:tc>
        <w:tc>
          <w:tcPr>
            <w:tcW w:w="3828" w:type="dxa"/>
          </w:tcPr>
          <w:p w14:paraId="1F9C7171"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Open offices</w:t>
            </w:r>
          </w:p>
        </w:tc>
        <w:tc>
          <w:tcPr>
            <w:tcW w:w="2126" w:type="dxa"/>
          </w:tcPr>
          <w:p w14:paraId="4FB8AD47"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65</w:t>
            </w:r>
          </w:p>
        </w:tc>
      </w:tr>
      <w:tr w:rsidR="00BE36FB" w:rsidRPr="009B7B35" w14:paraId="534D0B8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73E5A026" w14:textId="77777777" w:rsidR="00BE36FB" w:rsidRPr="009B7B35" w:rsidRDefault="00BE36FB">
            <w:pPr>
              <w:pStyle w:val="TableText"/>
              <w:rPr>
                <w:rFonts w:cs="Arial"/>
              </w:rPr>
            </w:pPr>
            <w:r w:rsidRPr="009B7B35">
              <w:rPr>
                <w:rFonts w:cs="Arial"/>
              </w:rPr>
              <w:t>Shops</w:t>
            </w:r>
          </w:p>
        </w:tc>
        <w:tc>
          <w:tcPr>
            <w:tcW w:w="3828" w:type="dxa"/>
          </w:tcPr>
          <w:p w14:paraId="4B3DBB3A"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2126" w:type="dxa"/>
          </w:tcPr>
          <w:p w14:paraId="1A448FCB"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75</w:t>
            </w:r>
          </w:p>
        </w:tc>
      </w:tr>
      <w:tr w:rsidR="00BE36FB" w:rsidRPr="009B7B35" w14:paraId="124A3E6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4DC111E3" w14:textId="77777777" w:rsidR="00BE36FB" w:rsidRPr="009B7B35" w:rsidRDefault="00BE36FB">
            <w:pPr>
              <w:pStyle w:val="TableText"/>
              <w:rPr>
                <w:rFonts w:cs="Arial"/>
              </w:rPr>
            </w:pPr>
            <w:r w:rsidRPr="009B7B35">
              <w:rPr>
                <w:rFonts w:cs="Arial"/>
              </w:rPr>
              <w:t>Showrooms</w:t>
            </w:r>
          </w:p>
        </w:tc>
        <w:tc>
          <w:tcPr>
            <w:tcW w:w="3828" w:type="dxa"/>
          </w:tcPr>
          <w:p w14:paraId="02D8205D"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2126" w:type="dxa"/>
          </w:tcPr>
          <w:p w14:paraId="385E3CAB"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75</w:t>
            </w:r>
          </w:p>
        </w:tc>
      </w:tr>
      <w:tr w:rsidR="00BE36FB" w:rsidRPr="009B7B35" w14:paraId="11EC9C8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val="restart"/>
          </w:tcPr>
          <w:p w14:paraId="4548841B" w14:textId="77777777" w:rsidR="00BE36FB" w:rsidRPr="009B7B35" w:rsidRDefault="00BE36FB">
            <w:pPr>
              <w:pStyle w:val="TableText"/>
              <w:rPr>
                <w:rFonts w:cs="Arial"/>
              </w:rPr>
            </w:pPr>
            <w:r w:rsidRPr="009B7B35">
              <w:rPr>
                <w:rFonts w:cs="Arial"/>
              </w:rPr>
              <w:t>Industrial</w:t>
            </w:r>
          </w:p>
        </w:tc>
        <w:tc>
          <w:tcPr>
            <w:tcW w:w="3828" w:type="dxa"/>
          </w:tcPr>
          <w:p w14:paraId="0A00CA5E"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Inspection, analysis, precision work</w:t>
            </w:r>
          </w:p>
        </w:tc>
        <w:tc>
          <w:tcPr>
            <w:tcW w:w="2126" w:type="dxa"/>
          </w:tcPr>
          <w:p w14:paraId="5B60215C"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75</w:t>
            </w:r>
          </w:p>
        </w:tc>
      </w:tr>
      <w:tr w:rsidR="00BE36FB" w:rsidRPr="009B7B35" w14:paraId="1D740A1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14:paraId="3D3D427A" w14:textId="77777777" w:rsidR="00BE36FB" w:rsidRPr="009B7B35" w:rsidRDefault="00BE36FB">
            <w:pPr>
              <w:pStyle w:val="TableText"/>
              <w:rPr>
                <w:rFonts w:cs="Arial"/>
              </w:rPr>
            </w:pPr>
          </w:p>
        </w:tc>
        <w:tc>
          <w:tcPr>
            <w:tcW w:w="3828" w:type="dxa"/>
          </w:tcPr>
          <w:p w14:paraId="722C29F2"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Light machinery, assembly, bench work</w:t>
            </w:r>
          </w:p>
        </w:tc>
        <w:tc>
          <w:tcPr>
            <w:tcW w:w="2126" w:type="dxa"/>
          </w:tcPr>
          <w:p w14:paraId="23520AC6"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80</w:t>
            </w:r>
          </w:p>
        </w:tc>
      </w:tr>
      <w:tr w:rsidR="00BE36FB" w:rsidRPr="009B7B35" w14:paraId="7A7BE36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Merge/>
          </w:tcPr>
          <w:p w14:paraId="07B43574" w14:textId="77777777" w:rsidR="00BE36FB" w:rsidRPr="009B7B35" w:rsidRDefault="00BE36FB">
            <w:pPr>
              <w:pStyle w:val="TableText"/>
              <w:rPr>
                <w:rFonts w:cs="Arial"/>
              </w:rPr>
            </w:pPr>
          </w:p>
        </w:tc>
        <w:tc>
          <w:tcPr>
            <w:tcW w:w="3828" w:type="dxa"/>
          </w:tcPr>
          <w:p w14:paraId="27736AD9"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Heavy machinery, warehouse, maintenance</w:t>
            </w:r>
          </w:p>
        </w:tc>
        <w:tc>
          <w:tcPr>
            <w:tcW w:w="2126" w:type="dxa"/>
          </w:tcPr>
          <w:p w14:paraId="11D6DA28"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85</w:t>
            </w:r>
          </w:p>
        </w:tc>
      </w:tr>
    </w:tbl>
    <w:p w14:paraId="7DCFF36E" w14:textId="77777777" w:rsidR="00BE36FB" w:rsidRPr="009B7B35" w:rsidRDefault="00BE36FB" w:rsidP="001A7107">
      <w:pPr>
        <w:pStyle w:val="NormalIndent"/>
        <w:rPr>
          <w:rFonts w:cs="Arial"/>
          <w:szCs w:val="20"/>
        </w:rPr>
      </w:pPr>
    </w:p>
    <w:p w14:paraId="2DBABD78"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70037DD5" w14:textId="77777777" w:rsidR="00BE36FB" w:rsidRPr="009B7B35" w:rsidRDefault="00BE36FB" w:rsidP="006776DA">
      <w:pPr>
        <w:pStyle w:val="Heading3"/>
        <w:numPr>
          <w:ilvl w:val="2"/>
          <w:numId w:val="883"/>
        </w:numPr>
        <w:spacing w:before="240"/>
        <w:rPr>
          <w:rFonts w:ascii="Arial" w:hAnsi="Arial"/>
          <w:sz w:val="20"/>
          <w:szCs w:val="20"/>
        </w:rPr>
      </w:pPr>
      <w:bookmarkStart w:id="244" w:name="_Toc205367378"/>
      <w:r w:rsidRPr="009B7B35">
        <w:rPr>
          <w:rFonts w:ascii="Arial" w:hAnsi="Arial"/>
          <w:sz w:val="20"/>
          <w:szCs w:val="20"/>
        </w:rPr>
        <w:t>Biodiversity</w:t>
      </w:r>
      <w:bookmarkEnd w:id="244"/>
    </w:p>
    <w:p w14:paraId="50FF3B08"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Application</w:t>
      </w:r>
    </w:p>
    <w:p w14:paraId="6A88760C"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biodiversity overlay code and applies to any of the following areas identified on the overlay maps:</w:t>
      </w:r>
    </w:p>
    <w:p w14:paraId="1025A9E4" w14:textId="77777777" w:rsidR="00BE36FB" w:rsidRPr="009B7B35" w:rsidRDefault="00BE36FB" w:rsidP="00BE36FB">
      <w:pPr>
        <w:numPr>
          <w:ilvl w:val="0"/>
          <w:numId w:val="663"/>
        </w:numPr>
        <w:rPr>
          <w:rFonts w:ascii="Arial" w:hAnsi="Arial" w:cs="Arial"/>
          <w:sz w:val="20"/>
          <w:szCs w:val="20"/>
        </w:rPr>
      </w:pPr>
      <w:r w:rsidRPr="009B7B35">
        <w:rPr>
          <w:rFonts w:ascii="Arial" w:hAnsi="Arial" w:cs="Arial"/>
          <w:sz w:val="20"/>
          <w:szCs w:val="20"/>
        </w:rPr>
        <w:t>Matters of State Environmental Significance (MSES) overlay maps:</w:t>
      </w:r>
    </w:p>
    <w:p w14:paraId="0FF34927" w14:textId="77777777"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MSES – regulated vegetation (intersecting a watercourse)</w:t>
      </w:r>
    </w:p>
    <w:p w14:paraId="034A0EED" w14:textId="77777777"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high ecological value waters </w:t>
      </w:r>
    </w:p>
    <w:p w14:paraId="4B2B3E96" w14:textId="77777777"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high ecological value waters (wetland) </w:t>
      </w:r>
    </w:p>
    <w:p w14:paraId="550CEBF1" w14:textId="77777777"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wild rivers (high preservation area) </w:t>
      </w:r>
    </w:p>
    <w:p w14:paraId="6BC45929" w14:textId="77777777"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'high ecological significance' wetlands </w:t>
      </w:r>
    </w:p>
    <w:p w14:paraId="669D6736" w14:textId="77777777"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wildlife habitat </w:t>
      </w:r>
    </w:p>
    <w:p w14:paraId="3F8D836B" w14:textId="77777777"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regulated vegetation </w:t>
      </w:r>
    </w:p>
    <w:p w14:paraId="32F782ED" w14:textId="77777777"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protected area </w:t>
      </w:r>
    </w:p>
    <w:p w14:paraId="5C669CE1" w14:textId="77777777"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declared fish habitat </w:t>
      </w:r>
    </w:p>
    <w:p w14:paraId="679D5B52" w14:textId="77777777"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marine park </w:t>
      </w:r>
    </w:p>
    <w:p w14:paraId="1AC55519" w14:textId="77777777" w:rsidR="00BE36FB" w:rsidRPr="009B7B35" w:rsidRDefault="00BE36FB" w:rsidP="00BE36FB">
      <w:pPr>
        <w:numPr>
          <w:ilvl w:val="1"/>
          <w:numId w:val="663"/>
        </w:numPr>
        <w:rPr>
          <w:rFonts w:ascii="Arial" w:hAnsi="Arial" w:cs="Arial"/>
          <w:sz w:val="20"/>
          <w:szCs w:val="20"/>
        </w:rPr>
      </w:pPr>
      <w:r w:rsidRPr="009B7B35">
        <w:rPr>
          <w:rFonts w:ascii="Arial" w:hAnsi="Arial" w:cs="Arial"/>
          <w:sz w:val="20"/>
          <w:szCs w:val="20"/>
        </w:rPr>
        <w:t xml:space="preserve">MSES – legally secured offset area </w:t>
      </w:r>
    </w:p>
    <w:p w14:paraId="1F5E60AC" w14:textId="77777777" w:rsidR="00BE36FB" w:rsidRPr="009B7B35" w:rsidRDefault="00BE36FB" w:rsidP="001A7107">
      <w:pPr>
        <w:ind w:left="1134"/>
        <w:rPr>
          <w:rFonts w:ascii="Arial" w:hAnsi="Arial" w:cs="Arial"/>
          <w:sz w:val="20"/>
          <w:szCs w:val="20"/>
        </w:rPr>
      </w:pPr>
    </w:p>
    <w:p w14:paraId="02AF6FFE" w14:textId="77777777" w:rsidR="00BE36FB" w:rsidRPr="009B7B35" w:rsidRDefault="00BE36FB" w:rsidP="001A7107">
      <w:pPr>
        <w:rPr>
          <w:rFonts w:ascii="Arial" w:hAnsi="Arial" w:cs="Arial"/>
          <w:sz w:val="20"/>
          <w:szCs w:val="20"/>
        </w:rPr>
      </w:pPr>
      <w:r w:rsidRPr="009B7B35">
        <w:rPr>
          <w:rFonts w:ascii="Arial" w:hAnsi="Arial" w:cs="Arial"/>
          <w:sz w:val="20"/>
          <w:szCs w:val="20"/>
        </w:rPr>
        <w:t>When using this code, reference should be made to section 5.3.2 and where applicable, section 5.3.3 located in Part 5.</w:t>
      </w:r>
    </w:p>
    <w:p w14:paraId="1F681E05"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Purpose</w:t>
      </w:r>
    </w:p>
    <w:p w14:paraId="785468E0" w14:textId="77777777" w:rsidR="00BE36FB" w:rsidRPr="009B7B35" w:rsidRDefault="00BE36FB" w:rsidP="00BE36FB">
      <w:pPr>
        <w:numPr>
          <w:ilvl w:val="0"/>
          <w:numId w:val="596"/>
        </w:numPr>
        <w:rPr>
          <w:rFonts w:ascii="Arial" w:hAnsi="Arial" w:cs="Arial"/>
          <w:sz w:val="20"/>
          <w:szCs w:val="20"/>
        </w:rPr>
      </w:pPr>
      <w:r w:rsidRPr="009B7B35">
        <w:rPr>
          <w:rFonts w:ascii="Arial" w:hAnsi="Arial" w:cs="Arial"/>
          <w:sz w:val="20"/>
          <w:szCs w:val="20"/>
        </w:rPr>
        <w:t>The purpose of the biodiversity overlay code is to:</w:t>
      </w:r>
    </w:p>
    <w:p w14:paraId="59486005"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Protect and enhance matters of national (MNES) and state environmental significance (MSES) and their associated ecological processes and biodiversity values.</w:t>
      </w:r>
    </w:p>
    <w:p w14:paraId="48988964"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Maintain or enhance the health and resilience of biodiversity to support ecological integrity.</w:t>
      </w:r>
    </w:p>
    <w:p w14:paraId="1EDB988C"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Maintain or enhance ecological connectivity to preserve fauna movement, habitat values, remnant vegetation and ecological processes.</w:t>
      </w:r>
    </w:p>
    <w:p w14:paraId="6977F6D1"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Protect and enhance water quality, ecosystem health and the natural hydrological functioning of waterways, wetlands and their riparian areas and buffers.</w:t>
      </w:r>
    </w:p>
    <w:p w14:paraId="3A44A677"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Protect, rehabilitate and manage coastal natural resources, biodiversity and ecosystem services values.</w:t>
      </w:r>
    </w:p>
    <w:p w14:paraId="76B2E457" w14:textId="77777777" w:rsidR="00BE36FB" w:rsidRPr="009B7B35" w:rsidRDefault="00BE36FB" w:rsidP="00BE36FB">
      <w:pPr>
        <w:numPr>
          <w:ilvl w:val="0"/>
          <w:numId w:val="596"/>
        </w:numPr>
        <w:rPr>
          <w:rFonts w:ascii="Arial" w:hAnsi="Arial" w:cs="Arial"/>
          <w:sz w:val="20"/>
          <w:szCs w:val="20"/>
        </w:rPr>
      </w:pPr>
      <w:r w:rsidRPr="009B7B35">
        <w:rPr>
          <w:rFonts w:ascii="Arial" w:hAnsi="Arial" w:cs="Arial"/>
          <w:sz w:val="20"/>
          <w:szCs w:val="20"/>
        </w:rPr>
        <w:t>The purpose of the code will be achieved through the following overall outcomes:</w:t>
      </w:r>
    </w:p>
    <w:p w14:paraId="47EED7E3"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Development avoids adverse impacts on matters of state environmental significance (MSES) and matters of national environmental significance (MNES) and their associated ecological processes and biodiversity values, unless:</w:t>
      </w:r>
    </w:p>
    <w:p w14:paraId="30DD0A17" w14:textId="77777777" w:rsidR="00BE36FB" w:rsidRPr="009B7B35" w:rsidRDefault="00BE36FB" w:rsidP="00BE36FB">
      <w:pPr>
        <w:numPr>
          <w:ilvl w:val="2"/>
          <w:numId w:val="596"/>
        </w:numPr>
        <w:rPr>
          <w:rFonts w:ascii="Arial" w:hAnsi="Arial" w:cs="Arial"/>
          <w:sz w:val="20"/>
          <w:szCs w:val="20"/>
        </w:rPr>
      </w:pPr>
      <w:r w:rsidRPr="009B7B35">
        <w:rPr>
          <w:rFonts w:ascii="Arial" w:hAnsi="Arial" w:cs="Arial"/>
          <w:sz w:val="20"/>
          <w:szCs w:val="20"/>
        </w:rPr>
        <w:t>it is demonstrated that MNES or MSES do not exist on the site, or</w:t>
      </w:r>
    </w:p>
    <w:p w14:paraId="2AD8DA0A" w14:textId="77777777" w:rsidR="00BE36FB" w:rsidRPr="009B7B35" w:rsidRDefault="00BE36FB" w:rsidP="00BE36FB">
      <w:pPr>
        <w:numPr>
          <w:ilvl w:val="2"/>
          <w:numId w:val="596"/>
        </w:numPr>
        <w:rPr>
          <w:rFonts w:ascii="Arial" w:hAnsi="Arial" w:cs="Arial"/>
          <w:sz w:val="20"/>
          <w:szCs w:val="20"/>
        </w:rPr>
      </w:pPr>
      <w:r w:rsidRPr="009B7B35">
        <w:rPr>
          <w:rFonts w:ascii="Arial" w:hAnsi="Arial" w:cs="Arial"/>
          <w:sz w:val="20"/>
          <w:szCs w:val="20"/>
        </w:rPr>
        <w:t>where adverse environmental impacts cannot be avoided, impacts are minimised and an environmental offset is provided for any residual adverse impacts and a net environmental benefit is achieved.</w:t>
      </w:r>
    </w:p>
    <w:p w14:paraId="5C3188A0"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Development avoids direct and indirect impacts resulting in species or habitat loss or disturbance, soil degradation or pollution due to vegetation clearing, erosion and contamination, acidification, salinity, waste disposal or modification to natural processes.</w:t>
      </w:r>
    </w:p>
    <w:p w14:paraId="7353378A"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Fragmentation of remnant vegetation, ecological corridors and existing habitat is avoided to maintain ecological function and biodiversity values and to maintain or increase the resilience of ecosystems and habitat to threatening processes, including the impacts of climate change.</w:t>
      </w:r>
    </w:p>
    <w:p w14:paraId="5A86AC08"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A network of connecting corridors and linkages between areas supporting MNES, MSES, wetlands, waterways, remnant vegetation, habitat areas and other natural areas are maintained, created or restored, including provision for continuous links from the coast to upper catchments.</w:t>
      </w:r>
    </w:p>
    <w:p w14:paraId="7B829554"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Development including infrastructure, is designed and located to maintain and enhance continuity of wildlife movement (including fish passage) and ecological processes for terrestrial and aquatic species.</w:t>
      </w:r>
    </w:p>
    <w:p w14:paraId="5BA7C355"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The hydrological regime of wetlands and waterways is protected and rehabilitated.</w:t>
      </w:r>
    </w:p>
    <w:p w14:paraId="4DFD6B9F"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Development avoids encroachment or expansion into sensitive terrestrial or aquatic habitats along the foreshore or riparian areas unless it is for management of public access, recreation, public use or other public benefit.</w:t>
      </w:r>
    </w:p>
    <w:p w14:paraId="0E168124"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Development maintains sustainable community access to beaches, waterways, national parks and other land in protected area estates.</w:t>
      </w:r>
    </w:p>
    <w:p w14:paraId="1064F568"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Development incorporates and maintains an appropriate buffer in accordance with minimum best practice distances so as to avoid adverse impacts.</w:t>
      </w:r>
    </w:p>
    <w:p w14:paraId="0C275A85" w14:textId="77777777" w:rsidR="00BE36FB" w:rsidRPr="009B7B35" w:rsidRDefault="00BE36FB" w:rsidP="00BE36FB">
      <w:pPr>
        <w:numPr>
          <w:ilvl w:val="1"/>
          <w:numId w:val="596"/>
        </w:numPr>
        <w:rPr>
          <w:rFonts w:ascii="Arial" w:hAnsi="Arial" w:cs="Arial"/>
          <w:sz w:val="20"/>
          <w:szCs w:val="20"/>
        </w:rPr>
      </w:pPr>
      <w:r w:rsidRPr="009B7B35">
        <w:rPr>
          <w:rFonts w:ascii="Arial" w:hAnsi="Arial" w:cs="Arial"/>
          <w:sz w:val="20"/>
          <w:szCs w:val="20"/>
        </w:rPr>
        <w:t>Development maintains or enhances the scenic amenity of important natural coastal landscapes, views and vistas.</w:t>
      </w:r>
    </w:p>
    <w:p w14:paraId="5CC85B95"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Assessment benchmarks</w:t>
      </w:r>
    </w:p>
    <w:p w14:paraId="0D6E56F9" w14:textId="77777777" w:rsidR="00BE36FB" w:rsidRPr="009B7B35" w:rsidRDefault="00BE36FB" w:rsidP="001A7107">
      <w:pPr>
        <w:pStyle w:val="Heading5"/>
        <w:numPr>
          <w:ilvl w:val="0"/>
          <w:numId w:val="0"/>
        </w:numPr>
        <w:rPr>
          <w:rFonts w:cs="Arial"/>
          <w:szCs w:val="20"/>
        </w:rPr>
      </w:pPr>
      <w:r w:rsidRPr="009B7B35">
        <w:rPr>
          <w:rFonts w:cs="Arial"/>
          <w:szCs w:val="20"/>
        </w:rPr>
        <w:t>Table 8.2.3.3.1— Accepted development subject to requirements and assessable development</w:t>
      </w:r>
    </w:p>
    <w:p w14:paraId="5D0B3AE3" w14:textId="77777777" w:rsidR="00BE36FB" w:rsidRPr="009B7B35" w:rsidRDefault="00BE36FB" w:rsidP="001A7107">
      <w:pPr>
        <w:pStyle w:val="Notes"/>
        <w:rPr>
          <w:rFonts w:cs="Arial"/>
          <w:sz w:val="20"/>
          <w:szCs w:val="20"/>
        </w:rPr>
      </w:pPr>
      <w:r w:rsidRPr="009B7B35">
        <w:rPr>
          <w:rFonts w:cs="Arial"/>
          <w:sz w:val="20"/>
          <w:szCs w:val="20"/>
        </w:rPr>
        <w:t>Editor's note—For specified accepted development subject to requirements community infrastructure, only the Wetland Protection Area provisions of the code apply.</w:t>
      </w:r>
    </w:p>
    <w:tbl>
      <w:tblPr>
        <w:tblStyle w:val="Tablestyle"/>
        <w:tblW w:w="0" w:type="auto"/>
        <w:tblLook w:val="0620" w:firstRow="1" w:lastRow="0" w:firstColumn="0" w:lastColumn="0" w:noHBand="1" w:noVBand="1"/>
      </w:tblPr>
      <w:tblGrid>
        <w:gridCol w:w="4192"/>
        <w:gridCol w:w="4171"/>
      </w:tblGrid>
      <w:tr w:rsidR="00BE36FB" w:rsidRPr="009B7B35" w14:paraId="48DFCA35" w14:textId="77777777" w:rsidTr="001A7107">
        <w:trPr>
          <w:cnfStyle w:val="100000000000" w:firstRow="1" w:lastRow="0" w:firstColumn="0" w:lastColumn="0" w:oddVBand="0" w:evenVBand="0" w:oddHBand="0" w:evenHBand="0" w:firstRowFirstColumn="0" w:firstRowLastColumn="0" w:lastRowFirstColumn="0" w:lastRowLastColumn="0"/>
          <w:tblHeader/>
        </w:trPr>
        <w:tc>
          <w:tcPr>
            <w:tcW w:w="0" w:type="auto"/>
          </w:tcPr>
          <w:p w14:paraId="12DF0BA8"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0" w:type="auto"/>
          </w:tcPr>
          <w:p w14:paraId="11CEE2CF"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2F18F210" w14:textId="77777777" w:rsidTr="001A7107">
        <w:tc>
          <w:tcPr>
            <w:tcW w:w="0" w:type="auto"/>
            <w:gridSpan w:val="2"/>
            <w:shd w:val="clear" w:color="auto" w:fill="BFBFBF" w:themeFill="background1" w:themeFillShade="BF"/>
          </w:tcPr>
          <w:p w14:paraId="4C5D3722" w14:textId="77777777" w:rsidR="00BE36FB" w:rsidRPr="009B7B35" w:rsidRDefault="00BE36FB" w:rsidP="001A7107">
            <w:pPr>
              <w:pStyle w:val="Tableheading"/>
              <w:rPr>
                <w:rFonts w:ascii="Arial" w:hAnsi="Arial" w:cs="Arial"/>
                <w:szCs w:val="20"/>
              </w:rPr>
            </w:pPr>
            <w:r w:rsidRPr="009B7B35">
              <w:rPr>
                <w:rFonts w:ascii="Arial" w:hAnsi="Arial" w:cs="Arial"/>
                <w:szCs w:val="20"/>
              </w:rPr>
              <w:t>Environmental protection and buffering</w:t>
            </w:r>
          </w:p>
        </w:tc>
      </w:tr>
      <w:tr w:rsidR="00BE36FB" w:rsidRPr="009B7B35" w14:paraId="2C77336F" w14:textId="77777777" w:rsidTr="001A7107">
        <w:trPr>
          <w:trHeight w:val="2144"/>
        </w:trPr>
        <w:tc>
          <w:tcPr>
            <w:tcW w:w="0" w:type="auto"/>
          </w:tcPr>
          <w:p w14:paraId="6B0B1A10" w14:textId="77777777" w:rsidR="00BE36FB" w:rsidRPr="009B7B35" w:rsidRDefault="00BE36FB" w:rsidP="001A7107">
            <w:pPr>
              <w:pStyle w:val="TableText"/>
              <w:rPr>
                <w:rFonts w:cs="Arial"/>
                <w:b/>
                <w:bCs/>
              </w:rPr>
            </w:pPr>
            <w:r w:rsidRPr="009B7B35">
              <w:rPr>
                <w:rFonts w:cs="Arial"/>
                <w:b/>
                <w:bCs/>
              </w:rPr>
              <w:t>PO1</w:t>
            </w:r>
          </w:p>
          <w:p w14:paraId="23F3D83E" w14:textId="77777777" w:rsidR="00BE36FB" w:rsidRPr="009B7B35" w:rsidRDefault="00BE36FB" w:rsidP="001A7107">
            <w:pPr>
              <w:pStyle w:val="TableText"/>
              <w:rPr>
                <w:rFonts w:cs="Arial"/>
                <w:w w:val="95"/>
              </w:rPr>
            </w:pPr>
            <w:r w:rsidRPr="009B7B35">
              <w:rPr>
                <w:rFonts w:cs="Arial"/>
                <w:w w:val="95"/>
              </w:rPr>
              <w:t>Development maintains and protects MNES (Matters of National Environmental Significance) and MSES (Matters of State Environmental Significance) by:</w:t>
            </w:r>
          </w:p>
          <w:p w14:paraId="5CBB82E3" w14:textId="77777777" w:rsidR="00BE36FB" w:rsidRPr="009B7B35" w:rsidRDefault="00BE36FB" w:rsidP="00BE36FB">
            <w:pPr>
              <w:pStyle w:val="TableText"/>
              <w:numPr>
                <w:ilvl w:val="0"/>
                <w:numId w:val="664"/>
              </w:numPr>
              <w:rPr>
                <w:rFonts w:cs="Arial"/>
              </w:rPr>
            </w:pPr>
            <w:r w:rsidRPr="009B7B35">
              <w:rPr>
                <w:rFonts w:cs="Arial"/>
              </w:rPr>
              <w:t>locating in areas that avoid adverse impacts on MNES and MSES, or</w:t>
            </w:r>
          </w:p>
          <w:p w14:paraId="2099196E" w14:textId="77777777" w:rsidR="00BE36FB" w:rsidRPr="009B7B35" w:rsidRDefault="00BE36FB" w:rsidP="00BE36FB">
            <w:pPr>
              <w:pStyle w:val="TableText"/>
              <w:numPr>
                <w:ilvl w:val="0"/>
                <w:numId w:val="664"/>
              </w:numPr>
              <w:rPr>
                <w:rFonts w:cs="Arial"/>
              </w:rPr>
            </w:pPr>
            <w:r w:rsidRPr="009B7B35">
              <w:rPr>
                <w:rFonts w:cs="Arial"/>
              </w:rPr>
              <w:t>where adverse environmental impacts cannot be avoided, impacts are minimised and an environmental offset is provided for any residual adverse impacts, and</w:t>
            </w:r>
          </w:p>
          <w:p w14:paraId="2C715812" w14:textId="77777777" w:rsidR="00BE36FB" w:rsidRPr="009B7B35" w:rsidRDefault="00BE36FB" w:rsidP="00BE36FB">
            <w:pPr>
              <w:pStyle w:val="TableText"/>
              <w:numPr>
                <w:ilvl w:val="0"/>
                <w:numId w:val="664"/>
              </w:numPr>
              <w:rPr>
                <w:rFonts w:cs="Arial"/>
              </w:rPr>
            </w:pPr>
            <w:r w:rsidRPr="009B7B35">
              <w:rPr>
                <w:rFonts w:cs="Arial"/>
              </w:rPr>
              <w:t>the underlying ecological processes and biodiversity values of MNES and MSES are maintained or enhanced.</w:t>
            </w:r>
          </w:p>
          <w:p w14:paraId="134C6C7B" w14:textId="77777777" w:rsidR="00BE36FB" w:rsidRPr="009B7B35" w:rsidRDefault="00BE36FB" w:rsidP="001A7107">
            <w:pPr>
              <w:pStyle w:val="Notes"/>
              <w:rPr>
                <w:rFonts w:cs="Arial"/>
                <w:sz w:val="20"/>
                <w:szCs w:val="20"/>
              </w:rPr>
            </w:pPr>
            <w:r w:rsidRPr="009B7B35">
              <w:rPr>
                <w:rFonts w:cs="Arial"/>
                <w:sz w:val="20"/>
                <w:szCs w:val="20"/>
              </w:rPr>
              <w:t xml:space="preserve">Note—For MNES, consideration must be given to the requirements of the </w:t>
            </w:r>
            <w:r w:rsidRPr="009B7B35">
              <w:rPr>
                <w:rStyle w:val="StyleNotesItalic2"/>
                <w:rFonts w:cs="Arial"/>
                <w:sz w:val="20"/>
              </w:rPr>
              <w:t>Environment Protection and Biodiversity Conservation Act 1999 (EPBC Act)</w:t>
            </w:r>
            <w:r w:rsidRPr="009B7B35">
              <w:rPr>
                <w:rFonts w:cs="Arial"/>
                <w:sz w:val="20"/>
                <w:szCs w:val="20"/>
              </w:rPr>
              <w:t xml:space="preserve">. </w:t>
            </w:r>
          </w:p>
          <w:p w14:paraId="75EA5829" w14:textId="77777777" w:rsidR="00BE36FB" w:rsidRPr="009B7B35" w:rsidRDefault="00BE36FB" w:rsidP="001A7107">
            <w:pPr>
              <w:pStyle w:val="Notes"/>
              <w:rPr>
                <w:rFonts w:cs="Arial"/>
                <w:sz w:val="20"/>
                <w:szCs w:val="20"/>
              </w:rPr>
            </w:pPr>
            <w:r w:rsidRPr="009B7B35">
              <w:rPr>
                <w:rFonts w:cs="Arial"/>
                <w:sz w:val="20"/>
                <w:szCs w:val="20"/>
              </w:rPr>
              <w:t>Note—To assist in demonstrating achievement of this performance outcome, a detailed environmental and ecological assessment to confirm the extent and nature of values is required to be undertaken by applicants.</w:t>
            </w:r>
          </w:p>
        </w:tc>
        <w:tc>
          <w:tcPr>
            <w:tcW w:w="0" w:type="auto"/>
          </w:tcPr>
          <w:p w14:paraId="3A4526EA" w14:textId="77777777" w:rsidR="00BE36FB" w:rsidRPr="009B7B35" w:rsidRDefault="00BE36FB" w:rsidP="001A7107">
            <w:pPr>
              <w:pStyle w:val="TableText"/>
              <w:rPr>
                <w:rFonts w:cs="Arial"/>
                <w:b/>
                <w:bCs/>
              </w:rPr>
            </w:pPr>
            <w:r w:rsidRPr="009B7B35">
              <w:rPr>
                <w:rFonts w:cs="Arial"/>
                <w:b/>
                <w:bCs/>
              </w:rPr>
              <w:t>AO1</w:t>
            </w:r>
          </w:p>
          <w:p w14:paraId="09F2A8F7" w14:textId="77777777" w:rsidR="00BE36FB" w:rsidRPr="009B7B35" w:rsidRDefault="00BE36FB" w:rsidP="001A7107">
            <w:pPr>
              <w:pStyle w:val="TableText"/>
              <w:rPr>
                <w:rFonts w:cs="Arial"/>
              </w:rPr>
            </w:pPr>
            <w:r w:rsidRPr="009B7B35">
              <w:rPr>
                <w:rFonts w:cs="Arial"/>
              </w:rPr>
              <w:t>Development locates outside of an area supporting MSES.</w:t>
            </w:r>
          </w:p>
          <w:p w14:paraId="3D48C9EC" w14:textId="77777777" w:rsidR="00BE36FB" w:rsidRPr="009B7B35" w:rsidRDefault="00BE36FB" w:rsidP="001A7107">
            <w:pPr>
              <w:pStyle w:val="Notes"/>
              <w:rPr>
                <w:rFonts w:cs="Arial"/>
                <w:sz w:val="20"/>
                <w:szCs w:val="20"/>
              </w:rPr>
            </w:pPr>
          </w:p>
        </w:tc>
      </w:tr>
      <w:tr w:rsidR="00BE36FB" w:rsidRPr="009B7B35" w14:paraId="330D69DF" w14:textId="77777777" w:rsidTr="001A7107">
        <w:tc>
          <w:tcPr>
            <w:tcW w:w="0" w:type="auto"/>
          </w:tcPr>
          <w:p w14:paraId="73FCF4D9" w14:textId="77777777" w:rsidR="00BE36FB" w:rsidRPr="009B7B35" w:rsidRDefault="00BE36FB" w:rsidP="001A7107">
            <w:pPr>
              <w:pStyle w:val="TableText"/>
              <w:rPr>
                <w:rFonts w:cs="Arial"/>
                <w:b/>
                <w:bCs/>
              </w:rPr>
            </w:pPr>
            <w:r w:rsidRPr="009B7B35">
              <w:rPr>
                <w:rFonts w:cs="Arial"/>
                <w:b/>
                <w:bCs/>
              </w:rPr>
              <w:t>PO2</w:t>
            </w:r>
          </w:p>
          <w:p w14:paraId="4A4A2CA1" w14:textId="77777777" w:rsidR="00BE36FB" w:rsidRPr="009B7B35" w:rsidRDefault="00BE36FB" w:rsidP="001A7107">
            <w:pPr>
              <w:pStyle w:val="TableText"/>
              <w:rPr>
                <w:rFonts w:cs="Arial"/>
              </w:rPr>
            </w:pPr>
            <w:r w:rsidRPr="009B7B35">
              <w:rPr>
                <w:rFonts w:cs="Arial"/>
              </w:rPr>
              <w:t>Development is setback from and provides an adequate vegetated buffer to significant vegetation, habitats and areas containing MSES in order to:</w:t>
            </w:r>
          </w:p>
          <w:p w14:paraId="1A9F09D0" w14:textId="77777777" w:rsidR="00BE36FB" w:rsidRPr="009B7B35" w:rsidRDefault="00BE36FB" w:rsidP="00BE36FB">
            <w:pPr>
              <w:pStyle w:val="TableText"/>
              <w:numPr>
                <w:ilvl w:val="0"/>
                <w:numId w:val="665"/>
              </w:numPr>
              <w:rPr>
                <w:rFonts w:cs="Arial"/>
              </w:rPr>
            </w:pPr>
            <w:r w:rsidRPr="009B7B35">
              <w:rPr>
                <w:rFonts w:cs="Arial"/>
              </w:rPr>
              <w:t>protect these areas and their values from threatening processes</w:t>
            </w:r>
          </w:p>
          <w:p w14:paraId="62482490" w14:textId="77777777" w:rsidR="00BE36FB" w:rsidRPr="009B7B35" w:rsidRDefault="00BE36FB" w:rsidP="00BE36FB">
            <w:pPr>
              <w:pStyle w:val="TableText"/>
              <w:numPr>
                <w:ilvl w:val="0"/>
                <w:numId w:val="665"/>
              </w:numPr>
              <w:rPr>
                <w:rFonts w:cs="Arial"/>
              </w:rPr>
            </w:pPr>
            <w:r w:rsidRPr="009B7B35">
              <w:rPr>
                <w:rFonts w:cs="Arial"/>
              </w:rPr>
              <w:t>avoid edge effects such as undesirable microclimate effects and threats from non–native or pest fauna or flora, and</w:t>
            </w:r>
          </w:p>
          <w:p w14:paraId="04AF8467" w14:textId="77777777" w:rsidR="00BE36FB" w:rsidRPr="009B7B35" w:rsidRDefault="00BE36FB" w:rsidP="00BE36FB">
            <w:pPr>
              <w:pStyle w:val="TableText"/>
              <w:numPr>
                <w:ilvl w:val="0"/>
                <w:numId w:val="665"/>
              </w:numPr>
              <w:rPr>
                <w:rFonts w:cs="Arial"/>
                <w:w w:val="98"/>
              </w:rPr>
            </w:pPr>
            <w:r w:rsidRPr="009B7B35">
              <w:rPr>
                <w:rFonts w:cs="Arial"/>
                <w:w w:val="98"/>
              </w:rPr>
              <w:t>maintain and enhance ecological connectivity.</w:t>
            </w:r>
          </w:p>
          <w:p w14:paraId="5C771FF5" w14:textId="77777777" w:rsidR="00BE36FB" w:rsidRPr="009B7B35" w:rsidRDefault="00BE36FB" w:rsidP="001A7107">
            <w:pPr>
              <w:pStyle w:val="Notes"/>
              <w:rPr>
                <w:rFonts w:cs="Arial"/>
                <w:sz w:val="20"/>
                <w:szCs w:val="20"/>
              </w:rPr>
            </w:pPr>
            <w:r w:rsidRPr="009B7B35">
              <w:rPr>
                <w:rFonts w:cs="Arial"/>
                <w:sz w:val="20"/>
                <w:szCs w:val="20"/>
              </w:rPr>
              <w:t xml:space="preserve">Note—Any setbacks or other areas required for bushfire management, safety, recreation, maintenance or any other purpose are provided in addition to a vegetated buffer provided for ecological and environmental protection purposes. </w:t>
            </w:r>
          </w:p>
          <w:p w14:paraId="6111F137" w14:textId="77777777" w:rsidR="00BE36FB" w:rsidRPr="009B7B35" w:rsidRDefault="00BE36FB" w:rsidP="001A7107">
            <w:pPr>
              <w:pStyle w:val="Notes"/>
              <w:rPr>
                <w:rFonts w:cs="Arial"/>
                <w:sz w:val="20"/>
                <w:szCs w:val="20"/>
              </w:rPr>
            </w:pPr>
            <w:r w:rsidRPr="009B7B35">
              <w:rPr>
                <w:rFonts w:cs="Arial"/>
                <w:sz w:val="20"/>
                <w:szCs w:val="20"/>
              </w:rPr>
              <w:t>Note—An alternative buffer width may be proposed where buffers for significant species and ecological communities, including areas of habitat for listed threatened and migratory species, are based on best practice and current scientific knowledge of individual species requirements and supported by an ecological assessment. Other legislation, including the Nature Conservation Act and EPBC Act may establish other requirements with which applicants must comply.</w:t>
            </w:r>
          </w:p>
          <w:p w14:paraId="085FA473" w14:textId="77777777" w:rsidR="00BE36FB" w:rsidRPr="009B7B35" w:rsidRDefault="00BE36FB" w:rsidP="001A7107">
            <w:pPr>
              <w:pStyle w:val="Notes"/>
              <w:rPr>
                <w:rFonts w:cs="Arial"/>
                <w:sz w:val="20"/>
                <w:szCs w:val="20"/>
              </w:rPr>
            </w:pPr>
          </w:p>
        </w:tc>
        <w:tc>
          <w:tcPr>
            <w:tcW w:w="0" w:type="auto"/>
          </w:tcPr>
          <w:p w14:paraId="58347E9B" w14:textId="77777777" w:rsidR="00BE36FB" w:rsidRPr="009B7B35" w:rsidRDefault="00BE36FB" w:rsidP="001A7107">
            <w:pPr>
              <w:pStyle w:val="TableText"/>
              <w:rPr>
                <w:rFonts w:cs="Arial"/>
                <w:b/>
                <w:bCs/>
              </w:rPr>
            </w:pPr>
            <w:r w:rsidRPr="009B7B35">
              <w:rPr>
                <w:rFonts w:cs="Arial"/>
                <w:b/>
                <w:bCs/>
              </w:rPr>
              <w:t>AO2</w:t>
            </w:r>
          </w:p>
          <w:p w14:paraId="70E9EE4D" w14:textId="77777777" w:rsidR="00BE36FB" w:rsidRPr="009B7B35" w:rsidRDefault="00BE36FB" w:rsidP="001A7107">
            <w:pPr>
              <w:pStyle w:val="TableText"/>
              <w:rPr>
                <w:rFonts w:cs="Arial"/>
              </w:rPr>
            </w:pPr>
            <w:r w:rsidRPr="009B7B35">
              <w:rPr>
                <w:rFonts w:cs="Arial"/>
              </w:rPr>
              <w:t>A buffer extending from the outside edge of an area of MSES is provided and has a minimum width of:</w:t>
            </w:r>
          </w:p>
          <w:p w14:paraId="5967F2B0" w14:textId="77777777" w:rsidR="00BE36FB" w:rsidRPr="009B7B35" w:rsidRDefault="00BE36FB" w:rsidP="00BE36FB">
            <w:pPr>
              <w:pStyle w:val="TableText"/>
              <w:numPr>
                <w:ilvl w:val="0"/>
                <w:numId w:val="666"/>
              </w:numPr>
              <w:rPr>
                <w:rFonts w:cs="Arial"/>
              </w:rPr>
            </w:pPr>
            <w:r w:rsidRPr="009B7B35">
              <w:rPr>
                <w:rFonts w:cs="Arial"/>
              </w:rPr>
              <w:t>200m where located outside an urban area, or</w:t>
            </w:r>
          </w:p>
          <w:p w14:paraId="03D62761" w14:textId="77777777" w:rsidR="00BE36FB" w:rsidRPr="009B7B35" w:rsidRDefault="00BE36FB" w:rsidP="00BE36FB">
            <w:pPr>
              <w:pStyle w:val="TableText"/>
              <w:numPr>
                <w:ilvl w:val="0"/>
                <w:numId w:val="666"/>
              </w:numPr>
              <w:rPr>
                <w:rFonts w:cs="Arial"/>
              </w:rPr>
            </w:pPr>
            <w:r w:rsidRPr="009B7B35">
              <w:rPr>
                <w:rFonts w:cs="Arial"/>
              </w:rPr>
              <w:t>50m where located within an urban area.</w:t>
            </w:r>
          </w:p>
          <w:p w14:paraId="49B154C2" w14:textId="77777777" w:rsidR="00BE36FB" w:rsidRPr="009B7B35" w:rsidRDefault="00BE36FB" w:rsidP="001A7107">
            <w:pPr>
              <w:pStyle w:val="Notes"/>
              <w:rPr>
                <w:rFonts w:cs="Arial"/>
                <w:sz w:val="20"/>
                <w:szCs w:val="20"/>
              </w:rPr>
            </w:pPr>
          </w:p>
        </w:tc>
      </w:tr>
      <w:tr w:rsidR="00BE36FB" w:rsidRPr="009B7B35" w14:paraId="25FAF0EC" w14:textId="77777777" w:rsidTr="001A7107">
        <w:tc>
          <w:tcPr>
            <w:tcW w:w="0" w:type="auto"/>
            <w:vMerge w:val="restart"/>
          </w:tcPr>
          <w:p w14:paraId="24A37039" w14:textId="77777777" w:rsidR="00BE36FB" w:rsidRPr="009B7B35" w:rsidRDefault="00BE36FB" w:rsidP="001A7107">
            <w:pPr>
              <w:pStyle w:val="TableText"/>
              <w:rPr>
                <w:rFonts w:cs="Arial"/>
                <w:b/>
                <w:bCs/>
              </w:rPr>
            </w:pPr>
            <w:r w:rsidRPr="009B7B35">
              <w:rPr>
                <w:rFonts w:cs="Arial"/>
                <w:b/>
                <w:bCs/>
              </w:rPr>
              <w:t>PO3</w:t>
            </w:r>
          </w:p>
          <w:p w14:paraId="2D14F6E0" w14:textId="77777777" w:rsidR="00BE36FB" w:rsidRPr="009B7B35" w:rsidRDefault="00BE36FB" w:rsidP="001A7107">
            <w:pPr>
              <w:pStyle w:val="TableText"/>
              <w:rPr>
                <w:rFonts w:cs="Arial"/>
              </w:rPr>
            </w:pPr>
            <w:r w:rsidRPr="009B7B35">
              <w:rPr>
                <w:rFonts w:cs="Arial"/>
              </w:rPr>
              <w:t>Development within 500m of turtle nesting beaches is located, designed and operated to:</w:t>
            </w:r>
          </w:p>
          <w:p w14:paraId="184FC3BF" w14:textId="77777777" w:rsidR="00BE36FB" w:rsidRPr="009B7B35" w:rsidRDefault="00BE36FB" w:rsidP="00BE36FB">
            <w:pPr>
              <w:pStyle w:val="TableText"/>
              <w:numPr>
                <w:ilvl w:val="0"/>
                <w:numId w:val="667"/>
              </w:numPr>
              <w:rPr>
                <w:rFonts w:cs="Arial"/>
              </w:rPr>
            </w:pPr>
            <w:r w:rsidRPr="009B7B35">
              <w:rPr>
                <w:rFonts w:cs="Arial"/>
              </w:rPr>
              <w:t>protect the habitat values of the rookery for turtle breeding</w:t>
            </w:r>
          </w:p>
          <w:p w14:paraId="47153E18" w14:textId="77777777" w:rsidR="00BE36FB" w:rsidRPr="009B7B35" w:rsidRDefault="00BE36FB" w:rsidP="00BE36FB">
            <w:pPr>
              <w:pStyle w:val="TableText"/>
              <w:numPr>
                <w:ilvl w:val="0"/>
                <w:numId w:val="667"/>
              </w:numPr>
              <w:rPr>
                <w:rFonts w:cs="Arial"/>
              </w:rPr>
            </w:pPr>
            <w:r w:rsidRPr="009B7B35">
              <w:rPr>
                <w:rFonts w:cs="Arial"/>
              </w:rPr>
              <w:t xml:space="preserve">maintain a vegetated buffer adjacent to the beach </w:t>
            </w:r>
          </w:p>
          <w:p w14:paraId="14FBF20B" w14:textId="77777777" w:rsidR="00BE36FB" w:rsidRPr="009B7B35" w:rsidRDefault="00BE36FB" w:rsidP="00BE36FB">
            <w:pPr>
              <w:pStyle w:val="TableText"/>
              <w:numPr>
                <w:ilvl w:val="0"/>
                <w:numId w:val="667"/>
              </w:numPr>
              <w:rPr>
                <w:rFonts w:cs="Arial"/>
              </w:rPr>
            </w:pPr>
            <w:r w:rsidRPr="009B7B35">
              <w:rPr>
                <w:rFonts w:cs="Arial"/>
              </w:rPr>
              <w:t>ensure access to the beach nesting area is managed in a way that protects a turtle nesting area, and</w:t>
            </w:r>
          </w:p>
          <w:p w14:paraId="208142E0" w14:textId="77777777" w:rsidR="00BE36FB" w:rsidRPr="009B7B35" w:rsidRDefault="00BE36FB" w:rsidP="00BE36FB">
            <w:pPr>
              <w:pStyle w:val="TableText"/>
              <w:numPr>
                <w:ilvl w:val="0"/>
                <w:numId w:val="667"/>
              </w:numPr>
              <w:rPr>
                <w:rFonts w:cs="Arial"/>
              </w:rPr>
            </w:pPr>
            <w:r w:rsidRPr="009B7B35">
              <w:rPr>
                <w:rFonts w:cs="Arial"/>
              </w:rPr>
              <w:t>ensure lighting does not impact on the ecological and habitat values of turtle nesting areas and rookery.</w:t>
            </w:r>
          </w:p>
        </w:tc>
        <w:tc>
          <w:tcPr>
            <w:tcW w:w="0" w:type="auto"/>
          </w:tcPr>
          <w:p w14:paraId="19EF4BAB" w14:textId="77777777" w:rsidR="00BE36FB" w:rsidRPr="009B7B35" w:rsidRDefault="00BE36FB" w:rsidP="001A7107">
            <w:pPr>
              <w:pStyle w:val="TableText"/>
              <w:rPr>
                <w:rFonts w:cs="Arial"/>
                <w:b/>
                <w:bCs/>
              </w:rPr>
            </w:pPr>
            <w:r w:rsidRPr="009B7B35">
              <w:rPr>
                <w:rFonts w:cs="Arial"/>
                <w:b/>
                <w:bCs/>
              </w:rPr>
              <w:t>AO3.1</w:t>
            </w:r>
          </w:p>
          <w:p w14:paraId="0C368CC2" w14:textId="77777777" w:rsidR="00BE36FB" w:rsidRPr="009B7B35" w:rsidRDefault="00BE36FB" w:rsidP="001A7107">
            <w:pPr>
              <w:pStyle w:val="TableText"/>
              <w:rPr>
                <w:rFonts w:cs="Arial"/>
              </w:rPr>
            </w:pPr>
            <w:r w:rsidRPr="009B7B35">
              <w:rPr>
                <w:rFonts w:cs="Arial"/>
              </w:rPr>
              <w:t>Development within 500m of a turtle nesting beach ensures any lighting:</w:t>
            </w:r>
          </w:p>
          <w:p w14:paraId="23C29358" w14:textId="77777777" w:rsidR="00BE36FB" w:rsidRPr="009B7B35" w:rsidRDefault="00BE36FB" w:rsidP="00BE36FB">
            <w:pPr>
              <w:pStyle w:val="TableText"/>
              <w:numPr>
                <w:ilvl w:val="0"/>
                <w:numId w:val="668"/>
              </w:numPr>
              <w:rPr>
                <w:rFonts w:cs="Arial"/>
              </w:rPr>
            </w:pPr>
            <w:r w:rsidRPr="009B7B35">
              <w:rPr>
                <w:rFonts w:cs="Arial"/>
              </w:rPr>
              <w:t>does not spill onto beach areas</w:t>
            </w:r>
          </w:p>
          <w:p w14:paraId="7A9B5887" w14:textId="77777777" w:rsidR="00BE36FB" w:rsidRPr="009B7B35" w:rsidRDefault="00BE36FB" w:rsidP="00BE36FB">
            <w:pPr>
              <w:pStyle w:val="TableText"/>
              <w:numPr>
                <w:ilvl w:val="0"/>
                <w:numId w:val="668"/>
              </w:numPr>
              <w:rPr>
                <w:rFonts w:cs="Arial"/>
              </w:rPr>
            </w:pPr>
            <w:r w:rsidRPr="009B7B35">
              <w:rPr>
                <w:rFonts w:cs="Arial"/>
              </w:rPr>
              <w:t>is on a structure no higher than 8.5m</w:t>
            </w:r>
          </w:p>
          <w:p w14:paraId="34A030C6" w14:textId="77777777" w:rsidR="00BE36FB" w:rsidRPr="009B7B35" w:rsidRDefault="00BE36FB" w:rsidP="00BE36FB">
            <w:pPr>
              <w:pStyle w:val="TableText"/>
              <w:numPr>
                <w:ilvl w:val="0"/>
                <w:numId w:val="668"/>
              </w:numPr>
              <w:rPr>
                <w:rFonts w:cs="Arial"/>
              </w:rPr>
            </w:pPr>
            <w:r w:rsidRPr="009B7B35">
              <w:rPr>
                <w:rFonts w:cs="Arial"/>
              </w:rPr>
              <w:t>is directed away from the beach, and</w:t>
            </w:r>
          </w:p>
          <w:p w14:paraId="007BEDFB" w14:textId="77777777" w:rsidR="00BE36FB" w:rsidRPr="009B7B35" w:rsidRDefault="00BE36FB" w:rsidP="00BE36FB">
            <w:pPr>
              <w:pStyle w:val="TableText"/>
              <w:numPr>
                <w:ilvl w:val="0"/>
                <w:numId w:val="668"/>
              </w:numPr>
              <w:rPr>
                <w:rFonts w:cs="Arial"/>
              </w:rPr>
            </w:pPr>
            <w:r w:rsidRPr="009B7B35">
              <w:rPr>
                <w:rFonts w:cs="Arial"/>
              </w:rPr>
              <w:t>includes characteristic wavelengths that will not affect turtles.</w:t>
            </w:r>
          </w:p>
          <w:p w14:paraId="2D6565B1" w14:textId="77777777" w:rsidR="00BE36FB" w:rsidRPr="009B7B35" w:rsidRDefault="00BE36FB" w:rsidP="001A7107">
            <w:pPr>
              <w:rPr>
                <w:rFonts w:cs="Arial"/>
                <w:sz w:val="20"/>
                <w:szCs w:val="20"/>
              </w:rPr>
            </w:pPr>
          </w:p>
        </w:tc>
      </w:tr>
      <w:tr w:rsidR="00BE36FB" w:rsidRPr="009B7B35" w14:paraId="54CB1F82" w14:textId="77777777" w:rsidTr="001A7107">
        <w:tc>
          <w:tcPr>
            <w:tcW w:w="0" w:type="auto"/>
            <w:vMerge/>
          </w:tcPr>
          <w:p w14:paraId="26F966DD" w14:textId="77777777" w:rsidR="00BE36FB" w:rsidRPr="009B7B35" w:rsidRDefault="00BE36FB" w:rsidP="001A7107">
            <w:pPr>
              <w:rPr>
                <w:rFonts w:cs="Arial"/>
                <w:sz w:val="20"/>
                <w:szCs w:val="20"/>
              </w:rPr>
            </w:pPr>
          </w:p>
        </w:tc>
        <w:tc>
          <w:tcPr>
            <w:tcW w:w="0" w:type="auto"/>
          </w:tcPr>
          <w:p w14:paraId="48EBF54D" w14:textId="77777777" w:rsidR="00BE36FB" w:rsidRPr="009B7B35" w:rsidRDefault="00BE36FB" w:rsidP="001A7107">
            <w:pPr>
              <w:pStyle w:val="TableText"/>
              <w:rPr>
                <w:rFonts w:cs="Arial"/>
                <w:b/>
                <w:bCs/>
              </w:rPr>
            </w:pPr>
            <w:r w:rsidRPr="009B7B35">
              <w:rPr>
                <w:rFonts w:cs="Arial"/>
                <w:b/>
                <w:bCs/>
              </w:rPr>
              <w:t>AO3.2</w:t>
            </w:r>
          </w:p>
          <w:p w14:paraId="1F2E7855" w14:textId="77777777" w:rsidR="00BE36FB" w:rsidRPr="009B7B35" w:rsidRDefault="00BE36FB" w:rsidP="001A7107">
            <w:pPr>
              <w:pStyle w:val="TableText"/>
              <w:rPr>
                <w:rFonts w:cs="Arial"/>
              </w:rPr>
            </w:pPr>
            <w:r w:rsidRPr="009B7B35">
              <w:rPr>
                <w:rFonts w:cs="Arial"/>
              </w:rPr>
              <w:t>Development is setback from and maintains at least a 200m wide vegetated buffer to turtle nesting beaches. The buffer is maintained in a natural state and is kept free from development.</w:t>
            </w:r>
          </w:p>
        </w:tc>
      </w:tr>
      <w:tr w:rsidR="00BE36FB" w:rsidRPr="009B7B35" w14:paraId="6C4C1B89" w14:textId="77777777" w:rsidTr="001A7107">
        <w:tc>
          <w:tcPr>
            <w:tcW w:w="0" w:type="auto"/>
            <w:gridSpan w:val="2"/>
            <w:shd w:val="clear" w:color="auto" w:fill="BFBFBF" w:themeFill="background1" w:themeFillShade="BF"/>
          </w:tcPr>
          <w:p w14:paraId="0F8494C6" w14:textId="77777777" w:rsidR="00BE36FB" w:rsidRPr="009B7B35" w:rsidRDefault="00BE36FB" w:rsidP="001A7107">
            <w:pPr>
              <w:pStyle w:val="Tableheading"/>
              <w:rPr>
                <w:rFonts w:ascii="Arial" w:hAnsi="Arial" w:cs="Arial"/>
                <w:szCs w:val="20"/>
              </w:rPr>
            </w:pPr>
            <w:r w:rsidRPr="009B7B35">
              <w:rPr>
                <w:rFonts w:ascii="Arial" w:hAnsi="Arial" w:cs="Arial"/>
                <w:szCs w:val="20"/>
              </w:rPr>
              <w:t>Wetland and waterway buffers</w:t>
            </w:r>
          </w:p>
        </w:tc>
      </w:tr>
      <w:tr w:rsidR="00BE36FB" w:rsidRPr="009B7B35" w14:paraId="5840B979" w14:textId="77777777" w:rsidTr="001A7107">
        <w:trPr>
          <w:trHeight w:val="4976"/>
        </w:trPr>
        <w:tc>
          <w:tcPr>
            <w:tcW w:w="0" w:type="auto"/>
          </w:tcPr>
          <w:p w14:paraId="3EC94C08" w14:textId="77777777" w:rsidR="00BE36FB" w:rsidRPr="009B7B35" w:rsidRDefault="00BE36FB" w:rsidP="001A7107">
            <w:pPr>
              <w:pStyle w:val="TableText"/>
              <w:rPr>
                <w:rFonts w:cs="Arial"/>
                <w:b/>
                <w:bCs/>
              </w:rPr>
            </w:pPr>
            <w:r w:rsidRPr="009B7B35">
              <w:rPr>
                <w:rFonts w:cs="Arial"/>
                <w:b/>
                <w:bCs/>
              </w:rPr>
              <w:t>PO4</w:t>
            </w:r>
          </w:p>
          <w:p w14:paraId="4B76B316" w14:textId="77777777" w:rsidR="00BE36FB" w:rsidRPr="009B7B35" w:rsidRDefault="00BE36FB" w:rsidP="001A7107">
            <w:pPr>
              <w:pStyle w:val="TableText"/>
              <w:rPr>
                <w:rFonts w:cs="Arial"/>
              </w:rPr>
            </w:pPr>
            <w:r w:rsidRPr="009B7B35">
              <w:rPr>
                <w:rFonts w:cs="Arial"/>
              </w:rPr>
              <w:t>An adequate buffer to a wetland in a wetland protection area is provided and maintained to:</w:t>
            </w:r>
          </w:p>
          <w:p w14:paraId="23C12737" w14:textId="77777777" w:rsidR="00BE36FB" w:rsidRPr="009B7B35" w:rsidRDefault="00BE36FB" w:rsidP="00BE36FB">
            <w:pPr>
              <w:pStyle w:val="TableText"/>
              <w:numPr>
                <w:ilvl w:val="0"/>
                <w:numId w:val="669"/>
              </w:numPr>
              <w:rPr>
                <w:rFonts w:cs="Arial"/>
              </w:rPr>
            </w:pPr>
            <w:r w:rsidRPr="009B7B35">
              <w:rPr>
                <w:rFonts w:cs="Arial"/>
              </w:rPr>
              <w:t>protect and enhance habitat values, connectivity and other ecological processes and values</w:t>
            </w:r>
          </w:p>
          <w:p w14:paraId="440A22C0" w14:textId="77777777" w:rsidR="00BE36FB" w:rsidRPr="009B7B35" w:rsidRDefault="00BE36FB" w:rsidP="00BE36FB">
            <w:pPr>
              <w:pStyle w:val="TableText"/>
              <w:numPr>
                <w:ilvl w:val="0"/>
                <w:numId w:val="669"/>
              </w:numPr>
              <w:rPr>
                <w:rFonts w:cs="Arial"/>
              </w:rPr>
            </w:pPr>
            <w:r w:rsidRPr="009B7B35">
              <w:rPr>
                <w:rFonts w:cs="Arial"/>
              </w:rPr>
              <w:t>protect water quality and aquatic conditions</w:t>
            </w:r>
          </w:p>
          <w:p w14:paraId="53E3FB50" w14:textId="77777777" w:rsidR="00BE36FB" w:rsidRPr="009B7B35" w:rsidRDefault="00BE36FB" w:rsidP="00BE36FB">
            <w:pPr>
              <w:pStyle w:val="TableText"/>
              <w:numPr>
                <w:ilvl w:val="0"/>
                <w:numId w:val="669"/>
              </w:numPr>
              <w:rPr>
                <w:rFonts w:cs="Arial"/>
              </w:rPr>
            </w:pPr>
            <w:r w:rsidRPr="009B7B35">
              <w:rPr>
                <w:rFonts w:cs="Arial"/>
              </w:rPr>
              <w:t>maintain natural micro–climatic conditions</w:t>
            </w:r>
          </w:p>
          <w:p w14:paraId="6C2D048D" w14:textId="77777777" w:rsidR="00BE36FB" w:rsidRPr="009B7B35" w:rsidRDefault="00BE36FB" w:rsidP="00BE36FB">
            <w:pPr>
              <w:pStyle w:val="TableText"/>
              <w:numPr>
                <w:ilvl w:val="0"/>
                <w:numId w:val="669"/>
              </w:numPr>
              <w:rPr>
                <w:rFonts w:cs="Arial"/>
              </w:rPr>
            </w:pPr>
            <w:r w:rsidRPr="009B7B35">
              <w:rPr>
                <w:rFonts w:cs="Arial"/>
              </w:rPr>
              <w:t>maintain natural hydrological processes</w:t>
            </w:r>
          </w:p>
          <w:p w14:paraId="161482EC" w14:textId="77777777" w:rsidR="00BE36FB" w:rsidRPr="009B7B35" w:rsidRDefault="00BE36FB" w:rsidP="00BE36FB">
            <w:pPr>
              <w:pStyle w:val="TableText"/>
              <w:numPr>
                <w:ilvl w:val="0"/>
                <w:numId w:val="669"/>
              </w:numPr>
              <w:rPr>
                <w:rFonts w:cs="Arial"/>
              </w:rPr>
            </w:pPr>
            <w:r w:rsidRPr="009B7B35">
              <w:rPr>
                <w:rFonts w:cs="Arial"/>
              </w:rPr>
              <w:t>prevent mass movement, gully erosion, rill erosion, sheet erosion, tunnel erosion, stream bank erosion, wind erosion, or scalding, and</w:t>
            </w:r>
          </w:p>
          <w:p w14:paraId="2BEF4837" w14:textId="77777777" w:rsidR="00BE36FB" w:rsidRPr="009B7B35" w:rsidRDefault="00BE36FB" w:rsidP="00BE36FB">
            <w:pPr>
              <w:pStyle w:val="TableText"/>
              <w:numPr>
                <w:ilvl w:val="0"/>
                <w:numId w:val="669"/>
              </w:numPr>
              <w:rPr>
                <w:rFonts w:cs="Arial"/>
              </w:rPr>
            </w:pPr>
            <w:r w:rsidRPr="009B7B35">
              <w:rPr>
                <w:rFonts w:cs="Arial"/>
              </w:rPr>
              <w:t>prevent loss or modification of chemical, physical or biological properties or functions of soil.</w:t>
            </w:r>
          </w:p>
          <w:p w14:paraId="15B22D77" w14:textId="77777777" w:rsidR="00BE36FB" w:rsidRPr="009B7B35" w:rsidRDefault="00BE36FB" w:rsidP="001A7107">
            <w:pPr>
              <w:pStyle w:val="Notes"/>
              <w:rPr>
                <w:rFonts w:cs="Arial"/>
                <w:sz w:val="20"/>
                <w:szCs w:val="20"/>
              </w:rPr>
            </w:pPr>
            <w:r w:rsidRPr="009B7B35">
              <w:rPr>
                <w:rFonts w:cs="Arial"/>
                <w:sz w:val="20"/>
                <w:szCs w:val="20"/>
              </w:rPr>
              <w:t xml:space="preserve">Note—Any setbacks or areas required for bushfire management, safety, recreation, maintenance or any other purpose, are provided in addition to a vegetated buffer provided for ecological purposes. </w:t>
            </w:r>
          </w:p>
        </w:tc>
        <w:tc>
          <w:tcPr>
            <w:tcW w:w="0" w:type="auto"/>
          </w:tcPr>
          <w:p w14:paraId="6F86ECA5" w14:textId="77777777" w:rsidR="00BE36FB" w:rsidRPr="009B7B35" w:rsidRDefault="00BE36FB" w:rsidP="001A7107">
            <w:pPr>
              <w:pStyle w:val="TableText"/>
              <w:rPr>
                <w:rFonts w:cs="Arial"/>
                <w:b/>
                <w:bCs/>
              </w:rPr>
            </w:pPr>
            <w:r w:rsidRPr="009B7B35">
              <w:rPr>
                <w:rFonts w:cs="Arial"/>
                <w:b/>
                <w:bCs/>
              </w:rPr>
              <w:t>AO4</w:t>
            </w:r>
          </w:p>
          <w:p w14:paraId="26315B8C" w14:textId="77777777" w:rsidR="00BE36FB" w:rsidRPr="009B7B35" w:rsidRDefault="00BE36FB" w:rsidP="001A7107">
            <w:pPr>
              <w:pStyle w:val="TableText"/>
              <w:rPr>
                <w:rFonts w:cs="Arial"/>
              </w:rPr>
            </w:pPr>
            <w:r w:rsidRPr="009B7B35">
              <w:rPr>
                <w:rFonts w:cs="Arial"/>
              </w:rPr>
              <w:t>A development free buffer surrounding a wetland in a wetland protection area is provided and has a minimum width of:</w:t>
            </w:r>
          </w:p>
          <w:p w14:paraId="4E91C906" w14:textId="77777777" w:rsidR="00BE36FB" w:rsidRPr="009B7B35" w:rsidRDefault="00BE36FB" w:rsidP="00BE36FB">
            <w:pPr>
              <w:pStyle w:val="TableText"/>
              <w:numPr>
                <w:ilvl w:val="0"/>
                <w:numId w:val="670"/>
              </w:numPr>
              <w:rPr>
                <w:rFonts w:cs="Arial"/>
              </w:rPr>
            </w:pPr>
            <w:r w:rsidRPr="009B7B35">
              <w:rPr>
                <w:rFonts w:cs="Arial"/>
              </w:rPr>
              <w:t>200m where the wetland is located outside an urban area, or</w:t>
            </w:r>
          </w:p>
          <w:p w14:paraId="49D9C9BD" w14:textId="77777777" w:rsidR="00BE36FB" w:rsidRPr="009B7B35" w:rsidRDefault="00BE36FB" w:rsidP="00BE36FB">
            <w:pPr>
              <w:pStyle w:val="TableText"/>
              <w:numPr>
                <w:ilvl w:val="0"/>
                <w:numId w:val="670"/>
              </w:numPr>
              <w:rPr>
                <w:rFonts w:cs="Arial"/>
              </w:rPr>
            </w:pPr>
            <w:r w:rsidRPr="009B7B35">
              <w:rPr>
                <w:rFonts w:cs="Arial"/>
              </w:rPr>
              <w:t>50m where the wetland is located within an urban area.</w:t>
            </w:r>
          </w:p>
          <w:p w14:paraId="431D3A57" w14:textId="77777777" w:rsidR="00BE36FB" w:rsidRPr="009B7B35" w:rsidRDefault="00BE36FB" w:rsidP="001A7107">
            <w:pPr>
              <w:pStyle w:val="Notes"/>
              <w:rPr>
                <w:rFonts w:cs="Arial"/>
                <w:sz w:val="20"/>
                <w:szCs w:val="20"/>
              </w:rPr>
            </w:pPr>
            <w:r w:rsidRPr="009B7B35">
              <w:rPr>
                <w:rFonts w:cs="Arial"/>
                <w:sz w:val="20"/>
                <w:szCs w:val="20"/>
              </w:rPr>
              <w:t>Note—To avoid conflict, where a development requires multiple buffers to be established by this code to protect waterways, ecological corridors, wetlands or MSES, the greatest distances required by this code will prevail to the extent of any inconsistency.</w:t>
            </w:r>
          </w:p>
          <w:p w14:paraId="5353FDE9" w14:textId="77777777" w:rsidR="00BE36FB" w:rsidRPr="009B7B35" w:rsidRDefault="00BE36FB" w:rsidP="001A7107">
            <w:pPr>
              <w:pStyle w:val="TableText"/>
              <w:rPr>
                <w:rFonts w:cs="Arial"/>
              </w:rPr>
            </w:pPr>
          </w:p>
        </w:tc>
      </w:tr>
      <w:tr w:rsidR="00BE36FB" w:rsidRPr="009B7B35" w14:paraId="28377DBE" w14:textId="77777777" w:rsidTr="001A7107">
        <w:tc>
          <w:tcPr>
            <w:tcW w:w="0" w:type="auto"/>
            <w:gridSpan w:val="2"/>
          </w:tcPr>
          <w:p w14:paraId="46182B07"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357FB1F1" w14:textId="77777777" w:rsidTr="001A7107">
        <w:tc>
          <w:tcPr>
            <w:tcW w:w="0" w:type="auto"/>
          </w:tcPr>
          <w:p w14:paraId="73DF9F76" w14:textId="77777777" w:rsidR="00BE36FB" w:rsidRPr="009B7B35" w:rsidRDefault="00BE36FB" w:rsidP="001A7107">
            <w:pPr>
              <w:pStyle w:val="TableText"/>
              <w:rPr>
                <w:rFonts w:cs="Arial"/>
                <w:b/>
                <w:bCs/>
              </w:rPr>
            </w:pPr>
            <w:r w:rsidRPr="009B7B35">
              <w:rPr>
                <w:rFonts w:cs="Arial"/>
                <w:b/>
                <w:bCs/>
              </w:rPr>
              <w:t>PO5</w:t>
            </w:r>
          </w:p>
          <w:p w14:paraId="64F56FF8" w14:textId="77777777" w:rsidR="00BE36FB" w:rsidRPr="009B7B35" w:rsidRDefault="00BE36FB" w:rsidP="001A7107">
            <w:pPr>
              <w:pStyle w:val="TableText"/>
              <w:rPr>
                <w:rFonts w:cs="Arial"/>
              </w:rPr>
            </w:pPr>
            <w:r w:rsidRPr="009B7B35">
              <w:rPr>
                <w:rFonts w:cs="Arial"/>
              </w:rPr>
              <w:t>Alterations to natural landforms, hydrology and drainage patterns do not adversely impact on areas containing MSES.</w:t>
            </w:r>
          </w:p>
        </w:tc>
        <w:tc>
          <w:tcPr>
            <w:tcW w:w="0" w:type="auto"/>
          </w:tcPr>
          <w:p w14:paraId="36D571E8"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1F50A95" w14:textId="77777777" w:rsidTr="001A7107">
        <w:tc>
          <w:tcPr>
            <w:tcW w:w="0" w:type="auto"/>
          </w:tcPr>
          <w:p w14:paraId="7EDA2A29" w14:textId="77777777" w:rsidR="00BE36FB" w:rsidRPr="009B7B35" w:rsidRDefault="00BE36FB" w:rsidP="001A7107">
            <w:pPr>
              <w:pStyle w:val="TableText"/>
              <w:rPr>
                <w:rFonts w:cs="Arial"/>
                <w:b/>
                <w:bCs/>
              </w:rPr>
            </w:pPr>
            <w:r w:rsidRPr="009B7B35">
              <w:rPr>
                <w:rFonts w:cs="Arial"/>
                <w:b/>
                <w:bCs/>
              </w:rPr>
              <w:t>PO6</w:t>
            </w:r>
          </w:p>
          <w:p w14:paraId="12906F44" w14:textId="77777777" w:rsidR="00BE36FB" w:rsidRPr="009B7B35" w:rsidRDefault="00BE36FB" w:rsidP="001A7107">
            <w:pPr>
              <w:pStyle w:val="TableText"/>
              <w:rPr>
                <w:rFonts w:cs="Arial"/>
              </w:rPr>
            </w:pPr>
            <w:r w:rsidRPr="009B7B35">
              <w:rPr>
                <w:rFonts w:cs="Arial"/>
              </w:rPr>
              <w:t>Development retains and enhances riparian vegetation along watercourses and drainage corridors, and vegetation along timbered ridgelines.</w:t>
            </w:r>
          </w:p>
        </w:tc>
        <w:tc>
          <w:tcPr>
            <w:tcW w:w="0" w:type="auto"/>
          </w:tcPr>
          <w:p w14:paraId="4A094DA8"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5F49158" w14:textId="77777777" w:rsidTr="001A7107">
        <w:tc>
          <w:tcPr>
            <w:tcW w:w="0" w:type="auto"/>
          </w:tcPr>
          <w:p w14:paraId="10A3ED31" w14:textId="77777777" w:rsidR="00BE36FB" w:rsidRPr="009B7B35" w:rsidRDefault="00BE36FB" w:rsidP="001A7107">
            <w:pPr>
              <w:pStyle w:val="TableText"/>
              <w:rPr>
                <w:rFonts w:cs="Arial"/>
                <w:b/>
                <w:bCs/>
              </w:rPr>
            </w:pPr>
            <w:r w:rsidRPr="009B7B35">
              <w:rPr>
                <w:rFonts w:cs="Arial"/>
                <w:b/>
                <w:bCs/>
              </w:rPr>
              <w:t>PO7</w:t>
            </w:r>
          </w:p>
          <w:p w14:paraId="7BCF3C53" w14:textId="77777777" w:rsidR="00BE36FB" w:rsidRPr="009B7B35" w:rsidRDefault="00BE36FB" w:rsidP="001A7107">
            <w:pPr>
              <w:pStyle w:val="TableText"/>
              <w:rPr>
                <w:rFonts w:cs="Arial"/>
              </w:rPr>
            </w:pPr>
            <w:r w:rsidRPr="009B7B35">
              <w:rPr>
                <w:rFonts w:cs="Arial"/>
              </w:rPr>
              <w:t>Buffering, rehabilitation or restoration, protects and enhances MSES and their underlying ecological processes, habitat and biodiversity values by:</w:t>
            </w:r>
          </w:p>
          <w:p w14:paraId="584A3FF3" w14:textId="77777777" w:rsidR="00BE36FB" w:rsidRPr="009B7B35" w:rsidRDefault="00BE36FB" w:rsidP="00BE36FB">
            <w:pPr>
              <w:pStyle w:val="TableText"/>
              <w:numPr>
                <w:ilvl w:val="0"/>
                <w:numId w:val="671"/>
              </w:numPr>
              <w:rPr>
                <w:rFonts w:cs="Arial"/>
              </w:rPr>
            </w:pPr>
            <w:r w:rsidRPr="009B7B35">
              <w:rPr>
                <w:rFonts w:cs="Arial"/>
              </w:rPr>
              <w:t>using site appropriate and locally occurring native species</w:t>
            </w:r>
          </w:p>
          <w:p w14:paraId="33843A99" w14:textId="77777777" w:rsidR="00BE36FB" w:rsidRPr="009B7B35" w:rsidRDefault="00BE36FB" w:rsidP="00BE36FB">
            <w:pPr>
              <w:pStyle w:val="TableText"/>
              <w:numPr>
                <w:ilvl w:val="0"/>
                <w:numId w:val="671"/>
              </w:numPr>
              <w:rPr>
                <w:rFonts w:cs="Arial"/>
              </w:rPr>
            </w:pPr>
            <w:r w:rsidRPr="009B7B35">
              <w:rPr>
                <w:rFonts w:cs="Arial"/>
              </w:rPr>
              <w:t>replicating as far as practicable, the species composition and structural components of healthy remnant vegetation and associated habitats, including understorey vegetation, and</w:t>
            </w:r>
          </w:p>
          <w:p w14:paraId="72C8D9F1" w14:textId="77777777" w:rsidR="00BE36FB" w:rsidRPr="009B7B35" w:rsidRDefault="00BE36FB" w:rsidP="00BE36FB">
            <w:pPr>
              <w:pStyle w:val="TableText"/>
              <w:numPr>
                <w:ilvl w:val="0"/>
                <w:numId w:val="671"/>
              </w:numPr>
              <w:rPr>
                <w:rFonts w:cs="Arial"/>
              </w:rPr>
            </w:pPr>
            <w:r w:rsidRPr="009B7B35">
              <w:rPr>
                <w:rFonts w:cs="Arial"/>
              </w:rPr>
              <w:t>excluding environmental weeds, declared plants and other non–native plants likely to displace native flora or fauna species or degrade habitat</w:t>
            </w:r>
          </w:p>
          <w:p w14:paraId="1E5DF501" w14:textId="77777777" w:rsidR="00BE36FB" w:rsidRPr="009B7B35" w:rsidRDefault="00BE36FB" w:rsidP="001A7107">
            <w:pPr>
              <w:pStyle w:val="Notes"/>
              <w:rPr>
                <w:rFonts w:cs="Arial"/>
                <w:sz w:val="20"/>
                <w:szCs w:val="20"/>
              </w:rPr>
            </w:pPr>
            <w:r w:rsidRPr="009B7B35">
              <w:rPr>
                <w:rFonts w:cs="Arial"/>
                <w:sz w:val="20"/>
                <w:szCs w:val="20"/>
              </w:rPr>
              <w:t>Note—To assist in demonstrating achievement of this performance outcome, an ecological assessment and rehabilitation plan is undertaken by the applicant.</w:t>
            </w:r>
          </w:p>
        </w:tc>
        <w:tc>
          <w:tcPr>
            <w:tcW w:w="0" w:type="auto"/>
          </w:tcPr>
          <w:p w14:paraId="158CE3FC" w14:textId="77777777" w:rsidR="00BE36FB" w:rsidRPr="009B7B35" w:rsidRDefault="00BE36FB" w:rsidP="001A7107">
            <w:pPr>
              <w:pStyle w:val="TableText"/>
              <w:rPr>
                <w:rFonts w:cs="Arial"/>
              </w:rPr>
            </w:pPr>
            <w:r w:rsidRPr="009B7B35">
              <w:rPr>
                <w:rFonts w:cs="Arial"/>
              </w:rPr>
              <w:t>No acceptable outcome is nominated.</w:t>
            </w:r>
          </w:p>
          <w:p w14:paraId="5912EC00" w14:textId="77777777" w:rsidR="00BE36FB" w:rsidRPr="009B7B35" w:rsidRDefault="00BE36FB">
            <w:pPr>
              <w:pStyle w:val="Notes"/>
              <w:rPr>
                <w:rFonts w:cs="Arial"/>
                <w:sz w:val="20"/>
                <w:szCs w:val="20"/>
              </w:rPr>
            </w:pPr>
          </w:p>
        </w:tc>
      </w:tr>
      <w:tr w:rsidR="00BE36FB" w:rsidRPr="009B7B35" w14:paraId="65F9AA15" w14:textId="77777777" w:rsidTr="001A7107">
        <w:tc>
          <w:tcPr>
            <w:tcW w:w="0" w:type="auto"/>
          </w:tcPr>
          <w:p w14:paraId="5278B289" w14:textId="77777777" w:rsidR="00BE36FB" w:rsidRPr="009B7B35" w:rsidRDefault="00BE36FB" w:rsidP="001A7107">
            <w:pPr>
              <w:pStyle w:val="TableText"/>
              <w:rPr>
                <w:rFonts w:cs="Arial"/>
                <w:b/>
                <w:bCs/>
              </w:rPr>
            </w:pPr>
            <w:r w:rsidRPr="009B7B35">
              <w:rPr>
                <w:rFonts w:cs="Arial"/>
                <w:b/>
                <w:bCs/>
              </w:rPr>
              <w:t>PO8</w:t>
            </w:r>
          </w:p>
          <w:p w14:paraId="7B661C3D" w14:textId="77777777" w:rsidR="00BE36FB" w:rsidRPr="009B7B35" w:rsidRDefault="00BE36FB" w:rsidP="001A7107">
            <w:pPr>
              <w:pStyle w:val="TableText"/>
              <w:rPr>
                <w:rFonts w:cs="Arial"/>
              </w:rPr>
            </w:pPr>
            <w:r w:rsidRPr="009B7B35">
              <w:rPr>
                <w:rFonts w:cs="Arial"/>
              </w:rPr>
              <w:t xml:space="preserve">Degraded areas supporting MSES or other environmental values important to the maintenance of underlying ecological processes required to maintain biodiversity, are rehabilitated as near as is practical to the naturally occurring state of native plant species and ecological communities. </w:t>
            </w:r>
          </w:p>
        </w:tc>
        <w:tc>
          <w:tcPr>
            <w:tcW w:w="0" w:type="auto"/>
          </w:tcPr>
          <w:p w14:paraId="175654A3"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0CEF8A7" w14:textId="77777777" w:rsidTr="001A7107">
        <w:tc>
          <w:tcPr>
            <w:tcW w:w="0" w:type="auto"/>
          </w:tcPr>
          <w:p w14:paraId="35FEE2A9" w14:textId="77777777" w:rsidR="00BE36FB" w:rsidRPr="009B7B35" w:rsidRDefault="00BE36FB" w:rsidP="001A7107">
            <w:pPr>
              <w:pStyle w:val="TableText"/>
              <w:rPr>
                <w:rFonts w:cs="Arial"/>
                <w:b/>
                <w:bCs/>
              </w:rPr>
            </w:pPr>
            <w:r w:rsidRPr="009B7B35">
              <w:rPr>
                <w:rFonts w:cs="Arial"/>
                <w:b/>
                <w:bCs/>
              </w:rPr>
              <w:t>PO9</w:t>
            </w:r>
          </w:p>
          <w:p w14:paraId="0E4A50FA" w14:textId="77777777" w:rsidR="00BE36FB" w:rsidRPr="009B7B35" w:rsidRDefault="00BE36FB" w:rsidP="001A7107">
            <w:pPr>
              <w:pStyle w:val="TableText"/>
              <w:rPr>
                <w:rFonts w:cs="Arial"/>
              </w:rPr>
            </w:pPr>
            <w:r w:rsidRPr="009B7B35">
              <w:rPr>
                <w:rFonts w:cs="Arial"/>
              </w:rPr>
              <w:t>Development:</w:t>
            </w:r>
          </w:p>
          <w:p w14:paraId="541149A8" w14:textId="77777777" w:rsidR="00BE36FB" w:rsidRPr="009B7B35" w:rsidRDefault="00BE36FB" w:rsidP="00BE36FB">
            <w:pPr>
              <w:pStyle w:val="TableText"/>
              <w:numPr>
                <w:ilvl w:val="0"/>
                <w:numId w:val="672"/>
              </w:numPr>
              <w:rPr>
                <w:rFonts w:cs="Arial"/>
              </w:rPr>
            </w:pPr>
            <w:r w:rsidRPr="009B7B35">
              <w:rPr>
                <w:rFonts w:cs="Arial"/>
              </w:rPr>
              <w:t>avoids the introduction of pest species (plant or animal) that pose a risk to the ecological integrity and biodiversity values of MSES, and</w:t>
            </w:r>
          </w:p>
          <w:p w14:paraId="36438CC5" w14:textId="77777777" w:rsidR="00BE36FB" w:rsidRPr="009B7B35" w:rsidRDefault="00BE36FB" w:rsidP="00BE36FB">
            <w:pPr>
              <w:pStyle w:val="TableText"/>
              <w:numPr>
                <w:ilvl w:val="0"/>
                <w:numId w:val="672"/>
              </w:numPr>
              <w:rPr>
                <w:rFonts w:cs="Arial"/>
              </w:rPr>
            </w:pPr>
            <w:r w:rsidRPr="009B7B35">
              <w:rPr>
                <w:rFonts w:cs="Arial"/>
              </w:rPr>
              <w:t>includes appropriate pest management practices to control any existing threat of pest species in a way that provides for the long term ecological integrity of MSES.</w:t>
            </w:r>
          </w:p>
        </w:tc>
        <w:tc>
          <w:tcPr>
            <w:tcW w:w="0" w:type="auto"/>
          </w:tcPr>
          <w:p w14:paraId="587C3A21"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DAA512F" w14:textId="77777777" w:rsidTr="001A7107">
        <w:tc>
          <w:tcPr>
            <w:tcW w:w="0" w:type="auto"/>
            <w:gridSpan w:val="2"/>
            <w:shd w:val="clear" w:color="auto" w:fill="BFBFBF" w:themeFill="background1" w:themeFillShade="BF"/>
          </w:tcPr>
          <w:p w14:paraId="0F25F164" w14:textId="77777777" w:rsidR="00BE36FB" w:rsidRPr="009B7B35" w:rsidRDefault="00BE36FB" w:rsidP="001A7107">
            <w:pPr>
              <w:pStyle w:val="Tableheading"/>
              <w:rPr>
                <w:rFonts w:ascii="Arial" w:hAnsi="Arial" w:cs="Arial"/>
                <w:szCs w:val="20"/>
              </w:rPr>
            </w:pPr>
            <w:r w:rsidRPr="009B7B35">
              <w:rPr>
                <w:rFonts w:ascii="Arial" w:hAnsi="Arial" w:cs="Arial"/>
                <w:szCs w:val="20"/>
              </w:rPr>
              <w:t>Significant species, wildlife nesting and breeding areas</w:t>
            </w:r>
          </w:p>
        </w:tc>
      </w:tr>
      <w:tr w:rsidR="00BE36FB" w:rsidRPr="009B7B35" w14:paraId="07489E45" w14:textId="77777777" w:rsidTr="001A7107">
        <w:tc>
          <w:tcPr>
            <w:tcW w:w="0" w:type="auto"/>
          </w:tcPr>
          <w:p w14:paraId="49F95955" w14:textId="77777777" w:rsidR="00BE36FB" w:rsidRPr="009B7B35" w:rsidRDefault="00BE36FB" w:rsidP="001A7107">
            <w:pPr>
              <w:pStyle w:val="TableText"/>
              <w:rPr>
                <w:rFonts w:cs="Arial"/>
                <w:b/>
                <w:bCs/>
              </w:rPr>
            </w:pPr>
            <w:r w:rsidRPr="009B7B35">
              <w:rPr>
                <w:rFonts w:cs="Arial"/>
                <w:b/>
                <w:bCs/>
              </w:rPr>
              <w:t>PO10</w:t>
            </w:r>
          </w:p>
          <w:p w14:paraId="7DE4E2DF" w14:textId="77777777" w:rsidR="00BE36FB" w:rsidRPr="009B7B35" w:rsidRDefault="00BE36FB" w:rsidP="001A7107">
            <w:pPr>
              <w:pStyle w:val="TableText"/>
              <w:rPr>
                <w:rFonts w:cs="Arial"/>
              </w:rPr>
            </w:pPr>
            <w:r w:rsidRPr="009B7B35">
              <w:rPr>
                <w:rFonts w:cs="Arial"/>
              </w:rPr>
              <w:t>Development avoids direct and indirect impacts on significant ecological communities and significant species and their habitats, including disturbance from the presence of vehicles, pedestrian use, increased exposure to domestic animals and noise and lighting impacts.</w:t>
            </w:r>
          </w:p>
          <w:p w14:paraId="50E092C6" w14:textId="77777777" w:rsidR="00BE36FB" w:rsidRPr="009B7B35" w:rsidRDefault="00BE36FB" w:rsidP="001A7107">
            <w:pPr>
              <w:pStyle w:val="Notes"/>
              <w:rPr>
                <w:rFonts w:cs="Arial"/>
                <w:sz w:val="20"/>
                <w:szCs w:val="20"/>
              </w:rPr>
            </w:pPr>
            <w:r w:rsidRPr="009B7B35">
              <w:rPr>
                <w:rFonts w:cs="Arial"/>
                <w:sz w:val="20"/>
                <w:szCs w:val="20"/>
              </w:rPr>
              <w:t xml:space="preserve">Note—To assist in demonstrating achievement of this performance outcome, a detailed environmental and ecological assessment to identify any significant species or communities that may be impacted by development, is undertaken by applicants. </w:t>
            </w:r>
          </w:p>
        </w:tc>
        <w:tc>
          <w:tcPr>
            <w:tcW w:w="0" w:type="auto"/>
          </w:tcPr>
          <w:p w14:paraId="526BA93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D3B9694" w14:textId="77777777" w:rsidTr="001A7107">
        <w:tc>
          <w:tcPr>
            <w:tcW w:w="0" w:type="auto"/>
          </w:tcPr>
          <w:p w14:paraId="07EC8261" w14:textId="77777777" w:rsidR="00BE36FB" w:rsidRPr="009B7B35" w:rsidRDefault="00BE36FB" w:rsidP="001A7107">
            <w:pPr>
              <w:pStyle w:val="TableText"/>
              <w:rPr>
                <w:rFonts w:cs="Arial"/>
                <w:b/>
                <w:bCs/>
              </w:rPr>
            </w:pPr>
            <w:r w:rsidRPr="009B7B35">
              <w:rPr>
                <w:rFonts w:cs="Arial"/>
                <w:b/>
                <w:bCs/>
              </w:rPr>
              <w:t>PO11</w:t>
            </w:r>
          </w:p>
          <w:p w14:paraId="17527764" w14:textId="77777777" w:rsidR="00BE36FB" w:rsidRPr="009B7B35" w:rsidRDefault="00BE36FB" w:rsidP="001A7107">
            <w:pPr>
              <w:pStyle w:val="TableText"/>
              <w:rPr>
                <w:rFonts w:cs="Arial"/>
              </w:rPr>
            </w:pPr>
            <w:r w:rsidRPr="009B7B35">
              <w:rPr>
                <w:rFonts w:cs="Arial"/>
              </w:rPr>
              <w:t>Areas of habitat that support a critical life cycle stage such as feeding, breeding or roosting or ecological function for threatened species, ecological communities or migratory species are protected and not impacted by development.</w:t>
            </w:r>
          </w:p>
        </w:tc>
        <w:tc>
          <w:tcPr>
            <w:tcW w:w="0" w:type="auto"/>
          </w:tcPr>
          <w:p w14:paraId="51BAFAFD"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E726D6B" w14:textId="77777777" w:rsidTr="001A7107">
        <w:tc>
          <w:tcPr>
            <w:tcW w:w="0" w:type="auto"/>
            <w:gridSpan w:val="2"/>
            <w:shd w:val="clear" w:color="auto" w:fill="BFBFBF" w:themeFill="background1" w:themeFillShade="BF"/>
          </w:tcPr>
          <w:p w14:paraId="420C5700" w14:textId="77777777" w:rsidR="00BE36FB" w:rsidRPr="009B7B35" w:rsidRDefault="00BE36FB" w:rsidP="001A7107">
            <w:pPr>
              <w:pStyle w:val="Tableheading"/>
              <w:rPr>
                <w:rFonts w:ascii="Arial" w:hAnsi="Arial" w:cs="Arial"/>
                <w:szCs w:val="20"/>
              </w:rPr>
            </w:pPr>
            <w:r w:rsidRPr="009B7B35">
              <w:rPr>
                <w:rFonts w:ascii="Arial" w:hAnsi="Arial" w:cs="Arial"/>
                <w:szCs w:val="20"/>
              </w:rPr>
              <w:t>Ecological corridors</w:t>
            </w:r>
          </w:p>
        </w:tc>
      </w:tr>
      <w:tr w:rsidR="00BE36FB" w:rsidRPr="009B7B35" w14:paraId="4EA6C636" w14:textId="77777777" w:rsidTr="001A7107">
        <w:tc>
          <w:tcPr>
            <w:tcW w:w="0" w:type="auto"/>
            <w:vMerge w:val="restart"/>
          </w:tcPr>
          <w:p w14:paraId="36DC9A95" w14:textId="77777777" w:rsidR="00BE36FB" w:rsidRPr="009B7B35" w:rsidRDefault="00BE36FB" w:rsidP="001A7107">
            <w:pPr>
              <w:pStyle w:val="TableText"/>
              <w:rPr>
                <w:rFonts w:cs="Arial"/>
                <w:b/>
                <w:bCs/>
              </w:rPr>
            </w:pPr>
            <w:r w:rsidRPr="009B7B35">
              <w:rPr>
                <w:rFonts w:cs="Arial"/>
                <w:b/>
                <w:bCs/>
              </w:rPr>
              <w:t>PO12</w:t>
            </w:r>
          </w:p>
          <w:p w14:paraId="48231195" w14:textId="77777777" w:rsidR="00BE36FB" w:rsidRPr="009B7B35" w:rsidRDefault="00BE36FB" w:rsidP="001A7107">
            <w:pPr>
              <w:pStyle w:val="TableText"/>
              <w:rPr>
                <w:rFonts w:cs="Arial"/>
              </w:rPr>
            </w:pPr>
            <w:r w:rsidRPr="009B7B35">
              <w:rPr>
                <w:rFonts w:cs="Arial"/>
              </w:rPr>
              <w:t>Development protects ecological corridors, enhances ecological connectivity to habitats on and/or adjacent to the site. Ecological corridors and habitat linkages have dimensions and characteristics to support:</w:t>
            </w:r>
          </w:p>
          <w:p w14:paraId="0466579A" w14:textId="77777777" w:rsidR="00BE36FB" w:rsidRPr="009B7B35" w:rsidRDefault="00BE36FB" w:rsidP="00BE36FB">
            <w:pPr>
              <w:pStyle w:val="TableText"/>
              <w:numPr>
                <w:ilvl w:val="0"/>
                <w:numId w:val="673"/>
              </w:numPr>
              <w:rPr>
                <w:rFonts w:cs="Arial"/>
              </w:rPr>
            </w:pPr>
            <w:r w:rsidRPr="009B7B35">
              <w:rPr>
                <w:rFonts w:cs="Arial"/>
              </w:rPr>
              <w:t>ecological processes and functions that enable the natural change in distributions of species and provide connectivity between populations of species over long periods of time</w:t>
            </w:r>
          </w:p>
          <w:p w14:paraId="653B5395" w14:textId="77777777" w:rsidR="00BE36FB" w:rsidRPr="009B7B35" w:rsidRDefault="00BE36FB" w:rsidP="00BE36FB">
            <w:pPr>
              <w:pStyle w:val="TableText"/>
              <w:numPr>
                <w:ilvl w:val="0"/>
                <w:numId w:val="673"/>
              </w:numPr>
              <w:rPr>
                <w:rFonts w:cs="Arial"/>
              </w:rPr>
            </w:pPr>
            <w:r w:rsidRPr="009B7B35">
              <w:rPr>
                <w:rFonts w:cs="Arial"/>
              </w:rPr>
              <w:t>ecological responses to climate change</w:t>
            </w:r>
          </w:p>
          <w:p w14:paraId="30027484" w14:textId="77777777" w:rsidR="00BE36FB" w:rsidRPr="009B7B35" w:rsidRDefault="00BE36FB" w:rsidP="00BE36FB">
            <w:pPr>
              <w:pStyle w:val="TableText"/>
              <w:numPr>
                <w:ilvl w:val="0"/>
                <w:numId w:val="673"/>
              </w:numPr>
              <w:rPr>
                <w:rFonts w:cs="Arial"/>
              </w:rPr>
            </w:pPr>
            <w:r w:rsidRPr="009B7B35">
              <w:rPr>
                <w:rFonts w:cs="Arial"/>
              </w:rPr>
              <w:t>connectivity between large tracts and patches of remnant vegetation, habitat areas and areas supporting MNES and MSES,</w:t>
            </w:r>
            <w:r w:rsidRPr="009B7B35">
              <w:rPr>
                <w:rFonts w:cs="Arial"/>
              </w:rPr>
              <w:br/>
              <w:t>and</w:t>
            </w:r>
          </w:p>
          <w:p w14:paraId="693CA951" w14:textId="77777777" w:rsidR="00BE36FB" w:rsidRPr="009B7B35" w:rsidRDefault="00BE36FB" w:rsidP="00BE36FB">
            <w:pPr>
              <w:pStyle w:val="TableText"/>
              <w:numPr>
                <w:ilvl w:val="0"/>
                <w:numId w:val="673"/>
              </w:numPr>
              <w:rPr>
                <w:rFonts w:cs="Arial"/>
              </w:rPr>
            </w:pPr>
            <w:r w:rsidRPr="009B7B35">
              <w:rPr>
                <w:rFonts w:cs="Arial"/>
              </w:rPr>
              <w:t>effective and unhindered day–to–day and seasonal movement of avian, terrestrial and aquatic fauna.</w:t>
            </w:r>
          </w:p>
        </w:tc>
        <w:tc>
          <w:tcPr>
            <w:tcW w:w="0" w:type="auto"/>
          </w:tcPr>
          <w:p w14:paraId="57387F90" w14:textId="77777777" w:rsidR="00BE36FB" w:rsidRPr="009B7B35" w:rsidRDefault="00BE36FB" w:rsidP="001A7107">
            <w:pPr>
              <w:pStyle w:val="TableText"/>
              <w:rPr>
                <w:rFonts w:cs="Arial"/>
                <w:b/>
                <w:bCs/>
              </w:rPr>
            </w:pPr>
            <w:r w:rsidRPr="009B7B35">
              <w:rPr>
                <w:rFonts w:cs="Arial"/>
                <w:b/>
                <w:bCs/>
              </w:rPr>
              <w:t>AO12.1</w:t>
            </w:r>
          </w:p>
          <w:p w14:paraId="2D8289CF" w14:textId="77777777" w:rsidR="00BE36FB" w:rsidRPr="009B7B35" w:rsidRDefault="00BE36FB" w:rsidP="001A7107">
            <w:pPr>
              <w:pStyle w:val="TableText"/>
              <w:rPr>
                <w:rFonts w:cs="Arial"/>
              </w:rPr>
            </w:pPr>
            <w:r w:rsidRPr="009B7B35">
              <w:rPr>
                <w:rFonts w:cs="Arial"/>
              </w:rPr>
              <w:t>Development does not occur in an ecological corridor.</w:t>
            </w:r>
          </w:p>
          <w:p w14:paraId="03EDA385" w14:textId="77777777" w:rsidR="00BE36FB" w:rsidRPr="009B7B35" w:rsidRDefault="00BE36FB" w:rsidP="001A7107">
            <w:pPr>
              <w:pStyle w:val="TableText"/>
              <w:rPr>
                <w:rFonts w:cs="Arial"/>
              </w:rPr>
            </w:pPr>
          </w:p>
        </w:tc>
      </w:tr>
      <w:tr w:rsidR="00BE36FB" w:rsidRPr="009B7B35" w14:paraId="16EC4DF8" w14:textId="77777777" w:rsidTr="001A7107">
        <w:tc>
          <w:tcPr>
            <w:tcW w:w="0" w:type="auto"/>
            <w:vMerge/>
          </w:tcPr>
          <w:p w14:paraId="6F0ED57D" w14:textId="77777777" w:rsidR="00BE36FB" w:rsidRPr="009B7B35" w:rsidRDefault="00BE36FB" w:rsidP="001A7107">
            <w:pPr>
              <w:rPr>
                <w:rFonts w:cs="Arial"/>
                <w:sz w:val="20"/>
                <w:szCs w:val="20"/>
              </w:rPr>
            </w:pPr>
          </w:p>
        </w:tc>
        <w:tc>
          <w:tcPr>
            <w:tcW w:w="0" w:type="auto"/>
          </w:tcPr>
          <w:p w14:paraId="27210E61" w14:textId="77777777" w:rsidR="00BE36FB" w:rsidRPr="009B7B35" w:rsidRDefault="00BE36FB" w:rsidP="001A7107">
            <w:pPr>
              <w:pStyle w:val="TableText"/>
              <w:rPr>
                <w:rFonts w:cs="Arial"/>
              </w:rPr>
            </w:pPr>
            <w:r w:rsidRPr="009B7B35">
              <w:rPr>
                <w:rFonts w:cs="Arial"/>
                <w:b/>
                <w:bCs/>
              </w:rPr>
              <w:t>AO12.2</w:t>
            </w:r>
          </w:p>
          <w:p w14:paraId="3A315D5B" w14:textId="77777777" w:rsidR="00BE36FB" w:rsidRPr="009B7B35" w:rsidRDefault="00BE36FB" w:rsidP="001A7107">
            <w:pPr>
              <w:pStyle w:val="TableText"/>
              <w:rPr>
                <w:rFonts w:cs="Arial"/>
              </w:rPr>
            </w:pPr>
            <w:r w:rsidRPr="009B7B35">
              <w:rPr>
                <w:rFonts w:cs="Arial"/>
              </w:rPr>
              <w:t>No acceptable solution is nominated where in an urban residential zone or centre zone. In all other zones including the Rural Zone, Environmental Management Zone, Conservation Zone, all Industry Zones, Emerging Community Zone and Limited Development Zone: Where an ecological corridor is intended to facilitate fauna movement, access or use of an area supporting MNES or MSES, the ecological corridor is maintained and restored to achieve a minimum width of 350m consisting of:</w:t>
            </w:r>
          </w:p>
          <w:p w14:paraId="12D735CB" w14:textId="77777777" w:rsidR="00BE36FB" w:rsidRPr="009B7B35" w:rsidRDefault="00BE36FB" w:rsidP="00BE36FB">
            <w:pPr>
              <w:pStyle w:val="TableText"/>
              <w:numPr>
                <w:ilvl w:val="0"/>
                <w:numId w:val="674"/>
              </w:numPr>
              <w:rPr>
                <w:rFonts w:cs="Arial"/>
              </w:rPr>
            </w:pPr>
            <w:r w:rsidRPr="009B7B35">
              <w:rPr>
                <w:rFonts w:cs="Arial"/>
              </w:rPr>
              <w:t>a 250m wide core corridor to support avian species and most arboreal mammals, and</w:t>
            </w:r>
          </w:p>
          <w:p w14:paraId="65375608" w14:textId="77777777" w:rsidR="00BE36FB" w:rsidRPr="009B7B35" w:rsidRDefault="00BE36FB" w:rsidP="00BE36FB">
            <w:pPr>
              <w:pStyle w:val="TableText"/>
              <w:numPr>
                <w:ilvl w:val="0"/>
                <w:numId w:val="674"/>
              </w:numPr>
              <w:rPr>
                <w:rFonts w:cs="Arial"/>
              </w:rPr>
            </w:pPr>
            <w:r w:rsidRPr="009B7B35">
              <w:rPr>
                <w:rFonts w:cs="Arial"/>
              </w:rPr>
              <w:t>a 50m wide vegetated buffer extending from the outside edges on both sides of the core corridor.</w:t>
            </w:r>
          </w:p>
        </w:tc>
      </w:tr>
      <w:tr w:rsidR="00BE36FB" w:rsidRPr="009B7B35" w14:paraId="1673211B" w14:textId="77777777" w:rsidTr="001A7107">
        <w:tc>
          <w:tcPr>
            <w:tcW w:w="0" w:type="auto"/>
          </w:tcPr>
          <w:p w14:paraId="0277ED80" w14:textId="77777777" w:rsidR="00BE36FB" w:rsidRPr="009B7B35" w:rsidRDefault="00BE36FB" w:rsidP="001A7107">
            <w:pPr>
              <w:pStyle w:val="TableText"/>
              <w:rPr>
                <w:rFonts w:cs="Arial"/>
                <w:b/>
                <w:bCs/>
              </w:rPr>
            </w:pPr>
            <w:r w:rsidRPr="009B7B35">
              <w:rPr>
                <w:rFonts w:cs="Arial"/>
                <w:b/>
                <w:bCs/>
              </w:rPr>
              <w:t>PO13</w:t>
            </w:r>
          </w:p>
          <w:p w14:paraId="4DDF0923" w14:textId="77777777" w:rsidR="00BE36FB" w:rsidRPr="009B7B35" w:rsidRDefault="00BE36FB" w:rsidP="001A7107">
            <w:pPr>
              <w:pStyle w:val="TableText"/>
              <w:rPr>
                <w:rFonts w:cs="Arial"/>
              </w:rPr>
            </w:pPr>
            <w:r w:rsidRPr="009B7B35">
              <w:rPr>
                <w:rFonts w:cs="Arial"/>
              </w:rPr>
              <w:t>Isolated habitat areas are linked by a continuous corridor to provide effective ecological connectivity and to create additional linkages along waterways, wetlands, drainage lines, ridgelines, coastlines and other areas where possible.</w:t>
            </w:r>
          </w:p>
        </w:tc>
        <w:tc>
          <w:tcPr>
            <w:tcW w:w="0" w:type="auto"/>
          </w:tcPr>
          <w:p w14:paraId="006E620E" w14:textId="77777777" w:rsidR="00BE36FB" w:rsidRPr="009B7B35" w:rsidRDefault="00BE36FB" w:rsidP="001A7107">
            <w:pPr>
              <w:pStyle w:val="TableText"/>
              <w:rPr>
                <w:rFonts w:cs="Arial"/>
                <w:b/>
                <w:bCs/>
              </w:rPr>
            </w:pPr>
            <w:r w:rsidRPr="009B7B35">
              <w:rPr>
                <w:rFonts w:cs="Arial"/>
                <w:b/>
                <w:bCs/>
              </w:rPr>
              <w:t>AO13</w:t>
            </w:r>
          </w:p>
          <w:p w14:paraId="25B47181" w14:textId="77777777" w:rsidR="00BE36FB" w:rsidRPr="009B7B35" w:rsidRDefault="00BE36FB" w:rsidP="001A7107">
            <w:pPr>
              <w:pStyle w:val="TableText"/>
              <w:rPr>
                <w:rFonts w:cs="Arial"/>
              </w:rPr>
            </w:pPr>
            <w:r w:rsidRPr="009B7B35">
              <w:rPr>
                <w:rFonts w:cs="Arial"/>
              </w:rPr>
              <w:t>Development provides a continuous corridor having a minimum width of 100m linking areas of protected vegetation to each other and other vegetation areas off–site.</w:t>
            </w:r>
          </w:p>
        </w:tc>
      </w:tr>
      <w:tr w:rsidR="00BE36FB" w:rsidRPr="009B7B35" w14:paraId="0FFB0963" w14:textId="77777777" w:rsidTr="001A7107">
        <w:tc>
          <w:tcPr>
            <w:tcW w:w="0" w:type="auto"/>
          </w:tcPr>
          <w:p w14:paraId="59C9D379" w14:textId="77777777" w:rsidR="00BE36FB" w:rsidRPr="009B7B35" w:rsidRDefault="00BE36FB" w:rsidP="001A7107">
            <w:pPr>
              <w:pStyle w:val="TableText"/>
              <w:rPr>
                <w:rFonts w:cs="Arial"/>
                <w:b/>
                <w:bCs/>
              </w:rPr>
            </w:pPr>
            <w:r w:rsidRPr="009B7B35">
              <w:rPr>
                <w:rFonts w:cs="Arial"/>
                <w:b/>
                <w:bCs/>
              </w:rPr>
              <w:t>PO14</w:t>
            </w:r>
          </w:p>
          <w:p w14:paraId="2EC2B62B" w14:textId="77777777" w:rsidR="00BE36FB" w:rsidRPr="009B7B35" w:rsidRDefault="00BE36FB" w:rsidP="001A7107">
            <w:pPr>
              <w:pStyle w:val="TableText"/>
              <w:rPr>
                <w:rFonts w:cs="Arial"/>
              </w:rPr>
            </w:pPr>
            <w:r w:rsidRPr="009B7B35">
              <w:rPr>
                <w:rFonts w:cs="Arial"/>
              </w:rPr>
              <w:t>Development facilitates the unimpeded use and movement of terrestrial and aquatic fauna accessing the site or likely to use an ecological corridor as part of their normal life cycle by:</w:t>
            </w:r>
          </w:p>
          <w:p w14:paraId="7ED34C4F" w14:textId="77777777" w:rsidR="00BE36FB" w:rsidRPr="009B7B35" w:rsidRDefault="00BE36FB" w:rsidP="00BE36FB">
            <w:pPr>
              <w:pStyle w:val="TableText"/>
              <w:numPr>
                <w:ilvl w:val="0"/>
                <w:numId w:val="675"/>
              </w:numPr>
              <w:rPr>
                <w:rFonts w:cs="Arial"/>
              </w:rPr>
            </w:pPr>
            <w:r w:rsidRPr="009B7B35">
              <w:rPr>
                <w:rFonts w:cs="Arial"/>
              </w:rPr>
              <w:t>ensuring that development (e.g. roads, pedestrian access, in–stream structures) during both construction and operation does not create barriers to the movement of fauna along or within ecological corridors</w:t>
            </w:r>
          </w:p>
          <w:p w14:paraId="0B2377DA" w14:textId="77777777" w:rsidR="00BE36FB" w:rsidRPr="009B7B35" w:rsidRDefault="00BE36FB" w:rsidP="00BE36FB">
            <w:pPr>
              <w:pStyle w:val="TableText"/>
              <w:numPr>
                <w:ilvl w:val="0"/>
                <w:numId w:val="675"/>
              </w:numPr>
              <w:rPr>
                <w:rFonts w:cs="Arial"/>
              </w:rPr>
            </w:pPr>
            <w:r w:rsidRPr="009B7B35">
              <w:rPr>
                <w:rFonts w:cs="Arial"/>
              </w:rPr>
              <w:t>providing wildlife movement infrastructure where necessary and directing fauna to locations where wildlife movement infrastructure has been provided to enable fauna to safely negotiate a development area, and</w:t>
            </w:r>
          </w:p>
          <w:p w14:paraId="6AB99120" w14:textId="77777777" w:rsidR="00BE36FB" w:rsidRPr="009B7B35" w:rsidRDefault="00BE36FB" w:rsidP="00BE36FB">
            <w:pPr>
              <w:pStyle w:val="TableText"/>
              <w:numPr>
                <w:ilvl w:val="0"/>
                <w:numId w:val="675"/>
              </w:numPr>
              <w:rPr>
                <w:rFonts w:cs="Arial"/>
              </w:rPr>
            </w:pPr>
            <w:r w:rsidRPr="009B7B35">
              <w:rPr>
                <w:rFonts w:cs="Arial"/>
              </w:rPr>
              <w:t>separating fauna from potential hazards through the use of appropriate barriers, fencing and buffers.</w:t>
            </w:r>
          </w:p>
        </w:tc>
        <w:tc>
          <w:tcPr>
            <w:tcW w:w="0" w:type="auto"/>
          </w:tcPr>
          <w:p w14:paraId="6C017BE6"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691EFED" w14:textId="77777777" w:rsidTr="001A7107">
        <w:tc>
          <w:tcPr>
            <w:tcW w:w="0" w:type="auto"/>
            <w:gridSpan w:val="2"/>
            <w:shd w:val="clear" w:color="auto" w:fill="BFBFBF" w:themeFill="background1" w:themeFillShade="BF"/>
          </w:tcPr>
          <w:p w14:paraId="2CA3E4EC" w14:textId="77777777" w:rsidR="00BE36FB" w:rsidRPr="009B7B35" w:rsidRDefault="00BE36FB" w:rsidP="001A7107">
            <w:pPr>
              <w:pStyle w:val="Tableheading"/>
              <w:rPr>
                <w:rFonts w:ascii="Arial" w:hAnsi="Arial" w:cs="Arial"/>
                <w:szCs w:val="20"/>
              </w:rPr>
            </w:pPr>
            <w:r w:rsidRPr="009B7B35">
              <w:rPr>
                <w:rFonts w:ascii="Arial" w:hAnsi="Arial" w:cs="Arial"/>
                <w:szCs w:val="20"/>
              </w:rPr>
              <w:t>Monitoring</w:t>
            </w:r>
          </w:p>
        </w:tc>
      </w:tr>
      <w:tr w:rsidR="00BE36FB" w:rsidRPr="009B7B35" w14:paraId="28970F7E" w14:textId="77777777" w:rsidTr="001A7107">
        <w:trPr>
          <w:trHeight w:val="20"/>
        </w:trPr>
        <w:tc>
          <w:tcPr>
            <w:tcW w:w="0" w:type="auto"/>
          </w:tcPr>
          <w:p w14:paraId="47AE27CC" w14:textId="77777777" w:rsidR="00BE36FB" w:rsidRPr="009B7B35" w:rsidRDefault="00BE36FB" w:rsidP="001A7107">
            <w:pPr>
              <w:pStyle w:val="TableText"/>
              <w:rPr>
                <w:rFonts w:cs="Arial"/>
                <w:b/>
                <w:bCs/>
              </w:rPr>
            </w:pPr>
            <w:r w:rsidRPr="009B7B35">
              <w:rPr>
                <w:rFonts w:cs="Arial"/>
                <w:b/>
                <w:bCs/>
              </w:rPr>
              <w:t>PO15</w:t>
            </w:r>
          </w:p>
          <w:p w14:paraId="7F3988A2" w14:textId="77777777" w:rsidR="00BE36FB" w:rsidRPr="009B7B35" w:rsidRDefault="00BE36FB" w:rsidP="001A7107">
            <w:pPr>
              <w:pStyle w:val="TableText"/>
              <w:rPr>
                <w:rFonts w:cs="Arial"/>
              </w:rPr>
            </w:pPr>
            <w:r w:rsidRPr="009B7B35">
              <w:rPr>
                <w:rFonts w:cs="Arial"/>
              </w:rPr>
              <w:t>During construction and operation of development, ongoing management, monitoring and maintenance is undertaken to ensure impacts on areas supporting MNES or MSES and their underlying ecological processes and biodiversity values are avoided or minimised.</w:t>
            </w:r>
          </w:p>
          <w:p w14:paraId="5D3BB2A6" w14:textId="77777777" w:rsidR="00BE36FB" w:rsidRPr="009B7B35" w:rsidRDefault="00BE36FB" w:rsidP="001A7107">
            <w:pPr>
              <w:pStyle w:val="Notes"/>
              <w:rPr>
                <w:rFonts w:cs="Arial"/>
                <w:sz w:val="20"/>
                <w:szCs w:val="20"/>
              </w:rPr>
            </w:pPr>
            <w:r w:rsidRPr="009B7B35">
              <w:rPr>
                <w:rFonts w:cs="Arial"/>
                <w:sz w:val="20"/>
                <w:szCs w:val="20"/>
              </w:rPr>
              <w:t>Note—Compliance with this requirement can be achieved by preparing a Monitoring and Remediation Plan in accordance with best practice. Where necessary, remedial action is identified and carried out on land managed by the entity carrying out the development.</w:t>
            </w:r>
          </w:p>
        </w:tc>
        <w:tc>
          <w:tcPr>
            <w:tcW w:w="0" w:type="auto"/>
          </w:tcPr>
          <w:p w14:paraId="564177A0"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BB18D0B" w14:textId="77777777" w:rsidTr="001A7107">
        <w:trPr>
          <w:trHeight w:val="20"/>
        </w:trPr>
        <w:tc>
          <w:tcPr>
            <w:tcW w:w="0" w:type="auto"/>
            <w:gridSpan w:val="2"/>
            <w:shd w:val="clear" w:color="auto" w:fill="BFBFBF" w:themeFill="background1" w:themeFillShade="BF"/>
          </w:tcPr>
          <w:p w14:paraId="463A0A7F" w14:textId="77777777" w:rsidR="00BE36FB" w:rsidRPr="009B7B35" w:rsidRDefault="00BE36FB" w:rsidP="001A7107">
            <w:pPr>
              <w:pStyle w:val="Tableheading"/>
              <w:rPr>
                <w:rFonts w:ascii="Arial" w:hAnsi="Arial" w:cs="Arial"/>
                <w:szCs w:val="20"/>
              </w:rPr>
            </w:pPr>
            <w:r w:rsidRPr="009B7B35">
              <w:rPr>
                <w:rFonts w:ascii="Arial" w:hAnsi="Arial" w:cs="Arial"/>
                <w:szCs w:val="20"/>
              </w:rPr>
              <w:t>Environmental offsets</w:t>
            </w:r>
          </w:p>
        </w:tc>
      </w:tr>
      <w:tr w:rsidR="00BE36FB" w:rsidRPr="009B7B35" w14:paraId="56A06F72" w14:textId="77777777" w:rsidTr="001A7107">
        <w:trPr>
          <w:trHeight w:val="20"/>
        </w:trPr>
        <w:tc>
          <w:tcPr>
            <w:tcW w:w="0" w:type="auto"/>
          </w:tcPr>
          <w:p w14:paraId="257CAFD8" w14:textId="77777777" w:rsidR="00BE36FB" w:rsidRPr="009B7B35" w:rsidRDefault="00BE36FB" w:rsidP="001A7107">
            <w:pPr>
              <w:pStyle w:val="TableText"/>
              <w:rPr>
                <w:rFonts w:cs="Arial"/>
                <w:b/>
                <w:bCs/>
              </w:rPr>
            </w:pPr>
            <w:r w:rsidRPr="009B7B35">
              <w:rPr>
                <w:rFonts w:cs="Arial"/>
                <w:b/>
                <w:bCs/>
              </w:rPr>
              <w:t>PO16</w:t>
            </w:r>
          </w:p>
          <w:p w14:paraId="3B72CAEF" w14:textId="77777777" w:rsidR="00BE36FB" w:rsidRPr="009B7B35" w:rsidRDefault="00BE36FB" w:rsidP="001A7107">
            <w:pPr>
              <w:pStyle w:val="TableText"/>
              <w:rPr>
                <w:rFonts w:cs="Arial"/>
              </w:rPr>
            </w:pPr>
            <w:r w:rsidRPr="009B7B35">
              <w:rPr>
                <w:rFonts w:cs="Arial"/>
              </w:rPr>
              <w:t xml:space="preserve">Where it is not possible to avoid adverse impacts on MSES and development has minimised adverse impacts to the greatest extent possible, development provides an offset for any significant residual impact in accordance with the </w:t>
            </w:r>
            <w:r w:rsidRPr="009B7B35">
              <w:rPr>
                <w:rFonts w:cs="Arial"/>
                <w:i/>
              </w:rPr>
              <w:t>Queensland Environmental Offset Policy 2014</w:t>
            </w:r>
            <w:r w:rsidRPr="009B7B35">
              <w:rPr>
                <w:rFonts w:cs="Arial"/>
              </w:rPr>
              <w:t>.</w:t>
            </w:r>
          </w:p>
        </w:tc>
        <w:tc>
          <w:tcPr>
            <w:tcW w:w="0" w:type="auto"/>
          </w:tcPr>
          <w:p w14:paraId="3DE0080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114DE5A" w14:textId="77777777" w:rsidTr="001A7107">
        <w:tc>
          <w:tcPr>
            <w:tcW w:w="0" w:type="auto"/>
            <w:gridSpan w:val="2"/>
            <w:shd w:val="clear" w:color="auto" w:fill="BFBFBF" w:themeFill="background1" w:themeFillShade="BF"/>
          </w:tcPr>
          <w:p w14:paraId="63E05B21" w14:textId="77777777" w:rsidR="00BE36FB" w:rsidRPr="009B7B35" w:rsidRDefault="00BE36FB" w:rsidP="001A7107">
            <w:pPr>
              <w:pStyle w:val="Tableheading"/>
              <w:rPr>
                <w:rFonts w:ascii="Arial" w:hAnsi="Arial" w:cs="Arial"/>
                <w:szCs w:val="20"/>
              </w:rPr>
            </w:pPr>
            <w:r w:rsidRPr="009B7B35">
              <w:rPr>
                <w:rFonts w:ascii="Arial" w:hAnsi="Arial" w:cs="Arial"/>
                <w:szCs w:val="20"/>
              </w:rPr>
              <w:t>Wetland protection area</w:t>
            </w:r>
          </w:p>
        </w:tc>
      </w:tr>
      <w:tr w:rsidR="00BE36FB" w:rsidRPr="009B7B35" w14:paraId="13474B11" w14:textId="77777777" w:rsidTr="001A7107">
        <w:tc>
          <w:tcPr>
            <w:tcW w:w="0" w:type="auto"/>
          </w:tcPr>
          <w:p w14:paraId="08A2E29D" w14:textId="77777777" w:rsidR="00BE36FB" w:rsidRPr="009B7B35" w:rsidRDefault="00BE36FB" w:rsidP="001A7107">
            <w:pPr>
              <w:pStyle w:val="TableText"/>
              <w:rPr>
                <w:rFonts w:cs="Arial"/>
                <w:b/>
                <w:bCs/>
              </w:rPr>
            </w:pPr>
            <w:r w:rsidRPr="009B7B35">
              <w:rPr>
                <w:rFonts w:cs="Arial"/>
                <w:b/>
                <w:bCs/>
              </w:rPr>
              <w:t>PO17</w:t>
            </w:r>
          </w:p>
          <w:p w14:paraId="6BDC5230" w14:textId="77777777" w:rsidR="00BE36FB" w:rsidRPr="009B7B35" w:rsidRDefault="00BE36FB" w:rsidP="001A7107">
            <w:pPr>
              <w:pStyle w:val="TableText"/>
              <w:rPr>
                <w:rFonts w:cs="Arial"/>
              </w:rPr>
            </w:pPr>
            <w:r w:rsidRPr="009B7B35">
              <w:rPr>
                <w:rFonts w:cs="Arial"/>
              </w:rPr>
              <w:t>Development is not carried out in a wetland in a wetland protection area, unless there are no feasible alternatives.</w:t>
            </w:r>
          </w:p>
        </w:tc>
        <w:tc>
          <w:tcPr>
            <w:tcW w:w="0" w:type="auto"/>
          </w:tcPr>
          <w:p w14:paraId="7E49DB44" w14:textId="77777777" w:rsidR="00BE36FB" w:rsidRPr="009B7B35" w:rsidRDefault="00BE36FB" w:rsidP="001A7107">
            <w:pPr>
              <w:pStyle w:val="TableText"/>
              <w:rPr>
                <w:rFonts w:cs="Arial"/>
                <w:b/>
                <w:bCs/>
              </w:rPr>
            </w:pPr>
            <w:r w:rsidRPr="009B7B35">
              <w:rPr>
                <w:rFonts w:cs="Arial"/>
                <w:b/>
                <w:bCs/>
              </w:rPr>
              <w:t>AO17.1</w:t>
            </w:r>
          </w:p>
          <w:p w14:paraId="726DCC31" w14:textId="77777777" w:rsidR="00BE36FB" w:rsidRPr="009B7B35" w:rsidRDefault="00BE36FB" w:rsidP="001A7107">
            <w:pPr>
              <w:pStyle w:val="TableText"/>
              <w:rPr>
                <w:rFonts w:cs="Arial"/>
              </w:rPr>
            </w:pPr>
            <w:r w:rsidRPr="009B7B35">
              <w:rPr>
                <w:rFonts w:cs="Arial"/>
              </w:rPr>
              <w:t>Development is not carried out:</w:t>
            </w:r>
          </w:p>
          <w:p w14:paraId="793F63D1" w14:textId="77777777" w:rsidR="00BE36FB" w:rsidRPr="009B7B35" w:rsidRDefault="00BE36FB" w:rsidP="00BE36FB">
            <w:pPr>
              <w:pStyle w:val="TableText"/>
              <w:numPr>
                <w:ilvl w:val="0"/>
                <w:numId w:val="676"/>
              </w:numPr>
              <w:rPr>
                <w:rFonts w:cs="Arial"/>
              </w:rPr>
            </w:pPr>
            <w:r w:rsidRPr="009B7B35">
              <w:rPr>
                <w:rFonts w:cs="Arial"/>
              </w:rPr>
              <w:t>in a wetland in a wetland protection area, or</w:t>
            </w:r>
          </w:p>
          <w:p w14:paraId="0FE5380C" w14:textId="77777777" w:rsidR="00BE36FB" w:rsidRPr="009B7B35" w:rsidRDefault="00BE36FB" w:rsidP="00BE36FB">
            <w:pPr>
              <w:pStyle w:val="TableText"/>
              <w:numPr>
                <w:ilvl w:val="0"/>
                <w:numId w:val="676"/>
              </w:numPr>
              <w:rPr>
                <w:rFonts w:cs="Arial"/>
              </w:rPr>
            </w:pPr>
            <w:r w:rsidRPr="009B7B35">
              <w:rPr>
                <w:rFonts w:cs="Arial"/>
              </w:rPr>
              <w:t xml:space="preserve">within an alternative mapped boundary of a wetland in a wetland protection area, as shown in a site assessment prepared in accordance with the </w:t>
            </w:r>
            <w:r w:rsidRPr="009B7B35">
              <w:rPr>
                <w:rStyle w:val="StyleItalic"/>
                <w:rFonts w:cs="Arial"/>
              </w:rPr>
              <w:t xml:space="preserve">Department of Environment and Heritage Protection Queensland Wetland Definition and Delineation Guidelines </w:t>
            </w:r>
            <w:r w:rsidRPr="009B7B35">
              <w:rPr>
                <w:rFonts w:cs="Arial"/>
              </w:rPr>
              <w:t>(or current version).</w:t>
            </w:r>
          </w:p>
          <w:p w14:paraId="67A3E638" w14:textId="77777777" w:rsidR="00BE36FB" w:rsidRPr="009B7B35" w:rsidRDefault="00BE36FB" w:rsidP="001A7107">
            <w:pPr>
              <w:pStyle w:val="TableText"/>
              <w:rPr>
                <w:rFonts w:cs="Arial"/>
              </w:rPr>
            </w:pPr>
          </w:p>
          <w:p w14:paraId="15C3E596" w14:textId="77777777" w:rsidR="00BE36FB" w:rsidRPr="009B7B35" w:rsidRDefault="00BE36FB" w:rsidP="001A7107">
            <w:pPr>
              <w:pStyle w:val="TableText"/>
              <w:rPr>
                <w:rFonts w:cs="Arial"/>
              </w:rPr>
            </w:pPr>
            <w:r w:rsidRPr="009B7B35">
              <w:rPr>
                <w:rFonts w:cs="Arial"/>
              </w:rPr>
              <w:t>OR</w:t>
            </w:r>
          </w:p>
          <w:p w14:paraId="174B6CE8"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AO17.2</w:t>
            </w:r>
          </w:p>
          <w:p w14:paraId="439DC9B6" w14:textId="77777777" w:rsidR="00BE36FB" w:rsidRPr="009B7B35" w:rsidRDefault="00BE36FB" w:rsidP="001A7107">
            <w:pPr>
              <w:pStyle w:val="TableText"/>
              <w:rPr>
                <w:rFonts w:cs="Arial"/>
              </w:rPr>
            </w:pPr>
            <w:r w:rsidRPr="009B7B35">
              <w:rPr>
                <w:rFonts w:cs="Arial"/>
              </w:rPr>
              <w:t>Where AO17.1 cannot be achieved, development is to comply with PO17 – PO26.</w:t>
            </w:r>
          </w:p>
          <w:p w14:paraId="17502542" w14:textId="77777777" w:rsidR="00BE36FB" w:rsidRPr="009B7B35" w:rsidRDefault="00BE36FB" w:rsidP="001A7107">
            <w:pPr>
              <w:pStyle w:val="TableText"/>
              <w:rPr>
                <w:rFonts w:cs="Arial"/>
              </w:rPr>
            </w:pPr>
          </w:p>
          <w:p w14:paraId="78B21C28" w14:textId="77777777" w:rsidR="00BE36FB" w:rsidRPr="009B7B35" w:rsidRDefault="00BE36FB" w:rsidP="001A7107">
            <w:pPr>
              <w:pStyle w:val="TableText"/>
              <w:rPr>
                <w:rFonts w:cs="Arial"/>
              </w:rPr>
            </w:pPr>
            <w:r w:rsidRPr="009B7B35">
              <w:rPr>
                <w:rFonts w:cs="Arial"/>
              </w:rPr>
              <w:t>OR</w:t>
            </w:r>
          </w:p>
          <w:p w14:paraId="63EF19CC"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AO17.3</w:t>
            </w:r>
          </w:p>
          <w:p w14:paraId="66BD9D45" w14:textId="77777777" w:rsidR="00BE36FB" w:rsidRPr="009B7B35" w:rsidRDefault="00BE36FB" w:rsidP="001A7107">
            <w:pPr>
              <w:pStyle w:val="TableText"/>
              <w:rPr>
                <w:rFonts w:cs="Arial"/>
              </w:rPr>
            </w:pPr>
            <w:r w:rsidRPr="009B7B35">
              <w:rPr>
                <w:rFonts w:cs="Arial"/>
              </w:rPr>
              <w:t>Where AO17.1 or AO17.2 cannot be complied with, an environmental offset as described in PO27, is provided.</w:t>
            </w:r>
          </w:p>
        </w:tc>
      </w:tr>
      <w:tr w:rsidR="00BE36FB" w:rsidRPr="009B7B35" w14:paraId="6F9604FD" w14:textId="77777777" w:rsidTr="001A7107">
        <w:trPr>
          <w:trHeight w:val="302"/>
        </w:trPr>
        <w:tc>
          <w:tcPr>
            <w:tcW w:w="0" w:type="auto"/>
            <w:gridSpan w:val="2"/>
            <w:shd w:val="clear" w:color="auto" w:fill="BFBFBF" w:themeFill="background1" w:themeFillShade="BF"/>
          </w:tcPr>
          <w:p w14:paraId="31178D57" w14:textId="77777777" w:rsidR="00BE36FB" w:rsidRPr="009B7B35" w:rsidRDefault="00BE36FB" w:rsidP="001A7107">
            <w:pPr>
              <w:pStyle w:val="Tableheading"/>
              <w:rPr>
                <w:rFonts w:ascii="Arial" w:hAnsi="Arial" w:cs="Arial"/>
                <w:szCs w:val="20"/>
              </w:rPr>
            </w:pPr>
            <w:r w:rsidRPr="009B7B35">
              <w:rPr>
                <w:rFonts w:ascii="Arial" w:hAnsi="Arial" w:cs="Arial"/>
                <w:szCs w:val="20"/>
              </w:rPr>
              <w:t>Wetland and waterway buffers</w:t>
            </w:r>
          </w:p>
        </w:tc>
      </w:tr>
      <w:tr w:rsidR="00BE36FB" w:rsidRPr="009B7B35" w14:paraId="23C87138" w14:textId="77777777" w:rsidTr="003A35DA">
        <w:trPr>
          <w:trHeight w:hRule="exact" w:val="6182"/>
        </w:trPr>
        <w:tc>
          <w:tcPr>
            <w:tcW w:w="0" w:type="auto"/>
          </w:tcPr>
          <w:p w14:paraId="694A5B90" w14:textId="77777777" w:rsidR="00BE36FB" w:rsidRPr="009B7B35" w:rsidRDefault="00BE36FB" w:rsidP="001A7107">
            <w:pPr>
              <w:pStyle w:val="TableText"/>
              <w:rPr>
                <w:rFonts w:cs="Arial"/>
                <w:b/>
                <w:bCs/>
              </w:rPr>
            </w:pPr>
            <w:r w:rsidRPr="009B7B35">
              <w:rPr>
                <w:rFonts w:cs="Arial"/>
                <w:b/>
                <w:bCs/>
              </w:rPr>
              <w:t>PO18</w:t>
            </w:r>
          </w:p>
          <w:p w14:paraId="64A794AD" w14:textId="77777777" w:rsidR="00BE36FB" w:rsidRPr="009B7B35" w:rsidRDefault="00BE36FB" w:rsidP="001A7107">
            <w:pPr>
              <w:pStyle w:val="TableText"/>
              <w:rPr>
                <w:rFonts w:cs="Arial"/>
              </w:rPr>
            </w:pPr>
            <w:r w:rsidRPr="009B7B35">
              <w:rPr>
                <w:rFonts w:cs="Arial"/>
              </w:rPr>
              <w:t>An adequate buffer to a waterway is provided and maintained to:</w:t>
            </w:r>
          </w:p>
          <w:p w14:paraId="0BFFAA3C" w14:textId="77777777" w:rsidR="00BE36FB" w:rsidRPr="009B7B35" w:rsidRDefault="00BE36FB" w:rsidP="00BE36FB">
            <w:pPr>
              <w:pStyle w:val="TableText"/>
              <w:numPr>
                <w:ilvl w:val="0"/>
                <w:numId w:val="677"/>
              </w:numPr>
              <w:rPr>
                <w:rFonts w:cs="Arial"/>
              </w:rPr>
            </w:pPr>
            <w:r w:rsidRPr="009B7B35">
              <w:rPr>
                <w:rFonts w:cs="Arial"/>
              </w:rPr>
              <w:t>protect and enhance habitat values, connectivity and other ecological processes and values</w:t>
            </w:r>
          </w:p>
          <w:p w14:paraId="6A327D29" w14:textId="77777777" w:rsidR="00BE36FB" w:rsidRPr="009B7B35" w:rsidRDefault="00BE36FB" w:rsidP="00BE36FB">
            <w:pPr>
              <w:pStyle w:val="TableText"/>
              <w:numPr>
                <w:ilvl w:val="0"/>
                <w:numId w:val="677"/>
              </w:numPr>
              <w:rPr>
                <w:rFonts w:cs="Arial"/>
              </w:rPr>
            </w:pPr>
            <w:r w:rsidRPr="009B7B35">
              <w:rPr>
                <w:rFonts w:cs="Arial"/>
              </w:rPr>
              <w:t>protect water quality and aquatic conditions</w:t>
            </w:r>
          </w:p>
          <w:p w14:paraId="2DF88508" w14:textId="77777777" w:rsidR="00BE36FB" w:rsidRPr="009B7B35" w:rsidRDefault="00BE36FB" w:rsidP="00BE36FB">
            <w:pPr>
              <w:pStyle w:val="TableText"/>
              <w:numPr>
                <w:ilvl w:val="0"/>
                <w:numId w:val="677"/>
              </w:numPr>
              <w:rPr>
                <w:rFonts w:cs="Arial"/>
              </w:rPr>
            </w:pPr>
            <w:r w:rsidRPr="009B7B35">
              <w:rPr>
                <w:rFonts w:cs="Arial"/>
              </w:rPr>
              <w:t>maintain natural micro–climatic conditions</w:t>
            </w:r>
          </w:p>
          <w:p w14:paraId="32145667" w14:textId="77777777" w:rsidR="00BE36FB" w:rsidRPr="009B7B35" w:rsidRDefault="00BE36FB" w:rsidP="00BE36FB">
            <w:pPr>
              <w:pStyle w:val="TableText"/>
              <w:numPr>
                <w:ilvl w:val="0"/>
                <w:numId w:val="677"/>
              </w:numPr>
              <w:rPr>
                <w:rFonts w:cs="Arial"/>
              </w:rPr>
            </w:pPr>
            <w:r w:rsidRPr="009B7B35">
              <w:rPr>
                <w:rFonts w:cs="Arial"/>
              </w:rPr>
              <w:t>maintain natural hydrological processes</w:t>
            </w:r>
          </w:p>
          <w:p w14:paraId="514386BB" w14:textId="77777777" w:rsidR="00BE36FB" w:rsidRPr="009B7B35" w:rsidRDefault="00BE36FB" w:rsidP="00BE36FB">
            <w:pPr>
              <w:pStyle w:val="TableText"/>
              <w:numPr>
                <w:ilvl w:val="0"/>
                <w:numId w:val="677"/>
              </w:numPr>
              <w:rPr>
                <w:rFonts w:cs="Arial"/>
              </w:rPr>
            </w:pPr>
            <w:r w:rsidRPr="009B7B35">
              <w:rPr>
                <w:rFonts w:cs="Arial"/>
              </w:rPr>
              <w:t>prevent mass movement, gully erosion, rill erosion, sheet erosion, tunnel erosion, stream bank erosion, wind erosion or scalding, and</w:t>
            </w:r>
          </w:p>
          <w:p w14:paraId="2694A18E" w14:textId="77777777" w:rsidR="00BE36FB" w:rsidRPr="009B7B35" w:rsidRDefault="00BE36FB" w:rsidP="00BE36FB">
            <w:pPr>
              <w:pStyle w:val="TableText"/>
              <w:numPr>
                <w:ilvl w:val="0"/>
                <w:numId w:val="677"/>
              </w:numPr>
              <w:rPr>
                <w:rFonts w:cs="Arial"/>
              </w:rPr>
            </w:pPr>
            <w:r w:rsidRPr="009B7B35">
              <w:rPr>
                <w:rFonts w:cs="Arial"/>
              </w:rPr>
              <w:t>prevent loss or modification of chemical, physical or biological properties or functions of soil.</w:t>
            </w:r>
          </w:p>
          <w:p w14:paraId="2F069476" w14:textId="77777777" w:rsidR="00BE36FB" w:rsidRPr="009B7B35" w:rsidRDefault="00BE36FB" w:rsidP="001A7107">
            <w:pPr>
              <w:pStyle w:val="Notes"/>
              <w:rPr>
                <w:rFonts w:cs="Arial"/>
                <w:sz w:val="20"/>
                <w:szCs w:val="20"/>
              </w:rPr>
            </w:pPr>
            <w:r w:rsidRPr="009B7B35">
              <w:rPr>
                <w:rFonts w:cs="Arial"/>
                <w:sz w:val="20"/>
                <w:szCs w:val="20"/>
              </w:rPr>
              <w:t>Note—Any setbacks or areas required for bushfire management, safety, recreation, maintenance or any other purpose, are provided in addition to a vegetated buffer provided for ecological purpose</w:t>
            </w:r>
          </w:p>
        </w:tc>
        <w:tc>
          <w:tcPr>
            <w:tcW w:w="0" w:type="auto"/>
          </w:tcPr>
          <w:p w14:paraId="2A7A3E79" w14:textId="77777777" w:rsidR="00BE36FB" w:rsidRPr="009B7B35" w:rsidRDefault="00BE36FB" w:rsidP="001A7107">
            <w:pPr>
              <w:pStyle w:val="TableText"/>
              <w:spacing w:after="120"/>
              <w:rPr>
                <w:rFonts w:cs="Arial"/>
              </w:rPr>
            </w:pPr>
            <w:r w:rsidRPr="009B7B35">
              <w:rPr>
                <w:rFonts w:cs="Arial"/>
              </w:rPr>
              <w:t>No acceptable solution is nominated where in an urban residential zone or centre zone.</w:t>
            </w:r>
          </w:p>
          <w:p w14:paraId="2EBB6600" w14:textId="77777777" w:rsidR="00BE36FB" w:rsidRPr="009B7B35" w:rsidRDefault="00BE36FB" w:rsidP="001A7107">
            <w:pPr>
              <w:pStyle w:val="TableText"/>
              <w:rPr>
                <w:rFonts w:cs="Arial"/>
                <w:b/>
                <w:bCs/>
              </w:rPr>
            </w:pPr>
            <w:r w:rsidRPr="009B7B35">
              <w:rPr>
                <w:rFonts w:cs="Arial"/>
                <w:b/>
                <w:bCs/>
              </w:rPr>
              <w:t>AO18</w:t>
            </w:r>
          </w:p>
          <w:p w14:paraId="6644D0C2" w14:textId="77777777" w:rsidR="00BE36FB" w:rsidRPr="009B7B35" w:rsidRDefault="00BE36FB" w:rsidP="001A7107">
            <w:pPr>
              <w:pStyle w:val="TableText"/>
              <w:rPr>
                <w:rFonts w:cs="Arial"/>
              </w:rPr>
            </w:pPr>
            <w:r w:rsidRPr="009B7B35">
              <w:rPr>
                <w:rFonts w:cs="Arial"/>
              </w:rPr>
              <w:t>In all other zones including the Rural Zone, Environmental Management Zone, Conservation Zone, all Industry Zones, Industry Investigation Zone, Emerging Community Zone and Limited Development Zone: Other than where cropping for forestry for wood production, a vegetated and development free buffer is provided and maintained extending from the high bank of the waterway or plan position of a waterway (whichever is the greater) and with a minimum width of:</w:t>
            </w:r>
          </w:p>
          <w:p w14:paraId="79099C9B" w14:textId="77777777" w:rsidR="00BE36FB" w:rsidRPr="009B7B35" w:rsidRDefault="00BE36FB" w:rsidP="00BE36FB">
            <w:pPr>
              <w:numPr>
                <w:ilvl w:val="0"/>
                <w:numId w:val="597"/>
              </w:numPr>
              <w:rPr>
                <w:rFonts w:cs="Arial"/>
                <w:sz w:val="20"/>
                <w:szCs w:val="20"/>
              </w:rPr>
            </w:pPr>
            <w:r w:rsidRPr="009B7B35">
              <w:rPr>
                <w:rFonts w:cs="Arial"/>
                <w:sz w:val="20"/>
                <w:szCs w:val="20"/>
              </w:rPr>
              <w:t>stream order 1 or 2: 25m, or</w:t>
            </w:r>
          </w:p>
          <w:p w14:paraId="00C9E95D" w14:textId="77777777" w:rsidR="00BE36FB" w:rsidRPr="009B7B35" w:rsidRDefault="00BE36FB" w:rsidP="00BE36FB">
            <w:pPr>
              <w:numPr>
                <w:ilvl w:val="0"/>
                <w:numId w:val="597"/>
              </w:numPr>
              <w:rPr>
                <w:rFonts w:cs="Arial"/>
                <w:sz w:val="20"/>
                <w:szCs w:val="20"/>
              </w:rPr>
            </w:pPr>
            <w:r w:rsidRPr="009B7B35">
              <w:rPr>
                <w:rFonts w:cs="Arial"/>
                <w:sz w:val="20"/>
                <w:szCs w:val="20"/>
              </w:rPr>
              <w:t>stream order 3 or 4: 50m, or</w:t>
            </w:r>
          </w:p>
          <w:p w14:paraId="5D0A3C6C" w14:textId="77777777" w:rsidR="00BE36FB" w:rsidRPr="009B7B35" w:rsidRDefault="00BE36FB" w:rsidP="00BE36FB">
            <w:pPr>
              <w:numPr>
                <w:ilvl w:val="0"/>
                <w:numId w:val="597"/>
              </w:numPr>
              <w:rPr>
                <w:rFonts w:cs="Arial"/>
                <w:sz w:val="20"/>
                <w:szCs w:val="20"/>
              </w:rPr>
            </w:pPr>
            <w:r w:rsidRPr="009B7B35">
              <w:rPr>
                <w:rFonts w:cs="Arial"/>
                <w:sz w:val="20"/>
                <w:szCs w:val="20"/>
              </w:rPr>
              <w:t>stream order 5 and above: 100m.</w:t>
            </w:r>
          </w:p>
          <w:p w14:paraId="6CBCD872" w14:textId="77777777" w:rsidR="00BE36FB" w:rsidRPr="009B7B35" w:rsidRDefault="00BE36FB" w:rsidP="001A7107">
            <w:pPr>
              <w:pStyle w:val="Notes"/>
              <w:rPr>
                <w:rFonts w:cs="Arial"/>
                <w:sz w:val="20"/>
                <w:szCs w:val="20"/>
              </w:rPr>
            </w:pPr>
            <w:r w:rsidRPr="009B7B35">
              <w:rPr>
                <w:rFonts w:cs="Arial"/>
                <w:sz w:val="20"/>
                <w:szCs w:val="20"/>
              </w:rPr>
              <w:t>Note—Stream order is mapped on Fish habitat area mapping in OM.</w:t>
            </w:r>
          </w:p>
        </w:tc>
      </w:tr>
      <w:tr w:rsidR="00BE36FB" w:rsidRPr="009B7B35" w14:paraId="7B7C9F5D" w14:textId="77777777" w:rsidTr="001A7107">
        <w:tc>
          <w:tcPr>
            <w:tcW w:w="0" w:type="auto"/>
            <w:gridSpan w:val="2"/>
            <w:shd w:val="clear" w:color="auto" w:fill="BFBFBF" w:themeFill="background1" w:themeFillShade="BF"/>
          </w:tcPr>
          <w:p w14:paraId="5BAC4915"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Wetland hydrology and stormwater management </w:t>
            </w:r>
          </w:p>
        </w:tc>
      </w:tr>
      <w:tr w:rsidR="00BE36FB" w:rsidRPr="009B7B35" w14:paraId="456611C6" w14:textId="77777777" w:rsidTr="001A7107">
        <w:tc>
          <w:tcPr>
            <w:tcW w:w="0" w:type="auto"/>
          </w:tcPr>
          <w:p w14:paraId="76FAB2D6" w14:textId="77777777" w:rsidR="00BE36FB" w:rsidRPr="009B7B35" w:rsidRDefault="00BE36FB" w:rsidP="001A7107">
            <w:pPr>
              <w:pStyle w:val="TableText"/>
              <w:rPr>
                <w:rFonts w:cs="Arial"/>
                <w:b/>
                <w:bCs/>
              </w:rPr>
            </w:pPr>
            <w:r w:rsidRPr="009B7B35">
              <w:rPr>
                <w:rFonts w:cs="Arial"/>
                <w:b/>
                <w:bCs/>
              </w:rPr>
              <w:t>PO19</w:t>
            </w:r>
          </w:p>
          <w:p w14:paraId="0AABA5EB" w14:textId="77777777" w:rsidR="00BE36FB" w:rsidRPr="009B7B35" w:rsidRDefault="00BE36FB" w:rsidP="001A7107">
            <w:pPr>
              <w:pStyle w:val="TableText"/>
              <w:rPr>
                <w:rFonts w:cs="Arial"/>
              </w:rPr>
            </w:pPr>
            <w:r w:rsidRPr="009B7B35">
              <w:rPr>
                <w:rFonts w:cs="Arial"/>
              </w:rPr>
              <w:t xml:space="preserve">The existing surface water hydrological regime of </w:t>
            </w:r>
          </w:p>
          <w:p w14:paraId="7608EAAE" w14:textId="77777777" w:rsidR="00BE36FB" w:rsidRPr="009B7B35" w:rsidRDefault="00BE36FB" w:rsidP="001A7107">
            <w:pPr>
              <w:pStyle w:val="TableText"/>
              <w:rPr>
                <w:rFonts w:cs="Arial"/>
              </w:rPr>
            </w:pPr>
          </w:p>
          <w:p w14:paraId="4F200BE6" w14:textId="77777777" w:rsidR="00BE36FB" w:rsidRPr="009B7B35" w:rsidRDefault="00BE36FB" w:rsidP="001A7107">
            <w:pPr>
              <w:pStyle w:val="TableText"/>
              <w:rPr>
                <w:rFonts w:cs="Arial"/>
              </w:rPr>
            </w:pPr>
            <w:r w:rsidRPr="009B7B35">
              <w:rPr>
                <w:rFonts w:cs="Arial"/>
              </w:rPr>
              <w:t>the wetland protection area (including the area of the wetland) is enhanced or maintained.</w:t>
            </w:r>
          </w:p>
          <w:p w14:paraId="1B75459B" w14:textId="77777777" w:rsidR="00BE36FB" w:rsidRPr="009B7B35" w:rsidRDefault="00BE36FB" w:rsidP="001A7107">
            <w:pPr>
              <w:pStyle w:val="Notes"/>
              <w:rPr>
                <w:rFonts w:cs="Arial"/>
                <w:sz w:val="20"/>
                <w:szCs w:val="20"/>
              </w:rPr>
            </w:pPr>
            <w:r w:rsidRPr="009B7B35">
              <w:rPr>
                <w:rFonts w:cs="Arial"/>
                <w:sz w:val="20"/>
                <w:szCs w:val="20"/>
              </w:rPr>
              <w:t>Note—The hydrological regime of surface waters includes:</w:t>
            </w:r>
          </w:p>
          <w:p w14:paraId="7CFC16FC" w14:textId="77777777" w:rsidR="00BE36FB" w:rsidRPr="009B7B35" w:rsidRDefault="00BE36FB" w:rsidP="001A7107">
            <w:pPr>
              <w:pStyle w:val="Notesbullet"/>
              <w:rPr>
                <w:rFonts w:cs="Arial"/>
                <w:sz w:val="20"/>
                <w:szCs w:val="20"/>
              </w:rPr>
            </w:pPr>
            <w:r w:rsidRPr="009B7B35">
              <w:rPr>
                <w:rFonts w:cs="Arial"/>
                <w:sz w:val="20"/>
                <w:szCs w:val="20"/>
              </w:rPr>
              <w:t>peak flows</w:t>
            </w:r>
          </w:p>
          <w:p w14:paraId="6E0AACEB" w14:textId="77777777" w:rsidR="00BE36FB" w:rsidRPr="009B7B35" w:rsidRDefault="00BE36FB" w:rsidP="001A7107">
            <w:pPr>
              <w:pStyle w:val="Notesbullet"/>
              <w:rPr>
                <w:rFonts w:cs="Arial"/>
                <w:sz w:val="20"/>
                <w:szCs w:val="20"/>
              </w:rPr>
            </w:pPr>
            <w:r w:rsidRPr="009B7B35">
              <w:rPr>
                <w:rFonts w:cs="Arial"/>
                <w:sz w:val="20"/>
                <w:szCs w:val="20"/>
              </w:rPr>
              <w:t>volume of flows</w:t>
            </w:r>
          </w:p>
          <w:p w14:paraId="2A989873" w14:textId="77777777" w:rsidR="00BE36FB" w:rsidRPr="009B7B35" w:rsidRDefault="00BE36FB" w:rsidP="001A7107">
            <w:pPr>
              <w:pStyle w:val="Notesbullet"/>
              <w:rPr>
                <w:rFonts w:cs="Arial"/>
                <w:sz w:val="20"/>
                <w:szCs w:val="20"/>
              </w:rPr>
            </w:pPr>
            <w:r w:rsidRPr="009B7B35">
              <w:rPr>
                <w:rFonts w:cs="Arial"/>
                <w:sz w:val="20"/>
                <w:szCs w:val="20"/>
              </w:rPr>
              <w:t>duration of flows</w:t>
            </w:r>
          </w:p>
          <w:p w14:paraId="3B1D4EF7" w14:textId="77777777" w:rsidR="00BE36FB" w:rsidRPr="009B7B35" w:rsidRDefault="00BE36FB" w:rsidP="001A7107">
            <w:pPr>
              <w:pStyle w:val="Notesbullet"/>
              <w:rPr>
                <w:rFonts w:cs="Arial"/>
                <w:sz w:val="20"/>
                <w:szCs w:val="20"/>
              </w:rPr>
            </w:pPr>
            <w:r w:rsidRPr="009B7B35">
              <w:rPr>
                <w:rFonts w:cs="Arial"/>
                <w:sz w:val="20"/>
                <w:szCs w:val="20"/>
              </w:rPr>
              <w:t>frequency of flows</w:t>
            </w:r>
          </w:p>
          <w:p w14:paraId="6E6B35BD" w14:textId="77777777" w:rsidR="00BE36FB" w:rsidRPr="009B7B35" w:rsidRDefault="00BE36FB" w:rsidP="001A7107">
            <w:pPr>
              <w:pStyle w:val="Notesbullet"/>
              <w:rPr>
                <w:rFonts w:cs="Arial"/>
                <w:sz w:val="20"/>
                <w:szCs w:val="20"/>
              </w:rPr>
            </w:pPr>
            <w:r w:rsidRPr="009B7B35">
              <w:rPr>
                <w:rFonts w:cs="Arial"/>
                <w:sz w:val="20"/>
                <w:szCs w:val="20"/>
              </w:rPr>
              <w:t>seasonality of flows</w:t>
            </w:r>
          </w:p>
          <w:p w14:paraId="21F995F6" w14:textId="77777777" w:rsidR="00BE36FB" w:rsidRPr="009B7B35" w:rsidRDefault="00BE36FB" w:rsidP="001A7107">
            <w:pPr>
              <w:pStyle w:val="Notesbullet"/>
              <w:rPr>
                <w:rFonts w:cs="Arial"/>
                <w:sz w:val="20"/>
                <w:szCs w:val="20"/>
              </w:rPr>
            </w:pPr>
            <w:r w:rsidRPr="009B7B35">
              <w:rPr>
                <w:rFonts w:cs="Arial"/>
                <w:sz w:val="20"/>
                <w:szCs w:val="20"/>
              </w:rPr>
              <w:t>water depth (seasonal average)</w:t>
            </w:r>
          </w:p>
          <w:p w14:paraId="7EFAD368" w14:textId="77777777" w:rsidR="00BE36FB" w:rsidRPr="009B7B35" w:rsidRDefault="00BE36FB" w:rsidP="001A7107">
            <w:pPr>
              <w:pStyle w:val="Notesbullet"/>
              <w:rPr>
                <w:rFonts w:cs="Arial"/>
                <w:sz w:val="20"/>
                <w:szCs w:val="20"/>
              </w:rPr>
            </w:pPr>
            <w:r w:rsidRPr="009B7B35">
              <w:rPr>
                <w:rFonts w:cs="Arial"/>
                <w:sz w:val="20"/>
                <w:szCs w:val="20"/>
              </w:rPr>
              <w:t>wetting and drying cycle.</w:t>
            </w:r>
          </w:p>
        </w:tc>
        <w:tc>
          <w:tcPr>
            <w:tcW w:w="0" w:type="auto"/>
          </w:tcPr>
          <w:p w14:paraId="778D4333" w14:textId="77777777" w:rsidR="00BE36FB" w:rsidRPr="009B7B35" w:rsidRDefault="00BE36FB" w:rsidP="001A7107">
            <w:pPr>
              <w:pStyle w:val="TableText"/>
              <w:rPr>
                <w:rFonts w:cs="Arial"/>
                <w:b/>
                <w:bCs/>
              </w:rPr>
            </w:pPr>
            <w:r w:rsidRPr="009B7B35">
              <w:rPr>
                <w:rFonts w:cs="Arial"/>
                <w:b/>
                <w:bCs/>
              </w:rPr>
              <w:t>AO19.1</w:t>
            </w:r>
          </w:p>
          <w:p w14:paraId="0157F6A4" w14:textId="77777777" w:rsidR="00BE36FB" w:rsidRPr="009B7B35" w:rsidRDefault="00BE36FB" w:rsidP="001A7107">
            <w:pPr>
              <w:pStyle w:val="TableText"/>
              <w:rPr>
                <w:rFonts w:cs="Arial"/>
              </w:rPr>
            </w:pPr>
            <w:r w:rsidRPr="009B7B35">
              <w:rPr>
                <w:rFonts w:cs="Arial"/>
              </w:rPr>
              <w:t>Development must:</w:t>
            </w:r>
          </w:p>
          <w:p w14:paraId="269D8F7A" w14:textId="77777777" w:rsidR="00BE36FB" w:rsidRPr="009B7B35" w:rsidRDefault="00BE36FB" w:rsidP="00BE36FB">
            <w:pPr>
              <w:numPr>
                <w:ilvl w:val="0"/>
                <w:numId w:val="644"/>
              </w:numPr>
              <w:rPr>
                <w:rFonts w:cs="Arial"/>
                <w:sz w:val="20"/>
                <w:szCs w:val="20"/>
              </w:rPr>
            </w:pPr>
            <w:r w:rsidRPr="009B7B35">
              <w:rPr>
                <w:rFonts w:cs="Arial"/>
                <w:sz w:val="20"/>
                <w:szCs w:val="20"/>
              </w:rPr>
              <w:t>provide a net ecological benefit and improvement to the environmental values and functioning of a wetland in a wetland protection area, or</w:t>
            </w:r>
          </w:p>
          <w:p w14:paraId="05960102" w14:textId="77777777" w:rsidR="00BE36FB" w:rsidRPr="009B7B35" w:rsidRDefault="00BE36FB" w:rsidP="00BE36FB">
            <w:pPr>
              <w:numPr>
                <w:ilvl w:val="0"/>
                <w:numId w:val="644"/>
              </w:numPr>
              <w:rPr>
                <w:rFonts w:cs="Arial"/>
                <w:sz w:val="20"/>
                <w:szCs w:val="20"/>
              </w:rPr>
            </w:pPr>
            <w:r w:rsidRPr="009B7B35">
              <w:rPr>
                <w:rFonts w:cs="Arial"/>
                <w:sz w:val="20"/>
                <w:szCs w:val="20"/>
              </w:rPr>
              <w:t>rehabilitate the existing hydrological regime, or restore the natural hydrological regime of a wetland in a wetland protection area.</w:t>
            </w:r>
          </w:p>
          <w:p w14:paraId="66B165DB" w14:textId="77777777" w:rsidR="00BE36FB" w:rsidRPr="009B7B35" w:rsidRDefault="00BE36FB" w:rsidP="001A7107">
            <w:pPr>
              <w:pStyle w:val="TableText"/>
              <w:rPr>
                <w:rFonts w:cs="Arial"/>
              </w:rPr>
            </w:pPr>
          </w:p>
          <w:p w14:paraId="3E9D66A0" w14:textId="77777777" w:rsidR="00BE36FB" w:rsidRPr="009B7B35" w:rsidRDefault="00BE36FB" w:rsidP="001A7107">
            <w:pPr>
              <w:pStyle w:val="TableText"/>
              <w:rPr>
                <w:rFonts w:cs="Arial"/>
              </w:rPr>
            </w:pPr>
            <w:r w:rsidRPr="009B7B35">
              <w:rPr>
                <w:rFonts w:cs="Arial"/>
              </w:rPr>
              <w:t>OR</w:t>
            </w:r>
          </w:p>
          <w:p w14:paraId="3776E509" w14:textId="77777777" w:rsidR="00BE36FB" w:rsidRPr="009B7B35" w:rsidRDefault="00BE36FB" w:rsidP="001A7107">
            <w:pPr>
              <w:pStyle w:val="TableText"/>
              <w:rPr>
                <w:rFonts w:cs="Arial"/>
                <w:b/>
                <w:bCs/>
              </w:rPr>
            </w:pPr>
            <w:r w:rsidRPr="009B7B35">
              <w:rPr>
                <w:rFonts w:cs="Arial"/>
                <w:b/>
                <w:bCs/>
              </w:rPr>
              <w:t>AO19.2</w:t>
            </w:r>
          </w:p>
          <w:p w14:paraId="673D6D19" w14:textId="77777777" w:rsidR="00BE36FB" w:rsidRPr="009B7B35" w:rsidRDefault="00BE36FB" w:rsidP="001A7107">
            <w:pPr>
              <w:pStyle w:val="TableText"/>
              <w:rPr>
                <w:rFonts w:cs="Arial"/>
              </w:rPr>
            </w:pPr>
            <w:r w:rsidRPr="009B7B35">
              <w:rPr>
                <w:rFonts w:cs="Arial"/>
              </w:rPr>
              <w:t>If the development cannot enhance existing values in accordance with AO19.1, development does not change the existing surface water hydrological regime of a wetland in a wetland protection area, including through channelisation, redirection or interruption of flows.</w:t>
            </w:r>
          </w:p>
          <w:p w14:paraId="3A8F4853" w14:textId="77777777" w:rsidR="00BE36FB" w:rsidRPr="009B7B35" w:rsidRDefault="00BE36FB" w:rsidP="001A7107">
            <w:pPr>
              <w:pStyle w:val="TableText"/>
              <w:rPr>
                <w:rFonts w:cs="Arial"/>
              </w:rPr>
            </w:pPr>
          </w:p>
          <w:p w14:paraId="25D675BD" w14:textId="77777777" w:rsidR="00BE36FB" w:rsidRPr="009B7B35" w:rsidRDefault="00BE36FB" w:rsidP="001A7107">
            <w:pPr>
              <w:pStyle w:val="TableText"/>
              <w:rPr>
                <w:rFonts w:cs="Arial"/>
              </w:rPr>
            </w:pPr>
            <w:r w:rsidRPr="009B7B35">
              <w:rPr>
                <w:rFonts w:cs="Arial"/>
              </w:rPr>
              <w:t>OR</w:t>
            </w:r>
          </w:p>
          <w:p w14:paraId="2F6FA87B" w14:textId="77777777" w:rsidR="00BE36FB" w:rsidRPr="009B7B35" w:rsidRDefault="00BE36FB" w:rsidP="001A7107">
            <w:pPr>
              <w:pStyle w:val="TableText"/>
              <w:rPr>
                <w:rFonts w:cs="Arial"/>
                <w:b/>
                <w:bCs/>
              </w:rPr>
            </w:pPr>
            <w:r w:rsidRPr="009B7B35">
              <w:rPr>
                <w:rFonts w:cs="Arial"/>
                <w:b/>
                <w:bCs/>
              </w:rPr>
              <w:t>AO19.3</w:t>
            </w:r>
          </w:p>
          <w:p w14:paraId="699F41D6" w14:textId="77777777" w:rsidR="00BE36FB" w:rsidRPr="009B7B35" w:rsidRDefault="00BE36FB" w:rsidP="001A7107">
            <w:pPr>
              <w:pStyle w:val="TableText"/>
              <w:rPr>
                <w:rFonts w:cs="Arial"/>
              </w:rPr>
            </w:pPr>
            <w:r w:rsidRPr="009B7B35">
              <w:rPr>
                <w:rFonts w:cs="Arial"/>
              </w:rPr>
              <w:t>If AO19.1 or AO19.2 cannot be complied with, the extent of any change to the existing surface water hydrological regime is minimised to ensure the wetland values and functioning are protected. The change is minimised if, at least:</w:t>
            </w:r>
          </w:p>
          <w:p w14:paraId="1DAD8FB4" w14:textId="77777777" w:rsidR="00BE36FB" w:rsidRPr="009B7B35" w:rsidRDefault="00BE36FB" w:rsidP="00BE36FB">
            <w:pPr>
              <w:pStyle w:val="TableText"/>
              <w:numPr>
                <w:ilvl w:val="0"/>
                <w:numId w:val="678"/>
              </w:numPr>
              <w:rPr>
                <w:rFonts w:cs="Arial"/>
              </w:rPr>
            </w:pPr>
            <w:r w:rsidRPr="009B7B35">
              <w:rPr>
                <w:rFonts w:cs="Arial"/>
              </w:rPr>
              <w:t>there is no change to the reference high–flow duration and low–flow duration frequency curves, low–flow spells frequency curve and mean annual flow to, and from, the wetland</w:t>
            </w:r>
          </w:p>
          <w:p w14:paraId="266EA184" w14:textId="77777777" w:rsidR="00BE36FB" w:rsidRPr="009B7B35" w:rsidRDefault="00BE36FB" w:rsidP="00BE36FB">
            <w:pPr>
              <w:pStyle w:val="TableText"/>
              <w:numPr>
                <w:ilvl w:val="0"/>
                <w:numId w:val="678"/>
              </w:numPr>
              <w:rPr>
                <w:rFonts w:cs="Arial"/>
              </w:rPr>
            </w:pPr>
            <w:r w:rsidRPr="009B7B35">
              <w:rPr>
                <w:rFonts w:cs="Arial"/>
              </w:rPr>
              <w:t xml:space="preserve">any relevant stream flows into the wetland comply with relevant environmental flow objectives (EFOs) of the applicable water resource plan under the </w:t>
            </w:r>
            <w:r w:rsidRPr="009B7B35">
              <w:rPr>
                <w:rStyle w:val="StyleItalic"/>
                <w:rFonts w:cs="Arial"/>
              </w:rPr>
              <w:t>Water Act 2000</w:t>
            </w:r>
            <w:r w:rsidRPr="009B7B35">
              <w:rPr>
                <w:rFonts w:cs="Arial"/>
              </w:rPr>
              <w:t xml:space="preserve"> for the area</w:t>
            </w:r>
          </w:p>
          <w:p w14:paraId="7D371679" w14:textId="77777777" w:rsidR="00BE36FB" w:rsidRPr="009B7B35" w:rsidRDefault="00BE36FB" w:rsidP="001A7107">
            <w:pPr>
              <w:pStyle w:val="TableText"/>
              <w:rPr>
                <w:rFonts w:cs="Arial"/>
              </w:rPr>
            </w:pPr>
            <w:r w:rsidRPr="009B7B35">
              <w:rPr>
                <w:rFonts w:cs="Arial"/>
              </w:rPr>
              <w:t>for development resulting in an increase to the velocity or volume of stormwater flows into the wetland – the collection and reuse of stormwater occurs in accordance with (a) and (b).</w:t>
            </w:r>
          </w:p>
        </w:tc>
      </w:tr>
      <w:tr w:rsidR="00BE36FB" w:rsidRPr="009B7B35" w14:paraId="2E7F820F" w14:textId="77777777" w:rsidTr="001A7107">
        <w:tc>
          <w:tcPr>
            <w:tcW w:w="0" w:type="auto"/>
          </w:tcPr>
          <w:p w14:paraId="77C4AF78" w14:textId="77777777" w:rsidR="00BE36FB" w:rsidRPr="009B7B35" w:rsidRDefault="00BE36FB" w:rsidP="001A7107">
            <w:pPr>
              <w:pStyle w:val="TableText"/>
              <w:rPr>
                <w:rFonts w:cs="Arial"/>
                <w:b/>
                <w:bCs/>
              </w:rPr>
            </w:pPr>
            <w:r w:rsidRPr="009B7B35">
              <w:rPr>
                <w:rFonts w:cs="Arial"/>
                <w:b/>
                <w:bCs/>
              </w:rPr>
              <w:t>PO20</w:t>
            </w:r>
          </w:p>
          <w:p w14:paraId="4F8C86EE" w14:textId="77777777" w:rsidR="00BE36FB" w:rsidRPr="009B7B35" w:rsidRDefault="00BE36FB" w:rsidP="001A7107">
            <w:pPr>
              <w:pStyle w:val="TableText"/>
              <w:rPr>
                <w:rFonts w:cs="Arial"/>
              </w:rPr>
            </w:pPr>
            <w:r w:rsidRPr="009B7B35">
              <w:rPr>
                <w:rFonts w:cs="Arial"/>
              </w:rPr>
              <w:t>The existing groundwater hydrological regime of the wetland protection area (including the area of the wetland) is enhanced or protected.</w:t>
            </w:r>
          </w:p>
        </w:tc>
        <w:tc>
          <w:tcPr>
            <w:tcW w:w="0" w:type="auto"/>
          </w:tcPr>
          <w:p w14:paraId="5D212782" w14:textId="77777777" w:rsidR="00BE36FB" w:rsidRPr="009B7B35" w:rsidRDefault="00BE36FB" w:rsidP="001A7107">
            <w:pPr>
              <w:pStyle w:val="TableText"/>
              <w:rPr>
                <w:rFonts w:cs="Arial"/>
                <w:b/>
                <w:bCs/>
              </w:rPr>
            </w:pPr>
            <w:r w:rsidRPr="009B7B35">
              <w:rPr>
                <w:rFonts w:cs="Arial"/>
                <w:b/>
                <w:bCs/>
              </w:rPr>
              <w:t>AO20.1</w:t>
            </w:r>
          </w:p>
          <w:p w14:paraId="5BF59844" w14:textId="77777777" w:rsidR="00BE36FB" w:rsidRPr="009B7B35" w:rsidRDefault="00BE36FB" w:rsidP="001A7107">
            <w:pPr>
              <w:pStyle w:val="TableText"/>
              <w:rPr>
                <w:rFonts w:cs="Arial"/>
              </w:rPr>
            </w:pPr>
            <w:r w:rsidRPr="009B7B35">
              <w:rPr>
                <w:rFonts w:cs="Arial"/>
              </w:rPr>
              <w:t>The water table and hydrostatic pressure in the wetland protection area are returned to their natural state.</w:t>
            </w:r>
          </w:p>
          <w:p w14:paraId="77DF5413" w14:textId="77777777" w:rsidR="00BE36FB" w:rsidRPr="009B7B35" w:rsidRDefault="00BE36FB" w:rsidP="001A7107">
            <w:pPr>
              <w:pStyle w:val="TableText"/>
              <w:rPr>
                <w:rFonts w:cs="Arial"/>
              </w:rPr>
            </w:pPr>
          </w:p>
          <w:p w14:paraId="4DA941E8" w14:textId="77777777" w:rsidR="00BE36FB" w:rsidRPr="009B7B35" w:rsidRDefault="00BE36FB" w:rsidP="001A7107">
            <w:pPr>
              <w:pStyle w:val="TableText"/>
              <w:rPr>
                <w:rFonts w:cs="Arial"/>
              </w:rPr>
            </w:pPr>
            <w:r w:rsidRPr="009B7B35">
              <w:rPr>
                <w:rFonts w:cs="Arial"/>
              </w:rPr>
              <w:t>OR</w:t>
            </w:r>
          </w:p>
          <w:p w14:paraId="7152356C" w14:textId="77777777" w:rsidR="00BE36FB" w:rsidRPr="009B7B35" w:rsidRDefault="00BE36FB" w:rsidP="001A7107">
            <w:pPr>
              <w:pStyle w:val="TableText"/>
              <w:rPr>
                <w:rFonts w:cs="Arial"/>
                <w:b/>
                <w:bCs/>
              </w:rPr>
            </w:pPr>
            <w:r w:rsidRPr="009B7B35">
              <w:rPr>
                <w:rFonts w:cs="Arial"/>
                <w:b/>
                <w:bCs/>
              </w:rPr>
              <w:t>AO20.2</w:t>
            </w:r>
          </w:p>
          <w:p w14:paraId="79D86FC2" w14:textId="77777777" w:rsidR="00BE36FB" w:rsidRPr="009B7B35" w:rsidRDefault="00BE36FB" w:rsidP="001A7107">
            <w:pPr>
              <w:pStyle w:val="TableText"/>
              <w:rPr>
                <w:rFonts w:cs="Arial"/>
              </w:rPr>
            </w:pPr>
            <w:r w:rsidRPr="009B7B35">
              <w:rPr>
                <w:rFonts w:cs="Arial"/>
              </w:rPr>
              <w:t xml:space="preserve">If AO20.1 cannot be complied with: </w:t>
            </w:r>
          </w:p>
          <w:p w14:paraId="7F446BAB" w14:textId="77777777" w:rsidR="00BE36FB" w:rsidRPr="009B7B35" w:rsidRDefault="00BE36FB" w:rsidP="00BE36FB">
            <w:pPr>
              <w:pStyle w:val="TableText"/>
              <w:numPr>
                <w:ilvl w:val="0"/>
                <w:numId w:val="679"/>
              </w:numPr>
              <w:rPr>
                <w:rFonts w:cs="Arial"/>
              </w:rPr>
            </w:pPr>
            <w:r w:rsidRPr="009B7B35">
              <w:rPr>
                <w:rFonts w:cs="Arial"/>
              </w:rPr>
              <w:t xml:space="preserve">the water table and hydrostatic pressure within the wetland protection area is not lowered or raised outside the bounds of variability under pre–development conditions, and </w:t>
            </w:r>
          </w:p>
          <w:p w14:paraId="7EE38B9C" w14:textId="77777777" w:rsidR="00BE36FB" w:rsidRPr="009B7B35" w:rsidRDefault="00BE36FB" w:rsidP="00BE36FB">
            <w:pPr>
              <w:pStyle w:val="TableText"/>
              <w:numPr>
                <w:ilvl w:val="0"/>
                <w:numId w:val="679"/>
              </w:numPr>
              <w:rPr>
                <w:rFonts w:cs="Arial"/>
              </w:rPr>
            </w:pPr>
            <w:r w:rsidRPr="009B7B35">
              <w:rPr>
                <w:rFonts w:cs="Arial"/>
              </w:rPr>
              <w:t xml:space="preserve">the ingress of saline water into freshwater aquifers is prevented. </w:t>
            </w:r>
          </w:p>
          <w:p w14:paraId="7A6FCFB0" w14:textId="77777777" w:rsidR="00BE36FB" w:rsidRPr="009B7B35" w:rsidRDefault="00BE36FB" w:rsidP="001A7107">
            <w:pPr>
              <w:pStyle w:val="Notes"/>
              <w:rPr>
                <w:rFonts w:cs="Arial"/>
                <w:sz w:val="20"/>
                <w:szCs w:val="20"/>
              </w:rPr>
            </w:pPr>
            <w:r w:rsidRPr="009B7B35">
              <w:rPr>
                <w:rFonts w:cs="Arial"/>
                <w:sz w:val="20"/>
                <w:szCs w:val="20"/>
              </w:rPr>
              <w:t xml:space="preserve">Note—Groundwater modelling is recommended where groundwater hydrology for a wetland in a wetland protection area represents a significant environmental constraint for, and interference is proposed by, the proposed development. </w:t>
            </w:r>
          </w:p>
        </w:tc>
      </w:tr>
      <w:tr w:rsidR="00BE36FB" w:rsidRPr="009B7B35" w14:paraId="7D1036E4" w14:textId="77777777" w:rsidTr="001A7107">
        <w:tc>
          <w:tcPr>
            <w:tcW w:w="0" w:type="auto"/>
          </w:tcPr>
          <w:p w14:paraId="6CAD3B4F" w14:textId="77777777" w:rsidR="00BE36FB" w:rsidRPr="009B7B35" w:rsidRDefault="00BE36FB" w:rsidP="001A7107">
            <w:pPr>
              <w:pStyle w:val="TableText"/>
              <w:rPr>
                <w:rFonts w:cs="Arial"/>
                <w:b/>
                <w:bCs/>
              </w:rPr>
            </w:pPr>
            <w:r w:rsidRPr="009B7B35">
              <w:rPr>
                <w:rFonts w:cs="Arial"/>
                <w:b/>
                <w:bCs/>
              </w:rPr>
              <w:t>PO21</w:t>
            </w:r>
          </w:p>
          <w:p w14:paraId="4CC938F0" w14:textId="77777777" w:rsidR="00BE36FB" w:rsidRPr="009B7B35" w:rsidRDefault="00BE36FB" w:rsidP="001A7107">
            <w:pPr>
              <w:pStyle w:val="TableText"/>
              <w:rPr>
                <w:rFonts w:cs="Arial"/>
              </w:rPr>
            </w:pPr>
            <w:r w:rsidRPr="009B7B35">
              <w:rPr>
                <w:rFonts w:cs="Arial"/>
              </w:rPr>
              <w:t>During construction and operation of development in a wetland in a wetland protection area:</w:t>
            </w:r>
          </w:p>
          <w:p w14:paraId="5E9A371D" w14:textId="77777777" w:rsidR="00BE36FB" w:rsidRPr="009B7B35" w:rsidRDefault="00BE36FB" w:rsidP="00BE36FB">
            <w:pPr>
              <w:pStyle w:val="TableText"/>
              <w:numPr>
                <w:ilvl w:val="0"/>
                <w:numId w:val="680"/>
              </w:numPr>
              <w:rPr>
                <w:rFonts w:cs="Arial"/>
              </w:rPr>
            </w:pPr>
            <w:r w:rsidRPr="009B7B35">
              <w:rPr>
                <w:rFonts w:cs="Arial"/>
              </w:rPr>
              <w:t>the wetland is not used for stormwater treatment, and</w:t>
            </w:r>
          </w:p>
          <w:p w14:paraId="5D412AE6" w14:textId="77777777" w:rsidR="00BE36FB" w:rsidRPr="009B7B35" w:rsidRDefault="00BE36FB" w:rsidP="00BE36FB">
            <w:pPr>
              <w:pStyle w:val="TableText"/>
              <w:numPr>
                <w:ilvl w:val="0"/>
                <w:numId w:val="680"/>
              </w:numPr>
              <w:rPr>
                <w:rFonts w:cs="Arial"/>
              </w:rPr>
            </w:pPr>
            <w:r w:rsidRPr="009B7B35">
              <w:rPr>
                <w:rFonts w:cs="Arial"/>
              </w:rPr>
              <w:t>the buffer and water quality values of the wetland are protected from stormwater impacts.</w:t>
            </w:r>
          </w:p>
        </w:tc>
        <w:tc>
          <w:tcPr>
            <w:tcW w:w="0" w:type="auto"/>
          </w:tcPr>
          <w:p w14:paraId="2817B1D1" w14:textId="77777777" w:rsidR="00BE36FB" w:rsidRPr="009B7B35" w:rsidRDefault="00BE36FB" w:rsidP="001A7107">
            <w:pPr>
              <w:pStyle w:val="TableText"/>
              <w:rPr>
                <w:rFonts w:cs="Arial"/>
                <w:b/>
                <w:bCs/>
              </w:rPr>
            </w:pPr>
            <w:r w:rsidRPr="009B7B35">
              <w:rPr>
                <w:rFonts w:cs="Arial"/>
                <w:b/>
                <w:bCs/>
              </w:rPr>
              <w:t>AO21</w:t>
            </w:r>
          </w:p>
          <w:p w14:paraId="300D66DC" w14:textId="77777777" w:rsidR="00BE36FB" w:rsidRPr="009B7B35" w:rsidRDefault="00BE36FB" w:rsidP="001A7107">
            <w:pPr>
              <w:pStyle w:val="TableText"/>
              <w:rPr>
                <w:rFonts w:cs="Arial"/>
              </w:rPr>
            </w:pPr>
            <w:r w:rsidRPr="009B7B35">
              <w:rPr>
                <w:rFonts w:cs="Arial"/>
              </w:rPr>
              <w:t>Development does not result in any measurable change to the quantity or quality of stormwater entering a wetland in a wetland protection area during construction and operation.</w:t>
            </w:r>
          </w:p>
          <w:p w14:paraId="0D2FC7CA" w14:textId="77777777" w:rsidR="00BE36FB" w:rsidRPr="009B7B35" w:rsidRDefault="00BE36FB" w:rsidP="001A7107">
            <w:pPr>
              <w:pStyle w:val="Notes"/>
              <w:rPr>
                <w:rFonts w:cs="Arial"/>
                <w:sz w:val="20"/>
                <w:szCs w:val="20"/>
              </w:rPr>
            </w:pPr>
            <w:r w:rsidRPr="009B7B35">
              <w:rPr>
                <w:rFonts w:cs="Arial"/>
                <w:sz w:val="20"/>
                <w:szCs w:val="20"/>
              </w:rPr>
              <w:t xml:space="preserve">Note—Measurable Change is to be determined by comparing the overall development impact with existing baseline (pre–development) conditions, and should not exceed reference environmental values or be inconsistent with water quality objectives provided under the </w:t>
            </w:r>
            <w:r w:rsidRPr="009B7B35">
              <w:rPr>
                <w:rStyle w:val="StyleNotesItalic2"/>
                <w:rFonts w:cs="Arial"/>
                <w:sz w:val="20"/>
              </w:rPr>
              <w:t>Environmental Protection (Water) Policy 2009</w:t>
            </w:r>
            <w:r w:rsidRPr="009B7B35">
              <w:rPr>
                <w:rFonts w:cs="Arial"/>
                <w:sz w:val="20"/>
                <w:szCs w:val="20"/>
              </w:rPr>
              <w:t xml:space="preserve">, the </w:t>
            </w:r>
            <w:r w:rsidRPr="009B7B35">
              <w:rPr>
                <w:rStyle w:val="StyleNotesItalic2"/>
                <w:rFonts w:cs="Arial"/>
                <w:sz w:val="20"/>
              </w:rPr>
              <w:t>Urban Stormwater Quality Planning Guidelines 2010</w:t>
            </w:r>
            <w:r w:rsidRPr="009B7B35">
              <w:rPr>
                <w:rFonts w:cs="Arial"/>
                <w:sz w:val="20"/>
                <w:szCs w:val="20"/>
              </w:rPr>
              <w:t xml:space="preserve">, or other relevant supporting technical reference documents as outlined in the guidelines. </w:t>
            </w:r>
          </w:p>
        </w:tc>
      </w:tr>
      <w:tr w:rsidR="00BE36FB" w:rsidRPr="009B7B35" w14:paraId="7141B199" w14:textId="77777777" w:rsidTr="001A7107">
        <w:tc>
          <w:tcPr>
            <w:tcW w:w="0" w:type="auto"/>
            <w:gridSpan w:val="2"/>
            <w:shd w:val="clear" w:color="auto" w:fill="BFBFBF" w:themeFill="background1" w:themeFillShade="BF"/>
          </w:tcPr>
          <w:p w14:paraId="7216D6F7"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Wetland ecological values </w:t>
            </w:r>
          </w:p>
        </w:tc>
      </w:tr>
      <w:tr w:rsidR="00BE36FB" w:rsidRPr="009B7B35" w14:paraId="0D3D2ED5" w14:textId="77777777" w:rsidTr="001A7107">
        <w:tc>
          <w:tcPr>
            <w:tcW w:w="0" w:type="auto"/>
          </w:tcPr>
          <w:p w14:paraId="00471BC5" w14:textId="77777777" w:rsidR="00BE36FB" w:rsidRPr="009B7B35" w:rsidRDefault="00BE36FB" w:rsidP="001A7107">
            <w:pPr>
              <w:pStyle w:val="TableText"/>
              <w:rPr>
                <w:rFonts w:cs="Arial"/>
                <w:b/>
                <w:bCs/>
              </w:rPr>
            </w:pPr>
            <w:r w:rsidRPr="009B7B35">
              <w:rPr>
                <w:rFonts w:cs="Arial"/>
                <w:b/>
                <w:bCs/>
              </w:rPr>
              <w:t>PO22</w:t>
            </w:r>
          </w:p>
          <w:p w14:paraId="4300F84F" w14:textId="77777777" w:rsidR="00BE36FB" w:rsidRPr="009B7B35" w:rsidRDefault="00BE36FB" w:rsidP="001A7107">
            <w:pPr>
              <w:pStyle w:val="TableText"/>
              <w:rPr>
                <w:rFonts w:cs="Arial"/>
              </w:rPr>
            </w:pPr>
            <w:r w:rsidRPr="009B7B35">
              <w:rPr>
                <w:rFonts w:cs="Arial"/>
              </w:rPr>
              <w:t>Development involving the clearing of vegetation protects the biodiversity, ecological values and processes, and hydrological functioning of a wetland in a wetland protection area, including:</w:t>
            </w:r>
          </w:p>
          <w:p w14:paraId="1742BAD5" w14:textId="77777777" w:rsidR="00BE36FB" w:rsidRPr="009B7B35" w:rsidRDefault="00BE36FB" w:rsidP="00BE36FB">
            <w:pPr>
              <w:pStyle w:val="TableText"/>
              <w:numPr>
                <w:ilvl w:val="0"/>
                <w:numId w:val="681"/>
              </w:numPr>
              <w:rPr>
                <w:rFonts w:cs="Arial"/>
              </w:rPr>
            </w:pPr>
            <w:r w:rsidRPr="009B7B35">
              <w:rPr>
                <w:rFonts w:cs="Arial"/>
              </w:rPr>
              <w:t>water quality values</w:t>
            </w:r>
          </w:p>
          <w:p w14:paraId="76062DDB" w14:textId="77777777" w:rsidR="00BE36FB" w:rsidRPr="009B7B35" w:rsidRDefault="00BE36FB" w:rsidP="00BE36FB">
            <w:pPr>
              <w:pStyle w:val="TableText"/>
              <w:numPr>
                <w:ilvl w:val="0"/>
                <w:numId w:val="681"/>
              </w:numPr>
              <w:rPr>
                <w:rFonts w:cs="Arial"/>
              </w:rPr>
            </w:pPr>
            <w:r w:rsidRPr="009B7B35">
              <w:rPr>
                <w:rFonts w:cs="Arial"/>
              </w:rPr>
              <w:t>aquatic habitat values</w:t>
            </w:r>
          </w:p>
          <w:p w14:paraId="661A1867" w14:textId="77777777" w:rsidR="00BE36FB" w:rsidRPr="009B7B35" w:rsidRDefault="00BE36FB" w:rsidP="00BE36FB">
            <w:pPr>
              <w:pStyle w:val="TableText"/>
              <w:numPr>
                <w:ilvl w:val="0"/>
                <w:numId w:val="681"/>
              </w:numPr>
              <w:rPr>
                <w:rFonts w:cs="Arial"/>
              </w:rPr>
            </w:pPr>
            <w:r w:rsidRPr="009B7B35">
              <w:rPr>
                <w:rFonts w:cs="Arial"/>
              </w:rPr>
              <w:t>terrestrial habitat values</w:t>
            </w:r>
          </w:p>
          <w:p w14:paraId="12270C59" w14:textId="77777777" w:rsidR="00BE36FB" w:rsidRPr="009B7B35" w:rsidRDefault="00BE36FB" w:rsidP="00BE36FB">
            <w:pPr>
              <w:pStyle w:val="TableText"/>
              <w:numPr>
                <w:ilvl w:val="0"/>
                <w:numId w:val="681"/>
              </w:numPr>
              <w:rPr>
                <w:rFonts w:cs="Arial"/>
              </w:rPr>
            </w:pPr>
            <w:r w:rsidRPr="009B7B35">
              <w:rPr>
                <w:rFonts w:cs="Arial"/>
              </w:rPr>
              <w:t>usage of the site by native wetland fauna species or communities.</w:t>
            </w:r>
          </w:p>
        </w:tc>
        <w:tc>
          <w:tcPr>
            <w:tcW w:w="0" w:type="auto"/>
          </w:tcPr>
          <w:p w14:paraId="7F117F81" w14:textId="77777777" w:rsidR="00BE36FB" w:rsidRPr="009B7B35" w:rsidRDefault="00BE36FB" w:rsidP="001A7107">
            <w:pPr>
              <w:pStyle w:val="TableText"/>
              <w:rPr>
                <w:rFonts w:cs="Arial"/>
                <w:b/>
                <w:bCs/>
              </w:rPr>
            </w:pPr>
            <w:r w:rsidRPr="009B7B35">
              <w:rPr>
                <w:rFonts w:cs="Arial"/>
                <w:b/>
                <w:bCs/>
              </w:rPr>
              <w:t>AO22</w:t>
            </w:r>
          </w:p>
          <w:p w14:paraId="5D557B83" w14:textId="77777777" w:rsidR="00BE36FB" w:rsidRPr="009B7B35" w:rsidRDefault="00BE36FB" w:rsidP="001A7107">
            <w:pPr>
              <w:pStyle w:val="TableText"/>
              <w:rPr>
                <w:rFonts w:cs="Arial"/>
              </w:rPr>
            </w:pPr>
            <w:r w:rsidRPr="009B7B35">
              <w:rPr>
                <w:rFonts w:cs="Arial"/>
              </w:rPr>
              <w:t>Vegetation clearing undertaken as a consequence of development does not occur in:</w:t>
            </w:r>
          </w:p>
          <w:p w14:paraId="33702FFA" w14:textId="77777777" w:rsidR="00BE36FB" w:rsidRPr="009B7B35" w:rsidRDefault="00BE36FB" w:rsidP="00BE36FB">
            <w:pPr>
              <w:pStyle w:val="TableText"/>
              <w:numPr>
                <w:ilvl w:val="0"/>
                <w:numId w:val="682"/>
              </w:numPr>
              <w:rPr>
                <w:rFonts w:cs="Arial"/>
              </w:rPr>
            </w:pPr>
            <w:r w:rsidRPr="009B7B35">
              <w:rPr>
                <w:rFonts w:cs="Arial"/>
              </w:rPr>
              <w:t>a wetland in a wetland protection area, or</w:t>
            </w:r>
          </w:p>
          <w:p w14:paraId="71ED460F" w14:textId="77777777" w:rsidR="00BE36FB" w:rsidRPr="009B7B35" w:rsidRDefault="00BE36FB" w:rsidP="00BE36FB">
            <w:pPr>
              <w:pStyle w:val="TableText"/>
              <w:numPr>
                <w:ilvl w:val="0"/>
                <w:numId w:val="682"/>
              </w:numPr>
              <w:rPr>
                <w:rFonts w:cs="Arial"/>
              </w:rPr>
            </w:pPr>
            <w:r w:rsidRPr="009B7B35">
              <w:rPr>
                <w:rFonts w:cs="Arial"/>
              </w:rPr>
              <w:t>a buffer area for a wetland as described in PO18.</w:t>
            </w:r>
          </w:p>
          <w:p w14:paraId="36A5AF27" w14:textId="77777777" w:rsidR="00BE36FB" w:rsidRPr="009B7B35" w:rsidRDefault="00BE36FB" w:rsidP="001A7107">
            <w:pPr>
              <w:pStyle w:val="TableText"/>
              <w:rPr>
                <w:rFonts w:cs="Arial"/>
              </w:rPr>
            </w:pPr>
          </w:p>
        </w:tc>
      </w:tr>
      <w:tr w:rsidR="00BE36FB" w:rsidRPr="009B7B35" w14:paraId="77D71BAA" w14:textId="77777777" w:rsidTr="001A7107">
        <w:trPr>
          <w:trHeight w:hRule="exact" w:val="5727"/>
        </w:trPr>
        <w:tc>
          <w:tcPr>
            <w:tcW w:w="0" w:type="auto"/>
          </w:tcPr>
          <w:p w14:paraId="7F3A55AD" w14:textId="77777777" w:rsidR="00BE36FB" w:rsidRPr="009B7B35" w:rsidRDefault="00BE36FB" w:rsidP="001A7107">
            <w:pPr>
              <w:pStyle w:val="TableText"/>
              <w:rPr>
                <w:rFonts w:cs="Arial"/>
                <w:b/>
                <w:bCs/>
              </w:rPr>
            </w:pPr>
            <w:r w:rsidRPr="009B7B35">
              <w:rPr>
                <w:rFonts w:cs="Arial"/>
                <w:b/>
                <w:bCs/>
              </w:rPr>
              <w:t>PO23</w:t>
            </w:r>
          </w:p>
          <w:p w14:paraId="7BF5C5CE" w14:textId="77777777" w:rsidR="00BE36FB" w:rsidRPr="009B7B35" w:rsidRDefault="00BE36FB" w:rsidP="001A7107">
            <w:pPr>
              <w:pStyle w:val="TableText"/>
              <w:rPr>
                <w:rFonts w:cs="Arial"/>
              </w:rPr>
            </w:pPr>
            <w:r w:rsidRPr="009B7B35">
              <w:rPr>
                <w:rFonts w:cs="Arial"/>
              </w:rPr>
              <w:t>Development avoids land degradation in a wetland protection area, including:</w:t>
            </w:r>
          </w:p>
          <w:p w14:paraId="1EB268B3" w14:textId="77777777" w:rsidR="00BE36FB" w:rsidRPr="009B7B35" w:rsidRDefault="00BE36FB" w:rsidP="00BE36FB">
            <w:pPr>
              <w:pStyle w:val="TableText"/>
              <w:numPr>
                <w:ilvl w:val="0"/>
                <w:numId w:val="683"/>
              </w:numPr>
              <w:rPr>
                <w:rFonts w:cs="Arial"/>
              </w:rPr>
            </w:pPr>
            <w:r w:rsidRPr="009B7B35">
              <w:rPr>
                <w:rFonts w:cs="Arial"/>
              </w:rPr>
              <w:t>mass soil movement, gully erosion, rill erosion, sheet erosion, tunnel erosion, stream bank erosion, wind erosion, or scalding</w:t>
            </w:r>
          </w:p>
          <w:p w14:paraId="3D674E0E" w14:textId="77777777" w:rsidR="00BE36FB" w:rsidRPr="009B7B35" w:rsidRDefault="00BE36FB" w:rsidP="00BE36FB">
            <w:pPr>
              <w:pStyle w:val="TableText"/>
              <w:numPr>
                <w:ilvl w:val="0"/>
                <w:numId w:val="683"/>
              </w:numPr>
              <w:rPr>
                <w:rFonts w:cs="Arial"/>
              </w:rPr>
            </w:pPr>
            <w:r w:rsidRPr="009B7B35">
              <w:rPr>
                <w:rFonts w:cs="Arial"/>
              </w:rPr>
              <w:t>loss or modification of chemical, physical or biological properties or functions of soils.</w:t>
            </w:r>
          </w:p>
        </w:tc>
        <w:tc>
          <w:tcPr>
            <w:tcW w:w="0" w:type="auto"/>
          </w:tcPr>
          <w:p w14:paraId="3F2A3D50" w14:textId="77777777" w:rsidR="00BE36FB" w:rsidRPr="009B7B35" w:rsidRDefault="00BE36FB" w:rsidP="001A7107">
            <w:pPr>
              <w:pStyle w:val="TableText"/>
              <w:rPr>
                <w:rFonts w:cs="Arial"/>
                <w:b/>
                <w:bCs/>
              </w:rPr>
            </w:pPr>
            <w:r w:rsidRPr="009B7B35">
              <w:rPr>
                <w:rFonts w:cs="Arial"/>
                <w:b/>
                <w:bCs/>
              </w:rPr>
              <w:t>AO23.1</w:t>
            </w:r>
          </w:p>
          <w:p w14:paraId="527EF1D0" w14:textId="77777777" w:rsidR="00BE36FB" w:rsidRPr="009B7B35" w:rsidRDefault="00BE36FB" w:rsidP="001A7107">
            <w:pPr>
              <w:rPr>
                <w:rFonts w:cs="Arial"/>
                <w:sz w:val="20"/>
                <w:szCs w:val="20"/>
              </w:rPr>
            </w:pPr>
            <w:r w:rsidRPr="009B7B35">
              <w:rPr>
                <w:rFonts w:cs="Arial"/>
                <w:sz w:val="20"/>
                <w:szCs w:val="20"/>
              </w:rPr>
              <w:t>Development is not carried out in:</w:t>
            </w:r>
          </w:p>
          <w:p w14:paraId="6B0FAAE7" w14:textId="77777777" w:rsidR="00BE36FB" w:rsidRPr="009B7B35" w:rsidRDefault="00BE36FB" w:rsidP="00BE36FB">
            <w:pPr>
              <w:numPr>
                <w:ilvl w:val="0"/>
                <w:numId w:val="645"/>
              </w:numPr>
              <w:rPr>
                <w:rFonts w:cs="Arial"/>
                <w:sz w:val="20"/>
                <w:szCs w:val="20"/>
              </w:rPr>
            </w:pPr>
            <w:r w:rsidRPr="009B7B35">
              <w:rPr>
                <w:rFonts w:cs="Arial"/>
                <w:sz w:val="20"/>
                <w:szCs w:val="20"/>
              </w:rPr>
              <w:t>a wetland in a wetland protection area, or</w:t>
            </w:r>
          </w:p>
          <w:p w14:paraId="531C40CD" w14:textId="77777777" w:rsidR="00BE36FB" w:rsidRPr="009B7B35" w:rsidRDefault="00BE36FB" w:rsidP="00BE36FB">
            <w:pPr>
              <w:numPr>
                <w:ilvl w:val="0"/>
                <w:numId w:val="645"/>
              </w:numPr>
              <w:rPr>
                <w:rFonts w:cs="Arial"/>
                <w:sz w:val="20"/>
                <w:szCs w:val="20"/>
              </w:rPr>
            </w:pPr>
            <w:r w:rsidRPr="009B7B35">
              <w:rPr>
                <w:rFonts w:cs="Arial"/>
                <w:sz w:val="20"/>
                <w:szCs w:val="20"/>
              </w:rPr>
              <w:t>a buffer area for a wetland as described in PO18.</w:t>
            </w:r>
          </w:p>
          <w:p w14:paraId="7DEECD10" w14:textId="77777777" w:rsidR="00BE36FB" w:rsidRPr="009B7B35" w:rsidRDefault="00BE36FB" w:rsidP="001A7107">
            <w:pPr>
              <w:pStyle w:val="TableText"/>
              <w:rPr>
                <w:rFonts w:cs="Arial"/>
              </w:rPr>
            </w:pPr>
            <w:r w:rsidRPr="009B7B35">
              <w:rPr>
                <w:rFonts w:cs="Arial"/>
              </w:rPr>
              <w:t>OR</w:t>
            </w:r>
          </w:p>
          <w:p w14:paraId="4D3DE1C9" w14:textId="77777777" w:rsidR="00BE36FB" w:rsidRPr="009B7B35" w:rsidRDefault="00BE36FB" w:rsidP="001A7107">
            <w:pPr>
              <w:pStyle w:val="TableText"/>
              <w:rPr>
                <w:rFonts w:cs="Arial"/>
                <w:b/>
                <w:bCs/>
              </w:rPr>
            </w:pPr>
            <w:r w:rsidRPr="009B7B35">
              <w:rPr>
                <w:rFonts w:cs="Arial"/>
                <w:b/>
                <w:bCs/>
              </w:rPr>
              <w:t>AO23.2</w:t>
            </w:r>
          </w:p>
          <w:p w14:paraId="5A0BC957" w14:textId="77777777" w:rsidR="00BE36FB" w:rsidRPr="009B7B35" w:rsidRDefault="00BE36FB" w:rsidP="001A7107">
            <w:pPr>
              <w:pStyle w:val="TableText"/>
              <w:rPr>
                <w:rFonts w:cs="Arial"/>
              </w:rPr>
            </w:pPr>
            <w:r w:rsidRPr="009B7B35">
              <w:rPr>
                <w:rFonts w:cs="Arial"/>
              </w:rPr>
              <w:t>Based on the prevailing soil and slope characteristics for the development area, all reasonable and practical measures are implemented to establish development specific engineering designs and solutions for the horizontal and vertical alignment of infrastructure, so as to avoid land degradation in a wetland protection area.</w:t>
            </w:r>
          </w:p>
          <w:p w14:paraId="1137E8F9" w14:textId="77777777" w:rsidR="00BE36FB" w:rsidRPr="009B7B35" w:rsidRDefault="00BE36FB" w:rsidP="001A7107">
            <w:pPr>
              <w:pStyle w:val="TableText"/>
              <w:rPr>
                <w:rFonts w:cs="Arial"/>
              </w:rPr>
            </w:pPr>
            <w:r w:rsidRPr="009B7B35">
              <w:rPr>
                <w:rFonts w:cs="Arial"/>
              </w:rPr>
              <w:t>AND</w:t>
            </w:r>
          </w:p>
          <w:p w14:paraId="28F14E2F" w14:textId="77777777" w:rsidR="00BE36FB" w:rsidRPr="009B7B35" w:rsidRDefault="00BE36FB" w:rsidP="001A7107">
            <w:pPr>
              <w:pStyle w:val="TableText"/>
              <w:rPr>
                <w:rFonts w:cs="Arial"/>
                <w:b/>
                <w:bCs/>
              </w:rPr>
            </w:pPr>
            <w:r w:rsidRPr="009B7B35">
              <w:rPr>
                <w:rFonts w:cs="Arial"/>
                <w:b/>
                <w:bCs/>
              </w:rPr>
              <w:t>AO23.3</w:t>
            </w:r>
          </w:p>
          <w:p w14:paraId="4C511D9E" w14:textId="77777777" w:rsidR="00BE36FB" w:rsidRPr="009B7B35" w:rsidRDefault="00BE36FB" w:rsidP="001A7107">
            <w:pPr>
              <w:pStyle w:val="TableText"/>
              <w:rPr>
                <w:rFonts w:cs="Arial"/>
              </w:rPr>
            </w:pPr>
            <w:r w:rsidRPr="009B7B35">
              <w:rPr>
                <w:rFonts w:cs="Arial"/>
              </w:rPr>
              <w:t>Filling and excavation operations are carried out, and an erosion and sediment control plan is prepared, and implemented, to minimise land degradation in a wetland protection area.</w:t>
            </w:r>
          </w:p>
          <w:p w14:paraId="5EEA073F" w14:textId="77777777" w:rsidR="00BE36FB" w:rsidRPr="009B7B35" w:rsidRDefault="00BE36FB" w:rsidP="001A7107">
            <w:pPr>
              <w:pStyle w:val="TableText"/>
              <w:rPr>
                <w:rFonts w:cs="Arial"/>
              </w:rPr>
            </w:pPr>
          </w:p>
          <w:p w14:paraId="5324D55A" w14:textId="77777777" w:rsidR="00BE36FB" w:rsidRPr="009B7B35" w:rsidRDefault="00BE36FB" w:rsidP="001A7107">
            <w:pPr>
              <w:pStyle w:val="TableText"/>
              <w:rPr>
                <w:rFonts w:cs="Arial"/>
              </w:rPr>
            </w:pPr>
          </w:p>
          <w:p w14:paraId="4719B2E4" w14:textId="77777777" w:rsidR="00BE36FB" w:rsidRPr="009B7B35" w:rsidRDefault="00BE36FB" w:rsidP="001A7107">
            <w:pPr>
              <w:pStyle w:val="TableText"/>
              <w:rPr>
                <w:rFonts w:cs="Arial"/>
              </w:rPr>
            </w:pPr>
          </w:p>
          <w:p w14:paraId="3FF09C76" w14:textId="77777777" w:rsidR="00BE36FB" w:rsidRPr="009B7B35" w:rsidRDefault="00BE36FB" w:rsidP="001A7107">
            <w:pPr>
              <w:pStyle w:val="TableText"/>
              <w:rPr>
                <w:rFonts w:cs="Arial"/>
              </w:rPr>
            </w:pPr>
          </w:p>
          <w:p w14:paraId="0CAF2739" w14:textId="77777777" w:rsidR="00BE36FB" w:rsidRPr="009B7B35" w:rsidRDefault="00BE36FB" w:rsidP="001A7107">
            <w:pPr>
              <w:pStyle w:val="TableText"/>
              <w:rPr>
                <w:rFonts w:cs="Arial"/>
              </w:rPr>
            </w:pPr>
          </w:p>
          <w:p w14:paraId="36806CB5" w14:textId="77777777" w:rsidR="00BE36FB" w:rsidRPr="009B7B35" w:rsidRDefault="00BE36FB" w:rsidP="001A7107">
            <w:pPr>
              <w:pStyle w:val="TableText"/>
              <w:rPr>
                <w:rFonts w:cs="Arial"/>
              </w:rPr>
            </w:pPr>
          </w:p>
        </w:tc>
      </w:tr>
      <w:tr w:rsidR="00BE36FB" w:rsidRPr="009B7B35" w14:paraId="231491C2" w14:textId="77777777" w:rsidTr="001A7107">
        <w:tc>
          <w:tcPr>
            <w:tcW w:w="0" w:type="auto"/>
          </w:tcPr>
          <w:p w14:paraId="124D46A4" w14:textId="77777777" w:rsidR="00BE36FB" w:rsidRPr="009B7B35" w:rsidRDefault="00BE36FB" w:rsidP="001A7107">
            <w:pPr>
              <w:pStyle w:val="TableText"/>
              <w:rPr>
                <w:rFonts w:cs="Arial"/>
                <w:b/>
                <w:bCs/>
              </w:rPr>
            </w:pPr>
            <w:r w:rsidRPr="009B7B35">
              <w:rPr>
                <w:rFonts w:cs="Arial"/>
                <w:b/>
                <w:bCs/>
              </w:rPr>
              <w:t>PO24</w:t>
            </w:r>
          </w:p>
          <w:p w14:paraId="399BBB0D" w14:textId="77777777" w:rsidR="00BE36FB" w:rsidRPr="009B7B35" w:rsidRDefault="00BE36FB" w:rsidP="001A7107">
            <w:pPr>
              <w:pStyle w:val="TableText"/>
              <w:rPr>
                <w:rFonts w:cs="Arial"/>
              </w:rPr>
            </w:pPr>
            <w:r w:rsidRPr="009B7B35">
              <w:rPr>
                <w:rFonts w:cs="Arial"/>
              </w:rPr>
              <w:t>Development in a wetland protection area ensures that any existing ecological corridors are enhanced or protected and have dimensions and characteristics that will:</w:t>
            </w:r>
          </w:p>
          <w:p w14:paraId="2663A16A" w14:textId="77777777" w:rsidR="00BE36FB" w:rsidRPr="009B7B35" w:rsidRDefault="00BE36FB" w:rsidP="00BE36FB">
            <w:pPr>
              <w:numPr>
                <w:ilvl w:val="0"/>
                <w:numId w:val="598"/>
              </w:numPr>
              <w:rPr>
                <w:rFonts w:cs="Arial"/>
                <w:sz w:val="20"/>
                <w:szCs w:val="20"/>
              </w:rPr>
            </w:pPr>
            <w:r w:rsidRPr="009B7B35">
              <w:rPr>
                <w:rFonts w:cs="Arial"/>
                <w:sz w:val="20"/>
                <w:szCs w:val="20"/>
              </w:rPr>
              <w:t>effectively link habitats on or adjacent to the site</w:t>
            </w:r>
          </w:p>
          <w:p w14:paraId="5734221E" w14:textId="77777777" w:rsidR="00BE36FB" w:rsidRPr="009B7B35" w:rsidRDefault="00BE36FB" w:rsidP="00BE36FB">
            <w:pPr>
              <w:numPr>
                <w:ilvl w:val="0"/>
                <w:numId w:val="598"/>
              </w:numPr>
              <w:rPr>
                <w:rFonts w:cs="Arial"/>
                <w:sz w:val="20"/>
                <w:szCs w:val="20"/>
              </w:rPr>
            </w:pPr>
            <w:r w:rsidRPr="009B7B35">
              <w:rPr>
                <w:rFonts w:cs="Arial"/>
                <w:sz w:val="20"/>
                <w:szCs w:val="20"/>
              </w:rPr>
              <w:t>facilitate the effective movement of terrestrial and aquatic fauna accessing or using a wetland as habitat.</w:t>
            </w:r>
          </w:p>
        </w:tc>
        <w:tc>
          <w:tcPr>
            <w:tcW w:w="0" w:type="auto"/>
          </w:tcPr>
          <w:p w14:paraId="060DC519" w14:textId="77777777" w:rsidR="00BE36FB" w:rsidRPr="009B7B35" w:rsidRDefault="00BE36FB" w:rsidP="001A7107">
            <w:pPr>
              <w:pStyle w:val="TableText"/>
              <w:rPr>
                <w:rFonts w:cs="Arial"/>
                <w:b/>
                <w:bCs/>
              </w:rPr>
            </w:pPr>
            <w:r w:rsidRPr="009B7B35">
              <w:rPr>
                <w:rFonts w:cs="Arial"/>
                <w:b/>
                <w:bCs/>
              </w:rPr>
              <w:t>AO24.1</w:t>
            </w:r>
          </w:p>
          <w:p w14:paraId="594F0EA5" w14:textId="77777777" w:rsidR="00BE36FB" w:rsidRPr="009B7B35" w:rsidRDefault="00BE36FB" w:rsidP="001A7107">
            <w:pPr>
              <w:pStyle w:val="TableText"/>
              <w:rPr>
                <w:rFonts w:cs="Arial"/>
              </w:rPr>
            </w:pPr>
            <w:r w:rsidRPr="009B7B35">
              <w:rPr>
                <w:rFonts w:cs="Arial"/>
              </w:rPr>
              <w:t>Development in a wetland protection area does not occur within an existing ecological corridor.</w:t>
            </w:r>
          </w:p>
          <w:p w14:paraId="48F1C37B" w14:textId="77777777" w:rsidR="00BE36FB" w:rsidRPr="009B7B35" w:rsidRDefault="00BE36FB" w:rsidP="001A7107">
            <w:pPr>
              <w:pStyle w:val="TableText"/>
              <w:rPr>
                <w:rFonts w:cs="Arial"/>
              </w:rPr>
            </w:pPr>
          </w:p>
          <w:p w14:paraId="7DE522F7" w14:textId="77777777" w:rsidR="00BE36FB" w:rsidRPr="009B7B35" w:rsidRDefault="00BE36FB" w:rsidP="001A7107">
            <w:pPr>
              <w:pStyle w:val="TableText"/>
              <w:rPr>
                <w:rFonts w:cs="Arial"/>
              </w:rPr>
            </w:pPr>
            <w:r w:rsidRPr="009B7B35">
              <w:rPr>
                <w:rFonts w:cs="Arial"/>
              </w:rPr>
              <w:t>OR</w:t>
            </w:r>
          </w:p>
          <w:p w14:paraId="5A7B6367" w14:textId="77777777" w:rsidR="00BE36FB" w:rsidRPr="009B7B35" w:rsidRDefault="00BE36FB" w:rsidP="001A7107">
            <w:pPr>
              <w:pStyle w:val="TableText"/>
              <w:rPr>
                <w:rFonts w:cs="Arial"/>
                <w:b/>
                <w:bCs/>
              </w:rPr>
            </w:pPr>
            <w:r w:rsidRPr="009B7B35">
              <w:rPr>
                <w:rFonts w:cs="Arial"/>
                <w:b/>
                <w:bCs/>
              </w:rPr>
              <w:t>AO24.2</w:t>
            </w:r>
          </w:p>
          <w:p w14:paraId="4AA1420E" w14:textId="77777777" w:rsidR="00BE36FB" w:rsidRPr="009B7B35" w:rsidRDefault="00BE36FB" w:rsidP="001A7107">
            <w:pPr>
              <w:pStyle w:val="TableText"/>
              <w:rPr>
                <w:rFonts w:cs="Arial"/>
              </w:rPr>
            </w:pPr>
            <w:r w:rsidRPr="009B7B35">
              <w:rPr>
                <w:rFonts w:cs="Arial"/>
              </w:rPr>
              <w:t>If AO24.1 cannot be complied with and an ecological corridor is required to facilitate fauna movement:</w:t>
            </w:r>
          </w:p>
          <w:p w14:paraId="276FF28C" w14:textId="77777777" w:rsidR="00BE36FB" w:rsidRPr="009B7B35" w:rsidRDefault="00BE36FB" w:rsidP="00BE36FB">
            <w:pPr>
              <w:numPr>
                <w:ilvl w:val="0"/>
                <w:numId w:val="646"/>
              </w:numPr>
              <w:rPr>
                <w:rFonts w:cs="Arial"/>
                <w:w w:val="95"/>
                <w:sz w:val="20"/>
                <w:szCs w:val="20"/>
              </w:rPr>
            </w:pPr>
            <w:r w:rsidRPr="009B7B35">
              <w:rPr>
                <w:rFonts w:cs="Arial"/>
                <w:w w:val="95"/>
                <w:sz w:val="20"/>
                <w:szCs w:val="20"/>
              </w:rPr>
              <w:t xml:space="preserve">an alternative ecological corridor with an appropriate width is provided and maintained in accordance with the </w:t>
            </w:r>
            <w:r w:rsidRPr="009B7B35">
              <w:rPr>
                <w:rFonts w:cs="Arial"/>
                <w:i/>
                <w:w w:val="95"/>
                <w:sz w:val="20"/>
                <w:szCs w:val="20"/>
              </w:rPr>
              <w:t>Wetland Rehabilitation Guidelines for the Great Barrier Reef Catchment, Department of Environment and Heritage, 2008</w:t>
            </w:r>
            <w:r w:rsidRPr="009B7B35">
              <w:rPr>
                <w:rFonts w:cs="Arial"/>
                <w:w w:val="95"/>
                <w:sz w:val="20"/>
                <w:szCs w:val="20"/>
              </w:rPr>
              <w:t>, or</w:t>
            </w:r>
          </w:p>
          <w:p w14:paraId="0CB8A813" w14:textId="77777777" w:rsidR="00BE36FB" w:rsidRPr="009B7B35" w:rsidRDefault="00BE36FB" w:rsidP="00BE36FB">
            <w:pPr>
              <w:numPr>
                <w:ilvl w:val="0"/>
                <w:numId w:val="646"/>
              </w:numPr>
              <w:rPr>
                <w:rFonts w:cs="Arial"/>
                <w:sz w:val="20"/>
                <w:szCs w:val="20"/>
              </w:rPr>
            </w:pPr>
            <w:r w:rsidRPr="009B7B35">
              <w:rPr>
                <w:rFonts w:cs="Arial"/>
                <w:w w:val="95"/>
                <w:sz w:val="20"/>
                <w:szCs w:val="20"/>
              </w:rPr>
              <w:t>the design, construction and operation of development does not impede movement of fauna that may use, is likely to use or may move through a wetland in a wetland protection area as part of their normal life cycle.</w:t>
            </w:r>
          </w:p>
        </w:tc>
      </w:tr>
      <w:tr w:rsidR="00BE36FB" w:rsidRPr="009B7B35" w14:paraId="36BECD2C" w14:textId="77777777" w:rsidTr="001A7107">
        <w:tc>
          <w:tcPr>
            <w:tcW w:w="0" w:type="auto"/>
          </w:tcPr>
          <w:p w14:paraId="6728836F" w14:textId="77777777" w:rsidR="00BE36FB" w:rsidRPr="009B7B35" w:rsidRDefault="00BE36FB" w:rsidP="001A7107">
            <w:pPr>
              <w:pStyle w:val="TableText"/>
              <w:rPr>
                <w:rFonts w:cs="Arial"/>
                <w:b/>
                <w:bCs/>
              </w:rPr>
            </w:pPr>
            <w:r w:rsidRPr="009B7B35">
              <w:rPr>
                <w:rFonts w:cs="Arial"/>
                <w:b/>
                <w:bCs/>
              </w:rPr>
              <w:t>PO25</w:t>
            </w:r>
          </w:p>
          <w:p w14:paraId="18472FDD" w14:textId="77777777" w:rsidR="00BE36FB" w:rsidRPr="009B7B35" w:rsidRDefault="00BE36FB" w:rsidP="001A7107">
            <w:pPr>
              <w:pStyle w:val="TableText"/>
              <w:rPr>
                <w:rFonts w:cs="Arial"/>
              </w:rPr>
            </w:pPr>
            <w:r w:rsidRPr="009B7B35">
              <w:rPr>
                <w:rFonts w:cs="Arial"/>
              </w:rPr>
              <w:t>Development does not result in the introduction of non–native pest plants or animals that pose an increased risk to the ecological values, integrity and processes of a wetland in a wetland protection area. In particular:</w:t>
            </w:r>
          </w:p>
          <w:p w14:paraId="7E03F265" w14:textId="77777777" w:rsidR="00BE36FB" w:rsidRPr="009B7B35" w:rsidRDefault="00BE36FB" w:rsidP="00BE36FB">
            <w:pPr>
              <w:numPr>
                <w:ilvl w:val="0"/>
                <w:numId w:val="599"/>
              </w:numPr>
              <w:rPr>
                <w:rFonts w:cs="Arial"/>
                <w:w w:val="95"/>
                <w:sz w:val="20"/>
                <w:szCs w:val="20"/>
              </w:rPr>
            </w:pPr>
            <w:r w:rsidRPr="009B7B35">
              <w:rPr>
                <w:rFonts w:cs="Arial"/>
                <w:w w:val="95"/>
                <w:sz w:val="20"/>
                <w:szCs w:val="20"/>
              </w:rPr>
              <w:t>pest dispersal prevention measures are provided in appropriate locations to manage the threat of pest species to a wetland in a wetland protection area, and</w:t>
            </w:r>
          </w:p>
          <w:p w14:paraId="787706F9" w14:textId="77777777" w:rsidR="00BE36FB" w:rsidRPr="009B7B35" w:rsidRDefault="00BE36FB" w:rsidP="00BE36FB">
            <w:pPr>
              <w:numPr>
                <w:ilvl w:val="0"/>
                <w:numId w:val="599"/>
              </w:numPr>
              <w:rPr>
                <w:rFonts w:cs="Arial"/>
                <w:sz w:val="20"/>
                <w:szCs w:val="20"/>
              </w:rPr>
            </w:pPr>
            <w:r w:rsidRPr="009B7B35">
              <w:rPr>
                <w:rFonts w:cs="Arial"/>
                <w:w w:val="95"/>
                <w:sz w:val="20"/>
                <w:szCs w:val="20"/>
              </w:rPr>
              <w:t>any pest dispersal prevention measures do not result in a barrier or hazard to the movement of wetland fauna in the wetland protection area.</w:t>
            </w:r>
          </w:p>
        </w:tc>
        <w:tc>
          <w:tcPr>
            <w:tcW w:w="0" w:type="auto"/>
          </w:tcPr>
          <w:p w14:paraId="09536915" w14:textId="77777777" w:rsidR="00BE36FB" w:rsidRPr="009B7B35" w:rsidRDefault="00BE36FB" w:rsidP="001A7107">
            <w:pPr>
              <w:pStyle w:val="TableText"/>
              <w:rPr>
                <w:rFonts w:cs="Arial"/>
                <w:b/>
                <w:bCs/>
              </w:rPr>
            </w:pPr>
            <w:r w:rsidRPr="009B7B35">
              <w:rPr>
                <w:rFonts w:cs="Arial"/>
                <w:b/>
                <w:bCs/>
              </w:rPr>
              <w:t>AO25.1</w:t>
            </w:r>
          </w:p>
          <w:p w14:paraId="5FF31063" w14:textId="77777777" w:rsidR="00BE36FB" w:rsidRPr="009B7B35" w:rsidRDefault="00BE36FB" w:rsidP="001A7107">
            <w:pPr>
              <w:pStyle w:val="TableText"/>
              <w:rPr>
                <w:rFonts w:cs="Arial"/>
              </w:rPr>
            </w:pPr>
            <w:r w:rsidRPr="009B7B35">
              <w:rPr>
                <w:rFonts w:cs="Arial"/>
              </w:rPr>
              <w:t>Existing non–native pest plants or animals are removed or their threat is controlled by adopting pest management practices that provide for the long–term function of a wetland in a wetland protection area.</w:t>
            </w:r>
          </w:p>
          <w:p w14:paraId="0AC883EE" w14:textId="77777777" w:rsidR="00BE36FB" w:rsidRPr="009B7B35" w:rsidRDefault="00BE36FB" w:rsidP="001A7107">
            <w:pPr>
              <w:pStyle w:val="TableText"/>
              <w:rPr>
                <w:rFonts w:cs="Arial"/>
              </w:rPr>
            </w:pPr>
          </w:p>
          <w:p w14:paraId="4979EC65" w14:textId="77777777" w:rsidR="00BE36FB" w:rsidRPr="009B7B35" w:rsidRDefault="00BE36FB" w:rsidP="001A7107">
            <w:pPr>
              <w:pStyle w:val="TableText"/>
              <w:rPr>
                <w:rFonts w:cs="Arial"/>
              </w:rPr>
            </w:pPr>
            <w:r w:rsidRPr="009B7B35">
              <w:rPr>
                <w:rFonts w:cs="Arial"/>
              </w:rPr>
              <w:t>AND</w:t>
            </w:r>
          </w:p>
          <w:p w14:paraId="656EBB9A" w14:textId="77777777" w:rsidR="00BE36FB" w:rsidRPr="009B7B35" w:rsidRDefault="00BE36FB" w:rsidP="001A7107">
            <w:pPr>
              <w:pStyle w:val="TableText"/>
              <w:rPr>
                <w:rFonts w:cs="Arial"/>
                <w:b/>
                <w:bCs/>
              </w:rPr>
            </w:pPr>
            <w:r w:rsidRPr="009B7B35">
              <w:rPr>
                <w:rFonts w:cs="Arial"/>
                <w:b/>
                <w:bCs/>
              </w:rPr>
              <w:t>AO25.2</w:t>
            </w:r>
          </w:p>
          <w:p w14:paraId="641FE5C6" w14:textId="77777777" w:rsidR="00BE36FB" w:rsidRPr="009B7B35" w:rsidRDefault="00BE36FB" w:rsidP="001A7107">
            <w:pPr>
              <w:pStyle w:val="TableText"/>
              <w:rPr>
                <w:rFonts w:cs="Arial"/>
              </w:rPr>
            </w:pPr>
            <w:r w:rsidRPr="009B7B35">
              <w:rPr>
                <w:rFonts w:cs="Arial"/>
              </w:rPr>
              <w:t>Development does not result in the introduction of any non–native or pest species in a wetland in a wetland area.</w:t>
            </w:r>
          </w:p>
        </w:tc>
      </w:tr>
      <w:tr w:rsidR="00BE36FB" w:rsidRPr="009B7B35" w14:paraId="55FDAD37" w14:textId="77777777" w:rsidTr="001A7107">
        <w:tc>
          <w:tcPr>
            <w:tcW w:w="0" w:type="auto"/>
          </w:tcPr>
          <w:p w14:paraId="50D1EE92" w14:textId="77777777" w:rsidR="00BE36FB" w:rsidRPr="009B7B35" w:rsidRDefault="00BE36FB" w:rsidP="001A7107">
            <w:pPr>
              <w:pStyle w:val="TableText"/>
              <w:rPr>
                <w:rFonts w:cs="Arial"/>
                <w:b/>
                <w:bCs/>
              </w:rPr>
            </w:pPr>
            <w:r w:rsidRPr="009B7B35">
              <w:rPr>
                <w:rFonts w:cs="Arial"/>
                <w:b/>
                <w:bCs/>
              </w:rPr>
              <w:t>PO26</w:t>
            </w:r>
          </w:p>
          <w:p w14:paraId="20BA2BDC" w14:textId="77777777" w:rsidR="00BE36FB" w:rsidRPr="009B7B35" w:rsidRDefault="00BE36FB" w:rsidP="001A7107">
            <w:pPr>
              <w:pStyle w:val="TableText"/>
              <w:rPr>
                <w:rFonts w:cs="Arial"/>
              </w:rPr>
            </w:pPr>
            <w:r w:rsidRPr="009B7B35">
              <w:rPr>
                <w:rFonts w:cs="Arial"/>
              </w:rPr>
              <w:t xml:space="preserve">During construction and operation of development in a wetland protection area, wetland fauna are protected from impacts associated with noise, light or visual disturbance. </w:t>
            </w:r>
          </w:p>
        </w:tc>
        <w:tc>
          <w:tcPr>
            <w:tcW w:w="0" w:type="auto"/>
          </w:tcPr>
          <w:p w14:paraId="21316214" w14:textId="77777777" w:rsidR="00BE36FB" w:rsidRPr="009B7B35" w:rsidRDefault="00BE36FB" w:rsidP="001A7107">
            <w:pPr>
              <w:pStyle w:val="TableText"/>
              <w:rPr>
                <w:rFonts w:cs="Arial"/>
                <w:b/>
                <w:bCs/>
              </w:rPr>
            </w:pPr>
            <w:r w:rsidRPr="009B7B35">
              <w:rPr>
                <w:rFonts w:cs="Arial"/>
                <w:b/>
                <w:bCs/>
              </w:rPr>
              <w:t>AO26.1</w:t>
            </w:r>
          </w:p>
          <w:p w14:paraId="7E8C53DB" w14:textId="77777777" w:rsidR="00BE36FB" w:rsidRPr="009B7B35" w:rsidRDefault="00BE36FB" w:rsidP="001A7107">
            <w:pPr>
              <w:pStyle w:val="TableText"/>
              <w:rPr>
                <w:rFonts w:cs="Arial"/>
              </w:rPr>
            </w:pPr>
            <w:r w:rsidRPr="009B7B35">
              <w:rPr>
                <w:rFonts w:cs="Arial"/>
              </w:rPr>
              <w:t>Development in a wetland protection area does not result in noise, light or visual disturbance impacts on wetland fauna, during construction and operation.</w:t>
            </w:r>
          </w:p>
          <w:p w14:paraId="6879FA68" w14:textId="77777777" w:rsidR="00BE36FB" w:rsidRPr="009B7B35" w:rsidRDefault="00BE36FB" w:rsidP="001A7107">
            <w:pPr>
              <w:pStyle w:val="TableText"/>
              <w:rPr>
                <w:rFonts w:cs="Arial"/>
              </w:rPr>
            </w:pPr>
          </w:p>
          <w:p w14:paraId="2A885FBE" w14:textId="77777777" w:rsidR="00BE36FB" w:rsidRPr="009B7B35" w:rsidRDefault="00BE36FB" w:rsidP="001A7107">
            <w:pPr>
              <w:pStyle w:val="TableText"/>
              <w:rPr>
                <w:rFonts w:cs="Arial"/>
              </w:rPr>
            </w:pPr>
            <w:r w:rsidRPr="009B7B35">
              <w:rPr>
                <w:rFonts w:cs="Arial"/>
              </w:rPr>
              <w:t>OR</w:t>
            </w:r>
          </w:p>
          <w:p w14:paraId="4CCDCE72" w14:textId="77777777" w:rsidR="00BE36FB" w:rsidRPr="009B7B35" w:rsidRDefault="00BE36FB" w:rsidP="001A7107">
            <w:pPr>
              <w:pStyle w:val="TableText"/>
              <w:rPr>
                <w:rFonts w:cs="Arial"/>
                <w:b/>
                <w:bCs/>
              </w:rPr>
            </w:pPr>
            <w:r w:rsidRPr="009B7B35">
              <w:rPr>
                <w:rFonts w:cs="Arial"/>
                <w:b/>
                <w:bCs/>
              </w:rPr>
              <w:t>AO26.2</w:t>
            </w:r>
          </w:p>
          <w:p w14:paraId="0E75BDC3" w14:textId="77777777" w:rsidR="00BE36FB" w:rsidRPr="009B7B35" w:rsidRDefault="00BE36FB" w:rsidP="001A7107">
            <w:pPr>
              <w:pStyle w:val="TableText"/>
              <w:rPr>
                <w:rFonts w:cs="Arial"/>
              </w:rPr>
            </w:pPr>
            <w:r w:rsidRPr="009B7B35">
              <w:rPr>
                <w:rFonts w:cs="Arial"/>
              </w:rPr>
              <w:t>Where AO26.1 cannot be complied with, an assessment of adverse impacts of the development in a wetland protection area on wetland fauna from the impacts of noise, light or visual disturbance is carried out by a qualified ecologist or equivalent, and recommendations for mitigation of these impacts are identified and implemented.</w:t>
            </w:r>
          </w:p>
        </w:tc>
      </w:tr>
      <w:tr w:rsidR="00BE36FB" w:rsidRPr="009B7B35" w14:paraId="77588997" w14:textId="77777777" w:rsidTr="001A7107">
        <w:tc>
          <w:tcPr>
            <w:tcW w:w="0" w:type="auto"/>
            <w:gridSpan w:val="2"/>
            <w:shd w:val="clear" w:color="auto" w:fill="BFBFBF" w:themeFill="background1" w:themeFillShade="BF"/>
          </w:tcPr>
          <w:p w14:paraId="7FEB0CD7" w14:textId="77777777" w:rsidR="00BE36FB" w:rsidRPr="009B7B35" w:rsidRDefault="00BE36FB" w:rsidP="001A7107">
            <w:pPr>
              <w:pStyle w:val="Tableheading"/>
              <w:rPr>
                <w:rFonts w:ascii="Arial" w:hAnsi="Arial" w:cs="Arial"/>
                <w:szCs w:val="20"/>
              </w:rPr>
            </w:pPr>
            <w:r w:rsidRPr="009B7B35">
              <w:rPr>
                <w:rFonts w:ascii="Arial" w:hAnsi="Arial" w:cs="Arial"/>
                <w:szCs w:val="20"/>
              </w:rPr>
              <w:t>Environmental offsets</w:t>
            </w:r>
          </w:p>
        </w:tc>
      </w:tr>
      <w:tr w:rsidR="00BE36FB" w:rsidRPr="009B7B35" w14:paraId="562636CC" w14:textId="77777777" w:rsidTr="001A7107">
        <w:tc>
          <w:tcPr>
            <w:tcW w:w="0" w:type="auto"/>
          </w:tcPr>
          <w:p w14:paraId="1AA35EDE" w14:textId="77777777" w:rsidR="00BE36FB" w:rsidRPr="009B7B35" w:rsidRDefault="00BE36FB" w:rsidP="001A7107">
            <w:pPr>
              <w:pStyle w:val="TableText"/>
              <w:rPr>
                <w:rFonts w:cs="Arial"/>
                <w:b/>
                <w:bCs/>
              </w:rPr>
            </w:pPr>
            <w:r w:rsidRPr="009B7B35">
              <w:rPr>
                <w:rFonts w:cs="Arial"/>
                <w:b/>
                <w:bCs/>
              </w:rPr>
              <w:t>PO27</w:t>
            </w:r>
          </w:p>
          <w:p w14:paraId="087B2B9D" w14:textId="77777777" w:rsidR="00BE36FB" w:rsidRPr="009B7B35" w:rsidRDefault="00BE36FB" w:rsidP="001A7107">
            <w:pPr>
              <w:pStyle w:val="TableText"/>
              <w:rPr>
                <w:rFonts w:cs="Arial"/>
              </w:rPr>
            </w:pPr>
            <w:r w:rsidRPr="009B7B35">
              <w:rPr>
                <w:rFonts w:cs="Arial"/>
              </w:rPr>
              <w:t xml:space="preserve">For development, where it is not possible to enhance existing values or avoid adverse effects or alternatively minimise adverse effects any remaining environmental impacts are offset in accordance with the </w:t>
            </w:r>
            <w:r w:rsidRPr="009B7B35">
              <w:rPr>
                <w:rFonts w:cs="Arial"/>
                <w:i/>
              </w:rPr>
              <w:t>Queensland Environmental Offset Policy 2014.</w:t>
            </w:r>
            <w:r w:rsidRPr="009B7B35">
              <w:rPr>
                <w:rFonts w:cs="Arial"/>
              </w:rPr>
              <w:t xml:space="preserve"> </w:t>
            </w:r>
          </w:p>
        </w:tc>
        <w:tc>
          <w:tcPr>
            <w:tcW w:w="0" w:type="auto"/>
          </w:tcPr>
          <w:p w14:paraId="7844EC04" w14:textId="77777777" w:rsidR="00BE36FB" w:rsidRPr="009B7B35" w:rsidRDefault="00BE36FB" w:rsidP="001A7107">
            <w:pPr>
              <w:pStyle w:val="TableText"/>
              <w:rPr>
                <w:rFonts w:cs="Arial"/>
                <w:b/>
                <w:bCs/>
              </w:rPr>
            </w:pPr>
            <w:r w:rsidRPr="009B7B35">
              <w:rPr>
                <w:rFonts w:cs="Arial"/>
                <w:b/>
                <w:bCs/>
              </w:rPr>
              <w:t>AO27</w:t>
            </w:r>
          </w:p>
          <w:p w14:paraId="071F4852" w14:textId="77777777" w:rsidR="00BE36FB" w:rsidRPr="009B7B35" w:rsidRDefault="00BE36FB" w:rsidP="001A7107">
            <w:pPr>
              <w:pStyle w:val="TableText"/>
              <w:rPr>
                <w:rFonts w:cs="Arial"/>
              </w:rPr>
            </w:pPr>
            <w:r w:rsidRPr="009B7B35">
              <w:rPr>
                <w:rFonts w:cs="Arial"/>
              </w:rPr>
              <w:t xml:space="preserve">Where environmental offsets are required in this code, they must be provided in accordance with the </w:t>
            </w:r>
            <w:r w:rsidRPr="009B7B35">
              <w:rPr>
                <w:rFonts w:cs="Arial"/>
                <w:i/>
              </w:rPr>
              <w:t>Queensland Environmental Offset Policy 2014</w:t>
            </w:r>
            <w:r w:rsidRPr="009B7B35">
              <w:rPr>
                <w:rFonts w:cs="Arial"/>
              </w:rPr>
              <w:t>.</w:t>
            </w:r>
          </w:p>
        </w:tc>
      </w:tr>
      <w:tr w:rsidR="00BE36FB" w:rsidRPr="009B7B35" w14:paraId="1163CDAF" w14:textId="77777777" w:rsidTr="001A7107">
        <w:tc>
          <w:tcPr>
            <w:tcW w:w="0" w:type="auto"/>
            <w:gridSpan w:val="2"/>
            <w:shd w:val="clear" w:color="auto" w:fill="BFBFBF" w:themeFill="background1" w:themeFillShade="BF"/>
          </w:tcPr>
          <w:p w14:paraId="1311151E" w14:textId="77777777" w:rsidR="00BE36FB" w:rsidRPr="009B7B35" w:rsidRDefault="00BE36FB" w:rsidP="001A7107">
            <w:pPr>
              <w:pStyle w:val="Tableheading"/>
              <w:rPr>
                <w:rFonts w:ascii="Arial" w:hAnsi="Arial" w:cs="Arial"/>
                <w:szCs w:val="20"/>
              </w:rPr>
            </w:pPr>
            <w:r w:rsidRPr="009B7B35">
              <w:rPr>
                <w:rFonts w:ascii="Arial" w:hAnsi="Arial" w:cs="Arial"/>
                <w:szCs w:val="20"/>
              </w:rPr>
              <w:t>Monitoring</w:t>
            </w:r>
          </w:p>
        </w:tc>
      </w:tr>
      <w:tr w:rsidR="00BE36FB" w:rsidRPr="009B7B35" w14:paraId="493CD66B" w14:textId="77777777" w:rsidTr="001A7107">
        <w:tc>
          <w:tcPr>
            <w:tcW w:w="0" w:type="auto"/>
          </w:tcPr>
          <w:p w14:paraId="3CD66560" w14:textId="77777777" w:rsidR="00BE36FB" w:rsidRPr="009B7B35" w:rsidRDefault="00BE36FB" w:rsidP="001A7107">
            <w:pPr>
              <w:pStyle w:val="TableText"/>
              <w:rPr>
                <w:rFonts w:cs="Arial"/>
                <w:b/>
                <w:bCs/>
              </w:rPr>
            </w:pPr>
            <w:r w:rsidRPr="009B7B35">
              <w:rPr>
                <w:rFonts w:cs="Arial"/>
                <w:b/>
                <w:bCs/>
              </w:rPr>
              <w:t>PO28</w:t>
            </w:r>
          </w:p>
          <w:p w14:paraId="07FBF390" w14:textId="77777777" w:rsidR="00BE36FB" w:rsidRPr="009B7B35" w:rsidRDefault="00BE36FB" w:rsidP="001A7107">
            <w:pPr>
              <w:pStyle w:val="TableText"/>
              <w:rPr>
                <w:rFonts w:cs="Arial"/>
              </w:rPr>
            </w:pPr>
            <w:r w:rsidRPr="009B7B35">
              <w:rPr>
                <w:rFonts w:cs="Arial"/>
              </w:rPr>
              <w:t xml:space="preserve">Development is monitored to ensure environmental values of a wetland in a wetland protection area are maintained. </w:t>
            </w:r>
          </w:p>
        </w:tc>
        <w:tc>
          <w:tcPr>
            <w:tcW w:w="0" w:type="auto"/>
          </w:tcPr>
          <w:p w14:paraId="67BB8D10" w14:textId="77777777" w:rsidR="00BE36FB" w:rsidRPr="009B7B35" w:rsidRDefault="00BE36FB" w:rsidP="001A7107">
            <w:pPr>
              <w:pStyle w:val="TableText"/>
              <w:rPr>
                <w:rFonts w:cs="Arial"/>
                <w:b/>
                <w:bCs/>
              </w:rPr>
            </w:pPr>
            <w:r w:rsidRPr="009B7B35">
              <w:rPr>
                <w:rFonts w:cs="Arial"/>
                <w:b/>
                <w:bCs/>
              </w:rPr>
              <w:t>AO28.1</w:t>
            </w:r>
          </w:p>
          <w:p w14:paraId="211F9008" w14:textId="77777777" w:rsidR="00BE36FB" w:rsidRPr="009B7B35" w:rsidRDefault="00BE36FB" w:rsidP="001A7107">
            <w:pPr>
              <w:pStyle w:val="TableText"/>
              <w:rPr>
                <w:rFonts w:cs="Arial"/>
              </w:rPr>
            </w:pPr>
            <w:r w:rsidRPr="009B7B35">
              <w:rPr>
                <w:rFonts w:cs="Arial"/>
              </w:rPr>
              <w:t>A monitoring plan for development construction is prepared and implemented to monitor the effects of development on the ecological and hydrological functioning of a wetland in a wetland protection area.</w:t>
            </w:r>
          </w:p>
          <w:p w14:paraId="52E547FD" w14:textId="77777777" w:rsidR="00BE36FB" w:rsidRPr="009B7B35" w:rsidRDefault="00BE36FB" w:rsidP="001A7107">
            <w:pPr>
              <w:pStyle w:val="TableText"/>
              <w:rPr>
                <w:rFonts w:cs="Arial"/>
              </w:rPr>
            </w:pPr>
          </w:p>
          <w:p w14:paraId="4107A0E2" w14:textId="77777777" w:rsidR="00BE36FB" w:rsidRPr="009B7B35" w:rsidRDefault="00BE36FB" w:rsidP="001A7107">
            <w:pPr>
              <w:pStyle w:val="TableText"/>
              <w:rPr>
                <w:rFonts w:cs="Arial"/>
              </w:rPr>
            </w:pPr>
            <w:r w:rsidRPr="009B7B35">
              <w:rPr>
                <w:rFonts w:cs="Arial"/>
              </w:rPr>
              <w:t>AND</w:t>
            </w:r>
          </w:p>
          <w:p w14:paraId="5CB3CE20" w14:textId="77777777" w:rsidR="00BE36FB" w:rsidRPr="009B7B35" w:rsidRDefault="00BE36FB" w:rsidP="001A7107">
            <w:pPr>
              <w:pStyle w:val="TableText"/>
              <w:rPr>
                <w:rFonts w:cs="Arial"/>
                <w:b/>
                <w:bCs/>
              </w:rPr>
            </w:pPr>
            <w:r w:rsidRPr="009B7B35">
              <w:rPr>
                <w:rFonts w:cs="Arial"/>
                <w:b/>
                <w:bCs/>
              </w:rPr>
              <w:t>AO28.2</w:t>
            </w:r>
          </w:p>
          <w:p w14:paraId="78F77B29" w14:textId="77777777" w:rsidR="00BE36FB" w:rsidRPr="009B7B35" w:rsidRDefault="00BE36FB" w:rsidP="001A7107">
            <w:pPr>
              <w:pStyle w:val="TableText"/>
              <w:rPr>
                <w:rFonts w:cs="Arial"/>
              </w:rPr>
            </w:pPr>
            <w:r w:rsidRPr="009B7B35">
              <w:rPr>
                <w:rFonts w:cs="Arial"/>
              </w:rPr>
              <w:t>Remedial action is carried out on land managed by the entity carrying out the development, where monitoring determines that compliance with the acceptable outcomes is not achieving the relevant policy outcome.</w:t>
            </w:r>
          </w:p>
        </w:tc>
      </w:tr>
    </w:tbl>
    <w:p w14:paraId="3DFAB0E5" w14:textId="77777777" w:rsidR="000D716B" w:rsidRDefault="000D716B" w:rsidP="000D716B">
      <w:pPr>
        <w:pStyle w:val="Heading3"/>
        <w:numPr>
          <w:ilvl w:val="0"/>
          <w:numId w:val="0"/>
        </w:numPr>
        <w:spacing w:before="240"/>
        <w:rPr>
          <w:rFonts w:ascii="Arial" w:hAnsi="Arial"/>
          <w:sz w:val="20"/>
          <w:szCs w:val="20"/>
        </w:rPr>
      </w:pPr>
    </w:p>
    <w:p w14:paraId="55611BDB" w14:textId="77777777" w:rsidR="000D716B" w:rsidRDefault="000D716B">
      <w:pPr>
        <w:rPr>
          <w:rFonts w:ascii="Arial" w:hAnsi="Arial" w:cs="Arial"/>
          <w:b/>
          <w:bCs/>
          <w:iCs/>
          <w:kern w:val="32"/>
          <w:sz w:val="20"/>
          <w:szCs w:val="20"/>
          <w:lang w:eastAsia="en-US"/>
        </w:rPr>
      </w:pPr>
      <w:r>
        <w:rPr>
          <w:rFonts w:ascii="Arial" w:hAnsi="Arial"/>
          <w:sz w:val="20"/>
          <w:szCs w:val="20"/>
        </w:rPr>
        <w:br w:type="page"/>
      </w:r>
    </w:p>
    <w:p w14:paraId="09767229" w14:textId="77777777" w:rsidR="00BE36FB" w:rsidRPr="009B7B35" w:rsidRDefault="00BE36FB" w:rsidP="006776DA">
      <w:pPr>
        <w:pStyle w:val="Heading3"/>
        <w:numPr>
          <w:ilvl w:val="2"/>
          <w:numId w:val="883"/>
        </w:numPr>
        <w:spacing w:before="240"/>
        <w:rPr>
          <w:rFonts w:ascii="Arial" w:hAnsi="Arial"/>
          <w:sz w:val="20"/>
          <w:szCs w:val="20"/>
        </w:rPr>
      </w:pPr>
      <w:bookmarkStart w:id="245" w:name="_Toc205367379"/>
      <w:r w:rsidRPr="009B7B35">
        <w:rPr>
          <w:rFonts w:ascii="Arial" w:hAnsi="Arial"/>
          <w:sz w:val="20"/>
          <w:szCs w:val="20"/>
        </w:rPr>
        <w:t>Bushfire hazard</w:t>
      </w:r>
      <w:bookmarkEnd w:id="245"/>
    </w:p>
    <w:p w14:paraId="20063AF4"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Application</w:t>
      </w:r>
    </w:p>
    <w:p w14:paraId="2A1074FD"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bushfire hazard overlay code. When using this code, reference should be made to section 5.3.2 and where applicable, section 5.3.3 located in Part 5.</w:t>
      </w:r>
    </w:p>
    <w:p w14:paraId="5464D949"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Purpose</w:t>
      </w:r>
    </w:p>
    <w:p w14:paraId="3BF0BB62" w14:textId="77777777" w:rsidR="00BE36FB" w:rsidRPr="009B7B35" w:rsidRDefault="00BE36FB" w:rsidP="00BE36FB">
      <w:pPr>
        <w:numPr>
          <w:ilvl w:val="0"/>
          <w:numId w:val="600"/>
        </w:numPr>
        <w:rPr>
          <w:rFonts w:ascii="Arial" w:hAnsi="Arial" w:cs="Arial"/>
          <w:sz w:val="20"/>
          <w:szCs w:val="20"/>
        </w:rPr>
      </w:pPr>
      <w:r w:rsidRPr="009B7B35">
        <w:rPr>
          <w:rFonts w:ascii="Arial" w:hAnsi="Arial" w:cs="Arial"/>
          <w:sz w:val="20"/>
          <w:szCs w:val="20"/>
        </w:rPr>
        <w:t>The purpose of the bushfire hazard overlay code is to ensure that:</w:t>
      </w:r>
    </w:p>
    <w:p w14:paraId="1D516DBA" w14:textId="77777777"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The risks to life, property, community, economic activity and the environment during uncontrolled bushfire events are minimised.</w:t>
      </w:r>
    </w:p>
    <w:p w14:paraId="57EB4B37" w14:textId="77777777"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Development does not increase the potential for bushfire damage or risk on–site or to other property.</w:t>
      </w:r>
    </w:p>
    <w:p w14:paraId="78B1643B" w14:textId="77777777" w:rsidR="00BE36FB" w:rsidRPr="009B7B35" w:rsidRDefault="00BE36FB" w:rsidP="001A7107">
      <w:pPr>
        <w:pStyle w:val="Notes"/>
        <w:ind w:left="567"/>
        <w:rPr>
          <w:rFonts w:cs="Arial"/>
          <w:sz w:val="20"/>
          <w:szCs w:val="20"/>
        </w:rPr>
      </w:pPr>
      <w:r w:rsidRPr="009B7B35">
        <w:rPr>
          <w:rFonts w:cs="Arial"/>
          <w:sz w:val="20"/>
          <w:szCs w:val="20"/>
        </w:rPr>
        <w:t xml:space="preserve">Note—Relationship with the building assessment provisions. For the building assessment provisions, the bushfire prone area defined by this planning scheme under map is also designated to be the bushfire prone area for the BCA or QDC pursuant to section 12 of the </w:t>
      </w:r>
      <w:r w:rsidRPr="009B7B35">
        <w:rPr>
          <w:rStyle w:val="StyleNotesItalic2"/>
          <w:rFonts w:cs="Arial"/>
          <w:sz w:val="20"/>
        </w:rPr>
        <w:t>Building Regulation 2006</w:t>
      </w:r>
      <w:r w:rsidRPr="009B7B35">
        <w:rPr>
          <w:rFonts w:cs="Arial"/>
          <w:sz w:val="20"/>
          <w:szCs w:val="20"/>
        </w:rPr>
        <w:t>.</w:t>
      </w:r>
    </w:p>
    <w:p w14:paraId="485F10D0" w14:textId="77777777" w:rsidR="00BE36FB" w:rsidRPr="009B7B35" w:rsidRDefault="00BE36FB" w:rsidP="00BE36FB">
      <w:pPr>
        <w:numPr>
          <w:ilvl w:val="0"/>
          <w:numId w:val="600"/>
        </w:numPr>
        <w:rPr>
          <w:rFonts w:ascii="Arial" w:hAnsi="Arial" w:cs="Arial"/>
          <w:sz w:val="20"/>
          <w:szCs w:val="20"/>
        </w:rPr>
      </w:pPr>
      <w:r w:rsidRPr="009B7B35">
        <w:rPr>
          <w:rFonts w:ascii="Arial" w:hAnsi="Arial" w:cs="Arial"/>
          <w:sz w:val="20"/>
          <w:szCs w:val="20"/>
        </w:rPr>
        <w:t>The purpose of the code will be achieved through the following overall outcomes:</w:t>
      </w:r>
    </w:p>
    <w:p w14:paraId="0214CC44" w14:textId="77777777"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Development is compatible with the nature of the bushfire hazard except where there is an overriding need for the development in the public interest and no other site is suitable and reasonably available for the proposal.</w:t>
      </w:r>
    </w:p>
    <w:p w14:paraId="72ECF1DD" w14:textId="77777777"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Development siting, layout, design and access minimises the risks to personal safety, and damage to property, infrastructure and other assets.</w:t>
      </w:r>
    </w:p>
    <w:p w14:paraId="0707AF17" w14:textId="77777777"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Development directly, indirectly and cumulatively avoids an unacceptable increase in severity of bushfires and does not increase the potential for damage on the site or to other properties.</w:t>
      </w:r>
    </w:p>
    <w:p w14:paraId="4CD4BCE0" w14:textId="77777777"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The potential for the release of hazardous material as a result of a bushfire event is avoided.</w:t>
      </w:r>
    </w:p>
    <w:p w14:paraId="185ECE12" w14:textId="77777777"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Evacuation and disaster management response including firefighting and access for emergency services during bushfire events is facilitated.</w:t>
      </w:r>
    </w:p>
    <w:p w14:paraId="08144336" w14:textId="77777777" w:rsidR="00BE36FB" w:rsidRPr="009B7B35" w:rsidRDefault="00BE36FB" w:rsidP="00BE36FB">
      <w:pPr>
        <w:numPr>
          <w:ilvl w:val="1"/>
          <w:numId w:val="600"/>
        </w:numPr>
        <w:rPr>
          <w:rFonts w:ascii="Arial" w:hAnsi="Arial" w:cs="Arial"/>
          <w:sz w:val="20"/>
          <w:szCs w:val="20"/>
        </w:rPr>
      </w:pPr>
      <w:r w:rsidRPr="009B7B35">
        <w:rPr>
          <w:rFonts w:ascii="Arial" w:hAnsi="Arial" w:cs="Arial"/>
          <w:sz w:val="20"/>
          <w:szCs w:val="20"/>
        </w:rPr>
        <w:t>Community infrastructure is located and designed to function effectively at all times.</w:t>
      </w:r>
    </w:p>
    <w:p w14:paraId="0C632AB7"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Assessment benchmarks</w:t>
      </w:r>
    </w:p>
    <w:p w14:paraId="536A5584" w14:textId="77777777" w:rsidR="00BE36FB" w:rsidRPr="009B7B35" w:rsidRDefault="00BE36FB" w:rsidP="001A7107">
      <w:pPr>
        <w:pStyle w:val="Heading5"/>
        <w:numPr>
          <w:ilvl w:val="0"/>
          <w:numId w:val="0"/>
        </w:numPr>
        <w:rPr>
          <w:rFonts w:cs="Arial"/>
          <w:szCs w:val="20"/>
        </w:rPr>
      </w:pPr>
      <w:r w:rsidRPr="009B7B35">
        <w:rPr>
          <w:rFonts w:cs="Arial"/>
          <w:szCs w:val="20"/>
        </w:rPr>
        <w:t>Table 8.2.4.3.1— Accepted development subject to requirements and assessable development</w:t>
      </w:r>
    </w:p>
    <w:tbl>
      <w:tblPr>
        <w:tblStyle w:val="Tablestyle"/>
        <w:tblW w:w="0" w:type="auto"/>
        <w:tblLook w:val="0620" w:firstRow="1" w:lastRow="0" w:firstColumn="0" w:lastColumn="0" w:noHBand="1" w:noVBand="1"/>
      </w:tblPr>
      <w:tblGrid>
        <w:gridCol w:w="4174"/>
        <w:gridCol w:w="4189"/>
      </w:tblGrid>
      <w:tr w:rsidR="00BE36FB" w:rsidRPr="009B7B35" w14:paraId="293B8BBA"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315F9B25"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3BCFAD63"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0DFF2E5B" w14:textId="77777777" w:rsidTr="001A7107">
        <w:trPr>
          <w:cantSplit/>
        </w:trPr>
        <w:tc>
          <w:tcPr>
            <w:tcW w:w="9356" w:type="dxa"/>
            <w:gridSpan w:val="2"/>
            <w:shd w:val="clear" w:color="auto" w:fill="BFBFBF" w:themeFill="background1" w:themeFillShade="BF"/>
          </w:tcPr>
          <w:p w14:paraId="6C6C3376" w14:textId="77777777" w:rsidR="00BE36FB" w:rsidRPr="009B7B35" w:rsidRDefault="00BE36FB" w:rsidP="001A7107">
            <w:pPr>
              <w:pStyle w:val="Tableheading"/>
              <w:rPr>
                <w:rFonts w:ascii="Arial" w:hAnsi="Arial" w:cs="Arial"/>
                <w:szCs w:val="20"/>
              </w:rPr>
            </w:pPr>
            <w:r w:rsidRPr="009B7B35">
              <w:rPr>
                <w:rFonts w:ascii="Arial" w:hAnsi="Arial" w:cs="Arial"/>
                <w:szCs w:val="20"/>
              </w:rPr>
              <w:t>Site suitability</w:t>
            </w:r>
          </w:p>
        </w:tc>
      </w:tr>
      <w:tr w:rsidR="00BE36FB" w:rsidRPr="009B7B35" w14:paraId="6F6D504D" w14:textId="77777777" w:rsidTr="001A7107">
        <w:tc>
          <w:tcPr>
            <w:tcW w:w="4678" w:type="dxa"/>
          </w:tcPr>
          <w:p w14:paraId="11A20F89" w14:textId="77777777" w:rsidR="00BE36FB" w:rsidRPr="009B7B35" w:rsidRDefault="00BE36FB" w:rsidP="001A7107">
            <w:pPr>
              <w:pStyle w:val="TableText"/>
              <w:rPr>
                <w:rFonts w:cs="Arial"/>
                <w:b/>
                <w:bCs/>
              </w:rPr>
            </w:pPr>
            <w:r w:rsidRPr="009B7B35">
              <w:rPr>
                <w:rFonts w:cs="Arial"/>
                <w:b/>
                <w:bCs/>
              </w:rPr>
              <w:t>PO1</w:t>
            </w:r>
          </w:p>
          <w:p w14:paraId="113AB046" w14:textId="77777777" w:rsidR="00BE36FB" w:rsidRPr="009B7B35" w:rsidRDefault="00BE36FB" w:rsidP="001A7107">
            <w:pPr>
              <w:pStyle w:val="TableText"/>
              <w:rPr>
                <w:rFonts w:cs="Arial"/>
              </w:rPr>
            </w:pPr>
            <w:r w:rsidRPr="009B7B35">
              <w:rPr>
                <w:rFonts w:cs="Arial"/>
              </w:rPr>
              <w:t>Development maintains the safety of people and property by not exposing them to an unacceptable risk from bushfire.</w:t>
            </w:r>
          </w:p>
          <w:p w14:paraId="13891512" w14:textId="77777777" w:rsidR="00BE36FB" w:rsidRPr="009B7B35" w:rsidRDefault="00BE36FB" w:rsidP="001A7107">
            <w:pPr>
              <w:pStyle w:val="Notes"/>
              <w:rPr>
                <w:rFonts w:cs="Arial"/>
                <w:sz w:val="20"/>
                <w:szCs w:val="20"/>
              </w:rPr>
            </w:pPr>
            <w:r w:rsidRPr="009B7B35">
              <w:rPr>
                <w:rFonts w:cs="Arial"/>
                <w:sz w:val="20"/>
                <w:szCs w:val="20"/>
              </w:rPr>
              <w:t xml:space="preserve">Note—A site specific bushfire hazard assessment may demonstrate that the site is not within a bushfire hazard area or has a low degree of bushfire risk. </w:t>
            </w:r>
          </w:p>
        </w:tc>
        <w:tc>
          <w:tcPr>
            <w:tcW w:w="4678" w:type="dxa"/>
          </w:tcPr>
          <w:p w14:paraId="0CFA0A6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F6688FF" w14:textId="77777777" w:rsidTr="001A7107">
        <w:tc>
          <w:tcPr>
            <w:tcW w:w="4678" w:type="dxa"/>
          </w:tcPr>
          <w:p w14:paraId="4FAEA018" w14:textId="77777777" w:rsidR="00BE36FB" w:rsidRPr="009B7B35" w:rsidRDefault="00BE36FB" w:rsidP="001A7107">
            <w:pPr>
              <w:pStyle w:val="TableText"/>
              <w:rPr>
                <w:rFonts w:cs="Arial"/>
                <w:b/>
                <w:bCs/>
              </w:rPr>
            </w:pPr>
            <w:r w:rsidRPr="009B7B35">
              <w:rPr>
                <w:rFonts w:cs="Arial"/>
                <w:b/>
                <w:bCs/>
              </w:rPr>
              <w:t>PO2</w:t>
            </w:r>
          </w:p>
          <w:p w14:paraId="794097F3" w14:textId="77777777" w:rsidR="00BE36FB" w:rsidRPr="009B7B35" w:rsidRDefault="00BE36FB" w:rsidP="001A7107">
            <w:pPr>
              <w:pStyle w:val="TableText"/>
              <w:rPr>
                <w:rFonts w:cs="Arial"/>
              </w:rPr>
            </w:pPr>
            <w:r w:rsidRPr="009B7B35">
              <w:rPr>
                <w:rFonts w:cs="Arial"/>
              </w:rPr>
              <w:t>Development does not result in a higher concentration of people living, working or congregating in a high or very high bushfire hazard area unless it can be demonstrated:</w:t>
            </w:r>
          </w:p>
          <w:p w14:paraId="3E12404F" w14:textId="77777777" w:rsidR="00BE36FB" w:rsidRPr="009B7B35" w:rsidRDefault="00BE36FB" w:rsidP="00BE36FB">
            <w:pPr>
              <w:pStyle w:val="TableText"/>
              <w:numPr>
                <w:ilvl w:val="0"/>
                <w:numId w:val="647"/>
              </w:numPr>
              <w:rPr>
                <w:rFonts w:cs="Arial"/>
              </w:rPr>
            </w:pPr>
            <w:r w:rsidRPr="009B7B35">
              <w:rPr>
                <w:rFonts w:cs="Arial"/>
              </w:rPr>
              <w:t>there is an overriding community need in the public interest, and</w:t>
            </w:r>
          </w:p>
          <w:p w14:paraId="5D39FA6D" w14:textId="77777777" w:rsidR="00BE36FB" w:rsidRPr="009B7B35" w:rsidRDefault="00BE36FB" w:rsidP="00BE36FB">
            <w:pPr>
              <w:pStyle w:val="TableText"/>
              <w:numPr>
                <w:ilvl w:val="0"/>
                <w:numId w:val="647"/>
              </w:numPr>
              <w:rPr>
                <w:rFonts w:cs="Arial"/>
              </w:rPr>
            </w:pPr>
            <w:r w:rsidRPr="009B7B35">
              <w:rPr>
                <w:rFonts w:cs="Arial"/>
              </w:rPr>
              <w:t>no other site is suitable and reasonably available.</w:t>
            </w:r>
          </w:p>
          <w:p w14:paraId="14491EBD" w14:textId="77777777" w:rsidR="00BE36FB" w:rsidRPr="009B7B35" w:rsidRDefault="00BE36FB" w:rsidP="001A7107">
            <w:pPr>
              <w:pStyle w:val="Notes"/>
              <w:rPr>
                <w:rFonts w:cs="Arial"/>
                <w:sz w:val="20"/>
                <w:szCs w:val="20"/>
              </w:rPr>
            </w:pPr>
            <w:r w:rsidRPr="009B7B35">
              <w:rPr>
                <w:rFonts w:cs="Arial"/>
                <w:sz w:val="20"/>
                <w:szCs w:val="20"/>
              </w:rPr>
              <w:t>Note—A ‘medium, high or very high bushfire risk hazard area' means land mapped on the bushfire overlay map as having medium, high or very high potential bushfire risk.</w:t>
            </w:r>
          </w:p>
          <w:p w14:paraId="542CE4CB" w14:textId="77777777" w:rsidR="00BE36FB" w:rsidRPr="009B7B35" w:rsidRDefault="00BE36FB" w:rsidP="001A7107">
            <w:pPr>
              <w:pStyle w:val="Notes"/>
              <w:rPr>
                <w:rFonts w:cs="Arial"/>
                <w:sz w:val="20"/>
                <w:szCs w:val="20"/>
              </w:rPr>
            </w:pPr>
          </w:p>
        </w:tc>
        <w:tc>
          <w:tcPr>
            <w:tcW w:w="4678" w:type="dxa"/>
          </w:tcPr>
          <w:p w14:paraId="5952190F" w14:textId="77777777" w:rsidR="00BE36FB" w:rsidRPr="009B7B35" w:rsidRDefault="00BE36FB" w:rsidP="001A7107">
            <w:pPr>
              <w:pStyle w:val="TableText"/>
              <w:rPr>
                <w:rFonts w:cs="Arial"/>
                <w:b/>
                <w:bCs/>
              </w:rPr>
            </w:pPr>
            <w:r w:rsidRPr="009B7B35">
              <w:rPr>
                <w:rFonts w:cs="Arial"/>
                <w:b/>
                <w:bCs/>
              </w:rPr>
              <w:t>AO2</w:t>
            </w:r>
          </w:p>
          <w:p w14:paraId="3D984212" w14:textId="77777777" w:rsidR="00BE36FB" w:rsidRPr="009B7B35" w:rsidRDefault="00BE36FB" w:rsidP="001A7107">
            <w:pPr>
              <w:pStyle w:val="TableText"/>
              <w:rPr>
                <w:rFonts w:cs="Arial"/>
              </w:rPr>
            </w:pPr>
            <w:r w:rsidRPr="009B7B35">
              <w:rPr>
                <w:rFonts w:cs="Arial"/>
              </w:rPr>
              <w:t>The following uses are not located on land within a confirmed medium, high or very high bushfire hazard area:</w:t>
            </w:r>
          </w:p>
          <w:p w14:paraId="152B7C6A" w14:textId="77777777" w:rsidR="00BE36FB" w:rsidRPr="009B7B35" w:rsidRDefault="00BE36FB" w:rsidP="00BE36FB">
            <w:pPr>
              <w:pStyle w:val="TableText"/>
              <w:numPr>
                <w:ilvl w:val="0"/>
                <w:numId w:val="602"/>
              </w:numPr>
              <w:rPr>
                <w:rFonts w:cs="Arial"/>
              </w:rPr>
            </w:pPr>
            <w:r w:rsidRPr="009B7B35">
              <w:rPr>
                <w:rFonts w:cs="Arial"/>
              </w:rPr>
              <w:t>child care facility</w:t>
            </w:r>
          </w:p>
          <w:p w14:paraId="4050BA1C" w14:textId="77777777" w:rsidR="00BE36FB" w:rsidRPr="009B7B35" w:rsidRDefault="00BE36FB" w:rsidP="00BE36FB">
            <w:pPr>
              <w:pStyle w:val="TableText"/>
              <w:numPr>
                <w:ilvl w:val="0"/>
                <w:numId w:val="602"/>
              </w:numPr>
              <w:rPr>
                <w:rFonts w:cs="Arial"/>
              </w:rPr>
            </w:pPr>
            <w:r w:rsidRPr="009B7B35">
              <w:rPr>
                <w:rFonts w:cs="Arial"/>
              </w:rPr>
              <w:t xml:space="preserve">community care centre </w:t>
            </w:r>
          </w:p>
          <w:p w14:paraId="7400A893" w14:textId="77777777" w:rsidR="00BE36FB" w:rsidRPr="009B7B35" w:rsidRDefault="00BE36FB" w:rsidP="00BE36FB">
            <w:pPr>
              <w:pStyle w:val="TableText"/>
              <w:numPr>
                <w:ilvl w:val="0"/>
                <w:numId w:val="602"/>
              </w:numPr>
              <w:rPr>
                <w:rFonts w:cs="Arial"/>
              </w:rPr>
            </w:pPr>
            <w:r w:rsidRPr="009B7B35">
              <w:rPr>
                <w:rFonts w:cs="Arial"/>
              </w:rPr>
              <w:t xml:space="preserve">educational establishment </w:t>
            </w:r>
          </w:p>
          <w:p w14:paraId="584FF887" w14:textId="77777777" w:rsidR="00BE36FB" w:rsidRPr="009B7B35" w:rsidRDefault="00BE36FB" w:rsidP="00BE36FB">
            <w:pPr>
              <w:pStyle w:val="TableText"/>
              <w:numPr>
                <w:ilvl w:val="0"/>
                <w:numId w:val="602"/>
              </w:numPr>
              <w:rPr>
                <w:rFonts w:cs="Arial"/>
              </w:rPr>
            </w:pPr>
            <w:r w:rsidRPr="009B7B35">
              <w:rPr>
                <w:rFonts w:cs="Arial"/>
              </w:rPr>
              <w:t xml:space="preserve">rooming accommodation </w:t>
            </w:r>
          </w:p>
          <w:p w14:paraId="0EFE26E4" w14:textId="77777777" w:rsidR="00BE36FB" w:rsidRPr="009B7B35" w:rsidRDefault="00BE36FB" w:rsidP="00BE36FB">
            <w:pPr>
              <w:pStyle w:val="TableText"/>
              <w:numPr>
                <w:ilvl w:val="0"/>
                <w:numId w:val="602"/>
              </w:numPr>
              <w:rPr>
                <w:rFonts w:cs="Arial"/>
              </w:rPr>
            </w:pPr>
            <w:r w:rsidRPr="009B7B35">
              <w:rPr>
                <w:rFonts w:cs="Arial"/>
              </w:rPr>
              <w:t xml:space="preserve">hospital </w:t>
            </w:r>
          </w:p>
          <w:p w14:paraId="4726B61F" w14:textId="77777777" w:rsidR="00BE36FB" w:rsidRPr="009B7B35" w:rsidRDefault="00BE36FB" w:rsidP="00BE36FB">
            <w:pPr>
              <w:pStyle w:val="TableText"/>
              <w:numPr>
                <w:ilvl w:val="0"/>
                <w:numId w:val="602"/>
              </w:numPr>
              <w:rPr>
                <w:rFonts w:cs="Arial"/>
              </w:rPr>
            </w:pPr>
            <w:r w:rsidRPr="009B7B35">
              <w:rPr>
                <w:rFonts w:cs="Arial"/>
              </w:rPr>
              <w:t xml:space="preserve">multiple dwelling </w:t>
            </w:r>
          </w:p>
          <w:p w14:paraId="33258D11" w14:textId="77777777" w:rsidR="00BE36FB" w:rsidRPr="009B7B35" w:rsidRDefault="00BE36FB" w:rsidP="00BE36FB">
            <w:pPr>
              <w:pStyle w:val="TableText"/>
              <w:numPr>
                <w:ilvl w:val="0"/>
                <w:numId w:val="602"/>
              </w:numPr>
              <w:rPr>
                <w:rFonts w:cs="Arial"/>
              </w:rPr>
            </w:pPr>
            <w:r w:rsidRPr="009B7B35">
              <w:rPr>
                <w:rFonts w:cs="Arial"/>
              </w:rPr>
              <w:t xml:space="preserve">non–resident workforce accommodation </w:t>
            </w:r>
          </w:p>
          <w:p w14:paraId="42A19BCB" w14:textId="77777777" w:rsidR="00BE36FB" w:rsidRPr="009B7B35" w:rsidRDefault="00BE36FB" w:rsidP="00BE36FB">
            <w:pPr>
              <w:pStyle w:val="TableText"/>
              <w:numPr>
                <w:ilvl w:val="0"/>
                <w:numId w:val="602"/>
              </w:numPr>
              <w:rPr>
                <w:rFonts w:cs="Arial"/>
              </w:rPr>
            </w:pPr>
            <w:r w:rsidRPr="009B7B35">
              <w:rPr>
                <w:rFonts w:cs="Arial"/>
              </w:rPr>
              <w:t>residential care facility</w:t>
            </w:r>
          </w:p>
          <w:p w14:paraId="4CE293AF" w14:textId="77777777" w:rsidR="00BE36FB" w:rsidRPr="009B7B35" w:rsidRDefault="00BE36FB" w:rsidP="00BE36FB">
            <w:pPr>
              <w:pStyle w:val="TableText"/>
              <w:numPr>
                <w:ilvl w:val="0"/>
                <w:numId w:val="602"/>
              </w:numPr>
              <w:rPr>
                <w:rFonts w:cs="Arial"/>
              </w:rPr>
            </w:pPr>
            <w:r w:rsidRPr="009B7B35">
              <w:rPr>
                <w:rFonts w:cs="Arial"/>
              </w:rPr>
              <w:t xml:space="preserve">retirement facility </w:t>
            </w:r>
          </w:p>
          <w:p w14:paraId="2B4891B8" w14:textId="77777777" w:rsidR="00BE36FB" w:rsidRPr="009B7B35" w:rsidRDefault="00BE36FB" w:rsidP="00BE36FB">
            <w:pPr>
              <w:pStyle w:val="TableText"/>
              <w:numPr>
                <w:ilvl w:val="0"/>
                <w:numId w:val="602"/>
              </w:numPr>
              <w:rPr>
                <w:rFonts w:cs="Arial"/>
              </w:rPr>
            </w:pPr>
            <w:r w:rsidRPr="009B7B35">
              <w:rPr>
                <w:rFonts w:cs="Arial"/>
              </w:rPr>
              <w:t>shopping centre</w:t>
            </w:r>
          </w:p>
          <w:p w14:paraId="1A0AFDF6" w14:textId="77777777" w:rsidR="00BE36FB" w:rsidRPr="009B7B35" w:rsidRDefault="00BE36FB" w:rsidP="00BE36FB">
            <w:pPr>
              <w:pStyle w:val="TableText"/>
              <w:numPr>
                <w:ilvl w:val="0"/>
                <w:numId w:val="602"/>
              </w:numPr>
              <w:rPr>
                <w:rFonts w:cs="Arial"/>
              </w:rPr>
            </w:pPr>
            <w:r w:rsidRPr="009B7B35">
              <w:rPr>
                <w:rFonts w:cs="Arial"/>
              </w:rPr>
              <w:t xml:space="preserve">short–term accommodation </w:t>
            </w:r>
          </w:p>
          <w:p w14:paraId="32BD9019" w14:textId="77777777" w:rsidR="00BE36FB" w:rsidRPr="009B7B35" w:rsidRDefault="00BE36FB" w:rsidP="00BE36FB">
            <w:pPr>
              <w:pStyle w:val="TableText"/>
              <w:numPr>
                <w:ilvl w:val="0"/>
                <w:numId w:val="602"/>
              </w:numPr>
              <w:rPr>
                <w:rFonts w:cs="Arial"/>
              </w:rPr>
            </w:pPr>
            <w:r w:rsidRPr="009B7B35">
              <w:rPr>
                <w:rFonts w:cs="Arial"/>
              </w:rPr>
              <w:t xml:space="preserve">tourist attraction </w:t>
            </w:r>
          </w:p>
          <w:p w14:paraId="2D4DDEBB" w14:textId="77777777" w:rsidR="00BE36FB" w:rsidRPr="009B7B35" w:rsidRDefault="00BE36FB" w:rsidP="00BE36FB">
            <w:pPr>
              <w:pStyle w:val="TableText"/>
              <w:numPr>
                <w:ilvl w:val="0"/>
                <w:numId w:val="602"/>
              </w:numPr>
              <w:rPr>
                <w:rFonts w:cs="Arial"/>
              </w:rPr>
            </w:pPr>
            <w:r w:rsidRPr="009B7B35">
              <w:rPr>
                <w:rFonts w:cs="Arial"/>
              </w:rPr>
              <w:t>tourist park.</w:t>
            </w:r>
          </w:p>
        </w:tc>
      </w:tr>
      <w:tr w:rsidR="00BE36FB" w:rsidRPr="009B7B35" w14:paraId="60A48CA2" w14:textId="77777777" w:rsidTr="001A7107">
        <w:trPr>
          <w:cantSplit/>
        </w:trPr>
        <w:tc>
          <w:tcPr>
            <w:tcW w:w="9356" w:type="dxa"/>
            <w:gridSpan w:val="2"/>
            <w:shd w:val="clear" w:color="auto" w:fill="BFBFBF" w:themeFill="background1" w:themeFillShade="BF"/>
          </w:tcPr>
          <w:p w14:paraId="3BA2690B" w14:textId="77777777" w:rsidR="00BE36FB" w:rsidRPr="009B7B35" w:rsidRDefault="00BE36FB" w:rsidP="001A7107">
            <w:pPr>
              <w:pStyle w:val="Tableheading"/>
              <w:rPr>
                <w:rFonts w:ascii="Arial" w:hAnsi="Arial" w:cs="Arial"/>
                <w:szCs w:val="20"/>
              </w:rPr>
            </w:pPr>
            <w:r w:rsidRPr="009B7B35">
              <w:rPr>
                <w:rFonts w:ascii="Arial" w:hAnsi="Arial" w:cs="Arial"/>
                <w:szCs w:val="20"/>
              </w:rPr>
              <w:t>Water supply</w:t>
            </w:r>
          </w:p>
        </w:tc>
      </w:tr>
      <w:tr w:rsidR="00BE36FB" w:rsidRPr="009B7B35" w14:paraId="45434C57" w14:textId="77777777" w:rsidTr="001A7107">
        <w:trPr>
          <w:cantSplit/>
        </w:trPr>
        <w:tc>
          <w:tcPr>
            <w:tcW w:w="4678" w:type="dxa"/>
          </w:tcPr>
          <w:p w14:paraId="23B40130" w14:textId="77777777" w:rsidR="00BE36FB" w:rsidRPr="009B7B35" w:rsidRDefault="00BE36FB" w:rsidP="001A7107">
            <w:pPr>
              <w:pStyle w:val="TableText"/>
              <w:rPr>
                <w:rFonts w:cs="Arial"/>
                <w:b/>
                <w:bCs/>
              </w:rPr>
            </w:pPr>
            <w:r w:rsidRPr="009B7B35">
              <w:rPr>
                <w:rFonts w:cs="Arial"/>
                <w:b/>
                <w:bCs/>
              </w:rPr>
              <w:t>PO3</w:t>
            </w:r>
          </w:p>
          <w:p w14:paraId="4B9E5C36" w14:textId="77777777" w:rsidR="00BE36FB" w:rsidRPr="009B7B35" w:rsidRDefault="00BE36FB" w:rsidP="001A7107">
            <w:pPr>
              <w:pStyle w:val="TableText"/>
              <w:rPr>
                <w:rFonts w:cs="Arial"/>
              </w:rPr>
            </w:pPr>
            <w:r w:rsidRPr="009B7B35">
              <w:rPr>
                <w:rFonts w:cs="Arial"/>
              </w:rPr>
              <w:t>Development in areas with a reticulated water supply has adequate flow and pressure for fire–fighting purposes at all times.</w:t>
            </w:r>
          </w:p>
        </w:tc>
        <w:tc>
          <w:tcPr>
            <w:tcW w:w="4678" w:type="dxa"/>
          </w:tcPr>
          <w:p w14:paraId="1544724A" w14:textId="77777777" w:rsidR="00BE36FB" w:rsidRPr="009B7B35" w:rsidRDefault="00BE36FB" w:rsidP="001A7107">
            <w:pPr>
              <w:pStyle w:val="TableText"/>
              <w:rPr>
                <w:rFonts w:cs="Arial"/>
                <w:b/>
                <w:bCs/>
              </w:rPr>
            </w:pPr>
            <w:r w:rsidRPr="009B7B35">
              <w:rPr>
                <w:rFonts w:cs="Arial"/>
                <w:b/>
                <w:bCs/>
              </w:rPr>
              <w:t>AO3</w:t>
            </w:r>
          </w:p>
          <w:p w14:paraId="7DE13F38" w14:textId="77777777" w:rsidR="00BE36FB" w:rsidRPr="009B7B35" w:rsidRDefault="00BE36FB">
            <w:pPr>
              <w:pStyle w:val="TableText"/>
              <w:rPr>
                <w:rFonts w:cs="Arial"/>
              </w:rPr>
            </w:pPr>
            <w:r w:rsidRPr="009B7B35">
              <w:rPr>
                <w:rFonts w:cs="Arial"/>
              </w:rPr>
              <w:t>The water supply network has a minimum sustained pressure and flow of at least 10L per second at 200kPa.</w:t>
            </w:r>
          </w:p>
        </w:tc>
      </w:tr>
      <w:tr w:rsidR="00BE36FB" w:rsidRPr="009B7B35" w14:paraId="77AE0374" w14:textId="77777777" w:rsidTr="001A7107">
        <w:tc>
          <w:tcPr>
            <w:tcW w:w="4678" w:type="dxa"/>
            <w:vMerge w:val="restart"/>
          </w:tcPr>
          <w:p w14:paraId="41D48F54" w14:textId="77777777" w:rsidR="00BE36FB" w:rsidRPr="009B7B35" w:rsidRDefault="00BE36FB" w:rsidP="001A7107">
            <w:pPr>
              <w:pStyle w:val="TableText"/>
              <w:rPr>
                <w:rFonts w:cs="Arial"/>
                <w:b/>
                <w:bCs/>
              </w:rPr>
            </w:pPr>
            <w:r w:rsidRPr="009B7B35">
              <w:rPr>
                <w:rFonts w:cs="Arial"/>
                <w:b/>
                <w:bCs/>
              </w:rPr>
              <w:t>PO4</w:t>
            </w:r>
          </w:p>
          <w:p w14:paraId="128B6EAC" w14:textId="77777777" w:rsidR="00BE36FB" w:rsidRPr="009B7B35" w:rsidRDefault="00BE36FB" w:rsidP="001A7107">
            <w:pPr>
              <w:pStyle w:val="TableText"/>
              <w:rPr>
                <w:rFonts w:cs="Arial"/>
              </w:rPr>
            </w:pPr>
            <w:r w:rsidRPr="009B7B35">
              <w:rPr>
                <w:rFonts w:cs="Arial"/>
              </w:rPr>
              <w:t>Development in areas without a reticulated water supply has an appropriate dedicated water supply for fire–fighting purposes that are safely located and freely accessible for fire–fighting purposes at all times.</w:t>
            </w:r>
          </w:p>
        </w:tc>
        <w:tc>
          <w:tcPr>
            <w:tcW w:w="4678" w:type="dxa"/>
          </w:tcPr>
          <w:p w14:paraId="0A217835" w14:textId="77777777" w:rsidR="00BE36FB" w:rsidRPr="009B7B35" w:rsidRDefault="00BE36FB" w:rsidP="001A7107">
            <w:pPr>
              <w:pStyle w:val="TableText"/>
              <w:rPr>
                <w:rFonts w:cs="Arial"/>
                <w:b/>
                <w:bCs/>
              </w:rPr>
            </w:pPr>
            <w:r w:rsidRPr="009B7B35">
              <w:rPr>
                <w:rFonts w:cs="Arial"/>
                <w:b/>
                <w:bCs/>
              </w:rPr>
              <w:t>AO4.1</w:t>
            </w:r>
          </w:p>
          <w:p w14:paraId="410D33D0" w14:textId="77777777" w:rsidR="00BE36FB" w:rsidRPr="009B7B35" w:rsidRDefault="00BE36FB" w:rsidP="001A7107">
            <w:pPr>
              <w:pStyle w:val="TableText"/>
              <w:rPr>
                <w:rFonts w:cs="Arial"/>
              </w:rPr>
            </w:pPr>
            <w:r w:rsidRPr="009B7B35">
              <w:rPr>
                <w:rFonts w:cs="Arial"/>
              </w:rPr>
              <w:t>Development involving a gross floor area greater than 50m</w:t>
            </w:r>
            <w:r w:rsidRPr="009B7B35">
              <w:rPr>
                <w:rStyle w:val="StyleSuperscript"/>
                <w:rFonts w:cs="Arial"/>
              </w:rPr>
              <w:t>2</w:t>
            </w:r>
            <w:r w:rsidRPr="009B7B35">
              <w:rPr>
                <w:rFonts w:cs="Arial"/>
              </w:rPr>
              <w:t xml:space="preserve"> where a reticulated water supply is not available is:</w:t>
            </w:r>
          </w:p>
          <w:p w14:paraId="328992FF" w14:textId="77777777" w:rsidR="00BE36FB" w:rsidRPr="009B7B35" w:rsidRDefault="00BE36FB" w:rsidP="00BE36FB">
            <w:pPr>
              <w:pStyle w:val="TableText"/>
              <w:numPr>
                <w:ilvl w:val="0"/>
                <w:numId w:val="601"/>
              </w:numPr>
              <w:rPr>
                <w:rFonts w:cs="Arial"/>
              </w:rPr>
            </w:pPr>
            <w:r w:rsidRPr="009B7B35">
              <w:rPr>
                <w:rFonts w:cs="Arial"/>
              </w:rPr>
              <w:t>provided with an easily accessible fire resistant on–site water storage of not less than 5,000L (e.g. concrete tank with fire brigade fittings, in–ground swimming pool, dam fed by a permanent water source) that is within 100m of each class 1, 2, 3, or 4 building, and</w:t>
            </w:r>
          </w:p>
          <w:p w14:paraId="62D911B5" w14:textId="77777777" w:rsidR="00BE36FB" w:rsidRPr="009B7B35" w:rsidRDefault="00BE36FB" w:rsidP="00BE36FB">
            <w:pPr>
              <w:pStyle w:val="TableText"/>
              <w:numPr>
                <w:ilvl w:val="0"/>
                <w:numId w:val="601"/>
              </w:numPr>
              <w:rPr>
                <w:rFonts w:cs="Arial"/>
              </w:rPr>
            </w:pPr>
            <w:r w:rsidRPr="009B7B35">
              <w:rPr>
                <w:rFonts w:cs="Arial"/>
              </w:rPr>
              <w:t>has a hard standing area allowing a heavy rigid fire appliance safe access to within 6m of the storage facility.</w:t>
            </w:r>
          </w:p>
          <w:p w14:paraId="3C893B20" w14:textId="77777777" w:rsidR="00BE36FB" w:rsidRPr="009B7B35" w:rsidRDefault="00BE36FB" w:rsidP="001A7107">
            <w:pPr>
              <w:pStyle w:val="Notes"/>
              <w:rPr>
                <w:rFonts w:cs="Arial"/>
                <w:sz w:val="20"/>
                <w:szCs w:val="20"/>
              </w:rPr>
            </w:pPr>
            <w:r w:rsidRPr="009B7B35">
              <w:rPr>
                <w:rFonts w:cs="Arial"/>
                <w:sz w:val="20"/>
                <w:szCs w:val="20"/>
              </w:rPr>
              <w:t>Note—Plastic water tanks are not considered to be fire resistant unless they are submerged.</w:t>
            </w:r>
          </w:p>
        </w:tc>
      </w:tr>
      <w:tr w:rsidR="00BE36FB" w:rsidRPr="009B7B35" w14:paraId="5FB655FA" w14:textId="77777777" w:rsidTr="001A7107">
        <w:tc>
          <w:tcPr>
            <w:tcW w:w="4678" w:type="dxa"/>
            <w:vMerge/>
          </w:tcPr>
          <w:p w14:paraId="69C76842" w14:textId="77777777" w:rsidR="00BE36FB" w:rsidRPr="009B7B35" w:rsidRDefault="00BE36FB" w:rsidP="001A7107">
            <w:pPr>
              <w:pStyle w:val="TableText"/>
              <w:rPr>
                <w:rFonts w:cs="Arial"/>
              </w:rPr>
            </w:pPr>
          </w:p>
        </w:tc>
        <w:tc>
          <w:tcPr>
            <w:tcW w:w="4678" w:type="dxa"/>
          </w:tcPr>
          <w:p w14:paraId="21F79434" w14:textId="77777777" w:rsidR="00BE36FB" w:rsidRPr="009B7B35" w:rsidRDefault="00BE36FB" w:rsidP="001A7107">
            <w:pPr>
              <w:pStyle w:val="TableText"/>
              <w:rPr>
                <w:rFonts w:cs="Arial"/>
                <w:b/>
                <w:bCs/>
              </w:rPr>
            </w:pPr>
            <w:r w:rsidRPr="009B7B35">
              <w:rPr>
                <w:rFonts w:cs="Arial"/>
                <w:b/>
                <w:bCs/>
              </w:rPr>
              <w:t>AO4.2</w:t>
            </w:r>
          </w:p>
          <w:p w14:paraId="31FD5BC5" w14:textId="77777777" w:rsidR="00BE36FB" w:rsidRPr="009B7B35" w:rsidRDefault="00BE36FB" w:rsidP="001A7107">
            <w:pPr>
              <w:pStyle w:val="TableText"/>
              <w:rPr>
                <w:rFonts w:cs="Arial"/>
              </w:rPr>
            </w:pPr>
            <w:r w:rsidRPr="009B7B35">
              <w:rPr>
                <w:rFonts w:cs="Arial"/>
              </w:rPr>
              <w:t>The location of water supplies is readily identifiable from the street frontage with clear signage directing firefighters to its access point.</w:t>
            </w:r>
          </w:p>
        </w:tc>
      </w:tr>
      <w:tr w:rsidR="00BE36FB" w:rsidRPr="009B7B35" w14:paraId="25812C2D" w14:textId="77777777" w:rsidTr="001A7107">
        <w:tc>
          <w:tcPr>
            <w:tcW w:w="9356" w:type="dxa"/>
            <w:gridSpan w:val="2"/>
            <w:shd w:val="clear" w:color="auto" w:fill="BFBFBF" w:themeFill="background1" w:themeFillShade="BF"/>
          </w:tcPr>
          <w:p w14:paraId="710D479C" w14:textId="77777777" w:rsidR="00BE36FB" w:rsidRPr="009B7B35" w:rsidRDefault="00BE36FB" w:rsidP="001A7107">
            <w:pPr>
              <w:pStyle w:val="Tableheading"/>
              <w:rPr>
                <w:rFonts w:ascii="Arial" w:hAnsi="Arial" w:cs="Arial"/>
                <w:szCs w:val="20"/>
              </w:rPr>
            </w:pPr>
            <w:r w:rsidRPr="009B7B35">
              <w:rPr>
                <w:rFonts w:ascii="Arial" w:hAnsi="Arial" w:cs="Arial"/>
                <w:szCs w:val="20"/>
              </w:rPr>
              <w:t>Roads, fire access trails and firebreaks</w:t>
            </w:r>
          </w:p>
        </w:tc>
      </w:tr>
      <w:tr w:rsidR="00BE36FB" w:rsidRPr="009B7B35" w14:paraId="777E244A" w14:textId="77777777" w:rsidTr="001A7107">
        <w:tc>
          <w:tcPr>
            <w:tcW w:w="4678" w:type="dxa"/>
            <w:vMerge w:val="restart"/>
          </w:tcPr>
          <w:p w14:paraId="6788819A" w14:textId="77777777" w:rsidR="00BE36FB" w:rsidRPr="009B7B35" w:rsidRDefault="00BE36FB" w:rsidP="001A7107">
            <w:pPr>
              <w:pStyle w:val="TableText"/>
              <w:rPr>
                <w:rFonts w:cs="Arial"/>
                <w:b/>
                <w:bCs/>
              </w:rPr>
            </w:pPr>
            <w:r w:rsidRPr="009B7B35">
              <w:rPr>
                <w:rFonts w:cs="Arial"/>
                <w:b/>
                <w:bCs/>
              </w:rPr>
              <w:t>PO5</w:t>
            </w:r>
          </w:p>
          <w:p w14:paraId="7AE0E72E" w14:textId="77777777" w:rsidR="00BE36FB" w:rsidRPr="009B7B35" w:rsidRDefault="00BE36FB" w:rsidP="001A7107">
            <w:pPr>
              <w:pStyle w:val="TableText"/>
              <w:rPr>
                <w:rFonts w:cs="Arial"/>
              </w:rPr>
            </w:pPr>
            <w:r w:rsidRPr="009B7B35">
              <w:rPr>
                <w:rFonts w:cs="Arial"/>
              </w:rPr>
              <w:t xml:space="preserve">Roads and fire access trails are designed and constructed to: </w:t>
            </w:r>
          </w:p>
          <w:p w14:paraId="2111C1AE" w14:textId="77777777" w:rsidR="00BE36FB" w:rsidRPr="009B7B35" w:rsidRDefault="00BE36FB" w:rsidP="00BE36FB">
            <w:pPr>
              <w:pStyle w:val="TableText"/>
              <w:numPr>
                <w:ilvl w:val="0"/>
                <w:numId w:val="648"/>
              </w:numPr>
              <w:rPr>
                <w:rFonts w:cs="Arial"/>
              </w:rPr>
            </w:pPr>
            <w:r w:rsidRPr="009B7B35">
              <w:rPr>
                <w:rFonts w:cs="Arial"/>
              </w:rPr>
              <w:t xml:space="preserve">enable efficient access to buildings and structures for fire–fighting purposes for emergency services, and </w:t>
            </w:r>
          </w:p>
          <w:p w14:paraId="413FEE54" w14:textId="77777777" w:rsidR="00BE36FB" w:rsidRPr="009B7B35" w:rsidRDefault="00BE36FB" w:rsidP="00BE36FB">
            <w:pPr>
              <w:pStyle w:val="TableText"/>
              <w:numPr>
                <w:ilvl w:val="0"/>
                <w:numId w:val="648"/>
              </w:numPr>
              <w:rPr>
                <w:rFonts w:cs="Arial"/>
              </w:rPr>
            </w:pPr>
            <w:r w:rsidRPr="009B7B35">
              <w:rPr>
                <w:rFonts w:cs="Arial"/>
              </w:rPr>
              <w:t>swift evacuation in emergency situations.</w:t>
            </w:r>
          </w:p>
        </w:tc>
        <w:tc>
          <w:tcPr>
            <w:tcW w:w="4678" w:type="dxa"/>
          </w:tcPr>
          <w:p w14:paraId="4CA6D63F" w14:textId="77777777" w:rsidR="00BE36FB" w:rsidRPr="009B7B35" w:rsidRDefault="00BE36FB" w:rsidP="001A7107">
            <w:pPr>
              <w:pStyle w:val="TableText"/>
              <w:rPr>
                <w:rFonts w:cs="Arial"/>
                <w:b/>
                <w:bCs/>
              </w:rPr>
            </w:pPr>
            <w:r w:rsidRPr="009B7B35">
              <w:rPr>
                <w:rFonts w:cs="Arial"/>
                <w:b/>
                <w:bCs/>
              </w:rPr>
              <w:t>AO5.1</w:t>
            </w:r>
          </w:p>
          <w:p w14:paraId="3775FE89" w14:textId="77777777" w:rsidR="00BE36FB" w:rsidRPr="009B7B35" w:rsidRDefault="00BE36FB" w:rsidP="001A7107">
            <w:pPr>
              <w:pStyle w:val="TableText"/>
              <w:rPr>
                <w:rFonts w:cs="Arial"/>
              </w:rPr>
            </w:pPr>
            <w:r w:rsidRPr="009B7B35">
              <w:rPr>
                <w:rFonts w:cs="Arial"/>
              </w:rPr>
              <w:t>Roads and fire access trails are designed and constructed to:</w:t>
            </w:r>
          </w:p>
          <w:p w14:paraId="44B2AAD5" w14:textId="77777777" w:rsidR="00BE36FB" w:rsidRPr="009B7B35" w:rsidRDefault="00BE36FB" w:rsidP="00BE36FB">
            <w:pPr>
              <w:pStyle w:val="TableText"/>
              <w:numPr>
                <w:ilvl w:val="0"/>
                <w:numId w:val="603"/>
              </w:numPr>
              <w:rPr>
                <w:rFonts w:cs="Arial"/>
              </w:rPr>
            </w:pPr>
            <w:r w:rsidRPr="009B7B35">
              <w:rPr>
                <w:rFonts w:cs="Arial"/>
              </w:rPr>
              <w:t>separate the development from the hazardous vegetation</w:t>
            </w:r>
          </w:p>
          <w:p w14:paraId="155077C9" w14:textId="77777777" w:rsidR="00BE36FB" w:rsidRPr="009B7B35" w:rsidRDefault="00BE36FB" w:rsidP="00BE36FB">
            <w:pPr>
              <w:pStyle w:val="TableText"/>
              <w:numPr>
                <w:ilvl w:val="0"/>
                <w:numId w:val="603"/>
              </w:numPr>
              <w:rPr>
                <w:rFonts w:cs="Arial"/>
              </w:rPr>
            </w:pPr>
            <w:r w:rsidRPr="009B7B35">
              <w:rPr>
                <w:rFonts w:cs="Arial"/>
              </w:rPr>
              <w:t>have a maximum gradient of 12.5%</w:t>
            </w:r>
          </w:p>
          <w:p w14:paraId="4B101BA8" w14:textId="77777777" w:rsidR="00BE36FB" w:rsidRPr="009B7B35" w:rsidRDefault="00BE36FB" w:rsidP="00BE36FB">
            <w:pPr>
              <w:pStyle w:val="TableText"/>
              <w:numPr>
                <w:ilvl w:val="0"/>
                <w:numId w:val="603"/>
              </w:numPr>
              <w:rPr>
                <w:rFonts w:cs="Arial"/>
              </w:rPr>
            </w:pPr>
            <w:r w:rsidRPr="009B7B35">
              <w:rPr>
                <w:rFonts w:cs="Arial"/>
              </w:rPr>
              <w:t>a minimum cleared width of 6m and a minimum formed width of 4m</w:t>
            </w:r>
          </w:p>
          <w:p w14:paraId="4401DA5E" w14:textId="77777777" w:rsidR="00BE36FB" w:rsidRPr="009B7B35" w:rsidRDefault="00BE36FB" w:rsidP="00BE36FB">
            <w:pPr>
              <w:pStyle w:val="TableText"/>
              <w:numPr>
                <w:ilvl w:val="0"/>
                <w:numId w:val="603"/>
              </w:numPr>
              <w:rPr>
                <w:rFonts w:cs="Arial"/>
              </w:rPr>
            </w:pPr>
            <w:r w:rsidRPr="009B7B35">
              <w:rPr>
                <w:rFonts w:cs="Arial"/>
              </w:rPr>
              <w:t>have adequate drainage and erosion control devices</w:t>
            </w:r>
          </w:p>
          <w:p w14:paraId="162315ED" w14:textId="77777777" w:rsidR="00BE36FB" w:rsidRPr="009B7B35" w:rsidRDefault="00BE36FB" w:rsidP="00BE36FB">
            <w:pPr>
              <w:pStyle w:val="TableText"/>
              <w:numPr>
                <w:ilvl w:val="0"/>
                <w:numId w:val="603"/>
              </w:numPr>
              <w:rPr>
                <w:rFonts w:cs="Arial"/>
              </w:rPr>
            </w:pPr>
            <w:r w:rsidRPr="009B7B35">
              <w:rPr>
                <w:rFonts w:cs="Arial"/>
              </w:rPr>
              <w:t>provides passing and turning areas for fire– fighting appliances at intervals of not less than 200m</w:t>
            </w:r>
          </w:p>
          <w:p w14:paraId="5B0CED67" w14:textId="77777777" w:rsidR="00BE36FB" w:rsidRPr="009B7B35" w:rsidRDefault="00BE36FB" w:rsidP="00BE36FB">
            <w:pPr>
              <w:pStyle w:val="TableText"/>
              <w:numPr>
                <w:ilvl w:val="0"/>
                <w:numId w:val="603"/>
              </w:numPr>
              <w:rPr>
                <w:rFonts w:cs="Arial"/>
              </w:rPr>
            </w:pPr>
            <w:r w:rsidRPr="009B7B35">
              <w:rPr>
                <w:rFonts w:cs="Arial"/>
              </w:rPr>
              <w:t>have a vehicular access at each end to roads or a bushfire trail</w:t>
            </w:r>
          </w:p>
          <w:p w14:paraId="19FC6D20" w14:textId="77777777" w:rsidR="00BE36FB" w:rsidRPr="009B7B35" w:rsidRDefault="00BE36FB" w:rsidP="00BE36FB">
            <w:pPr>
              <w:pStyle w:val="TableText"/>
              <w:numPr>
                <w:ilvl w:val="0"/>
                <w:numId w:val="603"/>
              </w:numPr>
              <w:rPr>
                <w:rFonts w:cs="Arial"/>
              </w:rPr>
            </w:pPr>
            <w:r w:rsidRPr="009B7B35">
              <w:rPr>
                <w:rFonts w:cs="Arial"/>
              </w:rPr>
              <w:t>not involve any cul–de–sac</w:t>
            </w:r>
          </w:p>
          <w:p w14:paraId="03F31CE6" w14:textId="77777777" w:rsidR="00BE36FB" w:rsidRPr="009B7B35" w:rsidRDefault="00BE36FB" w:rsidP="00BE36FB">
            <w:pPr>
              <w:pStyle w:val="TableText"/>
              <w:numPr>
                <w:ilvl w:val="0"/>
                <w:numId w:val="603"/>
              </w:numPr>
              <w:rPr>
                <w:rFonts w:cs="Arial"/>
              </w:rPr>
            </w:pPr>
            <w:r w:rsidRPr="009B7B35">
              <w:rPr>
                <w:rFonts w:cs="Arial"/>
              </w:rPr>
              <w:t>have gates locked with a system authorised by QFES, and</w:t>
            </w:r>
          </w:p>
          <w:p w14:paraId="20A866D8" w14:textId="77777777" w:rsidR="00BE36FB" w:rsidRPr="009B7B35" w:rsidRDefault="00BE36FB" w:rsidP="00BE36FB">
            <w:pPr>
              <w:pStyle w:val="TableText"/>
              <w:numPr>
                <w:ilvl w:val="0"/>
                <w:numId w:val="603"/>
              </w:numPr>
              <w:rPr>
                <w:rFonts w:cs="Arial"/>
              </w:rPr>
            </w:pPr>
            <w:r w:rsidRPr="009B7B35">
              <w:rPr>
                <w:rFonts w:cs="Arial"/>
              </w:rPr>
              <w:t>have suitable arrangements in place to ensure maintenance in perpetuity.</w:t>
            </w:r>
          </w:p>
        </w:tc>
      </w:tr>
      <w:tr w:rsidR="00BE36FB" w:rsidRPr="009B7B35" w14:paraId="6D7F1BE4" w14:textId="77777777" w:rsidTr="001A7107">
        <w:trPr>
          <w:cantSplit/>
        </w:trPr>
        <w:tc>
          <w:tcPr>
            <w:tcW w:w="4678" w:type="dxa"/>
            <w:vMerge/>
          </w:tcPr>
          <w:p w14:paraId="3D431116" w14:textId="77777777" w:rsidR="00BE36FB" w:rsidRPr="009B7B35" w:rsidRDefault="00BE36FB" w:rsidP="001A7107">
            <w:pPr>
              <w:pStyle w:val="TableText"/>
              <w:rPr>
                <w:rFonts w:cs="Arial"/>
              </w:rPr>
            </w:pPr>
          </w:p>
        </w:tc>
        <w:tc>
          <w:tcPr>
            <w:tcW w:w="4678" w:type="dxa"/>
          </w:tcPr>
          <w:p w14:paraId="50F3498A" w14:textId="77777777" w:rsidR="00BE36FB" w:rsidRPr="009B7B35" w:rsidRDefault="00BE36FB" w:rsidP="001A7107">
            <w:pPr>
              <w:pStyle w:val="TableText"/>
              <w:rPr>
                <w:rFonts w:cs="Arial"/>
                <w:b/>
                <w:bCs/>
              </w:rPr>
            </w:pPr>
            <w:r w:rsidRPr="009B7B35">
              <w:rPr>
                <w:rFonts w:cs="Arial"/>
                <w:b/>
                <w:bCs/>
              </w:rPr>
              <w:t>AO5.2</w:t>
            </w:r>
          </w:p>
          <w:p w14:paraId="20591717" w14:textId="77777777" w:rsidR="00BE36FB" w:rsidRPr="009B7B35" w:rsidRDefault="00BE36FB" w:rsidP="001A7107">
            <w:pPr>
              <w:pStyle w:val="TableText"/>
              <w:rPr>
                <w:rFonts w:cs="Arial"/>
              </w:rPr>
            </w:pPr>
            <w:r w:rsidRPr="009B7B35">
              <w:rPr>
                <w:rFonts w:cs="Arial"/>
              </w:rPr>
              <w:t>Development has direct access to an evacuation route with a potential fire intensity exposure no greater than 2kw/m</w:t>
            </w:r>
            <w:r w:rsidRPr="009B7B35">
              <w:rPr>
                <w:rStyle w:val="StyleSuperscript"/>
                <w:rFonts w:cs="Arial"/>
              </w:rPr>
              <w:t>2</w:t>
            </w:r>
            <w:r w:rsidRPr="009B7B35">
              <w:rPr>
                <w:rFonts w:cs="Arial"/>
              </w:rPr>
              <w:t>.</w:t>
            </w:r>
          </w:p>
          <w:p w14:paraId="14D78CAC" w14:textId="77777777" w:rsidR="00BE36FB" w:rsidRPr="009B7B35" w:rsidRDefault="00BE36FB" w:rsidP="001A7107">
            <w:pPr>
              <w:pStyle w:val="Notes"/>
              <w:rPr>
                <w:rFonts w:cs="Arial"/>
                <w:sz w:val="20"/>
                <w:szCs w:val="20"/>
              </w:rPr>
            </w:pPr>
            <w:r w:rsidRPr="009B7B35">
              <w:rPr>
                <w:rFonts w:cs="Arial"/>
                <w:sz w:val="20"/>
                <w:szCs w:val="20"/>
              </w:rPr>
              <w:t>Note—The distance from hazardous vegetation to achieve 2kw/m</w:t>
            </w:r>
            <w:r w:rsidRPr="009B7B35">
              <w:rPr>
                <w:rFonts w:cs="Arial"/>
                <w:sz w:val="20"/>
                <w:szCs w:val="20"/>
                <w:vertAlign w:val="superscript"/>
              </w:rPr>
              <w:t>2</w:t>
            </w:r>
            <w:r w:rsidRPr="009B7B35">
              <w:rPr>
                <w:rFonts w:cs="Arial"/>
                <w:sz w:val="20"/>
                <w:szCs w:val="20"/>
              </w:rPr>
              <w:t xml:space="preserve"> is generally:</w:t>
            </w:r>
          </w:p>
          <w:p w14:paraId="2C3C689E" w14:textId="77777777" w:rsidR="00BE36FB" w:rsidRPr="009B7B35" w:rsidRDefault="00BE36FB" w:rsidP="001A7107">
            <w:pPr>
              <w:pStyle w:val="Notesbullet"/>
              <w:rPr>
                <w:rFonts w:cs="Arial"/>
                <w:sz w:val="20"/>
                <w:szCs w:val="20"/>
              </w:rPr>
            </w:pPr>
            <w:r w:rsidRPr="009B7B35">
              <w:rPr>
                <w:rFonts w:cs="Arial"/>
                <w:sz w:val="20"/>
                <w:szCs w:val="20"/>
              </w:rPr>
              <w:t>58m in a very high bushfire hazard areas</w:t>
            </w:r>
          </w:p>
          <w:p w14:paraId="24864FD7" w14:textId="77777777" w:rsidR="00BE36FB" w:rsidRPr="009B7B35" w:rsidRDefault="00BE36FB" w:rsidP="001A7107">
            <w:pPr>
              <w:pStyle w:val="Notesbullet"/>
              <w:rPr>
                <w:rFonts w:cs="Arial"/>
                <w:sz w:val="20"/>
                <w:szCs w:val="20"/>
              </w:rPr>
            </w:pPr>
            <w:r w:rsidRPr="009B7B35">
              <w:rPr>
                <w:rFonts w:cs="Arial"/>
                <w:sz w:val="20"/>
                <w:szCs w:val="20"/>
              </w:rPr>
              <w:t>52m in a high bushfire hazard area, and</w:t>
            </w:r>
          </w:p>
          <w:p w14:paraId="4FB1A7CC" w14:textId="77777777" w:rsidR="00BE36FB" w:rsidRPr="009B7B35" w:rsidRDefault="00BE36FB" w:rsidP="001A7107">
            <w:pPr>
              <w:pStyle w:val="Notesbullet"/>
              <w:rPr>
                <w:rFonts w:cs="Arial"/>
                <w:sz w:val="20"/>
                <w:szCs w:val="20"/>
              </w:rPr>
            </w:pPr>
            <w:r w:rsidRPr="009B7B35">
              <w:rPr>
                <w:rFonts w:cs="Arial"/>
                <w:sz w:val="20"/>
                <w:szCs w:val="20"/>
              </w:rPr>
              <w:t>44m in a medium bushfire hazard area.</w:t>
            </w:r>
          </w:p>
        </w:tc>
      </w:tr>
      <w:tr w:rsidR="00BE36FB" w:rsidRPr="009B7B35" w14:paraId="4809F3E6" w14:textId="77777777" w:rsidTr="001A7107">
        <w:trPr>
          <w:cantSplit/>
        </w:trPr>
        <w:tc>
          <w:tcPr>
            <w:tcW w:w="4678" w:type="dxa"/>
            <w:vMerge/>
          </w:tcPr>
          <w:p w14:paraId="405DF16A" w14:textId="77777777" w:rsidR="00BE36FB" w:rsidRPr="009B7B35" w:rsidRDefault="00BE36FB" w:rsidP="001A7107">
            <w:pPr>
              <w:rPr>
                <w:rFonts w:cs="Arial"/>
                <w:sz w:val="20"/>
                <w:szCs w:val="20"/>
              </w:rPr>
            </w:pPr>
          </w:p>
        </w:tc>
        <w:tc>
          <w:tcPr>
            <w:tcW w:w="4678" w:type="dxa"/>
          </w:tcPr>
          <w:p w14:paraId="6F034573" w14:textId="77777777" w:rsidR="00BE36FB" w:rsidRPr="009B7B35" w:rsidRDefault="00BE36FB" w:rsidP="001A7107">
            <w:pPr>
              <w:pStyle w:val="TableText"/>
              <w:rPr>
                <w:rFonts w:cs="Arial"/>
                <w:b/>
                <w:bCs/>
              </w:rPr>
            </w:pPr>
            <w:r w:rsidRPr="009B7B35">
              <w:rPr>
                <w:rFonts w:cs="Arial"/>
                <w:b/>
                <w:bCs/>
              </w:rPr>
              <w:t>AO5.3</w:t>
            </w:r>
          </w:p>
          <w:p w14:paraId="6B8C33BA" w14:textId="77777777" w:rsidR="00BE36FB" w:rsidRPr="009B7B35" w:rsidRDefault="00BE36FB" w:rsidP="001A7107">
            <w:pPr>
              <w:pStyle w:val="TableText"/>
              <w:rPr>
                <w:rFonts w:cs="Arial"/>
              </w:rPr>
            </w:pPr>
            <w:r w:rsidRPr="009B7B35">
              <w:rPr>
                <w:rFonts w:cs="Arial"/>
              </w:rPr>
              <w:t>Development incorporates an area of managed vegetation that separates lot boundaries from hazardous vegetation by a distance of:</w:t>
            </w:r>
          </w:p>
          <w:p w14:paraId="7CA95696" w14:textId="77777777" w:rsidR="00BE36FB" w:rsidRPr="009B7B35" w:rsidRDefault="00BE36FB" w:rsidP="00BE36FB">
            <w:pPr>
              <w:numPr>
                <w:ilvl w:val="0"/>
                <w:numId w:val="605"/>
              </w:numPr>
              <w:rPr>
                <w:rFonts w:cs="Arial"/>
                <w:sz w:val="20"/>
                <w:szCs w:val="20"/>
              </w:rPr>
            </w:pPr>
            <w:r w:rsidRPr="009B7B35">
              <w:rPr>
                <w:rFonts w:cs="Arial"/>
                <w:sz w:val="20"/>
                <w:szCs w:val="20"/>
              </w:rPr>
              <w:t xml:space="preserve">20m to a high or very high bushfire risk area, or </w:t>
            </w:r>
          </w:p>
          <w:p w14:paraId="076BA79D" w14:textId="77777777" w:rsidR="00BE36FB" w:rsidRPr="009B7B35" w:rsidRDefault="00BE36FB" w:rsidP="00BE36FB">
            <w:pPr>
              <w:numPr>
                <w:ilvl w:val="0"/>
                <w:numId w:val="605"/>
              </w:numPr>
              <w:rPr>
                <w:rFonts w:cs="Arial"/>
                <w:sz w:val="20"/>
                <w:szCs w:val="20"/>
              </w:rPr>
            </w:pPr>
            <w:r w:rsidRPr="009B7B35">
              <w:rPr>
                <w:rFonts w:cs="Arial"/>
                <w:sz w:val="20"/>
                <w:szCs w:val="20"/>
              </w:rPr>
              <w:t>10m to a medium risk bushfire area and includes a fire access trail.</w:t>
            </w:r>
          </w:p>
        </w:tc>
      </w:tr>
      <w:tr w:rsidR="00BE36FB" w:rsidRPr="009B7B35" w14:paraId="2FE3FFB2" w14:textId="77777777" w:rsidTr="001A7107">
        <w:trPr>
          <w:cantSplit/>
        </w:trPr>
        <w:tc>
          <w:tcPr>
            <w:tcW w:w="4678" w:type="dxa"/>
          </w:tcPr>
          <w:p w14:paraId="40DE8B6E" w14:textId="77777777" w:rsidR="00BE36FB" w:rsidRPr="009B7B35" w:rsidRDefault="00BE36FB" w:rsidP="001A7107">
            <w:pPr>
              <w:pStyle w:val="TableText"/>
              <w:rPr>
                <w:rFonts w:cs="Arial"/>
                <w:b/>
                <w:bCs/>
              </w:rPr>
            </w:pPr>
            <w:r w:rsidRPr="009B7B35">
              <w:rPr>
                <w:rFonts w:cs="Arial"/>
                <w:b/>
                <w:bCs/>
              </w:rPr>
              <w:t>PO6</w:t>
            </w:r>
          </w:p>
          <w:p w14:paraId="3497E2BD" w14:textId="77777777" w:rsidR="00BE36FB" w:rsidRPr="009B7B35" w:rsidRDefault="00BE36FB" w:rsidP="001A7107">
            <w:pPr>
              <w:pStyle w:val="TableText"/>
              <w:rPr>
                <w:rFonts w:cs="Arial"/>
              </w:rPr>
            </w:pPr>
            <w:r w:rsidRPr="009B7B35">
              <w:rPr>
                <w:rFonts w:cs="Arial"/>
              </w:rPr>
              <w:t>Development provides for adequate fire breaks that minimise bushfire hazard by:</w:t>
            </w:r>
          </w:p>
          <w:p w14:paraId="41E23617" w14:textId="77777777" w:rsidR="00BE36FB" w:rsidRPr="009B7B35" w:rsidRDefault="00BE36FB" w:rsidP="00BE36FB">
            <w:pPr>
              <w:numPr>
                <w:ilvl w:val="0"/>
                <w:numId w:val="604"/>
              </w:numPr>
              <w:rPr>
                <w:rFonts w:cs="Arial"/>
                <w:sz w:val="20"/>
                <w:szCs w:val="20"/>
              </w:rPr>
            </w:pPr>
            <w:r w:rsidRPr="009B7B35">
              <w:rPr>
                <w:rFonts w:cs="Arial"/>
                <w:sz w:val="20"/>
                <w:szCs w:val="20"/>
              </w:rPr>
              <w:t>separating hazardous vegetation from development areas, and</w:t>
            </w:r>
          </w:p>
          <w:p w14:paraId="1E41EA7F" w14:textId="77777777" w:rsidR="00BE36FB" w:rsidRPr="009B7B35" w:rsidRDefault="00BE36FB" w:rsidP="00BE36FB">
            <w:pPr>
              <w:numPr>
                <w:ilvl w:val="0"/>
                <w:numId w:val="604"/>
              </w:numPr>
              <w:rPr>
                <w:rFonts w:cs="Arial"/>
                <w:sz w:val="20"/>
                <w:szCs w:val="20"/>
              </w:rPr>
            </w:pPr>
            <w:r w:rsidRPr="009B7B35">
              <w:rPr>
                <w:rFonts w:cs="Arial"/>
                <w:sz w:val="20"/>
                <w:szCs w:val="20"/>
              </w:rPr>
              <w:t>facilitating access for firefighting and emergency vehicles.</w:t>
            </w:r>
          </w:p>
        </w:tc>
        <w:tc>
          <w:tcPr>
            <w:tcW w:w="4678" w:type="dxa"/>
          </w:tcPr>
          <w:p w14:paraId="61CDD151"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321FD00" w14:textId="77777777" w:rsidTr="001A7107">
        <w:trPr>
          <w:cantSplit/>
        </w:trPr>
        <w:tc>
          <w:tcPr>
            <w:tcW w:w="9356" w:type="dxa"/>
            <w:gridSpan w:val="2"/>
            <w:shd w:val="clear" w:color="auto" w:fill="BFBFBF" w:themeFill="background1" w:themeFillShade="BF"/>
          </w:tcPr>
          <w:p w14:paraId="58D51F63" w14:textId="77777777" w:rsidR="00BE36FB" w:rsidRPr="009B7B35" w:rsidRDefault="00BE36FB" w:rsidP="001A7107">
            <w:pPr>
              <w:pStyle w:val="Tableheading"/>
              <w:rPr>
                <w:rFonts w:ascii="Arial" w:hAnsi="Arial" w:cs="Arial"/>
                <w:szCs w:val="20"/>
              </w:rPr>
            </w:pPr>
            <w:r w:rsidRPr="009B7B35">
              <w:rPr>
                <w:rFonts w:ascii="Arial" w:hAnsi="Arial" w:cs="Arial"/>
                <w:szCs w:val="20"/>
              </w:rPr>
              <w:t>Hazardous materials</w:t>
            </w:r>
          </w:p>
        </w:tc>
      </w:tr>
      <w:tr w:rsidR="00BE36FB" w:rsidRPr="009B7B35" w14:paraId="7C6B4246" w14:textId="77777777" w:rsidTr="001A7107">
        <w:trPr>
          <w:cantSplit/>
        </w:trPr>
        <w:tc>
          <w:tcPr>
            <w:tcW w:w="4678" w:type="dxa"/>
          </w:tcPr>
          <w:p w14:paraId="49F388EB" w14:textId="77777777" w:rsidR="00BE36FB" w:rsidRPr="009B7B35" w:rsidRDefault="00BE36FB" w:rsidP="001A7107">
            <w:pPr>
              <w:pStyle w:val="TableText"/>
              <w:rPr>
                <w:rFonts w:cs="Arial"/>
                <w:b/>
                <w:bCs/>
              </w:rPr>
            </w:pPr>
            <w:r w:rsidRPr="009B7B35">
              <w:rPr>
                <w:rFonts w:cs="Arial"/>
                <w:b/>
                <w:bCs/>
              </w:rPr>
              <w:t>PO7</w:t>
            </w:r>
          </w:p>
          <w:p w14:paraId="1ED887C0" w14:textId="77777777" w:rsidR="00BE36FB" w:rsidRPr="009B7B35" w:rsidRDefault="00BE36FB" w:rsidP="001A7107">
            <w:pPr>
              <w:pStyle w:val="TableText"/>
              <w:rPr>
                <w:rFonts w:cs="Arial"/>
              </w:rPr>
            </w:pPr>
            <w:r w:rsidRPr="009B7B35">
              <w:rPr>
                <w:rFonts w:cs="Arial"/>
              </w:rPr>
              <w:t>The potential for the release of hazardous materials as a result of a bushfire event is avoided.</w:t>
            </w:r>
          </w:p>
          <w:p w14:paraId="73DC9C33" w14:textId="77777777" w:rsidR="00BE36FB" w:rsidRPr="009B7B35" w:rsidRDefault="00BE36FB" w:rsidP="001A7107">
            <w:pPr>
              <w:pStyle w:val="Notes"/>
              <w:rPr>
                <w:rFonts w:cs="Arial"/>
                <w:sz w:val="20"/>
                <w:szCs w:val="20"/>
              </w:rPr>
            </w:pPr>
            <w:r w:rsidRPr="009B7B35">
              <w:rPr>
                <w:rFonts w:cs="Arial"/>
                <w:sz w:val="20"/>
                <w:szCs w:val="20"/>
              </w:rPr>
              <w:t xml:space="preserve">Note—The term ‘hazardous material' is defined in the Glossary of the relevant </w:t>
            </w:r>
            <w:r w:rsidRPr="009B7B35">
              <w:rPr>
                <w:rStyle w:val="StyleNotesItalic2"/>
                <w:rFonts w:cs="Arial"/>
                <w:sz w:val="20"/>
              </w:rPr>
              <w:t>State Planning Policy.</w:t>
            </w:r>
          </w:p>
        </w:tc>
        <w:tc>
          <w:tcPr>
            <w:tcW w:w="4678" w:type="dxa"/>
          </w:tcPr>
          <w:p w14:paraId="71614D5B" w14:textId="77777777" w:rsidR="00BE36FB" w:rsidRPr="009B7B35" w:rsidRDefault="00BE36FB" w:rsidP="001A7107">
            <w:pPr>
              <w:pStyle w:val="TableText"/>
              <w:rPr>
                <w:rFonts w:cs="Arial"/>
                <w:b/>
                <w:bCs/>
              </w:rPr>
            </w:pPr>
            <w:r w:rsidRPr="009B7B35">
              <w:rPr>
                <w:rFonts w:cs="Arial"/>
                <w:b/>
                <w:bCs/>
              </w:rPr>
              <w:t>AO7</w:t>
            </w:r>
          </w:p>
          <w:p w14:paraId="3CE18D93" w14:textId="77777777" w:rsidR="00BE36FB" w:rsidRPr="009B7B35" w:rsidRDefault="00BE36FB" w:rsidP="001A7107">
            <w:pPr>
              <w:pStyle w:val="TableText"/>
              <w:rPr>
                <w:rFonts w:cs="Arial"/>
              </w:rPr>
            </w:pPr>
            <w:r w:rsidRPr="009B7B35">
              <w:rPr>
                <w:rFonts w:cs="Arial"/>
              </w:rPr>
              <w:t>Development involving the production or storage of hazardous materials in bulk:</w:t>
            </w:r>
          </w:p>
          <w:p w14:paraId="3401216F" w14:textId="77777777" w:rsidR="00BE36FB" w:rsidRPr="009B7B35" w:rsidRDefault="00BE36FB" w:rsidP="00BE36FB">
            <w:pPr>
              <w:numPr>
                <w:ilvl w:val="0"/>
                <w:numId w:val="606"/>
              </w:numPr>
              <w:rPr>
                <w:rFonts w:cs="Arial"/>
                <w:sz w:val="20"/>
                <w:szCs w:val="20"/>
              </w:rPr>
            </w:pPr>
            <w:r w:rsidRPr="009B7B35">
              <w:rPr>
                <w:rFonts w:cs="Arial"/>
                <w:sz w:val="20"/>
                <w:szCs w:val="20"/>
              </w:rPr>
              <w:t>is not located within a high or very high bushfire hazard area, or</w:t>
            </w:r>
          </w:p>
          <w:p w14:paraId="2A6C81C8" w14:textId="77777777" w:rsidR="00BE36FB" w:rsidRPr="009B7B35" w:rsidRDefault="00BE36FB" w:rsidP="00BE36FB">
            <w:pPr>
              <w:numPr>
                <w:ilvl w:val="0"/>
                <w:numId w:val="606"/>
              </w:numPr>
              <w:rPr>
                <w:rFonts w:cs="Arial"/>
                <w:sz w:val="20"/>
                <w:szCs w:val="20"/>
              </w:rPr>
            </w:pPr>
            <w:r w:rsidRPr="009B7B35">
              <w:rPr>
                <w:rFonts w:cs="Arial"/>
                <w:sz w:val="20"/>
                <w:szCs w:val="20"/>
              </w:rPr>
              <w:t>complies with a site specific bushfire management plan.</w:t>
            </w:r>
          </w:p>
          <w:p w14:paraId="1FBBA30F" w14:textId="77777777" w:rsidR="00BE36FB" w:rsidRPr="009B7B35" w:rsidRDefault="00BE36FB" w:rsidP="001A7107">
            <w:pPr>
              <w:ind w:left="567"/>
              <w:rPr>
                <w:rFonts w:cs="Arial"/>
                <w:sz w:val="20"/>
                <w:szCs w:val="20"/>
              </w:rPr>
            </w:pPr>
          </w:p>
        </w:tc>
      </w:tr>
      <w:tr w:rsidR="00BE36FB" w:rsidRPr="009B7B35" w14:paraId="0C23DF80" w14:textId="77777777" w:rsidTr="001A7107">
        <w:trPr>
          <w:cantSplit/>
        </w:trPr>
        <w:tc>
          <w:tcPr>
            <w:tcW w:w="9356" w:type="dxa"/>
            <w:gridSpan w:val="2"/>
            <w:shd w:val="clear" w:color="auto" w:fill="BFBFBF" w:themeFill="background1" w:themeFillShade="BF"/>
          </w:tcPr>
          <w:p w14:paraId="39DA70BD" w14:textId="77777777" w:rsidR="00BE36FB" w:rsidRPr="009B7B35" w:rsidRDefault="00BE36FB" w:rsidP="001A7107">
            <w:pPr>
              <w:pStyle w:val="Tableheading"/>
              <w:rPr>
                <w:rFonts w:ascii="Arial" w:hAnsi="Arial" w:cs="Arial"/>
                <w:szCs w:val="20"/>
              </w:rPr>
            </w:pPr>
            <w:r w:rsidRPr="009B7B35">
              <w:rPr>
                <w:rFonts w:ascii="Arial" w:hAnsi="Arial" w:cs="Arial"/>
                <w:szCs w:val="20"/>
              </w:rPr>
              <w:t>Reconfiguration of a lot</w:t>
            </w:r>
          </w:p>
        </w:tc>
      </w:tr>
      <w:tr w:rsidR="00BE36FB" w:rsidRPr="009B7B35" w14:paraId="483996EC" w14:textId="77777777" w:rsidTr="001A7107">
        <w:tc>
          <w:tcPr>
            <w:tcW w:w="4678" w:type="dxa"/>
          </w:tcPr>
          <w:p w14:paraId="5741E6FF" w14:textId="77777777" w:rsidR="00BE36FB" w:rsidRPr="009B7B35" w:rsidRDefault="00BE36FB" w:rsidP="001A7107">
            <w:pPr>
              <w:pStyle w:val="TableText"/>
              <w:rPr>
                <w:rFonts w:cs="Arial"/>
                <w:b/>
                <w:bCs/>
              </w:rPr>
            </w:pPr>
            <w:r w:rsidRPr="009B7B35">
              <w:rPr>
                <w:rFonts w:cs="Arial"/>
                <w:b/>
                <w:bCs/>
              </w:rPr>
              <w:t>PO8</w:t>
            </w:r>
          </w:p>
          <w:p w14:paraId="1647B901" w14:textId="77777777" w:rsidR="00BE36FB" w:rsidRPr="009B7B35" w:rsidRDefault="00BE36FB" w:rsidP="001A7107">
            <w:pPr>
              <w:pStyle w:val="TableText"/>
              <w:rPr>
                <w:rFonts w:cs="Arial"/>
              </w:rPr>
            </w:pPr>
            <w:r w:rsidRPr="009B7B35">
              <w:rPr>
                <w:rFonts w:cs="Arial"/>
              </w:rPr>
              <w:t xml:space="preserve">Additional lots avoid the risk of bushfire hazard to personal and property safety and increased risk of damage to assets. </w:t>
            </w:r>
          </w:p>
          <w:p w14:paraId="58911236" w14:textId="77777777" w:rsidR="00BE36FB" w:rsidRPr="009B7B35" w:rsidRDefault="00BE36FB" w:rsidP="001A7107">
            <w:pPr>
              <w:pStyle w:val="Notes"/>
              <w:rPr>
                <w:rFonts w:cs="Arial"/>
                <w:sz w:val="20"/>
                <w:szCs w:val="20"/>
              </w:rPr>
            </w:pPr>
            <w:r w:rsidRPr="009B7B35">
              <w:rPr>
                <w:rFonts w:cs="Arial"/>
                <w:sz w:val="20"/>
                <w:szCs w:val="20"/>
              </w:rPr>
              <w:t xml:space="preserve">Note—A site specific bushfire hazard assessment may demonstrate that the site is not within a bushfire hazard area or has a low degree of bushfire risk. </w:t>
            </w:r>
          </w:p>
        </w:tc>
        <w:tc>
          <w:tcPr>
            <w:tcW w:w="4678" w:type="dxa"/>
          </w:tcPr>
          <w:p w14:paraId="507479F5" w14:textId="77777777" w:rsidR="00BE36FB" w:rsidRPr="009B7B35" w:rsidRDefault="00BE36FB" w:rsidP="001A7107">
            <w:pPr>
              <w:pStyle w:val="TableText"/>
              <w:rPr>
                <w:rFonts w:cs="Arial"/>
                <w:b/>
                <w:bCs/>
              </w:rPr>
            </w:pPr>
            <w:r w:rsidRPr="009B7B35">
              <w:rPr>
                <w:rFonts w:cs="Arial"/>
                <w:b/>
                <w:bCs/>
              </w:rPr>
              <w:t>AO8</w:t>
            </w:r>
          </w:p>
          <w:p w14:paraId="1F778BC4" w14:textId="77777777" w:rsidR="00BE36FB" w:rsidRPr="009B7B35" w:rsidRDefault="00BE36FB" w:rsidP="001A7107">
            <w:pPr>
              <w:pStyle w:val="TableText"/>
              <w:rPr>
                <w:rFonts w:cs="Arial"/>
              </w:rPr>
            </w:pPr>
            <w:r w:rsidRPr="009B7B35">
              <w:rPr>
                <w:rFonts w:cs="Arial"/>
              </w:rPr>
              <w:t>New residential lots (including rear lots) do not occur in a bushfire hazard area.</w:t>
            </w:r>
          </w:p>
        </w:tc>
      </w:tr>
      <w:tr w:rsidR="00BE36FB" w:rsidRPr="009B7B35" w14:paraId="49A858D6" w14:textId="77777777" w:rsidTr="001A7107">
        <w:tc>
          <w:tcPr>
            <w:tcW w:w="9356" w:type="dxa"/>
            <w:gridSpan w:val="2"/>
            <w:shd w:val="clear" w:color="auto" w:fill="BFBFBF" w:themeFill="background1" w:themeFillShade="BF"/>
          </w:tcPr>
          <w:p w14:paraId="645FC8D4" w14:textId="77777777" w:rsidR="00BE36FB" w:rsidRPr="009B7B35" w:rsidRDefault="00BE36FB" w:rsidP="001A7107">
            <w:pPr>
              <w:pStyle w:val="Tableheading"/>
              <w:rPr>
                <w:rFonts w:ascii="Arial" w:hAnsi="Arial" w:cs="Arial"/>
                <w:szCs w:val="20"/>
              </w:rPr>
            </w:pPr>
            <w:r w:rsidRPr="009B7B35">
              <w:rPr>
                <w:rFonts w:ascii="Arial" w:hAnsi="Arial" w:cs="Arial"/>
                <w:szCs w:val="20"/>
              </w:rPr>
              <w:t>Community infrastructure</w:t>
            </w:r>
          </w:p>
        </w:tc>
      </w:tr>
      <w:tr w:rsidR="00BE36FB" w:rsidRPr="009B7B35" w14:paraId="2016F9AE" w14:textId="77777777" w:rsidTr="001A7107">
        <w:tc>
          <w:tcPr>
            <w:tcW w:w="4678" w:type="dxa"/>
          </w:tcPr>
          <w:p w14:paraId="5A64F231" w14:textId="77777777" w:rsidR="00BE36FB" w:rsidRPr="009B7B35" w:rsidRDefault="00BE36FB" w:rsidP="001A7107">
            <w:pPr>
              <w:pStyle w:val="TableText"/>
              <w:rPr>
                <w:rFonts w:cs="Arial"/>
                <w:b/>
                <w:bCs/>
              </w:rPr>
            </w:pPr>
            <w:r w:rsidRPr="009B7B35">
              <w:rPr>
                <w:rFonts w:cs="Arial"/>
                <w:b/>
                <w:bCs/>
              </w:rPr>
              <w:t>PO9</w:t>
            </w:r>
          </w:p>
          <w:p w14:paraId="6DAC2394" w14:textId="77777777" w:rsidR="00BE36FB" w:rsidRPr="009B7B35" w:rsidRDefault="00BE36FB" w:rsidP="001A7107">
            <w:pPr>
              <w:pStyle w:val="TableText"/>
              <w:rPr>
                <w:rFonts w:cs="Arial"/>
              </w:rPr>
            </w:pPr>
            <w:r w:rsidRPr="009B7B35">
              <w:rPr>
                <w:rFonts w:cs="Arial"/>
              </w:rPr>
              <w:t>Development for community infrastructure is located, designed and sited to:</w:t>
            </w:r>
          </w:p>
          <w:p w14:paraId="7FDDE68A" w14:textId="77777777" w:rsidR="00BE36FB" w:rsidRPr="009B7B35" w:rsidRDefault="00BE36FB" w:rsidP="00BE36FB">
            <w:pPr>
              <w:numPr>
                <w:ilvl w:val="0"/>
                <w:numId w:val="607"/>
              </w:numPr>
              <w:rPr>
                <w:rFonts w:cs="Arial"/>
                <w:sz w:val="20"/>
                <w:szCs w:val="20"/>
              </w:rPr>
            </w:pPr>
            <w:r w:rsidRPr="009B7B35">
              <w:rPr>
                <w:rFonts w:cs="Arial"/>
                <w:sz w:val="20"/>
                <w:szCs w:val="20"/>
              </w:rPr>
              <w:t>protect the safety of people during a bushfire</w:t>
            </w:r>
          </w:p>
          <w:p w14:paraId="7EE22D0C" w14:textId="77777777" w:rsidR="00BE36FB" w:rsidRPr="009B7B35" w:rsidRDefault="00BE36FB" w:rsidP="00BE36FB">
            <w:pPr>
              <w:numPr>
                <w:ilvl w:val="0"/>
                <w:numId w:val="607"/>
              </w:numPr>
              <w:rPr>
                <w:rFonts w:cs="Arial"/>
                <w:sz w:val="20"/>
                <w:szCs w:val="20"/>
              </w:rPr>
            </w:pPr>
            <w:r w:rsidRPr="009B7B35">
              <w:rPr>
                <w:rFonts w:cs="Arial"/>
                <w:sz w:val="20"/>
                <w:szCs w:val="20"/>
              </w:rPr>
              <w:t>not increase the exposure of people to the risk from a bushfire event, and</w:t>
            </w:r>
          </w:p>
          <w:p w14:paraId="45E71B5F" w14:textId="77777777" w:rsidR="00BE36FB" w:rsidRPr="009B7B35" w:rsidRDefault="00BE36FB" w:rsidP="00BE36FB">
            <w:pPr>
              <w:numPr>
                <w:ilvl w:val="0"/>
                <w:numId w:val="607"/>
              </w:numPr>
              <w:rPr>
                <w:rFonts w:cs="Arial"/>
                <w:sz w:val="20"/>
                <w:szCs w:val="20"/>
              </w:rPr>
            </w:pPr>
            <w:r w:rsidRPr="009B7B35">
              <w:rPr>
                <w:rFonts w:cs="Arial"/>
                <w:sz w:val="20"/>
                <w:szCs w:val="20"/>
              </w:rPr>
              <w:t>function effectively during and immediately after bushfire events.</w:t>
            </w:r>
          </w:p>
        </w:tc>
        <w:tc>
          <w:tcPr>
            <w:tcW w:w="4678" w:type="dxa"/>
          </w:tcPr>
          <w:p w14:paraId="4E11E8A6" w14:textId="77777777" w:rsidR="00BE36FB" w:rsidRPr="009B7B35" w:rsidRDefault="00BE36FB" w:rsidP="001A7107">
            <w:pPr>
              <w:pStyle w:val="TableText"/>
              <w:rPr>
                <w:rFonts w:cs="Arial"/>
              </w:rPr>
            </w:pPr>
            <w:r w:rsidRPr="009B7B35">
              <w:rPr>
                <w:rFonts w:cs="Arial"/>
              </w:rPr>
              <w:t>No acceptable outcome is nominated.</w:t>
            </w:r>
          </w:p>
        </w:tc>
      </w:tr>
    </w:tbl>
    <w:p w14:paraId="2C7545BB" w14:textId="77777777" w:rsidR="000D716B" w:rsidRDefault="000D716B" w:rsidP="001A7107">
      <w:pPr>
        <w:rPr>
          <w:rFonts w:ascii="Arial" w:hAnsi="Arial" w:cs="Arial"/>
          <w:sz w:val="20"/>
          <w:szCs w:val="20"/>
          <w:lang w:eastAsia="en-US"/>
        </w:rPr>
      </w:pPr>
    </w:p>
    <w:p w14:paraId="2A00CF48" w14:textId="77777777" w:rsidR="000D716B" w:rsidRDefault="000D716B">
      <w:pPr>
        <w:rPr>
          <w:rFonts w:ascii="Arial" w:hAnsi="Arial" w:cs="Arial"/>
          <w:sz w:val="20"/>
          <w:szCs w:val="20"/>
          <w:lang w:eastAsia="en-US"/>
        </w:rPr>
      </w:pPr>
      <w:r>
        <w:rPr>
          <w:rFonts w:ascii="Arial" w:hAnsi="Arial" w:cs="Arial"/>
          <w:sz w:val="20"/>
          <w:szCs w:val="20"/>
          <w:lang w:eastAsia="en-US"/>
        </w:rPr>
        <w:br w:type="page"/>
      </w:r>
    </w:p>
    <w:p w14:paraId="7C1CC768" w14:textId="77777777" w:rsidR="00BE36FB" w:rsidRPr="009B7B35" w:rsidRDefault="00BE36FB" w:rsidP="001A7107">
      <w:pPr>
        <w:rPr>
          <w:rFonts w:ascii="Arial" w:hAnsi="Arial" w:cs="Arial"/>
          <w:sz w:val="20"/>
          <w:szCs w:val="20"/>
          <w:lang w:eastAsia="en-US"/>
        </w:rPr>
      </w:pPr>
    </w:p>
    <w:p w14:paraId="771AE135" w14:textId="77777777" w:rsidR="00BE36FB" w:rsidRPr="009B7B35" w:rsidRDefault="00BE36FB" w:rsidP="006776DA">
      <w:pPr>
        <w:pStyle w:val="Heading3"/>
        <w:numPr>
          <w:ilvl w:val="2"/>
          <w:numId w:val="883"/>
        </w:numPr>
        <w:spacing w:before="240"/>
        <w:rPr>
          <w:rFonts w:ascii="Arial" w:hAnsi="Arial"/>
          <w:sz w:val="20"/>
          <w:szCs w:val="20"/>
        </w:rPr>
      </w:pPr>
      <w:bookmarkStart w:id="246" w:name="_Toc205367380"/>
      <w:r w:rsidRPr="009B7B35">
        <w:rPr>
          <w:rFonts w:ascii="Arial" w:hAnsi="Arial"/>
          <w:sz w:val="20"/>
          <w:szCs w:val="20"/>
        </w:rPr>
        <w:t>Coastal hazard</w:t>
      </w:r>
      <w:bookmarkEnd w:id="246"/>
    </w:p>
    <w:p w14:paraId="5D3E94FB"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Application</w:t>
      </w:r>
    </w:p>
    <w:p w14:paraId="44E63C39"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Coastal hazard overlay code. When using this code, reference should be made to section 5.3.2 and where applicable, section 5.3.3 located in Part 5.</w:t>
      </w:r>
    </w:p>
    <w:p w14:paraId="4FA124C8" w14:textId="77777777" w:rsidR="00BE36FB" w:rsidRPr="009B7B35" w:rsidRDefault="00BE36FB" w:rsidP="001A7107">
      <w:pPr>
        <w:pStyle w:val="Notes"/>
        <w:rPr>
          <w:rFonts w:cs="Arial"/>
          <w:sz w:val="20"/>
          <w:szCs w:val="20"/>
        </w:rPr>
      </w:pPr>
      <w:r w:rsidRPr="009B7B35">
        <w:rPr>
          <w:rFonts w:cs="Arial"/>
          <w:sz w:val="20"/>
          <w:szCs w:val="20"/>
        </w:rPr>
        <w:t xml:space="preserve">Note - The Coastal Hazard Overlay mapping utilised for this overlay code reflects the State Planning Policy mapping which was current as at October 2014. This mapping, now retained by Council, includes a 0.8m factor for potential sea level rise. </w:t>
      </w:r>
    </w:p>
    <w:p w14:paraId="740CF0D5"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Purpose</w:t>
      </w:r>
    </w:p>
    <w:p w14:paraId="2F8015F7" w14:textId="77777777" w:rsidR="00BE36FB" w:rsidRPr="009B7B35" w:rsidRDefault="00BE36FB" w:rsidP="00BE36FB">
      <w:pPr>
        <w:numPr>
          <w:ilvl w:val="0"/>
          <w:numId w:val="608"/>
        </w:numPr>
        <w:rPr>
          <w:rFonts w:ascii="Arial" w:hAnsi="Arial" w:cs="Arial"/>
          <w:sz w:val="20"/>
          <w:szCs w:val="20"/>
        </w:rPr>
      </w:pPr>
      <w:r w:rsidRPr="009B7B35">
        <w:rPr>
          <w:rFonts w:ascii="Arial" w:hAnsi="Arial" w:cs="Arial"/>
          <w:sz w:val="20"/>
          <w:szCs w:val="20"/>
        </w:rPr>
        <w:t>The purpose of the Coastal hazard overlay code is to:</w:t>
      </w:r>
    </w:p>
    <w:p w14:paraId="5FD75E80" w14:textId="77777777"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Protect or enhance naturally occurring coastal processes while still providing opportunities for appropriate coastal–dependant development</w:t>
      </w:r>
      <w:r w:rsidRPr="009B7B35">
        <w:rPr>
          <w:rStyle w:val="FootnoteReference"/>
          <w:rFonts w:ascii="Arial" w:hAnsi="Arial" w:cs="Arial"/>
          <w:sz w:val="20"/>
          <w:szCs w:val="20"/>
        </w:rPr>
        <w:t>2</w:t>
      </w:r>
      <w:r w:rsidRPr="009B7B35">
        <w:rPr>
          <w:rFonts w:ascii="Arial" w:hAnsi="Arial" w:cs="Arial"/>
          <w:sz w:val="20"/>
          <w:szCs w:val="20"/>
        </w:rPr>
        <w:t xml:space="preserve"> </w:t>
      </w:r>
    </w:p>
    <w:p w14:paraId="6451300F" w14:textId="77777777"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Avoid or mitigate the risks to people and property and minimise the socio–economic costs of coastal hazard impacts from permanent and temporary inundation associated with sea level rise, coastal erosion and storm tide</w:t>
      </w:r>
      <w:r w:rsidRPr="009B7B35">
        <w:rPr>
          <w:rStyle w:val="FootnoteReference"/>
          <w:rFonts w:ascii="Arial" w:hAnsi="Arial" w:cs="Arial"/>
          <w:sz w:val="20"/>
          <w:szCs w:val="20"/>
        </w:rPr>
        <w:t>1</w:t>
      </w:r>
      <w:r w:rsidRPr="009B7B35">
        <w:rPr>
          <w:rFonts w:ascii="Arial" w:hAnsi="Arial" w:cs="Arial"/>
          <w:sz w:val="20"/>
          <w:szCs w:val="20"/>
        </w:rPr>
        <w:t xml:space="preserve"> inundation.</w:t>
      </w:r>
    </w:p>
    <w:p w14:paraId="19ADAE4E" w14:textId="77777777"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Ensure integration of climate change factors in the assessment of coastal hazard impacts on development and to achieve an acceptable or tolerable level of risk to enhance the community’s resilience to present day and future coastal hazards.</w:t>
      </w:r>
    </w:p>
    <w:p w14:paraId="3704ADAB" w14:textId="77777777"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Ensure public access to and from the use of coastal and riverine foreshores is maintained or enhanced.</w:t>
      </w:r>
    </w:p>
    <w:p w14:paraId="49874FF6" w14:textId="77777777" w:rsidR="00BE36FB" w:rsidRPr="009B7B35" w:rsidRDefault="00BE36FB" w:rsidP="001A7107">
      <w:pPr>
        <w:pStyle w:val="FootnoteText"/>
        <w:rPr>
          <w:rFonts w:cs="Arial"/>
          <w:sz w:val="20"/>
        </w:rPr>
      </w:pPr>
    </w:p>
    <w:p w14:paraId="67137E36" w14:textId="77777777" w:rsidR="00BE36FB" w:rsidRPr="009B7B35" w:rsidRDefault="00BE36FB" w:rsidP="00BE36FB">
      <w:pPr>
        <w:pStyle w:val="ListParagraph"/>
        <w:numPr>
          <w:ilvl w:val="0"/>
          <w:numId w:val="696"/>
        </w:numPr>
        <w:rPr>
          <w:rFonts w:cs="Arial"/>
          <w:szCs w:val="20"/>
        </w:rPr>
      </w:pPr>
      <w:r w:rsidRPr="009B7B35">
        <w:rPr>
          <w:rFonts w:cs="Arial"/>
          <w:szCs w:val="20"/>
        </w:rPr>
        <w:t xml:space="preserve">The purpose of the code will be achieved through the following overall outcomes: </w:t>
      </w:r>
    </w:p>
    <w:p w14:paraId="71DDC265" w14:textId="77777777"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Development maintains the erosion prone area and the foreshore in a natural state allowing for natural coastal processes and fluctuations and, maintains or enhances the protective function of landforms and vegetation that can mitigate the risks of coastal hazard impacts.</w:t>
      </w:r>
    </w:p>
    <w:p w14:paraId="6377824B" w14:textId="77777777"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Development does not occur within the mapped coastal hazard areas unless:</w:t>
      </w:r>
    </w:p>
    <w:p w14:paraId="7ACE5CC5" w14:textId="77777777" w:rsidR="00BE36FB" w:rsidRPr="009B7B35" w:rsidRDefault="00BE36FB" w:rsidP="00BE36FB">
      <w:pPr>
        <w:numPr>
          <w:ilvl w:val="2"/>
          <w:numId w:val="696"/>
        </w:numPr>
        <w:rPr>
          <w:rFonts w:ascii="Arial" w:hAnsi="Arial" w:cs="Arial"/>
          <w:sz w:val="20"/>
          <w:szCs w:val="20"/>
        </w:rPr>
      </w:pPr>
      <w:r w:rsidRPr="009B7B35">
        <w:rPr>
          <w:rFonts w:ascii="Arial" w:hAnsi="Arial" w:cs="Arial"/>
          <w:sz w:val="20"/>
          <w:szCs w:val="20"/>
        </w:rPr>
        <w:t>the development cannot be feasibly located elsewhere and it is a coastal–dependent development and is located, designed and constructed to withstand coastal hazard impacts and allowing for a sea level rise factor of 0.80m, or</w:t>
      </w:r>
    </w:p>
    <w:p w14:paraId="59C9F67D" w14:textId="77777777" w:rsidR="00BE36FB" w:rsidRPr="009B7B35" w:rsidRDefault="00BE36FB" w:rsidP="00BE36FB">
      <w:pPr>
        <w:numPr>
          <w:ilvl w:val="2"/>
          <w:numId w:val="696"/>
        </w:numPr>
        <w:rPr>
          <w:rFonts w:ascii="Arial" w:hAnsi="Arial" w:cs="Arial"/>
          <w:sz w:val="20"/>
          <w:szCs w:val="20"/>
        </w:rPr>
      </w:pPr>
      <w:r w:rsidRPr="009B7B35">
        <w:rPr>
          <w:rFonts w:ascii="Arial" w:hAnsi="Arial" w:cs="Arial"/>
          <w:sz w:val="20"/>
          <w:szCs w:val="20"/>
        </w:rPr>
        <w:t>the development is temporary, readily relocatable or able to be abandoned development</w:t>
      </w:r>
      <w:r w:rsidRPr="009B7B35">
        <w:rPr>
          <w:rStyle w:val="FootnoteReference"/>
          <w:rFonts w:ascii="Arial" w:hAnsi="Arial" w:cs="Arial"/>
          <w:sz w:val="20"/>
          <w:szCs w:val="20"/>
        </w:rPr>
        <w:t>3</w:t>
      </w:r>
      <w:r w:rsidRPr="009B7B35">
        <w:rPr>
          <w:rFonts w:ascii="Arial" w:hAnsi="Arial" w:cs="Arial"/>
          <w:sz w:val="20"/>
          <w:szCs w:val="20"/>
        </w:rPr>
        <w:t>.</w:t>
      </w:r>
    </w:p>
    <w:p w14:paraId="3401FC3E" w14:textId="77777777"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Redevelopment of an existing permanent building in the mapped coastal hazard areas only occurs where:</w:t>
      </w:r>
    </w:p>
    <w:p w14:paraId="4B36A067" w14:textId="77777777" w:rsidR="00BE36FB" w:rsidRPr="009B7B35" w:rsidRDefault="00BE36FB" w:rsidP="00BE36FB">
      <w:pPr>
        <w:numPr>
          <w:ilvl w:val="2"/>
          <w:numId w:val="696"/>
        </w:numPr>
        <w:rPr>
          <w:rFonts w:ascii="Arial" w:hAnsi="Arial" w:cs="Arial"/>
          <w:sz w:val="20"/>
          <w:szCs w:val="20"/>
        </w:rPr>
      </w:pPr>
      <w:r w:rsidRPr="009B7B35">
        <w:rPr>
          <w:rFonts w:ascii="Arial" w:hAnsi="Arial" w:cs="Arial"/>
          <w:sz w:val="20"/>
          <w:szCs w:val="20"/>
        </w:rPr>
        <w:t>coastal hazard risks can be avoided, or</w:t>
      </w:r>
    </w:p>
    <w:p w14:paraId="09B46D02" w14:textId="77777777" w:rsidR="00BE36FB" w:rsidRPr="009B7B35" w:rsidRDefault="00BE36FB" w:rsidP="00BE36FB">
      <w:pPr>
        <w:numPr>
          <w:ilvl w:val="2"/>
          <w:numId w:val="696"/>
        </w:numPr>
        <w:rPr>
          <w:rFonts w:ascii="Arial" w:hAnsi="Arial" w:cs="Arial"/>
          <w:sz w:val="20"/>
          <w:szCs w:val="20"/>
        </w:rPr>
      </w:pPr>
      <w:r w:rsidRPr="009B7B35">
        <w:rPr>
          <w:rFonts w:ascii="Arial" w:hAnsi="Arial" w:cs="Arial"/>
          <w:sz w:val="20"/>
          <w:szCs w:val="20"/>
        </w:rPr>
        <w:t>risks can be mitigated to achieve an acceptable or tolerable</w:t>
      </w:r>
      <w:r w:rsidRPr="009B7B35">
        <w:rPr>
          <w:rStyle w:val="FootnoteReference"/>
          <w:rFonts w:ascii="Arial" w:hAnsi="Arial" w:cs="Arial"/>
          <w:sz w:val="20"/>
          <w:szCs w:val="20"/>
        </w:rPr>
        <w:t>4</w:t>
      </w:r>
      <w:r w:rsidRPr="009B7B35">
        <w:rPr>
          <w:rFonts w:ascii="Arial" w:hAnsi="Arial" w:cs="Arial"/>
          <w:sz w:val="20"/>
          <w:szCs w:val="20"/>
        </w:rPr>
        <w:t xml:space="preserve"> level of risk that maintains the safety of people from present day and future coastal hazard impacts.</w:t>
      </w:r>
    </w:p>
    <w:p w14:paraId="69C6942E" w14:textId="77777777"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Sensitive land uses</w:t>
      </w:r>
      <w:r w:rsidRPr="009B7B35">
        <w:rPr>
          <w:rStyle w:val="FootnoteReference"/>
          <w:rFonts w:ascii="Arial" w:hAnsi="Arial" w:cs="Arial"/>
          <w:sz w:val="20"/>
          <w:szCs w:val="20"/>
        </w:rPr>
        <w:t>5</w:t>
      </w:r>
      <w:r w:rsidRPr="009B7B35">
        <w:rPr>
          <w:rFonts w:ascii="Arial" w:hAnsi="Arial" w:cs="Arial"/>
          <w:sz w:val="20"/>
          <w:szCs w:val="20"/>
        </w:rPr>
        <w:t xml:space="preserve"> do not occur in the mapped coastal hazard areas or on land identified as a high or medium storm tide inundation area</w:t>
      </w:r>
    </w:p>
    <w:p w14:paraId="022F9A3B" w14:textId="77777777"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Development maintains or enhances public access to the foreshore.</w:t>
      </w:r>
    </w:p>
    <w:p w14:paraId="773C8406" w14:textId="77777777"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Development supports, and does not unduly burden, disaster management response or recovery capacity and capabilities.</w:t>
      </w:r>
    </w:p>
    <w:p w14:paraId="67A1DC08" w14:textId="77777777"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Development directly, indirectly and cumulatively avoids an increase in the severity of coastal hazards and the potential for damage to the site or to other properties.</w:t>
      </w:r>
    </w:p>
    <w:p w14:paraId="4783076E" w14:textId="77777777"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The potential for the release of hazardous materials</w:t>
      </w:r>
      <w:r w:rsidRPr="009B7B35">
        <w:rPr>
          <w:rStyle w:val="FootnoteReference"/>
          <w:rFonts w:ascii="Arial" w:hAnsi="Arial" w:cs="Arial"/>
          <w:sz w:val="20"/>
          <w:szCs w:val="20"/>
        </w:rPr>
        <w:t>6</w:t>
      </w:r>
      <w:r w:rsidRPr="009B7B35">
        <w:rPr>
          <w:rFonts w:ascii="Arial" w:hAnsi="Arial" w:cs="Arial"/>
          <w:sz w:val="20"/>
          <w:szCs w:val="20"/>
        </w:rPr>
        <w:t xml:space="preserve"> is avoided. </w:t>
      </w:r>
    </w:p>
    <w:p w14:paraId="08C0EFB7" w14:textId="77777777" w:rsidR="00BE36FB" w:rsidRPr="009B7B35" w:rsidRDefault="00BE36FB" w:rsidP="00BE36FB">
      <w:pPr>
        <w:numPr>
          <w:ilvl w:val="1"/>
          <w:numId w:val="696"/>
        </w:numPr>
        <w:rPr>
          <w:rFonts w:ascii="Arial" w:hAnsi="Arial" w:cs="Arial"/>
          <w:sz w:val="20"/>
          <w:szCs w:val="20"/>
        </w:rPr>
      </w:pPr>
      <w:r w:rsidRPr="009B7B35">
        <w:rPr>
          <w:rFonts w:ascii="Arial" w:hAnsi="Arial" w:cs="Arial"/>
          <w:sz w:val="20"/>
          <w:szCs w:val="20"/>
        </w:rPr>
        <w:t xml:space="preserve">Community infrastructure is located and designed to function effectively during and immediately after a coastal hazard event. </w:t>
      </w:r>
    </w:p>
    <w:p w14:paraId="6CB8F068" w14:textId="77777777" w:rsidR="00BE36FB" w:rsidRPr="009B7B35" w:rsidRDefault="00BE36FB" w:rsidP="001A7107">
      <w:pPr>
        <w:ind w:left="1134"/>
        <w:rPr>
          <w:rFonts w:ascii="Arial" w:hAnsi="Arial" w:cs="Arial"/>
          <w:sz w:val="20"/>
          <w:szCs w:val="20"/>
        </w:rPr>
      </w:pPr>
    </w:p>
    <w:p w14:paraId="0DEBB714" w14:textId="77777777" w:rsidR="00BE36FB" w:rsidRPr="009B7B35" w:rsidRDefault="00BE36FB" w:rsidP="001A7107">
      <w:pPr>
        <w:pStyle w:val="FootnoteText"/>
        <w:rPr>
          <w:rFonts w:cs="Arial"/>
          <w:sz w:val="20"/>
        </w:rPr>
      </w:pPr>
      <w:r w:rsidRPr="009B7B35">
        <w:rPr>
          <w:rStyle w:val="FootnoteReference"/>
          <w:rFonts w:cs="Arial"/>
          <w:sz w:val="20"/>
        </w:rPr>
        <w:t>1</w:t>
      </w:r>
      <w:r w:rsidRPr="009B7B35">
        <w:rPr>
          <w:rFonts w:cs="Arial"/>
          <w:sz w:val="20"/>
        </w:rPr>
        <w:t xml:space="preserve"> The term 'storm tide' is used to describe the temporary inundation of land by abnormally high ocean levels caused by cyclones and severe storms and 'AEP' means annual exceedance probability. The defined high storm tide level is 2m above the highest astronomical tide and includes a sea level rise allowance of 0.8m. The medium storm tide level is 1m above the highest astronomical tide level.</w:t>
      </w:r>
    </w:p>
    <w:p w14:paraId="26DB1FF5" w14:textId="77777777" w:rsidR="00BE36FB" w:rsidRPr="009B7B35" w:rsidRDefault="00BE36FB" w:rsidP="001A7107">
      <w:pPr>
        <w:pStyle w:val="FootnoteText"/>
        <w:rPr>
          <w:rFonts w:cs="Arial"/>
          <w:sz w:val="20"/>
        </w:rPr>
      </w:pPr>
      <w:r w:rsidRPr="009B7B35">
        <w:rPr>
          <w:rStyle w:val="FootnoteReference"/>
          <w:rFonts w:cs="Arial"/>
          <w:sz w:val="20"/>
        </w:rPr>
        <w:t>2</w:t>
      </w:r>
      <w:r w:rsidRPr="009B7B35">
        <w:rPr>
          <w:rFonts w:cs="Arial"/>
          <w:sz w:val="20"/>
        </w:rPr>
        <w:t xml:space="preserve">The term 'coastal-dependent development' is defined in the glossary of the relevant </w:t>
      </w:r>
      <w:r w:rsidRPr="009B7B35">
        <w:rPr>
          <w:rStyle w:val="StyleNotesItalic2"/>
          <w:rFonts w:cs="Arial"/>
          <w:sz w:val="20"/>
        </w:rPr>
        <w:t>State Planning Policy</w:t>
      </w:r>
      <w:r w:rsidRPr="009B7B35">
        <w:rPr>
          <w:rFonts w:cs="Arial"/>
          <w:sz w:val="20"/>
        </w:rPr>
        <w:t>.</w:t>
      </w:r>
    </w:p>
    <w:p w14:paraId="3F65BB7E" w14:textId="77777777" w:rsidR="00BE36FB" w:rsidRPr="009B7B35" w:rsidRDefault="00BE36FB" w:rsidP="001A7107">
      <w:pPr>
        <w:pStyle w:val="FootnoteText"/>
        <w:rPr>
          <w:rFonts w:cs="Arial"/>
          <w:sz w:val="20"/>
        </w:rPr>
      </w:pPr>
      <w:r w:rsidRPr="009B7B35">
        <w:rPr>
          <w:rStyle w:val="FootnoteReference"/>
          <w:rFonts w:cs="Arial"/>
          <w:sz w:val="20"/>
        </w:rPr>
        <w:t>3</w:t>
      </w:r>
      <w:r w:rsidRPr="009B7B35">
        <w:rPr>
          <w:rFonts w:cs="Arial"/>
          <w:sz w:val="20"/>
        </w:rPr>
        <w:t xml:space="preserve"> The term 'temporary, readily relocatable or able to be abandoned development' includes, but is not limited to, temporary accommodation such as tents or demountable buildings, picnic areas and associated picnic tables and barbeques, market stalls or stall venues, surf life-saving observation towers, equipment sheds, recreation reserves or walking and biking trails.</w:t>
      </w:r>
    </w:p>
    <w:p w14:paraId="3CD6A12C" w14:textId="77777777" w:rsidR="00BE36FB" w:rsidRPr="009B7B35" w:rsidRDefault="00BE36FB" w:rsidP="001A7107">
      <w:pPr>
        <w:pStyle w:val="FootnoteText"/>
        <w:rPr>
          <w:rFonts w:cs="Arial"/>
          <w:sz w:val="20"/>
        </w:rPr>
      </w:pPr>
      <w:r w:rsidRPr="009B7B35">
        <w:rPr>
          <w:rStyle w:val="FootnoteReference"/>
          <w:rFonts w:cs="Arial"/>
          <w:sz w:val="20"/>
        </w:rPr>
        <w:t>4</w:t>
      </w:r>
      <w:r w:rsidRPr="009B7B35">
        <w:rPr>
          <w:rFonts w:cs="Arial"/>
          <w:sz w:val="20"/>
        </w:rPr>
        <w:t xml:space="preserve"> The terms 'acceptable risk' and tolerable risk' are defined in the relevant </w:t>
      </w:r>
      <w:r w:rsidRPr="009B7B35">
        <w:rPr>
          <w:rStyle w:val="StyleNotesItalic2"/>
          <w:rFonts w:cs="Arial"/>
          <w:sz w:val="20"/>
        </w:rPr>
        <w:t>State Planning Policy Guideline - Guidance on flood, bushfire and landslide hazards</w:t>
      </w:r>
      <w:r w:rsidRPr="009B7B35">
        <w:rPr>
          <w:rFonts w:cs="Arial"/>
          <w:sz w:val="20"/>
        </w:rPr>
        <w:t>.</w:t>
      </w:r>
    </w:p>
    <w:p w14:paraId="10F1EB01" w14:textId="77777777" w:rsidR="00BE36FB" w:rsidRPr="009B7B35" w:rsidRDefault="00BE36FB" w:rsidP="001A7107">
      <w:pPr>
        <w:pStyle w:val="FootnoteText"/>
        <w:ind w:left="567" w:hanging="567"/>
        <w:rPr>
          <w:rFonts w:cs="Arial"/>
          <w:sz w:val="20"/>
        </w:rPr>
      </w:pPr>
      <w:r w:rsidRPr="009B7B35">
        <w:rPr>
          <w:rStyle w:val="FootnoteReference"/>
          <w:rFonts w:cs="Arial"/>
          <w:sz w:val="20"/>
        </w:rPr>
        <w:t>5</w:t>
      </w:r>
      <w:r w:rsidRPr="009B7B35">
        <w:rPr>
          <w:rFonts w:cs="Arial"/>
          <w:sz w:val="20"/>
        </w:rPr>
        <w:t xml:space="preserve"> The term 'sensitive land use' is defined in the glossary of the relevant </w:t>
      </w:r>
      <w:r w:rsidRPr="009B7B35">
        <w:rPr>
          <w:rStyle w:val="StyleNotesItalic2"/>
          <w:rFonts w:cs="Arial"/>
          <w:sz w:val="20"/>
        </w:rPr>
        <w:t>State Planning Policy.</w:t>
      </w:r>
    </w:p>
    <w:p w14:paraId="2BD14CEC" w14:textId="77777777" w:rsidR="00BE36FB" w:rsidRPr="009B7B35" w:rsidRDefault="00BE36FB" w:rsidP="001A7107">
      <w:pPr>
        <w:pStyle w:val="FootnoteText"/>
        <w:ind w:left="567" w:hanging="567"/>
        <w:rPr>
          <w:rFonts w:cs="Arial"/>
          <w:sz w:val="20"/>
        </w:rPr>
      </w:pPr>
      <w:r w:rsidRPr="009B7B35">
        <w:rPr>
          <w:rStyle w:val="FootnoteReference"/>
          <w:rFonts w:cs="Arial"/>
          <w:sz w:val="20"/>
        </w:rPr>
        <w:t>6</w:t>
      </w:r>
      <w:r w:rsidRPr="009B7B35">
        <w:rPr>
          <w:rFonts w:cs="Arial"/>
          <w:sz w:val="20"/>
        </w:rPr>
        <w:t xml:space="preserve"> The term 'hazardous material' is defined in the glossary of the relevant </w:t>
      </w:r>
      <w:r w:rsidRPr="009B7B35">
        <w:rPr>
          <w:rStyle w:val="StyleNotesItalic2"/>
          <w:rFonts w:cs="Arial"/>
          <w:sz w:val="20"/>
        </w:rPr>
        <w:t>State Planning Policy.</w:t>
      </w:r>
    </w:p>
    <w:p w14:paraId="1780BF1F" w14:textId="77777777" w:rsidR="00BE36FB" w:rsidRPr="009B7B35" w:rsidRDefault="00BE36FB" w:rsidP="001A7107">
      <w:pPr>
        <w:ind w:left="1134"/>
        <w:rPr>
          <w:rFonts w:ascii="Arial" w:hAnsi="Arial" w:cs="Arial"/>
          <w:sz w:val="20"/>
          <w:szCs w:val="20"/>
        </w:rPr>
      </w:pPr>
    </w:p>
    <w:p w14:paraId="4130C361"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Assessment benchmarks</w:t>
      </w:r>
    </w:p>
    <w:p w14:paraId="06C44625" w14:textId="77777777" w:rsidR="00BE36FB" w:rsidRPr="009B7B35" w:rsidRDefault="00BE36FB" w:rsidP="001A7107">
      <w:pPr>
        <w:pStyle w:val="Heading5"/>
        <w:numPr>
          <w:ilvl w:val="0"/>
          <w:numId w:val="0"/>
        </w:numPr>
        <w:rPr>
          <w:rFonts w:cs="Arial"/>
          <w:szCs w:val="20"/>
        </w:rPr>
      </w:pPr>
      <w:r w:rsidRPr="009B7B35">
        <w:rPr>
          <w:rFonts w:cs="Arial"/>
          <w:szCs w:val="20"/>
        </w:rPr>
        <w:t xml:space="preserve">Table 8.2.5.3.1— Accepted development subject to requirements </w:t>
      </w:r>
    </w:p>
    <w:tbl>
      <w:tblPr>
        <w:tblStyle w:val="Tablestyle"/>
        <w:tblW w:w="0" w:type="auto"/>
        <w:tblLook w:val="0620" w:firstRow="1" w:lastRow="0" w:firstColumn="0" w:lastColumn="0" w:noHBand="1" w:noVBand="1"/>
      </w:tblPr>
      <w:tblGrid>
        <w:gridCol w:w="4168"/>
        <w:gridCol w:w="4195"/>
      </w:tblGrid>
      <w:tr w:rsidR="00BE36FB" w:rsidRPr="009B7B35" w14:paraId="26DC6EA3" w14:textId="77777777" w:rsidTr="001A7107">
        <w:trPr>
          <w:cnfStyle w:val="100000000000" w:firstRow="1" w:lastRow="0" w:firstColumn="0" w:lastColumn="0" w:oddVBand="0" w:evenVBand="0" w:oddHBand="0" w:evenHBand="0" w:firstRowFirstColumn="0" w:firstRowLastColumn="0" w:lastRowFirstColumn="0" w:lastRowLastColumn="0"/>
        </w:trPr>
        <w:tc>
          <w:tcPr>
            <w:tcW w:w="4678" w:type="dxa"/>
          </w:tcPr>
          <w:p w14:paraId="32C3AE1E"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17FB82FA"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5C0BEA65" w14:textId="77777777" w:rsidTr="001A7107">
        <w:tc>
          <w:tcPr>
            <w:tcW w:w="4678" w:type="dxa"/>
            <w:vMerge w:val="restart"/>
          </w:tcPr>
          <w:p w14:paraId="718D376E" w14:textId="77777777" w:rsidR="00BE36FB" w:rsidRPr="009B7B35" w:rsidRDefault="00BE36FB" w:rsidP="001A7107">
            <w:pPr>
              <w:pStyle w:val="TableText"/>
              <w:rPr>
                <w:rFonts w:cs="Arial"/>
                <w:b/>
              </w:rPr>
            </w:pPr>
            <w:r w:rsidRPr="009B7B35">
              <w:rPr>
                <w:rFonts w:cs="Arial"/>
                <w:b/>
              </w:rPr>
              <w:t>PO1</w:t>
            </w:r>
          </w:p>
          <w:p w14:paraId="51947D75" w14:textId="77777777" w:rsidR="00BE36FB" w:rsidRPr="009B7B35" w:rsidRDefault="00BE36FB" w:rsidP="001A7107">
            <w:pPr>
              <w:pStyle w:val="TableText"/>
              <w:rPr>
                <w:rFonts w:cs="Arial"/>
              </w:rPr>
            </w:pPr>
            <w:r w:rsidRPr="009B7B35">
              <w:rPr>
                <w:rFonts w:cs="Arial"/>
              </w:rPr>
              <w:t>Building work is located and designed to protect people and property from coastal hazards and avoids the need for coastal protection works.</w:t>
            </w:r>
          </w:p>
        </w:tc>
        <w:tc>
          <w:tcPr>
            <w:tcW w:w="4678" w:type="dxa"/>
          </w:tcPr>
          <w:p w14:paraId="489DCD24" w14:textId="77777777" w:rsidR="00BE36FB" w:rsidRPr="009B7B35" w:rsidRDefault="00BE36FB" w:rsidP="001A7107">
            <w:pPr>
              <w:pStyle w:val="TableText"/>
              <w:rPr>
                <w:rFonts w:cs="Arial"/>
                <w:b/>
              </w:rPr>
            </w:pPr>
            <w:r w:rsidRPr="009B7B35">
              <w:rPr>
                <w:rFonts w:cs="Arial"/>
                <w:b/>
              </w:rPr>
              <w:t>AO1.1</w:t>
            </w:r>
          </w:p>
          <w:p w14:paraId="68D3BD89" w14:textId="77777777" w:rsidR="00BE36FB" w:rsidRPr="009B7B35" w:rsidRDefault="00BE36FB" w:rsidP="001A7107">
            <w:pPr>
              <w:pStyle w:val="TableText"/>
              <w:rPr>
                <w:rFonts w:cs="Arial"/>
              </w:rPr>
            </w:pPr>
            <w:r w:rsidRPr="009B7B35">
              <w:rPr>
                <w:rFonts w:cs="Arial"/>
              </w:rPr>
              <w:t>All buildings and structures are located landward of the erosion prone area</w:t>
            </w:r>
          </w:p>
          <w:p w14:paraId="1E1B1A59" w14:textId="77777777" w:rsidR="00BE36FB" w:rsidRPr="009B7B35" w:rsidRDefault="00BE36FB" w:rsidP="001A7107">
            <w:pPr>
              <w:pStyle w:val="TableText"/>
              <w:rPr>
                <w:rFonts w:cs="Arial"/>
              </w:rPr>
            </w:pPr>
            <w:r w:rsidRPr="009B7B35">
              <w:rPr>
                <w:rFonts w:cs="Arial"/>
              </w:rPr>
              <w:t>OR</w:t>
            </w:r>
          </w:p>
          <w:p w14:paraId="10CE7930" w14:textId="77777777" w:rsidR="00BE36FB" w:rsidRPr="009B7B35" w:rsidRDefault="00BE36FB" w:rsidP="001A7107">
            <w:pPr>
              <w:pStyle w:val="TableText"/>
              <w:rPr>
                <w:rFonts w:cs="Arial"/>
              </w:rPr>
            </w:pPr>
            <w:r w:rsidRPr="009B7B35">
              <w:rPr>
                <w:rFonts w:cs="Arial"/>
              </w:rPr>
              <w:t>Where an extension or redevelopment of an existing building the extension or rebuilding is located landward of the erosion prone area or relocated as far landward as practical.</w:t>
            </w:r>
          </w:p>
        </w:tc>
      </w:tr>
      <w:tr w:rsidR="00BE36FB" w:rsidRPr="009B7B35" w14:paraId="5F2771EA" w14:textId="77777777" w:rsidTr="001A7107">
        <w:tc>
          <w:tcPr>
            <w:tcW w:w="4678" w:type="dxa"/>
            <w:vMerge/>
          </w:tcPr>
          <w:p w14:paraId="502C1B3A" w14:textId="77777777" w:rsidR="00BE36FB" w:rsidRPr="009B7B35" w:rsidRDefault="00BE36FB" w:rsidP="001A7107">
            <w:pPr>
              <w:pStyle w:val="TableText"/>
              <w:rPr>
                <w:rFonts w:cs="Arial"/>
              </w:rPr>
            </w:pPr>
          </w:p>
        </w:tc>
        <w:tc>
          <w:tcPr>
            <w:tcW w:w="4678" w:type="dxa"/>
          </w:tcPr>
          <w:p w14:paraId="471D678C" w14:textId="77777777" w:rsidR="00BE36FB" w:rsidRPr="009B7B35" w:rsidRDefault="00BE36FB" w:rsidP="001A7107">
            <w:pPr>
              <w:pStyle w:val="TableText"/>
              <w:rPr>
                <w:rFonts w:cs="Arial"/>
                <w:b/>
              </w:rPr>
            </w:pPr>
            <w:r w:rsidRPr="009B7B35">
              <w:rPr>
                <w:rFonts w:cs="Arial"/>
                <w:b/>
              </w:rPr>
              <w:t>AO1.2</w:t>
            </w:r>
          </w:p>
          <w:p w14:paraId="4E1A39C7" w14:textId="77777777" w:rsidR="00BE36FB" w:rsidRPr="009B7B35" w:rsidRDefault="00BE36FB" w:rsidP="001A7107">
            <w:pPr>
              <w:pStyle w:val="TableText"/>
              <w:rPr>
                <w:rFonts w:cs="Arial"/>
              </w:rPr>
            </w:pPr>
            <w:r w:rsidRPr="009B7B35">
              <w:rPr>
                <w:rFonts w:cs="Arial"/>
              </w:rPr>
              <w:t>The floor levels of habitable rooms have a minimum floor level at least 1000mm above the high storm tide level.</w:t>
            </w:r>
          </w:p>
        </w:tc>
      </w:tr>
      <w:tr w:rsidR="00BE36FB" w:rsidRPr="009B7B35" w14:paraId="598BBC1C" w14:textId="77777777" w:rsidTr="001A7107">
        <w:tc>
          <w:tcPr>
            <w:tcW w:w="4678" w:type="dxa"/>
            <w:vMerge/>
          </w:tcPr>
          <w:p w14:paraId="074A0A0F" w14:textId="77777777" w:rsidR="00BE36FB" w:rsidRPr="009B7B35" w:rsidRDefault="00BE36FB" w:rsidP="001A7107">
            <w:pPr>
              <w:pStyle w:val="TableText"/>
              <w:rPr>
                <w:rFonts w:cs="Arial"/>
              </w:rPr>
            </w:pPr>
          </w:p>
        </w:tc>
        <w:tc>
          <w:tcPr>
            <w:tcW w:w="4678" w:type="dxa"/>
          </w:tcPr>
          <w:p w14:paraId="3E709214" w14:textId="77777777" w:rsidR="00BE36FB" w:rsidRPr="009B7B35" w:rsidRDefault="00BE36FB" w:rsidP="001A7107">
            <w:pPr>
              <w:pStyle w:val="TableText"/>
              <w:rPr>
                <w:rFonts w:cs="Arial"/>
                <w:b/>
              </w:rPr>
            </w:pPr>
            <w:r w:rsidRPr="009B7B35">
              <w:rPr>
                <w:rFonts w:cs="Arial"/>
                <w:b/>
              </w:rPr>
              <w:t>AO1.3</w:t>
            </w:r>
          </w:p>
          <w:p w14:paraId="7FA0DEAE" w14:textId="77777777" w:rsidR="00BE36FB" w:rsidRPr="009B7B35" w:rsidRDefault="00BE36FB" w:rsidP="001A7107">
            <w:pPr>
              <w:pStyle w:val="TableText"/>
              <w:rPr>
                <w:rFonts w:cs="Arial"/>
              </w:rPr>
            </w:pPr>
            <w:r w:rsidRPr="009B7B35">
              <w:rPr>
                <w:rFonts w:cs="Arial"/>
              </w:rPr>
              <w:t>Development does not involve the clearing of native coastal vegetation or coastal wetlands, particularly mangroves.</w:t>
            </w:r>
          </w:p>
        </w:tc>
      </w:tr>
    </w:tbl>
    <w:p w14:paraId="60BC6499" w14:textId="77777777" w:rsidR="00BE36FB" w:rsidRPr="009B7B35" w:rsidRDefault="00BE36FB" w:rsidP="001A7107">
      <w:pPr>
        <w:pStyle w:val="FootnoteText"/>
        <w:rPr>
          <w:rFonts w:cs="Arial"/>
          <w:sz w:val="20"/>
        </w:rPr>
      </w:pPr>
    </w:p>
    <w:p w14:paraId="366C2709" w14:textId="77777777" w:rsidR="00BE36FB" w:rsidRPr="009B7B35" w:rsidRDefault="00BE36FB" w:rsidP="001A7107">
      <w:pPr>
        <w:pStyle w:val="Heading5"/>
        <w:numPr>
          <w:ilvl w:val="0"/>
          <w:numId w:val="0"/>
        </w:numPr>
        <w:rPr>
          <w:rFonts w:cs="Arial"/>
          <w:szCs w:val="20"/>
        </w:rPr>
      </w:pPr>
      <w:r w:rsidRPr="009B7B35">
        <w:rPr>
          <w:rFonts w:cs="Arial"/>
          <w:szCs w:val="20"/>
        </w:rPr>
        <w:t>Table 8.2.5.3.2—Assessable development</w:t>
      </w:r>
    </w:p>
    <w:tbl>
      <w:tblPr>
        <w:tblStyle w:val="Tablestyle"/>
        <w:tblW w:w="0" w:type="auto"/>
        <w:tblLook w:val="0620" w:firstRow="1" w:lastRow="0" w:firstColumn="0" w:lastColumn="0" w:noHBand="1" w:noVBand="1"/>
      </w:tblPr>
      <w:tblGrid>
        <w:gridCol w:w="4191"/>
        <w:gridCol w:w="25"/>
        <w:gridCol w:w="4147"/>
      </w:tblGrid>
      <w:tr w:rsidR="00BE36FB" w:rsidRPr="009B7B35" w14:paraId="04EEB424" w14:textId="77777777" w:rsidTr="001A7107">
        <w:trPr>
          <w:cnfStyle w:val="100000000000" w:firstRow="1" w:lastRow="0" w:firstColumn="0" w:lastColumn="0" w:oddVBand="0" w:evenVBand="0" w:oddHBand="0" w:evenHBand="0" w:firstRowFirstColumn="0" w:firstRowLastColumn="0" w:lastRowFirstColumn="0" w:lastRowLastColumn="0"/>
          <w:tblHeader/>
        </w:trPr>
        <w:tc>
          <w:tcPr>
            <w:tcW w:w="4678" w:type="dxa"/>
          </w:tcPr>
          <w:p w14:paraId="6E225BDC" w14:textId="77777777" w:rsidR="00BE36FB" w:rsidRPr="009B7B35" w:rsidRDefault="00BE36FB" w:rsidP="001A7107">
            <w:pPr>
              <w:rPr>
                <w:rFonts w:cs="Arial"/>
                <w:sz w:val="20"/>
                <w:szCs w:val="20"/>
              </w:rPr>
            </w:pPr>
            <w:r w:rsidRPr="009B7B35">
              <w:rPr>
                <w:rFonts w:cs="Arial"/>
                <w:sz w:val="20"/>
                <w:szCs w:val="20"/>
              </w:rPr>
              <w:t>Performance outcomes</w:t>
            </w:r>
          </w:p>
        </w:tc>
        <w:tc>
          <w:tcPr>
            <w:tcW w:w="4678" w:type="dxa"/>
            <w:gridSpan w:val="2"/>
          </w:tcPr>
          <w:p w14:paraId="372AEDB9" w14:textId="77777777" w:rsidR="00BE36FB" w:rsidRPr="009B7B35" w:rsidRDefault="00BE36FB" w:rsidP="001A7107">
            <w:pPr>
              <w:rPr>
                <w:rFonts w:cs="Arial"/>
                <w:sz w:val="20"/>
                <w:szCs w:val="20"/>
              </w:rPr>
            </w:pPr>
            <w:r w:rsidRPr="009B7B35">
              <w:rPr>
                <w:rFonts w:cs="Arial"/>
                <w:sz w:val="20"/>
                <w:szCs w:val="20"/>
              </w:rPr>
              <w:t>Acceptable outcomes</w:t>
            </w:r>
          </w:p>
        </w:tc>
      </w:tr>
      <w:tr w:rsidR="00BE36FB" w:rsidRPr="009B7B35" w14:paraId="08E72A7E" w14:textId="77777777" w:rsidTr="001A7107">
        <w:tc>
          <w:tcPr>
            <w:tcW w:w="9356" w:type="dxa"/>
            <w:gridSpan w:val="3"/>
            <w:shd w:val="clear" w:color="auto" w:fill="BFBFBF" w:themeFill="background1" w:themeFillShade="BF"/>
          </w:tcPr>
          <w:p w14:paraId="54818C10" w14:textId="77777777" w:rsidR="00BE36FB" w:rsidRPr="009B7B35" w:rsidRDefault="00BE36FB" w:rsidP="001A7107">
            <w:pPr>
              <w:pStyle w:val="Tableheading"/>
              <w:rPr>
                <w:rFonts w:ascii="Arial" w:hAnsi="Arial" w:cs="Arial"/>
                <w:szCs w:val="20"/>
              </w:rPr>
            </w:pPr>
            <w:r w:rsidRPr="009B7B35">
              <w:rPr>
                <w:rFonts w:ascii="Arial" w:hAnsi="Arial" w:cs="Arial"/>
                <w:szCs w:val="20"/>
              </w:rPr>
              <w:t>Development within an erosion prone area</w:t>
            </w:r>
          </w:p>
        </w:tc>
      </w:tr>
      <w:tr w:rsidR="00BE36FB" w:rsidRPr="009B7B35" w14:paraId="54956489" w14:textId="77777777" w:rsidTr="001A710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6" w:type="dxa"/>
            <w:gridSpan w:val="2"/>
          </w:tcPr>
          <w:p w14:paraId="2755CDBC" w14:textId="77777777" w:rsidR="00BE36FB" w:rsidRPr="009B7B35" w:rsidRDefault="00BE36FB" w:rsidP="001A7107">
            <w:pPr>
              <w:pStyle w:val="TableText"/>
              <w:rPr>
                <w:rFonts w:cs="Arial"/>
                <w:b/>
              </w:rPr>
            </w:pPr>
            <w:r w:rsidRPr="009B7B35">
              <w:rPr>
                <w:rFonts w:cs="Arial"/>
                <w:b/>
              </w:rPr>
              <w:t>PO2</w:t>
            </w:r>
          </w:p>
          <w:p w14:paraId="21C27459" w14:textId="77777777" w:rsidR="00BE36FB" w:rsidRPr="009B7B35" w:rsidRDefault="00BE36FB">
            <w:pPr>
              <w:pStyle w:val="TableText"/>
              <w:rPr>
                <w:rFonts w:cs="Arial"/>
              </w:rPr>
            </w:pPr>
            <w:r w:rsidRPr="009B7B35">
              <w:rPr>
                <w:rFonts w:cs="Arial"/>
              </w:rPr>
              <w:t>Development maintains or enhances the natural processes of the erosion prone area and the protective function of coastal landforms and vegetation, particularly those features that mitigate risks from coastal hazards.</w:t>
            </w:r>
          </w:p>
        </w:tc>
        <w:tc>
          <w:tcPr>
            <w:tcW w:w="4650" w:type="dxa"/>
          </w:tcPr>
          <w:p w14:paraId="3BF64603"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rPr>
              <w:t>AO2.1</w:t>
            </w:r>
          </w:p>
          <w:p w14:paraId="71E8A619"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Development locates landward of the erosion prone area.</w:t>
            </w:r>
          </w:p>
          <w:p w14:paraId="0538F217"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p>
          <w:p w14:paraId="74AC0A22"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OR</w:t>
            </w:r>
          </w:p>
          <w:p w14:paraId="070DB9E2"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rPr>
              <w:t>AO2.2</w:t>
            </w:r>
          </w:p>
          <w:p w14:paraId="34A0CC93"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Development is coastal dependant development that cannot be feasibly located elsewhere and it is designed and constructed to withstand coastal erosion impacts. </w:t>
            </w:r>
          </w:p>
          <w:p w14:paraId="17D4E318"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p>
          <w:p w14:paraId="5D18D254"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OR</w:t>
            </w:r>
          </w:p>
          <w:p w14:paraId="1C49CCB7"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b/>
                <w:bCs/>
                <w:color w:val="auto"/>
              </w:rPr>
            </w:pPr>
            <w:r w:rsidRPr="009B7B35">
              <w:rPr>
                <w:rFonts w:cs="Arial"/>
                <w:b/>
                <w:bCs/>
              </w:rPr>
              <w:t>AO2.3</w:t>
            </w:r>
          </w:p>
          <w:p w14:paraId="563F470B"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Development is temporary, readily relocatable or able to be abandoned development located as far landward or the erosion prone area as practicable.</w:t>
            </w:r>
          </w:p>
        </w:tc>
      </w:tr>
      <w:tr w:rsidR="00BE36FB" w:rsidRPr="009B7B35" w14:paraId="13CC39D6" w14:textId="77777777" w:rsidTr="001A710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6" w:type="dxa"/>
            <w:gridSpan w:val="2"/>
          </w:tcPr>
          <w:p w14:paraId="023EB90F" w14:textId="77777777" w:rsidR="00BE36FB" w:rsidRPr="009B7B35" w:rsidRDefault="00BE36FB" w:rsidP="001A7107">
            <w:pPr>
              <w:pStyle w:val="TableText"/>
              <w:rPr>
                <w:rFonts w:cs="Arial"/>
                <w:b/>
              </w:rPr>
            </w:pPr>
            <w:r w:rsidRPr="009B7B35">
              <w:rPr>
                <w:rFonts w:cs="Arial"/>
                <w:b/>
              </w:rPr>
              <w:t>PO3</w:t>
            </w:r>
          </w:p>
          <w:p w14:paraId="3B4E2D65" w14:textId="77777777" w:rsidR="00BE36FB" w:rsidRPr="009B7B35" w:rsidRDefault="00BE36FB">
            <w:pPr>
              <w:pStyle w:val="TableText"/>
              <w:rPr>
                <w:rFonts w:cs="Arial"/>
              </w:rPr>
            </w:pPr>
            <w:r w:rsidRPr="009B7B35">
              <w:rPr>
                <w:rFonts w:cs="Arial"/>
              </w:rPr>
              <w:t>Redevelopment of an existing permanent building in an erosion prone area does not increase the exposure of people or property to the risk of coastal hazards and only occurs where:</w:t>
            </w:r>
          </w:p>
          <w:p w14:paraId="41305755" w14:textId="77777777" w:rsidR="00BE36FB" w:rsidRPr="009B7B35" w:rsidRDefault="00BE36FB" w:rsidP="00BE36FB">
            <w:pPr>
              <w:pStyle w:val="TableText"/>
              <w:numPr>
                <w:ilvl w:val="0"/>
                <w:numId w:val="684"/>
              </w:numPr>
              <w:rPr>
                <w:rFonts w:cs="Arial"/>
              </w:rPr>
            </w:pPr>
            <w:r w:rsidRPr="009B7B35">
              <w:rPr>
                <w:rFonts w:cs="Arial"/>
              </w:rPr>
              <w:t>coastal hazard risks can be avoided, or</w:t>
            </w:r>
          </w:p>
          <w:p w14:paraId="769327F9" w14:textId="77777777" w:rsidR="00BE36FB" w:rsidRPr="009B7B35" w:rsidRDefault="00BE36FB" w:rsidP="00BE36FB">
            <w:pPr>
              <w:pStyle w:val="TableText"/>
              <w:numPr>
                <w:ilvl w:val="0"/>
                <w:numId w:val="684"/>
              </w:numPr>
              <w:rPr>
                <w:rFonts w:cs="Arial"/>
              </w:rPr>
            </w:pPr>
            <w:r w:rsidRPr="009B7B35">
              <w:rPr>
                <w:rFonts w:cs="Arial"/>
              </w:rPr>
              <w:t>risks can be mitigated to achieve an acceptable or tolerable level of risk to improve resilience against future coastal hazards allowing for 0.80m sea level rise.</w:t>
            </w:r>
          </w:p>
          <w:p w14:paraId="06718255" w14:textId="77777777" w:rsidR="00BE36FB" w:rsidRPr="009B7B35" w:rsidRDefault="00BE36FB" w:rsidP="001A7107">
            <w:pPr>
              <w:pStyle w:val="Notes"/>
              <w:rPr>
                <w:rFonts w:cs="Arial"/>
                <w:sz w:val="20"/>
                <w:szCs w:val="20"/>
              </w:rPr>
            </w:pPr>
            <w:r w:rsidRPr="009B7B35">
              <w:rPr>
                <w:rFonts w:cs="Arial"/>
                <w:sz w:val="20"/>
                <w:szCs w:val="20"/>
              </w:rPr>
              <w:t>Note—To demonstrate compliance with this performance outcome, a development application is supported by a report prepared by a Registered Professional Engineer of Queensland specialising in coastal engineering and certifying the development achieves an acceptable or tolerable level of risk from present day and future coastal hazard impacts.</w:t>
            </w:r>
          </w:p>
        </w:tc>
        <w:tc>
          <w:tcPr>
            <w:tcW w:w="4650" w:type="dxa"/>
          </w:tcPr>
          <w:p w14:paraId="4BA1A88E" w14:textId="77777777" w:rsidR="00BE36FB" w:rsidRPr="009B7B35" w:rsidRDefault="00BE36FB">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acceptable outcome is nominated</w:t>
            </w:r>
          </w:p>
        </w:tc>
      </w:tr>
      <w:tr w:rsidR="00BE36FB" w:rsidRPr="009B7B35" w14:paraId="36653992" w14:textId="77777777" w:rsidTr="001A710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706" w:type="dxa"/>
            <w:gridSpan w:val="2"/>
          </w:tcPr>
          <w:p w14:paraId="1CD38FF3" w14:textId="77777777" w:rsidR="00BE36FB" w:rsidRPr="009B7B35" w:rsidRDefault="00BE36FB" w:rsidP="001A7107">
            <w:pPr>
              <w:pStyle w:val="TableText"/>
              <w:rPr>
                <w:rFonts w:cs="Arial"/>
                <w:b/>
              </w:rPr>
            </w:pPr>
            <w:r w:rsidRPr="009B7B35">
              <w:rPr>
                <w:rFonts w:cs="Arial"/>
                <w:b/>
              </w:rPr>
              <w:t>PO4</w:t>
            </w:r>
          </w:p>
          <w:p w14:paraId="7B462282" w14:textId="77777777" w:rsidR="00BE36FB" w:rsidRPr="009B7B35" w:rsidRDefault="00BE36FB">
            <w:pPr>
              <w:pStyle w:val="TableText"/>
              <w:rPr>
                <w:rFonts w:cs="Arial"/>
              </w:rPr>
            </w:pPr>
            <w:r w:rsidRPr="009B7B35">
              <w:rPr>
                <w:rFonts w:cs="Arial"/>
              </w:rPr>
              <w:t>Development directly, indirectly and cumulatively avoids an unacceptable increase in the severity of coastal erosion and other coastal hazards, and does not significantly increase the potential for damage on the site or to other properties.</w:t>
            </w:r>
          </w:p>
        </w:tc>
        <w:tc>
          <w:tcPr>
            <w:tcW w:w="4650" w:type="dxa"/>
          </w:tcPr>
          <w:p w14:paraId="4CA6CF22" w14:textId="77777777" w:rsidR="00BE36FB" w:rsidRPr="009B7B35" w:rsidRDefault="00BE36FB">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No acceptable outcome is nominated.</w:t>
            </w:r>
          </w:p>
        </w:tc>
      </w:tr>
      <w:tr w:rsidR="00BE36FB" w:rsidRPr="009B7B35" w14:paraId="17136F9C" w14:textId="77777777" w:rsidTr="001A7107">
        <w:trPr>
          <w:cantSplit/>
        </w:trPr>
        <w:tc>
          <w:tcPr>
            <w:tcW w:w="9356" w:type="dxa"/>
            <w:gridSpan w:val="3"/>
            <w:shd w:val="clear" w:color="auto" w:fill="BFBFBF" w:themeFill="background1" w:themeFillShade="BF"/>
          </w:tcPr>
          <w:p w14:paraId="645E774B" w14:textId="77777777" w:rsidR="00BE36FB" w:rsidRPr="009B7B35" w:rsidRDefault="00BE36FB" w:rsidP="001A7107">
            <w:pPr>
              <w:pStyle w:val="Tableheading"/>
              <w:rPr>
                <w:rFonts w:ascii="Arial" w:hAnsi="Arial" w:cs="Arial"/>
                <w:szCs w:val="20"/>
              </w:rPr>
            </w:pPr>
            <w:r w:rsidRPr="009B7B35">
              <w:rPr>
                <w:rFonts w:ascii="Arial" w:hAnsi="Arial" w:cs="Arial"/>
                <w:szCs w:val="20"/>
              </w:rPr>
              <w:t>Development within a high or medium storm tide inundation area</w:t>
            </w:r>
          </w:p>
        </w:tc>
      </w:tr>
      <w:tr w:rsidR="00BE36FB" w:rsidRPr="009B7B35" w14:paraId="19052CBB" w14:textId="77777777" w:rsidTr="001A7107">
        <w:tc>
          <w:tcPr>
            <w:tcW w:w="4678" w:type="dxa"/>
            <w:vMerge w:val="restart"/>
          </w:tcPr>
          <w:p w14:paraId="5FAD74B5" w14:textId="77777777" w:rsidR="00BE36FB" w:rsidRPr="009B7B35" w:rsidRDefault="00BE36FB" w:rsidP="001A7107">
            <w:pPr>
              <w:pStyle w:val="TableText"/>
              <w:rPr>
                <w:rFonts w:cs="Arial"/>
                <w:b/>
              </w:rPr>
            </w:pPr>
            <w:r w:rsidRPr="009B7B35">
              <w:rPr>
                <w:rFonts w:cs="Arial"/>
                <w:b/>
              </w:rPr>
              <w:t>PO5</w:t>
            </w:r>
          </w:p>
          <w:p w14:paraId="1C633712" w14:textId="77777777" w:rsidR="00BE36FB" w:rsidRPr="009B7B35" w:rsidRDefault="00BE36FB" w:rsidP="001A7107">
            <w:pPr>
              <w:pStyle w:val="TableText"/>
              <w:rPr>
                <w:rFonts w:cs="Arial"/>
              </w:rPr>
            </w:pPr>
            <w:r w:rsidRPr="009B7B35">
              <w:rPr>
                <w:rFonts w:cs="Arial"/>
              </w:rPr>
              <w:t>Development does not locate in a high or medium storm tide inundation area unless:</w:t>
            </w:r>
          </w:p>
          <w:p w14:paraId="254475EC" w14:textId="77777777" w:rsidR="00BE36FB" w:rsidRPr="009B7B35" w:rsidRDefault="00BE36FB" w:rsidP="00BE36FB">
            <w:pPr>
              <w:pStyle w:val="TableText"/>
              <w:numPr>
                <w:ilvl w:val="0"/>
                <w:numId w:val="649"/>
              </w:numPr>
              <w:rPr>
                <w:rFonts w:cs="Arial"/>
              </w:rPr>
            </w:pPr>
            <w:r w:rsidRPr="009B7B35">
              <w:rPr>
                <w:rFonts w:cs="Arial"/>
              </w:rPr>
              <w:t>it does not result in an increase in the intensity of development on the site, or</w:t>
            </w:r>
          </w:p>
          <w:p w14:paraId="4E6CA40B" w14:textId="77777777" w:rsidR="00BE36FB" w:rsidRPr="009B7B35" w:rsidRDefault="00BE36FB" w:rsidP="00BE36FB">
            <w:pPr>
              <w:pStyle w:val="TableText"/>
              <w:numPr>
                <w:ilvl w:val="0"/>
                <w:numId w:val="649"/>
              </w:numPr>
              <w:rPr>
                <w:rFonts w:cs="Arial"/>
              </w:rPr>
            </w:pPr>
            <w:r w:rsidRPr="009B7B35">
              <w:rPr>
                <w:rFonts w:cs="Arial"/>
              </w:rPr>
              <w:t>it avoids any increase in risk to people or property from coastal hazard impacts, or</w:t>
            </w:r>
          </w:p>
          <w:p w14:paraId="38DE1483" w14:textId="77777777" w:rsidR="00BE36FB" w:rsidRPr="009B7B35" w:rsidRDefault="00BE36FB" w:rsidP="00BE36FB">
            <w:pPr>
              <w:pStyle w:val="TableText"/>
              <w:numPr>
                <w:ilvl w:val="0"/>
                <w:numId w:val="649"/>
              </w:numPr>
              <w:rPr>
                <w:rFonts w:cs="Arial"/>
              </w:rPr>
            </w:pPr>
            <w:r w:rsidRPr="009B7B35">
              <w:rPr>
                <w:rFonts w:cs="Arial"/>
              </w:rPr>
              <w:t>risks can be mitigated to achieve an acceptable or tolerable level of risk to personal safety and property damage, including impacts from 0.80m sea level rise.</w:t>
            </w:r>
          </w:p>
          <w:p w14:paraId="3AC5A940" w14:textId="77777777" w:rsidR="00BE36FB" w:rsidRPr="009B7B35" w:rsidRDefault="00BE36FB" w:rsidP="001A7107">
            <w:pPr>
              <w:pStyle w:val="Notes"/>
              <w:rPr>
                <w:rFonts w:cs="Arial"/>
                <w:sz w:val="20"/>
                <w:szCs w:val="20"/>
              </w:rPr>
            </w:pPr>
            <w:r w:rsidRPr="009B7B35">
              <w:rPr>
                <w:rFonts w:cs="Arial"/>
                <w:sz w:val="20"/>
                <w:szCs w:val="20"/>
              </w:rPr>
              <w:t xml:space="preserve">Note—The </w:t>
            </w:r>
            <w:r w:rsidRPr="009B7B35">
              <w:rPr>
                <w:rStyle w:val="StyleNotesItalic2"/>
                <w:rFonts w:cs="Arial"/>
                <w:sz w:val="20"/>
              </w:rPr>
              <w:t>National Construction Code, Building Regulation 2006</w:t>
            </w:r>
            <w:r w:rsidRPr="009B7B35">
              <w:rPr>
                <w:rFonts w:cs="Arial"/>
                <w:sz w:val="20"/>
                <w:szCs w:val="20"/>
              </w:rPr>
              <w:t xml:space="preserve"> and the </w:t>
            </w:r>
            <w:r w:rsidRPr="009B7B35">
              <w:rPr>
                <w:rStyle w:val="StyleNotesItalic2"/>
                <w:rFonts w:cs="Arial"/>
                <w:sz w:val="20"/>
              </w:rPr>
              <w:t>Queensland Development Code Mandatory Part 3.5</w:t>
            </w:r>
            <w:r w:rsidRPr="009B7B35">
              <w:rPr>
                <w:rFonts w:cs="Arial"/>
                <w:sz w:val="20"/>
                <w:szCs w:val="20"/>
              </w:rPr>
              <w:t xml:space="preserve"> may also establish requirements with which development will need to comply. </w:t>
            </w:r>
          </w:p>
        </w:tc>
        <w:tc>
          <w:tcPr>
            <w:tcW w:w="4678" w:type="dxa"/>
            <w:gridSpan w:val="2"/>
          </w:tcPr>
          <w:p w14:paraId="4BFAD6EA" w14:textId="77777777" w:rsidR="00BE36FB" w:rsidRPr="009B7B35" w:rsidRDefault="00BE36FB" w:rsidP="001A7107">
            <w:pPr>
              <w:pStyle w:val="TableText"/>
              <w:rPr>
                <w:rFonts w:cs="Arial"/>
                <w:b/>
              </w:rPr>
            </w:pPr>
            <w:r w:rsidRPr="009B7B35">
              <w:rPr>
                <w:rFonts w:cs="Arial"/>
                <w:b/>
              </w:rPr>
              <w:t>AO5.1</w:t>
            </w:r>
          </w:p>
          <w:p w14:paraId="7113A09A" w14:textId="77777777" w:rsidR="00BE36FB" w:rsidRPr="009B7B35" w:rsidRDefault="00BE36FB" w:rsidP="001A7107">
            <w:pPr>
              <w:pStyle w:val="TableText"/>
              <w:rPr>
                <w:rFonts w:cs="Arial"/>
              </w:rPr>
            </w:pPr>
            <w:r w:rsidRPr="009B7B35">
              <w:rPr>
                <w:rFonts w:cs="Arial"/>
              </w:rPr>
              <w:t>Sensitive land uses do not locate within the high storm tide inundation area.</w:t>
            </w:r>
          </w:p>
        </w:tc>
      </w:tr>
      <w:tr w:rsidR="00BE36FB" w:rsidRPr="009B7B35" w14:paraId="3D21A1EF" w14:textId="77777777" w:rsidTr="001A7107">
        <w:tc>
          <w:tcPr>
            <w:tcW w:w="4678" w:type="dxa"/>
            <w:vMerge/>
          </w:tcPr>
          <w:p w14:paraId="7691D447" w14:textId="77777777" w:rsidR="00BE36FB" w:rsidRPr="009B7B35" w:rsidRDefault="00BE36FB" w:rsidP="001A7107">
            <w:pPr>
              <w:pStyle w:val="TableText"/>
              <w:rPr>
                <w:rFonts w:cs="Arial"/>
              </w:rPr>
            </w:pPr>
          </w:p>
        </w:tc>
        <w:tc>
          <w:tcPr>
            <w:tcW w:w="4678" w:type="dxa"/>
            <w:gridSpan w:val="2"/>
          </w:tcPr>
          <w:p w14:paraId="53899989" w14:textId="77777777" w:rsidR="00BE36FB" w:rsidRPr="009B7B35" w:rsidRDefault="00BE36FB" w:rsidP="001A7107">
            <w:pPr>
              <w:pStyle w:val="TableText"/>
              <w:rPr>
                <w:rFonts w:cs="Arial"/>
                <w:b/>
              </w:rPr>
            </w:pPr>
            <w:r w:rsidRPr="009B7B35">
              <w:rPr>
                <w:rFonts w:cs="Arial"/>
                <w:b/>
              </w:rPr>
              <w:t>AO5.2</w:t>
            </w:r>
          </w:p>
          <w:p w14:paraId="60D3EC6B" w14:textId="77777777" w:rsidR="00BE36FB" w:rsidRPr="009B7B35" w:rsidRDefault="00BE36FB" w:rsidP="001A7107">
            <w:pPr>
              <w:pStyle w:val="TableText"/>
              <w:rPr>
                <w:rFonts w:cs="Arial"/>
              </w:rPr>
            </w:pPr>
            <w:r w:rsidRPr="009B7B35">
              <w:rPr>
                <w:rFonts w:cs="Arial"/>
              </w:rPr>
              <w:t>Development has direct and safe access to an evacuation route above the high storm tide inundation level. Evacuation routes do not include land in a high storm tide inundation area.</w:t>
            </w:r>
          </w:p>
        </w:tc>
      </w:tr>
      <w:tr w:rsidR="00BE36FB" w:rsidRPr="009B7B35" w14:paraId="5A5147E6" w14:textId="77777777" w:rsidTr="001A7107">
        <w:tc>
          <w:tcPr>
            <w:tcW w:w="4678" w:type="dxa"/>
            <w:vMerge/>
          </w:tcPr>
          <w:p w14:paraId="4E4E183A" w14:textId="77777777" w:rsidR="00BE36FB" w:rsidRPr="009B7B35" w:rsidRDefault="00BE36FB" w:rsidP="001A7107">
            <w:pPr>
              <w:pStyle w:val="TableText"/>
              <w:rPr>
                <w:rFonts w:cs="Arial"/>
              </w:rPr>
            </w:pPr>
          </w:p>
        </w:tc>
        <w:tc>
          <w:tcPr>
            <w:tcW w:w="4678" w:type="dxa"/>
            <w:gridSpan w:val="2"/>
          </w:tcPr>
          <w:p w14:paraId="25045113" w14:textId="77777777" w:rsidR="00BE36FB" w:rsidRPr="009B7B35" w:rsidRDefault="00BE36FB" w:rsidP="001A7107">
            <w:pPr>
              <w:pStyle w:val="TableText"/>
              <w:rPr>
                <w:rFonts w:cs="Arial"/>
                <w:b/>
              </w:rPr>
            </w:pPr>
            <w:r w:rsidRPr="009B7B35">
              <w:rPr>
                <w:rFonts w:cs="Arial"/>
                <w:b/>
              </w:rPr>
              <w:t>AO5.3</w:t>
            </w:r>
          </w:p>
          <w:p w14:paraId="31A6FDE0" w14:textId="77777777" w:rsidR="00BE36FB" w:rsidRPr="009B7B35" w:rsidRDefault="00BE36FB" w:rsidP="001A7107">
            <w:pPr>
              <w:pStyle w:val="TableText"/>
              <w:rPr>
                <w:rFonts w:cs="Arial"/>
              </w:rPr>
            </w:pPr>
            <w:r w:rsidRPr="009B7B35">
              <w:rPr>
                <w:rFonts w:cs="Arial"/>
              </w:rPr>
              <w:t>All habitable rooms have a floor level at least 1000mm above the high storm tide event level.</w:t>
            </w:r>
          </w:p>
          <w:p w14:paraId="6E664826" w14:textId="77777777" w:rsidR="00BE36FB" w:rsidRPr="009B7B35" w:rsidRDefault="00BE36FB" w:rsidP="001A7107">
            <w:pPr>
              <w:pStyle w:val="TableText"/>
              <w:rPr>
                <w:rFonts w:cs="Arial"/>
              </w:rPr>
            </w:pPr>
          </w:p>
          <w:p w14:paraId="64EAC879" w14:textId="77777777" w:rsidR="00BE36FB" w:rsidRPr="009B7B35" w:rsidRDefault="00BE36FB" w:rsidP="001A7107">
            <w:pPr>
              <w:pStyle w:val="TableText"/>
              <w:rPr>
                <w:rFonts w:cs="Arial"/>
                <w:b/>
              </w:rPr>
            </w:pPr>
            <w:r w:rsidRPr="009B7B35">
              <w:rPr>
                <w:rFonts w:cs="Arial"/>
              </w:rPr>
              <w:t>OR</w:t>
            </w:r>
          </w:p>
          <w:p w14:paraId="1E19AEBD" w14:textId="77777777" w:rsidR="00BE36FB" w:rsidRPr="009B7B35" w:rsidRDefault="00BE36FB" w:rsidP="001A7107">
            <w:pPr>
              <w:pStyle w:val="TableText"/>
              <w:rPr>
                <w:rFonts w:cs="Arial"/>
              </w:rPr>
            </w:pPr>
            <w:r w:rsidRPr="009B7B35">
              <w:rPr>
                <w:rFonts w:cs="Arial"/>
              </w:rPr>
              <w:t>Where involving an extension to an existing residential use that have habitable rooms below the defined storm tide event level, any extension does not exceed 25m</w:t>
            </w:r>
            <w:r w:rsidRPr="009B7B35">
              <w:rPr>
                <w:rFonts w:cs="Arial"/>
                <w:vertAlign w:val="superscript"/>
              </w:rPr>
              <w:t>2</w:t>
            </w:r>
            <w:r w:rsidRPr="009B7B35">
              <w:rPr>
                <w:rFonts w:cs="Arial"/>
              </w:rPr>
              <w:t xml:space="preserve"> GFA.</w:t>
            </w:r>
          </w:p>
        </w:tc>
      </w:tr>
      <w:tr w:rsidR="00BE36FB" w:rsidRPr="009B7B35" w14:paraId="7A6250F1" w14:textId="77777777" w:rsidTr="001A7107">
        <w:trPr>
          <w:trHeight w:val="25"/>
        </w:trPr>
        <w:tc>
          <w:tcPr>
            <w:tcW w:w="4678" w:type="dxa"/>
            <w:vMerge/>
          </w:tcPr>
          <w:p w14:paraId="7B402814" w14:textId="77777777" w:rsidR="00BE36FB" w:rsidRPr="009B7B35" w:rsidRDefault="00BE36FB" w:rsidP="001A7107">
            <w:pPr>
              <w:pStyle w:val="TableText"/>
              <w:rPr>
                <w:rFonts w:cs="Arial"/>
              </w:rPr>
            </w:pPr>
          </w:p>
        </w:tc>
        <w:tc>
          <w:tcPr>
            <w:tcW w:w="4678" w:type="dxa"/>
            <w:gridSpan w:val="2"/>
          </w:tcPr>
          <w:p w14:paraId="674E8C30" w14:textId="77777777" w:rsidR="00BE36FB" w:rsidRPr="009B7B35" w:rsidRDefault="00BE36FB" w:rsidP="001A7107">
            <w:pPr>
              <w:pStyle w:val="TableText"/>
              <w:rPr>
                <w:rFonts w:cs="Arial"/>
                <w:b/>
              </w:rPr>
            </w:pPr>
            <w:r w:rsidRPr="009B7B35">
              <w:rPr>
                <w:rFonts w:cs="Arial"/>
                <w:b/>
              </w:rPr>
              <w:t>AO5.4</w:t>
            </w:r>
          </w:p>
          <w:p w14:paraId="4B64F044" w14:textId="77777777" w:rsidR="00BE36FB" w:rsidRPr="009B7B35" w:rsidRDefault="00BE36FB" w:rsidP="001A7107">
            <w:pPr>
              <w:pStyle w:val="TableText"/>
              <w:rPr>
                <w:rFonts w:cs="Arial"/>
              </w:rPr>
            </w:pPr>
            <w:r w:rsidRPr="009B7B35">
              <w:rPr>
                <w:rFonts w:cs="Arial"/>
              </w:rPr>
              <w:t>Floor levels of non–habitable rooms (other than Class 10 buildings) are above the medium storm tide inundation level, or allow for the flow through of coastal waters on the ground floor.</w:t>
            </w:r>
          </w:p>
        </w:tc>
      </w:tr>
      <w:tr w:rsidR="00BE36FB" w:rsidRPr="009B7B35" w14:paraId="30451ACC" w14:textId="77777777" w:rsidTr="001A7107">
        <w:tc>
          <w:tcPr>
            <w:tcW w:w="4678" w:type="dxa"/>
          </w:tcPr>
          <w:p w14:paraId="28C83180" w14:textId="77777777" w:rsidR="00BE36FB" w:rsidRPr="009B7B35" w:rsidRDefault="00BE36FB" w:rsidP="001A7107">
            <w:pPr>
              <w:pStyle w:val="TableText"/>
              <w:rPr>
                <w:rFonts w:cs="Arial"/>
                <w:b/>
              </w:rPr>
            </w:pPr>
            <w:r w:rsidRPr="009B7B35">
              <w:rPr>
                <w:rFonts w:cs="Arial"/>
                <w:b/>
              </w:rPr>
              <w:t>PO6</w:t>
            </w:r>
          </w:p>
          <w:p w14:paraId="231FD065" w14:textId="77777777" w:rsidR="00BE36FB" w:rsidRPr="009B7B35" w:rsidRDefault="00BE36FB" w:rsidP="001A7107">
            <w:pPr>
              <w:pStyle w:val="TableText"/>
              <w:rPr>
                <w:rFonts w:cs="Arial"/>
              </w:rPr>
            </w:pPr>
            <w:r w:rsidRPr="009B7B35">
              <w:rPr>
                <w:rFonts w:cs="Arial"/>
              </w:rPr>
              <w:t>Essential services infrastructure (e.g. on–site electricity, gas, water supply, sewerage and telecommunications) maintains its function during and immediately after a defined storm tide event.</w:t>
            </w:r>
          </w:p>
        </w:tc>
        <w:tc>
          <w:tcPr>
            <w:tcW w:w="4678" w:type="dxa"/>
            <w:gridSpan w:val="2"/>
          </w:tcPr>
          <w:p w14:paraId="168A84D1" w14:textId="77777777" w:rsidR="00BE36FB" w:rsidRPr="009B7B35" w:rsidRDefault="00BE36FB" w:rsidP="001A7107">
            <w:pPr>
              <w:pStyle w:val="TableText"/>
              <w:rPr>
                <w:rFonts w:cs="Arial"/>
                <w:b/>
              </w:rPr>
            </w:pPr>
            <w:r w:rsidRPr="009B7B35">
              <w:rPr>
                <w:rFonts w:cs="Arial"/>
                <w:b/>
              </w:rPr>
              <w:t>AO6</w:t>
            </w:r>
          </w:p>
          <w:p w14:paraId="5B15FC66" w14:textId="77777777" w:rsidR="00BE36FB" w:rsidRPr="009B7B35" w:rsidRDefault="00BE36FB" w:rsidP="001A7107">
            <w:pPr>
              <w:pStyle w:val="TableText"/>
              <w:rPr>
                <w:rFonts w:cs="Arial"/>
              </w:rPr>
            </w:pPr>
            <w:r w:rsidRPr="009B7B35">
              <w:rPr>
                <w:rFonts w:cs="Arial"/>
              </w:rPr>
              <w:t>Any components of infrastructure that are likely to fail to function or may result in contamination when inundated by coastal  waters (e.g. electrical switchgear and motors, water supply pipeline air valves) are:</w:t>
            </w:r>
          </w:p>
          <w:p w14:paraId="7580B0EA" w14:textId="77777777" w:rsidR="00BE36FB" w:rsidRPr="009B7B35" w:rsidRDefault="00BE36FB" w:rsidP="00BE36FB">
            <w:pPr>
              <w:numPr>
                <w:ilvl w:val="0"/>
                <w:numId w:val="685"/>
              </w:numPr>
              <w:rPr>
                <w:rFonts w:cs="Arial"/>
                <w:sz w:val="20"/>
                <w:szCs w:val="20"/>
              </w:rPr>
            </w:pPr>
            <w:r w:rsidRPr="009B7B35">
              <w:rPr>
                <w:rFonts w:cs="Arial"/>
                <w:sz w:val="20"/>
                <w:szCs w:val="20"/>
              </w:rPr>
              <w:t>located above the defined storm tide event level, or</w:t>
            </w:r>
          </w:p>
          <w:p w14:paraId="650FF55F" w14:textId="77777777" w:rsidR="00BE36FB" w:rsidRPr="009B7B35" w:rsidRDefault="00BE36FB" w:rsidP="00BE36FB">
            <w:pPr>
              <w:numPr>
                <w:ilvl w:val="0"/>
                <w:numId w:val="685"/>
              </w:numPr>
              <w:rPr>
                <w:rFonts w:cs="Arial"/>
                <w:sz w:val="20"/>
                <w:szCs w:val="20"/>
              </w:rPr>
            </w:pPr>
            <w:r w:rsidRPr="009B7B35">
              <w:rPr>
                <w:rFonts w:cs="Arial"/>
                <w:sz w:val="20"/>
                <w:szCs w:val="20"/>
              </w:rPr>
              <w:t>designed and constructed to prevent coastal water intrusion/infiltration.</w:t>
            </w:r>
          </w:p>
        </w:tc>
      </w:tr>
      <w:tr w:rsidR="00BE36FB" w:rsidRPr="009B7B35" w14:paraId="0604B106" w14:textId="77777777" w:rsidTr="001A7107">
        <w:trPr>
          <w:cantSplit/>
        </w:trPr>
        <w:tc>
          <w:tcPr>
            <w:tcW w:w="4678" w:type="dxa"/>
          </w:tcPr>
          <w:p w14:paraId="6621E36B" w14:textId="77777777" w:rsidR="00BE36FB" w:rsidRPr="009B7B35" w:rsidRDefault="00BE36FB" w:rsidP="001A7107">
            <w:pPr>
              <w:pStyle w:val="TableText"/>
              <w:rPr>
                <w:rFonts w:cs="Arial"/>
                <w:b/>
              </w:rPr>
            </w:pPr>
            <w:r w:rsidRPr="009B7B35">
              <w:rPr>
                <w:rFonts w:cs="Arial"/>
                <w:b/>
              </w:rPr>
              <w:t>PO7</w:t>
            </w:r>
          </w:p>
          <w:p w14:paraId="3D1E5B82" w14:textId="77777777" w:rsidR="00BE36FB" w:rsidRPr="009B7B35" w:rsidRDefault="00BE36FB" w:rsidP="001A7107">
            <w:pPr>
              <w:pStyle w:val="TableText"/>
              <w:rPr>
                <w:rFonts w:cs="Arial"/>
              </w:rPr>
            </w:pPr>
            <w:r w:rsidRPr="009B7B35">
              <w:rPr>
                <w:rFonts w:cs="Arial"/>
              </w:rPr>
              <w:t>Infrastructure and building foundations are designed and constructed to resist hydrostatic and hydrodynamic forces as a result of storm tide inundation.</w:t>
            </w:r>
          </w:p>
          <w:p w14:paraId="50A969AF" w14:textId="77777777" w:rsidR="00BE36FB" w:rsidRPr="009B7B35" w:rsidRDefault="00BE36FB" w:rsidP="001A7107">
            <w:pPr>
              <w:pStyle w:val="Notes"/>
              <w:rPr>
                <w:rFonts w:cs="Arial"/>
                <w:sz w:val="20"/>
                <w:szCs w:val="20"/>
              </w:rPr>
            </w:pPr>
            <w:r w:rsidRPr="009B7B35">
              <w:rPr>
                <w:rFonts w:cs="Arial"/>
                <w:sz w:val="20"/>
                <w:szCs w:val="20"/>
              </w:rPr>
              <w:t xml:space="preserve">Note—The </w:t>
            </w:r>
            <w:r w:rsidRPr="009B7B35">
              <w:rPr>
                <w:rStyle w:val="StyleNotesItalic2"/>
                <w:rFonts w:cs="Arial"/>
                <w:sz w:val="20"/>
              </w:rPr>
              <w:t>National Construction Code</w:t>
            </w:r>
            <w:r w:rsidRPr="009B7B35">
              <w:rPr>
                <w:rFonts w:cs="Arial"/>
                <w:sz w:val="20"/>
                <w:szCs w:val="20"/>
              </w:rPr>
              <w:t xml:space="preserve">, </w:t>
            </w:r>
            <w:r w:rsidRPr="009B7B35">
              <w:rPr>
                <w:rStyle w:val="StyleNotesItalic2"/>
                <w:rFonts w:cs="Arial"/>
                <w:sz w:val="20"/>
              </w:rPr>
              <w:t>Building Regulation 2006</w:t>
            </w:r>
            <w:r w:rsidRPr="009B7B35">
              <w:rPr>
                <w:rFonts w:cs="Arial"/>
                <w:sz w:val="20"/>
                <w:szCs w:val="20"/>
              </w:rPr>
              <w:t xml:space="preserve"> and the </w:t>
            </w:r>
            <w:r w:rsidRPr="009B7B35">
              <w:rPr>
                <w:rStyle w:val="StyleNotesItalic2"/>
                <w:rFonts w:cs="Arial"/>
                <w:sz w:val="20"/>
              </w:rPr>
              <w:t>Queensland Development Code</w:t>
            </w:r>
            <w:r w:rsidRPr="009B7B35">
              <w:rPr>
                <w:rFonts w:cs="Arial"/>
                <w:sz w:val="20"/>
                <w:szCs w:val="20"/>
              </w:rPr>
              <w:t xml:space="preserve"> Mandatory Part 3.5 may also establish requirements with which development will need to comply.</w:t>
            </w:r>
          </w:p>
        </w:tc>
        <w:tc>
          <w:tcPr>
            <w:tcW w:w="4678" w:type="dxa"/>
            <w:gridSpan w:val="2"/>
          </w:tcPr>
          <w:p w14:paraId="0E48482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5A0F041" w14:textId="77777777" w:rsidTr="001A7107">
        <w:trPr>
          <w:cantSplit/>
        </w:trPr>
        <w:tc>
          <w:tcPr>
            <w:tcW w:w="9356" w:type="dxa"/>
            <w:gridSpan w:val="3"/>
            <w:shd w:val="clear" w:color="auto" w:fill="BFBFBF" w:themeFill="background1" w:themeFillShade="BF"/>
          </w:tcPr>
          <w:p w14:paraId="7D07F723" w14:textId="77777777" w:rsidR="00BE36FB" w:rsidRPr="009B7B35" w:rsidRDefault="00BE36FB" w:rsidP="001A7107">
            <w:pPr>
              <w:pStyle w:val="Tableheading"/>
              <w:rPr>
                <w:rFonts w:ascii="Arial" w:hAnsi="Arial" w:cs="Arial"/>
                <w:szCs w:val="20"/>
              </w:rPr>
            </w:pPr>
            <w:r w:rsidRPr="009B7B35">
              <w:rPr>
                <w:rFonts w:ascii="Arial" w:hAnsi="Arial" w:cs="Arial"/>
                <w:szCs w:val="20"/>
              </w:rPr>
              <w:t>Reconfiguring a lot in a coastal hazard area</w:t>
            </w:r>
          </w:p>
        </w:tc>
      </w:tr>
      <w:tr w:rsidR="00BE36FB" w:rsidRPr="009B7B35" w14:paraId="07962701" w14:textId="77777777" w:rsidTr="001A7107">
        <w:trPr>
          <w:cantSplit/>
        </w:trPr>
        <w:tc>
          <w:tcPr>
            <w:tcW w:w="4678" w:type="dxa"/>
          </w:tcPr>
          <w:p w14:paraId="7A2DAEDF" w14:textId="77777777" w:rsidR="00BE36FB" w:rsidRPr="009B7B35" w:rsidRDefault="00BE36FB" w:rsidP="001A7107">
            <w:pPr>
              <w:pStyle w:val="TableText"/>
              <w:rPr>
                <w:rFonts w:cs="Arial"/>
                <w:b/>
              </w:rPr>
            </w:pPr>
            <w:r w:rsidRPr="009B7B35">
              <w:rPr>
                <w:rFonts w:cs="Arial"/>
                <w:b/>
              </w:rPr>
              <w:t>PO8</w:t>
            </w:r>
          </w:p>
          <w:p w14:paraId="459AA93B" w14:textId="77777777" w:rsidR="00BE36FB" w:rsidRPr="009B7B35" w:rsidRDefault="00BE36FB" w:rsidP="001A7107">
            <w:pPr>
              <w:pStyle w:val="TableText"/>
              <w:rPr>
                <w:rFonts w:cs="Arial"/>
              </w:rPr>
            </w:pPr>
            <w:r w:rsidRPr="009B7B35">
              <w:rPr>
                <w:rFonts w:cs="Arial"/>
              </w:rPr>
              <w:t>The siting, layout and design of lot reconfiguration avoids adverse impacts of coastal hazards and does not result in the creation of new lots within a coastal hazard area.</w:t>
            </w:r>
          </w:p>
        </w:tc>
        <w:tc>
          <w:tcPr>
            <w:tcW w:w="4678" w:type="dxa"/>
            <w:gridSpan w:val="2"/>
          </w:tcPr>
          <w:p w14:paraId="595B1EF7" w14:textId="77777777" w:rsidR="00BE36FB" w:rsidRPr="009B7B35" w:rsidRDefault="00BE36FB" w:rsidP="001A7107">
            <w:pPr>
              <w:pStyle w:val="TableText"/>
              <w:rPr>
                <w:rFonts w:cs="Arial"/>
                <w:b/>
              </w:rPr>
            </w:pPr>
            <w:r w:rsidRPr="009B7B35">
              <w:rPr>
                <w:rFonts w:cs="Arial"/>
                <w:b/>
              </w:rPr>
              <w:t>AO8.1</w:t>
            </w:r>
          </w:p>
          <w:p w14:paraId="17BFBE1A" w14:textId="77777777" w:rsidR="00BE36FB" w:rsidRPr="009B7B35" w:rsidRDefault="00BE36FB" w:rsidP="001A7107">
            <w:pPr>
              <w:pStyle w:val="TableText"/>
              <w:rPr>
                <w:rFonts w:cs="Arial"/>
              </w:rPr>
            </w:pPr>
            <w:r w:rsidRPr="009B7B35">
              <w:rPr>
                <w:rFonts w:cs="Arial"/>
              </w:rPr>
              <w:t>New lots, roads and infrastructure are not located within a coastal hazard area.</w:t>
            </w:r>
          </w:p>
          <w:p w14:paraId="31ECB327" w14:textId="77777777" w:rsidR="00BE36FB" w:rsidRPr="009B7B35" w:rsidRDefault="00BE36FB" w:rsidP="001A7107">
            <w:pPr>
              <w:pStyle w:val="TableText"/>
              <w:rPr>
                <w:rFonts w:cs="Arial"/>
              </w:rPr>
            </w:pPr>
          </w:p>
          <w:p w14:paraId="60A1B27D" w14:textId="77777777" w:rsidR="00BE36FB" w:rsidRPr="009B7B35" w:rsidRDefault="00BE36FB" w:rsidP="001A7107">
            <w:pPr>
              <w:pStyle w:val="TableText"/>
              <w:rPr>
                <w:rFonts w:cs="Arial"/>
              </w:rPr>
            </w:pPr>
            <w:r w:rsidRPr="009B7B35">
              <w:rPr>
                <w:rFonts w:cs="Arial"/>
              </w:rPr>
              <w:t>OR</w:t>
            </w:r>
          </w:p>
          <w:p w14:paraId="36493EA7" w14:textId="77777777" w:rsidR="00BE36FB" w:rsidRPr="009B7B35" w:rsidRDefault="00BE36FB" w:rsidP="001A7107">
            <w:pPr>
              <w:pStyle w:val="TableText"/>
              <w:rPr>
                <w:rFonts w:cs="Arial"/>
                <w:b/>
              </w:rPr>
            </w:pPr>
            <w:r w:rsidRPr="009B7B35">
              <w:rPr>
                <w:rFonts w:cs="Arial"/>
                <w:b/>
              </w:rPr>
              <w:t>AO8.2</w:t>
            </w:r>
          </w:p>
          <w:p w14:paraId="32F54CF5" w14:textId="77777777" w:rsidR="00BE36FB" w:rsidRPr="009B7B35" w:rsidRDefault="00BE36FB" w:rsidP="001A7107">
            <w:pPr>
              <w:pStyle w:val="TableText"/>
              <w:rPr>
                <w:rFonts w:cs="Arial"/>
              </w:rPr>
            </w:pPr>
            <w:r w:rsidRPr="009B7B35">
              <w:rPr>
                <w:rFonts w:cs="Arial"/>
              </w:rPr>
              <w:t>For new lots partly within a coastal hazard area, a building envelope having a minimum area prescribed for that zone is provided landward of the coastal hazard area.</w:t>
            </w:r>
          </w:p>
        </w:tc>
      </w:tr>
      <w:tr w:rsidR="00BE36FB" w:rsidRPr="009B7B35" w14:paraId="7FF83442" w14:textId="77777777" w:rsidTr="001A7107">
        <w:trPr>
          <w:cantSplit/>
        </w:trPr>
        <w:tc>
          <w:tcPr>
            <w:tcW w:w="4678" w:type="dxa"/>
          </w:tcPr>
          <w:p w14:paraId="2662F63B" w14:textId="77777777" w:rsidR="00BE36FB" w:rsidRPr="009B7B35" w:rsidRDefault="00BE36FB" w:rsidP="001A7107">
            <w:pPr>
              <w:pStyle w:val="TableText"/>
              <w:rPr>
                <w:rFonts w:cs="Arial"/>
                <w:b/>
              </w:rPr>
            </w:pPr>
            <w:r w:rsidRPr="009B7B35">
              <w:rPr>
                <w:rFonts w:cs="Arial"/>
                <w:b/>
              </w:rPr>
              <w:t>PO9</w:t>
            </w:r>
          </w:p>
          <w:p w14:paraId="3D8CF6FF" w14:textId="77777777" w:rsidR="00BE36FB" w:rsidRPr="009B7B35" w:rsidRDefault="00BE36FB" w:rsidP="001A7107">
            <w:pPr>
              <w:pStyle w:val="TableText"/>
              <w:rPr>
                <w:rFonts w:cs="Arial"/>
              </w:rPr>
            </w:pPr>
            <w:r w:rsidRPr="009B7B35">
              <w:rPr>
                <w:rFonts w:cs="Arial"/>
              </w:rPr>
              <w:t xml:space="preserve">Reconfiguration of land that is partly or wholly within an erosion prone area surrenders the erosion prone area to the State for public purposes.  </w:t>
            </w:r>
          </w:p>
        </w:tc>
        <w:tc>
          <w:tcPr>
            <w:tcW w:w="4678" w:type="dxa"/>
            <w:gridSpan w:val="2"/>
          </w:tcPr>
          <w:p w14:paraId="63EC6C00"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9D25D4A" w14:textId="77777777" w:rsidTr="001A7107">
        <w:trPr>
          <w:cantSplit/>
        </w:trPr>
        <w:tc>
          <w:tcPr>
            <w:tcW w:w="9356" w:type="dxa"/>
            <w:gridSpan w:val="3"/>
            <w:shd w:val="clear" w:color="auto" w:fill="BFBFBF" w:themeFill="background1" w:themeFillShade="BF"/>
          </w:tcPr>
          <w:p w14:paraId="6FF9B645" w14:textId="77777777" w:rsidR="00BE36FB" w:rsidRPr="009B7B35" w:rsidRDefault="00BE36FB" w:rsidP="001A7107">
            <w:pPr>
              <w:pStyle w:val="Tableheading"/>
              <w:rPr>
                <w:rFonts w:ascii="Arial" w:hAnsi="Arial" w:cs="Arial"/>
                <w:szCs w:val="20"/>
              </w:rPr>
            </w:pPr>
            <w:r w:rsidRPr="009B7B35">
              <w:rPr>
                <w:rFonts w:ascii="Arial" w:hAnsi="Arial" w:cs="Arial"/>
                <w:szCs w:val="20"/>
              </w:rPr>
              <w:t>Public access</w:t>
            </w:r>
          </w:p>
        </w:tc>
      </w:tr>
      <w:tr w:rsidR="00BE36FB" w:rsidRPr="009B7B35" w14:paraId="1FB9A8E6" w14:textId="77777777" w:rsidTr="001A7107">
        <w:tc>
          <w:tcPr>
            <w:tcW w:w="4678" w:type="dxa"/>
          </w:tcPr>
          <w:p w14:paraId="7651D332" w14:textId="77777777" w:rsidR="00BE36FB" w:rsidRPr="009B7B35" w:rsidRDefault="00BE36FB" w:rsidP="001A7107">
            <w:pPr>
              <w:pStyle w:val="TableText"/>
              <w:rPr>
                <w:rFonts w:cs="Arial"/>
                <w:b/>
              </w:rPr>
            </w:pPr>
            <w:r w:rsidRPr="009B7B35">
              <w:rPr>
                <w:rFonts w:cs="Arial"/>
                <w:b/>
              </w:rPr>
              <w:t>PO10</w:t>
            </w:r>
          </w:p>
          <w:p w14:paraId="3C2013E9" w14:textId="77777777" w:rsidR="00BE36FB" w:rsidRPr="009B7B35" w:rsidRDefault="00BE36FB" w:rsidP="001A7107">
            <w:pPr>
              <w:pStyle w:val="TableText"/>
              <w:rPr>
                <w:rFonts w:cs="Arial"/>
              </w:rPr>
            </w:pPr>
            <w:r w:rsidRPr="009B7B35">
              <w:rPr>
                <w:rFonts w:cs="Arial"/>
              </w:rPr>
              <w:t>Development (structures, buildings and works) maintains or enhances safe and convenient public access to and along the foreshore, except where restriction of access is for safety reasons or the development is for port infrastructure.</w:t>
            </w:r>
          </w:p>
        </w:tc>
        <w:tc>
          <w:tcPr>
            <w:tcW w:w="4678" w:type="dxa"/>
            <w:gridSpan w:val="2"/>
          </w:tcPr>
          <w:p w14:paraId="35A8971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75E7723" w14:textId="77777777" w:rsidTr="001A7107">
        <w:tc>
          <w:tcPr>
            <w:tcW w:w="4678" w:type="dxa"/>
          </w:tcPr>
          <w:p w14:paraId="30913AF9" w14:textId="77777777" w:rsidR="00BE36FB" w:rsidRPr="009B7B35" w:rsidRDefault="00BE36FB" w:rsidP="001A7107">
            <w:pPr>
              <w:pStyle w:val="TableText"/>
              <w:rPr>
                <w:rFonts w:cs="Arial"/>
                <w:b/>
              </w:rPr>
            </w:pPr>
            <w:r w:rsidRPr="009B7B35">
              <w:rPr>
                <w:rFonts w:cs="Arial"/>
                <w:b/>
              </w:rPr>
              <w:t>PO11</w:t>
            </w:r>
          </w:p>
          <w:p w14:paraId="4E903DDE" w14:textId="77777777" w:rsidR="00BE36FB" w:rsidRPr="009B7B35" w:rsidRDefault="00BE36FB" w:rsidP="001A7107">
            <w:pPr>
              <w:pStyle w:val="TableText"/>
              <w:rPr>
                <w:rFonts w:cs="Arial"/>
              </w:rPr>
            </w:pPr>
            <w:r w:rsidRPr="009B7B35">
              <w:rPr>
                <w:rFonts w:cs="Arial"/>
              </w:rPr>
              <w:t>Public access infrastructure is designed and located to:</w:t>
            </w:r>
          </w:p>
          <w:p w14:paraId="0EA25E92" w14:textId="77777777" w:rsidR="00BE36FB" w:rsidRPr="009B7B35" w:rsidRDefault="00BE36FB" w:rsidP="00BE36FB">
            <w:pPr>
              <w:pStyle w:val="TableText"/>
              <w:numPr>
                <w:ilvl w:val="0"/>
                <w:numId w:val="609"/>
              </w:numPr>
              <w:rPr>
                <w:rFonts w:cs="Arial"/>
              </w:rPr>
            </w:pPr>
            <w:r w:rsidRPr="009B7B35">
              <w:rPr>
                <w:rFonts w:cs="Arial"/>
              </w:rPr>
              <w:t>maintain or enhance natural and cultural values of the foreshore</w:t>
            </w:r>
          </w:p>
          <w:p w14:paraId="0612B041" w14:textId="77777777" w:rsidR="00BE36FB" w:rsidRPr="009B7B35" w:rsidRDefault="00BE36FB" w:rsidP="00BE36FB">
            <w:pPr>
              <w:pStyle w:val="TableText"/>
              <w:numPr>
                <w:ilvl w:val="0"/>
                <w:numId w:val="609"/>
              </w:numPr>
              <w:rPr>
                <w:rFonts w:cs="Arial"/>
              </w:rPr>
            </w:pPr>
            <w:r w:rsidRPr="009B7B35">
              <w:rPr>
                <w:rFonts w:cs="Arial"/>
              </w:rPr>
              <w:t>avoid areas of significant aquatic or terrestrial habitat values</w:t>
            </w:r>
          </w:p>
          <w:p w14:paraId="16005D58" w14:textId="77777777" w:rsidR="00BE36FB" w:rsidRPr="009B7B35" w:rsidRDefault="00BE36FB" w:rsidP="00BE36FB">
            <w:pPr>
              <w:pStyle w:val="TableText"/>
              <w:numPr>
                <w:ilvl w:val="0"/>
                <w:numId w:val="609"/>
              </w:numPr>
              <w:rPr>
                <w:rFonts w:cs="Arial"/>
              </w:rPr>
            </w:pPr>
            <w:r w:rsidRPr="009B7B35">
              <w:rPr>
                <w:rFonts w:cs="Arial"/>
              </w:rPr>
              <w:t>maintain the natural movement of sand and sediment</w:t>
            </w:r>
          </w:p>
          <w:p w14:paraId="2709C77F" w14:textId="77777777" w:rsidR="00BE36FB" w:rsidRPr="009B7B35" w:rsidRDefault="00BE36FB" w:rsidP="00BE36FB">
            <w:pPr>
              <w:pStyle w:val="TableText"/>
              <w:numPr>
                <w:ilvl w:val="0"/>
                <w:numId w:val="609"/>
              </w:numPr>
              <w:rPr>
                <w:rFonts w:cs="Arial"/>
              </w:rPr>
            </w:pPr>
            <w:r w:rsidRPr="009B7B35">
              <w:rPr>
                <w:rFonts w:cs="Arial"/>
              </w:rPr>
              <w:t>avoid contributing to surface or geological instability or erosion of the foreshore</w:t>
            </w:r>
          </w:p>
          <w:p w14:paraId="3D371466" w14:textId="77777777" w:rsidR="00BE36FB" w:rsidRPr="009B7B35" w:rsidRDefault="00BE36FB" w:rsidP="00BE36FB">
            <w:pPr>
              <w:pStyle w:val="TableText"/>
              <w:numPr>
                <w:ilvl w:val="0"/>
                <w:numId w:val="609"/>
              </w:numPr>
              <w:rPr>
                <w:rFonts w:cs="Arial"/>
              </w:rPr>
            </w:pPr>
            <w:r w:rsidRPr="009B7B35">
              <w:rPr>
                <w:rFonts w:cs="Arial"/>
              </w:rPr>
              <w:t>utilise single access points wherever possible</w:t>
            </w:r>
          </w:p>
          <w:p w14:paraId="05166EEA" w14:textId="77777777" w:rsidR="00BE36FB" w:rsidRPr="009B7B35" w:rsidRDefault="00BE36FB" w:rsidP="00BE36FB">
            <w:pPr>
              <w:pStyle w:val="TableText"/>
              <w:numPr>
                <w:ilvl w:val="0"/>
                <w:numId w:val="609"/>
              </w:numPr>
              <w:rPr>
                <w:rFonts w:cs="Arial"/>
              </w:rPr>
            </w:pPr>
            <w:r w:rsidRPr="009B7B35">
              <w:rPr>
                <w:rFonts w:cs="Arial"/>
              </w:rPr>
              <w:t>direct people away from sensitive areas</w:t>
            </w:r>
          </w:p>
          <w:p w14:paraId="48A9C306" w14:textId="77777777" w:rsidR="00BE36FB" w:rsidRPr="009B7B35" w:rsidRDefault="00BE36FB" w:rsidP="00BE36FB">
            <w:pPr>
              <w:pStyle w:val="TableText"/>
              <w:numPr>
                <w:ilvl w:val="0"/>
                <w:numId w:val="609"/>
              </w:numPr>
              <w:rPr>
                <w:rFonts w:cs="Arial"/>
              </w:rPr>
            </w:pPr>
            <w:r w:rsidRPr="009B7B35">
              <w:rPr>
                <w:rFonts w:cs="Arial"/>
              </w:rPr>
              <w:t>be compatible with scenic coastal landscape values, and</w:t>
            </w:r>
          </w:p>
          <w:p w14:paraId="33ABA9FA" w14:textId="77777777" w:rsidR="00BE36FB" w:rsidRPr="009B7B35" w:rsidRDefault="00BE36FB" w:rsidP="00BE36FB">
            <w:pPr>
              <w:pStyle w:val="TableText"/>
              <w:numPr>
                <w:ilvl w:val="0"/>
                <w:numId w:val="609"/>
              </w:numPr>
              <w:rPr>
                <w:rFonts w:cs="Arial"/>
              </w:rPr>
            </w:pPr>
            <w:r w:rsidRPr="009B7B35">
              <w:rPr>
                <w:rFonts w:cs="Arial"/>
              </w:rPr>
              <w:t>ensure users remain on the footpath and walkways to minimise physical impacts on the local environment through appropriate signage and fencing.</w:t>
            </w:r>
          </w:p>
        </w:tc>
        <w:tc>
          <w:tcPr>
            <w:tcW w:w="4678" w:type="dxa"/>
            <w:gridSpan w:val="2"/>
          </w:tcPr>
          <w:p w14:paraId="5BA4ABC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1427523" w14:textId="77777777" w:rsidTr="001A7107">
        <w:trPr>
          <w:cantSplit/>
        </w:trPr>
        <w:tc>
          <w:tcPr>
            <w:tcW w:w="9356" w:type="dxa"/>
            <w:gridSpan w:val="3"/>
            <w:shd w:val="clear" w:color="auto" w:fill="BFBFBF" w:themeFill="background1" w:themeFillShade="BF"/>
          </w:tcPr>
          <w:p w14:paraId="5E0D59FF" w14:textId="77777777" w:rsidR="00BE36FB" w:rsidRPr="009B7B35" w:rsidRDefault="00BE36FB" w:rsidP="001A7107">
            <w:pPr>
              <w:pStyle w:val="Tableheading"/>
              <w:rPr>
                <w:rFonts w:ascii="Arial" w:hAnsi="Arial" w:cs="Arial"/>
                <w:szCs w:val="20"/>
              </w:rPr>
            </w:pPr>
            <w:r w:rsidRPr="009B7B35">
              <w:rPr>
                <w:rFonts w:ascii="Arial" w:hAnsi="Arial" w:cs="Arial"/>
                <w:szCs w:val="20"/>
              </w:rPr>
              <w:t>Coastal protection work</w:t>
            </w:r>
          </w:p>
        </w:tc>
      </w:tr>
      <w:tr w:rsidR="00BE36FB" w:rsidRPr="009B7B35" w14:paraId="407F5358" w14:textId="77777777" w:rsidTr="001A7107">
        <w:tc>
          <w:tcPr>
            <w:tcW w:w="4678" w:type="dxa"/>
          </w:tcPr>
          <w:p w14:paraId="2D948FF7" w14:textId="77777777" w:rsidR="00BE36FB" w:rsidRPr="009B7B35" w:rsidRDefault="00BE36FB" w:rsidP="001A7107">
            <w:pPr>
              <w:pStyle w:val="TableText"/>
              <w:rPr>
                <w:rFonts w:cs="Arial"/>
                <w:b/>
              </w:rPr>
            </w:pPr>
            <w:r w:rsidRPr="009B7B35">
              <w:rPr>
                <w:rFonts w:cs="Arial"/>
                <w:b/>
              </w:rPr>
              <w:t>PO12</w:t>
            </w:r>
          </w:p>
          <w:p w14:paraId="3763BED0" w14:textId="77777777" w:rsidR="00BE36FB" w:rsidRPr="009B7B35" w:rsidRDefault="00BE36FB" w:rsidP="001A7107">
            <w:pPr>
              <w:pStyle w:val="TableText"/>
              <w:rPr>
                <w:rFonts w:cs="Arial"/>
              </w:rPr>
            </w:pPr>
            <w:r w:rsidRPr="009B7B35">
              <w:rPr>
                <w:rFonts w:cs="Arial"/>
              </w:rPr>
              <w:t>Coastal protection works or erosion control structures are:</w:t>
            </w:r>
          </w:p>
          <w:p w14:paraId="089C015D" w14:textId="77777777" w:rsidR="00BE36FB" w:rsidRPr="009B7B35" w:rsidRDefault="00BE36FB" w:rsidP="00BE36FB">
            <w:pPr>
              <w:pStyle w:val="TableText"/>
              <w:numPr>
                <w:ilvl w:val="0"/>
                <w:numId w:val="650"/>
              </w:numPr>
              <w:rPr>
                <w:rFonts w:cs="Arial"/>
              </w:rPr>
            </w:pPr>
            <w:r w:rsidRPr="009B7B35">
              <w:rPr>
                <w:rFonts w:cs="Arial"/>
              </w:rPr>
              <w:t>consistent with a shoreline management plan for the area, or</w:t>
            </w:r>
          </w:p>
          <w:p w14:paraId="63ED116B" w14:textId="77777777" w:rsidR="00BE36FB" w:rsidRPr="009B7B35" w:rsidRDefault="00BE36FB" w:rsidP="00BE36FB">
            <w:pPr>
              <w:pStyle w:val="TableText"/>
              <w:numPr>
                <w:ilvl w:val="0"/>
                <w:numId w:val="650"/>
              </w:numPr>
              <w:rPr>
                <w:rFonts w:cs="Arial"/>
              </w:rPr>
            </w:pPr>
            <w:r w:rsidRPr="009B7B35">
              <w:rPr>
                <w:rFonts w:cs="Arial"/>
              </w:rPr>
              <w:t>constructed only to protect coastal–dependant development or other existing permanent structures from imminent adverse coastal erosion impacts if abandonment or relocation of the structures is not feasible, and a relevant shoreline management plan has not been prepared.</w:t>
            </w:r>
          </w:p>
          <w:p w14:paraId="18C21E66" w14:textId="77777777" w:rsidR="00BE36FB" w:rsidRPr="009B7B35" w:rsidRDefault="00BE36FB" w:rsidP="001A7107">
            <w:pPr>
              <w:pStyle w:val="Notes"/>
              <w:rPr>
                <w:rFonts w:cs="Arial"/>
                <w:sz w:val="20"/>
                <w:szCs w:val="20"/>
              </w:rPr>
            </w:pPr>
            <w:r w:rsidRPr="009B7B35">
              <w:rPr>
                <w:rFonts w:cs="Arial"/>
                <w:sz w:val="20"/>
                <w:szCs w:val="20"/>
              </w:rPr>
              <w:t>Note—Erosion control structures are structures designed to protect land or permanently alter sediment transport processes and include structures such as seawalls or revetments (rock walls), groynes, artificial reefs and breakwaters. Where a shoreline erosion management plan has not been prepared and coastal protection work is required to protect existing structures from coastal erosion threats, beach nourishment is favoured in preference to erosion control structures. The location and materials for beach nourishment works are to ensure the natural characteristics and landform of the beach or foreshore is maintained. Applications demonstrate the consideration of beach nourishment techniques and include a statement of why nourishment (in whole or part) has not been adopted as the preferred means of managing the coastal erosion risk.</w:t>
            </w:r>
          </w:p>
        </w:tc>
        <w:tc>
          <w:tcPr>
            <w:tcW w:w="4678" w:type="dxa"/>
            <w:gridSpan w:val="2"/>
          </w:tcPr>
          <w:p w14:paraId="6A14F170"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FFA409B" w14:textId="77777777" w:rsidTr="001A7107">
        <w:tc>
          <w:tcPr>
            <w:tcW w:w="9356" w:type="dxa"/>
            <w:gridSpan w:val="3"/>
            <w:shd w:val="clear" w:color="auto" w:fill="BFBFBF" w:themeFill="background1" w:themeFillShade="BF"/>
          </w:tcPr>
          <w:p w14:paraId="6FAD21E5" w14:textId="77777777" w:rsidR="00BE36FB" w:rsidRPr="009B7B35" w:rsidRDefault="00BE36FB" w:rsidP="001A7107">
            <w:pPr>
              <w:pStyle w:val="Tableheading"/>
              <w:rPr>
                <w:rFonts w:ascii="Arial" w:hAnsi="Arial" w:cs="Arial"/>
                <w:szCs w:val="20"/>
              </w:rPr>
            </w:pPr>
            <w:r w:rsidRPr="009B7B35">
              <w:rPr>
                <w:rFonts w:ascii="Arial" w:hAnsi="Arial" w:cs="Arial"/>
                <w:szCs w:val="20"/>
              </w:rPr>
              <w:t>Hazardous materials</w:t>
            </w:r>
          </w:p>
        </w:tc>
      </w:tr>
      <w:tr w:rsidR="00BE36FB" w:rsidRPr="009B7B35" w14:paraId="04AF17C3" w14:textId="77777777" w:rsidTr="001A7107">
        <w:tc>
          <w:tcPr>
            <w:tcW w:w="4678" w:type="dxa"/>
          </w:tcPr>
          <w:p w14:paraId="1E8D623D" w14:textId="77777777" w:rsidR="00BE36FB" w:rsidRPr="009B7B35" w:rsidRDefault="00BE36FB" w:rsidP="001A7107">
            <w:pPr>
              <w:pStyle w:val="TableText"/>
              <w:rPr>
                <w:rFonts w:cs="Arial"/>
                <w:b/>
              </w:rPr>
            </w:pPr>
            <w:r w:rsidRPr="009B7B35">
              <w:rPr>
                <w:rFonts w:cs="Arial"/>
                <w:b/>
              </w:rPr>
              <w:t>PO13</w:t>
            </w:r>
          </w:p>
          <w:p w14:paraId="30FE6F2A" w14:textId="77777777" w:rsidR="00BE36FB" w:rsidRPr="009B7B35" w:rsidRDefault="00BE36FB" w:rsidP="001A7107">
            <w:pPr>
              <w:pStyle w:val="TableText"/>
              <w:rPr>
                <w:rFonts w:cs="Arial"/>
              </w:rPr>
            </w:pPr>
            <w:r w:rsidRPr="009B7B35">
              <w:rPr>
                <w:rFonts w:cs="Arial"/>
              </w:rPr>
              <w:t>Public safety and the environment are not adversely affected by the impacts of coastal erosion or storm–tide inundation on hazardous materials manufactured or stored in bulk.</w:t>
            </w:r>
          </w:p>
        </w:tc>
        <w:tc>
          <w:tcPr>
            <w:tcW w:w="4678" w:type="dxa"/>
            <w:gridSpan w:val="2"/>
          </w:tcPr>
          <w:p w14:paraId="2BFB7028" w14:textId="77777777" w:rsidR="00BE36FB" w:rsidRPr="009B7B35" w:rsidRDefault="00BE36FB" w:rsidP="001A7107">
            <w:pPr>
              <w:pStyle w:val="TableText"/>
              <w:rPr>
                <w:rFonts w:cs="Arial"/>
                <w:b/>
              </w:rPr>
            </w:pPr>
            <w:r w:rsidRPr="009B7B35">
              <w:rPr>
                <w:rFonts w:cs="Arial"/>
                <w:b/>
              </w:rPr>
              <w:t>AO13.1</w:t>
            </w:r>
          </w:p>
          <w:p w14:paraId="680A7676" w14:textId="77777777" w:rsidR="00BE36FB" w:rsidRPr="009B7B35" w:rsidRDefault="00BE36FB" w:rsidP="001A7107">
            <w:pPr>
              <w:pStyle w:val="TableText"/>
              <w:rPr>
                <w:rFonts w:cs="Arial"/>
              </w:rPr>
            </w:pPr>
            <w:r w:rsidRPr="009B7B35">
              <w:rPr>
                <w:rFonts w:cs="Arial"/>
              </w:rPr>
              <w:t>Development does not involve the manufacture or storage of hazardous materials within an erosion prone area or high storm tide inundation area.</w:t>
            </w:r>
          </w:p>
          <w:p w14:paraId="746F7517" w14:textId="77777777" w:rsidR="00BE36FB" w:rsidRPr="009B7B35" w:rsidRDefault="00BE36FB" w:rsidP="001A7107">
            <w:pPr>
              <w:pStyle w:val="TableText"/>
              <w:rPr>
                <w:rFonts w:cs="Arial"/>
              </w:rPr>
            </w:pPr>
          </w:p>
          <w:p w14:paraId="72EBE698" w14:textId="77777777" w:rsidR="00BE36FB" w:rsidRPr="009B7B35" w:rsidRDefault="00BE36FB" w:rsidP="001A7107">
            <w:pPr>
              <w:pStyle w:val="TableText"/>
              <w:rPr>
                <w:rFonts w:cs="Arial"/>
              </w:rPr>
            </w:pPr>
            <w:r w:rsidRPr="009B7B35">
              <w:rPr>
                <w:rFonts w:cs="Arial"/>
              </w:rPr>
              <w:t>OR</w:t>
            </w:r>
          </w:p>
          <w:p w14:paraId="5EFA3D25" w14:textId="77777777" w:rsidR="00BE36FB" w:rsidRPr="009B7B35" w:rsidRDefault="00BE36FB" w:rsidP="001A7107">
            <w:pPr>
              <w:pStyle w:val="TableText"/>
              <w:rPr>
                <w:rFonts w:cs="Arial"/>
                <w:b/>
              </w:rPr>
            </w:pPr>
            <w:r w:rsidRPr="009B7B35">
              <w:rPr>
                <w:rFonts w:cs="Arial"/>
                <w:b/>
              </w:rPr>
              <w:t>AO13.2</w:t>
            </w:r>
          </w:p>
          <w:p w14:paraId="41088BE2" w14:textId="77777777" w:rsidR="00BE36FB" w:rsidRPr="009B7B35" w:rsidRDefault="00BE36FB" w:rsidP="001A7107">
            <w:pPr>
              <w:pStyle w:val="TableText"/>
              <w:rPr>
                <w:rFonts w:cs="Arial"/>
              </w:rPr>
            </w:pPr>
            <w:r w:rsidRPr="009B7B35">
              <w:rPr>
                <w:rFonts w:cs="Arial"/>
              </w:rPr>
              <w:t>Within the medium storm tide inundation area, the manufacture or storage of hazardous materials takes place above the defined storm tide event level.</w:t>
            </w:r>
          </w:p>
          <w:p w14:paraId="7FEB35F7" w14:textId="77777777" w:rsidR="00BE36FB" w:rsidRPr="009B7B35" w:rsidRDefault="00BE36FB" w:rsidP="001A7107">
            <w:pPr>
              <w:pStyle w:val="TableText"/>
              <w:rPr>
                <w:rFonts w:cs="Arial"/>
              </w:rPr>
            </w:pPr>
          </w:p>
          <w:p w14:paraId="7D822EE7" w14:textId="77777777" w:rsidR="00BE36FB" w:rsidRPr="009B7B35" w:rsidRDefault="00BE36FB" w:rsidP="001A7107">
            <w:pPr>
              <w:pStyle w:val="TableText"/>
              <w:rPr>
                <w:rFonts w:cs="Arial"/>
              </w:rPr>
            </w:pPr>
            <w:r w:rsidRPr="009B7B35">
              <w:rPr>
                <w:rFonts w:cs="Arial"/>
              </w:rPr>
              <w:t>AND</w:t>
            </w:r>
          </w:p>
          <w:p w14:paraId="064E3C99" w14:textId="77777777" w:rsidR="00BE36FB" w:rsidRPr="009B7B35" w:rsidRDefault="00BE36FB" w:rsidP="001A7107">
            <w:pPr>
              <w:pStyle w:val="TableText"/>
              <w:rPr>
                <w:rFonts w:cs="Arial"/>
                <w:b/>
              </w:rPr>
            </w:pPr>
            <w:r w:rsidRPr="009B7B35">
              <w:rPr>
                <w:rFonts w:cs="Arial"/>
                <w:b/>
              </w:rPr>
              <w:t>AO13.3</w:t>
            </w:r>
          </w:p>
          <w:p w14:paraId="0277639F" w14:textId="77777777" w:rsidR="00BE36FB" w:rsidRPr="009B7B35" w:rsidRDefault="00BE36FB" w:rsidP="001A7107">
            <w:pPr>
              <w:pStyle w:val="TableText"/>
              <w:rPr>
                <w:rFonts w:cs="Arial"/>
              </w:rPr>
            </w:pPr>
            <w:r w:rsidRPr="009B7B35">
              <w:rPr>
                <w:rFonts w:cs="Arial"/>
              </w:rPr>
              <w:t>Structures used for the manufacture or storage of hazardous material in bulk are designed to prevent the intrusion of floodwaters.</w:t>
            </w:r>
          </w:p>
          <w:p w14:paraId="39357A6B" w14:textId="77777777" w:rsidR="00BE36FB" w:rsidRPr="009B7B35" w:rsidRDefault="00BE36FB" w:rsidP="001A7107">
            <w:pPr>
              <w:pStyle w:val="TableText"/>
              <w:rPr>
                <w:rFonts w:cs="Arial"/>
              </w:rPr>
            </w:pPr>
          </w:p>
          <w:p w14:paraId="53A6226E" w14:textId="77777777" w:rsidR="00BE36FB" w:rsidRPr="009B7B35" w:rsidRDefault="00BE36FB" w:rsidP="001A7107">
            <w:pPr>
              <w:pStyle w:val="TableText"/>
              <w:rPr>
                <w:rFonts w:cs="Arial"/>
              </w:rPr>
            </w:pPr>
            <w:r w:rsidRPr="009B7B35">
              <w:rPr>
                <w:rFonts w:cs="Arial"/>
              </w:rPr>
              <w:t>AND</w:t>
            </w:r>
          </w:p>
          <w:p w14:paraId="2783B259" w14:textId="77777777" w:rsidR="00BE36FB" w:rsidRPr="009B7B35" w:rsidRDefault="00BE36FB" w:rsidP="001A7107">
            <w:pPr>
              <w:pStyle w:val="TableText"/>
              <w:rPr>
                <w:rFonts w:cs="Arial"/>
                <w:b/>
              </w:rPr>
            </w:pPr>
            <w:r w:rsidRPr="009B7B35">
              <w:rPr>
                <w:rFonts w:cs="Arial"/>
                <w:b/>
              </w:rPr>
              <w:t>AO13</w:t>
            </w:r>
            <w:r w:rsidRPr="009B7B35">
              <w:rPr>
                <w:rStyle w:val="Strong"/>
                <w:rFonts w:eastAsiaTheme="majorEastAsia" w:cs="Arial"/>
              </w:rPr>
              <w:t>.4</w:t>
            </w:r>
          </w:p>
          <w:p w14:paraId="025DD8C0" w14:textId="77777777" w:rsidR="00BE36FB" w:rsidRPr="009B7B35" w:rsidRDefault="00BE36FB" w:rsidP="001A7107">
            <w:pPr>
              <w:pStyle w:val="TableText"/>
              <w:rPr>
                <w:rFonts w:cs="Arial"/>
              </w:rPr>
            </w:pPr>
            <w:r w:rsidRPr="009B7B35">
              <w:rPr>
                <w:rFonts w:cs="Arial"/>
              </w:rPr>
              <w:t>The quantity of hazardous chemicals is less than:</w:t>
            </w:r>
          </w:p>
          <w:p w14:paraId="6550FE1D" w14:textId="77777777" w:rsidR="00BE36FB" w:rsidRPr="009B7B35" w:rsidRDefault="00BE36FB" w:rsidP="00BE36FB">
            <w:pPr>
              <w:pStyle w:val="TableText"/>
              <w:numPr>
                <w:ilvl w:val="0"/>
                <w:numId w:val="610"/>
              </w:numPr>
              <w:rPr>
                <w:rFonts w:cs="Arial"/>
              </w:rPr>
            </w:pPr>
            <w:r w:rsidRPr="009B7B35">
              <w:rPr>
                <w:rFonts w:cs="Arial"/>
              </w:rPr>
              <w:t>flammable gases &gt; 5,000L, or</w:t>
            </w:r>
          </w:p>
          <w:p w14:paraId="6F31797F" w14:textId="77777777" w:rsidR="00BE36FB" w:rsidRPr="009B7B35" w:rsidRDefault="00BE36FB" w:rsidP="00BE36FB">
            <w:pPr>
              <w:pStyle w:val="TableText"/>
              <w:numPr>
                <w:ilvl w:val="0"/>
                <w:numId w:val="610"/>
              </w:numPr>
              <w:rPr>
                <w:rFonts w:cs="Arial"/>
              </w:rPr>
            </w:pPr>
            <w:r w:rsidRPr="009B7B35">
              <w:rPr>
                <w:rFonts w:cs="Arial"/>
              </w:rPr>
              <w:t>toxic gases &gt;500L, or</w:t>
            </w:r>
          </w:p>
          <w:p w14:paraId="580F019C" w14:textId="77777777" w:rsidR="00BE36FB" w:rsidRPr="009B7B35" w:rsidRDefault="00BE36FB" w:rsidP="00BE36FB">
            <w:pPr>
              <w:pStyle w:val="TableText"/>
              <w:numPr>
                <w:ilvl w:val="0"/>
                <w:numId w:val="610"/>
              </w:numPr>
              <w:rPr>
                <w:rFonts w:cs="Arial"/>
              </w:rPr>
            </w:pPr>
            <w:r w:rsidRPr="009B7B35">
              <w:rPr>
                <w:rFonts w:cs="Arial"/>
              </w:rPr>
              <w:t>non–toxic, non–flammable gases including oxidising gases &gt;10,000L, or</w:t>
            </w:r>
          </w:p>
          <w:p w14:paraId="52BD9CE8" w14:textId="77777777" w:rsidR="00BE36FB" w:rsidRPr="009B7B35" w:rsidRDefault="00BE36FB" w:rsidP="00BE36FB">
            <w:pPr>
              <w:pStyle w:val="TableText"/>
              <w:numPr>
                <w:ilvl w:val="0"/>
                <w:numId w:val="610"/>
              </w:numPr>
              <w:rPr>
                <w:rFonts w:cs="Arial"/>
              </w:rPr>
            </w:pPr>
            <w:r w:rsidRPr="009B7B35">
              <w:rPr>
                <w:rFonts w:cs="Arial"/>
              </w:rPr>
              <w:t>classes 3, 4, 5, 6.1, 8 and 9 of packing group I &gt; 500 L or kg of the ADG code, or</w:t>
            </w:r>
          </w:p>
          <w:p w14:paraId="4F3944F3" w14:textId="77777777" w:rsidR="00BE36FB" w:rsidRPr="009B7B35" w:rsidRDefault="00BE36FB" w:rsidP="00BE36FB">
            <w:pPr>
              <w:pStyle w:val="TableText"/>
              <w:numPr>
                <w:ilvl w:val="0"/>
                <w:numId w:val="610"/>
              </w:numPr>
              <w:rPr>
                <w:rFonts w:cs="Arial"/>
              </w:rPr>
            </w:pPr>
            <w:r w:rsidRPr="009B7B35">
              <w:rPr>
                <w:rFonts w:cs="Arial"/>
              </w:rPr>
              <w:t>classes 3, 4, 5, 6.1, 8 and 9 of packing group II &gt; 2,500 L or kg of the ADG code, or</w:t>
            </w:r>
          </w:p>
          <w:p w14:paraId="631701DB" w14:textId="77777777" w:rsidR="00BE36FB" w:rsidRPr="009B7B35" w:rsidRDefault="00BE36FB" w:rsidP="00BE36FB">
            <w:pPr>
              <w:pStyle w:val="TableText"/>
              <w:numPr>
                <w:ilvl w:val="0"/>
                <w:numId w:val="610"/>
              </w:numPr>
              <w:rPr>
                <w:rFonts w:cs="Arial"/>
              </w:rPr>
            </w:pPr>
            <w:r w:rsidRPr="009B7B35">
              <w:rPr>
                <w:rFonts w:cs="Arial"/>
              </w:rPr>
              <w:t>classes 3, 4, 5, 6.1, 8 and 9 of packing group III &gt; 10,000 L or kg of the ADG code.</w:t>
            </w:r>
          </w:p>
        </w:tc>
      </w:tr>
      <w:tr w:rsidR="00BE36FB" w:rsidRPr="009B7B35" w14:paraId="4CF23E8C" w14:textId="77777777" w:rsidTr="001A7107">
        <w:trPr>
          <w:cantSplit/>
        </w:trPr>
        <w:tc>
          <w:tcPr>
            <w:tcW w:w="9356" w:type="dxa"/>
            <w:gridSpan w:val="3"/>
            <w:shd w:val="clear" w:color="auto" w:fill="BFBFBF" w:themeFill="background1" w:themeFillShade="BF"/>
          </w:tcPr>
          <w:p w14:paraId="4C2F4837" w14:textId="77777777" w:rsidR="00BE36FB" w:rsidRPr="009B7B35" w:rsidRDefault="00BE36FB" w:rsidP="001A7107">
            <w:pPr>
              <w:pStyle w:val="Tableheading"/>
              <w:rPr>
                <w:rFonts w:ascii="Arial" w:hAnsi="Arial" w:cs="Arial"/>
                <w:szCs w:val="20"/>
              </w:rPr>
            </w:pPr>
            <w:r w:rsidRPr="009B7B35">
              <w:rPr>
                <w:rFonts w:ascii="Arial" w:hAnsi="Arial" w:cs="Arial"/>
                <w:szCs w:val="20"/>
              </w:rPr>
              <w:t>Community infrastructure</w:t>
            </w:r>
          </w:p>
        </w:tc>
      </w:tr>
      <w:tr w:rsidR="00BE36FB" w:rsidRPr="009B7B35" w14:paraId="6473B0E1" w14:textId="77777777" w:rsidTr="001A7107">
        <w:trPr>
          <w:cantSplit/>
        </w:trPr>
        <w:tc>
          <w:tcPr>
            <w:tcW w:w="4678" w:type="dxa"/>
          </w:tcPr>
          <w:p w14:paraId="04564F2A" w14:textId="77777777" w:rsidR="00BE36FB" w:rsidRPr="009B7B35" w:rsidRDefault="00BE36FB" w:rsidP="001A7107">
            <w:pPr>
              <w:pStyle w:val="TableText"/>
              <w:rPr>
                <w:rFonts w:cs="Arial"/>
                <w:b/>
              </w:rPr>
            </w:pPr>
            <w:r w:rsidRPr="009B7B35">
              <w:rPr>
                <w:rFonts w:cs="Arial"/>
                <w:b/>
              </w:rPr>
              <w:t>PO14</w:t>
            </w:r>
          </w:p>
          <w:p w14:paraId="7E27AA9D" w14:textId="77777777" w:rsidR="00BE36FB" w:rsidRPr="009B7B35" w:rsidRDefault="00BE36FB" w:rsidP="001A7107">
            <w:pPr>
              <w:pStyle w:val="TableText"/>
              <w:rPr>
                <w:rFonts w:cs="Arial"/>
              </w:rPr>
            </w:pPr>
            <w:r w:rsidRPr="009B7B35">
              <w:rPr>
                <w:rFonts w:cs="Arial"/>
              </w:rPr>
              <w:t xml:space="preserve">Community infrastructure is able to function effectively during and immediately after a storm tide inundation event. </w:t>
            </w:r>
          </w:p>
        </w:tc>
        <w:tc>
          <w:tcPr>
            <w:tcW w:w="4678" w:type="dxa"/>
            <w:gridSpan w:val="2"/>
          </w:tcPr>
          <w:p w14:paraId="52C93741" w14:textId="77777777" w:rsidR="00BE36FB" w:rsidRPr="009B7B35" w:rsidRDefault="00BE36FB" w:rsidP="001A7107">
            <w:pPr>
              <w:pStyle w:val="TableText"/>
              <w:rPr>
                <w:rFonts w:cs="Arial"/>
                <w:b/>
              </w:rPr>
            </w:pPr>
            <w:r w:rsidRPr="009B7B35">
              <w:rPr>
                <w:rFonts w:cs="Arial"/>
                <w:b/>
              </w:rPr>
              <w:t>AO14</w:t>
            </w:r>
          </w:p>
          <w:p w14:paraId="0C5999F3" w14:textId="77777777" w:rsidR="00BE36FB" w:rsidRPr="009B7B35" w:rsidRDefault="00BE36FB" w:rsidP="001A7107">
            <w:pPr>
              <w:pStyle w:val="TableText"/>
              <w:rPr>
                <w:rFonts w:cs="Arial"/>
              </w:rPr>
            </w:pPr>
            <w:r w:rsidRPr="009B7B35">
              <w:rPr>
                <w:rFonts w:cs="Arial"/>
              </w:rPr>
              <w:t>Community infrastructure is located in an area that is above the storm tide event level for that activity in accordance with Table 8.2.5.3.3 —Recommended storm–tide event levels for community service infrastructure.</w:t>
            </w:r>
          </w:p>
        </w:tc>
      </w:tr>
    </w:tbl>
    <w:p w14:paraId="45558B05" w14:textId="77777777" w:rsidR="00BE36FB" w:rsidRPr="009B7B35" w:rsidRDefault="00BE36FB" w:rsidP="001A7107">
      <w:pPr>
        <w:pStyle w:val="Heading5"/>
        <w:numPr>
          <w:ilvl w:val="0"/>
          <w:numId w:val="0"/>
        </w:numPr>
        <w:rPr>
          <w:rFonts w:cs="Arial"/>
          <w:szCs w:val="20"/>
        </w:rPr>
      </w:pPr>
      <w:r w:rsidRPr="009B7B35">
        <w:rPr>
          <w:rFonts w:cs="Arial"/>
          <w:szCs w:val="20"/>
        </w:rPr>
        <w:t>Table 8.2.5.3.3—Recommended storm–tide event levels for community service infrastructure</w:t>
      </w:r>
    </w:p>
    <w:tbl>
      <w:tblPr>
        <w:tblStyle w:val="Tablestyle"/>
        <w:tblW w:w="0" w:type="auto"/>
        <w:tblLook w:val="04A0" w:firstRow="1" w:lastRow="0" w:firstColumn="1" w:lastColumn="0" w:noHBand="0" w:noVBand="1"/>
      </w:tblPr>
      <w:tblGrid>
        <w:gridCol w:w="4223"/>
        <w:gridCol w:w="4140"/>
      </w:tblGrid>
      <w:tr w:rsidR="00BE36FB" w:rsidRPr="009B7B35" w14:paraId="5A9FDD1D" w14:textId="77777777" w:rsidTr="001A710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78" w:type="dxa"/>
          </w:tcPr>
          <w:p w14:paraId="7DC30C24" w14:textId="77777777" w:rsidR="00BE36FB" w:rsidRPr="009B7B35" w:rsidRDefault="00BE36FB" w:rsidP="001A7107">
            <w:pPr>
              <w:pStyle w:val="TableText"/>
              <w:rPr>
                <w:rFonts w:cs="Arial"/>
              </w:rPr>
            </w:pPr>
            <w:r w:rsidRPr="009B7B35">
              <w:rPr>
                <w:rFonts w:cs="Arial"/>
              </w:rPr>
              <w:t>Type of community service infrastructure</w:t>
            </w:r>
          </w:p>
        </w:tc>
        <w:tc>
          <w:tcPr>
            <w:tcW w:w="4678" w:type="dxa"/>
          </w:tcPr>
          <w:p w14:paraId="3EB5AC4D"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Recommended storm–tide event level (RSTEL)</w:t>
            </w:r>
          </w:p>
        </w:tc>
      </w:tr>
      <w:tr w:rsidR="00BE36FB" w:rsidRPr="009B7B35" w14:paraId="43DBD35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41F284E4" w14:textId="77777777" w:rsidR="00BE36FB" w:rsidRPr="009B7B35" w:rsidRDefault="00BE36FB" w:rsidP="001A7107">
            <w:pPr>
              <w:pStyle w:val="TableText"/>
              <w:rPr>
                <w:rFonts w:cs="Arial"/>
              </w:rPr>
            </w:pPr>
            <w:r w:rsidRPr="009B7B35">
              <w:rPr>
                <w:rFonts w:cs="Arial"/>
              </w:rPr>
              <w:t>Emergency services facilities*</w:t>
            </w:r>
          </w:p>
        </w:tc>
        <w:tc>
          <w:tcPr>
            <w:tcW w:w="4678" w:type="dxa"/>
          </w:tcPr>
          <w:p w14:paraId="0FE0F32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0.2% annual exceedance probability (AEP)</w:t>
            </w:r>
          </w:p>
        </w:tc>
      </w:tr>
      <w:tr w:rsidR="00BE36FB" w:rsidRPr="009B7B35" w14:paraId="236DDE0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63486E3A" w14:textId="77777777" w:rsidR="00BE36FB" w:rsidRPr="009B7B35" w:rsidRDefault="00BE36FB" w:rsidP="001A7107">
            <w:pPr>
              <w:pStyle w:val="TableText"/>
              <w:rPr>
                <w:rFonts w:cs="Arial"/>
              </w:rPr>
            </w:pPr>
            <w:r w:rsidRPr="009B7B35">
              <w:rPr>
                <w:rFonts w:cs="Arial"/>
              </w:rPr>
              <w:t>Emergency shelters</w:t>
            </w:r>
          </w:p>
        </w:tc>
        <w:tc>
          <w:tcPr>
            <w:tcW w:w="4678" w:type="dxa"/>
          </w:tcPr>
          <w:p w14:paraId="6CB97FE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See reference **</w:t>
            </w:r>
          </w:p>
        </w:tc>
      </w:tr>
      <w:tr w:rsidR="00BE36FB" w:rsidRPr="009B7B35" w14:paraId="085FC60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48EA6850" w14:textId="77777777" w:rsidR="00BE36FB" w:rsidRPr="009B7B35" w:rsidRDefault="00BE36FB" w:rsidP="001A7107">
            <w:pPr>
              <w:pStyle w:val="TableText"/>
              <w:rPr>
                <w:rFonts w:cs="Arial"/>
              </w:rPr>
            </w:pPr>
            <w:r w:rsidRPr="009B7B35">
              <w:rPr>
                <w:rFonts w:cs="Arial"/>
              </w:rPr>
              <w:t>Hospitals and associated facilities</w:t>
            </w:r>
          </w:p>
        </w:tc>
        <w:tc>
          <w:tcPr>
            <w:tcW w:w="4678" w:type="dxa"/>
          </w:tcPr>
          <w:p w14:paraId="63B0956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0.2% AEP</w:t>
            </w:r>
          </w:p>
        </w:tc>
      </w:tr>
      <w:tr w:rsidR="00BE36FB" w:rsidRPr="009B7B35" w14:paraId="420A226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5D3C5321" w14:textId="77777777" w:rsidR="00BE36FB" w:rsidRPr="009B7B35" w:rsidRDefault="00BE36FB" w:rsidP="001A7107">
            <w:pPr>
              <w:pStyle w:val="TableText"/>
              <w:rPr>
                <w:rFonts w:cs="Arial"/>
              </w:rPr>
            </w:pPr>
            <w:r w:rsidRPr="009B7B35">
              <w:rPr>
                <w:rFonts w:cs="Arial"/>
              </w:rPr>
              <w:t>Major switch yards and substations*</w:t>
            </w:r>
          </w:p>
        </w:tc>
        <w:tc>
          <w:tcPr>
            <w:tcW w:w="4678" w:type="dxa"/>
          </w:tcPr>
          <w:p w14:paraId="6E4E045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0.5% AEP</w:t>
            </w:r>
          </w:p>
        </w:tc>
      </w:tr>
      <w:tr w:rsidR="00BE36FB" w:rsidRPr="009B7B35" w14:paraId="3E2FB61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19D783BF" w14:textId="77777777" w:rsidR="00BE36FB" w:rsidRPr="009B7B35" w:rsidRDefault="00BE36FB" w:rsidP="001A7107">
            <w:pPr>
              <w:pStyle w:val="TableText"/>
              <w:rPr>
                <w:rFonts w:cs="Arial"/>
              </w:rPr>
            </w:pPr>
            <w:r w:rsidRPr="009B7B35">
              <w:rPr>
                <w:rFonts w:cs="Arial"/>
              </w:rPr>
              <w:t>Police facilities*</w:t>
            </w:r>
          </w:p>
        </w:tc>
        <w:tc>
          <w:tcPr>
            <w:tcW w:w="4678" w:type="dxa"/>
          </w:tcPr>
          <w:p w14:paraId="7BE5E92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0.2% AEP</w:t>
            </w:r>
          </w:p>
        </w:tc>
      </w:tr>
      <w:tr w:rsidR="00BE36FB" w:rsidRPr="009B7B35" w14:paraId="5CDEFEB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476A9B74" w14:textId="77777777" w:rsidR="00BE36FB" w:rsidRPr="009B7B35" w:rsidRDefault="00BE36FB" w:rsidP="001A7107">
            <w:pPr>
              <w:pStyle w:val="TableText"/>
              <w:rPr>
                <w:rFonts w:cs="Arial"/>
              </w:rPr>
            </w:pPr>
            <w:r w:rsidRPr="009B7B35">
              <w:rPr>
                <w:rFonts w:cs="Arial"/>
              </w:rPr>
              <w:t>Power stations</w:t>
            </w:r>
          </w:p>
        </w:tc>
        <w:tc>
          <w:tcPr>
            <w:tcW w:w="4678" w:type="dxa"/>
          </w:tcPr>
          <w:p w14:paraId="5FDA82F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0.2% AEP</w:t>
            </w:r>
          </w:p>
        </w:tc>
      </w:tr>
      <w:tr w:rsidR="00BE36FB" w:rsidRPr="009B7B35" w14:paraId="6F50BE3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71DDB8A5" w14:textId="77777777" w:rsidR="00BE36FB" w:rsidRPr="009B7B35" w:rsidRDefault="00BE36FB" w:rsidP="001A7107">
            <w:pPr>
              <w:pStyle w:val="TableText"/>
              <w:rPr>
                <w:rFonts w:cs="Arial"/>
              </w:rPr>
            </w:pPr>
            <w:r w:rsidRPr="009B7B35">
              <w:rPr>
                <w:rFonts w:cs="Arial"/>
              </w:rPr>
              <w:t>Sewerage treatment plants*</w:t>
            </w:r>
          </w:p>
        </w:tc>
        <w:tc>
          <w:tcPr>
            <w:tcW w:w="4678" w:type="dxa"/>
          </w:tcPr>
          <w:p w14:paraId="620184C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0.01% AEP</w:t>
            </w:r>
          </w:p>
        </w:tc>
      </w:tr>
      <w:tr w:rsidR="00BE36FB" w:rsidRPr="009B7B35" w14:paraId="7C00126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079DDC43" w14:textId="77777777" w:rsidR="00BE36FB" w:rsidRPr="009B7B35" w:rsidRDefault="00BE36FB" w:rsidP="001A7107">
            <w:pPr>
              <w:pStyle w:val="TableText"/>
              <w:rPr>
                <w:rFonts w:cs="Arial"/>
              </w:rPr>
            </w:pPr>
            <w:r w:rsidRPr="009B7B35">
              <w:rPr>
                <w:rFonts w:cs="Arial"/>
              </w:rPr>
              <w:t>School facilities</w:t>
            </w:r>
          </w:p>
        </w:tc>
        <w:tc>
          <w:tcPr>
            <w:tcW w:w="4678" w:type="dxa"/>
          </w:tcPr>
          <w:p w14:paraId="4E17A41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0.55% AEP</w:t>
            </w:r>
          </w:p>
        </w:tc>
      </w:tr>
      <w:tr w:rsidR="00BE36FB" w:rsidRPr="009B7B35" w14:paraId="29DBF92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29CFBF48" w14:textId="77777777" w:rsidR="00BE36FB" w:rsidRPr="009B7B35" w:rsidRDefault="00BE36FB" w:rsidP="001A7107">
            <w:pPr>
              <w:pStyle w:val="TableText"/>
              <w:rPr>
                <w:rFonts w:cs="Arial"/>
              </w:rPr>
            </w:pPr>
            <w:r w:rsidRPr="009B7B35">
              <w:rPr>
                <w:rFonts w:cs="Arial"/>
              </w:rPr>
              <w:t>Stores of valuable records or items of historic or cultural significance (e.g. galleries and libraries)</w:t>
            </w:r>
          </w:p>
        </w:tc>
        <w:tc>
          <w:tcPr>
            <w:tcW w:w="4678" w:type="dxa"/>
          </w:tcPr>
          <w:p w14:paraId="21EA055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0.5% AEP</w:t>
            </w:r>
          </w:p>
        </w:tc>
      </w:tr>
      <w:tr w:rsidR="00BE36FB" w:rsidRPr="009B7B35" w14:paraId="2EC21BE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76F2347E" w14:textId="77777777" w:rsidR="00BE36FB" w:rsidRPr="009B7B35" w:rsidRDefault="00BE36FB" w:rsidP="001A7107">
            <w:pPr>
              <w:pStyle w:val="TableText"/>
              <w:rPr>
                <w:rFonts w:cs="Arial"/>
              </w:rPr>
            </w:pPr>
            <w:r w:rsidRPr="009B7B35">
              <w:rPr>
                <w:rFonts w:cs="Arial"/>
              </w:rPr>
              <w:t>Water treatment plants*</w:t>
            </w:r>
          </w:p>
        </w:tc>
        <w:tc>
          <w:tcPr>
            <w:tcW w:w="4678" w:type="dxa"/>
          </w:tcPr>
          <w:p w14:paraId="44D4B21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0.5% AEP</w:t>
            </w:r>
          </w:p>
        </w:tc>
      </w:tr>
      <w:tr w:rsidR="00BE36FB" w:rsidRPr="009B7B35" w14:paraId="7D0D41F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67B5B2E0" w14:textId="77777777" w:rsidR="00BE36FB" w:rsidRPr="009B7B35" w:rsidRDefault="00BE36FB" w:rsidP="00BE36FB">
            <w:pPr>
              <w:pStyle w:val="TableText"/>
              <w:numPr>
                <w:ilvl w:val="0"/>
                <w:numId w:val="651"/>
              </w:numPr>
              <w:rPr>
                <w:rFonts w:cs="Arial"/>
              </w:rPr>
            </w:pPr>
            <w:r w:rsidRPr="009B7B35">
              <w:rPr>
                <w:rFonts w:cs="Arial"/>
              </w:rPr>
              <w:t>works of an electricity entity not otherwise listed in this table</w:t>
            </w:r>
          </w:p>
          <w:p w14:paraId="409C3788" w14:textId="77777777" w:rsidR="00BE36FB" w:rsidRPr="009B7B35" w:rsidRDefault="00BE36FB" w:rsidP="00BE36FB">
            <w:pPr>
              <w:pStyle w:val="TableText"/>
              <w:numPr>
                <w:ilvl w:val="0"/>
                <w:numId w:val="651"/>
              </w:numPr>
              <w:rPr>
                <w:rFonts w:cs="Arial"/>
              </w:rPr>
            </w:pPr>
            <w:r w:rsidRPr="009B7B35">
              <w:rPr>
                <w:rFonts w:cs="Arial"/>
              </w:rPr>
              <w:t>communication network facilities.</w:t>
            </w:r>
          </w:p>
        </w:tc>
        <w:tc>
          <w:tcPr>
            <w:tcW w:w="4678" w:type="dxa"/>
          </w:tcPr>
          <w:p w14:paraId="440B356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No specific recommended storm–tide event level but development proponents should ensure that the infrastructure is optimally located and designed to achieve suitable levels of service, having regard to the processes and policies of the administrating government agency.</w:t>
            </w:r>
          </w:p>
        </w:tc>
      </w:tr>
    </w:tbl>
    <w:p w14:paraId="00A91A8C" w14:textId="77777777" w:rsidR="00BE36FB" w:rsidRPr="009B7B35" w:rsidRDefault="00BE36FB" w:rsidP="001A7107">
      <w:pPr>
        <w:pStyle w:val="Notes"/>
        <w:rPr>
          <w:rFonts w:cs="Arial"/>
          <w:sz w:val="20"/>
          <w:szCs w:val="20"/>
        </w:rPr>
      </w:pPr>
      <w:r w:rsidRPr="009B7B35">
        <w:rPr>
          <w:rFonts w:cs="Arial"/>
          <w:sz w:val="20"/>
          <w:szCs w:val="20"/>
        </w:rPr>
        <w:t>* The RSTEL applies only to electrical and other equipment that, if damaged by floodwater or debris, would prevent the infrastructure from functioning. This equipment should either be protected from damage or designed to withstand inundation.  Also some police and emergency service facilities (e.g. water police and search and rescue operations) are dependent on direct water access.  RSTELs do not apply to these aspects but other operational areas should be located above the RSTEL to the greatest extent possible.</w:t>
      </w:r>
    </w:p>
    <w:p w14:paraId="726C10BF" w14:textId="77777777" w:rsidR="00BE36FB" w:rsidRPr="009B7B35" w:rsidRDefault="00BE36FB" w:rsidP="001A7107">
      <w:pPr>
        <w:pStyle w:val="Notes"/>
        <w:rPr>
          <w:rFonts w:cs="Arial"/>
          <w:sz w:val="20"/>
          <w:szCs w:val="20"/>
        </w:rPr>
      </w:pPr>
      <w:r w:rsidRPr="009B7B35">
        <w:rPr>
          <w:rFonts w:cs="Arial"/>
          <w:sz w:val="20"/>
          <w:szCs w:val="20"/>
        </w:rPr>
        <w:t xml:space="preserve">** Design Guidelines for Queensland Public Cyclone Shelters is available at </w:t>
      </w:r>
      <w:hyperlink r:id="rId84" w:history="1">
        <w:r w:rsidRPr="009B7B35">
          <w:rPr>
            <w:rStyle w:val="Hyperlink"/>
            <w:rFonts w:cs="Arial"/>
            <w:sz w:val="20"/>
            <w:szCs w:val="20"/>
          </w:rPr>
          <w:t>Department of Housing and Public Works</w:t>
        </w:r>
      </w:hyperlink>
      <w:r w:rsidRPr="009B7B35">
        <w:rPr>
          <w:rFonts w:cs="Arial"/>
          <w:sz w:val="20"/>
          <w:szCs w:val="20"/>
        </w:rPr>
        <w:t>.</w:t>
      </w:r>
    </w:p>
    <w:p w14:paraId="36CB6FD1" w14:textId="77777777" w:rsidR="00BE36FB" w:rsidRPr="009B7B35" w:rsidRDefault="00BE36FB" w:rsidP="001A7107">
      <w:pPr>
        <w:rPr>
          <w:rFonts w:ascii="Arial" w:hAnsi="Arial" w:cs="Arial"/>
          <w:sz w:val="20"/>
          <w:szCs w:val="20"/>
        </w:rPr>
      </w:pPr>
    </w:p>
    <w:p w14:paraId="358D70AE" w14:textId="77777777" w:rsidR="00BE36FB" w:rsidRPr="009B7B35" w:rsidRDefault="00BE36FB" w:rsidP="001A7107">
      <w:pPr>
        <w:rPr>
          <w:rFonts w:ascii="Arial" w:hAnsi="Arial" w:cs="Arial"/>
          <w:sz w:val="20"/>
          <w:szCs w:val="20"/>
          <w:lang w:eastAsia="en-US"/>
        </w:rPr>
      </w:pPr>
    </w:p>
    <w:p w14:paraId="0E288F31" w14:textId="77777777" w:rsidR="00BE36FB" w:rsidRPr="009B7B35" w:rsidRDefault="00BE36FB" w:rsidP="001A7107">
      <w:pPr>
        <w:rPr>
          <w:rFonts w:ascii="Arial" w:hAnsi="Arial" w:cs="Arial"/>
          <w:sz w:val="20"/>
          <w:szCs w:val="20"/>
          <w:lang w:eastAsia="en-US"/>
        </w:rPr>
      </w:pPr>
    </w:p>
    <w:p w14:paraId="450A0552" w14:textId="77777777" w:rsidR="00BE36FB" w:rsidRPr="009B7B35" w:rsidRDefault="00BE36FB" w:rsidP="001A7107">
      <w:pPr>
        <w:rPr>
          <w:rFonts w:ascii="Arial" w:hAnsi="Arial" w:cs="Arial"/>
          <w:sz w:val="20"/>
          <w:szCs w:val="20"/>
          <w:lang w:eastAsia="en-US"/>
        </w:rPr>
      </w:pPr>
    </w:p>
    <w:p w14:paraId="2C7AEF4F" w14:textId="77777777" w:rsidR="00BE36FB" w:rsidRPr="009B7B35" w:rsidRDefault="00BE36FB" w:rsidP="001A7107">
      <w:pPr>
        <w:rPr>
          <w:rFonts w:ascii="Arial" w:hAnsi="Arial" w:cs="Arial"/>
          <w:sz w:val="20"/>
          <w:szCs w:val="20"/>
          <w:lang w:eastAsia="en-US"/>
        </w:rPr>
      </w:pPr>
    </w:p>
    <w:p w14:paraId="033B7F59" w14:textId="77777777" w:rsidR="00BE36FB" w:rsidRPr="009B7B35" w:rsidRDefault="00BE36FB" w:rsidP="001A7107">
      <w:pPr>
        <w:rPr>
          <w:rFonts w:ascii="Arial" w:hAnsi="Arial" w:cs="Arial"/>
          <w:sz w:val="20"/>
          <w:szCs w:val="20"/>
          <w:lang w:eastAsia="en-US"/>
        </w:rPr>
      </w:pPr>
    </w:p>
    <w:p w14:paraId="1C911E0D" w14:textId="77777777" w:rsidR="00BE36FB" w:rsidRPr="009B7B35" w:rsidRDefault="00BE36FB" w:rsidP="001A7107">
      <w:pPr>
        <w:rPr>
          <w:rFonts w:ascii="Arial" w:hAnsi="Arial" w:cs="Arial"/>
          <w:sz w:val="20"/>
          <w:szCs w:val="20"/>
          <w:lang w:eastAsia="en-US"/>
        </w:rPr>
      </w:pPr>
    </w:p>
    <w:p w14:paraId="063A8C5B" w14:textId="77777777" w:rsidR="00BE36FB" w:rsidRPr="009B7B35" w:rsidRDefault="00BE36FB" w:rsidP="001A7107">
      <w:pPr>
        <w:rPr>
          <w:rFonts w:ascii="Arial" w:hAnsi="Arial" w:cs="Arial"/>
          <w:sz w:val="20"/>
          <w:szCs w:val="20"/>
          <w:lang w:eastAsia="en-US"/>
        </w:rPr>
      </w:pPr>
    </w:p>
    <w:p w14:paraId="0F2728F2" w14:textId="77777777" w:rsidR="000D716B" w:rsidRDefault="000D716B">
      <w:pPr>
        <w:rPr>
          <w:rFonts w:ascii="Arial" w:hAnsi="Arial" w:cs="Arial"/>
          <w:sz w:val="20"/>
          <w:szCs w:val="20"/>
          <w:lang w:eastAsia="en-US"/>
        </w:rPr>
      </w:pPr>
      <w:r>
        <w:rPr>
          <w:rFonts w:ascii="Arial" w:hAnsi="Arial" w:cs="Arial"/>
          <w:sz w:val="20"/>
          <w:szCs w:val="20"/>
          <w:lang w:eastAsia="en-US"/>
        </w:rPr>
        <w:br w:type="page"/>
      </w:r>
    </w:p>
    <w:p w14:paraId="6C5A93FE" w14:textId="77777777" w:rsidR="00BE36FB" w:rsidRPr="009B7B35" w:rsidRDefault="00BE36FB" w:rsidP="006776DA">
      <w:pPr>
        <w:pStyle w:val="Heading3"/>
        <w:numPr>
          <w:ilvl w:val="2"/>
          <w:numId w:val="883"/>
        </w:numPr>
        <w:spacing w:before="240"/>
        <w:rPr>
          <w:rFonts w:ascii="Arial" w:hAnsi="Arial"/>
          <w:sz w:val="20"/>
          <w:szCs w:val="20"/>
        </w:rPr>
      </w:pPr>
      <w:bookmarkStart w:id="247" w:name="_Toc205367381"/>
      <w:r w:rsidRPr="009B7B35">
        <w:rPr>
          <w:rFonts w:ascii="Arial" w:hAnsi="Arial"/>
          <w:sz w:val="20"/>
          <w:szCs w:val="20"/>
        </w:rPr>
        <w:t>Extractive resources and minerals</w:t>
      </w:r>
      <w:bookmarkEnd w:id="247"/>
    </w:p>
    <w:p w14:paraId="69EC6D6F"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Application</w:t>
      </w:r>
    </w:p>
    <w:p w14:paraId="2E2F2666"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extractive resources and minerals overlay code. When using this code, reference should be made to section 5.3.2 and where applicable, section 5.3.3 located in Part 5.</w:t>
      </w:r>
    </w:p>
    <w:p w14:paraId="61E0E02F"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Purpose</w:t>
      </w:r>
    </w:p>
    <w:p w14:paraId="0B054FB5" w14:textId="77777777" w:rsidR="00BE36FB" w:rsidRPr="009B7B35" w:rsidRDefault="00BE36FB" w:rsidP="00BE36FB">
      <w:pPr>
        <w:numPr>
          <w:ilvl w:val="0"/>
          <w:numId w:val="688"/>
        </w:numPr>
        <w:rPr>
          <w:rFonts w:ascii="Arial" w:hAnsi="Arial" w:cs="Arial"/>
          <w:sz w:val="20"/>
          <w:szCs w:val="20"/>
        </w:rPr>
      </w:pPr>
      <w:r w:rsidRPr="009B7B35">
        <w:rPr>
          <w:rFonts w:ascii="Arial" w:hAnsi="Arial" w:cs="Arial"/>
          <w:sz w:val="20"/>
          <w:szCs w:val="20"/>
        </w:rPr>
        <w:t>The purpose of the extractive resources and minerals overlay code is to protect extractive resources within a Key Resource Area (KRA) from development that might prevent or constrain current or future extraction of the resource.</w:t>
      </w:r>
    </w:p>
    <w:p w14:paraId="65CF840E" w14:textId="77777777" w:rsidR="00BE36FB" w:rsidRPr="009B7B35" w:rsidRDefault="00BE36FB" w:rsidP="00BE36FB">
      <w:pPr>
        <w:numPr>
          <w:ilvl w:val="0"/>
          <w:numId w:val="688"/>
        </w:numPr>
        <w:rPr>
          <w:rFonts w:ascii="Arial" w:hAnsi="Arial" w:cs="Arial"/>
          <w:sz w:val="20"/>
          <w:szCs w:val="20"/>
        </w:rPr>
      </w:pPr>
      <w:r w:rsidRPr="009B7B35">
        <w:rPr>
          <w:rFonts w:ascii="Arial" w:hAnsi="Arial" w:cs="Arial"/>
          <w:sz w:val="20"/>
          <w:szCs w:val="20"/>
        </w:rPr>
        <w:t>The purpose of this code will be achieved through the following overall outcomes:</w:t>
      </w:r>
    </w:p>
    <w:p w14:paraId="6509FADB" w14:textId="77777777" w:rsidR="00BE36FB" w:rsidRPr="009B7B35" w:rsidRDefault="00BE36FB" w:rsidP="00BE36FB">
      <w:pPr>
        <w:numPr>
          <w:ilvl w:val="1"/>
          <w:numId w:val="688"/>
        </w:numPr>
        <w:rPr>
          <w:rFonts w:ascii="Arial" w:hAnsi="Arial" w:cs="Arial"/>
          <w:sz w:val="20"/>
          <w:szCs w:val="20"/>
        </w:rPr>
      </w:pPr>
      <w:r w:rsidRPr="009B7B35">
        <w:rPr>
          <w:rFonts w:ascii="Arial" w:hAnsi="Arial" w:cs="Arial"/>
          <w:sz w:val="20"/>
          <w:szCs w:val="20"/>
        </w:rPr>
        <w:t>Development ensures that resource/processing areas and transport routes are protected from encroaching development that is not a compatible extractive industry use of the KRA.</w:t>
      </w:r>
    </w:p>
    <w:p w14:paraId="4AE9815E" w14:textId="77777777" w:rsidR="00BE36FB" w:rsidRPr="009B7B35" w:rsidRDefault="00BE36FB" w:rsidP="00BE36FB">
      <w:pPr>
        <w:numPr>
          <w:ilvl w:val="1"/>
          <w:numId w:val="688"/>
        </w:numPr>
        <w:rPr>
          <w:rFonts w:ascii="Arial" w:hAnsi="Arial" w:cs="Arial"/>
          <w:sz w:val="20"/>
          <w:szCs w:val="20"/>
        </w:rPr>
      </w:pPr>
      <w:r w:rsidRPr="009B7B35">
        <w:rPr>
          <w:rFonts w:ascii="Arial" w:hAnsi="Arial" w:cs="Arial"/>
          <w:sz w:val="20"/>
          <w:szCs w:val="20"/>
        </w:rPr>
        <w:t>Development for a sensitive or incompatible use maintains an effective separation from a key resource area and does not encroach within a key resource area’s separation area and its transport route separation area.</w:t>
      </w:r>
    </w:p>
    <w:p w14:paraId="7B14DCDE" w14:textId="77777777" w:rsidR="00BE36FB" w:rsidRPr="009B7B35" w:rsidRDefault="00BE36FB" w:rsidP="00BE36FB">
      <w:pPr>
        <w:numPr>
          <w:ilvl w:val="1"/>
          <w:numId w:val="688"/>
        </w:numPr>
        <w:rPr>
          <w:rFonts w:ascii="Arial" w:hAnsi="Arial" w:cs="Arial"/>
          <w:sz w:val="20"/>
          <w:szCs w:val="20"/>
        </w:rPr>
      </w:pPr>
      <w:r w:rsidRPr="009B7B35">
        <w:rPr>
          <w:rFonts w:ascii="Arial" w:hAnsi="Arial" w:cs="Arial"/>
          <w:sz w:val="20"/>
          <w:szCs w:val="20"/>
        </w:rPr>
        <w:t>Development, other than for an extractive industry, is buffered from and is able to mitigate impacts likely to occur as a result of an extraction of resources from a key resource area.</w:t>
      </w:r>
    </w:p>
    <w:p w14:paraId="6A6A3C2A"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Assessment benchmarks</w:t>
      </w:r>
    </w:p>
    <w:p w14:paraId="0892F97E" w14:textId="77777777" w:rsidR="00BE36FB" w:rsidRPr="009B7B35" w:rsidRDefault="00BE36FB" w:rsidP="001A7107">
      <w:pPr>
        <w:pStyle w:val="Heading5"/>
        <w:numPr>
          <w:ilvl w:val="0"/>
          <w:numId w:val="0"/>
        </w:numPr>
        <w:rPr>
          <w:rFonts w:cs="Arial"/>
          <w:szCs w:val="20"/>
        </w:rPr>
      </w:pPr>
      <w:r w:rsidRPr="009B7B35">
        <w:rPr>
          <w:rFonts w:cs="Arial"/>
          <w:szCs w:val="20"/>
        </w:rPr>
        <w:t>Table 8.2.6.3.1—Assessable development</w:t>
      </w:r>
    </w:p>
    <w:tbl>
      <w:tblPr>
        <w:tblStyle w:val="Tablestyle"/>
        <w:tblW w:w="0" w:type="auto"/>
        <w:tblLook w:val="04A0" w:firstRow="1" w:lastRow="0" w:firstColumn="1" w:lastColumn="0" w:noHBand="0" w:noVBand="1"/>
      </w:tblPr>
      <w:tblGrid>
        <w:gridCol w:w="4182"/>
        <w:gridCol w:w="4181"/>
      </w:tblGrid>
      <w:tr w:rsidR="00BE36FB" w:rsidRPr="009B7B35" w14:paraId="22658FCD"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bottom w:val="single" w:sz="4" w:space="0" w:color="7F7F7F" w:themeColor="text1" w:themeTint="80"/>
            </w:tcBorders>
          </w:tcPr>
          <w:p w14:paraId="097A0F46" w14:textId="77777777" w:rsidR="00BE36FB" w:rsidRPr="009B7B35" w:rsidRDefault="00BE36FB" w:rsidP="001A7107">
            <w:pPr>
              <w:rPr>
                <w:rFonts w:cs="Arial"/>
                <w:sz w:val="20"/>
                <w:szCs w:val="20"/>
              </w:rPr>
            </w:pPr>
            <w:r w:rsidRPr="009B7B35">
              <w:rPr>
                <w:rFonts w:cs="Arial"/>
                <w:sz w:val="20"/>
                <w:szCs w:val="20"/>
              </w:rPr>
              <w:t>Performance outcomes</w:t>
            </w:r>
          </w:p>
        </w:tc>
        <w:tc>
          <w:tcPr>
            <w:tcW w:w="4678" w:type="dxa"/>
            <w:tcBorders>
              <w:bottom w:val="single" w:sz="4" w:space="0" w:color="7F7F7F" w:themeColor="text1" w:themeTint="80"/>
            </w:tcBorders>
          </w:tcPr>
          <w:p w14:paraId="2AA8A242" w14:textId="77777777" w:rsidR="00BE36FB" w:rsidRPr="009B7B35" w:rsidRDefault="00BE36FB" w:rsidP="001A7107">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9B7B35">
              <w:rPr>
                <w:rFonts w:cs="Arial"/>
                <w:sz w:val="20"/>
                <w:szCs w:val="20"/>
              </w:rPr>
              <w:t>Acceptable outcomes</w:t>
            </w:r>
          </w:p>
        </w:tc>
      </w:tr>
      <w:tr w:rsidR="00BE36FB" w:rsidRPr="009B7B35" w14:paraId="1B2ECAA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A6A6A6" w:themeFill="background1" w:themeFillShade="A6"/>
          </w:tcPr>
          <w:p w14:paraId="2D4A6C70" w14:textId="77777777" w:rsidR="00BE36FB" w:rsidRPr="009B7B35" w:rsidRDefault="00BE36FB" w:rsidP="001A7107">
            <w:pPr>
              <w:rPr>
                <w:rFonts w:cs="Arial"/>
                <w:sz w:val="20"/>
                <w:szCs w:val="20"/>
              </w:rPr>
            </w:pPr>
            <w:r w:rsidRPr="009B7B35">
              <w:rPr>
                <w:rFonts w:cs="Arial"/>
                <w:b/>
                <w:sz w:val="20"/>
                <w:szCs w:val="20"/>
              </w:rPr>
              <w:t xml:space="preserve">Development within a resource/processing area </w:t>
            </w:r>
          </w:p>
        </w:tc>
      </w:tr>
      <w:tr w:rsidR="00BE36FB" w:rsidRPr="009B7B35" w14:paraId="2DB3B7D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6D21F4FC" w14:textId="77777777" w:rsidR="00BE36FB" w:rsidRPr="009B7B35" w:rsidRDefault="00BE36FB" w:rsidP="001A7107">
            <w:pPr>
              <w:rPr>
                <w:rFonts w:cs="Arial"/>
                <w:b/>
                <w:sz w:val="20"/>
                <w:szCs w:val="20"/>
              </w:rPr>
            </w:pPr>
            <w:r w:rsidRPr="009B7B35">
              <w:rPr>
                <w:rFonts w:cs="Arial"/>
                <w:b/>
                <w:sz w:val="20"/>
                <w:szCs w:val="20"/>
              </w:rPr>
              <w:t>PO1</w:t>
            </w:r>
          </w:p>
          <w:p w14:paraId="4AC052D8" w14:textId="77777777" w:rsidR="00BE36FB" w:rsidRPr="009B7B35" w:rsidRDefault="00BE36FB" w:rsidP="001A7107">
            <w:pPr>
              <w:rPr>
                <w:rFonts w:cs="Arial"/>
                <w:sz w:val="20"/>
                <w:szCs w:val="20"/>
              </w:rPr>
            </w:pPr>
            <w:r w:rsidRPr="009B7B35">
              <w:rPr>
                <w:rFonts w:cs="Arial"/>
                <w:sz w:val="20"/>
                <w:szCs w:val="20"/>
              </w:rPr>
              <w:t>Development in the KRA resource/processing area, the KRA separation area or the KRA route separation area maintains the long–term availability and ability to extract the extractive resource.</w:t>
            </w:r>
          </w:p>
        </w:tc>
        <w:tc>
          <w:tcPr>
            <w:tcW w:w="4678" w:type="dxa"/>
          </w:tcPr>
          <w:p w14:paraId="4F370681"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b/>
                <w:sz w:val="20"/>
                <w:szCs w:val="20"/>
              </w:rPr>
            </w:pPr>
            <w:r w:rsidRPr="009B7B35">
              <w:rPr>
                <w:rFonts w:cs="Arial"/>
                <w:b/>
                <w:sz w:val="20"/>
                <w:szCs w:val="20"/>
              </w:rPr>
              <w:t>AO1.1</w:t>
            </w:r>
          </w:p>
          <w:p w14:paraId="0D015B22"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Development in a KRA resource/processing area is for an extractive industry or is directly associated with an extractive industry.</w:t>
            </w:r>
          </w:p>
          <w:p w14:paraId="0811D9C8"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p>
          <w:p w14:paraId="2FDC8A80"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OR</w:t>
            </w:r>
          </w:p>
          <w:p w14:paraId="3ABA16DC"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b/>
                <w:sz w:val="20"/>
                <w:szCs w:val="20"/>
              </w:rPr>
            </w:pPr>
            <w:r w:rsidRPr="009B7B35">
              <w:rPr>
                <w:rFonts w:cs="Arial"/>
                <w:b/>
                <w:sz w:val="20"/>
                <w:szCs w:val="20"/>
              </w:rPr>
              <w:t>AO1.2</w:t>
            </w:r>
          </w:p>
          <w:p w14:paraId="100BBEE8"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Development not associated with the KRA does not involve a sensitive land use and does not increase the number of people living and/or working in the KRA.</w:t>
            </w:r>
          </w:p>
          <w:p w14:paraId="2DA77A9D"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p>
          <w:p w14:paraId="0D179295"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OR</w:t>
            </w:r>
          </w:p>
          <w:p w14:paraId="5C5F24C9"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b/>
                <w:sz w:val="20"/>
                <w:szCs w:val="20"/>
              </w:rPr>
            </w:pPr>
            <w:r w:rsidRPr="009B7B35">
              <w:rPr>
                <w:rFonts w:cs="Arial"/>
                <w:b/>
                <w:sz w:val="20"/>
                <w:szCs w:val="20"/>
              </w:rPr>
              <w:t>AO1.3</w:t>
            </w:r>
          </w:p>
          <w:p w14:paraId="491317DF"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Where involving reconfiguring a lot, development does not result in an increase in the number of lots within the KRA.</w:t>
            </w:r>
          </w:p>
          <w:p w14:paraId="7C87B294"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p>
          <w:p w14:paraId="7CDADF88"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OR</w:t>
            </w:r>
          </w:p>
          <w:p w14:paraId="73BE69B3"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b/>
                <w:sz w:val="20"/>
                <w:szCs w:val="20"/>
              </w:rPr>
            </w:pPr>
            <w:r w:rsidRPr="009B7B35">
              <w:rPr>
                <w:rFonts w:cs="Arial"/>
                <w:b/>
                <w:sz w:val="20"/>
                <w:szCs w:val="20"/>
              </w:rPr>
              <w:t>AO1.4</w:t>
            </w:r>
          </w:p>
          <w:p w14:paraId="6AE9FD9F"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sz w:val="20"/>
                <w:szCs w:val="20"/>
              </w:rPr>
            </w:pPr>
            <w:r w:rsidRPr="009B7B35">
              <w:rPr>
                <w:rFonts w:cs="Arial"/>
                <w:sz w:val="20"/>
                <w:szCs w:val="20"/>
              </w:rPr>
              <w:t>Development is for a temporary use.</w:t>
            </w:r>
          </w:p>
        </w:tc>
      </w:tr>
      <w:tr w:rsidR="00BE36FB" w:rsidRPr="009B7B35" w14:paraId="1DE33B4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14:paraId="62A1AA45" w14:textId="77777777" w:rsidR="00BE36FB" w:rsidRPr="009B7B35" w:rsidRDefault="00BE36FB" w:rsidP="001A7107">
            <w:pPr>
              <w:rPr>
                <w:rFonts w:cs="Arial"/>
                <w:b/>
                <w:sz w:val="20"/>
                <w:szCs w:val="20"/>
              </w:rPr>
            </w:pPr>
            <w:r w:rsidRPr="009B7B35">
              <w:rPr>
                <w:rFonts w:cs="Arial"/>
                <w:b/>
                <w:sz w:val="20"/>
                <w:szCs w:val="20"/>
              </w:rPr>
              <w:t>PO2</w:t>
            </w:r>
          </w:p>
          <w:p w14:paraId="6F0E051C" w14:textId="77777777" w:rsidR="00BE36FB" w:rsidRPr="009B7B35" w:rsidRDefault="00BE36FB">
            <w:pPr>
              <w:rPr>
                <w:rFonts w:cs="Arial"/>
                <w:sz w:val="20"/>
                <w:szCs w:val="20"/>
              </w:rPr>
            </w:pPr>
            <w:r w:rsidRPr="009B7B35">
              <w:rPr>
                <w:rFonts w:cs="Arial"/>
                <w:sz w:val="20"/>
                <w:szCs w:val="20"/>
              </w:rPr>
              <w:t>Development will not adversely affect the safe and efficient operation of vehicles transporting extractive materials.</w:t>
            </w:r>
          </w:p>
        </w:tc>
        <w:tc>
          <w:tcPr>
            <w:tcW w:w="4678" w:type="dxa"/>
          </w:tcPr>
          <w:p w14:paraId="07E70088" w14:textId="77777777" w:rsidR="00BE36FB" w:rsidRPr="009B7B35" w:rsidRDefault="00BE36FB" w:rsidP="001A7107">
            <w:pPr>
              <w:cnfStyle w:val="000000100000" w:firstRow="0" w:lastRow="0" w:firstColumn="0" w:lastColumn="0" w:oddVBand="0" w:evenVBand="0" w:oddHBand="1" w:evenHBand="0" w:firstRowFirstColumn="0" w:firstRowLastColumn="0" w:lastRowFirstColumn="0" w:lastRowLastColumn="0"/>
              <w:rPr>
                <w:rFonts w:cs="Arial"/>
                <w:b/>
                <w:sz w:val="20"/>
                <w:szCs w:val="20"/>
              </w:rPr>
            </w:pPr>
            <w:r w:rsidRPr="009B7B35">
              <w:rPr>
                <w:rFonts w:cs="Arial"/>
                <w:b/>
                <w:sz w:val="20"/>
                <w:szCs w:val="20"/>
              </w:rPr>
              <w:t>AO2</w:t>
            </w:r>
          </w:p>
          <w:p w14:paraId="440C1089" w14:textId="77777777" w:rsidR="00BE36FB" w:rsidRPr="009B7B35" w:rsidRDefault="00BE36FB" w:rsidP="001A7107">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Development does not increase the number of properties with access points to the KRA transport route.</w:t>
            </w:r>
          </w:p>
        </w:tc>
      </w:tr>
      <w:tr w:rsidR="00BE36FB" w:rsidRPr="009B7B35" w14:paraId="30AF295C" w14:textId="77777777" w:rsidTr="001A7107">
        <w:trPr>
          <w:cnfStyle w:val="000000010000" w:firstRow="0" w:lastRow="0" w:firstColumn="0" w:lastColumn="0" w:oddVBand="0" w:evenVBand="0" w:oddHBand="0" w:evenHBand="1" w:firstRowFirstColumn="0" w:firstRowLastColumn="0" w:lastRowFirstColumn="0" w:lastRowLastColumn="0"/>
          <w:trHeight w:val="946"/>
        </w:trPr>
        <w:tc>
          <w:tcPr>
            <w:cnfStyle w:val="001000000000" w:firstRow="0" w:lastRow="0" w:firstColumn="1" w:lastColumn="0" w:oddVBand="0" w:evenVBand="0" w:oddHBand="0" w:evenHBand="0" w:firstRowFirstColumn="0" w:firstRowLastColumn="0" w:lastRowFirstColumn="0" w:lastRowLastColumn="0"/>
            <w:tcW w:w="4678" w:type="dxa"/>
            <w:vMerge w:val="restart"/>
          </w:tcPr>
          <w:p w14:paraId="3165CEA9" w14:textId="77777777" w:rsidR="00BE36FB" w:rsidRPr="009B7B35" w:rsidRDefault="00BE36FB" w:rsidP="001A7107">
            <w:pPr>
              <w:rPr>
                <w:rFonts w:cs="Arial"/>
                <w:b/>
                <w:sz w:val="20"/>
                <w:szCs w:val="20"/>
              </w:rPr>
            </w:pPr>
            <w:r w:rsidRPr="009B7B35">
              <w:rPr>
                <w:rFonts w:cs="Arial"/>
                <w:b/>
                <w:sz w:val="20"/>
                <w:szCs w:val="20"/>
              </w:rPr>
              <w:t>PO3</w:t>
            </w:r>
          </w:p>
          <w:p w14:paraId="29B60841" w14:textId="77777777" w:rsidR="00BE36FB" w:rsidRPr="009B7B35" w:rsidRDefault="00BE36FB" w:rsidP="001A7107">
            <w:pPr>
              <w:rPr>
                <w:rFonts w:cs="Arial"/>
                <w:sz w:val="20"/>
                <w:szCs w:val="20"/>
              </w:rPr>
            </w:pPr>
            <w:r w:rsidRPr="009B7B35">
              <w:rPr>
                <w:rFonts w:cs="Arial"/>
                <w:sz w:val="20"/>
                <w:szCs w:val="20"/>
              </w:rPr>
              <w:t>Development incorporates measures to mitigate the potential adverse effects from existing or future extractive industry on people working or congregating in the separation area.</w:t>
            </w:r>
          </w:p>
        </w:tc>
        <w:tc>
          <w:tcPr>
            <w:tcW w:w="4678" w:type="dxa"/>
          </w:tcPr>
          <w:p w14:paraId="47677DCE" w14:textId="77777777" w:rsidR="00BE36FB" w:rsidRPr="009B7B35" w:rsidRDefault="00BE36FB" w:rsidP="001A7107">
            <w:pPr>
              <w:cnfStyle w:val="000000010000" w:firstRow="0" w:lastRow="0" w:firstColumn="0" w:lastColumn="0" w:oddVBand="0" w:evenVBand="0" w:oddHBand="0" w:evenHBand="1" w:firstRowFirstColumn="0" w:firstRowLastColumn="0" w:lastRowFirstColumn="0" w:lastRowLastColumn="0"/>
              <w:rPr>
                <w:rFonts w:cs="Arial"/>
                <w:b/>
                <w:sz w:val="20"/>
                <w:szCs w:val="20"/>
              </w:rPr>
            </w:pPr>
            <w:r w:rsidRPr="009B7B35">
              <w:rPr>
                <w:rFonts w:cs="Arial"/>
                <w:b/>
                <w:sz w:val="20"/>
                <w:szCs w:val="20"/>
              </w:rPr>
              <w:t>AO3.1</w:t>
            </w:r>
          </w:p>
          <w:p w14:paraId="685219A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The numbers of people working or congregating in the separation area are not increased.</w:t>
            </w:r>
          </w:p>
        </w:tc>
      </w:tr>
      <w:tr w:rsidR="00BE36FB" w:rsidRPr="009B7B35" w14:paraId="463C666A" w14:textId="77777777" w:rsidTr="001A7107">
        <w:trPr>
          <w:cnfStyle w:val="000000100000" w:firstRow="0" w:lastRow="0" w:firstColumn="0" w:lastColumn="0" w:oddVBand="0" w:evenVBand="0" w:oddHBand="1" w:evenHBand="0" w:firstRowFirstColumn="0" w:firstRowLastColumn="0" w:lastRowFirstColumn="0" w:lastRowLastColumn="0"/>
          <w:trHeight w:val="1232"/>
        </w:trPr>
        <w:tc>
          <w:tcPr>
            <w:cnfStyle w:val="001000000000" w:firstRow="0" w:lastRow="0" w:firstColumn="1" w:lastColumn="0" w:oddVBand="0" w:evenVBand="0" w:oddHBand="0" w:evenHBand="0" w:firstRowFirstColumn="0" w:firstRowLastColumn="0" w:lastRowFirstColumn="0" w:lastRowLastColumn="0"/>
            <w:tcW w:w="4678" w:type="dxa"/>
            <w:vMerge/>
          </w:tcPr>
          <w:p w14:paraId="4AD27468" w14:textId="77777777" w:rsidR="00BE36FB" w:rsidRPr="009B7B35" w:rsidRDefault="00BE36FB" w:rsidP="001A7107">
            <w:pPr>
              <w:rPr>
                <w:rFonts w:cs="Arial"/>
                <w:sz w:val="20"/>
                <w:szCs w:val="20"/>
              </w:rPr>
            </w:pPr>
          </w:p>
        </w:tc>
        <w:tc>
          <w:tcPr>
            <w:tcW w:w="4678" w:type="dxa"/>
          </w:tcPr>
          <w:p w14:paraId="06C88649" w14:textId="77777777" w:rsidR="00BE36FB" w:rsidRPr="009B7B35" w:rsidRDefault="00BE36FB" w:rsidP="001A7107">
            <w:pPr>
              <w:cnfStyle w:val="000000100000" w:firstRow="0" w:lastRow="0" w:firstColumn="0" w:lastColumn="0" w:oddVBand="0" w:evenVBand="0" w:oddHBand="1" w:evenHBand="0" w:firstRowFirstColumn="0" w:firstRowLastColumn="0" w:lastRowFirstColumn="0" w:lastRowLastColumn="0"/>
              <w:rPr>
                <w:rFonts w:cs="Arial"/>
                <w:b/>
                <w:sz w:val="20"/>
                <w:szCs w:val="20"/>
              </w:rPr>
            </w:pPr>
            <w:r w:rsidRPr="009B7B35">
              <w:rPr>
                <w:rFonts w:cs="Arial"/>
                <w:b/>
                <w:sz w:val="20"/>
                <w:szCs w:val="20"/>
              </w:rPr>
              <w:t>AO3.2</w:t>
            </w:r>
          </w:p>
          <w:p w14:paraId="55D46374" w14:textId="77777777" w:rsidR="00BE36FB" w:rsidRPr="009B7B35" w:rsidRDefault="00BE36FB" w:rsidP="001A7107">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Development incorporates design, orientation and construction materials that mitigate the potential adverse effects from an existing or future extractive industry to acceptable levels by:</w:t>
            </w:r>
          </w:p>
          <w:p w14:paraId="4FF8372D" w14:textId="77777777" w:rsidR="00BE36FB" w:rsidRPr="009B7B35" w:rsidRDefault="00BE36FB" w:rsidP="001A7107">
            <w:pPr>
              <w:ind w:left="510" w:hanging="510"/>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(a)</w:t>
            </w:r>
            <w:r w:rsidRPr="009B7B35">
              <w:rPr>
                <w:rFonts w:cs="Arial"/>
                <w:sz w:val="20"/>
                <w:szCs w:val="20"/>
              </w:rPr>
              <w:tab/>
              <w:t>locating buildings and structures the   greatest distance practicable from the resource/processing area and associated transportation route, and</w:t>
            </w:r>
          </w:p>
          <w:p w14:paraId="0069919E" w14:textId="77777777" w:rsidR="00BE36FB" w:rsidRPr="009B7B35" w:rsidRDefault="00BE36FB" w:rsidP="001A7107">
            <w:pPr>
              <w:ind w:left="510" w:hanging="510"/>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(b)</w:t>
            </w:r>
            <w:r w:rsidRPr="009B7B35">
              <w:rPr>
                <w:rFonts w:cs="Arial"/>
                <w:sz w:val="20"/>
                <w:szCs w:val="20"/>
              </w:rPr>
              <w:tab/>
              <w:t>designing buildings so the areas where people live, work and congregate (habitable rooms) are furthermost from the resource/processing area and associated transportation route, and</w:t>
            </w:r>
          </w:p>
          <w:p w14:paraId="6D040CD3" w14:textId="77777777" w:rsidR="00BE36FB" w:rsidRPr="009B7B35" w:rsidRDefault="00BE36FB" w:rsidP="001A7107">
            <w:pPr>
              <w:ind w:left="510" w:hanging="510"/>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(c)</w:t>
            </w:r>
            <w:r w:rsidRPr="009B7B35">
              <w:rPr>
                <w:rFonts w:cs="Arial"/>
                <w:sz w:val="20"/>
                <w:szCs w:val="20"/>
              </w:rPr>
              <w:tab/>
              <w:t>minimising openings in walls closest to these effects, and</w:t>
            </w:r>
          </w:p>
          <w:p w14:paraId="4F6CDDDC" w14:textId="77777777" w:rsidR="00BE36FB" w:rsidRPr="009B7B35" w:rsidRDefault="00BE36FB" w:rsidP="001A7107">
            <w:pPr>
              <w:ind w:left="510" w:hanging="510"/>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(d)</w:t>
            </w:r>
            <w:r w:rsidRPr="009B7B35">
              <w:rPr>
                <w:rFonts w:cs="Arial"/>
                <w:sz w:val="20"/>
                <w:szCs w:val="20"/>
              </w:rPr>
              <w:tab/>
              <w:t>providing mechanical ventilation to habitable rooms, and</w:t>
            </w:r>
          </w:p>
          <w:p w14:paraId="1E8815AB" w14:textId="77777777" w:rsidR="00BE36FB" w:rsidRPr="009B7B35" w:rsidRDefault="00BE36FB" w:rsidP="001A7107">
            <w:pPr>
              <w:ind w:left="510" w:hanging="510"/>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(e)</w:t>
            </w:r>
            <w:r w:rsidRPr="009B7B35">
              <w:rPr>
                <w:rFonts w:cs="Arial"/>
                <w:sz w:val="20"/>
                <w:szCs w:val="20"/>
              </w:rPr>
              <w:tab/>
              <w:t>use of appropriate construction methods and materials including insulation and glazing materials, and</w:t>
            </w:r>
          </w:p>
          <w:p w14:paraId="65B4054E" w14:textId="77777777" w:rsidR="00BE36FB" w:rsidRPr="009B7B35" w:rsidRDefault="00BE36FB" w:rsidP="001A7107">
            <w:pPr>
              <w:ind w:left="510" w:hanging="510"/>
              <w:cnfStyle w:val="000000100000" w:firstRow="0" w:lastRow="0" w:firstColumn="0" w:lastColumn="0" w:oddVBand="0" w:evenVBand="0" w:oddHBand="1" w:evenHBand="0" w:firstRowFirstColumn="0" w:firstRowLastColumn="0" w:lastRowFirstColumn="0" w:lastRowLastColumn="0"/>
              <w:rPr>
                <w:rFonts w:cs="Arial"/>
                <w:sz w:val="20"/>
                <w:szCs w:val="20"/>
              </w:rPr>
            </w:pPr>
            <w:r w:rsidRPr="009B7B35">
              <w:rPr>
                <w:rFonts w:cs="Arial"/>
                <w:sz w:val="20"/>
                <w:szCs w:val="20"/>
              </w:rPr>
              <w:t>(f)      providing private outdoor recreation space adjacent to a building façade shielded from the extractive industry or resource.</w:t>
            </w:r>
          </w:p>
        </w:tc>
      </w:tr>
    </w:tbl>
    <w:p w14:paraId="1631CBA0" w14:textId="77777777" w:rsidR="00BE36FB" w:rsidRPr="009B7B35" w:rsidRDefault="00BE36FB" w:rsidP="001A7107">
      <w:pPr>
        <w:rPr>
          <w:rFonts w:ascii="Arial" w:hAnsi="Arial" w:cs="Arial"/>
          <w:sz w:val="20"/>
          <w:szCs w:val="20"/>
        </w:rPr>
      </w:pPr>
    </w:p>
    <w:p w14:paraId="0F5D67CF" w14:textId="77777777" w:rsidR="00BE36FB" w:rsidRPr="009B7B35" w:rsidRDefault="00BE36FB" w:rsidP="001A7107">
      <w:pPr>
        <w:rPr>
          <w:rFonts w:ascii="Arial" w:hAnsi="Arial" w:cs="Arial"/>
          <w:sz w:val="20"/>
          <w:szCs w:val="20"/>
        </w:rPr>
      </w:pPr>
    </w:p>
    <w:p w14:paraId="0D6429E6" w14:textId="77777777" w:rsidR="00BE36FB" w:rsidRPr="009B7B35" w:rsidRDefault="00BE36FB" w:rsidP="001A7107">
      <w:pPr>
        <w:rPr>
          <w:rFonts w:ascii="Arial" w:hAnsi="Arial" w:cs="Arial"/>
          <w:sz w:val="20"/>
          <w:szCs w:val="20"/>
          <w:lang w:eastAsia="en-US"/>
        </w:rPr>
      </w:pPr>
    </w:p>
    <w:p w14:paraId="56A80AC9" w14:textId="77777777" w:rsidR="00BE36FB" w:rsidRPr="009B7B35" w:rsidRDefault="00BE36FB" w:rsidP="001A7107">
      <w:pPr>
        <w:rPr>
          <w:rFonts w:ascii="Arial" w:hAnsi="Arial" w:cs="Arial"/>
          <w:sz w:val="20"/>
          <w:szCs w:val="20"/>
          <w:lang w:eastAsia="en-US"/>
        </w:rPr>
      </w:pPr>
    </w:p>
    <w:p w14:paraId="07B29DA2" w14:textId="77777777" w:rsidR="00BE36FB" w:rsidRPr="009B7B35" w:rsidRDefault="00BE36FB" w:rsidP="001A7107">
      <w:pPr>
        <w:rPr>
          <w:rFonts w:ascii="Arial" w:hAnsi="Arial" w:cs="Arial"/>
          <w:sz w:val="20"/>
          <w:szCs w:val="20"/>
          <w:lang w:eastAsia="en-US"/>
        </w:rPr>
      </w:pPr>
    </w:p>
    <w:p w14:paraId="6A5616CE" w14:textId="77777777" w:rsidR="00BE36FB" w:rsidRPr="009B7B35" w:rsidRDefault="00BE36FB" w:rsidP="001A7107">
      <w:pPr>
        <w:rPr>
          <w:rFonts w:ascii="Arial" w:hAnsi="Arial" w:cs="Arial"/>
          <w:sz w:val="20"/>
          <w:szCs w:val="20"/>
          <w:lang w:eastAsia="en-US"/>
        </w:rPr>
      </w:pPr>
    </w:p>
    <w:p w14:paraId="03B5DD91" w14:textId="77777777" w:rsidR="00BE36FB" w:rsidRPr="009B7B35" w:rsidRDefault="00BE36FB" w:rsidP="001A7107">
      <w:pPr>
        <w:rPr>
          <w:rFonts w:ascii="Arial" w:hAnsi="Arial" w:cs="Arial"/>
          <w:sz w:val="20"/>
          <w:szCs w:val="20"/>
          <w:lang w:eastAsia="en-US"/>
        </w:rPr>
      </w:pPr>
    </w:p>
    <w:p w14:paraId="7301B966" w14:textId="77777777" w:rsidR="00BE36FB" w:rsidRPr="009B7B35" w:rsidRDefault="00BE36FB" w:rsidP="001A7107">
      <w:pPr>
        <w:rPr>
          <w:rFonts w:ascii="Arial" w:hAnsi="Arial" w:cs="Arial"/>
          <w:sz w:val="20"/>
          <w:szCs w:val="20"/>
          <w:lang w:eastAsia="en-US"/>
        </w:rPr>
      </w:pPr>
    </w:p>
    <w:p w14:paraId="243260F6" w14:textId="77777777" w:rsidR="00BE36FB" w:rsidRPr="009B7B35" w:rsidRDefault="00BE36FB" w:rsidP="001A7107">
      <w:pPr>
        <w:rPr>
          <w:rFonts w:ascii="Arial" w:hAnsi="Arial" w:cs="Arial"/>
          <w:sz w:val="20"/>
          <w:szCs w:val="20"/>
          <w:lang w:eastAsia="en-US"/>
        </w:rPr>
      </w:pPr>
    </w:p>
    <w:p w14:paraId="3BBE8E37" w14:textId="77777777" w:rsidR="00BE36FB" w:rsidRPr="009B7B35" w:rsidRDefault="00BE36FB" w:rsidP="001A7107">
      <w:pPr>
        <w:rPr>
          <w:rFonts w:ascii="Arial" w:hAnsi="Arial" w:cs="Arial"/>
          <w:sz w:val="20"/>
          <w:szCs w:val="20"/>
          <w:lang w:eastAsia="en-US"/>
        </w:rPr>
      </w:pPr>
    </w:p>
    <w:p w14:paraId="1862AD73" w14:textId="77777777" w:rsidR="00BE36FB" w:rsidRPr="009B7B35" w:rsidRDefault="00BE36FB" w:rsidP="001A7107">
      <w:pPr>
        <w:rPr>
          <w:rFonts w:ascii="Arial" w:hAnsi="Arial" w:cs="Arial"/>
          <w:sz w:val="20"/>
          <w:szCs w:val="20"/>
          <w:lang w:eastAsia="en-US"/>
        </w:rPr>
      </w:pPr>
    </w:p>
    <w:p w14:paraId="1CA4C39C" w14:textId="77777777" w:rsidR="00BE36FB" w:rsidRPr="009B7B35" w:rsidRDefault="00BE36FB" w:rsidP="001A7107">
      <w:pPr>
        <w:rPr>
          <w:rFonts w:ascii="Arial" w:hAnsi="Arial" w:cs="Arial"/>
          <w:sz w:val="20"/>
          <w:szCs w:val="20"/>
          <w:lang w:eastAsia="en-US"/>
        </w:rPr>
      </w:pPr>
    </w:p>
    <w:p w14:paraId="77F0FF4D" w14:textId="77777777" w:rsidR="00BE36FB" w:rsidRPr="009B7B35" w:rsidRDefault="00BE36FB" w:rsidP="001A7107">
      <w:pPr>
        <w:rPr>
          <w:rFonts w:ascii="Arial" w:hAnsi="Arial" w:cs="Arial"/>
          <w:sz w:val="20"/>
          <w:szCs w:val="20"/>
          <w:lang w:eastAsia="en-US"/>
        </w:rPr>
      </w:pPr>
    </w:p>
    <w:p w14:paraId="737F1FAF" w14:textId="77777777" w:rsidR="00BE36FB" w:rsidRPr="009B7B35" w:rsidRDefault="00BE36FB" w:rsidP="001A7107">
      <w:pPr>
        <w:rPr>
          <w:rFonts w:ascii="Arial" w:hAnsi="Arial" w:cs="Arial"/>
          <w:sz w:val="20"/>
          <w:szCs w:val="20"/>
          <w:lang w:eastAsia="en-US"/>
        </w:rPr>
      </w:pPr>
    </w:p>
    <w:p w14:paraId="6EEF805F" w14:textId="77777777" w:rsidR="00BE36FB" w:rsidRPr="009B7B35" w:rsidRDefault="00BE36FB" w:rsidP="001A7107">
      <w:pPr>
        <w:rPr>
          <w:rFonts w:ascii="Arial" w:hAnsi="Arial" w:cs="Arial"/>
          <w:sz w:val="20"/>
          <w:szCs w:val="20"/>
          <w:lang w:eastAsia="en-US"/>
        </w:rPr>
      </w:pPr>
    </w:p>
    <w:p w14:paraId="751CA9D4" w14:textId="77777777" w:rsidR="00BE36FB" w:rsidRPr="009B7B35" w:rsidRDefault="00BE36FB" w:rsidP="001A7107">
      <w:pPr>
        <w:rPr>
          <w:rFonts w:ascii="Arial" w:hAnsi="Arial" w:cs="Arial"/>
          <w:sz w:val="20"/>
          <w:szCs w:val="20"/>
          <w:lang w:eastAsia="en-US"/>
        </w:rPr>
      </w:pPr>
    </w:p>
    <w:p w14:paraId="67AC2AD1" w14:textId="77777777" w:rsidR="00BE36FB" w:rsidRPr="009B7B35" w:rsidRDefault="00BE36FB" w:rsidP="001A7107">
      <w:pPr>
        <w:rPr>
          <w:rFonts w:ascii="Arial" w:hAnsi="Arial" w:cs="Arial"/>
          <w:sz w:val="20"/>
          <w:szCs w:val="20"/>
          <w:lang w:eastAsia="en-US"/>
        </w:rPr>
      </w:pPr>
    </w:p>
    <w:p w14:paraId="52F3770E" w14:textId="77777777" w:rsidR="00BE36FB" w:rsidRPr="009B7B35" w:rsidRDefault="00BE36FB" w:rsidP="001A7107">
      <w:pPr>
        <w:rPr>
          <w:rFonts w:ascii="Arial" w:hAnsi="Arial" w:cs="Arial"/>
          <w:sz w:val="20"/>
          <w:szCs w:val="20"/>
          <w:lang w:eastAsia="en-US"/>
        </w:rPr>
      </w:pPr>
    </w:p>
    <w:p w14:paraId="612B39D6" w14:textId="77777777" w:rsidR="00BE36FB" w:rsidRPr="009B7B35" w:rsidRDefault="00BE36FB" w:rsidP="001A7107">
      <w:pPr>
        <w:rPr>
          <w:rFonts w:ascii="Arial" w:hAnsi="Arial" w:cs="Arial"/>
          <w:sz w:val="20"/>
          <w:szCs w:val="20"/>
          <w:lang w:eastAsia="en-US"/>
        </w:rPr>
      </w:pPr>
    </w:p>
    <w:p w14:paraId="5256BA35" w14:textId="77777777" w:rsidR="00BE36FB" w:rsidRPr="009B7B35" w:rsidRDefault="00BE36FB" w:rsidP="001A7107">
      <w:pPr>
        <w:rPr>
          <w:rFonts w:ascii="Arial" w:hAnsi="Arial" w:cs="Arial"/>
          <w:sz w:val="20"/>
          <w:szCs w:val="20"/>
          <w:lang w:eastAsia="en-US"/>
        </w:rPr>
      </w:pPr>
    </w:p>
    <w:p w14:paraId="64325992" w14:textId="77777777" w:rsidR="00BE36FB" w:rsidRPr="009B7B35" w:rsidRDefault="00BE36FB" w:rsidP="001A7107">
      <w:pPr>
        <w:rPr>
          <w:rFonts w:ascii="Arial" w:hAnsi="Arial" w:cs="Arial"/>
          <w:sz w:val="20"/>
          <w:szCs w:val="20"/>
          <w:lang w:eastAsia="en-US"/>
        </w:rPr>
      </w:pPr>
    </w:p>
    <w:p w14:paraId="7AA31977" w14:textId="77777777" w:rsidR="00BE36FB" w:rsidRPr="009B7B35" w:rsidRDefault="00BE36FB" w:rsidP="001A7107">
      <w:pPr>
        <w:rPr>
          <w:rFonts w:ascii="Arial" w:hAnsi="Arial" w:cs="Arial"/>
          <w:sz w:val="20"/>
          <w:szCs w:val="20"/>
          <w:lang w:eastAsia="en-US"/>
        </w:rPr>
      </w:pPr>
    </w:p>
    <w:p w14:paraId="5E14EBDB" w14:textId="77777777" w:rsidR="00BE36FB" w:rsidRPr="009B7B35" w:rsidRDefault="00BE36FB" w:rsidP="001A7107">
      <w:pPr>
        <w:rPr>
          <w:rFonts w:ascii="Arial" w:hAnsi="Arial" w:cs="Arial"/>
          <w:sz w:val="20"/>
          <w:szCs w:val="20"/>
          <w:lang w:eastAsia="en-US"/>
        </w:rPr>
      </w:pPr>
    </w:p>
    <w:p w14:paraId="63A913B0" w14:textId="77777777" w:rsidR="00BE36FB" w:rsidRPr="009B7B35" w:rsidRDefault="00BE36FB" w:rsidP="001A7107">
      <w:pPr>
        <w:rPr>
          <w:rFonts w:ascii="Arial" w:hAnsi="Arial" w:cs="Arial"/>
          <w:sz w:val="20"/>
          <w:szCs w:val="20"/>
          <w:lang w:eastAsia="en-US"/>
        </w:rPr>
      </w:pPr>
    </w:p>
    <w:p w14:paraId="68652CB0" w14:textId="77777777" w:rsidR="00BE36FB" w:rsidRPr="009B7B35" w:rsidRDefault="00BE36FB" w:rsidP="001A7107">
      <w:pPr>
        <w:rPr>
          <w:rFonts w:ascii="Arial" w:hAnsi="Arial" w:cs="Arial"/>
          <w:sz w:val="20"/>
          <w:szCs w:val="20"/>
          <w:lang w:eastAsia="en-US"/>
        </w:rPr>
      </w:pPr>
    </w:p>
    <w:p w14:paraId="0C704F68" w14:textId="77777777" w:rsidR="00BE36FB" w:rsidRPr="009B7B35" w:rsidRDefault="00BE36FB" w:rsidP="001A7107">
      <w:pPr>
        <w:rPr>
          <w:rFonts w:ascii="Arial" w:hAnsi="Arial" w:cs="Arial"/>
          <w:sz w:val="20"/>
          <w:szCs w:val="20"/>
          <w:lang w:eastAsia="en-US"/>
        </w:rPr>
      </w:pPr>
    </w:p>
    <w:p w14:paraId="4BA2F8BC" w14:textId="77777777" w:rsidR="00BE36FB" w:rsidRPr="009B7B35" w:rsidRDefault="00BE36FB" w:rsidP="001A7107">
      <w:pPr>
        <w:rPr>
          <w:rFonts w:ascii="Arial" w:hAnsi="Arial" w:cs="Arial"/>
          <w:sz w:val="20"/>
          <w:szCs w:val="20"/>
          <w:lang w:eastAsia="en-US"/>
        </w:rPr>
      </w:pPr>
    </w:p>
    <w:p w14:paraId="462D27BA" w14:textId="77777777" w:rsidR="00BE36FB" w:rsidRPr="009B7B35" w:rsidRDefault="00BE36FB" w:rsidP="001A7107">
      <w:pPr>
        <w:rPr>
          <w:rFonts w:ascii="Arial" w:hAnsi="Arial" w:cs="Arial"/>
          <w:sz w:val="20"/>
          <w:szCs w:val="20"/>
          <w:lang w:eastAsia="en-US"/>
        </w:rPr>
      </w:pPr>
    </w:p>
    <w:p w14:paraId="4D59E5D5" w14:textId="77777777" w:rsidR="00BE36FB" w:rsidRPr="009B7B35" w:rsidRDefault="00BE36FB" w:rsidP="001A7107">
      <w:pPr>
        <w:rPr>
          <w:rFonts w:ascii="Arial" w:hAnsi="Arial" w:cs="Arial"/>
          <w:sz w:val="20"/>
          <w:szCs w:val="20"/>
          <w:lang w:eastAsia="en-US"/>
        </w:rPr>
      </w:pPr>
    </w:p>
    <w:p w14:paraId="0CD2FF5D" w14:textId="77777777" w:rsidR="00BE36FB" w:rsidRPr="009B7B35" w:rsidRDefault="00BE36FB" w:rsidP="001A7107">
      <w:pPr>
        <w:rPr>
          <w:rFonts w:ascii="Arial" w:hAnsi="Arial" w:cs="Arial"/>
          <w:sz w:val="20"/>
          <w:szCs w:val="20"/>
          <w:lang w:eastAsia="en-US"/>
        </w:rPr>
      </w:pPr>
    </w:p>
    <w:p w14:paraId="159B443E" w14:textId="77777777" w:rsidR="00BE36FB" w:rsidRPr="009B7B35" w:rsidRDefault="00BE36FB" w:rsidP="006776DA">
      <w:pPr>
        <w:pStyle w:val="Heading3"/>
        <w:numPr>
          <w:ilvl w:val="2"/>
          <w:numId w:val="883"/>
        </w:numPr>
        <w:spacing w:before="240"/>
        <w:rPr>
          <w:rFonts w:ascii="Arial" w:hAnsi="Arial"/>
          <w:sz w:val="20"/>
          <w:szCs w:val="20"/>
        </w:rPr>
      </w:pPr>
      <w:bookmarkStart w:id="248" w:name="_Toc205367382"/>
      <w:r w:rsidRPr="009B7B35">
        <w:rPr>
          <w:rFonts w:ascii="Arial" w:hAnsi="Arial"/>
          <w:sz w:val="20"/>
          <w:szCs w:val="20"/>
        </w:rPr>
        <w:t>Flood hazard</w:t>
      </w:r>
      <w:bookmarkEnd w:id="248"/>
    </w:p>
    <w:p w14:paraId="0095AD82"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Application</w:t>
      </w:r>
    </w:p>
    <w:p w14:paraId="092E036F"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Flood hazard overlay code. When using this code, reference should be made to section 5.3.2 and where applicable, section 5.3.3 located in Part 5.</w:t>
      </w:r>
    </w:p>
    <w:p w14:paraId="45467D6F" w14:textId="77777777" w:rsidR="00BE36FB" w:rsidRPr="009B7B35" w:rsidRDefault="00BE36FB" w:rsidP="006776DA">
      <w:pPr>
        <w:pStyle w:val="Heading4"/>
        <w:widowControl w:val="0"/>
        <w:numPr>
          <w:ilvl w:val="3"/>
          <w:numId w:val="883"/>
        </w:numPr>
        <w:rPr>
          <w:rFonts w:ascii="Arial" w:hAnsi="Arial" w:cs="Arial"/>
          <w:sz w:val="20"/>
          <w:szCs w:val="20"/>
          <w:lang w:eastAsia="en-AU"/>
        </w:rPr>
      </w:pPr>
      <w:r w:rsidRPr="009B7B35">
        <w:rPr>
          <w:rFonts w:ascii="Arial" w:hAnsi="Arial" w:cs="Arial"/>
          <w:sz w:val="20"/>
          <w:szCs w:val="20"/>
          <w:lang w:eastAsia="en-AU"/>
        </w:rPr>
        <w:t>Purpose</w:t>
      </w:r>
    </w:p>
    <w:p w14:paraId="3C46F4F0" w14:textId="77777777" w:rsidR="00BE36FB" w:rsidRPr="009B7B35" w:rsidRDefault="00BE36FB" w:rsidP="00BE36FB">
      <w:pPr>
        <w:numPr>
          <w:ilvl w:val="0"/>
          <w:numId w:val="689"/>
        </w:numPr>
        <w:rPr>
          <w:rFonts w:ascii="Arial" w:hAnsi="Arial" w:cs="Arial"/>
          <w:sz w:val="20"/>
          <w:szCs w:val="20"/>
        </w:rPr>
      </w:pPr>
      <w:r w:rsidRPr="009B7B35">
        <w:rPr>
          <w:rFonts w:ascii="Arial" w:hAnsi="Arial" w:cs="Arial"/>
          <w:sz w:val="20"/>
          <w:szCs w:val="20"/>
        </w:rPr>
        <w:t>The purpose of the Flood hazard overlay code is to ensure that development on land subject to a defined flood event (DFE) avoids or mitigates the risk of flood hazard to protect people, property, the environment and economic activity and, to ensure development does not adversely affect other properties or the hydraulic efficiency of a waterway or floodplain.</w:t>
      </w:r>
    </w:p>
    <w:p w14:paraId="092F62AC" w14:textId="77777777" w:rsidR="00BE36FB" w:rsidRPr="009B7B35" w:rsidRDefault="00BE36FB" w:rsidP="00BE36FB">
      <w:pPr>
        <w:numPr>
          <w:ilvl w:val="0"/>
          <w:numId w:val="689"/>
        </w:numPr>
        <w:rPr>
          <w:rFonts w:ascii="Arial" w:hAnsi="Arial" w:cs="Arial"/>
          <w:sz w:val="20"/>
          <w:szCs w:val="20"/>
        </w:rPr>
      </w:pPr>
      <w:r w:rsidRPr="009B7B35">
        <w:rPr>
          <w:rFonts w:ascii="Arial" w:hAnsi="Arial" w:cs="Arial"/>
          <w:sz w:val="20"/>
          <w:szCs w:val="20"/>
        </w:rPr>
        <w:t>The purpose of the code will be achieved through compliance with the following overall outcomes:</w:t>
      </w:r>
    </w:p>
    <w:p w14:paraId="79E91EE5" w14:textId="77777777" w:rsidR="00BE36FB" w:rsidRPr="009B7B35" w:rsidRDefault="00BE36FB" w:rsidP="00BE36FB">
      <w:pPr>
        <w:numPr>
          <w:ilvl w:val="1"/>
          <w:numId w:val="689"/>
        </w:numPr>
        <w:rPr>
          <w:rFonts w:ascii="Arial" w:hAnsi="Arial" w:cs="Arial"/>
          <w:sz w:val="20"/>
          <w:szCs w:val="20"/>
        </w:rPr>
      </w:pPr>
      <w:r w:rsidRPr="009B7B35">
        <w:rPr>
          <w:rFonts w:ascii="Arial" w:hAnsi="Arial" w:cs="Arial"/>
          <w:sz w:val="20"/>
          <w:szCs w:val="20"/>
        </w:rPr>
        <w:t>Development does not occur on land subject to flooding from a defined flood event unless:</w:t>
      </w:r>
    </w:p>
    <w:p w14:paraId="7F534327" w14:textId="77777777" w:rsidR="00BE36FB" w:rsidRPr="009B7B35" w:rsidRDefault="00BE36FB" w:rsidP="00BE36FB">
      <w:pPr>
        <w:numPr>
          <w:ilvl w:val="2"/>
          <w:numId w:val="689"/>
        </w:numPr>
        <w:rPr>
          <w:rFonts w:ascii="Arial" w:hAnsi="Arial" w:cs="Arial"/>
          <w:sz w:val="20"/>
          <w:szCs w:val="20"/>
        </w:rPr>
      </w:pPr>
      <w:r w:rsidRPr="009B7B35">
        <w:rPr>
          <w:rFonts w:ascii="Arial" w:hAnsi="Arial" w:cs="Arial"/>
          <w:sz w:val="20"/>
          <w:szCs w:val="20"/>
        </w:rPr>
        <w:t xml:space="preserve">it is compatible with the level of risk having regard to flow depth, flow velocity, rate of flood level rise and the duration of the inundation, or </w:t>
      </w:r>
    </w:p>
    <w:p w14:paraId="38443B0F" w14:textId="77777777" w:rsidR="00BE36FB" w:rsidRPr="009B7B35" w:rsidRDefault="00BE36FB" w:rsidP="00BE36FB">
      <w:pPr>
        <w:numPr>
          <w:ilvl w:val="2"/>
          <w:numId w:val="689"/>
        </w:numPr>
        <w:rPr>
          <w:rFonts w:ascii="Arial" w:hAnsi="Arial" w:cs="Arial"/>
          <w:sz w:val="20"/>
          <w:szCs w:val="20"/>
        </w:rPr>
      </w:pPr>
      <w:r w:rsidRPr="009B7B35">
        <w:rPr>
          <w:rFonts w:ascii="Arial" w:hAnsi="Arial" w:cs="Arial"/>
          <w:sz w:val="20"/>
          <w:szCs w:val="20"/>
        </w:rPr>
        <w:t>the impacts of flooding can be managed such that there can be no foreseeable risk to personal safety or to property.</w:t>
      </w:r>
    </w:p>
    <w:p w14:paraId="2C9A8D16" w14:textId="77777777" w:rsidR="00BE36FB" w:rsidRPr="009B7B35" w:rsidRDefault="00BE36FB" w:rsidP="00BE36FB">
      <w:pPr>
        <w:numPr>
          <w:ilvl w:val="1"/>
          <w:numId w:val="689"/>
        </w:numPr>
        <w:rPr>
          <w:rFonts w:ascii="Arial" w:hAnsi="Arial" w:cs="Arial"/>
          <w:sz w:val="20"/>
          <w:szCs w:val="20"/>
        </w:rPr>
      </w:pPr>
      <w:r w:rsidRPr="009B7B35">
        <w:rPr>
          <w:rFonts w:ascii="Arial" w:hAnsi="Arial" w:cs="Arial"/>
          <w:sz w:val="20"/>
          <w:szCs w:val="20"/>
        </w:rPr>
        <w:t>Development does not result in an increase in the extent or severity of flood risk to the site or other land.</w:t>
      </w:r>
    </w:p>
    <w:p w14:paraId="40234847" w14:textId="77777777" w:rsidR="00BE36FB" w:rsidRPr="009B7B35" w:rsidRDefault="00BE36FB" w:rsidP="00BE36FB">
      <w:pPr>
        <w:numPr>
          <w:ilvl w:val="1"/>
          <w:numId w:val="689"/>
        </w:numPr>
        <w:rPr>
          <w:rFonts w:ascii="Arial" w:hAnsi="Arial" w:cs="Arial"/>
          <w:sz w:val="20"/>
          <w:szCs w:val="20"/>
        </w:rPr>
      </w:pPr>
      <w:r w:rsidRPr="009B7B35">
        <w:rPr>
          <w:rFonts w:ascii="Arial" w:hAnsi="Arial" w:cs="Arial"/>
          <w:sz w:val="20"/>
          <w:szCs w:val="20"/>
        </w:rPr>
        <w:t>The flood storage or the conveyance of waterways and flood plains is not diminished.</w:t>
      </w:r>
    </w:p>
    <w:p w14:paraId="2498A9FB" w14:textId="77777777" w:rsidR="00BE36FB" w:rsidRPr="009B7B35" w:rsidRDefault="00BE36FB" w:rsidP="00BE36FB">
      <w:pPr>
        <w:numPr>
          <w:ilvl w:val="1"/>
          <w:numId w:val="689"/>
        </w:numPr>
        <w:rPr>
          <w:rFonts w:ascii="Arial" w:hAnsi="Arial" w:cs="Arial"/>
          <w:sz w:val="20"/>
          <w:szCs w:val="20"/>
        </w:rPr>
      </w:pPr>
      <w:r w:rsidRPr="009B7B35">
        <w:rPr>
          <w:rFonts w:ascii="Arial" w:hAnsi="Arial" w:cs="Arial"/>
          <w:sz w:val="20"/>
          <w:szCs w:val="20"/>
        </w:rPr>
        <w:t>The potential for the release of hazardous material is not increased.</w:t>
      </w:r>
    </w:p>
    <w:p w14:paraId="0FBDC207" w14:textId="77777777" w:rsidR="00BE36FB" w:rsidRPr="009B7B35" w:rsidRDefault="00BE36FB" w:rsidP="00BE36FB">
      <w:pPr>
        <w:numPr>
          <w:ilvl w:val="1"/>
          <w:numId w:val="689"/>
        </w:numPr>
        <w:rPr>
          <w:rFonts w:ascii="Arial" w:hAnsi="Arial" w:cs="Arial"/>
          <w:sz w:val="20"/>
          <w:szCs w:val="20"/>
        </w:rPr>
      </w:pPr>
      <w:r w:rsidRPr="009B7B35">
        <w:rPr>
          <w:rFonts w:ascii="Arial" w:hAnsi="Arial" w:cs="Arial"/>
          <w:sz w:val="20"/>
          <w:szCs w:val="20"/>
        </w:rPr>
        <w:t>Development supports, and does not unduly burden disaster management response or recovery capacity and capabilities.</w:t>
      </w:r>
    </w:p>
    <w:p w14:paraId="7DC930B9" w14:textId="77777777" w:rsidR="00BE36FB" w:rsidRPr="009B7B35" w:rsidRDefault="00BE36FB" w:rsidP="00BE36FB">
      <w:pPr>
        <w:numPr>
          <w:ilvl w:val="1"/>
          <w:numId w:val="689"/>
        </w:numPr>
        <w:rPr>
          <w:rFonts w:ascii="Arial" w:hAnsi="Arial" w:cs="Arial"/>
          <w:sz w:val="20"/>
          <w:szCs w:val="20"/>
        </w:rPr>
      </w:pPr>
      <w:r w:rsidRPr="009B7B35">
        <w:rPr>
          <w:rFonts w:ascii="Arial" w:hAnsi="Arial" w:cs="Arial"/>
          <w:sz w:val="20"/>
          <w:szCs w:val="20"/>
        </w:rPr>
        <w:t>Community infrastructure is located and designed to function effectively during and immediately after a flood hazard event.</w:t>
      </w:r>
    </w:p>
    <w:p w14:paraId="2A5F3387" w14:textId="77777777" w:rsidR="00BE36FB" w:rsidRPr="009B7B35" w:rsidRDefault="00BE36FB" w:rsidP="001A7107">
      <w:pPr>
        <w:pStyle w:val="Notes"/>
        <w:rPr>
          <w:rFonts w:cs="Arial"/>
          <w:sz w:val="20"/>
          <w:szCs w:val="20"/>
        </w:rPr>
      </w:pPr>
      <w:r w:rsidRPr="009B7B35">
        <w:rPr>
          <w:rFonts w:cs="Arial"/>
          <w:sz w:val="20"/>
          <w:szCs w:val="20"/>
        </w:rPr>
        <w:t>Note—The term ‘defined flood event’( DFE) is the 1% annual exceedence probability (AEP) flood event identified in a flood study adopted by Council (including an allowance for climate change) or, where there is no adopted flood study, the level mapped by the Queensland Reconstruction Authority (QRA) Assessment criteria.</w:t>
      </w:r>
    </w:p>
    <w:p w14:paraId="21488182"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Assessment benchmarks</w:t>
      </w:r>
    </w:p>
    <w:p w14:paraId="759D2C4B" w14:textId="77777777" w:rsidR="00BE36FB" w:rsidRPr="009B7B35" w:rsidRDefault="00BE36FB" w:rsidP="001A7107">
      <w:pPr>
        <w:pStyle w:val="Heading5"/>
        <w:numPr>
          <w:ilvl w:val="0"/>
          <w:numId w:val="0"/>
        </w:numPr>
        <w:rPr>
          <w:rFonts w:cs="Arial"/>
          <w:szCs w:val="20"/>
        </w:rPr>
      </w:pPr>
      <w:r w:rsidRPr="009B7B35">
        <w:rPr>
          <w:rFonts w:cs="Arial"/>
          <w:szCs w:val="20"/>
        </w:rPr>
        <w:t>Table 8.2.7.3.1— Accepted development subject to requirements and assessable development</w:t>
      </w:r>
    </w:p>
    <w:tbl>
      <w:tblPr>
        <w:tblStyle w:val="Tablestyle"/>
        <w:tblW w:w="0" w:type="auto"/>
        <w:tblLook w:val="0600" w:firstRow="0" w:lastRow="0" w:firstColumn="0" w:lastColumn="0" w:noHBand="1" w:noVBand="1"/>
      </w:tblPr>
      <w:tblGrid>
        <w:gridCol w:w="4190"/>
        <w:gridCol w:w="4173"/>
      </w:tblGrid>
      <w:tr w:rsidR="00BE36FB" w:rsidRPr="009B7B35" w14:paraId="036E3E32" w14:textId="77777777" w:rsidTr="001A7107">
        <w:trPr>
          <w:cantSplit/>
          <w:trHeight w:val="28"/>
          <w:tblHeader/>
        </w:trPr>
        <w:tc>
          <w:tcPr>
            <w:tcW w:w="4680" w:type="dxa"/>
          </w:tcPr>
          <w:p w14:paraId="29B931CF" w14:textId="77777777" w:rsidR="00BE36FB" w:rsidRPr="009B7B35" w:rsidRDefault="00BE36FB" w:rsidP="001A7107">
            <w:pPr>
              <w:pStyle w:val="Tableheading"/>
              <w:rPr>
                <w:rStyle w:val="Strong"/>
                <w:rFonts w:ascii="Arial" w:hAnsi="Arial" w:cs="Arial"/>
                <w:szCs w:val="20"/>
              </w:rPr>
            </w:pPr>
            <w:r w:rsidRPr="009B7B35">
              <w:rPr>
                <w:rStyle w:val="Strong"/>
                <w:rFonts w:ascii="Arial" w:hAnsi="Arial" w:cs="Arial"/>
                <w:szCs w:val="20"/>
              </w:rPr>
              <w:t>Performance outcomes</w:t>
            </w:r>
          </w:p>
        </w:tc>
        <w:tc>
          <w:tcPr>
            <w:tcW w:w="4681" w:type="dxa"/>
          </w:tcPr>
          <w:p w14:paraId="40B88FB7" w14:textId="77777777" w:rsidR="00BE36FB" w:rsidRPr="009B7B35" w:rsidRDefault="00BE36FB" w:rsidP="001A7107">
            <w:pPr>
              <w:pStyle w:val="Tableheading"/>
              <w:rPr>
                <w:rStyle w:val="Strong"/>
                <w:rFonts w:ascii="Arial" w:hAnsi="Arial" w:cs="Arial"/>
                <w:szCs w:val="20"/>
              </w:rPr>
            </w:pPr>
            <w:r w:rsidRPr="009B7B35">
              <w:rPr>
                <w:rStyle w:val="Strong"/>
                <w:rFonts w:ascii="Arial" w:hAnsi="Arial" w:cs="Arial"/>
                <w:szCs w:val="20"/>
              </w:rPr>
              <w:t>Acceptable outcomes</w:t>
            </w:r>
          </w:p>
        </w:tc>
      </w:tr>
      <w:tr w:rsidR="00BE36FB" w:rsidRPr="009B7B35" w14:paraId="45BFFB26" w14:textId="77777777" w:rsidTr="001A7107">
        <w:trPr>
          <w:cantSplit/>
          <w:trHeight w:val="28"/>
        </w:trPr>
        <w:tc>
          <w:tcPr>
            <w:tcW w:w="9361" w:type="dxa"/>
            <w:gridSpan w:val="2"/>
            <w:shd w:val="clear" w:color="auto" w:fill="BFBFBF" w:themeFill="background1" w:themeFillShade="BF"/>
          </w:tcPr>
          <w:p w14:paraId="3754A80E" w14:textId="77777777" w:rsidR="00BE36FB" w:rsidRPr="009B7B35" w:rsidRDefault="00BE36FB" w:rsidP="001A7107">
            <w:pPr>
              <w:pStyle w:val="Tableheading"/>
              <w:rPr>
                <w:rStyle w:val="Strong"/>
                <w:rFonts w:ascii="Arial" w:hAnsi="Arial" w:cs="Arial"/>
                <w:szCs w:val="20"/>
              </w:rPr>
            </w:pPr>
            <w:r w:rsidRPr="009B7B35">
              <w:rPr>
                <w:rStyle w:val="Strong"/>
                <w:rFonts w:ascii="Arial" w:hAnsi="Arial" w:cs="Arial"/>
                <w:szCs w:val="20"/>
              </w:rPr>
              <w:t>Siting of development</w:t>
            </w:r>
          </w:p>
        </w:tc>
      </w:tr>
      <w:tr w:rsidR="00BE36FB" w:rsidRPr="009B7B35" w14:paraId="246057AA" w14:textId="77777777" w:rsidTr="001A7107">
        <w:trPr>
          <w:cantSplit/>
          <w:trHeight w:val="235"/>
        </w:trPr>
        <w:tc>
          <w:tcPr>
            <w:tcW w:w="4680" w:type="dxa"/>
          </w:tcPr>
          <w:p w14:paraId="7112C761"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PO1</w:t>
            </w:r>
          </w:p>
          <w:p w14:paraId="7877C7A0" w14:textId="77777777" w:rsidR="00BE36FB" w:rsidRPr="009B7B35" w:rsidRDefault="00BE36FB" w:rsidP="001A7107">
            <w:pPr>
              <w:pStyle w:val="TableText"/>
              <w:rPr>
                <w:rFonts w:cs="Arial"/>
              </w:rPr>
            </w:pPr>
            <w:r w:rsidRPr="009B7B35">
              <w:rPr>
                <w:rFonts w:cs="Arial"/>
              </w:rPr>
              <w:t>Development:</w:t>
            </w:r>
          </w:p>
          <w:p w14:paraId="26323AD7" w14:textId="77777777" w:rsidR="00BE36FB" w:rsidRPr="009B7B35" w:rsidRDefault="00BE36FB" w:rsidP="00BE36FB">
            <w:pPr>
              <w:pStyle w:val="TableText"/>
              <w:numPr>
                <w:ilvl w:val="0"/>
                <w:numId w:val="690"/>
              </w:numPr>
              <w:rPr>
                <w:rFonts w:cs="Arial"/>
              </w:rPr>
            </w:pPr>
            <w:r w:rsidRPr="009B7B35">
              <w:rPr>
                <w:rFonts w:cs="Arial"/>
              </w:rPr>
              <w:t>does not provide unacceptable risks to people, property or the environment from flood hazard impacts or, the risks are mitigated to an acceptable or tolerable level, or</w:t>
            </w:r>
          </w:p>
          <w:p w14:paraId="70080B5E" w14:textId="77777777" w:rsidR="00BE36FB" w:rsidRPr="009B7B35" w:rsidRDefault="00BE36FB" w:rsidP="00BE36FB">
            <w:pPr>
              <w:pStyle w:val="TableText"/>
              <w:numPr>
                <w:ilvl w:val="0"/>
                <w:numId w:val="690"/>
              </w:numPr>
              <w:rPr>
                <w:rFonts w:cs="Arial"/>
              </w:rPr>
            </w:pPr>
            <w:r w:rsidRPr="009B7B35">
              <w:rPr>
                <w:rFonts w:cs="Arial"/>
              </w:rPr>
              <w:t>does not intensify an existing use in flood hazard area in order to avoid risks to people, property or the environment or the risks are mitigated to an acceptable or tolerable level.</w:t>
            </w:r>
          </w:p>
          <w:p w14:paraId="7FA8F700" w14:textId="77777777" w:rsidR="00BE36FB" w:rsidRPr="009B7B35" w:rsidRDefault="00BE36FB" w:rsidP="001A7107">
            <w:pPr>
              <w:pStyle w:val="Notes"/>
              <w:rPr>
                <w:rFonts w:cs="Arial"/>
                <w:sz w:val="20"/>
                <w:szCs w:val="20"/>
              </w:rPr>
            </w:pPr>
            <w:r w:rsidRPr="009B7B35">
              <w:rPr>
                <w:rFonts w:cs="Arial"/>
                <w:sz w:val="20"/>
                <w:szCs w:val="20"/>
              </w:rPr>
              <w:t>Note—The terms 'acceptable risk' and 'tolerable risk' are defined in State Planning Policy Guideline – Guidance on flood, bushfire and landslide hazards. The National Construction Code, Building Regulation 2006 and the Queensland Development Code Mandatory Part 3.5 may also establish requirements with which development will need to comply.</w:t>
            </w:r>
          </w:p>
        </w:tc>
        <w:tc>
          <w:tcPr>
            <w:tcW w:w="4681" w:type="dxa"/>
          </w:tcPr>
          <w:p w14:paraId="1018C3E6"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w:t>
            </w:r>
          </w:p>
          <w:p w14:paraId="211FFCA3" w14:textId="77777777" w:rsidR="00BE36FB" w:rsidRPr="009B7B35" w:rsidRDefault="00BE36FB" w:rsidP="001A7107">
            <w:pPr>
              <w:pStyle w:val="TableText"/>
              <w:rPr>
                <w:rFonts w:cs="Arial"/>
              </w:rPr>
            </w:pPr>
            <w:r w:rsidRPr="009B7B35">
              <w:rPr>
                <w:rFonts w:cs="Arial"/>
              </w:rPr>
              <w:t>Development, including intensification of an existing use, does not occur on land within a flood hazard area.</w:t>
            </w:r>
          </w:p>
          <w:p w14:paraId="632BC7E3" w14:textId="77777777" w:rsidR="00BE36FB" w:rsidRPr="009B7B35" w:rsidRDefault="00BE36FB" w:rsidP="001A7107">
            <w:pPr>
              <w:pStyle w:val="TableText"/>
              <w:rPr>
                <w:rFonts w:cs="Arial"/>
              </w:rPr>
            </w:pPr>
            <w:r w:rsidRPr="009B7B35">
              <w:rPr>
                <w:rFonts w:cs="Arial"/>
              </w:rPr>
              <w:t>OR</w:t>
            </w:r>
          </w:p>
          <w:p w14:paraId="21A04508" w14:textId="77777777" w:rsidR="00BE36FB" w:rsidRPr="009B7B35" w:rsidRDefault="00BE36FB" w:rsidP="001A7107">
            <w:pPr>
              <w:pStyle w:val="TableText"/>
              <w:rPr>
                <w:rFonts w:cs="Arial"/>
              </w:rPr>
            </w:pPr>
            <w:r w:rsidRPr="009B7B35">
              <w:rPr>
                <w:rFonts w:cs="Arial"/>
              </w:rPr>
              <w:t>A site specific flood hazard assessment demonstrates that risks associated with the development can be mitigated to an acceptable or tolerable level.</w:t>
            </w:r>
          </w:p>
          <w:p w14:paraId="1C84F729" w14:textId="77777777" w:rsidR="00BE36FB" w:rsidRPr="009B7B35" w:rsidRDefault="00BE36FB" w:rsidP="001A7107">
            <w:pPr>
              <w:pStyle w:val="TableText"/>
              <w:rPr>
                <w:rFonts w:cs="Arial"/>
              </w:rPr>
            </w:pPr>
            <w:r w:rsidRPr="009B7B35">
              <w:rPr>
                <w:rFonts w:cs="Arial"/>
              </w:rPr>
              <w:t>OR</w:t>
            </w:r>
          </w:p>
          <w:p w14:paraId="340A9CAA" w14:textId="77777777" w:rsidR="00BE36FB" w:rsidRPr="009B7B35" w:rsidRDefault="00BE36FB" w:rsidP="001A7107">
            <w:pPr>
              <w:pStyle w:val="TableText"/>
              <w:rPr>
                <w:rFonts w:cs="Arial"/>
              </w:rPr>
            </w:pPr>
            <w:r w:rsidRPr="009B7B35">
              <w:rPr>
                <w:rFonts w:cs="Arial"/>
              </w:rPr>
              <w:t>If the premises is located in a Flood Hazard Investigation Area in the Flood Hazard overlay mapping, a written notice issued by Council at its sole discretion, for the purposes of this acceptable outcome, confirms that it is satisfied that the performance outcome PO1 would be achieved without the need for a site specific flood hazard assessment and/or a Registered Professional Engineer of Queensland certifying the actual level of flood risk for the site and measures required to ensure the risk associated with the development can be mitigated to an acceptable or tolerable level.</w:t>
            </w:r>
          </w:p>
          <w:p w14:paraId="1628E526" w14:textId="77777777" w:rsidR="00BE36FB" w:rsidRPr="009B7B35" w:rsidRDefault="00BE36FB" w:rsidP="001A7107">
            <w:pPr>
              <w:pStyle w:val="TableText"/>
              <w:rPr>
                <w:rFonts w:cs="Arial"/>
              </w:rPr>
            </w:pPr>
          </w:p>
          <w:p w14:paraId="39EBAFE8" w14:textId="77777777" w:rsidR="00BE36FB" w:rsidRPr="009B7B35" w:rsidRDefault="00BE36FB" w:rsidP="001A7107">
            <w:pPr>
              <w:pStyle w:val="TableText"/>
              <w:rPr>
                <w:rFonts w:cs="Arial"/>
              </w:rPr>
            </w:pPr>
            <w:r w:rsidRPr="009B7B35">
              <w:rPr>
                <w:rFonts w:cs="Arial"/>
              </w:rPr>
              <w:t>Note - In exercising its discretion, Gladstone Regional Council may, without limitation, have regard to:</w:t>
            </w:r>
          </w:p>
          <w:p w14:paraId="21C82D9A" w14:textId="77777777" w:rsidR="00BE36FB" w:rsidRPr="009B7B35" w:rsidRDefault="00BE36FB" w:rsidP="00BE36FB">
            <w:pPr>
              <w:pStyle w:val="TableText"/>
              <w:numPr>
                <w:ilvl w:val="0"/>
                <w:numId w:val="699"/>
              </w:numPr>
              <w:rPr>
                <w:rFonts w:cs="Arial"/>
              </w:rPr>
            </w:pPr>
            <w:r w:rsidRPr="009B7B35">
              <w:rPr>
                <w:rFonts w:cs="Arial"/>
              </w:rPr>
              <w:t>the location and characteristics of the site</w:t>
            </w:r>
            <w:r w:rsidRPr="009B7B35">
              <w:rPr>
                <w:rFonts w:cs="Arial"/>
                <w:color w:val="FF0000"/>
              </w:rPr>
              <w:t>,</w:t>
            </w:r>
            <w:r w:rsidRPr="009B7B35">
              <w:rPr>
                <w:rFonts w:cs="Arial"/>
              </w:rPr>
              <w:t xml:space="preserve"> any existing flood studies or work being carried out in the course of undertaking flood studies which may be relevant to the site</w:t>
            </w:r>
          </w:p>
          <w:p w14:paraId="178A2A04" w14:textId="77777777" w:rsidR="00BE36FB" w:rsidRPr="009B7B35" w:rsidRDefault="00BE36FB" w:rsidP="00BE36FB">
            <w:pPr>
              <w:pStyle w:val="TableText"/>
              <w:numPr>
                <w:ilvl w:val="0"/>
                <w:numId w:val="699"/>
              </w:numPr>
              <w:rPr>
                <w:rFonts w:cs="Arial"/>
              </w:rPr>
            </w:pPr>
            <w:r w:rsidRPr="009B7B35">
              <w:rPr>
                <w:rFonts w:cs="Arial"/>
              </w:rPr>
              <w:t>any work undertaken by or on behalf of Gladstone Regional Council in the course of locally verifying the extent of flood hazards which may be relevant to the site.</w:t>
            </w:r>
          </w:p>
          <w:p w14:paraId="2A7A905B" w14:textId="77777777" w:rsidR="00BE36FB" w:rsidRPr="009B7B35" w:rsidRDefault="00BE36FB" w:rsidP="001A7107">
            <w:pPr>
              <w:pStyle w:val="TableText"/>
              <w:rPr>
                <w:rFonts w:cs="Arial"/>
              </w:rPr>
            </w:pPr>
          </w:p>
          <w:p w14:paraId="3B00AFAD" w14:textId="77777777" w:rsidR="00BE36FB" w:rsidRPr="009B7B35" w:rsidRDefault="00BE36FB" w:rsidP="001A7107">
            <w:pPr>
              <w:pStyle w:val="TableText"/>
              <w:rPr>
                <w:rFonts w:cs="Arial"/>
              </w:rPr>
            </w:pPr>
            <w:r w:rsidRPr="009B7B35">
              <w:rPr>
                <w:rFonts w:cs="Arial"/>
              </w:rPr>
              <w:t xml:space="preserve">Note—AS/NZ ISO 31000:2009 Risk management – Principles and guidelines provides guidance on identifying and managing risks. Table 8.2.7.3.3—Table to acceptable outcomes sets out the criteria for establishing the level of flood hazard. A Registered Professional Engineer of Queensland with expertise in undertaking risk and flood analysis is to certify the actual level of flood risk for the site and measures required to ensure the risk associated with the development can be mitigated to an acceptable or tolerable level. </w:t>
            </w:r>
          </w:p>
        </w:tc>
      </w:tr>
      <w:tr w:rsidR="00BE36FB" w:rsidRPr="009B7B35" w14:paraId="2BBAEFBE" w14:textId="77777777" w:rsidTr="001A7107">
        <w:tc>
          <w:tcPr>
            <w:tcW w:w="4680" w:type="dxa"/>
          </w:tcPr>
          <w:p w14:paraId="1F0FEA1A"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PO2</w:t>
            </w:r>
          </w:p>
          <w:p w14:paraId="4094BD04" w14:textId="77777777" w:rsidR="00BE36FB" w:rsidRPr="009B7B35" w:rsidRDefault="00BE36FB" w:rsidP="001A7107">
            <w:pPr>
              <w:pStyle w:val="TableText"/>
              <w:rPr>
                <w:rFonts w:cs="Arial"/>
              </w:rPr>
            </w:pPr>
            <w:r w:rsidRPr="009B7B35">
              <w:rPr>
                <w:rFonts w:cs="Arial"/>
              </w:rPr>
              <w:t>Development is sited to enable safe evacuation in the event of a flood.</w:t>
            </w:r>
          </w:p>
        </w:tc>
        <w:tc>
          <w:tcPr>
            <w:tcW w:w="4681" w:type="dxa"/>
          </w:tcPr>
          <w:p w14:paraId="25240691"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w:t>
            </w:r>
          </w:p>
          <w:p w14:paraId="721CA06B" w14:textId="77777777" w:rsidR="00BE36FB" w:rsidRPr="009B7B35" w:rsidRDefault="00BE36FB" w:rsidP="001A7107">
            <w:pPr>
              <w:pStyle w:val="TableText"/>
              <w:rPr>
                <w:rFonts w:cs="Arial"/>
              </w:rPr>
            </w:pPr>
            <w:r w:rsidRPr="009B7B35">
              <w:rPr>
                <w:rFonts w:cs="Arial"/>
              </w:rPr>
              <w:t>Development has direct access to land above the DFE by an evacuation route that is either above the DFE or has a confirmed low or medium flood hazard rating. Evacuation routes do not include an high or extreme flood hazard area.</w:t>
            </w:r>
          </w:p>
          <w:p w14:paraId="4F432E78" w14:textId="77777777" w:rsidR="00BE36FB" w:rsidRPr="009B7B35" w:rsidRDefault="00BE36FB" w:rsidP="001A7107">
            <w:pPr>
              <w:pStyle w:val="TableText"/>
              <w:rPr>
                <w:rFonts w:cs="Arial"/>
              </w:rPr>
            </w:pPr>
            <w:r w:rsidRPr="009B7B35">
              <w:rPr>
                <w:rFonts w:cs="Arial"/>
              </w:rPr>
              <w:t>OR</w:t>
            </w:r>
          </w:p>
          <w:p w14:paraId="5F5A8656" w14:textId="77777777" w:rsidR="00BE36FB" w:rsidRPr="009B7B35" w:rsidRDefault="00BE36FB" w:rsidP="001A7107">
            <w:pPr>
              <w:pStyle w:val="TableText"/>
              <w:rPr>
                <w:rFonts w:cs="Arial"/>
              </w:rPr>
            </w:pPr>
            <w:r w:rsidRPr="009B7B35">
              <w:rPr>
                <w:rFonts w:cs="Arial"/>
              </w:rPr>
              <w:t>If the premises is located in a Flood Hazard Investigation Area in the Flood Hazard overlay mapping, a written notice issued by Council at its sole discretion, for the purposes of this acceptable outcome, confirms that it is satisfied that the performance outcome PO1 would be achieved without the need for a site specific flood hazard assessment and/or a Registered Professional Engineer of Queensland certifying the actual level of flood risk for the site and measures required to ensure the risk associated with the development can be mitigated to an acceptable or tolerable level.</w:t>
            </w:r>
          </w:p>
          <w:p w14:paraId="2EE07BCB" w14:textId="77777777" w:rsidR="00BE36FB" w:rsidRPr="009B7B35" w:rsidRDefault="00BE36FB" w:rsidP="001A7107">
            <w:pPr>
              <w:pStyle w:val="TableText"/>
              <w:rPr>
                <w:rFonts w:cs="Arial"/>
              </w:rPr>
            </w:pPr>
          </w:p>
          <w:p w14:paraId="74F9D975" w14:textId="77777777" w:rsidR="00BE36FB" w:rsidRPr="009B7B35" w:rsidRDefault="00BE36FB" w:rsidP="001A7107">
            <w:pPr>
              <w:pStyle w:val="TableText"/>
              <w:rPr>
                <w:rFonts w:cs="Arial"/>
              </w:rPr>
            </w:pPr>
            <w:r w:rsidRPr="009B7B35">
              <w:rPr>
                <w:rFonts w:cs="Arial"/>
              </w:rPr>
              <w:t>Note - In exercising its discretion, Gladstone Regional Council may, without limitation, have regard to:</w:t>
            </w:r>
          </w:p>
          <w:p w14:paraId="30185EFB" w14:textId="77777777" w:rsidR="00BE36FB" w:rsidRPr="009B7B35" w:rsidRDefault="00BE36FB" w:rsidP="00BE36FB">
            <w:pPr>
              <w:pStyle w:val="TableText"/>
              <w:numPr>
                <w:ilvl w:val="0"/>
                <w:numId w:val="699"/>
              </w:numPr>
              <w:rPr>
                <w:rFonts w:cs="Arial"/>
              </w:rPr>
            </w:pPr>
            <w:r w:rsidRPr="009B7B35">
              <w:rPr>
                <w:rFonts w:cs="Arial"/>
              </w:rPr>
              <w:t>the location and characteristics of the siteany existing flood studies or work being carried out in the course of undertaking flood studies which may be relevant to the site</w:t>
            </w:r>
          </w:p>
          <w:p w14:paraId="3200983A" w14:textId="77777777" w:rsidR="00BE36FB" w:rsidRPr="009B7B35" w:rsidRDefault="00BE36FB" w:rsidP="00BE36FB">
            <w:pPr>
              <w:pStyle w:val="TableText"/>
              <w:numPr>
                <w:ilvl w:val="0"/>
                <w:numId w:val="699"/>
              </w:numPr>
              <w:rPr>
                <w:rFonts w:cs="Arial"/>
              </w:rPr>
            </w:pPr>
            <w:r w:rsidRPr="009B7B35">
              <w:rPr>
                <w:rFonts w:cs="Arial"/>
              </w:rPr>
              <w:t>any work undertaken by or on behalf of Gladstone Regional Council in the course of locally verifying the extent of flood hazards which may be relevant to the site.</w:t>
            </w:r>
          </w:p>
          <w:p w14:paraId="5BDCC921" w14:textId="77777777" w:rsidR="00BE36FB" w:rsidRPr="009B7B35" w:rsidRDefault="00BE36FB" w:rsidP="001A7107">
            <w:pPr>
              <w:pStyle w:val="TableText"/>
              <w:rPr>
                <w:rFonts w:cs="Arial"/>
              </w:rPr>
            </w:pPr>
          </w:p>
          <w:p w14:paraId="401CCB95" w14:textId="77777777" w:rsidR="00BE36FB" w:rsidRPr="009B7B35" w:rsidRDefault="00BE36FB" w:rsidP="001A7107">
            <w:pPr>
              <w:pStyle w:val="Notes"/>
              <w:rPr>
                <w:rFonts w:cs="Arial"/>
                <w:sz w:val="20"/>
                <w:szCs w:val="20"/>
              </w:rPr>
            </w:pPr>
            <w:r w:rsidRPr="009B7B35">
              <w:rPr>
                <w:rFonts w:cs="Arial"/>
                <w:sz w:val="20"/>
                <w:szCs w:val="20"/>
              </w:rPr>
              <w:t>Note—The criteria for a low or medium flood hazard is defined in Table 8.2.7.3.3—Table to acceptable outcomes. A Registered Professional Engineer of Queensland with expertise in undertaking flood analysis is to certify the actual level of risk for the site in accordance with those criteria.</w:t>
            </w:r>
          </w:p>
        </w:tc>
      </w:tr>
      <w:tr w:rsidR="00BE36FB" w:rsidRPr="009B7B35" w14:paraId="341D39BD" w14:textId="77777777" w:rsidTr="001A7107">
        <w:tc>
          <w:tcPr>
            <w:tcW w:w="4680" w:type="dxa"/>
          </w:tcPr>
          <w:p w14:paraId="3D8C12FB"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PO3</w:t>
            </w:r>
          </w:p>
          <w:p w14:paraId="41C1018C" w14:textId="77777777" w:rsidR="00BE36FB" w:rsidRPr="009B7B35" w:rsidRDefault="00BE36FB" w:rsidP="001A7107">
            <w:pPr>
              <w:pStyle w:val="TableText"/>
              <w:rPr>
                <w:rFonts w:cs="Arial"/>
              </w:rPr>
            </w:pPr>
            <w:r w:rsidRPr="009B7B35">
              <w:rPr>
                <w:rFonts w:cs="Arial"/>
              </w:rPr>
              <w:t>Signage is provided within extreme, high and medium flood hazard areas to alert residents and visitors to the flood hazard.</w:t>
            </w:r>
          </w:p>
        </w:tc>
        <w:tc>
          <w:tcPr>
            <w:tcW w:w="4681" w:type="dxa"/>
          </w:tcPr>
          <w:p w14:paraId="246533F3"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AO3</w:t>
            </w:r>
          </w:p>
          <w:p w14:paraId="5986ADD1" w14:textId="77777777" w:rsidR="00BE36FB" w:rsidRPr="009B7B35" w:rsidRDefault="00BE36FB" w:rsidP="001A7107">
            <w:pPr>
              <w:pStyle w:val="TableText"/>
              <w:rPr>
                <w:rFonts w:cs="Arial"/>
              </w:rPr>
            </w:pPr>
            <w:r w:rsidRPr="009B7B35">
              <w:rPr>
                <w:rFonts w:cs="Arial"/>
              </w:rPr>
              <w:t>Signage is provided on site (regardless of whether the land is in public or private ownership) indicating:</w:t>
            </w:r>
          </w:p>
          <w:p w14:paraId="1EC72224" w14:textId="77777777" w:rsidR="00BE36FB" w:rsidRPr="009B7B35" w:rsidRDefault="00BE36FB" w:rsidP="00BE36FB">
            <w:pPr>
              <w:pStyle w:val="TableText"/>
              <w:numPr>
                <w:ilvl w:val="0"/>
                <w:numId w:val="691"/>
              </w:numPr>
              <w:rPr>
                <w:rFonts w:cs="Arial"/>
              </w:rPr>
            </w:pPr>
            <w:r w:rsidRPr="009B7B35">
              <w:rPr>
                <w:rFonts w:cs="Arial"/>
              </w:rPr>
              <w:t>the position and path of all safe evacuation routes off the site, and</w:t>
            </w:r>
          </w:p>
          <w:p w14:paraId="5875722E" w14:textId="77777777" w:rsidR="00BE36FB" w:rsidRPr="009B7B35" w:rsidRDefault="00BE36FB" w:rsidP="00BE36FB">
            <w:pPr>
              <w:pStyle w:val="TableText"/>
              <w:numPr>
                <w:ilvl w:val="0"/>
                <w:numId w:val="691"/>
              </w:numPr>
              <w:rPr>
                <w:rFonts w:cs="Arial"/>
              </w:rPr>
            </w:pPr>
            <w:r w:rsidRPr="009B7B35">
              <w:rPr>
                <w:rFonts w:cs="Arial"/>
              </w:rPr>
              <w:t>if the site contains or is within 100m of a floodable waterway, hazard warning signage and depth indicators are also provided at key hazard points such as floodway crossings or entrances to low–lying reserves.</w:t>
            </w:r>
          </w:p>
          <w:p w14:paraId="2CAA23E8" w14:textId="77777777" w:rsidR="00BE36FB" w:rsidRPr="009B7B35" w:rsidRDefault="00BE36FB" w:rsidP="001A7107">
            <w:pPr>
              <w:pStyle w:val="TableText"/>
              <w:ind w:left="567"/>
              <w:rPr>
                <w:rFonts w:cs="Arial"/>
              </w:rPr>
            </w:pPr>
          </w:p>
          <w:p w14:paraId="163042EA" w14:textId="77777777" w:rsidR="00BE36FB" w:rsidRPr="009B7B35" w:rsidRDefault="00BE36FB" w:rsidP="001A7107">
            <w:pPr>
              <w:pStyle w:val="TableText"/>
              <w:rPr>
                <w:rFonts w:cs="Arial"/>
              </w:rPr>
            </w:pPr>
            <w:r w:rsidRPr="009B7B35">
              <w:rPr>
                <w:rFonts w:cs="Arial"/>
              </w:rPr>
              <w:t>If the premises is located in a Flood Hazard Investigation Area in the Flood Hazard overlay mapping, a written notice issued by Gladstone Regional Council at its sole discretion, may for the purposes of this acceptable outcome, exempt compliance with AO3(a).</w:t>
            </w:r>
          </w:p>
          <w:p w14:paraId="5483D75C" w14:textId="77777777" w:rsidR="00BE36FB" w:rsidRPr="009B7B35" w:rsidRDefault="00BE36FB" w:rsidP="001A7107">
            <w:pPr>
              <w:pStyle w:val="TableText"/>
              <w:rPr>
                <w:rFonts w:cs="Arial"/>
              </w:rPr>
            </w:pPr>
          </w:p>
          <w:p w14:paraId="60E9C1C8" w14:textId="77777777" w:rsidR="00BE36FB" w:rsidRPr="009B7B35" w:rsidRDefault="00BE36FB" w:rsidP="001A7107">
            <w:pPr>
              <w:pStyle w:val="TableText"/>
              <w:rPr>
                <w:rFonts w:cs="Arial"/>
              </w:rPr>
            </w:pPr>
            <w:r w:rsidRPr="009B7B35">
              <w:rPr>
                <w:rFonts w:cs="Arial"/>
              </w:rPr>
              <w:t>Note - In exercising its discretion, Gladstone Regional Council may, without limitation, have regard to:</w:t>
            </w:r>
          </w:p>
          <w:p w14:paraId="02BBFBF0" w14:textId="77777777" w:rsidR="00BE36FB" w:rsidRPr="009B7B35" w:rsidRDefault="00BE36FB" w:rsidP="00BE36FB">
            <w:pPr>
              <w:pStyle w:val="TableText"/>
              <w:numPr>
                <w:ilvl w:val="0"/>
                <w:numId w:val="699"/>
              </w:numPr>
              <w:rPr>
                <w:rFonts w:cs="Arial"/>
              </w:rPr>
            </w:pPr>
            <w:r w:rsidRPr="009B7B35">
              <w:rPr>
                <w:rFonts w:cs="Arial"/>
              </w:rPr>
              <w:t>the location and characteristics of the site</w:t>
            </w:r>
          </w:p>
          <w:p w14:paraId="00BCD758" w14:textId="77777777" w:rsidR="00BE36FB" w:rsidRPr="009B7B35" w:rsidRDefault="00BE36FB" w:rsidP="00BE36FB">
            <w:pPr>
              <w:pStyle w:val="TableText"/>
              <w:numPr>
                <w:ilvl w:val="0"/>
                <w:numId w:val="699"/>
              </w:numPr>
              <w:rPr>
                <w:rFonts w:cs="Arial"/>
              </w:rPr>
            </w:pPr>
            <w:r w:rsidRPr="009B7B35">
              <w:rPr>
                <w:rFonts w:cs="Arial"/>
              </w:rPr>
              <w:t>any existing flood studies or work being carried out in the course of undertaking flood studies which may be relevant to the site</w:t>
            </w:r>
          </w:p>
          <w:p w14:paraId="679E0470" w14:textId="77777777" w:rsidR="00BE36FB" w:rsidRPr="009B7B35" w:rsidRDefault="00BE36FB" w:rsidP="00BE36FB">
            <w:pPr>
              <w:pStyle w:val="TableText"/>
              <w:numPr>
                <w:ilvl w:val="0"/>
                <w:numId w:val="699"/>
              </w:numPr>
              <w:rPr>
                <w:rFonts w:cs="Arial"/>
              </w:rPr>
            </w:pPr>
            <w:r w:rsidRPr="009B7B35">
              <w:rPr>
                <w:rFonts w:cs="Arial"/>
              </w:rPr>
              <w:t>any work undertaken by or on behalf of Gladstone Regional Council in the course of locally verifying the extent of flood hazards which may be relevant to the site.</w:t>
            </w:r>
          </w:p>
        </w:tc>
      </w:tr>
      <w:tr w:rsidR="00BE36FB" w:rsidRPr="009B7B35" w14:paraId="18AF93AD" w14:textId="77777777" w:rsidTr="001A7107">
        <w:trPr>
          <w:cantSplit/>
        </w:trPr>
        <w:tc>
          <w:tcPr>
            <w:tcW w:w="9361" w:type="dxa"/>
            <w:gridSpan w:val="2"/>
          </w:tcPr>
          <w:p w14:paraId="603CD476"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662B1FD1" w14:textId="77777777" w:rsidTr="001A7107">
        <w:trPr>
          <w:cantSplit/>
        </w:trPr>
        <w:tc>
          <w:tcPr>
            <w:tcW w:w="9361" w:type="dxa"/>
            <w:gridSpan w:val="2"/>
            <w:shd w:val="clear" w:color="auto" w:fill="BFBFBF" w:themeFill="background1" w:themeFillShade="BF"/>
          </w:tcPr>
          <w:p w14:paraId="22C12167" w14:textId="77777777" w:rsidR="00BE36FB" w:rsidRPr="009B7B35" w:rsidRDefault="00BE36FB" w:rsidP="001A7107">
            <w:pPr>
              <w:pStyle w:val="Tableheading"/>
              <w:rPr>
                <w:rFonts w:ascii="Arial" w:hAnsi="Arial" w:cs="Arial"/>
                <w:szCs w:val="20"/>
              </w:rPr>
            </w:pPr>
            <w:r w:rsidRPr="009B7B35">
              <w:rPr>
                <w:rFonts w:ascii="Arial" w:hAnsi="Arial" w:cs="Arial"/>
                <w:szCs w:val="20"/>
              </w:rPr>
              <w:t>Reconfiguring a lot</w:t>
            </w:r>
          </w:p>
        </w:tc>
      </w:tr>
      <w:tr w:rsidR="00BE36FB" w:rsidRPr="009B7B35" w14:paraId="28F4651B" w14:textId="77777777" w:rsidTr="001A7107">
        <w:trPr>
          <w:trHeight w:val="1827"/>
        </w:trPr>
        <w:tc>
          <w:tcPr>
            <w:tcW w:w="4680" w:type="dxa"/>
            <w:vMerge w:val="restart"/>
          </w:tcPr>
          <w:p w14:paraId="1F7085FF"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PO4</w:t>
            </w:r>
          </w:p>
          <w:p w14:paraId="3AD13EC9" w14:textId="77777777" w:rsidR="00BE36FB" w:rsidRPr="009B7B35" w:rsidRDefault="00BE36FB" w:rsidP="001A7107">
            <w:pPr>
              <w:pStyle w:val="TableText"/>
              <w:rPr>
                <w:rFonts w:cs="Arial"/>
              </w:rPr>
            </w:pPr>
            <w:r w:rsidRPr="009B7B35">
              <w:rPr>
                <w:rFonts w:cs="Arial"/>
              </w:rPr>
              <w:t>Reconfiguring a lot other than in a residential zone allows sufficient area and access for the intended use.</w:t>
            </w:r>
          </w:p>
        </w:tc>
        <w:tc>
          <w:tcPr>
            <w:tcW w:w="4681" w:type="dxa"/>
          </w:tcPr>
          <w:p w14:paraId="086272E0" w14:textId="77777777" w:rsidR="00BE36FB" w:rsidRPr="009B7B35" w:rsidRDefault="00BE36FB" w:rsidP="001A7107">
            <w:pPr>
              <w:pStyle w:val="TableText"/>
              <w:rPr>
                <w:rFonts w:cs="Arial"/>
                <w:b/>
                <w:lang w:eastAsia="en-US"/>
              </w:rPr>
            </w:pPr>
            <w:r w:rsidRPr="009B7B35">
              <w:rPr>
                <w:rFonts w:cs="Arial"/>
                <w:b/>
                <w:lang w:eastAsia="en-US"/>
              </w:rPr>
              <w:t>AO</w:t>
            </w:r>
            <w:r w:rsidRPr="009B7B35">
              <w:rPr>
                <w:rFonts w:cs="Arial"/>
                <w:b/>
              </w:rPr>
              <w:t>4</w:t>
            </w:r>
            <w:r w:rsidRPr="009B7B35">
              <w:rPr>
                <w:rFonts w:cs="Arial"/>
                <w:b/>
                <w:lang w:eastAsia="en-US"/>
              </w:rPr>
              <w:t>.1</w:t>
            </w:r>
          </w:p>
          <w:p w14:paraId="43DDA449" w14:textId="77777777" w:rsidR="00BE36FB" w:rsidRPr="009B7B35" w:rsidRDefault="00BE36FB" w:rsidP="001A7107">
            <w:pPr>
              <w:rPr>
                <w:rFonts w:cs="Arial"/>
                <w:sz w:val="20"/>
                <w:szCs w:val="20"/>
              </w:rPr>
            </w:pPr>
            <w:r w:rsidRPr="009B7B35">
              <w:rPr>
                <w:rFonts w:cs="Arial"/>
                <w:sz w:val="20"/>
                <w:szCs w:val="20"/>
                <w:lang w:eastAsia="en-US"/>
              </w:rPr>
              <w:t>For new lots in the rural zone or rural residential zone, a designated building envelope, generally rectangular in shape, having a minimum area of 1,000m2 and a finished surface level of not less than 1,000mm above DFE, is provided</w:t>
            </w:r>
          </w:p>
        </w:tc>
      </w:tr>
      <w:tr w:rsidR="00BE36FB" w:rsidRPr="009B7B35" w14:paraId="2F5E65C2" w14:textId="77777777" w:rsidTr="001A7107">
        <w:trPr>
          <w:trHeight w:val="2495"/>
        </w:trPr>
        <w:tc>
          <w:tcPr>
            <w:tcW w:w="4680" w:type="dxa"/>
            <w:vMerge/>
          </w:tcPr>
          <w:p w14:paraId="42D77574" w14:textId="77777777" w:rsidR="00BE36FB" w:rsidRPr="009B7B35" w:rsidRDefault="00BE36FB" w:rsidP="001A7107">
            <w:pPr>
              <w:pStyle w:val="TableText"/>
              <w:rPr>
                <w:rStyle w:val="Strong"/>
                <w:rFonts w:eastAsiaTheme="majorEastAsia" w:cs="Arial"/>
              </w:rPr>
            </w:pPr>
          </w:p>
        </w:tc>
        <w:tc>
          <w:tcPr>
            <w:tcW w:w="4681" w:type="dxa"/>
          </w:tcPr>
          <w:p w14:paraId="5EC1C944" w14:textId="77777777" w:rsidR="00BE36FB" w:rsidRPr="009B7B35" w:rsidRDefault="00BE36FB" w:rsidP="001A7107">
            <w:pPr>
              <w:rPr>
                <w:rFonts w:cs="Arial"/>
                <w:b/>
                <w:sz w:val="20"/>
                <w:szCs w:val="20"/>
                <w:lang w:eastAsia="en-US"/>
              </w:rPr>
            </w:pPr>
            <w:r w:rsidRPr="009B7B35">
              <w:rPr>
                <w:rFonts w:cs="Arial"/>
                <w:b/>
                <w:sz w:val="20"/>
                <w:szCs w:val="20"/>
                <w:lang w:eastAsia="en-US"/>
              </w:rPr>
              <w:t>AO</w:t>
            </w:r>
            <w:r w:rsidRPr="009B7B35">
              <w:rPr>
                <w:rFonts w:cs="Arial"/>
                <w:b/>
                <w:sz w:val="20"/>
                <w:szCs w:val="20"/>
              </w:rPr>
              <w:t>4</w:t>
            </w:r>
            <w:r w:rsidRPr="009B7B35">
              <w:rPr>
                <w:rFonts w:cs="Arial"/>
                <w:b/>
                <w:sz w:val="20"/>
                <w:szCs w:val="20"/>
                <w:lang w:eastAsia="en-US"/>
              </w:rPr>
              <w:t>.2</w:t>
            </w:r>
          </w:p>
          <w:p w14:paraId="4B5325A5" w14:textId="77777777" w:rsidR="00BE36FB" w:rsidRPr="009B7B35" w:rsidRDefault="00BE36FB" w:rsidP="001A7107">
            <w:pPr>
              <w:pStyle w:val="TableText"/>
              <w:rPr>
                <w:rFonts w:cs="Arial"/>
              </w:rPr>
            </w:pPr>
            <w:r w:rsidRPr="009B7B35">
              <w:rPr>
                <w:rFonts w:cs="Arial"/>
                <w:lang w:eastAsia="en-US"/>
              </w:rPr>
              <w:t>Access from the building envelope to the evacuation route is located above 5% AEP flood immunity level and has a low or medium hazard rating as per Table 8.2.7.3.3.</w:t>
            </w:r>
          </w:p>
          <w:p w14:paraId="4FD81304" w14:textId="77777777" w:rsidR="00BE36FB" w:rsidRPr="009B7B35" w:rsidDel="001C2044" w:rsidRDefault="00BE36FB" w:rsidP="001A7107">
            <w:pPr>
              <w:pStyle w:val="Notes"/>
              <w:rPr>
                <w:rFonts w:cs="Arial"/>
                <w:sz w:val="20"/>
                <w:szCs w:val="20"/>
              </w:rPr>
            </w:pPr>
            <w:r w:rsidRPr="009B7B35">
              <w:rPr>
                <w:rFonts w:cs="Arial"/>
                <w:sz w:val="20"/>
                <w:szCs w:val="20"/>
              </w:rPr>
              <w:t>Notes—Table 8.2.7.3.3—Table to acceptable outcomes sets out the criteria for establishing the level of hazard. A Registered Professional Engineer of Queensland with expertise in undertaking flood analysis is to certify the actual level of risk for the site in accordance with those criteria.</w:t>
            </w:r>
          </w:p>
        </w:tc>
      </w:tr>
      <w:tr w:rsidR="00BE36FB" w:rsidRPr="009B7B35" w14:paraId="311F7CFF" w14:textId="77777777" w:rsidTr="001A7107">
        <w:trPr>
          <w:cantSplit/>
          <w:trHeight w:val="295"/>
        </w:trPr>
        <w:tc>
          <w:tcPr>
            <w:tcW w:w="4680" w:type="dxa"/>
            <w:vMerge w:val="restart"/>
          </w:tcPr>
          <w:p w14:paraId="53728D21"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PO5</w:t>
            </w:r>
          </w:p>
          <w:p w14:paraId="6C9D1A08" w14:textId="77777777" w:rsidR="00BE36FB" w:rsidRPr="009B7B35" w:rsidRDefault="00BE36FB" w:rsidP="001A7107">
            <w:pPr>
              <w:pStyle w:val="TableText"/>
              <w:rPr>
                <w:rFonts w:cs="Arial"/>
              </w:rPr>
            </w:pPr>
            <w:r w:rsidRPr="009B7B35">
              <w:rPr>
                <w:rFonts w:cs="Arial"/>
              </w:rPr>
              <w:t>Road and pathway layout ensures residents are not physically isolated from adjacent flood free urban areas and provides a safe and clear evacuation route path.</w:t>
            </w:r>
          </w:p>
        </w:tc>
        <w:tc>
          <w:tcPr>
            <w:tcW w:w="4681" w:type="dxa"/>
          </w:tcPr>
          <w:p w14:paraId="61FC8616"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AO5.1</w:t>
            </w:r>
          </w:p>
          <w:p w14:paraId="2FB0EA76" w14:textId="77777777" w:rsidR="00BE36FB" w:rsidRPr="009B7B35" w:rsidRDefault="00BE36FB" w:rsidP="001A7107">
            <w:pPr>
              <w:pStyle w:val="TableText"/>
              <w:rPr>
                <w:rFonts w:cs="Arial"/>
              </w:rPr>
            </w:pPr>
            <w:r w:rsidRPr="009B7B35">
              <w:rPr>
                <w:rFonts w:cs="Arial"/>
              </w:rPr>
              <w:t>New arterial roads are located above the DFE, sub–arterial and collector roads are located above the 2% AEP flood level and all other roads are above the 5% AEP flood level.</w:t>
            </w:r>
          </w:p>
        </w:tc>
      </w:tr>
      <w:tr w:rsidR="00BE36FB" w:rsidRPr="009B7B35" w14:paraId="58096AF1" w14:textId="77777777" w:rsidTr="001A7107">
        <w:trPr>
          <w:cantSplit/>
          <w:trHeight w:val="293"/>
        </w:trPr>
        <w:tc>
          <w:tcPr>
            <w:tcW w:w="4680" w:type="dxa"/>
            <w:vMerge/>
          </w:tcPr>
          <w:p w14:paraId="200B0B18" w14:textId="77777777" w:rsidR="00BE36FB" w:rsidRPr="009B7B35" w:rsidRDefault="00BE36FB" w:rsidP="001A7107">
            <w:pPr>
              <w:pStyle w:val="TableText"/>
              <w:rPr>
                <w:rFonts w:cs="Arial"/>
              </w:rPr>
            </w:pPr>
          </w:p>
        </w:tc>
        <w:tc>
          <w:tcPr>
            <w:tcW w:w="4681" w:type="dxa"/>
          </w:tcPr>
          <w:p w14:paraId="62B563FE"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AO5.2</w:t>
            </w:r>
          </w:p>
          <w:p w14:paraId="63CA0407" w14:textId="77777777" w:rsidR="00BE36FB" w:rsidRPr="009B7B35" w:rsidRDefault="00BE36FB" w:rsidP="001A7107">
            <w:pPr>
              <w:pStyle w:val="TableText"/>
              <w:rPr>
                <w:rFonts w:cs="Arial"/>
              </w:rPr>
            </w:pPr>
            <w:r w:rsidRPr="009B7B35">
              <w:rPr>
                <w:rFonts w:cs="Arial"/>
              </w:rPr>
              <w:t>Development does not involve cul–de–sacs or dead end streets within a flood hazard area.</w:t>
            </w:r>
          </w:p>
        </w:tc>
      </w:tr>
      <w:tr w:rsidR="00BE36FB" w:rsidRPr="009B7B35" w14:paraId="69D52FD5" w14:textId="77777777" w:rsidTr="001A7107">
        <w:trPr>
          <w:cantSplit/>
          <w:trHeight w:val="293"/>
        </w:trPr>
        <w:tc>
          <w:tcPr>
            <w:tcW w:w="4680" w:type="dxa"/>
            <w:vMerge/>
          </w:tcPr>
          <w:p w14:paraId="7C5876B0" w14:textId="77777777" w:rsidR="00BE36FB" w:rsidRPr="009B7B35" w:rsidRDefault="00BE36FB" w:rsidP="001A7107">
            <w:pPr>
              <w:pStyle w:val="TableText"/>
              <w:rPr>
                <w:rFonts w:cs="Arial"/>
              </w:rPr>
            </w:pPr>
          </w:p>
        </w:tc>
        <w:tc>
          <w:tcPr>
            <w:tcW w:w="4681" w:type="dxa"/>
          </w:tcPr>
          <w:p w14:paraId="68CE47A7"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AO5.3</w:t>
            </w:r>
          </w:p>
          <w:p w14:paraId="4C9FCC7A" w14:textId="77777777" w:rsidR="00BE36FB" w:rsidRPr="009B7B35" w:rsidRDefault="00BE36FB" w:rsidP="001A7107">
            <w:pPr>
              <w:pStyle w:val="TableText"/>
              <w:rPr>
                <w:rFonts w:cs="Arial"/>
              </w:rPr>
            </w:pPr>
            <w:r w:rsidRPr="009B7B35">
              <w:rPr>
                <w:rFonts w:cs="Arial"/>
              </w:rPr>
              <w:t>Each new lot has direct access to low or medium hazard evacuation routes as defined in Table 8.2.7.3.3—Table to acceptable outcomes.</w:t>
            </w:r>
          </w:p>
          <w:p w14:paraId="297432FF" w14:textId="77777777" w:rsidR="00BE36FB" w:rsidRPr="009B7B35" w:rsidRDefault="00BE36FB" w:rsidP="001A7107">
            <w:pPr>
              <w:pStyle w:val="Notes"/>
              <w:rPr>
                <w:rFonts w:cs="Arial"/>
                <w:sz w:val="20"/>
                <w:szCs w:val="20"/>
              </w:rPr>
            </w:pPr>
            <w:r w:rsidRPr="009B7B35">
              <w:rPr>
                <w:rFonts w:cs="Arial"/>
                <w:sz w:val="20"/>
                <w:szCs w:val="20"/>
              </w:rPr>
              <w:t>Note—The criteria for a low or medium flood hazard is defined in Table 8.2.7.3.3—Table to acceptable outcomes.</w:t>
            </w:r>
          </w:p>
        </w:tc>
      </w:tr>
      <w:tr w:rsidR="00BE36FB" w:rsidRPr="009B7B35" w14:paraId="3262CC31" w14:textId="77777777" w:rsidTr="001A7107">
        <w:trPr>
          <w:cantSplit/>
        </w:trPr>
        <w:tc>
          <w:tcPr>
            <w:tcW w:w="9361" w:type="dxa"/>
            <w:gridSpan w:val="2"/>
            <w:shd w:val="clear" w:color="auto" w:fill="BFBFBF" w:themeFill="background1" w:themeFillShade="BF"/>
          </w:tcPr>
          <w:p w14:paraId="3298FE5C" w14:textId="77777777" w:rsidR="00BE36FB" w:rsidRPr="009B7B35" w:rsidRDefault="00BE36FB" w:rsidP="001A7107">
            <w:pPr>
              <w:pStyle w:val="Tableheading"/>
              <w:rPr>
                <w:rFonts w:ascii="Arial" w:hAnsi="Arial" w:cs="Arial"/>
                <w:szCs w:val="20"/>
              </w:rPr>
            </w:pPr>
            <w:r w:rsidRPr="009B7B35">
              <w:rPr>
                <w:rFonts w:ascii="Arial" w:hAnsi="Arial" w:cs="Arial"/>
                <w:szCs w:val="20"/>
              </w:rPr>
              <w:t>Building floor levels</w:t>
            </w:r>
          </w:p>
        </w:tc>
      </w:tr>
      <w:tr w:rsidR="00BE36FB" w:rsidRPr="009B7B35" w14:paraId="090D50C8" w14:textId="77777777" w:rsidTr="001A7107">
        <w:trPr>
          <w:cantSplit/>
        </w:trPr>
        <w:tc>
          <w:tcPr>
            <w:tcW w:w="4680" w:type="dxa"/>
            <w:vMerge w:val="restart"/>
          </w:tcPr>
          <w:p w14:paraId="13403331" w14:textId="77777777" w:rsidR="00BE36FB" w:rsidRPr="009B7B35" w:rsidRDefault="00BE36FB" w:rsidP="001A7107">
            <w:pPr>
              <w:pStyle w:val="TableText"/>
              <w:rPr>
                <w:rFonts w:cs="Arial"/>
                <w:b/>
              </w:rPr>
            </w:pPr>
            <w:r w:rsidRPr="009B7B35">
              <w:rPr>
                <w:rFonts w:cs="Arial"/>
                <w:b/>
              </w:rPr>
              <w:t>PO6</w:t>
            </w:r>
          </w:p>
          <w:p w14:paraId="20F8ABE7" w14:textId="77777777" w:rsidR="00BE36FB" w:rsidRPr="009B7B35" w:rsidRDefault="00BE36FB" w:rsidP="001A7107">
            <w:pPr>
              <w:pStyle w:val="TableText"/>
              <w:rPr>
                <w:rFonts w:cs="Arial"/>
              </w:rPr>
            </w:pPr>
            <w:r w:rsidRPr="009B7B35">
              <w:rPr>
                <w:rFonts w:cs="Arial"/>
              </w:rPr>
              <w:t>The floor levels of residential uses and other sensitive land uses are raised above the DFE to provide an allowance above the main flood way for hydraulic gradient, the effects of wave action, uncertainty in estimating flood water heights and unforeseen variation in local flood behaviour.</w:t>
            </w:r>
          </w:p>
        </w:tc>
        <w:tc>
          <w:tcPr>
            <w:tcW w:w="4681" w:type="dxa"/>
          </w:tcPr>
          <w:p w14:paraId="7EE7933B" w14:textId="77777777" w:rsidR="00BE36FB" w:rsidRPr="009B7B35" w:rsidRDefault="00BE36FB" w:rsidP="001A7107">
            <w:pPr>
              <w:pStyle w:val="TableText"/>
              <w:rPr>
                <w:rFonts w:cs="Arial"/>
                <w:b/>
              </w:rPr>
            </w:pPr>
            <w:r w:rsidRPr="009B7B35">
              <w:rPr>
                <w:rFonts w:cs="Arial"/>
                <w:b/>
              </w:rPr>
              <w:t>AO6.1</w:t>
            </w:r>
          </w:p>
          <w:p w14:paraId="1508483B" w14:textId="77777777" w:rsidR="00BE36FB" w:rsidRPr="009B7B35" w:rsidRDefault="00BE36FB" w:rsidP="001A7107">
            <w:pPr>
              <w:pStyle w:val="TableText"/>
              <w:rPr>
                <w:rFonts w:cs="Arial"/>
              </w:rPr>
            </w:pPr>
            <w:r w:rsidRPr="009B7B35">
              <w:rPr>
                <w:rFonts w:cs="Arial"/>
              </w:rPr>
              <w:t>Habitable rooms have a minimum floor level at least 1000mm above the DFE.</w:t>
            </w:r>
          </w:p>
          <w:p w14:paraId="79C7B468" w14:textId="77777777" w:rsidR="00BE36FB" w:rsidRPr="009B7B35" w:rsidRDefault="00BE36FB" w:rsidP="001A7107">
            <w:pPr>
              <w:pStyle w:val="TableText"/>
              <w:rPr>
                <w:rFonts w:cs="Arial"/>
              </w:rPr>
            </w:pPr>
            <w:r w:rsidRPr="009B7B35">
              <w:rPr>
                <w:rFonts w:cs="Arial"/>
              </w:rPr>
              <w:t>OR</w:t>
            </w:r>
          </w:p>
          <w:p w14:paraId="7D60E3BA" w14:textId="77777777" w:rsidR="00BE36FB" w:rsidRPr="009B7B35" w:rsidRDefault="00BE36FB" w:rsidP="001A7107">
            <w:pPr>
              <w:pStyle w:val="TableText"/>
              <w:rPr>
                <w:rFonts w:cs="Arial"/>
              </w:rPr>
            </w:pPr>
            <w:r w:rsidRPr="009B7B35">
              <w:rPr>
                <w:rFonts w:cs="Arial"/>
              </w:rPr>
              <w:t>Where involving an extension to an existing residential use that has habitable rooms below the DFE, any extension does not exceed 25m</w:t>
            </w:r>
            <w:r w:rsidRPr="009B7B35">
              <w:rPr>
                <w:rStyle w:val="StyleSuperscript"/>
                <w:rFonts w:cs="Arial"/>
              </w:rPr>
              <w:t>2</w:t>
            </w:r>
            <w:r w:rsidRPr="009B7B35">
              <w:rPr>
                <w:rFonts w:cs="Arial"/>
              </w:rPr>
              <w:t xml:space="preserve"> GFA.</w:t>
            </w:r>
          </w:p>
        </w:tc>
      </w:tr>
      <w:tr w:rsidR="00BE36FB" w:rsidRPr="009B7B35" w14:paraId="1EEAD31B" w14:textId="77777777" w:rsidTr="001A7107">
        <w:trPr>
          <w:cantSplit/>
        </w:trPr>
        <w:tc>
          <w:tcPr>
            <w:tcW w:w="4680" w:type="dxa"/>
            <w:vMerge/>
          </w:tcPr>
          <w:p w14:paraId="5EE0C605" w14:textId="77777777" w:rsidR="00BE36FB" w:rsidRPr="009B7B35" w:rsidRDefault="00BE36FB" w:rsidP="001A7107">
            <w:pPr>
              <w:pStyle w:val="TableText"/>
              <w:rPr>
                <w:rFonts w:cs="Arial"/>
              </w:rPr>
            </w:pPr>
          </w:p>
        </w:tc>
        <w:tc>
          <w:tcPr>
            <w:tcW w:w="4681" w:type="dxa"/>
          </w:tcPr>
          <w:p w14:paraId="7019A4F3" w14:textId="77777777" w:rsidR="00BE36FB" w:rsidRPr="009B7B35" w:rsidRDefault="00BE36FB" w:rsidP="001A7107">
            <w:pPr>
              <w:pStyle w:val="TableText"/>
              <w:rPr>
                <w:rFonts w:cs="Arial"/>
                <w:b/>
              </w:rPr>
            </w:pPr>
            <w:r w:rsidRPr="009B7B35">
              <w:rPr>
                <w:rFonts w:cs="Arial"/>
                <w:b/>
              </w:rPr>
              <w:t>AO6.2</w:t>
            </w:r>
          </w:p>
          <w:p w14:paraId="22D9F724" w14:textId="77777777" w:rsidR="00BE36FB" w:rsidRPr="009B7B35" w:rsidRDefault="00BE36FB" w:rsidP="001A7107">
            <w:pPr>
              <w:pStyle w:val="TableText"/>
              <w:rPr>
                <w:rFonts w:cs="Arial"/>
              </w:rPr>
            </w:pPr>
            <w:r w:rsidRPr="009B7B35">
              <w:rPr>
                <w:rFonts w:cs="Arial"/>
              </w:rPr>
              <w:t>Floor levels of non–habitable rooms (other than Class 10 buildings) are above the DFE, or allow for the flow through of floodwaters.</w:t>
            </w:r>
          </w:p>
        </w:tc>
      </w:tr>
      <w:tr w:rsidR="00BE36FB" w:rsidRPr="009B7B35" w14:paraId="3A241B6B" w14:textId="77777777" w:rsidTr="001A7107">
        <w:trPr>
          <w:cantSplit/>
        </w:trPr>
        <w:tc>
          <w:tcPr>
            <w:tcW w:w="4680" w:type="dxa"/>
            <w:vMerge/>
          </w:tcPr>
          <w:p w14:paraId="31B18109" w14:textId="77777777" w:rsidR="00BE36FB" w:rsidRPr="009B7B35" w:rsidRDefault="00BE36FB" w:rsidP="001A7107">
            <w:pPr>
              <w:pStyle w:val="TableText"/>
              <w:rPr>
                <w:rFonts w:cs="Arial"/>
              </w:rPr>
            </w:pPr>
          </w:p>
        </w:tc>
        <w:tc>
          <w:tcPr>
            <w:tcW w:w="4681" w:type="dxa"/>
          </w:tcPr>
          <w:p w14:paraId="01B00207" w14:textId="77777777" w:rsidR="00BE36FB" w:rsidRPr="009B7B35" w:rsidRDefault="00BE36FB" w:rsidP="001A7107">
            <w:pPr>
              <w:pStyle w:val="TableText"/>
              <w:rPr>
                <w:rFonts w:cs="Arial"/>
                <w:b/>
              </w:rPr>
            </w:pPr>
            <w:r w:rsidRPr="009B7B35">
              <w:rPr>
                <w:rFonts w:cs="Arial"/>
                <w:b/>
              </w:rPr>
              <w:t>AO6.3</w:t>
            </w:r>
          </w:p>
          <w:p w14:paraId="584A6C28" w14:textId="77777777" w:rsidR="00BE36FB" w:rsidRPr="009B7B35" w:rsidDel="00DE76AA" w:rsidRDefault="00BE36FB" w:rsidP="001A7107">
            <w:pPr>
              <w:pStyle w:val="TableText"/>
              <w:rPr>
                <w:rFonts w:cs="Arial"/>
              </w:rPr>
            </w:pPr>
            <w:r w:rsidRPr="009B7B35">
              <w:rPr>
                <w:rFonts w:cs="Arial"/>
              </w:rPr>
              <w:t>Where a building has been destroyed by flood, the floor levels of the reconstructed building accord with AO7.1 and AO7.2.</w:t>
            </w:r>
          </w:p>
        </w:tc>
      </w:tr>
      <w:tr w:rsidR="00BE36FB" w:rsidRPr="009B7B35" w14:paraId="22EE6C32" w14:textId="77777777" w:rsidTr="001A7107">
        <w:trPr>
          <w:cantSplit/>
        </w:trPr>
        <w:tc>
          <w:tcPr>
            <w:tcW w:w="4680" w:type="dxa"/>
            <w:vMerge/>
          </w:tcPr>
          <w:p w14:paraId="163C9D08" w14:textId="77777777" w:rsidR="00BE36FB" w:rsidRPr="009B7B35" w:rsidRDefault="00BE36FB" w:rsidP="001A7107">
            <w:pPr>
              <w:pStyle w:val="TableText"/>
              <w:rPr>
                <w:rFonts w:cs="Arial"/>
                <w:b/>
              </w:rPr>
            </w:pPr>
          </w:p>
        </w:tc>
        <w:tc>
          <w:tcPr>
            <w:tcW w:w="4681" w:type="dxa"/>
          </w:tcPr>
          <w:p w14:paraId="2E61087C" w14:textId="77777777" w:rsidR="00BE36FB" w:rsidRPr="009B7B35" w:rsidRDefault="00BE36FB" w:rsidP="001A7107">
            <w:pPr>
              <w:pStyle w:val="TableText"/>
              <w:rPr>
                <w:rFonts w:cs="Arial"/>
                <w:b/>
              </w:rPr>
            </w:pPr>
            <w:r w:rsidRPr="009B7B35">
              <w:rPr>
                <w:rFonts w:cs="Arial"/>
                <w:b/>
              </w:rPr>
              <w:t>AO6.4</w:t>
            </w:r>
          </w:p>
          <w:p w14:paraId="5B8F48F3" w14:textId="77777777" w:rsidR="00BE36FB" w:rsidRPr="009B7B35" w:rsidRDefault="00BE36FB" w:rsidP="001A7107">
            <w:pPr>
              <w:pStyle w:val="TableText"/>
              <w:rPr>
                <w:rFonts w:cs="Arial"/>
                <w:b/>
              </w:rPr>
            </w:pPr>
            <w:r w:rsidRPr="009B7B35">
              <w:rPr>
                <w:rFonts w:cs="Arial"/>
              </w:rPr>
              <w:t>The filling height of building footprints does not exceed 1000mm and has batters not steeper than 1 in 6.</w:t>
            </w:r>
          </w:p>
        </w:tc>
      </w:tr>
      <w:tr w:rsidR="00BE36FB" w:rsidRPr="009B7B35" w14:paraId="68A1D075" w14:textId="77777777" w:rsidTr="001A7107">
        <w:tc>
          <w:tcPr>
            <w:tcW w:w="4680" w:type="dxa"/>
            <w:vMerge w:val="restart"/>
          </w:tcPr>
          <w:p w14:paraId="2FB96C71" w14:textId="77777777" w:rsidR="00BE36FB" w:rsidRPr="009B7B35" w:rsidRDefault="00BE36FB" w:rsidP="001A7107">
            <w:pPr>
              <w:pStyle w:val="TableText"/>
              <w:rPr>
                <w:rFonts w:cs="Arial"/>
              </w:rPr>
            </w:pPr>
            <w:r w:rsidRPr="009B7B35">
              <w:rPr>
                <w:rFonts w:cs="Arial"/>
                <w:b/>
              </w:rPr>
              <w:t>PO7</w:t>
            </w:r>
          </w:p>
          <w:p w14:paraId="77820051" w14:textId="77777777" w:rsidR="00BE36FB" w:rsidRPr="009B7B35" w:rsidRDefault="00BE36FB" w:rsidP="001A7107">
            <w:pPr>
              <w:pStyle w:val="TableText"/>
              <w:rPr>
                <w:rFonts w:cs="Arial"/>
              </w:rPr>
            </w:pPr>
            <w:r w:rsidRPr="009B7B35">
              <w:rPr>
                <w:rFonts w:cs="Arial"/>
              </w:rPr>
              <w:t>Non–residential development is designed and located to minimise damage to property from flooding impacts.</w:t>
            </w:r>
          </w:p>
          <w:p w14:paraId="51531863" w14:textId="77777777" w:rsidR="00BE36FB" w:rsidRPr="009B7B35" w:rsidRDefault="00BE36FB" w:rsidP="001A7107">
            <w:pPr>
              <w:rPr>
                <w:rFonts w:cs="Arial"/>
                <w:sz w:val="20"/>
                <w:szCs w:val="20"/>
              </w:rPr>
            </w:pPr>
          </w:p>
          <w:p w14:paraId="7BDB7CA1" w14:textId="77777777" w:rsidR="00BE36FB" w:rsidRPr="009B7B35" w:rsidRDefault="00BE36FB" w:rsidP="001A7107">
            <w:pPr>
              <w:rPr>
                <w:rFonts w:cs="Arial"/>
                <w:sz w:val="20"/>
                <w:szCs w:val="20"/>
              </w:rPr>
            </w:pPr>
          </w:p>
          <w:p w14:paraId="2E49378E" w14:textId="77777777" w:rsidR="00BE36FB" w:rsidRPr="009B7B35" w:rsidRDefault="00BE36FB" w:rsidP="001A7107">
            <w:pPr>
              <w:jc w:val="center"/>
              <w:rPr>
                <w:rFonts w:cs="Arial"/>
                <w:sz w:val="20"/>
                <w:szCs w:val="20"/>
              </w:rPr>
            </w:pPr>
          </w:p>
        </w:tc>
        <w:tc>
          <w:tcPr>
            <w:tcW w:w="4681" w:type="dxa"/>
          </w:tcPr>
          <w:p w14:paraId="49E52138" w14:textId="77777777" w:rsidR="00BE36FB" w:rsidRPr="009B7B35" w:rsidRDefault="00BE36FB" w:rsidP="001A7107">
            <w:pPr>
              <w:pStyle w:val="TableText"/>
              <w:rPr>
                <w:rFonts w:cs="Arial"/>
                <w:b/>
              </w:rPr>
            </w:pPr>
            <w:r w:rsidRPr="009B7B35">
              <w:rPr>
                <w:rFonts w:cs="Arial"/>
                <w:b/>
              </w:rPr>
              <w:t>AO7.1</w:t>
            </w:r>
          </w:p>
          <w:p w14:paraId="76384AFD" w14:textId="77777777" w:rsidR="00BE36FB" w:rsidRPr="009B7B35" w:rsidRDefault="00BE36FB" w:rsidP="001A7107">
            <w:pPr>
              <w:pStyle w:val="TableText"/>
              <w:rPr>
                <w:rFonts w:cs="Arial"/>
              </w:rPr>
            </w:pPr>
            <w:r w:rsidRPr="009B7B35">
              <w:rPr>
                <w:rFonts w:cs="Arial"/>
              </w:rPr>
              <w:t>The floor level of non–residential buildings (other than Class 10 buildings) is above the DFE or allows for the flow through of floodwaters on the ground floor.</w:t>
            </w:r>
          </w:p>
        </w:tc>
      </w:tr>
      <w:tr w:rsidR="00BE36FB" w:rsidRPr="009B7B35" w14:paraId="7368B8FA" w14:textId="77777777" w:rsidTr="001A7107">
        <w:trPr>
          <w:cantSplit/>
          <w:trHeight w:val="521"/>
        </w:trPr>
        <w:tc>
          <w:tcPr>
            <w:tcW w:w="4680" w:type="dxa"/>
            <w:vMerge/>
          </w:tcPr>
          <w:p w14:paraId="22C6FEC8" w14:textId="77777777" w:rsidR="00BE36FB" w:rsidRPr="009B7B35" w:rsidRDefault="00BE36FB" w:rsidP="001A7107">
            <w:pPr>
              <w:pStyle w:val="TableText"/>
              <w:rPr>
                <w:rFonts w:cs="Arial"/>
              </w:rPr>
            </w:pPr>
          </w:p>
        </w:tc>
        <w:tc>
          <w:tcPr>
            <w:tcW w:w="4681" w:type="dxa"/>
          </w:tcPr>
          <w:p w14:paraId="4729162C" w14:textId="77777777" w:rsidR="00BE36FB" w:rsidRPr="009B7B35" w:rsidRDefault="00BE36FB" w:rsidP="001A7107">
            <w:pPr>
              <w:pStyle w:val="TableText"/>
              <w:rPr>
                <w:rFonts w:cs="Arial"/>
                <w:b/>
              </w:rPr>
            </w:pPr>
            <w:r w:rsidRPr="009B7B35">
              <w:rPr>
                <w:rFonts w:cs="Arial"/>
                <w:b/>
              </w:rPr>
              <w:t>AO7.2</w:t>
            </w:r>
          </w:p>
          <w:p w14:paraId="0E4475D2" w14:textId="77777777" w:rsidR="00BE36FB" w:rsidRPr="009B7B35" w:rsidRDefault="00BE36FB" w:rsidP="001A7107">
            <w:pPr>
              <w:pStyle w:val="TableText"/>
              <w:rPr>
                <w:rFonts w:cs="Arial"/>
              </w:rPr>
            </w:pPr>
            <w:r w:rsidRPr="009B7B35">
              <w:rPr>
                <w:rFonts w:cs="Arial"/>
              </w:rPr>
              <w:t>Where located less than 1000mm above the DFE materials stored on–site are those that are easily able to be moved off–site in a flood event.</w:t>
            </w:r>
          </w:p>
        </w:tc>
      </w:tr>
      <w:tr w:rsidR="00BE36FB" w:rsidRPr="009B7B35" w14:paraId="2BA25305" w14:textId="77777777" w:rsidTr="001A7107">
        <w:trPr>
          <w:cantSplit/>
        </w:trPr>
        <w:tc>
          <w:tcPr>
            <w:tcW w:w="9361" w:type="dxa"/>
            <w:gridSpan w:val="2"/>
            <w:shd w:val="clear" w:color="auto" w:fill="BFBFBF" w:themeFill="background1" w:themeFillShade="BF"/>
          </w:tcPr>
          <w:p w14:paraId="138D37CC" w14:textId="77777777" w:rsidR="00BE36FB" w:rsidRPr="009B7B35" w:rsidRDefault="00BE36FB" w:rsidP="001A7107">
            <w:pPr>
              <w:pStyle w:val="Tableheading"/>
              <w:rPr>
                <w:rFonts w:ascii="Arial" w:hAnsi="Arial" w:cs="Arial"/>
                <w:szCs w:val="20"/>
              </w:rPr>
            </w:pPr>
            <w:r w:rsidRPr="009B7B35">
              <w:rPr>
                <w:rFonts w:ascii="Arial" w:hAnsi="Arial" w:cs="Arial"/>
                <w:szCs w:val="20"/>
              </w:rPr>
              <w:t>Earthworks</w:t>
            </w:r>
          </w:p>
        </w:tc>
      </w:tr>
      <w:tr w:rsidR="00BE36FB" w:rsidRPr="009B7B35" w14:paraId="2C387A63" w14:textId="77777777" w:rsidTr="001A7107">
        <w:trPr>
          <w:cantSplit/>
        </w:trPr>
        <w:tc>
          <w:tcPr>
            <w:tcW w:w="4680" w:type="dxa"/>
          </w:tcPr>
          <w:p w14:paraId="0D57AC5A" w14:textId="77777777" w:rsidR="00BE36FB" w:rsidRPr="009B7B35" w:rsidRDefault="00BE36FB" w:rsidP="001A7107">
            <w:pPr>
              <w:pStyle w:val="TableText"/>
              <w:rPr>
                <w:rFonts w:cs="Arial"/>
                <w:b/>
              </w:rPr>
            </w:pPr>
            <w:r w:rsidRPr="009B7B35">
              <w:rPr>
                <w:rFonts w:cs="Arial"/>
                <w:b/>
              </w:rPr>
              <w:t>PO8</w:t>
            </w:r>
          </w:p>
          <w:p w14:paraId="777BC1BF" w14:textId="77777777" w:rsidR="00BE36FB" w:rsidRPr="009B7B35" w:rsidRDefault="00BE36FB" w:rsidP="001A7107">
            <w:pPr>
              <w:pStyle w:val="TableText"/>
              <w:rPr>
                <w:rFonts w:cs="Arial"/>
              </w:rPr>
            </w:pPr>
            <w:r w:rsidRPr="009B7B35">
              <w:rPr>
                <w:rFonts w:cs="Arial"/>
              </w:rPr>
              <w:t>Development, including any earthworks or excavation work in excess of 50 cubic metres, must:</w:t>
            </w:r>
          </w:p>
          <w:p w14:paraId="61C4C069" w14:textId="77777777" w:rsidR="00BE36FB" w:rsidRPr="009B7B35" w:rsidRDefault="00BE36FB" w:rsidP="00BE36FB">
            <w:pPr>
              <w:pStyle w:val="TableText"/>
              <w:numPr>
                <w:ilvl w:val="0"/>
                <w:numId w:val="692"/>
              </w:numPr>
              <w:rPr>
                <w:rFonts w:cs="Arial"/>
              </w:rPr>
            </w:pPr>
            <w:r w:rsidRPr="009B7B35">
              <w:rPr>
                <w:rFonts w:cs="Arial"/>
              </w:rPr>
              <w:t>not adversely impact on or change the flood characteristics of a floodplain or waterway</w:t>
            </w:r>
          </w:p>
          <w:p w14:paraId="54165815" w14:textId="77777777" w:rsidR="00BE36FB" w:rsidRPr="009B7B35" w:rsidRDefault="00BE36FB" w:rsidP="00BE36FB">
            <w:pPr>
              <w:pStyle w:val="TableText"/>
              <w:numPr>
                <w:ilvl w:val="0"/>
                <w:numId w:val="692"/>
              </w:numPr>
              <w:rPr>
                <w:rFonts w:cs="Arial"/>
              </w:rPr>
            </w:pPr>
            <w:r w:rsidRPr="009B7B35">
              <w:rPr>
                <w:rFonts w:cs="Arial"/>
              </w:rPr>
              <w:t xml:space="preserve">not reduce existing flood storage and flow capacity </w:t>
            </w:r>
          </w:p>
          <w:p w14:paraId="783DF298" w14:textId="77777777" w:rsidR="00BE36FB" w:rsidRPr="009B7B35" w:rsidRDefault="00BE36FB" w:rsidP="00BE36FB">
            <w:pPr>
              <w:pStyle w:val="TableText"/>
              <w:numPr>
                <w:ilvl w:val="0"/>
                <w:numId w:val="692"/>
              </w:numPr>
              <w:rPr>
                <w:rFonts w:cs="Arial"/>
              </w:rPr>
            </w:pPr>
            <w:r w:rsidRPr="009B7B35">
              <w:rPr>
                <w:rFonts w:cs="Arial"/>
              </w:rPr>
              <w:t>avoid any physical change to a floodplain or natural waterway</w:t>
            </w:r>
          </w:p>
          <w:p w14:paraId="7B90B0AB" w14:textId="77777777" w:rsidR="00BE36FB" w:rsidRPr="009B7B35" w:rsidRDefault="00BE36FB" w:rsidP="00BE36FB">
            <w:pPr>
              <w:pStyle w:val="TableText"/>
              <w:numPr>
                <w:ilvl w:val="0"/>
                <w:numId w:val="692"/>
              </w:numPr>
              <w:rPr>
                <w:rFonts w:cs="Arial"/>
              </w:rPr>
            </w:pPr>
            <w:r w:rsidRPr="009B7B35">
              <w:rPr>
                <w:rFonts w:cs="Arial"/>
              </w:rPr>
              <w:t>avoid increased scour and erosion</w:t>
            </w:r>
          </w:p>
          <w:p w14:paraId="78D68F45" w14:textId="77777777" w:rsidR="00BE36FB" w:rsidRPr="009B7B35" w:rsidRDefault="00BE36FB" w:rsidP="00BE36FB">
            <w:pPr>
              <w:pStyle w:val="TableText"/>
              <w:numPr>
                <w:ilvl w:val="0"/>
                <w:numId w:val="692"/>
              </w:numPr>
              <w:rPr>
                <w:rFonts w:cs="Arial"/>
              </w:rPr>
            </w:pPr>
            <w:r w:rsidRPr="009B7B35">
              <w:rPr>
                <w:rFonts w:cs="Arial"/>
              </w:rPr>
              <w:t xml:space="preserve">not increase the depth, velocity or direction of the flow, the rate of flood level rise or the duration of inundation on land external to the site, and </w:t>
            </w:r>
          </w:p>
          <w:p w14:paraId="5A4353B5" w14:textId="77777777" w:rsidR="00BE36FB" w:rsidRPr="009B7B35" w:rsidRDefault="00BE36FB" w:rsidP="00BE36FB">
            <w:pPr>
              <w:pStyle w:val="TableText"/>
              <w:numPr>
                <w:ilvl w:val="0"/>
                <w:numId w:val="692"/>
              </w:numPr>
              <w:rPr>
                <w:rFonts w:cs="Arial"/>
              </w:rPr>
            </w:pPr>
            <w:r w:rsidRPr="009B7B35">
              <w:rPr>
                <w:rFonts w:cs="Arial"/>
              </w:rPr>
              <w:t>not substantially remove any riparian or riverine vegetation.</w:t>
            </w:r>
          </w:p>
          <w:p w14:paraId="63EF3A84" w14:textId="77777777" w:rsidR="00BE36FB" w:rsidRPr="009B7B35" w:rsidRDefault="00BE36FB" w:rsidP="001A7107">
            <w:pPr>
              <w:pStyle w:val="TableText"/>
              <w:ind w:left="567"/>
              <w:rPr>
                <w:rFonts w:cs="Arial"/>
              </w:rPr>
            </w:pPr>
          </w:p>
        </w:tc>
        <w:tc>
          <w:tcPr>
            <w:tcW w:w="4681" w:type="dxa"/>
          </w:tcPr>
          <w:p w14:paraId="6BA4CC24" w14:textId="77777777" w:rsidR="00BE36FB" w:rsidRPr="009B7B35" w:rsidRDefault="00BE36FB" w:rsidP="001A7107">
            <w:pPr>
              <w:pStyle w:val="TableText"/>
              <w:rPr>
                <w:rFonts w:cs="Arial"/>
              </w:rPr>
            </w:pPr>
            <w:r w:rsidRPr="009B7B35">
              <w:rPr>
                <w:rFonts w:cs="Arial"/>
              </w:rPr>
              <w:t>No acceptable outcome nominated.</w:t>
            </w:r>
          </w:p>
        </w:tc>
      </w:tr>
      <w:tr w:rsidR="00BE36FB" w:rsidRPr="009B7B35" w14:paraId="01110857" w14:textId="77777777" w:rsidTr="001A7107">
        <w:trPr>
          <w:cantSplit/>
        </w:trPr>
        <w:tc>
          <w:tcPr>
            <w:tcW w:w="9361" w:type="dxa"/>
            <w:gridSpan w:val="2"/>
            <w:shd w:val="clear" w:color="auto" w:fill="BFBFBF" w:themeFill="background1" w:themeFillShade="BF"/>
          </w:tcPr>
          <w:p w14:paraId="0DBC04CE" w14:textId="77777777" w:rsidR="00BE36FB" w:rsidRPr="009B7B35" w:rsidRDefault="00BE36FB" w:rsidP="001A7107">
            <w:pPr>
              <w:pStyle w:val="Tableheading"/>
              <w:rPr>
                <w:rFonts w:ascii="Arial" w:hAnsi="Arial" w:cs="Arial"/>
                <w:szCs w:val="20"/>
              </w:rPr>
            </w:pPr>
            <w:r w:rsidRPr="009B7B35">
              <w:rPr>
                <w:rFonts w:ascii="Arial" w:hAnsi="Arial" w:cs="Arial"/>
                <w:szCs w:val="20"/>
              </w:rPr>
              <w:t>Hazardous materials</w:t>
            </w:r>
          </w:p>
        </w:tc>
      </w:tr>
      <w:tr w:rsidR="00BE36FB" w:rsidRPr="009B7B35" w14:paraId="5B7E7A59" w14:textId="77777777" w:rsidTr="001A7107">
        <w:tc>
          <w:tcPr>
            <w:tcW w:w="4680" w:type="dxa"/>
            <w:vMerge w:val="restart"/>
          </w:tcPr>
          <w:p w14:paraId="0579993F" w14:textId="77777777" w:rsidR="00BE36FB" w:rsidRPr="009B7B35" w:rsidRDefault="00BE36FB" w:rsidP="001A7107">
            <w:pPr>
              <w:pStyle w:val="TableText"/>
              <w:rPr>
                <w:rFonts w:cs="Arial"/>
                <w:b/>
              </w:rPr>
            </w:pPr>
            <w:r w:rsidRPr="009B7B35">
              <w:rPr>
                <w:rFonts w:cs="Arial"/>
                <w:b/>
              </w:rPr>
              <w:t>PO9</w:t>
            </w:r>
          </w:p>
          <w:p w14:paraId="24F8BCBD" w14:textId="77777777" w:rsidR="00BE36FB" w:rsidRPr="009B7B35" w:rsidRDefault="00BE36FB" w:rsidP="001A7107">
            <w:pPr>
              <w:pStyle w:val="TableText"/>
              <w:rPr>
                <w:rFonts w:cs="Arial"/>
              </w:rPr>
            </w:pPr>
            <w:r w:rsidRPr="009B7B35">
              <w:rPr>
                <w:rFonts w:cs="Arial"/>
              </w:rPr>
              <w:t>Public safety and the environment are not adversely affected by the impacts of floodwater on hazardous materials manufactured or stored in bulk.</w:t>
            </w:r>
          </w:p>
        </w:tc>
        <w:tc>
          <w:tcPr>
            <w:tcW w:w="4681" w:type="dxa"/>
          </w:tcPr>
          <w:p w14:paraId="756D5C22" w14:textId="77777777" w:rsidR="00BE36FB" w:rsidRPr="009B7B35" w:rsidRDefault="00BE36FB" w:rsidP="001A7107">
            <w:pPr>
              <w:pStyle w:val="TableText"/>
              <w:rPr>
                <w:rFonts w:cs="Arial"/>
                <w:b/>
              </w:rPr>
            </w:pPr>
            <w:r w:rsidRPr="009B7B35">
              <w:rPr>
                <w:rFonts w:cs="Arial"/>
                <w:b/>
              </w:rPr>
              <w:t>AO</w:t>
            </w:r>
            <w:r w:rsidRPr="009B7B35">
              <w:rPr>
                <w:rFonts w:cs="Arial"/>
              </w:rPr>
              <w:t>9</w:t>
            </w:r>
            <w:r w:rsidRPr="009B7B35">
              <w:rPr>
                <w:rFonts w:cs="Arial"/>
                <w:b/>
              </w:rPr>
              <w:t>.1</w:t>
            </w:r>
          </w:p>
          <w:p w14:paraId="7F746B1D" w14:textId="77777777" w:rsidR="00BE36FB" w:rsidRPr="009B7B35" w:rsidRDefault="00BE36FB" w:rsidP="001A7107">
            <w:pPr>
              <w:pStyle w:val="TableText"/>
              <w:rPr>
                <w:rFonts w:cs="Arial"/>
              </w:rPr>
            </w:pPr>
            <w:r w:rsidRPr="009B7B35">
              <w:rPr>
                <w:rFonts w:cs="Arial"/>
              </w:rPr>
              <w:t>Development does not involve the manufacture or storage of hazardous materials within a flood hazard area.</w:t>
            </w:r>
          </w:p>
          <w:p w14:paraId="303E2934" w14:textId="77777777" w:rsidR="00BE36FB" w:rsidRPr="009B7B35" w:rsidRDefault="00BE36FB" w:rsidP="001A7107">
            <w:pPr>
              <w:pStyle w:val="TableText"/>
              <w:rPr>
                <w:rFonts w:cs="Arial"/>
              </w:rPr>
            </w:pPr>
            <w:r w:rsidRPr="009B7B35">
              <w:rPr>
                <w:rFonts w:cs="Arial"/>
              </w:rPr>
              <w:t>OR</w:t>
            </w:r>
          </w:p>
          <w:p w14:paraId="5BBF787F" w14:textId="77777777" w:rsidR="00BE36FB" w:rsidRPr="009B7B35" w:rsidRDefault="00BE36FB" w:rsidP="001A7107">
            <w:pPr>
              <w:pStyle w:val="TableText"/>
              <w:rPr>
                <w:rFonts w:cs="Arial"/>
              </w:rPr>
            </w:pPr>
            <w:r w:rsidRPr="009B7B35">
              <w:rPr>
                <w:rFonts w:cs="Arial"/>
              </w:rPr>
              <w:t>A site specific flood hazard assessment demonstrates that the site is within a low or medium hazard, the manufacture or storage of hazardous materials takes place not less than 1000mm above the DFE flood levels.</w:t>
            </w:r>
          </w:p>
        </w:tc>
      </w:tr>
      <w:tr w:rsidR="00BE36FB" w:rsidRPr="009B7B35" w14:paraId="2AC5CF51" w14:textId="77777777" w:rsidTr="001A7107">
        <w:tc>
          <w:tcPr>
            <w:tcW w:w="4680" w:type="dxa"/>
            <w:vMerge/>
          </w:tcPr>
          <w:p w14:paraId="1E289CD9" w14:textId="77777777" w:rsidR="00BE36FB" w:rsidRPr="009B7B35" w:rsidRDefault="00BE36FB" w:rsidP="001A7107">
            <w:pPr>
              <w:pStyle w:val="TableText"/>
              <w:rPr>
                <w:rFonts w:cs="Arial"/>
              </w:rPr>
            </w:pPr>
          </w:p>
        </w:tc>
        <w:tc>
          <w:tcPr>
            <w:tcW w:w="4681" w:type="dxa"/>
          </w:tcPr>
          <w:p w14:paraId="1715F59E" w14:textId="77777777" w:rsidR="00BE36FB" w:rsidRPr="009B7B35" w:rsidRDefault="00BE36FB" w:rsidP="001A7107">
            <w:pPr>
              <w:pStyle w:val="TableText"/>
              <w:rPr>
                <w:rFonts w:cs="Arial"/>
                <w:b/>
              </w:rPr>
            </w:pPr>
            <w:r w:rsidRPr="009B7B35">
              <w:rPr>
                <w:rFonts w:cs="Arial"/>
                <w:b/>
              </w:rPr>
              <w:t>AO9.2</w:t>
            </w:r>
          </w:p>
          <w:p w14:paraId="407C7E7F" w14:textId="77777777" w:rsidR="00BE36FB" w:rsidRPr="009B7B35" w:rsidRDefault="00BE36FB" w:rsidP="001A7107">
            <w:pPr>
              <w:pStyle w:val="TableText"/>
              <w:rPr>
                <w:rFonts w:cs="Arial"/>
              </w:rPr>
            </w:pPr>
            <w:r w:rsidRPr="009B7B35">
              <w:rPr>
                <w:rFonts w:cs="Arial"/>
              </w:rPr>
              <w:t>Structures used for the manufacture or storage of hazardous material in bulk are designed to prevent the intrusion of floodwaters.</w:t>
            </w:r>
          </w:p>
          <w:p w14:paraId="030DAEA6" w14:textId="77777777" w:rsidR="00BE36FB" w:rsidRPr="009B7B35" w:rsidRDefault="00BE36FB" w:rsidP="001A7107">
            <w:pPr>
              <w:pStyle w:val="TableText"/>
              <w:rPr>
                <w:rFonts w:cs="Arial"/>
              </w:rPr>
            </w:pPr>
            <w:r w:rsidRPr="009B7B35">
              <w:rPr>
                <w:rFonts w:cs="Arial"/>
              </w:rPr>
              <w:t>OR</w:t>
            </w:r>
          </w:p>
          <w:p w14:paraId="3EF1C7FC" w14:textId="77777777" w:rsidR="00BE36FB" w:rsidRPr="009B7B35" w:rsidRDefault="00BE36FB" w:rsidP="001A7107">
            <w:pPr>
              <w:pStyle w:val="TableText"/>
              <w:rPr>
                <w:rFonts w:cs="Arial"/>
                <w:b/>
              </w:rPr>
            </w:pPr>
            <w:r w:rsidRPr="009B7B35">
              <w:rPr>
                <w:rFonts w:cs="Arial"/>
                <w:b/>
              </w:rPr>
              <w:t>AO9.3</w:t>
            </w:r>
          </w:p>
          <w:p w14:paraId="5C91D26F" w14:textId="77777777" w:rsidR="00BE36FB" w:rsidRPr="009B7B35" w:rsidRDefault="00BE36FB" w:rsidP="001A7107">
            <w:pPr>
              <w:pStyle w:val="TableText"/>
              <w:rPr>
                <w:rFonts w:cs="Arial"/>
              </w:rPr>
            </w:pPr>
            <w:r w:rsidRPr="009B7B35">
              <w:rPr>
                <w:rFonts w:cs="Arial"/>
              </w:rPr>
              <w:t>Within the low or medium flood hazard area, the quantity of hazardous chemicals is:</w:t>
            </w:r>
          </w:p>
          <w:p w14:paraId="6142CC88" w14:textId="77777777" w:rsidR="00BE36FB" w:rsidRPr="009B7B35" w:rsidRDefault="00BE36FB" w:rsidP="00BE36FB">
            <w:pPr>
              <w:pStyle w:val="TableText"/>
              <w:numPr>
                <w:ilvl w:val="0"/>
                <w:numId w:val="693"/>
              </w:numPr>
              <w:rPr>
                <w:rFonts w:cs="Arial"/>
              </w:rPr>
            </w:pPr>
            <w:r w:rsidRPr="009B7B35">
              <w:rPr>
                <w:rFonts w:cs="Arial"/>
              </w:rPr>
              <w:t>flammable gases less than 5,000L</w:t>
            </w:r>
          </w:p>
          <w:p w14:paraId="5AAD5FF0" w14:textId="77777777" w:rsidR="00BE36FB" w:rsidRPr="009B7B35" w:rsidRDefault="00BE36FB" w:rsidP="00BE36FB">
            <w:pPr>
              <w:pStyle w:val="TableText"/>
              <w:numPr>
                <w:ilvl w:val="0"/>
                <w:numId w:val="693"/>
              </w:numPr>
              <w:rPr>
                <w:rFonts w:cs="Arial"/>
              </w:rPr>
            </w:pPr>
            <w:r w:rsidRPr="009B7B35">
              <w:rPr>
                <w:rFonts w:cs="Arial"/>
              </w:rPr>
              <w:t>toxic gases less than 500L</w:t>
            </w:r>
          </w:p>
          <w:p w14:paraId="48464E8E" w14:textId="77777777" w:rsidR="00BE36FB" w:rsidRPr="009B7B35" w:rsidRDefault="00BE36FB" w:rsidP="00BE36FB">
            <w:pPr>
              <w:pStyle w:val="TableText"/>
              <w:numPr>
                <w:ilvl w:val="0"/>
                <w:numId w:val="693"/>
              </w:numPr>
              <w:rPr>
                <w:rFonts w:cs="Arial"/>
              </w:rPr>
            </w:pPr>
            <w:r w:rsidRPr="009B7B35">
              <w:rPr>
                <w:rFonts w:cs="Arial"/>
              </w:rPr>
              <w:t>non–toxic, non–flammable gases including oxidising gases less than 10,000L</w:t>
            </w:r>
          </w:p>
          <w:p w14:paraId="4C408BA8" w14:textId="77777777" w:rsidR="00BE36FB" w:rsidRPr="009B7B35" w:rsidRDefault="00BE36FB" w:rsidP="00BE36FB">
            <w:pPr>
              <w:pStyle w:val="TableText"/>
              <w:numPr>
                <w:ilvl w:val="0"/>
                <w:numId w:val="693"/>
              </w:numPr>
              <w:rPr>
                <w:rFonts w:cs="Arial"/>
              </w:rPr>
            </w:pPr>
            <w:r w:rsidRPr="009B7B35">
              <w:rPr>
                <w:rFonts w:cs="Arial"/>
              </w:rPr>
              <w:t>classes 3, 4, 5, 6.1, 8 and 9 of packing group I less than 500 L or kg of the ADG code</w:t>
            </w:r>
          </w:p>
          <w:p w14:paraId="633A7F5A" w14:textId="77777777" w:rsidR="00BE36FB" w:rsidRPr="009B7B35" w:rsidRDefault="00BE36FB" w:rsidP="00BE36FB">
            <w:pPr>
              <w:pStyle w:val="TableText"/>
              <w:numPr>
                <w:ilvl w:val="0"/>
                <w:numId w:val="693"/>
              </w:numPr>
              <w:rPr>
                <w:rFonts w:cs="Arial"/>
              </w:rPr>
            </w:pPr>
            <w:r w:rsidRPr="009B7B35">
              <w:rPr>
                <w:rFonts w:cs="Arial"/>
              </w:rPr>
              <w:t>classes 3, 4, 5, 6.1, 8 and 9 of packing group II less than 2,500 L or kg of the ADG code, or</w:t>
            </w:r>
          </w:p>
          <w:p w14:paraId="563478EF" w14:textId="77777777" w:rsidR="00BE36FB" w:rsidRPr="009B7B35" w:rsidRDefault="00BE36FB" w:rsidP="00BE36FB">
            <w:pPr>
              <w:pStyle w:val="TableText"/>
              <w:numPr>
                <w:ilvl w:val="0"/>
                <w:numId w:val="693"/>
              </w:numPr>
              <w:rPr>
                <w:rFonts w:cs="Arial"/>
              </w:rPr>
            </w:pPr>
            <w:r w:rsidRPr="009B7B35">
              <w:rPr>
                <w:rFonts w:cs="Arial"/>
              </w:rPr>
              <w:t>classes 3, 4, 5, 6.1, 8 and 9 of packing group III less than 10,000 L or kg of the ADG code.</w:t>
            </w:r>
          </w:p>
          <w:p w14:paraId="36104F7A" w14:textId="77777777" w:rsidR="00BE36FB" w:rsidRPr="009B7B35" w:rsidRDefault="00BE36FB" w:rsidP="001A7107">
            <w:pPr>
              <w:pStyle w:val="Notes"/>
              <w:rPr>
                <w:rFonts w:cs="Arial"/>
                <w:sz w:val="20"/>
                <w:szCs w:val="20"/>
              </w:rPr>
            </w:pPr>
            <w:r w:rsidRPr="009B7B35">
              <w:rPr>
                <w:rFonts w:cs="Arial"/>
                <w:sz w:val="20"/>
                <w:szCs w:val="20"/>
              </w:rPr>
              <w:t>Notes—Table 8.2.7.3.3—Table to acceptable outcomes sets out the criteria for establishing the level of hazard. A Registered Professional Engineer of Queensland with expertise in undertaking flood analysis is to certify the actual level of risk for the site in accordance with those criteria.</w:t>
            </w:r>
          </w:p>
        </w:tc>
      </w:tr>
      <w:tr w:rsidR="00BE36FB" w:rsidRPr="009B7B35" w14:paraId="36AAEB98" w14:textId="77777777" w:rsidTr="001A7107">
        <w:trPr>
          <w:cantSplit/>
        </w:trPr>
        <w:tc>
          <w:tcPr>
            <w:tcW w:w="9361" w:type="dxa"/>
            <w:gridSpan w:val="2"/>
            <w:shd w:val="clear" w:color="auto" w:fill="BFBFBF" w:themeFill="background1" w:themeFillShade="BF"/>
          </w:tcPr>
          <w:p w14:paraId="01AF21A8" w14:textId="77777777" w:rsidR="00BE36FB" w:rsidRPr="009B7B35" w:rsidRDefault="00BE36FB" w:rsidP="001A7107">
            <w:pPr>
              <w:pStyle w:val="Tableheading"/>
              <w:rPr>
                <w:rFonts w:ascii="Arial" w:hAnsi="Arial" w:cs="Arial"/>
                <w:szCs w:val="20"/>
              </w:rPr>
            </w:pPr>
            <w:r w:rsidRPr="009B7B35">
              <w:rPr>
                <w:rFonts w:ascii="Arial" w:hAnsi="Arial" w:cs="Arial"/>
                <w:szCs w:val="20"/>
              </w:rPr>
              <w:t>Intensive animal husbandry</w:t>
            </w:r>
          </w:p>
        </w:tc>
      </w:tr>
      <w:tr w:rsidR="00BE36FB" w:rsidRPr="009B7B35" w14:paraId="242FCF2B" w14:textId="77777777" w:rsidTr="001A7107">
        <w:trPr>
          <w:cantSplit/>
        </w:trPr>
        <w:tc>
          <w:tcPr>
            <w:tcW w:w="4680" w:type="dxa"/>
          </w:tcPr>
          <w:p w14:paraId="561CFD96" w14:textId="77777777" w:rsidR="00BE36FB" w:rsidRPr="009B7B35" w:rsidRDefault="00BE36FB" w:rsidP="001A7107">
            <w:pPr>
              <w:pStyle w:val="TableText"/>
              <w:rPr>
                <w:rFonts w:cs="Arial"/>
                <w:b/>
              </w:rPr>
            </w:pPr>
            <w:r w:rsidRPr="009B7B35">
              <w:rPr>
                <w:rFonts w:cs="Arial"/>
                <w:b/>
              </w:rPr>
              <w:t>PO10</w:t>
            </w:r>
          </w:p>
          <w:p w14:paraId="31394C65" w14:textId="77777777" w:rsidR="00BE36FB" w:rsidRPr="009B7B35" w:rsidRDefault="00BE36FB" w:rsidP="001A7107">
            <w:pPr>
              <w:pStyle w:val="TableText"/>
              <w:rPr>
                <w:rFonts w:cs="Arial"/>
              </w:rPr>
            </w:pPr>
            <w:r w:rsidRPr="009B7B35">
              <w:rPr>
                <w:rFonts w:cs="Arial"/>
              </w:rPr>
              <w:t>The use of land for intensive animal husbandry does not establish or intensify in a flood hazard area, in order to avoid risk to the environment.</w:t>
            </w:r>
          </w:p>
        </w:tc>
        <w:tc>
          <w:tcPr>
            <w:tcW w:w="4681" w:type="dxa"/>
          </w:tcPr>
          <w:p w14:paraId="7E347D8E" w14:textId="77777777" w:rsidR="00BE36FB" w:rsidRPr="009B7B35" w:rsidRDefault="00BE36FB" w:rsidP="001A7107">
            <w:pPr>
              <w:pStyle w:val="TableText"/>
              <w:rPr>
                <w:rFonts w:cs="Arial"/>
                <w:b/>
              </w:rPr>
            </w:pPr>
            <w:r w:rsidRPr="009B7B35">
              <w:rPr>
                <w:rFonts w:cs="Arial"/>
                <w:b/>
              </w:rPr>
              <w:t>AO10</w:t>
            </w:r>
          </w:p>
          <w:p w14:paraId="3EC199A3" w14:textId="77777777" w:rsidR="00BE36FB" w:rsidRPr="009B7B35" w:rsidRDefault="00BE36FB" w:rsidP="001A7107">
            <w:pPr>
              <w:pStyle w:val="TableText"/>
              <w:rPr>
                <w:rFonts w:cs="Arial"/>
              </w:rPr>
            </w:pPr>
            <w:r w:rsidRPr="009B7B35">
              <w:rPr>
                <w:rFonts w:cs="Arial"/>
              </w:rPr>
              <w:t>Intensive animal husbandry, including the storage of bulk food and any associated water treatment facilities, does not occur on land below the DFE.</w:t>
            </w:r>
          </w:p>
        </w:tc>
      </w:tr>
      <w:tr w:rsidR="00BE36FB" w:rsidRPr="009B7B35" w14:paraId="720184AB" w14:textId="77777777" w:rsidTr="001A7107">
        <w:trPr>
          <w:cantSplit/>
        </w:trPr>
        <w:tc>
          <w:tcPr>
            <w:tcW w:w="9361" w:type="dxa"/>
            <w:gridSpan w:val="2"/>
            <w:shd w:val="clear" w:color="auto" w:fill="BFBFBF" w:themeFill="background1" w:themeFillShade="BF"/>
          </w:tcPr>
          <w:p w14:paraId="592B6D00" w14:textId="77777777" w:rsidR="00BE36FB" w:rsidRPr="009B7B35" w:rsidRDefault="00BE36FB" w:rsidP="001A7107">
            <w:pPr>
              <w:pStyle w:val="Tableheading"/>
              <w:rPr>
                <w:rFonts w:ascii="Arial" w:hAnsi="Arial" w:cs="Arial"/>
                <w:szCs w:val="20"/>
              </w:rPr>
            </w:pPr>
            <w:r w:rsidRPr="009B7B35">
              <w:rPr>
                <w:rFonts w:ascii="Arial" w:hAnsi="Arial" w:cs="Arial"/>
                <w:szCs w:val="20"/>
              </w:rPr>
              <w:t>Community infrastructure</w:t>
            </w:r>
          </w:p>
        </w:tc>
      </w:tr>
      <w:tr w:rsidR="00BE36FB" w:rsidRPr="009B7B35" w14:paraId="664673DF" w14:textId="77777777" w:rsidTr="001A7107">
        <w:trPr>
          <w:cantSplit/>
        </w:trPr>
        <w:tc>
          <w:tcPr>
            <w:tcW w:w="4680" w:type="dxa"/>
          </w:tcPr>
          <w:p w14:paraId="3F4B9500" w14:textId="77777777" w:rsidR="00BE36FB" w:rsidRPr="009B7B35" w:rsidRDefault="00BE36FB" w:rsidP="001A7107">
            <w:pPr>
              <w:pStyle w:val="TableText"/>
              <w:rPr>
                <w:rFonts w:cs="Arial"/>
                <w:b/>
              </w:rPr>
            </w:pPr>
            <w:r w:rsidRPr="009B7B35">
              <w:rPr>
                <w:rFonts w:cs="Arial"/>
                <w:b/>
              </w:rPr>
              <w:t>PO11</w:t>
            </w:r>
          </w:p>
          <w:p w14:paraId="519FE4A9" w14:textId="77777777" w:rsidR="00BE36FB" w:rsidRPr="009B7B35" w:rsidRDefault="00BE36FB" w:rsidP="001A7107">
            <w:pPr>
              <w:pStyle w:val="TableText"/>
              <w:rPr>
                <w:rFonts w:cs="Arial"/>
              </w:rPr>
            </w:pPr>
            <w:r w:rsidRPr="009B7B35">
              <w:rPr>
                <w:rFonts w:cs="Arial"/>
              </w:rPr>
              <w:t>Community infrastructure is able to function effectively during and immediately after flood events.</w:t>
            </w:r>
          </w:p>
        </w:tc>
        <w:tc>
          <w:tcPr>
            <w:tcW w:w="4681" w:type="dxa"/>
          </w:tcPr>
          <w:p w14:paraId="7E14020E" w14:textId="77777777" w:rsidR="00BE36FB" w:rsidRPr="009B7B35" w:rsidRDefault="00BE36FB" w:rsidP="001A7107">
            <w:pPr>
              <w:pStyle w:val="TableText"/>
              <w:rPr>
                <w:rFonts w:cs="Arial"/>
                <w:b/>
              </w:rPr>
            </w:pPr>
            <w:r w:rsidRPr="009B7B35">
              <w:rPr>
                <w:rFonts w:cs="Arial"/>
                <w:b/>
              </w:rPr>
              <w:t>AO11</w:t>
            </w:r>
          </w:p>
          <w:p w14:paraId="609FCB0B" w14:textId="77777777" w:rsidR="00BE36FB" w:rsidRPr="009B7B35" w:rsidRDefault="00BE36FB" w:rsidP="001A7107">
            <w:pPr>
              <w:pStyle w:val="TableText"/>
              <w:rPr>
                <w:rFonts w:cs="Arial"/>
              </w:rPr>
            </w:pPr>
            <w:r w:rsidRPr="009B7B35">
              <w:rPr>
                <w:rFonts w:cs="Arial"/>
              </w:rPr>
              <w:t>Community infrastructure is provided at or above the recommended flood immunity level specified in Table 8.2.7.3.2—Recommended flood immunity levels for community infrastructure.</w:t>
            </w:r>
          </w:p>
          <w:p w14:paraId="6D3D5DDA" w14:textId="77777777" w:rsidR="00BE36FB" w:rsidRPr="009B7B35" w:rsidRDefault="00BE36FB" w:rsidP="001A7107">
            <w:pPr>
              <w:pStyle w:val="TableText"/>
              <w:rPr>
                <w:rFonts w:cs="Arial"/>
              </w:rPr>
            </w:pPr>
          </w:p>
        </w:tc>
      </w:tr>
      <w:tr w:rsidR="00BE36FB" w:rsidRPr="009B7B35" w14:paraId="7C3B05B2" w14:textId="77777777" w:rsidTr="001A7107">
        <w:trPr>
          <w:cantSplit/>
        </w:trPr>
        <w:tc>
          <w:tcPr>
            <w:tcW w:w="4680" w:type="dxa"/>
          </w:tcPr>
          <w:p w14:paraId="37D81FA2" w14:textId="77777777" w:rsidR="00BE36FB" w:rsidRPr="009B7B35" w:rsidRDefault="00BE36FB" w:rsidP="001A7107">
            <w:pPr>
              <w:pStyle w:val="TableText"/>
              <w:rPr>
                <w:rFonts w:cs="Arial"/>
                <w:b/>
              </w:rPr>
            </w:pPr>
            <w:r w:rsidRPr="009B7B35">
              <w:rPr>
                <w:rFonts w:cs="Arial"/>
                <w:b/>
              </w:rPr>
              <w:t>PO12</w:t>
            </w:r>
          </w:p>
          <w:p w14:paraId="794259B9" w14:textId="77777777" w:rsidR="00BE36FB" w:rsidRPr="009B7B35" w:rsidRDefault="00BE36FB" w:rsidP="001A7107">
            <w:pPr>
              <w:pStyle w:val="TableText"/>
              <w:rPr>
                <w:rFonts w:cs="Arial"/>
              </w:rPr>
            </w:pPr>
            <w:r w:rsidRPr="009B7B35">
              <w:rPr>
                <w:rFonts w:cs="Arial"/>
              </w:rPr>
              <w:t>Essential services infrastructure (e.g. gas, water supply, sewerage, telecommunications, and on–site electricity,) maintains its function during and immediately after a DFE flood event.</w:t>
            </w:r>
          </w:p>
        </w:tc>
        <w:tc>
          <w:tcPr>
            <w:tcW w:w="4681" w:type="dxa"/>
          </w:tcPr>
          <w:p w14:paraId="0179002D" w14:textId="77777777" w:rsidR="00BE36FB" w:rsidRPr="009B7B35" w:rsidRDefault="00BE36FB" w:rsidP="001A7107">
            <w:pPr>
              <w:pStyle w:val="TableText"/>
              <w:rPr>
                <w:rFonts w:cs="Arial"/>
                <w:b/>
              </w:rPr>
            </w:pPr>
            <w:r w:rsidRPr="009B7B35">
              <w:rPr>
                <w:rFonts w:cs="Arial"/>
                <w:b/>
              </w:rPr>
              <w:t>AO12</w:t>
            </w:r>
          </w:p>
          <w:p w14:paraId="1A087C77" w14:textId="77777777" w:rsidR="00BE36FB" w:rsidRPr="009B7B35" w:rsidRDefault="00BE36FB" w:rsidP="001A7107">
            <w:pPr>
              <w:pStyle w:val="TableText"/>
              <w:rPr>
                <w:rFonts w:cs="Arial"/>
              </w:rPr>
            </w:pPr>
            <w:r w:rsidRPr="009B7B35">
              <w:rPr>
                <w:rFonts w:cs="Arial"/>
              </w:rPr>
              <w:t>Any components of infrastructure that are likely to fail to function or may result in contamination when inundated by flood water (e.g. electrical switchgear and motors, water supply pipeline air valves) are:</w:t>
            </w:r>
          </w:p>
          <w:p w14:paraId="529BAAF6" w14:textId="77777777" w:rsidR="00BE36FB" w:rsidRPr="009B7B35" w:rsidRDefault="00BE36FB" w:rsidP="00BE36FB">
            <w:pPr>
              <w:pStyle w:val="TableText"/>
              <w:numPr>
                <w:ilvl w:val="0"/>
                <w:numId w:val="694"/>
              </w:numPr>
              <w:rPr>
                <w:rFonts w:cs="Arial"/>
              </w:rPr>
            </w:pPr>
            <w:r w:rsidRPr="009B7B35">
              <w:rPr>
                <w:rFonts w:cs="Arial"/>
              </w:rPr>
              <w:t>located above the DFE, or</w:t>
            </w:r>
          </w:p>
          <w:p w14:paraId="38FA7A85" w14:textId="77777777" w:rsidR="00BE36FB" w:rsidRPr="009B7B35" w:rsidRDefault="00BE36FB" w:rsidP="00BE36FB">
            <w:pPr>
              <w:pStyle w:val="TableText"/>
              <w:numPr>
                <w:ilvl w:val="0"/>
                <w:numId w:val="694"/>
              </w:numPr>
              <w:rPr>
                <w:rFonts w:cs="Arial"/>
              </w:rPr>
            </w:pPr>
            <w:r w:rsidRPr="009B7B35">
              <w:rPr>
                <w:rFonts w:cs="Arial"/>
              </w:rPr>
              <w:t>designed, sited and operated to prevent floodwater intrusion/infiltration.</w:t>
            </w:r>
          </w:p>
        </w:tc>
      </w:tr>
      <w:tr w:rsidR="00BE36FB" w:rsidRPr="009B7B35" w14:paraId="49DE5F61" w14:textId="77777777" w:rsidTr="001A7107">
        <w:trPr>
          <w:cantSplit/>
        </w:trPr>
        <w:tc>
          <w:tcPr>
            <w:tcW w:w="4680" w:type="dxa"/>
          </w:tcPr>
          <w:p w14:paraId="7F568581" w14:textId="77777777" w:rsidR="00BE36FB" w:rsidRPr="009B7B35" w:rsidRDefault="00BE36FB" w:rsidP="001A7107">
            <w:pPr>
              <w:pStyle w:val="TableText"/>
              <w:rPr>
                <w:rFonts w:cs="Arial"/>
                <w:b/>
              </w:rPr>
            </w:pPr>
            <w:r w:rsidRPr="009B7B35">
              <w:rPr>
                <w:rFonts w:cs="Arial"/>
                <w:b/>
              </w:rPr>
              <w:t>PO13</w:t>
            </w:r>
          </w:p>
          <w:p w14:paraId="354CB234" w14:textId="77777777" w:rsidR="00BE36FB" w:rsidRPr="009B7B35" w:rsidRDefault="00BE36FB" w:rsidP="001A7107">
            <w:pPr>
              <w:pStyle w:val="TableText"/>
              <w:rPr>
                <w:rFonts w:cs="Arial"/>
              </w:rPr>
            </w:pPr>
            <w:r w:rsidRPr="009B7B35">
              <w:rPr>
                <w:rFonts w:cs="Arial"/>
              </w:rPr>
              <w:t>Infrastructure is designed, sited and operated to resist hydrostatic and hydrodynamic forces as a result of inundation by a DFE.</w:t>
            </w:r>
          </w:p>
        </w:tc>
        <w:tc>
          <w:tcPr>
            <w:tcW w:w="4681" w:type="dxa"/>
          </w:tcPr>
          <w:p w14:paraId="5A5D56F8" w14:textId="77777777" w:rsidR="00BE36FB" w:rsidRPr="009B7B35" w:rsidRDefault="00BE36FB" w:rsidP="001A7107">
            <w:pPr>
              <w:pStyle w:val="TableText"/>
              <w:rPr>
                <w:rFonts w:cs="Arial"/>
              </w:rPr>
            </w:pPr>
            <w:r w:rsidRPr="009B7B35">
              <w:rPr>
                <w:rFonts w:cs="Arial"/>
              </w:rPr>
              <w:t xml:space="preserve">No acceptable outcome nominated. </w:t>
            </w:r>
          </w:p>
        </w:tc>
      </w:tr>
    </w:tbl>
    <w:p w14:paraId="72FDECAB" w14:textId="77777777" w:rsidR="00BE36FB" w:rsidRPr="009B7B35" w:rsidRDefault="00BE36FB" w:rsidP="001A7107">
      <w:pPr>
        <w:rPr>
          <w:rFonts w:ascii="Arial" w:hAnsi="Arial" w:cs="Arial"/>
          <w:sz w:val="20"/>
          <w:szCs w:val="20"/>
        </w:rPr>
      </w:pPr>
    </w:p>
    <w:p w14:paraId="126D538F" w14:textId="77777777" w:rsidR="00BE36FB" w:rsidRPr="009B7B35" w:rsidRDefault="00BE36FB">
      <w:pPr>
        <w:pStyle w:val="Heading5"/>
        <w:numPr>
          <w:ilvl w:val="0"/>
          <w:numId w:val="0"/>
        </w:numPr>
        <w:rPr>
          <w:rFonts w:cs="Arial"/>
          <w:szCs w:val="20"/>
        </w:rPr>
      </w:pPr>
      <w:r w:rsidRPr="009B7B35">
        <w:rPr>
          <w:rFonts w:cs="Arial"/>
          <w:szCs w:val="20"/>
        </w:rPr>
        <w:t>Table 8.2.7.3.2—Recommended flood immunity levels for community infrastructure</w:t>
      </w:r>
    </w:p>
    <w:tbl>
      <w:tblPr>
        <w:tblStyle w:val="Tablestyle"/>
        <w:tblW w:w="0" w:type="auto"/>
        <w:tblLook w:val="0620" w:firstRow="1" w:lastRow="0" w:firstColumn="0" w:lastColumn="0" w:noHBand="1" w:noVBand="1"/>
      </w:tblPr>
      <w:tblGrid>
        <w:gridCol w:w="4204"/>
        <w:gridCol w:w="4159"/>
      </w:tblGrid>
      <w:tr w:rsidR="00BE36FB" w:rsidRPr="009B7B35" w14:paraId="79860D47" w14:textId="77777777" w:rsidTr="001A7107">
        <w:trPr>
          <w:cnfStyle w:val="100000000000" w:firstRow="1" w:lastRow="0" w:firstColumn="0" w:lastColumn="0" w:oddVBand="0" w:evenVBand="0" w:oddHBand="0" w:evenHBand="0" w:firstRowFirstColumn="0" w:firstRowLastColumn="0" w:lastRowFirstColumn="0" w:lastRowLastColumn="0"/>
        </w:trPr>
        <w:tc>
          <w:tcPr>
            <w:tcW w:w="4678" w:type="dxa"/>
          </w:tcPr>
          <w:p w14:paraId="072B5D1C" w14:textId="77777777" w:rsidR="00BE36FB" w:rsidRPr="009B7B35" w:rsidRDefault="00BE36FB" w:rsidP="001A7107">
            <w:pPr>
              <w:pStyle w:val="TableText"/>
              <w:rPr>
                <w:rFonts w:cs="Arial"/>
              </w:rPr>
            </w:pPr>
            <w:r w:rsidRPr="009B7B35">
              <w:rPr>
                <w:rFonts w:cs="Arial"/>
              </w:rPr>
              <w:t>Type of Community infrastructure</w:t>
            </w:r>
          </w:p>
        </w:tc>
        <w:tc>
          <w:tcPr>
            <w:tcW w:w="4678" w:type="dxa"/>
          </w:tcPr>
          <w:p w14:paraId="259FAB94" w14:textId="77777777" w:rsidR="00BE36FB" w:rsidRPr="009B7B35" w:rsidRDefault="00BE36FB" w:rsidP="001A7107">
            <w:pPr>
              <w:pStyle w:val="TableText"/>
              <w:rPr>
                <w:rFonts w:cs="Arial"/>
              </w:rPr>
            </w:pPr>
            <w:r w:rsidRPr="009B7B35">
              <w:rPr>
                <w:rFonts w:cs="Arial"/>
              </w:rPr>
              <w:t>Recommended flood immunity levels</w:t>
            </w:r>
          </w:p>
        </w:tc>
      </w:tr>
      <w:tr w:rsidR="00BE36FB" w:rsidRPr="009B7B35" w14:paraId="3EF43018" w14:textId="77777777" w:rsidTr="001A7107">
        <w:tc>
          <w:tcPr>
            <w:tcW w:w="4678" w:type="dxa"/>
          </w:tcPr>
          <w:p w14:paraId="26B845B2" w14:textId="77777777" w:rsidR="00BE36FB" w:rsidRPr="009B7B35" w:rsidRDefault="00BE36FB" w:rsidP="001A7107">
            <w:pPr>
              <w:pStyle w:val="TableText"/>
              <w:rPr>
                <w:rFonts w:cs="Arial"/>
              </w:rPr>
            </w:pPr>
            <w:r w:rsidRPr="009B7B35">
              <w:rPr>
                <w:rFonts w:cs="Arial"/>
              </w:rPr>
              <w:t>Community and cultural facilities, including facilities where an education and care service under the Education and Care Services National Law (Queensland) is operated or a child care service under the Child Care Act 2002 is conducted, community centres, meeting halls, galleries and libraries.</w:t>
            </w:r>
          </w:p>
        </w:tc>
        <w:tc>
          <w:tcPr>
            <w:tcW w:w="4678" w:type="dxa"/>
          </w:tcPr>
          <w:p w14:paraId="06567C88" w14:textId="77777777" w:rsidR="00BE36FB" w:rsidRPr="009B7B35" w:rsidRDefault="00BE36FB" w:rsidP="001A7107">
            <w:pPr>
              <w:pStyle w:val="TableText"/>
              <w:rPr>
                <w:rFonts w:cs="Arial"/>
              </w:rPr>
            </w:pPr>
            <w:r w:rsidRPr="009B7B35">
              <w:rPr>
                <w:rFonts w:cs="Arial"/>
              </w:rPr>
              <w:t>1% AEP</w:t>
            </w:r>
          </w:p>
        </w:tc>
      </w:tr>
      <w:tr w:rsidR="00BE36FB" w:rsidRPr="009B7B35" w14:paraId="1A6C092E" w14:textId="77777777" w:rsidTr="001A7107">
        <w:tc>
          <w:tcPr>
            <w:tcW w:w="4678" w:type="dxa"/>
          </w:tcPr>
          <w:p w14:paraId="38E5D585" w14:textId="77777777" w:rsidR="00BE36FB" w:rsidRPr="009B7B35" w:rsidRDefault="00BE36FB" w:rsidP="001A7107">
            <w:pPr>
              <w:pStyle w:val="TableText"/>
              <w:rPr>
                <w:rFonts w:cs="Arial"/>
              </w:rPr>
            </w:pPr>
            <w:r w:rsidRPr="009B7B35">
              <w:rPr>
                <w:rFonts w:cs="Arial"/>
              </w:rPr>
              <w:t>Correctional facilities</w:t>
            </w:r>
          </w:p>
        </w:tc>
        <w:tc>
          <w:tcPr>
            <w:tcW w:w="4678" w:type="dxa"/>
          </w:tcPr>
          <w:p w14:paraId="643D301F" w14:textId="77777777" w:rsidR="00BE36FB" w:rsidRPr="009B7B35" w:rsidRDefault="00BE36FB" w:rsidP="001A7107">
            <w:pPr>
              <w:pStyle w:val="TableText"/>
              <w:rPr>
                <w:rFonts w:cs="Arial"/>
              </w:rPr>
            </w:pPr>
            <w:r w:rsidRPr="009B7B35">
              <w:rPr>
                <w:rFonts w:cs="Arial"/>
              </w:rPr>
              <w:t>0.2% AEP</w:t>
            </w:r>
          </w:p>
        </w:tc>
      </w:tr>
      <w:tr w:rsidR="00BE36FB" w:rsidRPr="009B7B35" w14:paraId="73403DAB" w14:textId="77777777" w:rsidTr="001A7107">
        <w:tc>
          <w:tcPr>
            <w:tcW w:w="4678" w:type="dxa"/>
          </w:tcPr>
          <w:p w14:paraId="3DA8DD1D" w14:textId="77777777" w:rsidR="00BE36FB" w:rsidRPr="009B7B35" w:rsidRDefault="00BE36FB" w:rsidP="001A7107">
            <w:pPr>
              <w:pStyle w:val="TableText"/>
              <w:rPr>
                <w:rFonts w:cs="Arial"/>
              </w:rPr>
            </w:pPr>
            <w:r w:rsidRPr="009B7B35">
              <w:rPr>
                <w:rFonts w:cs="Arial"/>
              </w:rPr>
              <w:t>Education establishment/child care centre</w:t>
            </w:r>
          </w:p>
        </w:tc>
        <w:tc>
          <w:tcPr>
            <w:tcW w:w="4678" w:type="dxa"/>
          </w:tcPr>
          <w:p w14:paraId="12376C3E" w14:textId="77777777" w:rsidR="00BE36FB" w:rsidRPr="009B7B35" w:rsidRDefault="00BE36FB" w:rsidP="001A7107">
            <w:pPr>
              <w:pStyle w:val="TableText"/>
              <w:rPr>
                <w:rFonts w:cs="Arial"/>
              </w:rPr>
            </w:pPr>
            <w:r w:rsidRPr="009B7B35">
              <w:rPr>
                <w:rFonts w:cs="Arial"/>
              </w:rPr>
              <w:t>0.5% AEP</w:t>
            </w:r>
          </w:p>
        </w:tc>
      </w:tr>
      <w:tr w:rsidR="00BE36FB" w:rsidRPr="009B7B35" w14:paraId="08BB3DEC" w14:textId="77777777" w:rsidTr="001A7107">
        <w:tc>
          <w:tcPr>
            <w:tcW w:w="4678" w:type="dxa"/>
          </w:tcPr>
          <w:p w14:paraId="028ABD57" w14:textId="77777777" w:rsidR="00BE36FB" w:rsidRPr="009B7B35" w:rsidRDefault="00BE36FB" w:rsidP="001A7107">
            <w:pPr>
              <w:pStyle w:val="TableText"/>
              <w:rPr>
                <w:rFonts w:cs="Arial"/>
              </w:rPr>
            </w:pPr>
            <w:r w:rsidRPr="009B7B35">
              <w:rPr>
                <w:rFonts w:cs="Arial"/>
              </w:rPr>
              <w:t>Emergency services facilities</w:t>
            </w:r>
          </w:p>
        </w:tc>
        <w:tc>
          <w:tcPr>
            <w:tcW w:w="4678" w:type="dxa"/>
          </w:tcPr>
          <w:p w14:paraId="1F8E5B98" w14:textId="77777777" w:rsidR="00BE36FB" w:rsidRPr="009B7B35" w:rsidRDefault="00BE36FB" w:rsidP="001A7107">
            <w:pPr>
              <w:pStyle w:val="TableText"/>
              <w:rPr>
                <w:rFonts w:cs="Arial"/>
              </w:rPr>
            </w:pPr>
            <w:r w:rsidRPr="009B7B35">
              <w:rPr>
                <w:rFonts w:cs="Arial"/>
              </w:rPr>
              <w:t>Emergency services 0.2% AEP</w:t>
            </w:r>
          </w:p>
          <w:p w14:paraId="335C9769" w14:textId="77777777" w:rsidR="00BE36FB" w:rsidRPr="009B7B35" w:rsidRDefault="00BE36FB" w:rsidP="001A7107">
            <w:pPr>
              <w:pStyle w:val="TableText"/>
              <w:rPr>
                <w:rFonts w:cs="Arial"/>
              </w:rPr>
            </w:pPr>
            <w:r w:rsidRPr="009B7B35">
              <w:rPr>
                <w:rFonts w:cs="Arial"/>
              </w:rPr>
              <w:t>Emergency shelters 0.5% AEP</w:t>
            </w:r>
          </w:p>
          <w:p w14:paraId="022962AD" w14:textId="77777777" w:rsidR="00BE36FB" w:rsidRPr="009B7B35" w:rsidRDefault="00BE36FB" w:rsidP="001A7107">
            <w:pPr>
              <w:pStyle w:val="TableText"/>
              <w:rPr>
                <w:rFonts w:cs="Arial"/>
              </w:rPr>
            </w:pPr>
            <w:r w:rsidRPr="009B7B35">
              <w:rPr>
                <w:rFonts w:cs="Arial"/>
              </w:rPr>
              <w:t>Police facilities 0.5% AEP</w:t>
            </w:r>
          </w:p>
        </w:tc>
      </w:tr>
      <w:tr w:rsidR="00BE36FB" w:rsidRPr="009B7B35" w14:paraId="5F905D46" w14:textId="77777777" w:rsidTr="001A7107">
        <w:tc>
          <w:tcPr>
            <w:tcW w:w="4678" w:type="dxa"/>
          </w:tcPr>
          <w:p w14:paraId="12434D9F" w14:textId="77777777" w:rsidR="00BE36FB" w:rsidRPr="009B7B35" w:rsidRDefault="00BE36FB" w:rsidP="001A7107">
            <w:pPr>
              <w:pStyle w:val="TableText"/>
              <w:rPr>
                <w:rFonts w:cs="Arial"/>
              </w:rPr>
            </w:pPr>
            <w:r w:rsidRPr="009B7B35">
              <w:rPr>
                <w:rFonts w:cs="Arial"/>
              </w:rPr>
              <w:t>Hospitals and associated institutions</w:t>
            </w:r>
          </w:p>
        </w:tc>
        <w:tc>
          <w:tcPr>
            <w:tcW w:w="4678" w:type="dxa"/>
          </w:tcPr>
          <w:p w14:paraId="3B0590CA" w14:textId="77777777" w:rsidR="00BE36FB" w:rsidRPr="009B7B35" w:rsidRDefault="00BE36FB" w:rsidP="001A7107">
            <w:pPr>
              <w:pStyle w:val="TableText"/>
              <w:rPr>
                <w:rFonts w:cs="Arial"/>
              </w:rPr>
            </w:pPr>
            <w:r w:rsidRPr="009B7B35">
              <w:rPr>
                <w:rFonts w:cs="Arial"/>
              </w:rPr>
              <w:t>0.2% AEP</w:t>
            </w:r>
          </w:p>
        </w:tc>
      </w:tr>
      <w:tr w:rsidR="00BE36FB" w:rsidRPr="009B7B35" w14:paraId="3A8884BD" w14:textId="77777777" w:rsidTr="001A7107">
        <w:tc>
          <w:tcPr>
            <w:tcW w:w="4678" w:type="dxa"/>
          </w:tcPr>
          <w:p w14:paraId="40573E51" w14:textId="77777777" w:rsidR="00BE36FB" w:rsidRPr="009B7B35" w:rsidRDefault="00BE36FB" w:rsidP="001A7107">
            <w:pPr>
              <w:pStyle w:val="TableText"/>
              <w:rPr>
                <w:rFonts w:cs="Arial"/>
              </w:rPr>
            </w:pPr>
            <w:r w:rsidRPr="009B7B35">
              <w:rPr>
                <w:rFonts w:cs="Arial"/>
              </w:rPr>
              <w:t>Operating works under the Electricity Act 1994</w:t>
            </w:r>
          </w:p>
        </w:tc>
        <w:tc>
          <w:tcPr>
            <w:tcW w:w="4678" w:type="dxa"/>
          </w:tcPr>
          <w:p w14:paraId="6DFE74E0" w14:textId="77777777" w:rsidR="00BE36FB" w:rsidRPr="009B7B35" w:rsidRDefault="00BE36FB" w:rsidP="001A7107">
            <w:pPr>
              <w:pStyle w:val="TableText"/>
              <w:rPr>
                <w:rFonts w:cs="Arial"/>
              </w:rPr>
            </w:pPr>
            <w:r w:rsidRPr="009B7B35">
              <w:rPr>
                <w:rFonts w:cs="Arial"/>
              </w:rPr>
              <w:t>Power stations 0.2% AEP</w:t>
            </w:r>
          </w:p>
          <w:p w14:paraId="55D6B234" w14:textId="77777777" w:rsidR="00BE36FB" w:rsidRPr="009B7B35" w:rsidRDefault="00BE36FB" w:rsidP="001A7107">
            <w:pPr>
              <w:pStyle w:val="TableText"/>
              <w:rPr>
                <w:rFonts w:cs="Arial"/>
              </w:rPr>
            </w:pPr>
            <w:r w:rsidRPr="009B7B35">
              <w:rPr>
                <w:rFonts w:cs="Arial"/>
              </w:rPr>
              <w:t>Major switch yards 0.2% AEP</w:t>
            </w:r>
          </w:p>
          <w:p w14:paraId="287F6669" w14:textId="77777777" w:rsidR="00BE36FB" w:rsidRPr="009B7B35" w:rsidRDefault="00BE36FB" w:rsidP="001A7107">
            <w:pPr>
              <w:pStyle w:val="TableText"/>
              <w:rPr>
                <w:rFonts w:cs="Arial"/>
              </w:rPr>
            </w:pPr>
            <w:r w:rsidRPr="009B7B35">
              <w:rPr>
                <w:rFonts w:cs="Arial"/>
              </w:rPr>
              <w:t>Substations 0.5% AEP</w:t>
            </w:r>
          </w:p>
        </w:tc>
      </w:tr>
      <w:tr w:rsidR="00BE36FB" w:rsidRPr="009B7B35" w14:paraId="545AAAF8" w14:textId="77777777" w:rsidTr="001A7107">
        <w:tc>
          <w:tcPr>
            <w:tcW w:w="4678" w:type="dxa"/>
          </w:tcPr>
          <w:p w14:paraId="22592226" w14:textId="77777777" w:rsidR="00BE36FB" w:rsidRPr="009B7B35" w:rsidRDefault="00BE36FB" w:rsidP="001A7107">
            <w:pPr>
              <w:pStyle w:val="TableText"/>
              <w:rPr>
                <w:rFonts w:cs="Arial"/>
              </w:rPr>
            </w:pPr>
            <w:r w:rsidRPr="009B7B35">
              <w:rPr>
                <w:rFonts w:cs="Arial"/>
              </w:rPr>
              <w:t>Stores of valuable records or items of historic or cultural significance</w:t>
            </w:r>
          </w:p>
        </w:tc>
        <w:tc>
          <w:tcPr>
            <w:tcW w:w="4678" w:type="dxa"/>
          </w:tcPr>
          <w:p w14:paraId="507FDD53" w14:textId="77777777" w:rsidR="00BE36FB" w:rsidRPr="009B7B35" w:rsidRDefault="00BE36FB" w:rsidP="001A7107">
            <w:pPr>
              <w:pStyle w:val="TableText"/>
              <w:rPr>
                <w:rFonts w:cs="Arial"/>
              </w:rPr>
            </w:pPr>
            <w:r w:rsidRPr="009B7B35">
              <w:rPr>
                <w:rFonts w:cs="Arial"/>
              </w:rPr>
              <w:t>0.5% AEP</w:t>
            </w:r>
          </w:p>
        </w:tc>
      </w:tr>
      <w:tr w:rsidR="00BE36FB" w:rsidRPr="009B7B35" w14:paraId="6D86CB72" w14:textId="77777777" w:rsidTr="001A7107">
        <w:tc>
          <w:tcPr>
            <w:tcW w:w="4678" w:type="dxa"/>
          </w:tcPr>
          <w:p w14:paraId="355DC290" w14:textId="77777777" w:rsidR="00BE36FB" w:rsidRPr="009B7B35" w:rsidRDefault="00BE36FB" w:rsidP="001A7107">
            <w:pPr>
              <w:pStyle w:val="TableText"/>
              <w:rPr>
                <w:rFonts w:cs="Arial"/>
              </w:rPr>
            </w:pPr>
            <w:r w:rsidRPr="009B7B35">
              <w:rPr>
                <w:rFonts w:cs="Arial"/>
              </w:rPr>
              <w:t>Sewerage treatment plant</w:t>
            </w:r>
          </w:p>
        </w:tc>
        <w:tc>
          <w:tcPr>
            <w:tcW w:w="4678" w:type="dxa"/>
          </w:tcPr>
          <w:p w14:paraId="68FDD950" w14:textId="77777777" w:rsidR="00BE36FB" w:rsidRPr="009B7B35" w:rsidRDefault="00BE36FB" w:rsidP="001A7107">
            <w:pPr>
              <w:pStyle w:val="TableText"/>
              <w:rPr>
                <w:rFonts w:cs="Arial"/>
              </w:rPr>
            </w:pPr>
            <w:r w:rsidRPr="009B7B35">
              <w:rPr>
                <w:rFonts w:cs="Arial"/>
              </w:rPr>
              <w:t>0.2% AEP</w:t>
            </w:r>
          </w:p>
        </w:tc>
      </w:tr>
      <w:tr w:rsidR="00BE36FB" w:rsidRPr="009B7B35" w14:paraId="2002D459" w14:textId="77777777" w:rsidTr="001A7107">
        <w:tc>
          <w:tcPr>
            <w:tcW w:w="4678" w:type="dxa"/>
          </w:tcPr>
          <w:p w14:paraId="6737B824" w14:textId="77777777" w:rsidR="00BE36FB" w:rsidRPr="009B7B35" w:rsidRDefault="00BE36FB" w:rsidP="001A7107">
            <w:pPr>
              <w:pStyle w:val="TableText"/>
              <w:rPr>
                <w:rFonts w:cs="Arial"/>
              </w:rPr>
            </w:pPr>
            <w:r w:rsidRPr="009B7B35">
              <w:rPr>
                <w:rFonts w:cs="Arial"/>
              </w:rPr>
              <w:t>Water treatment plant</w:t>
            </w:r>
          </w:p>
        </w:tc>
        <w:tc>
          <w:tcPr>
            <w:tcW w:w="4678" w:type="dxa"/>
          </w:tcPr>
          <w:p w14:paraId="5FA0344A" w14:textId="77777777" w:rsidR="00BE36FB" w:rsidRPr="009B7B35" w:rsidRDefault="00BE36FB" w:rsidP="001A7107">
            <w:pPr>
              <w:pStyle w:val="TableText"/>
              <w:rPr>
                <w:rFonts w:cs="Arial"/>
              </w:rPr>
            </w:pPr>
            <w:r w:rsidRPr="009B7B35">
              <w:rPr>
                <w:rFonts w:cs="Arial"/>
              </w:rPr>
              <w:t>0.5% AEP</w:t>
            </w:r>
          </w:p>
        </w:tc>
      </w:tr>
    </w:tbl>
    <w:p w14:paraId="27992F87" w14:textId="77777777" w:rsidR="00BE36FB" w:rsidRPr="009B7B35" w:rsidRDefault="00BE36FB">
      <w:pPr>
        <w:pStyle w:val="Heading5"/>
        <w:numPr>
          <w:ilvl w:val="0"/>
          <w:numId w:val="0"/>
        </w:numPr>
        <w:rPr>
          <w:rFonts w:cs="Arial"/>
          <w:szCs w:val="20"/>
        </w:rPr>
      </w:pPr>
      <w:r w:rsidRPr="009B7B35">
        <w:rPr>
          <w:rFonts w:cs="Arial"/>
          <w:szCs w:val="20"/>
        </w:rPr>
        <w:t>Table 8.2.7.3.3—Table to acceptable outcome</w:t>
      </w:r>
    </w:p>
    <w:tbl>
      <w:tblPr>
        <w:tblStyle w:val="Tablestyle"/>
        <w:tblW w:w="0" w:type="auto"/>
        <w:tblLayout w:type="fixed"/>
        <w:tblLook w:val="0620" w:firstRow="1" w:lastRow="0" w:firstColumn="0" w:lastColumn="0" w:noHBand="1" w:noVBand="1"/>
      </w:tblPr>
      <w:tblGrid>
        <w:gridCol w:w="1985"/>
        <w:gridCol w:w="1843"/>
        <w:gridCol w:w="1842"/>
        <w:gridCol w:w="1985"/>
        <w:gridCol w:w="1701"/>
      </w:tblGrid>
      <w:tr w:rsidR="00BE36FB" w:rsidRPr="009B7B35" w14:paraId="10B633E4"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1985" w:type="dxa"/>
            <w:vMerge w:val="restart"/>
          </w:tcPr>
          <w:p w14:paraId="3AC115AD" w14:textId="77777777" w:rsidR="00BE36FB" w:rsidRPr="009B7B35" w:rsidRDefault="00BE36FB" w:rsidP="001A7107">
            <w:pPr>
              <w:pStyle w:val="TableText"/>
              <w:rPr>
                <w:rFonts w:cs="Arial"/>
              </w:rPr>
            </w:pPr>
            <w:r w:rsidRPr="009B7B35">
              <w:rPr>
                <w:rFonts w:cs="Arial"/>
              </w:rPr>
              <w:t>Criteria</w:t>
            </w:r>
          </w:p>
        </w:tc>
        <w:tc>
          <w:tcPr>
            <w:tcW w:w="7371" w:type="dxa"/>
            <w:gridSpan w:val="4"/>
          </w:tcPr>
          <w:p w14:paraId="1C695A34" w14:textId="77777777" w:rsidR="00BE36FB" w:rsidRPr="009B7B35" w:rsidRDefault="00BE36FB" w:rsidP="001A7107">
            <w:pPr>
              <w:pStyle w:val="TableText"/>
              <w:rPr>
                <w:rFonts w:cs="Arial"/>
              </w:rPr>
            </w:pPr>
            <w:r w:rsidRPr="009B7B35">
              <w:rPr>
                <w:rFonts w:cs="Arial"/>
              </w:rPr>
              <w:t>Degree of Flood Hazard</w:t>
            </w:r>
          </w:p>
        </w:tc>
      </w:tr>
      <w:tr w:rsidR="00BE36FB" w:rsidRPr="009B7B35" w14:paraId="768F68AF"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1985" w:type="dxa"/>
            <w:vMerge/>
          </w:tcPr>
          <w:p w14:paraId="38F171BE" w14:textId="77777777" w:rsidR="00BE36FB" w:rsidRPr="009B7B35" w:rsidRDefault="00BE36FB" w:rsidP="001A7107">
            <w:pPr>
              <w:pStyle w:val="TableText"/>
              <w:rPr>
                <w:rFonts w:cs="Arial"/>
              </w:rPr>
            </w:pPr>
          </w:p>
        </w:tc>
        <w:tc>
          <w:tcPr>
            <w:tcW w:w="1843" w:type="dxa"/>
          </w:tcPr>
          <w:p w14:paraId="21A55D8B" w14:textId="77777777" w:rsidR="00BE36FB" w:rsidRPr="009B7B35" w:rsidRDefault="00BE36FB" w:rsidP="001A7107">
            <w:pPr>
              <w:pStyle w:val="Tableheading"/>
              <w:rPr>
                <w:rFonts w:ascii="Arial" w:hAnsi="Arial" w:cs="Arial"/>
                <w:szCs w:val="20"/>
              </w:rPr>
            </w:pPr>
            <w:r w:rsidRPr="009B7B35">
              <w:rPr>
                <w:rFonts w:ascii="Arial" w:hAnsi="Arial" w:cs="Arial"/>
                <w:b/>
                <w:bCs/>
                <w:szCs w:val="20"/>
              </w:rPr>
              <w:t>Low</w:t>
            </w:r>
          </w:p>
        </w:tc>
        <w:tc>
          <w:tcPr>
            <w:tcW w:w="1842" w:type="dxa"/>
          </w:tcPr>
          <w:p w14:paraId="600256F7" w14:textId="77777777" w:rsidR="00BE36FB" w:rsidRPr="009B7B35" w:rsidRDefault="00BE36FB" w:rsidP="001A7107">
            <w:pPr>
              <w:pStyle w:val="Tableheading"/>
              <w:rPr>
                <w:rFonts w:ascii="Arial" w:hAnsi="Arial" w:cs="Arial"/>
                <w:szCs w:val="20"/>
              </w:rPr>
            </w:pPr>
            <w:r w:rsidRPr="009B7B35">
              <w:rPr>
                <w:rFonts w:ascii="Arial" w:hAnsi="Arial" w:cs="Arial"/>
                <w:szCs w:val="20"/>
              </w:rPr>
              <w:t>Medium</w:t>
            </w:r>
          </w:p>
        </w:tc>
        <w:tc>
          <w:tcPr>
            <w:tcW w:w="1985" w:type="dxa"/>
          </w:tcPr>
          <w:p w14:paraId="54CF27C8" w14:textId="77777777" w:rsidR="00BE36FB" w:rsidRPr="009B7B35" w:rsidRDefault="00BE36FB" w:rsidP="001A7107">
            <w:pPr>
              <w:pStyle w:val="Tableheading"/>
              <w:rPr>
                <w:rFonts w:ascii="Arial" w:hAnsi="Arial" w:cs="Arial"/>
                <w:szCs w:val="20"/>
              </w:rPr>
            </w:pPr>
            <w:r w:rsidRPr="009B7B35">
              <w:rPr>
                <w:rFonts w:ascii="Arial" w:hAnsi="Arial" w:cs="Arial"/>
                <w:b/>
                <w:bCs/>
                <w:szCs w:val="20"/>
              </w:rPr>
              <w:t>High</w:t>
            </w:r>
          </w:p>
        </w:tc>
        <w:tc>
          <w:tcPr>
            <w:tcW w:w="1701" w:type="dxa"/>
          </w:tcPr>
          <w:p w14:paraId="2A360CA2" w14:textId="77777777" w:rsidR="00BE36FB" w:rsidRPr="009B7B35" w:rsidRDefault="00BE36FB" w:rsidP="001A7107">
            <w:pPr>
              <w:pStyle w:val="Tableheading"/>
              <w:rPr>
                <w:rFonts w:ascii="Arial" w:hAnsi="Arial" w:cs="Arial"/>
                <w:szCs w:val="20"/>
              </w:rPr>
            </w:pPr>
            <w:r w:rsidRPr="009B7B35">
              <w:rPr>
                <w:rFonts w:ascii="Arial" w:hAnsi="Arial" w:cs="Arial"/>
                <w:b/>
                <w:bCs/>
                <w:szCs w:val="20"/>
              </w:rPr>
              <w:t>Extreme</w:t>
            </w:r>
          </w:p>
        </w:tc>
      </w:tr>
      <w:tr w:rsidR="00BE36FB" w:rsidRPr="009B7B35" w14:paraId="5463C3DD" w14:textId="77777777" w:rsidTr="001A7107">
        <w:trPr>
          <w:cantSplit/>
        </w:trPr>
        <w:tc>
          <w:tcPr>
            <w:tcW w:w="1985" w:type="dxa"/>
          </w:tcPr>
          <w:p w14:paraId="76AFE680" w14:textId="77777777" w:rsidR="00BE36FB" w:rsidRPr="009B7B35" w:rsidRDefault="00BE36FB" w:rsidP="001A7107">
            <w:pPr>
              <w:pStyle w:val="TableText"/>
              <w:rPr>
                <w:rFonts w:cs="Arial"/>
              </w:rPr>
            </w:pPr>
            <w:r w:rsidRPr="009B7B35">
              <w:rPr>
                <w:rFonts w:cs="Arial"/>
              </w:rPr>
              <w:t>Wading ability</w:t>
            </w:r>
          </w:p>
        </w:tc>
        <w:tc>
          <w:tcPr>
            <w:tcW w:w="1843" w:type="dxa"/>
          </w:tcPr>
          <w:p w14:paraId="552AB01D" w14:textId="77777777" w:rsidR="00BE36FB" w:rsidRPr="009B7B35" w:rsidRDefault="00BE36FB" w:rsidP="001A7107">
            <w:pPr>
              <w:pStyle w:val="TableText"/>
              <w:rPr>
                <w:rFonts w:cs="Arial"/>
              </w:rPr>
            </w:pPr>
            <w:r w:rsidRPr="009B7B35">
              <w:rPr>
                <w:rFonts w:cs="Arial"/>
              </w:rPr>
              <w:t>If necessary children and the elderly could wade. (Generally, safe wading velocity depth product is less than 0.2.)</w:t>
            </w:r>
          </w:p>
        </w:tc>
        <w:tc>
          <w:tcPr>
            <w:tcW w:w="1842" w:type="dxa"/>
          </w:tcPr>
          <w:p w14:paraId="61B32CDD" w14:textId="77777777" w:rsidR="00BE36FB" w:rsidRPr="009B7B35" w:rsidRDefault="00BE36FB" w:rsidP="001A7107">
            <w:pPr>
              <w:pStyle w:val="TableText"/>
              <w:rPr>
                <w:rFonts w:cs="Arial"/>
              </w:rPr>
            </w:pPr>
            <w:r w:rsidRPr="009B7B35">
              <w:rPr>
                <w:rFonts w:cs="Arial"/>
              </w:rPr>
              <w:t>Fit adults can wade. (Generally, safe wading velocity depth product is less than 0.4.)</w:t>
            </w:r>
          </w:p>
        </w:tc>
        <w:tc>
          <w:tcPr>
            <w:tcW w:w="1985" w:type="dxa"/>
          </w:tcPr>
          <w:p w14:paraId="31CCFC71" w14:textId="77777777" w:rsidR="00BE36FB" w:rsidRPr="009B7B35" w:rsidRDefault="00BE36FB" w:rsidP="001A7107">
            <w:pPr>
              <w:pStyle w:val="TableText"/>
              <w:rPr>
                <w:rFonts w:cs="Arial"/>
              </w:rPr>
            </w:pPr>
            <w:r w:rsidRPr="009B7B35">
              <w:rPr>
                <w:rFonts w:cs="Arial"/>
              </w:rPr>
              <w:t>Fit adults would have difficulty wading. (Generally, where wading velocity depth product is less than 0.6.)</w:t>
            </w:r>
          </w:p>
        </w:tc>
        <w:tc>
          <w:tcPr>
            <w:tcW w:w="1701" w:type="dxa"/>
          </w:tcPr>
          <w:p w14:paraId="1FFD52F2" w14:textId="77777777" w:rsidR="00BE36FB" w:rsidRPr="009B7B35" w:rsidRDefault="00BE36FB" w:rsidP="001A7107">
            <w:pPr>
              <w:pStyle w:val="TableText"/>
              <w:rPr>
                <w:rFonts w:cs="Arial"/>
              </w:rPr>
            </w:pPr>
            <w:r w:rsidRPr="009B7B35">
              <w:rPr>
                <w:rFonts w:cs="Arial"/>
              </w:rPr>
              <w:t>Wading is not an option</w:t>
            </w:r>
          </w:p>
        </w:tc>
      </w:tr>
      <w:tr w:rsidR="00BE36FB" w:rsidRPr="009B7B35" w14:paraId="7D52F01B" w14:textId="77777777" w:rsidTr="001A7107">
        <w:trPr>
          <w:cantSplit/>
        </w:trPr>
        <w:tc>
          <w:tcPr>
            <w:tcW w:w="1985" w:type="dxa"/>
          </w:tcPr>
          <w:p w14:paraId="125DC6BC" w14:textId="77777777" w:rsidR="00BE36FB" w:rsidRPr="009B7B35" w:rsidRDefault="00BE36FB" w:rsidP="001A7107">
            <w:pPr>
              <w:pStyle w:val="TableText"/>
              <w:rPr>
                <w:rFonts w:cs="Arial"/>
              </w:rPr>
            </w:pPr>
            <w:r w:rsidRPr="009B7B35">
              <w:rPr>
                <w:rFonts w:cs="Arial"/>
              </w:rPr>
              <w:t>Vehicle navigability</w:t>
            </w:r>
          </w:p>
        </w:tc>
        <w:tc>
          <w:tcPr>
            <w:tcW w:w="1843" w:type="dxa"/>
          </w:tcPr>
          <w:p w14:paraId="329DDEC8" w14:textId="77777777" w:rsidR="00BE36FB" w:rsidRPr="009B7B35" w:rsidRDefault="00BE36FB" w:rsidP="001A7107">
            <w:pPr>
              <w:pStyle w:val="TableText"/>
              <w:rPr>
                <w:rFonts w:cs="Arial"/>
              </w:rPr>
            </w:pPr>
            <w:r w:rsidRPr="009B7B35">
              <w:rPr>
                <w:rFonts w:cs="Arial"/>
              </w:rPr>
              <w:t>Flood waters are navigable by a two wheel drive sedan (maximum flow depth on vehicle paths &lt;0.2m)</w:t>
            </w:r>
          </w:p>
        </w:tc>
        <w:tc>
          <w:tcPr>
            <w:tcW w:w="1842" w:type="dxa"/>
          </w:tcPr>
          <w:p w14:paraId="6D78793E" w14:textId="77777777" w:rsidR="00BE36FB" w:rsidRPr="009B7B35" w:rsidRDefault="00BE36FB" w:rsidP="001A7107">
            <w:pPr>
              <w:pStyle w:val="TableText"/>
              <w:rPr>
                <w:rFonts w:cs="Arial"/>
              </w:rPr>
            </w:pPr>
            <w:r w:rsidRPr="009B7B35">
              <w:rPr>
                <w:rFonts w:cs="Arial"/>
              </w:rPr>
              <w:t>Flood waters are navigable by a two wheel drive sedan (maximum flow depth on vehicle paths &lt;0.25m)</w:t>
            </w:r>
          </w:p>
        </w:tc>
        <w:tc>
          <w:tcPr>
            <w:tcW w:w="1985" w:type="dxa"/>
          </w:tcPr>
          <w:p w14:paraId="41D03084" w14:textId="77777777" w:rsidR="00BE36FB" w:rsidRPr="009B7B35" w:rsidRDefault="00BE36FB" w:rsidP="001A7107">
            <w:pPr>
              <w:pStyle w:val="TableText"/>
              <w:rPr>
                <w:rFonts w:cs="Arial"/>
              </w:rPr>
            </w:pPr>
            <w:r w:rsidRPr="009B7B35">
              <w:rPr>
                <w:rFonts w:cs="Arial"/>
              </w:rPr>
              <w:t>Flood waters are only navigable by a four wheel drive vehicle</w:t>
            </w:r>
          </w:p>
        </w:tc>
        <w:tc>
          <w:tcPr>
            <w:tcW w:w="1701" w:type="dxa"/>
          </w:tcPr>
          <w:p w14:paraId="6AE20E7E" w14:textId="77777777" w:rsidR="00BE36FB" w:rsidRPr="009B7B35" w:rsidRDefault="00BE36FB" w:rsidP="001A7107">
            <w:pPr>
              <w:pStyle w:val="TableText"/>
              <w:rPr>
                <w:rFonts w:cs="Arial"/>
              </w:rPr>
            </w:pPr>
            <w:r w:rsidRPr="009B7B35">
              <w:rPr>
                <w:rFonts w:cs="Arial"/>
              </w:rPr>
              <w:t>Vehicles are unable to pass</w:t>
            </w:r>
          </w:p>
        </w:tc>
      </w:tr>
      <w:tr w:rsidR="00BE36FB" w:rsidRPr="009B7B35" w14:paraId="7E813CE6" w14:textId="77777777" w:rsidTr="001A7107">
        <w:trPr>
          <w:cantSplit/>
        </w:trPr>
        <w:tc>
          <w:tcPr>
            <w:tcW w:w="1985" w:type="dxa"/>
          </w:tcPr>
          <w:p w14:paraId="71D23138" w14:textId="77777777" w:rsidR="00BE36FB" w:rsidRPr="009B7B35" w:rsidRDefault="00BE36FB" w:rsidP="001A7107">
            <w:pPr>
              <w:pStyle w:val="TableText"/>
              <w:rPr>
                <w:rFonts w:cs="Arial"/>
              </w:rPr>
            </w:pPr>
            <w:r w:rsidRPr="009B7B35">
              <w:rPr>
                <w:rFonts w:cs="Arial"/>
              </w:rPr>
              <w:t>Evacuation distances</w:t>
            </w:r>
          </w:p>
        </w:tc>
        <w:tc>
          <w:tcPr>
            <w:tcW w:w="1843" w:type="dxa"/>
          </w:tcPr>
          <w:p w14:paraId="27B72376" w14:textId="77777777" w:rsidR="00BE36FB" w:rsidRPr="009B7B35" w:rsidRDefault="00BE36FB" w:rsidP="001A7107">
            <w:pPr>
              <w:pStyle w:val="TableText"/>
              <w:rPr>
                <w:rFonts w:cs="Arial"/>
              </w:rPr>
            </w:pPr>
            <w:r w:rsidRPr="009B7B35">
              <w:rPr>
                <w:rFonts w:cs="Arial"/>
              </w:rPr>
              <w:t>&lt;200 metres</w:t>
            </w:r>
          </w:p>
        </w:tc>
        <w:tc>
          <w:tcPr>
            <w:tcW w:w="1842" w:type="dxa"/>
          </w:tcPr>
          <w:p w14:paraId="37D831EC" w14:textId="77777777" w:rsidR="00BE36FB" w:rsidRPr="009B7B35" w:rsidRDefault="00BE36FB" w:rsidP="001A7107">
            <w:pPr>
              <w:pStyle w:val="TableText"/>
              <w:rPr>
                <w:rFonts w:cs="Arial"/>
              </w:rPr>
            </w:pPr>
            <w:r w:rsidRPr="009B7B35">
              <w:rPr>
                <w:rFonts w:cs="Arial"/>
              </w:rPr>
              <w:t>200–400 metres</w:t>
            </w:r>
          </w:p>
        </w:tc>
        <w:tc>
          <w:tcPr>
            <w:tcW w:w="1985" w:type="dxa"/>
          </w:tcPr>
          <w:p w14:paraId="7BFFEC38" w14:textId="77777777" w:rsidR="00BE36FB" w:rsidRPr="009B7B35" w:rsidRDefault="00BE36FB" w:rsidP="001A7107">
            <w:pPr>
              <w:pStyle w:val="TableText"/>
              <w:rPr>
                <w:rFonts w:cs="Arial"/>
              </w:rPr>
            </w:pPr>
            <w:r w:rsidRPr="009B7B35">
              <w:rPr>
                <w:rFonts w:cs="Arial"/>
              </w:rPr>
              <w:t>400–600 metres</w:t>
            </w:r>
          </w:p>
        </w:tc>
        <w:tc>
          <w:tcPr>
            <w:tcW w:w="1701" w:type="dxa"/>
          </w:tcPr>
          <w:p w14:paraId="2416171B" w14:textId="77777777" w:rsidR="00BE36FB" w:rsidRPr="009B7B35" w:rsidRDefault="00BE36FB" w:rsidP="001A7107">
            <w:pPr>
              <w:pStyle w:val="TableText"/>
              <w:rPr>
                <w:rFonts w:cs="Arial"/>
              </w:rPr>
            </w:pPr>
            <w:r w:rsidRPr="009B7B35">
              <w:rPr>
                <w:rFonts w:cs="Arial"/>
              </w:rPr>
              <w:t>&gt;600 metres</w:t>
            </w:r>
          </w:p>
        </w:tc>
      </w:tr>
      <w:tr w:rsidR="00BE36FB" w:rsidRPr="009B7B35" w14:paraId="5F29B0BB" w14:textId="77777777" w:rsidTr="001A7107">
        <w:trPr>
          <w:cantSplit/>
        </w:trPr>
        <w:tc>
          <w:tcPr>
            <w:tcW w:w="1985" w:type="dxa"/>
          </w:tcPr>
          <w:p w14:paraId="3F0A3871" w14:textId="77777777" w:rsidR="00BE36FB" w:rsidRPr="009B7B35" w:rsidRDefault="00BE36FB" w:rsidP="001A7107">
            <w:pPr>
              <w:pStyle w:val="TableText"/>
              <w:rPr>
                <w:rFonts w:cs="Arial"/>
              </w:rPr>
            </w:pPr>
            <w:r w:rsidRPr="009B7B35">
              <w:rPr>
                <w:rFonts w:cs="Arial"/>
              </w:rPr>
              <w:t>Maximum flood depths</w:t>
            </w:r>
          </w:p>
        </w:tc>
        <w:tc>
          <w:tcPr>
            <w:tcW w:w="1843" w:type="dxa"/>
          </w:tcPr>
          <w:p w14:paraId="06242EAE" w14:textId="77777777" w:rsidR="00BE36FB" w:rsidRPr="009B7B35" w:rsidRDefault="00BE36FB" w:rsidP="001A7107">
            <w:pPr>
              <w:pStyle w:val="TableText"/>
              <w:rPr>
                <w:rFonts w:cs="Arial"/>
              </w:rPr>
            </w:pPr>
            <w:r w:rsidRPr="009B7B35">
              <w:rPr>
                <w:rFonts w:cs="Arial"/>
              </w:rPr>
              <w:t>&lt;0.2 metres</w:t>
            </w:r>
          </w:p>
        </w:tc>
        <w:tc>
          <w:tcPr>
            <w:tcW w:w="1842" w:type="dxa"/>
          </w:tcPr>
          <w:p w14:paraId="351F84B4" w14:textId="77777777" w:rsidR="00BE36FB" w:rsidRPr="009B7B35" w:rsidRDefault="00BE36FB" w:rsidP="001A7107">
            <w:pPr>
              <w:pStyle w:val="TableText"/>
              <w:rPr>
                <w:rFonts w:cs="Arial"/>
              </w:rPr>
            </w:pPr>
            <w:r w:rsidRPr="009B7B35">
              <w:rPr>
                <w:rFonts w:cs="Arial"/>
              </w:rPr>
              <w:t>&lt;0.6 metres</w:t>
            </w:r>
          </w:p>
        </w:tc>
        <w:tc>
          <w:tcPr>
            <w:tcW w:w="1985" w:type="dxa"/>
          </w:tcPr>
          <w:p w14:paraId="1532CFC6" w14:textId="77777777" w:rsidR="00BE36FB" w:rsidRPr="009B7B35" w:rsidRDefault="00BE36FB" w:rsidP="001A7107">
            <w:pPr>
              <w:pStyle w:val="TableText"/>
              <w:rPr>
                <w:rFonts w:cs="Arial"/>
              </w:rPr>
            </w:pPr>
            <w:r w:rsidRPr="009B7B35">
              <w:rPr>
                <w:rFonts w:cs="Arial"/>
              </w:rPr>
              <w:t>&lt;1.2 metres</w:t>
            </w:r>
          </w:p>
        </w:tc>
        <w:tc>
          <w:tcPr>
            <w:tcW w:w="1701" w:type="dxa"/>
          </w:tcPr>
          <w:p w14:paraId="5959A55C" w14:textId="77777777" w:rsidR="00BE36FB" w:rsidRPr="009B7B35" w:rsidRDefault="00BE36FB" w:rsidP="001A7107">
            <w:pPr>
              <w:pStyle w:val="TableText"/>
              <w:rPr>
                <w:rFonts w:cs="Arial"/>
              </w:rPr>
            </w:pPr>
            <w:r w:rsidRPr="009B7B35">
              <w:rPr>
                <w:rFonts w:cs="Arial"/>
              </w:rPr>
              <w:t>&gt;1.2 metres</w:t>
            </w:r>
          </w:p>
        </w:tc>
      </w:tr>
      <w:tr w:rsidR="00BE36FB" w:rsidRPr="009B7B35" w14:paraId="5CF52D7B" w14:textId="77777777" w:rsidTr="001A7107">
        <w:trPr>
          <w:cantSplit/>
        </w:trPr>
        <w:tc>
          <w:tcPr>
            <w:tcW w:w="1985" w:type="dxa"/>
          </w:tcPr>
          <w:p w14:paraId="5D6DEEDE" w14:textId="77777777" w:rsidR="00BE36FB" w:rsidRPr="009B7B35" w:rsidRDefault="00BE36FB" w:rsidP="001A7107">
            <w:pPr>
              <w:pStyle w:val="TableText"/>
              <w:rPr>
                <w:rFonts w:cs="Arial"/>
              </w:rPr>
            </w:pPr>
            <w:r w:rsidRPr="009B7B35">
              <w:rPr>
                <w:rFonts w:cs="Arial"/>
              </w:rPr>
              <w:t>Maximum flood velocity</w:t>
            </w:r>
          </w:p>
        </w:tc>
        <w:tc>
          <w:tcPr>
            <w:tcW w:w="1843" w:type="dxa"/>
          </w:tcPr>
          <w:p w14:paraId="5D719AEE" w14:textId="77777777" w:rsidR="00BE36FB" w:rsidRPr="009B7B35" w:rsidRDefault="00BE36FB" w:rsidP="001A7107">
            <w:pPr>
              <w:pStyle w:val="TableText"/>
              <w:rPr>
                <w:rFonts w:cs="Arial"/>
              </w:rPr>
            </w:pPr>
            <w:r w:rsidRPr="009B7B35">
              <w:rPr>
                <w:rFonts w:cs="Arial"/>
              </w:rPr>
              <w:t>&lt; 0.4 metres per second</w:t>
            </w:r>
          </w:p>
        </w:tc>
        <w:tc>
          <w:tcPr>
            <w:tcW w:w="1842" w:type="dxa"/>
          </w:tcPr>
          <w:p w14:paraId="6A5185F5" w14:textId="77777777" w:rsidR="00BE36FB" w:rsidRPr="009B7B35" w:rsidRDefault="00BE36FB" w:rsidP="001A7107">
            <w:pPr>
              <w:pStyle w:val="TableText"/>
              <w:rPr>
                <w:rFonts w:cs="Arial"/>
              </w:rPr>
            </w:pPr>
            <w:r w:rsidRPr="009B7B35">
              <w:rPr>
                <w:rFonts w:cs="Arial"/>
              </w:rPr>
              <w:t>&lt;0.8 metres per second</w:t>
            </w:r>
          </w:p>
        </w:tc>
        <w:tc>
          <w:tcPr>
            <w:tcW w:w="1985" w:type="dxa"/>
          </w:tcPr>
          <w:p w14:paraId="548CFE9D" w14:textId="77777777" w:rsidR="00BE36FB" w:rsidRPr="009B7B35" w:rsidRDefault="00BE36FB" w:rsidP="001A7107">
            <w:pPr>
              <w:pStyle w:val="TableText"/>
              <w:rPr>
                <w:rFonts w:cs="Arial"/>
              </w:rPr>
            </w:pPr>
            <w:r w:rsidRPr="009B7B35">
              <w:rPr>
                <w:rFonts w:cs="Arial"/>
              </w:rPr>
              <w:t>&lt;1.5 metres per second</w:t>
            </w:r>
          </w:p>
        </w:tc>
        <w:tc>
          <w:tcPr>
            <w:tcW w:w="1701" w:type="dxa"/>
          </w:tcPr>
          <w:p w14:paraId="4010BB7B" w14:textId="77777777" w:rsidR="00BE36FB" w:rsidRPr="009B7B35" w:rsidRDefault="00BE36FB" w:rsidP="001A7107">
            <w:pPr>
              <w:pStyle w:val="TableText"/>
              <w:rPr>
                <w:rFonts w:cs="Arial"/>
              </w:rPr>
            </w:pPr>
            <w:r w:rsidRPr="009B7B35">
              <w:rPr>
                <w:rFonts w:cs="Arial"/>
              </w:rPr>
              <w:t>&gt;1.5 metres per second</w:t>
            </w:r>
          </w:p>
        </w:tc>
      </w:tr>
      <w:tr w:rsidR="00BE36FB" w:rsidRPr="009B7B35" w14:paraId="14FB91B5" w14:textId="77777777" w:rsidTr="001A7107">
        <w:trPr>
          <w:cantSplit/>
        </w:trPr>
        <w:tc>
          <w:tcPr>
            <w:tcW w:w="1985" w:type="dxa"/>
          </w:tcPr>
          <w:p w14:paraId="44DEB2AE" w14:textId="77777777" w:rsidR="00BE36FB" w:rsidRPr="009B7B35" w:rsidRDefault="00BE36FB" w:rsidP="001A7107">
            <w:pPr>
              <w:pStyle w:val="TableText"/>
              <w:rPr>
                <w:rFonts w:cs="Arial"/>
              </w:rPr>
            </w:pPr>
            <w:r w:rsidRPr="009B7B35">
              <w:rPr>
                <w:rFonts w:cs="Arial"/>
              </w:rPr>
              <w:t>Timing</w:t>
            </w:r>
          </w:p>
          <w:p w14:paraId="2E79A5BD" w14:textId="77777777" w:rsidR="00BE36FB" w:rsidRPr="009B7B35" w:rsidRDefault="00BE36FB" w:rsidP="001A7107">
            <w:pPr>
              <w:pStyle w:val="Notes"/>
              <w:rPr>
                <w:rFonts w:cs="Arial"/>
                <w:sz w:val="20"/>
                <w:szCs w:val="20"/>
              </w:rPr>
            </w:pPr>
            <w:r w:rsidRPr="009B7B35">
              <w:rPr>
                <w:rFonts w:cs="Arial"/>
                <w:sz w:val="20"/>
                <w:szCs w:val="20"/>
              </w:rPr>
              <w:t xml:space="preserve">Note—This category cannot be implemented until evacuation times have been established in the </w:t>
            </w:r>
            <w:r w:rsidRPr="009B7B35">
              <w:rPr>
                <w:rStyle w:val="StyleNotesItalic2"/>
                <w:rFonts w:cs="Arial"/>
                <w:sz w:val="20"/>
              </w:rPr>
              <w:t>Counter Disaster Plan (flooding).</w:t>
            </w:r>
          </w:p>
        </w:tc>
        <w:tc>
          <w:tcPr>
            <w:tcW w:w="1843" w:type="dxa"/>
          </w:tcPr>
          <w:p w14:paraId="0BD8060D" w14:textId="77777777" w:rsidR="00BE36FB" w:rsidRPr="009B7B35" w:rsidRDefault="00BE36FB" w:rsidP="001A7107">
            <w:pPr>
              <w:pStyle w:val="TableText"/>
              <w:rPr>
                <w:rFonts w:cs="Arial"/>
              </w:rPr>
            </w:pPr>
            <w:r w:rsidRPr="009B7B35">
              <w:rPr>
                <w:rFonts w:cs="Arial"/>
              </w:rPr>
              <w:t>Ample for flood forecasting. Evacuation routes remain passable for twice as long as warning and evacuation time.</w:t>
            </w:r>
          </w:p>
        </w:tc>
        <w:tc>
          <w:tcPr>
            <w:tcW w:w="1842" w:type="dxa"/>
          </w:tcPr>
          <w:p w14:paraId="796CD1A6" w14:textId="77777777" w:rsidR="00BE36FB" w:rsidRPr="009B7B35" w:rsidRDefault="00BE36FB" w:rsidP="001A7107">
            <w:pPr>
              <w:pStyle w:val="TableText"/>
              <w:rPr>
                <w:rFonts w:cs="Arial"/>
              </w:rPr>
            </w:pPr>
            <w:r w:rsidRPr="009B7B35">
              <w:rPr>
                <w:rFonts w:cs="Arial"/>
              </w:rPr>
              <w:t>Evacuation routes remain trafficable for 1.5 times as long as the warning and evacuation time.</w:t>
            </w:r>
          </w:p>
        </w:tc>
        <w:tc>
          <w:tcPr>
            <w:tcW w:w="1985" w:type="dxa"/>
          </w:tcPr>
          <w:p w14:paraId="5EB3BE98" w14:textId="77777777" w:rsidR="00BE36FB" w:rsidRPr="009B7B35" w:rsidRDefault="00BE36FB" w:rsidP="001A7107">
            <w:pPr>
              <w:pStyle w:val="TableText"/>
              <w:rPr>
                <w:rFonts w:cs="Arial"/>
              </w:rPr>
            </w:pPr>
            <w:r w:rsidRPr="009B7B35">
              <w:rPr>
                <w:rFonts w:cs="Arial"/>
              </w:rPr>
              <w:t>Evacuation routes remain trafficable for only up to minimum warning and evacuation time.</w:t>
            </w:r>
          </w:p>
        </w:tc>
        <w:tc>
          <w:tcPr>
            <w:tcW w:w="1701" w:type="dxa"/>
          </w:tcPr>
          <w:p w14:paraId="30A3BFA3" w14:textId="77777777" w:rsidR="00BE36FB" w:rsidRPr="009B7B35" w:rsidRDefault="00BE36FB" w:rsidP="001A7107">
            <w:pPr>
              <w:pStyle w:val="TableText"/>
              <w:rPr>
                <w:rFonts w:cs="Arial"/>
              </w:rPr>
            </w:pPr>
            <w:r w:rsidRPr="009B7B35">
              <w:rPr>
                <w:rFonts w:cs="Arial"/>
              </w:rPr>
              <w:t>There is insufficient evacuation time.</w:t>
            </w:r>
          </w:p>
        </w:tc>
      </w:tr>
    </w:tbl>
    <w:p w14:paraId="121176CB" w14:textId="77777777" w:rsidR="00BE36FB" w:rsidRPr="009B7B35" w:rsidRDefault="00BE36FB" w:rsidP="001A7107">
      <w:pPr>
        <w:pStyle w:val="Notes"/>
        <w:rPr>
          <w:rFonts w:cs="Arial"/>
          <w:sz w:val="20"/>
          <w:szCs w:val="20"/>
        </w:rPr>
      </w:pPr>
      <w:r w:rsidRPr="009B7B35">
        <w:rPr>
          <w:rFonts w:cs="Arial"/>
          <w:sz w:val="20"/>
          <w:szCs w:val="20"/>
        </w:rPr>
        <w:t>Note—The evacuation times for various facilities or areas would (but not necessarily) be included in the Counter Disaster Plan (flooding). Generally safe wading conditions assume even walking surfaces with no obstructions, steps, soft underfoot, etc.</w:t>
      </w:r>
    </w:p>
    <w:p w14:paraId="4306F967" w14:textId="77777777" w:rsidR="00BE36FB" w:rsidRPr="009B7B35" w:rsidRDefault="00BE36FB" w:rsidP="001A7107">
      <w:pPr>
        <w:pStyle w:val="NormalIndent"/>
        <w:rPr>
          <w:rFonts w:cs="Arial"/>
          <w:szCs w:val="20"/>
        </w:rPr>
      </w:pPr>
    </w:p>
    <w:p w14:paraId="7D9AABF9" w14:textId="77777777" w:rsidR="00BE36FB" w:rsidRPr="009B7B35" w:rsidRDefault="00BE36FB" w:rsidP="001A7107">
      <w:pPr>
        <w:pStyle w:val="NormalIndent"/>
        <w:rPr>
          <w:rFonts w:cs="Arial"/>
          <w:szCs w:val="20"/>
        </w:rPr>
      </w:pPr>
    </w:p>
    <w:p w14:paraId="31C45B35" w14:textId="77777777" w:rsidR="00BE36FB" w:rsidRPr="009B7B35" w:rsidRDefault="00BE36FB" w:rsidP="001A7107">
      <w:pPr>
        <w:rPr>
          <w:rFonts w:ascii="Arial" w:hAnsi="Arial" w:cs="Arial"/>
          <w:sz w:val="20"/>
          <w:szCs w:val="20"/>
          <w:lang w:eastAsia="en-US"/>
        </w:rPr>
      </w:pPr>
    </w:p>
    <w:p w14:paraId="54EBBB85" w14:textId="77777777" w:rsidR="00BE36FB" w:rsidRPr="009B7B35" w:rsidRDefault="00BE36FB" w:rsidP="001A7107">
      <w:pPr>
        <w:rPr>
          <w:rFonts w:ascii="Arial" w:hAnsi="Arial" w:cs="Arial"/>
          <w:sz w:val="20"/>
          <w:szCs w:val="20"/>
          <w:lang w:eastAsia="en-US"/>
        </w:rPr>
      </w:pPr>
    </w:p>
    <w:p w14:paraId="7285D127" w14:textId="77777777" w:rsidR="00BE36FB" w:rsidRPr="009B7B35" w:rsidRDefault="00BE36FB" w:rsidP="006776DA">
      <w:pPr>
        <w:pStyle w:val="Heading3"/>
        <w:numPr>
          <w:ilvl w:val="2"/>
          <w:numId w:val="883"/>
        </w:numPr>
        <w:spacing w:before="240"/>
        <w:rPr>
          <w:rFonts w:ascii="Arial" w:hAnsi="Arial"/>
          <w:sz w:val="20"/>
          <w:szCs w:val="20"/>
        </w:rPr>
      </w:pPr>
      <w:bookmarkStart w:id="249" w:name="_Toc205367383"/>
      <w:r w:rsidRPr="009B7B35">
        <w:rPr>
          <w:rFonts w:ascii="Arial" w:hAnsi="Arial"/>
          <w:sz w:val="20"/>
          <w:szCs w:val="20"/>
        </w:rPr>
        <w:t>Hazardous activities</w:t>
      </w:r>
      <w:bookmarkEnd w:id="249"/>
    </w:p>
    <w:p w14:paraId="12B5BE55"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Application</w:t>
      </w:r>
    </w:p>
    <w:p w14:paraId="61536B6A"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Hazardous activities overlay code. When using this code, reference should be made to section 5.3.2 and where applicable, section 5.3.3 located in Part 5.</w:t>
      </w:r>
    </w:p>
    <w:p w14:paraId="584CA59C"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Purpose</w:t>
      </w:r>
    </w:p>
    <w:p w14:paraId="0F7A454A" w14:textId="77777777" w:rsidR="00BE36FB" w:rsidRPr="009B7B35" w:rsidRDefault="00BE36FB" w:rsidP="00BE36FB">
      <w:pPr>
        <w:numPr>
          <w:ilvl w:val="0"/>
          <w:numId w:val="612"/>
        </w:numPr>
        <w:rPr>
          <w:rFonts w:ascii="Arial" w:hAnsi="Arial" w:cs="Arial"/>
          <w:sz w:val="20"/>
          <w:szCs w:val="20"/>
        </w:rPr>
      </w:pPr>
      <w:r w:rsidRPr="009B7B35">
        <w:rPr>
          <w:rFonts w:ascii="Arial" w:hAnsi="Arial" w:cs="Arial"/>
          <w:sz w:val="20"/>
          <w:szCs w:val="20"/>
        </w:rPr>
        <w:t xml:space="preserve">The purpose of the Hazardous activities overlay code is to protect community health, safety and sensitive land uses from the impacts of former landfill sites, former mining activities and from contaminated land. </w:t>
      </w:r>
    </w:p>
    <w:p w14:paraId="60C0E5C6" w14:textId="77777777" w:rsidR="00BE36FB" w:rsidRPr="009B7B35" w:rsidRDefault="00BE36FB" w:rsidP="00BE36FB">
      <w:pPr>
        <w:numPr>
          <w:ilvl w:val="0"/>
          <w:numId w:val="612"/>
        </w:numPr>
        <w:rPr>
          <w:rFonts w:ascii="Arial" w:hAnsi="Arial" w:cs="Arial"/>
          <w:sz w:val="20"/>
          <w:szCs w:val="20"/>
        </w:rPr>
      </w:pPr>
      <w:r w:rsidRPr="009B7B35">
        <w:rPr>
          <w:rFonts w:ascii="Arial" w:hAnsi="Arial" w:cs="Arial"/>
          <w:sz w:val="20"/>
          <w:szCs w:val="20"/>
        </w:rPr>
        <w:t xml:space="preserve">The purpose of the code will be achieved through the following overall outcomes: </w:t>
      </w:r>
    </w:p>
    <w:p w14:paraId="633BB81E" w14:textId="77777777" w:rsidR="00BE36FB" w:rsidRPr="009B7B35" w:rsidRDefault="00BE36FB" w:rsidP="00BE36FB">
      <w:pPr>
        <w:numPr>
          <w:ilvl w:val="1"/>
          <w:numId w:val="612"/>
        </w:numPr>
        <w:rPr>
          <w:rFonts w:ascii="Arial" w:hAnsi="Arial" w:cs="Arial"/>
          <w:sz w:val="20"/>
          <w:szCs w:val="20"/>
        </w:rPr>
      </w:pPr>
      <w:r w:rsidRPr="009B7B35">
        <w:rPr>
          <w:rFonts w:ascii="Arial" w:hAnsi="Arial" w:cs="Arial"/>
          <w:sz w:val="20"/>
          <w:szCs w:val="20"/>
        </w:rPr>
        <w:t>Sensitive land uses are protected from risks associated with disused underground mines, tunnels and shafts, landfill and refuse sites and contaminated land.</w:t>
      </w:r>
    </w:p>
    <w:p w14:paraId="051332EA"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Assessment benchmarks</w:t>
      </w:r>
    </w:p>
    <w:p w14:paraId="4C94F095" w14:textId="77777777" w:rsidR="00BE36FB" w:rsidRPr="009B7B35" w:rsidRDefault="00BE36FB" w:rsidP="001A7107">
      <w:pPr>
        <w:pStyle w:val="Heading5"/>
        <w:numPr>
          <w:ilvl w:val="0"/>
          <w:numId w:val="0"/>
        </w:numPr>
        <w:rPr>
          <w:rFonts w:cs="Arial"/>
          <w:szCs w:val="20"/>
        </w:rPr>
      </w:pPr>
      <w:r w:rsidRPr="009B7B35">
        <w:rPr>
          <w:rFonts w:cs="Arial"/>
          <w:szCs w:val="20"/>
        </w:rPr>
        <w:t>Table 8.2.8.3.1— Accepted development subject to requirements and assessable development</w:t>
      </w:r>
    </w:p>
    <w:tbl>
      <w:tblPr>
        <w:tblStyle w:val="Tablestyle"/>
        <w:tblW w:w="0" w:type="auto"/>
        <w:tblLook w:val="0620" w:firstRow="1" w:lastRow="0" w:firstColumn="0" w:lastColumn="0" w:noHBand="1" w:noVBand="1"/>
      </w:tblPr>
      <w:tblGrid>
        <w:gridCol w:w="4229"/>
        <w:gridCol w:w="4134"/>
      </w:tblGrid>
      <w:tr w:rsidR="00BE36FB" w:rsidRPr="009B7B35" w14:paraId="6BF389B2"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08DE591A" w14:textId="77777777" w:rsidR="00BE36FB" w:rsidRPr="009B7B35" w:rsidRDefault="00BE36FB" w:rsidP="001A7107">
            <w:pPr>
              <w:pStyle w:val="TableText"/>
              <w:rPr>
                <w:rFonts w:cs="Arial"/>
              </w:rPr>
            </w:pPr>
            <w:r w:rsidRPr="009B7B35">
              <w:rPr>
                <w:rFonts w:cs="Arial"/>
              </w:rPr>
              <w:t>Performance outcomes</w:t>
            </w:r>
          </w:p>
        </w:tc>
        <w:tc>
          <w:tcPr>
            <w:tcW w:w="4678" w:type="dxa"/>
          </w:tcPr>
          <w:p w14:paraId="550CED2C" w14:textId="77777777" w:rsidR="00BE36FB" w:rsidRPr="009B7B35" w:rsidRDefault="00BE36FB" w:rsidP="001A7107">
            <w:pPr>
              <w:pStyle w:val="TableText"/>
              <w:rPr>
                <w:rFonts w:cs="Arial"/>
              </w:rPr>
            </w:pPr>
            <w:r w:rsidRPr="009B7B35">
              <w:rPr>
                <w:rFonts w:cs="Arial"/>
              </w:rPr>
              <w:t>Acceptable outcomes</w:t>
            </w:r>
          </w:p>
        </w:tc>
      </w:tr>
      <w:tr w:rsidR="00BE36FB" w:rsidRPr="009B7B35" w14:paraId="21D71F42" w14:textId="77777777" w:rsidTr="001A7107">
        <w:trPr>
          <w:cantSplit/>
        </w:trPr>
        <w:tc>
          <w:tcPr>
            <w:tcW w:w="9356" w:type="dxa"/>
            <w:gridSpan w:val="2"/>
            <w:shd w:val="clear" w:color="auto" w:fill="BFBFBF" w:themeFill="background1" w:themeFillShade="BF"/>
          </w:tcPr>
          <w:p w14:paraId="78F67443" w14:textId="77777777" w:rsidR="00BE36FB" w:rsidRPr="009B7B35" w:rsidRDefault="00BE36FB" w:rsidP="001A7107">
            <w:pPr>
              <w:pStyle w:val="Tableheading"/>
              <w:rPr>
                <w:rFonts w:ascii="Arial" w:hAnsi="Arial" w:cs="Arial"/>
                <w:szCs w:val="20"/>
              </w:rPr>
            </w:pPr>
            <w:r w:rsidRPr="009B7B35">
              <w:rPr>
                <w:rFonts w:ascii="Arial" w:hAnsi="Arial" w:cs="Arial"/>
                <w:szCs w:val="20"/>
              </w:rPr>
              <w:t>Development within a former mined area</w:t>
            </w:r>
          </w:p>
        </w:tc>
      </w:tr>
      <w:tr w:rsidR="00BE36FB" w:rsidRPr="009B7B35" w14:paraId="5A6B3C5E" w14:textId="77777777" w:rsidTr="001A7107">
        <w:trPr>
          <w:trHeight w:val="1559"/>
        </w:trPr>
        <w:tc>
          <w:tcPr>
            <w:tcW w:w="4678" w:type="dxa"/>
            <w:vMerge w:val="restart"/>
          </w:tcPr>
          <w:p w14:paraId="54D6F6A0" w14:textId="77777777" w:rsidR="00BE36FB" w:rsidRPr="009B7B35" w:rsidRDefault="00BE36FB" w:rsidP="001A7107">
            <w:pPr>
              <w:pStyle w:val="TableText"/>
              <w:rPr>
                <w:rFonts w:cs="Arial"/>
                <w:b/>
              </w:rPr>
            </w:pPr>
            <w:r w:rsidRPr="009B7B35">
              <w:rPr>
                <w:rFonts w:cs="Arial"/>
                <w:b/>
              </w:rPr>
              <w:t>PO1</w:t>
            </w:r>
          </w:p>
          <w:p w14:paraId="55C0352F" w14:textId="77777777" w:rsidR="00BE36FB" w:rsidRPr="009B7B35" w:rsidRDefault="00BE36FB" w:rsidP="001A7107">
            <w:pPr>
              <w:pStyle w:val="TableText"/>
              <w:rPr>
                <w:rFonts w:cs="Arial"/>
              </w:rPr>
            </w:pPr>
            <w:r w:rsidRPr="009B7B35">
              <w:rPr>
                <w:rFonts w:cs="Arial"/>
              </w:rPr>
              <w:t xml:space="preserve">Development is not at risk of: </w:t>
            </w:r>
          </w:p>
          <w:p w14:paraId="49C53CD7" w14:textId="77777777" w:rsidR="00BE36FB" w:rsidRPr="009B7B35" w:rsidRDefault="00BE36FB" w:rsidP="00BE36FB">
            <w:pPr>
              <w:pStyle w:val="TableText"/>
              <w:numPr>
                <w:ilvl w:val="0"/>
                <w:numId w:val="614"/>
              </w:numPr>
              <w:rPr>
                <w:rFonts w:cs="Arial"/>
              </w:rPr>
            </w:pPr>
            <w:r w:rsidRPr="009B7B35">
              <w:rPr>
                <w:rFonts w:cs="Arial"/>
              </w:rPr>
              <w:t>damage through subsidence, and</w:t>
            </w:r>
          </w:p>
          <w:p w14:paraId="2EBBEC1B" w14:textId="77777777" w:rsidR="00BE36FB" w:rsidRPr="009B7B35" w:rsidRDefault="00BE36FB" w:rsidP="00BE36FB">
            <w:pPr>
              <w:pStyle w:val="TableText"/>
              <w:numPr>
                <w:ilvl w:val="0"/>
                <w:numId w:val="614"/>
              </w:numPr>
              <w:rPr>
                <w:rFonts w:cs="Arial"/>
              </w:rPr>
            </w:pPr>
            <w:r w:rsidRPr="009B7B35">
              <w:rPr>
                <w:rFonts w:cs="Arial"/>
              </w:rPr>
              <w:t xml:space="preserve">causing accidental entry into mine shafts. </w:t>
            </w:r>
          </w:p>
        </w:tc>
        <w:tc>
          <w:tcPr>
            <w:tcW w:w="4678" w:type="dxa"/>
          </w:tcPr>
          <w:p w14:paraId="7A5DA624" w14:textId="77777777" w:rsidR="00BE36FB" w:rsidRPr="009B7B35" w:rsidRDefault="00BE36FB" w:rsidP="001A7107">
            <w:pPr>
              <w:pStyle w:val="TableText"/>
              <w:rPr>
                <w:rFonts w:cs="Arial"/>
                <w:b/>
              </w:rPr>
            </w:pPr>
            <w:r w:rsidRPr="009B7B35">
              <w:rPr>
                <w:rFonts w:cs="Arial"/>
                <w:b/>
              </w:rPr>
              <w:t>AO1.1</w:t>
            </w:r>
          </w:p>
          <w:p w14:paraId="75BBA737" w14:textId="77777777" w:rsidR="00BE36FB" w:rsidRPr="009B7B35" w:rsidRDefault="00BE36FB" w:rsidP="001A7107">
            <w:pPr>
              <w:pStyle w:val="TableText"/>
              <w:rPr>
                <w:rFonts w:cs="Arial"/>
              </w:rPr>
            </w:pPr>
            <w:r w:rsidRPr="009B7B35">
              <w:rPr>
                <w:rFonts w:cs="Arial"/>
              </w:rPr>
              <w:t xml:space="preserve">Buildings are not located within: </w:t>
            </w:r>
          </w:p>
          <w:p w14:paraId="3B0AD7CD" w14:textId="77777777" w:rsidR="00BE36FB" w:rsidRPr="009B7B35" w:rsidRDefault="00BE36FB" w:rsidP="00BE36FB">
            <w:pPr>
              <w:pStyle w:val="TableText"/>
              <w:numPr>
                <w:ilvl w:val="0"/>
                <w:numId w:val="652"/>
              </w:numPr>
              <w:rPr>
                <w:rFonts w:cs="Arial"/>
              </w:rPr>
            </w:pPr>
            <w:r w:rsidRPr="009B7B35">
              <w:rPr>
                <w:rFonts w:cs="Arial"/>
              </w:rPr>
              <w:t>100m of known areas of mining subsidence, and</w:t>
            </w:r>
          </w:p>
          <w:p w14:paraId="2A059FD4" w14:textId="77777777" w:rsidR="00BE36FB" w:rsidRPr="009B7B35" w:rsidRDefault="00BE36FB" w:rsidP="00BE36FB">
            <w:pPr>
              <w:pStyle w:val="TableText"/>
              <w:numPr>
                <w:ilvl w:val="0"/>
                <w:numId w:val="652"/>
              </w:numPr>
              <w:rPr>
                <w:rFonts w:cs="Arial"/>
              </w:rPr>
            </w:pPr>
            <w:r w:rsidRPr="009B7B35">
              <w:rPr>
                <w:rFonts w:cs="Arial"/>
              </w:rPr>
              <w:t>40m of mine shafts or entries.</w:t>
            </w:r>
          </w:p>
          <w:p w14:paraId="34D13F04" w14:textId="77777777" w:rsidR="00BE36FB" w:rsidRPr="009B7B35" w:rsidRDefault="00BE36FB" w:rsidP="001A7107">
            <w:pPr>
              <w:pStyle w:val="TableText"/>
              <w:rPr>
                <w:rFonts w:cs="Arial"/>
              </w:rPr>
            </w:pPr>
          </w:p>
        </w:tc>
      </w:tr>
      <w:tr w:rsidR="00BE36FB" w:rsidRPr="009B7B35" w14:paraId="232AD942" w14:textId="77777777" w:rsidTr="001A7107">
        <w:tc>
          <w:tcPr>
            <w:tcW w:w="4678" w:type="dxa"/>
            <w:vMerge/>
          </w:tcPr>
          <w:p w14:paraId="5EF7B9AA" w14:textId="77777777" w:rsidR="00BE36FB" w:rsidRPr="009B7B35" w:rsidRDefault="00BE36FB" w:rsidP="001A7107">
            <w:pPr>
              <w:pStyle w:val="TableText"/>
              <w:rPr>
                <w:rFonts w:cs="Arial"/>
              </w:rPr>
            </w:pPr>
          </w:p>
        </w:tc>
        <w:tc>
          <w:tcPr>
            <w:tcW w:w="4678" w:type="dxa"/>
          </w:tcPr>
          <w:p w14:paraId="609A8E97" w14:textId="77777777" w:rsidR="00BE36FB" w:rsidRPr="009B7B35" w:rsidRDefault="00BE36FB" w:rsidP="001A7107">
            <w:pPr>
              <w:pStyle w:val="TableText"/>
              <w:rPr>
                <w:rFonts w:cs="Arial"/>
                <w:b/>
              </w:rPr>
            </w:pPr>
            <w:r w:rsidRPr="009B7B35">
              <w:rPr>
                <w:rFonts w:cs="Arial"/>
                <w:b/>
              </w:rPr>
              <w:t>AO1.2</w:t>
            </w:r>
          </w:p>
          <w:p w14:paraId="245D1CE9" w14:textId="77777777" w:rsidR="00BE36FB" w:rsidRPr="009B7B35" w:rsidRDefault="00BE36FB" w:rsidP="001A7107">
            <w:pPr>
              <w:pStyle w:val="TableText"/>
              <w:rPr>
                <w:rFonts w:cs="Arial"/>
              </w:rPr>
            </w:pPr>
            <w:r w:rsidRPr="009B7B35">
              <w:rPr>
                <w:rFonts w:cs="Arial"/>
              </w:rPr>
              <w:t>Shafts or tunnel entries are sealed to prevent accidental entry.</w:t>
            </w:r>
          </w:p>
        </w:tc>
      </w:tr>
      <w:tr w:rsidR="00BE36FB" w:rsidRPr="009B7B35" w14:paraId="7556B020" w14:textId="77777777" w:rsidTr="001A7107">
        <w:tc>
          <w:tcPr>
            <w:tcW w:w="9356" w:type="dxa"/>
            <w:gridSpan w:val="2"/>
            <w:shd w:val="clear" w:color="auto" w:fill="BFBFBF" w:themeFill="background1" w:themeFillShade="BF"/>
          </w:tcPr>
          <w:p w14:paraId="3DDD7ECF"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03DFBBB3" w14:textId="77777777" w:rsidTr="001A7107">
        <w:tc>
          <w:tcPr>
            <w:tcW w:w="9356" w:type="dxa"/>
            <w:gridSpan w:val="2"/>
            <w:shd w:val="clear" w:color="auto" w:fill="BFBFBF" w:themeFill="background1" w:themeFillShade="BF"/>
          </w:tcPr>
          <w:p w14:paraId="19AFAF2B" w14:textId="77777777" w:rsidR="00BE36FB" w:rsidRPr="009B7B35" w:rsidRDefault="00BE36FB" w:rsidP="001A7107">
            <w:pPr>
              <w:pStyle w:val="Tableheading"/>
              <w:rPr>
                <w:rFonts w:ascii="Arial" w:hAnsi="Arial" w:cs="Arial"/>
                <w:szCs w:val="20"/>
              </w:rPr>
            </w:pPr>
            <w:r w:rsidRPr="009B7B35">
              <w:rPr>
                <w:rFonts w:ascii="Arial" w:hAnsi="Arial" w:cs="Arial"/>
                <w:szCs w:val="20"/>
              </w:rPr>
              <w:t>Development on former landfill and refuse sites or on contaminated land</w:t>
            </w:r>
          </w:p>
        </w:tc>
      </w:tr>
      <w:tr w:rsidR="00BE36FB" w:rsidRPr="009B7B35" w14:paraId="55902A82" w14:textId="77777777" w:rsidTr="001A7107">
        <w:tc>
          <w:tcPr>
            <w:tcW w:w="4678" w:type="dxa"/>
          </w:tcPr>
          <w:p w14:paraId="3930628C" w14:textId="77777777"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2</w:t>
            </w:r>
          </w:p>
          <w:p w14:paraId="10416842" w14:textId="77777777" w:rsidR="00BE36FB" w:rsidRPr="009B7B35" w:rsidRDefault="00BE36FB" w:rsidP="001A7107">
            <w:pPr>
              <w:pStyle w:val="TableText"/>
              <w:rPr>
                <w:rFonts w:cs="Arial"/>
              </w:rPr>
            </w:pPr>
            <w:r w:rsidRPr="009B7B35">
              <w:rPr>
                <w:rFonts w:cs="Arial"/>
              </w:rPr>
              <w:t>Development must:</w:t>
            </w:r>
          </w:p>
          <w:p w14:paraId="384965D2" w14:textId="77777777" w:rsidR="00BE36FB" w:rsidRPr="009B7B35" w:rsidRDefault="00BE36FB" w:rsidP="00BE36FB">
            <w:pPr>
              <w:pStyle w:val="TableText"/>
              <w:numPr>
                <w:ilvl w:val="0"/>
                <w:numId w:val="613"/>
              </w:numPr>
              <w:rPr>
                <w:rFonts w:cs="Arial"/>
              </w:rPr>
            </w:pPr>
            <w:r w:rsidRPr="009B7B35">
              <w:rPr>
                <w:rFonts w:cs="Arial"/>
              </w:rPr>
              <w:t xml:space="preserve">demonstrate there is no public health or safety risk as a result for former hazardous land use activities, and </w:t>
            </w:r>
          </w:p>
          <w:p w14:paraId="72D40BD1" w14:textId="77777777" w:rsidR="00BE36FB" w:rsidRPr="009B7B35" w:rsidRDefault="00BE36FB" w:rsidP="00BE36FB">
            <w:pPr>
              <w:pStyle w:val="TableText"/>
              <w:numPr>
                <w:ilvl w:val="0"/>
                <w:numId w:val="613"/>
              </w:numPr>
              <w:rPr>
                <w:rFonts w:cs="Arial"/>
              </w:rPr>
            </w:pPr>
            <w:r w:rsidRPr="009B7B35">
              <w:rPr>
                <w:rFonts w:cs="Arial"/>
              </w:rPr>
              <w:t>ensure land has been appropriately remediated to safely accommodate the proposed land use activity.</w:t>
            </w:r>
          </w:p>
          <w:p w14:paraId="4BD64BA8" w14:textId="77777777" w:rsidR="00BE36FB" w:rsidRPr="009B7B35" w:rsidRDefault="00BE36FB" w:rsidP="001A7107">
            <w:pPr>
              <w:pStyle w:val="Notes"/>
              <w:rPr>
                <w:rFonts w:cs="Arial"/>
                <w:sz w:val="20"/>
                <w:szCs w:val="20"/>
              </w:rPr>
            </w:pPr>
            <w:r w:rsidRPr="009B7B35">
              <w:rPr>
                <w:rFonts w:cs="Arial"/>
                <w:sz w:val="20"/>
                <w:szCs w:val="20"/>
              </w:rPr>
              <w:t xml:space="preserve">Note—A validation report that demonstrates land has been appropriately remediated may be required in responding to this performance outcome. This can only be prepared and certified by suitably qualified person as defined in Part 3 of the </w:t>
            </w:r>
            <w:r w:rsidRPr="009B7B35">
              <w:rPr>
                <w:rStyle w:val="StyleNotesItalic2"/>
                <w:rFonts w:cs="Arial"/>
                <w:sz w:val="20"/>
              </w:rPr>
              <w:t>Environmental Protection Act 1994</w:t>
            </w:r>
            <w:r w:rsidRPr="009B7B35">
              <w:rPr>
                <w:rFonts w:cs="Arial"/>
                <w:sz w:val="20"/>
                <w:szCs w:val="20"/>
              </w:rPr>
              <w:t>.</w:t>
            </w:r>
          </w:p>
        </w:tc>
        <w:tc>
          <w:tcPr>
            <w:tcW w:w="4678" w:type="dxa"/>
          </w:tcPr>
          <w:p w14:paraId="77215A3F" w14:textId="77777777" w:rsidR="00BE36FB" w:rsidRPr="009B7B35" w:rsidRDefault="00BE36FB" w:rsidP="001A7107">
            <w:pPr>
              <w:pStyle w:val="TableText"/>
              <w:rPr>
                <w:rFonts w:cs="Arial"/>
              </w:rPr>
            </w:pPr>
            <w:r w:rsidRPr="009B7B35">
              <w:rPr>
                <w:rFonts w:cs="Arial"/>
              </w:rPr>
              <w:t>No acceptable outcome is nominated.</w:t>
            </w:r>
          </w:p>
        </w:tc>
      </w:tr>
    </w:tbl>
    <w:p w14:paraId="16BB8E60" w14:textId="77777777" w:rsidR="00BE36FB" w:rsidRPr="009B7B35" w:rsidRDefault="00BE36FB" w:rsidP="001A7107">
      <w:pPr>
        <w:rPr>
          <w:rFonts w:ascii="Arial" w:hAnsi="Arial" w:cs="Arial"/>
          <w:sz w:val="20"/>
          <w:szCs w:val="20"/>
        </w:rPr>
      </w:pPr>
    </w:p>
    <w:p w14:paraId="3451C7DA" w14:textId="77777777" w:rsidR="00BE36FB" w:rsidRPr="009B7B35" w:rsidRDefault="00BE36FB" w:rsidP="001A7107">
      <w:pPr>
        <w:rPr>
          <w:rFonts w:ascii="Arial" w:hAnsi="Arial" w:cs="Arial"/>
          <w:sz w:val="20"/>
          <w:szCs w:val="20"/>
        </w:rPr>
      </w:pPr>
    </w:p>
    <w:p w14:paraId="406CBAE8" w14:textId="77777777" w:rsidR="00BE36FB" w:rsidRPr="009B7B35" w:rsidRDefault="00BE36FB" w:rsidP="001A7107">
      <w:pPr>
        <w:rPr>
          <w:rFonts w:ascii="Arial" w:hAnsi="Arial" w:cs="Arial"/>
          <w:sz w:val="20"/>
          <w:szCs w:val="20"/>
          <w:lang w:eastAsia="en-US"/>
        </w:rPr>
      </w:pPr>
    </w:p>
    <w:p w14:paraId="264B1F6A" w14:textId="77777777" w:rsidR="00BE36FB" w:rsidRPr="009B7B35" w:rsidRDefault="00BE36FB" w:rsidP="001A7107">
      <w:pPr>
        <w:rPr>
          <w:rFonts w:ascii="Arial" w:hAnsi="Arial" w:cs="Arial"/>
          <w:sz w:val="20"/>
          <w:szCs w:val="20"/>
          <w:lang w:eastAsia="en-US"/>
        </w:rPr>
      </w:pPr>
    </w:p>
    <w:p w14:paraId="2B00E3C6" w14:textId="77777777" w:rsidR="00BE36FB" w:rsidRPr="009B7B35" w:rsidRDefault="00BE36FB" w:rsidP="001A7107">
      <w:pPr>
        <w:rPr>
          <w:rFonts w:ascii="Arial" w:hAnsi="Arial" w:cs="Arial"/>
          <w:sz w:val="20"/>
          <w:szCs w:val="20"/>
          <w:lang w:eastAsia="en-US"/>
        </w:rPr>
      </w:pPr>
    </w:p>
    <w:p w14:paraId="5C2EFA98" w14:textId="77777777" w:rsidR="00BE36FB" w:rsidRPr="009B7B35" w:rsidRDefault="00BE36FB" w:rsidP="006776DA">
      <w:pPr>
        <w:pStyle w:val="Heading3"/>
        <w:numPr>
          <w:ilvl w:val="2"/>
          <w:numId w:val="883"/>
        </w:numPr>
        <w:spacing w:before="240"/>
        <w:rPr>
          <w:rFonts w:ascii="Arial" w:hAnsi="Arial"/>
          <w:sz w:val="20"/>
          <w:szCs w:val="20"/>
        </w:rPr>
      </w:pPr>
      <w:bookmarkStart w:id="250" w:name="_Toc205367384"/>
      <w:r w:rsidRPr="009B7B35">
        <w:rPr>
          <w:rFonts w:ascii="Arial" w:hAnsi="Arial"/>
          <w:sz w:val="20"/>
          <w:szCs w:val="20"/>
        </w:rPr>
        <w:t>Heritage</w:t>
      </w:r>
      <w:bookmarkEnd w:id="250"/>
    </w:p>
    <w:p w14:paraId="115086FE"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Application</w:t>
      </w:r>
    </w:p>
    <w:p w14:paraId="595775B8"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Heritage overlay code. When using this code, reference should be made to section 5.3.2 and where applicable, section 5.3.3 located in Part 5.</w:t>
      </w:r>
    </w:p>
    <w:p w14:paraId="0B4BFD92"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Purpose</w:t>
      </w:r>
    </w:p>
    <w:p w14:paraId="7D4B88D3" w14:textId="77777777" w:rsidR="00BE36FB" w:rsidRPr="009B7B35" w:rsidRDefault="00BE36FB" w:rsidP="00BE36FB">
      <w:pPr>
        <w:numPr>
          <w:ilvl w:val="0"/>
          <w:numId w:val="626"/>
        </w:numPr>
        <w:rPr>
          <w:rFonts w:ascii="Arial" w:hAnsi="Arial" w:cs="Arial"/>
          <w:sz w:val="20"/>
          <w:szCs w:val="20"/>
        </w:rPr>
      </w:pPr>
      <w:r w:rsidRPr="009B7B35">
        <w:rPr>
          <w:rFonts w:ascii="Arial" w:hAnsi="Arial" w:cs="Arial"/>
          <w:sz w:val="20"/>
          <w:szCs w:val="20"/>
        </w:rPr>
        <w:t>The purpose of the Heritage overlay code is to ensure:</w:t>
      </w:r>
    </w:p>
    <w:p w14:paraId="55CD0F19" w14:textId="77777777" w:rsidR="00BE36FB" w:rsidRPr="009B7B35" w:rsidRDefault="00BE36FB" w:rsidP="00BE36FB">
      <w:pPr>
        <w:numPr>
          <w:ilvl w:val="1"/>
          <w:numId w:val="626"/>
        </w:numPr>
        <w:rPr>
          <w:rFonts w:ascii="Arial" w:hAnsi="Arial" w:cs="Arial"/>
          <w:sz w:val="20"/>
          <w:szCs w:val="20"/>
        </w:rPr>
      </w:pPr>
      <w:r w:rsidRPr="009B7B35">
        <w:rPr>
          <w:rFonts w:ascii="Arial" w:hAnsi="Arial" w:cs="Arial"/>
          <w:sz w:val="20"/>
          <w:szCs w:val="20"/>
        </w:rPr>
        <w:t>The local heritage places throughout the Gladstone region are conserved for present and future communities.</w:t>
      </w:r>
    </w:p>
    <w:p w14:paraId="36C90315" w14:textId="77777777" w:rsidR="00BE36FB" w:rsidRPr="009B7B35" w:rsidRDefault="00BE36FB" w:rsidP="00BE36FB">
      <w:pPr>
        <w:numPr>
          <w:ilvl w:val="1"/>
          <w:numId w:val="626"/>
        </w:numPr>
        <w:rPr>
          <w:rFonts w:ascii="Arial" w:hAnsi="Arial" w:cs="Arial"/>
          <w:sz w:val="20"/>
          <w:szCs w:val="20"/>
        </w:rPr>
      </w:pPr>
      <w:r w:rsidRPr="009B7B35">
        <w:rPr>
          <w:rFonts w:ascii="Arial" w:hAnsi="Arial" w:cs="Arial"/>
          <w:sz w:val="20"/>
          <w:szCs w:val="20"/>
        </w:rPr>
        <w:t>Development is compatible with the cultural heritage significance of the local heritage place.</w:t>
      </w:r>
    </w:p>
    <w:p w14:paraId="5887FDAA" w14:textId="77777777" w:rsidR="00BE36FB" w:rsidRPr="009B7B35" w:rsidRDefault="00BE36FB" w:rsidP="00BE36FB">
      <w:pPr>
        <w:numPr>
          <w:ilvl w:val="1"/>
          <w:numId w:val="626"/>
        </w:numPr>
        <w:rPr>
          <w:rFonts w:ascii="Arial" w:hAnsi="Arial" w:cs="Arial"/>
          <w:sz w:val="20"/>
          <w:szCs w:val="20"/>
        </w:rPr>
      </w:pPr>
      <w:r w:rsidRPr="009B7B35">
        <w:rPr>
          <w:rFonts w:ascii="Arial" w:hAnsi="Arial" w:cs="Arial"/>
          <w:sz w:val="20"/>
          <w:szCs w:val="20"/>
        </w:rPr>
        <w:t xml:space="preserve">Any development and works undertaken is consistent with the </w:t>
      </w:r>
      <w:r w:rsidRPr="009B7B35">
        <w:rPr>
          <w:rFonts w:ascii="Arial" w:hAnsi="Arial" w:cs="Arial"/>
          <w:i/>
          <w:sz w:val="20"/>
          <w:szCs w:val="20"/>
        </w:rPr>
        <w:t>Australia ICOMOS Burra Charter, 2013</w:t>
      </w:r>
      <w:r w:rsidRPr="009B7B35">
        <w:rPr>
          <w:rFonts w:ascii="Arial" w:hAnsi="Arial" w:cs="Arial"/>
          <w:sz w:val="20"/>
          <w:szCs w:val="20"/>
        </w:rPr>
        <w:t>.</w:t>
      </w:r>
    </w:p>
    <w:p w14:paraId="741B5612" w14:textId="77777777" w:rsidR="00BE36FB" w:rsidRPr="009B7B35" w:rsidRDefault="00BE36FB" w:rsidP="00BE36FB">
      <w:pPr>
        <w:numPr>
          <w:ilvl w:val="0"/>
          <w:numId w:val="626"/>
        </w:numPr>
        <w:rPr>
          <w:rFonts w:ascii="Arial" w:hAnsi="Arial" w:cs="Arial"/>
          <w:sz w:val="20"/>
          <w:szCs w:val="20"/>
        </w:rPr>
      </w:pPr>
      <w:r w:rsidRPr="009B7B35">
        <w:rPr>
          <w:rFonts w:ascii="Arial" w:hAnsi="Arial" w:cs="Arial"/>
          <w:sz w:val="20"/>
          <w:szCs w:val="20"/>
        </w:rPr>
        <w:t>The purpose of the code will be achieved through the following overall outcomes:</w:t>
      </w:r>
    </w:p>
    <w:p w14:paraId="57C1DF48" w14:textId="77777777" w:rsidR="00BE36FB" w:rsidRPr="009B7B35" w:rsidRDefault="00BE36FB" w:rsidP="00BE36FB">
      <w:pPr>
        <w:numPr>
          <w:ilvl w:val="1"/>
          <w:numId w:val="626"/>
        </w:numPr>
        <w:rPr>
          <w:rFonts w:ascii="Arial" w:hAnsi="Arial" w:cs="Arial"/>
          <w:sz w:val="20"/>
          <w:szCs w:val="20"/>
        </w:rPr>
      </w:pPr>
      <w:r w:rsidRPr="009B7B35">
        <w:rPr>
          <w:rFonts w:ascii="Arial" w:hAnsi="Arial" w:cs="Arial"/>
          <w:sz w:val="20"/>
          <w:szCs w:val="20"/>
        </w:rPr>
        <w:t>The cultural heritage significance of the Gladstone region’s local heritage places is maintained and protected.</w:t>
      </w:r>
    </w:p>
    <w:p w14:paraId="439FB8FA" w14:textId="77777777" w:rsidR="00BE36FB" w:rsidRPr="009B7B35" w:rsidRDefault="00BE36FB" w:rsidP="00BE36FB">
      <w:pPr>
        <w:numPr>
          <w:ilvl w:val="1"/>
          <w:numId w:val="626"/>
        </w:numPr>
        <w:rPr>
          <w:rFonts w:ascii="Arial" w:hAnsi="Arial" w:cs="Arial"/>
          <w:sz w:val="20"/>
          <w:szCs w:val="20"/>
        </w:rPr>
      </w:pPr>
      <w:r w:rsidRPr="009B7B35">
        <w:rPr>
          <w:rFonts w:ascii="Arial" w:hAnsi="Arial" w:cs="Arial"/>
          <w:sz w:val="20"/>
          <w:szCs w:val="20"/>
        </w:rPr>
        <w:t>Local heritage places are protected from inappropriate removal and demolition unless there is no adverse impact on the heritage significance of that place or there is an unacceptable human safety risk.</w:t>
      </w:r>
    </w:p>
    <w:p w14:paraId="61883745" w14:textId="77777777" w:rsidR="00BE36FB" w:rsidRPr="009B7B35" w:rsidRDefault="00BE36FB" w:rsidP="00BE36FB">
      <w:pPr>
        <w:numPr>
          <w:ilvl w:val="1"/>
          <w:numId w:val="626"/>
        </w:numPr>
        <w:rPr>
          <w:rFonts w:ascii="Arial" w:hAnsi="Arial" w:cs="Arial"/>
          <w:sz w:val="20"/>
          <w:szCs w:val="20"/>
        </w:rPr>
      </w:pPr>
      <w:r w:rsidRPr="009B7B35">
        <w:rPr>
          <w:rFonts w:ascii="Arial" w:hAnsi="Arial" w:cs="Arial"/>
          <w:sz w:val="20"/>
          <w:szCs w:val="20"/>
        </w:rPr>
        <w:t>Archaeological features and artefacts are identified and appropriately managed.</w:t>
      </w:r>
    </w:p>
    <w:p w14:paraId="41BD33D9" w14:textId="77777777" w:rsidR="00BE36FB" w:rsidRPr="009B7B35" w:rsidRDefault="00BE36FB" w:rsidP="00BE36FB">
      <w:pPr>
        <w:numPr>
          <w:ilvl w:val="1"/>
          <w:numId w:val="626"/>
        </w:numPr>
        <w:rPr>
          <w:rFonts w:ascii="Arial" w:hAnsi="Arial" w:cs="Arial"/>
          <w:sz w:val="20"/>
          <w:szCs w:val="20"/>
        </w:rPr>
      </w:pPr>
      <w:r w:rsidRPr="009B7B35">
        <w:rPr>
          <w:rFonts w:ascii="Arial" w:hAnsi="Arial" w:cs="Arial"/>
          <w:sz w:val="20"/>
          <w:szCs w:val="20"/>
        </w:rPr>
        <w:t>Development within or adjoining a local heritage place is visually subservient to the heritage place and does not impact on its cultural heritage significance.</w:t>
      </w:r>
    </w:p>
    <w:p w14:paraId="127AE73F" w14:textId="77777777" w:rsidR="00BE36FB" w:rsidRPr="009B7B35" w:rsidRDefault="00BE36FB" w:rsidP="001A7107">
      <w:pPr>
        <w:pStyle w:val="Notes"/>
        <w:rPr>
          <w:rFonts w:cs="Arial"/>
          <w:sz w:val="20"/>
          <w:szCs w:val="20"/>
        </w:rPr>
      </w:pPr>
      <w:r w:rsidRPr="009B7B35">
        <w:rPr>
          <w:rFonts w:cs="Arial"/>
          <w:sz w:val="20"/>
          <w:szCs w:val="20"/>
        </w:rPr>
        <w:t xml:space="preserve">Note—The </w:t>
      </w:r>
      <w:r w:rsidRPr="009B7B35">
        <w:rPr>
          <w:rStyle w:val="StyleNotesItalic2"/>
          <w:rFonts w:cs="Arial"/>
          <w:sz w:val="20"/>
        </w:rPr>
        <w:t>Heritage planning scheme policy</w:t>
      </w:r>
      <w:r w:rsidRPr="009B7B35">
        <w:rPr>
          <w:rFonts w:cs="Arial"/>
          <w:sz w:val="20"/>
          <w:szCs w:val="20"/>
        </w:rPr>
        <w:t xml:space="preserve"> provides further guidance in meeting the requirements of this code. This includes preparing a:</w:t>
      </w:r>
    </w:p>
    <w:p w14:paraId="10062672" w14:textId="77777777" w:rsidR="00BE36FB" w:rsidRPr="009B7B35" w:rsidRDefault="00BE36FB" w:rsidP="001A7107">
      <w:pPr>
        <w:pStyle w:val="Notesbullet"/>
        <w:rPr>
          <w:rFonts w:cs="Arial"/>
          <w:sz w:val="20"/>
          <w:szCs w:val="20"/>
        </w:rPr>
      </w:pPr>
      <w:r w:rsidRPr="009B7B35">
        <w:rPr>
          <w:rFonts w:cs="Arial"/>
          <w:sz w:val="20"/>
          <w:szCs w:val="20"/>
        </w:rPr>
        <w:t>Statement of Impact for development and works within or adjoining a heritage place</w:t>
      </w:r>
    </w:p>
    <w:p w14:paraId="56FD8CA0" w14:textId="77777777" w:rsidR="00BE36FB" w:rsidRPr="009B7B35" w:rsidRDefault="00BE36FB" w:rsidP="001A7107">
      <w:pPr>
        <w:pStyle w:val="Notesbullet"/>
        <w:rPr>
          <w:rFonts w:cs="Arial"/>
          <w:sz w:val="20"/>
          <w:szCs w:val="20"/>
        </w:rPr>
      </w:pPr>
      <w:r w:rsidRPr="009B7B35">
        <w:rPr>
          <w:rFonts w:cs="Arial"/>
          <w:sz w:val="20"/>
          <w:szCs w:val="20"/>
        </w:rPr>
        <w:t>Heritage Management Plan for development and works within a heritage place</w:t>
      </w:r>
    </w:p>
    <w:p w14:paraId="5808AC37" w14:textId="77777777" w:rsidR="00BE36FB" w:rsidRPr="009B7B35" w:rsidRDefault="00BE36FB" w:rsidP="001A7107">
      <w:pPr>
        <w:pStyle w:val="Notesbullet"/>
        <w:rPr>
          <w:rFonts w:cs="Arial"/>
          <w:sz w:val="20"/>
          <w:szCs w:val="20"/>
        </w:rPr>
      </w:pPr>
      <w:r w:rsidRPr="009B7B35">
        <w:rPr>
          <w:rFonts w:cs="Arial"/>
          <w:sz w:val="20"/>
          <w:szCs w:val="20"/>
        </w:rPr>
        <w:t>Archaeological Management Plan for development and works within a heritage place where known or potential archaeological deposits exist.</w:t>
      </w:r>
    </w:p>
    <w:p w14:paraId="5FC3AEDE" w14:textId="77777777" w:rsidR="00BE36FB" w:rsidRPr="009B7B35" w:rsidRDefault="00BE36FB" w:rsidP="001A7107">
      <w:pPr>
        <w:pStyle w:val="Notes"/>
        <w:rPr>
          <w:rFonts w:cs="Arial"/>
          <w:sz w:val="20"/>
          <w:szCs w:val="20"/>
        </w:rPr>
      </w:pPr>
      <w:r w:rsidRPr="009B7B35">
        <w:rPr>
          <w:rFonts w:eastAsiaTheme="majorEastAsia" w:cs="Arial"/>
          <w:sz w:val="20"/>
          <w:szCs w:val="20"/>
        </w:rPr>
        <w:t>Note—</w:t>
      </w:r>
      <w:r w:rsidRPr="009B7B35">
        <w:rPr>
          <w:rFonts w:cs="Arial"/>
          <w:sz w:val="20"/>
          <w:szCs w:val="20"/>
        </w:rPr>
        <w:t xml:space="preserve">Council's process for adding or removing a place for the local heritage register is stated in the </w:t>
      </w:r>
      <w:r w:rsidRPr="009B7B35">
        <w:rPr>
          <w:rStyle w:val="StyleNotesItalic2"/>
          <w:rFonts w:cs="Arial"/>
          <w:sz w:val="20"/>
        </w:rPr>
        <w:t>Heritage planning scheme policy</w:t>
      </w:r>
      <w:r w:rsidRPr="009B7B35">
        <w:rPr>
          <w:rFonts w:cs="Arial"/>
          <w:sz w:val="20"/>
          <w:szCs w:val="20"/>
        </w:rPr>
        <w:t>.</w:t>
      </w:r>
    </w:p>
    <w:p w14:paraId="71186246"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Assessment benchmarks</w:t>
      </w:r>
    </w:p>
    <w:p w14:paraId="4F7EF949" w14:textId="77777777" w:rsidR="00BE36FB" w:rsidRPr="009B7B35" w:rsidRDefault="00BE36FB" w:rsidP="001A7107">
      <w:pPr>
        <w:pStyle w:val="Heading5"/>
        <w:numPr>
          <w:ilvl w:val="0"/>
          <w:numId w:val="0"/>
        </w:numPr>
        <w:rPr>
          <w:rFonts w:cs="Arial"/>
          <w:szCs w:val="20"/>
        </w:rPr>
      </w:pPr>
      <w:r w:rsidRPr="009B7B35">
        <w:rPr>
          <w:rFonts w:cs="Arial"/>
          <w:szCs w:val="20"/>
        </w:rPr>
        <w:t>Table 8.2.9.3.1—Assessable development</w:t>
      </w:r>
    </w:p>
    <w:tbl>
      <w:tblPr>
        <w:tblStyle w:val="Tablestyle"/>
        <w:tblW w:w="0" w:type="auto"/>
        <w:tblLook w:val="0620" w:firstRow="1" w:lastRow="0" w:firstColumn="0" w:lastColumn="0" w:noHBand="1" w:noVBand="1"/>
      </w:tblPr>
      <w:tblGrid>
        <w:gridCol w:w="4219"/>
        <w:gridCol w:w="4144"/>
      </w:tblGrid>
      <w:tr w:rsidR="00BE36FB" w:rsidRPr="009B7B35" w14:paraId="6577336C" w14:textId="77777777" w:rsidTr="001A7107">
        <w:trPr>
          <w:cnfStyle w:val="100000000000" w:firstRow="1" w:lastRow="0" w:firstColumn="0" w:lastColumn="0" w:oddVBand="0" w:evenVBand="0" w:oddHBand="0" w:evenHBand="0" w:firstRowFirstColumn="0" w:firstRowLastColumn="0" w:lastRowFirstColumn="0" w:lastRowLastColumn="0"/>
          <w:cantSplit/>
          <w:trHeight w:val="20"/>
          <w:tblHeader/>
        </w:trPr>
        <w:tc>
          <w:tcPr>
            <w:tcW w:w="4678" w:type="dxa"/>
          </w:tcPr>
          <w:p w14:paraId="552E480D" w14:textId="77777777" w:rsidR="00BE36FB" w:rsidRPr="009B7B35" w:rsidRDefault="00BE36FB" w:rsidP="001A7107">
            <w:pPr>
              <w:pStyle w:val="TableText"/>
              <w:rPr>
                <w:rFonts w:cs="Arial"/>
              </w:rPr>
            </w:pPr>
            <w:r w:rsidRPr="009B7B35">
              <w:rPr>
                <w:rFonts w:cs="Arial"/>
              </w:rPr>
              <w:t>Performance outcomes</w:t>
            </w:r>
          </w:p>
        </w:tc>
        <w:tc>
          <w:tcPr>
            <w:tcW w:w="4678" w:type="dxa"/>
          </w:tcPr>
          <w:p w14:paraId="6B8EEF17" w14:textId="77777777" w:rsidR="00BE36FB" w:rsidRPr="009B7B35" w:rsidRDefault="00BE36FB" w:rsidP="001A7107">
            <w:pPr>
              <w:pStyle w:val="TableText"/>
              <w:rPr>
                <w:rFonts w:cs="Arial"/>
              </w:rPr>
            </w:pPr>
            <w:r w:rsidRPr="009B7B35">
              <w:rPr>
                <w:rFonts w:cs="Arial"/>
              </w:rPr>
              <w:t>Acceptable outcomes</w:t>
            </w:r>
          </w:p>
        </w:tc>
      </w:tr>
      <w:tr w:rsidR="00BE36FB" w:rsidRPr="009B7B35" w14:paraId="00F8837C" w14:textId="77777777" w:rsidTr="001A7107">
        <w:trPr>
          <w:cantSplit/>
          <w:trHeight w:val="20"/>
        </w:trPr>
        <w:tc>
          <w:tcPr>
            <w:tcW w:w="9356" w:type="dxa"/>
            <w:gridSpan w:val="2"/>
            <w:shd w:val="clear" w:color="auto" w:fill="BFBFBF" w:themeFill="background1" w:themeFillShade="BF"/>
          </w:tcPr>
          <w:p w14:paraId="28FCAFFF" w14:textId="77777777" w:rsidR="00BE36FB" w:rsidRPr="009B7B35" w:rsidRDefault="00BE36FB" w:rsidP="001A7107">
            <w:pPr>
              <w:pStyle w:val="Tableheading"/>
              <w:rPr>
                <w:rFonts w:ascii="Arial" w:hAnsi="Arial" w:cs="Arial"/>
                <w:szCs w:val="20"/>
              </w:rPr>
            </w:pPr>
            <w:r w:rsidRPr="009B7B35">
              <w:rPr>
                <w:rFonts w:ascii="Arial" w:hAnsi="Arial" w:cs="Arial"/>
                <w:szCs w:val="20"/>
              </w:rPr>
              <w:t>Demolition or removal if within a local heritage place</w:t>
            </w:r>
          </w:p>
        </w:tc>
      </w:tr>
      <w:tr w:rsidR="00BE36FB" w:rsidRPr="009B7B35" w14:paraId="11ED352B" w14:textId="77777777" w:rsidTr="001A7107">
        <w:trPr>
          <w:trHeight w:val="20"/>
        </w:trPr>
        <w:tc>
          <w:tcPr>
            <w:tcW w:w="4678" w:type="dxa"/>
          </w:tcPr>
          <w:p w14:paraId="58D8E837" w14:textId="77777777" w:rsidR="00BE36FB" w:rsidRPr="009B7B35" w:rsidRDefault="00BE36FB" w:rsidP="001A7107">
            <w:pPr>
              <w:pStyle w:val="TableText"/>
              <w:rPr>
                <w:rFonts w:cs="Arial"/>
                <w:b/>
              </w:rPr>
            </w:pPr>
            <w:r w:rsidRPr="009B7B35">
              <w:rPr>
                <w:rFonts w:cs="Arial"/>
                <w:b/>
              </w:rPr>
              <w:t>PO1</w:t>
            </w:r>
          </w:p>
          <w:p w14:paraId="14515A5B" w14:textId="77777777" w:rsidR="00BE36FB" w:rsidRPr="009B7B35" w:rsidRDefault="00BE36FB" w:rsidP="001A7107">
            <w:pPr>
              <w:pStyle w:val="TableText"/>
              <w:rPr>
                <w:rFonts w:cs="Arial"/>
              </w:rPr>
            </w:pPr>
            <w:r w:rsidRPr="009B7B35">
              <w:rPr>
                <w:rFonts w:cs="Arial"/>
              </w:rPr>
              <w:t>Any demolition must:</w:t>
            </w:r>
          </w:p>
          <w:p w14:paraId="100401DE" w14:textId="77777777" w:rsidR="00BE36FB" w:rsidRPr="009B7B35" w:rsidRDefault="00BE36FB" w:rsidP="00BE36FB">
            <w:pPr>
              <w:pStyle w:val="TableText"/>
              <w:numPr>
                <w:ilvl w:val="0"/>
                <w:numId w:val="627"/>
              </w:numPr>
              <w:rPr>
                <w:rFonts w:cs="Arial"/>
              </w:rPr>
            </w:pPr>
            <w:r w:rsidRPr="009B7B35">
              <w:rPr>
                <w:rFonts w:cs="Arial"/>
              </w:rPr>
              <w:t>not result in the loss of the cultural heritage significance of the local heritage place, or</w:t>
            </w:r>
          </w:p>
          <w:p w14:paraId="04C86CF5" w14:textId="77777777" w:rsidR="00BE36FB" w:rsidRPr="009B7B35" w:rsidRDefault="00BE36FB" w:rsidP="00BE36FB">
            <w:pPr>
              <w:pStyle w:val="TableText"/>
              <w:numPr>
                <w:ilvl w:val="0"/>
                <w:numId w:val="627"/>
              </w:numPr>
              <w:rPr>
                <w:rFonts w:cs="Arial"/>
              </w:rPr>
            </w:pPr>
            <w:r w:rsidRPr="009B7B35">
              <w:rPr>
                <w:rFonts w:cs="Arial"/>
              </w:rPr>
              <w:t>demonstrate the building or structure to be demolished is not capable of structural repair and represents a safety hazard, or</w:t>
            </w:r>
          </w:p>
          <w:p w14:paraId="1808952D" w14:textId="77777777" w:rsidR="00BE36FB" w:rsidRPr="009B7B35" w:rsidRDefault="00BE36FB" w:rsidP="00BE36FB">
            <w:pPr>
              <w:pStyle w:val="TableText"/>
              <w:numPr>
                <w:ilvl w:val="0"/>
                <w:numId w:val="627"/>
              </w:numPr>
              <w:rPr>
                <w:rFonts w:cs="Arial"/>
              </w:rPr>
            </w:pPr>
            <w:r w:rsidRPr="009B7B35">
              <w:rPr>
                <w:rFonts w:cs="Arial"/>
              </w:rPr>
              <w:t>ensure that part of the local heritage place is not of cultural heritage significance.</w:t>
            </w:r>
          </w:p>
          <w:p w14:paraId="1C4F8C3B" w14:textId="77777777" w:rsidR="00BE36FB" w:rsidRPr="009B7B35" w:rsidRDefault="00BE36FB" w:rsidP="001A7107">
            <w:pPr>
              <w:pStyle w:val="Notes"/>
              <w:rPr>
                <w:rFonts w:cs="Arial"/>
                <w:sz w:val="20"/>
                <w:szCs w:val="20"/>
              </w:rPr>
            </w:pPr>
            <w:r w:rsidRPr="009B7B35">
              <w:rPr>
                <w:rFonts w:cs="Arial"/>
                <w:sz w:val="20"/>
                <w:szCs w:val="20"/>
              </w:rPr>
              <w:t xml:space="preserve">Note—The </w:t>
            </w:r>
            <w:r w:rsidRPr="009B7B35">
              <w:rPr>
                <w:rStyle w:val="StyleNotesItalic2"/>
                <w:rFonts w:cs="Arial"/>
                <w:sz w:val="20"/>
              </w:rPr>
              <w:t>Heritage planning scheme policy</w:t>
            </w:r>
            <w:r w:rsidRPr="009B7B35">
              <w:rPr>
                <w:rFonts w:cs="Arial"/>
                <w:sz w:val="20"/>
                <w:szCs w:val="20"/>
              </w:rPr>
              <w:t xml:space="preserve"> provides guidance on the preparation of a Heritage Impact Statement and structural condition report in responding to this performance outcome.</w:t>
            </w:r>
          </w:p>
        </w:tc>
        <w:tc>
          <w:tcPr>
            <w:tcW w:w="4678" w:type="dxa"/>
          </w:tcPr>
          <w:p w14:paraId="32C385B5" w14:textId="77777777" w:rsidR="00BE36FB" w:rsidRPr="009B7B35" w:rsidRDefault="00BE36FB" w:rsidP="001A7107">
            <w:pPr>
              <w:pStyle w:val="TableText"/>
              <w:rPr>
                <w:rFonts w:cs="Arial"/>
              </w:rPr>
            </w:pPr>
            <w:r w:rsidRPr="009B7B35">
              <w:rPr>
                <w:rFonts w:cs="Arial"/>
              </w:rPr>
              <w:t xml:space="preserve">No acceptable outcome is nominated. </w:t>
            </w:r>
          </w:p>
        </w:tc>
      </w:tr>
      <w:tr w:rsidR="00BE36FB" w:rsidRPr="009B7B35" w14:paraId="05F4097E" w14:textId="77777777" w:rsidTr="001A7107">
        <w:trPr>
          <w:trHeight w:val="20"/>
        </w:trPr>
        <w:tc>
          <w:tcPr>
            <w:tcW w:w="9356" w:type="dxa"/>
            <w:gridSpan w:val="2"/>
            <w:shd w:val="clear" w:color="auto" w:fill="BFBFBF" w:themeFill="background1" w:themeFillShade="BF"/>
          </w:tcPr>
          <w:p w14:paraId="541D5FE0"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Development if within a local heritage place </w:t>
            </w:r>
          </w:p>
        </w:tc>
      </w:tr>
      <w:tr w:rsidR="00BE36FB" w:rsidRPr="009B7B35" w14:paraId="432F6DC2" w14:textId="77777777" w:rsidTr="001A7107">
        <w:trPr>
          <w:trHeight w:val="20"/>
        </w:trPr>
        <w:tc>
          <w:tcPr>
            <w:tcW w:w="4678" w:type="dxa"/>
          </w:tcPr>
          <w:p w14:paraId="7E1CD693" w14:textId="77777777" w:rsidR="00BE36FB" w:rsidRPr="009B7B35" w:rsidRDefault="00BE36FB" w:rsidP="001A7107">
            <w:pPr>
              <w:pStyle w:val="TableText"/>
              <w:rPr>
                <w:rFonts w:cs="Arial"/>
                <w:b/>
              </w:rPr>
            </w:pPr>
            <w:r w:rsidRPr="009B7B35">
              <w:rPr>
                <w:rFonts w:cs="Arial"/>
                <w:b/>
              </w:rPr>
              <w:t>PO2</w:t>
            </w:r>
          </w:p>
          <w:p w14:paraId="3360C143" w14:textId="77777777" w:rsidR="00BE36FB" w:rsidRPr="009B7B35" w:rsidRDefault="00BE36FB" w:rsidP="001A7107">
            <w:pPr>
              <w:pStyle w:val="TableText"/>
              <w:rPr>
                <w:rFonts w:cs="Arial"/>
              </w:rPr>
            </w:pPr>
            <w:r w:rsidRPr="009B7B35">
              <w:rPr>
                <w:rFonts w:cs="Arial"/>
              </w:rPr>
              <w:t>Development is compatible with the conservation and management of the cultural heritage significance of the local heritage place.</w:t>
            </w:r>
          </w:p>
          <w:p w14:paraId="21E2E48F" w14:textId="77777777" w:rsidR="00BE36FB" w:rsidRPr="009B7B35" w:rsidRDefault="00BE36FB" w:rsidP="001A7107">
            <w:pPr>
              <w:pStyle w:val="Notes"/>
              <w:rPr>
                <w:rFonts w:cs="Arial"/>
                <w:sz w:val="20"/>
                <w:szCs w:val="20"/>
              </w:rPr>
            </w:pPr>
            <w:r w:rsidRPr="009B7B35">
              <w:rPr>
                <w:rFonts w:cs="Arial"/>
                <w:sz w:val="20"/>
                <w:szCs w:val="20"/>
              </w:rPr>
              <w:t xml:space="preserve">Note—Development follows the principles of the </w:t>
            </w:r>
            <w:r w:rsidRPr="009B7B35">
              <w:rPr>
                <w:rStyle w:val="StyleNotesItalic2"/>
                <w:rFonts w:cs="Arial"/>
                <w:sz w:val="20"/>
              </w:rPr>
              <w:t>Burra Charter</w:t>
            </w:r>
            <w:r w:rsidRPr="009B7B35">
              <w:rPr>
                <w:rFonts w:cs="Arial"/>
                <w:sz w:val="20"/>
                <w:szCs w:val="20"/>
              </w:rPr>
              <w:t xml:space="preserve">. The </w:t>
            </w:r>
            <w:r w:rsidRPr="009B7B35">
              <w:rPr>
                <w:rStyle w:val="StyleNotesItalic2"/>
                <w:rFonts w:cs="Arial"/>
                <w:sz w:val="20"/>
              </w:rPr>
              <w:t>Heritage planning scheme policy</w:t>
            </w:r>
            <w:r w:rsidRPr="009B7B35">
              <w:rPr>
                <w:rFonts w:cs="Arial"/>
                <w:sz w:val="20"/>
                <w:szCs w:val="20"/>
              </w:rPr>
              <w:t xml:space="preserve"> provides guidance on preparing a Statement of Impact, Heritage Management Plan and other information necessary to demonstrate satisfaction of this performance outcome.</w:t>
            </w:r>
          </w:p>
        </w:tc>
        <w:tc>
          <w:tcPr>
            <w:tcW w:w="4678" w:type="dxa"/>
          </w:tcPr>
          <w:p w14:paraId="186704CA"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1AAB1CE" w14:textId="77777777" w:rsidTr="001A7107">
        <w:trPr>
          <w:trHeight w:val="20"/>
        </w:trPr>
        <w:tc>
          <w:tcPr>
            <w:tcW w:w="4678" w:type="dxa"/>
          </w:tcPr>
          <w:p w14:paraId="0D92840C" w14:textId="77777777" w:rsidR="00BE36FB" w:rsidRPr="009B7B35" w:rsidRDefault="00BE36FB" w:rsidP="001A7107">
            <w:pPr>
              <w:pStyle w:val="TableText"/>
              <w:rPr>
                <w:rFonts w:cs="Arial"/>
                <w:b/>
              </w:rPr>
            </w:pPr>
            <w:r w:rsidRPr="009B7B35">
              <w:rPr>
                <w:rFonts w:cs="Arial"/>
                <w:b/>
              </w:rPr>
              <w:t>PO3</w:t>
            </w:r>
          </w:p>
          <w:p w14:paraId="48E0684C" w14:textId="77777777" w:rsidR="00BE36FB" w:rsidRPr="009B7B35" w:rsidRDefault="00BE36FB" w:rsidP="001A7107">
            <w:pPr>
              <w:pStyle w:val="TableText"/>
              <w:rPr>
                <w:rFonts w:cs="Arial"/>
              </w:rPr>
            </w:pPr>
            <w:r w:rsidRPr="009B7B35">
              <w:rPr>
                <w:rFonts w:cs="Arial"/>
              </w:rPr>
              <w:t>Development does not adversely affect the heritage significance of the local heritage place and is compatible with its heritage values including:</w:t>
            </w:r>
          </w:p>
          <w:p w14:paraId="640DFE54" w14:textId="77777777" w:rsidR="00BE36FB" w:rsidRPr="009B7B35" w:rsidRDefault="00BE36FB" w:rsidP="00BE36FB">
            <w:pPr>
              <w:pStyle w:val="TableText"/>
              <w:numPr>
                <w:ilvl w:val="0"/>
                <w:numId w:val="628"/>
              </w:numPr>
              <w:rPr>
                <w:rFonts w:cs="Arial"/>
              </w:rPr>
            </w:pPr>
            <w:r w:rsidRPr="009B7B35">
              <w:rPr>
                <w:rFonts w:cs="Arial"/>
              </w:rPr>
              <w:t>maintaining views to and from the place where significant</w:t>
            </w:r>
          </w:p>
          <w:p w14:paraId="07E2CABD" w14:textId="77777777" w:rsidR="00BE36FB" w:rsidRPr="009B7B35" w:rsidRDefault="00BE36FB" w:rsidP="00BE36FB">
            <w:pPr>
              <w:pStyle w:val="TableText"/>
              <w:numPr>
                <w:ilvl w:val="0"/>
                <w:numId w:val="628"/>
              </w:numPr>
              <w:rPr>
                <w:rFonts w:cs="Arial"/>
              </w:rPr>
            </w:pPr>
            <w:r w:rsidRPr="009B7B35">
              <w:rPr>
                <w:rFonts w:cs="Arial"/>
              </w:rPr>
              <w:t>consistency with the character, setbacks, setting or appearance of the place</w:t>
            </w:r>
          </w:p>
          <w:p w14:paraId="22886F8E" w14:textId="77777777" w:rsidR="00BE36FB" w:rsidRPr="009B7B35" w:rsidRDefault="00BE36FB" w:rsidP="00BE36FB">
            <w:pPr>
              <w:pStyle w:val="TableText"/>
              <w:numPr>
                <w:ilvl w:val="0"/>
                <w:numId w:val="628"/>
              </w:numPr>
              <w:rPr>
                <w:rFonts w:cs="Arial"/>
              </w:rPr>
            </w:pPr>
            <w:r w:rsidRPr="009B7B35">
              <w:rPr>
                <w:rFonts w:cs="Arial"/>
              </w:rPr>
              <w:t xml:space="preserve">minimising overshadowing on to the place </w:t>
            </w:r>
          </w:p>
          <w:p w14:paraId="672C6B95" w14:textId="77777777" w:rsidR="00BE36FB" w:rsidRPr="009B7B35" w:rsidRDefault="00BE36FB" w:rsidP="00BE36FB">
            <w:pPr>
              <w:pStyle w:val="TableText"/>
              <w:numPr>
                <w:ilvl w:val="0"/>
                <w:numId w:val="628"/>
              </w:numPr>
              <w:rPr>
                <w:rFonts w:cs="Arial"/>
              </w:rPr>
            </w:pPr>
            <w:r w:rsidRPr="009B7B35">
              <w:rPr>
                <w:rFonts w:cs="Arial"/>
              </w:rPr>
              <w:t>avoiding altering, removing or concealing significant heritage features, and</w:t>
            </w:r>
          </w:p>
          <w:p w14:paraId="2E281A88" w14:textId="77777777" w:rsidR="00BE36FB" w:rsidRPr="009B7B35" w:rsidRDefault="00BE36FB" w:rsidP="00BE36FB">
            <w:pPr>
              <w:pStyle w:val="TableText"/>
              <w:numPr>
                <w:ilvl w:val="0"/>
                <w:numId w:val="628"/>
              </w:numPr>
              <w:rPr>
                <w:rFonts w:cs="Arial"/>
              </w:rPr>
            </w:pPr>
            <w:r w:rsidRPr="009B7B35">
              <w:rPr>
                <w:rFonts w:cs="Arial"/>
              </w:rPr>
              <w:t>consistency with open space and landscaping features.</w:t>
            </w:r>
          </w:p>
        </w:tc>
        <w:tc>
          <w:tcPr>
            <w:tcW w:w="4678" w:type="dxa"/>
          </w:tcPr>
          <w:p w14:paraId="538EA05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C0235E9" w14:textId="77777777" w:rsidTr="001A7107">
        <w:trPr>
          <w:trHeight w:val="20"/>
        </w:trPr>
        <w:tc>
          <w:tcPr>
            <w:tcW w:w="4678" w:type="dxa"/>
          </w:tcPr>
          <w:p w14:paraId="2C73F125" w14:textId="77777777" w:rsidR="00BE36FB" w:rsidRPr="009B7B35" w:rsidRDefault="00BE36FB" w:rsidP="001A7107">
            <w:pPr>
              <w:pStyle w:val="TableText"/>
              <w:rPr>
                <w:rFonts w:cs="Arial"/>
                <w:b/>
              </w:rPr>
            </w:pPr>
            <w:r w:rsidRPr="009B7B35">
              <w:rPr>
                <w:rFonts w:cs="Arial"/>
                <w:b/>
              </w:rPr>
              <w:t>PO4</w:t>
            </w:r>
          </w:p>
          <w:p w14:paraId="76F6F2F4" w14:textId="77777777" w:rsidR="00BE36FB" w:rsidRPr="009B7B35" w:rsidRDefault="00BE36FB" w:rsidP="001A7107">
            <w:pPr>
              <w:pStyle w:val="TableText"/>
              <w:rPr>
                <w:rFonts w:cs="Arial"/>
              </w:rPr>
            </w:pPr>
            <w:r w:rsidRPr="009B7B35">
              <w:rPr>
                <w:rFonts w:cs="Arial"/>
              </w:rPr>
              <w:t>Any reconfiguring a lot:</w:t>
            </w:r>
          </w:p>
          <w:p w14:paraId="7AD364A9" w14:textId="77777777" w:rsidR="00BE36FB" w:rsidRPr="009B7B35" w:rsidRDefault="00BE36FB" w:rsidP="00BE36FB">
            <w:pPr>
              <w:pStyle w:val="TableText"/>
              <w:numPr>
                <w:ilvl w:val="0"/>
                <w:numId w:val="629"/>
              </w:numPr>
              <w:rPr>
                <w:rFonts w:cs="Arial"/>
              </w:rPr>
            </w:pPr>
            <w:r w:rsidRPr="009B7B35">
              <w:rPr>
                <w:rFonts w:cs="Arial"/>
              </w:rPr>
              <w:t>does not diminish the cultural significance of the local heritage place including maintaining its historical context, landscape settings and consistency with the prevailing built environment</w:t>
            </w:r>
          </w:p>
          <w:p w14:paraId="1AC9A880" w14:textId="77777777" w:rsidR="00BE36FB" w:rsidRPr="009B7B35" w:rsidRDefault="00BE36FB" w:rsidP="00BE36FB">
            <w:pPr>
              <w:pStyle w:val="TableText"/>
              <w:numPr>
                <w:ilvl w:val="0"/>
                <w:numId w:val="629"/>
              </w:numPr>
              <w:rPr>
                <w:rFonts w:cs="Arial"/>
              </w:rPr>
            </w:pPr>
            <w:r w:rsidRPr="009B7B35">
              <w:rPr>
                <w:rFonts w:cs="Arial"/>
              </w:rPr>
              <w:t>reflects the pattern and layout of the original subdivision in the area, and</w:t>
            </w:r>
          </w:p>
          <w:p w14:paraId="4551E8C7" w14:textId="77777777" w:rsidR="00BE36FB" w:rsidRPr="009B7B35" w:rsidRDefault="00BE36FB" w:rsidP="00BE36FB">
            <w:pPr>
              <w:pStyle w:val="TableText"/>
              <w:numPr>
                <w:ilvl w:val="0"/>
                <w:numId w:val="629"/>
              </w:numPr>
              <w:rPr>
                <w:rFonts w:cs="Arial"/>
              </w:rPr>
            </w:pPr>
            <w:r w:rsidRPr="009B7B35">
              <w:rPr>
                <w:rFonts w:cs="Arial"/>
              </w:rPr>
              <w:t>does not reduce public access to the local heritage place.</w:t>
            </w:r>
          </w:p>
        </w:tc>
        <w:tc>
          <w:tcPr>
            <w:tcW w:w="4678" w:type="dxa"/>
          </w:tcPr>
          <w:p w14:paraId="725BEF8F"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F8D53C3" w14:textId="77777777" w:rsidTr="001A7107">
        <w:trPr>
          <w:cantSplit/>
          <w:trHeight w:val="20"/>
        </w:trPr>
        <w:tc>
          <w:tcPr>
            <w:tcW w:w="9356" w:type="dxa"/>
            <w:gridSpan w:val="2"/>
            <w:shd w:val="clear" w:color="auto" w:fill="BFBFBF" w:themeFill="background1" w:themeFillShade="BF"/>
          </w:tcPr>
          <w:p w14:paraId="0BDB1A51" w14:textId="77777777" w:rsidR="00BE36FB" w:rsidRPr="009B7B35" w:rsidRDefault="00BE36FB" w:rsidP="001A7107">
            <w:pPr>
              <w:pStyle w:val="Tableheading"/>
              <w:rPr>
                <w:rFonts w:ascii="Arial" w:hAnsi="Arial" w:cs="Arial"/>
                <w:szCs w:val="20"/>
              </w:rPr>
            </w:pPr>
            <w:r w:rsidRPr="009B7B35">
              <w:rPr>
                <w:rFonts w:ascii="Arial" w:hAnsi="Arial" w:cs="Arial"/>
                <w:szCs w:val="20"/>
              </w:rPr>
              <w:t>Carrying out building work, operational work or other works within a local heritage place</w:t>
            </w:r>
          </w:p>
        </w:tc>
      </w:tr>
      <w:tr w:rsidR="00BE36FB" w:rsidRPr="009B7B35" w14:paraId="58CDA61C" w14:textId="77777777" w:rsidTr="001A7107">
        <w:trPr>
          <w:cantSplit/>
          <w:trHeight w:val="20"/>
        </w:trPr>
        <w:tc>
          <w:tcPr>
            <w:tcW w:w="4678" w:type="dxa"/>
          </w:tcPr>
          <w:p w14:paraId="1BD364D7" w14:textId="77777777" w:rsidR="00BE36FB" w:rsidRPr="009B7B35" w:rsidRDefault="00BE36FB" w:rsidP="001A7107">
            <w:pPr>
              <w:pStyle w:val="TableText"/>
              <w:rPr>
                <w:rFonts w:cs="Arial"/>
                <w:b/>
              </w:rPr>
            </w:pPr>
            <w:r w:rsidRPr="009B7B35">
              <w:rPr>
                <w:rFonts w:cs="Arial"/>
                <w:b/>
              </w:rPr>
              <w:t>PO5</w:t>
            </w:r>
          </w:p>
          <w:p w14:paraId="17D04F78" w14:textId="77777777" w:rsidR="00BE36FB" w:rsidRPr="009B7B35" w:rsidRDefault="00BE36FB" w:rsidP="001A7107">
            <w:pPr>
              <w:pStyle w:val="TableText"/>
              <w:rPr>
                <w:rFonts w:cs="Arial"/>
              </w:rPr>
            </w:pPr>
            <w:r w:rsidRPr="009B7B35">
              <w:rPr>
                <w:rFonts w:cs="Arial"/>
              </w:rPr>
              <w:t>Building work incorporates design elements which are compatible with the values of the local heritage place in terms of:</w:t>
            </w:r>
          </w:p>
          <w:p w14:paraId="2D856D63" w14:textId="77777777" w:rsidR="00BE36FB" w:rsidRPr="009B7B35" w:rsidRDefault="00BE36FB" w:rsidP="00BE36FB">
            <w:pPr>
              <w:pStyle w:val="TableText"/>
              <w:numPr>
                <w:ilvl w:val="0"/>
                <w:numId w:val="697"/>
              </w:numPr>
              <w:ind w:left="510" w:hanging="510"/>
              <w:rPr>
                <w:rFonts w:cs="Arial"/>
              </w:rPr>
            </w:pPr>
            <w:r w:rsidRPr="009B7B35">
              <w:rPr>
                <w:rFonts w:cs="Arial"/>
              </w:rPr>
              <w:t>architectural features,</w:t>
            </w:r>
          </w:p>
          <w:p w14:paraId="72C22AAE" w14:textId="77777777" w:rsidR="00BE36FB" w:rsidRPr="009B7B35" w:rsidRDefault="00BE36FB" w:rsidP="00BE36FB">
            <w:pPr>
              <w:pStyle w:val="TableText"/>
              <w:numPr>
                <w:ilvl w:val="0"/>
                <w:numId w:val="697"/>
              </w:numPr>
              <w:ind w:left="510" w:hanging="510"/>
              <w:rPr>
                <w:rFonts w:cs="Arial"/>
              </w:rPr>
            </w:pPr>
            <w:r w:rsidRPr="009B7B35">
              <w:rPr>
                <w:rFonts w:cs="Arial"/>
              </w:rPr>
              <w:t>external materials, and</w:t>
            </w:r>
          </w:p>
          <w:p w14:paraId="1DEC4C80" w14:textId="77777777" w:rsidR="00BE36FB" w:rsidRPr="009B7B35" w:rsidRDefault="00BE36FB" w:rsidP="00BE36FB">
            <w:pPr>
              <w:pStyle w:val="TableText"/>
              <w:numPr>
                <w:ilvl w:val="0"/>
                <w:numId w:val="697"/>
              </w:numPr>
              <w:ind w:left="510" w:hanging="510"/>
              <w:rPr>
                <w:rFonts w:cs="Arial"/>
              </w:rPr>
            </w:pPr>
            <w:r w:rsidRPr="009B7B35">
              <w:rPr>
                <w:rFonts w:cs="Arial"/>
              </w:rPr>
              <w:t>finishes and colours.</w:t>
            </w:r>
          </w:p>
        </w:tc>
        <w:tc>
          <w:tcPr>
            <w:tcW w:w="4678" w:type="dxa"/>
          </w:tcPr>
          <w:p w14:paraId="0D3F8493"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7658368" w14:textId="77777777" w:rsidTr="001A7107">
        <w:trPr>
          <w:cantSplit/>
          <w:trHeight w:val="20"/>
        </w:trPr>
        <w:tc>
          <w:tcPr>
            <w:tcW w:w="4678" w:type="dxa"/>
          </w:tcPr>
          <w:p w14:paraId="646A6E8A" w14:textId="77777777" w:rsidR="00BE36FB" w:rsidRPr="009B7B35" w:rsidRDefault="00BE36FB" w:rsidP="001A7107">
            <w:pPr>
              <w:pStyle w:val="TableText"/>
              <w:rPr>
                <w:rFonts w:cs="Arial"/>
                <w:b/>
              </w:rPr>
            </w:pPr>
            <w:r w:rsidRPr="009B7B35">
              <w:rPr>
                <w:rFonts w:cs="Arial"/>
                <w:b/>
              </w:rPr>
              <w:t>PO6</w:t>
            </w:r>
          </w:p>
          <w:p w14:paraId="621F9353" w14:textId="77777777" w:rsidR="00BE36FB" w:rsidRPr="009B7B35" w:rsidRDefault="00BE36FB" w:rsidP="001A7107">
            <w:pPr>
              <w:pStyle w:val="TableText"/>
              <w:rPr>
                <w:rFonts w:cs="Arial"/>
              </w:rPr>
            </w:pPr>
            <w:r w:rsidRPr="009B7B35">
              <w:rPr>
                <w:rFonts w:cs="Arial"/>
              </w:rPr>
              <w:t>Excavation or other earthworks do not create an adverse impact on archaeological and heritage values of the local heritage place.</w:t>
            </w:r>
          </w:p>
          <w:p w14:paraId="7063C645" w14:textId="77777777" w:rsidR="00BE36FB" w:rsidRPr="009B7B35" w:rsidRDefault="00BE36FB" w:rsidP="001A7107">
            <w:pPr>
              <w:pStyle w:val="Notes"/>
              <w:rPr>
                <w:rFonts w:cs="Arial"/>
                <w:sz w:val="20"/>
                <w:szCs w:val="20"/>
              </w:rPr>
            </w:pPr>
            <w:r w:rsidRPr="009B7B35">
              <w:rPr>
                <w:rFonts w:cs="Arial"/>
                <w:sz w:val="20"/>
                <w:szCs w:val="20"/>
              </w:rPr>
              <w:t xml:space="preserve">Note—The </w:t>
            </w:r>
            <w:r w:rsidRPr="009B7B35">
              <w:rPr>
                <w:rStyle w:val="StyleNotesItalic2"/>
                <w:rFonts w:cs="Arial"/>
                <w:sz w:val="20"/>
              </w:rPr>
              <w:t>Heritage planning scheme policy</w:t>
            </w:r>
            <w:r w:rsidRPr="009B7B35">
              <w:rPr>
                <w:rFonts w:cs="Arial"/>
                <w:sz w:val="20"/>
                <w:szCs w:val="20"/>
              </w:rPr>
              <w:t xml:space="preserve"> provides guidance on responding to this performance outcome.</w:t>
            </w:r>
          </w:p>
        </w:tc>
        <w:tc>
          <w:tcPr>
            <w:tcW w:w="4678" w:type="dxa"/>
          </w:tcPr>
          <w:p w14:paraId="3EBA2D38"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542C191" w14:textId="77777777" w:rsidTr="001A7107">
        <w:trPr>
          <w:cantSplit/>
          <w:trHeight w:val="20"/>
        </w:trPr>
        <w:tc>
          <w:tcPr>
            <w:tcW w:w="4678" w:type="dxa"/>
          </w:tcPr>
          <w:p w14:paraId="5C6ED9E3" w14:textId="77777777" w:rsidR="00BE36FB" w:rsidRPr="009B7B35" w:rsidRDefault="00BE36FB" w:rsidP="001A7107">
            <w:pPr>
              <w:pStyle w:val="TableText"/>
              <w:rPr>
                <w:rFonts w:cs="Arial"/>
                <w:b/>
              </w:rPr>
            </w:pPr>
            <w:r w:rsidRPr="009B7B35">
              <w:rPr>
                <w:rFonts w:cs="Arial"/>
                <w:b/>
              </w:rPr>
              <w:t>PO7</w:t>
            </w:r>
          </w:p>
          <w:p w14:paraId="23A9C0A5" w14:textId="77777777" w:rsidR="00BE36FB" w:rsidRPr="009B7B35" w:rsidRDefault="00BE36FB" w:rsidP="001A7107">
            <w:pPr>
              <w:pStyle w:val="TableText"/>
              <w:rPr>
                <w:rFonts w:cs="Arial"/>
              </w:rPr>
            </w:pPr>
            <w:r w:rsidRPr="009B7B35">
              <w:rPr>
                <w:rFonts w:cs="Arial"/>
              </w:rPr>
              <w:t>Any new fencing, landscaping, access or car parking arrangements are designed and sited in a manner that:</w:t>
            </w:r>
          </w:p>
          <w:p w14:paraId="425031FD" w14:textId="77777777" w:rsidR="00BE36FB" w:rsidRPr="009B7B35" w:rsidRDefault="00BE36FB" w:rsidP="00BE36FB">
            <w:pPr>
              <w:pStyle w:val="TableText"/>
              <w:numPr>
                <w:ilvl w:val="0"/>
                <w:numId w:val="630"/>
              </w:numPr>
              <w:rPr>
                <w:rFonts w:cs="Arial"/>
              </w:rPr>
            </w:pPr>
            <w:r w:rsidRPr="009B7B35">
              <w:rPr>
                <w:rFonts w:cs="Arial"/>
              </w:rPr>
              <w:t>does not have a detrimental impact on the significant values or views of the place</w:t>
            </w:r>
          </w:p>
          <w:p w14:paraId="199A8BA8" w14:textId="77777777" w:rsidR="00BE36FB" w:rsidRPr="009B7B35" w:rsidRDefault="00BE36FB" w:rsidP="00BE36FB">
            <w:pPr>
              <w:pStyle w:val="TableText"/>
              <w:numPr>
                <w:ilvl w:val="0"/>
                <w:numId w:val="630"/>
              </w:numPr>
              <w:rPr>
                <w:rFonts w:cs="Arial"/>
              </w:rPr>
            </w:pPr>
            <w:r w:rsidRPr="009B7B35">
              <w:rPr>
                <w:rFonts w:cs="Arial"/>
              </w:rPr>
              <w:t>enhances the overall appearance of the local heritage place, and</w:t>
            </w:r>
          </w:p>
          <w:p w14:paraId="58EC7037" w14:textId="77777777" w:rsidR="00BE36FB" w:rsidRPr="009B7B35" w:rsidRDefault="00BE36FB" w:rsidP="00BE36FB">
            <w:pPr>
              <w:pStyle w:val="TableText"/>
              <w:numPr>
                <w:ilvl w:val="0"/>
                <w:numId w:val="630"/>
              </w:numPr>
              <w:rPr>
                <w:rFonts w:cs="Arial"/>
              </w:rPr>
            </w:pPr>
            <w:r w:rsidRPr="009B7B35">
              <w:rPr>
                <w:rFonts w:cs="Arial"/>
              </w:rPr>
              <w:t>is sensitive to materials, colours, scale, placement and layout of the place.</w:t>
            </w:r>
          </w:p>
        </w:tc>
        <w:tc>
          <w:tcPr>
            <w:tcW w:w="4678" w:type="dxa"/>
          </w:tcPr>
          <w:p w14:paraId="0199D310"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B173C9C" w14:textId="77777777" w:rsidTr="001A7107">
        <w:trPr>
          <w:cantSplit/>
          <w:trHeight w:val="20"/>
        </w:trPr>
        <w:tc>
          <w:tcPr>
            <w:tcW w:w="9356" w:type="dxa"/>
            <w:gridSpan w:val="2"/>
            <w:shd w:val="clear" w:color="auto" w:fill="BFBFBF" w:themeFill="background1" w:themeFillShade="BF"/>
          </w:tcPr>
          <w:p w14:paraId="6D08865B" w14:textId="77777777" w:rsidR="00BE36FB" w:rsidRPr="009B7B35" w:rsidRDefault="00BE36FB" w:rsidP="001A7107">
            <w:pPr>
              <w:pStyle w:val="Tableheading"/>
              <w:rPr>
                <w:rFonts w:ascii="Arial" w:hAnsi="Arial" w:cs="Arial"/>
                <w:szCs w:val="20"/>
              </w:rPr>
            </w:pPr>
            <w:r w:rsidRPr="009B7B35">
              <w:rPr>
                <w:rFonts w:ascii="Arial" w:hAnsi="Arial" w:cs="Arial"/>
                <w:szCs w:val="20"/>
              </w:rPr>
              <w:t>Archaeology</w:t>
            </w:r>
          </w:p>
        </w:tc>
      </w:tr>
      <w:tr w:rsidR="00BE36FB" w:rsidRPr="009B7B35" w14:paraId="66FA525F" w14:textId="77777777" w:rsidTr="001A7107">
        <w:trPr>
          <w:cantSplit/>
          <w:trHeight w:val="20"/>
        </w:trPr>
        <w:tc>
          <w:tcPr>
            <w:tcW w:w="4678" w:type="dxa"/>
          </w:tcPr>
          <w:p w14:paraId="457D2EAC" w14:textId="77777777" w:rsidR="00BE36FB" w:rsidRPr="009B7B35" w:rsidRDefault="00BE36FB" w:rsidP="001A7107">
            <w:pPr>
              <w:pStyle w:val="TableText"/>
              <w:rPr>
                <w:rFonts w:cs="Arial"/>
                <w:b/>
              </w:rPr>
            </w:pPr>
            <w:r w:rsidRPr="009B7B35">
              <w:rPr>
                <w:rFonts w:cs="Arial"/>
                <w:b/>
              </w:rPr>
              <w:t>PO8</w:t>
            </w:r>
          </w:p>
          <w:p w14:paraId="6E745C04" w14:textId="77777777" w:rsidR="00BE36FB" w:rsidRPr="009B7B35" w:rsidRDefault="00BE36FB" w:rsidP="001A7107">
            <w:pPr>
              <w:pStyle w:val="TableText"/>
              <w:rPr>
                <w:rFonts w:cs="Arial"/>
              </w:rPr>
            </w:pPr>
            <w:r w:rsidRPr="009B7B35">
              <w:rPr>
                <w:rFonts w:cs="Arial"/>
              </w:rPr>
              <w:t>Development does not adversely impact on known or potential archaeological deposits.</w:t>
            </w:r>
          </w:p>
          <w:p w14:paraId="00FAF600" w14:textId="77777777" w:rsidR="00BE36FB" w:rsidRPr="009B7B35" w:rsidRDefault="00BE36FB" w:rsidP="001A7107">
            <w:pPr>
              <w:pStyle w:val="Notes"/>
              <w:rPr>
                <w:rFonts w:cs="Arial"/>
                <w:sz w:val="20"/>
                <w:szCs w:val="20"/>
              </w:rPr>
            </w:pPr>
            <w:r w:rsidRPr="009B7B35">
              <w:rPr>
                <w:rFonts w:cs="Arial"/>
                <w:sz w:val="20"/>
                <w:szCs w:val="20"/>
              </w:rPr>
              <w:t xml:space="preserve">Note—The </w:t>
            </w:r>
            <w:r w:rsidRPr="009B7B35">
              <w:rPr>
                <w:rStyle w:val="StyleNotesItalic2"/>
                <w:rFonts w:cs="Arial"/>
                <w:sz w:val="20"/>
              </w:rPr>
              <w:t>Heritage planning scheme policy</w:t>
            </w:r>
            <w:r w:rsidRPr="009B7B35">
              <w:rPr>
                <w:rFonts w:cs="Arial"/>
                <w:sz w:val="20"/>
                <w:szCs w:val="20"/>
              </w:rPr>
              <w:t xml:space="preserve"> provides guidance on the preparation of an Archaeological Management Plan that is necessary to demonstrate satisfaction of this performance outcome.</w:t>
            </w:r>
          </w:p>
        </w:tc>
        <w:tc>
          <w:tcPr>
            <w:tcW w:w="4678" w:type="dxa"/>
          </w:tcPr>
          <w:p w14:paraId="36BC0AE2"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48B1D5A" w14:textId="77777777" w:rsidTr="001A7107">
        <w:trPr>
          <w:cantSplit/>
          <w:trHeight w:val="20"/>
        </w:trPr>
        <w:tc>
          <w:tcPr>
            <w:tcW w:w="9356" w:type="dxa"/>
            <w:gridSpan w:val="2"/>
            <w:shd w:val="clear" w:color="auto" w:fill="BFBFBF" w:themeFill="background1" w:themeFillShade="BF"/>
          </w:tcPr>
          <w:p w14:paraId="2C36FCC0" w14:textId="77777777" w:rsidR="00BE36FB" w:rsidRPr="009B7B35" w:rsidRDefault="00BE36FB" w:rsidP="001A7107">
            <w:pPr>
              <w:pStyle w:val="Tableheading"/>
              <w:rPr>
                <w:rFonts w:ascii="Arial" w:hAnsi="Arial" w:cs="Arial"/>
                <w:szCs w:val="20"/>
              </w:rPr>
            </w:pPr>
            <w:r w:rsidRPr="009B7B35">
              <w:rPr>
                <w:rFonts w:ascii="Arial" w:hAnsi="Arial" w:cs="Arial"/>
                <w:szCs w:val="20"/>
              </w:rPr>
              <w:t>General</w:t>
            </w:r>
          </w:p>
        </w:tc>
      </w:tr>
      <w:tr w:rsidR="00BE36FB" w:rsidRPr="009B7B35" w14:paraId="242DACD9" w14:textId="77777777" w:rsidTr="001A7107">
        <w:trPr>
          <w:trHeight w:val="20"/>
        </w:trPr>
        <w:tc>
          <w:tcPr>
            <w:tcW w:w="4678" w:type="dxa"/>
          </w:tcPr>
          <w:p w14:paraId="77F1EA19" w14:textId="77777777" w:rsidR="00BE36FB" w:rsidRPr="009B7B35" w:rsidRDefault="00BE36FB" w:rsidP="001A7107">
            <w:pPr>
              <w:pStyle w:val="TableText"/>
              <w:rPr>
                <w:rFonts w:cs="Arial"/>
                <w:b/>
              </w:rPr>
            </w:pPr>
            <w:r w:rsidRPr="009B7B35">
              <w:rPr>
                <w:rFonts w:cs="Arial"/>
                <w:b/>
              </w:rPr>
              <w:t>PO9</w:t>
            </w:r>
          </w:p>
          <w:p w14:paraId="16AEAA36" w14:textId="77777777" w:rsidR="00BE36FB" w:rsidRPr="009B7B35" w:rsidRDefault="00BE36FB" w:rsidP="001A7107">
            <w:pPr>
              <w:pStyle w:val="TableText"/>
              <w:rPr>
                <w:rFonts w:cs="Arial"/>
              </w:rPr>
            </w:pPr>
            <w:r w:rsidRPr="009B7B35">
              <w:rPr>
                <w:rFonts w:cs="Arial"/>
              </w:rPr>
              <w:t>Any changes as a result of development and associated works to a local heritage place are appropriately managed and documented.</w:t>
            </w:r>
          </w:p>
        </w:tc>
        <w:tc>
          <w:tcPr>
            <w:tcW w:w="4678" w:type="dxa"/>
          </w:tcPr>
          <w:p w14:paraId="45C48719" w14:textId="77777777" w:rsidR="00BE36FB" w:rsidRPr="009B7B35" w:rsidRDefault="00BE36FB" w:rsidP="001A7107">
            <w:pPr>
              <w:pStyle w:val="TableText"/>
              <w:rPr>
                <w:rFonts w:cs="Arial"/>
                <w:b/>
              </w:rPr>
            </w:pPr>
            <w:r w:rsidRPr="009B7B35">
              <w:rPr>
                <w:rFonts w:cs="Arial"/>
                <w:b/>
              </w:rPr>
              <w:t>AO9</w:t>
            </w:r>
          </w:p>
          <w:p w14:paraId="1F7FADBD" w14:textId="77777777" w:rsidR="00BE36FB" w:rsidRPr="009B7B35" w:rsidRDefault="00BE36FB" w:rsidP="001A7107">
            <w:pPr>
              <w:pStyle w:val="TableText"/>
              <w:rPr>
                <w:rFonts w:cs="Arial"/>
              </w:rPr>
            </w:pPr>
            <w:r w:rsidRPr="009B7B35">
              <w:rPr>
                <w:rFonts w:cs="Arial"/>
              </w:rPr>
              <w:t xml:space="preserve">Development is compatible with a conservation management plan prepared in accordance with the </w:t>
            </w:r>
            <w:r w:rsidRPr="009B7B35">
              <w:rPr>
                <w:rStyle w:val="StyleItalic"/>
                <w:rFonts w:cs="Arial"/>
              </w:rPr>
              <w:t>Burra Charter</w:t>
            </w:r>
            <w:r w:rsidRPr="009B7B35">
              <w:rPr>
                <w:rFonts w:cs="Arial"/>
              </w:rPr>
              <w:t>.</w:t>
            </w:r>
          </w:p>
          <w:p w14:paraId="0038F578" w14:textId="77777777" w:rsidR="00BE36FB" w:rsidRPr="009B7B35" w:rsidRDefault="00BE36FB" w:rsidP="001A7107">
            <w:pPr>
              <w:pStyle w:val="Notes"/>
              <w:rPr>
                <w:rFonts w:cs="Arial"/>
                <w:sz w:val="20"/>
                <w:szCs w:val="20"/>
              </w:rPr>
            </w:pPr>
            <w:r w:rsidRPr="009B7B35">
              <w:rPr>
                <w:rFonts w:cs="Arial"/>
                <w:sz w:val="20"/>
                <w:szCs w:val="20"/>
              </w:rPr>
              <w:t>Note—An archival quality photographic record is made of the features of the place that are impacted because of the development.</w:t>
            </w:r>
          </w:p>
        </w:tc>
      </w:tr>
      <w:tr w:rsidR="00BE36FB" w:rsidRPr="009B7B35" w14:paraId="2A4B5A19" w14:textId="77777777" w:rsidTr="001A7107">
        <w:trPr>
          <w:trHeight w:val="20"/>
        </w:trPr>
        <w:tc>
          <w:tcPr>
            <w:tcW w:w="9356" w:type="dxa"/>
            <w:gridSpan w:val="2"/>
            <w:shd w:val="clear" w:color="auto" w:fill="BFBFBF" w:themeFill="background1" w:themeFillShade="BF"/>
          </w:tcPr>
          <w:p w14:paraId="074CD9C7"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Development if adjoining a heritage place </w:t>
            </w:r>
          </w:p>
        </w:tc>
      </w:tr>
      <w:tr w:rsidR="00BE36FB" w:rsidRPr="009B7B35" w14:paraId="1F1D0870" w14:textId="77777777" w:rsidTr="001A7107">
        <w:trPr>
          <w:trHeight w:val="20"/>
        </w:trPr>
        <w:tc>
          <w:tcPr>
            <w:tcW w:w="4678" w:type="dxa"/>
          </w:tcPr>
          <w:p w14:paraId="27CC2A67" w14:textId="77777777" w:rsidR="00BE36FB" w:rsidRPr="009B7B35" w:rsidRDefault="00BE36FB" w:rsidP="001A7107">
            <w:pPr>
              <w:pStyle w:val="TableText"/>
              <w:rPr>
                <w:rFonts w:cs="Arial"/>
                <w:b/>
              </w:rPr>
            </w:pPr>
            <w:r w:rsidRPr="009B7B35">
              <w:rPr>
                <w:rFonts w:cs="Arial"/>
                <w:b/>
              </w:rPr>
              <w:t>PO10</w:t>
            </w:r>
          </w:p>
          <w:p w14:paraId="5E838988" w14:textId="77777777" w:rsidR="00BE36FB" w:rsidRPr="009B7B35" w:rsidRDefault="00BE36FB" w:rsidP="001A7107">
            <w:pPr>
              <w:pStyle w:val="TableText"/>
              <w:rPr>
                <w:rFonts w:cs="Arial"/>
              </w:rPr>
            </w:pPr>
            <w:r w:rsidRPr="009B7B35">
              <w:rPr>
                <w:rFonts w:cs="Arial"/>
              </w:rPr>
              <w:t>Development does not adversely affect the heritage significance of the adjoining local heritage place including:</w:t>
            </w:r>
          </w:p>
          <w:p w14:paraId="7740179F" w14:textId="77777777" w:rsidR="00BE36FB" w:rsidRPr="009B7B35" w:rsidRDefault="00BE36FB" w:rsidP="00BE36FB">
            <w:pPr>
              <w:pStyle w:val="TableText"/>
              <w:numPr>
                <w:ilvl w:val="0"/>
                <w:numId w:val="631"/>
              </w:numPr>
              <w:rPr>
                <w:rFonts w:cs="Arial"/>
              </w:rPr>
            </w:pPr>
            <w:r w:rsidRPr="009B7B35">
              <w:rPr>
                <w:rFonts w:cs="Arial"/>
              </w:rPr>
              <w:t xml:space="preserve">maintaining views to and from the heritage place where significant </w:t>
            </w:r>
          </w:p>
          <w:p w14:paraId="70D71A35" w14:textId="77777777" w:rsidR="00BE36FB" w:rsidRPr="009B7B35" w:rsidRDefault="00BE36FB" w:rsidP="00BE36FB">
            <w:pPr>
              <w:pStyle w:val="TableText"/>
              <w:numPr>
                <w:ilvl w:val="0"/>
                <w:numId w:val="631"/>
              </w:numPr>
              <w:rPr>
                <w:rFonts w:cs="Arial"/>
              </w:rPr>
            </w:pPr>
            <w:r w:rsidRPr="009B7B35">
              <w:rPr>
                <w:rFonts w:cs="Arial"/>
              </w:rPr>
              <w:t>consistency of built form, building materials, fencing and setbacks</w:t>
            </w:r>
          </w:p>
          <w:p w14:paraId="07154F61" w14:textId="77777777" w:rsidR="00BE36FB" w:rsidRPr="009B7B35" w:rsidRDefault="00BE36FB" w:rsidP="00BE36FB">
            <w:pPr>
              <w:pStyle w:val="TableText"/>
              <w:numPr>
                <w:ilvl w:val="0"/>
                <w:numId w:val="631"/>
              </w:numPr>
              <w:rPr>
                <w:rFonts w:cs="Arial"/>
              </w:rPr>
            </w:pPr>
            <w:r w:rsidRPr="009B7B35">
              <w:rPr>
                <w:rFonts w:cs="Arial"/>
              </w:rPr>
              <w:t>minimising for overshadowing on to the heritage place, and</w:t>
            </w:r>
          </w:p>
          <w:p w14:paraId="5792F3E9" w14:textId="77777777" w:rsidR="00BE36FB" w:rsidRPr="009B7B35" w:rsidRDefault="00BE36FB" w:rsidP="00BE36FB">
            <w:pPr>
              <w:pStyle w:val="TableText"/>
              <w:numPr>
                <w:ilvl w:val="0"/>
                <w:numId w:val="631"/>
              </w:numPr>
              <w:rPr>
                <w:rFonts w:cs="Arial"/>
              </w:rPr>
            </w:pPr>
            <w:r w:rsidRPr="009B7B35">
              <w:rPr>
                <w:rFonts w:cs="Arial"/>
              </w:rPr>
              <w:t>consistency with open space and landscaping features.</w:t>
            </w:r>
          </w:p>
        </w:tc>
        <w:tc>
          <w:tcPr>
            <w:tcW w:w="4678" w:type="dxa"/>
          </w:tcPr>
          <w:p w14:paraId="3BA409E9"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C63C3BA" w14:textId="77777777" w:rsidTr="001A7107">
        <w:trPr>
          <w:cantSplit/>
          <w:trHeight w:val="20"/>
        </w:trPr>
        <w:tc>
          <w:tcPr>
            <w:tcW w:w="4678" w:type="dxa"/>
          </w:tcPr>
          <w:p w14:paraId="37D96D88" w14:textId="77777777" w:rsidR="00BE36FB" w:rsidRPr="009B7B35" w:rsidRDefault="00BE36FB" w:rsidP="001A7107">
            <w:pPr>
              <w:pStyle w:val="TableText"/>
              <w:rPr>
                <w:rFonts w:cs="Arial"/>
                <w:b/>
              </w:rPr>
            </w:pPr>
            <w:r w:rsidRPr="009B7B35">
              <w:rPr>
                <w:rFonts w:cs="Arial"/>
                <w:b/>
              </w:rPr>
              <w:t>PO11</w:t>
            </w:r>
          </w:p>
          <w:p w14:paraId="2B4BC0C4" w14:textId="77777777" w:rsidR="00BE36FB" w:rsidRPr="009B7B35" w:rsidRDefault="00BE36FB" w:rsidP="001A7107">
            <w:pPr>
              <w:pStyle w:val="TableText"/>
              <w:rPr>
                <w:rFonts w:cs="Arial"/>
              </w:rPr>
            </w:pPr>
            <w:r w:rsidRPr="009B7B35">
              <w:rPr>
                <w:rFonts w:cs="Arial"/>
              </w:rPr>
              <w:t>Reconfiguring a lot does not:</w:t>
            </w:r>
          </w:p>
          <w:p w14:paraId="142EE830" w14:textId="77777777" w:rsidR="00BE36FB" w:rsidRPr="009B7B35" w:rsidRDefault="00BE36FB" w:rsidP="00BE36FB">
            <w:pPr>
              <w:pStyle w:val="TableText"/>
              <w:numPr>
                <w:ilvl w:val="0"/>
                <w:numId w:val="632"/>
              </w:numPr>
              <w:rPr>
                <w:rFonts w:cs="Arial"/>
              </w:rPr>
            </w:pPr>
            <w:r w:rsidRPr="009B7B35">
              <w:rPr>
                <w:rFonts w:cs="Arial"/>
              </w:rPr>
              <w:t>reduce public access to the adjoining local heritage place, or</w:t>
            </w:r>
          </w:p>
          <w:p w14:paraId="668E29C4" w14:textId="77777777" w:rsidR="00BE36FB" w:rsidRPr="009B7B35" w:rsidRDefault="00BE36FB" w:rsidP="00BE36FB">
            <w:pPr>
              <w:pStyle w:val="TableText"/>
              <w:numPr>
                <w:ilvl w:val="0"/>
                <w:numId w:val="632"/>
              </w:numPr>
              <w:rPr>
                <w:rFonts w:cs="Arial"/>
              </w:rPr>
            </w:pPr>
            <w:r w:rsidRPr="009B7B35">
              <w:rPr>
                <w:rFonts w:cs="Arial"/>
              </w:rPr>
              <w:t>contribute to adversely impacting on significant views to and from the local heritage place, or</w:t>
            </w:r>
          </w:p>
          <w:p w14:paraId="76E5241C" w14:textId="77777777" w:rsidR="00BE36FB" w:rsidRPr="009B7B35" w:rsidRDefault="00BE36FB" w:rsidP="00BE36FB">
            <w:pPr>
              <w:pStyle w:val="TableText"/>
              <w:numPr>
                <w:ilvl w:val="0"/>
                <w:numId w:val="632"/>
              </w:numPr>
              <w:rPr>
                <w:rFonts w:cs="Arial"/>
              </w:rPr>
            </w:pPr>
            <w:r w:rsidRPr="009B7B35">
              <w:rPr>
                <w:rFonts w:cs="Arial"/>
              </w:rPr>
              <w:t>obscure, destroy or disrupt any pattern of historic subdivision, the historical context, the landscape settings or the scale and consistency of the built environment relevant to the local heritage place.</w:t>
            </w:r>
          </w:p>
        </w:tc>
        <w:tc>
          <w:tcPr>
            <w:tcW w:w="4678" w:type="dxa"/>
          </w:tcPr>
          <w:p w14:paraId="4FA73331" w14:textId="77777777" w:rsidR="00BE36FB" w:rsidRPr="009B7B35" w:rsidRDefault="00BE36FB" w:rsidP="001A7107">
            <w:pPr>
              <w:pStyle w:val="TableText"/>
              <w:rPr>
                <w:rFonts w:cs="Arial"/>
              </w:rPr>
            </w:pPr>
            <w:r w:rsidRPr="009B7B35">
              <w:rPr>
                <w:rFonts w:cs="Arial"/>
              </w:rPr>
              <w:t>No acceptable outcome is nominated.</w:t>
            </w:r>
          </w:p>
        </w:tc>
      </w:tr>
    </w:tbl>
    <w:p w14:paraId="7A58AA1B" w14:textId="77777777" w:rsidR="000D716B" w:rsidRDefault="000D716B" w:rsidP="001A7107">
      <w:pPr>
        <w:pStyle w:val="NormalIndent"/>
        <w:rPr>
          <w:rFonts w:cs="Arial"/>
          <w:szCs w:val="20"/>
        </w:rPr>
      </w:pPr>
    </w:p>
    <w:p w14:paraId="3682D175" w14:textId="77777777" w:rsidR="000D716B" w:rsidRDefault="000D716B">
      <w:pPr>
        <w:rPr>
          <w:rFonts w:ascii="Arial" w:hAnsi="Arial" w:cs="Arial"/>
          <w:sz w:val="20"/>
          <w:szCs w:val="20"/>
        </w:rPr>
      </w:pPr>
      <w:r>
        <w:rPr>
          <w:rFonts w:cs="Arial"/>
          <w:szCs w:val="20"/>
        </w:rPr>
        <w:br w:type="page"/>
      </w:r>
    </w:p>
    <w:p w14:paraId="53AA54E3" w14:textId="77777777" w:rsidR="00BE36FB" w:rsidRPr="009B7B35" w:rsidRDefault="00BE36FB" w:rsidP="006776DA">
      <w:pPr>
        <w:pStyle w:val="Heading3"/>
        <w:numPr>
          <w:ilvl w:val="2"/>
          <w:numId w:val="883"/>
        </w:numPr>
        <w:spacing w:before="240"/>
        <w:rPr>
          <w:rFonts w:ascii="Arial" w:hAnsi="Arial"/>
          <w:sz w:val="20"/>
          <w:szCs w:val="20"/>
        </w:rPr>
      </w:pPr>
      <w:bookmarkStart w:id="251" w:name="_Toc205367385"/>
      <w:r w:rsidRPr="009B7B35">
        <w:rPr>
          <w:rFonts w:ascii="Arial" w:hAnsi="Arial"/>
          <w:sz w:val="20"/>
          <w:szCs w:val="20"/>
        </w:rPr>
        <w:t>Regional infrastructure</w:t>
      </w:r>
      <w:bookmarkEnd w:id="251"/>
    </w:p>
    <w:p w14:paraId="48876B12"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Application</w:t>
      </w:r>
    </w:p>
    <w:p w14:paraId="0E236CE1"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Regional infrastructure overlay code. When using this code, reference should be made to section 5.3.2 and where applicable, section 5.3.3 located in Part 5.</w:t>
      </w:r>
    </w:p>
    <w:p w14:paraId="0014B754"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Purpose</w:t>
      </w:r>
    </w:p>
    <w:p w14:paraId="35C9BED9" w14:textId="77777777" w:rsidR="00BE36FB" w:rsidRPr="009B7B35" w:rsidRDefault="00BE36FB" w:rsidP="00BE36FB">
      <w:pPr>
        <w:numPr>
          <w:ilvl w:val="0"/>
          <w:numId w:val="611"/>
        </w:numPr>
        <w:rPr>
          <w:rFonts w:ascii="Arial" w:hAnsi="Arial" w:cs="Arial"/>
          <w:sz w:val="20"/>
          <w:szCs w:val="20"/>
        </w:rPr>
      </w:pPr>
      <w:r w:rsidRPr="009B7B35">
        <w:rPr>
          <w:rFonts w:ascii="Arial" w:hAnsi="Arial" w:cs="Arial"/>
          <w:sz w:val="20"/>
          <w:szCs w:val="20"/>
        </w:rPr>
        <w:t>The purpose of the Regional infrastructure overlay code is to protect regionally significant infrastructure from nearby development that is sensitive to, or creates a risk for the infrastructure, and to protect nearby development from the potential impacts of the infrastructure.</w:t>
      </w:r>
    </w:p>
    <w:p w14:paraId="17AB608E" w14:textId="77777777" w:rsidR="00BE36FB" w:rsidRPr="009B7B35" w:rsidRDefault="00BE36FB" w:rsidP="00BE36FB">
      <w:pPr>
        <w:numPr>
          <w:ilvl w:val="0"/>
          <w:numId w:val="611"/>
        </w:numPr>
        <w:rPr>
          <w:rFonts w:ascii="Arial" w:hAnsi="Arial" w:cs="Arial"/>
          <w:sz w:val="20"/>
          <w:szCs w:val="20"/>
        </w:rPr>
      </w:pPr>
      <w:r w:rsidRPr="009B7B35">
        <w:rPr>
          <w:rFonts w:ascii="Arial" w:hAnsi="Arial" w:cs="Arial"/>
          <w:sz w:val="20"/>
          <w:szCs w:val="20"/>
        </w:rPr>
        <w:t xml:space="preserve">The purpose of the code will be achieved through the following overall outcomes: </w:t>
      </w:r>
    </w:p>
    <w:p w14:paraId="24A3E0E8" w14:textId="77777777"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Infrastructure requirements are integrated in master planning and subdivision of newly developing areas, including new neighbourhoods.</w:t>
      </w:r>
    </w:p>
    <w:p w14:paraId="3DF7FC66" w14:textId="77777777"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Effective separation and interface treatment is provided to major infrastructure sites and corridors to avoid risk to people and property and to minimise noise, odour and visual impacts.</w:t>
      </w:r>
    </w:p>
    <w:p w14:paraId="6D9A9FE8" w14:textId="77777777"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Easy access is provided to and along major infrastructure sites and corridors.</w:t>
      </w:r>
    </w:p>
    <w:p w14:paraId="5FF572BA" w14:textId="77777777"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Development does not compromise the safe and efficient operation, maintenance or expansion of major infrastructure.</w:t>
      </w:r>
    </w:p>
    <w:p w14:paraId="663F35B1" w14:textId="77777777"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Existing and planned regional infrastructure facilities and corridors are protected from encroachment by sensitive land uses or incompatible development.</w:t>
      </w:r>
    </w:p>
    <w:p w14:paraId="21FBA543" w14:textId="77777777"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Development does not create any threat to the provision of a safe and reliable supply of services to all users, and avoids any potential interference with the ongoing operation, maintenance and augmentation of the infrastructure.</w:t>
      </w:r>
    </w:p>
    <w:p w14:paraId="4DFFCCA3" w14:textId="77777777"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Development does not increase the potential for safety concerns, nuisance and complaints and minimises the need for measures to be introduced in the operation of the infrastructure to reduce potential impacts on surrounding areas.</w:t>
      </w:r>
    </w:p>
    <w:p w14:paraId="695A6620" w14:textId="77777777"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Development minimises overlooking of and visual exposure to the infrastructure sites and corridors.</w:t>
      </w:r>
    </w:p>
    <w:p w14:paraId="4C0CBC74" w14:textId="77777777" w:rsidR="00BE36FB" w:rsidRPr="009B7B35" w:rsidRDefault="00BE36FB" w:rsidP="00BE36FB">
      <w:pPr>
        <w:numPr>
          <w:ilvl w:val="1"/>
          <w:numId w:val="611"/>
        </w:numPr>
        <w:rPr>
          <w:rFonts w:ascii="Arial" w:hAnsi="Arial" w:cs="Arial"/>
          <w:sz w:val="20"/>
          <w:szCs w:val="20"/>
        </w:rPr>
      </w:pPr>
      <w:r w:rsidRPr="009B7B35">
        <w:rPr>
          <w:rFonts w:ascii="Arial" w:hAnsi="Arial" w:cs="Arial"/>
          <w:sz w:val="20"/>
          <w:szCs w:val="20"/>
        </w:rPr>
        <w:t xml:space="preserve">Development over or near major electricity and bulk water supply infrastructure does not compromise or interfere with the integrity of the infrastructure. </w:t>
      </w:r>
    </w:p>
    <w:p w14:paraId="1FA69E63"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Assessment benchmarks</w:t>
      </w:r>
    </w:p>
    <w:p w14:paraId="5616F330" w14:textId="77777777" w:rsidR="00BE36FB" w:rsidRPr="009B7B35" w:rsidRDefault="00BE36FB" w:rsidP="001A7107">
      <w:pPr>
        <w:pStyle w:val="Heading5"/>
        <w:numPr>
          <w:ilvl w:val="0"/>
          <w:numId w:val="0"/>
        </w:numPr>
        <w:rPr>
          <w:rFonts w:cs="Arial"/>
          <w:szCs w:val="20"/>
        </w:rPr>
      </w:pPr>
      <w:r w:rsidRPr="009B7B35">
        <w:rPr>
          <w:rFonts w:cs="Arial"/>
          <w:szCs w:val="20"/>
        </w:rPr>
        <w:t>Table 8.2.10.3.1—Assessable development</w:t>
      </w:r>
    </w:p>
    <w:tbl>
      <w:tblPr>
        <w:tblStyle w:val="Tablestyle"/>
        <w:tblW w:w="0" w:type="auto"/>
        <w:tblLayout w:type="fixed"/>
        <w:tblLook w:val="0620" w:firstRow="1" w:lastRow="0" w:firstColumn="0" w:lastColumn="0" w:noHBand="1" w:noVBand="1"/>
      </w:tblPr>
      <w:tblGrid>
        <w:gridCol w:w="4678"/>
        <w:gridCol w:w="4678"/>
      </w:tblGrid>
      <w:tr w:rsidR="00BE36FB" w:rsidRPr="009B7B35" w14:paraId="3ABADAF2"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497C4D42"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40ACA821"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7C35ADF0" w14:textId="77777777" w:rsidTr="001A7107">
        <w:trPr>
          <w:cantSplit/>
        </w:trPr>
        <w:tc>
          <w:tcPr>
            <w:tcW w:w="9356" w:type="dxa"/>
            <w:gridSpan w:val="2"/>
            <w:shd w:val="clear" w:color="auto" w:fill="BFBFBF" w:themeFill="background1" w:themeFillShade="BF"/>
          </w:tcPr>
          <w:p w14:paraId="2D6E5167"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Reconfiguring a Lot </w:t>
            </w:r>
          </w:p>
        </w:tc>
      </w:tr>
      <w:tr w:rsidR="00BE36FB" w:rsidRPr="009B7B35" w14:paraId="4C4BB0AA" w14:textId="77777777" w:rsidTr="001A7107">
        <w:trPr>
          <w:cantSplit/>
        </w:trPr>
        <w:tc>
          <w:tcPr>
            <w:tcW w:w="4678" w:type="dxa"/>
          </w:tcPr>
          <w:p w14:paraId="325EC201" w14:textId="77777777" w:rsidR="00BE36FB" w:rsidRPr="009B7B35" w:rsidRDefault="00BE36FB" w:rsidP="001A7107">
            <w:pPr>
              <w:pStyle w:val="TableText"/>
              <w:rPr>
                <w:rFonts w:cs="Arial"/>
                <w:b/>
              </w:rPr>
            </w:pPr>
            <w:r w:rsidRPr="009B7B35">
              <w:rPr>
                <w:rFonts w:cs="Arial"/>
                <w:b/>
              </w:rPr>
              <w:t>PO1</w:t>
            </w:r>
          </w:p>
          <w:p w14:paraId="784576E7" w14:textId="77777777" w:rsidR="00BE36FB" w:rsidRPr="009B7B35" w:rsidRDefault="00BE36FB" w:rsidP="001A7107">
            <w:pPr>
              <w:pStyle w:val="TableText"/>
              <w:rPr>
                <w:rFonts w:cs="Arial"/>
              </w:rPr>
            </w:pPr>
            <w:r w:rsidRPr="009B7B35">
              <w:rPr>
                <w:rFonts w:cs="Arial"/>
              </w:rPr>
              <w:t>Reconfiguration of lots does not compromise or adversely impact upon the efficiency and integrity of major electricity and bulk water supply infrastructure networks.</w:t>
            </w:r>
          </w:p>
        </w:tc>
        <w:tc>
          <w:tcPr>
            <w:tcW w:w="4678" w:type="dxa"/>
          </w:tcPr>
          <w:p w14:paraId="1BEF7441"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2E8457D" w14:textId="77777777" w:rsidTr="001A7107">
        <w:trPr>
          <w:cantSplit/>
        </w:trPr>
        <w:tc>
          <w:tcPr>
            <w:tcW w:w="4678" w:type="dxa"/>
          </w:tcPr>
          <w:p w14:paraId="0EC53570" w14:textId="77777777" w:rsidR="00BE36FB" w:rsidRPr="009B7B35" w:rsidRDefault="00BE36FB" w:rsidP="001A7107">
            <w:pPr>
              <w:pStyle w:val="TableText"/>
              <w:rPr>
                <w:rFonts w:cs="Arial"/>
                <w:b/>
              </w:rPr>
            </w:pPr>
            <w:r w:rsidRPr="009B7B35">
              <w:rPr>
                <w:rFonts w:cs="Arial"/>
                <w:b/>
              </w:rPr>
              <w:t>PO2</w:t>
            </w:r>
          </w:p>
          <w:p w14:paraId="3E9FCEB2" w14:textId="77777777" w:rsidR="00BE36FB" w:rsidRPr="009B7B35" w:rsidRDefault="00BE36FB" w:rsidP="001A7107">
            <w:pPr>
              <w:pStyle w:val="TableText"/>
              <w:rPr>
                <w:rFonts w:cs="Arial"/>
              </w:rPr>
            </w:pPr>
            <w:r w:rsidRPr="009B7B35">
              <w:rPr>
                <w:rFonts w:cs="Arial"/>
              </w:rPr>
              <w:t>Lot reconfiguration integrates major infrastructure sites and corridors within the overall layout. In particular, the neighbourhood design:</w:t>
            </w:r>
          </w:p>
          <w:p w14:paraId="13C967AC" w14:textId="77777777" w:rsidR="00BE36FB" w:rsidRPr="009B7B35" w:rsidRDefault="00BE36FB" w:rsidP="00BE36FB">
            <w:pPr>
              <w:pStyle w:val="TableText"/>
              <w:numPr>
                <w:ilvl w:val="0"/>
                <w:numId w:val="615"/>
              </w:numPr>
              <w:rPr>
                <w:rFonts w:cs="Arial"/>
              </w:rPr>
            </w:pPr>
            <w:r w:rsidRPr="009B7B35">
              <w:rPr>
                <w:rFonts w:cs="Arial"/>
              </w:rPr>
              <w:t>ensures land of sufficient size and suitability is allocated to accommodate the existing and future major infrastructure network</w:t>
            </w:r>
          </w:p>
          <w:p w14:paraId="309ADF44" w14:textId="77777777" w:rsidR="00BE36FB" w:rsidRPr="009B7B35" w:rsidRDefault="00BE36FB" w:rsidP="00BE36FB">
            <w:pPr>
              <w:pStyle w:val="TableText"/>
              <w:numPr>
                <w:ilvl w:val="0"/>
                <w:numId w:val="615"/>
              </w:numPr>
              <w:rPr>
                <w:rFonts w:cs="Arial"/>
              </w:rPr>
            </w:pPr>
            <w:r w:rsidRPr="009B7B35">
              <w:rPr>
                <w:rFonts w:cs="Arial"/>
              </w:rPr>
              <w:t>as far as possible, minimises the likely visual prominence of major infrastructure, and</w:t>
            </w:r>
          </w:p>
          <w:p w14:paraId="40740CDE" w14:textId="77777777" w:rsidR="00BE36FB" w:rsidRPr="009B7B35" w:rsidRDefault="00BE36FB" w:rsidP="00BE36FB">
            <w:pPr>
              <w:pStyle w:val="TableText"/>
              <w:numPr>
                <w:ilvl w:val="0"/>
                <w:numId w:val="615"/>
              </w:numPr>
              <w:rPr>
                <w:rFonts w:cs="Arial"/>
              </w:rPr>
            </w:pPr>
            <w:r w:rsidRPr="009B7B35">
              <w:rPr>
                <w:rFonts w:cs="Arial"/>
              </w:rPr>
              <w:t>provides for an interface or relationship with surrounding uses that minimises the potential for nuisance (including noise and odour), health and safety concerns.</w:t>
            </w:r>
          </w:p>
        </w:tc>
        <w:tc>
          <w:tcPr>
            <w:tcW w:w="4678" w:type="dxa"/>
          </w:tcPr>
          <w:p w14:paraId="3F1E8055" w14:textId="77777777" w:rsidR="00BE36FB" w:rsidRPr="009B7B35" w:rsidRDefault="00BE36FB" w:rsidP="001A7107">
            <w:pPr>
              <w:pStyle w:val="TableText"/>
              <w:rPr>
                <w:rFonts w:cs="Arial"/>
              </w:rPr>
            </w:pPr>
            <w:r w:rsidRPr="009B7B35">
              <w:rPr>
                <w:rFonts w:cs="Arial"/>
              </w:rPr>
              <w:t>No acceptable outcome is nominated.</w:t>
            </w:r>
          </w:p>
          <w:p w14:paraId="102E14FF" w14:textId="77777777" w:rsidR="00BE36FB" w:rsidRPr="009B7B35" w:rsidRDefault="00BE36FB" w:rsidP="001A7107">
            <w:pPr>
              <w:pStyle w:val="Notes"/>
              <w:rPr>
                <w:rFonts w:cs="Arial"/>
                <w:sz w:val="20"/>
                <w:szCs w:val="20"/>
              </w:rPr>
            </w:pPr>
            <w:r w:rsidRPr="009B7B35">
              <w:rPr>
                <w:rFonts w:cs="Arial"/>
                <w:sz w:val="20"/>
                <w:szCs w:val="20"/>
              </w:rPr>
              <w:t>Note—Applicants should consult with the electricity providers early in the master planning process to determine electricity infrastructure requirements.</w:t>
            </w:r>
          </w:p>
        </w:tc>
      </w:tr>
      <w:tr w:rsidR="00BE36FB" w:rsidRPr="009B7B35" w14:paraId="7C524944" w14:textId="77777777" w:rsidTr="001A7107">
        <w:trPr>
          <w:cantSplit/>
        </w:trPr>
        <w:tc>
          <w:tcPr>
            <w:tcW w:w="4678" w:type="dxa"/>
          </w:tcPr>
          <w:p w14:paraId="33BEB7DC" w14:textId="77777777" w:rsidR="00BE36FB" w:rsidRPr="009B7B35" w:rsidRDefault="00BE36FB" w:rsidP="001A7107">
            <w:pPr>
              <w:pStyle w:val="TableText"/>
              <w:rPr>
                <w:rFonts w:cs="Arial"/>
                <w:b/>
              </w:rPr>
            </w:pPr>
            <w:r w:rsidRPr="009B7B35">
              <w:rPr>
                <w:rFonts w:cs="Arial"/>
                <w:b/>
              </w:rPr>
              <w:t>PO3</w:t>
            </w:r>
          </w:p>
          <w:p w14:paraId="36A03888" w14:textId="77777777" w:rsidR="00BE36FB" w:rsidRPr="009B7B35" w:rsidRDefault="00BE36FB" w:rsidP="001A7107">
            <w:pPr>
              <w:pStyle w:val="TableText"/>
              <w:rPr>
                <w:rFonts w:cs="Arial"/>
              </w:rPr>
            </w:pPr>
            <w:r w:rsidRPr="009B7B35">
              <w:rPr>
                <w:rFonts w:cs="Arial"/>
              </w:rPr>
              <w:t>Landscaping is provided which substantively assists in screening and softening poles, towers or other structures and equipment associated with major infrastructure.</w:t>
            </w:r>
          </w:p>
        </w:tc>
        <w:tc>
          <w:tcPr>
            <w:tcW w:w="4678" w:type="dxa"/>
          </w:tcPr>
          <w:p w14:paraId="3BA5896E" w14:textId="77777777" w:rsidR="00BE36FB" w:rsidRPr="009B7B35" w:rsidRDefault="00BE36FB" w:rsidP="001A7107">
            <w:pPr>
              <w:pStyle w:val="TableText"/>
              <w:rPr>
                <w:rFonts w:cs="Arial"/>
                <w:b/>
              </w:rPr>
            </w:pPr>
            <w:r w:rsidRPr="009B7B35">
              <w:rPr>
                <w:rFonts w:cs="Arial"/>
                <w:b/>
              </w:rPr>
              <w:t>AO3</w:t>
            </w:r>
          </w:p>
          <w:p w14:paraId="58961A80" w14:textId="77777777" w:rsidR="00BE36FB" w:rsidRPr="009B7B35" w:rsidRDefault="00BE36FB" w:rsidP="001A7107">
            <w:pPr>
              <w:pStyle w:val="TableText"/>
              <w:rPr>
                <w:rFonts w:cs="Arial"/>
              </w:rPr>
            </w:pPr>
            <w:r w:rsidRPr="009B7B35">
              <w:rPr>
                <w:rFonts w:cs="Arial"/>
              </w:rPr>
              <w:t>A minimum 5m wide densely planted landscaped buffer is provided, including provision for advanced trees and shrubs that will grow to a minimum height of 10m.</w:t>
            </w:r>
          </w:p>
          <w:p w14:paraId="11837CAA" w14:textId="77777777" w:rsidR="00BE36FB" w:rsidRPr="009B7B35" w:rsidRDefault="00BE36FB" w:rsidP="001A7107">
            <w:pPr>
              <w:pStyle w:val="Notes"/>
              <w:rPr>
                <w:rFonts w:cs="Arial"/>
                <w:sz w:val="20"/>
                <w:szCs w:val="20"/>
              </w:rPr>
            </w:pPr>
            <w:r w:rsidRPr="009B7B35">
              <w:rPr>
                <w:rFonts w:cs="Arial"/>
                <w:sz w:val="20"/>
                <w:szCs w:val="20"/>
              </w:rPr>
              <w:t>Note—Applicants may find further guidance in Powerlink’s “</w:t>
            </w:r>
            <w:r w:rsidRPr="009B7B35">
              <w:rPr>
                <w:rStyle w:val="StyleNotesItalic2"/>
                <w:rFonts w:cs="Arial"/>
                <w:sz w:val="20"/>
              </w:rPr>
              <w:t>Screening your home from powerlines – A guide for planting trees and shrubs outside of easements to screen powerlines</w:t>
            </w:r>
            <w:r w:rsidRPr="009B7B35">
              <w:rPr>
                <w:rFonts w:cs="Arial"/>
                <w:sz w:val="20"/>
                <w:szCs w:val="20"/>
              </w:rPr>
              <w:t>”.</w:t>
            </w:r>
          </w:p>
        </w:tc>
      </w:tr>
      <w:tr w:rsidR="00BE36FB" w:rsidRPr="009B7B35" w14:paraId="6C13C83D" w14:textId="77777777" w:rsidTr="001A7107">
        <w:trPr>
          <w:cantSplit/>
        </w:trPr>
        <w:tc>
          <w:tcPr>
            <w:tcW w:w="4678" w:type="dxa"/>
          </w:tcPr>
          <w:p w14:paraId="7BD1A8CA" w14:textId="77777777" w:rsidR="00BE36FB" w:rsidRPr="009B7B35" w:rsidRDefault="00BE36FB" w:rsidP="001A7107">
            <w:pPr>
              <w:pStyle w:val="TableText"/>
              <w:rPr>
                <w:rFonts w:cs="Arial"/>
                <w:b/>
              </w:rPr>
            </w:pPr>
            <w:r w:rsidRPr="009B7B35">
              <w:rPr>
                <w:rFonts w:cs="Arial"/>
                <w:b/>
              </w:rPr>
              <w:t>PO4</w:t>
            </w:r>
          </w:p>
          <w:p w14:paraId="35454D96" w14:textId="77777777" w:rsidR="00BE36FB" w:rsidRPr="009B7B35" w:rsidRDefault="00BE36FB" w:rsidP="001A7107">
            <w:pPr>
              <w:pStyle w:val="TableText"/>
              <w:rPr>
                <w:rFonts w:cs="Arial"/>
              </w:rPr>
            </w:pPr>
            <w:r w:rsidRPr="009B7B35">
              <w:rPr>
                <w:rFonts w:cs="Arial"/>
              </w:rPr>
              <w:t>Development within a water supply pipeline and buffer identified on the Regional infrastructure overlay map:</w:t>
            </w:r>
          </w:p>
          <w:p w14:paraId="3EBE453D" w14:textId="77777777" w:rsidR="00BE36FB" w:rsidRPr="009B7B35" w:rsidRDefault="00BE36FB" w:rsidP="00BE36FB">
            <w:pPr>
              <w:pStyle w:val="TableText"/>
              <w:numPr>
                <w:ilvl w:val="0"/>
                <w:numId w:val="616"/>
              </w:numPr>
              <w:rPr>
                <w:rFonts w:cs="Arial"/>
              </w:rPr>
            </w:pPr>
            <w:r w:rsidRPr="009B7B35">
              <w:rPr>
                <w:rFonts w:cs="Arial"/>
              </w:rPr>
              <w:t>is located, designed and constructed to protect the integrity of the water supply pipeline, and</w:t>
            </w:r>
          </w:p>
          <w:p w14:paraId="24731585" w14:textId="77777777" w:rsidR="00BE36FB" w:rsidRPr="009B7B35" w:rsidRDefault="00BE36FB" w:rsidP="00BE36FB">
            <w:pPr>
              <w:pStyle w:val="TableText"/>
              <w:numPr>
                <w:ilvl w:val="0"/>
                <w:numId w:val="616"/>
              </w:numPr>
              <w:rPr>
                <w:rFonts w:cs="Arial"/>
              </w:rPr>
            </w:pPr>
            <w:r w:rsidRPr="009B7B35">
              <w:rPr>
                <w:rFonts w:cs="Arial"/>
              </w:rPr>
              <w:t>maintains adequate access for any required maintenance or upgrading work to the water supply pipeline.</w:t>
            </w:r>
          </w:p>
        </w:tc>
        <w:tc>
          <w:tcPr>
            <w:tcW w:w="4678" w:type="dxa"/>
          </w:tcPr>
          <w:p w14:paraId="6E0D596B" w14:textId="77777777" w:rsidR="00BE36FB" w:rsidRPr="009B7B35" w:rsidRDefault="00BE36FB" w:rsidP="001A7107">
            <w:pPr>
              <w:pStyle w:val="TableText"/>
              <w:rPr>
                <w:rFonts w:cs="Arial"/>
                <w:b/>
              </w:rPr>
            </w:pPr>
            <w:r w:rsidRPr="009B7B35">
              <w:rPr>
                <w:rFonts w:cs="Arial"/>
                <w:b/>
              </w:rPr>
              <w:t>AO4</w:t>
            </w:r>
          </w:p>
          <w:p w14:paraId="112C505D" w14:textId="77777777" w:rsidR="00BE36FB" w:rsidRPr="009B7B35" w:rsidRDefault="00BE36FB" w:rsidP="001A7107">
            <w:pPr>
              <w:pStyle w:val="TableText"/>
              <w:rPr>
                <w:rFonts w:cs="Arial"/>
              </w:rPr>
            </w:pPr>
            <w:r w:rsidRPr="009B7B35">
              <w:rPr>
                <w:rFonts w:cs="Arial"/>
              </w:rPr>
              <w:t>Buildings and structures (other than those associated with electricity infrastructure) are setback a minimum of 10m from a water supply pipeline as identified on the Regional infrastructure overlay map.</w:t>
            </w:r>
          </w:p>
        </w:tc>
      </w:tr>
      <w:tr w:rsidR="00BE36FB" w:rsidRPr="009B7B35" w14:paraId="37E2007F" w14:textId="77777777" w:rsidTr="001A7107">
        <w:tc>
          <w:tcPr>
            <w:tcW w:w="4678" w:type="dxa"/>
          </w:tcPr>
          <w:p w14:paraId="4DF5BECD"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PO5</w:t>
            </w:r>
          </w:p>
          <w:p w14:paraId="67A59503" w14:textId="77777777" w:rsidR="00BE36FB" w:rsidRPr="009B7B35" w:rsidRDefault="00BE36FB" w:rsidP="001A7107">
            <w:pPr>
              <w:pStyle w:val="TableText"/>
              <w:rPr>
                <w:rFonts w:cs="Arial"/>
              </w:rPr>
            </w:pPr>
            <w:r w:rsidRPr="009B7B35">
              <w:rPr>
                <w:rFonts w:cs="Arial"/>
              </w:rPr>
              <w:t>Where the reconfiguration involves a major electricity infrastructure corridor, the corridor is incorporated within a useable public open space network wherever possible.</w:t>
            </w:r>
          </w:p>
        </w:tc>
        <w:tc>
          <w:tcPr>
            <w:tcW w:w="4678" w:type="dxa"/>
          </w:tcPr>
          <w:p w14:paraId="56528C6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1DD4629" w14:textId="77777777" w:rsidTr="001A7107">
        <w:tc>
          <w:tcPr>
            <w:tcW w:w="4678" w:type="dxa"/>
          </w:tcPr>
          <w:p w14:paraId="7439EC3D"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PO6</w:t>
            </w:r>
          </w:p>
          <w:p w14:paraId="6D28D3C6" w14:textId="77777777" w:rsidR="00BE36FB" w:rsidRPr="009B7B35" w:rsidRDefault="00BE36FB" w:rsidP="001A7107">
            <w:pPr>
              <w:pStyle w:val="TableText"/>
              <w:rPr>
                <w:rFonts w:cs="Arial"/>
              </w:rPr>
            </w:pPr>
            <w:r w:rsidRPr="009B7B35">
              <w:rPr>
                <w:rFonts w:cs="Arial"/>
              </w:rPr>
              <w:t>Where major electricity infrastructure is located within public open space, the dimensions and characteristics of the open space area are sufficient to accommodate the electricity easement or site, in combination with compatible recreational facilities and landscaping, so that:</w:t>
            </w:r>
          </w:p>
          <w:p w14:paraId="52513742" w14:textId="77777777" w:rsidR="00BE36FB" w:rsidRPr="009B7B35" w:rsidRDefault="00BE36FB" w:rsidP="00BE36FB">
            <w:pPr>
              <w:pStyle w:val="TableText"/>
              <w:numPr>
                <w:ilvl w:val="0"/>
                <w:numId w:val="617"/>
              </w:numPr>
              <w:rPr>
                <w:rFonts w:cs="Arial"/>
              </w:rPr>
            </w:pPr>
            <w:r w:rsidRPr="009B7B35">
              <w:rPr>
                <w:rFonts w:cs="Arial"/>
              </w:rPr>
              <w:t>it has an open and expansive character, with landscape design which assists in breaking up the linear and vertical dominance of the infrastructure</w:t>
            </w:r>
          </w:p>
          <w:p w14:paraId="10C1C136" w14:textId="77777777" w:rsidR="00BE36FB" w:rsidRPr="009B7B35" w:rsidRDefault="00BE36FB" w:rsidP="00BE36FB">
            <w:pPr>
              <w:pStyle w:val="TableText"/>
              <w:numPr>
                <w:ilvl w:val="0"/>
                <w:numId w:val="617"/>
              </w:numPr>
              <w:rPr>
                <w:rFonts w:cs="Arial"/>
              </w:rPr>
            </w:pPr>
            <w:r w:rsidRPr="009B7B35">
              <w:rPr>
                <w:rFonts w:cs="Arial"/>
              </w:rPr>
              <w:t>landscaping is located outside the easement area and substantively screens and softens the appearance of poles, towers or other structures, and</w:t>
            </w:r>
          </w:p>
          <w:p w14:paraId="741DED1C" w14:textId="77777777" w:rsidR="00BE36FB" w:rsidRPr="009B7B35" w:rsidRDefault="00BE36FB" w:rsidP="00BE36FB">
            <w:pPr>
              <w:pStyle w:val="TableText"/>
              <w:numPr>
                <w:ilvl w:val="0"/>
                <w:numId w:val="617"/>
              </w:numPr>
              <w:rPr>
                <w:rFonts w:cs="Arial"/>
              </w:rPr>
            </w:pPr>
            <w:r w:rsidRPr="009B7B35">
              <w:rPr>
                <w:rFonts w:cs="Arial"/>
              </w:rPr>
              <w:t>recreational facilities and landscaping are compatible with the electricity infrastructure, having regard to safety, height, the conductivity of materials and access to the electricity infrastructure by the electricity provider.</w:t>
            </w:r>
          </w:p>
        </w:tc>
        <w:tc>
          <w:tcPr>
            <w:tcW w:w="4678" w:type="dxa"/>
          </w:tcPr>
          <w:p w14:paraId="3B1E49BA" w14:textId="77777777" w:rsidR="00BE36FB" w:rsidRPr="009B7B35" w:rsidRDefault="00BE36FB" w:rsidP="001A7107">
            <w:pPr>
              <w:pStyle w:val="TableText"/>
              <w:rPr>
                <w:rFonts w:cs="Arial"/>
              </w:rPr>
            </w:pPr>
            <w:r w:rsidRPr="009B7B35">
              <w:rPr>
                <w:rFonts w:cs="Arial"/>
              </w:rPr>
              <w:t>No acceptable outcome is nominated.</w:t>
            </w:r>
          </w:p>
          <w:p w14:paraId="13FF3678" w14:textId="77777777" w:rsidR="00BE36FB" w:rsidRPr="009B7B35" w:rsidRDefault="00BE36FB" w:rsidP="001A7107">
            <w:pPr>
              <w:pStyle w:val="Notes"/>
              <w:rPr>
                <w:rFonts w:cs="Arial"/>
                <w:sz w:val="20"/>
                <w:szCs w:val="20"/>
              </w:rPr>
            </w:pPr>
            <w:r w:rsidRPr="009B7B35">
              <w:rPr>
                <w:rFonts w:cs="Arial"/>
                <w:sz w:val="20"/>
                <w:szCs w:val="20"/>
              </w:rPr>
              <w:t>Note—The figures below provide an example of a well–integrated transmission corridor.</w:t>
            </w:r>
          </w:p>
          <w:p w14:paraId="40D96186" w14:textId="77777777" w:rsidR="00BE36FB" w:rsidRPr="009B7B35" w:rsidRDefault="00BE36FB" w:rsidP="001A7107">
            <w:pPr>
              <w:pStyle w:val="TableText"/>
              <w:rPr>
                <w:rFonts w:cs="Arial"/>
              </w:rPr>
            </w:pPr>
            <w:r w:rsidRPr="009B7B35">
              <w:rPr>
                <w:rFonts w:cs="Arial"/>
                <w:noProof/>
              </w:rPr>
              <w:drawing>
                <wp:inline distT="0" distB="0" distL="0" distR="0" wp14:anchorId="15C4765E" wp14:editId="2CFDAFA5">
                  <wp:extent cx="2844000" cy="2517476"/>
                  <wp:effectExtent l="19050" t="19050" r="13970" b="165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image1.jpg"/>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44000" cy="2517476"/>
                          </a:xfrm>
                          <a:prstGeom prst="rect">
                            <a:avLst/>
                          </a:prstGeom>
                          <a:ln w="12700">
                            <a:solidFill>
                              <a:schemeClr val="bg1"/>
                            </a:solidFill>
                          </a:ln>
                        </pic:spPr>
                      </pic:pic>
                    </a:graphicData>
                  </a:graphic>
                </wp:inline>
              </w:drawing>
            </w:r>
          </w:p>
          <w:p w14:paraId="6E7F39E7" w14:textId="77777777" w:rsidR="00BE36FB" w:rsidRPr="009B7B35" w:rsidRDefault="00BE36FB" w:rsidP="001A7107">
            <w:pPr>
              <w:pStyle w:val="TableText"/>
              <w:rPr>
                <w:rFonts w:cs="Arial"/>
              </w:rPr>
            </w:pPr>
            <w:r w:rsidRPr="009B7B35">
              <w:rPr>
                <w:rFonts w:cs="Arial"/>
                <w:noProof/>
              </w:rPr>
              <w:drawing>
                <wp:inline distT="0" distB="0" distL="0" distR="0" wp14:anchorId="1B4808F6" wp14:editId="358C8BCD">
                  <wp:extent cx="2844000" cy="2192781"/>
                  <wp:effectExtent l="19050" t="19050" r="13970" b="171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l="13628" t="10106" r="21062" b="9309"/>
                          <a:stretch>
                            <a:fillRect/>
                          </a:stretch>
                        </pic:blipFill>
                        <pic:spPr bwMode="auto">
                          <a:xfrm>
                            <a:off x="0" y="0"/>
                            <a:ext cx="2844000" cy="2192781"/>
                          </a:xfrm>
                          <a:prstGeom prst="rect">
                            <a:avLst/>
                          </a:prstGeom>
                          <a:noFill/>
                          <a:ln w="12700">
                            <a:solidFill>
                              <a:schemeClr val="bg1"/>
                            </a:solidFill>
                          </a:ln>
                        </pic:spPr>
                      </pic:pic>
                    </a:graphicData>
                  </a:graphic>
                </wp:inline>
              </w:drawing>
            </w:r>
          </w:p>
        </w:tc>
      </w:tr>
      <w:tr w:rsidR="00BE36FB" w:rsidRPr="009B7B35" w14:paraId="27523919" w14:textId="77777777" w:rsidTr="001A7107">
        <w:tc>
          <w:tcPr>
            <w:tcW w:w="4678" w:type="dxa"/>
          </w:tcPr>
          <w:p w14:paraId="40D95475" w14:textId="77777777"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7</w:t>
            </w:r>
          </w:p>
          <w:p w14:paraId="6C89E3DE" w14:textId="77777777" w:rsidR="00BE36FB" w:rsidRPr="009B7B35" w:rsidRDefault="00BE36FB" w:rsidP="001A7107">
            <w:pPr>
              <w:pStyle w:val="TableText"/>
              <w:rPr>
                <w:rFonts w:cs="Arial"/>
              </w:rPr>
            </w:pPr>
            <w:r w:rsidRPr="009B7B35">
              <w:rPr>
                <w:rFonts w:cs="Arial"/>
              </w:rPr>
              <w:t>Where major electricity infrastructure is located in a road:</w:t>
            </w:r>
          </w:p>
          <w:p w14:paraId="00F7B3EA" w14:textId="77777777" w:rsidR="00BE36FB" w:rsidRPr="009B7B35" w:rsidRDefault="00BE36FB" w:rsidP="00BE36FB">
            <w:pPr>
              <w:pStyle w:val="TableText"/>
              <w:numPr>
                <w:ilvl w:val="0"/>
                <w:numId w:val="618"/>
              </w:numPr>
              <w:rPr>
                <w:rFonts w:cs="Arial"/>
              </w:rPr>
            </w:pPr>
            <w:r w:rsidRPr="009B7B35">
              <w:rPr>
                <w:rFonts w:cs="Arial"/>
              </w:rPr>
              <w:t>an attractive, functional and safe streetscape is achieved</w:t>
            </w:r>
          </w:p>
          <w:p w14:paraId="39BDB9A7" w14:textId="77777777" w:rsidR="00BE36FB" w:rsidRPr="009B7B35" w:rsidRDefault="00BE36FB" w:rsidP="00BE36FB">
            <w:pPr>
              <w:pStyle w:val="TableText"/>
              <w:numPr>
                <w:ilvl w:val="0"/>
                <w:numId w:val="618"/>
              </w:numPr>
              <w:rPr>
                <w:rFonts w:cs="Arial"/>
              </w:rPr>
            </w:pPr>
            <w:r w:rsidRPr="009B7B35">
              <w:rPr>
                <w:rFonts w:cs="Arial"/>
              </w:rPr>
              <w:t>street furniture, planting and lighting are compatible with the electricity infrastructure, having regard to safety, height, the conductivity of materials</w:t>
            </w:r>
          </w:p>
          <w:p w14:paraId="3E880480" w14:textId="77777777" w:rsidR="00BE36FB" w:rsidRPr="009B7B35" w:rsidRDefault="00BE36FB" w:rsidP="00BE36FB">
            <w:pPr>
              <w:pStyle w:val="TableText"/>
              <w:numPr>
                <w:ilvl w:val="0"/>
                <w:numId w:val="618"/>
              </w:numPr>
              <w:rPr>
                <w:rFonts w:cs="Arial"/>
              </w:rPr>
            </w:pPr>
            <w:r w:rsidRPr="009B7B35">
              <w:rPr>
                <w:rFonts w:cs="Arial"/>
              </w:rPr>
              <w:t>the reserve has sufficient width to accommodate significant landscaping which assists in screening and softening poles, towers or other structures and equipment from nearby sensitive land uses</w:t>
            </w:r>
          </w:p>
          <w:p w14:paraId="032176B9" w14:textId="77777777" w:rsidR="00BE36FB" w:rsidRPr="009B7B35" w:rsidRDefault="00BE36FB" w:rsidP="00BE36FB">
            <w:pPr>
              <w:pStyle w:val="TableText"/>
              <w:numPr>
                <w:ilvl w:val="0"/>
                <w:numId w:val="618"/>
              </w:numPr>
              <w:rPr>
                <w:rFonts w:cs="Arial"/>
              </w:rPr>
            </w:pPr>
            <w:r w:rsidRPr="009B7B35">
              <w:rPr>
                <w:rFonts w:cs="Arial"/>
              </w:rPr>
              <w:t xml:space="preserve">the clearances required under schedules 4 and 5 of the </w:t>
            </w:r>
            <w:r w:rsidRPr="009B7B35">
              <w:rPr>
                <w:rStyle w:val="StyleItalic"/>
                <w:rFonts w:cs="Arial"/>
              </w:rPr>
              <w:t>Electrical Safety Regulations 2002</w:t>
            </w:r>
            <w:r w:rsidRPr="009B7B35">
              <w:rPr>
                <w:rFonts w:cs="Arial"/>
              </w:rPr>
              <w:t xml:space="preserve"> can be achieved, and</w:t>
            </w:r>
          </w:p>
          <w:p w14:paraId="35D450FA" w14:textId="77777777" w:rsidR="00BE36FB" w:rsidRPr="009B7B35" w:rsidRDefault="00BE36FB" w:rsidP="00BE36FB">
            <w:pPr>
              <w:pStyle w:val="TableText"/>
              <w:numPr>
                <w:ilvl w:val="0"/>
                <w:numId w:val="618"/>
              </w:numPr>
              <w:rPr>
                <w:rFonts w:cs="Arial"/>
              </w:rPr>
            </w:pPr>
            <w:r w:rsidRPr="009B7B35">
              <w:rPr>
                <w:rFonts w:cs="Arial"/>
              </w:rPr>
              <w:t>convenient access to the infrastructure by the electricity provider is maintained.</w:t>
            </w:r>
          </w:p>
        </w:tc>
        <w:tc>
          <w:tcPr>
            <w:tcW w:w="4678" w:type="dxa"/>
          </w:tcPr>
          <w:p w14:paraId="2D336263"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D4957FF" w14:textId="77777777" w:rsidTr="001A7107">
        <w:tc>
          <w:tcPr>
            <w:tcW w:w="9356" w:type="dxa"/>
            <w:gridSpan w:val="2"/>
            <w:shd w:val="clear" w:color="auto" w:fill="BFBFBF" w:themeFill="background1" w:themeFillShade="BF"/>
          </w:tcPr>
          <w:p w14:paraId="1865325A" w14:textId="77777777" w:rsidR="00BE36FB" w:rsidRPr="009B7B35" w:rsidRDefault="00BE36FB">
            <w:pPr>
              <w:pStyle w:val="Tableheading"/>
              <w:rPr>
                <w:rFonts w:ascii="Arial" w:hAnsi="Arial" w:cs="Arial"/>
                <w:szCs w:val="20"/>
              </w:rPr>
            </w:pPr>
            <w:r w:rsidRPr="009B7B35">
              <w:rPr>
                <w:rFonts w:ascii="Arial" w:hAnsi="Arial" w:cs="Arial"/>
                <w:szCs w:val="20"/>
              </w:rPr>
              <w:t>Material change of use</w:t>
            </w:r>
          </w:p>
        </w:tc>
      </w:tr>
      <w:tr w:rsidR="00BE36FB" w:rsidRPr="009B7B35" w14:paraId="160CBBCF" w14:textId="77777777" w:rsidTr="001A7107">
        <w:tc>
          <w:tcPr>
            <w:tcW w:w="4678" w:type="dxa"/>
          </w:tcPr>
          <w:p w14:paraId="01C1BF69" w14:textId="77777777" w:rsidR="00BE36FB" w:rsidRPr="009B7B35" w:rsidRDefault="00BE36FB" w:rsidP="001A7107">
            <w:pPr>
              <w:pStyle w:val="TableText"/>
              <w:rPr>
                <w:rFonts w:cs="Arial"/>
                <w:b/>
              </w:rPr>
            </w:pPr>
            <w:r w:rsidRPr="009B7B35">
              <w:rPr>
                <w:rFonts w:cs="Arial"/>
                <w:b/>
              </w:rPr>
              <w:t>P</w:t>
            </w:r>
            <w:r w:rsidRPr="009B7B35">
              <w:rPr>
                <w:rStyle w:val="Strong"/>
                <w:rFonts w:eastAsiaTheme="majorEastAsia" w:cs="Arial"/>
              </w:rPr>
              <w:t>O8</w:t>
            </w:r>
          </w:p>
          <w:p w14:paraId="00D8D6AC" w14:textId="77777777" w:rsidR="00BE36FB" w:rsidRPr="009B7B35" w:rsidRDefault="00BE36FB" w:rsidP="001A7107">
            <w:pPr>
              <w:pStyle w:val="TableText"/>
              <w:rPr>
                <w:rFonts w:cs="Arial"/>
              </w:rPr>
            </w:pPr>
            <w:r w:rsidRPr="009B7B35">
              <w:rPr>
                <w:rFonts w:cs="Arial"/>
              </w:rPr>
              <w:t>Development does not increase risk to community health or safety, or the operation and reliability of major electricity or bulk water supply infrastructure.</w:t>
            </w:r>
          </w:p>
        </w:tc>
        <w:tc>
          <w:tcPr>
            <w:tcW w:w="4678" w:type="dxa"/>
          </w:tcPr>
          <w:p w14:paraId="19B0287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68E73D9" w14:textId="77777777" w:rsidTr="001A7107">
        <w:trPr>
          <w:cantSplit/>
        </w:trPr>
        <w:tc>
          <w:tcPr>
            <w:tcW w:w="4678" w:type="dxa"/>
            <w:vMerge w:val="restart"/>
          </w:tcPr>
          <w:p w14:paraId="018DBA78" w14:textId="77777777"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9</w:t>
            </w:r>
          </w:p>
          <w:p w14:paraId="35373118" w14:textId="77777777" w:rsidR="00BE36FB" w:rsidRPr="009B7B35" w:rsidRDefault="00BE36FB">
            <w:pPr>
              <w:pStyle w:val="TableText"/>
              <w:rPr>
                <w:rFonts w:cs="Arial"/>
              </w:rPr>
            </w:pPr>
            <w:r w:rsidRPr="009B7B35">
              <w:rPr>
                <w:rFonts w:cs="Arial"/>
              </w:rPr>
              <w:t>Development involving a sensitive land use is sufficiently separated from major electricity or bulk water supply and wastewater infrastructure to minimise the likelihood of nuisance or complaint.</w:t>
            </w:r>
          </w:p>
        </w:tc>
        <w:tc>
          <w:tcPr>
            <w:tcW w:w="4678" w:type="dxa"/>
          </w:tcPr>
          <w:p w14:paraId="216324CB" w14:textId="77777777" w:rsidR="00BE36FB" w:rsidRPr="009B7B35" w:rsidRDefault="00BE36FB" w:rsidP="001A7107">
            <w:pPr>
              <w:pStyle w:val="TableText"/>
              <w:rPr>
                <w:rFonts w:cs="Arial"/>
              </w:rPr>
            </w:pPr>
            <w:r w:rsidRPr="009B7B35">
              <w:rPr>
                <w:rFonts w:cs="Arial"/>
              </w:rPr>
              <w:t>For electricity infrastructure.</w:t>
            </w:r>
          </w:p>
          <w:p w14:paraId="7387444D" w14:textId="77777777" w:rsidR="00BE36FB" w:rsidRPr="009B7B35" w:rsidRDefault="00BE36FB" w:rsidP="001A7107">
            <w:pPr>
              <w:pStyle w:val="TableText"/>
              <w:rPr>
                <w:rFonts w:cs="Arial"/>
                <w:b/>
              </w:rPr>
            </w:pPr>
            <w:r w:rsidRPr="009B7B35">
              <w:rPr>
                <w:rFonts w:cs="Arial"/>
                <w:b/>
              </w:rPr>
              <w:t>AO</w:t>
            </w:r>
            <w:r w:rsidRPr="009B7B35">
              <w:rPr>
                <w:rStyle w:val="Strong"/>
                <w:rFonts w:eastAsiaTheme="majorEastAsia" w:cs="Arial"/>
              </w:rPr>
              <w:t>9.1</w:t>
            </w:r>
          </w:p>
          <w:p w14:paraId="275445E5" w14:textId="77777777" w:rsidR="00BE36FB" w:rsidRPr="009B7B35" w:rsidRDefault="00BE36FB" w:rsidP="001A7107">
            <w:pPr>
              <w:pStyle w:val="TableText"/>
              <w:rPr>
                <w:rFonts w:cs="Arial"/>
              </w:rPr>
            </w:pPr>
            <w:r w:rsidRPr="009B7B35">
              <w:rPr>
                <w:rFonts w:cs="Arial"/>
              </w:rPr>
              <w:t>Buildings (other than class 10 buildings) maintain a setback of at least:</w:t>
            </w:r>
          </w:p>
          <w:p w14:paraId="670A28D9" w14:textId="77777777" w:rsidR="00BE36FB" w:rsidRPr="009B7B35" w:rsidRDefault="00BE36FB" w:rsidP="00BE36FB">
            <w:pPr>
              <w:pStyle w:val="TableText"/>
              <w:numPr>
                <w:ilvl w:val="0"/>
                <w:numId w:val="619"/>
              </w:numPr>
              <w:rPr>
                <w:rFonts w:cs="Arial"/>
              </w:rPr>
            </w:pPr>
            <w:r w:rsidRPr="009B7B35">
              <w:rPr>
                <w:rFonts w:cs="Arial"/>
              </w:rPr>
              <w:t>50m from a transmission (Powerlink operated) substation</w:t>
            </w:r>
          </w:p>
          <w:p w14:paraId="0BCDF1B0" w14:textId="77777777" w:rsidR="00BE36FB" w:rsidRPr="009B7B35" w:rsidRDefault="00BE36FB" w:rsidP="00BE36FB">
            <w:pPr>
              <w:pStyle w:val="TableText"/>
              <w:numPr>
                <w:ilvl w:val="0"/>
                <w:numId w:val="619"/>
              </w:numPr>
              <w:rPr>
                <w:rFonts w:cs="Arial"/>
              </w:rPr>
            </w:pPr>
            <w:r w:rsidRPr="009B7B35">
              <w:rPr>
                <w:rFonts w:cs="Arial"/>
              </w:rPr>
              <w:t>20m from any other substation, and</w:t>
            </w:r>
          </w:p>
          <w:p w14:paraId="76BDB324" w14:textId="77777777" w:rsidR="00BE36FB" w:rsidRPr="009B7B35" w:rsidRDefault="00BE36FB" w:rsidP="00BE36FB">
            <w:pPr>
              <w:pStyle w:val="TableText"/>
              <w:numPr>
                <w:ilvl w:val="0"/>
                <w:numId w:val="619"/>
              </w:numPr>
              <w:rPr>
                <w:rFonts w:cs="Arial"/>
              </w:rPr>
            </w:pPr>
            <w:r w:rsidRPr="009B7B35">
              <w:rPr>
                <w:rFonts w:cs="Arial"/>
              </w:rPr>
              <w:t>20m from a transmission line easement.</w:t>
            </w:r>
          </w:p>
        </w:tc>
      </w:tr>
      <w:tr w:rsidR="00BE36FB" w:rsidRPr="009B7B35" w14:paraId="5B75F182" w14:textId="77777777" w:rsidTr="001A7107">
        <w:trPr>
          <w:cantSplit/>
        </w:trPr>
        <w:tc>
          <w:tcPr>
            <w:tcW w:w="4678" w:type="dxa"/>
            <w:vMerge/>
          </w:tcPr>
          <w:p w14:paraId="01FF2AC5" w14:textId="77777777" w:rsidR="00BE36FB" w:rsidRPr="009B7B35" w:rsidRDefault="00BE36FB" w:rsidP="001A7107">
            <w:pPr>
              <w:pStyle w:val="TableText"/>
              <w:rPr>
                <w:rFonts w:cs="Arial"/>
              </w:rPr>
            </w:pPr>
          </w:p>
        </w:tc>
        <w:tc>
          <w:tcPr>
            <w:tcW w:w="4678" w:type="dxa"/>
          </w:tcPr>
          <w:p w14:paraId="3518805D" w14:textId="77777777" w:rsidR="00BE36FB" w:rsidRPr="009B7B35" w:rsidRDefault="00BE36FB" w:rsidP="001A7107">
            <w:pPr>
              <w:pStyle w:val="TableText"/>
              <w:rPr>
                <w:rFonts w:cs="Arial"/>
              </w:rPr>
            </w:pPr>
            <w:r w:rsidRPr="009B7B35">
              <w:rPr>
                <w:rFonts w:cs="Arial"/>
              </w:rPr>
              <w:t>For water or wastewater treatment plants</w:t>
            </w:r>
          </w:p>
          <w:p w14:paraId="08013D7E"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AO9.2</w:t>
            </w:r>
          </w:p>
          <w:p w14:paraId="32A0BCC0" w14:textId="77777777" w:rsidR="00BE36FB" w:rsidRPr="009B7B35" w:rsidRDefault="00BE36FB" w:rsidP="001A7107">
            <w:pPr>
              <w:pStyle w:val="TableText"/>
              <w:rPr>
                <w:rFonts w:cs="Arial"/>
              </w:rPr>
            </w:pPr>
            <w:r w:rsidRPr="009B7B35">
              <w:rPr>
                <w:rFonts w:cs="Arial"/>
              </w:rPr>
              <w:t>Sensitive land uses are not established or intensified within the buffer of a water or wastewater treatment plants identified on the Regional Infrastructure Overlay Map.</w:t>
            </w:r>
          </w:p>
        </w:tc>
      </w:tr>
      <w:tr w:rsidR="00BE36FB" w:rsidRPr="009B7B35" w14:paraId="71BD7946" w14:textId="77777777" w:rsidTr="001A7107">
        <w:trPr>
          <w:cantSplit/>
        </w:trPr>
        <w:tc>
          <w:tcPr>
            <w:tcW w:w="4678" w:type="dxa"/>
          </w:tcPr>
          <w:p w14:paraId="56BEE74F"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PO10</w:t>
            </w:r>
          </w:p>
          <w:p w14:paraId="74BCAECB" w14:textId="77777777" w:rsidR="00BE36FB" w:rsidRPr="009B7B35" w:rsidRDefault="00BE36FB" w:rsidP="001A7107">
            <w:pPr>
              <w:pStyle w:val="TableText"/>
              <w:rPr>
                <w:rFonts w:cs="Arial"/>
              </w:rPr>
            </w:pPr>
            <w:r w:rsidRPr="009B7B35">
              <w:rPr>
                <w:rFonts w:cs="Arial"/>
              </w:rPr>
              <w:t>Development avoids potential noise nuisance from substations.</w:t>
            </w:r>
          </w:p>
        </w:tc>
        <w:tc>
          <w:tcPr>
            <w:tcW w:w="4678" w:type="dxa"/>
          </w:tcPr>
          <w:p w14:paraId="058A8D92"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AO10</w:t>
            </w:r>
          </w:p>
          <w:p w14:paraId="2F65DC34" w14:textId="77777777" w:rsidR="00BE36FB" w:rsidRPr="009B7B35" w:rsidRDefault="00BE36FB" w:rsidP="001A7107">
            <w:pPr>
              <w:pStyle w:val="TableText"/>
              <w:rPr>
                <w:rFonts w:cs="Arial"/>
              </w:rPr>
            </w:pPr>
            <w:r w:rsidRPr="009B7B35">
              <w:rPr>
                <w:rFonts w:cs="Arial"/>
              </w:rPr>
              <w:t>Noise emissions do not exceed 5db(A) above background noise level at the facia of a building measured in accordance with AS 1055.</w:t>
            </w:r>
          </w:p>
        </w:tc>
      </w:tr>
      <w:tr w:rsidR="00BE36FB" w:rsidRPr="009B7B35" w14:paraId="0C570189" w14:textId="77777777" w:rsidTr="001A7107">
        <w:tc>
          <w:tcPr>
            <w:tcW w:w="4678" w:type="dxa"/>
          </w:tcPr>
          <w:p w14:paraId="0CE27016" w14:textId="77777777" w:rsidR="00BE36FB" w:rsidRPr="009B7B35" w:rsidRDefault="00BE36FB" w:rsidP="001A7107">
            <w:pPr>
              <w:pStyle w:val="TableText"/>
              <w:rPr>
                <w:rFonts w:cs="Arial"/>
                <w:b/>
              </w:rPr>
            </w:pPr>
            <w:r w:rsidRPr="009B7B35">
              <w:rPr>
                <w:rFonts w:cs="Arial"/>
                <w:b/>
              </w:rPr>
              <w:t>PO1</w:t>
            </w:r>
            <w:r w:rsidRPr="009B7B35">
              <w:rPr>
                <w:rStyle w:val="Strong"/>
                <w:rFonts w:eastAsiaTheme="majorEastAsia" w:cs="Arial"/>
              </w:rPr>
              <w:t>1</w:t>
            </w:r>
          </w:p>
          <w:p w14:paraId="65F2C6FE" w14:textId="77777777" w:rsidR="00BE36FB" w:rsidRPr="009B7B35" w:rsidRDefault="00BE36FB" w:rsidP="001A7107">
            <w:pPr>
              <w:pStyle w:val="TableText"/>
              <w:rPr>
                <w:rFonts w:cs="Arial"/>
              </w:rPr>
            </w:pPr>
            <w:r w:rsidRPr="009B7B35">
              <w:rPr>
                <w:rFonts w:cs="Arial"/>
              </w:rPr>
              <w:t>Other than where they are separated from the infrastructure by a road, buildings are oriented to avoid direct overlooking of major electricity infrastructure or substations.</w:t>
            </w:r>
          </w:p>
        </w:tc>
        <w:tc>
          <w:tcPr>
            <w:tcW w:w="4678" w:type="dxa"/>
          </w:tcPr>
          <w:p w14:paraId="2DC8F7A9" w14:textId="77777777" w:rsidR="00BE36FB" w:rsidRPr="009B7B35" w:rsidRDefault="00BE36FB" w:rsidP="001A7107">
            <w:pPr>
              <w:pStyle w:val="TableText"/>
              <w:rPr>
                <w:rFonts w:cs="Arial"/>
              </w:rPr>
            </w:pPr>
            <w:r w:rsidRPr="009B7B35">
              <w:rPr>
                <w:rFonts w:cs="Arial"/>
              </w:rPr>
              <w:t>No acceptable outcome is nominated.</w:t>
            </w:r>
          </w:p>
          <w:p w14:paraId="11D1CBC4" w14:textId="77777777" w:rsidR="00BE36FB" w:rsidRPr="009B7B35" w:rsidRDefault="00BE36FB" w:rsidP="001A7107">
            <w:pPr>
              <w:pStyle w:val="Notes"/>
              <w:rPr>
                <w:rFonts w:cs="Arial"/>
                <w:sz w:val="20"/>
                <w:szCs w:val="20"/>
              </w:rPr>
            </w:pPr>
            <w:r w:rsidRPr="009B7B35">
              <w:rPr>
                <w:rFonts w:cs="Arial"/>
                <w:sz w:val="20"/>
                <w:szCs w:val="20"/>
              </w:rPr>
              <w:t>Note—The figure below provides an illustration of buildings oriented away from infrastructure.</w:t>
            </w:r>
          </w:p>
          <w:p w14:paraId="3882C89D" w14:textId="77777777" w:rsidR="00BE36FB" w:rsidRPr="009B7B35" w:rsidRDefault="00BE36FB" w:rsidP="001A7107">
            <w:pPr>
              <w:pStyle w:val="TableText"/>
              <w:rPr>
                <w:rFonts w:cs="Arial"/>
              </w:rPr>
            </w:pPr>
            <w:r w:rsidRPr="009B7B35">
              <w:rPr>
                <w:rFonts w:cs="Arial"/>
                <w:noProof/>
              </w:rPr>
              <w:drawing>
                <wp:inline distT="0" distB="0" distL="0" distR="0" wp14:anchorId="6BDC076B" wp14:editId="73158CCD">
                  <wp:extent cx="2844000" cy="1699919"/>
                  <wp:effectExtent l="19050" t="19050" r="13970" b="146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12.jpg"/>
                          <pic:cNvPicPr/>
                        </pic:nvPicPr>
                        <pic:blipFill>
                          <a:blip r:embed="rId88">
                            <a:extLst>
                              <a:ext uri="{28A0092B-C50C-407E-A947-70E740481C1C}">
                                <a14:useLocalDpi xmlns:a14="http://schemas.microsoft.com/office/drawing/2010/main" val="0"/>
                              </a:ext>
                            </a:extLst>
                          </a:blip>
                          <a:stretch>
                            <a:fillRect/>
                          </a:stretch>
                        </pic:blipFill>
                        <pic:spPr>
                          <a:xfrm>
                            <a:off x="0" y="0"/>
                            <a:ext cx="2844000" cy="1699919"/>
                          </a:xfrm>
                          <a:prstGeom prst="rect">
                            <a:avLst/>
                          </a:prstGeom>
                          <a:ln w="12700">
                            <a:solidFill>
                              <a:schemeClr val="bg1"/>
                            </a:solidFill>
                          </a:ln>
                        </pic:spPr>
                      </pic:pic>
                    </a:graphicData>
                  </a:graphic>
                </wp:inline>
              </w:drawing>
            </w:r>
          </w:p>
        </w:tc>
      </w:tr>
      <w:tr w:rsidR="00BE36FB" w:rsidRPr="009B7B35" w14:paraId="44E24F4F" w14:textId="77777777" w:rsidTr="001A7107">
        <w:tc>
          <w:tcPr>
            <w:tcW w:w="4678" w:type="dxa"/>
          </w:tcPr>
          <w:p w14:paraId="00E297BA" w14:textId="77777777" w:rsidR="00BE36FB" w:rsidRPr="009B7B35" w:rsidRDefault="00BE36FB" w:rsidP="001A7107">
            <w:pPr>
              <w:pStyle w:val="TableText"/>
              <w:rPr>
                <w:rFonts w:cs="Arial"/>
                <w:b/>
              </w:rPr>
            </w:pPr>
            <w:r w:rsidRPr="009B7B35">
              <w:rPr>
                <w:rFonts w:cs="Arial"/>
                <w:b/>
              </w:rPr>
              <w:t>PO1</w:t>
            </w:r>
            <w:r w:rsidRPr="009B7B35">
              <w:rPr>
                <w:rStyle w:val="Strong"/>
                <w:rFonts w:eastAsiaTheme="majorEastAsia" w:cs="Arial"/>
              </w:rPr>
              <w:t>2</w:t>
            </w:r>
          </w:p>
          <w:p w14:paraId="0FE35B78" w14:textId="77777777" w:rsidR="00BE36FB" w:rsidRPr="009B7B35" w:rsidRDefault="00BE36FB" w:rsidP="001A7107">
            <w:pPr>
              <w:pStyle w:val="TableText"/>
              <w:rPr>
                <w:rFonts w:cs="Arial"/>
              </w:rPr>
            </w:pPr>
            <w:r w:rsidRPr="009B7B35">
              <w:rPr>
                <w:rFonts w:cs="Arial"/>
              </w:rPr>
              <w:t>Development includes sufficient space within the site to establish landscaping which substantively assists in screening and softening poles, towers or other structures and equipment associated with major electricity infrastructure and substations.</w:t>
            </w:r>
          </w:p>
        </w:tc>
        <w:tc>
          <w:tcPr>
            <w:tcW w:w="4678" w:type="dxa"/>
          </w:tcPr>
          <w:p w14:paraId="2038B41C" w14:textId="77777777" w:rsidR="00BE36FB" w:rsidRPr="009B7B35" w:rsidRDefault="00BE36FB" w:rsidP="001A7107">
            <w:pPr>
              <w:pStyle w:val="TableText"/>
              <w:rPr>
                <w:rFonts w:cs="Arial"/>
                <w:b/>
              </w:rPr>
            </w:pPr>
            <w:r w:rsidRPr="009B7B35">
              <w:rPr>
                <w:rFonts w:cs="Arial"/>
                <w:b/>
              </w:rPr>
              <w:t>AO</w:t>
            </w:r>
            <w:r w:rsidRPr="009B7B35">
              <w:rPr>
                <w:rStyle w:val="Strong"/>
                <w:rFonts w:eastAsiaTheme="majorEastAsia" w:cs="Arial"/>
              </w:rPr>
              <w:t>12</w:t>
            </w:r>
          </w:p>
          <w:p w14:paraId="3A6246EA" w14:textId="77777777" w:rsidR="00BE36FB" w:rsidRPr="009B7B35" w:rsidRDefault="00BE36FB" w:rsidP="001A7107">
            <w:pPr>
              <w:pStyle w:val="TableText"/>
              <w:rPr>
                <w:rFonts w:cs="Arial"/>
              </w:rPr>
            </w:pPr>
            <w:r w:rsidRPr="009B7B35">
              <w:rPr>
                <w:rFonts w:cs="Arial"/>
              </w:rPr>
              <w:t xml:space="preserve">A minimum 3m wide densely planted landscaped buffer is provided along the boundary adjoining the major electricity infrastructure, including provision for advanced trees and shrubs that will grow to a minimum height of 10m. </w:t>
            </w:r>
          </w:p>
          <w:p w14:paraId="67474BB2" w14:textId="77777777" w:rsidR="00BE36FB" w:rsidRPr="009B7B35" w:rsidRDefault="00BE36FB" w:rsidP="001A7107">
            <w:pPr>
              <w:pStyle w:val="Notes"/>
              <w:rPr>
                <w:rFonts w:cs="Arial"/>
                <w:sz w:val="20"/>
                <w:szCs w:val="20"/>
              </w:rPr>
            </w:pPr>
            <w:r w:rsidRPr="009B7B35">
              <w:rPr>
                <w:rFonts w:cs="Arial"/>
                <w:sz w:val="20"/>
                <w:szCs w:val="20"/>
              </w:rPr>
              <w:t>Note—The figures below provide an example but are not drawn to scale. Applicants may find guidance in Powerlink’s “</w:t>
            </w:r>
            <w:r w:rsidRPr="009B7B35">
              <w:rPr>
                <w:rStyle w:val="StyleNotesItalic2"/>
                <w:rFonts w:cs="Arial"/>
                <w:sz w:val="20"/>
              </w:rPr>
              <w:t>Screening your home from powerlines – A guide for planting trees and shrubs outside of easements to screen powerlines</w:t>
            </w:r>
            <w:r w:rsidRPr="009B7B35">
              <w:rPr>
                <w:rFonts w:cs="Arial"/>
                <w:sz w:val="20"/>
                <w:szCs w:val="20"/>
              </w:rPr>
              <w:t>”. Applicants should also note that vegetation will need to maintain statutory clearances (refer Ergon’s Standard for Vegetation Management and Standard for Vegetation Clearance Profile.) Applicants should also note that vegetation will need to maintain statutory clearances (refer Ergon’s Standard for Vegetation Management and Standard for Vegetation Clearance Profile)</w:t>
            </w:r>
          </w:p>
          <w:p w14:paraId="352FD52A" w14:textId="77777777" w:rsidR="00BE36FB" w:rsidRPr="009B7B35" w:rsidRDefault="00BE36FB" w:rsidP="001A7107">
            <w:pPr>
              <w:pStyle w:val="TableText"/>
              <w:rPr>
                <w:rFonts w:cs="Arial"/>
              </w:rPr>
            </w:pPr>
            <w:r w:rsidRPr="009B7B35">
              <w:rPr>
                <w:rFonts w:cs="Arial"/>
                <w:noProof/>
              </w:rPr>
              <w:drawing>
                <wp:inline distT="0" distB="0" distL="0" distR="0" wp14:anchorId="1CC79B45" wp14:editId="309C7737">
                  <wp:extent cx="2844000" cy="2348396"/>
                  <wp:effectExtent l="19050" t="19050" r="13970" b="139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13-1.jpg"/>
                          <pic:cNvPicPr/>
                        </pic:nvPicPr>
                        <pic:blipFill>
                          <a:blip r:embed="rId89">
                            <a:extLst>
                              <a:ext uri="{28A0092B-C50C-407E-A947-70E740481C1C}">
                                <a14:useLocalDpi xmlns:a14="http://schemas.microsoft.com/office/drawing/2010/main" val="0"/>
                              </a:ext>
                            </a:extLst>
                          </a:blip>
                          <a:stretch>
                            <a:fillRect/>
                          </a:stretch>
                        </pic:blipFill>
                        <pic:spPr>
                          <a:xfrm>
                            <a:off x="0" y="0"/>
                            <a:ext cx="2844000" cy="2348396"/>
                          </a:xfrm>
                          <a:prstGeom prst="rect">
                            <a:avLst/>
                          </a:prstGeom>
                          <a:ln w="12700">
                            <a:solidFill>
                              <a:schemeClr val="bg1"/>
                            </a:solidFill>
                          </a:ln>
                        </pic:spPr>
                      </pic:pic>
                    </a:graphicData>
                  </a:graphic>
                </wp:inline>
              </w:drawing>
            </w:r>
          </w:p>
          <w:p w14:paraId="07117C83" w14:textId="77777777" w:rsidR="00BE36FB" w:rsidRPr="009B7B35" w:rsidRDefault="00BE36FB" w:rsidP="001A7107">
            <w:pPr>
              <w:pStyle w:val="TableText"/>
              <w:rPr>
                <w:rFonts w:cs="Arial"/>
              </w:rPr>
            </w:pPr>
            <w:r w:rsidRPr="009B7B35">
              <w:rPr>
                <w:rFonts w:cs="Arial"/>
                <w:noProof/>
              </w:rPr>
              <w:drawing>
                <wp:inline distT="0" distB="0" distL="0" distR="0" wp14:anchorId="7D9647F4" wp14:editId="095346B8">
                  <wp:extent cx="2844000" cy="2348194"/>
                  <wp:effectExtent l="19050" t="19050" r="13970" b="146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13-2.jpg"/>
                          <pic:cNvPicPr/>
                        </pic:nvPicPr>
                        <pic:blipFill>
                          <a:blip r:embed="rId90">
                            <a:extLst>
                              <a:ext uri="{28A0092B-C50C-407E-A947-70E740481C1C}">
                                <a14:useLocalDpi xmlns:a14="http://schemas.microsoft.com/office/drawing/2010/main" val="0"/>
                              </a:ext>
                            </a:extLst>
                          </a:blip>
                          <a:stretch>
                            <a:fillRect/>
                          </a:stretch>
                        </pic:blipFill>
                        <pic:spPr>
                          <a:xfrm>
                            <a:off x="0" y="0"/>
                            <a:ext cx="2844000" cy="2348194"/>
                          </a:xfrm>
                          <a:prstGeom prst="rect">
                            <a:avLst/>
                          </a:prstGeom>
                          <a:ln w="12700">
                            <a:solidFill>
                              <a:schemeClr val="bg1"/>
                            </a:solidFill>
                          </a:ln>
                        </pic:spPr>
                      </pic:pic>
                    </a:graphicData>
                  </a:graphic>
                </wp:inline>
              </w:drawing>
            </w:r>
          </w:p>
        </w:tc>
      </w:tr>
      <w:tr w:rsidR="00BE36FB" w:rsidRPr="009B7B35" w14:paraId="261A5CEB" w14:textId="77777777" w:rsidTr="001A7107">
        <w:trPr>
          <w:cantSplit/>
        </w:trPr>
        <w:tc>
          <w:tcPr>
            <w:tcW w:w="4678" w:type="dxa"/>
          </w:tcPr>
          <w:p w14:paraId="39095980" w14:textId="77777777" w:rsidR="00BE36FB" w:rsidRPr="009B7B35" w:rsidRDefault="00BE36FB" w:rsidP="001A7107">
            <w:pPr>
              <w:pStyle w:val="TableText"/>
              <w:rPr>
                <w:rFonts w:cs="Arial"/>
                <w:b/>
              </w:rPr>
            </w:pPr>
            <w:r w:rsidRPr="009B7B35">
              <w:rPr>
                <w:rFonts w:cs="Arial"/>
                <w:b/>
              </w:rPr>
              <w:t>PO1</w:t>
            </w:r>
            <w:r w:rsidRPr="009B7B35">
              <w:rPr>
                <w:rStyle w:val="Strong"/>
                <w:rFonts w:eastAsiaTheme="majorEastAsia" w:cs="Arial"/>
              </w:rPr>
              <w:t>3</w:t>
            </w:r>
          </w:p>
          <w:p w14:paraId="36BB4823" w14:textId="77777777" w:rsidR="00BE36FB" w:rsidRPr="009B7B35" w:rsidRDefault="00BE36FB" w:rsidP="001A7107">
            <w:pPr>
              <w:pStyle w:val="TableText"/>
              <w:rPr>
                <w:rFonts w:cs="Arial"/>
              </w:rPr>
            </w:pPr>
            <w:r w:rsidRPr="009B7B35">
              <w:rPr>
                <w:rFonts w:cs="Arial"/>
              </w:rPr>
              <w:t>Major electricity or bulk water supply infrastructure within private land is protected by easement in favour of the service provider.</w:t>
            </w:r>
          </w:p>
        </w:tc>
        <w:tc>
          <w:tcPr>
            <w:tcW w:w="4678" w:type="dxa"/>
          </w:tcPr>
          <w:p w14:paraId="49CB28E0" w14:textId="77777777" w:rsidR="00BE36FB" w:rsidRPr="009B7B35" w:rsidRDefault="00BE36FB" w:rsidP="001A7107">
            <w:pPr>
              <w:pStyle w:val="TableText"/>
              <w:rPr>
                <w:rFonts w:cs="Arial"/>
                <w:b/>
              </w:rPr>
            </w:pPr>
            <w:r w:rsidRPr="009B7B35">
              <w:rPr>
                <w:rFonts w:cs="Arial"/>
                <w:b/>
              </w:rPr>
              <w:t>AO1</w:t>
            </w:r>
            <w:r w:rsidRPr="009B7B35">
              <w:rPr>
                <w:rStyle w:val="Strong"/>
                <w:rFonts w:eastAsiaTheme="majorEastAsia" w:cs="Arial"/>
              </w:rPr>
              <w:t>3</w:t>
            </w:r>
          </w:p>
          <w:p w14:paraId="11EC0221" w14:textId="77777777" w:rsidR="00BE36FB" w:rsidRPr="009B7B35" w:rsidRDefault="00BE36FB" w:rsidP="001A7107">
            <w:pPr>
              <w:pStyle w:val="TableText"/>
              <w:rPr>
                <w:rFonts w:cs="Arial"/>
              </w:rPr>
            </w:pPr>
            <w:r w:rsidRPr="009B7B35">
              <w:rPr>
                <w:rFonts w:cs="Arial"/>
              </w:rPr>
              <w:t>Existing easements are maintained and where none currently exist, new easements are created which are sufficient for the provider’s requirements.</w:t>
            </w:r>
          </w:p>
        </w:tc>
      </w:tr>
      <w:tr w:rsidR="00BE36FB" w:rsidRPr="009B7B35" w14:paraId="66089C9E" w14:textId="77777777" w:rsidTr="001A7107">
        <w:trPr>
          <w:cantSplit/>
        </w:trPr>
        <w:tc>
          <w:tcPr>
            <w:tcW w:w="4678" w:type="dxa"/>
          </w:tcPr>
          <w:p w14:paraId="5C6B6E4C" w14:textId="77777777" w:rsidR="00BE36FB" w:rsidRPr="009B7B35" w:rsidRDefault="00BE36FB" w:rsidP="001A7107">
            <w:pPr>
              <w:pStyle w:val="TableText"/>
              <w:rPr>
                <w:rFonts w:cs="Arial"/>
                <w:b/>
              </w:rPr>
            </w:pPr>
            <w:r w:rsidRPr="009B7B35">
              <w:rPr>
                <w:rFonts w:cs="Arial"/>
                <w:b/>
              </w:rPr>
              <w:t>PO1</w:t>
            </w:r>
            <w:r w:rsidRPr="009B7B35">
              <w:rPr>
                <w:rStyle w:val="Strong"/>
                <w:rFonts w:eastAsiaTheme="majorEastAsia" w:cs="Arial"/>
              </w:rPr>
              <w:t>4</w:t>
            </w:r>
          </w:p>
          <w:p w14:paraId="20734C07" w14:textId="77777777" w:rsidR="00BE36FB" w:rsidRPr="009B7B35" w:rsidRDefault="00BE36FB" w:rsidP="001A7107">
            <w:pPr>
              <w:pStyle w:val="TableText"/>
              <w:rPr>
                <w:rFonts w:cs="Arial"/>
              </w:rPr>
            </w:pPr>
            <w:r w:rsidRPr="009B7B35">
              <w:rPr>
                <w:rFonts w:cs="Arial"/>
              </w:rPr>
              <w:t>Development does not compromise or adversely impact upon the efficiency and integrity of major electricity and bulk water supply infrastructure networks.</w:t>
            </w:r>
          </w:p>
        </w:tc>
        <w:tc>
          <w:tcPr>
            <w:tcW w:w="4678" w:type="dxa"/>
          </w:tcPr>
          <w:p w14:paraId="02386A09" w14:textId="77777777" w:rsidR="00BE36FB" w:rsidRPr="009B7B35" w:rsidRDefault="00BE36FB" w:rsidP="001A7107">
            <w:pPr>
              <w:pStyle w:val="TableText"/>
              <w:rPr>
                <w:rFonts w:cs="Arial"/>
                <w:b/>
              </w:rPr>
            </w:pPr>
            <w:r w:rsidRPr="009B7B35">
              <w:rPr>
                <w:rFonts w:cs="Arial"/>
                <w:b/>
              </w:rPr>
              <w:t>AO1</w:t>
            </w:r>
            <w:r w:rsidRPr="009B7B35">
              <w:rPr>
                <w:rStyle w:val="Strong"/>
                <w:rFonts w:eastAsiaTheme="majorEastAsia" w:cs="Arial"/>
              </w:rPr>
              <w:t>4</w:t>
            </w:r>
          </w:p>
          <w:p w14:paraId="4948854E" w14:textId="77777777" w:rsidR="00BE36FB" w:rsidRPr="009B7B35" w:rsidRDefault="00BE36FB" w:rsidP="001A7107">
            <w:pPr>
              <w:pStyle w:val="TableText"/>
              <w:rPr>
                <w:rFonts w:cs="Arial"/>
              </w:rPr>
            </w:pPr>
            <w:r w:rsidRPr="009B7B35">
              <w:rPr>
                <w:rFonts w:cs="Arial"/>
              </w:rPr>
              <w:t>For bulk water infrastructure, buildings and structures (other than those associated with electricity infrastructure) are setback a minimum of 20m from a water supply pipeline.</w:t>
            </w:r>
          </w:p>
          <w:p w14:paraId="7E2ED75A" w14:textId="77777777" w:rsidR="00BE36FB" w:rsidRPr="009B7B35" w:rsidRDefault="00BE36FB" w:rsidP="001A7107">
            <w:pPr>
              <w:pStyle w:val="TableText"/>
              <w:rPr>
                <w:rFonts w:cs="Arial"/>
              </w:rPr>
            </w:pPr>
            <w:r w:rsidRPr="009B7B35">
              <w:rPr>
                <w:rFonts w:cs="Arial"/>
              </w:rPr>
              <w:t>No acceptable outcome for major electricity infrastructure.</w:t>
            </w:r>
          </w:p>
        </w:tc>
      </w:tr>
      <w:tr w:rsidR="00BE36FB" w:rsidRPr="009B7B35" w14:paraId="40AC6D50" w14:textId="77777777" w:rsidTr="001A7107">
        <w:trPr>
          <w:cantSplit/>
        </w:trPr>
        <w:tc>
          <w:tcPr>
            <w:tcW w:w="9356" w:type="dxa"/>
            <w:gridSpan w:val="2"/>
            <w:shd w:val="clear" w:color="auto" w:fill="BFBFBF" w:themeFill="background1" w:themeFillShade="BF"/>
          </w:tcPr>
          <w:p w14:paraId="736D3C3A" w14:textId="77777777" w:rsidR="00BE36FB" w:rsidRPr="009B7B35" w:rsidRDefault="00BE36FB" w:rsidP="001A7107">
            <w:pPr>
              <w:pStyle w:val="Tableheading"/>
              <w:rPr>
                <w:rFonts w:ascii="Arial" w:hAnsi="Arial" w:cs="Arial"/>
                <w:szCs w:val="20"/>
              </w:rPr>
            </w:pPr>
            <w:r w:rsidRPr="009B7B35">
              <w:rPr>
                <w:rFonts w:ascii="Arial" w:hAnsi="Arial" w:cs="Arial"/>
                <w:szCs w:val="20"/>
              </w:rPr>
              <w:t>Operational works and infrastructure</w:t>
            </w:r>
          </w:p>
        </w:tc>
      </w:tr>
      <w:tr w:rsidR="00BE36FB" w:rsidRPr="009B7B35" w14:paraId="41502622" w14:textId="77777777" w:rsidTr="001A7107">
        <w:trPr>
          <w:cantSplit/>
        </w:trPr>
        <w:tc>
          <w:tcPr>
            <w:tcW w:w="4678" w:type="dxa"/>
          </w:tcPr>
          <w:p w14:paraId="31EA73CD" w14:textId="77777777"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15</w:t>
            </w:r>
          </w:p>
          <w:p w14:paraId="0A693BDE" w14:textId="77777777" w:rsidR="00BE36FB" w:rsidRPr="009B7B35" w:rsidRDefault="00BE36FB" w:rsidP="001A7107">
            <w:pPr>
              <w:pStyle w:val="TableText"/>
              <w:rPr>
                <w:rFonts w:cs="Arial"/>
              </w:rPr>
            </w:pPr>
            <w:r w:rsidRPr="009B7B35">
              <w:rPr>
                <w:rFonts w:cs="Arial"/>
              </w:rPr>
              <w:t>Development within a water supply infrastructure buffer is located, designed and constructed to:</w:t>
            </w:r>
          </w:p>
          <w:p w14:paraId="022A7690" w14:textId="77777777" w:rsidR="00BE36FB" w:rsidRPr="009B7B35" w:rsidRDefault="00BE36FB" w:rsidP="00BE36FB">
            <w:pPr>
              <w:pStyle w:val="TableText"/>
              <w:numPr>
                <w:ilvl w:val="0"/>
                <w:numId w:val="658"/>
              </w:numPr>
              <w:rPr>
                <w:rFonts w:cs="Arial"/>
              </w:rPr>
            </w:pPr>
            <w:r w:rsidRPr="009B7B35">
              <w:rPr>
                <w:rFonts w:cs="Arial"/>
              </w:rPr>
              <w:t>protect the integrity of the water supply infrastructure</w:t>
            </w:r>
          </w:p>
          <w:p w14:paraId="32132DA8" w14:textId="77777777" w:rsidR="00BE36FB" w:rsidRPr="009B7B35" w:rsidRDefault="00BE36FB" w:rsidP="00BE36FB">
            <w:pPr>
              <w:pStyle w:val="TableText"/>
              <w:numPr>
                <w:ilvl w:val="0"/>
                <w:numId w:val="658"/>
              </w:numPr>
              <w:rPr>
                <w:rFonts w:cs="Arial"/>
              </w:rPr>
            </w:pPr>
            <w:r w:rsidRPr="009B7B35">
              <w:rPr>
                <w:rFonts w:cs="Arial"/>
              </w:rPr>
              <w:t>maintains adequate access for any required maintenance or upgrading work to the water supply infrastructure.</w:t>
            </w:r>
          </w:p>
        </w:tc>
        <w:tc>
          <w:tcPr>
            <w:tcW w:w="4678" w:type="dxa"/>
          </w:tcPr>
          <w:p w14:paraId="24CB5A7B" w14:textId="77777777" w:rsidR="00BE36FB" w:rsidRPr="009B7B35" w:rsidRDefault="00BE36FB" w:rsidP="001A7107">
            <w:pPr>
              <w:pStyle w:val="TableText"/>
              <w:rPr>
                <w:rFonts w:cs="Arial"/>
                <w:b/>
              </w:rPr>
            </w:pPr>
            <w:r w:rsidRPr="009B7B35">
              <w:rPr>
                <w:rFonts w:cs="Arial"/>
                <w:b/>
              </w:rPr>
              <w:t>AO1</w:t>
            </w:r>
            <w:r w:rsidRPr="009B7B35">
              <w:rPr>
                <w:rStyle w:val="Strong"/>
                <w:rFonts w:eastAsiaTheme="majorEastAsia" w:cs="Arial"/>
              </w:rPr>
              <w:t>5</w:t>
            </w:r>
          </w:p>
          <w:p w14:paraId="285AE000" w14:textId="77777777" w:rsidR="00BE36FB" w:rsidRPr="009B7B35" w:rsidRDefault="00BE36FB" w:rsidP="001A7107">
            <w:pPr>
              <w:pStyle w:val="TableText"/>
              <w:rPr>
                <w:rFonts w:cs="Arial"/>
              </w:rPr>
            </w:pPr>
            <w:r w:rsidRPr="009B7B35">
              <w:rPr>
                <w:rFonts w:cs="Arial"/>
              </w:rPr>
              <w:t>Development does not involve works within a water supply infrastructure buffer.</w:t>
            </w:r>
          </w:p>
        </w:tc>
      </w:tr>
      <w:tr w:rsidR="00BE36FB" w:rsidRPr="009B7B35" w14:paraId="393BC62E" w14:textId="77777777" w:rsidTr="001A7107">
        <w:trPr>
          <w:cantSplit/>
        </w:trPr>
        <w:tc>
          <w:tcPr>
            <w:tcW w:w="4678" w:type="dxa"/>
          </w:tcPr>
          <w:p w14:paraId="3AD3C0CA" w14:textId="77777777" w:rsidR="00BE36FB" w:rsidRPr="009B7B35" w:rsidRDefault="00BE36FB" w:rsidP="001A7107">
            <w:pPr>
              <w:pStyle w:val="TableText"/>
              <w:rPr>
                <w:rFonts w:cs="Arial"/>
                <w:b/>
              </w:rPr>
            </w:pPr>
            <w:r w:rsidRPr="009B7B35">
              <w:rPr>
                <w:rFonts w:cs="Arial"/>
                <w:b/>
              </w:rPr>
              <w:t>PO1</w:t>
            </w:r>
            <w:r w:rsidRPr="009B7B35">
              <w:rPr>
                <w:rStyle w:val="Strong"/>
                <w:rFonts w:eastAsiaTheme="majorEastAsia" w:cs="Arial"/>
              </w:rPr>
              <w:t>6</w:t>
            </w:r>
          </w:p>
          <w:p w14:paraId="6897E870" w14:textId="77777777" w:rsidR="00BE36FB" w:rsidRPr="009B7B35" w:rsidRDefault="00BE36FB" w:rsidP="001A7107">
            <w:pPr>
              <w:pStyle w:val="TableText"/>
              <w:rPr>
                <w:rFonts w:cs="Arial"/>
              </w:rPr>
            </w:pPr>
            <w:r w:rsidRPr="009B7B35">
              <w:rPr>
                <w:rFonts w:cs="Arial"/>
              </w:rPr>
              <w:t>Earthworks do not restrict access to substations or to and along major electricity infrastructure by the electricity providers, using their normal vehicles and equipment.</w:t>
            </w:r>
          </w:p>
        </w:tc>
        <w:tc>
          <w:tcPr>
            <w:tcW w:w="4678" w:type="dxa"/>
          </w:tcPr>
          <w:p w14:paraId="26BCEF79" w14:textId="77777777" w:rsidR="00BE36FB" w:rsidRPr="009B7B35" w:rsidRDefault="00BE36FB" w:rsidP="001A7107">
            <w:pPr>
              <w:pStyle w:val="TableText"/>
              <w:rPr>
                <w:rFonts w:cs="Arial"/>
              </w:rPr>
            </w:pPr>
            <w:r w:rsidRPr="009B7B35">
              <w:rPr>
                <w:rFonts w:cs="Arial"/>
              </w:rPr>
              <w:t xml:space="preserve">No acceptable outcome is nominated. </w:t>
            </w:r>
          </w:p>
        </w:tc>
      </w:tr>
      <w:tr w:rsidR="00BE36FB" w:rsidRPr="009B7B35" w14:paraId="5A9E69FB" w14:textId="77777777" w:rsidTr="001A7107">
        <w:trPr>
          <w:cantSplit/>
        </w:trPr>
        <w:tc>
          <w:tcPr>
            <w:tcW w:w="4678" w:type="dxa"/>
          </w:tcPr>
          <w:p w14:paraId="452EA8A7" w14:textId="77777777"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17</w:t>
            </w:r>
          </w:p>
          <w:p w14:paraId="2A08F59F" w14:textId="77777777" w:rsidR="00BE36FB" w:rsidRPr="009B7B35" w:rsidRDefault="00BE36FB" w:rsidP="001A7107">
            <w:pPr>
              <w:pStyle w:val="TableText"/>
              <w:rPr>
                <w:rFonts w:cs="Arial"/>
              </w:rPr>
            </w:pPr>
            <w:r w:rsidRPr="009B7B35">
              <w:rPr>
                <w:rFonts w:cs="Arial"/>
              </w:rPr>
              <w:t>There is no worsening of flooding, drainage or erosion conditions affecting the infrastructure.</w:t>
            </w:r>
          </w:p>
        </w:tc>
        <w:tc>
          <w:tcPr>
            <w:tcW w:w="4678" w:type="dxa"/>
          </w:tcPr>
          <w:p w14:paraId="34C39E44" w14:textId="77777777" w:rsidR="00BE36FB" w:rsidRPr="009B7B35" w:rsidRDefault="00BE36FB" w:rsidP="001A7107">
            <w:pPr>
              <w:pStyle w:val="TableText"/>
              <w:rPr>
                <w:rFonts w:cs="Arial"/>
              </w:rPr>
            </w:pPr>
            <w:r w:rsidRPr="009B7B35">
              <w:rPr>
                <w:rFonts w:cs="Arial"/>
              </w:rPr>
              <w:t xml:space="preserve">No acceptable outcome is nominated. </w:t>
            </w:r>
          </w:p>
          <w:p w14:paraId="4F9B77CF" w14:textId="77777777" w:rsidR="00BE36FB" w:rsidRPr="009B7B35" w:rsidRDefault="00BE36FB" w:rsidP="001A7107">
            <w:pPr>
              <w:pStyle w:val="Notes"/>
              <w:rPr>
                <w:rFonts w:cs="Arial"/>
                <w:sz w:val="20"/>
                <w:szCs w:val="20"/>
              </w:rPr>
            </w:pPr>
            <w:r w:rsidRPr="009B7B35">
              <w:rPr>
                <w:rFonts w:cs="Arial"/>
                <w:sz w:val="20"/>
                <w:szCs w:val="20"/>
              </w:rPr>
              <w:t>Note—The figures below illustrate the concept.</w:t>
            </w:r>
          </w:p>
          <w:p w14:paraId="1A5029A0" w14:textId="77777777" w:rsidR="00BE36FB" w:rsidRPr="009B7B35" w:rsidRDefault="00BE36FB" w:rsidP="001A7107">
            <w:pPr>
              <w:pStyle w:val="TableText"/>
              <w:rPr>
                <w:rFonts w:cs="Arial"/>
              </w:rPr>
            </w:pPr>
            <w:r w:rsidRPr="009B7B35">
              <w:rPr>
                <w:rFonts w:cs="Arial"/>
                <w:noProof/>
              </w:rPr>
              <w:drawing>
                <wp:inline distT="0" distB="0" distL="0" distR="0" wp14:anchorId="5ACCA3AF" wp14:editId="77B05C2B">
                  <wp:extent cx="2844000" cy="1709273"/>
                  <wp:effectExtent l="19050" t="19050" r="13970" b="2476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18-1.jpg"/>
                          <pic:cNvPicPr/>
                        </pic:nvPicPr>
                        <pic:blipFill>
                          <a:blip r:embed="rId91">
                            <a:extLst>
                              <a:ext uri="{28A0092B-C50C-407E-A947-70E740481C1C}">
                                <a14:useLocalDpi xmlns:a14="http://schemas.microsoft.com/office/drawing/2010/main" val="0"/>
                              </a:ext>
                            </a:extLst>
                          </a:blip>
                          <a:stretch>
                            <a:fillRect/>
                          </a:stretch>
                        </pic:blipFill>
                        <pic:spPr>
                          <a:xfrm>
                            <a:off x="0" y="0"/>
                            <a:ext cx="2844000" cy="1709273"/>
                          </a:xfrm>
                          <a:prstGeom prst="rect">
                            <a:avLst/>
                          </a:prstGeom>
                          <a:ln w="12700">
                            <a:solidFill>
                              <a:schemeClr val="bg1"/>
                            </a:solidFill>
                          </a:ln>
                        </pic:spPr>
                      </pic:pic>
                    </a:graphicData>
                  </a:graphic>
                </wp:inline>
              </w:drawing>
            </w:r>
          </w:p>
          <w:p w14:paraId="1059A868" w14:textId="77777777" w:rsidR="00BE36FB" w:rsidRPr="009B7B35" w:rsidRDefault="00BE36FB" w:rsidP="001A7107">
            <w:pPr>
              <w:pStyle w:val="TableText"/>
              <w:rPr>
                <w:rFonts w:cs="Arial"/>
              </w:rPr>
            </w:pPr>
            <w:r w:rsidRPr="009B7B35">
              <w:rPr>
                <w:rFonts w:cs="Arial"/>
                <w:noProof/>
              </w:rPr>
              <w:drawing>
                <wp:inline distT="0" distB="0" distL="0" distR="0" wp14:anchorId="43CCD788" wp14:editId="24754444">
                  <wp:extent cx="2844000" cy="1700433"/>
                  <wp:effectExtent l="19050" t="19050" r="13970" b="146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18-2.jpg"/>
                          <pic:cNvPicPr/>
                        </pic:nvPicPr>
                        <pic:blipFill>
                          <a:blip r:embed="rId92">
                            <a:extLst>
                              <a:ext uri="{28A0092B-C50C-407E-A947-70E740481C1C}">
                                <a14:useLocalDpi xmlns:a14="http://schemas.microsoft.com/office/drawing/2010/main" val="0"/>
                              </a:ext>
                            </a:extLst>
                          </a:blip>
                          <a:stretch>
                            <a:fillRect/>
                          </a:stretch>
                        </pic:blipFill>
                        <pic:spPr>
                          <a:xfrm>
                            <a:off x="0" y="0"/>
                            <a:ext cx="2844000" cy="1700433"/>
                          </a:xfrm>
                          <a:prstGeom prst="rect">
                            <a:avLst/>
                          </a:prstGeom>
                          <a:ln w="12700">
                            <a:solidFill>
                              <a:schemeClr val="bg1"/>
                            </a:solidFill>
                          </a:ln>
                        </pic:spPr>
                      </pic:pic>
                    </a:graphicData>
                  </a:graphic>
                </wp:inline>
              </w:drawing>
            </w:r>
          </w:p>
        </w:tc>
      </w:tr>
      <w:tr w:rsidR="00BE36FB" w:rsidRPr="009B7B35" w14:paraId="52DBD380" w14:textId="77777777" w:rsidTr="001A7107">
        <w:tc>
          <w:tcPr>
            <w:tcW w:w="4678" w:type="dxa"/>
          </w:tcPr>
          <w:p w14:paraId="0A54B7F9" w14:textId="77777777" w:rsidR="00BE36FB" w:rsidRPr="009B7B35" w:rsidRDefault="00BE36FB" w:rsidP="001A7107">
            <w:pPr>
              <w:pStyle w:val="TableText"/>
              <w:rPr>
                <w:rFonts w:cs="Arial"/>
                <w:b/>
              </w:rPr>
            </w:pPr>
            <w:r w:rsidRPr="009B7B35">
              <w:rPr>
                <w:rFonts w:cs="Arial"/>
                <w:b/>
              </w:rPr>
              <w:t>PO1</w:t>
            </w:r>
            <w:r w:rsidRPr="009B7B35">
              <w:rPr>
                <w:rStyle w:val="Strong"/>
                <w:rFonts w:eastAsiaTheme="majorEastAsia" w:cs="Arial"/>
              </w:rPr>
              <w:t>8</w:t>
            </w:r>
          </w:p>
          <w:p w14:paraId="6F22939C" w14:textId="77777777" w:rsidR="00BE36FB" w:rsidRPr="009B7B35" w:rsidRDefault="00BE36FB" w:rsidP="001A7107">
            <w:pPr>
              <w:pStyle w:val="TableText"/>
              <w:rPr>
                <w:rFonts w:cs="Arial"/>
              </w:rPr>
            </w:pPr>
            <w:r w:rsidRPr="009B7B35">
              <w:rPr>
                <w:rFonts w:cs="Arial"/>
              </w:rPr>
              <w:t xml:space="preserve">Development maintains the clearances required under schedules 4 and 5 of </w:t>
            </w:r>
            <w:r w:rsidRPr="009B7B35">
              <w:rPr>
                <w:rStyle w:val="StyleItalic"/>
                <w:rFonts w:cs="Arial"/>
              </w:rPr>
              <w:t xml:space="preserve">the </w:t>
            </w:r>
            <w:r w:rsidRPr="000D716B">
              <w:rPr>
                <w:rStyle w:val="StyleItalic"/>
                <w:rFonts w:cs="Arial"/>
              </w:rPr>
              <w:t>Electrical Safety Regulation 2013.</w:t>
            </w:r>
          </w:p>
        </w:tc>
        <w:tc>
          <w:tcPr>
            <w:tcW w:w="4678" w:type="dxa"/>
          </w:tcPr>
          <w:p w14:paraId="1C85C4CE" w14:textId="77777777" w:rsidR="00BE36FB" w:rsidRPr="009B7B35" w:rsidRDefault="00BE36FB" w:rsidP="001A7107">
            <w:pPr>
              <w:pStyle w:val="TableText"/>
              <w:rPr>
                <w:rFonts w:cs="Arial"/>
              </w:rPr>
            </w:pPr>
            <w:r w:rsidRPr="009B7B35">
              <w:rPr>
                <w:rFonts w:cs="Arial"/>
              </w:rPr>
              <w:t xml:space="preserve">No acceptable outcome is nominated. </w:t>
            </w:r>
          </w:p>
        </w:tc>
      </w:tr>
      <w:tr w:rsidR="00BE36FB" w:rsidRPr="009B7B35" w14:paraId="3823AEE2" w14:textId="77777777" w:rsidTr="001A7107">
        <w:tc>
          <w:tcPr>
            <w:tcW w:w="4678" w:type="dxa"/>
            <w:vMerge w:val="restart"/>
          </w:tcPr>
          <w:p w14:paraId="564DA5F9"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PO19</w:t>
            </w:r>
          </w:p>
          <w:p w14:paraId="7BE51E71" w14:textId="77777777" w:rsidR="00BE36FB" w:rsidRPr="009B7B35" w:rsidRDefault="00BE36FB" w:rsidP="001A7107">
            <w:pPr>
              <w:pStyle w:val="TableText"/>
              <w:rPr>
                <w:rFonts w:cs="Arial"/>
              </w:rPr>
            </w:pPr>
            <w:r w:rsidRPr="009B7B35">
              <w:rPr>
                <w:rFonts w:cs="Arial"/>
              </w:rPr>
              <w:t>Any earthworks are undertaken in a way which:</w:t>
            </w:r>
          </w:p>
          <w:p w14:paraId="1FCDBEDA" w14:textId="77777777" w:rsidR="00BE36FB" w:rsidRPr="009B7B35" w:rsidRDefault="00BE36FB" w:rsidP="00BE36FB">
            <w:pPr>
              <w:pStyle w:val="TableText"/>
              <w:numPr>
                <w:ilvl w:val="0"/>
                <w:numId w:val="653"/>
              </w:numPr>
              <w:rPr>
                <w:rFonts w:cs="Arial"/>
              </w:rPr>
            </w:pPr>
            <w:r w:rsidRPr="009B7B35">
              <w:rPr>
                <w:rFonts w:cs="Arial"/>
              </w:rPr>
              <w:t>ensures stability of the land on or adjoining substations and major electricity infrastructure</w:t>
            </w:r>
          </w:p>
          <w:p w14:paraId="331F76F4" w14:textId="77777777" w:rsidR="00BE36FB" w:rsidRPr="009B7B35" w:rsidRDefault="00BE36FB" w:rsidP="00BE36FB">
            <w:pPr>
              <w:pStyle w:val="TableText"/>
              <w:numPr>
                <w:ilvl w:val="0"/>
                <w:numId w:val="653"/>
              </w:numPr>
              <w:rPr>
                <w:rFonts w:cs="Arial"/>
              </w:rPr>
            </w:pPr>
            <w:r w:rsidRPr="009B7B35">
              <w:rPr>
                <w:rFonts w:cs="Arial"/>
              </w:rPr>
              <w:t>does not otherwise impact on the safety and reliability of the electricity infrastructure, and</w:t>
            </w:r>
          </w:p>
          <w:p w14:paraId="59234C99" w14:textId="77777777" w:rsidR="00BE36FB" w:rsidRPr="009B7B35" w:rsidRDefault="00BE36FB" w:rsidP="00BE36FB">
            <w:pPr>
              <w:pStyle w:val="TableText"/>
              <w:numPr>
                <w:ilvl w:val="0"/>
                <w:numId w:val="653"/>
              </w:numPr>
              <w:rPr>
                <w:rFonts w:cs="Arial"/>
              </w:rPr>
            </w:pPr>
            <w:r w:rsidRPr="009B7B35">
              <w:rPr>
                <w:rFonts w:cs="Arial"/>
              </w:rPr>
              <w:t>does not restrict the placement or use of the electricity provider’s equipment.</w:t>
            </w:r>
          </w:p>
        </w:tc>
        <w:tc>
          <w:tcPr>
            <w:tcW w:w="4678" w:type="dxa"/>
          </w:tcPr>
          <w:p w14:paraId="3A3E813E"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AO19.1</w:t>
            </w:r>
          </w:p>
          <w:p w14:paraId="0AF10470" w14:textId="77777777" w:rsidR="00BE36FB" w:rsidRPr="009B7B35" w:rsidRDefault="00BE36FB" w:rsidP="001A7107">
            <w:pPr>
              <w:pStyle w:val="TableText"/>
              <w:rPr>
                <w:rFonts w:cs="Arial"/>
              </w:rPr>
            </w:pPr>
            <w:r w:rsidRPr="009B7B35">
              <w:rPr>
                <w:rFonts w:cs="Arial"/>
              </w:rPr>
              <w:t>No earthworks are undertaken:</w:t>
            </w:r>
          </w:p>
          <w:p w14:paraId="5B43F927" w14:textId="77777777" w:rsidR="00BE36FB" w:rsidRPr="009B7B35" w:rsidRDefault="00BE36FB" w:rsidP="00BE36FB">
            <w:pPr>
              <w:pStyle w:val="TableText"/>
              <w:numPr>
                <w:ilvl w:val="0"/>
                <w:numId w:val="620"/>
              </w:numPr>
              <w:rPr>
                <w:rFonts w:cs="Arial"/>
              </w:rPr>
            </w:pPr>
            <w:r w:rsidRPr="009B7B35">
              <w:rPr>
                <w:rFonts w:cs="Arial"/>
              </w:rPr>
              <w:t>for overhead transmission infrastructure, within 20m of a transmission tower or pole</w:t>
            </w:r>
          </w:p>
          <w:p w14:paraId="59BA3D69" w14:textId="77777777" w:rsidR="00BE36FB" w:rsidRPr="009B7B35" w:rsidRDefault="00BE36FB" w:rsidP="00BE36FB">
            <w:pPr>
              <w:pStyle w:val="TableText"/>
              <w:numPr>
                <w:ilvl w:val="0"/>
                <w:numId w:val="620"/>
              </w:numPr>
              <w:rPr>
                <w:rFonts w:cs="Arial"/>
              </w:rPr>
            </w:pPr>
            <w:r w:rsidRPr="009B7B35">
              <w:rPr>
                <w:rFonts w:cs="Arial"/>
              </w:rPr>
              <w:t>for overhead distribution infrastructure, within 10m of a tower, pole or stay, or</w:t>
            </w:r>
          </w:p>
          <w:p w14:paraId="58D2C2BB" w14:textId="77777777" w:rsidR="00BE36FB" w:rsidRPr="009B7B35" w:rsidRDefault="00BE36FB" w:rsidP="00BE36FB">
            <w:pPr>
              <w:pStyle w:val="TableText"/>
              <w:numPr>
                <w:ilvl w:val="0"/>
                <w:numId w:val="620"/>
              </w:numPr>
              <w:rPr>
                <w:rFonts w:cs="Arial"/>
              </w:rPr>
            </w:pPr>
            <w:r w:rsidRPr="009B7B35">
              <w:rPr>
                <w:rFonts w:cs="Arial"/>
              </w:rPr>
              <w:t>for substations, within 10m of a property boundary shared with the substation.</w:t>
            </w:r>
          </w:p>
          <w:p w14:paraId="288554C1" w14:textId="77777777" w:rsidR="00BE36FB" w:rsidRPr="009B7B35" w:rsidRDefault="00BE36FB" w:rsidP="001A7107">
            <w:pPr>
              <w:pStyle w:val="Notes"/>
              <w:rPr>
                <w:rFonts w:cs="Arial"/>
                <w:sz w:val="20"/>
                <w:szCs w:val="20"/>
              </w:rPr>
            </w:pPr>
            <w:r w:rsidRPr="009B7B35">
              <w:rPr>
                <w:rFonts w:cs="Arial"/>
                <w:sz w:val="20"/>
                <w:szCs w:val="20"/>
              </w:rPr>
              <w:t>Note—The figures below illustrate the concept.</w:t>
            </w:r>
          </w:p>
          <w:p w14:paraId="1E113B45" w14:textId="77777777" w:rsidR="00BE36FB" w:rsidRPr="009B7B35" w:rsidRDefault="00BE36FB" w:rsidP="001A7107">
            <w:pPr>
              <w:pStyle w:val="TableText"/>
              <w:rPr>
                <w:rFonts w:cs="Arial"/>
              </w:rPr>
            </w:pPr>
            <w:r w:rsidRPr="009B7B35">
              <w:rPr>
                <w:rFonts w:cs="Arial"/>
                <w:noProof/>
              </w:rPr>
              <w:drawing>
                <wp:inline distT="0" distB="0" distL="0" distR="0" wp14:anchorId="41C89F99" wp14:editId="489F8194">
                  <wp:extent cx="2844000" cy="2838572"/>
                  <wp:effectExtent l="19050" t="19050" r="13970" b="190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20-1.jpg"/>
                          <pic:cNvPicPr/>
                        </pic:nvPicPr>
                        <pic:blipFill>
                          <a:blip r:embed="rId93">
                            <a:extLst>
                              <a:ext uri="{28A0092B-C50C-407E-A947-70E740481C1C}">
                                <a14:useLocalDpi xmlns:a14="http://schemas.microsoft.com/office/drawing/2010/main" val="0"/>
                              </a:ext>
                            </a:extLst>
                          </a:blip>
                          <a:stretch>
                            <a:fillRect/>
                          </a:stretch>
                        </pic:blipFill>
                        <pic:spPr>
                          <a:xfrm>
                            <a:off x="0" y="0"/>
                            <a:ext cx="2844000" cy="2838572"/>
                          </a:xfrm>
                          <a:prstGeom prst="rect">
                            <a:avLst/>
                          </a:prstGeom>
                          <a:ln w="12700">
                            <a:solidFill>
                              <a:schemeClr val="bg1"/>
                            </a:solidFill>
                          </a:ln>
                        </pic:spPr>
                      </pic:pic>
                    </a:graphicData>
                  </a:graphic>
                </wp:inline>
              </w:drawing>
            </w:r>
          </w:p>
          <w:p w14:paraId="161B80AA" w14:textId="77777777" w:rsidR="00BE36FB" w:rsidRPr="009B7B35" w:rsidRDefault="00BE36FB" w:rsidP="001A7107">
            <w:pPr>
              <w:pStyle w:val="TableText"/>
              <w:rPr>
                <w:rFonts w:cs="Arial"/>
              </w:rPr>
            </w:pPr>
            <w:r w:rsidRPr="009B7B35">
              <w:rPr>
                <w:rFonts w:cs="Arial"/>
                <w:noProof/>
              </w:rPr>
              <w:drawing>
                <wp:inline distT="0" distB="0" distL="0" distR="0" wp14:anchorId="2A3AF22B" wp14:editId="32692893">
                  <wp:extent cx="2844000" cy="2844000"/>
                  <wp:effectExtent l="19050" t="19050" r="13970" b="139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20-2.jpg"/>
                          <pic:cNvPicPr/>
                        </pic:nvPicPr>
                        <pic:blipFill>
                          <a:blip r:embed="rId94">
                            <a:extLst>
                              <a:ext uri="{28A0092B-C50C-407E-A947-70E740481C1C}">
                                <a14:useLocalDpi xmlns:a14="http://schemas.microsoft.com/office/drawing/2010/main" val="0"/>
                              </a:ext>
                            </a:extLst>
                          </a:blip>
                          <a:stretch>
                            <a:fillRect/>
                          </a:stretch>
                        </pic:blipFill>
                        <pic:spPr>
                          <a:xfrm>
                            <a:off x="0" y="0"/>
                            <a:ext cx="2844000" cy="2844000"/>
                          </a:xfrm>
                          <a:prstGeom prst="rect">
                            <a:avLst/>
                          </a:prstGeom>
                          <a:ln w="12700">
                            <a:solidFill>
                              <a:schemeClr val="bg1"/>
                            </a:solidFill>
                          </a:ln>
                        </pic:spPr>
                      </pic:pic>
                    </a:graphicData>
                  </a:graphic>
                </wp:inline>
              </w:drawing>
            </w:r>
          </w:p>
        </w:tc>
      </w:tr>
      <w:tr w:rsidR="00BE36FB" w:rsidRPr="009B7B35" w14:paraId="477A62CD" w14:textId="77777777" w:rsidTr="001A7107">
        <w:trPr>
          <w:cantSplit/>
        </w:trPr>
        <w:tc>
          <w:tcPr>
            <w:tcW w:w="4678" w:type="dxa"/>
            <w:vMerge/>
          </w:tcPr>
          <w:p w14:paraId="4BF8E5A0" w14:textId="77777777" w:rsidR="00BE36FB" w:rsidRPr="009B7B35" w:rsidRDefault="00BE36FB" w:rsidP="001A7107">
            <w:pPr>
              <w:pStyle w:val="TableText"/>
              <w:rPr>
                <w:rFonts w:cs="Arial"/>
              </w:rPr>
            </w:pPr>
          </w:p>
        </w:tc>
        <w:tc>
          <w:tcPr>
            <w:tcW w:w="4678" w:type="dxa"/>
          </w:tcPr>
          <w:p w14:paraId="268DF694"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AO19.2</w:t>
            </w:r>
          </w:p>
          <w:p w14:paraId="2F39623C" w14:textId="77777777" w:rsidR="00BE36FB" w:rsidRPr="009B7B35" w:rsidRDefault="00BE36FB" w:rsidP="001A7107">
            <w:pPr>
              <w:pStyle w:val="TableText"/>
              <w:rPr>
                <w:rFonts w:cs="Arial"/>
              </w:rPr>
            </w:pPr>
            <w:r w:rsidRPr="009B7B35">
              <w:rPr>
                <w:rFonts w:cs="Arial"/>
              </w:rPr>
              <w:t>No earthworks are undertaken, or other loading or displacement of earth caused, within the easement of an underground power line.</w:t>
            </w:r>
          </w:p>
        </w:tc>
      </w:tr>
      <w:tr w:rsidR="00BE36FB" w:rsidRPr="009B7B35" w14:paraId="15DD1D6F" w14:textId="77777777" w:rsidTr="001A7107">
        <w:tc>
          <w:tcPr>
            <w:tcW w:w="4678" w:type="dxa"/>
            <w:vMerge w:val="restart"/>
          </w:tcPr>
          <w:p w14:paraId="3D2D257E"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PO20</w:t>
            </w:r>
          </w:p>
          <w:p w14:paraId="08043682" w14:textId="77777777" w:rsidR="00BE36FB" w:rsidRPr="009B7B35" w:rsidRDefault="00BE36FB" w:rsidP="001A7107">
            <w:pPr>
              <w:pStyle w:val="TableText"/>
              <w:rPr>
                <w:rFonts w:cs="Arial"/>
              </w:rPr>
            </w:pPr>
            <w:r w:rsidRPr="009B7B35">
              <w:rPr>
                <w:rFonts w:cs="Arial"/>
              </w:rPr>
              <w:t>Other services and infrastructure works (such as stormwater, sewerage, water and the like) do not impact on the safety and reliability of substations or major electricity infrastructure.</w:t>
            </w:r>
          </w:p>
        </w:tc>
        <w:tc>
          <w:tcPr>
            <w:tcW w:w="4678" w:type="dxa"/>
          </w:tcPr>
          <w:p w14:paraId="24ABC3A3"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AO20.1</w:t>
            </w:r>
          </w:p>
          <w:p w14:paraId="6C7D16B5" w14:textId="77777777" w:rsidR="00BE36FB" w:rsidRPr="009B7B35" w:rsidRDefault="00BE36FB" w:rsidP="001A7107">
            <w:pPr>
              <w:pStyle w:val="TableText"/>
              <w:rPr>
                <w:rFonts w:cs="Arial"/>
              </w:rPr>
            </w:pPr>
            <w:r w:rsidRPr="009B7B35">
              <w:rPr>
                <w:rFonts w:cs="Arial"/>
              </w:rPr>
              <w:t>Underground services are not located within 20m of a tower, pole, stay or substation boundary.</w:t>
            </w:r>
          </w:p>
        </w:tc>
      </w:tr>
      <w:tr w:rsidR="00BE36FB" w:rsidRPr="009B7B35" w14:paraId="6579C42A" w14:textId="77777777" w:rsidTr="001A7107">
        <w:tc>
          <w:tcPr>
            <w:tcW w:w="4678" w:type="dxa"/>
            <w:vMerge/>
          </w:tcPr>
          <w:p w14:paraId="5EBEF294" w14:textId="77777777" w:rsidR="00BE36FB" w:rsidRPr="009B7B35" w:rsidRDefault="00BE36FB" w:rsidP="001A7107">
            <w:pPr>
              <w:pStyle w:val="TableText"/>
              <w:rPr>
                <w:rFonts w:cs="Arial"/>
              </w:rPr>
            </w:pPr>
          </w:p>
        </w:tc>
        <w:tc>
          <w:tcPr>
            <w:tcW w:w="4678" w:type="dxa"/>
          </w:tcPr>
          <w:p w14:paraId="5E6D0E00"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AO20.2</w:t>
            </w:r>
          </w:p>
          <w:p w14:paraId="18BF07F8" w14:textId="77777777" w:rsidR="00BE36FB" w:rsidRPr="009B7B35" w:rsidRDefault="00BE36FB" w:rsidP="001A7107">
            <w:pPr>
              <w:pStyle w:val="TableText"/>
              <w:rPr>
                <w:rFonts w:cs="Arial"/>
              </w:rPr>
            </w:pPr>
            <w:r w:rsidRPr="009B7B35">
              <w:rPr>
                <w:rFonts w:cs="Arial"/>
              </w:rPr>
              <w:t>No valve pits occur within:</w:t>
            </w:r>
          </w:p>
          <w:p w14:paraId="73A17322" w14:textId="77777777" w:rsidR="00BE36FB" w:rsidRPr="009B7B35" w:rsidRDefault="00BE36FB" w:rsidP="00BE36FB">
            <w:pPr>
              <w:pStyle w:val="TableText"/>
              <w:numPr>
                <w:ilvl w:val="0"/>
                <w:numId w:val="654"/>
              </w:numPr>
              <w:rPr>
                <w:rFonts w:cs="Arial"/>
              </w:rPr>
            </w:pPr>
            <w:r w:rsidRPr="009B7B35">
              <w:rPr>
                <w:rFonts w:cs="Arial"/>
              </w:rPr>
              <w:t>for transmission infrastructure, 60m of a tower, pole or stay, or</w:t>
            </w:r>
          </w:p>
          <w:p w14:paraId="13CAC87B" w14:textId="77777777" w:rsidR="00BE36FB" w:rsidRPr="009B7B35" w:rsidRDefault="00BE36FB" w:rsidP="00BE36FB">
            <w:pPr>
              <w:pStyle w:val="TableText"/>
              <w:numPr>
                <w:ilvl w:val="0"/>
                <w:numId w:val="654"/>
              </w:numPr>
              <w:rPr>
                <w:rFonts w:cs="Arial"/>
              </w:rPr>
            </w:pPr>
            <w:r w:rsidRPr="009B7B35">
              <w:rPr>
                <w:rFonts w:cs="Arial"/>
              </w:rPr>
              <w:t>for distribution infrastructure, 20m of a tower, pole or stay.</w:t>
            </w:r>
          </w:p>
        </w:tc>
      </w:tr>
      <w:tr w:rsidR="00BE36FB" w:rsidRPr="009B7B35" w14:paraId="18758BA7" w14:textId="77777777" w:rsidTr="001A7107">
        <w:tc>
          <w:tcPr>
            <w:tcW w:w="4678" w:type="dxa"/>
            <w:vMerge/>
          </w:tcPr>
          <w:p w14:paraId="0B6762EA" w14:textId="77777777" w:rsidR="00BE36FB" w:rsidRPr="009B7B35" w:rsidRDefault="00BE36FB" w:rsidP="001A7107">
            <w:pPr>
              <w:pStyle w:val="TableText"/>
              <w:rPr>
                <w:rFonts w:cs="Arial"/>
              </w:rPr>
            </w:pPr>
          </w:p>
        </w:tc>
        <w:tc>
          <w:tcPr>
            <w:tcW w:w="4678" w:type="dxa"/>
          </w:tcPr>
          <w:p w14:paraId="184A74D1"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AO20.3</w:t>
            </w:r>
          </w:p>
          <w:p w14:paraId="7B70262D" w14:textId="77777777" w:rsidR="00BE36FB" w:rsidRPr="009B7B35" w:rsidRDefault="00BE36FB" w:rsidP="001A7107">
            <w:pPr>
              <w:pStyle w:val="TableText"/>
              <w:rPr>
                <w:rFonts w:cs="Arial"/>
              </w:rPr>
            </w:pPr>
            <w:r w:rsidRPr="009B7B35">
              <w:rPr>
                <w:rFonts w:cs="Arial"/>
              </w:rPr>
              <w:t xml:space="preserve">Pipelines with cathodic protection systems, comply with part 11 of </w:t>
            </w:r>
            <w:r w:rsidRPr="009B7B35">
              <w:rPr>
                <w:rStyle w:val="StyleItalic"/>
                <w:rFonts w:cs="Arial"/>
              </w:rPr>
              <w:t>Electrical Safety Regulation 2013</w:t>
            </w:r>
            <w:r w:rsidRPr="009B7B35">
              <w:rPr>
                <w:rFonts w:cs="Arial"/>
              </w:rPr>
              <w:t>.</w:t>
            </w:r>
          </w:p>
        </w:tc>
      </w:tr>
      <w:tr w:rsidR="00BE36FB" w:rsidRPr="009B7B35" w14:paraId="27C0C054" w14:textId="77777777" w:rsidTr="001A7107">
        <w:tc>
          <w:tcPr>
            <w:tcW w:w="4678" w:type="dxa"/>
            <w:vMerge/>
          </w:tcPr>
          <w:p w14:paraId="707B5085" w14:textId="77777777" w:rsidR="00BE36FB" w:rsidRPr="009B7B35" w:rsidRDefault="00BE36FB" w:rsidP="001A7107">
            <w:pPr>
              <w:pStyle w:val="TableText"/>
              <w:rPr>
                <w:rFonts w:cs="Arial"/>
              </w:rPr>
            </w:pPr>
          </w:p>
        </w:tc>
        <w:tc>
          <w:tcPr>
            <w:tcW w:w="4678" w:type="dxa"/>
          </w:tcPr>
          <w:p w14:paraId="45CCE9C3"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AO20.4</w:t>
            </w:r>
          </w:p>
          <w:p w14:paraId="6130C9F6" w14:textId="77777777" w:rsidR="00BE36FB" w:rsidRPr="009B7B35" w:rsidRDefault="00BE36FB" w:rsidP="001A7107">
            <w:pPr>
              <w:pStyle w:val="TableText"/>
              <w:rPr>
                <w:rFonts w:cs="Arial"/>
              </w:rPr>
            </w:pPr>
            <w:r w:rsidRPr="009B7B35">
              <w:rPr>
                <w:rFonts w:cs="Arial"/>
              </w:rPr>
              <w:t>Underground services traversing an easement, cross at right angles to the overhead or underground lines.</w:t>
            </w:r>
          </w:p>
        </w:tc>
      </w:tr>
      <w:tr w:rsidR="00BE36FB" w:rsidRPr="009B7B35" w14:paraId="26158E57" w14:textId="77777777" w:rsidTr="001A7107">
        <w:trPr>
          <w:cantSplit/>
        </w:trPr>
        <w:tc>
          <w:tcPr>
            <w:tcW w:w="4678" w:type="dxa"/>
            <w:vMerge/>
          </w:tcPr>
          <w:p w14:paraId="289F27D1" w14:textId="77777777" w:rsidR="00BE36FB" w:rsidRPr="009B7B35" w:rsidRDefault="00BE36FB" w:rsidP="001A7107">
            <w:pPr>
              <w:pStyle w:val="TableText"/>
              <w:rPr>
                <w:rFonts w:cs="Arial"/>
              </w:rPr>
            </w:pPr>
          </w:p>
        </w:tc>
        <w:tc>
          <w:tcPr>
            <w:tcW w:w="4678" w:type="dxa"/>
          </w:tcPr>
          <w:p w14:paraId="7CC73378"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AO20.5</w:t>
            </w:r>
          </w:p>
          <w:p w14:paraId="010E8BCB" w14:textId="77777777" w:rsidR="00BE36FB" w:rsidRPr="009B7B35" w:rsidRDefault="00BE36FB" w:rsidP="001A7107">
            <w:pPr>
              <w:pStyle w:val="TableText"/>
              <w:rPr>
                <w:rFonts w:cs="Arial"/>
              </w:rPr>
            </w:pPr>
            <w:r w:rsidRPr="009B7B35">
              <w:rPr>
                <w:rFonts w:cs="Arial"/>
              </w:rPr>
              <w:t>Trenches for services are backfilled to be compacted in 150mm layers to at least 95% modified dry density compaction ratio.</w:t>
            </w:r>
          </w:p>
        </w:tc>
      </w:tr>
      <w:tr w:rsidR="00BE36FB" w:rsidRPr="009B7B35" w14:paraId="48498E39" w14:textId="77777777" w:rsidTr="001A7107">
        <w:trPr>
          <w:cantSplit/>
        </w:trPr>
        <w:tc>
          <w:tcPr>
            <w:tcW w:w="4678" w:type="dxa"/>
            <w:vMerge/>
          </w:tcPr>
          <w:p w14:paraId="24025DCD" w14:textId="77777777" w:rsidR="00BE36FB" w:rsidRPr="009B7B35" w:rsidRDefault="00BE36FB" w:rsidP="001A7107">
            <w:pPr>
              <w:pStyle w:val="TableText"/>
              <w:rPr>
                <w:rFonts w:cs="Arial"/>
              </w:rPr>
            </w:pPr>
          </w:p>
        </w:tc>
        <w:tc>
          <w:tcPr>
            <w:tcW w:w="4678" w:type="dxa"/>
          </w:tcPr>
          <w:p w14:paraId="09D53750"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AO20.6</w:t>
            </w:r>
          </w:p>
          <w:p w14:paraId="53B7ABE0" w14:textId="77777777" w:rsidR="00BE36FB" w:rsidRPr="009B7B35" w:rsidRDefault="00BE36FB" w:rsidP="001A7107">
            <w:pPr>
              <w:pStyle w:val="TableText"/>
              <w:rPr>
                <w:rFonts w:cs="Arial"/>
              </w:rPr>
            </w:pPr>
            <w:r w:rsidRPr="009B7B35">
              <w:rPr>
                <w:rFonts w:cs="Arial"/>
              </w:rPr>
              <w:t>Trenches under construction are not left open overnight.</w:t>
            </w:r>
          </w:p>
        </w:tc>
      </w:tr>
      <w:tr w:rsidR="00BE36FB" w:rsidRPr="009B7B35" w14:paraId="5802B51A" w14:textId="77777777" w:rsidTr="001A7107">
        <w:trPr>
          <w:cantSplit/>
        </w:trPr>
        <w:tc>
          <w:tcPr>
            <w:tcW w:w="4678" w:type="dxa"/>
            <w:vMerge w:val="restart"/>
          </w:tcPr>
          <w:p w14:paraId="48E1FAC5"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PO21</w:t>
            </w:r>
          </w:p>
          <w:p w14:paraId="205E3E25" w14:textId="77777777" w:rsidR="00BE36FB" w:rsidRPr="009B7B35" w:rsidRDefault="00BE36FB" w:rsidP="001A7107">
            <w:pPr>
              <w:pStyle w:val="TableText"/>
              <w:rPr>
                <w:rFonts w:cs="Arial"/>
              </w:rPr>
            </w:pPr>
            <w:r w:rsidRPr="009B7B35">
              <w:rPr>
                <w:rFonts w:cs="Arial"/>
              </w:rPr>
              <w:t>Vegetation does not pose a risk to the safety or reliability of electricity infrastructure.</w:t>
            </w:r>
          </w:p>
        </w:tc>
        <w:tc>
          <w:tcPr>
            <w:tcW w:w="4678" w:type="dxa"/>
          </w:tcPr>
          <w:p w14:paraId="5A82DE77"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AO21.1</w:t>
            </w:r>
          </w:p>
          <w:p w14:paraId="699D70F1" w14:textId="77777777" w:rsidR="00BE36FB" w:rsidRPr="009B7B35" w:rsidRDefault="00BE36FB" w:rsidP="001A7107">
            <w:pPr>
              <w:pStyle w:val="TableText"/>
              <w:rPr>
                <w:rFonts w:cs="Arial"/>
              </w:rPr>
            </w:pPr>
            <w:r w:rsidRPr="009B7B35">
              <w:rPr>
                <w:rFonts w:cs="Arial"/>
              </w:rPr>
              <w:t>Vegetation planted within an easement of an overhead power line or, where there is no easement, the area of influence of a power line, has a mature height of no more than 3.5m.</w:t>
            </w:r>
          </w:p>
        </w:tc>
      </w:tr>
      <w:tr w:rsidR="00BE36FB" w:rsidRPr="009B7B35" w14:paraId="475227DD" w14:textId="77777777" w:rsidTr="001A7107">
        <w:trPr>
          <w:cantSplit/>
        </w:trPr>
        <w:tc>
          <w:tcPr>
            <w:tcW w:w="4678" w:type="dxa"/>
            <w:vMerge/>
          </w:tcPr>
          <w:p w14:paraId="7AEA8154" w14:textId="77777777" w:rsidR="00BE36FB" w:rsidRPr="009B7B35" w:rsidRDefault="00BE36FB" w:rsidP="001A7107">
            <w:pPr>
              <w:pStyle w:val="TableText"/>
              <w:rPr>
                <w:rFonts w:cs="Arial"/>
              </w:rPr>
            </w:pPr>
          </w:p>
        </w:tc>
        <w:tc>
          <w:tcPr>
            <w:tcW w:w="4678" w:type="dxa"/>
          </w:tcPr>
          <w:p w14:paraId="11708062"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AO21.2</w:t>
            </w:r>
          </w:p>
          <w:p w14:paraId="23F9F5A9" w14:textId="77777777" w:rsidR="00BE36FB" w:rsidRPr="009B7B35" w:rsidRDefault="00BE36FB" w:rsidP="001A7107">
            <w:pPr>
              <w:pStyle w:val="TableText"/>
              <w:rPr>
                <w:rFonts w:cs="Arial"/>
              </w:rPr>
            </w:pPr>
            <w:r w:rsidRPr="009B7B35">
              <w:rPr>
                <w:rFonts w:cs="Arial"/>
              </w:rPr>
              <w:t>Vegetation planted within an underground power line easement does not have a mature root system in &gt;150mm depth and is not located directly over the power line.</w:t>
            </w:r>
          </w:p>
        </w:tc>
      </w:tr>
      <w:tr w:rsidR="00BE36FB" w:rsidRPr="009B7B35" w14:paraId="5FB27EF9" w14:textId="77777777" w:rsidTr="001A7107">
        <w:trPr>
          <w:cantSplit/>
        </w:trPr>
        <w:tc>
          <w:tcPr>
            <w:tcW w:w="4678" w:type="dxa"/>
            <w:vMerge/>
          </w:tcPr>
          <w:p w14:paraId="35D03076" w14:textId="77777777" w:rsidR="00BE36FB" w:rsidRPr="009B7B35" w:rsidRDefault="00BE36FB" w:rsidP="001A7107">
            <w:pPr>
              <w:pStyle w:val="TableText"/>
              <w:rPr>
                <w:rFonts w:cs="Arial"/>
              </w:rPr>
            </w:pPr>
          </w:p>
        </w:tc>
        <w:tc>
          <w:tcPr>
            <w:tcW w:w="4678" w:type="dxa"/>
          </w:tcPr>
          <w:p w14:paraId="0EDFFD48"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AO21.3</w:t>
            </w:r>
          </w:p>
          <w:p w14:paraId="42046189" w14:textId="77777777" w:rsidR="00BE36FB" w:rsidRPr="009B7B35" w:rsidRDefault="00BE36FB" w:rsidP="001A7107">
            <w:pPr>
              <w:pStyle w:val="TableText"/>
              <w:rPr>
                <w:rFonts w:cs="Arial"/>
              </w:rPr>
            </w:pPr>
            <w:r w:rsidRPr="009B7B35">
              <w:rPr>
                <w:rFonts w:cs="Arial"/>
              </w:rPr>
              <w:t>Vegetation adjoining easements complies with the clearance dimensions illustrated in the figure below.</w:t>
            </w:r>
          </w:p>
          <w:p w14:paraId="3D1EAF51" w14:textId="77777777" w:rsidR="00BE36FB" w:rsidRPr="009B7B35" w:rsidRDefault="00BE36FB" w:rsidP="001A7107">
            <w:pPr>
              <w:pStyle w:val="TableText"/>
              <w:rPr>
                <w:rFonts w:cs="Arial"/>
              </w:rPr>
            </w:pPr>
            <w:r w:rsidRPr="009B7B35">
              <w:rPr>
                <w:rFonts w:cs="Arial"/>
                <w:noProof/>
              </w:rPr>
              <w:drawing>
                <wp:inline distT="0" distB="0" distL="0" distR="0" wp14:anchorId="074657C9" wp14:editId="30A27F54">
                  <wp:extent cx="2844000" cy="1696804"/>
                  <wp:effectExtent l="19050" t="19050" r="13970" b="177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22-1.jpg"/>
                          <pic:cNvPicPr/>
                        </pic:nvPicPr>
                        <pic:blipFill>
                          <a:blip r:embed="rId95">
                            <a:extLst>
                              <a:ext uri="{28A0092B-C50C-407E-A947-70E740481C1C}">
                                <a14:useLocalDpi xmlns:a14="http://schemas.microsoft.com/office/drawing/2010/main" val="0"/>
                              </a:ext>
                            </a:extLst>
                          </a:blip>
                          <a:stretch>
                            <a:fillRect/>
                          </a:stretch>
                        </pic:blipFill>
                        <pic:spPr>
                          <a:xfrm>
                            <a:off x="0" y="0"/>
                            <a:ext cx="2844000" cy="1696804"/>
                          </a:xfrm>
                          <a:prstGeom prst="rect">
                            <a:avLst/>
                          </a:prstGeom>
                          <a:ln w="12700">
                            <a:solidFill>
                              <a:schemeClr val="bg1"/>
                            </a:solidFill>
                          </a:ln>
                        </pic:spPr>
                      </pic:pic>
                    </a:graphicData>
                  </a:graphic>
                </wp:inline>
              </w:drawing>
            </w:r>
          </w:p>
          <w:p w14:paraId="5D389B81" w14:textId="77777777" w:rsidR="00BE36FB" w:rsidRPr="009B7B35" w:rsidRDefault="00BE36FB" w:rsidP="001A7107">
            <w:pPr>
              <w:pStyle w:val="TableText"/>
              <w:rPr>
                <w:rFonts w:cs="Arial"/>
              </w:rPr>
            </w:pPr>
            <w:r w:rsidRPr="009B7B35">
              <w:rPr>
                <w:rFonts w:cs="Arial"/>
                <w:noProof/>
              </w:rPr>
              <w:drawing>
                <wp:inline distT="0" distB="0" distL="0" distR="0" wp14:anchorId="64FB9407" wp14:editId="226ABA92">
                  <wp:extent cx="2844000" cy="1701789"/>
                  <wp:effectExtent l="19050" t="19050" r="13970" b="1333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0-po22-2.jpg"/>
                          <pic:cNvPicPr/>
                        </pic:nvPicPr>
                        <pic:blipFill>
                          <a:blip r:embed="rId96">
                            <a:extLst>
                              <a:ext uri="{28A0092B-C50C-407E-A947-70E740481C1C}">
                                <a14:useLocalDpi xmlns:a14="http://schemas.microsoft.com/office/drawing/2010/main" val="0"/>
                              </a:ext>
                            </a:extLst>
                          </a:blip>
                          <a:stretch>
                            <a:fillRect/>
                          </a:stretch>
                        </pic:blipFill>
                        <pic:spPr>
                          <a:xfrm>
                            <a:off x="0" y="0"/>
                            <a:ext cx="2844000" cy="1701789"/>
                          </a:xfrm>
                          <a:prstGeom prst="rect">
                            <a:avLst/>
                          </a:prstGeom>
                          <a:ln w="12700">
                            <a:solidFill>
                              <a:schemeClr val="bg1"/>
                            </a:solidFill>
                          </a:ln>
                        </pic:spPr>
                      </pic:pic>
                    </a:graphicData>
                  </a:graphic>
                </wp:inline>
              </w:drawing>
            </w:r>
          </w:p>
        </w:tc>
      </w:tr>
      <w:tr w:rsidR="00BE36FB" w:rsidRPr="009B7B35" w14:paraId="726C64CF" w14:textId="77777777" w:rsidTr="001A7107">
        <w:trPr>
          <w:cantSplit/>
        </w:trPr>
        <w:tc>
          <w:tcPr>
            <w:tcW w:w="4678" w:type="dxa"/>
            <w:vMerge/>
          </w:tcPr>
          <w:p w14:paraId="5DBE11DD" w14:textId="77777777" w:rsidR="00BE36FB" w:rsidRPr="009B7B35" w:rsidRDefault="00BE36FB" w:rsidP="001A7107">
            <w:pPr>
              <w:pStyle w:val="TableText"/>
              <w:rPr>
                <w:rFonts w:cs="Arial"/>
              </w:rPr>
            </w:pPr>
          </w:p>
        </w:tc>
        <w:tc>
          <w:tcPr>
            <w:tcW w:w="4678" w:type="dxa"/>
          </w:tcPr>
          <w:p w14:paraId="5FC02B57"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AO21.4</w:t>
            </w:r>
          </w:p>
          <w:p w14:paraId="6A4BA38F" w14:textId="77777777" w:rsidR="00BE36FB" w:rsidRPr="009B7B35" w:rsidRDefault="00BE36FB" w:rsidP="001A7107">
            <w:pPr>
              <w:pStyle w:val="TableText"/>
              <w:rPr>
                <w:rFonts w:cs="Arial"/>
              </w:rPr>
            </w:pPr>
            <w:r w:rsidRPr="009B7B35">
              <w:rPr>
                <w:rFonts w:cs="Arial"/>
              </w:rPr>
              <w:t>Planting complies with (as relevant to the infrastructure concerned):</w:t>
            </w:r>
          </w:p>
          <w:p w14:paraId="72CEA7EC" w14:textId="77777777" w:rsidR="00BE36FB" w:rsidRPr="009B7B35" w:rsidRDefault="00BE36FB" w:rsidP="00BE36FB">
            <w:pPr>
              <w:pStyle w:val="TableText"/>
              <w:numPr>
                <w:ilvl w:val="0"/>
                <w:numId w:val="660"/>
              </w:numPr>
              <w:rPr>
                <w:rFonts w:cs="Arial"/>
              </w:rPr>
            </w:pPr>
            <w:r w:rsidRPr="009B7B35">
              <w:rPr>
                <w:rFonts w:cs="Arial"/>
              </w:rPr>
              <w:t>Energex’s Safe tree guidelines, or</w:t>
            </w:r>
          </w:p>
          <w:p w14:paraId="7D0CF60D" w14:textId="77777777" w:rsidR="00BE36FB" w:rsidRPr="009B7B35" w:rsidRDefault="00BE36FB" w:rsidP="00BE36FB">
            <w:pPr>
              <w:pStyle w:val="TableText"/>
              <w:numPr>
                <w:ilvl w:val="0"/>
                <w:numId w:val="660"/>
              </w:numPr>
              <w:rPr>
                <w:rFonts w:cs="Arial"/>
              </w:rPr>
            </w:pPr>
            <w:r w:rsidRPr="009B7B35">
              <w:rPr>
                <w:rFonts w:cs="Arial"/>
              </w:rPr>
              <w:t xml:space="preserve">Ergon’s Plant Smart brochures at </w:t>
            </w:r>
            <w:hyperlink r:id="rId97" w:history="1">
              <w:r w:rsidRPr="009B7B35">
                <w:rPr>
                  <w:rStyle w:val="Hyperlink"/>
                  <w:rFonts w:cs="Arial"/>
                </w:rPr>
                <w:t>www.ergon.com.au</w:t>
              </w:r>
            </w:hyperlink>
            <w:r w:rsidRPr="009B7B35">
              <w:rPr>
                <w:rFonts w:cs="Arial"/>
              </w:rPr>
              <w:t>, or</w:t>
            </w:r>
          </w:p>
          <w:p w14:paraId="75485185" w14:textId="77777777" w:rsidR="00BE36FB" w:rsidRPr="009B7B35" w:rsidRDefault="00BE36FB" w:rsidP="00BE36FB">
            <w:pPr>
              <w:pStyle w:val="TableText"/>
              <w:numPr>
                <w:ilvl w:val="0"/>
                <w:numId w:val="660"/>
              </w:numPr>
              <w:rPr>
                <w:rFonts w:cs="Arial"/>
              </w:rPr>
            </w:pPr>
            <w:r w:rsidRPr="009B7B35">
              <w:rPr>
                <w:rFonts w:cs="Arial"/>
              </w:rPr>
              <w:t xml:space="preserve">Powerlink’s Screening your home from powerlines information sheet at </w:t>
            </w:r>
            <w:hyperlink r:id="rId98" w:history="1">
              <w:r w:rsidRPr="009B7B35">
                <w:rPr>
                  <w:rStyle w:val="Hyperlink"/>
                  <w:rFonts w:cs="Arial"/>
                </w:rPr>
                <w:t>www.powerlink.com.au</w:t>
              </w:r>
            </w:hyperlink>
          </w:p>
        </w:tc>
      </w:tr>
    </w:tbl>
    <w:p w14:paraId="43643F07" w14:textId="77777777" w:rsidR="00BE36FB" w:rsidRPr="009B7B35" w:rsidRDefault="00BE36FB" w:rsidP="001A7107">
      <w:pPr>
        <w:pStyle w:val="NormalIndent"/>
        <w:rPr>
          <w:rFonts w:cs="Arial"/>
          <w:szCs w:val="20"/>
        </w:rPr>
      </w:pPr>
    </w:p>
    <w:p w14:paraId="77D2C3AF" w14:textId="77777777" w:rsidR="00BE36FB" w:rsidRPr="009B7B35" w:rsidRDefault="00BE36FB" w:rsidP="001A7107">
      <w:pPr>
        <w:pStyle w:val="NormalIndent"/>
        <w:rPr>
          <w:rFonts w:cs="Arial"/>
          <w:szCs w:val="20"/>
        </w:rPr>
      </w:pPr>
    </w:p>
    <w:p w14:paraId="6BAA101A" w14:textId="77777777" w:rsidR="00BE36FB" w:rsidRPr="009B7B35" w:rsidRDefault="00BE36FB" w:rsidP="001A7107">
      <w:pPr>
        <w:rPr>
          <w:rFonts w:ascii="Arial" w:hAnsi="Arial" w:cs="Arial"/>
          <w:sz w:val="20"/>
          <w:szCs w:val="20"/>
          <w:lang w:eastAsia="en-US"/>
        </w:rPr>
      </w:pPr>
    </w:p>
    <w:p w14:paraId="76389547" w14:textId="77777777" w:rsidR="00BE36FB" w:rsidRPr="009B7B35" w:rsidRDefault="00BE36FB" w:rsidP="001A7107">
      <w:pPr>
        <w:rPr>
          <w:rFonts w:ascii="Arial" w:hAnsi="Arial" w:cs="Arial"/>
          <w:sz w:val="20"/>
          <w:szCs w:val="20"/>
          <w:lang w:eastAsia="en-US"/>
        </w:rPr>
      </w:pPr>
    </w:p>
    <w:p w14:paraId="73C3AAEB" w14:textId="77777777" w:rsidR="00BE36FB" w:rsidRPr="009B7B35" w:rsidRDefault="00BE36FB" w:rsidP="001A7107">
      <w:pPr>
        <w:rPr>
          <w:rFonts w:ascii="Arial" w:hAnsi="Arial" w:cs="Arial"/>
          <w:sz w:val="20"/>
          <w:szCs w:val="20"/>
          <w:lang w:eastAsia="en-US"/>
        </w:rPr>
      </w:pPr>
    </w:p>
    <w:p w14:paraId="3480E964" w14:textId="77777777" w:rsidR="00BE36FB" w:rsidRPr="009B7B35" w:rsidRDefault="00BE36FB" w:rsidP="001A7107">
      <w:pPr>
        <w:rPr>
          <w:rFonts w:ascii="Arial" w:hAnsi="Arial" w:cs="Arial"/>
          <w:sz w:val="20"/>
          <w:szCs w:val="20"/>
          <w:lang w:eastAsia="en-US"/>
        </w:rPr>
      </w:pPr>
    </w:p>
    <w:p w14:paraId="50866A15" w14:textId="77777777" w:rsidR="00BE36FB" w:rsidRPr="009B7B35" w:rsidRDefault="00BE36FB" w:rsidP="001A7107">
      <w:pPr>
        <w:rPr>
          <w:rFonts w:ascii="Arial" w:hAnsi="Arial" w:cs="Arial"/>
          <w:sz w:val="20"/>
          <w:szCs w:val="20"/>
          <w:lang w:eastAsia="en-US"/>
        </w:rPr>
      </w:pPr>
    </w:p>
    <w:p w14:paraId="4FA08FC7" w14:textId="77777777" w:rsidR="00BE36FB" w:rsidRPr="009B7B35" w:rsidRDefault="00BE36FB" w:rsidP="001A7107">
      <w:pPr>
        <w:rPr>
          <w:rFonts w:ascii="Arial" w:hAnsi="Arial" w:cs="Arial"/>
          <w:sz w:val="20"/>
          <w:szCs w:val="20"/>
          <w:lang w:eastAsia="en-US"/>
        </w:rPr>
      </w:pPr>
    </w:p>
    <w:p w14:paraId="5DB8B190" w14:textId="77777777" w:rsidR="00BE36FB" w:rsidRPr="009B7B35" w:rsidRDefault="00BE36FB" w:rsidP="001A7107">
      <w:pPr>
        <w:rPr>
          <w:rFonts w:ascii="Arial" w:hAnsi="Arial" w:cs="Arial"/>
          <w:sz w:val="20"/>
          <w:szCs w:val="20"/>
          <w:lang w:eastAsia="en-US"/>
        </w:rPr>
      </w:pPr>
    </w:p>
    <w:p w14:paraId="1180CD36" w14:textId="77777777" w:rsidR="00BE36FB" w:rsidRPr="009B7B35" w:rsidRDefault="00BE36FB" w:rsidP="001A7107">
      <w:pPr>
        <w:rPr>
          <w:rFonts w:ascii="Arial" w:hAnsi="Arial" w:cs="Arial"/>
          <w:sz w:val="20"/>
          <w:szCs w:val="20"/>
          <w:lang w:eastAsia="en-US"/>
        </w:rPr>
      </w:pPr>
    </w:p>
    <w:p w14:paraId="154D59AD" w14:textId="77777777" w:rsidR="00BE36FB" w:rsidRPr="009B7B35" w:rsidRDefault="00BE36FB" w:rsidP="001A7107">
      <w:pPr>
        <w:rPr>
          <w:rFonts w:ascii="Arial" w:hAnsi="Arial" w:cs="Arial"/>
          <w:sz w:val="20"/>
          <w:szCs w:val="20"/>
          <w:lang w:eastAsia="en-US"/>
        </w:rPr>
      </w:pPr>
    </w:p>
    <w:p w14:paraId="5375F925" w14:textId="77777777" w:rsidR="00BE36FB" w:rsidRPr="009B7B35" w:rsidRDefault="00BE36FB" w:rsidP="001A7107">
      <w:pPr>
        <w:rPr>
          <w:rFonts w:ascii="Arial" w:hAnsi="Arial" w:cs="Arial"/>
          <w:sz w:val="20"/>
          <w:szCs w:val="20"/>
          <w:lang w:eastAsia="en-US"/>
        </w:rPr>
      </w:pPr>
    </w:p>
    <w:p w14:paraId="6FE3DC3A" w14:textId="77777777" w:rsidR="00BE36FB" w:rsidRPr="009B7B35" w:rsidRDefault="00BE36FB" w:rsidP="001A7107">
      <w:pPr>
        <w:rPr>
          <w:rFonts w:ascii="Arial" w:hAnsi="Arial" w:cs="Arial"/>
          <w:sz w:val="20"/>
          <w:szCs w:val="20"/>
          <w:lang w:eastAsia="en-US"/>
        </w:rPr>
      </w:pPr>
    </w:p>
    <w:p w14:paraId="13848A78" w14:textId="77777777" w:rsidR="00BE36FB" w:rsidRPr="009B7B35" w:rsidRDefault="00BE36FB" w:rsidP="001A7107">
      <w:pPr>
        <w:rPr>
          <w:rFonts w:ascii="Arial" w:hAnsi="Arial" w:cs="Arial"/>
          <w:sz w:val="20"/>
          <w:szCs w:val="20"/>
          <w:lang w:eastAsia="en-US"/>
        </w:rPr>
      </w:pPr>
    </w:p>
    <w:p w14:paraId="5EC0D890" w14:textId="77777777" w:rsidR="00BE36FB" w:rsidRPr="009B7B35" w:rsidRDefault="00BE36FB" w:rsidP="001A7107">
      <w:pPr>
        <w:rPr>
          <w:rFonts w:ascii="Arial" w:hAnsi="Arial" w:cs="Arial"/>
          <w:sz w:val="20"/>
          <w:szCs w:val="20"/>
          <w:lang w:eastAsia="en-US"/>
        </w:rPr>
      </w:pPr>
    </w:p>
    <w:p w14:paraId="2740E448" w14:textId="77777777" w:rsidR="00BE36FB" w:rsidRPr="009B7B35" w:rsidRDefault="00BE36FB" w:rsidP="001A7107">
      <w:pPr>
        <w:rPr>
          <w:rFonts w:ascii="Arial" w:hAnsi="Arial" w:cs="Arial"/>
          <w:sz w:val="20"/>
          <w:szCs w:val="20"/>
          <w:lang w:eastAsia="en-US"/>
        </w:rPr>
      </w:pPr>
    </w:p>
    <w:p w14:paraId="7F825B12" w14:textId="77777777" w:rsidR="00BE36FB" w:rsidRPr="009B7B35" w:rsidRDefault="00BE36FB" w:rsidP="001A7107">
      <w:pPr>
        <w:rPr>
          <w:rFonts w:ascii="Arial" w:hAnsi="Arial" w:cs="Arial"/>
          <w:sz w:val="20"/>
          <w:szCs w:val="20"/>
          <w:lang w:eastAsia="en-US"/>
        </w:rPr>
      </w:pPr>
    </w:p>
    <w:p w14:paraId="46ECB53A" w14:textId="77777777" w:rsidR="00BE36FB" w:rsidRPr="009B7B35" w:rsidRDefault="00BE36FB" w:rsidP="001A7107">
      <w:pPr>
        <w:rPr>
          <w:rFonts w:ascii="Arial" w:hAnsi="Arial" w:cs="Arial"/>
          <w:sz w:val="20"/>
          <w:szCs w:val="20"/>
          <w:lang w:eastAsia="en-US"/>
        </w:rPr>
      </w:pPr>
    </w:p>
    <w:p w14:paraId="01F15D4C" w14:textId="77777777" w:rsidR="00BE36FB" w:rsidRPr="009B7B35" w:rsidRDefault="00BE36FB" w:rsidP="001A7107">
      <w:pPr>
        <w:rPr>
          <w:rFonts w:ascii="Arial" w:hAnsi="Arial" w:cs="Arial"/>
          <w:sz w:val="20"/>
          <w:szCs w:val="20"/>
          <w:lang w:eastAsia="en-US"/>
        </w:rPr>
      </w:pPr>
    </w:p>
    <w:p w14:paraId="2394DD51" w14:textId="77777777" w:rsidR="00BE36FB" w:rsidRPr="009B7B35" w:rsidRDefault="00BE36FB" w:rsidP="001A7107">
      <w:pPr>
        <w:rPr>
          <w:rFonts w:ascii="Arial" w:hAnsi="Arial" w:cs="Arial"/>
          <w:sz w:val="20"/>
          <w:szCs w:val="20"/>
          <w:lang w:eastAsia="en-US"/>
        </w:rPr>
      </w:pPr>
    </w:p>
    <w:p w14:paraId="20FB2274" w14:textId="77777777" w:rsidR="00BE36FB" w:rsidRPr="009B7B35" w:rsidRDefault="00BE36FB" w:rsidP="001A7107">
      <w:pPr>
        <w:rPr>
          <w:rFonts w:ascii="Arial" w:hAnsi="Arial" w:cs="Arial"/>
          <w:sz w:val="20"/>
          <w:szCs w:val="20"/>
          <w:lang w:eastAsia="en-US"/>
        </w:rPr>
      </w:pPr>
    </w:p>
    <w:p w14:paraId="5D658532" w14:textId="77777777" w:rsidR="00BE36FB" w:rsidRPr="009B7B35" w:rsidRDefault="00BE36FB" w:rsidP="001A7107">
      <w:pPr>
        <w:rPr>
          <w:rFonts w:ascii="Arial" w:hAnsi="Arial" w:cs="Arial"/>
          <w:sz w:val="20"/>
          <w:szCs w:val="20"/>
          <w:lang w:eastAsia="en-US"/>
        </w:rPr>
      </w:pPr>
    </w:p>
    <w:p w14:paraId="1AB3ACD4" w14:textId="77777777" w:rsidR="00BE36FB" w:rsidRPr="009B7B35" w:rsidRDefault="00BE36FB" w:rsidP="001A7107">
      <w:pPr>
        <w:rPr>
          <w:rFonts w:ascii="Arial" w:hAnsi="Arial" w:cs="Arial"/>
          <w:sz w:val="20"/>
          <w:szCs w:val="20"/>
          <w:lang w:eastAsia="en-US"/>
        </w:rPr>
      </w:pPr>
    </w:p>
    <w:p w14:paraId="79F9F670" w14:textId="77777777" w:rsidR="00BE36FB" w:rsidRPr="009B7B35" w:rsidRDefault="00BE36FB" w:rsidP="001A7107">
      <w:pPr>
        <w:rPr>
          <w:rFonts w:ascii="Arial" w:hAnsi="Arial" w:cs="Arial"/>
          <w:sz w:val="20"/>
          <w:szCs w:val="20"/>
          <w:lang w:eastAsia="en-US"/>
        </w:rPr>
      </w:pPr>
    </w:p>
    <w:p w14:paraId="05701416" w14:textId="77777777" w:rsidR="00BE36FB" w:rsidRPr="009B7B35" w:rsidRDefault="00BE36FB" w:rsidP="001A7107">
      <w:pPr>
        <w:rPr>
          <w:rFonts w:ascii="Arial" w:hAnsi="Arial" w:cs="Arial"/>
          <w:sz w:val="20"/>
          <w:szCs w:val="20"/>
          <w:lang w:eastAsia="en-US"/>
        </w:rPr>
      </w:pPr>
    </w:p>
    <w:p w14:paraId="37BF4AF6" w14:textId="77777777" w:rsidR="00BE36FB" w:rsidRPr="009B7B35" w:rsidRDefault="00BE36FB" w:rsidP="001A7107">
      <w:pPr>
        <w:rPr>
          <w:rFonts w:ascii="Arial" w:hAnsi="Arial" w:cs="Arial"/>
          <w:sz w:val="20"/>
          <w:szCs w:val="20"/>
          <w:lang w:eastAsia="en-US"/>
        </w:rPr>
      </w:pPr>
    </w:p>
    <w:p w14:paraId="40AB9755" w14:textId="77777777" w:rsidR="00BE36FB" w:rsidRPr="009B7B35" w:rsidRDefault="00BE36FB" w:rsidP="001A7107">
      <w:pPr>
        <w:rPr>
          <w:rFonts w:ascii="Arial" w:hAnsi="Arial" w:cs="Arial"/>
          <w:sz w:val="20"/>
          <w:szCs w:val="20"/>
          <w:lang w:eastAsia="en-US"/>
        </w:rPr>
      </w:pPr>
    </w:p>
    <w:p w14:paraId="11D97B29" w14:textId="77777777" w:rsidR="00BE36FB" w:rsidRPr="009B7B35" w:rsidRDefault="00BE36FB" w:rsidP="001A7107">
      <w:pPr>
        <w:rPr>
          <w:rFonts w:ascii="Arial" w:hAnsi="Arial" w:cs="Arial"/>
          <w:sz w:val="20"/>
          <w:szCs w:val="20"/>
          <w:lang w:eastAsia="en-US"/>
        </w:rPr>
      </w:pPr>
    </w:p>
    <w:p w14:paraId="5F56A138" w14:textId="77777777" w:rsidR="00BE36FB" w:rsidRPr="009B7B35" w:rsidRDefault="00BE36FB" w:rsidP="001A7107">
      <w:pPr>
        <w:rPr>
          <w:rFonts w:ascii="Arial" w:hAnsi="Arial" w:cs="Arial"/>
          <w:sz w:val="20"/>
          <w:szCs w:val="20"/>
          <w:lang w:eastAsia="en-US"/>
        </w:rPr>
      </w:pPr>
    </w:p>
    <w:p w14:paraId="1973CC92" w14:textId="77777777" w:rsidR="00BE36FB" w:rsidRPr="009B7B35" w:rsidRDefault="00BE36FB" w:rsidP="001A7107">
      <w:pPr>
        <w:rPr>
          <w:rFonts w:ascii="Arial" w:hAnsi="Arial" w:cs="Arial"/>
          <w:sz w:val="20"/>
          <w:szCs w:val="20"/>
          <w:lang w:eastAsia="en-US"/>
        </w:rPr>
      </w:pPr>
    </w:p>
    <w:p w14:paraId="0A7BADBF" w14:textId="77777777" w:rsidR="00BE36FB" w:rsidRPr="009B7B35" w:rsidRDefault="00BE36FB" w:rsidP="001A7107">
      <w:pPr>
        <w:rPr>
          <w:rFonts w:ascii="Arial" w:hAnsi="Arial" w:cs="Arial"/>
          <w:sz w:val="20"/>
          <w:szCs w:val="20"/>
          <w:lang w:eastAsia="en-US"/>
        </w:rPr>
      </w:pPr>
    </w:p>
    <w:p w14:paraId="45C52E69" w14:textId="77777777" w:rsidR="00BE36FB" w:rsidRPr="009B7B35" w:rsidRDefault="00BE36FB" w:rsidP="001A7107">
      <w:pPr>
        <w:rPr>
          <w:rFonts w:ascii="Arial" w:hAnsi="Arial" w:cs="Arial"/>
          <w:sz w:val="20"/>
          <w:szCs w:val="20"/>
          <w:lang w:eastAsia="en-US"/>
        </w:rPr>
      </w:pPr>
    </w:p>
    <w:p w14:paraId="38924A90" w14:textId="77777777" w:rsidR="00BE36FB" w:rsidRPr="009B7B35" w:rsidRDefault="00BE36FB" w:rsidP="001A7107">
      <w:pPr>
        <w:rPr>
          <w:rFonts w:ascii="Arial" w:hAnsi="Arial" w:cs="Arial"/>
          <w:sz w:val="20"/>
          <w:szCs w:val="20"/>
          <w:lang w:eastAsia="en-US"/>
        </w:rPr>
      </w:pPr>
    </w:p>
    <w:p w14:paraId="5F4336AD" w14:textId="77777777" w:rsidR="00BE36FB" w:rsidRPr="009B7B35" w:rsidRDefault="00BE36FB" w:rsidP="001A7107">
      <w:pPr>
        <w:rPr>
          <w:rFonts w:ascii="Arial" w:hAnsi="Arial" w:cs="Arial"/>
          <w:sz w:val="20"/>
          <w:szCs w:val="20"/>
          <w:lang w:eastAsia="en-US"/>
        </w:rPr>
      </w:pPr>
    </w:p>
    <w:p w14:paraId="309565D0" w14:textId="77777777" w:rsidR="00BE36FB" w:rsidRPr="009B7B35" w:rsidRDefault="00BE36FB" w:rsidP="001A7107">
      <w:pPr>
        <w:rPr>
          <w:rFonts w:ascii="Arial" w:hAnsi="Arial" w:cs="Arial"/>
          <w:sz w:val="20"/>
          <w:szCs w:val="20"/>
          <w:lang w:eastAsia="en-US"/>
        </w:rPr>
      </w:pPr>
    </w:p>
    <w:p w14:paraId="6E6FA3AB" w14:textId="77777777" w:rsidR="00BE36FB" w:rsidRPr="009B7B35" w:rsidRDefault="00BE36FB" w:rsidP="001A7107">
      <w:pPr>
        <w:rPr>
          <w:rFonts w:ascii="Arial" w:hAnsi="Arial" w:cs="Arial"/>
          <w:sz w:val="20"/>
          <w:szCs w:val="20"/>
          <w:lang w:eastAsia="en-US"/>
        </w:rPr>
      </w:pPr>
    </w:p>
    <w:p w14:paraId="4BE6BF6C" w14:textId="77777777" w:rsidR="00BE36FB" w:rsidRPr="009B7B35" w:rsidRDefault="00BE36FB" w:rsidP="001A7107">
      <w:pPr>
        <w:rPr>
          <w:rFonts w:ascii="Arial" w:hAnsi="Arial" w:cs="Arial"/>
          <w:sz w:val="20"/>
          <w:szCs w:val="20"/>
          <w:lang w:eastAsia="en-US"/>
        </w:rPr>
      </w:pPr>
    </w:p>
    <w:p w14:paraId="6E4A6614" w14:textId="77777777" w:rsidR="00BE36FB" w:rsidRPr="009B7B35" w:rsidRDefault="00BE36FB" w:rsidP="001A7107">
      <w:pPr>
        <w:rPr>
          <w:rFonts w:ascii="Arial" w:hAnsi="Arial" w:cs="Arial"/>
          <w:sz w:val="20"/>
          <w:szCs w:val="20"/>
          <w:lang w:eastAsia="en-US"/>
        </w:rPr>
      </w:pPr>
    </w:p>
    <w:p w14:paraId="373AF0EC" w14:textId="77777777" w:rsidR="00BE36FB" w:rsidRPr="009B7B35" w:rsidRDefault="00BE36FB" w:rsidP="001A7107">
      <w:pPr>
        <w:rPr>
          <w:rFonts w:ascii="Arial" w:hAnsi="Arial" w:cs="Arial"/>
          <w:sz w:val="20"/>
          <w:szCs w:val="20"/>
          <w:lang w:eastAsia="en-US"/>
        </w:rPr>
      </w:pPr>
    </w:p>
    <w:p w14:paraId="6B3957B0" w14:textId="77777777" w:rsidR="00BE36FB" w:rsidRPr="009B7B35" w:rsidRDefault="00BE36FB" w:rsidP="001A7107">
      <w:pPr>
        <w:rPr>
          <w:rFonts w:ascii="Arial" w:hAnsi="Arial" w:cs="Arial"/>
          <w:sz w:val="20"/>
          <w:szCs w:val="20"/>
          <w:lang w:eastAsia="en-US"/>
        </w:rPr>
      </w:pPr>
    </w:p>
    <w:p w14:paraId="11E5DF7F" w14:textId="77777777" w:rsidR="00BE36FB" w:rsidRPr="009B7B35" w:rsidRDefault="00BE36FB" w:rsidP="001A7107">
      <w:pPr>
        <w:rPr>
          <w:rFonts w:ascii="Arial" w:hAnsi="Arial" w:cs="Arial"/>
          <w:sz w:val="20"/>
          <w:szCs w:val="20"/>
          <w:lang w:eastAsia="en-US"/>
        </w:rPr>
      </w:pPr>
    </w:p>
    <w:p w14:paraId="3ABBB59F" w14:textId="77777777" w:rsidR="00BE36FB" w:rsidRPr="009B7B35" w:rsidRDefault="00BE36FB" w:rsidP="001A7107">
      <w:pPr>
        <w:rPr>
          <w:rFonts w:ascii="Arial" w:hAnsi="Arial" w:cs="Arial"/>
          <w:sz w:val="20"/>
          <w:szCs w:val="20"/>
          <w:lang w:eastAsia="en-US"/>
        </w:rPr>
      </w:pPr>
    </w:p>
    <w:p w14:paraId="4E336E3A" w14:textId="77777777" w:rsidR="00BE36FB" w:rsidRPr="009B7B35" w:rsidRDefault="00BE36FB" w:rsidP="006776DA">
      <w:pPr>
        <w:pStyle w:val="Heading3"/>
        <w:numPr>
          <w:ilvl w:val="2"/>
          <w:numId w:val="883"/>
        </w:numPr>
        <w:spacing w:before="240"/>
        <w:rPr>
          <w:rFonts w:ascii="Arial" w:hAnsi="Arial"/>
          <w:sz w:val="20"/>
          <w:szCs w:val="20"/>
        </w:rPr>
      </w:pPr>
      <w:bookmarkStart w:id="252" w:name="_Toc205367386"/>
      <w:r w:rsidRPr="009B7B35">
        <w:rPr>
          <w:rFonts w:ascii="Arial" w:hAnsi="Arial"/>
          <w:sz w:val="20"/>
          <w:szCs w:val="20"/>
        </w:rPr>
        <w:t>Scenic amenity</w:t>
      </w:r>
      <w:bookmarkEnd w:id="252"/>
    </w:p>
    <w:p w14:paraId="26187C44"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Application</w:t>
      </w:r>
    </w:p>
    <w:p w14:paraId="14640456"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Scenic amenity overlay code. When using this code, reference should be made to section 5.3.2 and where applicable, section 5.3.3 located in Part 5.</w:t>
      </w:r>
    </w:p>
    <w:p w14:paraId="5C072398"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Purpose</w:t>
      </w:r>
    </w:p>
    <w:p w14:paraId="18ED5B95" w14:textId="77777777" w:rsidR="00BE36FB" w:rsidRPr="009B7B35" w:rsidRDefault="00BE36FB" w:rsidP="00BE36FB">
      <w:pPr>
        <w:numPr>
          <w:ilvl w:val="0"/>
          <w:numId w:val="621"/>
        </w:numPr>
        <w:rPr>
          <w:rFonts w:ascii="Arial" w:hAnsi="Arial" w:cs="Arial"/>
          <w:sz w:val="20"/>
          <w:szCs w:val="20"/>
        </w:rPr>
      </w:pPr>
      <w:r w:rsidRPr="009B7B35">
        <w:rPr>
          <w:rFonts w:ascii="Arial" w:hAnsi="Arial" w:cs="Arial"/>
          <w:sz w:val="20"/>
          <w:szCs w:val="20"/>
        </w:rPr>
        <w:t>The purpose of the Scenic amenity overlay code is to ensure that development in areas of high scenic amenity is sited and designed to minimise adverse impacts on those scenic amenity values.</w:t>
      </w:r>
    </w:p>
    <w:p w14:paraId="64DF230A" w14:textId="77777777" w:rsidR="00BE36FB" w:rsidRPr="009B7B35" w:rsidRDefault="00BE36FB" w:rsidP="00BE36FB">
      <w:pPr>
        <w:numPr>
          <w:ilvl w:val="0"/>
          <w:numId w:val="621"/>
        </w:numPr>
        <w:rPr>
          <w:rFonts w:ascii="Arial" w:hAnsi="Arial" w:cs="Arial"/>
          <w:sz w:val="20"/>
          <w:szCs w:val="20"/>
        </w:rPr>
      </w:pPr>
      <w:r w:rsidRPr="009B7B35">
        <w:rPr>
          <w:rFonts w:ascii="Arial" w:hAnsi="Arial" w:cs="Arial"/>
          <w:sz w:val="20"/>
          <w:szCs w:val="20"/>
        </w:rPr>
        <w:t>The purpose of the code will be achieved through the following overall outcomes:</w:t>
      </w:r>
    </w:p>
    <w:p w14:paraId="5F503483" w14:textId="77777777" w:rsidR="00BE36FB" w:rsidRPr="009B7B35" w:rsidRDefault="00BE36FB" w:rsidP="00BE36FB">
      <w:pPr>
        <w:numPr>
          <w:ilvl w:val="1"/>
          <w:numId w:val="621"/>
        </w:numPr>
        <w:rPr>
          <w:rFonts w:ascii="Arial" w:hAnsi="Arial" w:cs="Arial"/>
          <w:sz w:val="20"/>
          <w:szCs w:val="20"/>
        </w:rPr>
      </w:pPr>
      <w:r w:rsidRPr="009B7B35">
        <w:rPr>
          <w:rFonts w:ascii="Arial" w:hAnsi="Arial" w:cs="Arial"/>
          <w:sz w:val="20"/>
          <w:szCs w:val="20"/>
        </w:rPr>
        <w:t>Development avoids areas of high scenic amenity, or, is sited and designed to minimise the impact on the scenic qualities of the area to the maximum extent possible.</w:t>
      </w:r>
    </w:p>
    <w:p w14:paraId="22FB656D" w14:textId="77777777" w:rsidR="00BE36FB" w:rsidRPr="009B7B35" w:rsidRDefault="00BE36FB" w:rsidP="00BE36FB">
      <w:pPr>
        <w:numPr>
          <w:ilvl w:val="1"/>
          <w:numId w:val="621"/>
        </w:numPr>
        <w:rPr>
          <w:rFonts w:ascii="Arial" w:hAnsi="Arial" w:cs="Arial"/>
          <w:sz w:val="20"/>
          <w:szCs w:val="20"/>
        </w:rPr>
      </w:pPr>
      <w:r w:rsidRPr="009B7B35">
        <w:rPr>
          <w:rFonts w:ascii="Arial" w:hAnsi="Arial" w:cs="Arial"/>
          <w:sz w:val="20"/>
          <w:szCs w:val="20"/>
        </w:rPr>
        <w:t>The scenic qualities of headlands, landmarks and lookouts are not diminished by inappropriate development.</w:t>
      </w:r>
    </w:p>
    <w:p w14:paraId="216EC64A" w14:textId="77777777" w:rsidR="00BE36FB" w:rsidRPr="009B7B35" w:rsidRDefault="00BE36FB" w:rsidP="00BE36FB">
      <w:pPr>
        <w:numPr>
          <w:ilvl w:val="1"/>
          <w:numId w:val="621"/>
        </w:numPr>
        <w:rPr>
          <w:rFonts w:ascii="Arial" w:hAnsi="Arial" w:cs="Arial"/>
          <w:sz w:val="20"/>
          <w:szCs w:val="20"/>
        </w:rPr>
      </w:pPr>
      <w:r w:rsidRPr="009B7B35">
        <w:rPr>
          <w:rFonts w:ascii="Arial" w:hAnsi="Arial" w:cs="Arial"/>
          <w:sz w:val="20"/>
          <w:szCs w:val="20"/>
        </w:rPr>
        <w:t>Development avoids or minimises adverse impacts on the scenic amenity of important views and vistas.</w:t>
      </w:r>
    </w:p>
    <w:p w14:paraId="31B9C77F" w14:textId="77777777" w:rsidR="00BE36FB" w:rsidRPr="009B7B35" w:rsidRDefault="00BE36FB" w:rsidP="001A7107">
      <w:pPr>
        <w:pStyle w:val="Notes"/>
        <w:rPr>
          <w:rFonts w:cs="Arial"/>
          <w:sz w:val="20"/>
          <w:szCs w:val="20"/>
        </w:rPr>
      </w:pPr>
      <w:r w:rsidRPr="009B7B35">
        <w:rPr>
          <w:rFonts w:cs="Arial"/>
          <w:sz w:val="20"/>
          <w:szCs w:val="20"/>
        </w:rPr>
        <w:t>Note—For the purpose of this code ‘scenic amenity’ is defined as ‘a measure of the relative contribution of each place in the landscape to the collective appreciation of open space as viewed from places that are important to the public’.</w:t>
      </w:r>
    </w:p>
    <w:p w14:paraId="3F2718F8"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Assessment benchmarks</w:t>
      </w:r>
    </w:p>
    <w:p w14:paraId="59F5C705" w14:textId="77777777" w:rsidR="00BE36FB" w:rsidRPr="009B7B35" w:rsidRDefault="00BE36FB" w:rsidP="001A7107">
      <w:pPr>
        <w:pStyle w:val="Heading5"/>
        <w:numPr>
          <w:ilvl w:val="0"/>
          <w:numId w:val="0"/>
        </w:numPr>
        <w:rPr>
          <w:rFonts w:cs="Arial"/>
          <w:szCs w:val="20"/>
        </w:rPr>
      </w:pPr>
      <w:r w:rsidRPr="009B7B35">
        <w:rPr>
          <w:rFonts w:cs="Arial"/>
          <w:szCs w:val="20"/>
        </w:rPr>
        <w:t>Table 8.2.11.3.1— Accepted development subject to requirements and assessable development</w:t>
      </w:r>
    </w:p>
    <w:tbl>
      <w:tblPr>
        <w:tblStyle w:val="Tablestyle"/>
        <w:tblW w:w="0" w:type="auto"/>
        <w:tblLook w:val="0620" w:firstRow="1" w:lastRow="0" w:firstColumn="0" w:lastColumn="0" w:noHBand="1" w:noVBand="1"/>
      </w:tblPr>
      <w:tblGrid>
        <w:gridCol w:w="4199"/>
        <w:gridCol w:w="4164"/>
      </w:tblGrid>
      <w:tr w:rsidR="00BE36FB" w:rsidRPr="009B7B35" w14:paraId="14E7FD48" w14:textId="77777777" w:rsidTr="001A7107">
        <w:trPr>
          <w:cnfStyle w:val="100000000000" w:firstRow="1" w:lastRow="0" w:firstColumn="0" w:lastColumn="0" w:oddVBand="0" w:evenVBand="0" w:oddHBand="0" w:evenHBand="0" w:firstRowFirstColumn="0" w:firstRowLastColumn="0" w:lastRowFirstColumn="0" w:lastRowLastColumn="0"/>
          <w:cantSplit/>
        </w:trPr>
        <w:tc>
          <w:tcPr>
            <w:tcW w:w="4678" w:type="dxa"/>
          </w:tcPr>
          <w:p w14:paraId="44E0FE5B"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068AC659"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626F236B"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9356" w:type="dxa"/>
            <w:gridSpan w:val="2"/>
            <w:shd w:val="clear" w:color="auto" w:fill="BFBFBF" w:themeFill="background1" w:themeFillShade="BF"/>
          </w:tcPr>
          <w:p w14:paraId="22EC686F" w14:textId="77777777" w:rsidR="00BE36FB" w:rsidRPr="009B7B35" w:rsidRDefault="00BE36FB" w:rsidP="001A7107">
            <w:pPr>
              <w:pStyle w:val="Tableheading"/>
              <w:rPr>
                <w:rFonts w:ascii="Arial" w:hAnsi="Arial" w:cs="Arial"/>
                <w:szCs w:val="20"/>
              </w:rPr>
            </w:pPr>
            <w:r w:rsidRPr="009B7B35">
              <w:rPr>
                <w:rFonts w:ascii="Arial" w:hAnsi="Arial" w:cs="Arial"/>
                <w:szCs w:val="20"/>
              </w:rPr>
              <w:t>Siting of development</w:t>
            </w:r>
          </w:p>
        </w:tc>
      </w:tr>
      <w:tr w:rsidR="00BE36FB" w:rsidRPr="009B7B35" w14:paraId="1C68B1C6"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5CAEA972" w14:textId="77777777" w:rsidR="00BE36FB" w:rsidRPr="009B7B35" w:rsidRDefault="00BE36FB" w:rsidP="001A7107">
            <w:pPr>
              <w:pStyle w:val="TableText"/>
              <w:rPr>
                <w:rFonts w:cs="Arial"/>
              </w:rPr>
            </w:pPr>
            <w:r w:rsidRPr="009B7B35">
              <w:rPr>
                <w:rFonts w:cs="Arial"/>
              </w:rPr>
              <w:t>PO1</w:t>
            </w:r>
          </w:p>
          <w:p w14:paraId="33A751A2" w14:textId="77777777" w:rsidR="00BE36FB" w:rsidRPr="009B7B35" w:rsidRDefault="00BE36FB" w:rsidP="001A7107">
            <w:pPr>
              <w:pStyle w:val="TableText"/>
              <w:rPr>
                <w:rFonts w:cs="Arial"/>
                <w:b w:val="0"/>
              </w:rPr>
            </w:pPr>
            <w:r w:rsidRPr="009B7B35">
              <w:rPr>
                <w:rFonts w:cs="Arial"/>
                <w:b w:val="0"/>
              </w:rPr>
              <w:t>Any buildings or structures are sited to minimise the impact on the natural landscape and topographical features.</w:t>
            </w:r>
          </w:p>
        </w:tc>
        <w:tc>
          <w:tcPr>
            <w:tcW w:w="4678" w:type="dxa"/>
          </w:tcPr>
          <w:p w14:paraId="34F377D0" w14:textId="77777777" w:rsidR="00BE36FB" w:rsidRPr="009B7B35" w:rsidRDefault="00BE36FB" w:rsidP="001A7107">
            <w:pPr>
              <w:pStyle w:val="TableText"/>
              <w:rPr>
                <w:rFonts w:eastAsiaTheme="majorEastAsia" w:cs="Arial"/>
              </w:rPr>
            </w:pPr>
            <w:r w:rsidRPr="009B7B35">
              <w:rPr>
                <w:rFonts w:eastAsiaTheme="majorEastAsia" w:cs="Arial"/>
              </w:rPr>
              <w:t>AO1</w:t>
            </w:r>
          </w:p>
          <w:p w14:paraId="7B4836BC" w14:textId="77777777" w:rsidR="00BE36FB" w:rsidRPr="009B7B35" w:rsidRDefault="00BE36FB" w:rsidP="001A7107">
            <w:pPr>
              <w:pStyle w:val="TableText"/>
              <w:rPr>
                <w:rFonts w:cs="Arial"/>
                <w:b w:val="0"/>
              </w:rPr>
            </w:pPr>
            <w:r w:rsidRPr="009B7B35">
              <w:rPr>
                <w:rFonts w:cs="Arial"/>
                <w:b w:val="0"/>
              </w:rPr>
              <w:t>Any buildings or structures are not located on ridgelines.</w:t>
            </w:r>
          </w:p>
        </w:tc>
      </w:tr>
      <w:tr w:rsidR="00BE36FB" w:rsidRPr="009B7B35" w14:paraId="705A6B53"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9356" w:type="dxa"/>
            <w:gridSpan w:val="2"/>
          </w:tcPr>
          <w:p w14:paraId="7778CCEC"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0351D1B6" w14:textId="77777777" w:rsidTr="001A7107">
        <w:trPr>
          <w:cantSplit/>
        </w:trPr>
        <w:tc>
          <w:tcPr>
            <w:tcW w:w="9356" w:type="dxa"/>
            <w:gridSpan w:val="2"/>
            <w:shd w:val="clear" w:color="auto" w:fill="BFBFBF" w:themeFill="background1" w:themeFillShade="BF"/>
          </w:tcPr>
          <w:p w14:paraId="57D43714" w14:textId="77777777" w:rsidR="00BE36FB" w:rsidRPr="009B7B35" w:rsidRDefault="00BE36FB" w:rsidP="001A7107">
            <w:pPr>
              <w:pStyle w:val="Tableheading"/>
              <w:rPr>
                <w:rFonts w:ascii="Arial" w:hAnsi="Arial" w:cs="Arial"/>
                <w:szCs w:val="20"/>
              </w:rPr>
            </w:pPr>
            <w:r w:rsidRPr="009B7B35">
              <w:rPr>
                <w:rFonts w:ascii="Arial" w:hAnsi="Arial" w:cs="Arial"/>
                <w:szCs w:val="20"/>
              </w:rPr>
              <w:t>Siting and design of development</w:t>
            </w:r>
          </w:p>
        </w:tc>
      </w:tr>
      <w:tr w:rsidR="00BE36FB" w:rsidRPr="009B7B35" w14:paraId="4319E3B1" w14:textId="77777777" w:rsidTr="001A7107">
        <w:trPr>
          <w:cantSplit/>
        </w:trPr>
        <w:tc>
          <w:tcPr>
            <w:tcW w:w="4678" w:type="dxa"/>
          </w:tcPr>
          <w:p w14:paraId="74E6E59E" w14:textId="77777777" w:rsidR="00BE36FB" w:rsidRPr="009B7B35" w:rsidRDefault="00BE36FB" w:rsidP="001A7107">
            <w:pPr>
              <w:pStyle w:val="TableText"/>
              <w:rPr>
                <w:rFonts w:cs="Arial"/>
                <w:b/>
              </w:rPr>
            </w:pPr>
            <w:r w:rsidRPr="009B7B35">
              <w:rPr>
                <w:rFonts w:cs="Arial"/>
                <w:b/>
              </w:rPr>
              <w:t>PO2</w:t>
            </w:r>
          </w:p>
          <w:p w14:paraId="5903C893" w14:textId="77777777" w:rsidR="00BE36FB" w:rsidRPr="009B7B35" w:rsidRDefault="00BE36FB" w:rsidP="001A7107">
            <w:pPr>
              <w:pStyle w:val="TableText"/>
              <w:rPr>
                <w:rFonts w:cs="Arial"/>
              </w:rPr>
            </w:pPr>
            <w:r w:rsidRPr="009B7B35">
              <w:rPr>
                <w:rFonts w:cs="Arial"/>
              </w:rPr>
              <w:t>Development is visually integrated with the landscape elements to maintain or enhance the landscape and scenic amenity values.</w:t>
            </w:r>
          </w:p>
          <w:p w14:paraId="013288A5" w14:textId="77777777" w:rsidR="00BE36FB" w:rsidRPr="009B7B35" w:rsidRDefault="00BE36FB" w:rsidP="001A7107">
            <w:pPr>
              <w:pStyle w:val="Notes"/>
              <w:rPr>
                <w:rFonts w:cs="Arial"/>
                <w:sz w:val="20"/>
                <w:szCs w:val="20"/>
              </w:rPr>
            </w:pPr>
            <w:r w:rsidRPr="009B7B35">
              <w:rPr>
                <w:rFonts w:cs="Arial"/>
                <w:sz w:val="20"/>
                <w:szCs w:val="20"/>
              </w:rPr>
              <w:t>Note—The scenic amenity values of and visible from the land must be assessed and confirmed in a Scenic Amenity Assessment report prepared by a suitably qualified and experienced person. The report is to address strategies and design responses in order to demonstrate compliance with this performance criterion.</w:t>
            </w:r>
          </w:p>
          <w:p w14:paraId="0AB0E23C" w14:textId="77777777" w:rsidR="00BE36FB" w:rsidRPr="009B7B35" w:rsidRDefault="00BE36FB" w:rsidP="001A7107">
            <w:pPr>
              <w:pStyle w:val="Notes"/>
              <w:rPr>
                <w:rFonts w:cs="Arial"/>
                <w:sz w:val="20"/>
                <w:szCs w:val="20"/>
              </w:rPr>
            </w:pPr>
            <w:r w:rsidRPr="009B7B35">
              <w:rPr>
                <w:rFonts w:cs="Arial"/>
                <w:sz w:val="20"/>
                <w:szCs w:val="20"/>
              </w:rPr>
              <w:t xml:space="preserve">The </w:t>
            </w:r>
            <w:r w:rsidRPr="009B7B35">
              <w:rPr>
                <w:rStyle w:val="StyleNotesItalic2"/>
                <w:rFonts w:cs="Arial"/>
                <w:sz w:val="20"/>
              </w:rPr>
              <w:t>South East Queensland Regional Plan 2005–2026 Implementation Guideline No. 8: Identifying and Protecting Scenic Amenity Values</w:t>
            </w:r>
            <w:r w:rsidRPr="009B7B35">
              <w:rPr>
                <w:rFonts w:cs="Arial"/>
                <w:sz w:val="20"/>
                <w:szCs w:val="20"/>
              </w:rPr>
              <w:t xml:space="preserve"> provides a process for identifying areas with high scenic amenity as well as significant and popular viewpoints.</w:t>
            </w:r>
          </w:p>
        </w:tc>
        <w:tc>
          <w:tcPr>
            <w:tcW w:w="4678" w:type="dxa"/>
          </w:tcPr>
          <w:p w14:paraId="3EE3C56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C3A3693" w14:textId="77777777" w:rsidTr="001A7107">
        <w:tc>
          <w:tcPr>
            <w:tcW w:w="4678" w:type="dxa"/>
          </w:tcPr>
          <w:p w14:paraId="5340CD79" w14:textId="77777777" w:rsidR="00BE36FB" w:rsidRPr="009B7B35" w:rsidRDefault="00BE36FB" w:rsidP="001A7107">
            <w:pPr>
              <w:pStyle w:val="TableText"/>
              <w:rPr>
                <w:rFonts w:cs="Arial"/>
                <w:b/>
              </w:rPr>
            </w:pPr>
            <w:r w:rsidRPr="009B7B35">
              <w:rPr>
                <w:rFonts w:cs="Arial"/>
                <w:b/>
              </w:rPr>
              <w:t>PO3</w:t>
            </w:r>
          </w:p>
          <w:p w14:paraId="7817826E" w14:textId="77777777" w:rsidR="00BE36FB" w:rsidRPr="009B7B35" w:rsidRDefault="00BE36FB" w:rsidP="001A7107">
            <w:pPr>
              <w:pStyle w:val="TableText"/>
              <w:rPr>
                <w:rFonts w:cs="Arial"/>
              </w:rPr>
            </w:pPr>
            <w:r w:rsidRPr="009B7B35">
              <w:rPr>
                <w:rFonts w:cs="Arial"/>
              </w:rPr>
              <w:t xml:space="preserve">The building design: </w:t>
            </w:r>
          </w:p>
          <w:p w14:paraId="38F3B03F" w14:textId="77777777" w:rsidR="00BE36FB" w:rsidRPr="009B7B35" w:rsidRDefault="00BE36FB" w:rsidP="00BE36FB">
            <w:pPr>
              <w:numPr>
                <w:ilvl w:val="0"/>
                <w:numId w:val="659"/>
              </w:numPr>
              <w:rPr>
                <w:rFonts w:cs="Arial"/>
                <w:sz w:val="20"/>
                <w:szCs w:val="20"/>
              </w:rPr>
            </w:pPr>
            <w:r w:rsidRPr="009B7B35">
              <w:rPr>
                <w:rFonts w:cs="Arial"/>
                <w:sz w:val="20"/>
                <w:szCs w:val="20"/>
              </w:rPr>
              <w:t>minimises visual impact and prevents buildings from dominating the natural landscape</w:t>
            </w:r>
          </w:p>
          <w:p w14:paraId="77BD2525" w14:textId="77777777" w:rsidR="00BE36FB" w:rsidRPr="009B7B35" w:rsidRDefault="00BE36FB" w:rsidP="00BE36FB">
            <w:pPr>
              <w:numPr>
                <w:ilvl w:val="0"/>
                <w:numId w:val="659"/>
              </w:numPr>
              <w:rPr>
                <w:rFonts w:cs="Arial"/>
                <w:sz w:val="20"/>
                <w:szCs w:val="20"/>
              </w:rPr>
            </w:pPr>
            <w:r w:rsidRPr="009B7B35">
              <w:rPr>
                <w:rFonts w:cs="Arial"/>
                <w:sz w:val="20"/>
                <w:szCs w:val="20"/>
              </w:rPr>
              <w:t xml:space="preserve">is compatible with the natural characteristics of the area, and </w:t>
            </w:r>
          </w:p>
          <w:p w14:paraId="2E46E87D" w14:textId="77777777" w:rsidR="00BE36FB" w:rsidRPr="009B7B35" w:rsidRDefault="00BE36FB" w:rsidP="00BE36FB">
            <w:pPr>
              <w:numPr>
                <w:ilvl w:val="0"/>
                <w:numId w:val="659"/>
              </w:numPr>
              <w:rPr>
                <w:rFonts w:cs="Arial"/>
                <w:sz w:val="20"/>
                <w:szCs w:val="20"/>
              </w:rPr>
            </w:pPr>
            <w:r w:rsidRPr="009B7B35">
              <w:rPr>
                <w:rFonts w:cs="Arial"/>
                <w:sz w:val="20"/>
                <w:szCs w:val="20"/>
              </w:rPr>
              <w:t>avoids skyline intrusion.</w:t>
            </w:r>
          </w:p>
        </w:tc>
        <w:tc>
          <w:tcPr>
            <w:tcW w:w="4678" w:type="dxa"/>
          </w:tcPr>
          <w:p w14:paraId="7151DA8D"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4789CDF" w14:textId="77777777" w:rsidTr="001A7107">
        <w:trPr>
          <w:trHeight w:val="469"/>
        </w:trPr>
        <w:tc>
          <w:tcPr>
            <w:tcW w:w="4678" w:type="dxa"/>
            <w:vMerge w:val="restart"/>
          </w:tcPr>
          <w:p w14:paraId="104CA037" w14:textId="77777777" w:rsidR="00BE36FB" w:rsidRPr="009B7B35" w:rsidRDefault="00BE36FB" w:rsidP="001A7107">
            <w:pPr>
              <w:pStyle w:val="TableText"/>
              <w:rPr>
                <w:rFonts w:cs="Arial"/>
                <w:b/>
              </w:rPr>
            </w:pPr>
            <w:r w:rsidRPr="009B7B35">
              <w:rPr>
                <w:rFonts w:cs="Arial"/>
                <w:b/>
              </w:rPr>
              <w:t>PO4</w:t>
            </w:r>
          </w:p>
          <w:p w14:paraId="66AB065D" w14:textId="77777777" w:rsidR="00BE36FB" w:rsidRPr="009B7B35" w:rsidRDefault="00BE36FB" w:rsidP="001A7107">
            <w:pPr>
              <w:pStyle w:val="TableText"/>
              <w:rPr>
                <w:rFonts w:cs="Arial"/>
              </w:rPr>
            </w:pPr>
            <w:r w:rsidRPr="009B7B35">
              <w:rPr>
                <w:rFonts w:cs="Arial"/>
              </w:rPr>
              <w:t>Building colours and materials blend in with the natural landscape to soften the visual impact of buildings.</w:t>
            </w:r>
          </w:p>
        </w:tc>
        <w:tc>
          <w:tcPr>
            <w:tcW w:w="4678" w:type="dxa"/>
          </w:tcPr>
          <w:p w14:paraId="4A201A51" w14:textId="77777777" w:rsidR="00BE36FB" w:rsidRPr="009B7B35" w:rsidRDefault="00BE36FB" w:rsidP="001A7107">
            <w:pPr>
              <w:pStyle w:val="TableText"/>
              <w:rPr>
                <w:rFonts w:cs="Arial"/>
                <w:b/>
              </w:rPr>
            </w:pPr>
            <w:r w:rsidRPr="009B7B35">
              <w:rPr>
                <w:rFonts w:cs="Arial"/>
                <w:b/>
              </w:rPr>
              <w:t>AO4.1</w:t>
            </w:r>
          </w:p>
          <w:p w14:paraId="4C9E6AEB" w14:textId="77777777" w:rsidR="00BE36FB" w:rsidRPr="009B7B35" w:rsidRDefault="00BE36FB" w:rsidP="001A7107">
            <w:pPr>
              <w:pStyle w:val="TableText"/>
              <w:rPr>
                <w:rFonts w:cs="Arial"/>
              </w:rPr>
            </w:pPr>
            <w:r w:rsidRPr="009B7B35">
              <w:rPr>
                <w:rFonts w:cs="Arial"/>
              </w:rPr>
              <w:t>Buildings utilize external finishes and colours that are of a low to moderate Light Reflectance Value (50% LRV or lower).</w:t>
            </w:r>
          </w:p>
        </w:tc>
      </w:tr>
      <w:tr w:rsidR="00BE36FB" w:rsidRPr="009B7B35" w14:paraId="11122847" w14:textId="77777777" w:rsidTr="001A7107">
        <w:trPr>
          <w:cantSplit/>
          <w:trHeight w:val="468"/>
        </w:trPr>
        <w:tc>
          <w:tcPr>
            <w:tcW w:w="4678" w:type="dxa"/>
            <w:vMerge/>
          </w:tcPr>
          <w:p w14:paraId="52271F9B" w14:textId="77777777" w:rsidR="00BE36FB" w:rsidRPr="009B7B35" w:rsidRDefault="00BE36FB" w:rsidP="001A7107">
            <w:pPr>
              <w:pStyle w:val="TableText"/>
              <w:rPr>
                <w:rFonts w:cs="Arial"/>
                <w:b/>
              </w:rPr>
            </w:pPr>
          </w:p>
        </w:tc>
        <w:tc>
          <w:tcPr>
            <w:tcW w:w="4678" w:type="dxa"/>
          </w:tcPr>
          <w:p w14:paraId="41F45C3E" w14:textId="77777777" w:rsidR="00BE36FB" w:rsidRPr="009B7B35" w:rsidRDefault="00BE36FB" w:rsidP="001A7107">
            <w:pPr>
              <w:pStyle w:val="TableText"/>
              <w:rPr>
                <w:rFonts w:cs="Arial"/>
                <w:b/>
              </w:rPr>
            </w:pPr>
            <w:r w:rsidRPr="009B7B35">
              <w:rPr>
                <w:rFonts w:cs="Arial"/>
                <w:b/>
              </w:rPr>
              <w:t>AO4.2</w:t>
            </w:r>
          </w:p>
          <w:p w14:paraId="568395AE" w14:textId="77777777" w:rsidR="00BE36FB" w:rsidRPr="009B7B35" w:rsidRDefault="00BE36FB" w:rsidP="001A7107">
            <w:pPr>
              <w:pStyle w:val="TableText"/>
              <w:rPr>
                <w:rFonts w:cs="Arial"/>
                <w:b/>
              </w:rPr>
            </w:pPr>
            <w:r w:rsidRPr="009B7B35">
              <w:rPr>
                <w:rFonts w:cs="Arial"/>
              </w:rPr>
              <w:t>Development includes variations in wall and roof lines so as to minimise the appearance of building bulk. No external face of the building in a single continuous plane has a surface area of more than 100 square metres.</w:t>
            </w:r>
          </w:p>
        </w:tc>
      </w:tr>
      <w:tr w:rsidR="00BE36FB" w:rsidRPr="009B7B35" w14:paraId="1258F3D1" w14:textId="77777777" w:rsidTr="001A7107">
        <w:trPr>
          <w:cantSplit/>
        </w:trPr>
        <w:tc>
          <w:tcPr>
            <w:tcW w:w="9356" w:type="dxa"/>
            <w:gridSpan w:val="2"/>
            <w:shd w:val="clear" w:color="auto" w:fill="BFBFBF" w:themeFill="background1" w:themeFillShade="BF"/>
          </w:tcPr>
          <w:p w14:paraId="009FED22"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Coastal development in rural areas </w:t>
            </w:r>
          </w:p>
        </w:tc>
      </w:tr>
      <w:tr w:rsidR="00BE36FB" w:rsidRPr="009B7B35" w14:paraId="6D5B7884" w14:textId="77777777" w:rsidTr="001A7107">
        <w:trPr>
          <w:cantSplit/>
        </w:trPr>
        <w:tc>
          <w:tcPr>
            <w:tcW w:w="4678" w:type="dxa"/>
            <w:vMerge w:val="restart"/>
          </w:tcPr>
          <w:p w14:paraId="798E50D2" w14:textId="77777777" w:rsidR="00BE36FB" w:rsidRPr="009B7B35" w:rsidRDefault="00BE36FB" w:rsidP="001A7107">
            <w:pPr>
              <w:pStyle w:val="TableText"/>
              <w:rPr>
                <w:rFonts w:cs="Arial"/>
                <w:b/>
              </w:rPr>
            </w:pPr>
            <w:r w:rsidRPr="009B7B35">
              <w:rPr>
                <w:rFonts w:cs="Arial"/>
                <w:b/>
              </w:rPr>
              <w:t>PO5</w:t>
            </w:r>
          </w:p>
          <w:p w14:paraId="63BF80F6" w14:textId="77777777" w:rsidR="00BE36FB" w:rsidRPr="009B7B35" w:rsidRDefault="00BE36FB" w:rsidP="001A7107">
            <w:pPr>
              <w:pStyle w:val="TableText"/>
              <w:rPr>
                <w:rFonts w:cs="Arial"/>
              </w:rPr>
            </w:pPr>
            <w:r w:rsidRPr="009B7B35">
              <w:rPr>
                <w:rFonts w:cs="Arial"/>
              </w:rPr>
              <w:t>The dominance of the natural character of landscapes, views and vistas in the coastal zone in rural areas is to be maintained or enhanced when viewed from the foreshore or significant viewer locations.</w:t>
            </w:r>
          </w:p>
        </w:tc>
        <w:tc>
          <w:tcPr>
            <w:tcW w:w="4678" w:type="dxa"/>
          </w:tcPr>
          <w:p w14:paraId="44C3388E" w14:textId="77777777" w:rsidR="00BE36FB" w:rsidRPr="009B7B35" w:rsidRDefault="00BE36FB" w:rsidP="001A7107">
            <w:pPr>
              <w:pStyle w:val="TableText"/>
              <w:rPr>
                <w:rFonts w:cs="Arial"/>
                <w:b/>
              </w:rPr>
            </w:pPr>
            <w:r w:rsidRPr="009B7B35">
              <w:rPr>
                <w:rFonts w:cs="Arial"/>
                <w:b/>
              </w:rPr>
              <w:t>AO5.1</w:t>
            </w:r>
          </w:p>
          <w:p w14:paraId="105D7B9A" w14:textId="77777777" w:rsidR="00BE36FB" w:rsidRPr="009B7B35" w:rsidRDefault="00BE36FB" w:rsidP="001A7107">
            <w:pPr>
              <w:pStyle w:val="TableText"/>
              <w:rPr>
                <w:rFonts w:cs="Arial"/>
              </w:rPr>
            </w:pPr>
            <w:r w:rsidRPr="009B7B35">
              <w:rPr>
                <w:rFonts w:cs="Arial"/>
              </w:rPr>
              <w:t>Development does not protrude above any horizon or ridge line when viewed from any place readily accessible to the public such as parks and public spaces.</w:t>
            </w:r>
          </w:p>
        </w:tc>
      </w:tr>
      <w:tr w:rsidR="00BE36FB" w:rsidRPr="009B7B35" w14:paraId="6E49D2FB" w14:textId="77777777" w:rsidTr="001A7107">
        <w:trPr>
          <w:cantSplit/>
          <w:trHeight w:val="1308"/>
        </w:trPr>
        <w:tc>
          <w:tcPr>
            <w:tcW w:w="4678" w:type="dxa"/>
            <w:vMerge/>
          </w:tcPr>
          <w:p w14:paraId="692B5B48" w14:textId="77777777" w:rsidR="00BE36FB" w:rsidRPr="009B7B35" w:rsidRDefault="00BE36FB" w:rsidP="001A7107">
            <w:pPr>
              <w:pStyle w:val="TableText"/>
              <w:rPr>
                <w:rFonts w:cs="Arial"/>
              </w:rPr>
            </w:pPr>
          </w:p>
        </w:tc>
        <w:tc>
          <w:tcPr>
            <w:tcW w:w="4678" w:type="dxa"/>
          </w:tcPr>
          <w:p w14:paraId="3F59D8C2" w14:textId="77777777" w:rsidR="00BE36FB" w:rsidRPr="009B7B35" w:rsidRDefault="00BE36FB" w:rsidP="001A7107">
            <w:pPr>
              <w:pStyle w:val="TableText"/>
              <w:rPr>
                <w:rStyle w:val="Strong"/>
                <w:rFonts w:eastAsiaTheme="majorEastAsia" w:cs="Arial"/>
              </w:rPr>
            </w:pPr>
            <w:r w:rsidRPr="009B7B35">
              <w:rPr>
                <w:rFonts w:cs="Arial"/>
                <w:b/>
              </w:rPr>
              <w:t>AO5.2</w:t>
            </w:r>
            <w:r w:rsidRPr="009B7B35">
              <w:rPr>
                <w:rFonts w:cs="Arial"/>
              </w:rPr>
              <w:t>.</w:t>
            </w:r>
          </w:p>
          <w:p w14:paraId="74DD7120" w14:textId="77777777" w:rsidR="00BE36FB" w:rsidRPr="009B7B35" w:rsidRDefault="00BE36FB" w:rsidP="001A7107">
            <w:pPr>
              <w:pStyle w:val="TableText"/>
              <w:rPr>
                <w:rFonts w:cs="Arial"/>
              </w:rPr>
            </w:pPr>
            <w:r w:rsidRPr="009B7B35">
              <w:rPr>
                <w:rFonts w:cs="Arial"/>
              </w:rPr>
              <w:t>The external colours of all buildings, structures and paved areas have a subdued natural tone that complements the predominant colours of the landscape.</w:t>
            </w:r>
          </w:p>
        </w:tc>
      </w:tr>
      <w:tr w:rsidR="00BE36FB" w:rsidRPr="009B7B35" w14:paraId="31ECBB17" w14:textId="77777777" w:rsidTr="001A7107">
        <w:trPr>
          <w:cantSplit/>
        </w:trPr>
        <w:tc>
          <w:tcPr>
            <w:tcW w:w="4678" w:type="dxa"/>
            <w:vMerge/>
          </w:tcPr>
          <w:p w14:paraId="212FD8DA" w14:textId="77777777" w:rsidR="00BE36FB" w:rsidRPr="009B7B35" w:rsidRDefault="00BE36FB" w:rsidP="001A7107">
            <w:pPr>
              <w:pStyle w:val="TableText"/>
              <w:rPr>
                <w:rFonts w:cs="Arial"/>
              </w:rPr>
            </w:pPr>
          </w:p>
        </w:tc>
        <w:tc>
          <w:tcPr>
            <w:tcW w:w="4678" w:type="dxa"/>
          </w:tcPr>
          <w:p w14:paraId="439EEBCD" w14:textId="77777777" w:rsidR="00BE36FB" w:rsidRPr="009B7B35" w:rsidRDefault="00BE36FB" w:rsidP="001A7107">
            <w:pPr>
              <w:pStyle w:val="TableText"/>
              <w:rPr>
                <w:rFonts w:cs="Arial"/>
                <w:b/>
              </w:rPr>
            </w:pPr>
            <w:r w:rsidRPr="009B7B35">
              <w:rPr>
                <w:rFonts w:cs="Arial"/>
                <w:b/>
              </w:rPr>
              <w:t>AO5.3.</w:t>
            </w:r>
          </w:p>
          <w:p w14:paraId="42C8F1B0" w14:textId="77777777" w:rsidR="00BE36FB" w:rsidRPr="009B7B35" w:rsidRDefault="00BE36FB" w:rsidP="001A7107">
            <w:pPr>
              <w:pStyle w:val="TableText"/>
              <w:rPr>
                <w:rFonts w:cs="Arial"/>
              </w:rPr>
            </w:pPr>
            <w:r w:rsidRPr="009B7B35">
              <w:rPr>
                <w:rFonts w:cs="Arial"/>
              </w:rPr>
              <w:t>Cut and fill for retaining walls, driveway access and landscaping areas is no greater than 1m.</w:t>
            </w:r>
          </w:p>
        </w:tc>
      </w:tr>
      <w:tr w:rsidR="00BE36FB" w:rsidRPr="009B7B35" w14:paraId="00F96A9B" w14:textId="77777777" w:rsidTr="001A7107">
        <w:trPr>
          <w:cantSplit/>
        </w:trPr>
        <w:tc>
          <w:tcPr>
            <w:tcW w:w="4678" w:type="dxa"/>
            <w:vMerge/>
          </w:tcPr>
          <w:p w14:paraId="61D22623" w14:textId="77777777" w:rsidR="00BE36FB" w:rsidRPr="009B7B35" w:rsidRDefault="00BE36FB" w:rsidP="001A7107">
            <w:pPr>
              <w:pStyle w:val="TableText"/>
              <w:rPr>
                <w:rFonts w:cs="Arial"/>
              </w:rPr>
            </w:pPr>
          </w:p>
        </w:tc>
        <w:tc>
          <w:tcPr>
            <w:tcW w:w="4678" w:type="dxa"/>
          </w:tcPr>
          <w:p w14:paraId="560E032D" w14:textId="77777777" w:rsidR="00BE36FB" w:rsidRPr="009B7B35" w:rsidRDefault="00BE36FB" w:rsidP="001A7107">
            <w:pPr>
              <w:pStyle w:val="TableText"/>
              <w:rPr>
                <w:rFonts w:cs="Arial"/>
                <w:b/>
              </w:rPr>
            </w:pPr>
            <w:r w:rsidRPr="009B7B35">
              <w:rPr>
                <w:rFonts w:cs="Arial"/>
                <w:b/>
              </w:rPr>
              <w:t>AO5.4</w:t>
            </w:r>
          </w:p>
          <w:p w14:paraId="729CB5DA" w14:textId="77777777" w:rsidR="00BE36FB" w:rsidRPr="009B7B35" w:rsidRDefault="00BE36FB" w:rsidP="001A7107">
            <w:pPr>
              <w:pStyle w:val="TableText"/>
              <w:rPr>
                <w:rFonts w:cs="Arial"/>
              </w:rPr>
            </w:pPr>
            <w:r w:rsidRPr="009B7B35">
              <w:rPr>
                <w:rFonts w:cs="Arial"/>
              </w:rPr>
              <w:t>All external lighting is directed downwards from a low intensity source situated not more than 1,500mm above natural ground level.</w:t>
            </w:r>
          </w:p>
        </w:tc>
      </w:tr>
      <w:tr w:rsidR="00BE36FB" w:rsidRPr="009B7B35" w14:paraId="3FA1BC73" w14:textId="77777777" w:rsidTr="001A7107">
        <w:trPr>
          <w:cantSplit/>
          <w:trHeight w:val="1072"/>
        </w:trPr>
        <w:tc>
          <w:tcPr>
            <w:tcW w:w="4678" w:type="dxa"/>
          </w:tcPr>
          <w:p w14:paraId="7B7B59E7" w14:textId="77777777" w:rsidR="00BE36FB" w:rsidRPr="009B7B35" w:rsidRDefault="00BE36FB" w:rsidP="001A7107">
            <w:pPr>
              <w:pStyle w:val="TableText"/>
              <w:rPr>
                <w:rFonts w:cs="Arial"/>
                <w:b/>
              </w:rPr>
            </w:pPr>
            <w:r w:rsidRPr="009B7B35">
              <w:rPr>
                <w:rFonts w:cs="Arial"/>
                <w:b/>
              </w:rPr>
              <w:t>PO6</w:t>
            </w:r>
          </w:p>
          <w:p w14:paraId="4634E975" w14:textId="77777777" w:rsidR="00BE36FB" w:rsidRPr="009B7B35" w:rsidRDefault="00BE36FB" w:rsidP="001A7107">
            <w:pPr>
              <w:pStyle w:val="TableText"/>
              <w:rPr>
                <w:rFonts w:cs="Arial"/>
              </w:rPr>
            </w:pPr>
            <w:r w:rsidRPr="009B7B35">
              <w:rPr>
                <w:rFonts w:cs="Arial"/>
              </w:rPr>
              <w:t>Development maintains and/or enhances natural scenic amenity values through vegetated buffers between development and coastal waters.</w:t>
            </w:r>
          </w:p>
        </w:tc>
        <w:tc>
          <w:tcPr>
            <w:tcW w:w="4678" w:type="dxa"/>
          </w:tcPr>
          <w:p w14:paraId="76ECFA27" w14:textId="77777777" w:rsidR="00BE36FB" w:rsidRPr="009B7B35" w:rsidRDefault="00BE36FB" w:rsidP="001A7107">
            <w:pPr>
              <w:pStyle w:val="TableText"/>
              <w:rPr>
                <w:rFonts w:cs="Arial"/>
                <w:b/>
              </w:rPr>
            </w:pPr>
            <w:r w:rsidRPr="009B7B35">
              <w:rPr>
                <w:rFonts w:cs="Arial"/>
                <w:b/>
              </w:rPr>
              <w:t>AO6</w:t>
            </w:r>
          </w:p>
          <w:p w14:paraId="7C45A366" w14:textId="77777777" w:rsidR="00BE36FB" w:rsidRPr="009B7B35" w:rsidRDefault="00BE36FB" w:rsidP="001A7107">
            <w:pPr>
              <w:pStyle w:val="TableText"/>
              <w:rPr>
                <w:rFonts w:cs="Arial"/>
              </w:rPr>
            </w:pPr>
            <w:r w:rsidRPr="009B7B35">
              <w:rPr>
                <w:rFonts w:cs="Arial"/>
              </w:rPr>
              <w:t>Trees and vegetation are used to screen buildings and infrastructure.</w:t>
            </w:r>
          </w:p>
          <w:p w14:paraId="169A7C5D" w14:textId="77777777" w:rsidR="00BE36FB" w:rsidRPr="009B7B35" w:rsidRDefault="00BE36FB" w:rsidP="001A7107">
            <w:pPr>
              <w:pStyle w:val="TableText"/>
              <w:rPr>
                <w:rFonts w:cs="Arial"/>
              </w:rPr>
            </w:pPr>
          </w:p>
        </w:tc>
      </w:tr>
      <w:tr w:rsidR="00BE36FB" w:rsidRPr="009B7B35" w14:paraId="0C916C3D" w14:textId="77777777" w:rsidTr="001A7107">
        <w:trPr>
          <w:cantSplit/>
        </w:trPr>
        <w:tc>
          <w:tcPr>
            <w:tcW w:w="9356" w:type="dxa"/>
            <w:gridSpan w:val="2"/>
            <w:shd w:val="clear" w:color="auto" w:fill="BFBFBF" w:themeFill="background1" w:themeFillShade="BF"/>
          </w:tcPr>
          <w:p w14:paraId="3AC75840"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Visibility of development </w:t>
            </w:r>
          </w:p>
        </w:tc>
      </w:tr>
      <w:tr w:rsidR="00BE36FB" w:rsidRPr="009B7B35" w14:paraId="5116B0F9" w14:textId="77777777" w:rsidTr="001A7107">
        <w:trPr>
          <w:cantSplit/>
        </w:trPr>
        <w:tc>
          <w:tcPr>
            <w:tcW w:w="4678" w:type="dxa"/>
          </w:tcPr>
          <w:p w14:paraId="41F22399" w14:textId="77777777" w:rsidR="00BE36FB" w:rsidRPr="009B7B35" w:rsidRDefault="00BE36FB" w:rsidP="001A7107">
            <w:pPr>
              <w:pStyle w:val="TableText"/>
              <w:rPr>
                <w:rFonts w:cs="Arial"/>
                <w:b/>
              </w:rPr>
            </w:pPr>
            <w:r w:rsidRPr="009B7B35">
              <w:rPr>
                <w:rFonts w:cs="Arial"/>
                <w:b/>
              </w:rPr>
              <w:t>PO7</w:t>
            </w:r>
          </w:p>
          <w:p w14:paraId="014C6A58" w14:textId="77777777" w:rsidR="00BE36FB" w:rsidRPr="009B7B35" w:rsidRDefault="00BE36FB" w:rsidP="001A7107">
            <w:pPr>
              <w:pStyle w:val="TableText"/>
              <w:rPr>
                <w:rFonts w:cs="Arial"/>
              </w:rPr>
            </w:pPr>
            <w:r w:rsidRPr="009B7B35">
              <w:rPr>
                <w:rFonts w:cs="Arial"/>
              </w:rPr>
              <w:t>Development visible from identified significant viewer locations does not adversely impact upon significant views and landscape and scenic amenity values.</w:t>
            </w:r>
          </w:p>
        </w:tc>
        <w:tc>
          <w:tcPr>
            <w:tcW w:w="4678" w:type="dxa"/>
          </w:tcPr>
          <w:p w14:paraId="6B986990"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B810DEF" w14:textId="77777777" w:rsidTr="001A7107">
        <w:trPr>
          <w:cantSplit/>
        </w:trPr>
        <w:tc>
          <w:tcPr>
            <w:tcW w:w="9356" w:type="dxa"/>
            <w:gridSpan w:val="2"/>
            <w:shd w:val="clear" w:color="auto" w:fill="BFBFBF" w:themeFill="background1" w:themeFillShade="BF"/>
          </w:tcPr>
          <w:p w14:paraId="6E9028FB" w14:textId="77777777" w:rsidR="00BE36FB" w:rsidRPr="009B7B35" w:rsidRDefault="00BE36FB" w:rsidP="001A7107">
            <w:pPr>
              <w:pStyle w:val="Tableheading"/>
              <w:rPr>
                <w:rFonts w:ascii="Arial" w:hAnsi="Arial" w:cs="Arial"/>
                <w:szCs w:val="20"/>
              </w:rPr>
            </w:pPr>
            <w:r w:rsidRPr="009B7B35">
              <w:rPr>
                <w:rFonts w:ascii="Arial" w:hAnsi="Arial" w:cs="Arial"/>
                <w:szCs w:val="20"/>
              </w:rPr>
              <w:t>Reconfiguration of a lot</w:t>
            </w:r>
          </w:p>
        </w:tc>
      </w:tr>
      <w:tr w:rsidR="00BE36FB" w:rsidRPr="009B7B35" w14:paraId="0290DEE9" w14:textId="77777777" w:rsidTr="001A7107">
        <w:tc>
          <w:tcPr>
            <w:tcW w:w="4678" w:type="dxa"/>
          </w:tcPr>
          <w:p w14:paraId="11006145" w14:textId="77777777" w:rsidR="00BE36FB" w:rsidRPr="009B7B35" w:rsidRDefault="00BE36FB" w:rsidP="001A7107">
            <w:pPr>
              <w:pStyle w:val="TableText"/>
              <w:rPr>
                <w:rFonts w:cs="Arial"/>
                <w:b/>
              </w:rPr>
            </w:pPr>
            <w:r w:rsidRPr="009B7B35">
              <w:rPr>
                <w:rFonts w:cs="Arial"/>
                <w:b/>
              </w:rPr>
              <w:t>PO8</w:t>
            </w:r>
          </w:p>
          <w:p w14:paraId="56A04691" w14:textId="77777777" w:rsidR="00BE36FB" w:rsidRPr="009B7B35" w:rsidRDefault="00BE36FB" w:rsidP="001A7107">
            <w:pPr>
              <w:pStyle w:val="TableText"/>
              <w:rPr>
                <w:rFonts w:cs="Arial"/>
              </w:rPr>
            </w:pPr>
            <w:r w:rsidRPr="009B7B35">
              <w:rPr>
                <w:rFonts w:cs="Arial"/>
              </w:rPr>
              <w:t>The creation of new lots and roads are designed and oriented to minimise their visual impacts to:</w:t>
            </w:r>
          </w:p>
          <w:p w14:paraId="5DC012D9" w14:textId="77777777" w:rsidR="00BE36FB" w:rsidRPr="009B7B35" w:rsidRDefault="00BE36FB" w:rsidP="00BE36FB">
            <w:pPr>
              <w:pStyle w:val="TableText"/>
              <w:numPr>
                <w:ilvl w:val="0"/>
                <w:numId w:val="655"/>
              </w:numPr>
              <w:rPr>
                <w:rFonts w:cs="Arial"/>
              </w:rPr>
            </w:pPr>
            <w:r w:rsidRPr="009B7B35">
              <w:rPr>
                <w:rFonts w:cs="Arial"/>
              </w:rPr>
              <w:t>preserve natural vegetation, particularly on ridgelines;</w:t>
            </w:r>
          </w:p>
          <w:p w14:paraId="2C9FF76F" w14:textId="77777777" w:rsidR="00BE36FB" w:rsidRPr="009B7B35" w:rsidRDefault="00BE36FB" w:rsidP="00BE36FB">
            <w:pPr>
              <w:pStyle w:val="TableText"/>
              <w:numPr>
                <w:ilvl w:val="0"/>
                <w:numId w:val="655"/>
              </w:numPr>
              <w:rPr>
                <w:rFonts w:cs="Arial"/>
              </w:rPr>
            </w:pPr>
            <w:r w:rsidRPr="009B7B35">
              <w:rPr>
                <w:rFonts w:cs="Arial"/>
              </w:rPr>
              <w:t>minimise the cutting and filling of the natural topography; and</w:t>
            </w:r>
          </w:p>
          <w:p w14:paraId="0FE426AF" w14:textId="77777777" w:rsidR="00BE36FB" w:rsidRPr="009B7B35" w:rsidRDefault="00BE36FB" w:rsidP="00BE36FB">
            <w:pPr>
              <w:pStyle w:val="TableText"/>
              <w:numPr>
                <w:ilvl w:val="0"/>
                <w:numId w:val="655"/>
              </w:numPr>
              <w:rPr>
                <w:rFonts w:cs="Arial"/>
              </w:rPr>
            </w:pPr>
            <w:r w:rsidRPr="009B7B35">
              <w:rPr>
                <w:rFonts w:cs="Arial"/>
              </w:rPr>
              <w:t>minimise the impacts of new trunk infrastructure on existing vegetation.</w:t>
            </w:r>
          </w:p>
        </w:tc>
        <w:tc>
          <w:tcPr>
            <w:tcW w:w="4678" w:type="dxa"/>
          </w:tcPr>
          <w:p w14:paraId="3EACB462"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3DE28D0" w14:textId="77777777" w:rsidTr="001A7107">
        <w:tc>
          <w:tcPr>
            <w:tcW w:w="9356" w:type="dxa"/>
            <w:gridSpan w:val="2"/>
            <w:shd w:val="clear" w:color="auto" w:fill="BFBFBF" w:themeFill="background1" w:themeFillShade="BF"/>
          </w:tcPr>
          <w:p w14:paraId="0AC432D1" w14:textId="77777777" w:rsidR="00BE36FB" w:rsidRPr="009B7B35" w:rsidRDefault="00BE36FB" w:rsidP="001A7107">
            <w:pPr>
              <w:pStyle w:val="Tableheading"/>
              <w:rPr>
                <w:rFonts w:ascii="Arial" w:hAnsi="Arial" w:cs="Arial"/>
                <w:szCs w:val="20"/>
              </w:rPr>
            </w:pPr>
            <w:r w:rsidRPr="009B7B35">
              <w:rPr>
                <w:rFonts w:ascii="Arial" w:hAnsi="Arial" w:cs="Arial"/>
                <w:szCs w:val="20"/>
              </w:rPr>
              <w:t>Signage</w:t>
            </w:r>
          </w:p>
        </w:tc>
      </w:tr>
      <w:tr w:rsidR="00BE36FB" w:rsidRPr="009B7B35" w14:paraId="1B3030FB" w14:textId="77777777" w:rsidTr="001A7107">
        <w:tc>
          <w:tcPr>
            <w:tcW w:w="4678" w:type="dxa"/>
          </w:tcPr>
          <w:p w14:paraId="1CD07677" w14:textId="77777777" w:rsidR="00BE36FB" w:rsidRPr="009B7B35" w:rsidRDefault="00BE36FB" w:rsidP="001A7107">
            <w:pPr>
              <w:pStyle w:val="TableText"/>
              <w:rPr>
                <w:rFonts w:cs="Arial"/>
                <w:b/>
              </w:rPr>
            </w:pPr>
            <w:r w:rsidRPr="009B7B35">
              <w:rPr>
                <w:rFonts w:cs="Arial"/>
                <w:b/>
              </w:rPr>
              <w:t>PO9</w:t>
            </w:r>
          </w:p>
          <w:p w14:paraId="045D85B1" w14:textId="77777777" w:rsidR="00BE36FB" w:rsidRPr="009B7B35" w:rsidRDefault="00BE36FB" w:rsidP="001A7107">
            <w:pPr>
              <w:pStyle w:val="TableText"/>
              <w:rPr>
                <w:rFonts w:cs="Arial"/>
              </w:rPr>
            </w:pPr>
            <w:r w:rsidRPr="009B7B35">
              <w:rPr>
                <w:rFonts w:cs="Arial"/>
              </w:rPr>
              <w:t>Signage does not detract from the natural landscape character of an area.</w:t>
            </w:r>
          </w:p>
        </w:tc>
        <w:tc>
          <w:tcPr>
            <w:tcW w:w="4678" w:type="dxa"/>
          </w:tcPr>
          <w:p w14:paraId="12DE99F4" w14:textId="77777777" w:rsidR="00BE36FB" w:rsidRPr="009B7B35" w:rsidRDefault="00BE36FB" w:rsidP="001A7107">
            <w:pPr>
              <w:pStyle w:val="TableText"/>
              <w:rPr>
                <w:rFonts w:cs="Arial"/>
                <w:b/>
              </w:rPr>
            </w:pPr>
            <w:r w:rsidRPr="009B7B35">
              <w:rPr>
                <w:rFonts w:cs="Arial"/>
                <w:b/>
              </w:rPr>
              <w:t>AO9</w:t>
            </w:r>
          </w:p>
          <w:p w14:paraId="00C4DBC8" w14:textId="77777777" w:rsidR="00BE36FB" w:rsidRPr="009B7B35" w:rsidRDefault="00BE36FB" w:rsidP="001A7107">
            <w:pPr>
              <w:pStyle w:val="TableText"/>
              <w:rPr>
                <w:rFonts w:cs="Arial"/>
              </w:rPr>
            </w:pPr>
            <w:r w:rsidRPr="009B7B35">
              <w:rPr>
                <w:rFonts w:cs="Arial"/>
              </w:rPr>
              <w:t>No acceptable outcome is nominated.</w:t>
            </w:r>
          </w:p>
        </w:tc>
      </w:tr>
    </w:tbl>
    <w:p w14:paraId="22D3DA8D" w14:textId="77777777" w:rsidR="000D716B" w:rsidRDefault="000D716B" w:rsidP="000D716B">
      <w:pPr>
        <w:pStyle w:val="Heading3"/>
        <w:numPr>
          <w:ilvl w:val="0"/>
          <w:numId w:val="0"/>
        </w:numPr>
        <w:spacing w:before="240"/>
        <w:ind w:left="851" w:hanging="851"/>
        <w:rPr>
          <w:rFonts w:ascii="Arial" w:hAnsi="Arial"/>
          <w:sz w:val="20"/>
          <w:szCs w:val="20"/>
        </w:rPr>
      </w:pPr>
    </w:p>
    <w:p w14:paraId="347413E3" w14:textId="77777777" w:rsidR="000D716B" w:rsidRDefault="000D716B">
      <w:pPr>
        <w:rPr>
          <w:rFonts w:ascii="Arial" w:hAnsi="Arial" w:cs="Arial"/>
          <w:b/>
          <w:bCs/>
          <w:iCs/>
          <w:kern w:val="32"/>
          <w:sz w:val="20"/>
          <w:szCs w:val="20"/>
          <w:lang w:eastAsia="en-US"/>
        </w:rPr>
      </w:pPr>
      <w:r>
        <w:rPr>
          <w:rFonts w:ascii="Arial" w:hAnsi="Arial"/>
          <w:sz w:val="20"/>
          <w:szCs w:val="20"/>
        </w:rPr>
        <w:br w:type="page"/>
      </w:r>
    </w:p>
    <w:p w14:paraId="642BBBF0" w14:textId="77777777" w:rsidR="00BE36FB" w:rsidRPr="009B7B35" w:rsidRDefault="00BE36FB" w:rsidP="006776DA">
      <w:pPr>
        <w:pStyle w:val="Heading3"/>
        <w:numPr>
          <w:ilvl w:val="2"/>
          <w:numId w:val="883"/>
        </w:numPr>
        <w:spacing w:before="240"/>
        <w:rPr>
          <w:rFonts w:ascii="Arial" w:hAnsi="Arial"/>
          <w:sz w:val="20"/>
          <w:szCs w:val="20"/>
        </w:rPr>
      </w:pPr>
      <w:bookmarkStart w:id="253" w:name="_Toc205367387"/>
      <w:r w:rsidRPr="009B7B35">
        <w:rPr>
          <w:rFonts w:ascii="Arial" w:hAnsi="Arial"/>
          <w:sz w:val="20"/>
          <w:szCs w:val="20"/>
        </w:rPr>
        <w:t>Steep land</w:t>
      </w:r>
      <w:bookmarkEnd w:id="253"/>
    </w:p>
    <w:p w14:paraId="7CD5C32C"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Application</w:t>
      </w:r>
    </w:p>
    <w:p w14:paraId="2FAD58C9"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Steep land overlay code. When using this code, reference should be made to section 5.3.2 and where applicable, section 5.3.3 located in Part 5.</w:t>
      </w:r>
    </w:p>
    <w:p w14:paraId="2833DCC8"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Purpose</w:t>
      </w:r>
    </w:p>
    <w:p w14:paraId="68A99C40" w14:textId="77777777" w:rsidR="00BE36FB" w:rsidRPr="009B7B35" w:rsidRDefault="00BE36FB" w:rsidP="00BE36FB">
      <w:pPr>
        <w:numPr>
          <w:ilvl w:val="0"/>
          <w:numId w:val="622"/>
        </w:numPr>
        <w:rPr>
          <w:rFonts w:ascii="Arial" w:hAnsi="Arial" w:cs="Arial"/>
          <w:sz w:val="20"/>
          <w:szCs w:val="20"/>
        </w:rPr>
      </w:pPr>
      <w:r w:rsidRPr="009B7B35">
        <w:rPr>
          <w:rFonts w:ascii="Arial" w:hAnsi="Arial" w:cs="Arial"/>
          <w:sz w:val="20"/>
          <w:szCs w:val="20"/>
        </w:rPr>
        <w:t xml:space="preserve">The purpose of the Steep land overlay code is to ensure: </w:t>
      </w:r>
    </w:p>
    <w:p w14:paraId="4DDC3AE9" w14:textId="77777777"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The safety of people, property and hazardous materials are protected from landslide hazard risk.</w:t>
      </w:r>
    </w:p>
    <w:p w14:paraId="14CCD98F" w14:textId="77777777"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The potential for environmental degradation is minimised.</w:t>
      </w:r>
    </w:p>
    <w:p w14:paraId="11C2FF6B" w14:textId="77777777" w:rsidR="00BE36FB" w:rsidRPr="009B7B35" w:rsidRDefault="00BE36FB" w:rsidP="00BE36FB">
      <w:pPr>
        <w:numPr>
          <w:ilvl w:val="0"/>
          <w:numId w:val="622"/>
        </w:numPr>
        <w:rPr>
          <w:rFonts w:ascii="Arial" w:hAnsi="Arial" w:cs="Arial"/>
          <w:sz w:val="20"/>
          <w:szCs w:val="20"/>
        </w:rPr>
      </w:pPr>
      <w:r w:rsidRPr="009B7B35">
        <w:rPr>
          <w:rFonts w:ascii="Arial" w:hAnsi="Arial" w:cs="Arial"/>
          <w:sz w:val="20"/>
          <w:szCs w:val="20"/>
        </w:rPr>
        <w:t xml:space="preserve">The purpose of the Steep land overlay code will be achieved through the following overall outcomes: </w:t>
      </w:r>
    </w:p>
    <w:p w14:paraId="00CD75C1" w14:textId="77777777"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 xml:space="preserve">Development is compatible with the level of risk associated  with the landslide hazard. </w:t>
      </w:r>
    </w:p>
    <w:p w14:paraId="652B2455" w14:textId="77777777"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Development is adequately protected from landslide hazard.</w:t>
      </w:r>
    </w:p>
    <w:p w14:paraId="431DCC10" w14:textId="77777777"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Development does not increase the extent or severity of landslide hazard risk.</w:t>
      </w:r>
    </w:p>
    <w:p w14:paraId="692A586D" w14:textId="77777777"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Development provides for a useable and accessible building envelope and safe access.</w:t>
      </w:r>
    </w:p>
    <w:p w14:paraId="188F4CE7" w14:textId="77777777"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Development follows natural contours and topography in order to minimise the earthworks.</w:t>
      </w:r>
    </w:p>
    <w:p w14:paraId="4C8604B2" w14:textId="77777777" w:rsidR="00BE36FB" w:rsidRPr="009B7B35" w:rsidRDefault="00BE36FB" w:rsidP="00BE36FB">
      <w:pPr>
        <w:numPr>
          <w:ilvl w:val="1"/>
          <w:numId w:val="622"/>
        </w:numPr>
        <w:rPr>
          <w:rFonts w:ascii="Arial" w:hAnsi="Arial" w:cs="Arial"/>
          <w:sz w:val="20"/>
          <w:szCs w:val="20"/>
        </w:rPr>
      </w:pPr>
      <w:r w:rsidRPr="009B7B35">
        <w:rPr>
          <w:rFonts w:ascii="Arial" w:hAnsi="Arial" w:cs="Arial"/>
          <w:sz w:val="20"/>
          <w:szCs w:val="20"/>
        </w:rPr>
        <w:t>Community infrastructure is located and designed to function effectively at all times.</w:t>
      </w:r>
    </w:p>
    <w:p w14:paraId="4C6F0524"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Assessment benchmarks</w:t>
      </w:r>
    </w:p>
    <w:p w14:paraId="5A25262B" w14:textId="77777777" w:rsidR="00BE36FB" w:rsidRPr="009B7B35" w:rsidRDefault="00BE36FB" w:rsidP="001A7107">
      <w:pPr>
        <w:pStyle w:val="Heading5"/>
        <w:numPr>
          <w:ilvl w:val="0"/>
          <w:numId w:val="0"/>
        </w:numPr>
        <w:rPr>
          <w:rFonts w:cs="Arial"/>
          <w:szCs w:val="20"/>
        </w:rPr>
      </w:pPr>
      <w:r w:rsidRPr="009B7B35">
        <w:rPr>
          <w:rFonts w:cs="Arial"/>
          <w:szCs w:val="20"/>
        </w:rPr>
        <w:t>Table 8.2.12.3.1—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14:paraId="03902F6A" w14:textId="77777777" w:rsidTr="001A7107">
        <w:trPr>
          <w:cnfStyle w:val="100000000000" w:firstRow="1" w:lastRow="0" w:firstColumn="0" w:lastColumn="0" w:oddVBand="0" w:evenVBand="0" w:oddHBand="0" w:evenHBand="0" w:firstRowFirstColumn="0" w:firstRowLastColumn="0" w:lastRowFirstColumn="0" w:lastRowLastColumn="0"/>
          <w:cantSplit/>
          <w:trHeight w:val="323"/>
          <w:tblHeader/>
        </w:trPr>
        <w:tc>
          <w:tcPr>
            <w:tcW w:w="4678" w:type="dxa"/>
          </w:tcPr>
          <w:p w14:paraId="5E3635A2" w14:textId="77777777" w:rsidR="00BE36FB" w:rsidRPr="009B7B35" w:rsidRDefault="00BE36FB" w:rsidP="001A7107">
            <w:pPr>
              <w:pStyle w:val="Tableheading"/>
              <w:tabs>
                <w:tab w:val="left" w:pos="2595"/>
              </w:tabs>
              <w:rPr>
                <w:rStyle w:val="Strong"/>
                <w:rFonts w:ascii="Arial" w:hAnsi="Arial" w:cs="Arial"/>
                <w:szCs w:val="20"/>
              </w:rPr>
            </w:pPr>
            <w:r w:rsidRPr="009B7B35">
              <w:rPr>
                <w:rStyle w:val="Strong"/>
                <w:rFonts w:ascii="Arial" w:hAnsi="Arial" w:cs="Arial"/>
                <w:b w:val="0"/>
                <w:szCs w:val="20"/>
              </w:rPr>
              <w:t>Performance outcomes</w:t>
            </w:r>
            <w:r w:rsidRPr="009B7B35">
              <w:rPr>
                <w:rStyle w:val="Strong"/>
                <w:rFonts w:ascii="Arial" w:hAnsi="Arial" w:cs="Arial"/>
                <w:b w:val="0"/>
                <w:szCs w:val="20"/>
              </w:rPr>
              <w:tab/>
            </w:r>
          </w:p>
        </w:tc>
        <w:tc>
          <w:tcPr>
            <w:tcW w:w="4678" w:type="dxa"/>
          </w:tcPr>
          <w:p w14:paraId="60B464E9" w14:textId="77777777" w:rsidR="00BE36FB" w:rsidRPr="009B7B35" w:rsidRDefault="00BE36FB" w:rsidP="001A7107">
            <w:pPr>
              <w:pStyle w:val="Tableheading"/>
              <w:rPr>
                <w:rFonts w:ascii="Arial" w:hAnsi="Arial" w:cs="Arial"/>
                <w:szCs w:val="20"/>
              </w:rPr>
            </w:pPr>
            <w:r w:rsidRPr="009B7B35">
              <w:rPr>
                <w:rStyle w:val="Strong"/>
                <w:rFonts w:ascii="Arial" w:hAnsi="Arial" w:cs="Arial"/>
                <w:szCs w:val="20"/>
              </w:rPr>
              <w:t>Acceptable</w:t>
            </w:r>
            <w:r w:rsidRPr="009B7B35">
              <w:rPr>
                <w:rFonts w:ascii="Arial" w:hAnsi="Arial" w:cs="Arial"/>
                <w:szCs w:val="20"/>
              </w:rPr>
              <w:t xml:space="preserve"> outcomes</w:t>
            </w:r>
          </w:p>
        </w:tc>
      </w:tr>
      <w:tr w:rsidR="00BE36FB" w:rsidRPr="009B7B35" w14:paraId="04B9E4C8" w14:textId="77777777" w:rsidTr="001A7107">
        <w:trPr>
          <w:cantSplit/>
          <w:trHeight w:val="175"/>
        </w:trPr>
        <w:tc>
          <w:tcPr>
            <w:tcW w:w="9356" w:type="dxa"/>
            <w:gridSpan w:val="2"/>
            <w:shd w:val="clear" w:color="auto" w:fill="BFBFBF" w:themeFill="background1" w:themeFillShade="BF"/>
          </w:tcPr>
          <w:p w14:paraId="4D77B725" w14:textId="77777777" w:rsidR="00BE36FB" w:rsidRPr="009B7B35" w:rsidRDefault="00BE36FB" w:rsidP="001A7107">
            <w:pPr>
              <w:pStyle w:val="Tableheading"/>
              <w:rPr>
                <w:rFonts w:ascii="Arial" w:hAnsi="Arial" w:cs="Arial"/>
                <w:szCs w:val="20"/>
              </w:rPr>
            </w:pPr>
            <w:r w:rsidRPr="009B7B35">
              <w:rPr>
                <w:rFonts w:ascii="Arial" w:hAnsi="Arial" w:cs="Arial"/>
                <w:szCs w:val="20"/>
              </w:rPr>
              <w:t>General</w:t>
            </w:r>
          </w:p>
        </w:tc>
      </w:tr>
      <w:tr w:rsidR="00BE36FB" w:rsidRPr="009B7B35" w14:paraId="7AC6E341" w14:textId="77777777" w:rsidTr="001A7107">
        <w:trPr>
          <w:cantSplit/>
        </w:trPr>
        <w:tc>
          <w:tcPr>
            <w:tcW w:w="4678" w:type="dxa"/>
          </w:tcPr>
          <w:p w14:paraId="6A8A7411" w14:textId="77777777" w:rsidR="00BE36FB" w:rsidRPr="009B7B35" w:rsidRDefault="00BE36FB" w:rsidP="001A7107">
            <w:pPr>
              <w:pStyle w:val="TableText"/>
              <w:rPr>
                <w:rFonts w:cs="Arial"/>
                <w:b/>
                <w:bCs/>
              </w:rPr>
            </w:pPr>
            <w:r w:rsidRPr="009B7B35">
              <w:rPr>
                <w:rFonts w:cs="Arial"/>
                <w:b/>
                <w:bCs/>
              </w:rPr>
              <w:t>PO1</w:t>
            </w:r>
          </w:p>
          <w:p w14:paraId="5C939ED8" w14:textId="77777777" w:rsidR="00BE36FB" w:rsidRPr="009B7B35" w:rsidRDefault="00BE36FB" w:rsidP="001A7107">
            <w:pPr>
              <w:pStyle w:val="TableText"/>
              <w:rPr>
                <w:rFonts w:cs="Arial"/>
              </w:rPr>
            </w:pPr>
            <w:r w:rsidRPr="009B7B35">
              <w:rPr>
                <w:rFonts w:cs="Arial"/>
              </w:rPr>
              <w:t>Development:</w:t>
            </w:r>
          </w:p>
          <w:p w14:paraId="2641A92D" w14:textId="77777777" w:rsidR="00BE36FB" w:rsidRPr="009B7B35" w:rsidRDefault="00BE36FB" w:rsidP="00BE36FB">
            <w:pPr>
              <w:numPr>
                <w:ilvl w:val="0"/>
                <w:numId w:val="656"/>
              </w:numPr>
              <w:rPr>
                <w:rFonts w:cs="Arial"/>
                <w:sz w:val="20"/>
                <w:szCs w:val="20"/>
              </w:rPr>
            </w:pPr>
            <w:r w:rsidRPr="009B7B35">
              <w:rPr>
                <w:rFonts w:cs="Arial"/>
                <w:sz w:val="20"/>
                <w:szCs w:val="20"/>
              </w:rPr>
              <w:t>ensures people and property are protected from landslide hazard originating from inside or external to the site</w:t>
            </w:r>
          </w:p>
          <w:p w14:paraId="4003DB9E" w14:textId="77777777" w:rsidR="00BE36FB" w:rsidRPr="009B7B35" w:rsidRDefault="00BE36FB" w:rsidP="00BE36FB">
            <w:pPr>
              <w:numPr>
                <w:ilvl w:val="0"/>
                <w:numId w:val="656"/>
              </w:numPr>
              <w:rPr>
                <w:rFonts w:cs="Arial"/>
                <w:sz w:val="20"/>
                <w:szCs w:val="20"/>
              </w:rPr>
            </w:pPr>
            <w:r w:rsidRPr="009B7B35">
              <w:rPr>
                <w:rFonts w:cs="Arial"/>
                <w:sz w:val="20"/>
                <w:szCs w:val="20"/>
              </w:rPr>
              <w:t>ensures the long term stability of the land</w:t>
            </w:r>
          </w:p>
          <w:p w14:paraId="6F0D260B" w14:textId="77777777" w:rsidR="00BE36FB" w:rsidRPr="009B7B35" w:rsidRDefault="00BE36FB" w:rsidP="00BE36FB">
            <w:pPr>
              <w:numPr>
                <w:ilvl w:val="0"/>
                <w:numId w:val="656"/>
              </w:numPr>
              <w:rPr>
                <w:rFonts w:cs="Arial"/>
                <w:sz w:val="20"/>
                <w:szCs w:val="20"/>
              </w:rPr>
            </w:pPr>
            <w:r w:rsidRPr="009B7B35">
              <w:rPr>
                <w:rFonts w:cs="Arial"/>
                <w:sz w:val="20"/>
                <w:szCs w:val="20"/>
              </w:rPr>
              <w:t>ensures access is not at risk from being permanently impeded by a landslide event</w:t>
            </w:r>
          </w:p>
          <w:p w14:paraId="6679788B" w14:textId="77777777" w:rsidR="00BE36FB" w:rsidRPr="009B7B35" w:rsidRDefault="00BE36FB" w:rsidP="00BE36FB">
            <w:pPr>
              <w:numPr>
                <w:ilvl w:val="0"/>
                <w:numId w:val="656"/>
              </w:numPr>
              <w:rPr>
                <w:rFonts w:cs="Arial"/>
                <w:sz w:val="20"/>
                <w:szCs w:val="20"/>
              </w:rPr>
            </w:pPr>
            <w:r w:rsidRPr="009B7B35">
              <w:rPr>
                <w:rFonts w:cs="Arial"/>
                <w:sz w:val="20"/>
                <w:szCs w:val="20"/>
              </w:rPr>
              <w:t>does not increase the risk of landslide to adjoining properties, and</w:t>
            </w:r>
          </w:p>
          <w:p w14:paraId="5D1252C6" w14:textId="77777777" w:rsidR="00BE36FB" w:rsidRPr="009B7B35" w:rsidRDefault="00BE36FB" w:rsidP="00BE36FB">
            <w:pPr>
              <w:numPr>
                <w:ilvl w:val="0"/>
                <w:numId w:val="656"/>
              </w:numPr>
              <w:rPr>
                <w:rFonts w:cs="Arial"/>
                <w:sz w:val="20"/>
                <w:szCs w:val="20"/>
              </w:rPr>
            </w:pPr>
            <w:r w:rsidRPr="009B7B35">
              <w:rPr>
                <w:rFonts w:cs="Arial"/>
                <w:sz w:val="20"/>
                <w:szCs w:val="20"/>
              </w:rPr>
              <w:t>incorporates appropriate building types and structures that minimise disturbance to the land.</w:t>
            </w:r>
          </w:p>
          <w:p w14:paraId="22FE4D73" w14:textId="77777777" w:rsidR="00BE36FB" w:rsidRPr="009B7B35" w:rsidRDefault="00BE36FB" w:rsidP="001A7107">
            <w:pPr>
              <w:pStyle w:val="Notes"/>
              <w:rPr>
                <w:rFonts w:cs="Arial"/>
                <w:sz w:val="20"/>
                <w:szCs w:val="20"/>
              </w:rPr>
            </w:pPr>
            <w:r w:rsidRPr="009B7B35">
              <w:rPr>
                <w:rFonts w:cs="Arial"/>
                <w:sz w:val="20"/>
                <w:szCs w:val="20"/>
              </w:rPr>
              <w:t>Note—To achieve compliance with this performance outcome, a Geotechnical Report can to be prepared and certified by a RPEQ  in accordance with the Landslide Risk Management – Australian Geomechanics Journal.</w:t>
            </w:r>
          </w:p>
        </w:tc>
        <w:tc>
          <w:tcPr>
            <w:tcW w:w="4678" w:type="dxa"/>
          </w:tcPr>
          <w:p w14:paraId="10EDEE40" w14:textId="77777777" w:rsidR="00BE36FB" w:rsidRPr="009B7B35" w:rsidRDefault="00BE36FB" w:rsidP="001A7107">
            <w:pPr>
              <w:pStyle w:val="TableText"/>
              <w:rPr>
                <w:rFonts w:cs="Arial"/>
                <w:b/>
                <w:bCs/>
              </w:rPr>
            </w:pPr>
            <w:r w:rsidRPr="009B7B35">
              <w:rPr>
                <w:rFonts w:cs="Arial"/>
                <w:b/>
                <w:bCs/>
              </w:rPr>
              <w:t>AO1.1</w:t>
            </w:r>
          </w:p>
          <w:p w14:paraId="12D9CCF1" w14:textId="77777777" w:rsidR="00BE36FB" w:rsidRPr="009B7B35" w:rsidRDefault="00BE36FB" w:rsidP="001A7107">
            <w:pPr>
              <w:pStyle w:val="TableText"/>
              <w:rPr>
                <w:rFonts w:cs="Arial"/>
              </w:rPr>
            </w:pPr>
            <w:r w:rsidRPr="009B7B35">
              <w:rPr>
                <w:rFonts w:cs="Arial"/>
              </w:rPr>
              <w:t xml:space="preserve">Development is not located on that part of the land identified on the Steep land overlay. </w:t>
            </w:r>
          </w:p>
          <w:p w14:paraId="4897FC29" w14:textId="77777777" w:rsidR="00BE36FB" w:rsidRPr="009B7B35" w:rsidRDefault="00BE36FB" w:rsidP="001A7107">
            <w:pPr>
              <w:pStyle w:val="TableText"/>
              <w:rPr>
                <w:rFonts w:cs="Arial"/>
              </w:rPr>
            </w:pPr>
          </w:p>
          <w:p w14:paraId="09B19D18" w14:textId="77777777" w:rsidR="00BE36FB" w:rsidRPr="009B7B35" w:rsidRDefault="00BE36FB" w:rsidP="001A7107">
            <w:pPr>
              <w:pStyle w:val="Default"/>
              <w:rPr>
                <w:b/>
                <w:bCs/>
                <w:color w:val="auto"/>
                <w:sz w:val="20"/>
                <w:szCs w:val="20"/>
              </w:rPr>
            </w:pPr>
            <w:r w:rsidRPr="009B7B35">
              <w:rPr>
                <w:b/>
                <w:bCs/>
                <w:color w:val="auto"/>
                <w:sz w:val="20"/>
                <w:szCs w:val="20"/>
              </w:rPr>
              <w:t>OR</w:t>
            </w:r>
          </w:p>
          <w:p w14:paraId="7DE46048" w14:textId="77777777" w:rsidR="00BE36FB" w:rsidRPr="009B7B35" w:rsidRDefault="00BE36FB" w:rsidP="001A7107">
            <w:pPr>
              <w:pStyle w:val="Default"/>
              <w:rPr>
                <w:b/>
                <w:bCs/>
                <w:color w:val="auto"/>
                <w:sz w:val="20"/>
                <w:szCs w:val="20"/>
              </w:rPr>
            </w:pPr>
            <w:r w:rsidRPr="009B7B35">
              <w:rPr>
                <w:b/>
                <w:bCs/>
                <w:color w:val="auto"/>
                <w:sz w:val="20"/>
                <w:szCs w:val="20"/>
              </w:rPr>
              <w:t xml:space="preserve"> </w:t>
            </w:r>
          </w:p>
          <w:p w14:paraId="3D4E9DB2" w14:textId="77777777" w:rsidR="00BE36FB" w:rsidRPr="009B7B35" w:rsidRDefault="00BE36FB" w:rsidP="001A7107">
            <w:pPr>
              <w:pStyle w:val="Default"/>
              <w:rPr>
                <w:color w:val="auto"/>
                <w:sz w:val="20"/>
                <w:szCs w:val="20"/>
              </w:rPr>
            </w:pPr>
            <w:r w:rsidRPr="009B7B35">
              <w:rPr>
                <w:b/>
                <w:bCs/>
                <w:color w:val="auto"/>
                <w:sz w:val="20"/>
                <w:szCs w:val="20"/>
              </w:rPr>
              <w:t>AO1.2</w:t>
            </w:r>
          </w:p>
          <w:p w14:paraId="0C04931A" w14:textId="77777777" w:rsidR="00BE36FB" w:rsidRPr="009B7B35" w:rsidRDefault="00BE36FB" w:rsidP="001A7107">
            <w:pPr>
              <w:pStyle w:val="Default"/>
              <w:rPr>
                <w:color w:val="auto"/>
                <w:sz w:val="20"/>
                <w:szCs w:val="20"/>
              </w:rPr>
            </w:pPr>
            <w:r w:rsidRPr="009B7B35">
              <w:rPr>
                <w:color w:val="auto"/>
                <w:sz w:val="20"/>
                <w:szCs w:val="20"/>
              </w:rPr>
              <w:t xml:space="preserve">Where development is located on land identified on the Steep land overlay, a site-specific geotechnical report is provided that certifies:- </w:t>
            </w:r>
          </w:p>
          <w:p w14:paraId="268C1354" w14:textId="77777777" w:rsidR="00BE36FB" w:rsidRPr="009B7B35" w:rsidRDefault="00BE36FB" w:rsidP="00BE36FB">
            <w:pPr>
              <w:pStyle w:val="Default"/>
              <w:numPr>
                <w:ilvl w:val="0"/>
                <w:numId w:val="700"/>
              </w:numPr>
              <w:ind w:left="510" w:hanging="510"/>
              <w:rPr>
                <w:color w:val="auto"/>
                <w:sz w:val="20"/>
                <w:szCs w:val="20"/>
              </w:rPr>
            </w:pPr>
            <w:r w:rsidRPr="009B7B35">
              <w:rPr>
                <w:color w:val="auto"/>
                <w:sz w:val="20"/>
                <w:szCs w:val="20"/>
              </w:rPr>
              <w:t xml:space="preserve">the stability of the site, including associated buildings and infrastructure, will be maintained during both the construction and operational life of the development; </w:t>
            </w:r>
          </w:p>
          <w:p w14:paraId="66CE50E9" w14:textId="77777777" w:rsidR="00BE36FB" w:rsidRPr="009B7B35" w:rsidRDefault="00BE36FB" w:rsidP="00BE36FB">
            <w:pPr>
              <w:pStyle w:val="Default"/>
              <w:numPr>
                <w:ilvl w:val="0"/>
                <w:numId w:val="700"/>
              </w:numPr>
              <w:ind w:left="510" w:hanging="510"/>
              <w:rPr>
                <w:color w:val="auto"/>
                <w:sz w:val="20"/>
                <w:szCs w:val="20"/>
              </w:rPr>
            </w:pPr>
            <w:r w:rsidRPr="009B7B35">
              <w:rPr>
                <w:color w:val="auto"/>
                <w:sz w:val="20"/>
                <w:szCs w:val="20"/>
              </w:rPr>
              <w:t>the site is not subject to risk of landslide activity originating from other land, including land above the site; and</w:t>
            </w:r>
          </w:p>
          <w:p w14:paraId="1402DADB" w14:textId="77777777" w:rsidR="00BE36FB" w:rsidRPr="009B7B35" w:rsidRDefault="00BE36FB" w:rsidP="00BE36FB">
            <w:pPr>
              <w:pStyle w:val="Default"/>
              <w:numPr>
                <w:ilvl w:val="0"/>
                <w:numId w:val="700"/>
              </w:numPr>
              <w:ind w:left="510" w:hanging="510"/>
              <w:rPr>
                <w:color w:val="auto"/>
                <w:sz w:val="20"/>
                <w:szCs w:val="20"/>
              </w:rPr>
            </w:pPr>
            <w:r w:rsidRPr="009B7B35">
              <w:rPr>
                <w:color w:val="auto"/>
                <w:sz w:val="20"/>
                <w:szCs w:val="20"/>
              </w:rPr>
              <w:t xml:space="preserve">the development will not increase the risk of landslide on other land. </w:t>
            </w:r>
          </w:p>
          <w:p w14:paraId="4C92BFBA" w14:textId="77777777" w:rsidR="00BE36FB" w:rsidRPr="009B7B35" w:rsidRDefault="00BE36FB" w:rsidP="001A7107">
            <w:pPr>
              <w:pStyle w:val="Default"/>
              <w:rPr>
                <w:color w:val="auto"/>
                <w:sz w:val="20"/>
                <w:szCs w:val="20"/>
              </w:rPr>
            </w:pPr>
          </w:p>
          <w:p w14:paraId="34D216F1" w14:textId="77777777" w:rsidR="00BE36FB" w:rsidRPr="009B7B35" w:rsidRDefault="00BE36FB" w:rsidP="001A7107">
            <w:pPr>
              <w:pStyle w:val="Default"/>
              <w:rPr>
                <w:color w:val="auto"/>
                <w:sz w:val="20"/>
                <w:szCs w:val="20"/>
              </w:rPr>
            </w:pPr>
            <w:r w:rsidRPr="009B7B35">
              <w:rPr>
                <w:color w:val="auto"/>
                <w:sz w:val="20"/>
                <w:szCs w:val="20"/>
              </w:rPr>
              <w:t>Note—The Geotechnical Report is to be certified by a RPEQ in accordance with the Landslide Risk Management – Australian Geomechanics Journal.</w:t>
            </w:r>
          </w:p>
        </w:tc>
      </w:tr>
      <w:tr w:rsidR="00BE36FB" w:rsidRPr="009B7B35" w14:paraId="6B768D71" w14:textId="77777777" w:rsidTr="001A7107">
        <w:trPr>
          <w:cantSplit/>
        </w:trPr>
        <w:tc>
          <w:tcPr>
            <w:tcW w:w="4678" w:type="dxa"/>
            <w:vMerge w:val="restart"/>
          </w:tcPr>
          <w:p w14:paraId="3B092E4C" w14:textId="77777777" w:rsidR="00BE36FB" w:rsidRPr="009B7B35" w:rsidRDefault="00BE36FB" w:rsidP="001A7107">
            <w:pPr>
              <w:pStyle w:val="TableText"/>
              <w:rPr>
                <w:rFonts w:cs="Arial"/>
                <w:b/>
                <w:bCs/>
              </w:rPr>
            </w:pPr>
            <w:r w:rsidRPr="009B7B35">
              <w:rPr>
                <w:rFonts w:cs="Arial"/>
                <w:b/>
                <w:bCs/>
              </w:rPr>
              <w:t>PO2</w:t>
            </w:r>
          </w:p>
          <w:p w14:paraId="6A41F2D9" w14:textId="77777777" w:rsidR="00BE36FB" w:rsidRPr="009B7B35" w:rsidRDefault="00BE36FB" w:rsidP="001A7107">
            <w:pPr>
              <w:pStyle w:val="TableText"/>
              <w:rPr>
                <w:rFonts w:cs="Arial"/>
              </w:rPr>
            </w:pPr>
            <w:r w:rsidRPr="009B7B35">
              <w:rPr>
                <w:rFonts w:cs="Arial"/>
              </w:rPr>
              <w:t>Paths, driveways and roads:</w:t>
            </w:r>
          </w:p>
          <w:p w14:paraId="7F0E557B" w14:textId="77777777" w:rsidR="00BE36FB" w:rsidRPr="009B7B35" w:rsidRDefault="00BE36FB" w:rsidP="00BE36FB">
            <w:pPr>
              <w:numPr>
                <w:ilvl w:val="0"/>
                <w:numId w:val="661"/>
              </w:numPr>
              <w:rPr>
                <w:rFonts w:cs="Arial"/>
                <w:sz w:val="20"/>
                <w:szCs w:val="20"/>
              </w:rPr>
            </w:pPr>
            <w:r w:rsidRPr="009B7B35">
              <w:rPr>
                <w:rFonts w:cs="Arial"/>
                <w:sz w:val="20"/>
                <w:szCs w:val="20"/>
              </w:rPr>
              <w:t>avoid the steepest parts of the land, and</w:t>
            </w:r>
          </w:p>
          <w:p w14:paraId="63F24A0A" w14:textId="77777777" w:rsidR="00BE36FB" w:rsidRPr="009B7B35" w:rsidRDefault="00BE36FB" w:rsidP="00BE36FB">
            <w:pPr>
              <w:numPr>
                <w:ilvl w:val="0"/>
                <w:numId w:val="661"/>
              </w:numPr>
              <w:rPr>
                <w:rFonts w:cs="Arial"/>
                <w:sz w:val="20"/>
                <w:szCs w:val="20"/>
              </w:rPr>
            </w:pPr>
            <w:r w:rsidRPr="009B7B35">
              <w:rPr>
                <w:rFonts w:cs="Arial"/>
                <w:sz w:val="20"/>
                <w:szCs w:val="20"/>
              </w:rPr>
              <w:t xml:space="preserve">are constructed to an appropriate standard to minimise landslide impacts, and </w:t>
            </w:r>
          </w:p>
          <w:p w14:paraId="610F534C" w14:textId="77777777" w:rsidR="00BE36FB" w:rsidRPr="009B7B35" w:rsidRDefault="00BE36FB" w:rsidP="00BE36FB">
            <w:pPr>
              <w:numPr>
                <w:ilvl w:val="0"/>
                <w:numId w:val="661"/>
              </w:numPr>
              <w:rPr>
                <w:rFonts w:cs="Arial"/>
                <w:sz w:val="20"/>
                <w:szCs w:val="20"/>
              </w:rPr>
            </w:pPr>
            <w:r w:rsidRPr="009B7B35">
              <w:rPr>
                <w:rFonts w:cs="Arial"/>
                <w:sz w:val="20"/>
                <w:szCs w:val="20"/>
              </w:rPr>
              <w:t>follow natural contours and minimise crossing with natural drainage lines.</w:t>
            </w:r>
          </w:p>
        </w:tc>
        <w:tc>
          <w:tcPr>
            <w:tcW w:w="4678" w:type="dxa"/>
          </w:tcPr>
          <w:p w14:paraId="23FB7981" w14:textId="77777777" w:rsidR="00BE36FB" w:rsidRPr="009B7B35" w:rsidRDefault="00BE36FB" w:rsidP="001A7107">
            <w:pPr>
              <w:pStyle w:val="TableText"/>
              <w:rPr>
                <w:rFonts w:cs="Arial"/>
                <w:b/>
                <w:bCs/>
              </w:rPr>
            </w:pPr>
            <w:r w:rsidRPr="009B7B35">
              <w:rPr>
                <w:rFonts w:cs="Arial"/>
                <w:b/>
                <w:bCs/>
              </w:rPr>
              <w:t>AO2.1</w:t>
            </w:r>
          </w:p>
          <w:p w14:paraId="01711D1D" w14:textId="77777777" w:rsidR="00BE36FB" w:rsidRPr="009B7B35" w:rsidRDefault="00BE36FB" w:rsidP="001A7107">
            <w:pPr>
              <w:pStyle w:val="TableText"/>
              <w:rPr>
                <w:rFonts w:cs="Arial"/>
              </w:rPr>
            </w:pPr>
            <w:r w:rsidRPr="009B7B35">
              <w:rPr>
                <w:rFonts w:cs="Arial"/>
              </w:rPr>
              <w:t>Paths, driveways and roads do not traverse land with a slope exceeding 25%.</w:t>
            </w:r>
          </w:p>
        </w:tc>
      </w:tr>
      <w:tr w:rsidR="00BE36FB" w:rsidRPr="009B7B35" w14:paraId="23255015" w14:textId="77777777" w:rsidTr="001A7107">
        <w:trPr>
          <w:cantSplit/>
        </w:trPr>
        <w:tc>
          <w:tcPr>
            <w:tcW w:w="4678" w:type="dxa"/>
            <w:vMerge/>
          </w:tcPr>
          <w:p w14:paraId="3E1D12D3" w14:textId="77777777" w:rsidR="00BE36FB" w:rsidRPr="009B7B35" w:rsidRDefault="00BE36FB" w:rsidP="001A7107">
            <w:pPr>
              <w:rPr>
                <w:rFonts w:cs="Arial"/>
                <w:sz w:val="20"/>
                <w:szCs w:val="20"/>
              </w:rPr>
            </w:pPr>
          </w:p>
        </w:tc>
        <w:tc>
          <w:tcPr>
            <w:tcW w:w="4678" w:type="dxa"/>
          </w:tcPr>
          <w:p w14:paraId="7C6807E2" w14:textId="77777777" w:rsidR="00BE36FB" w:rsidRPr="009B7B35" w:rsidRDefault="00BE36FB" w:rsidP="001A7107">
            <w:pPr>
              <w:pStyle w:val="TableText"/>
              <w:rPr>
                <w:rFonts w:cs="Arial"/>
                <w:b/>
                <w:bCs/>
              </w:rPr>
            </w:pPr>
            <w:r w:rsidRPr="009B7B35">
              <w:rPr>
                <w:rFonts w:cs="Arial"/>
                <w:b/>
                <w:bCs/>
              </w:rPr>
              <w:t>AO2.2</w:t>
            </w:r>
          </w:p>
          <w:p w14:paraId="3E036422" w14:textId="77777777" w:rsidR="00BE36FB" w:rsidRPr="009B7B35" w:rsidRDefault="00BE36FB" w:rsidP="001A7107">
            <w:pPr>
              <w:pStyle w:val="TableText"/>
              <w:rPr>
                <w:rFonts w:cs="Arial"/>
              </w:rPr>
            </w:pPr>
            <w:r w:rsidRPr="009B7B35">
              <w:rPr>
                <w:rFonts w:cs="Arial"/>
              </w:rPr>
              <w:t>Paths, driveways and roads are sealed with asphalt, concrete or another type of hardstand where traversing a slope greater than 10%.</w:t>
            </w:r>
          </w:p>
        </w:tc>
      </w:tr>
      <w:tr w:rsidR="00BE36FB" w:rsidRPr="009B7B35" w14:paraId="5B85BFA6" w14:textId="77777777" w:rsidTr="001A7107">
        <w:tc>
          <w:tcPr>
            <w:tcW w:w="4678" w:type="dxa"/>
            <w:vMerge w:val="restart"/>
          </w:tcPr>
          <w:p w14:paraId="697E0666" w14:textId="77777777" w:rsidR="00BE36FB" w:rsidRPr="009B7B35" w:rsidRDefault="00BE36FB" w:rsidP="001A7107">
            <w:pPr>
              <w:pStyle w:val="TableText"/>
              <w:rPr>
                <w:rFonts w:cs="Arial"/>
                <w:b/>
              </w:rPr>
            </w:pPr>
            <w:r w:rsidRPr="009B7B35">
              <w:rPr>
                <w:rFonts w:cs="Arial"/>
                <w:b/>
              </w:rPr>
              <w:t>PO3</w:t>
            </w:r>
          </w:p>
          <w:p w14:paraId="22C86FEB" w14:textId="77777777" w:rsidR="00BE36FB" w:rsidRPr="009B7B35" w:rsidRDefault="00BE36FB" w:rsidP="001A7107">
            <w:pPr>
              <w:pStyle w:val="TableText"/>
              <w:rPr>
                <w:rFonts w:cs="Arial"/>
              </w:rPr>
            </w:pPr>
            <w:r w:rsidRPr="009B7B35">
              <w:rPr>
                <w:rFonts w:cs="Arial"/>
              </w:rPr>
              <w:t>Earthworks:</w:t>
            </w:r>
          </w:p>
          <w:p w14:paraId="7E7A3D52" w14:textId="77777777" w:rsidR="00BE36FB" w:rsidRPr="009B7B35" w:rsidRDefault="00BE36FB" w:rsidP="00BE36FB">
            <w:pPr>
              <w:numPr>
                <w:ilvl w:val="0"/>
                <w:numId w:val="657"/>
              </w:numPr>
              <w:rPr>
                <w:rFonts w:cs="Arial"/>
                <w:sz w:val="20"/>
                <w:szCs w:val="20"/>
              </w:rPr>
            </w:pPr>
            <w:r w:rsidRPr="009B7B35">
              <w:rPr>
                <w:rFonts w:cs="Arial"/>
                <w:sz w:val="20"/>
                <w:szCs w:val="20"/>
              </w:rPr>
              <w:t>minimises disturbance to the natural contours of the site and adjoining properties, and</w:t>
            </w:r>
          </w:p>
          <w:p w14:paraId="328F6069" w14:textId="77777777" w:rsidR="00BE36FB" w:rsidRPr="009B7B35" w:rsidRDefault="00BE36FB" w:rsidP="00BE36FB">
            <w:pPr>
              <w:numPr>
                <w:ilvl w:val="0"/>
                <w:numId w:val="657"/>
              </w:numPr>
              <w:rPr>
                <w:rFonts w:cs="Arial"/>
                <w:sz w:val="20"/>
                <w:szCs w:val="20"/>
              </w:rPr>
            </w:pPr>
            <w:r w:rsidRPr="009B7B35">
              <w:rPr>
                <w:rFonts w:cs="Arial"/>
                <w:sz w:val="20"/>
                <w:szCs w:val="20"/>
              </w:rPr>
              <w:t>do not increase the risk of landslide inside or external to the site.</w:t>
            </w:r>
          </w:p>
        </w:tc>
        <w:tc>
          <w:tcPr>
            <w:tcW w:w="4678" w:type="dxa"/>
          </w:tcPr>
          <w:p w14:paraId="41726C18" w14:textId="77777777" w:rsidR="00BE36FB" w:rsidRPr="009B7B35" w:rsidRDefault="00BE36FB" w:rsidP="001A7107">
            <w:pPr>
              <w:pStyle w:val="TableText"/>
              <w:rPr>
                <w:rFonts w:cs="Arial"/>
                <w:b/>
                <w:bCs/>
              </w:rPr>
            </w:pPr>
            <w:r w:rsidRPr="009B7B35">
              <w:rPr>
                <w:rFonts w:cs="Arial"/>
                <w:b/>
              </w:rPr>
              <w:t>A</w:t>
            </w:r>
            <w:r w:rsidRPr="009B7B35">
              <w:rPr>
                <w:rFonts w:cs="Arial"/>
                <w:b/>
                <w:bCs/>
              </w:rPr>
              <w:t>O3.1</w:t>
            </w:r>
          </w:p>
          <w:p w14:paraId="5DA9A74A" w14:textId="77777777" w:rsidR="00BE36FB" w:rsidRPr="009B7B35" w:rsidRDefault="00BE36FB" w:rsidP="001A7107">
            <w:pPr>
              <w:pStyle w:val="TableText"/>
              <w:rPr>
                <w:rFonts w:cs="Arial"/>
              </w:rPr>
            </w:pPr>
            <w:r w:rsidRPr="009B7B35">
              <w:rPr>
                <w:rFonts w:cs="Arial"/>
              </w:rPr>
              <w:t>Earthworks do not:</w:t>
            </w:r>
          </w:p>
          <w:p w14:paraId="5083A22A" w14:textId="77777777" w:rsidR="00BE36FB" w:rsidRPr="009B7B35" w:rsidRDefault="00BE36FB" w:rsidP="00BE36FB">
            <w:pPr>
              <w:numPr>
                <w:ilvl w:val="0"/>
                <w:numId w:val="623"/>
              </w:numPr>
              <w:rPr>
                <w:rFonts w:cs="Arial"/>
                <w:sz w:val="20"/>
                <w:szCs w:val="20"/>
              </w:rPr>
            </w:pPr>
            <w:r w:rsidRPr="009B7B35">
              <w:rPr>
                <w:rFonts w:cs="Arial"/>
                <w:sz w:val="20"/>
                <w:szCs w:val="20"/>
              </w:rPr>
              <w:t>change the ground level more than 1m at any point</w:t>
            </w:r>
          </w:p>
          <w:p w14:paraId="64F10EC1" w14:textId="77777777" w:rsidR="00BE36FB" w:rsidRPr="009B7B35" w:rsidRDefault="00BE36FB" w:rsidP="00BE36FB">
            <w:pPr>
              <w:numPr>
                <w:ilvl w:val="0"/>
                <w:numId w:val="623"/>
              </w:numPr>
              <w:rPr>
                <w:rFonts w:cs="Arial"/>
                <w:sz w:val="20"/>
                <w:szCs w:val="20"/>
              </w:rPr>
            </w:pPr>
            <w:r w:rsidRPr="009B7B35">
              <w:rPr>
                <w:rFonts w:cs="Arial"/>
                <w:sz w:val="20"/>
                <w:szCs w:val="20"/>
              </w:rPr>
              <w:t>occur within 1.5m of any property boundary, and</w:t>
            </w:r>
          </w:p>
          <w:p w14:paraId="0ECFF8BA" w14:textId="77777777" w:rsidR="00BE36FB" w:rsidRPr="009B7B35" w:rsidRDefault="00BE36FB" w:rsidP="00BE36FB">
            <w:pPr>
              <w:numPr>
                <w:ilvl w:val="0"/>
                <w:numId w:val="623"/>
              </w:numPr>
              <w:rPr>
                <w:rFonts w:cs="Arial"/>
                <w:sz w:val="20"/>
                <w:szCs w:val="20"/>
              </w:rPr>
            </w:pPr>
            <w:r w:rsidRPr="009B7B35">
              <w:rPr>
                <w:rFonts w:cs="Arial"/>
                <w:sz w:val="20"/>
                <w:szCs w:val="20"/>
              </w:rPr>
              <w:t>result in retaining walls located within 3m of a property boundary, other than where retaining walls are less than 1m in height on a continuous vertical plane.</w:t>
            </w:r>
          </w:p>
        </w:tc>
      </w:tr>
      <w:tr w:rsidR="00BE36FB" w:rsidRPr="009B7B35" w14:paraId="468E21F8" w14:textId="77777777" w:rsidTr="001A7107">
        <w:tc>
          <w:tcPr>
            <w:tcW w:w="4678" w:type="dxa"/>
            <w:vMerge/>
          </w:tcPr>
          <w:p w14:paraId="35163978" w14:textId="77777777" w:rsidR="00BE36FB" w:rsidRPr="009B7B35" w:rsidRDefault="00BE36FB" w:rsidP="001A7107">
            <w:pPr>
              <w:rPr>
                <w:rFonts w:cs="Arial"/>
                <w:sz w:val="20"/>
                <w:szCs w:val="20"/>
              </w:rPr>
            </w:pPr>
          </w:p>
        </w:tc>
        <w:tc>
          <w:tcPr>
            <w:tcW w:w="4678" w:type="dxa"/>
          </w:tcPr>
          <w:p w14:paraId="30A7753B" w14:textId="77777777" w:rsidR="00BE36FB" w:rsidRPr="009B7B35" w:rsidRDefault="00BE36FB" w:rsidP="001A7107">
            <w:pPr>
              <w:pStyle w:val="Tableheading"/>
              <w:rPr>
                <w:rFonts w:ascii="Arial" w:hAnsi="Arial" w:cs="Arial"/>
                <w:szCs w:val="20"/>
              </w:rPr>
            </w:pPr>
            <w:r w:rsidRPr="009B7B35">
              <w:rPr>
                <w:rFonts w:ascii="Arial" w:hAnsi="Arial" w:cs="Arial"/>
                <w:szCs w:val="20"/>
              </w:rPr>
              <w:t>AO3.2</w:t>
            </w:r>
          </w:p>
          <w:p w14:paraId="23491A99" w14:textId="77777777" w:rsidR="00BE36FB" w:rsidRPr="009B7B35" w:rsidRDefault="00BE36FB" w:rsidP="001A7107">
            <w:pPr>
              <w:pStyle w:val="TableText"/>
              <w:rPr>
                <w:rFonts w:cs="Arial"/>
              </w:rPr>
            </w:pPr>
            <w:r w:rsidRPr="009B7B35">
              <w:rPr>
                <w:rFonts w:cs="Arial"/>
              </w:rPr>
              <w:t>Where involving the construction of the roads, 2m is the maximum cut.</w:t>
            </w:r>
          </w:p>
        </w:tc>
      </w:tr>
      <w:tr w:rsidR="00BE36FB" w:rsidRPr="009B7B35" w14:paraId="5B60E6E4" w14:textId="77777777" w:rsidTr="001A7107">
        <w:tc>
          <w:tcPr>
            <w:tcW w:w="9356" w:type="dxa"/>
            <w:gridSpan w:val="2"/>
            <w:shd w:val="clear" w:color="auto" w:fill="BFBFBF" w:themeFill="background1" w:themeFillShade="BF"/>
          </w:tcPr>
          <w:p w14:paraId="55B9FE62" w14:textId="77777777" w:rsidR="00BE36FB" w:rsidRPr="009B7B35" w:rsidRDefault="00BE36FB" w:rsidP="001A7107">
            <w:pPr>
              <w:pStyle w:val="Tableheading"/>
              <w:rPr>
                <w:rFonts w:ascii="Arial" w:hAnsi="Arial" w:cs="Arial"/>
                <w:szCs w:val="20"/>
              </w:rPr>
            </w:pPr>
            <w:r w:rsidRPr="009B7B35">
              <w:rPr>
                <w:rFonts w:ascii="Arial" w:hAnsi="Arial" w:cs="Arial"/>
                <w:szCs w:val="20"/>
              </w:rPr>
              <w:t>If involving a dwelling house</w:t>
            </w:r>
          </w:p>
        </w:tc>
      </w:tr>
      <w:tr w:rsidR="00BE36FB" w:rsidRPr="009B7B35" w14:paraId="0EE70AA1" w14:textId="77777777" w:rsidTr="001A7107">
        <w:trPr>
          <w:trHeight w:val="42"/>
        </w:trPr>
        <w:tc>
          <w:tcPr>
            <w:tcW w:w="4678" w:type="dxa"/>
            <w:vMerge w:val="restart"/>
          </w:tcPr>
          <w:p w14:paraId="2F86AB3F" w14:textId="77777777" w:rsidR="00BE36FB" w:rsidRPr="009B7B35" w:rsidRDefault="00BE36FB" w:rsidP="001A7107">
            <w:pPr>
              <w:pStyle w:val="TableText"/>
              <w:rPr>
                <w:rFonts w:cs="Arial"/>
                <w:b/>
                <w:bCs/>
              </w:rPr>
            </w:pPr>
            <w:r w:rsidRPr="009B7B35">
              <w:rPr>
                <w:rFonts w:cs="Arial"/>
                <w:b/>
                <w:bCs/>
              </w:rPr>
              <w:t>PO4</w:t>
            </w:r>
          </w:p>
          <w:p w14:paraId="5C64515F" w14:textId="77777777" w:rsidR="00BE36FB" w:rsidRPr="009B7B35" w:rsidRDefault="00BE36FB" w:rsidP="001A7107">
            <w:pPr>
              <w:pStyle w:val="TableText"/>
              <w:rPr>
                <w:rFonts w:cs="Arial"/>
              </w:rPr>
            </w:pPr>
            <w:r w:rsidRPr="009B7B35">
              <w:rPr>
                <w:rFonts w:cs="Arial"/>
              </w:rPr>
              <w:t>Development must have sufficient size to accommodate a dwelling house, outdoor recreation area and an on site wastewater treatment system.</w:t>
            </w:r>
          </w:p>
        </w:tc>
        <w:tc>
          <w:tcPr>
            <w:tcW w:w="4678" w:type="dxa"/>
          </w:tcPr>
          <w:p w14:paraId="0F92A047" w14:textId="77777777" w:rsidR="00BE36FB" w:rsidRPr="009B7B35" w:rsidRDefault="00BE36FB" w:rsidP="001A7107">
            <w:pPr>
              <w:rPr>
                <w:rFonts w:cs="Arial"/>
                <w:b/>
                <w:sz w:val="20"/>
                <w:szCs w:val="20"/>
              </w:rPr>
            </w:pPr>
            <w:r w:rsidRPr="009B7B35">
              <w:rPr>
                <w:rFonts w:cs="Arial"/>
                <w:b/>
                <w:sz w:val="20"/>
                <w:szCs w:val="20"/>
              </w:rPr>
              <w:t>AO4.1</w:t>
            </w:r>
          </w:p>
          <w:p w14:paraId="071B7373" w14:textId="77777777" w:rsidR="00BE36FB" w:rsidRPr="009B7B35" w:rsidRDefault="00BE36FB" w:rsidP="001A7107">
            <w:pPr>
              <w:pStyle w:val="TableText"/>
              <w:rPr>
                <w:rFonts w:cs="Arial"/>
              </w:rPr>
            </w:pPr>
            <w:r w:rsidRPr="009B7B35">
              <w:rPr>
                <w:rFonts w:cs="Arial"/>
              </w:rPr>
              <w:t>Development is in accordance with a Reconfiguring a Lot Development Permit in which there is a Plan of subdivision and associated Operational Works (Earthworks) approval.</w:t>
            </w:r>
          </w:p>
          <w:p w14:paraId="4328CA56" w14:textId="77777777" w:rsidR="00BE36FB" w:rsidRPr="009B7B35" w:rsidRDefault="00BE36FB" w:rsidP="001A7107">
            <w:pPr>
              <w:pStyle w:val="Notes"/>
              <w:rPr>
                <w:rFonts w:cs="Arial"/>
                <w:sz w:val="20"/>
                <w:szCs w:val="20"/>
              </w:rPr>
            </w:pPr>
            <w:r w:rsidRPr="009B7B35">
              <w:rPr>
                <w:rFonts w:cs="Arial"/>
                <w:sz w:val="20"/>
                <w:szCs w:val="20"/>
              </w:rPr>
              <w:t xml:space="preserve">Note – the Steep Land overlay mapping represents the best mapping information available at the time. It is acknowledged subsequent Reconfiguring a Lot and associated Operational Works (Earthworks) approvals may necessitate regular amendments to update the Steep land overlay mapping. AO4.1 recognises development may proceed in accordance with these approvals should the Steep land overlay mapping be triggered in the event the overlay mapping has not been updated. </w:t>
            </w:r>
          </w:p>
        </w:tc>
      </w:tr>
      <w:tr w:rsidR="00BE36FB" w:rsidRPr="009B7B35" w14:paraId="4145CD1F" w14:textId="77777777" w:rsidTr="001A7107">
        <w:trPr>
          <w:cantSplit/>
          <w:trHeight w:val="754"/>
        </w:trPr>
        <w:tc>
          <w:tcPr>
            <w:tcW w:w="4678" w:type="dxa"/>
            <w:vMerge/>
          </w:tcPr>
          <w:p w14:paraId="508F7D9B" w14:textId="77777777" w:rsidR="00BE36FB" w:rsidRPr="009B7B35" w:rsidRDefault="00BE36FB" w:rsidP="001A7107">
            <w:pPr>
              <w:pStyle w:val="TableText"/>
              <w:rPr>
                <w:rFonts w:cs="Arial"/>
                <w:b/>
                <w:bCs/>
              </w:rPr>
            </w:pPr>
          </w:p>
        </w:tc>
        <w:tc>
          <w:tcPr>
            <w:tcW w:w="4678" w:type="dxa"/>
          </w:tcPr>
          <w:p w14:paraId="2BD28936" w14:textId="77777777" w:rsidR="00BE36FB" w:rsidRPr="009B7B35" w:rsidRDefault="00BE36FB" w:rsidP="001A7107">
            <w:pPr>
              <w:pStyle w:val="TableText"/>
              <w:rPr>
                <w:rFonts w:cs="Arial"/>
                <w:b/>
              </w:rPr>
            </w:pPr>
            <w:r w:rsidRPr="009B7B35">
              <w:rPr>
                <w:rFonts w:cs="Arial"/>
                <w:b/>
              </w:rPr>
              <w:t>AO4.2</w:t>
            </w:r>
          </w:p>
          <w:p w14:paraId="46E6B7A8" w14:textId="77777777" w:rsidR="00BE36FB" w:rsidRPr="009B7B35" w:rsidRDefault="00BE36FB" w:rsidP="001A7107">
            <w:pPr>
              <w:rPr>
                <w:rFonts w:cs="Arial"/>
                <w:sz w:val="20"/>
                <w:szCs w:val="20"/>
              </w:rPr>
            </w:pPr>
            <w:r w:rsidRPr="009B7B35">
              <w:rPr>
                <w:rFonts w:cs="Arial"/>
                <w:sz w:val="20"/>
                <w:szCs w:val="20"/>
              </w:rPr>
              <w:t>Where no Reconfiguring a Lot Development Permit and associated Plan of subdivision and associated Operational Works (earthworks) approval applies to the land, development includes a building envelope that:</w:t>
            </w:r>
          </w:p>
          <w:p w14:paraId="1C20761C" w14:textId="77777777" w:rsidR="00BE36FB" w:rsidRPr="009B7B35" w:rsidRDefault="00BE36FB" w:rsidP="00BE36FB">
            <w:pPr>
              <w:pStyle w:val="TableText"/>
              <w:numPr>
                <w:ilvl w:val="0"/>
                <w:numId w:val="698"/>
              </w:numPr>
              <w:ind w:left="510" w:hanging="510"/>
              <w:rPr>
                <w:rFonts w:cs="Arial"/>
              </w:rPr>
            </w:pPr>
            <w:r w:rsidRPr="009B7B35">
              <w:rPr>
                <w:rFonts w:cs="Arial"/>
              </w:rPr>
              <w:t>is not located on land steep than 15%, and</w:t>
            </w:r>
          </w:p>
          <w:p w14:paraId="245FCDFD" w14:textId="77777777" w:rsidR="00BE36FB" w:rsidRPr="009B7B35" w:rsidRDefault="00BE36FB" w:rsidP="00BE36FB">
            <w:pPr>
              <w:pStyle w:val="TableText"/>
              <w:numPr>
                <w:ilvl w:val="0"/>
                <w:numId w:val="698"/>
              </w:numPr>
              <w:ind w:left="510" w:hanging="510"/>
              <w:rPr>
                <w:rFonts w:cs="Arial"/>
              </w:rPr>
            </w:pPr>
            <w:r w:rsidRPr="009B7B35">
              <w:rPr>
                <w:rFonts w:cs="Arial"/>
              </w:rPr>
              <w:t>has a minimum area of 1,000m2, and</w:t>
            </w:r>
          </w:p>
          <w:p w14:paraId="0A6E3722" w14:textId="77777777" w:rsidR="00BE36FB" w:rsidRPr="009B7B35" w:rsidRDefault="00BE36FB" w:rsidP="00BE36FB">
            <w:pPr>
              <w:pStyle w:val="TableText"/>
              <w:numPr>
                <w:ilvl w:val="0"/>
                <w:numId w:val="698"/>
              </w:numPr>
              <w:ind w:left="510" w:hanging="510"/>
              <w:rPr>
                <w:rFonts w:cs="Arial"/>
                <w:b/>
                <w:bCs/>
              </w:rPr>
            </w:pPr>
            <w:r w:rsidRPr="009B7B35">
              <w:rPr>
                <w:rFonts w:cs="Arial"/>
              </w:rPr>
              <w:t>has a minimum dimension of 18m.</w:t>
            </w:r>
          </w:p>
        </w:tc>
      </w:tr>
      <w:tr w:rsidR="00BE36FB" w:rsidRPr="009B7B35" w14:paraId="44AEEC25" w14:textId="77777777" w:rsidTr="001A7107">
        <w:trPr>
          <w:cantSplit/>
          <w:trHeight w:val="285"/>
        </w:trPr>
        <w:tc>
          <w:tcPr>
            <w:tcW w:w="9356" w:type="dxa"/>
            <w:gridSpan w:val="2"/>
          </w:tcPr>
          <w:p w14:paraId="2DDAF9D3" w14:textId="77777777" w:rsidR="00BE36FB" w:rsidRPr="009B7B35" w:rsidRDefault="00BE36FB" w:rsidP="001A7107">
            <w:pPr>
              <w:pStyle w:val="TableText"/>
              <w:rPr>
                <w:rFonts w:cs="Arial"/>
                <w:b/>
              </w:rPr>
            </w:pPr>
            <w:r w:rsidRPr="009B7B35">
              <w:rPr>
                <w:rFonts w:cs="Arial"/>
                <w:b/>
              </w:rPr>
              <w:t>For all assessable development</w:t>
            </w:r>
          </w:p>
        </w:tc>
      </w:tr>
      <w:tr w:rsidR="00BE36FB" w:rsidRPr="009B7B35" w14:paraId="4E9198C5" w14:textId="77777777" w:rsidTr="001A7107">
        <w:trPr>
          <w:cantSplit/>
        </w:trPr>
        <w:tc>
          <w:tcPr>
            <w:tcW w:w="9356" w:type="dxa"/>
            <w:gridSpan w:val="2"/>
            <w:shd w:val="clear" w:color="auto" w:fill="BFBFBF" w:themeFill="background1" w:themeFillShade="BF"/>
          </w:tcPr>
          <w:p w14:paraId="05A60EC7" w14:textId="77777777" w:rsidR="00BE36FB" w:rsidRPr="009B7B35" w:rsidRDefault="00BE36FB" w:rsidP="001A7107">
            <w:pPr>
              <w:pStyle w:val="Tableheading"/>
              <w:rPr>
                <w:rFonts w:ascii="Arial" w:hAnsi="Arial" w:cs="Arial"/>
                <w:szCs w:val="20"/>
              </w:rPr>
            </w:pPr>
            <w:r w:rsidRPr="009B7B35">
              <w:rPr>
                <w:rFonts w:ascii="Arial" w:hAnsi="Arial" w:cs="Arial"/>
                <w:szCs w:val="20"/>
              </w:rPr>
              <w:t>Hazardous materials</w:t>
            </w:r>
          </w:p>
        </w:tc>
      </w:tr>
      <w:tr w:rsidR="00BE36FB" w:rsidRPr="009B7B35" w14:paraId="7000BAA4" w14:textId="77777777" w:rsidTr="001A7107">
        <w:trPr>
          <w:cantSplit/>
        </w:trPr>
        <w:tc>
          <w:tcPr>
            <w:tcW w:w="4678" w:type="dxa"/>
          </w:tcPr>
          <w:p w14:paraId="429EAB69" w14:textId="77777777" w:rsidR="00BE36FB" w:rsidRPr="009B7B35" w:rsidRDefault="00BE36FB" w:rsidP="001A7107">
            <w:pPr>
              <w:pStyle w:val="TableText"/>
              <w:rPr>
                <w:rFonts w:cs="Arial"/>
                <w:b/>
                <w:bCs/>
              </w:rPr>
            </w:pPr>
            <w:r w:rsidRPr="009B7B35">
              <w:rPr>
                <w:rFonts w:cs="Arial"/>
                <w:b/>
                <w:bCs/>
              </w:rPr>
              <w:t>PO5</w:t>
            </w:r>
          </w:p>
          <w:p w14:paraId="5C22BFEC" w14:textId="77777777" w:rsidR="00BE36FB" w:rsidRPr="009B7B35" w:rsidRDefault="00BE36FB" w:rsidP="001A7107">
            <w:pPr>
              <w:pStyle w:val="TableText"/>
              <w:rPr>
                <w:rFonts w:cs="Arial"/>
              </w:rPr>
            </w:pPr>
            <w:r w:rsidRPr="009B7B35">
              <w:rPr>
                <w:rFonts w:cs="Arial"/>
              </w:rPr>
              <w:t>The manufacture or storage of hazardous material in bulk:</w:t>
            </w:r>
          </w:p>
          <w:p w14:paraId="3C29A656" w14:textId="77777777" w:rsidR="00BE36FB" w:rsidRPr="009B7B35" w:rsidRDefault="00BE36FB" w:rsidP="00BE36FB">
            <w:pPr>
              <w:numPr>
                <w:ilvl w:val="0"/>
                <w:numId w:val="624"/>
              </w:numPr>
              <w:rPr>
                <w:rFonts w:cs="Arial"/>
                <w:sz w:val="20"/>
                <w:szCs w:val="20"/>
              </w:rPr>
            </w:pPr>
            <w:r w:rsidRPr="009B7B35">
              <w:rPr>
                <w:rFonts w:cs="Arial"/>
                <w:sz w:val="20"/>
                <w:szCs w:val="20"/>
              </w:rPr>
              <w:t>is not located on land, or in the immediate surrounds of land with a risk of landslide, and</w:t>
            </w:r>
          </w:p>
          <w:p w14:paraId="24DF16C6" w14:textId="77777777" w:rsidR="00BE36FB" w:rsidRPr="009B7B35" w:rsidRDefault="00BE36FB" w:rsidP="00BE36FB">
            <w:pPr>
              <w:pStyle w:val="TableText"/>
              <w:numPr>
                <w:ilvl w:val="0"/>
                <w:numId w:val="624"/>
              </w:numPr>
              <w:rPr>
                <w:rFonts w:cs="Arial"/>
              </w:rPr>
            </w:pPr>
            <w:r w:rsidRPr="009B7B35">
              <w:rPr>
                <w:rFonts w:cs="Arial"/>
              </w:rPr>
              <w:t>does not represent a risk to people and property from landslide hazard.</w:t>
            </w:r>
          </w:p>
        </w:tc>
        <w:tc>
          <w:tcPr>
            <w:tcW w:w="4678" w:type="dxa"/>
          </w:tcPr>
          <w:p w14:paraId="1D796221" w14:textId="77777777" w:rsidR="00BE36FB" w:rsidRPr="009B7B35" w:rsidRDefault="00BE36FB" w:rsidP="001A7107">
            <w:pPr>
              <w:pStyle w:val="TableText"/>
              <w:rPr>
                <w:rFonts w:cs="Arial"/>
                <w:b/>
                <w:bCs/>
              </w:rPr>
            </w:pPr>
            <w:r w:rsidRPr="009B7B35">
              <w:rPr>
                <w:rFonts w:cs="Arial"/>
                <w:b/>
                <w:bCs/>
              </w:rPr>
              <w:t>AO5</w:t>
            </w:r>
          </w:p>
          <w:p w14:paraId="54B6484E" w14:textId="77777777" w:rsidR="00BE36FB" w:rsidRPr="009B7B35" w:rsidRDefault="00BE36FB" w:rsidP="001A7107">
            <w:pPr>
              <w:pStyle w:val="TableText"/>
              <w:rPr>
                <w:rFonts w:cs="Arial"/>
              </w:rPr>
            </w:pPr>
            <w:r w:rsidRPr="009B7B35">
              <w:rPr>
                <w:rFonts w:cs="Arial"/>
              </w:rPr>
              <w:t>The manufacture or storage of hazardous material in bulk is not located on land identified on the Steep land overlay map.</w:t>
            </w:r>
          </w:p>
        </w:tc>
      </w:tr>
      <w:tr w:rsidR="00BE36FB" w:rsidRPr="009B7B35" w14:paraId="479368ED" w14:textId="77777777" w:rsidTr="001A7107">
        <w:trPr>
          <w:cantSplit/>
        </w:trPr>
        <w:tc>
          <w:tcPr>
            <w:tcW w:w="9356" w:type="dxa"/>
            <w:gridSpan w:val="2"/>
            <w:shd w:val="clear" w:color="auto" w:fill="BFBFBF" w:themeFill="background1" w:themeFillShade="BF"/>
          </w:tcPr>
          <w:p w14:paraId="67050B67" w14:textId="77777777" w:rsidR="00BE36FB" w:rsidRPr="009B7B35" w:rsidRDefault="00BE36FB" w:rsidP="001A7107">
            <w:pPr>
              <w:pStyle w:val="Tableheading"/>
              <w:rPr>
                <w:rFonts w:ascii="Arial" w:hAnsi="Arial" w:cs="Arial"/>
                <w:szCs w:val="20"/>
              </w:rPr>
            </w:pPr>
            <w:r w:rsidRPr="009B7B35">
              <w:rPr>
                <w:rFonts w:ascii="Arial" w:hAnsi="Arial" w:cs="Arial"/>
                <w:szCs w:val="20"/>
              </w:rPr>
              <w:t>Minimisation of landslide hazard</w:t>
            </w:r>
          </w:p>
        </w:tc>
      </w:tr>
      <w:tr w:rsidR="00BE36FB" w:rsidRPr="009B7B35" w14:paraId="18D84A51" w14:textId="77777777" w:rsidTr="001A7107">
        <w:tc>
          <w:tcPr>
            <w:tcW w:w="4678" w:type="dxa"/>
          </w:tcPr>
          <w:p w14:paraId="7D2D2542" w14:textId="77777777" w:rsidR="00BE36FB" w:rsidRPr="009B7B35" w:rsidRDefault="00BE36FB" w:rsidP="001A7107">
            <w:pPr>
              <w:pStyle w:val="TableText"/>
              <w:rPr>
                <w:rFonts w:cs="Arial"/>
                <w:b/>
                <w:bCs/>
              </w:rPr>
            </w:pPr>
            <w:r w:rsidRPr="009B7B35">
              <w:rPr>
                <w:rFonts w:cs="Arial"/>
                <w:b/>
                <w:bCs/>
              </w:rPr>
              <w:t>PO6</w:t>
            </w:r>
          </w:p>
          <w:p w14:paraId="47FB5B06" w14:textId="77777777" w:rsidR="00BE36FB" w:rsidRPr="009B7B35" w:rsidRDefault="00BE36FB" w:rsidP="001A7107">
            <w:pPr>
              <w:pStyle w:val="TableText"/>
              <w:rPr>
                <w:rFonts w:cs="Arial"/>
              </w:rPr>
            </w:pPr>
            <w:r w:rsidRPr="009B7B35">
              <w:rPr>
                <w:rFonts w:cs="Arial"/>
              </w:rPr>
              <w:t>Development incorporates measures to minimise the landslide risk level by:</w:t>
            </w:r>
          </w:p>
          <w:p w14:paraId="10DFCD60" w14:textId="77777777" w:rsidR="00BE36FB" w:rsidRPr="009B7B35" w:rsidRDefault="00BE36FB" w:rsidP="00BE36FB">
            <w:pPr>
              <w:pStyle w:val="TableText"/>
              <w:numPr>
                <w:ilvl w:val="0"/>
                <w:numId w:val="686"/>
              </w:numPr>
              <w:rPr>
                <w:rFonts w:cs="Arial"/>
              </w:rPr>
            </w:pPr>
            <w:r w:rsidRPr="009B7B35">
              <w:rPr>
                <w:rFonts w:cs="Arial"/>
              </w:rPr>
              <w:t>avoiding works on the steepest parts of the land, and</w:t>
            </w:r>
          </w:p>
          <w:p w14:paraId="74D68755" w14:textId="77777777" w:rsidR="00BE36FB" w:rsidRPr="009B7B35" w:rsidRDefault="00BE36FB" w:rsidP="00BE36FB">
            <w:pPr>
              <w:pStyle w:val="TableText"/>
              <w:numPr>
                <w:ilvl w:val="0"/>
                <w:numId w:val="686"/>
              </w:numPr>
              <w:rPr>
                <w:rFonts w:cs="Arial"/>
              </w:rPr>
            </w:pPr>
            <w:r w:rsidRPr="009B7B35">
              <w:rPr>
                <w:rFonts w:cs="Arial"/>
              </w:rPr>
              <w:t>retaining existing vegetation.</w:t>
            </w:r>
          </w:p>
        </w:tc>
        <w:tc>
          <w:tcPr>
            <w:tcW w:w="4678" w:type="dxa"/>
          </w:tcPr>
          <w:p w14:paraId="6512AF3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A798FCF" w14:textId="77777777" w:rsidTr="001A7107">
        <w:tc>
          <w:tcPr>
            <w:tcW w:w="4678" w:type="dxa"/>
          </w:tcPr>
          <w:p w14:paraId="3CA7B288" w14:textId="77777777" w:rsidR="00BE36FB" w:rsidRPr="009B7B35" w:rsidRDefault="00BE36FB" w:rsidP="001A7107">
            <w:pPr>
              <w:pStyle w:val="TableText"/>
              <w:rPr>
                <w:rFonts w:cs="Arial"/>
                <w:b/>
                <w:bCs/>
              </w:rPr>
            </w:pPr>
            <w:r w:rsidRPr="009B7B35">
              <w:rPr>
                <w:rFonts w:cs="Arial"/>
                <w:b/>
                <w:bCs/>
              </w:rPr>
              <w:t>PO7</w:t>
            </w:r>
          </w:p>
          <w:p w14:paraId="0878F296" w14:textId="77777777" w:rsidR="00BE36FB" w:rsidRPr="009B7B35" w:rsidRDefault="00BE36FB" w:rsidP="001A7107">
            <w:pPr>
              <w:rPr>
                <w:rFonts w:cs="Arial"/>
                <w:sz w:val="20"/>
                <w:szCs w:val="20"/>
              </w:rPr>
            </w:pPr>
            <w:r w:rsidRPr="009B7B35">
              <w:rPr>
                <w:rFonts w:cs="Arial"/>
                <w:sz w:val="20"/>
                <w:szCs w:val="20"/>
              </w:rPr>
              <w:t>Paths, driveways and roads are designed to:</w:t>
            </w:r>
          </w:p>
          <w:p w14:paraId="22FF1C8A" w14:textId="77777777" w:rsidR="00BE36FB" w:rsidRPr="009B7B35" w:rsidRDefault="00BE36FB" w:rsidP="00BE36FB">
            <w:pPr>
              <w:pStyle w:val="TableText"/>
              <w:numPr>
                <w:ilvl w:val="0"/>
                <w:numId w:val="687"/>
              </w:numPr>
              <w:rPr>
                <w:rFonts w:cs="Arial"/>
              </w:rPr>
            </w:pPr>
            <w:r w:rsidRPr="009B7B35">
              <w:rPr>
                <w:rFonts w:cs="Arial"/>
              </w:rPr>
              <w:t>follow natural contours and have the minimum length necessary, and</w:t>
            </w:r>
          </w:p>
          <w:p w14:paraId="2FF6AEE1" w14:textId="77777777" w:rsidR="00BE36FB" w:rsidRPr="009B7B35" w:rsidRDefault="00BE36FB" w:rsidP="00BE36FB">
            <w:pPr>
              <w:pStyle w:val="TableText"/>
              <w:numPr>
                <w:ilvl w:val="0"/>
                <w:numId w:val="687"/>
              </w:numPr>
              <w:rPr>
                <w:rFonts w:cs="Arial"/>
              </w:rPr>
            </w:pPr>
            <w:r w:rsidRPr="009B7B35">
              <w:rPr>
                <w:rFonts w:cs="Arial"/>
              </w:rPr>
              <w:t>minimise the number of crossings of water courses and drainage lines.</w:t>
            </w:r>
          </w:p>
        </w:tc>
        <w:tc>
          <w:tcPr>
            <w:tcW w:w="4678" w:type="dxa"/>
          </w:tcPr>
          <w:p w14:paraId="259FB1ED"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C0D36E5" w14:textId="77777777" w:rsidTr="001A7107">
        <w:trPr>
          <w:cantSplit/>
        </w:trPr>
        <w:tc>
          <w:tcPr>
            <w:tcW w:w="9356" w:type="dxa"/>
            <w:gridSpan w:val="2"/>
            <w:shd w:val="clear" w:color="auto" w:fill="BFBFBF" w:themeFill="background1" w:themeFillShade="BF"/>
          </w:tcPr>
          <w:p w14:paraId="248EF9AD" w14:textId="77777777" w:rsidR="00BE36FB" w:rsidRPr="009B7B35" w:rsidRDefault="00BE36FB" w:rsidP="001A7107">
            <w:pPr>
              <w:pStyle w:val="Tableheading"/>
              <w:rPr>
                <w:rFonts w:ascii="Arial" w:hAnsi="Arial" w:cs="Arial"/>
                <w:szCs w:val="20"/>
              </w:rPr>
            </w:pPr>
            <w:r w:rsidRPr="009B7B35">
              <w:rPr>
                <w:rFonts w:ascii="Arial" w:hAnsi="Arial" w:cs="Arial"/>
                <w:szCs w:val="20"/>
              </w:rPr>
              <w:t>Community infrastructure and emergency services</w:t>
            </w:r>
          </w:p>
        </w:tc>
      </w:tr>
      <w:tr w:rsidR="00BE36FB" w:rsidRPr="009B7B35" w14:paraId="7FF001C4" w14:textId="77777777" w:rsidTr="001A7107">
        <w:trPr>
          <w:cantSplit/>
        </w:trPr>
        <w:tc>
          <w:tcPr>
            <w:tcW w:w="4678" w:type="dxa"/>
          </w:tcPr>
          <w:p w14:paraId="41FFA8E3" w14:textId="77777777" w:rsidR="00BE36FB" w:rsidRPr="009B7B35" w:rsidRDefault="00BE36FB" w:rsidP="001A7107">
            <w:pPr>
              <w:pStyle w:val="TableText"/>
              <w:rPr>
                <w:rFonts w:cs="Arial"/>
                <w:b/>
                <w:bCs/>
              </w:rPr>
            </w:pPr>
            <w:r w:rsidRPr="009B7B35">
              <w:rPr>
                <w:rFonts w:cs="Arial"/>
                <w:b/>
                <w:bCs/>
              </w:rPr>
              <w:t>PO8</w:t>
            </w:r>
          </w:p>
          <w:p w14:paraId="07FEE110" w14:textId="77777777" w:rsidR="00BE36FB" w:rsidRPr="009B7B35" w:rsidRDefault="00BE36FB" w:rsidP="001A7107">
            <w:pPr>
              <w:pStyle w:val="TableText"/>
              <w:rPr>
                <w:rFonts w:cs="Arial"/>
              </w:rPr>
            </w:pPr>
            <w:r w:rsidRPr="009B7B35">
              <w:rPr>
                <w:rFonts w:cs="Arial"/>
              </w:rPr>
              <w:t>Community infrastructure and emergency services are able to function effectively during and immediately after landslide events.</w:t>
            </w:r>
          </w:p>
        </w:tc>
        <w:tc>
          <w:tcPr>
            <w:tcW w:w="4678" w:type="dxa"/>
          </w:tcPr>
          <w:p w14:paraId="580CD90F" w14:textId="77777777" w:rsidR="00BE36FB" w:rsidRPr="009B7B35" w:rsidRDefault="00BE36FB" w:rsidP="001A7107">
            <w:pPr>
              <w:pStyle w:val="TableText"/>
              <w:rPr>
                <w:rFonts w:cs="Arial"/>
              </w:rPr>
            </w:pPr>
            <w:r w:rsidRPr="009B7B35">
              <w:rPr>
                <w:rFonts w:cs="Arial"/>
              </w:rPr>
              <w:t>No acceptable outcome is nominated.</w:t>
            </w:r>
          </w:p>
        </w:tc>
      </w:tr>
    </w:tbl>
    <w:p w14:paraId="3580BCEE" w14:textId="77777777" w:rsidR="00BE36FB" w:rsidRPr="009B7B35" w:rsidRDefault="00BE36FB" w:rsidP="006776DA">
      <w:pPr>
        <w:pStyle w:val="Heading3"/>
        <w:numPr>
          <w:ilvl w:val="2"/>
          <w:numId w:val="883"/>
        </w:numPr>
        <w:spacing w:before="240"/>
        <w:rPr>
          <w:rFonts w:ascii="Arial" w:hAnsi="Arial"/>
          <w:sz w:val="20"/>
          <w:szCs w:val="20"/>
        </w:rPr>
      </w:pPr>
      <w:bookmarkStart w:id="254" w:name="_Toc205367388"/>
      <w:r w:rsidRPr="009B7B35">
        <w:rPr>
          <w:rFonts w:ascii="Arial" w:hAnsi="Arial"/>
          <w:sz w:val="20"/>
          <w:szCs w:val="20"/>
        </w:rPr>
        <w:t>Water resource catchment</w:t>
      </w:r>
      <w:bookmarkEnd w:id="254"/>
    </w:p>
    <w:p w14:paraId="26DCD2B3"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Application</w:t>
      </w:r>
    </w:p>
    <w:p w14:paraId="008BE783"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the table of assessment for the Water resource catchment overlay code. When using this code, reference should be made to section 5.3.2 and where applicable, section 5.3.3 located in Part 5.</w:t>
      </w:r>
    </w:p>
    <w:p w14:paraId="123D2ED6"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Purpose</w:t>
      </w:r>
    </w:p>
    <w:p w14:paraId="503A7B98" w14:textId="77777777" w:rsidR="00BE36FB" w:rsidRPr="009B7B35" w:rsidRDefault="00BE36FB" w:rsidP="00BE36FB">
      <w:pPr>
        <w:numPr>
          <w:ilvl w:val="0"/>
          <w:numId w:val="625"/>
        </w:numPr>
        <w:rPr>
          <w:rFonts w:ascii="Arial" w:hAnsi="Arial" w:cs="Arial"/>
          <w:sz w:val="20"/>
          <w:szCs w:val="20"/>
        </w:rPr>
      </w:pPr>
      <w:r w:rsidRPr="009B7B35">
        <w:rPr>
          <w:rFonts w:ascii="Arial" w:hAnsi="Arial" w:cs="Arial"/>
          <w:sz w:val="20"/>
          <w:szCs w:val="20"/>
        </w:rPr>
        <w:t>The purpose of the Water resource catchment overlay code is to ensure that development does not, individually or cumulatively, adversely impact on the quality or quantity of water entering:</w:t>
      </w:r>
    </w:p>
    <w:p w14:paraId="6EA44FDE" w14:textId="77777777" w:rsidR="00BE36FB" w:rsidRPr="009B7B35" w:rsidRDefault="00BE36FB" w:rsidP="00BE36FB">
      <w:pPr>
        <w:numPr>
          <w:ilvl w:val="1"/>
          <w:numId w:val="625"/>
        </w:numPr>
        <w:rPr>
          <w:rFonts w:ascii="Arial" w:hAnsi="Arial" w:cs="Arial"/>
          <w:sz w:val="20"/>
          <w:szCs w:val="20"/>
        </w:rPr>
      </w:pPr>
      <w:r w:rsidRPr="009B7B35">
        <w:rPr>
          <w:rFonts w:ascii="Arial" w:hAnsi="Arial" w:cs="Arial"/>
          <w:sz w:val="20"/>
          <w:szCs w:val="20"/>
        </w:rPr>
        <w:t>Lake Awoonga</w:t>
      </w:r>
    </w:p>
    <w:p w14:paraId="3098F17C" w14:textId="77777777" w:rsidR="00BE36FB" w:rsidRPr="009B7B35" w:rsidRDefault="00BE36FB" w:rsidP="00BE36FB">
      <w:pPr>
        <w:numPr>
          <w:ilvl w:val="1"/>
          <w:numId w:val="625"/>
        </w:numPr>
        <w:rPr>
          <w:rFonts w:ascii="Arial" w:hAnsi="Arial" w:cs="Arial"/>
          <w:sz w:val="20"/>
          <w:szCs w:val="20"/>
        </w:rPr>
      </w:pPr>
      <w:r w:rsidRPr="009B7B35">
        <w:rPr>
          <w:rFonts w:ascii="Arial" w:hAnsi="Arial" w:cs="Arial"/>
          <w:sz w:val="20"/>
          <w:szCs w:val="20"/>
        </w:rPr>
        <w:t>Lake Awoonga’s catchment area</w:t>
      </w:r>
    </w:p>
    <w:p w14:paraId="7674E302" w14:textId="77777777" w:rsidR="00BE36FB" w:rsidRPr="009B7B35" w:rsidRDefault="00BE36FB" w:rsidP="00BE36FB">
      <w:pPr>
        <w:numPr>
          <w:ilvl w:val="1"/>
          <w:numId w:val="625"/>
        </w:numPr>
        <w:rPr>
          <w:rFonts w:ascii="Arial" w:hAnsi="Arial" w:cs="Arial"/>
          <w:sz w:val="20"/>
          <w:szCs w:val="20"/>
        </w:rPr>
      </w:pPr>
      <w:r w:rsidRPr="009B7B35">
        <w:rPr>
          <w:rFonts w:ascii="Arial" w:hAnsi="Arial" w:cs="Arial"/>
          <w:sz w:val="20"/>
          <w:szCs w:val="20"/>
        </w:rPr>
        <w:t>the Agnes Water water bores buffer area</w:t>
      </w:r>
    </w:p>
    <w:p w14:paraId="7D35B012" w14:textId="77777777" w:rsidR="00BE36FB" w:rsidRPr="009B7B35" w:rsidRDefault="00BE36FB" w:rsidP="00BE36FB">
      <w:pPr>
        <w:numPr>
          <w:ilvl w:val="1"/>
          <w:numId w:val="625"/>
        </w:numPr>
        <w:rPr>
          <w:rFonts w:ascii="Arial" w:hAnsi="Arial" w:cs="Arial"/>
          <w:sz w:val="20"/>
          <w:szCs w:val="20"/>
        </w:rPr>
      </w:pPr>
      <w:r w:rsidRPr="009B7B35">
        <w:rPr>
          <w:rFonts w:ascii="Arial" w:hAnsi="Arial" w:cs="Arial"/>
          <w:sz w:val="20"/>
          <w:szCs w:val="20"/>
        </w:rPr>
        <w:t>the Miriam Vale water bores buffer area, or</w:t>
      </w:r>
    </w:p>
    <w:p w14:paraId="0FB0958F" w14:textId="77777777" w:rsidR="00BE36FB" w:rsidRPr="009B7B35" w:rsidRDefault="00BE36FB" w:rsidP="00BE36FB">
      <w:pPr>
        <w:numPr>
          <w:ilvl w:val="1"/>
          <w:numId w:val="625"/>
        </w:numPr>
        <w:rPr>
          <w:rFonts w:ascii="Arial" w:hAnsi="Arial" w:cs="Arial"/>
          <w:sz w:val="20"/>
          <w:szCs w:val="20"/>
        </w:rPr>
      </w:pPr>
      <w:r w:rsidRPr="009B7B35">
        <w:rPr>
          <w:rFonts w:ascii="Arial" w:hAnsi="Arial" w:cs="Arial"/>
          <w:sz w:val="20"/>
          <w:szCs w:val="20"/>
        </w:rPr>
        <w:t>the Bororen water bores buffer area.</w:t>
      </w:r>
    </w:p>
    <w:p w14:paraId="04663B89" w14:textId="77777777" w:rsidR="00BE36FB" w:rsidRPr="009B7B35" w:rsidRDefault="00BE36FB" w:rsidP="00BE36FB">
      <w:pPr>
        <w:numPr>
          <w:ilvl w:val="0"/>
          <w:numId w:val="625"/>
        </w:numPr>
        <w:rPr>
          <w:rFonts w:ascii="Arial" w:hAnsi="Arial" w:cs="Arial"/>
          <w:sz w:val="20"/>
          <w:szCs w:val="20"/>
        </w:rPr>
      </w:pPr>
      <w:r w:rsidRPr="009B7B35">
        <w:rPr>
          <w:rFonts w:ascii="Arial" w:hAnsi="Arial" w:cs="Arial"/>
          <w:sz w:val="20"/>
          <w:szCs w:val="20"/>
        </w:rPr>
        <w:t>The purpose of the code will be achieved through compliance with the following overall outcome:</w:t>
      </w:r>
    </w:p>
    <w:p w14:paraId="6106AD2A" w14:textId="77777777" w:rsidR="00BE36FB" w:rsidRPr="009B7B35" w:rsidRDefault="00BE36FB" w:rsidP="00BE36FB">
      <w:pPr>
        <w:numPr>
          <w:ilvl w:val="1"/>
          <w:numId w:val="625"/>
        </w:numPr>
        <w:rPr>
          <w:rFonts w:ascii="Arial" w:hAnsi="Arial" w:cs="Arial"/>
          <w:sz w:val="20"/>
          <w:szCs w:val="20"/>
        </w:rPr>
      </w:pPr>
      <w:r w:rsidRPr="009B7B35">
        <w:rPr>
          <w:rFonts w:ascii="Arial" w:hAnsi="Arial" w:cs="Arial"/>
          <w:sz w:val="20"/>
          <w:szCs w:val="20"/>
        </w:rPr>
        <w:t>Development, cumulatively or individually, maintains or improves water quality within the catchment and buffer areas.</w:t>
      </w:r>
    </w:p>
    <w:p w14:paraId="582E1F84" w14:textId="77777777" w:rsidR="00BE36FB" w:rsidRPr="009B7B35" w:rsidRDefault="00BE36FB" w:rsidP="006776DA">
      <w:pPr>
        <w:pStyle w:val="Heading4"/>
        <w:widowControl w:val="0"/>
        <w:numPr>
          <w:ilvl w:val="3"/>
          <w:numId w:val="883"/>
        </w:numPr>
        <w:rPr>
          <w:rFonts w:ascii="Arial" w:hAnsi="Arial" w:cs="Arial"/>
          <w:sz w:val="20"/>
          <w:szCs w:val="20"/>
        </w:rPr>
      </w:pPr>
      <w:r w:rsidRPr="009B7B35">
        <w:rPr>
          <w:rFonts w:ascii="Arial" w:hAnsi="Arial" w:cs="Arial"/>
          <w:sz w:val="20"/>
          <w:szCs w:val="20"/>
        </w:rPr>
        <w:t>Assessment benchmarks</w:t>
      </w:r>
    </w:p>
    <w:p w14:paraId="7C7BDD12" w14:textId="77777777" w:rsidR="00BE36FB" w:rsidRPr="009B7B35" w:rsidRDefault="00BE36FB" w:rsidP="001A7107">
      <w:pPr>
        <w:pStyle w:val="Heading5"/>
        <w:numPr>
          <w:ilvl w:val="0"/>
          <w:numId w:val="0"/>
        </w:numPr>
        <w:rPr>
          <w:rFonts w:cs="Arial"/>
          <w:szCs w:val="20"/>
        </w:rPr>
      </w:pPr>
      <w:r w:rsidRPr="009B7B35">
        <w:rPr>
          <w:rFonts w:cs="Arial"/>
          <w:szCs w:val="20"/>
        </w:rPr>
        <w:t>Table 8.2.13.3.1— Accepted development subject to requirements and assessable development</w:t>
      </w:r>
    </w:p>
    <w:tbl>
      <w:tblPr>
        <w:tblStyle w:val="Tablestyle"/>
        <w:tblW w:w="0" w:type="auto"/>
        <w:tblLook w:val="0620" w:firstRow="1" w:lastRow="0" w:firstColumn="0" w:lastColumn="0" w:noHBand="1" w:noVBand="1"/>
      </w:tblPr>
      <w:tblGrid>
        <w:gridCol w:w="4182"/>
        <w:gridCol w:w="4181"/>
      </w:tblGrid>
      <w:tr w:rsidR="00BE36FB" w:rsidRPr="009B7B35" w14:paraId="52F6E68D" w14:textId="77777777" w:rsidTr="001A7107">
        <w:trPr>
          <w:cnfStyle w:val="100000000000" w:firstRow="1" w:lastRow="0" w:firstColumn="0" w:lastColumn="0" w:oddVBand="0" w:evenVBand="0" w:oddHBand="0" w:evenHBand="0" w:firstRowFirstColumn="0" w:firstRowLastColumn="0" w:lastRowFirstColumn="0" w:lastRowLastColumn="0"/>
        </w:trPr>
        <w:tc>
          <w:tcPr>
            <w:tcW w:w="4678" w:type="dxa"/>
          </w:tcPr>
          <w:p w14:paraId="36DCFEBD" w14:textId="77777777" w:rsidR="00BE36FB" w:rsidRPr="009B7B35" w:rsidRDefault="00BE36FB" w:rsidP="001A7107">
            <w:pPr>
              <w:pStyle w:val="Tableheading"/>
              <w:rPr>
                <w:rFonts w:ascii="Arial" w:hAnsi="Arial" w:cs="Arial"/>
                <w:szCs w:val="20"/>
              </w:rPr>
            </w:pPr>
            <w:r w:rsidRPr="009B7B35">
              <w:rPr>
                <w:rFonts w:ascii="Arial" w:hAnsi="Arial" w:cs="Arial"/>
                <w:szCs w:val="20"/>
              </w:rPr>
              <w:t>Performance outcomes</w:t>
            </w:r>
          </w:p>
        </w:tc>
        <w:tc>
          <w:tcPr>
            <w:tcW w:w="4678" w:type="dxa"/>
          </w:tcPr>
          <w:p w14:paraId="57257499" w14:textId="77777777" w:rsidR="00BE36FB" w:rsidRPr="009B7B35" w:rsidRDefault="00BE36FB" w:rsidP="001A7107">
            <w:pPr>
              <w:pStyle w:val="Tableheading"/>
              <w:rPr>
                <w:rFonts w:ascii="Arial" w:hAnsi="Arial" w:cs="Arial"/>
                <w:szCs w:val="20"/>
              </w:rPr>
            </w:pPr>
            <w:r w:rsidRPr="009B7B35">
              <w:rPr>
                <w:rFonts w:ascii="Arial" w:hAnsi="Arial" w:cs="Arial"/>
                <w:szCs w:val="20"/>
              </w:rPr>
              <w:t>Acceptable outcomes</w:t>
            </w:r>
          </w:p>
        </w:tc>
      </w:tr>
      <w:tr w:rsidR="00BE36FB" w:rsidRPr="009B7B35" w14:paraId="07353DC8" w14:textId="77777777" w:rsidTr="001A7107">
        <w:tc>
          <w:tcPr>
            <w:tcW w:w="4678" w:type="dxa"/>
            <w:gridSpan w:val="2"/>
            <w:shd w:val="clear" w:color="auto" w:fill="BFBFBF" w:themeFill="background1" w:themeFillShade="BF"/>
          </w:tcPr>
          <w:p w14:paraId="64F7884F" w14:textId="77777777" w:rsidR="00BE36FB" w:rsidRPr="009B7B35" w:rsidRDefault="00BE36FB" w:rsidP="001A7107">
            <w:pPr>
              <w:pStyle w:val="Tableheading"/>
              <w:rPr>
                <w:rFonts w:ascii="Arial" w:hAnsi="Arial" w:cs="Arial"/>
                <w:szCs w:val="20"/>
              </w:rPr>
            </w:pPr>
            <w:r w:rsidRPr="009B7B35">
              <w:rPr>
                <w:rFonts w:ascii="Arial" w:hAnsi="Arial" w:cs="Arial"/>
                <w:szCs w:val="20"/>
              </w:rPr>
              <w:t>Reconfiguring a lot</w:t>
            </w:r>
          </w:p>
        </w:tc>
      </w:tr>
      <w:tr w:rsidR="00BE36FB" w:rsidRPr="009B7B35" w14:paraId="4DDCE943" w14:textId="77777777" w:rsidTr="001A7107">
        <w:tc>
          <w:tcPr>
            <w:tcW w:w="4678" w:type="dxa"/>
          </w:tcPr>
          <w:p w14:paraId="208FD788" w14:textId="77777777" w:rsidR="00BE36FB" w:rsidRPr="009B7B35" w:rsidRDefault="00BE36FB" w:rsidP="001A7107">
            <w:pPr>
              <w:pStyle w:val="TableText"/>
              <w:rPr>
                <w:rFonts w:cs="Arial"/>
                <w:b/>
                <w:bCs/>
              </w:rPr>
            </w:pPr>
            <w:r w:rsidRPr="009B7B35">
              <w:rPr>
                <w:rFonts w:cs="Arial"/>
                <w:b/>
                <w:bCs/>
              </w:rPr>
              <w:t>PO1</w:t>
            </w:r>
          </w:p>
          <w:p w14:paraId="494C46E2" w14:textId="77777777" w:rsidR="00BE36FB" w:rsidRPr="009B7B35" w:rsidRDefault="00BE36FB" w:rsidP="001A7107">
            <w:pPr>
              <w:rPr>
                <w:rFonts w:cs="Arial"/>
                <w:sz w:val="20"/>
                <w:szCs w:val="20"/>
              </w:rPr>
            </w:pPr>
            <w:r w:rsidRPr="009B7B35">
              <w:rPr>
                <w:rFonts w:cs="Arial"/>
                <w:sz w:val="20"/>
                <w:szCs w:val="20"/>
              </w:rPr>
              <w:t>Development does not cause or permit pollutants, sediments or nutrients to enter a watercourse, wetland, lake, spring or aquifer within the catchment and buffer areas.</w:t>
            </w:r>
          </w:p>
        </w:tc>
        <w:tc>
          <w:tcPr>
            <w:tcW w:w="4678" w:type="dxa"/>
          </w:tcPr>
          <w:p w14:paraId="0E483B13" w14:textId="77777777" w:rsidR="00BE36FB" w:rsidRPr="009B7B35" w:rsidRDefault="00BE36FB" w:rsidP="001A7107">
            <w:pPr>
              <w:pStyle w:val="TableText"/>
              <w:rPr>
                <w:rFonts w:cs="Arial"/>
                <w:b/>
              </w:rPr>
            </w:pPr>
            <w:r w:rsidRPr="009B7B35">
              <w:rPr>
                <w:rFonts w:cs="Arial"/>
                <w:b/>
              </w:rPr>
              <w:t>AO1</w:t>
            </w:r>
          </w:p>
          <w:p w14:paraId="040EFBC2" w14:textId="77777777" w:rsidR="00BE36FB" w:rsidRPr="009B7B35" w:rsidRDefault="00BE36FB" w:rsidP="001A7107">
            <w:pPr>
              <w:rPr>
                <w:rFonts w:cs="Arial"/>
                <w:sz w:val="20"/>
                <w:szCs w:val="20"/>
              </w:rPr>
            </w:pPr>
            <w:r w:rsidRPr="009B7B35">
              <w:rPr>
                <w:rFonts w:cs="Arial"/>
                <w:sz w:val="20"/>
                <w:szCs w:val="20"/>
              </w:rPr>
              <w:t>Development complies with the specific outcomes and measures contained in the Seqwater Development Guidelines: Development Guidelines for Water Quality Management in Drinking Water Catchments 2012.</w:t>
            </w:r>
          </w:p>
        </w:tc>
      </w:tr>
    </w:tbl>
    <w:p w14:paraId="2EED9A7D" w14:textId="77777777" w:rsidR="000D716B" w:rsidRDefault="000D716B" w:rsidP="001A7107">
      <w:pPr>
        <w:rPr>
          <w:rFonts w:ascii="Arial" w:hAnsi="Arial" w:cs="Arial"/>
          <w:sz w:val="20"/>
          <w:szCs w:val="20"/>
        </w:rPr>
      </w:pPr>
    </w:p>
    <w:p w14:paraId="6C4C7D82" w14:textId="77777777" w:rsidR="000D716B" w:rsidRDefault="000D716B">
      <w:pPr>
        <w:rPr>
          <w:rFonts w:ascii="Arial" w:hAnsi="Arial" w:cs="Arial"/>
          <w:sz w:val="20"/>
          <w:szCs w:val="20"/>
        </w:rPr>
      </w:pPr>
      <w:r>
        <w:rPr>
          <w:rFonts w:ascii="Arial" w:hAnsi="Arial" w:cs="Arial"/>
          <w:sz w:val="20"/>
          <w:szCs w:val="20"/>
        </w:rPr>
        <w:br w:type="page"/>
      </w:r>
    </w:p>
    <w:p w14:paraId="4D77C4BC" w14:textId="77777777" w:rsidR="00BE36FB" w:rsidRPr="009B7B35" w:rsidRDefault="00BE36FB" w:rsidP="001A7107">
      <w:pPr>
        <w:rPr>
          <w:rFonts w:ascii="Arial" w:hAnsi="Arial" w:cs="Arial"/>
          <w:sz w:val="20"/>
          <w:szCs w:val="20"/>
        </w:rPr>
      </w:pPr>
    </w:p>
    <w:p w14:paraId="06C33857" w14:textId="77777777" w:rsidR="00BE36FB" w:rsidRPr="009B7B35" w:rsidRDefault="00BE36FB" w:rsidP="006776DA">
      <w:pPr>
        <w:pStyle w:val="Heading1"/>
        <w:numPr>
          <w:ilvl w:val="0"/>
          <w:numId w:val="883"/>
        </w:numPr>
        <w:rPr>
          <w:rFonts w:ascii="Arial" w:hAnsi="Arial"/>
          <w:sz w:val="20"/>
          <w:szCs w:val="20"/>
        </w:rPr>
      </w:pPr>
      <w:bookmarkStart w:id="255" w:name="_Toc205367389"/>
      <w:r w:rsidRPr="009B7B35">
        <w:rPr>
          <w:rFonts w:ascii="Arial" w:hAnsi="Arial"/>
          <w:sz w:val="20"/>
          <w:szCs w:val="20"/>
        </w:rPr>
        <w:t>Development codes</w:t>
      </w:r>
      <w:bookmarkEnd w:id="255"/>
    </w:p>
    <w:p w14:paraId="0A55257E" w14:textId="77777777" w:rsidR="00BE36FB" w:rsidRPr="009B7B35" w:rsidRDefault="00BE36FB" w:rsidP="006776DA">
      <w:pPr>
        <w:pStyle w:val="Heading2"/>
        <w:numPr>
          <w:ilvl w:val="1"/>
          <w:numId w:val="883"/>
        </w:numPr>
        <w:rPr>
          <w:rFonts w:ascii="Arial" w:hAnsi="Arial"/>
          <w:sz w:val="20"/>
          <w:szCs w:val="20"/>
        </w:rPr>
      </w:pPr>
      <w:bookmarkStart w:id="256" w:name="_Toc205367390"/>
      <w:r w:rsidRPr="009B7B35">
        <w:rPr>
          <w:rFonts w:ascii="Arial" w:hAnsi="Arial"/>
          <w:sz w:val="20"/>
          <w:szCs w:val="20"/>
        </w:rPr>
        <w:t>Preliminary</w:t>
      </w:r>
      <w:bookmarkEnd w:id="256"/>
    </w:p>
    <w:p w14:paraId="7F8C1BFA" w14:textId="77777777" w:rsidR="00BE36FB" w:rsidRPr="009B7B35" w:rsidRDefault="00BE36FB" w:rsidP="00BE36FB">
      <w:pPr>
        <w:numPr>
          <w:ilvl w:val="0"/>
          <w:numId w:val="701"/>
        </w:numPr>
        <w:rPr>
          <w:rFonts w:ascii="Arial" w:hAnsi="Arial" w:cs="Arial"/>
          <w:sz w:val="20"/>
          <w:szCs w:val="20"/>
        </w:rPr>
      </w:pPr>
      <w:r w:rsidRPr="009B7B35">
        <w:rPr>
          <w:rFonts w:ascii="Arial" w:hAnsi="Arial" w:cs="Arial"/>
          <w:sz w:val="20"/>
          <w:szCs w:val="20"/>
        </w:rPr>
        <w:t>Development codes are codes for assessment where identified as an applicable code in Part 5.</w:t>
      </w:r>
    </w:p>
    <w:p w14:paraId="3D1A316B" w14:textId="77777777" w:rsidR="00BE36FB" w:rsidRPr="009B7B35" w:rsidRDefault="00BE36FB" w:rsidP="00BE36FB">
      <w:pPr>
        <w:numPr>
          <w:ilvl w:val="0"/>
          <w:numId w:val="701"/>
        </w:numPr>
        <w:rPr>
          <w:rFonts w:ascii="Arial" w:hAnsi="Arial" w:cs="Arial"/>
          <w:sz w:val="20"/>
          <w:szCs w:val="20"/>
        </w:rPr>
      </w:pPr>
      <w:r w:rsidRPr="009B7B35">
        <w:rPr>
          <w:rFonts w:ascii="Arial" w:hAnsi="Arial" w:cs="Arial"/>
          <w:sz w:val="20"/>
          <w:szCs w:val="20"/>
        </w:rPr>
        <w:t xml:space="preserve">The following codes and requirements apply to development under schedule 6 of the Regulation are relevant for the planning scheme.  </w:t>
      </w:r>
    </w:p>
    <w:p w14:paraId="30E6A96B" w14:textId="77777777" w:rsidR="00BE36FB" w:rsidRPr="009B7B35" w:rsidRDefault="00BE36FB" w:rsidP="00BE36FB">
      <w:pPr>
        <w:numPr>
          <w:ilvl w:val="0"/>
          <w:numId w:val="701"/>
        </w:numPr>
        <w:rPr>
          <w:rFonts w:ascii="Arial" w:hAnsi="Arial" w:cs="Arial"/>
          <w:sz w:val="20"/>
          <w:szCs w:val="20"/>
        </w:rPr>
      </w:pPr>
      <w:r w:rsidRPr="009B7B35">
        <w:rPr>
          <w:rFonts w:ascii="Arial" w:hAnsi="Arial" w:cs="Arial"/>
          <w:sz w:val="20"/>
          <w:szCs w:val="20"/>
        </w:rPr>
        <w:t>Use codes and other development codes are specific to each planning scheme area.</w:t>
      </w:r>
    </w:p>
    <w:p w14:paraId="1BFE35A8" w14:textId="77777777" w:rsidR="00BE36FB" w:rsidRPr="009B7B35" w:rsidRDefault="00BE36FB" w:rsidP="00BE36FB">
      <w:pPr>
        <w:numPr>
          <w:ilvl w:val="0"/>
          <w:numId w:val="701"/>
        </w:numPr>
        <w:rPr>
          <w:rFonts w:ascii="Arial" w:hAnsi="Arial" w:cs="Arial"/>
          <w:sz w:val="20"/>
          <w:szCs w:val="20"/>
        </w:rPr>
      </w:pPr>
      <w:r w:rsidRPr="009B7B35">
        <w:rPr>
          <w:rFonts w:ascii="Arial" w:hAnsi="Arial" w:cs="Arial"/>
          <w:sz w:val="20"/>
          <w:szCs w:val="20"/>
        </w:rPr>
        <w:t>The following are the codes and requirements under the Regulation for development in the planning scheme area:</w:t>
      </w:r>
    </w:p>
    <w:p w14:paraId="025D21F6" w14:textId="77777777"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Community residence code requirements applying to development that may not be made assessable development under the planning scheme</w:t>
      </w:r>
    </w:p>
    <w:p w14:paraId="49EC891F" w14:textId="77777777"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Cropping (involving forestry for wood production) code applying to development that may not be made assessable development under the planning scheme</w:t>
      </w:r>
    </w:p>
    <w:p w14:paraId="1255514B" w14:textId="77777777"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Reconfiguring a lot (subdividing one lot into two lots) and associated operational works code applying to development for which code assessment is required under schedule 10, part 12 and schedule 10, part 14 division 2 of the Regulation.</w:t>
      </w:r>
    </w:p>
    <w:p w14:paraId="6E1C6B5B" w14:textId="77777777" w:rsidR="00BE36FB" w:rsidRPr="009B7B35" w:rsidRDefault="00BE36FB" w:rsidP="00BE36FB">
      <w:pPr>
        <w:numPr>
          <w:ilvl w:val="0"/>
          <w:numId w:val="701"/>
        </w:numPr>
        <w:rPr>
          <w:rFonts w:ascii="Arial" w:hAnsi="Arial" w:cs="Arial"/>
          <w:sz w:val="20"/>
          <w:szCs w:val="20"/>
        </w:rPr>
      </w:pPr>
      <w:r w:rsidRPr="009B7B35">
        <w:rPr>
          <w:rFonts w:ascii="Arial" w:hAnsi="Arial" w:cs="Arial"/>
          <w:sz w:val="20"/>
          <w:szCs w:val="20"/>
        </w:rPr>
        <w:t>The following are the use codes for the planning scheme:</w:t>
      </w:r>
    </w:p>
    <w:p w14:paraId="534F7C57" w14:textId="77777777"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Advertising devices</w:t>
      </w:r>
    </w:p>
    <w:p w14:paraId="2B62003B" w14:textId="77777777"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Development design</w:t>
      </w:r>
    </w:p>
    <w:p w14:paraId="69AF9D1D" w14:textId="77777777"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Extractive industry</w:t>
      </w:r>
    </w:p>
    <w:p w14:paraId="112B5EE5" w14:textId="77777777"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Home based business</w:t>
      </w:r>
    </w:p>
    <w:p w14:paraId="47E4263F" w14:textId="77777777"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Landscaping</w:t>
      </w:r>
    </w:p>
    <w:p w14:paraId="169C1B6D" w14:textId="77777777"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Operational works</w:t>
      </w:r>
    </w:p>
    <w:p w14:paraId="7DD4E495" w14:textId="77777777"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Reconfiguring a lot</w:t>
      </w:r>
    </w:p>
    <w:p w14:paraId="6B522CF9" w14:textId="77777777"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Telecommunications facility use</w:t>
      </w:r>
    </w:p>
    <w:p w14:paraId="4A944E9B" w14:textId="77777777" w:rsidR="00BE36FB" w:rsidRPr="009B7B35" w:rsidRDefault="00BE36FB" w:rsidP="00BE36FB">
      <w:pPr>
        <w:numPr>
          <w:ilvl w:val="0"/>
          <w:numId w:val="701"/>
        </w:numPr>
        <w:rPr>
          <w:rFonts w:ascii="Arial" w:hAnsi="Arial" w:cs="Arial"/>
          <w:sz w:val="20"/>
          <w:szCs w:val="20"/>
        </w:rPr>
      </w:pPr>
      <w:r w:rsidRPr="009B7B35">
        <w:rPr>
          <w:rFonts w:ascii="Arial" w:hAnsi="Arial" w:cs="Arial"/>
          <w:sz w:val="20"/>
          <w:szCs w:val="20"/>
        </w:rPr>
        <w:t>The following are the other development codes for the planning scheme:</w:t>
      </w:r>
    </w:p>
    <w:p w14:paraId="36987DC8" w14:textId="77777777" w:rsidR="00BE36FB" w:rsidRPr="009B7B35" w:rsidRDefault="00BE36FB" w:rsidP="00BE36FB">
      <w:pPr>
        <w:numPr>
          <w:ilvl w:val="1"/>
          <w:numId w:val="701"/>
        </w:numPr>
        <w:rPr>
          <w:rFonts w:ascii="Arial" w:hAnsi="Arial" w:cs="Arial"/>
          <w:i/>
          <w:sz w:val="20"/>
          <w:szCs w:val="20"/>
        </w:rPr>
      </w:pPr>
      <w:r w:rsidRPr="009B7B35">
        <w:rPr>
          <w:rFonts w:ascii="Arial" w:hAnsi="Arial" w:cs="Arial"/>
          <w:sz w:val="20"/>
          <w:szCs w:val="20"/>
        </w:rPr>
        <w:t xml:space="preserve">State Development Areas – </w:t>
      </w:r>
      <w:r w:rsidRPr="009B7B35">
        <w:rPr>
          <w:rFonts w:ascii="Arial" w:hAnsi="Arial" w:cs="Arial"/>
          <w:i/>
          <w:sz w:val="20"/>
          <w:szCs w:val="20"/>
        </w:rPr>
        <w:t>State Development and Public Works Organisation Act 1971</w:t>
      </w:r>
    </w:p>
    <w:p w14:paraId="131E2399" w14:textId="77777777"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Port of Gladstone and Port Alma (part)</w:t>
      </w:r>
    </w:p>
    <w:p w14:paraId="06485211" w14:textId="77777777" w:rsidR="00BE36FB" w:rsidRPr="009B7B35" w:rsidRDefault="00BE36FB" w:rsidP="00BE36FB">
      <w:pPr>
        <w:numPr>
          <w:ilvl w:val="1"/>
          <w:numId w:val="701"/>
        </w:numPr>
        <w:rPr>
          <w:rFonts w:ascii="Arial" w:hAnsi="Arial" w:cs="Arial"/>
          <w:sz w:val="20"/>
          <w:szCs w:val="20"/>
        </w:rPr>
      </w:pPr>
      <w:r w:rsidRPr="009B7B35">
        <w:rPr>
          <w:rFonts w:ascii="Arial" w:hAnsi="Arial" w:cs="Arial"/>
          <w:sz w:val="20"/>
          <w:szCs w:val="20"/>
        </w:rPr>
        <w:t xml:space="preserve">Priority Development Areas – </w:t>
      </w:r>
      <w:r w:rsidRPr="009B7B35">
        <w:rPr>
          <w:rFonts w:ascii="Arial" w:hAnsi="Arial" w:cs="Arial"/>
          <w:i/>
          <w:sz w:val="20"/>
          <w:szCs w:val="20"/>
        </w:rPr>
        <w:t>Economic Development Act 2012</w:t>
      </w:r>
      <w:r w:rsidRPr="009B7B35">
        <w:rPr>
          <w:rFonts w:ascii="Arial" w:hAnsi="Arial" w:cs="Arial"/>
          <w:sz w:val="20"/>
          <w:szCs w:val="20"/>
        </w:rPr>
        <w:t>.</w:t>
      </w:r>
    </w:p>
    <w:p w14:paraId="1F811378" w14:textId="77777777" w:rsidR="00BE36FB" w:rsidRPr="009B7B35" w:rsidRDefault="00BE36FB" w:rsidP="006776DA">
      <w:pPr>
        <w:pStyle w:val="Heading2"/>
        <w:numPr>
          <w:ilvl w:val="1"/>
          <w:numId w:val="883"/>
        </w:numPr>
        <w:rPr>
          <w:rFonts w:ascii="Arial" w:hAnsi="Arial"/>
          <w:sz w:val="20"/>
          <w:szCs w:val="20"/>
        </w:rPr>
      </w:pPr>
      <w:bookmarkStart w:id="257" w:name="_Toc205367391"/>
      <w:r w:rsidRPr="009B7B35">
        <w:rPr>
          <w:rFonts w:ascii="Arial" w:hAnsi="Arial"/>
          <w:sz w:val="20"/>
          <w:szCs w:val="20"/>
        </w:rPr>
        <w:t>Development that cannot be made assessable in accordance with Schedule 6 of the Planning Regulation 2017</w:t>
      </w:r>
      <w:bookmarkEnd w:id="257"/>
    </w:p>
    <w:p w14:paraId="35D4AC66" w14:textId="77777777" w:rsidR="00BE36FB" w:rsidRPr="009B7B35" w:rsidRDefault="00BE36FB" w:rsidP="001A7107">
      <w:pPr>
        <w:spacing w:before="120"/>
        <w:rPr>
          <w:rFonts w:ascii="Arial" w:hAnsi="Arial" w:cs="Arial"/>
          <w:sz w:val="20"/>
          <w:szCs w:val="20"/>
        </w:rPr>
      </w:pPr>
      <w:r w:rsidRPr="009B7B35">
        <w:rPr>
          <w:rFonts w:ascii="Arial" w:hAnsi="Arial" w:cs="Arial"/>
          <w:sz w:val="20"/>
          <w:szCs w:val="20"/>
        </w:rPr>
        <w:t>Editor's note — the following schedules of the Regulation are relevant to the Gladstone Regional Council planning scheme:</w:t>
      </w:r>
    </w:p>
    <w:p w14:paraId="3AE69BAC" w14:textId="77777777" w:rsidR="00BE36FB" w:rsidRPr="009B7B35" w:rsidRDefault="00BE36FB" w:rsidP="00BE36FB">
      <w:pPr>
        <w:numPr>
          <w:ilvl w:val="0"/>
          <w:numId w:val="824"/>
        </w:numPr>
        <w:ind w:left="714" w:hanging="357"/>
        <w:rPr>
          <w:rFonts w:ascii="Arial" w:hAnsi="Arial" w:cs="Arial"/>
          <w:sz w:val="20"/>
          <w:szCs w:val="20"/>
          <w:lang w:eastAsia="en-US"/>
        </w:rPr>
      </w:pPr>
      <w:r w:rsidRPr="009B7B35">
        <w:rPr>
          <w:rFonts w:ascii="Arial" w:hAnsi="Arial" w:cs="Arial"/>
          <w:sz w:val="20"/>
          <w:szCs w:val="20"/>
          <w:lang w:eastAsia="en-US"/>
        </w:rPr>
        <w:t>Schedule 6, Part 2, 6 of the Regulation, Material change of use for community residence</w:t>
      </w:r>
    </w:p>
    <w:p w14:paraId="3BEEEE6D" w14:textId="77777777" w:rsidR="00BE36FB" w:rsidRPr="009B7B35" w:rsidRDefault="00BE36FB" w:rsidP="00BE36FB">
      <w:pPr>
        <w:numPr>
          <w:ilvl w:val="0"/>
          <w:numId w:val="824"/>
        </w:numPr>
        <w:ind w:left="714" w:hanging="357"/>
        <w:rPr>
          <w:rFonts w:ascii="Arial" w:hAnsi="Arial" w:cs="Arial"/>
          <w:sz w:val="20"/>
          <w:szCs w:val="20"/>
          <w:lang w:eastAsia="en-US"/>
        </w:rPr>
      </w:pPr>
      <w:r w:rsidRPr="009B7B35">
        <w:rPr>
          <w:rFonts w:ascii="Arial" w:hAnsi="Arial" w:cs="Arial"/>
          <w:sz w:val="20"/>
          <w:szCs w:val="20"/>
          <w:lang w:eastAsia="en-US"/>
        </w:rPr>
        <w:t>Schedule 13 of the Regulation, Requirements for cropping involving forestry for wood production</w:t>
      </w:r>
    </w:p>
    <w:p w14:paraId="583D9660" w14:textId="77777777" w:rsidR="000D716B" w:rsidRDefault="00BE36FB" w:rsidP="00BE36FB">
      <w:pPr>
        <w:numPr>
          <w:ilvl w:val="0"/>
          <w:numId w:val="824"/>
        </w:numPr>
        <w:ind w:left="714" w:hanging="357"/>
        <w:rPr>
          <w:rFonts w:ascii="Arial" w:hAnsi="Arial" w:cs="Arial"/>
          <w:sz w:val="20"/>
          <w:szCs w:val="20"/>
          <w:lang w:eastAsia="en-US"/>
        </w:rPr>
      </w:pPr>
      <w:r w:rsidRPr="009B7B35">
        <w:rPr>
          <w:rFonts w:ascii="Arial" w:hAnsi="Arial" w:cs="Arial"/>
          <w:sz w:val="20"/>
          <w:szCs w:val="20"/>
          <w:lang w:eastAsia="en-US"/>
        </w:rPr>
        <w:t xml:space="preserve">Schedule 12 of the Regulation, particular reconfiguring a lot requiring code assessment. </w:t>
      </w:r>
    </w:p>
    <w:p w14:paraId="4DBEC55A" w14:textId="77777777" w:rsidR="000D716B" w:rsidRDefault="000D716B">
      <w:pPr>
        <w:rPr>
          <w:rFonts w:ascii="Arial" w:hAnsi="Arial" w:cs="Arial"/>
          <w:sz w:val="20"/>
          <w:szCs w:val="20"/>
          <w:lang w:eastAsia="en-US"/>
        </w:rPr>
      </w:pPr>
      <w:r>
        <w:rPr>
          <w:rFonts w:ascii="Arial" w:hAnsi="Arial" w:cs="Arial"/>
          <w:sz w:val="20"/>
          <w:szCs w:val="20"/>
          <w:lang w:eastAsia="en-US"/>
        </w:rPr>
        <w:br w:type="page"/>
      </w:r>
    </w:p>
    <w:p w14:paraId="2AA5FDCA" w14:textId="77777777" w:rsidR="00BE36FB" w:rsidRPr="009B7B35" w:rsidRDefault="00BE36FB" w:rsidP="006776DA">
      <w:pPr>
        <w:pStyle w:val="Heading2"/>
        <w:numPr>
          <w:ilvl w:val="1"/>
          <w:numId w:val="883"/>
        </w:numPr>
        <w:rPr>
          <w:rFonts w:ascii="Arial" w:hAnsi="Arial"/>
          <w:sz w:val="20"/>
          <w:szCs w:val="20"/>
        </w:rPr>
      </w:pPr>
      <w:bookmarkStart w:id="258" w:name="_Toc205367392"/>
      <w:r w:rsidRPr="009B7B35">
        <w:rPr>
          <w:rFonts w:ascii="Arial" w:hAnsi="Arial"/>
          <w:sz w:val="20"/>
          <w:szCs w:val="20"/>
        </w:rPr>
        <w:t>Use codes</w:t>
      </w:r>
      <w:bookmarkEnd w:id="258"/>
    </w:p>
    <w:p w14:paraId="3D05FE08" w14:textId="77777777" w:rsidR="00BE36FB" w:rsidRPr="009B7B35" w:rsidRDefault="00BE36FB" w:rsidP="006776DA">
      <w:pPr>
        <w:pStyle w:val="Heading3"/>
        <w:numPr>
          <w:ilvl w:val="2"/>
          <w:numId w:val="883"/>
        </w:numPr>
        <w:spacing w:before="240"/>
        <w:rPr>
          <w:rFonts w:ascii="Arial" w:hAnsi="Arial"/>
          <w:sz w:val="20"/>
          <w:szCs w:val="20"/>
        </w:rPr>
      </w:pPr>
      <w:bookmarkStart w:id="259" w:name="_Toc205367393"/>
      <w:r w:rsidRPr="009B7B35">
        <w:rPr>
          <w:rFonts w:ascii="Arial" w:hAnsi="Arial"/>
          <w:sz w:val="20"/>
          <w:szCs w:val="20"/>
        </w:rPr>
        <w:t>Advertising devices</w:t>
      </w:r>
      <w:bookmarkEnd w:id="259"/>
      <w:r w:rsidRPr="009B7B35">
        <w:rPr>
          <w:rFonts w:ascii="Arial" w:hAnsi="Arial"/>
          <w:sz w:val="20"/>
          <w:szCs w:val="20"/>
        </w:rPr>
        <w:t xml:space="preserve"> </w:t>
      </w:r>
    </w:p>
    <w:p w14:paraId="29EF55F8"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5DC1D57F" w14:textId="77777777" w:rsidR="00BE36FB" w:rsidRPr="009B7B35" w:rsidRDefault="00BE36FB" w:rsidP="001A7107">
      <w:pPr>
        <w:jc w:val="both"/>
        <w:rPr>
          <w:rFonts w:ascii="Arial" w:hAnsi="Arial" w:cs="Arial"/>
          <w:sz w:val="20"/>
          <w:szCs w:val="20"/>
        </w:rPr>
      </w:pPr>
      <w:r w:rsidRPr="009B7B35">
        <w:rPr>
          <w:rFonts w:ascii="Arial" w:hAnsi="Arial" w:cs="Arial"/>
          <w:sz w:val="20"/>
          <w:szCs w:val="20"/>
        </w:rPr>
        <w:t xml:space="preserve">This code applies to the assessment of operational work for placing an advertising device on a road corridor or on premises, where the code is identified as applicable in the tables of assessment. </w:t>
      </w:r>
    </w:p>
    <w:p w14:paraId="70285122" w14:textId="77777777" w:rsidR="00BE36FB" w:rsidRPr="009B7B35" w:rsidRDefault="00BE36FB" w:rsidP="006776DA">
      <w:pPr>
        <w:pStyle w:val="Heading4"/>
        <w:numPr>
          <w:ilvl w:val="3"/>
          <w:numId w:val="883"/>
        </w:numPr>
        <w:jc w:val="both"/>
        <w:rPr>
          <w:rFonts w:ascii="Arial" w:hAnsi="Arial" w:cs="Arial"/>
          <w:sz w:val="20"/>
          <w:szCs w:val="20"/>
        </w:rPr>
      </w:pPr>
      <w:r w:rsidRPr="009B7B35">
        <w:rPr>
          <w:rFonts w:ascii="Arial" w:hAnsi="Arial" w:cs="Arial"/>
          <w:sz w:val="20"/>
          <w:szCs w:val="20"/>
        </w:rPr>
        <w:t>Purpose</w:t>
      </w:r>
    </w:p>
    <w:p w14:paraId="55BD8A0C" w14:textId="77777777" w:rsidR="00BE36FB" w:rsidRPr="009B7B35" w:rsidRDefault="00BE36FB" w:rsidP="00BE36FB">
      <w:pPr>
        <w:numPr>
          <w:ilvl w:val="0"/>
          <w:numId w:val="714"/>
        </w:numPr>
        <w:jc w:val="both"/>
        <w:rPr>
          <w:rFonts w:ascii="Arial" w:hAnsi="Arial" w:cs="Arial"/>
          <w:sz w:val="20"/>
          <w:szCs w:val="20"/>
        </w:rPr>
      </w:pPr>
      <w:r w:rsidRPr="009B7B35">
        <w:rPr>
          <w:rFonts w:ascii="Arial" w:hAnsi="Arial" w:cs="Arial"/>
          <w:sz w:val="20"/>
          <w:szCs w:val="20"/>
        </w:rPr>
        <w:t>The purpose of the advertising devices code is to:</w:t>
      </w:r>
    </w:p>
    <w:p w14:paraId="6365E292" w14:textId="77777777" w:rsidR="00BE36FB" w:rsidRPr="009B7B35" w:rsidRDefault="00BE36FB" w:rsidP="00BE36FB">
      <w:pPr>
        <w:numPr>
          <w:ilvl w:val="1"/>
          <w:numId w:val="714"/>
        </w:numPr>
        <w:jc w:val="both"/>
        <w:rPr>
          <w:rFonts w:ascii="Arial" w:hAnsi="Arial" w:cs="Arial"/>
          <w:sz w:val="20"/>
          <w:szCs w:val="20"/>
        </w:rPr>
      </w:pPr>
      <w:r w:rsidRPr="009B7B35">
        <w:rPr>
          <w:rFonts w:ascii="Arial" w:hAnsi="Arial" w:cs="Arial"/>
          <w:sz w:val="20"/>
          <w:szCs w:val="20"/>
        </w:rPr>
        <w:t>Facilitate economic activity through the advertising of business, products, services and to share information with the community.</w:t>
      </w:r>
    </w:p>
    <w:p w14:paraId="56B1F0AD" w14:textId="77777777" w:rsidR="00BE36FB" w:rsidRPr="009B7B35" w:rsidRDefault="00BE36FB" w:rsidP="00BE36FB">
      <w:pPr>
        <w:numPr>
          <w:ilvl w:val="1"/>
          <w:numId w:val="714"/>
        </w:numPr>
        <w:jc w:val="both"/>
        <w:rPr>
          <w:rFonts w:ascii="Arial" w:hAnsi="Arial" w:cs="Arial"/>
          <w:sz w:val="20"/>
          <w:szCs w:val="20"/>
        </w:rPr>
      </w:pPr>
      <w:r w:rsidRPr="009B7B35">
        <w:rPr>
          <w:rFonts w:ascii="Arial" w:hAnsi="Arial" w:cs="Arial"/>
          <w:sz w:val="20"/>
          <w:szCs w:val="20"/>
        </w:rPr>
        <w:t>Provide unique and creative static and digital signage that contributes to the character and vibrancy of the setting.</w:t>
      </w:r>
    </w:p>
    <w:p w14:paraId="036AFD6F" w14:textId="77777777" w:rsidR="00BE36FB" w:rsidRPr="009B7B35" w:rsidRDefault="00BE36FB" w:rsidP="00BE36FB">
      <w:pPr>
        <w:numPr>
          <w:ilvl w:val="1"/>
          <w:numId w:val="714"/>
        </w:numPr>
        <w:jc w:val="both"/>
        <w:rPr>
          <w:rFonts w:ascii="Arial" w:hAnsi="Arial" w:cs="Arial"/>
          <w:sz w:val="20"/>
          <w:szCs w:val="20"/>
        </w:rPr>
      </w:pPr>
      <w:r w:rsidRPr="009B7B35">
        <w:rPr>
          <w:rFonts w:ascii="Arial" w:hAnsi="Arial" w:cs="Arial"/>
          <w:sz w:val="20"/>
          <w:szCs w:val="20"/>
        </w:rPr>
        <w:t xml:space="preserve">Ensure that advertising devices do not adversely affect visual amenity, the character of the local area and public safety. </w:t>
      </w:r>
    </w:p>
    <w:p w14:paraId="3A8943F8" w14:textId="77777777" w:rsidR="00BE36FB" w:rsidRPr="009B7B35" w:rsidRDefault="00BE36FB" w:rsidP="00BE36FB">
      <w:pPr>
        <w:numPr>
          <w:ilvl w:val="0"/>
          <w:numId w:val="714"/>
        </w:numPr>
        <w:jc w:val="both"/>
        <w:rPr>
          <w:rFonts w:ascii="Arial" w:hAnsi="Arial" w:cs="Arial"/>
          <w:sz w:val="20"/>
          <w:szCs w:val="20"/>
        </w:rPr>
      </w:pPr>
      <w:r w:rsidRPr="009B7B35">
        <w:rPr>
          <w:rFonts w:ascii="Arial" w:hAnsi="Arial" w:cs="Arial"/>
          <w:sz w:val="20"/>
          <w:szCs w:val="20"/>
        </w:rPr>
        <w:t>The purpose of the code will be achieved through the following overall outcomes:</w:t>
      </w:r>
    </w:p>
    <w:p w14:paraId="3F016739" w14:textId="77777777" w:rsidR="00BE36FB" w:rsidRPr="009B7B35" w:rsidRDefault="00BE36FB" w:rsidP="00BE36FB">
      <w:pPr>
        <w:numPr>
          <w:ilvl w:val="1"/>
          <w:numId w:val="714"/>
        </w:numPr>
        <w:jc w:val="both"/>
        <w:rPr>
          <w:rFonts w:ascii="Arial" w:hAnsi="Arial" w:cs="Arial"/>
          <w:sz w:val="20"/>
          <w:szCs w:val="20"/>
        </w:rPr>
      </w:pPr>
      <w:r w:rsidRPr="009B7B35">
        <w:rPr>
          <w:rFonts w:ascii="Arial" w:hAnsi="Arial" w:cs="Arial"/>
          <w:sz w:val="20"/>
          <w:szCs w:val="20"/>
        </w:rPr>
        <w:t>An advertising device complements, and does not detract from, the desirable characteristics of the natural and built environment in which the advertising device is exhibited.</w:t>
      </w:r>
    </w:p>
    <w:p w14:paraId="33E1BF4A" w14:textId="77777777" w:rsidR="00BE36FB" w:rsidRPr="009B7B35" w:rsidRDefault="00BE36FB" w:rsidP="00BE36FB">
      <w:pPr>
        <w:numPr>
          <w:ilvl w:val="1"/>
          <w:numId w:val="714"/>
        </w:numPr>
        <w:jc w:val="both"/>
        <w:rPr>
          <w:rFonts w:ascii="Arial" w:hAnsi="Arial" w:cs="Arial"/>
          <w:sz w:val="20"/>
          <w:szCs w:val="20"/>
        </w:rPr>
      </w:pPr>
      <w:r w:rsidRPr="009B7B35">
        <w:rPr>
          <w:rFonts w:ascii="Arial" w:hAnsi="Arial" w:cs="Arial"/>
          <w:sz w:val="20"/>
          <w:szCs w:val="20"/>
        </w:rPr>
        <w:t>An advertising device is designed and integrated on the site so as to minimise visual clutter, particularly along major road corridors.</w:t>
      </w:r>
    </w:p>
    <w:p w14:paraId="76743B98" w14:textId="77777777" w:rsidR="00BE36FB" w:rsidRPr="009B7B35" w:rsidRDefault="00BE36FB" w:rsidP="00BE36FB">
      <w:pPr>
        <w:numPr>
          <w:ilvl w:val="1"/>
          <w:numId w:val="714"/>
        </w:numPr>
        <w:jc w:val="both"/>
        <w:rPr>
          <w:rFonts w:ascii="Arial" w:hAnsi="Arial" w:cs="Arial"/>
          <w:sz w:val="20"/>
          <w:szCs w:val="20"/>
        </w:rPr>
      </w:pPr>
      <w:r w:rsidRPr="009B7B35">
        <w:rPr>
          <w:rFonts w:ascii="Arial" w:hAnsi="Arial" w:cs="Arial"/>
          <w:sz w:val="20"/>
          <w:szCs w:val="20"/>
        </w:rPr>
        <w:t xml:space="preserve">An advertising device does not pose a hazard for pedestrians, cyclists or drivers of motor vehicles. </w:t>
      </w:r>
    </w:p>
    <w:p w14:paraId="641F1B85" w14:textId="77777777" w:rsidR="00BE36FB" w:rsidRPr="009B7B35" w:rsidRDefault="00BE36FB" w:rsidP="00BE36FB">
      <w:pPr>
        <w:numPr>
          <w:ilvl w:val="1"/>
          <w:numId w:val="714"/>
        </w:numPr>
        <w:jc w:val="both"/>
        <w:rPr>
          <w:rFonts w:ascii="Arial" w:hAnsi="Arial" w:cs="Arial"/>
          <w:sz w:val="20"/>
          <w:szCs w:val="20"/>
        </w:rPr>
      </w:pPr>
      <w:r w:rsidRPr="009B7B35">
        <w:rPr>
          <w:rFonts w:ascii="Arial" w:hAnsi="Arial" w:cs="Arial"/>
          <w:sz w:val="20"/>
          <w:szCs w:val="20"/>
        </w:rPr>
        <w:t xml:space="preserve">An advertising device does not unreasonably impede views, sunlight or breezes for residents on adjoining sites, or create nuisance as a result of noisy, flashing or illuminated devices.  </w:t>
      </w:r>
    </w:p>
    <w:p w14:paraId="186FAD56"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Description of advertising devices</w:t>
      </w:r>
    </w:p>
    <w:tbl>
      <w:tblPr>
        <w:tblStyle w:val="Tablestyle"/>
        <w:tblW w:w="0" w:type="auto"/>
        <w:tblLook w:val="0620" w:firstRow="1" w:lastRow="0" w:firstColumn="0" w:lastColumn="0" w:noHBand="1" w:noVBand="1"/>
      </w:tblPr>
      <w:tblGrid>
        <w:gridCol w:w="4734"/>
        <w:gridCol w:w="3629"/>
      </w:tblGrid>
      <w:tr w:rsidR="00BE36FB" w:rsidRPr="009B7B35" w14:paraId="44A72B66"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0F5984ED" w14:textId="77777777" w:rsidR="00BE36FB" w:rsidRPr="009B7B35" w:rsidRDefault="00BE36FB" w:rsidP="001A7107">
            <w:pPr>
              <w:pStyle w:val="TableText"/>
              <w:rPr>
                <w:rFonts w:cs="Arial"/>
              </w:rPr>
            </w:pPr>
            <w:r w:rsidRPr="009B7B35">
              <w:rPr>
                <w:rFonts w:cs="Arial"/>
              </w:rPr>
              <w:t>Advertising device type</w:t>
            </w:r>
          </w:p>
        </w:tc>
        <w:tc>
          <w:tcPr>
            <w:tcW w:w="4678" w:type="dxa"/>
          </w:tcPr>
          <w:p w14:paraId="784D32EA" w14:textId="77777777" w:rsidR="00BE36FB" w:rsidRPr="009B7B35" w:rsidRDefault="00BE36FB" w:rsidP="001A7107">
            <w:pPr>
              <w:pStyle w:val="TableText"/>
              <w:rPr>
                <w:rFonts w:cs="Arial"/>
              </w:rPr>
            </w:pPr>
            <w:r w:rsidRPr="009B7B35">
              <w:rPr>
                <w:rFonts w:cs="Arial"/>
              </w:rPr>
              <w:t xml:space="preserve">Written description </w:t>
            </w:r>
          </w:p>
        </w:tc>
      </w:tr>
      <w:tr w:rsidR="00BE36FB" w:rsidRPr="009B7B35" w14:paraId="041448BE" w14:textId="77777777" w:rsidTr="001A7107">
        <w:trPr>
          <w:cantSplit/>
        </w:trPr>
        <w:tc>
          <w:tcPr>
            <w:tcW w:w="4678" w:type="dxa"/>
          </w:tcPr>
          <w:p w14:paraId="5C38D393" w14:textId="77777777" w:rsidR="00BE36FB" w:rsidRPr="009B7B35" w:rsidRDefault="00BE36FB" w:rsidP="001A7107">
            <w:pPr>
              <w:pStyle w:val="TableText"/>
              <w:rPr>
                <w:rFonts w:cs="Arial"/>
              </w:rPr>
            </w:pPr>
            <w:r w:rsidRPr="009B7B35">
              <w:rPr>
                <w:rFonts w:cs="Arial"/>
              </w:rPr>
              <w:t xml:space="preserve">On premises advertising device </w:t>
            </w:r>
          </w:p>
          <w:p w14:paraId="0B19A159" w14:textId="77777777" w:rsidR="00BE36FB" w:rsidRPr="009B7B35" w:rsidRDefault="00BE36FB" w:rsidP="001A7107">
            <w:pPr>
              <w:pStyle w:val="TableText"/>
              <w:rPr>
                <w:rFonts w:cs="Arial"/>
              </w:rPr>
            </w:pPr>
            <w:r w:rsidRPr="009B7B35">
              <w:rPr>
                <w:rFonts w:cs="Arial"/>
                <w:noProof/>
              </w:rPr>
              <w:drawing>
                <wp:inline distT="0" distB="0" distL="0" distR="0" wp14:anchorId="73842756" wp14:editId="2FE60634">
                  <wp:extent cx="2933700" cy="1236702"/>
                  <wp:effectExtent l="0" t="0" r="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99.JPG"/>
                          <pic:cNvPicPr/>
                        </pic:nvPicPr>
                        <pic:blipFill rotWithShape="1">
                          <a:blip r:embed="rId99" cstate="print">
                            <a:extLst>
                              <a:ext uri="{28A0092B-C50C-407E-A947-70E740481C1C}">
                                <a14:useLocalDpi xmlns:a14="http://schemas.microsoft.com/office/drawing/2010/main" val="0"/>
                              </a:ext>
                            </a:extLst>
                          </a:blip>
                          <a:srcRect l="13660" t="18012" r="2060" b="28773"/>
                          <a:stretch/>
                        </pic:blipFill>
                        <pic:spPr bwMode="auto">
                          <a:xfrm>
                            <a:off x="0" y="0"/>
                            <a:ext cx="2945001" cy="1241466"/>
                          </a:xfrm>
                          <a:prstGeom prst="rect">
                            <a:avLst/>
                          </a:prstGeom>
                          <a:ln>
                            <a:noFill/>
                          </a:ln>
                          <a:extLst>
                            <a:ext uri="{53640926-AAD7-44D8-BBD7-CCE9431645EC}">
                              <a14:shadowObscured xmlns:a14="http://schemas.microsoft.com/office/drawing/2010/main"/>
                            </a:ext>
                          </a:extLst>
                        </pic:spPr>
                      </pic:pic>
                    </a:graphicData>
                  </a:graphic>
                </wp:inline>
              </w:drawing>
            </w:r>
          </w:p>
          <w:p w14:paraId="714F78DE" w14:textId="77777777" w:rsidR="00BE36FB" w:rsidRPr="009B7B35" w:rsidRDefault="00BE36FB" w:rsidP="001A7107">
            <w:pPr>
              <w:pStyle w:val="TableText"/>
              <w:rPr>
                <w:rFonts w:cs="Arial"/>
              </w:rPr>
            </w:pPr>
            <w:r w:rsidRPr="009B7B35">
              <w:rPr>
                <w:rFonts w:cs="Arial"/>
                <w:noProof/>
              </w:rPr>
              <w:drawing>
                <wp:inline distT="0" distB="0" distL="0" distR="0" wp14:anchorId="2688CB63" wp14:editId="68EF6E47">
                  <wp:extent cx="2933700" cy="2069903"/>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98.JPG"/>
                          <pic:cNvPicPr/>
                        </pic:nvPicPr>
                        <pic:blipFill rotWithShape="1">
                          <a:blip r:embed="rId100" cstate="print">
                            <a:extLst>
                              <a:ext uri="{28A0092B-C50C-407E-A947-70E740481C1C}">
                                <a14:useLocalDpi xmlns:a14="http://schemas.microsoft.com/office/drawing/2010/main" val="0"/>
                              </a:ext>
                            </a:extLst>
                          </a:blip>
                          <a:srcRect l="5055" t="7779" r="25836" b="19187"/>
                          <a:stretch/>
                        </pic:blipFill>
                        <pic:spPr bwMode="auto">
                          <a:xfrm>
                            <a:off x="0" y="0"/>
                            <a:ext cx="2937644" cy="2072686"/>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10DCDCEE" w14:textId="77777777" w:rsidR="00BE36FB" w:rsidRPr="009B7B35" w:rsidRDefault="00BE36FB" w:rsidP="001A7107">
            <w:pPr>
              <w:rPr>
                <w:rFonts w:cs="Arial"/>
                <w:sz w:val="20"/>
                <w:szCs w:val="20"/>
              </w:rPr>
            </w:pPr>
            <w:r w:rsidRPr="009B7B35">
              <w:rPr>
                <w:rFonts w:cs="Arial"/>
                <w:sz w:val="20"/>
                <w:szCs w:val="20"/>
              </w:rPr>
              <w:t xml:space="preserve">An advertising device intended to display the name or occupation of the use on the site or use on another site irrespective of particular design features. </w:t>
            </w:r>
          </w:p>
        </w:tc>
      </w:tr>
      <w:tr w:rsidR="00BE36FB" w:rsidRPr="009B7B35" w14:paraId="352C79B1" w14:textId="77777777" w:rsidTr="001A7107">
        <w:trPr>
          <w:cantSplit/>
        </w:trPr>
        <w:tc>
          <w:tcPr>
            <w:tcW w:w="4678" w:type="dxa"/>
          </w:tcPr>
          <w:p w14:paraId="19374FEE" w14:textId="77777777" w:rsidR="00BE36FB" w:rsidRPr="009B7B35" w:rsidRDefault="00BE36FB" w:rsidP="001A7107">
            <w:pPr>
              <w:pStyle w:val="TableText"/>
              <w:rPr>
                <w:rFonts w:cs="Arial"/>
              </w:rPr>
            </w:pPr>
            <w:r w:rsidRPr="009B7B35">
              <w:rPr>
                <w:rFonts w:cs="Arial"/>
              </w:rPr>
              <w:t xml:space="preserve">Transport corridor advertising device </w:t>
            </w:r>
          </w:p>
          <w:p w14:paraId="7A022C0F" w14:textId="77777777" w:rsidR="00BE36FB" w:rsidRPr="009B7B35" w:rsidRDefault="00BE36FB" w:rsidP="001A7107">
            <w:pPr>
              <w:pStyle w:val="TableText"/>
              <w:rPr>
                <w:rFonts w:cs="Arial"/>
              </w:rPr>
            </w:pPr>
            <w:r w:rsidRPr="009B7B35">
              <w:rPr>
                <w:rFonts w:cs="Arial"/>
                <w:noProof/>
              </w:rPr>
              <w:drawing>
                <wp:inline distT="0" distB="0" distL="0" distR="0" wp14:anchorId="4466876A" wp14:editId="2C65BD62">
                  <wp:extent cx="3132227" cy="2295525"/>
                  <wp:effectExtent l="0" t="953"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89.JPG"/>
                          <pic:cNvPicPr/>
                        </pic:nvPicPr>
                        <pic:blipFill rotWithShape="1">
                          <a:blip r:embed="rId101" cstate="print">
                            <a:extLst>
                              <a:ext uri="{28A0092B-C50C-407E-A947-70E740481C1C}">
                                <a14:useLocalDpi xmlns:a14="http://schemas.microsoft.com/office/drawing/2010/main" val="0"/>
                              </a:ext>
                            </a:extLst>
                          </a:blip>
                          <a:srcRect l="30267" t="10282" r="6834" b="20671"/>
                          <a:stretch/>
                        </pic:blipFill>
                        <pic:spPr bwMode="auto">
                          <a:xfrm rot="5400000">
                            <a:off x="0" y="0"/>
                            <a:ext cx="3137761" cy="2299581"/>
                          </a:xfrm>
                          <a:prstGeom prst="rect">
                            <a:avLst/>
                          </a:prstGeom>
                          <a:ln>
                            <a:noFill/>
                          </a:ln>
                          <a:extLst>
                            <a:ext uri="{53640926-AAD7-44D8-BBD7-CCE9431645EC}">
                              <a14:shadowObscured xmlns:a14="http://schemas.microsoft.com/office/drawing/2010/main"/>
                            </a:ext>
                          </a:extLst>
                        </pic:spPr>
                      </pic:pic>
                    </a:graphicData>
                  </a:graphic>
                </wp:inline>
              </w:drawing>
            </w:r>
          </w:p>
          <w:p w14:paraId="40612A0B" w14:textId="77777777" w:rsidR="00BE36FB" w:rsidRPr="009B7B35" w:rsidRDefault="00BE36FB" w:rsidP="001A7107">
            <w:pPr>
              <w:pStyle w:val="TableText"/>
              <w:rPr>
                <w:rFonts w:cs="Arial"/>
              </w:rPr>
            </w:pPr>
            <w:r w:rsidRPr="009B7B35">
              <w:rPr>
                <w:rFonts w:cs="Arial"/>
                <w:noProof/>
              </w:rPr>
              <w:drawing>
                <wp:inline distT="0" distB="0" distL="0" distR="0" wp14:anchorId="561F2434" wp14:editId="03BCC34C">
                  <wp:extent cx="2295525" cy="172402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00.JPG"/>
                          <pic:cNvPicPr/>
                        </pic:nvPicPr>
                        <pic:blipFill rotWithShape="1">
                          <a:blip r:embed="rId102" cstate="print">
                            <a:extLst>
                              <a:ext uri="{28A0092B-C50C-407E-A947-70E740481C1C}">
                                <a14:useLocalDpi xmlns:a14="http://schemas.microsoft.com/office/drawing/2010/main" val="0"/>
                              </a:ext>
                            </a:extLst>
                          </a:blip>
                          <a:srcRect l="21213" t="7117" r="2449" b="7007"/>
                          <a:stretch/>
                        </pic:blipFill>
                        <pic:spPr bwMode="auto">
                          <a:xfrm>
                            <a:off x="0" y="0"/>
                            <a:ext cx="2311326" cy="1735892"/>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6A96C5BB" w14:textId="77777777" w:rsidR="00BE36FB" w:rsidRPr="009B7B35" w:rsidRDefault="00BE36FB" w:rsidP="001A7107">
            <w:pPr>
              <w:rPr>
                <w:rFonts w:cs="Arial"/>
                <w:sz w:val="20"/>
                <w:szCs w:val="20"/>
              </w:rPr>
            </w:pPr>
            <w:r w:rsidRPr="009B7B35">
              <w:rPr>
                <w:rFonts w:cs="Arial"/>
                <w:sz w:val="20"/>
                <w:szCs w:val="20"/>
              </w:rPr>
              <w:t xml:space="preserve">A free standing or roof mounted advertising device located near or adjacent to a transport corridor for the purpose of advertising to the community.  </w:t>
            </w:r>
          </w:p>
        </w:tc>
      </w:tr>
    </w:tbl>
    <w:p w14:paraId="06453E37"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Description of urban and non-urban zones</w:t>
      </w:r>
    </w:p>
    <w:tbl>
      <w:tblPr>
        <w:tblStyle w:val="Tablestyle"/>
        <w:tblW w:w="0" w:type="auto"/>
        <w:tblLook w:val="0620" w:firstRow="1" w:lastRow="0" w:firstColumn="0" w:lastColumn="0" w:noHBand="1" w:noVBand="1"/>
      </w:tblPr>
      <w:tblGrid>
        <w:gridCol w:w="4188"/>
        <w:gridCol w:w="4175"/>
      </w:tblGrid>
      <w:tr w:rsidR="00BE36FB" w:rsidRPr="009B7B35" w14:paraId="0B802743"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29707F53" w14:textId="77777777" w:rsidR="00BE36FB" w:rsidRPr="009B7B35" w:rsidRDefault="00BE36FB" w:rsidP="001A7107">
            <w:pPr>
              <w:pStyle w:val="TableText"/>
              <w:rPr>
                <w:rFonts w:cs="Arial"/>
              </w:rPr>
            </w:pPr>
            <w:r w:rsidRPr="009B7B35">
              <w:rPr>
                <w:rFonts w:cs="Arial"/>
              </w:rPr>
              <w:t>Urban zone</w:t>
            </w:r>
          </w:p>
        </w:tc>
        <w:tc>
          <w:tcPr>
            <w:tcW w:w="4678" w:type="dxa"/>
          </w:tcPr>
          <w:p w14:paraId="5BD16798" w14:textId="77777777" w:rsidR="00BE36FB" w:rsidRPr="009B7B35" w:rsidRDefault="00BE36FB" w:rsidP="001A7107">
            <w:pPr>
              <w:pStyle w:val="TableText"/>
              <w:rPr>
                <w:rFonts w:cs="Arial"/>
              </w:rPr>
            </w:pPr>
            <w:r w:rsidRPr="009B7B35">
              <w:rPr>
                <w:rFonts w:cs="Arial"/>
              </w:rPr>
              <w:t xml:space="preserve">Non-urban zone </w:t>
            </w:r>
          </w:p>
        </w:tc>
      </w:tr>
      <w:tr w:rsidR="00BE36FB" w:rsidRPr="009B7B35" w14:paraId="53DE05C5" w14:textId="77777777" w:rsidTr="001A7107">
        <w:trPr>
          <w:cantSplit/>
        </w:trPr>
        <w:tc>
          <w:tcPr>
            <w:tcW w:w="4678" w:type="dxa"/>
          </w:tcPr>
          <w:p w14:paraId="4E6EDE2D" w14:textId="77777777" w:rsidR="00BE36FB" w:rsidRPr="009B7B35" w:rsidRDefault="00BE36FB" w:rsidP="001A7107">
            <w:pPr>
              <w:pStyle w:val="TableText"/>
              <w:rPr>
                <w:rFonts w:cs="Arial"/>
              </w:rPr>
            </w:pPr>
            <w:r w:rsidRPr="009B7B35">
              <w:rPr>
                <w:rFonts w:cs="Arial"/>
              </w:rPr>
              <w:t>Low density residential</w:t>
            </w:r>
          </w:p>
          <w:p w14:paraId="0E4E3DF7" w14:textId="77777777" w:rsidR="00BE36FB" w:rsidRPr="009B7B35" w:rsidRDefault="00BE36FB" w:rsidP="001A7107">
            <w:pPr>
              <w:pStyle w:val="TableText"/>
              <w:rPr>
                <w:rFonts w:cs="Arial"/>
              </w:rPr>
            </w:pPr>
            <w:r w:rsidRPr="009B7B35">
              <w:rPr>
                <w:rFonts w:cs="Arial"/>
              </w:rPr>
              <w:t>Low-medium density residential</w:t>
            </w:r>
          </w:p>
          <w:p w14:paraId="6AABE97F" w14:textId="77777777" w:rsidR="00BE36FB" w:rsidRPr="009B7B35" w:rsidRDefault="00BE36FB" w:rsidP="001A7107">
            <w:pPr>
              <w:pStyle w:val="TableText"/>
              <w:rPr>
                <w:rFonts w:cs="Arial"/>
              </w:rPr>
            </w:pPr>
            <w:r w:rsidRPr="009B7B35">
              <w:rPr>
                <w:rFonts w:cs="Arial"/>
              </w:rPr>
              <w:t>Medium density residential</w:t>
            </w:r>
          </w:p>
          <w:p w14:paraId="602992E3" w14:textId="77777777" w:rsidR="00BE36FB" w:rsidRPr="009B7B35" w:rsidRDefault="00BE36FB" w:rsidP="001A7107">
            <w:pPr>
              <w:pStyle w:val="TableText"/>
              <w:rPr>
                <w:rFonts w:cs="Arial"/>
              </w:rPr>
            </w:pPr>
            <w:r w:rsidRPr="009B7B35">
              <w:rPr>
                <w:rFonts w:cs="Arial"/>
              </w:rPr>
              <w:t>Centre</w:t>
            </w:r>
          </w:p>
          <w:p w14:paraId="35F501EE" w14:textId="77777777" w:rsidR="00BE36FB" w:rsidRPr="009B7B35" w:rsidRDefault="00BE36FB" w:rsidP="001A7107">
            <w:pPr>
              <w:pStyle w:val="TableText"/>
              <w:rPr>
                <w:rFonts w:cs="Arial"/>
              </w:rPr>
            </w:pPr>
            <w:r w:rsidRPr="009B7B35">
              <w:rPr>
                <w:rFonts w:cs="Arial"/>
              </w:rPr>
              <w:t>Community facilities</w:t>
            </w:r>
          </w:p>
          <w:p w14:paraId="1357DDC8" w14:textId="77777777" w:rsidR="00BE36FB" w:rsidRPr="009B7B35" w:rsidRDefault="00BE36FB" w:rsidP="001A7107">
            <w:pPr>
              <w:pStyle w:val="TableText"/>
              <w:rPr>
                <w:rFonts w:cs="Arial"/>
              </w:rPr>
            </w:pPr>
            <w:r w:rsidRPr="009B7B35">
              <w:rPr>
                <w:rFonts w:cs="Arial"/>
              </w:rPr>
              <w:t xml:space="preserve">Principal centre </w:t>
            </w:r>
          </w:p>
          <w:p w14:paraId="2CE3FEB9" w14:textId="77777777" w:rsidR="00BE36FB" w:rsidRPr="009B7B35" w:rsidRDefault="00BE36FB" w:rsidP="001A7107">
            <w:pPr>
              <w:pStyle w:val="TableText"/>
              <w:rPr>
                <w:rFonts w:cs="Arial"/>
              </w:rPr>
            </w:pPr>
            <w:r w:rsidRPr="009B7B35">
              <w:rPr>
                <w:rFonts w:cs="Arial"/>
              </w:rPr>
              <w:t>Neighbourhood centre</w:t>
            </w:r>
          </w:p>
          <w:p w14:paraId="41AFDA78" w14:textId="77777777" w:rsidR="00BE36FB" w:rsidRPr="009B7B35" w:rsidRDefault="00BE36FB" w:rsidP="001A7107">
            <w:pPr>
              <w:pStyle w:val="TableText"/>
              <w:rPr>
                <w:rFonts w:cs="Arial"/>
              </w:rPr>
            </w:pPr>
            <w:r w:rsidRPr="009B7B35">
              <w:rPr>
                <w:rFonts w:cs="Arial"/>
              </w:rPr>
              <w:t>Sport and recreation</w:t>
            </w:r>
          </w:p>
          <w:p w14:paraId="125D1094" w14:textId="77777777" w:rsidR="00BE36FB" w:rsidRPr="009B7B35" w:rsidRDefault="00BE36FB" w:rsidP="001A7107">
            <w:pPr>
              <w:pStyle w:val="TableText"/>
              <w:rPr>
                <w:rFonts w:cs="Arial"/>
              </w:rPr>
            </w:pPr>
            <w:r w:rsidRPr="009B7B35">
              <w:rPr>
                <w:rFonts w:cs="Arial"/>
              </w:rPr>
              <w:t xml:space="preserve">Low impact industry </w:t>
            </w:r>
          </w:p>
          <w:p w14:paraId="1751AF39" w14:textId="77777777" w:rsidR="00BE36FB" w:rsidRPr="009B7B35" w:rsidRDefault="00BE36FB" w:rsidP="001A7107">
            <w:pPr>
              <w:pStyle w:val="TableText"/>
              <w:rPr>
                <w:rFonts w:cs="Arial"/>
              </w:rPr>
            </w:pPr>
            <w:r w:rsidRPr="009B7B35">
              <w:rPr>
                <w:rFonts w:cs="Arial"/>
              </w:rPr>
              <w:t xml:space="preserve">Medium impact industry </w:t>
            </w:r>
          </w:p>
          <w:p w14:paraId="33BBCCB0" w14:textId="77777777" w:rsidR="00BE36FB" w:rsidRPr="009B7B35" w:rsidRDefault="00BE36FB" w:rsidP="001A7107">
            <w:pPr>
              <w:pStyle w:val="TableText"/>
              <w:rPr>
                <w:rFonts w:cs="Arial"/>
              </w:rPr>
            </w:pPr>
            <w:r w:rsidRPr="009B7B35">
              <w:rPr>
                <w:rFonts w:cs="Arial"/>
              </w:rPr>
              <w:t xml:space="preserve">Special industry </w:t>
            </w:r>
          </w:p>
          <w:p w14:paraId="46A85181" w14:textId="77777777" w:rsidR="00BE36FB" w:rsidRPr="009B7B35" w:rsidRDefault="00BE36FB" w:rsidP="001A7107">
            <w:pPr>
              <w:pStyle w:val="TableText"/>
              <w:rPr>
                <w:rFonts w:cs="Arial"/>
              </w:rPr>
            </w:pPr>
            <w:r w:rsidRPr="009B7B35">
              <w:rPr>
                <w:rFonts w:cs="Arial"/>
              </w:rPr>
              <w:t xml:space="preserve">Major tourism </w:t>
            </w:r>
          </w:p>
          <w:p w14:paraId="424BAC56" w14:textId="77777777" w:rsidR="00BE36FB" w:rsidRPr="009B7B35" w:rsidRDefault="00BE36FB" w:rsidP="001A7107">
            <w:pPr>
              <w:pStyle w:val="TableText"/>
              <w:rPr>
                <w:rFonts w:cs="Arial"/>
              </w:rPr>
            </w:pPr>
            <w:r w:rsidRPr="009B7B35">
              <w:rPr>
                <w:rFonts w:cs="Arial"/>
              </w:rPr>
              <w:t xml:space="preserve">Minor tourism </w:t>
            </w:r>
          </w:p>
          <w:p w14:paraId="6C1F3D5A" w14:textId="77777777" w:rsidR="00BE36FB" w:rsidRPr="009B7B35" w:rsidRDefault="00BE36FB" w:rsidP="001A7107">
            <w:pPr>
              <w:pStyle w:val="TableText"/>
              <w:rPr>
                <w:rFonts w:cs="Arial"/>
              </w:rPr>
            </w:pPr>
            <w:r w:rsidRPr="009B7B35">
              <w:rPr>
                <w:rFonts w:cs="Arial"/>
              </w:rPr>
              <w:t>Mixed use</w:t>
            </w:r>
          </w:p>
          <w:p w14:paraId="058184EF" w14:textId="77777777" w:rsidR="00BE36FB" w:rsidRPr="009B7B35" w:rsidRDefault="00BE36FB" w:rsidP="001A7107">
            <w:pPr>
              <w:pStyle w:val="TableText"/>
              <w:rPr>
                <w:rFonts w:cs="Arial"/>
              </w:rPr>
            </w:pPr>
            <w:r w:rsidRPr="009B7B35">
              <w:rPr>
                <w:rFonts w:cs="Arial"/>
              </w:rPr>
              <w:t>Specialised centre</w:t>
            </w:r>
          </w:p>
          <w:p w14:paraId="54D57334" w14:textId="77777777" w:rsidR="00BE36FB" w:rsidRPr="009B7B35" w:rsidRDefault="00BE36FB" w:rsidP="001A7107">
            <w:pPr>
              <w:pStyle w:val="TableText"/>
              <w:rPr>
                <w:rFonts w:cs="Arial"/>
              </w:rPr>
            </w:pPr>
            <w:r w:rsidRPr="009B7B35">
              <w:rPr>
                <w:rFonts w:cs="Arial"/>
              </w:rPr>
              <w:t>Township</w:t>
            </w:r>
          </w:p>
        </w:tc>
        <w:tc>
          <w:tcPr>
            <w:tcW w:w="4678" w:type="dxa"/>
          </w:tcPr>
          <w:p w14:paraId="1BB17C71" w14:textId="77777777" w:rsidR="00BE36FB" w:rsidRPr="009B7B35" w:rsidRDefault="00BE36FB" w:rsidP="001A7107">
            <w:pPr>
              <w:rPr>
                <w:rFonts w:cs="Arial"/>
                <w:sz w:val="20"/>
                <w:szCs w:val="20"/>
              </w:rPr>
            </w:pPr>
            <w:r w:rsidRPr="009B7B35">
              <w:rPr>
                <w:rFonts w:cs="Arial"/>
                <w:sz w:val="20"/>
                <w:szCs w:val="20"/>
              </w:rPr>
              <w:t xml:space="preserve">Character residential </w:t>
            </w:r>
          </w:p>
          <w:p w14:paraId="02FFB9C5" w14:textId="77777777" w:rsidR="00BE36FB" w:rsidRPr="009B7B35" w:rsidRDefault="00BE36FB" w:rsidP="001A7107">
            <w:pPr>
              <w:rPr>
                <w:rFonts w:cs="Arial"/>
                <w:sz w:val="20"/>
                <w:szCs w:val="20"/>
              </w:rPr>
            </w:pPr>
            <w:r w:rsidRPr="009B7B35">
              <w:rPr>
                <w:rFonts w:cs="Arial"/>
                <w:sz w:val="20"/>
                <w:szCs w:val="20"/>
              </w:rPr>
              <w:t>Open space</w:t>
            </w:r>
          </w:p>
          <w:p w14:paraId="27866F51" w14:textId="77777777" w:rsidR="00BE36FB" w:rsidRPr="009B7B35" w:rsidRDefault="00BE36FB" w:rsidP="001A7107">
            <w:pPr>
              <w:rPr>
                <w:rFonts w:cs="Arial"/>
                <w:sz w:val="20"/>
                <w:szCs w:val="20"/>
              </w:rPr>
            </w:pPr>
            <w:r w:rsidRPr="009B7B35">
              <w:rPr>
                <w:rFonts w:cs="Arial"/>
                <w:sz w:val="20"/>
                <w:szCs w:val="20"/>
              </w:rPr>
              <w:t xml:space="preserve">Environmental management </w:t>
            </w:r>
          </w:p>
          <w:p w14:paraId="6B694B78" w14:textId="77777777" w:rsidR="00BE36FB" w:rsidRPr="009B7B35" w:rsidRDefault="00BE36FB" w:rsidP="001A7107">
            <w:pPr>
              <w:rPr>
                <w:rFonts w:cs="Arial"/>
                <w:sz w:val="20"/>
                <w:szCs w:val="20"/>
              </w:rPr>
            </w:pPr>
            <w:r w:rsidRPr="009B7B35">
              <w:rPr>
                <w:rFonts w:cs="Arial"/>
                <w:sz w:val="20"/>
                <w:szCs w:val="20"/>
              </w:rPr>
              <w:t>Conservation</w:t>
            </w:r>
          </w:p>
          <w:p w14:paraId="418131A8" w14:textId="77777777" w:rsidR="00BE36FB" w:rsidRPr="009B7B35" w:rsidRDefault="00BE36FB" w:rsidP="001A7107">
            <w:pPr>
              <w:rPr>
                <w:rFonts w:cs="Arial"/>
                <w:sz w:val="20"/>
                <w:szCs w:val="20"/>
              </w:rPr>
            </w:pPr>
            <w:r w:rsidRPr="009B7B35">
              <w:rPr>
                <w:rFonts w:cs="Arial"/>
                <w:sz w:val="20"/>
                <w:szCs w:val="20"/>
              </w:rPr>
              <w:t xml:space="preserve">Industry investigation </w:t>
            </w:r>
          </w:p>
          <w:p w14:paraId="145AC5A3" w14:textId="77777777" w:rsidR="00BE36FB" w:rsidRPr="009B7B35" w:rsidRDefault="00BE36FB" w:rsidP="001A7107">
            <w:pPr>
              <w:rPr>
                <w:rFonts w:cs="Arial"/>
                <w:sz w:val="20"/>
                <w:szCs w:val="20"/>
              </w:rPr>
            </w:pPr>
            <w:r w:rsidRPr="009B7B35">
              <w:rPr>
                <w:rFonts w:cs="Arial"/>
                <w:sz w:val="20"/>
                <w:szCs w:val="20"/>
              </w:rPr>
              <w:t>Emerging community</w:t>
            </w:r>
          </w:p>
          <w:p w14:paraId="795CBC41" w14:textId="77777777" w:rsidR="00BE36FB" w:rsidRPr="009B7B35" w:rsidRDefault="00BE36FB" w:rsidP="001A7107">
            <w:pPr>
              <w:rPr>
                <w:rFonts w:cs="Arial"/>
                <w:sz w:val="20"/>
                <w:szCs w:val="20"/>
              </w:rPr>
            </w:pPr>
            <w:r w:rsidRPr="009B7B35">
              <w:rPr>
                <w:rFonts w:cs="Arial"/>
                <w:sz w:val="20"/>
                <w:szCs w:val="20"/>
              </w:rPr>
              <w:t>Limited development</w:t>
            </w:r>
          </w:p>
          <w:p w14:paraId="75AEF2BC" w14:textId="77777777" w:rsidR="00BE36FB" w:rsidRPr="009B7B35" w:rsidRDefault="00BE36FB" w:rsidP="001A7107">
            <w:pPr>
              <w:rPr>
                <w:rFonts w:cs="Arial"/>
                <w:sz w:val="20"/>
                <w:szCs w:val="20"/>
              </w:rPr>
            </w:pPr>
            <w:r w:rsidRPr="009B7B35">
              <w:rPr>
                <w:rFonts w:cs="Arial"/>
                <w:sz w:val="20"/>
                <w:szCs w:val="20"/>
              </w:rPr>
              <w:t xml:space="preserve">Rural </w:t>
            </w:r>
          </w:p>
          <w:p w14:paraId="53A31081" w14:textId="77777777" w:rsidR="00BE36FB" w:rsidRPr="009B7B35" w:rsidRDefault="00BE36FB" w:rsidP="001A7107">
            <w:pPr>
              <w:rPr>
                <w:rFonts w:cs="Arial"/>
                <w:sz w:val="20"/>
                <w:szCs w:val="20"/>
              </w:rPr>
            </w:pPr>
            <w:r w:rsidRPr="009B7B35">
              <w:rPr>
                <w:rFonts w:cs="Arial"/>
                <w:sz w:val="20"/>
                <w:szCs w:val="20"/>
              </w:rPr>
              <w:t xml:space="preserve">Rural residential </w:t>
            </w:r>
          </w:p>
          <w:p w14:paraId="31BD0898" w14:textId="77777777" w:rsidR="00BE36FB" w:rsidRPr="009B7B35" w:rsidRDefault="00BE36FB" w:rsidP="001A7107">
            <w:pPr>
              <w:rPr>
                <w:rFonts w:cs="Arial"/>
                <w:sz w:val="20"/>
                <w:szCs w:val="20"/>
              </w:rPr>
            </w:pPr>
            <w:r w:rsidRPr="009B7B35">
              <w:rPr>
                <w:rFonts w:cs="Arial"/>
                <w:sz w:val="20"/>
                <w:szCs w:val="20"/>
              </w:rPr>
              <w:t>Special purpose</w:t>
            </w:r>
          </w:p>
          <w:p w14:paraId="3BFF7FFE" w14:textId="77777777" w:rsidR="00BE36FB" w:rsidRPr="009B7B35" w:rsidRDefault="00BE36FB" w:rsidP="001A7107">
            <w:pPr>
              <w:rPr>
                <w:rFonts w:cs="Arial"/>
                <w:sz w:val="20"/>
                <w:szCs w:val="20"/>
              </w:rPr>
            </w:pPr>
          </w:p>
        </w:tc>
      </w:tr>
    </w:tbl>
    <w:p w14:paraId="07902FE2" w14:textId="77777777" w:rsidR="00BE36FB" w:rsidRPr="009B7B35" w:rsidRDefault="00BE36FB" w:rsidP="001A7107">
      <w:pPr>
        <w:pStyle w:val="Notesbullet"/>
        <w:numPr>
          <w:ilvl w:val="0"/>
          <w:numId w:val="0"/>
        </w:numPr>
        <w:rPr>
          <w:rFonts w:cs="Arial"/>
          <w:sz w:val="20"/>
          <w:szCs w:val="20"/>
        </w:rPr>
      </w:pPr>
    </w:p>
    <w:p w14:paraId="4189B85C" w14:textId="77777777" w:rsidR="00BE36FB" w:rsidRPr="009B7B35" w:rsidRDefault="00BE36FB" w:rsidP="001A7107">
      <w:pPr>
        <w:pStyle w:val="Notesbullet"/>
        <w:numPr>
          <w:ilvl w:val="0"/>
          <w:numId w:val="0"/>
        </w:numPr>
        <w:rPr>
          <w:rFonts w:cs="Arial"/>
          <w:sz w:val="20"/>
          <w:szCs w:val="20"/>
        </w:rPr>
      </w:pPr>
      <w:r w:rsidRPr="009B7B35">
        <w:rPr>
          <w:rFonts w:cs="Arial"/>
          <w:sz w:val="20"/>
          <w:szCs w:val="20"/>
        </w:rPr>
        <w:t xml:space="preserve">Note - Table 9.3.1.4 is only to be used in conjunction with the Advertising devices code and is not to be used for assessment with any other code of the planning scheme. </w:t>
      </w:r>
    </w:p>
    <w:p w14:paraId="5B72714B"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50713C36" w14:textId="77777777" w:rsidR="00BE36FB" w:rsidRPr="009B7B35" w:rsidRDefault="00BE36FB" w:rsidP="001A7107">
      <w:pPr>
        <w:pStyle w:val="Heading5"/>
        <w:numPr>
          <w:ilvl w:val="0"/>
          <w:numId w:val="0"/>
        </w:numPr>
        <w:rPr>
          <w:rFonts w:cs="Arial"/>
          <w:szCs w:val="20"/>
        </w:rPr>
      </w:pPr>
      <w:r w:rsidRPr="009B7B35">
        <w:rPr>
          <w:rFonts w:cs="Arial"/>
          <w:szCs w:val="20"/>
        </w:rPr>
        <w:t>Table 9.3.1.5.1— Accepted development subject to requirements and assessable development</w:t>
      </w:r>
    </w:p>
    <w:tbl>
      <w:tblPr>
        <w:tblStyle w:val="Tablestyle"/>
        <w:tblW w:w="0" w:type="auto"/>
        <w:tblLook w:val="0620" w:firstRow="1" w:lastRow="0" w:firstColumn="0" w:lastColumn="0" w:noHBand="1" w:noVBand="1"/>
      </w:tblPr>
      <w:tblGrid>
        <w:gridCol w:w="4222"/>
        <w:gridCol w:w="4141"/>
      </w:tblGrid>
      <w:tr w:rsidR="00BE36FB" w:rsidRPr="009B7B35" w14:paraId="38B30152"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231FC806" w14:textId="77777777" w:rsidR="00BE36FB" w:rsidRPr="009B7B35" w:rsidRDefault="00BE36FB" w:rsidP="001A7107">
            <w:pPr>
              <w:pStyle w:val="TableText"/>
              <w:rPr>
                <w:rFonts w:cs="Arial"/>
              </w:rPr>
            </w:pPr>
            <w:r w:rsidRPr="009B7B35">
              <w:rPr>
                <w:rFonts w:cs="Arial"/>
              </w:rPr>
              <w:t>Performance outcomes</w:t>
            </w:r>
          </w:p>
        </w:tc>
        <w:tc>
          <w:tcPr>
            <w:tcW w:w="4678" w:type="dxa"/>
          </w:tcPr>
          <w:p w14:paraId="154950F2" w14:textId="77777777" w:rsidR="00BE36FB" w:rsidRPr="009B7B35" w:rsidRDefault="00BE36FB" w:rsidP="001A7107">
            <w:pPr>
              <w:pStyle w:val="TableText"/>
              <w:rPr>
                <w:rFonts w:cs="Arial"/>
              </w:rPr>
            </w:pPr>
            <w:r w:rsidRPr="009B7B35">
              <w:rPr>
                <w:rFonts w:cs="Arial"/>
              </w:rPr>
              <w:t>Acceptable outcomes</w:t>
            </w:r>
          </w:p>
        </w:tc>
      </w:tr>
      <w:tr w:rsidR="00BE36FB" w:rsidRPr="009B7B35" w14:paraId="1A2EAD40" w14:textId="77777777" w:rsidTr="001A7107">
        <w:trPr>
          <w:cantSplit/>
        </w:trPr>
        <w:tc>
          <w:tcPr>
            <w:tcW w:w="9356" w:type="dxa"/>
            <w:gridSpan w:val="2"/>
            <w:shd w:val="clear" w:color="auto" w:fill="BFBFBF" w:themeFill="background1" w:themeFillShade="BF"/>
          </w:tcPr>
          <w:p w14:paraId="4646837A"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Character and amenity  </w:t>
            </w:r>
          </w:p>
        </w:tc>
      </w:tr>
      <w:tr w:rsidR="00BE36FB" w:rsidRPr="009B7B35" w14:paraId="3F2E7589" w14:textId="77777777" w:rsidTr="001A7107">
        <w:trPr>
          <w:cantSplit/>
        </w:trPr>
        <w:tc>
          <w:tcPr>
            <w:tcW w:w="4678" w:type="dxa"/>
          </w:tcPr>
          <w:p w14:paraId="0BB92022" w14:textId="77777777" w:rsidR="00BE36FB" w:rsidRPr="009B7B35" w:rsidRDefault="00BE36FB" w:rsidP="001A7107">
            <w:pPr>
              <w:pStyle w:val="TableText"/>
              <w:rPr>
                <w:rFonts w:cs="Arial"/>
              </w:rPr>
            </w:pPr>
            <w:r w:rsidRPr="009B7B35">
              <w:rPr>
                <w:rFonts w:cs="Arial"/>
                <w:b/>
              </w:rPr>
              <w:t>PO1</w:t>
            </w:r>
          </w:p>
          <w:p w14:paraId="58126E73" w14:textId="77777777" w:rsidR="00BE36FB" w:rsidRPr="009B7B35" w:rsidRDefault="00BE36FB" w:rsidP="001A7107">
            <w:pPr>
              <w:pStyle w:val="TableText"/>
              <w:rPr>
                <w:rFonts w:cs="Arial"/>
              </w:rPr>
            </w:pPr>
            <w:r w:rsidRPr="009B7B35">
              <w:rPr>
                <w:rFonts w:cs="Arial"/>
              </w:rPr>
              <w:t>The advertising device is designed and sited in a manner that:</w:t>
            </w:r>
          </w:p>
          <w:p w14:paraId="56241129" w14:textId="77777777" w:rsidR="00BE36FB" w:rsidRPr="009B7B35" w:rsidRDefault="00BE36FB" w:rsidP="00BE36FB">
            <w:pPr>
              <w:pStyle w:val="TableText"/>
              <w:numPr>
                <w:ilvl w:val="0"/>
                <w:numId w:val="817"/>
              </w:numPr>
              <w:rPr>
                <w:rFonts w:cs="Arial"/>
              </w:rPr>
            </w:pPr>
            <w:r w:rsidRPr="009B7B35">
              <w:rPr>
                <w:rFonts w:cs="Arial"/>
              </w:rPr>
              <w:t>results in a size that does not adversely impact on:</w:t>
            </w:r>
          </w:p>
          <w:p w14:paraId="40B33480" w14:textId="77777777" w:rsidR="00BE36FB" w:rsidRPr="009B7B35" w:rsidRDefault="00BE36FB" w:rsidP="00BE36FB">
            <w:pPr>
              <w:pStyle w:val="TableText"/>
              <w:numPr>
                <w:ilvl w:val="1"/>
                <w:numId w:val="27"/>
              </w:numPr>
              <w:rPr>
                <w:rFonts w:cs="Arial"/>
              </w:rPr>
            </w:pPr>
            <w:r w:rsidRPr="009B7B35">
              <w:rPr>
                <w:rFonts w:cs="Arial"/>
              </w:rPr>
              <w:t>the visual amenity of a building, streetscape, locality or natural landscape setting</w:t>
            </w:r>
          </w:p>
          <w:p w14:paraId="35F1EDD7" w14:textId="77777777" w:rsidR="00BE36FB" w:rsidRPr="009B7B35" w:rsidRDefault="00BE36FB" w:rsidP="00BE36FB">
            <w:pPr>
              <w:pStyle w:val="TableText"/>
              <w:numPr>
                <w:ilvl w:val="1"/>
                <w:numId w:val="27"/>
              </w:numPr>
              <w:rPr>
                <w:rFonts w:cs="Arial"/>
              </w:rPr>
            </w:pPr>
            <w:r w:rsidRPr="009B7B35">
              <w:rPr>
                <w:rFonts w:cs="Arial"/>
              </w:rPr>
              <w:t xml:space="preserve">the visual amenity of a main transport entrance into an urban area or township, and </w:t>
            </w:r>
          </w:p>
          <w:p w14:paraId="1D3E14B1" w14:textId="77777777" w:rsidR="00BE36FB" w:rsidRPr="009B7B35" w:rsidRDefault="00BE36FB" w:rsidP="00BE36FB">
            <w:pPr>
              <w:numPr>
                <w:ilvl w:val="0"/>
                <w:numId w:val="27"/>
              </w:numPr>
              <w:rPr>
                <w:rFonts w:cs="Arial"/>
                <w:sz w:val="20"/>
                <w:szCs w:val="20"/>
              </w:rPr>
            </w:pPr>
            <w:r w:rsidRPr="009B7B35">
              <w:rPr>
                <w:rFonts w:cs="Arial"/>
                <w:sz w:val="20"/>
                <w:szCs w:val="20"/>
              </w:rPr>
              <w:t>is integrated with the design of other development on premises</w:t>
            </w:r>
          </w:p>
          <w:p w14:paraId="71AC9DFE" w14:textId="77777777" w:rsidR="00BE36FB" w:rsidRPr="009B7B35" w:rsidRDefault="00BE36FB" w:rsidP="00BE36FB">
            <w:pPr>
              <w:numPr>
                <w:ilvl w:val="0"/>
                <w:numId w:val="27"/>
              </w:numPr>
              <w:rPr>
                <w:rFonts w:cs="Arial"/>
                <w:sz w:val="20"/>
                <w:szCs w:val="20"/>
              </w:rPr>
            </w:pPr>
            <w:r w:rsidRPr="009B7B35">
              <w:rPr>
                <w:rFonts w:cs="Arial"/>
                <w:sz w:val="20"/>
                <w:szCs w:val="20"/>
              </w:rPr>
              <w:t>does not visually dominate the premises, streetscape, locality or natural landscape setting</w:t>
            </w:r>
          </w:p>
          <w:p w14:paraId="0636155C" w14:textId="77777777" w:rsidR="00BE36FB" w:rsidRPr="009B7B35" w:rsidRDefault="00BE36FB" w:rsidP="00BE36FB">
            <w:pPr>
              <w:numPr>
                <w:ilvl w:val="0"/>
                <w:numId w:val="27"/>
              </w:numPr>
              <w:rPr>
                <w:rFonts w:cs="Arial"/>
                <w:sz w:val="20"/>
                <w:szCs w:val="20"/>
              </w:rPr>
            </w:pPr>
            <w:r w:rsidRPr="009B7B35">
              <w:rPr>
                <w:rFonts w:cs="Arial"/>
                <w:sz w:val="20"/>
                <w:szCs w:val="20"/>
              </w:rPr>
              <w:t xml:space="preserve">does not resemble traffic or road signs, and </w:t>
            </w:r>
          </w:p>
          <w:p w14:paraId="63DE161A" w14:textId="77777777" w:rsidR="00BE36FB" w:rsidRPr="009B7B35" w:rsidRDefault="00BE36FB" w:rsidP="00BE36FB">
            <w:pPr>
              <w:numPr>
                <w:ilvl w:val="0"/>
                <w:numId w:val="27"/>
              </w:numPr>
              <w:rPr>
                <w:rFonts w:cs="Arial"/>
                <w:sz w:val="20"/>
                <w:szCs w:val="20"/>
              </w:rPr>
            </w:pPr>
            <w:r w:rsidRPr="009B7B35">
              <w:rPr>
                <w:rFonts w:cs="Arial"/>
                <w:sz w:val="20"/>
                <w:szCs w:val="20"/>
              </w:rPr>
              <w:t>are separated by distance so that the character and amenity of the locality and existing view and vista corridors are not adversely impacted.</w:t>
            </w:r>
          </w:p>
        </w:tc>
        <w:tc>
          <w:tcPr>
            <w:tcW w:w="4678" w:type="dxa"/>
          </w:tcPr>
          <w:p w14:paraId="5A02DFAD"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AO1.1</w:t>
            </w:r>
          </w:p>
          <w:p w14:paraId="3B4BCFD5" w14:textId="77777777" w:rsidR="00BE36FB" w:rsidRPr="009B7B35" w:rsidRDefault="00BE36FB" w:rsidP="001A7107">
            <w:pPr>
              <w:pStyle w:val="TableText"/>
              <w:rPr>
                <w:rFonts w:cs="Arial"/>
              </w:rPr>
            </w:pPr>
            <w:r w:rsidRPr="009B7B35">
              <w:rPr>
                <w:rFonts w:cs="Arial"/>
              </w:rPr>
              <w:t xml:space="preserve">Advertising devices do not exceed 8.5m in height from natural ground level in an urban zone and no greater than the permissible building height in a non-urban zone. </w:t>
            </w:r>
          </w:p>
          <w:p w14:paraId="6670EC01" w14:textId="77777777" w:rsidR="00BE36FB" w:rsidRPr="009B7B35" w:rsidRDefault="00BE36FB" w:rsidP="001A7107">
            <w:pPr>
              <w:pStyle w:val="TableText"/>
              <w:rPr>
                <w:rFonts w:cs="Arial"/>
              </w:rPr>
            </w:pPr>
          </w:p>
          <w:p w14:paraId="151AC319" w14:textId="77777777" w:rsidR="00BE36FB" w:rsidRPr="009B7B35" w:rsidRDefault="00BE36FB" w:rsidP="001A7107">
            <w:pPr>
              <w:rPr>
                <w:rStyle w:val="Strong"/>
                <w:rFonts w:eastAsiaTheme="majorEastAsia" w:cs="Arial"/>
                <w:sz w:val="20"/>
                <w:szCs w:val="20"/>
              </w:rPr>
            </w:pPr>
            <w:r w:rsidRPr="009B7B35">
              <w:rPr>
                <w:rStyle w:val="Strong"/>
                <w:rFonts w:eastAsiaTheme="majorEastAsia" w:cs="Arial"/>
                <w:sz w:val="20"/>
                <w:szCs w:val="20"/>
              </w:rPr>
              <w:t xml:space="preserve">AO1.2 </w:t>
            </w:r>
          </w:p>
          <w:p w14:paraId="3EBB5CAA" w14:textId="77777777" w:rsidR="00BE36FB" w:rsidRPr="009B7B35" w:rsidRDefault="00BE36FB" w:rsidP="001A7107">
            <w:pPr>
              <w:rPr>
                <w:rFonts w:cs="Arial"/>
                <w:sz w:val="20"/>
                <w:szCs w:val="20"/>
              </w:rPr>
            </w:pPr>
            <w:r w:rsidRPr="009B7B35">
              <w:rPr>
                <w:rFonts w:cs="Arial"/>
                <w:sz w:val="20"/>
                <w:szCs w:val="20"/>
              </w:rPr>
              <w:t xml:space="preserve">On premises advertising device do not exceed more than 10% of the total building façade where in a non-urban zone. </w:t>
            </w:r>
          </w:p>
          <w:p w14:paraId="34DEC3A5" w14:textId="77777777" w:rsidR="00BE36FB" w:rsidRPr="009B7B35" w:rsidRDefault="00BE36FB" w:rsidP="001A7107">
            <w:pPr>
              <w:rPr>
                <w:rFonts w:cs="Arial"/>
                <w:sz w:val="20"/>
                <w:szCs w:val="20"/>
              </w:rPr>
            </w:pPr>
          </w:p>
          <w:p w14:paraId="61045B45" w14:textId="77777777" w:rsidR="00BE36FB" w:rsidRPr="009B7B35" w:rsidRDefault="00BE36FB" w:rsidP="001A7107">
            <w:pPr>
              <w:rPr>
                <w:rStyle w:val="Strong"/>
                <w:rFonts w:eastAsiaTheme="majorEastAsia" w:cs="Arial"/>
                <w:b w:val="0"/>
                <w:bCs w:val="0"/>
                <w:sz w:val="20"/>
                <w:szCs w:val="20"/>
              </w:rPr>
            </w:pPr>
            <w:r w:rsidRPr="009B7B35">
              <w:rPr>
                <w:rFonts w:cs="Arial"/>
                <w:sz w:val="20"/>
                <w:szCs w:val="20"/>
              </w:rPr>
              <w:t>OR</w:t>
            </w:r>
          </w:p>
          <w:p w14:paraId="7F2E4718" w14:textId="77777777" w:rsidR="00BE36FB" w:rsidRPr="009B7B35" w:rsidRDefault="00BE36FB" w:rsidP="001A7107">
            <w:pPr>
              <w:rPr>
                <w:rStyle w:val="Strong"/>
                <w:rFonts w:eastAsiaTheme="majorEastAsia" w:cs="Arial"/>
                <w:sz w:val="20"/>
                <w:szCs w:val="20"/>
              </w:rPr>
            </w:pPr>
          </w:p>
          <w:p w14:paraId="2D6A6C8A" w14:textId="77777777" w:rsidR="00BE36FB" w:rsidRPr="009B7B35" w:rsidRDefault="00BE36FB" w:rsidP="001A7107">
            <w:pPr>
              <w:rPr>
                <w:rStyle w:val="Strong"/>
                <w:rFonts w:eastAsiaTheme="majorEastAsia" w:cs="Arial"/>
                <w:sz w:val="20"/>
                <w:szCs w:val="20"/>
              </w:rPr>
            </w:pPr>
            <w:r w:rsidRPr="009B7B35">
              <w:rPr>
                <w:rStyle w:val="Strong"/>
                <w:rFonts w:eastAsiaTheme="majorEastAsia" w:cs="Arial"/>
                <w:sz w:val="20"/>
                <w:szCs w:val="20"/>
              </w:rPr>
              <w:t xml:space="preserve">AO1.3 </w:t>
            </w:r>
          </w:p>
          <w:p w14:paraId="66D2B7AE" w14:textId="77777777" w:rsidR="00BE36FB" w:rsidRPr="009B7B35" w:rsidRDefault="00BE36FB" w:rsidP="001A7107">
            <w:pPr>
              <w:rPr>
                <w:rFonts w:cs="Arial"/>
                <w:sz w:val="20"/>
                <w:szCs w:val="20"/>
              </w:rPr>
            </w:pPr>
            <w:r w:rsidRPr="009B7B35">
              <w:rPr>
                <w:rFonts w:cs="Arial"/>
                <w:sz w:val="20"/>
                <w:szCs w:val="20"/>
              </w:rPr>
              <w:t>On premises advertising device do not exceed more than 30% of the total building façade where in a urban zone.</w:t>
            </w:r>
          </w:p>
          <w:p w14:paraId="3CDD8E57" w14:textId="77777777" w:rsidR="00BE36FB" w:rsidRPr="009B7B35" w:rsidRDefault="00BE36FB" w:rsidP="001A7107">
            <w:pPr>
              <w:rPr>
                <w:rStyle w:val="Strong"/>
                <w:rFonts w:eastAsiaTheme="majorEastAsia" w:cs="Arial"/>
                <w:sz w:val="20"/>
                <w:szCs w:val="20"/>
              </w:rPr>
            </w:pPr>
          </w:p>
          <w:p w14:paraId="1AAA6A50" w14:textId="77777777" w:rsidR="00BE36FB" w:rsidRPr="009B7B35" w:rsidRDefault="00BE36FB" w:rsidP="001A7107">
            <w:pPr>
              <w:rPr>
                <w:rStyle w:val="Strong"/>
                <w:rFonts w:eastAsiaTheme="majorEastAsia" w:cs="Arial"/>
                <w:sz w:val="20"/>
                <w:szCs w:val="20"/>
              </w:rPr>
            </w:pPr>
            <w:r w:rsidRPr="009B7B35">
              <w:rPr>
                <w:rStyle w:val="Strong"/>
                <w:rFonts w:eastAsiaTheme="majorEastAsia" w:cs="Arial"/>
                <w:sz w:val="20"/>
                <w:szCs w:val="20"/>
              </w:rPr>
              <w:t>AO1.4</w:t>
            </w:r>
          </w:p>
          <w:p w14:paraId="16BD3636" w14:textId="77777777" w:rsidR="00BE36FB" w:rsidRPr="009B7B35" w:rsidRDefault="00BE36FB" w:rsidP="001A7107">
            <w:pPr>
              <w:rPr>
                <w:rStyle w:val="Strong"/>
                <w:rFonts w:eastAsiaTheme="majorEastAsia" w:cs="Arial"/>
                <w:sz w:val="20"/>
                <w:szCs w:val="20"/>
              </w:rPr>
            </w:pPr>
            <w:r w:rsidRPr="009B7B35">
              <w:rPr>
                <w:rFonts w:cs="Arial"/>
                <w:sz w:val="20"/>
                <w:szCs w:val="20"/>
              </w:rPr>
              <w:t>Transport corridor advertising device do not exceed a maximum face area of 48m</w:t>
            </w:r>
            <w:r w:rsidRPr="009B7B35">
              <w:rPr>
                <w:rFonts w:cs="Arial"/>
                <w:sz w:val="20"/>
                <w:szCs w:val="20"/>
                <w:vertAlign w:val="superscript"/>
              </w:rPr>
              <w:t>2</w:t>
            </w:r>
            <w:r w:rsidRPr="009B7B35">
              <w:rPr>
                <w:rFonts w:cs="Arial"/>
                <w:sz w:val="20"/>
                <w:szCs w:val="20"/>
              </w:rPr>
              <w:t xml:space="preserve"> per advertising device.  </w:t>
            </w:r>
          </w:p>
          <w:p w14:paraId="73D58377" w14:textId="77777777" w:rsidR="00BE36FB" w:rsidRPr="009B7B35" w:rsidRDefault="00BE36FB" w:rsidP="001A7107">
            <w:pPr>
              <w:rPr>
                <w:rStyle w:val="Strong"/>
                <w:rFonts w:eastAsiaTheme="majorEastAsia" w:cs="Arial"/>
                <w:sz w:val="20"/>
                <w:szCs w:val="20"/>
              </w:rPr>
            </w:pPr>
          </w:p>
          <w:p w14:paraId="612161DE" w14:textId="77777777" w:rsidR="00BE36FB" w:rsidRPr="009B7B35" w:rsidRDefault="00BE36FB" w:rsidP="001A7107">
            <w:pPr>
              <w:rPr>
                <w:rStyle w:val="Strong"/>
                <w:rFonts w:eastAsiaTheme="majorEastAsia" w:cs="Arial"/>
                <w:sz w:val="20"/>
                <w:szCs w:val="20"/>
              </w:rPr>
            </w:pPr>
            <w:r w:rsidRPr="009B7B35">
              <w:rPr>
                <w:rStyle w:val="Strong"/>
                <w:rFonts w:eastAsiaTheme="majorEastAsia" w:cs="Arial"/>
                <w:sz w:val="20"/>
                <w:szCs w:val="20"/>
              </w:rPr>
              <w:t>AO1.5</w:t>
            </w:r>
          </w:p>
          <w:p w14:paraId="58B46261" w14:textId="77777777" w:rsidR="00BE36FB" w:rsidRPr="009B7B35" w:rsidRDefault="00BE36FB" w:rsidP="001A7107">
            <w:pPr>
              <w:rPr>
                <w:rFonts w:cs="Arial"/>
                <w:sz w:val="20"/>
                <w:szCs w:val="20"/>
              </w:rPr>
            </w:pPr>
            <w:r w:rsidRPr="009B7B35">
              <w:rPr>
                <w:rFonts w:cs="Arial"/>
                <w:sz w:val="20"/>
                <w:szCs w:val="20"/>
              </w:rPr>
              <w:t xml:space="preserve">Transport corridor advertising devices, are located a minimum distance of at least 800 meters from any other existing or approved advertising device where in a non-urban zone. </w:t>
            </w:r>
          </w:p>
          <w:p w14:paraId="1B2F1030" w14:textId="77777777" w:rsidR="00BE36FB" w:rsidRPr="009B7B35" w:rsidRDefault="00BE36FB" w:rsidP="001A7107">
            <w:pPr>
              <w:rPr>
                <w:rFonts w:cs="Arial"/>
                <w:sz w:val="20"/>
                <w:szCs w:val="20"/>
              </w:rPr>
            </w:pPr>
          </w:p>
          <w:p w14:paraId="778CB8F5" w14:textId="77777777" w:rsidR="00BE36FB" w:rsidRPr="009B7B35" w:rsidRDefault="00BE36FB" w:rsidP="001A7107">
            <w:pPr>
              <w:rPr>
                <w:rFonts w:cs="Arial"/>
                <w:sz w:val="20"/>
                <w:szCs w:val="20"/>
              </w:rPr>
            </w:pPr>
            <w:r w:rsidRPr="009B7B35">
              <w:rPr>
                <w:rFonts w:cs="Arial"/>
                <w:sz w:val="20"/>
                <w:szCs w:val="20"/>
              </w:rPr>
              <w:t xml:space="preserve">OR  </w:t>
            </w:r>
          </w:p>
          <w:p w14:paraId="6CA07FB2" w14:textId="77777777" w:rsidR="00BE36FB" w:rsidRPr="009B7B35" w:rsidRDefault="00BE36FB" w:rsidP="001A7107">
            <w:pPr>
              <w:rPr>
                <w:rFonts w:cs="Arial"/>
                <w:sz w:val="20"/>
                <w:szCs w:val="20"/>
              </w:rPr>
            </w:pPr>
          </w:p>
          <w:p w14:paraId="644FB0B2" w14:textId="77777777" w:rsidR="00BE36FB" w:rsidRPr="009B7B35" w:rsidRDefault="00BE36FB" w:rsidP="001A7107">
            <w:pPr>
              <w:rPr>
                <w:rStyle w:val="Strong"/>
                <w:rFonts w:eastAsiaTheme="majorEastAsia" w:cs="Arial"/>
                <w:sz w:val="20"/>
                <w:szCs w:val="20"/>
              </w:rPr>
            </w:pPr>
            <w:r w:rsidRPr="009B7B35">
              <w:rPr>
                <w:rStyle w:val="Strong"/>
                <w:rFonts w:eastAsiaTheme="majorEastAsia" w:cs="Arial"/>
                <w:sz w:val="20"/>
                <w:szCs w:val="20"/>
              </w:rPr>
              <w:t>AO1.6</w:t>
            </w:r>
          </w:p>
          <w:p w14:paraId="603A7F31" w14:textId="77777777" w:rsidR="00BE36FB" w:rsidRPr="009B7B35" w:rsidRDefault="00BE36FB" w:rsidP="001A7107">
            <w:pPr>
              <w:rPr>
                <w:rFonts w:cs="Arial"/>
                <w:sz w:val="20"/>
                <w:szCs w:val="20"/>
              </w:rPr>
            </w:pPr>
            <w:r w:rsidRPr="009B7B35">
              <w:rPr>
                <w:rFonts w:cs="Arial"/>
                <w:sz w:val="20"/>
                <w:szCs w:val="20"/>
              </w:rPr>
              <w:t>Transport corridor advertising devices, are located a minimum distance of at least 200 meters from any other existing or approved advertising device where in a urban zone.</w:t>
            </w:r>
          </w:p>
        </w:tc>
      </w:tr>
      <w:tr w:rsidR="00BE36FB" w:rsidRPr="009B7B35" w14:paraId="54D5F0D5" w14:textId="77777777" w:rsidTr="001A7107">
        <w:trPr>
          <w:cantSplit/>
        </w:trPr>
        <w:tc>
          <w:tcPr>
            <w:tcW w:w="4678" w:type="dxa"/>
          </w:tcPr>
          <w:p w14:paraId="745FD079" w14:textId="77777777" w:rsidR="00BE36FB" w:rsidRPr="009B7B35" w:rsidRDefault="00BE36FB" w:rsidP="001A7107">
            <w:pPr>
              <w:pStyle w:val="TableText"/>
              <w:rPr>
                <w:rFonts w:cs="Arial"/>
              </w:rPr>
            </w:pPr>
            <w:r w:rsidRPr="009B7B35">
              <w:rPr>
                <w:rFonts w:cs="Arial"/>
                <w:b/>
              </w:rPr>
              <w:t>PO2</w:t>
            </w:r>
          </w:p>
          <w:p w14:paraId="1ACDABA5" w14:textId="77777777" w:rsidR="00BE36FB" w:rsidRPr="009B7B35" w:rsidRDefault="00BE36FB" w:rsidP="001A7107">
            <w:pPr>
              <w:pStyle w:val="TableText"/>
              <w:rPr>
                <w:rFonts w:cs="Arial"/>
              </w:rPr>
            </w:pPr>
            <w:r w:rsidRPr="009B7B35">
              <w:rPr>
                <w:rFonts w:cs="Arial"/>
              </w:rPr>
              <w:t>An advertising device only incorporates illumination, lighting, sound, odour or movement where it:</w:t>
            </w:r>
          </w:p>
          <w:p w14:paraId="5F3E8BD1" w14:textId="77777777" w:rsidR="00BE36FB" w:rsidRPr="009B7B35" w:rsidRDefault="00BE36FB" w:rsidP="00BE36FB">
            <w:pPr>
              <w:pStyle w:val="TableText"/>
              <w:numPr>
                <w:ilvl w:val="0"/>
                <w:numId w:val="818"/>
              </w:numPr>
              <w:rPr>
                <w:rFonts w:cs="Arial"/>
                <w:b/>
              </w:rPr>
            </w:pPr>
            <w:r w:rsidRPr="009B7B35">
              <w:rPr>
                <w:rFonts w:cs="Arial"/>
              </w:rPr>
              <w:t>is appropriate to its setting and is compatible with the amenity of the local area</w:t>
            </w:r>
          </w:p>
          <w:p w14:paraId="7D86B793" w14:textId="77777777" w:rsidR="00BE36FB" w:rsidRPr="009B7B35" w:rsidRDefault="00BE36FB" w:rsidP="00BE36FB">
            <w:pPr>
              <w:pStyle w:val="TableText"/>
              <w:numPr>
                <w:ilvl w:val="0"/>
                <w:numId w:val="818"/>
              </w:numPr>
              <w:rPr>
                <w:rFonts w:cs="Arial"/>
                <w:b/>
              </w:rPr>
            </w:pPr>
            <w:r w:rsidRPr="009B7B35">
              <w:rPr>
                <w:rFonts w:cs="Arial"/>
              </w:rPr>
              <w:t>does not cause nuisance or distraction to pedestrians, vehicle traffic or adjoining land uses</w:t>
            </w:r>
          </w:p>
          <w:p w14:paraId="343D7CC3" w14:textId="77777777" w:rsidR="00BE36FB" w:rsidRPr="009B7B35" w:rsidRDefault="00BE36FB" w:rsidP="00BE36FB">
            <w:pPr>
              <w:pStyle w:val="TableText"/>
              <w:numPr>
                <w:ilvl w:val="0"/>
                <w:numId w:val="818"/>
              </w:numPr>
              <w:rPr>
                <w:rFonts w:cs="Arial"/>
                <w:b/>
              </w:rPr>
            </w:pPr>
            <w:r w:rsidRPr="009B7B35">
              <w:rPr>
                <w:rFonts w:cs="Arial"/>
              </w:rPr>
              <w:t>does not create glare, reflecting or flaring of colours, and</w:t>
            </w:r>
          </w:p>
          <w:p w14:paraId="35E81025" w14:textId="77777777" w:rsidR="00BE36FB" w:rsidRPr="009B7B35" w:rsidRDefault="00BE36FB" w:rsidP="00BE36FB">
            <w:pPr>
              <w:pStyle w:val="TableText"/>
              <w:numPr>
                <w:ilvl w:val="0"/>
                <w:numId w:val="818"/>
              </w:numPr>
              <w:rPr>
                <w:rFonts w:cs="Arial"/>
                <w:b/>
              </w:rPr>
            </w:pPr>
            <w:r w:rsidRPr="009B7B35">
              <w:rPr>
                <w:rFonts w:cs="Arial"/>
              </w:rPr>
              <w:t xml:space="preserve">will not create a potential safety hazard, including a traffic safety hazard. </w:t>
            </w:r>
          </w:p>
          <w:p w14:paraId="22C023F9" w14:textId="77777777" w:rsidR="00BE36FB" w:rsidRPr="009B7B35" w:rsidRDefault="00BE36FB" w:rsidP="001A7107">
            <w:pPr>
              <w:pStyle w:val="TableText"/>
              <w:rPr>
                <w:rFonts w:cs="Arial"/>
              </w:rPr>
            </w:pPr>
          </w:p>
        </w:tc>
        <w:tc>
          <w:tcPr>
            <w:tcW w:w="4678" w:type="dxa"/>
          </w:tcPr>
          <w:p w14:paraId="4030DAB4"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AO2.1</w:t>
            </w:r>
          </w:p>
          <w:p w14:paraId="2D42FDAA" w14:textId="77777777" w:rsidR="00BE36FB" w:rsidRPr="009B7B35" w:rsidRDefault="00BE36FB" w:rsidP="00BE36FB">
            <w:pPr>
              <w:pStyle w:val="TableText"/>
              <w:numPr>
                <w:ilvl w:val="0"/>
                <w:numId w:val="819"/>
              </w:numPr>
              <w:rPr>
                <w:rFonts w:cs="Arial"/>
              </w:rPr>
            </w:pPr>
            <w:r w:rsidRPr="009B7B35">
              <w:rPr>
                <w:rFonts w:cs="Arial"/>
              </w:rPr>
              <w:t>the advertising device is only illuminated, includes sound or odour where it is located within a urban zone other than residential zones; or</w:t>
            </w:r>
          </w:p>
          <w:p w14:paraId="7E0A272A" w14:textId="77777777" w:rsidR="00BE36FB" w:rsidRPr="009B7B35" w:rsidRDefault="00BE36FB" w:rsidP="00BE36FB">
            <w:pPr>
              <w:pStyle w:val="TableText"/>
              <w:numPr>
                <w:ilvl w:val="0"/>
                <w:numId w:val="819"/>
              </w:numPr>
              <w:rPr>
                <w:rFonts w:cs="Arial"/>
              </w:rPr>
            </w:pPr>
            <w:r w:rsidRPr="009B7B35">
              <w:rPr>
                <w:rFonts w:cs="Arial"/>
              </w:rPr>
              <w:t>associated with a business that operates at night.</w:t>
            </w:r>
          </w:p>
          <w:p w14:paraId="668D703D" w14:textId="77777777" w:rsidR="00BE36FB" w:rsidRPr="009B7B35" w:rsidRDefault="00BE36FB" w:rsidP="001A7107">
            <w:pPr>
              <w:pStyle w:val="TableText"/>
              <w:ind w:left="567"/>
              <w:rPr>
                <w:rFonts w:cs="Arial"/>
              </w:rPr>
            </w:pPr>
          </w:p>
          <w:p w14:paraId="5B17C946" w14:textId="77777777" w:rsidR="00BE36FB" w:rsidRPr="009B7B35" w:rsidRDefault="00BE36FB" w:rsidP="001A7107">
            <w:pPr>
              <w:pStyle w:val="TableText"/>
              <w:rPr>
                <w:rStyle w:val="Strong"/>
                <w:rFonts w:eastAsiaTheme="majorEastAsia" w:cs="Arial"/>
                <w:b w:val="0"/>
                <w:bCs w:val="0"/>
              </w:rPr>
            </w:pPr>
            <w:r w:rsidRPr="009B7B35">
              <w:rPr>
                <w:rStyle w:val="Strong"/>
                <w:rFonts w:eastAsiaTheme="majorEastAsia" w:cs="Arial"/>
              </w:rPr>
              <w:t>AO2.2</w:t>
            </w:r>
          </w:p>
          <w:p w14:paraId="3A915899" w14:textId="77777777" w:rsidR="00BE36FB" w:rsidRPr="009B7B35" w:rsidRDefault="00BE36FB" w:rsidP="001A7107">
            <w:pPr>
              <w:pStyle w:val="TableText"/>
              <w:rPr>
                <w:rFonts w:cs="Arial"/>
              </w:rPr>
            </w:pPr>
            <w:r w:rsidRPr="009B7B35">
              <w:rPr>
                <w:rFonts w:cs="Arial"/>
              </w:rPr>
              <w:t>Where the advertising device is illuminated it:</w:t>
            </w:r>
          </w:p>
          <w:p w14:paraId="7500BB13" w14:textId="77777777" w:rsidR="00BE36FB" w:rsidRPr="009B7B35" w:rsidRDefault="00BE36FB" w:rsidP="00BE36FB">
            <w:pPr>
              <w:pStyle w:val="TableText"/>
              <w:numPr>
                <w:ilvl w:val="0"/>
                <w:numId w:val="820"/>
              </w:numPr>
              <w:rPr>
                <w:rFonts w:cs="Arial"/>
              </w:rPr>
            </w:pPr>
            <w:r w:rsidRPr="009B7B35">
              <w:rPr>
                <w:rFonts w:cs="Arial"/>
              </w:rPr>
              <w:t>has a maximum luminance of 350 candelas per m</w:t>
            </w:r>
            <w:r w:rsidRPr="009B7B35">
              <w:rPr>
                <w:rFonts w:cs="Arial"/>
                <w:vertAlign w:val="superscript"/>
              </w:rPr>
              <w:t>2</w:t>
            </w:r>
          </w:p>
          <w:p w14:paraId="3815AB68" w14:textId="77777777" w:rsidR="00BE36FB" w:rsidRPr="009B7B35" w:rsidRDefault="00BE36FB" w:rsidP="00BE36FB">
            <w:pPr>
              <w:pStyle w:val="TableText"/>
              <w:numPr>
                <w:ilvl w:val="0"/>
                <w:numId w:val="820"/>
              </w:numPr>
              <w:rPr>
                <w:rFonts w:cs="Arial"/>
              </w:rPr>
            </w:pPr>
            <w:r w:rsidRPr="009B7B35">
              <w:rPr>
                <w:rFonts w:cs="Arial"/>
              </w:rPr>
              <w:t>does not incorporate flashing lights or digital displays, and</w:t>
            </w:r>
          </w:p>
          <w:p w14:paraId="325D9703" w14:textId="77777777" w:rsidR="00BE36FB" w:rsidRPr="009B7B35" w:rsidRDefault="00BE36FB" w:rsidP="00BE36FB">
            <w:pPr>
              <w:pStyle w:val="TableText"/>
              <w:numPr>
                <w:ilvl w:val="0"/>
                <w:numId w:val="820"/>
              </w:numPr>
              <w:rPr>
                <w:rFonts w:cs="Arial"/>
              </w:rPr>
            </w:pPr>
            <w:r w:rsidRPr="009B7B35">
              <w:rPr>
                <w:rFonts w:cs="Arial"/>
              </w:rPr>
              <w:t>is switched off between 11:00pm and 5am the following day or at any time the business is not operating between these hours.</w:t>
            </w:r>
          </w:p>
          <w:p w14:paraId="4B772CF3" w14:textId="77777777" w:rsidR="00BE36FB" w:rsidRPr="009B7B35" w:rsidRDefault="00BE36FB" w:rsidP="001A7107">
            <w:pPr>
              <w:pStyle w:val="TableText"/>
              <w:rPr>
                <w:rFonts w:cs="Arial"/>
              </w:rPr>
            </w:pPr>
          </w:p>
          <w:p w14:paraId="36043E78" w14:textId="77777777" w:rsidR="00BE36FB" w:rsidRPr="009B7B35" w:rsidRDefault="00BE36FB" w:rsidP="001A7107">
            <w:pPr>
              <w:pStyle w:val="TableText"/>
              <w:rPr>
                <w:rFonts w:cs="Arial"/>
                <w:b/>
              </w:rPr>
            </w:pPr>
            <w:r w:rsidRPr="009B7B35">
              <w:rPr>
                <w:rFonts w:cs="Arial"/>
                <w:b/>
              </w:rPr>
              <w:t>AO2.3</w:t>
            </w:r>
          </w:p>
          <w:p w14:paraId="5BDD536A" w14:textId="77777777" w:rsidR="00BE36FB" w:rsidRPr="009B7B35" w:rsidRDefault="00BE36FB" w:rsidP="001A7107">
            <w:pPr>
              <w:pStyle w:val="TableText"/>
              <w:rPr>
                <w:rFonts w:cs="Arial"/>
              </w:rPr>
            </w:pPr>
            <w:r w:rsidRPr="009B7B35">
              <w:rPr>
                <w:rFonts w:cs="Arial"/>
              </w:rPr>
              <w:t xml:space="preserve">The advertising device does not revolve, contain moving parts or have a moving border. </w:t>
            </w:r>
          </w:p>
        </w:tc>
      </w:tr>
      <w:tr w:rsidR="00BE36FB" w:rsidRPr="009B7B35" w14:paraId="40863713" w14:textId="77777777" w:rsidTr="001A7107">
        <w:trPr>
          <w:cantSplit/>
        </w:trPr>
        <w:tc>
          <w:tcPr>
            <w:tcW w:w="9356" w:type="dxa"/>
            <w:gridSpan w:val="2"/>
            <w:shd w:val="clear" w:color="auto" w:fill="BFBFBF" w:themeFill="background1" w:themeFillShade="BF"/>
          </w:tcPr>
          <w:p w14:paraId="2E8507BA"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 xml:space="preserve">Safety of pedestrians and vehicles </w:t>
            </w:r>
          </w:p>
        </w:tc>
      </w:tr>
      <w:tr w:rsidR="00BE36FB" w:rsidRPr="009B7B35" w14:paraId="73704AC1" w14:textId="77777777" w:rsidTr="001A7107">
        <w:trPr>
          <w:cantSplit/>
        </w:trPr>
        <w:tc>
          <w:tcPr>
            <w:tcW w:w="4678" w:type="dxa"/>
            <w:vMerge w:val="restart"/>
          </w:tcPr>
          <w:p w14:paraId="77FB98D5" w14:textId="77777777" w:rsidR="00BE36FB" w:rsidRPr="009B7B35" w:rsidRDefault="00BE36FB" w:rsidP="001A7107">
            <w:pPr>
              <w:pStyle w:val="TableText"/>
              <w:rPr>
                <w:rFonts w:cs="Arial"/>
                <w:b/>
              </w:rPr>
            </w:pPr>
            <w:r w:rsidRPr="009B7B35">
              <w:rPr>
                <w:rFonts w:cs="Arial"/>
                <w:b/>
              </w:rPr>
              <w:t>PO3</w:t>
            </w:r>
          </w:p>
          <w:p w14:paraId="0A2327C8" w14:textId="77777777" w:rsidR="00BE36FB" w:rsidRPr="009B7B35" w:rsidRDefault="00BE36FB" w:rsidP="001A7107">
            <w:pPr>
              <w:pStyle w:val="TableText"/>
              <w:rPr>
                <w:rFonts w:cs="Arial"/>
              </w:rPr>
            </w:pPr>
            <w:r w:rsidRPr="009B7B35">
              <w:rPr>
                <w:rFonts w:cs="Arial"/>
              </w:rPr>
              <w:t xml:space="preserve">An advertising device is designed so as not to create a traffic or pedestrian safety hazard. </w:t>
            </w:r>
          </w:p>
        </w:tc>
        <w:tc>
          <w:tcPr>
            <w:tcW w:w="4678" w:type="dxa"/>
          </w:tcPr>
          <w:p w14:paraId="01B9D5A3" w14:textId="77777777" w:rsidR="00BE36FB" w:rsidRPr="009B7B35" w:rsidRDefault="00BE36FB" w:rsidP="001A7107">
            <w:pPr>
              <w:pStyle w:val="TableText"/>
              <w:rPr>
                <w:rFonts w:cs="Arial"/>
              </w:rPr>
            </w:pPr>
            <w:r w:rsidRPr="009B7B35">
              <w:rPr>
                <w:rFonts w:cs="Arial"/>
                <w:b/>
              </w:rPr>
              <w:t>AO3.1</w:t>
            </w:r>
          </w:p>
          <w:p w14:paraId="5145879C" w14:textId="77777777" w:rsidR="00BE36FB" w:rsidRPr="009B7B35" w:rsidRDefault="00BE36FB" w:rsidP="001A7107">
            <w:pPr>
              <w:pStyle w:val="TableText"/>
              <w:rPr>
                <w:rFonts w:cs="Arial"/>
              </w:rPr>
            </w:pPr>
            <w:r w:rsidRPr="009B7B35">
              <w:rPr>
                <w:rFonts w:cs="Arial"/>
              </w:rPr>
              <w:t>The advertising device does not physically obstruct the passage of pedestrians or vehicles.</w:t>
            </w:r>
          </w:p>
        </w:tc>
      </w:tr>
      <w:tr w:rsidR="00BE36FB" w:rsidRPr="009B7B35" w14:paraId="2349A951" w14:textId="77777777" w:rsidTr="001A7107">
        <w:trPr>
          <w:cantSplit/>
        </w:trPr>
        <w:tc>
          <w:tcPr>
            <w:tcW w:w="4678" w:type="dxa"/>
            <w:vMerge/>
          </w:tcPr>
          <w:p w14:paraId="35F0D236" w14:textId="77777777" w:rsidR="00BE36FB" w:rsidRPr="009B7B35" w:rsidRDefault="00BE36FB" w:rsidP="001A7107">
            <w:pPr>
              <w:pStyle w:val="TableText"/>
              <w:rPr>
                <w:rFonts w:cs="Arial"/>
              </w:rPr>
            </w:pPr>
          </w:p>
        </w:tc>
        <w:tc>
          <w:tcPr>
            <w:tcW w:w="4678" w:type="dxa"/>
          </w:tcPr>
          <w:p w14:paraId="72BD4472" w14:textId="77777777" w:rsidR="00BE36FB" w:rsidRPr="009B7B35" w:rsidRDefault="00BE36FB" w:rsidP="001A7107">
            <w:pPr>
              <w:pStyle w:val="TableText"/>
              <w:rPr>
                <w:rFonts w:cs="Arial"/>
                <w:b/>
              </w:rPr>
            </w:pPr>
            <w:r w:rsidRPr="009B7B35">
              <w:rPr>
                <w:rFonts w:cs="Arial"/>
                <w:b/>
              </w:rPr>
              <w:t>AO3.2</w:t>
            </w:r>
          </w:p>
          <w:p w14:paraId="61F7B9A8" w14:textId="77777777" w:rsidR="00BE36FB" w:rsidRPr="009B7B35" w:rsidRDefault="00BE36FB" w:rsidP="001A7107">
            <w:pPr>
              <w:pStyle w:val="TableText"/>
              <w:rPr>
                <w:rFonts w:cs="Arial"/>
              </w:rPr>
            </w:pPr>
            <w:r w:rsidRPr="009B7B35">
              <w:rPr>
                <w:rFonts w:cs="Arial"/>
              </w:rPr>
              <w:t xml:space="preserve">The advertising device does not mimic, and is not able to be confused with, a traffic control device or traffic signage. </w:t>
            </w:r>
          </w:p>
          <w:p w14:paraId="779A3FC3" w14:textId="77777777" w:rsidR="00BE36FB" w:rsidRPr="009B7B35" w:rsidRDefault="00BE36FB" w:rsidP="001A7107">
            <w:pPr>
              <w:pStyle w:val="TableText"/>
              <w:rPr>
                <w:rFonts w:cs="Arial"/>
              </w:rPr>
            </w:pPr>
          </w:p>
          <w:p w14:paraId="738D24F5" w14:textId="77777777" w:rsidR="00BE36FB" w:rsidRPr="009B7B35" w:rsidRDefault="00BE36FB" w:rsidP="001A7107">
            <w:pPr>
              <w:pStyle w:val="TableText"/>
              <w:rPr>
                <w:rFonts w:cs="Arial"/>
                <w:b/>
              </w:rPr>
            </w:pPr>
            <w:r w:rsidRPr="009B7B35">
              <w:rPr>
                <w:rFonts w:cs="Arial"/>
                <w:b/>
              </w:rPr>
              <w:t>AO3.3</w:t>
            </w:r>
          </w:p>
          <w:p w14:paraId="08CFB46F" w14:textId="77777777" w:rsidR="00BE36FB" w:rsidRPr="009B7B35" w:rsidRDefault="00BE36FB" w:rsidP="001A7107">
            <w:pPr>
              <w:pStyle w:val="TableText"/>
              <w:rPr>
                <w:rFonts w:cs="Arial"/>
              </w:rPr>
            </w:pPr>
            <w:r w:rsidRPr="009B7B35">
              <w:rPr>
                <w:rFonts w:cs="Arial"/>
              </w:rPr>
              <w:t xml:space="preserve">The advertising device does not restrict sight lines at intersections and site access points. </w:t>
            </w:r>
          </w:p>
        </w:tc>
      </w:tr>
      <w:tr w:rsidR="00BE36FB" w:rsidRPr="009B7B35" w14:paraId="5553C7E2" w14:textId="77777777" w:rsidTr="001A7107">
        <w:trPr>
          <w:cantSplit/>
        </w:trPr>
        <w:tc>
          <w:tcPr>
            <w:tcW w:w="9356" w:type="dxa"/>
            <w:gridSpan w:val="2"/>
            <w:shd w:val="clear" w:color="auto" w:fill="BFBFBF" w:themeFill="background1" w:themeFillShade="BF"/>
          </w:tcPr>
          <w:p w14:paraId="5BF15B98"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Services and Infrastructure </w:t>
            </w:r>
          </w:p>
        </w:tc>
      </w:tr>
      <w:tr w:rsidR="00BE36FB" w:rsidRPr="009B7B35" w14:paraId="591B0D2F" w14:textId="77777777" w:rsidTr="001A7107">
        <w:trPr>
          <w:cantSplit/>
          <w:trHeight w:val="1837"/>
        </w:trPr>
        <w:tc>
          <w:tcPr>
            <w:tcW w:w="4678" w:type="dxa"/>
          </w:tcPr>
          <w:p w14:paraId="0A281800" w14:textId="77777777"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4</w:t>
            </w:r>
          </w:p>
          <w:p w14:paraId="3F2D64E2" w14:textId="77777777" w:rsidR="00BE36FB" w:rsidRPr="009B7B35" w:rsidRDefault="00BE36FB" w:rsidP="001A7107">
            <w:pPr>
              <w:pStyle w:val="TableText"/>
              <w:rPr>
                <w:rFonts w:cs="Arial"/>
              </w:rPr>
            </w:pPr>
            <w:r w:rsidRPr="009B7B35">
              <w:rPr>
                <w:rFonts w:cs="Arial"/>
              </w:rPr>
              <w:t>Advertising devices do not impact, damage or cause consequential damage to public utilities or services.</w:t>
            </w:r>
          </w:p>
        </w:tc>
        <w:tc>
          <w:tcPr>
            <w:tcW w:w="4678" w:type="dxa"/>
          </w:tcPr>
          <w:p w14:paraId="4B84045F"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AO4.1</w:t>
            </w:r>
          </w:p>
          <w:p w14:paraId="22A89B49" w14:textId="77777777" w:rsidR="00BE36FB" w:rsidRPr="009B7B35" w:rsidRDefault="00BE36FB" w:rsidP="001A7107">
            <w:pPr>
              <w:pStyle w:val="TableText"/>
              <w:rPr>
                <w:rFonts w:cs="Arial"/>
              </w:rPr>
            </w:pPr>
            <w:r w:rsidRPr="009B7B35">
              <w:rPr>
                <w:rFonts w:cs="Arial"/>
              </w:rPr>
              <w:t>The footings of an advertising device are not located within the zone of influence of any public utilities or services.</w:t>
            </w:r>
          </w:p>
          <w:p w14:paraId="395A1324" w14:textId="77777777" w:rsidR="00BE36FB" w:rsidRPr="009B7B35" w:rsidRDefault="00BE36FB" w:rsidP="001A7107">
            <w:pPr>
              <w:pStyle w:val="TableText"/>
              <w:rPr>
                <w:rFonts w:cs="Arial"/>
              </w:rPr>
            </w:pPr>
          </w:p>
          <w:p w14:paraId="4F9D1AD4" w14:textId="77777777" w:rsidR="00BE36FB" w:rsidRPr="009B7B35" w:rsidRDefault="00BE36FB" w:rsidP="001A7107">
            <w:pPr>
              <w:pStyle w:val="TableText"/>
              <w:rPr>
                <w:rFonts w:cs="Arial"/>
              </w:rPr>
            </w:pPr>
            <w:r w:rsidRPr="009B7B35">
              <w:rPr>
                <w:rFonts w:cs="Arial"/>
              </w:rPr>
              <w:t xml:space="preserve">Note—A Building Section Plan is provided to demonstrate compliance with AO4.1 and Council Policy 19.7 - Revision 1 - Building Adjacent to and Over Sewers, Stormwater and Water Assets (or relevant policy).  </w:t>
            </w:r>
          </w:p>
        </w:tc>
      </w:tr>
      <w:tr w:rsidR="00BE36FB" w:rsidRPr="009B7B35" w14:paraId="0671332F" w14:textId="77777777" w:rsidTr="001A7107">
        <w:trPr>
          <w:trHeight w:val="305"/>
        </w:trPr>
        <w:tc>
          <w:tcPr>
            <w:tcW w:w="9356" w:type="dxa"/>
            <w:gridSpan w:val="2"/>
            <w:shd w:val="clear" w:color="auto" w:fill="BFBFBF" w:themeFill="background1" w:themeFillShade="BF"/>
          </w:tcPr>
          <w:p w14:paraId="7DD59990" w14:textId="77777777" w:rsidR="00BE36FB" w:rsidRPr="009B7B35" w:rsidRDefault="00BE36FB" w:rsidP="001A7107">
            <w:pPr>
              <w:pStyle w:val="Tableheading"/>
              <w:rPr>
                <w:rFonts w:ascii="Arial" w:hAnsi="Arial" w:cs="Arial"/>
                <w:szCs w:val="20"/>
              </w:rPr>
            </w:pPr>
            <w:r w:rsidRPr="009B7B35">
              <w:rPr>
                <w:rStyle w:val="Strong"/>
                <w:rFonts w:ascii="Arial" w:hAnsi="Arial" w:cs="Arial"/>
                <w:b/>
                <w:szCs w:val="20"/>
              </w:rPr>
              <w:t>Heritage places</w:t>
            </w:r>
          </w:p>
        </w:tc>
      </w:tr>
      <w:tr w:rsidR="00BE36FB" w:rsidRPr="009B7B35" w14:paraId="64CAC610" w14:textId="77777777" w:rsidTr="001A7107">
        <w:trPr>
          <w:trHeight w:val="3605"/>
        </w:trPr>
        <w:tc>
          <w:tcPr>
            <w:tcW w:w="4678" w:type="dxa"/>
          </w:tcPr>
          <w:p w14:paraId="3FC54DF1"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PO5</w:t>
            </w:r>
          </w:p>
          <w:p w14:paraId="0F4BF56A" w14:textId="77777777" w:rsidR="00BE36FB" w:rsidRPr="009B7B35" w:rsidRDefault="00BE36FB" w:rsidP="001A7107">
            <w:pPr>
              <w:pStyle w:val="TableText"/>
              <w:rPr>
                <w:rStyle w:val="Strong"/>
                <w:rFonts w:eastAsiaTheme="majorEastAsia" w:cs="Arial"/>
                <w:b w:val="0"/>
              </w:rPr>
            </w:pPr>
            <w:r w:rsidRPr="009B7B35">
              <w:rPr>
                <w:rStyle w:val="Strong"/>
                <w:rFonts w:eastAsiaTheme="majorEastAsia" w:cs="Arial"/>
                <w:b w:val="0"/>
              </w:rPr>
              <w:t>Advertising adjacent to or located at a place of local heritage significance is designed and sited in a manner that:</w:t>
            </w:r>
          </w:p>
          <w:p w14:paraId="70129555" w14:textId="77777777" w:rsidR="00BE36FB" w:rsidRPr="009B7B35" w:rsidRDefault="00BE36FB" w:rsidP="001A7107">
            <w:pPr>
              <w:pStyle w:val="TableText"/>
              <w:rPr>
                <w:rStyle w:val="Strong"/>
                <w:rFonts w:eastAsiaTheme="majorEastAsia" w:cs="Arial"/>
                <w:b w:val="0"/>
              </w:rPr>
            </w:pPr>
          </w:p>
          <w:p w14:paraId="13F7D611" w14:textId="77777777" w:rsidR="00BE36FB" w:rsidRPr="009B7B35" w:rsidRDefault="00BE36FB" w:rsidP="00BE36FB">
            <w:pPr>
              <w:pStyle w:val="TableText"/>
              <w:numPr>
                <w:ilvl w:val="0"/>
                <w:numId w:val="821"/>
              </w:numPr>
              <w:rPr>
                <w:rFonts w:cs="Arial"/>
              </w:rPr>
            </w:pPr>
            <w:r w:rsidRPr="009B7B35">
              <w:rPr>
                <w:rFonts w:cs="Arial"/>
              </w:rPr>
              <w:t>is compatible with the significance of the local heritage place</w:t>
            </w:r>
          </w:p>
          <w:p w14:paraId="25DC0B24" w14:textId="77777777" w:rsidR="00BE36FB" w:rsidRPr="009B7B35" w:rsidRDefault="00BE36FB" w:rsidP="00BE36FB">
            <w:pPr>
              <w:pStyle w:val="TableText"/>
              <w:numPr>
                <w:ilvl w:val="0"/>
                <w:numId w:val="821"/>
              </w:numPr>
              <w:rPr>
                <w:rFonts w:cs="Arial"/>
              </w:rPr>
            </w:pPr>
            <w:r w:rsidRPr="009B7B35">
              <w:rPr>
                <w:rFonts w:cs="Arial"/>
              </w:rPr>
              <w:t>does not detrimentally impact on the values or setting of the heritage place</w:t>
            </w:r>
          </w:p>
          <w:p w14:paraId="05A42A11" w14:textId="77777777" w:rsidR="00BE36FB" w:rsidRPr="009B7B35" w:rsidRDefault="00BE36FB" w:rsidP="00BE36FB">
            <w:pPr>
              <w:pStyle w:val="TableText"/>
              <w:numPr>
                <w:ilvl w:val="0"/>
                <w:numId w:val="821"/>
              </w:numPr>
              <w:rPr>
                <w:rFonts w:cs="Arial"/>
              </w:rPr>
            </w:pPr>
            <w:r w:rsidRPr="009B7B35">
              <w:rPr>
                <w:rFonts w:cs="Arial"/>
              </w:rPr>
              <w:t>does not obsecure the appearance or prominence of features of the local heritage place when viewed from adjacent public or semi-public streets or open spaces, and</w:t>
            </w:r>
          </w:p>
          <w:p w14:paraId="05EE7451" w14:textId="77777777" w:rsidR="00BE36FB" w:rsidRPr="009B7B35" w:rsidRDefault="00BE36FB" w:rsidP="00BE36FB">
            <w:pPr>
              <w:pStyle w:val="TableText"/>
              <w:numPr>
                <w:ilvl w:val="0"/>
                <w:numId w:val="821"/>
              </w:numPr>
              <w:rPr>
                <w:rFonts w:cs="Arial"/>
              </w:rPr>
            </w:pPr>
            <w:r w:rsidRPr="009B7B35">
              <w:rPr>
                <w:rFonts w:cs="Arial"/>
              </w:rPr>
              <w:t xml:space="preserve">does not intrude into that place. </w:t>
            </w:r>
          </w:p>
          <w:p w14:paraId="27F10C5D" w14:textId="77777777" w:rsidR="00BE36FB" w:rsidRPr="009B7B35" w:rsidRDefault="00BE36FB" w:rsidP="001A7107">
            <w:pPr>
              <w:pStyle w:val="TableText"/>
              <w:rPr>
                <w:rFonts w:cs="Arial"/>
              </w:rPr>
            </w:pPr>
          </w:p>
        </w:tc>
        <w:tc>
          <w:tcPr>
            <w:tcW w:w="4678" w:type="dxa"/>
          </w:tcPr>
          <w:p w14:paraId="65740374"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AO5.1</w:t>
            </w:r>
          </w:p>
          <w:p w14:paraId="2EB577C5" w14:textId="77777777" w:rsidR="00BE36FB" w:rsidRPr="009B7B35" w:rsidRDefault="00BE36FB" w:rsidP="001A7107">
            <w:pPr>
              <w:pStyle w:val="TableText"/>
              <w:rPr>
                <w:rFonts w:cs="Arial"/>
              </w:rPr>
            </w:pPr>
            <w:r w:rsidRPr="009B7B35">
              <w:rPr>
                <w:rFonts w:cs="Arial"/>
              </w:rPr>
              <w:t xml:space="preserve">The advertising device is not proposed on or adjoining a premises that is listed as a local heritage place or shown on the heritage overlay. </w:t>
            </w:r>
          </w:p>
          <w:p w14:paraId="02C0995C" w14:textId="77777777" w:rsidR="00BE36FB" w:rsidRPr="009B7B35" w:rsidRDefault="00BE36FB" w:rsidP="001A7107">
            <w:pPr>
              <w:pStyle w:val="TableText"/>
              <w:rPr>
                <w:rFonts w:cs="Arial"/>
              </w:rPr>
            </w:pPr>
          </w:p>
          <w:p w14:paraId="31C81B44" w14:textId="77777777" w:rsidR="00BE36FB" w:rsidRPr="009B7B35" w:rsidRDefault="00BE36FB" w:rsidP="001A7107">
            <w:pPr>
              <w:pStyle w:val="TableText"/>
              <w:rPr>
                <w:rFonts w:cs="Arial"/>
                <w:highlight w:val="yellow"/>
              </w:rPr>
            </w:pPr>
          </w:p>
        </w:tc>
      </w:tr>
    </w:tbl>
    <w:p w14:paraId="521D33CB" w14:textId="77777777" w:rsidR="00BE36FB" w:rsidRPr="009B7B35" w:rsidRDefault="00BE36FB" w:rsidP="001A7107">
      <w:pPr>
        <w:rPr>
          <w:rFonts w:ascii="Arial" w:hAnsi="Arial" w:cs="Arial"/>
          <w:sz w:val="20"/>
          <w:szCs w:val="20"/>
        </w:rPr>
      </w:pPr>
    </w:p>
    <w:p w14:paraId="4558E6BC" w14:textId="77777777" w:rsidR="00BE36FB" w:rsidRPr="009B7B35" w:rsidRDefault="00BE36FB">
      <w:pPr>
        <w:rPr>
          <w:rFonts w:ascii="Arial" w:eastAsiaTheme="majorEastAsia" w:hAnsi="Arial" w:cs="Arial"/>
          <w:b/>
          <w:sz w:val="20"/>
          <w:szCs w:val="20"/>
        </w:rPr>
      </w:pPr>
      <w:r w:rsidRPr="009B7B35">
        <w:rPr>
          <w:rFonts w:ascii="Arial" w:hAnsi="Arial" w:cs="Arial"/>
          <w:sz w:val="20"/>
          <w:szCs w:val="20"/>
        </w:rPr>
        <w:br w:type="page"/>
      </w:r>
    </w:p>
    <w:p w14:paraId="7E989B07" w14:textId="77777777" w:rsidR="00BE36FB" w:rsidRPr="009B7B35" w:rsidRDefault="00BE36FB" w:rsidP="006776DA">
      <w:pPr>
        <w:pStyle w:val="Heading3"/>
        <w:numPr>
          <w:ilvl w:val="2"/>
          <w:numId w:val="883"/>
        </w:numPr>
        <w:spacing w:before="240"/>
        <w:rPr>
          <w:rFonts w:ascii="Arial" w:hAnsi="Arial"/>
          <w:sz w:val="20"/>
          <w:szCs w:val="20"/>
        </w:rPr>
      </w:pPr>
      <w:bookmarkStart w:id="260" w:name="_Toc205367394"/>
      <w:r w:rsidRPr="009B7B35">
        <w:rPr>
          <w:rFonts w:ascii="Arial" w:hAnsi="Arial"/>
          <w:sz w:val="20"/>
          <w:szCs w:val="20"/>
        </w:rPr>
        <w:t>Development design</w:t>
      </w:r>
      <w:bookmarkEnd w:id="260"/>
    </w:p>
    <w:p w14:paraId="3F80487D"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3769C172"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assessing all development within the Gladstone Regional Council area where indicated in the Table of assessment.</w:t>
      </w:r>
    </w:p>
    <w:p w14:paraId="6F2F0AAD"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7AB98DFF" w14:textId="77777777" w:rsidR="00BE36FB" w:rsidRPr="009B7B35" w:rsidRDefault="00BE36FB" w:rsidP="00BE36FB">
      <w:pPr>
        <w:numPr>
          <w:ilvl w:val="0"/>
          <w:numId w:val="714"/>
        </w:numPr>
        <w:rPr>
          <w:rFonts w:ascii="Arial" w:hAnsi="Arial" w:cs="Arial"/>
          <w:sz w:val="20"/>
          <w:szCs w:val="20"/>
        </w:rPr>
      </w:pPr>
      <w:r w:rsidRPr="009B7B35">
        <w:rPr>
          <w:rFonts w:ascii="Arial" w:hAnsi="Arial" w:cs="Arial"/>
          <w:sz w:val="20"/>
          <w:szCs w:val="20"/>
        </w:rPr>
        <w:t>The purpose of the development design code is to:</w:t>
      </w:r>
    </w:p>
    <w:p w14:paraId="3B897948"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Ensure all development is provided with appropriate infrastructure, services and parking provisions.</w:t>
      </w:r>
    </w:p>
    <w:p w14:paraId="23FE8C8F"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 xml:space="preserve">Ensure development manages stormwater and wastewater as part of the integrated total water cycle and in ways that help protect the environmental water values specified in the </w:t>
      </w:r>
      <w:r w:rsidRPr="009B7B35">
        <w:rPr>
          <w:rFonts w:ascii="Arial" w:hAnsi="Arial" w:cs="Arial"/>
          <w:i/>
          <w:sz w:val="20"/>
          <w:szCs w:val="20"/>
        </w:rPr>
        <w:t>Environmental Protection (Water) Policy 2009</w:t>
      </w:r>
      <w:r w:rsidRPr="009B7B35">
        <w:rPr>
          <w:rFonts w:ascii="Arial" w:hAnsi="Arial" w:cs="Arial"/>
          <w:sz w:val="20"/>
          <w:szCs w:val="20"/>
        </w:rPr>
        <w:t>.</w:t>
      </w:r>
    </w:p>
    <w:p w14:paraId="776315C6"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Protect surface water and ground water.</w:t>
      </w:r>
    </w:p>
    <w:p w14:paraId="2F47463D"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Ensure adverse impacts of development on the environment and the amenity of the locality are avoided.</w:t>
      </w:r>
    </w:p>
    <w:p w14:paraId="5C5E6EFF" w14:textId="77777777" w:rsidR="00BE36FB" w:rsidRPr="009B7B35" w:rsidRDefault="00BE36FB" w:rsidP="00BE36FB">
      <w:pPr>
        <w:numPr>
          <w:ilvl w:val="0"/>
          <w:numId w:val="714"/>
        </w:numPr>
        <w:rPr>
          <w:rFonts w:ascii="Arial" w:hAnsi="Arial" w:cs="Arial"/>
          <w:sz w:val="20"/>
          <w:szCs w:val="20"/>
        </w:rPr>
      </w:pPr>
      <w:r w:rsidRPr="009B7B35">
        <w:rPr>
          <w:rFonts w:ascii="Arial" w:hAnsi="Arial" w:cs="Arial"/>
          <w:sz w:val="20"/>
          <w:szCs w:val="20"/>
        </w:rPr>
        <w:t>The purpose of the code will be achieved through the following overall outcomes:</w:t>
      </w:r>
    </w:p>
    <w:p w14:paraId="2DD50880"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Development is adequately serviced by utility and access infrastructure including roads, water, waste water, power, telecommunications, stormwater management and waste management.</w:t>
      </w:r>
    </w:p>
    <w:p w14:paraId="60B3E480"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The integrity and efficiency of utility and access infrastructure systems is maintained.</w:t>
      </w:r>
    </w:p>
    <w:p w14:paraId="7051DFB5"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Environmental values of receiving water are protected from adverse development impacts arising from stormwater quality and flow.</w:t>
      </w:r>
    </w:p>
    <w:p w14:paraId="10002176"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Environmental values of receiving water are protected from waste water impacts.</w:t>
      </w:r>
    </w:p>
    <w:p w14:paraId="70106556"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Environmental values of receiving water are protected from development impacts arising from the creation or expansion of non–tidal artificial waterways.</w:t>
      </w:r>
    </w:p>
    <w:p w14:paraId="400C7A4B"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Public health and safety are protected and damage or nuisance caused by stormwater is avoided.</w:t>
      </w:r>
    </w:p>
    <w:p w14:paraId="39BC785F"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Stormwater is designed to maintain or recreate natural hydrological processes and minimise run–off.</w:t>
      </w:r>
    </w:p>
    <w:p w14:paraId="0E62A849"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The function, safety and efficiency of the transport network is optimised.</w:t>
      </w:r>
    </w:p>
    <w:p w14:paraId="79DEAED7"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Development within close proximity to existing or future public passenger transport facilities supports an integrated approach to land use and transport integration.</w:t>
      </w:r>
    </w:p>
    <w:p w14:paraId="6EE66264"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Development provides adequate on–site vehicular access and adequate parking and servicing facilities for vehicles and parking facilities for bicycles.</w:t>
      </w:r>
    </w:p>
    <w:p w14:paraId="175992F0"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Access, parking, servicing and associated manoeuvring areas are designed to be safe, functional and meet the reasonable demands generated by the development.</w:t>
      </w:r>
    </w:p>
    <w:p w14:paraId="6266B75C"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Provision of safe and non–discriminatory public and pedestrian access is provided.</w:t>
      </w:r>
    </w:p>
    <w:p w14:paraId="19952AC7"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Works in public streets and spaces enhance the pedestrian amenity and improve streetscape appearance.</w:t>
      </w:r>
    </w:p>
    <w:p w14:paraId="0A96CC6B"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Sensitive land uses in close proximity to activities generating amenity impacts are located and designed to mitigate their impacts.</w:t>
      </w:r>
    </w:p>
    <w:p w14:paraId="562CDA38"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Waste generation is minimised and re–use and recycling increased.</w:t>
      </w:r>
    </w:p>
    <w:p w14:paraId="11BC7CC6"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Development provides for the storage of generated waste in an environmentally acceptable and nuisance free manner and waste storage facilities are functionally appropriate for users of the facilities, and</w:t>
      </w:r>
    </w:p>
    <w:p w14:paraId="070B7706" w14:textId="77777777" w:rsidR="00BE36FB" w:rsidRPr="009B7B35" w:rsidRDefault="00BE36FB" w:rsidP="00BE36FB">
      <w:pPr>
        <w:numPr>
          <w:ilvl w:val="1"/>
          <w:numId w:val="714"/>
        </w:numPr>
        <w:rPr>
          <w:rFonts w:ascii="Arial" w:hAnsi="Arial" w:cs="Arial"/>
          <w:sz w:val="20"/>
          <w:szCs w:val="20"/>
        </w:rPr>
      </w:pPr>
      <w:r w:rsidRPr="009B7B35">
        <w:rPr>
          <w:rFonts w:ascii="Arial" w:hAnsi="Arial" w:cs="Arial"/>
          <w:sz w:val="20"/>
          <w:szCs w:val="20"/>
        </w:rPr>
        <w:t xml:space="preserve">Developments accessed by common private title have appropriate fire hydrant and infrastructure and unimpeded access to emergency service vehicles for the protection of people, property and environment from fire and chemical incidents. </w:t>
      </w:r>
    </w:p>
    <w:p w14:paraId="5DE1D268" w14:textId="77777777" w:rsidR="00BE36FB" w:rsidRPr="009B7B35" w:rsidRDefault="00BE36FB" w:rsidP="001A7107">
      <w:pPr>
        <w:ind w:left="1134"/>
        <w:rPr>
          <w:rFonts w:ascii="Arial" w:hAnsi="Arial" w:cs="Arial"/>
          <w:sz w:val="20"/>
          <w:szCs w:val="20"/>
        </w:rPr>
      </w:pPr>
    </w:p>
    <w:p w14:paraId="3B51C695" w14:textId="77777777" w:rsidR="00BE36FB" w:rsidRPr="009B7B35" w:rsidRDefault="00BE36FB">
      <w:pPr>
        <w:pStyle w:val="Notesbullet"/>
        <w:numPr>
          <w:ilvl w:val="0"/>
          <w:numId w:val="0"/>
        </w:numPr>
        <w:rPr>
          <w:rFonts w:cs="Arial"/>
          <w:sz w:val="20"/>
          <w:szCs w:val="20"/>
        </w:rPr>
      </w:pPr>
      <w:r w:rsidRPr="009B7B35">
        <w:rPr>
          <w:rFonts w:cs="Arial"/>
          <w:sz w:val="20"/>
          <w:szCs w:val="20"/>
        </w:rPr>
        <w:t>Note—The term common private title covers areas such as roads in community title developments or strata title unit access which are private and under group or body corporate control.</w:t>
      </w:r>
    </w:p>
    <w:p w14:paraId="4B3C240F" w14:textId="77777777" w:rsidR="00BE36FB" w:rsidRPr="009B7B35" w:rsidRDefault="00BE36FB">
      <w:pPr>
        <w:rPr>
          <w:rFonts w:ascii="Arial" w:eastAsiaTheme="majorEastAsia" w:hAnsi="Arial" w:cs="Arial"/>
          <w:kern w:val="32"/>
          <w:sz w:val="20"/>
          <w:szCs w:val="20"/>
          <w:lang w:eastAsia="en-US"/>
        </w:rPr>
      </w:pPr>
      <w:r w:rsidRPr="009B7B35">
        <w:rPr>
          <w:rFonts w:ascii="Arial" w:hAnsi="Arial" w:cs="Arial"/>
          <w:sz w:val="20"/>
          <w:szCs w:val="20"/>
        </w:rPr>
        <w:br w:type="page"/>
      </w:r>
    </w:p>
    <w:p w14:paraId="5D403CCC"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046946CA" w14:textId="77777777" w:rsidR="00BE36FB" w:rsidRPr="009B7B35" w:rsidRDefault="00BE36FB" w:rsidP="001A7107">
      <w:pPr>
        <w:pStyle w:val="Heading5"/>
        <w:numPr>
          <w:ilvl w:val="0"/>
          <w:numId w:val="0"/>
        </w:numPr>
        <w:rPr>
          <w:rFonts w:cs="Arial"/>
          <w:szCs w:val="20"/>
        </w:rPr>
      </w:pPr>
      <w:r w:rsidRPr="009B7B35">
        <w:rPr>
          <w:rFonts w:cs="Arial"/>
          <w:szCs w:val="20"/>
        </w:rPr>
        <w:t>Table 9.3.2.3.1— Accepted development subject to requirements and assessable development</w:t>
      </w:r>
    </w:p>
    <w:tbl>
      <w:tblPr>
        <w:tblStyle w:val="Tablestyle"/>
        <w:tblW w:w="0" w:type="auto"/>
        <w:tblLook w:val="0620" w:firstRow="1" w:lastRow="0" w:firstColumn="0" w:lastColumn="0" w:noHBand="1" w:noVBand="1"/>
      </w:tblPr>
      <w:tblGrid>
        <w:gridCol w:w="4297"/>
        <w:gridCol w:w="4066"/>
      </w:tblGrid>
      <w:tr w:rsidR="00BE36FB" w:rsidRPr="009B7B35" w14:paraId="2E40337F"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55CD5D57" w14:textId="77777777" w:rsidR="00BE36FB" w:rsidRPr="009B7B35" w:rsidRDefault="00BE36FB" w:rsidP="001A7107">
            <w:pPr>
              <w:pStyle w:val="TableText"/>
              <w:rPr>
                <w:rFonts w:cs="Arial"/>
              </w:rPr>
            </w:pPr>
            <w:r w:rsidRPr="009B7B35">
              <w:rPr>
                <w:rFonts w:cs="Arial"/>
              </w:rPr>
              <w:t>Performance outcomes</w:t>
            </w:r>
          </w:p>
        </w:tc>
        <w:tc>
          <w:tcPr>
            <w:tcW w:w="4678" w:type="dxa"/>
          </w:tcPr>
          <w:p w14:paraId="4282C805" w14:textId="77777777" w:rsidR="00BE36FB" w:rsidRPr="009B7B35" w:rsidRDefault="00BE36FB" w:rsidP="001A7107">
            <w:pPr>
              <w:pStyle w:val="TableText"/>
              <w:rPr>
                <w:rFonts w:cs="Arial"/>
              </w:rPr>
            </w:pPr>
            <w:r w:rsidRPr="009B7B35">
              <w:rPr>
                <w:rFonts w:cs="Arial"/>
              </w:rPr>
              <w:t>Acceptable outcomes</w:t>
            </w:r>
          </w:p>
        </w:tc>
      </w:tr>
      <w:tr w:rsidR="00BE36FB" w:rsidRPr="009B7B35" w14:paraId="711CF471" w14:textId="77777777" w:rsidTr="001A7107">
        <w:trPr>
          <w:cantSplit/>
        </w:trPr>
        <w:tc>
          <w:tcPr>
            <w:tcW w:w="9356" w:type="dxa"/>
            <w:gridSpan w:val="2"/>
            <w:shd w:val="clear" w:color="auto" w:fill="BFBFBF" w:themeFill="background1" w:themeFillShade="BF"/>
          </w:tcPr>
          <w:p w14:paraId="70045425"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Utility infrastructure and services </w:t>
            </w:r>
          </w:p>
        </w:tc>
      </w:tr>
      <w:tr w:rsidR="00BE36FB" w:rsidRPr="009B7B35" w14:paraId="4035BCF3" w14:textId="77777777" w:rsidTr="001A7107">
        <w:trPr>
          <w:cantSplit/>
        </w:trPr>
        <w:tc>
          <w:tcPr>
            <w:tcW w:w="4678" w:type="dxa"/>
          </w:tcPr>
          <w:p w14:paraId="7EDA8D8E" w14:textId="77777777" w:rsidR="00BE36FB" w:rsidRPr="009B7B35" w:rsidRDefault="00BE36FB" w:rsidP="001A7107">
            <w:pPr>
              <w:pStyle w:val="TableText"/>
              <w:rPr>
                <w:rFonts w:cs="Arial"/>
              </w:rPr>
            </w:pPr>
            <w:r w:rsidRPr="009B7B35">
              <w:rPr>
                <w:rFonts w:cs="Arial"/>
                <w:b/>
              </w:rPr>
              <w:t>PO1</w:t>
            </w:r>
          </w:p>
          <w:p w14:paraId="21758031" w14:textId="77777777" w:rsidR="00BE36FB" w:rsidRPr="009B7B35" w:rsidRDefault="00BE36FB" w:rsidP="001A7107">
            <w:pPr>
              <w:pStyle w:val="TableText"/>
              <w:rPr>
                <w:rFonts w:cs="Arial"/>
              </w:rPr>
            </w:pPr>
            <w:r w:rsidRPr="009B7B35">
              <w:rPr>
                <w:rFonts w:cs="Arial"/>
              </w:rPr>
              <w:t xml:space="preserve">Development is serviced by an adequate, safe and reliable supply of potable and general use water, connected to reticulated water supply where possible. </w:t>
            </w:r>
          </w:p>
          <w:p w14:paraId="33C3982A" w14:textId="77777777" w:rsidR="00BE36FB" w:rsidRPr="009B7B35" w:rsidRDefault="00BE36FB" w:rsidP="001A7107">
            <w:pPr>
              <w:pStyle w:val="Notes"/>
              <w:rPr>
                <w:rFonts w:cs="Arial"/>
                <w:sz w:val="20"/>
                <w:szCs w:val="20"/>
              </w:rPr>
            </w:pPr>
            <w:r w:rsidRPr="009B7B35">
              <w:rPr>
                <w:rFonts w:cs="Arial"/>
                <w:sz w:val="20"/>
                <w:szCs w:val="20"/>
              </w:rPr>
              <w:t>Note—Council's documented Maximum Service Level (MSL) is to be considered.</w:t>
            </w:r>
          </w:p>
        </w:tc>
        <w:tc>
          <w:tcPr>
            <w:tcW w:w="4678" w:type="dxa"/>
          </w:tcPr>
          <w:p w14:paraId="71B15E38"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AO1.1</w:t>
            </w:r>
          </w:p>
          <w:p w14:paraId="3C7877D1" w14:textId="77777777" w:rsidR="00BE36FB" w:rsidRPr="009B7B35" w:rsidRDefault="00BE36FB" w:rsidP="001A7107">
            <w:pPr>
              <w:pStyle w:val="TableText"/>
              <w:rPr>
                <w:rFonts w:cs="Arial"/>
              </w:rPr>
            </w:pPr>
            <w:r w:rsidRPr="009B7B35">
              <w:rPr>
                <w:rFonts w:cs="Arial"/>
              </w:rPr>
              <w:t xml:space="preserve">Development is connected to Council’s reticulated water supply network, including the installation of easily accessed water meters, in accordance with the </w:t>
            </w:r>
            <w:r w:rsidRPr="009B7B35">
              <w:rPr>
                <w:rStyle w:val="StyleItalic"/>
                <w:rFonts w:cs="Arial"/>
              </w:rPr>
              <w:t>Engineering design planning scheme policy.</w:t>
            </w:r>
          </w:p>
          <w:p w14:paraId="74994EEF" w14:textId="77777777" w:rsidR="00BE36FB" w:rsidRPr="009B7B35" w:rsidRDefault="00BE36FB" w:rsidP="001A7107">
            <w:pPr>
              <w:pStyle w:val="TableText"/>
              <w:rPr>
                <w:rFonts w:cs="Arial"/>
              </w:rPr>
            </w:pPr>
            <w:r w:rsidRPr="009B7B35">
              <w:rPr>
                <w:rFonts w:cs="Arial"/>
              </w:rPr>
              <w:t>OR</w:t>
            </w:r>
          </w:p>
          <w:p w14:paraId="38762800" w14:textId="77777777" w:rsidR="00BE36FB" w:rsidRPr="009B7B35" w:rsidRDefault="00BE36FB" w:rsidP="001A7107">
            <w:pPr>
              <w:rPr>
                <w:rStyle w:val="Strong"/>
                <w:rFonts w:eastAsiaTheme="majorEastAsia" w:cs="Arial"/>
                <w:sz w:val="20"/>
                <w:szCs w:val="20"/>
              </w:rPr>
            </w:pPr>
            <w:r w:rsidRPr="009B7B35">
              <w:rPr>
                <w:rStyle w:val="Strong"/>
                <w:rFonts w:eastAsiaTheme="majorEastAsia" w:cs="Arial"/>
                <w:sz w:val="20"/>
                <w:szCs w:val="20"/>
              </w:rPr>
              <w:t>AO1.2</w:t>
            </w:r>
          </w:p>
          <w:p w14:paraId="27E96789" w14:textId="77777777" w:rsidR="00BE36FB" w:rsidRPr="009B7B35" w:rsidRDefault="00BE36FB" w:rsidP="001A7107">
            <w:pPr>
              <w:rPr>
                <w:rFonts w:cs="Arial"/>
                <w:sz w:val="20"/>
                <w:szCs w:val="20"/>
              </w:rPr>
            </w:pPr>
            <w:r w:rsidRPr="009B7B35">
              <w:rPr>
                <w:rFonts w:cs="Arial"/>
                <w:sz w:val="20"/>
                <w:szCs w:val="20"/>
              </w:rPr>
              <w:t xml:space="preserve">If connection to Council’s reticulated water supply network is not possible, a potable on–site water supply is provided in accordance with the </w:t>
            </w:r>
            <w:r w:rsidRPr="009B7B35">
              <w:rPr>
                <w:rStyle w:val="StyleItalic"/>
                <w:rFonts w:cs="Arial"/>
                <w:szCs w:val="20"/>
              </w:rPr>
              <w:t>Engineering design planning scheme policy</w:t>
            </w:r>
            <w:r w:rsidRPr="009B7B35">
              <w:rPr>
                <w:rFonts w:cs="Arial"/>
                <w:sz w:val="20"/>
                <w:szCs w:val="20"/>
              </w:rPr>
              <w:t>.</w:t>
            </w:r>
          </w:p>
        </w:tc>
      </w:tr>
      <w:tr w:rsidR="00BE36FB" w:rsidRPr="009B7B35" w14:paraId="73A54DBE" w14:textId="77777777" w:rsidTr="001A7107">
        <w:trPr>
          <w:cantSplit/>
        </w:trPr>
        <w:tc>
          <w:tcPr>
            <w:tcW w:w="4678" w:type="dxa"/>
          </w:tcPr>
          <w:p w14:paraId="689E895F" w14:textId="77777777" w:rsidR="00BE36FB" w:rsidRPr="009B7B35" w:rsidRDefault="00BE36FB" w:rsidP="001A7107">
            <w:pPr>
              <w:pStyle w:val="TableText"/>
              <w:rPr>
                <w:rFonts w:cs="Arial"/>
                <w:b/>
              </w:rPr>
            </w:pPr>
            <w:r w:rsidRPr="009B7B35">
              <w:rPr>
                <w:rFonts w:cs="Arial"/>
                <w:b/>
              </w:rPr>
              <w:t>PO2</w:t>
            </w:r>
          </w:p>
          <w:p w14:paraId="2508EC36" w14:textId="77777777" w:rsidR="00BE36FB" w:rsidRPr="009B7B35" w:rsidRDefault="00BE36FB" w:rsidP="001A7107">
            <w:pPr>
              <w:pStyle w:val="TableText"/>
              <w:rPr>
                <w:rFonts w:cs="Arial"/>
              </w:rPr>
            </w:pPr>
            <w:r w:rsidRPr="009B7B35">
              <w:rPr>
                <w:rFonts w:cs="Arial"/>
              </w:rPr>
              <w:t xml:space="preserve">Development is serviced by appropriate sewerage disposal infrastructure which ensures: </w:t>
            </w:r>
          </w:p>
          <w:p w14:paraId="625AA044" w14:textId="77777777" w:rsidR="00BE36FB" w:rsidRPr="009B7B35" w:rsidRDefault="00BE36FB" w:rsidP="00BE36FB">
            <w:pPr>
              <w:pStyle w:val="TableText"/>
              <w:numPr>
                <w:ilvl w:val="0"/>
                <w:numId w:val="746"/>
              </w:numPr>
              <w:rPr>
                <w:rFonts w:cs="Arial"/>
              </w:rPr>
            </w:pPr>
            <w:r w:rsidRPr="009B7B35">
              <w:rPr>
                <w:rFonts w:cs="Arial"/>
              </w:rPr>
              <w:t>no adverse ecological impacts on the receiving environment</w:t>
            </w:r>
          </w:p>
          <w:p w14:paraId="49C349F0" w14:textId="77777777" w:rsidR="00BE36FB" w:rsidRPr="009B7B35" w:rsidRDefault="00BE36FB" w:rsidP="00BE36FB">
            <w:pPr>
              <w:pStyle w:val="TableText"/>
              <w:numPr>
                <w:ilvl w:val="0"/>
                <w:numId w:val="746"/>
              </w:numPr>
              <w:rPr>
                <w:rFonts w:cs="Arial"/>
              </w:rPr>
            </w:pPr>
            <w:r w:rsidRPr="009B7B35">
              <w:rPr>
                <w:rFonts w:cs="Arial"/>
              </w:rPr>
              <w:t>cumulative impacts of onsite waste water treatment is considered in assessing the likely environmental impacts</w:t>
            </w:r>
          </w:p>
          <w:p w14:paraId="63F851FB" w14:textId="77777777" w:rsidR="00BE36FB" w:rsidRPr="009B7B35" w:rsidRDefault="00BE36FB" w:rsidP="00BE36FB">
            <w:pPr>
              <w:pStyle w:val="TableText"/>
              <w:numPr>
                <w:ilvl w:val="0"/>
                <w:numId w:val="746"/>
              </w:numPr>
              <w:rPr>
                <w:rFonts w:cs="Arial"/>
              </w:rPr>
            </w:pPr>
            <w:r w:rsidRPr="009B7B35">
              <w:rPr>
                <w:rFonts w:cs="Arial"/>
              </w:rPr>
              <w:t>public health is maintained</w:t>
            </w:r>
          </w:p>
          <w:p w14:paraId="486DE333" w14:textId="77777777" w:rsidR="00BE36FB" w:rsidRPr="009B7B35" w:rsidRDefault="00BE36FB" w:rsidP="00BE36FB">
            <w:pPr>
              <w:pStyle w:val="TableText"/>
              <w:numPr>
                <w:ilvl w:val="0"/>
                <w:numId w:val="746"/>
              </w:numPr>
              <w:rPr>
                <w:rFonts w:cs="Arial"/>
              </w:rPr>
            </w:pPr>
            <w:r w:rsidRPr="009B7B35">
              <w:rPr>
                <w:rFonts w:cs="Arial"/>
              </w:rPr>
              <w:t>the location, site area, soil type and topography is suitable for any on site waste water treatment, and</w:t>
            </w:r>
          </w:p>
          <w:p w14:paraId="3AB1ED46" w14:textId="77777777" w:rsidR="00BE36FB" w:rsidRPr="009B7B35" w:rsidRDefault="00BE36FB" w:rsidP="00BE36FB">
            <w:pPr>
              <w:pStyle w:val="TableText"/>
              <w:numPr>
                <w:ilvl w:val="0"/>
                <w:numId w:val="746"/>
              </w:numPr>
              <w:rPr>
                <w:rFonts w:cs="Arial"/>
              </w:rPr>
            </w:pPr>
            <w:r w:rsidRPr="009B7B35">
              <w:rPr>
                <w:rFonts w:cs="Arial"/>
              </w:rPr>
              <w:t>the reuse of waste water does not contaminate any surface water or ground water.</w:t>
            </w:r>
          </w:p>
        </w:tc>
        <w:tc>
          <w:tcPr>
            <w:tcW w:w="4678" w:type="dxa"/>
          </w:tcPr>
          <w:p w14:paraId="56E876C9"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AO2.1</w:t>
            </w:r>
          </w:p>
          <w:p w14:paraId="2F21ED7D" w14:textId="77777777" w:rsidR="00BE36FB" w:rsidRPr="009B7B35" w:rsidRDefault="00BE36FB" w:rsidP="001A7107">
            <w:pPr>
              <w:pStyle w:val="TableText"/>
              <w:rPr>
                <w:rFonts w:cs="Arial"/>
              </w:rPr>
            </w:pPr>
            <w:r w:rsidRPr="009B7B35">
              <w:rPr>
                <w:rFonts w:cs="Arial"/>
              </w:rPr>
              <w:t xml:space="preserve">Development is connected to Council’s reticulated sewerage treatment system, in accordance with the </w:t>
            </w:r>
            <w:r w:rsidRPr="009B7B35">
              <w:rPr>
                <w:rStyle w:val="StyleItalic"/>
                <w:rFonts w:cs="Arial"/>
              </w:rPr>
              <w:t>Engineering design planning scheme policy.</w:t>
            </w:r>
          </w:p>
          <w:p w14:paraId="43A0A08A" w14:textId="77777777" w:rsidR="00BE36FB" w:rsidRPr="009B7B35" w:rsidRDefault="00BE36FB" w:rsidP="001A7107">
            <w:pPr>
              <w:pStyle w:val="TableText"/>
              <w:rPr>
                <w:rFonts w:cs="Arial"/>
              </w:rPr>
            </w:pPr>
            <w:r w:rsidRPr="009B7B35">
              <w:rPr>
                <w:rFonts w:cs="Arial"/>
              </w:rPr>
              <w:t>OR</w:t>
            </w:r>
          </w:p>
          <w:p w14:paraId="043B9698" w14:textId="77777777" w:rsidR="00BE36FB" w:rsidRPr="009B7B35" w:rsidRDefault="00BE36FB" w:rsidP="001A7107">
            <w:pPr>
              <w:pStyle w:val="Tableheading"/>
              <w:rPr>
                <w:rStyle w:val="Strong"/>
                <w:rFonts w:ascii="Arial" w:hAnsi="Arial" w:cs="Arial"/>
                <w:szCs w:val="20"/>
              </w:rPr>
            </w:pPr>
            <w:r w:rsidRPr="009B7B35">
              <w:rPr>
                <w:rStyle w:val="Strong"/>
                <w:rFonts w:ascii="Arial" w:hAnsi="Arial" w:cs="Arial"/>
                <w:szCs w:val="20"/>
              </w:rPr>
              <w:t>AO2.2</w:t>
            </w:r>
          </w:p>
          <w:p w14:paraId="7D0CEB21" w14:textId="77777777" w:rsidR="00BE36FB" w:rsidRPr="009B7B35" w:rsidRDefault="00BE36FB" w:rsidP="001A7107">
            <w:pPr>
              <w:pStyle w:val="TableText"/>
              <w:rPr>
                <w:rFonts w:cs="Arial"/>
              </w:rPr>
            </w:pPr>
            <w:r w:rsidRPr="009B7B35">
              <w:rPr>
                <w:rFonts w:cs="Arial"/>
              </w:rPr>
              <w:t xml:space="preserve">If connection to Council’s reticulated sewerage treatment system is not possible, development waste water is treated in accordance with Council's </w:t>
            </w:r>
            <w:r w:rsidRPr="009B7B35">
              <w:rPr>
                <w:rFonts w:cs="Arial"/>
                <w:i/>
              </w:rPr>
              <w:t>Engineering design planning scheme policy</w:t>
            </w:r>
            <w:r w:rsidRPr="009B7B35">
              <w:rPr>
                <w:rFonts w:cs="Arial"/>
              </w:rPr>
              <w:t xml:space="preserve"> and relevant Australian Standards (including AS1547) and State requirements as amended.</w:t>
            </w:r>
          </w:p>
        </w:tc>
      </w:tr>
      <w:tr w:rsidR="00BE36FB" w:rsidRPr="009B7B35" w14:paraId="7CE33D3D" w14:textId="77777777" w:rsidTr="001A7107">
        <w:trPr>
          <w:cantSplit/>
        </w:trPr>
        <w:tc>
          <w:tcPr>
            <w:tcW w:w="4678" w:type="dxa"/>
            <w:vMerge w:val="restart"/>
          </w:tcPr>
          <w:p w14:paraId="27A45C80" w14:textId="77777777" w:rsidR="00BE36FB" w:rsidRPr="009B7B35" w:rsidRDefault="00BE36FB" w:rsidP="001A7107">
            <w:pPr>
              <w:pStyle w:val="TableText"/>
              <w:rPr>
                <w:rFonts w:cs="Arial"/>
                <w:b/>
              </w:rPr>
            </w:pPr>
            <w:r w:rsidRPr="009B7B35">
              <w:rPr>
                <w:rFonts w:cs="Arial"/>
                <w:b/>
              </w:rPr>
              <w:t>PO3</w:t>
            </w:r>
          </w:p>
          <w:p w14:paraId="677D5252" w14:textId="77777777" w:rsidR="00BE36FB" w:rsidRPr="009B7B35" w:rsidRDefault="00BE36FB" w:rsidP="001A7107">
            <w:pPr>
              <w:pStyle w:val="TableText"/>
              <w:rPr>
                <w:rFonts w:cs="Arial"/>
              </w:rPr>
            </w:pPr>
            <w:r w:rsidRPr="009B7B35">
              <w:rPr>
                <w:rFonts w:cs="Arial"/>
              </w:rPr>
              <w:t>Where not located in the Rural zone, electricity supply network and telecommunication service connections are provided to the site and are connected.</w:t>
            </w:r>
          </w:p>
        </w:tc>
        <w:tc>
          <w:tcPr>
            <w:tcW w:w="4678" w:type="dxa"/>
          </w:tcPr>
          <w:p w14:paraId="4DCBF9FE" w14:textId="77777777" w:rsidR="00BE36FB" w:rsidRPr="009B7B35" w:rsidRDefault="00BE36FB" w:rsidP="001A7107">
            <w:pPr>
              <w:pStyle w:val="TableText"/>
              <w:rPr>
                <w:rFonts w:cs="Arial"/>
              </w:rPr>
            </w:pPr>
            <w:r w:rsidRPr="009B7B35">
              <w:rPr>
                <w:rFonts w:cs="Arial"/>
                <w:b/>
              </w:rPr>
              <w:t>AO3.1</w:t>
            </w:r>
          </w:p>
          <w:p w14:paraId="254255D3" w14:textId="77777777" w:rsidR="00BE36FB" w:rsidRPr="009B7B35" w:rsidRDefault="00BE36FB" w:rsidP="001A7107">
            <w:pPr>
              <w:pStyle w:val="TableText"/>
              <w:rPr>
                <w:rFonts w:cs="Arial"/>
              </w:rPr>
            </w:pPr>
            <w:r w:rsidRPr="009B7B35">
              <w:rPr>
                <w:rFonts w:cs="Arial"/>
              </w:rPr>
              <w:t>The development is connected to electricity and telecommunications infrastructure in accordance with the standards of the relevant regulatory authority prior to the commencement of any use of the site.</w:t>
            </w:r>
          </w:p>
        </w:tc>
      </w:tr>
      <w:tr w:rsidR="00BE36FB" w:rsidRPr="009B7B35" w14:paraId="791B5057" w14:textId="77777777" w:rsidTr="001A7107">
        <w:trPr>
          <w:cantSplit/>
        </w:trPr>
        <w:tc>
          <w:tcPr>
            <w:tcW w:w="4678" w:type="dxa"/>
            <w:vMerge/>
          </w:tcPr>
          <w:p w14:paraId="34B15934" w14:textId="77777777" w:rsidR="00BE36FB" w:rsidRPr="009B7B35" w:rsidRDefault="00BE36FB" w:rsidP="001A7107">
            <w:pPr>
              <w:pStyle w:val="TableText"/>
              <w:rPr>
                <w:rFonts w:cs="Arial"/>
              </w:rPr>
            </w:pPr>
          </w:p>
        </w:tc>
        <w:tc>
          <w:tcPr>
            <w:tcW w:w="4678" w:type="dxa"/>
          </w:tcPr>
          <w:p w14:paraId="12B7E61A" w14:textId="77777777" w:rsidR="00BE36FB" w:rsidRPr="009B7B35" w:rsidRDefault="00BE36FB" w:rsidP="001A7107">
            <w:pPr>
              <w:pStyle w:val="TableText"/>
              <w:rPr>
                <w:rFonts w:cs="Arial"/>
                <w:b/>
              </w:rPr>
            </w:pPr>
            <w:r w:rsidRPr="009B7B35">
              <w:rPr>
                <w:rFonts w:cs="Arial"/>
                <w:b/>
              </w:rPr>
              <w:t>AO3.2</w:t>
            </w:r>
          </w:p>
          <w:p w14:paraId="34032E7D" w14:textId="77777777" w:rsidR="00BE36FB" w:rsidRPr="009B7B35" w:rsidRDefault="00BE36FB" w:rsidP="001A7107">
            <w:pPr>
              <w:pStyle w:val="TableText"/>
              <w:rPr>
                <w:rFonts w:cs="Arial"/>
              </w:rPr>
            </w:pPr>
            <w:r w:rsidRPr="009B7B35">
              <w:rPr>
                <w:rFonts w:cs="Arial"/>
              </w:rPr>
              <w:t>Where not included in the development, provision is made for future telecommunications services (such as fibre optic cable) in accordance with the standards of the relevant regulatory authority.</w:t>
            </w:r>
          </w:p>
        </w:tc>
      </w:tr>
      <w:tr w:rsidR="00BE36FB" w:rsidRPr="009B7B35" w14:paraId="7B15F26F" w14:textId="77777777" w:rsidTr="001A7107">
        <w:trPr>
          <w:cantSplit/>
          <w:trHeight w:val="1148"/>
        </w:trPr>
        <w:tc>
          <w:tcPr>
            <w:tcW w:w="4678" w:type="dxa"/>
            <w:vMerge w:val="restart"/>
          </w:tcPr>
          <w:p w14:paraId="27E61F21" w14:textId="77777777" w:rsidR="00BE36FB" w:rsidRPr="009B7B35" w:rsidRDefault="00BE36FB" w:rsidP="001A7107">
            <w:pPr>
              <w:rPr>
                <w:rStyle w:val="Strong"/>
                <w:rFonts w:eastAsiaTheme="majorEastAsia" w:cs="Arial"/>
                <w:sz w:val="20"/>
                <w:szCs w:val="20"/>
              </w:rPr>
            </w:pPr>
            <w:r w:rsidRPr="009B7B35">
              <w:rPr>
                <w:rStyle w:val="Strong"/>
                <w:rFonts w:eastAsiaTheme="majorEastAsia" w:cs="Arial"/>
                <w:sz w:val="20"/>
                <w:szCs w:val="20"/>
              </w:rPr>
              <w:t>PO4</w:t>
            </w:r>
          </w:p>
          <w:p w14:paraId="424502D7" w14:textId="77777777" w:rsidR="00BE36FB" w:rsidRPr="009B7B35" w:rsidRDefault="00BE36FB" w:rsidP="001A7107">
            <w:pPr>
              <w:rPr>
                <w:rFonts w:cs="Arial"/>
                <w:sz w:val="20"/>
                <w:szCs w:val="20"/>
              </w:rPr>
            </w:pPr>
            <w:r w:rsidRPr="009B7B35">
              <w:rPr>
                <w:rFonts w:cs="Arial"/>
                <w:sz w:val="20"/>
                <w:szCs w:val="20"/>
              </w:rPr>
              <w:t>Development in areas serviced by a reticulated water supply where:</w:t>
            </w:r>
          </w:p>
          <w:p w14:paraId="6C8AC161" w14:textId="77777777" w:rsidR="00BE36FB" w:rsidRPr="009B7B35" w:rsidRDefault="00BE36FB" w:rsidP="00BE36FB">
            <w:pPr>
              <w:pStyle w:val="ListParagraph"/>
              <w:numPr>
                <w:ilvl w:val="0"/>
                <w:numId w:val="797"/>
              </w:numPr>
              <w:ind w:left="510" w:hanging="510"/>
              <w:rPr>
                <w:rFonts w:cs="Arial"/>
                <w:szCs w:val="20"/>
              </w:rPr>
            </w:pPr>
            <w:r w:rsidRPr="009B7B35">
              <w:rPr>
                <w:rFonts w:cs="Arial"/>
                <w:szCs w:val="20"/>
              </w:rPr>
              <w:t>areas of the development are accessed by common private title or</w:t>
            </w:r>
          </w:p>
          <w:p w14:paraId="222986D3" w14:textId="77777777" w:rsidR="00BE36FB" w:rsidRPr="009B7B35" w:rsidRDefault="00BE36FB" w:rsidP="00BE36FB">
            <w:pPr>
              <w:pStyle w:val="ListParagraph"/>
              <w:numPr>
                <w:ilvl w:val="0"/>
                <w:numId w:val="797"/>
              </w:numPr>
              <w:ind w:left="510" w:hanging="510"/>
              <w:rPr>
                <w:rFonts w:cs="Arial"/>
                <w:szCs w:val="20"/>
              </w:rPr>
            </w:pPr>
            <w:r w:rsidRPr="009B7B35">
              <w:rPr>
                <w:rFonts w:cs="Arial"/>
                <w:szCs w:val="20"/>
              </w:rPr>
              <w:t xml:space="preserve"> the council infrastructure is not sufficient to provide fire fighting service in terms of pressure, flow or proximity,</w:t>
            </w:r>
          </w:p>
          <w:p w14:paraId="2E260560" w14:textId="77777777" w:rsidR="00BE36FB" w:rsidRPr="009B7B35" w:rsidRDefault="00BE36FB" w:rsidP="00BE36FB">
            <w:pPr>
              <w:pStyle w:val="ListParagraph"/>
              <w:numPr>
                <w:ilvl w:val="0"/>
                <w:numId w:val="797"/>
              </w:numPr>
              <w:ind w:left="510" w:hanging="510"/>
              <w:rPr>
                <w:rFonts w:cs="Arial"/>
                <w:b/>
                <w:szCs w:val="20"/>
              </w:rPr>
            </w:pPr>
            <w:r w:rsidRPr="009B7B35">
              <w:rPr>
                <w:rFonts w:cs="Arial"/>
                <w:szCs w:val="20"/>
              </w:rPr>
              <w:t>is serviced with appropriate privately owned internal fire hydrant infrastructure and provides unimpeded emergency access.</w:t>
            </w:r>
          </w:p>
        </w:tc>
        <w:tc>
          <w:tcPr>
            <w:tcW w:w="4678" w:type="dxa"/>
          </w:tcPr>
          <w:p w14:paraId="03A8FA9C"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AO4.1</w:t>
            </w:r>
          </w:p>
          <w:p w14:paraId="04A2F822" w14:textId="77777777" w:rsidR="00BE36FB" w:rsidRPr="009B7B35" w:rsidRDefault="00BE36FB" w:rsidP="001A7107">
            <w:pPr>
              <w:pStyle w:val="TableText"/>
              <w:rPr>
                <w:rFonts w:cs="Arial"/>
              </w:rPr>
            </w:pPr>
            <w:r w:rsidRPr="009B7B35">
              <w:rPr>
                <w:rFonts w:cs="Arial"/>
              </w:rPr>
              <w:t>Development, including buildings, both attached and detached, and not covered in other legislation or planning provisions mandating fire hydrants, conform with SPP Code: Fire services in developments accessed by common private title.</w:t>
            </w:r>
          </w:p>
        </w:tc>
      </w:tr>
      <w:tr w:rsidR="00BE36FB" w:rsidRPr="009B7B35" w14:paraId="2B28119F" w14:textId="77777777" w:rsidTr="001A7107">
        <w:trPr>
          <w:cantSplit/>
          <w:trHeight w:val="1148"/>
        </w:trPr>
        <w:tc>
          <w:tcPr>
            <w:tcW w:w="4678" w:type="dxa"/>
            <w:vMerge/>
          </w:tcPr>
          <w:p w14:paraId="14029479" w14:textId="77777777" w:rsidR="00BE36FB" w:rsidRPr="009B7B35" w:rsidRDefault="00BE36FB" w:rsidP="001A7107">
            <w:pPr>
              <w:rPr>
                <w:rStyle w:val="Strong"/>
                <w:rFonts w:eastAsiaTheme="majorEastAsia" w:cs="Arial"/>
                <w:sz w:val="20"/>
                <w:szCs w:val="20"/>
              </w:rPr>
            </w:pPr>
          </w:p>
        </w:tc>
        <w:tc>
          <w:tcPr>
            <w:tcW w:w="4678" w:type="dxa"/>
          </w:tcPr>
          <w:p w14:paraId="42069B15"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AO4.2</w:t>
            </w:r>
          </w:p>
          <w:p w14:paraId="12784627" w14:textId="77777777" w:rsidR="00BE36FB" w:rsidRPr="009B7B35" w:rsidRDefault="00BE36FB" w:rsidP="001A7107">
            <w:pPr>
              <w:pStyle w:val="TableText"/>
              <w:rPr>
                <w:rStyle w:val="Strong"/>
                <w:rFonts w:eastAsiaTheme="majorEastAsia" w:cs="Arial"/>
                <w:b w:val="0"/>
                <w:bCs w:val="0"/>
              </w:rPr>
            </w:pPr>
            <w:r w:rsidRPr="009B7B35">
              <w:rPr>
                <w:rStyle w:val="Strong"/>
                <w:rFonts w:eastAsiaTheme="majorEastAsia" w:cs="Arial"/>
                <w:b w:val="0"/>
              </w:rPr>
              <w:t>Fire fighting infrastructure located within private property (excluding reticulated mains and hydrants on reticulated mains) is owned maintained by a party other than Council.</w:t>
            </w:r>
          </w:p>
        </w:tc>
      </w:tr>
      <w:tr w:rsidR="00BE36FB" w:rsidRPr="009B7B35" w14:paraId="0EA5BD71" w14:textId="77777777" w:rsidTr="001A7107">
        <w:trPr>
          <w:cantSplit/>
        </w:trPr>
        <w:tc>
          <w:tcPr>
            <w:tcW w:w="9356" w:type="dxa"/>
            <w:gridSpan w:val="2"/>
            <w:shd w:val="clear" w:color="auto" w:fill="BFBFBF" w:themeFill="background1" w:themeFillShade="BF"/>
          </w:tcPr>
          <w:p w14:paraId="3B38D73B" w14:textId="77777777" w:rsidR="00BE36FB" w:rsidRPr="009B7B35" w:rsidRDefault="00BE36FB" w:rsidP="001A7107">
            <w:pPr>
              <w:pStyle w:val="Tableheading"/>
              <w:rPr>
                <w:rFonts w:ascii="Arial" w:hAnsi="Arial" w:cs="Arial"/>
                <w:szCs w:val="20"/>
              </w:rPr>
            </w:pPr>
            <w:r w:rsidRPr="009B7B35">
              <w:rPr>
                <w:rFonts w:ascii="Arial" w:hAnsi="Arial" w:cs="Arial"/>
                <w:szCs w:val="20"/>
              </w:rPr>
              <w:t>Stormwater management</w:t>
            </w:r>
          </w:p>
        </w:tc>
      </w:tr>
      <w:tr w:rsidR="00BE36FB" w:rsidRPr="009B7B35" w14:paraId="0273CA61" w14:textId="77777777" w:rsidTr="001A7107">
        <w:trPr>
          <w:cantSplit/>
        </w:trPr>
        <w:tc>
          <w:tcPr>
            <w:tcW w:w="4678" w:type="dxa"/>
            <w:vMerge w:val="restart"/>
          </w:tcPr>
          <w:p w14:paraId="076144B6" w14:textId="77777777"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5</w:t>
            </w:r>
          </w:p>
          <w:p w14:paraId="3995B77C" w14:textId="77777777" w:rsidR="00BE36FB" w:rsidRPr="009B7B35" w:rsidRDefault="00BE36FB" w:rsidP="001A7107">
            <w:pPr>
              <w:pStyle w:val="TableText"/>
              <w:rPr>
                <w:rFonts w:cs="Arial"/>
              </w:rPr>
            </w:pPr>
            <w:r w:rsidRPr="009B7B35">
              <w:rPr>
                <w:rFonts w:cs="Arial"/>
              </w:rPr>
              <w:t xml:space="preserve">Stormwater management is designed and operated to: </w:t>
            </w:r>
          </w:p>
          <w:p w14:paraId="3FACE0D2" w14:textId="77777777" w:rsidR="00BE36FB" w:rsidRPr="009B7B35" w:rsidRDefault="00BE36FB" w:rsidP="00BE36FB">
            <w:pPr>
              <w:pStyle w:val="TableText"/>
              <w:numPr>
                <w:ilvl w:val="0"/>
                <w:numId w:val="747"/>
              </w:numPr>
              <w:rPr>
                <w:rFonts w:cs="Arial"/>
              </w:rPr>
            </w:pPr>
            <w:r w:rsidRPr="009B7B35">
              <w:rPr>
                <w:rFonts w:cs="Arial"/>
              </w:rPr>
              <w:t>ensure that adjoining land and upstream and downstream areas are not adversely affected through any ponding or changes in flows, and</w:t>
            </w:r>
          </w:p>
          <w:p w14:paraId="6639AAC8" w14:textId="77777777" w:rsidR="00BE36FB" w:rsidRPr="009B7B35" w:rsidRDefault="00BE36FB" w:rsidP="00BE36FB">
            <w:pPr>
              <w:pStyle w:val="TableText"/>
              <w:numPr>
                <w:ilvl w:val="0"/>
                <w:numId w:val="747"/>
              </w:numPr>
              <w:rPr>
                <w:rFonts w:cs="Arial"/>
              </w:rPr>
            </w:pPr>
            <w:r w:rsidRPr="009B7B35">
              <w:rPr>
                <w:rFonts w:cs="Arial"/>
              </w:rPr>
              <w:t>direct stormwater to a lawful point of discharge through competently designed and constructed outlet works in a manner that reflects the predevelopment status.</w:t>
            </w:r>
          </w:p>
        </w:tc>
        <w:tc>
          <w:tcPr>
            <w:tcW w:w="4678" w:type="dxa"/>
          </w:tcPr>
          <w:p w14:paraId="4D59BA55"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AO5.1</w:t>
            </w:r>
          </w:p>
          <w:p w14:paraId="064E3C81" w14:textId="77777777" w:rsidR="00BE36FB" w:rsidRPr="009B7B35" w:rsidRDefault="00BE36FB" w:rsidP="001A7107">
            <w:pPr>
              <w:pStyle w:val="TableText"/>
              <w:rPr>
                <w:rFonts w:cs="Arial"/>
              </w:rPr>
            </w:pPr>
            <w:r w:rsidRPr="009B7B35">
              <w:rPr>
                <w:rFonts w:cs="Arial"/>
              </w:rPr>
              <w:t>Development does not result in an increase in flood level flow velocity or flood duration on upstream, downstream or adjacent properties.</w:t>
            </w:r>
          </w:p>
        </w:tc>
      </w:tr>
      <w:tr w:rsidR="00BE36FB" w:rsidRPr="009B7B35" w14:paraId="2B963EF3" w14:textId="77777777" w:rsidTr="001A7107">
        <w:trPr>
          <w:cantSplit/>
        </w:trPr>
        <w:tc>
          <w:tcPr>
            <w:tcW w:w="4678" w:type="dxa"/>
            <w:vMerge/>
          </w:tcPr>
          <w:p w14:paraId="2F27907B" w14:textId="77777777" w:rsidR="00BE36FB" w:rsidRPr="009B7B35" w:rsidRDefault="00BE36FB" w:rsidP="001A7107">
            <w:pPr>
              <w:pStyle w:val="TableText"/>
              <w:rPr>
                <w:rFonts w:cs="Arial"/>
              </w:rPr>
            </w:pPr>
          </w:p>
        </w:tc>
        <w:tc>
          <w:tcPr>
            <w:tcW w:w="4678" w:type="dxa"/>
          </w:tcPr>
          <w:p w14:paraId="1BDE7CBB"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AO5.2</w:t>
            </w:r>
          </w:p>
          <w:p w14:paraId="4163C556" w14:textId="77777777" w:rsidR="00BE36FB" w:rsidRPr="009B7B35" w:rsidRDefault="00BE36FB" w:rsidP="001A7107">
            <w:pPr>
              <w:pStyle w:val="TableText"/>
              <w:rPr>
                <w:rFonts w:cs="Arial"/>
              </w:rPr>
            </w:pPr>
            <w:r w:rsidRPr="009B7B35">
              <w:rPr>
                <w:rFonts w:cs="Arial"/>
              </w:rPr>
              <w:t xml:space="preserve">Stormwater (including roof and surface water) is conveyed to the kerb and channel or other lawful point of discharge in accordance with the requirements of the </w:t>
            </w:r>
            <w:r w:rsidRPr="009B7B35">
              <w:rPr>
                <w:rFonts w:cs="Arial"/>
                <w:i/>
              </w:rPr>
              <w:t>Engineering design planning scheme policy.</w:t>
            </w:r>
          </w:p>
        </w:tc>
      </w:tr>
      <w:tr w:rsidR="00BE36FB" w:rsidRPr="009B7B35" w14:paraId="5F6EDF58" w14:textId="77777777" w:rsidTr="001A7107">
        <w:trPr>
          <w:cantSplit/>
        </w:trPr>
        <w:tc>
          <w:tcPr>
            <w:tcW w:w="4678" w:type="dxa"/>
          </w:tcPr>
          <w:p w14:paraId="3DF9A76D"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PO6</w:t>
            </w:r>
          </w:p>
          <w:p w14:paraId="2D98CE73" w14:textId="77777777" w:rsidR="00BE36FB" w:rsidRPr="009B7B35" w:rsidRDefault="00BE36FB" w:rsidP="001A7107">
            <w:pPr>
              <w:pStyle w:val="TableText"/>
              <w:rPr>
                <w:rFonts w:cs="Arial"/>
              </w:rPr>
            </w:pPr>
            <w:r w:rsidRPr="009B7B35">
              <w:rPr>
                <w:rFonts w:cs="Arial"/>
              </w:rPr>
              <w:t>Stormwater drainage network elements are designed and constructed with the capacity to control stormwater flows under normal and minor system blockage conditions for the applicable defined flood event ensuring there is no damage to property or hazards for motorists.</w:t>
            </w:r>
          </w:p>
        </w:tc>
        <w:tc>
          <w:tcPr>
            <w:tcW w:w="4678" w:type="dxa"/>
          </w:tcPr>
          <w:p w14:paraId="5A34E10D"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AO6</w:t>
            </w:r>
          </w:p>
          <w:p w14:paraId="39AA904E" w14:textId="77777777" w:rsidR="00BE36FB" w:rsidRPr="009B7B35" w:rsidRDefault="00BE36FB" w:rsidP="001A7107">
            <w:pPr>
              <w:pStyle w:val="TableText"/>
              <w:rPr>
                <w:rFonts w:cs="Arial"/>
              </w:rPr>
            </w:pPr>
            <w:r w:rsidRPr="009B7B35">
              <w:rPr>
                <w:rFonts w:cs="Arial"/>
              </w:rPr>
              <w:t xml:space="preserve">Stormwater infrastructure is designed and constructed in accordance with the requirements of the </w:t>
            </w:r>
            <w:r w:rsidRPr="009B7B35">
              <w:rPr>
                <w:rFonts w:cs="Arial"/>
                <w:i/>
              </w:rPr>
              <w:t>Engineering design planning scheme policy</w:t>
            </w:r>
            <w:r w:rsidRPr="009B7B35">
              <w:rPr>
                <w:rFonts w:cs="Arial"/>
              </w:rPr>
              <w:t>.</w:t>
            </w:r>
          </w:p>
        </w:tc>
      </w:tr>
      <w:tr w:rsidR="00BE36FB" w:rsidRPr="009B7B35" w14:paraId="7C7E9DA9" w14:textId="77777777" w:rsidTr="001A7107">
        <w:trPr>
          <w:trHeight w:val="305"/>
        </w:trPr>
        <w:tc>
          <w:tcPr>
            <w:tcW w:w="9356" w:type="dxa"/>
            <w:gridSpan w:val="2"/>
            <w:shd w:val="clear" w:color="auto" w:fill="BFBFBF" w:themeFill="background1" w:themeFillShade="BF"/>
          </w:tcPr>
          <w:p w14:paraId="3B7B1919" w14:textId="77777777" w:rsidR="00BE36FB" w:rsidRPr="009B7B35" w:rsidRDefault="00BE36FB" w:rsidP="001A7107">
            <w:pPr>
              <w:pStyle w:val="Tableheading"/>
              <w:rPr>
                <w:rFonts w:ascii="Arial" w:hAnsi="Arial" w:cs="Arial"/>
                <w:szCs w:val="20"/>
              </w:rPr>
            </w:pPr>
            <w:r w:rsidRPr="009B7B35">
              <w:rPr>
                <w:rStyle w:val="Strong"/>
                <w:rFonts w:ascii="Arial" w:hAnsi="Arial" w:cs="Arial"/>
                <w:b/>
                <w:szCs w:val="20"/>
              </w:rPr>
              <w:t>Wastewater</w:t>
            </w:r>
          </w:p>
        </w:tc>
      </w:tr>
      <w:tr w:rsidR="00BE36FB" w:rsidRPr="009B7B35" w14:paraId="19C1C758" w14:textId="77777777" w:rsidTr="001A7107">
        <w:tc>
          <w:tcPr>
            <w:tcW w:w="4678" w:type="dxa"/>
          </w:tcPr>
          <w:p w14:paraId="20734479"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PO7</w:t>
            </w:r>
          </w:p>
          <w:p w14:paraId="011694FA" w14:textId="77777777" w:rsidR="00BE36FB" w:rsidRPr="009B7B35" w:rsidRDefault="00BE36FB" w:rsidP="001A7107">
            <w:pPr>
              <w:pStyle w:val="TableText"/>
              <w:rPr>
                <w:rFonts w:cs="Arial"/>
              </w:rPr>
            </w:pPr>
            <w:r w:rsidRPr="009B7B35">
              <w:rPr>
                <w:rFonts w:cs="Arial"/>
              </w:rPr>
              <w:t>Wastewater is managed to:</w:t>
            </w:r>
          </w:p>
          <w:p w14:paraId="5A5DE514" w14:textId="77777777" w:rsidR="00BE36FB" w:rsidRPr="009B7B35" w:rsidRDefault="00BE36FB" w:rsidP="00BE36FB">
            <w:pPr>
              <w:pStyle w:val="TableText"/>
              <w:numPr>
                <w:ilvl w:val="0"/>
                <w:numId w:val="715"/>
              </w:numPr>
              <w:rPr>
                <w:rFonts w:cs="Arial"/>
              </w:rPr>
            </w:pPr>
            <w:r w:rsidRPr="009B7B35">
              <w:rPr>
                <w:rFonts w:cs="Arial"/>
              </w:rPr>
              <w:t>avoid wastewater discharge to any waterway, and</w:t>
            </w:r>
          </w:p>
          <w:p w14:paraId="5F2A1B30" w14:textId="77777777" w:rsidR="00BE36FB" w:rsidRPr="009B7B35" w:rsidRDefault="00BE36FB" w:rsidP="00BE36FB">
            <w:pPr>
              <w:pStyle w:val="TableText"/>
              <w:numPr>
                <w:ilvl w:val="0"/>
                <w:numId w:val="715"/>
              </w:numPr>
              <w:rPr>
                <w:rFonts w:cs="Arial"/>
              </w:rPr>
            </w:pPr>
            <w:r w:rsidRPr="009B7B35">
              <w:rPr>
                <w:rFonts w:cs="Arial"/>
              </w:rPr>
              <w:t>if wastewater discharge to waterways cannot be practically avoided, discharge is minimised by re–use, recycling, recovery and treatment for disposal to sewer, surface water and groundwater.</w:t>
            </w:r>
          </w:p>
          <w:p w14:paraId="6D61ED75" w14:textId="77777777" w:rsidR="00BE36FB" w:rsidRPr="009B7B35" w:rsidRDefault="00BE36FB" w:rsidP="001A7107">
            <w:pPr>
              <w:pStyle w:val="Notes"/>
              <w:rPr>
                <w:rFonts w:cs="Arial"/>
                <w:sz w:val="20"/>
                <w:szCs w:val="20"/>
              </w:rPr>
            </w:pPr>
            <w:r w:rsidRPr="009B7B35">
              <w:rPr>
                <w:rFonts w:cs="Arial"/>
                <w:sz w:val="20"/>
                <w:szCs w:val="20"/>
              </w:rPr>
              <w:t>Note—Wastewater is defined in accordance with Environmental Protection (Water) Policy 2009, schedule 2).</w:t>
            </w:r>
          </w:p>
          <w:p w14:paraId="60DF865B" w14:textId="77777777" w:rsidR="00BE36FB" w:rsidRPr="009B7B35" w:rsidRDefault="00BE36FB" w:rsidP="001A7107">
            <w:pPr>
              <w:pStyle w:val="Notes"/>
              <w:rPr>
                <w:rFonts w:cs="Arial"/>
                <w:sz w:val="20"/>
                <w:szCs w:val="20"/>
              </w:rPr>
            </w:pPr>
            <w:r w:rsidRPr="009B7B35">
              <w:rPr>
                <w:rFonts w:cs="Arial"/>
                <w:sz w:val="20"/>
                <w:szCs w:val="20"/>
              </w:rPr>
              <w:t xml:space="preserve">Note—A wastewater management plan (WWMP) is prepared by a suitably qualified person and addresses: </w:t>
            </w:r>
          </w:p>
          <w:p w14:paraId="7A323DC7" w14:textId="77777777" w:rsidR="00BE36FB" w:rsidRPr="009B7B35" w:rsidRDefault="00BE36FB" w:rsidP="001A7107">
            <w:pPr>
              <w:pStyle w:val="Notesbullet"/>
              <w:rPr>
                <w:rFonts w:cs="Arial"/>
                <w:sz w:val="20"/>
                <w:szCs w:val="20"/>
              </w:rPr>
            </w:pPr>
            <w:r w:rsidRPr="009B7B35">
              <w:rPr>
                <w:rFonts w:cs="Arial"/>
                <w:sz w:val="20"/>
                <w:szCs w:val="20"/>
              </w:rPr>
              <w:t>wastewater type, and</w:t>
            </w:r>
          </w:p>
          <w:p w14:paraId="7478EAA2" w14:textId="77777777" w:rsidR="00BE36FB" w:rsidRPr="009B7B35" w:rsidRDefault="00BE36FB" w:rsidP="001A7107">
            <w:pPr>
              <w:pStyle w:val="Notesbullet"/>
              <w:rPr>
                <w:rFonts w:cs="Arial"/>
                <w:sz w:val="20"/>
                <w:szCs w:val="20"/>
              </w:rPr>
            </w:pPr>
            <w:r w:rsidRPr="009B7B35">
              <w:rPr>
                <w:rFonts w:cs="Arial"/>
                <w:sz w:val="20"/>
                <w:szCs w:val="20"/>
              </w:rPr>
              <w:t>climatic conditions, and</w:t>
            </w:r>
          </w:p>
          <w:p w14:paraId="5DCE460E" w14:textId="77777777" w:rsidR="00BE36FB" w:rsidRPr="009B7B35" w:rsidRDefault="00BE36FB" w:rsidP="001A7107">
            <w:pPr>
              <w:pStyle w:val="Notesbullet"/>
              <w:rPr>
                <w:rFonts w:cs="Arial"/>
                <w:sz w:val="20"/>
                <w:szCs w:val="20"/>
              </w:rPr>
            </w:pPr>
            <w:r w:rsidRPr="009B7B35">
              <w:rPr>
                <w:rFonts w:cs="Arial"/>
                <w:sz w:val="20"/>
                <w:szCs w:val="20"/>
              </w:rPr>
              <w:t>water quality objectives (WQOs), and</w:t>
            </w:r>
          </w:p>
          <w:p w14:paraId="4D627501" w14:textId="77777777" w:rsidR="00BE36FB" w:rsidRPr="009B7B35" w:rsidRDefault="00BE36FB" w:rsidP="001A7107">
            <w:pPr>
              <w:pStyle w:val="Notesbullet"/>
              <w:rPr>
                <w:rFonts w:cs="Arial"/>
                <w:sz w:val="20"/>
                <w:szCs w:val="20"/>
              </w:rPr>
            </w:pPr>
            <w:r w:rsidRPr="009B7B35">
              <w:rPr>
                <w:rFonts w:cs="Arial"/>
                <w:sz w:val="20"/>
                <w:szCs w:val="20"/>
              </w:rPr>
              <w:t>best–practice environmental management.</w:t>
            </w:r>
          </w:p>
        </w:tc>
        <w:tc>
          <w:tcPr>
            <w:tcW w:w="4678" w:type="dxa"/>
          </w:tcPr>
          <w:p w14:paraId="552F931C"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AO7</w:t>
            </w:r>
          </w:p>
          <w:p w14:paraId="1D2B7AA8" w14:textId="77777777" w:rsidR="00BE36FB" w:rsidRPr="009B7B35" w:rsidRDefault="00BE36FB" w:rsidP="001A7107">
            <w:pPr>
              <w:pStyle w:val="TableText"/>
              <w:rPr>
                <w:rFonts w:cs="Arial"/>
              </w:rPr>
            </w:pPr>
            <w:r w:rsidRPr="009B7B35">
              <w:rPr>
                <w:rFonts w:cs="Arial"/>
              </w:rPr>
              <w:t>Development does not discharge wastewater into any waterways.</w:t>
            </w:r>
          </w:p>
          <w:p w14:paraId="280D3E92" w14:textId="77777777" w:rsidR="00BE36FB" w:rsidRPr="009B7B35" w:rsidRDefault="00BE36FB">
            <w:pPr>
              <w:pStyle w:val="TableText"/>
              <w:rPr>
                <w:rFonts w:cs="Arial"/>
              </w:rPr>
            </w:pPr>
          </w:p>
          <w:p w14:paraId="1F264214" w14:textId="77777777" w:rsidR="00BE36FB" w:rsidRPr="009B7B35" w:rsidRDefault="00BE36FB">
            <w:pPr>
              <w:pStyle w:val="TableText"/>
              <w:rPr>
                <w:rFonts w:cs="Arial"/>
                <w:highlight w:val="yellow"/>
              </w:rPr>
            </w:pPr>
          </w:p>
        </w:tc>
      </w:tr>
      <w:tr w:rsidR="00BE36FB" w:rsidRPr="009B7B35" w14:paraId="0ED44B3E" w14:textId="77777777" w:rsidTr="001A7107">
        <w:trPr>
          <w:cantSplit/>
          <w:trHeight w:val="320"/>
        </w:trPr>
        <w:tc>
          <w:tcPr>
            <w:tcW w:w="9356" w:type="dxa"/>
            <w:gridSpan w:val="2"/>
            <w:shd w:val="clear" w:color="auto" w:fill="BFBFBF" w:themeFill="background1" w:themeFillShade="BF"/>
          </w:tcPr>
          <w:p w14:paraId="3A0938C9"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Earthworks and retaining walls</w:t>
            </w:r>
          </w:p>
        </w:tc>
      </w:tr>
      <w:tr w:rsidR="00BE36FB" w:rsidRPr="009B7B35" w14:paraId="3AF968BC" w14:textId="77777777" w:rsidTr="001A7107">
        <w:trPr>
          <w:trHeight w:val="4321"/>
        </w:trPr>
        <w:tc>
          <w:tcPr>
            <w:tcW w:w="4678" w:type="dxa"/>
            <w:vMerge w:val="restart"/>
          </w:tcPr>
          <w:p w14:paraId="0157434C"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PO8</w:t>
            </w:r>
          </w:p>
          <w:p w14:paraId="0BBD6FD0" w14:textId="77777777" w:rsidR="00BE36FB" w:rsidRPr="009B7B35" w:rsidRDefault="00BE36FB" w:rsidP="001A7107">
            <w:pPr>
              <w:pStyle w:val="TableText"/>
              <w:rPr>
                <w:rStyle w:val="Strong"/>
                <w:rFonts w:eastAsiaTheme="majorEastAsia" w:cs="Arial"/>
                <w:b w:val="0"/>
                <w:bCs w:val="0"/>
              </w:rPr>
            </w:pPr>
            <w:r w:rsidRPr="009B7B35">
              <w:rPr>
                <w:rStyle w:val="Strong"/>
                <w:rFonts w:eastAsiaTheme="majorEastAsia" w:cs="Arial"/>
                <w:b w:val="0"/>
              </w:rPr>
              <w:t>Development is designed such that earthworks and any associated retaining structures:</w:t>
            </w:r>
          </w:p>
          <w:p w14:paraId="7D7730B0" w14:textId="77777777" w:rsidR="00BE36FB" w:rsidRPr="009B7B35" w:rsidRDefault="00BE36FB" w:rsidP="00BE36FB">
            <w:pPr>
              <w:pStyle w:val="TableText"/>
              <w:numPr>
                <w:ilvl w:val="0"/>
                <w:numId w:val="798"/>
              </w:numPr>
              <w:ind w:left="510" w:hanging="567"/>
              <w:rPr>
                <w:rStyle w:val="Strong"/>
                <w:rFonts w:eastAsiaTheme="majorEastAsia" w:cs="Arial"/>
                <w:b w:val="0"/>
                <w:bCs w:val="0"/>
              </w:rPr>
            </w:pPr>
            <w:r w:rsidRPr="009B7B35">
              <w:rPr>
                <w:rStyle w:val="Strong"/>
                <w:rFonts w:eastAsiaTheme="majorEastAsia" w:cs="Arial"/>
                <w:b w:val="0"/>
              </w:rPr>
              <w:t xml:space="preserve">result in a landform that is stable, </w:t>
            </w:r>
          </w:p>
          <w:p w14:paraId="6093C922" w14:textId="77777777" w:rsidR="00BE36FB" w:rsidRPr="009B7B35" w:rsidRDefault="00BE36FB" w:rsidP="00BE36FB">
            <w:pPr>
              <w:pStyle w:val="TableText"/>
              <w:numPr>
                <w:ilvl w:val="0"/>
                <w:numId w:val="798"/>
              </w:numPr>
              <w:ind w:left="510" w:hanging="567"/>
              <w:rPr>
                <w:rStyle w:val="Strong"/>
                <w:rFonts w:eastAsiaTheme="majorEastAsia" w:cs="Arial"/>
                <w:b w:val="0"/>
                <w:bCs w:val="0"/>
              </w:rPr>
            </w:pPr>
            <w:r w:rsidRPr="009B7B35">
              <w:rPr>
                <w:rStyle w:val="Strong"/>
                <w:rFonts w:eastAsiaTheme="majorEastAsia" w:cs="Arial"/>
                <w:b w:val="0"/>
              </w:rPr>
              <w:t xml:space="preserve">maintain as far as practical, and minimise alteration to, the existing landforms,  </w:t>
            </w:r>
          </w:p>
          <w:p w14:paraId="209802E2" w14:textId="77777777" w:rsidR="00BE36FB" w:rsidRPr="009B7B35" w:rsidRDefault="00BE36FB" w:rsidP="00BE36FB">
            <w:pPr>
              <w:pStyle w:val="TableText"/>
              <w:numPr>
                <w:ilvl w:val="0"/>
                <w:numId w:val="798"/>
              </w:numPr>
              <w:ind w:left="510" w:hanging="567"/>
              <w:rPr>
                <w:rStyle w:val="Strong"/>
                <w:rFonts w:eastAsiaTheme="majorEastAsia" w:cs="Arial"/>
                <w:b w:val="0"/>
                <w:bCs w:val="0"/>
              </w:rPr>
            </w:pPr>
            <w:r w:rsidRPr="009B7B35">
              <w:rPr>
                <w:rStyle w:val="Strong"/>
                <w:rFonts w:eastAsiaTheme="majorEastAsia" w:cs="Arial"/>
                <w:b w:val="0"/>
              </w:rPr>
              <w:t>minimise height of batter faces and retaining structures,</w:t>
            </w:r>
          </w:p>
          <w:p w14:paraId="02B3504D" w14:textId="77777777" w:rsidR="00BE36FB" w:rsidRPr="009B7B35" w:rsidRDefault="00BE36FB" w:rsidP="00BE36FB">
            <w:pPr>
              <w:pStyle w:val="TableText"/>
              <w:numPr>
                <w:ilvl w:val="0"/>
                <w:numId w:val="798"/>
              </w:numPr>
              <w:ind w:left="510" w:hanging="567"/>
              <w:rPr>
                <w:rStyle w:val="Strong"/>
                <w:rFonts w:eastAsiaTheme="majorEastAsia" w:cs="Arial"/>
                <w:b w:val="0"/>
                <w:bCs w:val="0"/>
              </w:rPr>
            </w:pPr>
            <w:r w:rsidRPr="009B7B35">
              <w:rPr>
                <w:rStyle w:val="Strong"/>
                <w:rFonts w:eastAsiaTheme="majorEastAsia" w:cs="Arial"/>
                <w:b w:val="0"/>
              </w:rPr>
              <w:t xml:space="preserve">do not unduly impact on the amenity or privacy for occupants of the site or on adjoining land, </w:t>
            </w:r>
          </w:p>
          <w:p w14:paraId="341C564A" w14:textId="77777777" w:rsidR="00BE36FB" w:rsidRPr="009B7B35" w:rsidRDefault="00BE36FB" w:rsidP="00BE36FB">
            <w:pPr>
              <w:pStyle w:val="TableText"/>
              <w:numPr>
                <w:ilvl w:val="0"/>
                <w:numId w:val="798"/>
              </w:numPr>
              <w:ind w:left="510" w:hanging="567"/>
              <w:rPr>
                <w:rStyle w:val="Strong"/>
                <w:rFonts w:eastAsiaTheme="majorEastAsia" w:cs="Arial"/>
                <w:b w:val="0"/>
                <w:bCs w:val="0"/>
              </w:rPr>
            </w:pPr>
            <w:r w:rsidRPr="009B7B35">
              <w:rPr>
                <w:rStyle w:val="Strong"/>
                <w:rFonts w:eastAsiaTheme="majorEastAsia" w:cs="Arial"/>
                <w:b w:val="0"/>
              </w:rPr>
              <w:t>do not unduly impact on the amenity of the streetscape,</w:t>
            </w:r>
          </w:p>
          <w:p w14:paraId="3E273731" w14:textId="77777777" w:rsidR="00BE36FB" w:rsidRPr="009B7B35" w:rsidRDefault="00BE36FB" w:rsidP="00BE36FB">
            <w:pPr>
              <w:pStyle w:val="TableText"/>
              <w:numPr>
                <w:ilvl w:val="0"/>
                <w:numId w:val="798"/>
              </w:numPr>
              <w:ind w:left="510" w:hanging="567"/>
              <w:rPr>
                <w:rStyle w:val="Strong"/>
                <w:rFonts w:eastAsiaTheme="majorEastAsia" w:cs="Arial"/>
                <w:b w:val="0"/>
                <w:bCs w:val="0"/>
              </w:rPr>
            </w:pPr>
            <w:r w:rsidRPr="009B7B35">
              <w:rPr>
                <w:rStyle w:val="Strong"/>
                <w:rFonts w:eastAsiaTheme="majorEastAsia" w:cs="Arial"/>
                <w:b w:val="0"/>
              </w:rPr>
              <w:t>achieves a high level of visual amenity,</w:t>
            </w:r>
          </w:p>
          <w:p w14:paraId="017D2946" w14:textId="77777777" w:rsidR="00BE36FB" w:rsidRPr="009B7B35" w:rsidRDefault="00BE36FB" w:rsidP="00BE36FB">
            <w:pPr>
              <w:pStyle w:val="TableText"/>
              <w:numPr>
                <w:ilvl w:val="0"/>
                <w:numId w:val="798"/>
              </w:numPr>
              <w:ind w:left="510" w:hanging="567"/>
              <w:rPr>
                <w:rStyle w:val="Strong"/>
                <w:rFonts w:eastAsiaTheme="majorEastAsia" w:cs="Arial"/>
                <w:b w:val="0"/>
                <w:bCs w:val="0"/>
              </w:rPr>
            </w:pPr>
            <w:r w:rsidRPr="009B7B35">
              <w:rPr>
                <w:rStyle w:val="Strong"/>
                <w:rFonts w:eastAsiaTheme="majorEastAsia" w:cs="Arial"/>
                <w:b w:val="0"/>
              </w:rPr>
              <w:t>does not prevent or obstruct the function of adjacent sites including land in Council ownership; and</w:t>
            </w:r>
          </w:p>
          <w:p w14:paraId="39A50712" w14:textId="77777777" w:rsidR="00BE36FB" w:rsidRPr="009B7B35" w:rsidRDefault="00BE36FB" w:rsidP="00BE36FB">
            <w:pPr>
              <w:pStyle w:val="TableText"/>
              <w:numPr>
                <w:ilvl w:val="0"/>
                <w:numId w:val="798"/>
              </w:numPr>
              <w:ind w:left="510" w:hanging="567"/>
              <w:rPr>
                <w:rStyle w:val="Strong"/>
                <w:rFonts w:eastAsiaTheme="majorEastAsia" w:cs="Arial"/>
              </w:rPr>
            </w:pPr>
            <w:r w:rsidRPr="009B7B35">
              <w:rPr>
                <w:rStyle w:val="Strong"/>
                <w:rFonts w:eastAsiaTheme="majorEastAsia" w:cs="Arial"/>
                <w:b w:val="0"/>
              </w:rPr>
              <w:t>are designed and constructed so that they do not cause unintentional ponding (i.e. ponding not associated with stormwater control) on the site or on nearby land.</w:t>
            </w:r>
          </w:p>
          <w:p w14:paraId="0B0D1090" w14:textId="77777777" w:rsidR="00BE36FB" w:rsidRPr="009B7B35" w:rsidRDefault="00BE36FB" w:rsidP="001A7107">
            <w:pPr>
              <w:pStyle w:val="TableText"/>
              <w:rPr>
                <w:rStyle w:val="Strong"/>
                <w:rFonts w:eastAsiaTheme="majorEastAsia" w:cs="Arial"/>
              </w:rPr>
            </w:pPr>
          </w:p>
        </w:tc>
        <w:tc>
          <w:tcPr>
            <w:tcW w:w="4678" w:type="dxa"/>
          </w:tcPr>
          <w:p w14:paraId="0F412D25"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AO8.1</w:t>
            </w:r>
          </w:p>
          <w:p w14:paraId="526DAD32" w14:textId="77777777" w:rsidR="00BE36FB" w:rsidRPr="009B7B35" w:rsidRDefault="00BE36FB" w:rsidP="001A7107">
            <w:pPr>
              <w:pStyle w:val="TableText"/>
              <w:rPr>
                <w:rStyle w:val="Strong"/>
                <w:rFonts w:eastAsiaTheme="majorEastAsia" w:cs="Arial"/>
                <w:b w:val="0"/>
                <w:bCs w:val="0"/>
              </w:rPr>
            </w:pPr>
            <w:r w:rsidRPr="009B7B35">
              <w:rPr>
                <w:rStyle w:val="Strong"/>
                <w:rFonts w:eastAsiaTheme="majorEastAsia" w:cs="Arial"/>
                <w:b w:val="0"/>
              </w:rPr>
              <w:t xml:space="preserve">Earthworks and any retaining structures (including anchors, sheet piling, seepage drains, construction requirements and retained soil etc.) and their zone of influence must: </w:t>
            </w:r>
          </w:p>
          <w:p w14:paraId="549A3F50" w14:textId="77777777" w:rsidR="00BE36FB" w:rsidRPr="009B7B35" w:rsidRDefault="00BE36FB" w:rsidP="00BE36FB">
            <w:pPr>
              <w:pStyle w:val="TableText"/>
              <w:numPr>
                <w:ilvl w:val="0"/>
                <w:numId w:val="799"/>
              </w:numPr>
              <w:ind w:left="510" w:hanging="510"/>
              <w:rPr>
                <w:rStyle w:val="Strong"/>
                <w:rFonts w:eastAsiaTheme="majorEastAsia" w:cs="Arial"/>
                <w:b w:val="0"/>
                <w:bCs w:val="0"/>
              </w:rPr>
            </w:pPr>
            <w:r w:rsidRPr="009B7B35">
              <w:rPr>
                <w:rStyle w:val="Strong"/>
                <w:rFonts w:eastAsiaTheme="majorEastAsia" w:cs="Arial"/>
                <w:b w:val="0"/>
              </w:rPr>
              <w:t>be wholly contained within the development site;</w:t>
            </w:r>
          </w:p>
          <w:p w14:paraId="3C7BCC56" w14:textId="77777777" w:rsidR="00BE36FB" w:rsidRPr="009B7B35" w:rsidRDefault="00BE36FB" w:rsidP="00BE36FB">
            <w:pPr>
              <w:pStyle w:val="TableText"/>
              <w:numPr>
                <w:ilvl w:val="0"/>
                <w:numId w:val="799"/>
              </w:numPr>
              <w:ind w:left="510" w:hanging="510"/>
              <w:rPr>
                <w:rStyle w:val="Strong"/>
                <w:rFonts w:eastAsiaTheme="majorEastAsia" w:cs="Arial"/>
                <w:b w:val="0"/>
                <w:bCs w:val="0"/>
              </w:rPr>
            </w:pPr>
            <w:r w:rsidRPr="009B7B35">
              <w:rPr>
                <w:rStyle w:val="Strong"/>
                <w:rFonts w:eastAsiaTheme="majorEastAsia" w:cs="Arial"/>
                <w:b w:val="0"/>
              </w:rPr>
              <w:t xml:space="preserve">ensure the top and toe of any batter slope (excluding those associated with road works) is a minimum of 0.9m horizontally from the boundary of the development site; </w:t>
            </w:r>
          </w:p>
          <w:p w14:paraId="745AC4C6" w14:textId="77777777" w:rsidR="00BE36FB" w:rsidRPr="009B7B35" w:rsidRDefault="00BE36FB" w:rsidP="00BE36FB">
            <w:pPr>
              <w:pStyle w:val="TableText"/>
              <w:numPr>
                <w:ilvl w:val="0"/>
                <w:numId w:val="799"/>
              </w:numPr>
              <w:ind w:left="510" w:hanging="510"/>
              <w:rPr>
                <w:rStyle w:val="Strong"/>
                <w:rFonts w:eastAsiaTheme="majorEastAsia" w:cs="Arial"/>
                <w:b w:val="0"/>
                <w:bCs w:val="0"/>
              </w:rPr>
            </w:pPr>
            <w:r w:rsidRPr="009B7B35">
              <w:rPr>
                <w:rStyle w:val="Strong"/>
                <w:rFonts w:eastAsiaTheme="majorEastAsia" w:cs="Arial"/>
                <w:b w:val="0"/>
              </w:rPr>
              <w:t xml:space="preserve">not be located on land in Council ownership (e.g. road reserves, parks and drainage reserves) </w:t>
            </w:r>
          </w:p>
          <w:p w14:paraId="593BCF59" w14:textId="77777777" w:rsidR="00BE36FB" w:rsidRPr="009B7B35" w:rsidRDefault="00BE36FB" w:rsidP="00BE36FB">
            <w:pPr>
              <w:pStyle w:val="TableText"/>
              <w:numPr>
                <w:ilvl w:val="0"/>
                <w:numId w:val="799"/>
              </w:numPr>
              <w:ind w:left="510" w:hanging="510"/>
              <w:rPr>
                <w:rStyle w:val="Strong"/>
                <w:rFonts w:eastAsiaTheme="majorEastAsia" w:cs="Arial"/>
                <w:b w:val="0"/>
                <w:bCs w:val="0"/>
              </w:rPr>
            </w:pPr>
            <w:r w:rsidRPr="009B7B35">
              <w:rPr>
                <w:rStyle w:val="Strong"/>
                <w:rFonts w:eastAsiaTheme="majorEastAsia" w:cs="Arial"/>
                <w:b w:val="0"/>
              </w:rPr>
              <w:t>not include any services within the retained soil (as determined by the internal friction angle of the soil being retained) or the zone of influence of the retaining structures' foundation; and</w:t>
            </w:r>
          </w:p>
          <w:p w14:paraId="668E6711" w14:textId="77777777" w:rsidR="00BE36FB" w:rsidRPr="009B7B35" w:rsidRDefault="00BE36FB" w:rsidP="00BE36FB">
            <w:pPr>
              <w:pStyle w:val="TableText"/>
              <w:numPr>
                <w:ilvl w:val="0"/>
                <w:numId w:val="799"/>
              </w:numPr>
              <w:ind w:left="510" w:hanging="510"/>
              <w:rPr>
                <w:rStyle w:val="Strong"/>
                <w:rFonts w:eastAsiaTheme="majorEastAsia" w:cs="Arial"/>
                <w:b w:val="0"/>
                <w:bCs w:val="0"/>
              </w:rPr>
            </w:pPr>
            <w:r w:rsidRPr="009B7B35">
              <w:rPr>
                <w:rStyle w:val="Strong"/>
                <w:rFonts w:eastAsiaTheme="majorEastAsia" w:cs="Arial"/>
                <w:b w:val="0"/>
              </w:rPr>
              <w:t>allow for the installation and maintenance of services within any retaining structures</w:t>
            </w:r>
          </w:p>
          <w:p w14:paraId="0014D9EF" w14:textId="77777777" w:rsidR="00BE36FB" w:rsidRPr="009B7B35" w:rsidRDefault="00BE36FB" w:rsidP="00BE36FB">
            <w:pPr>
              <w:pStyle w:val="TableText"/>
              <w:numPr>
                <w:ilvl w:val="0"/>
                <w:numId w:val="799"/>
              </w:numPr>
              <w:ind w:left="510" w:hanging="510"/>
              <w:rPr>
                <w:rStyle w:val="Strong"/>
                <w:rFonts w:eastAsiaTheme="majorEastAsia" w:cs="Arial"/>
                <w:b w:val="0"/>
                <w:bCs w:val="0"/>
              </w:rPr>
            </w:pPr>
            <w:r w:rsidRPr="009B7B35">
              <w:rPr>
                <w:rFonts w:cs="Arial"/>
              </w:rPr>
              <w:t>excavating or filling is no greater than 1m.</w:t>
            </w:r>
          </w:p>
        </w:tc>
      </w:tr>
      <w:tr w:rsidR="00BE36FB" w:rsidRPr="009B7B35" w14:paraId="5C70C7AC" w14:textId="77777777" w:rsidTr="001A7107">
        <w:trPr>
          <w:trHeight w:val="969"/>
        </w:trPr>
        <w:tc>
          <w:tcPr>
            <w:tcW w:w="4678" w:type="dxa"/>
            <w:vMerge/>
          </w:tcPr>
          <w:p w14:paraId="0D33D602" w14:textId="77777777" w:rsidR="00BE36FB" w:rsidRPr="009B7B35" w:rsidRDefault="00BE36FB" w:rsidP="001A7107">
            <w:pPr>
              <w:pStyle w:val="TableText"/>
              <w:rPr>
                <w:rStyle w:val="Strong"/>
                <w:rFonts w:eastAsiaTheme="majorEastAsia" w:cs="Arial"/>
              </w:rPr>
            </w:pPr>
          </w:p>
        </w:tc>
        <w:tc>
          <w:tcPr>
            <w:tcW w:w="4678" w:type="dxa"/>
          </w:tcPr>
          <w:p w14:paraId="18A5C672"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AO8.2</w:t>
            </w:r>
          </w:p>
          <w:p w14:paraId="2ABAD457" w14:textId="77777777" w:rsidR="00BE36FB" w:rsidRPr="009B7B35" w:rsidRDefault="00BE36FB" w:rsidP="001A7107">
            <w:pPr>
              <w:pStyle w:val="TableText"/>
              <w:rPr>
                <w:rStyle w:val="Strong"/>
                <w:rFonts w:eastAsiaTheme="majorEastAsia" w:cs="Arial"/>
              </w:rPr>
            </w:pPr>
            <w:r w:rsidRPr="009B7B35">
              <w:rPr>
                <w:rFonts w:cs="Arial"/>
              </w:rPr>
              <w:t>Development is designed such that the steepest formed batter slope is 1 vertical to 4 horizontal</w:t>
            </w:r>
          </w:p>
        </w:tc>
      </w:tr>
      <w:tr w:rsidR="00BE36FB" w:rsidRPr="009B7B35" w14:paraId="627E4C2F" w14:textId="77777777" w:rsidTr="001A7107">
        <w:trPr>
          <w:trHeight w:val="1197"/>
        </w:trPr>
        <w:tc>
          <w:tcPr>
            <w:tcW w:w="4678" w:type="dxa"/>
            <w:vMerge/>
          </w:tcPr>
          <w:p w14:paraId="6DA908EB" w14:textId="77777777" w:rsidR="00BE36FB" w:rsidRPr="009B7B35" w:rsidRDefault="00BE36FB" w:rsidP="001A7107">
            <w:pPr>
              <w:pStyle w:val="TableText"/>
              <w:rPr>
                <w:rStyle w:val="Strong"/>
                <w:rFonts w:eastAsiaTheme="majorEastAsia" w:cs="Arial"/>
              </w:rPr>
            </w:pPr>
          </w:p>
        </w:tc>
        <w:tc>
          <w:tcPr>
            <w:tcW w:w="4678" w:type="dxa"/>
          </w:tcPr>
          <w:p w14:paraId="08C80DBF"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AO8.3</w:t>
            </w:r>
          </w:p>
          <w:p w14:paraId="7DC3FAED" w14:textId="77777777" w:rsidR="00BE36FB" w:rsidRPr="009B7B35" w:rsidRDefault="00BE36FB" w:rsidP="001A7107">
            <w:pPr>
              <w:pStyle w:val="TableText"/>
              <w:rPr>
                <w:rStyle w:val="Strong"/>
                <w:rFonts w:eastAsiaTheme="majorEastAsia" w:cs="Arial"/>
              </w:rPr>
            </w:pPr>
            <w:r w:rsidRPr="009B7B35">
              <w:rPr>
                <w:rFonts w:cs="Arial"/>
              </w:rPr>
              <w:t>Earthworks and any associated retaining structures are designed and constructed in accordance with the Engineering Design Planning Scheme Policy</w:t>
            </w:r>
          </w:p>
        </w:tc>
      </w:tr>
      <w:tr w:rsidR="00BE36FB" w:rsidRPr="009B7B35" w14:paraId="4D93B015" w14:textId="77777777" w:rsidTr="001A7107">
        <w:trPr>
          <w:trHeight w:val="444"/>
        </w:trPr>
        <w:tc>
          <w:tcPr>
            <w:tcW w:w="4678" w:type="dxa"/>
            <w:vMerge/>
          </w:tcPr>
          <w:p w14:paraId="223D8B1B" w14:textId="77777777" w:rsidR="00BE36FB" w:rsidRPr="009B7B35" w:rsidRDefault="00BE36FB" w:rsidP="001A7107">
            <w:pPr>
              <w:pStyle w:val="TableText"/>
              <w:rPr>
                <w:rStyle w:val="Strong"/>
                <w:rFonts w:eastAsiaTheme="majorEastAsia" w:cs="Arial"/>
              </w:rPr>
            </w:pPr>
          </w:p>
        </w:tc>
        <w:tc>
          <w:tcPr>
            <w:tcW w:w="4678" w:type="dxa"/>
          </w:tcPr>
          <w:p w14:paraId="2E0E5118"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AO8.4</w:t>
            </w:r>
          </w:p>
          <w:p w14:paraId="7649C7BA" w14:textId="77777777" w:rsidR="00BE36FB" w:rsidRPr="009B7B35" w:rsidRDefault="00BE36FB" w:rsidP="001A7107">
            <w:pPr>
              <w:pStyle w:val="TableText"/>
              <w:rPr>
                <w:rStyle w:val="Strong"/>
                <w:rFonts w:eastAsiaTheme="majorEastAsia" w:cs="Arial"/>
                <w:b w:val="0"/>
                <w:bCs w:val="0"/>
              </w:rPr>
            </w:pPr>
            <w:r w:rsidRPr="009B7B35">
              <w:rPr>
                <w:rStyle w:val="Strong"/>
                <w:rFonts w:eastAsiaTheme="majorEastAsia" w:cs="Arial"/>
                <w:b w:val="0"/>
              </w:rPr>
              <w:t>For Reconfiguring A Lot applications:</w:t>
            </w:r>
          </w:p>
          <w:p w14:paraId="07802BC0" w14:textId="77777777" w:rsidR="00BE36FB" w:rsidRPr="009B7B35" w:rsidRDefault="00BE36FB" w:rsidP="00BE36FB">
            <w:pPr>
              <w:pStyle w:val="TableText"/>
              <w:numPr>
                <w:ilvl w:val="0"/>
                <w:numId w:val="800"/>
              </w:numPr>
              <w:ind w:left="510" w:hanging="510"/>
              <w:rPr>
                <w:rStyle w:val="Strong"/>
                <w:rFonts w:eastAsiaTheme="majorEastAsia" w:cs="Arial"/>
                <w:b w:val="0"/>
                <w:bCs w:val="0"/>
              </w:rPr>
            </w:pPr>
            <w:r w:rsidRPr="009B7B35">
              <w:rPr>
                <w:rStyle w:val="Strong"/>
                <w:rFonts w:eastAsiaTheme="majorEastAsia" w:cs="Arial"/>
                <w:b w:val="0"/>
              </w:rPr>
              <w:t>constructed embankment slopes are located along the rear and side boundaries of adjoining allotments and</w:t>
            </w:r>
            <w:r w:rsidRPr="009B7B35">
              <w:rPr>
                <w:rStyle w:val="Strong"/>
                <w:rFonts w:eastAsiaTheme="majorEastAsia" w:cs="Arial"/>
              </w:rPr>
              <w:t xml:space="preserve"> </w:t>
            </w:r>
            <w:r w:rsidRPr="009B7B35">
              <w:rPr>
                <w:rStyle w:val="Strong"/>
                <w:rFonts w:eastAsiaTheme="majorEastAsia" w:cs="Arial"/>
                <w:b w:val="0"/>
              </w:rPr>
              <w:t>are designed and constructed:</w:t>
            </w:r>
          </w:p>
          <w:p w14:paraId="5B1B1DEB" w14:textId="77777777" w:rsidR="00BE36FB" w:rsidRPr="009B7B35" w:rsidRDefault="00BE36FB" w:rsidP="00BE36FB">
            <w:pPr>
              <w:pStyle w:val="TableText"/>
              <w:numPr>
                <w:ilvl w:val="0"/>
                <w:numId w:val="801"/>
              </w:numPr>
              <w:ind w:hanging="210"/>
              <w:rPr>
                <w:rStyle w:val="Strong"/>
                <w:rFonts w:eastAsiaTheme="majorEastAsia" w:cs="Arial"/>
                <w:b w:val="0"/>
                <w:bCs w:val="0"/>
              </w:rPr>
            </w:pPr>
            <w:r w:rsidRPr="009B7B35">
              <w:rPr>
                <w:rStyle w:val="Strong"/>
                <w:rFonts w:eastAsiaTheme="majorEastAsia" w:cs="Arial"/>
                <w:b w:val="0"/>
              </w:rPr>
              <w:t>within the development site,</w:t>
            </w:r>
          </w:p>
          <w:p w14:paraId="3A57B0EA" w14:textId="77777777" w:rsidR="00BE36FB" w:rsidRPr="009B7B35" w:rsidRDefault="00BE36FB" w:rsidP="00BE36FB">
            <w:pPr>
              <w:pStyle w:val="TableText"/>
              <w:numPr>
                <w:ilvl w:val="0"/>
                <w:numId w:val="801"/>
              </w:numPr>
              <w:ind w:hanging="210"/>
              <w:rPr>
                <w:rStyle w:val="Strong"/>
                <w:rFonts w:eastAsiaTheme="majorEastAsia" w:cs="Arial"/>
                <w:b w:val="0"/>
                <w:bCs w:val="0"/>
              </w:rPr>
            </w:pPr>
            <w:r w:rsidRPr="009B7B35">
              <w:rPr>
                <w:rStyle w:val="Strong"/>
                <w:rFonts w:eastAsiaTheme="majorEastAsia" w:cs="Arial"/>
                <w:b w:val="0"/>
              </w:rPr>
              <w:t xml:space="preserve">on land which is not to enter Council ownership, </w:t>
            </w:r>
          </w:p>
          <w:p w14:paraId="512AD41A" w14:textId="77777777" w:rsidR="00BE36FB" w:rsidRPr="009B7B35" w:rsidRDefault="00BE36FB" w:rsidP="00BE36FB">
            <w:pPr>
              <w:pStyle w:val="TableText"/>
              <w:numPr>
                <w:ilvl w:val="0"/>
                <w:numId w:val="801"/>
              </w:numPr>
              <w:ind w:hanging="210"/>
              <w:rPr>
                <w:rStyle w:val="Strong"/>
                <w:rFonts w:eastAsiaTheme="majorEastAsia" w:cs="Arial"/>
                <w:b w:val="0"/>
                <w:bCs w:val="0"/>
              </w:rPr>
            </w:pPr>
            <w:r w:rsidRPr="009B7B35">
              <w:rPr>
                <w:rStyle w:val="Strong"/>
                <w:rFonts w:eastAsiaTheme="majorEastAsia" w:cs="Arial"/>
                <w:b w:val="0"/>
              </w:rPr>
              <w:t>within the allotment located on the low side of the common boundary, and</w:t>
            </w:r>
          </w:p>
          <w:p w14:paraId="7317D424" w14:textId="77777777" w:rsidR="00BE36FB" w:rsidRPr="009B7B35" w:rsidRDefault="00BE36FB" w:rsidP="00BE36FB">
            <w:pPr>
              <w:pStyle w:val="TableText"/>
              <w:numPr>
                <w:ilvl w:val="0"/>
                <w:numId w:val="801"/>
              </w:numPr>
              <w:ind w:hanging="210"/>
              <w:rPr>
                <w:rStyle w:val="Strong"/>
                <w:rFonts w:eastAsiaTheme="majorEastAsia" w:cs="Arial"/>
                <w:b w:val="0"/>
                <w:bCs w:val="0"/>
              </w:rPr>
            </w:pPr>
            <w:r w:rsidRPr="009B7B35">
              <w:rPr>
                <w:rStyle w:val="Strong"/>
                <w:rFonts w:eastAsiaTheme="majorEastAsia" w:cs="Arial"/>
                <w:b w:val="0"/>
              </w:rPr>
              <w:t>with a top and toe at least 0.9m horizontally from the boundary</w:t>
            </w:r>
          </w:p>
          <w:p w14:paraId="74325C17" w14:textId="77777777" w:rsidR="00BE36FB" w:rsidRPr="009B7B35" w:rsidRDefault="00BE36FB" w:rsidP="00BE36FB">
            <w:pPr>
              <w:pStyle w:val="TableText"/>
              <w:numPr>
                <w:ilvl w:val="0"/>
                <w:numId w:val="800"/>
              </w:numPr>
              <w:ind w:left="510" w:hanging="510"/>
              <w:rPr>
                <w:rStyle w:val="Strong"/>
                <w:rFonts w:eastAsiaTheme="majorEastAsia" w:cs="Arial"/>
                <w:b w:val="0"/>
                <w:bCs w:val="0"/>
              </w:rPr>
            </w:pPr>
            <w:r w:rsidRPr="009B7B35">
              <w:rPr>
                <w:rStyle w:val="Strong"/>
                <w:rFonts w:eastAsiaTheme="majorEastAsia" w:cs="Arial"/>
                <w:b w:val="0"/>
              </w:rPr>
              <w:t>retaining walls are located along the rear and side boundaries of adjoining allotments and</w:t>
            </w:r>
            <w:r w:rsidRPr="009B7B35">
              <w:rPr>
                <w:rStyle w:val="Strong"/>
                <w:rFonts w:eastAsiaTheme="majorEastAsia" w:cs="Arial"/>
              </w:rPr>
              <w:t xml:space="preserve"> </w:t>
            </w:r>
            <w:r w:rsidRPr="009B7B35">
              <w:rPr>
                <w:rStyle w:val="Strong"/>
                <w:rFonts w:eastAsiaTheme="majorEastAsia" w:cs="Arial"/>
                <w:b w:val="0"/>
              </w:rPr>
              <w:t>are designed and constructed either:</w:t>
            </w:r>
          </w:p>
          <w:p w14:paraId="4B03D7AA" w14:textId="77777777" w:rsidR="00BE36FB" w:rsidRPr="009B7B35" w:rsidRDefault="00BE36FB" w:rsidP="00BE36FB">
            <w:pPr>
              <w:pStyle w:val="TableText"/>
              <w:numPr>
                <w:ilvl w:val="0"/>
                <w:numId w:val="802"/>
              </w:numPr>
              <w:ind w:hanging="210"/>
              <w:rPr>
                <w:rStyle w:val="Strong"/>
                <w:rFonts w:eastAsiaTheme="majorEastAsia" w:cs="Arial"/>
                <w:b w:val="0"/>
                <w:bCs w:val="0"/>
              </w:rPr>
            </w:pPr>
            <w:r w:rsidRPr="009B7B35">
              <w:rPr>
                <w:rStyle w:val="Strong"/>
                <w:rFonts w:eastAsiaTheme="majorEastAsia" w:cs="Arial"/>
                <w:b w:val="0"/>
              </w:rPr>
              <w:t xml:space="preserve">on the low side of the common boundary with a top at least 0.9m horizontally from the boundary; or </w:t>
            </w:r>
          </w:p>
          <w:p w14:paraId="6D757197" w14:textId="77777777" w:rsidR="00BE36FB" w:rsidRPr="009B7B35" w:rsidRDefault="00BE36FB" w:rsidP="00BE36FB">
            <w:pPr>
              <w:pStyle w:val="TableText"/>
              <w:numPr>
                <w:ilvl w:val="0"/>
                <w:numId w:val="802"/>
              </w:numPr>
              <w:ind w:hanging="210"/>
              <w:rPr>
                <w:rStyle w:val="Strong"/>
                <w:rFonts w:eastAsiaTheme="majorEastAsia" w:cs="Arial"/>
              </w:rPr>
            </w:pPr>
            <w:r w:rsidRPr="009B7B35">
              <w:rPr>
                <w:rStyle w:val="Strong"/>
                <w:rFonts w:eastAsiaTheme="majorEastAsia" w:cs="Arial"/>
                <w:b w:val="0"/>
              </w:rPr>
              <w:t>on the high side of the common boundary with a toe at least 5m horizontally from the boundary</w:t>
            </w:r>
          </w:p>
        </w:tc>
      </w:tr>
      <w:tr w:rsidR="00BE36FB" w:rsidRPr="009B7B35" w14:paraId="0FED3472" w14:textId="77777777" w:rsidTr="001A7107">
        <w:trPr>
          <w:cantSplit/>
        </w:trPr>
        <w:tc>
          <w:tcPr>
            <w:tcW w:w="9356" w:type="dxa"/>
            <w:gridSpan w:val="2"/>
            <w:shd w:val="clear" w:color="auto" w:fill="BFBFBF" w:themeFill="background1" w:themeFillShade="BF"/>
          </w:tcPr>
          <w:p w14:paraId="35D6E3C8"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Parking and access </w:t>
            </w:r>
          </w:p>
        </w:tc>
      </w:tr>
      <w:tr w:rsidR="00BE36FB" w:rsidRPr="009B7B35" w14:paraId="1914D306" w14:textId="77777777" w:rsidTr="001A7107">
        <w:trPr>
          <w:cantSplit/>
        </w:trPr>
        <w:tc>
          <w:tcPr>
            <w:tcW w:w="4678" w:type="dxa"/>
          </w:tcPr>
          <w:p w14:paraId="1A01A327"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PO9</w:t>
            </w:r>
          </w:p>
          <w:p w14:paraId="4BDCC950" w14:textId="77777777" w:rsidR="00BE36FB" w:rsidRPr="009B7B35" w:rsidRDefault="00BE36FB" w:rsidP="001A7107">
            <w:pPr>
              <w:pStyle w:val="TableText"/>
              <w:rPr>
                <w:rFonts w:cs="Arial"/>
              </w:rPr>
            </w:pPr>
            <w:r w:rsidRPr="009B7B35">
              <w:rPr>
                <w:rFonts w:cs="Arial"/>
              </w:rPr>
              <w:t xml:space="preserve">Development includes the provision of adequate and convenient car and bicycle parking on–site to satisfy the anticipated requirements of the activity. </w:t>
            </w:r>
          </w:p>
        </w:tc>
        <w:tc>
          <w:tcPr>
            <w:tcW w:w="4678" w:type="dxa"/>
          </w:tcPr>
          <w:p w14:paraId="7023DA1A"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AO9</w:t>
            </w:r>
          </w:p>
          <w:p w14:paraId="2A7301B2" w14:textId="77777777" w:rsidR="00BE36FB" w:rsidRPr="009B7B35" w:rsidRDefault="00BE36FB" w:rsidP="001A7107">
            <w:pPr>
              <w:pStyle w:val="TableText"/>
              <w:rPr>
                <w:rFonts w:cs="Arial"/>
              </w:rPr>
            </w:pPr>
            <w:r w:rsidRPr="009B7B35">
              <w:rPr>
                <w:rFonts w:cs="Arial"/>
              </w:rPr>
              <w:t xml:space="preserve">Car parking and bicycle parking is provided on site in accordance with the rates specified in the </w:t>
            </w:r>
            <w:r w:rsidRPr="009B7B35">
              <w:rPr>
                <w:rStyle w:val="StyleItalic"/>
                <w:rFonts w:cs="Arial"/>
              </w:rPr>
              <w:t>Parking rates planning scheme policy</w:t>
            </w:r>
            <w:r w:rsidRPr="009B7B35">
              <w:rPr>
                <w:rFonts w:cs="Arial"/>
              </w:rPr>
              <w:t>.</w:t>
            </w:r>
          </w:p>
        </w:tc>
      </w:tr>
      <w:tr w:rsidR="00BE36FB" w:rsidRPr="009B7B35" w14:paraId="1B263509" w14:textId="77777777" w:rsidTr="001A7107">
        <w:trPr>
          <w:cantSplit/>
        </w:trPr>
        <w:tc>
          <w:tcPr>
            <w:tcW w:w="4678" w:type="dxa"/>
          </w:tcPr>
          <w:p w14:paraId="4EF039FC"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PO10</w:t>
            </w:r>
          </w:p>
          <w:p w14:paraId="70ED6A36" w14:textId="77777777" w:rsidR="00BE36FB" w:rsidRPr="009B7B35" w:rsidRDefault="00BE36FB" w:rsidP="001A7107">
            <w:pPr>
              <w:pStyle w:val="TableText"/>
              <w:rPr>
                <w:rFonts w:cs="Arial"/>
              </w:rPr>
            </w:pPr>
            <w:r w:rsidRPr="009B7B35">
              <w:rPr>
                <w:rFonts w:cs="Arial"/>
              </w:rPr>
              <w:t xml:space="preserve">Where in urban areas, development provides end of trip facilities to encourage people to engage in active transport (bicycles and pedestrians): </w:t>
            </w:r>
          </w:p>
          <w:p w14:paraId="5F108882" w14:textId="77777777" w:rsidR="00BE36FB" w:rsidRPr="009B7B35" w:rsidRDefault="00BE36FB" w:rsidP="00BE36FB">
            <w:pPr>
              <w:pStyle w:val="TableText"/>
              <w:numPr>
                <w:ilvl w:val="0"/>
                <w:numId w:val="716"/>
              </w:numPr>
              <w:rPr>
                <w:rFonts w:cs="Arial"/>
              </w:rPr>
            </w:pPr>
            <w:r w:rsidRPr="009B7B35">
              <w:rPr>
                <w:rFonts w:cs="Arial"/>
              </w:rPr>
              <w:t>to meet the needs of users and promote active modes of travel</w:t>
            </w:r>
          </w:p>
          <w:p w14:paraId="1851DCD7" w14:textId="77777777" w:rsidR="00BE36FB" w:rsidRPr="009B7B35" w:rsidRDefault="00BE36FB" w:rsidP="00BE36FB">
            <w:pPr>
              <w:pStyle w:val="TableText"/>
              <w:numPr>
                <w:ilvl w:val="0"/>
                <w:numId w:val="716"/>
              </w:numPr>
              <w:rPr>
                <w:rFonts w:cs="Arial"/>
              </w:rPr>
            </w:pPr>
            <w:r w:rsidRPr="009B7B35">
              <w:rPr>
                <w:rFonts w:cs="Arial"/>
              </w:rPr>
              <w:t>at convenient, easily identifiable, safe locations, and</w:t>
            </w:r>
          </w:p>
          <w:p w14:paraId="1791D004" w14:textId="77777777" w:rsidR="00BE36FB" w:rsidRPr="009B7B35" w:rsidRDefault="00BE36FB" w:rsidP="00BE36FB">
            <w:pPr>
              <w:pStyle w:val="TableText"/>
              <w:numPr>
                <w:ilvl w:val="0"/>
                <w:numId w:val="716"/>
              </w:numPr>
              <w:rPr>
                <w:rFonts w:cs="Arial"/>
              </w:rPr>
            </w:pPr>
            <w:r w:rsidRPr="009B7B35">
              <w:rPr>
                <w:rFonts w:cs="Arial"/>
              </w:rPr>
              <w:t xml:space="preserve">in locations that do not obstruct vehicular, bicycle or pedestrian movement paths. </w:t>
            </w:r>
          </w:p>
        </w:tc>
        <w:tc>
          <w:tcPr>
            <w:tcW w:w="4678" w:type="dxa"/>
          </w:tcPr>
          <w:p w14:paraId="4FE5EDDD"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AO10</w:t>
            </w:r>
          </w:p>
          <w:p w14:paraId="42E30AE8" w14:textId="77777777" w:rsidR="00BE36FB" w:rsidRPr="009B7B35" w:rsidRDefault="00BE36FB" w:rsidP="001A7107">
            <w:pPr>
              <w:pStyle w:val="TableText"/>
              <w:rPr>
                <w:rFonts w:cs="Arial"/>
              </w:rPr>
            </w:pPr>
            <w:r w:rsidRPr="009B7B35">
              <w:rPr>
                <w:rFonts w:cs="Arial"/>
              </w:rPr>
              <w:t xml:space="preserve">Development provides cycling and pedestrian end of trip facilities, in accordance with the requirements of the </w:t>
            </w:r>
            <w:r w:rsidRPr="009B7B35">
              <w:rPr>
                <w:rFonts w:cs="Arial"/>
                <w:i/>
              </w:rPr>
              <w:t>Queensland Development Code.</w:t>
            </w:r>
          </w:p>
        </w:tc>
      </w:tr>
      <w:tr w:rsidR="00BE36FB" w:rsidRPr="009B7B35" w14:paraId="21AAEA2D" w14:textId="77777777" w:rsidTr="001A7107">
        <w:trPr>
          <w:cantSplit/>
        </w:trPr>
        <w:tc>
          <w:tcPr>
            <w:tcW w:w="4678" w:type="dxa"/>
            <w:vMerge w:val="restart"/>
          </w:tcPr>
          <w:p w14:paraId="23CD4A13"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PO11</w:t>
            </w:r>
          </w:p>
          <w:p w14:paraId="159F9066" w14:textId="77777777" w:rsidR="00BE36FB" w:rsidRPr="009B7B35" w:rsidRDefault="00BE36FB" w:rsidP="001A7107">
            <w:pPr>
              <w:pStyle w:val="TableText"/>
              <w:rPr>
                <w:rFonts w:cs="Arial"/>
              </w:rPr>
            </w:pPr>
            <w:r w:rsidRPr="009B7B35">
              <w:rPr>
                <w:rFonts w:cs="Arial"/>
              </w:rPr>
              <w:t>Access driveways are designed and constructed to:</w:t>
            </w:r>
          </w:p>
          <w:p w14:paraId="25735633" w14:textId="77777777" w:rsidR="00BE36FB" w:rsidRPr="009B7B35" w:rsidRDefault="00BE36FB" w:rsidP="00BE36FB">
            <w:pPr>
              <w:pStyle w:val="TableText"/>
              <w:numPr>
                <w:ilvl w:val="0"/>
                <w:numId w:val="748"/>
              </w:numPr>
              <w:rPr>
                <w:rFonts w:cs="Arial"/>
              </w:rPr>
            </w:pPr>
            <w:r w:rsidRPr="009B7B35">
              <w:rPr>
                <w:rFonts w:cs="Arial"/>
              </w:rPr>
              <w:t>provide convenient access to the site and maintain the safety and efficiency of the road</w:t>
            </w:r>
          </w:p>
          <w:p w14:paraId="54BE9E65" w14:textId="77777777" w:rsidR="00BE36FB" w:rsidRPr="009B7B35" w:rsidRDefault="00BE36FB" w:rsidP="00BE36FB">
            <w:pPr>
              <w:pStyle w:val="TableText"/>
              <w:numPr>
                <w:ilvl w:val="0"/>
                <w:numId w:val="748"/>
              </w:numPr>
              <w:rPr>
                <w:rFonts w:cs="Arial"/>
              </w:rPr>
            </w:pPr>
            <w:r w:rsidRPr="009B7B35">
              <w:rPr>
                <w:rFonts w:cs="Arial"/>
              </w:rPr>
              <w:t>minimise conflicts with traffic and pedestrians, and</w:t>
            </w:r>
          </w:p>
          <w:p w14:paraId="2FCF678D" w14:textId="77777777" w:rsidR="00BE36FB" w:rsidRPr="009B7B35" w:rsidRDefault="00BE36FB" w:rsidP="00BE36FB">
            <w:pPr>
              <w:pStyle w:val="TableText"/>
              <w:numPr>
                <w:ilvl w:val="0"/>
                <w:numId w:val="748"/>
              </w:numPr>
              <w:rPr>
                <w:rFonts w:cs="Arial"/>
              </w:rPr>
            </w:pPr>
            <w:r w:rsidRPr="009B7B35">
              <w:rPr>
                <w:rFonts w:cs="Arial"/>
              </w:rPr>
              <w:t>are constructed to a standard that is appropriate to the location and to meet the anticipated volume and type of traffic.</w:t>
            </w:r>
          </w:p>
        </w:tc>
        <w:tc>
          <w:tcPr>
            <w:tcW w:w="4678" w:type="dxa"/>
          </w:tcPr>
          <w:p w14:paraId="42C4646A"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AO11.1</w:t>
            </w:r>
          </w:p>
          <w:p w14:paraId="034D0855" w14:textId="77777777" w:rsidR="00BE36FB" w:rsidRPr="009B7B35" w:rsidRDefault="00BE36FB" w:rsidP="001A7107">
            <w:pPr>
              <w:pStyle w:val="TableText"/>
              <w:rPr>
                <w:rFonts w:cs="Arial"/>
              </w:rPr>
            </w:pPr>
            <w:r w:rsidRPr="009B7B35">
              <w:rPr>
                <w:rFonts w:cs="Arial"/>
              </w:rPr>
              <w:t xml:space="preserve">Access driveways are: </w:t>
            </w:r>
          </w:p>
          <w:p w14:paraId="3D4565D8" w14:textId="77777777" w:rsidR="00BE36FB" w:rsidRPr="009B7B35" w:rsidRDefault="00BE36FB" w:rsidP="00BE36FB">
            <w:pPr>
              <w:pStyle w:val="TableText"/>
              <w:numPr>
                <w:ilvl w:val="0"/>
                <w:numId w:val="749"/>
              </w:numPr>
              <w:rPr>
                <w:rFonts w:cs="Arial"/>
              </w:rPr>
            </w:pPr>
            <w:r w:rsidRPr="009B7B35">
              <w:rPr>
                <w:rFonts w:cs="Arial"/>
              </w:rPr>
              <w:t xml:space="preserve">designed and constructed in accordance with the </w:t>
            </w:r>
            <w:r w:rsidRPr="009B7B35">
              <w:rPr>
                <w:rFonts w:cs="Arial"/>
                <w:i/>
              </w:rPr>
              <w:t>Engineering design planning scheme policy</w:t>
            </w:r>
            <w:r w:rsidRPr="009B7B35">
              <w:rPr>
                <w:rFonts w:cs="Arial"/>
              </w:rPr>
              <w:t>, and</w:t>
            </w:r>
          </w:p>
          <w:p w14:paraId="2A60D575" w14:textId="77777777" w:rsidR="00BE36FB" w:rsidRPr="009B7B35" w:rsidRDefault="00BE36FB" w:rsidP="00BE36FB">
            <w:pPr>
              <w:pStyle w:val="TableText"/>
              <w:numPr>
                <w:ilvl w:val="0"/>
                <w:numId w:val="749"/>
              </w:numPr>
              <w:rPr>
                <w:rFonts w:cs="Arial"/>
              </w:rPr>
            </w:pPr>
            <w:r w:rsidRPr="009B7B35">
              <w:rPr>
                <w:rFonts w:cs="Arial"/>
              </w:rPr>
              <w:t>in accordance with AS2890 as amended, and</w:t>
            </w:r>
          </w:p>
          <w:p w14:paraId="5FE9A6A5" w14:textId="77777777" w:rsidR="00BE36FB" w:rsidRPr="009B7B35" w:rsidRDefault="00BE36FB" w:rsidP="00BE36FB">
            <w:pPr>
              <w:pStyle w:val="TableText"/>
              <w:numPr>
                <w:ilvl w:val="0"/>
                <w:numId w:val="749"/>
              </w:numPr>
              <w:rPr>
                <w:rFonts w:cs="Arial"/>
              </w:rPr>
            </w:pPr>
            <w:r w:rsidRPr="009B7B35">
              <w:rPr>
                <w:rFonts w:cs="Arial"/>
              </w:rPr>
              <w:t>certified by a Registered Professional Engineer of Queensland.</w:t>
            </w:r>
          </w:p>
        </w:tc>
      </w:tr>
      <w:tr w:rsidR="00BE36FB" w:rsidRPr="009B7B35" w14:paraId="210C544F" w14:textId="77777777" w:rsidTr="001A7107">
        <w:trPr>
          <w:cantSplit/>
        </w:trPr>
        <w:tc>
          <w:tcPr>
            <w:tcW w:w="4678" w:type="dxa"/>
            <w:vMerge/>
          </w:tcPr>
          <w:p w14:paraId="34E678D8" w14:textId="77777777" w:rsidR="00BE36FB" w:rsidRPr="009B7B35" w:rsidRDefault="00BE36FB" w:rsidP="001A7107">
            <w:pPr>
              <w:pStyle w:val="TableText"/>
              <w:rPr>
                <w:rFonts w:cs="Arial"/>
              </w:rPr>
            </w:pPr>
          </w:p>
        </w:tc>
        <w:tc>
          <w:tcPr>
            <w:tcW w:w="4678" w:type="dxa"/>
          </w:tcPr>
          <w:p w14:paraId="08B6CEAA"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AO11.2</w:t>
            </w:r>
          </w:p>
          <w:p w14:paraId="6822FB37" w14:textId="77777777" w:rsidR="00BE36FB" w:rsidRPr="009B7B35" w:rsidRDefault="00BE36FB" w:rsidP="001A7107">
            <w:pPr>
              <w:pStyle w:val="TableText"/>
              <w:rPr>
                <w:rFonts w:cs="Arial"/>
              </w:rPr>
            </w:pPr>
            <w:r w:rsidRPr="009B7B35">
              <w:rPr>
                <w:rFonts w:cs="Arial"/>
              </w:rPr>
              <w:t>Access driveways allow vehicles (with the exception of dwelling house and dual occupancy) to enter and exit the site in a forward gear.</w:t>
            </w:r>
          </w:p>
        </w:tc>
      </w:tr>
      <w:tr w:rsidR="00BE36FB" w:rsidRPr="009B7B35" w14:paraId="146BA578" w14:textId="77777777" w:rsidTr="001A7107">
        <w:tc>
          <w:tcPr>
            <w:tcW w:w="4678" w:type="dxa"/>
          </w:tcPr>
          <w:p w14:paraId="710B20AE"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PO12</w:t>
            </w:r>
          </w:p>
          <w:p w14:paraId="52F1A613" w14:textId="77777777" w:rsidR="00BE36FB" w:rsidRPr="009B7B35" w:rsidRDefault="00BE36FB" w:rsidP="00BE36FB">
            <w:pPr>
              <w:pStyle w:val="TableText"/>
              <w:numPr>
                <w:ilvl w:val="0"/>
                <w:numId w:val="750"/>
              </w:numPr>
              <w:rPr>
                <w:rFonts w:cs="Arial"/>
              </w:rPr>
            </w:pPr>
            <w:r w:rsidRPr="009B7B35">
              <w:rPr>
                <w:rFonts w:cs="Arial"/>
              </w:rPr>
              <w:t>Vehicle movement areas (including internal driveways, access aisles, manoeuvring areas, parking areas (car and bicycle) and service bays) are designed to ensure:</w:t>
            </w:r>
          </w:p>
          <w:p w14:paraId="1B7D1247" w14:textId="77777777" w:rsidR="00BE36FB" w:rsidRPr="009B7B35" w:rsidRDefault="00BE36FB" w:rsidP="00BE36FB">
            <w:pPr>
              <w:pStyle w:val="TableText"/>
              <w:numPr>
                <w:ilvl w:val="1"/>
                <w:numId w:val="750"/>
              </w:numPr>
              <w:rPr>
                <w:rFonts w:cs="Arial"/>
              </w:rPr>
            </w:pPr>
            <w:r w:rsidRPr="009B7B35">
              <w:rPr>
                <w:rFonts w:cs="Arial"/>
              </w:rPr>
              <w:t>a gradient appropriate for the type of vehicles</w:t>
            </w:r>
          </w:p>
          <w:p w14:paraId="2832EC6F" w14:textId="77777777" w:rsidR="00BE36FB" w:rsidRPr="009B7B35" w:rsidRDefault="00BE36FB" w:rsidP="00BE36FB">
            <w:pPr>
              <w:pStyle w:val="TableText"/>
              <w:numPr>
                <w:ilvl w:val="1"/>
                <w:numId w:val="750"/>
              </w:numPr>
              <w:rPr>
                <w:rFonts w:cs="Arial"/>
              </w:rPr>
            </w:pPr>
            <w:r w:rsidRPr="009B7B35">
              <w:rPr>
                <w:rFonts w:cs="Arial"/>
              </w:rPr>
              <w:t>a surface suitable for the proposed use</w:t>
            </w:r>
          </w:p>
          <w:p w14:paraId="44A53278" w14:textId="77777777" w:rsidR="00BE36FB" w:rsidRPr="009B7B35" w:rsidRDefault="00BE36FB" w:rsidP="00BE36FB">
            <w:pPr>
              <w:pStyle w:val="TableText"/>
              <w:numPr>
                <w:ilvl w:val="1"/>
                <w:numId w:val="750"/>
              </w:numPr>
              <w:rPr>
                <w:rFonts w:cs="Arial"/>
              </w:rPr>
            </w:pPr>
            <w:r w:rsidRPr="009B7B35">
              <w:rPr>
                <w:rFonts w:cs="Arial"/>
              </w:rPr>
              <w:t>effective stormwater drainage</w:t>
            </w:r>
          </w:p>
          <w:p w14:paraId="108DFEC3" w14:textId="77777777" w:rsidR="00BE36FB" w:rsidRPr="009B7B35" w:rsidRDefault="00BE36FB" w:rsidP="00BE36FB">
            <w:pPr>
              <w:pStyle w:val="TableText"/>
              <w:numPr>
                <w:ilvl w:val="1"/>
                <w:numId w:val="750"/>
              </w:numPr>
              <w:rPr>
                <w:rFonts w:cs="Arial"/>
              </w:rPr>
            </w:pPr>
            <w:r w:rsidRPr="009B7B35">
              <w:rPr>
                <w:rFonts w:cs="Arial"/>
              </w:rPr>
              <w:t>clearly marked and signed spaces</w:t>
            </w:r>
          </w:p>
          <w:p w14:paraId="32733829" w14:textId="77777777" w:rsidR="00BE36FB" w:rsidRPr="009B7B35" w:rsidRDefault="00BE36FB" w:rsidP="00BE36FB">
            <w:pPr>
              <w:pStyle w:val="TableText"/>
              <w:numPr>
                <w:ilvl w:val="1"/>
                <w:numId w:val="750"/>
              </w:numPr>
              <w:rPr>
                <w:rFonts w:cs="Arial"/>
              </w:rPr>
            </w:pPr>
            <w:r w:rsidRPr="009B7B35">
              <w:rPr>
                <w:rFonts w:cs="Arial"/>
              </w:rPr>
              <w:t>convenience and safety for drivers and pedestrians, and</w:t>
            </w:r>
          </w:p>
          <w:p w14:paraId="093E5504" w14:textId="77777777" w:rsidR="00BE36FB" w:rsidRPr="009B7B35" w:rsidRDefault="00BE36FB" w:rsidP="00BE36FB">
            <w:pPr>
              <w:pStyle w:val="TableText"/>
              <w:numPr>
                <w:ilvl w:val="1"/>
                <w:numId w:val="750"/>
              </w:numPr>
              <w:rPr>
                <w:rFonts w:cs="Arial"/>
              </w:rPr>
            </w:pPr>
            <w:r w:rsidRPr="009B7B35">
              <w:rPr>
                <w:rFonts w:cs="Arial"/>
              </w:rPr>
              <w:t>adequate dimensions to meet user requirements, including access and egress for emergency vehicles.</w:t>
            </w:r>
          </w:p>
        </w:tc>
        <w:tc>
          <w:tcPr>
            <w:tcW w:w="4678" w:type="dxa"/>
          </w:tcPr>
          <w:p w14:paraId="37501EF2"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AO12</w:t>
            </w:r>
          </w:p>
          <w:p w14:paraId="17BFEF00" w14:textId="77777777" w:rsidR="00BE36FB" w:rsidRPr="009B7B35" w:rsidRDefault="00BE36FB" w:rsidP="001A7107">
            <w:pPr>
              <w:pStyle w:val="TableText"/>
              <w:rPr>
                <w:rFonts w:cs="Arial"/>
              </w:rPr>
            </w:pPr>
            <w:r w:rsidRPr="009B7B35">
              <w:rPr>
                <w:rFonts w:cs="Arial"/>
              </w:rPr>
              <w:t>Manoeuvring, loading and unloading areas, and parking areas (car and bicycle) are:</w:t>
            </w:r>
          </w:p>
          <w:p w14:paraId="3940989C" w14:textId="77777777" w:rsidR="00BE36FB" w:rsidRPr="009B7B35" w:rsidRDefault="00BE36FB" w:rsidP="00BE36FB">
            <w:pPr>
              <w:pStyle w:val="TableText"/>
              <w:numPr>
                <w:ilvl w:val="0"/>
                <w:numId w:val="751"/>
              </w:numPr>
              <w:rPr>
                <w:rStyle w:val="StyleItalic"/>
                <w:rFonts w:cs="Arial"/>
                <w:i w:val="0"/>
                <w:iCs w:val="0"/>
              </w:rPr>
            </w:pPr>
            <w:r w:rsidRPr="009B7B35">
              <w:rPr>
                <w:rFonts w:cs="Arial"/>
              </w:rPr>
              <w:t xml:space="preserve">designed and constructed in accordance with the </w:t>
            </w:r>
            <w:r w:rsidRPr="009B7B35">
              <w:rPr>
                <w:rStyle w:val="StyleItalic"/>
                <w:rFonts w:cs="Arial"/>
              </w:rPr>
              <w:t>Engineering design planning scheme policy</w:t>
            </w:r>
          </w:p>
          <w:p w14:paraId="7E2B68B1" w14:textId="77777777" w:rsidR="00BE36FB" w:rsidRPr="009B7B35" w:rsidRDefault="00BE36FB" w:rsidP="00BE36FB">
            <w:pPr>
              <w:pStyle w:val="TableText"/>
              <w:numPr>
                <w:ilvl w:val="0"/>
                <w:numId w:val="751"/>
              </w:numPr>
              <w:rPr>
                <w:rFonts w:cs="Arial"/>
              </w:rPr>
            </w:pPr>
            <w:r w:rsidRPr="009B7B35">
              <w:rPr>
                <w:rStyle w:val="StyleItalic"/>
                <w:rFonts w:cs="Arial"/>
              </w:rPr>
              <w:t>Imperviously sealed using concrete or asphalt bitumen</w:t>
            </w:r>
          </w:p>
          <w:p w14:paraId="625C4E34" w14:textId="77777777" w:rsidR="00BE36FB" w:rsidRPr="009B7B35" w:rsidRDefault="00BE36FB" w:rsidP="00BE36FB">
            <w:pPr>
              <w:pStyle w:val="TableText"/>
              <w:numPr>
                <w:ilvl w:val="0"/>
                <w:numId w:val="751"/>
              </w:numPr>
              <w:rPr>
                <w:rFonts w:cs="Arial"/>
              </w:rPr>
            </w:pPr>
            <w:r w:rsidRPr="009B7B35">
              <w:rPr>
                <w:rFonts w:cs="Arial"/>
              </w:rPr>
              <w:t>In accordance with AS2890 as amended, and</w:t>
            </w:r>
          </w:p>
          <w:p w14:paraId="0A30FD22" w14:textId="77777777" w:rsidR="00BE36FB" w:rsidRPr="009B7B35" w:rsidRDefault="00BE36FB" w:rsidP="00BE36FB">
            <w:pPr>
              <w:pStyle w:val="TableText"/>
              <w:numPr>
                <w:ilvl w:val="0"/>
                <w:numId w:val="751"/>
              </w:numPr>
              <w:rPr>
                <w:rFonts w:cs="Arial"/>
              </w:rPr>
            </w:pPr>
            <w:r w:rsidRPr="009B7B35">
              <w:rPr>
                <w:rFonts w:cs="Arial"/>
              </w:rPr>
              <w:t>certified by a Registered Professional Engineer of Queensland.</w:t>
            </w:r>
          </w:p>
        </w:tc>
      </w:tr>
      <w:tr w:rsidR="00BE36FB" w:rsidRPr="009B7B35" w14:paraId="3BA732ED" w14:textId="77777777" w:rsidTr="001A7107">
        <w:tc>
          <w:tcPr>
            <w:tcW w:w="4678" w:type="dxa"/>
          </w:tcPr>
          <w:p w14:paraId="00B7B534"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PO13</w:t>
            </w:r>
          </w:p>
          <w:p w14:paraId="22AF3FBE" w14:textId="77777777" w:rsidR="00BE36FB" w:rsidRPr="009B7B35" w:rsidRDefault="00BE36FB" w:rsidP="001A7107">
            <w:pPr>
              <w:pStyle w:val="TableText"/>
              <w:rPr>
                <w:rFonts w:cs="Arial"/>
              </w:rPr>
            </w:pPr>
            <w:r w:rsidRPr="009B7B35">
              <w:rPr>
                <w:rFonts w:cs="Arial"/>
              </w:rPr>
              <w:t>Footpaths provide pedestrian and bicycle access to the site, which is designed to:</w:t>
            </w:r>
          </w:p>
          <w:p w14:paraId="382D2A2D" w14:textId="77777777" w:rsidR="00BE36FB" w:rsidRPr="009B7B35" w:rsidRDefault="00BE36FB" w:rsidP="00BE36FB">
            <w:pPr>
              <w:pStyle w:val="TableText"/>
              <w:numPr>
                <w:ilvl w:val="0"/>
                <w:numId w:val="803"/>
              </w:numPr>
              <w:ind w:left="510" w:hanging="510"/>
              <w:rPr>
                <w:rFonts w:cs="Arial"/>
              </w:rPr>
            </w:pPr>
            <w:r w:rsidRPr="009B7B35">
              <w:rPr>
                <w:rFonts w:cs="Arial"/>
              </w:rPr>
              <w:t>provide safe movement;</w:t>
            </w:r>
          </w:p>
          <w:p w14:paraId="37B7D0A2" w14:textId="77777777" w:rsidR="00BE36FB" w:rsidRPr="009B7B35" w:rsidRDefault="00BE36FB" w:rsidP="00BE36FB">
            <w:pPr>
              <w:pStyle w:val="TableText"/>
              <w:numPr>
                <w:ilvl w:val="0"/>
                <w:numId w:val="803"/>
              </w:numPr>
              <w:ind w:left="510" w:hanging="510"/>
              <w:rPr>
                <w:rFonts w:cs="Arial"/>
              </w:rPr>
            </w:pPr>
            <w:r w:rsidRPr="009B7B35">
              <w:rPr>
                <w:rFonts w:cs="Arial"/>
              </w:rPr>
              <w:t>avoid unnecessary conflict between pedestrians, bicycles and motor vehicles;</w:t>
            </w:r>
          </w:p>
          <w:p w14:paraId="21CBB590" w14:textId="77777777" w:rsidR="00BE36FB" w:rsidRPr="009B7B35" w:rsidRDefault="00BE36FB" w:rsidP="00BE36FB">
            <w:pPr>
              <w:pStyle w:val="TableText"/>
              <w:numPr>
                <w:ilvl w:val="0"/>
                <w:numId w:val="803"/>
              </w:numPr>
              <w:ind w:left="510" w:hanging="510"/>
              <w:rPr>
                <w:rFonts w:cs="Arial"/>
              </w:rPr>
            </w:pPr>
            <w:r w:rsidRPr="009B7B35">
              <w:rPr>
                <w:rFonts w:cs="Arial"/>
              </w:rPr>
              <w:t>include durable and stable materials; and</w:t>
            </w:r>
          </w:p>
          <w:p w14:paraId="1F011F92" w14:textId="77777777" w:rsidR="00BE36FB" w:rsidRPr="009B7B35" w:rsidRDefault="00BE36FB" w:rsidP="00BE36FB">
            <w:pPr>
              <w:pStyle w:val="TableText"/>
              <w:numPr>
                <w:ilvl w:val="0"/>
                <w:numId w:val="803"/>
              </w:numPr>
              <w:ind w:left="510" w:hanging="510"/>
              <w:rPr>
                <w:rFonts w:cs="Arial"/>
              </w:rPr>
            </w:pPr>
            <w:r w:rsidRPr="009B7B35">
              <w:rPr>
                <w:rFonts w:cs="Arial"/>
              </w:rPr>
              <w:t xml:space="preserve">match any adjacent footpath. </w:t>
            </w:r>
          </w:p>
        </w:tc>
        <w:tc>
          <w:tcPr>
            <w:tcW w:w="4678" w:type="dxa"/>
          </w:tcPr>
          <w:p w14:paraId="0924D7BE"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AO13</w:t>
            </w:r>
          </w:p>
          <w:p w14:paraId="6575543C" w14:textId="77777777" w:rsidR="00BE36FB" w:rsidRPr="009B7B35" w:rsidRDefault="00BE36FB" w:rsidP="001A7107">
            <w:pPr>
              <w:pStyle w:val="TableText"/>
              <w:rPr>
                <w:rFonts w:cs="Arial"/>
              </w:rPr>
            </w:pPr>
            <w:r w:rsidRPr="009B7B35">
              <w:rPr>
                <w:rFonts w:cs="Arial"/>
              </w:rPr>
              <w:t xml:space="preserve">Footpaths are: </w:t>
            </w:r>
          </w:p>
          <w:p w14:paraId="612D752F" w14:textId="77777777" w:rsidR="00BE36FB" w:rsidRPr="009B7B35" w:rsidRDefault="00BE36FB" w:rsidP="00BE36FB">
            <w:pPr>
              <w:pStyle w:val="TableText"/>
              <w:numPr>
                <w:ilvl w:val="0"/>
                <w:numId w:val="752"/>
              </w:numPr>
              <w:rPr>
                <w:rFonts w:cs="Arial"/>
              </w:rPr>
            </w:pPr>
            <w:r w:rsidRPr="009B7B35">
              <w:rPr>
                <w:rFonts w:cs="Arial"/>
              </w:rPr>
              <w:t>provided to the full road frontage and designed in accordance with the Engineering Design Planning Scheme Policy</w:t>
            </w:r>
          </w:p>
          <w:p w14:paraId="27F581CA" w14:textId="77777777" w:rsidR="00BE36FB" w:rsidRPr="009B7B35" w:rsidRDefault="00BE36FB" w:rsidP="00BE36FB">
            <w:pPr>
              <w:pStyle w:val="TableText"/>
              <w:numPr>
                <w:ilvl w:val="0"/>
                <w:numId w:val="752"/>
              </w:numPr>
              <w:rPr>
                <w:rFonts w:cs="Arial"/>
              </w:rPr>
            </w:pPr>
            <w:r w:rsidRPr="009B7B35">
              <w:rPr>
                <w:rFonts w:cs="Arial"/>
              </w:rPr>
              <w:t>connected to the existing footpath network, and</w:t>
            </w:r>
          </w:p>
          <w:p w14:paraId="1080E393" w14:textId="77777777" w:rsidR="00BE36FB" w:rsidRPr="009B7B35" w:rsidRDefault="00BE36FB" w:rsidP="00BE36FB">
            <w:pPr>
              <w:pStyle w:val="TableText"/>
              <w:numPr>
                <w:ilvl w:val="0"/>
                <w:numId w:val="752"/>
              </w:numPr>
              <w:rPr>
                <w:rFonts w:cs="Arial"/>
              </w:rPr>
            </w:pPr>
            <w:r w:rsidRPr="009B7B35">
              <w:rPr>
                <w:rFonts w:cs="Arial"/>
              </w:rPr>
              <w:t>certified by a Registered Professional Engineer of Queensland.</w:t>
            </w:r>
          </w:p>
        </w:tc>
      </w:tr>
      <w:tr w:rsidR="00BE36FB" w:rsidRPr="009B7B35" w14:paraId="77E23E56" w14:textId="77777777" w:rsidTr="001A7107">
        <w:trPr>
          <w:cantSplit/>
        </w:trPr>
        <w:tc>
          <w:tcPr>
            <w:tcW w:w="4678" w:type="dxa"/>
          </w:tcPr>
          <w:p w14:paraId="1859949A"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PO14</w:t>
            </w:r>
          </w:p>
          <w:p w14:paraId="3FA69E01" w14:textId="77777777" w:rsidR="00BE36FB" w:rsidRPr="009B7B35" w:rsidRDefault="00BE36FB" w:rsidP="001A7107">
            <w:pPr>
              <w:pStyle w:val="TableText"/>
              <w:rPr>
                <w:rFonts w:cs="Arial"/>
              </w:rPr>
            </w:pPr>
            <w:r w:rsidRPr="009B7B35">
              <w:rPr>
                <w:rFonts w:cs="Arial"/>
              </w:rPr>
              <w:t>Pedestrian access to buildings:</w:t>
            </w:r>
          </w:p>
          <w:p w14:paraId="76085FD5" w14:textId="77777777" w:rsidR="00BE36FB" w:rsidRPr="009B7B35" w:rsidRDefault="00BE36FB" w:rsidP="00BE36FB">
            <w:pPr>
              <w:pStyle w:val="TableText"/>
              <w:numPr>
                <w:ilvl w:val="0"/>
                <w:numId w:val="753"/>
              </w:numPr>
              <w:rPr>
                <w:rFonts w:cs="Arial"/>
              </w:rPr>
            </w:pPr>
            <w:r w:rsidRPr="009B7B35">
              <w:rPr>
                <w:rFonts w:cs="Arial"/>
              </w:rPr>
              <w:t>does not obstruct pedestrian movement (or form physical clutter) on public footpaths</w:t>
            </w:r>
          </w:p>
          <w:p w14:paraId="3A51558E" w14:textId="77777777" w:rsidR="00BE36FB" w:rsidRPr="009B7B35" w:rsidRDefault="00BE36FB" w:rsidP="00BE36FB">
            <w:pPr>
              <w:pStyle w:val="TableText"/>
              <w:numPr>
                <w:ilvl w:val="0"/>
                <w:numId w:val="753"/>
              </w:numPr>
              <w:rPr>
                <w:rFonts w:cs="Arial"/>
              </w:rPr>
            </w:pPr>
            <w:r w:rsidRPr="009B7B35">
              <w:rPr>
                <w:rFonts w:cs="Arial"/>
              </w:rPr>
              <w:t>are not visually overbearing (or form visual clutter) in the streetscape, and</w:t>
            </w:r>
          </w:p>
          <w:p w14:paraId="5D4C0712" w14:textId="77777777" w:rsidR="00BE36FB" w:rsidRPr="009B7B35" w:rsidRDefault="00BE36FB" w:rsidP="00BE36FB">
            <w:pPr>
              <w:pStyle w:val="TableText"/>
              <w:numPr>
                <w:ilvl w:val="0"/>
                <w:numId w:val="753"/>
              </w:numPr>
              <w:rPr>
                <w:rFonts w:cs="Arial"/>
              </w:rPr>
            </w:pPr>
            <w:r w:rsidRPr="009B7B35">
              <w:rPr>
                <w:rFonts w:cs="Arial"/>
              </w:rPr>
              <w:t>provide safe, efficient, equitable and convenient access including wheelchair access.</w:t>
            </w:r>
          </w:p>
        </w:tc>
        <w:tc>
          <w:tcPr>
            <w:tcW w:w="4678" w:type="dxa"/>
          </w:tcPr>
          <w:p w14:paraId="48B81940"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AO14</w:t>
            </w:r>
          </w:p>
          <w:p w14:paraId="59AD92AD" w14:textId="77777777" w:rsidR="00BE36FB" w:rsidRPr="009B7B35" w:rsidRDefault="00BE36FB" w:rsidP="001A7107">
            <w:pPr>
              <w:pStyle w:val="TableText"/>
              <w:rPr>
                <w:rFonts w:cs="Arial"/>
              </w:rPr>
            </w:pPr>
            <w:r w:rsidRPr="009B7B35">
              <w:rPr>
                <w:rFonts w:cs="Arial"/>
              </w:rPr>
              <w:t>Pedestrian access steps, escalators, ramps and lifts are:</w:t>
            </w:r>
          </w:p>
          <w:p w14:paraId="72E0DC4C" w14:textId="77777777" w:rsidR="00BE36FB" w:rsidRPr="009B7B35" w:rsidRDefault="00BE36FB" w:rsidP="00BE36FB">
            <w:pPr>
              <w:pStyle w:val="TableText"/>
              <w:numPr>
                <w:ilvl w:val="0"/>
                <w:numId w:val="754"/>
              </w:numPr>
              <w:rPr>
                <w:rFonts w:cs="Arial"/>
              </w:rPr>
            </w:pPr>
            <w:r w:rsidRPr="009B7B35">
              <w:rPr>
                <w:rFonts w:cs="Arial"/>
              </w:rPr>
              <w:t>located wholly within the site</w:t>
            </w:r>
          </w:p>
          <w:p w14:paraId="37704D91" w14:textId="77777777" w:rsidR="00BE36FB" w:rsidRPr="009B7B35" w:rsidRDefault="00BE36FB" w:rsidP="00BE36FB">
            <w:pPr>
              <w:pStyle w:val="TableText"/>
              <w:numPr>
                <w:ilvl w:val="0"/>
                <w:numId w:val="754"/>
              </w:numPr>
              <w:rPr>
                <w:rFonts w:cs="Arial"/>
              </w:rPr>
            </w:pPr>
            <w:r w:rsidRPr="009B7B35">
              <w:rPr>
                <w:rFonts w:cs="Arial"/>
              </w:rPr>
              <w:t>setback a minimum of 1.5m from the front boundary, and</w:t>
            </w:r>
          </w:p>
          <w:p w14:paraId="6A5C7430" w14:textId="77777777" w:rsidR="00BE36FB" w:rsidRPr="009B7B35" w:rsidRDefault="00BE36FB" w:rsidP="00BE36FB">
            <w:pPr>
              <w:pStyle w:val="TableText"/>
              <w:numPr>
                <w:ilvl w:val="0"/>
                <w:numId w:val="754"/>
              </w:numPr>
              <w:rPr>
                <w:rFonts w:cs="Arial"/>
              </w:rPr>
            </w:pPr>
            <w:r w:rsidRPr="009B7B35">
              <w:rPr>
                <w:rFonts w:cs="Arial"/>
              </w:rPr>
              <w:t>compliant with the Disability Discrimination Act 1992.</w:t>
            </w:r>
          </w:p>
        </w:tc>
      </w:tr>
      <w:tr w:rsidR="00BE36FB" w:rsidRPr="009B7B35" w14:paraId="31953AB8" w14:textId="77777777" w:rsidTr="001A7107">
        <w:trPr>
          <w:cantSplit/>
        </w:trPr>
        <w:tc>
          <w:tcPr>
            <w:tcW w:w="9356" w:type="dxa"/>
            <w:gridSpan w:val="2"/>
            <w:shd w:val="clear" w:color="auto" w:fill="BFBFBF" w:themeFill="background1" w:themeFillShade="BF"/>
          </w:tcPr>
          <w:p w14:paraId="3D7E4E79" w14:textId="77777777" w:rsidR="00BE36FB" w:rsidRPr="009B7B35" w:rsidRDefault="00BE36FB">
            <w:pPr>
              <w:pStyle w:val="Tableheading"/>
              <w:rPr>
                <w:rFonts w:ascii="Arial" w:hAnsi="Arial" w:cs="Arial"/>
                <w:szCs w:val="20"/>
              </w:rPr>
            </w:pPr>
            <w:r w:rsidRPr="009B7B35">
              <w:rPr>
                <w:rFonts w:ascii="Arial" w:hAnsi="Arial" w:cs="Arial"/>
                <w:szCs w:val="20"/>
              </w:rPr>
              <w:t xml:space="preserve">Acoustic and air quality </w:t>
            </w:r>
          </w:p>
        </w:tc>
      </w:tr>
      <w:tr w:rsidR="00BE36FB" w:rsidRPr="009B7B35" w14:paraId="3649FFC2" w14:textId="77777777" w:rsidTr="001A7107">
        <w:trPr>
          <w:cantSplit/>
        </w:trPr>
        <w:tc>
          <w:tcPr>
            <w:tcW w:w="4678" w:type="dxa"/>
          </w:tcPr>
          <w:p w14:paraId="44FA789D"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PO15</w:t>
            </w:r>
          </w:p>
          <w:p w14:paraId="57F1FBB8" w14:textId="77777777" w:rsidR="00BE36FB" w:rsidRPr="009B7B35" w:rsidRDefault="00BE36FB" w:rsidP="001A7107">
            <w:pPr>
              <w:pStyle w:val="TableText"/>
              <w:rPr>
                <w:rFonts w:cs="Arial"/>
              </w:rPr>
            </w:pPr>
            <w:r w:rsidRPr="009B7B35">
              <w:rPr>
                <w:rFonts w:cs="Arial"/>
              </w:rPr>
              <w:t>Development minimises potential conflicts with, or impacts on, other uses having regard to odour, dust or other emissions.</w:t>
            </w:r>
          </w:p>
        </w:tc>
        <w:tc>
          <w:tcPr>
            <w:tcW w:w="4678" w:type="dxa"/>
          </w:tcPr>
          <w:p w14:paraId="7952B621"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AO15</w:t>
            </w:r>
          </w:p>
          <w:p w14:paraId="75220C97" w14:textId="77777777" w:rsidR="00BE36FB" w:rsidRPr="009B7B35" w:rsidRDefault="00BE36FB" w:rsidP="001A7107">
            <w:pPr>
              <w:pStyle w:val="TableText"/>
              <w:rPr>
                <w:rFonts w:cs="Arial"/>
              </w:rPr>
            </w:pPr>
            <w:r w:rsidRPr="009B7B35">
              <w:rPr>
                <w:rFonts w:cs="Arial"/>
              </w:rPr>
              <w:t xml:space="preserve">Development achieves the air quality design objectives set out in the </w:t>
            </w:r>
            <w:r w:rsidRPr="009B7B35">
              <w:rPr>
                <w:rStyle w:val="StyleItalic"/>
                <w:rFonts w:cs="Arial"/>
              </w:rPr>
              <w:t>Environmental Protection (Air) Policy 2008, as amended</w:t>
            </w:r>
            <w:r w:rsidRPr="009B7B35">
              <w:rPr>
                <w:rFonts w:cs="Arial"/>
                <w:i/>
              </w:rPr>
              <w:t>.</w:t>
            </w:r>
          </w:p>
        </w:tc>
      </w:tr>
      <w:tr w:rsidR="00BE36FB" w:rsidRPr="009B7B35" w14:paraId="03745040" w14:textId="77777777" w:rsidTr="001A7107">
        <w:trPr>
          <w:cantSplit/>
        </w:trPr>
        <w:tc>
          <w:tcPr>
            <w:tcW w:w="4678" w:type="dxa"/>
          </w:tcPr>
          <w:p w14:paraId="4FE5758A"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PO16</w:t>
            </w:r>
          </w:p>
          <w:p w14:paraId="30DB1496" w14:textId="77777777" w:rsidR="00BE36FB" w:rsidRPr="009B7B35" w:rsidRDefault="00BE36FB" w:rsidP="001A7107">
            <w:pPr>
              <w:pStyle w:val="TableText"/>
              <w:rPr>
                <w:rFonts w:cs="Arial"/>
              </w:rPr>
            </w:pPr>
            <w:r w:rsidRPr="009B7B35">
              <w:rPr>
                <w:rFonts w:cs="Arial"/>
              </w:rPr>
              <w:t>Development prevents or minimises the generation of any noise or vibration so that:</w:t>
            </w:r>
          </w:p>
          <w:p w14:paraId="5FB19615" w14:textId="77777777" w:rsidR="00BE36FB" w:rsidRPr="009B7B35" w:rsidRDefault="00BE36FB" w:rsidP="00BE36FB">
            <w:pPr>
              <w:pStyle w:val="TableText"/>
              <w:numPr>
                <w:ilvl w:val="0"/>
                <w:numId w:val="755"/>
              </w:numPr>
              <w:rPr>
                <w:rFonts w:cs="Arial"/>
              </w:rPr>
            </w:pPr>
            <w:r w:rsidRPr="009B7B35">
              <w:rPr>
                <w:rFonts w:cs="Arial"/>
              </w:rPr>
              <w:t>nuisance is not caused to adjoining premises or other nearby sensitive land uses, and</w:t>
            </w:r>
          </w:p>
          <w:p w14:paraId="3AD78A6E" w14:textId="77777777" w:rsidR="00BE36FB" w:rsidRPr="009B7B35" w:rsidRDefault="00BE36FB" w:rsidP="00BE36FB">
            <w:pPr>
              <w:pStyle w:val="TableText"/>
              <w:numPr>
                <w:ilvl w:val="0"/>
                <w:numId w:val="755"/>
              </w:numPr>
              <w:rPr>
                <w:rFonts w:cs="Arial"/>
              </w:rPr>
            </w:pPr>
            <w:r w:rsidRPr="009B7B35">
              <w:rPr>
                <w:rFonts w:cs="Arial"/>
              </w:rPr>
              <w:t>desired ambient noise levels in residential areas are not exceeded.</w:t>
            </w:r>
          </w:p>
        </w:tc>
        <w:tc>
          <w:tcPr>
            <w:tcW w:w="4678" w:type="dxa"/>
          </w:tcPr>
          <w:p w14:paraId="79E67FE4"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AO16</w:t>
            </w:r>
          </w:p>
          <w:p w14:paraId="1AC5372E" w14:textId="77777777" w:rsidR="00BE36FB" w:rsidRPr="009B7B35" w:rsidRDefault="00BE36FB" w:rsidP="001A7107">
            <w:pPr>
              <w:pStyle w:val="TableText"/>
              <w:rPr>
                <w:rFonts w:cs="Arial"/>
              </w:rPr>
            </w:pPr>
            <w:r w:rsidRPr="009B7B35">
              <w:rPr>
                <w:rFonts w:cs="Arial"/>
              </w:rPr>
              <w:t xml:space="preserve">Development achieves the noise generation levels set out in the </w:t>
            </w:r>
            <w:r w:rsidRPr="009B7B35">
              <w:rPr>
                <w:rStyle w:val="StyleItalic"/>
                <w:rFonts w:cs="Arial"/>
              </w:rPr>
              <w:t>Environmental Protection (Noise) Policy 2008, as amended</w:t>
            </w:r>
            <w:r w:rsidRPr="009B7B35">
              <w:rPr>
                <w:rFonts w:cs="Arial"/>
                <w:i/>
              </w:rPr>
              <w:t>.</w:t>
            </w:r>
          </w:p>
          <w:p w14:paraId="1AE2A22D" w14:textId="77777777" w:rsidR="00BE36FB" w:rsidRPr="009B7B35" w:rsidRDefault="00BE36FB" w:rsidP="001A7107">
            <w:pPr>
              <w:pStyle w:val="Notes"/>
              <w:rPr>
                <w:rFonts w:cs="Arial"/>
                <w:sz w:val="20"/>
                <w:szCs w:val="20"/>
              </w:rPr>
            </w:pPr>
            <w:r w:rsidRPr="009B7B35">
              <w:rPr>
                <w:rFonts w:cs="Arial"/>
                <w:sz w:val="20"/>
                <w:szCs w:val="20"/>
              </w:rPr>
              <w:t>Note—To achieve compliance, development is planned, designed and managed to ensure emissions from activities to achieve the appropriate acoustic objectives (measured at the receptor dB(A)).</w:t>
            </w:r>
          </w:p>
        </w:tc>
      </w:tr>
      <w:tr w:rsidR="00BE36FB" w:rsidRPr="009B7B35" w14:paraId="43B086D3" w14:textId="77777777" w:rsidTr="001A7107">
        <w:trPr>
          <w:cantSplit/>
        </w:trPr>
        <w:tc>
          <w:tcPr>
            <w:tcW w:w="4678" w:type="dxa"/>
          </w:tcPr>
          <w:p w14:paraId="203747B2"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PO17</w:t>
            </w:r>
          </w:p>
          <w:p w14:paraId="03C64418" w14:textId="77777777" w:rsidR="00BE36FB" w:rsidRPr="009B7B35" w:rsidRDefault="00BE36FB" w:rsidP="001A7107">
            <w:pPr>
              <w:pStyle w:val="TableText"/>
              <w:rPr>
                <w:rFonts w:cs="Arial"/>
              </w:rPr>
            </w:pPr>
            <w:r w:rsidRPr="009B7B35">
              <w:rPr>
                <w:rFonts w:cs="Arial"/>
              </w:rPr>
              <w:t xml:space="preserve">Sensitive development adjacent to State controlled roads or Council controlled arterial and sub–arterial roads minimise through their own design the nuisance caused by noise, vibration and dust emissions. </w:t>
            </w:r>
          </w:p>
        </w:tc>
        <w:tc>
          <w:tcPr>
            <w:tcW w:w="4678" w:type="dxa"/>
          </w:tcPr>
          <w:p w14:paraId="682F0AAF"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AO17</w:t>
            </w:r>
          </w:p>
          <w:p w14:paraId="6FB9BDBA" w14:textId="77777777" w:rsidR="00BE36FB" w:rsidRPr="009B7B35" w:rsidRDefault="00BE36FB" w:rsidP="001A7107">
            <w:pPr>
              <w:pStyle w:val="TableText"/>
              <w:rPr>
                <w:rFonts w:cs="Arial"/>
              </w:rPr>
            </w:pPr>
            <w:r w:rsidRPr="009B7B35">
              <w:rPr>
                <w:rFonts w:cs="Arial"/>
              </w:rPr>
              <w:t xml:space="preserve">Sensitive development (other than Class 1, 2, 3 or 4 buildings) complies with the requirements of the Department Main Roads – </w:t>
            </w:r>
            <w:r w:rsidRPr="009B7B35">
              <w:rPr>
                <w:rStyle w:val="StyleItalic"/>
                <w:rFonts w:cs="Arial"/>
              </w:rPr>
              <w:t>Road Traffic Noise Management Code of Practice and the Environmental Protection (Noise) Policy 2008</w:t>
            </w:r>
            <w:r w:rsidRPr="009B7B35">
              <w:rPr>
                <w:rFonts w:cs="Arial"/>
              </w:rPr>
              <w:t>.</w:t>
            </w:r>
          </w:p>
        </w:tc>
      </w:tr>
      <w:tr w:rsidR="00BE36FB" w:rsidRPr="009B7B35" w14:paraId="07003D0D" w14:textId="77777777" w:rsidTr="001A7107">
        <w:trPr>
          <w:cantSplit/>
        </w:trPr>
        <w:tc>
          <w:tcPr>
            <w:tcW w:w="9356" w:type="dxa"/>
            <w:gridSpan w:val="2"/>
            <w:shd w:val="clear" w:color="auto" w:fill="BFBFBF" w:themeFill="background1" w:themeFillShade="BF"/>
          </w:tcPr>
          <w:p w14:paraId="66312909" w14:textId="77777777" w:rsidR="00BE36FB" w:rsidRPr="009B7B35" w:rsidRDefault="00BE36FB" w:rsidP="001A7107">
            <w:pPr>
              <w:pStyle w:val="Tableheading"/>
              <w:rPr>
                <w:rFonts w:ascii="Arial" w:hAnsi="Arial" w:cs="Arial"/>
                <w:szCs w:val="20"/>
              </w:rPr>
            </w:pPr>
            <w:r w:rsidRPr="009B7B35">
              <w:rPr>
                <w:rFonts w:ascii="Arial" w:hAnsi="Arial" w:cs="Arial"/>
                <w:szCs w:val="20"/>
              </w:rPr>
              <w:t>Lighting</w:t>
            </w:r>
          </w:p>
        </w:tc>
      </w:tr>
      <w:tr w:rsidR="00BE36FB" w:rsidRPr="009B7B35" w14:paraId="561DAFCD" w14:textId="77777777" w:rsidTr="001A7107">
        <w:trPr>
          <w:cantSplit/>
        </w:trPr>
        <w:tc>
          <w:tcPr>
            <w:tcW w:w="4678" w:type="dxa"/>
          </w:tcPr>
          <w:p w14:paraId="2F32DC16"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PO18</w:t>
            </w:r>
          </w:p>
          <w:p w14:paraId="4D3212F4" w14:textId="77777777" w:rsidR="00BE36FB" w:rsidRPr="009B7B35" w:rsidRDefault="00BE36FB" w:rsidP="001A7107">
            <w:pPr>
              <w:pStyle w:val="TableText"/>
              <w:rPr>
                <w:rFonts w:cs="Arial"/>
              </w:rPr>
            </w:pPr>
            <w:r w:rsidRPr="009B7B35">
              <w:rPr>
                <w:rFonts w:cs="Arial"/>
              </w:rPr>
              <w:t>External lighting is provided in urban areas to ensure a safe environment.</w:t>
            </w:r>
          </w:p>
        </w:tc>
        <w:tc>
          <w:tcPr>
            <w:tcW w:w="4678" w:type="dxa"/>
          </w:tcPr>
          <w:p w14:paraId="150E081D"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AO18</w:t>
            </w:r>
          </w:p>
          <w:p w14:paraId="565A0279" w14:textId="77777777" w:rsidR="00BE36FB" w:rsidRPr="009B7B35" w:rsidRDefault="00BE36FB" w:rsidP="001A7107">
            <w:pPr>
              <w:pStyle w:val="TableText"/>
              <w:rPr>
                <w:rFonts w:cs="Arial"/>
              </w:rPr>
            </w:pPr>
            <w:r w:rsidRPr="009B7B35">
              <w:rPr>
                <w:rFonts w:cs="Arial"/>
              </w:rPr>
              <w:t xml:space="preserve">Technical parameters, design, installation, operation and maintenance of outdoor lighting comply with the requirements of </w:t>
            </w:r>
            <w:r w:rsidRPr="009B7B35">
              <w:rPr>
                <w:rStyle w:val="StyleItalic"/>
                <w:rFonts w:cs="Arial"/>
              </w:rPr>
              <w:t>AS4282 – Control of the Obtrusive Effects of Outdoor Lighting</w:t>
            </w:r>
            <w:r w:rsidRPr="009B7B35">
              <w:rPr>
                <w:rFonts w:cs="Arial"/>
              </w:rPr>
              <w:t xml:space="preserve"> as amended.</w:t>
            </w:r>
          </w:p>
        </w:tc>
      </w:tr>
      <w:tr w:rsidR="00BE36FB" w:rsidRPr="009B7B35" w14:paraId="25122A5A" w14:textId="77777777" w:rsidTr="001A7107">
        <w:trPr>
          <w:cantSplit/>
        </w:trPr>
        <w:tc>
          <w:tcPr>
            <w:tcW w:w="4678" w:type="dxa"/>
          </w:tcPr>
          <w:p w14:paraId="4BEE2F20"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PO19</w:t>
            </w:r>
          </w:p>
          <w:p w14:paraId="0B92CECC" w14:textId="77777777" w:rsidR="00BE36FB" w:rsidRPr="009B7B35" w:rsidRDefault="00BE36FB" w:rsidP="001A7107">
            <w:pPr>
              <w:pStyle w:val="TableText"/>
              <w:rPr>
                <w:rFonts w:cs="Arial"/>
              </w:rPr>
            </w:pPr>
            <w:r w:rsidRPr="009B7B35">
              <w:rPr>
                <w:rFonts w:cs="Arial"/>
              </w:rPr>
              <w:t>Outdoor lighting does not cause undue disturbance to any person, activity or fauna because of emission, either directly or by reflection.</w:t>
            </w:r>
          </w:p>
        </w:tc>
        <w:tc>
          <w:tcPr>
            <w:tcW w:w="4678" w:type="dxa"/>
          </w:tcPr>
          <w:p w14:paraId="1A14185E"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AO19</w:t>
            </w:r>
          </w:p>
          <w:p w14:paraId="0FF780BA" w14:textId="77777777" w:rsidR="00BE36FB" w:rsidRPr="009B7B35" w:rsidRDefault="00BE36FB" w:rsidP="001A7107">
            <w:pPr>
              <w:pStyle w:val="TableText"/>
              <w:rPr>
                <w:rFonts w:cs="Arial"/>
              </w:rPr>
            </w:pPr>
            <w:r w:rsidRPr="009B7B35">
              <w:rPr>
                <w:rFonts w:cs="Arial"/>
              </w:rPr>
              <w:t>The vertical illumination resulting from direct, reflected or other incidental light coming from a site does not exceed 8 lux when measured at any point 1.5m outside of the boundary of the property at any level from ground level up.</w:t>
            </w:r>
          </w:p>
        </w:tc>
      </w:tr>
      <w:tr w:rsidR="00BE36FB" w:rsidRPr="009B7B35" w14:paraId="6777AF2A" w14:textId="77777777" w:rsidTr="001A7107">
        <w:trPr>
          <w:cantSplit/>
        </w:trPr>
        <w:tc>
          <w:tcPr>
            <w:tcW w:w="4678" w:type="dxa"/>
          </w:tcPr>
          <w:p w14:paraId="44EF7CD0"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PO20</w:t>
            </w:r>
          </w:p>
          <w:p w14:paraId="3294014B" w14:textId="77777777" w:rsidR="00BE36FB" w:rsidRPr="009B7B35" w:rsidRDefault="00BE36FB" w:rsidP="001A7107">
            <w:pPr>
              <w:pStyle w:val="TableText"/>
              <w:rPr>
                <w:rFonts w:cs="Arial"/>
              </w:rPr>
            </w:pPr>
            <w:r w:rsidRPr="009B7B35">
              <w:rPr>
                <w:rFonts w:cs="Arial"/>
              </w:rPr>
              <w:t>Street lighting and signs are provided to ensure the safety of both vehicles and pedestrians, and to facilitate access and movement.</w:t>
            </w:r>
          </w:p>
        </w:tc>
        <w:tc>
          <w:tcPr>
            <w:tcW w:w="4678" w:type="dxa"/>
          </w:tcPr>
          <w:p w14:paraId="730269E4"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AO20</w:t>
            </w:r>
          </w:p>
          <w:p w14:paraId="3EA55341" w14:textId="77777777" w:rsidR="00BE36FB" w:rsidRPr="009B7B35" w:rsidRDefault="00BE36FB" w:rsidP="001A7107">
            <w:pPr>
              <w:pStyle w:val="TableText"/>
              <w:rPr>
                <w:rFonts w:cs="Arial"/>
              </w:rPr>
            </w:pPr>
            <w:r w:rsidRPr="009B7B35">
              <w:rPr>
                <w:rFonts w:cs="Arial"/>
              </w:rPr>
              <w:t xml:space="preserve">Street lighting and signage comply with the requirements of the </w:t>
            </w:r>
            <w:r w:rsidRPr="009B7B35">
              <w:rPr>
                <w:rStyle w:val="StyleItalic"/>
                <w:rFonts w:cs="Arial"/>
              </w:rPr>
              <w:t>Engineering design planning scheme policy</w:t>
            </w:r>
            <w:r w:rsidRPr="009B7B35">
              <w:rPr>
                <w:rFonts w:cs="Arial"/>
              </w:rPr>
              <w:t xml:space="preserve">. </w:t>
            </w:r>
          </w:p>
        </w:tc>
      </w:tr>
      <w:tr w:rsidR="00BE36FB" w:rsidRPr="009B7B35" w14:paraId="76E45841" w14:textId="77777777" w:rsidTr="001A7107">
        <w:trPr>
          <w:cantSplit/>
        </w:trPr>
        <w:tc>
          <w:tcPr>
            <w:tcW w:w="9356" w:type="dxa"/>
            <w:gridSpan w:val="2"/>
            <w:shd w:val="clear" w:color="auto" w:fill="BFBFBF" w:themeFill="background1" w:themeFillShade="BF"/>
          </w:tcPr>
          <w:p w14:paraId="7587D431" w14:textId="77777777" w:rsidR="00BE36FB" w:rsidRPr="009B7B35" w:rsidRDefault="00BE36FB" w:rsidP="001A7107">
            <w:pPr>
              <w:pStyle w:val="Tableheading"/>
              <w:rPr>
                <w:rFonts w:ascii="Arial" w:hAnsi="Arial" w:cs="Arial"/>
                <w:szCs w:val="20"/>
              </w:rPr>
            </w:pPr>
            <w:r w:rsidRPr="009B7B35">
              <w:rPr>
                <w:rFonts w:ascii="Arial" w:hAnsi="Arial" w:cs="Arial"/>
                <w:szCs w:val="20"/>
              </w:rPr>
              <w:t>Waste management</w:t>
            </w:r>
          </w:p>
        </w:tc>
      </w:tr>
      <w:tr w:rsidR="00BE36FB" w:rsidRPr="009B7B35" w14:paraId="56FB4564" w14:textId="77777777" w:rsidTr="001A7107">
        <w:trPr>
          <w:cantSplit/>
        </w:trPr>
        <w:tc>
          <w:tcPr>
            <w:tcW w:w="4678" w:type="dxa"/>
          </w:tcPr>
          <w:p w14:paraId="311AAA94"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PO21</w:t>
            </w:r>
          </w:p>
          <w:p w14:paraId="670EB812" w14:textId="77777777" w:rsidR="00BE36FB" w:rsidRPr="009B7B35" w:rsidRDefault="00BE36FB" w:rsidP="001A7107">
            <w:pPr>
              <w:pStyle w:val="TableText"/>
              <w:rPr>
                <w:rFonts w:cs="Arial"/>
              </w:rPr>
            </w:pPr>
            <w:r w:rsidRPr="009B7B35">
              <w:rPr>
                <w:rFonts w:cs="Arial"/>
              </w:rPr>
              <w:t xml:space="preserve">Development: </w:t>
            </w:r>
          </w:p>
          <w:p w14:paraId="3AB86F3E" w14:textId="77777777" w:rsidR="00BE36FB" w:rsidRPr="009B7B35" w:rsidRDefault="00BE36FB" w:rsidP="00BE36FB">
            <w:pPr>
              <w:pStyle w:val="TableText"/>
              <w:numPr>
                <w:ilvl w:val="0"/>
                <w:numId w:val="718"/>
              </w:numPr>
              <w:rPr>
                <w:rFonts w:cs="Arial"/>
              </w:rPr>
            </w:pPr>
            <w:r w:rsidRPr="009B7B35">
              <w:rPr>
                <w:rFonts w:cs="Arial"/>
              </w:rPr>
              <w:t>minimises waste generation (including construction, demolition and operational waste)</w:t>
            </w:r>
          </w:p>
          <w:p w14:paraId="50907C28" w14:textId="77777777" w:rsidR="00BE36FB" w:rsidRPr="009B7B35" w:rsidRDefault="00BE36FB" w:rsidP="00BE36FB">
            <w:pPr>
              <w:pStyle w:val="TableText"/>
              <w:numPr>
                <w:ilvl w:val="0"/>
                <w:numId w:val="718"/>
              </w:numPr>
              <w:rPr>
                <w:rFonts w:cs="Arial"/>
              </w:rPr>
            </w:pPr>
            <w:r w:rsidRPr="009B7B35">
              <w:rPr>
                <w:rFonts w:cs="Arial"/>
              </w:rPr>
              <w:t>provides adequate facilities on–site for the storage of waste and recyclables.</w:t>
            </w:r>
          </w:p>
        </w:tc>
        <w:tc>
          <w:tcPr>
            <w:tcW w:w="4678" w:type="dxa"/>
          </w:tcPr>
          <w:p w14:paraId="51F7F42E"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AO21</w:t>
            </w:r>
          </w:p>
          <w:p w14:paraId="305F66E6" w14:textId="77777777" w:rsidR="00BE36FB" w:rsidRPr="009B7B35" w:rsidRDefault="00BE36FB" w:rsidP="001A7107">
            <w:pPr>
              <w:pStyle w:val="TableText"/>
              <w:rPr>
                <w:rFonts w:cs="Arial"/>
              </w:rPr>
            </w:pPr>
            <w:r w:rsidRPr="009B7B35">
              <w:rPr>
                <w:rFonts w:cs="Arial"/>
              </w:rPr>
              <w:t xml:space="preserve">Waste storage and management arrangements are sited, screened and designed in accordance with the </w:t>
            </w:r>
            <w:r w:rsidRPr="009B7B35">
              <w:rPr>
                <w:rStyle w:val="StyleItalic"/>
                <w:rFonts w:cs="Arial"/>
              </w:rPr>
              <w:t>Waste Management Planning Scheme Policy</w:t>
            </w:r>
            <w:r w:rsidRPr="009B7B35">
              <w:rPr>
                <w:rFonts w:cs="Arial"/>
              </w:rPr>
              <w:t>.</w:t>
            </w:r>
          </w:p>
        </w:tc>
      </w:tr>
      <w:tr w:rsidR="00BE36FB" w:rsidRPr="009B7B35" w14:paraId="33C6B4B6" w14:textId="77777777" w:rsidTr="001A7107">
        <w:tc>
          <w:tcPr>
            <w:tcW w:w="4678" w:type="dxa"/>
            <w:vMerge w:val="restart"/>
          </w:tcPr>
          <w:p w14:paraId="00A2043E"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PO22</w:t>
            </w:r>
          </w:p>
          <w:p w14:paraId="62897C1D" w14:textId="77777777" w:rsidR="00BE36FB" w:rsidRPr="009B7B35" w:rsidRDefault="00BE36FB" w:rsidP="001A7107">
            <w:pPr>
              <w:pStyle w:val="TableText"/>
              <w:rPr>
                <w:rFonts w:cs="Arial"/>
              </w:rPr>
            </w:pPr>
            <w:r w:rsidRPr="009B7B35">
              <w:rPr>
                <w:rFonts w:cs="Arial"/>
              </w:rPr>
              <w:t>Development is designed to allow for safe and efficient servicing of waste and recycling containers through:</w:t>
            </w:r>
          </w:p>
          <w:p w14:paraId="4F6B4A37" w14:textId="77777777" w:rsidR="00BE36FB" w:rsidRPr="009B7B35" w:rsidRDefault="00BE36FB" w:rsidP="00BE36FB">
            <w:pPr>
              <w:pStyle w:val="TableText"/>
              <w:numPr>
                <w:ilvl w:val="0"/>
                <w:numId w:val="756"/>
              </w:numPr>
              <w:rPr>
                <w:rFonts w:cs="Arial"/>
              </w:rPr>
            </w:pPr>
            <w:r w:rsidRPr="009B7B35">
              <w:rPr>
                <w:rFonts w:cs="Arial"/>
              </w:rPr>
              <w:t>a development layout that is designed to facilitate direct and unobstructed servicing of waste and recycling containers, and</w:t>
            </w:r>
          </w:p>
          <w:p w14:paraId="620AF193" w14:textId="77777777" w:rsidR="00BE36FB" w:rsidRPr="009B7B35" w:rsidRDefault="00BE36FB" w:rsidP="00BE36FB">
            <w:pPr>
              <w:pStyle w:val="TableText"/>
              <w:numPr>
                <w:ilvl w:val="0"/>
                <w:numId w:val="756"/>
              </w:numPr>
              <w:rPr>
                <w:rFonts w:cs="Arial"/>
              </w:rPr>
            </w:pPr>
            <w:r w:rsidRPr="009B7B35">
              <w:rPr>
                <w:rFonts w:cs="Arial"/>
              </w:rPr>
              <w:t>minimising the potential for nuisances to be caused by way of noise and odour.</w:t>
            </w:r>
          </w:p>
        </w:tc>
        <w:tc>
          <w:tcPr>
            <w:tcW w:w="4678" w:type="dxa"/>
          </w:tcPr>
          <w:p w14:paraId="58E28D30"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AO22.1</w:t>
            </w:r>
          </w:p>
          <w:p w14:paraId="064F3CCA" w14:textId="77777777" w:rsidR="00BE36FB" w:rsidRPr="009B7B35" w:rsidRDefault="00BE36FB" w:rsidP="001A7107">
            <w:pPr>
              <w:pStyle w:val="TableText"/>
              <w:rPr>
                <w:rFonts w:cs="Arial"/>
              </w:rPr>
            </w:pPr>
            <w:r w:rsidRPr="009B7B35">
              <w:rPr>
                <w:rFonts w:cs="Arial"/>
              </w:rPr>
              <w:t>Where on–site waste and recycling collection services are proposed:</w:t>
            </w:r>
          </w:p>
          <w:p w14:paraId="28DBB666" w14:textId="77777777" w:rsidR="00BE36FB" w:rsidRPr="009B7B35" w:rsidRDefault="00BE36FB" w:rsidP="00BE36FB">
            <w:pPr>
              <w:pStyle w:val="TableText"/>
              <w:numPr>
                <w:ilvl w:val="0"/>
                <w:numId w:val="757"/>
              </w:numPr>
              <w:rPr>
                <w:rFonts w:cs="Arial"/>
              </w:rPr>
            </w:pPr>
            <w:r w:rsidRPr="009B7B35">
              <w:rPr>
                <w:rFonts w:cs="Arial"/>
              </w:rPr>
              <w:t>collection vehicle entry and exit from the site is carried out in a forward motion, and</w:t>
            </w:r>
          </w:p>
          <w:p w14:paraId="0FF1368F" w14:textId="77777777" w:rsidR="00BE36FB" w:rsidRPr="009B7B35" w:rsidRDefault="00BE36FB" w:rsidP="00BE36FB">
            <w:pPr>
              <w:pStyle w:val="TableText"/>
              <w:numPr>
                <w:ilvl w:val="0"/>
                <w:numId w:val="757"/>
              </w:numPr>
              <w:rPr>
                <w:rFonts w:cs="Arial"/>
              </w:rPr>
            </w:pPr>
            <w:r w:rsidRPr="009B7B35">
              <w:rPr>
                <w:rFonts w:cs="Arial"/>
              </w:rPr>
              <w:t xml:space="preserve">the proposed point of servicing is designed in accordance with the </w:t>
            </w:r>
            <w:r w:rsidRPr="009B7B35">
              <w:rPr>
                <w:rStyle w:val="StyleItalic"/>
                <w:rFonts w:cs="Arial"/>
              </w:rPr>
              <w:t>Waste Management Planning Scheme Policy</w:t>
            </w:r>
            <w:r w:rsidRPr="009B7B35">
              <w:rPr>
                <w:rFonts w:cs="Arial"/>
              </w:rPr>
              <w:t>.</w:t>
            </w:r>
          </w:p>
        </w:tc>
      </w:tr>
      <w:tr w:rsidR="00BE36FB" w:rsidRPr="009B7B35" w14:paraId="04E323EC" w14:textId="77777777" w:rsidTr="001A7107">
        <w:tc>
          <w:tcPr>
            <w:tcW w:w="4678" w:type="dxa"/>
            <w:vMerge/>
          </w:tcPr>
          <w:p w14:paraId="690F7CC3" w14:textId="77777777" w:rsidR="00BE36FB" w:rsidRPr="009B7B35" w:rsidRDefault="00BE36FB" w:rsidP="001A7107">
            <w:pPr>
              <w:pStyle w:val="TableText"/>
              <w:rPr>
                <w:rFonts w:cs="Arial"/>
              </w:rPr>
            </w:pPr>
          </w:p>
        </w:tc>
        <w:tc>
          <w:tcPr>
            <w:tcW w:w="4678" w:type="dxa"/>
          </w:tcPr>
          <w:p w14:paraId="12322C18"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AO22.2</w:t>
            </w:r>
          </w:p>
          <w:p w14:paraId="29D253BC" w14:textId="77777777" w:rsidR="00BE36FB" w:rsidRPr="009B7B35" w:rsidRDefault="00BE36FB" w:rsidP="001A7107">
            <w:pPr>
              <w:pStyle w:val="TableText"/>
              <w:rPr>
                <w:rFonts w:cs="Arial"/>
              </w:rPr>
            </w:pPr>
            <w:r w:rsidRPr="009B7B35">
              <w:rPr>
                <w:rFonts w:cs="Arial"/>
              </w:rPr>
              <w:t xml:space="preserve">Where on–street (kerbside) collection is proposed for any standard waste and recycling containers or bulk bin waste and recycling, waste management is designed in accordance with the </w:t>
            </w:r>
            <w:r w:rsidRPr="009B7B35">
              <w:rPr>
                <w:rStyle w:val="StyleItalic"/>
                <w:rFonts w:cs="Arial"/>
              </w:rPr>
              <w:t>Waste Management Planning Scheme Policy</w:t>
            </w:r>
            <w:r w:rsidRPr="009B7B35">
              <w:rPr>
                <w:rFonts w:cs="Arial"/>
              </w:rPr>
              <w:t>.</w:t>
            </w:r>
          </w:p>
        </w:tc>
      </w:tr>
      <w:tr w:rsidR="00BE36FB" w:rsidRPr="009B7B35" w14:paraId="44CDF3CE" w14:textId="77777777" w:rsidTr="001A7107">
        <w:tc>
          <w:tcPr>
            <w:tcW w:w="9356" w:type="dxa"/>
            <w:gridSpan w:val="2"/>
          </w:tcPr>
          <w:p w14:paraId="18E5D94C" w14:textId="77777777" w:rsidR="00BE36FB" w:rsidRPr="009B7B35" w:rsidRDefault="00BE36FB" w:rsidP="001A7107">
            <w:pPr>
              <w:pStyle w:val="Tableheading"/>
              <w:rPr>
                <w:rFonts w:ascii="Arial" w:hAnsi="Arial" w:cs="Arial"/>
                <w:szCs w:val="20"/>
              </w:rPr>
            </w:pPr>
            <w:r w:rsidRPr="009B7B35">
              <w:rPr>
                <w:rFonts w:ascii="Arial" w:hAnsi="Arial" w:cs="Arial"/>
                <w:szCs w:val="20"/>
              </w:rPr>
              <w:t>For all assessable development</w:t>
            </w:r>
          </w:p>
        </w:tc>
      </w:tr>
      <w:tr w:rsidR="00BE36FB" w:rsidRPr="009B7B35" w14:paraId="538DC2E2" w14:textId="77777777" w:rsidTr="001A7107">
        <w:tc>
          <w:tcPr>
            <w:tcW w:w="9356" w:type="dxa"/>
            <w:gridSpan w:val="2"/>
            <w:shd w:val="clear" w:color="auto" w:fill="BFBFBF" w:themeFill="background1" w:themeFillShade="BF"/>
          </w:tcPr>
          <w:p w14:paraId="2C0EEC58" w14:textId="77777777" w:rsidR="00BE36FB" w:rsidRPr="009B7B35" w:rsidRDefault="00BE36FB" w:rsidP="001A7107">
            <w:pPr>
              <w:pStyle w:val="Tableheading"/>
              <w:rPr>
                <w:rFonts w:ascii="Arial" w:hAnsi="Arial" w:cs="Arial"/>
                <w:szCs w:val="20"/>
              </w:rPr>
            </w:pPr>
            <w:r w:rsidRPr="009B7B35">
              <w:rPr>
                <w:rFonts w:ascii="Arial" w:hAnsi="Arial" w:cs="Arial"/>
                <w:szCs w:val="20"/>
              </w:rPr>
              <w:t>Stormwater management</w:t>
            </w:r>
          </w:p>
        </w:tc>
      </w:tr>
      <w:tr w:rsidR="00BE36FB" w:rsidRPr="009B7B35" w14:paraId="3B855D24" w14:textId="77777777" w:rsidTr="001A7107">
        <w:tc>
          <w:tcPr>
            <w:tcW w:w="4678" w:type="dxa"/>
          </w:tcPr>
          <w:p w14:paraId="007A4CEB"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PO23</w:t>
            </w:r>
          </w:p>
          <w:p w14:paraId="6EE58DAA" w14:textId="77777777" w:rsidR="00BE36FB" w:rsidRPr="009B7B35" w:rsidRDefault="00BE36FB" w:rsidP="001A7107">
            <w:pPr>
              <w:pStyle w:val="TableText"/>
              <w:rPr>
                <w:rFonts w:cs="Arial"/>
              </w:rPr>
            </w:pPr>
            <w:r w:rsidRPr="009B7B35">
              <w:rPr>
                <w:rFonts w:cs="Arial"/>
              </w:rPr>
              <w:t>Stormwater management systems:</w:t>
            </w:r>
          </w:p>
          <w:p w14:paraId="777898BC" w14:textId="77777777" w:rsidR="00BE36FB" w:rsidRPr="009B7B35" w:rsidRDefault="00BE36FB" w:rsidP="00BE36FB">
            <w:pPr>
              <w:pStyle w:val="TableText"/>
              <w:numPr>
                <w:ilvl w:val="0"/>
                <w:numId w:val="717"/>
              </w:numPr>
              <w:rPr>
                <w:rFonts w:cs="Arial"/>
              </w:rPr>
            </w:pPr>
            <w:r w:rsidRPr="009B7B35">
              <w:rPr>
                <w:rFonts w:cs="Arial"/>
              </w:rPr>
              <w:t xml:space="preserve">implement water sensitive urban design (WSUD) principles that: </w:t>
            </w:r>
          </w:p>
          <w:p w14:paraId="688851EA" w14:textId="77777777" w:rsidR="00BE36FB" w:rsidRPr="009B7B35" w:rsidRDefault="00BE36FB" w:rsidP="00BE36FB">
            <w:pPr>
              <w:pStyle w:val="TableText"/>
              <w:numPr>
                <w:ilvl w:val="1"/>
                <w:numId w:val="717"/>
              </w:numPr>
              <w:rPr>
                <w:rFonts w:cs="Arial"/>
              </w:rPr>
            </w:pPr>
            <w:r w:rsidRPr="009B7B35">
              <w:rPr>
                <w:rFonts w:cs="Arial"/>
              </w:rPr>
              <w:t>protect natural systems and waterways</w:t>
            </w:r>
          </w:p>
          <w:p w14:paraId="50BB7452" w14:textId="77777777" w:rsidR="00BE36FB" w:rsidRPr="009B7B35" w:rsidRDefault="00BE36FB" w:rsidP="00BE36FB">
            <w:pPr>
              <w:pStyle w:val="TableText"/>
              <w:numPr>
                <w:ilvl w:val="1"/>
                <w:numId w:val="717"/>
              </w:numPr>
              <w:rPr>
                <w:rFonts w:cs="Arial"/>
              </w:rPr>
            </w:pPr>
            <w:r w:rsidRPr="009B7B35">
              <w:rPr>
                <w:rFonts w:cs="Arial"/>
              </w:rPr>
              <w:t>allow for the detention of stormwater instead of rapid conveyance</w:t>
            </w:r>
          </w:p>
          <w:p w14:paraId="426A405C" w14:textId="77777777" w:rsidR="00BE36FB" w:rsidRPr="009B7B35" w:rsidRDefault="00BE36FB" w:rsidP="00BE36FB">
            <w:pPr>
              <w:pStyle w:val="TableText"/>
              <w:numPr>
                <w:ilvl w:val="1"/>
                <w:numId w:val="717"/>
              </w:numPr>
              <w:rPr>
                <w:rFonts w:cs="Arial"/>
              </w:rPr>
            </w:pPr>
            <w:r w:rsidRPr="009B7B35">
              <w:rPr>
                <w:rFonts w:cs="Arial"/>
              </w:rPr>
              <w:t>minimise impervious areas</w:t>
            </w:r>
          </w:p>
          <w:p w14:paraId="0133E9B5" w14:textId="77777777" w:rsidR="00BE36FB" w:rsidRPr="009B7B35" w:rsidRDefault="00BE36FB" w:rsidP="00BE36FB">
            <w:pPr>
              <w:pStyle w:val="TableText"/>
              <w:numPr>
                <w:ilvl w:val="1"/>
                <w:numId w:val="717"/>
              </w:numPr>
              <w:rPr>
                <w:rFonts w:cs="Arial"/>
              </w:rPr>
            </w:pPr>
            <w:r w:rsidRPr="009B7B35">
              <w:rPr>
                <w:rFonts w:cs="Arial"/>
              </w:rPr>
              <w:t>utilise stormwater to conserve potable water</w:t>
            </w:r>
          </w:p>
          <w:p w14:paraId="3F9987E4" w14:textId="77777777" w:rsidR="00BE36FB" w:rsidRPr="009B7B35" w:rsidRDefault="00BE36FB" w:rsidP="00BE36FB">
            <w:pPr>
              <w:pStyle w:val="TableText"/>
              <w:numPr>
                <w:ilvl w:val="1"/>
                <w:numId w:val="717"/>
              </w:numPr>
              <w:rPr>
                <w:rFonts w:cs="Arial"/>
              </w:rPr>
            </w:pPr>
            <w:r w:rsidRPr="009B7B35">
              <w:rPr>
                <w:rFonts w:cs="Arial"/>
              </w:rPr>
              <w:t>integrate stormwater treatment into the landscape</w:t>
            </w:r>
          </w:p>
          <w:p w14:paraId="7FFF0613" w14:textId="77777777" w:rsidR="00BE36FB" w:rsidRPr="009B7B35" w:rsidRDefault="00BE36FB" w:rsidP="00BE36FB">
            <w:pPr>
              <w:pStyle w:val="TableText"/>
              <w:numPr>
                <w:ilvl w:val="1"/>
                <w:numId w:val="717"/>
              </w:numPr>
              <w:rPr>
                <w:rFonts w:cs="Arial"/>
              </w:rPr>
            </w:pPr>
            <w:r w:rsidRPr="009B7B35">
              <w:rPr>
                <w:rFonts w:cs="Arial"/>
              </w:rPr>
              <w:t>ensure water quality values are protected</w:t>
            </w:r>
          </w:p>
          <w:p w14:paraId="759900CF" w14:textId="77777777" w:rsidR="00BE36FB" w:rsidRPr="009B7B35" w:rsidRDefault="00BE36FB" w:rsidP="00BE36FB">
            <w:pPr>
              <w:pStyle w:val="TableText"/>
              <w:numPr>
                <w:ilvl w:val="0"/>
                <w:numId w:val="717"/>
              </w:numPr>
              <w:rPr>
                <w:rFonts w:cs="Arial"/>
              </w:rPr>
            </w:pPr>
            <w:r w:rsidRPr="009B7B35">
              <w:rPr>
                <w:rFonts w:cs="Arial"/>
              </w:rPr>
              <w:t>where privately owned must be maintained (including costs) for the life of the system</w:t>
            </w:r>
          </w:p>
          <w:p w14:paraId="09C0F36C" w14:textId="77777777" w:rsidR="00BE36FB" w:rsidRPr="009B7B35" w:rsidRDefault="00BE36FB" w:rsidP="00BE36FB">
            <w:pPr>
              <w:pStyle w:val="TableText"/>
              <w:numPr>
                <w:ilvl w:val="0"/>
                <w:numId w:val="717"/>
              </w:numPr>
              <w:rPr>
                <w:rFonts w:cs="Arial"/>
              </w:rPr>
            </w:pPr>
            <w:r w:rsidRPr="009B7B35">
              <w:rPr>
                <w:rFonts w:cs="Arial"/>
              </w:rPr>
              <w:t>provide for safe access and maintenance</w:t>
            </w:r>
          </w:p>
          <w:p w14:paraId="4A473134" w14:textId="77777777" w:rsidR="00BE36FB" w:rsidRPr="009B7B35" w:rsidRDefault="00BE36FB" w:rsidP="00BE36FB">
            <w:pPr>
              <w:pStyle w:val="TableText"/>
              <w:numPr>
                <w:ilvl w:val="0"/>
                <w:numId w:val="717"/>
              </w:numPr>
              <w:rPr>
                <w:rFonts w:cs="Arial"/>
              </w:rPr>
            </w:pPr>
            <w:r w:rsidRPr="009B7B35">
              <w:rPr>
                <w:rFonts w:cs="Arial"/>
              </w:rPr>
              <w:t>maintain natural drainage lines and adequate filtering and settlement of sediment for the protection of watercourses, coastal wetlands and beaches from point source and non–point source stormwater discharges, and</w:t>
            </w:r>
          </w:p>
          <w:p w14:paraId="28376FDC" w14:textId="77777777" w:rsidR="00BE36FB" w:rsidRPr="009B7B35" w:rsidRDefault="00BE36FB" w:rsidP="00BE36FB">
            <w:pPr>
              <w:pStyle w:val="TableText"/>
              <w:numPr>
                <w:ilvl w:val="0"/>
                <w:numId w:val="717"/>
              </w:numPr>
              <w:rPr>
                <w:rFonts w:cs="Arial"/>
              </w:rPr>
            </w:pPr>
            <w:r w:rsidRPr="009B7B35">
              <w:rPr>
                <w:rFonts w:cs="Arial"/>
              </w:rPr>
              <w:t xml:space="preserve">are designed to minimise ongoing maintenance costs </w:t>
            </w:r>
          </w:p>
        </w:tc>
        <w:tc>
          <w:tcPr>
            <w:tcW w:w="4678" w:type="dxa"/>
          </w:tcPr>
          <w:p w14:paraId="71CB07D6"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AO23</w:t>
            </w:r>
          </w:p>
          <w:p w14:paraId="14F8906F" w14:textId="77777777" w:rsidR="00BE36FB" w:rsidRPr="009B7B35" w:rsidRDefault="00BE36FB" w:rsidP="001A7107">
            <w:pPr>
              <w:pStyle w:val="TableText"/>
              <w:rPr>
                <w:rFonts w:cs="Arial"/>
              </w:rPr>
            </w:pPr>
            <w:r w:rsidRPr="009B7B35">
              <w:rPr>
                <w:rFonts w:cs="Arial"/>
              </w:rPr>
              <w:t xml:space="preserve">Stormwater management systems are designed and constructed in accordance with the </w:t>
            </w:r>
            <w:r w:rsidRPr="009B7B35">
              <w:rPr>
                <w:rFonts w:cs="Arial"/>
                <w:i/>
              </w:rPr>
              <w:t>Engineering Design Planning Scheme Policy</w:t>
            </w:r>
            <w:r w:rsidRPr="009B7B35">
              <w:rPr>
                <w:rFonts w:cs="Arial"/>
              </w:rPr>
              <w:t>.</w:t>
            </w:r>
          </w:p>
          <w:p w14:paraId="1EC9B730" w14:textId="77777777" w:rsidR="00BE36FB" w:rsidRPr="009B7B35" w:rsidRDefault="00BE36FB" w:rsidP="001A7107">
            <w:pPr>
              <w:pStyle w:val="Notes"/>
              <w:rPr>
                <w:rFonts w:cs="Arial"/>
                <w:sz w:val="20"/>
                <w:szCs w:val="20"/>
              </w:rPr>
            </w:pPr>
            <w:r w:rsidRPr="009B7B35">
              <w:rPr>
                <w:rFonts w:cs="Arial"/>
                <w:sz w:val="20"/>
                <w:szCs w:val="20"/>
              </w:rPr>
              <w:t>Note—A site stormwater quality management plan (SQMP) is prepared in accordance with Engineering Design Planning Scheme Policy and the State Planning Policy requirement for stormwater quality treatment measures.</w:t>
            </w:r>
          </w:p>
        </w:tc>
      </w:tr>
      <w:tr w:rsidR="00BE36FB" w:rsidRPr="009B7B35" w14:paraId="4ECFA215" w14:textId="77777777" w:rsidTr="001A7107">
        <w:trPr>
          <w:cantSplit/>
        </w:trPr>
        <w:tc>
          <w:tcPr>
            <w:tcW w:w="4678" w:type="dxa"/>
          </w:tcPr>
          <w:p w14:paraId="06530A78" w14:textId="77777777" w:rsidR="00BE36FB" w:rsidRPr="009B7B35" w:rsidRDefault="00BE36FB" w:rsidP="001A7107">
            <w:pPr>
              <w:pStyle w:val="TableText"/>
              <w:rPr>
                <w:rFonts w:cs="Arial"/>
                <w:b/>
              </w:rPr>
            </w:pPr>
            <w:r w:rsidRPr="009B7B35">
              <w:rPr>
                <w:rFonts w:cs="Arial"/>
                <w:b/>
              </w:rPr>
              <w:t>PO24</w:t>
            </w:r>
          </w:p>
          <w:p w14:paraId="3AC54FA6" w14:textId="77777777" w:rsidR="00BE36FB" w:rsidRPr="009B7B35" w:rsidRDefault="00BE36FB" w:rsidP="001A7107">
            <w:pPr>
              <w:pStyle w:val="TableText"/>
              <w:rPr>
                <w:rFonts w:cs="Arial"/>
              </w:rPr>
            </w:pPr>
            <w:r w:rsidRPr="009B7B35">
              <w:rPr>
                <w:rFonts w:cs="Arial"/>
              </w:rPr>
              <w:t>Development allows for sufficient site area to accommodate an effective stormwater management system.</w:t>
            </w:r>
          </w:p>
        </w:tc>
        <w:tc>
          <w:tcPr>
            <w:tcW w:w="4678" w:type="dxa"/>
          </w:tcPr>
          <w:p w14:paraId="3E8D53AB" w14:textId="77777777" w:rsidR="00BE36FB" w:rsidRPr="009B7B35" w:rsidRDefault="00BE36FB" w:rsidP="001A7107">
            <w:pPr>
              <w:pStyle w:val="TableText"/>
              <w:rPr>
                <w:rFonts w:cs="Arial"/>
              </w:rPr>
            </w:pPr>
            <w:r w:rsidRPr="009B7B35">
              <w:rPr>
                <w:rFonts w:cs="Arial"/>
              </w:rPr>
              <w:t>No acceptable outcome specified.</w:t>
            </w:r>
          </w:p>
        </w:tc>
      </w:tr>
      <w:tr w:rsidR="00BE36FB" w:rsidRPr="009B7B35" w14:paraId="6EECA253" w14:textId="77777777" w:rsidTr="001A7107">
        <w:trPr>
          <w:cantSplit/>
        </w:trPr>
        <w:tc>
          <w:tcPr>
            <w:tcW w:w="4678" w:type="dxa"/>
          </w:tcPr>
          <w:p w14:paraId="0E89ED1A" w14:textId="77777777" w:rsidR="00BE36FB" w:rsidRPr="009B7B35" w:rsidRDefault="00BE36FB" w:rsidP="001A7107">
            <w:pPr>
              <w:pStyle w:val="TableText"/>
              <w:rPr>
                <w:rFonts w:cs="Arial"/>
                <w:b/>
              </w:rPr>
            </w:pPr>
            <w:r w:rsidRPr="009B7B35">
              <w:rPr>
                <w:rFonts w:cs="Arial"/>
                <w:b/>
              </w:rPr>
              <w:t>PO2</w:t>
            </w:r>
            <w:r w:rsidRPr="009B7B35">
              <w:rPr>
                <w:rStyle w:val="Strong"/>
                <w:rFonts w:eastAsiaTheme="majorEastAsia" w:cs="Arial"/>
              </w:rPr>
              <w:t>5</w:t>
            </w:r>
          </w:p>
          <w:p w14:paraId="5C59C061" w14:textId="77777777" w:rsidR="00BE36FB" w:rsidRPr="009B7B35" w:rsidRDefault="00BE36FB" w:rsidP="001A7107">
            <w:pPr>
              <w:pStyle w:val="TableText"/>
              <w:rPr>
                <w:rFonts w:cs="Arial"/>
              </w:rPr>
            </w:pPr>
            <w:r w:rsidRPr="009B7B35">
              <w:rPr>
                <w:rFonts w:cs="Arial"/>
              </w:rPr>
              <w:t>Development provides for the orderly development of stormwater infrastructure within a catchment, having regard to:</w:t>
            </w:r>
          </w:p>
          <w:p w14:paraId="7A364371" w14:textId="77777777" w:rsidR="00BE36FB" w:rsidRPr="009B7B35" w:rsidRDefault="00BE36FB" w:rsidP="00BE36FB">
            <w:pPr>
              <w:pStyle w:val="TableText"/>
              <w:numPr>
                <w:ilvl w:val="0"/>
                <w:numId w:val="758"/>
              </w:numPr>
              <w:rPr>
                <w:rFonts w:cs="Arial"/>
              </w:rPr>
            </w:pPr>
            <w:r w:rsidRPr="009B7B35">
              <w:rPr>
                <w:rFonts w:cs="Arial"/>
              </w:rPr>
              <w:t>existing capacity of stormwater infrastructure and ultimate catchment conditions</w:t>
            </w:r>
          </w:p>
          <w:p w14:paraId="0EC65012" w14:textId="77777777" w:rsidR="00BE36FB" w:rsidRPr="009B7B35" w:rsidRDefault="00BE36FB" w:rsidP="00BE36FB">
            <w:pPr>
              <w:pStyle w:val="TableText"/>
              <w:numPr>
                <w:ilvl w:val="0"/>
                <w:numId w:val="758"/>
              </w:numPr>
              <w:rPr>
                <w:rFonts w:cs="Arial"/>
              </w:rPr>
            </w:pPr>
            <w:r w:rsidRPr="009B7B35">
              <w:rPr>
                <w:rFonts w:cs="Arial"/>
              </w:rPr>
              <w:t>discharge for existing and future upstream development.</w:t>
            </w:r>
          </w:p>
        </w:tc>
        <w:tc>
          <w:tcPr>
            <w:tcW w:w="4678" w:type="dxa"/>
          </w:tcPr>
          <w:p w14:paraId="68FA8C7E" w14:textId="77777777" w:rsidR="00BE36FB" w:rsidRPr="009B7B35" w:rsidRDefault="00BE36FB" w:rsidP="001A7107">
            <w:pPr>
              <w:pStyle w:val="TableText"/>
              <w:rPr>
                <w:rFonts w:cs="Arial"/>
              </w:rPr>
            </w:pPr>
            <w:r w:rsidRPr="009B7B35">
              <w:rPr>
                <w:rFonts w:cs="Arial"/>
              </w:rPr>
              <w:t>No acceptable outcome specified.</w:t>
            </w:r>
          </w:p>
        </w:tc>
      </w:tr>
      <w:tr w:rsidR="00BE36FB" w:rsidRPr="009B7B35" w14:paraId="40CE5397" w14:textId="77777777" w:rsidTr="001A7107">
        <w:trPr>
          <w:cantSplit/>
        </w:trPr>
        <w:tc>
          <w:tcPr>
            <w:tcW w:w="4678" w:type="dxa"/>
          </w:tcPr>
          <w:p w14:paraId="071C4138" w14:textId="77777777" w:rsidR="00BE36FB" w:rsidRPr="009B7B35" w:rsidRDefault="00BE36FB" w:rsidP="001A7107">
            <w:pPr>
              <w:pStyle w:val="TableText"/>
              <w:rPr>
                <w:rFonts w:cs="Arial"/>
                <w:b/>
              </w:rPr>
            </w:pPr>
            <w:r w:rsidRPr="009B7B35">
              <w:rPr>
                <w:rFonts w:cs="Arial"/>
                <w:b/>
              </w:rPr>
              <w:t>PO2</w:t>
            </w:r>
            <w:r w:rsidRPr="009B7B35">
              <w:rPr>
                <w:rStyle w:val="Strong"/>
                <w:rFonts w:eastAsiaTheme="majorEastAsia" w:cs="Arial"/>
              </w:rPr>
              <w:t>6</w:t>
            </w:r>
          </w:p>
          <w:p w14:paraId="61FEA695" w14:textId="77777777" w:rsidR="00BE36FB" w:rsidRPr="009B7B35" w:rsidRDefault="00BE36FB" w:rsidP="001A7107">
            <w:pPr>
              <w:pStyle w:val="TableText"/>
              <w:rPr>
                <w:rFonts w:cs="Arial"/>
              </w:rPr>
            </w:pPr>
            <w:r w:rsidRPr="009B7B35">
              <w:rPr>
                <w:rFonts w:cs="Arial"/>
              </w:rPr>
              <w:t xml:space="preserve">Construction activities for the development avoid or minimise adverse impacts on stormwater quality. </w:t>
            </w:r>
          </w:p>
        </w:tc>
        <w:tc>
          <w:tcPr>
            <w:tcW w:w="4678" w:type="dxa"/>
          </w:tcPr>
          <w:p w14:paraId="01498689" w14:textId="77777777" w:rsidR="00BE36FB" w:rsidRPr="009B7B35" w:rsidRDefault="00BE36FB" w:rsidP="001A7107">
            <w:pPr>
              <w:pStyle w:val="TableText"/>
              <w:rPr>
                <w:rFonts w:cs="Arial"/>
                <w:b/>
              </w:rPr>
            </w:pPr>
            <w:r w:rsidRPr="009B7B35">
              <w:rPr>
                <w:rFonts w:cs="Arial"/>
                <w:b/>
              </w:rPr>
              <w:t>AO2</w:t>
            </w:r>
            <w:r w:rsidRPr="009B7B35">
              <w:rPr>
                <w:rStyle w:val="Strong"/>
                <w:rFonts w:eastAsiaTheme="majorEastAsia" w:cs="Arial"/>
              </w:rPr>
              <w:t>6</w:t>
            </w:r>
          </w:p>
          <w:p w14:paraId="7CBAF887" w14:textId="77777777" w:rsidR="00BE36FB" w:rsidRPr="009B7B35" w:rsidRDefault="00BE36FB" w:rsidP="001A7107">
            <w:pPr>
              <w:pStyle w:val="TableText"/>
              <w:rPr>
                <w:rFonts w:cs="Arial"/>
              </w:rPr>
            </w:pPr>
            <w:r w:rsidRPr="009B7B35">
              <w:rPr>
                <w:rFonts w:cs="Arial"/>
              </w:rPr>
              <w:t>The release of sediment–laden stormwater is avoided for the nominated design storm, and minimised when the nominated design storm is exceeded, by addressing design objectives listed below in Table 9.3.1.3.2—Construction phase, or local equivalent for:</w:t>
            </w:r>
          </w:p>
          <w:p w14:paraId="2BDD4D2E" w14:textId="77777777" w:rsidR="00BE36FB" w:rsidRPr="009B7B35" w:rsidRDefault="00BE36FB" w:rsidP="00BE36FB">
            <w:pPr>
              <w:pStyle w:val="TableText"/>
              <w:numPr>
                <w:ilvl w:val="0"/>
                <w:numId w:val="759"/>
              </w:numPr>
              <w:rPr>
                <w:rFonts w:cs="Arial"/>
              </w:rPr>
            </w:pPr>
            <w:r w:rsidRPr="009B7B35">
              <w:rPr>
                <w:rFonts w:cs="Arial"/>
              </w:rPr>
              <w:t>drainage control</w:t>
            </w:r>
          </w:p>
          <w:p w14:paraId="63E69F92" w14:textId="77777777" w:rsidR="00BE36FB" w:rsidRPr="009B7B35" w:rsidRDefault="00BE36FB" w:rsidP="00BE36FB">
            <w:pPr>
              <w:pStyle w:val="TableText"/>
              <w:numPr>
                <w:ilvl w:val="0"/>
                <w:numId w:val="759"/>
              </w:numPr>
              <w:rPr>
                <w:rFonts w:cs="Arial"/>
              </w:rPr>
            </w:pPr>
            <w:r w:rsidRPr="009B7B35">
              <w:rPr>
                <w:rFonts w:cs="Arial"/>
              </w:rPr>
              <w:t>erosion control</w:t>
            </w:r>
          </w:p>
          <w:p w14:paraId="21849748" w14:textId="77777777" w:rsidR="00BE36FB" w:rsidRPr="009B7B35" w:rsidRDefault="00BE36FB" w:rsidP="00BE36FB">
            <w:pPr>
              <w:pStyle w:val="TableText"/>
              <w:numPr>
                <w:ilvl w:val="0"/>
                <w:numId w:val="759"/>
              </w:numPr>
              <w:rPr>
                <w:rFonts w:cs="Arial"/>
              </w:rPr>
            </w:pPr>
            <w:r w:rsidRPr="009B7B35">
              <w:rPr>
                <w:rFonts w:cs="Arial"/>
              </w:rPr>
              <w:t>sediment control, and</w:t>
            </w:r>
          </w:p>
          <w:p w14:paraId="76AC6691" w14:textId="77777777" w:rsidR="00BE36FB" w:rsidRPr="009B7B35" w:rsidRDefault="00BE36FB" w:rsidP="00BE36FB">
            <w:pPr>
              <w:pStyle w:val="TableText"/>
              <w:numPr>
                <w:ilvl w:val="0"/>
                <w:numId w:val="759"/>
              </w:numPr>
              <w:rPr>
                <w:rFonts w:cs="Arial"/>
              </w:rPr>
            </w:pPr>
            <w:r w:rsidRPr="009B7B35">
              <w:rPr>
                <w:rFonts w:cs="Arial"/>
              </w:rPr>
              <w:t>water quality outcomes.</w:t>
            </w:r>
          </w:p>
          <w:p w14:paraId="4EE7B878" w14:textId="77777777" w:rsidR="00BE36FB" w:rsidRPr="009B7B35" w:rsidRDefault="00BE36FB" w:rsidP="001A7107">
            <w:pPr>
              <w:pStyle w:val="Notes"/>
              <w:rPr>
                <w:rFonts w:cs="Arial"/>
                <w:sz w:val="20"/>
                <w:szCs w:val="20"/>
              </w:rPr>
            </w:pPr>
            <w:r w:rsidRPr="009B7B35">
              <w:rPr>
                <w:rFonts w:cs="Arial"/>
                <w:sz w:val="20"/>
                <w:szCs w:val="20"/>
              </w:rPr>
              <w:t>Note—An Erosion and Sediment Control Plan (ESCP) is prepared by a suitably qualified person that demonstrates:</w:t>
            </w:r>
          </w:p>
          <w:p w14:paraId="2A9CADBC" w14:textId="77777777" w:rsidR="00BE36FB" w:rsidRPr="009B7B35" w:rsidRDefault="00BE36FB" w:rsidP="001A7107">
            <w:pPr>
              <w:pStyle w:val="Notesbullet"/>
              <w:rPr>
                <w:rFonts w:cs="Arial"/>
                <w:sz w:val="20"/>
                <w:szCs w:val="20"/>
              </w:rPr>
            </w:pPr>
            <w:r w:rsidRPr="009B7B35">
              <w:rPr>
                <w:rFonts w:cs="Arial"/>
                <w:sz w:val="20"/>
                <w:szCs w:val="20"/>
              </w:rPr>
              <w:t xml:space="preserve">erosion and sediment control practices (including any proprietary erosion and sediment control products) are designed, installed, constructed, operated, monitored and maintained, and any other erosion and sediment control practices are carried out in accordance with local conditions, or </w:t>
            </w:r>
          </w:p>
          <w:p w14:paraId="57C1CC7A" w14:textId="77777777" w:rsidR="00BE36FB" w:rsidRPr="009B7B35" w:rsidRDefault="00BE36FB" w:rsidP="001A7107">
            <w:pPr>
              <w:pStyle w:val="Notesbullet"/>
              <w:rPr>
                <w:rFonts w:cs="Arial"/>
                <w:sz w:val="20"/>
                <w:szCs w:val="20"/>
              </w:rPr>
            </w:pPr>
            <w:r w:rsidRPr="009B7B35">
              <w:rPr>
                <w:rFonts w:cs="Arial"/>
                <w:sz w:val="20"/>
                <w:szCs w:val="20"/>
              </w:rPr>
              <w:t>how stormwater quality will be managed in accordance with an acceptable regional or local guideline so that target contaminants are treated to a design objective at least equivalent to this Acceptable outcome.</w:t>
            </w:r>
          </w:p>
        </w:tc>
      </w:tr>
      <w:tr w:rsidR="00BE36FB" w:rsidRPr="009B7B35" w14:paraId="510D1DC7" w14:textId="77777777" w:rsidTr="001A7107">
        <w:trPr>
          <w:cantSplit/>
        </w:trPr>
        <w:tc>
          <w:tcPr>
            <w:tcW w:w="4678" w:type="dxa"/>
          </w:tcPr>
          <w:p w14:paraId="46699794" w14:textId="77777777" w:rsidR="00BE36FB" w:rsidRPr="009B7B35" w:rsidRDefault="00BE36FB" w:rsidP="001A7107">
            <w:pPr>
              <w:pStyle w:val="TableText"/>
              <w:rPr>
                <w:rFonts w:cs="Arial"/>
              </w:rPr>
            </w:pPr>
            <w:r w:rsidRPr="009B7B35">
              <w:rPr>
                <w:rFonts w:cs="Arial"/>
                <w:b/>
              </w:rPr>
              <w:t>PO2</w:t>
            </w:r>
            <w:r w:rsidRPr="009B7B35">
              <w:rPr>
                <w:rStyle w:val="Strong"/>
                <w:rFonts w:eastAsiaTheme="majorEastAsia" w:cs="Arial"/>
              </w:rPr>
              <w:t>7</w:t>
            </w:r>
          </w:p>
          <w:p w14:paraId="5BE8ECCB" w14:textId="77777777" w:rsidR="00BE36FB" w:rsidRPr="009B7B35" w:rsidRDefault="00BE36FB" w:rsidP="001A7107">
            <w:pPr>
              <w:pStyle w:val="TableText"/>
              <w:rPr>
                <w:rFonts w:cs="Arial"/>
              </w:rPr>
            </w:pPr>
            <w:r w:rsidRPr="009B7B35">
              <w:rPr>
                <w:rFonts w:cs="Arial"/>
              </w:rPr>
              <w:t>Reconfiguration of lots includes stormwater management measures in the design of any road reserve, streetscape or drainage networks to:</w:t>
            </w:r>
          </w:p>
          <w:p w14:paraId="11D11465" w14:textId="77777777" w:rsidR="00BE36FB" w:rsidRPr="009B7B35" w:rsidRDefault="00BE36FB" w:rsidP="00BE36FB">
            <w:pPr>
              <w:pStyle w:val="TableText"/>
              <w:numPr>
                <w:ilvl w:val="0"/>
                <w:numId w:val="760"/>
              </w:numPr>
              <w:rPr>
                <w:rFonts w:cs="Arial"/>
              </w:rPr>
            </w:pPr>
            <w:r w:rsidRPr="009B7B35">
              <w:rPr>
                <w:rFonts w:cs="Arial"/>
              </w:rPr>
              <w:t>minimise impacts on the water cycle</w:t>
            </w:r>
          </w:p>
          <w:p w14:paraId="1D0828B5" w14:textId="77777777" w:rsidR="00BE36FB" w:rsidRPr="009B7B35" w:rsidRDefault="00BE36FB" w:rsidP="00BE36FB">
            <w:pPr>
              <w:pStyle w:val="TableText"/>
              <w:numPr>
                <w:ilvl w:val="0"/>
                <w:numId w:val="760"/>
              </w:numPr>
              <w:rPr>
                <w:rFonts w:cs="Arial"/>
              </w:rPr>
            </w:pPr>
            <w:r w:rsidRPr="009B7B35">
              <w:rPr>
                <w:rFonts w:cs="Arial"/>
              </w:rPr>
              <w:t>protect waterway health by improving stormwater quality and reducing site run–off, and</w:t>
            </w:r>
          </w:p>
          <w:p w14:paraId="5D0E5C34" w14:textId="77777777" w:rsidR="00BE36FB" w:rsidRPr="009B7B35" w:rsidRDefault="00BE36FB" w:rsidP="00BE36FB">
            <w:pPr>
              <w:pStyle w:val="TableText"/>
              <w:numPr>
                <w:ilvl w:val="0"/>
                <w:numId w:val="760"/>
              </w:numPr>
              <w:rPr>
                <w:rFonts w:cs="Arial"/>
              </w:rPr>
            </w:pPr>
            <w:r w:rsidRPr="009B7B35">
              <w:rPr>
                <w:rFonts w:cs="Arial"/>
              </w:rPr>
              <w:t>avoid large impervious surfaces.</w:t>
            </w:r>
          </w:p>
        </w:tc>
        <w:tc>
          <w:tcPr>
            <w:tcW w:w="4678" w:type="dxa"/>
          </w:tcPr>
          <w:p w14:paraId="0AF4166E" w14:textId="77777777" w:rsidR="00BE36FB" w:rsidRPr="009B7B35" w:rsidRDefault="00BE36FB" w:rsidP="001A7107">
            <w:pPr>
              <w:pStyle w:val="TableText"/>
              <w:rPr>
                <w:rFonts w:cs="Arial"/>
              </w:rPr>
            </w:pPr>
            <w:r w:rsidRPr="009B7B35">
              <w:rPr>
                <w:rFonts w:cs="Arial"/>
              </w:rPr>
              <w:t>No acceptable outcome specified.</w:t>
            </w:r>
          </w:p>
        </w:tc>
      </w:tr>
      <w:tr w:rsidR="00BE36FB" w:rsidRPr="009B7B35" w14:paraId="42CC76AA" w14:textId="77777777" w:rsidTr="001A7107">
        <w:tc>
          <w:tcPr>
            <w:tcW w:w="9356" w:type="dxa"/>
            <w:gridSpan w:val="2"/>
            <w:shd w:val="clear" w:color="auto" w:fill="BFBFBF" w:themeFill="background1" w:themeFillShade="BF"/>
          </w:tcPr>
          <w:p w14:paraId="7F3C2E63" w14:textId="77777777" w:rsidR="00BE36FB" w:rsidRPr="009B7B35" w:rsidRDefault="00BE36FB" w:rsidP="001A7107">
            <w:pPr>
              <w:pStyle w:val="Tableheading"/>
              <w:rPr>
                <w:rFonts w:ascii="Arial" w:hAnsi="Arial" w:cs="Arial"/>
                <w:szCs w:val="20"/>
              </w:rPr>
            </w:pPr>
            <w:r w:rsidRPr="009B7B35">
              <w:rPr>
                <w:rFonts w:ascii="Arial" w:hAnsi="Arial" w:cs="Arial"/>
                <w:szCs w:val="20"/>
              </w:rPr>
              <w:t>Wastewater Management</w:t>
            </w:r>
          </w:p>
        </w:tc>
      </w:tr>
      <w:tr w:rsidR="00BE36FB" w:rsidRPr="009B7B35" w14:paraId="2176C4E2" w14:textId="77777777" w:rsidTr="001A7107">
        <w:tc>
          <w:tcPr>
            <w:tcW w:w="4678" w:type="dxa"/>
          </w:tcPr>
          <w:p w14:paraId="38F12469"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PO28</w:t>
            </w:r>
          </w:p>
          <w:p w14:paraId="160EA305" w14:textId="77777777" w:rsidR="00BE36FB" w:rsidRPr="009B7B35" w:rsidRDefault="00BE36FB" w:rsidP="001A7107">
            <w:pPr>
              <w:pStyle w:val="TableText"/>
              <w:rPr>
                <w:rFonts w:cs="Arial"/>
              </w:rPr>
            </w:pPr>
            <w:r w:rsidRPr="009B7B35">
              <w:rPr>
                <w:rFonts w:cs="Arial"/>
              </w:rPr>
              <w:t>Wastewater discharge maintains ecological processes, riparian vegetation, waterway integrity, and downstream ecosystem health including:</w:t>
            </w:r>
          </w:p>
          <w:p w14:paraId="4A90A63F" w14:textId="77777777" w:rsidR="00BE36FB" w:rsidRPr="009B7B35" w:rsidRDefault="00BE36FB" w:rsidP="00BE36FB">
            <w:pPr>
              <w:pStyle w:val="TableText"/>
              <w:numPr>
                <w:ilvl w:val="0"/>
                <w:numId w:val="804"/>
              </w:numPr>
              <w:ind w:left="510" w:hanging="510"/>
              <w:rPr>
                <w:rFonts w:cs="Arial"/>
              </w:rPr>
            </w:pPr>
            <w:r w:rsidRPr="009B7B35">
              <w:rPr>
                <w:rFonts w:cs="Arial"/>
              </w:rPr>
              <w:t>protecting applicable water quality objectives for the receiving waters</w:t>
            </w:r>
          </w:p>
          <w:p w14:paraId="2A4697E7" w14:textId="77777777" w:rsidR="00BE36FB" w:rsidRPr="009B7B35" w:rsidRDefault="00BE36FB" w:rsidP="00BE36FB">
            <w:pPr>
              <w:pStyle w:val="TableText"/>
              <w:numPr>
                <w:ilvl w:val="0"/>
                <w:numId w:val="804"/>
              </w:numPr>
              <w:ind w:left="510" w:hanging="510"/>
              <w:rPr>
                <w:rFonts w:cs="Arial"/>
              </w:rPr>
            </w:pPr>
            <w:r w:rsidRPr="009B7B35">
              <w:rPr>
                <w:rFonts w:cs="Arial"/>
              </w:rPr>
              <w:t>managing soil disturbance or altering natural hydrology in coastal areas</w:t>
            </w:r>
          </w:p>
          <w:p w14:paraId="713E4AA9" w14:textId="77777777" w:rsidR="00BE36FB" w:rsidRPr="009B7B35" w:rsidRDefault="00BE36FB" w:rsidP="00BE36FB">
            <w:pPr>
              <w:pStyle w:val="TableText"/>
              <w:numPr>
                <w:ilvl w:val="0"/>
                <w:numId w:val="804"/>
              </w:numPr>
              <w:ind w:left="510" w:hanging="510"/>
              <w:rPr>
                <w:rFonts w:cs="Arial"/>
              </w:rPr>
            </w:pPr>
            <w:r w:rsidRPr="009B7B35">
              <w:rPr>
                <w:rFonts w:cs="Arial"/>
              </w:rPr>
              <w:t>avoiding or minimising the release of nutrients of concern so as to minimise the occurrence, frequency and intensity of coastal algal blooms, and</w:t>
            </w:r>
          </w:p>
          <w:p w14:paraId="7DC33C1D" w14:textId="77777777" w:rsidR="00BE36FB" w:rsidRPr="009B7B35" w:rsidRDefault="00BE36FB" w:rsidP="00BE36FB">
            <w:pPr>
              <w:pStyle w:val="TableText"/>
              <w:numPr>
                <w:ilvl w:val="0"/>
                <w:numId w:val="804"/>
              </w:numPr>
              <w:ind w:left="510" w:hanging="510"/>
              <w:rPr>
                <w:rFonts w:cs="Arial"/>
              </w:rPr>
            </w:pPr>
            <w:r w:rsidRPr="009B7B35">
              <w:rPr>
                <w:rFonts w:cs="Arial"/>
              </w:rPr>
              <w:t>avoiding lowering groundwater levels where potential or actual acid sulfate soils are present in coastal areas.</w:t>
            </w:r>
          </w:p>
          <w:p w14:paraId="45E61527" w14:textId="77777777" w:rsidR="00BE36FB" w:rsidRPr="009B7B35" w:rsidRDefault="00BE36FB" w:rsidP="001A7107">
            <w:pPr>
              <w:pStyle w:val="Notes"/>
              <w:rPr>
                <w:rFonts w:cs="Arial"/>
                <w:sz w:val="20"/>
                <w:szCs w:val="20"/>
              </w:rPr>
            </w:pPr>
            <w:r w:rsidRPr="009B7B35">
              <w:rPr>
                <w:rFonts w:cs="Arial"/>
                <w:sz w:val="20"/>
                <w:szCs w:val="20"/>
              </w:rPr>
              <w:t>Note—Compliance with part of this performance outcome may be demonstrated by following the management advice in the guideline: Implementing Policies and Plans for Managing Nutrients of Concern for Coastal Algal Blooms in Queensland by the Department of Environment and Heritage Protection.</w:t>
            </w:r>
          </w:p>
        </w:tc>
        <w:tc>
          <w:tcPr>
            <w:tcW w:w="4678" w:type="dxa"/>
          </w:tcPr>
          <w:p w14:paraId="26C6534F" w14:textId="77777777"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14:paraId="5C0FF0E2" w14:textId="77777777" w:rsidTr="001A7107">
        <w:trPr>
          <w:cantSplit/>
        </w:trPr>
        <w:tc>
          <w:tcPr>
            <w:tcW w:w="4678" w:type="dxa"/>
          </w:tcPr>
          <w:p w14:paraId="646BDB01" w14:textId="77777777"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29</w:t>
            </w:r>
          </w:p>
          <w:p w14:paraId="18BDAB74" w14:textId="77777777" w:rsidR="00BE36FB" w:rsidRPr="009B7B35" w:rsidRDefault="00BE36FB" w:rsidP="001A7107">
            <w:pPr>
              <w:pStyle w:val="TableText"/>
              <w:rPr>
                <w:rFonts w:cs="Arial"/>
              </w:rPr>
            </w:pPr>
            <w:r w:rsidRPr="009B7B35">
              <w:rPr>
                <w:rFonts w:cs="Arial"/>
              </w:rPr>
              <w:t>Where involving trade waste or contaminated wastewaters, they are managed so that:</w:t>
            </w:r>
          </w:p>
          <w:p w14:paraId="3F673ECF" w14:textId="77777777" w:rsidR="00BE36FB" w:rsidRPr="009B7B35" w:rsidRDefault="00BE36FB" w:rsidP="00BE36FB">
            <w:pPr>
              <w:pStyle w:val="TableText"/>
              <w:numPr>
                <w:ilvl w:val="0"/>
                <w:numId w:val="27"/>
              </w:numPr>
              <w:rPr>
                <w:rFonts w:cs="Arial"/>
              </w:rPr>
            </w:pPr>
            <w:r w:rsidRPr="009B7B35">
              <w:rPr>
                <w:rFonts w:cs="Arial"/>
              </w:rPr>
              <w:t>the pH of any wastewater discharged is maintained between 6.5 and 8.5 to avoid mobilisation of acid, iron, aluminium, and metals</w:t>
            </w:r>
          </w:p>
          <w:p w14:paraId="76E1517B" w14:textId="77777777" w:rsidR="00BE36FB" w:rsidRPr="009B7B35" w:rsidRDefault="00BE36FB" w:rsidP="00BE36FB">
            <w:pPr>
              <w:pStyle w:val="TableText"/>
              <w:numPr>
                <w:ilvl w:val="0"/>
                <w:numId w:val="27"/>
              </w:numPr>
              <w:rPr>
                <w:rFonts w:cs="Arial"/>
              </w:rPr>
            </w:pPr>
            <w:r w:rsidRPr="009B7B35">
              <w:rPr>
                <w:rFonts w:cs="Arial"/>
              </w:rPr>
              <w:t>holding times of neutralised wastewaters ensures the flocculation and removal of any dissolved iron prior to release</w:t>
            </w:r>
          </w:p>
          <w:p w14:paraId="3CFFC40F" w14:textId="77777777" w:rsidR="00BE36FB" w:rsidRPr="009B7B35" w:rsidRDefault="00BE36FB" w:rsidP="00BE36FB">
            <w:pPr>
              <w:pStyle w:val="TableText"/>
              <w:numPr>
                <w:ilvl w:val="0"/>
                <w:numId w:val="27"/>
              </w:numPr>
              <w:rPr>
                <w:rFonts w:cs="Arial"/>
              </w:rPr>
            </w:pPr>
            <w:r w:rsidRPr="009B7B35">
              <w:rPr>
                <w:rFonts w:cs="Arial"/>
              </w:rPr>
              <w:t>visible iron floc is not present in any discharge</w:t>
            </w:r>
          </w:p>
          <w:p w14:paraId="3B114E56" w14:textId="77777777" w:rsidR="00BE36FB" w:rsidRPr="009B7B35" w:rsidRDefault="00BE36FB" w:rsidP="00BE36FB">
            <w:pPr>
              <w:pStyle w:val="TableText"/>
              <w:numPr>
                <w:ilvl w:val="0"/>
                <w:numId w:val="27"/>
              </w:numPr>
              <w:rPr>
                <w:rFonts w:cs="Arial"/>
              </w:rPr>
            </w:pPr>
            <w:r w:rsidRPr="009B7B35">
              <w:rPr>
                <w:rFonts w:cs="Arial"/>
              </w:rPr>
              <w:t>precipitated iron floc is contained and disposed of, and</w:t>
            </w:r>
          </w:p>
          <w:p w14:paraId="21F71FBF" w14:textId="77777777" w:rsidR="00BE36FB" w:rsidRPr="009B7B35" w:rsidRDefault="00BE36FB" w:rsidP="00BE36FB">
            <w:pPr>
              <w:pStyle w:val="TableText"/>
              <w:numPr>
                <w:ilvl w:val="0"/>
                <w:numId w:val="27"/>
              </w:numPr>
              <w:rPr>
                <w:rFonts w:cs="Arial"/>
              </w:rPr>
            </w:pPr>
            <w:r w:rsidRPr="009B7B35">
              <w:rPr>
                <w:rFonts w:cs="Arial"/>
              </w:rPr>
              <w:t>wastewater and precipitates that cannot be contained and treated for discharge on site are removed and disposed of through trade waste.</w:t>
            </w:r>
          </w:p>
        </w:tc>
        <w:tc>
          <w:tcPr>
            <w:tcW w:w="4678" w:type="dxa"/>
          </w:tcPr>
          <w:p w14:paraId="2089A872" w14:textId="77777777" w:rsidR="00BE36FB" w:rsidRPr="009B7B35" w:rsidRDefault="00BE36FB" w:rsidP="001A7107">
            <w:pPr>
              <w:pStyle w:val="TableText"/>
              <w:rPr>
                <w:rFonts w:cs="Arial"/>
              </w:rPr>
            </w:pPr>
            <w:r w:rsidRPr="009B7B35">
              <w:rPr>
                <w:rFonts w:cs="Arial"/>
              </w:rPr>
              <w:t>No acceptable outcome specified.</w:t>
            </w:r>
          </w:p>
        </w:tc>
      </w:tr>
      <w:tr w:rsidR="00BE36FB" w:rsidRPr="009B7B35" w14:paraId="09068335" w14:textId="77777777" w:rsidTr="001A7107">
        <w:trPr>
          <w:cantSplit/>
        </w:trPr>
        <w:tc>
          <w:tcPr>
            <w:tcW w:w="9356" w:type="dxa"/>
            <w:gridSpan w:val="2"/>
            <w:shd w:val="clear" w:color="auto" w:fill="BFBFBF" w:themeFill="background1" w:themeFillShade="BF"/>
          </w:tcPr>
          <w:p w14:paraId="6A98F547" w14:textId="77777777" w:rsidR="00BE36FB" w:rsidRPr="009B7B35" w:rsidRDefault="00BE36FB" w:rsidP="001A7107">
            <w:pPr>
              <w:pStyle w:val="Tableheading"/>
              <w:rPr>
                <w:rFonts w:ascii="Arial" w:hAnsi="Arial" w:cs="Arial"/>
                <w:szCs w:val="20"/>
              </w:rPr>
            </w:pPr>
            <w:r w:rsidRPr="009B7B35">
              <w:rPr>
                <w:rFonts w:ascii="Arial" w:hAnsi="Arial" w:cs="Arial"/>
                <w:szCs w:val="20"/>
              </w:rPr>
              <w:t>Bridge and culvert work</w:t>
            </w:r>
          </w:p>
        </w:tc>
      </w:tr>
      <w:tr w:rsidR="00BE36FB" w:rsidRPr="009B7B35" w14:paraId="55DCE68F" w14:textId="77777777" w:rsidTr="001A7107">
        <w:trPr>
          <w:cantSplit/>
        </w:trPr>
        <w:tc>
          <w:tcPr>
            <w:tcW w:w="4678" w:type="dxa"/>
          </w:tcPr>
          <w:p w14:paraId="59E436A2" w14:textId="77777777"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30</w:t>
            </w:r>
          </w:p>
          <w:p w14:paraId="2310CF67" w14:textId="77777777" w:rsidR="00BE36FB" w:rsidRPr="009B7B35" w:rsidRDefault="00BE36FB" w:rsidP="001A7107">
            <w:pPr>
              <w:pStyle w:val="TableText"/>
              <w:rPr>
                <w:rFonts w:cs="Arial"/>
              </w:rPr>
            </w:pPr>
            <w:r w:rsidRPr="009B7B35">
              <w:rPr>
                <w:rFonts w:cs="Arial"/>
              </w:rPr>
              <w:t>Bridges and culverts for flood immunity:</w:t>
            </w:r>
          </w:p>
          <w:p w14:paraId="56F16122" w14:textId="77777777" w:rsidR="00BE36FB" w:rsidRPr="009B7B35" w:rsidRDefault="00BE36FB" w:rsidP="00BE36FB">
            <w:pPr>
              <w:pStyle w:val="TableText"/>
              <w:numPr>
                <w:ilvl w:val="0"/>
                <w:numId w:val="805"/>
              </w:numPr>
              <w:rPr>
                <w:rFonts w:cs="Arial"/>
              </w:rPr>
            </w:pPr>
            <w:r w:rsidRPr="009B7B35">
              <w:rPr>
                <w:rFonts w:cs="Arial"/>
              </w:rPr>
              <w:t>are designed and located to minimise  traffic disruption</w:t>
            </w:r>
          </w:p>
          <w:p w14:paraId="05283078" w14:textId="77777777" w:rsidR="00BE36FB" w:rsidRPr="009B7B35" w:rsidRDefault="00BE36FB" w:rsidP="00BE36FB">
            <w:pPr>
              <w:pStyle w:val="TableText"/>
              <w:numPr>
                <w:ilvl w:val="0"/>
                <w:numId w:val="805"/>
              </w:numPr>
              <w:rPr>
                <w:rFonts w:cs="Arial"/>
              </w:rPr>
            </w:pPr>
            <w:r w:rsidRPr="009B7B35">
              <w:rPr>
                <w:rFonts w:cs="Arial"/>
              </w:rPr>
              <w:t>improve public safety</w:t>
            </w:r>
          </w:p>
          <w:p w14:paraId="71D81A45" w14:textId="77777777" w:rsidR="00BE36FB" w:rsidRPr="009B7B35" w:rsidRDefault="00BE36FB" w:rsidP="00BE36FB">
            <w:pPr>
              <w:pStyle w:val="TableText"/>
              <w:numPr>
                <w:ilvl w:val="0"/>
                <w:numId w:val="805"/>
              </w:numPr>
              <w:rPr>
                <w:rFonts w:cs="Arial"/>
              </w:rPr>
            </w:pPr>
            <w:r w:rsidRPr="009B7B35">
              <w:rPr>
                <w:rFonts w:cs="Arial"/>
              </w:rPr>
              <w:t>provides for fauna habitat movement where possible, and</w:t>
            </w:r>
          </w:p>
          <w:p w14:paraId="0A74CF7E" w14:textId="77777777" w:rsidR="00BE36FB" w:rsidRPr="009B7B35" w:rsidRDefault="00BE36FB" w:rsidP="00BE36FB">
            <w:pPr>
              <w:pStyle w:val="TableText"/>
              <w:numPr>
                <w:ilvl w:val="0"/>
                <w:numId w:val="805"/>
              </w:numPr>
              <w:rPr>
                <w:rFonts w:cs="Arial"/>
              </w:rPr>
            </w:pPr>
            <w:r w:rsidRPr="009B7B35">
              <w:rPr>
                <w:rFonts w:cs="Arial"/>
              </w:rPr>
              <w:t>makes appropriate allowance for active transport.</w:t>
            </w:r>
          </w:p>
        </w:tc>
        <w:tc>
          <w:tcPr>
            <w:tcW w:w="4678" w:type="dxa"/>
          </w:tcPr>
          <w:p w14:paraId="3E48C328" w14:textId="77777777" w:rsidR="00BE36FB" w:rsidRPr="009B7B35" w:rsidRDefault="00BE36FB" w:rsidP="001A7107">
            <w:pPr>
              <w:pStyle w:val="TableText"/>
              <w:rPr>
                <w:rFonts w:cs="Arial"/>
                <w:b/>
              </w:rPr>
            </w:pPr>
            <w:r w:rsidRPr="009B7B35">
              <w:rPr>
                <w:rFonts w:cs="Arial"/>
                <w:b/>
              </w:rPr>
              <w:t>AO30</w:t>
            </w:r>
          </w:p>
          <w:p w14:paraId="087399B8" w14:textId="77777777" w:rsidR="00BE36FB" w:rsidRPr="009B7B35" w:rsidRDefault="00BE36FB" w:rsidP="001A7107">
            <w:pPr>
              <w:pStyle w:val="TableText"/>
              <w:rPr>
                <w:rFonts w:cs="Arial"/>
              </w:rPr>
            </w:pPr>
            <w:r w:rsidRPr="009B7B35">
              <w:rPr>
                <w:rFonts w:cs="Arial"/>
              </w:rPr>
              <w:t xml:space="preserve">Bridges and culvert works are provided in accordance with the </w:t>
            </w:r>
            <w:r w:rsidRPr="009B7B35">
              <w:rPr>
                <w:rStyle w:val="StyleItalic"/>
                <w:rFonts w:cs="Arial"/>
              </w:rPr>
              <w:t>Engineering Design Planning Scheme Policy</w:t>
            </w:r>
            <w:r w:rsidRPr="009B7B35">
              <w:rPr>
                <w:rFonts w:cs="Arial"/>
              </w:rPr>
              <w:t>.</w:t>
            </w:r>
          </w:p>
        </w:tc>
      </w:tr>
      <w:tr w:rsidR="00BE36FB" w:rsidRPr="009B7B35" w14:paraId="279855DC" w14:textId="77777777" w:rsidTr="001A7107">
        <w:trPr>
          <w:cantSplit/>
        </w:trPr>
        <w:tc>
          <w:tcPr>
            <w:tcW w:w="9356" w:type="dxa"/>
            <w:gridSpan w:val="2"/>
            <w:shd w:val="clear" w:color="auto" w:fill="BFBFBF" w:themeFill="background1" w:themeFillShade="BF"/>
          </w:tcPr>
          <w:p w14:paraId="1685D711" w14:textId="77777777" w:rsidR="00BE36FB" w:rsidRPr="009B7B35" w:rsidRDefault="00BE36FB" w:rsidP="001A7107">
            <w:pPr>
              <w:pStyle w:val="Tableheading"/>
              <w:rPr>
                <w:rFonts w:ascii="Arial" w:hAnsi="Arial" w:cs="Arial"/>
                <w:szCs w:val="20"/>
              </w:rPr>
            </w:pPr>
            <w:r w:rsidRPr="009B7B35">
              <w:rPr>
                <w:rFonts w:ascii="Arial" w:hAnsi="Arial" w:cs="Arial"/>
                <w:szCs w:val="20"/>
              </w:rPr>
              <w:t>Road design</w:t>
            </w:r>
          </w:p>
        </w:tc>
      </w:tr>
      <w:tr w:rsidR="00BE36FB" w:rsidRPr="009B7B35" w14:paraId="52EBCB99" w14:textId="77777777" w:rsidTr="001A7107">
        <w:tc>
          <w:tcPr>
            <w:tcW w:w="4678" w:type="dxa"/>
          </w:tcPr>
          <w:p w14:paraId="1A22929F" w14:textId="77777777" w:rsidR="00BE36FB" w:rsidRPr="009B7B35" w:rsidRDefault="00BE36FB" w:rsidP="001A7107">
            <w:pPr>
              <w:pStyle w:val="TableText"/>
              <w:rPr>
                <w:rFonts w:cs="Arial"/>
                <w:b/>
              </w:rPr>
            </w:pPr>
            <w:r w:rsidRPr="009B7B35">
              <w:rPr>
                <w:rFonts w:cs="Arial"/>
                <w:b/>
              </w:rPr>
              <w:t>PO3</w:t>
            </w:r>
            <w:r w:rsidRPr="009B7B35">
              <w:rPr>
                <w:rStyle w:val="Strong"/>
                <w:rFonts w:eastAsiaTheme="majorEastAsia" w:cs="Arial"/>
              </w:rPr>
              <w:t>1</w:t>
            </w:r>
          </w:p>
          <w:p w14:paraId="3B5F8BFE" w14:textId="77777777" w:rsidR="00BE36FB" w:rsidRPr="009B7B35" w:rsidRDefault="00BE36FB" w:rsidP="001A7107">
            <w:pPr>
              <w:pStyle w:val="TableText"/>
              <w:rPr>
                <w:rFonts w:cs="Arial"/>
              </w:rPr>
            </w:pPr>
            <w:r w:rsidRPr="009B7B35">
              <w:rPr>
                <w:rFonts w:cs="Arial"/>
              </w:rPr>
              <w:t>Roads providing access to the site are provided, constructed and maintained to a standard which is adequate for the traffic type and volume likely to be generated by the activities on site.</w:t>
            </w:r>
          </w:p>
        </w:tc>
        <w:tc>
          <w:tcPr>
            <w:tcW w:w="4678" w:type="dxa"/>
          </w:tcPr>
          <w:p w14:paraId="5B8A6BE2"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AO31</w:t>
            </w:r>
          </w:p>
          <w:p w14:paraId="6859AA6B" w14:textId="77777777" w:rsidR="00BE36FB" w:rsidRPr="009B7B35" w:rsidRDefault="00BE36FB" w:rsidP="001A7107">
            <w:pPr>
              <w:pStyle w:val="TableText"/>
              <w:rPr>
                <w:rFonts w:cs="Arial"/>
              </w:rPr>
            </w:pPr>
            <w:r w:rsidRPr="009B7B35">
              <w:rPr>
                <w:rFonts w:cs="Arial"/>
              </w:rPr>
              <w:t xml:space="preserve">External road works are provided in accordance with the requirements of the </w:t>
            </w:r>
            <w:r w:rsidRPr="009B7B35">
              <w:rPr>
                <w:rStyle w:val="StyleItalic"/>
                <w:rFonts w:cs="Arial"/>
              </w:rPr>
              <w:t>Engineering Design Planning Scheme Policy</w:t>
            </w:r>
            <w:r w:rsidRPr="009B7B35">
              <w:rPr>
                <w:rFonts w:cs="Arial"/>
              </w:rPr>
              <w:t>.</w:t>
            </w:r>
          </w:p>
        </w:tc>
      </w:tr>
      <w:tr w:rsidR="00BE36FB" w:rsidRPr="009B7B35" w14:paraId="6BFDEB06" w14:textId="77777777" w:rsidTr="001A7107">
        <w:tc>
          <w:tcPr>
            <w:tcW w:w="9356" w:type="dxa"/>
            <w:gridSpan w:val="2"/>
            <w:shd w:val="clear" w:color="auto" w:fill="BFBFBF" w:themeFill="background1" w:themeFillShade="BF"/>
          </w:tcPr>
          <w:p w14:paraId="3AEE88AB" w14:textId="77777777" w:rsidR="00BE36FB" w:rsidRPr="009B7B35" w:rsidRDefault="00BE36FB" w:rsidP="001A7107">
            <w:pPr>
              <w:pStyle w:val="Tableheading"/>
              <w:rPr>
                <w:rFonts w:ascii="Arial" w:hAnsi="Arial" w:cs="Arial"/>
                <w:szCs w:val="20"/>
              </w:rPr>
            </w:pPr>
            <w:r w:rsidRPr="009B7B35">
              <w:rPr>
                <w:rFonts w:ascii="Arial" w:hAnsi="Arial" w:cs="Arial"/>
                <w:szCs w:val="20"/>
              </w:rPr>
              <w:t>Land use and transport integration</w:t>
            </w:r>
          </w:p>
        </w:tc>
      </w:tr>
      <w:tr w:rsidR="00BE36FB" w:rsidRPr="009B7B35" w14:paraId="324D9F30" w14:textId="77777777" w:rsidTr="001A7107">
        <w:tc>
          <w:tcPr>
            <w:tcW w:w="4678" w:type="dxa"/>
          </w:tcPr>
          <w:p w14:paraId="072E3C65" w14:textId="77777777" w:rsidR="00BE36FB" w:rsidRPr="009B7B35" w:rsidRDefault="00BE36FB" w:rsidP="001A7107">
            <w:pPr>
              <w:pStyle w:val="TableText"/>
              <w:rPr>
                <w:rFonts w:cs="Arial"/>
                <w:b/>
              </w:rPr>
            </w:pPr>
            <w:r w:rsidRPr="009B7B35">
              <w:rPr>
                <w:rFonts w:cs="Arial"/>
                <w:b/>
              </w:rPr>
              <w:t>PO3</w:t>
            </w:r>
            <w:r w:rsidRPr="009B7B35">
              <w:rPr>
                <w:rStyle w:val="Strong"/>
                <w:rFonts w:eastAsiaTheme="majorEastAsia" w:cs="Arial"/>
              </w:rPr>
              <w:t>2</w:t>
            </w:r>
          </w:p>
          <w:p w14:paraId="13CFA1DF" w14:textId="77777777" w:rsidR="00BE36FB" w:rsidRPr="009B7B35" w:rsidRDefault="00BE36FB" w:rsidP="001A7107">
            <w:pPr>
              <w:pStyle w:val="TableText"/>
              <w:rPr>
                <w:rFonts w:cs="Arial"/>
              </w:rPr>
            </w:pPr>
            <w:r w:rsidRPr="009B7B35">
              <w:rPr>
                <w:rFonts w:cs="Arial"/>
              </w:rPr>
              <w:t>Development:</w:t>
            </w:r>
          </w:p>
          <w:p w14:paraId="1F819DD0" w14:textId="77777777" w:rsidR="00BE36FB" w:rsidRPr="009B7B35" w:rsidRDefault="00BE36FB" w:rsidP="00BE36FB">
            <w:pPr>
              <w:pStyle w:val="TableText"/>
              <w:numPr>
                <w:ilvl w:val="0"/>
                <w:numId w:val="815"/>
              </w:numPr>
              <w:ind w:left="567" w:hanging="567"/>
              <w:rPr>
                <w:rFonts w:cs="Arial"/>
              </w:rPr>
            </w:pPr>
            <w:r w:rsidRPr="009B7B35">
              <w:rPr>
                <w:rFonts w:cs="Arial"/>
              </w:rPr>
              <w:t>supports a road hierarchy which facilitates efficient movement of all transport modes including public transport, and</w:t>
            </w:r>
          </w:p>
          <w:p w14:paraId="4A8FF813" w14:textId="77777777" w:rsidR="00BE36FB" w:rsidRPr="009B7B35" w:rsidRDefault="00BE36FB" w:rsidP="00BE36FB">
            <w:pPr>
              <w:pStyle w:val="TableText"/>
              <w:numPr>
                <w:ilvl w:val="0"/>
                <w:numId w:val="815"/>
              </w:numPr>
              <w:ind w:left="567" w:hanging="567"/>
              <w:rPr>
                <w:rFonts w:cs="Arial"/>
              </w:rPr>
            </w:pPr>
            <w:r w:rsidRPr="009B7B35">
              <w:rPr>
                <w:rFonts w:cs="Arial"/>
              </w:rPr>
              <w:t>appropriately integrates and connects with surrounding movement networks.</w:t>
            </w:r>
          </w:p>
          <w:p w14:paraId="102CBDA2" w14:textId="77777777" w:rsidR="00BE36FB" w:rsidRPr="009B7B35" w:rsidRDefault="00BE36FB" w:rsidP="001A7107">
            <w:pPr>
              <w:pStyle w:val="Notes"/>
              <w:rPr>
                <w:rFonts w:cs="Arial"/>
                <w:sz w:val="20"/>
                <w:szCs w:val="20"/>
              </w:rPr>
            </w:pPr>
            <w:r w:rsidRPr="009B7B35">
              <w:rPr>
                <w:rFonts w:cs="Arial"/>
                <w:sz w:val="20"/>
                <w:szCs w:val="20"/>
              </w:rPr>
              <w:t>Note—Where roads are required for buses refer to the design and construction requirements in the IDAS code in the Transport Planning and Coordination Regulation 2005, schedule, part 2.</w:t>
            </w:r>
          </w:p>
        </w:tc>
        <w:tc>
          <w:tcPr>
            <w:tcW w:w="4678" w:type="dxa"/>
          </w:tcPr>
          <w:p w14:paraId="1F73A354" w14:textId="77777777"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14:paraId="3BD37F4C" w14:textId="77777777" w:rsidTr="001A7107">
        <w:trPr>
          <w:cantSplit/>
        </w:trPr>
        <w:tc>
          <w:tcPr>
            <w:tcW w:w="4678" w:type="dxa"/>
          </w:tcPr>
          <w:p w14:paraId="66E0CDD3" w14:textId="77777777" w:rsidR="00BE36FB" w:rsidRPr="009B7B35" w:rsidRDefault="00BE36FB" w:rsidP="001A7107">
            <w:pPr>
              <w:pStyle w:val="TableText"/>
              <w:rPr>
                <w:rFonts w:cs="Arial"/>
              </w:rPr>
            </w:pPr>
            <w:r w:rsidRPr="009B7B35">
              <w:rPr>
                <w:rFonts w:cs="Arial"/>
                <w:b/>
              </w:rPr>
              <w:t>PO3</w:t>
            </w:r>
            <w:r w:rsidRPr="009B7B35">
              <w:rPr>
                <w:rStyle w:val="Strong"/>
                <w:rFonts w:eastAsiaTheme="majorEastAsia" w:cs="Arial"/>
              </w:rPr>
              <w:t>3</w:t>
            </w:r>
          </w:p>
          <w:p w14:paraId="59450C3D" w14:textId="77777777" w:rsidR="00BE36FB" w:rsidRPr="009B7B35" w:rsidRDefault="00BE36FB" w:rsidP="001A7107">
            <w:pPr>
              <w:pStyle w:val="TableText"/>
              <w:rPr>
                <w:rFonts w:cs="Arial"/>
              </w:rPr>
            </w:pPr>
            <w:r w:rsidRPr="009B7B35">
              <w:rPr>
                <w:rFonts w:cs="Arial"/>
              </w:rPr>
              <w:t>Development enhances connectivity between existing and future public passenger transport facilities and other transport modes through:</w:t>
            </w:r>
          </w:p>
          <w:p w14:paraId="48F37247" w14:textId="77777777" w:rsidR="00BE36FB" w:rsidRPr="009B7B35" w:rsidRDefault="00BE36FB" w:rsidP="00BE36FB">
            <w:pPr>
              <w:pStyle w:val="TableText"/>
              <w:numPr>
                <w:ilvl w:val="0"/>
                <w:numId w:val="806"/>
              </w:numPr>
              <w:rPr>
                <w:rFonts w:cs="Arial"/>
              </w:rPr>
            </w:pPr>
            <w:r w:rsidRPr="009B7B35">
              <w:rPr>
                <w:rFonts w:cs="Arial"/>
              </w:rPr>
              <w:t>providing direct linkages for passengers between existing and future public passenger transport facilities and other transport modes, and</w:t>
            </w:r>
          </w:p>
          <w:p w14:paraId="3E73D9C5" w14:textId="77777777" w:rsidR="00BE36FB" w:rsidRPr="009B7B35" w:rsidRDefault="00BE36FB" w:rsidP="00BE36FB">
            <w:pPr>
              <w:pStyle w:val="TableText"/>
              <w:numPr>
                <w:ilvl w:val="0"/>
                <w:numId w:val="806"/>
              </w:numPr>
              <w:rPr>
                <w:rFonts w:cs="Arial"/>
              </w:rPr>
            </w:pPr>
            <w:r w:rsidRPr="009B7B35">
              <w:rPr>
                <w:rFonts w:cs="Arial"/>
              </w:rPr>
              <w:t>way–finding information for existing public transport facilities and interconnecting transport modes.</w:t>
            </w:r>
          </w:p>
        </w:tc>
        <w:tc>
          <w:tcPr>
            <w:tcW w:w="4678" w:type="dxa"/>
          </w:tcPr>
          <w:p w14:paraId="7D763B72" w14:textId="77777777"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14:paraId="429934EC" w14:textId="77777777" w:rsidTr="001A7107">
        <w:trPr>
          <w:cantSplit/>
        </w:trPr>
        <w:tc>
          <w:tcPr>
            <w:tcW w:w="4678" w:type="dxa"/>
          </w:tcPr>
          <w:p w14:paraId="3BC75C41" w14:textId="77777777" w:rsidR="00BE36FB" w:rsidRPr="009B7B35" w:rsidRDefault="00BE36FB" w:rsidP="001A7107">
            <w:pPr>
              <w:pStyle w:val="TableText"/>
              <w:rPr>
                <w:rFonts w:cs="Arial"/>
              </w:rPr>
            </w:pPr>
            <w:r w:rsidRPr="009B7B35">
              <w:rPr>
                <w:rFonts w:cs="Arial"/>
                <w:b/>
              </w:rPr>
              <w:t>PO3</w:t>
            </w:r>
            <w:r w:rsidRPr="009B7B35">
              <w:rPr>
                <w:rStyle w:val="Strong"/>
                <w:rFonts w:eastAsiaTheme="majorEastAsia" w:cs="Arial"/>
              </w:rPr>
              <w:t>4</w:t>
            </w:r>
          </w:p>
          <w:p w14:paraId="6A2AF4B0" w14:textId="77777777" w:rsidR="00BE36FB" w:rsidRPr="009B7B35" w:rsidRDefault="00BE36FB" w:rsidP="001A7107">
            <w:pPr>
              <w:pStyle w:val="TableText"/>
              <w:rPr>
                <w:rFonts w:cs="Arial"/>
              </w:rPr>
            </w:pPr>
            <w:r w:rsidRPr="009B7B35">
              <w:rPr>
                <w:rFonts w:cs="Arial"/>
              </w:rPr>
              <w:t>Development provides direct, safe and equitable access to and use of public passenger transport facilities.</w:t>
            </w:r>
          </w:p>
        </w:tc>
        <w:tc>
          <w:tcPr>
            <w:tcW w:w="4678" w:type="dxa"/>
          </w:tcPr>
          <w:p w14:paraId="0CFA044B" w14:textId="77777777" w:rsidR="00BE36FB" w:rsidRPr="009B7B35" w:rsidRDefault="00BE36FB" w:rsidP="001A7107">
            <w:pPr>
              <w:pStyle w:val="TableText"/>
              <w:rPr>
                <w:rFonts w:cs="Arial"/>
              </w:rPr>
            </w:pPr>
            <w:r w:rsidRPr="009B7B35">
              <w:rPr>
                <w:rFonts w:cs="Arial"/>
                <w:b/>
              </w:rPr>
              <w:t>AO3</w:t>
            </w:r>
            <w:r w:rsidRPr="009B7B35">
              <w:rPr>
                <w:rStyle w:val="Strong"/>
                <w:rFonts w:eastAsiaTheme="majorEastAsia" w:cs="Arial"/>
              </w:rPr>
              <w:t>4</w:t>
            </w:r>
          </w:p>
          <w:p w14:paraId="6E836A7D" w14:textId="77777777" w:rsidR="00BE36FB" w:rsidRPr="009B7B35" w:rsidRDefault="00BE36FB" w:rsidP="001A7107">
            <w:pPr>
              <w:pStyle w:val="TableText"/>
              <w:rPr>
                <w:rFonts w:cs="Arial"/>
              </w:rPr>
            </w:pPr>
            <w:r w:rsidRPr="009B7B35">
              <w:rPr>
                <w:rFonts w:cs="Arial"/>
              </w:rPr>
              <w:t xml:space="preserve">Public passenger transport facilities and any through–site pathway connections, including road crossings, to public passenger transport facilities are provided in accordance with the Engineering Design Planning Scheme Policy and the Disability Discrimination Act 1992. </w:t>
            </w:r>
          </w:p>
        </w:tc>
      </w:tr>
      <w:tr w:rsidR="00BE36FB" w:rsidRPr="009B7B35" w14:paraId="63C48045" w14:textId="77777777" w:rsidTr="001A7107">
        <w:trPr>
          <w:cantSplit/>
        </w:trPr>
        <w:tc>
          <w:tcPr>
            <w:tcW w:w="4678" w:type="dxa"/>
          </w:tcPr>
          <w:p w14:paraId="0A9010CA" w14:textId="77777777" w:rsidR="00BE36FB" w:rsidRPr="009B7B35" w:rsidRDefault="00BE36FB" w:rsidP="001A7107">
            <w:pPr>
              <w:pStyle w:val="TableText"/>
              <w:rPr>
                <w:rFonts w:cs="Arial"/>
                <w:b/>
              </w:rPr>
            </w:pPr>
            <w:r w:rsidRPr="009B7B35">
              <w:rPr>
                <w:rFonts w:cs="Arial"/>
                <w:b/>
              </w:rPr>
              <w:t>PO35</w:t>
            </w:r>
          </w:p>
          <w:p w14:paraId="53E0BAB2" w14:textId="77777777" w:rsidR="00BE36FB" w:rsidRPr="009B7B35" w:rsidRDefault="00BE36FB" w:rsidP="001A7107">
            <w:pPr>
              <w:pStyle w:val="TableText"/>
              <w:rPr>
                <w:rFonts w:cs="Arial"/>
              </w:rPr>
            </w:pPr>
            <w:r w:rsidRPr="009B7B35">
              <w:rPr>
                <w:rFonts w:cs="Arial"/>
              </w:rPr>
              <w:t>Development is located and designed to maintain the operational and structural efficiency of public utility infrastructure.</w:t>
            </w:r>
          </w:p>
        </w:tc>
        <w:tc>
          <w:tcPr>
            <w:tcW w:w="4678" w:type="dxa"/>
          </w:tcPr>
          <w:p w14:paraId="6F672A09" w14:textId="77777777" w:rsidR="00BE36FB" w:rsidRPr="009B7B35" w:rsidRDefault="00BE36FB" w:rsidP="001A7107">
            <w:pPr>
              <w:pStyle w:val="TableText"/>
              <w:rPr>
                <w:rFonts w:cs="Arial"/>
              </w:rPr>
            </w:pPr>
            <w:r w:rsidRPr="009B7B35">
              <w:rPr>
                <w:rFonts w:cs="Arial"/>
              </w:rPr>
              <w:t>No acceptable outcome specified.</w:t>
            </w:r>
          </w:p>
        </w:tc>
      </w:tr>
      <w:tr w:rsidR="00BE36FB" w:rsidRPr="009B7B35" w14:paraId="5069CD91" w14:textId="77777777" w:rsidTr="001A7107">
        <w:trPr>
          <w:cantSplit/>
        </w:trPr>
        <w:tc>
          <w:tcPr>
            <w:tcW w:w="9356" w:type="dxa"/>
            <w:gridSpan w:val="2"/>
            <w:shd w:val="clear" w:color="auto" w:fill="BFBFBF" w:themeFill="background1" w:themeFillShade="BF"/>
          </w:tcPr>
          <w:p w14:paraId="0479D194"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Acoustic and air quality </w:t>
            </w:r>
          </w:p>
        </w:tc>
      </w:tr>
      <w:tr w:rsidR="00BE36FB" w:rsidRPr="009B7B35" w14:paraId="53C90EFE" w14:textId="77777777" w:rsidTr="001A7107">
        <w:trPr>
          <w:cantSplit/>
        </w:trPr>
        <w:tc>
          <w:tcPr>
            <w:tcW w:w="4678" w:type="dxa"/>
          </w:tcPr>
          <w:p w14:paraId="0600135D" w14:textId="77777777" w:rsidR="00BE36FB" w:rsidRPr="009B7B35" w:rsidRDefault="00BE36FB" w:rsidP="001A7107">
            <w:pPr>
              <w:pStyle w:val="TableText"/>
              <w:rPr>
                <w:rFonts w:cs="Arial"/>
              </w:rPr>
            </w:pPr>
            <w:r w:rsidRPr="009B7B35">
              <w:rPr>
                <w:rFonts w:cs="Arial"/>
                <w:b/>
              </w:rPr>
              <w:t>PO3</w:t>
            </w:r>
            <w:r w:rsidRPr="009B7B35">
              <w:rPr>
                <w:rStyle w:val="Strong"/>
                <w:rFonts w:eastAsiaTheme="majorEastAsia" w:cs="Arial"/>
              </w:rPr>
              <w:t>6</w:t>
            </w:r>
          </w:p>
          <w:p w14:paraId="4BF3888A" w14:textId="77777777" w:rsidR="00BE36FB" w:rsidRPr="009B7B35" w:rsidRDefault="00BE36FB" w:rsidP="001A7107">
            <w:pPr>
              <w:pStyle w:val="TableText"/>
              <w:rPr>
                <w:rFonts w:cs="Arial"/>
              </w:rPr>
            </w:pPr>
            <w:r w:rsidRPr="009B7B35">
              <w:rPr>
                <w:rFonts w:cs="Arial"/>
              </w:rPr>
              <w:t>Where located in close proximity to an operational railway corridor, sensitive land uses mitigate amenity impacts and maintain the operational integrity of the rail corridors.</w:t>
            </w:r>
          </w:p>
        </w:tc>
        <w:tc>
          <w:tcPr>
            <w:tcW w:w="4678" w:type="dxa"/>
          </w:tcPr>
          <w:p w14:paraId="58C9E0FC" w14:textId="77777777" w:rsidR="00BE36FB" w:rsidRPr="009B7B35" w:rsidRDefault="00BE36FB" w:rsidP="001A7107">
            <w:pPr>
              <w:pStyle w:val="TableText"/>
              <w:rPr>
                <w:rFonts w:cs="Arial"/>
              </w:rPr>
            </w:pPr>
            <w:r w:rsidRPr="009B7B35">
              <w:rPr>
                <w:rFonts w:cs="Arial"/>
              </w:rPr>
              <w:t>No acceptable outcome specified.</w:t>
            </w:r>
          </w:p>
        </w:tc>
      </w:tr>
      <w:tr w:rsidR="00BE36FB" w:rsidRPr="009B7B35" w14:paraId="36F4B8C1" w14:textId="77777777" w:rsidTr="001A7107">
        <w:tc>
          <w:tcPr>
            <w:tcW w:w="4678" w:type="dxa"/>
          </w:tcPr>
          <w:p w14:paraId="6351123E" w14:textId="77777777" w:rsidR="00BE36FB" w:rsidRPr="009B7B35" w:rsidRDefault="00BE36FB" w:rsidP="001A7107">
            <w:pPr>
              <w:pStyle w:val="TableText"/>
              <w:rPr>
                <w:rFonts w:cs="Arial"/>
              </w:rPr>
            </w:pPr>
            <w:r w:rsidRPr="009B7B35">
              <w:rPr>
                <w:rFonts w:cs="Arial"/>
                <w:b/>
              </w:rPr>
              <w:t>PO3</w:t>
            </w:r>
            <w:r w:rsidRPr="009B7B35">
              <w:rPr>
                <w:rStyle w:val="Strong"/>
                <w:rFonts w:eastAsiaTheme="majorEastAsia" w:cs="Arial"/>
              </w:rPr>
              <w:t>7</w:t>
            </w:r>
          </w:p>
          <w:p w14:paraId="3835CAE9" w14:textId="77777777" w:rsidR="00BE36FB" w:rsidRPr="009B7B35" w:rsidRDefault="00BE36FB" w:rsidP="001A7107">
            <w:pPr>
              <w:pStyle w:val="TableText"/>
              <w:rPr>
                <w:rFonts w:cs="Arial"/>
              </w:rPr>
            </w:pPr>
            <w:r w:rsidRPr="009B7B35">
              <w:rPr>
                <w:rFonts w:cs="Arial"/>
              </w:rPr>
              <w:t>Utility services and service structures attached to buildings, do not adversely impact on the acoustic or visual amenity of the surrounding area and are:</w:t>
            </w:r>
          </w:p>
          <w:p w14:paraId="02B62630" w14:textId="77777777" w:rsidR="00BE36FB" w:rsidRPr="009B7B35" w:rsidRDefault="00BE36FB" w:rsidP="00BE36FB">
            <w:pPr>
              <w:pStyle w:val="TableText"/>
              <w:numPr>
                <w:ilvl w:val="0"/>
                <w:numId w:val="816"/>
              </w:numPr>
              <w:ind w:left="567" w:hanging="567"/>
              <w:rPr>
                <w:rFonts w:cs="Arial"/>
              </w:rPr>
            </w:pPr>
            <w:r w:rsidRPr="009B7B35">
              <w:rPr>
                <w:rFonts w:cs="Arial"/>
              </w:rPr>
              <w:t>located as far from sensitive land uses, road frontage boundaries and public open spaces as practical, and</w:t>
            </w:r>
          </w:p>
          <w:p w14:paraId="20E3B53D" w14:textId="77777777" w:rsidR="00BE36FB" w:rsidRPr="009B7B35" w:rsidRDefault="00BE36FB" w:rsidP="00BE36FB">
            <w:pPr>
              <w:pStyle w:val="TableText"/>
              <w:numPr>
                <w:ilvl w:val="0"/>
                <w:numId w:val="816"/>
              </w:numPr>
              <w:ind w:left="567" w:hanging="567"/>
              <w:rPr>
                <w:rFonts w:cs="Arial"/>
              </w:rPr>
            </w:pPr>
            <w:r w:rsidRPr="009B7B35">
              <w:rPr>
                <w:rFonts w:cs="Arial"/>
              </w:rPr>
              <w:t>acoustically shielded and visually screened so as not to be audible or visible from adjoining and nearby sites, public open spaces and roads.</w:t>
            </w:r>
          </w:p>
          <w:p w14:paraId="5AACA8AC" w14:textId="77777777" w:rsidR="00BE36FB" w:rsidRPr="009B7B35" w:rsidRDefault="00BE36FB" w:rsidP="001A7107">
            <w:pPr>
              <w:pStyle w:val="TableText"/>
              <w:rPr>
                <w:rFonts w:cs="Arial"/>
              </w:rPr>
            </w:pPr>
          </w:p>
        </w:tc>
        <w:tc>
          <w:tcPr>
            <w:tcW w:w="4678" w:type="dxa"/>
          </w:tcPr>
          <w:p w14:paraId="2CCFB237" w14:textId="77777777"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14:paraId="457EB7FD" w14:textId="77777777" w:rsidTr="001A7107">
        <w:tc>
          <w:tcPr>
            <w:tcW w:w="9356" w:type="dxa"/>
            <w:gridSpan w:val="2"/>
            <w:shd w:val="clear" w:color="auto" w:fill="BFBFBF" w:themeFill="background1" w:themeFillShade="BF"/>
          </w:tcPr>
          <w:p w14:paraId="6560969B" w14:textId="77777777" w:rsidR="00BE36FB" w:rsidRPr="009B7B35" w:rsidRDefault="00BE36FB" w:rsidP="001A7107">
            <w:pPr>
              <w:pStyle w:val="Tableheading"/>
              <w:rPr>
                <w:rFonts w:ascii="Arial" w:hAnsi="Arial" w:cs="Arial"/>
                <w:szCs w:val="20"/>
              </w:rPr>
            </w:pPr>
            <w:r w:rsidRPr="009B7B35">
              <w:rPr>
                <w:rFonts w:ascii="Arial" w:hAnsi="Arial" w:cs="Arial"/>
                <w:szCs w:val="20"/>
              </w:rPr>
              <w:t>Weed control</w:t>
            </w:r>
          </w:p>
        </w:tc>
      </w:tr>
      <w:tr w:rsidR="00BE36FB" w:rsidRPr="009B7B35" w14:paraId="575802D7" w14:textId="77777777" w:rsidTr="001A7107">
        <w:tc>
          <w:tcPr>
            <w:tcW w:w="4678" w:type="dxa"/>
          </w:tcPr>
          <w:p w14:paraId="29652C2B" w14:textId="77777777" w:rsidR="00BE36FB" w:rsidRPr="009B7B35" w:rsidRDefault="00BE36FB" w:rsidP="001A7107">
            <w:pPr>
              <w:pStyle w:val="TableText"/>
              <w:rPr>
                <w:rFonts w:cs="Arial"/>
              </w:rPr>
            </w:pPr>
            <w:r w:rsidRPr="009B7B35">
              <w:rPr>
                <w:rFonts w:cs="Arial"/>
                <w:b/>
              </w:rPr>
              <w:t>PO3</w:t>
            </w:r>
            <w:r w:rsidRPr="009B7B35">
              <w:rPr>
                <w:rStyle w:val="Strong"/>
                <w:rFonts w:eastAsiaTheme="majorEastAsia" w:cs="Arial"/>
              </w:rPr>
              <w:t>8</w:t>
            </w:r>
          </w:p>
          <w:p w14:paraId="295C3D7F" w14:textId="77777777" w:rsidR="00BE36FB" w:rsidRPr="009B7B35" w:rsidRDefault="00BE36FB" w:rsidP="001A7107">
            <w:pPr>
              <w:pStyle w:val="TableText"/>
              <w:rPr>
                <w:rFonts w:cs="Arial"/>
              </w:rPr>
            </w:pPr>
            <w:r w:rsidRPr="009B7B35">
              <w:rPr>
                <w:rFonts w:cs="Arial"/>
              </w:rPr>
              <w:t>Weed control practices and plant and equipment cleaning and inspection protocols are:</w:t>
            </w:r>
          </w:p>
          <w:p w14:paraId="52AFFCBD" w14:textId="77777777" w:rsidR="00BE36FB" w:rsidRPr="009B7B35" w:rsidRDefault="00BE36FB" w:rsidP="00BE36FB">
            <w:pPr>
              <w:pStyle w:val="TableText"/>
              <w:numPr>
                <w:ilvl w:val="0"/>
                <w:numId w:val="807"/>
              </w:numPr>
              <w:rPr>
                <w:rFonts w:cs="Arial"/>
              </w:rPr>
            </w:pPr>
            <w:r w:rsidRPr="009B7B35">
              <w:rPr>
                <w:rFonts w:cs="Arial"/>
              </w:rPr>
              <w:t>implemented to avoid the introduction and spread of weeds along  transport routes and delivery points</w:t>
            </w:r>
          </w:p>
          <w:p w14:paraId="447FC310" w14:textId="77777777" w:rsidR="00BE36FB" w:rsidRPr="009B7B35" w:rsidRDefault="00BE36FB" w:rsidP="00BE36FB">
            <w:pPr>
              <w:pStyle w:val="TableText"/>
              <w:numPr>
                <w:ilvl w:val="0"/>
                <w:numId w:val="807"/>
              </w:numPr>
              <w:rPr>
                <w:rFonts w:cs="Arial"/>
              </w:rPr>
            </w:pPr>
            <w:r w:rsidRPr="009B7B35">
              <w:rPr>
                <w:rFonts w:cs="Arial"/>
              </w:rPr>
              <w:t>undertaken to control existing declared weeds and pest animals prior to the commencement of and during works.</w:t>
            </w:r>
          </w:p>
          <w:p w14:paraId="746B25EF" w14:textId="77777777" w:rsidR="00BE36FB" w:rsidRPr="009B7B35" w:rsidRDefault="00BE36FB" w:rsidP="001A7107">
            <w:pPr>
              <w:pStyle w:val="Notes"/>
              <w:rPr>
                <w:rFonts w:cs="Arial"/>
                <w:sz w:val="20"/>
                <w:szCs w:val="20"/>
              </w:rPr>
            </w:pPr>
            <w:r w:rsidRPr="009B7B35">
              <w:rPr>
                <w:rFonts w:cs="Arial"/>
                <w:sz w:val="20"/>
                <w:szCs w:val="20"/>
              </w:rPr>
              <w:t>Note—Refer also to the Queensland Guideline for Limiting Weed Seed Spread (DNR 2000).</w:t>
            </w:r>
          </w:p>
        </w:tc>
        <w:tc>
          <w:tcPr>
            <w:tcW w:w="4678" w:type="dxa"/>
          </w:tcPr>
          <w:p w14:paraId="4D9B3BF5" w14:textId="77777777"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14:paraId="36F77118" w14:textId="77777777" w:rsidTr="001A7107">
        <w:trPr>
          <w:cantSplit/>
        </w:trPr>
        <w:tc>
          <w:tcPr>
            <w:tcW w:w="9356" w:type="dxa"/>
            <w:gridSpan w:val="2"/>
            <w:shd w:val="clear" w:color="auto" w:fill="BFBFBF" w:themeFill="background1" w:themeFillShade="BF"/>
          </w:tcPr>
          <w:p w14:paraId="6671CDF7" w14:textId="77777777" w:rsidR="00BE36FB" w:rsidRPr="009B7B35" w:rsidRDefault="00BE36FB" w:rsidP="001A7107">
            <w:pPr>
              <w:pStyle w:val="Tableheading"/>
              <w:rPr>
                <w:rFonts w:ascii="Arial" w:hAnsi="Arial" w:cs="Arial"/>
                <w:szCs w:val="20"/>
              </w:rPr>
            </w:pPr>
            <w:r w:rsidRPr="009B7B35">
              <w:rPr>
                <w:rFonts w:ascii="Arial" w:hAnsi="Arial" w:cs="Arial"/>
                <w:szCs w:val="20"/>
              </w:rPr>
              <w:t>If a non–tidal artificial waterway</w:t>
            </w:r>
          </w:p>
        </w:tc>
      </w:tr>
      <w:tr w:rsidR="00BE36FB" w:rsidRPr="009B7B35" w14:paraId="27DB2AAE" w14:textId="77777777" w:rsidTr="001A7107">
        <w:trPr>
          <w:cantSplit/>
        </w:trPr>
        <w:tc>
          <w:tcPr>
            <w:tcW w:w="4678" w:type="dxa"/>
          </w:tcPr>
          <w:p w14:paraId="4DBA82EE" w14:textId="77777777" w:rsidR="00BE36FB" w:rsidRPr="009B7B35" w:rsidRDefault="00BE36FB" w:rsidP="001A7107">
            <w:pPr>
              <w:pStyle w:val="TableText"/>
              <w:rPr>
                <w:rFonts w:cs="Arial"/>
              </w:rPr>
            </w:pPr>
            <w:r w:rsidRPr="009B7B35">
              <w:rPr>
                <w:rFonts w:cs="Arial"/>
                <w:b/>
              </w:rPr>
              <w:t>PO</w:t>
            </w:r>
            <w:r w:rsidRPr="009B7B35">
              <w:rPr>
                <w:rStyle w:val="Strong"/>
                <w:rFonts w:eastAsiaTheme="majorEastAsia" w:cs="Arial"/>
              </w:rPr>
              <w:t>39</w:t>
            </w:r>
          </w:p>
          <w:p w14:paraId="073DBCCE" w14:textId="77777777" w:rsidR="00BE36FB" w:rsidRPr="009B7B35" w:rsidRDefault="00BE36FB" w:rsidP="001A7107">
            <w:pPr>
              <w:pStyle w:val="TableText"/>
              <w:rPr>
                <w:rFonts w:cs="Arial"/>
              </w:rPr>
            </w:pPr>
            <w:r w:rsidRPr="009B7B35">
              <w:rPr>
                <w:rFonts w:cs="Arial"/>
              </w:rPr>
              <w:t>Development protects water environmental values in existing natural waterways by ensuring:</w:t>
            </w:r>
          </w:p>
          <w:p w14:paraId="6680E43B" w14:textId="77777777" w:rsidR="00BE36FB" w:rsidRPr="009B7B35" w:rsidRDefault="00BE36FB" w:rsidP="00BE36FB">
            <w:pPr>
              <w:pStyle w:val="TableText"/>
              <w:numPr>
                <w:ilvl w:val="0"/>
                <w:numId w:val="808"/>
              </w:numPr>
              <w:rPr>
                <w:rFonts w:cs="Arial"/>
              </w:rPr>
            </w:pPr>
            <w:r w:rsidRPr="009B7B35">
              <w:rPr>
                <w:rFonts w:cs="Arial"/>
              </w:rPr>
              <w:t>environmental values in downstream waterways are protected</w:t>
            </w:r>
          </w:p>
          <w:p w14:paraId="79C08A84" w14:textId="77777777" w:rsidR="00BE36FB" w:rsidRPr="009B7B35" w:rsidRDefault="00BE36FB" w:rsidP="00BE36FB">
            <w:pPr>
              <w:pStyle w:val="TableText"/>
              <w:numPr>
                <w:ilvl w:val="0"/>
                <w:numId w:val="808"/>
              </w:numPr>
              <w:rPr>
                <w:rFonts w:cs="Arial"/>
              </w:rPr>
            </w:pPr>
            <w:r w:rsidRPr="009B7B35">
              <w:rPr>
                <w:rFonts w:cs="Arial"/>
              </w:rPr>
              <w:t>any groundwater recharge areas are not affected</w:t>
            </w:r>
          </w:p>
          <w:p w14:paraId="6A8ED70C" w14:textId="77777777" w:rsidR="00BE36FB" w:rsidRPr="009B7B35" w:rsidRDefault="00BE36FB" w:rsidP="00BE36FB">
            <w:pPr>
              <w:pStyle w:val="TableText"/>
              <w:numPr>
                <w:ilvl w:val="0"/>
                <w:numId w:val="808"/>
              </w:numPr>
              <w:rPr>
                <w:rFonts w:cs="Arial"/>
              </w:rPr>
            </w:pPr>
            <w:r w:rsidRPr="009B7B35">
              <w:rPr>
                <w:rFonts w:cs="Arial"/>
              </w:rPr>
              <w:t>the location of the non-tidal artificial waterway incorporates low lying areas of a catchment connected to an existing waterway, and</w:t>
            </w:r>
          </w:p>
          <w:p w14:paraId="04DCD32F" w14:textId="77777777" w:rsidR="00BE36FB" w:rsidRPr="009B7B35" w:rsidRDefault="00BE36FB" w:rsidP="00BE36FB">
            <w:pPr>
              <w:pStyle w:val="TableText"/>
              <w:numPr>
                <w:ilvl w:val="0"/>
                <w:numId w:val="808"/>
              </w:numPr>
              <w:rPr>
                <w:rFonts w:cs="Arial"/>
              </w:rPr>
            </w:pPr>
            <w:r w:rsidRPr="009B7B35">
              <w:rPr>
                <w:rFonts w:cs="Arial"/>
              </w:rPr>
              <w:t>existing areas of ponded water are included.</w:t>
            </w:r>
          </w:p>
        </w:tc>
        <w:tc>
          <w:tcPr>
            <w:tcW w:w="4678" w:type="dxa"/>
          </w:tcPr>
          <w:p w14:paraId="269E742A" w14:textId="77777777"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14:paraId="4D1FA4AE" w14:textId="77777777" w:rsidTr="001A7107">
        <w:trPr>
          <w:cantSplit/>
        </w:trPr>
        <w:tc>
          <w:tcPr>
            <w:tcW w:w="4678" w:type="dxa"/>
          </w:tcPr>
          <w:p w14:paraId="1E010A43" w14:textId="77777777" w:rsidR="00BE36FB" w:rsidRPr="009B7B35" w:rsidRDefault="00BE36FB" w:rsidP="001A7107">
            <w:pPr>
              <w:pStyle w:val="TableText"/>
              <w:rPr>
                <w:rFonts w:cs="Arial"/>
              </w:rPr>
            </w:pPr>
            <w:r w:rsidRPr="009B7B35">
              <w:rPr>
                <w:rFonts w:cs="Arial"/>
                <w:b/>
              </w:rPr>
              <w:t>PO</w:t>
            </w:r>
            <w:r w:rsidRPr="009B7B35">
              <w:rPr>
                <w:rStyle w:val="Strong"/>
                <w:rFonts w:eastAsiaTheme="majorEastAsia" w:cs="Arial"/>
              </w:rPr>
              <w:t>40</w:t>
            </w:r>
          </w:p>
          <w:p w14:paraId="28F376E5" w14:textId="77777777" w:rsidR="00BE36FB" w:rsidRPr="009B7B35" w:rsidRDefault="00BE36FB" w:rsidP="001A7107">
            <w:pPr>
              <w:pStyle w:val="TableText"/>
              <w:rPr>
                <w:rFonts w:cs="Arial"/>
              </w:rPr>
            </w:pPr>
            <w:r w:rsidRPr="009B7B35">
              <w:rPr>
                <w:rFonts w:cs="Arial"/>
              </w:rPr>
              <w:t>Development is designed such that non-tidal artificial waterways are located:</w:t>
            </w:r>
          </w:p>
          <w:p w14:paraId="1F24FEC5" w14:textId="77777777" w:rsidR="00BE36FB" w:rsidRPr="009B7B35" w:rsidRDefault="00BE36FB" w:rsidP="00BE36FB">
            <w:pPr>
              <w:pStyle w:val="TableText"/>
              <w:numPr>
                <w:ilvl w:val="0"/>
                <w:numId w:val="809"/>
              </w:numPr>
              <w:rPr>
                <w:rFonts w:cs="Arial"/>
              </w:rPr>
            </w:pPr>
            <w:r w:rsidRPr="009B7B35">
              <w:rPr>
                <w:rFonts w:cs="Arial"/>
              </w:rPr>
              <w:t>outside natural wetlands and any associated buffer areas</w:t>
            </w:r>
          </w:p>
          <w:p w14:paraId="694E7B4B" w14:textId="77777777" w:rsidR="00BE36FB" w:rsidRPr="009B7B35" w:rsidRDefault="00BE36FB" w:rsidP="00BE36FB">
            <w:pPr>
              <w:pStyle w:val="TableText"/>
              <w:numPr>
                <w:ilvl w:val="0"/>
                <w:numId w:val="809"/>
              </w:numPr>
              <w:rPr>
                <w:rFonts w:cs="Arial"/>
              </w:rPr>
            </w:pPr>
            <w:r w:rsidRPr="009B7B35">
              <w:rPr>
                <w:rFonts w:cs="Arial"/>
              </w:rPr>
              <w:t>to minimise disturbing soils or sediments. and</w:t>
            </w:r>
          </w:p>
          <w:p w14:paraId="02DCE123" w14:textId="77777777" w:rsidR="00BE36FB" w:rsidRPr="009B7B35" w:rsidRDefault="00BE36FB" w:rsidP="00BE36FB">
            <w:pPr>
              <w:pStyle w:val="TableText"/>
              <w:numPr>
                <w:ilvl w:val="0"/>
                <w:numId w:val="809"/>
              </w:numPr>
              <w:rPr>
                <w:rFonts w:cs="Arial"/>
              </w:rPr>
            </w:pPr>
            <w:r w:rsidRPr="009B7B35">
              <w:rPr>
                <w:rFonts w:cs="Arial"/>
              </w:rPr>
              <w:t>to avoid altering the natural hydrologic regime in acid sulfate soil and nutrient hazardous areas.</w:t>
            </w:r>
          </w:p>
        </w:tc>
        <w:tc>
          <w:tcPr>
            <w:tcW w:w="4678" w:type="dxa"/>
          </w:tcPr>
          <w:p w14:paraId="6EB5BCFA" w14:textId="77777777"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14:paraId="48E4A49D" w14:textId="77777777" w:rsidTr="001A7107">
        <w:tc>
          <w:tcPr>
            <w:tcW w:w="4678" w:type="dxa"/>
          </w:tcPr>
          <w:p w14:paraId="51FD7A4E" w14:textId="77777777" w:rsidR="00BE36FB" w:rsidRPr="009B7B35" w:rsidRDefault="00BE36FB" w:rsidP="001A7107">
            <w:pPr>
              <w:pStyle w:val="TableText"/>
              <w:rPr>
                <w:rFonts w:cs="Arial"/>
              </w:rPr>
            </w:pPr>
            <w:r w:rsidRPr="009B7B35">
              <w:rPr>
                <w:rFonts w:cs="Arial"/>
                <w:b/>
              </w:rPr>
              <w:t>PO</w:t>
            </w:r>
            <w:r w:rsidRPr="009B7B35">
              <w:rPr>
                <w:rStyle w:val="Strong"/>
                <w:rFonts w:eastAsiaTheme="majorEastAsia" w:cs="Arial"/>
              </w:rPr>
              <w:t>41</w:t>
            </w:r>
          </w:p>
          <w:p w14:paraId="0449ED0A" w14:textId="77777777" w:rsidR="00BE36FB" w:rsidRPr="009B7B35" w:rsidRDefault="00BE36FB" w:rsidP="001A7107">
            <w:pPr>
              <w:pStyle w:val="TableText"/>
              <w:rPr>
                <w:rFonts w:cs="Arial"/>
              </w:rPr>
            </w:pPr>
            <w:r w:rsidRPr="009B7B35">
              <w:rPr>
                <w:rFonts w:cs="Arial"/>
              </w:rPr>
              <w:t>Development is compatible with existing tidal waterways where any tidal flow alteration does not adversely impact on the tidal waterway.</w:t>
            </w:r>
          </w:p>
        </w:tc>
        <w:tc>
          <w:tcPr>
            <w:tcW w:w="4678" w:type="dxa"/>
          </w:tcPr>
          <w:p w14:paraId="23173EEC" w14:textId="77777777" w:rsidR="00BE36FB" w:rsidRPr="009B7B35" w:rsidRDefault="00BE36FB" w:rsidP="001A7107">
            <w:pPr>
              <w:pStyle w:val="TableText"/>
              <w:rPr>
                <w:rFonts w:cs="Arial"/>
              </w:rPr>
            </w:pPr>
            <w:r w:rsidRPr="009B7B35">
              <w:rPr>
                <w:rFonts w:cs="Arial"/>
                <w:b/>
              </w:rPr>
              <w:t>AO</w:t>
            </w:r>
            <w:r w:rsidRPr="009B7B35">
              <w:rPr>
                <w:rStyle w:val="Strong"/>
                <w:rFonts w:eastAsiaTheme="majorEastAsia" w:cs="Arial"/>
              </w:rPr>
              <w:t>41</w:t>
            </w:r>
          </w:p>
          <w:p w14:paraId="4DD5B69B" w14:textId="77777777" w:rsidR="00BE36FB" w:rsidRPr="009B7B35" w:rsidRDefault="00BE36FB" w:rsidP="001A7107">
            <w:pPr>
              <w:pStyle w:val="TableText"/>
              <w:rPr>
                <w:rFonts w:cs="Arial"/>
              </w:rPr>
            </w:pPr>
            <w:r w:rsidRPr="009B7B35">
              <w:rPr>
                <w:rFonts w:cs="Arial"/>
              </w:rPr>
              <w:t xml:space="preserve">Where development is located adjacent to, or is connected to, a tidal waterway by means of a weir, lock, pumping system or similar: </w:t>
            </w:r>
          </w:p>
          <w:p w14:paraId="1ACB2E1B" w14:textId="77777777" w:rsidR="00BE36FB" w:rsidRPr="009B7B35" w:rsidRDefault="00BE36FB" w:rsidP="00BE36FB">
            <w:pPr>
              <w:pStyle w:val="TableText"/>
              <w:numPr>
                <w:ilvl w:val="0"/>
                <w:numId w:val="810"/>
              </w:numPr>
              <w:ind w:left="510" w:hanging="510"/>
              <w:rPr>
                <w:rFonts w:cs="Arial"/>
              </w:rPr>
            </w:pPr>
            <w:r w:rsidRPr="009B7B35">
              <w:rPr>
                <w:rFonts w:cs="Arial"/>
              </w:rPr>
              <w:t>there is sufficient flushing or a tidal range greater than 0.3m, and</w:t>
            </w:r>
          </w:p>
          <w:p w14:paraId="7FB47475" w14:textId="77777777" w:rsidR="00BE36FB" w:rsidRPr="009B7B35" w:rsidRDefault="00BE36FB" w:rsidP="00BE36FB">
            <w:pPr>
              <w:pStyle w:val="TableText"/>
              <w:numPr>
                <w:ilvl w:val="0"/>
                <w:numId w:val="810"/>
              </w:numPr>
              <w:ind w:left="510" w:hanging="510"/>
              <w:rPr>
                <w:rFonts w:cs="Arial"/>
              </w:rPr>
            </w:pPr>
            <w:r w:rsidRPr="009B7B35">
              <w:rPr>
                <w:rFonts w:cs="Arial"/>
              </w:rPr>
              <w:t xml:space="preserve">there is no introduction of salt water into freshwater environments. </w:t>
            </w:r>
          </w:p>
        </w:tc>
      </w:tr>
      <w:tr w:rsidR="00BE36FB" w:rsidRPr="009B7B35" w14:paraId="315FD504" w14:textId="77777777" w:rsidTr="001A7107">
        <w:tc>
          <w:tcPr>
            <w:tcW w:w="4678" w:type="dxa"/>
          </w:tcPr>
          <w:p w14:paraId="068BFB79" w14:textId="77777777" w:rsidR="00BE36FB" w:rsidRPr="009B7B35" w:rsidRDefault="00BE36FB" w:rsidP="001A7107">
            <w:pPr>
              <w:pStyle w:val="TableText"/>
              <w:rPr>
                <w:rFonts w:cs="Arial"/>
              </w:rPr>
            </w:pPr>
            <w:r w:rsidRPr="009B7B35">
              <w:rPr>
                <w:rFonts w:cs="Arial"/>
                <w:b/>
              </w:rPr>
              <w:t>PO4</w:t>
            </w:r>
            <w:r w:rsidRPr="009B7B35">
              <w:rPr>
                <w:rStyle w:val="Strong"/>
                <w:rFonts w:eastAsiaTheme="majorEastAsia" w:cs="Arial"/>
              </w:rPr>
              <w:t>2</w:t>
            </w:r>
          </w:p>
          <w:p w14:paraId="433AFBAB" w14:textId="77777777" w:rsidR="00BE36FB" w:rsidRPr="009B7B35" w:rsidRDefault="00BE36FB" w:rsidP="001A7107">
            <w:pPr>
              <w:pStyle w:val="TableText"/>
              <w:rPr>
                <w:rFonts w:cs="Arial"/>
              </w:rPr>
            </w:pPr>
            <w:r w:rsidRPr="009B7B35">
              <w:rPr>
                <w:rFonts w:cs="Arial"/>
              </w:rPr>
              <w:t>Any non-tidal artificial waterway associated with the development is designed and managed to function by:</w:t>
            </w:r>
          </w:p>
          <w:p w14:paraId="48D59721" w14:textId="77777777" w:rsidR="00BE36FB" w:rsidRPr="009B7B35" w:rsidRDefault="00BE36FB" w:rsidP="00BE36FB">
            <w:pPr>
              <w:pStyle w:val="TableText"/>
              <w:numPr>
                <w:ilvl w:val="0"/>
                <w:numId w:val="811"/>
              </w:numPr>
              <w:ind w:left="510" w:hanging="510"/>
              <w:rPr>
                <w:rFonts w:cs="Arial"/>
              </w:rPr>
            </w:pPr>
            <w:r w:rsidRPr="009B7B35">
              <w:rPr>
                <w:rFonts w:cs="Arial"/>
              </w:rPr>
              <w:t>providing amenity including aesthetics, landscaping and recreation</w:t>
            </w:r>
          </w:p>
          <w:p w14:paraId="451395D2" w14:textId="77777777" w:rsidR="00BE36FB" w:rsidRPr="009B7B35" w:rsidRDefault="00BE36FB" w:rsidP="00BE36FB">
            <w:pPr>
              <w:pStyle w:val="TableText"/>
              <w:numPr>
                <w:ilvl w:val="0"/>
                <w:numId w:val="811"/>
              </w:numPr>
              <w:ind w:left="510" w:hanging="510"/>
              <w:rPr>
                <w:rFonts w:cs="Arial"/>
              </w:rPr>
            </w:pPr>
            <w:r w:rsidRPr="009B7B35">
              <w:rPr>
                <w:rFonts w:cs="Arial"/>
              </w:rPr>
              <w:t>incorporating flood management measures</w:t>
            </w:r>
          </w:p>
          <w:p w14:paraId="1B67620C" w14:textId="77777777" w:rsidR="00BE36FB" w:rsidRPr="009B7B35" w:rsidRDefault="00BE36FB" w:rsidP="00BE36FB">
            <w:pPr>
              <w:pStyle w:val="TableText"/>
              <w:numPr>
                <w:ilvl w:val="0"/>
                <w:numId w:val="811"/>
              </w:numPr>
              <w:ind w:left="510" w:hanging="510"/>
              <w:rPr>
                <w:rFonts w:cs="Arial"/>
              </w:rPr>
            </w:pPr>
            <w:r w:rsidRPr="009B7B35">
              <w:rPr>
                <w:rFonts w:cs="Arial"/>
              </w:rPr>
              <w:t>including stormwater harvesting as part of an integrated water cycle management plan, and</w:t>
            </w:r>
          </w:p>
          <w:p w14:paraId="68292825" w14:textId="77777777" w:rsidR="00BE36FB" w:rsidRPr="009B7B35" w:rsidRDefault="00BE36FB" w:rsidP="00BE36FB">
            <w:pPr>
              <w:pStyle w:val="TableText"/>
              <w:numPr>
                <w:ilvl w:val="0"/>
                <w:numId w:val="811"/>
              </w:numPr>
              <w:ind w:left="510" w:hanging="510"/>
              <w:rPr>
                <w:rFonts w:cs="Arial"/>
              </w:rPr>
            </w:pPr>
            <w:r w:rsidRPr="009B7B35">
              <w:rPr>
                <w:rFonts w:cs="Arial"/>
              </w:rPr>
              <w:t>accommodating aquatic habitat.</w:t>
            </w:r>
          </w:p>
        </w:tc>
        <w:tc>
          <w:tcPr>
            <w:tcW w:w="4678" w:type="dxa"/>
          </w:tcPr>
          <w:p w14:paraId="0DF5FFB7" w14:textId="77777777"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14:paraId="28F35FE0" w14:textId="77777777" w:rsidTr="001A7107">
        <w:tc>
          <w:tcPr>
            <w:tcW w:w="4678" w:type="dxa"/>
          </w:tcPr>
          <w:p w14:paraId="447BC382" w14:textId="77777777" w:rsidR="00BE36FB" w:rsidRPr="009B7B35" w:rsidRDefault="00BE36FB" w:rsidP="001A7107">
            <w:pPr>
              <w:pStyle w:val="TableText"/>
              <w:rPr>
                <w:rFonts w:cs="Arial"/>
              </w:rPr>
            </w:pPr>
            <w:r w:rsidRPr="009B7B35">
              <w:rPr>
                <w:rFonts w:cs="Arial"/>
                <w:b/>
              </w:rPr>
              <w:t>PO4</w:t>
            </w:r>
            <w:r w:rsidRPr="009B7B35">
              <w:rPr>
                <w:rStyle w:val="Strong"/>
                <w:rFonts w:eastAsiaTheme="majorEastAsia" w:cs="Arial"/>
              </w:rPr>
              <w:t>3</w:t>
            </w:r>
          </w:p>
          <w:p w14:paraId="5B082FE3" w14:textId="77777777" w:rsidR="00BE36FB" w:rsidRPr="009B7B35" w:rsidRDefault="00BE36FB" w:rsidP="001A7107">
            <w:pPr>
              <w:pStyle w:val="TableText"/>
              <w:rPr>
                <w:rFonts w:cs="Arial"/>
              </w:rPr>
            </w:pPr>
            <w:r w:rsidRPr="009B7B35">
              <w:rPr>
                <w:rFonts w:cs="Arial"/>
              </w:rPr>
              <w:t>Any non-tidal artificial waterways associated with the development are designed, managed and operated to achieve water quality objectives in natural waterways through:</w:t>
            </w:r>
          </w:p>
          <w:p w14:paraId="6421F340" w14:textId="77777777" w:rsidR="00BE36FB" w:rsidRPr="009B7B35" w:rsidRDefault="00BE36FB" w:rsidP="00BE36FB">
            <w:pPr>
              <w:pStyle w:val="TableText"/>
              <w:numPr>
                <w:ilvl w:val="0"/>
                <w:numId w:val="814"/>
              </w:numPr>
              <w:ind w:left="567" w:hanging="567"/>
              <w:rPr>
                <w:rFonts w:cs="Arial"/>
              </w:rPr>
            </w:pPr>
            <w:r w:rsidRPr="009B7B35">
              <w:rPr>
                <w:rFonts w:cs="Arial"/>
              </w:rPr>
              <w:t>monitoring and maintenance programs adaptively manage water quality in any non–tidal artificial waterway to achieve relevant water–quality objectives downstream of the waterway, and</w:t>
            </w:r>
          </w:p>
          <w:p w14:paraId="057DCBA6" w14:textId="77777777" w:rsidR="00BE36FB" w:rsidRPr="009B7B35" w:rsidRDefault="00BE36FB" w:rsidP="00BE36FB">
            <w:pPr>
              <w:pStyle w:val="TableText"/>
              <w:numPr>
                <w:ilvl w:val="0"/>
                <w:numId w:val="814"/>
              </w:numPr>
              <w:ind w:left="567" w:hanging="567"/>
              <w:rPr>
                <w:rFonts w:cs="Arial"/>
              </w:rPr>
            </w:pPr>
            <w:r w:rsidRPr="009B7B35">
              <w:rPr>
                <w:rFonts w:cs="Arial"/>
              </w:rPr>
              <w:t>monitoring and maintenance programs that ensure aquatic weeds achieve a low percentage of coverage of the water surface area (less than 10%) and pests and vectors (such as mosquitoes) are managed through avoiding stagnant water areas, providing for native fish predators, and any other best practices for monitoring and treating pests.</w:t>
            </w:r>
          </w:p>
          <w:p w14:paraId="45FA5A46" w14:textId="77777777" w:rsidR="00BE36FB" w:rsidRPr="009B7B35" w:rsidRDefault="00BE36FB" w:rsidP="001A7107">
            <w:pPr>
              <w:pStyle w:val="Notes"/>
              <w:rPr>
                <w:rFonts w:cs="Arial"/>
                <w:sz w:val="20"/>
                <w:szCs w:val="20"/>
              </w:rPr>
            </w:pPr>
            <w:r w:rsidRPr="009B7B35">
              <w:rPr>
                <w:rFonts w:cs="Arial"/>
                <w:sz w:val="20"/>
                <w:szCs w:val="20"/>
              </w:rPr>
              <w:t>Note—Achieving compliance with the performance outcomes is to be undertaken by suitably qualified persons such as a registered professional engineer, Queensland (RPEQ) with specific experience in establishing and managing artificial waterways</w:t>
            </w:r>
          </w:p>
          <w:p w14:paraId="30660766" w14:textId="77777777" w:rsidR="00BE36FB" w:rsidRPr="009B7B35" w:rsidRDefault="00BE36FB" w:rsidP="001A7107">
            <w:pPr>
              <w:pStyle w:val="Notes"/>
              <w:rPr>
                <w:rFonts w:cs="Arial"/>
                <w:sz w:val="20"/>
                <w:szCs w:val="20"/>
              </w:rPr>
            </w:pPr>
            <w:r w:rsidRPr="009B7B35">
              <w:rPr>
                <w:rFonts w:cs="Arial"/>
                <w:sz w:val="20"/>
                <w:szCs w:val="20"/>
              </w:rPr>
              <w:t xml:space="preserve">Note—Any non–tidal artificial waterway is managed and operated by a responsible entity under agreement for the life of the waterway. The responsible entity is to implement a deed of agreement for the management and operation of the waterway that: </w:t>
            </w:r>
          </w:p>
          <w:p w14:paraId="553690F8" w14:textId="77777777" w:rsidR="00BE36FB" w:rsidRPr="009B7B35" w:rsidRDefault="00BE36FB" w:rsidP="001A7107">
            <w:pPr>
              <w:pStyle w:val="Notesbullet"/>
              <w:rPr>
                <w:rFonts w:cs="Arial"/>
                <w:sz w:val="20"/>
                <w:szCs w:val="20"/>
              </w:rPr>
            </w:pPr>
            <w:r w:rsidRPr="009B7B35">
              <w:rPr>
                <w:rFonts w:cs="Arial"/>
                <w:sz w:val="20"/>
                <w:szCs w:val="20"/>
              </w:rPr>
              <w:t>identifies the waterway</w:t>
            </w:r>
          </w:p>
          <w:p w14:paraId="29646DC9" w14:textId="77777777" w:rsidR="00BE36FB" w:rsidRPr="009B7B35" w:rsidRDefault="00BE36FB" w:rsidP="001A7107">
            <w:pPr>
              <w:pStyle w:val="Notesbullet"/>
              <w:rPr>
                <w:rFonts w:cs="Arial"/>
                <w:sz w:val="20"/>
                <w:szCs w:val="20"/>
              </w:rPr>
            </w:pPr>
            <w:r w:rsidRPr="009B7B35">
              <w:rPr>
                <w:rFonts w:cs="Arial"/>
                <w:sz w:val="20"/>
                <w:szCs w:val="20"/>
              </w:rPr>
              <w:t>states a period of responsibility for the entity</w:t>
            </w:r>
          </w:p>
          <w:p w14:paraId="0CD47CE2" w14:textId="77777777" w:rsidR="00BE36FB" w:rsidRPr="009B7B35" w:rsidRDefault="00BE36FB" w:rsidP="001A7107">
            <w:pPr>
              <w:pStyle w:val="Notesbullet"/>
              <w:rPr>
                <w:rFonts w:cs="Arial"/>
                <w:sz w:val="20"/>
                <w:szCs w:val="20"/>
              </w:rPr>
            </w:pPr>
            <w:r w:rsidRPr="009B7B35">
              <w:rPr>
                <w:rFonts w:cs="Arial"/>
                <w:sz w:val="20"/>
                <w:szCs w:val="20"/>
              </w:rPr>
              <w:t>states a process for any transfer of responsibility for the waterway</w:t>
            </w:r>
          </w:p>
          <w:p w14:paraId="4EC79ACE" w14:textId="77777777" w:rsidR="00BE36FB" w:rsidRPr="009B7B35" w:rsidRDefault="00BE36FB" w:rsidP="001A7107">
            <w:pPr>
              <w:pStyle w:val="Notesbullet"/>
              <w:rPr>
                <w:rFonts w:cs="Arial"/>
                <w:sz w:val="20"/>
                <w:szCs w:val="20"/>
              </w:rPr>
            </w:pPr>
            <w:r w:rsidRPr="009B7B35">
              <w:rPr>
                <w:rFonts w:cs="Arial"/>
                <w:sz w:val="20"/>
                <w:szCs w:val="20"/>
              </w:rPr>
              <w:t>states required actions under the agreement for monitoring the water quality of the waterway and receiving waters</w:t>
            </w:r>
          </w:p>
          <w:p w14:paraId="5A8AAD39" w14:textId="77777777" w:rsidR="00BE36FB" w:rsidRPr="009B7B35" w:rsidRDefault="00BE36FB" w:rsidP="001A7107">
            <w:pPr>
              <w:pStyle w:val="Notesbullet"/>
              <w:rPr>
                <w:rFonts w:cs="Arial"/>
                <w:sz w:val="20"/>
                <w:szCs w:val="20"/>
              </w:rPr>
            </w:pPr>
            <w:r w:rsidRPr="009B7B35">
              <w:rPr>
                <w:rFonts w:cs="Arial"/>
                <w:sz w:val="20"/>
                <w:szCs w:val="20"/>
              </w:rPr>
              <w:t>states required actions under the agreement for maintaining the waterway to achieve the outcomes of this code and any relevant conditions of a development approval, and</w:t>
            </w:r>
          </w:p>
          <w:p w14:paraId="15243C20" w14:textId="77777777" w:rsidR="00BE36FB" w:rsidRPr="009B7B35" w:rsidRDefault="00BE36FB" w:rsidP="001A7107">
            <w:pPr>
              <w:pStyle w:val="Notesbullet"/>
              <w:rPr>
                <w:rFonts w:cs="Arial"/>
                <w:sz w:val="20"/>
                <w:szCs w:val="20"/>
              </w:rPr>
            </w:pPr>
            <w:r w:rsidRPr="009B7B35">
              <w:rPr>
                <w:rFonts w:cs="Arial"/>
                <w:sz w:val="20"/>
                <w:szCs w:val="20"/>
              </w:rPr>
              <w:t>identifies funding sources for the above, including bonds, headworks charges or levies.</w:t>
            </w:r>
          </w:p>
        </w:tc>
        <w:tc>
          <w:tcPr>
            <w:tcW w:w="4678" w:type="dxa"/>
          </w:tcPr>
          <w:p w14:paraId="2A2357FD" w14:textId="77777777" w:rsidR="00BE36FB" w:rsidRPr="009B7B35" w:rsidRDefault="00BE36FB" w:rsidP="001A7107">
            <w:pPr>
              <w:pStyle w:val="TableText"/>
              <w:rPr>
                <w:rFonts w:cs="Arial"/>
              </w:rPr>
            </w:pPr>
            <w:r w:rsidRPr="009B7B35">
              <w:rPr>
                <w:rFonts w:cs="Arial"/>
              </w:rPr>
              <w:t>No acceptable outcome specified.</w:t>
            </w:r>
          </w:p>
        </w:tc>
      </w:tr>
      <w:tr w:rsidR="00BE36FB" w:rsidRPr="009B7B35" w14:paraId="113DE5FD" w14:textId="77777777" w:rsidTr="001A7107">
        <w:tc>
          <w:tcPr>
            <w:tcW w:w="9356" w:type="dxa"/>
            <w:gridSpan w:val="2"/>
            <w:shd w:val="clear" w:color="auto" w:fill="BFBFBF" w:themeFill="background1" w:themeFillShade="BF"/>
          </w:tcPr>
          <w:p w14:paraId="1BB1DB7C" w14:textId="77777777" w:rsidR="00BE36FB" w:rsidRPr="009B7B35" w:rsidRDefault="00BE36FB" w:rsidP="001A7107">
            <w:pPr>
              <w:pStyle w:val="Tableheading"/>
              <w:rPr>
                <w:rFonts w:ascii="Arial" w:hAnsi="Arial" w:cs="Arial"/>
                <w:szCs w:val="20"/>
              </w:rPr>
            </w:pPr>
            <w:r w:rsidRPr="009B7B35">
              <w:rPr>
                <w:rFonts w:ascii="Arial" w:hAnsi="Arial" w:cs="Arial"/>
                <w:szCs w:val="20"/>
              </w:rPr>
              <w:t>If Port services where a Marina (ship sourced pollutants reception facilities)</w:t>
            </w:r>
          </w:p>
        </w:tc>
      </w:tr>
      <w:tr w:rsidR="00BE36FB" w:rsidRPr="009B7B35" w14:paraId="173F48DD" w14:textId="77777777" w:rsidTr="001A7107">
        <w:tc>
          <w:tcPr>
            <w:tcW w:w="4678" w:type="dxa"/>
          </w:tcPr>
          <w:p w14:paraId="0EACC865" w14:textId="77777777" w:rsidR="00BE36FB" w:rsidRPr="009B7B35" w:rsidRDefault="00BE36FB" w:rsidP="001A7107">
            <w:pPr>
              <w:pStyle w:val="TableText"/>
              <w:rPr>
                <w:rFonts w:cs="Arial"/>
              </w:rPr>
            </w:pPr>
            <w:r w:rsidRPr="009B7B35">
              <w:rPr>
                <w:rFonts w:cs="Arial"/>
                <w:b/>
              </w:rPr>
              <w:t>PO4</w:t>
            </w:r>
            <w:r w:rsidRPr="009B7B35">
              <w:rPr>
                <w:rStyle w:val="Strong"/>
                <w:rFonts w:eastAsiaTheme="majorEastAsia" w:cs="Arial"/>
              </w:rPr>
              <w:t>4</w:t>
            </w:r>
          </w:p>
          <w:p w14:paraId="159087FC" w14:textId="77777777" w:rsidR="00BE36FB" w:rsidRPr="009B7B35" w:rsidRDefault="00BE36FB" w:rsidP="001A7107">
            <w:pPr>
              <w:pStyle w:val="TableText"/>
              <w:rPr>
                <w:rFonts w:cs="Arial"/>
              </w:rPr>
            </w:pPr>
            <w:r w:rsidRPr="009B7B35">
              <w:rPr>
                <w:rFonts w:cs="Arial"/>
              </w:rPr>
              <w:t xml:space="preserve">Development provides facilities for the handling and disposal of ship–sourced pollutants that minimises impacts on the environment and include: </w:t>
            </w:r>
          </w:p>
          <w:p w14:paraId="64BD9859" w14:textId="77777777" w:rsidR="00BE36FB" w:rsidRPr="009B7B35" w:rsidRDefault="00BE36FB" w:rsidP="00BE36FB">
            <w:pPr>
              <w:pStyle w:val="TableText"/>
              <w:numPr>
                <w:ilvl w:val="0"/>
                <w:numId w:val="812"/>
              </w:numPr>
              <w:rPr>
                <w:rFonts w:cs="Arial"/>
              </w:rPr>
            </w:pPr>
            <w:r w:rsidRPr="009B7B35">
              <w:rPr>
                <w:rFonts w:cs="Arial"/>
              </w:rPr>
              <w:t>facilities that are designed and operated to ensure the risk of spillage from operations is minimised</w:t>
            </w:r>
          </w:p>
          <w:p w14:paraId="588A8B50" w14:textId="77777777" w:rsidR="00BE36FB" w:rsidRPr="009B7B35" w:rsidRDefault="00BE36FB" w:rsidP="00BE36FB">
            <w:pPr>
              <w:pStyle w:val="TableText"/>
              <w:numPr>
                <w:ilvl w:val="0"/>
                <w:numId w:val="812"/>
              </w:numPr>
              <w:rPr>
                <w:rFonts w:cs="Arial"/>
              </w:rPr>
            </w:pPr>
            <w:r w:rsidRPr="009B7B35">
              <w:rPr>
                <w:rFonts w:cs="Arial"/>
              </w:rPr>
              <w:t>common user facilities are situated in a suitable location with appropriate equipment available for immediate use to contain and remove spillages, and</w:t>
            </w:r>
          </w:p>
          <w:p w14:paraId="560F5500" w14:textId="77777777" w:rsidR="00BE36FB" w:rsidRPr="009B7B35" w:rsidRDefault="00BE36FB" w:rsidP="00BE36FB">
            <w:pPr>
              <w:pStyle w:val="TableText"/>
              <w:numPr>
                <w:ilvl w:val="0"/>
                <w:numId w:val="812"/>
              </w:numPr>
              <w:rPr>
                <w:rFonts w:cs="Arial"/>
              </w:rPr>
            </w:pPr>
            <w:r w:rsidRPr="009B7B35">
              <w:rPr>
                <w:rFonts w:cs="Arial"/>
              </w:rPr>
              <w:t xml:space="preserve">a pollutant reception facility that is connected to sewerage or other waste reception infrastructure, where practical. </w:t>
            </w:r>
          </w:p>
          <w:p w14:paraId="253CD225" w14:textId="77777777" w:rsidR="00BE36FB" w:rsidRPr="009B7B35" w:rsidRDefault="00BE36FB" w:rsidP="001A7107">
            <w:pPr>
              <w:pStyle w:val="Notes"/>
              <w:rPr>
                <w:rFonts w:cs="Arial"/>
                <w:sz w:val="20"/>
                <w:szCs w:val="20"/>
              </w:rPr>
            </w:pPr>
            <w:r w:rsidRPr="009B7B35">
              <w:rPr>
                <w:rFonts w:cs="Arial"/>
                <w:sz w:val="20"/>
                <w:szCs w:val="20"/>
              </w:rPr>
              <w:t>Note—Refer to Australian and New Zealand Environment and Conservation Council (ANZECC), 1997, Best Practice Guidelines for Waste Reception Facilities at Ports, Marinas and Boat Harbours in Australia and New Zealand.</w:t>
            </w:r>
          </w:p>
          <w:p w14:paraId="2956938F" w14:textId="77777777" w:rsidR="00BE36FB" w:rsidRPr="009B7B35" w:rsidRDefault="00BE36FB" w:rsidP="001A7107">
            <w:pPr>
              <w:pStyle w:val="Notes"/>
              <w:rPr>
                <w:rFonts w:cs="Arial"/>
                <w:sz w:val="20"/>
                <w:szCs w:val="20"/>
              </w:rPr>
            </w:pPr>
            <w:r w:rsidRPr="009B7B35">
              <w:rPr>
                <w:rFonts w:cs="Arial"/>
                <w:sz w:val="20"/>
                <w:szCs w:val="20"/>
              </w:rPr>
              <w:t>Note—Reception facilities require compliance assessment under the Plumbing and Drainage Act 2002. The plumbing compliance assessment process will ensure that the proposed facilities address ‘peak load’.</w:t>
            </w:r>
          </w:p>
        </w:tc>
        <w:tc>
          <w:tcPr>
            <w:tcW w:w="4678" w:type="dxa"/>
          </w:tcPr>
          <w:p w14:paraId="79679EAD" w14:textId="77777777" w:rsidR="00BE36FB" w:rsidRPr="009B7B35" w:rsidRDefault="00BE36FB" w:rsidP="001A7107">
            <w:pPr>
              <w:pStyle w:val="TableText"/>
              <w:rPr>
                <w:rFonts w:cs="Arial"/>
              </w:rPr>
            </w:pPr>
            <w:r w:rsidRPr="009B7B35">
              <w:rPr>
                <w:rFonts w:cs="Arial"/>
              </w:rPr>
              <w:t xml:space="preserve">No acceptable outcome specified. </w:t>
            </w:r>
          </w:p>
        </w:tc>
      </w:tr>
      <w:tr w:rsidR="00BE36FB" w:rsidRPr="009B7B35" w14:paraId="792AF9D1" w14:textId="77777777" w:rsidTr="001A7107">
        <w:tc>
          <w:tcPr>
            <w:tcW w:w="9356" w:type="dxa"/>
            <w:gridSpan w:val="2"/>
            <w:shd w:val="clear" w:color="auto" w:fill="BFBFBF" w:themeFill="background1" w:themeFillShade="BF"/>
          </w:tcPr>
          <w:p w14:paraId="71DAFD0E" w14:textId="77777777" w:rsidR="00BE36FB" w:rsidRPr="009B7B35" w:rsidRDefault="00BE36FB" w:rsidP="001A7107">
            <w:pPr>
              <w:pStyle w:val="Tableheading"/>
              <w:rPr>
                <w:rFonts w:ascii="Arial" w:hAnsi="Arial" w:cs="Arial"/>
                <w:szCs w:val="20"/>
              </w:rPr>
            </w:pPr>
            <w:r w:rsidRPr="009B7B35">
              <w:rPr>
                <w:rFonts w:ascii="Arial" w:hAnsi="Arial" w:cs="Arial"/>
                <w:szCs w:val="20"/>
              </w:rPr>
              <w:t>Structures over multiple lots</w:t>
            </w:r>
          </w:p>
        </w:tc>
      </w:tr>
      <w:tr w:rsidR="00BE36FB" w:rsidRPr="009B7B35" w14:paraId="154B1E2D" w14:textId="77777777" w:rsidTr="001A7107">
        <w:tc>
          <w:tcPr>
            <w:tcW w:w="4678" w:type="dxa"/>
          </w:tcPr>
          <w:p w14:paraId="00BED153" w14:textId="77777777" w:rsidR="00BE36FB" w:rsidRPr="009B7B35" w:rsidRDefault="00BE36FB" w:rsidP="001A7107">
            <w:pPr>
              <w:pStyle w:val="TableText"/>
              <w:rPr>
                <w:rFonts w:cs="Arial"/>
              </w:rPr>
            </w:pPr>
            <w:r w:rsidRPr="009B7B35">
              <w:rPr>
                <w:rFonts w:cs="Arial"/>
                <w:b/>
              </w:rPr>
              <w:t>PO4</w:t>
            </w:r>
            <w:r w:rsidRPr="009B7B35">
              <w:rPr>
                <w:rStyle w:val="Strong"/>
                <w:rFonts w:eastAsiaTheme="majorEastAsia" w:cs="Arial"/>
              </w:rPr>
              <w:t>5</w:t>
            </w:r>
          </w:p>
          <w:p w14:paraId="3370FD26" w14:textId="77777777" w:rsidR="00BE36FB" w:rsidRPr="009B7B35" w:rsidRDefault="00BE36FB" w:rsidP="001A7107">
            <w:pPr>
              <w:pStyle w:val="Notes"/>
              <w:rPr>
                <w:rFonts w:cs="Arial"/>
                <w:sz w:val="20"/>
                <w:szCs w:val="20"/>
              </w:rPr>
            </w:pPr>
            <w:r w:rsidRPr="009B7B35">
              <w:rPr>
                <w:rFonts w:cs="Arial"/>
                <w:sz w:val="20"/>
                <w:szCs w:val="20"/>
              </w:rPr>
              <w:t>Where buildings and structures are located on multiple lots, these are amalgamated to form one lot.</w:t>
            </w:r>
          </w:p>
        </w:tc>
        <w:tc>
          <w:tcPr>
            <w:tcW w:w="4678" w:type="dxa"/>
          </w:tcPr>
          <w:p w14:paraId="10AC63CA" w14:textId="77777777" w:rsidR="00BE36FB" w:rsidRPr="009B7B35" w:rsidRDefault="00BE36FB" w:rsidP="001A7107">
            <w:pPr>
              <w:pStyle w:val="TableText"/>
              <w:rPr>
                <w:rFonts w:cs="Arial"/>
                <w:b/>
              </w:rPr>
            </w:pPr>
            <w:r w:rsidRPr="009B7B35">
              <w:rPr>
                <w:rFonts w:cs="Arial"/>
                <w:b/>
              </w:rPr>
              <w:t xml:space="preserve">AO45 </w:t>
            </w:r>
          </w:p>
          <w:p w14:paraId="407CF837" w14:textId="77777777" w:rsidR="00BE36FB" w:rsidRPr="009B7B35" w:rsidRDefault="00BE36FB" w:rsidP="001A7107">
            <w:pPr>
              <w:pStyle w:val="TableText"/>
              <w:rPr>
                <w:rFonts w:cs="Arial"/>
                <w:b/>
              </w:rPr>
            </w:pPr>
            <w:r w:rsidRPr="009B7B35">
              <w:rPr>
                <w:rFonts w:cs="Arial"/>
              </w:rPr>
              <w:t>No acceptable outcome specified.</w:t>
            </w:r>
          </w:p>
        </w:tc>
      </w:tr>
    </w:tbl>
    <w:p w14:paraId="7DD16B60" w14:textId="77777777" w:rsidR="00BE36FB" w:rsidRPr="009B7B35" w:rsidRDefault="00BE36FB" w:rsidP="001A7107">
      <w:pPr>
        <w:pStyle w:val="Heading5"/>
        <w:numPr>
          <w:ilvl w:val="0"/>
          <w:numId w:val="0"/>
        </w:numPr>
        <w:rPr>
          <w:rFonts w:cs="Arial"/>
          <w:szCs w:val="20"/>
        </w:rPr>
      </w:pPr>
      <w:r w:rsidRPr="009B7B35">
        <w:rPr>
          <w:rFonts w:cs="Arial"/>
          <w:szCs w:val="20"/>
        </w:rPr>
        <w:t>Table 9.3.2.3.2—Construction phase: stormwater management design objectives</w:t>
      </w:r>
    </w:p>
    <w:tbl>
      <w:tblPr>
        <w:tblStyle w:val="Tablestyle"/>
        <w:tblW w:w="0" w:type="auto"/>
        <w:tblLook w:val="0620" w:firstRow="1" w:lastRow="0" w:firstColumn="0" w:lastColumn="0" w:noHBand="1" w:noVBand="1"/>
      </w:tblPr>
      <w:tblGrid>
        <w:gridCol w:w="1816"/>
        <w:gridCol w:w="2040"/>
        <w:gridCol w:w="4507"/>
      </w:tblGrid>
      <w:tr w:rsidR="00BE36FB" w:rsidRPr="009B7B35" w14:paraId="7B9A6F83"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253" w:type="dxa"/>
            <w:gridSpan w:val="2"/>
          </w:tcPr>
          <w:p w14:paraId="66114991" w14:textId="77777777" w:rsidR="00BE36FB" w:rsidRPr="009B7B35" w:rsidRDefault="00BE36FB" w:rsidP="001A7107">
            <w:pPr>
              <w:pStyle w:val="TableText"/>
              <w:rPr>
                <w:rFonts w:cs="Arial"/>
              </w:rPr>
            </w:pPr>
            <w:r w:rsidRPr="009B7B35">
              <w:rPr>
                <w:rFonts w:cs="Arial"/>
              </w:rPr>
              <w:t>Issue</w:t>
            </w:r>
          </w:p>
        </w:tc>
        <w:tc>
          <w:tcPr>
            <w:tcW w:w="5103" w:type="dxa"/>
          </w:tcPr>
          <w:p w14:paraId="40403E15" w14:textId="77777777" w:rsidR="00BE36FB" w:rsidRPr="009B7B35" w:rsidRDefault="00BE36FB" w:rsidP="001A7107">
            <w:pPr>
              <w:pStyle w:val="TableText"/>
              <w:rPr>
                <w:rFonts w:cs="Arial"/>
              </w:rPr>
            </w:pPr>
            <w:r w:rsidRPr="009B7B35">
              <w:rPr>
                <w:rFonts w:cs="Arial"/>
              </w:rPr>
              <w:t>Design objectives</w:t>
            </w:r>
          </w:p>
        </w:tc>
      </w:tr>
      <w:tr w:rsidR="00BE36FB" w:rsidRPr="009B7B35" w14:paraId="118F05ED" w14:textId="77777777" w:rsidTr="001A7107">
        <w:tc>
          <w:tcPr>
            <w:tcW w:w="1985" w:type="dxa"/>
          </w:tcPr>
          <w:p w14:paraId="6EB4E428" w14:textId="77777777" w:rsidR="00BE36FB" w:rsidRPr="009B7B35" w:rsidRDefault="00BE36FB" w:rsidP="001A7107">
            <w:pPr>
              <w:pStyle w:val="TableText"/>
              <w:rPr>
                <w:rFonts w:cs="Arial"/>
              </w:rPr>
            </w:pPr>
            <w:r w:rsidRPr="009B7B35">
              <w:rPr>
                <w:rFonts w:cs="Arial"/>
              </w:rPr>
              <w:t>Drainage control</w:t>
            </w:r>
          </w:p>
        </w:tc>
        <w:tc>
          <w:tcPr>
            <w:tcW w:w="2268" w:type="dxa"/>
          </w:tcPr>
          <w:p w14:paraId="2CA1BE34" w14:textId="77777777" w:rsidR="00BE36FB" w:rsidRPr="009B7B35" w:rsidRDefault="00BE36FB" w:rsidP="001A7107">
            <w:pPr>
              <w:pStyle w:val="TableText"/>
              <w:rPr>
                <w:rFonts w:cs="Arial"/>
              </w:rPr>
            </w:pPr>
            <w:r w:rsidRPr="009B7B35">
              <w:rPr>
                <w:rFonts w:cs="Arial"/>
              </w:rPr>
              <w:t>Temporary drainage works</w:t>
            </w:r>
          </w:p>
        </w:tc>
        <w:tc>
          <w:tcPr>
            <w:tcW w:w="5103" w:type="dxa"/>
          </w:tcPr>
          <w:p w14:paraId="540AAB7A" w14:textId="77777777" w:rsidR="00BE36FB" w:rsidRPr="009B7B35" w:rsidRDefault="00BE36FB" w:rsidP="00BE36FB">
            <w:pPr>
              <w:pStyle w:val="TableText"/>
              <w:numPr>
                <w:ilvl w:val="0"/>
                <w:numId w:val="761"/>
              </w:numPr>
              <w:rPr>
                <w:rFonts w:cs="Arial"/>
              </w:rPr>
            </w:pPr>
            <w:r w:rsidRPr="009B7B35">
              <w:rPr>
                <w:rFonts w:cs="Arial"/>
              </w:rPr>
              <w:t>Design life and design storm for temporary drainage works:</w:t>
            </w:r>
          </w:p>
          <w:p w14:paraId="38615850" w14:textId="77777777" w:rsidR="00BE36FB" w:rsidRPr="009B7B35" w:rsidRDefault="00BE36FB" w:rsidP="00BE36FB">
            <w:pPr>
              <w:pStyle w:val="TableText"/>
              <w:numPr>
                <w:ilvl w:val="1"/>
                <w:numId w:val="761"/>
              </w:numPr>
              <w:rPr>
                <w:rFonts w:cs="Arial"/>
              </w:rPr>
            </w:pPr>
            <w:r w:rsidRPr="009B7B35">
              <w:rPr>
                <w:rFonts w:cs="Arial"/>
              </w:rPr>
              <w:t>disturbed area open for &lt; 12 months—1 in 2–year ARI event</w:t>
            </w:r>
          </w:p>
          <w:p w14:paraId="0985CB9C" w14:textId="77777777" w:rsidR="00BE36FB" w:rsidRPr="009B7B35" w:rsidRDefault="00BE36FB" w:rsidP="00BE36FB">
            <w:pPr>
              <w:pStyle w:val="TableText"/>
              <w:numPr>
                <w:ilvl w:val="1"/>
                <w:numId w:val="761"/>
              </w:numPr>
              <w:rPr>
                <w:rFonts w:cs="Arial"/>
              </w:rPr>
            </w:pPr>
            <w:r w:rsidRPr="009B7B35">
              <w:rPr>
                <w:rFonts w:cs="Arial"/>
              </w:rPr>
              <w:t>disturbed area open for 12–24 months—1 in 5–year ARI event</w:t>
            </w:r>
          </w:p>
          <w:p w14:paraId="6CE0CB47" w14:textId="77777777" w:rsidR="00BE36FB" w:rsidRPr="009B7B35" w:rsidRDefault="00BE36FB" w:rsidP="00BE36FB">
            <w:pPr>
              <w:pStyle w:val="TableText"/>
              <w:numPr>
                <w:ilvl w:val="1"/>
                <w:numId w:val="761"/>
              </w:numPr>
              <w:rPr>
                <w:rFonts w:cs="Arial"/>
              </w:rPr>
            </w:pPr>
            <w:r w:rsidRPr="009B7B35">
              <w:rPr>
                <w:rFonts w:cs="Arial"/>
              </w:rPr>
              <w:t>disturbed area open for &gt; 24 months—1 in 10–year ARI event</w:t>
            </w:r>
          </w:p>
          <w:p w14:paraId="06E3580F" w14:textId="77777777" w:rsidR="00BE36FB" w:rsidRPr="009B7B35" w:rsidRDefault="00BE36FB" w:rsidP="00BE36FB">
            <w:pPr>
              <w:pStyle w:val="TableText"/>
              <w:numPr>
                <w:ilvl w:val="0"/>
                <w:numId w:val="761"/>
              </w:numPr>
              <w:rPr>
                <w:rFonts w:cs="Arial"/>
              </w:rPr>
            </w:pPr>
            <w:r w:rsidRPr="009B7B35">
              <w:rPr>
                <w:rFonts w:cs="Arial"/>
              </w:rPr>
              <w:t>design capacity excludes minimum 150 mm freeboard</w:t>
            </w:r>
          </w:p>
          <w:p w14:paraId="5AB5F544" w14:textId="77777777" w:rsidR="00BE36FB" w:rsidRPr="009B7B35" w:rsidRDefault="00BE36FB" w:rsidP="00BE36FB">
            <w:pPr>
              <w:pStyle w:val="TableText"/>
              <w:numPr>
                <w:ilvl w:val="0"/>
                <w:numId w:val="761"/>
              </w:numPr>
              <w:rPr>
                <w:rFonts w:cs="Arial"/>
              </w:rPr>
            </w:pPr>
            <w:r w:rsidRPr="009B7B35">
              <w:rPr>
                <w:rFonts w:cs="Arial"/>
              </w:rPr>
              <w:t>temporary culvert crossing—minimum 1 in 1–year ARI hydraulic capacity.</w:t>
            </w:r>
          </w:p>
        </w:tc>
      </w:tr>
      <w:tr w:rsidR="00BE36FB" w:rsidRPr="009B7B35" w14:paraId="7A245B92" w14:textId="77777777" w:rsidTr="001A7107">
        <w:tc>
          <w:tcPr>
            <w:tcW w:w="1985" w:type="dxa"/>
          </w:tcPr>
          <w:p w14:paraId="36E30EDE" w14:textId="77777777" w:rsidR="00BE36FB" w:rsidRPr="009B7B35" w:rsidRDefault="00BE36FB" w:rsidP="001A7107">
            <w:pPr>
              <w:pStyle w:val="TableText"/>
              <w:rPr>
                <w:rFonts w:cs="Arial"/>
              </w:rPr>
            </w:pPr>
            <w:r w:rsidRPr="009B7B35">
              <w:rPr>
                <w:rFonts w:cs="Arial"/>
              </w:rPr>
              <w:t>Erosion control</w:t>
            </w:r>
          </w:p>
        </w:tc>
        <w:tc>
          <w:tcPr>
            <w:tcW w:w="2268" w:type="dxa"/>
          </w:tcPr>
          <w:p w14:paraId="3FBE3636" w14:textId="77777777" w:rsidR="00BE36FB" w:rsidRPr="009B7B35" w:rsidRDefault="00BE36FB" w:rsidP="001A7107">
            <w:pPr>
              <w:pStyle w:val="TableText"/>
              <w:rPr>
                <w:rFonts w:cs="Arial"/>
              </w:rPr>
            </w:pPr>
            <w:r w:rsidRPr="009B7B35">
              <w:rPr>
                <w:rFonts w:cs="Arial"/>
              </w:rPr>
              <w:t>Erosion control measures</w:t>
            </w:r>
          </w:p>
        </w:tc>
        <w:tc>
          <w:tcPr>
            <w:tcW w:w="5103" w:type="dxa"/>
          </w:tcPr>
          <w:p w14:paraId="7F328E1B" w14:textId="77777777" w:rsidR="00BE36FB" w:rsidRPr="009B7B35" w:rsidRDefault="00BE36FB" w:rsidP="00BE36FB">
            <w:pPr>
              <w:pStyle w:val="TableText"/>
              <w:numPr>
                <w:ilvl w:val="0"/>
                <w:numId w:val="719"/>
              </w:numPr>
              <w:rPr>
                <w:rFonts w:cs="Arial"/>
              </w:rPr>
            </w:pPr>
            <w:r w:rsidRPr="009B7B35">
              <w:rPr>
                <w:rFonts w:cs="Arial"/>
              </w:rPr>
              <w:t>Minimise exposure of disturbed soils at any time</w:t>
            </w:r>
          </w:p>
          <w:p w14:paraId="51828F81" w14:textId="77777777" w:rsidR="00BE36FB" w:rsidRPr="009B7B35" w:rsidRDefault="00BE36FB" w:rsidP="00BE36FB">
            <w:pPr>
              <w:pStyle w:val="TableText"/>
              <w:numPr>
                <w:ilvl w:val="0"/>
                <w:numId w:val="719"/>
              </w:numPr>
              <w:rPr>
                <w:rFonts w:cs="Arial"/>
              </w:rPr>
            </w:pPr>
            <w:r w:rsidRPr="009B7B35">
              <w:rPr>
                <w:rFonts w:cs="Arial"/>
              </w:rPr>
              <w:t>divert water run–off from undisturbed areas around disturbed areas</w:t>
            </w:r>
          </w:p>
          <w:p w14:paraId="18C81EB5" w14:textId="77777777" w:rsidR="00BE36FB" w:rsidRPr="009B7B35" w:rsidRDefault="00BE36FB" w:rsidP="00BE36FB">
            <w:pPr>
              <w:pStyle w:val="TableText"/>
              <w:numPr>
                <w:ilvl w:val="0"/>
                <w:numId w:val="719"/>
              </w:numPr>
              <w:rPr>
                <w:rFonts w:cs="Arial"/>
              </w:rPr>
            </w:pPr>
            <w:r w:rsidRPr="009B7B35">
              <w:rPr>
                <w:rFonts w:cs="Arial"/>
              </w:rPr>
              <w:t>determine the erosion risk rating using local rainfall erosivity, rainfall depth, soil–loss rate or other acceptable methods</w:t>
            </w:r>
          </w:p>
          <w:p w14:paraId="504ECD3C" w14:textId="77777777" w:rsidR="00BE36FB" w:rsidRPr="009B7B35" w:rsidRDefault="00BE36FB" w:rsidP="00BE36FB">
            <w:pPr>
              <w:pStyle w:val="TableText"/>
              <w:numPr>
                <w:ilvl w:val="0"/>
                <w:numId w:val="719"/>
              </w:numPr>
              <w:rPr>
                <w:rFonts w:cs="Arial"/>
              </w:rPr>
            </w:pPr>
            <w:r w:rsidRPr="009B7B35">
              <w:rPr>
                <w:rFonts w:cs="Arial"/>
              </w:rPr>
              <w:t>implement erosion control methods corresponding to identified erosion risk rating.</w:t>
            </w:r>
          </w:p>
        </w:tc>
      </w:tr>
      <w:tr w:rsidR="00BE36FB" w:rsidRPr="009B7B35" w14:paraId="6D54458F" w14:textId="77777777" w:rsidTr="001A7107">
        <w:tc>
          <w:tcPr>
            <w:tcW w:w="1985" w:type="dxa"/>
          </w:tcPr>
          <w:p w14:paraId="5FD9FC01" w14:textId="77777777" w:rsidR="00BE36FB" w:rsidRPr="009B7B35" w:rsidRDefault="00BE36FB" w:rsidP="001A7107">
            <w:pPr>
              <w:pStyle w:val="TableText"/>
              <w:rPr>
                <w:rFonts w:cs="Arial"/>
              </w:rPr>
            </w:pPr>
            <w:r w:rsidRPr="009B7B35">
              <w:rPr>
                <w:rFonts w:cs="Arial"/>
              </w:rPr>
              <w:t>Sediment control</w:t>
            </w:r>
          </w:p>
        </w:tc>
        <w:tc>
          <w:tcPr>
            <w:tcW w:w="2268" w:type="dxa"/>
          </w:tcPr>
          <w:p w14:paraId="48A597E4" w14:textId="77777777" w:rsidR="00BE36FB" w:rsidRPr="009B7B35" w:rsidRDefault="00BE36FB" w:rsidP="001A7107">
            <w:pPr>
              <w:pStyle w:val="TableText"/>
              <w:rPr>
                <w:rFonts w:cs="Arial"/>
              </w:rPr>
            </w:pPr>
            <w:r w:rsidRPr="009B7B35">
              <w:rPr>
                <w:rFonts w:cs="Arial"/>
              </w:rPr>
              <w:t>Sediment control measures</w:t>
            </w:r>
          </w:p>
          <w:p w14:paraId="13C0E464" w14:textId="77777777" w:rsidR="00BE36FB" w:rsidRPr="009B7B35" w:rsidRDefault="00BE36FB" w:rsidP="001A7107">
            <w:pPr>
              <w:pStyle w:val="TableText"/>
              <w:rPr>
                <w:rFonts w:cs="Arial"/>
              </w:rPr>
            </w:pPr>
            <w:r w:rsidRPr="009B7B35">
              <w:rPr>
                <w:rFonts w:cs="Arial"/>
              </w:rPr>
              <w:t>Design storm for sediment control basins</w:t>
            </w:r>
          </w:p>
          <w:p w14:paraId="6A068CA5" w14:textId="77777777" w:rsidR="00BE36FB" w:rsidRPr="009B7B35" w:rsidRDefault="00BE36FB" w:rsidP="001A7107">
            <w:pPr>
              <w:pStyle w:val="TableText"/>
              <w:rPr>
                <w:rFonts w:cs="Arial"/>
              </w:rPr>
            </w:pPr>
            <w:r w:rsidRPr="009B7B35">
              <w:rPr>
                <w:rFonts w:cs="Arial"/>
              </w:rPr>
              <w:t>Sediment basin dewatering</w:t>
            </w:r>
          </w:p>
        </w:tc>
        <w:tc>
          <w:tcPr>
            <w:tcW w:w="5103" w:type="dxa"/>
          </w:tcPr>
          <w:p w14:paraId="184E7840" w14:textId="77777777" w:rsidR="00BE36FB" w:rsidRPr="009B7B35" w:rsidRDefault="00BE36FB" w:rsidP="00BE36FB">
            <w:pPr>
              <w:pStyle w:val="TableText"/>
              <w:numPr>
                <w:ilvl w:val="0"/>
                <w:numId w:val="762"/>
              </w:numPr>
              <w:rPr>
                <w:rFonts w:cs="Arial"/>
              </w:rPr>
            </w:pPr>
            <w:r w:rsidRPr="009B7B35">
              <w:rPr>
                <w:rFonts w:cs="Arial"/>
              </w:rPr>
              <w:t>Determine appropriate sediment control measures using:</w:t>
            </w:r>
          </w:p>
          <w:p w14:paraId="1567EEB8" w14:textId="77777777" w:rsidR="00BE36FB" w:rsidRPr="009B7B35" w:rsidRDefault="00BE36FB" w:rsidP="00BE36FB">
            <w:pPr>
              <w:pStyle w:val="TableText"/>
              <w:numPr>
                <w:ilvl w:val="1"/>
                <w:numId w:val="762"/>
              </w:numPr>
              <w:rPr>
                <w:rFonts w:cs="Arial"/>
              </w:rPr>
            </w:pPr>
            <w:r w:rsidRPr="009B7B35">
              <w:rPr>
                <w:rFonts w:cs="Arial"/>
              </w:rPr>
              <w:t>potential soil loss rate, or</w:t>
            </w:r>
          </w:p>
          <w:p w14:paraId="4F3DB68D" w14:textId="77777777" w:rsidR="00BE36FB" w:rsidRPr="009B7B35" w:rsidRDefault="00BE36FB" w:rsidP="00BE36FB">
            <w:pPr>
              <w:pStyle w:val="TableText"/>
              <w:numPr>
                <w:ilvl w:val="1"/>
                <w:numId w:val="762"/>
              </w:numPr>
              <w:rPr>
                <w:rFonts w:cs="Arial"/>
              </w:rPr>
            </w:pPr>
            <w:r w:rsidRPr="009B7B35">
              <w:rPr>
                <w:rFonts w:cs="Arial"/>
              </w:rPr>
              <w:t>monthly erosivity, or</w:t>
            </w:r>
          </w:p>
          <w:p w14:paraId="0D91116C" w14:textId="77777777" w:rsidR="00BE36FB" w:rsidRPr="009B7B35" w:rsidRDefault="00BE36FB" w:rsidP="00BE36FB">
            <w:pPr>
              <w:pStyle w:val="TableText"/>
              <w:numPr>
                <w:ilvl w:val="1"/>
                <w:numId w:val="762"/>
              </w:numPr>
              <w:rPr>
                <w:rFonts w:cs="Arial"/>
              </w:rPr>
            </w:pPr>
            <w:r w:rsidRPr="009B7B35">
              <w:rPr>
                <w:rFonts w:cs="Arial"/>
              </w:rPr>
              <w:t>average monthly rainfall</w:t>
            </w:r>
          </w:p>
          <w:p w14:paraId="115619AE" w14:textId="77777777" w:rsidR="00BE36FB" w:rsidRPr="009B7B35" w:rsidRDefault="00BE36FB" w:rsidP="00BE36FB">
            <w:pPr>
              <w:pStyle w:val="TableText"/>
              <w:numPr>
                <w:ilvl w:val="0"/>
                <w:numId w:val="762"/>
              </w:numPr>
              <w:rPr>
                <w:rFonts w:cs="Arial"/>
              </w:rPr>
            </w:pPr>
            <w:r w:rsidRPr="009B7B35">
              <w:rPr>
                <w:rFonts w:cs="Arial"/>
              </w:rPr>
              <w:t>collect and drain stormwater from disturbed soils to sediment basin for design storm event:</w:t>
            </w:r>
          </w:p>
          <w:p w14:paraId="2F23D997" w14:textId="77777777" w:rsidR="00BE36FB" w:rsidRPr="009B7B35" w:rsidRDefault="00BE36FB" w:rsidP="00BE36FB">
            <w:pPr>
              <w:pStyle w:val="TableText"/>
              <w:numPr>
                <w:ilvl w:val="1"/>
                <w:numId w:val="762"/>
              </w:numPr>
              <w:rPr>
                <w:rFonts w:cs="Arial"/>
              </w:rPr>
            </w:pPr>
            <w:r w:rsidRPr="009B7B35">
              <w:rPr>
                <w:rFonts w:cs="Arial"/>
              </w:rPr>
              <w:t>design storm for sediment basin sizing is 80th% five–day event or similar</w:t>
            </w:r>
          </w:p>
          <w:p w14:paraId="0D5F443C" w14:textId="77777777" w:rsidR="00BE36FB" w:rsidRPr="009B7B35" w:rsidRDefault="00BE36FB" w:rsidP="00BE36FB">
            <w:pPr>
              <w:pStyle w:val="TableText"/>
              <w:numPr>
                <w:ilvl w:val="0"/>
                <w:numId w:val="762"/>
              </w:numPr>
              <w:rPr>
                <w:rFonts w:cs="Arial"/>
              </w:rPr>
            </w:pPr>
            <w:r w:rsidRPr="009B7B35">
              <w:rPr>
                <w:rFonts w:cs="Arial"/>
              </w:rPr>
              <w:t>site discharge during sediment basin dewatering:</w:t>
            </w:r>
          </w:p>
          <w:p w14:paraId="1AC96520" w14:textId="77777777" w:rsidR="00BE36FB" w:rsidRPr="009B7B35" w:rsidRDefault="00BE36FB" w:rsidP="00BE36FB">
            <w:pPr>
              <w:pStyle w:val="TableText"/>
              <w:numPr>
                <w:ilvl w:val="1"/>
                <w:numId w:val="762"/>
              </w:numPr>
              <w:rPr>
                <w:rFonts w:cs="Arial"/>
              </w:rPr>
            </w:pPr>
            <w:r w:rsidRPr="009B7B35">
              <w:rPr>
                <w:rFonts w:cs="Arial"/>
              </w:rPr>
              <w:t>TSS &lt; 50 mg/L TSS, and</w:t>
            </w:r>
          </w:p>
          <w:p w14:paraId="3B39405C" w14:textId="77777777" w:rsidR="00BE36FB" w:rsidRPr="009B7B35" w:rsidRDefault="00BE36FB" w:rsidP="00BE36FB">
            <w:pPr>
              <w:pStyle w:val="TableText"/>
              <w:numPr>
                <w:ilvl w:val="1"/>
                <w:numId w:val="762"/>
              </w:numPr>
              <w:rPr>
                <w:rFonts w:cs="Arial"/>
              </w:rPr>
            </w:pPr>
            <w:r w:rsidRPr="009B7B35">
              <w:rPr>
                <w:rFonts w:cs="Arial"/>
              </w:rPr>
              <w:t>Turbidity not &gt;10% receiving waters turbidity, and</w:t>
            </w:r>
          </w:p>
          <w:p w14:paraId="1E66EB0E" w14:textId="77777777" w:rsidR="00BE36FB" w:rsidRPr="009B7B35" w:rsidRDefault="00BE36FB" w:rsidP="00BE36FB">
            <w:pPr>
              <w:pStyle w:val="TableText"/>
              <w:numPr>
                <w:ilvl w:val="1"/>
                <w:numId w:val="762"/>
              </w:numPr>
              <w:rPr>
                <w:rFonts w:cs="Arial"/>
              </w:rPr>
            </w:pPr>
            <w:r w:rsidRPr="009B7B35">
              <w:rPr>
                <w:rFonts w:cs="Arial"/>
              </w:rPr>
              <w:t>pH 6.5–8.5.</w:t>
            </w:r>
          </w:p>
        </w:tc>
      </w:tr>
      <w:tr w:rsidR="00BE36FB" w:rsidRPr="009B7B35" w14:paraId="7A019645" w14:textId="77777777" w:rsidTr="001A7107">
        <w:tc>
          <w:tcPr>
            <w:tcW w:w="1985" w:type="dxa"/>
          </w:tcPr>
          <w:p w14:paraId="54FD781B" w14:textId="77777777" w:rsidR="00BE36FB" w:rsidRPr="009B7B35" w:rsidRDefault="00BE36FB" w:rsidP="001A7107">
            <w:pPr>
              <w:pStyle w:val="TableText"/>
              <w:rPr>
                <w:rFonts w:cs="Arial"/>
              </w:rPr>
            </w:pPr>
            <w:r w:rsidRPr="009B7B35">
              <w:rPr>
                <w:rFonts w:cs="Arial"/>
              </w:rPr>
              <w:t>Water quality</w:t>
            </w:r>
          </w:p>
        </w:tc>
        <w:tc>
          <w:tcPr>
            <w:tcW w:w="2268" w:type="dxa"/>
          </w:tcPr>
          <w:p w14:paraId="1AF59913" w14:textId="77777777" w:rsidR="00BE36FB" w:rsidRPr="009B7B35" w:rsidRDefault="00BE36FB" w:rsidP="001A7107">
            <w:pPr>
              <w:pStyle w:val="TableText"/>
              <w:rPr>
                <w:rFonts w:cs="Arial"/>
              </w:rPr>
            </w:pPr>
            <w:r w:rsidRPr="009B7B35">
              <w:rPr>
                <w:rFonts w:cs="Arial"/>
              </w:rPr>
              <w:t>Litter and other waste, hydrocarbons and other contaminants</w:t>
            </w:r>
          </w:p>
        </w:tc>
        <w:tc>
          <w:tcPr>
            <w:tcW w:w="5103" w:type="dxa"/>
          </w:tcPr>
          <w:p w14:paraId="5AFE2BA4" w14:textId="77777777" w:rsidR="00BE36FB" w:rsidRPr="009B7B35" w:rsidRDefault="00BE36FB" w:rsidP="00BE36FB">
            <w:pPr>
              <w:pStyle w:val="TableText"/>
              <w:numPr>
                <w:ilvl w:val="0"/>
                <w:numId w:val="720"/>
              </w:numPr>
              <w:rPr>
                <w:rFonts w:cs="Arial"/>
              </w:rPr>
            </w:pPr>
            <w:r w:rsidRPr="009B7B35">
              <w:rPr>
                <w:rFonts w:cs="Arial"/>
              </w:rPr>
              <w:t>avoid wind–blown litter; remove gross pollutants</w:t>
            </w:r>
          </w:p>
          <w:p w14:paraId="63DD2631" w14:textId="77777777" w:rsidR="00BE36FB" w:rsidRPr="009B7B35" w:rsidRDefault="00BE36FB" w:rsidP="00BE36FB">
            <w:pPr>
              <w:pStyle w:val="TableText"/>
              <w:numPr>
                <w:ilvl w:val="0"/>
                <w:numId w:val="720"/>
              </w:numPr>
              <w:rPr>
                <w:rFonts w:cs="Arial"/>
              </w:rPr>
            </w:pPr>
            <w:r w:rsidRPr="009B7B35">
              <w:rPr>
                <w:rFonts w:cs="Arial"/>
              </w:rPr>
              <w:t>ensure there is no visible oil or grease sheen on released waters</w:t>
            </w:r>
          </w:p>
          <w:p w14:paraId="360F0A0E" w14:textId="77777777" w:rsidR="00BE36FB" w:rsidRPr="009B7B35" w:rsidRDefault="00BE36FB" w:rsidP="00BE36FB">
            <w:pPr>
              <w:pStyle w:val="TableText"/>
              <w:numPr>
                <w:ilvl w:val="0"/>
                <w:numId w:val="720"/>
              </w:numPr>
              <w:rPr>
                <w:rFonts w:cs="Arial"/>
              </w:rPr>
            </w:pPr>
            <w:r w:rsidRPr="009B7B35">
              <w:rPr>
                <w:rFonts w:cs="Arial"/>
              </w:rPr>
              <w:t>dispose of waste containing contaminants at authorised facilities</w:t>
            </w:r>
          </w:p>
        </w:tc>
      </w:tr>
      <w:tr w:rsidR="00BE36FB" w:rsidRPr="009B7B35" w14:paraId="21F963D5" w14:textId="77777777" w:rsidTr="001A7107">
        <w:tc>
          <w:tcPr>
            <w:tcW w:w="1985" w:type="dxa"/>
          </w:tcPr>
          <w:p w14:paraId="29EED771" w14:textId="77777777" w:rsidR="00BE36FB" w:rsidRPr="009B7B35" w:rsidRDefault="00BE36FB" w:rsidP="001A7107">
            <w:pPr>
              <w:pStyle w:val="TableText"/>
              <w:rPr>
                <w:rFonts w:cs="Arial"/>
              </w:rPr>
            </w:pPr>
            <w:r w:rsidRPr="009B7B35">
              <w:rPr>
                <w:rFonts w:cs="Arial"/>
              </w:rPr>
              <w:t>Waterway stability and flood flow management</w:t>
            </w:r>
          </w:p>
        </w:tc>
        <w:tc>
          <w:tcPr>
            <w:tcW w:w="2268" w:type="dxa"/>
          </w:tcPr>
          <w:p w14:paraId="4ACBE5FD" w14:textId="77777777" w:rsidR="00BE36FB" w:rsidRPr="009B7B35" w:rsidRDefault="00BE36FB" w:rsidP="001A7107">
            <w:pPr>
              <w:pStyle w:val="TableText"/>
              <w:rPr>
                <w:rFonts w:cs="Arial"/>
              </w:rPr>
            </w:pPr>
            <w:r w:rsidRPr="009B7B35">
              <w:rPr>
                <w:rFonts w:cs="Arial"/>
              </w:rPr>
              <w:t>Changes to the natural waterway hydraulics and hydrology</w:t>
            </w:r>
          </w:p>
        </w:tc>
        <w:tc>
          <w:tcPr>
            <w:tcW w:w="5103" w:type="dxa"/>
          </w:tcPr>
          <w:p w14:paraId="0B42EFE2" w14:textId="77777777" w:rsidR="00BE36FB" w:rsidRPr="009B7B35" w:rsidRDefault="00BE36FB" w:rsidP="001A7107">
            <w:pPr>
              <w:pStyle w:val="TableText"/>
              <w:rPr>
                <w:rFonts w:cs="Arial"/>
              </w:rPr>
            </w:pPr>
            <w:r w:rsidRPr="009B7B35">
              <w:rPr>
                <w:rFonts w:cs="Arial"/>
              </w:rPr>
              <w:t>For peak flow for the 1–year and 100–year ARI event, use constructed sediment basins to attenuate the discharge rate of stormwater from the site.</w:t>
            </w:r>
          </w:p>
        </w:tc>
      </w:tr>
    </w:tbl>
    <w:p w14:paraId="777794BA" w14:textId="77777777" w:rsidR="000D716B" w:rsidRDefault="000D716B" w:rsidP="000D716B">
      <w:pPr>
        <w:pStyle w:val="Heading3"/>
        <w:numPr>
          <w:ilvl w:val="0"/>
          <w:numId w:val="0"/>
        </w:numPr>
        <w:spacing w:before="240"/>
        <w:ind w:left="851"/>
        <w:rPr>
          <w:rFonts w:ascii="Arial" w:hAnsi="Arial"/>
          <w:sz w:val="20"/>
          <w:szCs w:val="20"/>
        </w:rPr>
      </w:pPr>
    </w:p>
    <w:p w14:paraId="4191A62C" w14:textId="77777777" w:rsidR="000D716B" w:rsidRDefault="000D716B">
      <w:pPr>
        <w:rPr>
          <w:rFonts w:ascii="Arial" w:hAnsi="Arial" w:cs="Arial"/>
          <w:b/>
          <w:bCs/>
          <w:iCs/>
          <w:kern w:val="32"/>
          <w:sz w:val="20"/>
          <w:szCs w:val="20"/>
          <w:lang w:eastAsia="en-US"/>
        </w:rPr>
      </w:pPr>
      <w:r>
        <w:rPr>
          <w:rFonts w:ascii="Arial" w:hAnsi="Arial"/>
          <w:sz w:val="20"/>
          <w:szCs w:val="20"/>
        </w:rPr>
        <w:br w:type="page"/>
      </w:r>
    </w:p>
    <w:p w14:paraId="0BA0B08B" w14:textId="77777777" w:rsidR="00BE36FB" w:rsidRPr="009B7B35" w:rsidRDefault="00BE36FB" w:rsidP="006776DA">
      <w:pPr>
        <w:pStyle w:val="Heading3"/>
        <w:numPr>
          <w:ilvl w:val="2"/>
          <w:numId w:val="883"/>
        </w:numPr>
        <w:spacing w:before="240"/>
        <w:rPr>
          <w:rFonts w:ascii="Arial" w:hAnsi="Arial"/>
          <w:sz w:val="20"/>
          <w:szCs w:val="20"/>
        </w:rPr>
      </w:pPr>
      <w:bookmarkStart w:id="261" w:name="_Toc205367395"/>
      <w:r w:rsidRPr="009B7B35">
        <w:rPr>
          <w:rFonts w:ascii="Arial" w:hAnsi="Arial"/>
          <w:sz w:val="20"/>
          <w:szCs w:val="20"/>
        </w:rPr>
        <w:t>Extractive industry</w:t>
      </w:r>
      <w:bookmarkEnd w:id="261"/>
    </w:p>
    <w:p w14:paraId="2EA16DB5"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01FA8EDA"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assessing a material change of use for extractive industry development.</w:t>
      </w:r>
    </w:p>
    <w:p w14:paraId="0446E95C"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2F732FB0" w14:textId="77777777" w:rsidR="00BE36FB" w:rsidRPr="009B7B35" w:rsidRDefault="00BE36FB" w:rsidP="00BE36FB">
      <w:pPr>
        <w:numPr>
          <w:ilvl w:val="0"/>
          <w:numId w:val="745"/>
        </w:numPr>
        <w:rPr>
          <w:rFonts w:ascii="Arial" w:hAnsi="Arial" w:cs="Arial"/>
          <w:sz w:val="20"/>
          <w:szCs w:val="20"/>
        </w:rPr>
      </w:pPr>
      <w:r w:rsidRPr="009B7B35">
        <w:rPr>
          <w:rFonts w:ascii="Arial" w:hAnsi="Arial" w:cs="Arial"/>
          <w:sz w:val="20"/>
          <w:szCs w:val="20"/>
        </w:rPr>
        <w:t>The purpose of the extractive industry code is to:</w:t>
      </w:r>
    </w:p>
    <w:p w14:paraId="70F9456C" w14:textId="77777777"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Facilitate the optimum use of extractive resources in identified areas in the region limited to the Extractive resources and minerals overlay area and parts of the Rural zone.</w:t>
      </w:r>
    </w:p>
    <w:p w14:paraId="25E930AB" w14:textId="77777777"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Ensure extractive industry operations occur in a manner that minimises impacts on public safety, amenity, the natural environment, road traffic and the road network.</w:t>
      </w:r>
    </w:p>
    <w:p w14:paraId="7DFCC5B1" w14:textId="77777777"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Ensures rehabilitation occurs following extraction.</w:t>
      </w:r>
    </w:p>
    <w:p w14:paraId="653912A1" w14:textId="77777777" w:rsidR="00BE36FB" w:rsidRPr="009B7B35" w:rsidRDefault="00BE36FB" w:rsidP="00BE36FB">
      <w:pPr>
        <w:numPr>
          <w:ilvl w:val="0"/>
          <w:numId w:val="745"/>
        </w:numPr>
        <w:rPr>
          <w:rFonts w:ascii="Arial" w:hAnsi="Arial" w:cs="Arial"/>
          <w:sz w:val="20"/>
          <w:szCs w:val="20"/>
        </w:rPr>
      </w:pPr>
      <w:r w:rsidRPr="009B7B35">
        <w:rPr>
          <w:rFonts w:ascii="Arial" w:hAnsi="Arial" w:cs="Arial"/>
          <w:sz w:val="20"/>
          <w:szCs w:val="20"/>
        </w:rPr>
        <w:t>The purpose of the code will be achieved through the following overall outcomes:</w:t>
      </w:r>
    </w:p>
    <w:p w14:paraId="598CAA17" w14:textId="77777777"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 xml:space="preserve">Extractive industry activities including haulage routes are separated from sensitive land uses to mitigate encroachment on extractive industry operations by sensitive land uses, and </w:t>
      </w:r>
    </w:p>
    <w:p w14:paraId="04661B03" w14:textId="77777777"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Extractive industry operational impacts on sensitive land uses including visual, light, vibration, air, noise and water quality impacts.</w:t>
      </w:r>
    </w:p>
    <w:p w14:paraId="5C26EFB8" w14:textId="77777777"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Extractive industry activities are designed and managed to mitigate as far as possible, impacts on the site’s and surrounding area’s environmental values.</w:t>
      </w:r>
    </w:p>
    <w:p w14:paraId="5CC7576F" w14:textId="77777777"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Extractive industry activities are designed and managed as far as possible to protect the visual amenity and landscape character of the surrounding area.</w:t>
      </w:r>
    </w:p>
    <w:p w14:paraId="6672253F" w14:textId="77777777"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Conflict on the region’s road network between public road users and haulage traffic is minimised through the use of specified transport routes by heavy vehicles.</w:t>
      </w:r>
    </w:p>
    <w:p w14:paraId="440BDF9E" w14:textId="77777777" w:rsidR="00BE36FB" w:rsidRPr="009B7B35" w:rsidRDefault="00BE36FB" w:rsidP="00BE36FB">
      <w:pPr>
        <w:numPr>
          <w:ilvl w:val="1"/>
          <w:numId w:val="745"/>
        </w:numPr>
        <w:rPr>
          <w:rFonts w:ascii="Arial" w:hAnsi="Arial" w:cs="Arial"/>
          <w:sz w:val="20"/>
          <w:szCs w:val="20"/>
        </w:rPr>
      </w:pPr>
      <w:r w:rsidRPr="009B7B35">
        <w:rPr>
          <w:rFonts w:ascii="Arial" w:hAnsi="Arial" w:cs="Arial"/>
          <w:sz w:val="20"/>
          <w:szCs w:val="20"/>
        </w:rPr>
        <w:t>Land disturbed by extractive industry activities is progressively rehabilitated to ensure the site is environmentally stable and capable of reuse.</w:t>
      </w:r>
    </w:p>
    <w:p w14:paraId="168E824C"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7429658A" w14:textId="77777777" w:rsidR="00BE36FB" w:rsidRPr="009B7B35" w:rsidRDefault="00BE36FB" w:rsidP="001A7107">
      <w:pPr>
        <w:pStyle w:val="Heading5"/>
        <w:numPr>
          <w:ilvl w:val="0"/>
          <w:numId w:val="0"/>
        </w:numPr>
        <w:rPr>
          <w:rFonts w:cs="Arial"/>
          <w:szCs w:val="20"/>
        </w:rPr>
      </w:pPr>
      <w:r w:rsidRPr="009B7B35">
        <w:rPr>
          <w:rFonts w:cs="Arial"/>
          <w:szCs w:val="20"/>
        </w:rPr>
        <w:t>Table 9.3.3.3.1—Assessable development</w:t>
      </w:r>
    </w:p>
    <w:tbl>
      <w:tblPr>
        <w:tblStyle w:val="Tablestyle"/>
        <w:tblW w:w="0" w:type="auto"/>
        <w:tblLook w:val="0620" w:firstRow="1" w:lastRow="0" w:firstColumn="0" w:lastColumn="0" w:noHBand="1" w:noVBand="1"/>
      </w:tblPr>
      <w:tblGrid>
        <w:gridCol w:w="4120"/>
        <w:gridCol w:w="4243"/>
      </w:tblGrid>
      <w:tr w:rsidR="00BE36FB" w:rsidRPr="009B7B35" w14:paraId="43DB6855"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7329475B" w14:textId="77777777" w:rsidR="00BE36FB" w:rsidRPr="009B7B35" w:rsidRDefault="00BE36FB" w:rsidP="001A7107">
            <w:pPr>
              <w:pStyle w:val="TableText"/>
              <w:rPr>
                <w:rFonts w:cs="Arial"/>
              </w:rPr>
            </w:pPr>
            <w:r w:rsidRPr="009B7B35">
              <w:rPr>
                <w:rFonts w:cs="Arial"/>
              </w:rPr>
              <w:t>Performance outcomes</w:t>
            </w:r>
          </w:p>
        </w:tc>
        <w:tc>
          <w:tcPr>
            <w:tcW w:w="4678" w:type="dxa"/>
          </w:tcPr>
          <w:p w14:paraId="11A36160" w14:textId="77777777" w:rsidR="00BE36FB" w:rsidRPr="009B7B35" w:rsidRDefault="00BE36FB" w:rsidP="001A7107">
            <w:pPr>
              <w:pStyle w:val="TableText"/>
              <w:rPr>
                <w:rFonts w:cs="Arial"/>
              </w:rPr>
            </w:pPr>
            <w:r w:rsidRPr="009B7B35">
              <w:rPr>
                <w:rFonts w:cs="Arial"/>
              </w:rPr>
              <w:t>Acceptable outcomes</w:t>
            </w:r>
          </w:p>
        </w:tc>
      </w:tr>
      <w:tr w:rsidR="00BE36FB" w:rsidRPr="009B7B35" w14:paraId="18BC41ED" w14:textId="77777777" w:rsidTr="001A7107">
        <w:trPr>
          <w:cantSplit/>
        </w:trPr>
        <w:tc>
          <w:tcPr>
            <w:tcW w:w="4678" w:type="dxa"/>
            <w:gridSpan w:val="2"/>
            <w:shd w:val="clear" w:color="auto" w:fill="BFBFBF" w:themeFill="background1" w:themeFillShade="BF"/>
          </w:tcPr>
          <w:p w14:paraId="533E5128" w14:textId="77777777" w:rsidR="00BE36FB" w:rsidRPr="009B7B35" w:rsidRDefault="00BE36FB" w:rsidP="001A7107">
            <w:pPr>
              <w:pStyle w:val="Tableheading"/>
              <w:rPr>
                <w:rFonts w:ascii="Arial" w:hAnsi="Arial" w:cs="Arial"/>
                <w:szCs w:val="20"/>
              </w:rPr>
            </w:pPr>
            <w:r w:rsidRPr="009B7B35">
              <w:rPr>
                <w:rFonts w:ascii="Arial" w:hAnsi="Arial" w:cs="Arial"/>
                <w:szCs w:val="20"/>
              </w:rPr>
              <w:t>Design and operation</w:t>
            </w:r>
          </w:p>
        </w:tc>
      </w:tr>
      <w:tr w:rsidR="00BE36FB" w:rsidRPr="009B7B35" w14:paraId="0E49306E" w14:textId="77777777" w:rsidTr="001A7107">
        <w:tc>
          <w:tcPr>
            <w:tcW w:w="4678" w:type="dxa"/>
            <w:vMerge w:val="restart"/>
          </w:tcPr>
          <w:p w14:paraId="0939E523" w14:textId="77777777" w:rsidR="00BE36FB" w:rsidRPr="009B7B35" w:rsidRDefault="00BE36FB" w:rsidP="001A7107">
            <w:pPr>
              <w:pStyle w:val="TableText"/>
              <w:rPr>
                <w:rFonts w:cs="Arial"/>
                <w:b/>
              </w:rPr>
            </w:pPr>
            <w:r w:rsidRPr="009B7B35">
              <w:rPr>
                <w:rFonts w:cs="Arial"/>
                <w:b/>
              </w:rPr>
              <w:t>PO1</w:t>
            </w:r>
          </w:p>
          <w:p w14:paraId="0D18207F" w14:textId="77777777" w:rsidR="00BE36FB" w:rsidRPr="009B7B35" w:rsidRDefault="00BE36FB" w:rsidP="001A7107">
            <w:pPr>
              <w:pStyle w:val="TableText"/>
              <w:rPr>
                <w:rFonts w:cs="Arial"/>
              </w:rPr>
            </w:pPr>
            <w:r w:rsidRPr="009B7B35">
              <w:rPr>
                <w:rFonts w:cs="Arial"/>
              </w:rPr>
              <w:t>The extractive industry is located and operated to maintain public safety and minimise potential visual, light, vibration, air, noise and water quality impacts on nearby areas and sensitive land uses.</w:t>
            </w:r>
          </w:p>
        </w:tc>
        <w:tc>
          <w:tcPr>
            <w:tcW w:w="4678" w:type="dxa"/>
          </w:tcPr>
          <w:p w14:paraId="71A36520" w14:textId="77777777" w:rsidR="00BE36FB" w:rsidRPr="009B7B35" w:rsidRDefault="00BE36FB" w:rsidP="001A7107">
            <w:pPr>
              <w:pStyle w:val="TableText"/>
              <w:rPr>
                <w:rFonts w:cs="Arial"/>
                <w:b/>
              </w:rPr>
            </w:pPr>
            <w:r w:rsidRPr="009B7B35">
              <w:rPr>
                <w:rFonts w:cs="Arial"/>
                <w:b/>
              </w:rPr>
              <w:t>AO1.1</w:t>
            </w:r>
          </w:p>
          <w:p w14:paraId="246B7749" w14:textId="77777777" w:rsidR="00BE36FB" w:rsidRPr="009B7B35" w:rsidRDefault="00BE36FB" w:rsidP="001A7107">
            <w:pPr>
              <w:pStyle w:val="TableText"/>
              <w:rPr>
                <w:rFonts w:cs="Arial"/>
              </w:rPr>
            </w:pPr>
            <w:r w:rsidRPr="009B7B35">
              <w:rPr>
                <w:rFonts w:cs="Arial"/>
              </w:rPr>
              <w:t xml:space="preserve">Extractive industry activities are separated from nearby areas in accordance with the following: </w:t>
            </w:r>
          </w:p>
          <w:p w14:paraId="49CBEC55" w14:textId="77777777" w:rsidR="00BE36FB" w:rsidRPr="009B7B35" w:rsidRDefault="00BE36FB" w:rsidP="00BE36FB">
            <w:pPr>
              <w:pStyle w:val="TableText"/>
              <w:numPr>
                <w:ilvl w:val="0"/>
                <w:numId w:val="731"/>
              </w:numPr>
              <w:rPr>
                <w:rFonts w:cs="Arial"/>
              </w:rPr>
            </w:pPr>
            <w:r w:rsidRPr="009B7B35">
              <w:rPr>
                <w:rFonts w:cs="Arial"/>
              </w:rPr>
              <w:t xml:space="preserve">where the extraction or processing of the extractive resource involves blasting or crushing (namely rock), a minimum distance of 1,000m from: </w:t>
            </w:r>
          </w:p>
          <w:p w14:paraId="2F36574A" w14:textId="77777777" w:rsidR="00BE36FB" w:rsidRPr="009B7B35" w:rsidRDefault="00BE36FB" w:rsidP="00BE36FB">
            <w:pPr>
              <w:pStyle w:val="TableText"/>
              <w:numPr>
                <w:ilvl w:val="1"/>
                <w:numId w:val="731"/>
              </w:numPr>
              <w:rPr>
                <w:rFonts w:cs="Arial"/>
              </w:rPr>
            </w:pPr>
            <w:r w:rsidRPr="009B7B35">
              <w:rPr>
                <w:rFonts w:cs="Arial"/>
              </w:rPr>
              <w:t>sensitive land uses</w:t>
            </w:r>
          </w:p>
          <w:p w14:paraId="52BF86A0" w14:textId="77777777" w:rsidR="00BE36FB" w:rsidRPr="009B7B35" w:rsidRDefault="00BE36FB" w:rsidP="00BE36FB">
            <w:pPr>
              <w:pStyle w:val="TableText"/>
              <w:numPr>
                <w:ilvl w:val="1"/>
                <w:numId w:val="731"/>
              </w:numPr>
              <w:rPr>
                <w:rFonts w:cs="Arial"/>
              </w:rPr>
            </w:pPr>
            <w:r w:rsidRPr="009B7B35">
              <w:rPr>
                <w:rFonts w:cs="Arial"/>
              </w:rPr>
              <w:t>public roads, and</w:t>
            </w:r>
          </w:p>
          <w:p w14:paraId="189C92AD" w14:textId="77777777" w:rsidR="00BE36FB" w:rsidRPr="009B7B35" w:rsidRDefault="00BE36FB" w:rsidP="00BE36FB">
            <w:pPr>
              <w:pStyle w:val="TableText"/>
              <w:numPr>
                <w:ilvl w:val="1"/>
                <w:numId w:val="731"/>
              </w:numPr>
              <w:rPr>
                <w:rFonts w:cs="Arial"/>
              </w:rPr>
            </w:pPr>
            <w:r w:rsidRPr="009B7B35">
              <w:rPr>
                <w:rFonts w:cs="Arial"/>
              </w:rPr>
              <w:t>driveways of adjoining and nearby properties</w:t>
            </w:r>
          </w:p>
          <w:p w14:paraId="49B3B590" w14:textId="77777777" w:rsidR="00BE36FB" w:rsidRPr="009B7B35" w:rsidRDefault="00BE36FB" w:rsidP="00BE36FB">
            <w:pPr>
              <w:pStyle w:val="TableText"/>
              <w:numPr>
                <w:ilvl w:val="0"/>
                <w:numId w:val="731"/>
              </w:numPr>
              <w:rPr>
                <w:rFonts w:cs="Arial"/>
              </w:rPr>
            </w:pPr>
            <w:r w:rsidRPr="009B7B35">
              <w:rPr>
                <w:rFonts w:cs="Arial"/>
              </w:rPr>
              <w:t>for any other extractive resource not involving blasting or crushing (namely sand, gravel, clay and soil), a minimum distance of 200m.</w:t>
            </w:r>
          </w:p>
        </w:tc>
      </w:tr>
      <w:tr w:rsidR="00BE36FB" w:rsidRPr="009B7B35" w14:paraId="4D1ACBCF" w14:textId="77777777" w:rsidTr="001A7107">
        <w:tc>
          <w:tcPr>
            <w:tcW w:w="4678" w:type="dxa"/>
            <w:vMerge/>
          </w:tcPr>
          <w:p w14:paraId="28D39AA5" w14:textId="77777777" w:rsidR="00BE36FB" w:rsidRPr="009B7B35" w:rsidRDefault="00BE36FB" w:rsidP="001A7107">
            <w:pPr>
              <w:pStyle w:val="TableText"/>
              <w:rPr>
                <w:rFonts w:cs="Arial"/>
              </w:rPr>
            </w:pPr>
          </w:p>
        </w:tc>
        <w:tc>
          <w:tcPr>
            <w:tcW w:w="4678" w:type="dxa"/>
          </w:tcPr>
          <w:p w14:paraId="58E065A3" w14:textId="77777777" w:rsidR="00BE36FB" w:rsidRPr="009B7B35" w:rsidRDefault="00BE36FB" w:rsidP="001A7107">
            <w:pPr>
              <w:pStyle w:val="TableText"/>
              <w:rPr>
                <w:rFonts w:cs="Arial"/>
                <w:b/>
              </w:rPr>
            </w:pPr>
            <w:r w:rsidRPr="009B7B35">
              <w:rPr>
                <w:rFonts w:cs="Arial"/>
                <w:b/>
              </w:rPr>
              <w:t>AO1.2</w:t>
            </w:r>
          </w:p>
          <w:p w14:paraId="33A7F2CF" w14:textId="77777777" w:rsidR="00BE36FB" w:rsidRPr="009B7B35" w:rsidRDefault="00BE36FB" w:rsidP="001A7107">
            <w:pPr>
              <w:pStyle w:val="TableText"/>
              <w:rPr>
                <w:rFonts w:cs="Arial"/>
              </w:rPr>
            </w:pPr>
            <w:r w:rsidRPr="009B7B35">
              <w:rPr>
                <w:rFonts w:cs="Arial"/>
              </w:rPr>
              <w:t>Extractive industry activities visible from outside the property are designed to be screened from surrounding land and protected by a 50m buffer from boundary ridges.</w:t>
            </w:r>
          </w:p>
        </w:tc>
      </w:tr>
      <w:tr w:rsidR="00BE36FB" w:rsidRPr="009B7B35" w14:paraId="2AFA8FF0" w14:textId="77777777" w:rsidTr="001A7107">
        <w:tc>
          <w:tcPr>
            <w:tcW w:w="4678" w:type="dxa"/>
            <w:vMerge/>
          </w:tcPr>
          <w:p w14:paraId="1809B186" w14:textId="77777777" w:rsidR="00BE36FB" w:rsidRPr="009B7B35" w:rsidRDefault="00BE36FB" w:rsidP="001A7107">
            <w:pPr>
              <w:pStyle w:val="TableText"/>
              <w:rPr>
                <w:rFonts w:cs="Arial"/>
              </w:rPr>
            </w:pPr>
          </w:p>
        </w:tc>
        <w:tc>
          <w:tcPr>
            <w:tcW w:w="4678" w:type="dxa"/>
          </w:tcPr>
          <w:p w14:paraId="46EC15AE" w14:textId="77777777" w:rsidR="00BE36FB" w:rsidRPr="009B7B35" w:rsidRDefault="00BE36FB" w:rsidP="001A7107">
            <w:pPr>
              <w:pStyle w:val="TableText"/>
              <w:rPr>
                <w:rFonts w:cs="Arial"/>
                <w:b/>
              </w:rPr>
            </w:pPr>
            <w:r w:rsidRPr="009B7B35">
              <w:rPr>
                <w:rFonts w:cs="Arial"/>
                <w:b/>
              </w:rPr>
              <w:t>AO1.3</w:t>
            </w:r>
          </w:p>
          <w:p w14:paraId="6A08904C" w14:textId="77777777" w:rsidR="00BE36FB" w:rsidRPr="009B7B35" w:rsidRDefault="00BE36FB" w:rsidP="001A7107">
            <w:pPr>
              <w:pStyle w:val="TableText"/>
              <w:rPr>
                <w:rFonts w:cs="Arial"/>
              </w:rPr>
            </w:pPr>
            <w:r w:rsidRPr="009B7B35">
              <w:rPr>
                <w:rFonts w:cs="Arial"/>
              </w:rPr>
              <w:t xml:space="preserve">Extractive industry activities are screened from view from public roads, public vantage points and sensitive land uses by: </w:t>
            </w:r>
          </w:p>
          <w:p w14:paraId="65949683" w14:textId="77777777" w:rsidR="00BE36FB" w:rsidRPr="009B7B35" w:rsidRDefault="00BE36FB" w:rsidP="00BE36FB">
            <w:pPr>
              <w:pStyle w:val="TableText"/>
              <w:numPr>
                <w:ilvl w:val="0"/>
                <w:numId w:val="732"/>
              </w:numPr>
              <w:rPr>
                <w:rFonts w:cs="Arial"/>
              </w:rPr>
            </w:pPr>
            <w:r w:rsidRPr="009B7B35">
              <w:rPr>
                <w:rFonts w:cs="Arial"/>
              </w:rPr>
              <w:t>natural topographic features such as  ridgelines, or</w:t>
            </w:r>
          </w:p>
          <w:p w14:paraId="105F16CE" w14:textId="77777777" w:rsidR="00BE36FB" w:rsidRPr="009B7B35" w:rsidRDefault="00BE36FB" w:rsidP="00BE36FB">
            <w:pPr>
              <w:pStyle w:val="TableText"/>
              <w:numPr>
                <w:ilvl w:val="0"/>
                <w:numId w:val="732"/>
              </w:numPr>
              <w:rPr>
                <w:rFonts w:cs="Arial"/>
              </w:rPr>
            </w:pPr>
            <w:r w:rsidRPr="009B7B35">
              <w:rPr>
                <w:rFonts w:cs="Arial"/>
              </w:rPr>
              <w:t>a minimum 30m wide landscaped native vegetation buffer.</w:t>
            </w:r>
          </w:p>
        </w:tc>
      </w:tr>
      <w:tr w:rsidR="00BE36FB" w:rsidRPr="009B7B35" w14:paraId="17D01B2B" w14:textId="77777777" w:rsidTr="001A7107">
        <w:trPr>
          <w:cantSplit/>
        </w:trPr>
        <w:tc>
          <w:tcPr>
            <w:tcW w:w="4678" w:type="dxa"/>
            <w:vMerge/>
          </w:tcPr>
          <w:p w14:paraId="6970BF61" w14:textId="77777777" w:rsidR="00BE36FB" w:rsidRPr="009B7B35" w:rsidRDefault="00BE36FB" w:rsidP="001A7107">
            <w:pPr>
              <w:pStyle w:val="TableText"/>
              <w:rPr>
                <w:rFonts w:cs="Arial"/>
              </w:rPr>
            </w:pPr>
          </w:p>
        </w:tc>
        <w:tc>
          <w:tcPr>
            <w:tcW w:w="4678" w:type="dxa"/>
          </w:tcPr>
          <w:p w14:paraId="256ADA3C" w14:textId="77777777" w:rsidR="00BE36FB" w:rsidRPr="009B7B35" w:rsidRDefault="00BE36FB" w:rsidP="001A7107">
            <w:pPr>
              <w:pStyle w:val="TableText"/>
              <w:rPr>
                <w:rFonts w:cs="Arial"/>
                <w:b/>
              </w:rPr>
            </w:pPr>
            <w:r w:rsidRPr="009B7B35">
              <w:rPr>
                <w:rFonts w:cs="Arial"/>
                <w:b/>
              </w:rPr>
              <w:t>AO1.4</w:t>
            </w:r>
          </w:p>
          <w:p w14:paraId="0F42FC27" w14:textId="77777777" w:rsidR="00BE36FB" w:rsidRPr="009B7B35" w:rsidRDefault="00BE36FB" w:rsidP="001A7107">
            <w:pPr>
              <w:pStyle w:val="TableText"/>
              <w:rPr>
                <w:rFonts w:cs="Arial"/>
              </w:rPr>
            </w:pPr>
            <w:r w:rsidRPr="009B7B35">
              <w:rPr>
                <w:rFonts w:cs="Arial"/>
              </w:rPr>
              <w:t xml:space="preserve">Noise and vibration impacts do not exceed acceptable levels contained within the </w:t>
            </w:r>
            <w:r w:rsidRPr="009B7B35">
              <w:rPr>
                <w:rStyle w:val="StyleItalic"/>
                <w:rFonts w:cs="Arial"/>
              </w:rPr>
              <w:t>Environmental Protection (Noise) Policy 2008</w:t>
            </w:r>
            <w:r w:rsidRPr="009B7B35">
              <w:rPr>
                <w:rFonts w:cs="Arial"/>
              </w:rPr>
              <w:t xml:space="preserve">, as amended. </w:t>
            </w:r>
          </w:p>
        </w:tc>
      </w:tr>
      <w:tr w:rsidR="00BE36FB" w:rsidRPr="009B7B35" w14:paraId="416289BF" w14:textId="77777777" w:rsidTr="001A7107">
        <w:trPr>
          <w:cantSplit/>
        </w:trPr>
        <w:tc>
          <w:tcPr>
            <w:tcW w:w="4678" w:type="dxa"/>
            <w:vMerge/>
          </w:tcPr>
          <w:p w14:paraId="25AF0089" w14:textId="77777777" w:rsidR="00BE36FB" w:rsidRPr="009B7B35" w:rsidRDefault="00BE36FB" w:rsidP="001A7107">
            <w:pPr>
              <w:pStyle w:val="TableText"/>
              <w:rPr>
                <w:rFonts w:cs="Arial"/>
              </w:rPr>
            </w:pPr>
          </w:p>
        </w:tc>
        <w:tc>
          <w:tcPr>
            <w:tcW w:w="4678" w:type="dxa"/>
          </w:tcPr>
          <w:p w14:paraId="45B45F49" w14:textId="77777777" w:rsidR="00BE36FB" w:rsidRPr="009B7B35" w:rsidRDefault="00BE36FB" w:rsidP="001A7107">
            <w:pPr>
              <w:pStyle w:val="TableText"/>
              <w:rPr>
                <w:rFonts w:cs="Arial"/>
                <w:b/>
              </w:rPr>
            </w:pPr>
            <w:r w:rsidRPr="009B7B35">
              <w:rPr>
                <w:rFonts w:cs="Arial"/>
                <w:b/>
              </w:rPr>
              <w:t>AO1.5</w:t>
            </w:r>
          </w:p>
          <w:p w14:paraId="33B8535B" w14:textId="77777777" w:rsidR="00BE36FB" w:rsidRPr="009B7B35" w:rsidRDefault="00BE36FB" w:rsidP="001A7107">
            <w:pPr>
              <w:pStyle w:val="TableText"/>
              <w:rPr>
                <w:rFonts w:cs="Arial"/>
              </w:rPr>
            </w:pPr>
            <w:r w:rsidRPr="009B7B35">
              <w:rPr>
                <w:rFonts w:cs="Arial"/>
              </w:rPr>
              <w:t xml:space="preserve">Air quality impacts including dust do not exceed acceptable levels contained within the </w:t>
            </w:r>
            <w:r w:rsidRPr="009B7B35">
              <w:rPr>
                <w:rStyle w:val="StyleItalic"/>
                <w:rFonts w:cs="Arial"/>
              </w:rPr>
              <w:t>Environmental Protection (Air) Policy 2008</w:t>
            </w:r>
            <w:r w:rsidRPr="009B7B35">
              <w:rPr>
                <w:rFonts w:cs="Arial"/>
              </w:rPr>
              <w:t>, as amended.</w:t>
            </w:r>
          </w:p>
        </w:tc>
      </w:tr>
      <w:tr w:rsidR="00BE36FB" w:rsidRPr="009B7B35" w14:paraId="28480BC5" w14:textId="77777777" w:rsidTr="001A7107">
        <w:trPr>
          <w:cantSplit/>
        </w:trPr>
        <w:tc>
          <w:tcPr>
            <w:tcW w:w="4678" w:type="dxa"/>
            <w:vMerge/>
          </w:tcPr>
          <w:p w14:paraId="7C4B4D5C" w14:textId="77777777" w:rsidR="00BE36FB" w:rsidRPr="009B7B35" w:rsidRDefault="00BE36FB" w:rsidP="001A7107">
            <w:pPr>
              <w:pStyle w:val="TableText"/>
              <w:rPr>
                <w:rFonts w:cs="Arial"/>
              </w:rPr>
            </w:pPr>
          </w:p>
        </w:tc>
        <w:tc>
          <w:tcPr>
            <w:tcW w:w="4678" w:type="dxa"/>
          </w:tcPr>
          <w:p w14:paraId="6FE3AE9E" w14:textId="77777777" w:rsidR="00BE36FB" w:rsidRPr="009B7B35" w:rsidRDefault="00BE36FB" w:rsidP="001A7107">
            <w:pPr>
              <w:pStyle w:val="TableText"/>
              <w:rPr>
                <w:rFonts w:cs="Arial"/>
                <w:b/>
              </w:rPr>
            </w:pPr>
            <w:r w:rsidRPr="009B7B35">
              <w:rPr>
                <w:rFonts w:cs="Arial"/>
                <w:b/>
              </w:rPr>
              <w:t>AO1.6</w:t>
            </w:r>
          </w:p>
          <w:p w14:paraId="0CAEC855" w14:textId="77777777" w:rsidR="00BE36FB" w:rsidRPr="009B7B35" w:rsidRDefault="00BE36FB" w:rsidP="001A7107">
            <w:pPr>
              <w:pStyle w:val="TableText"/>
              <w:rPr>
                <w:rFonts w:cs="Arial"/>
              </w:rPr>
            </w:pPr>
            <w:r w:rsidRPr="009B7B35">
              <w:rPr>
                <w:rFonts w:cs="Arial"/>
              </w:rPr>
              <w:t>Blasting and crushing operations are limited to the hours of 9am to 5pm Monday to Friday.</w:t>
            </w:r>
          </w:p>
        </w:tc>
      </w:tr>
      <w:tr w:rsidR="00BE36FB" w:rsidRPr="009B7B35" w14:paraId="6C5257DE" w14:textId="77777777" w:rsidTr="001A7107">
        <w:trPr>
          <w:cantSplit/>
        </w:trPr>
        <w:tc>
          <w:tcPr>
            <w:tcW w:w="4678" w:type="dxa"/>
            <w:vMerge/>
          </w:tcPr>
          <w:p w14:paraId="6EF84274" w14:textId="77777777" w:rsidR="00BE36FB" w:rsidRPr="009B7B35" w:rsidRDefault="00BE36FB" w:rsidP="001A7107">
            <w:pPr>
              <w:pStyle w:val="TableText"/>
              <w:rPr>
                <w:rFonts w:cs="Arial"/>
              </w:rPr>
            </w:pPr>
          </w:p>
        </w:tc>
        <w:tc>
          <w:tcPr>
            <w:tcW w:w="4678" w:type="dxa"/>
          </w:tcPr>
          <w:p w14:paraId="451A5DB1" w14:textId="77777777" w:rsidR="00BE36FB" w:rsidRPr="009B7B35" w:rsidRDefault="00BE36FB" w:rsidP="001A7107">
            <w:pPr>
              <w:pStyle w:val="TableText"/>
              <w:rPr>
                <w:rFonts w:cs="Arial"/>
                <w:b/>
              </w:rPr>
            </w:pPr>
            <w:r w:rsidRPr="009B7B35">
              <w:rPr>
                <w:rFonts w:cs="Arial"/>
                <w:b/>
              </w:rPr>
              <w:t>AO1.7</w:t>
            </w:r>
          </w:p>
          <w:p w14:paraId="1F892B64" w14:textId="77777777" w:rsidR="00BE36FB" w:rsidRPr="009B7B35" w:rsidRDefault="00BE36FB" w:rsidP="001A7107">
            <w:pPr>
              <w:pStyle w:val="TableText"/>
              <w:rPr>
                <w:rFonts w:cs="Arial"/>
              </w:rPr>
            </w:pPr>
            <w:r w:rsidRPr="009B7B35">
              <w:rPr>
                <w:rFonts w:cs="Arial"/>
              </w:rPr>
              <w:t>Other extractive industry operations are limited to the hours of 6am to 6pm Monday to Saturday.</w:t>
            </w:r>
          </w:p>
        </w:tc>
      </w:tr>
      <w:tr w:rsidR="00BE36FB" w:rsidRPr="009B7B35" w14:paraId="311421AD" w14:textId="77777777" w:rsidTr="001A7107">
        <w:trPr>
          <w:cantSplit/>
        </w:trPr>
        <w:tc>
          <w:tcPr>
            <w:tcW w:w="4678" w:type="dxa"/>
          </w:tcPr>
          <w:p w14:paraId="2E01D6DC" w14:textId="77777777" w:rsidR="00BE36FB" w:rsidRPr="009B7B35" w:rsidRDefault="00BE36FB" w:rsidP="001A7107">
            <w:pPr>
              <w:pStyle w:val="TableText"/>
              <w:rPr>
                <w:rFonts w:cs="Arial"/>
                <w:b/>
              </w:rPr>
            </w:pPr>
            <w:r w:rsidRPr="009B7B35">
              <w:rPr>
                <w:rFonts w:cs="Arial"/>
                <w:b/>
              </w:rPr>
              <w:t>PO2</w:t>
            </w:r>
          </w:p>
          <w:p w14:paraId="179C8F77" w14:textId="77777777" w:rsidR="00BE36FB" w:rsidRPr="009B7B35" w:rsidRDefault="00BE36FB" w:rsidP="001A7107">
            <w:pPr>
              <w:pStyle w:val="TableText"/>
              <w:rPr>
                <w:rFonts w:cs="Arial"/>
              </w:rPr>
            </w:pPr>
            <w:r w:rsidRPr="009B7B35">
              <w:rPr>
                <w:rFonts w:cs="Arial"/>
              </w:rPr>
              <w:t>Extractive industry operations protect the visual and landscape character of hilltops and ridgelines.</w:t>
            </w:r>
          </w:p>
        </w:tc>
        <w:tc>
          <w:tcPr>
            <w:tcW w:w="4678" w:type="dxa"/>
          </w:tcPr>
          <w:p w14:paraId="6C387E07" w14:textId="77777777" w:rsidR="00BE36FB" w:rsidRPr="009B7B35" w:rsidRDefault="00BE36FB" w:rsidP="001A7107">
            <w:pPr>
              <w:pStyle w:val="TableText"/>
              <w:rPr>
                <w:rFonts w:cs="Arial"/>
                <w:b/>
              </w:rPr>
            </w:pPr>
            <w:r w:rsidRPr="009B7B35">
              <w:rPr>
                <w:rFonts w:cs="Arial"/>
                <w:b/>
              </w:rPr>
              <w:t>AO2</w:t>
            </w:r>
          </w:p>
          <w:p w14:paraId="4E47BC6B" w14:textId="77777777" w:rsidR="00BE36FB" w:rsidRPr="009B7B35" w:rsidRDefault="00BE36FB" w:rsidP="001A7107">
            <w:pPr>
              <w:pStyle w:val="TableText"/>
              <w:rPr>
                <w:rFonts w:cs="Arial"/>
              </w:rPr>
            </w:pPr>
            <w:r w:rsidRPr="009B7B35">
              <w:rPr>
                <w:rFonts w:cs="Arial"/>
              </w:rPr>
              <w:t xml:space="preserve">Extractive industry operations areas are located a minimum of 50m from any hilltop or ridgeline (measured horizontally from the peak). </w:t>
            </w:r>
          </w:p>
        </w:tc>
      </w:tr>
      <w:tr w:rsidR="00BE36FB" w:rsidRPr="009B7B35" w14:paraId="110A28F4" w14:textId="77777777" w:rsidTr="001A7107">
        <w:trPr>
          <w:cantSplit/>
        </w:trPr>
        <w:tc>
          <w:tcPr>
            <w:tcW w:w="4678" w:type="dxa"/>
          </w:tcPr>
          <w:p w14:paraId="6C5CA44A" w14:textId="77777777" w:rsidR="00BE36FB" w:rsidRPr="009B7B35" w:rsidRDefault="00BE36FB" w:rsidP="001A7107">
            <w:pPr>
              <w:pStyle w:val="TableText"/>
              <w:rPr>
                <w:rFonts w:cs="Arial"/>
                <w:b/>
              </w:rPr>
            </w:pPr>
            <w:r w:rsidRPr="009B7B35">
              <w:rPr>
                <w:rFonts w:cs="Arial"/>
                <w:b/>
              </w:rPr>
              <w:t>PO3</w:t>
            </w:r>
          </w:p>
          <w:p w14:paraId="39179ECC" w14:textId="77777777" w:rsidR="00BE36FB" w:rsidRPr="009B7B35" w:rsidRDefault="00BE36FB" w:rsidP="001A7107">
            <w:pPr>
              <w:pStyle w:val="TableText"/>
              <w:rPr>
                <w:rFonts w:cs="Arial"/>
              </w:rPr>
            </w:pPr>
            <w:r w:rsidRPr="009B7B35">
              <w:rPr>
                <w:rFonts w:cs="Arial"/>
              </w:rPr>
              <w:t>Extractive industry operations avoid or minimises impact on areas of ecological significance, ecological processes or biodiversity values external to the site.</w:t>
            </w:r>
          </w:p>
        </w:tc>
        <w:tc>
          <w:tcPr>
            <w:tcW w:w="4678" w:type="dxa"/>
          </w:tcPr>
          <w:p w14:paraId="5A33D1F2"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47F2D5A" w14:textId="77777777" w:rsidTr="001A7107">
        <w:trPr>
          <w:cantSplit/>
        </w:trPr>
        <w:tc>
          <w:tcPr>
            <w:tcW w:w="4678" w:type="dxa"/>
            <w:gridSpan w:val="2"/>
            <w:shd w:val="clear" w:color="auto" w:fill="BFBFBF" w:themeFill="background1" w:themeFillShade="BF"/>
          </w:tcPr>
          <w:p w14:paraId="4DD1CBAB" w14:textId="77777777" w:rsidR="00BE36FB" w:rsidRPr="009B7B35" w:rsidRDefault="00BE36FB" w:rsidP="001A7107">
            <w:pPr>
              <w:pStyle w:val="Tableheading"/>
              <w:rPr>
                <w:rFonts w:ascii="Arial" w:hAnsi="Arial" w:cs="Arial"/>
                <w:szCs w:val="20"/>
              </w:rPr>
            </w:pPr>
            <w:r w:rsidRPr="009B7B35">
              <w:rPr>
                <w:rFonts w:ascii="Arial" w:hAnsi="Arial" w:cs="Arial"/>
                <w:szCs w:val="20"/>
              </w:rPr>
              <w:t>Stormwater management</w:t>
            </w:r>
          </w:p>
        </w:tc>
      </w:tr>
      <w:tr w:rsidR="00BE36FB" w:rsidRPr="009B7B35" w14:paraId="71640478" w14:textId="77777777" w:rsidTr="001A7107">
        <w:trPr>
          <w:cantSplit/>
        </w:trPr>
        <w:tc>
          <w:tcPr>
            <w:tcW w:w="4678" w:type="dxa"/>
          </w:tcPr>
          <w:p w14:paraId="1DFB7B16" w14:textId="77777777" w:rsidR="00BE36FB" w:rsidRPr="009B7B35" w:rsidRDefault="00BE36FB" w:rsidP="001A7107">
            <w:pPr>
              <w:pStyle w:val="TableText"/>
              <w:rPr>
                <w:rFonts w:cs="Arial"/>
                <w:b/>
              </w:rPr>
            </w:pPr>
            <w:r w:rsidRPr="009B7B35">
              <w:rPr>
                <w:rFonts w:cs="Arial"/>
                <w:b/>
              </w:rPr>
              <w:t>PO</w:t>
            </w:r>
            <w:r w:rsidRPr="009B7B35">
              <w:rPr>
                <w:rStyle w:val="Strong"/>
                <w:rFonts w:eastAsiaTheme="majorEastAsia" w:cs="Arial"/>
              </w:rPr>
              <w:t>4</w:t>
            </w:r>
          </w:p>
          <w:p w14:paraId="53ADC6F8" w14:textId="77777777" w:rsidR="00BE36FB" w:rsidRPr="009B7B35" w:rsidRDefault="00BE36FB" w:rsidP="001A7107">
            <w:pPr>
              <w:pStyle w:val="TableText"/>
              <w:rPr>
                <w:rFonts w:cs="Arial"/>
              </w:rPr>
            </w:pPr>
            <w:r w:rsidRPr="009B7B35">
              <w:rPr>
                <w:rFonts w:cs="Arial"/>
              </w:rPr>
              <w:t xml:space="preserve">Stormwater drainage systems are designed, constructed and maintained to: </w:t>
            </w:r>
          </w:p>
          <w:p w14:paraId="4CB6F8FA" w14:textId="77777777" w:rsidR="00BE36FB" w:rsidRPr="009B7B35" w:rsidRDefault="00BE36FB" w:rsidP="00BE36FB">
            <w:pPr>
              <w:pStyle w:val="TableText"/>
              <w:numPr>
                <w:ilvl w:val="0"/>
                <w:numId w:val="733"/>
              </w:numPr>
              <w:rPr>
                <w:rFonts w:cs="Arial"/>
              </w:rPr>
            </w:pPr>
            <w:r w:rsidRPr="009B7B35">
              <w:rPr>
                <w:rFonts w:cs="Arial"/>
              </w:rPr>
              <w:t>prevent ponding in excavated areas</w:t>
            </w:r>
          </w:p>
          <w:p w14:paraId="227A6357" w14:textId="77777777" w:rsidR="00BE36FB" w:rsidRPr="009B7B35" w:rsidRDefault="00BE36FB" w:rsidP="00BE36FB">
            <w:pPr>
              <w:pStyle w:val="TableText"/>
              <w:numPr>
                <w:ilvl w:val="0"/>
                <w:numId w:val="733"/>
              </w:numPr>
              <w:rPr>
                <w:rFonts w:cs="Arial"/>
              </w:rPr>
            </w:pPr>
            <w:r w:rsidRPr="009B7B35">
              <w:rPr>
                <w:rFonts w:cs="Arial"/>
              </w:rPr>
              <w:t>minimise and control erosion</w:t>
            </w:r>
          </w:p>
          <w:p w14:paraId="4C41D640" w14:textId="77777777" w:rsidR="00BE36FB" w:rsidRPr="009B7B35" w:rsidRDefault="00BE36FB" w:rsidP="00BE36FB">
            <w:pPr>
              <w:pStyle w:val="TableText"/>
              <w:numPr>
                <w:ilvl w:val="0"/>
                <w:numId w:val="733"/>
              </w:numPr>
              <w:rPr>
                <w:rFonts w:cs="Arial"/>
              </w:rPr>
            </w:pPr>
            <w:r w:rsidRPr="009B7B35">
              <w:rPr>
                <w:rFonts w:cs="Arial"/>
              </w:rPr>
              <w:t xml:space="preserve">prevent pollution of ground and surface water, and </w:t>
            </w:r>
          </w:p>
          <w:p w14:paraId="14C52055" w14:textId="77777777" w:rsidR="00BE36FB" w:rsidRPr="009B7B35" w:rsidRDefault="00BE36FB" w:rsidP="00BE36FB">
            <w:pPr>
              <w:pStyle w:val="TableText"/>
              <w:numPr>
                <w:ilvl w:val="0"/>
                <w:numId w:val="733"/>
              </w:numPr>
              <w:rPr>
                <w:rFonts w:cs="Arial"/>
              </w:rPr>
            </w:pPr>
            <w:r w:rsidRPr="009B7B35">
              <w:rPr>
                <w:rFonts w:cs="Arial"/>
              </w:rPr>
              <w:t xml:space="preserve">provide opportunities to conserve and re–use water on site. </w:t>
            </w:r>
          </w:p>
        </w:tc>
        <w:tc>
          <w:tcPr>
            <w:tcW w:w="4678" w:type="dxa"/>
          </w:tcPr>
          <w:p w14:paraId="69761081"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7DC45DB" w14:textId="77777777" w:rsidTr="001A7107">
        <w:trPr>
          <w:cantSplit/>
        </w:trPr>
        <w:tc>
          <w:tcPr>
            <w:tcW w:w="4678" w:type="dxa"/>
            <w:gridSpan w:val="2"/>
            <w:shd w:val="clear" w:color="auto" w:fill="BFBFBF" w:themeFill="background1" w:themeFillShade="BF"/>
          </w:tcPr>
          <w:p w14:paraId="250C671B" w14:textId="77777777" w:rsidR="00BE36FB" w:rsidRPr="009B7B35" w:rsidRDefault="00BE36FB" w:rsidP="001A7107">
            <w:pPr>
              <w:pStyle w:val="Tableheading"/>
              <w:rPr>
                <w:rFonts w:ascii="Arial" w:hAnsi="Arial" w:cs="Arial"/>
                <w:szCs w:val="20"/>
              </w:rPr>
            </w:pPr>
            <w:r w:rsidRPr="009B7B35">
              <w:rPr>
                <w:rFonts w:ascii="Arial" w:hAnsi="Arial" w:cs="Arial"/>
                <w:szCs w:val="20"/>
              </w:rPr>
              <w:t>Public safety and access</w:t>
            </w:r>
          </w:p>
        </w:tc>
      </w:tr>
      <w:tr w:rsidR="00BE36FB" w:rsidRPr="009B7B35" w14:paraId="72934145" w14:textId="77777777" w:rsidTr="001A7107">
        <w:trPr>
          <w:cantSplit/>
        </w:trPr>
        <w:tc>
          <w:tcPr>
            <w:tcW w:w="4678" w:type="dxa"/>
            <w:vMerge w:val="restart"/>
          </w:tcPr>
          <w:p w14:paraId="0870D49A"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PO5</w:t>
            </w:r>
          </w:p>
          <w:p w14:paraId="6B98DCF4" w14:textId="77777777" w:rsidR="00BE36FB" w:rsidRPr="009B7B35" w:rsidRDefault="00BE36FB" w:rsidP="001A7107">
            <w:pPr>
              <w:pStyle w:val="TableText"/>
              <w:rPr>
                <w:rFonts w:cs="Arial"/>
              </w:rPr>
            </w:pPr>
            <w:r w:rsidRPr="009B7B35">
              <w:rPr>
                <w:rFonts w:cs="Arial"/>
              </w:rPr>
              <w:t xml:space="preserve">Public safety is maintained by: </w:t>
            </w:r>
          </w:p>
          <w:p w14:paraId="626161A4" w14:textId="77777777" w:rsidR="00BE36FB" w:rsidRPr="009B7B35" w:rsidRDefault="00BE36FB" w:rsidP="00BE36FB">
            <w:pPr>
              <w:pStyle w:val="TableText"/>
              <w:numPr>
                <w:ilvl w:val="0"/>
                <w:numId w:val="734"/>
              </w:numPr>
              <w:rPr>
                <w:rFonts w:cs="Arial"/>
              </w:rPr>
            </w:pPr>
            <w:r w:rsidRPr="009B7B35">
              <w:rPr>
                <w:rFonts w:cs="Arial"/>
              </w:rPr>
              <w:t xml:space="preserve">preventing public access into operations areas, and </w:t>
            </w:r>
          </w:p>
          <w:p w14:paraId="4CEBCB16" w14:textId="77777777" w:rsidR="00BE36FB" w:rsidRPr="009B7B35" w:rsidRDefault="00BE36FB" w:rsidP="00BE36FB">
            <w:pPr>
              <w:pStyle w:val="TableText"/>
              <w:numPr>
                <w:ilvl w:val="0"/>
                <w:numId w:val="734"/>
              </w:numPr>
              <w:rPr>
                <w:rFonts w:cs="Arial"/>
              </w:rPr>
            </w:pPr>
            <w:r w:rsidRPr="009B7B35">
              <w:rPr>
                <w:rFonts w:cs="Arial"/>
              </w:rPr>
              <w:t xml:space="preserve">informing the public of the presence and nature of operations. </w:t>
            </w:r>
          </w:p>
        </w:tc>
        <w:tc>
          <w:tcPr>
            <w:tcW w:w="4678" w:type="dxa"/>
          </w:tcPr>
          <w:p w14:paraId="0CDAE429"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AO5.1</w:t>
            </w:r>
          </w:p>
          <w:p w14:paraId="446FB237" w14:textId="77777777" w:rsidR="00BE36FB" w:rsidRPr="009B7B35" w:rsidRDefault="00BE36FB" w:rsidP="001A7107">
            <w:pPr>
              <w:pStyle w:val="TableText"/>
              <w:rPr>
                <w:rFonts w:cs="Arial"/>
              </w:rPr>
            </w:pPr>
            <w:r w:rsidRPr="009B7B35">
              <w:rPr>
                <w:rFonts w:cs="Arial"/>
              </w:rPr>
              <w:t xml:space="preserve">Public entry is prevented through the provision of: </w:t>
            </w:r>
          </w:p>
          <w:p w14:paraId="0C14C01A" w14:textId="77777777" w:rsidR="00BE36FB" w:rsidRPr="009B7B35" w:rsidRDefault="00BE36FB" w:rsidP="00BE36FB">
            <w:pPr>
              <w:pStyle w:val="TableText"/>
              <w:numPr>
                <w:ilvl w:val="0"/>
                <w:numId w:val="703"/>
              </w:numPr>
              <w:rPr>
                <w:rFonts w:cs="Arial"/>
              </w:rPr>
            </w:pPr>
            <w:r w:rsidRPr="009B7B35">
              <w:rPr>
                <w:rFonts w:cs="Arial"/>
              </w:rPr>
              <w:t xml:space="preserve">security fencing with a minimum height of 1.8m on the perimeter of the site, and </w:t>
            </w:r>
          </w:p>
          <w:p w14:paraId="131A49F0" w14:textId="77777777" w:rsidR="00BE36FB" w:rsidRPr="009B7B35" w:rsidRDefault="00BE36FB" w:rsidP="00BE36FB">
            <w:pPr>
              <w:pStyle w:val="TableText"/>
              <w:numPr>
                <w:ilvl w:val="0"/>
                <w:numId w:val="703"/>
              </w:numPr>
              <w:rPr>
                <w:rFonts w:cs="Arial"/>
              </w:rPr>
            </w:pPr>
            <w:r w:rsidRPr="009B7B35">
              <w:rPr>
                <w:rFonts w:cs="Arial"/>
              </w:rPr>
              <w:t>security gates a minimum height of 1.8m at all access points.</w:t>
            </w:r>
          </w:p>
        </w:tc>
      </w:tr>
      <w:tr w:rsidR="00BE36FB" w:rsidRPr="009B7B35" w14:paraId="30EC0B84" w14:textId="77777777" w:rsidTr="001A7107">
        <w:trPr>
          <w:cantSplit/>
        </w:trPr>
        <w:tc>
          <w:tcPr>
            <w:tcW w:w="4678" w:type="dxa"/>
            <w:vMerge/>
          </w:tcPr>
          <w:p w14:paraId="163BE00A" w14:textId="77777777" w:rsidR="00BE36FB" w:rsidRPr="009B7B35" w:rsidRDefault="00BE36FB" w:rsidP="001A7107">
            <w:pPr>
              <w:pStyle w:val="TableText"/>
              <w:rPr>
                <w:rFonts w:cs="Arial"/>
              </w:rPr>
            </w:pPr>
          </w:p>
        </w:tc>
        <w:tc>
          <w:tcPr>
            <w:tcW w:w="4678" w:type="dxa"/>
          </w:tcPr>
          <w:p w14:paraId="120EAFBC"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AO5.2</w:t>
            </w:r>
          </w:p>
          <w:p w14:paraId="58787971" w14:textId="77777777" w:rsidR="00BE36FB" w:rsidRPr="009B7B35" w:rsidRDefault="00BE36FB" w:rsidP="001A7107">
            <w:pPr>
              <w:pStyle w:val="TableText"/>
              <w:rPr>
                <w:rFonts w:cs="Arial"/>
              </w:rPr>
            </w:pPr>
            <w:r w:rsidRPr="009B7B35">
              <w:rPr>
                <w:rFonts w:cs="Arial"/>
              </w:rPr>
              <w:t xml:space="preserve">Signs that inform of operations and safety hazards, are installed on: </w:t>
            </w:r>
          </w:p>
          <w:p w14:paraId="20D7BC18" w14:textId="77777777" w:rsidR="00BE36FB" w:rsidRPr="009B7B35" w:rsidRDefault="00BE36FB" w:rsidP="00BE36FB">
            <w:pPr>
              <w:pStyle w:val="TableText"/>
              <w:numPr>
                <w:ilvl w:val="0"/>
                <w:numId w:val="735"/>
              </w:numPr>
              <w:rPr>
                <w:rFonts w:cs="Arial"/>
              </w:rPr>
            </w:pPr>
            <w:r w:rsidRPr="009B7B35">
              <w:rPr>
                <w:rFonts w:cs="Arial"/>
              </w:rPr>
              <w:t xml:space="preserve">any public road adjoining the site, and </w:t>
            </w:r>
          </w:p>
          <w:p w14:paraId="0F57A89B" w14:textId="77777777" w:rsidR="00BE36FB" w:rsidRPr="009B7B35" w:rsidRDefault="00BE36FB" w:rsidP="00BE36FB">
            <w:pPr>
              <w:pStyle w:val="TableText"/>
              <w:numPr>
                <w:ilvl w:val="0"/>
                <w:numId w:val="735"/>
              </w:numPr>
              <w:rPr>
                <w:rFonts w:cs="Arial"/>
              </w:rPr>
            </w:pPr>
            <w:r w:rsidRPr="009B7B35">
              <w:rPr>
                <w:rFonts w:cs="Arial"/>
              </w:rPr>
              <w:t xml:space="preserve">gates/fencing surrounding the site. </w:t>
            </w:r>
          </w:p>
        </w:tc>
      </w:tr>
      <w:tr w:rsidR="00BE36FB" w:rsidRPr="009B7B35" w14:paraId="2D48E0FC" w14:textId="77777777" w:rsidTr="001A7107">
        <w:trPr>
          <w:cantSplit/>
        </w:trPr>
        <w:tc>
          <w:tcPr>
            <w:tcW w:w="4678" w:type="dxa"/>
            <w:gridSpan w:val="2"/>
            <w:shd w:val="clear" w:color="auto" w:fill="BFBFBF" w:themeFill="background1" w:themeFillShade="BF"/>
          </w:tcPr>
          <w:p w14:paraId="6A828C2F" w14:textId="77777777" w:rsidR="00BE36FB" w:rsidRPr="009B7B35" w:rsidRDefault="00BE36FB" w:rsidP="001A7107">
            <w:pPr>
              <w:pStyle w:val="Tableheading"/>
              <w:rPr>
                <w:rFonts w:ascii="Arial" w:hAnsi="Arial" w:cs="Arial"/>
                <w:szCs w:val="20"/>
              </w:rPr>
            </w:pPr>
            <w:r w:rsidRPr="009B7B35">
              <w:rPr>
                <w:rFonts w:ascii="Arial" w:hAnsi="Arial" w:cs="Arial"/>
                <w:szCs w:val="20"/>
              </w:rPr>
              <w:t>Haulage</w:t>
            </w:r>
          </w:p>
        </w:tc>
      </w:tr>
      <w:tr w:rsidR="00BE36FB" w:rsidRPr="009B7B35" w14:paraId="71AB116E" w14:textId="77777777" w:rsidTr="001A7107">
        <w:trPr>
          <w:cantSplit/>
        </w:trPr>
        <w:tc>
          <w:tcPr>
            <w:tcW w:w="4678" w:type="dxa"/>
          </w:tcPr>
          <w:p w14:paraId="5FEBEB54" w14:textId="77777777" w:rsidR="00BE36FB" w:rsidRPr="009B7B35" w:rsidRDefault="00BE36FB" w:rsidP="001A7107">
            <w:pPr>
              <w:pStyle w:val="TableText"/>
              <w:rPr>
                <w:rFonts w:cs="Arial"/>
                <w:b/>
              </w:rPr>
            </w:pPr>
            <w:r w:rsidRPr="009B7B35">
              <w:rPr>
                <w:rFonts w:cs="Arial"/>
                <w:b/>
              </w:rPr>
              <w:t>PO6</w:t>
            </w:r>
          </w:p>
          <w:p w14:paraId="78AFCFCD" w14:textId="77777777" w:rsidR="00BE36FB" w:rsidRPr="009B7B35" w:rsidRDefault="00BE36FB" w:rsidP="001A7107">
            <w:pPr>
              <w:pStyle w:val="TableText"/>
              <w:rPr>
                <w:rFonts w:cs="Arial"/>
              </w:rPr>
            </w:pPr>
            <w:r w:rsidRPr="009B7B35">
              <w:rPr>
                <w:rFonts w:cs="Arial"/>
              </w:rPr>
              <w:t>Extractive industry activities are located to ensure:</w:t>
            </w:r>
          </w:p>
          <w:p w14:paraId="0BC3E6F5" w14:textId="77777777" w:rsidR="00BE36FB" w:rsidRPr="009B7B35" w:rsidRDefault="00BE36FB" w:rsidP="00BE36FB">
            <w:pPr>
              <w:pStyle w:val="TableText"/>
              <w:numPr>
                <w:ilvl w:val="0"/>
                <w:numId w:val="736"/>
              </w:numPr>
              <w:rPr>
                <w:rFonts w:cs="Arial"/>
              </w:rPr>
            </w:pPr>
            <w:r w:rsidRPr="009B7B35">
              <w:rPr>
                <w:rFonts w:cs="Arial"/>
              </w:rPr>
              <w:t xml:space="preserve">the safe and efficient operation of vehicles transporting extractive materials, and </w:t>
            </w:r>
          </w:p>
          <w:p w14:paraId="758005AA" w14:textId="77777777" w:rsidR="00BE36FB" w:rsidRPr="009B7B35" w:rsidRDefault="00BE36FB" w:rsidP="00BE36FB">
            <w:pPr>
              <w:pStyle w:val="TableText"/>
              <w:numPr>
                <w:ilvl w:val="0"/>
                <w:numId w:val="736"/>
              </w:numPr>
              <w:rPr>
                <w:rFonts w:cs="Arial"/>
              </w:rPr>
            </w:pPr>
            <w:r w:rsidRPr="009B7B35">
              <w:rPr>
                <w:rFonts w:cs="Arial"/>
              </w:rPr>
              <w:t xml:space="preserve">extractive industry haulage vehicles access the site on designated haulage routes. </w:t>
            </w:r>
          </w:p>
          <w:p w14:paraId="4B664198" w14:textId="77777777" w:rsidR="00BE36FB" w:rsidRPr="009B7B35" w:rsidRDefault="00BE36FB" w:rsidP="001A7107">
            <w:pPr>
              <w:pStyle w:val="Notes"/>
              <w:rPr>
                <w:rFonts w:cs="Arial"/>
                <w:sz w:val="20"/>
                <w:szCs w:val="20"/>
              </w:rPr>
            </w:pPr>
            <w:r w:rsidRPr="009B7B35">
              <w:rPr>
                <w:rFonts w:cs="Arial"/>
                <w:sz w:val="20"/>
                <w:szCs w:val="20"/>
              </w:rPr>
              <w:t>Note—Designated haulage routes are identified on the Extractive resources and minerals overlay map.</w:t>
            </w:r>
          </w:p>
        </w:tc>
        <w:tc>
          <w:tcPr>
            <w:tcW w:w="4678" w:type="dxa"/>
          </w:tcPr>
          <w:p w14:paraId="2CEF415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ACFF2E5" w14:textId="77777777" w:rsidTr="001A7107">
        <w:trPr>
          <w:cantSplit/>
        </w:trPr>
        <w:tc>
          <w:tcPr>
            <w:tcW w:w="4678" w:type="dxa"/>
            <w:gridSpan w:val="2"/>
            <w:shd w:val="clear" w:color="auto" w:fill="BFBFBF" w:themeFill="background1" w:themeFillShade="BF"/>
          </w:tcPr>
          <w:p w14:paraId="4AC88CD7" w14:textId="77777777" w:rsidR="00BE36FB" w:rsidRPr="009B7B35" w:rsidRDefault="00BE36FB" w:rsidP="001A7107">
            <w:pPr>
              <w:pStyle w:val="Tableheading"/>
              <w:rPr>
                <w:rFonts w:ascii="Arial" w:hAnsi="Arial" w:cs="Arial"/>
                <w:szCs w:val="20"/>
              </w:rPr>
            </w:pPr>
            <w:r w:rsidRPr="009B7B35">
              <w:rPr>
                <w:rFonts w:ascii="Arial" w:hAnsi="Arial" w:cs="Arial"/>
                <w:szCs w:val="20"/>
              </w:rPr>
              <w:t>Rehabilitation</w:t>
            </w:r>
          </w:p>
        </w:tc>
      </w:tr>
      <w:tr w:rsidR="00BE36FB" w:rsidRPr="009B7B35" w14:paraId="7AA8D846" w14:textId="77777777" w:rsidTr="001A7107">
        <w:trPr>
          <w:cantSplit/>
        </w:trPr>
        <w:tc>
          <w:tcPr>
            <w:tcW w:w="4678" w:type="dxa"/>
          </w:tcPr>
          <w:p w14:paraId="66A5E60C" w14:textId="77777777" w:rsidR="00BE36FB" w:rsidRPr="009B7B35" w:rsidRDefault="00BE36FB" w:rsidP="001A7107">
            <w:pPr>
              <w:pStyle w:val="TableText"/>
              <w:rPr>
                <w:rFonts w:cs="Arial"/>
                <w:b/>
              </w:rPr>
            </w:pPr>
            <w:r w:rsidRPr="009B7B35">
              <w:rPr>
                <w:rFonts w:cs="Arial"/>
                <w:b/>
              </w:rPr>
              <w:t>PO7</w:t>
            </w:r>
          </w:p>
          <w:p w14:paraId="057756AB" w14:textId="77777777" w:rsidR="00BE36FB" w:rsidRPr="009B7B35" w:rsidRDefault="00BE36FB" w:rsidP="001A7107">
            <w:pPr>
              <w:pStyle w:val="TableText"/>
              <w:rPr>
                <w:rFonts w:cs="Arial"/>
              </w:rPr>
            </w:pPr>
            <w:r w:rsidRPr="009B7B35">
              <w:rPr>
                <w:rFonts w:cs="Arial"/>
              </w:rPr>
              <w:t>Progressive and staged rehabilitation of completed extraction sites must be undertaken that incorporates:</w:t>
            </w:r>
          </w:p>
          <w:p w14:paraId="4E449EB5" w14:textId="77777777" w:rsidR="00BE36FB" w:rsidRPr="009B7B35" w:rsidRDefault="00BE36FB" w:rsidP="00BE36FB">
            <w:pPr>
              <w:pStyle w:val="TableText"/>
              <w:numPr>
                <w:ilvl w:val="0"/>
                <w:numId w:val="737"/>
              </w:numPr>
              <w:rPr>
                <w:rFonts w:cs="Arial"/>
              </w:rPr>
            </w:pPr>
            <w:r w:rsidRPr="009B7B35">
              <w:rPr>
                <w:rFonts w:cs="Arial"/>
              </w:rPr>
              <w:t>decontamination of both soil and water</w:t>
            </w:r>
          </w:p>
          <w:p w14:paraId="3989759F" w14:textId="77777777" w:rsidR="00BE36FB" w:rsidRPr="009B7B35" w:rsidRDefault="00BE36FB" w:rsidP="00BE36FB">
            <w:pPr>
              <w:pStyle w:val="TableText"/>
              <w:numPr>
                <w:ilvl w:val="0"/>
                <w:numId w:val="737"/>
              </w:numPr>
              <w:rPr>
                <w:rFonts w:cs="Arial"/>
              </w:rPr>
            </w:pPr>
            <w:r w:rsidRPr="009B7B35">
              <w:rPr>
                <w:rFonts w:cs="Arial"/>
              </w:rPr>
              <w:t>land profiling to establish useable and stable landforms and soil profiles</w:t>
            </w:r>
          </w:p>
          <w:p w14:paraId="697235DE" w14:textId="77777777" w:rsidR="00BE36FB" w:rsidRPr="009B7B35" w:rsidRDefault="00BE36FB" w:rsidP="00BE36FB">
            <w:pPr>
              <w:pStyle w:val="TableText"/>
              <w:numPr>
                <w:ilvl w:val="0"/>
                <w:numId w:val="737"/>
              </w:numPr>
              <w:rPr>
                <w:rFonts w:cs="Arial"/>
              </w:rPr>
            </w:pPr>
            <w:r w:rsidRPr="009B7B35">
              <w:rPr>
                <w:rFonts w:cs="Arial"/>
              </w:rPr>
              <w:t>revegetation with native plant species, and</w:t>
            </w:r>
          </w:p>
          <w:p w14:paraId="5D896F12" w14:textId="77777777" w:rsidR="00BE36FB" w:rsidRPr="009B7B35" w:rsidRDefault="00BE36FB" w:rsidP="00BE36FB">
            <w:pPr>
              <w:pStyle w:val="TableText"/>
              <w:numPr>
                <w:ilvl w:val="0"/>
                <w:numId w:val="737"/>
              </w:numPr>
              <w:rPr>
                <w:rFonts w:cs="Arial"/>
              </w:rPr>
            </w:pPr>
            <w:r w:rsidRPr="009B7B35">
              <w:rPr>
                <w:rFonts w:cs="Arial"/>
              </w:rPr>
              <w:t>monitoring and maintenance of works and rehabilitation sites.</w:t>
            </w:r>
          </w:p>
        </w:tc>
        <w:tc>
          <w:tcPr>
            <w:tcW w:w="4678" w:type="dxa"/>
          </w:tcPr>
          <w:p w14:paraId="7C76F52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CB3DA76" w14:textId="77777777" w:rsidTr="001A7107">
        <w:trPr>
          <w:cantSplit/>
        </w:trPr>
        <w:tc>
          <w:tcPr>
            <w:tcW w:w="4678" w:type="dxa"/>
          </w:tcPr>
          <w:p w14:paraId="3A7DEB4B" w14:textId="77777777" w:rsidR="00BE36FB" w:rsidRPr="009B7B35" w:rsidRDefault="00BE36FB" w:rsidP="001A7107">
            <w:pPr>
              <w:pStyle w:val="TableText"/>
              <w:rPr>
                <w:rFonts w:cs="Arial"/>
                <w:b/>
              </w:rPr>
            </w:pPr>
            <w:r w:rsidRPr="009B7B35">
              <w:rPr>
                <w:rFonts w:cs="Arial"/>
                <w:b/>
              </w:rPr>
              <w:t>PO8</w:t>
            </w:r>
          </w:p>
          <w:p w14:paraId="0BB86B73" w14:textId="77777777" w:rsidR="00BE36FB" w:rsidRPr="009B7B35" w:rsidRDefault="00BE36FB" w:rsidP="001A7107">
            <w:pPr>
              <w:pStyle w:val="TableText"/>
              <w:rPr>
                <w:rFonts w:cs="Arial"/>
              </w:rPr>
            </w:pPr>
            <w:r w:rsidRPr="009B7B35">
              <w:rPr>
                <w:rFonts w:cs="Arial"/>
              </w:rPr>
              <w:t xml:space="preserve">Rehabilitation ensures created water bodies will be useable by the establishment of suitable water quality, hydraulic and bed and bank conditions. </w:t>
            </w:r>
          </w:p>
        </w:tc>
        <w:tc>
          <w:tcPr>
            <w:tcW w:w="4678" w:type="dxa"/>
          </w:tcPr>
          <w:p w14:paraId="3CFECE07" w14:textId="77777777" w:rsidR="00BE36FB" w:rsidRPr="009B7B35" w:rsidRDefault="00BE36FB" w:rsidP="001A7107">
            <w:pPr>
              <w:pStyle w:val="TableText"/>
              <w:rPr>
                <w:rFonts w:cs="Arial"/>
                <w:b/>
              </w:rPr>
            </w:pPr>
            <w:r w:rsidRPr="009B7B35">
              <w:rPr>
                <w:rFonts w:cs="Arial"/>
                <w:b/>
              </w:rPr>
              <w:t>AO8</w:t>
            </w:r>
          </w:p>
          <w:p w14:paraId="1632C5AD" w14:textId="77777777" w:rsidR="00BE36FB" w:rsidRPr="009B7B35" w:rsidRDefault="00BE36FB" w:rsidP="001A7107">
            <w:pPr>
              <w:pStyle w:val="TableText"/>
              <w:rPr>
                <w:rFonts w:cs="Arial"/>
              </w:rPr>
            </w:pPr>
            <w:r w:rsidRPr="009B7B35">
              <w:rPr>
                <w:rFonts w:cs="Arial"/>
              </w:rPr>
              <w:t>Created water bodies:</w:t>
            </w:r>
          </w:p>
          <w:p w14:paraId="34D63D3D" w14:textId="77777777" w:rsidR="00BE36FB" w:rsidRPr="009B7B35" w:rsidRDefault="00BE36FB" w:rsidP="00BE36FB">
            <w:pPr>
              <w:pStyle w:val="TableText"/>
              <w:numPr>
                <w:ilvl w:val="0"/>
                <w:numId w:val="738"/>
              </w:numPr>
              <w:rPr>
                <w:rFonts w:cs="Arial"/>
              </w:rPr>
            </w:pPr>
            <w:r w:rsidRPr="009B7B35">
              <w:rPr>
                <w:rFonts w:cs="Arial"/>
              </w:rPr>
              <w:t>have a depth and bed and bank profile suitable to establish and sustain aquatic vegetation</w:t>
            </w:r>
          </w:p>
          <w:p w14:paraId="19F81A44" w14:textId="77777777" w:rsidR="00BE36FB" w:rsidRPr="009B7B35" w:rsidRDefault="00BE36FB" w:rsidP="00BE36FB">
            <w:pPr>
              <w:pStyle w:val="TableText"/>
              <w:numPr>
                <w:ilvl w:val="0"/>
                <w:numId w:val="738"/>
              </w:numPr>
              <w:rPr>
                <w:rFonts w:cs="Arial"/>
              </w:rPr>
            </w:pPr>
            <w:r w:rsidRPr="009B7B35">
              <w:rPr>
                <w:rFonts w:cs="Arial"/>
              </w:rPr>
              <w:t>establish water quality suitable to establish and sustain aquatic vegetation and animal, and</w:t>
            </w:r>
          </w:p>
          <w:p w14:paraId="5E1452A8" w14:textId="77777777" w:rsidR="00BE36FB" w:rsidRPr="009B7B35" w:rsidRDefault="00BE36FB" w:rsidP="00BE36FB">
            <w:pPr>
              <w:pStyle w:val="TableText"/>
              <w:numPr>
                <w:ilvl w:val="0"/>
                <w:numId w:val="738"/>
              </w:numPr>
              <w:rPr>
                <w:rFonts w:cs="Arial"/>
              </w:rPr>
            </w:pPr>
            <w:r w:rsidRPr="009B7B35">
              <w:rPr>
                <w:rFonts w:cs="Arial"/>
              </w:rPr>
              <w:t>are revegetated and stocked to establish native aquatic vegetation and fauna communities and riparian vegetation.</w:t>
            </w:r>
          </w:p>
        </w:tc>
      </w:tr>
    </w:tbl>
    <w:p w14:paraId="2AD0BC22" w14:textId="77777777" w:rsidR="00BE36FB" w:rsidRPr="009B7B35" w:rsidRDefault="00BE36FB" w:rsidP="001A7107">
      <w:pPr>
        <w:rPr>
          <w:rFonts w:ascii="Arial" w:hAnsi="Arial" w:cs="Arial"/>
          <w:sz w:val="20"/>
          <w:szCs w:val="20"/>
        </w:rPr>
      </w:pPr>
    </w:p>
    <w:p w14:paraId="24CE20F8" w14:textId="77777777" w:rsidR="00BE36FB" w:rsidRPr="009B7B35" w:rsidRDefault="00BE36FB" w:rsidP="006776DA">
      <w:pPr>
        <w:pStyle w:val="Heading3"/>
        <w:numPr>
          <w:ilvl w:val="2"/>
          <w:numId w:val="883"/>
        </w:numPr>
        <w:spacing w:before="240"/>
        <w:rPr>
          <w:rFonts w:ascii="Arial" w:hAnsi="Arial"/>
          <w:sz w:val="20"/>
          <w:szCs w:val="20"/>
        </w:rPr>
      </w:pPr>
      <w:bookmarkStart w:id="262" w:name="_Toc342561915"/>
      <w:bookmarkStart w:id="263" w:name="_Toc352244821"/>
      <w:bookmarkStart w:id="264" w:name="_Toc205367396"/>
      <w:r w:rsidRPr="009B7B35">
        <w:rPr>
          <w:rFonts w:ascii="Arial" w:hAnsi="Arial"/>
          <w:sz w:val="20"/>
          <w:szCs w:val="20"/>
        </w:rPr>
        <w:t>Home based business</w:t>
      </w:r>
      <w:bookmarkEnd w:id="262"/>
      <w:bookmarkEnd w:id="263"/>
      <w:bookmarkEnd w:id="264"/>
    </w:p>
    <w:p w14:paraId="12D3A1EA" w14:textId="77777777" w:rsidR="00BE36FB" w:rsidRPr="009B7B35" w:rsidRDefault="00BE36FB" w:rsidP="006776DA">
      <w:pPr>
        <w:pStyle w:val="Heading4"/>
        <w:numPr>
          <w:ilvl w:val="3"/>
          <w:numId w:val="883"/>
        </w:numPr>
        <w:rPr>
          <w:rFonts w:ascii="Arial" w:hAnsi="Arial" w:cs="Arial"/>
          <w:sz w:val="20"/>
          <w:szCs w:val="20"/>
        </w:rPr>
      </w:pPr>
      <w:bookmarkStart w:id="265" w:name="_Toc342561916"/>
      <w:r w:rsidRPr="009B7B35">
        <w:rPr>
          <w:rFonts w:ascii="Arial" w:hAnsi="Arial" w:cs="Arial"/>
          <w:sz w:val="20"/>
          <w:szCs w:val="20"/>
        </w:rPr>
        <w:t>Application</w:t>
      </w:r>
      <w:bookmarkEnd w:id="265"/>
    </w:p>
    <w:p w14:paraId="5BF73CFD"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a material change of use for home based business where the code is identified as applicable in the tables of assessment. When using this code, reference should be made to section 5.3.2 and where applicable, section 5.3.3 located in Part 5.</w:t>
      </w:r>
    </w:p>
    <w:p w14:paraId="36EB8B7B" w14:textId="77777777" w:rsidR="00BE36FB" w:rsidRPr="009B7B35" w:rsidRDefault="00BE36FB" w:rsidP="006776DA">
      <w:pPr>
        <w:pStyle w:val="Heading4"/>
        <w:numPr>
          <w:ilvl w:val="3"/>
          <w:numId w:val="883"/>
        </w:numPr>
        <w:rPr>
          <w:rFonts w:ascii="Arial" w:hAnsi="Arial" w:cs="Arial"/>
          <w:sz w:val="20"/>
          <w:szCs w:val="20"/>
        </w:rPr>
      </w:pPr>
      <w:bookmarkStart w:id="266" w:name="_Toc342561917"/>
      <w:r w:rsidRPr="009B7B35">
        <w:rPr>
          <w:rFonts w:ascii="Arial" w:hAnsi="Arial" w:cs="Arial"/>
          <w:sz w:val="20"/>
          <w:szCs w:val="20"/>
        </w:rPr>
        <w:t>Purpose</w:t>
      </w:r>
      <w:bookmarkEnd w:id="266"/>
    </w:p>
    <w:p w14:paraId="0552B1CC" w14:textId="77777777" w:rsidR="00BE36FB" w:rsidRPr="009B7B35" w:rsidRDefault="00BE36FB" w:rsidP="00BE36FB">
      <w:pPr>
        <w:numPr>
          <w:ilvl w:val="0"/>
          <w:numId w:val="763"/>
        </w:numPr>
        <w:rPr>
          <w:rFonts w:ascii="Arial" w:hAnsi="Arial" w:cs="Arial"/>
          <w:sz w:val="20"/>
          <w:szCs w:val="20"/>
        </w:rPr>
      </w:pPr>
      <w:r w:rsidRPr="009B7B35">
        <w:rPr>
          <w:rFonts w:ascii="Arial" w:hAnsi="Arial" w:cs="Arial"/>
          <w:sz w:val="20"/>
          <w:szCs w:val="20"/>
        </w:rPr>
        <w:t>The purpose of the home based business use code is to ensure that home based business uses are subordinate to a dwelling and residential activity and do not adversely impact on the amenity of surrounding residential activities.</w:t>
      </w:r>
    </w:p>
    <w:p w14:paraId="507B96DB" w14:textId="77777777" w:rsidR="00BE36FB" w:rsidRPr="009B7B35" w:rsidRDefault="00BE36FB" w:rsidP="00BE36FB">
      <w:pPr>
        <w:numPr>
          <w:ilvl w:val="0"/>
          <w:numId w:val="763"/>
        </w:numPr>
        <w:rPr>
          <w:rFonts w:ascii="Arial" w:hAnsi="Arial" w:cs="Arial"/>
          <w:sz w:val="20"/>
          <w:szCs w:val="20"/>
        </w:rPr>
      </w:pPr>
      <w:r w:rsidRPr="009B7B35">
        <w:rPr>
          <w:rFonts w:ascii="Arial" w:hAnsi="Arial" w:cs="Arial"/>
          <w:sz w:val="20"/>
          <w:szCs w:val="20"/>
        </w:rPr>
        <w:t>The purpose of the code will be achieved through the following overall outcomes:</w:t>
      </w:r>
    </w:p>
    <w:p w14:paraId="30572ECB" w14:textId="77777777" w:rsidR="00BE36FB" w:rsidRPr="009B7B35" w:rsidRDefault="00BE36FB" w:rsidP="00BE36FB">
      <w:pPr>
        <w:numPr>
          <w:ilvl w:val="1"/>
          <w:numId w:val="763"/>
        </w:numPr>
        <w:rPr>
          <w:rFonts w:ascii="Arial" w:hAnsi="Arial" w:cs="Arial"/>
          <w:sz w:val="20"/>
          <w:szCs w:val="20"/>
        </w:rPr>
      </w:pPr>
      <w:r w:rsidRPr="009B7B35">
        <w:rPr>
          <w:rFonts w:ascii="Arial" w:hAnsi="Arial" w:cs="Arial"/>
          <w:sz w:val="20"/>
          <w:szCs w:val="20"/>
        </w:rPr>
        <w:t>The scale and intensity of development is low impact.</w:t>
      </w:r>
    </w:p>
    <w:p w14:paraId="1BAAF66B" w14:textId="77777777" w:rsidR="00BE36FB" w:rsidRPr="009B7B35" w:rsidRDefault="00BE36FB" w:rsidP="00BE36FB">
      <w:pPr>
        <w:numPr>
          <w:ilvl w:val="1"/>
          <w:numId w:val="763"/>
        </w:numPr>
        <w:rPr>
          <w:rFonts w:ascii="Arial" w:hAnsi="Arial" w:cs="Arial"/>
          <w:sz w:val="20"/>
          <w:szCs w:val="20"/>
        </w:rPr>
      </w:pPr>
      <w:r w:rsidRPr="009B7B35">
        <w:rPr>
          <w:rFonts w:ascii="Arial" w:hAnsi="Arial" w:cs="Arial"/>
          <w:sz w:val="20"/>
          <w:szCs w:val="20"/>
        </w:rPr>
        <w:t>Development does not compromise the viability of designated centres and employment areas.</w:t>
      </w:r>
    </w:p>
    <w:p w14:paraId="08BC2417" w14:textId="77777777" w:rsidR="00BE36FB" w:rsidRPr="009B7B35" w:rsidRDefault="00BE36FB" w:rsidP="00BE36FB">
      <w:pPr>
        <w:numPr>
          <w:ilvl w:val="1"/>
          <w:numId w:val="763"/>
        </w:numPr>
        <w:rPr>
          <w:rFonts w:ascii="Arial" w:hAnsi="Arial" w:cs="Arial"/>
          <w:sz w:val="20"/>
          <w:szCs w:val="20"/>
        </w:rPr>
      </w:pPr>
      <w:r w:rsidRPr="009B7B35">
        <w:rPr>
          <w:rFonts w:ascii="Arial" w:hAnsi="Arial" w:cs="Arial"/>
          <w:sz w:val="20"/>
          <w:szCs w:val="20"/>
        </w:rPr>
        <w:t>Development does not adversely impact on the amenity of adjoining premises.</w:t>
      </w:r>
    </w:p>
    <w:p w14:paraId="34C14931" w14:textId="77777777" w:rsidR="00BE36FB" w:rsidRPr="009B7B35" w:rsidRDefault="00BE36FB" w:rsidP="00BE36FB">
      <w:pPr>
        <w:numPr>
          <w:ilvl w:val="1"/>
          <w:numId w:val="763"/>
        </w:numPr>
        <w:rPr>
          <w:rFonts w:ascii="Arial" w:hAnsi="Arial" w:cs="Arial"/>
          <w:sz w:val="20"/>
          <w:szCs w:val="20"/>
        </w:rPr>
      </w:pPr>
      <w:r w:rsidRPr="009B7B35">
        <w:rPr>
          <w:rFonts w:ascii="Arial" w:hAnsi="Arial" w:cs="Arial"/>
          <w:sz w:val="20"/>
          <w:szCs w:val="20"/>
        </w:rPr>
        <w:t>Development maintains the character of residential neighbourhoods.</w:t>
      </w:r>
    </w:p>
    <w:p w14:paraId="7621B789" w14:textId="77777777" w:rsidR="00BE36FB" w:rsidRPr="009B7B35" w:rsidRDefault="00BE36FB" w:rsidP="006776DA">
      <w:pPr>
        <w:pStyle w:val="Heading4"/>
        <w:numPr>
          <w:ilvl w:val="3"/>
          <w:numId w:val="883"/>
        </w:numPr>
        <w:rPr>
          <w:rFonts w:ascii="Arial" w:hAnsi="Arial" w:cs="Arial"/>
          <w:sz w:val="20"/>
          <w:szCs w:val="20"/>
        </w:rPr>
      </w:pPr>
      <w:bookmarkStart w:id="267" w:name="_Toc342561918"/>
      <w:r w:rsidRPr="009B7B35">
        <w:rPr>
          <w:rFonts w:ascii="Arial" w:hAnsi="Arial" w:cs="Arial"/>
          <w:sz w:val="20"/>
          <w:szCs w:val="20"/>
        </w:rPr>
        <w:t xml:space="preserve">Assessment </w:t>
      </w:r>
      <w:bookmarkEnd w:id="267"/>
      <w:r w:rsidRPr="009B7B35">
        <w:rPr>
          <w:rFonts w:ascii="Arial" w:hAnsi="Arial" w:cs="Arial"/>
          <w:sz w:val="20"/>
          <w:szCs w:val="20"/>
        </w:rPr>
        <w:t>benchmarks</w:t>
      </w:r>
    </w:p>
    <w:p w14:paraId="068B01B4" w14:textId="77777777" w:rsidR="00BE36FB" w:rsidRPr="009B7B35" w:rsidRDefault="00BE36FB" w:rsidP="001A7107">
      <w:pPr>
        <w:pStyle w:val="Heading5"/>
        <w:numPr>
          <w:ilvl w:val="0"/>
          <w:numId w:val="0"/>
        </w:numPr>
        <w:rPr>
          <w:rFonts w:cs="Arial"/>
          <w:szCs w:val="20"/>
        </w:rPr>
      </w:pPr>
      <w:bookmarkStart w:id="268" w:name="_Toc342561919"/>
      <w:r w:rsidRPr="009B7B35">
        <w:rPr>
          <w:rFonts w:cs="Arial"/>
          <w:szCs w:val="20"/>
        </w:rPr>
        <w:t>Table 9.3.4.3.1—</w:t>
      </w:r>
      <w:bookmarkEnd w:id="268"/>
      <w:r w:rsidRPr="009B7B35">
        <w:rPr>
          <w:rFonts w:cs="Arial"/>
          <w:szCs w:val="20"/>
        </w:rPr>
        <w:t xml:space="preserve">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14:paraId="54ED52CC"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1DCCFE7B" w14:textId="77777777" w:rsidR="00BE36FB" w:rsidRPr="009B7B35" w:rsidRDefault="00BE36FB" w:rsidP="001A7107">
            <w:pPr>
              <w:pStyle w:val="TableText"/>
              <w:rPr>
                <w:rFonts w:cs="Arial"/>
              </w:rPr>
            </w:pPr>
            <w:r w:rsidRPr="009B7B35">
              <w:rPr>
                <w:rFonts w:cs="Arial"/>
              </w:rPr>
              <w:t>Performance outcomes</w:t>
            </w:r>
          </w:p>
        </w:tc>
        <w:tc>
          <w:tcPr>
            <w:tcW w:w="4678" w:type="dxa"/>
          </w:tcPr>
          <w:p w14:paraId="5C4B6EFA" w14:textId="77777777" w:rsidR="00BE36FB" w:rsidRPr="009B7B35" w:rsidRDefault="00BE36FB" w:rsidP="001A7107">
            <w:pPr>
              <w:pStyle w:val="TableText"/>
              <w:rPr>
                <w:rFonts w:cs="Arial"/>
              </w:rPr>
            </w:pPr>
            <w:r w:rsidRPr="009B7B35">
              <w:rPr>
                <w:rFonts w:cs="Arial"/>
              </w:rPr>
              <w:t>Acceptable outcomes</w:t>
            </w:r>
          </w:p>
        </w:tc>
      </w:tr>
      <w:tr w:rsidR="00BE36FB" w:rsidRPr="009B7B35" w14:paraId="7EF1CED9" w14:textId="77777777" w:rsidTr="001A7107">
        <w:trPr>
          <w:cantSplit/>
        </w:trPr>
        <w:tc>
          <w:tcPr>
            <w:tcW w:w="9356" w:type="dxa"/>
            <w:gridSpan w:val="2"/>
            <w:shd w:val="clear" w:color="auto" w:fill="BFBFBF" w:themeFill="background1" w:themeFillShade="BF"/>
          </w:tcPr>
          <w:p w14:paraId="2F8E3E1E" w14:textId="77777777" w:rsidR="00BE36FB" w:rsidRPr="009B7B35" w:rsidRDefault="00BE36FB" w:rsidP="001A7107">
            <w:pPr>
              <w:pStyle w:val="Tableheading"/>
              <w:rPr>
                <w:rFonts w:ascii="Arial" w:hAnsi="Arial" w:cs="Arial"/>
                <w:szCs w:val="20"/>
              </w:rPr>
            </w:pPr>
            <w:r w:rsidRPr="009B7B35">
              <w:rPr>
                <w:rFonts w:ascii="Arial" w:hAnsi="Arial" w:cs="Arial"/>
                <w:szCs w:val="20"/>
              </w:rPr>
              <w:t>For Accepted development subject to requirements and assessable development</w:t>
            </w:r>
          </w:p>
        </w:tc>
      </w:tr>
      <w:tr w:rsidR="00BE36FB" w:rsidRPr="009B7B35" w14:paraId="76392E4A" w14:textId="77777777" w:rsidTr="001A7107">
        <w:trPr>
          <w:cantSplit/>
        </w:trPr>
        <w:tc>
          <w:tcPr>
            <w:tcW w:w="4678" w:type="dxa"/>
            <w:vMerge w:val="restart"/>
          </w:tcPr>
          <w:p w14:paraId="1D9965C0" w14:textId="77777777" w:rsidR="00BE36FB" w:rsidRPr="009B7B35" w:rsidRDefault="00BE36FB" w:rsidP="001A7107">
            <w:pPr>
              <w:pStyle w:val="TableText"/>
              <w:rPr>
                <w:rFonts w:cs="Arial"/>
                <w:b/>
              </w:rPr>
            </w:pPr>
            <w:r w:rsidRPr="009B7B35">
              <w:rPr>
                <w:rFonts w:cs="Arial"/>
                <w:b/>
              </w:rPr>
              <w:t>PO1</w:t>
            </w:r>
          </w:p>
          <w:p w14:paraId="20E1479A" w14:textId="77777777" w:rsidR="00BE36FB" w:rsidRPr="009B7B35" w:rsidRDefault="00BE36FB" w:rsidP="001A7107">
            <w:pPr>
              <w:pStyle w:val="TableText"/>
              <w:rPr>
                <w:rFonts w:cs="Arial"/>
              </w:rPr>
            </w:pPr>
            <w:r w:rsidRPr="009B7B35">
              <w:rPr>
                <w:rFonts w:cs="Arial"/>
              </w:rPr>
              <w:t>Development is of a scale and intensity similar to surrounding dwellings.</w:t>
            </w:r>
          </w:p>
        </w:tc>
        <w:tc>
          <w:tcPr>
            <w:tcW w:w="4678" w:type="dxa"/>
          </w:tcPr>
          <w:p w14:paraId="7D84920B" w14:textId="77777777" w:rsidR="00BE36FB" w:rsidRPr="009B7B35" w:rsidRDefault="00BE36FB" w:rsidP="001A7107">
            <w:pPr>
              <w:pStyle w:val="TableText"/>
              <w:rPr>
                <w:rFonts w:cs="Arial"/>
                <w:b/>
              </w:rPr>
            </w:pPr>
            <w:r w:rsidRPr="009B7B35">
              <w:rPr>
                <w:rFonts w:cs="Arial"/>
                <w:b/>
              </w:rPr>
              <w:t>AO1.1</w:t>
            </w:r>
          </w:p>
          <w:p w14:paraId="61E3AB8D" w14:textId="77777777" w:rsidR="00BE36FB" w:rsidRPr="009B7B35" w:rsidRDefault="00BE36FB" w:rsidP="001A7107">
            <w:pPr>
              <w:pStyle w:val="TableText"/>
              <w:rPr>
                <w:rFonts w:cs="Arial"/>
              </w:rPr>
            </w:pPr>
            <w:r w:rsidRPr="009B7B35">
              <w:rPr>
                <w:rFonts w:cs="Arial"/>
              </w:rPr>
              <w:t>Development has a maximum GFA of 100m</w:t>
            </w:r>
            <w:r w:rsidRPr="009B7B35">
              <w:rPr>
                <w:rFonts w:cs="Arial"/>
                <w:vertAlign w:val="superscript"/>
              </w:rPr>
              <w:t>2</w:t>
            </w:r>
            <w:r w:rsidRPr="009B7B35">
              <w:rPr>
                <w:rFonts w:cs="Arial"/>
              </w:rPr>
              <w:t>.</w:t>
            </w:r>
          </w:p>
        </w:tc>
      </w:tr>
      <w:tr w:rsidR="00BE36FB" w:rsidRPr="009B7B35" w14:paraId="66122B63" w14:textId="77777777" w:rsidTr="001A7107">
        <w:trPr>
          <w:cantSplit/>
        </w:trPr>
        <w:tc>
          <w:tcPr>
            <w:tcW w:w="4678" w:type="dxa"/>
            <w:vMerge/>
          </w:tcPr>
          <w:p w14:paraId="0AB1C692" w14:textId="77777777" w:rsidR="00BE36FB" w:rsidRPr="009B7B35" w:rsidRDefault="00BE36FB" w:rsidP="001A7107">
            <w:pPr>
              <w:pStyle w:val="TableText"/>
              <w:rPr>
                <w:rFonts w:cs="Arial"/>
              </w:rPr>
            </w:pPr>
          </w:p>
        </w:tc>
        <w:tc>
          <w:tcPr>
            <w:tcW w:w="4678" w:type="dxa"/>
          </w:tcPr>
          <w:p w14:paraId="611B81EA" w14:textId="77777777" w:rsidR="00BE36FB" w:rsidRPr="009B7B35" w:rsidRDefault="00BE36FB" w:rsidP="001A7107">
            <w:pPr>
              <w:pStyle w:val="TableText"/>
              <w:rPr>
                <w:rFonts w:cs="Arial"/>
                <w:b/>
              </w:rPr>
            </w:pPr>
            <w:r w:rsidRPr="009B7B35">
              <w:rPr>
                <w:rFonts w:cs="Arial"/>
                <w:b/>
              </w:rPr>
              <w:t>AO1.2</w:t>
            </w:r>
          </w:p>
          <w:p w14:paraId="7753D4A8" w14:textId="77777777" w:rsidR="00BE36FB" w:rsidRPr="009B7B35" w:rsidRDefault="00BE36FB" w:rsidP="001A7107">
            <w:pPr>
              <w:pStyle w:val="TableText"/>
              <w:rPr>
                <w:rFonts w:cs="Arial"/>
              </w:rPr>
            </w:pPr>
            <w:r w:rsidRPr="009B7B35">
              <w:rPr>
                <w:rFonts w:cs="Arial"/>
              </w:rPr>
              <w:t>Development generates a demand for no more than 10 vehicular trips to and from the site per day.</w:t>
            </w:r>
          </w:p>
        </w:tc>
      </w:tr>
      <w:tr w:rsidR="00BE36FB" w:rsidRPr="009B7B35" w14:paraId="2AC8561B" w14:textId="77777777" w:rsidTr="001A7107">
        <w:trPr>
          <w:cantSplit/>
        </w:trPr>
        <w:tc>
          <w:tcPr>
            <w:tcW w:w="4678" w:type="dxa"/>
            <w:vMerge/>
          </w:tcPr>
          <w:p w14:paraId="621766A1" w14:textId="77777777" w:rsidR="00BE36FB" w:rsidRPr="009B7B35" w:rsidRDefault="00BE36FB" w:rsidP="001A7107">
            <w:pPr>
              <w:pStyle w:val="TableText"/>
              <w:rPr>
                <w:rFonts w:cs="Arial"/>
              </w:rPr>
            </w:pPr>
          </w:p>
        </w:tc>
        <w:tc>
          <w:tcPr>
            <w:tcW w:w="4678" w:type="dxa"/>
          </w:tcPr>
          <w:p w14:paraId="36C91D62" w14:textId="77777777" w:rsidR="00BE36FB" w:rsidRPr="009B7B35" w:rsidRDefault="00BE36FB" w:rsidP="001A7107">
            <w:pPr>
              <w:pStyle w:val="TableText"/>
              <w:rPr>
                <w:rFonts w:cs="Arial"/>
                <w:b/>
              </w:rPr>
            </w:pPr>
            <w:r w:rsidRPr="009B7B35">
              <w:rPr>
                <w:rFonts w:cs="Arial"/>
                <w:b/>
              </w:rPr>
              <w:t>AO1.3</w:t>
            </w:r>
          </w:p>
          <w:p w14:paraId="5C790BD8" w14:textId="77777777" w:rsidR="00BE36FB" w:rsidRPr="009B7B35" w:rsidRDefault="00BE36FB" w:rsidP="001A7107">
            <w:pPr>
              <w:pStyle w:val="TableText"/>
              <w:rPr>
                <w:rFonts w:cs="Arial"/>
              </w:rPr>
            </w:pPr>
            <w:r w:rsidRPr="009B7B35">
              <w:rPr>
                <w:rFonts w:cs="Arial"/>
              </w:rPr>
              <w:t>Development generates a demand for no more than 1 delivery per week from a delivery vehicle exceeding 2.5 tonnes in weight.</w:t>
            </w:r>
          </w:p>
        </w:tc>
      </w:tr>
      <w:tr w:rsidR="00BE36FB" w:rsidRPr="009B7B35" w14:paraId="50AC1E71" w14:textId="77777777" w:rsidTr="001A7107">
        <w:trPr>
          <w:cantSplit/>
        </w:trPr>
        <w:tc>
          <w:tcPr>
            <w:tcW w:w="4678" w:type="dxa"/>
            <w:vMerge/>
          </w:tcPr>
          <w:p w14:paraId="629C0E37" w14:textId="77777777" w:rsidR="00BE36FB" w:rsidRPr="009B7B35" w:rsidRDefault="00BE36FB" w:rsidP="001A7107">
            <w:pPr>
              <w:pStyle w:val="TableText"/>
              <w:rPr>
                <w:rFonts w:cs="Arial"/>
              </w:rPr>
            </w:pPr>
          </w:p>
        </w:tc>
        <w:tc>
          <w:tcPr>
            <w:tcW w:w="4678" w:type="dxa"/>
          </w:tcPr>
          <w:p w14:paraId="17DA4DF7" w14:textId="77777777" w:rsidR="00BE36FB" w:rsidRPr="009B7B35" w:rsidRDefault="00BE36FB" w:rsidP="001A7107">
            <w:pPr>
              <w:pStyle w:val="TableText"/>
              <w:rPr>
                <w:rFonts w:cs="Arial"/>
                <w:b/>
              </w:rPr>
            </w:pPr>
            <w:r w:rsidRPr="009B7B35">
              <w:rPr>
                <w:rFonts w:cs="Arial"/>
                <w:b/>
              </w:rPr>
              <w:t>AO1.4</w:t>
            </w:r>
          </w:p>
          <w:p w14:paraId="2CEDCB7B" w14:textId="77777777" w:rsidR="00BE36FB" w:rsidRPr="009B7B35" w:rsidRDefault="00BE36FB" w:rsidP="001A7107">
            <w:pPr>
              <w:pStyle w:val="TableText"/>
              <w:rPr>
                <w:rFonts w:cs="Arial"/>
              </w:rPr>
            </w:pPr>
            <w:r w:rsidRPr="009B7B35">
              <w:rPr>
                <w:rFonts w:cs="Arial"/>
              </w:rPr>
              <w:t>The home based business is conducted by:</w:t>
            </w:r>
          </w:p>
          <w:p w14:paraId="39A403DA" w14:textId="77777777" w:rsidR="00BE36FB" w:rsidRPr="009B7B35" w:rsidRDefault="00BE36FB" w:rsidP="00BE36FB">
            <w:pPr>
              <w:pStyle w:val="TableText"/>
              <w:numPr>
                <w:ilvl w:val="0"/>
                <w:numId w:val="739"/>
              </w:numPr>
              <w:rPr>
                <w:rFonts w:cs="Arial"/>
              </w:rPr>
            </w:pPr>
            <w:r w:rsidRPr="009B7B35">
              <w:rPr>
                <w:rFonts w:cs="Arial"/>
              </w:rPr>
              <w:t>1 or more of the permanent residents of the principal</w:t>
            </w:r>
            <w:r w:rsidRPr="009B7B35">
              <w:rPr>
                <w:rFonts w:cs="Arial"/>
                <w:color w:val="FF0000"/>
              </w:rPr>
              <w:t xml:space="preserve"> </w:t>
            </w:r>
            <w:r w:rsidRPr="009B7B35">
              <w:rPr>
                <w:rFonts w:cs="Arial"/>
              </w:rPr>
              <w:t>dwelling house, and</w:t>
            </w:r>
          </w:p>
          <w:p w14:paraId="643497B0" w14:textId="77777777" w:rsidR="00BE36FB" w:rsidRPr="009B7B35" w:rsidRDefault="00BE36FB" w:rsidP="00BE36FB">
            <w:pPr>
              <w:pStyle w:val="TableText"/>
              <w:numPr>
                <w:ilvl w:val="0"/>
                <w:numId w:val="739"/>
              </w:numPr>
              <w:rPr>
                <w:rFonts w:cs="Arial"/>
              </w:rPr>
            </w:pPr>
            <w:r w:rsidRPr="009B7B35">
              <w:rPr>
                <w:rFonts w:cs="Arial"/>
              </w:rPr>
              <w:t>no more than 2 non–resident employees at any time.</w:t>
            </w:r>
          </w:p>
        </w:tc>
      </w:tr>
      <w:tr w:rsidR="00BE36FB" w:rsidRPr="009B7B35" w14:paraId="349F9C81" w14:textId="77777777" w:rsidTr="001A7107">
        <w:trPr>
          <w:cantSplit/>
        </w:trPr>
        <w:tc>
          <w:tcPr>
            <w:tcW w:w="4678" w:type="dxa"/>
            <w:vMerge/>
          </w:tcPr>
          <w:p w14:paraId="7618B747" w14:textId="77777777" w:rsidR="00BE36FB" w:rsidRPr="009B7B35" w:rsidRDefault="00BE36FB" w:rsidP="001A7107">
            <w:pPr>
              <w:pStyle w:val="TableText"/>
              <w:rPr>
                <w:rFonts w:cs="Arial"/>
              </w:rPr>
            </w:pPr>
          </w:p>
        </w:tc>
        <w:tc>
          <w:tcPr>
            <w:tcW w:w="4678" w:type="dxa"/>
          </w:tcPr>
          <w:p w14:paraId="2D3C2404" w14:textId="77777777" w:rsidR="00BE36FB" w:rsidRPr="009B7B35" w:rsidRDefault="00BE36FB" w:rsidP="001A7107">
            <w:pPr>
              <w:pStyle w:val="TableText"/>
              <w:rPr>
                <w:rFonts w:cs="Arial"/>
                <w:b/>
              </w:rPr>
            </w:pPr>
            <w:r w:rsidRPr="009B7B35">
              <w:rPr>
                <w:rFonts w:cs="Arial"/>
                <w:b/>
              </w:rPr>
              <w:t>AO1.5</w:t>
            </w:r>
          </w:p>
          <w:p w14:paraId="773E85CA" w14:textId="77777777" w:rsidR="00BE36FB" w:rsidRPr="009B7B35" w:rsidRDefault="00BE36FB" w:rsidP="001A7107">
            <w:pPr>
              <w:pStyle w:val="TableText"/>
              <w:rPr>
                <w:rFonts w:cs="Arial"/>
              </w:rPr>
            </w:pPr>
            <w:r w:rsidRPr="009B7B35">
              <w:rPr>
                <w:rFonts w:cs="Arial"/>
              </w:rPr>
              <w:t>Development is wholly contained within the dwelling house or ancillary outbuilding on the site.</w:t>
            </w:r>
          </w:p>
        </w:tc>
      </w:tr>
      <w:tr w:rsidR="00BE36FB" w:rsidRPr="009B7B35" w14:paraId="31F3D112" w14:textId="77777777" w:rsidTr="001A7107">
        <w:trPr>
          <w:cantSplit/>
        </w:trPr>
        <w:tc>
          <w:tcPr>
            <w:tcW w:w="4678" w:type="dxa"/>
            <w:vMerge/>
          </w:tcPr>
          <w:p w14:paraId="6A43E018" w14:textId="77777777" w:rsidR="00BE36FB" w:rsidRPr="009B7B35" w:rsidRDefault="00BE36FB" w:rsidP="001A7107">
            <w:pPr>
              <w:pStyle w:val="TableText"/>
              <w:rPr>
                <w:rFonts w:cs="Arial"/>
              </w:rPr>
            </w:pPr>
          </w:p>
        </w:tc>
        <w:tc>
          <w:tcPr>
            <w:tcW w:w="4678" w:type="dxa"/>
          </w:tcPr>
          <w:p w14:paraId="48F8F3C0" w14:textId="77777777" w:rsidR="00BE36FB" w:rsidRPr="009B7B35" w:rsidRDefault="00BE36FB" w:rsidP="001A7107">
            <w:pPr>
              <w:pStyle w:val="TableText"/>
              <w:rPr>
                <w:rFonts w:cs="Arial"/>
                <w:b/>
              </w:rPr>
            </w:pPr>
            <w:r w:rsidRPr="009B7B35">
              <w:rPr>
                <w:rFonts w:cs="Arial"/>
                <w:b/>
              </w:rPr>
              <w:t>AO1.6</w:t>
            </w:r>
          </w:p>
          <w:p w14:paraId="11ABF055" w14:textId="77777777" w:rsidR="00BE36FB" w:rsidRPr="009B7B35" w:rsidRDefault="00BE36FB" w:rsidP="001A7107">
            <w:pPr>
              <w:pStyle w:val="TableText"/>
              <w:rPr>
                <w:rFonts w:cs="Arial"/>
              </w:rPr>
            </w:pPr>
            <w:r w:rsidRPr="009B7B35">
              <w:rPr>
                <w:rFonts w:cs="Arial"/>
              </w:rPr>
              <w:t xml:space="preserve">Bed and breakfast accommodation: </w:t>
            </w:r>
          </w:p>
          <w:p w14:paraId="0C2FAFB8" w14:textId="77777777" w:rsidR="00BE36FB" w:rsidRPr="009B7B35" w:rsidRDefault="00BE36FB" w:rsidP="00BE36FB">
            <w:pPr>
              <w:pStyle w:val="TableText"/>
              <w:numPr>
                <w:ilvl w:val="0"/>
                <w:numId w:val="704"/>
              </w:numPr>
              <w:rPr>
                <w:rFonts w:cs="Arial"/>
              </w:rPr>
            </w:pPr>
            <w:r w:rsidRPr="009B7B35">
              <w:rPr>
                <w:rFonts w:cs="Arial"/>
              </w:rPr>
              <w:t>is wholly contained within the principal dwelling house on the site</w:t>
            </w:r>
          </w:p>
          <w:p w14:paraId="1C74DA39" w14:textId="77777777" w:rsidR="00BE36FB" w:rsidRPr="009B7B35" w:rsidRDefault="00BE36FB" w:rsidP="00BE36FB">
            <w:pPr>
              <w:pStyle w:val="TableText"/>
              <w:numPr>
                <w:ilvl w:val="0"/>
                <w:numId w:val="704"/>
              </w:numPr>
              <w:rPr>
                <w:rFonts w:cs="Arial"/>
              </w:rPr>
            </w:pPr>
            <w:r w:rsidRPr="009B7B35">
              <w:rPr>
                <w:rFonts w:cs="Arial"/>
              </w:rPr>
              <w:t>allows a maximum continuous period of stay for any guest of no more than 4 weeks</w:t>
            </w:r>
          </w:p>
          <w:p w14:paraId="49E46EE9" w14:textId="77777777" w:rsidR="00BE36FB" w:rsidRPr="009B7B35" w:rsidRDefault="00BE36FB" w:rsidP="00BE36FB">
            <w:pPr>
              <w:pStyle w:val="TableText"/>
              <w:numPr>
                <w:ilvl w:val="0"/>
                <w:numId w:val="704"/>
              </w:numPr>
              <w:rPr>
                <w:rFonts w:cs="Arial"/>
              </w:rPr>
            </w:pPr>
            <w:r w:rsidRPr="009B7B35">
              <w:rPr>
                <w:rFonts w:cs="Arial"/>
              </w:rPr>
              <w:t xml:space="preserve">does not contain more than: </w:t>
            </w:r>
          </w:p>
          <w:p w14:paraId="5B7FAEF1" w14:textId="77777777" w:rsidR="00BE36FB" w:rsidRPr="009B7B35" w:rsidRDefault="00BE36FB" w:rsidP="00BE36FB">
            <w:pPr>
              <w:pStyle w:val="TableText"/>
              <w:numPr>
                <w:ilvl w:val="1"/>
                <w:numId w:val="704"/>
              </w:numPr>
              <w:rPr>
                <w:rFonts w:cs="Arial"/>
              </w:rPr>
            </w:pPr>
            <w:r w:rsidRPr="009B7B35">
              <w:rPr>
                <w:rFonts w:cs="Arial"/>
              </w:rPr>
              <w:t>2 guest bedrooms if within a residential, centre, township or rural residential zone, or</w:t>
            </w:r>
          </w:p>
          <w:p w14:paraId="4C674CA2" w14:textId="77777777" w:rsidR="00BE36FB" w:rsidRPr="009B7B35" w:rsidRDefault="00BE36FB" w:rsidP="00BE36FB">
            <w:pPr>
              <w:pStyle w:val="TableText"/>
              <w:numPr>
                <w:ilvl w:val="1"/>
                <w:numId w:val="704"/>
              </w:numPr>
              <w:rPr>
                <w:rFonts w:cs="Arial"/>
              </w:rPr>
            </w:pPr>
            <w:r w:rsidRPr="009B7B35">
              <w:rPr>
                <w:rFonts w:cs="Arial"/>
              </w:rPr>
              <w:t>4 guest bedrooms if within the rural zone.</w:t>
            </w:r>
          </w:p>
        </w:tc>
      </w:tr>
      <w:tr w:rsidR="00BE36FB" w:rsidRPr="009B7B35" w14:paraId="26CF2150" w14:textId="77777777" w:rsidTr="001A7107">
        <w:trPr>
          <w:cantSplit/>
        </w:trPr>
        <w:tc>
          <w:tcPr>
            <w:tcW w:w="4678" w:type="dxa"/>
          </w:tcPr>
          <w:p w14:paraId="71A880CB" w14:textId="77777777" w:rsidR="00BE36FB" w:rsidRPr="009B7B35" w:rsidRDefault="00BE36FB" w:rsidP="001A7107">
            <w:pPr>
              <w:pStyle w:val="TableText"/>
              <w:rPr>
                <w:rFonts w:cs="Arial"/>
                <w:b/>
              </w:rPr>
            </w:pPr>
            <w:r w:rsidRPr="009B7B35">
              <w:rPr>
                <w:rFonts w:cs="Arial"/>
                <w:b/>
              </w:rPr>
              <w:t>PO2</w:t>
            </w:r>
          </w:p>
          <w:p w14:paraId="6861E31B" w14:textId="77777777" w:rsidR="00BE36FB" w:rsidRPr="009B7B35" w:rsidRDefault="00BE36FB" w:rsidP="001A7107">
            <w:pPr>
              <w:pStyle w:val="TableText"/>
              <w:rPr>
                <w:rFonts w:cs="Arial"/>
              </w:rPr>
            </w:pPr>
            <w:r w:rsidRPr="009B7B35">
              <w:rPr>
                <w:rFonts w:cs="Arial"/>
              </w:rPr>
              <w:t xml:space="preserve">Development is consistent with the streetscape character of the zone. </w:t>
            </w:r>
          </w:p>
        </w:tc>
        <w:tc>
          <w:tcPr>
            <w:tcW w:w="4678" w:type="dxa"/>
          </w:tcPr>
          <w:p w14:paraId="0E526A4A" w14:textId="77777777" w:rsidR="00BE36FB" w:rsidRPr="009B7B35" w:rsidRDefault="00BE36FB" w:rsidP="001A7107">
            <w:pPr>
              <w:pStyle w:val="TableText"/>
              <w:rPr>
                <w:rFonts w:cs="Arial"/>
                <w:b/>
              </w:rPr>
            </w:pPr>
            <w:r w:rsidRPr="009B7B35">
              <w:rPr>
                <w:rFonts w:cs="Arial"/>
                <w:b/>
              </w:rPr>
              <w:t>AO2</w:t>
            </w:r>
          </w:p>
          <w:p w14:paraId="0AC44671" w14:textId="77777777" w:rsidR="00BE36FB" w:rsidRPr="009B7B35" w:rsidRDefault="00BE36FB" w:rsidP="001A7107">
            <w:pPr>
              <w:pStyle w:val="TableText"/>
              <w:rPr>
                <w:rFonts w:cs="Arial"/>
              </w:rPr>
            </w:pPr>
            <w:r w:rsidRPr="009B7B35">
              <w:rPr>
                <w:rFonts w:cs="Arial"/>
              </w:rPr>
              <w:t>Goods, equipment and activities associated with the development are not visible from the street or adjoining premises.</w:t>
            </w:r>
          </w:p>
        </w:tc>
      </w:tr>
      <w:tr w:rsidR="00BE36FB" w:rsidRPr="009B7B35" w14:paraId="05DE57A1" w14:textId="77777777" w:rsidTr="001A7107">
        <w:tc>
          <w:tcPr>
            <w:tcW w:w="4678" w:type="dxa"/>
          </w:tcPr>
          <w:p w14:paraId="733DBFBE" w14:textId="77777777" w:rsidR="00BE36FB" w:rsidRPr="009B7B35" w:rsidRDefault="00BE36FB" w:rsidP="001A7107">
            <w:pPr>
              <w:pStyle w:val="TableText"/>
              <w:rPr>
                <w:rFonts w:cs="Arial"/>
                <w:b/>
              </w:rPr>
            </w:pPr>
            <w:r w:rsidRPr="009B7B35">
              <w:rPr>
                <w:rFonts w:cs="Arial"/>
                <w:b/>
              </w:rPr>
              <w:t>PO3</w:t>
            </w:r>
          </w:p>
          <w:p w14:paraId="22F1D961" w14:textId="77777777" w:rsidR="00BE36FB" w:rsidRPr="009B7B35" w:rsidRDefault="00BE36FB" w:rsidP="001A7107">
            <w:pPr>
              <w:pStyle w:val="TableText"/>
              <w:rPr>
                <w:rFonts w:cs="Arial"/>
              </w:rPr>
            </w:pPr>
            <w:r w:rsidRPr="009B7B35">
              <w:rPr>
                <w:rFonts w:cs="Arial"/>
              </w:rPr>
              <w:t>Development does not adversely impact on the amenity of area.</w:t>
            </w:r>
          </w:p>
        </w:tc>
        <w:tc>
          <w:tcPr>
            <w:tcW w:w="4678" w:type="dxa"/>
          </w:tcPr>
          <w:p w14:paraId="332D33BC" w14:textId="77777777" w:rsidR="00BE36FB" w:rsidRPr="009B7B35" w:rsidRDefault="00BE36FB" w:rsidP="001A7107">
            <w:pPr>
              <w:pStyle w:val="TableText"/>
              <w:rPr>
                <w:rFonts w:cs="Arial"/>
                <w:b/>
              </w:rPr>
            </w:pPr>
            <w:r w:rsidRPr="009B7B35">
              <w:rPr>
                <w:rFonts w:cs="Arial"/>
                <w:b/>
              </w:rPr>
              <w:t>AO3</w:t>
            </w:r>
          </w:p>
          <w:p w14:paraId="68267070" w14:textId="77777777" w:rsidR="00BE36FB" w:rsidRPr="009B7B35" w:rsidRDefault="00BE36FB" w:rsidP="001A7107">
            <w:pPr>
              <w:pStyle w:val="TableText"/>
              <w:rPr>
                <w:rFonts w:cs="Arial"/>
              </w:rPr>
            </w:pPr>
            <w:r w:rsidRPr="009B7B35">
              <w:rPr>
                <w:rFonts w:cs="Arial"/>
              </w:rPr>
              <w:t>The home based business (where not a Bed and breakfast) is conducted between the hours of:</w:t>
            </w:r>
          </w:p>
          <w:p w14:paraId="25B45AEC" w14:textId="77777777" w:rsidR="00BE36FB" w:rsidRPr="009B7B35" w:rsidRDefault="00BE36FB" w:rsidP="00BE36FB">
            <w:pPr>
              <w:pStyle w:val="TableText"/>
              <w:numPr>
                <w:ilvl w:val="0"/>
                <w:numId w:val="740"/>
              </w:numPr>
              <w:rPr>
                <w:rFonts w:cs="Arial"/>
              </w:rPr>
            </w:pPr>
            <w:r w:rsidRPr="009B7B35">
              <w:rPr>
                <w:rFonts w:cs="Arial"/>
              </w:rPr>
              <w:t>7am to 7pm on week days, and</w:t>
            </w:r>
          </w:p>
          <w:p w14:paraId="1310C83C" w14:textId="77777777" w:rsidR="00BE36FB" w:rsidRPr="009B7B35" w:rsidRDefault="00BE36FB" w:rsidP="00BE36FB">
            <w:pPr>
              <w:pStyle w:val="TableText"/>
              <w:numPr>
                <w:ilvl w:val="0"/>
                <w:numId w:val="740"/>
              </w:numPr>
              <w:rPr>
                <w:rFonts w:cs="Arial"/>
              </w:rPr>
            </w:pPr>
            <w:r w:rsidRPr="009B7B35">
              <w:rPr>
                <w:rFonts w:cs="Arial"/>
              </w:rPr>
              <w:t>7am to 1pm on Saturdays.</w:t>
            </w:r>
          </w:p>
        </w:tc>
      </w:tr>
      <w:tr w:rsidR="00BE36FB" w:rsidRPr="009B7B35" w14:paraId="58613DD7" w14:textId="77777777" w:rsidTr="001A7107">
        <w:trPr>
          <w:trHeight w:val="713"/>
        </w:trPr>
        <w:tc>
          <w:tcPr>
            <w:tcW w:w="4678" w:type="dxa"/>
            <w:vMerge w:val="restart"/>
          </w:tcPr>
          <w:p w14:paraId="3DD466F2" w14:textId="77777777" w:rsidR="00BE36FB" w:rsidRPr="009B7B35" w:rsidRDefault="00BE36FB" w:rsidP="001A7107">
            <w:pPr>
              <w:pStyle w:val="TableText"/>
              <w:rPr>
                <w:rFonts w:cs="Arial"/>
                <w:b/>
              </w:rPr>
            </w:pPr>
            <w:r w:rsidRPr="009B7B35">
              <w:rPr>
                <w:rFonts w:cs="Arial"/>
                <w:b/>
              </w:rPr>
              <w:t>PO4</w:t>
            </w:r>
          </w:p>
          <w:p w14:paraId="187E393E" w14:textId="77777777" w:rsidR="00BE36FB" w:rsidRPr="009B7B35" w:rsidRDefault="00BE36FB" w:rsidP="001A7107">
            <w:pPr>
              <w:pStyle w:val="TableText"/>
              <w:rPr>
                <w:rFonts w:cs="Arial"/>
              </w:rPr>
            </w:pPr>
            <w:r w:rsidRPr="009B7B35">
              <w:rPr>
                <w:rFonts w:cs="Arial"/>
              </w:rPr>
              <w:t>Vehicle parking (not associated with the dwelling):</w:t>
            </w:r>
          </w:p>
          <w:p w14:paraId="3D66C582" w14:textId="77777777" w:rsidR="00BE36FB" w:rsidRPr="009B7B35" w:rsidRDefault="00BE36FB" w:rsidP="00BE36FB">
            <w:pPr>
              <w:pStyle w:val="TableText"/>
              <w:numPr>
                <w:ilvl w:val="0"/>
                <w:numId w:val="741"/>
              </w:numPr>
              <w:rPr>
                <w:rFonts w:cs="Arial"/>
              </w:rPr>
            </w:pPr>
            <w:r w:rsidRPr="009B7B35">
              <w:rPr>
                <w:rFonts w:cs="Arial"/>
              </w:rPr>
              <w:t xml:space="preserve">is associated with the onsite home based business, and </w:t>
            </w:r>
          </w:p>
          <w:p w14:paraId="2AB3D8BB" w14:textId="77777777" w:rsidR="00BE36FB" w:rsidRPr="009B7B35" w:rsidRDefault="00BE36FB" w:rsidP="00BE36FB">
            <w:pPr>
              <w:pStyle w:val="TableText"/>
              <w:numPr>
                <w:ilvl w:val="0"/>
                <w:numId w:val="741"/>
              </w:numPr>
              <w:rPr>
                <w:rFonts w:cs="Arial"/>
              </w:rPr>
            </w:pPr>
            <w:r w:rsidRPr="009B7B35">
              <w:rPr>
                <w:rFonts w:cs="Arial"/>
              </w:rPr>
              <w:t>does not adversely affect the amenity of neighbouring properties.</w:t>
            </w:r>
          </w:p>
        </w:tc>
        <w:tc>
          <w:tcPr>
            <w:tcW w:w="4678" w:type="dxa"/>
          </w:tcPr>
          <w:p w14:paraId="508E42DE" w14:textId="77777777" w:rsidR="00BE36FB" w:rsidRPr="009B7B35" w:rsidRDefault="00BE36FB" w:rsidP="001A7107">
            <w:pPr>
              <w:pStyle w:val="TableText"/>
              <w:rPr>
                <w:rFonts w:cs="Arial"/>
                <w:b/>
              </w:rPr>
            </w:pPr>
            <w:r w:rsidRPr="009B7B35">
              <w:rPr>
                <w:rFonts w:cs="Arial"/>
                <w:b/>
              </w:rPr>
              <w:t>AO4</w:t>
            </w:r>
            <w:r w:rsidRPr="009B7B35">
              <w:rPr>
                <w:rFonts w:cs="Arial"/>
              </w:rPr>
              <w:t>.</w:t>
            </w:r>
            <w:r w:rsidRPr="009B7B35">
              <w:rPr>
                <w:rFonts w:cs="Arial"/>
                <w:b/>
              </w:rPr>
              <w:t>1</w:t>
            </w:r>
          </w:p>
          <w:p w14:paraId="7CA81CAE" w14:textId="77777777" w:rsidR="00BE36FB" w:rsidRPr="009B7B35" w:rsidRDefault="00BE36FB" w:rsidP="001A7107">
            <w:pPr>
              <w:pStyle w:val="TableText"/>
              <w:rPr>
                <w:rFonts w:cs="Arial"/>
              </w:rPr>
            </w:pPr>
            <w:r w:rsidRPr="009B7B35">
              <w:rPr>
                <w:rFonts w:cs="Arial"/>
              </w:rPr>
              <w:t>Not more than 2 vehicles associated with the home based business is parked on the site at any one time.</w:t>
            </w:r>
          </w:p>
        </w:tc>
      </w:tr>
      <w:tr w:rsidR="00BE36FB" w:rsidRPr="009B7B35" w14:paraId="75E3AFE4" w14:textId="77777777" w:rsidTr="001A7107">
        <w:trPr>
          <w:cantSplit/>
          <w:trHeight w:val="713"/>
        </w:trPr>
        <w:tc>
          <w:tcPr>
            <w:tcW w:w="4678" w:type="dxa"/>
            <w:vMerge/>
          </w:tcPr>
          <w:p w14:paraId="258E3A0C" w14:textId="77777777" w:rsidR="00BE36FB" w:rsidRPr="009B7B35" w:rsidRDefault="00BE36FB" w:rsidP="001A7107">
            <w:pPr>
              <w:pStyle w:val="TableText"/>
              <w:rPr>
                <w:rFonts w:cs="Arial"/>
                <w:b/>
              </w:rPr>
            </w:pPr>
          </w:p>
        </w:tc>
        <w:tc>
          <w:tcPr>
            <w:tcW w:w="4678" w:type="dxa"/>
          </w:tcPr>
          <w:p w14:paraId="5C55A923" w14:textId="77777777" w:rsidR="00BE36FB" w:rsidRPr="009B7B35" w:rsidRDefault="00BE36FB" w:rsidP="001A7107">
            <w:pPr>
              <w:pStyle w:val="TableText"/>
              <w:rPr>
                <w:rFonts w:cs="Arial"/>
                <w:b/>
              </w:rPr>
            </w:pPr>
            <w:r w:rsidRPr="009B7B35">
              <w:rPr>
                <w:rFonts w:cs="Arial"/>
                <w:b/>
              </w:rPr>
              <w:t>AO4.2</w:t>
            </w:r>
          </w:p>
          <w:p w14:paraId="5D468831" w14:textId="77777777" w:rsidR="00BE36FB" w:rsidRPr="009B7B35" w:rsidRDefault="00BE36FB" w:rsidP="001A7107">
            <w:pPr>
              <w:pStyle w:val="TableText"/>
              <w:rPr>
                <w:rFonts w:cs="Arial"/>
                <w:b/>
              </w:rPr>
            </w:pPr>
            <w:r w:rsidRPr="009B7B35">
              <w:rPr>
                <w:rFonts w:eastAsia="Calibri" w:cs="Arial"/>
              </w:rPr>
              <w:t>Activities on the premises do not involve the repairing, servicing, cleaning, or loading of motor vehicles.</w:t>
            </w:r>
          </w:p>
        </w:tc>
      </w:tr>
    </w:tbl>
    <w:p w14:paraId="3ADFB3D7" w14:textId="77777777" w:rsidR="00BE36FB" w:rsidRPr="009B7B35" w:rsidRDefault="00BE36FB" w:rsidP="001A7107">
      <w:pPr>
        <w:rPr>
          <w:rFonts w:ascii="Arial" w:hAnsi="Arial" w:cs="Arial"/>
          <w:sz w:val="20"/>
          <w:szCs w:val="20"/>
        </w:rPr>
      </w:pPr>
    </w:p>
    <w:p w14:paraId="33031C3E"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195F47E6" w14:textId="77777777" w:rsidR="00BE36FB" w:rsidRPr="009B7B35" w:rsidRDefault="00BE36FB" w:rsidP="006776DA">
      <w:pPr>
        <w:pStyle w:val="Heading3"/>
        <w:numPr>
          <w:ilvl w:val="2"/>
          <w:numId w:val="883"/>
        </w:numPr>
        <w:spacing w:before="240"/>
        <w:rPr>
          <w:rFonts w:ascii="Arial" w:hAnsi="Arial"/>
          <w:sz w:val="20"/>
          <w:szCs w:val="20"/>
        </w:rPr>
      </w:pPr>
      <w:bookmarkStart w:id="269" w:name="_Toc205367397"/>
      <w:r w:rsidRPr="009B7B35">
        <w:rPr>
          <w:rFonts w:ascii="Arial" w:hAnsi="Arial"/>
          <w:sz w:val="20"/>
          <w:szCs w:val="20"/>
        </w:rPr>
        <w:t>Landscaping</w:t>
      </w:r>
      <w:bookmarkEnd w:id="269"/>
    </w:p>
    <w:p w14:paraId="77560011"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394D9140"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development where the code is identified as applicable in a table of assessment. When using this code, reference should be made to section 5.3.2 and where applicable, section 5.3.3 located in Part 5.</w:t>
      </w:r>
    </w:p>
    <w:p w14:paraId="6FCA0E80"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359B44EE" w14:textId="77777777" w:rsidR="00BE36FB" w:rsidRPr="009B7B35" w:rsidRDefault="00BE36FB" w:rsidP="00BE36FB">
      <w:pPr>
        <w:numPr>
          <w:ilvl w:val="0"/>
          <w:numId w:val="702"/>
        </w:numPr>
        <w:rPr>
          <w:rFonts w:ascii="Arial" w:hAnsi="Arial" w:cs="Arial"/>
          <w:sz w:val="20"/>
          <w:szCs w:val="20"/>
        </w:rPr>
      </w:pPr>
      <w:r w:rsidRPr="009B7B35">
        <w:rPr>
          <w:rFonts w:ascii="Arial" w:hAnsi="Arial" w:cs="Arial"/>
          <w:sz w:val="20"/>
          <w:szCs w:val="20"/>
        </w:rPr>
        <w:t>The purpose of the landscape code is to ensure landscaping in both the private and public domain:</w:t>
      </w:r>
    </w:p>
    <w:p w14:paraId="20B01ED4" w14:textId="77777777"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Complements built form, topography and existing landscape elements.</w:t>
      </w:r>
    </w:p>
    <w:p w14:paraId="1F9B5F9E" w14:textId="77777777"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Enhances the visual appeal and local identity of different places throughout the region.</w:t>
      </w:r>
    </w:p>
    <w:p w14:paraId="26AFF782" w14:textId="77777777"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Is designed and constructed to a high standard.</w:t>
      </w:r>
    </w:p>
    <w:p w14:paraId="47B6F82A" w14:textId="77777777"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Is functional for users and remains fit for purpose over the long–term.</w:t>
      </w:r>
    </w:p>
    <w:p w14:paraId="515B371A" w14:textId="77777777" w:rsidR="00BE36FB" w:rsidRPr="009B7B35" w:rsidRDefault="00BE36FB" w:rsidP="00BE36FB">
      <w:pPr>
        <w:numPr>
          <w:ilvl w:val="0"/>
          <w:numId w:val="702"/>
        </w:numPr>
        <w:rPr>
          <w:rFonts w:ascii="Arial" w:hAnsi="Arial" w:cs="Arial"/>
          <w:sz w:val="20"/>
          <w:szCs w:val="20"/>
        </w:rPr>
      </w:pPr>
      <w:r w:rsidRPr="009B7B35">
        <w:rPr>
          <w:rFonts w:ascii="Arial" w:hAnsi="Arial" w:cs="Arial"/>
          <w:sz w:val="20"/>
          <w:szCs w:val="20"/>
        </w:rPr>
        <w:t xml:space="preserve">The purpose of the code will be achieved by the following overall outcomes: </w:t>
      </w:r>
    </w:p>
    <w:p w14:paraId="335DC41A" w14:textId="77777777"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Landscaping creates shade and shelter on streets and public spaces.</w:t>
      </w:r>
    </w:p>
    <w:p w14:paraId="2F38E340" w14:textId="77777777"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Landscaping conserves energy, water usage and creates comfortable microclimates.</w:t>
      </w:r>
    </w:p>
    <w:p w14:paraId="3472E4DE" w14:textId="77777777"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Landscaping creates high quality streetscapes and enhances local character.</w:t>
      </w:r>
    </w:p>
    <w:p w14:paraId="36C2F197" w14:textId="77777777"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Landscape design is used to integrate the natural and built form elements of the site and the locality.</w:t>
      </w:r>
    </w:p>
    <w:p w14:paraId="6FBAF8A2" w14:textId="77777777"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Landscape elements contribute to the useability, legibility and understanding of the city and the region and its places.</w:t>
      </w:r>
    </w:p>
    <w:p w14:paraId="72E14354" w14:textId="77777777"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Landscaping is used for screening to soften built form, mitigate adverse aesthetic impacts, improve amenity and provide privacy.</w:t>
      </w:r>
    </w:p>
    <w:p w14:paraId="46E0DDAF" w14:textId="77777777"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Plant species and landscaping materials are suitable for local climatic conditions.</w:t>
      </w:r>
    </w:p>
    <w:p w14:paraId="3BA55944" w14:textId="77777777"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Plant species, landscaping materials and surface treatments are suited to their intended function and user requirements and are designed to remain attractive, fit for purpose and be cost effective to maintain over the long–term.</w:t>
      </w:r>
    </w:p>
    <w:p w14:paraId="515E659C" w14:textId="77777777"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Landscape design facilitates an accessible, safe and comfortable environment for all users.</w:t>
      </w:r>
    </w:p>
    <w:p w14:paraId="2D6CFEB2" w14:textId="77777777" w:rsidR="00BE36FB" w:rsidRPr="009B7B35" w:rsidRDefault="00BE36FB" w:rsidP="00BE36FB">
      <w:pPr>
        <w:numPr>
          <w:ilvl w:val="1"/>
          <w:numId w:val="702"/>
        </w:numPr>
        <w:rPr>
          <w:rFonts w:ascii="Arial" w:hAnsi="Arial" w:cs="Arial"/>
          <w:sz w:val="20"/>
          <w:szCs w:val="20"/>
        </w:rPr>
      </w:pPr>
      <w:r w:rsidRPr="009B7B35">
        <w:rPr>
          <w:rFonts w:ascii="Arial" w:hAnsi="Arial" w:cs="Arial"/>
          <w:sz w:val="20"/>
          <w:szCs w:val="20"/>
        </w:rPr>
        <w:t>Mature on–site vegetation is retained, protected and integrated into the site design wherever practicable.</w:t>
      </w:r>
    </w:p>
    <w:p w14:paraId="4973B127"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766011BC" w14:textId="77777777" w:rsidR="00BE36FB" w:rsidRPr="009B7B35" w:rsidRDefault="00BE36FB" w:rsidP="001A7107">
      <w:pPr>
        <w:pStyle w:val="Heading5"/>
        <w:numPr>
          <w:ilvl w:val="0"/>
          <w:numId w:val="0"/>
        </w:numPr>
        <w:rPr>
          <w:rFonts w:cs="Arial"/>
          <w:szCs w:val="20"/>
        </w:rPr>
      </w:pPr>
      <w:r w:rsidRPr="009B7B35">
        <w:rPr>
          <w:rFonts w:cs="Arial"/>
          <w:szCs w:val="20"/>
        </w:rPr>
        <w:t>Table 9.3.5.3.1—Assessable development</w:t>
      </w:r>
    </w:p>
    <w:tbl>
      <w:tblPr>
        <w:tblStyle w:val="Tablestyle"/>
        <w:tblW w:w="9356" w:type="dxa"/>
        <w:tblLayout w:type="fixed"/>
        <w:tblLook w:val="0620" w:firstRow="1" w:lastRow="0" w:firstColumn="0" w:lastColumn="0" w:noHBand="1" w:noVBand="1"/>
      </w:tblPr>
      <w:tblGrid>
        <w:gridCol w:w="4678"/>
        <w:gridCol w:w="4678"/>
      </w:tblGrid>
      <w:tr w:rsidR="00BE36FB" w:rsidRPr="009B7B35" w14:paraId="24731955"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5E956111" w14:textId="77777777" w:rsidR="00BE36FB" w:rsidRPr="009B7B35" w:rsidRDefault="00BE36FB" w:rsidP="001A7107">
            <w:pPr>
              <w:pStyle w:val="TableText"/>
              <w:rPr>
                <w:rFonts w:cs="Arial"/>
              </w:rPr>
            </w:pPr>
            <w:r w:rsidRPr="009B7B35">
              <w:rPr>
                <w:rFonts w:cs="Arial"/>
              </w:rPr>
              <w:t>Performance outcomes</w:t>
            </w:r>
          </w:p>
        </w:tc>
        <w:tc>
          <w:tcPr>
            <w:tcW w:w="4678" w:type="dxa"/>
          </w:tcPr>
          <w:p w14:paraId="23B9A81D" w14:textId="77777777" w:rsidR="00BE36FB" w:rsidRPr="009B7B35" w:rsidRDefault="00BE36FB" w:rsidP="001A7107">
            <w:pPr>
              <w:pStyle w:val="TableText"/>
              <w:rPr>
                <w:rFonts w:cs="Arial"/>
              </w:rPr>
            </w:pPr>
            <w:r w:rsidRPr="009B7B35">
              <w:rPr>
                <w:rFonts w:cs="Arial"/>
              </w:rPr>
              <w:t>Acceptable outcomes</w:t>
            </w:r>
          </w:p>
        </w:tc>
      </w:tr>
      <w:tr w:rsidR="00BE36FB" w:rsidRPr="009B7B35" w14:paraId="7CB9D877" w14:textId="77777777" w:rsidTr="001A7107">
        <w:trPr>
          <w:cantSplit/>
        </w:trPr>
        <w:tc>
          <w:tcPr>
            <w:tcW w:w="9356" w:type="dxa"/>
            <w:gridSpan w:val="2"/>
            <w:shd w:val="clear" w:color="auto" w:fill="BFBFBF" w:themeFill="background1" w:themeFillShade="BF"/>
          </w:tcPr>
          <w:p w14:paraId="6E9F9F94" w14:textId="77777777" w:rsidR="00BE36FB" w:rsidRPr="009B7B35" w:rsidRDefault="00BE36FB" w:rsidP="001A7107">
            <w:pPr>
              <w:pStyle w:val="Tableheading"/>
              <w:rPr>
                <w:rFonts w:ascii="Arial" w:hAnsi="Arial" w:cs="Arial"/>
                <w:szCs w:val="20"/>
              </w:rPr>
            </w:pPr>
            <w:r w:rsidRPr="009B7B35">
              <w:rPr>
                <w:rFonts w:ascii="Arial" w:hAnsi="Arial" w:cs="Arial"/>
                <w:szCs w:val="20"/>
              </w:rPr>
              <w:t>General landscape design and works</w:t>
            </w:r>
          </w:p>
        </w:tc>
      </w:tr>
      <w:tr w:rsidR="00BE36FB" w:rsidRPr="009B7B35" w14:paraId="0A89C9D4" w14:textId="77777777" w:rsidTr="001A7107">
        <w:tc>
          <w:tcPr>
            <w:tcW w:w="4678" w:type="dxa"/>
          </w:tcPr>
          <w:p w14:paraId="00B2360F" w14:textId="77777777" w:rsidR="00BE36FB" w:rsidRPr="009B7B35" w:rsidRDefault="00BE36FB" w:rsidP="001A7107">
            <w:pPr>
              <w:pStyle w:val="TableText"/>
              <w:rPr>
                <w:rFonts w:cs="Arial"/>
                <w:b/>
              </w:rPr>
            </w:pPr>
            <w:r w:rsidRPr="009B7B35">
              <w:rPr>
                <w:rFonts w:cs="Arial"/>
                <w:b/>
              </w:rPr>
              <w:t>PO1</w:t>
            </w:r>
          </w:p>
          <w:p w14:paraId="4FD0956C" w14:textId="77777777" w:rsidR="00BE36FB" w:rsidRPr="009B7B35" w:rsidRDefault="00BE36FB" w:rsidP="001A7107">
            <w:pPr>
              <w:pStyle w:val="TableText"/>
              <w:rPr>
                <w:rFonts w:cs="Arial"/>
              </w:rPr>
            </w:pPr>
            <w:r w:rsidRPr="009B7B35">
              <w:rPr>
                <w:rFonts w:cs="Arial"/>
              </w:rPr>
              <w:t>Landscape design of both public and private spaces:</w:t>
            </w:r>
          </w:p>
          <w:p w14:paraId="10011E04" w14:textId="77777777" w:rsidR="00BE36FB" w:rsidRPr="009B7B35" w:rsidRDefault="00BE36FB" w:rsidP="00BE36FB">
            <w:pPr>
              <w:pStyle w:val="TableText"/>
              <w:numPr>
                <w:ilvl w:val="0"/>
                <w:numId w:val="705"/>
              </w:numPr>
              <w:rPr>
                <w:rFonts w:cs="Arial"/>
              </w:rPr>
            </w:pPr>
            <w:r w:rsidRPr="009B7B35">
              <w:rPr>
                <w:rFonts w:cs="Arial"/>
              </w:rPr>
              <w:t>complements the intended character of the streetscape and zone, and</w:t>
            </w:r>
          </w:p>
          <w:p w14:paraId="15E92CDD" w14:textId="77777777" w:rsidR="00BE36FB" w:rsidRPr="009B7B35" w:rsidRDefault="00BE36FB" w:rsidP="00BE36FB">
            <w:pPr>
              <w:pStyle w:val="TableText"/>
              <w:numPr>
                <w:ilvl w:val="0"/>
                <w:numId w:val="705"/>
              </w:numPr>
              <w:rPr>
                <w:rFonts w:cs="Arial"/>
              </w:rPr>
            </w:pPr>
            <w:r w:rsidRPr="009B7B35">
              <w:rPr>
                <w:rFonts w:cs="Arial"/>
              </w:rPr>
              <w:t>is functional and designed to be visually appealing in the long–term.</w:t>
            </w:r>
          </w:p>
          <w:p w14:paraId="2D6AD09C" w14:textId="77777777" w:rsidR="00BE36FB" w:rsidRPr="009B7B35" w:rsidRDefault="00BE36FB" w:rsidP="001A7107">
            <w:pPr>
              <w:pStyle w:val="TableText"/>
              <w:rPr>
                <w:rFonts w:cs="Arial"/>
              </w:rPr>
            </w:pPr>
          </w:p>
        </w:tc>
        <w:tc>
          <w:tcPr>
            <w:tcW w:w="4678" w:type="dxa"/>
          </w:tcPr>
          <w:p w14:paraId="75D1BE98"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876A197" w14:textId="77777777" w:rsidTr="001A7107">
        <w:tc>
          <w:tcPr>
            <w:tcW w:w="4678" w:type="dxa"/>
            <w:vMerge w:val="restart"/>
          </w:tcPr>
          <w:p w14:paraId="63108030" w14:textId="77777777" w:rsidR="00BE36FB" w:rsidRPr="009B7B35" w:rsidRDefault="00BE36FB" w:rsidP="001A7107">
            <w:pPr>
              <w:pStyle w:val="TableText"/>
              <w:rPr>
                <w:rFonts w:cs="Arial"/>
                <w:b/>
              </w:rPr>
            </w:pPr>
            <w:r w:rsidRPr="009B7B35">
              <w:rPr>
                <w:rFonts w:cs="Arial"/>
                <w:b/>
              </w:rPr>
              <w:t>PO2</w:t>
            </w:r>
          </w:p>
          <w:p w14:paraId="0B1297CB" w14:textId="77777777" w:rsidR="00BE36FB" w:rsidRPr="009B7B35" w:rsidRDefault="00BE36FB" w:rsidP="001A7107">
            <w:pPr>
              <w:pStyle w:val="TableText"/>
              <w:rPr>
                <w:rFonts w:cs="Arial"/>
              </w:rPr>
            </w:pPr>
            <w:r w:rsidRPr="009B7B35">
              <w:rPr>
                <w:rFonts w:cs="Arial"/>
              </w:rPr>
              <w:t>Landscape works and plant selection ensure:</w:t>
            </w:r>
          </w:p>
          <w:p w14:paraId="6355FEDE" w14:textId="77777777" w:rsidR="00BE36FB" w:rsidRPr="009B7B35" w:rsidRDefault="00BE36FB" w:rsidP="00BE36FB">
            <w:pPr>
              <w:pStyle w:val="TableText"/>
              <w:numPr>
                <w:ilvl w:val="0"/>
                <w:numId w:val="744"/>
              </w:numPr>
              <w:rPr>
                <w:rFonts w:cs="Arial"/>
              </w:rPr>
            </w:pPr>
            <w:r w:rsidRPr="009B7B35">
              <w:rPr>
                <w:rFonts w:cs="Arial"/>
              </w:rPr>
              <w:t>climatically appropriate species are planted</w:t>
            </w:r>
          </w:p>
          <w:p w14:paraId="751F665C" w14:textId="77777777" w:rsidR="00BE36FB" w:rsidRPr="009B7B35" w:rsidRDefault="00BE36FB" w:rsidP="00BE36FB">
            <w:pPr>
              <w:pStyle w:val="TableText"/>
              <w:numPr>
                <w:ilvl w:val="0"/>
                <w:numId w:val="744"/>
              </w:numPr>
              <w:rPr>
                <w:rFonts w:cs="Arial"/>
              </w:rPr>
            </w:pPr>
            <w:r w:rsidRPr="009B7B35">
              <w:rPr>
                <w:rFonts w:cs="Arial"/>
              </w:rPr>
              <w:t>the provision of shade in appropriate locations</w:t>
            </w:r>
          </w:p>
          <w:p w14:paraId="50A6BDD9" w14:textId="77777777" w:rsidR="00BE36FB" w:rsidRPr="009B7B35" w:rsidRDefault="00BE36FB" w:rsidP="00BE36FB">
            <w:pPr>
              <w:pStyle w:val="TableText"/>
              <w:numPr>
                <w:ilvl w:val="0"/>
                <w:numId w:val="744"/>
              </w:numPr>
              <w:rPr>
                <w:rFonts w:cs="Arial"/>
              </w:rPr>
            </w:pPr>
            <w:r w:rsidRPr="009B7B35">
              <w:rPr>
                <w:rFonts w:cs="Arial"/>
              </w:rPr>
              <w:t>an appropriate mix of soft and hard elements, and</w:t>
            </w:r>
          </w:p>
          <w:p w14:paraId="27CE135D" w14:textId="77777777" w:rsidR="00BE36FB" w:rsidRPr="009B7B35" w:rsidRDefault="00BE36FB" w:rsidP="00BE36FB">
            <w:pPr>
              <w:pStyle w:val="TableText"/>
              <w:numPr>
                <w:ilvl w:val="0"/>
                <w:numId w:val="744"/>
              </w:numPr>
              <w:rPr>
                <w:rFonts w:cs="Arial"/>
              </w:rPr>
            </w:pPr>
            <w:r w:rsidRPr="009B7B35">
              <w:rPr>
                <w:rFonts w:cs="Arial"/>
              </w:rPr>
              <w:t>planting densities and stock sizes are suitable for their location, purpose and hardiness.</w:t>
            </w:r>
          </w:p>
        </w:tc>
        <w:tc>
          <w:tcPr>
            <w:tcW w:w="4678" w:type="dxa"/>
          </w:tcPr>
          <w:p w14:paraId="27C98EFC" w14:textId="77777777" w:rsidR="00BE36FB" w:rsidRPr="009B7B35" w:rsidRDefault="00BE36FB" w:rsidP="001A7107">
            <w:pPr>
              <w:pStyle w:val="TableText"/>
              <w:rPr>
                <w:rFonts w:cs="Arial"/>
                <w:b/>
              </w:rPr>
            </w:pPr>
            <w:r w:rsidRPr="009B7B35">
              <w:rPr>
                <w:rFonts w:cs="Arial"/>
                <w:b/>
              </w:rPr>
              <w:t>AO2.1</w:t>
            </w:r>
          </w:p>
          <w:p w14:paraId="7A7F15DC" w14:textId="77777777" w:rsidR="00BE36FB" w:rsidRPr="009B7B35" w:rsidRDefault="00BE36FB" w:rsidP="001A7107">
            <w:pPr>
              <w:pStyle w:val="TableText"/>
              <w:rPr>
                <w:rFonts w:cs="Arial"/>
              </w:rPr>
            </w:pPr>
            <w:r w:rsidRPr="009B7B35">
              <w:rPr>
                <w:rFonts w:cs="Arial"/>
              </w:rPr>
              <w:t>Selected tree species within communal recreation areas are to provide at least 30% shade coverage within 5–10 years of planting.</w:t>
            </w:r>
          </w:p>
        </w:tc>
      </w:tr>
      <w:tr w:rsidR="00BE36FB" w:rsidRPr="009B7B35" w14:paraId="400B8C48" w14:textId="77777777" w:rsidTr="001A7107">
        <w:trPr>
          <w:cantSplit/>
        </w:trPr>
        <w:tc>
          <w:tcPr>
            <w:tcW w:w="4678" w:type="dxa"/>
            <w:vMerge/>
          </w:tcPr>
          <w:p w14:paraId="7A2203AE" w14:textId="77777777" w:rsidR="00BE36FB" w:rsidRPr="009B7B35" w:rsidRDefault="00BE36FB" w:rsidP="001A7107">
            <w:pPr>
              <w:pStyle w:val="TableText"/>
              <w:rPr>
                <w:rFonts w:cs="Arial"/>
              </w:rPr>
            </w:pPr>
          </w:p>
        </w:tc>
        <w:tc>
          <w:tcPr>
            <w:tcW w:w="4678" w:type="dxa"/>
          </w:tcPr>
          <w:p w14:paraId="05F424B9" w14:textId="77777777" w:rsidR="00BE36FB" w:rsidRPr="009B7B35" w:rsidRDefault="00BE36FB" w:rsidP="001A7107">
            <w:pPr>
              <w:pStyle w:val="TableText"/>
              <w:rPr>
                <w:rFonts w:cs="Arial"/>
                <w:b/>
              </w:rPr>
            </w:pPr>
            <w:r w:rsidRPr="009B7B35">
              <w:rPr>
                <w:rFonts w:cs="Arial"/>
                <w:b/>
              </w:rPr>
              <w:t>AO2.2</w:t>
            </w:r>
          </w:p>
          <w:p w14:paraId="02318016" w14:textId="77777777" w:rsidR="00BE36FB" w:rsidRPr="009B7B35" w:rsidRDefault="00BE36FB" w:rsidP="001A7107">
            <w:pPr>
              <w:pStyle w:val="TableText"/>
              <w:rPr>
                <w:rFonts w:cs="Arial"/>
              </w:rPr>
            </w:pPr>
            <w:r w:rsidRPr="009B7B35">
              <w:rPr>
                <w:rFonts w:cs="Arial"/>
              </w:rPr>
              <w:t>A minimum of 50% of landscaped areas are to be covered in soft landscaping (turf areas and planting beds), with at least 25% of that area being planting.</w:t>
            </w:r>
          </w:p>
        </w:tc>
      </w:tr>
      <w:tr w:rsidR="00BE36FB" w:rsidRPr="009B7B35" w14:paraId="068A13AD" w14:textId="77777777" w:rsidTr="001A7107">
        <w:trPr>
          <w:cantSplit/>
        </w:trPr>
        <w:tc>
          <w:tcPr>
            <w:tcW w:w="4678" w:type="dxa"/>
            <w:vMerge w:val="restart"/>
          </w:tcPr>
          <w:p w14:paraId="16117A28" w14:textId="77777777" w:rsidR="00BE36FB" w:rsidRPr="009B7B35" w:rsidRDefault="00BE36FB" w:rsidP="001A7107">
            <w:pPr>
              <w:pStyle w:val="TableText"/>
              <w:rPr>
                <w:rFonts w:cs="Arial"/>
                <w:b/>
              </w:rPr>
            </w:pPr>
            <w:r w:rsidRPr="009B7B35">
              <w:rPr>
                <w:rFonts w:cs="Arial"/>
                <w:b/>
              </w:rPr>
              <w:t>PO3</w:t>
            </w:r>
          </w:p>
          <w:p w14:paraId="37880C66" w14:textId="77777777" w:rsidR="00BE36FB" w:rsidRPr="009B7B35" w:rsidRDefault="00BE36FB" w:rsidP="001A7107">
            <w:pPr>
              <w:pStyle w:val="TableText"/>
              <w:rPr>
                <w:rFonts w:cs="Arial"/>
              </w:rPr>
            </w:pPr>
            <w:r w:rsidRPr="009B7B35">
              <w:rPr>
                <w:rFonts w:cs="Arial"/>
              </w:rPr>
              <w:t>Street trees are provided in appropriate locations to:</w:t>
            </w:r>
          </w:p>
          <w:p w14:paraId="795083E9" w14:textId="77777777" w:rsidR="00BE36FB" w:rsidRPr="009B7B35" w:rsidRDefault="00BE36FB" w:rsidP="00BE36FB">
            <w:pPr>
              <w:pStyle w:val="TableText"/>
              <w:numPr>
                <w:ilvl w:val="0"/>
                <w:numId w:val="764"/>
              </w:numPr>
              <w:rPr>
                <w:rFonts w:cs="Arial"/>
              </w:rPr>
            </w:pPr>
            <w:r w:rsidRPr="009B7B35">
              <w:rPr>
                <w:rFonts w:cs="Arial"/>
              </w:rPr>
              <w:t>provide shade for pedestrians along footpaths</w:t>
            </w:r>
          </w:p>
          <w:p w14:paraId="20E18033" w14:textId="77777777" w:rsidR="00BE36FB" w:rsidRPr="009B7B35" w:rsidRDefault="00BE36FB" w:rsidP="00BE36FB">
            <w:pPr>
              <w:pStyle w:val="TableText"/>
              <w:numPr>
                <w:ilvl w:val="0"/>
                <w:numId w:val="764"/>
              </w:numPr>
              <w:rPr>
                <w:rFonts w:cs="Arial"/>
              </w:rPr>
            </w:pPr>
            <w:r w:rsidRPr="009B7B35">
              <w:rPr>
                <w:rFonts w:cs="Arial"/>
              </w:rPr>
              <w:t>reinforce the legibility of the movement network</w:t>
            </w:r>
          </w:p>
          <w:p w14:paraId="05FFF66E" w14:textId="77777777" w:rsidR="00BE36FB" w:rsidRPr="009B7B35" w:rsidRDefault="00BE36FB" w:rsidP="00BE36FB">
            <w:pPr>
              <w:pStyle w:val="TableText"/>
              <w:numPr>
                <w:ilvl w:val="0"/>
                <w:numId w:val="764"/>
              </w:numPr>
              <w:rPr>
                <w:rFonts w:cs="Arial"/>
              </w:rPr>
            </w:pPr>
            <w:r w:rsidRPr="009B7B35">
              <w:rPr>
                <w:rFonts w:cs="Arial"/>
              </w:rPr>
              <w:t>avoid damage to public or private property or infrastructure</w:t>
            </w:r>
          </w:p>
          <w:p w14:paraId="479D7B87" w14:textId="77777777" w:rsidR="00BE36FB" w:rsidRPr="009B7B35" w:rsidRDefault="00BE36FB" w:rsidP="00BE36FB">
            <w:pPr>
              <w:pStyle w:val="TableText"/>
              <w:numPr>
                <w:ilvl w:val="0"/>
                <w:numId w:val="764"/>
              </w:numPr>
              <w:rPr>
                <w:rFonts w:cs="Arial"/>
              </w:rPr>
            </w:pPr>
            <w:r w:rsidRPr="009B7B35">
              <w:rPr>
                <w:rFonts w:cs="Arial"/>
              </w:rPr>
              <w:t>enhance the character of the streetscape, and</w:t>
            </w:r>
          </w:p>
          <w:p w14:paraId="7F98D244" w14:textId="77777777" w:rsidR="00BE36FB" w:rsidRPr="009B7B35" w:rsidRDefault="00BE36FB" w:rsidP="00BE36FB">
            <w:pPr>
              <w:pStyle w:val="TableText"/>
              <w:numPr>
                <w:ilvl w:val="0"/>
                <w:numId w:val="764"/>
              </w:numPr>
              <w:rPr>
                <w:rFonts w:cs="Arial"/>
              </w:rPr>
            </w:pPr>
            <w:r w:rsidRPr="009B7B35">
              <w:rPr>
                <w:rFonts w:cs="Arial"/>
              </w:rPr>
              <w:t>ensure visibility is maintained from entrances and exits to properties and at intersections.</w:t>
            </w:r>
          </w:p>
        </w:tc>
        <w:tc>
          <w:tcPr>
            <w:tcW w:w="4678" w:type="dxa"/>
          </w:tcPr>
          <w:p w14:paraId="24C76DF2" w14:textId="77777777" w:rsidR="00BE36FB" w:rsidRPr="009B7B35" w:rsidRDefault="00BE36FB" w:rsidP="001A7107">
            <w:pPr>
              <w:pStyle w:val="TableText"/>
              <w:rPr>
                <w:rFonts w:cs="Arial"/>
                <w:b/>
              </w:rPr>
            </w:pPr>
            <w:r w:rsidRPr="009B7B35">
              <w:rPr>
                <w:rFonts w:cs="Arial"/>
                <w:b/>
              </w:rPr>
              <w:t>AO3.1</w:t>
            </w:r>
          </w:p>
          <w:p w14:paraId="11D19E7B" w14:textId="77777777" w:rsidR="00BE36FB" w:rsidRPr="009B7B35" w:rsidRDefault="00BE36FB" w:rsidP="001A7107">
            <w:pPr>
              <w:pStyle w:val="TableText"/>
              <w:rPr>
                <w:rFonts w:cs="Arial"/>
              </w:rPr>
            </w:pPr>
            <w:r w:rsidRPr="009B7B35">
              <w:rPr>
                <w:rFonts w:cs="Arial"/>
              </w:rPr>
              <w:t>Street trees are provided at the rate whichever is the lesser of:</w:t>
            </w:r>
          </w:p>
          <w:p w14:paraId="31B985B0" w14:textId="77777777" w:rsidR="00BE36FB" w:rsidRPr="009B7B35" w:rsidRDefault="00BE36FB" w:rsidP="00BE36FB">
            <w:pPr>
              <w:pStyle w:val="TableText"/>
              <w:numPr>
                <w:ilvl w:val="0"/>
                <w:numId w:val="765"/>
              </w:numPr>
              <w:rPr>
                <w:rFonts w:cs="Arial"/>
              </w:rPr>
            </w:pPr>
            <w:r w:rsidRPr="009B7B35">
              <w:rPr>
                <w:rFonts w:cs="Arial"/>
              </w:rPr>
              <w:t xml:space="preserve">one street tree per lot frontage or one tree per 10 linear metres of road frontage or </w:t>
            </w:r>
          </w:p>
          <w:p w14:paraId="354A82D6" w14:textId="77777777" w:rsidR="00BE36FB" w:rsidRPr="009B7B35" w:rsidRDefault="00BE36FB" w:rsidP="00BE36FB">
            <w:pPr>
              <w:pStyle w:val="TableText"/>
              <w:numPr>
                <w:ilvl w:val="0"/>
                <w:numId w:val="765"/>
              </w:numPr>
              <w:rPr>
                <w:rFonts w:cs="Arial"/>
              </w:rPr>
            </w:pPr>
            <w:r w:rsidRPr="009B7B35">
              <w:rPr>
                <w:rFonts w:cs="Arial"/>
              </w:rPr>
              <w:t>a minimum of 1 tree per 400m</w:t>
            </w:r>
            <w:r w:rsidRPr="009B7B35">
              <w:rPr>
                <w:rStyle w:val="StyleSuperscript"/>
                <w:rFonts w:cs="Arial"/>
              </w:rPr>
              <w:t>2</w:t>
            </w:r>
            <w:r w:rsidRPr="009B7B35">
              <w:rPr>
                <w:rFonts w:cs="Arial"/>
              </w:rPr>
              <w:t xml:space="preserve"> of site area.</w:t>
            </w:r>
          </w:p>
        </w:tc>
      </w:tr>
      <w:tr w:rsidR="00BE36FB" w:rsidRPr="009B7B35" w14:paraId="51389EF8" w14:textId="77777777" w:rsidTr="001A7107">
        <w:trPr>
          <w:cantSplit/>
        </w:trPr>
        <w:tc>
          <w:tcPr>
            <w:tcW w:w="4678" w:type="dxa"/>
            <w:vMerge/>
          </w:tcPr>
          <w:p w14:paraId="7A2195B5" w14:textId="77777777" w:rsidR="00BE36FB" w:rsidRPr="009B7B35" w:rsidRDefault="00BE36FB" w:rsidP="001A7107">
            <w:pPr>
              <w:pStyle w:val="TableText"/>
              <w:rPr>
                <w:rFonts w:cs="Arial"/>
              </w:rPr>
            </w:pPr>
          </w:p>
        </w:tc>
        <w:tc>
          <w:tcPr>
            <w:tcW w:w="4678" w:type="dxa"/>
          </w:tcPr>
          <w:p w14:paraId="757933FE" w14:textId="77777777" w:rsidR="00BE36FB" w:rsidRPr="009B7B35" w:rsidRDefault="00BE36FB" w:rsidP="001A7107">
            <w:pPr>
              <w:pStyle w:val="TableText"/>
              <w:rPr>
                <w:rFonts w:cs="Arial"/>
                <w:b/>
              </w:rPr>
            </w:pPr>
            <w:r w:rsidRPr="009B7B35">
              <w:rPr>
                <w:rFonts w:cs="Arial"/>
                <w:b/>
              </w:rPr>
              <w:t>AO3.2</w:t>
            </w:r>
          </w:p>
          <w:p w14:paraId="45CC7F33" w14:textId="77777777" w:rsidR="00BE36FB" w:rsidRPr="009B7B35" w:rsidRDefault="00BE36FB" w:rsidP="001A7107">
            <w:pPr>
              <w:pStyle w:val="TableText"/>
              <w:rPr>
                <w:rFonts w:cs="Arial"/>
              </w:rPr>
            </w:pPr>
            <w:r w:rsidRPr="009B7B35">
              <w:rPr>
                <w:rFonts w:cs="Arial"/>
              </w:rPr>
              <w:t>Species of street trees are selected in accordance with the plant species list in Table 9.3.4.3.2</w:t>
            </w:r>
          </w:p>
        </w:tc>
      </w:tr>
      <w:tr w:rsidR="00BE36FB" w:rsidRPr="009B7B35" w14:paraId="586BCE94" w14:textId="77777777" w:rsidTr="001A7107">
        <w:trPr>
          <w:cantSplit/>
        </w:trPr>
        <w:tc>
          <w:tcPr>
            <w:tcW w:w="4678" w:type="dxa"/>
          </w:tcPr>
          <w:p w14:paraId="043768F6" w14:textId="77777777" w:rsidR="00BE36FB" w:rsidRPr="009B7B35" w:rsidRDefault="00BE36FB" w:rsidP="001A7107">
            <w:pPr>
              <w:pStyle w:val="TableText"/>
              <w:rPr>
                <w:rFonts w:cs="Arial"/>
                <w:b/>
              </w:rPr>
            </w:pPr>
            <w:r w:rsidRPr="009B7B35">
              <w:rPr>
                <w:rFonts w:cs="Arial"/>
                <w:b/>
              </w:rPr>
              <w:t>PO4</w:t>
            </w:r>
          </w:p>
          <w:p w14:paraId="5CC2692D" w14:textId="77777777" w:rsidR="00BE36FB" w:rsidRPr="009B7B35" w:rsidRDefault="00BE36FB" w:rsidP="001A7107">
            <w:pPr>
              <w:pStyle w:val="TableText"/>
              <w:rPr>
                <w:rFonts w:cs="Arial"/>
              </w:rPr>
            </w:pPr>
            <w:r w:rsidRPr="009B7B35">
              <w:rPr>
                <w:rFonts w:cs="Arial"/>
              </w:rPr>
              <w:t xml:space="preserve">Street treatments including pavement, seating, lighting, rubbish bins are provided to: </w:t>
            </w:r>
          </w:p>
          <w:p w14:paraId="2949CBF3" w14:textId="77777777" w:rsidR="00BE36FB" w:rsidRPr="009B7B35" w:rsidRDefault="00BE36FB" w:rsidP="00BE36FB">
            <w:pPr>
              <w:pStyle w:val="TableText"/>
              <w:numPr>
                <w:ilvl w:val="0"/>
                <w:numId w:val="730"/>
              </w:numPr>
              <w:rPr>
                <w:rFonts w:cs="Arial"/>
              </w:rPr>
            </w:pPr>
            <w:r w:rsidRPr="009B7B35">
              <w:rPr>
                <w:rFonts w:cs="Arial"/>
              </w:rPr>
              <w:t>enhance the usability and amenity of streets and public spaces</w:t>
            </w:r>
          </w:p>
          <w:p w14:paraId="0F21F2A3" w14:textId="77777777" w:rsidR="00BE36FB" w:rsidRPr="009B7B35" w:rsidRDefault="00BE36FB" w:rsidP="00BE36FB">
            <w:pPr>
              <w:pStyle w:val="TableText"/>
              <w:numPr>
                <w:ilvl w:val="0"/>
                <w:numId w:val="730"/>
              </w:numPr>
              <w:rPr>
                <w:rFonts w:cs="Arial"/>
              </w:rPr>
            </w:pPr>
            <w:r w:rsidRPr="009B7B35">
              <w:rPr>
                <w:rFonts w:cs="Arial"/>
              </w:rPr>
              <w:t>facilitate social interaction, and</w:t>
            </w:r>
          </w:p>
          <w:p w14:paraId="24660406" w14:textId="77777777" w:rsidR="00BE36FB" w:rsidRPr="009B7B35" w:rsidRDefault="00BE36FB" w:rsidP="00BE36FB">
            <w:pPr>
              <w:pStyle w:val="TableText"/>
              <w:numPr>
                <w:ilvl w:val="0"/>
                <w:numId w:val="730"/>
              </w:numPr>
              <w:rPr>
                <w:rFonts w:cs="Arial"/>
              </w:rPr>
            </w:pPr>
            <w:r w:rsidRPr="009B7B35">
              <w:rPr>
                <w:rFonts w:cs="Arial"/>
              </w:rPr>
              <w:t>maintain clean streetscapes.</w:t>
            </w:r>
          </w:p>
        </w:tc>
        <w:tc>
          <w:tcPr>
            <w:tcW w:w="4678" w:type="dxa"/>
          </w:tcPr>
          <w:p w14:paraId="78B5257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CA88EC4" w14:textId="77777777" w:rsidTr="001A7107">
        <w:tc>
          <w:tcPr>
            <w:tcW w:w="4678" w:type="dxa"/>
            <w:vMerge w:val="restart"/>
          </w:tcPr>
          <w:p w14:paraId="3AE0D703" w14:textId="77777777" w:rsidR="00BE36FB" w:rsidRPr="009B7B35" w:rsidRDefault="00BE36FB" w:rsidP="001A7107">
            <w:pPr>
              <w:pStyle w:val="TableText"/>
              <w:rPr>
                <w:rFonts w:cs="Arial"/>
                <w:b/>
              </w:rPr>
            </w:pPr>
            <w:r w:rsidRPr="009B7B35">
              <w:rPr>
                <w:rFonts w:cs="Arial"/>
                <w:b/>
              </w:rPr>
              <w:t>PO5</w:t>
            </w:r>
          </w:p>
          <w:p w14:paraId="5EA5605C" w14:textId="77777777" w:rsidR="00BE36FB" w:rsidRPr="009B7B35" w:rsidRDefault="00BE36FB" w:rsidP="001A7107">
            <w:pPr>
              <w:pStyle w:val="TableText"/>
              <w:rPr>
                <w:rFonts w:cs="Arial"/>
              </w:rPr>
            </w:pPr>
            <w:r w:rsidRPr="009B7B35">
              <w:rPr>
                <w:rFonts w:cs="Arial"/>
              </w:rPr>
              <w:t>Wherever possible, landscape design facilitates the retention and integration of mature existing vegetation, both within and external to the site.</w:t>
            </w:r>
          </w:p>
        </w:tc>
        <w:tc>
          <w:tcPr>
            <w:tcW w:w="4678" w:type="dxa"/>
          </w:tcPr>
          <w:p w14:paraId="096E9433" w14:textId="77777777" w:rsidR="00BE36FB" w:rsidRPr="009B7B35" w:rsidRDefault="00BE36FB" w:rsidP="001A7107">
            <w:pPr>
              <w:pStyle w:val="TableText"/>
              <w:rPr>
                <w:rFonts w:cs="Arial"/>
                <w:b/>
              </w:rPr>
            </w:pPr>
            <w:r w:rsidRPr="009B7B35">
              <w:rPr>
                <w:rFonts w:cs="Arial"/>
                <w:b/>
              </w:rPr>
              <w:t>AO5.1</w:t>
            </w:r>
          </w:p>
          <w:p w14:paraId="723815C8" w14:textId="77777777" w:rsidR="00BE36FB" w:rsidRPr="009B7B35" w:rsidRDefault="00BE36FB" w:rsidP="001A7107">
            <w:pPr>
              <w:pStyle w:val="TableText"/>
              <w:rPr>
                <w:rFonts w:cs="Arial"/>
              </w:rPr>
            </w:pPr>
            <w:r w:rsidRPr="009B7B35">
              <w:rPr>
                <w:rFonts w:cs="Arial"/>
              </w:rPr>
              <w:t>Existing mature trees and vegetation are retained and incorporated into the landscape design.</w:t>
            </w:r>
          </w:p>
        </w:tc>
      </w:tr>
      <w:tr w:rsidR="00BE36FB" w:rsidRPr="009B7B35" w14:paraId="11F7A6F1" w14:textId="77777777" w:rsidTr="001A7107">
        <w:tc>
          <w:tcPr>
            <w:tcW w:w="4678" w:type="dxa"/>
            <w:vMerge/>
          </w:tcPr>
          <w:p w14:paraId="1979F1D0" w14:textId="77777777" w:rsidR="00BE36FB" w:rsidRPr="009B7B35" w:rsidRDefault="00BE36FB" w:rsidP="001A7107">
            <w:pPr>
              <w:pStyle w:val="TableText"/>
              <w:rPr>
                <w:rFonts w:cs="Arial"/>
              </w:rPr>
            </w:pPr>
          </w:p>
        </w:tc>
        <w:tc>
          <w:tcPr>
            <w:tcW w:w="4678" w:type="dxa"/>
          </w:tcPr>
          <w:p w14:paraId="763E6EBC" w14:textId="77777777" w:rsidR="00BE36FB" w:rsidRPr="009B7B35" w:rsidRDefault="00BE36FB" w:rsidP="001A7107">
            <w:pPr>
              <w:pStyle w:val="TableText"/>
              <w:rPr>
                <w:rFonts w:cs="Arial"/>
                <w:b/>
              </w:rPr>
            </w:pPr>
            <w:r w:rsidRPr="009B7B35">
              <w:rPr>
                <w:rFonts w:cs="Arial"/>
                <w:b/>
              </w:rPr>
              <w:t>AO5.2</w:t>
            </w:r>
          </w:p>
          <w:p w14:paraId="542B08A6" w14:textId="77777777" w:rsidR="00BE36FB" w:rsidRPr="009B7B35" w:rsidRDefault="00BE36FB" w:rsidP="001A7107">
            <w:pPr>
              <w:pStyle w:val="TableText"/>
              <w:rPr>
                <w:rFonts w:cs="Arial"/>
              </w:rPr>
            </w:pPr>
            <w:r w:rsidRPr="009B7B35">
              <w:rPr>
                <w:rFonts w:cs="Arial"/>
              </w:rPr>
              <w:t>Removed or damaged mature vegetation is replaced with mature vegetation of a comparable quantity and species.</w:t>
            </w:r>
          </w:p>
        </w:tc>
      </w:tr>
      <w:tr w:rsidR="00BE36FB" w:rsidRPr="009B7B35" w14:paraId="082DA5EE" w14:textId="77777777" w:rsidTr="001A7107">
        <w:tc>
          <w:tcPr>
            <w:tcW w:w="9356" w:type="dxa"/>
            <w:gridSpan w:val="2"/>
            <w:shd w:val="clear" w:color="auto" w:fill="BFBFBF" w:themeFill="background1" w:themeFillShade="BF"/>
          </w:tcPr>
          <w:p w14:paraId="64CC2ED6" w14:textId="77777777" w:rsidR="00BE36FB" w:rsidRPr="009B7B35" w:rsidRDefault="00BE36FB" w:rsidP="001A7107">
            <w:pPr>
              <w:pStyle w:val="Tableheading"/>
              <w:rPr>
                <w:rFonts w:ascii="Arial" w:hAnsi="Arial" w:cs="Arial"/>
                <w:szCs w:val="20"/>
              </w:rPr>
            </w:pPr>
            <w:r w:rsidRPr="009B7B35">
              <w:rPr>
                <w:rFonts w:ascii="Arial" w:hAnsi="Arial" w:cs="Arial"/>
                <w:szCs w:val="20"/>
              </w:rPr>
              <w:t>Landscaping along boundaries and edges</w:t>
            </w:r>
          </w:p>
        </w:tc>
      </w:tr>
      <w:tr w:rsidR="00BE36FB" w:rsidRPr="009B7B35" w14:paraId="1B4626BE" w14:textId="77777777" w:rsidTr="001A7107">
        <w:tc>
          <w:tcPr>
            <w:tcW w:w="4678" w:type="dxa"/>
          </w:tcPr>
          <w:p w14:paraId="5A435B4C" w14:textId="77777777" w:rsidR="00BE36FB" w:rsidRPr="009B7B35" w:rsidRDefault="00BE36FB" w:rsidP="001A7107">
            <w:pPr>
              <w:pStyle w:val="TableText"/>
              <w:rPr>
                <w:rFonts w:cs="Arial"/>
                <w:b/>
              </w:rPr>
            </w:pPr>
            <w:r w:rsidRPr="009B7B35">
              <w:rPr>
                <w:rFonts w:cs="Arial"/>
                <w:b/>
              </w:rPr>
              <w:t>PO6</w:t>
            </w:r>
          </w:p>
          <w:p w14:paraId="65126985" w14:textId="77777777" w:rsidR="00BE36FB" w:rsidRPr="009B7B35" w:rsidRDefault="00BE36FB" w:rsidP="001A7107">
            <w:pPr>
              <w:pStyle w:val="TableText"/>
              <w:rPr>
                <w:rFonts w:cs="Arial"/>
              </w:rPr>
            </w:pPr>
            <w:r w:rsidRPr="009B7B35">
              <w:rPr>
                <w:rFonts w:cs="Arial"/>
              </w:rPr>
              <w:t>Planting and landscape elements along boundaries and edges assist in:</w:t>
            </w:r>
          </w:p>
          <w:p w14:paraId="0E66F746" w14:textId="77777777" w:rsidR="00BE36FB" w:rsidRPr="009B7B35" w:rsidRDefault="00BE36FB" w:rsidP="00BE36FB">
            <w:pPr>
              <w:pStyle w:val="TableText"/>
              <w:numPr>
                <w:ilvl w:val="0"/>
                <w:numId w:val="729"/>
              </w:numPr>
              <w:rPr>
                <w:rFonts w:cs="Arial"/>
              </w:rPr>
            </w:pPr>
            <w:r w:rsidRPr="009B7B35">
              <w:rPr>
                <w:rFonts w:cs="Arial"/>
              </w:rPr>
              <w:t>maintaining privacy between adjoining buildings</w:t>
            </w:r>
          </w:p>
          <w:p w14:paraId="1F28F7BF" w14:textId="77777777" w:rsidR="00BE36FB" w:rsidRPr="009B7B35" w:rsidRDefault="00BE36FB" w:rsidP="00BE36FB">
            <w:pPr>
              <w:pStyle w:val="TableText"/>
              <w:numPr>
                <w:ilvl w:val="0"/>
                <w:numId w:val="729"/>
              </w:numPr>
              <w:rPr>
                <w:rFonts w:cs="Arial"/>
              </w:rPr>
            </w:pPr>
            <w:r w:rsidRPr="009B7B35">
              <w:rPr>
                <w:rFonts w:cs="Arial"/>
              </w:rPr>
              <w:t>protecting local views, vistas and sightlines</w:t>
            </w:r>
          </w:p>
          <w:p w14:paraId="01B52086" w14:textId="77777777" w:rsidR="00BE36FB" w:rsidRPr="009B7B35" w:rsidRDefault="00BE36FB" w:rsidP="00BE36FB">
            <w:pPr>
              <w:pStyle w:val="TableText"/>
              <w:numPr>
                <w:ilvl w:val="0"/>
                <w:numId w:val="729"/>
              </w:numPr>
              <w:rPr>
                <w:rFonts w:cs="Arial"/>
              </w:rPr>
            </w:pPr>
            <w:r w:rsidRPr="009B7B35">
              <w:rPr>
                <w:rFonts w:cs="Arial"/>
              </w:rPr>
              <w:t>enhancing the visual appearance of the built form</w:t>
            </w:r>
          </w:p>
          <w:p w14:paraId="1CAD68C2" w14:textId="77777777" w:rsidR="00BE36FB" w:rsidRPr="009B7B35" w:rsidRDefault="00BE36FB" w:rsidP="00BE36FB">
            <w:pPr>
              <w:pStyle w:val="TableText"/>
              <w:numPr>
                <w:ilvl w:val="0"/>
                <w:numId w:val="729"/>
              </w:numPr>
              <w:rPr>
                <w:rFonts w:cs="Arial"/>
              </w:rPr>
            </w:pPr>
            <w:r w:rsidRPr="009B7B35">
              <w:rPr>
                <w:rFonts w:cs="Arial"/>
              </w:rPr>
              <w:t>screening service, utility and parking areas</w:t>
            </w:r>
          </w:p>
          <w:p w14:paraId="4398972C" w14:textId="77777777" w:rsidR="00BE36FB" w:rsidRPr="009B7B35" w:rsidRDefault="00BE36FB" w:rsidP="00BE36FB">
            <w:pPr>
              <w:pStyle w:val="TableText"/>
              <w:numPr>
                <w:ilvl w:val="0"/>
                <w:numId w:val="729"/>
              </w:numPr>
              <w:rPr>
                <w:rFonts w:cs="Arial"/>
              </w:rPr>
            </w:pPr>
            <w:r w:rsidRPr="009B7B35">
              <w:rPr>
                <w:rFonts w:cs="Arial"/>
              </w:rPr>
              <w:t xml:space="preserve">minimising noise impacts between noise sources and sensitive receiving environments, and </w:t>
            </w:r>
          </w:p>
          <w:p w14:paraId="4FEC4268" w14:textId="77777777" w:rsidR="00BE36FB" w:rsidRPr="009B7B35" w:rsidRDefault="00BE36FB" w:rsidP="00BE36FB">
            <w:pPr>
              <w:pStyle w:val="TableText"/>
              <w:numPr>
                <w:ilvl w:val="0"/>
                <w:numId w:val="729"/>
              </w:numPr>
              <w:rPr>
                <w:rFonts w:cs="Arial"/>
              </w:rPr>
            </w:pPr>
            <w:r w:rsidRPr="009B7B35">
              <w:rPr>
                <w:rFonts w:cs="Arial"/>
              </w:rPr>
              <w:t>reducing the visual impact of acoustic fences, retaining walls and long unbroken walls.</w:t>
            </w:r>
          </w:p>
        </w:tc>
        <w:tc>
          <w:tcPr>
            <w:tcW w:w="4678" w:type="dxa"/>
          </w:tcPr>
          <w:p w14:paraId="35BC7E4D"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5B2FBAC" w14:textId="77777777" w:rsidTr="001A7107">
        <w:trPr>
          <w:cantSplit/>
        </w:trPr>
        <w:tc>
          <w:tcPr>
            <w:tcW w:w="9356" w:type="dxa"/>
            <w:gridSpan w:val="2"/>
            <w:shd w:val="clear" w:color="auto" w:fill="BFBFBF" w:themeFill="background1" w:themeFillShade="BF"/>
          </w:tcPr>
          <w:p w14:paraId="6D490789" w14:textId="77777777" w:rsidR="00BE36FB" w:rsidRPr="009B7B35" w:rsidRDefault="00BE36FB" w:rsidP="001A7107">
            <w:pPr>
              <w:pStyle w:val="Tableheading"/>
              <w:rPr>
                <w:rFonts w:ascii="Arial" w:hAnsi="Arial" w:cs="Arial"/>
                <w:szCs w:val="20"/>
              </w:rPr>
            </w:pPr>
            <w:r w:rsidRPr="009B7B35">
              <w:rPr>
                <w:rFonts w:ascii="Arial" w:hAnsi="Arial" w:cs="Arial"/>
                <w:szCs w:val="20"/>
              </w:rPr>
              <w:t>Open air car parking</w:t>
            </w:r>
          </w:p>
        </w:tc>
      </w:tr>
      <w:tr w:rsidR="00BE36FB" w:rsidRPr="009B7B35" w14:paraId="7016199E" w14:textId="77777777" w:rsidTr="001A7107">
        <w:trPr>
          <w:cantSplit/>
        </w:trPr>
        <w:tc>
          <w:tcPr>
            <w:tcW w:w="4678" w:type="dxa"/>
            <w:vMerge w:val="restart"/>
          </w:tcPr>
          <w:p w14:paraId="5E6DB459" w14:textId="77777777" w:rsidR="00BE36FB" w:rsidRPr="009B7B35" w:rsidRDefault="00BE36FB" w:rsidP="001A7107">
            <w:pPr>
              <w:pStyle w:val="TableText"/>
              <w:rPr>
                <w:rFonts w:cs="Arial"/>
                <w:b/>
              </w:rPr>
            </w:pPr>
            <w:r w:rsidRPr="009B7B35">
              <w:rPr>
                <w:rFonts w:cs="Arial"/>
                <w:b/>
              </w:rPr>
              <w:t>PO7</w:t>
            </w:r>
          </w:p>
          <w:p w14:paraId="31ACA362" w14:textId="77777777" w:rsidR="00BE36FB" w:rsidRPr="009B7B35" w:rsidRDefault="00BE36FB" w:rsidP="001A7107">
            <w:pPr>
              <w:pStyle w:val="TableText"/>
              <w:rPr>
                <w:rFonts w:cs="Arial"/>
              </w:rPr>
            </w:pPr>
            <w:r w:rsidRPr="009B7B35">
              <w:rPr>
                <w:rFonts w:cs="Arial"/>
              </w:rPr>
              <w:t>Open air car parking areas are provided with suitable levels of shade through the use of appropriate planting.</w:t>
            </w:r>
          </w:p>
        </w:tc>
        <w:tc>
          <w:tcPr>
            <w:tcW w:w="4678" w:type="dxa"/>
          </w:tcPr>
          <w:p w14:paraId="4704B367" w14:textId="77777777" w:rsidR="00BE36FB" w:rsidRPr="009B7B35" w:rsidRDefault="00BE36FB" w:rsidP="001A7107">
            <w:pPr>
              <w:pStyle w:val="TableText"/>
              <w:rPr>
                <w:rFonts w:cs="Arial"/>
                <w:b/>
              </w:rPr>
            </w:pPr>
            <w:r w:rsidRPr="009B7B35">
              <w:rPr>
                <w:rFonts w:cs="Arial"/>
                <w:b/>
              </w:rPr>
              <w:t>AO7.1</w:t>
            </w:r>
          </w:p>
          <w:p w14:paraId="1A63573A" w14:textId="77777777" w:rsidR="00BE36FB" w:rsidRPr="009B7B35" w:rsidRDefault="00BE36FB" w:rsidP="001A7107">
            <w:pPr>
              <w:pStyle w:val="TableText"/>
              <w:rPr>
                <w:rFonts w:cs="Arial"/>
              </w:rPr>
            </w:pPr>
            <w:r w:rsidRPr="009B7B35">
              <w:rPr>
                <w:rFonts w:cs="Arial"/>
              </w:rPr>
              <w:t>Shade trees are located at the rate of 1 tree per 6 car spaces.</w:t>
            </w:r>
          </w:p>
        </w:tc>
      </w:tr>
      <w:tr w:rsidR="00BE36FB" w:rsidRPr="009B7B35" w14:paraId="32CCDC30" w14:textId="77777777" w:rsidTr="001A7107">
        <w:trPr>
          <w:cantSplit/>
        </w:trPr>
        <w:tc>
          <w:tcPr>
            <w:tcW w:w="4678" w:type="dxa"/>
            <w:vMerge/>
          </w:tcPr>
          <w:p w14:paraId="1AE1C287" w14:textId="77777777" w:rsidR="00BE36FB" w:rsidRPr="009B7B35" w:rsidRDefault="00BE36FB" w:rsidP="001A7107">
            <w:pPr>
              <w:pStyle w:val="TableText"/>
              <w:rPr>
                <w:rFonts w:cs="Arial"/>
              </w:rPr>
            </w:pPr>
          </w:p>
        </w:tc>
        <w:tc>
          <w:tcPr>
            <w:tcW w:w="4678" w:type="dxa"/>
          </w:tcPr>
          <w:p w14:paraId="61F07FE5" w14:textId="77777777" w:rsidR="00BE36FB" w:rsidRPr="009B7B35" w:rsidRDefault="00BE36FB" w:rsidP="001A7107">
            <w:pPr>
              <w:pStyle w:val="TableText"/>
              <w:rPr>
                <w:rFonts w:cs="Arial"/>
                <w:b/>
              </w:rPr>
            </w:pPr>
            <w:r w:rsidRPr="009B7B35">
              <w:rPr>
                <w:rFonts w:cs="Arial"/>
                <w:b/>
              </w:rPr>
              <w:t>AO7.2</w:t>
            </w:r>
          </w:p>
          <w:p w14:paraId="62675FA3" w14:textId="77777777" w:rsidR="00BE36FB" w:rsidRPr="009B7B35" w:rsidRDefault="00BE36FB" w:rsidP="001A7107">
            <w:pPr>
              <w:pStyle w:val="TableText"/>
              <w:rPr>
                <w:rFonts w:cs="Arial"/>
              </w:rPr>
            </w:pPr>
            <w:r w:rsidRPr="009B7B35">
              <w:rPr>
                <w:rFonts w:cs="Arial"/>
              </w:rPr>
              <w:t>Wheel stops are provided to protect vegetation.</w:t>
            </w:r>
          </w:p>
        </w:tc>
      </w:tr>
      <w:tr w:rsidR="00BE36FB" w:rsidRPr="009B7B35" w14:paraId="5B9F5D4B" w14:textId="77777777" w:rsidTr="001A7107">
        <w:trPr>
          <w:cantSplit/>
        </w:trPr>
        <w:tc>
          <w:tcPr>
            <w:tcW w:w="4678" w:type="dxa"/>
            <w:vMerge/>
          </w:tcPr>
          <w:p w14:paraId="7827ED75" w14:textId="77777777" w:rsidR="00BE36FB" w:rsidRPr="009B7B35" w:rsidRDefault="00BE36FB" w:rsidP="001A7107">
            <w:pPr>
              <w:pStyle w:val="TableText"/>
              <w:rPr>
                <w:rFonts w:cs="Arial"/>
              </w:rPr>
            </w:pPr>
          </w:p>
        </w:tc>
        <w:tc>
          <w:tcPr>
            <w:tcW w:w="4678" w:type="dxa"/>
          </w:tcPr>
          <w:p w14:paraId="2ECDA168" w14:textId="77777777" w:rsidR="00BE36FB" w:rsidRPr="009B7B35" w:rsidRDefault="00BE36FB" w:rsidP="001A7107">
            <w:pPr>
              <w:pStyle w:val="TableText"/>
              <w:rPr>
                <w:rFonts w:cs="Arial"/>
                <w:b/>
              </w:rPr>
            </w:pPr>
            <w:r w:rsidRPr="009B7B35">
              <w:rPr>
                <w:rFonts w:cs="Arial"/>
                <w:b/>
              </w:rPr>
              <w:t>AO7.3</w:t>
            </w:r>
          </w:p>
          <w:p w14:paraId="21B5EF05" w14:textId="77777777" w:rsidR="00BE36FB" w:rsidRPr="009B7B35" w:rsidRDefault="00BE36FB" w:rsidP="001A7107">
            <w:pPr>
              <w:pStyle w:val="TableText"/>
              <w:rPr>
                <w:rFonts w:cs="Arial"/>
              </w:rPr>
            </w:pPr>
            <w:r w:rsidRPr="009B7B35">
              <w:rPr>
                <w:rFonts w:cs="Arial"/>
              </w:rPr>
              <w:t>Tree selection is in accordance with plant species list.</w:t>
            </w:r>
          </w:p>
        </w:tc>
      </w:tr>
      <w:tr w:rsidR="00BE36FB" w:rsidRPr="009B7B35" w14:paraId="042E1933" w14:textId="77777777" w:rsidTr="001A7107">
        <w:trPr>
          <w:cantSplit/>
        </w:trPr>
        <w:tc>
          <w:tcPr>
            <w:tcW w:w="9356" w:type="dxa"/>
            <w:gridSpan w:val="2"/>
            <w:shd w:val="clear" w:color="auto" w:fill="BFBFBF" w:themeFill="background1" w:themeFillShade="BF"/>
          </w:tcPr>
          <w:p w14:paraId="0BCAF538" w14:textId="77777777" w:rsidR="00BE36FB" w:rsidRPr="009B7B35" w:rsidRDefault="00BE36FB" w:rsidP="001A7107">
            <w:pPr>
              <w:pStyle w:val="Tableheading"/>
              <w:rPr>
                <w:rFonts w:ascii="Arial" w:hAnsi="Arial" w:cs="Arial"/>
                <w:szCs w:val="20"/>
              </w:rPr>
            </w:pPr>
            <w:r w:rsidRPr="009B7B35">
              <w:rPr>
                <w:rFonts w:ascii="Arial" w:hAnsi="Arial" w:cs="Arial"/>
                <w:szCs w:val="20"/>
              </w:rPr>
              <w:t>Sustainability</w:t>
            </w:r>
          </w:p>
        </w:tc>
      </w:tr>
      <w:tr w:rsidR="00BE36FB" w:rsidRPr="009B7B35" w14:paraId="14396AAB" w14:textId="77777777" w:rsidTr="001A7107">
        <w:trPr>
          <w:cantSplit/>
        </w:trPr>
        <w:tc>
          <w:tcPr>
            <w:tcW w:w="4678" w:type="dxa"/>
          </w:tcPr>
          <w:p w14:paraId="77896150" w14:textId="77777777" w:rsidR="00BE36FB" w:rsidRPr="009B7B35" w:rsidRDefault="00BE36FB" w:rsidP="001A7107">
            <w:pPr>
              <w:pStyle w:val="TableText"/>
              <w:rPr>
                <w:rFonts w:cs="Arial"/>
                <w:b/>
              </w:rPr>
            </w:pPr>
            <w:r w:rsidRPr="009B7B35">
              <w:rPr>
                <w:rFonts w:cs="Arial"/>
                <w:b/>
              </w:rPr>
              <w:t>PO8</w:t>
            </w:r>
          </w:p>
          <w:p w14:paraId="6C672535" w14:textId="77777777" w:rsidR="00BE36FB" w:rsidRPr="009B7B35" w:rsidRDefault="00BE36FB" w:rsidP="001A7107">
            <w:pPr>
              <w:pStyle w:val="TableText"/>
              <w:rPr>
                <w:rFonts w:cs="Arial"/>
              </w:rPr>
            </w:pPr>
            <w:r w:rsidRPr="009B7B35">
              <w:rPr>
                <w:rFonts w:cs="Arial"/>
              </w:rPr>
              <w:t>Landscape design including irrigation methods optimise water and energy efficiency and responds appropriately to local conditions, by:</w:t>
            </w:r>
          </w:p>
          <w:p w14:paraId="4C0B58DD" w14:textId="77777777" w:rsidR="00BE36FB" w:rsidRPr="009B7B35" w:rsidRDefault="00BE36FB" w:rsidP="00BE36FB">
            <w:pPr>
              <w:pStyle w:val="TableText"/>
              <w:numPr>
                <w:ilvl w:val="0"/>
                <w:numId w:val="766"/>
              </w:numPr>
              <w:rPr>
                <w:rFonts w:cs="Arial"/>
              </w:rPr>
            </w:pPr>
            <w:r w:rsidRPr="009B7B35">
              <w:rPr>
                <w:rFonts w:cs="Arial"/>
              </w:rPr>
              <w:t>maximising the exposure to the prevailing summer breezes and the north–east winter morning sun</w:t>
            </w:r>
          </w:p>
          <w:p w14:paraId="6A5D04CD" w14:textId="77777777" w:rsidR="00BE36FB" w:rsidRPr="009B7B35" w:rsidRDefault="00BE36FB" w:rsidP="00BE36FB">
            <w:pPr>
              <w:pStyle w:val="TableText"/>
              <w:numPr>
                <w:ilvl w:val="0"/>
                <w:numId w:val="766"/>
              </w:numPr>
              <w:rPr>
                <w:rFonts w:cs="Arial"/>
              </w:rPr>
            </w:pPr>
            <w:r w:rsidRPr="009B7B35">
              <w:rPr>
                <w:rFonts w:cs="Arial"/>
              </w:rPr>
              <w:t>minimising exposure to the prevailing winter winds and western summer sun</w:t>
            </w:r>
          </w:p>
          <w:p w14:paraId="0D8E299B" w14:textId="77777777" w:rsidR="00BE36FB" w:rsidRPr="009B7B35" w:rsidRDefault="00BE36FB" w:rsidP="00BE36FB">
            <w:pPr>
              <w:pStyle w:val="TableText"/>
              <w:numPr>
                <w:ilvl w:val="0"/>
                <w:numId w:val="766"/>
              </w:numPr>
              <w:rPr>
                <w:rFonts w:cs="Arial"/>
              </w:rPr>
            </w:pPr>
            <w:r w:rsidRPr="009B7B35">
              <w:rPr>
                <w:rFonts w:cs="Arial"/>
              </w:rPr>
              <w:t xml:space="preserve">optimising shade to create useable and comfortable areas, and </w:t>
            </w:r>
          </w:p>
          <w:p w14:paraId="21DEDFD3" w14:textId="77777777" w:rsidR="00BE36FB" w:rsidRPr="009B7B35" w:rsidRDefault="00BE36FB" w:rsidP="00BE36FB">
            <w:pPr>
              <w:pStyle w:val="TableText"/>
              <w:numPr>
                <w:ilvl w:val="0"/>
                <w:numId w:val="766"/>
              </w:numPr>
              <w:rPr>
                <w:rFonts w:cs="Arial"/>
              </w:rPr>
            </w:pPr>
            <w:r w:rsidRPr="009B7B35">
              <w:rPr>
                <w:rFonts w:cs="Arial"/>
              </w:rPr>
              <w:t>maintaining infiltration to subsurface soil.</w:t>
            </w:r>
          </w:p>
        </w:tc>
        <w:tc>
          <w:tcPr>
            <w:tcW w:w="4678" w:type="dxa"/>
          </w:tcPr>
          <w:p w14:paraId="7E3D642F"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50285E0" w14:textId="77777777" w:rsidTr="001A7107">
        <w:trPr>
          <w:cantSplit/>
        </w:trPr>
        <w:tc>
          <w:tcPr>
            <w:tcW w:w="9356" w:type="dxa"/>
            <w:gridSpan w:val="2"/>
            <w:shd w:val="clear" w:color="auto" w:fill="BFBFBF" w:themeFill="background1" w:themeFillShade="BF"/>
          </w:tcPr>
          <w:p w14:paraId="79BDE4E1" w14:textId="77777777" w:rsidR="00BE36FB" w:rsidRPr="009B7B35" w:rsidRDefault="00BE36FB" w:rsidP="001A7107">
            <w:pPr>
              <w:pStyle w:val="Tableheading"/>
              <w:rPr>
                <w:rFonts w:ascii="Arial" w:hAnsi="Arial" w:cs="Arial"/>
                <w:szCs w:val="20"/>
              </w:rPr>
            </w:pPr>
            <w:r w:rsidRPr="009B7B35">
              <w:rPr>
                <w:rFonts w:ascii="Arial" w:hAnsi="Arial" w:cs="Arial"/>
                <w:szCs w:val="20"/>
              </w:rPr>
              <w:t>Safety</w:t>
            </w:r>
          </w:p>
        </w:tc>
      </w:tr>
      <w:tr w:rsidR="00BE36FB" w:rsidRPr="009B7B35" w14:paraId="1CBCDA71" w14:textId="77777777" w:rsidTr="001A7107">
        <w:trPr>
          <w:trHeight w:val="36"/>
        </w:trPr>
        <w:tc>
          <w:tcPr>
            <w:tcW w:w="4678" w:type="dxa"/>
            <w:vMerge w:val="restart"/>
          </w:tcPr>
          <w:p w14:paraId="4CD698D9" w14:textId="77777777" w:rsidR="00BE36FB" w:rsidRPr="009B7B35" w:rsidRDefault="00BE36FB" w:rsidP="001A7107">
            <w:pPr>
              <w:pStyle w:val="TableText"/>
              <w:rPr>
                <w:rFonts w:cs="Arial"/>
                <w:b/>
              </w:rPr>
            </w:pPr>
            <w:r w:rsidRPr="009B7B35">
              <w:rPr>
                <w:rFonts w:cs="Arial"/>
                <w:b/>
              </w:rPr>
              <w:t>PO9</w:t>
            </w:r>
          </w:p>
          <w:p w14:paraId="5FB298B1" w14:textId="77777777" w:rsidR="00BE36FB" w:rsidRPr="009B7B35" w:rsidRDefault="00BE36FB" w:rsidP="001A7107">
            <w:pPr>
              <w:pStyle w:val="TableText"/>
              <w:rPr>
                <w:rFonts w:cs="Arial"/>
              </w:rPr>
            </w:pPr>
            <w:r w:rsidRPr="009B7B35">
              <w:rPr>
                <w:rFonts w:cs="Arial"/>
              </w:rPr>
              <w:t>Landscape elements enhance the safety, legibility of places and do not undermine the surveillance of paths, walkways, parking areas, streets and public spaces by ensuring:</w:t>
            </w:r>
          </w:p>
          <w:p w14:paraId="6198B2AA" w14:textId="77777777" w:rsidR="00BE36FB" w:rsidRPr="009B7B35" w:rsidRDefault="00BE36FB" w:rsidP="00BE36FB">
            <w:pPr>
              <w:pStyle w:val="TableText"/>
              <w:numPr>
                <w:ilvl w:val="0"/>
                <w:numId w:val="767"/>
              </w:numPr>
              <w:rPr>
                <w:rFonts w:cs="Arial"/>
              </w:rPr>
            </w:pPr>
            <w:r w:rsidRPr="009B7B35">
              <w:rPr>
                <w:rFonts w:cs="Arial"/>
              </w:rPr>
              <w:t>landscape elements (including signage and other infrastructure) does not interfere with sightlines</w:t>
            </w:r>
          </w:p>
          <w:p w14:paraId="3A0B00F8" w14:textId="77777777" w:rsidR="00BE36FB" w:rsidRPr="009B7B35" w:rsidRDefault="00BE36FB" w:rsidP="00BE36FB">
            <w:pPr>
              <w:pStyle w:val="TableText"/>
              <w:numPr>
                <w:ilvl w:val="0"/>
                <w:numId w:val="767"/>
              </w:numPr>
              <w:rPr>
                <w:rFonts w:cs="Arial"/>
              </w:rPr>
            </w:pPr>
            <w:r w:rsidRPr="009B7B35">
              <w:rPr>
                <w:rFonts w:cs="Arial"/>
              </w:rPr>
              <w:t>spaces are well lit, free from obstructions and clearly defined by landscape treatments, and</w:t>
            </w:r>
          </w:p>
          <w:p w14:paraId="5331026F" w14:textId="77777777" w:rsidR="00BE36FB" w:rsidRPr="009B7B35" w:rsidRDefault="00BE36FB" w:rsidP="00BE36FB">
            <w:pPr>
              <w:pStyle w:val="TableText"/>
              <w:numPr>
                <w:ilvl w:val="0"/>
                <w:numId w:val="767"/>
              </w:numPr>
              <w:rPr>
                <w:rFonts w:cs="Arial"/>
              </w:rPr>
            </w:pPr>
            <w:r w:rsidRPr="009B7B35">
              <w:rPr>
                <w:rFonts w:cs="Arial"/>
              </w:rPr>
              <w:t>public and private areas are clearly distinguishable and accessible.</w:t>
            </w:r>
          </w:p>
          <w:p w14:paraId="1A373C16" w14:textId="77777777" w:rsidR="00BE36FB" w:rsidRPr="009B7B35" w:rsidRDefault="00BE36FB" w:rsidP="001A7107">
            <w:pPr>
              <w:pStyle w:val="Notes"/>
              <w:rPr>
                <w:rFonts w:cs="Arial"/>
                <w:sz w:val="20"/>
                <w:szCs w:val="20"/>
              </w:rPr>
            </w:pPr>
            <w:r w:rsidRPr="009B7B35">
              <w:rPr>
                <w:rFonts w:cs="Arial"/>
                <w:sz w:val="20"/>
                <w:szCs w:val="20"/>
              </w:rPr>
              <w:t xml:space="preserve">Note—Applicants should have regard to </w:t>
            </w:r>
            <w:hyperlink r:id="rId103" w:tgtFrame="_blank" w:tooltip="Crime Prevention through Environmental Design Guidelines for Queensland" w:history="1">
              <w:r w:rsidRPr="009B7B35">
                <w:rPr>
                  <w:rStyle w:val="Hyperlink"/>
                  <w:rFonts w:cs="Arial"/>
                  <w:sz w:val="20"/>
                  <w:szCs w:val="20"/>
                </w:rPr>
                <w:t>Crime Prevention through Environmental Design Guidelines for Queensland</w:t>
              </w:r>
            </w:hyperlink>
            <w:r w:rsidRPr="009B7B35">
              <w:rPr>
                <w:rFonts w:cs="Arial"/>
                <w:sz w:val="20"/>
                <w:szCs w:val="20"/>
              </w:rPr>
              <w:t>.</w:t>
            </w:r>
          </w:p>
        </w:tc>
        <w:tc>
          <w:tcPr>
            <w:tcW w:w="4678" w:type="dxa"/>
          </w:tcPr>
          <w:p w14:paraId="5408D0B6" w14:textId="77777777" w:rsidR="00BE36FB" w:rsidRPr="009B7B35" w:rsidRDefault="00BE36FB" w:rsidP="001A7107">
            <w:pPr>
              <w:pStyle w:val="TableText"/>
              <w:rPr>
                <w:rFonts w:cs="Arial"/>
                <w:b/>
              </w:rPr>
            </w:pPr>
            <w:r w:rsidRPr="009B7B35">
              <w:rPr>
                <w:rFonts w:cs="Arial"/>
                <w:b/>
              </w:rPr>
              <w:t>AO9.1</w:t>
            </w:r>
          </w:p>
          <w:p w14:paraId="713BC336" w14:textId="77777777" w:rsidR="00BE36FB" w:rsidRPr="009B7B35" w:rsidRDefault="00BE36FB" w:rsidP="001A7107">
            <w:pPr>
              <w:pStyle w:val="TableText"/>
              <w:rPr>
                <w:rFonts w:cs="Arial"/>
              </w:rPr>
            </w:pPr>
            <w:r w:rsidRPr="009B7B35">
              <w:rPr>
                <w:rFonts w:cs="Arial"/>
              </w:rPr>
              <w:t>Plant selection adjacent to pedestrian movement areas provides a clear trunk of at least 2m at maturity.</w:t>
            </w:r>
          </w:p>
        </w:tc>
      </w:tr>
      <w:tr w:rsidR="00BE36FB" w:rsidRPr="009B7B35" w14:paraId="065141FC" w14:textId="77777777" w:rsidTr="001A7107">
        <w:trPr>
          <w:trHeight w:val="1114"/>
        </w:trPr>
        <w:tc>
          <w:tcPr>
            <w:tcW w:w="4678" w:type="dxa"/>
            <w:vMerge/>
          </w:tcPr>
          <w:p w14:paraId="1414E337" w14:textId="77777777" w:rsidR="00BE36FB" w:rsidRPr="009B7B35" w:rsidRDefault="00BE36FB" w:rsidP="001A7107">
            <w:pPr>
              <w:pStyle w:val="TableText"/>
              <w:rPr>
                <w:rFonts w:cs="Arial"/>
              </w:rPr>
            </w:pPr>
          </w:p>
        </w:tc>
        <w:tc>
          <w:tcPr>
            <w:tcW w:w="4678" w:type="dxa"/>
          </w:tcPr>
          <w:p w14:paraId="005D775F" w14:textId="77777777" w:rsidR="00BE36FB" w:rsidRPr="009B7B35" w:rsidRDefault="00BE36FB" w:rsidP="001A7107">
            <w:pPr>
              <w:pStyle w:val="TableText"/>
              <w:rPr>
                <w:rFonts w:cs="Arial"/>
                <w:b/>
              </w:rPr>
            </w:pPr>
            <w:r w:rsidRPr="009B7B35">
              <w:rPr>
                <w:rFonts w:cs="Arial"/>
                <w:b/>
              </w:rPr>
              <w:t>AO9.2</w:t>
            </w:r>
          </w:p>
          <w:p w14:paraId="1CB92871" w14:textId="77777777" w:rsidR="00BE36FB" w:rsidRPr="009B7B35" w:rsidRDefault="00BE36FB" w:rsidP="001A7107">
            <w:pPr>
              <w:pStyle w:val="TableText"/>
              <w:rPr>
                <w:rFonts w:cs="Arial"/>
              </w:rPr>
            </w:pPr>
            <w:r w:rsidRPr="009B7B35">
              <w:rPr>
                <w:rFonts w:cs="Arial"/>
              </w:rPr>
              <w:t>Understorey planting maintains a height of less than 600mm at maturity.</w:t>
            </w:r>
          </w:p>
        </w:tc>
      </w:tr>
      <w:tr w:rsidR="00BE36FB" w:rsidRPr="009B7B35" w14:paraId="6BECFAD1" w14:textId="77777777" w:rsidTr="001A7107">
        <w:tc>
          <w:tcPr>
            <w:tcW w:w="9356" w:type="dxa"/>
            <w:gridSpan w:val="2"/>
            <w:shd w:val="clear" w:color="auto" w:fill="BFBFBF" w:themeFill="background1" w:themeFillShade="BF"/>
          </w:tcPr>
          <w:p w14:paraId="765D149E" w14:textId="77777777" w:rsidR="00BE36FB" w:rsidRPr="009B7B35" w:rsidRDefault="00BE36FB" w:rsidP="001A7107">
            <w:pPr>
              <w:pStyle w:val="Tableheading"/>
              <w:rPr>
                <w:rFonts w:ascii="Arial" w:hAnsi="Arial" w:cs="Arial"/>
                <w:szCs w:val="20"/>
              </w:rPr>
            </w:pPr>
            <w:r w:rsidRPr="009B7B35">
              <w:rPr>
                <w:rFonts w:ascii="Arial" w:hAnsi="Arial" w:cs="Arial"/>
                <w:szCs w:val="20"/>
              </w:rPr>
              <w:t>Maintenance</w:t>
            </w:r>
          </w:p>
        </w:tc>
      </w:tr>
      <w:tr w:rsidR="00BE36FB" w:rsidRPr="009B7B35" w14:paraId="1FA7352B" w14:textId="77777777" w:rsidTr="001A7107">
        <w:tc>
          <w:tcPr>
            <w:tcW w:w="4678" w:type="dxa"/>
          </w:tcPr>
          <w:p w14:paraId="7D5F02DB" w14:textId="77777777" w:rsidR="00BE36FB" w:rsidRPr="009B7B35" w:rsidRDefault="00BE36FB" w:rsidP="001A7107">
            <w:pPr>
              <w:pStyle w:val="TableText"/>
              <w:rPr>
                <w:rFonts w:cs="Arial"/>
                <w:b/>
              </w:rPr>
            </w:pPr>
            <w:r w:rsidRPr="009B7B35">
              <w:rPr>
                <w:rFonts w:cs="Arial"/>
                <w:b/>
              </w:rPr>
              <w:t>PO10</w:t>
            </w:r>
          </w:p>
          <w:p w14:paraId="40FD9128" w14:textId="77777777" w:rsidR="00BE36FB" w:rsidRPr="009B7B35" w:rsidRDefault="00BE36FB" w:rsidP="001A7107">
            <w:pPr>
              <w:pStyle w:val="TableText"/>
              <w:rPr>
                <w:rFonts w:cs="Arial"/>
              </w:rPr>
            </w:pPr>
            <w:r w:rsidRPr="009B7B35">
              <w:rPr>
                <w:rFonts w:cs="Arial"/>
              </w:rPr>
              <w:t>Landscape elements do not adversely affect stormwater quantity or quality by ensuring:</w:t>
            </w:r>
          </w:p>
          <w:p w14:paraId="5AB68046" w14:textId="77777777" w:rsidR="00BE36FB" w:rsidRPr="009B7B35" w:rsidRDefault="00BE36FB" w:rsidP="00BE36FB">
            <w:pPr>
              <w:pStyle w:val="TableText"/>
              <w:numPr>
                <w:ilvl w:val="0"/>
                <w:numId w:val="706"/>
              </w:numPr>
              <w:rPr>
                <w:rFonts w:cs="Arial"/>
              </w:rPr>
            </w:pPr>
            <w:r w:rsidRPr="009B7B35">
              <w:rPr>
                <w:rFonts w:cs="Arial"/>
              </w:rPr>
              <w:t>the flow of water along overland flow paths is not restricted</w:t>
            </w:r>
          </w:p>
          <w:p w14:paraId="2663E7FB" w14:textId="77777777" w:rsidR="00BE36FB" w:rsidRPr="009B7B35" w:rsidRDefault="00BE36FB" w:rsidP="00BE36FB">
            <w:pPr>
              <w:pStyle w:val="TableText"/>
              <w:numPr>
                <w:ilvl w:val="0"/>
                <w:numId w:val="706"/>
              </w:numPr>
              <w:rPr>
                <w:rFonts w:cs="Arial"/>
              </w:rPr>
            </w:pPr>
            <w:r w:rsidRPr="009B7B35">
              <w:rPr>
                <w:rFonts w:cs="Arial"/>
              </w:rPr>
              <w:t>opportunities for water infiltration are maximised, and</w:t>
            </w:r>
          </w:p>
          <w:p w14:paraId="61C746E6" w14:textId="77777777" w:rsidR="00BE36FB" w:rsidRPr="009B7B35" w:rsidRDefault="00BE36FB" w:rsidP="00BE36FB">
            <w:pPr>
              <w:pStyle w:val="TableText"/>
              <w:numPr>
                <w:ilvl w:val="0"/>
                <w:numId w:val="706"/>
              </w:numPr>
              <w:rPr>
                <w:rFonts w:cs="Arial"/>
              </w:rPr>
            </w:pPr>
            <w:r w:rsidRPr="009B7B35">
              <w:rPr>
                <w:rFonts w:cs="Arial"/>
              </w:rPr>
              <w:t>areas of pavement, turf and mulched garden beds are appropriately located and adequately drained.</w:t>
            </w:r>
          </w:p>
        </w:tc>
        <w:tc>
          <w:tcPr>
            <w:tcW w:w="4678" w:type="dxa"/>
          </w:tcPr>
          <w:p w14:paraId="34F7C0AB"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14074E1" w14:textId="77777777" w:rsidTr="001A7107">
        <w:trPr>
          <w:cantSplit/>
        </w:trPr>
        <w:tc>
          <w:tcPr>
            <w:tcW w:w="4678" w:type="dxa"/>
          </w:tcPr>
          <w:p w14:paraId="6CAF6C50" w14:textId="77777777" w:rsidR="00BE36FB" w:rsidRPr="009B7B35" w:rsidRDefault="00BE36FB" w:rsidP="001A7107">
            <w:pPr>
              <w:pStyle w:val="TableText"/>
              <w:rPr>
                <w:rFonts w:cs="Arial"/>
                <w:b/>
              </w:rPr>
            </w:pPr>
            <w:r w:rsidRPr="009B7B35">
              <w:rPr>
                <w:rFonts w:cs="Arial"/>
                <w:b/>
              </w:rPr>
              <w:t>PO11</w:t>
            </w:r>
          </w:p>
          <w:p w14:paraId="20DB3406" w14:textId="77777777" w:rsidR="00BE36FB" w:rsidRPr="009B7B35" w:rsidRDefault="00BE36FB" w:rsidP="001A7107">
            <w:pPr>
              <w:pStyle w:val="TableText"/>
              <w:rPr>
                <w:rFonts w:cs="Arial"/>
              </w:rPr>
            </w:pPr>
            <w:r w:rsidRPr="009B7B35">
              <w:rPr>
                <w:rFonts w:cs="Arial"/>
              </w:rPr>
              <w:t>Landscape elements:</w:t>
            </w:r>
          </w:p>
          <w:p w14:paraId="14678081" w14:textId="77777777" w:rsidR="00BE36FB" w:rsidRPr="009B7B35" w:rsidRDefault="00BE36FB" w:rsidP="00BE36FB">
            <w:pPr>
              <w:pStyle w:val="TableText"/>
              <w:numPr>
                <w:ilvl w:val="0"/>
                <w:numId w:val="728"/>
              </w:numPr>
              <w:rPr>
                <w:rFonts w:cs="Arial"/>
              </w:rPr>
            </w:pPr>
            <w:r w:rsidRPr="009B7B35">
              <w:rPr>
                <w:rFonts w:cs="Arial"/>
              </w:rPr>
              <w:t>provide high levels of durability and robustness</w:t>
            </w:r>
          </w:p>
          <w:p w14:paraId="61B9A2C9" w14:textId="77777777" w:rsidR="00BE36FB" w:rsidRPr="009B7B35" w:rsidRDefault="00BE36FB" w:rsidP="00BE36FB">
            <w:pPr>
              <w:pStyle w:val="TableText"/>
              <w:numPr>
                <w:ilvl w:val="0"/>
                <w:numId w:val="728"/>
              </w:numPr>
              <w:rPr>
                <w:rFonts w:cs="Arial"/>
              </w:rPr>
            </w:pPr>
            <w:r w:rsidRPr="009B7B35">
              <w:rPr>
                <w:rFonts w:cs="Arial"/>
              </w:rPr>
              <w:t>are cost effective, and</w:t>
            </w:r>
          </w:p>
          <w:p w14:paraId="29A6F5A1" w14:textId="77777777" w:rsidR="00BE36FB" w:rsidRPr="009B7B35" w:rsidRDefault="00BE36FB" w:rsidP="00BE36FB">
            <w:pPr>
              <w:pStyle w:val="TableText"/>
              <w:numPr>
                <w:ilvl w:val="0"/>
                <w:numId w:val="728"/>
              </w:numPr>
              <w:rPr>
                <w:rFonts w:cs="Arial"/>
              </w:rPr>
            </w:pPr>
            <w:r w:rsidRPr="009B7B35">
              <w:rPr>
                <w:rFonts w:cs="Arial"/>
              </w:rPr>
              <w:t>have the ability to be maintained conveniently over the long–term.</w:t>
            </w:r>
          </w:p>
        </w:tc>
        <w:tc>
          <w:tcPr>
            <w:tcW w:w="4678" w:type="dxa"/>
          </w:tcPr>
          <w:p w14:paraId="0529D79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A58A766" w14:textId="77777777" w:rsidTr="001A7107">
        <w:trPr>
          <w:cantSplit/>
        </w:trPr>
        <w:tc>
          <w:tcPr>
            <w:tcW w:w="4678" w:type="dxa"/>
          </w:tcPr>
          <w:p w14:paraId="10D097FC" w14:textId="77777777" w:rsidR="00BE36FB" w:rsidRPr="009B7B35" w:rsidRDefault="00BE36FB" w:rsidP="001A7107">
            <w:pPr>
              <w:pStyle w:val="TableText"/>
              <w:rPr>
                <w:rFonts w:cs="Arial"/>
                <w:b/>
              </w:rPr>
            </w:pPr>
            <w:r w:rsidRPr="009B7B35">
              <w:rPr>
                <w:rFonts w:cs="Arial"/>
                <w:b/>
              </w:rPr>
              <w:t>PO12</w:t>
            </w:r>
          </w:p>
          <w:p w14:paraId="2D635386" w14:textId="77777777" w:rsidR="00BE36FB" w:rsidRPr="009B7B35" w:rsidRDefault="00BE36FB" w:rsidP="001A7107">
            <w:pPr>
              <w:pStyle w:val="TableText"/>
              <w:rPr>
                <w:rFonts w:cs="Arial"/>
              </w:rPr>
            </w:pPr>
            <w:r w:rsidRPr="009B7B35">
              <w:rPr>
                <w:rFonts w:cs="Arial"/>
              </w:rPr>
              <w:t>Drainage of podium planters allows for flush out in future and is adequately drained.</w:t>
            </w:r>
          </w:p>
        </w:tc>
        <w:tc>
          <w:tcPr>
            <w:tcW w:w="4678" w:type="dxa"/>
          </w:tcPr>
          <w:p w14:paraId="5687FF4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82C12C4" w14:textId="77777777" w:rsidTr="001A7107">
        <w:trPr>
          <w:cantSplit/>
        </w:trPr>
        <w:tc>
          <w:tcPr>
            <w:tcW w:w="4678" w:type="dxa"/>
          </w:tcPr>
          <w:p w14:paraId="761AC9C5" w14:textId="77777777" w:rsidR="00BE36FB" w:rsidRPr="009B7B35" w:rsidRDefault="00BE36FB" w:rsidP="001A7107">
            <w:pPr>
              <w:pStyle w:val="TableText"/>
              <w:rPr>
                <w:rFonts w:cs="Arial"/>
                <w:b/>
              </w:rPr>
            </w:pPr>
            <w:r w:rsidRPr="009B7B35">
              <w:rPr>
                <w:rFonts w:cs="Arial"/>
                <w:b/>
              </w:rPr>
              <w:t>PO13</w:t>
            </w:r>
          </w:p>
          <w:p w14:paraId="7CBB82F9" w14:textId="77777777" w:rsidR="00BE36FB" w:rsidRPr="009B7B35" w:rsidRDefault="00BE36FB" w:rsidP="001A7107">
            <w:pPr>
              <w:pStyle w:val="TableText"/>
              <w:rPr>
                <w:rFonts w:cs="Arial"/>
              </w:rPr>
            </w:pPr>
            <w:r w:rsidRPr="009B7B35">
              <w:rPr>
                <w:rFonts w:cs="Arial"/>
              </w:rPr>
              <w:t xml:space="preserve">Landscape works and plant selection protects the structural integrity and function of: </w:t>
            </w:r>
          </w:p>
          <w:p w14:paraId="409C86C3" w14:textId="77777777" w:rsidR="00BE36FB" w:rsidRPr="009B7B35" w:rsidRDefault="00BE36FB" w:rsidP="00BE36FB">
            <w:pPr>
              <w:pStyle w:val="TableText"/>
              <w:numPr>
                <w:ilvl w:val="0"/>
                <w:numId w:val="768"/>
              </w:numPr>
              <w:rPr>
                <w:rFonts w:cs="Arial"/>
              </w:rPr>
            </w:pPr>
            <w:r w:rsidRPr="009B7B35">
              <w:rPr>
                <w:rFonts w:cs="Arial"/>
              </w:rPr>
              <w:t>buildings and structures;</w:t>
            </w:r>
          </w:p>
          <w:p w14:paraId="4FEACDDE" w14:textId="77777777" w:rsidR="00BE36FB" w:rsidRPr="009B7B35" w:rsidRDefault="00BE36FB" w:rsidP="00BE36FB">
            <w:pPr>
              <w:pStyle w:val="TableText"/>
              <w:numPr>
                <w:ilvl w:val="0"/>
                <w:numId w:val="768"/>
              </w:numPr>
              <w:rPr>
                <w:rFonts w:cs="Arial"/>
              </w:rPr>
            </w:pPr>
            <w:r w:rsidRPr="009B7B35">
              <w:rPr>
                <w:rFonts w:cs="Arial"/>
              </w:rPr>
              <w:t>overhead and underground services, and</w:t>
            </w:r>
          </w:p>
          <w:p w14:paraId="7DE88E1E" w14:textId="77777777" w:rsidR="00BE36FB" w:rsidRPr="009B7B35" w:rsidRDefault="00BE36FB" w:rsidP="00BE36FB">
            <w:pPr>
              <w:pStyle w:val="TableText"/>
              <w:numPr>
                <w:ilvl w:val="0"/>
                <w:numId w:val="768"/>
              </w:numPr>
              <w:rPr>
                <w:rFonts w:cs="Arial"/>
              </w:rPr>
            </w:pPr>
            <w:r w:rsidRPr="009B7B35">
              <w:rPr>
                <w:rFonts w:cs="Arial"/>
              </w:rPr>
              <w:t>other forms of infrastructure.</w:t>
            </w:r>
          </w:p>
        </w:tc>
        <w:tc>
          <w:tcPr>
            <w:tcW w:w="4678" w:type="dxa"/>
          </w:tcPr>
          <w:p w14:paraId="5DA1183F" w14:textId="77777777" w:rsidR="00BE36FB" w:rsidRPr="009B7B35" w:rsidRDefault="00BE36FB" w:rsidP="001A7107">
            <w:pPr>
              <w:pStyle w:val="TableText"/>
              <w:rPr>
                <w:rFonts w:cs="Arial"/>
              </w:rPr>
            </w:pPr>
            <w:r w:rsidRPr="009B7B35">
              <w:rPr>
                <w:rFonts w:cs="Arial"/>
              </w:rPr>
              <w:t>No acceptable outcome is nominated.</w:t>
            </w:r>
          </w:p>
        </w:tc>
      </w:tr>
    </w:tbl>
    <w:p w14:paraId="1DD88F92" w14:textId="77777777" w:rsidR="00BE36FB" w:rsidRPr="009B7B35" w:rsidRDefault="00BE36FB" w:rsidP="001A7107">
      <w:pPr>
        <w:pStyle w:val="Heading5"/>
        <w:numPr>
          <w:ilvl w:val="0"/>
          <w:numId w:val="0"/>
        </w:numPr>
        <w:rPr>
          <w:rFonts w:cs="Arial"/>
          <w:szCs w:val="20"/>
        </w:rPr>
      </w:pPr>
      <w:r w:rsidRPr="009B7B35">
        <w:rPr>
          <w:rFonts w:cs="Arial"/>
          <w:szCs w:val="20"/>
        </w:rPr>
        <w:t>Table 9.3.5.3.2—Plant species list</w:t>
      </w:r>
    </w:p>
    <w:tbl>
      <w:tblPr>
        <w:tblStyle w:val="Tablestyle"/>
        <w:tblW w:w="4946" w:type="pct"/>
        <w:tblLayout w:type="fixed"/>
        <w:tblLook w:val="0620" w:firstRow="1" w:lastRow="0" w:firstColumn="0" w:lastColumn="0" w:noHBand="1" w:noVBand="1"/>
      </w:tblPr>
      <w:tblGrid>
        <w:gridCol w:w="2520"/>
        <w:gridCol w:w="1894"/>
        <w:gridCol w:w="979"/>
        <w:gridCol w:w="979"/>
        <w:gridCol w:w="979"/>
        <w:gridCol w:w="978"/>
      </w:tblGrid>
      <w:tr w:rsidR="00BE36FB" w:rsidRPr="009B7B35" w14:paraId="0A578424" w14:textId="77777777" w:rsidTr="001A7107">
        <w:trPr>
          <w:cnfStyle w:val="100000000000" w:firstRow="1" w:lastRow="0" w:firstColumn="0" w:lastColumn="0" w:oddVBand="0" w:evenVBand="0" w:oddHBand="0" w:evenHBand="0" w:firstRowFirstColumn="0" w:firstRowLastColumn="0" w:lastRowFirstColumn="0" w:lastRowLastColumn="0"/>
          <w:cantSplit/>
          <w:trHeight w:val="36"/>
          <w:tblHeader/>
        </w:trPr>
        <w:tc>
          <w:tcPr>
            <w:tcW w:w="1512" w:type="pct"/>
          </w:tcPr>
          <w:p w14:paraId="18088784" w14:textId="77777777" w:rsidR="00BE36FB" w:rsidRPr="009B7B35" w:rsidRDefault="00BE36FB">
            <w:pPr>
              <w:rPr>
                <w:rFonts w:cs="Arial"/>
                <w:sz w:val="20"/>
                <w:szCs w:val="20"/>
                <w:lang w:val="en-US"/>
              </w:rPr>
            </w:pPr>
            <w:r w:rsidRPr="009B7B35">
              <w:rPr>
                <w:rFonts w:cs="Arial"/>
                <w:sz w:val="20"/>
                <w:szCs w:val="20"/>
                <w:lang w:val="en-US"/>
              </w:rPr>
              <w:t>Botanical name</w:t>
            </w:r>
          </w:p>
        </w:tc>
        <w:tc>
          <w:tcPr>
            <w:tcW w:w="1137" w:type="pct"/>
          </w:tcPr>
          <w:p w14:paraId="1A43A4A1" w14:textId="77777777" w:rsidR="00BE36FB" w:rsidRPr="009B7B35" w:rsidRDefault="00BE36FB">
            <w:pPr>
              <w:rPr>
                <w:rFonts w:cs="Arial"/>
                <w:sz w:val="20"/>
                <w:szCs w:val="20"/>
                <w:lang w:val="en-US"/>
              </w:rPr>
            </w:pPr>
            <w:r w:rsidRPr="009B7B35">
              <w:rPr>
                <w:rFonts w:cs="Arial"/>
                <w:sz w:val="20"/>
                <w:szCs w:val="20"/>
                <w:lang w:val="en-US"/>
              </w:rPr>
              <w:t>Common name</w:t>
            </w:r>
          </w:p>
        </w:tc>
        <w:tc>
          <w:tcPr>
            <w:tcW w:w="588" w:type="pct"/>
          </w:tcPr>
          <w:p w14:paraId="300F6784" w14:textId="77777777" w:rsidR="00BE36FB" w:rsidRPr="009B7B35" w:rsidRDefault="00BE36FB">
            <w:pPr>
              <w:rPr>
                <w:rFonts w:cs="Arial"/>
                <w:sz w:val="20"/>
                <w:szCs w:val="20"/>
                <w:lang w:val="en-US"/>
              </w:rPr>
            </w:pPr>
            <w:r w:rsidRPr="009B7B35">
              <w:rPr>
                <w:rFonts w:cs="Arial"/>
                <w:sz w:val="20"/>
                <w:szCs w:val="20"/>
                <w:lang w:val="en-US"/>
              </w:rPr>
              <w:t>Height metres</w:t>
            </w:r>
          </w:p>
        </w:tc>
        <w:tc>
          <w:tcPr>
            <w:tcW w:w="588" w:type="pct"/>
          </w:tcPr>
          <w:p w14:paraId="5A03012D" w14:textId="77777777" w:rsidR="00BE36FB" w:rsidRPr="009B7B35" w:rsidRDefault="00BE36FB">
            <w:pPr>
              <w:rPr>
                <w:rFonts w:cs="Arial"/>
                <w:sz w:val="20"/>
                <w:szCs w:val="20"/>
                <w:lang w:val="en-US"/>
              </w:rPr>
            </w:pPr>
            <w:r w:rsidRPr="009B7B35">
              <w:rPr>
                <w:rFonts w:cs="Arial"/>
                <w:sz w:val="20"/>
                <w:szCs w:val="20"/>
                <w:lang w:val="en-US"/>
              </w:rPr>
              <w:t>Spread metres</w:t>
            </w:r>
          </w:p>
        </w:tc>
        <w:tc>
          <w:tcPr>
            <w:tcW w:w="588" w:type="pct"/>
          </w:tcPr>
          <w:p w14:paraId="40510D77" w14:textId="77777777" w:rsidR="00BE36FB" w:rsidRPr="009B7B35" w:rsidRDefault="00BE36FB">
            <w:pPr>
              <w:rPr>
                <w:rFonts w:cs="Arial"/>
                <w:sz w:val="20"/>
                <w:szCs w:val="20"/>
                <w:lang w:val="en-US"/>
              </w:rPr>
            </w:pPr>
            <w:r w:rsidRPr="009B7B35">
              <w:rPr>
                <w:rFonts w:cs="Arial"/>
                <w:sz w:val="20"/>
                <w:szCs w:val="20"/>
                <w:lang w:val="en-US"/>
              </w:rPr>
              <w:t>Endemic Y/N</w:t>
            </w:r>
          </w:p>
        </w:tc>
        <w:tc>
          <w:tcPr>
            <w:tcW w:w="587" w:type="pct"/>
          </w:tcPr>
          <w:p w14:paraId="007E5A36" w14:textId="77777777" w:rsidR="00BE36FB" w:rsidRPr="009B7B35" w:rsidRDefault="00BE36FB">
            <w:pPr>
              <w:rPr>
                <w:rFonts w:cs="Arial"/>
                <w:sz w:val="20"/>
                <w:szCs w:val="20"/>
                <w:lang w:val="en-US"/>
              </w:rPr>
            </w:pPr>
            <w:r w:rsidRPr="009B7B35">
              <w:rPr>
                <w:rFonts w:cs="Arial"/>
                <w:sz w:val="20"/>
                <w:szCs w:val="20"/>
                <w:lang w:val="en-US"/>
              </w:rPr>
              <w:t>Street trees</w:t>
            </w:r>
          </w:p>
        </w:tc>
      </w:tr>
      <w:tr w:rsidR="00BE36FB" w:rsidRPr="009B7B35" w14:paraId="131AE0F9" w14:textId="77777777" w:rsidTr="001A7107">
        <w:tc>
          <w:tcPr>
            <w:tcW w:w="1512" w:type="pct"/>
          </w:tcPr>
          <w:p w14:paraId="5A75073C" w14:textId="77777777" w:rsidR="00BE36FB" w:rsidRPr="009B7B35" w:rsidRDefault="00BE36FB" w:rsidP="001A7107">
            <w:pPr>
              <w:rPr>
                <w:rFonts w:cs="Arial"/>
                <w:sz w:val="20"/>
                <w:szCs w:val="20"/>
                <w:lang w:val="en-US"/>
              </w:rPr>
            </w:pPr>
            <w:r w:rsidRPr="009B7B35">
              <w:rPr>
                <w:rFonts w:cs="Arial"/>
                <w:sz w:val="20"/>
                <w:szCs w:val="20"/>
                <w:lang w:val="en-US"/>
              </w:rPr>
              <w:t>Acanthus mollis</w:t>
            </w:r>
          </w:p>
        </w:tc>
        <w:tc>
          <w:tcPr>
            <w:tcW w:w="1137" w:type="pct"/>
          </w:tcPr>
          <w:p w14:paraId="56A369F1" w14:textId="77777777" w:rsidR="00BE36FB" w:rsidRPr="009B7B35" w:rsidRDefault="00BE36FB" w:rsidP="001A7107">
            <w:pPr>
              <w:rPr>
                <w:rFonts w:cs="Arial"/>
                <w:sz w:val="20"/>
                <w:szCs w:val="20"/>
                <w:lang w:val="en-US"/>
              </w:rPr>
            </w:pPr>
          </w:p>
        </w:tc>
        <w:tc>
          <w:tcPr>
            <w:tcW w:w="588" w:type="pct"/>
            <w:vAlign w:val="center"/>
          </w:tcPr>
          <w:p w14:paraId="56241C50" w14:textId="77777777" w:rsidR="00BE36FB" w:rsidRPr="009B7B35" w:rsidRDefault="00BE36FB" w:rsidP="001A7107">
            <w:pPr>
              <w:jc w:val="center"/>
              <w:rPr>
                <w:rFonts w:cs="Arial"/>
                <w:sz w:val="20"/>
                <w:szCs w:val="20"/>
                <w:lang w:val="en-US"/>
              </w:rPr>
            </w:pPr>
          </w:p>
        </w:tc>
        <w:tc>
          <w:tcPr>
            <w:tcW w:w="588" w:type="pct"/>
            <w:vAlign w:val="center"/>
          </w:tcPr>
          <w:p w14:paraId="425F1A21" w14:textId="77777777" w:rsidR="00BE36FB" w:rsidRPr="009B7B35" w:rsidRDefault="00BE36FB" w:rsidP="001A7107">
            <w:pPr>
              <w:jc w:val="center"/>
              <w:rPr>
                <w:rFonts w:cs="Arial"/>
                <w:sz w:val="20"/>
                <w:szCs w:val="20"/>
                <w:lang w:val="en-US"/>
              </w:rPr>
            </w:pPr>
          </w:p>
        </w:tc>
        <w:tc>
          <w:tcPr>
            <w:tcW w:w="588" w:type="pct"/>
            <w:vAlign w:val="center"/>
          </w:tcPr>
          <w:p w14:paraId="557A417F" w14:textId="77777777" w:rsidR="00BE36FB" w:rsidRPr="009B7B35" w:rsidRDefault="00BE36FB" w:rsidP="001A7107">
            <w:pPr>
              <w:jc w:val="center"/>
              <w:rPr>
                <w:rFonts w:cs="Arial"/>
                <w:sz w:val="20"/>
                <w:szCs w:val="20"/>
                <w:lang w:val="en-US"/>
              </w:rPr>
            </w:pPr>
          </w:p>
        </w:tc>
        <w:tc>
          <w:tcPr>
            <w:tcW w:w="587" w:type="pct"/>
            <w:vAlign w:val="center"/>
          </w:tcPr>
          <w:p w14:paraId="4E2F995A" w14:textId="77777777" w:rsidR="00BE36FB" w:rsidRPr="009B7B35" w:rsidRDefault="00BE36FB" w:rsidP="001A7107">
            <w:pPr>
              <w:jc w:val="center"/>
              <w:rPr>
                <w:rFonts w:cs="Arial"/>
                <w:sz w:val="20"/>
                <w:szCs w:val="20"/>
                <w:lang w:val="en-US"/>
              </w:rPr>
            </w:pPr>
          </w:p>
        </w:tc>
      </w:tr>
      <w:tr w:rsidR="00BE36FB" w:rsidRPr="009B7B35" w14:paraId="74423C23" w14:textId="77777777" w:rsidTr="001A7107">
        <w:tc>
          <w:tcPr>
            <w:tcW w:w="1512" w:type="pct"/>
          </w:tcPr>
          <w:p w14:paraId="09356AAE" w14:textId="77777777" w:rsidR="00BE36FB" w:rsidRPr="009B7B35" w:rsidRDefault="00BE36FB" w:rsidP="001A7107">
            <w:pPr>
              <w:rPr>
                <w:rFonts w:cs="Arial"/>
                <w:sz w:val="20"/>
                <w:szCs w:val="20"/>
                <w:lang w:val="en-US"/>
              </w:rPr>
            </w:pPr>
            <w:r w:rsidRPr="009B7B35">
              <w:rPr>
                <w:rFonts w:cs="Arial"/>
                <w:sz w:val="20"/>
                <w:szCs w:val="20"/>
                <w:lang w:val="en-US"/>
              </w:rPr>
              <w:t>Acmena brachyandra</w:t>
            </w:r>
          </w:p>
        </w:tc>
        <w:tc>
          <w:tcPr>
            <w:tcW w:w="1137" w:type="pct"/>
          </w:tcPr>
          <w:p w14:paraId="614A4DDB" w14:textId="77777777" w:rsidR="00BE36FB" w:rsidRPr="009B7B35" w:rsidRDefault="00BE36FB" w:rsidP="001A7107">
            <w:pPr>
              <w:rPr>
                <w:rFonts w:cs="Arial"/>
                <w:sz w:val="20"/>
                <w:szCs w:val="20"/>
                <w:lang w:val="en-US"/>
              </w:rPr>
            </w:pPr>
            <w:r w:rsidRPr="009B7B35">
              <w:rPr>
                <w:rFonts w:cs="Arial"/>
                <w:sz w:val="20"/>
                <w:szCs w:val="20"/>
                <w:lang w:val="en-US"/>
              </w:rPr>
              <w:t>Red Apple</w:t>
            </w:r>
          </w:p>
        </w:tc>
        <w:tc>
          <w:tcPr>
            <w:tcW w:w="588" w:type="pct"/>
            <w:vAlign w:val="center"/>
          </w:tcPr>
          <w:p w14:paraId="7A99B0AF" w14:textId="77777777"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14:paraId="751C1984"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520BC52D"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289842AA" w14:textId="77777777" w:rsidR="00BE36FB" w:rsidRPr="009B7B35" w:rsidRDefault="00BE36FB" w:rsidP="001A7107">
            <w:pPr>
              <w:jc w:val="center"/>
              <w:rPr>
                <w:rFonts w:cs="Arial"/>
                <w:sz w:val="20"/>
                <w:szCs w:val="20"/>
                <w:lang w:val="en-US"/>
              </w:rPr>
            </w:pPr>
          </w:p>
        </w:tc>
      </w:tr>
      <w:tr w:rsidR="00BE36FB" w:rsidRPr="009B7B35" w14:paraId="1DFA6186" w14:textId="77777777" w:rsidTr="001A7107">
        <w:tc>
          <w:tcPr>
            <w:tcW w:w="1512" w:type="pct"/>
          </w:tcPr>
          <w:p w14:paraId="2C09F663" w14:textId="77777777" w:rsidR="00BE36FB" w:rsidRPr="009B7B35" w:rsidRDefault="00BE36FB" w:rsidP="001A7107">
            <w:pPr>
              <w:rPr>
                <w:rFonts w:cs="Arial"/>
                <w:sz w:val="20"/>
                <w:szCs w:val="20"/>
                <w:lang w:val="en-US"/>
              </w:rPr>
            </w:pPr>
            <w:r w:rsidRPr="009B7B35">
              <w:rPr>
                <w:rFonts w:cs="Arial"/>
                <w:sz w:val="20"/>
                <w:szCs w:val="20"/>
                <w:lang w:val="en-US"/>
              </w:rPr>
              <w:t>Acmena smithii</w:t>
            </w:r>
          </w:p>
        </w:tc>
        <w:tc>
          <w:tcPr>
            <w:tcW w:w="1137" w:type="pct"/>
          </w:tcPr>
          <w:p w14:paraId="153E0E8E" w14:textId="77777777" w:rsidR="00BE36FB" w:rsidRPr="009B7B35" w:rsidRDefault="00BE36FB" w:rsidP="001A7107">
            <w:pPr>
              <w:rPr>
                <w:rFonts w:cs="Arial"/>
                <w:sz w:val="20"/>
                <w:szCs w:val="20"/>
                <w:lang w:val="en-US"/>
              </w:rPr>
            </w:pPr>
            <w:r w:rsidRPr="009B7B35">
              <w:rPr>
                <w:rFonts w:cs="Arial"/>
                <w:sz w:val="20"/>
                <w:szCs w:val="20"/>
                <w:lang w:val="en-US"/>
              </w:rPr>
              <w:t>Lilly Pilly</w:t>
            </w:r>
          </w:p>
        </w:tc>
        <w:tc>
          <w:tcPr>
            <w:tcW w:w="588" w:type="pct"/>
            <w:vAlign w:val="center"/>
          </w:tcPr>
          <w:p w14:paraId="08C12838"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75309C85"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64F192A6"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293DFB8" w14:textId="77777777" w:rsidR="00BE36FB" w:rsidRPr="009B7B35" w:rsidRDefault="00BE36FB" w:rsidP="001A7107">
            <w:pPr>
              <w:jc w:val="center"/>
              <w:rPr>
                <w:rFonts w:cs="Arial"/>
                <w:sz w:val="20"/>
                <w:szCs w:val="20"/>
                <w:lang w:val="en-US"/>
              </w:rPr>
            </w:pPr>
          </w:p>
        </w:tc>
      </w:tr>
      <w:tr w:rsidR="00BE36FB" w:rsidRPr="009B7B35" w14:paraId="0BDFAD4C" w14:textId="77777777" w:rsidTr="001A7107">
        <w:tc>
          <w:tcPr>
            <w:tcW w:w="1512" w:type="pct"/>
          </w:tcPr>
          <w:p w14:paraId="297C16B1" w14:textId="77777777" w:rsidR="00BE36FB" w:rsidRPr="009B7B35" w:rsidRDefault="00BE36FB" w:rsidP="001A7107">
            <w:pPr>
              <w:rPr>
                <w:rFonts w:cs="Arial"/>
                <w:sz w:val="20"/>
                <w:szCs w:val="20"/>
                <w:lang w:val="en-US"/>
              </w:rPr>
            </w:pPr>
            <w:r w:rsidRPr="009B7B35">
              <w:rPr>
                <w:rFonts w:cs="Arial"/>
                <w:sz w:val="20"/>
                <w:szCs w:val="20"/>
                <w:lang w:val="en-US"/>
              </w:rPr>
              <w:t>Acronychia imperforata*</w:t>
            </w:r>
          </w:p>
        </w:tc>
        <w:tc>
          <w:tcPr>
            <w:tcW w:w="1137" w:type="pct"/>
          </w:tcPr>
          <w:p w14:paraId="187F42F2" w14:textId="77777777" w:rsidR="00BE36FB" w:rsidRPr="009B7B35" w:rsidRDefault="00BE36FB" w:rsidP="001A7107">
            <w:pPr>
              <w:rPr>
                <w:rFonts w:cs="Arial"/>
                <w:sz w:val="20"/>
                <w:szCs w:val="20"/>
                <w:lang w:val="en-US"/>
              </w:rPr>
            </w:pPr>
            <w:r w:rsidRPr="009B7B35">
              <w:rPr>
                <w:rFonts w:cs="Arial"/>
                <w:sz w:val="20"/>
                <w:szCs w:val="20"/>
                <w:lang w:val="en-US"/>
              </w:rPr>
              <w:t>Fraser Island Apple</w:t>
            </w:r>
          </w:p>
        </w:tc>
        <w:tc>
          <w:tcPr>
            <w:tcW w:w="588" w:type="pct"/>
            <w:vAlign w:val="center"/>
          </w:tcPr>
          <w:p w14:paraId="6537EBB1"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2D59E4D5"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6CAC78B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F9F4325" w14:textId="77777777" w:rsidR="00BE36FB" w:rsidRPr="009B7B35" w:rsidRDefault="00BE36FB" w:rsidP="001A7107">
            <w:pPr>
              <w:jc w:val="center"/>
              <w:rPr>
                <w:rFonts w:cs="Arial"/>
                <w:sz w:val="20"/>
                <w:szCs w:val="20"/>
                <w:lang w:val="en-US"/>
              </w:rPr>
            </w:pPr>
          </w:p>
        </w:tc>
      </w:tr>
      <w:tr w:rsidR="00BE36FB" w:rsidRPr="009B7B35" w14:paraId="6625BEB0" w14:textId="77777777" w:rsidTr="001A7107">
        <w:tc>
          <w:tcPr>
            <w:tcW w:w="1512" w:type="pct"/>
          </w:tcPr>
          <w:p w14:paraId="1F0801B2" w14:textId="77777777" w:rsidR="00BE36FB" w:rsidRPr="009B7B35" w:rsidRDefault="00BE36FB" w:rsidP="001A7107">
            <w:pPr>
              <w:rPr>
                <w:rFonts w:cs="Arial"/>
                <w:sz w:val="20"/>
                <w:szCs w:val="20"/>
                <w:lang w:val="en-US"/>
              </w:rPr>
            </w:pPr>
            <w:r w:rsidRPr="009B7B35">
              <w:rPr>
                <w:rFonts w:cs="Arial"/>
                <w:sz w:val="20"/>
                <w:szCs w:val="20"/>
                <w:lang w:val="en-US"/>
              </w:rPr>
              <w:t>Adiantum spp.</w:t>
            </w:r>
          </w:p>
        </w:tc>
        <w:tc>
          <w:tcPr>
            <w:tcW w:w="1137" w:type="pct"/>
          </w:tcPr>
          <w:p w14:paraId="1135CF47" w14:textId="77777777" w:rsidR="00BE36FB" w:rsidRPr="009B7B35" w:rsidRDefault="00BE36FB" w:rsidP="001A7107">
            <w:pPr>
              <w:rPr>
                <w:rFonts w:cs="Arial"/>
                <w:sz w:val="20"/>
                <w:szCs w:val="20"/>
                <w:lang w:val="en-US"/>
              </w:rPr>
            </w:pPr>
            <w:r w:rsidRPr="009B7B35">
              <w:rPr>
                <w:rFonts w:cs="Arial"/>
                <w:sz w:val="20"/>
                <w:szCs w:val="20"/>
                <w:lang w:val="en-US"/>
              </w:rPr>
              <w:t>Maidenhair Ferns</w:t>
            </w:r>
          </w:p>
        </w:tc>
        <w:tc>
          <w:tcPr>
            <w:tcW w:w="588" w:type="pct"/>
            <w:vAlign w:val="center"/>
          </w:tcPr>
          <w:p w14:paraId="585D8074"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1615BBAF"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5ACDDE5F" w14:textId="77777777" w:rsidR="00BE36FB" w:rsidRPr="009B7B35" w:rsidRDefault="00BE36FB" w:rsidP="001A7107">
            <w:pPr>
              <w:jc w:val="center"/>
              <w:rPr>
                <w:rFonts w:cs="Arial"/>
                <w:sz w:val="20"/>
                <w:szCs w:val="20"/>
                <w:lang w:val="en-US"/>
              </w:rPr>
            </w:pPr>
          </w:p>
        </w:tc>
        <w:tc>
          <w:tcPr>
            <w:tcW w:w="587" w:type="pct"/>
            <w:vAlign w:val="center"/>
          </w:tcPr>
          <w:p w14:paraId="26D8CC63" w14:textId="77777777" w:rsidR="00BE36FB" w:rsidRPr="009B7B35" w:rsidRDefault="00BE36FB" w:rsidP="001A7107">
            <w:pPr>
              <w:jc w:val="center"/>
              <w:rPr>
                <w:rFonts w:cs="Arial"/>
                <w:sz w:val="20"/>
                <w:szCs w:val="20"/>
                <w:lang w:val="en-US"/>
              </w:rPr>
            </w:pPr>
          </w:p>
        </w:tc>
      </w:tr>
      <w:tr w:rsidR="00BE36FB" w:rsidRPr="009B7B35" w14:paraId="7A3741C2" w14:textId="77777777" w:rsidTr="001A7107">
        <w:tc>
          <w:tcPr>
            <w:tcW w:w="1512" w:type="pct"/>
          </w:tcPr>
          <w:p w14:paraId="51116624" w14:textId="77777777" w:rsidR="00BE36FB" w:rsidRPr="009B7B35" w:rsidRDefault="00BE36FB" w:rsidP="001A7107">
            <w:pPr>
              <w:rPr>
                <w:rFonts w:cs="Arial"/>
                <w:sz w:val="20"/>
                <w:szCs w:val="20"/>
                <w:lang w:val="en-US"/>
              </w:rPr>
            </w:pPr>
            <w:r w:rsidRPr="009B7B35">
              <w:rPr>
                <w:rFonts w:cs="Arial"/>
                <w:sz w:val="20"/>
                <w:szCs w:val="20"/>
                <w:lang w:val="en-US"/>
              </w:rPr>
              <w:t>Alectryon connatus</w:t>
            </w:r>
          </w:p>
        </w:tc>
        <w:tc>
          <w:tcPr>
            <w:tcW w:w="1137" w:type="pct"/>
          </w:tcPr>
          <w:p w14:paraId="238844C1" w14:textId="77777777" w:rsidR="00BE36FB" w:rsidRPr="009B7B35" w:rsidRDefault="00BE36FB" w:rsidP="001A7107">
            <w:pPr>
              <w:rPr>
                <w:rFonts w:cs="Arial"/>
                <w:sz w:val="20"/>
                <w:szCs w:val="20"/>
                <w:lang w:val="en-US"/>
              </w:rPr>
            </w:pPr>
          </w:p>
        </w:tc>
        <w:tc>
          <w:tcPr>
            <w:tcW w:w="588" w:type="pct"/>
            <w:vAlign w:val="center"/>
          </w:tcPr>
          <w:p w14:paraId="3DC25324"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62FC5A4D"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06212E18"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41F1F455" w14:textId="77777777" w:rsidR="00BE36FB" w:rsidRPr="009B7B35" w:rsidRDefault="00BE36FB" w:rsidP="001A7107">
            <w:pPr>
              <w:jc w:val="center"/>
              <w:rPr>
                <w:rFonts w:cs="Arial"/>
                <w:sz w:val="20"/>
                <w:szCs w:val="20"/>
                <w:lang w:val="en-US"/>
              </w:rPr>
            </w:pPr>
          </w:p>
        </w:tc>
      </w:tr>
      <w:tr w:rsidR="00BE36FB" w:rsidRPr="009B7B35" w14:paraId="55F0FCAE" w14:textId="77777777" w:rsidTr="001A7107">
        <w:tc>
          <w:tcPr>
            <w:tcW w:w="1512" w:type="pct"/>
          </w:tcPr>
          <w:p w14:paraId="34E2AA5C" w14:textId="77777777" w:rsidR="00BE36FB" w:rsidRPr="009B7B35" w:rsidRDefault="00BE36FB" w:rsidP="001A7107">
            <w:pPr>
              <w:rPr>
                <w:rFonts w:cs="Arial"/>
                <w:sz w:val="20"/>
                <w:szCs w:val="20"/>
                <w:lang w:val="en-US"/>
              </w:rPr>
            </w:pPr>
            <w:r w:rsidRPr="009B7B35">
              <w:rPr>
                <w:rFonts w:cs="Arial"/>
                <w:sz w:val="20"/>
                <w:szCs w:val="20"/>
                <w:lang w:val="en-US"/>
              </w:rPr>
              <w:t>Aleurites moluccana</w:t>
            </w:r>
          </w:p>
        </w:tc>
        <w:tc>
          <w:tcPr>
            <w:tcW w:w="1137" w:type="pct"/>
          </w:tcPr>
          <w:p w14:paraId="76AE6110" w14:textId="77777777" w:rsidR="00BE36FB" w:rsidRPr="009B7B35" w:rsidRDefault="00BE36FB" w:rsidP="001A7107">
            <w:pPr>
              <w:rPr>
                <w:rFonts w:cs="Arial"/>
                <w:sz w:val="20"/>
                <w:szCs w:val="20"/>
                <w:lang w:val="en-US"/>
              </w:rPr>
            </w:pPr>
            <w:r w:rsidRPr="009B7B35">
              <w:rPr>
                <w:rFonts w:cs="Arial"/>
                <w:sz w:val="20"/>
                <w:szCs w:val="20"/>
                <w:lang w:val="en-US"/>
              </w:rPr>
              <w:t>Candle Nut</w:t>
            </w:r>
          </w:p>
        </w:tc>
        <w:tc>
          <w:tcPr>
            <w:tcW w:w="588" w:type="pct"/>
            <w:vAlign w:val="center"/>
          </w:tcPr>
          <w:p w14:paraId="1ACE9442" w14:textId="77777777"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14:paraId="021A5BC2"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483EC24C"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AB0A685" w14:textId="77777777" w:rsidR="00BE36FB" w:rsidRPr="009B7B35" w:rsidRDefault="00BE36FB" w:rsidP="001A7107">
            <w:pPr>
              <w:jc w:val="center"/>
              <w:rPr>
                <w:rFonts w:cs="Arial"/>
                <w:sz w:val="20"/>
                <w:szCs w:val="20"/>
                <w:lang w:val="en-US"/>
              </w:rPr>
            </w:pPr>
          </w:p>
        </w:tc>
      </w:tr>
      <w:tr w:rsidR="00BE36FB" w:rsidRPr="009B7B35" w14:paraId="17BBACD6" w14:textId="77777777" w:rsidTr="001A7107">
        <w:tc>
          <w:tcPr>
            <w:tcW w:w="1512" w:type="pct"/>
          </w:tcPr>
          <w:p w14:paraId="191A7A2D" w14:textId="77777777" w:rsidR="00BE36FB" w:rsidRPr="009B7B35" w:rsidRDefault="00BE36FB" w:rsidP="001A7107">
            <w:pPr>
              <w:rPr>
                <w:rFonts w:cs="Arial"/>
                <w:sz w:val="20"/>
                <w:szCs w:val="20"/>
                <w:lang w:val="en-US"/>
              </w:rPr>
            </w:pPr>
            <w:r w:rsidRPr="009B7B35">
              <w:rPr>
                <w:rFonts w:cs="Arial"/>
                <w:sz w:val="20"/>
                <w:szCs w:val="20"/>
                <w:lang w:val="en-US"/>
              </w:rPr>
              <w:t>Allocasuarina littoralis</w:t>
            </w:r>
          </w:p>
        </w:tc>
        <w:tc>
          <w:tcPr>
            <w:tcW w:w="1137" w:type="pct"/>
          </w:tcPr>
          <w:p w14:paraId="27CDD775" w14:textId="77777777" w:rsidR="00BE36FB" w:rsidRPr="009B7B35" w:rsidRDefault="00BE36FB" w:rsidP="001A7107">
            <w:pPr>
              <w:rPr>
                <w:rFonts w:cs="Arial"/>
                <w:sz w:val="20"/>
                <w:szCs w:val="20"/>
                <w:lang w:val="en-US"/>
              </w:rPr>
            </w:pPr>
            <w:r w:rsidRPr="009B7B35">
              <w:rPr>
                <w:rFonts w:cs="Arial"/>
                <w:sz w:val="20"/>
                <w:szCs w:val="20"/>
                <w:lang w:val="en-US"/>
              </w:rPr>
              <w:t>Black She–Oak</w:t>
            </w:r>
          </w:p>
        </w:tc>
        <w:tc>
          <w:tcPr>
            <w:tcW w:w="588" w:type="pct"/>
            <w:vAlign w:val="center"/>
          </w:tcPr>
          <w:p w14:paraId="1ECF6571"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157373E6"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0931FBDA"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D977DA3" w14:textId="77777777" w:rsidR="00BE36FB" w:rsidRPr="009B7B35" w:rsidRDefault="00BE36FB" w:rsidP="001A7107">
            <w:pPr>
              <w:jc w:val="center"/>
              <w:rPr>
                <w:rFonts w:cs="Arial"/>
                <w:sz w:val="20"/>
                <w:szCs w:val="20"/>
                <w:lang w:val="en-US"/>
              </w:rPr>
            </w:pPr>
          </w:p>
        </w:tc>
      </w:tr>
      <w:tr w:rsidR="00BE36FB" w:rsidRPr="009B7B35" w14:paraId="6107E4DC" w14:textId="77777777" w:rsidTr="001A7107">
        <w:tc>
          <w:tcPr>
            <w:tcW w:w="1512" w:type="pct"/>
          </w:tcPr>
          <w:p w14:paraId="15E24052" w14:textId="77777777" w:rsidR="00BE36FB" w:rsidRPr="009B7B35" w:rsidRDefault="00BE36FB" w:rsidP="001A7107">
            <w:pPr>
              <w:rPr>
                <w:rFonts w:cs="Arial"/>
                <w:sz w:val="20"/>
                <w:szCs w:val="20"/>
                <w:lang w:val="en-US"/>
              </w:rPr>
            </w:pPr>
            <w:r w:rsidRPr="009B7B35">
              <w:rPr>
                <w:rFonts w:cs="Arial"/>
                <w:sz w:val="20"/>
                <w:szCs w:val="20"/>
                <w:lang w:val="en-US"/>
              </w:rPr>
              <w:t>Allocasuarina torulosa</w:t>
            </w:r>
          </w:p>
        </w:tc>
        <w:tc>
          <w:tcPr>
            <w:tcW w:w="1137" w:type="pct"/>
          </w:tcPr>
          <w:p w14:paraId="23CA5492" w14:textId="77777777" w:rsidR="00BE36FB" w:rsidRPr="009B7B35" w:rsidRDefault="00BE36FB" w:rsidP="001A7107">
            <w:pPr>
              <w:rPr>
                <w:rFonts w:cs="Arial"/>
                <w:sz w:val="20"/>
                <w:szCs w:val="20"/>
                <w:lang w:val="en-US"/>
              </w:rPr>
            </w:pPr>
            <w:r w:rsidRPr="009B7B35">
              <w:rPr>
                <w:rFonts w:cs="Arial"/>
                <w:sz w:val="20"/>
                <w:szCs w:val="20"/>
                <w:lang w:val="en-US"/>
              </w:rPr>
              <w:t>Forest She–Oak</w:t>
            </w:r>
          </w:p>
        </w:tc>
        <w:tc>
          <w:tcPr>
            <w:tcW w:w="588" w:type="pct"/>
            <w:vAlign w:val="center"/>
          </w:tcPr>
          <w:p w14:paraId="241B2328"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40207F43"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39BEFCFD"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EFC52F8" w14:textId="77777777" w:rsidR="00BE36FB" w:rsidRPr="009B7B35" w:rsidRDefault="00BE36FB" w:rsidP="001A7107">
            <w:pPr>
              <w:jc w:val="center"/>
              <w:rPr>
                <w:rFonts w:cs="Arial"/>
                <w:sz w:val="20"/>
                <w:szCs w:val="20"/>
                <w:lang w:val="en-US"/>
              </w:rPr>
            </w:pPr>
          </w:p>
        </w:tc>
      </w:tr>
      <w:tr w:rsidR="00BE36FB" w:rsidRPr="009B7B35" w14:paraId="2A7245A3" w14:textId="77777777" w:rsidTr="001A7107">
        <w:tc>
          <w:tcPr>
            <w:tcW w:w="1512" w:type="pct"/>
          </w:tcPr>
          <w:p w14:paraId="06E3B400" w14:textId="77777777" w:rsidR="00BE36FB" w:rsidRPr="009B7B35" w:rsidRDefault="00BE36FB" w:rsidP="001A7107">
            <w:pPr>
              <w:rPr>
                <w:rFonts w:cs="Arial"/>
                <w:sz w:val="20"/>
                <w:szCs w:val="20"/>
                <w:lang w:val="en-US"/>
              </w:rPr>
            </w:pPr>
            <w:r w:rsidRPr="009B7B35">
              <w:rPr>
                <w:rFonts w:cs="Arial"/>
                <w:sz w:val="20"/>
                <w:szCs w:val="20"/>
                <w:lang w:val="en-US"/>
              </w:rPr>
              <w:t>Alphitonia excelsa</w:t>
            </w:r>
          </w:p>
        </w:tc>
        <w:tc>
          <w:tcPr>
            <w:tcW w:w="1137" w:type="pct"/>
          </w:tcPr>
          <w:p w14:paraId="687D22F0" w14:textId="77777777" w:rsidR="00BE36FB" w:rsidRPr="009B7B35" w:rsidRDefault="00BE36FB" w:rsidP="001A7107">
            <w:pPr>
              <w:rPr>
                <w:rFonts w:cs="Arial"/>
                <w:sz w:val="20"/>
                <w:szCs w:val="20"/>
                <w:lang w:val="en-US"/>
              </w:rPr>
            </w:pPr>
            <w:r w:rsidRPr="009B7B35">
              <w:rPr>
                <w:rFonts w:cs="Arial"/>
                <w:sz w:val="20"/>
                <w:szCs w:val="20"/>
                <w:lang w:val="en-US"/>
              </w:rPr>
              <w:t>Red Ash</w:t>
            </w:r>
          </w:p>
        </w:tc>
        <w:tc>
          <w:tcPr>
            <w:tcW w:w="588" w:type="pct"/>
            <w:vAlign w:val="center"/>
          </w:tcPr>
          <w:p w14:paraId="23B24135"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087C56F0"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251FF00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54746C1" w14:textId="77777777" w:rsidR="00BE36FB" w:rsidRPr="009B7B35" w:rsidRDefault="00BE36FB" w:rsidP="001A7107">
            <w:pPr>
              <w:jc w:val="center"/>
              <w:rPr>
                <w:rFonts w:cs="Arial"/>
                <w:sz w:val="20"/>
                <w:szCs w:val="20"/>
                <w:lang w:val="en-US"/>
              </w:rPr>
            </w:pPr>
          </w:p>
        </w:tc>
      </w:tr>
      <w:tr w:rsidR="00BE36FB" w:rsidRPr="009B7B35" w14:paraId="5A6AFDCB" w14:textId="77777777" w:rsidTr="001A7107">
        <w:tc>
          <w:tcPr>
            <w:tcW w:w="1512" w:type="pct"/>
          </w:tcPr>
          <w:p w14:paraId="7CE64ACA" w14:textId="77777777" w:rsidR="00BE36FB" w:rsidRPr="009B7B35" w:rsidRDefault="00BE36FB" w:rsidP="001A7107">
            <w:pPr>
              <w:rPr>
                <w:rFonts w:cs="Arial"/>
                <w:sz w:val="20"/>
                <w:szCs w:val="20"/>
                <w:lang w:val="en-US"/>
              </w:rPr>
            </w:pPr>
            <w:r w:rsidRPr="009B7B35">
              <w:rPr>
                <w:rFonts w:cs="Arial"/>
                <w:sz w:val="20"/>
                <w:szCs w:val="20"/>
                <w:lang w:val="en-US"/>
              </w:rPr>
              <w:t>Alphitonia petriei Pink Ash</w:t>
            </w:r>
          </w:p>
        </w:tc>
        <w:tc>
          <w:tcPr>
            <w:tcW w:w="1137" w:type="pct"/>
          </w:tcPr>
          <w:p w14:paraId="29D019A6" w14:textId="77777777" w:rsidR="00BE36FB" w:rsidRPr="009B7B35" w:rsidRDefault="00BE36FB" w:rsidP="001A7107">
            <w:pPr>
              <w:rPr>
                <w:rFonts w:cs="Arial"/>
                <w:sz w:val="20"/>
                <w:szCs w:val="20"/>
                <w:lang w:val="en-US"/>
              </w:rPr>
            </w:pPr>
            <w:r w:rsidRPr="009B7B35">
              <w:rPr>
                <w:rFonts w:cs="Arial"/>
                <w:sz w:val="20"/>
                <w:szCs w:val="20"/>
                <w:lang w:val="en-US"/>
              </w:rPr>
              <w:t>Pink Ash</w:t>
            </w:r>
          </w:p>
        </w:tc>
        <w:tc>
          <w:tcPr>
            <w:tcW w:w="588" w:type="pct"/>
            <w:vAlign w:val="center"/>
          </w:tcPr>
          <w:p w14:paraId="2F74CF4B" w14:textId="77777777"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14:paraId="2F414FDB"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77A155B4"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361CFBB" w14:textId="77777777" w:rsidR="00BE36FB" w:rsidRPr="009B7B35" w:rsidRDefault="00BE36FB" w:rsidP="001A7107">
            <w:pPr>
              <w:jc w:val="center"/>
              <w:rPr>
                <w:rFonts w:cs="Arial"/>
                <w:sz w:val="20"/>
                <w:szCs w:val="20"/>
                <w:lang w:val="en-US"/>
              </w:rPr>
            </w:pPr>
          </w:p>
        </w:tc>
      </w:tr>
      <w:tr w:rsidR="00BE36FB" w:rsidRPr="009B7B35" w14:paraId="4F5EAF2E" w14:textId="77777777" w:rsidTr="001A7107">
        <w:tc>
          <w:tcPr>
            <w:tcW w:w="1512" w:type="pct"/>
          </w:tcPr>
          <w:p w14:paraId="55972BD0" w14:textId="77777777" w:rsidR="00BE36FB" w:rsidRPr="009B7B35" w:rsidRDefault="00BE36FB" w:rsidP="001A7107">
            <w:pPr>
              <w:rPr>
                <w:rFonts w:cs="Arial"/>
                <w:sz w:val="20"/>
                <w:szCs w:val="20"/>
                <w:lang w:val="en-US"/>
              </w:rPr>
            </w:pPr>
            <w:r w:rsidRPr="009B7B35">
              <w:rPr>
                <w:rFonts w:cs="Arial"/>
                <w:sz w:val="20"/>
                <w:szCs w:val="20"/>
                <w:lang w:val="en-US"/>
              </w:rPr>
              <w:t>Angophora leiocarpa</w:t>
            </w:r>
          </w:p>
        </w:tc>
        <w:tc>
          <w:tcPr>
            <w:tcW w:w="1137" w:type="pct"/>
          </w:tcPr>
          <w:p w14:paraId="2378A6F3" w14:textId="77777777" w:rsidR="00BE36FB" w:rsidRPr="009B7B35" w:rsidRDefault="00BE36FB" w:rsidP="001A7107">
            <w:pPr>
              <w:rPr>
                <w:rFonts w:cs="Arial"/>
                <w:sz w:val="20"/>
                <w:szCs w:val="20"/>
                <w:lang w:val="en-US"/>
              </w:rPr>
            </w:pPr>
            <w:r w:rsidRPr="009B7B35">
              <w:rPr>
                <w:rFonts w:cs="Arial"/>
                <w:sz w:val="20"/>
                <w:szCs w:val="20"/>
                <w:lang w:val="en-US"/>
              </w:rPr>
              <w:t>Smooth Barked Apple</w:t>
            </w:r>
          </w:p>
        </w:tc>
        <w:tc>
          <w:tcPr>
            <w:tcW w:w="588" w:type="pct"/>
            <w:vAlign w:val="center"/>
          </w:tcPr>
          <w:p w14:paraId="66A990B1"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1220BD08"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0D00908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9B49255" w14:textId="77777777" w:rsidR="00BE36FB" w:rsidRPr="009B7B35" w:rsidRDefault="00BE36FB" w:rsidP="001A7107">
            <w:pPr>
              <w:jc w:val="center"/>
              <w:rPr>
                <w:rFonts w:cs="Arial"/>
                <w:sz w:val="20"/>
                <w:szCs w:val="20"/>
                <w:lang w:val="en-US"/>
              </w:rPr>
            </w:pPr>
          </w:p>
        </w:tc>
      </w:tr>
      <w:tr w:rsidR="00BE36FB" w:rsidRPr="009B7B35" w14:paraId="085F3166" w14:textId="77777777" w:rsidTr="001A7107">
        <w:tc>
          <w:tcPr>
            <w:tcW w:w="1512" w:type="pct"/>
          </w:tcPr>
          <w:p w14:paraId="7E734B8D" w14:textId="77777777" w:rsidR="00BE36FB" w:rsidRPr="009B7B35" w:rsidRDefault="00BE36FB" w:rsidP="001A7107">
            <w:pPr>
              <w:rPr>
                <w:rFonts w:cs="Arial"/>
                <w:sz w:val="20"/>
                <w:szCs w:val="20"/>
                <w:lang w:val="en-US"/>
              </w:rPr>
            </w:pPr>
            <w:r w:rsidRPr="009B7B35">
              <w:rPr>
                <w:rFonts w:cs="Arial"/>
                <w:sz w:val="20"/>
                <w:szCs w:val="20"/>
                <w:lang w:val="en-US"/>
              </w:rPr>
              <w:t>Anigozanthos spp.</w:t>
            </w:r>
          </w:p>
        </w:tc>
        <w:tc>
          <w:tcPr>
            <w:tcW w:w="1137" w:type="pct"/>
          </w:tcPr>
          <w:p w14:paraId="28266A3E" w14:textId="77777777" w:rsidR="00BE36FB" w:rsidRPr="009B7B35" w:rsidRDefault="00BE36FB" w:rsidP="001A7107">
            <w:pPr>
              <w:rPr>
                <w:rFonts w:cs="Arial"/>
                <w:sz w:val="20"/>
                <w:szCs w:val="20"/>
                <w:lang w:val="en-US"/>
              </w:rPr>
            </w:pPr>
            <w:r w:rsidRPr="009B7B35">
              <w:rPr>
                <w:rFonts w:cs="Arial"/>
                <w:sz w:val="20"/>
                <w:szCs w:val="20"/>
                <w:lang w:val="en-US"/>
              </w:rPr>
              <w:t>Kangaroo Paws</w:t>
            </w:r>
          </w:p>
        </w:tc>
        <w:tc>
          <w:tcPr>
            <w:tcW w:w="588" w:type="pct"/>
            <w:vAlign w:val="center"/>
          </w:tcPr>
          <w:p w14:paraId="64C6967A" w14:textId="77777777" w:rsidR="00BE36FB" w:rsidRPr="009B7B35" w:rsidRDefault="00BE36FB" w:rsidP="001A7107">
            <w:pPr>
              <w:jc w:val="center"/>
              <w:rPr>
                <w:rFonts w:cs="Arial"/>
                <w:sz w:val="20"/>
                <w:szCs w:val="20"/>
                <w:lang w:val="en-US"/>
              </w:rPr>
            </w:pPr>
          </w:p>
        </w:tc>
        <w:tc>
          <w:tcPr>
            <w:tcW w:w="588" w:type="pct"/>
            <w:vAlign w:val="center"/>
          </w:tcPr>
          <w:p w14:paraId="3187AAE0" w14:textId="77777777" w:rsidR="00BE36FB" w:rsidRPr="009B7B35" w:rsidRDefault="00BE36FB" w:rsidP="001A7107">
            <w:pPr>
              <w:jc w:val="center"/>
              <w:rPr>
                <w:rFonts w:cs="Arial"/>
                <w:sz w:val="20"/>
                <w:szCs w:val="20"/>
                <w:lang w:val="en-US"/>
              </w:rPr>
            </w:pPr>
          </w:p>
        </w:tc>
        <w:tc>
          <w:tcPr>
            <w:tcW w:w="588" w:type="pct"/>
            <w:vAlign w:val="center"/>
          </w:tcPr>
          <w:p w14:paraId="3CB32413" w14:textId="77777777" w:rsidR="00BE36FB" w:rsidRPr="009B7B35" w:rsidRDefault="00BE36FB" w:rsidP="001A7107">
            <w:pPr>
              <w:jc w:val="center"/>
              <w:rPr>
                <w:rFonts w:cs="Arial"/>
                <w:sz w:val="20"/>
                <w:szCs w:val="20"/>
                <w:lang w:val="en-US"/>
              </w:rPr>
            </w:pPr>
          </w:p>
        </w:tc>
        <w:tc>
          <w:tcPr>
            <w:tcW w:w="587" w:type="pct"/>
            <w:vAlign w:val="center"/>
          </w:tcPr>
          <w:p w14:paraId="3F7BB86E" w14:textId="77777777" w:rsidR="00BE36FB" w:rsidRPr="009B7B35" w:rsidRDefault="00BE36FB" w:rsidP="001A7107">
            <w:pPr>
              <w:jc w:val="center"/>
              <w:rPr>
                <w:rFonts w:cs="Arial"/>
                <w:sz w:val="20"/>
                <w:szCs w:val="20"/>
                <w:lang w:val="en-US"/>
              </w:rPr>
            </w:pPr>
          </w:p>
        </w:tc>
      </w:tr>
      <w:tr w:rsidR="00BE36FB" w:rsidRPr="009B7B35" w14:paraId="37519E88" w14:textId="77777777" w:rsidTr="001A7107">
        <w:tc>
          <w:tcPr>
            <w:tcW w:w="1512" w:type="pct"/>
          </w:tcPr>
          <w:p w14:paraId="46F6DCF0" w14:textId="77777777" w:rsidR="00BE36FB" w:rsidRPr="009B7B35" w:rsidRDefault="00BE36FB" w:rsidP="001A7107">
            <w:pPr>
              <w:rPr>
                <w:rFonts w:cs="Arial"/>
                <w:sz w:val="20"/>
                <w:szCs w:val="20"/>
                <w:lang w:val="en-US"/>
              </w:rPr>
            </w:pPr>
            <w:r w:rsidRPr="009B7B35">
              <w:rPr>
                <w:rFonts w:cs="Arial"/>
                <w:sz w:val="20"/>
                <w:szCs w:val="20"/>
                <w:lang w:val="en-US"/>
              </w:rPr>
              <w:t>Araucaria bidwillii</w:t>
            </w:r>
          </w:p>
        </w:tc>
        <w:tc>
          <w:tcPr>
            <w:tcW w:w="1137" w:type="pct"/>
          </w:tcPr>
          <w:p w14:paraId="0786B696" w14:textId="77777777" w:rsidR="00BE36FB" w:rsidRPr="009B7B35" w:rsidRDefault="00BE36FB" w:rsidP="001A7107">
            <w:pPr>
              <w:rPr>
                <w:rFonts w:cs="Arial"/>
                <w:sz w:val="20"/>
                <w:szCs w:val="20"/>
                <w:lang w:val="en-US"/>
              </w:rPr>
            </w:pPr>
            <w:r w:rsidRPr="009B7B35">
              <w:rPr>
                <w:rFonts w:cs="Arial"/>
                <w:sz w:val="20"/>
                <w:szCs w:val="20"/>
                <w:lang w:val="en-US"/>
              </w:rPr>
              <w:t>Bunya Pine</w:t>
            </w:r>
          </w:p>
        </w:tc>
        <w:tc>
          <w:tcPr>
            <w:tcW w:w="588" w:type="pct"/>
            <w:vAlign w:val="center"/>
          </w:tcPr>
          <w:p w14:paraId="56175256" w14:textId="77777777" w:rsidR="00BE36FB" w:rsidRPr="009B7B35" w:rsidRDefault="00BE36FB" w:rsidP="001A7107">
            <w:pPr>
              <w:jc w:val="center"/>
              <w:rPr>
                <w:rFonts w:cs="Arial"/>
                <w:sz w:val="20"/>
                <w:szCs w:val="20"/>
                <w:lang w:val="en-US"/>
              </w:rPr>
            </w:pPr>
            <w:r w:rsidRPr="009B7B35">
              <w:rPr>
                <w:rFonts w:cs="Arial"/>
                <w:sz w:val="20"/>
                <w:szCs w:val="20"/>
                <w:lang w:val="en-US"/>
              </w:rPr>
              <w:t>20</w:t>
            </w:r>
          </w:p>
        </w:tc>
        <w:tc>
          <w:tcPr>
            <w:tcW w:w="588" w:type="pct"/>
            <w:vAlign w:val="center"/>
          </w:tcPr>
          <w:p w14:paraId="57BE8FC6"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449E734D"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DBA18AF" w14:textId="77777777" w:rsidR="00BE36FB" w:rsidRPr="009B7B35" w:rsidRDefault="00BE36FB" w:rsidP="001A7107">
            <w:pPr>
              <w:jc w:val="center"/>
              <w:rPr>
                <w:rFonts w:cs="Arial"/>
                <w:sz w:val="20"/>
                <w:szCs w:val="20"/>
                <w:lang w:val="en-US"/>
              </w:rPr>
            </w:pPr>
          </w:p>
        </w:tc>
      </w:tr>
      <w:tr w:rsidR="00BE36FB" w:rsidRPr="009B7B35" w14:paraId="320A465E" w14:textId="77777777" w:rsidTr="001A7107">
        <w:tc>
          <w:tcPr>
            <w:tcW w:w="1512" w:type="pct"/>
          </w:tcPr>
          <w:p w14:paraId="513BA0A5" w14:textId="77777777" w:rsidR="00BE36FB" w:rsidRPr="009B7B35" w:rsidRDefault="00BE36FB" w:rsidP="001A7107">
            <w:pPr>
              <w:rPr>
                <w:rFonts w:cs="Arial"/>
                <w:sz w:val="20"/>
                <w:szCs w:val="20"/>
                <w:lang w:val="en-US"/>
              </w:rPr>
            </w:pPr>
            <w:r w:rsidRPr="009B7B35">
              <w:rPr>
                <w:rFonts w:cs="Arial"/>
                <w:sz w:val="20"/>
                <w:szCs w:val="20"/>
                <w:lang w:val="en-US"/>
              </w:rPr>
              <w:t>Araucaria cunninghamii</w:t>
            </w:r>
          </w:p>
        </w:tc>
        <w:tc>
          <w:tcPr>
            <w:tcW w:w="1137" w:type="pct"/>
          </w:tcPr>
          <w:p w14:paraId="778EC097" w14:textId="77777777" w:rsidR="00BE36FB" w:rsidRPr="009B7B35" w:rsidRDefault="00BE36FB" w:rsidP="001A7107">
            <w:pPr>
              <w:rPr>
                <w:rFonts w:cs="Arial"/>
                <w:sz w:val="20"/>
                <w:szCs w:val="20"/>
                <w:lang w:val="en-US"/>
              </w:rPr>
            </w:pPr>
            <w:r w:rsidRPr="009B7B35">
              <w:rPr>
                <w:rFonts w:cs="Arial"/>
                <w:sz w:val="20"/>
                <w:szCs w:val="20"/>
                <w:lang w:val="en-US"/>
              </w:rPr>
              <w:t>Hoop Pine</w:t>
            </w:r>
          </w:p>
        </w:tc>
        <w:tc>
          <w:tcPr>
            <w:tcW w:w="588" w:type="pct"/>
            <w:vAlign w:val="center"/>
          </w:tcPr>
          <w:p w14:paraId="3A7F5B37" w14:textId="77777777" w:rsidR="00BE36FB" w:rsidRPr="009B7B35" w:rsidRDefault="00BE36FB" w:rsidP="001A7107">
            <w:pPr>
              <w:jc w:val="center"/>
              <w:rPr>
                <w:rFonts w:cs="Arial"/>
                <w:sz w:val="20"/>
                <w:szCs w:val="20"/>
                <w:lang w:val="en-US"/>
              </w:rPr>
            </w:pPr>
            <w:r w:rsidRPr="009B7B35">
              <w:rPr>
                <w:rFonts w:cs="Arial"/>
                <w:sz w:val="20"/>
                <w:szCs w:val="20"/>
                <w:lang w:val="en-US"/>
              </w:rPr>
              <w:t>20</w:t>
            </w:r>
          </w:p>
        </w:tc>
        <w:tc>
          <w:tcPr>
            <w:tcW w:w="588" w:type="pct"/>
            <w:vAlign w:val="center"/>
          </w:tcPr>
          <w:p w14:paraId="42DB1849"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6A3F710C"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EE0D2F8" w14:textId="77777777" w:rsidR="00BE36FB" w:rsidRPr="009B7B35" w:rsidRDefault="00BE36FB" w:rsidP="001A7107">
            <w:pPr>
              <w:jc w:val="center"/>
              <w:rPr>
                <w:rFonts w:cs="Arial"/>
                <w:sz w:val="20"/>
                <w:szCs w:val="20"/>
                <w:lang w:val="en-US"/>
              </w:rPr>
            </w:pPr>
          </w:p>
        </w:tc>
      </w:tr>
      <w:tr w:rsidR="00BE36FB" w:rsidRPr="009B7B35" w14:paraId="464E00F2" w14:textId="77777777" w:rsidTr="001A7107">
        <w:tc>
          <w:tcPr>
            <w:tcW w:w="1512" w:type="pct"/>
          </w:tcPr>
          <w:p w14:paraId="4F3A488F" w14:textId="77777777" w:rsidR="00BE36FB" w:rsidRPr="009B7B35" w:rsidRDefault="00BE36FB" w:rsidP="001A7107">
            <w:pPr>
              <w:rPr>
                <w:rFonts w:cs="Arial"/>
                <w:sz w:val="20"/>
                <w:szCs w:val="20"/>
                <w:lang w:val="en-US"/>
              </w:rPr>
            </w:pPr>
            <w:r w:rsidRPr="009B7B35">
              <w:rPr>
                <w:rFonts w:cs="Arial"/>
                <w:sz w:val="20"/>
                <w:szCs w:val="20"/>
                <w:lang w:val="en-US"/>
              </w:rPr>
              <w:t>Archontophoenix alexandrae</w:t>
            </w:r>
          </w:p>
        </w:tc>
        <w:tc>
          <w:tcPr>
            <w:tcW w:w="1137" w:type="pct"/>
          </w:tcPr>
          <w:p w14:paraId="09FE6993" w14:textId="77777777" w:rsidR="00BE36FB" w:rsidRPr="009B7B35" w:rsidRDefault="00BE36FB" w:rsidP="001A7107">
            <w:pPr>
              <w:rPr>
                <w:rFonts w:cs="Arial"/>
                <w:sz w:val="20"/>
                <w:szCs w:val="20"/>
                <w:lang w:val="en-US"/>
              </w:rPr>
            </w:pPr>
            <w:r w:rsidRPr="009B7B35">
              <w:rPr>
                <w:rFonts w:cs="Arial"/>
                <w:sz w:val="20"/>
                <w:szCs w:val="20"/>
                <w:lang w:val="en-US"/>
              </w:rPr>
              <w:t>Alexandra Palm</w:t>
            </w:r>
          </w:p>
        </w:tc>
        <w:tc>
          <w:tcPr>
            <w:tcW w:w="588" w:type="pct"/>
            <w:vAlign w:val="center"/>
          </w:tcPr>
          <w:p w14:paraId="0024D4CB" w14:textId="77777777" w:rsidR="00BE36FB" w:rsidRPr="009B7B35" w:rsidRDefault="00BE36FB" w:rsidP="001A7107">
            <w:pPr>
              <w:jc w:val="center"/>
              <w:rPr>
                <w:rFonts w:cs="Arial"/>
                <w:sz w:val="20"/>
                <w:szCs w:val="20"/>
                <w:lang w:val="en-US"/>
              </w:rPr>
            </w:pPr>
            <w:r w:rsidRPr="009B7B35">
              <w:rPr>
                <w:rFonts w:cs="Arial"/>
                <w:sz w:val="20"/>
                <w:szCs w:val="20"/>
                <w:lang w:val="en-US"/>
              </w:rPr>
              <w:t>15</w:t>
            </w:r>
          </w:p>
        </w:tc>
        <w:tc>
          <w:tcPr>
            <w:tcW w:w="588" w:type="pct"/>
            <w:vAlign w:val="center"/>
          </w:tcPr>
          <w:p w14:paraId="20041F8D"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593B39B7"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022135F" w14:textId="77777777" w:rsidR="00BE36FB" w:rsidRPr="009B7B35" w:rsidRDefault="00BE36FB" w:rsidP="001A7107">
            <w:pPr>
              <w:jc w:val="center"/>
              <w:rPr>
                <w:rFonts w:cs="Arial"/>
                <w:sz w:val="20"/>
                <w:szCs w:val="20"/>
                <w:lang w:val="en-US"/>
              </w:rPr>
            </w:pPr>
          </w:p>
        </w:tc>
      </w:tr>
      <w:tr w:rsidR="00BE36FB" w:rsidRPr="009B7B35" w14:paraId="597AE7D6" w14:textId="77777777" w:rsidTr="001A7107">
        <w:trPr>
          <w:trHeight w:val="264"/>
        </w:trPr>
        <w:tc>
          <w:tcPr>
            <w:tcW w:w="1512" w:type="pct"/>
          </w:tcPr>
          <w:p w14:paraId="39873129" w14:textId="77777777" w:rsidR="00BE36FB" w:rsidRPr="009B7B35" w:rsidRDefault="00BE36FB" w:rsidP="001A7107">
            <w:pPr>
              <w:rPr>
                <w:rFonts w:cs="Arial"/>
                <w:sz w:val="20"/>
                <w:szCs w:val="20"/>
                <w:lang w:val="en-US"/>
              </w:rPr>
            </w:pPr>
            <w:r w:rsidRPr="009B7B35">
              <w:rPr>
                <w:rFonts w:cs="Arial"/>
                <w:sz w:val="20"/>
                <w:szCs w:val="20"/>
                <w:lang w:val="en-US"/>
              </w:rPr>
              <w:t>Archontophoenix cunninghamiana</w:t>
            </w:r>
          </w:p>
        </w:tc>
        <w:tc>
          <w:tcPr>
            <w:tcW w:w="1137" w:type="pct"/>
          </w:tcPr>
          <w:p w14:paraId="1275C54B" w14:textId="77777777" w:rsidR="00BE36FB" w:rsidRPr="009B7B35" w:rsidRDefault="00BE36FB" w:rsidP="001A7107">
            <w:pPr>
              <w:rPr>
                <w:rFonts w:cs="Arial"/>
                <w:sz w:val="20"/>
                <w:szCs w:val="20"/>
                <w:lang w:val="en-US"/>
              </w:rPr>
            </w:pPr>
            <w:r w:rsidRPr="009B7B35">
              <w:rPr>
                <w:rFonts w:cs="Arial"/>
                <w:sz w:val="20"/>
                <w:szCs w:val="20"/>
                <w:lang w:val="en-US"/>
              </w:rPr>
              <w:t>Bangalow / Piccabeen Palm</w:t>
            </w:r>
          </w:p>
        </w:tc>
        <w:tc>
          <w:tcPr>
            <w:tcW w:w="588" w:type="pct"/>
            <w:vAlign w:val="center"/>
          </w:tcPr>
          <w:p w14:paraId="4B1E8817" w14:textId="77777777" w:rsidR="00BE36FB" w:rsidRPr="009B7B35" w:rsidRDefault="00BE36FB" w:rsidP="001A7107">
            <w:pPr>
              <w:jc w:val="center"/>
              <w:rPr>
                <w:rFonts w:cs="Arial"/>
                <w:sz w:val="20"/>
                <w:szCs w:val="20"/>
                <w:lang w:val="en-US"/>
              </w:rPr>
            </w:pPr>
            <w:r w:rsidRPr="009B7B35">
              <w:rPr>
                <w:rFonts w:cs="Arial"/>
                <w:sz w:val="20"/>
                <w:szCs w:val="20"/>
                <w:lang w:val="en-US"/>
              </w:rPr>
              <w:t>12.5</w:t>
            </w:r>
          </w:p>
        </w:tc>
        <w:tc>
          <w:tcPr>
            <w:tcW w:w="588" w:type="pct"/>
            <w:vAlign w:val="center"/>
          </w:tcPr>
          <w:p w14:paraId="6D57BCE2"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59F624D5"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2EFED99" w14:textId="77777777" w:rsidR="00BE36FB" w:rsidRPr="009B7B35" w:rsidRDefault="00BE36FB" w:rsidP="001A7107">
            <w:pPr>
              <w:jc w:val="center"/>
              <w:rPr>
                <w:rFonts w:cs="Arial"/>
                <w:sz w:val="20"/>
                <w:szCs w:val="20"/>
                <w:lang w:val="en-US"/>
              </w:rPr>
            </w:pPr>
          </w:p>
        </w:tc>
      </w:tr>
      <w:tr w:rsidR="00BE36FB" w:rsidRPr="009B7B35" w14:paraId="0D6B12ED" w14:textId="77777777" w:rsidTr="001A7107">
        <w:trPr>
          <w:trHeight w:val="114"/>
        </w:trPr>
        <w:tc>
          <w:tcPr>
            <w:tcW w:w="1512" w:type="pct"/>
          </w:tcPr>
          <w:p w14:paraId="5B1CF41A" w14:textId="77777777" w:rsidR="00BE36FB" w:rsidRPr="009B7B35" w:rsidRDefault="00BE36FB" w:rsidP="001A7107">
            <w:pPr>
              <w:rPr>
                <w:rFonts w:cs="Arial"/>
                <w:sz w:val="20"/>
                <w:szCs w:val="20"/>
                <w:lang w:val="en-US"/>
              </w:rPr>
            </w:pPr>
            <w:r w:rsidRPr="009B7B35">
              <w:rPr>
                <w:rFonts w:cs="Arial"/>
                <w:sz w:val="20"/>
                <w:szCs w:val="20"/>
                <w:lang w:val="en-US"/>
              </w:rPr>
              <w:t>Argyrodendron spp.</w:t>
            </w:r>
          </w:p>
        </w:tc>
        <w:tc>
          <w:tcPr>
            <w:tcW w:w="1137" w:type="pct"/>
          </w:tcPr>
          <w:p w14:paraId="00CD70DA" w14:textId="77777777" w:rsidR="00BE36FB" w:rsidRPr="009B7B35" w:rsidRDefault="00BE36FB" w:rsidP="001A7107">
            <w:pPr>
              <w:rPr>
                <w:rFonts w:cs="Arial"/>
                <w:sz w:val="20"/>
                <w:szCs w:val="20"/>
                <w:lang w:val="en-US"/>
              </w:rPr>
            </w:pPr>
          </w:p>
        </w:tc>
        <w:tc>
          <w:tcPr>
            <w:tcW w:w="588" w:type="pct"/>
            <w:vAlign w:val="center"/>
          </w:tcPr>
          <w:p w14:paraId="646F01C8"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11A44468"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65E0F430"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204CE4D" w14:textId="77777777" w:rsidR="00BE36FB" w:rsidRPr="009B7B35" w:rsidRDefault="00BE36FB" w:rsidP="001A7107">
            <w:pPr>
              <w:jc w:val="center"/>
              <w:rPr>
                <w:rFonts w:cs="Arial"/>
                <w:sz w:val="20"/>
                <w:szCs w:val="20"/>
                <w:lang w:val="en-US"/>
              </w:rPr>
            </w:pPr>
          </w:p>
        </w:tc>
      </w:tr>
      <w:tr w:rsidR="00BE36FB" w:rsidRPr="009B7B35" w14:paraId="686DC4A7" w14:textId="77777777" w:rsidTr="001A7107">
        <w:tc>
          <w:tcPr>
            <w:tcW w:w="1512" w:type="pct"/>
          </w:tcPr>
          <w:p w14:paraId="5FC1D55B" w14:textId="77777777" w:rsidR="00BE36FB" w:rsidRPr="009B7B35" w:rsidRDefault="00BE36FB" w:rsidP="001A7107">
            <w:pPr>
              <w:rPr>
                <w:rFonts w:cs="Arial"/>
                <w:sz w:val="20"/>
                <w:szCs w:val="20"/>
                <w:lang w:val="en-US"/>
              </w:rPr>
            </w:pPr>
            <w:r w:rsidRPr="009B7B35">
              <w:rPr>
                <w:rFonts w:cs="Arial"/>
                <w:sz w:val="20"/>
                <w:szCs w:val="20"/>
                <w:lang w:val="en-US"/>
              </w:rPr>
              <w:t>Aristolochia praevenosa</w:t>
            </w:r>
          </w:p>
        </w:tc>
        <w:tc>
          <w:tcPr>
            <w:tcW w:w="1137" w:type="pct"/>
          </w:tcPr>
          <w:p w14:paraId="2A22EAF0" w14:textId="77777777" w:rsidR="00BE36FB" w:rsidRPr="009B7B35" w:rsidRDefault="00BE36FB" w:rsidP="001A7107">
            <w:pPr>
              <w:rPr>
                <w:rFonts w:cs="Arial"/>
                <w:sz w:val="20"/>
                <w:szCs w:val="20"/>
                <w:lang w:val="en-US"/>
              </w:rPr>
            </w:pPr>
            <w:r w:rsidRPr="009B7B35">
              <w:rPr>
                <w:rFonts w:cs="Arial"/>
                <w:sz w:val="20"/>
                <w:szCs w:val="20"/>
                <w:lang w:val="en-US"/>
              </w:rPr>
              <w:t>Birdwing Butterfly Vine</w:t>
            </w:r>
          </w:p>
        </w:tc>
        <w:tc>
          <w:tcPr>
            <w:tcW w:w="588" w:type="pct"/>
            <w:vAlign w:val="center"/>
          </w:tcPr>
          <w:p w14:paraId="189BBBBA" w14:textId="77777777" w:rsidR="00BE36FB" w:rsidRPr="009B7B35" w:rsidRDefault="00BE36FB" w:rsidP="001A7107">
            <w:pPr>
              <w:jc w:val="center"/>
              <w:rPr>
                <w:rFonts w:cs="Arial"/>
                <w:sz w:val="20"/>
                <w:szCs w:val="20"/>
                <w:lang w:val="en-US"/>
              </w:rPr>
            </w:pPr>
          </w:p>
        </w:tc>
        <w:tc>
          <w:tcPr>
            <w:tcW w:w="588" w:type="pct"/>
            <w:vAlign w:val="center"/>
          </w:tcPr>
          <w:p w14:paraId="297D8D70" w14:textId="77777777" w:rsidR="00BE36FB" w:rsidRPr="009B7B35" w:rsidRDefault="00BE36FB" w:rsidP="001A7107">
            <w:pPr>
              <w:jc w:val="center"/>
              <w:rPr>
                <w:rFonts w:cs="Arial"/>
                <w:sz w:val="20"/>
                <w:szCs w:val="20"/>
                <w:lang w:val="en-US"/>
              </w:rPr>
            </w:pPr>
            <w:r w:rsidRPr="009B7B35">
              <w:rPr>
                <w:rFonts w:cs="Arial"/>
                <w:sz w:val="20"/>
                <w:szCs w:val="20"/>
                <w:lang w:val="en-US"/>
              </w:rPr>
              <w:t>Vine</w:t>
            </w:r>
          </w:p>
        </w:tc>
        <w:tc>
          <w:tcPr>
            <w:tcW w:w="588" w:type="pct"/>
            <w:vAlign w:val="center"/>
          </w:tcPr>
          <w:p w14:paraId="50A7C45F"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F2563AD" w14:textId="77777777" w:rsidR="00BE36FB" w:rsidRPr="009B7B35" w:rsidRDefault="00BE36FB" w:rsidP="001A7107">
            <w:pPr>
              <w:jc w:val="center"/>
              <w:rPr>
                <w:rFonts w:cs="Arial"/>
                <w:sz w:val="20"/>
                <w:szCs w:val="20"/>
                <w:lang w:val="en-US"/>
              </w:rPr>
            </w:pPr>
          </w:p>
        </w:tc>
      </w:tr>
      <w:tr w:rsidR="00BE36FB" w:rsidRPr="009B7B35" w14:paraId="152EBE91" w14:textId="77777777" w:rsidTr="001A7107">
        <w:tc>
          <w:tcPr>
            <w:tcW w:w="1512" w:type="pct"/>
          </w:tcPr>
          <w:p w14:paraId="561E2E95" w14:textId="77777777" w:rsidR="00BE36FB" w:rsidRPr="009B7B35" w:rsidRDefault="00BE36FB" w:rsidP="001A7107">
            <w:pPr>
              <w:rPr>
                <w:rFonts w:cs="Arial"/>
                <w:sz w:val="20"/>
                <w:szCs w:val="20"/>
                <w:lang w:val="en-US"/>
              </w:rPr>
            </w:pPr>
            <w:r w:rsidRPr="009B7B35">
              <w:rPr>
                <w:rFonts w:cs="Arial"/>
                <w:sz w:val="20"/>
                <w:szCs w:val="20"/>
                <w:lang w:val="en-US"/>
              </w:rPr>
              <w:t>Aristolochia tagala</w:t>
            </w:r>
          </w:p>
        </w:tc>
        <w:tc>
          <w:tcPr>
            <w:tcW w:w="1137" w:type="pct"/>
          </w:tcPr>
          <w:p w14:paraId="5EEDE3E4" w14:textId="77777777" w:rsidR="00BE36FB" w:rsidRPr="009B7B35" w:rsidRDefault="00BE36FB" w:rsidP="001A7107">
            <w:pPr>
              <w:rPr>
                <w:rFonts w:cs="Arial"/>
                <w:sz w:val="20"/>
                <w:szCs w:val="20"/>
                <w:lang w:val="en-US"/>
              </w:rPr>
            </w:pPr>
          </w:p>
        </w:tc>
        <w:tc>
          <w:tcPr>
            <w:tcW w:w="588" w:type="pct"/>
            <w:vAlign w:val="center"/>
          </w:tcPr>
          <w:p w14:paraId="674C92E5" w14:textId="77777777" w:rsidR="00BE36FB" w:rsidRPr="009B7B35" w:rsidRDefault="00BE36FB" w:rsidP="001A7107">
            <w:pPr>
              <w:jc w:val="center"/>
              <w:rPr>
                <w:rFonts w:cs="Arial"/>
                <w:sz w:val="20"/>
                <w:szCs w:val="20"/>
                <w:lang w:val="en-US"/>
              </w:rPr>
            </w:pPr>
            <w:r w:rsidRPr="009B7B35">
              <w:rPr>
                <w:rFonts w:cs="Arial"/>
                <w:sz w:val="20"/>
                <w:szCs w:val="20"/>
                <w:lang w:val="en-US"/>
              </w:rPr>
              <w:t>Vine</w:t>
            </w:r>
          </w:p>
        </w:tc>
        <w:tc>
          <w:tcPr>
            <w:tcW w:w="588" w:type="pct"/>
            <w:vAlign w:val="center"/>
          </w:tcPr>
          <w:p w14:paraId="7FAC38B3" w14:textId="77777777" w:rsidR="00BE36FB" w:rsidRPr="009B7B35" w:rsidRDefault="00BE36FB" w:rsidP="001A7107">
            <w:pPr>
              <w:jc w:val="center"/>
              <w:rPr>
                <w:rFonts w:cs="Arial"/>
                <w:sz w:val="20"/>
                <w:szCs w:val="20"/>
                <w:lang w:val="en-US"/>
              </w:rPr>
            </w:pPr>
          </w:p>
        </w:tc>
        <w:tc>
          <w:tcPr>
            <w:tcW w:w="588" w:type="pct"/>
            <w:vAlign w:val="center"/>
          </w:tcPr>
          <w:p w14:paraId="0D081F3F" w14:textId="77777777" w:rsidR="00BE36FB" w:rsidRPr="009B7B35" w:rsidRDefault="00BE36FB" w:rsidP="001A7107">
            <w:pPr>
              <w:jc w:val="center"/>
              <w:rPr>
                <w:rFonts w:cs="Arial"/>
                <w:sz w:val="20"/>
                <w:szCs w:val="20"/>
                <w:lang w:val="en-US"/>
              </w:rPr>
            </w:pPr>
          </w:p>
        </w:tc>
        <w:tc>
          <w:tcPr>
            <w:tcW w:w="587" w:type="pct"/>
            <w:vAlign w:val="center"/>
          </w:tcPr>
          <w:p w14:paraId="0BA35CE0" w14:textId="77777777" w:rsidR="00BE36FB" w:rsidRPr="009B7B35" w:rsidRDefault="00BE36FB" w:rsidP="001A7107">
            <w:pPr>
              <w:jc w:val="center"/>
              <w:rPr>
                <w:rFonts w:cs="Arial"/>
                <w:sz w:val="20"/>
                <w:szCs w:val="20"/>
                <w:lang w:val="en-US"/>
              </w:rPr>
            </w:pPr>
          </w:p>
        </w:tc>
      </w:tr>
      <w:tr w:rsidR="00BE36FB" w:rsidRPr="009B7B35" w14:paraId="01D8E26C" w14:textId="77777777" w:rsidTr="001A7107">
        <w:tc>
          <w:tcPr>
            <w:tcW w:w="1512" w:type="pct"/>
          </w:tcPr>
          <w:p w14:paraId="3D517533" w14:textId="77777777" w:rsidR="00BE36FB" w:rsidRPr="009B7B35" w:rsidRDefault="00BE36FB" w:rsidP="001A7107">
            <w:pPr>
              <w:rPr>
                <w:rFonts w:cs="Arial"/>
                <w:sz w:val="20"/>
                <w:szCs w:val="20"/>
                <w:lang w:val="en-US"/>
              </w:rPr>
            </w:pPr>
            <w:r w:rsidRPr="009B7B35">
              <w:rPr>
                <w:rFonts w:cs="Arial"/>
                <w:sz w:val="20"/>
                <w:szCs w:val="20"/>
                <w:lang w:val="en-US"/>
              </w:rPr>
              <w:t>Arytera divaricata</w:t>
            </w:r>
          </w:p>
        </w:tc>
        <w:tc>
          <w:tcPr>
            <w:tcW w:w="1137" w:type="pct"/>
          </w:tcPr>
          <w:p w14:paraId="790A0C07" w14:textId="77777777" w:rsidR="00BE36FB" w:rsidRPr="009B7B35" w:rsidRDefault="00BE36FB" w:rsidP="001A7107">
            <w:pPr>
              <w:rPr>
                <w:rFonts w:cs="Arial"/>
                <w:sz w:val="20"/>
                <w:szCs w:val="20"/>
                <w:lang w:val="en-US"/>
              </w:rPr>
            </w:pPr>
            <w:r w:rsidRPr="009B7B35">
              <w:rPr>
                <w:rFonts w:cs="Arial"/>
                <w:sz w:val="20"/>
                <w:szCs w:val="20"/>
                <w:lang w:val="en-US"/>
              </w:rPr>
              <w:t>Twin Leaved Coogera</w:t>
            </w:r>
          </w:p>
        </w:tc>
        <w:tc>
          <w:tcPr>
            <w:tcW w:w="588" w:type="pct"/>
            <w:vAlign w:val="center"/>
          </w:tcPr>
          <w:p w14:paraId="117C54F8"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69D45B46"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12BE7A94"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07133B1" w14:textId="77777777" w:rsidR="00BE36FB" w:rsidRPr="009B7B35" w:rsidRDefault="00BE36FB" w:rsidP="001A7107">
            <w:pPr>
              <w:jc w:val="center"/>
              <w:rPr>
                <w:rFonts w:cs="Arial"/>
                <w:sz w:val="20"/>
                <w:szCs w:val="20"/>
                <w:lang w:val="en-US"/>
              </w:rPr>
            </w:pPr>
          </w:p>
        </w:tc>
      </w:tr>
      <w:tr w:rsidR="00BE36FB" w:rsidRPr="009B7B35" w14:paraId="4A031F22" w14:textId="77777777" w:rsidTr="001A7107">
        <w:tc>
          <w:tcPr>
            <w:tcW w:w="1512" w:type="pct"/>
          </w:tcPr>
          <w:p w14:paraId="787309E5" w14:textId="77777777" w:rsidR="00BE36FB" w:rsidRPr="009B7B35" w:rsidRDefault="00BE36FB" w:rsidP="001A7107">
            <w:pPr>
              <w:rPr>
                <w:rFonts w:cs="Arial"/>
                <w:sz w:val="20"/>
                <w:szCs w:val="20"/>
                <w:lang w:val="en-US"/>
              </w:rPr>
            </w:pPr>
            <w:r w:rsidRPr="009B7B35">
              <w:rPr>
                <w:rFonts w:cs="Arial"/>
                <w:sz w:val="20"/>
                <w:szCs w:val="20"/>
                <w:lang w:val="en-US"/>
              </w:rPr>
              <w:t>Arytera lautereriana</w:t>
            </w:r>
          </w:p>
        </w:tc>
        <w:tc>
          <w:tcPr>
            <w:tcW w:w="1137" w:type="pct"/>
          </w:tcPr>
          <w:p w14:paraId="704F8D07" w14:textId="77777777" w:rsidR="00BE36FB" w:rsidRPr="009B7B35" w:rsidRDefault="00BE36FB" w:rsidP="001A7107">
            <w:pPr>
              <w:rPr>
                <w:rFonts w:cs="Arial"/>
                <w:sz w:val="20"/>
                <w:szCs w:val="20"/>
                <w:lang w:val="en-US"/>
              </w:rPr>
            </w:pPr>
            <w:r w:rsidRPr="009B7B35">
              <w:rPr>
                <w:rFonts w:cs="Arial"/>
                <w:sz w:val="20"/>
                <w:szCs w:val="20"/>
                <w:lang w:val="en-US"/>
              </w:rPr>
              <w:t>Corduroy Tamarind – Mischarytera</w:t>
            </w:r>
          </w:p>
        </w:tc>
        <w:tc>
          <w:tcPr>
            <w:tcW w:w="588" w:type="pct"/>
            <w:vAlign w:val="center"/>
          </w:tcPr>
          <w:p w14:paraId="36E2399C"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1FC8D716"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76F0306B"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77E795F" w14:textId="77777777" w:rsidR="00BE36FB" w:rsidRPr="009B7B35" w:rsidRDefault="00BE36FB" w:rsidP="001A7107">
            <w:pPr>
              <w:jc w:val="center"/>
              <w:rPr>
                <w:rFonts w:cs="Arial"/>
                <w:sz w:val="20"/>
                <w:szCs w:val="20"/>
                <w:lang w:val="en-US"/>
              </w:rPr>
            </w:pPr>
          </w:p>
        </w:tc>
      </w:tr>
      <w:tr w:rsidR="00BE36FB" w:rsidRPr="009B7B35" w14:paraId="6431A461" w14:textId="77777777" w:rsidTr="001A7107">
        <w:tc>
          <w:tcPr>
            <w:tcW w:w="1512" w:type="pct"/>
          </w:tcPr>
          <w:p w14:paraId="74CE2B4C" w14:textId="77777777" w:rsidR="00BE36FB" w:rsidRPr="009B7B35" w:rsidRDefault="00BE36FB" w:rsidP="001A7107">
            <w:pPr>
              <w:rPr>
                <w:rFonts w:cs="Arial"/>
                <w:sz w:val="20"/>
                <w:szCs w:val="20"/>
                <w:lang w:val="en-US"/>
              </w:rPr>
            </w:pPr>
            <w:r w:rsidRPr="009B7B35">
              <w:rPr>
                <w:rFonts w:cs="Arial"/>
                <w:sz w:val="20"/>
                <w:szCs w:val="20"/>
                <w:lang w:val="en-US"/>
              </w:rPr>
              <w:t>Austromyrtus dulcis</w:t>
            </w:r>
          </w:p>
        </w:tc>
        <w:tc>
          <w:tcPr>
            <w:tcW w:w="1137" w:type="pct"/>
          </w:tcPr>
          <w:p w14:paraId="245FFB8C" w14:textId="77777777" w:rsidR="00BE36FB" w:rsidRPr="009B7B35" w:rsidRDefault="00BE36FB" w:rsidP="001A7107">
            <w:pPr>
              <w:rPr>
                <w:rFonts w:cs="Arial"/>
                <w:sz w:val="20"/>
                <w:szCs w:val="20"/>
                <w:lang w:val="en-US"/>
              </w:rPr>
            </w:pPr>
            <w:r w:rsidRPr="009B7B35">
              <w:rPr>
                <w:rFonts w:cs="Arial"/>
                <w:sz w:val="20"/>
                <w:szCs w:val="20"/>
                <w:lang w:val="en-US"/>
              </w:rPr>
              <w:t>Midyim</w:t>
            </w:r>
          </w:p>
        </w:tc>
        <w:tc>
          <w:tcPr>
            <w:tcW w:w="588" w:type="pct"/>
            <w:vAlign w:val="center"/>
          </w:tcPr>
          <w:p w14:paraId="1141E3EF"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27D1F289"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3C5239C7"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97F5020" w14:textId="77777777" w:rsidR="00BE36FB" w:rsidRPr="009B7B35" w:rsidRDefault="00BE36FB" w:rsidP="001A7107">
            <w:pPr>
              <w:jc w:val="center"/>
              <w:rPr>
                <w:rFonts w:cs="Arial"/>
                <w:sz w:val="20"/>
                <w:szCs w:val="20"/>
                <w:lang w:val="en-US"/>
              </w:rPr>
            </w:pPr>
          </w:p>
        </w:tc>
      </w:tr>
      <w:tr w:rsidR="00BE36FB" w:rsidRPr="009B7B35" w14:paraId="598DC6B3" w14:textId="77777777" w:rsidTr="001A7107">
        <w:tc>
          <w:tcPr>
            <w:tcW w:w="1512" w:type="pct"/>
          </w:tcPr>
          <w:p w14:paraId="5F7C0563" w14:textId="77777777" w:rsidR="00BE36FB" w:rsidRPr="009B7B35" w:rsidRDefault="00BE36FB" w:rsidP="001A7107">
            <w:pPr>
              <w:rPr>
                <w:rFonts w:cs="Arial"/>
                <w:sz w:val="20"/>
                <w:szCs w:val="20"/>
                <w:lang w:val="en-US"/>
              </w:rPr>
            </w:pPr>
            <w:r w:rsidRPr="009B7B35">
              <w:rPr>
                <w:rFonts w:cs="Arial"/>
                <w:sz w:val="20"/>
                <w:szCs w:val="20"/>
                <w:lang w:val="en-US"/>
              </w:rPr>
              <w:t>Backhousia citriodora</w:t>
            </w:r>
          </w:p>
        </w:tc>
        <w:tc>
          <w:tcPr>
            <w:tcW w:w="1137" w:type="pct"/>
          </w:tcPr>
          <w:p w14:paraId="33E7933D" w14:textId="77777777" w:rsidR="00BE36FB" w:rsidRPr="009B7B35" w:rsidRDefault="00BE36FB" w:rsidP="001A7107">
            <w:pPr>
              <w:rPr>
                <w:rFonts w:cs="Arial"/>
                <w:sz w:val="20"/>
                <w:szCs w:val="20"/>
                <w:lang w:val="en-US"/>
              </w:rPr>
            </w:pPr>
            <w:r w:rsidRPr="009B7B35">
              <w:rPr>
                <w:rFonts w:cs="Arial"/>
                <w:sz w:val="20"/>
                <w:szCs w:val="20"/>
                <w:lang w:val="en-US"/>
              </w:rPr>
              <w:t>Lemon Scented Myrtle</w:t>
            </w:r>
          </w:p>
        </w:tc>
        <w:tc>
          <w:tcPr>
            <w:tcW w:w="588" w:type="pct"/>
            <w:vAlign w:val="center"/>
          </w:tcPr>
          <w:p w14:paraId="560850B1"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180C85B9"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3372C181"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4764DA6" w14:textId="77777777" w:rsidR="00BE36FB" w:rsidRPr="009B7B35" w:rsidRDefault="00BE36FB" w:rsidP="001A7107">
            <w:pPr>
              <w:jc w:val="center"/>
              <w:rPr>
                <w:rFonts w:cs="Arial"/>
                <w:sz w:val="20"/>
                <w:szCs w:val="20"/>
                <w:lang w:val="en-US"/>
              </w:rPr>
            </w:pPr>
          </w:p>
        </w:tc>
      </w:tr>
      <w:tr w:rsidR="00BE36FB" w:rsidRPr="009B7B35" w14:paraId="7356773D" w14:textId="77777777" w:rsidTr="001A7107">
        <w:tc>
          <w:tcPr>
            <w:tcW w:w="1512" w:type="pct"/>
          </w:tcPr>
          <w:p w14:paraId="2F0CA25C" w14:textId="77777777" w:rsidR="00BE36FB" w:rsidRPr="009B7B35" w:rsidRDefault="00BE36FB" w:rsidP="001A7107">
            <w:pPr>
              <w:rPr>
                <w:rFonts w:cs="Arial"/>
                <w:sz w:val="20"/>
                <w:szCs w:val="20"/>
                <w:lang w:val="en-US"/>
              </w:rPr>
            </w:pPr>
            <w:r w:rsidRPr="009B7B35">
              <w:rPr>
                <w:rFonts w:cs="Arial"/>
                <w:sz w:val="20"/>
                <w:szCs w:val="20"/>
                <w:lang w:val="en-US"/>
              </w:rPr>
              <w:t>Backhousia myrtifolia</w:t>
            </w:r>
          </w:p>
        </w:tc>
        <w:tc>
          <w:tcPr>
            <w:tcW w:w="1137" w:type="pct"/>
          </w:tcPr>
          <w:p w14:paraId="12BD7B64" w14:textId="77777777" w:rsidR="00BE36FB" w:rsidRPr="009B7B35" w:rsidRDefault="00BE36FB" w:rsidP="001A7107">
            <w:pPr>
              <w:rPr>
                <w:rFonts w:cs="Arial"/>
                <w:sz w:val="20"/>
                <w:szCs w:val="20"/>
                <w:lang w:val="en-US"/>
              </w:rPr>
            </w:pPr>
            <w:r w:rsidRPr="009B7B35">
              <w:rPr>
                <w:rFonts w:cs="Arial"/>
                <w:sz w:val="20"/>
                <w:szCs w:val="20"/>
                <w:lang w:val="en-US"/>
              </w:rPr>
              <w:t>Sweet Carro / Grey Myrtle</w:t>
            </w:r>
          </w:p>
        </w:tc>
        <w:tc>
          <w:tcPr>
            <w:tcW w:w="588" w:type="pct"/>
            <w:vAlign w:val="center"/>
          </w:tcPr>
          <w:p w14:paraId="0A336840"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71330636"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4D8230D7"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6987F40"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7B9CFD5E" wp14:editId="50B0F948">
                  <wp:extent cx="180000" cy="18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28109FCE" w14:textId="77777777" w:rsidTr="001A7107">
        <w:tc>
          <w:tcPr>
            <w:tcW w:w="1512" w:type="pct"/>
          </w:tcPr>
          <w:p w14:paraId="572959D1" w14:textId="77777777" w:rsidR="00BE36FB" w:rsidRPr="009B7B35" w:rsidRDefault="00BE36FB" w:rsidP="001A7107">
            <w:pPr>
              <w:rPr>
                <w:rFonts w:cs="Arial"/>
                <w:sz w:val="20"/>
                <w:szCs w:val="20"/>
                <w:lang w:val="en-US"/>
              </w:rPr>
            </w:pPr>
            <w:r w:rsidRPr="009B7B35">
              <w:rPr>
                <w:rFonts w:cs="Arial"/>
                <w:sz w:val="20"/>
                <w:szCs w:val="20"/>
                <w:lang w:val="en-US"/>
              </w:rPr>
              <w:t>Baeckea spp.</w:t>
            </w:r>
          </w:p>
        </w:tc>
        <w:tc>
          <w:tcPr>
            <w:tcW w:w="1137" w:type="pct"/>
          </w:tcPr>
          <w:p w14:paraId="68678E1A" w14:textId="77777777" w:rsidR="00BE36FB" w:rsidRPr="009B7B35" w:rsidRDefault="00BE36FB" w:rsidP="001A7107">
            <w:pPr>
              <w:rPr>
                <w:rFonts w:cs="Arial"/>
                <w:sz w:val="20"/>
                <w:szCs w:val="20"/>
                <w:lang w:val="en-US"/>
              </w:rPr>
            </w:pPr>
          </w:p>
        </w:tc>
        <w:tc>
          <w:tcPr>
            <w:tcW w:w="588" w:type="pct"/>
            <w:vAlign w:val="center"/>
          </w:tcPr>
          <w:p w14:paraId="67C359DA"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4C5AFB4D"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5967A385"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7F90A64" w14:textId="77777777" w:rsidR="00BE36FB" w:rsidRPr="009B7B35" w:rsidRDefault="00BE36FB" w:rsidP="001A7107">
            <w:pPr>
              <w:jc w:val="center"/>
              <w:rPr>
                <w:rFonts w:cs="Arial"/>
                <w:sz w:val="20"/>
                <w:szCs w:val="20"/>
                <w:lang w:val="en-US"/>
              </w:rPr>
            </w:pPr>
          </w:p>
        </w:tc>
      </w:tr>
      <w:tr w:rsidR="00BE36FB" w:rsidRPr="009B7B35" w14:paraId="59B47A98" w14:textId="77777777" w:rsidTr="001A7107">
        <w:tc>
          <w:tcPr>
            <w:tcW w:w="1512" w:type="pct"/>
          </w:tcPr>
          <w:p w14:paraId="20CF76E2" w14:textId="77777777" w:rsidR="00BE36FB" w:rsidRPr="009B7B35" w:rsidRDefault="00BE36FB" w:rsidP="001A7107">
            <w:pPr>
              <w:rPr>
                <w:rFonts w:cs="Arial"/>
                <w:sz w:val="20"/>
                <w:szCs w:val="20"/>
                <w:lang w:val="en-US"/>
              </w:rPr>
            </w:pPr>
            <w:r w:rsidRPr="009B7B35">
              <w:rPr>
                <w:rFonts w:cs="Arial"/>
                <w:sz w:val="20"/>
                <w:szCs w:val="20"/>
                <w:lang w:val="en-US"/>
              </w:rPr>
              <w:t xml:space="preserve">Baeckea spp. </w:t>
            </w:r>
          </w:p>
          <w:p w14:paraId="521075CC" w14:textId="77777777" w:rsidR="00BE36FB" w:rsidRPr="009B7B35" w:rsidRDefault="00BE36FB" w:rsidP="001A7107">
            <w:pPr>
              <w:rPr>
                <w:rFonts w:cs="Arial"/>
                <w:sz w:val="20"/>
                <w:szCs w:val="20"/>
                <w:lang w:val="en-US"/>
              </w:rPr>
            </w:pPr>
            <w:r w:rsidRPr="009B7B35">
              <w:rPr>
                <w:rFonts w:cs="Arial"/>
                <w:sz w:val="20"/>
                <w:szCs w:val="20"/>
                <w:lang w:val="en-US"/>
              </w:rPr>
              <w:t>(suggested B. la petite, camphorate, virgata mt tozer)</w:t>
            </w:r>
          </w:p>
        </w:tc>
        <w:tc>
          <w:tcPr>
            <w:tcW w:w="1137" w:type="pct"/>
          </w:tcPr>
          <w:p w14:paraId="5C83E7B4" w14:textId="77777777" w:rsidR="00BE36FB" w:rsidRPr="009B7B35" w:rsidRDefault="00BE36FB" w:rsidP="001A7107">
            <w:pPr>
              <w:rPr>
                <w:rFonts w:cs="Arial"/>
                <w:sz w:val="20"/>
                <w:szCs w:val="20"/>
                <w:lang w:val="en-US"/>
              </w:rPr>
            </w:pPr>
          </w:p>
        </w:tc>
        <w:tc>
          <w:tcPr>
            <w:tcW w:w="588" w:type="pct"/>
            <w:vAlign w:val="center"/>
          </w:tcPr>
          <w:p w14:paraId="4B5CC100"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40650A52"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7F49C626" w14:textId="77777777" w:rsidR="00BE36FB" w:rsidRPr="009B7B35" w:rsidRDefault="00BE36FB" w:rsidP="001A7107">
            <w:pPr>
              <w:jc w:val="center"/>
              <w:rPr>
                <w:rFonts w:cs="Arial"/>
                <w:sz w:val="20"/>
                <w:szCs w:val="20"/>
                <w:lang w:val="en-US"/>
              </w:rPr>
            </w:pPr>
          </w:p>
        </w:tc>
        <w:tc>
          <w:tcPr>
            <w:tcW w:w="587" w:type="pct"/>
            <w:vAlign w:val="center"/>
          </w:tcPr>
          <w:p w14:paraId="4C43A241" w14:textId="77777777" w:rsidR="00BE36FB" w:rsidRPr="009B7B35" w:rsidRDefault="00BE36FB" w:rsidP="001A7107">
            <w:pPr>
              <w:jc w:val="center"/>
              <w:rPr>
                <w:rFonts w:cs="Arial"/>
                <w:sz w:val="20"/>
                <w:szCs w:val="20"/>
                <w:lang w:val="en-US"/>
              </w:rPr>
            </w:pPr>
          </w:p>
        </w:tc>
      </w:tr>
      <w:tr w:rsidR="00BE36FB" w:rsidRPr="009B7B35" w14:paraId="00E37BDD" w14:textId="77777777" w:rsidTr="001A7107">
        <w:tc>
          <w:tcPr>
            <w:tcW w:w="1512" w:type="pct"/>
          </w:tcPr>
          <w:p w14:paraId="7BCFF108" w14:textId="77777777" w:rsidR="00BE36FB" w:rsidRPr="009B7B35" w:rsidRDefault="00BE36FB" w:rsidP="001A7107">
            <w:pPr>
              <w:rPr>
                <w:rFonts w:cs="Arial"/>
                <w:sz w:val="20"/>
                <w:szCs w:val="20"/>
                <w:lang w:val="en-US"/>
              </w:rPr>
            </w:pPr>
            <w:r w:rsidRPr="009B7B35">
              <w:rPr>
                <w:rFonts w:cs="Arial"/>
                <w:sz w:val="20"/>
                <w:szCs w:val="20"/>
                <w:lang w:val="en-US"/>
              </w:rPr>
              <w:t>Baeckea virgata miniature</w:t>
            </w:r>
          </w:p>
        </w:tc>
        <w:tc>
          <w:tcPr>
            <w:tcW w:w="1137" w:type="pct"/>
          </w:tcPr>
          <w:p w14:paraId="14504BAE" w14:textId="77777777" w:rsidR="00BE36FB" w:rsidRPr="009B7B35" w:rsidRDefault="00BE36FB" w:rsidP="001A7107">
            <w:pPr>
              <w:rPr>
                <w:rFonts w:cs="Arial"/>
                <w:sz w:val="20"/>
                <w:szCs w:val="20"/>
                <w:lang w:val="en-US"/>
              </w:rPr>
            </w:pPr>
          </w:p>
        </w:tc>
        <w:tc>
          <w:tcPr>
            <w:tcW w:w="588" w:type="pct"/>
            <w:vAlign w:val="center"/>
          </w:tcPr>
          <w:p w14:paraId="67741D5D"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6C9759BD"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055AA984" w14:textId="77777777" w:rsidR="00BE36FB" w:rsidRPr="009B7B35" w:rsidRDefault="00BE36FB" w:rsidP="001A7107">
            <w:pPr>
              <w:jc w:val="center"/>
              <w:rPr>
                <w:rFonts w:cs="Arial"/>
                <w:sz w:val="20"/>
                <w:szCs w:val="20"/>
                <w:lang w:val="en-US"/>
              </w:rPr>
            </w:pPr>
          </w:p>
        </w:tc>
        <w:tc>
          <w:tcPr>
            <w:tcW w:w="587" w:type="pct"/>
            <w:vAlign w:val="center"/>
          </w:tcPr>
          <w:p w14:paraId="0225D831" w14:textId="77777777" w:rsidR="00BE36FB" w:rsidRPr="009B7B35" w:rsidRDefault="00BE36FB" w:rsidP="001A7107">
            <w:pPr>
              <w:jc w:val="center"/>
              <w:rPr>
                <w:rFonts w:cs="Arial"/>
                <w:sz w:val="20"/>
                <w:szCs w:val="20"/>
                <w:lang w:val="en-US"/>
              </w:rPr>
            </w:pPr>
          </w:p>
        </w:tc>
      </w:tr>
      <w:tr w:rsidR="00BE36FB" w:rsidRPr="009B7B35" w14:paraId="59D65378" w14:textId="77777777" w:rsidTr="001A7107">
        <w:tc>
          <w:tcPr>
            <w:tcW w:w="1512" w:type="pct"/>
          </w:tcPr>
          <w:p w14:paraId="32137946" w14:textId="77777777" w:rsidR="00BE36FB" w:rsidRPr="009B7B35" w:rsidRDefault="00BE36FB" w:rsidP="001A7107">
            <w:pPr>
              <w:rPr>
                <w:rFonts w:cs="Arial"/>
                <w:sz w:val="20"/>
                <w:szCs w:val="20"/>
                <w:lang w:val="en-US"/>
              </w:rPr>
            </w:pPr>
            <w:r w:rsidRPr="009B7B35">
              <w:rPr>
                <w:rFonts w:cs="Arial"/>
                <w:sz w:val="20"/>
                <w:szCs w:val="20"/>
                <w:lang w:val="en-US"/>
              </w:rPr>
              <w:t>Banksia aemula</w:t>
            </w:r>
          </w:p>
        </w:tc>
        <w:tc>
          <w:tcPr>
            <w:tcW w:w="1137" w:type="pct"/>
          </w:tcPr>
          <w:p w14:paraId="30202E71" w14:textId="77777777" w:rsidR="00BE36FB" w:rsidRPr="009B7B35" w:rsidRDefault="00BE36FB" w:rsidP="001A7107">
            <w:pPr>
              <w:rPr>
                <w:rFonts w:cs="Arial"/>
                <w:sz w:val="20"/>
                <w:szCs w:val="20"/>
                <w:lang w:val="en-US"/>
              </w:rPr>
            </w:pPr>
            <w:r w:rsidRPr="009B7B35">
              <w:rPr>
                <w:rFonts w:cs="Arial"/>
                <w:sz w:val="20"/>
                <w:szCs w:val="20"/>
                <w:lang w:val="en-US"/>
              </w:rPr>
              <w:t>Old Man Banksia</w:t>
            </w:r>
          </w:p>
        </w:tc>
        <w:tc>
          <w:tcPr>
            <w:tcW w:w="588" w:type="pct"/>
            <w:vAlign w:val="center"/>
          </w:tcPr>
          <w:p w14:paraId="5DA27EB3"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3DE392D3"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5E847920"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B279D9D" w14:textId="77777777" w:rsidR="00BE36FB" w:rsidRPr="009B7B35" w:rsidRDefault="00BE36FB" w:rsidP="001A7107">
            <w:pPr>
              <w:jc w:val="center"/>
              <w:rPr>
                <w:rFonts w:cs="Arial"/>
                <w:sz w:val="20"/>
                <w:szCs w:val="20"/>
                <w:lang w:val="en-US"/>
              </w:rPr>
            </w:pPr>
          </w:p>
        </w:tc>
      </w:tr>
      <w:tr w:rsidR="00BE36FB" w:rsidRPr="009B7B35" w14:paraId="07E404C7" w14:textId="77777777" w:rsidTr="001A7107">
        <w:tc>
          <w:tcPr>
            <w:tcW w:w="1512" w:type="pct"/>
          </w:tcPr>
          <w:p w14:paraId="0E4D0EB8" w14:textId="77777777" w:rsidR="00BE36FB" w:rsidRPr="009B7B35" w:rsidRDefault="00BE36FB" w:rsidP="001A7107">
            <w:pPr>
              <w:rPr>
                <w:rFonts w:cs="Arial"/>
                <w:sz w:val="20"/>
                <w:szCs w:val="20"/>
                <w:lang w:val="en-US"/>
              </w:rPr>
            </w:pPr>
            <w:r w:rsidRPr="009B7B35">
              <w:rPr>
                <w:rFonts w:cs="Arial"/>
                <w:sz w:val="20"/>
                <w:szCs w:val="20"/>
                <w:lang w:val="en-US"/>
              </w:rPr>
              <w:t>Banksia ericifolia</w:t>
            </w:r>
          </w:p>
        </w:tc>
        <w:tc>
          <w:tcPr>
            <w:tcW w:w="1137" w:type="pct"/>
          </w:tcPr>
          <w:p w14:paraId="3D3A6071" w14:textId="77777777" w:rsidR="00BE36FB" w:rsidRPr="009B7B35" w:rsidRDefault="00BE36FB" w:rsidP="001A7107">
            <w:pPr>
              <w:rPr>
                <w:rFonts w:cs="Arial"/>
                <w:sz w:val="20"/>
                <w:szCs w:val="20"/>
                <w:lang w:val="en-US"/>
              </w:rPr>
            </w:pPr>
            <w:r w:rsidRPr="009B7B35">
              <w:rPr>
                <w:rFonts w:cs="Arial"/>
                <w:sz w:val="20"/>
                <w:szCs w:val="20"/>
                <w:lang w:val="en-US"/>
              </w:rPr>
              <w:t>Heath Banksia</w:t>
            </w:r>
          </w:p>
        </w:tc>
        <w:tc>
          <w:tcPr>
            <w:tcW w:w="588" w:type="pct"/>
            <w:vAlign w:val="center"/>
          </w:tcPr>
          <w:p w14:paraId="0392A05A"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2B1E533F"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456C545B"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67ECF0F0" w14:textId="77777777" w:rsidR="00BE36FB" w:rsidRPr="009B7B35" w:rsidRDefault="00BE36FB" w:rsidP="001A7107">
            <w:pPr>
              <w:jc w:val="center"/>
              <w:rPr>
                <w:rFonts w:cs="Arial"/>
                <w:sz w:val="20"/>
                <w:szCs w:val="20"/>
                <w:lang w:val="en-US"/>
              </w:rPr>
            </w:pPr>
          </w:p>
        </w:tc>
      </w:tr>
      <w:tr w:rsidR="00BE36FB" w:rsidRPr="009B7B35" w14:paraId="15CB9C07" w14:textId="77777777" w:rsidTr="001A7107">
        <w:tc>
          <w:tcPr>
            <w:tcW w:w="1512" w:type="pct"/>
          </w:tcPr>
          <w:p w14:paraId="5197F4BF" w14:textId="77777777" w:rsidR="00BE36FB" w:rsidRPr="009B7B35" w:rsidRDefault="00BE36FB" w:rsidP="001A7107">
            <w:pPr>
              <w:rPr>
                <w:rFonts w:cs="Arial"/>
                <w:sz w:val="20"/>
                <w:szCs w:val="20"/>
                <w:lang w:val="en-US"/>
              </w:rPr>
            </w:pPr>
            <w:r w:rsidRPr="009B7B35">
              <w:rPr>
                <w:rFonts w:cs="Arial"/>
                <w:sz w:val="20"/>
                <w:szCs w:val="20"/>
                <w:lang w:val="en-US"/>
              </w:rPr>
              <w:t>Banksia integrifolia*</w:t>
            </w:r>
          </w:p>
        </w:tc>
        <w:tc>
          <w:tcPr>
            <w:tcW w:w="1137" w:type="pct"/>
          </w:tcPr>
          <w:p w14:paraId="4D9534E7" w14:textId="77777777" w:rsidR="00BE36FB" w:rsidRPr="009B7B35" w:rsidRDefault="00BE36FB" w:rsidP="001A7107">
            <w:pPr>
              <w:rPr>
                <w:rFonts w:cs="Arial"/>
                <w:sz w:val="20"/>
                <w:szCs w:val="20"/>
                <w:lang w:val="en-US"/>
              </w:rPr>
            </w:pPr>
            <w:r w:rsidRPr="009B7B35">
              <w:rPr>
                <w:rFonts w:cs="Arial"/>
                <w:sz w:val="20"/>
                <w:szCs w:val="20"/>
                <w:lang w:val="en-US"/>
              </w:rPr>
              <w:t>Coastal Banksia</w:t>
            </w:r>
          </w:p>
        </w:tc>
        <w:tc>
          <w:tcPr>
            <w:tcW w:w="588" w:type="pct"/>
            <w:vAlign w:val="center"/>
          </w:tcPr>
          <w:p w14:paraId="701B62DF"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65AD06DC"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39ED1DE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8A03986"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30581BFE" wp14:editId="3F36BB23">
                  <wp:extent cx="180000" cy="18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3880D5BF" w14:textId="77777777" w:rsidTr="001A7107">
        <w:tc>
          <w:tcPr>
            <w:tcW w:w="1512" w:type="pct"/>
          </w:tcPr>
          <w:p w14:paraId="3F2D83EC" w14:textId="77777777" w:rsidR="00BE36FB" w:rsidRPr="009B7B35" w:rsidRDefault="00BE36FB" w:rsidP="001A7107">
            <w:pPr>
              <w:rPr>
                <w:rFonts w:cs="Arial"/>
                <w:sz w:val="20"/>
                <w:szCs w:val="20"/>
                <w:lang w:val="en-US"/>
              </w:rPr>
            </w:pPr>
            <w:r w:rsidRPr="009B7B35">
              <w:rPr>
                <w:rFonts w:cs="Arial"/>
                <w:sz w:val="20"/>
                <w:szCs w:val="20"/>
                <w:lang w:val="en-US"/>
              </w:rPr>
              <w:t>Banksia oblongifolia</w:t>
            </w:r>
          </w:p>
        </w:tc>
        <w:tc>
          <w:tcPr>
            <w:tcW w:w="1137" w:type="pct"/>
          </w:tcPr>
          <w:p w14:paraId="502AC43C" w14:textId="77777777" w:rsidR="00BE36FB" w:rsidRPr="009B7B35" w:rsidRDefault="00BE36FB" w:rsidP="001A7107">
            <w:pPr>
              <w:rPr>
                <w:rFonts w:cs="Arial"/>
                <w:sz w:val="20"/>
                <w:szCs w:val="20"/>
                <w:lang w:val="en-US"/>
              </w:rPr>
            </w:pPr>
          </w:p>
        </w:tc>
        <w:tc>
          <w:tcPr>
            <w:tcW w:w="588" w:type="pct"/>
            <w:vAlign w:val="center"/>
          </w:tcPr>
          <w:p w14:paraId="13B700ED"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6EAB3061"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386BE07E"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D9000F1" w14:textId="77777777" w:rsidR="00BE36FB" w:rsidRPr="009B7B35" w:rsidRDefault="00BE36FB" w:rsidP="001A7107">
            <w:pPr>
              <w:jc w:val="center"/>
              <w:rPr>
                <w:rFonts w:cs="Arial"/>
                <w:sz w:val="20"/>
                <w:szCs w:val="20"/>
                <w:lang w:val="en-US"/>
              </w:rPr>
            </w:pPr>
          </w:p>
        </w:tc>
      </w:tr>
      <w:tr w:rsidR="00BE36FB" w:rsidRPr="009B7B35" w14:paraId="5A171850" w14:textId="77777777" w:rsidTr="001A7107">
        <w:tc>
          <w:tcPr>
            <w:tcW w:w="1512" w:type="pct"/>
          </w:tcPr>
          <w:p w14:paraId="4194E311" w14:textId="77777777" w:rsidR="00BE36FB" w:rsidRPr="009B7B35" w:rsidRDefault="00BE36FB" w:rsidP="001A7107">
            <w:pPr>
              <w:rPr>
                <w:rFonts w:cs="Arial"/>
                <w:sz w:val="20"/>
                <w:szCs w:val="20"/>
                <w:lang w:val="en-US"/>
              </w:rPr>
            </w:pPr>
            <w:r w:rsidRPr="009B7B35">
              <w:rPr>
                <w:rFonts w:cs="Arial"/>
                <w:sz w:val="20"/>
                <w:szCs w:val="20"/>
                <w:lang w:val="en-US"/>
              </w:rPr>
              <w:t>Banksia robur</w:t>
            </w:r>
          </w:p>
        </w:tc>
        <w:tc>
          <w:tcPr>
            <w:tcW w:w="1137" w:type="pct"/>
          </w:tcPr>
          <w:p w14:paraId="07D7E57C" w14:textId="77777777" w:rsidR="00BE36FB" w:rsidRPr="009B7B35" w:rsidRDefault="00BE36FB" w:rsidP="001A7107">
            <w:pPr>
              <w:rPr>
                <w:rFonts w:cs="Arial"/>
                <w:sz w:val="20"/>
                <w:szCs w:val="20"/>
                <w:lang w:val="en-US"/>
              </w:rPr>
            </w:pPr>
            <w:r w:rsidRPr="009B7B35">
              <w:rPr>
                <w:rFonts w:cs="Arial"/>
                <w:sz w:val="20"/>
                <w:szCs w:val="20"/>
                <w:lang w:val="en-US"/>
              </w:rPr>
              <w:t>Swamp Banksia</w:t>
            </w:r>
          </w:p>
        </w:tc>
        <w:tc>
          <w:tcPr>
            <w:tcW w:w="588" w:type="pct"/>
            <w:vAlign w:val="center"/>
          </w:tcPr>
          <w:p w14:paraId="008B8584"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038DC6AA"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710B1397"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0FB7728" w14:textId="77777777" w:rsidR="00BE36FB" w:rsidRPr="009B7B35" w:rsidRDefault="00BE36FB" w:rsidP="001A7107">
            <w:pPr>
              <w:jc w:val="center"/>
              <w:rPr>
                <w:rFonts w:cs="Arial"/>
                <w:sz w:val="20"/>
                <w:szCs w:val="20"/>
                <w:lang w:val="en-US"/>
              </w:rPr>
            </w:pPr>
          </w:p>
        </w:tc>
      </w:tr>
      <w:tr w:rsidR="00BE36FB" w:rsidRPr="009B7B35" w14:paraId="1D59AA20" w14:textId="77777777" w:rsidTr="001A7107">
        <w:tc>
          <w:tcPr>
            <w:tcW w:w="1512" w:type="pct"/>
          </w:tcPr>
          <w:p w14:paraId="430CACA6" w14:textId="77777777" w:rsidR="00BE36FB" w:rsidRPr="009B7B35" w:rsidRDefault="00BE36FB" w:rsidP="001A7107">
            <w:pPr>
              <w:rPr>
                <w:rFonts w:cs="Arial"/>
                <w:sz w:val="20"/>
                <w:szCs w:val="20"/>
                <w:lang w:val="en-US"/>
              </w:rPr>
            </w:pPr>
            <w:r w:rsidRPr="009B7B35">
              <w:rPr>
                <w:rFonts w:cs="Arial"/>
                <w:sz w:val="20"/>
                <w:szCs w:val="20"/>
                <w:lang w:val="en-US"/>
              </w:rPr>
              <w:t>Banksia serrata</w:t>
            </w:r>
          </w:p>
        </w:tc>
        <w:tc>
          <w:tcPr>
            <w:tcW w:w="1137" w:type="pct"/>
          </w:tcPr>
          <w:p w14:paraId="5848323F" w14:textId="77777777" w:rsidR="00BE36FB" w:rsidRPr="009B7B35" w:rsidRDefault="00BE36FB" w:rsidP="001A7107">
            <w:pPr>
              <w:rPr>
                <w:rFonts w:cs="Arial"/>
                <w:sz w:val="20"/>
                <w:szCs w:val="20"/>
                <w:lang w:val="en-US"/>
              </w:rPr>
            </w:pPr>
            <w:r w:rsidRPr="009B7B35">
              <w:rPr>
                <w:rFonts w:cs="Arial"/>
                <w:sz w:val="20"/>
                <w:szCs w:val="20"/>
                <w:lang w:val="en-US"/>
              </w:rPr>
              <w:t>Saw Banksia</w:t>
            </w:r>
          </w:p>
        </w:tc>
        <w:tc>
          <w:tcPr>
            <w:tcW w:w="588" w:type="pct"/>
            <w:vAlign w:val="center"/>
          </w:tcPr>
          <w:p w14:paraId="64BC81D6"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2ECDDE9D"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2AE1E7C8" w14:textId="77777777" w:rsidR="00BE36FB" w:rsidRPr="009B7B35" w:rsidRDefault="00BE36FB" w:rsidP="001A7107">
            <w:pPr>
              <w:jc w:val="center"/>
              <w:rPr>
                <w:rFonts w:cs="Arial"/>
                <w:sz w:val="20"/>
                <w:szCs w:val="20"/>
                <w:lang w:val="en-US"/>
              </w:rPr>
            </w:pPr>
          </w:p>
        </w:tc>
        <w:tc>
          <w:tcPr>
            <w:tcW w:w="587" w:type="pct"/>
            <w:vAlign w:val="center"/>
          </w:tcPr>
          <w:p w14:paraId="3785A6B8" w14:textId="77777777" w:rsidR="00BE36FB" w:rsidRPr="009B7B35" w:rsidRDefault="00BE36FB" w:rsidP="001A7107">
            <w:pPr>
              <w:jc w:val="center"/>
              <w:rPr>
                <w:rFonts w:cs="Arial"/>
                <w:sz w:val="20"/>
                <w:szCs w:val="20"/>
                <w:lang w:val="en-US"/>
              </w:rPr>
            </w:pPr>
          </w:p>
        </w:tc>
      </w:tr>
      <w:tr w:rsidR="00BE36FB" w:rsidRPr="009B7B35" w14:paraId="04E036C2" w14:textId="77777777" w:rsidTr="001A7107">
        <w:tc>
          <w:tcPr>
            <w:tcW w:w="1512" w:type="pct"/>
          </w:tcPr>
          <w:p w14:paraId="13E059D5" w14:textId="77777777" w:rsidR="00BE36FB" w:rsidRPr="009B7B35" w:rsidRDefault="00BE36FB" w:rsidP="001A7107">
            <w:pPr>
              <w:rPr>
                <w:rFonts w:cs="Arial"/>
                <w:sz w:val="20"/>
                <w:szCs w:val="20"/>
                <w:lang w:val="en-US"/>
              </w:rPr>
            </w:pPr>
            <w:r w:rsidRPr="009B7B35">
              <w:rPr>
                <w:rFonts w:cs="Arial"/>
                <w:sz w:val="20"/>
                <w:szCs w:val="20"/>
                <w:lang w:val="en-US"/>
              </w:rPr>
              <w:t>Banksia spinulosia</w:t>
            </w:r>
          </w:p>
        </w:tc>
        <w:tc>
          <w:tcPr>
            <w:tcW w:w="1137" w:type="pct"/>
          </w:tcPr>
          <w:p w14:paraId="20E2E971" w14:textId="77777777" w:rsidR="00BE36FB" w:rsidRPr="009B7B35" w:rsidRDefault="00BE36FB" w:rsidP="001A7107">
            <w:pPr>
              <w:rPr>
                <w:rFonts w:cs="Arial"/>
                <w:sz w:val="20"/>
                <w:szCs w:val="20"/>
                <w:lang w:val="en-US"/>
              </w:rPr>
            </w:pPr>
            <w:r w:rsidRPr="009B7B35">
              <w:rPr>
                <w:rFonts w:cs="Arial"/>
                <w:sz w:val="20"/>
                <w:szCs w:val="20"/>
                <w:lang w:val="en-US"/>
              </w:rPr>
              <w:t>Honeysuckle Banksia</w:t>
            </w:r>
          </w:p>
        </w:tc>
        <w:tc>
          <w:tcPr>
            <w:tcW w:w="588" w:type="pct"/>
            <w:vAlign w:val="center"/>
          </w:tcPr>
          <w:p w14:paraId="3C225C35"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0D383406"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40308AB1"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1459134" w14:textId="77777777" w:rsidR="00BE36FB" w:rsidRPr="009B7B35" w:rsidRDefault="00BE36FB" w:rsidP="001A7107">
            <w:pPr>
              <w:jc w:val="center"/>
              <w:rPr>
                <w:rFonts w:cs="Arial"/>
                <w:sz w:val="20"/>
                <w:szCs w:val="20"/>
                <w:lang w:val="en-US"/>
              </w:rPr>
            </w:pPr>
          </w:p>
        </w:tc>
      </w:tr>
      <w:tr w:rsidR="00BE36FB" w:rsidRPr="009B7B35" w14:paraId="3C046A6E" w14:textId="77777777" w:rsidTr="001A7107">
        <w:tc>
          <w:tcPr>
            <w:tcW w:w="1512" w:type="pct"/>
          </w:tcPr>
          <w:p w14:paraId="28A1732A" w14:textId="77777777" w:rsidR="00BE36FB" w:rsidRPr="009B7B35" w:rsidRDefault="00BE36FB" w:rsidP="001A7107">
            <w:pPr>
              <w:rPr>
                <w:rFonts w:cs="Arial"/>
                <w:sz w:val="20"/>
                <w:szCs w:val="20"/>
                <w:lang w:val="en-US"/>
              </w:rPr>
            </w:pPr>
            <w:r w:rsidRPr="009B7B35">
              <w:rPr>
                <w:rFonts w:cs="Arial"/>
                <w:sz w:val="20"/>
                <w:szCs w:val="20"/>
                <w:lang w:val="en-US"/>
              </w:rPr>
              <w:t>Banksia spp.</w:t>
            </w:r>
          </w:p>
        </w:tc>
        <w:tc>
          <w:tcPr>
            <w:tcW w:w="1137" w:type="pct"/>
          </w:tcPr>
          <w:p w14:paraId="54CBDF0F" w14:textId="77777777" w:rsidR="00BE36FB" w:rsidRPr="009B7B35" w:rsidRDefault="00BE36FB" w:rsidP="001A7107">
            <w:pPr>
              <w:rPr>
                <w:rFonts w:cs="Arial"/>
                <w:sz w:val="20"/>
                <w:szCs w:val="20"/>
                <w:lang w:val="en-US"/>
              </w:rPr>
            </w:pPr>
          </w:p>
        </w:tc>
        <w:tc>
          <w:tcPr>
            <w:tcW w:w="588" w:type="pct"/>
            <w:vAlign w:val="center"/>
          </w:tcPr>
          <w:p w14:paraId="2C392342"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270A6887"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5558DCCE"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D1BBBE7" w14:textId="77777777" w:rsidR="00BE36FB" w:rsidRPr="009B7B35" w:rsidRDefault="00BE36FB" w:rsidP="001A7107">
            <w:pPr>
              <w:jc w:val="center"/>
              <w:rPr>
                <w:rFonts w:cs="Arial"/>
                <w:sz w:val="20"/>
                <w:szCs w:val="20"/>
                <w:lang w:val="en-US"/>
              </w:rPr>
            </w:pPr>
          </w:p>
        </w:tc>
      </w:tr>
      <w:tr w:rsidR="00BE36FB" w:rsidRPr="009B7B35" w14:paraId="7302928D" w14:textId="77777777" w:rsidTr="001A7107">
        <w:tc>
          <w:tcPr>
            <w:tcW w:w="1512" w:type="pct"/>
          </w:tcPr>
          <w:p w14:paraId="1073CBD1" w14:textId="77777777" w:rsidR="00BE36FB" w:rsidRPr="009B7B35" w:rsidRDefault="00BE36FB" w:rsidP="001A7107">
            <w:pPr>
              <w:rPr>
                <w:rFonts w:cs="Arial"/>
                <w:sz w:val="20"/>
                <w:szCs w:val="20"/>
                <w:lang w:val="en-US"/>
              </w:rPr>
            </w:pPr>
            <w:r w:rsidRPr="009B7B35">
              <w:rPr>
                <w:rFonts w:cs="Arial"/>
                <w:sz w:val="20"/>
                <w:szCs w:val="20"/>
                <w:lang w:val="en-US"/>
              </w:rPr>
              <w:t>Barklya syringifolia</w:t>
            </w:r>
          </w:p>
        </w:tc>
        <w:tc>
          <w:tcPr>
            <w:tcW w:w="1137" w:type="pct"/>
          </w:tcPr>
          <w:p w14:paraId="455EB9D6" w14:textId="77777777" w:rsidR="00BE36FB" w:rsidRPr="009B7B35" w:rsidRDefault="00BE36FB" w:rsidP="001A7107">
            <w:pPr>
              <w:rPr>
                <w:rFonts w:cs="Arial"/>
                <w:sz w:val="20"/>
                <w:szCs w:val="20"/>
                <w:lang w:val="en-US"/>
              </w:rPr>
            </w:pPr>
            <w:r w:rsidRPr="009B7B35">
              <w:rPr>
                <w:rFonts w:cs="Arial"/>
                <w:sz w:val="20"/>
                <w:szCs w:val="20"/>
                <w:lang w:val="en-US"/>
              </w:rPr>
              <w:t>Crown of Gold</w:t>
            </w:r>
          </w:p>
        </w:tc>
        <w:tc>
          <w:tcPr>
            <w:tcW w:w="588" w:type="pct"/>
            <w:vAlign w:val="center"/>
          </w:tcPr>
          <w:p w14:paraId="5E0C2753"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134D7A2A"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1E545D06" w14:textId="77777777" w:rsidR="00BE36FB" w:rsidRPr="009B7B35" w:rsidRDefault="00BE36FB" w:rsidP="001A7107">
            <w:pPr>
              <w:jc w:val="center"/>
              <w:rPr>
                <w:rFonts w:cs="Arial"/>
                <w:sz w:val="20"/>
                <w:szCs w:val="20"/>
                <w:lang w:val="en-US"/>
              </w:rPr>
            </w:pPr>
          </w:p>
        </w:tc>
        <w:tc>
          <w:tcPr>
            <w:tcW w:w="587" w:type="pct"/>
            <w:vAlign w:val="center"/>
          </w:tcPr>
          <w:p w14:paraId="258178C3" w14:textId="77777777" w:rsidR="00BE36FB" w:rsidRPr="009B7B35" w:rsidRDefault="00BE36FB" w:rsidP="001A7107">
            <w:pPr>
              <w:jc w:val="center"/>
              <w:rPr>
                <w:rFonts w:cs="Arial"/>
                <w:sz w:val="20"/>
                <w:szCs w:val="20"/>
                <w:lang w:val="en-US"/>
              </w:rPr>
            </w:pPr>
          </w:p>
        </w:tc>
      </w:tr>
      <w:tr w:rsidR="00BE36FB" w:rsidRPr="009B7B35" w14:paraId="671C5E83" w14:textId="77777777" w:rsidTr="001A7107">
        <w:tc>
          <w:tcPr>
            <w:tcW w:w="1512" w:type="pct"/>
          </w:tcPr>
          <w:p w14:paraId="44BD1087" w14:textId="77777777" w:rsidR="00BE36FB" w:rsidRPr="009B7B35" w:rsidRDefault="00BE36FB" w:rsidP="001A7107">
            <w:pPr>
              <w:rPr>
                <w:rFonts w:cs="Arial"/>
                <w:sz w:val="20"/>
                <w:szCs w:val="20"/>
                <w:lang w:val="en-US"/>
              </w:rPr>
            </w:pPr>
            <w:r w:rsidRPr="009B7B35">
              <w:rPr>
                <w:rFonts w:cs="Arial"/>
                <w:sz w:val="20"/>
                <w:szCs w:val="20"/>
                <w:lang w:val="en-US"/>
              </w:rPr>
              <w:t>Bauera rubiodes</w:t>
            </w:r>
          </w:p>
        </w:tc>
        <w:tc>
          <w:tcPr>
            <w:tcW w:w="1137" w:type="pct"/>
          </w:tcPr>
          <w:p w14:paraId="242FD4B3" w14:textId="77777777" w:rsidR="00BE36FB" w:rsidRPr="009B7B35" w:rsidRDefault="00BE36FB" w:rsidP="001A7107">
            <w:pPr>
              <w:rPr>
                <w:rFonts w:cs="Arial"/>
                <w:sz w:val="20"/>
                <w:szCs w:val="20"/>
                <w:lang w:val="en-US"/>
              </w:rPr>
            </w:pPr>
            <w:r w:rsidRPr="009B7B35">
              <w:rPr>
                <w:rFonts w:cs="Arial"/>
                <w:sz w:val="20"/>
                <w:szCs w:val="20"/>
                <w:lang w:val="en-US"/>
              </w:rPr>
              <w:t>Wiry Dog Rose</w:t>
            </w:r>
          </w:p>
        </w:tc>
        <w:tc>
          <w:tcPr>
            <w:tcW w:w="588" w:type="pct"/>
            <w:vAlign w:val="center"/>
          </w:tcPr>
          <w:p w14:paraId="59FF9FB5"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3E9EC3F0"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6BCF9837" w14:textId="77777777" w:rsidR="00BE36FB" w:rsidRPr="009B7B35" w:rsidRDefault="00BE36FB" w:rsidP="001A7107">
            <w:pPr>
              <w:jc w:val="center"/>
              <w:rPr>
                <w:rFonts w:cs="Arial"/>
                <w:sz w:val="20"/>
                <w:szCs w:val="20"/>
                <w:lang w:val="en-US"/>
              </w:rPr>
            </w:pPr>
          </w:p>
        </w:tc>
        <w:tc>
          <w:tcPr>
            <w:tcW w:w="587" w:type="pct"/>
            <w:vAlign w:val="center"/>
          </w:tcPr>
          <w:p w14:paraId="160F6181" w14:textId="77777777" w:rsidR="00BE36FB" w:rsidRPr="009B7B35" w:rsidRDefault="00BE36FB" w:rsidP="001A7107">
            <w:pPr>
              <w:jc w:val="center"/>
              <w:rPr>
                <w:rFonts w:cs="Arial"/>
                <w:sz w:val="20"/>
                <w:szCs w:val="20"/>
                <w:lang w:val="en-US"/>
              </w:rPr>
            </w:pPr>
          </w:p>
        </w:tc>
      </w:tr>
      <w:tr w:rsidR="00BE36FB" w:rsidRPr="009B7B35" w14:paraId="16011699" w14:textId="77777777" w:rsidTr="001A7107">
        <w:tc>
          <w:tcPr>
            <w:tcW w:w="1512" w:type="pct"/>
          </w:tcPr>
          <w:p w14:paraId="4662C0D3" w14:textId="77777777" w:rsidR="00BE36FB" w:rsidRPr="009B7B35" w:rsidRDefault="00BE36FB" w:rsidP="001A7107">
            <w:pPr>
              <w:rPr>
                <w:rFonts w:cs="Arial"/>
                <w:sz w:val="20"/>
                <w:szCs w:val="20"/>
                <w:lang w:val="en-US"/>
              </w:rPr>
            </w:pPr>
            <w:r w:rsidRPr="009B7B35">
              <w:rPr>
                <w:rFonts w:cs="Arial"/>
                <w:sz w:val="20"/>
                <w:szCs w:val="20"/>
                <w:lang w:val="en-US"/>
              </w:rPr>
              <w:t>Bauera ruby glow</w:t>
            </w:r>
          </w:p>
        </w:tc>
        <w:tc>
          <w:tcPr>
            <w:tcW w:w="1137" w:type="pct"/>
          </w:tcPr>
          <w:p w14:paraId="558C3472" w14:textId="77777777" w:rsidR="00BE36FB" w:rsidRPr="009B7B35" w:rsidRDefault="00BE36FB" w:rsidP="001A7107">
            <w:pPr>
              <w:rPr>
                <w:rFonts w:cs="Arial"/>
                <w:sz w:val="20"/>
                <w:szCs w:val="20"/>
                <w:lang w:val="en-US"/>
              </w:rPr>
            </w:pPr>
          </w:p>
        </w:tc>
        <w:tc>
          <w:tcPr>
            <w:tcW w:w="588" w:type="pct"/>
            <w:vAlign w:val="center"/>
          </w:tcPr>
          <w:p w14:paraId="7EC4D26D"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5FC997B5"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53CDDB30" w14:textId="77777777" w:rsidR="00BE36FB" w:rsidRPr="009B7B35" w:rsidRDefault="00BE36FB" w:rsidP="001A7107">
            <w:pPr>
              <w:jc w:val="center"/>
              <w:rPr>
                <w:rFonts w:cs="Arial"/>
                <w:sz w:val="20"/>
                <w:szCs w:val="20"/>
                <w:lang w:val="en-US"/>
              </w:rPr>
            </w:pPr>
          </w:p>
        </w:tc>
        <w:tc>
          <w:tcPr>
            <w:tcW w:w="587" w:type="pct"/>
            <w:vAlign w:val="center"/>
          </w:tcPr>
          <w:p w14:paraId="1B5E9183" w14:textId="77777777" w:rsidR="00BE36FB" w:rsidRPr="009B7B35" w:rsidRDefault="00BE36FB" w:rsidP="001A7107">
            <w:pPr>
              <w:jc w:val="center"/>
              <w:rPr>
                <w:rFonts w:cs="Arial"/>
                <w:sz w:val="20"/>
                <w:szCs w:val="20"/>
                <w:lang w:val="en-US"/>
              </w:rPr>
            </w:pPr>
          </w:p>
        </w:tc>
      </w:tr>
      <w:tr w:rsidR="00BE36FB" w:rsidRPr="009B7B35" w14:paraId="0FEFACBC" w14:textId="77777777" w:rsidTr="001A7107">
        <w:tc>
          <w:tcPr>
            <w:tcW w:w="1512" w:type="pct"/>
          </w:tcPr>
          <w:p w14:paraId="42CCB46A" w14:textId="77777777" w:rsidR="00BE36FB" w:rsidRPr="009B7B35" w:rsidRDefault="00BE36FB" w:rsidP="001A7107">
            <w:pPr>
              <w:rPr>
                <w:rFonts w:cs="Arial"/>
                <w:sz w:val="20"/>
                <w:szCs w:val="20"/>
                <w:lang w:val="en-US"/>
              </w:rPr>
            </w:pPr>
            <w:r w:rsidRPr="009B7B35">
              <w:rPr>
                <w:rFonts w:cs="Arial"/>
                <w:sz w:val="20"/>
                <w:szCs w:val="20"/>
                <w:lang w:val="en-US"/>
              </w:rPr>
              <w:t>Brachychiton acerifolius</w:t>
            </w:r>
          </w:p>
        </w:tc>
        <w:tc>
          <w:tcPr>
            <w:tcW w:w="1137" w:type="pct"/>
          </w:tcPr>
          <w:p w14:paraId="42320F43" w14:textId="77777777" w:rsidR="00BE36FB" w:rsidRPr="009B7B35" w:rsidRDefault="00BE36FB" w:rsidP="001A7107">
            <w:pPr>
              <w:rPr>
                <w:rFonts w:cs="Arial"/>
                <w:sz w:val="20"/>
                <w:szCs w:val="20"/>
                <w:lang w:val="en-US"/>
              </w:rPr>
            </w:pPr>
            <w:r w:rsidRPr="009B7B35">
              <w:rPr>
                <w:rFonts w:cs="Arial"/>
                <w:sz w:val="20"/>
                <w:szCs w:val="20"/>
                <w:lang w:val="en-US"/>
              </w:rPr>
              <w:t>Flame Tree</w:t>
            </w:r>
          </w:p>
        </w:tc>
        <w:tc>
          <w:tcPr>
            <w:tcW w:w="588" w:type="pct"/>
            <w:vAlign w:val="center"/>
          </w:tcPr>
          <w:p w14:paraId="1580657E"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79C258AE"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2FD0F71C"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EA4B639"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31B5FBB7" wp14:editId="2D8678B1">
                  <wp:extent cx="180000" cy="18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5AC391A5" w14:textId="77777777" w:rsidTr="001A7107">
        <w:tc>
          <w:tcPr>
            <w:tcW w:w="1512" w:type="pct"/>
          </w:tcPr>
          <w:p w14:paraId="78C25DDE" w14:textId="77777777" w:rsidR="00BE36FB" w:rsidRPr="009B7B35" w:rsidRDefault="00BE36FB" w:rsidP="001A7107">
            <w:pPr>
              <w:rPr>
                <w:rFonts w:cs="Arial"/>
                <w:sz w:val="20"/>
                <w:szCs w:val="20"/>
                <w:lang w:val="en-US"/>
              </w:rPr>
            </w:pPr>
            <w:r w:rsidRPr="009B7B35">
              <w:rPr>
                <w:rFonts w:cs="Arial"/>
                <w:sz w:val="20"/>
                <w:szCs w:val="20"/>
                <w:lang w:val="en-US"/>
              </w:rPr>
              <w:t>Brachychiton discolour</w:t>
            </w:r>
          </w:p>
        </w:tc>
        <w:tc>
          <w:tcPr>
            <w:tcW w:w="1137" w:type="pct"/>
          </w:tcPr>
          <w:p w14:paraId="539808FB" w14:textId="77777777" w:rsidR="00BE36FB" w:rsidRPr="009B7B35" w:rsidRDefault="00BE36FB" w:rsidP="001A7107">
            <w:pPr>
              <w:rPr>
                <w:rFonts w:cs="Arial"/>
                <w:sz w:val="20"/>
                <w:szCs w:val="20"/>
                <w:lang w:val="en-US"/>
              </w:rPr>
            </w:pPr>
            <w:r w:rsidRPr="009B7B35">
              <w:rPr>
                <w:rFonts w:cs="Arial"/>
                <w:sz w:val="20"/>
                <w:szCs w:val="20"/>
                <w:lang w:val="en-US"/>
              </w:rPr>
              <w:t>Queensland Lace Bark</w:t>
            </w:r>
          </w:p>
        </w:tc>
        <w:tc>
          <w:tcPr>
            <w:tcW w:w="588" w:type="pct"/>
            <w:vAlign w:val="center"/>
          </w:tcPr>
          <w:p w14:paraId="0A9D5E6D"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523C3BE3"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6BD24775"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D0C4517"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1AD0F6A5" wp14:editId="5D92D156">
                  <wp:extent cx="180000" cy="18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6AAAD6D5" w14:textId="77777777" w:rsidTr="001A7107">
        <w:tc>
          <w:tcPr>
            <w:tcW w:w="1512" w:type="pct"/>
          </w:tcPr>
          <w:p w14:paraId="1BB73E63" w14:textId="77777777" w:rsidR="00BE36FB" w:rsidRPr="009B7B35" w:rsidRDefault="00BE36FB" w:rsidP="001A7107">
            <w:pPr>
              <w:rPr>
                <w:rFonts w:cs="Arial"/>
                <w:sz w:val="20"/>
                <w:szCs w:val="20"/>
                <w:lang w:val="en-US"/>
              </w:rPr>
            </w:pPr>
            <w:r w:rsidRPr="009B7B35">
              <w:rPr>
                <w:rFonts w:cs="Arial"/>
                <w:sz w:val="20"/>
                <w:szCs w:val="20"/>
                <w:lang w:val="en-US"/>
              </w:rPr>
              <w:t>Brachyscome spp.</w:t>
            </w:r>
          </w:p>
        </w:tc>
        <w:tc>
          <w:tcPr>
            <w:tcW w:w="1137" w:type="pct"/>
          </w:tcPr>
          <w:p w14:paraId="5FE10E77" w14:textId="77777777" w:rsidR="00BE36FB" w:rsidRPr="009B7B35" w:rsidRDefault="00BE36FB" w:rsidP="001A7107">
            <w:pPr>
              <w:rPr>
                <w:rFonts w:cs="Arial"/>
                <w:sz w:val="20"/>
                <w:szCs w:val="20"/>
                <w:lang w:val="en-US"/>
              </w:rPr>
            </w:pPr>
            <w:r w:rsidRPr="009B7B35">
              <w:rPr>
                <w:rFonts w:cs="Arial"/>
                <w:sz w:val="20"/>
                <w:szCs w:val="20"/>
                <w:lang w:val="en-US"/>
              </w:rPr>
              <w:t>River Daisies</w:t>
            </w:r>
          </w:p>
        </w:tc>
        <w:tc>
          <w:tcPr>
            <w:tcW w:w="588" w:type="pct"/>
            <w:vAlign w:val="center"/>
          </w:tcPr>
          <w:p w14:paraId="57F4D567"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66ABB904"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64E5BE2B" w14:textId="77777777" w:rsidR="00BE36FB" w:rsidRPr="009B7B35" w:rsidRDefault="00BE36FB" w:rsidP="001A7107">
            <w:pPr>
              <w:jc w:val="center"/>
              <w:rPr>
                <w:rFonts w:cs="Arial"/>
                <w:sz w:val="20"/>
                <w:szCs w:val="20"/>
                <w:lang w:val="en-US"/>
              </w:rPr>
            </w:pPr>
          </w:p>
        </w:tc>
        <w:tc>
          <w:tcPr>
            <w:tcW w:w="587" w:type="pct"/>
            <w:vAlign w:val="center"/>
          </w:tcPr>
          <w:p w14:paraId="5CBD7127" w14:textId="77777777" w:rsidR="00BE36FB" w:rsidRPr="009B7B35" w:rsidRDefault="00BE36FB" w:rsidP="001A7107">
            <w:pPr>
              <w:jc w:val="center"/>
              <w:rPr>
                <w:rFonts w:cs="Arial"/>
                <w:sz w:val="20"/>
                <w:szCs w:val="20"/>
                <w:lang w:val="en-US"/>
              </w:rPr>
            </w:pPr>
          </w:p>
        </w:tc>
      </w:tr>
      <w:tr w:rsidR="00BE36FB" w:rsidRPr="009B7B35" w14:paraId="49A2AE02" w14:textId="77777777" w:rsidTr="001A7107">
        <w:tc>
          <w:tcPr>
            <w:tcW w:w="1512" w:type="pct"/>
          </w:tcPr>
          <w:p w14:paraId="37009846" w14:textId="77777777" w:rsidR="00BE36FB" w:rsidRPr="009B7B35" w:rsidRDefault="00BE36FB" w:rsidP="001A7107">
            <w:pPr>
              <w:rPr>
                <w:rFonts w:cs="Arial"/>
                <w:sz w:val="20"/>
                <w:szCs w:val="20"/>
                <w:lang w:val="en-US"/>
              </w:rPr>
            </w:pPr>
            <w:r w:rsidRPr="009B7B35">
              <w:rPr>
                <w:rFonts w:cs="Arial"/>
                <w:sz w:val="20"/>
                <w:szCs w:val="20"/>
                <w:lang w:val="en-US"/>
              </w:rPr>
              <w:t>Buckinghamia celcissima</w:t>
            </w:r>
          </w:p>
        </w:tc>
        <w:tc>
          <w:tcPr>
            <w:tcW w:w="1137" w:type="pct"/>
          </w:tcPr>
          <w:p w14:paraId="2CDE88AD" w14:textId="77777777" w:rsidR="00BE36FB" w:rsidRPr="009B7B35" w:rsidRDefault="00BE36FB" w:rsidP="001A7107">
            <w:pPr>
              <w:rPr>
                <w:rFonts w:cs="Arial"/>
                <w:sz w:val="20"/>
                <w:szCs w:val="20"/>
                <w:lang w:val="en-US"/>
              </w:rPr>
            </w:pPr>
            <w:r w:rsidRPr="009B7B35">
              <w:rPr>
                <w:rFonts w:cs="Arial"/>
                <w:sz w:val="20"/>
                <w:szCs w:val="20"/>
                <w:lang w:val="en-US"/>
              </w:rPr>
              <w:t>Ivory Curl</w:t>
            </w:r>
          </w:p>
        </w:tc>
        <w:tc>
          <w:tcPr>
            <w:tcW w:w="588" w:type="pct"/>
            <w:vAlign w:val="center"/>
          </w:tcPr>
          <w:p w14:paraId="702E271E"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359F94AC"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46175E2E" w14:textId="77777777" w:rsidR="00BE36FB" w:rsidRPr="009B7B35" w:rsidRDefault="00BE36FB" w:rsidP="001A7107">
            <w:pPr>
              <w:jc w:val="center"/>
              <w:rPr>
                <w:rFonts w:cs="Arial"/>
                <w:sz w:val="20"/>
                <w:szCs w:val="20"/>
                <w:lang w:val="en-US"/>
              </w:rPr>
            </w:pPr>
          </w:p>
        </w:tc>
        <w:tc>
          <w:tcPr>
            <w:tcW w:w="587" w:type="pct"/>
            <w:vAlign w:val="center"/>
          </w:tcPr>
          <w:p w14:paraId="0984E06F"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6475AF53" wp14:editId="11D3F040">
                  <wp:extent cx="180000" cy="180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13806D7F" w14:textId="77777777" w:rsidTr="001A7107">
        <w:tc>
          <w:tcPr>
            <w:tcW w:w="1512" w:type="pct"/>
          </w:tcPr>
          <w:p w14:paraId="00FA5899" w14:textId="77777777" w:rsidR="00BE36FB" w:rsidRPr="009B7B35" w:rsidRDefault="00BE36FB" w:rsidP="001A7107">
            <w:pPr>
              <w:rPr>
                <w:rFonts w:cs="Arial"/>
                <w:sz w:val="20"/>
                <w:szCs w:val="20"/>
                <w:lang w:val="en-US"/>
              </w:rPr>
            </w:pPr>
            <w:r w:rsidRPr="009B7B35">
              <w:rPr>
                <w:rFonts w:cs="Arial"/>
                <w:sz w:val="20"/>
                <w:szCs w:val="20"/>
                <w:lang w:val="en-US"/>
              </w:rPr>
              <w:t>Caldcluvia paniculosa</w:t>
            </w:r>
          </w:p>
        </w:tc>
        <w:tc>
          <w:tcPr>
            <w:tcW w:w="1137" w:type="pct"/>
          </w:tcPr>
          <w:p w14:paraId="1F259F34" w14:textId="77777777" w:rsidR="00BE36FB" w:rsidRPr="009B7B35" w:rsidRDefault="00BE36FB" w:rsidP="001A7107">
            <w:pPr>
              <w:rPr>
                <w:rFonts w:cs="Arial"/>
                <w:sz w:val="20"/>
                <w:szCs w:val="20"/>
                <w:lang w:val="en-US"/>
              </w:rPr>
            </w:pPr>
            <w:r w:rsidRPr="009B7B35">
              <w:rPr>
                <w:rFonts w:cs="Arial"/>
                <w:sz w:val="20"/>
                <w:szCs w:val="20"/>
                <w:lang w:val="en-US"/>
              </w:rPr>
              <w:t>Rose Leaf Marara</w:t>
            </w:r>
          </w:p>
        </w:tc>
        <w:tc>
          <w:tcPr>
            <w:tcW w:w="588" w:type="pct"/>
            <w:vAlign w:val="center"/>
          </w:tcPr>
          <w:p w14:paraId="01595B86"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5C18C330"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3D04DDAC"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7EB8D2EB" w14:textId="77777777" w:rsidR="00BE36FB" w:rsidRPr="009B7B35" w:rsidRDefault="00BE36FB" w:rsidP="001A7107">
            <w:pPr>
              <w:jc w:val="center"/>
              <w:rPr>
                <w:rFonts w:cs="Arial"/>
                <w:sz w:val="20"/>
                <w:szCs w:val="20"/>
                <w:lang w:val="en-US"/>
              </w:rPr>
            </w:pPr>
          </w:p>
        </w:tc>
      </w:tr>
      <w:tr w:rsidR="00BE36FB" w:rsidRPr="009B7B35" w14:paraId="56A2E460" w14:textId="77777777" w:rsidTr="001A7107">
        <w:tc>
          <w:tcPr>
            <w:tcW w:w="1512" w:type="pct"/>
          </w:tcPr>
          <w:p w14:paraId="40F558CF" w14:textId="77777777" w:rsidR="00BE36FB" w:rsidRPr="009B7B35" w:rsidRDefault="00BE36FB" w:rsidP="001A7107">
            <w:pPr>
              <w:rPr>
                <w:rFonts w:cs="Arial"/>
                <w:sz w:val="20"/>
                <w:szCs w:val="20"/>
                <w:lang w:val="en-US"/>
              </w:rPr>
            </w:pPr>
            <w:r w:rsidRPr="009B7B35">
              <w:rPr>
                <w:rFonts w:cs="Arial"/>
                <w:sz w:val="20"/>
                <w:szCs w:val="20"/>
                <w:lang w:val="en-US"/>
              </w:rPr>
              <w:t>Callicarpa pedunculata</w:t>
            </w:r>
          </w:p>
        </w:tc>
        <w:tc>
          <w:tcPr>
            <w:tcW w:w="1137" w:type="pct"/>
          </w:tcPr>
          <w:p w14:paraId="1F5CD578" w14:textId="77777777" w:rsidR="00BE36FB" w:rsidRPr="009B7B35" w:rsidRDefault="00BE36FB" w:rsidP="001A7107">
            <w:pPr>
              <w:rPr>
                <w:rFonts w:cs="Arial"/>
                <w:sz w:val="20"/>
                <w:szCs w:val="20"/>
                <w:lang w:val="en-US"/>
              </w:rPr>
            </w:pPr>
            <w:r w:rsidRPr="009B7B35">
              <w:rPr>
                <w:rFonts w:cs="Arial"/>
                <w:sz w:val="20"/>
                <w:szCs w:val="20"/>
                <w:lang w:val="en-US"/>
              </w:rPr>
              <w:t>Velvet Leaf</w:t>
            </w:r>
          </w:p>
        </w:tc>
        <w:tc>
          <w:tcPr>
            <w:tcW w:w="588" w:type="pct"/>
            <w:vAlign w:val="center"/>
          </w:tcPr>
          <w:p w14:paraId="47760F05"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172B1606"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6AF8AA89"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0B3391C" w14:textId="77777777" w:rsidR="00BE36FB" w:rsidRPr="009B7B35" w:rsidRDefault="00BE36FB" w:rsidP="001A7107">
            <w:pPr>
              <w:jc w:val="center"/>
              <w:rPr>
                <w:rFonts w:cs="Arial"/>
                <w:sz w:val="20"/>
                <w:szCs w:val="20"/>
                <w:lang w:val="en-US"/>
              </w:rPr>
            </w:pPr>
          </w:p>
        </w:tc>
      </w:tr>
      <w:tr w:rsidR="00BE36FB" w:rsidRPr="009B7B35" w14:paraId="7E8A0D1D" w14:textId="77777777" w:rsidTr="001A7107">
        <w:tc>
          <w:tcPr>
            <w:tcW w:w="1512" w:type="pct"/>
          </w:tcPr>
          <w:p w14:paraId="422024B8" w14:textId="77777777" w:rsidR="00BE36FB" w:rsidRPr="009B7B35" w:rsidRDefault="00BE36FB" w:rsidP="001A7107">
            <w:pPr>
              <w:rPr>
                <w:rFonts w:cs="Arial"/>
                <w:sz w:val="20"/>
                <w:szCs w:val="20"/>
                <w:lang w:val="en-US"/>
              </w:rPr>
            </w:pPr>
            <w:r w:rsidRPr="009B7B35">
              <w:rPr>
                <w:rFonts w:cs="Arial"/>
                <w:sz w:val="20"/>
                <w:szCs w:val="20"/>
                <w:lang w:val="en-US"/>
              </w:rPr>
              <w:t>Callicoma serratifolia</w:t>
            </w:r>
          </w:p>
        </w:tc>
        <w:tc>
          <w:tcPr>
            <w:tcW w:w="1137" w:type="pct"/>
          </w:tcPr>
          <w:p w14:paraId="662D8B9F" w14:textId="77777777" w:rsidR="00BE36FB" w:rsidRPr="009B7B35" w:rsidRDefault="00BE36FB" w:rsidP="001A7107">
            <w:pPr>
              <w:rPr>
                <w:rFonts w:cs="Arial"/>
                <w:sz w:val="20"/>
                <w:szCs w:val="20"/>
                <w:lang w:val="en-US"/>
              </w:rPr>
            </w:pPr>
            <w:r w:rsidRPr="009B7B35">
              <w:rPr>
                <w:rFonts w:cs="Arial"/>
                <w:sz w:val="20"/>
                <w:szCs w:val="20"/>
                <w:lang w:val="en-US"/>
              </w:rPr>
              <w:t>Black Wattle</w:t>
            </w:r>
          </w:p>
        </w:tc>
        <w:tc>
          <w:tcPr>
            <w:tcW w:w="588" w:type="pct"/>
            <w:vAlign w:val="center"/>
          </w:tcPr>
          <w:p w14:paraId="7C52385C"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79492D4F"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075C34B3"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75E7A63" w14:textId="77777777" w:rsidR="00BE36FB" w:rsidRPr="009B7B35" w:rsidRDefault="00BE36FB" w:rsidP="001A7107">
            <w:pPr>
              <w:jc w:val="center"/>
              <w:rPr>
                <w:rFonts w:cs="Arial"/>
                <w:sz w:val="20"/>
                <w:szCs w:val="20"/>
                <w:lang w:val="en-US"/>
              </w:rPr>
            </w:pPr>
          </w:p>
        </w:tc>
      </w:tr>
      <w:tr w:rsidR="00BE36FB" w:rsidRPr="009B7B35" w14:paraId="42384850" w14:textId="77777777" w:rsidTr="001A7107">
        <w:tc>
          <w:tcPr>
            <w:tcW w:w="1512" w:type="pct"/>
          </w:tcPr>
          <w:p w14:paraId="11261A22" w14:textId="77777777" w:rsidR="00BE36FB" w:rsidRPr="009B7B35" w:rsidRDefault="00BE36FB" w:rsidP="001A7107">
            <w:pPr>
              <w:rPr>
                <w:rFonts w:cs="Arial"/>
                <w:sz w:val="20"/>
                <w:szCs w:val="20"/>
                <w:lang w:val="en-US"/>
              </w:rPr>
            </w:pPr>
            <w:r w:rsidRPr="009B7B35">
              <w:rPr>
                <w:rFonts w:cs="Arial"/>
                <w:sz w:val="20"/>
                <w:szCs w:val="20"/>
                <w:lang w:val="en-US"/>
              </w:rPr>
              <w:t>Callistemon little john</w:t>
            </w:r>
          </w:p>
        </w:tc>
        <w:tc>
          <w:tcPr>
            <w:tcW w:w="1137" w:type="pct"/>
          </w:tcPr>
          <w:p w14:paraId="7DC542EB" w14:textId="77777777" w:rsidR="00BE36FB" w:rsidRPr="009B7B35" w:rsidRDefault="00BE36FB" w:rsidP="001A7107">
            <w:pPr>
              <w:rPr>
                <w:rFonts w:cs="Arial"/>
                <w:sz w:val="20"/>
                <w:szCs w:val="20"/>
                <w:lang w:val="en-US"/>
              </w:rPr>
            </w:pPr>
          </w:p>
        </w:tc>
        <w:tc>
          <w:tcPr>
            <w:tcW w:w="588" w:type="pct"/>
            <w:vAlign w:val="center"/>
          </w:tcPr>
          <w:p w14:paraId="13A536E5"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4437BD0B"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295C1E46" w14:textId="77777777" w:rsidR="00BE36FB" w:rsidRPr="009B7B35" w:rsidRDefault="00BE36FB" w:rsidP="001A7107">
            <w:pPr>
              <w:jc w:val="center"/>
              <w:rPr>
                <w:rFonts w:cs="Arial"/>
                <w:sz w:val="20"/>
                <w:szCs w:val="20"/>
                <w:lang w:val="en-US"/>
              </w:rPr>
            </w:pPr>
          </w:p>
        </w:tc>
        <w:tc>
          <w:tcPr>
            <w:tcW w:w="587" w:type="pct"/>
            <w:vAlign w:val="center"/>
          </w:tcPr>
          <w:p w14:paraId="4E021DA6" w14:textId="77777777" w:rsidR="00BE36FB" w:rsidRPr="009B7B35" w:rsidRDefault="00BE36FB" w:rsidP="001A7107">
            <w:pPr>
              <w:jc w:val="center"/>
              <w:rPr>
                <w:rFonts w:cs="Arial"/>
                <w:sz w:val="20"/>
                <w:szCs w:val="20"/>
                <w:lang w:val="en-US"/>
              </w:rPr>
            </w:pPr>
          </w:p>
        </w:tc>
      </w:tr>
      <w:tr w:rsidR="00BE36FB" w:rsidRPr="009B7B35" w14:paraId="5FFFB622" w14:textId="77777777" w:rsidTr="001A7107">
        <w:tc>
          <w:tcPr>
            <w:tcW w:w="1512" w:type="pct"/>
          </w:tcPr>
          <w:p w14:paraId="043B0B32" w14:textId="77777777" w:rsidR="00BE36FB" w:rsidRPr="009B7B35" w:rsidRDefault="00BE36FB" w:rsidP="001A7107">
            <w:pPr>
              <w:rPr>
                <w:rFonts w:cs="Arial"/>
                <w:sz w:val="20"/>
                <w:szCs w:val="20"/>
                <w:lang w:val="en-US"/>
              </w:rPr>
            </w:pPr>
            <w:r w:rsidRPr="009B7B35">
              <w:rPr>
                <w:rFonts w:cs="Arial"/>
                <w:sz w:val="20"/>
                <w:szCs w:val="20"/>
                <w:lang w:val="en-US"/>
              </w:rPr>
              <w:t>Callistemon spp.</w:t>
            </w:r>
          </w:p>
        </w:tc>
        <w:tc>
          <w:tcPr>
            <w:tcW w:w="1137" w:type="pct"/>
          </w:tcPr>
          <w:p w14:paraId="68292061" w14:textId="77777777" w:rsidR="00BE36FB" w:rsidRPr="009B7B35" w:rsidRDefault="00BE36FB" w:rsidP="001A7107">
            <w:pPr>
              <w:rPr>
                <w:rFonts w:cs="Arial"/>
                <w:sz w:val="20"/>
                <w:szCs w:val="20"/>
                <w:lang w:val="en-US"/>
              </w:rPr>
            </w:pPr>
          </w:p>
        </w:tc>
        <w:tc>
          <w:tcPr>
            <w:tcW w:w="588" w:type="pct"/>
            <w:vAlign w:val="center"/>
          </w:tcPr>
          <w:p w14:paraId="0CCC1151"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0BC10F5E"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087752CF"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4B07184"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0AB48CB6" wp14:editId="4B86E434">
                  <wp:extent cx="180000" cy="1800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4BFB32E4" w14:textId="77777777" w:rsidTr="001A7107">
        <w:tc>
          <w:tcPr>
            <w:tcW w:w="1512" w:type="pct"/>
          </w:tcPr>
          <w:p w14:paraId="6FFB26BE" w14:textId="77777777" w:rsidR="00BE36FB" w:rsidRPr="009B7B35" w:rsidRDefault="00BE36FB" w:rsidP="001A7107">
            <w:pPr>
              <w:rPr>
                <w:rFonts w:cs="Arial"/>
                <w:sz w:val="20"/>
                <w:szCs w:val="20"/>
                <w:lang w:val="en-US"/>
              </w:rPr>
            </w:pPr>
            <w:r w:rsidRPr="009B7B35">
              <w:rPr>
                <w:rFonts w:cs="Arial"/>
                <w:sz w:val="20"/>
                <w:szCs w:val="20"/>
                <w:lang w:val="en-US"/>
              </w:rPr>
              <w:t>Callistemon spp. (Allocasuarina spp.) (suggested C. anzac, captain cook, candy pink, dawson river, endeavour, formosis, pachyphyllus, pink champagne, salignus, viminalis, wildfire)</w:t>
            </w:r>
          </w:p>
        </w:tc>
        <w:tc>
          <w:tcPr>
            <w:tcW w:w="1137" w:type="pct"/>
          </w:tcPr>
          <w:p w14:paraId="110A328C" w14:textId="77777777" w:rsidR="00BE36FB" w:rsidRPr="009B7B35" w:rsidRDefault="00BE36FB" w:rsidP="001A7107">
            <w:pPr>
              <w:rPr>
                <w:rFonts w:cs="Arial"/>
                <w:sz w:val="20"/>
                <w:szCs w:val="20"/>
                <w:lang w:val="en-US"/>
              </w:rPr>
            </w:pPr>
          </w:p>
        </w:tc>
        <w:tc>
          <w:tcPr>
            <w:tcW w:w="588" w:type="pct"/>
            <w:vAlign w:val="center"/>
          </w:tcPr>
          <w:p w14:paraId="4F41F183"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2FDB0176"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7FD3E1A8"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E84E968" w14:textId="77777777" w:rsidR="00BE36FB" w:rsidRPr="009B7B35" w:rsidRDefault="00BE36FB" w:rsidP="001A7107">
            <w:pPr>
              <w:jc w:val="center"/>
              <w:rPr>
                <w:rFonts w:cs="Arial"/>
                <w:sz w:val="20"/>
                <w:szCs w:val="20"/>
                <w:lang w:val="en-US"/>
              </w:rPr>
            </w:pPr>
          </w:p>
        </w:tc>
      </w:tr>
      <w:tr w:rsidR="00BE36FB" w:rsidRPr="009B7B35" w14:paraId="547C2325" w14:textId="77777777" w:rsidTr="001A7107">
        <w:tc>
          <w:tcPr>
            <w:tcW w:w="1512" w:type="pct"/>
          </w:tcPr>
          <w:p w14:paraId="7EDC3542" w14:textId="77777777" w:rsidR="00BE36FB" w:rsidRPr="009B7B35" w:rsidRDefault="00BE36FB" w:rsidP="001A7107">
            <w:pPr>
              <w:rPr>
                <w:rFonts w:cs="Arial"/>
                <w:sz w:val="20"/>
                <w:szCs w:val="20"/>
                <w:lang w:val="en-US"/>
              </w:rPr>
            </w:pPr>
            <w:r w:rsidRPr="009B7B35">
              <w:rPr>
                <w:rFonts w:cs="Arial"/>
                <w:sz w:val="20"/>
                <w:szCs w:val="20"/>
                <w:lang w:val="en-US"/>
              </w:rPr>
              <w:t>Callitris columellaris</w:t>
            </w:r>
          </w:p>
        </w:tc>
        <w:tc>
          <w:tcPr>
            <w:tcW w:w="1137" w:type="pct"/>
          </w:tcPr>
          <w:p w14:paraId="60F41C69" w14:textId="77777777" w:rsidR="00BE36FB" w:rsidRPr="009B7B35" w:rsidRDefault="00BE36FB" w:rsidP="001A7107">
            <w:pPr>
              <w:rPr>
                <w:rFonts w:cs="Arial"/>
                <w:sz w:val="20"/>
                <w:szCs w:val="20"/>
                <w:lang w:val="en-US"/>
              </w:rPr>
            </w:pPr>
            <w:r w:rsidRPr="009B7B35">
              <w:rPr>
                <w:rFonts w:cs="Arial"/>
                <w:sz w:val="20"/>
                <w:szCs w:val="20"/>
                <w:lang w:val="en-US"/>
              </w:rPr>
              <w:t>Bribie Island Pine</w:t>
            </w:r>
          </w:p>
        </w:tc>
        <w:tc>
          <w:tcPr>
            <w:tcW w:w="588" w:type="pct"/>
            <w:vAlign w:val="center"/>
          </w:tcPr>
          <w:p w14:paraId="0FF2D6AB"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72220E86"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1F94118F"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E725D90" w14:textId="77777777" w:rsidR="00BE36FB" w:rsidRPr="009B7B35" w:rsidRDefault="00BE36FB" w:rsidP="001A7107">
            <w:pPr>
              <w:jc w:val="center"/>
              <w:rPr>
                <w:rFonts w:cs="Arial"/>
                <w:sz w:val="20"/>
                <w:szCs w:val="20"/>
                <w:lang w:val="en-US"/>
              </w:rPr>
            </w:pPr>
          </w:p>
        </w:tc>
      </w:tr>
      <w:tr w:rsidR="00BE36FB" w:rsidRPr="009B7B35" w14:paraId="264C6223" w14:textId="77777777" w:rsidTr="001A7107">
        <w:tc>
          <w:tcPr>
            <w:tcW w:w="1512" w:type="pct"/>
          </w:tcPr>
          <w:p w14:paraId="395D275F" w14:textId="77777777" w:rsidR="00BE36FB" w:rsidRPr="009B7B35" w:rsidRDefault="00BE36FB" w:rsidP="001A7107">
            <w:pPr>
              <w:rPr>
                <w:rFonts w:cs="Arial"/>
                <w:sz w:val="20"/>
                <w:szCs w:val="20"/>
                <w:lang w:val="en-US"/>
              </w:rPr>
            </w:pPr>
            <w:r w:rsidRPr="009B7B35">
              <w:rPr>
                <w:rFonts w:cs="Arial"/>
                <w:sz w:val="20"/>
                <w:szCs w:val="20"/>
                <w:lang w:val="en-US"/>
              </w:rPr>
              <w:t>Calophyllum inophyllum</w:t>
            </w:r>
          </w:p>
        </w:tc>
        <w:tc>
          <w:tcPr>
            <w:tcW w:w="1137" w:type="pct"/>
          </w:tcPr>
          <w:p w14:paraId="45BC34B0" w14:textId="77777777" w:rsidR="00BE36FB" w:rsidRPr="009B7B35" w:rsidRDefault="00BE36FB" w:rsidP="001A7107">
            <w:pPr>
              <w:rPr>
                <w:rFonts w:cs="Arial"/>
                <w:sz w:val="20"/>
                <w:szCs w:val="20"/>
                <w:lang w:val="en-US"/>
              </w:rPr>
            </w:pPr>
            <w:r w:rsidRPr="009B7B35">
              <w:rPr>
                <w:rFonts w:cs="Arial"/>
                <w:sz w:val="20"/>
                <w:szCs w:val="20"/>
                <w:lang w:val="en-US"/>
              </w:rPr>
              <w:t>Beauty Leaf</w:t>
            </w:r>
          </w:p>
        </w:tc>
        <w:tc>
          <w:tcPr>
            <w:tcW w:w="588" w:type="pct"/>
            <w:vAlign w:val="center"/>
          </w:tcPr>
          <w:p w14:paraId="603E2139"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4A8D6704" w14:textId="77777777" w:rsidR="00BE36FB" w:rsidRPr="009B7B35" w:rsidRDefault="00BE36FB" w:rsidP="001A7107">
            <w:pPr>
              <w:jc w:val="center"/>
              <w:rPr>
                <w:rFonts w:cs="Arial"/>
                <w:sz w:val="20"/>
                <w:szCs w:val="20"/>
                <w:lang w:val="en-US"/>
              </w:rPr>
            </w:pPr>
            <w:r w:rsidRPr="009B7B35">
              <w:rPr>
                <w:rFonts w:cs="Arial"/>
                <w:sz w:val="20"/>
                <w:szCs w:val="20"/>
                <w:lang w:val="en-US"/>
              </w:rPr>
              <w:t>7</w:t>
            </w:r>
          </w:p>
        </w:tc>
        <w:tc>
          <w:tcPr>
            <w:tcW w:w="588" w:type="pct"/>
            <w:vAlign w:val="center"/>
          </w:tcPr>
          <w:p w14:paraId="2DB5E018" w14:textId="77777777" w:rsidR="00BE36FB" w:rsidRPr="009B7B35" w:rsidRDefault="00BE36FB" w:rsidP="001A7107">
            <w:pPr>
              <w:jc w:val="center"/>
              <w:rPr>
                <w:rFonts w:cs="Arial"/>
                <w:sz w:val="20"/>
                <w:szCs w:val="20"/>
                <w:lang w:val="en-US"/>
              </w:rPr>
            </w:pPr>
          </w:p>
        </w:tc>
        <w:tc>
          <w:tcPr>
            <w:tcW w:w="587" w:type="pct"/>
            <w:vAlign w:val="center"/>
          </w:tcPr>
          <w:p w14:paraId="3562B1D1" w14:textId="77777777" w:rsidR="00BE36FB" w:rsidRPr="009B7B35" w:rsidRDefault="00BE36FB" w:rsidP="001A7107">
            <w:pPr>
              <w:jc w:val="center"/>
              <w:rPr>
                <w:rFonts w:cs="Arial"/>
                <w:sz w:val="20"/>
                <w:szCs w:val="20"/>
                <w:lang w:val="en-US"/>
              </w:rPr>
            </w:pPr>
          </w:p>
        </w:tc>
      </w:tr>
      <w:tr w:rsidR="00BE36FB" w:rsidRPr="009B7B35" w14:paraId="50FC92C8" w14:textId="77777777" w:rsidTr="001A7107">
        <w:tc>
          <w:tcPr>
            <w:tcW w:w="1512" w:type="pct"/>
          </w:tcPr>
          <w:p w14:paraId="5B5DAFEE" w14:textId="77777777" w:rsidR="00BE36FB" w:rsidRPr="009B7B35" w:rsidRDefault="00BE36FB" w:rsidP="001A7107">
            <w:pPr>
              <w:rPr>
                <w:rFonts w:cs="Arial"/>
                <w:sz w:val="20"/>
                <w:szCs w:val="20"/>
                <w:lang w:val="en-US"/>
              </w:rPr>
            </w:pPr>
            <w:r w:rsidRPr="009B7B35">
              <w:rPr>
                <w:rFonts w:cs="Arial"/>
                <w:sz w:val="20"/>
                <w:szCs w:val="20"/>
                <w:lang w:val="en-US"/>
              </w:rPr>
              <w:t>Carpobrotus glaucescens</w:t>
            </w:r>
          </w:p>
        </w:tc>
        <w:tc>
          <w:tcPr>
            <w:tcW w:w="1137" w:type="pct"/>
          </w:tcPr>
          <w:p w14:paraId="343327C9" w14:textId="77777777" w:rsidR="00BE36FB" w:rsidRPr="009B7B35" w:rsidRDefault="00BE36FB" w:rsidP="001A7107">
            <w:pPr>
              <w:rPr>
                <w:rFonts w:cs="Arial"/>
                <w:sz w:val="20"/>
                <w:szCs w:val="20"/>
                <w:lang w:val="en-US"/>
              </w:rPr>
            </w:pPr>
            <w:r w:rsidRPr="009B7B35">
              <w:rPr>
                <w:rFonts w:cs="Arial"/>
                <w:sz w:val="20"/>
                <w:szCs w:val="20"/>
                <w:lang w:val="en-US"/>
              </w:rPr>
              <w:t>Pigface</w:t>
            </w:r>
          </w:p>
        </w:tc>
        <w:tc>
          <w:tcPr>
            <w:tcW w:w="588" w:type="pct"/>
            <w:vAlign w:val="center"/>
          </w:tcPr>
          <w:p w14:paraId="298A1A32"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321BB147"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6B6CC4B6"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6C364BD" w14:textId="77777777" w:rsidR="00BE36FB" w:rsidRPr="009B7B35" w:rsidRDefault="00BE36FB" w:rsidP="001A7107">
            <w:pPr>
              <w:jc w:val="center"/>
              <w:rPr>
                <w:rFonts w:cs="Arial"/>
                <w:sz w:val="20"/>
                <w:szCs w:val="20"/>
                <w:lang w:val="en-US"/>
              </w:rPr>
            </w:pPr>
          </w:p>
        </w:tc>
      </w:tr>
      <w:tr w:rsidR="00BE36FB" w:rsidRPr="009B7B35" w14:paraId="3544C8E3" w14:textId="77777777" w:rsidTr="001A7107">
        <w:tc>
          <w:tcPr>
            <w:tcW w:w="1512" w:type="pct"/>
          </w:tcPr>
          <w:p w14:paraId="0497E09F" w14:textId="77777777" w:rsidR="00BE36FB" w:rsidRPr="009B7B35" w:rsidRDefault="00BE36FB" w:rsidP="001A7107">
            <w:pPr>
              <w:rPr>
                <w:rFonts w:cs="Arial"/>
                <w:sz w:val="20"/>
                <w:szCs w:val="20"/>
                <w:lang w:val="en-US"/>
              </w:rPr>
            </w:pPr>
            <w:r w:rsidRPr="009B7B35">
              <w:rPr>
                <w:rFonts w:cs="Arial"/>
                <w:sz w:val="20"/>
                <w:szCs w:val="20"/>
                <w:lang w:val="en-US"/>
              </w:rPr>
              <w:t>Cassia brewsteri</w:t>
            </w:r>
          </w:p>
        </w:tc>
        <w:tc>
          <w:tcPr>
            <w:tcW w:w="1137" w:type="pct"/>
          </w:tcPr>
          <w:p w14:paraId="5190DEB2" w14:textId="77777777" w:rsidR="00BE36FB" w:rsidRPr="009B7B35" w:rsidRDefault="00BE36FB" w:rsidP="001A7107">
            <w:pPr>
              <w:rPr>
                <w:rFonts w:cs="Arial"/>
                <w:sz w:val="20"/>
                <w:szCs w:val="20"/>
                <w:lang w:val="en-US"/>
              </w:rPr>
            </w:pPr>
            <w:r w:rsidRPr="009B7B35">
              <w:rPr>
                <w:rFonts w:cs="Arial"/>
                <w:sz w:val="20"/>
                <w:szCs w:val="20"/>
                <w:lang w:val="en-US"/>
              </w:rPr>
              <w:t>Leichardt Bean</w:t>
            </w:r>
          </w:p>
        </w:tc>
        <w:tc>
          <w:tcPr>
            <w:tcW w:w="588" w:type="pct"/>
            <w:vAlign w:val="center"/>
          </w:tcPr>
          <w:p w14:paraId="3DBC2F93"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7779FD3B"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1DF4B0AE" w14:textId="77777777" w:rsidR="00BE36FB" w:rsidRPr="009B7B35" w:rsidRDefault="00BE36FB" w:rsidP="001A7107">
            <w:pPr>
              <w:jc w:val="center"/>
              <w:rPr>
                <w:rFonts w:cs="Arial"/>
                <w:sz w:val="20"/>
                <w:szCs w:val="20"/>
                <w:lang w:val="en-US"/>
              </w:rPr>
            </w:pPr>
          </w:p>
        </w:tc>
        <w:tc>
          <w:tcPr>
            <w:tcW w:w="587" w:type="pct"/>
            <w:vAlign w:val="center"/>
          </w:tcPr>
          <w:p w14:paraId="4F2ABA95" w14:textId="77777777" w:rsidR="00BE36FB" w:rsidRPr="009B7B35" w:rsidRDefault="00BE36FB" w:rsidP="001A7107">
            <w:pPr>
              <w:jc w:val="center"/>
              <w:rPr>
                <w:rFonts w:cs="Arial"/>
                <w:b/>
                <w:sz w:val="20"/>
                <w:szCs w:val="20"/>
                <w:lang w:val="en-US"/>
              </w:rPr>
            </w:pPr>
            <w:r w:rsidRPr="009B7B35">
              <w:rPr>
                <w:rFonts w:cs="Arial"/>
                <w:noProof/>
                <w:sz w:val="20"/>
                <w:szCs w:val="20"/>
              </w:rPr>
              <w:drawing>
                <wp:inline distT="0" distB="0" distL="0" distR="0" wp14:anchorId="10ED80AD" wp14:editId="026E21E7">
                  <wp:extent cx="180000" cy="180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64A7AA61" w14:textId="77777777" w:rsidTr="001A7107">
        <w:tc>
          <w:tcPr>
            <w:tcW w:w="1512" w:type="pct"/>
          </w:tcPr>
          <w:p w14:paraId="2ADB6F61" w14:textId="77777777" w:rsidR="00BE36FB" w:rsidRPr="009B7B35" w:rsidRDefault="00BE36FB" w:rsidP="001A7107">
            <w:pPr>
              <w:rPr>
                <w:rFonts w:cs="Arial"/>
                <w:sz w:val="20"/>
                <w:szCs w:val="20"/>
                <w:lang w:val="en-US"/>
              </w:rPr>
            </w:pPr>
            <w:r w:rsidRPr="009B7B35">
              <w:rPr>
                <w:rFonts w:cs="Arial"/>
                <w:sz w:val="20"/>
                <w:szCs w:val="20"/>
                <w:lang w:val="en-US"/>
              </w:rPr>
              <w:t>Castanospermum australe</w:t>
            </w:r>
          </w:p>
        </w:tc>
        <w:tc>
          <w:tcPr>
            <w:tcW w:w="1137" w:type="pct"/>
          </w:tcPr>
          <w:p w14:paraId="3F4C9795" w14:textId="77777777" w:rsidR="00BE36FB" w:rsidRPr="009B7B35" w:rsidRDefault="00BE36FB" w:rsidP="001A7107">
            <w:pPr>
              <w:rPr>
                <w:rFonts w:cs="Arial"/>
                <w:sz w:val="20"/>
                <w:szCs w:val="20"/>
                <w:lang w:val="en-US"/>
              </w:rPr>
            </w:pPr>
            <w:r w:rsidRPr="009B7B35">
              <w:rPr>
                <w:rFonts w:cs="Arial"/>
                <w:sz w:val="20"/>
                <w:szCs w:val="20"/>
                <w:lang w:val="en-US"/>
              </w:rPr>
              <w:t>Black Bean</w:t>
            </w:r>
          </w:p>
        </w:tc>
        <w:tc>
          <w:tcPr>
            <w:tcW w:w="588" w:type="pct"/>
            <w:vAlign w:val="center"/>
          </w:tcPr>
          <w:p w14:paraId="78600392"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1675ED14"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4514E79D"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E065996"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56173F1B" wp14:editId="54DCE4BF">
                  <wp:extent cx="180000" cy="180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3B4DC14D" w14:textId="77777777" w:rsidTr="001A7107">
        <w:tc>
          <w:tcPr>
            <w:tcW w:w="1512" w:type="pct"/>
          </w:tcPr>
          <w:p w14:paraId="0F4031BE" w14:textId="77777777" w:rsidR="00BE36FB" w:rsidRPr="009B7B35" w:rsidRDefault="00BE36FB" w:rsidP="001A7107">
            <w:pPr>
              <w:rPr>
                <w:rFonts w:cs="Arial"/>
                <w:sz w:val="20"/>
                <w:szCs w:val="20"/>
                <w:lang w:val="en-US"/>
              </w:rPr>
            </w:pPr>
            <w:r w:rsidRPr="009B7B35">
              <w:rPr>
                <w:rFonts w:cs="Arial"/>
                <w:sz w:val="20"/>
                <w:szCs w:val="20"/>
                <w:lang w:val="en-US"/>
              </w:rPr>
              <w:t>Castanospora alphandii</w:t>
            </w:r>
          </w:p>
        </w:tc>
        <w:tc>
          <w:tcPr>
            <w:tcW w:w="1137" w:type="pct"/>
          </w:tcPr>
          <w:p w14:paraId="2CC10C15" w14:textId="77777777" w:rsidR="00BE36FB" w:rsidRPr="009B7B35" w:rsidRDefault="00BE36FB" w:rsidP="001A7107">
            <w:pPr>
              <w:rPr>
                <w:rFonts w:cs="Arial"/>
                <w:sz w:val="20"/>
                <w:szCs w:val="20"/>
                <w:lang w:val="en-US"/>
              </w:rPr>
            </w:pPr>
            <w:r w:rsidRPr="009B7B35">
              <w:rPr>
                <w:rFonts w:cs="Arial"/>
                <w:sz w:val="20"/>
                <w:szCs w:val="20"/>
                <w:lang w:val="en-US"/>
              </w:rPr>
              <w:t>Brown Tamarind</w:t>
            </w:r>
          </w:p>
        </w:tc>
        <w:tc>
          <w:tcPr>
            <w:tcW w:w="588" w:type="pct"/>
            <w:vAlign w:val="center"/>
          </w:tcPr>
          <w:p w14:paraId="04F9551A"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6C428742"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4F4BCD63"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2A1323B6" w14:textId="77777777" w:rsidR="00BE36FB" w:rsidRPr="009B7B35" w:rsidRDefault="00BE36FB" w:rsidP="001A7107">
            <w:pPr>
              <w:jc w:val="center"/>
              <w:rPr>
                <w:rFonts w:cs="Arial"/>
                <w:sz w:val="20"/>
                <w:szCs w:val="20"/>
                <w:lang w:val="en-US"/>
              </w:rPr>
            </w:pPr>
          </w:p>
        </w:tc>
      </w:tr>
      <w:tr w:rsidR="00BE36FB" w:rsidRPr="009B7B35" w14:paraId="377633BB" w14:textId="77777777" w:rsidTr="001A7107">
        <w:tc>
          <w:tcPr>
            <w:tcW w:w="1512" w:type="pct"/>
          </w:tcPr>
          <w:p w14:paraId="30FD8C0D" w14:textId="77777777" w:rsidR="00BE36FB" w:rsidRPr="009B7B35" w:rsidRDefault="00BE36FB" w:rsidP="001A7107">
            <w:pPr>
              <w:rPr>
                <w:rFonts w:cs="Arial"/>
                <w:sz w:val="20"/>
                <w:szCs w:val="20"/>
                <w:lang w:val="en-US"/>
              </w:rPr>
            </w:pPr>
            <w:r w:rsidRPr="009B7B35">
              <w:rPr>
                <w:rFonts w:cs="Arial"/>
                <w:sz w:val="20"/>
                <w:szCs w:val="20"/>
                <w:lang w:val="en-US"/>
              </w:rPr>
              <w:t>Casuarina cunninghamiana</w:t>
            </w:r>
          </w:p>
        </w:tc>
        <w:tc>
          <w:tcPr>
            <w:tcW w:w="1137" w:type="pct"/>
          </w:tcPr>
          <w:p w14:paraId="09F2A9D7" w14:textId="77777777" w:rsidR="00BE36FB" w:rsidRPr="009B7B35" w:rsidRDefault="00BE36FB" w:rsidP="001A7107">
            <w:pPr>
              <w:rPr>
                <w:rFonts w:cs="Arial"/>
                <w:sz w:val="20"/>
                <w:szCs w:val="20"/>
                <w:lang w:val="en-US"/>
              </w:rPr>
            </w:pPr>
            <w:r w:rsidRPr="009B7B35">
              <w:rPr>
                <w:rFonts w:cs="Arial"/>
                <w:sz w:val="20"/>
                <w:szCs w:val="20"/>
                <w:lang w:val="en-US"/>
              </w:rPr>
              <w:t>River She–Oak</w:t>
            </w:r>
          </w:p>
        </w:tc>
        <w:tc>
          <w:tcPr>
            <w:tcW w:w="588" w:type="pct"/>
            <w:vAlign w:val="center"/>
          </w:tcPr>
          <w:p w14:paraId="3D6A4BC9" w14:textId="77777777"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14:paraId="31EA3E14"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025C59DD"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BF02989" w14:textId="77777777" w:rsidR="00BE36FB" w:rsidRPr="009B7B35" w:rsidRDefault="00BE36FB" w:rsidP="001A7107">
            <w:pPr>
              <w:jc w:val="center"/>
              <w:rPr>
                <w:rFonts w:cs="Arial"/>
                <w:sz w:val="20"/>
                <w:szCs w:val="20"/>
                <w:lang w:val="en-US"/>
              </w:rPr>
            </w:pPr>
          </w:p>
        </w:tc>
      </w:tr>
      <w:tr w:rsidR="00BE36FB" w:rsidRPr="009B7B35" w14:paraId="1396F6E0" w14:textId="77777777" w:rsidTr="001A7107">
        <w:tc>
          <w:tcPr>
            <w:tcW w:w="1512" w:type="pct"/>
          </w:tcPr>
          <w:p w14:paraId="4CAB57F0" w14:textId="77777777" w:rsidR="00BE36FB" w:rsidRPr="009B7B35" w:rsidRDefault="00BE36FB" w:rsidP="001A7107">
            <w:pPr>
              <w:rPr>
                <w:rFonts w:cs="Arial"/>
                <w:sz w:val="20"/>
                <w:szCs w:val="20"/>
                <w:lang w:val="en-US"/>
              </w:rPr>
            </w:pPr>
            <w:r w:rsidRPr="009B7B35">
              <w:rPr>
                <w:rFonts w:cs="Arial"/>
                <w:sz w:val="20"/>
                <w:szCs w:val="20"/>
                <w:lang w:val="en-US"/>
              </w:rPr>
              <w:t>Casuarina spp.</w:t>
            </w:r>
          </w:p>
          <w:p w14:paraId="64596535" w14:textId="77777777" w:rsidR="00BE36FB" w:rsidRPr="009B7B35" w:rsidRDefault="00BE36FB" w:rsidP="001A7107">
            <w:pPr>
              <w:rPr>
                <w:rFonts w:cs="Arial"/>
                <w:sz w:val="20"/>
                <w:szCs w:val="20"/>
                <w:lang w:val="en-US"/>
              </w:rPr>
            </w:pPr>
            <w:r w:rsidRPr="009B7B35">
              <w:rPr>
                <w:rFonts w:cs="Arial"/>
                <w:sz w:val="20"/>
                <w:szCs w:val="20"/>
                <w:lang w:val="en-US"/>
              </w:rPr>
              <w:t>(suggested C. glauca, littoralis, cunninghamia, torulosa)</w:t>
            </w:r>
          </w:p>
        </w:tc>
        <w:tc>
          <w:tcPr>
            <w:tcW w:w="1137" w:type="pct"/>
          </w:tcPr>
          <w:p w14:paraId="548C85FC" w14:textId="77777777" w:rsidR="00BE36FB" w:rsidRPr="009B7B35" w:rsidRDefault="00BE36FB" w:rsidP="001A7107">
            <w:pPr>
              <w:rPr>
                <w:rFonts w:cs="Arial"/>
                <w:sz w:val="20"/>
                <w:szCs w:val="20"/>
                <w:lang w:val="en-US"/>
              </w:rPr>
            </w:pPr>
          </w:p>
        </w:tc>
        <w:tc>
          <w:tcPr>
            <w:tcW w:w="588" w:type="pct"/>
            <w:vAlign w:val="center"/>
          </w:tcPr>
          <w:p w14:paraId="2DFCE552"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59F64D49"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58FFC2D5"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6E252FF" w14:textId="77777777" w:rsidR="00BE36FB" w:rsidRPr="009B7B35" w:rsidRDefault="00BE36FB" w:rsidP="001A7107">
            <w:pPr>
              <w:jc w:val="center"/>
              <w:rPr>
                <w:rFonts w:cs="Arial"/>
                <w:sz w:val="20"/>
                <w:szCs w:val="20"/>
                <w:lang w:val="en-US"/>
              </w:rPr>
            </w:pPr>
          </w:p>
        </w:tc>
      </w:tr>
      <w:tr w:rsidR="00BE36FB" w:rsidRPr="009B7B35" w14:paraId="69F0C144" w14:textId="77777777" w:rsidTr="001A7107">
        <w:tc>
          <w:tcPr>
            <w:tcW w:w="1512" w:type="pct"/>
          </w:tcPr>
          <w:p w14:paraId="2189BAFB" w14:textId="77777777" w:rsidR="00BE36FB" w:rsidRPr="009B7B35" w:rsidRDefault="00BE36FB" w:rsidP="001A7107">
            <w:pPr>
              <w:rPr>
                <w:rFonts w:cs="Arial"/>
                <w:sz w:val="20"/>
                <w:szCs w:val="20"/>
                <w:lang w:val="en-US"/>
              </w:rPr>
            </w:pPr>
            <w:r w:rsidRPr="009B7B35">
              <w:rPr>
                <w:rFonts w:cs="Arial"/>
                <w:sz w:val="20"/>
                <w:szCs w:val="20"/>
                <w:lang w:val="en-US"/>
              </w:rPr>
              <w:t>Casuarina equisetifolia*</w:t>
            </w:r>
          </w:p>
        </w:tc>
        <w:tc>
          <w:tcPr>
            <w:tcW w:w="1137" w:type="pct"/>
          </w:tcPr>
          <w:p w14:paraId="3BD6ED3A" w14:textId="77777777" w:rsidR="00BE36FB" w:rsidRPr="009B7B35" w:rsidRDefault="00BE36FB" w:rsidP="001A7107">
            <w:pPr>
              <w:rPr>
                <w:rFonts w:cs="Arial"/>
                <w:sz w:val="20"/>
                <w:szCs w:val="20"/>
                <w:lang w:val="en-US"/>
              </w:rPr>
            </w:pPr>
            <w:r w:rsidRPr="009B7B35">
              <w:rPr>
                <w:rFonts w:cs="Arial"/>
                <w:sz w:val="20"/>
                <w:szCs w:val="20"/>
                <w:lang w:val="en-US"/>
              </w:rPr>
              <w:t>Horsetail She–Oak</w:t>
            </w:r>
          </w:p>
        </w:tc>
        <w:tc>
          <w:tcPr>
            <w:tcW w:w="588" w:type="pct"/>
            <w:vAlign w:val="center"/>
          </w:tcPr>
          <w:p w14:paraId="3F578CD5"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1CC29B27"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70C6DD7D"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82BF8B4" w14:textId="77777777" w:rsidR="00BE36FB" w:rsidRPr="009B7B35" w:rsidRDefault="00BE36FB" w:rsidP="001A7107">
            <w:pPr>
              <w:jc w:val="center"/>
              <w:rPr>
                <w:rFonts w:cs="Arial"/>
                <w:sz w:val="20"/>
                <w:szCs w:val="20"/>
                <w:lang w:val="en-US"/>
              </w:rPr>
            </w:pPr>
          </w:p>
        </w:tc>
      </w:tr>
      <w:tr w:rsidR="00BE36FB" w:rsidRPr="009B7B35" w14:paraId="4180694F" w14:textId="77777777" w:rsidTr="001A7107">
        <w:tc>
          <w:tcPr>
            <w:tcW w:w="1512" w:type="pct"/>
          </w:tcPr>
          <w:p w14:paraId="54335087" w14:textId="77777777" w:rsidR="00BE36FB" w:rsidRPr="009B7B35" w:rsidRDefault="00BE36FB" w:rsidP="001A7107">
            <w:pPr>
              <w:rPr>
                <w:rFonts w:cs="Arial"/>
                <w:sz w:val="20"/>
                <w:szCs w:val="20"/>
                <w:lang w:val="en-US"/>
              </w:rPr>
            </w:pPr>
            <w:r w:rsidRPr="009B7B35">
              <w:rPr>
                <w:rFonts w:cs="Arial"/>
                <w:sz w:val="20"/>
                <w:szCs w:val="20"/>
                <w:lang w:val="en-US"/>
              </w:rPr>
              <w:t>Casuarina glauca</w:t>
            </w:r>
          </w:p>
        </w:tc>
        <w:tc>
          <w:tcPr>
            <w:tcW w:w="1137" w:type="pct"/>
          </w:tcPr>
          <w:p w14:paraId="4FA52A6D" w14:textId="77777777" w:rsidR="00BE36FB" w:rsidRPr="009B7B35" w:rsidRDefault="00BE36FB" w:rsidP="001A7107">
            <w:pPr>
              <w:rPr>
                <w:rFonts w:cs="Arial"/>
                <w:sz w:val="20"/>
                <w:szCs w:val="20"/>
                <w:lang w:val="en-US"/>
              </w:rPr>
            </w:pPr>
            <w:r w:rsidRPr="009B7B35">
              <w:rPr>
                <w:rFonts w:cs="Arial"/>
                <w:sz w:val="20"/>
                <w:szCs w:val="20"/>
                <w:lang w:val="en-US"/>
              </w:rPr>
              <w:t>Swamp Oak</w:t>
            </w:r>
          </w:p>
        </w:tc>
        <w:tc>
          <w:tcPr>
            <w:tcW w:w="588" w:type="pct"/>
            <w:vAlign w:val="center"/>
          </w:tcPr>
          <w:p w14:paraId="0E597A35"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19B1F83B"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5B8CB304"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FBC9A83" w14:textId="77777777" w:rsidR="00BE36FB" w:rsidRPr="009B7B35" w:rsidRDefault="00BE36FB" w:rsidP="001A7107">
            <w:pPr>
              <w:jc w:val="center"/>
              <w:rPr>
                <w:rFonts w:cs="Arial"/>
                <w:sz w:val="20"/>
                <w:szCs w:val="20"/>
                <w:lang w:val="en-US"/>
              </w:rPr>
            </w:pPr>
          </w:p>
        </w:tc>
      </w:tr>
      <w:tr w:rsidR="00BE36FB" w:rsidRPr="009B7B35" w14:paraId="1D21A166" w14:textId="77777777" w:rsidTr="001A7107">
        <w:tc>
          <w:tcPr>
            <w:tcW w:w="1512" w:type="pct"/>
          </w:tcPr>
          <w:p w14:paraId="7654CDBE" w14:textId="77777777" w:rsidR="00BE36FB" w:rsidRPr="009B7B35" w:rsidRDefault="00BE36FB" w:rsidP="001A7107">
            <w:pPr>
              <w:rPr>
                <w:rFonts w:cs="Arial"/>
                <w:sz w:val="20"/>
                <w:szCs w:val="20"/>
                <w:lang w:val="en-US"/>
              </w:rPr>
            </w:pPr>
            <w:r w:rsidRPr="009B7B35">
              <w:rPr>
                <w:rFonts w:cs="Arial"/>
                <w:sz w:val="20"/>
                <w:szCs w:val="20"/>
                <w:lang w:val="en-US"/>
              </w:rPr>
              <w:t>Cinnamomum oliveri</w:t>
            </w:r>
          </w:p>
        </w:tc>
        <w:tc>
          <w:tcPr>
            <w:tcW w:w="1137" w:type="pct"/>
          </w:tcPr>
          <w:p w14:paraId="2E65EE42" w14:textId="77777777" w:rsidR="00BE36FB" w:rsidRPr="009B7B35" w:rsidRDefault="00BE36FB" w:rsidP="001A7107">
            <w:pPr>
              <w:rPr>
                <w:rFonts w:cs="Arial"/>
                <w:sz w:val="20"/>
                <w:szCs w:val="20"/>
                <w:lang w:val="en-US"/>
              </w:rPr>
            </w:pPr>
            <w:r w:rsidRPr="009B7B35">
              <w:rPr>
                <w:rFonts w:cs="Arial"/>
                <w:sz w:val="20"/>
                <w:szCs w:val="20"/>
                <w:lang w:val="en-US"/>
              </w:rPr>
              <w:t>Oliver's sassafras</w:t>
            </w:r>
          </w:p>
        </w:tc>
        <w:tc>
          <w:tcPr>
            <w:tcW w:w="588" w:type="pct"/>
            <w:vAlign w:val="center"/>
          </w:tcPr>
          <w:p w14:paraId="177213C0"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0E6C61F4"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6EF67FC4"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1906FE7" w14:textId="77777777" w:rsidR="00BE36FB" w:rsidRPr="009B7B35" w:rsidRDefault="00BE36FB" w:rsidP="001A7107">
            <w:pPr>
              <w:jc w:val="center"/>
              <w:rPr>
                <w:rFonts w:cs="Arial"/>
                <w:sz w:val="20"/>
                <w:szCs w:val="20"/>
                <w:lang w:val="en-US"/>
              </w:rPr>
            </w:pPr>
          </w:p>
        </w:tc>
      </w:tr>
      <w:tr w:rsidR="00BE36FB" w:rsidRPr="009B7B35" w14:paraId="6F721601" w14:textId="77777777" w:rsidTr="001A7107">
        <w:tc>
          <w:tcPr>
            <w:tcW w:w="1512" w:type="pct"/>
          </w:tcPr>
          <w:p w14:paraId="2E398D8A" w14:textId="77777777" w:rsidR="00BE36FB" w:rsidRPr="009B7B35" w:rsidRDefault="00BE36FB" w:rsidP="001A7107">
            <w:pPr>
              <w:rPr>
                <w:rFonts w:cs="Arial"/>
                <w:sz w:val="20"/>
                <w:szCs w:val="20"/>
                <w:lang w:val="en-US"/>
              </w:rPr>
            </w:pPr>
            <w:r w:rsidRPr="009B7B35">
              <w:rPr>
                <w:rFonts w:cs="Arial"/>
                <w:sz w:val="20"/>
                <w:szCs w:val="20"/>
                <w:lang w:val="en-US"/>
              </w:rPr>
              <w:t>Cissus antarctica</w:t>
            </w:r>
          </w:p>
        </w:tc>
        <w:tc>
          <w:tcPr>
            <w:tcW w:w="1137" w:type="pct"/>
          </w:tcPr>
          <w:p w14:paraId="70F7B10C" w14:textId="77777777" w:rsidR="00BE36FB" w:rsidRPr="009B7B35" w:rsidRDefault="00BE36FB" w:rsidP="001A7107">
            <w:pPr>
              <w:rPr>
                <w:rFonts w:cs="Arial"/>
                <w:sz w:val="20"/>
                <w:szCs w:val="20"/>
                <w:lang w:val="en-US"/>
              </w:rPr>
            </w:pPr>
            <w:r w:rsidRPr="009B7B35">
              <w:rPr>
                <w:rFonts w:cs="Arial"/>
                <w:sz w:val="20"/>
                <w:szCs w:val="20"/>
                <w:lang w:val="en-US"/>
              </w:rPr>
              <w:t>Kangaroo Vine</w:t>
            </w:r>
          </w:p>
        </w:tc>
        <w:tc>
          <w:tcPr>
            <w:tcW w:w="588" w:type="pct"/>
            <w:vAlign w:val="center"/>
          </w:tcPr>
          <w:p w14:paraId="69500D9C" w14:textId="77777777" w:rsidR="00BE36FB" w:rsidRPr="009B7B35" w:rsidRDefault="00BE36FB" w:rsidP="001A7107">
            <w:pPr>
              <w:jc w:val="center"/>
              <w:rPr>
                <w:rFonts w:cs="Arial"/>
                <w:sz w:val="20"/>
                <w:szCs w:val="20"/>
                <w:lang w:val="en-US"/>
              </w:rPr>
            </w:pPr>
            <w:r w:rsidRPr="009B7B35">
              <w:rPr>
                <w:rFonts w:cs="Arial"/>
                <w:sz w:val="20"/>
                <w:szCs w:val="20"/>
                <w:lang w:val="en-US"/>
              </w:rPr>
              <w:t>Vine</w:t>
            </w:r>
          </w:p>
        </w:tc>
        <w:tc>
          <w:tcPr>
            <w:tcW w:w="588" w:type="pct"/>
            <w:vAlign w:val="center"/>
          </w:tcPr>
          <w:p w14:paraId="3F26FFA6" w14:textId="77777777" w:rsidR="00BE36FB" w:rsidRPr="009B7B35" w:rsidRDefault="00BE36FB" w:rsidP="001A7107">
            <w:pPr>
              <w:jc w:val="center"/>
              <w:rPr>
                <w:rFonts w:cs="Arial"/>
                <w:sz w:val="20"/>
                <w:szCs w:val="20"/>
                <w:lang w:val="en-US"/>
              </w:rPr>
            </w:pPr>
          </w:p>
        </w:tc>
        <w:tc>
          <w:tcPr>
            <w:tcW w:w="588" w:type="pct"/>
            <w:vAlign w:val="center"/>
          </w:tcPr>
          <w:p w14:paraId="562A654F"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37D7805" w14:textId="77777777" w:rsidR="00BE36FB" w:rsidRPr="009B7B35" w:rsidRDefault="00BE36FB" w:rsidP="001A7107">
            <w:pPr>
              <w:jc w:val="center"/>
              <w:rPr>
                <w:rFonts w:cs="Arial"/>
                <w:sz w:val="20"/>
                <w:szCs w:val="20"/>
                <w:lang w:val="en-US"/>
              </w:rPr>
            </w:pPr>
          </w:p>
        </w:tc>
      </w:tr>
      <w:tr w:rsidR="00BE36FB" w:rsidRPr="009B7B35" w14:paraId="0E6F1A8C" w14:textId="77777777" w:rsidTr="001A7107">
        <w:tc>
          <w:tcPr>
            <w:tcW w:w="1512" w:type="pct"/>
          </w:tcPr>
          <w:p w14:paraId="06C31B6E" w14:textId="77777777" w:rsidR="00BE36FB" w:rsidRPr="009B7B35" w:rsidRDefault="00BE36FB" w:rsidP="001A7107">
            <w:pPr>
              <w:rPr>
                <w:rFonts w:cs="Arial"/>
                <w:sz w:val="20"/>
                <w:szCs w:val="20"/>
                <w:lang w:val="en-US"/>
              </w:rPr>
            </w:pPr>
            <w:r w:rsidRPr="009B7B35">
              <w:rPr>
                <w:rFonts w:cs="Arial"/>
                <w:sz w:val="20"/>
                <w:szCs w:val="20"/>
                <w:lang w:val="en-US"/>
              </w:rPr>
              <w:t>Clerodendrum floribundum</w:t>
            </w:r>
          </w:p>
        </w:tc>
        <w:tc>
          <w:tcPr>
            <w:tcW w:w="1137" w:type="pct"/>
          </w:tcPr>
          <w:p w14:paraId="05FFF034" w14:textId="77777777" w:rsidR="00BE36FB" w:rsidRPr="009B7B35" w:rsidRDefault="00BE36FB" w:rsidP="001A7107">
            <w:pPr>
              <w:rPr>
                <w:rFonts w:cs="Arial"/>
                <w:sz w:val="20"/>
                <w:szCs w:val="20"/>
                <w:lang w:val="en-US"/>
              </w:rPr>
            </w:pPr>
            <w:r w:rsidRPr="009B7B35">
              <w:rPr>
                <w:rFonts w:cs="Arial"/>
                <w:sz w:val="20"/>
                <w:szCs w:val="20"/>
                <w:lang w:val="en-US"/>
              </w:rPr>
              <w:t>Lolly Bush</w:t>
            </w:r>
          </w:p>
        </w:tc>
        <w:tc>
          <w:tcPr>
            <w:tcW w:w="588" w:type="pct"/>
            <w:vAlign w:val="center"/>
          </w:tcPr>
          <w:p w14:paraId="46AEB8EE"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37F96B96"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76A12D4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0524007" w14:textId="77777777" w:rsidR="00BE36FB" w:rsidRPr="009B7B35" w:rsidRDefault="00BE36FB" w:rsidP="001A7107">
            <w:pPr>
              <w:jc w:val="center"/>
              <w:rPr>
                <w:rFonts w:cs="Arial"/>
                <w:sz w:val="20"/>
                <w:szCs w:val="20"/>
                <w:lang w:val="en-US"/>
              </w:rPr>
            </w:pPr>
          </w:p>
        </w:tc>
      </w:tr>
      <w:tr w:rsidR="00BE36FB" w:rsidRPr="009B7B35" w14:paraId="6539D798" w14:textId="77777777" w:rsidTr="001A7107">
        <w:tc>
          <w:tcPr>
            <w:tcW w:w="1512" w:type="pct"/>
          </w:tcPr>
          <w:p w14:paraId="575A23B5" w14:textId="77777777" w:rsidR="00BE36FB" w:rsidRPr="009B7B35" w:rsidRDefault="00BE36FB" w:rsidP="001A7107">
            <w:pPr>
              <w:rPr>
                <w:rFonts w:cs="Arial"/>
                <w:sz w:val="20"/>
                <w:szCs w:val="20"/>
                <w:lang w:val="en-US"/>
              </w:rPr>
            </w:pPr>
            <w:r w:rsidRPr="009B7B35">
              <w:rPr>
                <w:rFonts w:cs="Arial"/>
                <w:sz w:val="20"/>
                <w:szCs w:val="20"/>
                <w:lang w:val="en-US"/>
              </w:rPr>
              <w:t>Clerodendrum inerme</w:t>
            </w:r>
          </w:p>
        </w:tc>
        <w:tc>
          <w:tcPr>
            <w:tcW w:w="1137" w:type="pct"/>
          </w:tcPr>
          <w:p w14:paraId="3818AF18" w14:textId="77777777" w:rsidR="00BE36FB" w:rsidRPr="009B7B35" w:rsidRDefault="00BE36FB" w:rsidP="001A7107">
            <w:pPr>
              <w:rPr>
                <w:rFonts w:cs="Arial"/>
                <w:sz w:val="20"/>
                <w:szCs w:val="20"/>
                <w:lang w:val="en-US"/>
              </w:rPr>
            </w:pPr>
            <w:r w:rsidRPr="009B7B35">
              <w:rPr>
                <w:rFonts w:cs="Arial"/>
                <w:sz w:val="20"/>
                <w:szCs w:val="20"/>
                <w:lang w:val="en-US"/>
              </w:rPr>
              <w:t>Scrambling Clerodendrum</w:t>
            </w:r>
          </w:p>
        </w:tc>
        <w:tc>
          <w:tcPr>
            <w:tcW w:w="588" w:type="pct"/>
            <w:vAlign w:val="center"/>
          </w:tcPr>
          <w:p w14:paraId="26020B7B"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377F2668"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23F12A84"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5F8CF69" w14:textId="77777777" w:rsidR="00BE36FB" w:rsidRPr="009B7B35" w:rsidRDefault="00BE36FB" w:rsidP="001A7107">
            <w:pPr>
              <w:jc w:val="center"/>
              <w:rPr>
                <w:rFonts w:cs="Arial"/>
                <w:sz w:val="20"/>
                <w:szCs w:val="20"/>
                <w:lang w:val="en-US"/>
              </w:rPr>
            </w:pPr>
          </w:p>
        </w:tc>
      </w:tr>
      <w:tr w:rsidR="00BE36FB" w:rsidRPr="009B7B35" w14:paraId="070F5522" w14:textId="77777777" w:rsidTr="001A7107">
        <w:tc>
          <w:tcPr>
            <w:tcW w:w="1512" w:type="pct"/>
          </w:tcPr>
          <w:p w14:paraId="7710C426" w14:textId="77777777" w:rsidR="00BE36FB" w:rsidRPr="009B7B35" w:rsidRDefault="00BE36FB" w:rsidP="001A7107">
            <w:pPr>
              <w:rPr>
                <w:rFonts w:cs="Arial"/>
                <w:sz w:val="20"/>
                <w:szCs w:val="20"/>
                <w:lang w:val="en-US"/>
              </w:rPr>
            </w:pPr>
            <w:r w:rsidRPr="009B7B35">
              <w:rPr>
                <w:rFonts w:cs="Arial"/>
                <w:sz w:val="20"/>
                <w:szCs w:val="20"/>
                <w:lang w:val="en-US"/>
              </w:rPr>
              <w:t>Clivia miniata</w:t>
            </w:r>
          </w:p>
        </w:tc>
        <w:tc>
          <w:tcPr>
            <w:tcW w:w="1137" w:type="pct"/>
          </w:tcPr>
          <w:p w14:paraId="5941CF27" w14:textId="77777777" w:rsidR="00BE36FB" w:rsidRPr="009B7B35" w:rsidRDefault="00BE36FB" w:rsidP="001A7107">
            <w:pPr>
              <w:rPr>
                <w:rFonts w:cs="Arial"/>
                <w:sz w:val="20"/>
                <w:szCs w:val="20"/>
                <w:lang w:val="en-US"/>
              </w:rPr>
            </w:pPr>
          </w:p>
        </w:tc>
        <w:tc>
          <w:tcPr>
            <w:tcW w:w="588" w:type="pct"/>
            <w:vAlign w:val="center"/>
          </w:tcPr>
          <w:p w14:paraId="4CB4F3FE" w14:textId="77777777" w:rsidR="00BE36FB" w:rsidRPr="009B7B35" w:rsidRDefault="00BE36FB" w:rsidP="001A7107">
            <w:pPr>
              <w:jc w:val="center"/>
              <w:rPr>
                <w:rFonts w:cs="Arial"/>
                <w:sz w:val="20"/>
                <w:szCs w:val="20"/>
                <w:lang w:val="en-US"/>
              </w:rPr>
            </w:pPr>
          </w:p>
        </w:tc>
        <w:tc>
          <w:tcPr>
            <w:tcW w:w="588" w:type="pct"/>
            <w:vAlign w:val="center"/>
          </w:tcPr>
          <w:p w14:paraId="55013588" w14:textId="77777777" w:rsidR="00BE36FB" w:rsidRPr="009B7B35" w:rsidRDefault="00BE36FB" w:rsidP="001A7107">
            <w:pPr>
              <w:jc w:val="center"/>
              <w:rPr>
                <w:rFonts w:cs="Arial"/>
                <w:sz w:val="20"/>
                <w:szCs w:val="20"/>
                <w:lang w:val="en-US"/>
              </w:rPr>
            </w:pPr>
          </w:p>
        </w:tc>
        <w:tc>
          <w:tcPr>
            <w:tcW w:w="588" w:type="pct"/>
            <w:vAlign w:val="center"/>
          </w:tcPr>
          <w:p w14:paraId="2A6F8F94" w14:textId="77777777" w:rsidR="00BE36FB" w:rsidRPr="009B7B35" w:rsidRDefault="00BE36FB" w:rsidP="001A7107">
            <w:pPr>
              <w:jc w:val="center"/>
              <w:rPr>
                <w:rFonts w:cs="Arial"/>
                <w:sz w:val="20"/>
                <w:szCs w:val="20"/>
                <w:lang w:val="en-US"/>
              </w:rPr>
            </w:pPr>
          </w:p>
        </w:tc>
        <w:tc>
          <w:tcPr>
            <w:tcW w:w="587" w:type="pct"/>
            <w:vAlign w:val="center"/>
          </w:tcPr>
          <w:p w14:paraId="14E3ED32" w14:textId="77777777" w:rsidR="00BE36FB" w:rsidRPr="009B7B35" w:rsidRDefault="00BE36FB" w:rsidP="001A7107">
            <w:pPr>
              <w:jc w:val="center"/>
              <w:rPr>
                <w:rFonts w:cs="Arial"/>
                <w:sz w:val="20"/>
                <w:szCs w:val="20"/>
                <w:lang w:val="en-US"/>
              </w:rPr>
            </w:pPr>
          </w:p>
        </w:tc>
      </w:tr>
      <w:tr w:rsidR="00BE36FB" w:rsidRPr="009B7B35" w14:paraId="4F6D5176" w14:textId="77777777" w:rsidTr="001A7107">
        <w:tc>
          <w:tcPr>
            <w:tcW w:w="1512" w:type="pct"/>
          </w:tcPr>
          <w:p w14:paraId="7241B524" w14:textId="77777777" w:rsidR="00BE36FB" w:rsidRPr="009B7B35" w:rsidRDefault="00BE36FB" w:rsidP="001A7107">
            <w:pPr>
              <w:rPr>
                <w:rFonts w:cs="Arial"/>
                <w:sz w:val="20"/>
                <w:szCs w:val="20"/>
                <w:lang w:val="en-US"/>
              </w:rPr>
            </w:pPr>
            <w:r w:rsidRPr="009B7B35">
              <w:rPr>
                <w:rFonts w:cs="Arial"/>
                <w:sz w:val="20"/>
                <w:szCs w:val="20"/>
                <w:lang w:val="en-US"/>
              </w:rPr>
              <w:t>Commersonia bartramii</w:t>
            </w:r>
          </w:p>
        </w:tc>
        <w:tc>
          <w:tcPr>
            <w:tcW w:w="1137" w:type="pct"/>
          </w:tcPr>
          <w:p w14:paraId="5DCF2455" w14:textId="77777777" w:rsidR="00BE36FB" w:rsidRPr="009B7B35" w:rsidRDefault="00BE36FB" w:rsidP="001A7107">
            <w:pPr>
              <w:rPr>
                <w:rFonts w:cs="Arial"/>
                <w:sz w:val="20"/>
                <w:szCs w:val="20"/>
                <w:lang w:val="en-US"/>
              </w:rPr>
            </w:pPr>
            <w:r w:rsidRPr="009B7B35">
              <w:rPr>
                <w:rFonts w:cs="Arial"/>
                <w:sz w:val="20"/>
                <w:szCs w:val="20"/>
                <w:lang w:val="en-US"/>
              </w:rPr>
              <w:t>Brown Kurrajong</w:t>
            </w:r>
          </w:p>
        </w:tc>
        <w:tc>
          <w:tcPr>
            <w:tcW w:w="588" w:type="pct"/>
            <w:vAlign w:val="center"/>
          </w:tcPr>
          <w:p w14:paraId="6EB1AD43"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3150E21F"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06FF7FA1"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2CFF817" w14:textId="77777777" w:rsidR="00BE36FB" w:rsidRPr="009B7B35" w:rsidRDefault="00BE36FB" w:rsidP="001A7107">
            <w:pPr>
              <w:jc w:val="center"/>
              <w:rPr>
                <w:rFonts w:cs="Arial"/>
                <w:sz w:val="20"/>
                <w:szCs w:val="20"/>
                <w:lang w:val="en-US"/>
              </w:rPr>
            </w:pPr>
          </w:p>
        </w:tc>
      </w:tr>
      <w:tr w:rsidR="00BE36FB" w:rsidRPr="009B7B35" w14:paraId="06C47D3D" w14:textId="77777777" w:rsidTr="001A7107">
        <w:tc>
          <w:tcPr>
            <w:tcW w:w="1512" w:type="pct"/>
          </w:tcPr>
          <w:p w14:paraId="2FDB042B" w14:textId="77777777" w:rsidR="00BE36FB" w:rsidRPr="009B7B35" w:rsidRDefault="00BE36FB" w:rsidP="001A7107">
            <w:pPr>
              <w:rPr>
                <w:rFonts w:cs="Arial"/>
                <w:sz w:val="20"/>
                <w:szCs w:val="20"/>
                <w:lang w:val="en-US"/>
              </w:rPr>
            </w:pPr>
            <w:r w:rsidRPr="009B7B35">
              <w:rPr>
                <w:rFonts w:cs="Arial"/>
                <w:sz w:val="20"/>
                <w:szCs w:val="20"/>
                <w:lang w:val="en-US"/>
              </w:rPr>
              <w:t>Cordyline spp.</w:t>
            </w:r>
          </w:p>
        </w:tc>
        <w:tc>
          <w:tcPr>
            <w:tcW w:w="1137" w:type="pct"/>
          </w:tcPr>
          <w:p w14:paraId="003BB978" w14:textId="77777777" w:rsidR="00BE36FB" w:rsidRPr="009B7B35" w:rsidRDefault="00BE36FB" w:rsidP="001A7107">
            <w:pPr>
              <w:rPr>
                <w:rFonts w:cs="Arial"/>
                <w:sz w:val="20"/>
                <w:szCs w:val="20"/>
                <w:lang w:val="en-US"/>
              </w:rPr>
            </w:pPr>
          </w:p>
        </w:tc>
        <w:tc>
          <w:tcPr>
            <w:tcW w:w="588" w:type="pct"/>
            <w:vAlign w:val="center"/>
          </w:tcPr>
          <w:p w14:paraId="0E46EDE3"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5220E745"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5355270D"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4C7F9BD" w14:textId="77777777" w:rsidR="00BE36FB" w:rsidRPr="009B7B35" w:rsidRDefault="00BE36FB" w:rsidP="001A7107">
            <w:pPr>
              <w:jc w:val="center"/>
              <w:rPr>
                <w:rFonts w:cs="Arial"/>
                <w:sz w:val="20"/>
                <w:szCs w:val="20"/>
                <w:lang w:val="en-US"/>
              </w:rPr>
            </w:pPr>
          </w:p>
        </w:tc>
      </w:tr>
      <w:tr w:rsidR="00BE36FB" w:rsidRPr="009B7B35" w14:paraId="5A8B682A" w14:textId="77777777" w:rsidTr="001A7107">
        <w:tc>
          <w:tcPr>
            <w:tcW w:w="1512" w:type="pct"/>
          </w:tcPr>
          <w:p w14:paraId="3B053BC4" w14:textId="77777777" w:rsidR="00BE36FB" w:rsidRPr="009B7B35" w:rsidRDefault="00BE36FB" w:rsidP="001A7107">
            <w:pPr>
              <w:rPr>
                <w:rFonts w:cs="Arial"/>
                <w:sz w:val="20"/>
                <w:szCs w:val="20"/>
                <w:lang w:val="en-US"/>
              </w:rPr>
            </w:pPr>
            <w:r w:rsidRPr="009B7B35">
              <w:rPr>
                <w:rFonts w:cs="Arial"/>
                <w:sz w:val="20"/>
                <w:szCs w:val="20"/>
                <w:lang w:val="en-US"/>
              </w:rPr>
              <w:t>Corymbia citriodora</w:t>
            </w:r>
          </w:p>
        </w:tc>
        <w:tc>
          <w:tcPr>
            <w:tcW w:w="1137" w:type="pct"/>
          </w:tcPr>
          <w:p w14:paraId="52D2A74B" w14:textId="77777777" w:rsidR="00BE36FB" w:rsidRPr="009B7B35" w:rsidRDefault="00BE36FB" w:rsidP="001A7107">
            <w:pPr>
              <w:rPr>
                <w:rFonts w:cs="Arial"/>
                <w:sz w:val="20"/>
                <w:szCs w:val="20"/>
                <w:lang w:val="en-US"/>
              </w:rPr>
            </w:pPr>
            <w:r w:rsidRPr="009B7B35">
              <w:rPr>
                <w:rFonts w:cs="Arial"/>
                <w:sz w:val="20"/>
                <w:szCs w:val="20"/>
                <w:lang w:val="en-US"/>
              </w:rPr>
              <w:t>Spotted Gum</w:t>
            </w:r>
          </w:p>
        </w:tc>
        <w:tc>
          <w:tcPr>
            <w:tcW w:w="588" w:type="pct"/>
            <w:vAlign w:val="center"/>
          </w:tcPr>
          <w:p w14:paraId="7668C0F5" w14:textId="77777777" w:rsidR="00BE36FB" w:rsidRPr="009B7B35" w:rsidRDefault="00BE36FB" w:rsidP="001A7107">
            <w:pPr>
              <w:jc w:val="center"/>
              <w:rPr>
                <w:rFonts w:cs="Arial"/>
                <w:sz w:val="20"/>
                <w:szCs w:val="20"/>
                <w:lang w:val="en-US"/>
              </w:rPr>
            </w:pPr>
          </w:p>
        </w:tc>
        <w:tc>
          <w:tcPr>
            <w:tcW w:w="588" w:type="pct"/>
            <w:vAlign w:val="center"/>
          </w:tcPr>
          <w:p w14:paraId="2BBF799B" w14:textId="77777777" w:rsidR="00BE36FB" w:rsidRPr="009B7B35" w:rsidRDefault="00BE36FB" w:rsidP="001A7107">
            <w:pPr>
              <w:jc w:val="center"/>
              <w:rPr>
                <w:rFonts w:cs="Arial"/>
                <w:sz w:val="20"/>
                <w:szCs w:val="20"/>
                <w:lang w:val="en-US"/>
              </w:rPr>
            </w:pPr>
          </w:p>
        </w:tc>
        <w:tc>
          <w:tcPr>
            <w:tcW w:w="588" w:type="pct"/>
            <w:vAlign w:val="center"/>
          </w:tcPr>
          <w:p w14:paraId="6BA8F9DC" w14:textId="77777777" w:rsidR="00BE36FB" w:rsidRPr="009B7B35" w:rsidRDefault="00BE36FB" w:rsidP="001A7107">
            <w:pPr>
              <w:jc w:val="center"/>
              <w:rPr>
                <w:rFonts w:cs="Arial"/>
                <w:sz w:val="20"/>
                <w:szCs w:val="20"/>
                <w:lang w:val="en-US"/>
              </w:rPr>
            </w:pPr>
          </w:p>
        </w:tc>
        <w:tc>
          <w:tcPr>
            <w:tcW w:w="587" w:type="pct"/>
            <w:vAlign w:val="center"/>
          </w:tcPr>
          <w:p w14:paraId="4C8662DC" w14:textId="77777777" w:rsidR="00BE36FB" w:rsidRPr="009B7B35" w:rsidRDefault="00BE36FB" w:rsidP="001A7107">
            <w:pPr>
              <w:jc w:val="center"/>
              <w:rPr>
                <w:rFonts w:cs="Arial"/>
                <w:sz w:val="20"/>
                <w:szCs w:val="20"/>
                <w:lang w:val="en-US"/>
              </w:rPr>
            </w:pPr>
          </w:p>
        </w:tc>
      </w:tr>
      <w:tr w:rsidR="00BE36FB" w:rsidRPr="009B7B35" w14:paraId="5730C518" w14:textId="77777777" w:rsidTr="001A7107">
        <w:tc>
          <w:tcPr>
            <w:tcW w:w="1512" w:type="pct"/>
          </w:tcPr>
          <w:p w14:paraId="3127EFB8" w14:textId="77777777" w:rsidR="00BE36FB" w:rsidRPr="009B7B35" w:rsidRDefault="00BE36FB" w:rsidP="001A7107">
            <w:pPr>
              <w:rPr>
                <w:rFonts w:cs="Arial"/>
                <w:sz w:val="20"/>
                <w:szCs w:val="20"/>
                <w:lang w:val="en-US"/>
              </w:rPr>
            </w:pPr>
            <w:r w:rsidRPr="009B7B35">
              <w:rPr>
                <w:rFonts w:cs="Arial"/>
                <w:sz w:val="20"/>
                <w:szCs w:val="20"/>
                <w:lang w:val="en-US"/>
              </w:rPr>
              <w:t>Correa reflexa</w:t>
            </w:r>
          </w:p>
        </w:tc>
        <w:tc>
          <w:tcPr>
            <w:tcW w:w="1137" w:type="pct"/>
          </w:tcPr>
          <w:p w14:paraId="6424453A" w14:textId="77777777" w:rsidR="00BE36FB" w:rsidRPr="009B7B35" w:rsidRDefault="00BE36FB" w:rsidP="001A7107">
            <w:pPr>
              <w:rPr>
                <w:rFonts w:cs="Arial"/>
                <w:sz w:val="20"/>
                <w:szCs w:val="20"/>
                <w:lang w:val="en-US"/>
              </w:rPr>
            </w:pPr>
          </w:p>
        </w:tc>
        <w:tc>
          <w:tcPr>
            <w:tcW w:w="588" w:type="pct"/>
            <w:vAlign w:val="center"/>
          </w:tcPr>
          <w:p w14:paraId="5E80A4AD" w14:textId="77777777" w:rsidR="00BE36FB" w:rsidRPr="009B7B35" w:rsidRDefault="00BE36FB" w:rsidP="001A7107">
            <w:pPr>
              <w:jc w:val="center"/>
              <w:rPr>
                <w:rFonts w:cs="Arial"/>
                <w:sz w:val="20"/>
                <w:szCs w:val="20"/>
                <w:lang w:val="en-US"/>
              </w:rPr>
            </w:pPr>
          </w:p>
        </w:tc>
        <w:tc>
          <w:tcPr>
            <w:tcW w:w="588" w:type="pct"/>
            <w:vAlign w:val="center"/>
          </w:tcPr>
          <w:p w14:paraId="083A5C30" w14:textId="77777777" w:rsidR="00BE36FB" w:rsidRPr="009B7B35" w:rsidRDefault="00BE36FB" w:rsidP="001A7107">
            <w:pPr>
              <w:jc w:val="center"/>
              <w:rPr>
                <w:rFonts w:cs="Arial"/>
                <w:sz w:val="20"/>
                <w:szCs w:val="20"/>
                <w:lang w:val="en-US"/>
              </w:rPr>
            </w:pPr>
          </w:p>
        </w:tc>
        <w:tc>
          <w:tcPr>
            <w:tcW w:w="588" w:type="pct"/>
            <w:vAlign w:val="center"/>
          </w:tcPr>
          <w:p w14:paraId="41EF6106" w14:textId="77777777" w:rsidR="00BE36FB" w:rsidRPr="009B7B35" w:rsidRDefault="00BE36FB" w:rsidP="001A7107">
            <w:pPr>
              <w:jc w:val="center"/>
              <w:rPr>
                <w:rFonts w:cs="Arial"/>
                <w:sz w:val="20"/>
                <w:szCs w:val="20"/>
                <w:lang w:val="en-US"/>
              </w:rPr>
            </w:pPr>
          </w:p>
        </w:tc>
        <w:tc>
          <w:tcPr>
            <w:tcW w:w="587" w:type="pct"/>
            <w:vAlign w:val="center"/>
          </w:tcPr>
          <w:p w14:paraId="1769F6E1" w14:textId="77777777" w:rsidR="00BE36FB" w:rsidRPr="009B7B35" w:rsidRDefault="00BE36FB" w:rsidP="001A7107">
            <w:pPr>
              <w:jc w:val="center"/>
              <w:rPr>
                <w:rFonts w:cs="Arial"/>
                <w:sz w:val="20"/>
                <w:szCs w:val="20"/>
                <w:lang w:val="en-US"/>
              </w:rPr>
            </w:pPr>
          </w:p>
        </w:tc>
      </w:tr>
      <w:tr w:rsidR="00BE36FB" w:rsidRPr="009B7B35" w14:paraId="592D6104" w14:textId="77777777" w:rsidTr="001A7107">
        <w:tc>
          <w:tcPr>
            <w:tcW w:w="1512" w:type="pct"/>
          </w:tcPr>
          <w:p w14:paraId="0505FBC5" w14:textId="77777777" w:rsidR="00BE36FB" w:rsidRPr="009B7B35" w:rsidRDefault="00BE36FB" w:rsidP="001A7107">
            <w:pPr>
              <w:rPr>
                <w:rFonts w:cs="Arial"/>
                <w:sz w:val="20"/>
                <w:szCs w:val="20"/>
                <w:lang w:val="en-US"/>
              </w:rPr>
            </w:pPr>
            <w:r w:rsidRPr="009B7B35">
              <w:rPr>
                <w:rFonts w:cs="Arial"/>
                <w:sz w:val="20"/>
                <w:szCs w:val="20"/>
                <w:lang w:val="en-US"/>
              </w:rPr>
              <w:t>Corymbia intermedia</w:t>
            </w:r>
          </w:p>
        </w:tc>
        <w:tc>
          <w:tcPr>
            <w:tcW w:w="1137" w:type="pct"/>
          </w:tcPr>
          <w:p w14:paraId="51986412" w14:textId="77777777" w:rsidR="00BE36FB" w:rsidRPr="009B7B35" w:rsidRDefault="00BE36FB" w:rsidP="001A7107">
            <w:pPr>
              <w:rPr>
                <w:rFonts w:cs="Arial"/>
                <w:sz w:val="20"/>
                <w:szCs w:val="20"/>
                <w:lang w:val="en-US"/>
              </w:rPr>
            </w:pPr>
            <w:r w:rsidRPr="009B7B35">
              <w:rPr>
                <w:rFonts w:cs="Arial"/>
                <w:sz w:val="20"/>
                <w:szCs w:val="20"/>
                <w:lang w:val="en-US"/>
              </w:rPr>
              <w:t>Pink Bloodwood</w:t>
            </w:r>
          </w:p>
        </w:tc>
        <w:tc>
          <w:tcPr>
            <w:tcW w:w="588" w:type="pct"/>
            <w:vAlign w:val="center"/>
          </w:tcPr>
          <w:p w14:paraId="5E43E685"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6DEF704E"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15B4411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F311632" w14:textId="77777777" w:rsidR="00BE36FB" w:rsidRPr="009B7B35" w:rsidRDefault="00BE36FB" w:rsidP="001A7107">
            <w:pPr>
              <w:jc w:val="center"/>
              <w:rPr>
                <w:rFonts w:cs="Arial"/>
                <w:sz w:val="20"/>
                <w:szCs w:val="20"/>
                <w:lang w:val="en-US"/>
              </w:rPr>
            </w:pPr>
          </w:p>
        </w:tc>
      </w:tr>
      <w:tr w:rsidR="00BE36FB" w:rsidRPr="009B7B35" w14:paraId="6BB2D62F" w14:textId="77777777" w:rsidTr="001A7107">
        <w:tc>
          <w:tcPr>
            <w:tcW w:w="1512" w:type="pct"/>
          </w:tcPr>
          <w:p w14:paraId="3CEFC306" w14:textId="77777777" w:rsidR="00BE36FB" w:rsidRPr="009B7B35" w:rsidRDefault="00BE36FB" w:rsidP="001A7107">
            <w:pPr>
              <w:rPr>
                <w:rFonts w:cs="Arial"/>
                <w:sz w:val="20"/>
                <w:szCs w:val="20"/>
                <w:lang w:val="en-US"/>
              </w:rPr>
            </w:pPr>
            <w:r w:rsidRPr="009B7B35">
              <w:rPr>
                <w:rFonts w:cs="Arial"/>
                <w:sz w:val="20"/>
                <w:szCs w:val="20"/>
                <w:lang w:val="en-US"/>
              </w:rPr>
              <w:t>Crinum pedunculatum</w:t>
            </w:r>
          </w:p>
        </w:tc>
        <w:tc>
          <w:tcPr>
            <w:tcW w:w="1137" w:type="pct"/>
          </w:tcPr>
          <w:p w14:paraId="55199E96" w14:textId="77777777" w:rsidR="00BE36FB" w:rsidRPr="009B7B35" w:rsidRDefault="00BE36FB" w:rsidP="001A7107">
            <w:pPr>
              <w:rPr>
                <w:rFonts w:cs="Arial"/>
                <w:sz w:val="20"/>
                <w:szCs w:val="20"/>
                <w:lang w:val="en-US"/>
              </w:rPr>
            </w:pPr>
            <w:r w:rsidRPr="009B7B35">
              <w:rPr>
                <w:rFonts w:cs="Arial"/>
                <w:sz w:val="20"/>
                <w:szCs w:val="20"/>
                <w:lang w:val="en-US"/>
              </w:rPr>
              <w:t>Spider Lily / Crinum Lily</w:t>
            </w:r>
          </w:p>
        </w:tc>
        <w:tc>
          <w:tcPr>
            <w:tcW w:w="588" w:type="pct"/>
            <w:vAlign w:val="center"/>
          </w:tcPr>
          <w:p w14:paraId="52E5BF6D"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52ED97C1"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7FE3BB2C"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E90950C" w14:textId="77777777" w:rsidR="00BE36FB" w:rsidRPr="009B7B35" w:rsidRDefault="00BE36FB" w:rsidP="001A7107">
            <w:pPr>
              <w:jc w:val="center"/>
              <w:rPr>
                <w:rFonts w:cs="Arial"/>
                <w:sz w:val="20"/>
                <w:szCs w:val="20"/>
                <w:lang w:val="en-US"/>
              </w:rPr>
            </w:pPr>
          </w:p>
        </w:tc>
      </w:tr>
      <w:tr w:rsidR="00BE36FB" w:rsidRPr="009B7B35" w14:paraId="549EE006" w14:textId="77777777" w:rsidTr="001A7107">
        <w:tc>
          <w:tcPr>
            <w:tcW w:w="1512" w:type="pct"/>
          </w:tcPr>
          <w:p w14:paraId="46CFA755" w14:textId="77777777" w:rsidR="00BE36FB" w:rsidRPr="009B7B35" w:rsidRDefault="00BE36FB" w:rsidP="001A7107">
            <w:pPr>
              <w:rPr>
                <w:rFonts w:cs="Arial"/>
                <w:sz w:val="20"/>
                <w:szCs w:val="20"/>
                <w:lang w:val="en-US"/>
              </w:rPr>
            </w:pPr>
            <w:r w:rsidRPr="009B7B35">
              <w:rPr>
                <w:rFonts w:cs="Arial"/>
                <w:sz w:val="20"/>
                <w:szCs w:val="20"/>
                <w:lang w:val="en-US"/>
              </w:rPr>
              <w:t>Crowea exalta</w:t>
            </w:r>
          </w:p>
        </w:tc>
        <w:tc>
          <w:tcPr>
            <w:tcW w:w="1137" w:type="pct"/>
          </w:tcPr>
          <w:p w14:paraId="27535533" w14:textId="77777777" w:rsidR="00BE36FB" w:rsidRPr="009B7B35" w:rsidRDefault="00BE36FB" w:rsidP="001A7107">
            <w:pPr>
              <w:rPr>
                <w:rFonts w:cs="Arial"/>
                <w:sz w:val="20"/>
                <w:szCs w:val="20"/>
                <w:lang w:val="en-US"/>
              </w:rPr>
            </w:pPr>
            <w:r w:rsidRPr="009B7B35">
              <w:rPr>
                <w:rFonts w:cs="Arial"/>
                <w:sz w:val="20"/>
                <w:szCs w:val="20"/>
                <w:lang w:val="en-US"/>
              </w:rPr>
              <w:t>Small Crowea</w:t>
            </w:r>
          </w:p>
        </w:tc>
        <w:tc>
          <w:tcPr>
            <w:tcW w:w="588" w:type="pct"/>
            <w:vAlign w:val="center"/>
          </w:tcPr>
          <w:p w14:paraId="42F85FE4"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4D8389EA"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4A4EB8EA" w14:textId="77777777" w:rsidR="00BE36FB" w:rsidRPr="009B7B35" w:rsidRDefault="00BE36FB" w:rsidP="001A7107">
            <w:pPr>
              <w:jc w:val="center"/>
              <w:rPr>
                <w:rFonts w:cs="Arial"/>
                <w:sz w:val="20"/>
                <w:szCs w:val="20"/>
                <w:lang w:val="en-US"/>
              </w:rPr>
            </w:pPr>
          </w:p>
        </w:tc>
        <w:tc>
          <w:tcPr>
            <w:tcW w:w="587" w:type="pct"/>
            <w:vAlign w:val="center"/>
          </w:tcPr>
          <w:p w14:paraId="4918B9DB" w14:textId="77777777" w:rsidR="00BE36FB" w:rsidRPr="009B7B35" w:rsidRDefault="00BE36FB" w:rsidP="001A7107">
            <w:pPr>
              <w:jc w:val="center"/>
              <w:rPr>
                <w:rFonts w:cs="Arial"/>
                <w:sz w:val="20"/>
                <w:szCs w:val="20"/>
                <w:lang w:val="en-US"/>
              </w:rPr>
            </w:pPr>
          </w:p>
        </w:tc>
      </w:tr>
      <w:tr w:rsidR="00BE36FB" w:rsidRPr="009B7B35" w14:paraId="63E9AF28" w14:textId="77777777" w:rsidTr="001A7107">
        <w:tc>
          <w:tcPr>
            <w:tcW w:w="1512" w:type="pct"/>
          </w:tcPr>
          <w:p w14:paraId="6E051B5F" w14:textId="77777777" w:rsidR="00BE36FB" w:rsidRPr="009B7B35" w:rsidRDefault="00BE36FB" w:rsidP="001A7107">
            <w:pPr>
              <w:rPr>
                <w:rFonts w:cs="Arial"/>
                <w:sz w:val="20"/>
                <w:szCs w:val="20"/>
                <w:lang w:val="en-US"/>
              </w:rPr>
            </w:pPr>
            <w:r w:rsidRPr="009B7B35">
              <w:rPr>
                <w:rFonts w:cs="Arial"/>
                <w:sz w:val="20"/>
                <w:szCs w:val="20"/>
                <w:lang w:val="en-US"/>
              </w:rPr>
              <w:t>Cryptocarya glaucescens</w:t>
            </w:r>
          </w:p>
        </w:tc>
        <w:tc>
          <w:tcPr>
            <w:tcW w:w="1137" w:type="pct"/>
          </w:tcPr>
          <w:p w14:paraId="54F7F981" w14:textId="77777777" w:rsidR="00BE36FB" w:rsidRPr="009B7B35" w:rsidRDefault="00BE36FB" w:rsidP="001A7107">
            <w:pPr>
              <w:rPr>
                <w:rFonts w:cs="Arial"/>
                <w:sz w:val="20"/>
                <w:szCs w:val="20"/>
                <w:lang w:val="en-US"/>
              </w:rPr>
            </w:pPr>
            <w:r w:rsidRPr="009B7B35">
              <w:rPr>
                <w:rFonts w:cs="Arial"/>
                <w:sz w:val="20"/>
                <w:szCs w:val="20"/>
                <w:lang w:val="en-US"/>
              </w:rPr>
              <w:t>Laurel</w:t>
            </w:r>
          </w:p>
        </w:tc>
        <w:tc>
          <w:tcPr>
            <w:tcW w:w="588" w:type="pct"/>
            <w:vAlign w:val="center"/>
          </w:tcPr>
          <w:p w14:paraId="482BBC94"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50EE5720"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62914CE6"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B40116E" w14:textId="77777777" w:rsidR="00BE36FB" w:rsidRPr="009B7B35" w:rsidRDefault="00BE36FB" w:rsidP="001A7107">
            <w:pPr>
              <w:jc w:val="center"/>
              <w:rPr>
                <w:rFonts w:cs="Arial"/>
                <w:sz w:val="20"/>
                <w:szCs w:val="20"/>
                <w:lang w:val="en-US"/>
              </w:rPr>
            </w:pPr>
          </w:p>
        </w:tc>
      </w:tr>
      <w:tr w:rsidR="00BE36FB" w:rsidRPr="009B7B35" w14:paraId="664CADB9" w14:textId="77777777" w:rsidTr="001A7107">
        <w:tc>
          <w:tcPr>
            <w:tcW w:w="1512" w:type="pct"/>
          </w:tcPr>
          <w:p w14:paraId="16F177A9" w14:textId="77777777" w:rsidR="00BE36FB" w:rsidRPr="009B7B35" w:rsidRDefault="00BE36FB" w:rsidP="001A7107">
            <w:pPr>
              <w:rPr>
                <w:rFonts w:cs="Arial"/>
                <w:sz w:val="20"/>
                <w:szCs w:val="20"/>
                <w:lang w:val="en-US"/>
              </w:rPr>
            </w:pPr>
            <w:r w:rsidRPr="009B7B35">
              <w:rPr>
                <w:rFonts w:cs="Arial"/>
                <w:sz w:val="20"/>
                <w:szCs w:val="20"/>
                <w:lang w:val="en-US"/>
              </w:rPr>
              <w:t>Cryptocarya spp.</w:t>
            </w:r>
          </w:p>
        </w:tc>
        <w:tc>
          <w:tcPr>
            <w:tcW w:w="1137" w:type="pct"/>
          </w:tcPr>
          <w:p w14:paraId="488857F9" w14:textId="77777777" w:rsidR="00BE36FB" w:rsidRPr="009B7B35" w:rsidRDefault="00BE36FB" w:rsidP="001A7107">
            <w:pPr>
              <w:rPr>
                <w:rFonts w:cs="Arial"/>
                <w:sz w:val="20"/>
                <w:szCs w:val="20"/>
                <w:lang w:val="en-US"/>
              </w:rPr>
            </w:pPr>
            <w:r w:rsidRPr="009B7B35">
              <w:rPr>
                <w:rFonts w:cs="Arial"/>
                <w:sz w:val="20"/>
                <w:szCs w:val="20"/>
                <w:lang w:val="en-US"/>
              </w:rPr>
              <w:t>Laurel</w:t>
            </w:r>
          </w:p>
        </w:tc>
        <w:tc>
          <w:tcPr>
            <w:tcW w:w="588" w:type="pct"/>
            <w:vAlign w:val="center"/>
          </w:tcPr>
          <w:p w14:paraId="31A3D389"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74F6EDB5"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400A28C6"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0CAFCAF" w14:textId="77777777" w:rsidR="00BE36FB" w:rsidRPr="009B7B35" w:rsidRDefault="00BE36FB" w:rsidP="001A7107">
            <w:pPr>
              <w:jc w:val="center"/>
              <w:rPr>
                <w:rFonts w:cs="Arial"/>
                <w:sz w:val="20"/>
                <w:szCs w:val="20"/>
                <w:lang w:val="en-US"/>
              </w:rPr>
            </w:pPr>
          </w:p>
        </w:tc>
      </w:tr>
      <w:tr w:rsidR="00BE36FB" w:rsidRPr="009B7B35" w14:paraId="43C9D667" w14:textId="77777777" w:rsidTr="001A7107">
        <w:tc>
          <w:tcPr>
            <w:tcW w:w="1512" w:type="pct"/>
          </w:tcPr>
          <w:p w14:paraId="26B17E7B" w14:textId="77777777" w:rsidR="00BE36FB" w:rsidRPr="009B7B35" w:rsidRDefault="00BE36FB" w:rsidP="001A7107">
            <w:pPr>
              <w:rPr>
                <w:rFonts w:cs="Arial"/>
                <w:sz w:val="20"/>
                <w:szCs w:val="20"/>
                <w:lang w:val="en-US"/>
              </w:rPr>
            </w:pPr>
            <w:r w:rsidRPr="009B7B35">
              <w:rPr>
                <w:rFonts w:cs="Arial"/>
                <w:sz w:val="20"/>
                <w:szCs w:val="20"/>
                <w:lang w:val="en-US"/>
              </w:rPr>
              <w:t>Cryptocarya McDonaldii</w:t>
            </w:r>
          </w:p>
        </w:tc>
        <w:tc>
          <w:tcPr>
            <w:tcW w:w="1137" w:type="pct"/>
          </w:tcPr>
          <w:p w14:paraId="024DFA39" w14:textId="77777777" w:rsidR="00BE36FB" w:rsidRPr="009B7B35" w:rsidRDefault="00BE36FB" w:rsidP="001A7107">
            <w:pPr>
              <w:rPr>
                <w:rFonts w:cs="Arial"/>
                <w:sz w:val="20"/>
                <w:szCs w:val="20"/>
                <w:lang w:val="en-US"/>
              </w:rPr>
            </w:pPr>
            <w:r w:rsidRPr="009B7B35">
              <w:rPr>
                <w:rFonts w:cs="Arial"/>
                <w:sz w:val="20"/>
                <w:szCs w:val="20"/>
                <w:lang w:val="en-US"/>
              </w:rPr>
              <w:t>Brown Beech</w:t>
            </w:r>
          </w:p>
        </w:tc>
        <w:tc>
          <w:tcPr>
            <w:tcW w:w="588" w:type="pct"/>
            <w:vAlign w:val="center"/>
          </w:tcPr>
          <w:p w14:paraId="0484FF67"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7D46C9B7"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1FB56443"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CD43389" w14:textId="77777777" w:rsidR="00BE36FB" w:rsidRPr="009B7B35" w:rsidRDefault="00BE36FB" w:rsidP="001A7107">
            <w:pPr>
              <w:jc w:val="center"/>
              <w:rPr>
                <w:rFonts w:cs="Arial"/>
                <w:sz w:val="20"/>
                <w:szCs w:val="20"/>
                <w:lang w:val="en-US"/>
              </w:rPr>
            </w:pPr>
          </w:p>
        </w:tc>
      </w:tr>
      <w:tr w:rsidR="00BE36FB" w:rsidRPr="009B7B35" w14:paraId="426A21C2" w14:textId="77777777" w:rsidTr="001A7107">
        <w:tc>
          <w:tcPr>
            <w:tcW w:w="1512" w:type="pct"/>
          </w:tcPr>
          <w:p w14:paraId="3132F9C5" w14:textId="77777777" w:rsidR="00BE36FB" w:rsidRPr="009B7B35" w:rsidRDefault="00BE36FB" w:rsidP="001A7107">
            <w:pPr>
              <w:rPr>
                <w:rFonts w:cs="Arial"/>
                <w:sz w:val="20"/>
                <w:szCs w:val="20"/>
                <w:lang w:val="en-US"/>
              </w:rPr>
            </w:pPr>
            <w:r w:rsidRPr="009B7B35">
              <w:rPr>
                <w:rFonts w:cs="Arial"/>
                <w:sz w:val="20"/>
                <w:szCs w:val="20"/>
                <w:lang w:val="en-US"/>
              </w:rPr>
              <w:t>Cryptocarya triplinervis</w:t>
            </w:r>
          </w:p>
        </w:tc>
        <w:tc>
          <w:tcPr>
            <w:tcW w:w="1137" w:type="pct"/>
          </w:tcPr>
          <w:p w14:paraId="0BA4D7EE" w14:textId="77777777" w:rsidR="00BE36FB" w:rsidRPr="009B7B35" w:rsidRDefault="00BE36FB" w:rsidP="001A7107">
            <w:pPr>
              <w:rPr>
                <w:rFonts w:cs="Arial"/>
                <w:sz w:val="20"/>
                <w:szCs w:val="20"/>
                <w:lang w:val="en-US"/>
              </w:rPr>
            </w:pPr>
            <w:r w:rsidRPr="009B7B35">
              <w:rPr>
                <w:rFonts w:cs="Arial"/>
                <w:sz w:val="20"/>
                <w:szCs w:val="20"/>
                <w:lang w:val="en-US"/>
              </w:rPr>
              <w:t>Brown Laurel</w:t>
            </w:r>
          </w:p>
        </w:tc>
        <w:tc>
          <w:tcPr>
            <w:tcW w:w="588" w:type="pct"/>
            <w:vAlign w:val="center"/>
          </w:tcPr>
          <w:p w14:paraId="4DFC8560"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6B958B64"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63115B29"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BE31A06" w14:textId="77777777" w:rsidR="00BE36FB" w:rsidRPr="009B7B35" w:rsidRDefault="00BE36FB" w:rsidP="001A7107">
            <w:pPr>
              <w:jc w:val="center"/>
              <w:rPr>
                <w:rFonts w:cs="Arial"/>
                <w:sz w:val="20"/>
                <w:szCs w:val="20"/>
                <w:lang w:val="en-US"/>
              </w:rPr>
            </w:pPr>
          </w:p>
        </w:tc>
      </w:tr>
      <w:tr w:rsidR="00BE36FB" w:rsidRPr="009B7B35" w14:paraId="414C3E81" w14:textId="77777777" w:rsidTr="001A7107">
        <w:tc>
          <w:tcPr>
            <w:tcW w:w="1512" w:type="pct"/>
          </w:tcPr>
          <w:p w14:paraId="7C9DF78C" w14:textId="77777777" w:rsidR="00BE36FB" w:rsidRPr="009B7B35" w:rsidRDefault="00BE36FB" w:rsidP="001A7107">
            <w:pPr>
              <w:rPr>
                <w:rFonts w:cs="Arial"/>
                <w:sz w:val="20"/>
                <w:szCs w:val="20"/>
                <w:lang w:val="en-US"/>
              </w:rPr>
            </w:pPr>
            <w:r w:rsidRPr="009B7B35">
              <w:rPr>
                <w:rFonts w:cs="Arial"/>
                <w:sz w:val="20"/>
                <w:szCs w:val="20"/>
                <w:lang w:val="en-US"/>
              </w:rPr>
              <w:t>Cupaniopsis anacardioides</w:t>
            </w:r>
          </w:p>
        </w:tc>
        <w:tc>
          <w:tcPr>
            <w:tcW w:w="1137" w:type="pct"/>
          </w:tcPr>
          <w:p w14:paraId="532EC186" w14:textId="77777777" w:rsidR="00BE36FB" w:rsidRPr="009B7B35" w:rsidRDefault="00BE36FB" w:rsidP="001A7107">
            <w:pPr>
              <w:rPr>
                <w:rFonts w:cs="Arial"/>
                <w:sz w:val="20"/>
                <w:szCs w:val="20"/>
                <w:lang w:val="en-US"/>
              </w:rPr>
            </w:pPr>
            <w:r w:rsidRPr="009B7B35">
              <w:rPr>
                <w:rFonts w:cs="Arial"/>
                <w:sz w:val="20"/>
                <w:szCs w:val="20"/>
                <w:lang w:val="en-US"/>
              </w:rPr>
              <w:t>Tuckeroo / Cupania</w:t>
            </w:r>
          </w:p>
        </w:tc>
        <w:tc>
          <w:tcPr>
            <w:tcW w:w="588" w:type="pct"/>
            <w:vAlign w:val="center"/>
          </w:tcPr>
          <w:p w14:paraId="43C321B3"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2FF098B6"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3C1F38F0"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4D81938"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3940607C" wp14:editId="75C23A81">
                  <wp:extent cx="180000" cy="180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62BE7C60" w14:textId="77777777" w:rsidTr="001A7107">
        <w:tc>
          <w:tcPr>
            <w:tcW w:w="1512" w:type="pct"/>
          </w:tcPr>
          <w:p w14:paraId="2506A771" w14:textId="77777777" w:rsidR="00BE36FB" w:rsidRPr="009B7B35" w:rsidRDefault="00BE36FB" w:rsidP="001A7107">
            <w:pPr>
              <w:rPr>
                <w:rFonts w:cs="Arial"/>
                <w:sz w:val="20"/>
                <w:szCs w:val="20"/>
                <w:lang w:val="en-US"/>
              </w:rPr>
            </w:pPr>
            <w:r w:rsidRPr="009B7B35">
              <w:rPr>
                <w:rFonts w:cs="Arial"/>
                <w:sz w:val="20"/>
                <w:szCs w:val="20"/>
                <w:lang w:val="en-US"/>
              </w:rPr>
              <w:t>Cupaniopsis spp.</w:t>
            </w:r>
          </w:p>
        </w:tc>
        <w:tc>
          <w:tcPr>
            <w:tcW w:w="1137" w:type="pct"/>
          </w:tcPr>
          <w:p w14:paraId="0B5265F5" w14:textId="77777777" w:rsidR="00BE36FB" w:rsidRPr="009B7B35" w:rsidRDefault="00BE36FB" w:rsidP="001A7107">
            <w:pPr>
              <w:rPr>
                <w:rFonts w:cs="Arial"/>
                <w:sz w:val="20"/>
                <w:szCs w:val="20"/>
                <w:lang w:val="en-US"/>
              </w:rPr>
            </w:pPr>
            <w:r w:rsidRPr="009B7B35">
              <w:rPr>
                <w:rFonts w:cs="Arial"/>
                <w:sz w:val="20"/>
                <w:szCs w:val="20"/>
                <w:lang w:val="en-US"/>
              </w:rPr>
              <w:t>Tuckeroo / Cupania</w:t>
            </w:r>
          </w:p>
        </w:tc>
        <w:tc>
          <w:tcPr>
            <w:tcW w:w="588" w:type="pct"/>
            <w:vAlign w:val="center"/>
          </w:tcPr>
          <w:p w14:paraId="731E1B8D"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6513EF39"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48CD596A"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8EC0D14" w14:textId="77777777" w:rsidR="00BE36FB" w:rsidRPr="009B7B35" w:rsidRDefault="00BE36FB" w:rsidP="001A7107">
            <w:pPr>
              <w:jc w:val="center"/>
              <w:rPr>
                <w:rFonts w:cs="Arial"/>
                <w:sz w:val="20"/>
                <w:szCs w:val="20"/>
                <w:lang w:val="en-US"/>
              </w:rPr>
            </w:pPr>
          </w:p>
        </w:tc>
      </w:tr>
      <w:tr w:rsidR="00BE36FB" w:rsidRPr="009B7B35" w14:paraId="1B669AEC" w14:textId="77777777" w:rsidTr="001A7107">
        <w:tc>
          <w:tcPr>
            <w:tcW w:w="1512" w:type="pct"/>
          </w:tcPr>
          <w:p w14:paraId="40B64CFC" w14:textId="77777777" w:rsidR="00BE36FB" w:rsidRPr="009B7B35" w:rsidRDefault="00BE36FB" w:rsidP="001A7107">
            <w:pPr>
              <w:rPr>
                <w:rFonts w:cs="Arial"/>
                <w:sz w:val="20"/>
                <w:szCs w:val="20"/>
                <w:lang w:val="en-US"/>
              </w:rPr>
            </w:pPr>
            <w:r w:rsidRPr="009B7B35">
              <w:rPr>
                <w:rFonts w:cs="Arial"/>
                <w:sz w:val="20"/>
                <w:szCs w:val="20"/>
                <w:lang w:val="en-US"/>
              </w:rPr>
              <w:t>Cyathea cooperi</w:t>
            </w:r>
          </w:p>
        </w:tc>
        <w:tc>
          <w:tcPr>
            <w:tcW w:w="1137" w:type="pct"/>
          </w:tcPr>
          <w:p w14:paraId="2CB43EC8" w14:textId="77777777" w:rsidR="00BE36FB" w:rsidRPr="009B7B35" w:rsidRDefault="00BE36FB" w:rsidP="001A7107">
            <w:pPr>
              <w:rPr>
                <w:rFonts w:cs="Arial"/>
                <w:sz w:val="20"/>
                <w:szCs w:val="20"/>
                <w:lang w:val="en-US"/>
              </w:rPr>
            </w:pPr>
            <w:r w:rsidRPr="009B7B35">
              <w:rPr>
                <w:rFonts w:cs="Arial"/>
                <w:sz w:val="20"/>
                <w:szCs w:val="20"/>
                <w:lang w:val="en-US"/>
              </w:rPr>
              <w:t>Tree Fern</w:t>
            </w:r>
          </w:p>
        </w:tc>
        <w:tc>
          <w:tcPr>
            <w:tcW w:w="588" w:type="pct"/>
            <w:vAlign w:val="center"/>
          </w:tcPr>
          <w:p w14:paraId="19D95354"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415E7ABB"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6097412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5AA9017" w14:textId="77777777" w:rsidR="00BE36FB" w:rsidRPr="009B7B35" w:rsidRDefault="00BE36FB" w:rsidP="001A7107">
            <w:pPr>
              <w:jc w:val="center"/>
              <w:rPr>
                <w:rFonts w:cs="Arial"/>
                <w:sz w:val="20"/>
                <w:szCs w:val="20"/>
                <w:lang w:val="en-US"/>
              </w:rPr>
            </w:pPr>
          </w:p>
        </w:tc>
      </w:tr>
      <w:tr w:rsidR="00BE36FB" w:rsidRPr="009B7B35" w14:paraId="6283EFD0" w14:textId="77777777" w:rsidTr="001A7107">
        <w:tc>
          <w:tcPr>
            <w:tcW w:w="1512" w:type="pct"/>
          </w:tcPr>
          <w:p w14:paraId="4A521E09" w14:textId="77777777" w:rsidR="00BE36FB" w:rsidRPr="009B7B35" w:rsidRDefault="00BE36FB" w:rsidP="001A7107">
            <w:pPr>
              <w:rPr>
                <w:rFonts w:cs="Arial"/>
                <w:sz w:val="20"/>
                <w:szCs w:val="20"/>
                <w:lang w:val="en-US"/>
              </w:rPr>
            </w:pPr>
            <w:r w:rsidRPr="009B7B35">
              <w:rPr>
                <w:rFonts w:cs="Arial"/>
                <w:sz w:val="20"/>
                <w:szCs w:val="20"/>
                <w:lang w:val="en-US"/>
              </w:rPr>
              <w:t>Cymbopogon ambiguus</w:t>
            </w:r>
          </w:p>
        </w:tc>
        <w:tc>
          <w:tcPr>
            <w:tcW w:w="1137" w:type="pct"/>
          </w:tcPr>
          <w:p w14:paraId="4B5711FD" w14:textId="77777777" w:rsidR="00BE36FB" w:rsidRPr="009B7B35" w:rsidRDefault="00BE36FB" w:rsidP="001A7107">
            <w:pPr>
              <w:rPr>
                <w:rFonts w:cs="Arial"/>
                <w:sz w:val="20"/>
                <w:szCs w:val="20"/>
                <w:lang w:val="en-US"/>
              </w:rPr>
            </w:pPr>
            <w:r w:rsidRPr="009B7B35">
              <w:rPr>
                <w:rFonts w:cs="Arial"/>
                <w:sz w:val="20"/>
                <w:szCs w:val="20"/>
                <w:lang w:val="en-US"/>
              </w:rPr>
              <w:t>Lemon Scented Grass</w:t>
            </w:r>
          </w:p>
        </w:tc>
        <w:tc>
          <w:tcPr>
            <w:tcW w:w="588" w:type="pct"/>
            <w:vAlign w:val="center"/>
          </w:tcPr>
          <w:p w14:paraId="665A0521"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2683A43F"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2340D5E3" w14:textId="77777777" w:rsidR="00BE36FB" w:rsidRPr="009B7B35" w:rsidRDefault="00BE36FB" w:rsidP="001A7107">
            <w:pPr>
              <w:jc w:val="center"/>
              <w:rPr>
                <w:rFonts w:cs="Arial"/>
                <w:sz w:val="20"/>
                <w:szCs w:val="20"/>
                <w:lang w:val="en-US"/>
              </w:rPr>
            </w:pPr>
          </w:p>
        </w:tc>
        <w:tc>
          <w:tcPr>
            <w:tcW w:w="587" w:type="pct"/>
            <w:vAlign w:val="center"/>
          </w:tcPr>
          <w:p w14:paraId="095A2682" w14:textId="77777777" w:rsidR="00BE36FB" w:rsidRPr="009B7B35" w:rsidRDefault="00BE36FB" w:rsidP="001A7107">
            <w:pPr>
              <w:jc w:val="center"/>
              <w:rPr>
                <w:rFonts w:cs="Arial"/>
                <w:sz w:val="20"/>
                <w:szCs w:val="20"/>
                <w:lang w:val="en-US"/>
              </w:rPr>
            </w:pPr>
          </w:p>
        </w:tc>
      </w:tr>
      <w:tr w:rsidR="00BE36FB" w:rsidRPr="009B7B35" w14:paraId="6FD81CC4" w14:textId="77777777" w:rsidTr="001A7107">
        <w:tc>
          <w:tcPr>
            <w:tcW w:w="1512" w:type="pct"/>
          </w:tcPr>
          <w:p w14:paraId="7A93ED4E" w14:textId="77777777" w:rsidR="00BE36FB" w:rsidRPr="009B7B35" w:rsidRDefault="00BE36FB" w:rsidP="001A7107">
            <w:pPr>
              <w:rPr>
                <w:rFonts w:cs="Arial"/>
                <w:sz w:val="20"/>
                <w:szCs w:val="20"/>
                <w:lang w:val="en-US"/>
              </w:rPr>
            </w:pPr>
            <w:r w:rsidRPr="009B7B35">
              <w:rPr>
                <w:rFonts w:cs="Arial"/>
                <w:sz w:val="20"/>
                <w:szCs w:val="20"/>
                <w:lang w:val="en-US"/>
              </w:rPr>
              <w:t>Cymbopogon refractus</w:t>
            </w:r>
          </w:p>
        </w:tc>
        <w:tc>
          <w:tcPr>
            <w:tcW w:w="1137" w:type="pct"/>
          </w:tcPr>
          <w:p w14:paraId="1803B503" w14:textId="77777777" w:rsidR="00BE36FB" w:rsidRPr="009B7B35" w:rsidRDefault="00BE36FB" w:rsidP="001A7107">
            <w:pPr>
              <w:rPr>
                <w:rFonts w:cs="Arial"/>
                <w:sz w:val="20"/>
                <w:szCs w:val="20"/>
                <w:lang w:val="en-US"/>
              </w:rPr>
            </w:pPr>
            <w:r w:rsidRPr="009B7B35">
              <w:rPr>
                <w:rFonts w:cs="Arial"/>
                <w:sz w:val="20"/>
                <w:szCs w:val="20"/>
                <w:lang w:val="en-US"/>
              </w:rPr>
              <w:t>Barbed Wire Grass</w:t>
            </w:r>
          </w:p>
        </w:tc>
        <w:tc>
          <w:tcPr>
            <w:tcW w:w="588" w:type="pct"/>
            <w:vAlign w:val="center"/>
          </w:tcPr>
          <w:p w14:paraId="6143E850"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0534360F"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3F0A8DA1"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2E82B77" w14:textId="77777777" w:rsidR="00BE36FB" w:rsidRPr="009B7B35" w:rsidRDefault="00BE36FB" w:rsidP="001A7107">
            <w:pPr>
              <w:jc w:val="center"/>
              <w:rPr>
                <w:rFonts w:cs="Arial"/>
                <w:sz w:val="20"/>
                <w:szCs w:val="20"/>
                <w:lang w:val="en-US"/>
              </w:rPr>
            </w:pPr>
          </w:p>
        </w:tc>
      </w:tr>
      <w:tr w:rsidR="00BE36FB" w:rsidRPr="009B7B35" w14:paraId="2B90F4C1" w14:textId="77777777" w:rsidTr="001A7107">
        <w:tc>
          <w:tcPr>
            <w:tcW w:w="1512" w:type="pct"/>
          </w:tcPr>
          <w:p w14:paraId="50D46F4E" w14:textId="77777777" w:rsidR="00BE36FB" w:rsidRPr="009B7B35" w:rsidRDefault="00BE36FB" w:rsidP="001A7107">
            <w:pPr>
              <w:rPr>
                <w:rFonts w:cs="Arial"/>
                <w:sz w:val="20"/>
                <w:szCs w:val="20"/>
                <w:lang w:val="en-US"/>
              </w:rPr>
            </w:pPr>
            <w:r w:rsidRPr="009B7B35">
              <w:rPr>
                <w:rFonts w:cs="Arial"/>
                <w:sz w:val="20"/>
                <w:szCs w:val="20"/>
                <w:lang w:val="en-US"/>
              </w:rPr>
              <w:t>Dampiera hederacea</w:t>
            </w:r>
          </w:p>
        </w:tc>
        <w:tc>
          <w:tcPr>
            <w:tcW w:w="1137" w:type="pct"/>
          </w:tcPr>
          <w:p w14:paraId="00BEF6F4" w14:textId="77777777" w:rsidR="00BE36FB" w:rsidRPr="009B7B35" w:rsidRDefault="00BE36FB" w:rsidP="001A7107">
            <w:pPr>
              <w:rPr>
                <w:rFonts w:cs="Arial"/>
                <w:sz w:val="20"/>
                <w:szCs w:val="20"/>
                <w:lang w:val="en-US"/>
              </w:rPr>
            </w:pPr>
          </w:p>
        </w:tc>
        <w:tc>
          <w:tcPr>
            <w:tcW w:w="588" w:type="pct"/>
            <w:vAlign w:val="center"/>
          </w:tcPr>
          <w:p w14:paraId="3914AC88"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692BB898"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4D5586B2" w14:textId="77777777" w:rsidR="00BE36FB" w:rsidRPr="009B7B35" w:rsidRDefault="00BE36FB" w:rsidP="001A7107">
            <w:pPr>
              <w:jc w:val="center"/>
              <w:rPr>
                <w:rFonts w:cs="Arial"/>
                <w:sz w:val="20"/>
                <w:szCs w:val="20"/>
                <w:lang w:val="en-US"/>
              </w:rPr>
            </w:pPr>
          </w:p>
        </w:tc>
        <w:tc>
          <w:tcPr>
            <w:tcW w:w="587" w:type="pct"/>
            <w:vAlign w:val="center"/>
          </w:tcPr>
          <w:p w14:paraId="651D2E95" w14:textId="77777777" w:rsidR="00BE36FB" w:rsidRPr="009B7B35" w:rsidRDefault="00BE36FB" w:rsidP="001A7107">
            <w:pPr>
              <w:jc w:val="center"/>
              <w:rPr>
                <w:rFonts w:cs="Arial"/>
                <w:sz w:val="20"/>
                <w:szCs w:val="20"/>
                <w:lang w:val="en-US"/>
              </w:rPr>
            </w:pPr>
          </w:p>
        </w:tc>
      </w:tr>
      <w:tr w:rsidR="00BE36FB" w:rsidRPr="009B7B35" w14:paraId="0ED0DF1A" w14:textId="77777777" w:rsidTr="001A7107">
        <w:tc>
          <w:tcPr>
            <w:tcW w:w="1512" w:type="pct"/>
          </w:tcPr>
          <w:p w14:paraId="730A55CB" w14:textId="77777777" w:rsidR="00BE36FB" w:rsidRPr="009B7B35" w:rsidRDefault="00BE36FB" w:rsidP="001A7107">
            <w:pPr>
              <w:rPr>
                <w:rFonts w:cs="Arial"/>
                <w:sz w:val="20"/>
                <w:szCs w:val="20"/>
                <w:lang w:val="en-US"/>
              </w:rPr>
            </w:pPr>
            <w:r w:rsidRPr="009B7B35">
              <w:rPr>
                <w:rFonts w:cs="Arial"/>
                <w:sz w:val="20"/>
                <w:szCs w:val="20"/>
                <w:lang w:val="en-US"/>
              </w:rPr>
              <w:t>Dampiera purpurea</w:t>
            </w:r>
          </w:p>
        </w:tc>
        <w:tc>
          <w:tcPr>
            <w:tcW w:w="1137" w:type="pct"/>
          </w:tcPr>
          <w:p w14:paraId="6E8A4A19" w14:textId="77777777" w:rsidR="00BE36FB" w:rsidRPr="009B7B35" w:rsidRDefault="00BE36FB" w:rsidP="001A7107">
            <w:pPr>
              <w:rPr>
                <w:rFonts w:cs="Arial"/>
                <w:sz w:val="20"/>
                <w:szCs w:val="20"/>
                <w:lang w:val="en-US"/>
              </w:rPr>
            </w:pPr>
          </w:p>
        </w:tc>
        <w:tc>
          <w:tcPr>
            <w:tcW w:w="588" w:type="pct"/>
            <w:vAlign w:val="center"/>
          </w:tcPr>
          <w:p w14:paraId="4A499CF0" w14:textId="77777777" w:rsidR="00BE36FB" w:rsidRPr="009B7B35" w:rsidRDefault="00BE36FB" w:rsidP="001A7107">
            <w:pPr>
              <w:jc w:val="center"/>
              <w:rPr>
                <w:rFonts w:cs="Arial"/>
                <w:sz w:val="20"/>
                <w:szCs w:val="20"/>
                <w:lang w:val="en-US"/>
              </w:rPr>
            </w:pPr>
          </w:p>
        </w:tc>
        <w:tc>
          <w:tcPr>
            <w:tcW w:w="588" w:type="pct"/>
            <w:vAlign w:val="center"/>
          </w:tcPr>
          <w:p w14:paraId="051686C5" w14:textId="77777777" w:rsidR="00BE36FB" w:rsidRPr="009B7B35" w:rsidRDefault="00BE36FB" w:rsidP="001A7107">
            <w:pPr>
              <w:jc w:val="center"/>
              <w:rPr>
                <w:rFonts w:cs="Arial"/>
                <w:sz w:val="20"/>
                <w:szCs w:val="20"/>
                <w:lang w:val="en-US"/>
              </w:rPr>
            </w:pPr>
          </w:p>
        </w:tc>
        <w:tc>
          <w:tcPr>
            <w:tcW w:w="588" w:type="pct"/>
            <w:vAlign w:val="center"/>
          </w:tcPr>
          <w:p w14:paraId="4C3CF667" w14:textId="77777777" w:rsidR="00BE36FB" w:rsidRPr="009B7B35" w:rsidRDefault="00BE36FB" w:rsidP="001A7107">
            <w:pPr>
              <w:jc w:val="center"/>
              <w:rPr>
                <w:rFonts w:cs="Arial"/>
                <w:sz w:val="20"/>
                <w:szCs w:val="20"/>
                <w:lang w:val="en-US"/>
              </w:rPr>
            </w:pPr>
          </w:p>
        </w:tc>
        <w:tc>
          <w:tcPr>
            <w:tcW w:w="587" w:type="pct"/>
            <w:vAlign w:val="center"/>
          </w:tcPr>
          <w:p w14:paraId="59C5A828" w14:textId="77777777" w:rsidR="00BE36FB" w:rsidRPr="009B7B35" w:rsidRDefault="00BE36FB" w:rsidP="001A7107">
            <w:pPr>
              <w:jc w:val="center"/>
              <w:rPr>
                <w:rFonts w:cs="Arial"/>
                <w:sz w:val="20"/>
                <w:szCs w:val="20"/>
                <w:lang w:val="en-US"/>
              </w:rPr>
            </w:pPr>
          </w:p>
        </w:tc>
      </w:tr>
      <w:tr w:rsidR="00BE36FB" w:rsidRPr="009B7B35" w14:paraId="4D551E28" w14:textId="77777777" w:rsidTr="001A7107">
        <w:tc>
          <w:tcPr>
            <w:tcW w:w="1512" w:type="pct"/>
          </w:tcPr>
          <w:p w14:paraId="7E0B9061" w14:textId="77777777" w:rsidR="00BE36FB" w:rsidRPr="009B7B35" w:rsidRDefault="00BE36FB" w:rsidP="001A7107">
            <w:pPr>
              <w:rPr>
                <w:rFonts w:cs="Arial"/>
                <w:sz w:val="20"/>
                <w:szCs w:val="20"/>
                <w:lang w:val="en-US"/>
              </w:rPr>
            </w:pPr>
            <w:r w:rsidRPr="009B7B35">
              <w:rPr>
                <w:rFonts w:cs="Arial"/>
                <w:sz w:val="20"/>
                <w:szCs w:val="20"/>
                <w:lang w:val="en-US"/>
              </w:rPr>
              <w:t>Dampiera stricta</w:t>
            </w:r>
          </w:p>
        </w:tc>
        <w:tc>
          <w:tcPr>
            <w:tcW w:w="1137" w:type="pct"/>
          </w:tcPr>
          <w:p w14:paraId="1CAED253" w14:textId="77777777" w:rsidR="00BE36FB" w:rsidRPr="009B7B35" w:rsidRDefault="00BE36FB" w:rsidP="001A7107">
            <w:pPr>
              <w:rPr>
                <w:rFonts w:cs="Arial"/>
                <w:sz w:val="20"/>
                <w:szCs w:val="20"/>
                <w:lang w:val="en-US"/>
              </w:rPr>
            </w:pPr>
          </w:p>
        </w:tc>
        <w:tc>
          <w:tcPr>
            <w:tcW w:w="588" w:type="pct"/>
            <w:vAlign w:val="center"/>
          </w:tcPr>
          <w:p w14:paraId="79C78201"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75D367FB"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4A48FFB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D861EB6" w14:textId="77777777" w:rsidR="00BE36FB" w:rsidRPr="009B7B35" w:rsidRDefault="00BE36FB" w:rsidP="001A7107">
            <w:pPr>
              <w:jc w:val="center"/>
              <w:rPr>
                <w:rFonts w:cs="Arial"/>
                <w:sz w:val="20"/>
                <w:szCs w:val="20"/>
                <w:lang w:val="en-US"/>
              </w:rPr>
            </w:pPr>
          </w:p>
        </w:tc>
      </w:tr>
      <w:tr w:rsidR="00BE36FB" w:rsidRPr="009B7B35" w14:paraId="5130F3F9" w14:textId="77777777" w:rsidTr="001A7107">
        <w:tc>
          <w:tcPr>
            <w:tcW w:w="1512" w:type="pct"/>
          </w:tcPr>
          <w:p w14:paraId="5572D00D" w14:textId="77777777" w:rsidR="00BE36FB" w:rsidRPr="009B7B35" w:rsidRDefault="00BE36FB" w:rsidP="001A7107">
            <w:pPr>
              <w:rPr>
                <w:rFonts w:cs="Arial"/>
                <w:sz w:val="20"/>
                <w:szCs w:val="20"/>
                <w:lang w:val="en-US"/>
              </w:rPr>
            </w:pPr>
            <w:r w:rsidRPr="009B7B35">
              <w:rPr>
                <w:rFonts w:cs="Arial"/>
                <w:sz w:val="20"/>
                <w:szCs w:val="20"/>
                <w:lang w:val="en-US"/>
              </w:rPr>
              <w:t>Danthonia racemosa</w:t>
            </w:r>
          </w:p>
        </w:tc>
        <w:tc>
          <w:tcPr>
            <w:tcW w:w="1137" w:type="pct"/>
          </w:tcPr>
          <w:p w14:paraId="30A475AA" w14:textId="77777777" w:rsidR="00BE36FB" w:rsidRPr="009B7B35" w:rsidRDefault="00BE36FB" w:rsidP="001A7107">
            <w:pPr>
              <w:rPr>
                <w:rFonts w:cs="Arial"/>
                <w:sz w:val="20"/>
                <w:szCs w:val="20"/>
                <w:lang w:val="en-US"/>
              </w:rPr>
            </w:pPr>
            <w:r w:rsidRPr="009B7B35">
              <w:rPr>
                <w:rFonts w:cs="Arial"/>
                <w:sz w:val="20"/>
                <w:szCs w:val="20"/>
                <w:lang w:val="en-US"/>
              </w:rPr>
              <w:t>Wallaby Grass</w:t>
            </w:r>
          </w:p>
        </w:tc>
        <w:tc>
          <w:tcPr>
            <w:tcW w:w="588" w:type="pct"/>
            <w:vAlign w:val="center"/>
          </w:tcPr>
          <w:p w14:paraId="3042C6A9"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0CCC1B50"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0D407E58" w14:textId="77777777" w:rsidR="00BE36FB" w:rsidRPr="009B7B35" w:rsidRDefault="00BE36FB" w:rsidP="001A7107">
            <w:pPr>
              <w:jc w:val="center"/>
              <w:rPr>
                <w:rFonts w:cs="Arial"/>
                <w:sz w:val="20"/>
                <w:szCs w:val="20"/>
                <w:lang w:val="en-US"/>
              </w:rPr>
            </w:pPr>
          </w:p>
        </w:tc>
        <w:tc>
          <w:tcPr>
            <w:tcW w:w="587" w:type="pct"/>
            <w:vAlign w:val="center"/>
          </w:tcPr>
          <w:p w14:paraId="7E3BA4DF" w14:textId="77777777" w:rsidR="00BE36FB" w:rsidRPr="009B7B35" w:rsidRDefault="00BE36FB" w:rsidP="001A7107">
            <w:pPr>
              <w:jc w:val="center"/>
              <w:rPr>
                <w:rFonts w:cs="Arial"/>
                <w:sz w:val="20"/>
                <w:szCs w:val="20"/>
                <w:lang w:val="en-US"/>
              </w:rPr>
            </w:pPr>
          </w:p>
        </w:tc>
      </w:tr>
      <w:tr w:rsidR="00BE36FB" w:rsidRPr="009B7B35" w14:paraId="0C1F637B" w14:textId="77777777" w:rsidTr="001A7107">
        <w:tc>
          <w:tcPr>
            <w:tcW w:w="1512" w:type="pct"/>
          </w:tcPr>
          <w:p w14:paraId="5E0C8620" w14:textId="77777777" w:rsidR="00BE36FB" w:rsidRPr="009B7B35" w:rsidRDefault="00BE36FB" w:rsidP="001A7107">
            <w:pPr>
              <w:rPr>
                <w:rFonts w:cs="Arial"/>
                <w:sz w:val="20"/>
                <w:szCs w:val="20"/>
                <w:lang w:val="en-US"/>
              </w:rPr>
            </w:pPr>
            <w:r w:rsidRPr="009B7B35">
              <w:rPr>
                <w:rFonts w:cs="Arial"/>
                <w:sz w:val="20"/>
                <w:szCs w:val="20"/>
                <w:lang w:val="en-US"/>
              </w:rPr>
              <w:t>Darlingia darlingiana</w:t>
            </w:r>
          </w:p>
        </w:tc>
        <w:tc>
          <w:tcPr>
            <w:tcW w:w="1137" w:type="pct"/>
          </w:tcPr>
          <w:p w14:paraId="21825E55" w14:textId="77777777" w:rsidR="00BE36FB" w:rsidRPr="009B7B35" w:rsidRDefault="00BE36FB" w:rsidP="001A7107">
            <w:pPr>
              <w:rPr>
                <w:rFonts w:cs="Arial"/>
                <w:sz w:val="20"/>
                <w:szCs w:val="20"/>
                <w:lang w:val="en-US"/>
              </w:rPr>
            </w:pPr>
            <w:r w:rsidRPr="009B7B35">
              <w:rPr>
                <w:rFonts w:cs="Arial"/>
                <w:sz w:val="20"/>
                <w:szCs w:val="20"/>
                <w:lang w:val="en-US"/>
              </w:rPr>
              <w:t>Brown Silky Oak</w:t>
            </w:r>
          </w:p>
        </w:tc>
        <w:tc>
          <w:tcPr>
            <w:tcW w:w="588" w:type="pct"/>
            <w:vAlign w:val="center"/>
          </w:tcPr>
          <w:p w14:paraId="21699B27"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6B71EA74"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0C3C4254"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7EC9506D" w14:textId="77777777" w:rsidR="00BE36FB" w:rsidRPr="009B7B35" w:rsidRDefault="00BE36FB" w:rsidP="001A7107">
            <w:pPr>
              <w:jc w:val="center"/>
              <w:rPr>
                <w:rFonts w:cs="Arial"/>
                <w:sz w:val="20"/>
                <w:szCs w:val="20"/>
                <w:lang w:val="en-US"/>
              </w:rPr>
            </w:pPr>
          </w:p>
        </w:tc>
      </w:tr>
      <w:tr w:rsidR="00BE36FB" w:rsidRPr="009B7B35" w14:paraId="4FB3EE9E" w14:textId="77777777" w:rsidTr="001A7107">
        <w:tc>
          <w:tcPr>
            <w:tcW w:w="1512" w:type="pct"/>
          </w:tcPr>
          <w:p w14:paraId="2B381F28" w14:textId="77777777" w:rsidR="00BE36FB" w:rsidRPr="009B7B35" w:rsidRDefault="00BE36FB" w:rsidP="001A7107">
            <w:pPr>
              <w:rPr>
                <w:rFonts w:cs="Arial"/>
                <w:sz w:val="20"/>
                <w:szCs w:val="20"/>
                <w:lang w:val="en-US"/>
              </w:rPr>
            </w:pPr>
            <w:r w:rsidRPr="009B7B35">
              <w:rPr>
                <w:rFonts w:cs="Arial"/>
                <w:sz w:val="20"/>
                <w:szCs w:val="20"/>
                <w:lang w:val="en-US"/>
              </w:rPr>
              <w:t>Darwinia spp.</w:t>
            </w:r>
          </w:p>
          <w:p w14:paraId="23100139" w14:textId="77777777" w:rsidR="00BE36FB" w:rsidRPr="009B7B35" w:rsidRDefault="00BE36FB" w:rsidP="001A7107">
            <w:pPr>
              <w:rPr>
                <w:rFonts w:cs="Arial"/>
                <w:sz w:val="20"/>
                <w:szCs w:val="20"/>
                <w:lang w:val="en-US"/>
              </w:rPr>
            </w:pPr>
            <w:r w:rsidRPr="009B7B35">
              <w:rPr>
                <w:rFonts w:cs="Arial"/>
                <w:sz w:val="20"/>
                <w:szCs w:val="20"/>
                <w:lang w:val="en-US"/>
              </w:rPr>
              <w:t>(suggested D. fraserianum, muelleri)</w:t>
            </w:r>
          </w:p>
        </w:tc>
        <w:tc>
          <w:tcPr>
            <w:tcW w:w="1137" w:type="pct"/>
          </w:tcPr>
          <w:p w14:paraId="380BAA52" w14:textId="77777777" w:rsidR="00BE36FB" w:rsidRPr="009B7B35" w:rsidRDefault="00BE36FB" w:rsidP="001A7107">
            <w:pPr>
              <w:rPr>
                <w:rFonts w:cs="Arial"/>
                <w:sz w:val="20"/>
                <w:szCs w:val="20"/>
                <w:lang w:val="en-US"/>
              </w:rPr>
            </w:pPr>
          </w:p>
        </w:tc>
        <w:tc>
          <w:tcPr>
            <w:tcW w:w="588" w:type="pct"/>
            <w:vAlign w:val="center"/>
          </w:tcPr>
          <w:p w14:paraId="3291D1A0"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1F23A5B1"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3598447A" w14:textId="77777777" w:rsidR="00BE36FB" w:rsidRPr="009B7B35" w:rsidRDefault="00BE36FB" w:rsidP="001A7107">
            <w:pPr>
              <w:jc w:val="center"/>
              <w:rPr>
                <w:rFonts w:cs="Arial"/>
                <w:sz w:val="20"/>
                <w:szCs w:val="20"/>
                <w:lang w:val="en-US"/>
              </w:rPr>
            </w:pPr>
          </w:p>
        </w:tc>
        <w:tc>
          <w:tcPr>
            <w:tcW w:w="587" w:type="pct"/>
            <w:vAlign w:val="center"/>
          </w:tcPr>
          <w:p w14:paraId="2D87D99C" w14:textId="77777777" w:rsidR="00BE36FB" w:rsidRPr="009B7B35" w:rsidRDefault="00BE36FB" w:rsidP="001A7107">
            <w:pPr>
              <w:jc w:val="center"/>
              <w:rPr>
                <w:rFonts w:cs="Arial"/>
                <w:sz w:val="20"/>
                <w:szCs w:val="20"/>
                <w:lang w:val="en-US"/>
              </w:rPr>
            </w:pPr>
          </w:p>
        </w:tc>
      </w:tr>
      <w:tr w:rsidR="00BE36FB" w:rsidRPr="009B7B35" w14:paraId="791D56E8" w14:textId="77777777" w:rsidTr="001A7107">
        <w:tc>
          <w:tcPr>
            <w:tcW w:w="1512" w:type="pct"/>
          </w:tcPr>
          <w:p w14:paraId="44D5FF09" w14:textId="77777777" w:rsidR="00BE36FB" w:rsidRPr="009B7B35" w:rsidRDefault="00BE36FB" w:rsidP="001A7107">
            <w:pPr>
              <w:rPr>
                <w:rFonts w:cs="Arial"/>
                <w:sz w:val="20"/>
                <w:szCs w:val="20"/>
                <w:lang w:val="en-US"/>
              </w:rPr>
            </w:pPr>
            <w:r w:rsidRPr="009B7B35">
              <w:rPr>
                <w:rFonts w:cs="Arial"/>
                <w:sz w:val="20"/>
                <w:szCs w:val="20"/>
                <w:lang w:val="en-US"/>
              </w:rPr>
              <w:t>Davallia pyxidata</w:t>
            </w:r>
          </w:p>
        </w:tc>
        <w:tc>
          <w:tcPr>
            <w:tcW w:w="1137" w:type="pct"/>
          </w:tcPr>
          <w:p w14:paraId="60A5DBBA" w14:textId="77777777" w:rsidR="00BE36FB" w:rsidRPr="009B7B35" w:rsidRDefault="00BE36FB" w:rsidP="001A7107">
            <w:pPr>
              <w:rPr>
                <w:rFonts w:cs="Arial"/>
                <w:sz w:val="20"/>
                <w:szCs w:val="20"/>
                <w:lang w:val="en-US"/>
              </w:rPr>
            </w:pPr>
            <w:r w:rsidRPr="009B7B35">
              <w:rPr>
                <w:rFonts w:cs="Arial"/>
                <w:sz w:val="20"/>
                <w:szCs w:val="20"/>
                <w:lang w:val="en-US"/>
              </w:rPr>
              <w:t>Fleur Lily</w:t>
            </w:r>
          </w:p>
        </w:tc>
        <w:tc>
          <w:tcPr>
            <w:tcW w:w="588" w:type="pct"/>
            <w:vAlign w:val="center"/>
          </w:tcPr>
          <w:p w14:paraId="55EB5825"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40A15AA9"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091FC95C"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37C783C" w14:textId="77777777" w:rsidR="00BE36FB" w:rsidRPr="009B7B35" w:rsidRDefault="00BE36FB" w:rsidP="001A7107">
            <w:pPr>
              <w:jc w:val="center"/>
              <w:rPr>
                <w:rFonts w:cs="Arial"/>
                <w:sz w:val="20"/>
                <w:szCs w:val="20"/>
                <w:lang w:val="en-US"/>
              </w:rPr>
            </w:pPr>
          </w:p>
        </w:tc>
      </w:tr>
      <w:tr w:rsidR="00BE36FB" w:rsidRPr="009B7B35" w14:paraId="1305E1CD" w14:textId="77777777" w:rsidTr="001A7107">
        <w:tc>
          <w:tcPr>
            <w:tcW w:w="1512" w:type="pct"/>
          </w:tcPr>
          <w:p w14:paraId="759BFC90" w14:textId="77777777" w:rsidR="00BE36FB" w:rsidRPr="009B7B35" w:rsidRDefault="00BE36FB" w:rsidP="001A7107">
            <w:pPr>
              <w:rPr>
                <w:rFonts w:cs="Arial"/>
                <w:sz w:val="20"/>
                <w:szCs w:val="20"/>
                <w:lang w:val="en-US"/>
              </w:rPr>
            </w:pPr>
            <w:r w:rsidRPr="009B7B35">
              <w:rPr>
                <w:rFonts w:cs="Arial"/>
                <w:sz w:val="20"/>
                <w:szCs w:val="20"/>
                <w:lang w:val="en-US"/>
              </w:rPr>
              <w:t>Davidsonia pruriens</w:t>
            </w:r>
          </w:p>
        </w:tc>
        <w:tc>
          <w:tcPr>
            <w:tcW w:w="1137" w:type="pct"/>
          </w:tcPr>
          <w:p w14:paraId="7C350AEF" w14:textId="77777777" w:rsidR="00BE36FB" w:rsidRPr="009B7B35" w:rsidRDefault="00BE36FB" w:rsidP="001A7107">
            <w:pPr>
              <w:rPr>
                <w:rFonts w:cs="Arial"/>
                <w:sz w:val="20"/>
                <w:szCs w:val="20"/>
                <w:lang w:val="en-US"/>
              </w:rPr>
            </w:pPr>
            <w:r w:rsidRPr="009B7B35">
              <w:rPr>
                <w:rFonts w:cs="Arial"/>
                <w:sz w:val="20"/>
                <w:szCs w:val="20"/>
                <w:lang w:val="en-US"/>
              </w:rPr>
              <w:t>Davidson Plum</w:t>
            </w:r>
          </w:p>
        </w:tc>
        <w:tc>
          <w:tcPr>
            <w:tcW w:w="588" w:type="pct"/>
            <w:vAlign w:val="center"/>
          </w:tcPr>
          <w:p w14:paraId="19F15EF3"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5BD447F3"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79D90D8A" w14:textId="77777777" w:rsidR="00BE36FB" w:rsidRPr="009B7B35" w:rsidRDefault="00BE36FB" w:rsidP="001A7107">
            <w:pPr>
              <w:jc w:val="center"/>
              <w:rPr>
                <w:rFonts w:cs="Arial"/>
                <w:sz w:val="20"/>
                <w:szCs w:val="20"/>
                <w:lang w:val="en-US"/>
              </w:rPr>
            </w:pPr>
          </w:p>
        </w:tc>
        <w:tc>
          <w:tcPr>
            <w:tcW w:w="587" w:type="pct"/>
            <w:vAlign w:val="center"/>
          </w:tcPr>
          <w:p w14:paraId="16E9664A" w14:textId="77777777" w:rsidR="00BE36FB" w:rsidRPr="009B7B35" w:rsidRDefault="00BE36FB" w:rsidP="001A7107">
            <w:pPr>
              <w:jc w:val="center"/>
              <w:rPr>
                <w:rFonts w:cs="Arial"/>
                <w:sz w:val="20"/>
                <w:szCs w:val="20"/>
                <w:lang w:val="en-US"/>
              </w:rPr>
            </w:pPr>
          </w:p>
        </w:tc>
      </w:tr>
      <w:tr w:rsidR="00BE36FB" w:rsidRPr="009B7B35" w14:paraId="12E66D44" w14:textId="77777777" w:rsidTr="001A7107">
        <w:tc>
          <w:tcPr>
            <w:tcW w:w="1512" w:type="pct"/>
          </w:tcPr>
          <w:p w14:paraId="63B442CC" w14:textId="77777777" w:rsidR="00BE36FB" w:rsidRPr="009B7B35" w:rsidRDefault="00BE36FB" w:rsidP="001A7107">
            <w:pPr>
              <w:rPr>
                <w:rFonts w:cs="Arial"/>
                <w:sz w:val="20"/>
                <w:szCs w:val="20"/>
                <w:lang w:val="en-US"/>
              </w:rPr>
            </w:pPr>
            <w:r w:rsidRPr="009B7B35">
              <w:rPr>
                <w:rFonts w:cs="Arial"/>
                <w:sz w:val="20"/>
                <w:szCs w:val="20"/>
                <w:lang w:val="en-US"/>
              </w:rPr>
              <w:t>Dianella caerulea</w:t>
            </w:r>
          </w:p>
        </w:tc>
        <w:tc>
          <w:tcPr>
            <w:tcW w:w="1137" w:type="pct"/>
          </w:tcPr>
          <w:p w14:paraId="15737756" w14:textId="77777777" w:rsidR="00BE36FB" w:rsidRPr="009B7B35" w:rsidRDefault="00BE36FB" w:rsidP="001A7107">
            <w:pPr>
              <w:rPr>
                <w:rFonts w:cs="Arial"/>
                <w:sz w:val="20"/>
                <w:szCs w:val="20"/>
                <w:lang w:val="en-US"/>
              </w:rPr>
            </w:pPr>
            <w:r w:rsidRPr="009B7B35">
              <w:rPr>
                <w:rFonts w:cs="Arial"/>
                <w:sz w:val="20"/>
                <w:szCs w:val="20"/>
                <w:lang w:val="en-US"/>
              </w:rPr>
              <w:t>Flax Lily</w:t>
            </w:r>
          </w:p>
        </w:tc>
        <w:tc>
          <w:tcPr>
            <w:tcW w:w="588" w:type="pct"/>
            <w:vAlign w:val="center"/>
          </w:tcPr>
          <w:p w14:paraId="09B5CEF3"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1ED0F64E"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5185C063" w14:textId="77777777" w:rsidR="00BE36FB" w:rsidRPr="009B7B35" w:rsidRDefault="00BE36FB" w:rsidP="001A7107">
            <w:pPr>
              <w:jc w:val="center"/>
              <w:rPr>
                <w:rFonts w:cs="Arial"/>
                <w:sz w:val="20"/>
                <w:szCs w:val="20"/>
                <w:lang w:val="en-US"/>
              </w:rPr>
            </w:pPr>
          </w:p>
        </w:tc>
        <w:tc>
          <w:tcPr>
            <w:tcW w:w="587" w:type="pct"/>
            <w:vAlign w:val="center"/>
          </w:tcPr>
          <w:p w14:paraId="13327CB2" w14:textId="77777777" w:rsidR="00BE36FB" w:rsidRPr="009B7B35" w:rsidRDefault="00BE36FB" w:rsidP="001A7107">
            <w:pPr>
              <w:jc w:val="center"/>
              <w:rPr>
                <w:rFonts w:cs="Arial"/>
                <w:sz w:val="20"/>
                <w:szCs w:val="20"/>
                <w:lang w:val="en-US"/>
              </w:rPr>
            </w:pPr>
          </w:p>
        </w:tc>
      </w:tr>
      <w:tr w:rsidR="00BE36FB" w:rsidRPr="009B7B35" w14:paraId="3E214A35" w14:textId="77777777" w:rsidTr="001A7107">
        <w:tc>
          <w:tcPr>
            <w:tcW w:w="1512" w:type="pct"/>
          </w:tcPr>
          <w:p w14:paraId="2CFA90D0" w14:textId="77777777" w:rsidR="00BE36FB" w:rsidRPr="009B7B35" w:rsidRDefault="00BE36FB" w:rsidP="001A7107">
            <w:pPr>
              <w:rPr>
                <w:rFonts w:cs="Arial"/>
                <w:sz w:val="20"/>
                <w:szCs w:val="20"/>
                <w:lang w:val="en-US"/>
              </w:rPr>
            </w:pPr>
            <w:r w:rsidRPr="009B7B35">
              <w:rPr>
                <w:rFonts w:cs="Arial"/>
                <w:sz w:val="20"/>
                <w:szCs w:val="20"/>
                <w:lang w:val="en-US"/>
              </w:rPr>
              <w:t>Dianthus hybrids</w:t>
            </w:r>
          </w:p>
        </w:tc>
        <w:tc>
          <w:tcPr>
            <w:tcW w:w="1137" w:type="pct"/>
          </w:tcPr>
          <w:p w14:paraId="23923D80" w14:textId="77777777" w:rsidR="00BE36FB" w:rsidRPr="009B7B35" w:rsidRDefault="00BE36FB" w:rsidP="001A7107">
            <w:pPr>
              <w:rPr>
                <w:rFonts w:cs="Arial"/>
                <w:sz w:val="20"/>
                <w:szCs w:val="20"/>
                <w:lang w:val="en-US"/>
              </w:rPr>
            </w:pPr>
          </w:p>
        </w:tc>
        <w:tc>
          <w:tcPr>
            <w:tcW w:w="588" w:type="pct"/>
            <w:vAlign w:val="center"/>
          </w:tcPr>
          <w:p w14:paraId="3C4E2B58" w14:textId="77777777" w:rsidR="00BE36FB" w:rsidRPr="009B7B35" w:rsidRDefault="00BE36FB" w:rsidP="001A7107">
            <w:pPr>
              <w:jc w:val="center"/>
              <w:rPr>
                <w:rFonts w:cs="Arial"/>
                <w:sz w:val="20"/>
                <w:szCs w:val="20"/>
                <w:lang w:val="en-US"/>
              </w:rPr>
            </w:pPr>
          </w:p>
        </w:tc>
        <w:tc>
          <w:tcPr>
            <w:tcW w:w="588" w:type="pct"/>
            <w:vAlign w:val="center"/>
          </w:tcPr>
          <w:p w14:paraId="1DE1B2A0" w14:textId="77777777" w:rsidR="00BE36FB" w:rsidRPr="009B7B35" w:rsidRDefault="00BE36FB" w:rsidP="001A7107">
            <w:pPr>
              <w:jc w:val="center"/>
              <w:rPr>
                <w:rFonts w:cs="Arial"/>
                <w:sz w:val="20"/>
                <w:szCs w:val="20"/>
                <w:lang w:val="en-US"/>
              </w:rPr>
            </w:pPr>
          </w:p>
        </w:tc>
        <w:tc>
          <w:tcPr>
            <w:tcW w:w="588" w:type="pct"/>
            <w:vAlign w:val="center"/>
          </w:tcPr>
          <w:p w14:paraId="768E6DED" w14:textId="77777777" w:rsidR="00BE36FB" w:rsidRPr="009B7B35" w:rsidRDefault="00BE36FB" w:rsidP="001A7107">
            <w:pPr>
              <w:jc w:val="center"/>
              <w:rPr>
                <w:rFonts w:cs="Arial"/>
                <w:sz w:val="20"/>
                <w:szCs w:val="20"/>
                <w:lang w:val="en-US"/>
              </w:rPr>
            </w:pPr>
          </w:p>
        </w:tc>
        <w:tc>
          <w:tcPr>
            <w:tcW w:w="587" w:type="pct"/>
            <w:vAlign w:val="center"/>
          </w:tcPr>
          <w:p w14:paraId="511C1A14" w14:textId="77777777" w:rsidR="00BE36FB" w:rsidRPr="009B7B35" w:rsidRDefault="00BE36FB" w:rsidP="001A7107">
            <w:pPr>
              <w:jc w:val="center"/>
              <w:rPr>
                <w:rFonts w:cs="Arial"/>
                <w:sz w:val="20"/>
                <w:szCs w:val="20"/>
                <w:lang w:val="en-US"/>
              </w:rPr>
            </w:pPr>
          </w:p>
        </w:tc>
      </w:tr>
      <w:tr w:rsidR="00BE36FB" w:rsidRPr="009B7B35" w14:paraId="149C908C" w14:textId="77777777" w:rsidTr="001A7107">
        <w:tc>
          <w:tcPr>
            <w:tcW w:w="1512" w:type="pct"/>
          </w:tcPr>
          <w:p w14:paraId="1E289E09" w14:textId="77777777" w:rsidR="00BE36FB" w:rsidRPr="009B7B35" w:rsidRDefault="00BE36FB" w:rsidP="001A7107">
            <w:pPr>
              <w:rPr>
                <w:rFonts w:cs="Arial"/>
                <w:sz w:val="20"/>
                <w:szCs w:val="20"/>
                <w:lang w:val="en-US"/>
              </w:rPr>
            </w:pPr>
            <w:r w:rsidRPr="009B7B35">
              <w:rPr>
                <w:rFonts w:cs="Arial"/>
                <w:sz w:val="20"/>
                <w:szCs w:val="20"/>
                <w:lang w:val="en-US"/>
              </w:rPr>
              <w:t>Dicanthium sericeum</w:t>
            </w:r>
          </w:p>
        </w:tc>
        <w:tc>
          <w:tcPr>
            <w:tcW w:w="1137" w:type="pct"/>
          </w:tcPr>
          <w:p w14:paraId="17437D63" w14:textId="77777777" w:rsidR="00BE36FB" w:rsidRPr="009B7B35" w:rsidRDefault="00BE36FB" w:rsidP="001A7107">
            <w:pPr>
              <w:rPr>
                <w:rFonts w:cs="Arial"/>
                <w:sz w:val="20"/>
                <w:szCs w:val="20"/>
                <w:lang w:val="en-US"/>
              </w:rPr>
            </w:pPr>
            <w:r w:rsidRPr="009B7B35">
              <w:rPr>
                <w:rFonts w:cs="Arial"/>
                <w:sz w:val="20"/>
                <w:szCs w:val="20"/>
                <w:lang w:val="en-US"/>
              </w:rPr>
              <w:t>Queensland Blue Grass</w:t>
            </w:r>
          </w:p>
        </w:tc>
        <w:tc>
          <w:tcPr>
            <w:tcW w:w="588" w:type="pct"/>
            <w:vAlign w:val="center"/>
          </w:tcPr>
          <w:p w14:paraId="132E08B3"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68106450"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57E52E1F" w14:textId="77777777" w:rsidR="00BE36FB" w:rsidRPr="009B7B35" w:rsidRDefault="00BE36FB" w:rsidP="001A7107">
            <w:pPr>
              <w:jc w:val="center"/>
              <w:rPr>
                <w:rFonts w:cs="Arial"/>
                <w:sz w:val="20"/>
                <w:szCs w:val="20"/>
                <w:lang w:val="en-US"/>
              </w:rPr>
            </w:pPr>
          </w:p>
        </w:tc>
        <w:tc>
          <w:tcPr>
            <w:tcW w:w="587" w:type="pct"/>
            <w:vAlign w:val="center"/>
          </w:tcPr>
          <w:p w14:paraId="0E274C08" w14:textId="77777777" w:rsidR="00BE36FB" w:rsidRPr="009B7B35" w:rsidRDefault="00BE36FB" w:rsidP="001A7107">
            <w:pPr>
              <w:jc w:val="center"/>
              <w:rPr>
                <w:rFonts w:cs="Arial"/>
                <w:sz w:val="20"/>
                <w:szCs w:val="20"/>
                <w:lang w:val="en-US"/>
              </w:rPr>
            </w:pPr>
          </w:p>
        </w:tc>
      </w:tr>
      <w:tr w:rsidR="00BE36FB" w:rsidRPr="009B7B35" w14:paraId="265353DE" w14:textId="77777777" w:rsidTr="001A7107">
        <w:tc>
          <w:tcPr>
            <w:tcW w:w="1512" w:type="pct"/>
          </w:tcPr>
          <w:p w14:paraId="556202D4" w14:textId="77777777" w:rsidR="00BE36FB" w:rsidRPr="009B7B35" w:rsidRDefault="00BE36FB" w:rsidP="001A7107">
            <w:pPr>
              <w:rPr>
                <w:rFonts w:cs="Arial"/>
                <w:sz w:val="20"/>
                <w:szCs w:val="20"/>
                <w:lang w:val="en-US"/>
              </w:rPr>
            </w:pPr>
            <w:r w:rsidRPr="009B7B35">
              <w:rPr>
                <w:rFonts w:cs="Arial"/>
                <w:sz w:val="20"/>
                <w:szCs w:val="20"/>
                <w:lang w:val="en-US"/>
              </w:rPr>
              <w:t>Dietes robinsoniana</w:t>
            </w:r>
          </w:p>
        </w:tc>
        <w:tc>
          <w:tcPr>
            <w:tcW w:w="1137" w:type="pct"/>
          </w:tcPr>
          <w:p w14:paraId="2C137328" w14:textId="77777777" w:rsidR="00BE36FB" w:rsidRPr="009B7B35" w:rsidRDefault="00BE36FB" w:rsidP="001A7107">
            <w:pPr>
              <w:rPr>
                <w:rFonts w:cs="Arial"/>
                <w:sz w:val="20"/>
                <w:szCs w:val="20"/>
                <w:lang w:val="en-US"/>
              </w:rPr>
            </w:pPr>
          </w:p>
        </w:tc>
        <w:tc>
          <w:tcPr>
            <w:tcW w:w="588" w:type="pct"/>
            <w:vAlign w:val="center"/>
          </w:tcPr>
          <w:p w14:paraId="01358DD7" w14:textId="77777777" w:rsidR="00BE36FB" w:rsidRPr="009B7B35" w:rsidRDefault="00BE36FB" w:rsidP="001A7107">
            <w:pPr>
              <w:jc w:val="center"/>
              <w:rPr>
                <w:rFonts w:cs="Arial"/>
                <w:sz w:val="20"/>
                <w:szCs w:val="20"/>
                <w:lang w:val="en-US"/>
              </w:rPr>
            </w:pPr>
          </w:p>
        </w:tc>
        <w:tc>
          <w:tcPr>
            <w:tcW w:w="588" w:type="pct"/>
            <w:vAlign w:val="center"/>
          </w:tcPr>
          <w:p w14:paraId="7E8F2F71" w14:textId="77777777" w:rsidR="00BE36FB" w:rsidRPr="009B7B35" w:rsidRDefault="00BE36FB" w:rsidP="001A7107">
            <w:pPr>
              <w:jc w:val="center"/>
              <w:rPr>
                <w:rFonts w:cs="Arial"/>
                <w:sz w:val="20"/>
                <w:szCs w:val="20"/>
                <w:lang w:val="en-US"/>
              </w:rPr>
            </w:pPr>
          </w:p>
        </w:tc>
        <w:tc>
          <w:tcPr>
            <w:tcW w:w="588" w:type="pct"/>
            <w:vAlign w:val="center"/>
          </w:tcPr>
          <w:p w14:paraId="561C070C" w14:textId="77777777" w:rsidR="00BE36FB" w:rsidRPr="009B7B35" w:rsidRDefault="00BE36FB" w:rsidP="001A7107">
            <w:pPr>
              <w:jc w:val="center"/>
              <w:rPr>
                <w:rFonts w:cs="Arial"/>
                <w:sz w:val="20"/>
                <w:szCs w:val="20"/>
                <w:lang w:val="en-US"/>
              </w:rPr>
            </w:pPr>
          </w:p>
        </w:tc>
        <w:tc>
          <w:tcPr>
            <w:tcW w:w="587" w:type="pct"/>
            <w:vAlign w:val="center"/>
          </w:tcPr>
          <w:p w14:paraId="0C474CA0" w14:textId="77777777" w:rsidR="00BE36FB" w:rsidRPr="009B7B35" w:rsidRDefault="00BE36FB" w:rsidP="001A7107">
            <w:pPr>
              <w:jc w:val="center"/>
              <w:rPr>
                <w:rFonts w:cs="Arial"/>
                <w:sz w:val="20"/>
                <w:szCs w:val="20"/>
                <w:lang w:val="en-US"/>
              </w:rPr>
            </w:pPr>
          </w:p>
        </w:tc>
      </w:tr>
      <w:tr w:rsidR="00BE36FB" w:rsidRPr="009B7B35" w14:paraId="54DF4781" w14:textId="77777777" w:rsidTr="001A7107">
        <w:tc>
          <w:tcPr>
            <w:tcW w:w="1512" w:type="pct"/>
          </w:tcPr>
          <w:p w14:paraId="65C538E6" w14:textId="77777777" w:rsidR="00BE36FB" w:rsidRPr="009B7B35" w:rsidRDefault="00BE36FB" w:rsidP="001A7107">
            <w:pPr>
              <w:rPr>
                <w:rFonts w:cs="Arial"/>
                <w:sz w:val="20"/>
                <w:szCs w:val="20"/>
                <w:lang w:val="en-US"/>
              </w:rPr>
            </w:pPr>
            <w:r w:rsidRPr="009B7B35">
              <w:rPr>
                <w:rFonts w:cs="Arial"/>
                <w:sz w:val="20"/>
                <w:szCs w:val="20"/>
                <w:lang w:val="en-US"/>
              </w:rPr>
              <w:t>Diploglottis australis</w:t>
            </w:r>
          </w:p>
        </w:tc>
        <w:tc>
          <w:tcPr>
            <w:tcW w:w="1137" w:type="pct"/>
          </w:tcPr>
          <w:p w14:paraId="5A24B3CF" w14:textId="77777777" w:rsidR="00BE36FB" w:rsidRPr="009B7B35" w:rsidRDefault="00BE36FB" w:rsidP="001A7107">
            <w:pPr>
              <w:rPr>
                <w:rFonts w:cs="Arial"/>
                <w:sz w:val="20"/>
                <w:szCs w:val="20"/>
                <w:lang w:val="en-US"/>
              </w:rPr>
            </w:pPr>
            <w:r w:rsidRPr="009B7B35">
              <w:rPr>
                <w:rFonts w:cs="Arial"/>
                <w:sz w:val="20"/>
                <w:szCs w:val="20"/>
                <w:lang w:val="en-US"/>
              </w:rPr>
              <w:t>Native Tamarind</w:t>
            </w:r>
          </w:p>
        </w:tc>
        <w:tc>
          <w:tcPr>
            <w:tcW w:w="588" w:type="pct"/>
            <w:vAlign w:val="center"/>
          </w:tcPr>
          <w:p w14:paraId="4D12E763"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69439CF9"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61E9FEC1"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68DF2D71" w14:textId="77777777" w:rsidR="00BE36FB" w:rsidRPr="009B7B35" w:rsidRDefault="00BE36FB" w:rsidP="001A7107">
            <w:pPr>
              <w:jc w:val="center"/>
              <w:rPr>
                <w:rFonts w:cs="Arial"/>
                <w:sz w:val="20"/>
                <w:szCs w:val="20"/>
                <w:lang w:val="en-US"/>
              </w:rPr>
            </w:pPr>
          </w:p>
        </w:tc>
      </w:tr>
      <w:tr w:rsidR="00BE36FB" w:rsidRPr="009B7B35" w14:paraId="52706882" w14:textId="77777777" w:rsidTr="001A7107">
        <w:tc>
          <w:tcPr>
            <w:tcW w:w="1512" w:type="pct"/>
          </w:tcPr>
          <w:p w14:paraId="14C6F895" w14:textId="77777777" w:rsidR="00BE36FB" w:rsidRPr="009B7B35" w:rsidRDefault="00BE36FB" w:rsidP="001A7107">
            <w:pPr>
              <w:rPr>
                <w:rFonts w:cs="Arial"/>
                <w:sz w:val="20"/>
                <w:szCs w:val="20"/>
                <w:lang w:val="en-US"/>
              </w:rPr>
            </w:pPr>
            <w:r w:rsidRPr="009B7B35">
              <w:rPr>
                <w:rFonts w:cs="Arial"/>
                <w:sz w:val="20"/>
                <w:szCs w:val="20"/>
                <w:lang w:val="en-US"/>
              </w:rPr>
              <w:t>Diploglottis campbelli</w:t>
            </w:r>
          </w:p>
        </w:tc>
        <w:tc>
          <w:tcPr>
            <w:tcW w:w="1137" w:type="pct"/>
          </w:tcPr>
          <w:p w14:paraId="303B2201" w14:textId="77777777" w:rsidR="00BE36FB" w:rsidRPr="009B7B35" w:rsidRDefault="00BE36FB" w:rsidP="001A7107">
            <w:pPr>
              <w:rPr>
                <w:rFonts w:cs="Arial"/>
                <w:sz w:val="20"/>
                <w:szCs w:val="20"/>
                <w:lang w:val="en-US"/>
              </w:rPr>
            </w:pPr>
            <w:r w:rsidRPr="009B7B35">
              <w:rPr>
                <w:rFonts w:cs="Arial"/>
                <w:sz w:val="20"/>
                <w:szCs w:val="20"/>
                <w:lang w:val="en-US"/>
              </w:rPr>
              <w:t>Small Leaved Tamarind</w:t>
            </w:r>
          </w:p>
        </w:tc>
        <w:tc>
          <w:tcPr>
            <w:tcW w:w="588" w:type="pct"/>
            <w:vAlign w:val="center"/>
          </w:tcPr>
          <w:p w14:paraId="67944AD7"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3F080913"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3250F81E"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674B650C"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374B4F50" wp14:editId="5F2E91FE">
                  <wp:extent cx="180000" cy="1800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106B9F35" w14:textId="77777777" w:rsidTr="001A7107">
        <w:tc>
          <w:tcPr>
            <w:tcW w:w="1512" w:type="pct"/>
          </w:tcPr>
          <w:p w14:paraId="3D661353" w14:textId="77777777" w:rsidR="00BE36FB" w:rsidRPr="009B7B35" w:rsidRDefault="00BE36FB" w:rsidP="001A7107">
            <w:pPr>
              <w:rPr>
                <w:rFonts w:cs="Arial"/>
                <w:sz w:val="20"/>
                <w:szCs w:val="20"/>
                <w:lang w:val="en-US"/>
              </w:rPr>
            </w:pPr>
            <w:r w:rsidRPr="009B7B35">
              <w:rPr>
                <w:rFonts w:cs="Arial"/>
                <w:sz w:val="20"/>
                <w:szCs w:val="20"/>
                <w:lang w:val="en-US"/>
              </w:rPr>
              <w:t>Dysoxylum spp.</w:t>
            </w:r>
          </w:p>
          <w:p w14:paraId="100037AA" w14:textId="77777777" w:rsidR="00BE36FB" w:rsidRPr="009B7B35" w:rsidRDefault="00BE36FB" w:rsidP="001A7107">
            <w:pPr>
              <w:rPr>
                <w:rFonts w:cs="Arial"/>
                <w:sz w:val="20"/>
                <w:szCs w:val="20"/>
                <w:lang w:val="en-US"/>
              </w:rPr>
            </w:pPr>
            <w:r w:rsidRPr="009B7B35">
              <w:rPr>
                <w:rFonts w:cs="Arial"/>
                <w:sz w:val="20"/>
                <w:szCs w:val="20"/>
                <w:lang w:val="en-US"/>
              </w:rPr>
              <w:t>(suggested D. fraserianum, muellen)</w:t>
            </w:r>
          </w:p>
        </w:tc>
        <w:tc>
          <w:tcPr>
            <w:tcW w:w="1137" w:type="pct"/>
          </w:tcPr>
          <w:p w14:paraId="7364266F" w14:textId="77777777" w:rsidR="00BE36FB" w:rsidRPr="009B7B35" w:rsidRDefault="00BE36FB" w:rsidP="001A7107">
            <w:pPr>
              <w:rPr>
                <w:rFonts w:cs="Arial"/>
                <w:sz w:val="20"/>
                <w:szCs w:val="20"/>
                <w:lang w:val="en-US"/>
              </w:rPr>
            </w:pPr>
            <w:r w:rsidRPr="009B7B35">
              <w:rPr>
                <w:rFonts w:cs="Arial"/>
                <w:sz w:val="20"/>
                <w:szCs w:val="20"/>
                <w:lang w:val="en-US"/>
              </w:rPr>
              <w:t>Rosewood</w:t>
            </w:r>
          </w:p>
        </w:tc>
        <w:tc>
          <w:tcPr>
            <w:tcW w:w="588" w:type="pct"/>
            <w:vAlign w:val="center"/>
          </w:tcPr>
          <w:p w14:paraId="64235A92"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3B5682C2"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00E31FA7"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441EE9C"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18A3A6A0" wp14:editId="593C0A6F">
                  <wp:extent cx="180000" cy="180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017CBBEF" w14:textId="77777777" w:rsidTr="001A7107">
        <w:tc>
          <w:tcPr>
            <w:tcW w:w="1512" w:type="pct"/>
          </w:tcPr>
          <w:p w14:paraId="0BC76CA4" w14:textId="77777777" w:rsidR="00BE36FB" w:rsidRPr="009B7B35" w:rsidRDefault="00BE36FB" w:rsidP="001A7107">
            <w:pPr>
              <w:rPr>
                <w:rFonts w:cs="Arial"/>
                <w:sz w:val="20"/>
                <w:szCs w:val="20"/>
                <w:lang w:val="en-US"/>
              </w:rPr>
            </w:pPr>
            <w:r w:rsidRPr="009B7B35">
              <w:rPr>
                <w:rFonts w:cs="Arial"/>
                <w:sz w:val="20"/>
                <w:szCs w:val="20"/>
                <w:lang w:val="en-US"/>
              </w:rPr>
              <w:t>Echinopogon ovatus</w:t>
            </w:r>
          </w:p>
        </w:tc>
        <w:tc>
          <w:tcPr>
            <w:tcW w:w="1137" w:type="pct"/>
          </w:tcPr>
          <w:p w14:paraId="7C9F8A22" w14:textId="77777777" w:rsidR="00BE36FB" w:rsidRPr="009B7B35" w:rsidRDefault="00BE36FB" w:rsidP="001A7107">
            <w:pPr>
              <w:rPr>
                <w:rFonts w:cs="Arial"/>
                <w:sz w:val="20"/>
                <w:szCs w:val="20"/>
                <w:lang w:val="en-US"/>
              </w:rPr>
            </w:pPr>
            <w:r w:rsidRPr="009B7B35">
              <w:rPr>
                <w:rFonts w:cs="Arial"/>
                <w:sz w:val="20"/>
                <w:szCs w:val="20"/>
                <w:lang w:val="en-US"/>
              </w:rPr>
              <w:t>Hedgehog Grass</w:t>
            </w:r>
          </w:p>
        </w:tc>
        <w:tc>
          <w:tcPr>
            <w:tcW w:w="588" w:type="pct"/>
            <w:vAlign w:val="center"/>
          </w:tcPr>
          <w:p w14:paraId="0F83258A" w14:textId="77777777" w:rsidR="00BE36FB" w:rsidRPr="009B7B35" w:rsidRDefault="00BE36FB" w:rsidP="001A7107">
            <w:pPr>
              <w:jc w:val="center"/>
              <w:rPr>
                <w:rFonts w:cs="Arial"/>
                <w:sz w:val="20"/>
                <w:szCs w:val="20"/>
                <w:lang w:val="en-US"/>
              </w:rPr>
            </w:pPr>
          </w:p>
        </w:tc>
        <w:tc>
          <w:tcPr>
            <w:tcW w:w="588" w:type="pct"/>
            <w:vAlign w:val="center"/>
          </w:tcPr>
          <w:p w14:paraId="3543DFA6" w14:textId="77777777" w:rsidR="00BE36FB" w:rsidRPr="009B7B35" w:rsidRDefault="00BE36FB" w:rsidP="001A7107">
            <w:pPr>
              <w:jc w:val="center"/>
              <w:rPr>
                <w:rFonts w:cs="Arial"/>
                <w:sz w:val="20"/>
                <w:szCs w:val="20"/>
                <w:lang w:val="en-US"/>
              </w:rPr>
            </w:pPr>
          </w:p>
        </w:tc>
        <w:tc>
          <w:tcPr>
            <w:tcW w:w="588" w:type="pct"/>
            <w:vAlign w:val="center"/>
          </w:tcPr>
          <w:p w14:paraId="07E7A5D8" w14:textId="77777777" w:rsidR="00BE36FB" w:rsidRPr="009B7B35" w:rsidRDefault="00BE36FB" w:rsidP="001A7107">
            <w:pPr>
              <w:jc w:val="center"/>
              <w:rPr>
                <w:rFonts w:cs="Arial"/>
                <w:sz w:val="20"/>
                <w:szCs w:val="20"/>
                <w:lang w:val="en-US"/>
              </w:rPr>
            </w:pPr>
          </w:p>
        </w:tc>
        <w:tc>
          <w:tcPr>
            <w:tcW w:w="587" w:type="pct"/>
            <w:vAlign w:val="center"/>
          </w:tcPr>
          <w:p w14:paraId="5CD20E55" w14:textId="77777777" w:rsidR="00BE36FB" w:rsidRPr="009B7B35" w:rsidRDefault="00BE36FB" w:rsidP="001A7107">
            <w:pPr>
              <w:jc w:val="center"/>
              <w:rPr>
                <w:rFonts w:cs="Arial"/>
                <w:sz w:val="20"/>
                <w:szCs w:val="20"/>
                <w:lang w:val="en-US"/>
              </w:rPr>
            </w:pPr>
          </w:p>
        </w:tc>
      </w:tr>
      <w:tr w:rsidR="00BE36FB" w:rsidRPr="009B7B35" w14:paraId="0A4E9B28" w14:textId="77777777" w:rsidTr="001A7107">
        <w:tc>
          <w:tcPr>
            <w:tcW w:w="1512" w:type="pct"/>
          </w:tcPr>
          <w:p w14:paraId="29426644" w14:textId="77777777" w:rsidR="00BE36FB" w:rsidRPr="009B7B35" w:rsidRDefault="00BE36FB" w:rsidP="001A7107">
            <w:pPr>
              <w:rPr>
                <w:rFonts w:cs="Arial"/>
                <w:sz w:val="20"/>
                <w:szCs w:val="20"/>
                <w:lang w:val="en-US"/>
              </w:rPr>
            </w:pPr>
            <w:r w:rsidRPr="009B7B35">
              <w:rPr>
                <w:rFonts w:cs="Arial"/>
                <w:sz w:val="20"/>
                <w:szCs w:val="20"/>
                <w:lang w:val="en-US"/>
              </w:rPr>
              <w:t>Elaeocarpus kirtonii</w:t>
            </w:r>
          </w:p>
        </w:tc>
        <w:tc>
          <w:tcPr>
            <w:tcW w:w="1137" w:type="pct"/>
          </w:tcPr>
          <w:p w14:paraId="7359F925" w14:textId="77777777" w:rsidR="00BE36FB" w:rsidRPr="009B7B35" w:rsidRDefault="00BE36FB" w:rsidP="001A7107">
            <w:pPr>
              <w:rPr>
                <w:rFonts w:cs="Arial"/>
                <w:sz w:val="20"/>
                <w:szCs w:val="20"/>
                <w:lang w:val="en-US"/>
              </w:rPr>
            </w:pPr>
            <w:r w:rsidRPr="009B7B35">
              <w:rPr>
                <w:rFonts w:cs="Arial"/>
                <w:sz w:val="20"/>
                <w:szCs w:val="20"/>
                <w:lang w:val="en-US"/>
              </w:rPr>
              <w:t>Blueberry Ash</w:t>
            </w:r>
          </w:p>
        </w:tc>
        <w:tc>
          <w:tcPr>
            <w:tcW w:w="588" w:type="pct"/>
            <w:vAlign w:val="center"/>
          </w:tcPr>
          <w:p w14:paraId="5DB7FFDB"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76DF5D15"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7202D760"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720D7BAD" w14:textId="77777777" w:rsidR="00BE36FB" w:rsidRPr="009B7B35" w:rsidRDefault="00BE36FB" w:rsidP="001A7107">
            <w:pPr>
              <w:jc w:val="center"/>
              <w:rPr>
                <w:rFonts w:cs="Arial"/>
                <w:sz w:val="20"/>
                <w:szCs w:val="20"/>
                <w:lang w:val="en-US"/>
              </w:rPr>
            </w:pPr>
          </w:p>
        </w:tc>
      </w:tr>
      <w:tr w:rsidR="00BE36FB" w:rsidRPr="009B7B35" w14:paraId="77F65CA4" w14:textId="77777777" w:rsidTr="001A7107">
        <w:tc>
          <w:tcPr>
            <w:tcW w:w="1512" w:type="pct"/>
          </w:tcPr>
          <w:p w14:paraId="04A2F206" w14:textId="77777777" w:rsidR="00BE36FB" w:rsidRPr="009B7B35" w:rsidRDefault="00BE36FB" w:rsidP="001A7107">
            <w:pPr>
              <w:rPr>
                <w:rFonts w:cs="Arial"/>
                <w:sz w:val="20"/>
                <w:szCs w:val="20"/>
                <w:lang w:val="en-US"/>
              </w:rPr>
            </w:pPr>
            <w:r w:rsidRPr="009B7B35">
              <w:rPr>
                <w:rFonts w:cs="Arial"/>
                <w:sz w:val="20"/>
                <w:szCs w:val="20"/>
                <w:lang w:val="en-US"/>
              </w:rPr>
              <w:t>Elaeocarpus grandis</w:t>
            </w:r>
          </w:p>
        </w:tc>
        <w:tc>
          <w:tcPr>
            <w:tcW w:w="1137" w:type="pct"/>
          </w:tcPr>
          <w:p w14:paraId="7A2B9543" w14:textId="77777777" w:rsidR="00BE36FB" w:rsidRPr="009B7B35" w:rsidRDefault="00BE36FB" w:rsidP="001A7107">
            <w:pPr>
              <w:rPr>
                <w:rFonts w:cs="Arial"/>
                <w:sz w:val="20"/>
                <w:szCs w:val="20"/>
                <w:lang w:val="en-US"/>
              </w:rPr>
            </w:pPr>
            <w:r w:rsidRPr="009B7B35">
              <w:rPr>
                <w:rFonts w:cs="Arial"/>
                <w:sz w:val="20"/>
                <w:szCs w:val="20"/>
                <w:lang w:val="en-US"/>
              </w:rPr>
              <w:t>Blue Quandong</w:t>
            </w:r>
          </w:p>
        </w:tc>
        <w:tc>
          <w:tcPr>
            <w:tcW w:w="588" w:type="pct"/>
            <w:vAlign w:val="center"/>
          </w:tcPr>
          <w:p w14:paraId="750A174F" w14:textId="77777777" w:rsidR="00BE36FB" w:rsidRPr="009B7B35" w:rsidRDefault="00BE36FB" w:rsidP="001A7107">
            <w:pPr>
              <w:jc w:val="center"/>
              <w:rPr>
                <w:rFonts w:cs="Arial"/>
                <w:sz w:val="20"/>
                <w:szCs w:val="20"/>
                <w:lang w:val="en-US"/>
              </w:rPr>
            </w:pPr>
            <w:r w:rsidRPr="009B7B35">
              <w:rPr>
                <w:rFonts w:cs="Arial"/>
                <w:sz w:val="20"/>
                <w:szCs w:val="20"/>
                <w:lang w:val="en-US"/>
              </w:rPr>
              <w:t>35</w:t>
            </w:r>
          </w:p>
        </w:tc>
        <w:tc>
          <w:tcPr>
            <w:tcW w:w="588" w:type="pct"/>
            <w:vAlign w:val="center"/>
          </w:tcPr>
          <w:p w14:paraId="1F2D282A"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226A8D7B"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CC26054" w14:textId="77777777" w:rsidR="00BE36FB" w:rsidRPr="009B7B35" w:rsidRDefault="00BE36FB" w:rsidP="001A7107">
            <w:pPr>
              <w:jc w:val="center"/>
              <w:rPr>
                <w:rFonts w:cs="Arial"/>
                <w:sz w:val="20"/>
                <w:szCs w:val="20"/>
                <w:lang w:val="en-US"/>
              </w:rPr>
            </w:pPr>
          </w:p>
        </w:tc>
      </w:tr>
      <w:tr w:rsidR="00BE36FB" w:rsidRPr="009B7B35" w14:paraId="4DF6A465" w14:textId="77777777" w:rsidTr="001A7107">
        <w:tc>
          <w:tcPr>
            <w:tcW w:w="1512" w:type="pct"/>
          </w:tcPr>
          <w:p w14:paraId="414CEF99" w14:textId="77777777" w:rsidR="00BE36FB" w:rsidRPr="009B7B35" w:rsidRDefault="00BE36FB" w:rsidP="001A7107">
            <w:pPr>
              <w:rPr>
                <w:rFonts w:cs="Arial"/>
                <w:sz w:val="20"/>
                <w:szCs w:val="20"/>
                <w:lang w:val="en-US"/>
              </w:rPr>
            </w:pPr>
            <w:r w:rsidRPr="009B7B35">
              <w:rPr>
                <w:rFonts w:cs="Arial"/>
                <w:sz w:val="20"/>
                <w:szCs w:val="20"/>
                <w:lang w:val="en-US"/>
              </w:rPr>
              <w:t>Elaeocarpus obovatus</w:t>
            </w:r>
          </w:p>
        </w:tc>
        <w:tc>
          <w:tcPr>
            <w:tcW w:w="1137" w:type="pct"/>
          </w:tcPr>
          <w:p w14:paraId="3F908956" w14:textId="77777777" w:rsidR="00BE36FB" w:rsidRPr="009B7B35" w:rsidRDefault="00BE36FB" w:rsidP="001A7107">
            <w:pPr>
              <w:rPr>
                <w:rFonts w:cs="Arial"/>
                <w:sz w:val="20"/>
                <w:szCs w:val="20"/>
                <w:lang w:val="en-US"/>
              </w:rPr>
            </w:pPr>
            <w:r w:rsidRPr="009B7B35">
              <w:rPr>
                <w:rFonts w:cs="Arial"/>
                <w:sz w:val="20"/>
                <w:szCs w:val="20"/>
                <w:lang w:val="en-US"/>
              </w:rPr>
              <w:t>Blueberry Ash</w:t>
            </w:r>
          </w:p>
        </w:tc>
        <w:tc>
          <w:tcPr>
            <w:tcW w:w="588" w:type="pct"/>
            <w:vAlign w:val="center"/>
          </w:tcPr>
          <w:p w14:paraId="26F19065"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1C3D389A"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73B1317A"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FC404BC" w14:textId="77777777" w:rsidR="00BE36FB" w:rsidRPr="009B7B35" w:rsidRDefault="00BE36FB" w:rsidP="001A7107">
            <w:pPr>
              <w:jc w:val="center"/>
              <w:rPr>
                <w:rFonts w:cs="Arial"/>
                <w:sz w:val="20"/>
                <w:szCs w:val="20"/>
                <w:lang w:val="en-US"/>
              </w:rPr>
            </w:pPr>
          </w:p>
        </w:tc>
      </w:tr>
      <w:tr w:rsidR="00BE36FB" w:rsidRPr="009B7B35" w14:paraId="54F6B836" w14:textId="77777777" w:rsidTr="001A7107">
        <w:tc>
          <w:tcPr>
            <w:tcW w:w="1512" w:type="pct"/>
          </w:tcPr>
          <w:p w14:paraId="0A0D9987" w14:textId="77777777" w:rsidR="00BE36FB" w:rsidRPr="009B7B35" w:rsidRDefault="00BE36FB" w:rsidP="001A7107">
            <w:pPr>
              <w:rPr>
                <w:rFonts w:cs="Arial"/>
                <w:sz w:val="20"/>
                <w:szCs w:val="20"/>
                <w:lang w:val="en-US"/>
              </w:rPr>
            </w:pPr>
            <w:r w:rsidRPr="009B7B35">
              <w:rPr>
                <w:rFonts w:cs="Arial"/>
                <w:sz w:val="20"/>
                <w:szCs w:val="20"/>
                <w:lang w:val="en-US"/>
              </w:rPr>
              <w:t>Elaeocarpus reticulatus</w:t>
            </w:r>
          </w:p>
        </w:tc>
        <w:tc>
          <w:tcPr>
            <w:tcW w:w="1137" w:type="pct"/>
          </w:tcPr>
          <w:p w14:paraId="46C7738F" w14:textId="77777777" w:rsidR="00BE36FB" w:rsidRPr="009B7B35" w:rsidRDefault="00BE36FB" w:rsidP="001A7107">
            <w:pPr>
              <w:rPr>
                <w:rFonts w:cs="Arial"/>
                <w:sz w:val="20"/>
                <w:szCs w:val="20"/>
                <w:lang w:val="en-US"/>
              </w:rPr>
            </w:pPr>
            <w:r w:rsidRPr="009B7B35">
              <w:rPr>
                <w:rFonts w:cs="Arial"/>
                <w:sz w:val="20"/>
                <w:szCs w:val="20"/>
                <w:lang w:val="en-US"/>
              </w:rPr>
              <w:t>Blueberry Ash</w:t>
            </w:r>
          </w:p>
        </w:tc>
        <w:tc>
          <w:tcPr>
            <w:tcW w:w="588" w:type="pct"/>
            <w:vAlign w:val="center"/>
          </w:tcPr>
          <w:p w14:paraId="6CA91288"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2D38E697"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7AF2FA01"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66DFFAF" w14:textId="77777777" w:rsidR="00BE36FB" w:rsidRPr="009B7B35" w:rsidRDefault="00BE36FB" w:rsidP="001A7107">
            <w:pPr>
              <w:jc w:val="center"/>
              <w:rPr>
                <w:rFonts w:cs="Arial"/>
                <w:sz w:val="20"/>
                <w:szCs w:val="20"/>
                <w:lang w:val="en-US"/>
              </w:rPr>
            </w:pPr>
          </w:p>
        </w:tc>
      </w:tr>
      <w:tr w:rsidR="00BE36FB" w:rsidRPr="009B7B35" w14:paraId="10AC783D" w14:textId="77777777" w:rsidTr="001A7107">
        <w:tc>
          <w:tcPr>
            <w:tcW w:w="1512" w:type="pct"/>
          </w:tcPr>
          <w:p w14:paraId="1805CF14" w14:textId="77777777" w:rsidR="00BE36FB" w:rsidRPr="009B7B35" w:rsidRDefault="00BE36FB" w:rsidP="001A7107">
            <w:pPr>
              <w:rPr>
                <w:rFonts w:cs="Arial"/>
                <w:sz w:val="20"/>
                <w:szCs w:val="20"/>
                <w:lang w:val="en-US"/>
              </w:rPr>
            </w:pPr>
            <w:r w:rsidRPr="009B7B35">
              <w:rPr>
                <w:rFonts w:cs="Arial"/>
                <w:sz w:val="20"/>
                <w:szCs w:val="20"/>
                <w:lang w:val="en-US"/>
              </w:rPr>
              <w:t>Elaeocarpus sp.</w:t>
            </w:r>
          </w:p>
          <w:p w14:paraId="31E5F57A" w14:textId="77777777" w:rsidR="00BE36FB" w:rsidRPr="009B7B35" w:rsidRDefault="00BE36FB" w:rsidP="001A7107">
            <w:pPr>
              <w:rPr>
                <w:rFonts w:cs="Arial"/>
                <w:sz w:val="20"/>
                <w:szCs w:val="20"/>
                <w:lang w:val="en-US"/>
              </w:rPr>
            </w:pPr>
            <w:r w:rsidRPr="009B7B35">
              <w:rPr>
                <w:rFonts w:cs="Arial"/>
                <w:sz w:val="20"/>
                <w:szCs w:val="20"/>
                <w:lang w:val="en-US"/>
              </w:rPr>
              <w:t>(suggested E. angustifolius, eumundi, grandis, obovatus, reticulatis)</w:t>
            </w:r>
          </w:p>
        </w:tc>
        <w:tc>
          <w:tcPr>
            <w:tcW w:w="1137" w:type="pct"/>
          </w:tcPr>
          <w:p w14:paraId="5E072089" w14:textId="77777777" w:rsidR="00BE36FB" w:rsidRPr="009B7B35" w:rsidRDefault="00BE36FB" w:rsidP="001A7107">
            <w:pPr>
              <w:rPr>
                <w:rFonts w:cs="Arial"/>
                <w:sz w:val="20"/>
                <w:szCs w:val="20"/>
                <w:lang w:val="en-US"/>
              </w:rPr>
            </w:pPr>
            <w:r w:rsidRPr="009B7B35">
              <w:rPr>
                <w:rFonts w:cs="Arial"/>
                <w:sz w:val="20"/>
                <w:szCs w:val="20"/>
                <w:lang w:val="en-US"/>
              </w:rPr>
              <w:t>Quandongs</w:t>
            </w:r>
          </w:p>
        </w:tc>
        <w:tc>
          <w:tcPr>
            <w:tcW w:w="588" w:type="pct"/>
            <w:vAlign w:val="center"/>
          </w:tcPr>
          <w:p w14:paraId="52781218"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635AF2E4"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3324FC4E"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CF01042"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6F693B02" wp14:editId="3309B124">
                  <wp:extent cx="180000" cy="180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56020E75" w14:textId="77777777" w:rsidTr="001A7107">
        <w:tc>
          <w:tcPr>
            <w:tcW w:w="1512" w:type="pct"/>
          </w:tcPr>
          <w:p w14:paraId="438D81D8" w14:textId="77777777" w:rsidR="00BE36FB" w:rsidRPr="009B7B35" w:rsidRDefault="00BE36FB" w:rsidP="001A7107">
            <w:pPr>
              <w:rPr>
                <w:rFonts w:cs="Arial"/>
                <w:sz w:val="20"/>
                <w:szCs w:val="20"/>
                <w:lang w:val="en-US"/>
              </w:rPr>
            </w:pPr>
            <w:r w:rsidRPr="009B7B35">
              <w:rPr>
                <w:rFonts w:cs="Arial"/>
                <w:sz w:val="20"/>
                <w:szCs w:val="20"/>
                <w:lang w:val="en-US"/>
              </w:rPr>
              <w:t>Elaeocarpus spp.</w:t>
            </w:r>
          </w:p>
        </w:tc>
        <w:tc>
          <w:tcPr>
            <w:tcW w:w="1137" w:type="pct"/>
          </w:tcPr>
          <w:p w14:paraId="26BB1276" w14:textId="77777777" w:rsidR="00BE36FB" w:rsidRPr="009B7B35" w:rsidRDefault="00BE36FB" w:rsidP="001A7107">
            <w:pPr>
              <w:rPr>
                <w:rFonts w:cs="Arial"/>
                <w:sz w:val="20"/>
                <w:szCs w:val="20"/>
                <w:lang w:val="en-US"/>
              </w:rPr>
            </w:pPr>
          </w:p>
        </w:tc>
        <w:tc>
          <w:tcPr>
            <w:tcW w:w="588" w:type="pct"/>
            <w:vAlign w:val="center"/>
          </w:tcPr>
          <w:p w14:paraId="71C00E48"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6FF0E30E"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07437684"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226651E" w14:textId="77777777" w:rsidR="00BE36FB" w:rsidRPr="009B7B35" w:rsidRDefault="00BE36FB" w:rsidP="001A7107">
            <w:pPr>
              <w:jc w:val="center"/>
              <w:rPr>
                <w:rFonts w:cs="Arial"/>
                <w:sz w:val="20"/>
                <w:szCs w:val="20"/>
                <w:lang w:val="en-US"/>
              </w:rPr>
            </w:pPr>
          </w:p>
        </w:tc>
      </w:tr>
      <w:tr w:rsidR="00BE36FB" w:rsidRPr="009B7B35" w14:paraId="28C42B45" w14:textId="77777777" w:rsidTr="001A7107">
        <w:tc>
          <w:tcPr>
            <w:tcW w:w="1512" w:type="pct"/>
          </w:tcPr>
          <w:p w14:paraId="27F18130" w14:textId="77777777" w:rsidR="00BE36FB" w:rsidRPr="009B7B35" w:rsidRDefault="00BE36FB" w:rsidP="001A7107">
            <w:pPr>
              <w:rPr>
                <w:rFonts w:cs="Arial"/>
                <w:sz w:val="20"/>
                <w:szCs w:val="20"/>
                <w:lang w:val="en-US"/>
              </w:rPr>
            </w:pPr>
            <w:r w:rsidRPr="009B7B35">
              <w:rPr>
                <w:rFonts w:cs="Arial"/>
                <w:sz w:val="20"/>
                <w:szCs w:val="20"/>
                <w:lang w:val="en-US"/>
              </w:rPr>
              <w:t>Endiandra discolour</w:t>
            </w:r>
          </w:p>
        </w:tc>
        <w:tc>
          <w:tcPr>
            <w:tcW w:w="1137" w:type="pct"/>
          </w:tcPr>
          <w:p w14:paraId="76F5CA61" w14:textId="77777777" w:rsidR="00BE36FB" w:rsidRPr="009B7B35" w:rsidRDefault="00BE36FB" w:rsidP="001A7107">
            <w:pPr>
              <w:rPr>
                <w:rFonts w:cs="Arial"/>
                <w:sz w:val="20"/>
                <w:szCs w:val="20"/>
                <w:lang w:val="en-US"/>
              </w:rPr>
            </w:pPr>
            <w:r w:rsidRPr="009B7B35">
              <w:rPr>
                <w:rFonts w:cs="Arial"/>
                <w:sz w:val="20"/>
                <w:szCs w:val="20"/>
                <w:lang w:val="en-US"/>
              </w:rPr>
              <w:t>Tickwood</w:t>
            </w:r>
          </w:p>
        </w:tc>
        <w:tc>
          <w:tcPr>
            <w:tcW w:w="588" w:type="pct"/>
            <w:vAlign w:val="center"/>
          </w:tcPr>
          <w:p w14:paraId="4E61D111" w14:textId="77777777" w:rsidR="00BE36FB" w:rsidRPr="009B7B35" w:rsidRDefault="00BE36FB" w:rsidP="001A7107">
            <w:pPr>
              <w:jc w:val="center"/>
              <w:rPr>
                <w:rFonts w:cs="Arial"/>
                <w:sz w:val="20"/>
                <w:szCs w:val="20"/>
                <w:lang w:val="en-US"/>
              </w:rPr>
            </w:pPr>
            <w:r w:rsidRPr="009B7B35">
              <w:rPr>
                <w:rFonts w:cs="Arial"/>
                <w:sz w:val="20"/>
                <w:szCs w:val="20"/>
                <w:lang w:val="en-US"/>
              </w:rPr>
              <w:t>7</w:t>
            </w:r>
          </w:p>
        </w:tc>
        <w:tc>
          <w:tcPr>
            <w:tcW w:w="588" w:type="pct"/>
            <w:vAlign w:val="center"/>
          </w:tcPr>
          <w:p w14:paraId="199E4D53"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69091BF4"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D823F54" w14:textId="77777777" w:rsidR="00BE36FB" w:rsidRPr="009B7B35" w:rsidRDefault="00BE36FB" w:rsidP="001A7107">
            <w:pPr>
              <w:jc w:val="center"/>
              <w:rPr>
                <w:rFonts w:cs="Arial"/>
                <w:sz w:val="20"/>
                <w:szCs w:val="20"/>
                <w:lang w:val="en-US"/>
              </w:rPr>
            </w:pPr>
          </w:p>
        </w:tc>
      </w:tr>
      <w:tr w:rsidR="00BE36FB" w:rsidRPr="009B7B35" w14:paraId="2A81B703" w14:textId="77777777" w:rsidTr="001A7107">
        <w:tc>
          <w:tcPr>
            <w:tcW w:w="1512" w:type="pct"/>
          </w:tcPr>
          <w:p w14:paraId="08BCC0EC" w14:textId="77777777" w:rsidR="00BE36FB" w:rsidRPr="009B7B35" w:rsidRDefault="00BE36FB" w:rsidP="001A7107">
            <w:pPr>
              <w:rPr>
                <w:rFonts w:cs="Arial"/>
                <w:sz w:val="20"/>
                <w:szCs w:val="20"/>
                <w:lang w:val="en-US"/>
              </w:rPr>
            </w:pPr>
            <w:r w:rsidRPr="009B7B35">
              <w:rPr>
                <w:rFonts w:cs="Arial"/>
                <w:sz w:val="20"/>
                <w:szCs w:val="20"/>
                <w:lang w:val="en-US"/>
              </w:rPr>
              <w:t>Endiandra sieberi</w:t>
            </w:r>
          </w:p>
        </w:tc>
        <w:tc>
          <w:tcPr>
            <w:tcW w:w="1137" w:type="pct"/>
          </w:tcPr>
          <w:p w14:paraId="4C41E2D1" w14:textId="77777777" w:rsidR="00BE36FB" w:rsidRPr="009B7B35" w:rsidRDefault="00BE36FB" w:rsidP="001A7107">
            <w:pPr>
              <w:rPr>
                <w:rFonts w:cs="Arial"/>
                <w:sz w:val="20"/>
                <w:szCs w:val="20"/>
                <w:lang w:val="en-US"/>
              </w:rPr>
            </w:pPr>
            <w:r w:rsidRPr="009B7B35">
              <w:rPr>
                <w:rFonts w:cs="Arial"/>
                <w:sz w:val="20"/>
                <w:szCs w:val="20"/>
                <w:lang w:val="en-US"/>
              </w:rPr>
              <w:t>Corkwood</w:t>
            </w:r>
          </w:p>
        </w:tc>
        <w:tc>
          <w:tcPr>
            <w:tcW w:w="588" w:type="pct"/>
            <w:vAlign w:val="center"/>
          </w:tcPr>
          <w:p w14:paraId="16A757E6"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2CE3E294"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3D78214E"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4A2897F" w14:textId="77777777" w:rsidR="00BE36FB" w:rsidRPr="009B7B35" w:rsidRDefault="00BE36FB" w:rsidP="001A7107">
            <w:pPr>
              <w:jc w:val="center"/>
              <w:rPr>
                <w:rFonts w:cs="Arial"/>
                <w:sz w:val="20"/>
                <w:szCs w:val="20"/>
                <w:lang w:val="en-US"/>
              </w:rPr>
            </w:pPr>
          </w:p>
        </w:tc>
      </w:tr>
      <w:tr w:rsidR="00BE36FB" w:rsidRPr="009B7B35" w14:paraId="3F0CB042" w14:textId="77777777" w:rsidTr="001A7107">
        <w:tc>
          <w:tcPr>
            <w:tcW w:w="1512" w:type="pct"/>
          </w:tcPr>
          <w:p w14:paraId="4D56BAD1" w14:textId="77777777" w:rsidR="00BE36FB" w:rsidRPr="009B7B35" w:rsidRDefault="00BE36FB" w:rsidP="001A7107">
            <w:pPr>
              <w:rPr>
                <w:rFonts w:cs="Arial"/>
                <w:sz w:val="20"/>
                <w:szCs w:val="20"/>
                <w:lang w:val="en-US"/>
              </w:rPr>
            </w:pPr>
            <w:r w:rsidRPr="009B7B35">
              <w:rPr>
                <w:rFonts w:cs="Arial"/>
                <w:sz w:val="20"/>
                <w:szCs w:val="20"/>
                <w:lang w:val="en-US"/>
              </w:rPr>
              <w:t>Endiandra spp.</w:t>
            </w:r>
          </w:p>
          <w:p w14:paraId="1349BDC5" w14:textId="77777777" w:rsidR="00BE36FB" w:rsidRPr="009B7B35" w:rsidRDefault="00BE36FB" w:rsidP="001A7107">
            <w:pPr>
              <w:rPr>
                <w:rFonts w:cs="Arial"/>
                <w:sz w:val="20"/>
                <w:szCs w:val="20"/>
                <w:lang w:val="en-US"/>
              </w:rPr>
            </w:pPr>
            <w:r w:rsidRPr="009B7B35">
              <w:rPr>
                <w:rFonts w:cs="Arial"/>
                <w:sz w:val="20"/>
                <w:szCs w:val="20"/>
                <w:lang w:val="en-US"/>
              </w:rPr>
              <w:t>Suggested E. discolour, globosa, sieberi)</w:t>
            </w:r>
          </w:p>
        </w:tc>
        <w:tc>
          <w:tcPr>
            <w:tcW w:w="1137" w:type="pct"/>
          </w:tcPr>
          <w:p w14:paraId="0F01D9E1" w14:textId="77777777" w:rsidR="00BE36FB" w:rsidRPr="009B7B35" w:rsidRDefault="00BE36FB" w:rsidP="001A7107">
            <w:pPr>
              <w:rPr>
                <w:rFonts w:cs="Arial"/>
                <w:sz w:val="20"/>
                <w:szCs w:val="20"/>
                <w:lang w:val="en-US"/>
              </w:rPr>
            </w:pPr>
            <w:r w:rsidRPr="009B7B35">
              <w:rPr>
                <w:rFonts w:cs="Arial"/>
                <w:sz w:val="20"/>
                <w:szCs w:val="20"/>
                <w:lang w:val="en-US"/>
              </w:rPr>
              <w:t>Walnut</w:t>
            </w:r>
          </w:p>
        </w:tc>
        <w:tc>
          <w:tcPr>
            <w:tcW w:w="588" w:type="pct"/>
            <w:vAlign w:val="center"/>
          </w:tcPr>
          <w:p w14:paraId="55103FC3" w14:textId="77777777"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14:paraId="6B6B106D"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056217B8"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F349389" w14:textId="77777777" w:rsidR="00BE36FB" w:rsidRPr="009B7B35" w:rsidRDefault="00BE36FB" w:rsidP="001A7107">
            <w:pPr>
              <w:jc w:val="center"/>
              <w:rPr>
                <w:rFonts w:cs="Arial"/>
                <w:sz w:val="20"/>
                <w:szCs w:val="20"/>
                <w:lang w:val="en-US"/>
              </w:rPr>
            </w:pPr>
          </w:p>
        </w:tc>
      </w:tr>
      <w:tr w:rsidR="00BE36FB" w:rsidRPr="009B7B35" w14:paraId="7A4A8E65" w14:textId="77777777" w:rsidTr="001A7107">
        <w:tc>
          <w:tcPr>
            <w:tcW w:w="1512" w:type="pct"/>
          </w:tcPr>
          <w:p w14:paraId="64D2A45F" w14:textId="77777777" w:rsidR="00BE36FB" w:rsidRPr="009B7B35" w:rsidRDefault="00BE36FB" w:rsidP="001A7107">
            <w:pPr>
              <w:rPr>
                <w:rFonts w:cs="Arial"/>
                <w:sz w:val="20"/>
                <w:szCs w:val="20"/>
                <w:lang w:val="en-US"/>
              </w:rPr>
            </w:pPr>
            <w:r w:rsidRPr="009B7B35">
              <w:rPr>
                <w:rFonts w:cs="Arial"/>
                <w:sz w:val="20"/>
                <w:szCs w:val="20"/>
                <w:lang w:val="en-US"/>
              </w:rPr>
              <w:t>Eucalyptus crebra</w:t>
            </w:r>
          </w:p>
        </w:tc>
        <w:tc>
          <w:tcPr>
            <w:tcW w:w="1137" w:type="pct"/>
          </w:tcPr>
          <w:p w14:paraId="7FF8CCE4" w14:textId="77777777" w:rsidR="00BE36FB" w:rsidRPr="009B7B35" w:rsidRDefault="00BE36FB" w:rsidP="001A7107">
            <w:pPr>
              <w:rPr>
                <w:rFonts w:cs="Arial"/>
                <w:sz w:val="20"/>
                <w:szCs w:val="20"/>
                <w:lang w:val="en-US"/>
              </w:rPr>
            </w:pPr>
            <w:r w:rsidRPr="009B7B35">
              <w:rPr>
                <w:rFonts w:cs="Arial"/>
                <w:sz w:val="20"/>
                <w:szCs w:val="20"/>
                <w:lang w:val="en-US"/>
              </w:rPr>
              <w:t>Narrow Leaf Grey Ironbark</w:t>
            </w:r>
          </w:p>
        </w:tc>
        <w:tc>
          <w:tcPr>
            <w:tcW w:w="588" w:type="pct"/>
            <w:vAlign w:val="center"/>
          </w:tcPr>
          <w:p w14:paraId="06D934C0" w14:textId="77777777" w:rsidR="00BE36FB" w:rsidRPr="009B7B35" w:rsidRDefault="00BE36FB" w:rsidP="001A7107">
            <w:pPr>
              <w:jc w:val="center"/>
              <w:rPr>
                <w:rFonts w:cs="Arial"/>
                <w:sz w:val="20"/>
                <w:szCs w:val="20"/>
                <w:lang w:val="en-US"/>
              </w:rPr>
            </w:pPr>
          </w:p>
        </w:tc>
        <w:tc>
          <w:tcPr>
            <w:tcW w:w="588" w:type="pct"/>
            <w:vAlign w:val="center"/>
          </w:tcPr>
          <w:p w14:paraId="55C96F35" w14:textId="77777777" w:rsidR="00BE36FB" w:rsidRPr="009B7B35" w:rsidRDefault="00BE36FB" w:rsidP="001A7107">
            <w:pPr>
              <w:jc w:val="center"/>
              <w:rPr>
                <w:rFonts w:cs="Arial"/>
                <w:sz w:val="20"/>
                <w:szCs w:val="20"/>
                <w:lang w:val="en-US"/>
              </w:rPr>
            </w:pPr>
          </w:p>
        </w:tc>
        <w:tc>
          <w:tcPr>
            <w:tcW w:w="588" w:type="pct"/>
            <w:vAlign w:val="center"/>
          </w:tcPr>
          <w:p w14:paraId="2BBC2CB5" w14:textId="77777777" w:rsidR="00BE36FB" w:rsidRPr="009B7B35" w:rsidRDefault="00BE36FB" w:rsidP="001A7107">
            <w:pPr>
              <w:jc w:val="center"/>
              <w:rPr>
                <w:rFonts w:cs="Arial"/>
                <w:sz w:val="20"/>
                <w:szCs w:val="20"/>
                <w:lang w:val="en-US"/>
              </w:rPr>
            </w:pPr>
          </w:p>
        </w:tc>
        <w:tc>
          <w:tcPr>
            <w:tcW w:w="587" w:type="pct"/>
            <w:vAlign w:val="center"/>
          </w:tcPr>
          <w:p w14:paraId="6D0BD72B" w14:textId="77777777" w:rsidR="00BE36FB" w:rsidRPr="009B7B35" w:rsidRDefault="00BE36FB" w:rsidP="001A7107">
            <w:pPr>
              <w:jc w:val="center"/>
              <w:rPr>
                <w:rFonts w:cs="Arial"/>
                <w:sz w:val="20"/>
                <w:szCs w:val="20"/>
                <w:lang w:val="en-US"/>
              </w:rPr>
            </w:pPr>
          </w:p>
        </w:tc>
      </w:tr>
      <w:tr w:rsidR="00BE36FB" w:rsidRPr="009B7B35" w14:paraId="08B24A02" w14:textId="77777777" w:rsidTr="001A7107">
        <w:tc>
          <w:tcPr>
            <w:tcW w:w="1512" w:type="pct"/>
          </w:tcPr>
          <w:p w14:paraId="1945A99C" w14:textId="77777777" w:rsidR="00BE36FB" w:rsidRPr="009B7B35" w:rsidRDefault="00BE36FB" w:rsidP="001A7107">
            <w:pPr>
              <w:rPr>
                <w:rFonts w:cs="Arial"/>
                <w:sz w:val="20"/>
                <w:szCs w:val="20"/>
                <w:lang w:val="en-US"/>
              </w:rPr>
            </w:pPr>
            <w:r w:rsidRPr="009B7B35">
              <w:rPr>
                <w:rFonts w:cs="Arial"/>
                <w:sz w:val="20"/>
                <w:szCs w:val="20"/>
                <w:lang w:val="en-US"/>
              </w:rPr>
              <w:t>Eucalyptus major</w:t>
            </w:r>
          </w:p>
        </w:tc>
        <w:tc>
          <w:tcPr>
            <w:tcW w:w="1137" w:type="pct"/>
          </w:tcPr>
          <w:p w14:paraId="20889553" w14:textId="77777777" w:rsidR="00BE36FB" w:rsidRPr="009B7B35" w:rsidRDefault="00BE36FB" w:rsidP="001A7107">
            <w:pPr>
              <w:rPr>
                <w:rFonts w:cs="Arial"/>
                <w:sz w:val="20"/>
                <w:szCs w:val="20"/>
                <w:lang w:val="en-US"/>
              </w:rPr>
            </w:pPr>
            <w:r w:rsidRPr="009B7B35">
              <w:rPr>
                <w:rFonts w:cs="Arial"/>
                <w:sz w:val="20"/>
                <w:szCs w:val="20"/>
                <w:lang w:val="en-US"/>
              </w:rPr>
              <w:t>Grey Gum</w:t>
            </w:r>
          </w:p>
        </w:tc>
        <w:tc>
          <w:tcPr>
            <w:tcW w:w="588" w:type="pct"/>
            <w:vAlign w:val="center"/>
          </w:tcPr>
          <w:p w14:paraId="32D547DA" w14:textId="77777777" w:rsidR="00BE36FB" w:rsidRPr="009B7B35" w:rsidRDefault="00BE36FB" w:rsidP="001A7107">
            <w:pPr>
              <w:jc w:val="center"/>
              <w:rPr>
                <w:rFonts w:cs="Arial"/>
                <w:sz w:val="20"/>
                <w:szCs w:val="20"/>
                <w:lang w:val="en-US"/>
              </w:rPr>
            </w:pPr>
          </w:p>
        </w:tc>
        <w:tc>
          <w:tcPr>
            <w:tcW w:w="588" w:type="pct"/>
            <w:vAlign w:val="center"/>
          </w:tcPr>
          <w:p w14:paraId="3B32409A" w14:textId="77777777" w:rsidR="00BE36FB" w:rsidRPr="009B7B35" w:rsidRDefault="00BE36FB" w:rsidP="001A7107">
            <w:pPr>
              <w:jc w:val="center"/>
              <w:rPr>
                <w:rFonts w:cs="Arial"/>
                <w:sz w:val="20"/>
                <w:szCs w:val="20"/>
                <w:lang w:val="en-US"/>
              </w:rPr>
            </w:pPr>
          </w:p>
        </w:tc>
        <w:tc>
          <w:tcPr>
            <w:tcW w:w="588" w:type="pct"/>
            <w:vAlign w:val="center"/>
          </w:tcPr>
          <w:p w14:paraId="11E51596" w14:textId="77777777" w:rsidR="00BE36FB" w:rsidRPr="009B7B35" w:rsidRDefault="00BE36FB" w:rsidP="001A7107">
            <w:pPr>
              <w:jc w:val="center"/>
              <w:rPr>
                <w:rFonts w:cs="Arial"/>
                <w:sz w:val="20"/>
                <w:szCs w:val="20"/>
                <w:lang w:val="en-US"/>
              </w:rPr>
            </w:pPr>
          </w:p>
        </w:tc>
        <w:tc>
          <w:tcPr>
            <w:tcW w:w="587" w:type="pct"/>
            <w:vAlign w:val="center"/>
          </w:tcPr>
          <w:p w14:paraId="1C79D377" w14:textId="77777777" w:rsidR="00BE36FB" w:rsidRPr="009B7B35" w:rsidRDefault="00BE36FB" w:rsidP="001A7107">
            <w:pPr>
              <w:jc w:val="center"/>
              <w:rPr>
                <w:rFonts w:cs="Arial"/>
                <w:sz w:val="20"/>
                <w:szCs w:val="20"/>
                <w:lang w:val="en-US"/>
              </w:rPr>
            </w:pPr>
          </w:p>
        </w:tc>
      </w:tr>
      <w:tr w:rsidR="00BE36FB" w:rsidRPr="009B7B35" w14:paraId="4F450A43" w14:textId="77777777" w:rsidTr="001A7107">
        <w:tc>
          <w:tcPr>
            <w:tcW w:w="1512" w:type="pct"/>
          </w:tcPr>
          <w:p w14:paraId="3ACDF708" w14:textId="77777777" w:rsidR="00BE36FB" w:rsidRPr="009B7B35" w:rsidRDefault="00BE36FB" w:rsidP="001A7107">
            <w:pPr>
              <w:rPr>
                <w:rFonts w:cs="Arial"/>
                <w:sz w:val="20"/>
                <w:szCs w:val="20"/>
                <w:lang w:val="en-US"/>
              </w:rPr>
            </w:pPr>
            <w:r w:rsidRPr="009B7B35">
              <w:rPr>
                <w:rFonts w:cs="Arial"/>
                <w:sz w:val="20"/>
                <w:szCs w:val="20"/>
                <w:lang w:val="en-US"/>
              </w:rPr>
              <w:t>Eucalyptus robusta</w:t>
            </w:r>
          </w:p>
        </w:tc>
        <w:tc>
          <w:tcPr>
            <w:tcW w:w="1137" w:type="pct"/>
          </w:tcPr>
          <w:p w14:paraId="0A8AD29D" w14:textId="77777777" w:rsidR="00BE36FB" w:rsidRPr="009B7B35" w:rsidRDefault="00BE36FB" w:rsidP="001A7107">
            <w:pPr>
              <w:rPr>
                <w:rFonts w:cs="Arial"/>
                <w:sz w:val="20"/>
                <w:szCs w:val="20"/>
                <w:lang w:val="en-US"/>
              </w:rPr>
            </w:pPr>
            <w:r w:rsidRPr="009B7B35">
              <w:rPr>
                <w:rFonts w:cs="Arial"/>
                <w:sz w:val="20"/>
                <w:szCs w:val="20"/>
                <w:lang w:val="en-US"/>
              </w:rPr>
              <w:t>Swamp Mahogany</w:t>
            </w:r>
          </w:p>
        </w:tc>
        <w:tc>
          <w:tcPr>
            <w:tcW w:w="588" w:type="pct"/>
            <w:vAlign w:val="center"/>
          </w:tcPr>
          <w:p w14:paraId="0ABE894F"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4AA65EFC"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6B96C7BB"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2793724" w14:textId="77777777" w:rsidR="00BE36FB" w:rsidRPr="009B7B35" w:rsidRDefault="00BE36FB" w:rsidP="001A7107">
            <w:pPr>
              <w:jc w:val="center"/>
              <w:rPr>
                <w:rFonts w:cs="Arial"/>
                <w:sz w:val="20"/>
                <w:szCs w:val="20"/>
                <w:lang w:val="en-US"/>
              </w:rPr>
            </w:pPr>
          </w:p>
        </w:tc>
      </w:tr>
      <w:tr w:rsidR="00BE36FB" w:rsidRPr="009B7B35" w14:paraId="55119754" w14:textId="77777777" w:rsidTr="001A7107">
        <w:tc>
          <w:tcPr>
            <w:tcW w:w="1512" w:type="pct"/>
          </w:tcPr>
          <w:p w14:paraId="26A7904C" w14:textId="77777777" w:rsidR="00BE36FB" w:rsidRPr="009B7B35" w:rsidRDefault="00BE36FB" w:rsidP="001A7107">
            <w:pPr>
              <w:rPr>
                <w:rFonts w:cs="Arial"/>
                <w:sz w:val="20"/>
                <w:szCs w:val="20"/>
                <w:lang w:val="en-US"/>
              </w:rPr>
            </w:pPr>
            <w:r w:rsidRPr="009B7B35">
              <w:rPr>
                <w:rFonts w:cs="Arial"/>
                <w:sz w:val="20"/>
                <w:szCs w:val="20"/>
                <w:lang w:val="en-US"/>
              </w:rPr>
              <w:t>Eucalyptus racemosa</w:t>
            </w:r>
          </w:p>
        </w:tc>
        <w:tc>
          <w:tcPr>
            <w:tcW w:w="1137" w:type="pct"/>
          </w:tcPr>
          <w:p w14:paraId="055772ED" w14:textId="77777777" w:rsidR="00BE36FB" w:rsidRPr="009B7B35" w:rsidRDefault="00BE36FB" w:rsidP="001A7107">
            <w:pPr>
              <w:rPr>
                <w:rFonts w:cs="Arial"/>
                <w:sz w:val="20"/>
                <w:szCs w:val="20"/>
                <w:lang w:val="en-US"/>
              </w:rPr>
            </w:pPr>
            <w:r w:rsidRPr="009B7B35">
              <w:rPr>
                <w:rFonts w:cs="Arial"/>
                <w:sz w:val="20"/>
                <w:szCs w:val="20"/>
                <w:lang w:val="en-US"/>
              </w:rPr>
              <w:t>Scribbly Gum</w:t>
            </w:r>
          </w:p>
        </w:tc>
        <w:tc>
          <w:tcPr>
            <w:tcW w:w="588" w:type="pct"/>
            <w:vAlign w:val="center"/>
          </w:tcPr>
          <w:p w14:paraId="06E0B43C"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756F15DE"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41A6EF11"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3C2E3E1C" w14:textId="77777777" w:rsidR="00BE36FB" w:rsidRPr="009B7B35" w:rsidRDefault="00BE36FB" w:rsidP="001A7107">
            <w:pPr>
              <w:jc w:val="center"/>
              <w:rPr>
                <w:rFonts w:cs="Arial"/>
                <w:sz w:val="20"/>
                <w:szCs w:val="20"/>
                <w:lang w:val="en-US"/>
              </w:rPr>
            </w:pPr>
          </w:p>
        </w:tc>
      </w:tr>
      <w:tr w:rsidR="00BE36FB" w:rsidRPr="009B7B35" w14:paraId="0E490A32" w14:textId="77777777" w:rsidTr="001A7107">
        <w:tc>
          <w:tcPr>
            <w:tcW w:w="1512" w:type="pct"/>
          </w:tcPr>
          <w:p w14:paraId="1EE76595" w14:textId="77777777" w:rsidR="00BE36FB" w:rsidRPr="009B7B35" w:rsidRDefault="00BE36FB" w:rsidP="001A7107">
            <w:pPr>
              <w:rPr>
                <w:rFonts w:cs="Arial"/>
                <w:sz w:val="20"/>
                <w:szCs w:val="20"/>
                <w:lang w:val="en-US"/>
              </w:rPr>
            </w:pPr>
            <w:r w:rsidRPr="009B7B35">
              <w:rPr>
                <w:rFonts w:cs="Arial"/>
                <w:sz w:val="20"/>
                <w:szCs w:val="20"/>
                <w:lang w:val="en-US"/>
              </w:rPr>
              <w:t>Eucalyptus tereticornis</w:t>
            </w:r>
          </w:p>
        </w:tc>
        <w:tc>
          <w:tcPr>
            <w:tcW w:w="1137" w:type="pct"/>
          </w:tcPr>
          <w:p w14:paraId="2E30C678" w14:textId="77777777" w:rsidR="00BE36FB" w:rsidRPr="009B7B35" w:rsidRDefault="00BE36FB" w:rsidP="001A7107">
            <w:pPr>
              <w:rPr>
                <w:rFonts w:cs="Arial"/>
                <w:sz w:val="20"/>
                <w:szCs w:val="20"/>
                <w:lang w:val="en-US"/>
              </w:rPr>
            </w:pPr>
            <w:r w:rsidRPr="009B7B35">
              <w:rPr>
                <w:rFonts w:cs="Arial"/>
                <w:sz w:val="20"/>
                <w:szCs w:val="20"/>
                <w:lang w:val="en-US"/>
              </w:rPr>
              <w:t>Forest Red Gum/ Queensland Blue Gum</w:t>
            </w:r>
          </w:p>
        </w:tc>
        <w:tc>
          <w:tcPr>
            <w:tcW w:w="588" w:type="pct"/>
            <w:vAlign w:val="center"/>
          </w:tcPr>
          <w:p w14:paraId="203AAC0F" w14:textId="77777777" w:rsidR="00BE36FB" w:rsidRPr="009B7B35" w:rsidRDefault="00BE36FB" w:rsidP="001A7107">
            <w:pPr>
              <w:jc w:val="center"/>
              <w:rPr>
                <w:rFonts w:cs="Arial"/>
                <w:sz w:val="20"/>
                <w:szCs w:val="20"/>
                <w:lang w:val="en-US"/>
              </w:rPr>
            </w:pPr>
            <w:r w:rsidRPr="009B7B35">
              <w:rPr>
                <w:rFonts w:cs="Arial"/>
                <w:sz w:val="20"/>
                <w:szCs w:val="20"/>
                <w:lang w:val="en-US"/>
              </w:rPr>
              <w:t>10 to 15</w:t>
            </w:r>
          </w:p>
        </w:tc>
        <w:tc>
          <w:tcPr>
            <w:tcW w:w="588" w:type="pct"/>
            <w:vAlign w:val="center"/>
          </w:tcPr>
          <w:p w14:paraId="05E77359" w14:textId="77777777" w:rsidR="00BE36FB" w:rsidRPr="009B7B35" w:rsidRDefault="00BE36FB" w:rsidP="001A7107">
            <w:pPr>
              <w:jc w:val="center"/>
              <w:rPr>
                <w:rFonts w:cs="Arial"/>
                <w:sz w:val="20"/>
                <w:szCs w:val="20"/>
                <w:lang w:val="en-US"/>
              </w:rPr>
            </w:pPr>
            <w:r w:rsidRPr="009B7B35">
              <w:rPr>
                <w:rFonts w:cs="Arial"/>
                <w:sz w:val="20"/>
                <w:szCs w:val="20"/>
                <w:lang w:val="en-US"/>
              </w:rPr>
              <w:t>5 to 6</w:t>
            </w:r>
          </w:p>
        </w:tc>
        <w:tc>
          <w:tcPr>
            <w:tcW w:w="588" w:type="pct"/>
            <w:vAlign w:val="center"/>
          </w:tcPr>
          <w:p w14:paraId="1B40E424"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37D0582" w14:textId="77777777" w:rsidR="00BE36FB" w:rsidRPr="009B7B35" w:rsidRDefault="00BE36FB" w:rsidP="001A7107">
            <w:pPr>
              <w:jc w:val="center"/>
              <w:rPr>
                <w:rFonts w:cs="Arial"/>
                <w:sz w:val="20"/>
                <w:szCs w:val="20"/>
                <w:lang w:val="en-US"/>
              </w:rPr>
            </w:pPr>
          </w:p>
        </w:tc>
      </w:tr>
      <w:tr w:rsidR="00BE36FB" w:rsidRPr="009B7B35" w14:paraId="476E0426" w14:textId="77777777" w:rsidTr="001A7107">
        <w:tc>
          <w:tcPr>
            <w:tcW w:w="1512" w:type="pct"/>
          </w:tcPr>
          <w:p w14:paraId="2318DBF5" w14:textId="77777777" w:rsidR="00BE36FB" w:rsidRPr="009B7B35" w:rsidRDefault="00BE36FB" w:rsidP="001A7107">
            <w:pPr>
              <w:rPr>
                <w:rFonts w:cs="Arial"/>
                <w:sz w:val="20"/>
                <w:szCs w:val="20"/>
                <w:lang w:val="en-US"/>
              </w:rPr>
            </w:pPr>
            <w:r w:rsidRPr="009B7B35">
              <w:rPr>
                <w:rFonts w:cs="Arial"/>
                <w:sz w:val="20"/>
                <w:szCs w:val="20"/>
                <w:lang w:val="en-US"/>
              </w:rPr>
              <w:t>Corymbia tessellaris*</w:t>
            </w:r>
          </w:p>
        </w:tc>
        <w:tc>
          <w:tcPr>
            <w:tcW w:w="1137" w:type="pct"/>
          </w:tcPr>
          <w:p w14:paraId="0BBB1DE6" w14:textId="77777777" w:rsidR="00BE36FB" w:rsidRPr="009B7B35" w:rsidRDefault="00BE36FB" w:rsidP="001A7107">
            <w:pPr>
              <w:rPr>
                <w:rFonts w:cs="Arial"/>
                <w:sz w:val="20"/>
                <w:szCs w:val="20"/>
                <w:lang w:val="en-US"/>
              </w:rPr>
            </w:pPr>
            <w:r w:rsidRPr="009B7B35">
              <w:rPr>
                <w:rFonts w:cs="Arial"/>
                <w:sz w:val="20"/>
                <w:szCs w:val="20"/>
                <w:lang w:val="en-US"/>
              </w:rPr>
              <w:t>Moreton Bay Ash</w:t>
            </w:r>
          </w:p>
        </w:tc>
        <w:tc>
          <w:tcPr>
            <w:tcW w:w="588" w:type="pct"/>
            <w:vAlign w:val="center"/>
          </w:tcPr>
          <w:p w14:paraId="2476B681"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7944444F"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4AFD758C"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8935698" w14:textId="77777777" w:rsidR="00BE36FB" w:rsidRPr="009B7B35" w:rsidRDefault="00BE36FB" w:rsidP="001A7107">
            <w:pPr>
              <w:jc w:val="center"/>
              <w:rPr>
                <w:rFonts w:cs="Arial"/>
                <w:sz w:val="20"/>
                <w:szCs w:val="20"/>
                <w:lang w:val="en-US"/>
              </w:rPr>
            </w:pPr>
          </w:p>
        </w:tc>
      </w:tr>
      <w:tr w:rsidR="00BE36FB" w:rsidRPr="009B7B35" w14:paraId="290E4816" w14:textId="77777777" w:rsidTr="001A7107">
        <w:tc>
          <w:tcPr>
            <w:tcW w:w="1512" w:type="pct"/>
          </w:tcPr>
          <w:p w14:paraId="62A1F441" w14:textId="77777777" w:rsidR="00BE36FB" w:rsidRPr="009B7B35" w:rsidRDefault="00BE36FB" w:rsidP="001A7107">
            <w:pPr>
              <w:rPr>
                <w:rFonts w:cs="Arial"/>
                <w:sz w:val="20"/>
                <w:szCs w:val="20"/>
                <w:lang w:val="en-US"/>
              </w:rPr>
            </w:pPr>
            <w:r w:rsidRPr="009B7B35">
              <w:rPr>
                <w:rFonts w:cs="Arial"/>
                <w:sz w:val="20"/>
                <w:szCs w:val="20"/>
                <w:lang w:val="en-US"/>
              </w:rPr>
              <w:t>Eugenia reinwardtiana*</w:t>
            </w:r>
          </w:p>
        </w:tc>
        <w:tc>
          <w:tcPr>
            <w:tcW w:w="1137" w:type="pct"/>
          </w:tcPr>
          <w:p w14:paraId="7A244244" w14:textId="77777777" w:rsidR="00BE36FB" w:rsidRPr="009B7B35" w:rsidRDefault="00BE36FB" w:rsidP="001A7107">
            <w:pPr>
              <w:rPr>
                <w:rFonts w:cs="Arial"/>
                <w:sz w:val="20"/>
                <w:szCs w:val="20"/>
                <w:lang w:val="en-US"/>
              </w:rPr>
            </w:pPr>
            <w:r w:rsidRPr="009B7B35">
              <w:rPr>
                <w:rFonts w:cs="Arial"/>
                <w:sz w:val="20"/>
                <w:szCs w:val="20"/>
                <w:lang w:val="en-US"/>
              </w:rPr>
              <w:t>Beach Cherry</w:t>
            </w:r>
          </w:p>
        </w:tc>
        <w:tc>
          <w:tcPr>
            <w:tcW w:w="588" w:type="pct"/>
            <w:vAlign w:val="center"/>
          </w:tcPr>
          <w:p w14:paraId="5C0F370B"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4EBF8314"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24146731"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DC77CDF" w14:textId="77777777" w:rsidR="00BE36FB" w:rsidRPr="009B7B35" w:rsidRDefault="00BE36FB" w:rsidP="001A7107">
            <w:pPr>
              <w:jc w:val="center"/>
              <w:rPr>
                <w:rFonts w:cs="Arial"/>
                <w:sz w:val="20"/>
                <w:szCs w:val="20"/>
                <w:lang w:val="en-US"/>
              </w:rPr>
            </w:pPr>
          </w:p>
        </w:tc>
      </w:tr>
      <w:tr w:rsidR="00BE36FB" w:rsidRPr="009B7B35" w14:paraId="2BE60D49" w14:textId="77777777" w:rsidTr="001A7107">
        <w:tc>
          <w:tcPr>
            <w:tcW w:w="1512" w:type="pct"/>
          </w:tcPr>
          <w:p w14:paraId="23F03C00" w14:textId="77777777" w:rsidR="00BE36FB" w:rsidRPr="009B7B35" w:rsidRDefault="00BE36FB" w:rsidP="001A7107">
            <w:pPr>
              <w:rPr>
                <w:rFonts w:cs="Arial"/>
                <w:sz w:val="20"/>
                <w:szCs w:val="20"/>
                <w:lang w:val="en-US"/>
              </w:rPr>
            </w:pPr>
            <w:r w:rsidRPr="009B7B35">
              <w:rPr>
                <w:rFonts w:cs="Arial"/>
                <w:sz w:val="20"/>
                <w:szCs w:val="20"/>
                <w:lang w:val="en-US"/>
              </w:rPr>
              <w:t>Euroschinus falcatus*</w:t>
            </w:r>
          </w:p>
        </w:tc>
        <w:tc>
          <w:tcPr>
            <w:tcW w:w="1137" w:type="pct"/>
          </w:tcPr>
          <w:p w14:paraId="523A94D4" w14:textId="77777777" w:rsidR="00BE36FB" w:rsidRPr="009B7B35" w:rsidRDefault="00BE36FB" w:rsidP="001A7107">
            <w:pPr>
              <w:rPr>
                <w:rFonts w:cs="Arial"/>
                <w:sz w:val="20"/>
                <w:szCs w:val="20"/>
                <w:lang w:val="en-US"/>
              </w:rPr>
            </w:pPr>
            <w:r w:rsidRPr="009B7B35">
              <w:rPr>
                <w:rFonts w:cs="Arial"/>
                <w:sz w:val="20"/>
                <w:szCs w:val="20"/>
                <w:lang w:val="en-US"/>
              </w:rPr>
              <w:t>Ribbonwood</w:t>
            </w:r>
          </w:p>
        </w:tc>
        <w:tc>
          <w:tcPr>
            <w:tcW w:w="588" w:type="pct"/>
            <w:vAlign w:val="center"/>
          </w:tcPr>
          <w:p w14:paraId="2C6C7823" w14:textId="77777777"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14:paraId="58499880"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1A6C52C6"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8B03B77" w14:textId="77777777" w:rsidR="00BE36FB" w:rsidRPr="009B7B35" w:rsidRDefault="00BE36FB" w:rsidP="001A7107">
            <w:pPr>
              <w:jc w:val="center"/>
              <w:rPr>
                <w:rFonts w:cs="Arial"/>
                <w:sz w:val="20"/>
                <w:szCs w:val="20"/>
                <w:lang w:val="en-US"/>
              </w:rPr>
            </w:pPr>
          </w:p>
        </w:tc>
      </w:tr>
      <w:tr w:rsidR="00BE36FB" w:rsidRPr="009B7B35" w14:paraId="3460E41C" w14:textId="77777777" w:rsidTr="001A7107">
        <w:tc>
          <w:tcPr>
            <w:tcW w:w="1512" w:type="pct"/>
          </w:tcPr>
          <w:p w14:paraId="3398872E" w14:textId="77777777" w:rsidR="00BE36FB" w:rsidRPr="009B7B35" w:rsidRDefault="00BE36FB" w:rsidP="001A7107">
            <w:pPr>
              <w:rPr>
                <w:rFonts w:cs="Arial"/>
                <w:sz w:val="20"/>
                <w:szCs w:val="20"/>
                <w:lang w:val="en-US"/>
              </w:rPr>
            </w:pPr>
            <w:r w:rsidRPr="009B7B35">
              <w:rPr>
                <w:rFonts w:cs="Arial"/>
                <w:sz w:val="20"/>
                <w:szCs w:val="20"/>
                <w:lang w:val="en-US"/>
              </w:rPr>
              <w:t>Ficus obliqua</w:t>
            </w:r>
          </w:p>
        </w:tc>
        <w:tc>
          <w:tcPr>
            <w:tcW w:w="1137" w:type="pct"/>
          </w:tcPr>
          <w:p w14:paraId="7D86CB7F" w14:textId="77777777" w:rsidR="00BE36FB" w:rsidRPr="009B7B35" w:rsidRDefault="00BE36FB" w:rsidP="001A7107">
            <w:pPr>
              <w:rPr>
                <w:rFonts w:cs="Arial"/>
                <w:sz w:val="20"/>
                <w:szCs w:val="20"/>
                <w:lang w:val="en-US"/>
              </w:rPr>
            </w:pPr>
            <w:r w:rsidRPr="009B7B35">
              <w:rPr>
                <w:rFonts w:cs="Arial"/>
                <w:sz w:val="20"/>
                <w:szCs w:val="20"/>
                <w:lang w:val="en-US"/>
              </w:rPr>
              <w:t>Small Leaved Fig</w:t>
            </w:r>
          </w:p>
        </w:tc>
        <w:tc>
          <w:tcPr>
            <w:tcW w:w="588" w:type="pct"/>
            <w:vAlign w:val="center"/>
          </w:tcPr>
          <w:p w14:paraId="3739B488" w14:textId="77777777" w:rsidR="00BE36FB" w:rsidRPr="009B7B35" w:rsidRDefault="00BE36FB" w:rsidP="001A7107">
            <w:pPr>
              <w:jc w:val="center"/>
              <w:rPr>
                <w:rFonts w:cs="Arial"/>
                <w:sz w:val="20"/>
                <w:szCs w:val="20"/>
                <w:lang w:val="en-US"/>
              </w:rPr>
            </w:pPr>
            <w:r w:rsidRPr="009B7B35">
              <w:rPr>
                <w:rFonts w:cs="Arial"/>
                <w:sz w:val="20"/>
                <w:szCs w:val="20"/>
                <w:lang w:val="en-US"/>
              </w:rPr>
              <w:t>15</w:t>
            </w:r>
          </w:p>
        </w:tc>
        <w:tc>
          <w:tcPr>
            <w:tcW w:w="588" w:type="pct"/>
            <w:vAlign w:val="center"/>
          </w:tcPr>
          <w:p w14:paraId="3BCFA6BD"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283C78A1"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2EC7568" w14:textId="77777777" w:rsidR="00BE36FB" w:rsidRPr="009B7B35" w:rsidRDefault="00BE36FB" w:rsidP="001A7107">
            <w:pPr>
              <w:jc w:val="center"/>
              <w:rPr>
                <w:rFonts w:cs="Arial"/>
                <w:sz w:val="20"/>
                <w:szCs w:val="20"/>
                <w:lang w:val="en-US"/>
              </w:rPr>
            </w:pPr>
          </w:p>
        </w:tc>
      </w:tr>
      <w:tr w:rsidR="00BE36FB" w:rsidRPr="009B7B35" w14:paraId="5F6B2D4A" w14:textId="77777777" w:rsidTr="001A7107">
        <w:tc>
          <w:tcPr>
            <w:tcW w:w="1512" w:type="pct"/>
          </w:tcPr>
          <w:p w14:paraId="041BCB09" w14:textId="77777777" w:rsidR="00BE36FB" w:rsidRPr="009B7B35" w:rsidRDefault="00BE36FB" w:rsidP="001A7107">
            <w:pPr>
              <w:rPr>
                <w:rFonts w:cs="Arial"/>
                <w:sz w:val="20"/>
                <w:szCs w:val="20"/>
                <w:lang w:val="en-US"/>
              </w:rPr>
            </w:pPr>
            <w:r w:rsidRPr="009B7B35">
              <w:rPr>
                <w:rFonts w:cs="Arial"/>
                <w:sz w:val="20"/>
                <w:szCs w:val="20"/>
                <w:lang w:val="en-US"/>
              </w:rPr>
              <w:t>Ficus rubiginosa</w:t>
            </w:r>
          </w:p>
        </w:tc>
        <w:tc>
          <w:tcPr>
            <w:tcW w:w="1137" w:type="pct"/>
          </w:tcPr>
          <w:p w14:paraId="3948C8F9" w14:textId="77777777" w:rsidR="00BE36FB" w:rsidRPr="009B7B35" w:rsidRDefault="00BE36FB" w:rsidP="001A7107">
            <w:pPr>
              <w:rPr>
                <w:rFonts w:cs="Arial"/>
                <w:sz w:val="20"/>
                <w:szCs w:val="20"/>
                <w:lang w:val="en-US"/>
              </w:rPr>
            </w:pPr>
            <w:r w:rsidRPr="009B7B35">
              <w:rPr>
                <w:rFonts w:cs="Arial"/>
                <w:sz w:val="20"/>
                <w:szCs w:val="20"/>
                <w:lang w:val="en-US"/>
              </w:rPr>
              <w:t>Small Leaved Moreton Bay Fig</w:t>
            </w:r>
          </w:p>
        </w:tc>
        <w:tc>
          <w:tcPr>
            <w:tcW w:w="588" w:type="pct"/>
            <w:vAlign w:val="center"/>
          </w:tcPr>
          <w:p w14:paraId="3852D4D8"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5CBC3AE2"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3C2BD6D4"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8DD5DFA" w14:textId="77777777" w:rsidR="00BE36FB" w:rsidRPr="009B7B35" w:rsidRDefault="00BE36FB" w:rsidP="001A7107">
            <w:pPr>
              <w:jc w:val="center"/>
              <w:rPr>
                <w:rFonts w:cs="Arial"/>
                <w:sz w:val="20"/>
                <w:szCs w:val="20"/>
                <w:lang w:val="en-US"/>
              </w:rPr>
            </w:pPr>
          </w:p>
        </w:tc>
      </w:tr>
      <w:tr w:rsidR="00BE36FB" w:rsidRPr="009B7B35" w14:paraId="6AF05BA9" w14:textId="77777777" w:rsidTr="001A7107">
        <w:tc>
          <w:tcPr>
            <w:tcW w:w="1512" w:type="pct"/>
          </w:tcPr>
          <w:p w14:paraId="2DB55842" w14:textId="77777777" w:rsidR="00BE36FB" w:rsidRPr="009B7B35" w:rsidRDefault="00BE36FB" w:rsidP="001A7107">
            <w:pPr>
              <w:rPr>
                <w:rFonts w:cs="Arial"/>
                <w:sz w:val="20"/>
                <w:szCs w:val="20"/>
                <w:lang w:val="en-US"/>
              </w:rPr>
            </w:pPr>
            <w:r w:rsidRPr="009B7B35">
              <w:rPr>
                <w:rFonts w:cs="Arial"/>
                <w:sz w:val="20"/>
                <w:szCs w:val="20"/>
                <w:lang w:val="en-US"/>
              </w:rPr>
              <w:t>Ficus spp.</w:t>
            </w:r>
          </w:p>
          <w:p w14:paraId="2107B6CB" w14:textId="77777777" w:rsidR="00BE36FB" w:rsidRPr="009B7B35" w:rsidRDefault="00BE36FB" w:rsidP="001A7107">
            <w:pPr>
              <w:rPr>
                <w:rFonts w:cs="Arial"/>
                <w:sz w:val="20"/>
                <w:szCs w:val="20"/>
                <w:lang w:val="en-US"/>
              </w:rPr>
            </w:pPr>
            <w:r w:rsidRPr="009B7B35">
              <w:rPr>
                <w:rFonts w:cs="Arial"/>
                <w:sz w:val="20"/>
                <w:szCs w:val="20"/>
                <w:lang w:val="en-US"/>
              </w:rPr>
              <w:t>(including sandpaperfigs but excluding F. elastica)</w:t>
            </w:r>
          </w:p>
        </w:tc>
        <w:tc>
          <w:tcPr>
            <w:tcW w:w="1137" w:type="pct"/>
          </w:tcPr>
          <w:p w14:paraId="3FFC42EB" w14:textId="77777777" w:rsidR="00BE36FB" w:rsidRPr="009B7B35" w:rsidRDefault="00BE36FB" w:rsidP="001A7107">
            <w:pPr>
              <w:rPr>
                <w:rFonts w:cs="Arial"/>
                <w:sz w:val="20"/>
                <w:szCs w:val="20"/>
                <w:lang w:val="en-US"/>
              </w:rPr>
            </w:pPr>
            <w:r w:rsidRPr="009B7B35">
              <w:rPr>
                <w:rFonts w:cs="Arial"/>
                <w:sz w:val="20"/>
                <w:szCs w:val="20"/>
                <w:lang w:val="en-US"/>
              </w:rPr>
              <w:t>Fig Trees</w:t>
            </w:r>
          </w:p>
        </w:tc>
        <w:tc>
          <w:tcPr>
            <w:tcW w:w="588" w:type="pct"/>
            <w:vAlign w:val="center"/>
          </w:tcPr>
          <w:p w14:paraId="4B9FFB8D"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53822351"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4291C520"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D442946"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15DD7DD5" wp14:editId="6D31205B">
                  <wp:extent cx="180000" cy="180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118ED478" w14:textId="77777777" w:rsidTr="001A7107">
        <w:tc>
          <w:tcPr>
            <w:tcW w:w="1512" w:type="pct"/>
          </w:tcPr>
          <w:p w14:paraId="21F95EB4" w14:textId="77777777" w:rsidR="00BE36FB" w:rsidRPr="009B7B35" w:rsidRDefault="00BE36FB" w:rsidP="001A7107">
            <w:pPr>
              <w:rPr>
                <w:rFonts w:cs="Arial"/>
                <w:sz w:val="20"/>
                <w:szCs w:val="20"/>
                <w:lang w:val="en-US"/>
              </w:rPr>
            </w:pPr>
            <w:r w:rsidRPr="009B7B35">
              <w:rPr>
                <w:rFonts w:cs="Arial"/>
                <w:sz w:val="20"/>
                <w:szCs w:val="20"/>
                <w:lang w:val="en-US"/>
              </w:rPr>
              <w:t>Flindersia australis</w:t>
            </w:r>
          </w:p>
        </w:tc>
        <w:tc>
          <w:tcPr>
            <w:tcW w:w="1137" w:type="pct"/>
          </w:tcPr>
          <w:p w14:paraId="76B2E00D" w14:textId="77777777" w:rsidR="00BE36FB" w:rsidRPr="009B7B35" w:rsidRDefault="00BE36FB" w:rsidP="001A7107">
            <w:pPr>
              <w:rPr>
                <w:rFonts w:cs="Arial"/>
                <w:sz w:val="20"/>
                <w:szCs w:val="20"/>
                <w:lang w:val="en-US"/>
              </w:rPr>
            </w:pPr>
            <w:r w:rsidRPr="009B7B35">
              <w:rPr>
                <w:rFonts w:cs="Arial"/>
                <w:sz w:val="20"/>
                <w:szCs w:val="20"/>
                <w:lang w:val="en-US"/>
              </w:rPr>
              <w:t>Crows Ash / Australian Teak</w:t>
            </w:r>
          </w:p>
        </w:tc>
        <w:tc>
          <w:tcPr>
            <w:tcW w:w="588" w:type="pct"/>
            <w:vAlign w:val="center"/>
          </w:tcPr>
          <w:p w14:paraId="474A498F" w14:textId="77777777" w:rsidR="00BE36FB" w:rsidRPr="009B7B35" w:rsidRDefault="00BE36FB" w:rsidP="001A7107">
            <w:pPr>
              <w:jc w:val="center"/>
              <w:rPr>
                <w:rFonts w:cs="Arial"/>
                <w:sz w:val="20"/>
                <w:szCs w:val="20"/>
                <w:lang w:val="en-US"/>
              </w:rPr>
            </w:pPr>
            <w:r w:rsidRPr="009B7B35">
              <w:rPr>
                <w:rFonts w:cs="Arial"/>
                <w:sz w:val="20"/>
                <w:szCs w:val="20"/>
                <w:lang w:val="en-US"/>
              </w:rPr>
              <w:t>30</w:t>
            </w:r>
          </w:p>
        </w:tc>
        <w:tc>
          <w:tcPr>
            <w:tcW w:w="588" w:type="pct"/>
            <w:vAlign w:val="center"/>
          </w:tcPr>
          <w:p w14:paraId="07F4D017"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55DFAD5D"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10AACAB" w14:textId="77777777" w:rsidR="00BE36FB" w:rsidRPr="009B7B35" w:rsidRDefault="00BE36FB" w:rsidP="001A7107">
            <w:pPr>
              <w:jc w:val="center"/>
              <w:rPr>
                <w:rFonts w:cs="Arial"/>
                <w:sz w:val="20"/>
                <w:szCs w:val="20"/>
                <w:lang w:val="en-US"/>
              </w:rPr>
            </w:pPr>
          </w:p>
        </w:tc>
      </w:tr>
      <w:tr w:rsidR="00BE36FB" w:rsidRPr="009B7B35" w14:paraId="6775EA66" w14:textId="77777777" w:rsidTr="001A7107">
        <w:tc>
          <w:tcPr>
            <w:tcW w:w="1512" w:type="pct"/>
          </w:tcPr>
          <w:p w14:paraId="2F79C9DA" w14:textId="77777777" w:rsidR="00BE36FB" w:rsidRPr="009B7B35" w:rsidRDefault="00BE36FB" w:rsidP="001A7107">
            <w:pPr>
              <w:rPr>
                <w:rFonts w:cs="Arial"/>
                <w:sz w:val="20"/>
                <w:szCs w:val="20"/>
                <w:lang w:val="en-US"/>
              </w:rPr>
            </w:pPr>
            <w:r w:rsidRPr="009B7B35">
              <w:rPr>
                <w:rFonts w:cs="Arial"/>
                <w:sz w:val="20"/>
                <w:szCs w:val="20"/>
                <w:lang w:val="en-US"/>
              </w:rPr>
              <w:t>Flindersia collina</w:t>
            </w:r>
          </w:p>
        </w:tc>
        <w:tc>
          <w:tcPr>
            <w:tcW w:w="1137" w:type="pct"/>
          </w:tcPr>
          <w:p w14:paraId="6E416F65" w14:textId="77777777" w:rsidR="00BE36FB" w:rsidRPr="009B7B35" w:rsidRDefault="00BE36FB" w:rsidP="001A7107">
            <w:pPr>
              <w:rPr>
                <w:rFonts w:cs="Arial"/>
                <w:sz w:val="20"/>
                <w:szCs w:val="20"/>
                <w:lang w:val="en-US"/>
              </w:rPr>
            </w:pPr>
            <w:r w:rsidRPr="009B7B35">
              <w:rPr>
                <w:rFonts w:cs="Arial"/>
                <w:sz w:val="20"/>
                <w:szCs w:val="20"/>
                <w:lang w:val="en-US"/>
              </w:rPr>
              <w:t>Leopard Wood</w:t>
            </w:r>
          </w:p>
        </w:tc>
        <w:tc>
          <w:tcPr>
            <w:tcW w:w="588" w:type="pct"/>
            <w:vAlign w:val="center"/>
          </w:tcPr>
          <w:p w14:paraId="5F5B6AEA"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512186EC"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0E41E580"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110E2A35" w14:textId="77777777" w:rsidR="00BE36FB" w:rsidRPr="009B7B35" w:rsidRDefault="00BE36FB" w:rsidP="001A7107">
            <w:pPr>
              <w:jc w:val="center"/>
              <w:rPr>
                <w:rFonts w:cs="Arial"/>
                <w:sz w:val="20"/>
                <w:szCs w:val="20"/>
                <w:lang w:val="en-US"/>
              </w:rPr>
            </w:pPr>
          </w:p>
        </w:tc>
      </w:tr>
      <w:tr w:rsidR="00BE36FB" w:rsidRPr="009B7B35" w14:paraId="674FE8FA" w14:textId="77777777" w:rsidTr="001A7107">
        <w:tc>
          <w:tcPr>
            <w:tcW w:w="1512" w:type="pct"/>
          </w:tcPr>
          <w:p w14:paraId="31AE3F45" w14:textId="77777777" w:rsidR="00BE36FB" w:rsidRPr="009B7B35" w:rsidRDefault="00BE36FB" w:rsidP="001A7107">
            <w:pPr>
              <w:rPr>
                <w:rFonts w:cs="Arial"/>
                <w:sz w:val="20"/>
                <w:szCs w:val="20"/>
                <w:lang w:val="en-US"/>
              </w:rPr>
            </w:pPr>
            <w:r w:rsidRPr="009B7B35">
              <w:rPr>
                <w:rFonts w:cs="Arial"/>
                <w:sz w:val="20"/>
                <w:szCs w:val="20"/>
                <w:lang w:val="en-US"/>
              </w:rPr>
              <w:t>Flindersia schottiana</w:t>
            </w:r>
          </w:p>
        </w:tc>
        <w:tc>
          <w:tcPr>
            <w:tcW w:w="1137" w:type="pct"/>
          </w:tcPr>
          <w:p w14:paraId="04BE0958" w14:textId="77777777" w:rsidR="00BE36FB" w:rsidRPr="009B7B35" w:rsidRDefault="00BE36FB" w:rsidP="001A7107">
            <w:pPr>
              <w:rPr>
                <w:rFonts w:cs="Arial"/>
                <w:sz w:val="20"/>
                <w:szCs w:val="20"/>
                <w:lang w:val="en-US"/>
              </w:rPr>
            </w:pPr>
            <w:r w:rsidRPr="009B7B35">
              <w:rPr>
                <w:rFonts w:cs="Arial"/>
                <w:sz w:val="20"/>
                <w:szCs w:val="20"/>
                <w:lang w:val="en-US"/>
              </w:rPr>
              <w:t>Bumpy Ash</w:t>
            </w:r>
          </w:p>
        </w:tc>
        <w:tc>
          <w:tcPr>
            <w:tcW w:w="588" w:type="pct"/>
            <w:vAlign w:val="center"/>
          </w:tcPr>
          <w:p w14:paraId="09792F31" w14:textId="77777777"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14:paraId="09142373"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64A0B28A"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3EE4814" w14:textId="77777777" w:rsidR="00BE36FB" w:rsidRPr="009B7B35" w:rsidRDefault="00BE36FB" w:rsidP="001A7107">
            <w:pPr>
              <w:jc w:val="center"/>
              <w:rPr>
                <w:rFonts w:cs="Arial"/>
                <w:sz w:val="20"/>
                <w:szCs w:val="20"/>
                <w:lang w:val="en-US"/>
              </w:rPr>
            </w:pPr>
          </w:p>
        </w:tc>
      </w:tr>
      <w:tr w:rsidR="00BE36FB" w:rsidRPr="009B7B35" w14:paraId="0140EFC1" w14:textId="77777777" w:rsidTr="001A7107">
        <w:tc>
          <w:tcPr>
            <w:tcW w:w="1512" w:type="pct"/>
          </w:tcPr>
          <w:p w14:paraId="7FA9A41F" w14:textId="77777777" w:rsidR="00BE36FB" w:rsidRPr="009B7B35" w:rsidRDefault="00BE36FB" w:rsidP="001A7107">
            <w:pPr>
              <w:rPr>
                <w:rFonts w:cs="Arial"/>
                <w:sz w:val="20"/>
                <w:szCs w:val="20"/>
                <w:lang w:val="en-US"/>
              </w:rPr>
            </w:pPr>
            <w:r w:rsidRPr="009B7B35">
              <w:rPr>
                <w:rFonts w:cs="Arial"/>
                <w:sz w:val="20"/>
                <w:szCs w:val="20"/>
                <w:lang w:val="en-US"/>
              </w:rPr>
              <w:t>Geissis benthami</w:t>
            </w:r>
          </w:p>
        </w:tc>
        <w:tc>
          <w:tcPr>
            <w:tcW w:w="1137" w:type="pct"/>
          </w:tcPr>
          <w:p w14:paraId="2A0A2948" w14:textId="77777777" w:rsidR="00BE36FB" w:rsidRPr="009B7B35" w:rsidRDefault="00BE36FB" w:rsidP="001A7107">
            <w:pPr>
              <w:rPr>
                <w:rFonts w:cs="Arial"/>
                <w:sz w:val="20"/>
                <w:szCs w:val="20"/>
                <w:lang w:val="en-US"/>
              </w:rPr>
            </w:pPr>
            <w:r w:rsidRPr="009B7B35">
              <w:rPr>
                <w:rFonts w:cs="Arial"/>
                <w:sz w:val="20"/>
                <w:szCs w:val="20"/>
                <w:lang w:val="en-US"/>
              </w:rPr>
              <w:t>Red Carabeen</w:t>
            </w:r>
          </w:p>
        </w:tc>
        <w:tc>
          <w:tcPr>
            <w:tcW w:w="588" w:type="pct"/>
            <w:vAlign w:val="center"/>
          </w:tcPr>
          <w:p w14:paraId="62DE77E9"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0BAB0DCC"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3C3D1105" w14:textId="77777777" w:rsidR="00BE36FB" w:rsidRPr="009B7B35" w:rsidRDefault="00BE36FB" w:rsidP="001A7107">
            <w:pPr>
              <w:jc w:val="center"/>
              <w:rPr>
                <w:rFonts w:cs="Arial"/>
                <w:sz w:val="20"/>
                <w:szCs w:val="20"/>
                <w:lang w:val="en-US"/>
              </w:rPr>
            </w:pPr>
          </w:p>
        </w:tc>
        <w:tc>
          <w:tcPr>
            <w:tcW w:w="587" w:type="pct"/>
            <w:vAlign w:val="center"/>
          </w:tcPr>
          <w:p w14:paraId="0DC2B25A" w14:textId="77777777" w:rsidR="00BE36FB" w:rsidRPr="009B7B35" w:rsidRDefault="00BE36FB" w:rsidP="001A7107">
            <w:pPr>
              <w:jc w:val="center"/>
              <w:rPr>
                <w:rFonts w:cs="Arial"/>
                <w:sz w:val="20"/>
                <w:szCs w:val="20"/>
                <w:lang w:val="en-US"/>
              </w:rPr>
            </w:pPr>
          </w:p>
        </w:tc>
      </w:tr>
      <w:tr w:rsidR="00BE36FB" w:rsidRPr="009B7B35" w14:paraId="43032BE9" w14:textId="77777777" w:rsidTr="001A7107">
        <w:tc>
          <w:tcPr>
            <w:tcW w:w="1512" w:type="pct"/>
          </w:tcPr>
          <w:p w14:paraId="333A7669" w14:textId="77777777" w:rsidR="00BE36FB" w:rsidRPr="009B7B35" w:rsidRDefault="00BE36FB" w:rsidP="001A7107">
            <w:pPr>
              <w:rPr>
                <w:rFonts w:cs="Arial"/>
                <w:sz w:val="20"/>
                <w:szCs w:val="20"/>
                <w:lang w:val="en-US"/>
              </w:rPr>
            </w:pPr>
            <w:r w:rsidRPr="009B7B35">
              <w:rPr>
                <w:rFonts w:cs="Arial"/>
                <w:sz w:val="20"/>
                <w:szCs w:val="20"/>
                <w:lang w:val="en-US"/>
              </w:rPr>
              <w:t>Glochidion ferdinandii</w:t>
            </w:r>
          </w:p>
        </w:tc>
        <w:tc>
          <w:tcPr>
            <w:tcW w:w="1137" w:type="pct"/>
          </w:tcPr>
          <w:p w14:paraId="64DD75EE" w14:textId="77777777" w:rsidR="00BE36FB" w:rsidRPr="009B7B35" w:rsidRDefault="00BE36FB" w:rsidP="001A7107">
            <w:pPr>
              <w:rPr>
                <w:rFonts w:cs="Arial"/>
                <w:sz w:val="20"/>
                <w:szCs w:val="20"/>
                <w:lang w:val="en-US"/>
              </w:rPr>
            </w:pPr>
            <w:r w:rsidRPr="009B7B35">
              <w:rPr>
                <w:rFonts w:cs="Arial"/>
                <w:sz w:val="20"/>
                <w:szCs w:val="20"/>
                <w:lang w:val="en-US"/>
              </w:rPr>
              <w:t>Cheese Fig</w:t>
            </w:r>
          </w:p>
        </w:tc>
        <w:tc>
          <w:tcPr>
            <w:tcW w:w="588" w:type="pct"/>
            <w:vAlign w:val="center"/>
          </w:tcPr>
          <w:p w14:paraId="1F02245C"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3039A701"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2EC89314"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FBF2534" w14:textId="77777777" w:rsidR="00BE36FB" w:rsidRPr="009B7B35" w:rsidRDefault="00BE36FB" w:rsidP="001A7107">
            <w:pPr>
              <w:jc w:val="center"/>
              <w:rPr>
                <w:rFonts w:cs="Arial"/>
                <w:sz w:val="20"/>
                <w:szCs w:val="20"/>
                <w:lang w:val="en-US"/>
              </w:rPr>
            </w:pPr>
          </w:p>
        </w:tc>
      </w:tr>
      <w:tr w:rsidR="00BE36FB" w:rsidRPr="009B7B35" w14:paraId="6E26735A" w14:textId="77777777" w:rsidTr="001A7107">
        <w:tc>
          <w:tcPr>
            <w:tcW w:w="1512" w:type="pct"/>
          </w:tcPr>
          <w:p w14:paraId="6BB85253" w14:textId="77777777" w:rsidR="00BE36FB" w:rsidRPr="009B7B35" w:rsidRDefault="00BE36FB" w:rsidP="001A7107">
            <w:pPr>
              <w:rPr>
                <w:rFonts w:cs="Arial"/>
                <w:sz w:val="20"/>
                <w:szCs w:val="20"/>
                <w:lang w:val="en-US"/>
              </w:rPr>
            </w:pPr>
            <w:r w:rsidRPr="009B7B35">
              <w:rPr>
                <w:rFonts w:cs="Arial"/>
                <w:sz w:val="20"/>
                <w:szCs w:val="20"/>
                <w:lang w:val="en-US"/>
              </w:rPr>
              <w:t>Gmelina leichardtii</w:t>
            </w:r>
          </w:p>
        </w:tc>
        <w:tc>
          <w:tcPr>
            <w:tcW w:w="1137" w:type="pct"/>
          </w:tcPr>
          <w:p w14:paraId="193B1B56" w14:textId="77777777" w:rsidR="00BE36FB" w:rsidRPr="009B7B35" w:rsidRDefault="00BE36FB" w:rsidP="001A7107">
            <w:pPr>
              <w:rPr>
                <w:rFonts w:cs="Arial"/>
                <w:sz w:val="20"/>
                <w:szCs w:val="20"/>
                <w:lang w:val="en-US"/>
              </w:rPr>
            </w:pPr>
            <w:r w:rsidRPr="009B7B35">
              <w:rPr>
                <w:rFonts w:cs="Arial"/>
                <w:sz w:val="20"/>
                <w:szCs w:val="20"/>
                <w:lang w:val="en-US"/>
              </w:rPr>
              <w:t>White Beech</w:t>
            </w:r>
          </w:p>
        </w:tc>
        <w:tc>
          <w:tcPr>
            <w:tcW w:w="588" w:type="pct"/>
            <w:vAlign w:val="center"/>
          </w:tcPr>
          <w:p w14:paraId="0B947C5A" w14:textId="77777777"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14:paraId="5A732E75"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0FCA2D53"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A39956E" w14:textId="77777777" w:rsidR="00BE36FB" w:rsidRPr="009B7B35" w:rsidRDefault="00BE36FB" w:rsidP="001A7107">
            <w:pPr>
              <w:jc w:val="center"/>
              <w:rPr>
                <w:rFonts w:cs="Arial"/>
                <w:sz w:val="20"/>
                <w:szCs w:val="20"/>
                <w:lang w:val="en-US"/>
              </w:rPr>
            </w:pPr>
          </w:p>
        </w:tc>
      </w:tr>
      <w:tr w:rsidR="00BE36FB" w:rsidRPr="009B7B35" w14:paraId="6EB686A6" w14:textId="77777777" w:rsidTr="001A7107">
        <w:tc>
          <w:tcPr>
            <w:tcW w:w="1512" w:type="pct"/>
          </w:tcPr>
          <w:p w14:paraId="54242E18" w14:textId="77777777" w:rsidR="00BE36FB" w:rsidRPr="009B7B35" w:rsidRDefault="00BE36FB" w:rsidP="001A7107">
            <w:pPr>
              <w:rPr>
                <w:rFonts w:cs="Arial"/>
                <w:sz w:val="20"/>
                <w:szCs w:val="20"/>
                <w:lang w:val="en-US"/>
              </w:rPr>
            </w:pPr>
            <w:r w:rsidRPr="009B7B35">
              <w:rPr>
                <w:rFonts w:cs="Arial"/>
                <w:sz w:val="20"/>
                <w:szCs w:val="20"/>
                <w:lang w:val="en-US"/>
              </w:rPr>
              <w:t>Goodenia spp.</w:t>
            </w:r>
          </w:p>
        </w:tc>
        <w:tc>
          <w:tcPr>
            <w:tcW w:w="1137" w:type="pct"/>
          </w:tcPr>
          <w:p w14:paraId="0B0925DD" w14:textId="77777777" w:rsidR="00BE36FB" w:rsidRPr="009B7B35" w:rsidRDefault="00BE36FB" w:rsidP="001A7107">
            <w:pPr>
              <w:rPr>
                <w:rFonts w:cs="Arial"/>
                <w:sz w:val="20"/>
                <w:szCs w:val="20"/>
                <w:lang w:val="en-US"/>
              </w:rPr>
            </w:pPr>
          </w:p>
        </w:tc>
        <w:tc>
          <w:tcPr>
            <w:tcW w:w="588" w:type="pct"/>
            <w:vAlign w:val="center"/>
          </w:tcPr>
          <w:p w14:paraId="78FE4C46"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4EC11416"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602C772B"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4E48B08" w14:textId="77777777" w:rsidR="00BE36FB" w:rsidRPr="009B7B35" w:rsidRDefault="00BE36FB" w:rsidP="001A7107">
            <w:pPr>
              <w:jc w:val="center"/>
              <w:rPr>
                <w:rFonts w:cs="Arial"/>
                <w:sz w:val="20"/>
                <w:szCs w:val="20"/>
                <w:lang w:val="en-US"/>
              </w:rPr>
            </w:pPr>
          </w:p>
        </w:tc>
      </w:tr>
      <w:tr w:rsidR="00BE36FB" w:rsidRPr="009B7B35" w14:paraId="61CD037C" w14:textId="77777777" w:rsidTr="001A7107">
        <w:tc>
          <w:tcPr>
            <w:tcW w:w="1512" w:type="pct"/>
          </w:tcPr>
          <w:p w14:paraId="6B5878DA" w14:textId="77777777" w:rsidR="00BE36FB" w:rsidRPr="009B7B35" w:rsidRDefault="00BE36FB" w:rsidP="001A7107">
            <w:pPr>
              <w:rPr>
                <w:rFonts w:cs="Arial"/>
                <w:sz w:val="20"/>
                <w:szCs w:val="20"/>
                <w:lang w:val="en-US"/>
              </w:rPr>
            </w:pPr>
            <w:r w:rsidRPr="009B7B35">
              <w:rPr>
                <w:rFonts w:cs="Arial"/>
                <w:sz w:val="20"/>
                <w:szCs w:val="20"/>
                <w:lang w:val="en-US"/>
              </w:rPr>
              <w:t>Graptophyllum excelsum</w:t>
            </w:r>
          </w:p>
        </w:tc>
        <w:tc>
          <w:tcPr>
            <w:tcW w:w="1137" w:type="pct"/>
          </w:tcPr>
          <w:p w14:paraId="3C21286D" w14:textId="77777777" w:rsidR="00BE36FB" w:rsidRPr="009B7B35" w:rsidRDefault="00BE36FB" w:rsidP="001A7107">
            <w:pPr>
              <w:rPr>
                <w:rFonts w:cs="Arial"/>
                <w:sz w:val="20"/>
                <w:szCs w:val="20"/>
                <w:lang w:val="en-US"/>
              </w:rPr>
            </w:pPr>
            <w:r w:rsidRPr="009B7B35">
              <w:rPr>
                <w:rFonts w:cs="Arial"/>
                <w:sz w:val="20"/>
                <w:szCs w:val="20"/>
                <w:lang w:val="en-US"/>
              </w:rPr>
              <w:t>Scarlet Fuschia</w:t>
            </w:r>
          </w:p>
        </w:tc>
        <w:tc>
          <w:tcPr>
            <w:tcW w:w="588" w:type="pct"/>
            <w:vAlign w:val="center"/>
          </w:tcPr>
          <w:p w14:paraId="5F18A05B"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4ECCBD31"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1F82DD7D" w14:textId="77777777" w:rsidR="00BE36FB" w:rsidRPr="009B7B35" w:rsidRDefault="00BE36FB" w:rsidP="001A7107">
            <w:pPr>
              <w:jc w:val="center"/>
              <w:rPr>
                <w:rFonts w:cs="Arial"/>
                <w:sz w:val="20"/>
                <w:szCs w:val="20"/>
                <w:lang w:val="en-US"/>
              </w:rPr>
            </w:pPr>
          </w:p>
        </w:tc>
        <w:tc>
          <w:tcPr>
            <w:tcW w:w="587" w:type="pct"/>
            <w:vAlign w:val="center"/>
          </w:tcPr>
          <w:p w14:paraId="7A77D255" w14:textId="77777777" w:rsidR="00BE36FB" w:rsidRPr="009B7B35" w:rsidRDefault="00BE36FB" w:rsidP="001A7107">
            <w:pPr>
              <w:jc w:val="center"/>
              <w:rPr>
                <w:rFonts w:cs="Arial"/>
                <w:sz w:val="20"/>
                <w:szCs w:val="20"/>
                <w:lang w:val="en-US"/>
              </w:rPr>
            </w:pPr>
          </w:p>
        </w:tc>
      </w:tr>
      <w:tr w:rsidR="00BE36FB" w:rsidRPr="009B7B35" w14:paraId="33068D69" w14:textId="77777777" w:rsidTr="001A7107">
        <w:tc>
          <w:tcPr>
            <w:tcW w:w="1512" w:type="pct"/>
          </w:tcPr>
          <w:p w14:paraId="110B8896" w14:textId="77777777" w:rsidR="00BE36FB" w:rsidRPr="009B7B35" w:rsidRDefault="00BE36FB" w:rsidP="001A7107">
            <w:pPr>
              <w:rPr>
                <w:rFonts w:cs="Arial"/>
                <w:sz w:val="20"/>
                <w:szCs w:val="20"/>
                <w:lang w:val="en-US"/>
              </w:rPr>
            </w:pPr>
            <w:r w:rsidRPr="009B7B35">
              <w:rPr>
                <w:rFonts w:cs="Arial"/>
                <w:sz w:val="20"/>
                <w:szCs w:val="20"/>
                <w:lang w:val="en-US"/>
              </w:rPr>
              <w:t>Grevillea lanigera – dwarf</w:t>
            </w:r>
          </w:p>
        </w:tc>
        <w:tc>
          <w:tcPr>
            <w:tcW w:w="1137" w:type="pct"/>
          </w:tcPr>
          <w:p w14:paraId="0283A27C" w14:textId="77777777" w:rsidR="00BE36FB" w:rsidRPr="009B7B35" w:rsidRDefault="00BE36FB" w:rsidP="001A7107">
            <w:pPr>
              <w:rPr>
                <w:rFonts w:cs="Arial"/>
                <w:sz w:val="20"/>
                <w:szCs w:val="20"/>
                <w:lang w:val="en-US"/>
              </w:rPr>
            </w:pPr>
          </w:p>
        </w:tc>
        <w:tc>
          <w:tcPr>
            <w:tcW w:w="588" w:type="pct"/>
            <w:vAlign w:val="center"/>
          </w:tcPr>
          <w:p w14:paraId="0EFD272C" w14:textId="77777777" w:rsidR="00BE36FB" w:rsidRPr="009B7B35" w:rsidRDefault="00BE36FB" w:rsidP="001A7107">
            <w:pPr>
              <w:jc w:val="center"/>
              <w:rPr>
                <w:rFonts w:cs="Arial"/>
                <w:sz w:val="20"/>
                <w:szCs w:val="20"/>
                <w:lang w:val="en-US"/>
              </w:rPr>
            </w:pPr>
          </w:p>
        </w:tc>
        <w:tc>
          <w:tcPr>
            <w:tcW w:w="588" w:type="pct"/>
            <w:vAlign w:val="center"/>
          </w:tcPr>
          <w:p w14:paraId="20D47857" w14:textId="77777777" w:rsidR="00BE36FB" w:rsidRPr="009B7B35" w:rsidRDefault="00BE36FB" w:rsidP="001A7107">
            <w:pPr>
              <w:jc w:val="center"/>
              <w:rPr>
                <w:rFonts w:cs="Arial"/>
                <w:sz w:val="20"/>
                <w:szCs w:val="20"/>
                <w:lang w:val="en-US"/>
              </w:rPr>
            </w:pPr>
          </w:p>
        </w:tc>
        <w:tc>
          <w:tcPr>
            <w:tcW w:w="588" w:type="pct"/>
            <w:vAlign w:val="center"/>
          </w:tcPr>
          <w:p w14:paraId="12195250" w14:textId="77777777" w:rsidR="00BE36FB" w:rsidRPr="009B7B35" w:rsidRDefault="00BE36FB" w:rsidP="001A7107">
            <w:pPr>
              <w:jc w:val="center"/>
              <w:rPr>
                <w:rFonts w:cs="Arial"/>
                <w:sz w:val="20"/>
                <w:szCs w:val="20"/>
                <w:lang w:val="en-US"/>
              </w:rPr>
            </w:pPr>
          </w:p>
        </w:tc>
        <w:tc>
          <w:tcPr>
            <w:tcW w:w="587" w:type="pct"/>
            <w:vAlign w:val="center"/>
          </w:tcPr>
          <w:p w14:paraId="70777D15" w14:textId="77777777" w:rsidR="00BE36FB" w:rsidRPr="009B7B35" w:rsidRDefault="00BE36FB" w:rsidP="001A7107">
            <w:pPr>
              <w:jc w:val="center"/>
              <w:rPr>
                <w:rFonts w:cs="Arial"/>
                <w:sz w:val="20"/>
                <w:szCs w:val="20"/>
                <w:lang w:val="en-US"/>
              </w:rPr>
            </w:pPr>
          </w:p>
        </w:tc>
      </w:tr>
      <w:tr w:rsidR="00BE36FB" w:rsidRPr="009B7B35" w14:paraId="04E3CA58" w14:textId="77777777" w:rsidTr="001A7107">
        <w:tc>
          <w:tcPr>
            <w:tcW w:w="1512" w:type="pct"/>
          </w:tcPr>
          <w:p w14:paraId="1D6BB583" w14:textId="77777777" w:rsidR="00BE36FB" w:rsidRPr="009B7B35" w:rsidRDefault="00BE36FB" w:rsidP="001A7107">
            <w:pPr>
              <w:rPr>
                <w:rFonts w:cs="Arial"/>
                <w:sz w:val="20"/>
                <w:szCs w:val="20"/>
                <w:lang w:val="en-US"/>
              </w:rPr>
            </w:pPr>
            <w:r w:rsidRPr="009B7B35">
              <w:rPr>
                <w:rFonts w:cs="Arial"/>
                <w:sz w:val="20"/>
                <w:szCs w:val="20"/>
                <w:lang w:val="en-US"/>
              </w:rPr>
              <w:t>Grevillea baileyana</w:t>
            </w:r>
          </w:p>
        </w:tc>
        <w:tc>
          <w:tcPr>
            <w:tcW w:w="1137" w:type="pct"/>
          </w:tcPr>
          <w:p w14:paraId="481F1730" w14:textId="77777777" w:rsidR="00BE36FB" w:rsidRPr="009B7B35" w:rsidRDefault="00BE36FB" w:rsidP="001A7107">
            <w:pPr>
              <w:rPr>
                <w:rFonts w:cs="Arial"/>
                <w:sz w:val="20"/>
                <w:szCs w:val="20"/>
                <w:lang w:val="en-US"/>
              </w:rPr>
            </w:pPr>
            <w:r w:rsidRPr="009B7B35">
              <w:rPr>
                <w:rFonts w:cs="Arial"/>
                <w:sz w:val="20"/>
                <w:szCs w:val="20"/>
                <w:lang w:val="en-US"/>
              </w:rPr>
              <w:t>White Oak</w:t>
            </w:r>
          </w:p>
        </w:tc>
        <w:tc>
          <w:tcPr>
            <w:tcW w:w="588" w:type="pct"/>
            <w:vAlign w:val="center"/>
          </w:tcPr>
          <w:p w14:paraId="6BC979E8"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2B56A195"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3581A4FA" w14:textId="77777777" w:rsidR="00BE36FB" w:rsidRPr="009B7B35" w:rsidRDefault="00BE36FB" w:rsidP="001A7107">
            <w:pPr>
              <w:jc w:val="center"/>
              <w:rPr>
                <w:rFonts w:cs="Arial"/>
                <w:sz w:val="20"/>
                <w:szCs w:val="20"/>
                <w:lang w:val="en-US"/>
              </w:rPr>
            </w:pPr>
          </w:p>
        </w:tc>
        <w:tc>
          <w:tcPr>
            <w:tcW w:w="587" w:type="pct"/>
            <w:vAlign w:val="center"/>
          </w:tcPr>
          <w:p w14:paraId="49A2C81D" w14:textId="77777777" w:rsidR="00BE36FB" w:rsidRPr="009B7B35" w:rsidRDefault="00BE36FB" w:rsidP="001A7107">
            <w:pPr>
              <w:jc w:val="center"/>
              <w:rPr>
                <w:rFonts w:cs="Arial"/>
                <w:sz w:val="20"/>
                <w:szCs w:val="20"/>
                <w:lang w:val="en-US"/>
              </w:rPr>
            </w:pPr>
          </w:p>
        </w:tc>
      </w:tr>
      <w:tr w:rsidR="00BE36FB" w:rsidRPr="009B7B35" w14:paraId="61EA29BC" w14:textId="77777777" w:rsidTr="001A7107">
        <w:tc>
          <w:tcPr>
            <w:tcW w:w="1512" w:type="pct"/>
          </w:tcPr>
          <w:p w14:paraId="31D64239" w14:textId="77777777" w:rsidR="00BE36FB" w:rsidRPr="009B7B35" w:rsidRDefault="00BE36FB" w:rsidP="001A7107">
            <w:pPr>
              <w:rPr>
                <w:rFonts w:cs="Arial"/>
                <w:sz w:val="20"/>
                <w:szCs w:val="20"/>
                <w:lang w:val="en-US"/>
              </w:rPr>
            </w:pPr>
            <w:r w:rsidRPr="009B7B35">
              <w:rPr>
                <w:rFonts w:cs="Arial"/>
                <w:sz w:val="20"/>
                <w:szCs w:val="20"/>
                <w:lang w:val="en-US"/>
              </w:rPr>
              <w:t>Grevillea bronze rambler</w:t>
            </w:r>
          </w:p>
        </w:tc>
        <w:tc>
          <w:tcPr>
            <w:tcW w:w="1137" w:type="pct"/>
          </w:tcPr>
          <w:p w14:paraId="03B75DA7" w14:textId="77777777" w:rsidR="00BE36FB" w:rsidRPr="009B7B35" w:rsidRDefault="00BE36FB" w:rsidP="001A7107">
            <w:pPr>
              <w:rPr>
                <w:rFonts w:cs="Arial"/>
                <w:sz w:val="20"/>
                <w:szCs w:val="20"/>
                <w:lang w:val="en-US"/>
              </w:rPr>
            </w:pPr>
          </w:p>
        </w:tc>
        <w:tc>
          <w:tcPr>
            <w:tcW w:w="588" w:type="pct"/>
            <w:vAlign w:val="center"/>
          </w:tcPr>
          <w:p w14:paraId="2C907416"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3CC22E1C"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006FB1E8" w14:textId="77777777" w:rsidR="00BE36FB" w:rsidRPr="009B7B35" w:rsidRDefault="00BE36FB" w:rsidP="001A7107">
            <w:pPr>
              <w:jc w:val="center"/>
              <w:rPr>
                <w:rFonts w:cs="Arial"/>
                <w:sz w:val="20"/>
                <w:szCs w:val="20"/>
                <w:lang w:val="en-US"/>
              </w:rPr>
            </w:pPr>
          </w:p>
        </w:tc>
        <w:tc>
          <w:tcPr>
            <w:tcW w:w="587" w:type="pct"/>
            <w:vAlign w:val="center"/>
          </w:tcPr>
          <w:p w14:paraId="5808BA91" w14:textId="77777777" w:rsidR="00BE36FB" w:rsidRPr="009B7B35" w:rsidRDefault="00BE36FB" w:rsidP="001A7107">
            <w:pPr>
              <w:jc w:val="center"/>
              <w:rPr>
                <w:rFonts w:cs="Arial"/>
                <w:sz w:val="20"/>
                <w:szCs w:val="20"/>
                <w:lang w:val="en-US"/>
              </w:rPr>
            </w:pPr>
          </w:p>
        </w:tc>
      </w:tr>
      <w:tr w:rsidR="00BE36FB" w:rsidRPr="009B7B35" w14:paraId="3EFE1D22" w14:textId="77777777" w:rsidTr="001A7107">
        <w:tc>
          <w:tcPr>
            <w:tcW w:w="1512" w:type="pct"/>
          </w:tcPr>
          <w:p w14:paraId="6F500D87" w14:textId="77777777" w:rsidR="00BE36FB" w:rsidRPr="009B7B35" w:rsidRDefault="00BE36FB" w:rsidP="001A7107">
            <w:pPr>
              <w:rPr>
                <w:rFonts w:cs="Arial"/>
                <w:sz w:val="20"/>
                <w:szCs w:val="20"/>
                <w:lang w:val="en-US"/>
              </w:rPr>
            </w:pPr>
            <w:r w:rsidRPr="009B7B35">
              <w:rPr>
                <w:rFonts w:cs="Arial"/>
                <w:sz w:val="20"/>
                <w:szCs w:val="20"/>
                <w:lang w:val="en-US"/>
              </w:rPr>
              <w:t>Grevillea forest rambler</w:t>
            </w:r>
          </w:p>
        </w:tc>
        <w:tc>
          <w:tcPr>
            <w:tcW w:w="1137" w:type="pct"/>
          </w:tcPr>
          <w:p w14:paraId="6D23D406" w14:textId="77777777" w:rsidR="00BE36FB" w:rsidRPr="009B7B35" w:rsidRDefault="00BE36FB" w:rsidP="001A7107">
            <w:pPr>
              <w:rPr>
                <w:rFonts w:cs="Arial"/>
                <w:sz w:val="20"/>
                <w:szCs w:val="20"/>
                <w:lang w:val="en-US"/>
              </w:rPr>
            </w:pPr>
          </w:p>
        </w:tc>
        <w:tc>
          <w:tcPr>
            <w:tcW w:w="588" w:type="pct"/>
            <w:vAlign w:val="center"/>
          </w:tcPr>
          <w:p w14:paraId="1289DE3F"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4E1FD84C"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36B9CB67" w14:textId="77777777" w:rsidR="00BE36FB" w:rsidRPr="009B7B35" w:rsidRDefault="00BE36FB" w:rsidP="001A7107">
            <w:pPr>
              <w:jc w:val="center"/>
              <w:rPr>
                <w:rFonts w:cs="Arial"/>
                <w:sz w:val="20"/>
                <w:szCs w:val="20"/>
                <w:lang w:val="en-US"/>
              </w:rPr>
            </w:pPr>
          </w:p>
        </w:tc>
        <w:tc>
          <w:tcPr>
            <w:tcW w:w="587" w:type="pct"/>
            <w:vAlign w:val="center"/>
          </w:tcPr>
          <w:p w14:paraId="10BD088F" w14:textId="77777777" w:rsidR="00BE36FB" w:rsidRPr="009B7B35" w:rsidRDefault="00BE36FB" w:rsidP="001A7107">
            <w:pPr>
              <w:jc w:val="center"/>
              <w:rPr>
                <w:rFonts w:cs="Arial"/>
                <w:sz w:val="20"/>
                <w:szCs w:val="20"/>
                <w:lang w:val="en-US"/>
              </w:rPr>
            </w:pPr>
          </w:p>
        </w:tc>
      </w:tr>
      <w:tr w:rsidR="00BE36FB" w:rsidRPr="009B7B35" w14:paraId="324A3D20" w14:textId="77777777" w:rsidTr="001A7107">
        <w:tc>
          <w:tcPr>
            <w:tcW w:w="1512" w:type="pct"/>
          </w:tcPr>
          <w:p w14:paraId="35B06A42" w14:textId="77777777" w:rsidR="00BE36FB" w:rsidRPr="009B7B35" w:rsidRDefault="00BE36FB" w:rsidP="001A7107">
            <w:pPr>
              <w:rPr>
                <w:rFonts w:cs="Arial"/>
                <w:sz w:val="20"/>
                <w:szCs w:val="20"/>
                <w:lang w:val="en-US"/>
              </w:rPr>
            </w:pPr>
            <w:r w:rsidRPr="009B7B35">
              <w:rPr>
                <w:rFonts w:cs="Arial"/>
                <w:sz w:val="20"/>
                <w:szCs w:val="20"/>
                <w:lang w:val="en-US"/>
              </w:rPr>
              <w:t>Grevillea hilliana</w:t>
            </w:r>
          </w:p>
        </w:tc>
        <w:tc>
          <w:tcPr>
            <w:tcW w:w="1137" w:type="pct"/>
          </w:tcPr>
          <w:p w14:paraId="4BE935B3" w14:textId="77777777" w:rsidR="00BE36FB" w:rsidRPr="009B7B35" w:rsidRDefault="00BE36FB" w:rsidP="001A7107">
            <w:pPr>
              <w:rPr>
                <w:rFonts w:cs="Arial"/>
                <w:sz w:val="20"/>
                <w:szCs w:val="20"/>
                <w:lang w:val="en-US"/>
              </w:rPr>
            </w:pPr>
            <w:r w:rsidRPr="009B7B35">
              <w:rPr>
                <w:rFonts w:cs="Arial"/>
                <w:sz w:val="20"/>
                <w:szCs w:val="20"/>
                <w:lang w:val="en-US"/>
              </w:rPr>
              <w:t>Yiel yiel</w:t>
            </w:r>
          </w:p>
        </w:tc>
        <w:tc>
          <w:tcPr>
            <w:tcW w:w="588" w:type="pct"/>
            <w:vAlign w:val="center"/>
          </w:tcPr>
          <w:p w14:paraId="4CBDF80E"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2EE21DBC"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339B774F"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E3CEC83" w14:textId="77777777" w:rsidR="00BE36FB" w:rsidRPr="009B7B35" w:rsidRDefault="00BE36FB" w:rsidP="001A7107">
            <w:pPr>
              <w:jc w:val="center"/>
              <w:rPr>
                <w:rFonts w:cs="Arial"/>
                <w:sz w:val="20"/>
                <w:szCs w:val="20"/>
                <w:lang w:val="en-US"/>
              </w:rPr>
            </w:pPr>
          </w:p>
        </w:tc>
      </w:tr>
      <w:tr w:rsidR="00BE36FB" w:rsidRPr="009B7B35" w14:paraId="79E0A19B" w14:textId="77777777" w:rsidTr="001A7107">
        <w:tc>
          <w:tcPr>
            <w:tcW w:w="1512" w:type="pct"/>
          </w:tcPr>
          <w:p w14:paraId="6517BEE1" w14:textId="77777777" w:rsidR="00BE36FB" w:rsidRPr="009B7B35" w:rsidRDefault="00BE36FB" w:rsidP="001A7107">
            <w:pPr>
              <w:rPr>
                <w:rFonts w:cs="Arial"/>
                <w:sz w:val="20"/>
                <w:szCs w:val="20"/>
                <w:lang w:val="en-US"/>
              </w:rPr>
            </w:pPr>
            <w:r w:rsidRPr="009B7B35">
              <w:rPr>
                <w:rFonts w:cs="Arial"/>
                <w:sz w:val="20"/>
                <w:szCs w:val="20"/>
                <w:lang w:val="en-US"/>
              </w:rPr>
              <w:t>Grevillea robusta</w:t>
            </w:r>
          </w:p>
        </w:tc>
        <w:tc>
          <w:tcPr>
            <w:tcW w:w="1137" w:type="pct"/>
          </w:tcPr>
          <w:p w14:paraId="5B0297CD" w14:textId="77777777" w:rsidR="00BE36FB" w:rsidRPr="009B7B35" w:rsidRDefault="00BE36FB" w:rsidP="001A7107">
            <w:pPr>
              <w:rPr>
                <w:rFonts w:cs="Arial"/>
                <w:sz w:val="20"/>
                <w:szCs w:val="20"/>
                <w:lang w:val="en-US"/>
              </w:rPr>
            </w:pPr>
            <w:r w:rsidRPr="009B7B35">
              <w:rPr>
                <w:rFonts w:cs="Arial"/>
                <w:sz w:val="20"/>
                <w:szCs w:val="20"/>
                <w:lang w:val="en-US"/>
              </w:rPr>
              <w:t>Silky Oak</w:t>
            </w:r>
          </w:p>
        </w:tc>
        <w:tc>
          <w:tcPr>
            <w:tcW w:w="588" w:type="pct"/>
            <w:vAlign w:val="center"/>
          </w:tcPr>
          <w:p w14:paraId="0D867A0E" w14:textId="77777777" w:rsidR="00BE36FB" w:rsidRPr="009B7B35" w:rsidRDefault="00BE36FB" w:rsidP="001A7107">
            <w:pPr>
              <w:jc w:val="center"/>
              <w:rPr>
                <w:rFonts w:cs="Arial"/>
                <w:sz w:val="20"/>
                <w:szCs w:val="20"/>
                <w:lang w:val="en-US"/>
              </w:rPr>
            </w:pPr>
            <w:r w:rsidRPr="009B7B35">
              <w:rPr>
                <w:rFonts w:cs="Arial"/>
                <w:sz w:val="20"/>
                <w:szCs w:val="20"/>
                <w:lang w:val="en-US"/>
              </w:rPr>
              <w:t>15</w:t>
            </w:r>
          </w:p>
        </w:tc>
        <w:tc>
          <w:tcPr>
            <w:tcW w:w="588" w:type="pct"/>
            <w:vAlign w:val="center"/>
          </w:tcPr>
          <w:p w14:paraId="7B0511BF" w14:textId="77777777" w:rsidR="00BE36FB" w:rsidRPr="009B7B35" w:rsidRDefault="00BE36FB" w:rsidP="001A7107">
            <w:pPr>
              <w:jc w:val="center"/>
              <w:rPr>
                <w:rFonts w:cs="Arial"/>
                <w:sz w:val="20"/>
                <w:szCs w:val="20"/>
                <w:lang w:val="en-US"/>
              </w:rPr>
            </w:pPr>
          </w:p>
        </w:tc>
        <w:tc>
          <w:tcPr>
            <w:tcW w:w="588" w:type="pct"/>
            <w:vAlign w:val="center"/>
          </w:tcPr>
          <w:p w14:paraId="0C86C21A"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28D120B6" w14:textId="77777777" w:rsidR="00BE36FB" w:rsidRPr="009B7B35" w:rsidRDefault="00BE36FB" w:rsidP="001A7107">
            <w:pPr>
              <w:jc w:val="center"/>
              <w:rPr>
                <w:rFonts w:cs="Arial"/>
                <w:sz w:val="20"/>
                <w:szCs w:val="20"/>
                <w:lang w:val="en-US"/>
              </w:rPr>
            </w:pPr>
          </w:p>
        </w:tc>
      </w:tr>
      <w:tr w:rsidR="00BE36FB" w:rsidRPr="009B7B35" w14:paraId="298B634E" w14:textId="77777777" w:rsidTr="001A7107">
        <w:tc>
          <w:tcPr>
            <w:tcW w:w="1512" w:type="pct"/>
          </w:tcPr>
          <w:p w14:paraId="39A4C00E" w14:textId="77777777" w:rsidR="00BE36FB" w:rsidRPr="009B7B35" w:rsidRDefault="00BE36FB" w:rsidP="001A7107">
            <w:pPr>
              <w:rPr>
                <w:rFonts w:cs="Arial"/>
                <w:sz w:val="20"/>
                <w:szCs w:val="20"/>
                <w:lang w:val="en-US"/>
              </w:rPr>
            </w:pPr>
            <w:r w:rsidRPr="009B7B35">
              <w:rPr>
                <w:rFonts w:cs="Arial"/>
                <w:sz w:val="20"/>
                <w:szCs w:val="20"/>
                <w:lang w:val="en-US"/>
              </w:rPr>
              <w:t>Grevillea royal mantle</w:t>
            </w:r>
          </w:p>
        </w:tc>
        <w:tc>
          <w:tcPr>
            <w:tcW w:w="1137" w:type="pct"/>
          </w:tcPr>
          <w:p w14:paraId="00689F99" w14:textId="77777777" w:rsidR="00BE36FB" w:rsidRPr="009B7B35" w:rsidRDefault="00BE36FB" w:rsidP="001A7107">
            <w:pPr>
              <w:rPr>
                <w:rFonts w:cs="Arial"/>
                <w:sz w:val="20"/>
                <w:szCs w:val="20"/>
                <w:lang w:val="en-US"/>
              </w:rPr>
            </w:pPr>
          </w:p>
        </w:tc>
        <w:tc>
          <w:tcPr>
            <w:tcW w:w="588" w:type="pct"/>
            <w:vAlign w:val="center"/>
          </w:tcPr>
          <w:p w14:paraId="48BF6123"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70FE4A2A"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66701C4D" w14:textId="77777777" w:rsidR="00BE36FB" w:rsidRPr="009B7B35" w:rsidRDefault="00BE36FB" w:rsidP="001A7107">
            <w:pPr>
              <w:jc w:val="center"/>
              <w:rPr>
                <w:rFonts w:cs="Arial"/>
                <w:sz w:val="20"/>
                <w:szCs w:val="20"/>
                <w:lang w:val="en-US"/>
              </w:rPr>
            </w:pPr>
          </w:p>
        </w:tc>
        <w:tc>
          <w:tcPr>
            <w:tcW w:w="587" w:type="pct"/>
            <w:vAlign w:val="center"/>
          </w:tcPr>
          <w:p w14:paraId="75FA974D" w14:textId="77777777" w:rsidR="00BE36FB" w:rsidRPr="009B7B35" w:rsidRDefault="00BE36FB" w:rsidP="001A7107">
            <w:pPr>
              <w:jc w:val="center"/>
              <w:rPr>
                <w:rFonts w:cs="Arial"/>
                <w:sz w:val="20"/>
                <w:szCs w:val="20"/>
                <w:lang w:val="en-US"/>
              </w:rPr>
            </w:pPr>
          </w:p>
        </w:tc>
      </w:tr>
      <w:tr w:rsidR="00BE36FB" w:rsidRPr="009B7B35" w14:paraId="37064A88" w14:textId="77777777" w:rsidTr="001A7107">
        <w:tc>
          <w:tcPr>
            <w:tcW w:w="1512" w:type="pct"/>
          </w:tcPr>
          <w:p w14:paraId="636D6467" w14:textId="77777777" w:rsidR="00BE36FB" w:rsidRPr="009B7B35" w:rsidRDefault="00BE36FB" w:rsidP="001A7107">
            <w:pPr>
              <w:rPr>
                <w:rFonts w:cs="Arial"/>
                <w:sz w:val="20"/>
                <w:szCs w:val="20"/>
                <w:lang w:val="en-US"/>
              </w:rPr>
            </w:pPr>
            <w:r w:rsidRPr="009B7B35">
              <w:rPr>
                <w:rFonts w:cs="Arial"/>
                <w:sz w:val="20"/>
                <w:szCs w:val="20"/>
                <w:lang w:val="en-US"/>
              </w:rPr>
              <w:t>Grevillea spp.</w:t>
            </w:r>
          </w:p>
        </w:tc>
        <w:tc>
          <w:tcPr>
            <w:tcW w:w="1137" w:type="pct"/>
          </w:tcPr>
          <w:p w14:paraId="76B19EAD" w14:textId="77777777" w:rsidR="00BE36FB" w:rsidRPr="009B7B35" w:rsidRDefault="00BE36FB" w:rsidP="001A7107">
            <w:pPr>
              <w:rPr>
                <w:rFonts w:cs="Arial"/>
                <w:sz w:val="20"/>
                <w:szCs w:val="20"/>
                <w:lang w:val="en-US"/>
              </w:rPr>
            </w:pPr>
          </w:p>
        </w:tc>
        <w:tc>
          <w:tcPr>
            <w:tcW w:w="588" w:type="pct"/>
            <w:vAlign w:val="center"/>
          </w:tcPr>
          <w:p w14:paraId="17215C32"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75DA9BB0"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5E93B19C"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311A57B" w14:textId="77777777" w:rsidR="00BE36FB" w:rsidRPr="009B7B35" w:rsidRDefault="00BE36FB" w:rsidP="001A7107">
            <w:pPr>
              <w:jc w:val="center"/>
              <w:rPr>
                <w:rFonts w:cs="Arial"/>
                <w:sz w:val="20"/>
                <w:szCs w:val="20"/>
                <w:lang w:val="en-US"/>
              </w:rPr>
            </w:pPr>
          </w:p>
        </w:tc>
      </w:tr>
      <w:tr w:rsidR="00BE36FB" w:rsidRPr="009B7B35" w14:paraId="00A170F6" w14:textId="77777777" w:rsidTr="001A7107">
        <w:tc>
          <w:tcPr>
            <w:tcW w:w="1512" w:type="pct"/>
          </w:tcPr>
          <w:p w14:paraId="07661E00" w14:textId="77777777" w:rsidR="00BE36FB" w:rsidRPr="009B7B35" w:rsidRDefault="00BE36FB" w:rsidP="001A7107">
            <w:pPr>
              <w:rPr>
                <w:rFonts w:cs="Arial"/>
                <w:sz w:val="20"/>
                <w:szCs w:val="20"/>
                <w:lang w:val="en-US"/>
              </w:rPr>
            </w:pPr>
            <w:r w:rsidRPr="009B7B35">
              <w:rPr>
                <w:rFonts w:cs="Arial"/>
                <w:sz w:val="20"/>
                <w:szCs w:val="20"/>
                <w:lang w:val="en-US"/>
              </w:rPr>
              <w:t>Grevillea spp.</w:t>
            </w:r>
          </w:p>
          <w:p w14:paraId="73998A43" w14:textId="77777777" w:rsidR="00BE36FB" w:rsidRPr="009B7B35" w:rsidRDefault="00BE36FB" w:rsidP="001A7107">
            <w:pPr>
              <w:rPr>
                <w:rFonts w:cs="Arial"/>
                <w:sz w:val="20"/>
                <w:szCs w:val="20"/>
                <w:lang w:val="en-US"/>
              </w:rPr>
            </w:pPr>
            <w:r w:rsidRPr="009B7B35">
              <w:rPr>
                <w:rFonts w:cs="Arial"/>
                <w:sz w:val="20"/>
                <w:szCs w:val="20"/>
                <w:lang w:val="en-US"/>
              </w:rPr>
              <w:t>(suggested shrubs – G.banksii, coastal glow, honey gem, majestic, moonlight, orange marmalade, pink surprise, Sandra Gordon and trees – G. baileyana, hilliana, robusta)</w:t>
            </w:r>
          </w:p>
        </w:tc>
        <w:tc>
          <w:tcPr>
            <w:tcW w:w="1137" w:type="pct"/>
          </w:tcPr>
          <w:p w14:paraId="645A293E" w14:textId="77777777" w:rsidR="00BE36FB" w:rsidRPr="009B7B35" w:rsidRDefault="00BE36FB" w:rsidP="001A7107">
            <w:pPr>
              <w:rPr>
                <w:rFonts w:cs="Arial"/>
                <w:sz w:val="20"/>
                <w:szCs w:val="20"/>
                <w:lang w:val="en-US"/>
              </w:rPr>
            </w:pPr>
          </w:p>
        </w:tc>
        <w:tc>
          <w:tcPr>
            <w:tcW w:w="588" w:type="pct"/>
            <w:vAlign w:val="center"/>
          </w:tcPr>
          <w:p w14:paraId="71ED27EE"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3221D1B1"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5676536F" w14:textId="77777777" w:rsidR="00BE36FB" w:rsidRPr="009B7B35" w:rsidRDefault="00BE36FB" w:rsidP="001A7107">
            <w:pPr>
              <w:jc w:val="center"/>
              <w:rPr>
                <w:rFonts w:cs="Arial"/>
                <w:sz w:val="20"/>
                <w:szCs w:val="20"/>
                <w:lang w:val="en-US"/>
              </w:rPr>
            </w:pPr>
          </w:p>
        </w:tc>
        <w:tc>
          <w:tcPr>
            <w:tcW w:w="587" w:type="pct"/>
            <w:vAlign w:val="center"/>
          </w:tcPr>
          <w:p w14:paraId="146BA4E4"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10B323F2" wp14:editId="4376A925">
                  <wp:extent cx="180000" cy="1800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0D7B2EA6" w14:textId="77777777" w:rsidTr="001A7107">
        <w:tc>
          <w:tcPr>
            <w:tcW w:w="1512" w:type="pct"/>
          </w:tcPr>
          <w:p w14:paraId="4C772E56" w14:textId="77777777" w:rsidR="00BE36FB" w:rsidRPr="009B7B35" w:rsidRDefault="00BE36FB" w:rsidP="001A7107">
            <w:pPr>
              <w:rPr>
                <w:rFonts w:cs="Arial"/>
                <w:sz w:val="20"/>
                <w:szCs w:val="20"/>
                <w:lang w:val="en-US"/>
              </w:rPr>
            </w:pPr>
            <w:r w:rsidRPr="009B7B35">
              <w:rPr>
                <w:rFonts w:cs="Arial"/>
                <w:sz w:val="20"/>
                <w:szCs w:val="20"/>
                <w:lang w:val="en-US"/>
              </w:rPr>
              <w:t>Hardenbergia violacea</w:t>
            </w:r>
          </w:p>
        </w:tc>
        <w:tc>
          <w:tcPr>
            <w:tcW w:w="1137" w:type="pct"/>
          </w:tcPr>
          <w:p w14:paraId="13397017" w14:textId="77777777" w:rsidR="00BE36FB" w:rsidRPr="009B7B35" w:rsidRDefault="00BE36FB" w:rsidP="001A7107">
            <w:pPr>
              <w:rPr>
                <w:rFonts w:cs="Arial"/>
                <w:sz w:val="20"/>
                <w:szCs w:val="20"/>
                <w:lang w:val="en-US"/>
              </w:rPr>
            </w:pPr>
            <w:r w:rsidRPr="009B7B35">
              <w:rPr>
                <w:rFonts w:cs="Arial"/>
                <w:sz w:val="20"/>
                <w:szCs w:val="20"/>
                <w:lang w:val="en-US"/>
              </w:rPr>
              <w:t>Native Sarsparilla</w:t>
            </w:r>
          </w:p>
        </w:tc>
        <w:tc>
          <w:tcPr>
            <w:tcW w:w="588" w:type="pct"/>
            <w:vAlign w:val="center"/>
          </w:tcPr>
          <w:p w14:paraId="1D8DCEF1" w14:textId="77777777" w:rsidR="00BE36FB" w:rsidRPr="009B7B35" w:rsidRDefault="00BE36FB" w:rsidP="001A7107">
            <w:pPr>
              <w:jc w:val="center"/>
              <w:rPr>
                <w:rFonts w:cs="Arial"/>
                <w:sz w:val="20"/>
                <w:szCs w:val="20"/>
                <w:lang w:val="en-US"/>
              </w:rPr>
            </w:pPr>
          </w:p>
        </w:tc>
        <w:tc>
          <w:tcPr>
            <w:tcW w:w="588" w:type="pct"/>
            <w:vAlign w:val="center"/>
          </w:tcPr>
          <w:p w14:paraId="6448A9F2" w14:textId="77777777" w:rsidR="00BE36FB" w:rsidRPr="009B7B35" w:rsidRDefault="00BE36FB" w:rsidP="001A7107">
            <w:pPr>
              <w:jc w:val="center"/>
              <w:rPr>
                <w:rFonts w:cs="Arial"/>
                <w:sz w:val="20"/>
                <w:szCs w:val="20"/>
                <w:lang w:val="en-US"/>
              </w:rPr>
            </w:pPr>
            <w:r w:rsidRPr="009B7B35">
              <w:rPr>
                <w:rFonts w:cs="Arial"/>
                <w:sz w:val="20"/>
                <w:szCs w:val="20"/>
                <w:lang w:val="en-US"/>
              </w:rPr>
              <w:t>Vine</w:t>
            </w:r>
          </w:p>
        </w:tc>
        <w:tc>
          <w:tcPr>
            <w:tcW w:w="588" w:type="pct"/>
            <w:vAlign w:val="center"/>
          </w:tcPr>
          <w:p w14:paraId="52ACA42C"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422FE1B" w14:textId="77777777" w:rsidR="00BE36FB" w:rsidRPr="009B7B35" w:rsidRDefault="00BE36FB" w:rsidP="001A7107">
            <w:pPr>
              <w:jc w:val="center"/>
              <w:rPr>
                <w:rFonts w:cs="Arial"/>
                <w:sz w:val="20"/>
                <w:szCs w:val="20"/>
                <w:lang w:val="en-US"/>
              </w:rPr>
            </w:pPr>
          </w:p>
        </w:tc>
      </w:tr>
      <w:tr w:rsidR="00BE36FB" w:rsidRPr="009B7B35" w14:paraId="1AF60106" w14:textId="77777777" w:rsidTr="001A7107">
        <w:tc>
          <w:tcPr>
            <w:tcW w:w="1512" w:type="pct"/>
          </w:tcPr>
          <w:p w14:paraId="49B94BCE" w14:textId="77777777" w:rsidR="00BE36FB" w:rsidRPr="009B7B35" w:rsidRDefault="00BE36FB" w:rsidP="001A7107">
            <w:pPr>
              <w:rPr>
                <w:rFonts w:cs="Arial"/>
                <w:sz w:val="20"/>
                <w:szCs w:val="20"/>
                <w:lang w:val="en-US"/>
              </w:rPr>
            </w:pPr>
            <w:r w:rsidRPr="009B7B35">
              <w:rPr>
                <w:rFonts w:cs="Arial"/>
                <w:sz w:val="20"/>
                <w:szCs w:val="20"/>
                <w:lang w:val="en-US"/>
              </w:rPr>
              <w:t>Harpullia pendula</w:t>
            </w:r>
          </w:p>
        </w:tc>
        <w:tc>
          <w:tcPr>
            <w:tcW w:w="1137" w:type="pct"/>
          </w:tcPr>
          <w:p w14:paraId="649DEBD6" w14:textId="77777777" w:rsidR="00BE36FB" w:rsidRPr="009B7B35" w:rsidRDefault="00BE36FB" w:rsidP="001A7107">
            <w:pPr>
              <w:rPr>
                <w:rFonts w:cs="Arial"/>
                <w:sz w:val="20"/>
                <w:szCs w:val="20"/>
                <w:lang w:val="en-US"/>
              </w:rPr>
            </w:pPr>
            <w:r w:rsidRPr="009B7B35">
              <w:rPr>
                <w:rFonts w:cs="Arial"/>
                <w:sz w:val="20"/>
                <w:szCs w:val="20"/>
                <w:lang w:val="en-US"/>
              </w:rPr>
              <w:t>Tulipwood</w:t>
            </w:r>
          </w:p>
        </w:tc>
        <w:tc>
          <w:tcPr>
            <w:tcW w:w="588" w:type="pct"/>
            <w:vAlign w:val="center"/>
          </w:tcPr>
          <w:p w14:paraId="196D4DF5"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115461FC"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6D3FB9F1"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0CD31A3" w14:textId="77777777" w:rsidR="00BE36FB" w:rsidRPr="009B7B35" w:rsidRDefault="00BE36FB" w:rsidP="001A7107">
            <w:pPr>
              <w:jc w:val="center"/>
              <w:rPr>
                <w:rFonts w:cs="Arial"/>
                <w:sz w:val="20"/>
                <w:szCs w:val="20"/>
                <w:lang w:val="en-US"/>
              </w:rPr>
            </w:pPr>
          </w:p>
        </w:tc>
      </w:tr>
      <w:tr w:rsidR="00BE36FB" w:rsidRPr="009B7B35" w14:paraId="64178FA4" w14:textId="77777777" w:rsidTr="001A7107">
        <w:tc>
          <w:tcPr>
            <w:tcW w:w="1512" w:type="pct"/>
          </w:tcPr>
          <w:p w14:paraId="6A920F9B" w14:textId="77777777" w:rsidR="00BE36FB" w:rsidRPr="009B7B35" w:rsidRDefault="00BE36FB" w:rsidP="001A7107">
            <w:pPr>
              <w:rPr>
                <w:rFonts w:cs="Arial"/>
                <w:sz w:val="20"/>
                <w:szCs w:val="20"/>
                <w:lang w:val="en-US"/>
              </w:rPr>
            </w:pPr>
            <w:r w:rsidRPr="009B7B35">
              <w:rPr>
                <w:rFonts w:cs="Arial"/>
                <w:sz w:val="20"/>
                <w:szCs w:val="20"/>
                <w:lang w:val="en-US"/>
              </w:rPr>
              <w:t>Hibbertia scandens</w:t>
            </w:r>
          </w:p>
        </w:tc>
        <w:tc>
          <w:tcPr>
            <w:tcW w:w="1137" w:type="pct"/>
          </w:tcPr>
          <w:p w14:paraId="006D91A4" w14:textId="77777777" w:rsidR="00BE36FB" w:rsidRPr="009B7B35" w:rsidRDefault="00BE36FB" w:rsidP="001A7107">
            <w:pPr>
              <w:rPr>
                <w:rFonts w:cs="Arial"/>
                <w:sz w:val="20"/>
                <w:szCs w:val="20"/>
                <w:lang w:val="en-US"/>
              </w:rPr>
            </w:pPr>
            <w:r w:rsidRPr="009B7B35">
              <w:rPr>
                <w:rFonts w:cs="Arial"/>
                <w:sz w:val="20"/>
                <w:szCs w:val="20"/>
                <w:lang w:val="en-US"/>
              </w:rPr>
              <w:t>Snake Vine / Guinea Flower</w:t>
            </w:r>
          </w:p>
        </w:tc>
        <w:tc>
          <w:tcPr>
            <w:tcW w:w="588" w:type="pct"/>
            <w:vAlign w:val="center"/>
          </w:tcPr>
          <w:p w14:paraId="0678FC60" w14:textId="77777777" w:rsidR="00BE36FB" w:rsidRPr="009B7B35" w:rsidRDefault="00BE36FB" w:rsidP="001A7107">
            <w:pPr>
              <w:jc w:val="center"/>
              <w:rPr>
                <w:rFonts w:cs="Arial"/>
                <w:sz w:val="20"/>
                <w:szCs w:val="20"/>
                <w:lang w:val="en-US"/>
              </w:rPr>
            </w:pPr>
            <w:r w:rsidRPr="009B7B35">
              <w:rPr>
                <w:rFonts w:cs="Arial"/>
                <w:sz w:val="20"/>
                <w:szCs w:val="20"/>
                <w:lang w:val="en-US"/>
              </w:rPr>
              <w:t>0.2</w:t>
            </w:r>
          </w:p>
        </w:tc>
        <w:tc>
          <w:tcPr>
            <w:tcW w:w="588" w:type="pct"/>
            <w:vAlign w:val="center"/>
          </w:tcPr>
          <w:p w14:paraId="6A76A067" w14:textId="77777777" w:rsidR="00BE36FB" w:rsidRPr="009B7B35" w:rsidRDefault="00BE36FB" w:rsidP="001A7107">
            <w:pPr>
              <w:jc w:val="center"/>
              <w:rPr>
                <w:rFonts w:cs="Arial"/>
                <w:sz w:val="20"/>
                <w:szCs w:val="20"/>
                <w:lang w:val="en-US"/>
              </w:rPr>
            </w:pPr>
            <w:r w:rsidRPr="009B7B35">
              <w:rPr>
                <w:rFonts w:cs="Arial"/>
                <w:sz w:val="20"/>
                <w:szCs w:val="20"/>
                <w:lang w:val="en-US"/>
              </w:rPr>
              <w:t>2.5</w:t>
            </w:r>
          </w:p>
        </w:tc>
        <w:tc>
          <w:tcPr>
            <w:tcW w:w="588" w:type="pct"/>
            <w:vAlign w:val="center"/>
          </w:tcPr>
          <w:p w14:paraId="63F47739"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48EC490" w14:textId="77777777" w:rsidR="00BE36FB" w:rsidRPr="009B7B35" w:rsidRDefault="00BE36FB" w:rsidP="001A7107">
            <w:pPr>
              <w:jc w:val="center"/>
              <w:rPr>
                <w:rFonts w:cs="Arial"/>
                <w:sz w:val="20"/>
                <w:szCs w:val="20"/>
                <w:lang w:val="en-US"/>
              </w:rPr>
            </w:pPr>
          </w:p>
        </w:tc>
      </w:tr>
      <w:tr w:rsidR="00BE36FB" w:rsidRPr="009B7B35" w14:paraId="4E8F3A35" w14:textId="77777777" w:rsidTr="001A7107">
        <w:tc>
          <w:tcPr>
            <w:tcW w:w="1512" w:type="pct"/>
          </w:tcPr>
          <w:p w14:paraId="76EE83C8" w14:textId="77777777" w:rsidR="00BE36FB" w:rsidRPr="009B7B35" w:rsidRDefault="00BE36FB" w:rsidP="001A7107">
            <w:pPr>
              <w:rPr>
                <w:rFonts w:cs="Arial"/>
                <w:sz w:val="20"/>
                <w:szCs w:val="20"/>
                <w:lang w:val="en-US"/>
              </w:rPr>
            </w:pPr>
            <w:r w:rsidRPr="009B7B35">
              <w:rPr>
                <w:rFonts w:cs="Arial"/>
                <w:sz w:val="20"/>
                <w:szCs w:val="20"/>
                <w:lang w:val="en-US"/>
              </w:rPr>
              <w:t>Hibbertia spp.</w:t>
            </w:r>
          </w:p>
        </w:tc>
        <w:tc>
          <w:tcPr>
            <w:tcW w:w="1137" w:type="pct"/>
          </w:tcPr>
          <w:p w14:paraId="37427D81" w14:textId="77777777" w:rsidR="00BE36FB" w:rsidRPr="009B7B35" w:rsidRDefault="00BE36FB" w:rsidP="001A7107">
            <w:pPr>
              <w:rPr>
                <w:rFonts w:cs="Arial"/>
                <w:sz w:val="20"/>
                <w:szCs w:val="20"/>
                <w:lang w:val="en-US"/>
              </w:rPr>
            </w:pPr>
          </w:p>
        </w:tc>
        <w:tc>
          <w:tcPr>
            <w:tcW w:w="588" w:type="pct"/>
            <w:vAlign w:val="center"/>
          </w:tcPr>
          <w:p w14:paraId="0CD57C6F" w14:textId="77777777" w:rsidR="00BE36FB" w:rsidRPr="009B7B35" w:rsidRDefault="00BE36FB" w:rsidP="001A7107">
            <w:pPr>
              <w:jc w:val="center"/>
              <w:rPr>
                <w:rFonts w:cs="Arial"/>
                <w:sz w:val="20"/>
                <w:szCs w:val="20"/>
                <w:lang w:val="en-US"/>
              </w:rPr>
            </w:pPr>
          </w:p>
        </w:tc>
        <w:tc>
          <w:tcPr>
            <w:tcW w:w="588" w:type="pct"/>
            <w:vAlign w:val="center"/>
          </w:tcPr>
          <w:p w14:paraId="75135522" w14:textId="77777777" w:rsidR="00BE36FB" w:rsidRPr="009B7B35" w:rsidRDefault="00BE36FB" w:rsidP="001A7107">
            <w:pPr>
              <w:jc w:val="center"/>
              <w:rPr>
                <w:rFonts w:cs="Arial"/>
                <w:sz w:val="20"/>
                <w:szCs w:val="20"/>
                <w:lang w:val="en-US"/>
              </w:rPr>
            </w:pPr>
          </w:p>
        </w:tc>
        <w:tc>
          <w:tcPr>
            <w:tcW w:w="588" w:type="pct"/>
            <w:vAlign w:val="center"/>
          </w:tcPr>
          <w:p w14:paraId="01B5FD01" w14:textId="77777777" w:rsidR="00BE36FB" w:rsidRPr="009B7B35" w:rsidRDefault="00BE36FB" w:rsidP="001A7107">
            <w:pPr>
              <w:jc w:val="center"/>
              <w:rPr>
                <w:rFonts w:cs="Arial"/>
                <w:sz w:val="20"/>
                <w:szCs w:val="20"/>
                <w:lang w:val="en-US"/>
              </w:rPr>
            </w:pPr>
          </w:p>
        </w:tc>
        <w:tc>
          <w:tcPr>
            <w:tcW w:w="587" w:type="pct"/>
            <w:vAlign w:val="center"/>
          </w:tcPr>
          <w:p w14:paraId="3DB7C862" w14:textId="77777777" w:rsidR="00BE36FB" w:rsidRPr="009B7B35" w:rsidRDefault="00BE36FB" w:rsidP="001A7107">
            <w:pPr>
              <w:jc w:val="center"/>
              <w:rPr>
                <w:rFonts w:cs="Arial"/>
                <w:sz w:val="20"/>
                <w:szCs w:val="20"/>
                <w:lang w:val="en-US"/>
              </w:rPr>
            </w:pPr>
          </w:p>
        </w:tc>
      </w:tr>
      <w:tr w:rsidR="00BE36FB" w:rsidRPr="009B7B35" w14:paraId="357D9219" w14:textId="77777777" w:rsidTr="001A7107">
        <w:tc>
          <w:tcPr>
            <w:tcW w:w="1512" w:type="pct"/>
          </w:tcPr>
          <w:p w14:paraId="67B8F598" w14:textId="77777777" w:rsidR="00BE36FB" w:rsidRPr="009B7B35" w:rsidRDefault="00BE36FB" w:rsidP="001A7107">
            <w:pPr>
              <w:rPr>
                <w:rFonts w:cs="Arial"/>
                <w:sz w:val="20"/>
                <w:szCs w:val="20"/>
                <w:lang w:val="en-US"/>
              </w:rPr>
            </w:pPr>
            <w:r w:rsidRPr="009B7B35">
              <w:rPr>
                <w:rFonts w:cs="Arial"/>
                <w:sz w:val="20"/>
                <w:szCs w:val="20"/>
                <w:lang w:val="en-US"/>
              </w:rPr>
              <w:t>Hibbertia vestita</w:t>
            </w:r>
          </w:p>
        </w:tc>
        <w:tc>
          <w:tcPr>
            <w:tcW w:w="1137" w:type="pct"/>
          </w:tcPr>
          <w:p w14:paraId="3DB2A91A" w14:textId="77777777" w:rsidR="00BE36FB" w:rsidRPr="009B7B35" w:rsidRDefault="00BE36FB" w:rsidP="001A7107">
            <w:pPr>
              <w:rPr>
                <w:rFonts w:cs="Arial"/>
                <w:sz w:val="20"/>
                <w:szCs w:val="20"/>
                <w:lang w:val="en-US"/>
              </w:rPr>
            </w:pPr>
          </w:p>
        </w:tc>
        <w:tc>
          <w:tcPr>
            <w:tcW w:w="588" w:type="pct"/>
            <w:vAlign w:val="center"/>
          </w:tcPr>
          <w:p w14:paraId="0A0E1EF8"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5AC6BF5F"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15A890F5"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ECDBAA0" w14:textId="77777777" w:rsidR="00BE36FB" w:rsidRPr="009B7B35" w:rsidRDefault="00BE36FB" w:rsidP="001A7107">
            <w:pPr>
              <w:jc w:val="center"/>
              <w:rPr>
                <w:rFonts w:cs="Arial"/>
                <w:sz w:val="20"/>
                <w:szCs w:val="20"/>
                <w:lang w:val="en-US"/>
              </w:rPr>
            </w:pPr>
          </w:p>
        </w:tc>
      </w:tr>
      <w:tr w:rsidR="00BE36FB" w:rsidRPr="009B7B35" w14:paraId="2D419F60" w14:textId="77777777" w:rsidTr="001A7107">
        <w:tc>
          <w:tcPr>
            <w:tcW w:w="1512" w:type="pct"/>
          </w:tcPr>
          <w:p w14:paraId="2D5A9A3B" w14:textId="77777777" w:rsidR="00BE36FB" w:rsidRPr="009B7B35" w:rsidRDefault="00BE36FB" w:rsidP="001A7107">
            <w:pPr>
              <w:rPr>
                <w:rFonts w:cs="Arial"/>
                <w:sz w:val="20"/>
                <w:szCs w:val="20"/>
                <w:lang w:val="en-US"/>
              </w:rPr>
            </w:pPr>
            <w:r w:rsidRPr="009B7B35">
              <w:rPr>
                <w:rFonts w:cs="Arial"/>
                <w:sz w:val="20"/>
                <w:szCs w:val="20"/>
                <w:lang w:val="en-US"/>
              </w:rPr>
              <w:t>Hibiscus tiliaceus</w:t>
            </w:r>
          </w:p>
        </w:tc>
        <w:tc>
          <w:tcPr>
            <w:tcW w:w="1137" w:type="pct"/>
          </w:tcPr>
          <w:p w14:paraId="07DB9869" w14:textId="77777777" w:rsidR="00BE36FB" w:rsidRPr="009B7B35" w:rsidRDefault="00BE36FB" w:rsidP="001A7107">
            <w:pPr>
              <w:rPr>
                <w:rFonts w:cs="Arial"/>
                <w:sz w:val="20"/>
                <w:szCs w:val="20"/>
                <w:lang w:val="en-US"/>
              </w:rPr>
            </w:pPr>
            <w:r w:rsidRPr="009B7B35">
              <w:rPr>
                <w:rFonts w:cs="Arial"/>
                <w:sz w:val="20"/>
                <w:szCs w:val="20"/>
                <w:lang w:val="en-US"/>
              </w:rPr>
              <w:t>Cottonwood</w:t>
            </w:r>
          </w:p>
        </w:tc>
        <w:tc>
          <w:tcPr>
            <w:tcW w:w="588" w:type="pct"/>
            <w:vAlign w:val="center"/>
          </w:tcPr>
          <w:p w14:paraId="0E72B8DB"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622A72B0"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117EAE9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3FBC858" w14:textId="77777777" w:rsidR="00BE36FB" w:rsidRPr="009B7B35" w:rsidRDefault="00BE36FB" w:rsidP="001A7107">
            <w:pPr>
              <w:jc w:val="center"/>
              <w:rPr>
                <w:rFonts w:cs="Arial"/>
                <w:sz w:val="20"/>
                <w:szCs w:val="20"/>
                <w:lang w:val="en-US"/>
              </w:rPr>
            </w:pPr>
          </w:p>
        </w:tc>
      </w:tr>
      <w:tr w:rsidR="00BE36FB" w:rsidRPr="009B7B35" w14:paraId="43A2794E" w14:textId="77777777" w:rsidTr="001A7107">
        <w:tc>
          <w:tcPr>
            <w:tcW w:w="1512" w:type="pct"/>
          </w:tcPr>
          <w:p w14:paraId="498C03AF" w14:textId="77777777" w:rsidR="00BE36FB" w:rsidRPr="009B7B35" w:rsidRDefault="00BE36FB" w:rsidP="001A7107">
            <w:pPr>
              <w:rPr>
                <w:rFonts w:cs="Arial"/>
                <w:sz w:val="20"/>
                <w:szCs w:val="20"/>
                <w:lang w:val="en-US"/>
              </w:rPr>
            </w:pPr>
            <w:r w:rsidRPr="009B7B35">
              <w:rPr>
                <w:rFonts w:cs="Arial"/>
                <w:sz w:val="20"/>
                <w:szCs w:val="20"/>
                <w:lang w:val="en-US"/>
              </w:rPr>
              <w:t>Hoya australis</w:t>
            </w:r>
          </w:p>
        </w:tc>
        <w:tc>
          <w:tcPr>
            <w:tcW w:w="1137" w:type="pct"/>
          </w:tcPr>
          <w:p w14:paraId="1B763A4D" w14:textId="77777777" w:rsidR="00BE36FB" w:rsidRPr="009B7B35" w:rsidRDefault="00BE36FB" w:rsidP="001A7107">
            <w:pPr>
              <w:rPr>
                <w:rFonts w:cs="Arial"/>
                <w:sz w:val="20"/>
                <w:szCs w:val="20"/>
                <w:lang w:val="en-US"/>
              </w:rPr>
            </w:pPr>
            <w:r w:rsidRPr="009B7B35">
              <w:rPr>
                <w:rFonts w:cs="Arial"/>
                <w:sz w:val="20"/>
                <w:szCs w:val="20"/>
                <w:lang w:val="en-US"/>
              </w:rPr>
              <w:t>Wax Flower</w:t>
            </w:r>
          </w:p>
        </w:tc>
        <w:tc>
          <w:tcPr>
            <w:tcW w:w="588" w:type="pct"/>
            <w:vAlign w:val="center"/>
          </w:tcPr>
          <w:p w14:paraId="21A75AC4" w14:textId="77777777" w:rsidR="00BE36FB" w:rsidRPr="009B7B35" w:rsidRDefault="00BE36FB" w:rsidP="001A7107">
            <w:pPr>
              <w:jc w:val="center"/>
              <w:rPr>
                <w:rFonts w:cs="Arial"/>
                <w:sz w:val="20"/>
                <w:szCs w:val="20"/>
                <w:lang w:val="en-US"/>
              </w:rPr>
            </w:pPr>
            <w:r w:rsidRPr="009B7B35">
              <w:rPr>
                <w:rFonts w:cs="Arial"/>
                <w:sz w:val="20"/>
                <w:szCs w:val="20"/>
                <w:lang w:val="en-US"/>
              </w:rPr>
              <w:t>Vine</w:t>
            </w:r>
          </w:p>
        </w:tc>
        <w:tc>
          <w:tcPr>
            <w:tcW w:w="588" w:type="pct"/>
            <w:vAlign w:val="center"/>
          </w:tcPr>
          <w:p w14:paraId="2C51CCEC" w14:textId="77777777" w:rsidR="00BE36FB" w:rsidRPr="009B7B35" w:rsidRDefault="00BE36FB" w:rsidP="001A7107">
            <w:pPr>
              <w:jc w:val="center"/>
              <w:rPr>
                <w:rFonts w:cs="Arial"/>
                <w:sz w:val="20"/>
                <w:szCs w:val="20"/>
                <w:lang w:val="en-US"/>
              </w:rPr>
            </w:pPr>
          </w:p>
        </w:tc>
        <w:tc>
          <w:tcPr>
            <w:tcW w:w="588" w:type="pct"/>
            <w:vAlign w:val="center"/>
          </w:tcPr>
          <w:p w14:paraId="592F4AA8"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64FEF78" w14:textId="77777777" w:rsidR="00BE36FB" w:rsidRPr="009B7B35" w:rsidRDefault="00BE36FB" w:rsidP="001A7107">
            <w:pPr>
              <w:jc w:val="center"/>
              <w:rPr>
                <w:rFonts w:cs="Arial"/>
                <w:sz w:val="20"/>
                <w:szCs w:val="20"/>
                <w:lang w:val="en-US"/>
              </w:rPr>
            </w:pPr>
          </w:p>
        </w:tc>
      </w:tr>
      <w:tr w:rsidR="00BE36FB" w:rsidRPr="009B7B35" w14:paraId="293E5EE2" w14:textId="77777777" w:rsidTr="001A7107">
        <w:tc>
          <w:tcPr>
            <w:tcW w:w="1512" w:type="pct"/>
          </w:tcPr>
          <w:p w14:paraId="4B146D57" w14:textId="77777777" w:rsidR="00BE36FB" w:rsidRPr="009B7B35" w:rsidRDefault="00BE36FB" w:rsidP="001A7107">
            <w:pPr>
              <w:rPr>
                <w:rFonts w:cs="Arial"/>
                <w:sz w:val="20"/>
                <w:szCs w:val="20"/>
                <w:lang w:val="en-US"/>
              </w:rPr>
            </w:pPr>
            <w:r w:rsidRPr="009B7B35">
              <w:rPr>
                <w:rFonts w:cs="Arial"/>
                <w:sz w:val="20"/>
                <w:szCs w:val="20"/>
                <w:lang w:val="en-US"/>
              </w:rPr>
              <w:t>Hymenosporum flavum</w:t>
            </w:r>
          </w:p>
        </w:tc>
        <w:tc>
          <w:tcPr>
            <w:tcW w:w="1137" w:type="pct"/>
          </w:tcPr>
          <w:p w14:paraId="69B391CC" w14:textId="77777777" w:rsidR="00BE36FB" w:rsidRPr="009B7B35" w:rsidRDefault="00BE36FB" w:rsidP="001A7107">
            <w:pPr>
              <w:rPr>
                <w:rFonts w:cs="Arial"/>
                <w:sz w:val="20"/>
                <w:szCs w:val="20"/>
                <w:lang w:val="en-US"/>
              </w:rPr>
            </w:pPr>
            <w:r w:rsidRPr="009B7B35">
              <w:rPr>
                <w:rFonts w:cs="Arial"/>
                <w:sz w:val="20"/>
                <w:szCs w:val="20"/>
                <w:lang w:val="en-US"/>
              </w:rPr>
              <w:t>Native Frangipani</w:t>
            </w:r>
          </w:p>
        </w:tc>
        <w:tc>
          <w:tcPr>
            <w:tcW w:w="588" w:type="pct"/>
            <w:vAlign w:val="center"/>
          </w:tcPr>
          <w:p w14:paraId="28ED2E3B"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2E134F39"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35D3039E"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B3E89EE" w14:textId="77777777" w:rsidR="00BE36FB" w:rsidRPr="009B7B35" w:rsidRDefault="00BE36FB" w:rsidP="001A7107">
            <w:pPr>
              <w:jc w:val="center"/>
              <w:rPr>
                <w:rFonts w:cs="Arial"/>
                <w:sz w:val="20"/>
                <w:szCs w:val="20"/>
                <w:lang w:val="en-US"/>
              </w:rPr>
            </w:pPr>
          </w:p>
        </w:tc>
      </w:tr>
      <w:tr w:rsidR="00BE36FB" w:rsidRPr="009B7B35" w14:paraId="4E74F7D3" w14:textId="77777777" w:rsidTr="001A7107">
        <w:tc>
          <w:tcPr>
            <w:tcW w:w="1512" w:type="pct"/>
          </w:tcPr>
          <w:p w14:paraId="58CABB79" w14:textId="77777777" w:rsidR="00BE36FB" w:rsidRPr="009B7B35" w:rsidRDefault="00BE36FB" w:rsidP="001A7107">
            <w:pPr>
              <w:rPr>
                <w:rFonts w:cs="Arial"/>
                <w:sz w:val="20"/>
                <w:szCs w:val="20"/>
                <w:lang w:val="en-US"/>
              </w:rPr>
            </w:pPr>
            <w:r w:rsidRPr="009B7B35">
              <w:rPr>
                <w:rFonts w:cs="Arial"/>
                <w:sz w:val="20"/>
                <w:szCs w:val="20"/>
                <w:lang w:val="en-US"/>
              </w:rPr>
              <w:t>Indigofera australis</w:t>
            </w:r>
          </w:p>
        </w:tc>
        <w:tc>
          <w:tcPr>
            <w:tcW w:w="1137" w:type="pct"/>
          </w:tcPr>
          <w:p w14:paraId="7486F3B6" w14:textId="77777777" w:rsidR="00BE36FB" w:rsidRPr="009B7B35" w:rsidRDefault="00BE36FB" w:rsidP="001A7107">
            <w:pPr>
              <w:rPr>
                <w:rFonts w:cs="Arial"/>
                <w:sz w:val="20"/>
                <w:szCs w:val="20"/>
                <w:lang w:val="en-US"/>
              </w:rPr>
            </w:pPr>
          </w:p>
        </w:tc>
        <w:tc>
          <w:tcPr>
            <w:tcW w:w="588" w:type="pct"/>
            <w:vAlign w:val="center"/>
          </w:tcPr>
          <w:p w14:paraId="78407663" w14:textId="77777777" w:rsidR="00BE36FB" w:rsidRPr="009B7B35" w:rsidRDefault="00BE36FB" w:rsidP="001A7107">
            <w:pPr>
              <w:jc w:val="center"/>
              <w:rPr>
                <w:rFonts w:cs="Arial"/>
                <w:sz w:val="20"/>
                <w:szCs w:val="20"/>
                <w:lang w:val="en-US"/>
              </w:rPr>
            </w:pPr>
          </w:p>
        </w:tc>
        <w:tc>
          <w:tcPr>
            <w:tcW w:w="588" w:type="pct"/>
            <w:vAlign w:val="center"/>
          </w:tcPr>
          <w:p w14:paraId="5C0ABC1C" w14:textId="77777777" w:rsidR="00BE36FB" w:rsidRPr="009B7B35" w:rsidRDefault="00BE36FB" w:rsidP="001A7107">
            <w:pPr>
              <w:jc w:val="center"/>
              <w:rPr>
                <w:rFonts w:cs="Arial"/>
                <w:sz w:val="20"/>
                <w:szCs w:val="20"/>
                <w:lang w:val="en-US"/>
              </w:rPr>
            </w:pPr>
          </w:p>
        </w:tc>
        <w:tc>
          <w:tcPr>
            <w:tcW w:w="588" w:type="pct"/>
            <w:vAlign w:val="center"/>
          </w:tcPr>
          <w:p w14:paraId="22DF59A9" w14:textId="77777777" w:rsidR="00BE36FB" w:rsidRPr="009B7B35" w:rsidRDefault="00BE36FB" w:rsidP="001A7107">
            <w:pPr>
              <w:jc w:val="center"/>
              <w:rPr>
                <w:rFonts w:cs="Arial"/>
                <w:sz w:val="20"/>
                <w:szCs w:val="20"/>
                <w:lang w:val="en-US"/>
              </w:rPr>
            </w:pPr>
          </w:p>
        </w:tc>
        <w:tc>
          <w:tcPr>
            <w:tcW w:w="587" w:type="pct"/>
            <w:vAlign w:val="center"/>
          </w:tcPr>
          <w:p w14:paraId="6D7F79EA" w14:textId="77777777" w:rsidR="00BE36FB" w:rsidRPr="009B7B35" w:rsidRDefault="00BE36FB" w:rsidP="001A7107">
            <w:pPr>
              <w:jc w:val="center"/>
              <w:rPr>
                <w:rFonts w:cs="Arial"/>
                <w:sz w:val="20"/>
                <w:szCs w:val="20"/>
                <w:lang w:val="en-US"/>
              </w:rPr>
            </w:pPr>
          </w:p>
        </w:tc>
      </w:tr>
      <w:tr w:rsidR="00BE36FB" w:rsidRPr="009B7B35" w14:paraId="6409177E" w14:textId="77777777" w:rsidTr="001A7107">
        <w:tc>
          <w:tcPr>
            <w:tcW w:w="1512" w:type="pct"/>
          </w:tcPr>
          <w:p w14:paraId="78543031" w14:textId="77777777" w:rsidR="00BE36FB" w:rsidRPr="009B7B35" w:rsidRDefault="00BE36FB" w:rsidP="001A7107">
            <w:pPr>
              <w:rPr>
                <w:rFonts w:cs="Arial"/>
                <w:sz w:val="20"/>
                <w:szCs w:val="20"/>
                <w:lang w:val="en-US"/>
              </w:rPr>
            </w:pPr>
            <w:r w:rsidRPr="009B7B35">
              <w:rPr>
                <w:rFonts w:cs="Arial"/>
                <w:sz w:val="20"/>
                <w:szCs w:val="20"/>
                <w:lang w:val="en-US"/>
              </w:rPr>
              <w:t>Ipomea pes–caprae*</w:t>
            </w:r>
          </w:p>
        </w:tc>
        <w:tc>
          <w:tcPr>
            <w:tcW w:w="1137" w:type="pct"/>
          </w:tcPr>
          <w:p w14:paraId="50C9C023" w14:textId="77777777" w:rsidR="00BE36FB" w:rsidRPr="009B7B35" w:rsidRDefault="00BE36FB" w:rsidP="001A7107">
            <w:pPr>
              <w:rPr>
                <w:rFonts w:cs="Arial"/>
                <w:sz w:val="20"/>
                <w:szCs w:val="20"/>
                <w:lang w:val="en-US"/>
              </w:rPr>
            </w:pPr>
            <w:r w:rsidRPr="009B7B35">
              <w:rPr>
                <w:rFonts w:cs="Arial"/>
                <w:sz w:val="20"/>
                <w:szCs w:val="20"/>
                <w:lang w:val="en-US"/>
              </w:rPr>
              <w:t>Goats Foot Creeper</w:t>
            </w:r>
          </w:p>
        </w:tc>
        <w:tc>
          <w:tcPr>
            <w:tcW w:w="588" w:type="pct"/>
            <w:vAlign w:val="center"/>
          </w:tcPr>
          <w:p w14:paraId="66DCCDC3"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3FCEA3E2"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7571DA1C" w14:textId="77777777" w:rsidR="00BE36FB" w:rsidRPr="009B7B35" w:rsidRDefault="00BE36FB" w:rsidP="001A7107">
            <w:pPr>
              <w:jc w:val="center"/>
              <w:rPr>
                <w:rFonts w:cs="Arial"/>
                <w:sz w:val="20"/>
                <w:szCs w:val="20"/>
                <w:lang w:val="en-US"/>
              </w:rPr>
            </w:pPr>
          </w:p>
        </w:tc>
        <w:tc>
          <w:tcPr>
            <w:tcW w:w="587" w:type="pct"/>
            <w:vAlign w:val="center"/>
          </w:tcPr>
          <w:p w14:paraId="2BC9492D" w14:textId="77777777" w:rsidR="00BE36FB" w:rsidRPr="009B7B35" w:rsidRDefault="00BE36FB" w:rsidP="001A7107">
            <w:pPr>
              <w:jc w:val="center"/>
              <w:rPr>
                <w:rFonts w:cs="Arial"/>
                <w:sz w:val="20"/>
                <w:szCs w:val="20"/>
                <w:lang w:val="en-US"/>
              </w:rPr>
            </w:pPr>
          </w:p>
        </w:tc>
      </w:tr>
      <w:tr w:rsidR="00BE36FB" w:rsidRPr="009B7B35" w14:paraId="5E0A0C30" w14:textId="77777777" w:rsidTr="001A7107">
        <w:tc>
          <w:tcPr>
            <w:tcW w:w="1512" w:type="pct"/>
          </w:tcPr>
          <w:p w14:paraId="4BD715F0" w14:textId="77777777" w:rsidR="00BE36FB" w:rsidRPr="009B7B35" w:rsidRDefault="00BE36FB" w:rsidP="001A7107">
            <w:pPr>
              <w:rPr>
                <w:rFonts w:cs="Arial"/>
                <w:sz w:val="20"/>
                <w:szCs w:val="20"/>
                <w:lang w:val="en-US"/>
              </w:rPr>
            </w:pPr>
            <w:r w:rsidRPr="009B7B35">
              <w:rPr>
                <w:rFonts w:cs="Arial"/>
                <w:sz w:val="20"/>
                <w:szCs w:val="20"/>
                <w:lang w:val="en-US"/>
              </w:rPr>
              <w:t>Jacksonia scoparia</w:t>
            </w:r>
          </w:p>
        </w:tc>
        <w:tc>
          <w:tcPr>
            <w:tcW w:w="1137" w:type="pct"/>
          </w:tcPr>
          <w:p w14:paraId="157177E0" w14:textId="77777777" w:rsidR="00BE36FB" w:rsidRPr="009B7B35" w:rsidRDefault="00BE36FB" w:rsidP="001A7107">
            <w:pPr>
              <w:rPr>
                <w:rFonts w:cs="Arial"/>
                <w:sz w:val="20"/>
                <w:szCs w:val="20"/>
                <w:lang w:val="en-US"/>
              </w:rPr>
            </w:pPr>
            <w:r w:rsidRPr="009B7B35">
              <w:rPr>
                <w:rFonts w:cs="Arial"/>
                <w:sz w:val="20"/>
                <w:szCs w:val="20"/>
                <w:lang w:val="en-US"/>
              </w:rPr>
              <w:t>Dogwood /Native Broom</w:t>
            </w:r>
          </w:p>
        </w:tc>
        <w:tc>
          <w:tcPr>
            <w:tcW w:w="588" w:type="pct"/>
            <w:vAlign w:val="center"/>
          </w:tcPr>
          <w:p w14:paraId="3D107E21"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3CC382D8"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337F5D8E"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834D632" w14:textId="77777777" w:rsidR="00BE36FB" w:rsidRPr="009B7B35" w:rsidRDefault="00BE36FB" w:rsidP="001A7107">
            <w:pPr>
              <w:jc w:val="center"/>
              <w:rPr>
                <w:rFonts w:cs="Arial"/>
                <w:sz w:val="20"/>
                <w:szCs w:val="20"/>
                <w:lang w:val="en-US"/>
              </w:rPr>
            </w:pPr>
          </w:p>
        </w:tc>
      </w:tr>
      <w:tr w:rsidR="00BE36FB" w:rsidRPr="009B7B35" w14:paraId="6E08CDB5" w14:textId="77777777" w:rsidTr="001A7107">
        <w:tc>
          <w:tcPr>
            <w:tcW w:w="1512" w:type="pct"/>
          </w:tcPr>
          <w:p w14:paraId="428266FA" w14:textId="77777777" w:rsidR="00BE36FB" w:rsidRPr="009B7B35" w:rsidRDefault="00BE36FB" w:rsidP="001A7107">
            <w:pPr>
              <w:rPr>
                <w:rFonts w:cs="Arial"/>
                <w:sz w:val="20"/>
                <w:szCs w:val="20"/>
                <w:lang w:val="en-US"/>
              </w:rPr>
            </w:pPr>
            <w:r w:rsidRPr="009B7B35">
              <w:rPr>
                <w:rFonts w:cs="Arial"/>
                <w:sz w:val="20"/>
                <w:szCs w:val="20"/>
                <w:lang w:val="en-US"/>
              </w:rPr>
              <w:t>Jagera pseudorhus</w:t>
            </w:r>
          </w:p>
        </w:tc>
        <w:tc>
          <w:tcPr>
            <w:tcW w:w="1137" w:type="pct"/>
          </w:tcPr>
          <w:p w14:paraId="1FB560FC" w14:textId="77777777" w:rsidR="00BE36FB" w:rsidRPr="009B7B35" w:rsidRDefault="00BE36FB" w:rsidP="001A7107">
            <w:pPr>
              <w:rPr>
                <w:rFonts w:cs="Arial"/>
                <w:sz w:val="20"/>
                <w:szCs w:val="20"/>
                <w:lang w:val="en-US"/>
              </w:rPr>
            </w:pPr>
            <w:r w:rsidRPr="009B7B35">
              <w:rPr>
                <w:rFonts w:cs="Arial"/>
                <w:sz w:val="20"/>
                <w:szCs w:val="20"/>
                <w:lang w:val="en-US"/>
              </w:rPr>
              <w:t>Foambark Tree</w:t>
            </w:r>
          </w:p>
        </w:tc>
        <w:tc>
          <w:tcPr>
            <w:tcW w:w="588" w:type="pct"/>
            <w:vAlign w:val="center"/>
          </w:tcPr>
          <w:p w14:paraId="0C566710"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69BC772C"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7E34D32F"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B96AA1C"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3A43CD0E" wp14:editId="561E590B">
                  <wp:extent cx="180000" cy="180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7949D2C5" w14:textId="77777777" w:rsidTr="001A7107">
        <w:tc>
          <w:tcPr>
            <w:tcW w:w="1512" w:type="pct"/>
          </w:tcPr>
          <w:p w14:paraId="62C89B47" w14:textId="77777777" w:rsidR="00BE36FB" w:rsidRPr="009B7B35" w:rsidRDefault="00BE36FB" w:rsidP="001A7107">
            <w:pPr>
              <w:rPr>
                <w:rFonts w:cs="Arial"/>
                <w:sz w:val="20"/>
                <w:szCs w:val="20"/>
                <w:lang w:val="en-US"/>
              </w:rPr>
            </w:pPr>
            <w:r w:rsidRPr="009B7B35">
              <w:rPr>
                <w:rFonts w:cs="Arial"/>
                <w:sz w:val="20"/>
                <w:szCs w:val="20"/>
                <w:lang w:val="en-US"/>
              </w:rPr>
              <w:t>Lagerostroemia indica</w:t>
            </w:r>
          </w:p>
        </w:tc>
        <w:tc>
          <w:tcPr>
            <w:tcW w:w="1137" w:type="pct"/>
          </w:tcPr>
          <w:p w14:paraId="44F9DCD1" w14:textId="77777777" w:rsidR="00BE36FB" w:rsidRPr="009B7B35" w:rsidRDefault="00BE36FB" w:rsidP="001A7107">
            <w:pPr>
              <w:rPr>
                <w:rFonts w:cs="Arial"/>
                <w:sz w:val="20"/>
                <w:szCs w:val="20"/>
                <w:lang w:val="en-US"/>
              </w:rPr>
            </w:pPr>
          </w:p>
        </w:tc>
        <w:tc>
          <w:tcPr>
            <w:tcW w:w="588" w:type="pct"/>
            <w:vAlign w:val="center"/>
          </w:tcPr>
          <w:p w14:paraId="40991897" w14:textId="77777777" w:rsidR="00BE36FB" w:rsidRPr="009B7B35" w:rsidRDefault="00BE36FB" w:rsidP="001A7107">
            <w:pPr>
              <w:jc w:val="center"/>
              <w:rPr>
                <w:rFonts w:cs="Arial"/>
                <w:sz w:val="20"/>
                <w:szCs w:val="20"/>
                <w:lang w:val="en-US"/>
              </w:rPr>
            </w:pPr>
          </w:p>
        </w:tc>
        <w:tc>
          <w:tcPr>
            <w:tcW w:w="588" w:type="pct"/>
            <w:vAlign w:val="center"/>
          </w:tcPr>
          <w:p w14:paraId="4C512A74" w14:textId="77777777" w:rsidR="00BE36FB" w:rsidRPr="009B7B35" w:rsidRDefault="00BE36FB" w:rsidP="001A7107">
            <w:pPr>
              <w:jc w:val="center"/>
              <w:rPr>
                <w:rFonts w:cs="Arial"/>
                <w:sz w:val="20"/>
                <w:szCs w:val="20"/>
                <w:lang w:val="en-US"/>
              </w:rPr>
            </w:pPr>
          </w:p>
        </w:tc>
        <w:tc>
          <w:tcPr>
            <w:tcW w:w="588" w:type="pct"/>
            <w:vAlign w:val="center"/>
          </w:tcPr>
          <w:p w14:paraId="60D6768F" w14:textId="77777777" w:rsidR="00BE36FB" w:rsidRPr="009B7B35" w:rsidRDefault="00BE36FB" w:rsidP="001A7107">
            <w:pPr>
              <w:jc w:val="center"/>
              <w:rPr>
                <w:rFonts w:cs="Arial"/>
                <w:sz w:val="20"/>
                <w:szCs w:val="20"/>
                <w:lang w:val="en-US"/>
              </w:rPr>
            </w:pPr>
          </w:p>
        </w:tc>
        <w:tc>
          <w:tcPr>
            <w:tcW w:w="587" w:type="pct"/>
            <w:vAlign w:val="center"/>
          </w:tcPr>
          <w:p w14:paraId="1E8F44A9" w14:textId="77777777" w:rsidR="00BE36FB" w:rsidRPr="009B7B35" w:rsidRDefault="00BE36FB" w:rsidP="001A7107">
            <w:pPr>
              <w:jc w:val="center"/>
              <w:rPr>
                <w:rFonts w:cs="Arial"/>
                <w:sz w:val="20"/>
                <w:szCs w:val="20"/>
                <w:lang w:val="en-US"/>
              </w:rPr>
            </w:pPr>
          </w:p>
        </w:tc>
      </w:tr>
      <w:tr w:rsidR="00BE36FB" w:rsidRPr="009B7B35" w14:paraId="05161014" w14:textId="77777777" w:rsidTr="001A7107">
        <w:tc>
          <w:tcPr>
            <w:tcW w:w="1512" w:type="pct"/>
          </w:tcPr>
          <w:p w14:paraId="2027C56E" w14:textId="77777777" w:rsidR="00BE36FB" w:rsidRPr="009B7B35" w:rsidRDefault="00BE36FB" w:rsidP="001A7107">
            <w:pPr>
              <w:rPr>
                <w:rFonts w:cs="Arial"/>
                <w:sz w:val="20"/>
                <w:szCs w:val="20"/>
                <w:lang w:val="en-US"/>
              </w:rPr>
            </w:pPr>
            <w:r w:rsidRPr="009B7B35">
              <w:rPr>
                <w:rFonts w:cs="Arial"/>
                <w:sz w:val="20"/>
                <w:szCs w:val="20"/>
                <w:lang w:val="en-US"/>
              </w:rPr>
              <w:t>Lavandula angustifolia</w:t>
            </w:r>
          </w:p>
        </w:tc>
        <w:tc>
          <w:tcPr>
            <w:tcW w:w="1137" w:type="pct"/>
          </w:tcPr>
          <w:p w14:paraId="30CDDC29" w14:textId="77777777" w:rsidR="00BE36FB" w:rsidRPr="009B7B35" w:rsidRDefault="00BE36FB" w:rsidP="001A7107">
            <w:pPr>
              <w:rPr>
                <w:rFonts w:cs="Arial"/>
                <w:sz w:val="20"/>
                <w:szCs w:val="20"/>
                <w:lang w:val="en-US"/>
              </w:rPr>
            </w:pPr>
          </w:p>
        </w:tc>
        <w:tc>
          <w:tcPr>
            <w:tcW w:w="588" w:type="pct"/>
            <w:vAlign w:val="center"/>
          </w:tcPr>
          <w:p w14:paraId="6483EA82" w14:textId="77777777" w:rsidR="00BE36FB" w:rsidRPr="009B7B35" w:rsidRDefault="00BE36FB" w:rsidP="001A7107">
            <w:pPr>
              <w:jc w:val="center"/>
              <w:rPr>
                <w:rFonts w:cs="Arial"/>
                <w:sz w:val="20"/>
                <w:szCs w:val="20"/>
                <w:lang w:val="en-US"/>
              </w:rPr>
            </w:pPr>
          </w:p>
        </w:tc>
        <w:tc>
          <w:tcPr>
            <w:tcW w:w="588" w:type="pct"/>
            <w:vAlign w:val="center"/>
          </w:tcPr>
          <w:p w14:paraId="33C8605C" w14:textId="77777777" w:rsidR="00BE36FB" w:rsidRPr="009B7B35" w:rsidRDefault="00BE36FB" w:rsidP="001A7107">
            <w:pPr>
              <w:jc w:val="center"/>
              <w:rPr>
                <w:rFonts w:cs="Arial"/>
                <w:sz w:val="20"/>
                <w:szCs w:val="20"/>
                <w:lang w:val="en-US"/>
              </w:rPr>
            </w:pPr>
          </w:p>
        </w:tc>
        <w:tc>
          <w:tcPr>
            <w:tcW w:w="588" w:type="pct"/>
            <w:vAlign w:val="center"/>
          </w:tcPr>
          <w:p w14:paraId="292568D0" w14:textId="77777777" w:rsidR="00BE36FB" w:rsidRPr="009B7B35" w:rsidRDefault="00BE36FB" w:rsidP="001A7107">
            <w:pPr>
              <w:jc w:val="center"/>
              <w:rPr>
                <w:rFonts w:cs="Arial"/>
                <w:sz w:val="20"/>
                <w:szCs w:val="20"/>
                <w:lang w:val="en-US"/>
              </w:rPr>
            </w:pPr>
          </w:p>
        </w:tc>
        <w:tc>
          <w:tcPr>
            <w:tcW w:w="587" w:type="pct"/>
            <w:vAlign w:val="center"/>
          </w:tcPr>
          <w:p w14:paraId="1B32C0AB" w14:textId="77777777" w:rsidR="00BE36FB" w:rsidRPr="009B7B35" w:rsidRDefault="00BE36FB" w:rsidP="001A7107">
            <w:pPr>
              <w:jc w:val="center"/>
              <w:rPr>
                <w:rFonts w:cs="Arial"/>
                <w:sz w:val="20"/>
                <w:szCs w:val="20"/>
                <w:lang w:val="en-US"/>
              </w:rPr>
            </w:pPr>
          </w:p>
        </w:tc>
      </w:tr>
      <w:tr w:rsidR="00BE36FB" w:rsidRPr="009B7B35" w14:paraId="1DB790C7" w14:textId="77777777" w:rsidTr="001A7107">
        <w:tc>
          <w:tcPr>
            <w:tcW w:w="1512" w:type="pct"/>
          </w:tcPr>
          <w:p w14:paraId="3A738C55" w14:textId="77777777" w:rsidR="00BE36FB" w:rsidRPr="009B7B35" w:rsidRDefault="00BE36FB" w:rsidP="001A7107">
            <w:pPr>
              <w:rPr>
                <w:rFonts w:cs="Arial"/>
                <w:sz w:val="20"/>
                <w:szCs w:val="20"/>
                <w:lang w:val="en-US"/>
              </w:rPr>
            </w:pPr>
            <w:r w:rsidRPr="009B7B35">
              <w:rPr>
                <w:rFonts w:cs="Arial"/>
                <w:sz w:val="20"/>
                <w:szCs w:val="20"/>
                <w:lang w:val="en-US"/>
              </w:rPr>
              <w:t>Leptospermum cardwell</w:t>
            </w:r>
          </w:p>
        </w:tc>
        <w:tc>
          <w:tcPr>
            <w:tcW w:w="1137" w:type="pct"/>
          </w:tcPr>
          <w:p w14:paraId="7DDB7423" w14:textId="77777777" w:rsidR="00BE36FB" w:rsidRPr="009B7B35" w:rsidRDefault="00BE36FB" w:rsidP="001A7107">
            <w:pPr>
              <w:rPr>
                <w:rFonts w:cs="Arial"/>
                <w:sz w:val="20"/>
                <w:szCs w:val="20"/>
                <w:lang w:val="en-US"/>
              </w:rPr>
            </w:pPr>
            <w:r w:rsidRPr="009B7B35">
              <w:rPr>
                <w:rFonts w:cs="Arial"/>
                <w:sz w:val="20"/>
                <w:szCs w:val="20"/>
                <w:lang w:val="en-US"/>
              </w:rPr>
              <w:t>Cardwell Tea Tree</w:t>
            </w:r>
          </w:p>
        </w:tc>
        <w:tc>
          <w:tcPr>
            <w:tcW w:w="588" w:type="pct"/>
            <w:vAlign w:val="center"/>
          </w:tcPr>
          <w:p w14:paraId="67036C0E"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09555358"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296B0CEB" w14:textId="77777777" w:rsidR="00BE36FB" w:rsidRPr="009B7B35" w:rsidRDefault="00BE36FB" w:rsidP="001A7107">
            <w:pPr>
              <w:jc w:val="center"/>
              <w:rPr>
                <w:rFonts w:cs="Arial"/>
                <w:sz w:val="20"/>
                <w:szCs w:val="20"/>
                <w:lang w:val="en-US"/>
              </w:rPr>
            </w:pPr>
          </w:p>
        </w:tc>
        <w:tc>
          <w:tcPr>
            <w:tcW w:w="587" w:type="pct"/>
            <w:vAlign w:val="center"/>
          </w:tcPr>
          <w:p w14:paraId="0ADB64D2" w14:textId="77777777" w:rsidR="00BE36FB" w:rsidRPr="009B7B35" w:rsidRDefault="00BE36FB" w:rsidP="001A7107">
            <w:pPr>
              <w:jc w:val="center"/>
              <w:rPr>
                <w:rFonts w:cs="Arial"/>
                <w:sz w:val="20"/>
                <w:szCs w:val="20"/>
                <w:lang w:val="en-US"/>
              </w:rPr>
            </w:pPr>
          </w:p>
        </w:tc>
      </w:tr>
      <w:tr w:rsidR="00BE36FB" w:rsidRPr="009B7B35" w14:paraId="3F517A07" w14:textId="77777777" w:rsidTr="001A7107">
        <w:tc>
          <w:tcPr>
            <w:tcW w:w="1512" w:type="pct"/>
          </w:tcPr>
          <w:p w14:paraId="2639D685" w14:textId="77777777" w:rsidR="00BE36FB" w:rsidRPr="009B7B35" w:rsidRDefault="00BE36FB" w:rsidP="001A7107">
            <w:pPr>
              <w:rPr>
                <w:rFonts w:cs="Arial"/>
                <w:sz w:val="20"/>
                <w:szCs w:val="20"/>
                <w:lang w:val="en-US"/>
              </w:rPr>
            </w:pPr>
            <w:r w:rsidRPr="009B7B35">
              <w:rPr>
                <w:rFonts w:cs="Arial"/>
                <w:sz w:val="20"/>
                <w:szCs w:val="20"/>
                <w:lang w:val="en-US"/>
              </w:rPr>
              <w:t>Leptospermum  polygalifoliium</w:t>
            </w:r>
          </w:p>
        </w:tc>
        <w:tc>
          <w:tcPr>
            <w:tcW w:w="1137" w:type="pct"/>
          </w:tcPr>
          <w:p w14:paraId="13E776F3" w14:textId="77777777" w:rsidR="00BE36FB" w:rsidRPr="009B7B35" w:rsidRDefault="00BE36FB" w:rsidP="001A7107">
            <w:pPr>
              <w:rPr>
                <w:rFonts w:cs="Arial"/>
                <w:sz w:val="20"/>
                <w:szCs w:val="20"/>
                <w:lang w:val="en-US"/>
              </w:rPr>
            </w:pPr>
            <w:r w:rsidRPr="009B7B35">
              <w:rPr>
                <w:rFonts w:cs="Arial"/>
                <w:sz w:val="20"/>
                <w:szCs w:val="20"/>
                <w:lang w:val="en-US"/>
              </w:rPr>
              <w:t>Tea Tree</w:t>
            </w:r>
          </w:p>
        </w:tc>
        <w:tc>
          <w:tcPr>
            <w:tcW w:w="588" w:type="pct"/>
            <w:vAlign w:val="center"/>
          </w:tcPr>
          <w:p w14:paraId="31CAF875"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52AA727A"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6FF68138"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EC82572" w14:textId="77777777" w:rsidR="00BE36FB" w:rsidRPr="009B7B35" w:rsidRDefault="00BE36FB" w:rsidP="001A7107">
            <w:pPr>
              <w:jc w:val="center"/>
              <w:rPr>
                <w:rFonts w:cs="Arial"/>
                <w:sz w:val="20"/>
                <w:szCs w:val="20"/>
                <w:lang w:val="en-US"/>
              </w:rPr>
            </w:pPr>
          </w:p>
        </w:tc>
      </w:tr>
      <w:tr w:rsidR="00BE36FB" w:rsidRPr="009B7B35" w14:paraId="7D27E953" w14:textId="77777777" w:rsidTr="001A7107">
        <w:tc>
          <w:tcPr>
            <w:tcW w:w="1512" w:type="pct"/>
          </w:tcPr>
          <w:p w14:paraId="33C342CC" w14:textId="77777777" w:rsidR="00BE36FB" w:rsidRPr="009B7B35" w:rsidRDefault="00BE36FB" w:rsidP="001A7107">
            <w:pPr>
              <w:rPr>
                <w:rFonts w:cs="Arial"/>
                <w:sz w:val="20"/>
                <w:szCs w:val="20"/>
                <w:lang w:val="en-US"/>
              </w:rPr>
            </w:pPr>
            <w:r w:rsidRPr="009B7B35">
              <w:rPr>
                <w:rFonts w:cs="Arial"/>
                <w:sz w:val="20"/>
                <w:szCs w:val="20"/>
                <w:lang w:val="en-US"/>
              </w:rPr>
              <w:t>Leptospermum  neglectum</w:t>
            </w:r>
          </w:p>
        </w:tc>
        <w:tc>
          <w:tcPr>
            <w:tcW w:w="1137" w:type="pct"/>
          </w:tcPr>
          <w:p w14:paraId="64E6674C" w14:textId="77777777" w:rsidR="00BE36FB" w:rsidRPr="009B7B35" w:rsidRDefault="00BE36FB" w:rsidP="001A7107">
            <w:pPr>
              <w:rPr>
                <w:rFonts w:cs="Arial"/>
                <w:sz w:val="20"/>
                <w:szCs w:val="20"/>
                <w:lang w:val="en-US"/>
              </w:rPr>
            </w:pPr>
            <w:r w:rsidRPr="009B7B35">
              <w:rPr>
                <w:rFonts w:cs="Arial"/>
                <w:sz w:val="20"/>
                <w:szCs w:val="20"/>
                <w:lang w:val="en-US"/>
              </w:rPr>
              <w:t>Coast Tea Tree</w:t>
            </w:r>
          </w:p>
        </w:tc>
        <w:tc>
          <w:tcPr>
            <w:tcW w:w="588" w:type="pct"/>
            <w:vAlign w:val="center"/>
          </w:tcPr>
          <w:p w14:paraId="7615AA9E"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383F71B3"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74F9B511" w14:textId="77777777" w:rsidR="00BE36FB" w:rsidRPr="009B7B35" w:rsidRDefault="00BE36FB" w:rsidP="001A7107">
            <w:pPr>
              <w:jc w:val="center"/>
              <w:rPr>
                <w:rFonts w:cs="Arial"/>
                <w:sz w:val="20"/>
                <w:szCs w:val="20"/>
                <w:lang w:val="en-US"/>
              </w:rPr>
            </w:pPr>
          </w:p>
        </w:tc>
        <w:tc>
          <w:tcPr>
            <w:tcW w:w="587" w:type="pct"/>
            <w:vAlign w:val="center"/>
          </w:tcPr>
          <w:p w14:paraId="2AA45399" w14:textId="77777777" w:rsidR="00BE36FB" w:rsidRPr="009B7B35" w:rsidRDefault="00BE36FB" w:rsidP="001A7107">
            <w:pPr>
              <w:jc w:val="center"/>
              <w:rPr>
                <w:rFonts w:cs="Arial"/>
                <w:sz w:val="20"/>
                <w:szCs w:val="20"/>
                <w:lang w:val="en-US"/>
              </w:rPr>
            </w:pPr>
          </w:p>
        </w:tc>
      </w:tr>
      <w:tr w:rsidR="00BE36FB" w:rsidRPr="009B7B35" w14:paraId="1A0D7EAE" w14:textId="77777777" w:rsidTr="001A7107">
        <w:tc>
          <w:tcPr>
            <w:tcW w:w="1512" w:type="pct"/>
          </w:tcPr>
          <w:p w14:paraId="7F2EFFB2" w14:textId="77777777" w:rsidR="00BE36FB" w:rsidRPr="009B7B35" w:rsidRDefault="00BE36FB" w:rsidP="001A7107">
            <w:pPr>
              <w:rPr>
                <w:rFonts w:cs="Arial"/>
                <w:sz w:val="20"/>
                <w:szCs w:val="20"/>
                <w:lang w:val="en-US"/>
              </w:rPr>
            </w:pPr>
            <w:r w:rsidRPr="009B7B35">
              <w:rPr>
                <w:rFonts w:cs="Arial"/>
                <w:sz w:val="20"/>
                <w:szCs w:val="20"/>
                <w:lang w:val="en-US"/>
              </w:rPr>
              <w:t>Leptospermum petersonii</w:t>
            </w:r>
          </w:p>
        </w:tc>
        <w:tc>
          <w:tcPr>
            <w:tcW w:w="1137" w:type="pct"/>
          </w:tcPr>
          <w:p w14:paraId="49145B41" w14:textId="77777777" w:rsidR="00BE36FB" w:rsidRPr="009B7B35" w:rsidRDefault="00BE36FB" w:rsidP="001A7107">
            <w:pPr>
              <w:rPr>
                <w:rFonts w:cs="Arial"/>
                <w:sz w:val="20"/>
                <w:szCs w:val="20"/>
                <w:lang w:val="en-US"/>
              </w:rPr>
            </w:pPr>
            <w:r w:rsidRPr="009B7B35">
              <w:rPr>
                <w:rFonts w:cs="Arial"/>
                <w:sz w:val="20"/>
                <w:szCs w:val="20"/>
                <w:lang w:val="en-US"/>
              </w:rPr>
              <w:t>Lemon Scented Tea Tree</w:t>
            </w:r>
          </w:p>
        </w:tc>
        <w:tc>
          <w:tcPr>
            <w:tcW w:w="588" w:type="pct"/>
            <w:vAlign w:val="center"/>
          </w:tcPr>
          <w:p w14:paraId="2CFDB5BD"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1C31E76F"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418843A6"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398053B"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654AD55C" wp14:editId="02E80683">
                  <wp:extent cx="180000" cy="1800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5C9574BA" w14:textId="77777777" w:rsidTr="001A7107">
        <w:tc>
          <w:tcPr>
            <w:tcW w:w="1512" w:type="pct"/>
          </w:tcPr>
          <w:p w14:paraId="12C18F50" w14:textId="77777777" w:rsidR="00BE36FB" w:rsidRPr="009B7B35" w:rsidRDefault="00BE36FB" w:rsidP="001A7107">
            <w:pPr>
              <w:rPr>
                <w:rFonts w:cs="Arial"/>
                <w:sz w:val="20"/>
                <w:szCs w:val="20"/>
                <w:lang w:val="en-US"/>
              </w:rPr>
            </w:pPr>
            <w:r w:rsidRPr="009B7B35">
              <w:rPr>
                <w:rFonts w:cs="Arial"/>
                <w:sz w:val="20"/>
                <w:szCs w:val="20"/>
                <w:lang w:val="en-US"/>
              </w:rPr>
              <w:t>Leptospermum Pacific Beauty</w:t>
            </w:r>
          </w:p>
        </w:tc>
        <w:tc>
          <w:tcPr>
            <w:tcW w:w="1137" w:type="pct"/>
          </w:tcPr>
          <w:p w14:paraId="26A3A916" w14:textId="77777777" w:rsidR="00BE36FB" w:rsidRPr="009B7B35" w:rsidRDefault="00BE36FB" w:rsidP="001A7107">
            <w:pPr>
              <w:rPr>
                <w:rFonts w:cs="Arial"/>
                <w:sz w:val="20"/>
                <w:szCs w:val="20"/>
                <w:lang w:val="en-US"/>
              </w:rPr>
            </w:pPr>
          </w:p>
        </w:tc>
        <w:tc>
          <w:tcPr>
            <w:tcW w:w="588" w:type="pct"/>
            <w:vAlign w:val="center"/>
          </w:tcPr>
          <w:p w14:paraId="6F9A6D3B"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125D7223"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25F06C61"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37A798B"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1A4E8C22" wp14:editId="5262C533">
                  <wp:extent cx="180000" cy="1800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372BAE88" w14:textId="77777777" w:rsidTr="001A7107">
        <w:tc>
          <w:tcPr>
            <w:tcW w:w="1512" w:type="pct"/>
          </w:tcPr>
          <w:p w14:paraId="6CABFC5A" w14:textId="77777777" w:rsidR="00BE36FB" w:rsidRPr="009B7B35" w:rsidRDefault="00BE36FB" w:rsidP="001A7107">
            <w:pPr>
              <w:rPr>
                <w:rFonts w:cs="Arial"/>
                <w:sz w:val="20"/>
                <w:szCs w:val="20"/>
                <w:lang w:val="en-US"/>
              </w:rPr>
            </w:pPr>
            <w:r w:rsidRPr="009B7B35">
              <w:rPr>
                <w:rFonts w:cs="Arial"/>
                <w:sz w:val="20"/>
                <w:szCs w:val="20"/>
                <w:lang w:val="en-US"/>
              </w:rPr>
              <w:t>Licuala ramsayi</w:t>
            </w:r>
          </w:p>
        </w:tc>
        <w:tc>
          <w:tcPr>
            <w:tcW w:w="1137" w:type="pct"/>
          </w:tcPr>
          <w:p w14:paraId="1CFD0168" w14:textId="77777777" w:rsidR="00BE36FB" w:rsidRPr="009B7B35" w:rsidRDefault="00BE36FB" w:rsidP="001A7107">
            <w:pPr>
              <w:rPr>
                <w:rFonts w:cs="Arial"/>
                <w:sz w:val="20"/>
                <w:szCs w:val="20"/>
                <w:lang w:val="en-US"/>
              </w:rPr>
            </w:pPr>
            <w:r w:rsidRPr="009B7B35">
              <w:rPr>
                <w:rFonts w:cs="Arial"/>
                <w:sz w:val="20"/>
                <w:szCs w:val="20"/>
                <w:lang w:val="en-US"/>
              </w:rPr>
              <w:t>Fan Palm</w:t>
            </w:r>
          </w:p>
        </w:tc>
        <w:tc>
          <w:tcPr>
            <w:tcW w:w="588" w:type="pct"/>
            <w:vAlign w:val="center"/>
          </w:tcPr>
          <w:p w14:paraId="312BBE3C"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762DDA43"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581B2DB5"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5B54BDA" w14:textId="77777777" w:rsidR="00BE36FB" w:rsidRPr="009B7B35" w:rsidRDefault="00BE36FB" w:rsidP="001A7107">
            <w:pPr>
              <w:jc w:val="center"/>
              <w:rPr>
                <w:rFonts w:cs="Arial"/>
                <w:sz w:val="20"/>
                <w:szCs w:val="20"/>
                <w:lang w:val="en-US"/>
              </w:rPr>
            </w:pPr>
          </w:p>
        </w:tc>
      </w:tr>
      <w:tr w:rsidR="00BE36FB" w:rsidRPr="009B7B35" w14:paraId="30F32C5D" w14:textId="77777777" w:rsidTr="001A7107">
        <w:tc>
          <w:tcPr>
            <w:tcW w:w="1512" w:type="pct"/>
          </w:tcPr>
          <w:p w14:paraId="21D3640F" w14:textId="77777777" w:rsidR="00BE36FB" w:rsidRPr="009B7B35" w:rsidRDefault="00BE36FB" w:rsidP="001A7107">
            <w:pPr>
              <w:rPr>
                <w:rFonts w:cs="Arial"/>
                <w:sz w:val="20"/>
                <w:szCs w:val="20"/>
                <w:lang w:val="en-US"/>
              </w:rPr>
            </w:pPr>
            <w:r w:rsidRPr="009B7B35">
              <w:rPr>
                <w:rFonts w:cs="Arial"/>
                <w:sz w:val="20"/>
                <w:szCs w:val="20"/>
                <w:lang w:val="en-US"/>
              </w:rPr>
              <w:t>Linospadix monostachya</w:t>
            </w:r>
          </w:p>
        </w:tc>
        <w:tc>
          <w:tcPr>
            <w:tcW w:w="1137" w:type="pct"/>
          </w:tcPr>
          <w:p w14:paraId="45B26652" w14:textId="77777777" w:rsidR="00BE36FB" w:rsidRPr="009B7B35" w:rsidRDefault="00BE36FB" w:rsidP="001A7107">
            <w:pPr>
              <w:rPr>
                <w:rFonts w:cs="Arial"/>
                <w:sz w:val="20"/>
                <w:szCs w:val="20"/>
                <w:lang w:val="en-US"/>
              </w:rPr>
            </w:pPr>
            <w:r w:rsidRPr="009B7B35">
              <w:rPr>
                <w:rFonts w:cs="Arial"/>
                <w:sz w:val="20"/>
                <w:szCs w:val="20"/>
                <w:lang w:val="en-US"/>
              </w:rPr>
              <w:t>Walking Stick Palm</w:t>
            </w:r>
          </w:p>
        </w:tc>
        <w:tc>
          <w:tcPr>
            <w:tcW w:w="588" w:type="pct"/>
            <w:vAlign w:val="center"/>
          </w:tcPr>
          <w:p w14:paraId="680C2D94" w14:textId="77777777" w:rsidR="00BE36FB" w:rsidRPr="009B7B35" w:rsidRDefault="00BE36FB" w:rsidP="001A7107">
            <w:pPr>
              <w:jc w:val="center"/>
              <w:rPr>
                <w:rFonts w:cs="Arial"/>
                <w:sz w:val="20"/>
                <w:szCs w:val="20"/>
                <w:lang w:val="en-US"/>
              </w:rPr>
            </w:pPr>
          </w:p>
        </w:tc>
        <w:tc>
          <w:tcPr>
            <w:tcW w:w="588" w:type="pct"/>
            <w:vAlign w:val="center"/>
          </w:tcPr>
          <w:p w14:paraId="363D8625" w14:textId="77777777" w:rsidR="00BE36FB" w:rsidRPr="009B7B35" w:rsidRDefault="00BE36FB" w:rsidP="001A7107">
            <w:pPr>
              <w:jc w:val="center"/>
              <w:rPr>
                <w:rFonts w:cs="Arial"/>
                <w:sz w:val="20"/>
                <w:szCs w:val="20"/>
                <w:lang w:val="en-US"/>
              </w:rPr>
            </w:pPr>
          </w:p>
        </w:tc>
        <w:tc>
          <w:tcPr>
            <w:tcW w:w="588" w:type="pct"/>
            <w:vAlign w:val="center"/>
          </w:tcPr>
          <w:p w14:paraId="71500B2F" w14:textId="77777777" w:rsidR="00BE36FB" w:rsidRPr="009B7B35" w:rsidRDefault="00BE36FB" w:rsidP="001A7107">
            <w:pPr>
              <w:jc w:val="center"/>
              <w:rPr>
                <w:rFonts w:cs="Arial"/>
                <w:sz w:val="20"/>
                <w:szCs w:val="20"/>
                <w:lang w:val="en-US"/>
              </w:rPr>
            </w:pPr>
          </w:p>
        </w:tc>
        <w:tc>
          <w:tcPr>
            <w:tcW w:w="587" w:type="pct"/>
            <w:vAlign w:val="center"/>
          </w:tcPr>
          <w:p w14:paraId="26CA10CC" w14:textId="77777777" w:rsidR="00BE36FB" w:rsidRPr="009B7B35" w:rsidRDefault="00BE36FB" w:rsidP="001A7107">
            <w:pPr>
              <w:jc w:val="center"/>
              <w:rPr>
                <w:rFonts w:cs="Arial"/>
                <w:sz w:val="20"/>
                <w:szCs w:val="20"/>
                <w:lang w:val="en-US"/>
              </w:rPr>
            </w:pPr>
          </w:p>
        </w:tc>
      </w:tr>
      <w:tr w:rsidR="00BE36FB" w:rsidRPr="009B7B35" w14:paraId="5BC86CB4" w14:textId="77777777" w:rsidTr="001A7107">
        <w:tc>
          <w:tcPr>
            <w:tcW w:w="1512" w:type="pct"/>
          </w:tcPr>
          <w:p w14:paraId="7BF9C5D8" w14:textId="77777777" w:rsidR="00BE36FB" w:rsidRPr="009B7B35" w:rsidRDefault="00BE36FB" w:rsidP="001A7107">
            <w:pPr>
              <w:rPr>
                <w:rFonts w:cs="Arial"/>
                <w:sz w:val="20"/>
                <w:szCs w:val="20"/>
                <w:lang w:val="en-US"/>
              </w:rPr>
            </w:pPr>
            <w:r w:rsidRPr="009B7B35">
              <w:rPr>
                <w:rFonts w:cs="Arial"/>
                <w:sz w:val="20"/>
                <w:szCs w:val="20"/>
                <w:lang w:val="en-US"/>
              </w:rPr>
              <w:t>Livistonia australis</w:t>
            </w:r>
          </w:p>
        </w:tc>
        <w:tc>
          <w:tcPr>
            <w:tcW w:w="1137" w:type="pct"/>
          </w:tcPr>
          <w:p w14:paraId="3827FC69" w14:textId="77777777" w:rsidR="00BE36FB" w:rsidRPr="009B7B35" w:rsidRDefault="00BE36FB" w:rsidP="001A7107">
            <w:pPr>
              <w:rPr>
                <w:rFonts w:cs="Arial"/>
                <w:sz w:val="20"/>
                <w:szCs w:val="20"/>
                <w:lang w:val="en-US"/>
              </w:rPr>
            </w:pPr>
            <w:r w:rsidRPr="009B7B35">
              <w:rPr>
                <w:rFonts w:cs="Arial"/>
                <w:sz w:val="20"/>
                <w:szCs w:val="20"/>
                <w:lang w:val="en-US"/>
              </w:rPr>
              <w:t>Cabbage Tree Palm</w:t>
            </w:r>
          </w:p>
        </w:tc>
        <w:tc>
          <w:tcPr>
            <w:tcW w:w="588" w:type="pct"/>
            <w:vAlign w:val="center"/>
          </w:tcPr>
          <w:p w14:paraId="710B153E" w14:textId="77777777" w:rsidR="00BE36FB" w:rsidRPr="009B7B35" w:rsidRDefault="00BE36FB" w:rsidP="001A7107">
            <w:pPr>
              <w:jc w:val="center"/>
              <w:rPr>
                <w:rFonts w:cs="Arial"/>
                <w:sz w:val="20"/>
                <w:szCs w:val="20"/>
                <w:lang w:val="en-US"/>
              </w:rPr>
            </w:pPr>
          </w:p>
        </w:tc>
        <w:tc>
          <w:tcPr>
            <w:tcW w:w="588" w:type="pct"/>
            <w:vAlign w:val="center"/>
          </w:tcPr>
          <w:p w14:paraId="513AE834" w14:textId="77777777" w:rsidR="00BE36FB" w:rsidRPr="009B7B35" w:rsidRDefault="00BE36FB" w:rsidP="001A7107">
            <w:pPr>
              <w:jc w:val="center"/>
              <w:rPr>
                <w:rFonts w:cs="Arial"/>
                <w:sz w:val="20"/>
                <w:szCs w:val="20"/>
                <w:lang w:val="en-US"/>
              </w:rPr>
            </w:pPr>
          </w:p>
        </w:tc>
        <w:tc>
          <w:tcPr>
            <w:tcW w:w="588" w:type="pct"/>
            <w:vAlign w:val="center"/>
          </w:tcPr>
          <w:p w14:paraId="5BEAF652" w14:textId="77777777" w:rsidR="00BE36FB" w:rsidRPr="009B7B35" w:rsidRDefault="00BE36FB" w:rsidP="001A7107">
            <w:pPr>
              <w:jc w:val="center"/>
              <w:rPr>
                <w:rFonts w:cs="Arial"/>
                <w:sz w:val="20"/>
                <w:szCs w:val="20"/>
                <w:lang w:val="en-US"/>
              </w:rPr>
            </w:pPr>
          </w:p>
        </w:tc>
        <w:tc>
          <w:tcPr>
            <w:tcW w:w="587" w:type="pct"/>
            <w:vAlign w:val="center"/>
          </w:tcPr>
          <w:p w14:paraId="5FF8830D" w14:textId="77777777" w:rsidR="00BE36FB" w:rsidRPr="009B7B35" w:rsidRDefault="00BE36FB" w:rsidP="001A7107">
            <w:pPr>
              <w:jc w:val="center"/>
              <w:rPr>
                <w:rFonts w:cs="Arial"/>
                <w:sz w:val="20"/>
                <w:szCs w:val="20"/>
                <w:lang w:val="en-US"/>
              </w:rPr>
            </w:pPr>
          </w:p>
        </w:tc>
      </w:tr>
      <w:tr w:rsidR="00BE36FB" w:rsidRPr="009B7B35" w14:paraId="5C2AD13E" w14:textId="77777777" w:rsidTr="001A7107">
        <w:tc>
          <w:tcPr>
            <w:tcW w:w="1512" w:type="pct"/>
          </w:tcPr>
          <w:p w14:paraId="32FF0D35" w14:textId="77777777" w:rsidR="00BE36FB" w:rsidRPr="009B7B35" w:rsidRDefault="00BE36FB" w:rsidP="001A7107">
            <w:pPr>
              <w:rPr>
                <w:rFonts w:cs="Arial"/>
                <w:sz w:val="20"/>
                <w:szCs w:val="20"/>
                <w:lang w:val="en-US"/>
              </w:rPr>
            </w:pPr>
            <w:r w:rsidRPr="009B7B35">
              <w:rPr>
                <w:rFonts w:cs="Arial"/>
                <w:sz w:val="20"/>
                <w:szCs w:val="20"/>
                <w:lang w:val="en-US"/>
              </w:rPr>
              <w:t>Livistonia decipiens</w:t>
            </w:r>
          </w:p>
        </w:tc>
        <w:tc>
          <w:tcPr>
            <w:tcW w:w="1137" w:type="pct"/>
          </w:tcPr>
          <w:p w14:paraId="7DAA7F98" w14:textId="77777777" w:rsidR="00BE36FB" w:rsidRPr="009B7B35" w:rsidRDefault="00BE36FB" w:rsidP="001A7107">
            <w:pPr>
              <w:rPr>
                <w:rFonts w:cs="Arial"/>
                <w:sz w:val="20"/>
                <w:szCs w:val="20"/>
                <w:lang w:val="en-US"/>
              </w:rPr>
            </w:pPr>
            <w:r w:rsidRPr="009B7B35">
              <w:rPr>
                <w:rFonts w:cs="Arial"/>
                <w:sz w:val="20"/>
                <w:szCs w:val="20"/>
                <w:lang w:val="en-US"/>
              </w:rPr>
              <w:t>Weeping Cabbage Plam</w:t>
            </w:r>
          </w:p>
        </w:tc>
        <w:tc>
          <w:tcPr>
            <w:tcW w:w="588" w:type="pct"/>
            <w:vAlign w:val="center"/>
          </w:tcPr>
          <w:p w14:paraId="10EDE627"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11A32A6E"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3B9F83A5" w14:textId="77777777" w:rsidR="00BE36FB" w:rsidRPr="009B7B35" w:rsidRDefault="00BE36FB" w:rsidP="001A7107">
            <w:pPr>
              <w:jc w:val="center"/>
              <w:rPr>
                <w:rFonts w:cs="Arial"/>
                <w:sz w:val="20"/>
                <w:szCs w:val="20"/>
                <w:lang w:val="en-US"/>
              </w:rPr>
            </w:pPr>
          </w:p>
        </w:tc>
        <w:tc>
          <w:tcPr>
            <w:tcW w:w="587" w:type="pct"/>
            <w:vAlign w:val="center"/>
          </w:tcPr>
          <w:p w14:paraId="718A27EE" w14:textId="77777777" w:rsidR="00BE36FB" w:rsidRPr="009B7B35" w:rsidRDefault="00BE36FB" w:rsidP="001A7107">
            <w:pPr>
              <w:jc w:val="center"/>
              <w:rPr>
                <w:rFonts w:cs="Arial"/>
                <w:sz w:val="20"/>
                <w:szCs w:val="20"/>
                <w:lang w:val="en-US"/>
              </w:rPr>
            </w:pPr>
          </w:p>
        </w:tc>
      </w:tr>
      <w:tr w:rsidR="00BE36FB" w:rsidRPr="009B7B35" w14:paraId="7107FEA0" w14:textId="77777777" w:rsidTr="001A7107">
        <w:tc>
          <w:tcPr>
            <w:tcW w:w="1512" w:type="pct"/>
          </w:tcPr>
          <w:p w14:paraId="71AA140F" w14:textId="77777777" w:rsidR="00BE36FB" w:rsidRPr="009B7B35" w:rsidRDefault="00BE36FB" w:rsidP="001A7107">
            <w:pPr>
              <w:rPr>
                <w:rFonts w:cs="Arial"/>
                <w:sz w:val="20"/>
                <w:szCs w:val="20"/>
                <w:lang w:val="en-US"/>
              </w:rPr>
            </w:pPr>
            <w:r w:rsidRPr="009B7B35">
              <w:rPr>
                <w:rFonts w:cs="Arial"/>
                <w:sz w:val="20"/>
                <w:szCs w:val="20"/>
                <w:lang w:val="en-US"/>
              </w:rPr>
              <w:t>Livistonia decora</w:t>
            </w:r>
          </w:p>
        </w:tc>
        <w:tc>
          <w:tcPr>
            <w:tcW w:w="1137" w:type="pct"/>
          </w:tcPr>
          <w:p w14:paraId="24D069CE" w14:textId="77777777" w:rsidR="00BE36FB" w:rsidRPr="009B7B35" w:rsidRDefault="00BE36FB" w:rsidP="001A7107">
            <w:pPr>
              <w:rPr>
                <w:rFonts w:cs="Arial"/>
                <w:sz w:val="20"/>
                <w:szCs w:val="20"/>
                <w:lang w:val="en-US"/>
              </w:rPr>
            </w:pPr>
            <w:r w:rsidRPr="009B7B35">
              <w:rPr>
                <w:rFonts w:cs="Arial"/>
                <w:sz w:val="20"/>
                <w:szCs w:val="20"/>
                <w:lang w:val="en-US"/>
              </w:rPr>
              <w:t>Cabbage Tree Palm</w:t>
            </w:r>
          </w:p>
        </w:tc>
        <w:tc>
          <w:tcPr>
            <w:tcW w:w="588" w:type="pct"/>
            <w:vAlign w:val="center"/>
          </w:tcPr>
          <w:p w14:paraId="6A77BC1B" w14:textId="77777777" w:rsidR="00BE36FB" w:rsidRPr="009B7B35" w:rsidRDefault="00BE36FB" w:rsidP="001A7107">
            <w:pPr>
              <w:jc w:val="center"/>
              <w:rPr>
                <w:rFonts w:cs="Arial"/>
                <w:sz w:val="20"/>
                <w:szCs w:val="20"/>
                <w:lang w:val="en-US"/>
              </w:rPr>
            </w:pPr>
            <w:r w:rsidRPr="009B7B35">
              <w:rPr>
                <w:rFonts w:cs="Arial"/>
                <w:sz w:val="20"/>
                <w:szCs w:val="20"/>
                <w:lang w:val="en-US"/>
              </w:rPr>
              <w:t>10 to 12</w:t>
            </w:r>
          </w:p>
        </w:tc>
        <w:tc>
          <w:tcPr>
            <w:tcW w:w="588" w:type="pct"/>
            <w:vAlign w:val="center"/>
          </w:tcPr>
          <w:p w14:paraId="0E784176" w14:textId="77777777" w:rsidR="00BE36FB" w:rsidRPr="009B7B35" w:rsidRDefault="00BE36FB" w:rsidP="001A7107">
            <w:pPr>
              <w:jc w:val="center"/>
              <w:rPr>
                <w:rFonts w:cs="Arial"/>
                <w:sz w:val="20"/>
                <w:szCs w:val="20"/>
                <w:lang w:val="en-US"/>
              </w:rPr>
            </w:pPr>
            <w:r w:rsidRPr="009B7B35">
              <w:rPr>
                <w:rFonts w:cs="Arial"/>
                <w:sz w:val="20"/>
                <w:szCs w:val="20"/>
                <w:lang w:val="en-US"/>
              </w:rPr>
              <w:t>3 to 4</w:t>
            </w:r>
          </w:p>
        </w:tc>
        <w:tc>
          <w:tcPr>
            <w:tcW w:w="588" w:type="pct"/>
            <w:vAlign w:val="center"/>
          </w:tcPr>
          <w:p w14:paraId="367403B1"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BBE5D24" w14:textId="77777777" w:rsidR="00BE36FB" w:rsidRPr="009B7B35" w:rsidRDefault="00BE36FB" w:rsidP="001A7107">
            <w:pPr>
              <w:jc w:val="center"/>
              <w:rPr>
                <w:rFonts w:cs="Arial"/>
                <w:sz w:val="20"/>
                <w:szCs w:val="20"/>
                <w:lang w:val="en-US"/>
              </w:rPr>
            </w:pPr>
          </w:p>
        </w:tc>
      </w:tr>
      <w:tr w:rsidR="00BE36FB" w:rsidRPr="009B7B35" w14:paraId="67BF1C07" w14:textId="77777777" w:rsidTr="001A7107">
        <w:tc>
          <w:tcPr>
            <w:tcW w:w="1512" w:type="pct"/>
          </w:tcPr>
          <w:p w14:paraId="5AC02414" w14:textId="77777777" w:rsidR="00BE36FB" w:rsidRPr="009B7B35" w:rsidRDefault="00BE36FB" w:rsidP="001A7107">
            <w:pPr>
              <w:rPr>
                <w:rFonts w:cs="Arial"/>
                <w:sz w:val="20"/>
                <w:szCs w:val="20"/>
                <w:lang w:val="en-US"/>
              </w:rPr>
            </w:pPr>
            <w:r w:rsidRPr="009B7B35">
              <w:rPr>
                <w:rFonts w:cs="Arial"/>
                <w:sz w:val="20"/>
                <w:szCs w:val="20"/>
                <w:lang w:val="en-US"/>
              </w:rPr>
              <w:t>Lobelia membranacea</w:t>
            </w:r>
          </w:p>
        </w:tc>
        <w:tc>
          <w:tcPr>
            <w:tcW w:w="1137" w:type="pct"/>
          </w:tcPr>
          <w:p w14:paraId="1834F919" w14:textId="77777777" w:rsidR="00BE36FB" w:rsidRPr="009B7B35" w:rsidRDefault="00BE36FB" w:rsidP="001A7107">
            <w:pPr>
              <w:rPr>
                <w:rFonts w:cs="Arial"/>
                <w:sz w:val="20"/>
                <w:szCs w:val="20"/>
                <w:lang w:val="en-US"/>
              </w:rPr>
            </w:pPr>
          </w:p>
        </w:tc>
        <w:tc>
          <w:tcPr>
            <w:tcW w:w="588" w:type="pct"/>
            <w:vAlign w:val="center"/>
          </w:tcPr>
          <w:p w14:paraId="4344E1CA"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4496D494"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69661591"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C5659C9" w14:textId="77777777" w:rsidR="00BE36FB" w:rsidRPr="009B7B35" w:rsidRDefault="00BE36FB" w:rsidP="001A7107">
            <w:pPr>
              <w:jc w:val="center"/>
              <w:rPr>
                <w:rFonts w:cs="Arial"/>
                <w:sz w:val="20"/>
                <w:szCs w:val="20"/>
                <w:lang w:val="en-US"/>
              </w:rPr>
            </w:pPr>
          </w:p>
        </w:tc>
      </w:tr>
      <w:tr w:rsidR="00BE36FB" w:rsidRPr="009B7B35" w14:paraId="173C92CB" w14:textId="77777777" w:rsidTr="001A7107">
        <w:tc>
          <w:tcPr>
            <w:tcW w:w="1512" w:type="pct"/>
          </w:tcPr>
          <w:p w14:paraId="29A33899" w14:textId="77777777" w:rsidR="00BE36FB" w:rsidRPr="009B7B35" w:rsidRDefault="00BE36FB" w:rsidP="001A7107">
            <w:pPr>
              <w:rPr>
                <w:rFonts w:cs="Arial"/>
                <w:sz w:val="20"/>
                <w:szCs w:val="20"/>
                <w:lang w:val="en-US"/>
              </w:rPr>
            </w:pPr>
            <w:r w:rsidRPr="009B7B35">
              <w:rPr>
                <w:rFonts w:cs="Arial"/>
                <w:sz w:val="20"/>
                <w:szCs w:val="20"/>
                <w:lang w:val="en-US"/>
              </w:rPr>
              <w:t>Lomandra confertifolia</w:t>
            </w:r>
          </w:p>
        </w:tc>
        <w:tc>
          <w:tcPr>
            <w:tcW w:w="1137" w:type="pct"/>
          </w:tcPr>
          <w:p w14:paraId="75BF0950" w14:textId="77777777" w:rsidR="00BE36FB" w:rsidRPr="009B7B35" w:rsidRDefault="00BE36FB" w:rsidP="001A7107">
            <w:pPr>
              <w:rPr>
                <w:rFonts w:cs="Arial"/>
                <w:sz w:val="20"/>
                <w:szCs w:val="20"/>
                <w:lang w:val="en-US"/>
              </w:rPr>
            </w:pPr>
          </w:p>
        </w:tc>
        <w:tc>
          <w:tcPr>
            <w:tcW w:w="588" w:type="pct"/>
            <w:vAlign w:val="center"/>
          </w:tcPr>
          <w:p w14:paraId="3CD54A0F"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5D86EF00"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1C8BACC4"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56FA5E8" w14:textId="77777777" w:rsidR="00BE36FB" w:rsidRPr="009B7B35" w:rsidRDefault="00BE36FB" w:rsidP="001A7107">
            <w:pPr>
              <w:jc w:val="center"/>
              <w:rPr>
                <w:rFonts w:cs="Arial"/>
                <w:sz w:val="20"/>
                <w:szCs w:val="20"/>
                <w:lang w:val="en-US"/>
              </w:rPr>
            </w:pPr>
          </w:p>
        </w:tc>
      </w:tr>
      <w:tr w:rsidR="00BE36FB" w:rsidRPr="009B7B35" w14:paraId="5692952E" w14:textId="77777777" w:rsidTr="001A7107">
        <w:tc>
          <w:tcPr>
            <w:tcW w:w="1512" w:type="pct"/>
          </w:tcPr>
          <w:p w14:paraId="09D8439A" w14:textId="77777777" w:rsidR="00BE36FB" w:rsidRPr="009B7B35" w:rsidRDefault="00BE36FB" w:rsidP="001A7107">
            <w:pPr>
              <w:rPr>
                <w:rFonts w:cs="Arial"/>
                <w:sz w:val="20"/>
                <w:szCs w:val="20"/>
                <w:lang w:val="en-US"/>
              </w:rPr>
            </w:pPr>
            <w:r w:rsidRPr="009B7B35">
              <w:rPr>
                <w:rFonts w:cs="Arial"/>
                <w:sz w:val="20"/>
                <w:szCs w:val="20"/>
                <w:lang w:val="en-US"/>
              </w:rPr>
              <w:t>Lomandra histrix</w:t>
            </w:r>
          </w:p>
        </w:tc>
        <w:tc>
          <w:tcPr>
            <w:tcW w:w="1137" w:type="pct"/>
          </w:tcPr>
          <w:p w14:paraId="48A613DB" w14:textId="77777777" w:rsidR="00BE36FB" w:rsidRPr="009B7B35" w:rsidRDefault="00BE36FB" w:rsidP="001A7107">
            <w:pPr>
              <w:rPr>
                <w:rFonts w:cs="Arial"/>
                <w:sz w:val="20"/>
                <w:szCs w:val="20"/>
                <w:lang w:val="en-US"/>
              </w:rPr>
            </w:pPr>
            <w:r w:rsidRPr="009B7B35">
              <w:rPr>
                <w:rFonts w:cs="Arial"/>
                <w:sz w:val="20"/>
                <w:szCs w:val="20"/>
                <w:lang w:val="en-US"/>
              </w:rPr>
              <w:t>Mat Rush</w:t>
            </w:r>
          </w:p>
        </w:tc>
        <w:tc>
          <w:tcPr>
            <w:tcW w:w="588" w:type="pct"/>
            <w:vAlign w:val="center"/>
          </w:tcPr>
          <w:p w14:paraId="26549925"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1683D917"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5B2C071E"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319F9D7" w14:textId="77777777" w:rsidR="00BE36FB" w:rsidRPr="009B7B35" w:rsidRDefault="00BE36FB" w:rsidP="001A7107">
            <w:pPr>
              <w:jc w:val="center"/>
              <w:rPr>
                <w:rFonts w:cs="Arial"/>
                <w:sz w:val="20"/>
                <w:szCs w:val="20"/>
                <w:lang w:val="en-US"/>
              </w:rPr>
            </w:pPr>
          </w:p>
        </w:tc>
      </w:tr>
      <w:tr w:rsidR="00BE36FB" w:rsidRPr="009B7B35" w14:paraId="1C3C44A6" w14:textId="77777777" w:rsidTr="001A7107">
        <w:tc>
          <w:tcPr>
            <w:tcW w:w="1512" w:type="pct"/>
          </w:tcPr>
          <w:p w14:paraId="5071EB03" w14:textId="77777777" w:rsidR="00BE36FB" w:rsidRPr="009B7B35" w:rsidRDefault="00BE36FB" w:rsidP="001A7107">
            <w:pPr>
              <w:rPr>
                <w:rFonts w:cs="Arial"/>
                <w:sz w:val="20"/>
                <w:szCs w:val="20"/>
                <w:lang w:val="en-US"/>
              </w:rPr>
            </w:pPr>
            <w:r w:rsidRPr="009B7B35">
              <w:rPr>
                <w:rFonts w:cs="Arial"/>
                <w:sz w:val="20"/>
                <w:szCs w:val="20"/>
                <w:lang w:val="en-US"/>
              </w:rPr>
              <w:t>Lomandra longifolia</w:t>
            </w:r>
          </w:p>
        </w:tc>
        <w:tc>
          <w:tcPr>
            <w:tcW w:w="1137" w:type="pct"/>
          </w:tcPr>
          <w:p w14:paraId="3D51C21C" w14:textId="77777777" w:rsidR="00BE36FB" w:rsidRPr="009B7B35" w:rsidRDefault="00BE36FB" w:rsidP="001A7107">
            <w:pPr>
              <w:rPr>
                <w:rFonts w:cs="Arial"/>
                <w:sz w:val="20"/>
                <w:szCs w:val="20"/>
                <w:lang w:val="en-US"/>
              </w:rPr>
            </w:pPr>
            <w:r w:rsidRPr="009B7B35">
              <w:rPr>
                <w:rFonts w:cs="Arial"/>
                <w:sz w:val="20"/>
                <w:szCs w:val="20"/>
                <w:lang w:val="en-US"/>
              </w:rPr>
              <w:t>Mat Rush</w:t>
            </w:r>
          </w:p>
        </w:tc>
        <w:tc>
          <w:tcPr>
            <w:tcW w:w="588" w:type="pct"/>
            <w:vAlign w:val="center"/>
          </w:tcPr>
          <w:p w14:paraId="049074DB"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34DFB061"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047E4345"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AE77339" w14:textId="77777777" w:rsidR="00BE36FB" w:rsidRPr="009B7B35" w:rsidRDefault="00BE36FB" w:rsidP="001A7107">
            <w:pPr>
              <w:jc w:val="center"/>
              <w:rPr>
                <w:rFonts w:cs="Arial"/>
                <w:sz w:val="20"/>
                <w:szCs w:val="20"/>
                <w:lang w:val="en-US"/>
              </w:rPr>
            </w:pPr>
          </w:p>
        </w:tc>
      </w:tr>
      <w:tr w:rsidR="00BE36FB" w:rsidRPr="009B7B35" w14:paraId="21490DA5" w14:textId="77777777" w:rsidTr="001A7107">
        <w:tc>
          <w:tcPr>
            <w:tcW w:w="1512" w:type="pct"/>
          </w:tcPr>
          <w:p w14:paraId="4F22605B" w14:textId="77777777" w:rsidR="00BE36FB" w:rsidRPr="009B7B35" w:rsidRDefault="00BE36FB" w:rsidP="001A7107">
            <w:pPr>
              <w:rPr>
                <w:rFonts w:cs="Arial"/>
                <w:sz w:val="20"/>
                <w:szCs w:val="20"/>
                <w:lang w:val="en-US"/>
              </w:rPr>
            </w:pPr>
            <w:r w:rsidRPr="009B7B35">
              <w:rPr>
                <w:rFonts w:cs="Arial"/>
                <w:sz w:val="20"/>
                <w:szCs w:val="20"/>
                <w:lang w:val="en-US"/>
              </w:rPr>
              <w:t>Lophostemon confertus</w:t>
            </w:r>
          </w:p>
        </w:tc>
        <w:tc>
          <w:tcPr>
            <w:tcW w:w="1137" w:type="pct"/>
          </w:tcPr>
          <w:p w14:paraId="74D76AE8" w14:textId="77777777" w:rsidR="00BE36FB" w:rsidRPr="009B7B35" w:rsidRDefault="00BE36FB" w:rsidP="001A7107">
            <w:pPr>
              <w:rPr>
                <w:rFonts w:cs="Arial"/>
                <w:sz w:val="20"/>
                <w:szCs w:val="20"/>
                <w:lang w:val="en-US"/>
              </w:rPr>
            </w:pPr>
            <w:r w:rsidRPr="009B7B35">
              <w:rPr>
                <w:rFonts w:cs="Arial"/>
                <w:sz w:val="20"/>
                <w:szCs w:val="20"/>
                <w:lang w:val="en-US"/>
              </w:rPr>
              <w:t>Brush Box</w:t>
            </w:r>
          </w:p>
        </w:tc>
        <w:tc>
          <w:tcPr>
            <w:tcW w:w="588" w:type="pct"/>
            <w:vAlign w:val="center"/>
          </w:tcPr>
          <w:p w14:paraId="072D3D0C" w14:textId="77777777" w:rsidR="00BE36FB" w:rsidRPr="009B7B35" w:rsidRDefault="00BE36FB" w:rsidP="001A7107">
            <w:pPr>
              <w:jc w:val="center"/>
              <w:rPr>
                <w:rFonts w:cs="Arial"/>
                <w:sz w:val="20"/>
                <w:szCs w:val="20"/>
                <w:lang w:val="en-US"/>
              </w:rPr>
            </w:pPr>
            <w:r w:rsidRPr="009B7B35">
              <w:rPr>
                <w:rFonts w:cs="Arial"/>
                <w:sz w:val="20"/>
                <w:szCs w:val="20"/>
                <w:lang w:val="en-US"/>
              </w:rPr>
              <w:t>10 to 23</w:t>
            </w:r>
          </w:p>
        </w:tc>
        <w:tc>
          <w:tcPr>
            <w:tcW w:w="588" w:type="pct"/>
            <w:vAlign w:val="center"/>
          </w:tcPr>
          <w:p w14:paraId="6D8BA516"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214931E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00B6C5E"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323425FF" wp14:editId="15A273C4">
                  <wp:extent cx="180000" cy="1800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6D3A2A2C" w14:textId="77777777" w:rsidTr="001A7107">
        <w:tc>
          <w:tcPr>
            <w:tcW w:w="1512" w:type="pct"/>
          </w:tcPr>
          <w:p w14:paraId="0A9D2EF6" w14:textId="77777777" w:rsidR="00BE36FB" w:rsidRPr="009B7B35" w:rsidRDefault="00BE36FB" w:rsidP="001A7107">
            <w:pPr>
              <w:rPr>
                <w:rFonts w:cs="Arial"/>
                <w:sz w:val="20"/>
                <w:szCs w:val="20"/>
                <w:lang w:val="en-US"/>
              </w:rPr>
            </w:pPr>
            <w:r w:rsidRPr="009B7B35">
              <w:rPr>
                <w:rFonts w:cs="Arial"/>
                <w:sz w:val="20"/>
                <w:szCs w:val="20"/>
                <w:lang w:val="en-US"/>
              </w:rPr>
              <w:t>Macadamia spp.</w:t>
            </w:r>
          </w:p>
        </w:tc>
        <w:tc>
          <w:tcPr>
            <w:tcW w:w="1137" w:type="pct"/>
          </w:tcPr>
          <w:p w14:paraId="4B1F59CD" w14:textId="77777777" w:rsidR="00BE36FB" w:rsidRPr="009B7B35" w:rsidRDefault="00BE36FB" w:rsidP="001A7107">
            <w:pPr>
              <w:rPr>
                <w:rFonts w:cs="Arial"/>
                <w:sz w:val="20"/>
                <w:szCs w:val="20"/>
                <w:lang w:val="en-US"/>
              </w:rPr>
            </w:pPr>
          </w:p>
        </w:tc>
        <w:tc>
          <w:tcPr>
            <w:tcW w:w="588" w:type="pct"/>
            <w:vAlign w:val="center"/>
          </w:tcPr>
          <w:p w14:paraId="0CC4DD6D"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776F4ACD"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0395A11F" w14:textId="77777777" w:rsidR="00BE36FB" w:rsidRPr="009B7B35" w:rsidRDefault="00BE36FB" w:rsidP="001A7107">
            <w:pPr>
              <w:jc w:val="center"/>
              <w:rPr>
                <w:rFonts w:cs="Arial"/>
                <w:sz w:val="20"/>
                <w:szCs w:val="20"/>
                <w:lang w:val="en-US"/>
              </w:rPr>
            </w:pPr>
          </w:p>
        </w:tc>
        <w:tc>
          <w:tcPr>
            <w:tcW w:w="587" w:type="pct"/>
            <w:vAlign w:val="center"/>
          </w:tcPr>
          <w:p w14:paraId="1E52E57A" w14:textId="77777777" w:rsidR="00BE36FB" w:rsidRPr="009B7B35" w:rsidRDefault="00BE36FB" w:rsidP="001A7107">
            <w:pPr>
              <w:jc w:val="center"/>
              <w:rPr>
                <w:rFonts w:cs="Arial"/>
                <w:sz w:val="20"/>
                <w:szCs w:val="20"/>
                <w:lang w:val="en-US"/>
              </w:rPr>
            </w:pPr>
          </w:p>
        </w:tc>
      </w:tr>
      <w:tr w:rsidR="00BE36FB" w:rsidRPr="009B7B35" w14:paraId="3DF8180A" w14:textId="77777777" w:rsidTr="001A7107">
        <w:tc>
          <w:tcPr>
            <w:tcW w:w="1512" w:type="pct"/>
          </w:tcPr>
          <w:p w14:paraId="6B70C44E" w14:textId="77777777" w:rsidR="00BE36FB" w:rsidRPr="009B7B35" w:rsidRDefault="00BE36FB" w:rsidP="001A7107">
            <w:pPr>
              <w:rPr>
                <w:rFonts w:cs="Arial"/>
                <w:sz w:val="20"/>
                <w:szCs w:val="20"/>
                <w:lang w:val="en-US"/>
              </w:rPr>
            </w:pPr>
            <w:r w:rsidRPr="009B7B35">
              <w:rPr>
                <w:rFonts w:cs="Arial"/>
                <w:sz w:val="20"/>
                <w:szCs w:val="20"/>
                <w:lang w:val="en-US"/>
              </w:rPr>
              <w:t>Macaranga tanarius</w:t>
            </w:r>
          </w:p>
        </w:tc>
        <w:tc>
          <w:tcPr>
            <w:tcW w:w="1137" w:type="pct"/>
          </w:tcPr>
          <w:p w14:paraId="6027DAF2" w14:textId="77777777" w:rsidR="00BE36FB" w:rsidRPr="009B7B35" w:rsidRDefault="00BE36FB" w:rsidP="001A7107">
            <w:pPr>
              <w:rPr>
                <w:rFonts w:cs="Arial"/>
                <w:sz w:val="20"/>
                <w:szCs w:val="20"/>
                <w:lang w:val="en-US"/>
              </w:rPr>
            </w:pPr>
            <w:r w:rsidRPr="009B7B35">
              <w:rPr>
                <w:rFonts w:cs="Arial"/>
                <w:sz w:val="20"/>
                <w:szCs w:val="20"/>
                <w:lang w:val="en-US"/>
              </w:rPr>
              <w:t>Macaranga</w:t>
            </w:r>
          </w:p>
        </w:tc>
        <w:tc>
          <w:tcPr>
            <w:tcW w:w="588" w:type="pct"/>
            <w:vAlign w:val="center"/>
          </w:tcPr>
          <w:p w14:paraId="7407646E"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5AA4CD17"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7F5CD261"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6FFCA14" w14:textId="77777777" w:rsidR="00BE36FB" w:rsidRPr="009B7B35" w:rsidRDefault="00BE36FB" w:rsidP="001A7107">
            <w:pPr>
              <w:jc w:val="center"/>
              <w:rPr>
                <w:rFonts w:cs="Arial"/>
                <w:sz w:val="20"/>
                <w:szCs w:val="20"/>
                <w:lang w:val="en-US"/>
              </w:rPr>
            </w:pPr>
          </w:p>
        </w:tc>
      </w:tr>
      <w:tr w:rsidR="00BE36FB" w:rsidRPr="009B7B35" w14:paraId="3805F2D9" w14:textId="77777777" w:rsidTr="001A7107">
        <w:tc>
          <w:tcPr>
            <w:tcW w:w="1512" w:type="pct"/>
          </w:tcPr>
          <w:p w14:paraId="71BF0901" w14:textId="77777777" w:rsidR="00BE36FB" w:rsidRPr="009B7B35" w:rsidRDefault="00BE36FB" w:rsidP="001A7107">
            <w:pPr>
              <w:rPr>
                <w:rFonts w:cs="Arial"/>
                <w:sz w:val="20"/>
                <w:szCs w:val="20"/>
                <w:lang w:val="en-US"/>
              </w:rPr>
            </w:pPr>
            <w:r w:rsidRPr="009B7B35">
              <w:rPr>
                <w:rFonts w:cs="Arial"/>
                <w:sz w:val="20"/>
                <w:szCs w:val="20"/>
                <w:lang w:val="en-US"/>
              </w:rPr>
              <w:t>Mallotus discolour</w:t>
            </w:r>
          </w:p>
        </w:tc>
        <w:tc>
          <w:tcPr>
            <w:tcW w:w="1137" w:type="pct"/>
          </w:tcPr>
          <w:p w14:paraId="48C94F3E" w14:textId="77777777" w:rsidR="00BE36FB" w:rsidRPr="009B7B35" w:rsidRDefault="00BE36FB" w:rsidP="001A7107">
            <w:pPr>
              <w:rPr>
                <w:rFonts w:cs="Arial"/>
                <w:sz w:val="20"/>
                <w:szCs w:val="20"/>
                <w:lang w:val="en-US"/>
              </w:rPr>
            </w:pPr>
            <w:r w:rsidRPr="009B7B35">
              <w:rPr>
                <w:rFonts w:cs="Arial"/>
                <w:sz w:val="20"/>
                <w:szCs w:val="20"/>
                <w:lang w:val="en-US"/>
              </w:rPr>
              <w:t>Yellow Kamala</w:t>
            </w:r>
          </w:p>
        </w:tc>
        <w:tc>
          <w:tcPr>
            <w:tcW w:w="588" w:type="pct"/>
            <w:vAlign w:val="center"/>
          </w:tcPr>
          <w:p w14:paraId="6DF1DC4E"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729D93EB"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22409AAE"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37AC5E0" w14:textId="77777777" w:rsidR="00BE36FB" w:rsidRPr="009B7B35" w:rsidRDefault="00BE36FB" w:rsidP="001A7107">
            <w:pPr>
              <w:jc w:val="center"/>
              <w:rPr>
                <w:rFonts w:cs="Arial"/>
                <w:sz w:val="20"/>
                <w:szCs w:val="20"/>
                <w:lang w:val="en-US"/>
              </w:rPr>
            </w:pPr>
          </w:p>
        </w:tc>
      </w:tr>
      <w:tr w:rsidR="00BE36FB" w:rsidRPr="009B7B35" w14:paraId="6BA83B4F" w14:textId="77777777" w:rsidTr="001A7107">
        <w:tc>
          <w:tcPr>
            <w:tcW w:w="1512" w:type="pct"/>
          </w:tcPr>
          <w:p w14:paraId="57424BD1" w14:textId="77777777" w:rsidR="00BE36FB" w:rsidRPr="009B7B35" w:rsidRDefault="00BE36FB" w:rsidP="001A7107">
            <w:pPr>
              <w:rPr>
                <w:rFonts w:cs="Arial"/>
                <w:sz w:val="20"/>
                <w:szCs w:val="20"/>
                <w:lang w:val="en-US"/>
              </w:rPr>
            </w:pPr>
            <w:r w:rsidRPr="009B7B35">
              <w:rPr>
                <w:rFonts w:cs="Arial"/>
                <w:sz w:val="20"/>
                <w:szCs w:val="20"/>
                <w:lang w:val="en-US"/>
              </w:rPr>
              <w:t>Mallotus philipensis</w:t>
            </w:r>
          </w:p>
        </w:tc>
        <w:tc>
          <w:tcPr>
            <w:tcW w:w="1137" w:type="pct"/>
          </w:tcPr>
          <w:p w14:paraId="25637ABA" w14:textId="77777777" w:rsidR="00BE36FB" w:rsidRPr="009B7B35" w:rsidRDefault="00BE36FB" w:rsidP="001A7107">
            <w:pPr>
              <w:rPr>
                <w:rFonts w:cs="Arial"/>
                <w:sz w:val="20"/>
                <w:szCs w:val="20"/>
                <w:lang w:val="en-US"/>
              </w:rPr>
            </w:pPr>
            <w:r w:rsidRPr="009B7B35">
              <w:rPr>
                <w:rFonts w:cs="Arial"/>
                <w:sz w:val="20"/>
                <w:szCs w:val="20"/>
                <w:lang w:val="en-US"/>
              </w:rPr>
              <w:t>Red Kamala</w:t>
            </w:r>
          </w:p>
        </w:tc>
        <w:tc>
          <w:tcPr>
            <w:tcW w:w="588" w:type="pct"/>
            <w:vAlign w:val="center"/>
          </w:tcPr>
          <w:p w14:paraId="7467F753" w14:textId="77777777" w:rsidR="00BE36FB" w:rsidRPr="009B7B35" w:rsidRDefault="00BE36FB" w:rsidP="001A7107">
            <w:pPr>
              <w:jc w:val="center"/>
              <w:rPr>
                <w:rFonts w:cs="Arial"/>
                <w:sz w:val="20"/>
                <w:szCs w:val="20"/>
                <w:lang w:val="en-US"/>
              </w:rPr>
            </w:pPr>
          </w:p>
        </w:tc>
        <w:tc>
          <w:tcPr>
            <w:tcW w:w="588" w:type="pct"/>
            <w:vAlign w:val="center"/>
          </w:tcPr>
          <w:p w14:paraId="53882F7A" w14:textId="77777777" w:rsidR="00BE36FB" w:rsidRPr="009B7B35" w:rsidRDefault="00BE36FB" w:rsidP="001A7107">
            <w:pPr>
              <w:jc w:val="center"/>
              <w:rPr>
                <w:rFonts w:cs="Arial"/>
                <w:sz w:val="20"/>
                <w:szCs w:val="20"/>
                <w:lang w:val="en-US"/>
              </w:rPr>
            </w:pPr>
          </w:p>
        </w:tc>
        <w:tc>
          <w:tcPr>
            <w:tcW w:w="588" w:type="pct"/>
            <w:vAlign w:val="center"/>
          </w:tcPr>
          <w:p w14:paraId="2A922CC5"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4CC460D" w14:textId="77777777" w:rsidR="00BE36FB" w:rsidRPr="009B7B35" w:rsidRDefault="00BE36FB" w:rsidP="001A7107">
            <w:pPr>
              <w:jc w:val="center"/>
              <w:rPr>
                <w:rFonts w:cs="Arial"/>
                <w:sz w:val="20"/>
                <w:szCs w:val="20"/>
                <w:lang w:val="en-US"/>
              </w:rPr>
            </w:pPr>
          </w:p>
        </w:tc>
      </w:tr>
      <w:tr w:rsidR="00BE36FB" w:rsidRPr="009B7B35" w14:paraId="5F6C2C73" w14:textId="77777777" w:rsidTr="001A7107">
        <w:tc>
          <w:tcPr>
            <w:tcW w:w="1512" w:type="pct"/>
          </w:tcPr>
          <w:p w14:paraId="2FF836B1" w14:textId="77777777" w:rsidR="00BE36FB" w:rsidRPr="009B7B35" w:rsidRDefault="00BE36FB" w:rsidP="001A7107">
            <w:pPr>
              <w:rPr>
                <w:rFonts w:cs="Arial"/>
                <w:sz w:val="20"/>
                <w:szCs w:val="20"/>
                <w:lang w:val="en-US"/>
              </w:rPr>
            </w:pPr>
            <w:r w:rsidRPr="009B7B35">
              <w:rPr>
                <w:rFonts w:cs="Arial"/>
                <w:sz w:val="20"/>
                <w:szCs w:val="20"/>
                <w:lang w:val="en-US"/>
              </w:rPr>
              <w:t>Melaleuca bracteata</w:t>
            </w:r>
          </w:p>
        </w:tc>
        <w:tc>
          <w:tcPr>
            <w:tcW w:w="1137" w:type="pct"/>
          </w:tcPr>
          <w:p w14:paraId="6056FAD7" w14:textId="77777777" w:rsidR="00BE36FB" w:rsidRPr="009B7B35" w:rsidRDefault="00BE36FB" w:rsidP="001A7107">
            <w:pPr>
              <w:rPr>
                <w:rFonts w:cs="Arial"/>
                <w:sz w:val="20"/>
                <w:szCs w:val="20"/>
                <w:lang w:val="en-US"/>
              </w:rPr>
            </w:pPr>
            <w:r w:rsidRPr="009B7B35">
              <w:rPr>
                <w:rFonts w:cs="Arial"/>
                <w:sz w:val="20"/>
                <w:szCs w:val="20"/>
                <w:lang w:val="en-US"/>
              </w:rPr>
              <w:t>Revolution Gold and Green</w:t>
            </w:r>
          </w:p>
        </w:tc>
        <w:tc>
          <w:tcPr>
            <w:tcW w:w="588" w:type="pct"/>
            <w:vAlign w:val="center"/>
          </w:tcPr>
          <w:p w14:paraId="03E20272" w14:textId="77777777" w:rsidR="00BE36FB" w:rsidRPr="009B7B35" w:rsidRDefault="00BE36FB" w:rsidP="001A7107">
            <w:pPr>
              <w:jc w:val="center"/>
              <w:rPr>
                <w:rFonts w:cs="Arial"/>
                <w:sz w:val="20"/>
                <w:szCs w:val="20"/>
                <w:lang w:val="en-US"/>
              </w:rPr>
            </w:pPr>
            <w:r w:rsidRPr="009B7B35">
              <w:rPr>
                <w:rFonts w:cs="Arial"/>
                <w:sz w:val="20"/>
                <w:szCs w:val="20"/>
                <w:lang w:val="en-US"/>
              </w:rPr>
              <w:t>7</w:t>
            </w:r>
          </w:p>
        </w:tc>
        <w:tc>
          <w:tcPr>
            <w:tcW w:w="588" w:type="pct"/>
            <w:vAlign w:val="center"/>
          </w:tcPr>
          <w:p w14:paraId="108477F4"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44FA896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A7541DA" w14:textId="77777777" w:rsidR="00BE36FB" w:rsidRPr="009B7B35" w:rsidRDefault="00BE36FB" w:rsidP="001A7107">
            <w:pPr>
              <w:jc w:val="center"/>
              <w:rPr>
                <w:rFonts w:cs="Arial"/>
                <w:sz w:val="20"/>
                <w:szCs w:val="20"/>
                <w:lang w:val="en-US"/>
              </w:rPr>
            </w:pPr>
          </w:p>
        </w:tc>
      </w:tr>
      <w:tr w:rsidR="00BE36FB" w:rsidRPr="009B7B35" w14:paraId="1FDF773D" w14:textId="77777777" w:rsidTr="001A7107">
        <w:tc>
          <w:tcPr>
            <w:tcW w:w="1512" w:type="pct"/>
          </w:tcPr>
          <w:p w14:paraId="53F212F7" w14:textId="77777777" w:rsidR="00BE36FB" w:rsidRPr="009B7B35" w:rsidRDefault="00BE36FB" w:rsidP="001A7107">
            <w:pPr>
              <w:rPr>
                <w:rFonts w:cs="Arial"/>
                <w:sz w:val="20"/>
                <w:szCs w:val="20"/>
                <w:lang w:val="en-US"/>
              </w:rPr>
            </w:pPr>
            <w:r w:rsidRPr="009B7B35">
              <w:rPr>
                <w:rFonts w:cs="Arial"/>
                <w:sz w:val="20"/>
                <w:szCs w:val="20"/>
                <w:lang w:val="en-US"/>
              </w:rPr>
              <w:t>Melaleuca erubescens</w:t>
            </w:r>
          </w:p>
        </w:tc>
        <w:tc>
          <w:tcPr>
            <w:tcW w:w="1137" w:type="pct"/>
          </w:tcPr>
          <w:p w14:paraId="08CE69BF" w14:textId="77777777" w:rsidR="00BE36FB" w:rsidRPr="009B7B35" w:rsidRDefault="00BE36FB" w:rsidP="001A7107">
            <w:pPr>
              <w:rPr>
                <w:rFonts w:cs="Arial"/>
                <w:sz w:val="20"/>
                <w:szCs w:val="20"/>
                <w:lang w:val="en-US"/>
              </w:rPr>
            </w:pPr>
            <w:r w:rsidRPr="009B7B35">
              <w:rPr>
                <w:rFonts w:cs="Arial"/>
                <w:sz w:val="20"/>
                <w:szCs w:val="20"/>
                <w:lang w:val="en-US"/>
              </w:rPr>
              <w:t>Swamp Tea Tree (Qld)</w:t>
            </w:r>
          </w:p>
        </w:tc>
        <w:tc>
          <w:tcPr>
            <w:tcW w:w="588" w:type="pct"/>
            <w:vAlign w:val="center"/>
          </w:tcPr>
          <w:p w14:paraId="71BB79F5"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4042A756"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581A677B" w14:textId="77777777" w:rsidR="00BE36FB" w:rsidRPr="009B7B35" w:rsidRDefault="00BE36FB" w:rsidP="001A7107">
            <w:pPr>
              <w:jc w:val="center"/>
              <w:rPr>
                <w:rFonts w:cs="Arial"/>
                <w:sz w:val="20"/>
                <w:szCs w:val="20"/>
                <w:lang w:val="en-US"/>
              </w:rPr>
            </w:pPr>
          </w:p>
        </w:tc>
        <w:tc>
          <w:tcPr>
            <w:tcW w:w="587" w:type="pct"/>
            <w:vAlign w:val="center"/>
          </w:tcPr>
          <w:p w14:paraId="0800C057" w14:textId="77777777" w:rsidR="00BE36FB" w:rsidRPr="009B7B35" w:rsidRDefault="00BE36FB" w:rsidP="001A7107">
            <w:pPr>
              <w:jc w:val="center"/>
              <w:rPr>
                <w:rFonts w:cs="Arial"/>
                <w:sz w:val="20"/>
                <w:szCs w:val="20"/>
                <w:lang w:val="en-US"/>
              </w:rPr>
            </w:pPr>
          </w:p>
        </w:tc>
      </w:tr>
      <w:tr w:rsidR="00BE36FB" w:rsidRPr="009B7B35" w14:paraId="7E30DB87" w14:textId="77777777" w:rsidTr="001A7107">
        <w:tc>
          <w:tcPr>
            <w:tcW w:w="1512" w:type="pct"/>
          </w:tcPr>
          <w:p w14:paraId="5AEE2A63" w14:textId="77777777" w:rsidR="00BE36FB" w:rsidRPr="009B7B35" w:rsidRDefault="00BE36FB" w:rsidP="001A7107">
            <w:pPr>
              <w:rPr>
                <w:rFonts w:cs="Arial"/>
                <w:sz w:val="20"/>
                <w:szCs w:val="20"/>
                <w:lang w:val="en-US"/>
              </w:rPr>
            </w:pPr>
            <w:r w:rsidRPr="009B7B35">
              <w:rPr>
                <w:rFonts w:cs="Arial"/>
                <w:sz w:val="20"/>
                <w:szCs w:val="20"/>
                <w:lang w:val="en-US"/>
              </w:rPr>
              <w:t>Melaleuca linariifolia</w:t>
            </w:r>
          </w:p>
        </w:tc>
        <w:tc>
          <w:tcPr>
            <w:tcW w:w="1137" w:type="pct"/>
          </w:tcPr>
          <w:p w14:paraId="7DDCFFE3" w14:textId="77777777" w:rsidR="00BE36FB" w:rsidRPr="009B7B35" w:rsidRDefault="00BE36FB" w:rsidP="001A7107">
            <w:pPr>
              <w:rPr>
                <w:rFonts w:cs="Arial"/>
                <w:sz w:val="20"/>
                <w:szCs w:val="20"/>
                <w:lang w:val="en-US"/>
              </w:rPr>
            </w:pPr>
            <w:r w:rsidRPr="009B7B35">
              <w:rPr>
                <w:rFonts w:cs="Arial"/>
                <w:sz w:val="20"/>
                <w:szCs w:val="20"/>
                <w:lang w:val="en-US"/>
              </w:rPr>
              <w:t>Snow in Summer</w:t>
            </w:r>
          </w:p>
        </w:tc>
        <w:tc>
          <w:tcPr>
            <w:tcW w:w="588" w:type="pct"/>
            <w:vAlign w:val="center"/>
          </w:tcPr>
          <w:p w14:paraId="2251A532"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313B4136"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49418A7C"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26A9707" w14:textId="77777777" w:rsidR="00BE36FB" w:rsidRPr="009B7B35" w:rsidRDefault="00BE36FB" w:rsidP="001A7107">
            <w:pPr>
              <w:jc w:val="center"/>
              <w:rPr>
                <w:rFonts w:cs="Arial"/>
                <w:sz w:val="20"/>
                <w:szCs w:val="20"/>
                <w:lang w:val="en-US"/>
              </w:rPr>
            </w:pPr>
          </w:p>
        </w:tc>
      </w:tr>
      <w:tr w:rsidR="00BE36FB" w:rsidRPr="009B7B35" w14:paraId="45FAE9EB" w14:textId="77777777" w:rsidTr="001A7107">
        <w:tc>
          <w:tcPr>
            <w:tcW w:w="1512" w:type="pct"/>
          </w:tcPr>
          <w:p w14:paraId="3362D124" w14:textId="77777777" w:rsidR="00BE36FB" w:rsidRPr="009B7B35" w:rsidRDefault="00BE36FB" w:rsidP="001A7107">
            <w:pPr>
              <w:rPr>
                <w:rFonts w:cs="Arial"/>
                <w:sz w:val="20"/>
                <w:szCs w:val="20"/>
                <w:lang w:val="en-US"/>
              </w:rPr>
            </w:pPr>
            <w:r w:rsidRPr="009B7B35">
              <w:rPr>
                <w:rFonts w:cs="Arial"/>
                <w:sz w:val="20"/>
                <w:szCs w:val="20"/>
                <w:lang w:val="en-US"/>
              </w:rPr>
              <w:t>Melaleuca linariifolia "snowstorm"</w:t>
            </w:r>
          </w:p>
        </w:tc>
        <w:tc>
          <w:tcPr>
            <w:tcW w:w="1137" w:type="pct"/>
          </w:tcPr>
          <w:p w14:paraId="70FE18BC" w14:textId="77777777" w:rsidR="00BE36FB" w:rsidRPr="009B7B35" w:rsidRDefault="00BE36FB" w:rsidP="001A7107">
            <w:pPr>
              <w:rPr>
                <w:rFonts w:cs="Arial"/>
                <w:sz w:val="20"/>
                <w:szCs w:val="20"/>
                <w:lang w:val="en-US"/>
              </w:rPr>
            </w:pPr>
          </w:p>
        </w:tc>
        <w:tc>
          <w:tcPr>
            <w:tcW w:w="588" w:type="pct"/>
            <w:vAlign w:val="center"/>
          </w:tcPr>
          <w:p w14:paraId="5F07C926"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48BCA387"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07DA3B07" w14:textId="77777777" w:rsidR="00BE36FB" w:rsidRPr="009B7B35" w:rsidRDefault="00BE36FB" w:rsidP="001A7107">
            <w:pPr>
              <w:jc w:val="center"/>
              <w:rPr>
                <w:rFonts w:cs="Arial"/>
                <w:sz w:val="20"/>
                <w:szCs w:val="20"/>
                <w:lang w:val="en-US"/>
              </w:rPr>
            </w:pPr>
          </w:p>
        </w:tc>
        <w:tc>
          <w:tcPr>
            <w:tcW w:w="587" w:type="pct"/>
            <w:vAlign w:val="center"/>
          </w:tcPr>
          <w:p w14:paraId="5A172BDF" w14:textId="77777777" w:rsidR="00BE36FB" w:rsidRPr="009B7B35" w:rsidRDefault="00BE36FB" w:rsidP="001A7107">
            <w:pPr>
              <w:jc w:val="center"/>
              <w:rPr>
                <w:rFonts w:cs="Arial"/>
                <w:sz w:val="20"/>
                <w:szCs w:val="20"/>
                <w:lang w:val="en-US"/>
              </w:rPr>
            </w:pPr>
          </w:p>
        </w:tc>
      </w:tr>
      <w:tr w:rsidR="00BE36FB" w:rsidRPr="009B7B35" w14:paraId="1ACADB10" w14:textId="77777777" w:rsidTr="001A7107">
        <w:tc>
          <w:tcPr>
            <w:tcW w:w="1512" w:type="pct"/>
          </w:tcPr>
          <w:p w14:paraId="45ECC964" w14:textId="77777777" w:rsidR="00BE36FB" w:rsidRPr="009B7B35" w:rsidRDefault="00BE36FB" w:rsidP="001A7107">
            <w:pPr>
              <w:rPr>
                <w:rFonts w:cs="Arial"/>
                <w:sz w:val="20"/>
                <w:szCs w:val="20"/>
                <w:lang w:val="en-US"/>
              </w:rPr>
            </w:pPr>
            <w:r w:rsidRPr="009B7B35">
              <w:rPr>
                <w:rFonts w:cs="Arial"/>
                <w:sz w:val="20"/>
                <w:szCs w:val="20"/>
                <w:lang w:val="en-US"/>
              </w:rPr>
              <w:t>Melalecua nodosa</w:t>
            </w:r>
          </w:p>
        </w:tc>
        <w:tc>
          <w:tcPr>
            <w:tcW w:w="1137" w:type="pct"/>
          </w:tcPr>
          <w:p w14:paraId="27F6E62F" w14:textId="77777777" w:rsidR="00BE36FB" w:rsidRPr="009B7B35" w:rsidRDefault="00BE36FB" w:rsidP="001A7107">
            <w:pPr>
              <w:rPr>
                <w:rFonts w:cs="Arial"/>
                <w:sz w:val="20"/>
                <w:szCs w:val="20"/>
                <w:lang w:val="en-US"/>
              </w:rPr>
            </w:pPr>
            <w:r w:rsidRPr="009B7B35">
              <w:rPr>
                <w:rFonts w:cs="Arial"/>
                <w:sz w:val="20"/>
                <w:szCs w:val="20"/>
                <w:lang w:val="en-US"/>
              </w:rPr>
              <w:t>Prickly Leaf Paperbark</w:t>
            </w:r>
          </w:p>
        </w:tc>
        <w:tc>
          <w:tcPr>
            <w:tcW w:w="588" w:type="pct"/>
            <w:vAlign w:val="center"/>
          </w:tcPr>
          <w:p w14:paraId="45E95F48"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24F92E91" w14:textId="77777777" w:rsidR="00BE36FB" w:rsidRPr="009B7B35" w:rsidRDefault="00BE36FB" w:rsidP="001A7107">
            <w:pPr>
              <w:jc w:val="center"/>
              <w:rPr>
                <w:rFonts w:cs="Arial"/>
                <w:sz w:val="20"/>
                <w:szCs w:val="20"/>
                <w:lang w:val="en-US"/>
              </w:rPr>
            </w:pPr>
            <w:r w:rsidRPr="009B7B35">
              <w:rPr>
                <w:rFonts w:cs="Arial"/>
                <w:sz w:val="20"/>
                <w:szCs w:val="20"/>
                <w:lang w:val="en-US"/>
              </w:rPr>
              <w:t>2.5</w:t>
            </w:r>
          </w:p>
        </w:tc>
        <w:tc>
          <w:tcPr>
            <w:tcW w:w="588" w:type="pct"/>
            <w:vAlign w:val="center"/>
          </w:tcPr>
          <w:p w14:paraId="067C2940"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447350B" w14:textId="77777777" w:rsidR="00BE36FB" w:rsidRPr="009B7B35" w:rsidRDefault="00BE36FB" w:rsidP="001A7107">
            <w:pPr>
              <w:jc w:val="center"/>
              <w:rPr>
                <w:rFonts w:cs="Arial"/>
                <w:sz w:val="20"/>
                <w:szCs w:val="20"/>
                <w:lang w:val="en-US"/>
              </w:rPr>
            </w:pPr>
          </w:p>
        </w:tc>
      </w:tr>
      <w:tr w:rsidR="00BE36FB" w:rsidRPr="009B7B35" w14:paraId="75234B6A" w14:textId="77777777" w:rsidTr="001A7107">
        <w:tc>
          <w:tcPr>
            <w:tcW w:w="1512" w:type="pct"/>
          </w:tcPr>
          <w:p w14:paraId="7342B626" w14:textId="77777777" w:rsidR="00BE36FB" w:rsidRPr="009B7B35" w:rsidRDefault="00BE36FB" w:rsidP="001A7107">
            <w:pPr>
              <w:rPr>
                <w:rFonts w:cs="Arial"/>
                <w:sz w:val="20"/>
                <w:szCs w:val="20"/>
                <w:lang w:val="en-US"/>
              </w:rPr>
            </w:pPr>
            <w:r w:rsidRPr="009B7B35">
              <w:rPr>
                <w:rFonts w:cs="Arial"/>
                <w:sz w:val="20"/>
                <w:szCs w:val="20"/>
                <w:lang w:val="en-US"/>
              </w:rPr>
              <w:t>Melaleuca quinquenervia</w:t>
            </w:r>
          </w:p>
        </w:tc>
        <w:tc>
          <w:tcPr>
            <w:tcW w:w="1137" w:type="pct"/>
          </w:tcPr>
          <w:p w14:paraId="6152B8A1" w14:textId="77777777" w:rsidR="00BE36FB" w:rsidRPr="009B7B35" w:rsidRDefault="00BE36FB" w:rsidP="001A7107">
            <w:pPr>
              <w:rPr>
                <w:rFonts w:cs="Arial"/>
                <w:sz w:val="20"/>
                <w:szCs w:val="20"/>
                <w:lang w:val="en-US"/>
              </w:rPr>
            </w:pPr>
            <w:r w:rsidRPr="009B7B35">
              <w:rPr>
                <w:rFonts w:cs="Arial"/>
                <w:sz w:val="20"/>
                <w:szCs w:val="20"/>
                <w:lang w:val="en-US"/>
              </w:rPr>
              <w:t>Broadleaved Paperbark</w:t>
            </w:r>
          </w:p>
        </w:tc>
        <w:tc>
          <w:tcPr>
            <w:tcW w:w="588" w:type="pct"/>
            <w:vAlign w:val="center"/>
          </w:tcPr>
          <w:p w14:paraId="3D81D6D3" w14:textId="77777777" w:rsidR="00BE36FB" w:rsidRPr="009B7B35" w:rsidRDefault="00BE36FB" w:rsidP="001A7107">
            <w:pPr>
              <w:jc w:val="center"/>
              <w:rPr>
                <w:rFonts w:cs="Arial"/>
                <w:sz w:val="20"/>
                <w:szCs w:val="20"/>
                <w:lang w:val="en-US"/>
              </w:rPr>
            </w:pPr>
            <w:r w:rsidRPr="009B7B35">
              <w:rPr>
                <w:rFonts w:cs="Arial"/>
                <w:sz w:val="20"/>
                <w:szCs w:val="20"/>
                <w:lang w:val="en-US"/>
              </w:rPr>
              <w:t>8 to 10</w:t>
            </w:r>
          </w:p>
        </w:tc>
        <w:tc>
          <w:tcPr>
            <w:tcW w:w="588" w:type="pct"/>
            <w:vAlign w:val="center"/>
          </w:tcPr>
          <w:p w14:paraId="391B2A6E" w14:textId="77777777" w:rsidR="00BE36FB" w:rsidRPr="009B7B35" w:rsidRDefault="00BE36FB" w:rsidP="001A7107">
            <w:pPr>
              <w:jc w:val="center"/>
              <w:rPr>
                <w:rFonts w:cs="Arial"/>
                <w:sz w:val="20"/>
                <w:szCs w:val="20"/>
                <w:lang w:val="en-US"/>
              </w:rPr>
            </w:pPr>
            <w:r w:rsidRPr="009B7B35">
              <w:rPr>
                <w:rFonts w:cs="Arial"/>
                <w:sz w:val="20"/>
                <w:szCs w:val="20"/>
                <w:lang w:val="en-US"/>
              </w:rPr>
              <w:t>3 to 4</w:t>
            </w:r>
          </w:p>
        </w:tc>
        <w:tc>
          <w:tcPr>
            <w:tcW w:w="588" w:type="pct"/>
            <w:vAlign w:val="center"/>
          </w:tcPr>
          <w:p w14:paraId="62378644"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726C369"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143FEEA9" wp14:editId="73B395AB">
                  <wp:extent cx="180000" cy="180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73D7CA56" w14:textId="77777777" w:rsidTr="001A7107">
        <w:tc>
          <w:tcPr>
            <w:tcW w:w="1512" w:type="pct"/>
          </w:tcPr>
          <w:p w14:paraId="66110B28" w14:textId="77777777" w:rsidR="00BE36FB" w:rsidRPr="009B7B35" w:rsidRDefault="00BE36FB" w:rsidP="001A7107">
            <w:pPr>
              <w:rPr>
                <w:rFonts w:cs="Arial"/>
                <w:sz w:val="20"/>
                <w:szCs w:val="20"/>
                <w:lang w:val="en-US"/>
              </w:rPr>
            </w:pPr>
            <w:r w:rsidRPr="009B7B35">
              <w:rPr>
                <w:rFonts w:cs="Arial"/>
                <w:sz w:val="20"/>
                <w:szCs w:val="20"/>
                <w:lang w:val="en-US"/>
              </w:rPr>
              <w:t>Melaleuca sieberi</w:t>
            </w:r>
          </w:p>
        </w:tc>
        <w:tc>
          <w:tcPr>
            <w:tcW w:w="1137" w:type="pct"/>
          </w:tcPr>
          <w:p w14:paraId="36E5DBDE" w14:textId="77777777" w:rsidR="00BE36FB" w:rsidRPr="009B7B35" w:rsidRDefault="00BE36FB" w:rsidP="001A7107">
            <w:pPr>
              <w:rPr>
                <w:rFonts w:cs="Arial"/>
                <w:sz w:val="20"/>
                <w:szCs w:val="20"/>
                <w:lang w:val="en-US"/>
              </w:rPr>
            </w:pPr>
            <w:r w:rsidRPr="009B7B35">
              <w:rPr>
                <w:rFonts w:cs="Arial"/>
                <w:sz w:val="20"/>
                <w:szCs w:val="20"/>
                <w:lang w:val="en-US"/>
              </w:rPr>
              <w:t>Swamp Tea Tree (NSW)</w:t>
            </w:r>
          </w:p>
        </w:tc>
        <w:tc>
          <w:tcPr>
            <w:tcW w:w="588" w:type="pct"/>
            <w:vAlign w:val="center"/>
          </w:tcPr>
          <w:p w14:paraId="2B30A16D"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03AD9AE8"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361C749F"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7CB2D665" w14:textId="77777777" w:rsidR="00BE36FB" w:rsidRPr="009B7B35" w:rsidRDefault="00BE36FB" w:rsidP="001A7107">
            <w:pPr>
              <w:jc w:val="center"/>
              <w:rPr>
                <w:rFonts w:cs="Arial"/>
                <w:sz w:val="20"/>
                <w:szCs w:val="20"/>
                <w:lang w:val="en-US"/>
              </w:rPr>
            </w:pPr>
          </w:p>
        </w:tc>
      </w:tr>
      <w:tr w:rsidR="00BE36FB" w:rsidRPr="009B7B35" w14:paraId="15ADBC8E" w14:textId="77777777" w:rsidTr="001A7107">
        <w:tc>
          <w:tcPr>
            <w:tcW w:w="1512" w:type="pct"/>
          </w:tcPr>
          <w:p w14:paraId="387A49F1" w14:textId="77777777" w:rsidR="00BE36FB" w:rsidRPr="009B7B35" w:rsidRDefault="00BE36FB" w:rsidP="001A7107">
            <w:pPr>
              <w:rPr>
                <w:rFonts w:cs="Arial"/>
                <w:sz w:val="20"/>
                <w:szCs w:val="20"/>
                <w:lang w:val="en-US"/>
              </w:rPr>
            </w:pPr>
            <w:r w:rsidRPr="009B7B35">
              <w:rPr>
                <w:rFonts w:cs="Arial"/>
                <w:sz w:val="20"/>
                <w:szCs w:val="20"/>
                <w:lang w:val="en-US"/>
              </w:rPr>
              <w:t>Melaleuca spp.</w:t>
            </w:r>
          </w:p>
        </w:tc>
        <w:tc>
          <w:tcPr>
            <w:tcW w:w="1137" w:type="pct"/>
          </w:tcPr>
          <w:p w14:paraId="46737067" w14:textId="77777777" w:rsidR="00BE36FB" w:rsidRPr="009B7B35" w:rsidRDefault="00BE36FB" w:rsidP="001A7107">
            <w:pPr>
              <w:rPr>
                <w:rFonts w:cs="Arial"/>
                <w:sz w:val="20"/>
                <w:szCs w:val="20"/>
                <w:lang w:val="en-US"/>
              </w:rPr>
            </w:pPr>
          </w:p>
        </w:tc>
        <w:tc>
          <w:tcPr>
            <w:tcW w:w="588" w:type="pct"/>
            <w:vAlign w:val="center"/>
          </w:tcPr>
          <w:p w14:paraId="55ABEEB1"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3FF0DCE2"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1656A91D"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5A27D4D" w14:textId="77777777" w:rsidR="00BE36FB" w:rsidRPr="009B7B35" w:rsidRDefault="00BE36FB" w:rsidP="001A7107">
            <w:pPr>
              <w:jc w:val="center"/>
              <w:rPr>
                <w:rFonts w:cs="Arial"/>
                <w:sz w:val="20"/>
                <w:szCs w:val="20"/>
                <w:lang w:val="en-US"/>
              </w:rPr>
            </w:pPr>
          </w:p>
        </w:tc>
      </w:tr>
      <w:tr w:rsidR="00BE36FB" w:rsidRPr="009B7B35" w14:paraId="5B1C9627" w14:textId="77777777" w:rsidTr="001A7107">
        <w:tc>
          <w:tcPr>
            <w:tcW w:w="1512" w:type="pct"/>
          </w:tcPr>
          <w:p w14:paraId="4527554C" w14:textId="77777777" w:rsidR="00BE36FB" w:rsidRPr="009B7B35" w:rsidRDefault="00BE36FB" w:rsidP="001A7107">
            <w:pPr>
              <w:rPr>
                <w:rFonts w:cs="Arial"/>
                <w:sz w:val="20"/>
                <w:szCs w:val="20"/>
                <w:lang w:val="en-US"/>
              </w:rPr>
            </w:pPr>
            <w:r w:rsidRPr="009B7B35">
              <w:rPr>
                <w:rFonts w:cs="Arial"/>
                <w:sz w:val="20"/>
                <w:szCs w:val="20"/>
                <w:lang w:val="en-US"/>
              </w:rPr>
              <w:t>Melaleuca stypheloides</w:t>
            </w:r>
          </w:p>
        </w:tc>
        <w:tc>
          <w:tcPr>
            <w:tcW w:w="1137" w:type="pct"/>
          </w:tcPr>
          <w:p w14:paraId="110029EA" w14:textId="77777777" w:rsidR="00BE36FB" w:rsidRPr="009B7B35" w:rsidRDefault="00BE36FB" w:rsidP="001A7107">
            <w:pPr>
              <w:rPr>
                <w:rFonts w:cs="Arial"/>
                <w:sz w:val="20"/>
                <w:szCs w:val="20"/>
                <w:lang w:val="en-US"/>
              </w:rPr>
            </w:pPr>
            <w:r w:rsidRPr="009B7B35">
              <w:rPr>
                <w:rFonts w:cs="Arial"/>
                <w:sz w:val="20"/>
                <w:szCs w:val="20"/>
                <w:lang w:val="en-US"/>
              </w:rPr>
              <w:t>Prickly Leaf Paperbark</w:t>
            </w:r>
          </w:p>
        </w:tc>
        <w:tc>
          <w:tcPr>
            <w:tcW w:w="588" w:type="pct"/>
            <w:vAlign w:val="center"/>
          </w:tcPr>
          <w:p w14:paraId="4E54BFA9"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2449A571"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385C9ADF"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3AE270A" w14:textId="77777777" w:rsidR="00BE36FB" w:rsidRPr="009B7B35" w:rsidRDefault="00BE36FB" w:rsidP="001A7107">
            <w:pPr>
              <w:jc w:val="center"/>
              <w:rPr>
                <w:rFonts w:cs="Arial"/>
                <w:sz w:val="20"/>
                <w:szCs w:val="20"/>
                <w:lang w:val="en-US"/>
              </w:rPr>
            </w:pPr>
          </w:p>
        </w:tc>
      </w:tr>
      <w:tr w:rsidR="00BE36FB" w:rsidRPr="009B7B35" w14:paraId="3DDB47CB" w14:textId="77777777" w:rsidTr="001A7107">
        <w:tc>
          <w:tcPr>
            <w:tcW w:w="1512" w:type="pct"/>
          </w:tcPr>
          <w:p w14:paraId="72B9491B" w14:textId="77777777" w:rsidR="00BE36FB" w:rsidRPr="009B7B35" w:rsidRDefault="00BE36FB" w:rsidP="001A7107">
            <w:pPr>
              <w:rPr>
                <w:rFonts w:cs="Arial"/>
                <w:sz w:val="20"/>
                <w:szCs w:val="20"/>
                <w:lang w:val="en-US"/>
              </w:rPr>
            </w:pPr>
            <w:r w:rsidRPr="009B7B35">
              <w:rPr>
                <w:rFonts w:cs="Arial"/>
                <w:sz w:val="20"/>
                <w:szCs w:val="20"/>
                <w:lang w:val="en-US"/>
              </w:rPr>
              <w:t>Melaleuca viridiflora</w:t>
            </w:r>
          </w:p>
        </w:tc>
        <w:tc>
          <w:tcPr>
            <w:tcW w:w="1137" w:type="pct"/>
          </w:tcPr>
          <w:p w14:paraId="49368313" w14:textId="77777777" w:rsidR="00BE36FB" w:rsidRPr="009B7B35" w:rsidRDefault="00BE36FB" w:rsidP="001A7107">
            <w:pPr>
              <w:rPr>
                <w:rFonts w:cs="Arial"/>
                <w:sz w:val="20"/>
                <w:szCs w:val="20"/>
                <w:lang w:val="en-US"/>
              </w:rPr>
            </w:pPr>
            <w:r w:rsidRPr="009B7B35">
              <w:rPr>
                <w:rFonts w:cs="Arial"/>
                <w:sz w:val="20"/>
                <w:szCs w:val="20"/>
                <w:lang w:val="en-US"/>
              </w:rPr>
              <w:t>Red Flowering Paperbark /</w:t>
            </w:r>
          </w:p>
          <w:p w14:paraId="4B4F49E4" w14:textId="77777777" w:rsidR="00BE36FB" w:rsidRPr="009B7B35" w:rsidRDefault="00BE36FB" w:rsidP="001A7107">
            <w:pPr>
              <w:rPr>
                <w:rFonts w:cs="Arial"/>
                <w:sz w:val="20"/>
                <w:szCs w:val="20"/>
                <w:lang w:val="en-US"/>
              </w:rPr>
            </w:pPr>
            <w:r w:rsidRPr="009B7B35">
              <w:rPr>
                <w:rFonts w:cs="Arial"/>
                <w:sz w:val="20"/>
                <w:szCs w:val="20"/>
                <w:lang w:val="en-US"/>
              </w:rPr>
              <w:t>Broad Leaved Paperbark</w:t>
            </w:r>
          </w:p>
        </w:tc>
        <w:tc>
          <w:tcPr>
            <w:tcW w:w="588" w:type="pct"/>
            <w:vAlign w:val="center"/>
          </w:tcPr>
          <w:p w14:paraId="3BD28F70"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17D58CD6"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7688BCB7" w14:textId="77777777" w:rsidR="00BE36FB" w:rsidRPr="009B7B35" w:rsidRDefault="00BE36FB" w:rsidP="001A7107">
            <w:pPr>
              <w:jc w:val="center"/>
              <w:rPr>
                <w:rFonts w:cs="Arial"/>
                <w:sz w:val="20"/>
                <w:szCs w:val="20"/>
                <w:lang w:val="en-US"/>
              </w:rPr>
            </w:pPr>
          </w:p>
        </w:tc>
        <w:tc>
          <w:tcPr>
            <w:tcW w:w="587" w:type="pct"/>
            <w:vAlign w:val="center"/>
          </w:tcPr>
          <w:p w14:paraId="76BCA38D"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4B81BDE0" wp14:editId="4B5E24D9">
                  <wp:extent cx="180000" cy="18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08C1B05C" w14:textId="77777777" w:rsidTr="001A7107">
        <w:tc>
          <w:tcPr>
            <w:tcW w:w="1512" w:type="pct"/>
          </w:tcPr>
          <w:p w14:paraId="205DFC0F" w14:textId="77777777" w:rsidR="00BE36FB" w:rsidRPr="009B7B35" w:rsidRDefault="00BE36FB" w:rsidP="001A7107">
            <w:pPr>
              <w:rPr>
                <w:rFonts w:cs="Arial"/>
                <w:sz w:val="20"/>
                <w:szCs w:val="20"/>
                <w:lang w:val="en-US"/>
              </w:rPr>
            </w:pPr>
            <w:r w:rsidRPr="009B7B35">
              <w:rPr>
                <w:rFonts w:cs="Arial"/>
                <w:sz w:val="20"/>
                <w:szCs w:val="20"/>
                <w:lang w:val="en-US"/>
              </w:rPr>
              <w:t>Melia azedarach</w:t>
            </w:r>
          </w:p>
        </w:tc>
        <w:tc>
          <w:tcPr>
            <w:tcW w:w="1137" w:type="pct"/>
          </w:tcPr>
          <w:p w14:paraId="509B7F99" w14:textId="77777777" w:rsidR="00BE36FB" w:rsidRPr="009B7B35" w:rsidRDefault="00BE36FB" w:rsidP="001A7107">
            <w:pPr>
              <w:rPr>
                <w:rFonts w:cs="Arial"/>
                <w:sz w:val="20"/>
                <w:szCs w:val="20"/>
                <w:lang w:val="en-US"/>
              </w:rPr>
            </w:pPr>
            <w:r w:rsidRPr="009B7B35">
              <w:rPr>
                <w:rFonts w:cs="Arial"/>
                <w:sz w:val="20"/>
                <w:szCs w:val="20"/>
                <w:lang w:val="en-US"/>
              </w:rPr>
              <w:t>White Cedar</w:t>
            </w:r>
          </w:p>
        </w:tc>
        <w:tc>
          <w:tcPr>
            <w:tcW w:w="588" w:type="pct"/>
            <w:vAlign w:val="center"/>
          </w:tcPr>
          <w:p w14:paraId="787AFA9A"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20ECE6F9"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3B65B034"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7259B40" w14:textId="77777777" w:rsidR="00BE36FB" w:rsidRPr="009B7B35" w:rsidRDefault="00BE36FB" w:rsidP="001A7107">
            <w:pPr>
              <w:jc w:val="center"/>
              <w:rPr>
                <w:rFonts w:cs="Arial"/>
                <w:sz w:val="20"/>
                <w:szCs w:val="20"/>
                <w:lang w:val="en-US"/>
              </w:rPr>
            </w:pPr>
          </w:p>
        </w:tc>
      </w:tr>
      <w:tr w:rsidR="00BE36FB" w:rsidRPr="009B7B35" w14:paraId="03C039E9" w14:textId="77777777" w:rsidTr="001A7107">
        <w:tc>
          <w:tcPr>
            <w:tcW w:w="1512" w:type="pct"/>
          </w:tcPr>
          <w:p w14:paraId="09975F30" w14:textId="77777777" w:rsidR="00BE36FB" w:rsidRPr="009B7B35" w:rsidRDefault="00BE36FB" w:rsidP="001A7107">
            <w:pPr>
              <w:rPr>
                <w:rFonts w:cs="Arial"/>
                <w:sz w:val="20"/>
                <w:szCs w:val="20"/>
                <w:lang w:val="en-US"/>
              </w:rPr>
            </w:pPr>
            <w:r w:rsidRPr="009B7B35">
              <w:rPr>
                <w:rFonts w:cs="Arial"/>
                <w:sz w:val="20"/>
                <w:szCs w:val="20"/>
                <w:lang w:val="en-US"/>
              </w:rPr>
              <w:t>Melicope elleryana</w:t>
            </w:r>
          </w:p>
        </w:tc>
        <w:tc>
          <w:tcPr>
            <w:tcW w:w="1137" w:type="pct"/>
          </w:tcPr>
          <w:p w14:paraId="0F2B7CE5" w14:textId="77777777" w:rsidR="00BE36FB" w:rsidRPr="009B7B35" w:rsidRDefault="00BE36FB" w:rsidP="001A7107">
            <w:pPr>
              <w:rPr>
                <w:rFonts w:cs="Arial"/>
                <w:sz w:val="20"/>
                <w:szCs w:val="20"/>
                <w:lang w:val="en-US"/>
              </w:rPr>
            </w:pPr>
            <w:r w:rsidRPr="009B7B35">
              <w:rPr>
                <w:rFonts w:cs="Arial"/>
                <w:sz w:val="20"/>
                <w:szCs w:val="20"/>
                <w:lang w:val="en-US"/>
              </w:rPr>
              <w:t>Pink Euodia</w:t>
            </w:r>
          </w:p>
        </w:tc>
        <w:tc>
          <w:tcPr>
            <w:tcW w:w="588" w:type="pct"/>
            <w:vAlign w:val="center"/>
          </w:tcPr>
          <w:p w14:paraId="12632979"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013AB6FD"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448ACBF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BBEDA0F"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75B876F0" wp14:editId="40B7DAC9">
                  <wp:extent cx="180000" cy="18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74A5B98A" w14:textId="77777777" w:rsidTr="001A7107">
        <w:tc>
          <w:tcPr>
            <w:tcW w:w="1512" w:type="pct"/>
          </w:tcPr>
          <w:p w14:paraId="007A4590" w14:textId="77777777" w:rsidR="00BE36FB" w:rsidRPr="009B7B35" w:rsidRDefault="00BE36FB" w:rsidP="001A7107">
            <w:pPr>
              <w:rPr>
                <w:rFonts w:cs="Arial"/>
                <w:sz w:val="20"/>
                <w:szCs w:val="20"/>
                <w:lang w:val="en-US"/>
              </w:rPr>
            </w:pPr>
            <w:r w:rsidRPr="009B7B35">
              <w:rPr>
                <w:rFonts w:cs="Arial"/>
                <w:sz w:val="20"/>
                <w:szCs w:val="20"/>
                <w:lang w:val="en-US"/>
              </w:rPr>
              <w:t>Metrosideros spp.</w:t>
            </w:r>
          </w:p>
        </w:tc>
        <w:tc>
          <w:tcPr>
            <w:tcW w:w="1137" w:type="pct"/>
          </w:tcPr>
          <w:p w14:paraId="6DCB5557" w14:textId="77777777" w:rsidR="00BE36FB" w:rsidRPr="009B7B35" w:rsidRDefault="00BE36FB" w:rsidP="001A7107">
            <w:pPr>
              <w:rPr>
                <w:rFonts w:cs="Arial"/>
                <w:sz w:val="20"/>
                <w:szCs w:val="20"/>
                <w:lang w:val="en-US"/>
              </w:rPr>
            </w:pPr>
          </w:p>
        </w:tc>
        <w:tc>
          <w:tcPr>
            <w:tcW w:w="588" w:type="pct"/>
            <w:vAlign w:val="center"/>
          </w:tcPr>
          <w:p w14:paraId="2C95D502" w14:textId="77777777" w:rsidR="00BE36FB" w:rsidRPr="009B7B35" w:rsidRDefault="00BE36FB" w:rsidP="001A7107">
            <w:pPr>
              <w:jc w:val="center"/>
              <w:rPr>
                <w:rFonts w:cs="Arial"/>
                <w:sz w:val="20"/>
                <w:szCs w:val="20"/>
                <w:lang w:val="en-US"/>
              </w:rPr>
            </w:pPr>
          </w:p>
        </w:tc>
        <w:tc>
          <w:tcPr>
            <w:tcW w:w="588" w:type="pct"/>
            <w:vAlign w:val="center"/>
          </w:tcPr>
          <w:p w14:paraId="0B196A0C" w14:textId="77777777" w:rsidR="00BE36FB" w:rsidRPr="009B7B35" w:rsidRDefault="00BE36FB" w:rsidP="001A7107">
            <w:pPr>
              <w:jc w:val="center"/>
              <w:rPr>
                <w:rFonts w:cs="Arial"/>
                <w:sz w:val="20"/>
                <w:szCs w:val="20"/>
                <w:lang w:val="en-US"/>
              </w:rPr>
            </w:pPr>
          </w:p>
        </w:tc>
        <w:tc>
          <w:tcPr>
            <w:tcW w:w="588" w:type="pct"/>
            <w:vAlign w:val="center"/>
          </w:tcPr>
          <w:p w14:paraId="69060A4D" w14:textId="77777777" w:rsidR="00BE36FB" w:rsidRPr="009B7B35" w:rsidRDefault="00BE36FB" w:rsidP="001A7107">
            <w:pPr>
              <w:jc w:val="center"/>
              <w:rPr>
                <w:rFonts w:cs="Arial"/>
                <w:sz w:val="20"/>
                <w:szCs w:val="20"/>
                <w:lang w:val="en-US"/>
              </w:rPr>
            </w:pPr>
          </w:p>
        </w:tc>
        <w:tc>
          <w:tcPr>
            <w:tcW w:w="587" w:type="pct"/>
            <w:vAlign w:val="center"/>
          </w:tcPr>
          <w:p w14:paraId="27C611CD" w14:textId="77777777" w:rsidR="00BE36FB" w:rsidRPr="009B7B35" w:rsidRDefault="00BE36FB" w:rsidP="001A7107">
            <w:pPr>
              <w:jc w:val="center"/>
              <w:rPr>
                <w:rFonts w:cs="Arial"/>
                <w:sz w:val="20"/>
                <w:szCs w:val="20"/>
                <w:lang w:val="en-US"/>
              </w:rPr>
            </w:pPr>
          </w:p>
        </w:tc>
      </w:tr>
      <w:tr w:rsidR="00BE36FB" w:rsidRPr="009B7B35" w14:paraId="3E41CECC" w14:textId="77777777" w:rsidTr="001A7107">
        <w:tc>
          <w:tcPr>
            <w:tcW w:w="1512" w:type="pct"/>
          </w:tcPr>
          <w:p w14:paraId="14CBDBB2" w14:textId="77777777" w:rsidR="00BE36FB" w:rsidRPr="009B7B35" w:rsidRDefault="00BE36FB" w:rsidP="001A7107">
            <w:pPr>
              <w:rPr>
                <w:rFonts w:cs="Arial"/>
                <w:sz w:val="20"/>
                <w:szCs w:val="20"/>
                <w:lang w:val="en-US"/>
              </w:rPr>
            </w:pPr>
            <w:r w:rsidRPr="009B7B35">
              <w:rPr>
                <w:rFonts w:cs="Arial"/>
                <w:sz w:val="20"/>
                <w:szCs w:val="20"/>
                <w:lang w:val="en-US"/>
              </w:rPr>
              <w:t>Metrosideros thompsonii</w:t>
            </w:r>
          </w:p>
        </w:tc>
        <w:tc>
          <w:tcPr>
            <w:tcW w:w="1137" w:type="pct"/>
          </w:tcPr>
          <w:p w14:paraId="6BB7F92E" w14:textId="77777777" w:rsidR="00BE36FB" w:rsidRPr="009B7B35" w:rsidRDefault="00BE36FB" w:rsidP="001A7107">
            <w:pPr>
              <w:rPr>
                <w:rFonts w:cs="Arial"/>
                <w:sz w:val="20"/>
                <w:szCs w:val="20"/>
                <w:lang w:val="en-US"/>
              </w:rPr>
            </w:pPr>
            <w:r w:rsidRPr="009B7B35">
              <w:rPr>
                <w:rFonts w:cs="Arial"/>
                <w:sz w:val="20"/>
                <w:szCs w:val="20"/>
                <w:lang w:val="en-US"/>
              </w:rPr>
              <w:t>New Zealand Christmas Bush</w:t>
            </w:r>
          </w:p>
        </w:tc>
        <w:tc>
          <w:tcPr>
            <w:tcW w:w="588" w:type="pct"/>
            <w:vAlign w:val="center"/>
          </w:tcPr>
          <w:p w14:paraId="0BDF386C"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0D84517E"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2837027A" w14:textId="77777777" w:rsidR="00BE36FB" w:rsidRPr="009B7B35" w:rsidRDefault="00BE36FB" w:rsidP="001A7107">
            <w:pPr>
              <w:jc w:val="center"/>
              <w:rPr>
                <w:rFonts w:cs="Arial"/>
                <w:sz w:val="20"/>
                <w:szCs w:val="20"/>
                <w:lang w:val="en-US"/>
              </w:rPr>
            </w:pPr>
          </w:p>
        </w:tc>
        <w:tc>
          <w:tcPr>
            <w:tcW w:w="587" w:type="pct"/>
            <w:vAlign w:val="center"/>
          </w:tcPr>
          <w:p w14:paraId="6166C288" w14:textId="77777777" w:rsidR="00BE36FB" w:rsidRPr="009B7B35" w:rsidRDefault="00BE36FB" w:rsidP="001A7107">
            <w:pPr>
              <w:jc w:val="center"/>
              <w:rPr>
                <w:rFonts w:cs="Arial"/>
                <w:sz w:val="20"/>
                <w:szCs w:val="20"/>
                <w:lang w:val="en-US"/>
              </w:rPr>
            </w:pPr>
          </w:p>
        </w:tc>
      </w:tr>
      <w:tr w:rsidR="00BE36FB" w:rsidRPr="009B7B35" w14:paraId="7BE58216" w14:textId="77777777" w:rsidTr="001A7107">
        <w:tc>
          <w:tcPr>
            <w:tcW w:w="1512" w:type="pct"/>
          </w:tcPr>
          <w:p w14:paraId="7DA73774" w14:textId="77777777" w:rsidR="00BE36FB" w:rsidRPr="009B7B35" w:rsidRDefault="00BE36FB" w:rsidP="001A7107">
            <w:pPr>
              <w:rPr>
                <w:rFonts w:cs="Arial"/>
                <w:sz w:val="20"/>
                <w:szCs w:val="20"/>
                <w:lang w:val="en-US"/>
              </w:rPr>
            </w:pPr>
            <w:r w:rsidRPr="009B7B35">
              <w:rPr>
                <w:rFonts w:cs="Arial"/>
                <w:sz w:val="20"/>
                <w:szCs w:val="20"/>
                <w:lang w:val="en-US"/>
              </w:rPr>
              <w:t>Myoporum ellipticum</w:t>
            </w:r>
          </w:p>
        </w:tc>
        <w:tc>
          <w:tcPr>
            <w:tcW w:w="1137" w:type="pct"/>
          </w:tcPr>
          <w:p w14:paraId="13076B0F" w14:textId="77777777" w:rsidR="00BE36FB" w:rsidRPr="009B7B35" w:rsidRDefault="00BE36FB" w:rsidP="001A7107">
            <w:pPr>
              <w:rPr>
                <w:rFonts w:cs="Arial"/>
                <w:sz w:val="20"/>
                <w:szCs w:val="20"/>
                <w:lang w:val="en-US"/>
              </w:rPr>
            </w:pPr>
          </w:p>
        </w:tc>
        <w:tc>
          <w:tcPr>
            <w:tcW w:w="588" w:type="pct"/>
            <w:vAlign w:val="center"/>
          </w:tcPr>
          <w:p w14:paraId="1EA2D320"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678A40B3"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3DE0F735"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7A788078" w14:textId="77777777" w:rsidR="00BE36FB" w:rsidRPr="009B7B35" w:rsidRDefault="00BE36FB" w:rsidP="001A7107">
            <w:pPr>
              <w:jc w:val="center"/>
              <w:rPr>
                <w:rFonts w:cs="Arial"/>
                <w:sz w:val="20"/>
                <w:szCs w:val="20"/>
                <w:lang w:val="en-US"/>
              </w:rPr>
            </w:pPr>
          </w:p>
        </w:tc>
      </w:tr>
      <w:tr w:rsidR="00BE36FB" w:rsidRPr="009B7B35" w14:paraId="4B9709BE" w14:textId="77777777" w:rsidTr="001A7107">
        <w:tc>
          <w:tcPr>
            <w:tcW w:w="1512" w:type="pct"/>
          </w:tcPr>
          <w:p w14:paraId="2EBC87FF" w14:textId="77777777" w:rsidR="00BE36FB" w:rsidRPr="009B7B35" w:rsidRDefault="00BE36FB" w:rsidP="001A7107">
            <w:pPr>
              <w:rPr>
                <w:rFonts w:cs="Arial"/>
                <w:sz w:val="20"/>
                <w:szCs w:val="20"/>
                <w:lang w:val="en-US"/>
              </w:rPr>
            </w:pPr>
            <w:r w:rsidRPr="009B7B35">
              <w:rPr>
                <w:rFonts w:cs="Arial"/>
                <w:sz w:val="20"/>
                <w:szCs w:val="20"/>
                <w:lang w:val="en-US"/>
              </w:rPr>
              <w:t>Myoporum ellipticum</w:t>
            </w:r>
          </w:p>
        </w:tc>
        <w:tc>
          <w:tcPr>
            <w:tcW w:w="1137" w:type="pct"/>
          </w:tcPr>
          <w:p w14:paraId="11B9FACF" w14:textId="77777777" w:rsidR="00BE36FB" w:rsidRPr="009B7B35" w:rsidRDefault="00BE36FB" w:rsidP="001A7107">
            <w:pPr>
              <w:rPr>
                <w:rFonts w:cs="Arial"/>
                <w:sz w:val="20"/>
                <w:szCs w:val="20"/>
                <w:lang w:val="en-US"/>
              </w:rPr>
            </w:pPr>
          </w:p>
        </w:tc>
        <w:tc>
          <w:tcPr>
            <w:tcW w:w="588" w:type="pct"/>
            <w:vAlign w:val="center"/>
          </w:tcPr>
          <w:p w14:paraId="26D7A161" w14:textId="77777777" w:rsidR="00BE36FB" w:rsidRPr="009B7B35" w:rsidRDefault="00BE36FB" w:rsidP="001A7107">
            <w:pPr>
              <w:jc w:val="center"/>
              <w:rPr>
                <w:rFonts w:cs="Arial"/>
                <w:sz w:val="20"/>
                <w:szCs w:val="20"/>
                <w:lang w:val="en-US"/>
              </w:rPr>
            </w:pPr>
          </w:p>
        </w:tc>
        <w:tc>
          <w:tcPr>
            <w:tcW w:w="588" w:type="pct"/>
            <w:vAlign w:val="center"/>
          </w:tcPr>
          <w:p w14:paraId="3956D956" w14:textId="77777777" w:rsidR="00BE36FB" w:rsidRPr="009B7B35" w:rsidRDefault="00BE36FB" w:rsidP="001A7107">
            <w:pPr>
              <w:jc w:val="center"/>
              <w:rPr>
                <w:rFonts w:cs="Arial"/>
                <w:sz w:val="20"/>
                <w:szCs w:val="20"/>
                <w:lang w:val="en-US"/>
              </w:rPr>
            </w:pPr>
          </w:p>
        </w:tc>
        <w:tc>
          <w:tcPr>
            <w:tcW w:w="588" w:type="pct"/>
            <w:vAlign w:val="center"/>
          </w:tcPr>
          <w:p w14:paraId="53DC7C93" w14:textId="77777777" w:rsidR="00BE36FB" w:rsidRPr="009B7B35" w:rsidRDefault="00BE36FB" w:rsidP="001A7107">
            <w:pPr>
              <w:jc w:val="center"/>
              <w:rPr>
                <w:rFonts w:cs="Arial"/>
                <w:sz w:val="20"/>
                <w:szCs w:val="20"/>
                <w:lang w:val="en-US"/>
              </w:rPr>
            </w:pPr>
          </w:p>
        </w:tc>
        <w:tc>
          <w:tcPr>
            <w:tcW w:w="587" w:type="pct"/>
            <w:vAlign w:val="center"/>
          </w:tcPr>
          <w:p w14:paraId="4CA4066B" w14:textId="77777777" w:rsidR="00BE36FB" w:rsidRPr="009B7B35" w:rsidRDefault="00BE36FB" w:rsidP="001A7107">
            <w:pPr>
              <w:jc w:val="center"/>
              <w:rPr>
                <w:rFonts w:cs="Arial"/>
                <w:sz w:val="20"/>
                <w:szCs w:val="20"/>
                <w:lang w:val="en-US"/>
              </w:rPr>
            </w:pPr>
          </w:p>
        </w:tc>
      </w:tr>
      <w:tr w:rsidR="00BE36FB" w:rsidRPr="009B7B35" w14:paraId="4457B845" w14:textId="77777777" w:rsidTr="001A7107">
        <w:tc>
          <w:tcPr>
            <w:tcW w:w="1512" w:type="pct"/>
          </w:tcPr>
          <w:p w14:paraId="7C5D93D0" w14:textId="77777777" w:rsidR="00BE36FB" w:rsidRPr="009B7B35" w:rsidRDefault="00BE36FB" w:rsidP="001A7107">
            <w:pPr>
              <w:rPr>
                <w:rFonts w:cs="Arial"/>
                <w:sz w:val="20"/>
                <w:szCs w:val="20"/>
                <w:lang w:val="en-US"/>
              </w:rPr>
            </w:pPr>
            <w:r w:rsidRPr="009B7B35">
              <w:rPr>
                <w:rFonts w:cs="Arial"/>
                <w:sz w:val="20"/>
                <w:szCs w:val="20"/>
                <w:lang w:val="en-US"/>
              </w:rPr>
              <w:t>Nauclea orientalis</w:t>
            </w:r>
          </w:p>
        </w:tc>
        <w:tc>
          <w:tcPr>
            <w:tcW w:w="1137" w:type="pct"/>
          </w:tcPr>
          <w:p w14:paraId="2CFC91F1" w14:textId="77777777" w:rsidR="00BE36FB" w:rsidRPr="009B7B35" w:rsidRDefault="00BE36FB" w:rsidP="001A7107">
            <w:pPr>
              <w:rPr>
                <w:rFonts w:cs="Arial"/>
                <w:sz w:val="20"/>
                <w:szCs w:val="20"/>
                <w:lang w:val="en-US"/>
              </w:rPr>
            </w:pPr>
            <w:r w:rsidRPr="009B7B35">
              <w:rPr>
                <w:rFonts w:cs="Arial"/>
                <w:sz w:val="20"/>
                <w:szCs w:val="20"/>
                <w:lang w:val="en-US"/>
              </w:rPr>
              <w:t>Leichardt Tree</w:t>
            </w:r>
          </w:p>
        </w:tc>
        <w:tc>
          <w:tcPr>
            <w:tcW w:w="588" w:type="pct"/>
            <w:vAlign w:val="center"/>
          </w:tcPr>
          <w:p w14:paraId="70779C4B"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37B3EFF8"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0D09C75A"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B317B65"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685125C3" wp14:editId="0C229464">
                  <wp:extent cx="180000" cy="180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6E19E3DB" w14:textId="77777777" w:rsidTr="001A7107">
        <w:tc>
          <w:tcPr>
            <w:tcW w:w="1512" w:type="pct"/>
          </w:tcPr>
          <w:p w14:paraId="7444FC17" w14:textId="77777777" w:rsidR="00BE36FB" w:rsidRPr="009B7B35" w:rsidRDefault="00BE36FB" w:rsidP="001A7107">
            <w:pPr>
              <w:rPr>
                <w:rFonts w:cs="Arial"/>
                <w:sz w:val="20"/>
                <w:szCs w:val="20"/>
                <w:lang w:val="en-US"/>
              </w:rPr>
            </w:pPr>
            <w:r w:rsidRPr="009B7B35">
              <w:rPr>
                <w:rFonts w:cs="Arial"/>
                <w:sz w:val="20"/>
                <w:szCs w:val="20"/>
                <w:lang w:val="en-US"/>
              </w:rPr>
              <w:t>Neolitsea dealbata</w:t>
            </w:r>
          </w:p>
        </w:tc>
        <w:tc>
          <w:tcPr>
            <w:tcW w:w="1137" w:type="pct"/>
          </w:tcPr>
          <w:p w14:paraId="1587F412" w14:textId="77777777" w:rsidR="00BE36FB" w:rsidRPr="009B7B35" w:rsidRDefault="00BE36FB" w:rsidP="001A7107">
            <w:pPr>
              <w:rPr>
                <w:rFonts w:cs="Arial"/>
                <w:sz w:val="20"/>
                <w:szCs w:val="20"/>
                <w:lang w:val="en-US"/>
              </w:rPr>
            </w:pPr>
            <w:r w:rsidRPr="009B7B35">
              <w:rPr>
                <w:rFonts w:cs="Arial"/>
                <w:sz w:val="20"/>
                <w:szCs w:val="20"/>
                <w:lang w:val="en-US"/>
              </w:rPr>
              <w:t>White Bolly Gum</w:t>
            </w:r>
          </w:p>
        </w:tc>
        <w:tc>
          <w:tcPr>
            <w:tcW w:w="588" w:type="pct"/>
            <w:vAlign w:val="center"/>
          </w:tcPr>
          <w:p w14:paraId="1BAB17CE"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0DBCF555"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251C79E6"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07D32FD" w14:textId="77777777" w:rsidR="00BE36FB" w:rsidRPr="009B7B35" w:rsidRDefault="00BE36FB" w:rsidP="001A7107">
            <w:pPr>
              <w:jc w:val="center"/>
              <w:rPr>
                <w:rFonts w:cs="Arial"/>
                <w:sz w:val="20"/>
                <w:szCs w:val="20"/>
                <w:lang w:val="en-US"/>
              </w:rPr>
            </w:pPr>
          </w:p>
        </w:tc>
      </w:tr>
      <w:tr w:rsidR="00BE36FB" w:rsidRPr="009B7B35" w14:paraId="67F1E887" w14:textId="77777777" w:rsidTr="001A7107">
        <w:tc>
          <w:tcPr>
            <w:tcW w:w="1512" w:type="pct"/>
          </w:tcPr>
          <w:p w14:paraId="7247417D" w14:textId="77777777" w:rsidR="00BE36FB" w:rsidRPr="009B7B35" w:rsidRDefault="00BE36FB" w:rsidP="001A7107">
            <w:pPr>
              <w:rPr>
                <w:rFonts w:cs="Arial"/>
                <w:sz w:val="20"/>
                <w:szCs w:val="20"/>
                <w:lang w:val="en-US"/>
              </w:rPr>
            </w:pPr>
            <w:r w:rsidRPr="009B7B35">
              <w:rPr>
                <w:rFonts w:cs="Arial"/>
                <w:sz w:val="20"/>
                <w:szCs w:val="20"/>
                <w:lang w:val="en-US"/>
              </w:rPr>
              <w:t>Omalanthus populifolius</w:t>
            </w:r>
          </w:p>
        </w:tc>
        <w:tc>
          <w:tcPr>
            <w:tcW w:w="1137" w:type="pct"/>
          </w:tcPr>
          <w:p w14:paraId="32A85F35" w14:textId="77777777" w:rsidR="00BE36FB" w:rsidRPr="009B7B35" w:rsidRDefault="00BE36FB" w:rsidP="001A7107">
            <w:pPr>
              <w:rPr>
                <w:rFonts w:cs="Arial"/>
                <w:sz w:val="20"/>
                <w:szCs w:val="20"/>
                <w:lang w:val="en-US"/>
              </w:rPr>
            </w:pPr>
            <w:r w:rsidRPr="009B7B35">
              <w:rPr>
                <w:rFonts w:cs="Arial"/>
                <w:sz w:val="20"/>
                <w:szCs w:val="20"/>
                <w:lang w:val="en-US"/>
              </w:rPr>
              <w:t>Bleeding Heart</w:t>
            </w:r>
          </w:p>
        </w:tc>
        <w:tc>
          <w:tcPr>
            <w:tcW w:w="588" w:type="pct"/>
            <w:vAlign w:val="center"/>
          </w:tcPr>
          <w:p w14:paraId="00594568"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7BC84F64"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4E9A9A67"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C223903" w14:textId="77777777" w:rsidR="00BE36FB" w:rsidRPr="009B7B35" w:rsidRDefault="00BE36FB" w:rsidP="001A7107">
            <w:pPr>
              <w:jc w:val="center"/>
              <w:rPr>
                <w:rFonts w:cs="Arial"/>
                <w:sz w:val="20"/>
                <w:szCs w:val="20"/>
                <w:lang w:val="en-US"/>
              </w:rPr>
            </w:pPr>
          </w:p>
        </w:tc>
      </w:tr>
      <w:tr w:rsidR="00BE36FB" w:rsidRPr="009B7B35" w14:paraId="3EA0CAFF" w14:textId="77777777" w:rsidTr="001A7107">
        <w:tc>
          <w:tcPr>
            <w:tcW w:w="1512" w:type="pct"/>
          </w:tcPr>
          <w:p w14:paraId="467264F9" w14:textId="77777777" w:rsidR="00BE36FB" w:rsidRPr="009B7B35" w:rsidRDefault="00BE36FB" w:rsidP="001A7107">
            <w:pPr>
              <w:rPr>
                <w:rFonts w:cs="Arial"/>
                <w:sz w:val="20"/>
                <w:szCs w:val="20"/>
                <w:lang w:val="en-US"/>
              </w:rPr>
            </w:pPr>
            <w:r w:rsidRPr="009B7B35">
              <w:rPr>
                <w:rFonts w:cs="Arial"/>
                <w:sz w:val="20"/>
                <w:szCs w:val="20"/>
                <w:lang w:val="en-US"/>
              </w:rPr>
              <w:t>Omolanthus populifolius</w:t>
            </w:r>
          </w:p>
        </w:tc>
        <w:tc>
          <w:tcPr>
            <w:tcW w:w="1137" w:type="pct"/>
          </w:tcPr>
          <w:p w14:paraId="2D988DCF" w14:textId="77777777" w:rsidR="00BE36FB" w:rsidRPr="009B7B35" w:rsidRDefault="00BE36FB" w:rsidP="001A7107">
            <w:pPr>
              <w:rPr>
                <w:rFonts w:cs="Arial"/>
                <w:sz w:val="20"/>
                <w:szCs w:val="20"/>
                <w:lang w:val="en-US"/>
              </w:rPr>
            </w:pPr>
            <w:r w:rsidRPr="009B7B35">
              <w:rPr>
                <w:rFonts w:cs="Arial"/>
                <w:sz w:val="20"/>
                <w:szCs w:val="20"/>
                <w:lang w:val="en-US"/>
              </w:rPr>
              <w:t>Native Bleeding Heart</w:t>
            </w:r>
          </w:p>
        </w:tc>
        <w:tc>
          <w:tcPr>
            <w:tcW w:w="588" w:type="pct"/>
            <w:vAlign w:val="center"/>
          </w:tcPr>
          <w:p w14:paraId="50850083"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197171EA"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302BED0F"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20322421" w14:textId="77777777" w:rsidR="00BE36FB" w:rsidRPr="009B7B35" w:rsidRDefault="00BE36FB" w:rsidP="001A7107">
            <w:pPr>
              <w:jc w:val="center"/>
              <w:rPr>
                <w:rFonts w:cs="Arial"/>
                <w:sz w:val="20"/>
                <w:szCs w:val="20"/>
                <w:lang w:val="en-US"/>
              </w:rPr>
            </w:pPr>
          </w:p>
        </w:tc>
      </w:tr>
      <w:tr w:rsidR="00BE36FB" w:rsidRPr="009B7B35" w14:paraId="7D2F2D2C" w14:textId="77777777" w:rsidTr="001A7107">
        <w:tc>
          <w:tcPr>
            <w:tcW w:w="1512" w:type="pct"/>
          </w:tcPr>
          <w:p w14:paraId="39987DA4" w14:textId="77777777" w:rsidR="00BE36FB" w:rsidRPr="009B7B35" w:rsidRDefault="00BE36FB" w:rsidP="001A7107">
            <w:pPr>
              <w:rPr>
                <w:rFonts w:cs="Arial"/>
                <w:sz w:val="20"/>
                <w:szCs w:val="20"/>
                <w:lang w:val="en-US"/>
              </w:rPr>
            </w:pPr>
            <w:r w:rsidRPr="009B7B35">
              <w:rPr>
                <w:rFonts w:cs="Arial"/>
                <w:sz w:val="20"/>
                <w:szCs w:val="20"/>
                <w:lang w:val="en-US"/>
              </w:rPr>
              <w:t>Orthosiphon aristatus</w:t>
            </w:r>
          </w:p>
        </w:tc>
        <w:tc>
          <w:tcPr>
            <w:tcW w:w="1137" w:type="pct"/>
          </w:tcPr>
          <w:p w14:paraId="2A18D0B9" w14:textId="77777777" w:rsidR="00BE36FB" w:rsidRPr="009B7B35" w:rsidRDefault="00BE36FB" w:rsidP="001A7107">
            <w:pPr>
              <w:rPr>
                <w:rFonts w:cs="Arial"/>
                <w:sz w:val="20"/>
                <w:szCs w:val="20"/>
                <w:lang w:val="en-US"/>
              </w:rPr>
            </w:pPr>
            <w:r w:rsidRPr="009B7B35">
              <w:rPr>
                <w:rFonts w:cs="Arial"/>
                <w:sz w:val="20"/>
                <w:szCs w:val="20"/>
                <w:lang w:val="en-US"/>
              </w:rPr>
              <w:t>Cats Whiskers</w:t>
            </w:r>
          </w:p>
        </w:tc>
        <w:tc>
          <w:tcPr>
            <w:tcW w:w="588" w:type="pct"/>
            <w:vAlign w:val="center"/>
          </w:tcPr>
          <w:p w14:paraId="150C2260"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0D8F7633"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53B63447" w14:textId="77777777" w:rsidR="00BE36FB" w:rsidRPr="009B7B35" w:rsidRDefault="00BE36FB" w:rsidP="001A7107">
            <w:pPr>
              <w:jc w:val="center"/>
              <w:rPr>
                <w:rFonts w:cs="Arial"/>
                <w:sz w:val="20"/>
                <w:szCs w:val="20"/>
                <w:lang w:val="en-US"/>
              </w:rPr>
            </w:pPr>
          </w:p>
        </w:tc>
        <w:tc>
          <w:tcPr>
            <w:tcW w:w="587" w:type="pct"/>
            <w:vAlign w:val="center"/>
          </w:tcPr>
          <w:p w14:paraId="10007903" w14:textId="77777777" w:rsidR="00BE36FB" w:rsidRPr="009B7B35" w:rsidRDefault="00BE36FB" w:rsidP="001A7107">
            <w:pPr>
              <w:jc w:val="center"/>
              <w:rPr>
                <w:rFonts w:cs="Arial"/>
                <w:sz w:val="20"/>
                <w:szCs w:val="20"/>
                <w:lang w:val="en-US"/>
              </w:rPr>
            </w:pPr>
          </w:p>
        </w:tc>
      </w:tr>
      <w:tr w:rsidR="00BE36FB" w:rsidRPr="009B7B35" w14:paraId="59992F23" w14:textId="77777777" w:rsidTr="001A7107">
        <w:tc>
          <w:tcPr>
            <w:tcW w:w="1512" w:type="pct"/>
          </w:tcPr>
          <w:p w14:paraId="15E4DCF5" w14:textId="77777777" w:rsidR="00BE36FB" w:rsidRPr="009B7B35" w:rsidRDefault="00BE36FB" w:rsidP="001A7107">
            <w:pPr>
              <w:rPr>
                <w:rFonts w:cs="Arial"/>
                <w:sz w:val="20"/>
                <w:szCs w:val="20"/>
                <w:lang w:val="en-US"/>
              </w:rPr>
            </w:pPr>
            <w:r w:rsidRPr="009B7B35">
              <w:rPr>
                <w:rFonts w:cs="Arial"/>
                <w:sz w:val="20"/>
                <w:szCs w:val="20"/>
                <w:lang w:val="en-US"/>
              </w:rPr>
              <w:t>Pandanus tectorius*</w:t>
            </w:r>
          </w:p>
        </w:tc>
        <w:tc>
          <w:tcPr>
            <w:tcW w:w="1137" w:type="pct"/>
          </w:tcPr>
          <w:p w14:paraId="07FD731B" w14:textId="77777777" w:rsidR="00BE36FB" w:rsidRPr="009B7B35" w:rsidRDefault="00BE36FB" w:rsidP="001A7107">
            <w:pPr>
              <w:rPr>
                <w:rFonts w:cs="Arial"/>
                <w:sz w:val="20"/>
                <w:szCs w:val="20"/>
                <w:lang w:val="en-US"/>
              </w:rPr>
            </w:pPr>
            <w:r w:rsidRPr="009B7B35">
              <w:rPr>
                <w:rFonts w:cs="Arial"/>
                <w:sz w:val="20"/>
                <w:szCs w:val="20"/>
                <w:lang w:val="en-US"/>
              </w:rPr>
              <w:t>Pandanus</w:t>
            </w:r>
          </w:p>
        </w:tc>
        <w:tc>
          <w:tcPr>
            <w:tcW w:w="588" w:type="pct"/>
            <w:vAlign w:val="center"/>
          </w:tcPr>
          <w:p w14:paraId="21358CF5"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1E6D44AF"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60F0B175"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CD4C513" w14:textId="77777777" w:rsidR="00BE36FB" w:rsidRPr="009B7B35" w:rsidRDefault="00BE36FB" w:rsidP="001A7107">
            <w:pPr>
              <w:jc w:val="center"/>
              <w:rPr>
                <w:rFonts w:cs="Arial"/>
                <w:sz w:val="20"/>
                <w:szCs w:val="20"/>
                <w:lang w:val="en-US"/>
              </w:rPr>
            </w:pPr>
          </w:p>
        </w:tc>
      </w:tr>
      <w:tr w:rsidR="00BE36FB" w:rsidRPr="009B7B35" w14:paraId="2A967C03" w14:textId="77777777" w:rsidTr="001A7107">
        <w:tc>
          <w:tcPr>
            <w:tcW w:w="1512" w:type="pct"/>
          </w:tcPr>
          <w:p w14:paraId="64B22542" w14:textId="77777777" w:rsidR="00BE36FB" w:rsidRPr="009B7B35" w:rsidRDefault="00BE36FB" w:rsidP="001A7107">
            <w:pPr>
              <w:rPr>
                <w:rFonts w:cs="Arial"/>
                <w:sz w:val="20"/>
                <w:szCs w:val="20"/>
                <w:lang w:val="en-US"/>
              </w:rPr>
            </w:pPr>
            <w:r w:rsidRPr="009B7B35">
              <w:rPr>
                <w:rFonts w:cs="Arial"/>
                <w:sz w:val="20"/>
                <w:szCs w:val="20"/>
                <w:lang w:val="en-US"/>
              </w:rPr>
              <w:t>Parachidendron priunsom</w:t>
            </w:r>
          </w:p>
        </w:tc>
        <w:tc>
          <w:tcPr>
            <w:tcW w:w="1137" w:type="pct"/>
          </w:tcPr>
          <w:p w14:paraId="214C4320" w14:textId="77777777" w:rsidR="00BE36FB" w:rsidRPr="009B7B35" w:rsidRDefault="00BE36FB" w:rsidP="001A7107">
            <w:pPr>
              <w:rPr>
                <w:rFonts w:cs="Arial"/>
                <w:sz w:val="20"/>
                <w:szCs w:val="20"/>
                <w:lang w:val="en-US"/>
              </w:rPr>
            </w:pPr>
            <w:r w:rsidRPr="009B7B35">
              <w:rPr>
                <w:rFonts w:cs="Arial"/>
                <w:sz w:val="20"/>
                <w:szCs w:val="20"/>
                <w:lang w:val="en-US"/>
              </w:rPr>
              <w:t>Snow Wood</w:t>
            </w:r>
          </w:p>
        </w:tc>
        <w:tc>
          <w:tcPr>
            <w:tcW w:w="588" w:type="pct"/>
            <w:vAlign w:val="center"/>
          </w:tcPr>
          <w:p w14:paraId="05B7D68E"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78AEB457"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614954A1"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5409B66" w14:textId="77777777" w:rsidR="00BE36FB" w:rsidRPr="009B7B35" w:rsidRDefault="00BE36FB" w:rsidP="001A7107">
            <w:pPr>
              <w:jc w:val="center"/>
              <w:rPr>
                <w:rFonts w:cs="Arial"/>
                <w:sz w:val="20"/>
                <w:szCs w:val="20"/>
                <w:lang w:val="en-US"/>
              </w:rPr>
            </w:pPr>
          </w:p>
        </w:tc>
      </w:tr>
      <w:tr w:rsidR="00BE36FB" w:rsidRPr="009B7B35" w14:paraId="7D7DB103" w14:textId="77777777" w:rsidTr="001A7107">
        <w:tc>
          <w:tcPr>
            <w:tcW w:w="1512" w:type="pct"/>
          </w:tcPr>
          <w:p w14:paraId="6A203E67" w14:textId="77777777" w:rsidR="00BE36FB" w:rsidRPr="009B7B35" w:rsidRDefault="00BE36FB" w:rsidP="001A7107">
            <w:pPr>
              <w:rPr>
                <w:rFonts w:cs="Arial"/>
                <w:sz w:val="20"/>
                <w:szCs w:val="20"/>
                <w:lang w:val="en-US"/>
              </w:rPr>
            </w:pPr>
            <w:r w:rsidRPr="009B7B35">
              <w:rPr>
                <w:rFonts w:cs="Arial"/>
                <w:sz w:val="20"/>
                <w:szCs w:val="20"/>
                <w:lang w:val="en-US"/>
              </w:rPr>
              <w:t>Peperomia tetraphylla</w:t>
            </w:r>
          </w:p>
        </w:tc>
        <w:tc>
          <w:tcPr>
            <w:tcW w:w="1137" w:type="pct"/>
          </w:tcPr>
          <w:p w14:paraId="7206E1E9" w14:textId="77777777" w:rsidR="00BE36FB" w:rsidRPr="009B7B35" w:rsidRDefault="00BE36FB" w:rsidP="001A7107">
            <w:pPr>
              <w:rPr>
                <w:rFonts w:cs="Arial"/>
                <w:sz w:val="20"/>
                <w:szCs w:val="20"/>
                <w:lang w:val="en-US"/>
              </w:rPr>
            </w:pPr>
          </w:p>
        </w:tc>
        <w:tc>
          <w:tcPr>
            <w:tcW w:w="588" w:type="pct"/>
            <w:vAlign w:val="center"/>
          </w:tcPr>
          <w:p w14:paraId="0D15A873"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12EC008C"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02DDBA41" w14:textId="77777777" w:rsidR="00BE36FB" w:rsidRPr="009B7B35" w:rsidRDefault="00BE36FB" w:rsidP="001A7107">
            <w:pPr>
              <w:jc w:val="center"/>
              <w:rPr>
                <w:rFonts w:cs="Arial"/>
                <w:sz w:val="20"/>
                <w:szCs w:val="20"/>
                <w:lang w:val="en-US"/>
              </w:rPr>
            </w:pPr>
          </w:p>
        </w:tc>
        <w:tc>
          <w:tcPr>
            <w:tcW w:w="587" w:type="pct"/>
            <w:vAlign w:val="center"/>
          </w:tcPr>
          <w:p w14:paraId="0F3EF65B" w14:textId="77777777" w:rsidR="00BE36FB" w:rsidRPr="009B7B35" w:rsidRDefault="00BE36FB" w:rsidP="001A7107">
            <w:pPr>
              <w:jc w:val="center"/>
              <w:rPr>
                <w:rFonts w:cs="Arial"/>
                <w:sz w:val="20"/>
                <w:szCs w:val="20"/>
                <w:lang w:val="en-US"/>
              </w:rPr>
            </w:pPr>
          </w:p>
        </w:tc>
      </w:tr>
      <w:tr w:rsidR="00BE36FB" w:rsidRPr="009B7B35" w14:paraId="0844797E" w14:textId="77777777" w:rsidTr="001A7107">
        <w:tc>
          <w:tcPr>
            <w:tcW w:w="1512" w:type="pct"/>
          </w:tcPr>
          <w:p w14:paraId="59FCBA85" w14:textId="77777777" w:rsidR="00BE36FB" w:rsidRPr="009B7B35" w:rsidRDefault="00BE36FB" w:rsidP="001A7107">
            <w:pPr>
              <w:rPr>
                <w:rFonts w:cs="Arial"/>
                <w:sz w:val="20"/>
                <w:szCs w:val="20"/>
                <w:lang w:val="en-US"/>
              </w:rPr>
            </w:pPr>
            <w:r w:rsidRPr="009B7B35">
              <w:rPr>
                <w:rFonts w:cs="Arial"/>
                <w:sz w:val="20"/>
                <w:szCs w:val="20"/>
                <w:lang w:val="en-US"/>
              </w:rPr>
              <w:t>Petalostigma pubescens</w:t>
            </w:r>
          </w:p>
        </w:tc>
        <w:tc>
          <w:tcPr>
            <w:tcW w:w="1137" w:type="pct"/>
          </w:tcPr>
          <w:p w14:paraId="4F8C7906" w14:textId="77777777" w:rsidR="00BE36FB" w:rsidRPr="009B7B35" w:rsidRDefault="00BE36FB" w:rsidP="001A7107">
            <w:pPr>
              <w:rPr>
                <w:rFonts w:cs="Arial"/>
                <w:sz w:val="20"/>
                <w:szCs w:val="20"/>
                <w:lang w:val="en-US"/>
              </w:rPr>
            </w:pPr>
            <w:r w:rsidRPr="009B7B35">
              <w:rPr>
                <w:rFonts w:cs="Arial"/>
                <w:sz w:val="20"/>
                <w:szCs w:val="20"/>
                <w:lang w:val="en-US"/>
              </w:rPr>
              <w:t>Quinine Bush</w:t>
            </w:r>
          </w:p>
        </w:tc>
        <w:tc>
          <w:tcPr>
            <w:tcW w:w="588" w:type="pct"/>
            <w:vAlign w:val="center"/>
          </w:tcPr>
          <w:p w14:paraId="5B0BCCEB"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6EC1493B"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082351ED"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E0A9D61" w14:textId="77777777" w:rsidR="00BE36FB" w:rsidRPr="009B7B35" w:rsidRDefault="00BE36FB" w:rsidP="001A7107">
            <w:pPr>
              <w:jc w:val="center"/>
              <w:rPr>
                <w:rFonts w:cs="Arial"/>
                <w:sz w:val="20"/>
                <w:szCs w:val="20"/>
                <w:lang w:val="en-US"/>
              </w:rPr>
            </w:pPr>
          </w:p>
        </w:tc>
      </w:tr>
      <w:tr w:rsidR="00BE36FB" w:rsidRPr="009B7B35" w14:paraId="475CD5D6" w14:textId="77777777" w:rsidTr="001A7107">
        <w:tc>
          <w:tcPr>
            <w:tcW w:w="1512" w:type="pct"/>
          </w:tcPr>
          <w:p w14:paraId="45F595CA" w14:textId="77777777" w:rsidR="00BE36FB" w:rsidRPr="009B7B35" w:rsidRDefault="00BE36FB" w:rsidP="001A7107">
            <w:pPr>
              <w:rPr>
                <w:rFonts w:cs="Arial"/>
                <w:sz w:val="20"/>
                <w:szCs w:val="20"/>
                <w:lang w:val="en-US"/>
              </w:rPr>
            </w:pPr>
            <w:r w:rsidRPr="009B7B35">
              <w:rPr>
                <w:rFonts w:cs="Arial"/>
                <w:sz w:val="20"/>
                <w:szCs w:val="20"/>
                <w:lang w:val="en-US"/>
              </w:rPr>
              <w:t>Phaleria clerodendrum</w:t>
            </w:r>
          </w:p>
          <w:p w14:paraId="79803701" w14:textId="77777777" w:rsidR="00BE36FB" w:rsidRPr="009B7B35" w:rsidRDefault="00BE36FB" w:rsidP="001A7107">
            <w:pPr>
              <w:rPr>
                <w:rFonts w:cs="Arial"/>
                <w:sz w:val="20"/>
                <w:szCs w:val="20"/>
                <w:lang w:val="en-US"/>
              </w:rPr>
            </w:pPr>
            <w:r w:rsidRPr="009B7B35">
              <w:rPr>
                <w:rFonts w:cs="Arial"/>
                <w:sz w:val="20"/>
                <w:szCs w:val="20"/>
                <w:lang w:val="en-US"/>
              </w:rPr>
              <w:t>(Poisonous fruit)</w:t>
            </w:r>
          </w:p>
        </w:tc>
        <w:tc>
          <w:tcPr>
            <w:tcW w:w="1137" w:type="pct"/>
          </w:tcPr>
          <w:p w14:paraId="46CB0C49" w14:textId="77777777" w:rsidR="00BE36FB" w:rsidRPr="009B7B35" w:rsidRDefault="00BE36FB" w:rsidP="001A7107">
            <w:pPr>
              <w:rPr>
                <w:rFonts w:cs="Arial"/>
                <w:sz w:val="20"/>
                <w:szCs w:val="20"/>
                <w:lang w:val="en-US"/>
              </w:rPr>
            </w:pPr>
            <w:r w:rsidRPr="009B7B35">
              <w:rPr>
                <w:rFonts w:cs="Arial"/>
                <w:sz w:val="20"/>
                <w:szCs w:val="20"/>
                <w:lang w:val="en-US"/>
              </w:rPr>
              <w:t>Scented Daphne</w:t>
            </w:r>
          </w:p>
        </w:tc>
        <w:tc>
          <w:tcPr>
            <w:tcW w:w="588" w:type="pct"/>
            <w:vAlign w:val="center"/>
          </w:tcPr>
          <w:p w14:paraId="76A32E26"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6D2E5BA4"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267E9BE4" w14:textId="77777777" w:rsidR="00BE36FB" w:rsidRPr="009B7B35" w:rsidRDefault="00BE36FB" w:rsidP="001A7107">
            <w:pPr>
              <w:jc w:val="center"/>
              <w:rPr>
                <w:rFonts w:cs="Arial"/>
                <w:sz w:val="20"/>
                <w:szCs w:val="20"/>
                <w:lang w:val="en-US"/>
              </w:rPr>
            </w:pPr>
          </w:p>
        </w:tc>
        <w:tc>
          <w:tcPr>
            <w:tcW w:w="587" w:type="pct"/>
            <w:vAlign w:val="center"/>
          </w:tcPr>
          <w:p w14:paraId="622F304D" w14:textId="77777777" w:rsidR="00BE36FB" w:rsidRPr="009B7B35" w:rsidRDefault="00BE36FB" w:rsidP="001A7107">
            <w:pPr>
              <w:jc w:val="center"/>
              <w:rPr>
                <w:rFonts w:cs="Arial"/>
                <w:sz w:val="20"/>
                <w:szCs w:val="20"/>
                <w:lang w:val="en-US"/>
              </w:rPr>
            </w:pPr>
          </w:p>
        </w:tc>
      </w:tr>
      <w:tr w:rsidR="00BE36FB" w:rsidRPr="009B7B35" w14:paraId="591ECE2C" w14:textId="77777777" w:rsidTr="001A7107">
        <w:tc>
          <w:tcPr>
            <w:tcW w:w="1512" w:type="pct"/>
          </w:tcPr>
          <w:p w14:paraId="4F8440BE" w14:textId="77777777" w:rsidR="00BE36FB" w:rsidRPr="009B7B35" w:rsidRDefault="00BE36FB" w:rsidP="001A7107">
            <w:pPr>
              <w:rPr>
                <w:rFonts w:cs="Arial"/>
                <w:sz w:val="20"/>
                <w:szCs w:val="20"/>
                <w:lang w:val="en-US"/>
              </w:rPr>
            </w:pPr>
            <w:r w:rsidRPr="009B7B35">
              <w:rPr>
                <w:rFonts w:cs="Arial"/>
                <w:sz w:val="20"/>
                <w:szCs w:val="20"/>
                <w:lang w:val="en-US"/>
              </w:rPr>
              <w:t>Phebalium woombye</w:t>
            </w:r>
          </w:p>
        </w:tc>
        <w:tc>
          <w:tcPr>
            <w:tcW w:w="1137" w:type="pct"/>
          </w:tcPr>
          <w:p w14:paraId="1FB4963D" w14:textId="77777777" w:rsidR="00BE36FB" w:rsidRPr="009B7B35" w:rsidRDefault="00BE36FB" w:rsidP="001A7107">
            <w:pPr>
              <w:rPr>
                <w:rFonts w:cs="Arial"/>
                <w:sz w:val="20"/>
                <w:szCs w:val="20"/>
                <w:lang w:val="en-US"/>
              </w:rPr>
            </w:pPr>
            <w:r w:rsidRPr="009B7B35">
              <w:rPr>
                <w:rFonts w:cs="Arial"/>
                <w:sz w:val="20"/>
                <w:szCs w:val="20"/>
                <w:lang w:val="en-US"/>
              </w:rPr>
              <w:t>Woombye</w:t>
            </w:r>
          </w:p>
        </w:tc>
        <w:tc>
          <w:tcPr>
            <w:tcW w:w="588" w:type="pct"/>
            <w:vAlign w:val="center"/>
          </w:tcPr>
          <w:p w14:paraId="6DF45423"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514CA279"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0401DB3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642BB78" w14:textId="77777777" w:rsidR="00BE36FB" w:rsidRPr="009B7B35" w:rsidRDefault="00BE36FB" w:rsidP="001A7107">
            <w:pPr>
              <w:jc w:val="center"/>
              <w:rPr>
                <w:rFonts w:cs="Arial"/>
                <w:sz w:val="20"/>
                <w:szCs w:val="20"/>
                <w:lang w:val="en-US"/>
              </w:rPr>
            </w:pPr>
          </w:p>
        </w:tc>
      </w:tr>
      <w:tr w:rsidR="00BE36FB" w:rsidRPr="009B7B35" w14:paraId="448A5B97" w14:textId="77777777" w:rsidTr="001A7107">
        <w:tc>
          <w:tcPr>
            <w:tcW w:w="1512" w:type="pct"/>
          </w:tcPr>
          <w:p w14:paraId="0DD85730" w14:textId="77777777" w:rsidR="00BE36FB" w:rsidRPr="009B7B35" w:rsidRDefault="00BE36FB" w:rsidP="001A7107">
            <w:pPr>
              <w:rPr>
                <w:rFonts w:cs="Arial"/>
                <w:sz w:val="20"/>
                <w:szCs w:val="20"/>
                <w:lang w:val="en-US"/>
              </w:rPr>
            </w:pPr>
            <w:r w:rsidRPr="009B7B35">
              <w:rPr>
                <w:rFonts w:cs="Arial"/>
                <w:sz w:val="20"/>
                <w:szCs w:val="20"/>
                <w:lang w:val="en-US"/>
              </w:rPr>
              <w:t>Phebalium woombye prostate form</w:t>
            </w:r>
          </w:p>
        </w:tc>
        <w:tc>
          <w:tcPr>
            <w:tcW w:w="1137" w:type="pct"/>
          </w:tcPr>
          <w:p w14:paraId="3F9580D0" w14:textId="77777777" w:rsidR="00BE36FB" w:rsidRPr="009B7B35" w:rsidRDefault="00BE36FB" w:rsidP="001A7107">
            <w:pPr>
              <w:rPr>
                <w:rFonts w:cs="Arial"/>
                <w:sz w:val="20"/>
                <w:szCs w:val="20"/>
                <w:lang w:val="en-US"/>
              </w:rPr>
            </w:pPr>
          </w:p>
        </w:tc>
        <w:tc>
          <w:tcPr>
            <w:tcW w:w="588" w:type="pct"/>
            <w:vAlign w:val="center"/>
          </w:tcPr>
          <w:p w14:paraId="657B8420"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4E88B44A"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6D794D9A"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1A2FB2A" w14:textId="77777777" w:rsidR="00BE36FB" w:rsidRPr="009B7B35" w:rsidRDefault="00BE36FB" w:rsidP="001A7107">
            <w:pPr>
              <w:jc w:val="center"/>
              <w:rPr>
                <w:rFonts w:cs="Arial"/>
                <w:sz w:val="20"/>
                <w:szCs w:val="20"/>
                <w:lang w:val="en-US"/>
              </w:rPr>
            </w:pPr>
          </w:p>
        </w:tc>
      </w:tr>
      <w:tr w:rsidR="00BE36FB" w:rsidRPr="009B7B35" w14:paraId="08DC56C5" w14:textId="77777777" w:rsidTr="001A7107">
        <w:tc>
          <w:tcPr>
            <w:tcW w:w="1512" w:type="pct"/>
          </w:tcPr>
          <w:p w14:paraId="0AE887D3" w14:textId="77777777" w:rsidR="00BE36FB" w:rsidRPr="009B7B35" w:rsidRDefault="00BE36FB" w:rsidP="001A7107">
            <w:pPr>
              <w:rPr>
                <w:rFonts w:cs="Arial"/>
                <w:sz w:val="20"/>
                <w:szCs w:val="20"/>
                <w:lang w:val="en-US"/>
              </w:rPr>
            </w:pPr>
            <w:r w:rsidRPr="009B7B35">
              <w:rPr>
                <w:rFonts w:cs="Arial"/>
                <w:sz w:val="20"/>
                <w:szCs w:val="20"/>
                <w:lang w:val="en-US"/>
              </w:rPr>
              <w:t>Pilidiostigma glabra</w:t>
            </w:r>
          </w:p>
        </w:tc>
        <w:tc>
          <w:tcPr>
            <w:tcW w:w="1137" w:type="pct"/>
          </w:tcPr>
          <w:p w14:paraId="15AF6692" w14:textId="77777777" w:rsidR="00BE36FB" w:rsidRPr="009B7B35" w:rsidRDefault="00BE36FB" w:rsidP="001A7107">
            <w:pPr>
              <w:rPr>
                <w:rFonts w:cs="Arial"/>
                <w:sz w:val="20"/>
                <w:szCs w:val="20"/>
                <w:lang w:val="en-US"/>
              </w:rPr>
            </w:pPr>
            <w:r w:rsidRPr="009B7B35">
              <w:rPr>
                <w:rFonts w:cs="Arial"/>
                <w:sz w:val="20"/>
                <w:szCs w:val="20"/>
                <w:lang w:val="en-US"/>
              </w:rPr>
              <w:t>Plum Myrtle</w:t>
            </w:r>
          </w:p>
        </w:tc>
        <w:tc>
          <w:tcPr>
            <w:tcW w:w="588" w:type="pct"/>
            <w:vAlign w:val="center"/>
          </w:tcPr>
          <w:p w14:paraId="04FEBC5E"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3B8D2702" w14:textId="77777777" w:rsidR="00BE36FB" w:rsidRPr="009B7B35" w:rsidRDefault="00BE36FB" w:rsidP="001A7107">
            <w:pPr>
              <w:jc w:val="center"/>
              <w:rPr>
                <w:rFonts w:cs="Arial"/>
                <w:sz w:val="20"/>
                <w:szCs w:val="20"/>
                <w:lang w:val="en-US"/>
              </w:rPr>
            </w:pPr>
          </w:p>
        </w:tc>
        <w:tc>
          <w:tcPr>
            <w:tcW w:w="588" w:type="pct"/>
            <w:vAlign w:val="center"/>
          </w:tcPr>
          <w:p w14:paraId="311E4ECB" w14:textId="77777777" w:rsidR="00BE36FB" w:rsidRPr="009B7B35" w:rsidRDefault="00BE36FB" w:rsidP="001A7107">
            <w:pPr>
              <w:jc w:val="center"/>
              <w:rPr>
                <w:rFonts w:cs="Arial"/>
                <w:sz w:val="20"/>
                <w:szCs w:val="20"/>
                <w:lang w:val="en-US"/>
              </w:rPr>
            </w:pPr>
          </w:p>
        </w:tc>
        <w:tc>
          <w:tcPr>
            <w:tcW w:w="587" w:type="pct"/>
            <w:vAlign w:val="center"/>
          </w:tcPr>
          <w:p w14:paraId="72C19E21" w14:textId="77777777" w:rsidR="00BE36FB" w:rsidRPr="009B7B35" w:rsidRDefault="00BE36FB" w:rsidP="001A7107">
            <w:pPr>
              <w:jc w:val="center"/>
              <w:rPr>
                <w:rFonts w:cs="Arial"/>
                <w:sz w:val="20"/>
                <w:szCs w:val="20"/>
                <w:lang w:val="en-US"/>
              </w:rPr>
            </w:pPr>
          </w:p>
        </w:tc>
      </w:tr>
      <w:tr w:rsidR="00BE36FB" w:rsidRPr="009B7B35" w14:paraId="7290B2E2" w14:textId="77777777" w:rsidTr="001A7107">
        <w:tc>
          <w:tcPr>
            <w:tcW w:w="1512" w:type="pct"/>
          </w:tcPr>
          <w:p w14:paraId="07F983EF" w14:textId="77777777" w:rsidR="00BE36FB" w:rsidRPr="009B7B35" w:rsidRDefault="00BE36FB" w:rsidP="001A7107">
            <w:pPr>
              <w:rPr>
                <w:rFonts w:cs="Arial"/>
                <w:sz w:val="20"/>
                <w:szCs w:val="20"/>
                <w:lang w:val="en-US"/>
              </w:rPr>
            </w:pPr>
            <w:r w:rsidRPr="009B7B35">
              <w:rPr>
                <w:rFonts w:cs="Arial"/>
                <w:sz w:val="20"/>
                <w:szCs w:val="20"/>
                <w:lang w:val="en-US"/>
              </w:rPr>
              <w:t>Pilidostigma rhytisperma</w:t>
            </w:r>
          </w:p>
        </w:tc>
        <w:tc>
          <w:tcPr>
            <w:tcW w:w="1137" w:type="pct"/>
          </w:tcPr>
          <w:p w14:paraId="0A471C6D" w14:textId="77777777" w:rsidR="00BE36FB" w:rsidRPr="009B7B35" w:rsidRDefault="00BE36FB" w:rsidP="001A7107">
            <w:pPr>
              <w:rPr>
                <w:rFonts w:cs="Arial"/>
                <w:sz w:val="20"/>
                <w:szCs w:val="20"/>
                <w:lang w:val="en-US"/>
              </w:rPr>
            </w:pPr>
            <w:r w:rsidRPr="009B7B35">
              <w:rPr>
                <w:rFonts w:cs="Arial"/>
                <w:sz w:val="20"/>
                <w:szCs w:val="20"/>
                <w:lang w:val="en-US"/>
              </w:rPr>
              <w:t>Small Leaved Plum Myrtle</w:t>
            </w:r>
          </w:p>
        </w:tc>
        <w:tc>
          <w:tcPr>
            <w:tcW w:w="588" w:type="pct"/>
            <w:vAlign w:val="center"/>
          </w:tcPr>
          <w:p w14:paraId="651A48B4"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3C6409B1"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64D49F25"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4BEA3218" w14:textId="77777777" w:rsidR="00BE36FB" w:rsidRPr="009B7B35" w:rsidRDefault="00BE36FB" w:rsidP="001A7107">
            <w:pPr>
              <w:jc w:val="center"/>
              <w:rPr>
                <w:rFonts w:cs="Arial"/>
                <w:sz w:val="20"/>
                <w:szCs w:val="20"/>
                <w:lang w:val="en-US"/>
              </w:rPr>
            </w:pPr>
          </w:p>
        </w:tc>
      </w:tr>
      <w:tr w:rsidR="00BE36FB" w:rsidRPr="009B7B35" w14:paraId="6EDC7138" w14:textId="77777777" w:rsidTr="001A7107">
        <w:tc>
          <w:tcPr>
            <w:tcW w:w="1512" w:type="pct"/>
          </w:tcPr>
          <w:p w14:paraId="342B8515" w14:textId="77777777" w:rsidR="00BE36FB" w:rsidRPr="009B7B35" w:rsidRDefault="00BE36FB" w:rsidP="001A7107">
            <w:pPr>
              <w:rPr>
                <w:rFonts w:cs="Arial"/>
                <w:sz w:val="20"/>
                <w:szCs w:val="20"/>
                <w:lang w:val="en-US"/>
              </w:rPr>
            </w:pPr>
            <w:r w:rsidRPr="009B7B35">
              <w:rPr>
                <w:rFonts w:cs="Arial"/>
                <w:sz w:val="20"/>
                <w:szCs w:val="20"/>
                <w:lang w:val="en-US"/>
              </w:rPr>
              <w:t>Pittosporum rhombifolium</w:t>
            </w:r>
          </w:p>
        </w:tc>
        <w:tc>
          <w:tcPr>
            <w:tcW w:w="1137" w:type="pct"/>
          </w:tcPr>
          <w:p w14:paraId="049D4F93" w14:textId="77777777" w:rsidR="00BE36FB" w:rsidRPr="009B7B35" w:rsidRDefault="00BE36FB" w:rsidP="001A7107">
            <w:pPr>
              <w:rPr>
                <w:rFonts w:cs="Arial"/>
                <w:sz w:val="20"/>
                <w:szCs w:val="20"/>
                <w:lang w:val="en-US"/>
              </w:rPr>
            </w:pPr>
            <w:r w:rsidRPr="009B7B35">
              <w:rPr>
                <w:rFonts w:cs="Arial"/>
                <w:sz w:val="20"/>
                <w:szCs w:val="20"/>
                <w:lang w:val="en-US"/>
              </w:rPr>
              <w:t>White Holly</w:t>
            </w:r>
          </w:p>
        </w:tc>
        <w:tc>
          <w:tcPr>
            <w:tcW w:w="588" w:type="pct"/>
            <w:vAlign w:val="center"/>
          </w:tcPr>
          <w:p w14:paraId="22025ED2"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4FFC5C67"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1F71CB83"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B99303C"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25A37F0C" wp14:editId="0C4DA41D">
                  <wp:extent cx="180000" cy="1800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52290250" w14:textId="77777777" w:rsidTr="001A7107">
        <w:tc>
          <w:tcPr>
            <w:tcW w:w="1512" w:type="pct"/>
          </w:tcPr>
          <w:p w14:paraId="19F06243" w14:textId="77777777" w:rsidR="00BE36FB" w:rsidRPr="009B7B35" w:rsidRDefault="00BE36FB" w:rsidP="001A7107">
            <w:pPr>
              <w:rPr>
                <w:rFonts w:cs="Arial"/>
                <w:sz w:val="20"/>
                <w:szCs w:val="20"/>
                <w:lang w:val="en-US"/>
              </w:rPr>
            </w:pPr>
            <w:r w:rsidRPr="009B7B35">
              <w:rPr>
                <w:rFonts w:cs="Arial"/>
                <w:sz w:val="20"/>
                <w:szCs w:val="20"/>
                <w:lang w:val="en-US"/>
              </w:rPr>
              <w:t>Pittosporum spp.</w:t>
            </w:r>
          </w:p>
        </w:tc>
        <w:tc>
          <w:tcPr>
            <w:tcW w:w="1137" w:type="pct"/>
          </w:tcPr>
          <w:p w14:paraId="35F673FD" w14:textId="77777777" w:rsidR="00BE36FB" w:rsidRPr="009B7B35" w:rsidRDefault="00BE36FB" w:rsidP="001A7107">
            <w:pPr>
              <w:rPr>
                <w:rFonts w:cs="Arial"/>
                <w:sz w:val="20"/>
                <w:szCs w:val="20"/>
                <w:lang w:val="en-US"/>
              </w:rPr>
            </w:pPr>
          </w:p>
        </w:tc>
        <w:tc>
          <w:tcPr>
            <w:tcW w:w="588" w:type="pct"/>
            <w:vAlign w:val="center"/>
          </w:tcPr>
          <w:p w14:paraId="4ACC8DF9"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246F53DD"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5DF106EC"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2A36A13" w14:textId="77777777" w:rsidR="00BE36FB" w:rsidRPr="009B7B35" w:rsidRDefault="00BE36FB" w:rsidP="001A7107">
            <w:pPr>
              <w:jc w:val="center"/>
              <w:rPr>
                <w:rFonts w:cs="Arial"/>
                <w:sz w:val="20"/>
                <w:szCs w:val="20"/>
                <w:lang w:val="en-US"/>
              </w:rPr>
            </w:pPr>
          </w:p>
        </w:tc>
      </w:tr>
      <w:tr w:rsidR="00BE36FB" w:rsidRPr="009B7B35" w14:paraId="209D666E" w14:textId="77777777" w:rsidTr="001A7107">
        <w:tc>
          <w:tcPr>
            <w:tcW w:w="1512" w:type="pct"/>
          </w:tcPr>
          <w:p w14:paraId="0A4AA5BD" w14:textId="77777777" w:rsidR="00BE36FB" w:rsidRPr="009B7B35" w:rsidRDefault="00BE36FB" w:rsidP="001A7107">
            <w:pPr>
              <w:rPr>
                <w:rFonts w:cs="Arial"/>
                <w:sz w:val="20"/>
                <w:szCs w:val="20"/>
                <w:lang w:val="en-US"/>
              </w:rPr>
            </w:pPr>
            <w:r w:rsidRPr="009B7B35">
              <w:rPr>
                <w:rFonts w:cs="Arial"/>
                <w:sz w:val="20"/>
                <w:szCs w:val="20"/>
                <w:lang w:val="en-US"/>
              </w:rPr>
              <w:t>Pittosporum undulatum</w:t>
            </w:r>
          </w:p>
        </w:tc>
        <w:tc>
          <w:tcPr>
            <w:tcW w:w="1137" w:type="pct"/>
          </w:tcPr>
          <w:p w14:paraId="6CC4F2A3" w14:textId="77777777" w:rsidR="00BE36FB" w:rsidRPr="009B7B35" w:rsidRDefault="00BE36FB" w:rsidP="001A7107">
            <w:pPr>
              <w:rPr>
                <w:rFonts w:cs="Arial"/>
                <w:sz w:val="20"/>
                <w:szCs w:val="20"/>
                <w:lang w:val="en-US"/>
              </w:rPr>
            </w:pPr>
            <w:r w:rsidRPr="009B7B35">
              <w:rPr>
                <w:rFonts w:cs="Arial"/>
                <w:sz w:val="20"/>
                <w:szCs w:val="20"/>
                <w:lang w:val="en-US"/>
              </w:rPr>
              <w:t>Mock Orange</w:t>
            </w:r>
          </w:p>
        </w:tc>
        <w:tc>
          <w:tcPr>
            <w:tcW w:w="588" w:type="pct"/>
            <w:vAlign w:val="center"/>
          </w:tcPr>
          <w:p w14:paraId="5A9D5325"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608B9D10"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67155ADB"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394B80EA" w14:textId="77777777" w:rsidR="00BE36FB" w:rsidRPr="009B7B35" w:rsidRDefault="00BE36FB" w:rsidP="001A7107">
            <w:pPr>
              <w:jc w:val="center"/>
              <w:rPr>
                <w:rFonts w:cs="Arial"/>
                <w:sz w:val="20"/>
                <w:szCs w:val="20"/>
                <w:lang w:val="en-US"/>
              </w:rPr>
            </w:pPr>
          </w:p>
        </w:tc>
      </w:tr>
      <w:tr w:rsidR="00BE36FB" w:rsidRPr="009B7B35" w14:paraId="7BB60DBD" w14:textId="77777777" w:rsidTr="001A7107">
        <w:tc>
          <w:tcPr>
            <w:tcW w:w="1512" w:type="pct"/>
          </w:tcPr>
          <w:p w14:paraId="516F4022" w14:textId="77777777" w:rsidR="00BE36FB" w:rsidRPr="009B7B35" w:rsidRDefault="00BE36FB" w:rsidP="001A7107">
            <w:pPr>
              <w:rPr>
                <w:rFonts w:cs="Arial"/>
                <w:sz w:val="20"/>
                <w:szCs w:val="20"/>
                <w:lang w:val="en-US"/>
              </w:rPr>
            </w:pPr>
            <w:r w:rsidRPr="009B7B35">
              <w:rPr>
                <w:rFonts w:cs="Arial"/>
                <w:sz w:val="20"/>
                <w:szCs w:val="20"/>
                <w:lang w:val="en-US"/>
              </w:rPr>
              <w:t>Plumbago auriculata</w:t>
            </w:r>
          </w:p>
        </w:tc>
        <w:tc>
          <w:tcPr>
            <w:tcW w:w="1137" w:type="pct"/>
          </w:tcPr>
          <w:p w14:paraId="33FC3EB4" w14:textId="77777777" w:rsidR="00BE36FB" w:rsidRPr="009B7B35" w:rsidRDefault="00BE36FB" w:rsidP="001A7107">
            <w:pPr>
              <w:rPr>
                <w:rFonts w:cs="Arial"/>
                <w:sz w:val="20"/>
                <w:szCs w:val="20"/>
                <w:lang w:val="en-US"/>
              </w:rPr>
            </w:pPr>
          </w:p>
        </w:tc>
        <w:tc>
          <w:tcPr>
            <w:tcW w:w="588" w:type="pct"/>
            <w:vAlign w:val="center"/>
          </w:tcPr>
          <w:p w14:paraId="6EFE5DDF" w14:textId="77777777" w:rsidR="00BE36FB" w:rsidRPr="009B7B35" w:rsidRDefault="00BE36FB" w:rsidP="001A7107">
            <w:pPr>
              <w:jc w:val="center"/>
              <w:rPr>
                <w:rFonts w:cs="Arial"/>
                <w:sz w:val="20"/>
                <w:szCs w:val="20"/>
                <w:lang w:val="en-US"/>
              </w:rPr>
            </w:pPr>
          </w:p>
        </w:tc>
        <w:tc>
          <w:tcPr>
            <w:tcW w:w="588" w:type="pct"/>
            <w:vAlign w:val="center"/>
          </w:tcPr>
          <w:p w14:paraId="2F643617" w14:textId="77777777" w:rsidR="00BE36FB" w:rsidRPr="009B7B35" w:rsidRDefault="00BE36FB" w:rsidP="001A7107">
            <w:pPr>
              <w:jc w:val="center"/>
              <w:rPr>
                <w:rFonts w:cs="Arial"/>
                <w:sz w:val="20"/>
                <w:szCs w:val="20"/>
                <w:lang w:val="en-US"/>
              </w:rPr>
            </w:pPr>
          </w:p>
        </w:tc>
        <w:tc>
          <w:tcPr>
            <w:tcW w:w="588" w:type="pct"/>
            <w:vAlign w:val="center"/>
          </w:tcPr>
          <w:p w14:paraId="327BD06C" w14:textId="77777777" w:rsidR="00BE36FB" w:rsidRPr="009B7B35" w:rsidRDefault="00BE36FB" w:rsidP="001A7107">
            <w:pPr>
              <w:jc w:val="center"/>
              <w:rPr>
                <w:rFonts w:cs="Arial"/>
                <w:sz w:val="20"/>
                <w:szCs w:val="20"/>
                <w:lang w:val="en-US"/>
              </w:rPr>
            </w:pPr>
          </w:p>
        </w:tc>
        <w:tc>
          <w:tcPr>
            <w:tcW w:w="587" w:type="pct"/>
            <w:vAlign w:val="center"/>
          </w:tcPr>
          <w:p w14:paraId="52F77E53" w14:textId="77777777" w:rsidR="00BE36FB" w:rsidRPr="009B7B35" w:rsidRDefault="00BE36FB" w:rsidP="001A7107">
            <w:pPr>
              <w:jc w:val="center"/>
              <w:rPr>
                <w:rFonts w:cs="Arial"/>
                <w:sz w:val="20"/>
                <w:szCs w:val="20"/>
                <w:lang w:val="en-US"/>
              </w:rPr>
            </w:pPr>
          </w:p>
        </w:tc>
      </w:tr>
      <w:tr w:rsidR="00BE36FB" w:rsidRPr="009B7B35" w14:paraId="0FF89BA0" w14:textId="77777777" w:rsidTr="001A7107">
        <w:tc>
          <w:tcPr>
            <w:tcW w:w="1512" w:type="pct"/>
          </w:tcPr>
          <w:p w14:paraId="123A18D4" w14:textId="77777777" w:rsidR="00BE36FB" w:rsidRPr="009B7B35" w:rsidRDefault="00BE36FB" w:rsidP="001A7107">
            <w:pPr>
              <w:rPr>
                <w:rFonts w:cs="Arial"/>
                <w:sz w:val="20"/>
                <w:szCs w:val="20"/>
                <w:lang w:val="en-US"/>
              </w:rPr>
            </w:pPr>
            <w:r w:rsidRPr="009B7B35">
              <w:rPr>
                <w:rFonts w:cs="Arial"/>
                <w:sz w:val="20"/>
                <w:szCs w:val="20"/>
                <w:lang w:val="en-US"/>
              </w:rPr>
              <w:t>Poa australis</w:t>
            </w:r>
          </w:p>
        </w:tc>
        <w:tc>
          <w:tcPr>
            <w:tcW w:w="1137" w:type="pct"/>
          </w:tcPr>
          <w:p w14:paraId="59D73895" w14:textId="77777777" w:rsidR="00BE36FB" w:rsidRPr="009B7B35" w:rsidRDefault="00BE36FB" w:rsidP="001A7107">
            <w:pPr>
              <w:rPr>
                <w:rFonts w:cs="Arial"/>
                <w:sz w:val="20"/>
                <w:szCs w:val="20"/>
                <w:lang w:val="en-US"/>
              </w:rPr>
            </w:pPr>
          </w:p>
        </w:tc>
        <w:tc>
          <w:tcPr>
            <w:tcW w:w="588" w:type="pct"/>
            <w:vAlign w:val="center"/>
          </w:tcPr>
          <w:p w14:paraId="30A2957B"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684D51FE"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794F73F5" w14:textId="77777777" w:rsidR="00BE36FB" w:rsidRPr="009B7B35" w:rsidRDefault="00BE36FB" w:rsidP="001A7107">
            <w:pPr>
              <w:jc w:val="center"/>
              <w:rPr>
                <w:rFonts w:cs="Arial"/>
                <w:sz w:val="20"/>
                <w:szCs w:val="20"/>
                <w:lang w:val="en-US"/>
              </w:rPr>
            </w:pPr>
          </w:p>
        </w:tc>
        <w:tc>
          <w:tcPr>
            <w:tcW w:w="587" w:type="pct"/>
            <w:vAlign w:val="center"/>
          </w:tcPr>
          <w:p w14:paraId="7820736A" w14:textId="77777777" w:rsidR="00BE36FB" w:rsidRPr="009B7B35" w:rsidRDefault="00BE36FB" w:rsidP="001A7107">
            <w:pPr>
              <w:jc w:val="center"/>
              <w:rPr>
                <w:rFonts w:cs="Arial"/>
                <w:sz w:val="20"/>
                <w:szCs w:val="20"/>
                <w:lang w:val="en-US"/>
              </w:rPr>
            </w:pPr>
          </w:p>
        </w:tc>
      </w:tr>
      <w:tr w:rsidR="00BE36FB" w:rsidRPr="009B7B35" w14:paraId="4249E5D1" w14:textId="77777777" w:rsidTr="001A7107">
        <w:tc>
          <w:tcPr>
            <w:tcW w:w="1512" w:type="pct"/>
          </w:tcPr>
          <w:p w14:paraId="4F77152D" w14:textId="77777777" w:rsidR="00BE36FB" w:rsidRPr="009B7B35" w:rsidRDefault="00BE36FB" w:rsidP="001A7107">
            <w:pPr>
              <w:rPr>
                <w:rFonts w:cs="Arial"/>
                <w:sz w:val="20"/>
                <w:szCs w:val="20"/>
                <w:lang w:val="en-US"/>
              </w:rPr>
            </w:pPr>
            <w:r w:rsidRPr="009B7B35">
              <w:rPr>
                <w:rFonts w:cs="Arial"/>
                <w:sz w:val="20"/>
                <w:szCs w:val="20"/>
                <w:lang w:val="en-US"/>
              </w:rPr>
              <w:t>Poa labillardierii</w:t>
            </w:r>
          </w:p>
        </w:tc>
        <w:tc>
          <w:tcPr>
            <w:tcW w:w="1137" w:type="pct"/>
          </w:tcPr>
          <w:p w14:paraId="26744733" w14:textId="77777777" w:rsidR="00BE36FB" w:rsidRPr="009B7B35" w:rsidRDefault="00BE36FB" w:rsidP="001A7107">
            <w:pPr>
              <w:rPr>
                <w:rFonts w:cs="Arial"/>
                <w:sz w:val="20"/>
                <w:szCs w:val="20"/>
                <w:lang w:val="en-US"/>
              </w:rPr>
            </w:pPr>
            <w:r w:rsidRPr="009B7B35">
              <w:rPr>
                <w:rFonts w:cs="Arial"/>
                <w:sz w:val="20"/>
                <w:szCs w:val="20"/>
                <w:lang w:val="en-US"/>
              </w:rPr>
              <w:t>Tussock Grass</w:t>
            </w:r>
          </w:p>
        </w:tc>
        <w:tc>
          <w:tcPr>
            <w:tcW w:w="588" w:type="pct"/>
            <w:vAlign w:val="center"/>
          </w:tcPr>
          <w:p w14:paraId="55DC3FED"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7D8D3D1D"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2E6E6F75" w14:textId="77777777" w:rsidR="00BE36FB" w:rsidRPr="009B7B35" w:rsidRDefault="00BE36FB" w:rsidP="001A7107">
            <w:pPr>
              <w:jc w:val="center"/>
              <w:rPr>
                <w:rFonts w:cs="Arial"/>
                <w:sz w:val="20"/>
                <w:szCs w:val="20"/>
                <w:lang w:val="en-US"/>
              </w:rPr>
            </w:pPr>
          </w:p>
        </w:tc>
        <w:tc>
          <w:tcPr>
            <w:tcW w:w="587" w:type="pct"/>
            <w:vAlign w:val="center"/>
          </w:tcPr>
          <w:p w14:paraId="5DB6A0F6" w14:textId="77777777" w:rsidR="00BE36FB" w:rsidRPr="009B7B35" w:rsidRDefault="00BE36FB" w:rsidP="001A7107">
            <w:pPr>
              <w:jc w:val="center"/>
              <w:rPr>
                <w:rFonts w:cs="Arial"/>
                <w:sz w:val="20"/>
                <w:szCs w:val="20"/>
                <w:lang w:val="en-US"/>
              </w:rPr>
            </w:pPr>
          </w:p>
        </w:tc>
      </w:tr>
      <w:tr w:rsidR="00BE36FB" w:rsidRPr="009B7B35" w14:paraId="5B2AF7B4" w14:textId="77777777" w:rsidTr="001A7107">
        <w:tc>
          <w:tcPr>
            <w:tcW w:w="1512" w:type="pct"/>
          </w:tcPr>
          <w:p w14:paraId="280264B6" w14:textId="77777777" w:rsidR="00BE36FB" w:rsidRPr="009B7B35" w:rsidRDefault="00BE36FB" w:rsidP="001A7107">
            <w:pPr>
              <w:rPr>
                <w:rFonts w:cs="Arial"/>
                <w:sz w:val="20"/>
                <w:szCs w:val="20"/>
                <w:lang w:val="en-US"/>
              </w:rPr>
            </w:pPr>
            <w:r w:rsidRPr="009B7B35">
              <w:rPr>
                <w:rFonts w:cs="Arial"/>
                <w:sz w:val="20"/>
                <w:szCs w:val="20"/>
                <w:lang w:val="en-US"/>
              </w:rPr>
              <w:t>Podocarpus elatus</w:t>
            </w:r>
          </w:p>
        </w:tc>
        <w:tc>
          <w:tcPr>
            <w:tcW w:w="1137" w:type="pct"/>
          </w:tcPr>
          <w:p w14:paraId="7EDE4F2A" w14:textId="77777777" w:rsidR="00BE36FB" w:rsidRPr="009B7B35" w:rsidRDefault="00BE36FB" w:rsidP="001A7107">
            <w:pPr>
              <w:rPr>
                <w:rFonts w:cs="Arial"/>
                <w:sz w:val="20"/>
                <w:szCs w:val="20"/>
                <w:lang w:val="en-US"/>
              </w:rPr>
            </w:pPr>
            <w:r w:rsidRPr="009B7B35">
              <w:rPr>
                <w:rFonts w:cs="Arial"/>
                <w:sz w:val="20"/>
                <w:szCs w:val="20"/>
                <w:lang w:val="en-US"/>
              </w:rPr>
              <w:t>Plum Pine / Brown Pine</w:t>
            </w:r>
          </w:p>
        </w:tc>
        <w:tc>
          <w:tcPr>
            <w:tcW w:w="588" w:type="pct"/>
            <w:vAlign w:val="center"/>
          </w:tcPr>
          <w:p w14:paraId="318FEF2D"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79D760FE"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56B0F3B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D81E494"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199D9B38" wp14:editId="4E586D0A">
                  <wp:extent cx="180000" cy="180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25FBA47D" w14:textId="77777777" w:rsidTr="001A7107">
        <w:tc>
          <w:tcPr>
            <w:tcW w:w="1512" w:type="pct"/>
          </w:tcPr>
          <w:p w14:paraId="1A6D8A7C" w14:textId="77777777" w:rsidR="00BE36FB" w:rsidRPr="009B7B35" w:rsidRDefault="00BE36FB" w:rsidP="001A7107">
            <w:pPr>
              <w:rPr>
                <w:rFonts w:cs="Arial"/>
                <w:sz w:val="20"/>
                <w:szCs w:val="20"/>
                <w:lang w:val="en-US"/>
              </w:rPr>
            </w:pPr>
            <w:r w:rsidRPr="009B7B35">
              <w:rPr>
                <w:rFonts w:cs="Arial"/>
                <w:sz w:val="20"/>
                <w:szCs w:val="20"/>
                <w:lang w:val="en-US"/>
              </w:rPr>
              <w:t>Polyscias elegans</w:t>
            </w:r>
          </w:p>
        </w:tc>
        <w:tc>
          <w:tcPr>
            <w:tcW w:w="1137" w:type="pct"/>
          </w:tcPr>
          <w:p w14:paraId="77668592" w14:textId="77777777" w:rsidR="00BE36FB" w:rsidRPr="009B7B35" w:rsidRDefault="00BE36FB" w:rsidP="001A7107">
            <w:pPr>
              <w:rPr>
                <w:rFonts w:cs="Arial"/>
                <w:sz w:val="20"/>
                <w:szCs w:val="20"/>
                <w:lang w:val="en-US"/>
              </w:rPr>
            </w:pPr>
            <w:r w:rsidRPr="009B7B35">
              <w:rPr>
                <w:rFonts w:cs="Arial"/>
                <w:sz w:val="20"/>
                <w:szCs w:val="20"/>
                <w:lang w:val="en-US"/>
              </w:rPr>
              <w:t>Celerywood</w:t>
            </w:r>
          </w:p>
        </w:tc>
        <w:tc>
          <w:tcPr>
            <w:tcW w:w="588" w:type="pct"/>
            <w:vAlign w:val="center"/>
          </w:tcPr>
          <w:p w14:paraId="331F19AA"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4B2870B0"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6977F949"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AA34E32" w14:textId="77777777" w:rsidR="00BE36FB" w:rsidRPr="009B7B35" w:rsidRDefault="00BE36FB" w:rsidP="001A7107">
            <w:pPr>
              <w:jc w:val="center"/>
              <w:rPr>
                <w:rFonts w:cs="Arial"/>
                <w:sz w:val="20"/>
                <w:szCs w:val="20"/>
                <w:lang w:val="en-US"/>
              </w:rPr>
            </w:pPr>
          </w:p>
        </w:tc>
      </w:tr>
      <w:tr w:rsidR="00BE36FB" w:rsidRPr="009B7B35" w14:paraId="0F03D934" w14:textId="77777777" w:rsidTr="001A7107">
        <w:tc>
          <w:tcPr>
            <w:tcW w:w="1512" w:type="pct"/>
          </w:tcPr>
          <w:p w14:paraId="41E21E76" w14:textId="77777777" w:rsidR="00BE36FB" w:rsidRPr="009B7B35" w:rsidRDefault="00BE36FB" w:rsidP="001A7107">
            <w:pPr>
              <w:rPr>
                <w:rFonts w:cs="Arial"/>
                <w:sz w:val="20"/>
                <w:szCs w:val="20"/>
                <w:lang w:val="en-US"/>
              </w:rPr>
            </w:pPr>
            <w:r w:rsidRPr="009B7B35">
              <w:rPr>
                <w:rFonts w:cs="Arial"/>
                <w:sz w:val="20"/>
                <w:szCs w:val="20"/>
                <w:lang w:val="en-US"/>
              </w:rPr>
              <w:t>Polyscias murrayi</w:t>
            </w:r>
          </w:p>
        </w:tc>
        <w:tc>
          <w:tcPr>
            <w:tcW w:w="1137" w:type="pct"/>
          </w:tcPr>
          <w:p w14:paraId="1AB7608C" w14:textId="77777777" w:rsidR="00BE36FB" w:rsidRPr="009B7B35" w:rsidRDefault="00BE36FB" w:rsidP="001A7107">
            <w:pPr>
              <w:rPr>
                <w:rFonts w:cs="Arial"/>
                <w:sz w:val="20"/>
                <w:szCs w:val="20"/>
                <w:lang w:val="en-US"/>
              </w:rPr>
            </w:pPr>
            <w:r w:rsidRPr="009B7B35">
              <w:rPr>
                <w:rFonts w:cs="Arial"/>
                <w:sz w:val="20"/>
                <w:szCs w:val="20"/>
                <w:lang w:val="en-US"/>
              </w:rPr>
              <w:t>Pencil Cedar</w:t>
            </w:r>
          </w:p>
        </w:tc>
        <w:tc>
          <w:tcPr>
            <w:tcW w:w="588" w:type="pct"/>
            <w:vAlign w:val="center"/>
          </w:tcPr>
          <w:p w14:paraId="07FF9FDF" w14:textId="77777777" w:rsidR="00BE36FB" w:rsidRPr="009B7B35" w:rsidRDefault="00BE36FB" w:rsidP="001A7107">
            <w:pPr>
              <w:jc w:val="center"/>
              <w:rPr>
                <w:rFonts w:cs="Arial"/>
                <w:sz w:val="20"/>
                <w:szCs w:val="20"/>
                <w:lang w:val="en-US"/>
              </w:rPr>
            </w:pPr>
          </w:p>
        </w:tc>
        <w:tc>
          <w:tcPr>
            <w:tcW w:w="588" w:type="pct"/>
            <w:vAlign w:val="center"/>
          </w:tcPr>
          <w:p w14:paraId="74A4ECA6"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761796CF"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020182CE" w14:textId="77777777" w:rsidR="00BE36FB" w:rsidRPr="009B7B35" w:rsidRDefault="00BE36FB" w:rsidP="001A7107">
            <w:pPr>
              <w:jc w:val="center"/>
              <w:rPr>
                <w:rFonts w:cs="Arial"/>
                <w:sz w:val="20"/>
                <w:szCs w:val="20"/>
                <w:lang w:val="en-US"/>
              </w:rPr>
            </w:pPr>
          </w:p>
        </w:tc>
      </w:tr>
      <w:tr w:rsidR="00BE36FB" w:rsidRPr="009B7B35" w14:paraId="5703DECD" w14:textId="77777777" w:rsidTr="001A7107">
        <w:tc>
          <w:tcPr>
            <w:tcW w:w="1512" w:type="pct"/>
          </w:tcPr>
          <w:p w14:paraId="21B0547F" w14:textId="77777777" w:rsidR="00BE36FB" w:rsidRPr="009B7B35" w:rsidRDefault="00BE36FB" w:rsidP="001A7107">
            <w:pPr>
              <w:rPr>
                <w:rFonts w:cs="Arial"/>
                <w:sz w:val="20"/>
                <w:szCs w:val="20"/>
                <w:lang w:val="en-US"/>
              </w:rPr>
            </w:pPr>
            <w:r w:rsidRPr="009B7B35">
              <w:rPr>
                <w:rFonts w:cs="Arial"/>
                <w:sz w:val="20"/>
                <w:szCs w:val="20"/>
                <w:lang w:val="en-US"/>
              </w:rPr>
              <w:t>Pongamia pinnata</w:t>
            </w:r>
          </w:p>
        </w:tc>
        <w:tc>
          <w:tcPr>
            <w:tcW w:w="1137" w:type="pct"/>
          </w:tcPr>
          <w:p w14:paraId="04A643E3" w14:textId="77777777" w:rsidR="00BE36FB" w:rsidRPr="009B7B35" w:rsidRDefault="00BE36FB" w:rsidP="001A7107">
            <w:pPr>
              <w:rPr>
                <w:rFonts w:cs="Arial"/>
                <w:sz w:val="20"/>
                <w:szCs w:val="20"/>
                <w:lang w:val="en-US"/>
              </w:rPr>
            </w:pPr>
          </w:p>
        </w:tc>
        <w:tc>
          <w:tcPr>
            <w:tcW w:w="588" w:type="pct"/>
            <w:vAlign w:val="center"/>
          </w:tcPr>
          <w:p w14:paraId="79871455"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4E23FBE9"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5583FD60" w14:textId="77777777" w:rsidR="00BE36FB" w:rsidRPr="009B7B35" w:rsidRDefault="00BE36FB" w:rsidP="001A7107">
            <w:pPr>
              <w:jc w:val="center"/>
              <w:rPr>
                <w:rFonts w:cs="Arial"/>
                <w:sz w:val="20"/>
                <w:szCs w:val="20"/>
                <w:lang w:val="en-US"/>
              </w:rPr>
            </w:pPr>
          </w:p>
        </w:tc>
        <w:tc>
          <w:tcPr>
            <w:tcW w:w="587" w:type="pct"/>
            <w:vAlign w:val="center"/>
          </w:tcPr>
          <w:p w14:paraId="439C1CA6"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315BED3A" wp14:editId="2EA8A6AF">
                  <wp:extent cx="180000" cy="180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74C75270" w14:textId="77777777" w:rsidTr="001A7107">
        <w:tc>
          <w:tcPr>
            <w:tcW w:w="1512" w:type="pct"/>
          </w:tcPr>
          <w:p w14:paraId="4A8737C9" w14:textId="77777777" w:rsidR="00BE36FB" w:rsidRPr="009B7B35" w:rsidRDefault="00BE36FB" w:rsidP="001A7107">
            <w:pPr>
              <w:rPr>
                <w:rFonts w:cs="Arial"/>
                <w:sz w:val="20"/>
                <w:szCs w:val="20"/>
                <w:lang w:val="en-US"/>
              </w:rPr>
            </w:pPr>
            <w:r w:rsidRPr="009B7B35">
              <w:rPr>
                <w:rFonts w:cs="Arial"/>
                <w:sz w:val="20"/>
                <w:szCs w:val="20"/>
                <w:lang w:val="en-US"/>
              </w:rPr>
              <w:t>Proiphys cunninghamii</w:t>
            </w:r>
          </w:p>
        </w:tc>
        <w:tc>
          <w:tcPr>
            <w:tcW w:w="1137" w:type="pct"/>
          </w:tcPr>
          <w:p w14:paraId="407407A4" w14:textId="77777777" w:rsidR="00BE36FB" w:rsidRPr="009B7B35" w:rsidRDefault="00BE36FB" w:rsidP="001A7107">
            <w:pPr>
              <w:rPr>
                <w:rFonts w:cs="Arial"/>
                <w:sz w:val="20"/>
                <w:szCs w:val="20"/>
                <w:lang w:val="en-US"/>
              </w:rPr>
            </w:pPr>
            <w:r w:rsidRPr="009B7B35">
              <w:rPr>
                <w:rFonts w:cs="Arial"/>
                <w:sz w:val="20"/>
                <w:szCs w:val="20"/>
                <w:lang w:val="en-US"/>
              </w:rPr>
              <w:t>Brisbane Lily</w:t>
            </w:r>
          </w:p>
        </w:tc>
        <w:tc>
          <w:tcPr>
            <w:tcW w:w="588" w:type="pct"/>
            <w:vAlign w:val="center"/>
          </w:tcPr>
          <w:p w14:paraId="3E55EE74"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01A9A3BF"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63FB946D"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57A02B9" w14:textId="77777777" w:rsidR="00BE36FB" w:rsidRPr="009B7B35" w:rsidRDefault="00BE36FB" w:rsidP="001A7107">
            <w:pPr>
              <w:jc w:val="center"/>
              <w:rPr>
                <w:rFonts w:cs="Arial"/>
                <w:sz w:val="20"/>
                <w:szCs w:val="20"/>
                <w:lang w:val="en-US"/>
              </w:rPr>
            </w:pPr>
          </w:p>
        </w:tc>
      </w:tr>
      <w:tr w:rsidR="00BE36FB" w:rsidRPr="009B7B35" w14:paraId="0E455BAB" w14:textId="77777777" w:rsidTr="001A7107">
        <w:tc>
          <w:tcPr>
            <w:tcW w:w="1512" w:type="pct"/>
          </w:tcPr>
          <w:p w14:paraId="1DB28DB9" w14:textId="77777777" w:rsidR="00BE36FB" w:rsidRPr="009B7B35" w:rsidRDefault="00BE36FB" w:rsidP="001A7107">
            <w:pPr>
              <w:rPr>
                <w:rFonts w:cs="Arial"/>
                <w:sz w:val="20"/>
                <w:szCs w:val="20"/>
                <w:lang w:val="en-US"/>
              </w:rPr>
            </w:pPr>
            <w:r w:rsidRPr="009B7B35">
              <w:rPr>
                <w:rFonts w:cs="Arial"/>
                <w:sz w:val="20"/>
                <w:szCs w:val="20"/>
                <w:lang w:val="en-US"/>
              </w:rPr>
              <w:t>Ptychosperma elegans</w:t>
            </w:r>
          </w:p>
        </w:tc>
        <w:tc>
          <w:tcPr>
            <w:tcW w:w="1137" w:type="pct"/>
          </w:tcPr>
          <w:p w14:paraId="65F3AF92" w14:textId="77777777" w:rsidR="00BE36FB" w:rsidRPr="009B7B35" w:rsidRDefault="00BE36FB" w:rsidP="001A7107">
            <w:pPr>
              <w:rPr>
                <w:rFonts w:cs="Arial"/>
                <w:sz w:val="20"/>
                <w:szCs w:val="20"/>
                <w:lang w:val="en-US"/>
              </w:rPr>
            </w:pPr>
            <w:r w:rsidRPr="009B7B35">
              <w:rPr>
                <w:rFonts w:cs="Arial"/>
                <w:sz w:val="20"/>
                <w:szCs w:val="20"/>
                <w:lang w:val="en-US"/>
              </w:rPr>
              <w:t>Solitaire Palm</w:t>
            </w:r>
          </w:p>
        </w:tc>
        <w:tc>
          <w:tcPr>
            <w:tcW w:w="588" w:type="pct"/>
            <w:vAlign w:val="center"/>
          </w:tcPr>
          <w:p w14:paraId="50A36B2D" w14:textId="77777777" w:rsidR="00BE36FB" w:rsidRPr="009B7B35" w:rsidRDefault="00BE36FB" w:rsidP="001A7107">
            <w:pPr>
              <w:jc w:val="center"/>
              <w:rPr>
                <w:rFonts w:cs="Arial"/>
                <w:sz w:val="20"/>
                <w:szCs w:val="20"/>
                <w:lang w:val="en-US"/>
              </w:rPr>
            </w:pPr>
          </w:p>
        </w:tc>
        <w:tc>
          <w:tcPr>
            <w:tcW w:w="588" w:type="pct"/>
            <w:vAlign w:val="center"/>
          </w:tcPr>
          <w:p w14:paraId="28536FD8" w14:textId="77777777" w:rsidR="00BE36FB" w:rsidRPr="009B7B35" w:rsidRDefault="00BE36FB" w:rsidP="001A7107">
            <w:pPr>
              <w:jc w:val="center"/>
              <w:rPr>
                <w:rFonts w:cs="Arial"/>
                <w:sz w:val="20"/>
                <w:szCs w:val="20"/>
                <w:lang w:val="en-US"/>
              </w:rPr>
            </w:pPr>
          </w:p>
        </w:tc>
        <w:tc>
          <w:tcPr>
            <w:tcW w:w="588" w:type="pct"/>
            <w:vAlign w:val="center"/>
          </w:tcPr>
          <w:p w14:paraId="23F68AC9" w14:textId="77777777" w:rsidR="00BE36FB" w:rsidRPr="009B7B35" w:rsidRDefault="00BE36FB" w:rsidP="001A7107">
            <w:pPr>
              <w:jc w:val="center"/>
              <w:rPr>
                <w:rFonts w:cs="Arial"/>
                <w:sz w:val="20"/>
                <w:szCs w:val="20"/>
                <w:lang w:val="en-US"/>
              </w:rPr>
            </w:pPr>
          </w:p>
        </w:tc>
        <w:tc>
          <w:tcPr>
            <w:tcW w:w="587" w:type="pct"/>
            <w:vAlign w:val="center"/>
          </w:tcPr>
          <w:p w14:paraId="44370847" w14:textId="77777777" w:rsidR="00BE36FB" w:rsidRPr="009B7B35" w:rsidRDefault="00BE36FB" w:rsidP="001A7107">
            <w:pPr>
              <w:jc w:val="center"/>
              <w:rPr>
                <w:rFonts w:cs="Arial"/>
                <w:sz w:val="20"/>
                <w:szCs w:val="20"/>
                <w:lang w:val="en-US"/>
              </w:rPr>
            </w:pPr>
          </w:p>
        </w:tc>
      </w:tr>
      <w:tr w:rsidR="00BE36FB" w:rsidRPr="009B7B35" w14:paraId="256F44E3" w14:textId="77777777" w:rsidTr="001A7107">
        <w:tc>
          <w:tcPr>
            <w:tcW w:w="1512" w:type="pct"/>
          </w:tcPr>
          <w:p w14:paraId="15DA7ABA" w14:textId="77777777" w:rsidR="00BE36FB" w:rsidRPr="009B7B35" w:rsidRDefault="00BE36FB" w:rsidP="001A7107">
            <w:pPr>
              <w:rPr>
                <w:rFonts w:cs="Arial"/>
                <w:sz w:val="20"/>
                <w:szCs w:val="20"/>
                <w:lang w:val="en-US"/>
              </w:rPr>
            </w:pPr>
            <w:r w:rsidRPr="009B7B35">
              <w:rPr>
                <w:rFonts w:cs="Arial"/>
                <w:sz w:val="20"/>
                <w:szCs w:val="20"/>
                <w:lang w:val="en-US"/>
              </w:rPr>
              <w:t>Pultenea stutzeri</w:t>
            </w:r>
          </w:p>
        </w:tc>
        <w:tc>
          <w:tcPr>
            <w:tcW w:w="1137" w:type="pct"/>
          </w:tcPr>
          <w:p w14:paraId="79A2EF9C" w14:textId="77777777" w:rsidR="00BE36FB" w:rsidRPr="009B7B35" w:rsidRDefault="00BE36FB" w:rsidP="001A7107">
            <w:pPr>
              <w:rPr>
                <w:rFonts w:cs="Arial"/>
                <w:sz w:val="20"/>
                <w:szCs w:val="20"/>
                <w:lang w:val="en-US"/>
              </w:rPr>
            </w:pPr>
            <w:r w:rsidRPr="009B7B35">
              <w:rPr>
                <w:rFonts w:cs="Arial"/>
                <w:sz w:val="20"/>
                <w:szCs w:val="20"/>
                <w:lang w:val="en-US"/>
              </w:rPr>
              <w:t>Hard Alder</w:t>
            </w:r>
          </w:p>
        </w:tc>
        <w:tc>
          <w:tcPr>
            <w:tcW w:w="588" w:type="pct"/>
            <w:vAlign w:val="center"/>
          </w:tcPr>
          <w:p w14:paraId="7ACF1CCB"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769091F3"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233C215F"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4D90A5C" w14:textId="77777777" w:rsidR="00BE36FB" w:rsidRPr="009B7B35" w:rsidRDefault="00BE36FB" w:rsidP="001A7107">
            <w:pPr>
              <w:jc w:val="center"/>
              <w:rPr>
                <w:rFonts w:cs="Arial"/>
                <w:sz w:val="20"/>
                <w:szCs w:val="20"/>
                <w:lang w:val="en-US"/>
              </w:rPr>
            </w:pPr>
          </w:p>
        </w:tc>
      </w:tr>
      <w:tr w:rsidR="00BE36FB" w:rsidRPr="009B7B35" w14:paraId="27A2284A" w14:textId="77777777" w:rsidTr="001A7107">
        <w:tc>
          <w:tcPr>
            <w:tcW w:w="1512" w:type="pct"/>
          </w:tcPr>
          <w:p w14:paraId="38B28DA9" w14:textId="77777777" w:rsidR="00BE36FB" w:rsidRPr="009B7B35" w:rsidRDefault="00BE36FB" w:rsidP="001A7107">
            <w:pPr>
              <w:rPr>
                <w:rFonts w:cs="Arial"/>
                <w:sz w:val="20"/>
                <w:szCs w:val="20"/>
                <w:lang w:val="en-US"/>
              </w:rPr>
            </w:pPr>
            <w:r w:rsidRPr="009B7B35">
              <w:rPr>
                <w:rFonts w:cs="Arial"/>
                <w:sz w:val="20"/>
                <w:szCs w:val="20"/>
                <w:lang w:val="en-US"/>
              </w:rPr>
              <w:t>Pultenea spp.</w:t>
            </w:r>
          </w:p>
        </w:tc>
        <w:tc>
          <w:tcPr>
            <w:tcW w:w="1137" w:type="pct"/>
          </w:tcPr>
          <w:p w14:paraId="34F15407" w14:textId="77777777" w:rsidR="00BE36FB" w:rsidRPr="009B7B35" w:rsidRDefault="00BE36FB" w:rsidP="001A7107">
            <w:pPr>
              <w:rPr>
                <w:rFonts w:cs="Arial"/>
                <w:sz w:val="20"/>
                <w:szCs w:val="20"/>
                <w:lang w:val="en-US"/>
              </w:rPr>
            </w:pPr>
          </w:p>
        </w:tc>
        <w:tc>
          <w:tcPr>
            <w:tcW w:w="588" w:type="pct"/>
            <w:vAlign w:val="center"/>
          </w:tcPr>
          <w:p w14:paraId="29315CE6"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65C59A8D"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68C6F97F"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45E7B04" w14:textId="77777777" w:rsidR="00BE36FB" w:rsidRPr="009B7B35" w:rsidRDefault="00BE36FB" w:rsidP="001A7107">
            <w:pPr>
              <w:jc w:val="center"/>
              <w:rPr>
                <w:rFonts w:cs="Arial"/>
                <w:sz w:val="20"/>
                <w:szCs w:val="20"/>
                <w:lang w:val="en-US"/>
              </w:rPr>
            </w:pPr>
          </w:p>
        </w:tc>
      </w:tr>
      <w:tr w:rsidR="00BE36FB" w:rsidRPr="009B7B35" w14:paraId="460C6D6B" w14:textId="77777777" w:rsidTr="001A7107">
        <w:tc>
          <w:tcPr>
            <w:tcW w:w="1512" w:type="pct"/>
          </w:tcPr>
          <w:p w14:paraId="12F05E93" w14:textId="77777777" w:rsidR="00BE36FB" w:rsidRPr="009B7B35" w:rsidRDefault="00BE36FB" w:rsidP="001A7107">
            <w:pPr>
              <w:rPr>
                <w:rFonts w:cs="Arial"/>
                <w:sz w:val="20"/>
                <w:szCs w:val="20"/>
                <w:lang w:val="en-US"/>
              </w:rPr>
            </w:pPr>
            <w:r w:rsidRPr="009B7B35">
              <w:rPr>
                <w:rFonts w:cs="Arial"/>
                <w:sz w:val="20"/>
                <w:szCs w:val="20"/>
                <w:lang w:val="en-US"/>
              </w:rPr>
              <w:t>Pultenea spp.</w:t>
            </w:r>
          </w:p>
          <w:p w14:paraId="2A68F004" w14:textId="77777777" w:rsidR="00BE36FB" w:rsidRPr="009B7B35" w:rsidRDefault="00BE36FB" w:rsidP="001A7107">
            <w:pPr>
              <w:rPr>
                <w:rFonts w:cs="Arial"/>
                <w:sz w:val="20"/>
                <w:szCs w:val="20"/>
                <w:lang w:val="en-US"/>
              </w:rPr>
            </w:pPr>
            <w:r w:rsidRPr="009B7B35">
              <w:rPr>
                <w:rFonts w:cs="Arial"/>
                <w:sz w:val="20"/>
                <w:szCs w:val="20"/>
                <w:lang w:val="en-US"/>
              </w:rPr>
              <w:t>(suggested P.villose, wallum gold)</w:t>
            </w:r>
          </w:p>
        </w:tc>
        <w:tc>
          <w:tcPr>
            <w:tcW w:w="1137" w:type="pct"/>
          </w:tcPr>
          <w:p w14:paraId="16CC8F4A" w14:textId="77777777" w:rsidR="00BE36FB" w:rsidRPr="009B7B35" w:rsidRDefault="00BE36FB" w:rsidP="001A7107">
            <w:pPr>
              <w:rPr>
                <w:rFonts w:cs="Arial"/>
                <w:sz w:val="20"/>
                <w:szCs w:val="20"/>
                <w:lang w:val="en-US"/>
              </w:rPr>
            </w:pPr>
          </w:p>
        </w:tc>
        <w:tc>
          <w:tcPr>
            <w:tcW w:w="588" w:type="pct"/>
            <w:vAlign w:val="center"/>
          </w:tcPr>
          <w:p w14:paraId="40A1C873"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1993B0F5"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51F85DED"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0382C68" w14:textId="77777777" w:rsidR="00BE36FB" w:rsidRPr="009B7B35" w:rsidRDefault="00BE36FB" w:rsidP="001A7107">
            <w:pPr>
              <w:jc w:val="center"/>
              <w:rPr>
                <w:rFonts w:cs="Arial"/>
                <w:sz w:val="20"/>
                <w:szCs w:val="20"/>
                <w:lang w:val="en-US"/>
              </w:rPr>
            </w:pPr>
          </w:p>
        </w:tc>
      </w:tr>
      <w:tr w:rsidR="00BE36FB" w:rsidRPr="009B7B35" w14:paraId="6AA52691" w14:textId="77777777" w:rsidTr="001A7107">
        <w:tc>
          <w:tcPr>
            <w:tcW w:w="1512" w:type="pct"/>
          </w:tcPr>
          <w:p w14:paraId="65CE8154" w14:textId="77777777" w:rsidR="00BE36FB" w:rsidRPr="009B7B35" w:rsidRDefault="00BE36FB" w:rsidP="001A7107">
            <w:pPr>
              <w:rPr>
                <w:rFonts w:cs="Arial"/>
                <w:sz w:val="20"/>
                <w:szCs w:val="20"/>
                <w:lang w:val="en-US"/>
              </w:rPr>
            </w:pPr>
            <w:r w:rsidRPr="009B7B35">
              <w:rPr>
                <w:rFonts w:cs="Arial"/>
                <w:sz w:val="20"/>
                <w:szCs w:val="20"/>
                <w:lang w:val="en-US"/>
              </w:rPr>
              <w:t>Randia spp.</w:t>
            </w:r>
          </w:p>
          <w:p w14:paraId="3E445D17" w14:textId="77777777" w:rsidR="00BE36FB" w:rsidRPr="009B7B35" w:rsidRDefault="00BE36FB" w:rsidP="001A7107">
            <w:pPr>
              <w:rPr>
                <w:rFonts w:cs="Arial"/>
                <w:sz w:val="20"/>
                <w:szCs w:val="20"/>
                <w:lang w:val="en-US"/>
              </w:rPr>
            </w:pPr>
            <w:r w:rsidRPr="009B7B35">
              <w:rPr>
                <w:rFonts w:cs="Arial"/>
                <w:sz w:val="20"/>
                <w:szCs w:val="20"/>
                <w:lang w:val="en-US"/>
              </w:rPr>
              <w:t>(suggested P. chartacea, fitzalanii)</w:t>
            </w:r>
          </w:p>
        </w:tc>
        <w:tc>
          <w:tcPr>
            <w:tcW w:w="1137" w:type="pct"/>
          </w:tcPr>
          <w:p w14:paraId="5FB41292" w14:textId="77777777" w:rsidR="00BE36FB" w:rsidRPr="009B7B35" w:rsidRDefault="00BE36FB" w:rsidP="001A7107">
            <w:pPr>
              <w:rPr>
                <w:rFonts w:cs="Arial"/>
                <w:sz w:val="20"/>
                <w:szCs w:val="20"/>
                <w:lang w:val="en-US"/>
              </w:rPr>
            </w:pPr>
          </w:p>
        </w:tc>
        <w:tc>
          <w:tcPr>
            <w:tcW w:w="588" w:type="pct"/>
            <w:vAlign w:val="center"/>
          </w:tcPr>
          <w:p w14:paraId="1A39555D"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248CA0F6"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4207BE7B"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E23489B" w14:textId="77777777" w:rsidR="00BE36FB" w:rsidRPr="009B7B35" w:rsidRDefault="00BE36FB" w:rsidP="001A7107">
            <w:pPr>
              <w:jc w:val="center"/>
              <w:rPr>
                <w:rFonts w:cs="Arial"/>
                <w:sz w:val="20"/>
                <w:szCs w:val="20"/>
                <w:lang w:val="en-US"/>
              </w:rPr>
            </w:pPr>
          </w:p>
        </w:tc>
      </w:tr>
      <w:tr w:rsidR="00BE36FB" w:rsidRPr="009B7B35" w14:paraId="4E6B4CAB" w14:textId="77777777" w:rsidTr="001A7107">
        <w:tc>
          <w:tcPr>
            <w:tcW w:w="1512" w:type="pct"/>
          </w:tcPr>
          <w:p w14:paraId="5CC574B9" w14:textId="77777777" w:rsidR="00BE36FB" w:rsidRPr="009B7B35" w:rsidRDefault="00BE36FB" w:rsidP="001A7107">
            <w:pPr>
              <w:rPr>
                <w:rFonts w:cs="Arial"/>
                <w:sz w:val="20"/>
                <w:szCs w:val="20"/>
                <w:lang w:val="en-US"/>
              </w:rPr>
            </w:pPr>
            <w:r w:rsidRPr="009B7B35">
              <w:rPr>
                <w:rFonts w:cs="Arial"/>
                <w:sz w:val="20"/>
                <w:szCs w:val="20"/>
                <w:lang w:val="en-US"/>
              </w:rPr>
              <w:t>Baloskion tetraphyllum</w:t>
            </w:r>
          </w:p>
        </w:tc>
        <w:tc>
          <w:tcPr>
            <w:tcW w:w="1137" w:type="pct"/>
          </w:tcPr>
          <w:p w14:paraId="1E1BB434" w14:textId="77777777" w:rsidR="00BE36FB" w:rsidRPr="009B7B35" w:rsidRDefault="00BE36FB" w:rsidP="001A7107">
            <w:pPr>
              <w:rPr>
                <w:rFonts w:cs="Arial"/>
                <w:sz w:val="20"/>
                <w:szCs w:val="20"/>
                <w:lang w:val="en-US"/>
              </w:rPr>
            </w:pPr>
            <w:r w:rsidRPr="009B7B35">
              <w:rPr>
                <w:rFonts w:cs="Arial"/>
                <w:sz w:val="20"/>
                <w:szCs w:val="20"/>
                <w:lang w:val="en-US"/>
              </w:rPr>
              <w:t>Foxtails</w:t>
            </w:r>
          </w:p>
        </w:tc>
        <w:tc>
          <w:tcPr>
            <w:tcW w:w="588" w:type="pct"/>
            <w:vAlign w:val="center"/>
          </w:tcPr>
          <w:p w14:paraId="27DCDDF3"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5F3B6973"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05494722"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73A9B79" w14:textId="77777777" w:rsidR="00BE36FB" w:rsidRPr="009B7B35" w:rsidRDefault="00BE36FB" w:rsidP="001A7107">
            <w:pPr>
              <w:jc w:val="center"/>
              <w:rPr>
                <w:rFonts w:cs="Arial"/>
                <w:sz w:val="20"/>
                <w:szCs w:val="20"/>
                <w:lang w:val="en-US"/>
              </w:rPr>
            </w:pPr>
          </w:p>
        </w:tc>
      </w:tr>
      <w:tr w:rsidR="00BE36FB" w:rsidRPr="009B7B35" w14:paraId="4B5A275E" w14:textId="77777777" w:rsidTr="001A7107">
        <w:tc>
          <w:tcPr>
            <w:tcW w:w="1512" w:type="pct"/>
          </w:tcPr>
          <w:p w14:paraId="0569228D" w14:textId="77777777" w:rsidR="00BE36FB" w:rsidRPr="009B7B35" w:rsidRDefault="00BE36FB" w:rsidP="001A7107">
            <w:pPr>
              <w:rPr>
                <w:rFonts w:cs="Arial"/>
                <w:sz w:val="20"/>
                <w:szCs w:val="20"/>
                <w:lang w:val="en-US"/>
              </w:rPr>
            </w:pPr>
            <w:r w:rsidRPr="009B7B35">
              <w:rPr>
                <w:rFonts w:cs="Arial"/>
                <w:sz w:val="20"/>
                <w:szCs w:val="20"/>
                <w:lang w:val="en-US"/>
              </w:rPr>
              <w:t>Rhodosphaera rhodanthema</w:t>
            </w:r>
          </w:p>
        </w:tc>
        <w:tc>
          <w:tcPr>
            <w:tcW w:w="1137" w:type="pct"/>
          </w:tcPr>
          <w:p w14:paraId="2D5F3A50" w14:textId="77777777" w:rsidR="00BE36FB" w:rsidRPr="009B7B35" w:rsidRDefault="00BE36FB" w:rsidP="001A7107">
            <w:pPr>
              <w:rPr>
                <w:rFonts w:cs="Arial"/>
                <w:sz w:val="20"/>
                <w:szCs w:val="20"/>
                <w:lang w:val="en-US"/>
              </w:rPr>
            </w:pPr>
            <w:r w:rsidRPr="009B7B35">
              <w:rPr>
                <w:rFonts w:cs="Arial"/>
                <w:sz w:val="20"/>
                <w:szCs w:val="20"/>
                <w:lang w:val="en-US"/>
              </w:rPr>
              <w:t>Deep Yellow Wood</w:t>
            </w:r>
          </w:p>
        </w:tc>
        <w:tc>
          <w:tcPr>
            <w:tcW w:w="588" w:type="pct"/>
            <w:vAlign w:val="center"/>
          </w:tcPr>
          <w:p w14:paraId="394CE6A8"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56397B78"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76428C86"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7215DA07" w14:textId="77777777" w:rsidR="00BE36FB" w:rsidRPr="009B7B35" w:rsidRDefault="00BE36FB" w:rsidP="001A7107">
            <w:pPr>
              <w:jc w:val="center"/>
              <w:rPr>
                <w:rFonts w:cs="Arial"/>
                <w:sz w:val="20"/>
                <w:szCs w:val="20"/>
                <w:lang w:val="en-US"/>
              </w:rPr>
            </w:pPr>
          </w:p>
        </w:tc>
      </w:tr>
      <w:tr w:rsidR="00BE36FB" w:rsidRPr="009B7B35" w14:paraId="582E5B39" w14:textId="77777777" w:rsidTr="001A7107">
        <w:tc>
          <w:tcPr>
            <w:tcW w:w="1512" w:type="pct"/>
          </w:tcPr>
          <w:p w14:paraId="5CA51F7B" w14:textId="77777777" w:rsidR="00BE36FB" w:rsidRPr="009B7B35" w:rsidRDefault="00BE36FB" w:rsidP="001A7107">
            <w:pPr>
              <w:rPr>
                <w:rFonts w:cs="Arial"/>
                <w:sz w:val="20"/>
                <w:szCs w:val="20"/>
                <w:lang w:val="en-US"/>
              </w:rPr>
            </w:pPr>
            <w:r w:rsidRPr="009B7B35">
              <w:rPr>
                <w:rFonts w:cs="Arial"/>
                <w:sz w:val="20"/>
                <w:szCs w:val="20"/>
                <w:lang w:val="en-US"/>
              </w:rPr>
              <w:t>Ricinocarpus pinifolius prostrate form</w:t>
            </w:r>
          </w:p>
        </w:tc>
        <w:tc>
          <w:tcPr>
            <w:tcW w:w="1137" w:type="pct"/>
          </w:tcPr>
          <w:p w14:paraId="45B5A5D3" w14:textId="77777777" w:rsidR="00BE36FB" w:rsidRPr="009B7B35" w:rsidRDefault="00BE36FB" w:rsidP="001A7107">
            <w:pPr>
              <w:rPr>
                <w:rFonts w:cs="Arial"/>
                <w:sz w:val="20"/>
                <w:szCs w:val="20"/>
                <w:lang w:val="en-US"/>
              </w:rPr>
            </w:pPr>
            <w:r w:rsidRPr="009B7B35">
              <w:rPr>
                <w:rFonts w:cs="Arial"/>
                <w:sz w:val="20"/>
                <w:szCs w:val="20"/>
                <w:lang w:val="en-US"/>
              </w:rPr>
              <w:t>Wedding Bush</w:t>
            </w:r>
          </w:p>
        </w:tc>
        <w:tc>
          <w:tcPr>
            <w:tcW w:w="588" w:type="pct"/>
            <w:vAlign w:val="center"/>
          </w:tcPr>
          <w:p w14:paraId="64A757F5"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02E636B6"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54CD9C63"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EF56B9D" w14:textId="77777777" w:rsidR="00BE36FB" w:rsidRPr="009B7B35" w:rsidRDefault="00BE36FB" w:rsidP="001A7107">
            <w:pPr>
              <w:jc w:val="center"/>
              <w:rPr>
                <w:rFonts w:cs="Arial"/>
                <w:sz w:val="20"/>
                <w:szCs w:val="20"/>
                <w:lang w:val="en-US"/>
              </w:rPr>
            </w:pPr>
          </w:p>
        </w:tc>
      </w:tr>
      <w:tr w:rsidR="00BE36FB" w:rsidRPr="009B7B35" w14:paraId="341767FE" w14:textId="77777777" w:rsidTr="001A7107">
        <w:tc>
          <w:tcPr>
            <w:tcW w:w="1512" w:type="pct"/>
          </w:tcPr>
          <w:p w14:paraId="056E76D9" w14:textId="77777777" w:rsidR="00BE36FB" w:rsidRPr="009B7B35" w:rsidRDefault="00BE36FB" w:rsidP="001A7107">
            <w:pPr>
              <w:rPr>
                <w:rFonts w:cs="Arial"/>
                <w:sz w:val="20"/>
                <w:szCs w:val="20"/>
                <w:lang w:val="en-US"/>
              </w:rPr>
            </w:pPr>
            <w:r w:rsidRPr="009B7B35">
              <w:rPr>
                <w:rFonts w:cs="Arial"/>
                <w:sz w:val="20"/>
                <w:szCs w:val="20"/>
                <w:lang w:val="en-US"/>
              </w:rPr>
              <w:t>Scaevola spp.</w:t>
            </w:r>
          </w:p>
        </w:tc>
        <w:tc>
          <w:tcPr>
            <w:tcW w:w="1137" w:type="pct"/>
          </w:tcPr>
          <w:p w14:paraId="79D20DD6" w14:textId="77777777" w:rsidR="00BE36FB" w:rsidRPr="009B7B35" w:rsidRDefault="00BE36FB" w:rsidP="001A7107">
            <w:pPr>
              <w:rPr>
                <w:rFonts w:cs="Arial"/>
                <w:sz w:val="20"/>
                <w:szCs w:val="20"/>
                <w:lang w:val="en-US"/>
              </w:rPr>
            </w:pPr>
          </w:p>
        </w:tc>
        <w:tc>
          <w:tcPr>
            <w:tcW w:w="588" w:type="pct"/>
            <w:vAlign w:val="center"/>
          </w:tcPr>
          <w:p w14:paraId="0A69D4FD" w14:textId="77777777" w:rsidR="00BE36FB" w:rsidRPr="009B7B35" w:rsidRDefault="00BE36FB" w:rsidP="001A7107">
            <w:pPr>
              <w:jc w:val="center"/>
              <w:rPr>
                <w:rFonts w:cs="Arial"/>
                <w:sz w:val="20"/>
                <w:szCs w:val="20"/>
                <w:lang w:val="en-US"/>
              </w:rPr>
            </w:pPr>
          </w:p>
        </w:tc>
        <w:tc>
          <w:tcPr>
            <w:tcW w:w="588" w:type="pct"/>
            <w:vAlign w:val="center"/>
          </w:tcPr>
          <w:p w14:paraId="191CA655" w14:textId="77777777" w:rsidR="00BE36FB" w:rsidRPr="009B7B35" w:rsidRDefault="00BE36FB" w:rsidP="001A7107">
            <w:pPr>
              <w:jc w:val="center"/>
              <w:rPr>
                <w:rFonts w:cs="Arial"/>
                <w:sz w:val="20"/>
                <w:szCs w:val="20"/>
                <w:lang w:val="en-US"/>
              </w:rPr>
            </w:pPr>
          </w:p>
        </w:tc>
        <w:tc>
          <w:tcPr>
            <w:tcW w:w="588" w:type="pct"/>
            <w:vAlign w:val="center"/>
          </w:tcPr>
          <w:p w14:paraId="7B25DC19" w14:textId="77777777" w:rsidR="00BE36FB" w:rsidRPr="009B7B35" w:rsidRDefault="00BE36FB" w:rsidP="001A7107">
            <w:pPr>
              <w:jc w:val="center"/>
              <w:rPr>
                <w:rFonts w:cs="Arial"/>
                <w:sz w:val="20"/>
                <w:szCs w:val="20"/>
                <w:lang w:val="en-US"/>
              </w:rPr>
            </w:pPr>
          </w:p>
        </w:tc>
        <w:tc>
          <w:tcPr>
            <w:tcW w:w="587" w:type="pct"/>
            <w:vAlign w:val="center"/>
          </w:tcPr>
          <w:p w14:paraId="7679A763" w14:textId="77777777" w:rsidR="00BE36FB" w:rsidRPr="009B7B35" w:rsidRDefault="00BE36FB" w:rsidP="001A7107">
            <w:pPr>
              <w:jc w:val="center"/>
              <w:rPr>
                <w:rFonts w:cs="Arial"/>
                <w:sz w:val="20"/>
                <w:szCs w:val="20"/>
                <w:lang w:val="en-US"/>
              </w:rPr>
            </w:pPr>
          </w:p>
        </w:tc>
      </w:tr>
      <w:tr w:rsidR="00BE36FB" w:rsidRPr="009B7B35" w14:paraId="2BAF545C" w14:textId="77777777" w:rsidTr="001A7107">
        <w:tc>
          <w:tcPr>
            <w:tcW w:w="1512" w:type="pct"/>
          </w:tcPr>
          <w:p w14:paraId="00FD4BD3" w14:textId="77777777" w:rsidR="00BE36FB" w:rsidRPr="009B7B35" w:rsidRDefault="00BE36FB" w:rsidP="001A7107">
            <w:pPr>
              <w:rPr>
                <w:rFonts w:cs="Arial"/>
                <w:sz w:val="20"/>
                <w:szCs w:val="20"/>
                <w:lang w:val="en-US"/>
              </w:rPr>
            </w:pPr>
            <w:r w:rsidRPr="009B7B35">
              <w:rPr>
                <w:rFonts w:cs="Arial"/>
                <w:sz w:val="20"/>
                <w:szCs w:val="20"/>
                <w:lang w:val="en-US"/>
              </w:rPr>
              <w:t>Scaevola spp.</w:t>
            </w:r>
          </w:p>
          <w:p w14:paraId="10529B3F" w14:textId="77777777" w:rsidR="00BE36FB" w:rsidRPr="009B7B35" w:rsidRDefault="00BE36FB" w:rsidP="001A7107">
            <w:pPr>
              <w:rPr>
                <w:rFonts w:cs="Arial"/>
                <w:sz w:val="20"/>
                <w:szCs w:val="20"/>
                <w:lang w:val="en-US"/>
              </w:rPr>
            </w:pPr>
            <w:r w:rsidRPr="009B7B35">
              <w:rPr>
                <w:rFonts w:cs="Arial"/>
                <w:sz w:val="20"/>
                <w:szCs w:val="20"/>
                <w:lang w:val="en-US"/>
              </w:rPr>
              <w:t>(Suggested S. aemula, albide, calendulaceae, purple clusters)</w:t>
            </w:r>
          </w:p>
        </w:tc>
        <w:tc>
          <w:tcPr>
            <w:tcW w:w="1137" w:type="pct"/>
          </w:tcPr>
          <w:p w14:paraId="4C1A7F34" w14:textId="77777777" w:rsidR="00BE36FB" w:rsidRPr="009B7B35" w:rsidRDefault="00BE36FB" w:rsidP="001A7107">
            <w:pPr>
              <w:rPr>
                <w:rFonts w:cs="Arial"/>
                <w:sz w:val="20"/>
                <w:szCs w:val="20"/>
                <w:lang w:val="en-US"/>
              </w:rPr>
            </w:pPr>
          </w:p>
        </w:tc>
        <w:tc>
          <w:tcPr>
            <w:tcW w:w="588" w:type="pct"/>
            <w:vAlign w:val="center"/>
          </w:tcPr>
          <w:p w14:paraId="2F8EBF87"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125660BB"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16C9B2BD" w14:textId="77777777" w:rsidR="00BE36FB" w:rsidRPr="009B7B35" w:rsidRDefault="00BE36FB" w:rsidP="001A7107">
            <w:pPr>
              <w:jc w:val="center"/>
              <w:rPr>
                <w:rFonts w:cs="Arial"/>
                <w:sz w:val="20"/>
                <w:szCs w:val="20"/>
                <w:lang w:val="en-US"/>
              </w:rPr>
            </w:pPr>
          </w:p>
        </w:tc>
        <w:tc>
          <w:tcPr>
            <w:tcW w:w="587" w:type="pct"/>
            <w:vAlign w:val="center"/>
          </w:tcPr>
          <w:p w14:paraId="52DAB71A" w14:textId="77777777" w:rsidR="00BE36FB" w:rsidRPr="009B7B35" w:rsidRDefault="00BE36FB" w:rsidP="001A7107">
            <w:pPr>
              <w:jc w:val="center"/>
              <w:rPr>
                <w:rFonts w:cs="Arial"/>
                <w:sz w:val="20"/>
                <w:szCs w:val="20"/>
                <w:lang w:val="en-US"/>
              </w:rPr>
            </w:pPr>
          </w:p>
        </w:tc>
      </w:tr>
      <w:tr w:rsidR="00BE36FB" w:rsidRPr="009B7B35" w14:paraId="5A57B490" w14:textId="77777777" w:rsidTr="001A7107">
        <w:tc>
          <w:tcPr>
            <w:tcW w:w="1512" w:type="pct"/>
          </w:tcPr>
          <w:p w14:paraId="00442731" w14:textId="77777777" w:rsidR="00BE36FB" w:rsidRPr="009B7B35" w:rsidRDefault="00BE36FB" w:rsidP="001A7107">
            <w:pPr>
              <w:rPr>
                <w:rFonts w:cs="Arial"/>
                <w:sz w:val="20"/>
                <w:szCs w:val="20"/>
                <w:lang w:val="en-US"/>
              </w:rPr>
            </w:pPr>
            <w:r w:rsidRPr="009B7B35">
              <w:rPr>
                <w:rFonts w:cs="Arial"/>
                <w:sz w:val="20"/>
                <w:szCs w:val="20"/>
                <w:lang w:val="en-US"/>
              </w:rPr>
              <w:t>Scleranthus biflorus</w:t>
            </w:r>
          </w:p>
        </w:tc>
        <w:tc>
          <w:tcPr>
            <w:tcW w:w="1137" w:type="pct"/>
          </w:tcPr>
          <w:p w14:paraId="51A02724" w14:textId="77777777" w:rsidR="00BE36FB" w:rsidRPr="009B7B35" w:rsidRDefault="00BE36FB" w:rsidP="001A7107">
            <w:pPr>
              <w:rPr>
                <w:rFonts w:cs="Arial"/>
                <w:sz w:val="20"/>
                <w:szCs w:val="20"/>
                <w:lang w:val="en-US"/>
              </w:rPr>
            </w:pPr>
          </w:p>
        </w:tc>
        <w:tc>
          <w:tcPr>
            <w:tcW w:w="588" w:type="pct"/>
            <w:vAlign w:val="center"/>
          </w:tcPr>
          <w:p w14:paraId="080A6D98" w14:textId="77777777" w:rsidR="00BE36FB" w:rsidRPr="009B7B35" w:rsidRDefault="00BE36FB" w:rsidP="001A7107">
            <w:pPr>
              <w:jc w:val="center"/>
              <w:rPr>
                <w:rFonts w:cs="Arial"/>
                <w:sz w:val="20"/>
                <w:szCs w:val="20"/>
                <w:lang w:val="en-US"/>
              </w:rPr>
            </w:pPr>
          </w:p>
        </w:tc>
        <w:tc>
          <w:tcPr>
            <w:tcW w:w="588" w:type="pct"/>
            <w:vAlign w:val="center"/>
          </w:tcPr>
          <w:p w14:paraId="131B1618" w14:textId="77777777" w:rsidR="00BE36FB" w:rsidRPr="009B7B35" w:rsidRDefault="00BE36FB" w:rsidP="001A7107">
            <w:pPr>
              <w:jc w:val="center"/>
              <w:rPr>
                <w:rFonts w:cs="Arial"/>
                <w:sz w:val="20"/>
                <w:szCs w:val="20"/>
                <w:lang w:val="en-US"/>
              </w:rPr>
            </w:pPr>
          </w:p>
        </w:tc>
        <w:tc>
          <w:tcPr>
            <w:tcW w:w="588" w:type="pct"/>
            <w:vAlign w:val="center"/>
          </w:tcPr>
          <w:p w14:paraId="112B6133" w14:textId="77777777" w:rsidR="00BE36FB" w:rsidRPr="009B7B35" w:rsidRDefault="00BE36FB" w:rsidP="001A7107">
            <w:pPr>
              <w:jc w:val="center"/>
              <w:rPr>
                <w:rFonts w:cs="Arial"/>
                <w:sz w:val="20"/>
                <w:szCs w:val="20"/>
                <w:lang w:val="en-US"/>
              </w:rPr>
            </w:pPr>
          </w:p>
        </w:tc>
        <w:tc>
          <w:tcPr>
            <w:tcW w:w="587" w:type="pct"/>
            <w:vAlign w:val="center"/>
          </w:tcPr>
          <w:p w14:paraId="483CAA22" w14:textId="77777777" w:rsidR="00BE36FB" w:rsidRPr="009B7B35" w:rsidRDefault="00BE36FB" w:rsidP="001A7107">
            <w:pPr>
              <w:jc w:val="center"/>
              <w:rPr>
                <w:rFonts w:cs="Arial"/>
                <w:sz w:val="20"/>
                <w:szCs w:val="20"/>
                <w:lang w:val="en-US"/>
              </w:rPr>
            </w:pPr>
          </w:p>
        </w:tc>
      </w:tr>
      <w:tr w:rsidR="00BE36FB" w:rsidRPr="009B7B35" w14:paraId="265A0E91" w14:textId="77777777" w:rsidTr="001A7107">
        <w:tc>
          <w:tcPr>
            <w:tcW w:w="1512" w:type="pct"/>
          </w:tcPr>
          <w:p w14:paraId="71B6ECD3" w14:textId="77777777" w:rsidR="00BE36FB" w:rsidRPr="009B7B35" w:rsidRDefault="00BE36FB" w:rsidP="001A7107">
            <w:pPr>
              <w:rPr>
                <w:rFonts w:cs="Arial"/>
                <w:sz w:val="20"/>
                <w:szCs w:val="20"/>
                <w:lang w:val="en-US"/>
              </w:rPr>
            </w:pPr>
            <w:r w:rsidRPr="009B7B35">
              <w:rPr>
                <w:rFonts w:cs="Arial"/>
                <w:sz w:val="20"/>
                <w:szCs w:val="20"/>
                <w:lang w:val="en-US"/>
              </w:rPr>
              <w:t>Sloanea woollsii</w:t>
            </w:r>
          </w:p>
        </w:tc>
        <w:tc>
          <w:tcPr>
            <w:tcW w:w="1137" w:type="pct"/>
          </w:tcPr>
          <w:p w14:paraId="11A845CE" w14:textId="77777777" w:rsidR="00BE36FB" w:rsidRPr="009B7B35" w:rsidRDefault="00BE36FB" w:rsidP="001A7107">
            <w:pPr>
              <w:rPr>
                <w:rFonts w:cs="Arial"/>
                <w:sz w:val="20"/>
                <w:szCs w:val="20"/>
                <w:lang w:val="en-US"/>
              </w:rPr>
            </w:pPr>
            <w:r w:rsidRPr="009B7B35">
              <w:rPr>
                <w:rFonts w:cs="Arial"/>
                <w:sz w:val="20"/>
                <w:szCs w:val="20"/>
                <w:lang w:val="en-US"/>
              </w:rPr>
              <w:t>Yellow Carabeen</w:t>
            </w:r>
          </w:p>
        </w:tc>
        <w:tc>
          <w:tcPr>
            <w:tcW w:w="588" w:type="pct"/>
            <w:vAlign w:val="center"/>
          </w:tcPr>
          <w:p w14:paraId="7F8A99B8"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0338164B"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19BBE4D5"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84691F3" w14:textId="77777777" w:rsidR="00BE36FB" w:rsidRPr="009B7B35" w:rsidRDefault="00BE36FB" w:rsidP="001A7107">
            <w:pPr>
              <w:jc w:val="center"/>
              <w:rPr>
                <w:rFonts w:cs="Arial"/>
                <w:sz w:val="20"/>
                <w:szCs w:val="20"/>
                <w:lang w:val="en-US"/>
              </w:rPr>
            </w:pPr>
          </w:p>
        </w:tc>
      </w:tr>
      <w:tr w:rsidR="00BE36FB" w:rsidRPr="009B7B35" w14:paraId="58C9ADA5" w14:textId="77777777" w:rsidTr="001A7107">
        <w:tc>
          <w:tcPr>
            <w:tcW w:w="1512" w:type="pct"/>
          </w:tcPr>
          <w:p w14:paraId="67ED8ABE" w14:textId="77777777" w:rsidR="00BE36FB" w:rsidRPr="009B7B35" w:rsidRDefault="00BE36FB" w:rsidP="001A7107">
            <w:pPr>
              <w:rPr>
                <w:rFonts w:cs="Arial"/>
                <w:sz w:val="20"/>
                <w:szCs w:val="20"/>
                <w:lang w:val="en-US"/>
              </w:rPr>
            </w:pPr>
            <w:r w:rsidRPr="009B7B35">
              <w:rPr>
                <w:rFonts w:cs="Arial"/>
                <w:sz w:val="20"/>
                <w:szCs w:val="20"/>
                <w:lang w:val="en-US"/>
              </w:rPr>
              <w:t>Smilax australis</w:t>
            </w:r>
          </w:p>
        </w:tc>
        <w:tc>
          <w:tcPr>
            <w:tcW w:w="1137" w:type="pct"/>
          </w:tcPr>
          <w:p w14:paraId="1EF09276" w14:textId="77777777" w:rsidR="00BE36FB" w:rsidRPr="009B7B35" w:rsidRDefault="00BE36FB" w:rsidP="001A7107">
            <w:pPr>
              <w:rPr>
                <w:rFonts w:cs="Arial"/>
                <w:sz w:val="20"/>
                <w:szCs w:val="20"/>
                <w:lang w:val="en-US"/>
              </w:rPr>
            </w:pPr>
            <w:r w:rsidRPr="009B7B35">
              <w:rPr>
                <w:rFonts w:cs="Arial"/>
                <w:sz w:val="20"/>
                <w:szCs w:val="20"/>
                <w:lang w:val="en-US"/>
              </w:rPr>
              <w:t>Austral sarsparilla /Barbed Wire Vine</w:t>
            </w:r>
          </w:p>
        </w:tc>
        <w:tc>
          <w:tcPr>
            <w:tcW w:w="588" w:type="pct"/>
            <w:vAlign w:val="center"/>
          </w:tcPr>
          <w:p w14:paraId="0E2F80E0" w14:textId="77777777" w:rsidR="00BE36FB" w:rsidRPr="009B7B35" w:rsidRDefault="00BE36FB" w:rsidP="001A7107">
            <w:pPr>
              <w:jc w:val="center"/>
              <w:rPr>
                <w:rFonts w:cs="Arial"/>
                <w:sz w:val="20"/>
                <w:szCs w:val="20"/>
                <w:lang w:val="en-US"/>
              </w:rPr>
            </w:pPr>
          </w:p>
        </w:tc>
        <w:tc>
          <w:tcPr>
            <w:tcW w:w="588" w:type="pct"/>
            <w:vAlign w:val="center"/>
          </w:tcPr>
          <w:p w14:paraId="4F6FDA34" w14:textId="77777777" w:rsidR="00BE36FB" w:rsidRPr="009B7B35" w:rsidRDefault="00BE36FB" w:rsidP="001A7107">
            <w:pPr>
              <w:jc w:val="center"/>
              <w:rPr>
                <w:rFonts w:cs="Arial"/>
                <w:sz w:val="20"/>
                <w:szCs w:val="20"/>
                <w:lang w:val="en-US"/>
              </w:rPr>
            </w:pPr>
          </w:p>
        </w:tc>
        <w:tc>
          <w:tcPr>
            <w:tcW w:w="588" w:type="pct"/>
            <w:vAlign w:val="center"/>
          </w:tcPr>
          <w:p w14:paraId="1112EC03"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DF4F0E1" w14:textId="77777777" w:rsidR="00BE36FB" w:rsidRPr="009B7B35" w:rsidRDefault="00BE36FB" w:rsidP="001A7107">
            <w:pPr>
              <w:jc w:val="center"/>
              <w:rPr>
                <w:rFonts w:cs="Arial"/>
                <w:sz w:val="20"/>
                <w:szCs w:val="20"/>
                <w:lang w:val="en-US"/>
              </w:rPr>
            </w:pPr>
          </w:p>
        </w:tc>
      </w:tr>
      <w:tr w:rsidR="00BE36FB" w:rsidRPr="009B7B35" w14:paraId="64F00D00" w14:textId="77777777" w:rsidTr="001A7107">
        <w:tc>
          <w:tcPr>
            <w:tcW w:w="1512" w:type="pct"/>
          </w:tcPr>
          <w:p w14:paraId="4C177ED6" w14:textId="77777777" w:rsidR="00BE36FB" w:rsidRPr="009B7B35" w:rsidRDefault="00BE36FB" w:rsidP="001A7107">
            <w:pPr>
              <w:rPr>
                <w:rFonts w:cs="Arial"/>
                <w:sz w:val="20"/>
                <w:szCs w:val="20"/>
                <w:lang w:val="en-US"/>
              </w:rPr>
            </w:pPr>
            <w:r w:rsidRPr="009B7B35">
              <w:rPr>
                <w:rFonts w:cs="Arial"/>
                <w:sz w:val="20"/>
                <w:szCs w:val="20"/>
                <w:lang w:val="en-US"/>
              </w:rPr>
              <w:t>Sowerbaea juncea</w:t>
            </w:r>
          </w:p>
        </w:tc>
        <w:tc>
          <w:tcPr>
            <w:tcW w:w="1137" w:type="pct"/>
          </w:tcPr>
          <w:p w14:paraId="3C69C729" w14:textId="77777777" w:rsidR="00BE36FB" w:rsidRPr="009B7B35" w:rsidRDefault="00BE36FB" w:rsidP="001A7107">
            <w:pPr>
              <w:rPr>
                <w:rFonts w:cs="Arial"/>
                <w:sz w:val="20"/>
                <w:szCs w:val="20"/>
                <w:lang w:val="en-US"/>
              </w:rPr>
            </w:pPr>
            <w:r w:rsidRPr="009B7B35">
              <w:rPr>
                <w:rFonts w:cs="Arial"/>
                <w:sz w:val="20"/>
                <w:szCs w:val="20"/>
                <w:lang w:val="en-US"/>
              </w:rPr>
              <w:t>Vanilla Lily</w:t>
            </w:r>
          </w:p>
        </w:tc>
        <w:tc>
          <w:tcPr>
            <w:tcW w:w="588" w:type="pct"/>
            <w:vAlign w:val="center"/>
          </w:tcPr>
          <w:p w14:paraId="410A4D8E"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434E1C60"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26A355E9"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323869C" w14:textId="77777777" w:rsidR="00BE36FB" w:rsidRPr="009B7B35" w:rsidRDefault="00BE36FB" w:rsidP="001A7107">
            <w:pPr>
              <w:jc w:val="center"/>
              <w:rPr>
                <w:rFonts w:cs="Arial"/>
                <w:sz w:val="20"/>
                <w:szCs w:val="20"/>
                <w:lang w:val="en-US"/>
              </w:rPr>
            </w:pPr>
          </w:p>
        </w:tc>
      </w:tr>
      <w:tr w:rsidR="00BE36FB" w:rsidRPr="009B7B35" w14:paraId="31B0A2B4" w14:textId="77777777" w:rsidTr="001A7107">
        <w:tc>
          <w:tcPr>
            <w:tcW w:w="1512" w:type="pct"/>
          </w:tcPr>
          <w:p w14:paraId="682F9C47" w14:textId="77777777" w:rsidR="00BE36FB" w:rsidRPr="009B7B35" w:rsidRDefault="00BE36FB" w:rsidP="001A7107">
            <w:pPr>
              <w:rPr>
                <w:rFonts w:cs="Arial"/>
                <w:sz w:val="20"/>
                <w:szCs w:val="20"/>
                <w:lang w:val="en-US"/>
              </w:rPr>
            </w:pPr>
            <w:r w:rsidRPr="009B7B35">
              <w:rPr>
                <w:rFonts w:cs="Arial"/>
                <w:sz w:val="20"/>
                <w:szCs w:val="20"/>
                <w:lang w:val="en-US"/>
              </w:rPr>
              <w:t>Stenocarpus sinuatus</w:t>
            </w:r>
          </w:p>
        </w:tc>
        <w:tc>
          <w:tcPr>
            <w:tcW w:w="1137" w:type="pct"/>
          </w:tcPr>
          <w:p w14:paraId="058B437C" w14:textId="77777777" w:rsidR="00BE36FB" w:rsidRPr="009B7B35" w:rsidRDefault="00BE36FB" w:rsidP="001A7107">
            <w:pPr>
              <w:rPr>
                <w:rFonts w:cs="Arial"/>
                <w:sz w:val="20"/>
                <w:szCs w:val="20"/>
                <w:lang w:val="en-US"/>
              </w:rPr>
            </w:pPr>
            <w:r w:rsidRPr="009B7B35">
              <w:rPr>
                <w:rFonts w:cs="Arial"/>
                <w:sz w:val="20"/>
                <w:szCs w:val="20"/>
                <w:lang w:val="en-US"/>
              </w:rPr>
              <w:t>Firewheel Tree</w:t>
            </w:r>
          </w:p>
        </w:tc>
        <w:tc>
          <w:tcPr>
            <w:tcW w:w="588" w:type="pct"/>
            <w:vAlign w:val="center"/>
          </w:tcPr>
          <w:p w14:paraId="4AA8B0E8"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44978B59"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04C9B1B9"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48B3B842"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170F4E89" wp14:editId="414491C5">
                  <wp:extent cx="180000" cy="1800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3BB5E511" w14:textId="77777777" w:rsidTr="001A7107">
        <w:tc>
          <w:tcPr>
            <w:tcW w:w="1512" w:type="pct"/>
          </w:tcPr>
          <w:p w14:paraId="605EAE5A" w14:textId="77777777" w:rsidR="00BE36FB" w:rsidRPr="009B7B35" w:rsidRDefault="00BE36FB" w:rsidP="001A7107">
            <w:pPr>
              <w:rPr>
                <w:rFonts w:cs="Arial"/>
                <w:sz w:val="20"/>
                <w:szCs w:val="20"/>
                <w:lang w:val="en-US"/>
              </w:rPr>
            </w:pPr>
            <w:r w:rsidRPr="009B7B35">
              <w:rPr>
                <w:rFonts w:cs="Arial"/>
                <w:sz w:val="20"/>
                <w:szCs w:val="20"/>
                <w:lang w:val="en-US"/>
              </w:rPr>
              <w:t>Stipa verticillata</w:t>
            </w:r>
          </w:p>
        </w:tc>
        <w:tc>
          <w:tcPr>
            <w:tcW w:w="1137" w:type="pct"/>
          </w:tcPr>
          <w:p w14:paraId="2B53A02B" w14:textId="77777777" w:rsidR="00BE36FB" w:rsidRPr="009B7B35" w:rsidRDefault="00BE36FB" w:rsidP="001A7107">
            <w:pPr>
              <w:rPr>
                <w:rFonts w:cs="Arial"/>
                <w:sz w:val="20"/>
                <w:szCs w:val="20"/>
                <w:lang w:val="en-US"/>
              </w:rPr>
            </w:pPr>
            <w:r w:rsidRPr="009B7B35">
              <w:rPr>
                <w:rFonts w:cs="Arial"/>
                <w:sz w:val="20"/>
                <w:szCs w:val="20"/>
                <w:lang w:val="en-US"/>
              </w:rPr>
              <w:t>Slender Bambo Grass</w:t>
            </w:r>
          </w:p>
        </w:tc>
        <w:tc>
          <w:tcPr>
            <w:tcW w:w="588" w:type="pct"/>
            <w:vAlign w:val="center"/>
          </w:tcPr>
          <w:p w14:paraId="4234538F"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6C7668CB" w14:textId="77777777" w:rsidR="00BE36FB" w:rsidRPr="009B7B35" w:rsidRDefault="00BE36FB" w:rsidP="001A7107">
            <w:pPr>
              <w:jc w:val="center"/>
              <w:rPr>
                <w:rFonts w:cs="Arial"/>
                <w:sz w:val="20"/>
                <w:szCs w:val="20"/>
                <w:lang w:val="en-US"/>
              </w:rPr>
            </w:pPr>
          </w:p>
        </w:tc>
        <w:tc>
          <w:tcPr>
            <w:tcW w:w="588" w:type="pct"/>
            <w:vAlign w:val="center"/>
          </w:tcPr>
          <w:p w14:paraId="159F1767"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3519460" w14:textId="77777777" w:rsidR="00BE36FB" w:rsidRPr="009B7B35" w:rsidRDefault="00BE36FB" w:rsidP="001A7107">
            <w:pPr>
              <w:jc w:val="center"/>
              <w:rPr>
                <w:rFonts w:cs="Arial"/>
                <w:sz w:val="20"/>
                <w:szCs w:val="20"/>
                <w:lang w:val="en-US"/>
              </w:rPr>
            </w:pPr>
          </w:p>
        </w:tc>
      </w:tr>
      <w:tr w:rsidR="00BE36FB" w:rsidRPr="009B7B35" w14:paraId="62FE74CA" w14:textId="77777777" w:rsidTr="001A7107">
        <w:tc>
          <w:tcPr>
            <w:tcW w:w="1512" w:type="pct"/>
          </w:tcPr>
          <w:p w14:paraId="4C218DE0" w14:textId="77777777" w:rsidR="00BE36FB" w:rsidRPr="009B7B35" w:rsidRDefault="00BE36FB" w:rsidP="001A7107">
            <w:pPr>
              <w:rPr>
                <w:rFonts w:cs="Arial"/>
                <w:sz w:val="20"/>
                <w:szCs w:val="20"/>
                <w:lang w:val="en-US"/>
              </w:rPr>
            </w:pPr>
            <w:r w:rsidRPr="009B7B35">
              <w:rPr>
                <w:rFonts w:cs="Arial"/>
                <w:sz w:val="20"/>
                <w:szCs w:val="20"/>
                <w:lang w:val="en-US"/>
              </w:rPr>
              <w:t>Sterelitzia reginae</w:t>
            </w:r>
          </w:p>
        </w:tc>
        <w:tc>
          <w:tcPr>
            <w:tcW w:w="1137" w:type="pct"/>
          </w:tcPr>
          <w:p w14:paraId="3E4C95E7" w14:textId="77777777" w:rsidR="00BE36FB" w:rsidRPr="009B7B35" w:rsidRDefault="00BE36FB" w:rsidP="001A7107">
            <w:pPr>
              <w:rPr>
                <w:rFonts w:cs="Arial"/>
                <w:sz w:val="20"/>
                <w:szCs w:val="20"/>
                <w:lang w:val="en-US"/>
              </w:rPr>
            </w:pPr>
            <w:r w:rsidRPr="009B7B35">
              <w:rPr>
                <w:rFonts w:cs="Arial"/>
                <w:sz w:val="20"/>
                <w:szCs w:val="20"/>
                <w:lang w:val="en-US"/>
              </w:rPr>
              <w:t>Bird of Paradise</w:t>
            </w:r>
          </w:p>
        </w:tc>
        <w:tc>
          <w:tcPr>
            <w:tcW w:w="588" w:type="pct"/>
            <w:vAlign w:val="center"/>
          </w:tcPr>
          <w:p w14:paraId="1B1F9C5B" w14:textId="77777777" w:rsidR="00BE36FB" w:rsidRPr="009B7B35" w:rsidRDefault="00BE36FB" w:rsidP="001A7107">
            <w:pPr>
              <w:jc w:val="center"/>
              <w:rPr>
                <w:rFonts w:cs="Arial"/>
                <w:sz w:val="20"/>
                <w:szCs w:val="20"/>
                <w:lang w:val="en-US"/>
              </w:rPr>
            </w:pPr>
          </w:p>
        </w:tc>
        <w:tc>
          <w:tcPr>
            <w:tcW w:w="588" w:type="pct"/>
            <w:vAlign w:val="center"/>
          </w:tcPr>
          <w:p w14:paraId="26BE15F1" w14:textId="77777777" w:rsidR="00BE36FB" w:rsidRPr="009B7B35" w:rsidRDefault="00BE36FB" w:rsidP="001A7107">
            <w:pPr>
              <w:jc w:val="center"/>
              <w:rPr>
                <w:rFonts w:cs="Arial"/>
                <w:sz w:val="20"/>
                <w:szCs w:val="20"/>
                <w:lang w:val="en-US"/>
              </w:rPr>
            </w:pPr>
          </w:p>
        </w:tc>
        <w:tc>
          <w:tcPr>
            <w:tcW w:w="588" w:type="pct"/>
            <w:vAlign w:val="center"/>
          </w:tcPr>
          <w:p w14:paraId="655C91F2" w14:textId="77777777" w:rsidR="00BE36FB" w:rsidRPr="009B7B35" w:rsidRDefault="00BE36FB" w:rsidP="001A7107">
            <w:pPr>
              <w:jc w:val="center"/>
              <w:rPr>
                <w:rFonts w:cs="Arial"/>
                <w:sz w:val="20"/>
                <w:szCs w:val="20"/>
                <w:lang w:val="en-US"/>
              </w:rPr>
            </w:pPr>
          </w:p>
        </w:tc>
        <w:tc>
          <w:tcPr>
            <w:tcW w:w="587" w:type="pct"/>
            <w:vAlign w:val="center"/>
          </w:tcPr>
          <w:p w14:paraId="2B57D120" w14:textId="77777777" w:rsidR="00BE36FB" w:rsidRPr="009B7B35" w:rsidRDefault="00BE36FB" w:rsidP="001A7107">
            <w:pPr>
              <w:jc w:val="center"/>
              <w:rPr>
                <w:rFonts w:cs="Arial"/>
                <w:sz w:val="20"/>
                <w:szCs w:val="20"/>
                <w:lang w:val="en-US"/>
              </w:rPr>
            </w:pPr>
          </w:p>
        </w:tc>
      </w:tr>
      <w:tr w:rsidR="00BE36FB" w:rsidRPr="009B7B35" w14:paraId="36456C9F" w14:textId="77777777" w:rsidTr="001A7107">
        <w:tc>
          <w:tcPr>
            <w:tcW w:w="1512" w:type="pct"/>
          </w:tcPr>
          <w:p w14:paraId="56D3641D" w14:textId="77777777" w:rsidR="00BE36FB" w:rsidRPr="009B7B35" w:rsidRDefault="00BE36FB" w:rsidP="001A7107">
            <w:pPr>
              <w:rPr>
                <w:rFonts w:cs="Arial"/>
                <w:sz w:val="20"/>
                <w:szCs w:val="20"/>
                <w:lang w:val="en-US"/>
              </w:rPr>
            </w:pPr>
            <w:r w:rsidRPr="009B7B35">
              <w:rPr>
                <w:rFonts w:cs="Arial"/>
                <w:sz w:val="20"/>
                <w:szCs w:val="20"/>
                <w:lang w:val="en-US"/>
              </w:rPr>
              <w:t>Stylidium graminifolium</w:t>
            </w:r>
          </w:p>
        </w:tc>
        <w:tc>
          <w:tcPr>
            <w:tcW w:w="1137" w:type="pct"/>
          </w:tcPr>
          <w:p w14:paraId="06B49A9C" w14:textId="77777777" w:rsidR="00BE36FB" w:rsidRPr="009B7B35" w:rsidRDefault="00BE36FB" w:rsidP="001A7107">
            <w:pPr>
              <w:rPr>
                <w:rFonts w:cs="Arial"/>
                <w:sz w:val="20"/>
                <w:szCs w:val="20"/>
                <w:lang w:val="en-US"/>
              </w:rPr>
            </w:pPr>
          </w:p>
        </w:tc>
        <w:tc>
          <w:tcPr>
            <w:tcW w:w="588" w:type="pct"/>
            <w:vAlign w:val="center"/>
          </w:tcPr>
          <w:p w14:paraId="599BFFA1" w14:textId="77777777" w:rsidR="00BE36FB" w:rsidRPr="009B7B35" w:rsidRDefault="00BE36FB" w:rsidP="001A7107">
            <w:pPr>
              <w:jc w:val="center"/>
              <w:rPr>
                <w:rFonts w:cs="Arial"/>
                <w:sz w:val="20"/>
                <w:szCs w:val="20"/>
                <w:lang w:val="en-US"/>
              </w:rPr>
            </w:pPr>
          </w:p>
        </w:tc>
        <w:tc>
          <w:tcPr>
            <w:tcW w:w="588" w:type="pct"/>
            <w:vAlign w:val="center"/>
          </w:tcPr>
          <w:p w14:paraId="50AA9CBA" w14:textId="77777777" w:rsidR="00BE36FB" w:rsidRPr="009B7B35" w:rsidRDefault="00BE36FB" w:rsidP="001A7107">
            <w:pPr>
              <w:jc w:val="center"/>
              <w:rPr>
                <w:rFonts w:cs="Arial"/>
                <w:sz w:val="20"/>
                <w:szCs w:val="20"/>
                <w:lang w:val="en-US"/>
              </w:rPr>
            </w:pPr>
          </w:p>
        </w:tc>
        <w:tc>
          <w:tcPr>
            <w:tcW w:w="588" w:type="pct"/>
            <w:vAlign w:val="center"/>
          </w:tcPr>
          <w:p w14:paraId="3C4B7239" w14:textId="77777777" w:rsidR="00BE36FB" w:rsidRPr="009B7B35" w:rsidRDefault="00BE36FB" w:rsidP="001A7107">
            <w:pPr>
              <w:jc w:val="center"/>
              <w:rPr>
                <w:rFonts w:cs="Arial"/>
                <w:sz w:val="20"/>
                <w:szCs w:val="20"/>
                <w:lang w:val="en-US"/>
              </w:rPr>
            </w:pPr>
          </w:p>
        </w:tc>
        <w:tc>
          <w:tcPr>
            <w:tcW w:w="587" w:type="pct"/>
            <w:vAlign w:val="center"/>
          </w:tcPr>
          <w:p w14:paraId="3569C8B4" w14:textId="77777777" w:rsidR="00BE36FB" w:rsidRPr="009B7B35" w:rsidRDefault="00BE36FB" w:rsidP="001A7107">
            <w:pPr>
              <w:jc w:val="center"/>
              <w:rPr>
                <w:rFonts w:cs="Arial"/>
                <w:sz w:val="20"/>
                <w:szCs w:val="20"/>
                <w:lang w:val="en-US"/>
              </w:rPr>
            </w:pPr>
          </w:p>
        </w:tc>
      </w:tr>
      <w:tr w:rsidR="00BE36FB" w:rsidRPr="009B7B35" w14:paraId="2461AD69" w14:textId="77777777" w:rsidTr="001A7107">
        <w:tc>
          <w:tcPr>
            <w:tcW w:w="1512" w:type="pct"/>
          </w:tcPr>
          <w:p w14:paraId="2064D154" w14:textId="77777777" w:rsidR="00BE36FB" w:rsidRPr="009B7B35" w:rsidRDefault="00BE36FB" w:rsidP="001A7107">
            <w:pPr>
              <w:rPr>
                <w:rFonts w:cs="Arial"/>
                <w:sz w:val="20"/>
                <w:szCs w:val="20"/>
                <w:lang w:val="en-US"/>
              </w:rPr>
            </w:pPr>
            <w:r w:rsidRPr="009B7B35">
              <w:rPr>
                <w:rFonts w:cs="Arial"/>
                <w:sz w:val="20"/>
                <w:szCs w:val="20"/>
                <w:lang w:val="en-US"/>
              </w:rPr>
              <w:t>Syncarpia glomulifera</w:t>
            </w:r>
          </w:p>
        </w:tc>
        <w:tc>
          <w:tcPr>
            <w:tcW w:w="1137" w:type="pct"/>
          </w:tcPr>
          <w:p w14:paraId="56BF3485" w14:textId="77777777" w:rsidR="00BE36FB" w:rsidRPr="009B7B35" w:rsidRDefault="00BE36FB" w:rsidP="001A7107">
            <w:pPr>
              <w:rPr>
                <w:rFonts w:cs="Arial"/>
                <w:sz w:val="20"/>
                <w:szCs w:val="20"/>
                <w:lang w:val="en-US"/>
              </w:rPr>
            </w:pPr>
            <w:r w:rsidRPr="009B7B35">
              <w:rPr>
                <w:rFonts w:cs="Arial"/>
                <w:sz w:val="20"/>
                <w:szCs w:val="20"/>
                <w:lang w:val="en-US"/>
              </w:rPr>
              <w:t>Turpentine</w:t>
            </w:r>
          </w:p>
        </w:tc>
        <w:tc>
          <w:tcPr>
            <w:tcW w:w="588" w:type="pct"/>
            <w:vAlign w:val="center"/>
          </w:tcPr>
          <w:p w14:paraId="004EA438"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63FE99E9"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396367DF"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594B146" w14:textId="77777777" w:rsidR="00BE36FB" w:rsidRPr="009B7B35" w:rsidRDefault="00BE36FB" w:rsidP="001A7107">
            <w:pPr>
              <w:jc w:val="center"/>
              <w:rPr>
                <w:rFonts w:cs="Arial"/>
                <w:sz w:val="20"/>
                <w:szCs w:val="20"/>
                <w:lang w:val="en-US"/>
              </w:rPr>
            </w:pPr>
          </w:p>
        </w:tc>
      </w:tr>
      <w:tr w:rsidR="00BE36FB" w:rsidRPr="009B7B35" w14:paraId="7334FB2A" w14:textId="77777777" w:rsidTr="001A7107">
        <w:tc>
          <w:tcPr>
            <w:tcW w:w="1512" w:type="pct"/>
          </w:tcPr>
          <w:p w14:paraId="52466CF6" w14:textId="77777777" w:rsidR="00BE36FB" w:rsidRPr="009B7B35" w:rsidRDefault="00BE36FB" w:rsidP="001A7107">
            <w:pPr>
              <w:rPr>
                <w:rFonts w:cs="Arial"/>
                <w:sz w:val="20"/>
                <w:szCs w:val="20"/>
                <w:lang w:val="en-US"/>
              </w:rPr>
            </w:pPr>
            <w:r w:rsidRPr="009B7B35">
              <w:rPr>
                <w:rFonts w:cs="Arial"/>
                <w:sz w:val="20"/>
                <w:szCs w:val="20"/>
                <w:lang w:val="en-US"/>
              </w:rPr>
              <w:t>Syzygium francissii</w:t>
            </w:r>
          </w:p>
        </w:tc>
        <w:tc>
          <w:tcPr>
            <w:tcW w:w="1137" w:type="pct"/>
          </w:tcPr>
          <w:p w14:paraId="72CEEEB5" w14:textId="77777777" w:rsidR="00BE36FB" w:rsidRPr="009B7B35" w:rsidRDefault="00BE36FB" w:rsidP="001A7107">
            <w:pPr>
              <w:rPr>
                <w:rFonts w:cs="Arial"/>
                <w:sz w:val="20"/>
                <w:szCs w:val="20"/>
                <w:lang w:val="en-US"/>
              </w:rPr>
            </w:pPr>
            <w:r w:rsidRPr="009B7B35">
              <w:rPr>
                <w:rFonts w:cs="Arial"/>
                <w:sz w:val="20"/>
                <w:szCs w:val="20"/>
                <w:lang w:val="en-US"/>
              </w:rPr>
              <w:t>Francis' Water Gum</w:t>
            </w:r>
          </w:p>
        </w:tc>
        <w:tc>
          <w:tcPr>
            <w:tcW w:w="588" w:type="pct"/>
            <w:vAlign w:val="center"/>
          </w:tcPr>
          <w:p w14:paraId="07A891B0"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68E9D132"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6D0B5735"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71D899B" w14:textId="77777777" w:rsidR="00BE36FB" w:rsidRPr="009B7B35" w:rsidRDefault="00BE36FB" w:rsidP="001A7107">
            <w:pPr>
              <w:jc w:val="center"/>
              <w:rPr>
                <w:rFonts w:cs="Arial"/>
                <w:sz w:val="20"/>
                <w:szCs w:val="20"/>
                <w:lang w:val="en-US"/>
              </w:rPr>
            </w:pPr>
          </w:p>
        </w:tc>
      </w:tr>
      <w:tr w:rsidR="00BE36FB" w:rsidRPr="009B7B35" w14:paraId="515EAC73" w14:textId="77777777" w:rsidTr="001A7107">
        <w:tc>
          <w:tcPr>
            <w:tcW w:w="1512" w:type="pct"/>
          </w:tcPr>
          <w:p w14:paraId="52945DC3" w14:textId="77777777" w:rsidR="00BE36FB" w:rsidRPr="009B7B35" w:rsidRDefault="00BE36FB" w:rsidP="001A7107">
            <w:pPr>
              <w:rPr>
                <w:rFonts w:cs="Arial"/>
                <w:sz w:val="20"/>
                <w:szCs w:val="20"/>
                <w:lang w:val="en-US"/>
              </w:rPr>
            </w:pPr>
            <w:r w:rsidRPr="009B7B35">
              <w:rPr>
                <w:rFonts w:cs="Arial"/>
                <w:sz w:val="20"/>
                <w:szCs w:val="20"/>
                <w:lang w:val="en-US"/>
              </w:rPr>
              <w:t>Syzygium australe</w:t>
            </w:r>
          </w:p>
        </w:tc>
        <w:tc>
          <w:tcPr>
            <w:tcW w:w="1137" w:type="pct"/>
          </w:tcPr>
          <w:p w14:paraId="20DDE413" w14:textId="77777777" w:rsidR="00BE36FB" w:rsidRPr="009B7B35" w:rsidRDefault="00BE36FB" w:rsidP="001A7107">
            <w:pPr>
              <w:rPr>
                <w:rFonts w:cs="Arial"/>
                <w:sz w:val="20"/>
                <w:szCs w:val="20"/>
                <w:lang w:val="en-US"/>
              </w:rPr>
            </w:pPr>
            <w:r w:rsidRPr="009B7B35">
              <w:rPr>
                <w:rFonts w:cs="Arial"/>
                <w:sz w:val="20"/>
                <w:szCs w:val="20"/>
                <w:lang w:val="en-US"/>
              </w:rPr>
              <w:t>Scrub Cherry (sth form)</w:t>
            </w:r>
          </w:p>
        </w:tc>
        <w:tc>
          <w:tcPr>
            <w:tcW w:w="588" w:type="pct"/>
            <w:vAlign w:val="center"/>
          </w:tcPr>
          <w:p w14:paraId="7B836565"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7AD5D23E"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77EF8CC8"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BF8C307"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7E990EA6" wp14:editId="50D3FF93">
                  <wp:extent cx="180000" cy="18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62504BE6" w14:textId="77777777" w:rsidTr="001A7107">
        <w:tc>
          <w:tcPr>
            <w:tcW w:w="1512" w:type="pct"/>
          </w:tcPr>
          <w:p w14:paraId="380A8780" w14:textId="77777777" w:rsidR="00BE36FB" w:rsidRPr="009B7B35" w:rsidRDefault="00BE36FB" w:rsidP="001A7107">
            <w:pPr>
              <w:rPr>
                <w:rFonts w:cs="Arial"/>
                <w:sz w:val="20"/>
                <w:szCs w:val="20"/>
                <w:lang w:val="en-US"/>
              </w:rPr>
            </w:pPr>
            <w:r w:rsidRPr="009B7B35">
              <w:rPr>
                <w:rFonts w:cs="Arial"/>
                <w:sz w:val="20"/>
                <w:szCs w:val="20"/>
                <w:lang w:val="en-US"/>
              </w:rPr>
              <w:t>Syzygium fibrosum</w:t>
            </w:r>
          </w:p>
        </w:tc>
        <w:tc>
          <w:tcPr>
            <w:tcW w:w="1137" w:type="pct"/>
          </w:tcPr>
          <w:p w14:paraId="06FD1D88" w14:textId="77777777" w:rsidR="00BE36FB" w:rsidRPr="009B7B35" w:rsidRDefault="00BE36FB" w:rsidP="001A7107">
            <w:pPr>
              <w:rPr>
                <w:rFonts w:cs="Arial"/>
                <w:sz w:val="20"/>
                <w:szCs w:val="20"/>
                <w:lang w:val="en-US"/>
              </w:rPr>
            </w:pPr>
            <w:r w:rsidRPr="009B7B35">
              <w:rPr>
                <w:rFonts w:cs="Arial"/>
                <w:sz w:val="20"/>
                <w:szCs w:val="20"/>
                <w:lang w:val="en-US"/>
              </w:rPr>
              <w:t>Fibrous Satinash</w:t>
            </w:r>
          </w:p>
        </w:tc>
        <w:tc>
          <w:tcPr>
            <w:tcW w:w="588" w:type="pct"/>
            <w:vAlign w:val="center"/>
          </w:tcPr>
          <w:p w14:paraId="3762B0B1"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60213850"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757A2FDF" w14:textId="77777777" w:rsidR="00BE36FB" w:rsidRPr="009B7B35" w:rsidRDefault="00BE36FB" w:rsidP="001A7107">
            <w:pPr>
              <w:jc w:val="center"/>
              <w:rPr>
                <w:rFonts w:cs="Arial"/>
                <w:sz w:val="20"/>
                <w:szCs w:val="20"/>
                <w:lang w:val="en-US"/>
              </w:rPr>
            </w:pPr>
          </w:p>
        </w:tc>
        <w:tc>
          <w:tcPr>
            <w:tcW w:w="587" w:type="pct"/>
            <w:vAlign w:val="center"/>
          </w:tcPr>
          <w:p w14:paraId="6B8B83E8" w14:textId="77777777" w:rsidR="00BE36FB" w:rsidRPr="009B7B35" w:rsidRDefault="00BE36FB" w:rsidP="001A7107">
            <w:pPr>
              <w:jc w:val="center"/>
              <w:rPr>
                <w:rFonts w:cs="Arial"/>
                <w:sz w:val="20"/>
                <w:szCs w:val="20"/>
                <w:lang w:val="en-US"/>
              </w:rPr>
            </w:pPr>
          </w:p>
        </w:tc>
      </w:tr>
      <w:tr w:rsidR="00BE36FB" w:rsidRPr="009B7B35" w14:paraId="5420BF1D" w14:textId="77777777" w:rsidTr="001A7107">
        <w:tc>
          <w:tcPr>
            <w:tcW w:w="1512" w:type="pct"/>
          </w:tcPr>
          <w:p w14:paraId="3D7C90B2" w14:textId="77777777" w:rsidR="00BE36FB" w:rsidRPr="009B7B35" w:rsidRDefault="00BE36FB" w:rsidP="001A7107">
            <w:pPr>
              <w:rPr>
                <w:rFonts w:cs="Arial"/>
                <w:sz w:val="20"/>
                <w:szCs w:val="20"/>
                <w:lang w:val="en-US"/>
              </w:rPr>
            </w:pPr>
            <w:r w:rsidRPr="009B7B35">
              <w:rPr>
                <w:rFonts w:cs="Arial"/>
                <w:sz w:val="20"/>
                <w:szCs w:val="20"/>
                <w:lang w:val="en-US"/>
              </w:rPr>
              <w:t>syzygium leuhmanii</w:t>
            </w:r>
          </w:p>
        </w:tc>
        <w:tc>
          <w:tcPr>
            <w:tcW w:w="1137" w:type="pct"/>
          </w:tcPr>
          <w:p w14:paraId="6EC7C3D8" w14:textId="77777777" w:rsidR="00BE36FB" w:rsidRPr="009B7B35" w:rsidRDefault="00BE36FB" w:rsidP="001A7107">
            <w:pPr>
              <w:rPr>
                <w:rFonts w:cs="Arial"/>
                <w:sz w:val="20"/>
                <w:szCs w:val="20"/>
                <w:lang w:val="en-US"/>
              </w:rPr>
            </w:pPr>
            <w:r w:rsidRPr="009B7B35">
              <w:rPr>
                <w:rFonts w:cs="Arial"/>
                <w:sz w:val="20"/>
                <w:szCs w:val="20"/>
                <w:lang w:val="en-US"/>
              </w:rPr>
              <w:t>Small Leaved Lilly Pilly</w:t>
            </w:r>
          </w:p>
        </w:tc>
        <w:tc>
          <w:tcPr>
            <w:tcW w:w="588" w:type="pct"/>
            <w:vAlign w:val="center"/>
          </w:tcPr>
          <w:p w14:paraId="00B124BE"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26DB3676"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42C51181"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D3D4F87"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70007B3F" wp14:editId="5D851FB7">
                  <wp:extent cx="180000" cy="18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0FB21CE0" w14:textId="77777777" w:rsidTr="001A7107">
        <w:tc>
          <w:tcPr>
            <w:tcW w:w="1512" w:type="pct"/>
          </w:tcPr>
          <w:p w14:paraId="0750A9E9" w14:textId="77777777" w:rsidR="00BE36FB" w:rsidRPr="009B7B35" w:rsidRDefault="00BE36FB" w:rsidP="001A7107">
            <w:pPr>
              <w:rPr>
                <w:rFonts w:cs="Arial"/>
                <w:sz w:val="20"/>
                <w:szCs w:val="20"/>
                <w:lang w:val="en-US"/>
              </w:rPr>
            </w:pPr>
            <w:r w:rsidRPr="009B7B35">
              <w:rPr>
                <w:rFonts w:cs="Arial"/>
                <w:sz w:val="20"/>
                <w:szCs w:val="20"/>
                <w:lang w:val="en-US"/>
              </w:rPr>
              <w:t>Syzygium oleosum</w:t>
            </w:r>
          </w:p>
        </w:tc>
        <w:tc>
          <w:tcPr>
            <w:tcW w:w="1137" w:type="pct"/>
          </w:tcPr>
          <w:p w14:paraId="3C92F21D" w14:textId="77777777" w:rsidR="00BE36FB" w:rsidRPr="009B7B35" w:rsidRDefault="00BE36FB" w:rsidP="001A7107">
            <w:pPr>
              <w:rPr>
                <w:rFonts w:cs="Arial"/>
                <w:sz w:val="20"/>
                <w:szCs w:val="20"/>
                <w:lang w:val="en-US"/>
              </w:rPr>
            </w:pPr>
            <w:r w:rsidRPr="009B7B35">
              <w:rPr>
                <w:rFonts w:cs="Arial"/>
                <w:sz w:val="20"/>
                <w:szCs w:val="20"/>
                <w:lang w:val="en-US"/>
              </w:rPr>
              <w:t>Blue Lilly Pilly</w:t>
            </w:r>
          </w:p>
        </w:tc>
        <w:tc>
          <w:tcPr>
            <w:tcW w:w="588" w:type="pct"/>
            <w:vAlign w:val="center"/>
          </w:tcPr>
          <w:p w14:paraId="6C5F0B4A"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1540FE09"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795E6553"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35621AFD"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571E84D3" wp14:editId="48DA6838">
                  <wp:extent cx="180000" cy="18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69D093AF" w14:textId="77777777" w:rsidTr="001A7107">
        <w:tc>
          <w:tcPr>
            <w:tcW w:w="1512" w:type="pct"/>
          </w:tcPr>
          <w:p w14:paraId="3F0A835C" w14:textId="77777777" w:rsidR="00BE36FB" w:rsidRPr="009B7B35" w:rsidRDefault="00BE36FB" w:rsidP="001A7107">
            <w:pPr>
              <w:rPr>
                <w:rFonts w:cs="Arial"/>
                <w:sz w:val="20"/>
                <w:szCs w:val="20"/>
                <w:lang w:val="en-US"/>
              </w:rPr>
            </w:pPr>
            <w:r w:rsidRPr="009B7B35">
              <w:rPr>
                <w:rFonts w:cs="Arial"/>
                <w:sz w:val="20"/>
                <w:szCs w:val="20"/>
                <w:lang w:val="en-US"/>
              </w:rPr>
              <w:t>Syzygium paniculatum</w:t>
            </w:r>
          </w:p>
        </w:tc>
        <w:tc>
          <w:tcPr>
            <w:tcW w:w="1137" w:type="pct"/>
          </w:tcPr>
          <w:p w14:paraId="115E2CED" w14:textId="77777777" w:rsidR="00BE36FB" w:rsidRPr="009B7B35" w:rsidRDefault="00BE36FB" w:rsidP="001A7107">
            <w:pPr>
              <w:rPr>
                <w:rFonts w:cs="Arial"/>
                <w:sz w:val="20"/>
                <w:szCs w:val="20"/>
                <w:lang w:val="en-US"/>
              </w:rPr>
            </w:pPr>
          </w:p>
        </w:tc>
        <w:tc>
          <w:tcPr>
            <w:tcW w:w="588" w:type="pct"/>
            <w:vAlign w:val="center"/>
          </w:tcPr>
          <w:p w14:paraId="64EE4508" w14:textId="77777777" w:rsidR="00BE36FB" w:rsidRPr="009B7B35" w:rsidRDefault="00BE36FB" w:rsidP="001A7107">
            <w:pPr>
              <w:jc w:val="center"/>
              <w:rPr>
                <w:rFonts w:cs="Arial"/>
                <w:sz w:val="20"/>
                <w:szCs w:val="20"/>
                <w:lang w:val="en-US"/>
              </w:rPr>
            </w:pPr>
          </w:p>
        </w:tc>
        <w:tc>
          <w:tcPr>
            <w:tcW w:w="588" w:type="pct"/>
            <w:vAlign w:val="center"/>
          </w:tcPr>
          <w:p w14:paraId="23DB21F1" w14:textId="77777777" w:rsidR="00BE36FB" w:rsidRPr="009B7B35" w:rsidRDefault="00BE36FB" w:rsidP="001A7107">
            <w:pPr>
              <w:jc w:val="center"/>
              <w:rPr>
                <w:rFonts w:cs="Arial"/>
                <w:sz w:val="20"/>
                <w:szCs w:val="20"/>
                <w:lang w:val="en-US"/>
              </w:rPr>
            </w:pPr>
          </w:p>
        </w:tc>
        <w:tc>
          <w:tcPr>
            <w:tcW w:w="588" w:type="pct"/>
            <w:vAlign w:val="center"/>
          </w:tcPr>
          <w:p w14:paraId="28B1F2D1" w14:textId="77777777" w:rsidR="00BE36FB" w:rsidRPr="009B7B35" w:rsidRDefault="00BE36FB" w:rsidP="001A7107">
            <w:pPr>
              <w:jc w:val="center"/>
              <w:rPr>
                <w:rFonts w:cs="Arial"/>
                <w:sz w:val="20"/>
                <w:szCs w:val="20"/>
                <w:lang w:val="en-US"/>
              </w:rPr>
            </w:pPr>
          </w:p>
        </w:tc>
        <w:tc>
          <w:tcPr>
            <w:tcW w:w="587" w:type="pct"/>
            <w:vAlign w:val="center"/>
          </w:tcPr>
          <w:p w14:paraId="4DBD14B7" w14:textId="77777777" w:rsidR="00BE36FB" w:rsidRPr="009B7B35" w:rsidRDefault="00BE36FB" w:rsidP="001A7107">
            <w:pPr>
              <w:jc w:val="center"/>
              <w:rPr>
                <w:rFonts w:cs="Arial"/>
                <w:sz w:val="20"/>
                <w:szCs w:val="20"/>
                <w:lang w:val="en-US"/>
              </w:rPr>
            </w:pPr>
          </w:p>
        </w:tc>
      </w:tr>
      <w:tr w:rsidR="00BE36FB" w:rsidRPr="009B7B35" w14:paraId="4F228009" w14:textId="77777777" w:rsidTr="001A7107">
        <w:tc>
          <w:tcPr>
            <w:tcW w:w="1512" w:type="pct"/>
          </w:tcPr>
          <w:p w14:paraId="01BE8D4D" w14:textId="77777777" w:rsidR="00BE36FB" w:rsidRPr="009B7B35" w:rsidRDefault="00BE36FB" w:rsidP="001A7107">
            <w:pPr>
              <w:rPr>
                <w:rFonts w:cs="Arial"/>
                <w:sz w:val="20"/>
                <w:szCs w:val="20"/>
                <w:lang w:val="en-US"/>
              </w:rPr>
            </w:pPr>
            <w:r w:rsidRPr="009B7B35">
              <w:rPr>
                <w:rFonts w:cs="Arial"/>
                <w:sz w:val="20"/>
                <w:szCs w:val="20"/>
                <w:lang w:val="en-US"/>
              </w:rPr>
              <w:t>Syzygium spp.</w:t>
            </w:r>
          </w:p>
        </w:tc>
        <w:tc>
          <w:tcPr>
            <w:tcW w:w="1137" w:type="pct"/>
          </w:tcPr>
          <w:p w14:paraId="063F6598" w14:textId="77777777" w:rsidR="00BE36FB" w:rsidRPr="009B7B35" w:rsidRDefault="00BE36FB" w:rsidP="001A7107">
            <w:pPr>
              <w:rPr>
                <w:rFonts w:cs="Arial"/>
                <w:sz w:val="20"/>
                <w:szCs w:val="20"/>
                <w:lang w:val="en-US"/>
              </w:rPr>
            </w:pPr>
          </w:p>
        </w:tc>
        <w:tc>
          <w:tcPr>
            <w:tcW w:w="588" w:type="pct"/>
            <w:vAlign w:val="center"/>
          </w:tcPr>
          <w:p w14:paraId="4929288D" w14:textId="77777777" w:rsidR="00BE36FB" w:rsidRPr="009B7B35" w:rsidRDefault="00BE36FB" w:rsidP="001A7107">
            <w:pPr>
              <w:jc w:val="center"/>
              <w:rPr>
                <w:rFonts w:cs="Arial"/>
                <w:sz w:val="20"/>
                <w:szCs w:val="20"/>
                <w:lang w:val="en-US"/>
              </w:rPr>
            </w:pPr>
            <w:r w:rsidRPr="009B7B35">
              <w:rPr>
                <w:rFonts w:cs="Arial"/>
                <w:sz w:val="20"/>
                <w:szCs w:val="20"/>
                <w:lang w:val="en-US"/>
              </w:rPr>
              <w:t>Various</w:t>
            </w:r>
          </w:p>
        </w:tc>
        <w:tc>
          <w:tcPr>
            <w:tcW w:w="588" w:type="pct"/>
            <w:vAlign w:val="center"/>
          </w:tcPr>
          <w:p w14:paraId="4B0579C3" w14:textId="77777777" w:rsidR="00BE36FB" w:rsidRPr="009B7B35" w:rsidRDefault="00BE36FB" w:rsidP="001A7107">
            <w:pPr>
              <w:jc w:val="center"/>
              <w:rPr>
                <w:rFonts w:cs="Arial"/>
                <w:sz w:val="20"/>
                <w:szCs w:val="20"/>
                <w:lang w:val="en-US"/>
              </w:rPr>
            </w:pPr>
            <w:r w:rsidRPr="009B7B35">
              <w:rPr>
                <w:rFonts w:cs="Arial"/>
                <w:sz w:val="20"/>
                <w:szCs w:val="20"/>
                <w:lang w:val="en-US"/>
              </w:rPr>
              <w:t>Sizes</w:t>
            </w:r>
          </w:p>
        </w:tc>
        <w:tc>
          <w:tcPr>
            <w:tcW w:w="588" w:type="pct"/>
            <w:vAlign w:val="center"/>
          </w:tcPr>
          <w:p w14:paraId="2C1D0283"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6FF618CE"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7DDD16D0" wp14:editId="25C12E0A">
                  <wp:extent cx="180000" cy="1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2CD7F693" w14:textId="77777777" w:rsidTr="001A7107">
        <w:tc>
          <w:tcPr>
            <w:tcW w:w="1512" w:type="pct"/>
          </w:tcPr>
          <w:p w14:paraId="7996B401" w14:textId="77777777" w:rsidR="00BE36FB" w:rsidRPr="009B7B35" w:rsidRDefault="00BE36FB" w:rsidP="001A7107">
            <w:pPr>
              <w:rPr>
                <w:rFonts w:cs="Arial"/>
                <w:sz w:val="20"/>
                <w:szCs w:val="20"/>
                <w:lang w:val="en-US"/>
              </w:rPr>
            </w:pPr>
            <w:r w:rsidRPr="009B7B35">
              <w:rPr>
                <w:rFonts w:cs="Arial"/>
                <w:sz w:val="20"/>
                <w:szCs w:val="20"/>
                <w:lang w:val="en-US"/>
              </w:rPr>
              <w:t>Tecomanthe hillii</w:t>
            </w:r>
          </w:p>
        </w:tc>
        <w:tc>
          <w:tcPr>
            <w:tcW w:w="1137" w:type="pct"/>
          </w:tcPr>
          <w:p w14:paraId="2584894B" w14:textId="77777777" w:rsidR="00BE36FB" w:rsidRPr="009B7B35" w:rsidRDefault="00BE36FB" w:rsidP="001A7107">
            <w:pPr>
              <w:rPr>
                <w:rFonts w:cs="Arial"/>
                <w:sz w:val="20"/>
                <w:szCs w:val="20"/>
                <w:lang w:val="en-US"/>
              </w:rPr>
            </w:pPr>
            <w:r w:rsidRPr="009B7B35">
              <w:rPr>
                <w:rFonts w:cs="Arial"/>
                <w:sz w:val="20"/>
                <w:szCs w:val="20"/>
                <w:lang w:val="en-US"/>
              </w:rPr>
              <w:t>Fraser Island Creepervine</w:t>
            </w:r>
          </w:p>
        </w:tc>
        <w:tc>
          <w:tcPr>
            <w:tcW w:w="588" w:type="pct"/>
            <w:vAlign w:val="center"/>
          </w:tcPr>
          <w:p w14:paraId="6893D0B2"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09BA1D53" w14:textId="77777777" w:rsidR="00BE36FB" w:rsidRPr="009B7B35" w:rsidRDefault="00BE36FB" w:rsidP="001A7107">
            <w:pPr>
              <w:jc w:val="center"/>
              <w:rPr>
                <w:rFonts w:cs="Arial"/>
                <w:sz w:val="20"/>
                <w:szCs w:val="20"/>
                <w:lang w:val="en-US"/>
              </w:rPr>
            </w:pPr>
            <w:r w:rsidRPr="009B7B35">
              <w:rPr>
                <w:rFonts w:cs="Arial"/>
                <w:sz w:val="20"/>
                <w:szCs w:val="20"/>
                <w:lang w:val="en-US"/>
              </w:rPr>
              <w:t>Vine</w:t>
            </w:r>
          </w:p>
        </w:tc>
        <w:tc>
          <w:tcPr>
            <w:tcW w:w="588" w:type="pct"/>
            <w:vAlign w:val="center"/>
          </w:tcPr>
          <w:p w14:paraId="4403B8C4"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5DD41935" w14:textId="77777777" w:rsidR="00BE36FB" w:rsidRPr="009B7B35" w:rsidRDefault="00BE36FB" w:rsidP="001A7107">
            <w:pPr>
              <w:jc w:val="center"/>
              <w:rPr>
                <w:rFonts w:cs="Arial"/>
                <w:sz w:val="20"/>
                <w:szCs w:val="20"/>
                <w:lang w:val="en-US"/>
              </w:rPr>
            </w:pPr>
          </w:p>
        </w:tc>
      </w:tr>
      <w:tr w:rsidR="00BE36FB" w:rsidRPr="009B7B35" w14:paraId="06CC73AE" w14:textId="77777777" w:rsidTr="001A7107">
        <w:tc>
          <w:tcPr>
            <w:tcW w:w="1512" w:type="pct"/>
          </w:tcPr>
          <w:p w14:paraId="741B2397" w14:textId="77777777" w:rsidR="00BE36FB" w:rsidRPr="009B7B35" w:rsidRDefault="00BE36FB" w:rsidP="001A7107">
            <w:pPr>
              <w:rPr>
                <w:rFonts w:cs="Arial"/>
                <w:sz w:val="20"/>
                <w:szCs w:val="20"/>
                <w:lang w:val="en-US"/>
              </w:rPr>
            </w:pPr>
            <w:r w:rsidRPr="009B7B35">
              <w:rPr>
                <w:rFonts w:cs="Arial"/>
                <w:sz w:val="20"/>
                <w:szCs w:val="20"/>
                <w:lang w:val="en-US"/>
              </w:rPr>
              <w:t>Tecomanthe spp. Roaring meg</w:t>
            </w:r>
          </w:p>
        </w:tc>
        <w:tc>
          <w:tcPr>
            <w:tcW w:w="1137" w:type="pct"/>
          </w:tcPr>
          <w:p w14:paraId="50314EEA" w14:textId="77777777" w:rsidR="00BE36FB" w:rsidRPr="009B7B35" w:rsidRDefault="00BE36FB" w:rsidP="001A7107">
            <w:pPr>
              <w:rPr>
                <w:rFonts w:cs="Arial"/>
                <w:sz w:val="20"/>
                <w:szCs w:val="20"/>
                <w:lang w:val="en-US"/>
              </w:rPr>
            </w:pPr>
          </w:p>
        </w:tc>
        <w:tc>
          <w:tcPr>
            <w:tcW w:w="588" w:type="pct"/>
            <w:vAlign w:val="center"/>
          </w:tcPr>
          <w:p w14:paraId="0EAD58FA"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2B3B2CDD" w14:textId="77777777" w:rsidR="00BE36FB" w:rsidRPr="009B7B35" w:rsidRDefault="00BE36FB" w:rsidP="001A7107">
            <w:pPr>
              <w:jc w:val="center"/>
              <w:rPr>
                <w:rFonts w:cs="Arial"/>
                <w:sz w:val="20"/>
                <w:szCs w:val="20"/>
                <w:lang w:val="en-US"/>
              </w:rPr>
            </w:pPr>
            <w:r w:rsidRPr="009B7B35">
              <w:rPr>
                <w:rFonts w:cs="Arial"/>
                <w:sz w:val="20"/>
                <w:szCs w:val="20"/>
                <w:lang w:val="en-US"/>
              </w:rPr>
              <w:t>Vine</w:t>
            </w:r>
          </w:p>
        </w:tc>
        <w:tc>
          <w:tcPr>
            <w:tcW w:w="588" w:type="pct"/>
            <w:vAlign w:val="center"/>
          </w:tcPr>
          <w:p w14:paraId="1834DD0D" w14:textId="77777777" w:rsidR="00BE36FB" w:rsidRPr="009B7B35" w:rsidRDefault="00BE36FB" w:rsidP="001A7107">
            <w:pPr>
              <w:jc w:val="center"/>
              <w:rPr>
                <w:rFonts w:cs="Arial"/>
                <w:sz w:val="20"/>
                <w:szCs w:val="20"/>
                <w:lang w:val="en-US"/>
              </w:rPr>
            </w:pPr>
          </w:p>
        </w:tc>
        <w:tc>
          <w:tcPr>
            <w:tcW w:w="587" w:type="pct"/>
            <w:vAlign w:val="center"/>
          </w:tcPr>
          <w:p w14:paraId="3F10E921" w14:textId="77777777" w:rsidR="00BE36FB" w:rsidRPr="009B7B35" w:rsidRDefault="00BE36FB" w:rsidP="001A7107">
            <w:pPr>
              <w:jc w:val="center"/>
              <w:rPr>
                <w:rFonts w:cs="Arial"/>
                <w:sz w:val="20"/>
                <w:szCs w:val="20"/>
                <w:lang w:val="en-US"/>
              </w:rPr>
            </w:pPr>
          </w:p>
        </w:tc>
      </w:tr>
      <w:tr w:rsidR="00BE36FB" w:rsidRPr="009B7B35" w14:paraId="087B5D3F" w14:textId="77777777" w:rsidTr="001A7107">
        <w:tc>
          <w:tcPr>
            <w:tcW w:w="1512" w:type="pct"/>
          </w:tcPr>
          <w:p w14:paraId="6C7E81C5" w14:textId="77777777" w:rsidR="00BE36FB" w:rsidRPr="009B7B35" w:rsidRDefault="00BE36FB" w:rsidP="001A7107">
            <w:pPr>
              <w:rPr>
                <w:rFonts w:cs="Arial"/>
                <w:sz w:val="20"/>
                <w:szCs w:val="20"/>
                <w:lang w:val="en-US"/>
              </w:rPr>
            </w:pPr>
            <w:r w:rsidRPr="009B7B35">
              <w:rPr>
                <w:rFonts w:cs="Arial"/>
                <w:sz w:val="20"/>
                <w:szCs w:val="20"/>
                <w:lang w:val="en-US"/>
              </w:rPr>
              <w:t>Terminalia sericocarpa</w:t>
            </w:r>
          </w:p>
        </w:tc>
        <w:tc>
          <w:tcPr>
            <w:tcW w:w="1137" w:type="pct"/>
          </w:tcPr>
          <w:p w14:paraId="4C455F2C" w14:textId="77777777" w:rsidR="00BE36FB" w:rsidRPr="009B7B35" w:rsidRDefault="00BE36FB" w:rsidP="001A7107">
            <w:pPr>
              <w:rPr>
                <w:rFonts w:cs="Arial"/>
                <w:sz w:val="20"/>
                <w:szCs w:val="20"/>
                <w:lang w:val="en-US"/>
              </w:rPr>
            </w:pPr>
            <w:r w:rsidRPr="009B7B35">
              <w:rPr>
                <w:rFonts w:cs="Arial"/>
                <w:sz w:val="20"/>
                <w:szCs w:val="20"/>
                <w:lang w:val="en-US"/>
              </w:rPr>
              <w:t>Damson Tree</w:t>
            </w:r>
          </w:p>
        </w:tc>
        <w:tc>
          <w:tcPr>
            <w:tcW w:w="588" w:type="pct"/>
            <w:vAlign w:val="center"/>
          </w:tcPr>
          <w:p w14:paraId="1C60F786" w14:textId="77777777" w:rsidR="00BE36FB" w:rsidRPr="009B7B35" w:rsidRDefault="00BE36FB" w:rsidP="001A7107">
            <w:pPr>
              <w:jc w:val="center"/>
              <w:rPr>
                <w:rFonts w:cs="Arial"/>
                <w:sz w:val="20"/>
                <w:szCs w:val="20"/>
                <w:lang w:val="en-US"/>
              </w:rPr>
            </w:pPr>
            <w:r w:rsidRPr="009B7B35">
              <w:rPr>
                <w:rFonts w:cs="Arial"/>
                <w:sz w:val="20"/>
                <w:szCs w:val="20"/>
                <w:lang w:val="en-US"/>
              </w:rPr>
              <w:t>10</w:t>
            </w:r>
          </w:p>
        </w:tc>
        <w:tc>
          <w:tcPr>
            <w:tcW w:w="588" w:type="pct"/>
            <w:vAlign w:val="center"/>
          </w:tcPr>
          <w:p w14:paraId="4F048FAB"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7D08719A" w14:textId="77777777" w:rsidR="00BE36FB" w:rsidRPr="009B7B35" w:rsidRDefault="00BE36FB" w:rsidP="001A7107">
            <w:pPr>
              <w:jc w:val="center"/>
              <w:rPr>
                <w:rFonts w:cs="Arial"/>
                <w:sz w:val="20"/>
                <w:szCs w:val="20"/>
                <w:lang w:val="en-US"/>
              </w:rPr>
            </w:pPr>
          </w:p>
        </w:tc>
        <w:tc>
          <w:tcPr>
            <w:tcW w:w="587" w:type="pct"/>
            <w:vAlign w:val="center"/>
          </w:tcPr>
          <w:p w14:paraId="47FB2305" w14:textId="77777777" w:rsidR="00BE36FB" w:rsidRPr="009B7B35" w:rsidRDefault="00BE36FB" w:rsidP="001A7107">
            <w:pPr>
              <w:jc w:val="center"/>
              <w:rPr>
                <w:rFonts w:cs="Arial"/>
                <w:sz w:val="20"/>
                <w:szCs w:val="20"/>
                <w:lang w:val="en-US"/>
              </w:rPr>
            </w:pPr>
          </w:p>
        </w:tc>
      </w:tr>
      <w:tr w:rsidR="00BE36FB" w:rsidRPr="009B7B35" w14:paraId="1EDBF5A4" w14:textId="77777777" w:rsidTr="001A7107">
        <w:tc>
          <w:tcPr>
            <w:tcW w:w="1512" w:type="pct"/>
          </w:tcPr>
          <w:p w14:paraId="7FB4F8F9" w14:textId="77777777" w:rsidR="00BE36FB" w:rsidRPr="009B7B35" w:rsidRDefault="00BE36FB" w:rsidP="001A7107">
            <w:pPr>
              <w:rPr>
                <w:rFonts w:cs="Arial"/>
                <w:sz w:val="20"/>
                <w:szCs w:val="20"/>
                <w:lang w:val="en-US"/>
              </w:rPr>
            </w:pPr>
            <w:r w:rsidRPr="009B7B35">
              <w:rPr>
                <w:rFonts w:cs="Arial"/>
                <w:sz w:val="20"/>
                <w:szCs w:val="20"/>
                <w:lang w:val="en-US"/>
              </w:rPr>
              <w:t>Tetratheca thymofolia</w:t>
            </w:r>
          </w:p>
        </w:tc>
        <w:tc>
          <w:tcPr>
            <w:tcW w:w="1137" w:type="pct"/>
          </w:tcPr>
          <w:p w14:paraId="5CC06669" w14:textId="77777777" w:rsidR="00BE36FB" w:rsidRPr="009B7B35" w:rsidRDefault="00BE36FB" w:rsidP="001A7107">
            <w:pPr>
              <w:rPr>
                <w:rFonts w:cs="Arial"/>
                <w:sz w:val="20"/>
                <w:szCs w:val="20"/>
                <w:lang w:val="en-US"/>
              </w:rPr>
            </w:pPr>
            <w:r w:rsidRPr="009B7B35">
              <w:rPr>
                <w:rFonts w:cs="Arial"/>
                <w:sz w:val="20"/>
                <w:szCs w:val="20"/>
                <w:lang w:val="en-US"/>
              </w:rPr>
              <w:t>Black–eyed Susan</w:t>
            </w:r>
          </w:p>
        </w:tc>
        <w:tc>
          <w:tcPr>
            <w:tcW w:w="588" w:type="pct"/>
            <w:vAlign w:val="center"/>
          </w:tcPr>
          <w:p w14:paraId="5C25B105"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2D04F5B8"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325352B6"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4198D2CE" w14:textId="77777777" w:rsidR="00BE36FB" w:rsidRPr="009B7B35" w:rsidRDefault="00BE36FB" w:rsidP="001A7107">
            <w:pPr>
              <w:jc w:val="center"/>
              <w:rPr>
                <w:rFonts w:cs="Arial"/>
                <w:sz w:val="20"/>
                <w:szCs w:val="20"/>
                <w:lang w:val="en-US"/>
              </w:rPr>
            </w:pPr>
          </w:p>
        </w:tc>
      </w:tr>
      <w:tr w:rsidR="00BE36FB" w:rsidRPr="009B7B35" w14:paraId="54491758" w14:textId="77777777" w:rsidTr="001A7107">
        <w:tc>
          <w:tcPr>
            <w:tcW w:w="1512" w:type="pct"/>
          </w:tcPr>
          <w:p w14:paraId="776B4F05" w14:textId="77777777" w:rsidR="00BE36FB" w:rsidRPr="009B7B35" w:rsidRDefault="00BE36FB" w:rsidP="001A7107">
            <w:pPr>
              <w:rPr>
                <w:rFonts w:cs="Arial"/>
                <w:sz w:val="20"/>
                <w:szCs w:val="20"/>
                <w:lang w:val="en-US"/>
              </w:rPr>
            </w:pPr>
            <w:r w:rsidRPr="009B7B35">
              <w:rPr>
                <w:rFonts w:cs="Arial"/>
                <w:sz w:val="20"/>
                <w:szCs w:val="20"/>
                <w:lang w:val="en-US"/>
              </w:rPr>
              <w:t>Themeda triandra</w:t>
            </w:r>
          </w:p>
        </w:tc>
        <w:tc>
          <w:tcPr>
            <w:tcW w:w="1137" w:type="pct"/>
          </w:tcPr>
          <w:p w14:paraId="6AC366BA" w14:textId="77777777" w:rsidR="00BE36FB" w:rsidRPr="009B7B35" w:rsidRDefault="00BE36FB" w:rsidP="001A7107">
            <w:pPr>
              <w:rPr>
                <w:rFonts w:cs="Arial"/>
                <w:sz w:val="20"/>
                <w:szCs w:val="20"/>
                <w:lang w:val="en-US"/>
              </w:rPr>
            </w:pPr>
            <w:r w:rsidRPr="009B7B35">
              <w:rPr>
                <w:rFonts w:cs="Arial"/>
                <w:sz w:val="20"/>
                <w:szCs w:val="20"/>
                <w:lang w:val="en-US"/>
              </w:rPr>
              <w:t>Kangeroo Grass</w:t>
            </w:r>
          </w:p>
        </w:tc>
        <w:tc>
          <w:tcPr>
            <w:tcW w:w="588" w:type="pct"/>
            <w:vAlign w:val="center"/>
          </w:tcPr>
          <w:p w14:paraId="6548EDC5"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39D6969A" w14:textId="77777777" w:rsidR="00BE36FB" w:rsidRPr="009B7B35" w:rsidRDefault="00BE36FB" w:rsidP="001A7107">
            <w:pPr>
              <w:jc w:val="center"/>
              <w:rPr>
                <w:rFonts w:cs="Arial"/>
                <w:sz w:val="20"/>
                <w:szCs w:val="20"/>
                <w:lang w:val="en-US"/>
              </w:rPr>
            </w:pPr>
            <w:r w:rsidRPr="009B7B35">
              <w:rPr>
                <w:rFonts w:cs="Arial"/>
                <w:sz w:val="20"/>
                <w:szCs w:val="20"/>
                <w:lang w:val="en-US"/>
              </w:rPr>
              <w:t>1.5</w:t>
            </w:r>
          </w:p>
        </w:tc>
        <w:tc>
          <w:tcPr>
            <w:tcW w:w="588" w:type="pct"/>
            <w:vAlign w:val="center"/>
          </w:tcPr>
          <w:p w14:paraId="785C6B55"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0C8E9079" w14:textId="77777777" w:rsidR="00BE36FB" w:rsidRPr="009B7B35" w:rsidRDefault="00BE36FB" w:rsidP="001A7107">
            <w:pPr>
              <w:jc w:val="center"/>
              <w:rPr>
                <w:rFonts w:cs="Arial"/>
                <w:sz w:val="20"/>
                <w:szCs w:val="20"/>
                <w:lang w:val="en-US"/>
              </w:rPr>
            </w:pPr>
          </w:p>
        </w:tc>
      </w:tr>
      <w:tr w:rsidR="00BE36FB" w:rsidRPr="009B7B35" w14:paraId="357A82F8" w14:textId="77777777" w:rsidTr="001A7107">
        <w:tc>
          <w:tcPr>
            <w:tcW w:w="1512" w:type="pct"/>
          </w:tcPr>
          <w:p w14:paraId="13117D50" w14:textId="77777777" w:rsidR="00BE36FB" w:rsidRPr="009B7B35" w:rsidRDefault="00BE36FB" w:rsidP="001A7107">
            <w:pPr>
              <w:rPr>
                <w:rFonts w:cs="Arial"/>
                <w:sz w:val="20"/>
                <w:szCs w:val="20"/>
                <w:lang w:val="en-US"/>
              </w:rPr>
            </w:pPr>
            <w:r w:rsidRPr="009B7B35">
              <w:rPr>
                <w:rFonts w:cs="Arial"/>
                <w:sz w:val="20"/>
                <w:szCs w:val="20"/>
                <w:lang w:val="en-US"/>
              </w:rPr>
              <w:t>Melastoma malabathricum</w:t>
            </w:r>
          </w:p>
        </w:tc>
        <w:tc>
          <w:tcPr>
            <w:tcW w:w="1137" w:type="pct"/>
          </w:tcPr>
          <w:p w14:paraId="21012095" w14:textId="77777777" w:rsidR="00BE36FB" w:rsidRPr="009B7B35" w:rsidRDefault="00BE36FB" w:rsidP="001A7107">
            <w:pPr>
              <w:rPr>
                <w:rFonts w:cs="Arial"/>
                <w:sz w:val="20"/>
                <w:szCs w:val="20"/>
                <w:lang w:val="en-US"/>
              </w:rPr>
            </w:pPr>
            <w:r w:rsidRPr="009B7B35">
              <w:rPr>
                <w:rFonts w:cs="Arial"/>
                <w:sz w:val="20"/>
                <w:szCs w:val="20"/>
                <w:lang w:val="en-US"/>
              </w:rPr>
              <w:t>Dwarf Lasiandra</w:t>
            </w:r>
          </w:p>
        </w:tc>
        <w:tc>
          <w:tcPr>
            <w:tcW w:w="588" w:type="pct"/>
            <w:vAlign w:val="center"/>
          </w:tcPr>
          <w:p w14:paraId="434BC8A6"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4D5D5DF2"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11E9FE5C" w14:textId="77777777" w:rsidR="00BE36FB" w:rsidRPr="009B7B35" w:rsidRDefault="00BE36FB" w:rsidP="001A7107">
            <w:pPr>
              <w:jc w:val="center"/>
              <w:rPr>
                <w:rFonts w:cs="Arial"/>
                <w:sz w:val="20"/>
                <w:szCs w:val="20"/>
                <w:lang w:val="en-US"/>
              </w:rPr>
            </w:pPr>
          </w:p>
        </w:tc>
        <w:tc>
          <w:tcPr>
            <w:tcW w:w="587" w:type="pct"/>
            <w:vAlign w:val="center"/>
          </w:tcPr>
          <w:p w14:paraId="58CFC30C" w14:textId="77777777" w:rsidR="00BE36FB" w:rsidRPr="009B7B35" w:rsidRDefault="00BE36FB" w:rsidP="001A7107">
            <w:pPr>
              <w:jc w:val="center"/>
              <w:rPr>
                <w:rFonts w:cs="Arial"/>
                <w:sz w:val="20"/>
                <w:szCs w:val="20"/>
                <w:lang w:val="en-US"/>
              </w:rPr>
            </w:pPr>
          </w:p>
        </w:tc>
      </w:tr>
      <w:tr w:rsidR="00BE36FB" w:rsidRPr="009B7B35" w14:paraId="61D632AB" w14:textId="77777777" w:rsidTr="001A7107">
        <w:tc>
          <w:tcPr>
            <w:tcW w:w="1512" w:type="pct"/>
          </w:tcPr>
          <w:p w14:paraId="37FF353E" w14:textId="77777777" w:rsidR="00BE36FB" w:rsidRPr="009B7B35" w:rsidRDefault="00BE36FB" w:rsidP="001A7107">
            <w:pPr>
              <w:rPr>
                <w:rFonts w:cs="Arial"/>
                <w:sz w:val="20"/>
                <w:szCs w:val="20"/>
                <w:lang w:val="en-US"/>
              </w:rPr>
            </w:pPr>
            <w:r w:rsidRPr="009B7B35">
              <w:rPr>
                <w:rFonts w:cs="Arial"/>
                <w:sz w:val="20"/>
                <w:szCs w:val="20"/>
                <w:lang w:val="en-US"/>
              </w:rPr>
              <w:t>Toona australis</w:t>
            </w:r>
          </w:p>
        </w:tc>
        <w:tc>
          <w:tcPr>
            <w:tcW w:w="1137" w:type="pct"/>
          </w:tcPr>
          <w:p w14:paraId="54AA5A7F" w14:textId="77777777" w:rsidR="00BE36FB" w:rsidRPr="009B7B35" w:rsidRDefault="00BE36FB" w:rsidP="001A7107">
            <w:pPr>
              <w:rPr>
                <w:rFonts w:cs="Arial"/>
                <w:sz w:val="20"/>
                <w:szCs w:val="20"/>
                <w:lang w:val="en-US"/>
              </w:rPr>
            </w:pPr>
            <w:r w:rsidRPr="009B7B35">
              <w:rPr>
                <w:rFonts w:cs="Arial"/>
                <w:sz w:val="20"/>
                <w:szCs w:val="20"/>
                <w:lang w:val="en-US"/>
              </w:rPr>
              <w:t>Red Cedar</w:t>
            </w:r>
          </w:p>
        </w:tc>
        <w:tc>
          <w:tcPr>
            <w:tcW w:w="588" w:type="pct"/>
            <w:vAlign w:val="center"/>
          </w:tcPr>
          <w:p w14:paraId="265EA536" w14:textId="77777777" w:rsidR="00BE36FB" w:rsidRPr="009B7B35" w:rsidRDefault="00BE36FB" w:rsidP="001A7107">
            <w:pPr>
              <w:jc w:val="center"/>
              <w:rPr>
                <w:rFonts w:cs="Arial"/>
                <w:sz w:val="20"/>
                <w:szCs w:val="20"/>
                <w:lang w:val="en-US"/>
              </w:rPr>
            </w:pPr>
            <w:r w:rsidRPr="009B7B35">
              <w:rPr>
                <w:rFonts w:cs="Arial"/>
                <w:sz w:val="20"/>
                <w:szCs w:val="20"/>
                <w:lang w:val="en-US"/>
              </w:rPr>
              <w:t>12</w:t>
            </w:r>
          </w:p>
        </w:tc>
        <w:tc>
          <w:tcPr>
            <w:tcW w:w="588" w:type="pct"/>
            <w:vAlign w:val="center"/>
          </w:tcPr>
          <w:p w14:paraId="17F4D1C0" w14:textId="77777777" w:rsidR="00BE36FB" w:rsidRPr="009B7B35" w:rsidRDefault="00BE36FB" w:rsidP="001A7107">
            <w:pPr>
              <w:jc w:val="center"/>
              <w:rPr>
                <w:rFonts w:cs="Arial"/>
                <w:sz w:val="20"/>
                <w:szCs w:val="20"/>
                <w:lang w:val="en-US"/>
              </w:rPr>
            </w:pPr>
            <w:r w:rsidRPr="009B7B35">
              <w:rPr>
                <w:rFonts w:cs="Arial"/>
                <w:sz w:val="20"/>
                <w:szCs w:val="20"/>
                <w:lang w:val="en-US"/>
              </w:rPr>
              <w:t>6</w:t>
            </w:r>
          </w:p>
        </w:tc>
        <w:tc>
          <w:tcPr>
            <w:tcW w:w="588" w:type="pct"/>
            <w:vAlign w:val="center"/>
          </w:tcPr>
          <w:p w14:paraId="261F7104"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F3F7E1F" w14:textId="77777777" w:rsidR="00BE36FB" w:rsidRPr="009B7B35" w:rsidRDefault="00BE36FB" w:rsidP="001A7107">
            <w:pPr>
              <w:jc w:val="center"/>
              <w:rPr>
                <w:rFonts w:cs="Arial"/>
                <w:sz w:val="20"/>
                <w:szCs w:val="20"/>
                <w:lang w:val="en-US"/>
              </w:rPr>
            </w:pPr>
          </w:p>
        </w:tc>
      </w:tr>
      <w:tr w:rsidR="00BE36FB" w:rsidRPr="009B7B35" w14:paraId="1FB99AC5" w14:textId="77777777" w:rsidTr="001A7107">
        <w:tc>
          <w:tcPr>
            <w:tcW w:w="1512" w:type="pct"/>
          </w:tcPr>
          <w:p w14:paraId="7162A7EE" w14:textId="77777777" w:rsidR="00BE36FB" w:rsidRPr="009B7B35" w:rsidRDefault="00BE36FB" w:rsidP="001A7107">
            <w:pPr>
              <w:rPr>
                <w:rFonts w:cs="Arial"/>
                <w:sz w:val="20"/>
                <w:szCs w:val="20"/>
                <w:lang w:val="en-US"/>
              </w:rPr>
            </w:pPr>
            <w:r w:rsidRPr="009B7B35">
              <w:rPr>
                <w:rFonts w:cs="Arial"/>
                <w:sz w:val="20"/>
                <w:szCs w:val="20"/>
                <w:lang w:val="en-US"/>
              </w:rPr>
              <w:t>Tristaniopsis laurina</w:t>
            </w:r>
          </w:p>
        </w:tc>
        <w:tc>
          <w:tcPr>
            <w:tcW w:w="1137" w:type="pct"/>
          </w:tcPr>
          <w:p w14:paraId="70D13F2F" w14:textId="77777777" w:rsidR="00BE36FB" w:rsidRPr="009B7B35" w:rsidRDefault="00BE36FB" w:rsidP="001A7107">
            <w:pPr>
              <w:rPr>
                <w:rFonts w:cs="Arial"/>
                <w:sz w:val="20"/>
                <w:szCs w:val="20"/>
                <w:lang w:val="en-US"/>
              </w:rPr>
            </w:pPr>
            <w:r w:rsidRPr="009B7B35">
              <w:rPr>
                <w:rFonts w:cs="Arial"/>
                <w:sz w:val="20"/>
                <w:szCs w:val="20"/>
                <w:lang w:val="en-US"/>
              </w:rPr>
              <w:t>Water Gum</w:t>
            </w:r>
          </w:p>
        </w:tc>
        <w:tc>
          <w:tcPr>
            <w:tcW w:w="588" w:type="pct"/>
            <w:vAlign w:val="center"/>
          </w:tcPr>
          <w:p w14:paraId="2671D34E" w14:textId="77777777" w:rsidR="00BE36FB" w:rsidRPr="009B7B35" w:rsidRDefault="00BE36FB" w:rsidP="001A7107">
            <w:pPr>
              <w:jc w:val="center"/>
              <w:rPr>
                <w:rFonts w:cs="Arial"/>
                <w:sz w:val="20"/>
                <w:szCs w:val="20"/>
                <w:lang w:val="en-US"/>
              </w:rPr>
            </w:pPr>
            <w:r w:rsidRPr="009B7B35">
              <w:rPr>
                <w:rFonts w:cs="Arial"/>
                <w:sz w:val="20"/>
                <w:szCs w:val="20"/>
                <w:lang w:val="en-US"/>
              </w:rPr>
              <w:t>7</w:t>
            </w:r>
          </w:p>
        </w:tc>
        <w:tc>
          <w:tcPr>
            <w:tcW w:w="588" w:type="pct"/>
            <w:vAlign w:val="center"/>
          </w:tcPr>
          <w:p w14:paraId="77C41A18"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392A04DA"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1C08FC09" w14:textId="77777777" w:rsidR="00BE36FB" w:rsidRPr="009B7B35" w:rsidRDefault="00BE36FB" w:rsidP="001A7107">
            <w:pPr>
              <w:jc w:val="center"/>
              <w:rPr>
                <w:rFonts w:cs="Arial"/>
                <w:sz w:val="20"/>
                <w:szCs w:val="20"/>
                <w:lang w:val="en-US"/>
              </w:rPr>
            </w:pPr>
          </w:p>
        </w:tc>
      </w:tr>
      <w:tr w:rsidR="00BE36FB" w:rsidRPr="009B7B35" w14:paraId="1B73E300" w14:textId="77777777" w:rsidTr="001A7107">
        <w:tc>
          <w:tcPr>
            <w:tcW w:w="1512" w:type="pct"/>
          </w:tcPr>
          <w:p w14:paraId="2E734591" w14:textId="77777777" w:rsidR="00BE36FB" w:rsidRPr="009B7B35" w:rsidRDefault="00BE36FB" w:rsidP="001A7107">
            <w:pPr>
              <w:rPr>
                <w:rFonts w:cs="Arial"/>
                <w:sz w:val="20"/>
                <w:szCs w:val="20"/>
                <w:lang w:val="en-US"/>
              </w:rPr>
            </w:pPr>
            <w:r w:rsidRPr="009B7B35">
              <w:rPr>
                <w:rFonts w:cs="Arial"/>
                <w:sz w:val="20"/>
                <w:szCs w:val="20"/>
                <w:lang w:val="en-US"/>
              </w:rPr>
              <w:t>Viola hederacea</w:t>
            </w:r>
          </w:p>
        </w:tc>
        <w:tc>
          <w:tcPr>
            <w:tcW w:w="1137" w:type="pct"/>
          </w:tcPr>
          <w:p w14:paraId="1740A8E4" w14:textId="77777777" w:rsidR="00BE36FB" w:rsidRPr="009B7B35" w:rsidRDefault="00BE36FB" w:rsidP="001A7107">
            <w:pPr>
              <w:rPr>
                <w:rFonts w:cs="Arial"/>
                <w:sz w:val="20"/>
                <w:szCs w:val="20"/>
                <w:lang w:val="en-US"/>
              </w:rPr>
            </w:pPr>
            <w:r w:rsidRPr="009B7B35">
              <w:rPr>
                <w:rFonts w:cs="Arial"/>
                <w:sz w:val="20"/>
                <w:szCs w:val="20"/>
                <w:lang w:val="en-US"/>
              </w:rPr>
              <w:t>Native Violet</w:t>
            </w:r>
          </w:p>
        </w:tc>
        <w:tc>
          <w:tcPr>
            <w:tcW w:w="588" w:type="pct"/>
            <w:vAlign w:val="center"/>
          </w:tcPr>
          <w:p w14:paraId="269BE4CF" w14:textId="77777777" w:rsidR="00BE36FB" w:rsidRPr="009B7B35" w:rsidRDefault="00BE36FB" w:rsidP="001A7107">
            <w:pPr>
              <w:jc w:val="center"/>
              <w:rPr>
                <w:rFonts w:cs="Arial"/>
                <w:sz w:val="20"/>
                <w:szCs w:val="20"/>
                <w:lang w:val="en-US"/>
              </w:rPr>
            </w:pPr>
            <w:r w:rsidRPr="009B7B35">
              <w:rPr>
                <w:rFonts w:cs="Arial"/>
                <w:sz w:val="20"/>
                <w:szCs w:val="20"/>
                <w:lang w:val="en-US"/>
              </w:rPr>
              <w:t>0.3</w:t>
            </w:r>
          </w:p>
        </w:tc>
        <w:tc>
          <w:tcPr>
            <w:tcW w:w="588" w:type="pct"/>
            <w:vAlign w:val="center"/>
          </w:tcPr>
          <w:p w14:paraId="45A59298"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7BF5B04D"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1B796712" w14:textId="77777777" w:rsidR="00BE36FB" w:rsidRPr="009B7B35" w:rsidRDefault="00BE36FB" w:rsidP="001A7107">
            <w:pPr>
              <w:jc w:val="center"/>
              <w:rPr>
                <w:rFonts w:cs="Arial"/>
                <w:sz w:val="20"/>
                <w:szCs w:val="20"/>
                <w:lang w:val="en-US"/>
              </w:rPr>
            </w:pPr>
          </w:p>
        </w:tc>
      </w:tr>
      <w:tr w:rsidR="00BE36FB" w:rsidRPr="009B7B35" w14:paraId="5CA2AC47" w14:textId="77777777" w:rsidTr="001A7107">
        <w:tc>
          <w:tcPr>
            <w:tcW w:w="1512" w:type="pct"/>
          </w:tcPr>
          <w:p w14:paraId="47D83916" w14:textId="77777777" w:rsidR="00BE36FB" w:rsidRPr="009B7B35" w:rsidRDefault="00BE36FB" w:rsidP="001A7107">
            <w:pPr>
              <w:rPr>
                <w:rFonts w:cs="Arial"/>
                <w:sz w:val="20"/>
                <w:szCs w:val="20"/>
                <w:lang w:val="en-US"/>
              </w:rPr>
            </w:pPr>
            <w:r w:rsidRPr="009B7B35">
              <w:rPr>
                <w:rFonts w:cs="Arial"/>
                <w:sz w:val="20"/>
                <w:szCs w:val="20"/>
                <w:lang w:val="en-US"/>
              </w:rPr>
              <w:t>Vitex ovata (compact)</w:t>
            </w:r>
          </w:p>
        </w:tc>
        <w:tc>
          <w:tcPr>
            <w:tcW w:w="1137" w:type="pct"/>
          </w:tcPr>
          <w:p w14:paraId="4D12E2C6" w14:textId="77777777" w:rsidR="00BE36FB" w:rsidRPr="009B7B35" w:rsidRDefault="00BE36FB" w:rsidP="001A7107">
            <w:pPr>
              <w:rPr>
                <w:rFonts w:cs="Arial"/>
                <w:sz w:val="20"/>
                <w:szCs w:val="20"/>
                <w:lang w:val="en-US"/>
              </w:rPr>
            </w:pPr>
            <w:r w:rsidRPr="009B7B35">
              <w:rPr>
                <w:rFonts w:cs="Arial"/>
                <w:sz w:val="20"/>
                <w:szCs w:val="20"/>
                <w:lang w:val="en-US"/>
              </w:rPr>
              <w:t>Beach Vitex</w:t>
            </w:r>
          </w:p>
        </w:tc>
        <w:tc>
          <w:tcPr>
            <w:tcW w:w="588" w:type="pct"/>
            <w:vAlign w:val="center"/>
          </w:tcPr>
          <w:p w14:paraId="6892A157" w14:textId="77777777" w:rsidR="00BE36FB" w:rsidRPr="009B7B35" w:rsidRDefault="00BE36FB" w:rsidP="001A7107">
            <w:pPr>
              <w:jc w:val="center"/>
              <w:rPr>
                <w:rFonts w:cs="Arial"/>
                <w:sz w:val="20"/>
                <w:szCs w:val="20"/>
                <w:lang w:val="en-US"/>
              </w:rPr>
            </w:pPr>
            <w:r w:rsidRPr="009B7B35">
              <w:rPr>
                <w:rFonts w:cs="Arial"/>
                <w:sz w:val="20"/>
                <w:szCs w:val="20"/>
                <w:lang w:val="en-US"/>
              </w:rPr>
              <w:t>0.5</w:t>
            </w:r>
          </w:p>
        </w:tc>
        <w:tc>
          <w:tcPr>
            <w:tcW w:w="588" w:type="pct"/>
            <w:vAlign w:val="center"/>
          </w:tcPr>
          <w:p w14:paraId="5C447785"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49AA1F41" w14:textId="77777777" w:rsidR="00BE36FB" w:rsidRPr="009B7B35" w:rsidRDefault="00BE36FB" w:rsidP="001A7107">
            <w:pPr>
              <w:jc w:val="center"/>
              <w:rPr>
                <w:rFonts w:cs="Arial"/>
                <w:sz w:val="20"/>
                <w:szCs w:val="20"/>
                <w:lang w:val="en-US"/>
              </w:rPr>
            </w:pPr>
          </w:p>
        </w:tc>
        <w:tc>
          <w:tcPr>
            <w:tcW w:w="587" w:type="pct"/>
            <w:vAlign w:val="center"/>
          </w:tcPr>
          <w:p w14:paraId="1E7DD6B5" w14:textId="77777777" w:rsidR="00BE36FB" w:rsidRPr="009B7B35" w:rsidRDefault="00BE36FB" w:rsidP="001A7107">
            <w:pPr>
              <w:jc w:val="center"/>
              <w:rPr>
                <w:rFonts w:cs="Arial"/>
                <w:sz w:val="20"/>
                <w:szCs w:val="20"/>
                <w:lang w:val="en-US"/>
              </w:rPr>
            </w:pPr>
          </w:p>
        </w:tc>
      </w:tr>
      <w:tr w:rsidR="00BE36FB" w:rsidRPr="009B7B35" w14:paraId="07B2257D" w14:textId="77777777" w:rsidTr="001A7107">
        <w:tc>
          <w:tcPr>
            <w:tcW w:w="1512" w:type="pct"/>
          </w:tcPr>
          <w:p w14:paraId="67B8076B" w14:textId="77777777" w:rsidR="00BE36FB" w:rsidRPr="009B7B35" w:rsidRDefault="00BE36FB" w:rsidP="001A7107">
            <w:pPr>
              <w:rPr>
                <w:rFonts w:cs="Arial"/>
                <w:sz w:val="20"/>
                <w:szCs w:val="20"/>
                <w:lang w:val="en-US"/>
              </w:rPr>
            </w:pPr>
            <w:r w:rsidRPr="009B7B35">
              <w:rPr>
                <w:rFonts w:cs="Arial"/>
                <w:sz w:val="20"/>
                <w:szCs w:val="20"/>
                <w:lang w:val="en-US"/>
              </w:rPr>
              <w:t>Waterhousia floribunda</w:t>
            </w:r>
          </w:p>
        </w:tc>
        <w:tc>
          <w:tcPr>
            <w:tcW w:w="1137" w:type="pct"/>
          </w:tcPr>
          <w:p w14:paraId="1A0175BB" w14:textId="77777777" w:rsidR="00BE36FB" w:rsidRPr="009B7B35" w:rsidRDefault="00BE36FB" w:rsidP="001A7107">
            <w:pPr>
              <w:rPr>
                <w:rFonts w:cs="Arial"/>
                <w:sz w:val="20"/>
                <w:szCs w:val="20"/>
                <w:lang w:val="en-US"/>
              </w:rPr>
            </w:pPr>
            <w:r w:rsidRPr="009B7B35">
              <w:rPr>
                <w:rFonts w:cs="Arial"/>
                <w:sz w:val="20"/>
                <w:szCs w:val="20"/>
                <w:lang w:val="en-US"/>
              </w:rPr>
              <w:t>Weeping Lilly Pilly</w:t>
            </w:r>
          </w:p>
        </w:tc>
        <w:tc>
          <w:tcPr>
            <w:tcW w:w="588" w:type="pct"/>
            <w:vAlign w:val="center"/>
          </w:tcPr>
          <w:p w14:paraId="450E42F4" w14:textId="77777777" w:rsidR="00BE36FB" w:rsidRPr="009B7B35" w:rsidRDefault="00BE36FB" w:rsidP="001A7107">
            <w:pPr>
              <w:jc w:val="center"/>
              <w:rPr>
                <w:rFonts w:cs="Arial"/>
                <w:sz w:val="20"/>
                <w:szCs w:val="20"/>
                <w:lang w:val="en-US"/>
              </w:rPr>
            </w:pPr>
            <w:r w:rsidRPr="009B7B35">
              <w:rPr>
                <w:rFonts w:cs="Arial"/>
                <w:sz w:val="20"/>
                <w:szCs w:val="20"/>
                <w:lang w:val="en-US"/>
              </w:rPr>
              <w:t>8</w:t>
            </w:r>
          </w:p>
        </w:tc>
        <w:tc>
          <w:tcPr>
            <w:tcW w:w="588" w:type="pct"/>
            <w:vAlign w:val="center"/>
          </w:tcPr>
          <w:p w14:paraId="4F2B5113"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4BD215DA"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559D1EC4" w14:textId="77777777" w:rsidR="00BE36FB" w:rsidRPr="009B7B35" w:rsidRDefault="00BE36FB" w:rsidP="001A7107">
            <w:pPr>
              <w:jc w:val="center"/>
              <w:rPr>
                <w:rFonts w:cs="Arial"/>
                <w:sz w:val="20"/>
                <w:szCs w:val="20"/>
                <w:lang w:val="en-US"/>
              </w:rPr>
            </w:pPr>
            <w:r w:rsidRPr="009B7B35">
              <w:rPr>
                <w:rFonts w:cs="Arial"/>
                <w:noProof/>
                <w:sz w:val="20"/>
                <w:szCs w:val="20"/>
              </w:rPr>
              <w:drawing>
                <wp:inline distT="0" distB="0" distL="0" distR="0" wp14:anchorId="7F0FEE80" wp14:editId="213D9F89">
                  <wp:extent cx="180000" cy="18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check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r>
      <w:tr w:rsidR="00BE36FB" w:rsidRPr="009B7B35" w14:paraId="72E535B2" w14:textId="77777777" w:rsidTr="001A7107">
        <w:tc>
          <w:tcPr>
            <w:tcW w:w="1512" w:type="pct"/>
          </w:tcPr>
          <w:p w14:paraId="5854EF8B" w14:textId="77777777" w:rsidR="00BE36FB" w:rsidRPr="009B7B35" w:rsidRDefault="00BE36FB" w:rsidP="001A7107">
            <w:pPr>
              <w:rPr>
                <w:rFonts w:cs="Arial"/>
                <w:sz w:val="20"/>
                <w:szCs w:val="20"/>
                <w:lang w:val="en-US"/>
              </w:rPr>
            </w:pPr>
            <w:r w:rsidRPr="009B7B35">
              <w:rPr>
                <w:rFonts w:cs="Arial"/>
                <w:sz w:val="20"/>
                <w:szCs w:val="20"/>
                <w:lang w:val="en-US"/>
              </w:rPr>
              <w:t>Waterhousia unipunctatum</w:t>
            </w:r>
          </w:p>
        </w:tc>
        <w:tc>
          <w:tcPr>
            <w:tcW w:w="1137" w:type="pct"/>
          </w:tcPr>
          <w:p w14:paraId="4D769E1B" w14:textId="77777777" w:rsidR="00BE36FB" w:rsidRPr="009B7B35" w:rsidRDefault="00BE36FB" w:rsidP="001A7107">
            <w:pPr>
              <w:rPr>
                <w:rFonts w:cs="Arial"/>
                <w:sz w:val="20"/>
                <w:szCs w:val="20"/>
                <w:lang w:val="en-US"/>
              </w:rPr>
            </w:pPr>
            <w:r w:rsidRPr="009B7B35">
              <w:rPr>
                <w:rFonts w:cs="Arial"/>
                <w:sz w:val="20"/>
                <w:szCs w:val="20"/>
                <w:lang w:val="en-US"/>
              </w:rPr>
              <w:t>Roly Poly Satinash</w:t>
            </w:r>
          </w:p>
        </w:tc>
        <w:tc>
          <w:tcPr>
            <w:tcW w:w="588" w:type="pct"/>
            <w:vAlign w:val="center"/>
          </w:tcPr>
          <w:p w14:paraId="5A9C6040" w14:textId="77777777" w:rsidR="00BE36FB" w:rsidRPr="009B7B35" w:rsidRDefault="00BE36FB" w:rsidP="001A7107">
            <w:pPr>
              <w:jc w:val="center"/>
              <w:rPr>
                <w:rFonts w:cs="Arial"/>
                <w:sz w:val="20"/>
                <w:szCs w:val="20"/>
                <w:lang w:val="en-US"/>
              </w:rPr>
            </w:pPr>
            <w:r w:rsidRPr="009B7B35">
              <w:rPr>
                <w:rFonts w:cs="Arial"/>
                <w:sz w:val="20"/>
                <w:szCs w:val="20"/>
                <w:lang w:val="en-US"/>
              </w:rPr>
              <w:t>5</w:t>
            </w:r>
          </w:p>
        </w:tc>
        <w:tc>
          <w:tcPr>
            <w:tcW w:w="588" w:type="pct"/>
            <w:vAlign w:val="center"/>
          </w:tcPr>
          <w:p w14:paraId="3C256D6A" w14:textId="77777777" w:rsidR="00BE36FB" w:rsidRPr="009B7B35" w:rsidRDefault="00BE36FB" w:rsidP="001A7107">
            <w:pPr>
              <w:jc w:val="center"/>
              <w:rPr>
                <w:rFonts w:cs="Arial"/>
                <w:sz w:val="20"/>
                <w:szCs w:val="20"/>
                <w:lang w:val="en-US"/>
              </w:rPr>
            </w:pPr>
            <w:r w:rsidRPr="009B7B35">
              <w:rPr>
                <w:rFonts w:cs="Arial"/>
                <w:sz w:val="20"/>
                <w:szCs w:val="20"/>
                <w:lang w:val="en-US"/>
              </w:rPr>
              <w:t>3</w:t>
            </w:r>
          </w:p>
        </w:tc>
        <w:tc>
          <w:tcPr>
            <w:tcW w:w="588" w:type="pct"/>
            <w:vAlign w:val="center"/>
          </w:tcPr>
          <w:p w14:paraId="02E34025" w14:textId="77777777" w:rsidR="00BE36FB" w:rsidRPr="009B7B35" w:rsidRDefault="00BE36FB" w:rsidP="001A7107">
            <w:pPr>
              <w:jc w:val="center"/>
              <w:rPr>
                <w:rFonts w:cs="Arial"/>
                <w:sz w:val="20"/>
                <w:szCs w:val="20"/>
                <w:lang w:val="en-US"/>
              </w:rPr>
            </w:pPr>
          </w:p>
        </w:tc>
        <w:tc>
          <w:tcPr>
            <w:tcW w:w="587" w:type="pct"/>
            <w:vAlign w:val="center"/>
          </w:tcPr>
          <w:p w14:paraId="63208D9A" w14:textId="77777777" w:rsidR="00BE36FB" w:rsidRPr="009B7B35" w:rsidRDefault="00BE36FB" w:rsidP="001A7107">
            <w:pPr>
              <w:jc w:val="center"/>
              <w:rPr>
                <w:rFonts w:cs="Arial"/>
                <w:sz w:val="20"/>
                <w:szCs w:val="20"/>
                <w:lang w:val="en-US"/>
              </w:rPr>
            </w:pPr>
          </w:p>
        </w:tc>
      </w:tr>
      <w:tr w:rsidR="00BE36FB" w:rsidRPr="009B7B35" w14:paraId="06463E04" w14:textId="77777777" w:rsidTr="001A7107">
        <w:tc>
          <w:tcPr>
            <w:tcW w:w="1512" w:type="pct"/>
          </w:tcPr>
          <w:p w14:paraId="5E49DBF5" w14:textId="77777777" w:rsidR="00BE36FB" w:rsidRPr="009B7B35" w:rsidRDefault="00BE36FB" w:rsidP="001A7107">
            <w:pPr>
              <w:rPr>
                <w:rFonts w:cs="Arial"/>
                <w:sz w:val="20"/>
                <w:szCs w:val="20"/>
                <w:lang w:val="en-US"/>
              </w:rPr>
            </w:pPr>
            <w:r w:rsidRPr="009B7B35">
              <w:rPr>
                <w:rFonts w:cs="Arial"/>
                <w:sz w:val="20"/>
                <w:szCs w:val="20"/>
                <w:lang w:val="en-US"/>
              </w:rPr>
              <w:t>Westringia fruiticosa</w:t>
            </w:r>
          </w:p>
        </w:tc>
        <w:tc>
          <w:tcPr>
            <w:tcW w:w="1137" w:type="pct"/>
          </w:tcPr>
          <w:p w14:paraId="52882E3A" w14:textId="77777777" w:rsidR="00BE36FB" w:rsidRPr="009B7B35" w:rsidRDefault="00BE36FB" w:rsidP="001A7107">
            <w:pPr>
              <w:rPr>
                <w:rFonts w:cs="Arial"/>
                <w:sz w:val="20"/>
                <w:szCs w:val="20"/>
                <w:lang w:val="en-US"/>
              </w:rPr>
            </w:pPr>
            <w:r w:rsidRPr="009B7B35">
              <w:rPr>
                <w:rFonts w:cs="Arial"/>
                <w:sz w:val="20"/>
                <w:szCs w:val="20"/>
                <w:lang w:val="en-US"/>
              </w:rPr>
              <w:t>Coastal Rosemary</w:t>
            </w:r>
          </w:p>
        </w:tc>
        <w:tc>
          <w:tcPr>
            <w:tcW w:w="588" w:type="pct"/>
            <w:vAlign w:val="center"/>
          </w:tcPr>
          <w:p w14:paraId="4D625A4F"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512F7079"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23FAC1C1" w14:textId="77777777" w:rsidR="00BE36FB" w:rsidRPr="009B7B35" w:rsidRDefault="00BE36FB" w:rsidP="001A7107">
            <w:pPr>
              <w:jc w:val="center"/>
              <w:rPr>
                <w:rFonts w:cs="Arial"/>
                <w:sz w:val="20"/>
                <w:szCs w:val="20"/>
                <w:lang w:val="en-US"/>
              </w:rPr>
            </w:pPr>
          </w:p>
        </w:tc>
        <w:tc>
          <w:tcPr>
            <w:tcW w:w="587" w:type="pct"/>
            <w:vAlign w:val="center"/>
          </w:tcPr>
          <w:p w14:paraId="65E7BCE3" w14:textId="77777777" w:rsidR="00BE36FB" w:rsidRPr="009B7B35" w:rsidRDefault="00BE36FB" w:rsidP="001A7107">
            <w:pPr>
              <w:jc w:val="center"/>
              <w:rPr>
                <w:rFonts w:cs="Arial"/>
                <w:sz w:val="20"/>
                <w:szCs w:val="20"/>
                <w:lang w:val="en-US"/>
              </w:rPr>
            </w:pPr>
          </w:p>
        </w:tc>
      </w:tr>
      <w:tr w:rsidR="00BE36FB" w:rsidRPr="009B7B35" w14:paraId="4A26AEC8" w14:textId="77777777" w:rsidTr="001A7107">
        <w:tc>
          <w:tcPr>
            <w:tcW w:w="1512" w:type="pct"/>
          </w:tcPr>
          <w:p w14:paraId="4FC5C1FF" w14:textId="77777777" w:rsidR="00BE36FB" w:rsidRPr="009B7B35" w:rsidRDefault="00BE36FB" w:rsidP="001A7107">
            <w:pPr>
              <w:rPr>
                <w:rFonts w:cs="Arial"/>
                <w:sz w:val="20"/>
                <w:szCs w:val="20"/>
                <w:lang w:val="en-US"/>
              </w:rPr>
            </w:pPr>
            <w:r w:rsidRPr="009B7B35">
              <w:rPr>
                <w:rFonts w:cs="Arial"/>
                <w:sz w:val="20"/>
                <w:szCs w:val="20"/>
                <w:lang w:val="en-US"/>
              </w:rPr>
              <w:t>Xanthorrhoea spp.</w:t>
            </w:r>
          </w:p>
        </w:tc>
        <w:tc>
          <w:tcPr>
            <w:tcW w:w="1137" w:type="pct"/>
          </w:tcPr>
          <w:p w14:paraId="70B0235C" w14:textId="77777777" w:rsidR="00BE36FB" w:rsidRPr="009B7B35" w:rsidRDefault="00BE36FB" w:rsidP="001A7107">
            <w:pPr>
              <w:rPr>
                <w:rFonts w:cs="Arial"/>
                <w:sz w:val="20"/>
                <w:szCs w:val="20"/>
                <w:lang w:val="en-US"/>
              </w:rPr>
            </w:pPr>
            <w:r w:rsidRPr="009B7B35">
              <w:rPr>
                <w:rFonts w:cs="Arial"/>
                <w:sz w:val="20"/>
                <w:szCs w:val="20"/>
                <w:lang w:val="en-US"/>
              </w:rPr>
              <w:t>Grass Trees</w:t>
            </w:r>
          </w:p>
        </w:tc>
        <w:tc>
          <w:tcPr>
            <w:tcW w:w="588" w:type="pct"/>
            <w:vAlign w:val="center"/>
          </w:tcPr>
          <w:p w14:paraId="30496474"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0A9F7C80" w14:textId="77777777" w:rsidR="00BE36FB" w:rsidRPr="009B7B35" w:rsidRDefault="00BE36FB" w:rsidP="001A7107">
            <w:pPr>
              <w:jc w:val="center"/>
              <w:rPr>
                <w:rFonts w:cs="Arial"/>
                <w:sz w:val="20"/>
                <w:szCs w:val="20"/>
                <w:lang w:val="en-US"/>
              </w:rPr>
            </w:pPr>
            <w:r w:rsidRPr="009B7B35">
              <w:rPr>
                <w:rFonts w:cs="Arial"/>
                <w:sz w:val="20"/>
                <w:szCs w:val="20"/>
                <w:lang w:val="en-US"/>
              </w:rPr>
              <w:t>1</w:t>
            </w:r>
          </w:p>
        </w:tc>
        <w:tc>
          <w:tcPr>
            <w:tcW w:w="588" w:type="pct"/>
            <w:vAlign w:val="center"/>
          </w:tcPr>
          <w:p w14:paraId="2378037B" w14:textId="77777777" w:rsidR="00BE36FB" w:rsidRPr="009B7B35" w:rsidRDefault="00BE36FB" w:rsidP="001A7107">
            <w:pPr>
              <w:jc w:val="center"/>
              <w:rPr>
                <w:rFonts w:cs="Arial"/>
                <w:sz w:val="20"/>
                <w:szCs w:val="20"/>
                <w:lang w:val="en-US"/>
              </w:rPr>
            </w:pPr>
            <w:r w:rsidRPr="009B7B35">
              <w:rPr>
                <w:rFonts w:cs="Arial"/>
                <w:sz w:val="20"/>
                <w:szCs w:val="20"/>
                <w:lang w:val="en-US"/>
              </w:rPr>
              <w:t>Y</w:t>
            </w:r>
          </w:p>
        </w:tc>
        <w:tc>
          <w:tcPr>
            <w:tcW w:w="587" w:type="pct"/>
            <w:vAlign w:val="center"/>
          </w:tcPr>
          <w:p w14:paraId="4E2A5C60" w14:textId="77777777" w:rsidR="00BE36FB" w:rsidRPr="009B7B35" w:rsidRDefault="00BE36FB" w:rsidP="001A7107">
            <w:pPr>
              <w:jc w:val="center"/>
              <w:rPr>
                <w:rFonts w:cs="Arial"/>
                <w:sz w:val="20"/>
                <w:szCs w:val="20"/>
                <w:lang w:val="en-US"/>
              </w:rPr>
            </w:pPr>
          </w:p>
        </w:tc>
      </w:tr>
      <w:tr w:rsidR="00BE36FB" w:rsidRPr="009B7B35" w14:paraId="4AEE8477" w14:textId="77777777" w:rsidTr="001A7107">
        <w:tc>
          <w:tcPr>
            <w:tcW w:w="1512" w:type="pct"/>
          </w:tcPr>
          <w:p w14:paraId="490C1BAD" w14:textId="77777777" w:rsidR="00BE36FB" w:rsidRPr="009B7B35" w:rsidRDefault="00BE36FB" w:rsidP="001A7107">
            <w:pPr>
              <w:rPr>
                <w:rFonts w:cs="Arial"/>
                <w:sz w:val="20"/>
                <w:szCs w:val="20"/>
                <w:lang w:val="en-US"/>
              </w:rPr>
            </w:pPr>
            <w:r w:rsidRPr="009B7B35">
              <w:rPr>
                <w:rFonts w:cs="Arial"/>
                <w:sz w:val="20"/>
                <w:szCs w:val="20"/>
                <w:lang w:val="en-US"/>
              </w:rPr>
              <w:t>Xanthostemon chrysanthus</w:t>
            </w:r>
          </w:p>
        </w:tc>
        <w:tc>
          <w:tcPr>
            <w:tcW w:w="1137" w:type="pct"/>
          </w:tcPr>
          <w:p w14:paraId="708EA0B3" w14:textId="77777777" w:rsidR="00BE36FB" w:rsidRPr="009B7B35" w:rsidRDefault="00BE36FB" w:rsidP="001A7107">
            <w:pPr>
              <w:rPr>
                <w:rFonts w:cs="Arial"/>
                <w:sz w:val="20"/>
                <w:szCs w:val="20"/>
                <w:lang w:val="en-US"/>
              </w:rPr>
            </w:pPr>
            <w:r w:rsidRPr="009B7B35">
              <w:rPr>
                <w:rFonts w:cs="Arial"/>
                <w:sz w:val="20"/>
                <w:szCs w:val="20"/>
                <w:lang w:val="en-US"/>
              </w:rPr>
              <w:t>Golden Penda</w:t>
            </w:r>
          </w:p>
        </w:tc>
        <w:tc>
          <w:tcPr>
            <w:tcW w:w="588" w:type="pct"/>
            <w:vAlign w:val="center"/>
          </w:tcPr>
          <w:p w14:paraId="2AB7DF9A" w14:textId="77777777" w:rsidR="00BE36FB" w:rsidRPr="009B7B35" w:rsidRDefault="00BE36FB" w:rsidP="001A7107">
            <w:pPr>
              <w:jc w:val="center"/>
              <w:rPr>
                <w:rFonts w:cs="Arial"/>
                <w:sz w:val="20"/>
                <w:szCs w:val="20"/>
                <w:lang w:val="en-US"/>
              </w:rPr>
            </w:pPr>
            <w:r w:rsidRPr="009B7B35">
              <w:rPr>
                <w:rFonts w:cs="Arial"/>
                <w:sz w:val="20"/>
                <w:szCs w:val="20"/>
                <w:lang w:val="en-US"/>
              </w:rPr>
              <w:t>4</w:t>
            </w:r>
          </w:p>
        </w:tc>
        <w:tc>
          <w:tcPr>
            <w:tcW w:w="588" w:type="pct"/>
            <w:vAlign w:val="center"/>
          </w:tcPr>
          <w:p w14:paraId="6B09D210" w14:textId="77777777" w:rsidR="00BE36FB" w:rsidRPr="009B7B35" w:rsidRDefault="00BE36FB" w:rsidP="001A7107">
            <w:pPr>
              <w:jc w:val="center"/>
              <w:rPr>
                <w:rFonts w:cs="Arial"/>
                <w:sz w:val="20"/>
                <w:szCs w:val="20"/>
                <w:lang w:val="en-US"/>
              </w:rPr>
            </w:pPr>
            <w:r w:rsidRPr="009B7B35">
              <w:rPr>
                <w:rFonts w:cs="Arial"/>
                <w:sz w:val="20"/>
                <w:szCs w:val="20"/>
                <w:lang w:val="en-US"/>
              </w:rPr>
              <w:t>2</w:t>
            </w:r>
          </w:p>
        </w:tc>
        <w:tc>
          <w:tcPr>
            <w:tcW w:w="588" w:type="pct"/>
            <w:vAlign w:val="center"/>
          </w:tcPr>
          <w:p w14:paraId="72CC95B6" w14:textId="77777777" w:rsidR="00BE36FB" w:rsidRPr="009B7B35" w:rsidRDefault="00BE36FB" w:rsidP="001A7107">
            <w:pPr>
              <w:jc w:val="center"/>
              <w:rPr>
                <w:rFonts w:cs="Arial"/>
                <w:sz w:val="20"/>
                <w:szCs w:val="20"/>
                <w:lang w:val="en-US"/>
              </w:rPr>
            </w:pPr>
            <w:r w:rsidRPr="009B7B35">
              <w:rPr>
                <w:rFonts w:cs="Arial"/>
                <w:sz w:val="20"/>
                <w:szCs w:val="20"/>
                <w:lang w:val="en-US"/>
              </w:rPr>
              <w:t>N</w:t>
            </w:r>
          </w:p>
        </w:tc>
        <w:tc>
          <w:tcPr>
            <w:tcW w:w="587" w:type="pct"/>
            <w:vAlign w:val="center"/>
          </w:tcPr>
          <w:p w14:paraId="2D986885" w14:textId="77777777" w:rsidR="00BE36FB" w:rsidRPr="009B7B35" w:rsidRDefault="00BE36FB" w:rsidP="001A7107">
            <w:pPr>
              <w:jc w:val="center"/>
              <w:rPr>
                <w:rFonts w:cs="Arial"/>
                <w:sz w:val="20"/>
                <w:szCs w:val="20"/>
                <w:lang w:val="en-US"/>
              </w:rPr>
            </w:pPr>
          </w:p>
        </w:tc>
      </w:tr>
    </w:tbl>
    <w:p w14:paraId="3B5CB461" w14:textId="77777777" w:rsidR="00BE36FB" w:rsidRPr="009B7B35" w:rsidRDefault="00BE36FB" w:rsidP="001A7107">
      <w:pPr>
        <w:rPr>
          <w:rFonts w:ascii="Arial" w:hAnsi="Arial" w:cs="Arial"/>
          <w:sz w:val="20"/>
          <w:szCs w:val="20"/>
        </w:rPr>
      </w:pPr>
    </w:p>
    <w:p w14:paraId="6E80BD56"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5BEC6CC0" w14:textId="77777777" w:rsidR="00BE36FB" w:rsidRPr="009B7B35" w:rsidRDefault="00BE36FB" w:rsidP="006776DA">
      <w:pPr>
        <w:pStyle w:val="Heading3"/>
        <w:numPr>
          <w:ilvl w:val="2"/>
          <w:numId w:val="883"/>
        </w:numPr>
        <w:spacing w:before="240"/>
        <w:rPr>
          <w:rFonts w:ascii="Arial" w:hAnsi="Arial"/>
          <w:sz w:val="20"/>
          <w:szCs w:val="20"/>
        </w:rPr>
      </w:pPr>
      <w:bookmarkStart w:id="270" w:name="_Toc205367398"/>
      <w:r w:rsidRPr="009B7B35">
        <w:rPr>
          <w:rFonts w:ascii="Arial" w:hAnsi="Arial"/>
          <w:sz w:val="20"/>
          <w:szCs w:val="20"/>
        </w:rPr>
        <w:t>Operational works</w:t>
      </w:r>
      <w:bookmarkEnd w:id="270"/>
    </w:p>
    <w:p w14:paraId="1814D9CB"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72F404A1"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assessing all development within the Gladstone Regional Council area.</w:t>
      </w:r>
    </w:p>
    <w:p w14:paraId="1662840F"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5C70F8C2" w14:textId="77777777" w:rsidR="00BE36FB" w:rsidRPr="009B7B35" w:rsidRDefault="00BE36FB" w:rsidP="00BE36FB">
      <w:pPr>
        <w:numPr>
          <w:ilvl w:val="0"/>
          <w:numId w:val="743"/>
        </w:numPr>
        <w:rPr>
          <w:rFonts w:ascii="Arial" w:hAnsi="Arial" w:cs="Arial"/>
          <w:sz w:val="20"/>
          <w:szCs w:val="20"/>
        </w:rPr>
      </w:pPr>
      <w:r w:rsidRPr="009B7B35">
        <w:rPr>
          <w:rFonts w:ascii="Arial" w:hAnsi="Arial" w:cs="Arial"/>
          <w:sz w:val="20"/>
          <w:szCs w:val="20"/>
        </w:rPr>
        <w:t>The purpose of the Operational Works code is to:</w:t>
      </w:r>
    </w:p>
    <w:p w14:paraId="750404FD" w14:textId="77777777"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Ensure all operational works (earthworks) are undertaken to appropriate levels and standard.</w:t>
      </w:r>
    </w:p>
    <w:p w14:paraId="364047EF" w14:textId="77777777"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Maintain a high standard of environmental amenity.</w:t>
      </w:r>
    </w:p>
    <w:p w14:paraId="5B147690" w14:textId="77777777"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Protect surface water and ground water.</w:t>
      </w:r>
    </w:p>
    <w:p w14:paraId="3B154AE1" w14:textId="77777777" w:rsidR="00BE36FB" w:rsidRPr="009B7B35" w:rsidRDefault="00BE36FB" w:rsidP="00BE36FB">
      <w:pPr>
        <w:numPr>
          <w:ilvl w:val="0"/>
          <w:numId w:val="743"/>
        </w:numPr>
        <w:rPr>
          <w:rFonts w:ascii="Arial" w:hAnsi="Arial" w:cs="Arial"/>
          <w:sz w:val="20"/>
          <w:szCs w:val="20"/>
        </w:rPr>
      </w:pPr>
      <w:r w:rsidRPr="009B7B35">
        <w:rPr>
          <w:rFonts w:ascii="Arial" w:hAnsi="Arial" w:cs="Arial"/>
          <w:sz w:val="20"/>
          <w:szCs w:val="20"/>
        </w:rPr>
        <w:t>The purpose of the code will be achieved through the following overall outcomes:</w:t>
      </w:r>
    </w:p>
    <w:p w14:paraId="3AE6680A" w14:textId="77777777"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Operational works involving filling and excavation does not impact adversely on the site or the surrounding area in terms of the physical services and the environment or social values.</w:t>
      </w:r>
    </w:p>
    <w:p w14:paraId="34321A5B" w14:textId="77777777"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The use of fill material that is safe and uncontaminated.</w:t>
      </w:r>
    </w:p>
    <w:p w14:paraId="0129DCEB" w14:textId="77777777"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Maintain the amenity of adjoining land, particularly the visual amenity of residential land.</w:t>
      </w:r>
    </w:p>
    <w:p w14:paraId="3E0CDE44" w14:textId="77777777"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Operational works are located in areas that do not result in increased flooding and drainage problems on upstream and downstream property.</w:t>
      </w:r>
    </w:p>
    <w:p w14:paraId="0EB7A7B5" w14:textId="77777777" w:rsidR="00BE36FB" w:rsidRPr="009B7B35" w:rsidRDefault="00BE36FB" w:rsidP="00BE36FB">
      <w:pPr>
        <w:numPr>
          <w:ilvl w:val="1"/>
          <w:numId w:val="743"/>
        </w:numPr>
        <w:rPr>
          <w:rFonts w:ascii="Arial" w:hAnsi="Arial" w:cs="Arial"/>
          <w:sz w:val="20"/>
          <w:szCs w:val="20"/>
        </w:rPr>
      </w:pPr>
      <w:r w:rsidRPr="009B7B35">
        <w:rPr>
          <w:rFonts w:ascii="Arial" w:hAnsi="Arial" w:cs="Arial"/>
          <w:sz w:val="20"/>
          <w:szCs w:val="20"/>
        </w:rPr>
        <w:t>Works are undertaken such that soil erosion is properly controlled to avoid unacceptable increased erosion and sediment loads into watercourses.</w:t>
      </w:r>
    </w:p>
    <w:p w14:paraId="36A970E5"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1D5CC621" w14:textId="77777777" w:rsidR="00BE36FB" w:rsidRPr="009B7B35" w:rsidRDefault="00BE36FB" w:rsidP="001A7107">
      <w:pPr>
        <w:pStyle w:val="Heading5"/>
        <w:numPr>
          <w:ilvl w:val="0"/>
          <w:numId w:val="0"/>
        </w:numPr>
        <w:rPr>
          <w:rFonts w:cs="Arial"/>
          <w:szCs w:val="20"/>
        </w:rPr>
      </w:pPr>
      <w:r w:rsidRPr="009B7B35">
        <w:rPr>
          <w:rFonts w:cs="Arial"/>
          <w:szCs w:val="20"/>
        </w:rPr>
        <w:t>Table 9.3.6.3.1—Assessable development</w:t>
      </w:r>
    </w:p>
    <w:tbl>
      <w:tblPr>
        <w:tblStyle w:val="Tablestyle"/>
        <w:tblW w:w="0" w:type="auto"/>
        <w:tblLook w:val="0620" w:firstRow="1" w:lastRow="0" w:firstColumn="0" w:lastColumn="0" w:noHBand="1" w:noVBand="1"/>
      </w:tblPr>
      <w:tblGrid>
        <w:gridCol w:w="4211"/>
        <w:gridCol w:w="4152"/>
      </w:tblGrid>
      <w:tr w:rsidR="00BE36FB" w:rsidRPr="009B7B35" w14:paraId="43885A2F"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0B2997AA" w14:textId="77777777" w:rsidR="00BE36FB" w:rsidRPr="009B7B35" w:rsidRDefault="00BE36FB" w:rsidP="001A7107">
            <w:pPr>
              <w:pStyle w:val="TableText"/>
              <w:rPr>
                <w:rFonts w:cs="Arial"/>
              </w:rPr>
            </w:pPr>
            <w:r w:rsidRPr="009B7B35">
              <w:rPr>
                <w:rFonts w:cs="Arial"/>
              </w:rPr>
              <w:t>Performance outcomes</w:t>
            </w:r>
          </w:p>
        </w:tc>
        <w:tc>
          <w:tcPr>
            <w:tcW w:w="4678" w:type="dxa"/>
          </w:tcPr>
          <w:p w14:paraId="55AC06A9" w14:textId="77777777" w:rsidR="00BE36FB" w:rsidRPr="009B7B35" w:rsidRDefault="00BE36FB" w:rsidP="001A7107">
            <w:pPr>
              <w:pStyle w:val="TableText"/>
              <w:rPr>
                <w:rFonts w:cs="Arial"/>
              </w:rPr>
            </w:pPr>
            <w:r w:rsidRPr="009B7B35">
              <w:rPr>
                <w:rFonts w:cs="Arial"/>
              </w:rPr>
              <w:t>Acceptable outcomes</w:t>
            </w:r>
          </w:p>
        </w:tc>
      </w:tr>
      <w:tr w:rsidR="00BE36FB" w:rsidRPr="009B7B35" w14:paraId="3D29B084" w14:textId="77777777" w:rsidTr="001A7107">
        <w:trPr>
          <w:cantSplit/>
        </w:trPr>
        <w:tc>
          <w:tcPr>
            <w:tcW w:w="9356" w:type="dxa"/>
            <w:gridSpan w:val="2"/>
            <w:shd w:val="clear" w:color="auto" w:fill="BFBFBF" w:themeFill="background1" w:themeFillShade="BF"/>
          </w:tcPr>
          <w:p w14:paraId="60F8A047" w14:textId="77777777" w:rsidR="00BE36FB" w:rsidRPr="009B7B35" w:rsidRDefault="00BE36FB" w:rsidP="001A7107">
            <w:pPr>
              <w:pStyle w:val="Tableheading"/>
              <w:rPr>
                <w:rFonts w:ascii="Arial" w:hAnsi="Arial" w:cs="Arial"/>
                <w:szCs w:val="20"/>
              </w:rPr>
            </w:pPr>
            <w:r w:rsidRPr="009B7B35">
              <w:rPr>
                <w:rFonts w:ascii="Arial" w:hAnsi="Arial" w:cs="Arial"/>
                <w:szCs w:val="20"/>
              </w:rPr>
              <w:t>Earthworks</w:t>
            </w:r>
          </w:p>
        </w:tc>
      </w:tr>
      <w:tr w:rsidR="00BE36FB" w:rsidRPr="009B7B35" w14:paraId="701155D4" w14:textId="77777777" w:rsidTr="001A7107">
        <w:trPr>
          <w:cantSplit/>
        </w:trPr>
        <w:tc>
          <w:tcPr>
            <w:tcW w:w="4678" w:type="dxa"/>
            <w:vMerge w:val="restart"/>
          </w:tcPr>
          <w:p w14:paraId="036580F0" w14:textId="77777777" w:rsidR="00BE36FB" w:rsidRPr="009B7B35" w:rsidRDefault="00BE36FB" w:rsidP="001A7107">
            <w:pPr>
              <w:pStyle w:val="TableText"/>
              <w:rPr>
                <w:rFonts w:cs="Arial"/>
                <w:b/>
              </w:rPr>
            </w:pPr>
            <w:r w:rsidRPr="009B7B35">
              <w:rPr>
                <w:rFonts w:cs="Arial"/>
                <w:b/>
              </w:rPr>
              <w:t>PO1</w:t>
            </w:r>
          </w:p>
          <w:p w14:paraId="68102784" w14:textId="77777777" w:rsidR="00BE36FB" w:rsidRPr="009B7B35" w:rsidRDefault="00BE36FB" w:rsidP="001A7107">
            <w:pPr>
              <w:pStyle w:val="TableText"/>
              <w:rPr>
                <w:rFonts w:cs="Arial"/>
              </w:rPr>
            </w:pPr>
            <w:r w:rsidRPr="009B7B35">
              <w:rPr>
                <w:rFonts w:cs="Arial"/>
              </w:rPr>
              <w:t xml:space="preserve">Earthworks are undertaken in a manner that: </w:t>
            </w:r>
          </w:p>
          <w:p w14:paraId="4EC8D2DC" w14:textId="77777777" w:rsidR="00BE36FB" w:rsidRPr="009B7B35" w:rsidRDefault="00BE36FB" w:rsidP="00BE36FB">
            <w:pPr>
              <w:pStyle w:val="TableText"/>
              <w:numPr>
                <w:ilvl w:val="0"/>
                <w:numId w:val="727"/>
              </w:numPr>
              <w:rPr>
                <w:rFonts w:cs="Arial"/>
              </w:rPr>
            </w:pPr>
            <w:r w:rsidRPr="009B7B35">
              <w:rPr>
                <w:rFonts w:cs="Arial"/>
              </w:rPr>
              <w:t xml:space="preserve">produces stable landforms and structures </w:t>
            </w:r>
          </w:p>
          <w:p w14:paraId="094E2EF2" w14:textId="77777777" w:rsidR="00BE36FB" w:rsidRPr="009B7B35" w:rsidRDefault="00BE36FB" w:rsidP="00BE36FB">
            <w:pPr>
              <w:pStyle w:val="TableText"/>
              <w:numPr>
                <w:ilvl w:val="0"/>
                <w:numId w:val="727"/>
              </w:numPr>
              <w:rPr>
                <w:rFonts w:cs="Arial"/>
              </w:rPr>
            </w:pPr>
            <w:r w:rsidRPr="009B7B35">
              <w:rPr>
                <w:rFonts w:cs="Arial"/>
              </w:rPr>
              <w:t>maintains natural landforms</w:t>
            </w:r>
          </w:p>
          <w:p w14:paraId="176BB868" w14:textId="77777777" w:rsidR="00BE36FB" w:rsidRPr="009B7B35" w:rsidRDefault="00BE36FB" w:rsidP="00BE36FB">
            <w:pPr>
              <w:pStyle w:val="TableText"/>
              <w:numPr>
                <w:ilvl w:val="0"/>
                <w:numId w:val="727"/>
              </w:numPr>
              <w:rPr>
                <w:rFonts w:cs="Arial"/>
              </w:rPr>
            </w:pPr>
            <w:r w:rsidRPr="009B7B35">
              <w:rPr>
                <w:rFonts w:cs="Arial"/>
              </w:rPr>
              <w:t>minimises height of retaining walls and batter faces</w:t>
            </w:r>
          </w:p>
          <w:p w14:paraId="1A8E33FE" w14:textId="77777777" w:rsidR="00BE36FB" w:rsidRPr="009B7B35" w:rsidRDefault="00BE36FB" w:rsidP="00BE36FB">
            <w:pPr>
              <w:pStyle w:val="TableText"/>
              <w:numPr>
                <w:ilvl w:val="0"/>
                <w:numId w:val="727"/>
              </w:numPr>
              <w:rPr>
                <w:rFonts w:cs="Arial"/>
              </w:rPr>
            </w:pPr>
            <w:r w:rsidRPr="009B7B35">
              <w:rPr>
                <w:rFonts w:cs="Arial"/>
              </w:rPr>
              <w:t xml:space="preserve">does not unduly impact on the amenity or privacy for occupants of the site or on adjoining land, and </w:t>
            </w:r>
          </w:p>
          <w:p w14:paraId="5C6D5251" w14:textId="77777777" w:rsidR="00BE36FB" w:rsidRPr="009B7B35" w:rsidRDefault="00BE36FB" w:rsidP="00BE36FB">
            <w:pPr>
              <w:pStyle w:val="TableText"/>
              <w:numPr>
                <w:ilvl w:val="0"/>
                <w:numId w:val="727"/>
              </w:numPr>
              <w:rPr>
                <w:rFonts w:cs="Arial"/>
              </w:rPr>
            </w:pPr>
            <w:r w:rsidRPr="009B7B35">
              <w:rPr>
                <w:rFonts w:cs="Arial"/>
              </w:rPr>
              <w:t>does not unduly impact on the amenity of the streetscape.</w:t>
            </w:r>
          </w:p>
        </w:tc>
        <w:tc>
          <w:tcPr>
            <w:tcW w:w="4678" w:type="dxa"/>
          </w:tcPr>
          <w:p w14:paraId="68FBCC5C" w14:textId="77777777" w:rsidR="00BE36FB" w:rsidRPr="009B7B35" w:rsidRDefault="00BE36FB" w:rsidP="001A7107">
            <w:pPr>
              <w:pStyle w:val="TableText"/>
              <w:rPr>
                <w:rFonts w:cs="Arial"/>
                <w:b/>
              </w:rPr>
            </w:pPr>
            <w:r w:rsidRPr="009B7B35">
              <w:rPr>
                <w:rFonts w:cs="Arial"/>
                <w:b/>
              </w:rPr>
              <w:t>AO1.1</w:t>
            </w:r>
          </w:p>
          <w:p w14:paraId="1EDBC495" w14:textId="77777777" w:rsidR="00BE36FB" w:rsidRPr="009B7B35" w:rsidRDefault="00BE36FB" w:rsidP="001A7107">
            <w:pPr>
              <w:pStyle w:val="TableText"/>
              <w:rPr>
                <w:rFonts w:cs="Arial"/>
              </w:rPr>
            </w:pPr>
            <w:r w:rsidRPr="009B7B35">
              <w:rPr>
                <w:rFonts w:cs="Arial"/>
              </w:rPr>
              <w:t xml:space="preserve">Earthworks and retaining walls comply with the </w:t>
            </w:r>
            <w:r w:rsidRPr="009B7B35">
              <w:rPr>
                <w:rFonts w:cs="Arial"/>
                <w:i/>
              </w:rPr>
              <w:t>Engineering Design Planning Scheme Policy</w:t>
            </w:r>
            <w:r w:rsidRPr="009B7B35">
              <w:rPr>
                <w:rFonts w:cs="Arial"/>
              </w:rPr>
              <w:t>.</w:t>
            </w:r>
          </w:p>
        </w:tc>
      </w:tr>
      <w:tr w:rsidR="00BE36FB" w:rsidRPr="009B7B35" w14:paraId="6627C863" w14:textId="77777777" w:rsidTr="001A7107">
        <w:trPr>
          <w:cantSplit/>
        </w:trPr>
        <w:tc>
          <w:tcPr>
            <w:tcW w:w="4678" w:type="dxa"/>
            <w:vMerge/>
          </w:tcPr>
          <w:p w14:paraId="64168DB7" w14:textId="77777777" w:rsidR="00BE36FB" w:rsidRPr="009B7B35" w:rsidRDefault="00BE36FB" w:rsidP="001A7107">
            <w:pPr>
              <w:pStyle w:val="TableText"/>
              <w:rPr>
                <w:rFonts w:cs="Arial"/>
              </w:rPr>
            </w:pPr>
          </w:p>
        </w:tc>
        <w:tc>
          <w:tcPr>
            <w:tcW w:w="4678" w:type="dxa"/>
          </w:tcPr>
          <w:p w14:paraId="50478E4E" w14:textId="77777777" w:rsidR="00BE36FB" w:rsidRPr="009B7B35" w:rsidRDefault="00BE36FB" w:rsidP="001A7107">
            <w:pPr>
              <w:pStyle w:val="TableText"/>
              <w:rPr>
                <w:rFonts w:cs="Arial"/>
                <w:b/>
              </w:rPr>
            </w:pPr>
            <w:r w:rsidRPr="009B7B35">
              <w:rPr>
                <w:rFonts w:cs="Arial"/>
                <w:b/>
              </w:rPr>
              <w:t>AO1.2</w:t>
            </w:r>
          </w:p>
          <w:p w14:paraId="642B2498" w14:textId="77777777" w:rsidR="00BE36FB" w:rsidRPr="009B7B35" w:rsidRDefault="00BE36FB" w:rsidP="001A7107">
            <w:pPr>
              <w:pStyle w:val="TableText"/>
              <w:rPr>
                <w:rFonts w:cs="Arial"/>
              </w:rPr>
            </w:pPr>
            <w:r w:rsidRPr="009B7B35">
              <w:rPr>
                <w:rFonts w:cs="Arial"/>
              </w:rPr>
              <w:t>Retaining walls are certified by a Registered Professional Engineer of Queensland.</w:t>
            </w:r>
          </w:p>
        </w:tc>
      </w:tr>
      <w:tr w:rsidR="00BE36FB" w:rsidRPr="009B7B35" w14:paraId="40113625" w14:textId="77777777" w:rsidTr="001A7107">
        <w:trPr>
          <w:cantSplit/>
        </w:trPr>
        <w:tc>
          <w:tcPr>
            <w:tcW w:w="4678" w:type="dxa"/>
            <w:vMerge/>
          </w:tcPr>
          <w:p w14:paraId="1F3F70C2" w14:textId="77777777" w:rsidR="00BE36FB" w:rsidRPr="009B7B35" w:rsidRDefault="00BE36FB" w:rsidP="001A7107">
            <w:pPr>
              <w:pStyle w:val="TableText"/>
              <w:rPr>
                <w:rFonts w:cs="Arial"/>
              </w:rPr>
            </w:pPr>
          </w:p>
        </w:tc>
        <w:tc>
          <w:tcPr>
            <w:tcW w:w="4678" w:type="dxa"/>
          </w:tcPr>
          <w:p w14:paraId="5FD58071" w14:textId="77777777" w:rsidR="00BE36FB" w:rsidRPr="009B7B35" w:rsidRDefault="00BE36FB" w:rsidP="001A7107">
            <w:pPr>
              <w:pStyle w:val="TableText"/>
              <w:rPr>
                <w:rFonts w:cs="Arial"/>
                <w:b/>
              </w:rPr>
            </w:pPr>
            <w:r w:rsidRPr="009B7B35">
              <w:rPr>
                <w:rFonts w:cs="Arial"/>
                <w:b/>
              </w:rPr>
              <w:t>AO1.3</w:t>
            </w:r>
          </w:p>
          <w:p w14:paraId="1CAD5136" w14:textId="77777777" w:rsidR="00BE36FB" w:rsidRPr="009B7B35" w:rsidRDefault="00BE36FB" w:rsidP="001A7107">
            <w:pPr>
              <w:pStyle w:val="TableText"/>
              <w:rPr>
                <w:rFonts w:cs="Arial"/>
              </w:rPr>
            </w:pPr>
            <w:r w:rsidRPr="009B7B35">
              <w:rPr>
                <w:rFonts w:cs="Arial"/>
              </w:rPr>
              <w:t>The extent of filling or excavation with a depth of 200mm or greater does not exceed 40% of the site.</w:t>
            </w:r>
          </w:p>
        </w:tc>
      </w:tr>
      <w:tr w:rsidR="00BE36FB" w:rsidRPr="009B7B35" w14:paraId="7EA1C2A4" w14:textId="77777777" w:rsidTr="001A7107">
        <w:trPr>
          <w:cantSplit/>
        </w:trPr>
        <w:tc>
          <w:tcPr>
            <w:tcW w:w="4678" w:type="dxa"/>
            <w:vMerge/>
          </w:tcPr>
          <w:p w14:paraId="6F5705C0" w14:textId="77777777" w:rsidR="00BE36FB" w:rsidRPr="009B7B35" w:rsidRDefault="00BE36FB" w:rsidP="001A7107">
            <w:pPr>
              <w:pStyle w:val="TableText"/>
              <w:rPr>
                <w:rFonts w:cs="Arial"/>
              </w:rPr>
            </w:pPr>
          </w:p>
        </w:tc>
        <w:tc>
          <w:tcPr>
            <w:tcW w:w="4678" w:type="dxa"/>
          </w:tcPr>
          <w:p w14:paraId="78848E8F" w14:textId="77777777" w:rsidR="00BE36FB" w:rsidRPr="009B7B35" w:rsidRDefault="00BE36FB" w:rsidP="001A7107">
            <w:pPr>
              <w:pStyle w:val="TableText"/>
              <w:rPr>
                <w:rFonts w:cs="Arial"/>
                <w:b/>
              </w:rPr>
            </w:pPr>
            <w:r w:rsidRPr="009B7B35">
              <w:rPr>
                <w:rFonts w:cs="Arial"/>
                <w:b/>
              </w:rPr>
              <w:t>AO1.4</w:t>
            </w:r>
          </w:p>
          <w:p w14:paraId="105DEEE0" w14:textId="77777777" w:rsidR="00BE36FB" w:rsidRPr="009B7B35" w:rsidRDefault="00BE36FB" w:rsidP="001A7107">
            <w:pPr>
              <w:pStyle w:val="TableText"/>
              <w:rPr>
                <w:rFonts w:cs="Arial"/>
              </w:rPr>
            </w:pPr>
            <w:r w:rsidRPr="009B7B35">
              <w:rPr>
                <w:rFonts w:cs="Arial"/>
              </w:rPr>
              <w:t>Excavating or filling is no greater than 1m, and height or depth and the combined height of retaining walls and fences does not exceed 2m.</w:t>
            </w:r>
          </w:p>
        </w:tc>
      </w:tr>
      <w:tr w:rsidR="00BE36FB" w:rsidRPr="009B7B35" w14:paraId="5AAFE2D4" w14:textId="77777777" w:rsidTr="001A7107">
        <w:trPr>
          <w:cantSplit/>
        </w:trPr>
        <w:tc>
          <w:tcPr>
            <w:tcW w:w="4678" w:type="dxa"/>
            <w:vMerge/>
          </w:tcPr>
          <w:p w14:paraId="1EB5016B" w14:textId="77777777" w:rsidR="00BE36FB" w:rsidRPr="009B7B35" w:rsidRDefault="00BE36FB" w:rsidP="001A7107">
            <w:pPr>
              <w:pStyle w:val="TableText"/>
              <w:rPr>
                <w:rFonts w:cs="Arial"/>
              </w:rPr>
            </w:pPr>
          </w:p>
        </w:tc>
        <w:tc>
          <w:tcPr>
            <w:tcW w:w="4678" w:type="dxa"/>
          </w:tcPr>
          <w:p w14:paraId="210438D2" w14:textId="77777777" w:rsidR="00BE36FB" w:rsidRPr="009B7B35" w:rsidRDefault="00BE36FB" w:rsidP="001A7107">
            <w:pPr>
              <w:pStyle w:val="TableText"/>
              <w:rPr>
                <w:rFonts w:cs="Arial"/>
                <w:b/>
              </w:rPr>
            </w:pPr>
            <w:r w:rsidRPr="009B7B35">
              <w:rPr>
                <w:rFonts w:cs="Arial"/>
                <w:b/>
              </w:rPr>
              <w:t>AO1.5</w:t>
            </w:r>
          </w:p>
          <w:p w14:paraId="3A0486B0" w14:textId="77777777" w:rsidR="00BE36FB" w:rsidRPr="009B7B35" w:rsidRDefault="00BE36FB" w:rsidP="001A7107">
            <w:pPr>
              <w:pStyle w:val="TableText"/>
              <w:rPr>
                <w:rFonts w:cs="Arial"/>
              </w:rPr>
            </w:pPr>
            <w:r w:rsidRPr="009B7B35">
              <w:rPr>
                <w:rFonts w:cs="Arial"/>
              </w:rPr>
              <w:t>Soil to be used for filling if stockpiled for more than 1 month is stabilised and grassed.</w:t>
            </w:r>
          </w:p>
        </w:tc>
      </w:tr>
      <w:tr w:rsidR="00BE36FB" w:rsidRPr="009B7B35" w14:paraId="3F1A12CF" w14:textId="77777777" w:rsidTr="001A7107">
        <w:trPr>
          <w:cantSplit/>
        </w:trPr>
        <w:tc>
          <w:tcPr>
            <w:tcW w:w="4678" w:type="dxa"/>
            <w:vMerge/>
          </w:tcPr>
          <w:p w14:paraId="289DD781" w14:textId="77777777" w:rsidR="00BE36FB" w:rsidRPr="009B7B35" w:rsidRDefault="00BE36FB" w:rsidP="001A7107">
            <w:pPr>
              <w:pStyle w:val="TableText"/>
              <w:rPr>
                <w:rFonts w:cs="Arial"/>
              </w:rPr>
            </w:pPr>
          </w:p>
        </w:tc>
        <w:tc>
          <w:tcPr>
            <w:tcW w:w="4678" w:type="dxa"/>
          </w:tcPr>
          <w:p w14:paraId="4A612656" w14:textId="77777777" w:rsidR="00BE36FB" w:rsidRPr="009B7B35" w:rsidRDefault="00BE36FB" w:rsidP="001A7107">
            <w:pPr>
              <w:pStyle w:val="TableText"/>
              <w:rPr>
                <w:rFonts w:cs="Arial"/>
                <w:b/>
              </w:rPr>
            </w:pPr>
            <w:r w:rsidRPr="009B7B35">
              <w:rPr>
                <w:rFonts w:cs="Arial"/>
                <w:b/>
              </w:rPr>
              <w:t>AO1.6</w:t>
            </w:r>
          </w:p>
          <w:p w14:paraId="0C088D1C" w14:textId="77777777" w:rsidR="00BE36FB" w:rsidRPr="009B7B35" w:rsidRDefault="00BE36FB" w:rsidP="001A7107">
            <w:pPr>
              <w:pStyle w:val="TableText"/>
              <w:rPr>
                <w:rFonts w:cs="Arial"/>
              </w:rPr>
            </w:pPr>
            <w:r w:rsidRPr="009B7B35">
              <w:rPr>
                <w:rFonts w:cs="Arial"/>
              </w:rPr>
              <w:t xml:space="preserve">Retaining walls are set back from any boundary and are stepped or terraced so that landscaping can soften the visual impact. </w:t>
            </w:r>
          </w:p>
        </w:tc>
      </w:tr>
      <w:tr w:rsidR="00BE36FB" w:rsidRPr="009B7B35" w14:paraId="477731EB" w14:textId="77777777" w:rsidTr="001A7107">
        <w:trPr>
          <w:cantSplit/>
        </w:trPr>
        <w:tc>
          <w:tcPr>
            <w:tcW w:w="4678" w:type="dxa"/>
          </w:tcPr>
          <w:p w14:paraId="66506C68" w14:textId="77777777" w:rsidR="00BE36FB" w:rsidRPr="009B7B35" w:rsidRDefault="00BE36FB" w:rsidP="001A7107">
            <w:pPr>
              <w:pStyle w:val="TableText"/>
              <w:rPr>
                <w:rFonts w:cs="Arial"/>
                <w:b/>
              </w:rPr>
            </w:pPr>
            <w:r w:rsidRPr="009B7B35">
              <w:rPr>
                <w:rFonts w:cs="Arial"/>
                <w:b/>
              </w:rPr>
              <w:t>PO2</w:t>
            </w:r>
          </w:p>
          <w:p w14:paraId="365BD07C" w14:textId="77777777" w:rsidR="00BE36FB" w:rsidRPr="009B7B35" w:rsidRDefault="00BE36FB" w:rsidP="001A7107">
            <w:pPr>
              <w:pStyle w:val="TableText"/>
              <w:rPr>
                <w:rFonts w:cs="Arial"/>
              </w:rPr>
            </w:pPr>
            <w:r w:rsidRPr="009B7B35">
              <w:rPr>
                <w:rFonts w:cs="Arial"/>
              </w:rPr>
              <w:t xml:space="preserve">Earthworks maintain the efficiency of the road network and do not adversely impact upon residents or road infrastructure, including not creating any difficulty for access to the site. </w:t>
            </w:r>
          </w:p>
        </w:tc>
        <w:tc>
          <w:tcPr>
            <w:tcW w:w="4678" w:type="dxa"/>
          </w:tcPr>
          <w:p w14:paraId="7B5A04CD"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8AC7FFD" w14:textId="77777777" w:rsidTr="001A7107">
        <w:trPr>
          <w:cantSplit/>
        </w:trPr>
        <w:tc>
          <w:tcPr>
            <w:tcW w:w="4678" w:type="dxa"/>
          </w:tcPr>
          <w:p w14:paraId="42C2F18B" w14:textId="77777777" w:rsidR="00BE36FB" w:rsidRPr="009B7B35" w:rsidRDefault="00BE36FB" w:rsidP="001A7107">
            <w:pPr>
              <w:pStyle w:val="TableText"/>
              <w:rPr>
                <w:rFonts w:cs="Arial"/>
                <w:b/>
              </w:rPr>
            </w:pPr>
            <w:r w:rsidRPr="009B7B35">
              <w:rPr>
                <w:rFonts w:cs="Arial"/>
                <w:b/>
              </w:rPr>
              <w:t>PO3</w:t>
            </w:r>
          </w:p>
          <w:p w14:paraId="4BB92DEC" w14:textId="77777777" w:rsidR="00BE36FB" w:rsidRPr="009B7B35" w:rsidRDefault="00BE36FB" w:rsidP="001A7107">
            <w:pPr>
              <w:pStyle w:val="TableText"/>
              <w:rPr>
                <w:rFonts w:cs="Arial"/>
              </w:rPr>
            </w:pPr>
            <w:r w:rsidRPr="009B7B35">
              <w:rPr>
                <w:rFonts w:cs="Arial"/>
              </w:rPr>
              <w:t>Earthworks do not result in the contamination of land or water, and avoids risk to people and property.</w:t>
            </w:r>
          </w:p>
        </w:tc>
        <w:tc>
          <w:tcPr>
            <w:tcW w:w="4678" w:type="dxa"/>
          </w:tcPr>
          <w:p w14:paraId="1A239B11" w14:textId="77777777" w:rsidR="00BE36FB" w:rsidRPr="009B7B35" w:rsidRDefault="00BE36FB" w:rsidP="001A7107">
            <w:pPr>
              <w:pStyle w:val="TableText"/>
              <w:rPr>
                <w:rFonts w:cs="Arial"/>
                <w:b/>
              </w:rPr>
            </w:pPr>
            <w:r w:rsidRPr="009B7B35">
              <w:rPr>
                <w:rFonts w:cs="Arial"/>
                <w:b/>
              </w:rPr>
              <w:t>AO3</w:t>
            </w:r>
          </w:p>
          <w:p w14:paraId="630096F7" w14:textId="77777777" w:rsidR="00BE36FB" w:rsidRPr="009B7B35" w:rsidRDefault="00BE36FB" w:rsidP="001A7107">
            <w:pPr>
              <w:pStyle w:val="TableText"/>
              <w:rPr>
                <w:rFonts w:cs="Arial"/>
              </w:rPr>
            </w:pPr>
            <w:r w:rsidRPr="009B7B35">
              <w:rPr>
                <w:rFonts w:cs="Arial"/>
              </w:rPr>
              <w:t xml:space="preserve">No contaminated material or acid sulfate soil is used as fill. </w:t>
            </w:r>
          </w:p>
        </w:tc>
      </w:tr>
      <w:tr w:rsidR="00BE36FB" w:rsidRPr="009B7B35" w14:paraId="2E7E8C19" w14:textId="77777777" w:rsidTr="001A7107">
        <w:trPr>
          <w:cantSplit/>
        </w:trPr>
        <w:tc>
          <w:tcPr>
            <w:tcW w:w="4678" w:type="dxa"/>
          </w:tcPr>
          <w:p w14:paraId="7CB6C2DB" w14:textId="77777777" w:rsidR="00BE36FB" w:rsidRPr="009B7B35" w:rsidRDefault="00BE36FB" w:rsidP="001A7107">
            <w:pPr>
              <w:pStyle w:val="TableText"/>
              <w:rPr>
                <w:rFonts w:cs="Arial"/>
                <w:b/>
              </w:rPr>
            </w:pPr>
            <w:r w:rsidRPr="009B7B35">
              <w:rPr>
                <w:rFonts w:cs="Arial"/>
                <w:b/>
              </w:rPr>
              <w:t>PO4</w:t>
            </w:r>
          </w:p>
          <w:p w14:paraId="0A5E435F" w14:textId="77777777" w:rsidR="00BE36FB" w:rsidRPr="009B7B35" w:rsidRDefault="00BE36FB" w:rsidP="001A7107">
            <w:pPr>
              <w:pStyle w:val="TableText"/>
              <w:rPr>
                <w:rFonts w:cs="Arial"/>
              </w:rPr>
            </w:pPr>
            <w:r w:rsidRPr="009B7B35">
              <w:rPr>
                <w:rFonts w:cs="Arial"/>
              </w:rPr>
              <w:t xml:space="preserve">Earthworks do not generate a dust nuisance. </w:t>
            </w:r>
          </w:p>
        </w:tc>
        <w:tc>
          <w:tcPr>
            <w:tcW w:w="4678" w:type="dxa"/>
          </w:tcPr>
          <w:p w14:paraId="5D4B5812"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699B4C6" w14:textId="77777777" w:rsidTr="001A7107">
        <w:trPr>
          <w:cantSplit/>
        </w:trPr>
        <w:tc>
          <w:tcPr>
            <w:tcW w:w="9356" w:type="dxa"/>
            <w:gridSpan w:val="2"/>
            <w:shd w:val="clear" w:color="auto" w:fill="BFBFBF" w:themeFill="background1" w:themeFillShade="BF"/>
          </w:tcPr>
          <w:p w14:paraId="47D16197" w14:textId="77777777" w:rsidR="00BE36FB" w:rsidRPr="009B7B35" w:rsidRDefault="00BE36FB" w:rsidP="001A7107">
            <w:pPr>
              <w:pStyle w:val="Tableheading"/>
              <w:rPr>
                <w:rFonts w:ascii="Arial" w:hAnsi="Arial" w:cs="Arial"/>
                <w:szCs w:val="20"/>
              </w:rPr>
            </w:pPr>
            <w:r w:rsidRPr="009B7B35">
              <w:rPr>
                <w:rFonts w:ascii="Arial" w:hAnsi="Arial" w:cs="Arial"/>
                <w:szCs w:val="20"/>
              </w:rPr>
              <w:t>Bridge and culvert work</w:t>
            </w:r>
          </w:p>
        </w:tc>
      </w:tr>
      <w:tr w:rsidR="00BE36FB" w:rsidRPr="009B7B35" w14:paraId="197B15B4" w14:textId="77777777" w:rsidTr="001A7107">
        <w:trPr>
          <w:cantSplit/>
        </w:trPr>
        <w:tc>
          <w:tcPr>
            <w:tcW w:w="4678" w:type="dxa"/>
          </w:tcPr>
          <w:p w14:paraId="11B8DE62" w14:textId="77777777" w:rsidR="00BE36FB" w:rsidRPr="009B7B35" w:rsidRDefault="00BE36FB" w:rsidP="001A7107">
            <w:pPr>
              <w:pStyle w:val="TableText"/>
              <w:rPr>
                <w:rFonts w:cs="Arial"/>
                <w:b/>
              </w:rPr>
            </w:pPr>
            <w:r w:rsidRPr="009B7B35">
              <w:rPr>
                <w:rFonts w:cs="Arial"/>
                <w:b/>
              </w:rPr>
              <w:t>PO5</w:t>
            </w:r>
          </w:p>
          <w:p w14:paraId="7C380FE4" w14:textId="77777777" w:rsidR="00BE36FB" w:rsidRPr="009B7B35" w:rsidRDefault="00BE36FB" w:rsidP="001A7107">
            <w:pPr>
              <w:pStyle w:val="TableText"/>
              <w:rPr>
                <w:rFonts w:cs="Arial"/>
              </w:rPr>
            </w:pPr>
            <w:r w:rsidRPr="009B7B35">
              <w:rPr>
                <w:rFonts w:cs="Arial"/>
              </w:rPr>
              <w:t>Bridges and culverts for flood immunity minimise traffic disruption, improve public safety, consider fauna habitat movement and allow for bikeways during and after construction.</w:t>
            </w:r>
          </w:p>
        </w:tc>
        <w:tc>
          <w:tcPr>
            <w:tcW w:w="4678" w:type="dxa"/>
          </w:tcPr>
          <w:p w14:paraId="0DC6AA2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BADBC7E" w14:textId="77777777" w:rsidTr="001A7107">
        <w:trPr>
          <w:cantSplit/>
        </w:trPr>
        <w:tc>
          <w:tcPr>
            <w:tcW w:w="9356" w:type="dxa"/>
            <w:gridSpan w:val="2"/>
            <w:shd w:val="clear" w:color="auto" w:fill="BFBFBF" w:themeFill="background1" w:themeFillShade="BF"/>
          </w:tcPr>
          <w:p w14:paraId="21FC6B51" w14:textId="77777777" w:rsidR="00BE36FB" w:rsidRPr="009B7B35" w:rsidRDefault="00BE36FB" w:rsidP="001A7107">
            <w:pPr>
              <w:pStyle w:val="Tableheading"/>
              <w:rPr>
                <w:rFonts w:ascii="Arial" w:hAnsi="Arial" w:cs="Arial"/>
                <w:szCs w:val="20"/>
              </w:rPr>
            </w:pPr>
            <w:r w:rsidRPr="009B7B35">
              <w:rPr>
                <w:rFonts w:ascii="Arial" w:hAnsi="Arial" w:cs="Arial"/>
                <w:szCs w:val="20"/>
              </w:rPr>
              <w:t>Road design</w:t>
            </w:r>
          </w:p>
        </w:tc>
      </w:tr>
      <w:tr w:rsidR="00BE36FB" w:rsidRPr="009B7B35" w14:paraId="55F71854" w14:textId="77777777" w:rsidTr="001A7107">
        <w:tc>
          <w:tcPr>
            <w:tcW w:w="4678" w:type="dxa"/>
          </w:tcPr>
          <w:p w14:paraId="03252537" w14:textId="77777777" w:rsidR="00BE36FB" w:rsidRPr="009B7B35" w:rsidRDefault="00BE36FB" w:rsidP="001A7107">
            <w:pPr>
              <w:pStyle w:val="TableText"/>
              <w:rPr>
                <w:rFonts w:cs="Arial"/>
                <w:b/>
              </w:rPr>
            </w:pPr>
            <w:r w:rsidRPr="009B7B35">
              <w:rPr>
                <w:rFonts w:cs="Arial"/>
                <w:b/>
              </w:rPr>
              <w:t>PO6</w:t>
            </w:r>
          </w:p>
          <w:p w14:paraId="431150C6" w14:textId="77777777" w:rsidR="00BE36FB" w:rsidRPr="009B7B35" w:rsidRDefault="00BE36FB" w:rsidP="001A7107">
            <w:pPr>
              <w:pStyle w:val="TableText"/>
              <w:rPr>
                <w:rFonts w:cs="Arial"/>
              </w:rPr>
            </w:pPr>
            <w:r w:rsidRPr="009B7B35">
              <w:rPr>
                <w:rFonts w:cs="Arial"/>
              </w:rPr>
              <w:t>Roads providing access to the site are provided, constructed and maintained to a standard which is adequate for the traffic type and volume likely to be generated by the activities on site.</w:t>
            </w:r>
          </w:p>
        </w:tc>
        <w:tc>
          <w:tcPr>
            <w:tcW w:w="4678" w:type="dxa"/>
          </w:tcPr>
          <w:p w14:paraId="0A5492B4" w14:textId="77777777" w:rsidR="00BE36FB" w:rsidRPr="009B7B35" w:rsidRDefault="00BE36FB" w:rsidP="001A7107">
            <w:pPr>
              <w:pStyle w:val="TableText"/>
              <w:rPr>
                <w:rFonts w:cs="Arial"/>
                <w:b/>
              </w:rPr>
            </w:pPr>
            <w:r w:rsidRPr="009B7B35">
              <w:rPr>
                <w:rFonts w:cs="Arial"/>
                <w:b/>
              </w:rPr>
              <w:t>AO6</w:t>
            </w:r>
          </w:p>
          <w:p w14:paraId="698CB48B" w14:textId="77777777" w:rsidR="00BE36FB" w:rsidRPr="009B7B35" w:rsidRDefault="00BE36FB" w:rsidP="001A7107">
            <w:pPr>
              <w:pStyle w:val="TableText"/>
              <w:rPr>
                <w:rFonts w:cs="Arial"/>
              </w:rPr>
            </w:pPr>
            <w:r w:rsidRPr="009B7B35">
              <w:rPr>
                <w:rFonts w:cs="Arial"/>
              </w:rPr>
              <w:t xml:space="preserve">External road works are provided in accordance with the requirements of the </w:t>
            </w:r>
            <w:r w:rsidRPr="009B7B35">
              <w:rPr>
                <w:rStyle w:val="StyleItalic"/>
                <w:rFonts w:cs="Arial"/>
              </w:rPr>
              <w:t>Engineering Design Planning Scheme Policy</w:t>
            </w:r>
            <w:r w:rsidRPr="009B7B35">
              <w:rPr>
                <w:rFonts w:cs="Arial"/>
              </w:rPr>
              <w:t>.</w:t>
            </w:r>
          </w:p>
        </w:tc>
      </w:tr>
      <w:tr w:rsidR="00BE36FB" w:rsidRPr="009B7B35" w14:paraId="0F8687A7" w14:textId="77777777" w:rsidTr="001A7107">
        <w:tc>
          <w:tcPr>
            <w:tcW w:w="9356" w:type="dxa"/>
            <w:gridSpan w:val="2"/>
            <w:shd w:val="clear" w:color="auto" w:fill="BFBFBF" w:themeFill="background1" w:themeFillShade="BF"/>
          </w:tcPr>
          <w:p w14:paraId="036D3492" w14:textId="77777777" w:rsidR="00BE36FB" w:rsidRPr="009B7B35" w:rsidRDefault="00BE36FB" w:rsidP="001A7107">
            <w:pPr>
              <w:pStyle w:val="Tableheading"/>
              <w:rPr>
                <w:rFonts w:ascii="Arial" w:hAnsi="Arial" w:cs="Arial"/>
                <w:szCs w:val="20"/>
              </w:rPr>
            </w:pPr>
            <w:r w:rsidRPr="009B7B35">
              <w:rPr>
                <w:rFonts w:ascii="Arial" w:hAnsi="Arial" w:cs="Arial"/>
                <w:szCs w:val="20"/>
              </w:rPr>
              <w:t>Erosion and sediment control</w:t>
            </w:r>
          </w:p>
        </w:tc>
      </w:tr>
      <w:tr w:rsidR="00BE36FB" w:rsidRPr="009B7B35" w14:paraId="3F873EB4" w14:textId="77777777" w:rsidTr="001A7107">
        <w:tc>
          <w:tcPr>
            <w:tcW w:w="4678" w:type="dxa"/>
          </w:tcPr>
          <w:p w14:paraId="370ED781" w14:textId="77777777" w:rsidR="00BE36FB" w:rsidRPr="009B7B35" w:rsidRDefault="00BE36FB" w:rsidP="001A7107">
            <w:pPr>
              <w:pStyle w:val="TableText"/>
              <w:rPr>
                <w:rFonts w:cs="Arial"/>
                <w:b/>
              </w:rPr>
            </w:pPr>
            <w:r w:rsidRPr="009B7B35">
              <w:rPr>
                <w:rFonts w:cs="Arial"/>
                <w:b/>
              </w:rPr>
              <w:t>PO7</w:t>
            </w:r>
          </w:p>
          <w:p w14:paraId="4F6E2E6E" w14:textId="77777777" w:rsidR="00BE36FB" w:rsidRPr="009B7B35" w:rsidRDefault="00BE36FB" w:rsidP="001A7107">
            <w:pPr>
              <w:pStyle w:val="TableText"/>
              <w:rPr>
                <w:rFonts w:cs="Arial"/>
              </w:rPr>
            </w:pPr>
            <w:r w:rsidRPr="009B7B35">
              <w:rPr>
                <w:rFonts w:cs="Arial"/>
              </w:rPr>
              <w:t xml:space="preserve">Earthworks do not create or worsen any flooding, drainage issues, ponding or an increase in flow directions or volumes, on the site or adjoining or nearby sites to ensure that: </w:t>
            </w:r>
          </w:p>
          <w:p w14:paraId="50F7FF23" w14:textId="77777777" w:rsidR="00BE36FB" w:rsidRPr="009B7B35" w:rsidRDefault="00BE36FB" w:rsidP="00BE36FB">
            <w:pPr>
              <w:pStyle w:val="TableText"/>
              <w:numPr>
                <w:ilvl w:val="0"/>
                <w:numId w:val="769"/>
              </w:numPr>
              <w:rPr>
                <w:rFonts w:cs="Arial"/>
              </w:rPr>
            </w:pPr>
            <w:r w:rsidRPr="009B7B35">
              <w:rPr>
                <w:rFonts w:cs="Arial"/>
              </w:rPr>
              <w:t xml:space="preserve">environmental values and water quality objectives of receiving waters within or downstream of the proposal are protected or enhanced during the construction, operation and maintenance phases, and </w:t>
            </w:r>
          </w:p>
          <w:p w14:paraId="5503BF00" w14:textId="77777777" w:rsidR="00BE36FB" w:rsidRPr="009B7B35" w:rsidRDefault="00BE36FB" w:rsidP="00BE36FB">
            <w:pPr>
              <w:pStyle w:val="TableText"/>
              <w:numPr>
                <w:ilvl w:val="0"/>
                <w:numId w:val="769"/>
              </w:numPr>
              <w:rPr>
                <w:rFonts w:cs="Arial"/>
              </w:rPr>
            </w:pPr>
            <w:r w:rsidRPr="009B7B35">
              <w:rPr>
                <w:rFonts w:cs="Arial"/>
              </w:rPr>
              <w:t xml:space="preserve">The release of sediment–laden stormwater for all land disturbances is minimised through the use of all reasonable and practicable erosion and sediment control measures with degraded areas reinstated. </w:t>
            </w:r>
          </w:p>
        </w:tc>
        <w:tc>
          <w:tcPr>
            <w:tcW w:w="4678" w:type="dxa"/>
          </w:tcPr>
          <w:p w14:paraId="0BC34250" w14:textId="77777777" w:rsidR="00BE36FB" w:rsidRPr="009B7B35" w:rsidRDefault="00BE36FB" w:rsidP="001A7107">
            <w:pPr>
              <w:pStyle w:val="TableText"/>
              <w:rPr>
                <w:rFonts w:cs="Arial"/>
                <w:b/>
              </w:rPr>
            </w:pPr>
            <w:r w:rsidRPr="009B7B35">
              <w:rPr>
                <w:rFonts w:cs="Arial"/>
                <w:b/>
              </w:rPr>
              <w:t>AO7</w:t>
            </w:r>
          </w:p>
          <w:p w14:paraId="5CD3AC56" w14:textId="77777777" w:rsidR="00BE36FB" w:rsidRPr="009B7B35" w:rsidRDefault="00BE36FB" w:rsidP="001A7107">
            <w:pPr>
              <w:pStyle w:val="TableText"/>
              <w:rPr>
                <w:rFonts w:cs="Arial"/>
              </w:rPr>
            </w:pPr>
            <w:r w:rsidRPr="009B7B35">
              <w:rPr>
                <w:rFonts w:cs="Arial"/>
              </w:rPr>
              <w:t xml:space="preserve">Earthworks comply with flooding, drainage and erosion sediment control requirements of the </w:t>
            </w:r>
            <w:r w:rsidRPr="009B7B35">
              <w:rPr>
                <w:rFonts w:cs="Arial"/>
                <w:i/>
              </w:rPr>
              <w:t>Engineering design planning scheme policy</w:t>
            </w:r>
            <w:r w:rsidRPr="009B7B35">
              <w:rPr>
                <w:rFonts w:cs="Arial"/>
              </w:rPr>
              <w:t>.</w:t>
            </w:r>
          </w:p>
        </w:tc>
      </w:tr>
      <w:tr w:rsidR="00BE36FB" w:rsidRPr="009B7B35" w14:paraId="6AED6FDE" w14:textId="77777777" w:rsidTr="001A7107">
        <w:trPr>
          <w:cantSplit/>
        </w:trPr>
        <w:tc>
          <w:tcPr>
            <w:tcW w:w="4678" w:type="dxa"/>
          </w:tcPr>
          <w:p w14:paraId="427D429A" w14:textId="77777777" w:rsidR="00BE36FB" w:rsidRPr="009B7B35" w:rsidRDefault="00BE36FB" w:rsidP="001A7107">
            <w:pPr>
              <w:pStyle w:val="TableText"/>
              <w:rPr>
                <w:rFonts w:cs="Arial"/>
                <w:b/>
              </w:rPr>
            </w:pPr>
            <w:r w:rsidRPr="009B7B35">
              <w:rPr>
                <w:rFonts w:cs="Arial"/>
                <w:b/>
              </w:rPr>
              <w:t>PO8</w:t>
            </w:r>
          </w:p>
          <w:p w14:paraId="5A70E529" w14:textId="77777777" w:rsidR="00BE36FB" w:rsidRPr="009B7B35" w:rsidRDefault="00BE36FB" w:rsidP="001A7107">
            <w:pPr>
              <w:pStyle w:val="TableText"/>
              <w:rPr>
                <w:rFonts w:cs="Arial"/>
              </w:rPr>
            </w:pPr>
            <w:r w:rsidRPr="009B7B35">
              <w:rPr>
                <w:rFonts w:cs="Arial"/>
              </w:rPr>
              <w:t>Construction activities for the development avoid or minimise adverse impacts on stormwater quality.</w:t>
            </w:r>
          </w:p>
        </w:tc>
        <w:tc>
          <w:tcPr>
            <w:tcW w:w="4678" w:type="dxa"/>
          </w:tcPr>
          <w:p w14:paraId="38144038" w14:textId="77777777" w:rsidR="00BE36FB" w:rsidRPr="009B7B35" w:rsidRDefault="00BE36FB" w:rsidP="001A7107">
            <w:pPr>
              <w:pStyle w:val="TableText"/>
              <w:rPr>
                <w:rFonts w:cs="Arial"/>
                <w:b/>
              </w:rPr>
            </w:pPr>
            <w:r w:rsidRPr="009B7B35">
              <w:rPr>
                <w:rFonts w:cs="Arial"/>
                <w:b/>
              </w:rPr>
              <w:t>AO8</w:t>
            </w:r>
          </w:p>
          <w:p w14:paraId="7BF07484" w14:textId="77777777" w:rsidR="00BE36FB" w:rsidRPr="009B7B35" w:rsidRDefault="00BE36FB" w:rsidP="001A7107">
            <w:pPr>
              <w:pStyle w:val="TableText"/>
              <w:rPr>
                <w:rFonts w:cs="Arial"/>
              </w:rPr>
            </w:pPr>
            <w:r w:rsidRPr="009B7B35">
              <w:rPr>
                <w:rFonts w:cs="Arial"/>
              </w:rPr>
              <w:t xml:space="preserve">The release of sediment–laden stormwater is avoided for the nominated design storm, and minimised when the nominated design storm is exceeded, by addressing design objectives listed below in Table 9.3.5.3.2 (construction phase) or local equivalent, for: </w:t>
            </w:r>
          </w:p>
          <w:p w14:paraId="52B2D36E" w14:textId="77777777" w:rsidR="00BE36FB" w:rsidRPr="009B7B35" w:rsidRDefault="00BE36FB" w:rsidP="00BE36FB">
            <w:pPr>
              <w:pStyle w:val="TableText"/>
              <w:numPr>
                <w:ilvl w:val="0"/>
                <w:numId w:val="770"/>
              </w:numPr>
              <w:rPr>
                <w:rFonts w:cs="Arial"/>
              </w:rPr>
            </w:pPr>
            <w:r w:rsidRPr="009B7B35">
              <w:rPr>
                <w:rFonts w:cs="Arial"/>
              </w:rPr>
              <w:t>drainage control</w:t>
            </w:r>
          </w:p>
          <w:p w14:paraId="3165F6F5" w14:textId="77777777" w:rsidR="00BE36FB" w:rsidRPr="009B7B35" w:rsidRDefault="00BE36FB" w:rsidP="00BE36FB">
            <w:pPr>
              <w:pStyle w:val="TableText"/>
              <w:numPr>
                <w:ilvl w:val="0"/>
                <w:numId w:val="770"/>
              </w:numPr>
              <w:rPr>
                <w:rFonts w:cs="Arial"/>
              </w:rPr>
            </w:pPr>
            <w:r w:rsidRPr="009B7B35">
              <w:rPr>
                <w:rFonts w:cs="Arial"/>
              </w:rPr>
              <w:t>erosion control</w:t>
            </w:r>
          </w:p>
          <w:p w14:paraId="2FBFE03C" w14:textId="77777777" w:rsidR="00BE36FB" w:rsidRPr="009B7B35" w:rsidRDefault="00BE36FB" w:rsidP="00BE36FB">
            <w:pPr>
              <w:pStyle w:val="TableText"/>
              <w:numPr>
                <w:ilvl w:val="0"/>
                <w:numId w:val="770"/>
              </w:numPr>
              <w:rPr>
                <w:rFonts w:cs="Arial"/>
              </w:rPr>
            </w:pPr>
            <w:r w:rsidRPr="009B7B35">
              <w:rPr>
                <w:rFonts w:cs="Arial"/>
              </w:rPr>
              <w:t>sediment control, and</w:t>
            </w:r>
          </w:p>
          <w:p w14:paraId="6F0A1F5B" w14:textId="77777777" w:rsidR="00BE36FB" w:rsidRPr="009B7B35" w:rsidRDefault="00BE36FB" w:rsidP="00BE36FB">
            <w:pPr>
              <w:pStyle w:val="TableText"/>
              <w:numPr>
                <w:ilvl w:val="0"/>
                <w:numId w:val="770"/>
              </w:numPr>
              <w:rPr>
                <w:rFonts w:cs="Arial"/>
              </w:rPr>
            </w:pPr>
            <w:r w:rsidRPr="009B7B35">
              <w:rPr>
                <w:rFonts w:cs="Arial"/>
              </w:rPr>
              <w:t>water quality outcomes.</w:t>
            </w:r>
          </w:p>
          <w:p w14:paraId="7261E3C9" w14:textId="77777777" w:rsidR="00BE36FB" w:rsidRPr="009B7B35" w:rsidRDefault="00BE36FB" w:rsidP="001A7107">
            <w:pPr>
              <w:pStyle w:val="Notes"/>
              <w:rPr>
                <w:rFonts w:cs="Arial"/>
                <w:sz w:val="20"/>
                <w:szCs w:val="20"/>
              </w:rPr>
            </w:pPr>
            <w:r w:rsidRPr="009B7B35">
              <w:rPr>
                <w:rFonts w:cs="Arial"/>
                <w:sz w:val="20"/>
                <w:szCs w:val="20"/>
              </w:rPr>
              <w:t>Note—An Erosion and Sediment Control Plan (ESCP) is prepared by a suitably qualified person that demonstrates:</w:t>
            </w:r>
          </w:p>
          <w:p w14:paraId="306C8E6E" w14:textId="77777777" w:rsidR="00BE36FB" w:rsidRPr="009B7B35" w:rsidRDefault="00BE36FB" w:rsidP="001A7107">
            <w:pPr>
              <w:pStyle w:val="Notesbullet"/>
              <w:rPr>
                <w:rFonts w:cs="Arial"/>
                <w:sz w:val="20"/>
                <w:szCs w:val="20"/>
              </w:rPr>
            </w:pPr>
            <w:r w:rsidRPr="009B7B35">
              <w:rPr>
                <w:rFonts w:cs="Arial"/>
                <w:sz w:val="20"/>
                <w:szCs w:val="20"/>
              </w:rPr>
              <w:t xml:space="preserve">erosion and sediment control practices (including any proprietary erosion and sediment control products) are designed, installed, constructed, operated, monitored and maintained, and any other erosion and sediment control practices are carried out in accordance with local conditions; or </w:t>
            </w:r>
          </w:p>
          <w:p w14:paraId="4FA0E7E7" w14:textId="77777777" w:rsidR="00BE36FB" w:rsidRPr="009B7B35" w:rsidRDefault="00BE36FB" w:rsidP="001A7107">
            <w:pPr>
              <w:pStyle w:val="Notesbullet"/>
              <w:rPr>
                <w:rFonts w:cs="Arial"/>
                <w:sz w:val="20"/>
                <w:szCs w:val="20"/>
              </w:rPr>
            </w:pPr>
            <w:r w:rsidRPr="009B7B35">
              <w:rPr>
                <w:rFonts w:cs="Arial"/>
                <w:sz w:val="20"/>
                <w:szCs w:val="20"/>
              </w:rPr>
              <w:t>how stormwater quality will be managed in accordance with an acceptable regional or local guideline so that target contaminants are treated to a design objective at least equivalent to this Acceptable outcome.</w:t>
            </w:r>
          </w:p>
        </w:tc>
      </w:tr>
      <w:tr w:rsidR="00BE36FB" w:rsidRPr="009B7B35" w14:paraId="4E57A08C" w14:textId="77777777" w:rsidTr="001A7107">
        <w:trPr>
          <w:cantSplit/>
        </w:trPr>
        <w:tc>
          <w:tcPr>
            <w:tcW w:w="4678" w:type="dxa"/>
          </w:tcPr>
          <w:p w14:paraId="31E98784" w14:textId="77777777" w:rsidR="00BE36FB" w:rsidRPr="009B7B35" w:rsidRDefault="00BE36FB" w:rsidP="001A7107">
            <w:pPr>
              <w:pStyle w:val="TableText"/>
              <w:rPr>
                <w:rFonts w:cs="Arial"/>
                <w:b/>
              </w:rPr>
            </w:pPr>
            <w:r w:rsidRPr="009B7B35">
              <w:rPr>
                <w:rFonts w:cs="Arial"/>
                <w:b/>
              </w:rPr>
              <w:t>PO9</w:t>
            </w:r>
          </w:p>
          <w:p w14:paraId="6700B422" w14:textId="77777777" w:rsidR="00BE36FB" w:rsidRPr="009B7B35" w:rsidRDefault="00BE36FB" w:rsidP="001A7107">
            <w:pPr>
              <w:pStyle w:val="TableText"/>
              <w:rPr>
                <w:rFonts w:cs="Arial"/>
              </w:rPr>
            </w:pPr>
            <w:r w:rsidRPr="009B7B35">
              <w:rPr>
                <w:rFonts w:cs="Arial"/>
              </w:rPr>
              <w:t>Progressive rehabilitation of disturbed areas within the site is undertaken, as part of the completion of each stage of development, or where there are no stages, prior to the issuing of certificates of classification for building work or certificates of completion for operational work.</w:t>
            </w:r>
          </w:p>
        </w:tc>
        <w:tc>
          <w:tcPr>
            <w:tcW w:w="4678" w:type="dxa"/>
          </w:tcPr>
          <w:p w14:paraId="210B6CBF"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27EF65C" w14:textId="77777777" w:rsidTr="001A7107">
        <w:tc>
          <w:tcPr>
            <w:tcW w:w="4678" w:type="dxa"/>
          </w:tcPr>
          <w:p w14:paraId="12B6E770" w14:textId="77777777" w:rsidR="00BE36FB" w:rsidRPr="009B7B35" w:rsidRDefault="00BE36FB" w:rsidP="001A7107">
            <w:pPr>
              <w:pStyle w:val="TableText"/>
              <w:rPr>
                <w:rFonts w:cs="Arial"/>
                <w:b/>
              </w:rPr>
            </w:pPr>
            <w:r w:rsidRPr="009B7B35">
              <w:rPr>
                <w:rFonts w:cs="Arial"/>
                <w:b/>
              </w:rPr>
              <w:t>PO10</w:t>
            </w:r>
          </w:p>
          <w:p w14:paraId="0DD97F98" w14:textId="77777777" w:rsidR="00BE36FB" w:rsidRPr="009B7B35" w:rsidRDefault="00BE36FB" w:rsidP="001A7107">
            <w:pPr>
              <w:pStyle w:val="TableText"/>
              <w:rPr>
                <w:rFonts w:cs="Arial"/>
              </w:rPr>
            </w:pPr>
            <w:r w:rsidRPr="009B7B35">
              <w:rPr>
                <w:rFonts w:cs="Arial"/>
              </w:rPr>
              <w:t>Development provides for a comprehensive rehabilitation program which ensures that disturbed areas are stabilised, temporarily and long term, within reasonable timeframes to minimise erosion on site and sediment discharge from the site.</w:t>
            </w:r>
          </w:p>
        </w:tc>
        <w:tc>
          <w:tcPr>
            <w:tcW w:w="4678" w:type="dxa"/>
          </w:tcPr>
          <w:p w14:paraId="6C009DC4" w14:textId="77777777" w:rsidR="00BE36FB" w:rsidRPr="009B7B35" w:rsidRDefault="00BE36FB" w:rsidP="001A7107">
            <w:pPr>
              <w:pStyle w:val="TableText"/>
              <w:rPr>
                <w:rFonts w:cs="Arial"/>
                <w:b/>
              </w:rPr>
            </w:pPr>
            <w:r w:rsidRPr="009B7B35">
              <w:rPr>
                <w:rFonts w:cs="Arial"/>
                <w:b/>
              </w:rPr>
              <w:t>AO10</w:t>
            </w:r>
          </w:p>
          <w:p w14:paraId="6EB16734" w14:textId="77777777" w:rsidR="00BE36FB" w:rsidRPr="009B7B35" w:rsidRDefault="00BE36FB" w:rsidP="001A7107">
            <w:pPr>
              <w:pStyle w:val="TableText"/>
              <w:rPr>
                <w:rFonts w:cs="Arial"/>
              </w:rPr>
            </w:pPr>
            <w:r w:rsidRPr="009B7B35">
              <w:rPr>
                <w:rFonts w:cs="Arial"/>
              </w:rPr>
              <w:t>Development provides the following:</w:t>
            </w:r>
          </w:p>
          <w:p w14:paraId="26D13199" w14:textId="77777777" w:rsidR="00BE36FB" w:rsidRPr="009B7B35" w:rsidRDefault="00BE36FB" w:rsidP="00BE36FB">
            <w:pPr>
              <w:pStyle w:val="TableText"/>
              <w:numPr>
                <w:ilvl w:val="0"/>
                <w:numId w:val="813"/>
              </w:numPr>
              <w:ind w:left="652" w:hanging="652"/>
              <w:rPr>
                <w:rFonts w:cs="Arial"/>
              </w:rPr>
            </w:pPr>
            <w:r w:rsidRPr="009B7B35">
              <w:rPr>
                <w:rFonts w:cs="Arial"/>
              </w:rPr>
              <w:t xml:space="preserve">Erosion control is undertaken in a staged manner, such that disturbed areas are exposed for 30 days or less, in accordance with the Engineering Design Planning Scheme Policy </w:t>
            </w:r>
          </w:p>
          <w:p w14:paraId="4268903A" w14:textId="77777777" w:rsidR="00BE36FB" w:rsidRPr="009B7B35" w:rsidRDefault="00BE36FB" w:rsidP="00BE36FB">
            <w:pPr>
              <w:pStyle w:val="TableText"/>
              <w:numPr>
                <w:ilvl w:val="0"/>
                <w:numId w:val="813"/>
              </w:numPr>
              <w:ind w:left="652" w:hanging="652"/>
              <w:rPr>
                <w:rFonts w:cs="Arial"/>
              </w:rPr>
            </w:pPr>
            <w:r w:rsidRPr="009B7B35">
              <w:rPr>
                <w:rFonts w:cs="Arial"/>
              </w:rPr>
              <w:t>Grading and reshaping of the disturbed areas to provide controlled and stable drainage flow paths</w:t>
            </w:r>
          </w:p>
          <w:p w14:paraId="4071CC26" w14:textId="77777777" w:rsidR="00BE36FB" w:rsidRPr="009B7B35" w:rsidRDefault="00BE36FB" w:rsidP="00BE36FB">
            <w:pPr>
              <w:pStyle w:val="TableText"/>
              <w:numPr>
                <w:ilvl w:val="0"/>
                <w:numId w:val="813"/>
              </w:numPr>
              <w:ind w:left="652" w:hanging="652"/>
              <w:rPr>
                <w:rFonts w:cs="Arial"/>
              </w:rPr>
            </w:pPr>
            <w:r w:rsidRPr="009B7B35">
              <w:rPr>
                <w:rFonts w:cs="Arial"/>
              </w:rPr>
              <w:t xml:space="preserve">High velocity flows are diverted away from disturbed areas, and </w:t>
            </w:r>
          </w:p>
          <w:p w14:paraId="68B1A7CB" w14:textId="77777777" w:rsidR="00BE36FB" w:rsidRPr="009B7B35" w:rsidRDefault="00BE36FB" w:rsidP="00BE36FB">
            <w:pPr>
              <w:pStyle w:val="TableText"/>
              <w:numPr>
                <w:ilvl w:val="0"/>
                <w:numId w:val="813"/>
              </w:numPr>
              <w:ind w:left="652" w:hanging="652"/>
              <w:rPr>
                <w:rFonts w:cs="Arial"/>
              </w:rPr>
            </w:pPr>
            <w:r w:rsidRPr="009B7B35">
              <w:rPr>
                <w:rFonts w:cs="Arial"/>
              </w:rPr>
              <w:t xml:space="preserve">The site is long term stabilised by preparing the site for planting, re–spreading stored topsoil stripped from the site or new topsoil, planting the disturbed area with native species of grasses, ground covers and trees, and placing mulch. </w:t>
            </w:r>
          </w:p>
        </w:tc>
      </w:tr>
      <w:tr w:rsidR="00BE36FB" w:rsidRPr="009B7B35" w14:paraId="42607F3A" w14:textId="77777777" w:rsidTr="001A7107">
        <w:tc>
          <w:tcPr>
            <w:tcW w:w="4678" w:type="dxa"/>
          </w:tcPr>
          <w:p w14:paraId="5BBDD234" w14:textId="77777777" w:rsidR="00BE36FB" w:rsidRPr="009B7B35" w:rsidRDefault="00BE36FB">
            <w:pPr>
              <w:pStyle w:val="TableText"/>
              <w:rPr>
                <w:rFonts w:cs="Arial"/>
                <w:b/>
                <w:bCs/>
              </w:rPr>
            </w:pPr>
            <w:r w:rsidRPr="009B7B35">
              <w:rPr>
                <w:rFonts w:cs="Arial"/>
                <w:b/>
                <w:bCs/>
              </w:rPr>
              <w:t>PO11</w:t>
            </w:r>
          </w:p>
          <w:p w14:paraId="1C360A3C" w14:textId="77777777" w:rsidR="00BE36FB" w:rsidRPr="009B7B35" w:rsidRDefault="00BE36FB">
            <w:pPr>
              <w:pStyle w:val="TableText"/>
              <w:rPr>
                <w:rFonts w:cs="Arial"/>
              </w:rPr>
            </w:pPr>
            <w:r w:rsidRPr="009B7B35">
              <w:rPr>
                <w:rFonts w:cs="Arial"/>
              </w:rPr>
              <w:t>Premises in rural areas adopt a comprehensive approach to soil erosion and sedimentation management by:</w:t>
            </w:r>
          </w:p>
          <w:p w14:paraId="60335525" w14:textId="77777777" w:rsidR="00BE36FB" w:rsidRPr="009B7B35" w:rsidRDefault="00BE36FB" w:rsidP="00BE36FB">
            <w:pPr>
              <w:pStyle w:val="TableText"/>
              <w:numPr>
                <w:ilvl w:val="0"/>
                <w:numId w:val="771"/>
              </w:numPr>
              <w:rPr>
                <w:rFonts w:cs="Arial"/>
              </w:rPr>
            </w:pPr>
            <w:r w:rsidRPr="009B7B35">
              <w:rPr>
                <w:rFonts w:cs="Arial"/>
              </w:rPr>
              <w:t>avoiding land clearing or earthworks in the riparian corridor to a designated stream</w:t>
            </w:r>
          </w:p>
          <w:p w14:paraId="2C5652DF" w14:textId="77777777" w:rsidR="00BE36FB" w:rsidRPr="009B7B35" w:rsidRDefault="00BE36FB" w:rsidP="00BE36FB">
            <w:pPr>
              <w:pStyle w:val="TableText"/>
              <w:numPr>
                <w:ilvl w:val="0"/>
                <w:numId w:val="771"/>
              </w:numPr>
              <w:rPr>
                <w:rFonts w:cs="Arial"/>
              </w:rPr>
            </w:pPr>
            <w:r w:rsidRPr="009B7B35">
              <w:rPr>
                <w:rFonts w:cs="Arial"/>
              </w:rPr>
              <w:t>avoiding land clearing and earthworks on land with a slope steeper than 15%</w:t>
            </w:r>
          </w:p>
          <w:p w14:paraId="06B5F41B" w14:textId="77777777" w:rsidR="00BE36FB" w:rsidRPr="009B7B35" w:rsidRDefault="00BE36FB" w:rsidP="00BE36FB">
            <w:pPr>
              <w:pStyle w:val="TableText"/>
              <w:numPr>
                <w:ilvl w:val="0"/>
                <w:numId w:val="771"/>
              </w:numPr>
              <w:rPr>
                <w:rFonts w:cs="Arial"/>
              </w:rPr>
            </w:pPr>
            <w:r w:rsidRPr="009B7B35">
              <w:rPr>
                <w:rFonts w:cs="Arial"/>
              </w:rPr>
              <w:t>minimising the extent of disturbance on, or the stabilisation of slopes steeper than 10% (or 1:10)</w:t>
            </w:r>
          </w:p>
          <w:p w14:paraId="0D62610A" w14:textId="77777777" w:rsidR="00BE36FB" w:rsidRPr="009B7B35" w:rsidRDefault="00BE36FB" w:rsidP="00BE36FB">
            <w:pPr>
              <w:pStyle w:val="TableText"/>
              <w:numPr>
                <w:ilvl w:val="0"/>
                <w:numId w:val="771"/>
              </w:numPr>
              <w:rPr>
                <w:rFonts w:cs="Arial"/>
              </w:rPr>
            </w:pPr>
            <w:r w:rsidRPr="009B7B35">
              <w:rPr>
                <w:rFonts w:cs="Arial"/>
              </w:rPr>
              <w:t>managing and controlling surface drainage by using natural flow paths</w:t>
            </w:r>
          </w:p>
          <w:p w14:paraId="12317D13" w14:textId="77777777" w:rsidR="00BE36FB" w:rsidRPr="009B7B35" w:rsidRDefault="00BE36FB" w:rsidP="00BE36FB">
            <w:pPr>
              <w:pStyle w:val="TableText"/>
              <w:numPr>
                <w:ilvl w:val="0"/>
                <w:numId w:val="771"/>
              </w:numPr>
              <w:rPr>
                <w:rFonts w:cs="Arial"/>
              </w:rPr>
            </w:pPr>
            <w:r w:rsidRPr="009B7B35">
              <w:rPr>
                <w:rFonts w:cs="Arial"/>
              </w:rPr>
              <w:t>rehabilitating disturbed areas as soon as practical after completion of works by re–establishing the vegetation including seeding with native grasses, ground covers and trees and spreading mulch over the surface, and</w:t>
            </w:r>
          </w:p>
          <w:p w14:paraId="0F97FD79" w14:textId="77777777" w:rsidR="00BE36FB" w:rsidRPr="009B7B35" w:rsidRDefault="00BE36FB" w:rsidP="00BE36FB">
            <w:pPr>
              <w:pStyle w:val="TableText"/>
              <w:numPr>
                <w:ilvl w:val="0"/>
                <w:numId w:val="771"/>
              </w:numPr>
              <w:rPr>
                <w:rFonts w:cs="Arial"/>
              </w:rPr>
            </w:pPr>
            <w:r w:rsidRPr="009B7B35">
              <w:rPr>
                <w:rFonts w:cs="Arial"/>
              </w:rPr>
              <w:t>constructing ponds or small dams off natural flow paths, for collection of surface drainage from areas disturbed for prolonged periods, such as depots, quarries, and stock sales yards.</w:t>
            </w:r>
          </w:p>
        </w:tc>
        <w:tc>
          <w:tcPr>
            <w:tcW w:w="4678" w:type="dxa"/>
          </w:tcPr>
          <w:p w14:paraId="54E3CDF1" w14:textId="77777777" w:rsidR="00BE36FB" w:rsidRPr="009B7B35" w:rsidRDefault="00BE36FB">
            <w:pPr>
              <w:pStyle w:val="TableText"/>
              <w:rPr>
                <w:rFonts w:cs="Arial"/>
              </w:rPr>
            </w:pPr>
            <w:r w:rsidRPr="009B7B35">
              <w:rPr>
                <w:rFonts w:cs="Arial"/>
              </w:rPr>
              <w:t>No acceptable outcome is nominated.</w:t>
            </w:r>
          </w:p>
        </w:tc>
      </w:tr>
      <w:tr w:rsidR="00BE36FB" w:rsidRPr="009B7B35" w14:paraId="3F9885BE" w14:textId="77777777" w:rsidTr="001A7107">
        <w:trPr>
          <w:cantSplit/>
        </w:trPr>
        <w:tc>
          <w:tcPr>
            <w:tcW w:w="9356" w:type="dxa"/>
            <w:gridSpan w:val="2"/>
            <w:shd w:val="clear" w:color="auto" w:fill="BFBFBF" w:themeFill="background1" w:themeFillShade="BF"/>
          </w:tcPr>
          <w:p w14:paraId="0AFDA466" w14:textId="77777777" w:rsidR="00BE36FB" w:rsidRPr="009B7B35" w:rsidRDefault="00BE36FB" w:rsidP="001A7107">
            <w:pPr>
              <w:pStyle w:val="Tableheading"/>
              <w:rPr>
                <w:rFonts w:ascii="Arial" w:hAnsi="Arial" w:cs="Arial"/>
                <w:szCs w:val="20"/>
              </w:rPr>
            </w:pPr>
            <w:r w:rsidRPr="009B7B35">
              <w:rPr>
                <w:rFonts w:ascii="Arial" w:hAnsi="Arial" w:cs="Arial"/>
                <w:szCs w:val="20"/>
              </w:rPr>
              <w:t>Weed control</w:t>
            </w:r>
          </w:p>
        </w:tc>
      </w:tr>
      <w:tr w:rsidR="00BE36FB" w:rsidRPr="009B7B35" w14:paraId="793CBBA2" w14:textId="77777777" w:rsidTr="001A7107">
        <w:trPr>
          <w:cantSplit/>
        </w:trPr>
        <w:tc>
          <w:tcPr>
            <w:tcW w:w="4678" w:type="dxa"/>
          </w:tcPr>
          <w:p w14:paraId="594F95B3" w14:textId="77777777" w:rsidR="00BE36FB" w:rsidRPr="009B7B35" w:rsidRDefault="00BE36FB" w:rsidP="001A7107">
            <w:pPr>
              <w:pStyle w:val="TableText"/>
              <w:rPr>
                <w:rFonts w:cs="Arial"/>
                <w:b/>
              </w:rPr>
            </w:pPr>
            <w:r w:rsidRPr="009B7B35">
              <w:rPr>
                <w:rFonts w:cs="Arial"/>
                <w:b/>
              </w:rPr>
              <w:t>PO12</w:t>
            </w:r>
          </w:p>
          <w:p w14:paraId="5D2EDF66" w14:textId="77777777" w:rsidR="00BE36FB" w:rsidRPr="009B7B35" w:rsidRDefault="00BE36FB" w:rsidP="001A7107">
            <w:pPr>
              <w:pStyle w:val="TableText"/>
              <w:rPr>
                <w:rFonts w:cs="Arial"/>
              </w:rPr>
            </w:pPr>
            <w:r w:rsidRPr="009B7B35">
              <w:rPr>
                <w:rFonts w:cs="Arial"/>
              </w:rPr>
              <w:t>Weed control practices and plant and equipment cleaning and inspection protocols are:</w:t>
            </w:r>
          </w:p>
          <w:p w14:paraId="6A3D310E" w14:textId="77777777" w:rsidR="00BE36FB" w:rsidRPr="009B7B35" w:rsidRDefault="00BE36FB" w:rsidP="00BE36FB">
            <w:pPr>
              <w:pStyle w:val="TableText"/>
              <w:numPr>
                <w:ilvl w:val="0"/>
                <w:numId w:val="772"/>
              </w:numPr>
              <w:rPr>
                <w:rFonts w:cs="Arial"/>
              </w:rPr>
            </w:pPr>
            <w:r w:rsidRPr="009B7B35">
              <w:rPr>
                <w:rFonts w:cs="Arial"/>
              </w:rPr>
              <w:t xml:space="preserve">implemented to avoid the introduction and spread of weeds along transport routes and delivery points, and </w:t>
            </w:r>
          </w:p>
          <w:p w14:paraId="488FE098" w14:textId="77777777" w:rsidR="00BE36FB" w:rsidRPr="009B7B35" w:rsidRDefault="00BE36FB" w:rsidP="00BE36FB">
            <w:pPr>
              <w:pStyle w:val="TableText"/>
              <w:numPr>
                <w:ilvl w:val="0"/>
                <w:numId w:val="772"/>
              </w:numPr>
              <w:rPr>
                <w:rFonts w:cs="Arial"/>
              </w:rPr>
            </w:pPr>
            <w:r w:rsidRPr="009B7B35">
              <w:rPr>
                <w:rFonts w:cs="Arial"/>
              </w:rPr>
              <w:t>undertaken to control existing declared weeds and pest animals prior to the commencement of and during works.</w:t>
            </w:r>
          </w:p>
        </w:tc>
        <w:tc>
          <w:tcPr>
            <w:tcW w:w="4678" w:type="dxa"/>
          </w:tcPr>
          <w:p w14:paraId="52A80062" w14:textId="77777777" w:rsidR="00BE36FB" w:rsidRPr="009B7B35" w:rsidRDefault="00BE36FB" w:rsidP="001A7107">
            <w:pPr>
              <w:pStyle w:val="TableText"/>
              <w:rPr>
                <w:rFonts w:cs="Arial"/>
                <w:b/>
              </w:rPr>
            </w:pPr>
            <w:r w:rsidRPr="009B7B35">
              <w:rPr>
                <w:rFonts w:cs="Arial"/>
                <w:b/>
              </w:rPr>
              <w:t>AO12</w:t>
            </w:r>
          </w:p>
          <w:p w14:paraId="12238F4A" w14:textId="77777777" w:rsidR="00BE36FB" w:rsidRPr="009B7B35" w:rsidRDefault="00BE36FB" w:rsidP="001A7107">
            <w:pPr>
              <w:pStyle w:val="TableText"/>
              <w:rPr>
                <w:rFonts w:cs="Arial"/>
              </w:rPr>
            </w:pPr>
            <w:r w:rsidRPr="009B7B35">
              <w:rPr>
                <w:rFonts w:cs="Arial"/>
              </w:rPr>
              <w:t xml:space="preserve">Reasonable steps have been taken to ensure that the vehicle or ‘thing’ being moved by road is free of reproductive material of any Class 1, 2 or 3 declared weeds. For example, compliance with the </w:t>
            </w:r>
            <w:r w:rsidRPr="009B7B35">
              <w:rPr>
                <w:rFonts w:cs="Arial"/>
                <w:i/>
              </w:rPr>
              <w:t xml:space="preserve">Queensland Guideline for Limiting Weed Seed Spread (DNR 2000). </w:t>
            </w:r>
          </w:p>
        </w:tc>
      </w:tr>
      <w:tr w:rsidR="00BE36FB" w:rsidRPr="009B7B35" w14:paraId="09A2A2B4" w14:textId="77777777" w:rsidTr="001A7107">
        <w:trPr>
          <w:cantSplit/>
        </w:trPr>
        <w:tc>
          <w:tcPr>
            <w:tcW w:w="9356" w:type="dxa"/>
            <w:gridSpan w:val="2"/>
            <w:shd w:val="clear" w:color="auto" w:fill="BFBFBF" w:themeFill="background1" w:themeFillShade="BF"/>
          </w:tcPr>
          <w:p w14:paraId="29F72712" w14:textId="77777777" w:rsidR="00BE36FB" w:rsidRPr="009B7B35" w:rsidRDefault="00BE36FB" w:rsidP="001A7107">
            <w:pPr>
              <w:pStyle w:val="Tableheading"/>
              <w:rPr>
                <w:rFonts w:ascii="Arial" w:hAnsi="Arial" w:cs="Arial"/>
                <w:szCs w:val="20"/>
              </w:rPr>
            </w:pPr>
            <w:r w:rsidRPr="009B7B35">
              <w:rPr>
                <w:rFonts w:ascii="Arial" w:hAnsi="Arial" w:cs="Arial"/>
                <w:szCs w:val="20"/>
              </w:rPr>
              <w:t>Amenity, acoustic and air quality</w:t>
            </w:r>
          </w:p>
        </w:tc>
      </w:tr>
      <w:tr w:rsidR="00BE36FB" w:rsidRPr="009B7B35" w14:paraId="30BB9617" w14:textId="77777777" w:rsidTr="001A7107">
        <w:trPr>
          <w:cantSplit/>
        </w:trPr>
        <w:tc>
          <w:tcPr>
            <w:tcW w:w="4678" w:type="dxa"/>
          </w:tcPr>
          <w:p w14:paraId="3F48799B" w14:textId="77777777" w:rsidR="00BE36FB" w:rsidRPr="009B7B35" w:rsidRDefault="00BE36FB" w:rsidP="001A7107">
            <w:pPr>
              <w:pStyle w:val="TableText"/>
              <w:rPr>
                <w:rFonts w:cs="Arial"/>
                <w:b/>
              </w:rPr>
            </w:pPr>
            <w:r w:rsidRPr="009B7B35">
              <w:rPr>
                <w:rFonts w:cs="Arial"/>
                <w:b/>
              </w:rPr>
              <w:t>PO13</w:t>
            </w:r>
          </w:p>
          <w:p w14:paraId="5A6DFB36" w14:textId="77777777" w:rsidR="00BE36FB" w:rsidRPr="009B7B35" w:rsidRDefault="00BE36FB" w:rsidP="001A7107">
            <w:pPr>
              <w:pStyle w:val="TableText"/>
              <w:rPr>
                <w:rFonts w:cs="Arial"/>
              </w:rPr>
            </w:pPr>
            <w:r w:rsidRPr="009B7B35">
              <w:rPr>
                <w:rFonts w:cs="Arial"/>
              </w:rPr>
              <w:t>Development is planned, designed and managed to ensure emissions and odours from activities achieve the appropriate air quality and noise objectives (measured at the receptor).</w:t>
            </w:r>
          </w:p>
          <w:p w14:paraId="484B2088" w14:textId="77777777" w:rsidR="00BE36FB" w:rsidRPr="009B7B35" w:rsidRDefault="00BE36FB" w:rsidP="001A7107">
            <w:pPr>
              <w:pStyle w:val="Notes"/>
              <w:rPr>
                <w:rFonts w:cs="Arial"/>
                <w:sz w:val="20"/>
                <w:szCs w:val="20"/>
              </w:rPr>
            </w:pPr>
            <w:r w:rsidRPr="009B7B35">
              <w:rPr>
                <w:rFonts w:cs="Arial"/>
                <w:sz w:val="20"/>
                <w:szCs w:val="20"/>
              </w:rPr>
              <w:t xml:space="preserve">Note—These levels are in accordance with the Environmental Protection (Air) Policy 2008, and Environmental Protection (Noise) Policy 2008. </w:t>
            </w:r>
          </w:p>
        </w:tc>
        <w:tc>
          <w:tcPr>
            <w:tcW w:w="4678" w:type="dxa"/>
          </w:tcPr>
          <w:p w14:paraId="052BDA0D" w14:textId="77777777" w:rsidR="00BE36FB" w:rsidRPr="009B7B35" w:rsidRDefault="00BE36FB" w:rsidP="001A7107">
            <w:pPr>
              <w:pStyle w:val="TableText"/>
              <w:rPr>
                <w:rFonts w:cs="Arial"/>
                <w:b/>
              </w:rPr>
            </w:pPr>
            <w:r w:rsidRPr="009B7B35">
              <w:rPr>
                <w:rFonts w:cs="Arial"/>
                <w:b/>
              </w:rPr>
              <w:t>AO13</w:t>
            </w:r>
          </w:p>
          <w:p w14:paraId="7E58D3A0"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B57A32C" w14:textId="77777777" w:rsidTr="001A7107">
        <w:trPr>
          <w:cantSplit/>
        </w:trPr>
        <w:tc>
          <w:tcPr>
            <w:tcW w:w="4678" w:type="dxa"/>
          </w:tcPr>
          <w:p w14:paraId="2779B8AA" w14:textId="77777777" w:rsidR="00BE36FB" w:rsidRPr="009B7B35" w:rsidRDefault="00BE36FB" w:rsidP="001A7107">
            <w:pPr>
              <w:pStyle w:val="TableText"/>
              <w:rPr>
                <w:rFonts w:cs="Arial"/>
                <w:b/>
              </w:rPr>
            </w:pPr>
            <w:r w:rsidRPr="009B7B35">
              <w:rPr>
                <w:rFonts w:cs="Arial"/>
                <w:b/>
              </w:rPr>
              <w:t>PO14</w:t>
            </w:r>
          </w:p>
          <w:p w14:paraId="03AE101A" w14:textId="77777777" w:rsidR="00BE36FB" w:rsidRPr="009B7B35" w:rsidRDefault="00BE36FB" w:rsidP="001A7107">
            <w:pPr>
              <w:pStyle w:val="TableText"/>
              <w:rPr>
                <w:rFonts w:cs="Arial"/>
              </w:rPr>
            </w:pPr>
            <w:r w:rsidRPr="009B7B35">
              <w:rPr>
                <w:rFonts w:cs="Arial"/>
              </w:rPr>
              <w:t xml:space="preserve">Development does not generate vibration from activities that will affect the amenity of surrounding land uses. </w:t>
            </w:r>
          </w:p>
        </w:tc>
        <w:tc>
          <w:tcPr>
            <w:tcW w:w="4678" w:type="dxa"/>
          </w:tcPr>
          <w:p w14:paraId="47AC6DB7" w14:textId="77777777" w:rsidR="00BE36FB" w:rsidRPr="009B7B35" w:rsidRDefault="00BE36FB" w:rsidP="001A7107">
            <w:pPr>
              <w:pStyle w:val="TableText"/>
              <w:rPr>
                <w:rFonts w:cs="Arial"/>
                <w:b/>
              </w:rPr>
            </w:pPr>
            <w:r w:rsidRPr="009B7B35">
              <w:rPr>
                <w:rFonts w:cs="Arial"/>
                <w:b/>
              </w:rPr>
              <w:t>AO14</w:t>
            </w:r>
          </w:p>
          <w:p w14:paraId="3CF9EF21" w14:textId="77777777" w:rsidR="00BE36FB" w:rsidRPr="009B7B35" w:rsidRDefault="00BE36FB" w:rsidP="001A7107">
            <w:pPr>
              <w:pStyle w:val="TableText"/>
              <w:rPr>
                <w:rFonts w:cs="Arial"/>
              </w:rPr>
            </w:pPr>
            <w:r w:rsidRPr="009B7B35">
              <w:rPr>
                <w:rFonts w:cs="Arial"/>
              </w:rPr>
              <w:t xml:space="preserve">The development does not result in vibration impacts outside of the development site. </w:t>
            </w:r>
          </w:p>
        </w:tc>
      </w:tr>
      <w:tr w:rsidR="00BE36FB" w:rsidRPr="009B7B35" w14:paraId="5E02C2FC" w14:textId="77777777" w:rsidTr="001A7107">
        <w:trPr>
          <w:cantSplit/>
        </w:trPr>
        <w:tc>
          <w:tcPr>
            <w:tcW w:w="9356" w:type="dxa"/>
            <w:gridSpan w:val="2"/>
            <w:shd w:val="clear" w:color="auto" w:fill="BFBFBF" w:themeFill="background1" w:themeFillShade="BF"/>
          </w:tcPr>
          <w:p w14:paraId="4C1BB530" w14:textId="77777777" w:rsidR="00BE36FB" w:rsidRPr="009B7B35" w:rsidRDefault="00BE36FB" w:rsidP="001A7107">
            <w:pPr>
              <w:pStyle w:val="Tableheading"/>
              <w:rPr>
                <w:rFonts w:ascii="Arial" w:hAnsi="Arial" w:cs="Arial"/>
                <w:szCs w:val="20"/>
              </w:rPr>
            </w:pPr>
            <w:r w:rsidRPr="009B7B35">
              <w:rPr>
                <w:rFonts w:ascii="Arial" w:hAnsi="Arial" w:cs="Arial"/>
                <w:szCs w:val="20"/>
              </w:rPr>
              <w:t>Lighting</w:t>
            </w:r>
          </w:p>
        </w:tc>
      </w:tr>
      <w:tr w:rsidR="00BE36FB" w:rsidRPr="009B7B35" w14:paraId="41B0CE69" w14:textId="77777777" w:rsidTr="001A7107">
        <w:tc>
          <w:tcPr>
            <w:tcW w:w="4678" w:type="dxa"/>
          </w:tcPr>
          <w:p w14:paraId="2AFF2181" w14:textId="77777777" w:rsidR="00BE36FB" w:rsidRPr="009B7B35" w:rsidRDefault="00BE36FB" w:rsidP="001A7107">
            <w:pPr>
              <w:pStyle w:val="TableText"/>
              <w:rPr>
                <w:rFonts w:cs="Arial"/>
                <w:b/>
              </w:rPr>
            </w:pPr>
            <w:r w:rsidRPr="009B7B35">
              <w:rPr>
                <w:rFonts w:cs="Arial"/>
                <w:b/>
              </w:rPr>
              <w:t>PO15</w:t>
            </w:r>
          </w:p>
          <w:p w14:paraId="18B5112E" w14:textId="77777777" w:rsidR="00BE36FB" w:rsidRPr="009B7B35" w:rsidRDefault="00BE36FB" w:rsidP="001A7107">
            <w:pPr>
              <w:pStyle w:val="TableText"/>
              <w:rPr>
                <w:rFonts w:cs="Arial"/>
              </w:rPr>
            </w:pPr>
            <w:r w:rsidRPr="009B7B35">
              <w:rPr>
                <w:rFonts w:cs="Arial"/>
              </w:rPr>
              <w:t>External lighting is provided in urban areas to ensure a safe environment.</w:t>
            </w:r>
          </w:p>
        </w:tc>
        <w:tc>
          <w:tcPr>
            <w:tcW w:w="4678" w:type="dxa"/>
          </w:tcPr>
          <w:p w14:paraId="7560D7D7" w14:textId="77777777" w:rsidR="00BE36FB" w:rsidRPr="009B7B35" w:rsidRDefault="00BE36FB" w:rsidP="001A7107">
            <w:pPr>
              <w:pStyle w:val="TableText"/>
              <w:rPr>
                <w:rFonts w:cs="Arial"/>
                <w:b/>
              </w:rPr>
            </w:pPr>
            <w:r w:rsidRPr="009B7B35">
              <w:rPr>
                <w:rFonts w:cs="Arial"/>
                <w:b/>
              </w:rPr>
              <w:t>AO15</w:t>
            </w:r>
          </w:p>
          <w:p w14:paraId="1F4553E9" w14:textId="77777777" w:rsidR="00BE36FB" w:rsidRPr="009B7B35" w:rsidRDefault="00BE36FB" w:rsidP="001A7107">
            <w:pPr>
              <w:pStyle w:val="TableText"/>
              <w:rPr>
                <w:rFonts w:cs="Arial"/>
              </w:rPr>
            </w:pPr>
            <w:r w:rsidRPr="009B7B35">
              <w:rPr>
                <w:rFonts w:cs="Arial"/>
              </w:rPr>
              <w:t xml:space="preserve">Technical parameters, design, installation, operation and maintenance of outdoor lighting comply with the requirements of </w:t>
            </w:r>
            <w:r w:rsidRPr="009B7B35">
              <w:rPr>
                <w:rFonts w:cs="Arial"/>
                <w:i/>
              </w:rPr>
              <w:t>AS4282 – Control of the Obtrusive Effects of Outdoor Lighting</w:t>
            </w:r>
            <w:r w:rsidRPr="009B7B35">
              <w:rPr>
                <w:rFonts w:cs="Arial"/>
              </w:rPr>
              <w:t>.</w:t>
            </w:r>
          </w:p>
        </w:tc>
      </w:tr>
      <w:tr w:rsidR="00BE36FB" w:rsidRPr="009B7B35" w14:paraId="6A5FB61A" w14:textId="77777777" w:rsidTr="001A7107">
        <w:tc>
          <w:tcPr>
            <w:tcW w:w="4678" w:type="dxa"/>
          </w:tcPr>
          <w:p w14:paraId="36EB77E6" w14:textId="77777777" w:rsidR="00BE36FB" w:rsidRPr="009B7B35" w:rsidRDefault="00BE36FB" w:rsidP="001A7107">
            <w:pPr>
              <w:pStyle w:val="TableText"/>
              <w:rPr>
                <w:rFonts w:cs="Arial"/>
                <w:b/>
              </w:rPr>
            </w:pPr>
            <w:r w:rsidRPr="009B7B35">
              <w:rPr>
                <w:rFonts w:cs="Arial"/>
                <w:b/>
              </w:rPr>
              <w:t>PO16</w:t>
            </w:r>
          </w:p>
          <w:p w14:paraId="02637FA9" w14:textId="77777777" w:rsidR="00BE36FB" w:rsidRPr="009B7B35" w:rsidRDefault="00BE36FB" w:rsidP="001A7107">
            <w:pPr>
              <w:pStyle w:val="TableText"/>
              <w:rPr>
                <w:rFonts w:cs="Arial"/>
              </w:rPr>
            </w:pPr>
            <w:r w:rsidRPr="009B7B35">
              <w:rPr>
                <w:rFonts w:cs="Arial"/>
              </w:rPr>
              <w:t>Outdoor lighting does not cause undue disturbance to any person, activity or fauna because of emission, either directly or by reflection.</w:t>
            </w:r>
          </w:p>
        </w:tc>
        <w:tc>
          <w:tcPr>
            <w:tcW w:w="4678" w:type="dxa"/>
          </w:tcPr>
          <w:p w14:paraId="3E252659" w14:textId="77777777" w:rsidR="00BE36FB" w:rsidRPr="009B7B35" w:rsidRDefault="00BE36FB" w:rsidP="001A7107">
            <w:pPr>
              <w:pStyle w:val="TableText"/>
              <w:rPr>
                <w:rFonts w:cs="Arial"/>
                <w:b/>
              </w:rPr>
            </w:pPr>
            <w:r w:rsidRPr="009B7B35">
              <w:rPr>
                <w:rFonts w:cs="Arial"/>
                <w:b/>
              </w:rPr>
              <w:t>AO16</w:t>
            </w:r>
          </w:p>
          <w:p w14:paraId="323D07C4" w14:textId="77777777" w:rsidR="00BE36FB" w:rsidRPr="009B7B35" w:rsidRDefault="00BE36FB" w:rsidP="001A7107">
            <w:pPr>
              <w:pStyle w:val="TableText"/>
              <w:rPr>
                <w:rFonts w:cs="Arial"/>
              </w:rPr>
            </w:pPr>
            <w:r w:rsidRPr="009B7B35">
              <w:rPr>
                <w:rFonts w:cs="Arial"/>
              </w:rPr>
              <w:t>The vertical illumination resulting from direct, reflected or other incidental light coming from a site does not exceed 8 lux when measured at any point 1.5m outside of the boundary of the property at any level from ground level up.</w:t>
            </w:r>
          </w:p>
        </w:tc>
      </w:tr>
      <w:tr w:rsidR="00BE36FB" w:rsidRPr="009B7B35" w14:paraId="6ACDA8D8" w14:textId="77777777" w:rsidTr="001A7107">
        <w:trPr>
          <w:cantSplit/>
        </w:trPr>
        <w:tc>
          <w:tcPr>
            <w:tcW w:w="9356" w:type="dxa"/>
            <w:gridSpan w:val="2"/>
            <w:shd w:val="clear" w:color="auto" w:fill="BFBFBF" w:themeFill="background1" w:themeFillShade="BF"/>
          </w:tcPr>
          <w:p w14:paraId="74DA03B8" w14:textId="77777777" w:rsidR="00BE36FB" w:rsidRPr="009B7B35" w:rsidRDefault="00BE36FB" w:rsidP="001A7107">
            <w:pPr>
              <w:pStyle w:val="Tableheading"/>
              <w:rPr>
                <w:rFonts w:ascii="Arial" w:hAnsi="Arial" w:cs="Arial"/>
                <w:szCs w:val="20"/>
              </w:rPr>
            </w:pPr>
            <w:r w:rsidRPr="009B7B35">
              <w:rPr>
                <w:rFonts w:ascii="Arial" w:hAnsi="Arial" w:cs="Arial"/>
                <w:szCs w:val="20"/>
              </w:rPr>
              <w:t>Operational works and electricity infrastructure</w:t>
            </w:r>
          </w:p>
        </w:tc>
      </w:tr>
      <w:tr w:rsidR="00BE36FB" w:rsidRPr="009B7B35" w14:paraId="7B362BE0" w14:textId="77777777" w:rsidTr="001A7107">
        <w:trPr>
          <w:cantSplit/>
        </w:trPr>
        <w:tc>
          <w:tcPr>
            <w:tcW w:w="4678" w:type="dxa"/>
            <w:vMerge w:val="restart"/>
          </w:tcPr>
          <w:p w14:paraId="6ED3622C" w14:textId="77777777" w:rsidR="00BE36FB" w:rsidRPr="009B7B35" w:rsidRDefault="00BE36FB" w:rsidP="001A7107">
            <w:pPr>
              <w:pStyle w:val="TableText"/>
              <w:rPr>
                <w:rFonts w:cs="Arial"/>
                <w:b/>
              </w:rPr>
            </w:pPr>
            <w:r w:rsidRPr="009B7B35">
              <w:rPr>
                <w:rFonts w:cs="Arial"/>
                <w:b/>
              </w:rPr>
              <w:t>PO17</w:t>
            </w:r>
          </w:p>
          <w:p w14:paraId="3E6A2DFE" w14:textId="77777777" w:rsidR="00BE36FB" w:rsidRPr="009B7B35" w:rsidRDefault="00BE36FB" w:rsidP="001A7107">
            <w:pPr>
              <w:pStyle w:val="TableText"/>
              <w:rPr>
                <w:rFonts w:cs="Arial"/>
              </w:rPr>
            </w:pPr>
            <w:r w:rsidRPr="009B7B35">
              <w:rPr>
                <w:rFonts w:cs="Arial"/>
              </w:rPr>
              <w:t>The excavation, filling or laying of pipes within the vicinity of electricity supply infrastructure will not create potential damage or hazard.</w:t>
            </w:r>
          </w:p>
          <w:p w14:paraId="0A73346E" w14:textId="77777777" w:rsidR="00BE36FB" w:rsidRPr="009B7B35" w:rsidRDefault="00BE36FB" w:rsidP="001A7107">
            <w:pPr>
              <w:pStyle w:val="Notes"/>
              <w:rPr>
                <w:rFonts w:cs="Arial"/>
                <w:sz w:val="20"/>
                <w:szCs w:val="20"/>
              </w:rPr>
            </w:pPr>
            <w:r w:rsidRPr="009B7B35">
              <w:rPr>
                <w:rFonts w:cs="Arial"/>
                <w:sz w:val="20"/>
                <w:szCs w:val="20"/>
              </w:rPr>
              <w:t>Note—Development involving filling, or excavation or laying of metal pipes on land contiguous to electricity supply infrastructure should be referred to the relevant electricity entity for safety advice on the proposed development.</w:t>
            </w:r>
          </w:p>
        </w:tc>
        <w:tc>
          <w:tcPr>
            <w:tcW w:w="4678" w:type="dxa"/>
          </w:tcPr>
          <w:p w14:paraId="00AF1A8F" w14:textId="77777777" w:rsidR="00BE36FB" w:rsidRPr="009B7B35" w:rsidRDefault="00BE36FB" w:rsidP="001A7107">
            <w:pPr>
              <w:pStyle w:val="TableText"/>
              <w:rPr>
                <w:rFonts w:cs="Arial"/>
                <w:b/>
              </w:rPr>
            </w:pPr>
            <w:r w:rsidRPr="009B7B35">
              <w:rPr>
                <w:rFonts w:cs="Arial"/>
                <w:b/>
              </w:rPr>
              <w:t>AO17.1</w:t>
            </w:r>
          </w:p>
          <w:p w14:paraId="589A9512" w14:textId="77777777" w:rsidR="00BE36FB" w:rsidRPr="009B7B35" w:rsidRDefault="00BE36FB" w:rsidP="001A7107">
            <w:pPr>
              <w:pStyle w:val="TableText"/>
              <w:rPr>
                <w:rFonts w:cs="Arial"/>
              </w:rPr>
            </w:pPr>
            <w:r w:rsidRPr="009B7B35">
              <w:rPr>
                <w:rFonts w:cs="Arial"/>
              </w:rPr>
              <w:t>Excavation of filling does not occur within:</w:t>
            </w:r>
          </w:p>
          <w:p w14:paraId="3D55CB6D" w14:textId="77777777" w:rsidR="00BE36FB" w:rsidRPr="009B7B35" w:rsidRDefault="00BE36FB" w:rsidP="00BE36FB">
            <w:pPr>
              <w:pStyle w:val="TableText"/>
              <w:numPr>
                <w:ilvl w:val="0"/>
                <w:numId w:val="773"/>
              </w:numPr>
              <w:rPr>
                <w:rFonts w:cs="Arial"/>
              </w:rPr>
            </w:pPr>
            <w:r w:rsidRPr="009B7B35">
              <w:rPr>
                <w:rFonts w:cs="Arial"/>
              </w:rPr>
              <w:t>10m of any tower, pole, foundation, ground anchorage or stay supporting electric lines or associated equipment</w:t>
            </w:r>
          </w:p>
          <w:p w14:paraId="1F69EB84" w14:textId="77777777" w:rsidR="00BE36FB" w:rsidRPr="009B7B35" w:rsidRDefault="00BE36FB" w:rsidP="00BE36FB">
            <w:pPr>
              <w:pStyle w:val="TableText"/>
              <w:numPr>
                <w:ilvl w:val="0"/>
                <w:numId w:val="773"/>
              </w:numPr>
              <w:rPr>
                <w:rFonts w:cs="Arial"/>
              </w:rPr>
            </w:pPr>
            <w:r w:rsidRPr="009B7B35">
              <w:rPr>
                <w:rFonts w:cs="Arial"/>
              </w:rPr>
              <w:t>5m of a substation site boundary</w:t>
            </w:r>
          </w:p>
          <w:p w14:paraId="3D7CF567" w14:textId="77777777" w:rsidR="00BE36FB" w:rsidRPr="009B7B35" w:rsidRDefault="00BE36FB" w:rsidP="00BE36FB">
            <w:pPr>
              <w:pStyle w:val="TableText"/>
              <w:numPr>
                <w:ilvl w:val="0"/>
                <w:numId w:val="773"/>
              </w:numPr>
              <w:rPr>
                <w:rFonts w:cs="Arial"/>
              </w:rPr>
            </w:pPr>
            <w:r w:rsidRPr="009B7B35">
              <w:rPr>
                <w:rFonts w:cs="Arial"/>
              </w:rPr>
              <w:t>2m of a padmount substation, or</w:t>
            </w:r>
          </w:p>
          <w:p w14:paraId="7DDF5112" w14:textId="77777777" w:rsidR="00BE36FB" w:rsidRPr="009B7B35" w:rsidRDefault="00BE36FB" w:rsidP="00BE36FB">
            <w:pPr>
              <w:pStyle w:val="TableText"/>
              <w:numPr>
                <w:ilvl w:val="0"/>
                <w:numId w:val="773"/>
              </w:numPr>
              <w:rPr>
                <w:rFonts w:cs="Arial"/>
              </w:rPr>
            </w:pPr>
            <w:r w:rsidRPr="009B7B35">
              <w:rPr>
                <w:rFonts w:cs="Arial"/>
              </w:rPr>
              <w:t>1m of a padmount transformer or an underground cable.</w:t>
            </w:r>
          </w:p>
        </w:tc>
      </w:tr>
      <w:tr w:rsidR="00BE36FB" w:rsidRPr="009B7B35" w14:paraId="3992DA99" w14:textId="77777777" w:rsidTr="001A7107">
        <w:trPr>
          <w:cantSplit/>
        </w:trPr>
        <w:tc>
          <w:tcPr>
            <w:tcW w:w="4678" w:type="dxa"/>
            <w:vMerge/>
          </w:tcPr>
          <w:p w14:paraId="683E38D1" w14:textId="77777777" w:rsidR="00BE36FB" w:rsidRPr="009B7B35" w:rsidRDefault="00BE36FB" w:rsidP="001A7107">
            <w:pPr>
              <w:pStyle w:val="TableText"/>
              <w:rPr>
                <w:rFonts w:cs="Arial"/>
              </w:rPr>
            </w:pPr>
          </w:p>
        </w:tc>
        <w:tc>
          <w:tcPr>
            <w:tcW w:w="4678" w:type="dxa"/>
          </w:tcPr>
          <w:p w14:paraId="3616A14A" w14:textId="77777777" w:rsidR="00BE36FB" w:rsidRPr="009B7B35" w:rsidRDefault="00BE36FB" w:rsidP="001A7107">
            <w:pPr>
              <w:pStyle w:val="TableText"/>
              <w:rPr>
                <w:rFonts w:cs="Arial"/>
                <w:b/>
              </w:rPr>
            </w:pPr>
            <w:r w:rsidRPr="009B7B35">
              <w:rPr>
                <w:rFonts w:cs="Arial"/>
                <w:b/>
              </w:rPr>
              <w:t>AO17.2</w:t>
            </w:r>
          </w:p>
          <w:p w14:paraId="1D3654EC" w14:textId="77777777" w:rsidR="00BE36FB" w:rsidRPr="009B7B35" w:rsidRDefault="00BE36FB" w:rsidP="001A7107">
            <w:pPr>
              <w:pStyle w:val="TableText"/>
              <w:rPr>
                <w:rFonts w:cs="Arial"/>
              </w:rPr>
            </w:pPr>
            <w:r w:rsidRPr="009B7B35">
              <w:rPr>
                <w:rFonts w:cs="Arial"/>
              </w:rPr>
              <w:t>The laying of metal pipes does not occur within:</w:t>
            </w:r>
          </w:p>
          <w:p w14:paraId="4864AEAF" w14:textId="77777777" w:rsidR="00BE36FB" w:rsidRPr="009B7B35" w:rsidRDefault="00BE36FB" w:rsidP="00BE36FB">
            <w:pPr>
              <w:pStyle w:val="TableText"/>
              <w:numPr>
                <w:ilvl w:val="0"/>
                <w:numId w:val="774"/>
              </w:numPr>
              <w:rPr>
                <w:rFonts w:cs="Arial"/>
              </w:rPr>
            </w:pPr>
            <w:r w:rsidRPr="009B7B35">
              <w:rPr>
                <w:rFonts w:cs="Arial"/>
              </w:rPr>
              <w:t>5m of any pole, tower, foundation, ground anchorage or stay supporting electric lines or associated equipment</w:t>
            </w:r>
          </w:p>
          <w:p w14:paraId="598E5E51" w14:textId="77777777" w:rsidR="00BE36FB" w:rsidRPr="009B7B35" w:rsidRDefault="00BE36FB" w:rsidP="00BE36FB">
            <w:pPr>
              <w:pStyle w:val="TableText"/>
              <w:numPr>
                <w:ilvl w:val="0"/>
                <w:numId w:val="774"/>
              </w:numPr>
              <w:rPr>
                <w:rFonts w:cs="Arial"/>
              </w:rPr>
            </w:pPr>
            <w:r w:rsidRPr="009B7B35">
              <w:rPr>
                <w:rFonts w:cs="Arial"/>
              </w:rPr>
              <w:t>15m of any substation site boundary, or</w:t>
            </w:r>
          </w:p>
          <w:p w14:paraId="45C53519" w14:textId="77777777" w:rsidR="00BE36FB" w:rsidRPr="009B7B35" w:rsidRDefault="00BE36FB" w:rsidP="00BE36FB">
            <w:pPr>
              <w:pStyle w:val="TableText"/>
              <w:numPr>
                <w:ilvl w:val="0"/>
                <w:numId w:val="774"/>
              </w:numPr>
              <w:rPr>
                <w:rFonts w:cs="Arial"/>
              </w:rPr>
            </w:pPr>
            <w:r w:rsidRPr="009B7B35">
              <w:rPr>
                <w:rFonts w:cs="Arial"/>
              </w:rPr>
              <w:t>5m of, and parallel to, an electric line shadow.</w:t>
            </w:r>
          </w:p>
        </w:tc>
      </w:tr>
    </w:tbl>
    <w:p w14:paraId="51D8E33E" w14:textId="77777777" w:rsidR="00BE36FB" w:rsidRPr="009B7B35" w:rsidRDefault="00BE36FB" w:rsidP="001A7107">
      <w:pPr>
        <w:pStyle w:val="Heading5"/>
        <w:numPr>
          <w:ilvl w:val="0"/>
          <w:numId w:val="0"/>
        </w:numPr>
        <w:rPr>
          <w:rFonts w:cs="Arial"/>
          <w:szCs w:val="20"/>
        </w:rPr>
      </w:pPr>
      <w:r w:rsidRPr="009B7B35">
        <w:rPr>
          <w:rFonts w:cs="Arial"/>
          <w:szCs w:val="20"/>
        </w:rPr>
        <w:t>Table 9.3.6.3.2—Construction phase: Stormwater management design objectives</w:t>
      </w:r>
    </w:p>
    <w:tbl>
      <w:tblPr>
        <w:tblStyle w:val="Tablestyle"/>
        <w:tblW w:w="0" w:type="auto"/>
        <w:tblLook w:val="0620" w:firstRow="1" w:lastRow="0" w:firstColumn="0" w:lastColumn="0" w:noHBand="1" w:noVBand="1"/>
      </w:tblPr>
      <w:tblGrid>
        <w:gridCol w:w="1816"/>
        <w:gridCol w:w="2040"/>
        <w:gridCol w:w="4507"/>
      </w:tblGrid>
      <w:tr w:rsidR="00BE36FB" w:rsidRPr="009B7B35" w14:paraId="460DBEB1"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253" w:type="dxa"/>
            <w:gridSpan w:val="2"/>
          </w:tcPr>
          <w:p w14:paraId="08929C31" w14:textId="77777777" w:rsidR="00BE36FB" w:rsidRPr="009B7B35" w:rsidRDefault="00BE36FB" w:rsidP="001A7107">
            <w:pPr>
              <w:pStyle w:val="Tableheading"/>
              <w:rPr>
                <w:rFonts w:ascii="Arial" w:hAnsi="Arial" w:cs="Arial"/>
                <w:szCs w:val="20"/>
              </w:rPr>
            </w:pPr>
            <w:r w:rsidRPr="009B7B35">
              <w:rPr>
                <w:rFonts w:ascii="Arial" w:hAnsi="Arial" w:cs="Arial"/>
                <w:szCs w:val="20"/>
              </w:rPr>
              <w:t>Issue</w:t>
            </w:r>
          </w:p>
        </w:tc>
        <w:tc>
          <w:tcPr>
            <w:tcW w:w="5103" w:type="dxa"/>
          </w:tcPr>
          <w:p w14:paraId="7B7EAF08" w14:textId="77777777" w:rsidR="00BE36FB" w:rsidRPr="009B7B35" w:rsidRDefault="00BE36FB" w:rsidP="001A7107">
            <w:pPr>
              <w:pStyle w:val="Tableheading"/>
              <w:rPr>
                <w:rFonts w:ascii="Arial" w:hAnsi="Arial" w:cs="Arial"/>
                <w:szCs w:val="20"/>
              </w:rPr>
            </w:pPr>
            <w:r w:rsidRPr="009B7B35">
              <w:rPr>
                <w:rFonts w:ascii="Arial" w:hAnsi="Arial" w:cs="Arial"/>
                <w:szCs w:val="20"/>
              </w:rPr>
              <w:t>Design objectives</w:t>
            </w:r>
          </w:p>
        </w:tc>
      </w:tr>
      <w:tr w:rsidR="00BE36FB" w:rsidRPr="009B7B35" w14:paraId="06AC9D49" w14:textId="77777777" w:rsidTr="001A7107">
        <w:trPr>
          <w:cantSplit/>
        </w:trPr>
        <w:tc>
          <w:tcPr>
            <w:tcW w:w="1985" w:type="dxa"/>
          </w:tcPr>
          <w:p w14:paraId="18595EA6" w14:textId="77777777" w:rsidR="00BE36FB" w:rsidRPr="009B7B35" w:rsidRDefault="00BE36FB" w:rsidP="001A7107">
            <w:pPr>
              <w:pStyle w:val="TableText"/>
              <w:rPr>
                <w:rFonts w:cs="Arial"/>
              </w:rPr>
            </w:pPr>
            <w:r w:rsidRPr="009B7B35">
              <w:rPr>
                <w:rFonts w:cs="Arial"/>
              </w:rPr>
              <w:t>Drainage control</w:t>
            </w:r>
          </w:p>
        </w:tc>
        <w:tc>
          <w:tcPr>
            <w:tcW w:w="2268" w:type="dxa"/>
          </w:tcPr>
          <w:p w14:paraId="3790D1AF" w14:textId="77777777" w:rsidR="00BE36FB" w:rsidRPr="009B7B35" w:rsidRDefault="00BE36FB" w:rsidP="001A7107">
            <w:pPr>
              <w:pStyle w:val="TableText"/>
              <w:rPr>
                <w:rFonts w:cs="Arial"/>
              </w:rPr>
            </w:pPr>
            <w:r w:rsidRPr="009B7B35">
              <w:rPr>
                <w:rFonts w:cs="Arial"/>
              </w:rPr>
              <w:t>Temporary drainage works</w:t>
            </w:r>
          </w:p>
        </w:tc>
        <w:tc>
          <w:tcPr>
            <w:tcW w:w="5103" w:type="dxa"/>
          </w:tcPr>
          <w:p w14:paraId="49C8F613" w14:textId="77777777" w:rsidR="00BE36FB" w:rsidRPr="009B7B35" w:rsidRDefault="00BE36FB" w:rsidP="00BE36FB">
            <w:pPr>
              <w:pStyle w:val="TableText"/>
              <w:numPr>
                <w:ilvl w:val="0"/>
                <w:numId w:val="775"/>
              </w:numPr>
              <w:rPr>
                <w:rFonts w:cs="Arial"/>
              </w:rPr>
            </w:pPr>
            <w:r w:rsidRPr="009B7B35">
              <w:rPr>
                <w:rFonts w:cs="Arial"/>
              </w:rPr>
              <w:t>Design life and design storm for temporary drainage works:</w:t>
            </w:r>
          </w:p>
          <w:p w14:paraId="3D950607" w14:textId="77777777" w:rsidR="00BE36FB" w:rsidRPr="009B7B35" w:rsidRDefault="00BE36FB" w:rsidP="00BE36FB">
            <w:pPr>
              <w:pStyle w:val="TableText"/>
              <w:numPr>
                <w:ilvl w:val="1"/>
                <w:numId w:val="775"/>
              </w:numPr>
              <w:rPr>
                <w:rFonts w:cs="Arial"/>
              </w:rPr>
            </w:pPr>
            <w:r w:rsidRPr="009B7B35">
              <w:rPr>
                <w:rFonts w:cs="Arial"/>
              </w:rPr>
              <w:t>disturbed area open for &lt;12 months—1 in 2–year ARI event</w:t>
            </w:r>
          </w:p>
          <w:p w14:paraId="19150D31" w14:textId="77777777" w:rsidR="00BE36FB" w:rsidRPr="009B7B35" w:rsidRDefault="00BE36FB" w:rsidP="00BE36FB">
            <w:pPr>
              <w:pStyle w:val="TableText"/>
              <w:numPr>
                <w:ilvl w:val="1"/>
                <w:numId w:val="775"/>
              </w:numPr>
              <w:rPr>
                <w:rFonts w:cs="Arial"/>
              </w:rPr>
            </w:pPr>
            <w:r w:rsidRPr="009B7B35">
              <w:rPr>
                <w:rFonts w:cs="Arial"/>
              </w:rPr>
              <w:t>disturbed area open for 12–24 months—1 in 5–year ARI event</w:t>
            </w:r>
          </w:p>
          <w:p w14:paraId="57A7D1B0" w14:textId="77777777" w:rsidR="00BE36FB" w:rsidRPr="009B7B35" w:rsidRDefault="00BE36FB" w:rsidP="00BE36FB">
            <w:pPr>
              <w:pStyle w:val="TableText"/>
              <w:numPr>
                <w:ilvl w:val="1"/>
                <w:numId w:val="775"/>
              </w:numPr>
              <w:rPr>
                <w:rFonts w:cs="Arial"/>
              </w:rPr>
            </w:pPr>
            <w:r w:rsidRPr="009B7B35">
              <w:rPr>
                <w:rFonts w:cs="Arial"/>
              </w:rPr>
              <w:t>disturbed area open for &gt;24 months—1 in 10–year ARI event</w:t>
            </w:r>
          </w:p>
          <w:p w14:paraId="5C243250" w14:textId="77777777" w:rsidR="00BE36FB" w:rsidRPr="009B7B35" w:rsidRDefault="00BE36FB" w:rsidP="00BE36FB">
            <w:pPr>
              <w:pStyle w:val="TableText"/>
              <w:numPr>
                <w:ilvl w:val="0"/>
                <w:numId w:val="775"/>
              </w:numPr>
              <w:rPr>
                <w:rFonts w:cs="Arial"/>
              </w:rPr>
            </w:pPr>
            <w:r w:rsidRPr="009B7B35">
              <w:rPr>
                <w:rFonts w:cs="Arial"/>
              </w:rPr>
              <w:t>design capacity excludes minimum 150mm freeboard</w:t>
            </w:r>
          </w:p>
          <w:p w14:paraId="73AB1E0C" w14:textId="77777777" w:rsidR="00BE36FB" w:rsidRPr="009B7B35" w:rsidRDefault="00BE36FB" w:rsidP="00BE36FB">
            <w:pPr>
              <w:pStyle w:val="TableText"/>
              <w:numPr>
                <w:ilvl w:val="0"/>
                <w:numId w:val="775"/>
              </w:numPr>
              <w:rPr>
                <w:rFonts w:cs="Arial"/>
              </w:rPr>
            </w:pPr>
            <w:r w:rsidRPr="009B7B35">
              <w:rPr>
                <w:rFonts w:cs="Arial"/>
              </w:rPr>
              <w:t>temporary culvert crossing – minimum 1 in 1–year ARI hydraulic capacity.</w:t>
            </w:r>
          </w:p>
        </w:tc>
      </w:tr>
      <w:tr w:rsidR="00BE36FB" w:rsidRPr="009B7B35" w14:paraId="3EE62D37" w14:textId="77777777" w:rsidTr="001A7107">
        <w:tc>
          <w:tcPr>
            <w:tcW w:w="1985" w:type="dxa"/>
          </w:tcPr>
          <w:p w14:paraId="271AB4CA" w14:textId="77777777" w:rsidR="00BE36FB" w:rsidRPr="009B7B35" w:rsidRDefault="00BE36FB" w:rsidP="001A7107">
            <w:pPr>
              <w:pStyle w:val="TableText"/>
              <w:rPr>
                <w:rFonts w:cs="Arial"/>
              </w:rPr>
            </w:pPr>
            <w:r w:rsidRPr="009B7B35">
              <w:rPr>
                <w:rFonts w:cs="Arial"/>
              </w:rPr>
              <w:t>Erosion control</w:t>
            </w:r>
          </w:p>
        </w:tc>
        <w:tc>
          <w:tcPr>
            <w:tcW w:w="2268" w:type="dxa"/>
          </w:tcPr>
          <w:p w14:paraId="469676DC" w14:textId="77777777" w:rsidR="00BE36FB" w:rsidRPr="009B7B35" w:rsidRDefault="00BE36FB" w:rsidP="001A7107">
            <w:pPr>
              <w:pStyle w:val="TableText"/>
              <w:rPr>
                <w:rFonts w:cs="Arial"/>
              </w:rPr>
            </w:pPr>
            <w:r w:rsidRPr="009B7B35">
              <w:rPr>
                <w:rFonts w:cs="Arial"/>
              </w:rPr>
              <w:t>Erosion control measures</w:t>
            </w:r>
          </w:p>
        </w:tc>
        <w:tc>
          <w:tcPr>
            <w:tcW w:w="5103" w:type="dxa"/>
          </w:tcPr>
          <w:p w14:paraId="155AA8B8" w14:textId="77777777" w:rsidR="00BE36FB" w:rsidRPr="009B7B35" w:rsidRDefault="00BE36FB" w:rsidP="00BE36FB">
            <w:pPr>
              <w:pStyle w:val="TableText"/>
              <w:numPr>
                <w:ilvl w:val="0"/>
                <w:numId w:val="776"/>
              </w:numPr>
              <w:rPr>
                <w:rFonts w:cs="Arial"/>
              </w:rPr>
            </w:pPr>
            <w:r w:rsidRPr="009B7B35">
              <w:rPr>
                <w:rFonts w:cs="Arial"/>
              </w:rPr>
              <w:t>Minimise exposure of disturbed soils at any time</w:t>
            </w:r>
          </w:p>
          <w:p w14:paraId="520769AB" w14:textId="77777777" w:rsidR="00BE36FB" w:rsidRPr="009B7B35" w:rsidRDefault="00BE36FB" w:rsidP="00BE36FB">
            <w:pPr>
              <w:pStyle w:val="TableText"/>
              <w:numPr>
                <w:ilvl w:val="0"/>
                <w:numId w:val="776"/>
              </w:numPr>
              <w:rPr>
                <w:rFonts w:cs="Arial"/>
              </w:rPr>
            </w:pPr>
            <w:r w:rsidRPr="009B7B35">
              <w:rPr>
                <w:rFonts w:cs="Arial"/>
              </w:rPr>
              <w:t>divert water run–off from undisturbed areas around disturbed areas</w:t>
            </w:r>
          </w:p>
          <w:p w14:paraId="016DA243" w14:textId="77777777" w:rsidR="00BE36FB" w:rsidRPr="009B7B35" w:rsidRDefault="00BE36FB" w:rsidP="00BE36FB">
            <w:pPr>
              <w:pStyle w:val="TableText"/>
              <w:numPr>
                <w:ilvl w:val="0"/>
                <w:numId w:val="776"/>
              </w:numPr>
              <w:rPr>
                <w:rFonts w:cs="Arial"/>
              </w:rPr>
            </w:pPr>
            <w:r w:rsidRPr="009B7B35">
              <w:rPr>
                <w:rFonts w:cs="Arial"/>
              </w:rPr>
              <w:t>determine the erosion risk rating using local rainfall erosivity, rainfall depth, soil–loss rate or other acceptable methods</w:t>
            </w:r>
          </w:p>
          <w:p w14:paraId="65F68F59" w14:textId="77777777" w:rsidR="00BE36FB" w:rsidRPr="009B7B35" w:rsidRDefault="00BE36FB" w:rsidP="00BE36FB">
            <w:pPr>
              <w:pStyle w:val="TableText"/>
              <w:numPr>
                <w:ilvl w:val="0"/>
                <w:numId w:val="776"/>
              </w:numPr>
              <w:rPr>
                <w:rFonts w:cs="Arial"/>
              </w:rPr>
            </w:pPr>
            <w:r w:rsidRPr="009B7B35">
              <w:rPr>
                <w:rFonts w:cs="Arial"/>
              </w:rPr>
              <w:t>implement erosion control methods corresponding to identified erosion risk rating.</w:t>
            </w:r>
          </w:p>
        </w:tc>
      </w:tr>
      <w:tr w:rsidR="00BE36FB" w:rsidRPr="009B7B35" w14:paraId="08169379" w14:textId="77777777" w:rsidTr="001A7107">
        <w:tc>
          <w:tcPr>
            <w:tcW w:w="1985" w:type="dxa"/>
          </w:tcPr>
          <w:p w14:paraId="1F615ACB" w14:textId="77777777" w:rsidR="00BE36FB" w:rsidRPr="009B7B35" w:rsidRDefault="00BE36FB" w:rsidP="001A7107">
            <w:pPr>
              <w:pStyle w:val="TableText"/>
              <w:rPr>
                <w:rFonts w:cs="Arial"/>
              </w:rPr>
            </w:pPr>
            <w:r w:rsidRPr="009B7B35">
              <w:rPr>
                <w:rFonts w:cs="Arial"/>
              </w:rPr>
              <w:t>Sediment control</w:t>
            </w:r>
          </w:p>
        </w:tc>
        <w:tc>
          <w:tcPr>
            <w:tcW w:w="2268" w:type="dxa"/>
          </w:tcPr>
          <w:p w14:paraId="74E4DFFB" w14:textId="77777777" w:rsidR="00BE36FB" w:rsidRPr="009B7B35" w:rsidRDefault="00BE36FB" w:rsidP="001A7107">
            <w:pPr>
              <w:pStyle w:val="TableText"/>
              <w:rPr>
                <w:rFonts w:cs="Arial"/>
              </w:rPr>
            </w:pPr>
            <w:r w:rsidRPr="009B7B35">
              <w:rPr>
                <w:rFonts w:cs="Arial"/>
              </w:rPr>
              <w:t>Sediment control measures</w:t>
            </w:r>
          </w:p>
          <w:p w14:paraId="0B718FE8" w14:textId="77777777" w:rsidR="00BE36FB" w:rsidRPr="009B7B35" w:rsidRDefault="00BE36FB" w:rsidP="001A7107">
            <w:pPr>
              <w:pStyle w:val="TableText"/>
              <w:rPr>
                <w:rFonts w:cs="Arial"/>
              </w:rPr>
            </w:pPr>
            <w:r w:rsidRPr="009B7B35">
              <w:rPr>
                <w:rFonts w:cs="Arial"/>
              </w:rPr>
              <w:t>Design storm for sediment control basins</w:t>
            </w:r>
          </w:p>
          <w:p w14:paraId="1EAA642A" w14:textId="77777777" w:rsidR="00BE36FB" w:rsidRPr="009B7B35" w:rsidRDefault="00BE36FB" w:rsidP="001A7107">
            <w:pPr>
              <w:pStyle w:val="TableText"/>
              <w:rPr>
                <w:rFonts w:cs="Arial"/>
              </w:rPr>
            </w:pPr>
            <w:r w:rsidRPr="009B7B35">
              <w:rPr>
                <w:rFonts w:cs="Arial"/>
              </w:rPr>
              <w:t>Sediment basin dewatering</w:t>
            </w:r>
          </w:p>
        </w:tc>
        <w:tc>
          <w:tcPr>
            <w:tcW w:w="5103" w:type="dxa"/>
          </w:tcPr>
          <w:p w14:paraId="09D17188" w14:textId="77777777" w:rsidR="00BE36FB" w:rsidRPr="009B7B35" w:rsidRDefault="00BE36FB" w:rsidP="00BE36FB">
            <w:pPr>
              <w:pStyle w:val="TableText"/>
              <w:numPr>
                <w:ilvl w:val="0"/>
                <w:numId w:val="777"/>
              </w:numPr>
              <w:rPr>
                <w:rFonts w:cs="Arial"/>
              </w:rPr>
            </w:pPr>
            <w:r w:rsidRPr="009B7B35">
              <w:rPr>
                <w:rFonts w:cs="Arial"/>
              </w:rPr>
              <w:t>Determine appropriate sediment control measures using:</w:t>
            </w:r>
          </w:p>
          <w:p w14:paraId="42FD32D1" w14:textId="77777777" w:rsidR="00BE36FB" w:rsidRPr="009B7B35" w:rsidRDefault="00BE36FB" w:rsidP="00BE36FB">
            <w:pPr>
              <w:pStyle w:val="TableText"/>
              <w:numPr>
                <w:ilvl w:val="1"/>
                <w:numId w:val="777"/>
              </w:numPr>
              <w:rPr>
                <w:rFonts w:cs="Arial"/>
              </w:rPr>
            </w:pPr>
            <w:r w:rsidRPr="009B7B35">
              <w:rPr>
                <w:rFonts w:cs="Arial"/>
              </w:rPr>
              <w:t>potential soil loss rate, or</w:t>
            </w:r>
          </w:p>
          <w:p w14:paraId="06934F8D" w14:textId="77777777" w:rsidR="00BE36FB" w:rsidRPr="009B7B35" w:rsidRDefault="00BE36FB" w:rsidP="00BE36FB">
            <w:pPr>
              <w:pStyle w:val="TableText"/>
              <w:numPr>
                <w:ilvl w:val="1"/>
                <w:numId w:val="777"/>
              </w:numPr>
              <w:rPr>
                <w:rFonts w:cs="Arial"/>
              </w:rPr>
            </w:pPr>
            <w:r w:rsidRPr="009B7B35">
              <w:rPr>
                <w:rFonts w:cs="Arial"/>
              </w:rPr>
              <w:t>monthly erosivity, or</w:t>
            </w:r>
          </w:p>
          <w:p w14:paraId="5C5F7C9C" w14:textId="77777777" w:rsidR="00BE36FB" w:rsidRPr="009B7B35" w:rsidRDefault="00BE36FB" w:rsidP="00BE36FB">
            <w:pPr>
              <w:pStyle w:val="TableText"/>
              <w:numPr>
                <w:ilvl w:val="1"/>
                <w:numId w:val="777"/>
              </w:numPr>
              <w:rPr>
                <w:rFonts w:cs="Arial"/>
              </w:rPr>
            </w:pPr>
            <w:r w:rsidRPr="009B7B35">
              <w:rPr>
                <w:rFonts w:cs="Arial"/>
              </w:rPr>
              <w:t>average monthly rainfall</w:t>
            </w:r>
          </w:p>
          <w:p w14:paraId="563C42D7" w14:textId="77777777" w:rsidR="00BE36FB" w:rsidRPr="009B7B35" w:rsidRDefault="00BE36FB" w:rsidP="00BE36FB">
            <w:pPr>
              <w:pStyle w:val="TableText"/>
              <w:numPr>
                <w:ilvl w:val="0"/>
                <w:numId w:val="777"/>
              </w:numPr>
              <w:rPr>
                <w:rFonts w:cs="Arial"/>
              </w:rPr>
            </w:pPr>
            <w:r w:rsidRPr="009B7B35">
              <w:rPr>
                <w:rFonts w:cs="Arial"/>
              </w:rPr>
              <w:t>collect and drain stormwater from disturbed soils to sediment basin for design storm event:</w:t>
            </w:r>
          </w:p>
          <w:p w14:paraId="60DD0799" w14:textId="77777777" w:rsidR="00BE36FB" w:rsidRPr="009B7B35" w:rsidRDefault="00BE36FB" w:rsidP="00BE36FB">
            <w:pPr>
              <w:pStyle w:val="TableText"/>
              <w:numPr>
                <w:ilvl w:val="1"/>
                <w:numId w:val="777"/>
              </w:numPr>
              <w:rPr>
                <w:rFonts w:cs="Arial"/>
              </w:rPr>
            </w:pPr>
            <w:r w:rsidRPr="009B7B35">
              <w:rPr>
                <w:rFonts w:cs="Arial"/>
              </w:rPr>
              <w:t>design storm for sediment basin sizing is 80th% five–day event or similar</w:t>
            </w:r>
          </w:p>
          <w:p w14:paraId="1A795C17" w14:textId="77777777" w:rsidR="00BE36FB" w:rsidRPr="009B7B35" w:rsidRDefault="00BE36FB" w:rsidP="00BE36FB">
            <w:pPr>
              <w:pStyle w:val="TableText"/>
              <w:numPr>
                <w:ilvl w:val="0"/>
                <w:numId w:val="777"/>
              </w:numPr>
              <w:rPr>
                <w:rFonts w:cs="Arial"/>
              </w:rPr>
            </w:pPr>
            <w:r w:rsidRPr="009B7B35">
              <w:rPr>
                <w:rFonts w:cs="Arial"/>
              </w:rPr>
              <w:t>site discharge during sediment basin dewatering:</w:t>
            </w:r>
          </w:p>
          <w:p w14:paraId="3CCE9A39" w14:textId="77777777" w:rsidR="00BE36FB" w:rsidRPr="009B7B35" w:rsidRDefault="00BE36FB" w:rsidP="00BE36FB">
            <w:pPr>
              <w:pStyle w:val="TableText"/>
              <w:numPr>
                <w:ilvl w:val="1"/>
                <w:numId w:val="777"/>
              </w:numPr>
              <w:rPr>
                <w:rFonts w:cs="Arial"/>
              </w:rPr>
            </w:pPr>
            <w:r w:rsidRPr="009B7B35">
              <w:rPr>
                <w:rFonts w:cs="Arial"/>
              </w:rPr>
              <w:t>TSS &lt; 50 mg/L TSS, and</w:t>
            </w:r>
          </w:p>
          <w:p w14:paraId="5CFF5B91" w14:textId="77777777" w:rsidR="00BE36FB" w:rsidRPr="009B7B35" w:rsidRDefault="00BE36FB" w:rsidP="00BE36FB">
            <w:pPr>
              <w:pStyle w:val="TableText"/>
              <w:numPr>
                <w:ilvl w:val="1"/>
                <w:numId w:val="777"/>
              </w:numPr>
              <w:rPr>
                <w:rFonts w:cs="Arial"/>
              </w:rPr>
            </w:pPr>
            <w:r w:rsidRPr="009B7B35">
              <w:rPr>
                <w:rFonts w:cs="Arial"/>
              </w:rPr>
              <w:t>turbidity not &gt;10% receiving waters turbidity, and</w:t>
            </w:r>
          </w:p>
          <w:p w14:paraId="4B68A1DE" w14:textId="77777777" w:rsidR="00BE36FB" w:rsidRPr="009B7B35" w:rsidRDefault="00BE36FB" w:rsidP="00BE36FB">
            <w:pPr>
              <w:pStyle w:val="TableText"/>
              <w:numPr>
                <w:ilvl w:val="1"/>
                <w:numId w:val="777"/>
              </w:numPr>
              <w:rPr>
                <w:rFonts w:cs="Arial"/>
              </w:rPr>
            </w:pPr>
            <w:r w:rsidRPr="009B7B35">
              <w:rPr>
                <w:rFonts w:cs="Arial"/>
              </w:rPr>
              <w:t>pH 6.5–8.5.</w:t>
            </w:r>
          </w:p>
        </w:tc>
      </w:tr>
      <w:tr w:rsidR="00BE36FB" w:rsidRPr="009B7B35" w14:paraId="46A27700" w14:textId="77777777" w:rsidTr="001A7107">
        <w:trPr>
          <w:cantSplit/>
        </w:trPr>
        <w:tc>
          <w:tcPr>
            <w:tcW w:w="1985" w:type="dxa"/>
          </w:tcPr>
          <w:p w14:paraId="652449EB" w14:textId="77777777" w:rsidR="00BE36FB" w:rsidRPr="009B7B35" w:rsidRDefault="00BE36FB" w:rsidP="001A7107">
            <w:pPr>
              <w:pStyle w:val="TableText"/>
              <w:rPr>
                <w:rFonts w:cs="Arial"/>
              </w:rPr>
            </w:pPr>
            <w:r w:rsidRPr="009B7B35">
              <w:rPr>
                <w:rFonts w:cs="Arial"/>
              </w:rPr>
              <w:t>Water quality</w:t>
            </w:r>
          </w:p>
        </w:tc>
        <w:tc>
          <w:tcPr>
            <w:tcW w:w="2268" w:type="dxa"/>
          </w:tcPr>
          <w:p w14:paraId="3C34A8B8" w14:textId="77777777" w:rsidR="00BE36FB" w:rsidRPr="009B7B35" w:rsidRDefault="00BE36FB" w:rsidP="001A7107">
            <w:pPr>
              <w:pStyle w:val="TableText"/>
              <w:rPr>
                <w:rFonts w:cs="Arial"/>
              </w:rPr>
            </w:pPr>
            <w:r w:rsidRPr="009B7B35">
              <w:rPr>
                <w:rFonts w:cs="Arial"/>
              </w:rPr>
              <w:t>Litter and other waste, hydrocarbons and other contaminants</w:t>
            </w:r>
          </w:p>
        </w:tc>
        <w:tc>
          <w:tcPr>
            <w:tcW w:w="5103" w:type="dxa"/>
          </w:tcPr>
          <w:p w14:paraId="4B396758" w14:textId="77777777" w:rsidR="00BE36FB" w:rsidRPr="009B7B35" w:rsidRDefault="00BE36FB" w:rsidP="00BE36FB">
            <w:pPr>
              <w:pStyle w:val="TableText"/>
              <w:numPr>
                <w:ilvl w:val="0"/>
                <w:numId w:val="778"/>
              </w:numPr>
              <w:rPr>
                <w:rFonts w:cs="Arial"/>
              </w:rPr>
            </w:pPr>
            <w:r w:rsidRPr="009B7B35">
              <w:rPr>
                <w:rFonts w:cs="Arial"/>
              </w:rPr>
              <w:t>Avoid wind–blown litter; remove gross pollutants</w:t>
            </w:r>
          </w:p>
          <w:p w14:paraId="743E8643" w14:textId="77777777" w:rsidR="00BE36FB" w:rsidRPr="009B7B35" w:rsidRDefault="00BE36FB" w:rsidP="00BE36FB">
            <w:pPr>
              <w:pStyle w:val="TableText"/>
              <w:numPr>
                <w:ilvl w:val="0"/>
                <w:numId w:val="778"/>
              </w:numPr>
              <w:rPr>
                <w:rFonts w:cs="Arial"/>
              </w:rPr>
            </w:pPr>
            <w:r w:rsidRPr="009B7B35">
              <w:rPr>
                <w:rFonts w:cs="Arial"/>
              </w:rPr>
              <w:t>ensure there is no visible oil or grease sheen on released waters</w:t>
            </w:r>
          </w:p>
          <w:p w14:paraId="1DB1BCBE" w14:textId="77777777" w:rsidR="00BE36FB" w:rsidRPr="009B7B35" w:rsidRDefault="00BE36FB" w:rsidP="00BE36FB">
            <w:pPr>
              <w:pStyle w:val="TableText"/>
              <w:numPr>
                <w:ilvl w:val="0"/>
                <w:numId w:val="778"/>
              </w:numPr>
              <w:rPr>
                <w:rFonts w:cs="Arial"/>
              </w:rPr>
            </w:pPr>
            <w:r w:rsidRPr="009B7B35">
              <w:rPr>
                <w:rFonts w:cs="Arial"/>
              </w:rPr>
              <w:t>dispose of waste containing contaminants at authorised facilities.</w:t>
            </w:r>
          </w:p>
        </w:tc>
      </w:tr>
      <w:tr w:rsidR="00BE36FB" w:rsidRPr="009B7B35" w14:paraId="74E35BD1" w14:textId="77777777" w:rsidTr="001A7107">
        <w:trPr>
          <w:cantSplit/>
        </w:trPr>
        <w:tc>
          <w:tcPr>
            <w:tcW w:w="1985" w:type="dxa"/>
          </w:tcPr>
          <w:p w14:paraId="61BC1AC2" w14:textId="77777777" w:rsidR="00BE36FB" w:rsidRPr="009B7B35" w:rsidRDefault="00BE36FB" w:rsidP="001A7107">
            <w:pPr>
              <w:pStyle w:val="TableText"/>
              <w:rPr>
                <w:rFonts w:cs="Arial"/>
              </w:rPr>
            </w:pPr>
            <w:r w:rsidRPr="009B7B35">
              <w:rPr>
                <w:rFonts w:cs="Arial"/>
              </w:rPr>
              <w:t>Waterway stability and flood flow management</w:t>
            </w:r>
          </w:p>
        </w:tc>
        <w:tc>
          <w:tcPr>
            <w:tcW w:w="2268" w:type="dxa"/>
          </w:tcPr>
          <w:p w14:paraId="085B6390" w14:textId="77777777" w:rsidR="00BE36FB" w:rsidRPr="009B7B35" w:rsidRDefault="00BE36FB" w:rsidP="001A7107">
            <w:pPr>
              <w:pStyle w:val="TableText"/>
              <w:rPr>
                <w:rFonts w:cs="Arial"/>
              </w:rPr>
            </w:pPr>
            <w:r w:rsidRPr="009B7B35">
              <w:rPr>
                <w:rFonts w:cs="Arial"/>
              </w:rPr>
              <w:t>Changes to the natural waterway hydraulics and hydrology</w:t>
            </w:r>
          </w:p>
        </w:tc>
        <w:tc>
          <w:tcPr>
            <w:tcW w:w="5103" w:type="dxa"/>
          </w:tcPr>
          <w:p w14:paraId="3507520C" w14:textId="77777777" w:rsidR="00BE36FB" w:rsidRPr="009B7B35" w:rsidRDefault="00BE36FB" w:rsidP="001A7107">
            <w:pPr>
              <w:pStyle w:val="TableText"/>
              <w:rPr>
                <w:rFonts w:cs="Arial"/>
              </w:rPr>
            </w:pPr>
            <w:r w:rsidRPr="009B7B35">
              <w:rPr>
                <w:rFonts w:cs="Arial"/>
              </w:rPr>
              <w:t>For peak flow for the 1–year and 100–year ARI event, use constructed sediment basins to attenuate the discharge rate of stormwater from the site.</w:t>
            </w:r>
          </w:p>
        </w:tc>
      </w:tr>
    </w:tbl>
    <w:p w14:paraId="51464960" w14:textId="77777777" w:rsidR="00BE36FB" w:rsidRPr="009B7B35" w:rsidRDefault="00BE36FB" w:rsidP="001A7107">
      <w:pPr>
        <w:rPr>
          <w:rFonts w:ascii="Arial" w:hAnsi="Arial" w:cs="Arial"/>
          <w:sz w:val="20"/>
          <w:szCs w:val="20"/>
        </w:rPr>
      </w:pPr>
    </w:p>
    <w:p w14:paraId="1079C9CF" w14:textId="77777777" w:rsidR="00BE36FB" w:rsidRPr="009B7B35" w:rsidRDefault="00BE36FB">
      <w:pPr>
        <w:rPr>
          <w:rFonts w:ascii="Arial" w:hAnsi="Arial" w:cs="Arial"/>
          <w:b/>
          <w:bCs/>
          <w:iCs/>
          <w:kern w:val="32"/>
          <w:sz w:val="20"/>
          <w:szCs w:val="20"/>
          <w:lang w:eastAsia="en-US"/>
        </w:rPr>
      </w:pPr>
      <w:r w:rsidRPr="009B7B35">
        <w:rPr>
          <w:rFonts w:ascii="Arial" w:hAnsi="Arial" w:cs="Arial"/>
          <w:sz w:val="20"/>
          <w:szCs w:val="20"/>
        </w:rPr>
        <w:br w:type="page"/>
      </w:r>
    </w:p>
    <w:p w14:paraId="2B3FCD30" w14:textId="77777777" w:rsidR="00BE36FB" w:rsidRPr="009B7B35" w:rsidRDefault="00BE36FB" w:rsidP="006776DA">
      <w:pPr>
        <w:pStyle w:val="Heading3"/>
        <w:numPr>
          <w:ilvl w:val="2"/>
          <w:numId w:val="883"/>
        </w:numPr>
        <w:spacing w:before="240"/>
        <w:rPr>
          <w:rFonts w:ascii="Arial" w:hAnsi="Arial"/>
          <w:sz w:val="20"/>
          <w:szCs w:val="20"/>
        </w:rPr>
      </w:pPr>
      <w:bookmarkStart w:id="271" w:name="_Toc205367399"/>
      <w:r w:rsidRPr="009B7B35">
        <w:rPr>
          <w:rFonts w:ascii="Arial" w:hAnsi="Arial"/>
          <w:sz w:val="20"/>
          <w:szCs w:val="20"/>
        </w:rPr>
        <w:t>Reconfiguring a lot</w:t>
      </w:r>
      <w:bookmarkEnd w:id="271"/>
    </w:p>
    <w:p w14:paraId="49AF6CC0"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69EBD212"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assessing reconfiguring a lot development other than reconfiguring one lot into two to which the state wide code – Reconfiguring a lot (subdividing one into two lots) and associated operational work code applies. When using this code, reference should be made to section 5.3.2 and where applicable, section 5.3.3 located in Part 5.</w:t>
      </w:r>
    </w:p>
    <w:p w14:paraId="16E6F1F4"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34DCE952" w14:textId="77777777" w:rsidR="00BE36FB" w:rsidRPr="009B7B35" w:rsidRDefault="00BE36FB" w:rsidP="00BE36FB">
      <w:pPr>
        <w:numPr>
          <w:ilvl w:val="0"/>
          <w:numId w:val="823"/>
        </w:numPr>
        <w:jc w:val="both"/>
        <w:rPr>
          <w:rFonts w:ascii="Arial" w:hAnsi="Arial" w:cs="Arial"/>
          <w:sz w:val="20"/>
          <w:szCs w:val="20"/>
        </w:rPr>
      </w:pPr>
      <w:r w:rsidRPr="009B7B35">
        <w:rPr>
          <w:rFonts w:ascii="Arial" w:hAnsi="Arial" w:cs="Arial"/>
          <w:sz w:val="20"/>
          <w:szCs w:val="20"/>
        </w:rPr>
        <w:t>The purpose of the reconfiguring a lot code is to:</w:t>
      </w:r>
    </w:p>
    <w:p w14:paraId="19EFB3CD" w14:textId="77777777" w:rsidR="00BE36FB" w:rsidRPr="009B7B35" w:rsidRDefault="00BE36FB" w:rsidP="00BE36FB">
      <w:pPr>
        <w:numPr>
          <w:ilvl w:val="1"/>
          <w:numId w:val="823"/>
        </w:numPr>
        <w:jc w:val="both"/>
        <w:rPr>
          <w:rFonts w:ascii="Arial" w:hAnsi="Arial" w:cs="Arial"/>
          <w:sz w:val="20"/>
          <w:szCs w:val="20"/>
        </w:rPr>
      </w:pPr>
      <w:r w:rsidRPr="009B7B35">
        <w:rPr>
          <w:rFonts w:ascii="Arial" w:hAnsi="Arial" w:cs="Arial"/>
          <w:sz w:val="20"/>
          <w:szCs w:val="20"/>
        </w:rPr>
        <w:t>Ensure that new lots are configured in a manner that facilitates the achievement of the sustainable urban and rural outcomes expressed in the relevant zone codes.</w:t>
      </w:r>
    </w:p>
    <w:p w14:paraId="1BD17E1E" w14:textId="77777777" w:rsidR="00BE36FB" w:rsidRPr="009B7B35" w:rsidRDefault="00BE36FB" w:rsidP="00BE36FB">
      <w:pPr>
        <w:numPr>
          <w:ilvl w:val="1"/>
          <w:numId w:val="823"/>
        </w:numPr>
        <w:jc w:val="both"/>
        <w:rPr>
          <w:rFonts w:ascii="Arial" w:hAnsi="Arial" w:cs="Arial"/>
          <w:sz w:val="20"/>
          <w:szCs w:val="20"/>
        </w:rPr>
      </w:pPr>
      <w:r w:rsidRPr="009B7B35">
        <w:rPr>
          <w:rFonts w:ascii="Arial" w:hAnsi="Arial" w:cs="Arial"/>
          <w:sz w:val="20"/>
          <w:szCs w:val="20"/>
        </w:rPr>
        <w:t>Ensure that new lots are provided with infrastructure and access appropriate for their intended use.</w:t>
      </w:r>
    </w:p>
    <w:p w14:paraId="4EDFF2AE" w14:textId="77777777" w:rsidR="00BE36FB" w:rsidRPr="009B7B35" w:rsidRDefault="00BE36FB" w:rsidP="00BE36FB">
      <w:pPr>
        <w:numPr>
          <w:ilvl w:val="1"/>
          <w:numId w:val="823"/>
        </w:numPr>
        <w:jc w:val="both"/>
        <w:rPr>
          <w:rFonts w:ascii="Arial" w:hAnsi="Arial" w:cs="Arial"/>
          <w:sz w:val="20"/>
          <w:szCs w:val="20"/>
        </w:rPr>
      </w:pPr>
      <w:r w:rsidRPr="009B7B35">
        <w:rPr>
          <w:rFonts w:ascii="Arial" w:hAnsi="Arial" w:cs="Arial"/>
          <w:sz w:val="20"/>
          <w:szCs w:val="20"/>
        </w:rPr>
        <w:t>Minimise adverse environmental impacts and protect the landscape character of Gladstone’s natural resources.</w:t>
      </w:r>
    </w:p>
    <w:p w14:paraId="006DD661" w14:textId="77777777" w:rsidR="00BE36FB" w:rsidRPr="009B7B35" w:rsidRDefault="00BE36FB" w:rsidP="00BE36FB">
      <w:pPr>
        <w:numPr>
          <w:ilvl w:val="0"/>
          <w:numId w:val="823"/>
        </w:numPr>
        <w:jc w:val="both"/>
        <w:rPr>
          <w:rFonts w:ascii="Arial" w:hAnsi="Arial" w:cs="Arial"/>
          <w:sz w:val="20"/>
          <w:szCs w:val="20"/>
        </w:rPr>
      </w:pPr>
      <w:r w:rsidRPr="009B7B35">
        <w:rPr>
          <w:rFonts w:ascii="Arial" w:hAnsi="Arial" w:cs="Arial"/>
          <w:sz w:val="20"/>
          <w:szCs w:val="20"/>
        </w:rPr>
        <w:t>The purpose of the code will be achieved through the following overall outcomes:</w:t>
      </w:r>
    </w:p>
    <w:p w14:paraId="10C60090" w14:textId="77777777"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New lots are of a size and shape appropriate for their intended use and the character of the applicable zone.</w:t>
      </w:r>
    </w:p>
    <w:p w14:paraId="17104612" w14:textId="77777777"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New lot reconfiguration is responsive to topography, natural drainage systems, vegetation and habitat corridors and protects the landscape character of the locality.</w:t>
      </w:r>
    </w:p>
    <w:p w14:paraId="665CD087" w14:textId="77777777"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Lots ensure the amenity of and minimise impacts on adjoining land.</w:t>
      </w:r>
    </w:p>
    <w:p w14:paraId="11B8C524" w14:textId="77777777"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Each new lot is provided with a suitable level of infrastructure, services and access.</w:t>
      </w:r>
    </w:p>
    <w:p w14:paraId="786FBC0F" w14:textId="77777777"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New neighbourhood development is characterised by walkability, housing choice and conveniently located centres providing enhanced opportunities for social interaction.</w:t>
      </w:r>
    </w:p>
    <w:p w14:paraId="718E7E50" w14:textId="77777777"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Neighbourhoods are designed to allow development to incorporate climate responsive, energy efficient design principles.</w:t>
      </w:r>
    </w:p>
    <w:p w14:paraId="0290AE70" w14:textId="77777777"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Streets are legible, safe, highly interconnected and designed to achieve enhanced streetscapes.</w:t>
      </w:r>
    </w:p>
    <w:p w14:paraId="0380BD68" w14:textId="77777777"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Rural areas are not fragmented to the detriment of productive grazing, agricultural or other rural uses.</w:t>
      </w:r>
    </w:p>
    <w:p w14:paraId="7CEEF388" w14:textId="77777777" w:rsidR="00BE36FB" w:rsidRPr="009B7B35" w:rsidRDefault="00BE36FB" w:rsidP="00BE36FB">
      <w:pPr>
        <w:numPr>
          <w:ilvl w:val="1"/>
          <w:numId w:val="742"/>
        </w:numPr>
        <w:rPr>
          <w:rFonts w:ascii="Arial" w:hAnsi="Arial" w:cs="Arial"/>
          <w:sz w:val="20"/>
          <w:szCs w:val="20"/>
        </w:rPr>
      </w:pPr>
      <w:r w:rsidRPr="009B7B35">
        <w:rPr>
          <w:rFonts w:ascii="Arial" w:hAnsi="Arial" w:cs="Arial"/>
          <w:sz w:val="20"/>
          <w:szCs w:val="20"/>
        </w:rPr>
        <w:t>Open space meets the active and passive recreational needs of the community and protects the biodiversity of natural areas and systems.</w:t>
      </w:r>
    </w:p>
    <w:p w14:paraId="76019471" w14:textId="77777777" w:rsidR="00BE36FB" w:rsidRPr="009B7B35" w:rsidRDefault="00BE36FB" w:rsidP="001A7107">
      <w:pPr>
        <w:pStyle w:val="Notes"/>
        <w:rPr>
          <w:rFonts w:cs="Arial"/>
          <w:sz w:val="20"/>
          <w:szCs w:val="20"/>
        </w:rPr>
      </w:pPr>
      <w:r w:rsidRPr="009B7B35">
        <w:rPr>
          <w:rFonts w:cs="Arial"/>
          <w:sz w:val="20"/>
          <w:szCs w:val="20"/>
        </w:rPr>
        <w:t>Note—In order to demonstrate compliance with this code, Council may request the preparation of a Plan of development for the locality, which may include land external to the site. This is likely where the proposed development involves more than 5 lots or the construction of a new road. The Plan of development should be prepared in accordance with the provisions of this code in conjunction with SC6.3 Plans of development particularly in regard to the development of New Neighbourhoods in the Emerging community zone. Plan of development may form the basis of a preliminary approval for development in an area.</w:t>
      </w:r>
    </w:p>
    <w:p w14:paraId="35A8A145"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Criteria for assessment</w:t>
      </w:r>
    </w:p>
    <w:p w14:paraId="213FB567" w14:textId="77777777" w:rsidR="00BE36FB" w:rsidRPr="009B7B35" w:rsidRDefault="00BE36FB" w:rsidP="001A7107">
      <w:pPr>
        <w:pStyle w:val="Heading5"/>
        <w:numPr>
          <w:ilvl w:val="0"/>
          <w:numId w:val="0"/>
        </w:numPr>
        <w:rPr>
          <w:rFonts w:cs="Arial"/>
          <w:szCs w:val="20"/>
        </w:rPr>
      </w:pPr>
      <w:r w:rsidRPr="009B7B35">
        <w:rPr>
          <w:rFonts w:cs="Arial"/>
          <w:szCs w:val="20"/>
        </w:rPr>
        <w:t>Table 9.3.7.3.1—Assessable development</w:t>
      </w:r>
    </w:p>
    <w:tbl>
      <w:tblPr>
        <w:tblStyle w:val="Tablestyle"/>
        <w:tblW w:w="0" w:type="auto"/>
        <w:tblLook w:val="0620" w:firstRow="1" w:lastRow="0" w:firstColumn="0" w:lastColumn="0" w:noHBand="1" w:noVBand="1"/>
      </w:tblPr>
      <w:tblGrid>
        <w:gridCol w:w="4229"/>
        <w:gridCol w:w="4134"/>
      </w:tblGrid>
      <w:tr w:rsidR="00BE36FB" w:rsidRPr="009B7B35" w14:paraId="3C503569"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707" w:type="dxa"/>
            <w:shd w:val="clear" w:color="auto" w:fill="FFFFFF" w:themeFill="background1"/>
          </w:tcPr>
          <w:p w14:paraId="241EE206" w14:textId="77777777" w:rsidR="00BE36FB" w:rsidRPr="009B7B35" w:rsidRDefault="00BE36FB" w:rsidP="001A7107">
            <w:pPr>
              <w:pStyle w:val="TableText"/>
              <w:rPr>
                <w:rFonts w:cs="Arial"/>
              </w:rPr>
            </w:pPr>
            <w:r w:rsidRPr="009B7B35">
              <w:rPr>
                <w:rFonts w:cs="Arial"/>
              </w:rPr>
              <w:t>Performance outcomes</w:t>
            </w:r>
          </w:p>
        </w:tc>
        <w:tc>
          <w:tcPr>
            <w:tcW w:w="4644" w:type="dxa"/>
          </w:tcPr>
          <w:p w14:paraId="4FD1BD19" w14:textId="77777777" w:rsidR="00BE36FB" w:rsidRPr="009B7B35" w:rsidRDefault="00BE36FB" w:rsidP="001A7107">
            <w:pPr>
              <w:pStyle w:val="TableText"/>
              <w:rPr>
                <w:rFonts w:cs="Arial"/>
              </w:rPr>
            </w:pPr>
            <w:r w:rsidRPr="009B7B35">
              <w:rPr>
                <w:rFonts w:cs="Arial"/>
              </w:rPr>
              <w:t>Acceptable outcomes</w:t>
            </w:r>
          </w:p>
        </w:tc>
      </w:tr>
      <w:tr w:rsidR="00BE36FB" w:rsidRPr="009B7B35" w14:paraId="4CA8776E" w14:textId="77777777" w:rsidTr="001A7107">
        <w:trPr>
          <w:cantSplit/>
        </w:trPr>
        <w:tc>
          <w:tcPr>
            <w:tcW w:w="9351" w:type="dxa"/>
            <w:gridSpan w:val="2"/>
            <w:shd w:val="clear" w:color="auto" w:fill="BFBFBF" w:themeFill="background1" w:themeFillShade="BF"/>
          </w:tcPr>
          <w:p w14:paraId="6C1DC200" w14:textId="77777777" w:rsidR="00BE36FB" w:rsidRPr="009B7B35" w:rsidRDefault="00BE36FB" w:rsidP="001A7107">
            <w:pPr>
              <w:pStyle w:val="Tableheading"/>
              <w:rPr>
                <w:rFonts w:ascii="Arial" w:hAnsi="Arial" w:cs="Arial"/>
                <w:szCs w:val="20"/>
              </w:rPr>
            </w:pPr>
            <w:r w:rsidRPr="009B7B35">
              <w:rPr>
                <w:rFonts w:ascii="Arial" w:hAnsi="Arial" w:cs="Arial"/>
                <w:szCs w:val="20"/>
              </w:rPr>
              <w:t>Lot design</w:t>
            </w:r>
          </w:p>
        </w:tc>
      </w:tr>
      <w:tr w:rsidR="00BE36FB" w:rsidRPr="009B7B35" w14:paraId="1187C551" w14:textId="77777777" w:rsidTr="001A7107">
        <w:trPr>
          <w:cantSplit/>
        </w:trPr>
        <w:tc>
          <w:tcPr>
            <w:tcW w:w="4707" w:type="dxa"/>
            <w:shd w:val="clear" w:color="auto" w:fill="FFFFFF" w:themeFill="background1"/>
          </w:tcPr>
          <w:p w14:paraId="75FA937F" w14:textId="77777777" w:rsidR="00BE36FB" w:rsidRPr="009B7B35" w:rsidRDefault="00BE36FB" w:rsidP="001A7107">
            <w:pPr>
              <w:pStyle w:val="TableText"/>
              <w:rPr>
                <w:rFonts w:cs="Arial"/>
                <w:b/>
              </w:rPr>
            </w:pPr>
            <w:r w:rsidRPr="009B7B35">
              <w:rPr>
                <w:rFonts w:cs="Arial"/>
                <w:b/>
              </w:rPr>
              <w:t>PO1</w:t>
            </w:r>
          </w:p>
          <w:p w14:paraId="28F9557E" w14:textId="77777777" w:rsidR="00BE36FB" w:rsidRPr="009B7B35" w:rsidRDefault="00BE36FB" w:rsidP="001A7107">
            <w:pPr>
              <w:pStyle w:val="TableText"/>
              <w:rPr>
                <w:rFonts w:cs="Arial"/>
              </w:rPr>
            </w:pPr>
            <w:r w:rsidRPr="009B7B35">
              <w:rPr>
                <w:rFonts w:cs="Arial"/>
              </w:rPr>
              <w:t xml:space="preserve">Reconfiguration creates lots that are of a sufficient size, shape and dimension: </w:t>
            </w:r>
          </w:p>
          <w:p w14:paraId="00517B0C" w14:textId="77777777" w:rsidR="00BE36FB" w:rsidRPr="009B7B35" w:rsidRDefault="00BE36FB" w:rsidP="00BE36FB">
            <w:pPr>
              <w:pStyle w:val="TableText"/>
              <w:numPr>
                <w:ilvl w:val="0"/>
                <w:numId w:val="707"/>
              </w:numPr>
              <w:rPr>
                <w:rFonts w:cs="Arial"/>
              </w:rPr>
            </w:pPr>
            <w:r w:rsidRPr="009B7B35">
              <w:rPr>
                <w:rFonts w:cs="Arial"/>
              </w:rPr>
              <w:t>that are consistent with the character of the zone</w:t>
            </w:r>
          </w:p>
          <w:p w14:paraId="50EA3EA5" w14:textId="77777777" w:rsidR="00BE36FB" w:rsidRPr="009B7B35" w:rsidRDefault="00BE36FB" w:rsidP="00BE36FB">
            <w:pPr>
              <w:pStyle w:val="TableText"/>
              <w:numPr>
                <w:ilvl w:val="0"/>
                <w:numId w:val="707"/>
              </w:numPr>
              <w:rPr>
                <w:rFonts w:cs="Arial"/>
              </w:rPr>
            </w:pPr>
            <w:r w:rsidRPr="009B7B35">
              <w:rPr>
                <w:rFonts w:cs="Arial"/>
              </w:rPr>
              <w:t>to accommodate development commensurate with the required building footprint, setbacks, private open space, vehicle access and parking and servicing areas for the zone</w:t>
            </w:r>
          </w:p>
          <w:p w14:paraId="45721E21" w14:textId="77777777" w:rsidR="00BE36FB" w:rsidRPr="009B7B35" w:rsidRDefault="00BE36FB" w:rsidP="00BE36FB">
            <w:pPr>
              <w:pStyle w:val="TableText"/>
              <w:numPr>
                <w:ilvl w:val="0"/>
                <w:numId w:val="707"/>
              </w:numPr>
              <w:rPr>
                <w:rFonts w:cs="Arial"/>
              </w:rPr>
            </w:pPr>
            <w:r w:rsidRPr="009B7B35">
              <w:rPr>
                <w:rFonts w:cs="Arial"/>
              </w:rPr>
              <w:t>that does not compromise the future development potential of land in the emerging community zone for urban purposes, and</w:t>
            </w:r>
          </w:p>
          <w:p w14:paraId="45FAA637" w14:textId="77777777" w:rsidR="00BE36FB" w:rsidRPr="009B7B35" w:rsidRDefault="00BE36FB" w:rsidP="00BE36FB">
            <w:pPr>
              <w:pStyle w:val="TableText"/>
              <w:numPr>
                <w:ilvl w:val="0"/>
                <w:numId w:val="707"/>
              </w:numPr>
              <w:rPr>
                <w:rFonts w:cs="Arial"/>
              </w:rPr>
            </w:pPr>
            <w:r w:rsidRPr="009B7B35">
              <w:rPr>
                <w:rFonts w:cs="Arial"/>
              </w:rPr>
              <w:t>are sufficient to protect areas with significant ecological values.</w:t>
            </w:r>
          </w:p>
        </w:tc>
        <w:tc>
          <w:tcPr>
            <w:tcW w:w="4644" w:type="dxa"/>
          </w:tcPr>
          <w:p w14:paraId="3BC757BC" w14:textId="77777777" w:rsidR="00BE36FB" w:rsidRPr="009B7B35" w:rsidRDefault="00BE36FB" w:rsidP="001A7107">
            <w:pPr>
              <w:pStyle w:val="TableText"/>
              <w:rPr>
                <w:rFonts w:cs="Arial"/>
                <w:b/>
              </w:rPr>
            </w:pPr>
            <w:r w:rsidRPr="009B7B35">
              <w:rPr>
                <w:rFonts w:cs="Arial"/>
                <w:b/>
              </w:rPr>
              <w:t>AO1</w:t>
            </w:r>
          </w:p>
          <w:p w14:paraId="697D9346" w14:textId="77777777" w:rsidR="00BE36FB" w:rsidRPr="009B7B35" w:rsidRDefault="00BE36FB">
            <w:pPr>
              <w:pStyle w:val="TableText"/>
              <w:rPr>
                <w:rFonts w:cs="Arial"/>
              </w:rPr>
            </w:pPr>
            <w:r w:rsidRPr="009B7B35">
              <w:rPr>
                <w:rFonts w:cs="Arial"/>
              </w:rPr>
              <w:t>Lots comply with the minimum lot size and dimensions specified for its zone in Table 9.3.6.3.2—Minimum lot size and dimensions.</w:t>
            </w:r>
          </w:p>
        </w:tc>
      </w:tr>
      <w:tr w:rsidR="00BE36FB" w:rsidRPr="009B7B35" w14:paraId="6024C5B2" w14:textId="77777777" w:rsidTr="001A7107">
        <w:tc>
          <w:tcPr>
            <w:tcW w:w="4707" w:type="dxa"/>
            <w:vMerge w:val="restart"/>
            <w:shd w:val="clear" w:color="auto" w:fill="FFFFFF" w:themeFill="background1"/>
          </w:tcPr>
          <w:p w14:paraId="20A96295" w14:textId="77777777" w:rsidR="00BE36FB" w:rsidRPr="009B7B35" w:rsidRDefault="00BE36FB" w:rsidP="001A7107">
            <w:pPr>
              <w:pStyle w:val="TableText"/>
              <w:rPr>
                <w:rFonts w:cs="Arial"/>
                <w:b/>
              </w:rPr>
            </w:pPr>
            <w:r w:rsidRPr="009B7B35">
              <w:rPr>
                <w:rFonts w:cs="Arial"/>
                <w:b/>
              </w:rPr>
              <w:t>PO2</w:t>
            </w:r>
          </w:p>
          <w:p w14:paraId="1D37C3C6" w14:textId="77777777" w:rsidR="00BE36FB" w:rsidRPr="009B7B35" w:rsidRDefault="00BE36FB" w:rsidP="001A7107">
            <w:pPr>
              <w:pStyle w:val="TableText"/>
              <w:rPr>
                <w:rFonts w:cs="Arial"/>
              </w:rPr>
            </w:pPr>
            <w:r w:rsidRPr="009B7B35">
              <w:rPr>
                <w:rFonts w:cs="Arial"/>
              </w:rPr>
              <w:t>Rear lots are only created where:</w:t>
            </w:r>
          </w:p>
          <w:p w14:paraId="7F5E4E01" w14:textId="77777777" w:rsidR="00BE36FB" w:rsidRPr="009B7B35" w:rsidRDefault="00BE36FB" w:rsidP="00BE36FB">
            <w:pPr>
              <w:pStyle w:val="TableText"/>
              <w:numPr>
                <w:ilvl w:val="0"/>
                <w:numId w:val="779"/>
              </w:numPr>
              <w:rPr>
                <w:rFonts w:cs="Arial"/>
              </w:rPr>
            </w:pPr>
            <w:r w:rsidRPr="009B7B35">
              <w:rPr>
                <w:rFonts w:cs="Arial"/>
              </w:rPr>
              <w:t>they are for the purpose of a single dwelling house</w:t>
            </w:r>
          </w:p>
          <w:p w14:paraId="5FE37CB7" w14:textId="77777777" w:rsidR="00BE36FB" w:rsidRPr="009B7B35" w:rsidRDefault="00BE36FB" w:rsidP="00BE36FB">
            <w:pPr>
              <w:pStyle w:val="TableText"/>
              <w:numPr>
                <w:ilvl w:val="0"/>
                <w:numId w:val="779"/>
              </w:numPr>
              <w:rPr>
                <w:rFonts w:cs="Arial"/>
              </w:rPr>
            </w:pPr>
            <w:r w:rsidRPr="009B7B35">
              <w:rPr>
                <w:rFonts w:cs="Arial"/>
              </w:rPr>
              <w:t>the topography of the land or other physical features ensure that the amenity of adjoining lots would not be detrimentally affected</w:t>
            </w:r>
          </w:p>
          <w:p w14:paraId="3534582A" w14:textId="77777777" w:rsidR="00BE36FB" w:rsidRPr="009B7B35" w:rsidRDefault="00BE36FB" w:rsidP="00BE36FB">
            <w:pPr>
              <w:pStyle w:val="TableText"/>
              <w:numPr>
                <w:ilvl w:val="0"/>
                <w:numId w:val="779"/>
              </w:numPr>
              <w:rPr>
                <w:rFonts w:cs="Arial"/>
              </w:rPr>
            </w:pPr>
            <w:r w:rsidRPr="009B7B35">
              <w:rPr>
                <w:rFonts w:cs="Arial"/>
              </w:rPr>
              <w:t>the circumstances of the particular case are such that it would not be desirable or practical to provide full frontage lots</w:t>
            </w:r>
          </w:p>
          <w:p w14:paraId="34271B60" w14:textId="77777777" w:rsidR="00BE36FB" w:rsidRPr="009B7B35" w:rsidRDefault="00BE36FB" w:rsidP="00BE36FB">
            <w:pPr>
              <w:pStyle w:val="TableText"/>
              <w:numPr>
                <w:ilvl w:val="0"/>
                <w:numId w:val="779"/>
              </w:numPr>
              <w:rPr>
                <w:rFonts w:cs="Arial"/>
              </w:rPr>
            </w:pPr>
            <w:r w:rsidRPr="009B7B35">
              <w:rPr>
                <w:rFonts w:cs="Arial"/>
              </w:rPr>
              <w:t>the safety of the frontage road is not adversely affected (including for waste collection), and</w:t>
            </w:r>
          </w:p>
          <w:p w14:paraId="5B51FCBA" w14:textId="77777777" w:rsidR="00BE36FB" w:rsidRPr="009B7B35" w:rsidRDefault="00BE36FB" w:rsidP="00BE36FB">
            <w:pPr>
              <w:pStyle w:val="TableText"/>
              <w:numPr>
                <w:ilvl w:val="0"/>
                <w:numId w:val="779"/>
              </w:numPr>
              <w:rPr>
                <w:rFonts w:cs="Arial"/>
              </w:rPr>
            </w:pPr>
            <w:r w:rsidRPr="009B7B35">
              <w:rPr>
                <w:rFonts w:cs="Arial"/>
              </w:rPr>
              <w:t>the access handle has sufficient width to provide vehicular access and services to the rear lot.</w:t>
            </w:r>
          </w:p>
        </w:tc>
        <w:tc>
          <w:tcPr>
            <w:tcW w:w="4644" w:type="dxa"/>
            <w:shd w:val="clear" w:color="auto" w:fill="FFFFFF" w:themeFill="background1"/>
          </w:tcPr>
          <w:p w14:paraId="73595704" w14:textId="77777777" w:rsidR="00BE36FB" w:rsidRPr="009B7B35" w:rsidRDefault="00BE36FB" w:rsidP="001A7107">
            <w:pPr>
              <w:pStyle w:val="TableText"/>
              <w:rPr>
                <w:rFonts w:cs="Arial"/>
                <w:b/>
              </w:rPr>
            </w:pPr>
            <w:r w:rsidRPr="009B7B35">
              <w:rPr>
                <w:rFonts w:cs="Arial"/>
                <w:b/>
              </w:rPr>
              <w:t>AO2.1</w:t>
            </w:r>
          </w:p>
          <w:p w14:paraId="456C206D" w14:textId="77777777" w:rsidR="00BE36FB" w:rsidRPr="009B7B35" w:rsidRDefault="00BE36FB" w:rsidP="001A7107">
            <w:pPr>
              <w:pStyle w:val="TableText"/>
              <w:rPr>
                <w:rFonts w:cs="Arial"/>
              </w:rPr>
            </w:pPr>
            <w:r w:rsidRPr="009B7B35">
              <w:rPr>
                <w:rFonts w:cs="Arial"/>
              </w:rPr>
              <w:t>Only 1 rear lot is provided behind each full frontage lot.</w:t>
            </w:r>
          </w:p>
        </w:tc>
      </w:tr>
      <w:tr w:rsidR="00BE36FB" w:rsidRPr="009B7B35" w14:paraId="362D3B1D" w14:textId="77777777" w:rsidTr="001A7107">
        <w:trPr>
          <w:cantSplit/>
        </w:trPr>
        <w:tc>
          <w:tcPr>
            <w:tcW w:w="4707" w:type="dxa"/>
            <w:vMerge/>
            <w:shd w:val="clear" w:color="auto" w:fill="FFFFFF" w:themeFill="background1"/>
          </w:tcPr>
          <w:p w14:paraId="7DC11E2B" w14:textId="77777777" w:rsidR="00BE36FB" w:rsidRPr="009B7B35" w:rsidRDefault="00BE36FB" w:rsidP="001A7107">
            <w:pPr>
              <w:pStyle w:val="TableText"/>
              <w:rPr>
                <w:rFonts w:cs="Arial"/>
              </w:rPr>
            </w:pPr>
          </w:p>
        </w:tc>
        <w:tc>
          <w:tcPr>
            <w:tcW w:w="4644" w:type="dxa"/>
          </w:tcPr>
          <w:p w14:paraId="74AF5606" w14:textId="77777777" w:rsidR="00BE36FB" w:rsidRPr="009B7B35" w:rsidRDefault="00BE36FB" w:rsidP="001A7107">
            <w:pPr>
              <w:pStyle w:val="TableText"/>
              <w:rPr>
                <w:rFonts w:cs="Arial"/>
                <w:b/>
              </w:rPr>
            </w:pPr>
            <w:r w:rsidRPr="009B7B35">
              <w:rPr>
                <w:rFonts w:cs="Arial"/>
                <w:b/>
              </w:rPr>
              <w:t>AO2.2</w:t>
            </w:r>
          </w:p>
          <w:p w14:paraId="05840E82" w14:textId="77777777" w:rsidR="00BE36FB" w:rsidRPr="009B7B35" w:rsidRDefault="00BE36FB" w:rsidP="001A7107">
            <w:pPr>
              <w:pStyle w:val="TableText"/>
              <w:rPr>
                <w:rFonts w:cs="Arial"/>
              </w:rPr>
            </w:pPr>
            <w:r w:rsidRPr="009B7B35">
              <w:rPr>
                <w:rFonts w:cs="Arial"/>
              </w:rPr>
              <w:t>The number of adjoining rear lots does not exceed 2 and not more than 4 lots directly adjoin a rear lot (excluding lots that adjoin at one point).</w:t>
            </w:r>
          </w:p>
        </w:tc>
      </w:tr>
      <w:tr w:rsidR="00BE36FB" w:rsidRPr="009B7B35" w14:paraId="0A045510" w14:textId="77777777" w:rsidTr="001A7107">
        <w:trPr>
          <w:cantSplit/>
        </w:trPr>
        <w:tc>
          <w:tcPr>
            <w:tcW w:w="4707" w:type="dxa"/>
            <w:vMerge/>
            <w:shd w:val="clear" w:color="auto" w:fill="FFFFFF" w:themeFill="background1"/>
          </w:tcPr>
          <w:p w14:paraId="00418F9F" w14:textId="77777777" w:rsidR="00BE36FB" w:rsidRPr="009B7B35" w:rsidRDefault="00BE36FB" w:rsidP="001A7107">
            <w:pPr>
              <w:pStyle w:val="TableText"/>
              <w:rPr>
                <w:rFonts w:cs="Arial"/>
              </w:rPr>
            </w:pPr>
          </w:p>
        </w:tc>
        <w:tc>
          <w:tcPr>
            <w:tcW w:w="4644" w:type="dxa"/>
            <w:shd w:val="clear" w:color="auto" w:fill="FFFFFF" w:themeFill="background1"/>
          </w:tcPr>
          <w:p w14:paraId="6E2F7032" w14:textId="77777777" w:rsidR="00BE36FB" w:rsidRPr="009B7B35" w:rsidRDefault="00BE36FB" w:rsidP="001A7107">
            <w:pPr>
              <w:pStyle w:val="TableText"/>
              <w:rPr>
                <w:rFonts w:cs="Arial"/>
                <w:b/>
              </w:rPr>
            </w:pPr>
            <w:r w:rsidRPr="009B7B35">
              <w:rPr>
                <w:rFonts w:cs="Arial"/>
                <w:b/>
              </w:rPr>
              <w:t>AO2.3</w:t>
            </w:r>
          </w:p>
          <w:p w14:paraId="2CF0192A" w14:textId="77777777" w:rsidR="00BE36FB" w:rsidRPr="009B7B35" w:rsidRDefault="00BE36FB" w:rsidP="001A7107">
            <w:pPr>
              <w:pStyle w:val="TableText"/>
              <w:rPr>
                <w:rFonts w:cs="Arial"/>
              </w:rPr>
            </w:pPr>
            <w:r w:rsidRPr="009B7B35">
              <w:rPr>
                <w:rFonts w:cs="Arial"/>
              </w:rPr>
              <w:t>The minimum size of a rear lot, excluding its access handle is:</w:t>
            </w:r>
          </w:p>
          <w:p w14:paraId="120230CF" w14:textId="77777777" w:rsidR="00BE36FB" w:rsidRPr="009B7B35" w:rsidRDefault="00BE36FB" w:rsidP="00BE36FB">
            <w:pPr>
              <w:pStyle w:val="TableText"/>
              <w:numPr>
                <w:ilvl w:val="0"/>
                <w:numId w:val="780"/>
              </w:numPr>
              <w:rPr>
                <w:rFonts w:cs="Arial"/>
              </w:rPr>
            </w:pPr>
            <w:r w:rsidRPr="009B7B35">
              <w:rPr>
                <w:rFonts w:cs="Arial"/>
              </w:rPr>
              <w:t>the same as the minimum lot size for the relevant zone in accordance with Table 9.3.6.3.2—Minimum lot size and dimensions, and</w:t>
            </w:r>
          </w:p>
          <w:p w14:paraId="791732CA" w14:textId="77777777" w:rsidR="00BE36FB" w:rsidRPr="009B7B35" w:rsidRDefault="00BE36FB" w:rsidP="00BE36FB">
            <w:pPr>
              <w:pStyle w:val="TableText"/>
              <w:numPr>
                <w:ilvl w:val="0"/>
                <w:numId w:val="780"/>
              </w:numPr>
              <w:rPr>
                <w:rFonts w:cs="Arial"/>
              </w:rPr>
            </w:pPr>
            <w:r w:rsidRPr="009B7B35">
              <w:rPr>
                <w:rFonts w:cs="Arial"/>
              </w:rPr>
              <w:t>is capable of containing a building envelope having minimum dimensions of 15m x 20m.</w:t>
            </w:r>
          </w:p>
        </w:tc>
      </w:tr>
      <w:tr w:rsidR="00BE36FB" w:rsidRPr="009B7B35" w14:paraId="3D7B41BD" w14:textId="77777777" w:rsidTr="001A7107">
        <w:trPr>
          <w:cantSplit/>
        </w:trPr>
        <w:tc>
          <w:tcPr>
            <w:tcW w:w="4707" w:type="dxa"/>
            <w:vMerge/>
            <w:shd w:val="clear" w:color="auto" w:fill="FFFFFF" w:themeFill="background1"/>
          </w:tcPr>
          <w:p w14:paraId="63400D05" w14:textId="77777777" w:rsidR="00BE36FB" w:rsidRPr="009B7B35" w:rsidRDefault="00BE36FB" w:rsidP="001A7107">
            <w:pPr>
              <w:pStyle w:val="TableText"/>
              <w:rPr>
                <w:rFonts w:cs="Arial"/>
              </w:rPr>
            </w:pPr>
          </w:p>
        </w:tc>
        <w:tc>
          <w:tcPr>
            <w:tcW w:w="4644" w:type="dxa"/>
          </w:tcPr>
          <w:p w14:paraId="2B405A3A" w14:textId="77777777" w:rsidR="00BE36FB" w:rsidRPr="009B7B35" w:rsidRDefault="00BE36FB" w:rsidP="001A7107">
            <w:pPr>
              <w:pStyle w:val="TableText"/>
              <w:rPr>
                <w:rFonts w:cs="Arial"/>
                <w:b/>
              </w:rPr>
            </w:pPr>
            <w:r w:rsidRPr="009B7B35">
              <w:rPr>
                <w:rFonts w:cs="Arial"/>
                <w:b/>
              </w:rPr>
              <w:t>AO2.4</w:t>
            </w:r>
          </w:p>
          <w:p w14:paraId="5ED21BA4" w14:textId="77777777" w:rsidR="00BE36FB" w:rsidRPr="009B7B35" w:rsidRDefault="00BE36FB" w:rsidP="001A7107">
            <w:pPr>
              <w:pStyle w:val="TableText"/>
              <w:rPr>
                <w:rFonts w:cs="Arial"/>
              </w:rPr>
            </w:pPr>
            <w:r w:rsidRPr="009B7B35">
              <w:rPr>
                <w:rFonts w:cs="Arial"/>
              </w:rPr>
              <w:t>The access handle of the rear allotment has a minimum width of 4m.</w:t>
            </w:r>
          </w:p>
        </w:tc>
      </w:tr>
      <w:tr w:rsidR="00BE36FB" w:rsidRPr="009B7B35" w14:paraId="4B7CC75D" w14:textId="77777777" w:rsidTr="001A7107">
        <w:tc>
          <w:tcPr>
            <w:tcW w:w="4707" w:type="dxa"/>
            <w:vMerge w:val="restart"/>
            <w:shd w:val="clear" w:color="auto" w:fill="FFFFFF" w:themeFill="background1"/>
          </w:tcPr>
          <w:p w14:paraId="3C95BD5D" w14:textId="77777777" w:rsidR="00BE36FB" w:rsidRPr="009B7B35" w:rsidRDefault="00BE36FB" w:rsidP="001A7107">
            <w:pPr>
              <w:pStyle w:val="TableText"/>
              <w:rPr>
                <w:rFonts w:cs="Arial"/>
                <w:b/>
              </w:rPr>
            </w:pPr>
            <w:r w:rsidRPr="009B7B35">
              <w:rPr>
                <w:rFonts w:cs="Arial"/>
                <w:b/>
              </w:rPr>
              <w:t>PO3</w:t>
            </w:r>
          </w:p>
          <w:p w14:paraId="578E5A1F" w14:textId="77777777" w:rsidR="00BE36FB" w:rsidRPr="009B7B35" w:rsidRDefault="00BE36FB" w:rsidP="001A7107">
            <w:pPr>
              <w:pStyle w:val="TableText"/>
              <w:rPr>
                <w:rFonts w:cs="Arial"/>
              </w:rPr>
            </w:pPr>
            <w:r w:rsidRPr="009B7B35">
              <w:rPr>
                <w:rFonts w:cs="Arial"/>
              </w:rPr>
              <w:t xml:space="preserve">Any boundary realignment must: </w:t>
            </w:r>
          </w:p>
          <w:p w14:paraId="0B244017" w14:textId="77777777" w:rsidR="00BE36FB" w:rsidRPr="009B7B35" w:rsidRDefault="00BE36FB" w:rsidP="00BE36FB">
            <w:pPr>
              <w:pStyle w:val="TableText"/>
              <w:numPr>
                <w:ilvl w:val="0"/>
                <w:numId w:val="781"/>
              </w:numPr>
              <w:rPr>
                <w:rFonts w:cs="Arial"/>
              </w:rPr>
            </w:pPr>
            <w:r w:rsidRPr="009B7B35">
              <w:rPr>
                <w:rFonts w:cs="Arial"/>
              </w:rPr>
              <w:t>improve the shape or utility of the existing lot</w:t>
            </w:r>
          </w:p>
          <w:p w14:paraId="08BB6A41" w14:textId="77777777" w:rsidR="00BE36FB" w:rsidRPr="009B7B35" w:rsidRDefault="00BE36FB" w:rsidP="00BE36FB">
            <w:pPr>
              <w:pStyle w:val="TableText"/>
              <w:numPr>
                <w:ilvl w:val="0"/>
                <w:numId w:val="781"/>
              </w:numPr>
              <w:rPr>
                <w:rFonts w:cs="Arial"/>
              </w:rPr>
            </w:pPr>
            <w:r w:rsidRPr="009B7B35">
              <w:rPr>
                <w:rFonts w:cs="Arial"/>
              </w:rPr>
              <w:t xml:space="preserve">be consistent with the character of the zone, and </w:t>
            </w:r>
          </w:p>
          <w:p w14:paraId="18E8066C" w14:textId="77777777" w:rsidR="00BE36FB" w:rsidRPr="009B7B35" w:rsidRDefault="00BE36FB" w:rsidP="00BE36FB">
            <w:pPr>
              <w:pStyle w:val="TableText"/>
              <w:numPr>
                <w:ilvl w:val="0"/>
                <w:numId w:val="781"/>
              </w:numPr>
              <w:rPr>
                <w:rFonts w:cs="Arial"/>
              </w:rPr>
            </w:pPr>
            <w:r w:rsidRPr="009B7B35">
              <w:rPr>
                <w:rFonts w:cs="Arial"/>
              </w:rPr>
              <w:t>not create additional lots.</w:t>
            </w:r>
          </w:p>
        </w:tc>
        <w:tc>
          <w:tcPr>
            <w:tcW w:w="4644" w:type="dxa"/>
            <w:shd w:val="clear" w:color="auto" w:fill="FFFFFF" w:themeFill="background1"/>
          </w:tcPr>
          <w:p w14:paraId="184B29AA" w14:textId="77777777" w:rsidR="00BE36FB" w:rsidRPr="009B7B35" w:rsidRDefault="00BE36FB" w:rsidP="001A7107">
            <w:pPr>
              <w:pStyle w:val="TableText"/>
              <w:rPr>
                <w:rFonts w:cs="Arial"/>
                <w:b/>
              </w:rPr>
            </w:pPr>
            <w:r w:rsidRPr="009B7B35">
              <w:rPr>
                <w:rFonts w:cs="Arial"/>
                <w:b/>
              </w:rPr>
              <w:t>AO3.1</w:t>
            </w:r>
          </w:p>
          <w:p w14:paraId="168A1CBA" w14:textId="77777777" w:rsidR="00BE36FB" w:rsidRPr="009B7B35" w:rsidRDefault="00BE36FB" w:rsidP="001A7107">
            <w:pPr>
              <w:pStyle w:val="TableText"/>
              <w:rPr>
                <w:rFonts w:cs="Arial"/>
              </w:rPr>
            </w:pPr>
            <w:r w:rsidRPr="009B7B35">
              <w:rPr>
                <w:rFonts w:cs="Arial"/>
              </w:rPr>
              <w:t>No additional lots are created.</w:t>
            </w:r>
          </w:p>
        </w:tc>
      </w:tr>
      <w:tr w:rsidR="00BE36FB" w:rsidRPr="009B7B35" w14:paraId="59477D74" w14:textId="77777777" w:rsidTr="001A7107">
        <w:trPr>
          <w:trHeight w:val="671"/>
        </w:trPr>
        <w:tc>
          <w:tcPr>
            <w:tcW w:w="4707" w:type="dxa"/>
            <w:vMerge/>
            <w:shd w:val="clear" w:color="auto" w:fill="FFFFFF" w:themeFill="background1"/>
          </w:tcPr>
          <w:p w14:paraId="0CF912AE" w14:textId="77777777" w:rsidR="00BE36FB" w:rsidRPr="009B7B35" w:rsidRDefault="00BE36FB" w:rsidP="001A7107">
            <w:pPr>
              <w:pStyle w:val="TableText"/>
              <w:rPr>
                <w:rFonts w:cs="Arial"/>
              </w:rPr>
            </w:pPr>
          </w:p>
        </w:tc>
        <w:tc>
          <w:tcPr>
            <w:tcW w:w="4644" w:type="dxa"/>
          </w:tcPr>
          <w:p w14:paraId="4A4E5329" w14:textId="77777777" w:rsidR="00BE36FB" w:rsidRPr="009B7B35" w:rsidRDefault="00BE36FB" w:rsidP="001A7107">
            <w:pPr>
              <w:pStyle w:val="TableText"/>
              <w:rPr>
                <w:rFonts w:cs="Arial"/>
                <w:b/>
              </w:rPr>
            </w:pPr>
            <w:r w:rsidRPr="009B7B35">
              <w:rPr>
                <w:rFonts w:cs="Arial"/>
                <w:b/>
              </w:rPr>
              <w:t>AO3.2</w:t>
            </w:r>
          </w:p>
          <w:p w14:paraId="39D91D58" w14:textId="77777777" w:rsidR="00BE36FB" w:rsidRPr="009B7B35" w:rsidRDefault="00BE36FB" w:rsidP="001A7107">
            <w:pPr>
              <w:pStyle w:val="TableText"/>
              <w:rPr>
                <w:rFonts w:cs="Arial"/>
              </w:rPr>
            </w:pPr>
            <w:r w:rsidRPr="009B7B35">
              <w:rPr>
                <w:rFonts w:cs="Arial"/>
              </w:rPr>
              <w:t>The realignment meets the minimum lot size and dimensions in accordance with Table 9.3.6.3.2—Minimum lot size and dimensions.</w:t>
            </w:r>
          </w:p>
        </w:tc>
      </w:tr>
      <w:tr w:rsidR="00BE36FB" w:rsidRPr="009B7B35" w14:paraId="3E89A271" w14:textId="77777777" w:rsidTr="001A7107">
        <w:tc>
          <w:tcPr>
            <w:tcW w:w="4707" w:type="dxa"/>
            <w:shd w:val="clear" w:color="auto" w:fill="FFFFFF" w:themeFill="background1"/>
          </w:tcPr>
          <w:p w14:paraId="26A4A5BB" w14:textId="77777777" w:rsidR="00BE36FB" w:rsidRPr="009B7B35" w:rsidRDefault="00BE36FB" w:rsidP="001A7107">
            <w:pPr>
              <w:pStyle w:val="TableText"/>
              <w:rPr>
                <w:rFonts w:cs="Arial"/>
                <w:b/>
              </w:rPr>
            </w:pPr>
            <w:r w:rsidRPr="009B7B35">
              <w:rPr>
                <w:rFonts w:cs="Arial"/>
                <w:b/>
              </w:rPr>
              <w:t>PO4</w:t>
            </w:r>
          </w:p>
          <w:p w14:paraId="1576C191" w14:textId="77777777" w:rsidR="00BE36FB" w:rsidRPr="009B7B35" w:rsidRDefault="00BE36FB" w:rsidP="001A7107">
            <w:pPr>
              <w:pStyle w:val="TableText"/>
              <w:rPr>
                <w:rFonts w:cs="Arial"/>
              </w:rPr>
            </w:pPr>
            <w:r w:rsidRPr="009B7B35">
              <w:rPr>
                <w:rFonts w:cs="Arial"/>
              </w:rPr>
              <w:t>Any boundary realignment that is resolving a building encroachment must:</w:t>
            </w:r>
          </w:p>
          <w:p w14:paraId="07EC87DC" w14:textId="77777777" w:rsidR="00BE36FB" w:rsidRPr="009B7B35" w:rsidRDefault="00BE36FB" w:rsidP="00BE36FB">
            <w:pPr>
              <w:pStyle w:val="TableText"/>
              <w:numPr>
                <w:ilvl w:val="0"/>
                <w:numId w:val="782"/>
              </w:numPr>
              <w:rPr>
                <w:rFonts w:cs="Arial"/>
              </w:rPr>
            </w:pPr>
            <w:r w:rsidRPr="009B7B35">
              <w:rPr>
                <w:rFonts w:cs="Arial"/>
              </w:rPr>
              <w:t>be an improvement on the existing situation, and</w:t>
            </w:r>
          </w:p>
          <w:p w14:paraId="1824AE88" w14:textId="77777777" w:rsidR="00BE36FB" w:rsidRPr="009B7B35" w:rsidRDefault="00BE36FB" w:rsidP="00BE36FB">
            <w:pPr>
              <w:pStyle w:val="TableText"/>
              <w:numPr>
                <w:ilvl w:val="0"/>
                <w:numId w:val="782"/>
              </w:numPr>
              <w:rPr>
                <w:rFonts w:cs="Arial"/>
              </w:rPr>
            </w:pPr>
            <w:r w:rsidRPr="009B7B35">
              <w:rPr>
                <w:rFonts w:cs="Arial"/>
              </w:rPr>
              <w:t>not create a situation where, as a result of the reconfiguration the building/s become unlawful.</w:t>
            </w:r>
          </w:p>
        </w:tc>
        <w:tc>
          <w:tcPr>
            <w:tcW w:w="4644" w:type="dxa"/>
            <w:shd w:val="clear" w:color="auto" w:fill="FFFFFF" w:themeFill="background1"/>
          </w:tcPr>
          <w:p w14:paraId="5248664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377EC39" w14:textId="77777777" w:rsidTr="001A7107">
        <w:trPr>
          <w:cantSplit/>
        </w:trPr>
        <w:tc>
          <w:tcPr>
            <w:tcW w:w="9351" w:type="dxa"/>
            <w:gridSpan w:val="2"/>
            <w:shd w:val="clear" w:color="auto" w:fill="BFBFBF" w:themeFill="background1" w:themeFillShade="BF"/>
          </w:tcPr>
          <w:p w14:paraId="4129964D" w14:textId="77777777" w:rsidR="00BE36FB" w:rsidRPr="009B7B35" w:rsidRDefault="00BE36FB" w:rsidP="001A7107">
            <w:pPr>
              <w:pStyle w:val="Tableheading"/>
              <w:rPr>
                <w:rFonts w:ascii="Arial" w:hAnsi="Arial" w:cs="Arial"/>
                <w:szCs w:val="20"/>
              </w:rPr>
            </w:pPr>
            <w:r w:rsidRPr="009B7B35">
              <w:rPr>
                <w:rFonts w:ascii="Arial" w:hAnsi="Arial" w:cs="Arial"/>
                <w:szCs w:val="20"/>
              </w:rPr>
              <w:t>General design</w:t>
            </w:r>
          </w:p>
        </w:tc>
      </w:tr>
      <w:tr w:rsidR="00BE36FB" w:rsidRPr="009B7B35" w14:paraId="135E0AC4" w14:textId="77777777" w:rsidTr="001A7107">
        <w:trPr>
          <w:trHeight w:val="930"/>
        </w:trPr>
        <w:tc>
          <w:tcPr>
            <w:tcW w:w="4707" w:type="dxa"/>
            <w:shd w:val="clear" w:color="auto" w:fill="FFFFFF" w:themeFill="background1"/>
          </w:tcPr>
          <w:p w14:paraId="5AAE4842" w14:textId="77777777" w:rsidR="00BE36FB" w:rsidRPr="009B7B35" w:rsidRDefault="00BE36FB" w:rsidP="001A7107">
            <w:pPr>
              <w:pStyle w:val="TableText"/>
              <w:rPr>
                <w:rFonts w:cs="Arial"/>
                <w:b/>
              </w:rPr>
            </w:pPr>
            <w:r w:rsidRPr="009B7B35">
              <w:rPr>
                <w:rFonts w:cs="Arial"/>
                <w:b/>
              </w:rPr>
              <w:t>PO5</w:t>
            </w:r>
          </w:p>
          <w:p w14:paraId="6B16E810" w14:textId="77777777" w:rsidR="00BE36FB" w:rsidRPr="009B7B35" w:rsidRDefault="00BE36FB" w:rsidP="001A7107">
            <w:pPr>
              <w:pStyle w:val="TableText"/>
              <w:rPr>
                <w:rFonts w:cs="Arial"/>
              </w:rPr>
            </w:pPr>
            <w:r w:rsidRPr="009B7B35">
              <w:rPr>
                <w:rFonts w:cs="Arial"/>
              </w:rPr>
              <w:t>The layout of lots, streets and infrastructure avoids or minimises impacts on environmental features by:</w:t>
            </w:r>
          </w:p>
          <w:p w14:paraId="68D190B7" w14:textId="77777777" w:rsidR="00BE36FB" w:rsidRPr="009B7B35" w:rsidRDefault="00BE36FB" w:rsidP="00BE36FB">
            <w:pPr>
              <w:pStyle w:val="TableText"/>
              <w:numPr>
                <w:ilvl w:val="0"/>
                <w:numId w:val="708"/>
              </w:numPr>
              <w:rPr>
                <w:rFonts w:cs="Arial"/>
              </w:rPr>
            </w:pPr>
            <w:r w:rsidRPr="009B7B35">
              <w:rPr>
                <w:rFonts w:cs="Arial"/>
              </w:rPr>
              <w:t>following the natural topography and minimising earthworks</w:t>
            </w:r>
          </w:p>
          <w:p w14:paraId="4AA9B3B1" w14:textId="77777777" w:rsidR="00BE36FB" w:rsidRPr="009B7B35" w:rsidRDefault="00BE36FB" w:rsidP="00BE36FB">
            <w:pPr>
              <w:pStyle w:val="TableText"/>
              <w:numPr>
                <w:ilvl w:val="0"/>
                <w:numId w:val="708"/>
              </w:numPr>
              <w:rPr>
                <w:rFonts w:cs="Arial"/>
              </w:rPr>
            </w:pPr>
            <w:r w:rsidRPr="009B7B35">
              <w:rPr>
                <w:rFonts w:cs="Arial"/>
              </w:rPr>
              <w:t>avoiding crossing or otherwise fragmenting waterways, wetlands, habitat areas, ecological corridors or steep land, and</w:t>
            </w:r>
          </w:p>
          <w:p w14:paraId="6B5F66C3" w14:textId="77777777" w:rsidR="00BE36FB" w:rsidRPr="009B7B35" w:rsidRDefault="00BE36FB" w:rsidP="00BE36FB">
            <w:pPr>
              <w:pStyle w:val="TableText"/>
              <w:numPr>
                <w:ilvl w:val="0"/>
                <w:numId w:val="708"/>
              </w:numPr>
              <w:rPr>
                <w:rFonts w:cs="Arial"/>
              </w:rPr>
            </w:pPr>
            <w:r w:rsidRPr="009B7B35">
              <w:rPr>
                <w:rFonts w:cs="Arial"/>
              </w:rPr>
              <w:t>maintaining natural drainage features and hydrological regimes.</w:t>
            </w:r>
          </w:p>
        </w:tc>
        <w:tc>
          <w:tcPr>
            <w:tcW w:w="4644" w:type="dxa"/>
            <w:shd w:val="clear" w:color="auto" w:fill="FFFFFF" w:themeFill="background1"/>
          </w:tcPr>
          <w:p w14:paraId="45F64266"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50A1D72" w14:textId="77777777" w:rsidTr="001A7107">
        <w:trPr>
          <w:trHeight w:val="221"/>
        </w:trPr>
        <w:tc>
          <w:tcPr>
            <w:tcW w:w="4707" w:type="dxa"/>
            <w:shd w:val="clear" w:color="auto" w:fill="FFFFFF" w:themeFill="background1"/>
          </w:tcPr>
          <w:p w14:paraId="19CFAE2A" w14:textId="77777777" w:rsidR="00BE36FB" w:rsidRPr="009B7B35" w:rsidRDefault="00BE36FB" w:rsidP="001A7107">
            <w:pPr>
              <w:pStyle w:val="TableText"/>
              <w:rPr>
                <w:rFonts w:cs="Arial"/>
                <w:b/>
              </w:rPr>
            </w:pPr>
            <w:r w:rsidRPr="009B7B35">
              <w:rPr>
                <w:rFonts w:cs="Arial"/>
                <w:b/>
              </w:rPr>
              <w:t>PO6</w:t>
            </w:r>
          </w:p>
          <w:p w14:paraId="4F593422" w14:textId="77777777" w:rsidR="00BE36FB" w:rsidRPr="009B7B35" w:rsidRDefault="00BE36FB" w:rsidP="001A7107">
            <w:pPr>
              <w:pStyle w:val="TableText"/>
              <w:rPr>
                <w:rFonts w:cs="Arial"/>
              </w:rPr>
            </w:pPr>
            <w:r w:rsidRPr="009B7B35">
              <w:rPr>
                <w:rFonts w:cs="Arial"/>
              </w:rPr>
              <w:t>Reconfiguration is designed to ensure integration with the surrounding locality, having regard to:</w:t>
            </w:r>
          </w:p>
          <w:p w14:paraId="2C31E301" w14:textId="77777777" w:rsidR="00BE36FB" w:rsidRPr="009B7B35" w:rsidRDefault="00BE36FB" w:rsidP="00BE36FB">
            <w:pPr>
              <w:pStyle w:val="TableText"/>
              <w:numPr>
                <w:ilvl w:val="0"/>
                <w:numId w:val="783"/>
              </w:numPr>
              <w:rPr>
                <w:rFonts w:cs="Arial"/>
              </w:rPr>
            </w:pPr>
            <w:r w:rsidRPr="009B7B35">
              <w:rPr>
                <w:rFonts w:cs="Arial"/>
              </w:rPr>
              <w:t>connections to surrounding streets, pedestrian and cycle networks and other infrastructure networks</w:t>
            </w:r>
          </w:p>
          <w:p w14:paraId="10DE715C" w14:textId="77777777" w:rsidR="00BE36FB" w:rsidRPr="009B7B35" w:rsidRDefault="00BE36FB" w:rsidP="00BE36FB">
            <w:pPr>
              <w:pStyle w:val="TableText"/>
              <w:numPr>
                <w:ilvl w:val="0"/>
                <w:numId w:val="783"/>
              </w:numPr>
              <w:rPr>
                <w:rFonts w:cs="Arial"/>
              </w:rPr>
            </w:pPr>
            <w:r w:rsidRPr="009B7B35">
              <w:rPr>
                <w:rFonts w:cs="Arial"/>
              </w:rPr>
              <w:t>open space networks, habitat areas or corridors</w:t>
            </w:r>
          </w:p>
          <w:p w14:paraId="40AFA1A6" w14:textId="77777777" w:rsidR="00BE36FB" w:rsidRPr="009B7B35" w:rsidRDefault="00BE36FB" w:rsidP="00BE36FB">
            <w:pPr>
              <w:pStyle w:val="TableText"/>
              <w:numPr>
                <w:ilvl w:val="0"/>
                <w:numId w:val="783"/>
              </w:numPr>
              <w:rPr>
                <w:rFonts w:cs="Arial"/>
              </w:rPr>
            </w:pPr>
            <w:r w:rsidRPr="009B7B35">
              <w:rPr>
                <w:rFonts w:cs="Arial"/>
              </w:rPr>
              <w:t>connections to centres, employment areas and recreation areas</w:t>
            </w:r>
          </w:p>
          <w:p w14:paraId="2CD9453B" w14:textId="77777777" w:rsidR="00BE36FB" w:rsidRPr="009B7B35" w:rsidRDefault="00BE36FB" w:rsidP="00BE36FB">
            <w:pPr>
              <w:pStyle w:val="TableText"/>
              <w:numPr>
                <w:ilvl w:val="0"/>
                <w:numId w:val="783"/>
              </w:numPr>
              <w:rPr>
                <w:rFonts w:cs="Arial"/>
              </w:rPr>
            </w:pPr>
            <w:r w:rsidRPr="009B7B35">
              <w:rPr>
                <w:rFonts w:cs="Arial"/>
              </w:rPr>
              <w:t>surrounding landscaping and streetscape treatments, and</w:t>
            </w:r>
          </w:p>
          <w:p w14:paraId="2641BFCD" w14:textId="77777777" w:rsidR="00BE36FB" w:rsidRPr="009B7B35" w:rsidRDefault="00BE36FB" w:rsidP="00BE36FB">
            <w:pPr>
              <w:pStyle w:val="TableText"/>
              <w:numPr>
                <w:ilvl w:val="0"/>
                <w:numId w:val="783"/>
              </w:numPr>
              <w:rPr>
                <w:rFonts w:cs="Arial"/>
              </w:rPr>
            </w:pPr>
            <w:r w:rsidRPr="009B7B35">
              <w:rPr>
                <w:rFonts w:cs="Arial"/>
              </w:rPr>
              <w:t>the interface between adjoining land uses.</w:t>
            </w:r>
          </w:p>
        </w:tc>
        <w:tc>
          <w:tcPr>
            <w:tcW w:w="4644" w:type="dxa"/>
          </w:tcPr>
          <w:p w14:paraId="4367ED5F"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23250AB" w14:textId="77777777" w:rsidTr="001A7107">
        <w:trPr>
          <w:cantSplit/>
        </w:trPr>
        <w:tc>
          <w:tcPr>
            <w:tcW w:w="9351" w:type="dxa"/>
            <w:gridSpan w:val="2"/>
            <w:shd w:val="clear" w:color="auto" w:fill="BFBFBF" w:themeFill="background1" w:themeFillShade="BF"/>
          </w:tcPr>
          <w:p w14:paraId="70186046" w14:textId="77777777" w:rsidR="00BE36FB" w:rsidRPr="009B7B35" w:rsidRDefault="00BE36FB" w:rsidP="001A7107">
            <w:pPr>
              <w:pStyle w:val="Tableheading"/>
              <w:rPr>
                <w:rFonts w:ascii="Arial" w:hAnsi="Arial" w:cs="Arial"/>
                <w:szCs w:val="20"/>
              </w:rPr>
            </w:pPr>
            <w:r w:rsidRPr="009B7B35">
              <w:rPr>
                <w:rFonts w:ascii="Arial" w:hAnsi="Arial" w:cs="Arial"/>
                <w:szCs w:val="20"/>
              </w:rPr>
              <w:t>Neighbourhood design in residential zones (Note: This also applies to Plans of development in the Emerging community zone)</w:t>
            </w:r>
          </w:p>
        </w:tc>
      </w:tr>
      <w:tr w:rsidR="00BE36FB" w:rsidRPr="009B7B35" w14:paraId="0AEEC14B" w14:textId="77777777" w:rsidTr="001A7107">
        <w:trPr>
          <w:cantSplit/>
        </w:trPr>
        <w:tc>
          <w:tcPr>
            <w:tcW w:w="4707" w:type="dxa"/>
            <w:shd w:val="clear" w:color="auto" w:fill="FFFFFF" w:themeFill="background1"/>
          </w:tcPr>
          <w:p w14:paraId="0F4D980D" w14:textId="77777777" w:rsidR="00BE36FB" w:rsidRPr="009B7B35" w:rsidRDefault="00BE36FB" w:rsidP="001A7107">
            <w:pPr>
              <w:pStyle w:val="TableText"/>
              <w:rPr>
                <w:rFonts w:cs="Arial"/>
                <w:b/>
              </w:rPr>
            </w:pPr>
            <w:r w:rsidRPr="009B7B35">
              <w:rPr>
                <w:rFonts w:cs="Arial"/>
                <w:b/>
              </w:rPr>
              <w:t>PO7</w:t>
            </w:r>
          </w:p>
          <w:p w14:paraId="2ECEDBCD" w14:textId="77777777" w:rsidR="00BE36FB" w:rsidRPr="009B7B35" w:rsidRDefault="00BE36FB" w:rsidP="001A7107">
            <w:pPr>
              <w:pStyle w:val="TableText"/>
              <w:rPr>
                <w:rFonts w:cs="Arial"/>
              </w:rPr>
            </w:pPr>
            <w:r w:rsidRPr="009B7B35">
              <w:rPr>
                <w:rFonts w:cs="Arial"/>
              </w:rPr>
              <w:t>Reconfigurations are designed to ensure:</w:t>
            </w:r>
          </w:p>
          <w:p w14:paraId="50D32056" w14:textId="77777777" w:rsidR="00BE36FB" w:rsidRPr="009B7B35" w:rsidRDefault="00BE36FB" w:rsidP="00BE36FB">
            <w:pPr>
              <w:pStyle w:val="TableText"/>
              <w:numPr>
                <w:ilvl w:val="0"/>
                <w:numId w:val="709"/>
              </w:numPr>
              <w:rPr>
                <w:rFonts w:cs="Arial"/>
              </w:rPr>
            </w:pPr>
            <w:r w:rsidRPr="009B7B35">
              <w:rPr>
                <w:rFonts w:cs="Arial"/>
              </w:rPr>
              <w:t>the creation of seamless interlinked neighbourhoods with residential character and identity</w:t>
            </w:r>
          </w:p>
          <w:p w14:paraId="4E8C6D6A" w14:textId="77777777" w:rsidR="00BE36FB" w:rsidRPr="009B7B35" w:rsidRDefault="00BE36FB" w:rsidP="00BE36FB">
            <w:pPr>
              <w:pStyle w:val="TableText"/>
              <w:numPr>
                <w:ilvl w:val="0"/>
                <w:numId w:val="709"/>
              </w:numPr>
              <w:rPr>
                <w:rFonts w:cs="Arial"/>
              </w:rPr>
            </w:pPr>
            <w:r w:rsidRPr="009B7B35">
              <w:rPr>
                <w:rFonts w:cs="Arial"/>
              </w:rPr>
              <w:t>pedestrian movement is encouraged, and</w:t>
            </w:r>
          </w:p>
          <w:p w14:paraId="7C4E641B" w14:textId="77777777" w:rsidR="00BE36FB" w:rsidRPr="009B7B35" w:rsidRDefault="00BE36FB" w:rsidP="00BE36FB">
            <w:pPr>
              <w:pStyle w:val="TableText"/>
              <w:numPr>
                <w:ilvl w:val="0"/>
                <w:numId w:val="709"/>
              </w:numPr>
              <w:rPr>
                <w:rFonts w:cs="Arial"/>
              </w:rPr>
            </w:pPr>
            <w:r w:rsidRPr="009B7B35">
              <w:rPr>
                <w:rFonts w:cs="Arial"/>
              </w:rPr>
              <w:t>neighbourhoods are concentrated around community focus points such as neighbourhood centres and parks.</w:t>
            </w:r>
          </w:p>
        </w:tc>
        <w:tc>
          <w:tcPr>
            <w:tcW w:w="4644" w:type="dxa"/>
          </w:tcPr>
          <w:p w14:paraId="66634F86"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5A763BB" w14:textId="77777777" w:rsidTr="001A7107">
        <w:tc>
          <w:tcPr>
            <w:tcW w:w="4707" w:type="dxa"/>
            <w:shd w:val="clear" w:color="auto" w:fill="FFFFFF" w:themeFill="background1"/>
          </w:tcPr>
          <w:p w14:paraId="047A0628" w14:textId="77777777" w:rsidR="00BE36FB" w:rsidRPr="009B7B35" w:rsidRDefault="00BE36FB" w:rsidP="001A7107">
            <w:pPr>
              <w:pStyle w:val="TableText"/>
              <w:rPr>
                <w:rFonts w:cs="Arial"/>
                <w:b/>
              </w:rPr>
            </w:pPr>
            <w:r w:rsidRPr="009B7B35">
              <w:rPr>
                <w:rFonts w:cs="Arial"/>
                <w:b/>
              </w:rPr>
              <w:t>PO8</w:t>
            </w:r>
          </w:p>
          <w:p w14:paraId="584AF0F1" w14:textId="77777777" w:rsidR="00BE36FB" w:rsidRPr="009B7B35" w:rsidRDefault="00BE36FB" w:rsidP="001A7107">
            <w:pPr>
              <w:pStyle w:val="TableText"/>
              <w:rPr>
                <w:rFonts w:cs="Arial"/>
              </w:rPr>
            </w:pPr>
            <w:r w:rsidRPr="009B7B35">
              <w:rPr>
                <w:rFonts w:cs="Arial"/>
              </w:rPr>
              <w:t>A variety of lot sizes are provided in close proximity to neighbourhood centres and parks to promote a wider housing choice and mix that is consistent with zone outcomes.</w:t>
            </w:r>
          </w:p>
        </w:tc>
        <w:tc>
          <w:tcPr>
            <w:tcW w:w="4644" w:type="dxa"/>
            <w:shd w:val="clear" w:color="auto" w:fill="FFFFFF" w:themeFill="background1"/>
          </w:tcPr>
          <w:p w14:paraId="4E0A212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50A47499" w14:textId="77777777" w:rsidTr="001A7107">
        <w:tc>
          <w:tcPr>
            <w:tcW w:w="4707" w:type="dxa"/>
            <w:shd w:val="clear" w:color="auto" w:fill="FFFFFF" w:themeFill="background1"/>
          </w:tcPr>
          <w:p w14:paraId="31A9F977" w14:textId="77777777" w:rsidR="00BE36FB" w:rsidRPr="009B7B35" w:rsidRDefault="00BE36FB" w:rsidP="001A7107">
            <w:pPr>
              <w:pStyle w:val="TableText"/>
              <w:rPr>
                <w:rFonts w:cs="Arial"/>
                <w:b/>
              </w:rPr>
            </w:pPr>
            <w:r w:rsidRPr="009B7B35">
              <w:rPr>
                <w:rFonts w:cs="Arial"/>
                <w:b/>
              </w:rPr>
              <w:t>PO9</w:t>
            </w:r>
          </w:p>
          <w:p w14:paraId="60D41FDF" w14:textId="77777777" w:rsidR="00BE36FB" w:rsidRPr="009B7B35" w:rsidRDefault="00BE36FB" w:rsidP="001A7107">
            <w:pPr>
              <w:pStyle w:val="TableText"/>
              <w:rPr>
                <w:rFonts w:cs="Arial"/>
              </w:rPr>
            </w:pPr>
            <w:r w:rsidRPr="009B7B35">
              <w:rPr>
                <w:rFonts w:cs="Arial"/>
              </w:rPr>
              <w:t>Neighbourhood design provides for safer communities by maximising opportunities for casual surveillance and minimising opportunities for crime and vandalism.</w:t>
            </w:r>
          </w:p>
          <w:p w14:paraId="44D79F74" w14:textId="77777777" w:rsidR="00BE36FB" w:rsidRPr="009B7B35" w:rsidRDefault="00BE36FB" w:rsidP="001A7107">
            <w:pPr>
              <w:pStyle w:val="Notes"/>
              <w:rPr>
                <w:rFonts w:cs="Arial"/>
                <w:sz w:val="20"/>
                <w:szCs w:val="20"/>
              </w:rPr>
            </w:pPr>
            <w:r w:rsidRPr="009B7B35">
              <w:rPr>
                <w:rFonts w:cs="Arial"/>
                <w:sz w:val="20"/>
                <w:szCs w:val="20"/>
              </w:rPr>
              <w:t xml:space="preserve">Note—Applicants may find useful guidance in the </w:t>
            </w:r>
            <w:hyperlink r:id="rId105" w:tgtFrame="_blank" w:tooltip="Crime Prevention through Environmental Design Guidelines for Queensland" w:history="1">
              <w:r w:rsidRPr="009B7B35">
                <w:rPr>
                  <w:rStyle w:val="Hyperlink"/>
                  <w:rFonts w:cs="Arial"/>
                  <w:sz w:val="20"/>
                  <w:szCs w:val="20"/>
                </w:rPr>
                <w:t>Queensland Government’s Crime Prevention through Environmental Design Guidelines for Queensland</w:t>
              </w:r>
            </w:hyperlink>
            <w:r w:rsidRPr="009B7B35">
              <w:rPr>
                <w:rFonts w:cs="Arial"/>
                <w:sz w:val="20"/>
                <w:szCs w:val="20"/>
              </w:rPr>
              <w:t>.</w:t>
            </w:r>
          </w:p>
        </w:tc>
        <w:tc>
          <w:tcPr>
            <w:tcW w:w="4644" w:type="dxa"/>
          </w:tcPr>
          <w:p w14:paraId="1F0CFF22"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757B3E1" w14:textId="77777777" w:rsidTr="001A7107">
        <w:trPr>
          <w:cantSplit/>
        </w:trPr>
        <w:tc>
          <w:tcPr>
            <w:tcW w:w="4707" w:type="dxa"/>
            <w:vMerge w:val="restart"/>
            <w:shd w:val="clear" w:color="auto" w:fill="FFFFFF" w:themeFill="background1"/>
          </w:tcPr>
          <w:p w14:paraId="5019E2BB" w14:textId="77777777" w:rsidR="00BE36FB" w:rsidRPr="009B7B35" w:rsidRDefault="00BE36FB" w:rsidP="001A7107">
            <w:pPr>
              <w:pStyle w:val="TableText"/>
              <w:rPr>
                <w:rFonts w:cs="Arial"/>
                <w:b/>
              </w:rPr>
            </w:pPr>
            <w:r w:rsidRPr="009B7B35">
              <w:rPr>
                <w:rFonts w:cs="Arial"/>
                <w:b/>
              </w:rPr>
              <w:t>PO10</w:t>
            </w:r>
          </w:p>
          <w:p w14:paraId="0C1BEEE9" w14:textId="77777777" w:rsidR="00BE36FB" w:rsidRPr="009B7B35" w:rsidRDefault="00BE36FB" w:rsidP="001A7107">
            <w:pPr>
              <w:pStyle w:val="TableText"/>
              <w:rPr>
                <w:rFonts w:cs="Arial"/>
              </w:rPr>
            </w:pPr>
            <w:r w:rsidRPr="009B7B35">
              <w:rPr>
                <w:rFonts w:cs="Arial"/>
              </w:rPr>
              <w:t>Movement and open space networks are:</w:t>
            </w:r>
          </w:p>
          <w:p w14:paraId="26A9255B" w14:textId="77777777" w:rsidR="00BE36FB" w:rsidRPr="009B7B35" w:rsidRDefault="00BE36FB" w:rsidP="00BE36FB">
            <w:pPr>
              <w:pStyle w:val="TableText"/>
              <w:numPr>
                <w:ilvl w:val="0"/>
                <w:numId w:val="726"/>
              </w:numPr>
              <w:rPr>
                <w:rFonts w:cs="Arial"/>
              </w:rPr>
            </w:pPr>
            <w:r w:rsidRPr="009B7B35">
              <w:rPr>
                <w:rFonts w:cs="Arial"/>
              </w:rPr>
              <w:t>safe, clearly legible and have a high degree of connectivity, and</w:t>
            </w:r>
          </w:p>
          <w:p w14:paraId="420ADD30" w14:textId="77777777" w:rsidR="00BE36FB" w:rsidRPr="009B7B35" w:rsidRDefault="00BE36FB" w:rsidP="00BE36FB">
            <w:pPr>
              <w:pStyle w:val="TableText"/>
              <w:numPr>
                <w:ilvl w:val="0"/>
                <w:numId w:val="726"/>
              </w:numPr>
              <w:rPr>
                <w:rFonts w:cs="Arial"/>
              </w:rPr>
            </w:pPr>
            <w:r w:rsidRPr="009B7B35">
              <w:rPr>
                <w:rFonts w:cs="Arial"/>
              </w:rPr>
              <w:t>interconnected through a grid or modified grid pattern.</w:t>
            </w:r>
          </w:p>
        </w:tc>
        <w:tc>
          <w:tcPr>
            <w:tcW w:w="4644" w:type="dxa"/>
            <w:shd w:val="clear" w:color="auto" w:fill="FFFFFF" w:themeFill="background1"/>
          </w:tcPr>
          <w:p w14:paraId="35D45F11" w14:textId="77777777" w:rsidR="00BE36FB" w:rsidRPr="009B7B35" w:rsidRDefault="00BE36FB" w:rsidP="001A7107">
            <w:pPr>
              <w:pStyle w:val="TableText"/>
              <w:rPr>
                <w:rFonts w:cs="Arial"/>
                <w:b/>
              </w:rPr>
            </w:pPr>
            <w:r w:rsidRPr="009B7B35">
              <w:rPr>
                <w:rFonts w:cs="Arial"/>
                <w:b/>
              </w:rPr>
              <w:t>AO10.1</w:t>
            </w:r>
          </w:p>
          <w:p w14:paraId="2F4FE6D8" w14:textId="77777777" w:rsidR="00BE36FB" w:rsidRPr="009B7B35" w:rsidRDefault="00BE36FB" w:rsidP="001A7107">
            <w:pPr>
              <w:pStyle w:val="TableText"/>
              <w:rPr>
                <w:rFonts w:cs="Arial"/>
              </w:rPr>
            </w:pPr>
            <w:r w:rsidRPr="009B7B35">
              <w:rPr>
                <w:rFonts w:cs="Arial"/>
              </w:rPr>
              <w:t>Street blocks have a maximum length of 200m and depth of 80m.</w:t>
            </w:r>
          </w:p>
        </w:tc>
      </w:tr>
      <w:tr w:rsidR="00BE36FB" w:rsidRPr="009B7B35" w14:paraId="0A98096D" w14:textId="77777777" w:rsidTr="001A7107">
        <w:trPr>
          <w:cantSplit/>
        </w:trPr>
        <w:tc>
          <w:tcPr>
            <w:tcW w:w="4707" w:type="dxa"/>
            <w:vMerge/>
            <w:shd w:val="clear" w:color="auto" w:fill="FFFFFF" w:themeFill="background1"/>
          </w:tcPr>
          <w:p w14:paraId="6A9C762F" w14:textId="77777777" w:rsidR="00BE36FB" w:rsidRPr="009B7B35" w:rsidRDefault="00BE36FB" w:rsidP="001A7107">
            <w:pPr>
              <w:pStyle w:val="TableText"/>
              <w:rPr>
                <w:rFonts w:cs="Arial"/>
              </w:rPr>
            </w:pPr>
          </w:p>
        </w:tc>
        <w:tc>
          <w:tcPr>
            <w:tcW w:w="4644" w:type="dxa"/>
          </w:tcPr>
          <w:p w14:paraId="0F6ED2CD" w14:textId="77777777" w:rsidR="00BE36FB" w:rsidRPr="009B7B35" w:rsidRDefault="00BE36FB" w:rsidP="001A7107">
            <w:pPr>
              <w:pStyle w:val="TableText"/>
              <w:rPr>
                <w:rFonts w:cs="Arial"/>
                <w:b/>
              </w:rPr>
            </w:pPr>
            <w:r w:rsidRPr="009B7B35">
              <w:rPr>
                <w:rFonts w:cs="Arial"/>
                <w:b/>
              </w:rPr>
              <w:t>AO10.2</w:t>
            </w:r>
          </w:p>
          <w:p w14:paraId="2999C144" w14:textId="77777777" w:rsidR="00BE36FB" w:rsidRPr="009B7B35" w:rsidRDefault="00BE36FB" w:rsidP="001A7107">
            <w:pPr>
              <w:pStyle w:val="TableText"/>
              <w:rPr>
                <w:rFonts w:cs="Arial"/>
              </w:rPr>
            </w:pPr>
            <w:r w:rsidRPr="009B7B35">
              <w:rPr>
                <w:rFonts w:cs="Arial"/>
              </w:rPr>
              <w:t>Where street blocks have a length in excess of 150m a mid–block pedestrian link not less than 5m wide is provided to encourage walkability.</w:t>
            </w:r>
          </w:p>
        </w:tc>
      </w:tr>
      <w:tr w:rsidR="00BE36FB" w:rsidRPr="009B7B35" w14:paraId="54C351D7" w14:textId="77777777" w:rsidTr="001A7107">
        <w:trPr>
          <w:cantSplit/>
        </w:trPr>
        <w:tc>
          <w:tcPr>
            <w:tcW w:w="4707" w:type="dxa"/>
            <w:vMerge/>
            <w:shd w:val="clear" w:color="auto" w:fill="FFFFFF" w:themeFill="background1"/>
          </w:tcPr>
          <w:p w14:paraId="05AE4529" w14:textId="77777777" w:rsidR="00BE36FB" w:rsidRPr="009B7B35" w:rsidRDefault="00BE36FB" w:rsidP="001A7107">
            <w:pPr>
              <w:pStyle w:val="TableText"/>
              <w:rPr>
                <w:rFonts w:cs="Arial"/>
              </w:rPr>
            </w:pPr>
          </w:p>
        </w:tc>
        <w:tc>
          <w:tcPr>
            <w:tcW w:w="4644" w:type="dxa"/>
            <w:shd w:val="clear" w:color="auto" w:fill="FFFFFF" w:themeFill="background1"/>
          </w:tcPr>
          <w:p w14:paraId="099FEFF8" w14:textId="77777777" w:rsidR="00BE36FB" w:rsidRPr="009B7B35" w:rsidRDefault="00BE36FB" w:rsidP="001A7107">
            <w:pPr>
              <w:pStyle w:val="TableText"/>
              <w:rPr>
                <w:rFonts w:cs="Arial"/>
                <w:b/>
              </w:rPr>
            </w:pPr>
            <w:r w:rsidRPr="009B7B35">
              <w:rPr>
                <w:rFonts w:cs="Arial"/>
                <w:b/>
              </w:rPr>
              <w:t>AO10.3</w:t>
            </w:r>
          </w:p>
          <w:p w14:paraId="57C5A7CD" w14:textId="77777777" w:rsidR="00BE36FB" w:rsidRPr="009B7B35" w:rsidRDefault="00BE36FB" w:rsidP="001A7107">
            <w:pPr>
              <w:pStyle w:val="TableText"/>
              <w:rPr>
                <w:rFonts w:cs="Arial"/>
              </w:rPr>
            </w:pPr>
            <w:r w:rsidRPr="009B7B35">
              <w:rPr>
                <w:rFonts w:cs="Arial"/>
              </w:rPr>
              <w:t>Collector roads linking neighbourhoods are provided on a grid of not less than 800m.</w:t>
            </w:r>
          </w:p>
        </w:tc>
      </w:tr>
      <w:tr w:rsidR="00BE36FB" w:rsidRPr="009B7B35" w14:paraId="30F6146F" w14:textId="77777777" w:rsidTr="001A7107">
        <w:trPr>
          <w:cantSplit/>
        </w:trPr>
        <w:tc>
          <w:tcPr>
            <w:tcW w:w="4707" w:type="dxa"/>
            <w:shd w:val="clear" w:color="auto" w:fill="FFFFFF" w:themeFill="background1"/>
          </w:tcPr>
          <w:p w14:paraId="6427944C" w14:textId="77777777" w:rsidR="00BE36FB" w:rsidRPr="009B7B35" w:rsidRDefault="00BE36FB" w:rsidP="001A7107">
            <w:pPr>
              <w:pStyle w:val="TableText"/>
              <w:rPr>
                <w:rFonts w:cs="Arial"/>
                <w:b/>
              </w:rPr>
            </w:pPr>
            <w:r w:rsidRPr="009B7B35">
              <w:rPr>
                <w:rFonts w:cs="Arial"/>
                <w:b/>
              </w:rPr>
              <w:t>PO11</w:t>
            </w:r>
          </w:p>
          <w:p w14:paraId="5D7116BA" w14:textId="77777777" w:rsidR="00BE36FB" w:rsidRPr="009B7B35" w:rsidRDefault="00BE36FB" w:rsidP="001A7107">
            <w:pPr>
              <w:pStyle w:val="TableText"/>
              <w:rPr>
                <w:rFonts w:cs="Arial"/>
              </w:rPr>
            </w:pPr>
            <w:r w:rsidRPr="009B7B35">
              <w:rPr>
                <w:rFonts w:cs="Arial"/>
              </w:rPr>
              <w:t>Movement networks prioritise walking, cycling and public transport within neighbourhoods.</w:t>
            </w:r>
          </w:p>
        </w:tc>
        <w:tc>
          <w:tcPr>
            <w:tcW w:w="4644" w:type="dxa"/>
          </w:tcPr>
          <w:p w14:paraId="5681C5B8" w14:textId="77777777" w:rsidR="00BE36FB" w:rsidRPr="009B7B35" w:rsidRDefault="00BE36FB" w:rsidP="001A7107">
            <w:pPr>
              <w:pStyle w:val="TableText"/>
              <w:rPr>
                <w:rFonts w:cs="Arial"/>
                <w:b/>
              </w:rPr>
            </w:pPr>
            <w:r w:rsidRPr="009B7B35">
              <w:rPr>
                <w:rFonts w:cs="Arial"/>
                <w:b/>
              </w:rPr>
              <w:t>AO11</w:t>
            </w:r>
          </w:p>
          <w:p w14:paraId="4B8B101D" w14:textId="77777777" w:rsidR="00BE36FB" w:rsidRPr="009B7B35" w:rsidRDefault="00BE36FB" w:rsidP="001A7107">
            <w:pPr>
              <w:pStyle w:val="TableText"/>
              <w:rPr>
                <w:rFonts w:cs="Arial"/>
              </w:rPr>
            </w:pPr>
            <w:r w:rsidRPr="009B7B35">
              <w:rPr>
                <w:rFonts w:cs="Arial"/>
              </w:rPr>
              <w:t>Ninety percent of all dwellings are within 400m walking distance of an existing or planned public transport stop, park and or community facility.</w:t>
            </w:r>
          </w:p>
        </w:tc>
      </w:tr>
      <w:tr w:rsidR="00BE36FB" w:rsidRPr="009B7B35" w14:paraId="4D915EBE" w14:textId="77777777" w:rsidTr="001A7107">
        <w:trPr>
          <w:cantSplit/>
        </w:trPr>
        <w:tc>
          <w:tcPr>
            <w:tcW w:w="4707" w:type="dxa"/>
            <w:shd w:val="clear" w:color="auto" w:fill="FFFFFF" w:themeFill="background1"/>
          </w:tcPr>
          <w:p w14:paraId="6B7AAF61" w14:textId="77777777" w:rsidR="00BE36FB" w:rsidRPr="009B7B35" w:rsidRDefault="00BE36FB" w:rsidP="001A7107">
            <w:pPr>
              <w:pStyle w:val="TableText"/>
              <w:rPr>
                <w:rFonts w:cs="Arial"/>
                <w:b/>
              </w:rPr>
            </w:pPr>
            <w:r w:rsidRPr="009B7B35">
              <w:rPr>
                <w:rFonts w:cs="Arial"/>
                <w:b/>
              </w:rPr>
              <w:t>PO12</w:t>
            </w:r>
          </w:p>
          <w:p w14:paraId="5CA6F9E6" w14:textId="77777777" w:rsidR="00BE36FB" w:rsidRPr="009B7B35" w:rsidRDefault="00BE36FB" w:rsidP="001A7107">
            <w:pPr>
              <w:pStyle w:val="TableText"/>
              <w:rPr>
                <w:rFonts w:cs="Arial"/>
              </w:rPr>
            </w:pPr>
            <w:r w:rsidRPr="009B7B35">
              <w:rPr>
                <w:rFonts w:cs="Arial"/>
              </w:rPr>
              <w:t>The permeability and connectivity of streets is not compromised by the use of cul–de–sacs unless no alternative arrangement is possible.</w:t>
            </w:r>
          </w:p>
        </w:tc>
        <w:tc>
          <w:tcPr>
            <w:tcW w:w="4644" w:type="dxa"/>
            <w:shd w:val="clear" w:color="auto" w:fill="FFFFFF" w:themeFill="background1"/>
          </w:tcPr>
          <w:p w14:paraId="0CCDC87F"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6C8C93F" w14:textId="77777777" w:rsidTr="001A7107">
        <w:trPr>
          <w:cantSplit/>
        </w:trPr>
        <w:tc>
          <w:tcPr>
            <w:tcW w:w="9351" w:type="dxa"/>
            <w:gridSpan w:val="2"/>
            <w:shd w:val="clear" w:color="auto" w:fill="BFBFBF" w:themeFill="background1" w:themeFillShade="BF"/>
          </w:tcPr>
          <w:p w14:paraId="5CEC781D" w14:textId="77777777" w:rsidR="00BE36FB" w:rsidRPr="009B7B35" w:rsidRDefault="00BE36FB" w:rsidP="001A7107">
            <w:pPr>
              <w:pStyle w:val="Tableheading"/>
              <w:rPr>
                <w:rFonts w:ascii="Arial" w:hAnsi="Arial" w:cs="Arial"/>
                <w:szCs w:val="20"/>
              </w:rPr>
            </w:pPr>
            <w:r w:rsidRPr="009B7B35">
              <w:rPr>
                <w:rFonts w:ascii="Arial" w:hAnsi="Arial" w:cs="Arial"/>
                <w:szCs w:val="20"/>
              </w:rPr>
              <w:t>Climate responsive design</w:t>
            </w:r>
          </w:p>
        </w:tc>
      </w:tr>
      <w:tr w:rsidR="00BE36FB" w:rsidRPr="009B7B35" w14:paraId="7C6C347C" w14:textId="77777777" w:rsidTr="001A7107">
        <w:trPr>
          <w:cantSplit/>
        </w:trPr>
        <w:tc>
          <w:tcPr>
            <w:tcW w:w="4707" w:type="dxa"/>
            <w:shd w:val="clear" w:color="auto" w:fill="FFFFFF" w:themeFill="background1"/>
          </w:tcPr>
          <w:p w14:paraId="0FDD787D" w14:textId="77777777" w:rsidR="00BE36FB" w:rsidRPr="009B7B35" w:rsidRDefault="00BE36FB" w:rsidP="001A7107">
            <w:pPr>
              <w:pStyle w:val="TableText"/>
              <w:rPr>
                <w:rFonts w:cs="Arial"/>
                <w:b/>
              </w:rPr>
            </w:pPr>
            <w:r w:rsidRPr="009B7B35">
              <w:rPr>
                <w:rFonts w:cs="Arial"/>
                <w:b/>
              </w:rPr>
              <w:t>PO13</w:t>
            </w:r>
          </w:p>
          <w:p w14:paraId="3E641DF7" w14:textId="77777777" w:rsidR="00BE36FB" w:rsidRPr="009B7B35" w:rsidRDefault="00BE36FB" w:rsidP="001A7107">
            <w:pPr>
              <w:pStyle w:val="TableText"/>
              <w:rPr>
                <w:rFonts w:cs="Arial"/>
              </w:rPr>
            </w:pPr>
            <w:r w:rsidRPr="009B7B35">
              <w:rPr>
                <w:rFonts w:cs="Arial"/>
              </w:rPr>
              <w:t xml:space="preserve">Neighbourhood layouts are designed to respond to local climate conditions and enable energy efficient dwellings. </w:t>
            </w:r>
          </w:p>
        </w:tc>
        <w:tc>
          <w:tcPr>
            <w:tcW w:w="4644" w:type="dxa"/>
            <w:shd w:val="clear" w:color="auto" w:fill="FFFFFF" w:themeFill="background1"/>
          </w:tcPr>
          <w:p w14:paraId="21DE5C4E" w14:textId="77777777" w:rsidR="00BE36FB" w:rsidRPr="009B7B35" w:rsidRDefault="00BE36FB" w:rsidP="001A7107">
            <w:pPr>
              <w:pStyle w:val="TableText"/>
              <w:rPr>
                <w:rFonts w:cs="Arial"/>
                <w:b/>
              </w:rPr>
            </w:pPr>
            <w:r w:rsidRPr="009B7B35">
              <w:rPr>
                <w:rFonts w:cs="Arial"/>
                <w:b/>
              </w:rPr>
              <w:t>AO13</w:t>
            </w:r>
          </w:p>
          <w:p w14:paraId="6A87F26D" w14:textId="77777777" w:rsidR="00BE36FB" w:rsidRPr="009B7B35" w:rsidRDefault="00BE36FB" w:rsidP="001A7107">
            <w:pPr>
              <w:pStyle w:val="TableText"/>
              <w:rPr>
                <w:rFonts w:cs="Arial"/>
              </w:rPr>
            </w:pPr>
            <w:r w:rsidRPr="009B7B35">
              <w:rPr>
                <w:rFonts w:cs="Arial"/>
              </w:rPr>
              <w:t>Streets are generally configured to run in a north–south direction between 30</w:t>
            </w:r>
            <w:r w:rsidRPr="009B7B35">
              <w:rPr>
                <w:rFonts w:cs="Arial"/>
                <w:vertAlign w:val="superscript"/>
              </w:rPr>
              <w:t>o</w:t>
            </w:r>
            <w:r w:rsidRPr="009B7B35">
              <w:rPr>
                <w:rFonts w:cs="Arial"/>
              </w:rPr>
              <w:t xml:space="preserve"> east and 20</w:t>
            </w:r>
            <w:r w:rsidRPr="009B7B35">
              <w:rPr>
                <w:rFonts w:cs="Arial"/>
                <w:vertAlign w:val="superscript"/>
              </w:rPr>
              <w:t>o</w:t>
            </w:r>
            <w:r w:rsidRPr="009B7B35">
              <w:rPr>
                <w:rFonts w:cs="Arial"/>
              </w:rPr>
              <w:t xml:space="preserve"> west of true north or an east–west direction between 20</w:t>
            </w:r>
            <w:r w:rsidRPr="009B7B35">
              <w:rPr>
                <w:rFonts w:cs="Arial"/>
                <w:vertAlign w:val="superscript"/>
              </w:rPr>
              <w:t>o</w:t>
            </w:r>
            <w:r w:rsidRPr="009B7B35">
              <w:rPr>
                <w:rFonts w:cs="Arial"/>
              </w:rPr>
              <w:t xml:space="preserve"> north and 30</w:t>
            </w:r>
            <w:r w:rsidRPr="009B7B35">
              <w:rPr>
                <w:rFonts w:cs="Arial"/>
                <w:vertAlign w:val="superscript"/>
              </w:rPr>
              <w:t>o</w:t>
            </w:r>
            <w:r w:rsidRPr="009B7B35">
              <w:rPr>
                <w:rFonts w:cs="Arial"/>
              </w:rPr>
              <w:t xml:space="preserve"> south of east.</w:t>
            </w:r>
          </w:p>
        </w:tc>
      </w:tr>
      <w:tr w:rsidR="00BE36FB" w:rsidRPr="009B7B35" w14:paraId="5FE7413C" w14:textId="77777777" w:rsidTr="001A7107">
        <w:trPr>
          <w:cantSplit/>
        </w:trPr>
        <w:tc>
          <w:tcPr>
            <w:tcW w:w="4707" w:type="dxa"/>
            <w:shd w:val="clear" w:color="auto" w:fill="FFFFFF" w:themeFill="background1"/>
          </w:tcPr>
          <w:p w14:paraId="5E2660AC" w14:textId="77777777" w:rsidR="00BE36FB" w:rsidRPr="009B7B35" w:rsidRDefault="00BE36FB" w:rsidP="001A7107">
            <w:pPr>
              <w:pStyle w:val="TableText"/>
              <w:rPr>
                <w:rFonts w:cs="Arial"/>
                <w:b/>
              </w:rPr>
            </w:pPr>
            <w:r w:rsidRPr="009B7B35">
              <w:rPr>
                <w:rFonts w:cs="Arial"/>
                <w:b/>
              </w:rPr>
              <w:t>PO14</w:t>
            </w:r>
          </w:p>
          <w:p w14:paraId="0157886B" w14:textId="77777777" w:rsidR="00BE36FB" w:rsidRPr="009B7B35" w:rsidRDefault="00BE36FB" w:rsidP="001A7107">
            <w:pPr>
              <w:pStyle w:val="TableText"/>
              <w:rPr>
                <w:rFonts w:cs="Arial"/>
              </w:rPr>
            </w:pPr>
            <w:r w:rsidRPr="009B7B35">
              <w:rPr>
                <w:rFonts w:cs="Arial"/>
              </w:rPr>
              <w:t>Smaller or wider lots are located as north facing lots and larger or narrower lots are located as south facing lots.</w:t>
            </w:r>
          </w:p>
        </w:tc>
        <w:tc>
          <w:tcPr>
            <w:tcW w:w="4644" w:type="dxa"/>
          </w:tcPr>
          <w:p w14:paraId="161933D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6D98F6C" w14:textId="77777777" w:rsidTr="001A7107">
        <w:trPr>
          <w:cantSplit/>
        </w:trPr>
        <w:tc>
          <w:tcPr>
            <w:tcW w:w="9351" w:type="dxa"/>
            <w:gridSpan w:val="2"/>
            <w:shd w:val="clear" w:color="auto" w:fill="BFBFBF" w:themeFill="background1" w:themeFillShade="BF"/>
          </w:tcPr>
          <w:p w14:paraId="45BE769F" w14:textId="77777777" w:rsidR="00BE36FB" w:rsidRPr="009B7B35" w:rsidRDefault="00BE36FB" w:rsidP="001A7107">
            <w:pPr>
              <w:pStyle w:val="Tableheading"/>
              <w:rPr>
                <w:rFonts w:ascii="Arial" w:hAnsi="Arial" w:cs="Arial"/>
                <w:szCs w:val="20"/>
              </w:rPr>
            </w:pPr>
            <w:r w:rsidRPr="009B7B35">
              <w:rPr>
                <w:rFonts w:ascii="Arial" w:hAnsi="Arial" w:cs="Arial"/>
                <w:szCs w:val="20"/>
              </w:rPr>
              <w:t>Lot reconfiguration in industrial zones</w:t>
            </w:r>
          </w:p>
        </w:tc>
      </w:tr>
      <w:tr w:rsidR="00BE36FB" w:rsidRPr="009B7B35" w14:paraId="7165253E" w14:textId="77777777" w:rsidTr="001A7107">
        <w:trPr>
          <w:cantSplit/>
        </w:trPr>
        <w:tc>
          <w:tcPr>
            <w:tcW w:w="4707" w:type="dxa"/>
            <w:shd w:val="clear" w:color="auto" w:fill="FFFFFF" w:themeFill="background1"/>
          </w:tcPr>
          <w:p w14:paraId="535FFE05" w14:textId="77777777" w:rsidR="00BE36FB" w:rsidRPr="009B7B35" w:rsidRDefault="00BE36FB" w:rsidP="001A7107">
            <w:pPr>
              <w:pStyle w:val="TableText"/>
              <w:rPr>
                <w:rFonts w:cs="Arial"/>
                <w:b/>
              </w:rPr>
            </w:pPr>
            <w:r w:rsidRPr="009B7B35">
              <w:rPr>
                <w:rFonts w:cs="Arial"/>
                <w:b/>
              </w:rPr>
              <w:t>PO15</w:t>
            </w:r>
          </w:p>
          <w:p w14:paraId="24A0F337" w14:textId="77777777" w:rsidR="00BE36FB" w:rsidRPr="009B7B35" w:rsidRDefault="00BE36FB" w:rsidP="001A7107">
            <w:pPr>
              <w:pStyle w:val="TableText"/>
              <w:rPr>
                <w:rFonts w:cs="Arial"/>
              </w:rPr>
            </w:pPr>
            <w:r w:rsidRPr="009B7B35">
              <w:rPr>
                <w:rFonts w:cs="Arial"/>
              </w:rPr>
              <w:t>Reconfiguration includes a range of lot sizes to facilitate industrial activities applicable to the zone.</w:t>
            </w:r>
          </w:p>
        </w:tc>
        <w:tc>
          <w:tcPr>
            <w:tcW w:w="4644" w:type="dxa"/>
          </w:tcPr>
          <w:p w14:paraId="4D9F3FF3"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71F7B1DA" w14:textId="77777777" w:rsidTr="001A7107">
        <w:trPr>
          <w:cantSplit/>
        </w:trPr>
        <w:tc>
          <w:tcPr>
            <w:tcW w:w="4707" w:type="dxa"/>
            <w:shd w:val="clear" w:color="auto" w:fill="FFFFFF" w:themeFill="background1"/>
          </w:tcPr>
          <w:p w14:paraId="50529ECE" w14:textId="77777777" w:rsidR="00BE36FB" w:rsidRPr="009B7B35" w:rsidRDefault="00BE36FB" w:rsidP="001A7107">
            <w:pPr>
              <w:pStyle w:val="TableText"/>
              <w:rPr>
                <w:rFonts w:cs="Arial"/>
                <w:b/>
              </w:rPr>
            </w:pPr>
            <w:r w:rsidRPr="009B7B35">
              <w:rPr>
                <w:rFonts w:cs="Arial"/>
                <w:b/>
              </w:rPr>
              <w:t>PO16</w:t>
            </w:r>
          </w:p>
          <w:p w14:paraId="0CA3123E" w14:textId="77777777" w:rsidR="00BE36FB" w:rsidRPr="009B7B35" w:rsidRDefault="00BE36FB" w:rsidP="001A7107">
            <w:pPr>
              <w:pStyle w:val="TableText"/>
              <w:rPr>
                <w:rFonts w:cs="Arial"/>
              </w:rPr>
            </w:pPr>
            <w:r w:rsidRPr="009B7B35">
              <w:rPr>
                <w:rFonts w:cs="Arial"/>
              </w:rPr>
              <w:t>Reconfiguration maximises access to any railway, transport route, intermodal terminal or sea port.</w:t>
            </w:r>
          </w:p>
        </w:tc>
        <w:tc>
          <w:tcPr>
            <w:tcW w:w="4644" w:type="dxa"/>
            <w:shd w:val="clear" w:color="auto" w:fill="FFFFFF" w:themeFill="background1"/>
          </w:tcPr>
          <w:p w14:paraId="66FF79FC"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9A6D148" w14:textId="77777777" w:rsidTr="001A7107">
        <w:tc>
          <w:tcPr>
            <w:tcW w:w="4707" w:type="dxa"/>
            <w:shd w:val="clear" w:color="auto" w:fill="FFFFFF" w:themeFill="background1"/>
          </w:tcPr>
          <w:p w14:paraId="466EFB52" w14:textId="77777777" w:rsidR="00BE36FB" w:rsidRPr="009B7B35" w:rsidRDefault="00BE36FB" w:rsidP="001A7107">
            <w:pPr>
              <w:pStyle w:val="TableText"/>
              <w:rPr>
                <w:rFonts w:cs="Arial"/>
                <w:b/>
              </w:rPr>
            </w:pPr>
            <w:r w:rsidRPr="009B7B35">
              <w:rPr>
                <w:rFonts w:cs="Arial"/>
                <w:b/>
              </w:rPr>
              <w:t>PO17</w:t>
            </w:r>
          </w:p>
          <w:p w14:paraId="2AAC4DD6" w14:textId="77777777" w:rsidR="00BE36FB" w:rsidRPr="009B7B35" w:rsidRDefault="00BE36FB" w:rsidP="001A7107">
            <w:pPr>
              <w:pStyle w:val="TableText"/>
              <w:rPr>
                <w:rFonts w:cs="Arial"/>
              </w:rPr>
            </w:pPr>
            <w:r w:rsidRPr="009B7B35">
              <w:rPr>
                <w:rFonts w:cs="Arial"/>
              </w:rPr>
              <w:t>Where reconfiguration adjoins land in another zone, lots are of a sufficient size to mitigate any noise, air quality and visual impacts on that adjoining land.</w:t>
            </w:r>
          </w:p>
        </w:tc>
        <w:tc>
          <w:tcPr>
            <w:tcW w:w="4644" w:type="dxa"/>
          </w:tcPr>
          <w:p w14:paraId="2F32C470"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0ACB386" w14:textId="77777777" w:rsidTr="001A7107">
        <w:tc>
          <w:tcPr>
            <w:tcW w:w="9351" w:type="dxa"/>
            <w:gridSpan w:val="2"/>
            <w:shd w:val="clear" w:color="auto" w:fill="BFBFBF" w:themeFill="background1" w:themeFillShade="BF"/>
          </w:tcPr>
          <w:p w14:paraId="1FB793C5" w14:textId="77777777" w:rsidR="00BE36FB" w:rsidRPr="009B7B35" w:rsidRDefault="00BE36FB" w:rsidP="001A7107">
            <w:pPr>
              <w:pStyle w:val="Tableheading"/>
              <w:rPr>
                <w:rFonts w:ascii="Arial" w:hAnsi="Arial" w:cs="Arial"/>
                <w:szCs w:val="20"/>
              </w:rPr>
            </w:pPr>
            <w:r w:rsidRPr="009B7B35">
              <w:rPr>
                <w:rFonts w:ascii="Arial" w:hAnsi="Arial" w:cs="Arial"/>
                <w:szCs w:val="20"/>
              </w:rPr>
              <w:t>Lot reconfiguration in the Rural zone</w:t>
            </w:r>
          </w:p>
        </w:tc>
      </w:tr>
      <w:tr w:rsidR="00BE36FB" w:rsidRPr="009B7B35" w14:paraId="11E85351" w14:textId="77777777" w:rsidTr="001A7107">
        <w:tc>
          <w:tcPr>
            <w:tcW w:w="4707" w:type="dxa"/>
            <w:shd w:val="clear" w:color="auto" w:fill="FFFFFF" w:themeFill="background1"/>
          </w:tcPr>
          <w:p w14:paraId="5C6FF60B" w14:textId="77777777" w:rsidR="00BE36FB" w:rsidRPr="009B7B35" w:rsidRDefault="00BE36FB" w:rsidP="001A7107">
            <w:pPr>
              <w:pStyle w:val="TableText"/>
              <w:rPr>
                <w:rFonts w:cs="Arial"/>
                <w:b/>
              </w:rPr>
            </w:pPr>
            <w:r w:rsidRPr="009B7B35">
              <w:rPr>
                <w:rFonts w:cs="Arial"/>
                <w:b/>
              </w:rPr>
              <w:t>PO18</w:t>
            </w:r>
          </w:p>
          <w:p w14:paraId="4E3EE015" w14:textId="77777777" w:rsidR="00BE36FB" w:rsidRPr="009B7B35" w:rsidRDefault="00BE36FB" w:rsidP="001A7107">
            <w:pPr>
              <w:pStyle w:val="TableText"/>
              <w:rPr>
                <w:rFonts w:cs="Arial"/>
              </w:rPr>
            </w:pPr>
            <w:r w:rsidRPr="009B7B35">
              <w:rPr>
                <w:rFonts w:cs="Arial"/>
              </w:rPr>
              <w:t>Reconfiguration:</w:t>
            </w:r>
          </w:p>
          <w:p w14:paraId="5D276888" w14:textId="77777777" w:rsidR="00BE36FB" w:rsidRPr="009B7B35" w:rsidRDefault="00BE36FB" w:rsidP="00BE36FB">
            <w:pPr>
              <w:pStyle w:val="TableText"/>
              <w:numPr>
                <w:ilvl w:val="0"/>
                <w:numId w:val="725"/>
              </w:numPr>
              <w:rPr>
                <w:rFonts w:cs="Arial"/>
              </w:rPr>
            </w:pPr>
            <w:r w:rsidRPr="009B7B35">
              <w:rPr>
                <w:rFonts w:cs="Arial"/>
              </w:rPr>
              <w:t>maintains rural, open space and landscape character</w:t>
            </w:r>
          </w:p>
          <w:p w14:paraId="4BE2209E" w14:textId="77777777" w:rsidR="00BE36FB" w:rsidRPr="009B7B35" w:rsidRDefault="00BE36FB" w:rsidP="00BE36FB">
            <w:pPr>
              <w:pStyle w:val="TableText"/>
              <w:numPr>
                <w:ilvl w:val="0"/>
                <w:numId w:val="725"/>
              </w:numPr>
              <w:rPr>
                <w:rFonts w:cs="Arial"/>
              </w:rPr>
            </w:pPr>
            <w:r w:rsidRPr="009B7B35">
              <w:rPr>
                <w:rFonts w:cs="Arial"/>
              </w:rPr>
              <w:t>protect the productive capacity of rural land resources, and</w:t>
            </w:r>
          </w:p>
          <w:p w14:paraId="3D0A26DD" w14:textId="77777777" w:rsidR="00BE36FB" w:rsidRPr="009B7B35" w:rsidRDefault="00BE36FB" w:rsidP="00BE36FB">
            <w:pPr>
              <w:pStyle w:val="TableText"/>
              <w:numPr>
                <w:ilvl w:val="0"/>
                <w:numId w:val="725"/>
              </w:numPr>
              <w:rPr>
                <w:rFonts w:cs="Arial"/>
              </w:rPr>
            </w:pPr>
            <w:r w:rsidRPr="009B7B35">
              <w:rPr>
                <w:rFonts w:cs="Arial"/>
              </w:rPr>
              <w:t>allows for the efficient operation of rural activities.</w:t>
            </w:r>
          </w:p>
        </w:tc>
        <w:tc>
          <w:tcPr>
            <w:tcW w:w="4644" w:type="dxa"/>
          </w:tcPr>
          <w:p w14:paraId="4981C17A" w14:textId="77777777" w:rsidR="00BE36FB" w:rsidRPr="009B7B35" w:rsidRDefault="00BE36FB">
            <w:pPr>
              <w:pStyle w:val="TableText"/>
              <w:rPr>
                <w:rFonts w:cs="Arial"/>
              </w:rPr>
            </w:pPr>
            <w:r w:rsidRPr="009B7B35">
              <w:rPr>
                <w:rFonts w:cs="Arial"/>
              </w:rPr>
              <w:t>No acceptable outcome is nominated.</w:t>
            </w:r>
          </w:p>
        </w:tc>
      </w:tr>
      <w:tr w:rsidR="00BE36FB" w:rsidRPr="009B7B35" w14:paraId="1A89F6DE" w14:textId="77777777" w:rsidTr="001A7107">
        <w:trPr>
          <w:cantSplit/>
        </w:trPr>
        <w:tc>
          <w:tcPr>
            <w:tcW w:w="4707" w:type="dxa"/>
            <w:shd w:val="clear" w:color="auto" w:fill="FFFFFF" w:themeFill="background1"/>
          </w:tcPr>
          <w:p w14:paraId="18D116C8" w14:textId="77777777" w:rsidR="00BE36FB" w:rsidRPr="009B7B35" w:rsidRDefault="00BE36FB" w:rsidP="001A7107">
            <w:pPr>
              <w:pStyle w:val="TableText"/>
              <w:rPr>
                <w:rFonts w:cs="Arial"/>
                <w:b/>
              </w:rPr>
            </w:pPr>
            <w:r w:rsidRPr="009B7B35">
              <w:rPr>
                <w:rFonts w:cs="Arial"/>
                <w:b/>
              </w:rPr>
              <w:t>PO19</w:t>
            </w:r>
          </w:p>
          <w:p w14:paraId="2863ADA8" w14:textId="77777777" w:rsidR="00BE36FB" w:rsidRPr="009B7B35" w:rsidRDefault="00BE36FB" w:rsidP="001A7107">
            <w:pPr>
              <w:pStyle w:val="TableText"/>
              <w:rPr>
                <w:rFonts w:cs="Arial"/>
              </w:rPr>
            </w:pPr>
            <w:r w:rsidRPr="009B7B35">
              <w:rPr>
                <w:rFonts w:cs="Arial"/>
              </w:rPr>
              <w:t>Reconfiguration of land identified as Agricultural land Class A and B does not:</w:t>
            </w:r>
          </w:p>
          <w:p w14:paraId="1309C5F3" w14:textId="77777777" w:rsidR="00BE36FB" w:rsidRPr="009B7B35" w:rsidRDefault="00BE36FB" w:rsidP="00BE36FB">
            <w:pPr>
              <w:pStyle w:val="TableText"/>
              <w:numPr>
                <w:ilvl w:val="0"/>
                <w:numId w:val="784"/>
              </w:numPr>
              <w:rPr>
                <w:rFonts w:cs="Arial"/>
              </w:rPr>
            </w:pPr>
            <w:r w:rsidRPr="009B7B35">
              <w:rPr>
                <w:rFonts w:cs="Arial"/>
              </w:rPr>
              <w:t>adversely impact on the viability of land for agricultural or grazing purposes, and</w:t>
            </w:r>
          </w:p>
          <w:p w14:paraId="78FBAC6D" w14:textId="77777777" w:rsidR="00BE36FB" w:rsidRPr="009B7B35" w:rsidRDefault="00BE36FB" w:rsidP="00BE36FB">
            <w:pPr>
              <w:pStyle w:val="TableText"/>
              <w:numPr>
                <w:ilvl w:val="0"/>
                <w:numId w:val="784"/>
              </w:numPr>
              <w:rPr>
                <w:rFonts w:cs="Arial"/>
              </w:rPr>
            </w:pPr>
            <w:r w:rsidRPr="009B7B35">
              <w:rPr>
                <w:rFonts w:cs="Arial"/>
              </w:rPr>
              <w:t>constrain existing farming activities.</w:t>
            </w:r>
          </w:p>
          <w:p w14:paraId="6A12D7CB" w14:textId="77777777" w:rsidR="00BE36FB" w:rsidRPr="009B7B35" w:rsidRDefault="00BE36FB" w:rsidP="001A7107">
            <w:pPr>
              <w:pStyle w:val="Notes"/>
              <w:rPr>
                <w:rFonts w:cs="Arial"/>
                <w:sz w:val="20"/>
                <w:szCs w:val="20"/>
              </w:rPr>
            </w:pPr>
            <w:r w:rsidRPr="009B7B35">
              <w:rPr>
                <w:rFonts w:cs="Arial"/>
                <w:sz w:val="20"/>
                <w:szCs w:val="20"/>
              </w:rPr>
              <w:t xml:space="preserve">Note—Class A and B agricultural land is identified in the Agricultural land classification overlay map. </w:t>
            </w:r>
          </w:p>
        </w:tc>
        <w:tc>
          <w:tcPr>
            <w:tcW w:w="4644" w:type="dxa"/>
            <w:shd w:val="clear" w:color="auto" w:fill="FFFFFF" w:themeFill="background1"/>
          </w:tcPr>
          <w:p w14:paraId="6FED6CDF" w14:textId="77777777" w:rsidR="00BE36FB" w:rsidRPr="009B7B35" w:rsidRDefault="00BE36FB" w:rsidP="001A7107">
            <w:pPr>
              <w:pStyle w:val="TableText"/>
              <w:rPr>
                <w:rFonts w:cs="Arial"/>
                <w:b/>
              </w:rPr>
            </w:pPr>
            <w:r w:rsidRPr="009B7B35">
              <w:rPr>
                <w:rFonts w:cs="Arial"/>
                <w:b/>
              </w:rPr>
              <w:t>AO19</w:t>
            </w:r>
          </w:p>
          <w:p w14:paraId="027696F5" w14:textId="77777777" w:rsidR="00BE36FB" w:rsidRPr="009B7B35" w:rsidRDefault="00BE36FB" w:rsidP="001A7107">
            <w:pPr>
              <w:pStyle w:val="TableText"/>
              <w:rPr>
                <w:rFonts w:cs="Arial"/>
              </w:rPr>
            </w:pPr>
            <w:r w:rsidRPr="009B7B35">
              <w:rPr>
                <w:rFonts w:cs="Arial"/>
              </w:rPr>
              <w:t>Fragmentation of land designated as Agricultural land Class A or B does not occur in the Rural zone.</w:t>
            </w:r>
          </w:p>
        </w:tc>
      </w:tr>
      <w:tr w:rsidR="00BE36FB" w:rsidRPr="009B7B35" w14:paraId="768E7D3A" w14:textId="77777777" w:rsidTr="001A7107">
        <w:trPr>
          <w:cantSplit/>
          <w:trHeight w:val="36"/>
        </w:trPr>
        <w:tc>
          <w:tcPr>
            <w:tcW w:w="9351" w:type="dxa"/>
            <w:gridSpan w:val="2"/>
            <w:shd w:val="clear" w:color="auto" w:fill="BFBFBF" w:themeFill="background1" w:themeFillShade="BF"/>
          </w:tcPr>
          <w:p w14:paraId="39D06F87" w14:textId="77777777" w:rsidR="00BE36FB" w:rsidRPr="009B7B35" w:rsidRDefault="00BE36FB" w:rsidP="001A7107">
            <w:pPr>
              <w:pStyle w:val="Tableheading"/>
              <w:rPr>
                <w:rFonts w:ascii="Arial" w:hAnsi="Arial" w:cs="Arial"/>
                <w:szCs w:val="20"/>
              </w:rPr>
            </w:pPr>
            <w:r w:rsidRPr="009B7B35">
              <w:rPr>
                <w:rFonts w:ascii="Arial" w:hAnsi="Arial" w:cs="Arial"/>
                <w:szCs w:val="20"/>
              </w:rPr>
              <w:t>Infrastructure and services</w:t>
            </w:r>
          </w:p>
          <w:p w14:paraId="0C536676" w14:textId="77777777" w:rsidR="00BE36FB" w:rsidRPr="009B7B35" w:rsidRDefault="00BE36FB" w:rsidP="001A7107">
            <w:pPr>
              <w:pStyle w:val="Notes"/>
              <w:rPr>
                <w:rFonts w:cs="Arial"/>
                <w:sz w:val="20"/>
                <w:szCs w:val="20"/>
              </w:rPr>
            </w:pPr>
            <w:r w:rsidRPr="009B7B35">
              <w:rPr>
                <w:rFonts w:cs="Arial"/>
                <w:sz w:val="20"/>
                <w:szCs w:val="20"/>
              </w:rPr>
              <w:t>Note—Refer also to the Development design code.</w:t>
            </w:r>
          </w:p>
        </w:tc>
      </w:tr>
      <w:tr w:rsidR="00BE36FB" w:rsidRPr="009B7B35" w14:paraId="584B61C3" w14:textId="77777777" w:rsidTr="001A7107">
        <w:tc>
          <w:tcPr>
            <w:tcW w:w="4707" w:type="dxa"/>
            <w:vMerge w:val="restart"/>
            <w:shd w:val="clear" w:color="auto" w:fill="FFFFFF" w:themeFill="background1"/>
          </w:tcPr>
          <w:p w14:paraId="53671B65" w14:textId="77777777" w:rsidR="00BE36FB" w:rsidRPr="009B7B35" w:rsidRDefault="00BE36FB" w:rsidP="001A7107">
            <w:pPr>
              <w:pStyle w:val="TableText"/>
              <w:rPr>
                <w:rFonts w:cs="Arial"/>
                <w:b/>
              </w:rPr>
            </w:pPr>
            <w:r w:rsidRPr="009B7B35">
              <w:rPr>
                <w:rFonts w:cs="Arial"/>
                <w:b/>
              </w:rPr>
              <w:t>PO20</w:t>
            </w:r>
          </w:p>
          <w:p w14:paraId="3592DF50" w14:textId="77777777" w:rsidR="00BE36FB" w:rsidRPr="009B7B35" w:rsidRDefault="00BE36FB" w:rsidP="001A7107">
            <w:pPr>
              <w:pStyle w:val="TableText"/>
              <w:rPr>
                <w:rFonts w:cs="Arial"/>
              </w:rPr>
            </w:pPr>
            <w:r w:rsidRPr="009B7B35">
              <w:rPr>
                <w:rFonts w:cs="Arial"/>
              </w:rPr>
              <w:t>Each reconfigured lot is provided with infrastructure and services appropriate to its intended use and location in a manner that:</w:t>
            </w:r>
          </w:p>
          <w:p w14:paraId="5E8DCFEF" w14:textId="77777777" w:rsidR="00BE36FB" w:rsidRPr="009B7B35" w:rsidRDefault="00BE36FB" w:rsidP="00BE36FB">
            <w:pPr>
              <w:pStyle w:val="TableText"/>
              <w:numPr>
                <w:ilvl w:val="0"/>
                <w:numId w:val="785"/>
              </w:numPr>
              <w:rPr>
                <w:rFonts w:cs="Arial"/>
              </w:rPr>
            </w:pPr>
            <w:r w:rsidRPr="009B7B35">
              <w:rPr>
                <w:rFonts w:cs="Arial"/>
              </w:rPr>
              <w:t>is efficient</w:t>
            </w:r>
          </w:p>
          <w:p w14:paraId="016EF5CB" w14:textId="77777777" w:rsidR="00BE36FB" w:rsidRPr="009B7B35" w:rsidRDefault="00BE36FB" w:rsidP="00BE36FB">
            <w:pPr>
              <w:pStyle w:val="TableText"/>
              <w:numPr>
                <w:ilvl w:val="0"/>
                <w:numId w:val="785"/>
              </w:numPr>
              <w:rPr>
                <w:rFonts w:cs="Arial"/>
              </w:rPr>
            </w:pPr>
            <w:r w:rsidRPr="009B7B35">
              <w:rPr>
                <w:rFonts w:cs="Arial"/>
              </w:rPr>
              <w:t>is adaptable to allow for future infrastructure upgrades</w:t>
            </w:r>
          </w:p>
          <w:p w14:paraId="18D82ACA" w14:textId="77777777" w:rsidR="00BE36FB" w:rsidRPr="009B7B35" w:rsidRDefault="00BE36FB" w:rsidP="00BE36FB">
            <w:pPr>
              <w:pStyle w:val="TableText"/>
              <w:numPr>
                <w:ilvl w:val="0"/>
                <w:numId w:val="785"/>
              </w:numPr>
              <w:rPr>
                <w:rFonts w:cs="Arial"/>
              </w:rPr>
            </w:pPr>
            <w:r w:rsidRPr="009B7B35">
              <w:rPr>
                <w:rFonts w:cs="Arial"/>
              </w:rPr>
              <w:t>minimises risk of adverse environmental or amenity–related impacts</w:t>
            </w:r>
          </w:p>
          <w:p w14:paraId="37EE4A25" w14:textId="77777777" w:rsidR="00BE36FB" w:rsidRPr="009B7B35" w:rsidRDefault="00BE36FB" w:rsidP="00BE36FB">
            <w:pPr>
              <w:pStyle w:val="TableText"/>
              <w:numPr>
                <w:ilvl w:val="0"/>
                <w:numId w:val="785"/>
              </w:numPr>
              <w:rPr>
                <w:rFonts w:cs="Arial"/>
              </w:rPr>
            </w:pPr>
            <w:r w:rsidRPr="009B7B35">
              <w:rPr>
                <w:rFonts w:cs="Arial"/>
              </w:rPr>
              <w:t>promotes the efficient use of water resources, and</w:t>
            </w:r>
          </w:p>
          <w:p w14:paraId="4B9F4CB6" w14:textId="77777777" w:rsidR="00BE36FB" w:rsidRPr="009B7B35" w:rsidRDefault="00BE36FB" w:rsidP="00BE36FB">
            <w:pPr>
              <w:pStyle w:val="TableText"/>
              <w:numPr>
                <w:ilvl w:val="0"/>
                <w:numId w:val="785"/>
              </w:numPr>
              <w:rPr>
                <w:rFonts w:cs="Arial"/>
              </w:rPr>
            </w:pPr>
            <w:r w:rsidRPr="009B7B35">
              <w:rPr>
                <w:rFonts w:cs="Arial"/>
              </w:rPr>
              <w:t>minimises whole of life cycle costs for that infrastructure.</w:t>
            </w:r>
          </w:p>
        </w:tc>
        <w:tc>
          <w:tcPr>
            <w:tcW w:w="4644" w:type="dxa"/>
            <w:shd w:val="clear" w:color="auto" w:fill="FFFFFF" w:themeFill="background1"/>
          </w:tcPr>
          <w:p w14:paraId="394ECD6A" w14:textId="77777777" w:rsidR="00BE36FB" w:rsidRPr="009B7B35" w:rsidRDefault="00BE36FB" w:rsidP="001A7107">
            <w:pPr>
              <w:pStyle w:val="TableText"/>
              <w:rPr>
                <w:rFonts w:cs="Arial"/>
                <w:b/>
              </w:rPr>
            </w:pPr>
            <w:r w:rsidRPr="009B7B35">
              <w:rPr>
                <w:rFonts w:cs="Arial"/>
                <w:b/>
              </w:rPr>
              <w:t>AO20.1</w:t>
            </w:r>
          </w:p>
          <w:p w14:paraId="1F2B398C" w14:textId="77777777" w:rsidR="00BE36FB" w:rsidRPr="009B7B35" w:rsidRDefault="00BE36FB" w:rsidP="001A7107">
            <w:pPr>
              <w:pStyle w:val="TableText"/>
              <w:rPr>
                <w:rFonts w:cs="Arial"/>
              </w:rPr>
            </w:pPr>
            <w:r w:rsidRPr="009B7B35">
              <w:rPr>
                <w:rFonts w:cs="Arial"/>
              </w:rPr>
              <w:t xml:space="preserve">Lots created within a designated Priority Infrastructure Plan area for a reticulated water supply and/or a reticulated sewerage supply, are connected to that supply in accordance with the </w:t>
            </w:r>
            <w:r w:rsidRPr="009B7B35">
              <w:rPr>
                <w:rStyle w:val="StyleItalic"/>
                <w:rFonts w:cs="Arial"/>
              </w:rPr>
              <w:t>Engineering design planning scheme policy</w:t>
            </w:r>
            <w:r w:rsidRPr="009B7B35">
              <w:rPr>
                <w:rFonts w:cs="Arial"/>
              </w:rPr>
              <w:t>.</w:t>
            </w:r>
          </w:p>
        </w:tc>
      </w:tr>
      <w:tr w:rsidR="00BE36FB" w:rsidRPr="009B7B35" w14:paraId="25665729" w14:textId="77777777" w:rsidTr="001A7107">
        <w:tc>
          <w:tcPr>
            <w:tcW w:w="4707" w:type="dxa"/>
            <w:vMerge/>
            <w:shd w:val="clear" w:color="auto" w:fill="FFFFFF" w:themeFill="background1"/>
          </w:tcPr>
          <w:p w14:paraId="5EF24EA1" w14:textId="77777777" w:rsidR="00BE36FB" w:rsidRPr="009B7B35" w:rsidRDefault="00BE36FB" w:rsidP="001A7107">
            <w:pPr>
              <w:pStyle w:val="TableText"/>
              <w:rPr>
                <w:rFonts w:cs="Arial"/>
              </w:rPr>
            </w:pPr>
          </w:p>
        </w:tc>
        <w:tc>
          <w:tcPr>
            <w:tcW w:w="4644" w:type="dxa"/>
          </w:tcPr>
          <w:p w14:paraId="10BF59B2" w14:textId="77777777" w:rsidR="00BE36FB" w:rsidRPr="009B7B35" w:rsidRDefault="00BE36FB" w:rsidP="001A7107">
            <w:pPr>
              <w:pStyle w:val="TableText"/>
              <w:rPr>
                <w:rFonts w:cs="Arial"/>
                <w:b/>
              </w:rPr>
            </w:pPr>
            <w:r w:rsidRPr="009B7B35">
              <w:rPr>
                <w:rFonts w:cs="Arial"/>
                <w:b/>
              </w:rPr>
              <w:t>AO20.2</w:t>
            </w:r>
          </w:p>
          <w:p w14:paraId="17E0C806" w14:textId="77777777" w:rsidR="00BE36FB" w:rsidRPr="009B7B35" w:rsidRDefault="00BE36FB" w:rsidP="001A7107">
            <w:pPr>
              <w:pStyle w:val="TableText"/>
              <w:rPr>
                <w:rFonts w:cs="Arial"/>
              </w:rPr>
            </w:pPr>
            <w:r w:rsidRPr="009B7B35">
              <w:rPr>
                <w:rFonts w:cs="Arial"/>
              </w:rPr>
              <w:t xml:space="preserve">Lots created include stormwater infrastructure in accordance with the design requirements of the </w:t>
            </w:r>
            <w:r w:rsidRPr="009B7B35">
              <w:rPr>
                <w:rStyle w:val="StyleItalic"/>
                <w:rFonts w:cs="Arial"/>
              </w:rPr>
              <w:t>Engineering design planning scheme policy</w:t>
            </w:r>
            <w:r w:rsidRPr="009B7B35">
              <w:rPr>
                <w:rFonts w:cs="Arial"/>
              </w:rPr>
              <w:t>.</w:t>
            </w:r>
          </w:p>
        </w:tc>
      </w:tr>
      <w:tr w:rsidR="00BE36FB" w:rsidRPr="009B7B35" w14:paraId="048BF3C3" w14:textId="77777777" w:rsidTr="001A7107">
        <w:tc>
          <w:tcPr>
            <w:tcW w:w="4707" w:type="dxa"/>
            <w:vMerge/>
            <w:shd w:val="clear" w:color="auto" w:fill="FFFFFF" w:themeFill="background1"/>
          </w:tcPr>
          <w:p w14:paraId="622A9696" w14:textId="77777777" w:rsidR="00BE36FB" w:rsidRPr="009B7B35" w:rsidRDefault="00BE36FB" w:rsidP="001A7107">
            <w:pPr>
              <w:pStyle w:val="TableText"/>
              <w:rPr>
                <w:rFonts w:cs="Arial"/>
              </w:rPr>
            </w:pPr>
          </w:p>
        </w:tc>
        <w:tc>
          <w:tcPr>
            <w:tcW w:w="4644" w:type="dxa"/>
            <w:shd w:val="clear" w:color="auto" w:fill="FFFFFF" w:themeFill="background1"/>
          </w:tcPr>
          <w:p w14:paraId="16DFD867" w14:textId="77777777" w:rsidR="00BE36FB" w:rsidRPr="009B7B35" w:rsidRDefault="00BE36FB" w:rsidP="001A7107">
            <w:pPr>
              <w:pStyle w:val="TableText"/>
              <w:rPr>
                <w:rFonts w:cs="Arial"/>
                <w:b/>
              </w:rPr>
            </w:pPr>
            <w:r w:rsidRPr="009B7B35">
              <w:rPr>
                <w:rFonts w:cs="Arial"/>
                <w:b/>
              </w:rPr>
              <w:t>AO20.3</w:t>
            </w:r>
          </w:p>
          <w:p w14:paraId="247DAE14" w14:textId="77777777" w:rsidR="00BE36FB" w:rsidRPr="009B7B35" w:rsidRDefault="00BE36FB" w:rsidP="001A7107">
            <w:pPr>
              <w:pStyle w:val="TableText"/>
              <w:rPr>
                <w:rFonts w:cs="Arial"/>
              </w:rPr>
            </w:pPr>
            <w:r w:rsidRPr="009B7B35">
              <w:rPr>
                <w:rFonts w:cs="Arial"/>
              </w:rPr>
              <w:t>Lots are connected to electricity and telecommunications infrastructure in accordance with the standards of the relevant regulatory authority prior to the commencement of any use of the site.</w:t>
            </w:r>
          </w:p>
        </w:tc>
      </w:tr>
      <w:tr w:rsidR="00BE36FB" w:rsidRPr="009B7B35" w14:paraId="364D6F0F" w14:textId="77777777" w:rsidTr="001A7107">
        <w:tc>
          <w:tcPr>
            <w:tcW w:w="4707" w:type="dxa"/>
            <w:vMerge/>
            <w:shd w:val="clear" w:color="auto" w:fill="FFFFFF" w:themeFill="background1"/>
          </w:tcPr>
          <w:p w14:paraId="08131FB0" w14:textId="77777777" w:rsidR="00BE36FB" w:rsidRPr="009B7B35" w:rsidRDefault="00BE36FB" w:rsidP="001A7107">
            <w:pPr>
              <w:pStyle w:val="TableText"/>
              <w:rPr>
                <w:rFonts w:cs="Arial"/>
              </w:rPr>
            </w:pPr>
          </w:p>
        </w:tc>
        <w:tc>
          <w:tcPr>
            <w:tcW w:w="4644" w:type="dxa"/>
          </w:tcPr>
          <w:p w14:paraId="60B35DFB" w14:textId="77777777" w:rsidR="00BE36FB" w:rsidRPr="009B7B35" w:rsidRDefault="00BE36FB" w:rsidP="001A7107">
            <w:pPr>
              <w:pStyle w:val="TableText"/>
              <w:rPr>
                <w:rFonts w:cs="Arial"/>
                <w:b/>
              </w:rPr>
            </w:pPr>
            <w:r w:rsidRPr="009B7B35">
              <w:rPr>
                <w:rFonts w:cs="Arial"/>
                <w:b/>
              </w:rPr>
              <w:t>AO20.4</w:t>
            </w:r>
          </w:p>
          <w:p w14:paraId="5C29451E" w14:textId="77777777" w:rsidR="00BE36FB" w:rsidRPr="009B7B35" w:rsidRDefault="00BE36FB" w:rsidP="001A7107">
            <w:pPr>
              <w:pStyle w:val="TableText"/>
              <w:rPr>
                <w:rFonts w:cs="Arial"/>
              </w:rPr>
            </w:pPr>
            <w:r w:rsidRPr="009B7B35">
              <w:rPr>
                <w:rFonts w:cs="Arial"/>
              </w:rPr>
              <w:t>Electricity and telecommunications infrastructure is provided underground where the reconfiguration occurs in an urban area and exceeds 5 new lots.</w:t>
            </w:r>
          </w:p>
        </w:tc>
      </w:tr>
      <w:tr w:rsidR="00BE36FB" w:rsidRPr="009B7B35" w14:paraId="0D3E36AC" w14:textId="77777777" w:rsidTr="001A7107">
        <w:tc>
          <w:tcPr>
            <w:tcW w:w="4707" w:type="dxa"/>
            <w:shd w:val="clear" w:color="auto" w:fill="FFFFFF" w:themeFill="background1"/>
          </w:tcPr>
          <w:p w14:paraId="53AA6026" w14:textId="77777777" w:rsidR="00BE36FB" w:rsidRPr="009B7B35" w:rsidRDefault="00BE36FB" w:rsidP="001A7107">
            <w:pPr>
              <w:pStyle w:val="TableText"/>
              <w:rPr>
                <w:rFonts w:cs="Arial"/>
                <w:b/>
              </w:rPr>
            </w:pPr>
            <w:r w:rsidRPr="009B7B35">
              <w:rPr>
                <w:rFonts w:cs="Arial"/>
                <w:b/>
              </w:rPr>
              <w:t>PO21</w:t>
            </w:r>
          </w:p>
          <w:p w14:paraId="4A377981" w14:textId="77777777" w:rsidR="00BE36FB" w:rsidRPr="009B7B35" w:rsidRDefault="00BE36FB" w:rsidP="001A7107">
            <w:pPr>
              <w:pStyle w:val="TableText"/>
              <w:rPr>
                <w:rFonts w:cs="Arial"/>
              </w:rPr>
            </w:pPr>
            <w:r w:rsidRPr="009B7B35">
              <w:rPr>
                <w:rFonts w:cs="Arial"/>
              </w:rPr>
              <w:t>Where reconfiguration proposes individual on–site waste water disposal, it must be demonstrated that:</w:t>
            </w:r>
          </w:p>
          <w:p w14:paraId="4D3D32B0" w14:textId="77777777" w:rsidR="00BE36FB" w:rsidRPr="009B7B35" w:rsidRDefault="00BE36FB" w:rsidP="00BE36FB">
            <w:pPr>
              <w:pStyle w:val="TableText"/>
              <w:numPr>
                <w:ilvl w:val="0"/>
                <w:numId w:val="786"/>
              </w:numPr>
              <w:rPr>
                <w:rFonts w:cs="Arial"/>
              </w:rPr>
            </w:pPr>
            <w:r w:rsidRPr="009B7B35">
              <w:rPr>
                <w:rFonts w:cs="Arial"/>
              </w:rPr>
              <w:t>the soil type and permeability, slope, and hydrology of the land is capable of accommodating the proposed loads within the lot, and</w:t>
            </w:r>
          </w:p>
          <w:p w14:paraId="3FCE6833" w14:textId="77777777" w:rsidR="00BE36FB" w:rsidRPr="009B7B35" w:rsidRDefault="00BE36FB" w:rsidP="00BE36FB">
            <w:pPr>
              <w:pStyle w:val="TableText"/>
              <w:numPr>
                <w:ilvl w:val="0"/>
                <w:numId w:val="786"/>
              </w:numPr>
              <w:rPr>
                <w:rFonts w:cs="Arial"/>
              </w:rPr>
            </w:pPr>
            <w:r w:rsidRPr="009B7B35">
              <w:rPr>
                <w:rFonts w:cs="Arial"/>
              </w:rPr>
              <w:t>individually and collectively, the impacts of the existing and proposed systems do not adversely impact on the groundwater quality of the locality.</w:t>
            </w:r>
          </w:p>
        </w:tc>
        <w:tc>
          <w:tcPr>
            <w:tcW w:w="4644" w:type="dxa"/>
            <w:shd w:val="clear" w:color="auto" w:fill="FFFFFF" w:themeFill="background1"/>
          </w:tcPr>
          <w:p w14:paraId="6C803355"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0887E3B8" w14:textId="77777777" w:rsidTr="001A7107">
        <w:trPr>
          <w:cantSplit/>
          <w:trHeight w:val="36"/>
        </w:trPr>
        <w:tc>
          <w:tcPr>
            <w:tcW w:w="9351" w:type="dxa"/>
            <w:gridSpan w:val="2"/>
            <w:shd w:val="clear" w:color="auto" w:fill="BFBFBF" w:themeFill="background1" w:themeFillShade="BF"/>
          </w:tcPr>
          <w:p w14:paraId="26C42274" w14:textId="77777777" w:rsidR="00BE36FB" w:rsidRPr="009B7B35" w:rsidRDefault="00BE36FB" w:rsidP="001A7107">
            <w:pPr>
              <w:pStyle w:val="Tableheading"/>
              <w:rPr>
                <w:rFonts w:ascii="Arial" w:hAnsi="Arial" w:cs="Arial"/>
                <w:szCs w:val="20"/>
              </w:rPr>
            </w:pPr>
            <w:r w:rsidRPr="009B7B35">
              <w:rPr>
                <w:rFonts w:ascii="Arial" w:hAnsi="Arial" w:cs="Arial"/>
                <w:szCs w:val="20"/>
              </w:rPr>
              <w:t>Access and road design</w:t>
            </w:r>
          </w:p>
          <w:p w14:paraId="4D6A77EF" w14:textId="77777777" w:rsidR="00BE36FB" w:rsidRPr="009B7B35" w:rsidRDefault="00BE36FB" w:rsidP="001A7107">
            <w:pPr>
              <w:pStyle w:val="Notes"/>
              <w:rPr>
                <w:rFonts w:cs="Arial"/>
                <w:sz w:val="20"/>
                <w:szCs w:val="20"/>
              </w:rPr>
            </w:pPr>
            <w:r w:rsidRPr="009B7B35">
              <w:rPr>
                <w:rFonts w:cs="Arial"/>
                <w:sz w:val="20"/>
                <w:szCs w:val="20"/>
              </w:rPr>
              <w:t>Note—Refer also to the Development design code.</w:t>
            </w:r>
          </w:p>
        </w:tc>
      </w:tr>
      <w:tr w:rsidR="00BE36FB" w:rsidRPr="009B7B35" w14:paraId="6C5DEA6C" w14:textId="77777777" w:rsidTr="001A7107">
        <w:trPr>
          <w:trHeight w:val="27"/>
        </w:trPr>
        <w:tc>
          <w:tcPr>
            <w:tcW w:w="4707" w:type="dxa"/>
            <w:shd w:val="clear" w:color="auto" w:fill="FFFFFF" w:themeFill="background1"/>
          </w:tcPr>
          <w:p w14:paraId="6037BFCA" w14:textId="77777777" w:rsidR="00BE36FB" w:rsidRPr="009B7B35" w:rsidRDefault="00BE36FB" w:rsidP="001A7107">
            <w:pPr>
              <w:pStyle w:val="TableText"/>
              <w:rPr>
                <w:rFonts w:cs="Arial"/>
                <w:b/>
              </w:rPr>
            </w:pPr>
            <w:r w:rsidRPr="009B7B35">
              <w:rPr>
                <w:rFonts w:cs="Arial"/>
                <w:b/>
              </w:rPr>
              <w:t>PO22</w:t>
            </w:r>
          </w:p>
          <w:p w14:paraId="55C5A031" w14:textId="77777777" w:rsidR="00BE36FB" w:rsidRPr="009B7B35" w:rsidRDefault="00BE36FB" w:rsidP="001A7107">
            <w:pPr>
              <w:pStyle w:val="TableText"/>
              <w:rPr>
                <w:rFonts w:cs="Arial"/>
              </w:rPr>
            </w:pPr>
            <w:r w:rsidRPr="009B7B35">
              <w:rPr>
                <w:rFonts w:cs="Arial"/>
              </w:rPr>
              <w:t>Lots have safe access for vehicles and pedestrians through:</w:t>
            </w:r>
          </w:p>
          <w:p w14:paraId="199F62A7" w14:textId="77777777" w:rsidR="00BE36FB" w:rsidRPr="009B7B35" w:rsidRDefault="00BE36FB" w:rsidP="00BE36FB">
            <w:pPr>
              <w:pStyle w:val="TableText"/>
              <w:numPr>
                <w:ilvl w:val="0"/>
                <w:numId w:val="787"/>
              </w:numPr>
              <w:rPr>
                <w:rFonts w:cs="Arial"/>
              </w:rPr>
            </w:pPr>
            <w:r w:rsidRPr="009B7B35">
              <w:rPr>
                <w:rFonts w:cs="Arial"/>
              </w:rPr>
              <w:t>direct frontage to a properly constructed public road or to common property having a direct frontage to a properly constructed public road created under a community management statement, and</w:t>
            </w:r>
          </w:p>
          <w:p w14:paraId="129854E5" w14:textId="77777777" w:rsidR="00BE36FB" w:rsidRPr="009B7B35" w:rsidRDefault="00BE36FB" w:rsidP="00BE36FB">
            <w:pPr>
              <w:pStyle w:val="TableText"/>
              <w:numPr>
                <w:ilvl w:val="0"/>
                <w:numId w:val="787"/>
              </w:numPr>
              <w:rPr>
                <w:rFonts w:cs="Arial"/>
              </w:rPr>
            </w:pPr>
            <w:r w:rsidRPr="009B7B35">
              <w:rPr>
                <w:rFonts w:cs="Arial"/>
              </w:rPr>
              <w:t xml:space="preserve">providing access appropriate for the type of vehicle associated with development. </w:t>
            </w:r>
          </w:p>
        </w:tc>
        <w:tc>
          <w:tcPr>
            <w:tcW w:w="4644" w:type="dxa"/>
            <w:shd w:val="clear" w:color="auto" w:fill="FFFFFF" w:themeFill="background1"/>
          </w:tcPr>
          <w:p w14:paraId="78FD9FD1" w14:textId="77777777" w:rsidR="00BE36FB" w:rsidRPr="009B7B35" w:rsidRDefault="00BE36FB" w:rsidP="001A7107">
            <w:pPr>
              <w:pStyle w:val="TableText"/>
              <w:rPr>
                <w:rFonts w:cs="Arial"/>
                <w:b/>
              </w:rPr>
            </w:pPr>
            <w:r w:rsidRPr="009B7B35">
              <w:rPr>
                <w:rFonts w:cs="Arial"/>
                <w:b/>
              </w:rPr>
              <w:t>AO22</w:t>
            </w:r>
          </w:p>
          <w:p w14:paraId="34E911D5" w14:textId="77777777" w:rsidR="00BE36FB" w:rsidRPr="009B7B35" w:rsidRDefault="00BE36FB" w:rsidP="001A7107">
            <w:pPr>
              <w:pStyle w:val="TableText"/>
              <w:rPr>
                <w:rFonts w:cs="Arial"/>
              </w:rPr>
            </w:pPr>
            <w:r w:rsidRPr="009B7B35">
              <w:rPr>
                <w:rFonts w:cs="Arial"/>
              </w:rPr>
              <w:t xml:space="preserve">Lots are designed to achieve safe vehicle and pedestrian access in accordance with the </w:t>
            </w:r>
            <w:r w:rsidRPr="009B7B35">
              <w:rPr>
                <w:rStyle w:val="StyleItalic"/>
                <w:rFonts w:cs="Arial"/>
              </w:rPr>
              <w:t>Engineering design planning scheme policy</w:t>
            </w:r>
            <w:r w:rsidRPr="009B7B35">
              <w:rPr>
                <w:rFonts w:cs="Arial"/>
              </w:rPr>
              <w:t>.</w:t>
            </w:r>
          </w:p>
        </w:tc>
      </w:tr>
      <w:tr w:rsidR="00BE36FB" w:rsidRPr="009B7B35" w14:paraId="0B8A0D7A" w14:textId="77777777" w:rsidTr="001A7107">
        <w:tc>
          <w:tcPr>
            <w:tcW w:w="4707" w:type="dxa"/>
            <w:shd w:val="clear" w:color="auto" w:fill="FFFFFF" w:themeFill="background1"/>
          </w:tcPr>
          <w:p w14:paraId="69F72D77" w14:textId="77777777" w:rsidR="00BE36FB" w:rsidRPr="009B7B35" w:rsidRDefault="00BE36FB" w:rsidP="001A7107">
            <w:pPr>
              <w:pStyle w:val="TableText"/>
              <w:rPr>
                <w:rFonts w:cs="Arial"/>
                <w:b/>
              </w:rPr>
            </w:pPr>
            <w:r w:rsidRPr="009B7B35">
              <w:rPr>
                <w:rFonts w:cs="Arial"/>
                <w:b/>
              </w:rPr>
              <w:t>PO23</w:t>
            </w:r>
          </w:p>
          <w:p w14:paraId="4A980E5D" w14:textId="77777777" w:rsidR="00BE36FB" w:rsidRPr="009B7B35" w:rsidRDefault="00BE36FB" w:rsidP="001A7107">
            <w:pPr>
              <w:pStyle w:val="TableText"/>
              <w:rPr>
                <w:rFonts w:cs="Arial"/>
              </w:rPr>
            </w:pPr>
            <w:r w:rsidRPr="009B7B35">
              <w:rPr>
                <w:rFonts w:cs="Arial"/>
              </w:rPr>
              <w:t>Reconfiguration involving the creation of new roads must:</w:t>
            </w:r>
          </w:p>
          <w:p w14:paraId="466BE159" w14:textId="77777777" w:rsidR="00BE36FB" w:rsidRPr="009B7B35" w:rsidRDefault="00BE36FB" w:rsidP="00BE36FB">
            <w:pPr>
              <w:pStyle w:val="TableText"/>
              <w:numPr>
                <w:ilvl w:val="0"/>
                <w:numId w:val="788"/>
              </w:numPr>
              <w:rPr>
                <w:rFonts w:cs="Arial"/>
              </w:rPr>
            </w:pPr>
            <w:r w:rsidRPr="009B7B35">
              <w:rPr>
                <w:rFonts w:cs="Arial"/>
              </w:rPr>
              <w:t>provide for the safe, efficient and convenient movement for all modes of transport</w:t>
            </w:r>
          </w:p>
          <w:p w14:paraId="33B0EBD3" w14:textId="77777777" w:rsidR="00BE36FB" w:rsidRPr="009B7B35" w:rsidRDefault="00BE36FB" w:rsidP="00BE36FB">
            <w:pPr>
              <w:pStyle w:val="TableText"/>
              <w:numPr>
                <w:ilvl w:val="0"/>
                <w:numId w:val="788"/>
              </w:numPr>
              <w:rPr>
                <w:rFonts w:cs="Arial"/>
              </w:rPr>
            </w:pPr>
            <w:r w:rsidRPr="009B7B35">
              <w:rPr>
                <w:rFonts w:cs="Arial"/>
              </w:rPr>
              <w:t>are designed and constructed to support their intended function for all relevant design vehicle types</w:t>
            </w:r>
          </w:p>
          <w:p w14:paraId="2553C4FC" w14:textId="77777777" w:rsidR="00BE36FB" w:rsidRPr="009B7B35" w:rsidRDefault="00BE36FB" w:rsidP="00BE36FB">
            <w:pPr>
              <w:pStyle w:val="TableText"/>
              <w:numPr>
                <w:ilvl w:val="0"/>
                <w:numId w:val="788"/>
              </w:numPr>
              <w:rPr>
                <w:rFonts w:cs="Arial"/>
              </w:rPr>
            </w:pPr>
            <w:r w:rsidRPr="009B7B35">
              <w:rPr>
                <w:rFonts w:cs="Arial"/>
              </w:rPr>
              <w:t>provide safe and easy access to the frontage of lots</w:t>
            </w:r>
          </w:p>
          <w:p w14:paraId="19B8CE64" w14:textId="77777777" w:rsidR="00BE36FB" w:rsidRPr="009B7B35" w:rsidRDefault="00BE36FB" w:rsidP="00BE36FB">
            <w:pPr>
              <w:pStyle w:val="TableText"/>
              <w:numPr>
                <w:ilvl w:val="0"/>
                <w:numId w:val="788"/>
              </w:numPr>
              <w:rPr>
                <w:rFonts w:cs="Arial"/>
              </w:rPr>
            </w:pPr>
            <w:r w:rsidRPr="009B7B35">
              <w:rPr>
                <w:rFonts w:cs="Arial"/>
              </w:rPr>
              <w:t>are designed and constructed to give priority to pedestrian and bicycle pathways at intersections</w:t>
            </w:r>
          </w:p>
          <w:p w14:paraId="61D299CF" w14:textId="77777777" w:rsidR="00BE36FB" w:rsidRPr="009B7B35" w:rsidRDefault="00BE36FB" w:rsidP="00BE36FB">
            <w:pPr>
              <w:pStyle w:val="TableText"/>
              <w:numPr>
                <w:ilvl w:val="0"/>
                <w:numId w:val="788"/>
              </w:numPr>
              <w:rPr>
                <w:rFonts w:cs="Arial"/>
              </w:rPr>
            </w:pPr>
            <w:r w:rsidRPr="009B7B35">
              <w:rPr>
                <w:rFonts w:cs="Arial"/>
              </w:rPr>
              <w:t>where practicable, facilitate the provision of an integrated public transport system within 400m of lots</w:t>
            </w:r>
          </w:p>
          <w:p w14:paraId="67637EFA" w14:textId="77777777" w:rsidR="00BE36FB" w:rsidRPr="009B7B35" w:rsidRDefault="00BE36FB" w:rsidP="00BE36FB">
            <w:pPr>
              <w:pStyle w:val="TableText"/>
              <w:numPr>
                <w:ilvl w:val="0"/>
                <w:numId w:val="788"/>
              </w:numPr>
              <w:rPr>
                <w:rFonts w:cs="Arial"/>
              </w:rPr>
            </w:pPr>
            <w:r w:rsidRPr="009B7B35">
              <w:rPr>
                <w:rFonts w:cs="Arial"/>
              </w:rPr>
              <w:t>where practicable, align with open space corridors and waterways, and</w:t>
            </w:r>
          </w:p>
          <w:p w14:paraId="6F0B226C" w14:textId="77777777" w:rsidR="00BE36FB" w:rsidRPr="009B7B35" w:rsidRDefault="00BE36FB" w:rsidP="00BE36FB">
            <w:pPr>
              <w:pStyle w:val="TableText"/>
              <w:numPr>
                <w:ilvl w:val="0"/>
                <w:numId w:val="788"/>
              </w:numPr>
              <w:rPr>
                <w:rFonts w:cs="Arial"/>
              </w:rPr>
            </w:pPr>
            <w:r w:rsidRPr="009B7B35">
              <w:rPr>
                <w:rFonts w:cs="Arial"/>
              </w:rPr>
              <w:t>where appropriate provide connections to adjoining land.</w:t>
            </w:r>
          </w:p>
        </w:tc>
        <w:tc>
          <w:tcPr>
            <w:tcW w:w="4644" w:type="dxa"/>
          </w:tcPr>
          <w:p w14:paraId="19346EC4"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DB4F89D" w14:textId="77777777" w:rsidTr="001A7107">
        <w:trPr>
          <w:cantSplit/>
        </w:trPr>
        <w:tc>
          <w:tcPr>
            <w:tcW w:w="4707" w:type="dxa"/>
            <w:shd w:val="clear" w:color="auto" w:fill="FFFFFF" w:themeFill="background1"/>
          </w:tcPr>
          <w:p w14:paraId="4A33C49B" w14:textId="77777777" w:rsidR="00BE36FB" w:rsidRPr="009B7B35" w:rsidRDefault="00BE36FB" w:rsidP="001A7107">
            <w:pPr>
              <w:pStyle w:val="TableText"/>
              <w:rPr>
                <w:rFonts w:cs="Arial"/>
                <w:b/>
              </w:rPr>
            </w:pPr>
            <w:r w:rsidRPr="009B7B35">
              <w:rPr>
                <w:rFonts w:cs="Arial"/>
                <w:b/>
              </w:rPr>
              <w:t>PO24</w:t>
            </w:r>
          </w:p>
          <w:p w14:paraId="3F0A4C7E" w14:textId="77777777" w:rsidR="00BE36FB" w:rsidRPr="009B7B35" w:rsidRDefault="00BE36FB" w:rsidP="001A7107">
            <w:pPr>
              <w:pStyle w:val="TableText"/>
              <w:rPr>
                <w:rFonts w:cs="Arial"/>
              </w:rPr>
            </w:pPr>
            <w:r w:rsidRPr="009B7B35">
              <w:rPr>
                <w:rFonts w:cs="Arial"/>
              </w:rPr>
              <w:t>New roads include streetscape and landscape treatments that:</w:t>
            </w:r>
          </w:p>
          <w:p w14:paraId="092563FB" w14:textId="77777777" w:rsidR="00BE36FB" w:rsidRPr="009B7B35" w:rsidRDefault="00BE36FB" w:rsidP="00BE36FB">
            <w:pPr>
              <w:pStyle w:val="TableText"/>
              <w:numPr>
                <w:ilvl w:val="0"/>
                <w:numId w:val="789"/>
              </w:numPr>
              <w:rPr>
                <w:rFonts w:cs="Arial"/>
              </w:rPr>
            </w:pPr>
            <w:r w:rsidRPr="009B7B35">
              <w:rPr>
                <w:rFonts w:cs="Arial"/>
              </w:rPr>
              <w:t>create an attractive and legible environment which establishes character and identity</w:t>
            </w:r>
          </w:p>
          <w:p w14:paraId="7A793E5D" w14:textId="77777777" w:rsidR="00BE36FB" w:rsidRPr="009B7B35" w:rsidRDefault="00BE36FB" w:rsidP="00BE36FB">
            <w:pPr>
              <w:pStyle w:val="TableText"/>
              <w:numPr>
                <w:ilvl w:val="0"/>
                <w:numId w:val="789"/>
              </w:numPr>
              <w:rPr>
                <w:rFonts w:cs="Arial"/>
              </w:rPr>
            </w:pPr>
            <w:r w:rsidRPr="009B7B35">
              <w:rPr>
                <w:rFonts w:cs="Arial"/>
              </w:rPr>
              <w:t>maintain important views and vistas where possible</w:t>
            </w:r>
          </w:p>
          <w:p w14:paraId="185A801B" w14:textId="77777777" w:rsidR="00BE36FB" w:rsidRPr="009B7B35" w:rsidRDefault="00BE36FB" w:rsidP="00BE36FB">
            <w:pPr>
              <w:pStyle w:val="TableText"/>
              <w:numPr>
                <w:ilvl w:val="0"/>
                <w:numId w:val="789"/>
              </w:numPr>
              <w:rPr>
                <w:rFonts w:cs="Arial"/>
              </w:rPr>
            </w:pPr>
            <w:r w:rsidRPr="009B7B35">
              <w:rPr>
                <w:rFonts w:cs="Arial"/>
              </w:rPr>
              <w:t>enhance safety and comfort, and meet user needs</w:t>
            </w:r>
          </w:p>
          <w:p w14:paraId="62F14B45" w14:textId="77777777" w:rsidR="00BE36FB" w:rsidRPr="009B7B35" w:rsidRDefault="00BE36FB" w:rsidP="00BE36FB">
            <w:pPr>
              <w:pStyle w:val="TableText"/>
              <w:numPr>
                <w:ilvl w:val="0"/>
                <w:numId w:val="789"/>
              </w:numPr>
              <w:rPr>
                <w:rFonts w:cs="Arial"/>
              </w:rPr>
            </w:pPr>
            <w:r w:rsidRPr="009B7B35">
              <w:rPr>
                <w:rFonts w:cs="Arial"/>
              </w:rPr>
              <w:t>complement the function of the street in which they are located by reinforcing desired traffic speed and behaviour</w:t>
            </w:r>
          </w:p>
          <w:p w14:paraId="5DE1907F" w14:textId="77777777" w:rsidR="00BE36FB" w:rsidRPr="009B7B35" w:rsidRDefault="00BE36FB" w:rsidP="00BE36FB">
            <w:pPr>
              <w:pStyle w:val="TableText"/>
              <w:numPr>
                <w:ilvl w:val="0"/>
                <w:numId w:val="789"/>
              </w:numPr>
              <w:rPr>
                <w:rFonts w:cs="Arial"/>
              </w:rPr>
            </w:pPr>
            <w:r w:rsidRPr="009B7B35">
              <w:rPr>
                <w:rFonts w:cs="Arial"/>
              </w:rPr>
              <w:t>support safe pedestrian and cycling movement</w:t>
            </w:r>
          </w:p>
          <w:p w14:paraId="317150B3" w14:textId="77777777" w:rsidR="00BE36FB" w:rsidRPr="009B7B35" w:rsidRDefault="00BE36FB" w:rsidP="00BE36FB">
            <w:pPr>
              <w:pStyle w:val="TableText"/>
              <w:numPr>
                <w:ilvl w:val="0"/>
                <w:numId w:val="789"/>
              </w:numPr>
              <w:rPr>
                <w:rFonts w:cs="Arial"/>
              </w:rPr>
            </w:pPr>
            <w:r w:rsidRPr="009B7B35">
              <w:rPr>
                <w:rFonts w:cs="Arial"/>
              </w:rPr>
              <w:t>maximise infiltration of stormwater runoff wherever practicable, and</w:t>
            </w:r>
          </w:p>
          <w:p w14:paraId="6331A077" w14:textId="77777777" w:rsidR="00BE36FB" w:rsidRPr="009B7B35" w:rsidRDefault="00BE36FB" w:rsidP="00BE36FB">
            <w:pPr>
              <w:pStyle w:val="TableText"/>
              <w:numPr>
                <w:ilvl w:val="0"/>
                <w:numId w:val="789"/>
              </w:numPr>
              <w:rPr>
                <w:rFonts w:cs="Arial"/>
              </w:rPr>
            </w:pPr>
            <w:r w:rsidRPr="009B7B35">
              <w:rPr>
                <w:rFonts w:cs="Arial"/>
              </w:rPr>
              <w:t>minimise maintenance and whole of lifecycle costs.</w:t>
            </w:r>
          </w:p>
        </w:tc>
        <w:tc>
          <w:tcPr>
            <w:tcW w:w="4644" w:type="dxa"/>
            <w:shd w:val="clear" w:color="auto" w:fill="FFFFFF" w:themeFill="background1"/>
          </w:tcPr>
          <w:p w14:paraId="01E5F357"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EBF789F" w14:textId="77777777" w:rsidTr="001A7107">
        <w:tc>
          <w:tcPr>
            <w:tcW w:w="4707" w:type="dxa"/>
            <w:shd w:val="clear" w:color="auto" w:fill="FFFFFF" w:themeFill="background1"/>
          </w:tcPr>
          <w:p w14:paraId="52B29F17" w14:textId="77777777" w:rsidR="00BE36FB" w:rsidRPr="009B7B35" w:rsidRDefault="00BE36FB" w:rsidP="001A7107">
            <w:pPr>
              <w:pStyle w:val="TableText"/>
              <w:rPr>
                <w:rFonts w:cs="Arial"/>
                <w:b/>
              </w:rPr>
            </w:pPr>
            <w:r w:rsidRPr="009B7B35">
              <w:rPr>
                <w:rFonts w:cs="Arial"/>
                <w:b/>
              </w:rPr>
              <w:t>PO25</w:t>
            </w:r>
          </w:p>
          <w:p w14:paraId="298E1018" w14:textId="77777777" w:rsidR="00BE36FB" w:rsidRPr="009B7B35" w:rsidRDefault="00BE36FB" w:rsidP="001A7107">
            <w:pPr>
              <w:pStyle w:val="TableText"/>
              <w:rPr>
                <w:rFonts w:cs="Arial"/>
              </w:rPr>
            </w:pPr>
            <w:r w:rsidRPr="009B7B35">
              <w:rPr>
                <w:rFonts w:cs="Arial"/>
              </w:rPr>
              <w:t>Rear lanes:</w:t>
            </w:r>
          </w:p>
          <w:p w14:paraId="4A0C4149" w14:textId="77777777" w:rsidR="00BE36FB" w:rsidRPr="009B7B35" w:rsidRDefault="00BE36FB" w:rsidP="00BE36FB">
            <w:pPr>
              <w:pStyle w:val="TableText"/>
              <w:numPr>
                <w:ilvl w:val="0"/>
                <w:numId w:val="790"/>
              </w:numPr>
              <w:rPr>
                <w:rFonts w:cs="Arial"/>
              </w:rPr>
            </w:pPr>
            <w:r w:rsidRPr="009B7B35">
              <w:rPr>
                <w:rFonts w:cs="Arial"/>
              </w:rPr>
              <w:t>provide appropriate width to enable safe vehicle movement, including service vehicles</w:t>
            </w:r>
          </w:p>
          <w:p w14:paraId="53315BD2" w14:textId="77777777" w:rsidR="00BE36FB" w:rsidRPr="009B7B35" w:rsidRDefault="00BE36FB" w:rsidP="00BE36FB">
            <w:pPr>
              <w:pStyle w:val="TableText"/>
              <w:numPr>
                <w:ilvl w:val="0"/>
                <w:numId w:val="790"/>
              </w:numPr>
              <w:rPr>
                <w:rFonts w:cs="Arial"/>
              </w:rPr>
            </w:pPr>
            <w:r w:rsidRPr="009B7B35">
              <w:rPr>
                <w:rFonts w:cs="Arial"/>
              </w:rPr>
              <w:t>connect to other streets at both ends</w:t>
            </w:r>
          </w:p>
          <w:p w14:paraId="279C5A03" w14:textId="77777777" w:rsidR="00BE36FB" w:rsidRPr="009B7B35" w:rsidRDefault="00BE36FB" w:rsidP="00BE36FB">
            <w:pPr>
              <w:pStyle w:val="TableText"/>
              <w:numPr>
                <w:ilvl w:val="0"/>
                <w:numId w:val="790"/>
              </w:numPr>
              <w:rPr>
                <w:rFonts w:cs="Arial"/>
              </w:rPr>
            </w:pPr>
            <w:r w:rsidRPr="009B7B35">
              <w:rPr>
                <w:rFonts w:cs="Arial"/>
              </w:rPr>
              <w:t>enable safe access into and out of garages</w:t>
            </w:r>
          </w:p>
          <w:p w14:paraId="3435ECF2" w14:textId="77777777" w:rsidR="00BE36FB" w:rsidRPr="009B7B35" w:rsidRDefault="00BE36FB" w:rsidP="00BE36FB">
            <w:pPr>
              <w:pStyle w:val="TableText"/>
              <w:numPr>
                <w:ilvl w:val="0"/>
                <w:numId w:val="790"/>
              </w:numPr>
              <w:rPr>
                <w:rFonts w:cs="Arial"/>
              </w:rPr>
            </w:pPr>
            <w:r w:rsidRPr="009B7B35">
              <w:rPr>
                <w:rFonts w:cs="Arial"/>
              </w:rPr>
              <w:t>avoid a direct through–route alternative for vehicles, cyclists or pedestrians than the adjoining street network</w:t>
            </w:r>
          </w:p>
          <w:p w14:paraId="13CFE12D" w14:textId="77777777" w:rsidR="00BE36FB" w:rsidRPr="009B7B35" w:rsidRDefault="00BE36FB" w:rsidP="00BE36FB">
            <w:pPr>
              <w:pStyle w:val="TableText"/>
              <w:numPr>
                <w:ilvl w:val="0"/>
                <w:numId w:val="790"/>
              </w:numPr>
              <w:rPr>
                <w:rFonts w:cs="Arial"/>
              </w:rPr>
            </w:pPr>
            <w:r w:rsidRPr="009B7B35">
              <w:rPr>
                <w:rFonts w:cs="Arial"/>
              </w:rPr>
              <w:t>ensure rear yards of properties can be fenced for security, and</w:t>
            </w:r>
          </w:p>
          <w:p w14:paraId="28FE25FC" w14:textId="77777777" w:rsidR="00BE36FB" w:rsidRPr="009B7B35" w:rsidRDefault="00BE36FB" w:rsidP="00BE36FB">
            <w:pPr>
              <w:pStyle w:val="TableText"/>
              <w:numPr>
                <w:ilvl w:val="0"/>
                <w:numId w:val="790"/>
              </w:numPr>
              <w:rPr>
                <w:rFonts w:cs="Arial"/>
              </w:rPr>
            </w:pPr>
            <w:r w:rsidRPr="009B7B35">
              <w:rPr>
                <w:rFonts w:cs="Arial"/>
              </w:rPr>
              <w:t>do not provide for visitor parking within the lane.</w:t>
            </w:r>
          </w:p>
          <w:p w14:paraId="3903F596" w14:textId="77777777" w:rsidR="00BE36FB" w:rsidRPr="009B7B35" w:rsidRDefault="00BE36FB" w:rsidP="001A7107">
            <w:pPr>
              <w:pStyle w:val="Notes"/>
              <w:rPr>
                <w:rFonts w:cs="Arial"/>
                <w:sz w:val="20"/>
                <w:szCs w:val="20"/>
              </w:rPr>
            </w:pPr>
            <w:r w:rsidRPr="009B7B35">
              <w:rPr>
                <w:rFonts w:cs="Arial"/>
                <w:sz w:val="20"/>
                <w:szCs w:val="20"/>
              </w:rPr>
              <w:t xml:space="preserve">Note— Applicants should have regard to Crime Prevention through </w:t>
            </w:r>
            <w:r w:rsidRPr="009B7B35">
              <w:rPr>
                <w:rFonts w:cs="Arial"/>
                <w:i/>
                <w:sz w:val="20"/>
                <w:szCs w:val="20"/>
              </w:rPr>
              <w:t>Environmental Design Guidelines for Queensland.</w:t>
            </w:r>
          </w:p>
        </w:tc>
        <w:tc>
          <w:tcPr>
            <w:tcW w:w="4644" w:type="dxa"/>
          </w:tcPr>
          <w:p w14:paraId="67F14871" w14:textId="77777777" w:rsidR="00BE36FB" w:rsidRPr="009B7B35" w:rsidRDefault="00BE36FB" w:rsidP="001A7107">
            <w:pPr>
              <w:pStyle w:val="TableText"/>
              <w:rPr>
                <w:rFonts w:cs="Arial"/>
                <w:b/>
              </w:rPr>
            </w:pPr>
            <w:r w:rsidRPr="009B7B35">
              <w:rPr>
                <w:rFonts w:cs="Arial"/>
                <w:b/>
              </w:rPr>
              <w:t>AO25</w:t>
            </w:r>
          </w:p>
          <w:p w14:paraId="2E7505CC" w14:textId="77777777" w:rsidR="00BE36FB" w:rsidRPr="009B7B35" w:rsidRDefault="00BE36FB" w:rsidP="001A7107">
            <w:pPr>
              <w:pStyle w:val="TableText"/>
              <w:rPr>
                <w:rFonts w:cs="Arial"/>
              </w:rPr>
            </w:pPr>
            <w:r w:rsidRPr="009B7B35">
              <w:rPr>
                <w:rFonts w:cs="Arial"/>
              </w:rPr>
              <w:t xml:space="preserve">Rear lanes are designed in accordance with the </w:t>
            </w:r>
            <w:r w:rsidRPr="009B7B35">
              <w:rPr>
                <w:rStyle w:val="StyleItalic"/>
                <w:rFonts w:cs="Arial"/>
              </w:rPr>
              <w:t>Engineering design planning scheme policy</w:t>
            </w:r>
            <w:r w:rsidRPr="009B7B35">
              <w:rPr>
                <w:rFonts w:cs="Arial"/>
              </w:rPr>
              <w:t>.</w:t>
            </w:r>
          </w:p>
          <w:p w14:paraId="5A6C286B" w14:textId="77777777" w:rsidR="00BE36FB" w:rsidRPr="009B7B35" w:rsidRDefault="00BE36FB" w:rsidP="001A7107">
            <w:pPr>
              <w:pStyle w:val="TableText"/>
              <w:rPr>
                <w:rFonts w:cs="Arial"/>
              </w:rPr>
            </w:pPr>
          </w:p>
          <w:p w14:paraId="02576B63" w14:textId="77777777" w:rsidR="00BE36FB" w:rsidRPr="009B7B35" w:rsidRDefault="00BE36FB" w:rsidP="001A7107">
            <w:pPr>
              <w:pStyle w:val="TableText"/>
              <w:rPr>
                <w:rFonts w:cs="Arial"/>
              </w:rPr>
            </w:pPr>
            <w:r w:rsidRPr="009B7B35">
              <w:rPr>
                <w:rFonts w:cs="Arial"/>
              </w:rPr>
              <w:t xml:space="preserve">Note— In accordance with Councils road hierarchy, rear lanes are to be constructed as access lanes. </w:t>
            </w:r>
          </w:p>
        </w:tc>
      </w:tr>
      <w:tr w:rsidR="00BE36FB" w:rsidRPr="009B7B35" w14:paraId="367E91C6" w14:textId="77777777" w:rsidTr="001A7107">
        <w:tc>
          <w:tcPr>
            <w:tcW w:w="9351" w:type="dxa"/>
            <w:gridSpan w:val="2"/>
            <w:shd w:val="clear" w:color="auto" w:fill="BFBFBF" w:themeFill="background1" w:themeFillShade="BF"/>
          </w:tcPr>
          <w:p w14:paraId="42836CCA" w14:textId="77777777" w:rsidR="00BE36FB" w:rsidRPr="009B7B35" w:rsidRDefault="00BE36FB" w:rsidP="001A7107">
            <w:pPr>
              <w:pStyle w:val="Tableheading"/>
              <w:rPr>
                <w:rFonts w:ascii="Arial" w:hAnsi="Arial" w:cs="Arial"/>
                <w:szCs w:val="20"/>
              </w:rPr>
            </w:pPr>
            <w:r w:rsidRPr="009B7B35">
              <w:rPr>
                <w:rFonts w:ascii="Arial" w:hAnsi="Arial" w:cs="Arial"/>
                <w:szCs w:val="20"/>
              </w:rPr>
              <w:t>Pedestrian and cycle infrastructure</w:t>
            </w:r>
          </w:p>
          <w:p w14:paraId="46F16A0F" w14:textId="77777777" w:rsidR="00BE36FB" w:rsidRPr="009B7B35" w:rsidRDefault="00BE36FB" w:rsidP="001A7107">
            <w:pPr>
              <w:pStyle w:val="Notes"/>
              <w:rPr>
                <w:rFonts w:cs="Arial"/>
                <w:sz w:val="20"/>
                <w:szCs w:val="20"/>
              </w:rPr>
            </w:pPr>
            <w:r w:rsidRPr="009B7B35">
              <w:rPr>
                <w:rFonts w:cs="Arial"/>
                <w:sz w:val="20"/>
                <w:szCs w:val="20"/>
              </w:rPr>
              <w:t>Note—Refer also to the Development design code.</w:t>
            </w:r>
          </w:p>
        </w:tc>
      </w:tr>
      <w:tr w:rsidR="00BE36FB" w:rsidRPr="009B7B35" w14:paraId="6354DDB6" w14:textId="77777777" w:rsidTr="001A7107">
        <w:tc>
          <w:tcPr>
            <w:tcW w:w="4707" w:type="dxa"/>
            <w:shd w:val="clear" w:color="auto" w:fill="FFFFFF" w:themeFill="background1"/>
          </w:tcPr>
          <w:p w14:paraId="30AB27FB"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PO26</w:t>
            </w:r>
          </w:p>
          <w:p w14:paraId="312993DD" w14:textId="77777777" w:rsidR="00BE36FB" w:rsidRPr="009B7B35" w:rsidRDefault="00BE36FB" w:rsidP="001A7107">
            <w:pPr>
              <w:pStyle w:val="TableText"/>
              <w:rPr>
                <w:rFonts w:cs="Arial"/>
              </w:rPr>
            </w:pPr>
            <w:r w:rsidRPr="009B7B35">
              <w:rPr>
                <w:rFonts w:cs="Arial"/>
              </w:rPr>
              <w:t>Reconfiguration includes appropriate pedestrian and cycle infrastructure that:</w:t>
            </w:r>
          </w:p>
          <w:p w14:paraId="231A4A4C" w14:textId="77777777" w:rsidR="00BE36FB" w:rsidRPr="009B7B35" w:rsidRDefault="00BE36FB" w:rsidP="00BE36FB">
            <w:pPr>
              <w:pStyle w:val="TableText"/>
              <w:numPr>
                <w:ilvl w:val="0"/>
                <w:numId w:val="791"/>
              </w:numPr>
              <w:rPr>
                <w:rFonts w:cs="Arial"/>
              </w:rPr>
            </w:pPr>
            <w:r w:rsidRPr="009B7B35">
              <w:rPr>
                <w:rFonts w:cs="Arial"/>
              </w:rPr>
              <w:t>provides a high level of connectivity and permeability that links residential areas with schools; centres, community activity uses; parks, employment areas and public transport stops</w:t>
            </w:r>
          </w:p>
          <w:p w14:paraId="42A10440" w14:textId="77777777" w:rsidR="00BE36FB" w:rsidRPr="009B7B35" w:rsidRDefault="00BE36FB" w:rsidP="00BE36FB">
            <w:pPr>
              <w:pStyle w:val="TableText"/>
              <w:numPr>
                <w:ilvl w:val="0"/>
                <w:numId w:val="791"/>
              </w:numPr>
              <w:rPr>
                <w:rFonts w:cs="Arial"/>
              </w:rPr>
            </w:pPr>
            <w:r w:rsidRPr="009B7B35">
              <w:rPr>
                <w:rFonts w:cs="Arial"/>
              </w:rPr>
              <w:t>provides for safe street crossings and for safety between pedestrians and cyclists</w:t>
            </w:r>
          </w:p>
          <w:p w14:paraId="362CDF65" w14:textId="77777777" w:rsidR="00BE36FB" w:rsidRPr="009B7B35" w:rsidRDefault="00BE36FB" w:rsidP="00BE36FB">
            <w:pPr>
              <w:pStyle w:val="TableText"/>
              <w:numPr>
                <w:ilvl w:val="0"/>
                <w:numId w:val="791"/>
              </w:numPr>
              <w:rPr>
                <w:rFonts w:cs="Arial"/>
              </w:rPr>
            </w:pPr>
            <w:r w:rsidRPr="009B7B35">
              <w:rPr>
                <w:rFonts w:cs="Arial"/>
              </w:rPr>
              <w:t>is designed taking into account topography and convenience for users, and</w:t>
            </w:r>
          </w:p>
          <w:p w14:paraId="7282FEDA" w14:textId="77777777" w:rsidR="00BE36FB" w:rsidRPr="009B7B35" w:rsidRDefault="00BE36FB" w:rsidP="00BE36FB">
            <w:pPr>
              <w:pStyle w:val="TableText"/>
              <w:numPr>
                <w:ilvl w:val="0"/>
                <w:numId w:val="791"/>
              </w:numPr>
              <w:rPr>
                <w:rFonts w:cs="Arial"/>
              </w:rPr>
            </w:pPr>
            <w:r w:rsidRPr="009B7B35">
              <w:rPr>
                <w:rFonts w:cs="Arial"/>
              </w:rPr>
              <w:t>meets disability access standards.</w:t>
            </w:r>
          </w:p>
        </w:tc>
        <w:tc>
          <w:tcPr>
            <w:tcW w:w="4644" w:type="dxa"/>
          </w:tcPr>
          <w:p w14:paraId="2677F73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426E5BF5" w14:textId="77777777" w:rsidTr="001A7107">
        <w:trPr>
          <w:cantSplit/>
          <w:trHeight w:val="42"/>
        </w:trPr>
        <w:tc>
          <w:tcPr>
            <w:tcW w:w="9351" w:type="dxa"/>
            <w:gridSpan w:val="2"/>
            <w:shd w:val="clear" w:color="auto" w:fill="BFBFBF" w:themeFill="background1" w:themeFillShade="BF"/>
          </w:tcPr>
          <w:p w14:paraId="49CA874D" w14:textId="77777777" w:rsidR="00BE36FB" w:rsidRPr="009B7B35" w:rsidRDefault="00BE36FB" w:rsidP="001A7107">
            <w:pPr>
              <w:pStyle w:val="Tableheading"/>
              <w:rPr>
                <w:rFonts w:ascii="Arial" w:hAnsi="Arial" w:cs="Arial"/>
                <w:szCs w:val="20"/>
              </w:rPr>
            </w:pPr>
            <w:r w:rsidRPr="009B7B35">
              <w:rPr>
                <w:rFonts w:ascii="Arial" w:hAnsi="Arial" w:cs="Arial"/>
                <w:szCs w:val="20"/>
              </w:rPr>
              <w:t>Stormwater management</w:t>
            </w:r>
          </w:p>
          <w:p w14:paraId="79B57C4C" w14:textId="77777777" w:rsidR="00BE36FB" w:rsidRPr="009B7B35" w:rsidRDefault="00BE36FB" w:rsidP="001A7107">
            <w:pPr>
              <w:pStyle w:val="Notes"/>
              <w:rPr>
                <w:rFonts w:cs="Arial"/>
                <w:sz w:val="20"/>
                <w:szCs w:val="20"/>
              </w:rPr>
            </w:pPr>
            <w:r w:rsidRPr="009B7B35">
              <w:rPr>
                <w:rFonts w:cs="Arial"/>
                <w:sz w:val="20"/>
                <w:szCs w:val="20"/>
              </w:rPr>
              <w:t>Note—Refer also to the Development design code.</w:t>
            </w:r>
          </w:p>
        </w:tc>
      </w:tr>
      <w:tr w:rsidR="00BE36FB" w:rsidRPr="009B7B35" w14:paraId="62D69070" w14:textId="77777777" w:rsidTr="001A7107">
        <w:tc>
          <w:tcPr>
            <w:tcW w:w="4707" w:type="dxa"/>
            <w:shd w:val="clear" w:color="auto" w:fill="FFFFFF" w:themeFill="background1"/>
          </w:tcPr>
          <w:p w14:paraId="1ECA92A8" w14:textId="77777777" w:rsidR="00BE36FB" w:rsidRPr="009B7B35" w:rsidRDefault="00BE36FB" w:rsidP="001A7107">
            <w:pPr>
              <w:pStyle w:val="TableText"/>
              <w:rPr>
                <w:rStyle w:val="Strong"/>
                <w:rFonts w:eastAsiaTheme="majorEastAsia" w:cs="Arial"/>
              </w:rPr>
            </w:pPr>
            <w:r w:rsidRPr="009B7B35">
              <w:rPr>
                <w:rStyle w:val="Strong"/>
                <w:rFonts w:eastAsiaTheme="majorEastAsia" w:cs="Arial"/>
              </w:rPr>
              <w:t>PO27</w:t>
            </w:r>
          </w:p>
          <w:p w14:paraId="5C6909E7" w14:textId="77777777" w:rsidR="00BE36FB" w:rsidRPr="009B7B35" w:rsidRDefault="00BE36FB" w:rsidP="001A7107">
            <w:pPr>
              <w:pStyle w:val="TableText"/>
              <w:rPr>
                <w:rFonts w:cs="Arial"/>
              </w:rPr>
            </w:pPr>
            <w:r w:rsidRPr="009B7B35">
              <w:rPr>
                <w:rFonts w:cs="Arial"/>
              </w:rPr>
              <w:t>Reconfiguring a lot development:</w:t>
            </w:r>
          </w:p>
          <w:p w14:paraId="44ADB8B6" w14:textId="77777777" w:rsidR="00BE36FB" w:rsidRPr="009B7B35" w:rsidRDefault="00BE36FB" w:rsidP="00BE36FB">
            <w:pPr>
              <w:pStyle w:val="TableText"/>
              <w:numPr>
                <w:ilvl w:val="0"/>
                <w:numId w:val="724"/>
              </w:numPr>
              <w:rPr>
                <w:rFonts w:cs="Arial"/>
              </w:rPr>
            </w:pPr>
            <w:r w:rsidRPr="009B7B35">
              <w:rPr>
                <w:rFonts w:cs="Arial"/>
              </w:rPr>
              <w:t>manages the stormwater quality, quantity and velocity flow characteristics from the lot to maintain or improve the pre–development levels, and</w:t>
            </w:r>
          </w:p>
          <w:p w14:paraId="5793F722" w14:textId="77777777" w:rsidR="00BE36FB" w:rsidRPr="009B7B35" w:rsidRDefault="00BE36FB" w:rsidP="00BE36FB">
            <w:pPr>
              <w:pStyle w:val="TableText"/>
              <w:numPr>
                <w:ilvl w:val="0"/>
                <w:numId w:val="724"/>
              </w:numPr>
              <w:rPr>
                <w:rFonts w:cs="Arial"/>
              </w:rPr>
            </w:pPr>
            <w:r w:rsidRPr="009B7B35">
              <w:rPr>
                <w:rFonts w:cs="Arial"/>
              </w:rPr>
              <w:t>where practicable incorporates stormwater re–use.</w:t>
            </w:r>
          </w:p>
        </w:tc>
        <w:tc>
          <w:tcPr>
            <w:tcW w:w="4644" w:type="dxa"/>
          </w:tcPr>
          <w:p w14:paraId="627CA519"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3C918EDA" w14:textId="77777777" w:rsidTr="001A7107">
        <w:tc>
          <w:tcPr>
            <w:tcW w:w="9351" w:type="dxa"/>
            <w:gridSpan w:val="2"/>
            <w:shd w:val="clear" w:color="auto" w:fill="BFBFBF" w:themeFill="background1" w:themeFillShade="BF"/>
          </w:tcPr>
          <w:p w14:paraId="5C700927" w14:textId="77777777" w:rsidR="00BE36FB" w:rsidRPr="009B7B35" w:rsidRDefault="00BE36FB" w:rsidP="001A7107">
            <w:pPr>
              <w:pStyle w:val="Tableheading"/>
              <w:rPr>
                <w:rFonts w:ascii="Arial" w:hAnsi="Arial" w:cs="Arial"/>
                <w:szCs w:val="20"/>
              </w:rPr>
            </w:pPr>
            <w:r w:rsidRPr="009B7B35">
              <w:rPr>
                <w:rFonts w:ascii="Arial" w:hAnsi="Arial" w:cs="Arial"/>
                <w:szCs w:val="20"/>
              </w:rPr>
              <w:t>Parks and open space</w:t>
            </w:r>
          </w:p>
          <w:p w14:paraId="511C0FA8" w14:textId="77777777" w:rsidR="00BE36FB" w:rsidRPr="009B7B35" w:rsidRDefault="00BE36FB" w:rsidP="001A7107">
            <w:pPr>
              <w:pStyle w:val="Notes"/>
              <w:rPr>
                <w:rFonts w:cs="Arial"/>
                <w:sz w:val="20"/>
                <w:szCs w:val="20"/>
              </w:rPr>
            </w:pPr>
            <w:r w:rsidRPr="009B7B35">
              <w:rPr>
                <w:rFonts w:cs="Arial"/>
                <w:sz w:val="20"/>
                <w:szCs w:val="20"/>
              </w:rPr>
              <w:t>Note—Where acceptable outcomes are set out in this section, it is acknowledged that they may only be practicable in greenfield developments. Alternative outcomes are likely to be appropriate in existing developed areas. This may include works and embellishment to existing parks or recreational corridors to meet the development’s demand, or as part of an infrastructure agreement.</w:t>
            </w:r>
          </w:p>
        </w:tc>
      </w:tr>
      <w:tr w:rsidR="00BE36FB" w:rsidRPr="009B7B35" w14:paraId="7625DFE8" w14:textId="77777777" w:rsidTr="001A7107">
        <w:trPr>
          <w:trHeight w:val="1610"/>
        </w:trPr>
        <w:tc>
          <w:tcPr>
            <w:tcW w:w="4707" w:type="dxa"/>
            <w:shd w:val="clear" w:color="auto" w:fill="FFFFFF" w:themeFill="background1"/>
          </w:tcPr>
          <w:p w14:paraId="37220D79" w14:textId="77777777" w:rsidR="00BE36FB" w:rsidRPr="009B7B35" w:rsidRDefault="00BE36FB" w:rsidP="001A7107">
            <w:pPr>
              <w:pStyle w:val="TableText"/>
              <w:rPr>
                <w:rFonts w:cs="Arial"/>
                <w:b/>
              </w:rPr>
            </w:pPr>
            <w:r w:rsidRPr="009B7B35">
              <w:rPr>
                <w:rFonts w:cs="Arial"/>
                <w:b/>
              </w:rPr>
              <w:t>PO28</w:t>
            </w:r>
          </w:p>
          <w:p w14:paraId="306BB15A" w14:textId="77777777" w:rsidR="00BE36FB" w:rsidRPr="009B7B35" w:rsidRDefault="00BE36FB" w:rsidP="001A7107">
            <w:pPr>
              <w:pStyle w:val="TableText"/>
              <w:rPr>
                <w:rFonts w:cs="Arial"/>
              </w:rPr>
            </w:pPr>
            <w:r w:rsidRPr="009B7B35">
              <w:rPr>
                <w:rFonts w:cs="Arial"/>
              </w:rPr>
              <w:t>Reconfiguring a lot provides parkland or open space which:</w:t>
            </w:r>
          </w:p>
          <w:p w14:paraId="2E7F8DBB" w14:textId="77777777" w:rsidR="00BE36FB" w:rsidRPr="009B7B35" w:rsidRDefault="00BE36FB" w:rsidP="00BE36FB">
            <w:pPr>
              <w:pStyle w:val="TableText"/>
              <w:numPr>
                <w:ilvl w:val="0"/>
                <w:numId w:val="710"/>
              </w:numPr>
              <w:rPr>
                <w:rFonts w:cs="Arial"/>
              </w:rPr>
            </w:pPr>
            <w:r w:rsidRPr="009B7B35">
              <w:rPr>
                <w:rFonts w:cs="Arial"/>
              </w:rPr>
              <w:t>meets the needs of the community for a range of active and passive uses, and</w:t>
            </w:r>
          </w:p>
          <w:p w14:paraId="6E6D1613" w14:textId="77777777" w:rsidR="00BE36FB" w:rsidRPr="009B7B35" w:rsidRDefault="00BE36FB" w:rsidP="00BE36FB">
            <w:pPr>
              <w:pStyle w:val="TableText"/>
              <w:numPr>
                <w:ilvl w:val="0"/>
                <w:numId w:val="710"/>
              </w:numPr>
              <w:rPr>
                <w:rFonts w:cs="Arial"/>
              </w:rPr>
            </w:pPr>
            <w:r w:rsidRPr="009B7B35">
              <w:rPr>
                <w:rFonts w:cs="Arial"/>
              </w:rPr>
              <w:t>is of a sufficient size and shape to accommodate recreation activities with associated equipment and facilities.</w:t>
            </w:r>
          </w:p>
        </w:tc>
        <w:tc>
          <w:tcPr>
            <w:tcW w:w="4644" w:type="dxa"/>
          </w:tcPr>
          <w:p w14:paraId="69F4BA41" w14:textId="77777777" w:rsidR="00BE36FB" w:rsidRPr="009B7B35" w:rsidRDefault="00BE36FB" w:rsidP="001A7107">
            <w:pPr>
              <w:pStyle w:val="TableText"/>
              <w:rPr>
                <w:rFonts w:cs="Arial"/>
                <w:b/>
              </w:rPr>
            </w:pPr>
            <w:r w:rsidRPr="009B7B35">
              <w:rPr>
                <w:rFonts w:cs="Arial"/>
                <w:b/>
              </w:rPr>
              <w:t>AO28</w:t>
            </w:r>
          </w:p>
          <w:p w14:paraId="6C9A4A6B" w14:textId="77777777" w:rsidR="00BE36FB" w:rsidRPr="009B7B35" w:rsidRDefault="00BE36FB" w:rsidP="001A7107">
            <w:pPr>
              <w:pStyle w:val="TableText"/>
              <w:rPr>
                <w:rFonts w:cs="Arial"/>
              </w:rPr>
            </w:pPr>
            <w:r w:rsidRPr="009B7B35">
              <w:rPr>
                <w:rFonts w:cs="Arial"/>
              </w:rPr>
              <w:t>Parkland is provided in accordance with the Local Government Infrastructure Plan.</w:t>
            </w:r>
          </w:p>
        </w:tc>
      </w:tr>
      <w:tr w:rsidR="00BE36FB" w:rsidRPr="009B7B35" w14:paraId="531FF5C4" w14:textId="77777777" w:rsidTr="001A7107">
        <w:tc>
          <w:tcPr>
            <w:tcW w:w="4707" w:type="dxa"/>
            <w:shd w:val="clear" w:color="auto" w:fill="FFFFFF" w:themeFill="background1"/>
          </w:tcPr>
          <w:p w14:paraId="260BBCFF" w14:textId="77777777" w:rsidR="00BE36FB" w:rsidRPr="009B7B35" w:rsidRDefault="00BE36FB" w:rsidP="001A7107">
            <w:pPr>
              <w:pStyle w:val="TableText"/>
              <w:rPr>
                <w:rFonts w:cs="Arial"/>
                <w:b/>
              </w:rPr>
            </w:pPr>
            <w:r w:rsidRPr="009B7B35">
              <w:rPr>
                <w:rFonts w:cs="Arial"/>
                <w:b/>
              </w:rPr>
              <w:t>PO29</w:t>
            </w:r>
          </w:p>
          <w:p w14:paraId="2B5E43E7" w14:textId="77777777" w:rsidR="00BE36FB" w:rsidRPr="009B7B35" w:rsidRDefault="00BE36FB" w:rsidP="001A7107">
            <w:pPr>
              <w:pStyle w:val="TableText"/>
              <w:rPr>
                <w:rFonts w:cs="Arial"/>
              </w:rPr>
            </w:pPr>
            <w:r w:rsidRPr="009B7B35">
              <w:rPr>
                <w:rFonts w:cs="Arial"/>
              </w:rPr>
              <w:t>The design of parkland or open space:</w:t>
            </w:r>
          </w:p>
          <w:p w14:paraId="5A5FB069" w14:textId="77777777" w:rsidR="00BE36FB" w:rsidRPr="009B7B35" w:rsidRDefault="00BE36FB" w:rsidP="00BE36FB">
            <w:pPr>
              <w:pStyle w:val="TableText"/>
              <w:numPr>
                <w:ilvl w:val="0"/>
                <w:numId w:val="723"/>
              </w:numPr>
              <w:rPr>
                <w:rFonts w:cs="Arial"/>
              </w:rPr>
            </w:pPr>
            <w:r w:rsidRPr="009B7B35">
              <w:rPr>
                <w:rFonts w:cs="Arial"/>
              </w:rPr>
              <w:t>contributes to the character of the neighbourhood or area</w:t>
            </w:r>
          </w:p>
          <w:p w14:paraId="23FF8E87" w14:textId="77777777" w:rsidR="00BE36FB" w:rsidRPr="009B7B35" w:rsidRDefault="00BE36FB" w:rsidP="00BE36FB">
            <w:pPr>
              <w:pStyle w:val="TableText"/>
              <w:numPr>
                <w:ilvl w:val="0"/>
                <w:numId w:val="723"/>
              </w:numPr>
              <w:rPr>
                <w:rFonts w:cs="Arial"/>
              </w:rPr>
            </w:pPr>
            <w:r w:rsidRPr="009B7B35">
              <w:rPr>
                <w:rFonts w:cs="Arial"/>
              </w:rPr>
              <w:t>is safe and functions as a focal point for the neighbourhood or community</w:t>
            </w:r>
          </w:p>
          <w:p w14:paraId="1E0B977A" w14:textId="77777777" w:rsidR="00BE36FB" w:rsidRPr="009B7B35" w:rsidRDefault="00BE36FB" w:rsidP="00BE36FB">
            <w:pPr>
              <w:pStyle w:val="TableText"/>
              <w:numPr>
                <w:ilvl w:val="0"/>
                <w:numId w:val="723"/>
              </w:numPr>
              <w:rPr>
                <w:rFonts w:cs="Arial"/>
              </w:rPr>
            </w:pPr>
            <w:r w:rsidRPr="009B7B35">
              <w:rPr>
                <w:rFonts w:cs="Arial"/>
              </w:rPr>
              <w:t>minimises the interface between residential lots and open space through appropriate treatments including alignment, fencing and landscaping</w:t>
            </w:r>
          </w:p>
          <w:p w14:paraId="3DBEF345" w14:textId="77777777" w:rsidR="00BE36FB" w:rsidRPr="009B7B35" w:rsidRDefault="00BE36FB" w:rsidP="00BE36FB">
            <w:pPr>
              <w:pStyle w:val="TableText"/>
              <w:numPr>
                <w:ilvl w:val="0"/>
                <w:numId w:val="723"/>
              </w:numPr>
              <w:rPr>
                <w:rFonts w:cs="Arial"/>
              </w:rPr>
            </w:pPr>
            <w:r w:rsidRPr="009B7B35">
              <w:rPr>
                <w:rFonts w:cs="Arial"/>
              </w:rPr>
              <w:t>maximises road frontage to facilitate casual surveillance</w:t>
            </w:r>
          </w:p>
          <w:p w14:paraId="618770A3" w14:textId="77777777" w:rsidR="00BE36FB" w:rsidRPr="009B7B35" w:rsidRDefault="00BE36FB" w:rsidP="00BE36FB">
            <w:pPr>
              <w:pStyle w:val="TableText"/>
              <w:numPr>
                <w:ilvl w:val="0"/>
                <w:numId w:val="723"/>
              </w:numPr>
              <w:rPr>
                <w:rFonts w:cs="Arial"/>
              </w:rPr>
            </w:pPr>
            <w:r w:rsidRPr="009B7B35">
              <w:rPr>
                <w:rFonts w:cs="Arial"/>
              </w:rPr>
              <w:t>incorporates natural areas including important local vegetation, waterways, ridgelines, coastal access, wetlands</w:t>
            </w:r>
          </w:p>
          <w:p w14:paraId="23F8FD80" w14:textId="77777777" w:rsidR="00BE36FB" w:rsidRPr="009B7B35" w:rsidRDefault="00BE36FB" w:rsidP="00BE36FB">
            <w:pPr>
              <w:pStyle w:val="TableText"/>
              <w:numPr>
                <w:ilvl w:val="0"/>
                <w:numId w:val="723"/>
              </w:numPr>
              <w:rPr>
                <w:rFonts w:cs="Arial"/>
              </w:rPr>
            </w:pPr>
            <w:r w:rsidRPr="009B7B35">
              <w:rPr>
                <w:rFonts w:cs="Arial"/>
              </w:rPr>
              <w:t>preserves landscape features important to the scenic amenity of a locality</w:t>
            </w:r>
          </w:p>
          <w:p w14:paraId="2221DAA3" w14:textId="77777777" w:rsidR="00BE36FB" w:rsidRPr="009B7B35" w:rsidRDefault="00BE36FB" w:rsidP="00BE36FB">
            <w:pPr>
              <w:pStyle w:val="TableText"/>
              <w:numPr>
                <w:ilvl w:val="0"/>
                <w:numId w:val="723"/>
              </w:numPr>
              <w:rPr>
                <w:rFonts w:cs="Arial"/>
              </w:rPr>
            </w:pPr>
            <w:r w:rsidRPr="009B7B35">
              <w:rPr>
                <w:rFonts w:cs="Arial"/>
              </w:rPr>
              <w:t>is linked to existing parkland or open space networks wherever possible</w:t>
            </w:r>
          </w:p>
          <w:p w14:paraId="07CD6F78" w14:textId="77777777" w:rsidR="00BE36FB" w:rsidRPr="009B7B35" w:rsidRDefault="00BE36FB" w:rsidP="00BE36FB">
            <w:pPr>
              <w:pStyle w:val="TableText"/>
              <w:numPr>
                <w:ilvl w:val="0"/>
                <w:numId w:val="723"/>
              </w:numPr>
              <w:rPr>
                <w:rFonts w:cs="Arial"/>
              </w:rPr>
            </w:pPr>
            <w:r w:rsidRPr="009B7B35">
              <w:rPr>
                <w:rFonts w:cs="Arial"/>
              </w:rPr>
              <w:t>offers a broad range of informal and formal experiences to the community</w:t>
            </w:r>
          </w:p>
          <w:p w14:paraId="6F39F04F" w14:textId="77777777" w:rsidR="00BE36FB" w:rsidRPr="009B7B35" w:rsidRDefault="00BE36FB" w:rsidP="00BE36FB">
            <w:pPr>
              <w:pStyle w:val="TableText"/>
              <w:numPr>
                <w:ilvl w:val="0"/>
                <w:numId w:val="723"/>
              </w:numPr>
              <w:rPr>
                <w:rFonts w:cs="Arial"/>
              </w:rPr>
            </w:pPr>
            <w:r w:rsidRPr="009B7B35">
              <w:rPr>
                <w:rFonts w:cs="Arial"/>
              </w:rPr>
              <w:t>is cost effective to maintain, and</w:t>
            </w:r>
          </w:p>
          <w:p w14:paraId="1CC4FCDD" w14:textId="77777777" w:rsidR="00BE36FB" w:rsidRPr="009B7B35" w:rsidRDefault="00BE36FB" w:rsidP="00BE36FB">
            <w:pPr>
              <w:pStyle w:val="TableText"/>
              <w:numPr>
                <w:ilvl w:val="0"/>
                <w:numId w:val="723"/>
              </w:numPr>
              <w:rPr>
                <w:rFonts w:cs="Arial"/>
              </w:rPr>
            </w:pPr>
            <w:r w:rsidRPr="009B7B35">
              <w:rPr>
                <w:rFonts w:cs="Arial"/>
              </w:rPr>
              <w:t>is provided in the early stages of staged developments.</w:t>
            </w:r>
          </w:p>
        </w:tc>
        <w:tc>
          <w:tcPr>
            <w:tcW w:w="4644" w:type="dxa"/>
            <w:shd w:val="clear" w:color="auto" w:fill="FFFFFF" w:themeFill="background1"/>
          </w:tcPr>
          <w:p w14:paraId="4C256EFE"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269B43D1" w14:textId="77777777" w:rsidTr="001A7107">
        <w:trPr>
          <w:cantSplit/>
        </w:trPr>
        <w:tc>
          <w:tcPr>
            <w:tcW w:w="4707" w:type="dxa"/>
            <w:shd w:val="clear" w:color="auto" w:fill="FFFFFF" w:themeFill="background1"/>
          </w:tcPr>
          <w:p w14:paraId="0C2444D6" w14:textId="77777777" w:rsidR="00BE36FB" w:rsidRPr="009B7B35" w:rsidRDefault="00BE36FB" w:rsidP="001A7107">
            <w:pPr>
              <w:pStyle w:val="TableText"/>
              <w:rPr>
                <w:rFonts w:cs="Arial"/>
                <w:b/>
              </w:rPr>
            </w:pPr>
            <w:r w:rsidRPr="009B7B35">
              <w:rPr>
                <w:rFonts w:cs="Arial"/>
                <w:b/>
              </w:rPr>
              <w:t>PO30</w:t>
            </w:r>
          </w:p>
          <w:p w14:paraId="6671770B" w14:textId="77777777" w:rsidR="00BE36FB" w:rsidRPr="009B7B35" w:rsidRDefault="00BE36FB" w:rsidP="001A7107">
            <w:pPr>
              <w:pStyle w:val="TableText"/>
              <w:rPr>
                <w:rFonts w:cs="Arial"/>
              </w:rPr>
            </w:pPr>
            <w:r w:rsidRPr="009B7B35">
              <w:rPr>
                <w:rFonts w:cs="Arial"/>
              </w:rPr>
              <w:t>The location of parkland or open space is conveniently located to residential neighbourhoods.</w:t>
            </w:r>
          </w:p>
        </w:tc>
        <w:tc>
          <w:tcPr>
            <w:tcW w:w="4644" w:type="dxa"/>
          </w:tcPr>
          <w:p w14:paraId="29F0CEC5" w14:textId="77777777" w:rsidR="00BE36FB" w:rsidRPr="009B7B35" w:rsidRDefault="00BE36FB" w:rsidP="001A7107">
            <w:pPr>
              <w:pStyle w:val="TableText"/>
              <w:rPr>
                <w:rFonts w:cs="Arial"/>
                <w:b/>
              </w:rPr>
            </w:pPr>
            <w:r w:rsidRPr="009B7B35">
              <w:rPr>
                <w:rFonts w:cs="Arial"/>
                <w:b/>
              </w:rPr>
              <w:t>AO30</w:t>
            </w:r>
          </w:p>
          <w:p w14:paraId="16391304" w14:textId="77777777" w:rsidR="00BE36FB" w:rsidRPr="009B7B35" w:rsidRDefault="00BE36FB" w:rsidP="001A7107">
            <w:pPr>
              <w:pStyle w:val="TableText"/>
              <w:rPr>
                <w:rFonts w:cs="Arial"/>
              </w:rPr>
            </w:pPr>
            <w:r w:rsidRPr="009B7B35">
              <w:rPr>
                <w:rFonts w:cs="Arial"/>
              </w:rPr>
              <w:t>Parkland is provided within 400m of all residential dwellings.</w:t>
            </w:r>
          </w:p>
        </w:tc>
      </w:tr>
      <w:tr w:rsidR="00BE36FB" w:rsidRPr="009B7B35" w14:paraId="58E0D03A" w14:textId="77777777" w:rsidTr="001A7107">
        <w:tc>
          <w:tcPr>
            <w:tcW w:w="4707" w:type="dxa"/>
            <w:shd w:val="clear" w:color="auto" w:fill="FFFFFF" w:themeFill="background1"/>
          </w:tcPr>
          <w:p w14:paraId="2D8567B8" w14:textId="77777777" w:rsidR="00BE36FB" w:rsidRPr="009B7B35" w:rsidRDefault="00BE36FB" w:rsidP="001A7107">
            <w:pPr>
              <w:pStyle w:val="TableText"/>
              <w:rPr>
                <w:rFonts w:cs="Arial"/>
                <w:b/>
              </w:rPr>
            </w:pPr>
            <w:r w:rsidRPr="009B7B35">
              <w:rPr>
                <w:rFonts w:cs="Arial"/>
                <w:b/>
              </w:rPr>
              <w:t>PO31</w:t>
            </w:r>
          </w:p>
          <w:p w14:paraId="71E8B98F" w14:textId="77777777" w:rsidR="00BE36FB" w:rsidRPr="009B7B35" w:rsidRDefault="00BE36FB" w:rsidP="001A7107">
            <w:pPr>
              <w:pStyle w:val="TableText"/>
              <w:rPr>
                <w:rFonts w:cs="Arial"/>
              </w:rPr>
            </w:pPr>
            <w:r w:rsidRPr="009B7B35">
              <w:rPr>
                <w:rFonts w:cs="Arial"/>
              </w:rPr>
              <w:t>Open space for conservation purposes protects riparian corridors, beach front vegetation, endangered plant communities and wildlife habitat and movement corridors.</w:t>
            </w:r>
          </w:p>
        </w:tc>
        <w:tc>
          <w:tcPr>
            <w:tcW w:w="4644" w:type="dxa"/>
            <w:shd w:val="clear" w:color="auto" w:fill="FFFFFF" w:themeFill="background1"/>
          </w:tcPr>
          <w:p w14:paraId="08239A3D"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1B019B3C" w14:textId="77777777" w:rsidTr="001A7107">
        <w:tc>
          <w:tcPr>
            <w:tcW w:w="9351" w:type="dxa"/>
            <w:gridSpan w:val="2"/>
            <w:shd w:val="clear" w:color="auto" w:fill="BFBFBF" w:themeFill="background1" w:themeFillShade="BF"/>
          </w:tcPr>
          <w:p w14:paraId="43A13882" w14:textId="77777777" w:rsidR="00BE36FB" w:rsidRPr="009B7B35" w:rsidRDefault="00BE36FB" w:rsidP="001A7107">
            <w:pPr>
              <w:pStyle w:val="Tableheading"/>
              <w:rPr>
                <w:rFonts w:ascii="Arial" w:hAnsi="Arial" w:cs="Arial"/>
                <w:szCs w:val="20"/>
              </w:rPr>
            </w:pPr>
            <w:r w:rsidRPr="009B7B35">
              <w:rPr>
                <w:rFonts w:ascii="Arial" w:hAnsi="Arial" w:cs="Arial"/>
                <w:szCs w:val="20"/>
              </w:rPr>
              <w:t>Volumetric reconfiguration</w:t>
            </w:r>
          </w:p>
        </w:tc>
      </w:tr>
      <w:tr w:rsidR="00BE36FB" w:rsidRPr="009B7B35" w14:paraId="34251A25" w14:textId="77777777" w:rsidTr="001A7107">
        <w:tc>
          <w:tcPr>
            <w:tcW w:w="4707" w:type="dxa"/>
            <w:shd w:val="clear" w:color="auto" w:fill="FFFFFF" w:themeFill="background1"/>
          </w:tcPr>
          <w:p w14:paraId="27AD15A1" w14:textId="77777777" w:rsidR="00BE36FB" w:rsidRPr="009B7B35" w:rsidRDefault="00BE36FB" w:rsidP="001A7107">
            <w:pPr>
              <w:pStyle w:val="TableText"/>
              <w:rPr>
                <w:rFonts w:cs="Arial"/>
                <w:b/>
              </w:rPr>
            </w:pPr>
            <w:r w:rsidRPr="009B7B35">
              <w:rPr>
                <w:rFonts w:cs="Arial"/>
                <w:b/>
              </w:rPr>
              <w:t>PO32</w:t>
            </w:r>
          </w:p>
          <w:p w14:paraId="36238A3F" w14:textId="77777777" w:rsidR="00BE36FB" w:rsidRPr="009B7B35" w:rsidRDefault="00BE36FB" w:rsidP="001A7107">
            <w:pPr>
              <w:pStyle w:val="TableText"/>
              <w:rPr>
                <w:rFonts w:cs="Arial"/>
              </w:rPr>
            </w:pPr>
            <w:r w:rsidRPr="009B7B35">
              <w:rPr>
                <w:rFonts w:cs="Arial"/>
              </w:rPr>
              <w:t xml:space="preserve">Volumetric reconfiguration (subdivision of space above or below the surface of land): </w:t>
            </w:r>
          </w:p>
          <w:p w14:paraId="0C7B54AD" w14:textId="77777777" w:rsidR="00BE36FB" w:rsidRPr="009B7B35" w:rsidRDefault="00BE36FB" w:rsidP="00BE36FB">
            <w:pPr>
              <w:pStyle w:val="TableText"/>
              <w:numPr>
                <w:ilvl w:val="0"/>
                <w:numId w:val="792"/>
              </w:numPr>
              <w:rPr>
                <w:rFonts w:cs="Arial"/>
              </w:rPr>
            </w:pPr>
            <w:r w:rsidRPr="009B7B35">
              <w:rPr>
                <w:rFonts w:cs="Arial"/>
              </w:rPr>
              <w:t xml:space="preserve">facilitates efficient development that is consistent with the intent for the zone, or </w:t>
            </w:r>
          </w:p>
          <w:p w14:paraId="726C36C1" w14:textId="77777777" w:rsidR="00BE36FB" w:rsidRPr="009B7B35" w:rsidRDefault="00BE36FB" w:rsidP="00BE36FB">
            <w:pPr>
              <w:pStyle w:val="TableText"/>
              <w:numPr>
                <w:ilvl w:val="0"/>
                <w:numId w:val="792"/>
              </w:numPr>
              <w:rPr>
                <w:rFonts w:cs="Arial"/>
              </w:rPr>
            </w:pPr>
            <w:r w:rsidRPr="009B7B35">
              <w:rPr>
                <w:rFonts w:cs="Arial"/>
              </w:rPr>
              <w:t>is consistent with a development approval.</w:t>
            </w:r>
          </w:p>
        </w:tc>
        <w:tc>
          <w:tcPr>
            <w:tcW w:w="4644" w:type="dxa"/>
            <w:shd w:val="clear" w:color="auto" w:fill="FFFFFF" w:themeFill="background1"/>
          </w:tcPr>
          <w:p w14:paraId="3C7D7603" w14:textId="77777777" w:rsidR="00BE36FB" w:rsidRPr="009B7B35" w:rsidRDefault="00BE36FB" w:rsidP="001A7107">
            <w:pPr>
              <w:pStyle w:val="TableText"/>
              <w:rPr>
                <w:rFonts w:cs="Arial"/>
              </w:rPr>
            </w:pPr>
            <w:r w:rsidRPr="009B7B35">
              <w:rPr>
                <w:rFonts w:cs="Arial"/>
              </w:rPr>
              <w:t>No acceptable outcome is nominated.</w:t>
            </w:r>
          </w:p>
        </w:tc>
      </w:tr>
      <w:tr w:rsidR="00BE36FB" w:rsidRPr="009B7B35" w14:paraId="67AA503B" w14:textId="77777777" w:rsidTr="001A7107">
        <w:trPr>
          <w:cantSplit/>
        </w:trPr>
        <w:tc>
          <w:tcPr>
            <w:tcW w:w="9351" w:type="dxa"/>
            <w:gridSpan w:val="2"/>
            <w:shd w:val="clear" w:color="auto" w:fill="BFBFBF" w:themeFill="background1" w:themeFillShade="BF"/>
          </w:tcPr>
          <w:p w14:paraId="0E68DB1B" w14:textId="77777777" w:rsidR="00BE36FB" w:rsidRPr="009B7B35" w:rsidRDefault="00BE36FB" w:rsidP="001A7107">
            <w:pPr>
              <w:pStyle w:val="Tableheading"/>
              <w:rPr>
                <w:rFonts w:ascii="Arial" w:hAnsi="Arial" w:cs="Arial"/>
                <w:szCs w:val="20"/>
              </w:rPr>
            </w:pPr>
            <w:r w:rsidRPr="009B7B35">
              <w:rPr>
                <w:rFonts w:ascii="Arial" w:hAnsi="Arial" w:cs="Arial"/>
                <w:szCs w:val="20"/>
              </w:rPr>
              <w:t>Access easement</w:t>
            </w:r>
          </w:p>
        </w:tc>
      </w:tr>
      <w:tr w:rsidR="00BE36FB" w:rsidRPr="009B7B35" w14:paraId="6745A947" w14:textId="77777777" w:rsidTr="001A7107">
        <w:trPr>
          <w:cantSplit/>
        </w:trPr>
        <w:tc>
          <w:tcPr>
            <w:tcW w:w="4707" w:type="dxa"/>
            <w:shd w:val="clear" w:color="auto" w:fill="FFFFFF" w:themeFill="background1"/>
          </w:tcPr>
          <w:p w14:paraId="0BD4D4D5" w14:textId="77777777" w:rsidR="00BE36FB" w:rsidRPr="009B7B35" w:rsidRDefault="00BE36FB" w:rsidP="001A7107">
            <w:pPr>
              <w:pStyle w:val="TableText"/>
              <w:rPr>
                <w:rFonts w:cs="Arial"/>
                <w:b/>
              </w:rPr>
            </w:pPr>
            <w:r w:rsidRPr="009B7B35">
              <w:rPr>
                <w:rFonts w:cs="Arial"/>
                <w:b/>
              </w:rPr>
              <w:t>PO33</w:t>
            </w:r>
          </w:p>
          <w:p w14:paraId="7EF5AA58" w14:textId="77777777" w:rsidR="00BE36FB" w:rsidRPr="009B7B35" w:rsidRDefault="00BE36FB" w:rsidP="001A7107">
            <w:pPr>
              <w:pStyle w:val="TableText"/>
              <w:rPr>
                <w:rFonts w:cs="Arial"/>
              </w:rPr>
            </w:pPr>
            <w:r w:rsidRPr="009B7B35">
              <w:rPr>
                <w:rFonts w:cs="Arial"/>
              </w:rPr>
              <w:t>The access easement must:</w:t>
            </w:r>
          </w:p>
          <w:p w14:paraId="3194F04D" w14:textId="77777777" w:rsidR="00BE36FB" w:rsidRPr="009B7B35" w:rsidRDefault="00BE36FB" w:rsidP="00BE36FB">
            <w:pPr>
              <w:pStyle w:val="TableText"/>
              <w:numPr>
                <w:ilvl w:val="0"/>
                <w:numId w:val="793"/>
              </w:numPr>
              <w:rPr>
                <w:rFonts w:cs="Arial"/>
              </w:rPr>
            </w:pPr>
            <w:r w:rsidRPr="009B7B35">
              <w:rPr>
                <w:rFonts w:cs="Arial"/>
              </w:rPr>
              <w:t>be of adequate width</w:t>
            </w:r>
          </w:p>
          <w:p w14:paraId="39D3770A" w14:textId="77777777" w:rsidR="00BE36FB" w:rsidRPr="009B7B35" w:rsidRDefault="00BE36FB" w:rsidP="00BE36FB">
            <w:pPr>
              <w:pStyle w:val="TableText"/>
              <w:numPr>
                <w:ilvl w:val="0"/>
                <w:numId w:val="793"/>
              </w:numPr>
              <w:rPr>
                <w:rFonts w:cs="Arial"/>
              </w:rPr>
            </w:pPr>
            <w:r w:rsidRPr="009B7B35">
              <w:rPr>
                <w:rFonts w:cs="Arial"/>
              </w:rPr>
              <w:t>be constructed to a standard appropriate to the situation, and</w:t>
            </w:r>
          </w:p>
          <w:p w14:paraId="008A95E6" w14:textId="77777777" w:rsidR="00BE36FB" w:rsidRPr="009B7B35" w:rsidRDefault="00BE36FB" w:rsidP="00BE36FB">
            <w:pPr>
              <w:pStyle w:val="TableText"/>
              <w:numPr>
                <w:ilvl w:val="0"/>
                <w:numId w:val="793"/>
              </w:numPr>
              <w:rPr>
                <w:rFonts w:cs="Arial"/>
              </w:rPr>
            </w:pPr>
            <w:r w:rsidRPr="009B7B35">
              <w:rPr>
                <w:rFonts w:cs="Arial"/>
              </w:rPr>
              <w:t>not result in unreasonable detriment or nuisance to neighbours.</w:t>
            </w:r>
          </w:p>
        </w:tc>
        <w:tc>
          <w:tcPr>
            <w:tcW w:w="4644" w:type="dxa"/>
            <w:shd w:val="clear" w:color="auto" w:fill="FFFFFF" w:themeFill="background1"/>
          </w:tcPr>
          <w:p w14:paraId="5FA5552C" w14:textId="77777777" w:rsidR="00BE36FB" w:rsidRPr="009B7B35" w:rsidRDefault="00BE36FB" w:rsidP="001A7107">
            <w:pPr>
              <w:pStyle w:val="TableText"/>
              <w:rPr>
                <w:rFonts w:cs="Arial"/>
                <w:b/>
              </w:rPr>
            </w:pPr>
            <w:r w:rsidRPr="009B7B35">
              <w:rPr>
                <w:rFonts w:cs="Arial"/>
                <w:b/>
              </w:rPr>
              <w:t>AO33</w:t>
            </w:r>
          </w:p>
          <w:p w14:paraId="64C150CD" w14:textId="77777777" w:rsidR="00BE36FB" w:rsidRPr="009B7B35" w:rsidRDefault="00BE36FB" w:rsidP="001A7107">
            <w:pPr>
              <w:pStyle w:val="TableText"/>
              <w:rPr>
                <w:rFonts w:cs="Arial"/>
              </w:rPr>
            </w:pPr>
            <w:r w:rsidRPr="009B7B35">
              <w:rPr>
                <w:rFonts w:cs="Arial"/>
              </w:rPr>
              <w:t xml:space="preserve">The access easement is designed in accordance with the design requirements of the </w:t>
            </w:r>
            <w:r w:rsidRPr="009B7B35">
              <w:rPr>
                <w:rStyle w:val="StyleItalic"/>
                <w:rFonts w:cs="Arial"/>
              </w:rPr>
              <w:t>Engineering design planning scheme policy</w:t>
            </w:r>
            <w:r w:rsidRPr="009B7B35">
              <w:rPr>
                <w:rFonts w:cs="Arial"/>
              </w:rPr>
              <w:t>.</w:t>
            </w:r>
          </w:p>
        </w:tc>
      </w:tr>
      <w:tr w:rsidR="00BE36FB" w:rsidRPr="009B7B35" w14:paraId="0D9A8585" w14:textId="77777777" w:rsidTr="001A7107">
        <w:trPr>
          <w:cantSplit/>
        </w:trPr>
        <w:tc>
          <w:tcPr>
            <w:tcW w:w="9351" w:type="dxa"/>
            <w:gridSpan w:val="2"/>
            <w:shd w:val="clear" w:color="auto" w:fill="BFBFBF" w:themeFill="background1" w:themeFillShade="BF"/>
          </w:tcPr>
          <w:p w14:paraId="767BFCB4"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Community title subdivisions </w:t>
            </w:r>
          </w:p>
        </w:tc>
      </w:tr>
      <w:tr w:rsidR="00BE36FB" w:rsidRPr="009B7B35" w14:paraId="5C734F53" w14:textId="77777777" w:rsidTr="001A7107">
        <w:trPr>
          <w:cantSplit/>
        </w:trPr>
        <w:tc>
          <w:tcPr>
            <w:tcW w:w="4707" w:type="dxa"/>
            <w:shd w:val="clear" w:color="auto" w:fill="FFFFFF" w:themeFill="background1"/>
          </w:tcPr>
          <w:p w14:paraId="7C010A2B" w14:textId="77777777" w:rsidR="00BE36FB" w:rsidRPr="009B7B35" w:rsidRDefault="00BE36FB" w:rsidP="001A7107">
            <w:pPr>
              <w:pStyle w:val="TableText"/>
              <w:rPr>
                <w:rFonts w:cs="Arial"/>
                <w:b/>
              </w:rPr>
            </w:pPr>
            <w:r w:rsidRPr="009B7B35">
              <w:rPr>
                <w:rFonts w:cs="Arial"/>
                <w:b/>
              </w:rPr>
              <w:t>PO34</w:t>
            </w:r>
          </w:p>
          <w:p w14:paraId="4EEFFF11" w14:textId="77777777" w:rsidR="00BE36FB" w:rsidRPr="009B7B35" w:rsidRDefault="00BE36FB" w:rsidP="001A7107">
            <w:pPr>
              <w:pStyle w:val="TableText"/>
              <w:rPr>
                <w:rFonts w:cs="Arial"/>
              </w:rPr>
            </w:pPr>
            <w:r w:rsidRPr="009B7B35">
              <w:rPr>
                <w:rFonts w:cs="Arial"/>
              </w:rPr>
              <w:t>Community title subdivisions are only supported in instances where:</w:t>
            </w:r>
          </w:p>
          <w:p w14:paraId="68191B4C" w14:textId="77777777" w:rsidR="00BE36FB" w:rsidRPr="009B7B35" w:rsidRDefault="00BE36FB" w:rsidP="00BE36FB">
            <w:pPr>
              <w:pStyle w:val="TableText"/>
              <w:numPr>
                <w:ilvl w:val="0"/>
                <w:numId w:val="822"/>
              </w:numPr>
              <w:rPr>
                <w:rFonts w:cs="Arial"/>
              </w:rPr>
            </w:pPr>
            <w:r w:rsidRPr="009B7B35">
              <w:rPr>
                <w:rFonts w:cs="Arial"/>
              </w:rPr>
              <w:t>reticulated services are unavailable or limited;</w:t>
            </w:r>
          </w:p>
          <w:p w14:paraId="26391092" w14:textId="77777777" w:rsidR="00BE36FB" w:rsidRPr="009B7B35" w:rsidRDefault="00BE36FB" w:rsidP="00BE36FB">
            <w:pPr>
              <w:pStyle w:val="TableText"/>
              <w:numPr>
                <w:ilvl w:val="0"/>
                <w:numId w:val="822"/>
              </w:numPr>
              <w:rPr>
                <w:rFonts w:cs="Arial"/>
              </w:rPr>
            </w:pPr>
            <w:r w:rsidRPr="009B7B35">
              <w:rPr>
                <w:rFonts w:cs="Arial"/>
              </w:rPr>
              <w:t xml:space="preserve">land is constrained by natural hazards; or </w:t>
            </w:r>
          </w:p>
          <w:p w14:paraId="763D8255" w14:textId="77777777" w:rsidR="00BE36FB" w:rsidRPr="009B7B35" w:rsidRDefault="00BE36FB" w:rsidP="00BE36FB">
            <w:pPr>
              <w:pStyle w:val="TableText"/>
              <w:numPr>
                <w:ilvl w:val="0"/>
                <w:numId w:val="822"/>
              </w:numPr>
              <w:rPr>
                <w:rFonts w:cs="Arial"/>
              </w:rPr>
            </w:pPr>
            <w:r w:rsidRPr="009B7B35">
              <w:rPr>
                <w:rFonts w:cs="Arial"/>
              </w:rPr>
              <w:t xml:space="preserve">land has high value scenic amenity or biodiversity value.   </w:t>
            </w:r>
          </w:p>
          <w:p w14:paraId="30BDFA28" w14:textId="77777777" w:rsidR="00BE36FB" w:rsidRPr="009B7B35" w:rsidRDefault="00BE36FB" w:rsidP="001A7107">
            <w:pPr>
              <w:pStyle w:val="Notes"/>
              <w:rPr>
                <w:rFonts w:cs="Arial"/>
                <w:sz w:val="20"/>
                <w:szCs w:val="20"/>
              </w:rPr>
            </w:pPr>
            <w:r w:rsidRPr="009B7B35">
              <w:rPr>
                <w:rFonts w:cs="Arial"/>
                <w:sz w:val="20"/>
                <w:szCs w:val="20"/>
              </w:rPr>
              <w:t xml:space="preserve">Note—Community title subdivisions are not supported in any other instance. </w:t>
            </w:r>
          </w:p>
        </w:tc>
        <w:tc>
          <w:tcPr>
            <w:tcW w:w="4644" w:type="dxa"/>
            <w:shd w:val="clear" w:color="auto" w:fill="FFFFFF" w:themeFill="background1"/>
          </w:tcPr>
          <w:p w14:paraId="03328D01" w14:textId="77777777" w:rsidR="00BE36FB" w:rsidRPr="009B7B35" w:rsidRDefault="00BE36FB" w:rsidP="001A7107">
            <w:pPr>
              <w:pStyle w:val="TableText"/>
              <w:rPr>
                <w:rFonts w:cs="Arial"/>
                <w:b/>
              </w:rPr>
            </w:pPr>
            <w:r w:rsidRPr="009B7B35">
              <w:rPr>
                <w:rFonts w:cs="Arial"/>
                <w:b/>
              </w:rPr>
              <w:t>AO34</w:t>
            </w:r>
          </w:p>
          <w:p w14:paraId="455802E1" w14:textId="77777777" w:rsidR="00BE36FB" w:rsidRPr="009B7B35" w:rsidRDefault="00BE36FB" w:rsidP="001A7107">
            <w:pPr>
              <w:pStyle w:val="TableText"/>
              <w:rPr>
                <w:rFonts w:cs="Arial"/>
              </w:rPr>
            </w:pPr>
            <w:r w:rsidRPr="009B7B35">
              <w:rPr>
                <w:rFonts w:cs="Arial"/>
              </w:rPr>
              <w:t>No acceptable outcome is nominated.</w:t>
            </w:r>
          </w:p>
        </w:tc>
      </w:tr>
    </w:tbl>
    <w:p w14:paraId="4EB70EF9" w14:textId="77777777" w:rsidR="00BE36FB" w:rsidRPr="009B7B35" w:rsidRDefault="00BE36FB" w:rsidP="001A7107">
      <w:pPr>
        <w:rPr>
          <w:rFonts w:ascii="Arial" w:hAnsi="Arial" w:cs="Arial"/>
          <w:sz w:val="20"/>
          <w:szCs w:val="20"/>
        </w:rPr>
      </w:pPr>
    </w:p>
    <w:p w14:paraId="5FC64EE8" w14:textId="77777777" w:rsidR="00BE36FB" w:rsidRPr="009B7B35" w:rsidRDefault="00BE36FB" w:rsidP="001A7107">
      <w:pPr>
        <w:pStyle w:val="Heading5"/>
        <w:numPr>
          <w:ilvl w:val="0"/>
          <w:numId w:val="0"/>
        </w:numPr>
        <w:rPr>
          <w:rFonts w:cs="Arial"/>
          <w:szCs w:val="20"/>
        </w:rPr>
      </w:pPr>
      <w:r w:rsidRPr="009B7B35">
        <w:rPr>
          <w:rFonts w:cs="Arial"/>
          <w:szCs w:val="20"/>
        </w:rPr>
        <w:t>Table 9.3.7.3.2—Minimum lot size and dimensions</w:t>
      </w:r>
    </w:p>
    <w:tbl>
      <w:tblPr>
        <w:tblStyle w:val="Tablestyle"/>
        <w:tblW w:w="9356" w:type="dxa"/>
        <w:tblLook w:val="0620" w:firstRow="1" w:lastRow="0" w:firstColumn="0" w:lastColumn="0" w:noHBand="1" w:noVBand="1"/>
      </w:tblPr>
      <w:tblGrid>
        <w:gridCol w:w="3118"/>
        <w:gridCol w:w="3119"/>
        <w:gridCol w:w="3119"/>
      </w:tblGrid>
      <w:tr w:rsidR="00BE36FB" w:rsidRPr="009B7B35" w14:paraId="71116DB2" w14:textId="77777777" w:rsidTr="001A7107">
        <w:trPr>
          <w:cnfStyle w:val="100000000000" w:firstRow="1" w:lastRow="0" w:firstColumn="0" w:lastColumn="0" w:oddVBand="0" w:evenVBand="0" w:oddHBand="0" w:evenHBand="0" w:firstRowFirstColumn="0" w:firstRowLastColumn="0" w:lastRowFirstColumn="0" w:lastRowLastColumn="0"/>
          <w:tblHeader/>
        </w:trPr>
        <w:tc>
          <w:tcPr>
            <w:tcW w:w="3118" w:type="dxa"/>
          </w:tcPr>
          <w:p w14:paraId="55CDFC10" w14:textId="77777777" w:rsidR="00BE36FB" w:rsidRPr="009B7B35" w:rsidRDefault="00BE36FB" w:rsidP="001A7107">
            <w:pPr>
              <w:pStyle w:val="TableText"/>
              <w:rPr>
                <w:rFonts w:cs="Arial"/>
              </w:rPr>
            </w:pPr>
            <w:r w:rsidRPr="009B7B35">
              <w:rPr>
                <w:rFonts w:cs="Arial"/>
              </w:rPr>
              <w:t>Column 1</w:t>
            </w:r>
            <w:r w:rsidRPr="009B7B35">
              <w:rPr>
                <w:rFonts w:cs="Arial"/>
              </w:rPr>
              <w:br/>
              <w:t>Zone</w:t>
            </w:r>
          </w:p>
        </w:tc>
        <w:tc>
          <w:tcPr>
            <w:tcW w:w="3119" w:type="dxa"/>
          </w:tcPr>
          <w:p w14:paraId="5A4BCD39" w14:textId="77777777" w:rsidR="00BE36FB" w:rsidRPr="009B7B35" w:rsidRDefault="00BE36FB" w:rsidP="001A7107">
            <w:pPr>
              <w:pStyle w:val="TableText"/>
              <w:rPr>
                <w:rFonts w:cs="Arial"/>
              </w:rPr>
            </w:pPr>
            <w:r w:rsidRPr="009B7B35">
              <w:rPr>
                <w:rFonts w:cs="Arial"/>
              </w:rPr>
              <w:t>Column 2</w:t>
            </w:r>
            <w:r w:rsidRPr="009B7B35">
              <w:rPr>
                <w:rFonts w:cs="Arial"/>
              </w:rPr>
              <w:br/>
              <w:t>Minimum lot size</w:t>
            </w:r>
          </w:p>
        </w:tc>
        <w:tc>
          <w:tcPr>
            <w:tcW w:w="3119" w:type="dxa"/>
          </w:tcPr>
          <w:p w14:paraId="290CF4A0" w14:textId="77777777" w:rsidR="00BE36FB" w:rsidRPr="009B7B35" w:rsidRDefault="00BE36FB" w:rsidP="001A7107">
            <w:pPr>
              <w:pStyle w:val="TableText"/>
              <w:rPr>
                <w:rFonts w:cs="Arial"/>
              </w:rPr>
            </w:pPr>
            <w:r w:rsidRPr="009B7B35">
              <w:rPr>
                <w:rFonts w:cs="Arial"/>
              </w:rPr>
              <w:t>Column 3</w:t>
            </w:r>
            <w:r w:rsidRPr="009B7B35">
              <w:rPr>
                <w:rFonts w:cs="Arial"/>
              </w:rPr>
              <w:br/>
              <w:t>Minimum frontage</w:t>
            </w:r>
          </w:p>
        </w:tc>
      </w:tr>
      <w:tr w:rsidR="00BE36FB" w:rsidRPr="009B7B35" w14:paraId="6415EAB1" w14:textId="77777777" w:rsidTr="001A7107">
        <w:tc>
          <w:tcPr>
            <w:tcW w:w="3118" w:type="dxa"/>
          </w:tcPr>
          <w:p w14:paraId="44AA421F" w14:textId="77777777" w:rsidR="00BE36FB" w:rsidRPr="009B7B35" w:rsidRDefault="00BE36FB" w:rsidP="001A7107">
            <w:pPr>
              <w:pStyle w:val="TableText"/>
              <w:rPr>
                <w:rFonts w:cs="Arial"/>
              </w:rPr>
            </w:pPr>
            <w:r w:rsidRPr="009B7B35">
              <w:rPr>
                <w:rFonts w:cs="Arial"/>
              </w:rPr>
              <w:t>Low density residential</w:t>
            </w:r>
          </w:p>
        </w:tc>
        <w:tc>
          <w:tcPr>
            <w:tcW w:w="3119" w:type="dxa"/>
          </w:tcPr>
          <w:p w14:paraId="52B76DDC" w14:textId="77777777" w:rsidR="00BE36FB" w:rsidRPr="009B7B35" w:rsidRDefault="00BE36FB" w:rsidP="001A7107">
            <w:pPr>
              <w:pStyle w:val="TableText"/>
              <w:rPr>
                <w:rFonts w:cs="Arial"/>
              </w:rPr>
            </w:pPr>
            <w:r w:rsidRPr="009B7B35">
              <w:rPr>
                <w:rFonts w:cs="Arial"/>
              </w:rPr>
              <w:t>600m</w:t>
            </w:r>
            <w:r w:rsidRPr="009B7B35">
              <w:rPr>
                <w:rFonts w:cs="Arial"/>
                <w:vertAlign w:val="superscript"/>
              </w:rPr>
              <w:t>2</w:t>
            </w:r>
            <w:r w:rsidRPr="009B7B35">
              <w:rPr>
                <w:rFonts w:cs="Arial"/>
              </w:rPr>
              <w:t>; or</w:t>
            </w:r>
          </w:p>
          <w:p w14:paraId="61FE7F84" w14:textId="77777777" w:rsidR="00BE36FB" w:rsidRPr="009B7B35" w:rsidRDefault="00BE36FB" w:rsidP="001A7107">
            <w:pPr>
              <w:pStyle w:val="TableText"/>
              <w:rPr>
                <w:rFonts w:cs="Arial"/>
              </w:rPr>
            </w:pPr>
            <w:r w:rsidRPr="009B7B35">
              <w:rPr>
                <w:rFonts w:cs="Arial"/>
              </w:rPr>
              <w:t>800m</w:t>
            </w:r>
            <w:r w:rsidRPr="009B7B35">
              <w:rPr>
                <w:rStyle w:val="StyleSuperscript"/>
                <w:rFonts w:cs="Arial"/>
              </w:rPr>
              <w:t>2</w:t>
            </w:r>
            <w:r w:rsidRPr="009B7B35">
              <w:rPr>
                <w:rFonts w:cs="Arial"/>
              </w:rPr>
              <w:t xml:space="preserve"> if in the Calliope neighbourhood precinct</w:t>
            </w:r>
          </w:p>
        </w:tc>
        <w:tc>
          <w:tcPr>
            <w:tcW w:w="3119" w:type="dxa"/>
          </w:tcPr>
          <w:p w14:paraId="7B6EC8AF" w14:textId="77777777" w:rsidR="00BE36FB" w:rsidRPr="009B7B35" w:rsidRDefault="00BE36FB" w:rsidP="001A7107">
            <w:pPr>
              <w:pStyle w:val="TableText"/>
              <w:rPr>
                <w:rFonts w:cs="Arial"/>
              </w:rPr>
            </w:pPr>
            <w:r w:rsidRPr="009B7B35">
              <w:rPr>
                <w:rFonts w:cs="Arial"/>
              </w:rPr>
              <w:t>17m</w:t>
            </w:r>
          </w:p>
        </w:tc>
      </w:tr>
      <w:tr w:rsidR="00BE36FB" w:rsidRPr="009B7B35" w14:paraId="613C9CDF" w14:textId="77777777" w:rsidTr="001A7107">
        <w:tc>
          <w:tcPr>
            <w:tcW w:w="3118" w:type="dxa"/>
          </w:tcPr>
          <w:p w14:paraId="37D971BA" w14:textId="77777777" w:rsidR="00BE36FB" w:rsidRPr="009B7B35" w:rsidRDefault="00BE36FB" w:rsidP="001A7107">
            <w:pPr>
              <w:pStyle w:val="TableText"/>
              <w:rPr>
                <w:rFonts w:cs="Arial"/>
              </w:rPr>
            </w:pPr>
            <w:r w:rsidRPr="009B7B35">
              <w:rPr>
                <w:rFonts w:cs="Arial"/>
              </w:rPr>
              <w:t>Low–medium density residential Medium density residential</w:t>
            </w:r>
          </w:p>
        </w:tc>
        <w:tc>
          <w:tcPr>
            <w:tcW w:w="3119" w:type="dxa"/>
          </w:tcPr>
          <w:p w14:paraId="2BECB5DA" w14:textId="77777777" w:rsidR="00BE36FB" w:rsidRPr="009B7B35" w:rsidRDefault="00BE36FB" w:rsidP="001A7107">
            <w:pPr>
              <w:pStyle w:val="TableText"/>
              <w:rPr>
                <w:rFonts w:cs="Arial"/>
              </w:rPr>
            </w:pPr>
            <w:r w:rsidRPr="009B7B35">
              <w:rPr>
                <w:rFonts w:cs="Arial"/>
              </w:rPr>
              <w:t>400m</w:t>
            </w:r>
            <w:r w:rsidRPr="009B7B35">
              <w:rPr>
                <w:rFonts w:cs="Arial"/>
                <w:vertAlign w:val="superscript"/>
              </w:rPr>
              <w:t>2</w:t>
            </w:r>
            <w:r w:rsidRPr="009B7B35">
              <w:rPr>
                <w:rFonts w:cs="Arial"/>
              </w:rPr>
              <w:t>; or</w:t>
            </w:r>
          </w:p>
          <w:p w14:paraId="33093866" w14:textId="77777777" w:rsidR="00BE36FB" w:rsidRPr="009B7B35" w:rsidRDefault="00BE36FB" w:rsidP="001A7107">
            <w:pPr>
              <w:pStyle w:val="TableText"/>
              <w:rPr>
                <w:rFonts w:cs="Arial"/>
              </w:rPr>
            </w:pPr>
            <w:r w:rsidRPr="009B7B35">
              <w:rPr>
                <w:rFonts w:cs="Arial"/>
              </w:rPr>
              <w:t>1,000m</w:t>
            </w:r>
            <w:r w:rsidRPr="009B7B35">
              <w:rPr>
                <w:rFonts w:cs="Arial"/>
                <w:vertAlign w:val="superscript"/>
              </w:rPr>
              <w:t>2</w:t>
            </w:r>
            <w:r w:rsidRPr="009B7B35">
              <w:rPr>
                <w:rFonts w:cs="Arial"/>
              </w:rPr>
              <w:t xml:space="preserve"> where in the Beaches village circuit precinct </w:t>
            </w:r>
          </w:p>
        </w:tc>
        <w:tc>
          <w:tcPr>
            <w:tcW w:w="3119" w:type="dxa"/>
          </w:tcPr>
          <w:p w14:paraId="03C5707C" w14:textId="77777777" w:rsidR="00BE36FB" w:rsidRPr="009B7B35" w:rsidRDefault="00BE36FB" w:rsidP="001A7107">
            <w:pPr>
              <w:pStyle w:val="TableText"/>
              <w:rPr>
                <w:rFonts w:cs="Arial"/>
              </w:rPr>
            </w:pPr>
            <w:r w:rsidRPr="009B7B35">
              <w:rPr>
                <w:rFonts w:cs="Arial"/>
              </w:rPr>
              <w:t xml:space="preserve">10m; or </w:t>
            </w:r>
          </w:p>
          <w:p w14:paraId="4878E6D7" w14:textId="77777777" w:rsidR="00BE36FB" w:rsidRPr="009B7B35" w:rsidRDefault="00BE36FB" w:rsidP="001A7107">
            <w:pPr>
              <w:pStyle w:val="TableText"/>
              <w:rPr>
                <w:rFonts w:cs="Arial"/>
              </w:rPr>
            </w:pPr>
            <w:r w:rsidRPr="009B7B35">
              <w:rPr>
                <w:rFonts w:cs="Arial"/>
              </w:rPr>
              <w:t xml:space="preserve">30m where in the Beaches village circuit precinct </w:t>
            </w:r>
          </w:p>
        </w:tc>
      </w:tr>
      <w:tr w:rsidR="00BE36FB" w:rsidRPr="009B7B35" w14:paraId="7EAAC323" w14:textId="77777777" w:rsidTr="001A7107">
        <w:tc>
          <w:tcPr>
            <w:tcW w:w="3118" w:type="dxa"/>
          </w:tcPr>
          <w:p w14:paraId="6D5AFDE3" w14:textId="77777777" w:rsidR="00BE36FB" w:rsidRPr="009B7B35" w:rsidRDefault="00BE36FB" w:rsidP="001A7107">
            <w:pPr>
              <w:pStyle w:val="TableText"/>
              <w:rPr>
                <w:rFonts w:cs="Arial"/>
              </w:rPr>
            </w:pPr>
            <w:r w:rsidRPr="009B7B35">
              <w:rPr>
                <w:rFonts w:cs="Arial"/>
              </w:rPr>
              <w:t>Character residential</w:t>
            </w:r>
          </w:p>
        </w:tc>
        <w:tc>
          <w:tcPr>
            <w:tcW w:w="3119" w:type="dxa"/>
          </w:tcPr>
          <w:p w14:paraId="56CAD65D" w14:textId="77777777" w:rsidR="00BE36FB" w:rsidRPr="009B7B35" w:rsidRDefault="00BE36FB" w:rsidP="001A7107">
            <w:pPr>
              <w:pStyle w:val="TableText"/>
              <w:rPr>
                <w:rFonts w:cs="Arial"/>
              </w:rPr>
            </w:pPr>
            <w:r w:rsidRPr="009B7B35">
              <w:rPr>
                <w:rFonts w:cs="Arial"/>
              </w:rPr>
              <w:t>Not specified</w:t>
            </w:r>
          </w:p>
        </w:tc>
        <w:tc>
          <w:tcPr>
            <w:tcW w:w="3119" w:type="dxa"/>
          </w:tcPr>
          <w:p w14:paraId="3E8E9304" w14:textId="77777777" w:rsidR="00BE36FB" w:rsidRPr="009B7B35" w:rsidRDefault="00BE36FB" w:rsidP="001A7107">
            <w:pPr>
              <w:pStyle w:val="TableText"/>
              <w:rPr>
                <w:rFonts w:cs="Arial"/>
              </w:rPr>
            </w:pPr>
            <w:r w:rsidRPr="009B7B35">
              <w:rPr>
                <w:rFonts w:cs="Arial"/>
              </w:rPr>
              <w:t>Not specified</w:t>
            </w:r>
          </w:p>
        </w:tc>
      </w:tr>
      <w:tr w:rsidR="00BE36FB" w:rsidRPr="009B7B35" w14:paraId="02B7816B" w14:textId="77777777" w:rsidTr="001A7107">
        <w:tc>
          <w:tcPr>
            <w:tcW w:w="3118" w:type="dxa"/>
          </w:tcPr>
          <w:p w14:paraId="780D08E0" w14:textId="77777777" w:rsidR="00BE36FB" w:rsidRPr="009B7B35" w:rsidRDefault="00BE36FB" w:rsidP="001A7107">
            <w:pPr>
              <w:pStyle w:val="TableText"/>
              <w:rPr>
                <w:rFonts w:cs="Arial"/>
              </w:rPr>
            </w:pPr>
            <w:r w:rsidRPr="009B7B35">
              <w:rPr>
                <w:rFonts w:cs="Arial"/>
              </w:rPr>
              <w:t>Mixed use</w:t>
            </w:r>
          </w:p>
          <w:p w14:paraId="271A809F" w14:textId="77777777" w:rsidR="00BE36FB" w:rsidRPr="009B7B35" w:rsidRDefault="00BE36FB" w:rsidP="001A7107">
            <w:pPr>
              <w:pStyle w:val="TableText"/>
              <w:rPr>
                <w:rFonts w:cs="Arial"/>
              </w:rPr>
            </w:pPr>
            <w:r w:rsidRPr="009B7B35">
              <w:rPr>
                <w:rFonts w:cs="Arial"/>
              </w:rPr>
              <w:t xml:space="preserve">Principal centre </w:t>
            </w:r>
          </w:p>
          <w:p w14:paraId="3EC5285B" w14:textId="77777777" w:rsidR="00BE36FB" w:rsidRPr="009B7B35" w:rsidRDefault="00BE36FB" w:rsidP="001A7107">
            <w:pPr>
              <w:pStyle w:val="TableText"/>
              <w:rPr>
                <w:rFonts w:cs="Arial"/>
              </w:rPr>
            </w:pPr>
            <w:r w:rsidRPr="009B7B35">
              <w:rPr>
                <w:rFonts w:cs="Arial"/>
              </w:rPr>
              <w:t>Centre</w:t>
            </w:r>
          </w:p>
        </w:tc>
        <w:tc>
          <w:tcPr>
            <w:tcW w:w="3119" w:type="dxa"/>
          </w:tcPr>
          <w:p w14:paraId="2CAA07AC" w14:textId="77777777" w:rsidR="00BE36FB" w:rsidRPr="009B7B35" w:rsidRDefault="00BE36FB" w:rsidP="001A7107">
            <w:pPr>
              <w:pStyle w:val="TableText"/>
              <w:rPr>
                <w:rFonts w:cs="Arial"/>
              </w:rPr>
            </w:pPr>
            <w:r w:rsidRPr="009B7B35">
              <w:rPr>
                <w:rFonts w:cs="Arial"/>
              </w:rPr>
              <w:t>600m</w:t>
            </w:r>
            <w:r w:rsidRPr="009B7B35">
              <w:rPr>
                <w:rStyle w:val="StyleSuperscript"/>
                <w:rFonts w:cs="Arial"/>
              </w:rPr>
              <w:t>2</w:t>
            </w:r>
          </w:p>
        </w:tc>
        <w:tc>
          <w:tcPr>
            <w:tcW w:w="3119" w:type="dxa"/>
          </w:tcPr>
          <w:p w14:paraId="11F51872" w14:textId="77777777" w:rsidR="00BE36FB" w:rsidRPr="009B7B35" w:rsidRDefault="00BE36FB" w:rsidP="001A7107">
            <w:pPr>
              <w:pStyle w:val="TableText"/>
              <w:rPr>
                <w:rFonts w:cs="Arial"/>
              </w:rPr>
            </w:pPr>
            <w:r w:rsidRPr="009B7B35">
              <w:rPr>
                <w:rFonts w:cs="Arial"/>
              </w:rPr>
              <w:t>15m</w:t>
            </w:r>
          </w:p>
        </w:tc>
      </w:tr>
      <w:tr w:rsidR="00BE36FB" w:rsidRPr="009B7B35" w14:paraId="4D58A0B8" w14:textId="77777777" w:rsidTr="001A7107">
        <w:tc>
          <w:tcPr>
            <w:tcW w:w="3118" w:type="dxa"/>
          </w:tcPr>
          <w:p w14:paraId="54EC9B98" w14:textId="77777777" w:rsidR="00BE36FB" w:rsidRPr="009B7B35" w:rsidRDefault="00BE36FB" w:rsidP="001A7107">
            <w:pPr>
              <w:pStyle w:val="TableText"/>
              <w:rPr>
                <w:rFonts w:cs="Arial"/>
              </w:rPr>
            </w:pPr>
            <w:r w:rsidRPr="009B7B35">
              <w:rPr>
                <w:rFonts w:cs="Arial"/>
              </w:rPr>
              <w:t>Neighbourhood centre</w:t>
            </w:r>
          </w:p>
        </w:tc>
        <w:tc>
          <w:tcPr>
            <w:tcW w:w="3119" w:type="dxa"/>
          </w:tcPr>
          <w:p w14:paraId="1419F921" w14:textId="77777777" w:rsidR="00BE36FB" w:rsidRPr="009B7B35" w:rsidRDefault="00BE36FB" w:rsidP="001A7107">
            <w:pPr>
              <w:pStyle w:val="TableText"/>
              <w:rPr>
                <w:rFonts w:cs="Arial"/>
              </w:rPr>
            </w:pPr>
            <w:r w:rsidRPr="009B7B35">
              <w:rPr>
                <w:rFonts w:cs="Arial"/>
              </w:rPr>
              <w:t>400m</w:t>
            </w:r>
            <w:r w:rsidRPr="009B7B35">
              <w:rPr>
                <w:rStyle w:val="StyleSuperscript"/>
                <w:rFonts w:cs="Arial"/>
              </w:rPr>
              <w:t>2</w:t>
            </w:r>
          </w:p>
        </w:tc>
        <w:tc>
          <w:tcPr>
            <w:tcW w:w="3119" w:type="dxa"/>
          </w:tcPr>
          <w:p w14:paraId="4377287A" w14:textId="77777777" w:rsidR="00BE36FB" w:rsidRPr="009B7B35" w:rsidRDefault="00BE36FB" w:rsidP="001A7107">
            <w:pPr>
              <w:pStyle w:val="TableText"/>
              <w:rPr>
                <w:rFonts w:cs="Arial"/>
              </w:rPr>
            </w:pPr>
            <w:r w:rsidRPr="009B7B35">
              <w:rPr>
                <w:rFonts w:cs="Arial"/>
              </w:rPr>
              <w:t>15m</w:t>
            </w:r>
          </w:p>
        </w:tc>
      </w:tr>
      <w:tr w:rsidR="00BE36FB" w:rsidRPr="009B7B35" w14:paraId="60A3B8AD" w14:textId="77777777" w:rsidTr="001A7107">
        <w:tc>
          <w:tcPr>
            <w:tcW w:w="3118" w:type="dxa"/>
          </w:tcPr>
          <w:p w14:paraId="5C1A88DC" w14:textId="77777777" w:rsidR="00BE36FB" w:rsidRPr="009B7B35" w:rsidRDefault="00BE36FB" w:rsidP="001A7107">
            <w:pPr>
              <w:pStyle w:val="TableText"/>
              <w:rPr>
                <w:rFonts w:cs="Arial"/>
              </w:rPr>
            </w:pPr>
            <w:r w:rsidRPr="009B7B35">
              <w:rPr>
                <w:rFonts w:cs="Arial"/>
              </w:rPr>
              <w:t>Specialised centre</w:t>
            </w:r>
          </w:p>
        </w:tc>
        <w:tc>
          <w:tcPr>
            <w:tcW w:w="3119" w:type="dxa"/>
          </w:tcPr>
          <w:p w14:paraId="01014DD9" w14:textId="77777777" w:rsidR="00BE36FB" w:rsidRPr="009B7B35" w:rsidRDefault="00BE36FB" w:rsidP="001A7107">
            <w:pPr>
              <w:pStyle w:val="TableText"/>
              <w:rPr>
                <w:rFonts w:cs="Arial"/>
              </w:rPr>
            </w:pPr>
            <w:r w:rsidRPr="009B7B35">
              <w:rPr>
                <w:rFonts w:cs="Arial"/>
              </w:rPr>
              <w:t>1,000m</w:t>
            </w:r>
            <w:r w:rsidRPr="009B7B35">
              <w:rPr>
                <w:rStyle w:val="StyleSuperscript"/>
                <w:rFonts w:cs="Arial"/>
              </w:rPr>
              <w:t>2</w:t>
            </w:r>
          </w:p>
        </w:tc>
        <w:tc>
          <w:tcPr>
            <w:tcW w:w="3119" w:type="dxa"/>
          </w:tcPr>
          <w:p w14:paraId="2A141CDB" w14:textId="77777777" w:rsidR="00BE36FB" w:rsidRPr="009B7B35" w:rsidRDefault="00BE36FB" w:rsidP="001A7107">
            <w:pPr>
              <w:pStyle w:val="TableText"/>
              <w:rPr>
                <w:rFonts w:cs="Arial"/>
              </w:rPr>
            </w:pPr>
            <w:r w:rsidRPr="009B7B35">
              <w:rPr>
                <w:rFonts w:cs="Arial"/>
              </w:rPr>
              <w:t>15m</w:t>
            </w:r>
          </w:p>
        </w:tc>
      </w:tr>
      <w:tr w:rsidR="00BE36FB" w:rsidRPr="009B7B35" w14:paraId="070727DE" w14:textId="77777777" w:rsidTr="001A7107">
        <w:tc>
          <w:tcPr>
            <w:tcW w:w="3118" w:type="dxa"/>
          </w:tcPr>
          <w:p w14:paraId="03F0B641" w14:textId="77777777" w:rsidR="00BE36FB" w:rsidRPr="009B7B35" w:rsidRDefault="00BE36FB" w:rsidP="001A7107">
            <w:pPr>
              <w:pStyle w:val="TableText"/>
              <w:rPr>
                <w:rFonts w:cs="Arial"/>
              </w:rPr>
            </w:pPr>
            <w:r w:rsidRPr="009B7B35">
              <w:rPr>
                <w:rFonts w:cs="Arial"/>
              </w:rPr>
              <w:t>Township</w:t>
            </w:r>
          </w:p>
        </w:tc>
        <w:tc>
          <w:tcPr>
            <w:tcW w:w="3119" w:type="dxa"/>
          </w:tcPr>
          <w:p w14:paraId="448C9EE6" w14:textId="77777777" w:rsidR="00BE36FB" w:rsidRPr="009B7B35" w:rsidRDefault="00BE36FB" w:rsidP="001A7107">
            <w:pPr>
              <w:pStyle w:val="TableText"/>
              <w:rPr>
                <w:rFonts w:cs="Arial"/>
              </w:rPr>
            </w:pPr>
            <w:r w:rsidRPr="009B7B35">
              <w:rPr>
                <w:rFonts w:cs="Arial"/>
              </w:rPr>
              <w:t>800m</w:t>
            </w:r>
            <w:r w:rsidRPr="009B7B35">
              <w:rPr>
                <w:rStyle w:val="StyleSuperscript"/>
                <w:rFonts w:cs="Arial"/>
              </w:rPr>
              <w:t xml:space="preserve">2 </w:t>
            </w:r>
            <w:r w:rsidRPr="009B7B35">
              <w:rPr>
                <w:rFonts w:cs="Arial"/>
              </w:rPr>
              <w:t xml:space="preserve">where unsewered, subject to capability of the site to sustainably dispose of effluent on site </w:t>
            </w:r>
          </w:p>
        </w:tc>
        <w:tc>
          <w:tcPr>
            <w:tcW w:w="3119" w:type="dxa"/>
          </w:tcPr>
          <w:p w14:paraId="61B8BBBD" w14:textId="77777777" w:rsidR="00BE36FB" w:rsidRPr="009B7B35" w:rsidRDefault="00BE36FB" w:rsidP="001A7107">
            <w:pPr>
              <w:pStyle w:val="TableText"/>
              <w:rPr>
                <w:rFonts w:cs="Arial"/>
              </w:rPr>
            </w:pPr>
            <w:r w:rsidRPr="009B7B35">
              <w:rPr>
                <w:rFonts w:cs="Arial"/>
              </w:rPr>
              <w:t>20m</w:t>
            </w:r>
          </w:p>
        </w:tc>
      </w:tr>
      <w:tr w:rsidR="00BE36FB" w:rsidRPr="009B7B35" w14:paraId="2EDD1215" w14:textId="77777777" w:rsidTr="001A7107">
        <w:tc>
          <w:tcPr>
            <w:tcW w:w="3118" w:type="dxa"/>
          </w:tcPr>
          <w:p w14:paraId="389119D5" w14:textId="77777777" w:rsidR="00BE36FB" w:rsidRPr="009B7B35" w:rsidRDefault="00BE36FB" w:rsidP="001A7107">
            <w:pPr>
              <w:pStyle w:val="TableText"/>
              <w:rPr>
                <w:rFonts w:cs="Arial"/>
              </w:rPr>
            </w:pPr>
            <w:r w:rsidRPr="009B7B35">
              <w:rPr>
                <w:rFonts w:cs="Arial"/>
              </w:rPr>
              <w:t xml:space="preserve">Sport and recreation </w:t>
            </w:r>
          </w:p>
        </w:tc>
        <w:tc>
          <w:tcPr>
            <w:tcW w:w="3119" w:type="dxa"/>
          </w:tcPr>
          <w:p w14:paraId="3198E456" w14:textId="77777777" w:rsidR="00BE36FB" w:rsidRPr="009B7B35" w:rsidRDefault="00BE36FB" w:rsidP="001A7107">
            <w:pPr>
              <w:pStyle w:val="TableText"/>
              <w:rPr>
                <w:rFonts w:cs="Arial"/>
              </w:rPr>
            </w:pPr>
            <w:r w:rsidRPr="009B7B35">
              <w:rPr>
                <w:rFonts w:cs="Arial"/>
              </w:rPr>
              <w:t>Not specified</w:t>
            </w:r>
          </w:p>
        </w:tc>
        <w:tc>
          <w:tcPr>
            <w:tcW w:w="3119" w:type="dxa"/>
          </w:tcPr>
          <w:p w14:paraId="517C768E" w14:textId="77777777" w:rsidR="00BE36FB" w:rsidRPr="009B7B35" w:rsidRDefault="00BE36FB" w:rsidP="001A7107">
            <w:pPr>
              <w:pStyle w:val="TableText"/>
              <w:rPr>
                <w:rFonts w:cs="Arial"/>
              </w:rPr>
            </w:pPr>
            <w:r w:rsidRPr="009B7B35">
              <w:rPr>
                <w:rFonts w:cs="Arial"/>
              </w:rPr>
              <w:t>Not specified</w:t>
            </w:r>
          </w:p>
        </w:tc>
      </w:tr>
      <w:tr w:rsidR="00BE36FB" w:rsidRPr="009B7B35" w14:paraId="1C1CEC4F" w14:textId="77777777" w:rsidTr="001A7107">
        <w:tc>
          <w:tcPr>
            <w:tcW w:w="3118" w:type="dxa"/>
          </w:tcPr>
          <w:p w14:paraId="720B8A11" w14:textId="77777777" w:rsidR="00BE36FB" w:rsidRPr="009B7B35" w:rsidRDefault="00BE36FB" w:rsidP="001A7107">
            <w:pPr>
              <w:pStyle w:val="TableText"/>
              <w:rPr>
                <w:rFonts w:cs="Arial"/>
              </w:rPr>
            </w:pPr>
            <w:r w:rsidRPr="009B7B35">
              <w:rPr>
                <w:rFonts w:cs="Arial"/>
              </w:rPr>
              <w:t>Open space</w:t>
            </w:r>
          </w:p>
        </w:tc>
        <w:tc>
          <w:tcPr>
            <w:tcW w:w="3119" w:type="dxa"/>
          </w:tcPr>
          <w:p w14:paraId="3FBC913B" w14:textId="77777777" w:rsidR="00BE36FB" w:rsidRPr="009B7B35" w:rsidRDefault="00BE36FB" w:rsidP="001A7107">
            <w:pPr>
              <w:pStyle w:val="TableText"/>
              <w:rPr>
                <w:rFonts w:cs="Arial"/>
              </w:rPr>
            </w:pPr>
            <w:r w:rsidRPr="009B7B35">
              <w:rPr>
                <w:rFonts w:cs="Arial"/>
              </w:rPr>
              <w:t>Not specified</w:t>
            </w:r>
          </w:p>
        </w:tc>
        <w:tc>
          <w:tcPr>
            <w:tcW w:w="3119" w:type="dxa"/>
          </w:tcPr>
          <w:p w14:paraId="401C635E" w14:textId="77777777" w:rsidR="00BE36FB" w:rsidRPr="009B7B35" w:rsidRDefault="00BE36FB" w:rsidP="001A7107">
            <w:pPr>
              <w:pStyle w:val="TableText"/>
              <w:rPr>
                <w:rFonts w:cs="Arial"/>
              </w:rPr>
            </w:pPr>
            <w:r w:rsidRPr="009B7B35">
              <w:rPr>
                <w:rFonts w:cs="Arial"/>
              </w:rPr>
              <w:t>Not specified</w:t>
            </w:r>
          </w:p>
        </w:tc>
      </w:tr>
      <w:tr w:rsidR="00BE36FB" w:rsidRPr="009B7B35" w14:paraId="21986973" w14:textId="77777777" w:rsidTr="001A7107">
        <w:tc>
          <w:tcPr>
            <w:tcW w:w="3118" w:type="dxa"/>
          </w:tcPr>
          <w:p w14:paraId="1CA26067" w14:textId="77777777" w:rsidR="00BE36FB" w:rsidRPr="009B7B35" w:rsidRDefault="00BE36FB" w:rsidP="001A7107">
            <w:pPr>
              <w:pStyle w:val="TableText"/>
              <w:rPr>
                <w:rFonts w:cs="Arial"/>
              </w:rPr>
            </w:pPr>
            <w:r w:rsidRPr="009B7B35">
              <w:rPr>
                <w:rFonts w:cs="Arial"/>
              </w:rPr>
              <w:t>Conservation</w:t>
            </w:r>
          </w:p>
        </w:tc>
        <w:tc>
          <w:tcPr>
            <w:tcW w:w="3119" w:type="dxa"/>
          </w:tcPr>
          <w:p w14:paraId="1C5910C2" w14:textId="77777777" w:rsidR="00BE36FB" w:rsidRPr="009B7B35" w:rsidRDefault="00BE36FB" w:rsidP="001A7107">
            <w:pPr>
              <w:pStyle w:val="TableText"/>
              <w:rPr>
                <w:rFonts w:cs="Arial"/>
              </w:rPr>
            </w:pPr>
            <w:r w:rsidRPr="009B7B35">
              <w:rPr>
                <w:rFonts w:cs="Arial"/>
              </w:rPr>
              <w:t>Not specified</w:t>
            </w:r>
          </w:p>
        </w:tc>
        <w:tc>
          <w:tcPr>
            <w:tcW w:w="3119" w:type="dxa"/>
          </w:tcPr>
          <w:p w14:paraId="1FE4A4F1" w14:textId="77777777" w:rsidR="00BE36FB" w:rsidRPr="009B7B35" w:rsidRDefault="00BE36FB" w:rsidP="001A7107">
            <w:pPr>
              <w:pStyle w:val="TableText"/>
              <w:rPr>
                <w:rFonts w:cs="Arial"/>
              </w:rPr>
            </w:pPr>
            <w:r w:rsidRPr="009B7B35">
              <w:rPr>
                <w:rFonts w:cs="Arial"/>
              </w:rPr>
              <w:t>Not specified</w:t>
            </w:r>
          </w:p>
        </w:tc>
      </w:tr>
      <w:tr w:rsidR="00BE36FB" w:rsidRPr="009B7B35" w14:paraId="31D63D2F" w14:textId="77777777" w:rsidTr="001A7107">
        <w:tc>
          <w:tcPr>
            <w:tcW w:w="3118" w:type="dxa"/>
          </w:tcPr>
          <w:p w14:paraId="6F122795" w14:textId="77777777" w:rsidR="00BE36FB" w:rsidRPr="009B7B35" w:rsidRDefault="00BE36FB" w:rsidP="001A7107">
            <w:pPr>
              <w:pStyle w:val="TableText"/>
              <w:rPr>
                <w:rFonts w:cs="Arial"/>
              </w:rPr>
            </w:pPr>
            <w:r w:rsidRPr="009B7B35">
              <w:rPr>
                <w:rFonts w:cs="Arial"/>
              </w:rPr>
              <w:t>Low impact industry</w:t>
            </w:r>
          </w:p>
        </w:tc>
        <w:tc>
          <w:tcPr>
            <w:tcW w:w="3119" w:type="dxa"/>
          </w:tcPr>
          <w:p w14:paraId="268571EC" w14:textId="77777777" w:rsidR="00BE36FB" w:rsidRPr="009B7B35" w:rsidRDefault="00BE36FB" w:rsidP="001A7107">
            <w:pPr>
              <w:pStyle w:val="TableText"/>
              <w:rPr>
                <w:rFonts w:cs="Arial"/>
              </w:rPr>
            </w:pPr>
            <w:r w:rsidRPr="009B7B35">
              <w:rPr>
                <w:rFonts w:cs="Arial"/>
              </w:rPr>
              <w:t>1,000m</w:t>
            </w:r>
            <w:r w:rsidRPr="009B7B35">
              <w:rPr>
                <w:rStyle w:val="StyleSuperscript"/>
                <w:rFonts w:cs="Arial"/>
              </w:rPr>
              <w:t>2</w:t>
            </w:r>
          </w:p>
        </w:tc>
        <w:tc>
          <w:tcPr>
            <w:tcW w:w="3119" w:type="dxa"/>
          </w:tcPr>
          <w:p w14:paraId="687028B3" w14:textId="77777777" w:rsidR="00BE36FB" w:rsidRPr="009B7B35" w:rsidRDefault="00BE36FB" w:rsidP="001A7107">
            <w:pPr>
              <w:pStyle w:val="TableText"/>
              <w:rPr>
                <w:rFonts w:cs="Arial"/>
              </w:rPr>
            </w:pPr>
            <w:r w:rsidRPr="009B7B35">
              <w:rPr>
                <w:rFonts w:cs="Arial"/>
              </w:rPr>
              <w:t>20m</w:t>
            </w:r>
          </w:p>
        </w:tc>
      </w:tr>
      <w:tr w:rsidR="00BE36FB" w:rsidRPr="009B7B35" w14:paraId="39F842E7" w14:textId="77777777" w:rsidTr="001A7107">
        <w:tc>
          <w:tcPr>
            <w:tcW w:w="3118" w:type="dxa"/>
          </w:tcPr>
          <w:p w14:paraId="02F60BF8" w14:textId="77777777" w:rsidR="00BE36FB" w:rsidRPr="009B7B35" w:rsidRDefault="00BE36FB" w:rsidP="001A7107">
            <w:pPr>
              <w:pStyle w:val="TableText"/>
              <w:rPr>
                <w:rFonts w:cs="Arial"/>
              </w:rPr>
            </w:pPr>
            <w:r w:rsidRPr="009B7B35">
              <w:rPr>
                <w:rFonts w:cs="Arial"/>
              </w:rPr>
              <w:t>Medium impact industry</w:t>
            </w:r>
          </w:p>
        </w:tc>
        <w:tc>
          <w:tcPr>
            <w:tcW w:w="3119" w:type="dxa"/>
          </w:tcPr>
          <w:p w14:paraId="3435DF0B" w14:textId="77777777" w:rsidR="00BE36FB" w:rsidRPr="009B7B35" w:rsidRDefault="00BE36FB" w:rsidP="001A7107">
            <w:pPr>
              <w:pStyle w:val="TableText"/>
              <w:rPr>
                <w:rFonts w:cs="Arial"/>
              </w:rPr>
            </w:pPr>
            <w:r w:rsidRPr="009B7B35">
              <w:rPr>
                <w:rFonts w:cs="Arial"/>
              </w:rPr>
              <w:t>4,000m</w:t>
            </w:r>
            <w:r w:rsidRPr="009B7B35">
              <w:rPr>
                <w:rStyle w:val="StyleSuperscript"/>
                <w:rFonts w:cs="Arial"/>
              </w:rPr>
              <w:t>2</w:t>
            </w:r>
          </w:p>
        </w:tc>
        <w:tc>
          <w:tcPr>
            <w:tcW w:w="3119" w:type="dxa"/>
          </w:tcPr>
          <w:p w14:paraId="11BA7A73" w14:textId="77777777" w:rsidR="00BE36FB" w:rsidRPr="009B7B35" w:rsidRDefault="00BE36FB" w:rsidP="001A7107">
            <w:pPr>
              <w:pStyle w:val="TableText"/>
              <w:rPr>
                <w:rFonts w:cs="Arial"/>
              </w:rPr>
            </w:pPr>
            <w:r w:rsidRPr="009B7B35">
              <w:rPr>
                <w:rFonts w:cs="Arial"/>
              </w:rPr>
              <w:t>40m</w:t>
            </w:r>
          </w:p>
        </w:tc>
      </w:tr>
      <w:tr w:rsidR="00BE36FB" w:rsidRPr="009B7B35" w14:paraId="48B53DE2" w14:textId="77777777" w:rsidTr="001A7107">
        <w:tc>
          <w:tcPr>
            <w:tcW w:w="3118" w:type="dxa"/>
          </w:tcPr>
          <w:p w14:paraId="042B6972" w14:textId="77777777" w:rsidR="00BE36FB" w:rsidRPr="009B7B35" w:rsidRDefault="00BE36FB" w:rsidP="001A7107">
            <w:pPr>
              <w:pStyle w:val="TableText"/>
              <w:rPr>
                <w:rFonts w:cs="Arial"/>
              </w:rPr>
            </w:pPr>
            <w:r w:rsidRPr="009B7B35">
              <w:rPr>
                <w:rFonts w:cs="Arial"/>
              </w:rPr>
              <w:t>Special industry</w:t>
            </w:r>
          </w:p>
        </w:tc>
        <w:tc>
          <w:tcPr>
            <w:tcW w:w="3119" w:type="dxa"/>
          </w:tcPr>
          <w:p w14:paraId="1078DF82" w14:textId="77777777" w:rsidR="00BE36FB" w:rsidRPr="009B7B35" w:rsidRDefault="00BE36FB" w:rsidP="001A7107">
            <w:pPr>
              <w:pStyle w:val="TableText"/>
              <w:rPr>
                <w:rFonts w:cs="Arial"/>
              </w:rPr>
            </w:pPr>
            <w:r w:rsidRPr="009B7B35">
              <w:rPr>
                <w:rFonts w:cs="Arial"/>
              </w:rPr>
              <w:t>Not specified</w:t>
            </w:r>
          </w:p>
        </w:tc>
        <w:tc>
          <w:tcPr>
            <w:tcW w:w="3119" w:type="dxa"/>
          </w:tcPr>
          <w:p w14:paraId="08232E56" w14:textId="77777777" w:rsidR="00BE36FB" w:rsidRPr="009B7B35" w:rsidRDefault="00BE36FB" w:rsidP="001A7107">
            <w:pPr>
              <w:pStyle w:val="TableText"/>
              <w:rPr>
                <w:rFonts w:cs="Arial"/>
              </w:rPr>
            </w:pPr>
            <w:r w:rsidRPr="009B7B35">
              <w:rPr>
                <w:rFonts w:cs="Arial"/>
              </w:rPr>
              <w:t>Not specified</w:t>
            </w:r>
          </w:p>
        </w:tc>
      </w:tr>
      <w:tr w:rsidR="00BE36FB" w:rsidRPr="009B7B35" w14:paraId="00D245BB" w14:textId="77777777" w:rsidTr="001A7107">
        <w:tc>
          <w:tcPr>
            <w:tcW w:w="3118" w:type="dxa"/>
          </w:tcPr>
          <w:p w14:paraId="6C13DA1F" w14:textId="77777777" w:rsidR="00BE36FB" w:rsidRPr="009B7B35" w:rsidRDefault="00BE36FB" w:rsidP="001A7107">
            <w:pPr>
              <w:pStyle w:val="TableText"/>
              <w:rPr>
                <w:rFonts w:cs="Arial"/>
              </w:rPr>
            </w:pPr>
            <w:r w:rsidRPr="009B7B35">
              <w:rPr>
                <w:rFonts w:cs="Arial"/>
              </w:rPr>
              <w:t>Industry investigation</w:t>
            </w:r>
          </w:p>
        </w:tc>
        <w:tc>
          <w:tcPr>
            <w:tcW w:w="3119" w:type="dxa"/>
          </w:tcPr>
          <w:p w14:paraId="50A3BAFE" w14:textId="77777777" w:rsidR="00BE36FB" w:rsidRPr="009B7B35" w:rsidRDefault="00BE36FB" w:rsidP="001A7107">
            <w:pPr>
              <w:pStyle w:val="TableText"/>
              <w:rPr>
                <w:rFonts w:cs="Arial"/>
              </w:rPr>
            </w:pPr>
            <w:r w:rsidRPr="009B7B35">
              <w:rPr>
                <w:rFonts w:cs="Arial"/>
              </w:rPr>
              <w:t>50ha</w:t>
            </w:r>
          </w:p>
        </w:tc>
        <w:tc>
          <w:tcPr>
            <w:tcW w:w="3119" w:type="dxa"/>
          </w:tcPr>
          <w:p w14:paraId="3449731F" w14:textId="77777777" w:rsidR="00BE36FB" w:rsidRPr="009B7B35" w:rsidRDefault="00BE36FB" w:rsidP="001A7107">
            <w:pPr>
              <w:pStyle w:val="TableText"/>
              <w:rPr>
                <w:rFonts w:cs="Arial"/>
              </w:rPr>
            </w:pPr>
            <w:r w:rsidRPr="009B7B35">
              <w:rPr>
                <w:rFonts w:cs="Arial"/>
              </w:rPr>
              <w:t>Not specified</w:t>
            </w:r>
          </w:p>
        </w:tc>
      </w:tr>
      <w:tr w:rsidR="00BE36FB" w:rsidRPr="009B7B35" w14:paraId="07090745" w14:textId="77777777" w:rsidTr="001A7107">
        <w:tc>
          <w:tcPr>
            <w:tcW w:w="3118" w:type="dxa"/>
          </w:tcPr>
          <w:p w14:paraId="1DC9C5C4" w14:textId="77777777" w:rsidR="00BE36FB" w:rsidRPr="009B7B35" w:rsidRDefault="00BE36FB" w:rsidP="001A7107">
            <w:pPr>
              <w:pStyle w:val="TableText"/>
              <w:rPr>
                <w:rFonts w:cs="Arial"/>
              </w:rPr>
            </w:pPr>
            <w:r w:rsidRPr="009B7B35">
              <w:rPr>
                <w:rFonts w:cs="Arial"/>
              </w:rPr>
              <w:t>Community facilities</w:t>
            </w:r>
          </w:p>
        </w:tc>
        <w:tc>
          <w:tcPr>
            <w:tcW w:w="3119" w:type="dxa"/>
          </w:tcPr>
          <w:p w14:paraId="60B4B7D6" w14:textId="77777777" w:rsidR="00BE36FB" w:rsidRPr="009B7B35" w:rsidRDefault="00BE36FB" w:rsidP="001A7107">
            <w:pPr>
              <w:pStyle w:val="TableText"/>
              <w:rPr>
                <w:rFonts w:cs="Arial"/>
              </w:rPr>
            </w:pPr>
            <w:r w:rsidRPr="009B7B35">
              <w:rPr>
                <w:rFonts w:cs="Arial"/>
              </w:rPr>
              <w:t>Not specified</w:t>
            </w:r>
          </w:p>
        </w:tc>
        <w:tc>
          <w:tcPr>
            <w:tcW w:w="3119" w:type="dxa"/>
          </w:tcPr>
          <w:p w14:paraId="0FFD6499" w14:textId="77777777" w:rsidR="00BE36FB" w:rsidRPr="009B7B35" w:rsidRDefault="00BE36FB" w:rsidP="001A7107">
            <w:pPr>
              <w:pStyle w:val="TableText"/>
              <w:rPr>
                <w:rFonts w:cs="Arial"/>
              </w:rPr>
            </w:pPr>
            <w:r w:rsidRPr="009B7B35">
              <w:rPr>
                <w:rFonts w:cs="Arial"/>
              </w:rPr>
              <w:t>Not specified</w:t>
            </w:r>
          </w:p>
        </w:tc>
      </w:tr>
      <w:tr w:rsidR="00BE36FB" w:rsidRPr="009B7B35" w14:paraId="5549E5FF" w14:textId="77777777" w:rsidTr="001A7107">
        <w:tc>
          <w:tcPr>
            <w:tcW w:w="3118" w:type="dxa"/>
          </w:tcPr>
          <w:p w14:paraId="006892B3" w14:textId="77777777" w:rsidR="00BE36FB" w:rsidRPr="009B7B35" w:rsidRDefault="00BE36FB" w:rsidP="001A7107">
            <w:pPr>
              <w:pStyle w:val="TableText"/>
              <w:rPr>
                <w:rFonts w:cs="Arial"/>
              </w:rPr>
            </w:pPr>
            <w:r w:rsidRPr="009B7B35">
              <w:rPr>
                <w:rFonts w:cs="Arial"/>
              </w:rPr>
              <w:t xml:space="preserve">Environmental management </w:t>
            </w:r>
          </w:p>
        </w:tc>
        <w:tc>
          <w:tcPr>
            <w:tcW w:w="3119" w:type="dxa"/>
          </w:tcPr>
          <w:p w14:paraId="46D08C15" w14:textId="77777777" w:rsidR="00BE36FB" w:rsidRPr="009B7B35" w:rsidRDefault="00BE36FB" w:rsidP="001A7107">
            <w:pPr>
              <w:pStyle w:val="TableText"/>
              <w:rPr>
                <w:rFonts w:cs="Arial"/>
              </w:rPr>
            </w:pPr>
            <w:r w:rsidRPr="009B7B35">
              <w:rPr>
                <w:rFonts w:cs="Arial"/>
              </w:rPr>
              <w:t>Not specified</w:t>
            </w:r>
          </w:p>
        </w:tc>
        <w:tc>
          <w:tcPr>
            <w:tcW w:w="3119" w:type="dxa"/>
          </w:tcPr>
          <w:p w14:paraId="499ADE2B" w14:textId="77777777" w:rsidR="00BE36FB" w:rsidRPr="009B7B35" w:rsidRDefault="00BE36FB" w:rsidP="001A7107">
            <w:pPr>
              <w:pStyle w:val="TableText"/>
              <w:rPr>
                <w:rFonts w:cs="Arial"/>
              </w:rPr>
            </w:pPr>
            <w:r w:rsidRPr="009B7B35">
              <w:rPr>
                <w:rFonts w:cs="Arial"/>
              </w:rPr>
              <w:t>Not specified</w:t>
            </w:r>
          </w:p>
        </w:tc>
      </w:tr>
      <w:tr w:rsidR="00BE36FB" w:rsidRPr="009B7B35" w14:paraId="057832A8" w14:textId="77777777" w:rsidTr="001A7107">
        <w:tc>
          <w:tcPr>
            <w:tcW w:w="3118" w:type="dxa"/>
            <w:vMerge w:val="restart"/>
          </w:tcPr>
          <w:p w14:paraId="0F094154" w14:textId="77777777" w:rsidR="00BE36FB" w:rsidRPr="009B7B35" w:rsidRDefault="00BE36FB" w:rsidP="001A7107">
            <w:pPr>
              <w:pStyle w:val="TableText"/>
              <w:rPr>
                <w:rFonts w:cs="Arial"/>
              </w:rPr>
            </w:pPr>
            <w:r w:rsidRPr="009B7B35">
              <w:rPr>
                <w:rFonts w:cs="Arial"/>
              </w:rPr>
              <w:t>Limited development (constrained land)</w:t>
            </w:r>
          </w:p>
        </w:tc>
        <w:tc>
          <w:tcPr>
            <w:tcW w:w="3119" w:type="dxa"/>
          </w:tcPr>
          <w:p w14:paraId="711BF740" w14:textId="77777777" w:rsidR="00BE36FB" w:rsidRPr="009B7B35" w:rsidRDefault="00BE36FB" w:rsidP="001A7107">
            <w:pPr>
              <w:pStyle w:val="TableText"/>
              <w:rPr>
                <w:rFonts w:cs="Arial"/>
              </w:rPr>
            </w:pPr>
            <w:r w:rsidRPr="009B7B35">
              <w:rPr>
                <w:rFonts w:cs="Arial"/>
              </w:rPr>
              <w:t>50ha where in the Flood affected lands precinct</w:t>
            </w:r>
          </w:p>
        </w:tc>
        <w:tc>
          <w:tcPr>
            <w:tcW w:w="3119" w:type="dxa"/>
            <w:vMerge w:val="restart"/>
          </w:tcPr>
          <w:p w14:paraId="58E933E1" w14:textId="77777777" w:rsidR="00BE36FB" w:rsidRPr="009B7B35" w:rsidRDefault="00BE36FB" w:rsidP="001A7107">
            <w:pPr>
              <w:pStyle w:val="TableText"/>
              <w:rPr>
                <w:rFonts w:cs="Arial"/>
              </w:rPr>
            </w:pPr>
            <w:r w:rsidRPr="009B7B35">
              <w:rPr>
                <w:rFonts w:cs="Arial"/>
              </w:rPr>
              <w:t>Not specified</w:t>
            </w:r>
          </w:p>
        </w:tc>
      </w:tr>
      <w:tr w:rsidR="00BE36FB" w:rsidRPr="009B7B35" w14:paraId="286B8FE2" w14:textId="77777777" w:rsidTr="001A7107">
        <w:tc>
          <w:tcPr>
            <w:tcW w:w="3118" w:type="dxa"/>
            <w:vMerge/>
          </w:tcPr>
          <w:p w14:paraId="6F3C0A6E" w14:textId="77777777" w:rsidR="00BE36FB" w:rsidRPr="009B7B35" w:rsidRDefault="00BE36FB" w:rsidP="001A7107">
            <w:pPr>
              <w:pStyle w:val="TableText"/>
              <w:rPr>
                <w:rFonts w:cs="Arial"/>
              </w:rPr>
            </w:pPr>
          </w:p>
        </w:tc>
        <w:tc>
          <w:tcPr>
            <w:tcW w:w="3119" w:type="dxa"/>
          </w:tcPr>
          <w:p w14:paraId="6D690F06" w14:textId="77777777" w:rsidR="00BE36FB" w:rsidRPr="009B7B35" w:rsidRDefault="00BE36FB" w:rsidP="001A7107">
            <w:pPr>
              <w:pStyle w:val="TableText"/>
              <w:rPr>
                <w:rFonts w:cs="Arial"/>
              </w:rPr>
            </w:pPr>
            <w:r w:rsidRPr="009B7B35">
              <w:rPr>
                <w:rFonts w:cs="Arial"/>
              </w:rPr>
              <w:t>250ha where in the Major industry buffer precinct</w:t>
            </w:r>
          </w:p>
        </w:tc>
        <w:tc>
          <w:tcPr>
            <w:tcW w:w="3119" w:type="dxa"/>
            <w:vMerge/>
          </w:tcPr>
          <w:p w14:paraId="72725D20" w14:textId="77777777" w:rsidR="00BE36FB" w:rsidRPr="009B7B35" w:rsidRDefault="00BE36FB" w:rsidP="001A7107">
            <w:pPr>
              <w:pStyle w:val="TableText"/>
              <w:rPr>
                <w:rFonts w:cs="Arial"/>
              </w:rPr>
            </w:pPr>
          </w:p>
        </w:tc>
      </w:tr>
      <w:tr w:rsidR="00BE36FB" w:rsidRPr="009B7B35" w14:paraId="1B5EE5A1" w14:textId="77777777" w:rsidTr="001A7107">
        <w:tc>
          <w:tcPr>
            <w:tcW w:w="3118" w:type="dxa"/>
          </w:tcPr>
          <w:p w14:paraId="417BA34C" w14:textId="77777777" w:rsidR="00BE36FB" w:rsidRPr="009B7B35" w:rsidRDefault="00BE36FB" w:rsidP="001A7107">
            <w:pPr>
              <w:pStyle w:val="TableText"/>
              <w:rPr>
                <w:rFonts w:cs="Arial"/>
              </w:rPr>
            </w:pPr>
            <w:r w:rsidRPr="009B7B35">
              <w:rPr>
                <w:rFonts w:cs="Arial"/>
              </w:rPr>
              <w:t>Rural zone</w:t>
            </w:r>
          </w:p>
        </w:tc>
        <w:tc>
          <w:tcPr>
            <w:tcW w:w="3119" w:type="dxa"/>
          </w:tcPr>
          <w:p w14:paraId="3F347E6A" w14:textId="77777777" w:rsidR="00BE36FB" w:rsidRPr="009B7B35" w:rsidRDefault="00BE36FB" w:rsidP="001A7107">
            <w:pPr>
              <w:pStyle w:val="TableText"/>
              <w:rPr>
                <w:rFonts w:cs="Arial"/>
              </w:rPr>
            </w:pPr>
            <w:r w:rsidRPr="009B7B35">
              <w:rPr>
                <w:rFonts w:cs="Arial"/>
              </w:rPr>
              <w:t>250ha</w:t>
            </w:r>
          </w:p>
        </w:tc>
        <w:tc>
          <w:tcPr>
            <w:tcW w:w="3119" w:type="dxa"/>
          </w:tcPr>
          <w:p w14:paraId="5BE2803F" w14:textId="77777777" w:rsidR="00BE36FB" w:rsidRPr="009B7B35" w:rsidRDefault="00BE36FB" w:rsidP="001A7107">
            <w:pPr>
              <w:pStyle w:val="TableText"/>
              <w:rPr>
                <w:rFonts w:cs="Arial"/>
              </w:rPr>
            </w:pPr>
            <w:r w:rsidRPr="009B7B35">
              <w:rPr>
                <w:rFonts w:cs="Arial"/>
              </w:rPr>
              <w:t>300m</w:t>
            </w:r>
          </w:p>
        </w:tc>
      </w:tr>
      <w:tr w:rsidR="00BE36FB" w:rsidRPr="009B7B35" w14:paraId="0C16AC06" w14:textId="77777777" w:rsidTr="001A7107">
        <w:tc>
          <w:tcPr>
            <w:tcW w:w="3118" w:type="dxa"/>
            <w:vMerge w:val="restart"/>
          </w:tcPr>
          <w:p w14:paraId="229C04D1" w14:textId="77777777" w:rsidR="00BE36FB" w:rsidRPr="009B7B35" w:rsidRDefault="00BE36FB" w:rsidP="001A7107">
            <w:pPr>
              <w:pStyle w:val="TableText"/>
              <w:rPr>
                <w:rFonts w:cs="Arial"/>
              </w:rPr>
            </w:pPr>
            <w:r w:rsidRPr="009B7B35">
              <w:rPr>
                <w:rFonts w:cs="Arial"/>
              </w:rPr>
              <w:t>Rural residential</w:t>
            </w:r>
          </w:p>
        </w:tc>
        <w:tc>
          <w:tcPr>
            <w:tcW w:w="3119" w:type="dxa"/>
          </w:tcPr>
          <w:p w14:paraId="567189A9" w14:textId="77777777" w:rsidR="00BE36FB" w:rsidRPr="009B7B35" w:rsidRDefault="00BE36FB" w:rsidP="001A7107">
            <w:pPr>
              <w:pStyle w:val="TableText"/>
              <w:rPr>
                <w:rFonts w:cs="Arial"/>
              </w:rPr>
            </w:pPr>
            <w:r w:rsidRPr="009B7B35">
              <w:rPr>
                <w:rFonts w:cs="Arial"/>
              </w:rPr>
              <w:t>6,000m</w:t>
            </w:r>
            <w:r w:rsidRPr="009B7B35">
              <w:rPr>
                <w:rStyle w:val="StyleSuperscript"/>
                <w:rFonts w:cs="Arial"/>
              </w:rPr>
              <w:t>2</w:t>
            </w:r>
            <w:r w:rsidRPr="009B7B35">
              <w:rPr>
                <w:rFonts w:cs="Arial"/>
              </w:rPr>
              <w:t xml:space="preserve"> (where lots are provided with full service reticulated water supply) </w:t>
            </w:r>
          </w:p>
        </w:tc>
        <w:tc>
          <w:tcPr>
            <w:tcW w:w="3119" w:type="dxa"/>
            <w:vMerge w:val="restart"/>
          </w:tcPr>
          <w:p w14:paraId="5CBAFA06" w14:textId="77777777" w:rsidR="00BE36FB" w:rsidRPr="009B7B35" w:rsidRDefault="00BE36FB" w:rsidP="001A7107">
            <w:pPr>
              <w:pStyle w:val="TableText"/>
              <w:rPr>
                <w:rFonts w:cs="Arial"/>
              </w:rPr>
            </w:pPr>
            <w:r w:rsidRPr="009B7B35">
              <w:rPr>
                <w:rFonts w:cs="Arial"/>
              </w:rPr>
              <w:t xml:space="preserve">40m </w:t>
            </w:r>
          </w:p>
        </w:tc>
      </w:tr>
      <w:tr w:rsidR="00BE36FB" w:rsidRPr="009B7B35" w14:paraId="4AA574D2" w14:textId="77777777" w:rsidTr="001A7107">
        <w:tc>
          <w:tcPr>
            <w:tcW w:w="3118" w:type="dxa"/>
            <w:vMerge/>
          </w:tcPr>
          <w:p w14:paraId="5CD20E9C" w14:textId="77777777" w:rsidR="00BE36FB" w:rsidRPr="009B7B35" w:rsidRDefault="00BE36FB" w:rsidP="001A7107">
            <w:pPr>
              <w:pStyle w:val="TableText"/>
              <w:rPr>
                <w:rFonts w:cs="Arial"/>
              </w:rPr>
            </w:pPr>
          </w:p>
        </w:tc>
        <w:tc>
          <w:tcPr>
            <w:tcW w:w="3119" w:type="dxa"/>
          </w:tcPr>
          <w:p w14:paraId="01876BDD" w14:textId="77777777" w:rsidR="00BE36FB" w:rsidRPr="009B7B35" w:rsidRDefault="00BE36FB" w:rsidP="001A7107">
            <w:pPr>
              <w:pStyle w:val="TableText"/>
              <w:rPr>
                <w:rFonts w:cs="Arial"/>
              </w:rPr>
            </w:pPr>
            <w:r w:rsidRPr="009B7B35">
              <w:rPr>
                <w:rFonts w:cs="Arial"/>
              </w:rPr>
              <w:t>1.5ha (in all other circumstances including the Beecher/Burua constant flow precinct)</w:t>
            </w:r>
          </w:p>
        </w:tc>
        <w:tc>
          <w:tcPr>
            <w:tcW w:w="3119" w:type="dxa"/>
            <w:vMerge/>
          </w:tcPr>
          <w:p w14:paraId="4341B40F" w14:textId="77777777" w:rsidR="00BE36FB" w:rsidRPr="009B7B35" w:rsidRDefault="00BE36FB" w:rsidP="001A7107">
            <w:pPr>
              <w:pStyle w:val="TableText"/>
              <w:rPr>
                <w:rFonts w:cs="Arial"/>
              </w:rPr>
            </w:pPr>
          </w:p>
        </w:tc>
      </w:tr>
      <w:tr w:rsidR="00BE36FB" w:rsidRPr="009B7B35" w14:paraId="70B53C70" w14:textId="77777777" w:rsidTr="001A7107">
        <w:tc>
          <w:tcPr>
            <w:tcW w:w="3118" w:type="dxa"/>
          </w:tcPr>
          <w:p w14:paraId="487F8BA2" w14:textId="77777777" w:rsidR="00BE36FB" w:rsidRPr="009B7B35" w:rsidRDefault="00BE36FB" w:rsidP="001A7107">
            <w:pPr>
              <w:pStyle w:val="TableText"/>
              <w:rPr>
                <w:rFonts w:cs="Arial"/>
              </w:rPr>
            </w:pPr>
            <w:r w:rsidRPr="009B7B35">
              <w:rPr>
                <w:rFonts w:cs="Arial"/>
              </w:rPr>
              <w:t>Emerging community</w:t>
            </w:r>
          </w:p>
        </w:tc>
        <w:tc>
          <w:tcPr>
            <w:tcW w:w="3119" w:type="dxa"/>
          </w:tcPr>
          <w:p w14:paraId="601C9C8B" w14:textId="77777777" w:rsidR="00BE36FB" w:rsidRPr="009B7B35" w:rsidRDefault="00BE36FB" w:rsidP="001A7107">
            <w:pPr>
              <w:pStyle w:val="TableText"/>
              <w:rPr>
                <w:rFonts w:cs="Arial"/>
              </w:rPr>
            </w:pPr>
            <w:r w:rsidRPr="009B7B35">
              <w:rPr>
                <w:rFonts w:cs="Arial"/>
              </w:rPr>
              <w:t>50ha</w:t>
            </w:r>
          </w:p>
        </w:tc>
        <w:tc>
          <w:tcPr>
            <w:tcW w:w="3119" w:type="dxa"/>
          </w:tcPr>
          <w:p w14:paraId="44AE6068" w14:textId="77777777" w:rsidR="00BE36FB" w:rsidRPr="009B7B35" w:rsidRDefault="00BE36FB" w:rsidP="001A7107">
            <w:pPr>
              <w:pStyle w:val="TableText"/>
              <w:rPr>
                <w:rFonts w:cs="Arial"/>
              </w:rPr>
            </w:pPr>
            <w:r w:rsidRPr="009B7B35">
              <w:rPr>
                <w:rFonts w:cs="Arial"/>
              </w:rPr>
              <w:t>Not specified</w:t>
            </w:r>
          </w:p>
        </w:tc>
      </w:tr>
      <w:tr w:rsidR="00BE36FB" w:rsidRPr="009B7B35" w14:paraId="7E7B9DC4" w14:textId="77777777" w:rsidTr="001A7107">
        <w:tc>
          <w:tcPr>
            <w:tcW w:w="3118" w:type="dxa"/>
          </w:tcPr>
          <w:p w14:paraId="73DC798A" w14:textId="77777777" w:rsidR="00BE36FB" w:rsidRPr="009B7B35" w:rsidRDefault="00BE36FB" w:rsidP="001A7107">
            <w:pPr>
              <w:pStyle w:val="TableText"/>
              <w:rPr>
                <w:rFonts w:cs="Arial"/>
              </w:rPr>
            </w:pPr>
            <w:r w:rsidRPr="009B7B35">
              <w:rPr>
                <w:rFonts w:cs="Arial"/>
              </w:rPr>
              <w:t xml:space="preserve">Major tourism  </w:t>
            </w:r>
          </w:p>
        </w:tc>
        <w:tc>
          <w:tcPr>
            <w:tcW w:w="3119" w:type="dxa"/>
          </w:tcPr>
          <w:p w14:paraId="6C2F8FDA" w14:textId="77777777" w:rsidR="00BE36FB" w:rsidRPr="009B7B35" w:rsidRDefault="00BE36FB" w:rsidP="001A7107">
            <w:pPr>
              <w:pStyle w:val="TableText"/>
              <w:rPr>
                <w:rFonts w:cs="Arial"/>
              </w:rPr>
            </w:pPr>
            <w:r w:rsidRPr="009B7B35">
              <w:rPr>
                <w:rFonts w:cs="Arial"/>
              </w:rPr>
              <w:t>2ha</w:t>
            </w:r>
          </w:p>
        </w:tc>
        <w:tc>
          <w:tcPr>
            <w:tcW w:w="3119" w:type="dxa"/>
          </w:tcPr>
          <w:p w14:paraId="77AE8D9C" w14:textId="77777777" w:rsidR="00BE36FB" w:rsidRPr="009B7B35" w:rsidRDefault="00BE36FB" w:rsidP="001A7107">
            <w:pPr>
              <w:pStyle w:val="TableText"/>
              <w:rPr>
                <w:rFonts w:cs="Arial"/>
              </w:rPr>
            </w:pPr>
            <w:r w:rsidRPr="009B7B35">
              <w:rPr>
                <w:rFonts w:cs="Arial"/>
              </w:rPr>
              <w:t>40m</w:t>
            </w:r>
          </w:p>
        </w:tc>
      </w:tr>
      <w:tr w:rsidR="00BE36FB" w:rsidRPr="009B7B35" w14:paraId="14648802" w14:textId="77777777" w:rsidTr="001A7107">
        <w:tc>
          <w:tcPr>
            <w:tcW w:w="3118" w:type="dxa"/>
          </w:tcPr>
          <w:p w14:paraId="67607165" w14:textId="77777777" w:rsidR="00BE36FB" w:rsidRPr="009B7B35" w:rsidRDefault="00BE36FB" w:rsidP="001A7107">
            <w:pPr>
              <w:pStyle w:val="TableText"/>
              <w:rPr>
                <w:rFonts w:cs="Arial"/>
              </w:rPr>
            </w:pPr>
            <w:r w:rsidRPr="009B7B35">
              <w:rPr>
                <w:rFonts w:cs="Arial"/>
              </w:rPr>
              <w:t>Minor tourism</w:t>
            </w:r>
          </w:p>
        </w:tc>
        <w:tc>
          <w:tcPr>
            <w:tcW w:w="3119" w:type="dxa"/>
          </w:tcPr>
          <w:p w14:paraId="79EB2001" w14:textId="77777777" w:rsidR="00BE36FB" w:rsidRPr="009B7B35" w:rsidRDefault="00BE36FB" w:rsidP="001A7107">
            <w:pPr>
              <w:pStyle w:val="TableText"/>
              <w:rPr>
                <w:rFonts w:cs="Arial"/>
              </w:rPr>
            </w:pPr>
            <w:r w:rsidRPr="009B7B35">
              <w:rPr>
                <w:rFonts w:cs="Arial"/>
              </w:rPr>
              <w:t>600m</w:t>
            </w:r>
            <w:r w:rsidRPr="009B7B35">
              <w:rPr>
                <w:rStyle w:val="StyleSuperscript"/>
                <w:rFonts w:cs="Arial"/>
              </w:rPr>
              <w:t>2</w:t>
            </w:r>
          </w:p>
        </w:tc>
        <w:tc>
          <w:tcPr>
            <w:tcW w:w="3119" w:type="dxa"/>
          </w:tcPr>
          <w:p w14:paraId="4C37D148" w14:textId="77777777" w:rsidR="00BE36FB" w:rsidRPr="009B7B35" w:rsidRDefault="00BE36FB" w:rsidP="001A7107">
            <w:pPr>
              <w:pStyle w:val="TableText"/>
              <w:rPr>
                <w:rFonts w:cs="Arial"/>
              </w:rPr>
            </w:pPr>
            <w:r w:rsidRPr="009B7B35">
              <w:rPr>
                <w:rFonts w:cs="Arial"/>
              </w:rPr>
              <w:t>15m</w:t>
            </w:r>
          </w:p>
        </w:tc>
      </w:tr>
      <w:tr w:rsidR="00BE36FB" w:rsidRPr="009B7B35" w14:paraId="28C33379" w14:textId="77777777" w:rsidTr="001A7107">
        <w:tc>
          <w:tcPr>
            <w:tcW w:w="3118" w:type="dxa"/>
          </w:tcPr>
          <w:p w14:paraId="6FC267D3" w14:textId="77777777" w:rsidR="00BE36FB" w:rsidRPr="009B7B35" w:rsidRDefault="00BE36FB" w:rsidP="001A7107">
            <w:pPr>
              <w:pStyle w:val="TableText"/>
              <w:rPr>
                <w:rFonts w:cs="Arial"/>
              </w:rPr>
            </w:pPr>
            <w:r w:rsidRPr="009B7B35">
              <w:rPr>
                <w:rFonts w:cs="Arial"/>
              </w:rPr>
              <w:t>Special purpose</w:t>
            </w:r>
          </w:p>
        </w:tc>
        <w:tc>
          <w:tcPr>
            <w:tcW w:w="3119" w:type="dxa"/>
          </w:tcPr>
          <w:p w14:paraId="10160536" w14:textId="77777777" w:rsidR="00BE36FB" w:rsidRPr="009B7B35" w:rsidRDefault="00BE36FB" w:rsidP="001A7107">
            <w:pPr>
              <w:pStyle w:val="TableText"/>
              <w:rPr>
                <w:rFonts w:cs="Arial"/>
              </w:rPr>
            </w:pPr>
            <w:r w:rsidRPr="009B7B35">
              <w:rPr>
                <w:rFonts w:cs="Arial"/>
              </w:rPr>
              <w:t>Not specified</w:t>
            </w:r>
          </w:p>
        </w:tc>
        <w:tc>
          <w:tcPr>
            <w:tcW w:w="3119" w:type="dxa"/>
          </w:tcPr>
          <w:p w14:paraId="37D2B053" w14:textId="77777777" w:rsidR="00BE36FB" w:rsidRPr="009B7B35" w:rsidRDefault="00BE36FB" w:rsidP="001A7107">
            <w:pPr>
              <w:pStyle w:val="TableText"/>
              <w:rPr>
                <w:rFonts w:cs="Arial"/>
              </w:rPr>
            </w:pPr>
            <w:r w:rsidRPr="009B7B35">
              <w:rPr>
                <w:rFonts w:cs="Arial"/>
              </w:rPr>
              <w:t>Not specified</w:t>
            </w:r>
          </w:p>
        </w:tc>
      </w:tr>
    </w:tbl>
    <w:p w14:paraId="639A8232" w14:textId="77777777" w:rsidR="00BE36FB" w:rsidRPr="009B7B35" w:rsidRDefault="00BE36FB" w:rsidP="006776DA">
      <w:pPr>
        <w:pStyle w:val="Heading3"/>
        <w:numPr>
          <w:ilvl w:val="2"/>
          <w:numId w:val="883"/>
        </w:numPr>
        <w:spacing w:before="240"/>
        <w:rPr>
          <w:rFonts w:ascii="Arial" w:hAnsi="Arial"/>
          <w:sz w:val="20"/>
          <w:szCs w:val="20"/>
        </w:rPr>
      </w:pPr>
      <w:bookmarkStart w:id="272" w:name="_Toc205367400"/>
      <w:r w:rsidRPr="009B7B35">
        <w:rPr>
          <w:rFonts w:ascii="Arial" w:hAnsi="Arial"/>
          <w:sz w:val="20"/>
          <w:szCs w:val="20"/>
        </w:rPr>
        <w:t>Telecommunications facility use</w:t>
      </w:r>
      <w:bookmarkEnd w:id="272"/>
    </w:p>
    <w:p w14:paraId="39819ED1"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Application</w:t>
      </w:r>
    </w:p>
    <w:p w14:paraId="3CB68BEC" w14:textId="77777777" w:rsidR="00BE36FB" w:rsidRPr="009B7B35" w:rsidRDefault="00BE36FB" w:rsidP="001A7107">
      <w:pPr>
        <w:rPr>
          <w:rFonts w:ascii="Arial" w:hAnsi="Arial" w:cs="Arial"/>
          <w:sz w:val="20"/>
          <w:szCs w:val="20"/>
        </w:rPr>
      </w:pPr>
      <w:r w:rsidRPr="009B7B35">
        <w:rPr>
          <w:rFonts w:ascii="Arial" w:hAnsi="Arial" w:cs="Arial"/>
          <w:sz w:val="20"/>
          <w:szCs w:val="20"/>
        </w:rPr>
        <w:t>This code applies to a material change of use for telecommunications facilities where the code is identified as applicable in the tables of assessment. When using this code, reference should be made to section 5.3.2 and where applicable, section 5.3.3 located in Part 5.</w:t>
      </w:r>
    </w:p>
    <w:p w14:paraId="4222A7F6" w14:textId="77777777" w:rsidR="00BE36FB" w:rsidRPr="009B7B35" w:rsidRDefault="00BE36FB" w:rsidP="001A7107">
      <w:pPr>
        <w:pStyle w:val="Notes"/>
        <w:rPr>
          <w:rFonts w:cs="Arial"/>
          <w:sz w:val="20"/>
          <w:szCs w:val="20"/>
        </w:rPr>
      </w:pPr>
      <w:r w:rsidRPr="009B7B35">
        <w:rPr>
          <w:rFonts w:cs="Arial"/>
          <w:sz w:val="20"/>
          <w:szCs w:val="20"/>
        </w:rPr>
        <w:t xml:space="preserve">Note—Low impact telecommunications facilities are not regulated by the planning scheme. </w:t>
      </w:r>
      <w:r w:rsidRPr="009B7B35">
        <w:rPr>
          <w:rFonts w:cs="Arial"/>
          <w:i/>
          <w:sz w:val="20"/>
          <w:szCs w:val="20"/>
        </w:rPr>
        <w:t>The Telecommunications (Low Impact Facilities) Determination 1997</w:t>
      </w:r>
      <w:r w:rsidRPr="009B7B35">
        <w:rPr>
          <w:rFonts w:cs="Arial"/>
          <w:sz w:val="20"/>
          <w:szCs w:val="20"/>
        </w:rPr>
        <w:t xml:space="preserve"> provides a full list of low impact facilities. Low impact facilities remain the responsibility of the Commonwealth.</w:t>
      </w:r>
    </w:p>
    <w:p w14:paraId="4692704B"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Purpose</w:t>
      </w:r>
    </w:p>
    <w:p w14:paraId="7AEAC49C" w14:textId="77777777" w:rsidR="00BE36FB" w:rsidRPr="009B7B35" w:rsidRDefault="00BE36FB" w:rsidP="00BE36FB">
      <w:pPr>
        <w:numPr>
          <w:ilvl w:val="0"/>
          <w:numId w:val="713"/>
        </w:numPr>
        <w:rPr>
          <w:rFonts w:ascii="Arial" w:hAnsi="Arial" w:cs="Arial"/>
          <w:sz w:val="20"/>
          <w:szCs w:val="20"/>
        </w:rPr>
      </w:pPr>
      <w:r w:rsidRPr="009B7B35">
        <w:rPr>
          <w:rFonts w:ascii="Arial" w:hAnsi="Arial" w:cs="Arial"/>
          <w:sz w:val="20"/>
          <w:szCs w:val="20"/>
        </w:rPr>
        <w:t>The purpose of the telecommunications facilities use code is to ensure that telecommunication facilities are located, designed and managed to minimise impacts on the amenity of adjoining premises.</w:t>
      </w:r>
    </w:p>
    <w:p w14:paraId="1B858CEF" w14:textId="77777777" w:rsidR="00BE36FB" w:rsidRPr="009B7B35" w:rsidRDefault="00BE36FB" w:rsidP="00BE36FB">
      <w:pPr>
        <w:numPr>
          <w:ilvl w:val="0"/>
          <w:numId w:val="713"/>
        </w:numPr>
        <w:rPr>
          <w:rFonts w:ascii="Arial" w:hAnsi="Arial" w:cs="Arial"/>
          <w:sz w:val="20"/>
          <w:szCs w:val="20"/>
        </w:rPr>
      </w:pPr>
      <w:r w:rsidRPr="009B7B35">
        <w:rPr>
          <w:rFonts w:ascii="Arial" w:hAnsi="Arial" w:cs="Arial"/>
          <w:sz w:val="20"/>
          <w:szCs w:val="20"/>
        </w:rPr>
        <w:t>The purpose of the code will be achieved through the following overall outcomes:</w:t>
      </w:r>
    </w:p>
    <w:p w14:paraId="6D7C74D4" w14:textId="77777777" w:rsidR="00BE36FB" w:rsidRPr="009B7B35" w:rsidRDefault="00BE36FB" w:rsidP="00BE36FB">
      <w:pPr>
        <w:numPr>
          <w:ilvl w:val="1"/>
          <w:numId w:val="713"/>
        </w:numPr>
        <w:rPr>
          <w:rFonts w:ascii="Arial" w:hAnsi="Arial" w:cs="Arial"/>
          <w:sz w:val="20"/>
          <w:szCs w:val="20"/>
        </w:rPr>
      </w:pPr>
      <w:r w:rsidRPr="009B7B35">
        <w:rPr>
          <w:rFonts w:ascii="Arial" w:hAnsi="Arial" w:cs="Arial"/>
          <w:sz w:val="20"/>
          <w:szCs w:val="20"/>
        </w:rPr>
        <w:t>Development does not unreasonably impact on the amenity of adjoining premises and the zone.</w:t>
      </w:r>
    </w:p>
    <w:p w14:paraId="5A9AD835" w14:textId="77777777" w:rsidR="00BE36FB" w:rsidRPr="009B7B35" w:rsidRDefault="00BE36FB" w:rsidP="00BE36FB">
      <w:pPr>
        <w:numPr>
          <w:ilvl w:val="1"/>
          <w:numId w:val="713"/>
        </w:numPr>
        <w:rPr>
          <w:rFonts w:ascii="Arial" w:hAnsi="Arial" w:cs="Arial"/>
          <w:sz w:val="20"/>
          <w:szCs w:val="20"/>
        </w:rPr>
      </w:pPr>
      <w:r w:rsidRPr="009B7B35">
        <w:rPr>
          <w:rFonts w:ascii="Arial" w:hAnsi="Arial" w:cs="Arial"/>
          <w:sz w:val="20"/>
          <w:szCs w:val="20"/>
        </w:rPr>
        <w:t>Development facilitates co–location of infrastructure wherever possible.</w:t>
      </w:r>
    </w:p>
    <w:p w14:paraId="01655860" w14:textId="77777777" w:rsidR="00BE36FB" w:rsidRPr="009B7B35" w:rsidRDefault="00BE36FB" w:rsidP="00BE36FB">
      <w:pPr>
        <w:numPr>
          <w:ilvl w:val="1"/>
          <w:numId w:val="713"/>
        </w:numPr>
        <w:rPr>
          <w:rFonts w:ascii="Arial" w:hAnsi="Arial" w:cs="Arial"/>
          <w:sz w:val="20"/>
          <w:szCs w:val="20"/>
        </w:rPr>
      </w:pPr>
      <w:r w:rsidRPr="009B7B35">
        <w:rPr>
          <w:rFonts w:ascii="Arial" w:hAnsi="Arial" w:cs="Arial"/>
          <w:sz w:val="20"/>
          <w:szCs w:val="20"/>
        </w:rPr>
        <w:t>Development does not unreasonably impact on the character and streetscape of the locality.</w:t>
      </w:r>
    </w:p>
    <w:p w14:paraId="27FC1CAA" w14:textId="77777777" w:rsidR="00BE36FB" w:rsidRPr="009B7B35" w:rsidRDefault="00BE36FB" w:rsidP="006776DA">
      <w:pPr>
        <w:pStyle w:val="Heading4"/>
        <w:numPr>
          <w:ilvl w:val="3"/>
          <w:numId w:val="883"/>
        </w:numPr>
        <w:rPr>
          <w:rFonts w:ascii="Arial" w:hAnsi="Arial" w:cs="Arial"/>
          <w:sz w:val="20"/>
          <w:szCs w:val="20"/>
        </w:rPr>
      </w:pPr>
      <w:r w:rsidRPr="009B7B35">
        <w:rPr>
          <w:rFonts w:ascii="Arial" w:hAnsi="Arial" w:cs="Arial"/>
          <w:sz w:val="20"/>
          <w:szCs w:val="20"/>
        </w:rPr>
        <w:t>Assessment benchmarks</w:t>
      </w:r>
    </w:p>
    <w:p w14:paraId="0DE46BAC" w14:textId="77777777" w:rsidR="00BE36FB" w:rsidRPr="009B7B35" w:rsidRDefault="00BE36FB" w:rsidP="001A7107">
      <w:pPr>
        <w:pStyle w:val="Heading5"/>
        <w:numPr>
          <w:ilvl w:val="0"/>
          <w:numId w:val="0"/>
        </w:numPr>
        <w:rPr>
          <w:rFonts w:cs="Arial"/>
          <w:szCs w:val="20"/>
        </w:rPr>
      </w:pPr>
      <w:r w:rsidRPr="009B7B35">
        <w:rPr>
          <w:rFonts w:cs="Arial"/>
          <w:szCs w:val="20"/>
        </w:rPr>
        <w:t>Table 9.3.8.3.1— Accepted development subject to requirements and assessable development</w:t>
      </w:r>
    </w:p>
    <w:tbl>
      <w:tblPr>
        <w:tblStyle w:val="Tablestyle"/>
        <w:tblW w:w="9356" w:type="dxa"/>
        <w:tblLook w:val="0620" w:firstRow="1" w:lastRow="0" w:firstColumn="0" w:lastColumn="0" w:noHBand="1" w:noVBand="1"/>
      </w:tblPr>
      <w:tblGrid>
        <w:gridCol w:w="4678"/>
        <w:gridCol w:w="4678"/>
      </w:tblGrid>
      <w:tr w:rsidR="00BE36FB" w:rsidRPr="009B7B35" w14:paraId="285B69DF"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4678" w:type="dxa"/>
          </w:tcPr>
          <w:p w14:paraId="0F035029" w14:textId="77777777" w:rsidR="00BE36FB" w:rsidRPr="009B7B35" w:rsidRDefault="00BE36FB" w:rsidP="001A7107">
            <w:pPr>
              <w:pStyle w:val="TableText"/>
              <w:rPr>
                <w:rFonts w:cs="Arial"/>
              </w:rPr>
            </w:pPr>
            <w:r w:rsidRPr="009B7B35">
              <w:rPr>
                <w:rFonts w:cs="Arial"/>
              </w:rPr>
              <w:t>Performance outcomes</w:t>
            </w:r>
          </w:p>
        </w:tc>
        <w:tc>
          <w:tcPr>
            <w:tcW w:w="4678" w:type="dxa"/>
          </w:tcPr>
          <w:p w14:paraId="0D26E63D" w14:textId="77777777" w:rsidR="00BE36FB" w:rsidRPr="009B7B35" w:rsidRDefault="00BE36FB" w:rsidP="001A7107">
            <w:pPr>
              <w:pStyle w:val="TableText"/>
              <w:rPr>
                <w:rFonts w:cs="Arial"/>
              </w:rPr>
            </w:pPr>
            <w:r w:rsidRPr="009B7B35">
              <w:rPr>
                <w:rFonts w:cs="Arial"/>
              </w:rPr>
              <w:t>Acceptable outcomes</w:t>
            </w:r>
          </w:p>
        </w:tc>
      </w:tr>
      <w:tr w:rsidR="00BE36FB" w:rsidRPr="009B7B35" w14:paraId="59C80FAD" w14:textId="77777777" w:rsidTr="001A7107">
        <w:trPr>
          <w:cantSplit/>
        </w:trPr>
        <w:tc>
          <w:tcPr>
            <w:tcW w:w="4678" w:type="dxa"/>
            <w:gridSpan w:val="2"/>
          </w:tcPr>
          <w:p w14:paraId="55F95894" w14:textId="77777777" w:rsidR="00BE36FB" w:rsidRPr="009B7B35" w:rsidRDefault="00BE36FB" w:rsidP="001A7107">
            <w:pPr>
              <w:pStyle w:val="Tableheading"/>
              <w:rPr>
                <w:rFonts w:ascii="Arial" w:hAnsi="Arial" w:cs="Arial"/>
                <w:szCs w:val="20"/>
              </w:rPr>
            </w:pPr>
            <w:r w:rsidRPr="009B7B35">
              <w:rPr>
                <w:rFonts w:ascii="Arial" w:hAnsi="Arial" w:cs="Arial"/>
                <w:szCs w:val="20"/>
              </w:rPr>
              <w:t>For accepted development subject to requirements and assessable development</w:t>
            </w:r>
          </w:p>
        </w:tc>
      </w:tr>
      <w:tr w:rsidR="00BE36FB" w:rsidRPr="009B7B35" w14:paraId="1D34F630" w14:textId="77777777" w:rsidTr="001A7107">
        <w:trPr>
          <w:cantSplit/>
        </w:trPr>
        <w:tc>
          <w:tcPr>
            <w:tcW w:w="4678" w:type="dxa"/>
            <w:gridSpan w:val="2"/>
            <w:shd w:val="clear" w:color="auto" w:fill="BFBFBF" w:themeFill="background1" w:themeFillShade="BF"/>
          </w:tcPr>
          <w:p w14:paraId="6B0E4333" w14:textId="77777777" w:rsidR="00BE36FB" w:rsidRPr="009B7B35" w:rsidRDefault="00BE36FB" w:rsidP="001A7107">
            <w:pPr>
              <w:pStyle w:val="Tableheading"/>
              <w:rPr>
                <w:rFonts w:ascii="Arial" w:hAnsi="Arial" w:cs="Arial"/>
                <w:szCs w:val="20"/>
              </w:rPr>
            </w:pPr>
            <w:r w:rsidRPr="009B7B35">
              <w:rPr>
                <w:rFonts w:ascii="Arial" w:hAnsi="Arial" w:cs="Arial"/>
                <w:szCs w:val="20"/>
              </w:rPr>
              <w:t>Design</w:t>
            </w:r>
          </w:p>
        </w:tc>
      </w:tr>
      <w:tr w:rsidR="00BE36FB" w:rsidRPr="009B7B35" w14:paraId="7D74B549" w14:textId="77777777" w:rsidTr="001A7107">
        <w:tc>
          <w:tcPr>
            <w:tcW w:w="4678" w:type="dxa"/>
            <w:vMerge w:val="restart"/>
          </w:tcPr>
          <w:p w14:paraId="13D55041" w14:textId="77777777" w:rsidR="00BE36FB" w:rsidRPr="009B7B35" w:rsidRDefault="00BE36FB" w:rsidP="001A7107">
            <w:pPr>
              <w:pStyle w:val="TableText"/>
              <w:rPr>
                <w:rFonts w:cs="Arial"/>
                <w:b/>
              </w:rPr>
            </w:pPr>
            <w:r w:rsidRPr="009B7B35">
              <w:rPr>
                <w:rFonts w:cs="Arial"/>
                <w:b/>
              </w:rPr>
              <w:t>PO1</w:t>
            </w:r>
          </w:p>
          <w:p w14:paraId="797485A8" w14:textId="77777777" w:rsidR="00BE36FB" w:rsidRPr="009B7B35" w:rsidRDefault="00BE36FB" w:rsidP="001A7107">
            <w:pPr>
              <w:pStyle w:val="TableText"/>
              <w:rPr>
                <w:rFonts w:cs="Arial"/>
              </w:rPr>
            </w:pPr>
            <w:r w:rsidRPr="009B7B35">
              <w:rPr>
                <w:rFonts w:cs="Arial"/>
              </w:rPr>
              <w:t>Development minimises visual amenity impacts on surrounding land uses.</w:t>
            </w:r>
          </w:p>
        </w:tc>
        <w:tc>
          <w:tcPr>
            <w:tcW w:w="4678" w:type="dxa"/>
          </w:tcPr>
          <w:p w14:paraId="06387924" w14:textId="77777777" w:rsidR="00BE36FB" w:rsidRPr="009B7B35" w:rsidRDefault="00BE36FB" w:rsidP="001A7107">
            <w:pPr>
              <w:pStyle w:val="TableText"/>
              <w:rPr>
                <w:rFonts w:cs="Arial"/>
                <w:b/>
              </w:rPr>
            </w:pPr>
            <w:r w:rsidRPr="009B7B35">
              <w:rPr>
                <w:rFonts w:cs="Arial"/>
                <w:b/>
              </w:rPr>
              <w:t>AO1.1</w:t>
            </w:r>
          </w:p>
          <w:p w14:paraId="3F8C1E57" w14:textId="77777777" w:rsidR="00BE36FB" w:rsidRPr="009B7B35" w:rsidRDefault="00BE36FB" w:rsidP="001A7107">
            <w:pPr>
              <w:pStyle w:val="TableText"/>
              <w:rPr>
                <w:rFonts w:cs="Arial"/>
              </w:rPr>
            </w:pPr>
            <w:r w:rsidRPr="009B7B35">
              <w:rPr>
                <w:rFonts w:cs="Arial"/>
              </w:rPr>
              <w:t>Development does not exceed the maximum building height for the zone.</w:t>
            </w:r>
          </w:p>
        </w:tc>
      </w:tr>
      <w:tr w:rsidR="00BE36FB" w:rsidRPr="009B7B35" w14:paraId="7248264F" w14:textId="77777777" w:rsidTr="001A7107">
        <w:tc>
          <w:tcPr>
            <w:tcW w:w="4678" w:type="dxa"/>
            <w:vMerge/>
          </w:tcPr>
          <w:p w14:paraId="015BAEE1" w14:textId="77777777" w:rsidR="00BE36FB" w:rsidRPr="009B7B35" w:rsidRDefault="00BE36FB" w:rsidP="001A7107">
            <w:pPr>
              <w:pStyle w:val="TableText"/>
              <w:rPr>
                <w:rFonts w:cs="Arial"/>
              </w:rPr>
            </w:pPr>
          </w:p>
        </w:tc>
        <w:tc>
          <w:tcPr>
            <w:tcW w:w="4678" w:type="dxa"/>
          </w:tcPr>
          <w:p w14:paraId="35509CDF" w14:textId="77777777" w:rsidR="00BE36FB" w:rsidRPr="009B7B35" w:rsidRDefault="00BE36FB" w:rsidP="001A7107">
            <w:pPr>
              <w:pStyle w:val="TableText"/>
              <w:rPr>
                <w:rFonts w:cs="Arial"/>
                <w:b/>
              </w:rPr>
            </w:pPr>
            <w:r w:rsidRPr="009B7B35">
              <w:rPr>
                <w:rFonts w:cs="Arial"/>
                <w:b/>
              </w:rPr>
              <w:t>AO1.2</w:t>
            </w:r>
          </w:p>
          <w:p w14:paraId="709ED427" w14:textId="77777777" w:rsidR="00BE36FB" w:rsidRPr="009B7B35" w:rsidRDefault="00BE36FB" w:rsidP="001A7107">
            <w:pPr>
              <w:pStyle w:val="TableText"/>
              <w:rPr>
                <w:rFonts w:cs="Arial"/>
              </w:rPr>
            </w:pPr>
            <w:r w:rsidRPr="009B7B35">
              <w:rPr>
                <w:rFonts w:cs="Arial"/>
              </w:rPr>
              <w:t>Where in the Rural zone, development has the following minimum setbacks from all dwellings:</w:t>
            </w:r>
          </w:p>
          <w:p w14:paraId="183DC9E7" w14:textId="77777777" w:rsidR="00BE36FB" w:rsidRPr="009B7B35" w:rsidRDefault="00BE36FB" w:rsidP="00BE36FB">
            <w:pPr>
              <w:pStyle w:val="TableText"/>
              <w:numPr>
                <w:ilvl w:val="0"/>
                <w:numId w:val="794"/>
              </w:numPr>
              <w:rPr>
                <w:rFonts w:cs="Arial"/>
              </w:rPr>
            </w:pPr>
            <w:r w:rsidRPr="009B7B35">
              <w:rPr>
                <w:rFonts w:cs="Arial"/>
              </w:rPr>
              <w:t>10m, where the height of the structure is less than 20m</w:t>
            </w:r>
          </w:p>
          <w:p w14:paraId="15776A2D" w14:textId="77777777" w:rsidR="00BE36FB" w:rsidRPr="009B7B35" w:rsidRDefault="00BE36FB" w:rsidP="00BE36FB">
            <w:pPr>
              <w:pStyle w:val="TableText"/>
              <w:numPr>
                <w:ilvl w:val="0"/>
                <w:numId w:val="794"/>
              </w:numPr>
              <w:rPr>
                <w:rFonts w:cs="Arial"/>
              </w:rPr>
            </w:pPr>
            <w:r w:rsidRPr="009B7B35">
              <w:rPr>
                <w:rFonts w:cs="Arial"/>
              </w:rPr>
              <w:t>15m, where the height of the structure is between 20m and 30m, and</w:t>
            </w:r>
          </w:p>
          <w:p w14:paraId="21311039" w14:textId="77777777" w:rsidR="00BE36FB" w:rsidRPr="009B7B35" w:rsidRDefault="00BE36FB" w:rsidP="00BE36FB">
            <w:pPr>
              <w:pStyle w:val="TableText"/>
              <w:numPr>
                <w:ilvl w:val="0"/>
                <w:numId w:val="794"/>
              </w:numPr>
              <w:rPr>
                <w:rFonts w:cs="Arial"/>
              </w:rPr>
            </w:pPr>
            <w:r w:rsidRPr="009B7B35">
              <w:rPr>
                <w:rFonts w:cs="Arial"/>
              </w:rPr>
              <w:t>20m, where the height of the structure is greater than 30m.</w:t>
            </w:r>
          </w:p>
        </w:tc>
      </w:tr>
      <w:tr w:rsidR="00BE36FB" w:rsidRPr="009B7B35" w14:paraId="0509F9E9" w14:textId="77777777" w:rsidTr="001A7107">
        <w:tc>
          <w:tcPr>
            <w:tcW w:w="4678" w:type="dxa"/>
            <w:vMerge/>
          </w:tcPr>
          <w:p w14:paraId="54F2891A" w14:textId="77777777" w:rsidR="00BE36FB" w:rsidRPr="009B7B35" w:rsidRDefault="00BE36FB" w:rsidP="001A7107">
            <w:pPr>
              <w:pStyle w:val="TableText"/>
              <w:rPr>
                <w:rFonts w:cs="Arial"/>
              </w:rPr>
            </w:pPr>
          </w:p>
        </w:tc>
        <w:tc>
          <w:tcPr>
            <w:tcW w:w="4678" w:type="dxa"/>
          </w:tcPr>
          <w:p w14:paraId="77829391" w14:textId="77777777" w:rsidR="00BE36FB" w:rsidRPr="009B7B35" w:rsidRDefault="00BE36FB" w:rsidP="001A7107">
            <w:pPr>
              <w:pStyle w:val="TableText"/>
              <w:rPr>
                <w:rFonts w:cs="Arial"/>
                <w:b/>
              </w:rPr>
            </w:pPr>
            <w:r w:rsidRPr="009B7B35">
              <w:rPr>
                <w:rFonts w:cs="Arial"/>
                <w:b/>
              </w:rPr>
              <w:t>AO1.3</w:t>
            </w:r>
          </w:p>
          <w:p w14:paraId="67641BCF" w14:textId="77777777" w:rsidR="00BE36FB" w:rsidRPr="009B7B35" w:rsidRDefault="00BE36FB" w:rsidP="001A7107">
            <w:pPr>
              <w:pStyle w:val="TableText"/>
              <w:rPr>
                <w:rFonts w:cs="Arial"/>
              </w:rPr>
            </w:pPr>
            <w:r w:rsidRPr="009B7B35">
              <w:rPr>
                <w:rFonts w:cs="Arial"/>
              </w:rPr>
              <w:t>Where in any zone other than the Rural zone or residential zones, development has the following minimum setbacks from all property boundaries:</w:t>
            </w:r>
          </w:p>
          <w:p w14:paraId="068BB10A" w14:textId="77777777" w:rsidR="00BE36FB" w:rsidRPr="009B7B35" w:rsidRDefault="00BE36FB" w:rsidP="00BE36FB">
            <w:pPr>
              <w:pStyle w:val="TableText"/>
              <w:numPr>
                <w:ilvl w:val="0"/>
                <w:numId w:val="795"/>
              </w:numPr>
              <w:rPr>
                <w:rFonts w:cs="Arial"/>
              </w:rPr>
            </w:pPr>
            <w:r w:rsidRPr="009B7B35">
              <w:rPr>
                <w:rFonts w:cs="Arial"/>
              </w:rPr>
              <w:t>10m, where the height of the structure is less than 20m</w:t>
            </w:r>
          </w:p>
          <w:p w14:paraId="38138222" w14:textId="77777777" w:rsidR="00BE36FB" w:rsidRPr="009B7B35" w:rsidRDefault="00BE36FB" w:rsidP="00BE36FB">
            <w:pPr>
              <w:pStyle w:val="TableText"/>
              <w:numPr>
                <w:ilvl w:val="0"/>
                <w:numId w:val="795"/>
              </w:numPr>
              <w:rPr>
                <w:rFonts w:cs="Arial"/>
              </w:rPr>
            </w:pPr>
            <w:r w:rsidRPr="009B7B35">
              <w:rPr>
                <w:rFonts w:cs="Arial"/>
              </w:rPr>
              <w:t>15m, where the height of the structures is between 20m and 30m, and</w:t>
            </w:r>
          </w:p>
          <w:p w14:paraId="5F74205A" w14:textId="77777777" w:rsidR="00BE36FB" w:rsidRPr="009B7B35" w:rsidRDefault="00BE36FB" w:rsidP="00BE36FB">
            <w:pPr>
              <w:pStyle w:val="TableText"/>
              <w:numPr>
                <w:ilvl w:val="0"/>
                <w:numId w:val="795"/>
              </w:numPr>
              <w:rPr>
                <w:rFonts w:cs="Arial"/>
              </w:rPr>
            </w:pPr>
            <w:r w:rsidRPr="009B7B35">
              <w:rPr>
                <w:rFonts w:cs="Arial"/>
              </w:rPr>
              <w:t>20m, where the height of the structure is greater than 30m.</w:t>
            </w:r>
          </w:p>
        </w:tc>
      </w:tr>
      <w:tr w:rsidR="00BE36FB" w:rsidRPr="009B7B35" w14:paraId="2541E086" w14:textId="77777777" w:rsidTr="001A7107">
        <w:tc>
          <w:tcPr>
            <w:tcW w:w="4678" w:type="dxa"/>
            <w:gridSpan w:val="2"/>
            <w:shd w:val="clear" w:color="auto" w:fill="BFBFBF" w:themeFill="background1" w:themeFillShade="BF"/>
          </w:tcPr>
          <w:p w14:paraId="6AC5119F" w14:textId="77777777" w:rsidR="00BE36FB" w:rsidRPr="009B7B35" w:rsidRDefault="00BE36FB" w:rsidP="001A7107">
            <w:pPr>
              <w:pStyle w:val="Tableheading"/>
              <w:rPr>
                <w:rFonts w:ascii="Arial" w:hAnsi="Arial" w:cs="Arial"/>
                <w:szCs w:val="20"/>
              </w:rPr>
            </w:pPr>
            <w:r w:rsidRPr="009B7B35">
              <w:rPr>
                <w:rFonts w:ascii="Arial" w:hAnsi="Arial" w:cs="Arial"/>
                <w:szCs w:val="20"/>
              </w:rPr>
              <w:t>Noise</w:t>
            </w:r>
          </w:p>
        </w:tc>
      </w:tr>
      <w:tr w:rsidR="00BE36FB" w:rsidRPr="009B7B35" w14:paraId="7B9390A7" w14:textId="77777777" w:rsidTr="001A7107">
        <w:tc>
          <w:tcPr>
            <w:tcW w:w="4678" w:type="dxa"/>
          </w:tcPr>
          <w:p w14:paraId="6B4F2D8C" w14:textId="77777777" w:rsidR="00BE36FB" w:rsidRPr="009B7B35" w:rsidRDefault="00BE36FB" w:rsidP="001A7107">
            <w:pPr>
              <w:pStyle w:val="TableText"/>
              <w:rPr>
                <w:rFonts w:cs="Arial"/>
                <w:b/>
              </w:rPr>
            </w:pPr>
            <w:r w:rsidRPr="009B7B35">
              <w:rPr>
                <w:rFonts w:cs="Arial"/>
                <w:b/>
              </w:rPr>
              <w:t>PO2</w:t>
            </w:r>
          </w:p>
          <w:p w14:paraId="57934EE4" w14:textId="77777777" w:rsidR="00BE36FB" w:rsidRPr="009B7B35" w:rsidRDefault="00BE36FB" w:rsidP="001A7107">
            <w:pPr>
              <w:pStyle w:val="TableText"/>
              <w:rPr>
                <w:rFonts w:cs="Arial"/>
              </w:rPr>
            </w:pPr>
            <w:r w:rsidRPr="009B7B35">
              <w:rPr>
                <w:rFonts w:cs="Arial"/>
              </w:rPr>
              <w:t>Development does not generate noise which:</w:t>
            </w:r>
          </w:p>
          <w:p w14:paraId="4946648F" w14:textId="77777777" w:rsidR="00BE36FB" w:rsidRPr="009B7B35" w:rsidRDefault="00BE36FB" w:rsidP="00BE36FB">
            <w:pPr>
              <w:pStyle w:val="TableText"/>
              <w:numPr>
                <w:ilvl w:val="0"/>
                <w:numId w:val="796"/>
              </w:numPr>
              <w:rPr>
                <w:rFonts w:cs="Arial"/>
              </w:rPr>
            </w:pPr>
            <w:r w:rsidRPr="009B7B35">
              <w:rPr>
                <w:rFonts w:cs="Arial"/>
              </w:rPr>
              <w:t>causes nuisance, or</w:t>
            </w:r>
          </w:p>
          <w:p w14:paraId="2C8C92B9" w14:textId="77777777" w:rsidR="00BE36FB" w:rsidRPr="009B7B35" w:rsidRDefault="00BE36FB" w:rsidP="00BE36FB">
            <w:pPr>
              <w:pStyle w:val="TableText"/>
              <w:numPr>
                <w:ilvl w:val="0"/>
                <w:numId w:val="796"/>
              </w:numPr>
              <w:rPr>
                <w:rFonts w:cs="Arial"/>
              </w:rPr>
            </w:pPr>
            <w:r w:rsidRPr="009B7B35">
              <w:rPr>
                <w:rFonts w:cs="Arial"/>
              </w:rPr>
              <w:t>exceeds ambient noise levels.</w:t>
            </w:r>
          </w:p>
        </w:tc>
        <w:tc>
          <w:tcPr>
            <w:tcW w:w="4678" w:type="dxa"/>
          </w:tcPr>
          <w:p w14:paraId="27E595B4" w14:textId="77777777" w:rsidR="00BE36FB" w:rsidRPr="009B7B35" w:rsidRDefault="00BE36FB" w:rsidP="001A7107">
            <w:pPr>
              <w:pStyle w:val="TableText"/>
              <w:rPr>
                <w:rFonts w:cs="Arial"/>
                <w:b/>
              </w:rPr>
            </w:pPr>
            <w:r w:rsidRPr="009B7B35">
              <w:rPr>
                <w:rFonts w:cs="Arial"/>
                <w:b/>
              </w:rPr>
              <w:t>AO2</w:t>
            </w:r>
          </w:p>
          <w:p w14:paraId="2DACF3B5" w14:textId="77777777" w:rsidR="00BE36FB" w:rsidRPr="009B7B35" w:rsidRDefault="00BE36FB" w:rsidP="001A7107">
            <w:pPr>
              <w:pStyle w:val="TableText"/>
              <w:rPr>
                <w:rFonts w:cs="Arial"/>
              </w:rPr>
            </w:pPr>
            <w:r w:rsidRPr="009B7B35">
              <w:rPr>
                <w:rFonts w:cs="Arial"/>
              </w:rPr>
              <w:t>Development provides that:</w:t>
            </w:r>
          </w:p>
          <w:p w14:paraId="5F0E2E02" w14:textId="77777777" w:rsidR="00BE36FB" w:rsidRPr="009B7B35" w:rsidRDefault="00BE36FB" w:rsidP="00BE36FB">
            <w:pPr>
              <w:pStyle w:val="TableText"/>
              <w:numPr>
                <w:ilvl w:val="0"/>
                <w:numId w:val="722"/>
              </w:numPr>
              <w:rPr>
                <w:rFonts w:cs="Arial"/>
              </w:rPr>
            </w:pPr>
            <w:r w:rsidRPr="009B7B35">
              <w:rPr>
                <w:rFonts w:cs="Arial"/>
              </w:rPr>
              <w:t>noise levels measured as the adjusted maximum sound pressure level LAmax, adj. T at a noise sensitive place do not exceed:</w:t>
            </w:r>
          </w:p>
          <w:p w14:paraId="3E07F8F7" w14:textId="77777777" w:rsidR="00BE36FB" w:rsidRPr="009B7B35" w:rsidRDefault="00BE36FB" w:rsidP="00BE36FB">
            <w:pPr>
              <w:pStyle w:val="TableText"/>
              <w:numPr>
                <w:ilvl w:val="1"/>
                <w:numId w:val="722"/>
              </w:numPr>
              <w:rPr>
                <w:rFonts w:cs="Arial"/>
              </w:rPr>
            </w:pPr>
            <w:r w:rsidRPr="009B7B35">
              <w:rPr>
                <w:rFonts w:cs="Arial"/>
              </w:rPr>
              <w:t>background noise level plus 5dB(A) between the hours of 7am and 10pm</w:t>
            </w:r>
          </w:p>
          <w:p w14:paraId="52E6E755" w14:textId="77777777" w:rsidR="00BE36FB" w:rsidRPr="009B7B35" w:rsidRDefault="00BE36FB" w:rsidP="00BE36FB">
            <w:pPr>
              <w:pStyle w:val="TableText"/>
              <w:numPr>
                <w:ilvl w:val="1"/>
                <w:numId w:val="722"/>
              </w:numPr>
              <w:rPr>
                <w:rFonts w:cs="Arial"/>
              </w:rPr>
            </w:pPr>
            <w:r w:rsidRPr="009B7B35">
              <w:rPr>
                <w:rFonts w:cs="Arial"/>
              </w:rPr>
              <w:t>background noise level plus 3dB(A) between the hours of 10pm and 7am, and</w:t>
            </w:r>
          </w:p>
          <w:p w14:paraId="7F458C47" w14:textId="77777777" w:rsidR="00BE36FB" w:rsidRPr="009B7B35" w:rsidRDefault="00BE36FB" w:rsidP="00BE36FB">
            <w:pPr>
              <w:pStyle w:val="TableText"/>
              <w:numPr>
                <w:ilvl w:val="0"/>
                <w:numId w:val="722"/>
              </w:numPr>
              <w:rPr>
                <w:rFonts w:cs="Arial"/>
              </w:rPr>
            </w:pPr>
            <w:r w:rsidRPr="009B7B35">
              <w:rPr>
                <w:rFonts w:cs="Arial"/>
              </w:rPr>
              <w:t>noise levels measured as the adjusted maximum sound pressure level LAmax, adj. T at a business place do not exceed:</w:t>
            </w:r>
          </w:p>
          <w:p w14:paraId="2A238F48" w14:textId="77777777" w:rsidR="00BE36FB" w:rsidRPr="009B7B35" w:rsidRDefault="00BE36FB" w:rsidP="00BE36FB">
            <w:pPr>
              <w:pStyle w:val="TableText"/>
              <w:numPr>
                <w:ilvl w:val="1"/>
                <w:numId w:val="722"/>
              </w:numPr>
              <w:rPr>
                <w:rFonts w:cs="Arial"/>
              </w:rPr>
            </w:pPr>
            <w:r w:rsidRPr="009B7B35">
              <w:rPr>
                <w:rFonts w:cs="Arial"/>
              </w:rPr>
              <w:t>background noise level plus 10dB(A) between the hours of 7am and 10pm, and</w:t>
            </w:r>
          </w:p>
          <w:p w14:paraId="313C9101" w14:textId="77777777" w:rsidR="00BE36FB" w:rsidRPr="009B7B35" w:rsidRDefault="00BE36FB" w:rsidP="00BE36FB">
            <w:pPr>
              <w:pStyle w:val="TableText"/>
              <w:numPr>
                <w:ilvl w:val="1"/>
                <w:numId w:val="722"/>
              </w:numPr>
              <w:rPr>
                <w:rFonts w:cs="Arial"/>
              </w:rPr>
            </w:pPr>
            <w:r w:rsidRPr="009B7B35">
              <w:rPr>
                <w:rFonts w:cs="Arial"/>
              </w:rPr>
              <w:t>background noise level plus 8dB(A) between the hours of 10pm and 7am.</w:t>
            </w:r>
          </w:p>
        </w:tc>
      </w:tr>
      <w:tr w:rsidR="00BE36FB" w:rsidRPr="009B7B35" w14:paraId="02A75670" w14:textId="77777777" w:rsidTr="001A7107">
        <w:trPr>
          <w:cantSplit/>
        </w:trPr>
        <w:tc>
          <w:tcPr>
            <w:tcW w:w="4678" w:type="dxa"/>
            <w:gridSpan w:val="2"/>
            <w:shd w:val="clear" w:color="auto" w:fill="BFBFBF" w:themeFill="background1" w:themeFillShade="BF"/>
          </w:tcPr>
          <w:p w14:paraId="672146D5" w14:textId="77777777" w:rsidR="00BE36FB" w:rsidRPr="009B7B35" w:rsidRDefault="00BE36FB" w:rsidP="001A7107">
            <w:pPr>
              <w:pStyle w:val="Tableheading"/>
              <w:rPr>
                <w:rFonts w:ascii="Arial" w:hAnsi="Arial" w:cs="Arial"/>
                <w:szCs w:val="20"/>
              </w:rPr>
            </w:pPr>
            <w:r w:rsidRPr="009B7B35">
              <w:rPr>
                <w:rFonts w:ascii="Arial" w:hAnsi="Arial" w:cs="Arial"/>
                <w:szCs w:val="20"/>
              </w:rPr>
              <w:t>Screening and landscaping</w:t>
            </w:r>
          </w:p>
        </w:tc>
      </w:tr>
      <w:tr w:rsidR="00BE36FB" w:rsidRPr="009B7B35" w14:paraId="001F8026" w14:textId="77777777" w:rsidTr="001A7107">
        <w:tc>
          <w:tcPr>
            <w:tcW w:w="4678" w:type="dxa"/>
            <w:vMerge w:val="restart"/>
          </w:tcPr>
          <w:p w14:paraId="68ABC03B" w14:textId="77777777" w:rsidR="00BE36FB" w:rsidRPr="009B7B35" w:rsidRDefault="00BE36FB" w:rsidP="001A7107">
            <w:pPr>
              <w:pStyle w:val="TableText"/>
              <w:rPr>
                <w:rFonts w:cs="Arial"/>
                <w:b/>
              </w:rPr>
            </w:pPr>
            <w:r w:rsidRPr="009B7B35">
              <w:rPr>
                <w:rFonts w:cs="Arial"/>
                <w:b/>
              </w:rPr>
              <w:t>PO3</w:t>
            </w:r>
          </w:p>
          <w:p w14:paraId="1FFA8475" w14:textId="77777777" w:rsidR="00BE36FB" w:rsidRPr="009B7B35" w:rsidRDefault="00BE36FB" w:rsidP="001A7107">
            <w:pPr>
              <w:pStyle w:val="TableText"/>
              <w:rPr>
                <w:rFonts w:cs="Arial"/>
              </w:rPr>
            </w:pPr>
            <w:r w:rsidRPr="009B7B35">
              <w:rPr>
                <w:rFonts w:cs="Arial"/>
              </w:rPr>
              <w:t>Any building associated with a telecommunications facility is screened:</w:t>
            </w:r>
          </w:p>
          <w:p w14:paraId="68B851FF" w14:textId="77777777" w:rsidR="00BE36FB" w:rsidRPr="009B7B35" w:rsidRDefault="00BE36FB" w:rsidP="00BE36FB">
            <w:pPr>
              <w:pStyle w:val="TableText"/>
              <w:numPr>
                <w:ilvl w:val="0"/>
                <w:numId w:val="711"/>
              </w:numPr>
              <w:rPr>
                <w:rFonts w:cs="Arial"/>
              </w:rPr>
            </w:pPr>
            <w:r w:rsidRPr="009B7B35">
              <w:rPr>
                <w:rFonts w:cs="Arial"/>
              </w:rPr>
              <w:t>from view from any adjoining use and street, and</w:t>
            </w:r>
          </w:p>
          <w:p w14:paraId="022E8725" w14:textId="77777777" w:rsidR="00BE36FB" w:rsidRPr="009B7B35" w:rsidRDefault="00BE36FB" w:rsidP="00BE36FB">
            <w:pPr>
              <w:pStyle w:val="TableText"/>
              <w:numPr>
                <w:ilvl w:val="0"/>
                <w:numId w:val="711"/>
              </w:numPr>
              <w:rPr>
                <w:rFonts w:cs="Arial"/>
              </w:rPr>
            </w:pPr>
            <w:r w:rsidRPr="009B7B35">
              <w:rPr>
                <w:rFonts w:cs="Arial"/>
              </w:rPr>
              <w:t>by vegetation.</w:t>
            </w:r>
          </w:p>
        </w:tc>
        <w:tc>
          <w:tcPr>
            <w:tcW w:w="4678" w:type="dxa"/>
          </w:tcPr>
          <w:p w14:paraId="4E03524F" w14:textId="77777777" w:rsidR="00BE36FB" w:rsidRPr="009B7B35" w:rsidRDefault="00BE36FB" w:rsidP="001A7107">
            <w:pPr>
              <w:pStyle w:val="TableText"/>
              <w:rPr>
                <w:rFonts w:cs="Arial"/>
                <w:b/>
              </w:rPr>
            </w:pPr>
            <w:r w:rsidRPr="009B7B35">
              <w:rPr>
                <w:rFonts w:cs="Arial"/>
                <w:b/>
              </w:rPr>
              <w:t>AO3.1</w:t>
            </w:r>
          </w:p>
          <w:p w14:paraId="70797F8F" w14:textId="77777777" w:rsidR="00BE36FB" w:rsidRPr="009B7B35" w:rsidRDefault="00BE36FB" w:rsidP="001A7107">
            <w:pPr>
              <w:pStyle w:val="TableText"/>
              <w:rPr>
                <w:rFonts w:cs="Arial"/>
              </w:rPr>
            </w:pPr>
            <w:r w:rsidRPr="009B7B35">
              <w:rPr>
                <w:rFonts w:cs="Arial"/>
              </w:rPr>
              <w:t>A vegetation buffer with a minimum width of 2m surrounds the Telecommunications facility.</w:t>
            </w:r>
          </w:p>
        </w:tc>
      </w:tr>
      <w:tr w:rsidR="00BE36FB" w:rsidRPr="009B7B35" w14:paraId="27F0A900" w14:textId="77777777" w:rsidTr="001A7107">
        <w:trPr>
          <w:cantSplit/>
        </w:trPr>
        <w:tc>
          <w:tcPr>
            <w:tcW w:w="4678" w:type="dxa"/>
            <w:vMerge/>
          </w:tcPr>
          <w:p w14:paraId="5383D432" w14:textId="77777777" w:rsidR="00BE36FB" w:rsidRPr="009B7B35" w:rsidRDefault="00BE36FB" w:rsidP="001A7107">
            <w:pPr>
              <w:pStyle w:val="TableText"/>
              <w:rPr>
                <w:rFonts w:cs="Arial"/>
              </w:rPr>
            </w:pPr>
          </w:p>
        </w:tc>
        <w:tc>
          <w:tcPr>
            <w:tcW w:w="4678" w:type="dxa"/>
          </w:tcPr>
          <w:p w14:paraId="03706A52" w14:textId="77777777" w:rsidR="00BE36FB" w:rsidRPr="009B7B35" w:rsidRDefault="00BE36FB" w:rsidP="001A7107">
            <w:pPr>
              <w:pStyle w:val="TableText"/>
              <w:rPr>
                <w:rFonts w:cs="Arial"/>
                <w:b/>
              </w:rPr>
            </w:pPr>
            <w:r w:rsidRPr="009B7B35">
              <w:rPr>
                <w:rFonts w:cs="Arial"/>
                <w:b/>
              </w:rPr>
              <w:t>AO3.2</w:t>
            </w:r>
          </w:p>
          <w:p w14:paraId="0AAB79B9" w14:textId="77777777" w:rsidR="00BE36FB" w:rsidRPr="009B7B35" w:rsidRDefault="00BE36FB" w:rsidP="001A7107">
            <w:pPr>
              <w:pStyle w:val="TableText"/>
              <w:rPr>
                <w:rFonts w:cs="Arial"/>
              </w:rPr>
            </w:pPr>
            <w:r w:rsidRPr="009B7B35">
              <w:rPr>
                <w:rFonts w:cs="Arial"/>
              </w:rPr>
              <w:t>All vegetation buffers must:</w:t>
            </w:r>
          </w:p>
          <w:p w14:paraId="6F696EF1" w14:textId="77777777" w:rsidR="00BE36FB" w:rsidRPr="009B7B35" w:rsidRDefault="00BE36FB" w:rsidP="00BE36FB">
            <w:pPr>
              <w:pStyle w:val="TableText"/>
              <w:numPr>
                <w:ilvl w:val="0"/>
                <w:numId w:val="721"/>
              </w:numPr>
              <w:rPr>
                <w:rFonts w:cs="Arial"/>
              </w:rPr>
            </w:pPr>
            <w:r w:rsidRPr="009B7B35">
              <w:rPr>
                <w:rFonts w:cs="Arial"/>
              </w:rPr>
              <w:t>be semi–mature vegetation upon planting, and</w:t>
            </w:r>
          </w:p>
          <w:p w14:paraId="3AD2115B" w14:textId="77777777" w:rsidR="00BE36FB" w:rsidRPr="009B7B35" w:rsidRDefault="00BE36FB" w:rsidP="00BE36FB">
            <w:pPr>
              <w:pStyle w:val="TableText"/>
              <w:numPr>
                <w:ilvl w:val="0"/>
                <w:numId w:val="721"/>
              </w:numPr>
              <w:rPr>
                <w:rFonts w:cs="Arial"/>
              </w:rPr>
            </w:pPr>
            <w:r w:rsidRPr="009B7B35">
              <w:rPr>
                <w:rFonts w:cs="Arial"/>
              </w:rPr>
              <w:t>grow to a minimum height of 2m within 3 years of being planted.</w:t>
            </w:r>
          </w:p>
        </w:tc>
      </w:tr>
      <w:tr w:rsidR="00BE36FB" w:rsidRPr="009B7B35" w14:paraId="7485C9C5" w14:textId="77777777" w:rsidTr="001A7107">
        <w:trPr>
          <w:cantSplit/>
        </w:trPr>
        <w:tc>
          <w:tcPr>
            <w:tcW w:w="4678" w:type="dxa"/>
            <w:gridSpan w:val="2"/>
            <w:shd w:val="clear" w:color="auto" w:fill="BFBFBF" w:themeFill="background1" w:themeFillShade="BF"/>
          </w:tcPr>
          <w:p w14:paraId="56902FC7" w14:textId="77777777" w:rsidR="00BE36FB" w:rsidRPr="009B7B35" w:rsidRDefault="00BE36FB" w:rsidP="001A7107">
            <w:pPr>
              <w:pStyle w:val="Tableheading"/>
              <w:rPr>
                <w:rFonts w:ascii="Arial" w:hAnsi="Arial" w:cs="Arial"/>
                <w:szCs w:val="20"/>
              </w:rPr>
            </w:pPr>
            <w:r w:rsidRPr="009B7B35">
              <w:rPr>
                <w:rFonts w:ascii="Arial" w:hAnsi="Arial" w:cs="Arial"/>
                <w:szCs w:val="20"/>
              </w:rPr>
              <w:t>Security</w:t>
            </w:r>
          </w:p>
        </w:tc>
      </w:tr>
      <w:tr w:rsidR="00BE36FB" w:rsidRPr="009B7B35" w14:paraId="29600A91" w14:textId="77777777" w:rsidTr="001A7107">
        <w:trPr>
          <w:cantSplit/>
        </w:trPr>
        <w:tc>
          <w:tcPr>
            <w:tcW w:w="4678" w:type="dxa"/>
          </w:tcPr>
          <w:p w14:paraId="4B9A7AA9" w14:textId="77777777" w:rsidR="00BE36FB" w:rsidRPr="009B7B35" w:rsidRDefault="00BE36FB" w:rsidP="001A7107">
            <w:pPr>
              <w:pStyle w:val="TableText"/>
              <w:rPr>
                <w:rFonts w:cs="Arial"/>
                <w:b/>
              </w:rPr>
            </w:pPr>
            <w:r w:rsidRPr="009B7B35">
              <w:rPr>
                <w:rFonts w:cs="Arial"/>
                <w:b/>
              </w:rPr>
              <w:t>PO4</w:t>
            </w:r>
          </w:p>
          <w:p w14:paraId="0060750C" w14:textId="77777777" w:rsidR="00BE36FB" w:rsidRPr="009B7B35" w:rsidRDefault="00BE36FB" w:rsidP="001A7107">
            <w:pPr>
              <w:pStyle w:val="TableText"/>
              <w:rPr>
                <w:rFonts w:cs="Arial"/>
              </w:rPr>
            </w:pPr>
            <w:r w:rsidRPr="009B7B35">
              <w:rPr>
                <w:rFonts w:cs="Arial"/>
              </w:rPr>
              <w:t>Fencing prevents unauthorised access to telecommunications facilities.</w:t>
            </w:r>
          </w:p>
        </w:tc>
        <w:tc>
          <w:tcPr>
            <w:tcW w:w="4678" w:type="dxa"/>
          </w:tcPr>
          <w:p w14:paraId="0F77040F" w14:textId="77777777" w:rsidR="00BE36FB" w:rsidRPr="009B7B35" w:rsidRDefault="00BE36FB" w:rsidP="001A7107">
            <w:pPr>
              <w:pStyle w:val="TableText"/>
              <w:rPr>
                <w:rFonts w:cs="Arial"/>
                <w:b/>
              </w:rPr>
            </w:pPr>
            <w:r w:rsidRPr="009B7B35">
              <w:rPr>
                <w:rFonts w:cs="Arial"/>
                <w:b/>
              </w:rPr>
              <w:t>AO4</w:t>
            </w:r>
          </w:p>
          <w:p w14:paraId="63E37DDA" w14:textId="77777777" w:rsidR="00BE36FB" w:rsidRPr="009B7B35" w:rsidRDefault="00BE36FB" w:rsidP="001A7107">
            <w:pPr>
              <w:pStyle w:val="TableText"/>
              <w:rPr>
                <w:rFonts w:cs="Arial"/>
              </w:rPr>
            </w:pPr>
            <w:r w:rsidRPr="009B7B35">
              <w:rPr>
                <w:rFonts w:cs="Arial"/>
              </w:rPr>
              <w:t>A fence with a minimum height of 2m is provided around all buildings and structures.</w:t>
            </w:r>
          </w:p>
        </w:tc>
      </w:tr>
      <w:tr w:rsidR="00BE36FB" w:rsidRPr="009B7B35" w14:paraId="6DD4CCC7" w14:textId="77777777" w:rsidTr="001A7107">
        <w:trPr>
          <w:cantSplit/>
        </w:trPr>
        <w:tc>
          <w:tcPr>
            <w:tcW w:w="4678" w:type="dxa"/>
            <w:gridSpan w:val="2"/>
            <w:shd w:val="clear" w:color="auto" w:fill="BFBFBF" w:themeFill="background1" w:themeFillShade="BF"/>
          </w:tcPr>
          <w:p w14:paraId="648217B8" w14:textId="77777777" w:rsidR="00BE36FB" w:rsidRPr="009B7B35" w:rsidRDefault="00BE36FB" w:rsidP="001A7107">
            <w:pPr>
              <w:pStyle w:val="Tableheading"/>
              <w:rPr>
                <w:rFonts w:ascii="Arial" w:hAnsi="Arial" w:cs="Arial"/>
                <w:szCs w:val="20"/>
              </w:rPr>
            </w:pPr>
            <w:r w:rsidRPr="009B7B35">
              <w:rPr>
                <w:rFonts w:ascii="Arial" w:hAnsi="Arial" w:cs="Arial"/>
                <w:szCs w:val="20"/>
              </w:rPr>
              <w:t>Co–location</w:t>
            </w:r>
          </w:p>
        </w:tc>
      </w:tr>
      <w:tr w:rsidR="00BE36FB" w:rsidRPr="009B7B35" w14:paraId="657A0458" w14:textId="77777777" w:rsidTr="001A7107">
        <w:trPr>
          <w:cantSplit/>
        </w:trPr>
        <w:tc>
          <w:tcPr>
            <w:tcW w:w="4678" w:type="dxa"/>
          </w:tcPr>
          <w:p w14:paraId="17C0CD74" w14:textId="77777777" w:rsidR="00BE36FB" w:rsidRPr="009B7B35" w:rsidRDefault="00BE36FB" w:rsidP="001A7107">
            <w:pPr>
              <w:pStyle w:val="TableText"/>
              <w:rPr>
                <w:rFonts w:cs="Arial"/>
                <w:b/>
              </w:rPr>
            </w:pPr>
            <w:r w:rsidRPr="009B7B35">
              <w:rPr>
                <w:rFonts w:cs="Arial"/>
                <w:b/>
              </w:rPr>
              <w:t>PO5</w:t>
            </w:r>
          </w:p>
          <w:p w14:paraId="5A96A8FD" w14:textId="77777777" w:rsidR="00BE36FB" w:rsidRPr="009B7B35" w:rsidRDefault="00BE36FB" w:rsidP="001A7107">
            <w:pPr>
              <w:pStyle w:val="TableText"/>
              <w:rPr>
                <w:rFonts w:cs="Arial"/>
              </w:rPr>
            </w:pPr>
            <w:r w:rsidRPr="009B7B35">
              <w:rPr>
                <w:rFonts w:cs="Arial"/>
              </w:rPr>
              <w:t xml:space="preserve">Development is designed to facilitate co–location of telecommunication facilities. </w:t>
            </w:r>
          </w:p>
        </w:tc>
        <w:tc>
          <w:tcPr>
            <w:tcW w:w="4678" w:type="dxa"/>
          </w:tcPr>
          <w:p w14:paraId="60DDE78C" w14:textId="77777777" w:rsidR="00BE36FB" w:rsidRPr="009B7B35" w:rsidRDefault="00BE36FB" w:rsidP="001A7107">
            <w:pPr>
              <w:pStyle w:val="TableText"/>
              <w:rPr>
                <w:rFonts w:cs="Arial"/>
                <w:b/>
              </w:rPr>
            </w:pPr>
            <w:r w:rsidRPr="009B7B35">
              <w:rPr>
                <w:rFonts w:cs="Arial"/>
                <w:b/>
              </w:rPr>
              <w:t>AO5</w:t>
            </w:r>
          </w:p>
          <w:p w14:paraId="3C08C671" w14:textId="77777777" w:rsidR="00BE36FB" w:rsidRPr="009B7B35" w:rsidRDefault="00BE36FB" w:rsidP="001A7107">
            <w:pPr>
              <w:pStyle w:val="TableText"/>
              <w:rPr>
                <w:rFonts w:cs="Arial"/>
              </w:rPr>
            </w:pPr>
            <w:r w:rsidRPr="009B7B35">
              <w:rPr>
                <w:rFonts w:cs="Arial"/>
              </w:rPr>
              <w:t>Development:</w:t>
            </w:r>
          </w:p>
          <w:p w14:paraId="37B1BC10" w14:textId="77777777" w:rsidR="00BE36FB" w:rsidRPr="009B7B35" w:rsidRDefault="00BE36FB" w:rsidP="00BE36FB">
            <w:pPr>
              <w:pStyle w:val="TableText"/>
              <w:numPr>
                <w:ilvl w:val="0"/>
                <w:numId w:val="712"/>
              </w:numPr>
              <w:rPr>
                <w:rFonts w:cs="Arial"/>
              </w:rPr>
            </w:pPr>
            <w:r w:rsidRPr="009B7B35">
              <w:rPr>
                <w:rFonts w:cs="Arial"/>
              </w:rPr>
              <w:t>ensures the design facilitates co–masting or co–siting with other carriers, or</w:t>
            </w:r>
          </w:p>
          <w:p w14:paraId="38887194" w14:textId="77777777" w:rsidR="00BE36FB" w:rsidRPr="009B7B35" w:rsidRDefault="00BE36FB" w:rsidP="00BE36FB">
            <w:pPr>
              <w:pStyle w:val="TableText"/>
              <w:numPr>
                <w:ilvl w:val="0"/>
                <w:numId w:val="712"/>
              </w:numPr>
              <w:rPr>
                <w:rFonts w:cs="Arial"/>
              </w:rPr>
            </w:pPr>
            <w:r w:rsidRPr="009B7B35">
              <w:rPr>
                <w:rFonts w:cs="Arial"/>
              </w:rPr>
              <w:t>involves co–location with an existing telecommunications facility.</w:t>
            </w:r>
          </w:p>
        </w:tc>
      </w:tr>
    </w:tbl>
    <w:p w14:paraId="15058C0C" w14:textId="77777777" w:rsidR="000D716B" w:rsidRDefault="000D716B">
      <w:pPr>
        <w:rPr>
          <w:rFonts w:ascii="Arial" w:eastAsia="Calibri" w:hAnsi="Arial" w:cs="Arial"/>
          <w:sz w:val="20"/>
          <w:szCs w:val="20"/>
        </w:rPr>
      </w:pPr>
    </w:p>
    <w:p w14:paraId="10DA674D" w14:textId="77777777" w:rsidR="000D716B" w:rsidRDefault="000D716B">
      <w:pPr>
        <w:rPr>
          <w:rFonts w:ascii="Arial" w:eastAsia="Calibri" w:hAnsi="Arial" w:cs="Arial"/>
          <w:sz w:val="20"/>
          <w:szCs w:val="20"/>
        </w:rPr>
      </w:pPr>
      <w:r>
        <w:rPr>
          <w:rFonts w:ascii="Arial" w:eastAsia="Calibri" w:hAnsi="Arial" w:cs="Arial"/>
          <w:sz w:val="20"/>
          <w:szCs w:val="20"/>
        </w:rPr>
        <w:br w:type="page"/>
      </w:r>
    </w:p>
    <w:p w14:paraId="25B9BEA1" w14:textId="77777777" w:rsidR="00BE36FB" w:rsidRPr="009B7B35" w:rsidRDefault="00BE36FB">
      <w:pPr>
        <w:rPr>
          <w:rFonts w:ascii="Arial" w:eastAsia="Calibri" w:hAnsi="Arial" w:cs="Arial"/>
          <w:sz w:val="20"/>
          <w:szCs w:val="20"/>
        </w:rPr>
      </w:pPr>
    </w:p>
    <w:p w14:paraId="61D2EF2B" w14:textId="77777777" w:rsidR="00BE36FB" w:rsidRPr="009B7B35" w:rsidRDefault="00BE36FB" w:rsidP="006776DA">
      <w:pPr>
        <w:pStyle w:val="Heading1"/>
        <w:numPr>
          <w:ilvl w:val="0"/>
          <w:numId w:val="883"/>
        </w:numPr>
        <w:rPr>
          <w:rFonts w:ascii="Arial" w:hAnsi="Arial"/>
          <w:sz w:val="20"/>
          <w:szCs w:val="20"/>
        </w:rPr>
      </w:pPr>
      <w:bookmarkStart w:id="273" w:name="_Toc205367401"/>
      <w:r w:rsidRPr="009B7B35">
        <w:rPr>
          <w:rFonts w:ascii="Arial" w:hAnsi="Arial"/>
          <w:sz w:val="20"/>
          <w:szCs w:val="20"/>
        </w:rPr>
        <w:t>Other plans</w:t>
      </w:r>
      <w:bookmarkEnd w:id="273"/>
    </w:p>
    <w:p w14:paraId="742E25CD" w14:textId="77777777" w:rsidR="00BE36FB" w:rsidRPr="009B7B35" w:rsidRDefault="00BE36FB" w:rsidP="001A7107">
      <w:pPr>
        <w:rPr>
          <w:rFonts w:ascii="Arial" w:hAnsi="Arial" w:cs="Arial"/>
          <w:sz w:val="20"/>
          <w:szCs w:val="20"/>
        </w:rPr>
      </w:pPr>
      <w:r w:rsidRPr="009B7B35">
        <w:rPr>
          <w:rFonts w:ascii="Arial" w:hAnsi="Arial" w:cs="Arial"/>
          <w:sz w:val="20"/>
          <w:szCs w:val="20"/>
        </w:rPr>
        <w:t>Development within certain areas of the region is governed by plans and legislation which overrides or otherwise affects the operation of the Gladstone Region Planning Scheme.</w:t>
      </w:r>
    </w:p>
    <w:p w14:paraId="296D19DE" w14:textId="77777777" w:rsidR="00BE36FB" w:rsidRPr="009B7B35" w:rsidRDefault="00BE36FB" w:rsidP="001A7107">
      <w:pPr>
        <w:rPr>
          <w:rFonts w:ascii="Arial" w:hAnsi="Arial" w:cs="Arial"/>
          <w:sz w:val="20"/>
          <w:szCs w:val="20"/>
        </w:rPr>
      </w:pPr>
    </w:p>
    <w:p w14:paraId="59861ECE" w14:textId="77777777" w:rsidR="00BE36FB" w:rsidRPr="009B7B35" w:rsidRDefault="00BE36FB" w:rsidP="001A7107">
      <w:pPr>
        <w:rPr>
          <w:rFonts w:ascii="Arial" w:hAnsi="Arial" w:cs="Arial"/>
          <w:sz w:val="20"/>
          <w:szCs w:val="20"/>
        </w:rPr>
      </w:pPr>
      <w:r w:rsidRPr="009B7B35">
        <w:rPr>
          <w:rFonts w:ascii="Arial" w:hAnsi="Arial" w:cs="Arial"/>
          <w:sz w:val="20"/>
          <w:szCs w:val="20"/>
        </w:rPr>
        <w:t>The following sections provide an overview of the areas affected and the effect of the other plans on the planning and development of those areas.</w:t>
      </w:r>
    </w:p>
    <w:p w14:paraId="0958B7C8" w14:textId="77777777" w:rsidR="00BE36FB" w:rsidRPr="009B7B35" w:rsidRDefault="00BE36FB" w:rsidP="001A7107">
      <w:pPr>
        <w:rPr>
          <w:rFonts w:ascii="Arial" w:hAnsi="Arial" w:cs="Arial"/>
          <w:sz w:val="20"/>
          <w:szCs w:val="20"/>
        </w:rPr>
      </w:pPr>
    </w:p>
    <w:p w14:paraId="2B8F1932" w14:textId="77777777" w:rsidR="00BE36FB" w:rsidRPr="009B7B35" w:rsidRDefault="00BE36FB" w:rsidP="001A7107">
      <w:pPr>
        <w:rPr>
          <w:rFonts w:ascii="Arial" w:hAnsi="Arial" w:cs="Arial"/>
          <w:sz w:val="20"/>
          <w:szCs w:val="20"/>
        </w:rPr>
      </w:pPr>
      <w:r w:rsidRPr="009B7B35">
        <w:rPr>
          <w:rFonts w:ascii="Arial" w:hAnsi="Arial" w:cs="Arial"/>
          <w:sz w:val="20"/>
          <w:szCs w:val="20"/>
        </w:rPr>
        <w:t>For further detail on the specific effects, reference should be made to those plans and their governing legislation.</w:t>
      </w:r>
    </w:p>
    <w:p w14:paraId="2BC66D14" w14:textId="77777777" w:rsidR="00BE36FB" w:rsidRPr="009B7B35" w:rsidRDefault="00BE36FB" w:rsidP="003A35DA">
      <w:pPr>
        <w:pStyle w:val="Heading2"/>
        <w:numPr>
          <w:ilvl w:val="1"/>
          <w:numId w:val="883"/>
        </w:numPr>
        <w:ind w:left="567" w:hanging="567"/>
        <w:rPr>
          <w:rFonts w:ascii="Arial" w:hAnsi="Arial"/>
          <w:sz w:val="20"/>
          <w:szCs w:val="20"/>
        </w:rPr>
      </w:pPr>
      <w:bookmarkStart w:id="274" w:name="_Toc205367402"/>
      <w:r w:rsidRPr="009B7B35">
        <w:rPr>
          <w:rFonts w:ascii="Arial" w:hAnsi="Arial"/>
          <w:sz w:val="20"/>
          <w:szCs w:val="20"/>
        </w:rPr>
        <w:t xml:space="preserve">State Development Areas – </w:t>
      </w:r>
      <w:r w:rsidRPr="009B7B35">
        <w:rPr>
          <w:rFonts w:ascii="Arial" w:hAnsi="Arial"/>
          <w:i/>
          <w:sz w:val="20"/>
          <w:szCs w:val="20"/>
        </w:rPr>
        <w:t>State Development and Public Works Organisation Act 1971</w:t>
      </w:r>
      <w:bookmarkEnd w:id="274"/>
    </w:p>
    <w:p w14:paraId="765370E7" w14:textId="77777777" w:rsidR="00BE36FB" w:rsidRPr="009B7B35" w:rsidRDefault="00BE36FB" w:rsidP="001A7107">
      <w:pPr>
        <w:rPr>
          <w:rFonts w:ascii="Arial" w:hAnsi="Arial" w:cs="Arial"/>
          <w:sz w:val="20"/>
          <w:szCs w:val="20"/>
        </w:rPr>
      </w:pPr>
      <w:r w:rsidRPr="009B7B35">
        <w:rPr>
          <w:rFonts w:ascii="Arial" w:hAnsi="Arial" w:cs="Arial"/>
          <w:sz w:val="20"/>
          <w:szCs w:val="20"/>
        </w:rPr>
        <w:t>Gladstone Region includes three areas declared by the state government as State development areas (SDAs). SDAs are clearly defined areas of land established by the Coordinator–General to promote economic development in Queensland.</w:t>
      </w:r>
    </w:p>
    <w:p w14:paraId="7A1F498C" w14:textId="77777777" w:rsidR="00BE36FB" w:rsidRPr="009B7B35" w:rsidRDefault="00BE36FB" w:rsidP="001A7107">
      <w:pPr>
        <w:rPr>
          <w:rFonts w:ascii="Arial" w:hAnsi="Arial" w:cs="Arial"/>
          <w:sz w:val="20"/>
          <w:szCs w:val="20"/>
        </w:rPr>
      </w:pPr>
    </w:p>
    <w:p w14:paraId="1D5574FA"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State development areas are created under section 77 of the </w:t>
      </w:r>
      <w:r w:rsidRPr="009B7B35">
        <w:rPr>
          <w:rStyle w:val="StyleItalic"/>
          <w:rFonts w:cs="Arial"/>
          <w:szCs w:val="20"/>
        </w:rPr>
        <w:t>State Development and Public Works Organisation Act 1971</w:t>
      </w:r>
      <w:r w:rsidRPr="009B7B35">
        <w:rPr>
          <w:rFonts w:ascii="Arial" w:hAnsi="Arial" w:cs="Arial"/>
          <w:sz w:val="20"/>
          <w:szCs w:val="20"/>
        </w:rPr>
        <w:t>.</w:t>
      </w:r>
    </w:p>
    <w:p w14:paraId="72754AB2" w14:textId="77777777" w:rsidR="00BE36FB" w:rsidRPr="009B7B35" w:rsidRDefault="00BE36FB" w:rsidP="001A7107">
      <w:pPr>
        <w:rPr>
          <w:rFonts w:ascii="Arial" w:hAnsi="Arial" w:cs="Arial"/>
          <w:sz w:val="20"/>
          <w:szCs w:val="20"/>
        </w:rPr>
      </w:pPr>
    </w:p>
    <w:p w14:paraId="18BF917E"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SDAs are listed in the </w:t>
      </w:r>
      <w:r w:rsidRPr="009B7B35">
        <w:rPr>
          <w:rStyle w:val="StyleItalic"/>
          <w:rFonts w:cs="Arial"/>
          <w:szCs w:val="20"/>
        </w:rPr>
        <w:t>State Development and Public Works Organisation (State Development Areas) Regulation</w:t>
      </w:r>
      <w:r w:rsidRPr="009B7B35">
        <w:rPr>
          <w:rFonts w:ascii="Arial" w:hAnsi="Arial" w:cs="Arial"/>
          <w:sz w:val="20"/>
          <w:szCs w:val="20"/>
        </w:rPr>
        <w:t>, which identifies the regulatory maps for each SDA.</w:t>
      </w:r>
    </w:p>
    <w:p w14:paraId="083D47F3" w14:textId="77777777" w:rsidR="00BE36FB" w:rsidRPr="009B7B35" w:rsidRDefault="00BE36FB" w:rsidP="001A7107">
      <w:pPr>
        <w:rPr>
          <w:rFonts w:ascii="Arial" w:hAnsi="Arial" w:cs="Arial"/>
          <w:sz w:val="20"/>
          <w:szCs w:val="20"/>
        </w:rPr>
      </w:pPr>
    </w:p>
    <w:p w14:paraId="31FDD918" w14:textId="77777777" w:rsidR="00BE36FB" w:rsidRPr="009B7B35" w:rsidRDefault="00BE36FB" w:rsidP="001A7107">
      <w:pPr>
        <w:rPr>
          <w:rFonts w:ascii="Arial" w:hAnsi="Arial" w:cs="Arial"/>
          <w:sz w:val="20"/>
          <w:szCs w:val="20"/>
        </w:rPr>
      </w:pPr>
      <w:r w:rsidRPr="009B7B35">
        <w:rPr>
          <w:rFonts w:ascii="Arial" w:hAnsi="Arial" w:cs="Arial"/>
          <w:sz w:val="20"/>
          <w:szCs w:val="20"/>
        </w:rPr>
        <w:t>Each SDA is subject to a development scheme that controls land–use and infrastructure planning and development in the SDA. The Coordinator–General is responsible for the planning, establishment and ongoing management of SDAs throughout Queensland.</w:t>
      </w:r>
    </w:p>
    <w:p w14:paraId="727E40D0" w14:textId="77777777" w:rsidR="00BE36FB" w:rsidRPr="009B7B35" w:rsidRDefault="00BE36FB" w:rsidP="001A7107">
      <w:pPr>
        <w:rPr>
          <w:rFonts w:ascii="Arial" w:hAnsi="Arial" w:cs="Arial"/>
          <w:sz w:val="20"/>
          <w:szCs w:val="20"/>
        </w:rPr>
      </w:pPr>
    </w:p>
    <w:p w14:paraId="70895642" w14:textId="77777777" w:rsidR="00BE36FB" w:rsidRPr="009B7B35" w:rsidRDefault="00BE36FB" w:rsidP="001A7107">
      <w:pPr>
        <w:rPr>
          <w:rFonts w:ascii="Arial" w:hAnsi="Arial" w:cs="Arial"/>
          <w:sz w:val="20"/>
          <w:szCs w:val="20"/>
        </w:rPr>
      </w:pPr>
      <w:r w:rsidRPr="009B7B35">
        <w:rPr>
          <w:rFonts w:ascii="Arial" w:hAnsi="Arial" w:cs="Arial"/>
          <w:sz w:val="20"/>
          <w:szCs w:val="20"/>
        </w:rPr>
        <w:t>In an SDA, the Coordinator–General:</w:t>
      </w:r>
    </w:p>
    <w:p w14:paraId="5FBF14FD" w14:textId="77777777" w:rsidR="00BE36FB" w:rsidRPr="009B7B35" w:rsidRDefault="00BE36FB" w:rsidP="00BE36FB">
      <w:pPr>
        <w:numPr>
          <w:ilvl w:val="0"/>
          <w:numId w:val="825"/>
        </w:numPr>
        <w:rPr>
          <w:rFonts w:ascii="Arial" w:hAnsi="Arial" w:cs="Arial"/>
          <w:sz w:val="20"/>
          <w:szCs w:val="20"/>
        </w:rPr>
      </w:pPr>
      <w:r w:rsidRPr="009B7B35">
        <w:rPr>
          <w:rFonts w:ascii="Arial" w:hAnsi="Arial" w:cs="Arial"/>
          <w:sz w:val="20"/>
          <w:szCs w:val="20"/>
        </w:rPr>
        <w:t>Controls land–use activities.</w:t>
      </w:r>
    </w:p>
    <w:p w14:paraId="40952738" w14:textId="77777777" w:rsidR="00BE36FB" w:rsidRPr="009B7B35" w:rsidRDefault="00BE36FB" w:rsidP="00BE36FB">
      <w:pPr>
        <w:numPr>
          <w:ilvl w:val="0"/>
          <w:numId w:val="825"/>
        </w:numPr>
        <w:rPr>
          <w:rFonts w:ascii="Arial" w:hAnsi="Arial" w:cs="Arial"/>
          <w:sz w:val="20"/>
          <w:szCs w:val="20"/>
        </w:rPr>
      </w:pPr>
      <w:r w:rsidRPr="009B7B35">
        <w:rPr>
          <w:rFonts w:ascii="Arial" w:hAnsi="Arial" w:cs="Arial"/>
          <w:sz w:val="20"/>
          <w:szCs w:val="20"/>
        </w:rPr>
        <w:t>Implements the development scheme.</w:t>
      </w:r>
    </w:p>
    <w:p w14:paraId="350E6C1B" w14:textId="77777777" w:rsidR="00BE36FB" w:rsidRPr="009B7B35" w:rsidRDefault="00BE36FB" w:rsidP="00BE36FB">
      <w:pPr>
        <w:numPr>
          <w:ilvl w:val="0"/>
          <w:numId w:val="825"/>
        </w:numPr>
        <w:rPr>
          <w:rFonts w:ascii="Arial" w:hAnsi="Arial" w:cs="Arial"/>
          <w:sz w:val="20"/>
          <w:szCs w:val="20"/>
        </w:rPr>
      </w:pPr>
      <w:r w:rsidRPr="009B7B35">
        <w:rPr>
          <w:rFonts w:ascii="Arial" w:hAnsi="Arial" w:cs="Arial"/>
          <w:sz w:val="20"/>
          <w:szCs w:val="20"/>
        </w:rPr>
        <w:t>Assesses and approves all development, or material change of use, applications.</w:t>
      </w:r>
    </w:p>
    <w:p w14:paraId="05561CB5" w14:textId="77777777" w:rsidR="00BE36FB" w:rsidRPr="009B7B35" w:rsidRDefault="00BE36FB" w:rsidP="001A7107">
      <w:pPr>
        <w:rPr>
          <w:rFonts w:ascii="Arial" w:hAnsi="Arial" w:cs="Arial"/>
          <w:sz w:val="20"/>
          <w:szCs w:val="20"/>
        </w:rPr>
      </w:pPr>
    </w:p>
    <w:p w14:paraId="5397F783" w14:textId="77777777" w:rsidR="00BE36FB" w:rsidRPr="009B7B35" w:rsidRDefault="00BE36FB" w:rsidP="001A7107">
      <w:pPr>
        <w:rPr>
          <w:rFonts w:ascii="Arial" w:hAnsi="Arial" w:cs="Arial"/>
          <w:sz w:val="20"/>
          <w:szCs w:val="20"/>
        </w:rPr>
      </w:pPr>
      <w:r w:rsidRPr="009B7B35">
        <w:rPr>
          <w:rFonts w:ascii="Arial" w:hAnsi="Arial" w:cs="Arial"/>
          <w:sz w:val="20"/>
          <w:szCs w:val="20"/>
        </w:rPr>
        <w:t>Any material change of use (MCU) within an SDA requires a development approval.</w:t>
      </w:r>
    </w:p>
    <w:p w14:paraId="07FF396E" w14:textId="77777777" w:rsidR="00BE36FB" w:rsidRPr="009B7B35" w:rsidRDefault="00BE36FB" w:rsidP="006776DA">
      <w:pPr>
        <w:pStyle w:val="Heading3"/>
        <w:numPr>
          <w:ilvl w:val="2"/>
          <w:numId w:val="883"/>
        </w:numPr>
        <w:spacing w:before="240"/>
        <w:rPr>
          <w:rFonts w:ascii="Arial" w:hAnsi="Arial"/>
          <w:sz w:val="20"/>
          <w:szCs w:val="20"/>
        </w:rPr>
      </w:pPr>
      <w:bookmarkStart w:id="275" w:name="_Toc205367403"/>
      <w:r w:rsidRPr="009B7B35">
        <w:rPr>
          <w:rFonts w:ascii="Arial" w:hAnsi="Arial"/>
          <w:sz w:val="20"/>
          <w:szCs w:val="20"/>
        </w:rPr>
        <w:t>Gladstone State Development Area</w:t>
      </w:r>
      <w:bookmarkEnd w:id="275"/>
    </w:p>
    <w:p w14:paraId="654AE675" w14:textId="77777777" w:rsidR="00BE36FB" w:rsidRPr="009B7B35" w:rsidRDefault="00BE36FB" w:rsidP="001A7107">
      <w:pPr>
        <w:rPr>
          <w:rFonts w:ascii="Arial" w:hAnsi="Arial" w:cs="Arial"/>
          <w:sz w:val="20"/>
          <w:szCs w:val="20"/>
        </w:rPr>
      </w:pPr>
      <w:r w:rsidRPr="009B7B35">
        <w:rPr>
          <w:rFonts w:ascii="Arial" w:hAnsi="Arial" w:cs="Arial"/>
          <w:sz w:val="20"/>
          <w:szCs w:val="20"/>
        </w:rPr>
        <w:t>The Gladstone SDA development scheme provides for industrial development of national, State and regional significance and complementary industrial, infrastructure and service uses.</w:t>
      </w:r>
    </w:p>
    <w:p w14:paraId="05780ADF" w14:textId="77777777" w:rsidR="00BE36FB" w:rsidRPr="009B7B35" w:rsidRDefault="00BE36FB" w:rsidP="001A7107">
      <w:pPr>
        <w:rPr>
          <w:rFonts w:ascii="Arial" w:hAnsi="Arial" w:cs="Arial"/>
          <w:sz w:val="20"/>
          <w:szCs w:val="20"/>
        </w:rPr>
      </w:pPr>
    </w:p>
    <w:p w14:paraId="6945C3DB" w14:textId="77777777" w:rsidR="00BE36FB" w:rsidRPr="009B7B35" w:rsidRDefault="00BE36FB" w:rsidP="001A7107">
      <w:pPr>
        <w:rPr>
          <w:rFonts w:ascii="Arial" w:hAnsi="Arial" w:cs="Arial"/>
          <w:sz w:val="20"/>
          <w:szCs w:val="20"/>
        </w:rPr>
      </w:pPr>
      <w:r w:rsidRPr="009B7B35">
        <w:rPr>
          <w:rFonts w:ascii="Arial" w:hAnsi="Arial" w:cs="Arial"/>
          <w:sz w:val="20"/>
          <w:szCs w:val="20"/>
        </w:rPr>
        <w:t>Further detail regarding development within this SDA can be found within the Gladstone SDA Development Scheme.</w:t>
      </w:r>
    </w:p>
    <w:p w14:paraId="3477A743" w14:textId="77777777" w:rsidR="00BE36FB" w:rsidRPr="009B7B35" w:rsidRDefault="00BE36FB" w:rsidP="001A7107">
      <w:pPr>
        <w:rPr>
          <w:rFonts w:ascii="Arial" w:hAnsi="Arial" w:cs="Arial"/>
          <w:sz w:val="20"/>
          <w:szCs w:val="20"/>
        </w:rPr>
      </w:pPr>
    </w:p>
    <w:p w14:paraId="6D589519" w14:textId="77777777" w:rsidR="00BE36FB" w:rsidRPr="009B7B35" w:rsidRDefault="00000000" w:rsidP="001A7107">
      <w:pPr>
        <w:rPr>
          <w:rFonts w:ascii="Arial" w:hAnsi="Arial" w:cs="Arial"/>
          <w:sz w:val="20"/>
          <w:szCs w:val="20"/>
        </w:rPr>
      </w:pPr>
      <w:hyperlink r:id="rId106" w:history="1">
        <w:r w:rsidR="00BE36FB" w:rsidRPr="009B7B35">
          <w:rPr>
            <w:rStyle w:val="Hyperlink"/>
            <w:rFonts w:ascii="Arial" w:hAnsi="Arial" w:cs="Arial"/>
            <w:sz w:val="20"/>
            <w:szCs w:val="20"/>
          </w:rPr>
          <w:t>Gladstone State Development Area Mapping</w:t>
        </w:r>
      </w:hyperlink>
    </w:p>
    <w:p w14:paraId="7A5CBF2A" w14:textId="77777777" w:rsidR="00BE36FB" w:rsidRPr="009B7B35" w:rsidRDefault="00BE36FB" w:rsidP="006776DA">
      <w:pPr>
        <w:pStyle w:val="Heading3"/>
        <w:numPr>
          <w:ilvl w:val="2"/>
          <w:numId w:val="883"/>
        </w:numPr>
        <w:spacing w:before="240"/>
        <w:rPr>
          <w:rFonts w:ascii="Arial" w:hAnsi="Arial"/>
          <w:sz w:val="20"/>
          <w:szCs w:val="20"/>
        </w:rPr>
      </w:pPr>
      <w:bookmarkStart w:id="276" w:name="_Toc205367404"/>
      <w:r w:rsidRPr="009B7B35">
        <w:rPr>
          <w:rFonts w:ascii="Arial" w:hAnsi="Arial"/>
          <w:sz w:val="20"/>
          <w:szCs w:val="20"/>
        </w:rPr>
        <w:t>Callide Infrastructure Corridor State Development Area</w:t>
      </w:r>
      <w:bookmarkEnd w:id="276"/>
    </w:p>
    <w:p w14:paraId="531E9B6D" w14:textId="77777777" w:rsidR="00BE36FB" w:rsidRPr="009B7B35" w:rsidRDefault="00BE36FB" w:rsidP="001A7107">
      <w:pPr>
        <w:rPr>
          <w:rFonts w:ascii="Arial" w:hAnsi="Arial" w:cs="Arial"/>
          <w:sz w:val="20"/>
          <w:szCs w:val="20"/>
        </w:rPr>
      </w:pPr>
      <w:r w:rsidRPr="009B7B35">
        <w:rPr>
          <w:rFonts w:ascii="Arial" w:hAnsi="Arial" w:cs="Arial"/>
          <w:sz w:val="20"/>
          <w:szCs w:val="20"/>
        </w:rPr>
        <w:t>The Callide Infrastructure Corridor SDA provides for the establishment of an efficient and effective infrastructure corridor of regional, state and national significance for co–located underground pipelines (principally for the transportation of gas) between Callide and the Gladstone SDA, to facilitate economic development.</w:t>
      </w:r>
      <w:r w:rsidRPr="009B7B35">
        <w:rPr>
          <w:rFonts w:ascii="Arial" w:hAnsi="Arial" w:cs="Arial"/>
          <w:sz w:val="20"/>
          <w:szCs w:val="20"/>
        </w:rPr>
        <w:cr/>
      </w:r>
    </w:p>
    <w:p w14:paraId="583D9776" w14:textId="77777777" w:rsidR="00BE36FB" w:rsidRPr="009B7B35" w:rsidRDefault="00BE36FB" w:rsidP="001A7107">
      <w:pPr>
        <w:rPr>
          <w:rFonts w:ascii="Arial" w:hAnsi="Arial" w:cs="Arial"/>
          <w:sz w:val="20"/>
          <w:szCs w:val="20"/>
        </w:rPr>
      </w:pPr>
      <w:r w:rsidRPr="009B7B35">
        <w:rPr>
          <w:rFonts w:ascii="Arial" w:hAnsi="Arial" w:cs="Arial"/>
          <w:sz w:val="20"/>
          <w:szCs w:val="20"/>
        </w:rPr>
        <w:t>Further detail regarding development within this SDA can be found within the Callide Infrastructure Corridor SDA Development Scheme.</w:t>
      </w:r>
    </w:p>
    <w:p w14:paraId="4DE8752A" w14:textId="77777777" w:rsidR="00BE36FB" w:rsidRPr="009B7B35" w:rsidRDefault="00BE36FB" w:rsidP="001A7107">
      <w:pPr>
        <w:rPr>
          <w:rFonts w:ascii="Arial" w:hAnsi="Arial" w:cs="Arial"/>
          <w:sz w:val="20"/>
          <w:szCs w:val="20"/>
        </w:rPr>
      </w:pPr>
    </w:p>
    <w:p w14:paraId="69E3AA4A" w14:textId="77777777" w:rsidR="00BE36FB" w:rsidRPr="009B7B35" w:rsidRDefault="00000000" w:rsidP="001A7107">
      <w:pPr>
        <w:rPr>
          <w:rFonts w:ascii="Arial" w:hAnsi="Arial" w:cs="Arial"/>
          <w:sz w:val="20"/>
          <w:szCs w:val="20"/>
        </w:rPr>
      </w:pPr>
      <w:hyperlink r:id="rId107" w:history="1">
        <w:r w:rsidR="00BE36FB" w:rsidRPr="009B7B35">
          <w:rPr>
            <w:rStyle w:val="Hyperlink"/>
            <w:rFonts w:ascii="Arial" w:hAnsi="Arial" w:cs="Arial"/>
            <w:sz w:val="20"/>
            <w:szCs w:val="20"/>
          </w:rPr>
          <w:t>Callide Infrastructure Corridor State Development Area Mapping</w:t>
        </w:r>
      </w:hyperlink>
    </w:p>
    <w:p w14:paraId="5E08D783" w14:textId="77777777" w:rsidR="00BE36FB" w:rsidRPr="009B7B35" w:rsidRDefault="00BE36FB" w:rsidP="006776DA">
      <w:pPr>
        <w:pStyle w:val="Heading3"/>
        <w:numPr>
          <w:ilvl w:val="2"/>
          <w:numId w:val="883"/>
        </w:numPr>
        <w:spacing w:before="240"/>
        <w:rPr>
          <w:rFonts w:ascii="Arial" w:hAnsi="Arial"/>
          <w:sz w:val="20"/>
          <w:szCs w:val="20"/>
        </w:rPr>
      </w:pPr>
      <w:bookmarkStart w:id="277" w:name="_Toc205367405"/>
      <w:r w:rsidRPr="009B7B35">
        <w:rPr>
          <w:rFonts w:ascii="Arial" w:hAnsi="Arial"/>
          <w:sz w:val="20"/>
          <w:szCs w:val="20"/>
        </w:rPr>
        <w:t>Stanwell–Gladstone Infrastructure Corridor State Development Area</w:t>
      </w:r>
      <w:bookmarkEnd w:id="277"/>
    </w:p>
    <w:p w14:paraId="14409562" w14:textId="77777777" w:rsidR="00BE36FB" w:rsidRPr="009B7B35" w:rsidRDefault="00BE36FB" w:rsidP="001A7107">
      <w:pPr>
        <w:rPr>
          <w:rFonts w:ascii="Arial" w:hAnsi="Arial" w:cs="Arial"/>
          <w:sz w:val="20"/>
          <w:szCs w:val="20"/>
        </w:rPr>
      </w:pPr>
      <w:r w:rsidRPr="009B7B35">
        <w:rPr>
          <w:rFonts w:ascii="Arial" w:hAnsi="Arial" w:cs="Arial"/>
          <w:sz w:val="20"/>
          <w:szCs w:val="20"/>
        </w:rPr>
        <w:t>The Stanwell–Gladstone Infrastructure Corridor SDA provides land for underground infrastructure purposes to facilitate economic development in the Rockhampton and Gladstone area.</w:t>
      </w:r>
    </w:p>
    <w:p w14:paraId="0CAF8D72" w14:textId="77777777" w:rsidR="00BE36FB" w:rsidRPr="009B7B35" w:rsidRDefault="00BE36FB" w:rsidP="001A7107">
      <w:pPr>
        <w:rPr>
          <w:rFonts w:ascii="Arial" w:hAnsi="Arial" w:cs="Arial"/>
          <w:sz w:val="20"/>
          <w:szCs w:val="20"/>
        </w:rPr>
      </w:pPr>
    </w:p>
    <w:p w14:paraId="45D214C6"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Further detail regarding development within this SDA can be found within the Stanwell–Gladstone Infrastructure Corridor SDA Development Scheme. </w:t>
      </w:r>
    </w:p>
    <w:p w14:paraId="2773B8E9" w14:textId="77777777" w:rsidR="00BE36FB" w:rsidRPr="009B7B35" w:rsidRDefault="00BE36FB" w:rsidP="001A7107">
      <w:pPr>
        <w:rPr>
          <w:rFonts w:ascii="Arial" w:hAnsi="Arial" w:cs="Arial"/>
          <w:sz w:val="20"/>
          <w:szCs w:val="20"/>
        </w:rPr>
      </w:pPr>
    </w:p>
    <w:p w14:paraId="1D899957" w14:textId="77777777" w:rsidR="00BE36FB" w:rsidRPr="009B7B35" w:rsidRDefault="00000000" w:rsidP="001A7107">
      <w:pPr>
        <w:rPr>
          <w:rFonts w:ascii="Arial" w:hAnsi="Arial" w:cs="Arial"/>
          <w:sz w:val="20"/>
          <w:szCs w:val="20"/>
        </w:rPr>
      </w:pPr>
      <w:hyperlink r:id="rId108" w:history="1">
        <w:r w:rsidR="00BE36FB" w:rsidRPr="009B7B35">
          <w:rPr>
            <w:rStyle w:val="Hyperlink"/>
            <w:rFonts w:ascii="Arial" w:hAnsi="Arial" w:cs="Arial"/>
            <w:sz w:val="20"/>
            <w:szCs w:val="20"/>
          </w:rPr>
          <w:t>Stanwell–Gladstone Infrastructure Corridor State Development Area Declaration Plan Overview Map 4 of 5</w:t>
        </w:r>
      </w:hyperlink>
    </w:p>
    <w:p w14:paraId="42CC5827" w14:textId="77777777" w:rsidR="00BE36FB" w:rsidRPr="009B7B35" w:rsidRDefault="00000000" w:rsidP="001A7107">
      <w:pPr>
        <w:rPr>
          <w:rFonts w:ascii="Arial" w:hAnsi="Arial" w:cs="Arial"/>
          <w:sz w:val="20"/>
          <w:szCs w:val="20"/>
        </w:rPr>
      </w:pPr>
      <w:hyperlink r:id="rId109" w:history="1">
        <w:r w:rsidR="00BE36FB" w:rsidRPr="009B7B35">
          <w:rPr>
            <w:rStyle w:val="Hyperlink"/>
            <w:rFonts w:ascii="Arial" w:hAnsi="Arial" w:cs="Arial"/>
            <w:sz w:val="20"/>
            <w:szCs w:val="20"/>
          </w:rPr>
          <w:t>Stanwell–Gladstone Infrastructure Corridor State Development Area Declaration Plan Overview Map 5 of 5</w:t>
        </w:r>
      </w:hyperlink>
    </w:p>
    <w:p w14:paraId="345E96D4" w14:textId="77777777" w:rsidR="00BE36FB" w:rsidRPr="009B7B35" w:rsidRDefault="00BE36FB" w:rsidP="006776DA">
      <w:pPr>
        <w:pStyle w:val="Heading2"/>
        <w:numPr>
          <w:ilvl w:val="1"/>
          <w:numId w:val="883"/>
        </w:numPr>
        <w:rPr>
          <w:rFonts w:ascii="Arial" w:hAnsi="Arial"/>
          <w:sz w:val="20"/>
          <w:szCs w:val="20"/>
        </w:rPr>
      </w:pPr>
      <w:bookmarkStart w:id="278" w:name="_Toc205367406"/>
      <w:r w:rsidRPr="009B7B35">
        <w:rPr>
          <w:rFonts w:ascii="Arial" w:hAnsi="Arial"/>
          <w:sz w:val="20"/>
          <w:szCs w:val="20"/>
        </w:rPr>
        <w:t>Port of Gladstone and Port Alma (part)</w:t>
      </w:r>
      <w:bookmarkEnd w:id="278"/>
    </w:p>
    <w:p w14:paraId="2BCD0182" w14:textId="77777777" w:rsidR="00BE36FB" w:rsidRPr="009B7B35" w:rsidRDefault="00BE36FB" w:rsidP="001A7107">
      <w:pPr>
        <w:rPr>
          <w:rFonts w:ascii="Arial" w:hAnsi="Arial" w:cs="Arial"/>
          <w:sz w:val="20"/>
          <w:szCs w:val="20"/>
        </w:rPr>
      </w:pPr>
      <w:r w:rsidRPr="009B7B35">
        <w:rPr>
          <w:rFonts w:ascii="Arial" w:hAnsi="Arial" w:cs="Arial"/>
          <w:sz w:val="20"/>
          <w:szCs w:val="20"/>
        </w:rPr>
        <w:t>Gladstone Region includes port lands operated by the Gladstone Port Corporation (GPC) being the Port of Gladstone and a part of Port Alma.</w:t>
      </w:r>
    </w:p>
    <w:p w14:paraId="72BF9E6E" w14:textId="77777777" w:rsidR="00BE36FB" w:rsidRPr="009B7B35" w:rsidRDefault="00BE36FB" w:rsidP="001A7107">
      <w:pPr>
        <w:rPr>
          <w:rFonts w:ascii="Arial" w:hAnsi="Arial" w:cs="Arial"/>
          <w:sz w:val="20"/>
          <w:szCs w:val="20"/>
        </w:rPr>
      </w:pPr>
    </w:p>
    <w:p w14:paraId="3C2DE9BB"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w:t>
      </w:r>
      <w:r w:rsidRPr="009B7B35">
        <w:rPr>
          <w:rStyle w:val="StyleItalic"/>
          <w:rFonts w:cs="Arial"/>
          <w:szCs w:val="20"/>
        </w:rPr>
        <w:t>Transport Infrastructure Act 1994</w:t>
      </w:r>
      <w:r w:rsidRPr="009B7B35">
        <w:rPr>
          <w:rFonts w:ascii="Arial" w:hAnsi="Arial" w:cs="Arial"/>
          <w:sz w:val="20"/>
          <w:szCs w:val="20"/>
        </w:rPr>
        <w:t xml:space="preserve"> (TIA) provisions require GPC to gazette a land use plan to facilitate management and assessment of development on port authority land. The Gladstone Ports Corporation Land Use Plan (LUP2012) was gazetted in March 2012.</w:t>
      </w:r>
    </w:p>
    <w:p w14:paraId="486C89DE" w14:textId="77777777" w:rsidR="00BE36FB" w:rsidRPr="009B7B35" w:rsidRDefault="00BE36FB" w:rsidP="001A7107">
      <w:pPr>
        <w:rPr>
          <w:rFonts w:ascii="Arial" w:hAnsi="Arial" w:cs="Arial"/>
          <w:sz w:val="20"/>
          <w:szCs w:val="20"/>
        </w:rPr>
      </w:pPr>
    </w:p>
    <w:p w14:paraId="06F1E8D0" w14:textId="77777777" w:rsidR="00BE36FB" w:rsidRPr="009B7B35" w:rsidRDefault="00BE36FB" w:rsidP="001A7107">
      <w:pPr>
        <w:rPr>
          <w:rFonts w:ascii="Arial" w:hAnsi="Arial" w:cs="Arial"/>
          <w:sz w:val="20"/>
          <w:szCs w:val="20"/>
        </w:rPr>
      </w:pPr>
      <w:r w:rsidRPr="009B7B35">
        <w:rPr>
          <w:rFonts w:ascii="Arial" w:hAnsi="Arial" w:cs="Arial"/>
          <w:sz w:val="20"/>
          <w:szCs w:val="20"/>
        </w:rPr>
        <w:t>The purpose of the LUP 2012 is to provide a strategic framework for the management and assessment of development on Strategic Port Land, through identifying land use precincts and appropriate land uses and defining the outcomes sought to manage growth and development of the port.</w:t>
      </w:r>
    </w:p>
    <w:p w14:paraId="097D1AE7" w14:textId="77777777" w:rsidR="00BE36FB" w:rsidRPr="009B7B35" w:rsidRDefault="00BE36FB" w:rsidP="001A7107">
      <w:pPr>
        <w:rPr>
          <w:rFonts w:ascii="Arial" w:hAnsi="Arial" w:cs="Arial"/>
          <w:sz w:val="20"/>
          <w:szCs w:val="20"/>
        </w:rPr>
      </w:pPr>
    </w:p>
    <w:p w14:paraId="1F7DD142"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GPC undertakes the responsibilities of Assessment Manager under the </w:t>
      </w:r>
      <w:r w:rsidRPr="009B7B35">
        <w:rPr>
          <w:rStyle w:val="StyleItalic"/>
          <w:rFonts w:cs="Arial"/>
          <w:szCs w:val="20"/>
        </w:rPr>
        <w:t>Planning Act 2016</w:t>
      </w:r>
      <w:r w:rsidRPr="009B7B35">
        <w:rPr>
          <w:rFonts w:ascii="Arial" w:hAnsi="Arial" w:cs="Arial"/>
          <w:sz w:val="20"/>
          <w:szCs w:val="20"/>
        </w:rPr>
        <w:t xml:space="preserve"> for assessable development on Strategic Port Land.</w:t>
      </w:r>
    </w:p>
    <w:p w14:paraId="38D19370" w14:textId="77777777" w:rsidR="00BE36FB" w:rsidRPr="009B7B35" w:rsidRDefault="00BE36FB" w:rsidP="001A7107">
      <w:pPr>
        <w:rPr>
          <w:rFonts w:ascii="Arial" w:hAnsi="Arial" w:cs="Arial"/>
          <w:sz w:val="20"/>
          <w:szCs w:val="20"/>
        </w:rPr>
      </w:pPr>
    </w:p>
    <w:p w14:paraId="5B120DF2" w14:textId="77777777" w:rsidR="00BE36FB" w:rsidRPr="009B7B35" w:rsidRDefault="00BE36FB" w:rsidP="001A7107">
      <w:pPr>
        <w:rPr>
          <w:rFonts w:ascii="Arial" w:hAnsi="Arial" w:cs="Arial"/>
          <w:sz w:val="20"/>
          <w:szCs w:val="20"/>
        </w:rPr>
      </w:pPr>
      <w:r w:rsidRPr="009B7B35">
        <w:rPr>
          <w:rFonts w:ascii="Arial" w:hAnsi="Arial" w:cs="Arial"/>
          <w:sz w:val="20"/>
          <w:szCs w:val="20"/>
        </w:rPr>
        <w:t>The LUP 2012 applies only to Strategic Port Land identified within the LUP 2012. Any other land not identified in the LUP 2012, which is owned or leased by GPC, is governed by the planning schemes of relevant local or state government authorities.</w:t>
      </w:r>
    </w:p>
    <w:p w14:paraId="5EADEA15" w14:textId="77777777" w:rsidR="00BE36FB" w:rsidRPr="009B7B35" w:rsidRDefault="00BE36FB" w:rsidP="001A7107">
      <w:pPr>
        <w:rPr>
          <w:rFonts w:ascii="Arial" w:hAnsi="Arial" w:cs="Arial"/>
          <w:sz w:val="20"/>
          <w:szCs w:val="20"/>
        </w:rPr>
      </w:pPr>
    </w:p>
    <w:p w14:paraId="50FA1A6B" w14:textId="77777777" w:rsidR="00BE36FB" w:rsidRPr="009B7B35" w:rsidRDefault="00BE36FB" w:rsidP="001A7107">
      <w:pPr>
        <w:rPr>
          <w:rFonts w:ascii="Arial" w:hAnsi="Arial" w:cs="Arial"/>
          <w:sz w:val="20"/>
          <w:szCs w:val="20"/>
        </w:rPr>
      </w:pPr>
      <w:r w:rsidRPr="009B7B35">
        <w:rPr>
          <w:rFonts w:ascii="Arial" w:hAnsi="Arial" w:cs="Arial"/>
          <w:sz w:val="20"/>
          <w:szCs w:val="20"/>
        </w:rPr>
        <w:t>Strategic Port Land which is also in the Gladstone State Development Area is governed by the Gladstone State Development Area Development Scheme.</w:t>
      </w:r>
    </w:p>
    <w:p w14:paraId="25D45F34" w14:textId="77777777" w:rsidR="00BE36FB" w:rsidRPr="009B7B35" w:rsidRDefault="00BE36FB" w:rsidP="001A7107">
      <w:pPr>
        <w:rPr>
          <w:rFonts w:ascii="Arial" w:hAnsi="Arial" w:cs="Arial"/>
          <w:sz w:val="20"/>
          <w:szCs w:val="20"/>
        </w:rPr>
      </w:pPr>
    </w:p>
    <w:p w14:paraId="5F5509AF" w14:textId="77777777" w:rsidR="00BE36FB" w:rsidRPr="009B7B35" w:rsidRDefault="00000000" w:rsidP="001A7107">
      <w:pPr>
        <w:rPr>
          <w:rFonts w:ascii="Arial" w:hAnsi="Arial" w:cs="Arial"/>
          <w:sz w:val="20"/>
          <w:szCs w:val="20"/>
        </w:rPr>
      </w:pPr>
      <w:hyperlink r:id="rId110" w:history="1">
        <w:r w:rsidR="00BE36FB" w:rsidRPr="009B7B35">
          <w:rPr>
            <w:rStyle w:val="Hyperlink"/>
            <w:rFonts w:ascii="Arial" w:hAnsi="Arial" w:cs="Arial"/>
            <w:sz w:val="20"/>
            <w:szCs w:val="20"/>
          </w:rPr>
          <w:t>Gladstone Ports Corporation Land Use Plan (LUP 2012)</w:t>
        </w:r>
      </w:hyperlink>
    </w:p>
    <w:p w14:paraId="5C615677" w14:textId="77777777" w:rsidR="00BE36FB" w:rsidRPr="009B7B35" w:rsidRDefault="00BE36FB" w:rsidP="006776DA">
      <w:pPr>
        <w:pStyle w:val="Heading2"/>
        <w:numPr>
          <w:ilvl w:val="1"/>
          <w:numId w:val="883"/>
        </w:numPr>
        <w:rPr>
          <w:rFonts w:ascii="Arial" w:hAnsi="Arial"/>
          <w:sz w:val="20"/>
          <w:szCs w:val="20"/>
        </w:rPr>
      </w:pPr>
      <w:bookmarkStart w:id="279" w:name="_Toc205367407"/>
      <w:r w:rsidRPr="009B7B35">
        <w:rPr>
          <w:rFonts w:ascii="Arial" w:hAnsi="Arial"/>
          <w:sz w:val="20"/>
          <w:szCs w:val="20"/>
        </w:rPr>
        <w:t xml:space="preserve">Priority Development Areas – </w:t>
      </w:r>
      <w:r w:rsidRPr="009B7B35">
        <w:rPr>
          <w:rFonts w:ascii="Arial" w:hAnsi="Arial"/>
          <w:i/>
          <w:sz w:val="20"/>
          <w:szCs w:val="20"/>
        </w:rPr>
        <w:t>Economic Development Act 2012</w:t>
      </w:r>
      <w:bookmarkEnd w:id="279"/>
    </w:p>
    <w:p w14:paraId="1D3EEF8B" w14:textId="77777777"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 xml:space="preserve">The Gladstone region includes three areas declared by the state government as Priority Development Areas (PDAs) under the </w:t>
      </w:r>
      <w:r w:rsidRPr="009B7B35">
        <w:rPr>
          <w:rStyle w:val="StyleItalic"/>
          <w:rFonts w:eastAsia="Calibri" w:cs="Arial"/>
          <w:szCs w:val="20"/>
        </w:rPr>
        <w:t>Economic Development Act 2012</w:t>
      </w:r>
      <w:r w:rsidRPr="009B7B35">
        <w:rPr>
          <w:rFonts w:ascii="Arial" w:eastAsia="Calibri" w:hAnsi="Arial" w:cs="Arial"/>
          <w:sz w:val="20"/>
          <w:szCs w:val="20"/>
        </w:rPr>
        <w:t>.</w:t>
      </w:r>
    </w:p>
    <w:p w14:paraId="127878F2" w14:textId="77777777" w:rsidR="00BE36FB" w:rsidRPr="009B7B35" w:rsidRDefault="00BE36FB" w:rsidP="001A7107">
      <w:pPr>
        <w:rPr>
          <w:rFonts w:ascii="Arial" w:eastAsia="Calibri" w:hAnsi="Arial" w:cs="Arial"/>
          <w:sz w:val="20"/>
          <w:szCs w:val="20"/>
        </w:rPr>
      </w:pPr>
    </w:p>
    <w:p w14:paraId="32C4A066" w14:textId="77777777" w:rsidR="00BE36FB" w:rsidRPr="009B7B35" w:rsidRDefault="00BE36FB" w:rsidP="001A7107">
      <w:pPr>
        <w:rPr>
          <w:rFonts w:ascii="Arial" w:hAnsi="Arial" w:cs="Arial"/>
          <w:sz w:val="20"/>
          <w:szCs w:val="20"/>
        </w:rPr>
      </w:pPr>
      <w:r w:rsidRPr="009B7B35">
        <w:rPr>
          <w:rFonts w:ascii="Arial" w:eastAsia="Calibri" w:hAnsi="Arial" w:cs="Arial"/>
          <w:sz w:val="20"/>
          <w:szCs w:val="20"/>
        </w:rPr>
        <w:t xml:space="preserve">PDAs are declared to facilitate the </w:t>
      </w:r>
      <w:r w:rsidRPr="009B7B35">
        <w:rPr>
          <w:rFonts w:ascii="Arial" w:hAnsi="Arial" w:cs="Arial"/>
          <w:sz w:val="20"/>
          <w:szCs w:val="20"/>
        </w:rPr>
        <w:t>development of land in Queensland for economic development or development for community purposes.</w:t>
      </w:r>
    </w:p>
    <w:p w14:paraId="3C4A43A5" w14:textId="77777777" w:rsidR="00BE36FB" w:rsidRPr="009B7B35" w:rsidRDefault="00BE36FB" w:rsidP="001A7107">
      <w:pPr>
        <w:rPr>
          <w:rFonts w:ascii="Arial" w:hAnsi="Arial" w:cs="Arial"/>
          <w:sz w:val="20"/>
          <w:szCs w:val="20"/>
        </w:rPr>
      </w:pPr>
    </w:p>
    <w:p w14:paraId="0811DB93" w14:textId="77777777"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The declarations fast track and streamline the planning for and assessment of development in the declared PDA areas.</w:t>
      </w:r>
    </w:p>
    <w:p w14:paraId="30214695" w14:textId="77777777" w:rsidR="00BE36FB" w:rsidRPr="009B7B35" w:rsidRDefault="00BE36FB" w:rsidP="001A7107">
      <w:pPr>
        <w:rPr>
          <w:rFonts w:ascii="Arial" w:eastAsia="Calibri" w:hAnsi="Arial" w:cs="Arial"/>
          <w:sz w:val="20"/>
          <w:szCs w:val="20"/>
        </w:rPr>
      </w:pPr>
    </w:p>
    <w:p w14:paraId="079D941B" w14:textId="77777777"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Development within each PDA is managed within a Development Scheme approved by the Minister for Economic Development Queensland.</w:t>
      </w:r>
    </w:p>
    <w:p w14:paraId="43477858" w14:textId="77777777" w:rsidR="00BE36FB" w:rsidRPr="009B7B35" w:rsidRDefault="00BE36FB" w:rsidP="006776DA">
      <w:pPr>
        <w:pStyle w:val="Heading3"/>
        <w:numPr>
          <w:ilvl w:val="2"/>
          <w:numId w:val="883"/>
        </w:numPr>
        <w:spacing w:before="240"/>
        <w:rPr>
          <w:rFonts w:ascii="Arial" w:eastAsia="Calibri" w:hAnsi="Arial"/>
          <w:sz w:val="20"/>
          <w:szCs w:val="20"/>
        </w:rPr>
      </w:pPr>
      <w:bookmarkStart w:id="280" w:name="_Toc205367408"/>
      <w:r w:rsidRPr="009B7B35">
        <w:rPr>
          <w:rFonts w:ascii="Arial" w:eastAsia="Calibri" w:hAnsi="Arial"/>
          <w:sz w:val="20"/>
          <w:szCs w:val="20"/>
        </w:rPr>
        <w:t>Clinton, Gladstone</w:t>
      </w:r>
      <w:bookmarkEnd w:id="280"/>
    </w:p>
    <w:p w14:paraId="27E0AC13" w14:textId="77777777"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Declared in April 2010, the Clinton PDA is a residential housing development intended as a model residential neighbourhood.</w:t>
      </w:r>
    </w:p>
    <w:p w14:paraId="71362227" w14:textId="77777777" w:rsidR="00BE36FB" w:rsidRPr="009B7B35" w:rsidRDefault="00BE36FB" w:rsidP="001A7107">
      <w:pPr>
        <w:rPr>
          <w:rFonts w:ascii="Arial" w:eastAsia="Calibri" w:hAnsi="Arial" w:cs="Arial"/>
          <w:sz w:val="20"/>
          <w:szCs w:val="20"/>
        </w:rPr>
      </w:pPr>
    </w:p>
    <w:p w14:paraId="44C9166C" w14:textId="77777777"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Officers of Economic Development Queensland are the assessment manager for development in this PDA under the Clinton Development Scheme.</w:t>
      </w:r>
    </w:p>
    <w:p w14:paraId="716E0892" w14:textId="77777777" w:rsidR="00BE36FB" w:rsidRPr="009B7B35" w:rsidRDefault="00BE36FB" w:rsidP="001A7107">
      <w:pPr>
        <w:rPr>
          <w:rFonts w:ascii="Arial" w:eastAsia="Calibri" w:hAnsi="Arial" w:cs="Arial"/>
          <w:sz w:val="20"/>
          <w:szCs w:val="20"/>
        </w:rPr>
      </w:pPr>
    </w:p>
    <w:p w14:paraId="254BB2FD" w14:textId="77777777" w:rsidR="00BE36FB" w:rsidRPr="009B7B35" w:rsidRDefault="00000000" w:rsidP="001A7107">
      <w:pPr>
        <w:rPr>
          <w:rFonts w:ascii="Arial" w:eastAsia="Calibri" w:hAnsi="Arial" w:cs="Arial"/>
          <w:sz w:val="20"/>
          <w:szCs w:val="20"/>
        </w:rPr>
      </w:pPr>
      <w:hyperlink r:id="rId111" w:history="1">
        <w:r w:rsidR="00BE36FB" w:rsidRPr="009B7B35">
          <w:rPr>
            <w:rStyle w:val="Hyperlink"/>
            <w:rFonts w:ascii="Arial" w:eastAsia="Calibri" w:hAnsi="Arial" w:cs="Arial"/>
            <w:sz w:val="20"/>
            <w:szCs w:val="20"/>
          </w:rPr>
          <w:t>Clinton Priority Development Area (PDA)</w:t>
        </w:r>
      </w:hyperlink>
    </w:p>
    <w:p w14:paraId="641E67C1" w14:textId="77777777" w:rsidR="00BE36FB" w:rsidRPr="009B7B35" w:rsidRDefault="00BE36FB" w:rsidP="006776DA">
      <w:pPr>
        <w:pStyle w:val="Heading3"/>
        <w:numPr>
          <w:ilvl w:val="2"/>
          <w:numId w:val="883"/>
        </w:numPr>
        <w:spacing w:before="240"/>
        <w:rPr>
          <w:rFonts w:ascii="Arial" w:eastAsia="Calibri" w:hAnsi="Arial"/>
          <w:sz w:val="20"/>
          <w:szCs w:val="20"/>
        </w:rPr>
      </w:pPr>
      <w:bookmarkStart w:id="281" w:name="_Toc205367409"/>
      <w:r w:rsidRPr="009B7B35">
        <w:rPr>
          <w:rFonts w:ascii="Arial" w:eastAsia="Calibri" w:hAnsi="Arial"/>
          <w:sz w:val="20"/>
          <w:szCs w:val="20"/>
        </w:rPr>
        <w:t>Tannum Sands</w:t>
      </w:r>
      <w:bookmarkEnd w:id="281"/>
    </w:p>
    <w:p w14:paraId="7D7F3AC4" w14:textId="77777777"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Declared in September 2011, the Tannum Sands PDA is a residential housing development including a mixed use precinct delivering small scale commercial, retail and other neighbourhood services.</w:t>
      </w:r>
    </w:p>
    <w:p w14:paraId="14FE6160" w14:textId="77777777" w:rsidR="00BE36FB" w:rsidRPr="009B7B35" w:rsidRDefault="00BE36FB" w:rsidP="001A7107">
      <w:pPr>
        <w:rPr>
          <w:rFonts w:ascii="Arial" w:eastAsia="Calibri" w:hAnsi="Arial" w:cs="Arial"/>
          <w:sz w:val="20"/>
          <w:szCs w:val="20"/>
        </w:rPr>
      </w:pPr>
    </w:p>
    <w:p w14:paraId="7DEA5033" w14:textId="77777777"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Officers of Economic Development Queensland are the assessment manager for development in this PDA under the Tannum Sands Development Scheme.</w:t>
      </w:r>
    </w:p>
    <w:p w14:paraId="2113BACD" w14:textId="77777777" w:rsidR="00BE36FB" w:rsidRPr="009B7B35" w:rsidRDefault="00BE36FB" w:rsidP="001A7107">
      <w:pPr>
        <w:rPr>
          <w:rFonts w:ascii="Arial" w:eastAsia="Calibri" w:hAnsi="Arial" w:cs="Arial"/>
          <w:sz w:val="20"/>
          <w:szCs w:val="20"/>
        </w:rPr>
      </w:pPr>
    </w:p>
    <w:p w14:paraId="0CF21122" w14:textId="77777777" w:rsidR="00BE36FB" w:rsidRPr="009B7B35" w:rsidRDefault="00000000" w:rsidP="001A7107">
      <w:pPr>
        <w:rPr>
          <w:rFonts w:ascii="Arial" w:eastAsia="Calibri" w:hAnsi="Arial" w:cs="Arial"/>
          <w:sz w:val="20"/>
          <w:szCs w:val="20"/>
        </w:rPr>
      </w:pPr>
      <w:hyperlink r:id="rId112" w:history="1">
        <w:r w:rsidR="00BE36FB" w:rsidRPr="009B7B35">
          <w:rPr>
            <w:rStyle w:val="Hyperlink"/>
            <w:rFonts w:ascii="Arial" w:eastAsia="Calibri" w:hAnsi="Arial" w:cs="Arial"/>
            <w:sz w:val="20"/>
            <w:szCs w:val="20"/>
          </w:rPr>
          <w:t>Tannum Sands Priority Development Area</w:t>
        </w:r>
      </w:hyperlink>
    </w:p>
    <w:p w14:paraId="3D8803D8" w14:textId="77777777" w:rsidR="00BE36FB" w:rsidRPr="009B7B35" w:rsidRDefault="00BE36FB" w:rsidP="006776DA">
      <w:pPr>
        <w:pStyle w:val="Heading3"/>
        <w:numPr>
          <w:ilvl w:val="2"/>
          <w:numId w:val="883"/>
        </w:numPr>
        <w:spacing w:before="240"/>
        <w:rPr>
          <w:rFonts w:ascii="Arial" w:eastAsia="Calibri" w:hAnsi="Arial"/>
          <w:sz w:val="20"/>
          <w:szCs w:val="20"/>
        </w:rPr>
      </w:pPr>
      <w:bookmarkStart w:id="282" w:name="_Toc205367410"/>
      <w:r w:rsidRPr="009B7B35">
        <w:rPr>
          <w:rFonts w:ascii="Arial" w:eastAsia="Calibri" w:hAnsi="Arial"/>
          <w:sz w:val="20"/>
          <w:szCs w:val="20"/>
        </w:rPr>
        <w:t>Toolooa</w:t>
      </w:r>
      <w:bookmarkEnd w:id="282"/>
    </w:p>
    <w:p w14:paraId="26083BAE" w14:textId="77777777"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Declared in December 2011, the Toolooa PDA is a residential housing development incorporating the preservation of bushland and open space.</w:t>
      </w:r>
    </w:p>
    <w:p w14:paraId="24E63D42" w14:textId="77777777" w:rsidR="00BE36FB" w:rsidRPr="009B7B35" w:rsidRDefault="00BE36FB" w:rsidP="001A7107">
      <w:pPr>
        <w:rPr>
          <w:rFonts w:ascii="Arial" w:eastAsia="Calibri" w:hAnsi="Arial" w:cs="Arial"/>
          <w:sz w:val="20"/>
          <w:szCs w:val="20"/>
        </w:rPr>
      </w:pPr>
    </w:p>
    <w:p w14:paraId="2FC8C58C" w14:textId="77777777" w:rsidR="00BE36FB" w:rsidRPr="009B7B35" w:rsidRDefault="00BE36FB" w:rsidP="001A7107">
      <w:pPr>
        <w:rPr>
          <w:rFonts w:ascii="Arial" w:eastAsia="Calibri" w:hAnsi="Arial" w:cs="Arial"/>
          <w:sz w:val="20"/>
          <w:szCs w:val="20"/>
        </w:rPr>
      </w:pPr>
      <w:r w:rsidRPr="009B7B35">
        <w:rPr>
          <w:rFonts w:ascii="Arial" w:eastAsia="Calibri" w:hAnsi="Arial" w:cs="Arial"/>
          <w:sz w:val="20"/>
          <w:szCs w:val="20"/>
        </w:rPr>
        <w:t>Officers of Economic Development Queensland are the assessment manager for development in this PDA under the Toolooa Development Scheme.</w:t>
      </w:r>
    </w:p>
    <w:p w14:paraId="444F6B05" w14:textId="77777777" w:rsidR="00BE36FB" w:rsidRPr="009B7B35" w:rsidRDefault="00BE36FB" w:rsidP="001A7107">
      <w:pPr>
        <w:rPr>
          <w:rFonts w:ascii="Arial" w:eastAsia="Calibri" w:hAnsi="Arial" w:cs="Arial"/>
          <w:sz w:val="20"/>
          <w:szCs w:val="20"/>
        </w:rPr>
      </w:pPr>
    </w:p>
    <w:p w14:paraId="35C96C85" w14:textId="77777777" w:rsidR="00BE36FB" w:rsidRDefault="00000000" w:rsidP="001A7107">
      <w:pPr>
        <w:rPr>
          <w:rStyle w:val="Hyperlink"/>
          <w:rFonts w:ascii="Arial" w:eastAsia="Calibri" w:hAnsi="Arial" w:cs="Arial"/>
          <w:sz w:val="20"/>
          <w:szCs w:val="20"/>
        </w:rPr>
      </w:pPr>
      <w:hyperlink r:id="rId113" w:history="1">
        <w:r w:rsidR="00BE36FB" w:rsidRPr="009B7B35">
          <w:rPr>
            <w:rStyle w:val="Hyperlink"/>
            <w:rFonts w:ascii="Arial" w:eastAsia="Calibri" w:hAnsi="Arial" w:cs="Arial"/>
            <w:sz w:val="20"/>
            <w:szCs w:val="20"/>
          </w:rPr>
          <w:t>Toolooa Priority Development Area (PDA)</w:t>
        </w:r>
      </w:hyperlink>
    </w:p>
    <w:p w14:paraId="1203DF80" w14:textId="77777777" w:rsidR="007A46D8" w:rsidRPr="009B7B35" w:rsidRDefault="007A46D8" w:rsidP="001A7107">
      <w:pPr>
        <w:rPr>
          <w:rFonts w:ascii="Arial" w:eastAsia="Calibri" w:hAnsi="Arial" w:cs="Arial"/>
          <w:sz w:val="20"/>
          <w:szCs w:val="20"/>
        </w:rPr>
      </w:pPr>
    </w:p>
    <w:p w14:paraId="0B54EBA8" w14:textId="759921CB" w:rsidR="00BE36FB" w:rsidRPr="007A46D8" w:rsidRDefault="00BE36FB" w:rsidP="007A46D8">
      <w:pPr>
        <w:pStyle w:val="Heading1"/>
        <w:numPr>
          <w:ilvl w:val="5"/>
          <w:numId w:val="883"/>
        </w:numPr>
        <w:ind w:left="1276" w:hanging="1276"/>
        <w:rPr>
          <w:rFonts w:ascii="Arial" w:hAnsi="Arial"/>
          <w:sz w:val="20"/>
          <w:szCs w:val="20"/>
        </w:rPr>
      </w:pPr>
      <w:bookmarkStart w:id="283" w:name="_Toc205367411"/>
      <w:r w:rsidRPr="007A46D8">
        <w:rPr>
          <w:rFonts w:ascii="Arial" w:hAnsi="Arial"/>
          <w:sz w:val="20"/>
          <w:szCs w:val="20"/>
        </w:rPr>
        <w:t>Definitions</w:t>
      </w:r>
      <w:bookmarkEnd w:id="283"/>
    </w:p>
    <w:p w14:paraId="53E14E7E" w14:textId="6036AE7D" w:rsidR="00BE36FB" w:rsidRPr="009B7B35" w:rsidRDefault="007A46D8" w:rsidP="007A46D8">
      <w:pPr>
        <w:pStyle w:val="Heading7"/>
        <w:numPr>
          <w:ilvl w:val="0"/>
          <w:numId w:val="0"/>
        </w:numPr>
        <w:rPr>
          <w:rFonts w:cs="Arial"/>
          <w:sz w:val="20"/>
          <w:szCs w:val="20"/>
        </w:rPr>
      </w:pPr>
      <w:bookmarkStart w:id="284" w:name="_Toc205367412"/>
      <w:r>
        <w:rPr>
          <w:rFonts w:cs="Arial"/>
          <w:sz w:val="20"/>
          <w:szCs w:val="20"/>
        </w:rPr>
        <w:t>SC1.1</w:t>
      </w:r>
      <w:r>
        <w:rPr>
          <w:rFonts w:cs="Arial"/>
          <w:sz w:val="20"/>
          <w:szCs w:val="20"/>
        </w:rPr>
        <w:tab/>
      </w:r>
      <w:r w:rsidR="00BE36FB" w:rsidRPr="009B7B35">
        <w:rPr>
          <w:rFonts w:cs="Arial"/>
          <w:sz w:val="20"/>
          <w:szCs w:val="20"/>
        </w:rPr>
        <w:t>Use definitions</w:t>
      </w:r>
      <w:bookmarkEnd w:id="284"/>
    </w:p>
    <w:p w14:paraId="058D160A" w14:textId="77777777"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Use definitions have a particular meaning for the purpose of the planning scheme.</w:t>
      </w:r>
    </w:p>
    <w:p w14:paraId="10931E14" w14:textId="77777777"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Any use not listed in Table SC1.1.2 column 1 is an undefined use.</w:t>
      </w:r>
    </w:p>
    <w:p w14:paraId="76F5B1B1" w14:textId="77777777" w:rsidR="00BE36FB" w:rsidRPr="009B7B35" w:rsidRDefault="00BE36FB" w:rsidP="001A7107">
      <w:pPr>
        <w:pStyle w:val="Notes"/>
        <w:rPr>
          <w:rFonts w:cs="Arial"/>
          <w:sz w:val="20"/>
          <w:szCs w:val="20"/>
        </w:rPr>
      </w:pPr>
      <w:r w:rsidRPr="009B7B35">
        <w:rPr>
          <w:rFonts w:cs="Arial"/>
          <w:sz w:val="20"/>
          <w:szCs w:val="20"/>
        </w:rPr>
        <w:t>Note—Development comprising a combination of defined uses is not considered to be an undefined use.</w:t>
      </w:r>
    </w:p>
    <w:p w14:paraId="4AAEB7A1" w14:textId="77777777"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A use listed in Table SC1.1.2 column 1 has the meaning set out beside that term in column 2.</w:t>
      </w:r>
    </w:p>
    <w:p w14:paraId="2BC77DB9" w14:textId="77777777"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The use definitions listed here are the definitions used in this planning scheme.</w:t>
      </w:r>
    </w:p>
    <w:p w14:paraId="1F2EDAB5" w14:textId="77777777"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Column 3 of Table SC1.1.2 identifies examples of the types of activities that are consistent with the use identified in column 1.</w:t>
      </w:r>
    </w:p>
    <w:p w14:paraId="63890394" w14:textId="77777777"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Column 4 of Table SC1.1.2 identifies examples of activities that are not consistent with the use identified in column 1.</w:t>
      </w:r>
    </w:p>
    <w:p w14:paraId="1A5B3CF4" w14:textId="77777777"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Columns 3 and 4 of Table SC1.1.2 are not exhaustive lists.</w:t>
      </w:r>
    </w:p>
    <w:p w14:paraId="393E1D9B" w14:textId="77777777" w:rsidR="00BE36FB" w:rsidRPr="009B7B35" w:rsidRDefault="00BE36FB" w:rsidP="00BE36FB">
      <w:pPr>
        <w:numPr>
          <w:ilvl w:val="0"/>
          <w:numId w:val="826"/>
        </w:numPr>
        <w:rPr>
          <w:rFonts w:ascii="Arial" w:hAnsi="Arial" w:cs="Arial"/>
          <w:sz w:val="20"/>
          <w:szCs w:val="20"/>
        </w:rPr>
      </w:pPr>
      <w:r w:rsidRPr="009B7B35">
        <w:rPr>
          <w:rFonts w:ascii="Arial" w:hAnsi="Arial" w:cs="Arial"/>
          <w:sz w:val="20"/>
          <w:szCs w:val="20"/>
        </w:rPr>
        <w:t>Uses listed in Table SC1.1.2 columns 3 and 4 that are not listed in column 1; do not form part of the definition.</w:t>
      </w:r>
    </w:p>
    <w:p w14:paraId="1F02894B" w14:textId="77777777" w:rsidR="00BE36FB" w:rsidRPr="009B7B35" w:rsidRDefault="00BE36FB" w:rsidP="00BE36FB">
      <w:pPr>
        <w:pStyle w:val="Heading9"/>
        <w:numPr>
          <w:ilvl w:val="8"/>
          <w:numId w:val="856"/>
        </w:numPr>
        <w:spacing w:before="160" w:after="60"/>
        <w:rPr>
          <w:rFonts w:cs="Arial"/>
          <w:sz w:val="20"/>
        </w:rPr>
      </w:pPr>
      <w:r w:rsidRPr="009B7B35">
        <w:rPr>
          <w:rFonts w:cs="Arial"/>
          <w:sz w:val="20"/>
        </w:rPr>
        <w:t>Table Sc1.1.1—Index of use definitions</w:t>
      </w:r>
    </w:p>
    <w:tbl>
      <w:tblPr>
        <w:tblStyle w:val="Tablestyle"/>
        <w:tblW w:w="9356" w:type="dxa"/>
        <w:tblLook w:val="0600" w:firstRow="0" w:lastRow="0" w:firstColumn="0" w:lastColumn="0" w:noHBand="1" w:noVBand="1"/>
      </w:tblPr>
      <w:tblGrid>
        <w:gridCol w:w="3118"/>
        <w:gridCol w:w="3119"/>
        <w:gridCol w:w="3119"/>
      </w:tblGrid>
      <w:tr w:rsidR="00BE36FB" w:rsidRPr="009B7B35" w14:paraId="5CF561FA" w14:textId="77777777" w:rsidTr="001A7107">
        <w:trPr>
          <w:trHeight w:val="36"/>
        </w:trPr>
        <w:tc>
          <w:tcPr>
            <w:tcW w:w="3118" w:type="dxa"/>
          </w:tcPr>
          <w:p w14:paraId="3F59CEC0" w14:textId="77777777" w:rsidR="00BE36FB" w:rsidRPr="009B7B35" w:rsidRDefault="00BE36FB" w:rsidP="00BE36FB">
            <w:pPr>
              <w:pStyle w:val="StyleListBulletBefore3pt"/>
              <w:numPr>
                <w:ilvl w:val="0"/>
                <w:numId w:val="19"/>
              </w:numPr>
              <w:ind w:left="284" w:hanging="284"/>
              <w:rPr>
                <w:rFonts w:cs="Arial"/>
              </w:rPr>
            </w:pPr>
            <w:r w:rsidRPr="009B7B35">
              <w:rPr>
                <w:rFonts w:cs="Arial"/>
              </w:rPr>
              <w:t>Adult store</w:t>
            </w:r>
          </w:p>
          <w:p w14:paraId="735D60AE" w14:textId="77777777" w:rsidR="00BE36FB" w:rsidRPr="009B7B35" w:rsidRDefault="00BE36FB" w:rsidP="00BE36FB">
            <w:pPr>
              <w:pStyle w:val="StyleListBulletBefore3pt"/>
              <w:numPr>
                <w:ilvl w:val="0"/>
                <w:numId w:val="19"/>
              </w:numPr>
              <w:ind w:left="284" w:hanging="284"/>
              <w:rPr>
                <w:rFonts w:cs="Arial"/>
              </w:rPr>
            </w:pPr>
            <w:r w:rsidRPr="009B7B35">
              <w:rPr>
                <w:rFonts w:cs="Arial"/>
              </w:rPr>
              <w:t>Agricultural supplies store</w:t>
            </w:r>
          </w:p>
          <w:p w14:paraId="6052F79C" w14:textId="77777777" w:rsidR="00BE36FB" w:rsidRPr="009B7B35" w:rsidRDefault="00BE36FB" w:rsidP="00BE36FB">
            <w:pPr>
              <w:pStyle w:val="StyleListBulletBefore3pt"/>
              <w:numPr>
                <w:ilvl w:val="0"/>
                <w:numId w:val="19"/>
              </w:numPr>
              <w:ind w:left="284" w:hanging="284"/>
              <w:rPr>
                <w:rFonts w:cs="Arial"/>
              </w:rPr>
            </w:pPr>
            <w:r w:rsidRPr="009B7B35">
              <w:rPr>
                <w:rFonts w:cs="Arial"/>
              </w:rPr>
              <w:t>Air services</w:t>
            </w:r>
          </w:p>
          <w:p w14:paraId="69F1F403" w14:textId="77777777" w:rsidR="00BE36FB" w:rsidRPr="009B7B35" w:rsidRDefault="00BE36FB" w:rsidP="00BE36FB">
            <w:pPr>
              <w:pStyle w:val="StyleListBulletBefore3pt"/>
              <w:numPr>
                <w:ilvl w:val="0"/>
                <w:numId w:val="19"/>
              </w:numPr>
              <w:ind w:left="284" w:hanging="284"/>
              <w:rPr>
                <w:rFonts w:cs="Arial"/>
              </w:rPr>
            </w:pPr>
            <w:r w:rsidRPr="009B7B35">
              <w:rPr>
                <w:rFonts w:cs="Arial"/>
              </w:rPr>
              <w:t>Animal husbandry</w:t>
            </w:r>
          </w:p>
          <w:p w14:paraId="022AF6DA" w14:textId="77777777" w:rsidR="00BE36FB" w:rsidRPr="009B7B35" w:rsidRDefault="00BE36FB" w:rsidP="00BE36FB">
            <w:pPr>
              <w:pStyle w:val="StyleListBulletBefore3pt"/>
              <w:numPr>
                <w:ilvl w:val="0"/>
                <w:numId w:val="19"/>
              </w:numPr>
              <w:ind w:left="284" w:hanging="284"/>
              <w:rPr>
                <w:rFonts w:cs="Arial"/>
              </w:rPr>
            </w:pPr>
            <w:r w:rsidRPr="009B7B35">
              <w:rPr>
                <w:rFonts w:cs="Arial"/>
              </w:rPr>
              <w:t>Animal keeping</w:t>
            </w:r>
          </w:p>
          <w:p w14:paraId="454CC1EB" w14:textId="77777777" w:rsidR="00BE36FB" w:rsidRPr="009B7B35" w:rsidRDefault="00BE36FB" w:rsidP="00BE36FB">
            <w:pPr>
              <w:pStyle w:val="StyleListBulletBefore3pt"/>
              <w:numPr>
                <w:ilvl w:val="0"/>
                <w:numId w:val="19"/>
              </w:numPr>
              <w:ind w:left="284" w:hanging="284"/>
              <w:rPr>
                <w:rFonts w:cs="Arial"/>
              </w:rPr>
            </w:pPr>
            <w:r w:rsidRPr="009B7B35">
              <w:rPr>
                <w:rFonts w:cs="Arial"/>
              </w:rPr>
              <w:t>Aquaculture</w:t>
            </w:r>
          </w:p>
          <w:p w14:paraId="2CB81B1B" w14:textId="77777777" w:rsidR="00BE36FB" w:rsidRPr="009B7B35" w:rsidRDefault="00BE36FB" w:rsidP="00BE36FB">
            <w:pPr>
              <w:pStyle w:val="StyleListBulletBefore3pt"/>
              <w:numPr>
                <w:ilvl w:val="0"/>
                <w:numId w:val="19"/>
              </w:numPr>
              <w:ind w:left="284" w:hanging="284"/>
              <w:rPr>
                <w:rFonts w:cs="Arial"/>
              </w:rPr>
            </w:pPr>
            <w:r w:rsidRPr="009B7B35">
              <w:rPr>
                <w:rFonts w:cs="Arial"/>
              </w:rPr>
              <w:t>Bar</w:t>
            </w:r>
          </w:p>
          <w:p w14:paraId="2DF4B746" w14:textId="77777777" w:rsidR="00BE36FB" w:rsidRPr="009B7B35" w:rsidRDefault="00BE36FB" w:rsidP="00BE36FB">
            <w:pPr>
              <w:pStyle w:val="StyleListBulletBefore3pt"/>
              <w:numPr>
                <w:ilvl w:val="0"/>
                <w:numId w:val="19"/>
              </w:numPr>
              <w:ind w:left="284" w:hanging="284"/>
              <w:rPr>
                <w:rFonts w:cs="Arial"/>
              </w:rPr>
            </w:pPr>
            <w:r w:rsidRPr="009B7B35">
              <w:rPr>
                <w:rFonts w:cs="Arial"/>
              </w:rPr>
              <w:t>Brothel</w:t>
            </w:r>
          </w:p>
          <w:p w14:paraId="2027B174" w14:textId="77777777" w:rsidR="00BE36FB" w:rsidRPr="009B7B35" w:rsidRDefault="00BE36FB" w:rsidP="00BE36FB">
            <w:pPr>
              <w:pStyle w:val="StyleListBulletBefore3pt"/>
              <w:numPr>
                <w:ilvl w:val="0"/>
                <w:numId w:val="19"/>
              </w:numPr>
              <w:ind w:left="284" w:hanging="284"/>
              <w:rPr>
                <w:rFonts w:cs="Arial"/>
              </w:rPr>
            </w:pPr>
            <w:r w:rsidRPr="009B7B35">
              <w:rPr>
                <w:rFonts w:cs="Arial"/>
              </w:rPr>
              <w:t>Bulk landscape supplies</w:t>
            </w:r>
          </w:p>
          <w:p w14:paraId="2DCF6B62" w14:textId="77777777" w:rsidR="00BE36FB" w:rsidRPr="009B7B35" w:rsidRDefault="00BE36FB" w:rsidP="00BE36FB">
            <w:pPr>
              <w:pStyle w:val="StyleListBulletBefore3pt"/>
              <w:numPr>
                <w:ilvl w:val="0"/>
                <w:numId w:val="19"/>
              </w:numPr>
              <w:ind w:left="284" w:hanging="284"/>
              <w:rPr>
                <w:rFonts w:cs="Arial"/>
              </w:rPr>
            </w:pPr>
            <w:r w:rsidRPr="009B7B35">
              <w:rPr>
                <w:rFonts w:cs="Arial"/>
              </w:rPr>
              <w:t>Caretaker’s accommodation</w:t>
            </w:r>
          </w:p>
          <w:p w14:paraId="095769F1" w14:textId="77777777" w:rsidR="00BE36FB" w:rsidRPr="009B7B35" w:rsidRDefault="00BE36FB" w:rsidP="00BE36FB">
            <w:pPr>
              <w:pStyle w:val="StyleListBulletBefore3pt"/>
              <w:numPr>
                <w:ilvl w:val="0"/>
                <w:numId w:val="19"/>
              </w:numPr>
              <w:ind w:left="284" w:hanging="284"/>
              <w:rPr>
                <w:rFonts w:cs="Arial"/>
              </w:rPr>
            </w:pPr>
            <w:r w:rsidRPr="009B7B35">
              <w:rPr>
                <w:rFonts w:cs="Arial"/>
              </w:rPr>
              <w:t>Car wash</w:t>
            </w:r>
          </w:p>
          <w:p w14:paraId="79880622" w14:textId="77777777" w:rsidR="00BE36FB" w:rsidRPr="009B7B35" w:rsidRDefault="00BE36FB" w:rsidP="00BE36FB">
            <w:pPr>
              <w:pStyle w:val="StyleListBulletBefore3pt"/>
              <w:numPr>
                <w:ilvl w:val="0"/>
                <w:numId w:val="19"/>
              </w:numPr>
              <w:ind w:left="284" w:hanging="284"/>
              <w:rPr>
                <w:rFonts w:cs="Arial"/>
              </w:rPr>
            </w:pPr>
            <w:r w:rsidRPr="009B7B35">
              <w:rPr>
                <w:rFonts w:cs="Arial"/>
              </w:rPr>
              <w:t>Cemetery</w:t>
            </w:r>
          </w:p>
          <w:p w14:paraId="72604068" w14:textId="77777777" w:rsidR="00BE36FB" w:rsidRPr="009B7B35" w:rsidRDefault="00BE36FB" w:rsidP="00BE36FB">
            <w:pPr>
              <w:pStyle w:val="StyleListBulletBefore3pt"/>
              <w:numPr>
                <w:ilvl w:val="0"/>
                <w:numId w:val="19"/>
              </w:numPr>
              <w:ind w:left="284" w:hanging="284"/>
              <w:rPr>
                <w:rFonts w:cs="Arial"/>
              </w:rPr>
            </w:pPr>
            <w:r w:rsidRPr="009B7B35">
              <w:rPr>
                <w:rFonts w:cs="Arial"/>
              </w:rPr>
              <w:t>Child care centre</w:t>
            </w:r>
          </w:p>
          <w:p w14:paraId="7193D1EF" w14:textId="77777777" w:rsidR="00BE36FB" w:rsidRPr="009B7B35" w:rsidRDefault="00BE36FB" w:rsidP="00BE36FB">
            <w:pPr>
              <w:pStyle w:val="StyleListBulletBefore3pt"/>
              <w:numPr>
                <w:ilvl w:val="0"/>
                <w:numId w:val="19"/>
              </w:numPr>
              <w:ind w:left="284" w:hanging="284"/>
              <w:rPr>
                <w:rFonts w:cs="Arial"/>
              </w:rPr>
            </w:pPr>
            <w:r w:rsidRPr="009B7B35">
              <w:rPr>
                <w:rFonts w:cs="Arial"/>
              </w:rPr>
              <w:t>Club</w:t>
            </w:r>
          </w:p>
          <w:p w14:paraId="4EE9BD47" w14:textId="77777777" w:rsidR="00BE36FB" w:rsidRPr="009B7B35" w:rsidRDefault="00BE36FB" w:rsidP="00BE36FB">
            <w:pPr>
              <w:pStyle w:val="StyleListBulletBefore3pt"/>
              <w:numPr>
                <w:ilvl w:val="0"/>
                <w:numId w:val="19"/>
              </w:numPr>
              <w:ind w:left="284" w:hanging="284"/>
              <w:rPr>
                <w:rFonts w:cs="Arial"/>
              </w:rPr>
            </w:pPr>
            <w:r w:rsidRPr="009B7B35">
              <w:rPr>
                <w:rFonts w:cs="Arial"/>
              </w:rPr>
              <w:t>Community care centre</w:t>
            </w:r>
          </w:p>
          <w:p w14:paraId="780F2594" w14:textId="77777777" w:rsidR="00BE36FB" w:rsidRPr="009B7B35" w:rsidRDefault="00BE36FB" w:rsidP="00BE36FB">
            <w:pPr>
              <w:pStyle w:val="StyleListBulletBefore3pt"/>
              <w:numPr>
                <w:ilvl w:val="0"/>
                <w:numId w:val="19"/>
              </w:numPr>
              <w:ind w:left="284" w:hanging="284"/>
              <w:rPr>
                <w:rFonts w:cs="Arial"/>
              </w:rPr>
            </w:pPr>
            <w:r w:rsidRPr="009B7B35">
              <w:rPr>
                <w:rFonts w:cs="Arial"/>
              </w:rPr>
              <w:t>Community residence</w:t>
            </w:r>
          </w:p>
          <w:p w14:paraId="7821A855" w14:textId="77777777" w:rsidR="00BE36FB" w:rsidRPr="009B7B35" w:rsidRDefault="00BE36FB" w:rsidP="00BE36FB">
            <w:pPr>
              <w:pStyle w:val="StyleListBulletBefore3pt"/>
              <w:numPr>
                <w:ilvl w:val="0"/>
                <w:numId w:val="19"/>
              </w:numPr>
              <w:ind w:left="284" w:hanging="284"/>
              <w:rPr>
                <w:rFonts w:cs="Arial"/>
              </w:rPr>
            </w:pPr>
            <w:r w:rsidRPr="009B7B35">
              <w:rPr>
                <w:rFonts w:cs="Arial"/>
              </w:rPr>
              <w:t>Community use</w:t>
            </w:r>
          </w:p>
          <w:p w14:paraId="3E43B19A" w14:textId="77777777" w:rsidR="00BE36FB" w:rsidRPr="009B7B35" w:rsidRDefault="00BE36FB" w:rsidP="00BE36FB">
            <w:pPr>
              <w:pStyle w:val="StyleListBulletBefore3pt"/>
              <w:numPr>
                <w:ilvl w:val="0"/>
                <w:numId w:val="19"/>
              </w:numPr>
              <w:ind w:left="284" w:hanging="284"/>
              <w:rPr>
                <w:rFonts w:cs="Arial"/>
              </w:rPr>
            </w:pPr>
            <w:r w:rsidRPr="009B7B35">
              <w:rPr>
                <w:rFonts w:cs="Arial"/>
              </w:rPr>
              <w:t>Crematorium</w:t>
            </w:r>
          </w:p>
          <w:p w14:paraId="46012A00" w14:textId="77777777" w:rsidR="00BE36FB" w:rsidRPr="009B7B35" w:rsidRDefault="00BE36FB" w:rsidP="00BE36FB">
            <w:pPr>
              <w:pStyle w:val="StyleListBulletBefore3pt"/>
              <w:numPr>
                <w:ilvl w:val="0"/>
                <w:numId w:val="19"/>
              </w:numPr>
              <w:ind w:left="284" w:hanging="284"/>
              <w:rPr>
                <w:rFonts w:cs="Arial"/>
              </w:rPr>
            </w:pPr>
            <w:r w:rsidRPr="009B7B35">
              <w:rPr>
                <w:rFonts w:cs="Arial"/>
              </w:rPr>
              <w:t>Cropping</w:t>
            </w:r>
          </w:p>
          <w:p w14:paraId="35B51FA9" w14:textId="77777777" w:rsidR="00BE36FB" w:rsidRPr="009B7B35" w:rsidRDefault="00BE36FB" w:rsidP="00BE36FB">
            <w:pPr>
              <w:pStyle w:val="StyleListBulletBefore3pt"/>
              <w:numPr>
                <w:ilvl w:val="0"/>
                <w:numId w:val="19"/>
              </w:numPr>
              <w:ind w:left="284" w:hanging="284"/>
              <w:rPr>
                <w:rFonts w:cs="Arial"/>
              </w:rPr>
            </w:pPr>
            <w:r w:rsidRPr="009B7B35">
              <w:rPr>
                <w:rFonts w:cs="Arial"/>
              </w:rPr>
              <w:t>Detention facility</w:t>
            </w:r>
          </w:p>
          <w:p w14:paraId="008C7230" w14:textId="77777777" w:rsidR="00BE36FB" w:rsidRPr="009B7B35" w:rsidRDefault="00BE36FB" w:rsidP="00BE36FB">
            <w:pPr>
              <w:pStyle w:val="StyleListBulletBefore3pt"/>
              <w:numPr>
                <w:ilvl w:val="0"/>
                <w:numId w:val="19"/>
              </w:numPr>
              <w:ind w:left="284" w:hanging="284"/>
              <w:rPr>
                <w:rFonts w:cs="Arial"/>
              </w:rPr>
            </w:pPr>
            <w:r w:rsidRPr="009B7B35">
              <w:rPr>
                <w:rFonts w:cs="Arial"/>
              </w:rPr>
              <w:t>Dual occupancy</w:t>
            </w:r>
          </w:p>
          <w:p w14:paraId="27053C1C" w14:textId="77777777" w:rsidR="00BE36FB" w:rsidRPr="009B7B35" w:rsidRDefault="00BE36FB" w:rsidP="00BE36FB">
            <w:pPr>
              <w:pStyle w:val="StyleListBulletBefore3pt"/>
              <w:numPr>
                <w:ilvl w:val="0"/>
                <w:numId w:val="19"/>
              </w:numPr>
              <w:ind w:left="284" w:hanging="284"/>
              <w:rPr>
                <w:rFonts w:cs="Arial"/>
              </w:rPr>
            </w:pPr>
            <w:r w:rsidRPr="009B7B35">
              <w:rPr>
                <w:rFonts w:cs="Arial"/>
              </w:rPr>
              <w:t>Dwelling house</w:t>
            </w:r>
          </w:p>
          <w:p w14:paraId="0EDFB925" w14:textId="77777777" w:rsidR="00BE36FB" w:rsidRPr="009B7B35" w:rsidRDefault="00BE36FB" w:rsidP="00BE36FB">
            <w:pPr>
              <w:pStyle w:val="StyleListBulletBefore3pt"/>
              <w:numPr>
                <w:ilvl w:val="0"/>
                <w:numId w:val="19"/>
              </w:numPr>
              <w:ind w:left="284" w:hanging="284"/>
              <w:rPr>
                <w:rFonts w:cs="Arial"/>
              </w:rPr>
            </w:pPr>
            <w:r w:rsidRPr="009B7B35">
              <w:rPr>
                <w:rFonts w:cs="Arial"/>
              </w:rPr>
              <w:t>Dwelling unit</w:t>
            </w:r>
          </w:p>
          <w:p w14:paraId="37CE7D8C" w14:textId="77777777" w:rsidR="00BE36FB" w:rsidRPr="009B7B35" w:rsidRDefault="00BE36FB" w:rsidP="00BE36FB">
            <w:pPr>
              <w:pStyle w:val="StyleListBulletBefore3pt"/>
              <w:numPr>
                <w:ilvl w:val="0"/>
                <w:numId w:val="19"/>
              </w:numPr>
              <w:ind w:left="284" w:hanging="284"/>
              <w:rPr>
                <w:rFonts w:cs="Arial"/>
              </w:rPr>
            </w:pPr>
            <w:r w:rsidRPr="009B7B35">
              <w:rPr>
                <w:rFonts w:cs="Arial"/>
              </w:rPr>
              <w:t>Educational establishment</w:t>
            </w:r>
          </w:p>
          <w:p w14:paraId="07B32F6E" w14:textId="77777777" w:rsidR="00BE36FB" w:rsidRPr="009B7B35" w:rsidRDefault="00BE36FB" w:rsidP="00BE36FB">
            <w:pPr>
              <w:pStyle w:val="StyleListBulletBefore3pt"/>
              <w:numPr>
                <w:ilvl w:val="0"/>
                <w:numId w:val="19"/>
              </w:numPr>
              <w:ind w:left="284" w:hanging="284"/>
              <w:rPr>
                <w:rFonts w:cs="Arial"/>
              </w:rPr>
            </w:pPr>
            <w:r w:rsidRPr="009B7B35">
              <w:rPr>
                <w:rFonts w:cs="Arial"/>
              </w:rPr>
              <w:t>Emergency services</w:t>
            </w:r>
          </w:p>
          <w:p w14:paraId="002F3661" w14:textId="77777777" w:rsidR="00BE36FB" w:rsidRPr="009B7B35" w:rsidRDefault="00BE36FB" w:rsidP="00BE36FB">
            <w:pPr>
              <w:pStyle w:val="StyleListBulletBefore3pt"/>
              <w:numPr>
                <w:ilvl w:val="0"/>
                <w:numId w:val="19"/>
              </w:numPr>
              <w:ind w:left="284" w:hanging="284"/>
              <w:rPr>
                <w:rFonts w:cs="Arial"/>
              </w:rPr>
            </w:pPr>
            <w:r w:rsidRPr="009B7B35">
              <w:rPr>
                <w:rFonts w:cs="Arial"/>
              </w:rPr>
              <w:t>Environment facility</w:t>
            </w:r>
          </w:p>
          <w:p w14:paraId="2E45C92F" w14:textId="77777777" w:rsidR="00BE36FB" w:rsidRPr="009B7B35" w:rsidRDefault="00BE36FB" w:rsidP="00BE36FB">
            <w:pPr>
              <w:pStyle w:val="StyleListBulletBefore3pt"/>
              <w:numPr>
                <w:ilvl w:val="0"/>
                <w:numId w:val="19"/>
              </w:numPr>
              <w:ind w:left="284" w:hanging="284"/>
              <w:rPr>
                <w:rFonts w:cs="Arial"/>
              </w:rPr>
            </w:pPr>
            <w:r w:rsidRPr="009B7B35">
              <w:rPr>
                <w:rFonts w:cs="Arial"/>
              </w:rPr>
              <w:t>Extractive industry</w:t>
            </w:r>
          </w:p>
          <w:p w14:paraId="4643CE6A" w14:textId="77777777" w:rsidR="00BE36FB" w:rsidRPr="009B7B35" w:rsidRDefault="00BE36FB" w:rsidP="00BE36FB">
            <w:pPr>
              <w:pStyle w:val="StyleListBulletBefore3pt"/>
              <w:numPr>
                <w:ilvl w:val="0"/>
                <w:numId w:val="19"/>
              </w:numPr>
              <w:ind w:left="284" w:hanging="284"/>
              <w:rPr>
                <w:rFonts w:cs="Arial"/>
              </w:rPr>
            </w:pPr>
            <w:r w:rsidRPr="009B7B35">
              <w:rPr>
                <w:rFonts w:cs="Arial"/>
              </w:rPr>
              <w:t>Food and drink outlet</w:t>
            </w:r>
          </w:p>
          <w:p w14:paraId="3252A588" w14:textId="77777777" w:rsidR="00BE36FB" w:rsidRPr="009B7B35" w:rsidRDefault="00BE36FB" w:rsidP="00BE36FB">
            <w:pPr>
              <w:pStyle w:val="StyleListBulletBefore3pt"/>
              <w:numPr>
                <w:ilvl w:val="0"/>
                <w:numId w:val="19"/>
              </w:numPr>
              <w:ind w:left="284" w:hanging="284"/>
              <w:rPr>
                <w:rFonts w:cs="Arial"/>
              </w:rPr>
            </w:pPr>
            <w:r w:rsidRPr="009B7B35">
              <w:rPr>
                <w:rFonts w:cs="Arial"/>
              </w:rPr>
              <w:t>Function facility</w:t>
            </w:r>
          </w:p>
          <w:p w14:paraId="27A510E6" w14:textId="77777777" w:rsidR="00BE36FB" w:rsidRPr="009B7B35" w:rsidRDefault="00BE36FB" w:rsidP="00BE36FB">
            <w:pPr>
              <w:pStyle w:val="StyleListBulletBefore3pt"/>
              <w:numPr>
                <w:ilvl w:val="0"/>
                <w:numId w:val="19"/>
              </w:numPr>
              <w:ind w:left="284" w:hanging="284"/>
              <w:rPr>
                <w:rFonts w:cs="Arial"/>
              </w:rPr>
            </w:pPr>
            <w:r w:rsidRPr="009B7B35">
              <w:rPr>
                <w:rFonts w:cs="Arial"/>
              </w:rPr>
              <w:t>Funeral parlour</w:t>
            </w:r>
          </w:p>
          <w:p w14:paraId="02860DC4" w14:textId="77777777" w:rsidR="00BE36FB" w:rsidRPr="009B7B35" w:rsidRDefault="00BE36FB" w:rsidP="00BE36FB">
            <w:pPr>
              <w:pStyle w:val="StyleListBulletBefore3pt"/>
              <w:numPr>
                <w:ilvl w:val="0"/>
                <w:numId w:val="19"/>
              </w:numPr>
              <w:ind w:left="284" w:hanging="284"/>
              <w:rPr>
                <w:rFonts w:cs="Arial"/>
              </w:rPr>
            </w:pPr>
            <w:r w:rsidRPr="009B7B35">
              <w:rPr>
                <w:rFonts w:cs="Arial"/>
              </w:rPr>
              <w:t>Garden centre</w:t>
            </w:r>
          </w:p>
        </w:tc>
        <w:tc>
          <w:tcPr>
            <w:tcW w:w="3119" w:type="dxa"/>
          </w:tcPr>
          <w:p w14:paraId="6BCAD33F" w14:textId="77777777" w:rsidR="00BE36FB" w:rsidRPr="009B7B35" w:rsidRDefault="00BE36FB" w:rsidP="00BE36FB">
            <w:pPr>
              <w:pStyle w:val="StyleListBulletBefore3pt"/>
              <w:numPr>
                <w:ilvl w:val="0"/>
                <w:numId w:val="19"/>
              </w:numPr>
              <w:ind w:left="284" w:hanging="284"/>
              <w:rPr>
                <w:rFonts w:cs="Arial"/>
              </w:rPr>
            </w:pPr>
            <w:r w:rsidRPr="009B7B35">
              <w:rPr>
                <w:rFonts w:cs="Arial"/>
              </w:rPr>
              <w:t xml:space="preserve">Hardware and trade supplies </w:t>
            </w:r>
          </w:p>
          <w:p w14:paraId="5F16F6D2" w14:textId="77777777" w:rsidR="00BE36FB" w:rsidRPr="009B7B35" w:rsidRDefault="00BE36FB" w:rsidP="00BE36FB">
            <w:pPr>
              <w:pStyle w:val="StyleListBulletBefore3pt"/>
              <w:numPr>
                <w:ilvl w:val="0"/>
                <w:numId w:val="19"/>
              </w:numPr>
              <w:ind w:left="284" w:hanging="284"/>
              <w:rPr>
                <w:rFonts w:cs="Arial"/>
              </w:rPr>
            </w:pPr>
            <w:r w:rsidRPr="009B7B35">
              <w:rPr>
                <w:rFonts w:cs="Arial"/>
              </w:rPr>
              <w:t>Health care services</w:t>
            </w:r>
          </w:p>
          <w:p w14:paraId="0F07CC74" w14:textId="77777777" w:rsidR="00BE36FB" w:rsidRPr="009B7B35" w:rsidRDefault="00BE36FB" w:rsidP="00BE36FB">
            <w:pPr>
              <w:pStyle w:val="StyleListBulletBefore3pt"/>
              <w:numPr>
                <w:ilvl w:val="0"/>
                <w:numId w:val="19"/>
              </w:numPr>
              <w:ind w:left="284" w:hanging="284"/>
              <w:rPr>
                <w:rFonts w:cs="Arial"/>
              </w:rPr>
            </w:pPr>
            <w:r w:rsidRPr="009B7B35">
              <w:rPr>
                <w:rFonts w:cs="Arial"/>
              </w:rPr>
              <w:t>High impact industry</w:t>
            </w:r>
          </w:p>
          <w:p w14:paraId="393B42C7" w14:textId="77777777" w:rsidR="00BE36FB" w:rsidRPr="009B7B35" w:rsidRDefault="00BE36FB" w:rsidP="00BE36FB">
            <w:pPr>
              <w:pStyle w:val="StyleListBulletBefore3pt"/>
              <w:numPr>
                <w:ilvl w:val="0"/>
                <w:numId w:val="19"/>
              </w:numPr>
              <w:ind w:left="284" w:hanging="284"/>
              <w:rPr>
                <w:rFonts w:cs="Arial"/>
              </w:rPr>
            </w:pPr>
            <w:r w:rsidRPr="009B7B35">
              <w:rPr>
                <w:rFonts w:cs="Arial"/>
              </w:rPr>
              <w:t>Home based business</w:t>
            </w:r>
          </w:p>
          <w:p w14:paraId="317D8E75" w14:textId="77777777" w:rsidR="00BE36FB" w:rsidRPr="009B7B35" w:rsidRDefault="00BE36FB" w:rsidP="00BE36FB">
            <w:pPr>
              <w:pStyle w:val="StyleListBulletBefore3pt"/>
              <w:numPr>
                <w:ilvl w:val="0"/>
                <w:numId w:val="19"/>
              </w:numPr>
              <w:ind w:left="284" w:hanging="284"/>
              <w:rPr>
                <w:rFonts w:cs="Arial"/>
              </w:rPr>
            </w:pPr>
            <w:r w:rsidRPr="009B7B35">
              <w:rPr>
                <w:rFonts w:cs="Arial"/>
              </w:rPr>
              <w:t>Hospital</w:t>
            </w:r>
          </w:p>
          <w:p w14:paraId="38CEE0E4" w14:textId="77777777" w:rsidR="00BE36FB" w:rsidRPr="009B7B35" w:rsidRDefault="00BE36FB" w:rsidP="00BE36FB">
            <w:pPr>
              <w:pStyle w:val="StyleListBulletBefore3pt"/>
              <w:numPr>
                <w:ilvl w:val="0"/>
                <w:numId w:val="19"/>
              </w:numPr>
              <w:ind w:left="284" w:hanging="284"/>
              <w:rPr>
                <w:rFonts w:cs="Arial"/>
              </w:rPr>
            </w:pPr>
            <w:r w:rsidRPr="009B7B35">
              <w:rPr>
                <w:rFonts w:cs="Arial"/>
              </w:rPr>
              <w:t>Hotel</w:t>
            </w:r>
          </w:p>
          <w:p w14:paraId="7396621E" w14:textId="77777777" w:rsidR="00BE36FB" w:rsidRPr="009B7B35" w:rsidRDefault="00BE36FB" w:rsidP="00BE36FB">
            <w:pPr>
              <w:pStyle w:val="StyleListBulletBefore3pt"/>
              <w:numPr>
                <w:ilvl w:val="0"/>
                <w:numId w:val="19"/>
              </w:numPr>
              <w:ind w:left="284" w:hanging="284"/>
              <w:rPr>
                <w:rFonts w:cs="Arial"/>
              </w:rPr>
            </w:pPr>
            <w:r w:rsidRPr="009B7B35">
              <w:rPr>
                <w:rFonts w:cs="Arial"/>
              </w:rPr>
              <w:t>Indoor sport and recreation</w:t>
            </w:r>
          </w:p>
          <w:p w14:paraId="6B3F0A30" w14:textId="77777777" w:rsidR="00BE36FB" w:rsidRPr="009B7B35" w:rsidRDefault="00BE36FB" w:rsidP="00BE36FB">
            <w:pPr>
              <w:pStyle w:val="StyleListBulletBefore3pt"/>
              <w:numPr>
                <w:ilvl w:val="0"/>
                <w:numId w:val="19"/>
              </w:numPr>
              <w:ind w:left="284" w:hanging="284"/>
              <w:rPr>
                <w:rFonts w:cs="Arial"/>
              </w:rPr>
            </w:pPr>
            <w:r w:rsidRPr="009B7B35">
              <w:rPr>
                <w:rFonts w:cs="Arial"/>
              </w:rPr>
              <w:t>Intensive animal industry</w:t>
            </w:r>
          </w:p>
          <w:p w14:paraId="6C76C5DA" w14:textId="77777777" w:rsidR="00BE36FB" w:rsidRPr="009B7B35" w:rsidRDefault="00BE36FB" w:rsidP="00BE36FB">
            <w:pPr>
              <w:pStyle w:val="StyleListBulletBefore3pt"/>
              <w:numPr>
                <w:ilvl w:val="0"/>
                <w:numId w:val="19"/>
              </w:numPr>
              <w:ind w:left="284" w:hanging="284"/>
              <w:rPr>
                <w:rFonts w:cs="Arial"/>
              </w:rPr>
            </w:pPr>
            <w:r w:rsidRPr="009B7B35">
              <w:rPr>
                <w:rFonts w:cs="Arial"/>
              </w:rPr>
              <w:t>Intensive horticulture</w:t>
            </w:r>
          </w:p>
          <w:p w14:paraId="2391241F" w14:textId="77777777" w:rsidR="00BE36FB" w:rsidRPr="009B7B35" w:rsidRDefault="00BE36FB" w:rsidP="00BE36FB">
            <w:pPr>
              <w:pStyle w:val="StyleListBulletBefore3pt"/>
              <w:numPr>
                <w:ilvl w:val="0"/>
                <w:numId w:val="19"/>
              </w:numPr>
              <w:ind w:left="284" w:hanging="284"/>
              <w:rPr>
                <w:rFonts w:cs="Arial"/>
              </w:rPr>
            </w:pPr>
            <w:r w:rsidRPr="009B7B35">
              <w:rPr>
                <w:rFonts w:cs="Arial"/>
              </w:rPr>
              <w:t>Landing</w:t>
            </w:r>
          </w:p>
          <w:p w14:paraId="122390B5" w14:textId="77777777" w:rsidR="00BE36FB" w:rsidRPr="009B7B35" w:rsidRDefault="00BE36FB" w:rsidP="00BE36FB">
            <w:pPr>
              <w:pStyle w:val="StyleListBulletBefore3pt"/>
              <w:numPr>
                <w:ilvl w:val="0"/>
                <w:numId w:val="19"/>
              </w:numPr>
              <w:ind w:left="284" w:hanging="284"/>
              <w:rPr>
                <w:rFonts w:cs="Arial"/>
              </w:rPr>
            </w:pPr>
            <w:r w:rsidRPr="009B7B35">
              <w:rPr>
                <w:rFonts w:cs="Arial"/>
              </w:rPr>
              <w:t>Low impact industry</w:t>
            </w:r>
          </w:p>
          <w:p w14:paraId="79732241" w14:textId="77777777" w:rsidR="00BE36FB" w:rsidRPr="009B7B35" w:rsidRDefault="00BE36FB" w:rsidP="00BE36FB">
            <w:pPr>
              <w:pStyle w:val="StyleListBulletBefore3pt"/>
              <w:numPr>
                <w:ilvl w:val="0"/>
                <w:numId w:val="19"/>
              </w:numPr>
              <w:ind w:left="284" w:hanging="284"/>
              <w:rPr>
                <w:rFonts w:cs="Arial"/>
              </w:rPr>
            </w:pPr>
            <w:r w:rsidRPr="009B7B35">
              <w:rPr>
                <w:rFonts w:cs="Arial"/>
              </w:rPr>
              <w:t>Major electricity infrastructure</w:t>
            </w:r>
          </w:p>
          <w:p w14:paraId="50F601C9" w14:textId="77777777" w:rsidR="00BE36FB" w:rsidRPr="009B7B35" w:rsidRDefault="00BE36FB" w:rsidP="00BE36FB">
            <w:pPr>
              <w:pStyle w:val="StyleListBulletBefore3pt"/>
              <w:numPr>
                <w:ilvl w:val="0"/>
                <w:numId w:val="19"/>
              </w:numPr>
              <w:ind w:left="284" w:hanging="284"/>
              <w:rPr>
                <w:rFonts w:cs="Arial"/>
              </w:rPr>
            </w:pPr>
            <w:r w:rsidRPr="009B7B35">
              <w:rPr>
                <w:rFonts w:cs="Arial"/>
              </w:rPr>
              <w:t>Major sport, recreation and entertainment facility</w:t>
            </w:r>
          </w:p>
          <w:p w14:paraId="08AF64B3" w14:textId="77777777" w:rsidR="00BE36FB" w:rsidRPr="009B7B35" w:rsidRDefault="00BE36FB" w:rsidP="00BE36FB">
            <w:pPr>
              <w:pStyle w:val="StyleListBulletBefore3pt"/>
              <w:numPr>
                <w:ilvl w:val="0"/>
                <w:numId w:val="19"/>
              </w:numPr>
              <w:ind w:left="284" w:hanging="284"/>
              <w:rPr>
                <w:rFonts w:cs="Arial"/>
              </w:rPr>
            </w:pPr>
            <w:r w:rsidRPr="009B7B35">
              <w:rPr>
                <w:rFonts w:cs="Arial"/>
              </w:rPr>
              <w:t>Marine industry</w:t>
            </w:r>
          </w:p>
          <w:p w14:paraId="4BB6D0FD" w14:textId="77777777" w:rsidR="00BE36FB" w:rsidRPr="009B7B35" w:rsidRDefault="00BE36FB" w:rsidP="00BE36FB">
            <w:pPr>
              <w:pStyle w:val="StyleListBulletBefore3pt"/>
              <w:numPr>
                <w:ilvl w:val="0"/>
                <w:numId w:val="19"/>
              </w:numPr>
              <w:ind w:left="284" w:hanging="284"/>
              <w:rPr>
                <w:rFonts w:cs="Arial"/>
              </w:rPr>
            </w:pPr>
            <w:r w:rsidRPr="009B7B35">
              <w:rPr>
                <w:rFonts w:cs="Arial"/>
              </w:rPr>
              <w:t>Market</w:t>
            </w:r>
          </w:p>
          <w:p w14:paraId="3F7C48F6" w14:textId="77777777" w:rsidR="00BE36FB" w:rsidRPr="009B7B35" w:rsidRDefault="00BE36FB" w:rsidP="00BE36FB">
            <w:pPr>
              <w:pStyle w:val="StyleListBulletBefore3pt"/>
              <w:numPr>
                <w:ilvl w:val="0"/>
                <w:numId w:val="19"/>
              </w:numPr>
              <w:ind w:left="284" w:hanging="284"/>
              <w:rPr>
                <w:rFonts w:cs="Arial"/>
              </w:rPr>
            </w:pPr>
            <w:r w:rsidRPr="009B7B35">
              <w:rPr>
                <w:rFonts w:cs="Arial"/>
              </w:rPr>
              <w:t>Medium impact industry</w:t>
            </w:r>
          </w:p>
          <w:p w14:paraId="1E07D10C" w14:textId="77777777" w:rsidR="00BE36FB" w:rsidRPr="009B7B35" w:rsidRDefault="00BE36FB" w:rsidP="00BE36FB">
            <w:pPr>
              <w:pStyle w:val="StyleListBulletBefore3pt"/>
              <w:numPr>
                <w:ilvl w:val="0"/>
                <w:numId w:val="19"/>
              </w:numPr>
              <w:ind w:left="284" w:hanging="284"/>
              <w:rPr>
                <w:rFonts w:cs="Arial"/>
              </w:rPr>
            </w:pPr>
            <w:r w:rsidRPr="009B7B35">
              <w:rPr>
                <w:rFonts w:cs="Arial"/>
              </w:rPr>
              <w:t>Motor sport facility</w:t>
            </w:r>
          </w:p>
          <w:p w14:paraId="2CEB7E5F" w14:textId="77777777" w:rsidR="00BE36FB" w:rsidRPr="009B7B35" w:rsidRDefault="00BE36FB" w:rsidP="00BE36FB">
            <w:pPr>
              <w:pStyle w:val="StyleListBulletBefore3pt"/>
              <w:numPr>
                <w:ilvl w:val="0"/>
                <w:numId w:val="19"/>
              </w:numPr>
              <w:ind w:left="284" w:hanging="284"/>
              <w:rPr>
                <w:rFonts w:cs="Arial"/>
              </w:rPr>
            </w:pPr>
            <w:r w:rsidRPr="009B7B35">
              <w:rPr>
                <w:rFonts w:cs="Arial"/>
              </w:rPr>
              <w:t>Multiple dwelling</w:t>
            </w:r>
          </w:p>
          <w:p w14:paraId="615BC126" w14:textId="77777777" w:rsidR="00BE36FB" w:rsidRPr="009B7B35" w:rsidRDefault="00BE36FB" w:rsidP="00BE36FB">
            <w:pPr>
              <w:pStyle w:val="StyleListBulletBefore3pt"/>
              <w:numPr>
                <w:ilvl w:val="0"/>
                <w:numId w:val="19"/>
              </w:numPr>
              <w:ind w:left="284" w:hanging="284"/>
              <w:rPr>
                <w:rFonts w:cs="Arial"/>
              </w:rPr>
            </w:pPr>
            <w:r w:rsidRPr="009B7B35">
              <w:rPr>
                <w:rFonts w:cs="Arial"/>
              </w:rPr>
              <w:t>Nature–based tourism</w:t>
            </w:r>
          </w:p>
          <w:p w14:paraId="180DC951" w14:textId="77777777" w:rsidR="00BE36FB" w:rsidRPr="009B7B35" w:rsidRDefault="00BE36FB" w:rsidP="00BE36FB">
            <w:pPr>
              <w:pStyle w:val="StyleListBulletBefore3pt"/>
              <w:numPr>
                <w:ilvl w:val="0"/>
                <w:numId w:val="19"/>
              </w:numPr>
              <w:ind w:left="284" w:hanging="284"/>
              <w:rPr>
                <w:rFonts w:cs="Arial"/>
              </w:rPr>
            </w:pPr>
            <w:r w:rsidRPr="009B7B35">
              <w:rPr>
                <w:rFonts w:cs="Arial"/>
              </w:rPr>
              <w:t>Nightclub entertainment facility</w:t>
            </w:r>
          </w:p>
          <w:p w14:paraId="63F0DB3A" w14:textId="77777777" w:rsidR="00BE36FB" w:rsidRPr="009B7B35" w:rsidRDefault="00BE36FB" w:rsidP="00BE36FB">
            <w:pPr>
              <w:pStyle w:val="StyleListBulletBefore3pt"/>
              <w:numPr>
                <w:ilvl w:val="0"/>
                <w:numId w:val="19"/>
              </w:numPr>
              <w:ind w:left="284" w:hanging="284"/>
              <w:rPr>
                <w:rFonts w:cs="Arial"/>
              </w:rPr>
            </w:pPr>
            <w:r w:rsidRPr="009B7B35">
              <w:rPr>
                <w:rFonts w:cs="Arial"/>
              </w:rPr>
              <w:t>Non–resident workforce accommodation</w:t>
            </w:r>
          </w:p>
          <w:p w14:paraId="2A171FC1" w14:textId="77777777" w:rsidR="00BE36FB" w:rsidRPr="009B7B35" w:rsidRDefault="00BE36FB" w:rsidP="00BE36FB">
            <w:pPr>
              <w:pStyle w:val="StyleListBulletBefore3pt"/>
              <w:numPr>
                <w:ilvl w:val="0"/>
                <w:numId w:val="19"/>
              </w:numPr>
              <w:ind w:left="284" w:hanging="284"/>
              <w:rPr>
                <w:rFonts w:cs="Arial"/>
              </w:rPr>
            </w:pPr>
            <w:r w:rsidRPr="009B7B35">
              <w:rPr>
                <w:rFonts w:cs="Arial"/>
              </w:rPr>
              <w:t>Office</w:t>
            </w:r>
          </w:p>
          <w:p w14:paraId="542A073A" w14:textId="77777777" w:rsidR="00BE36FB" w:rsidRPr="009B7B35" w:rsidRDefault="00BE36FB" w:rsidP="00BE36FB">
            <w:pPr>
              <w:pStyle w:val="StyleListBulletBefore3pt"/>
              <w:numPr>
                <w:ilvl w:val="0"/>
                <w:numId w:val="19"/>
              </w:numPr>
              <w:ind w:left="284" w:hanging="284"/>
              <w:rPr>
                <w:rFonts w:cs="Arial"/>
              </w:rPr>
            </w:pPr>
            <w:r w:rsidRPr="009B7B35">
              <w:rPr>
                <w:rFonts w:cs="Arial"/>
              </w:rPr>
              <w:t>Outdoor sales</w:t>
            </w:r>
          </w:p>
          <w:p w14:paraId="6B642D49" w14:textId="77777777" w:rsidR="00BE36FB" w:rsidRPr="009B7B35" w:rsidRDefault="00BE36FB" w:rsidP="00BE36FB">
            <w:pPr>
              <w:pStyle w:val="StyleListBulletBefore3pt"/>
              <w:numPr>
                <w:ilvl w:val="0"/>
                <w:numId w:val="19"/>
              </w:numPr>
              <w:ind w:left="284" w:hanging="284"/>
              <w:rPr>
                <w:rFonts w:cs="Arial"/>
              </w:rPr>
            </w:pPr>
            <w:r w:rsidRPr="009B7B35">
              <w:rPr>
                <w:rFonts w:cs="Arial"/>
              </w:rPr>
              <w:t>Outdoor sport and recreation</w:t>
            </w:r>
          </w:p>
          <w:p w14:paraId="7D2A34F7" w14:textId="77777777" w:rsidR="00BE36FB" w:rsidRPr="009B7B35" w:rsidRDefault="00BE36FB" w:rsidP="00BE36FB">
            <w:pPr>
              <w:pStyle w:val="StyleListBulletBefore3pt"/>
              <w:numPr>
                <w:ilvl w:val="0"/>
                <w:numId w:val="19"/>
              </w:numPr>
              <w:ind w:left="284" w:hanging="284"/>
              <w:rPr>
                <w:rFonts w:cs="Arial"/>
              </w:rPr>
            </w:pPr>
            <w:r w:rsidRPr="009B7B35">
              <w:rPr>
                <w:rFonts w:cs="Arial"/>
              </w:rPr>
              <w:t>Outstation</w:t>
            </w:r>
          </w:p>
          <w:p w14:paraId="573ED3DA" w14:textId="77777777" w:rsidR="00BE36FB" w:rsidRPr="009B7B35" w:rsidRDefault="00BE36FB" w:rsidP="00BE36FB">
            <w:pPr>
              <w:pStyle w:val="StyleListBulletBefore3pt"/>
              <w:numPr>
                <w:ilvl w:val="0"/>
                <w:numId w:val="19"/>
              </w:numPr>
              <w:ind w:left="284" w:hanging="284"/>
              <w:rPr>
                <w:rFonts w:cs="Arial"/>
              </w:rPr>
            </w:pPr>
            <w:r w:rsidRPr="009B7B35">
              <w:rPr>
                <w:rFonts w:cs="Arial"/>
              </w:rPr>
              <w:t>Park</w:t>
            </w:r>
          </w:p>
          <w:p w14:paraId="2052303C" w14:textId="77777777" w:rsidR="00BE36FB" w:rsidRPr="009B7B35" w:rsidRDefault="00BE36FB" w:rsidP="00BE36FB">
            <w:pPr>
              <w:pStyle w:val="StyleListBulletBefore3pt"/>
              <w:numPr>
                <w:ilvl w:val="0"/>
                <w:numId w:val="19"/>
              </w:numPr>
              <w:ind w:left="284" w:hanging="284"/>
              <w:rPr>
                <w:rFonts w:cs="Arial"/>
              </w:rPr>
            </w:pPr>
            <w:r w:rsidRPr="009B7B35">
              <w:rPr>
                <w:rFonts w:cs="Arial"/>
              </w:rPr>
              <w:t>Parking station</w:t>
            </w:r>
          </w:p>
          <w:p w14:paraId="0C111FB4" w14:textId="77777777" w:rsidR="00BE36FB" w:rsidRPr="009B7B35" w:rsidRDefault="00BE36FB" w:rsidP="00BE36FB">
            <w:pPr>
              <w:pStyle w:val="StyleListBulletBefore3pt"/>
              <w:numPr>
                <w:ilvl w:val="0"/>
                <w:numId w:val="19"/>
              </w:numPr>
              <w:ind w:left="284" w:hanging="284"/>
              <w:rPr>
                <w:rFonts w:cs="Arial"/>
              </w:rPr>
            </w:pPr>
            <w:r w:rsidRPr="009B7B35">
              <w:rPr>
                <w:rFonts w:cs="Arial"/>
              </w:rPr>
              <w:t>Permanent plantation</w:t>
            </w:r>
          </w:p>
          <w:p w14:paraId="07F9EED2" w14:textId="77777777" w:rsidR="00BE36FB" w:rsidRPr="009B7B35" w:rsidRDefault="00BE36FB" w:rsidP="00BE36FB">
            <w:pPr>
              <w:pStyle w:val="StyleListBulletBefore3pt"/>
              <w:numPr>
                <w:ilvl w:val="0"/>
                <w:numId w:val="19"/>
              </w:numPr>
              <w:ind w:left="284" w:hanging="284"/>
              <w:rPr>
                <w:rFonts w:cs="Arial"/>
              </w:rPr>
            </w:pPr>
            <w:r w:rsidRPr="009B7B35">
              <w:rPr>
                <w:rFonts w:cs="Arial"/>
              </w:rPr>
              <w:t>Place of worship</w:t>
            </w:r>
          </w:p>
        </w:tc>
        <w:tc>
          <w:tcPr>
            <w:tcW w:w="3119" w:type="dxa"/>
          </w:tcPr>
          <w:p w14:paraId="1A4BAB22" w14:textId="77777777" w:rsidR="00BE36FB" w:rsidRPr="009B7B35" w:rsidRDefault="00BE36FB" w:rsidP="00BE36FB">
            <w:pPr>
              <w:pStyle w:val="StyleListBulletBefore3pt"/>
              <w:numPr>
                <w:ilvl w:val="0"/>
                <w:numId w:val="19"/>
              </w:numPr>
              <w:ind w:left="284" w:hanging="284"/>
              <w:rPr>
                <w:rFonts w:cs="Arial"/>
              </w:rPr>
            </w:pPr>
            <w:r w:rsidRPr="009B7B35">
              <w:rPr>
                <w:rFonts w:cs="Arial"/>
              </w:rPr>
              <w:t>Port services</w:t>
            </w:r>
          </w:p>
          <w:p w14:paraId="63F0FDB5" w14:textId="77777777" w:rsidR="00BE36FB" w:rsidRPr="009B7B35" w:rsidRDefault="00BE36FB" w:rsidP="00BE36FB">
            <w:pPr>
              <w:pStyle w:val="StyleListBulletBefore3pt"/>
              <w:numPr>
                <w:ilvl w:val="0"/>
                <w:numId w:val="19"/>
              </w:numPr>
              <w:ind w:left="284" w:hanging="284"/>
              <w:rPr>
                <w:rFonts w:cs="Arial"/>
              </w:rPr>
            </w:pPr>
            <w:r w:rsidRPr="009B7B35">
              <w:rPr>
                <w:rFonts w:cs="Arial"/>
              </w:rPr>
              <w:t>Relocatable home park</w:t>
            </w:r>
          </w:p>
          <w:p w14:paraId="2F41F819" w14:textId="77777777" w:rsidR="00BE36FB" w:rsidRPr="009B7B35" w:rsidRDefault="00BE36FB" w:rsidP="00BE36FB">
            <w:pPr>
              <w:pStyle w:val="StyleListBulletBefore3pt"/>
              <w:numPr>
                <w:ilvl w:val="0"/>
                <w:numId w:val="19"/>
              </w:numPr>
              <w:ind w:left="284" w:hanging="284"/>
              <w:rPr>
                <w:rFonts w:cs="Arial"/>
              </w:rPr>
            </w:pPr>
            <w:r w:rsidRPr="009B7B35">
              <w:rPr>
                <w:rFonts w:cs="Arial"/>
              </w:rPr>
              <w:t>Renewable energy facility</w:t>
            </w:r>
          </w:p>
          <w:p w14:paraId="10D7ADC7" w14:textId="77777777" w:rsidR="00BE36FB" w:rsidRPr="009B7B35" w:rsidRDefault="00BE36FB" w:rsidP="00BE36FB">
            <w:pPr>
              <w:pStyle w:val="StyleListBulletBefore3pt"/>
              <w:numPr>
                <w:ilvl w:val="0"/>
                <w:numId w:val="19"/>
              </w:numPr>
              <w:ind w:left="284" w:hanging="284"/>
              <w:rPr>
                <w:rFonts w:cs="Arial"/>
              </w:rPr>
            </w:pPr>
            <w:r w:rsidRPr="009B7B35">
              <w:rPr>
                <w:rFonts w:cs="Arial"/>
              </w:rPr>
              <w:t>Research and technology industry</w:t>
            </w:r>
          </w:p>
          <w:p w14:paraId="3D3264D7" w14:textId="77777777" w:rsidR="00BE36FB" w:rsidRPr="009B7B35" w:rsidRDefault="00BE36FB" w:rsidP="00BE36FB">
            <w:pPr>
              <w:pStyle w:val="StyleListBulletBefore3pt"/>
              <w:numPr>
                <w:ilvl w:val="0"/>
                <w:numId w:val="19"/>
              </w:numPr>
              <w:ind w:left="284" w:hanging="284"/>
              <w:rPr>
                <w:rFonts w:cs="Arial"/>
              </w:rPr>
            </w:pPr>
            <w:r w:rsidRPr="009B7B35">
              <w:rPr>
                <w:rFonts w:cs="Arial"/>
              </w:rPr>
              <w:t>Residential care facility</w:t>
            </w:r>
          </w:p>
          <w:p w14:paraId="515352C3" w14:textId="77777777" w:rsidR="00BE36FB" w:rsidRPr="009B7B35" w:rsidRDefault="00BE36FB" w:rsidP="00BE36FB">
            <w:pPr>
              <w:pStyle w:val="StyleListBulletBefore3pt"/>
              <w:numPr>
                <w:ilvl w:val="0"/>
                <w:numId w:val="19"/>
              </w:numPr>
              <w:ind w:left="284" w:hanging="284"/>
              <w:rPr>
                <w:rFonts w:cs="Arial"/>
              </w:rPr>
            </w:pPr>
            <w:r w:rsidRPr="009B7B35">
              <w:rPr>
                <w:rFonts w:cs="Arial"/>
              </w:rPr>
              <w:t>Resort complex</w:t>
            </w:r>
          </w:p>
          <w:p w14:paraId="049AE7B3" w14:textId="77777777" w:rsidR="00BE36FB" w:rsidRPr="009B7B35" w:rsidRDefault="00BE36FB" w:rsidP="00BE36FB">
            <w:pPr>
              <w:pStyle w:val="StyleListBulletBefore3pt"/>
              <w:numPr>
                <w:ilvl w:val="0"/>
                <w:numId w:val="19"/>
              </w:numPr>
              <w:ind w:left="284" w:hanging="284"/>
              <w:rPr>
                <w:rFonts w:cs="Arial"/>
              </w:rPr>
            </w:pPr>
            <w:r w:rsidRPr="009B7B35">
              <w:rPr>
                <w:rFonts w:cs="Arial"/>
              </w:rPr>
              <w:t>Retirement facility</w:t>
            </w:r>
          </w:p>
          <w:p w14:paraId="45B75DDF" w14:textId="77777777" w:rsidR="00BE36FB" w:rsidRPr="009B7B35" w:rsidRDefault="00BE36FB" w:rsidP="00BE36FB">
            <w:pPr>
              <w:pStyle w:val="StyleListBulletBefore3pt"/>
              <w:numPr>
                <w:ilvl w:val="0"/>
                <w:numId w:val="19"/>
              </w:numPr>
              <w:ind w:left="284" w:hanging="284"/>
              <w:rPr>
                <w:rFonts w:cs="Arial"/>
              </w:rPr>
            </w:pPr>
            <w:r w:rsidRPr="009B7B35">
              <w:rPr>
                <w:rFonts w:cs="Arial"/>
              </w:rPr>
              <w:t>Roadside stall</w:t>
            </w:r>
          </w:p>
          <w:p w14:paraId="2699156C" w14:textId="77777777" w:rsidR="00BE36FB" w:rsidRPr="009B7B35" w:rsidRDefault="00BE36FB" w:rsidP="00BE36FB">
            <w:pPr>
              <w:pStyle w:val="StyleListBulletBefore3pt"/>
              <w:numPr>
                <w:ilvl w:val="0"/>
                <w:numId w:val="19"/>
              </w:numPr>
              <w:ind w:left="284" w:hanging="284"/>
              <w:rPr>
                <w:rFonts w:cs="Arial"/>
              </w:rPr>
            </w:pPr>
            <w:r w:rsidRPr="009B7B35">
              <w:rPr>
                <w:rFonts w:cs="Arial"/>
              </w:rPr>
              <w:t>Rooming accommodation</w:t>
            </w:r>
          </w:p>
          <w:p w14:paraId="59D788CE" w14:textId="77777777" w:rsidR="00BE36FB" w:rsidRPr="009B7B35" w:rsidRDefault="00BE36FB" w:rsidP="00BE36FB">
            <w:pPr>
              <w:pStyle w:val="StyleListBulletBefore3pt"/>
              <w:numPr>
                <w:ilvl w:val="0"/>
                <w:numId w:val="19"/>
              </w:numPr>
              <w:ind w:left="284" w:hanging="284"/>
              <w:rPr>
                <w:rFonts w:cs="Arial"/>
              </w:rPr>
            </w:pPr>
            <w:r w:rsidRPr="009B7B35">
              <w:rPr>
                <w:rFonts w:cs="Arial"/>
              </w:rPr>
              <w:t>Rural industry</w:t>
            </w:r>
          </w:p>
          <w:p w14:paraId="3CA825FF" w14:textId="77777777" w:rsidR="00BE36FB" w:rsidRPr="009B7B35" w:rsidRDefault="00BE36FB" w:rsidP="00BE36FB">
            <w:pPr>
              <w:pStyle w:val="StyleListBulletBefore3pt"/>
              <w:numPr>
                <w:ilvl w:val="0"/>
                <w:numId w:val="19"/>
              </w:numPr>
              <w:ind w:left="284" w:hanging="284"/>
              <w:rPr>
                <w:rFonts w:cs="Arial"/>
              </w:rPr>
            </w:pPr>
            <w:r w:rsidRPr="009B7B35">
              <w:rPr>
                <w:rFonts w:cs="Arial"/>
              </w:rPr>
              <w:t>Rural workers’ accommodation</w:t>
            </w:r>
          </w:p>
          <w:p w14:paraId="19C67557" w14:textId="77777777" w:rsidR="00BE36FB" w:rsidRPr="009B7B35" w:rsidRDefault="00BE36FB" w:rsidP="00BE36FB">
            <w:pPr>
              <w:pStyle w:val="StyleListBulletBefore3pt"/>
              <w:numPr>
                <w:ilvl w:val="0"/>
                <w:numId w:val="19"/>
              </w:numPr>
              <w:ind w:left="284" w:hanging="284"/>
              <w:rPr>
                <w:rFonts w:cs="Arial"/>
              </w:rPr>
            </w:pPr>
            <w:r w:rsidRPr="009B7B35">
              <w:rPr>
                <w:rFonts w:cs="Arial"/>
              </w:rPr>
              <w:t>Sales office</w:t>
            </w:r>
          </w:p>
          <w:p w14:paraId="6D904BF1" w14:textId="77777777" w:rsidR="00BE36FB" w:rsidRPr="009B7B35" w:rsidRDefault="00BE36FB" w:rsidP="00BE36FB">
            <w:pPr>
              <w:pStyle w:val="StyleListBulletBefore3pt"/>
              <w:numPr>
                <w:ilvl w:val="0"/>
                <w:numId w:val="19"/>
              </w:numPr>
              <w:ind w:left="284" w:hanging="284"/>
              <w:rPr>
                <w:rFonts w:cs="Arial"/>
              </w:rPr>
            </w:pPr>
            <w:r w:rsidRPr="009B7B35">
              <w:rPr>
                <w:rFonts w:cs="Arial"/>
              </w:rPr>
              <w:t>Service industry</w:t>
            </w:r>
          </w:p>
          <w:p w14:paraId="53BE4560" w14:textId="77777777" w:rsidR="00BE36FB" w:rsidRPr="009B7B35" w:rsidRDefault="00BE36FB" w:rsidP="00BE36FB">
            <w:pPr>
              <w:pStyle w:val="StyleListBulletBefore3pt"/>
              <w:numPr>
                <w:ilvl w:val="0"/>
                <w:numId w:val="19"/>
              </w:numPr>
              <w:ind w:left="284" w:hanging="284"/>
              <w:rPr>
                <w:rFonts w:cs="Arial"/>
              </w:rPr>
            </w:pPr>
            <w:r w:rsidRPr="009B7B35">
              <w:rPr>
                <w:rFonts w:cs="Arial"/>
              </w:rPr>
              <w:t>Service station</w:t>
            </w:r>
          </w:p>
          <w:p w14:paraId="45785236" w14:textId="77777777" w:rsidR="00BE36FB" w:rsidRPr="009B7B35" w:rsidRDefault="00BE36FB" w:rsidP="00BE36FB">
            <w:pPr>
              <w:pStyle w:val="StyleListBulletBefore3pt"/>
              <w:numPr>
                <w:ilvl w:val="0"/>
                <w:numId w:val="19"/>
              </w:numPr>
              <w:ind w:left="284" w:hanging="284"/>
              <w:rPr>
                <w:rFonts w:cs="Arial"/>
              </w:rPr>
            </w:pPr>
            <w:r w:rsidRPr="009B7B35">
              <w:rPr>
                <w:rFonts w:cs="Arial"/>
              </w:rPr>
              <w:t>Shop</w:t>
            </w:r>
          </w:p>
          <w:p w14:paraId="33F6AF65" w14:textId="77777777" w:rsidR="00BE36FB" w:rsidRPr="009B7B35" w:rsidRDefault="00BE36FB" w:rsidP="00BE36FB">
            <w:pPr>
              <w:pStyle w:val="StyleListBulletBefore3pt"/>
              <w:numPr>
                <w:ilvl w:val="0"/>
                <w:numId w:val="19"/>
              </w:numPr>
              <w:ind w:left="284" w:hanging="284"/>
              <w:rPr>
                <w:rFonts w:cs="Arial"/>
              </w:rPr>
            </w:pPr>
            <w:r w:rsidRPr="009B7B35">
              <w:rPr>
                <w:rFonts w:cs="Arial"/>
              </w:rPr>
              <w:t>Shopping centre</w:t>
            </w:r>
          </w:p>
          <w:p w14:paraId="19B37E00" w14:textId="77777777" w:rsidR="00BE36FB" w:rsidRPr="009B7B35" w:rsidRDefault="00BE36FB" w:rsidP="00BE36FB">
            <w:pPr>
              <w:pStyle w:val="StyleListBulletBefore3pt"/>
              <w:numPr>
                <w:ilvl w:val="0"/>
                <w:numId w:val="19"/>
              </w:numPr>
              <w:ind w:left="284" w:hanging="284"/>
              <w:rPr>
                <w:rFonts w:cs="Arial"/>
              </w:rPr>
            </w:pPr>
            <w:r w:rsidRPr="009B7B35">
              <w:rPr>
                <w:rFonts w:cs="Arial"/>
              </w:rPr>
              <w:t>Short–term accommodation</w:t>
            </w:r>
          </w:p>
          <w:p w14:paraId="15F58458" w14:textId="77777777" w:rsidR="00BE36FB" w:rsidRPr="009B7B35" w:rsidRDefault="00BE36FB" w:rsidP="00BE36FB">
            <w:pPr>
              <w:pStyle w:val="StyleListBulletBefore3pt"/>
              <w:numPr>
                <w:ilvl w:val="0"/>
                <w:numId w:val="19"/>
              </w:numPr>
              <w:ind w:left="284" w:hanging="284"/>
              <w:rPr>
                <w:rFonts w:cs="Arial"/>
              </w:rPr>
            </w:pPr>
            <w:r w:rsidRPr="009B7B35">
              <w:rPr>
                <w:rFonts w:cs="Arial"/>
              </w:rPr>
              <w:t>Showroom</w:t>
            </w:r>
          </w:p>
          <w:p w14:paraId="06E2DC3E" w14:textId="77777777" w:rsidR="00BE36FB" w:rsidRPr="009B7B35" w:rsidRDefault="00BE36FB" w:rsidP="00BE36FB">
            <w:pPr>
              <w:pStyle w:val="StyleListBulletBefore3pt"/>
              <w:numPr>
                <w:ilvl w:val="0"/>
                <w:numId w:val="19"/>
              </w:numPr>
              <w:ind w:left="284" w:hanging="284"/>
              <w:rPr>
                <w:rFonts w:cs="Arial"/>
              </w:rPr>
            </w:pPr>
            <w:r w:rsidRPr="009B7B35">
              <w:rPr>
                <w:rFonts w:cs="Arial"/>
              </w:rPr>
              <w:t>Special industry</w:t>
            </w:r>
          </w:p>
          <w:p w14:paraId="4827F9CF" w14:textId="77777777" w:rsidR="00BE36FB" w:rsidRPr="009B7B35" w:rsidRDefault="00BE36FB" w:rsidP="00BE36FB">
            <w:pPr>
              <w:pStyle w:val="StyleListBulletBefore3pt"/>
              <w:numPr>
                <w:ilvl w:val="0"/>
                <w:numId w:val="19"/>
              </w:numPr>
              <w:ind w:left="284" w:hanging="284"/>
              <w:rPr>
                <w:rFonts w:cs="Arial"/>
              </w:rPr>
            </w:pPr>
            <w:r w:rsidRPr="009B7B35">
              <w:rPr>
                <w:rFonts w:cs="Arial"/>
              </w:rPr>
              <w:t>Substation</w:t>
            </w:r>
          </w:p>
          <w:p w14:paraId="40A75862" w14:textId="77777777" w:rsidR="00BE36FB" w:rsidRPr="009B7B35" w:rsidRDefault="00BE36FB" w:rsidP="00BE36FB">
            <w:pPr>
              <w:pStyle w:val="StyleListBulletBefore3pt"/>
              <w:numPr>
                <w:ilvl w:val="0"/>
                <w:numId w:val="19"/>
              </w:numPr>
              <w:ind w:left="284" w:hanging="284"/>
              <w:rPr>
                <w:rFonts w:cs="Arial"/>
              </w:rPr>
            </w:pPr>
            <w:r w:rsidRPr="009B7B35">
              <w:rPr>
                <w:rFonts w:cs="Arial"/>
              </w:rPr>
              <w:t>Telecommunications facility</w:t>
            </w:r>
          </w:p>
          <w:p w14:paraId="6EF68DCD" w14:textId="77777777" w:rsidR="00BE36FB" w:rsidRPr="009B7B35" w:rsidRDefault="00BE36FB" w:rsidP="00BE36FB">
            <w:pPr>
              <w:pStyle w:val="StyleListBulletBefore3pt"/>
              <w:numPr>
                <w:ilvl w:val="0"/>
                <w:numId w:val="19"/>
              </w:numPr>
              <w:ind w:left="284" w:hanging="284"/>
              <w:rPr>
                <w:rFonts w:cs="Arial"/>
              </w:rPr>
            </w:pPr>
            <w:r w:rsidRPr="009B7B35">
              <w:rPr>
                <w:rFonts w:cs="Arial"/>
              </w:rPr>
              <w:t>Theatre</w:t>
            </w:r>
          </w:p>
          <w:p w14:paraId="03AAE863" w14:textId="77777777" w:rsidR="00BE36FB" w:rsidRPr="009B7B35" w:rsidRDefault="00BE36FB" w:rsidP="00BE36FB">
            <w:pPr>
              <w:pStyle w:val="StyleListBulletBefore3pt"/>
              <w:numPr>
                <w:ilvl w:val="0"/>
                <w:numId w:val="19"/>
              </w:numPr>
              <w:ind w:left="284" w:hanging="284"/>
              <w:rPr>
                <w:rFonts w:cs="Arial"/>
              </w:rPr>
            </w:pPr>
            <w:r w:rsidRPr="009B7B35">
              <w:rPr>
                <w:rFonts w:cs="Arial"/>
              </w:rPr>
              <w:t>Tourist attraction</w:t>
            </w:r>
          </w:p>
          <w:p w14:paraId="4EA1DBA1" w14:textId="77777777" w:rsidR="00BE36FB" w:rsidRPr="009B7B35" w:rsidRDefault="00BE36FB" w:rsidP="00BE36FB">
            <w:pPr>
              <w:pStyle w:val="StyleListBulletBefore3pt"/>
              <w:numPr>
                <w:ilvl w:val="0"/>
                <w:numId w:val="19"/>
              </w:numPr>
              <w:ind w:left="284" w:hanging="284"/>
              <w:rPr>
                <w:rFonts w:cs="Arial"/>
              </w:rPr>
            </w:pPr>
            <w:r w:rsidRPr="009B7B35">
              <w:rPr>
                <w:rFonts w:cs="Arial"/>
              </w:rPr>
              <w:t>Tourist park</w:t>
            </w:r>
          </w:p>
          <w:p w14:paraId="32739C23" w14:textId="77777777" w:rsidR="00BE36FB" w:rsidRPr="009B7B35" w:rsidRDefault="00BE36FB" w:rsidP="00BE36FB">
            <w:pPr>
              <w:pStyle w:val="StyleListBulletBefore3pt"/>
              <w:numPr>
                <w:ilvl w:val="0"/>
                <w:numId w:val="19"/>
              </w:numPr>
              <w:ind w:left="284" w:hanging="284"/>
              <w:rPr>
                <w:rFonts w:cs="Arial"/>
              </w:rPr>
            </w:pPr>
            <w:r w:rsidRPr="009B7B35">
              <w:rPr>
                <w:rFonts w:cs="Arial"/>
              </w:rPr>
              <w:t>Transport depot</w:t>
            </w:r>
          </w:p>
          <w:p w14:paraId="1839ACBB" w14:textId="77777777" w:rsidR="00BE36FB" w:rsidRPr="009B7B35" w:rsidRDefault="00BE36FB" w:rsidP="00BE36FB">
            <w:pPr>
              <w:pStyle w:val="StyleListBulletBefore3pt"/>
              <w:numPr>
                <w:ilvl w:val="0"/>
                <w:numId w:val="19"/>
              </w:numPr>
              <w:ind w:left="284" w:hanging="284"/>
              <w:rPr>
                <w:rFonts w:cs="Arial"/>
              </w:rPr>
            </w:pPr>
            <w:r w:rsidRPr="009B7B35">
              <w:rPr>
                <w:rFonts w:cs="Arial"/>
              </w:rPr>
              <w:t xml:space="preserve">Utility installation </w:t>
            </w:r>
          </w:p>
          <w:p w14:paraId="77A43661" w14:textId="77777777" w:rsidR="00BE36FB" w:rsidRPr="009B7B35" w:rsidRDefault="00BE36FB" w:rsidP="00BE36FB">
            <w:pPr>
              <w:pStyle w:val="StyleListBulletBefore3pt"/>
              <w:numPr>
                <w:ilvl w:val="0"/>
                <w:numId w:val="19"/>
              </w:numPr>
              <w:ind w:left="284" w:hanging="284"/>
              <w:rPr>
                <w:rFonts w:cs="Arial"/>
              </w:rPr>
            </w:pPr>
            <w:r w:rsidRPr="009B7B35">
              <w:rPr>
                <w:rFonts w:cs="Arial"/>
              </w:rPr>
              <w:t>Veterinary services</w:t>
            </w:r>
          </w:p>
          <w:p w14:paraId="71C72D22" w14:textId="77777777" w:rsidR="00BE36FB" w:rsidRPr="009B7B35" w:rsidRDefault="00BE36FB" w:rsidP="00BE36FB">
            <w:pPr>
              <w:pStyle w:val="StyleListBulletBefore3pt"/>
              <w:numPr>
                <w:ilvl w:val="0"/>
                <w:numId w:val="19"/>
              </w:numPr>
              <w:ind w:left="284" w:hanging="284"/>
              <w:rPr>
                <w:rFonts w:cs="Arial"/>
              </w:rPr>
            </w:pPr>
            <w:r w:rsidRPr="009B7B35">
              <w:rPr>
                <w:rFonts w:cs="Arial"/>
              </w:rPr>
              <w:t>Warehouse</w:t>
            </w:r>
          </w:p>
          <w:p w14:paraId="011B61F9" w14:textId="77777777" w:rsidR="00BE36FB" w:rsidRPr="009B7B35" w:rsidRDefault="00BE36FB" w:rsidP="00BE36FB">
            <w:pPr>
              <w:pStyle w:val="StyleListBulletBefore3pt"/>
              <w:numPr>
                <w:ilvl w:val="0"/>
                <w:numId w:val="19"/>
              </w:numPr>
              <w:ind w:left="284" w:hanging="284"/>
              <w:rPr>
                <w:rFonts w:cs="Arial"/>
              </w:rPr>
            </w:pPr>
            <w:r w:rsidRPr="009B7B35">
              <w:rPr>
                <w:rFonts w:cs="Arial"/>
              </w:rPr>
              <w:t>Wholesale nursery</w:t>
            </w:r>
          </w:p>
          <w:p w14:paraId="128A413C" w14:textId="77777777" w:rsidR="00BE36FB" w:rsidRPr="009B7B35" w:rsidRDefault="00BE36FB" w:rsidP="00BE36FB">
            <w:pPr>
              <w:pStyle w:val="StyleListBulletBefore3pt"/>
              <w:numPr>
                <w:ilvl w:val="0"/>
                <w:numId w:val="19"/>
              </w:numPr>
              <w:ind w:left="284" w:hanging="284"/>
              <w:rPr>
                <w:rFonts w:cs="Arial"/>
              </w:rPr>
            </w:pPr>
            <w:r w:rsidRPr="009B7B35">
              <w:rPr>
                <w:rFonts w:cs="Arial"/>
              </w:rPr>
              <w:t>Winery</w:t>
            </w:r>
          </w:p>
        </w:tc>
      </w:tr>
    </w:tbl>
    <w:p w14:paraId="4CBCAE97" w14:textId="77777777" w:rsidR="00BE36FB" w:rsidRPr="009B7B35" w:rsidRDefault="00BE36FB" w:rsidP="001A7107">
      <w:pPr>
        <w:pStyle w:val="Heading9"/>
        <w:numPr>
          <w:ilvl w:val="0"/>
          <w:numId w:val="0"/>
        </w:numPr>
        <w:rPr>
          <w:rFonts w:cs="Arial"/>
          <w:sz w:val="20"/>
        </w:rPr>
      </w:pPr>
      <w:r w:rsidRPr="009B7B35">
        <w:rPr>
          <w:rFonts w:cs="Arial"/>
          <w:sz w:val="20"/>
        </w:rPr>
        <w:t>Table Sc1.1.2—Use definitions</w:t>
      </w:r>
    </w:p>
    <w:tbl>
      <w:tblPr>
        <w:tblStyle w:val="Tablestyle"/>
        <w:tblW w:w="0" w:type="auto"/>
        <w:tblLayout w:type="fixed"/>
        <w:tblLook w:val="0620" w:firstRow="1" w:lastRow="0" w:firstColumn="0" w:lastColumn="0" w:noHBand="1" w:noVBand="1"/>
      </w:tblPr>
      <w:tblGrid>
        <w:gridCol w:w="1843"/>
        <w:gridCol w:w="2835"/>
        <w:gridCol w:w="2339"/>
        <w:gridCol w:w="2339"/>
      </w:tblGrid>
      <w:tr w:rsidR="00BE36FB" w:rsidRPr="009B7B35" w14:paraId="74AD44ED"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1843" w:type="dxa"/>
          </w:tcPr>
          <w:p w14:paraId="7D82B543" w14:textId="77777777" w:rsidR="00BE36FB" w:rsidRPr="009B7B35" w:rsidRDefault="00BE36FB" w:rsidP="001A7107">
            <w:pPr>
              <w:pStyle w:val="Tableheading"/>
              <w:rPr>
                <w:rFonts w:ascii="Arial" w:hAnsi="Arial" w:cs="Arial"/>
                <w:szCs w:val="20"/>
              </w:rPr>
            </w:pPr>
            <w:bookmarkStart w:id="285" w:name="_Hlk238262589"/>
            <w:bookmarkStart w:id="286" w:name="_Hlk359323094"/>
            <w:r w:rsidRPr="009B7B35">
              <w:rPr>
                <w:rFonts w:ascii="Arial" w:hAnsi="Arial" w:cs="Arial"/>
                <w:szCs w:val="20"/>
              </w:rPr>
              <w:t>Column 1</w:t>
            </w:r>
          </w:p>
          <w:p w14:paraId="1A70C673"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Use </w:t>
            </w:r>
          </w:p>
        </w:tc>
        <w:tc>
          <w:tcPr>
            <w:tcW w:w="2835" w:type="dxa"/>
          </w:tcPr>
          <w:p w14:paraId="7379EE09" w14:textId="77777777" w:rsidR="00BE36FB" w:rsidRPr="009B7B35" w:rsidRDefault="00BE36FB" w:rsidP="001A7107">
            <w:pPr>
              <w:pStyle w:val="Tableheading"/>
              <w:rPr>
                <w:rFonts w:ascii="Arial" w:hAnsi="Arial" w:cs="Arial"/>
                <w:szCs w:val="20"/>
              </w:rPr>
            </w:pPr>
            <w:r w:rsidRPr="009B7B35">
              <w:rPr>
                <w:rFonts w:ascii="Arial" w:hAnsi="Arial" w:cs="Arial"/>
                <w:szCs w:val="20"/>
              </w:rPr>
              <w:t>Column 2</w:t>
            </w:r>
          </w:p>
          <w:p w14:paraId="27ADBB51" w14:textId="77777777" w:rsidR="00BE36FB" w:rsidRPr="009B7B35" w:rsidRDefault="00BE36FB" w:rsidP="001A7107">
            <w:pPr>
              <w:pStyle w:val="Tableheading"/>
              <w:rPr>
                <w:rFonts w:ascii="Arial" w:hAnsi="Arial" w:cs="Arial"/>
                <w:szCs w:val="20"/>
              </w:rPr>
            </w:pPr>
            <w:r w:rsidRPr="009B7B35">
              <w:rPr>
                <w:rFonts w:ascii="Arial" w:hAnsi="Arial" w:cs="Arial"/>
                <w:szCs w:val="20"/>
              </w:rPr>
              <w:t>Definition</w:t>
            </w:r>
          </w:p>
        </w:tc>
        <w:tc>
          <w:tcPr>
            <w:tcW w:w="2339" w:type="dxa"/>
          </w:tcPr>
          <w:p w14:paraId="4EF7E991" w14:textId="77777777" w:rsidR="00BE36FB" w:rsidRPr="009B7B35" w:rsidRDefault="00BE36FB" w:rsidP="001A7107">
            <w:pPr>
              <w:pStyle w:val="Tableheading"/>
              <w:rPr>
                <w:rFonts w:ascii="Arial" w:hAnsi="Arial" w:cs="Arial"/>
                <w:szCs w:val="20"/>
              </w:rPr>
            </w:pPr>
            <w:r w:rsidRPr="009B7B35">
              <w:rPr>
                <w:rFonts w:ascii="Arial" w:hAnsi="Arial" w:cs="Arial"/>
                <w:szCs w:val="20"/>
              </w:rPr>
              <w:t>Column 3</w:t>
            </w:r>
          </w:p>
          <w:p w14:paraId="17C84309" w14:textId="77777777" w:rsidR="00BE36FB" w:rsidRPr="009B7B35" w:rsidRDefault="00BE36FB" w:rsidP="001A7107">
            <w:pPr>
              <w:pStyle w:val="Tableheading"/>
              <w:rPr>
                <w:rFonts w:ascii="Arial" w:hAnsi="Arial" w:cs="Arial"/>
                <w:szCs w:val="20"/>
              </w:rPr>
            </w:pPr>
            <w:r w:rsidRPr="009B7B35">
              <w:rPr>
                <w:rFonts w:ascii="Arial" w:hAnsi="Arial" w:cs="Arial"/>
                <w:szCs w:val="20"/>
              </w:rPr>
              <w:t>Examples include</w:t>
            </w:r>
          </w:p>
        </w:tc>
        <w:tc>
          <w:tcPr>
            <w:tcW w:w="2339" w:type="dxa"/>
          </w:tcPr>
          <w:p w14:paraId="78C05E33" w14:textId="77777777" w:rsidR="00BE36FB" w:rsidRPr="009B7B35" w:rsidRDefault="00BE36FB" w:rsidP="001A7107">
            <w:pPr>
              <w:pStyle w:val="Tableheading"/>
              <w:rPr>
                <w:rFonts w:ascii="Arial" w:hAnsi="Arial" w:cs="Arial"/>
                <w:szCs w:val="20"/>
              </w:rPr>
            </w:pPr>
            <w:r w:rsidRPr="009B7B35">
              <w:rPr>
                <w:rFonts w:ascii="Arial" w:hAnsi="Arial" w:cs="Arial"/>
                <w:szCs w:val="20"/>
              </w:rPr>
              <w:t>Column 4</w:t>
            </w:r>
          </w:p>
          <w:p w14:paraId="06EAB1A2" w14:textId="77777777" w:rsidR="00BE36FB" w:rsidRPr="009B7B35" w:rsidRDefault="00BE36FB" w:rsidP="001A7107">
            <w:pPr>
              <w:pStyle w:val="Tableheading"/>
              <w:rPr>
                <w:rFonts w:ascii="Arial" w:hAnsi="Arial" w:cs="Arial"/>
                <w:szCs w:val="20"/>
              </w:rPr>
            </w:pPr>
            <w:r w:rsidRPr="009B7B35">
              <w:rPr>
                <w:rFonts w:ascii="Arial" w:hAnsi="Arial" w:cs="Arial"/>
                <w:szCs w:val="20"/>
              </w:rPr>
              <w:t>Does not include the following examples</w:t>
            </w:r>
          </w:p>
        </w:tc>
      </w:tr>
      <w:bookmarkEnd w:id="285"/>
      <w:tr w:rsidR="00BE36FB" w:rsidRPr="009B7B35" w14:paraId="7338D5A3" w14:textId="77777777" w:rsidTr="001A7107">
        <w:trPr>
          <w:cantSplit/>
        </w:trPr>
        <w:tc>
          <w:tcPr>
            <w:tcW w:w="1843" w:type="dxa"/>
          </w:tcPr>
          <w:p w14:paraId="363A3754" w14:textId="77777777" w:rsidR="00BE36FB" w:rsidRPr="009B7B35" w:rsidRDefault="00BE36FB" w:rsidP="001A7107">
            <w:pPr>
              <w:pStyle w:val="TableText"/>
              <w:rPr>
                <w:rFonts w:cs="Arial"/>
              </w:rPr>
            </w:pPr>
            <w:r w:rsidRPr="009B7B35">
              <w:rPr>
                <w:rFonts w:cs="Arial"/>
              </w:rPr>
              <w:t>Adult store</w:t>
            </w:r>
          </w:p>
        </w:tc>
        <w:tc>
          <w:tcPr>
            <w:tcW w:w="2835" w:type="dxa"/>
          </w:tcPr>
          <w:p w14:paraId="72695579" w14:textId="77777777" w:rsidR="00BE36FB" w:rsidRPr="009B7B35" w:rsidRDefault="00BE36FB" w:rsidP="001A7107">
            <w:pPr>
              <w:pStyle w:val="TableText"/>
              <w:rPr>
                <w:rFonts w:cs="Arial"/>
              </w:rPr>
            </w:pPr>
            <w:r w:rsidRPr="009B7B35">
              <w:rPr>
                <w:rFonts w:cs="Arial"/>
              </w:rPr>
              <w:t>Premises used as a shop where the primary purpose is for the display or sale of sexually explicit materials, products and devices associated with or used in a sexual practice or activity.</w:t>
            </w:r>
          </w:p>
        </w:tc>
        <w:tc>
          <w:tcPr>
            <w:tcW w:w="2339" w:type="dxa"/>
          </w:tcPr>
          <w:p w14:paraId="4E00F97E" w14:textId="77777777" w:rsidR="00BE36FB" w:rsidRPr="009B7B35" w:rsidRDefault="00BE36FB" w:rsidP="001A7107">
            <w:pPr>
              <w:pStyle w:val="TableText"/>
              <w:rPr>
                <w:rFonts w:cs="Arial"/>
              </w:rPr>
            </w:pPr>
            <w:r w:rsidRPr="009B7B35">
              <w:rPr>
                <w:rFonts w:cs="Arial"/>
              </w:rPr>
              <w:t>Sex shop</w:t>
            </w:r>
          </w:p>
        </w:tc>
        <w:tc>
          <w:tcPr>
            <w:tcW w:w="2339" w:type="dxa"/>
          </w:tcPr>
          <w:p w14:paraId="16703E67" w14:textId="77777777" w:rsidR="00BE36FB" w:rsidRPr="009B7B35" w:rsidRDefault="00BE36FB" w:rsidP="001A7107">
            <w:pPr>
              <w:pStyle w:val="TableText"/>
              <w:rPr>
                <w:rFonts w:cs="Arial"/>
              </w:rPr>
            </w:pPr>
            <w:r w:rsidRPr="009B7B35">
              <w:rPr>
                <w:rFonts w:cs="Arial"/>
              </w:rPr>
              <w:t>Shop, newsagent, registered pharmacist or video hire, where the primary use of these are concerned with:</w:t>
            </w:r>
          </w:p>
          <w:p w14:paraId="6B16B0E9" w14:textId="77777777" w:rsidR="00BE36FB" w:rsidRPr="009B7B35" w:rsidRDefault="00BE36FB" w:rsidP="00BE36FB">
            <w:pPr>
              <w:pStyle w:val="ListBullet"/>
              <w:spacing w:before="80" w:after="80"/>
              <w:rPr>
                <w:rFonts w:cs="Arial"/>
                <w:szCs w:val="20"/>
              </w:rPr>
            </w:pPr>
            <w:r w:rsidRPr="009B7B35">
              <w:rPr>
                <w:rFonts w:cs="Arial"/>
                <w:szCs w:val="20"/>
              </w:rPr>
              <w:t>the sale, display or hire of printed or recorded matter (not of a sexually explicit nature), or</w:t>
            </w:r>
          </w:p>
          <w:p w14:paraId="608DBD06" w14:textId="77777777" w:rsidR="00BE36FB" w:rsidRPr="009B7B35" w:rsidRDefault="00BE36FB" w:rsidP="00BE36FB">
            <w:pPr>
              <w:pStyle w:val="ListBullet"/>
              <w:spacing w:before="80" w:after="80"/>
              <w:rPr>
                <w:rFonts w:cs="Arial"/>
                <w:szCs w:val="20"/>
              </w:rPr>
            </w:pPr>
            <w:r w:rsidRPr="009B7B35">
              <w:rPr>
                <w:rFonts w:cs="Arial"/>
                <w:szCs w:val="20"/>
              </w:rPr>
              <w:t>the sale or display of underwear or lingerie, or</w:t>
            </w:r>
          </w:p>
          <w:p w14:paraId="38997C0D" w14:textId="77777777" w:rsidR="00BE36FB" w:rsidRPr="009B7B35" w:rsidRDefault="00BE36FB" w:rsidP="00BE36FB">
            <w:pPr>
              <w:pStyle w:val="ListBullet"/>
              <w:spacing w:before="80" w:after="80"/>
              <w:rPr>
                <w:rFonts w:cs="Arial"/>
                <w:szCs w:val="20"/>
              </w:rPr>
            </w:pPr>
            <w:r w:rsidRPr="009B7B35">
              <w:rPr>
                <w:rFonts w:cs="Arial"/>
                <w:szCs w:val="20"/>
              </w:rPr>
              <w:t>the sale or display of an article or thing primarily concerned with or used in association with a medically recognised purpose.</w:t>
            </w:r>
          </w:p>
        </w:tc>
      </w:tr>
      <w:bookmarkEnd w:id="286"/>
      <w:tr w:rsidR="00BE36FB" w:rsidRPr="009B7B35" w14:paraId="059E512C" w14:textId="77777777" w:rsidTr="001A7107">
        <w:trPr>
          <w:cantSplit/>
        </w:trPr>
        <w:tc>
          <w:tcPr>
            <w:tcW w:w="1843" w:type="dxa"/>
          </w:tcPr>
          <w:p w14:paraId="6668C307" w14:textId="77777777" w:rsidR="00BE36FB" w:rsidRPr="009B7B35" w:rsidRDefault="00BE36FB" w:rsidP="001A7107">
            <w:pPr>
              <w:pStyle w:val="TableText"/>
              <w:rPr>
                <w:rFonts w:cs="Arial"/>
              </w:rPr>
            </w:pPr>
            <w:r w:rsidRPr="009B7B35">
              <w:rPr>
                <w:rFonts w:cs="Arial"/>
              </w:rPr>
              <w:t>Agricultural supplies store</w:t>
            </w:r>
          </w:p>
        </w:tc>
        <w:tc>
          <w:tcPr>
            <w:tcW w:w="2835" w:type="dxa"/>
          </w:tcPr>
          <w:p w14:paraId="5C0EC446" w14:textId="77777777" w:rsidR="00BE36FB" w:rsidRPr="009B7B35" w:rsidRDefault="00BE36FB" w:rsidP="001A7107">
            <w:pPr>
              <w:pStyle w:val="TableText"/>
              <w:rPr>
                <w:rFonts w:cs="Arial"/>
              </w:rPr>
            </w:pPr>
            <w:r w:rsidRPr="009B7B35">
              <w:rPr>
                <w:rFonts w:cs="Arial"/>
              </w:rPr>
              <w:t>Premises used for the sale of agricultural products and supplies including agricultural chemicals and fertilisers, seeds, bulk veterinary supplies, farm clothing, saddlery, animal feed and irrigation materials.</w:t>
            </w:r>
          </w:p>
        </w:tc>
        <w:tc>
          <w:tcPr>
            <w:tcW w:w="2339" w:type="dxa"/>
          </w:tcPr>
          <w:p w14:paraId="3D8C9E60" w14:textId="77777777" w:rsidR="00BE36FB" w:rsidRPr="009B7B35" w:rsidRDefault="00BE36FB" w:rsidP="001A7107">
            <w:pPr>
              <w:pStyle w:val="TableText"/>
              <w:rPr>
                <w:rFonts w:cs="Arial"/>
              </w:rPr>
            </w:pPr>
          </w:p>
        </w:tc>
        <w:tc>
          <w:tcPr>
            <w:tcW w:w="2339" w:type="dxa"/>
          </w:tcPr>
          <w:p w14:paraId="56A4A6C2" w14:textId="77777777" w:rsidR="00BE36FB" w:rsidRPr="009B7B35" w:rsidRDefault="00BE36FB" w:rsidP="001A7107">
            <w:pPr>
              <w:pStyle w:val="TableText"/>
              <w:rPr>
                <w:rFonts w:cs="Arial"/>
              </w:rPr>
            </w:pPr>
            <w:r w:rsidRPr="009B7B35">
              <w:rPr>
                <w:rFonts w:cs="Arial"/>
              </w:rPr>
              <w:t>Bulk landscape supplies, garden centre, outdoor sales wholesale nursery</w:t>
            </w:r>
          </w:p>
        </w:tc>
      </w:tr>
      <w:tr w:rsidR="00BE36FB" w:rsidRPr="009B7B35" w14:paraId="205455D4" w14:textId="77777777" w:rsidTr="001A7107">
        <w:tc>
          <w:tcPr>
            <w:tcW w:w="1843" w:type="dxa"/>
          </w:tcPr>
          <w:p w14:paraId="259CBFA8" w14:textId="77777777" w:rsidR="00BE36FB" w:rsidRPr="009B7B35" w:rsidRDefault="00BE36FB" w:rsidP="001A7107">
            <w:pPr>
              <w:pStyle w:val="TableText"/>
              <w:rPr>
                <w:rFonts w:cs="Arial"/>
              </w:rPr>
            </w:pPr>
            <w:r w:rsidRPr="009B7B35">
              <w:rPr>
                <w:rFonts w:cs="Arial"/>
              </w:rPr>
              <w:t>Air services</w:t>
            </w:r>
          </w:p>
        </w:tc>
        <w:tc>
          <w:tcPr>
            <w:tcW w:w="2835" w:type="dxa"/>
          </w:tcPr>
          <w:p w14:paraId="09714C21" w14:textId="77777777" w:rsidR="00BE36FB" w:rsidRPr="009B7B35" w:rsidRDefault="00BE36FB" w:rsidP="001A7107">
            <w:pPr>
              <w:pStyle w:val="TableText"/>
              <w:rPr>
                <w:rFonts w:cs="Arial"/>
              </w:rPr>
            </w:pPr>
            <w:r w:rsidRPr="009B7B35">
              <w:rPr>
                <w:rFonts w:cs="Arial"/>
              </w:rPr>
              <w:t>Premises used for any of the following:</w:t>
            </w:r>
          </w:p>
          <w:p w14:paraId="5A823506" w14:textId="77777777" w:rsidR="00BE36FB" w:rsidRPr="009B7B35" w:rsidRDefault="00BE36FB" w:rsidP="00BE36FB">
            <w:pPr>
              <w:pStyle w:val="ListBullet"/>
              <w:spacing w:before="80" w:after="80"/>
              <w:rPr>
                <w:rFonts w:cs="Arial"/>
                <w:szCs w:val="20"/>
              </w:rPr>
            </w:pPr>
            <w:r w:rsidRPr="009B7B35">
              <w:rPr>
                <w:rFonts w:cs="Arial"/>
                <w:szCs w:val="20"/>
              </w:rPr>
              <w:t>the arrival and departure of aircraft</w:t>
            </w:r>
          </w:p>
          <w:p w14:paraId="5039195F" w14:textId="77777777" w:rsidR="00BE36FB" w:rsidRPr="009B7B35" w:rsidRDefault="00BE36FB" w:rsidP="00BE36FB">
            <w:pPr>
              <w:pStyle w:val="ListBullet"/>
              <w:spacing w:before="80" w:after="80"/>
              <w:rPr>
                <w:rFonts w:cs="Arial"/>
                <w:szCs w:val="20"/>
              </w:rPr>
            </w:pPr>
            <w:r w:rsidRPr="009B7B35">
              <w:rPr>
                <w:rFonts w:cs="Arial"/>
                <w:szCs w:val="20"/>
              </w:rPr>
              <w:t xml:space="preserve">the housing, servicing, refuelling, maintenance and repair of aircraft </w:t>
            </w:r>
          </w:p>
          <w:p w14:paraId="398F2475" w14:textId="77777777" w:rsidR="00BE36FB" w:rsidRPr="009B7B35" w:rsidRDefault="00BE36FB" w:rsidP="00BE36FB">
            <w:pPr>
              <w:pStyle w:val="ListBullet"/>
              <w:spacing w:before="80" w:after="80"/>
              <w:rPr>
                <w:rFonts w:cs="Arial"/>
                <w:szCs w:val="20"/>
              </w:rPr>
            </w:pPr>
            <w:r w:rsidRPr="009B7B35">
              <w:rPr>
                <w:rFonts w:cs="Arial"/>
                <w:szCs w:val="20"/>
              </w:rPr>
              <w:t>the assembly and dispersal of passengers or goods on or from an aircraft</w:t>
            </w:r>
          </w:p>
          <w:p w14:paraId="43767944" w14:textId="77777777" w:rsidR="00BE36FB" w:rsidRPr="009B7B35" w:rsidRDefault="00BE36FB" w:rsidP="00BE36FB">
            <w:pPr>
              <w:pStyle w:val="ListBullet"/>
              <w:spacing w:before="80" w:after="80"/>
              <w:rPr>
                <w:rFonts w:cs="Arial"/>
                <w:szCs w:val="20"/>
              </w:rPr>
            </w:pPr>
            <w:r w:rsidRPr="009B7B35">
              <w:rPr>
                <w:rFonts w:cs="Arial"/>
                <w:szCs w:val="20"/>
              </w:rPr>
              <w:t>any ancillary activities directly serving the needs of passengers and visitors to the use</w:t>
            </w:r>
          </w:p>
          <w:p w14:paraId="3316FA99" w14:textId="77777777" w:rsidR="00BE36FB" w:rsidRPr="009B7B35" w:rsidRDefault="00BE36FB" w:rsidP="00BE36FB">
            <w:pPr>
              <w:pStyle w:val="ListBullet"/>
              <w:spacing w:before="80" w:after="80"/>
              <w:rPr>
                <w:rFonts w:cs="Arial"/>
                <w:szCs w:val="20"/>
              </w:rPr>
            </w:pPr>
            <w:r w:rsidRPr="009B7B35">
              <w:rPr>
                <w:rFonts w:cs="Arial"/>
                <w:szCs w:val="20"/>
              </w:rPr>
              <w:t>associated training and education facilities</w:t>
            </w:r>
          </w:p>
          <w:p w14:paraId="139891B5" w14:textId="77777777" w:rsidR="00BE36FB" w:rsidRPr="009B7B35" w:rsidRDefault="00BE36FB" w:rsidP="00BE36FB">
            <w:pPr>
              <w:pStyle w:val="ListBullet"/>
              <w:spacing w:before="80" w:after="80"/>
              <w:rPr>
                <w:rFonts w:cs="Arial"/>
                <w:szCs w:val="20"/>
              </w:rPr>
            </w:pPr>
            <w:r w:rsidRPr="009B7B35">
              <w:rPr>
                <w:rFonts w:cs="Arial"/>
                <w:szCs w:val="20"/>
              </w:rPr>
              <w:t>aviation facilities.</w:t>
            </w:r>
          </w:p>
        </w:tc>
        <w:tc>
          <w:tcPr>
            <w:tcW w:w="2339" w:type="dxa"/>
          </w:tcPr>
          <w:p w14:paraId="5F1A833A" w14:textId="77777777" w:rsidR="00BE36FB" w:rsidRPr="009B7B35" w:rsidRDefault="00BE36FB" w:rsidP="001A7107">
            <w:pPr>
              <w:pStyle w:val="TableText"/>
              <w:rPr>
                <w:rFonts w:cs="Arial"/>
              </w:rPr>
            </w:pPr>
            <w:r w:rsidRPr="009B7B35">
              <w:rPr>
                <w:rFonts w:cs="Arial"/>
              </w:rPr>
              <w:t>Airport, airstrip, helipad, public or private airfield</w:t>
            </w:r>
          </w:p>
        </w:tc>
        <w:tc>
          <w:tcPr>
            <w:tcW w:w="2339" w:type="dxa"/>
          </w:tcPr>
          <w:p w14:paraId="172923EF" w14:textId="77777777" w:rsidR="00BE36FB" w:rsidRPr="009B7B35" w:rsidRDefault="00BE36FB" w:rsidP="001A7107">
            <w:pPr>
              <w:pStyle w:val="TableText"/>
              <w:rPr>
                <w:rFonts w:cs="Arial"/>
              </w:rPr>
            </w:pPr>
          </w:p>
        </w:tc>
      </w:tr>
      <w:tr w:rsidR="00BE36FB" w:rsidRPr="009B7B35" w14:paraId="1FA1EC2C" w14:textId="77777777" w:rsidTr="001A7107">
        <w:tc>
          <w:tcPr>
            <w:tcW w:w="1843" w:type="dxa"/>
          </w:tcPr>
          <w:p w14:paraId="5E6D5CDD" w14:textId="77777777" w:rsidR="00BE36FB" w:rsidRPr="009B7B35" w:rsidRDefault="00BE36FB" w:rsidP="001A7107">
            <w:pPr>
              <w:pStyle w:val="TableText"/>
              <w:rPr>
                <w:rFonts w:cs="Arial"/>
              </w:rPr>
            </w:pPr>
            <w:r w:rsidRPr="009B7B35">
              <w:rPr>
                <w:rFonts w:cs="Arial"/>
              </w:rPr>
              <w:t>Animal husbandry</w:t>
            </w:r>
          </w:p>
        </w:tc>
        <w:tc>
          <w:tcPr>
            <w:tcW w:w="2835" w:type="dxa"/>
          </w:tcPr>
          <w:p w14:paraId="249062A1" w14:textId="77777777" w:rsidR="00BE36FB" w:rsidRPr="009B7B35" w:rsidRDefault="00BE36FB" w:rsidP="001A7107">
            <w:pPr>
              <w:pStyle w:val="TableText"/>
              <w:rPr>
                <w:rFonts w:cs="Arial"/>
              </w:rPr>
            </w:pPr>
            <w:r w:rsidRPr="009B7B35">
              <w:rPr>
                <w:rFonts w:cs="Arial"/>
              </w:rPr>
              <w:t>Premises used for production of animals or animal products on either native or improved pastures or vegetation. The use includes ancillary yards, stables and temporary holding facilities and the repair and servicing of machinery.</w:t>
            </w:r>
          </w:p>
        </w:tc>
        <w:tc>
          <w:tcPr>
            <w:tcW w:w="2339" w:type="dxa"/>
          </w:tcPr>
          <w:p w14:paraId="522473E2" w14:textId="77777777" w:rsidR="00BE36FB" w:rsidRPr="009B7B35" w:rsidRDefault="00BE36FB" w:rsidP="001A7107">
            <w:pPr>
              <w:pStyle w:val="TableText"/>
              <w:rPr>
                <w:rFonts w:cs="Arial"/>
              </w:rPr>
            </w:pPr>
            <w:r w:rsidRPr="009B7B35">
              <w:rPr>
                <w:rFonts w:cs="Arial"/>
              </w:rPr>
              <w:t>Cattle studs, grazing of livestock, non–feedlot dairying</w:t>
            </w:r>
          </w:p>
        </w:tc>
        <w:tc>
          <w:tcPr>
            <w:tcW w:w="2339" w:type="dxa"/>
          </w:tcPr>
          <w:p w14:paraId="5B7E842F" w14:textId="77777777" w:rsidR="00BE36FB" w:rsidRPr="009B7B35" w:rsidRDefault="00BE36FB" w:rsidP="001A7107">
            <w:pPr>
              <w:pStyle w:val="TableText"/>
              <w:rPr>
                <w:rFonts w:cs="Arial"/>
              </w:rPr>
            </w:pPr>
            <w:r w:rsidRPr="009B7B35">
              <w:rPr>
                <w:rFonts w:cs="Arial"/>
              </w:rPr>
              <w:t>Animal keeping, intensive animal industry, aquaculture, feedlots, piggeries</w:t>
            </w:r>
          </w:p>
        </w:tc>
      </w:tr>
      <w:tr w:rsidR="00BE36FB" w:rsidRPr="009B7B35" w14:paraId="0932C899" w14:textId="77777777" w:rsidTr="001A7107">
        <w:trPr>
          <w:cantSplit/>
        </w:trPr>
        <w:tc>
          <w:tcPr>
            <w:tcW w:w="1843" w:type="dxa"/>
          </w:tcPr>
          <w:p w14:paraId="21EE1972" w14:textId="77777777" w:rsidR="00BE36FB" w:rsidRPr="009B7B35" w:rsidRDefault="00BE36FB" w:rsidP="001A7107">
            <w:pPr>
              <w:pStyle w:val="TableText"/>
              <w:rPr>
                <w:rFonts w:cs="Arial"/>
              </w:rPr>
            </w:pPr>
            <w:r w:rsidRPr="009B7B35">
              <w:rPr>
                <w:rFonts w:cs="Arial"/>
              </w:rPr>
              <w:t>Animal keeping</w:t>
            </w:r>
          </w:p>
        </w:tc>
        <w:tc>
          <w:tcPr>
            <w:tcW w:w="2835" w:type="dxa"/>
          </w:tcPr>
          <w:p w14:paraId="4652EC80" w14:textId="77777777" w:rsidR="00BE36FB" w:rsidRPr="009B7B35" w:rsidRDefault="00BE36FB" w:rsidP="001A7107">
            <w:pPr>
              <w:pStyle w:val="TableText"/>
              <w:rPr>
                <w:rFonts w:cs="Arial"/>
              </w:rPr>
            </w:pPr>
            <w:r w:rsidRPr="009B7B35">
              <w:rPr>
                <w:rFonts w:cs="Arial"/>
              </w:rPr>
              <w:t>Premises used for boarding, breeding or training of animals. The use may include ancillary temporary or permanent holding facilities on the same site and ancillary repair and servicing of machinery.</w:t>
            </w:r>
          </w:p>
        </w:tc>
        <w:tc>
          <w:tcPr>
            <w:tcW w:w="2339" w:type="dxa"/>
          </w:tcPr>
          <w:p w14:paraId="7647CC47" w14:textId="77777777" w:rsidR="00BE36FB" w:rsidRPr="009B7B35" w:rsidRDefault="00BE36FB" w:rsidP="001A7107">
            <w:pPr>
              <w:pStyle w:val="TableText"/>
              <w:rPr>
                <w:rFonts w:cs="Arial"/>
              </w:rPr>
            </w:pPr>
            <w:r w:rsidRPr="009B7B35">
              <w:rPr>
                <w:rFonts w:cs="Arial"/>
              </w:rPr>
              <w:t>Aviaries, catteries, kennels, stables, wildlife refuge</w:t>
            </w:r>
          </w:p>
        </w:tc>
        <w:tc>
          <w:tcPr>
            <w:tcW w:w="2339" w:type="dxa"/>
          </w:tcPr>
          <w:p w14:paraId="3B74C192" w14:textId="77777777" w:rsidR="00BE36FB" w:rsidRPr="009B7B35" w:rsidRDefault="00BE36FB" w:rsidP="001A7107">
            <w:pPr>
              <w:pStyle w:val="TableText"/>
              <w:rPr>
                <w:rFonts w:cs="Arial"/>
              </w:rPr>
            </w:pPr>
            <w:r w:rsidRPr="009B7B35">
              <w:rPr>
                <w:rFonts w:cs="Arial"/>
              </w:rPr>
              <w:t>Aquaculture, cattle studs, domestic pets, feedlots, grazing of livestock, non–feedlot dairying, piggeries, poultry meat and egg production, animal husbandry</w:t>
            </w:r>
          </w:p>
        </w:tc>
      </w:tr>
      <w:tr w:rsidR="00BE36FB" w:rsidRPr="009B7B35" w14:paraId="50AE2548" w14:textId="77777777" w:rsidTr="001A7107">
        <w:trPr>
          <w:cantSplit/>
        </w:trPr>
        <w:tc>
          <w:tcPr>
            <w:tcW w:w="1843" w:type="dxa"/>
          </w:tcPr>
          <w:p w14:paraId="7C463ECA" w14:textId="77777777" w:rsidR="00BE36FB" w:rsidRPr="009B7B35" w:rsidRDefault="00BE36FB" w:rsidP="001A7107">
            <w:pPr>
              <w:pStyle w:val="TableText"/>
              <w:rPr>
                <w:rFonts w:cs="Arial"/>
              </w:rPr>
            </w:pPr>
            <w:r w:rsidRPr="009B7B35">
              <w:rPr>
                <w:rFonts w:cs="Arial"/>
              </w:rPr>
              <w:t>Aquaculture</w:t>
            </w:r>
          </w:p>
        </w:tc>
        <w:tc>
          <w:tcPr>
            <w:tcW w:w="2835" w:type="dxa"/>
          </w:tcPr>
          <w:p w14:paraId="2DE3C7D7" w14:textId="77777777" w:rsidR="00BE36FB" w:rsidRPr="009B7B35" w:rsidRDefault="00BE36FB" w:rsidP="001A7107">
            <w:pPr>
              <w:pStyle w:val="TableText"/>
              <w:rPr>
                <w:rFonts w:cs="Arial"/>
              </w:rPr>
            </w:pPr>
            <w:r w:rsidRPr="009B7B35">
              <w:rPr>
                <w:rFonts w:cs="Arial"/>
              </w:rPr>
              <w:t>Premises used for the cultivation of aquatic animals or plants in a confined area that may require the provision of food either mechanically or by hand.</w:t>
            </w:r>
          </w:p>
        </w:tc>
        <w:tc>
          <w:tcPr>
            <w:tcW w:w="2339" w:type="dxa"/>
          </w:tcPr>
          <w:p w14:paraId="167651B5" w14:textId="77777777" w:rsidR="00BE36FB" w:rsidRPr="009B7B35" w:rsidRDefault="00BE36FB" w:rsidP="001A7107">
            <w:pPr>
              <w:pStyle w:val="TableText"/>
              <w:rPr>
                <w:rFonts w:cs="Arial"/>
              </w:rPr>
            </w:pPr>
            <w:r w:rsidRPr="009B7B35">
              <w:rPr>
                <w:rFonts w:cs="Arial"/>
              </w:rPr>
              <w:t>Pond farms, tank systems, hatcheries, raceway system, rack and line systems, sea cages</w:t>
            </w:r>
          </w:p>
        </w:tc>
        <w:tc>
          <w:tcPr>
            <w:tcW w:w="2339" w:type="dxa"/>
          </w:tcPr>
          <w:p w14:paraId="542954FC" w14:textId="77777777" w:rsidR="00BE36FB" w:rsidRPr="009B7B35" w:rsidRDefault="00BE36FB" w:rsidP="001A7107">
            <w:pPr>
              <w:pStyle w:val="TableText"/>
              <w:rPr>
                <w:rFonts w:cs="Arial"/>
              </w:rPr>
            </w:pPr>
            <w:r w:rsidRPr="009B7B35">
              <w:rPr>
                <w:rFonts w:cs="Arial"/>
              </w:rPr>
              <w:t>Intensive animal industry</w:t>
            </w:r>
          </w:p>
        </w:tc>
      </w:tr>
      <w:tr w:rsidR="00BE36FB" w:rsidRPr="009B7B35" w14:paraId="782528CA" w14:textId="77777777" w:rsidTr="001A7107">
        <w:trPr>
          <w:cantSplit/>
        </w:trPr>
        <w:tc>
          <w:tcPr>
            <w:tcW w:w="1843" w:type="dxa"/>
          </w:tcPr>
          <w:p w14:paraId="43D91DE9" w14:textId="77777777" w:rsidR="00BE36FB" w:rsidRPr="009B7B35" w:rsidRDefault="00BE36FB" w:rsidP="001A7107">
            <w:pPr>
              <w:pStyle w:val="TableText"/>
              <w:rPr>
                <w:rFonts w:cs="Arial"/>
              </w:rPr>
            </w:pPr>
            <w:r w:rsidRPr="009B7B35">
              <w:rPr>
                <w:rFonts w:cs="Arial"/>
              </w:rPr>
              <w:t>Bar</w:t>
            </w:r>
          </w:p>
        </w:tc>
        <w:tc>
          <w:tcPr>
            <w:tcW w:w="2835" w:type="dxa"/>
          </w:tcPr>
          <w:p w14:paraId="7B5D5CEA" w14:textId="77777777" w:rsidR="00BE36FB" w:rsidRPr="009B7B35" w:rsidRDefault="00BE36FB" w:rsidP="001A7107">
            <w:pPr>
              <w:pStyle w:val="TableText"/>
              <w:rPr>
                <w:rFonts w:cs="Arial"/>
              </w:rPr>
            </w:pPr>
            <w:r w:rsidRPr="009B7B35">
              <w:rPr>
                <w:rFonts w:cs="Arial"/>
              </w:rPr>
              <w:t>Premises used primarily to sell liquor for consumption on the premises and that provides for a maximum capacity to seat sixty persons at any one time. The use may include ancillary sale of food for consumption on the premises and entertainment activities.</w:t>
            </w:r>
          </w:p>
        </w:tc>
        <w:tc>
          <w:tcPr>
            <w:tcW w:w="2339" w:type="dxa"/>
          </w:tcPr>
          <w:p w14:paraId="47C28514" w14:textId="77777777" w:rsidR="00BE36FB" w:rsidRPr="009B7B35" w:rsidDel="00123C99" w:rsidRDefault="00BE36FB" w:rsidP="001A7107">
            <w:pPr>
              <w:pStyle w:val="TableText"/>
              <w:rPr>
                <w:rFonts w:cs="Arial"/>
              </w:rPr>
            </w:pPr>
          </w:p>
        </w:tc>
        <w:tc>
          <w:tcPr>
            <w:tcW w:w="2339" w:type="dxa"/>
          </w:tcPr>
          <w:p w14:paraId="0C7824B7" w14:textId="77777777" w:rsidR="00BE36FB" w:rsidRPr="009B7B35" w:rsidRDefault="00BE36FB" w:rsidP="001A7107">
            <w:pPr>
              <w:pStyle w:val="TableText"/>
              <w:rPr>
                <w:rFonts w:cs="Arial"/>
              </w:rPr>
            </w:pPr>
            <w:r w:rsidRPr="009B7B35">
              <w:rPr>
                <w:rFonts w:cs="Arial"/>
              </w:rPr>
              <w:t>Club, hotel, nightclub entertainment facility, tavern</w:t>
            </w:r>
          </w:p>
        </w:tc>
      </w:tr>
      <w:tr w:rsidR="00BE36FB" w:rsidRPr="009B7B35" w14:paraId="4F42685A" w14:textId="77777777" w:rsidTr="001A7107">
        <w:trPr>
          <w:cantSplit/>
        </w:trPr>
        <w:tc>
          <w:tcPr>
            <w:tcW w:w="1843" w:type="dxa"/>
          </w:tcPr>
          <w:p w14:paraId="449AC2F2" w14:textId="77777777" w:rsidR="00BE36FB" w:rsidRPr="009B7B35" w:rsidDel="00123C99" w:rsidRDefault="00BE36FB" w:rsidP="001A7107">
            <w:pPr>
              <w:pStyle w:val="TableText"/>
              <w:rPr>
                <w:rFonts w:cs="Arial"/>
              </w:rPr>
            </w:pPr>
            <w:r w:rsidRPr="009B7B35">
              <w:rPr>
                <w:rFonts w:cs="Arial"/>
              </w:rPr>
              <w:t>Brothel</w:t>
            </w:r>
          </w:p>
        </w:tc>
        <w:tc>
          <w:tcPr>
            <w:tcW w:w="2835" w:type="dxa"/>
          </w:tcPr>
          <w:p w14:paraId="0035979C" w14:textId="77777777" w:rsidR="00BE36FB" w:rsidRPr="009B7B35" w:rsidRDefault="00BE36FB" w:rsidP="001A7107">
            <w:pPr>
              <w:pStyle w:val="TableText"/>
              <w:rPr>
                <w:rFonts w:cs="Arial"/>
              </w:rPr>
            </w:pPr>
            <w:r w:rsidRPr="009B7B35">
              <w:rPr>
                <w:rFonts w:cs="Arial"/>
              </w:rPr>
              <w:t>Premises made available for prostitution by two or more prostitutes at the premises.</w:t>
            </w:r>
          </w:p>
        </w:tc>
        <w:tc>
          <w:tcPr>
            <w:tcW w:w="2339" w:type="dxa"/>
          </w:tcPr>
          <w:p w14:paraId="2305D90C" w14:textId="77777777" w:rsidR="00BE36FB" w:rsidRPr="009B7B35" w:rsidDel="00123C99" w:rsidRDefault="00BE36FB" w:rsidP="001A7107">
            <w:pPr>
              <w:pStyle w:val="TableText"/>
              <w:rPr>
                <w:rFonts w:cs="Arial"/>
              </w:rPr>
            </w:pPr>
          </w:p>
        </w:tc>
        <w:tc>
          <w:tcPr>
            <w:tcW w:w="2339" w:type="dxa"/>
          </w:tcPr>
          <w:p w14:paraId="32645CA1" w14:textId="77777777" w:rsidR="00BE36FB" w:rsidRPr="009B7B35" w:rsidDel="00123C99" w:rsidRDefault="00BE36FB" w:rsidP="001A7107">
            <w:pPr>
              <w:pStyle w:val="TableText"/>
              <w:rPr>
                <w:rFonts w:cs="Arial"/>
              </w:rPr>
            </w:pPr>
            <w:r w:rsidRPr="009B7B35">
              <w:rPr>
                <w:rFonts w:cs="Arial"/>
              </w:rPr>
              <w:t>Adult store, club, nightclub entertainment facility, shop</w:t>
            </w:r>
          </w:p>
        </w:tc>
      </w:tr>
      <w:tr w:rsidR="00BE36FB" w:rsidRPr="009B7B35" w14:paraId="04DB6F40" w14:textId="77777777" w:rsidTr="001A7107">
        <w:trPr>
          <w:cantSplit/>
        </w:trPr>
        <w:tc>
          <w:tcPr>
            <w:tcW w:w="1843" w:type="dxa"/>
          </w:tcPr>
          <w:p w14:paraId="41AA12B2" w14:textId="77777777" w:rsidR="00BE36FB" w:rsidRPr="009B7B35" w:rsidRDefault="00BE36FB" w:rsidP="001A7107">
            <w:pPr>
              <w:pStyle w:val="TableText"/>
              <w:rPr>
                <w:rFonts w:cs="Arial"/>
              </w:rPr>
            </w:pPr>
            <w:r w:rsidRPr="009B7B35">
              <w:rPr>
                <w:rFonts w:cs="Arial"/>
              </w:rPr>
              <w:t>Bulk landscape supplies</w:t>
            </w:r>
          </w:p>
        </w:tc>
        <w:tc>
          <w:tcPr>
            <w:tcW w:w="2835" w:type="dxa"/>
          </w:tcPr>
          <w:p w14:paraId="349C13E0" w14:textId="77777777" w:rsidR="00BE36FB" w:rsidRPr="009B7B35" w:rsidRDefault="00BE36FB" w:rsidP="001A7107">
            <w:pPr>
              <w:pStyle w:val="TableText"/>
              <w:rPr>
                <w:rFonts w:cs="Arial"/>
              </w:rPr>
            </w:pPr>
            <w:r w:rsidRPr="009B7B35">
              <w:rPr>
                <w:rFonts w:cs="Arial"/>
              </w:rPr>
              <w:t>Premises used for bulk storage and sale of landscaping and gardening supplies, which may include soil, gravel, potting mix and mulch, where the majority of materials sold from the premises are not in pre–packaged form.</w:t>
            </w:r>
          </w:p>
        </w:tc>
        <w:tc>
          <w:tcPr>
            <w:tcW w:w="2339" w:type="dxa"/>
          </w:tcPr>
          <w:p w14:paraId="62B350B7" w14:textId="77777777" w:rsidR="00BE36FB" w:rsidRPr="009B7B35" w:rsidRDefault="00BE36FB" w:rsidP="001A7107">
            <w:pPr>
              <w:pStyle w:val="TableText"/>
              <w:rPr>
                <w:rFonts w:cs="Arial"/>
              </w:rPr>
            </w:pPr>
          </w:p>
        </w:tc>
        <w:tc>
          <w:tcPr>
            <w:tcW w:w="2339" w:type="dxa"/>
          </w:tcPr>
          <w:p w14:paraId="142C5C3E" w14:textId="77777777" w:rsidR="00BE36FB" w:rsidRPr="009B7B35" w:rsidRDefault="00BE36FB" w:rsidP="001A7107">
            <w:pPr>
              <w:pStyle w:val="TableText"/>
              <w:rPr>
                <w:rFonts w:cs="Arial"/>
              </w:rPr>
            </w:pPr>
            <w:r w:rsidRPr="009B7B35">
              <w:rPr>
                <w:rFonts w:cs="Arial"/>
              </w:rPr>
              <w:t>Garden centre, outdoor sales, wholesale nursery</w:t>
            </w:r>
          </w:p>
        </w:tc>
      </w:tr>
      <w:tr w:rsidR="00BE36FB" w:rsidRPr="009B7B35" w14:paraId="4491CC59" w14:textId="77777777" w:rsidTr="001A7107">
        <w:trPr>
          <w:cantSplit/>
        </w:trPr>
        <w:tc>
          <w:tcPr>
            <w:tcW w:w="1843" w:type="dxa"/>
          </w:tcPr>
          <w:p w14:paraId="71478A9E" w14:textId="77777777" w:rsidR="00BE36FB" w:rsidRPr="009B7B35" w:rsidRDefault="00BE36FB" w:rsidP="001A7107">
            <w:pPr>
              <w:pStyle w:val="TableText"/>
              <w:rPr>
                <w:rFonts w:cs="Arial"/>
              </w:rPr>
            </w:pPr>
            <w:r w:rsidRPr="009B7B35">
              <w:rPr>
                <w:rFonts w:cs="Arial"/>
              </w:rPr>
              <w:t>Caretaker’s accommodation</w:t>
            </w:r>
          </w:p>
        </w:tc>
        <w:tc>
          <w:tcPr>
            <w:tcW w:w="2835" w:type="dxa"/>
          </w:tcPr>
          <w:p w14:paraId="609DBB38" w14:textId="77777777" w:rsidR="00BE36FB" w:rsidRPr="009B7B35" w:rsidRDefault="00BE36FB" w:rsidP="001A7107">
            <w:pPr>
              <w:pStyle w:val="TableText"/>
              <w:rPr>
                <w:rFonts w:cs="Arial"/>
              </w:rPr>
            </w:pPr>
            <w:r w:rsidRPr="009B7B35">
              <w:rPr>
                <w:rFonts w:cs="Arial"/>
              </w:rPr>
              <w:t xml:space="preserve">A dwelling provided for a caretaker of a non–residential use on the same premises. </w:t>
            </w:r>
          </w:p>
        </w:tc>
        <w:tc>
          <w:tcPr>
            <w:tcW w:w="2339" w:type="dxa"/>
          </w:tcPr>
          <w:p w14:paraId="1E243BDF" w14:textId="77777777" w:rsidR="00BE36FB" w:rsidRPr="009B7B35" w:rsidRDefault="00BE36FB" w:rsidP="001A7107">
            <w:pPr>
              <w:pStyle w:val="TableText"/>
              <w:rPr>
                <w:rFonts w:cs="Arial"/>
              </w:rPr>
            </w:pPr>
          </w:p>
        </w:tc>
        <w:tc>
          <w:tcPr>
            <w:tcW w:w="2339" w:type="dxa"/>
          </w:tcPr>
          <w:p w14:paraId="6F199C65" w14:textId="77777777" w:rsidR="00BE36FB" w:rsidRPr="009B7B35" w:rsidRDefault="00BE36FB" w:rsidP="001A7107">
            <w:pPr>
              <w:pStyle w:val="TableText"/>
              <w:rPr>
                <w:rFonts w:cs="Arial"/>
              </w:rPr>
            </w:pPr>
            <w:r w:rsidRPr="009B7B35">
              <w:rPr>
                <w:rFonts w:cs="Arial"/>
              </w:rPr>
              <w:t>Dwelling house</w:t>
            </w:r>
          </w:p>
        </w:tc>
      </w:tr>
      <w:tr w:rsidR="00BE36FB" w:rsidRPr="009B7B35" w14:paraId="19FAB690" w14:textId="77777777" w:rsidTr="001A7107">
        <w:trPr>
          <w:cantSplit/>
        </w:trPr>
        <w:tc>
          <w:tcPr>
            <w:tcW w:w="1843" w:type="dxa"/>
          </w:tcPr>
          <w:p w14:paraId="28593D56" w14:textId="77777777" w:rsidR="00BE36FB" w:rsidRPr="009B7B35" w:rsidRDefault="00BE36FB" w:rsidP="001A7107">
            <w:pPr>
              <w:pStyle w:val="TableText"/>
              <w:rPr>
                <w:rFonts w:cs="Arial"/>
              </w:rPr>
            </w:pPr>
            <w:r w:rsidRPr="009B7B35">
              <w:rPr>
                <w:rFonts w:cs="Arial"/>
              </w:rPr>
              <w:t>Car wash</w:t>
            </w:r>
          </w:p>
        </w:tc>
        <w:tc>
          <w:tcPr>
            <w:tcW w:w="2835" w:type="dxa"/>
          </w:tcPr>
          <w:p w14:paraId="0292DF44" w14:textId="77777777" w:rsidR="00BE36FB" w:rsidRPr="009B7B35" w:rsidRDefault="00BE36FB" w:rsidP="001A7107">
            <w:pPr>
              <w:pStyle w:val="TableText"/>
              <w:rPr>
                <w:rFonts w:cs="Arial"/>
              </w:rPr>
            </w:pPr>
            <w:r w:rsidRPr="009B7B35">
              <w:rPr>
                <w:rFonts w:cs="Arial"/>
              </w:rPr>
              <w:t>Premises primarily used for commercially cleaning motor vehicles by an automatic or partly automatic process.</w:t>
            </w:r>
          </w:p>
        </w:tc>
        <w:tc>
          <w:tcPr>
            <w:tcW w:w="2339" w:type="dxa"/>
          </w:tcPr>
          <w:p w14:paraId="578BF111" w14:textId="77777777" w:rsidR="00BE36FB" w:rsidRPr="009B7B35" w:rsidRDefault="00BE36FB" w:rsidP="001A7107">
            <w:pPr>
              <w:pStyle w:val="TableText"/>
              <w:rPr>
                <w:rFonts w:cs="Arial"/>
              </w:rPr>
            </w:pPr>
          </w:p>
        </w:tc>
        <w:tc>
          <w:tcPr>
            <w:tcW w:w="2339" w:type="dxa"/>
          </w:tcPr>
          <w:p w14:paraId="2EAC1051" w14:textId="77777777" w:rsidR="00BE36FB" w:rsidRPr="009B7B35" w:rsidRDefault="00BE36FB" w:rsidP="001A7107">
            <w:pPr>
              <w:pStyle w:val="TableText"/>
              <w:rPr>
                <w:rFonts w:cs="Arial"/>
              </w:rPr>
            </w:pPr>
            <w:r w:rsidRPr="009B7B35">
              <w:rPr>
                <w:rFonts w:cs="Arial"/>
              </w:rPr>
              <w:t>Service station</w:t>
            </w:r>
          </w:p>
        </w:tc>
      </w:tr>
      <w:tr w:rsidR="00BE36FB" w:rsidRPr="009B7B35" w14:paraId="3078BC4F" w14:textId="77777777" w:rsidTr="001A7107">
        <w:trPr>
          <w:cantSplit/>
        </w:trPr>
        <w:tc>
          <w:tcPr>
            <w:tcW w:w="1843" w:type="dxa"/>
          </w:tcPr>
          <w:p w14:paraId="423A8290" w14:textId="77777777" w:rsidR="00BE36FB" w:rsidRPr="009B7B35" w:rsidRDefault="00BE36FB" w:rsidP="001A7107">
            <w:pPr>
              <w:pStyle w:val="TableText"/>
              <w:rPr>
                <w:rFonts w:cs="Arial"/>
              </w:rPr>
            </w:pPr>
            <w:r w:rsidRPr="009B7B35">
              <w:rPr>
                <w:rFonts w:cs="Arial"/>
              </w:rPr>
              <w:t>Cemetery</w:t>
            </w:r>
          </w:p>
        </w:tc>
        <w:tc>
          <w:tcPr>
            <w:tcW w:w="2835" w:type="dxa"/>
          </w:tcPr>
          <w:p w14:paraId="59AF9664" w14:textId="77777777" w:rsidR="00BE36FB" w:rsidRPr="009B7B35" w:rsidRDefault="00BE36FB" w:rsidP="001A7107">
            <w:pPr>
              <w:pStyle w:val="TableText"/>
              <w:rPr>
                <w:rFonts w:cs="Arial"/>
              </w:rPr>
            </w:pPr>
            <w:r w:rsidRPr="009B7B35">
              <w:rPr>
                <w:rFonts w:cs="Arial"/>
              </w:rPr>
              <w:t>Premises used for interment of bodies or ashes after death.</w:t>
            </w:r>
          </w:p>
        </w:tc>
        <w:tc>
          <w:tcPr>
            <w:tcW w:w="2339" w:type="dxa"/>
          </w:tcPr>
          <w:p w14:paraId="4029707E" w14:textId="77777777" w:rsidR="00BE36FB" w:rsidRPr="009B7B35" w:rsidRDefault="00BE36FB" w:rsidP="001A7107">
            <w:pPr>
              <w:pStyle w:val="TableText"/>
              <w:rPr>
                <w:rFonts w:cs="Arial"/>
              </w:rPr>
            </w:pPr>
            <w:r w:rsidRPr="009B7B35">
              <w:rPr>
                <w:rFonts w:cs="Arial"/>
              </w:rPr>
              <w:t>Burial ground, crypt, columbarium, lawn cemetery, pet cemetery, mausoleum</w:t>
            </w:r>
          </w:p>
        </w:tc>
        <w:tc>
          <w:tcPr>
            <w:tcW w:w="2339" w:type="dxa"/>
          </w:tcPr>
          <w:p w14:paraId="10CD5669" w14:textId="77777777" w:rsidR="00BE36FB" w:rsidRPr="009B7B35" w:rsidRDefault="00BE36FB" w:rsidP="001A7107">
            <w:pPr>
              <w:pStyle w:val="TableText"/>
              <w:rPr>
                <w:rFonts w:cs="Arial"/>
              </w:rPr>
            </w:pPr>
            <w:r w:rsidRPr="009B7B35">
              <w:rPr>
                <w:rFonts w:cs="Arial"/>
              </w:rPr>
              <w:t>Crematorium, funeral parlour</w:t>
            </w:r>
          </w:p>
        </w:tc>
      </w:tr>
      <w:tr w:rsidR="00BE36FB" w:rsidRPr="009B7B35" w14:paraId="2BF2AEDE" w14:textId="77777777" w:rsidTr="001A7107">
        <w:trPr>
          <w:cantSplit/>
        </w:trPr>
        <w:tc>
          <w:tcPr>
            <w:tcW w:w="1843" w:type="dxa"/>
          </w:tcPr>
          <w:p w14:paraId="22DCE516" w14:textId="77777777" w:rsidR="00BE36FB" w:rsidRPr="009B7B35" w:rsidRDefault="00BE36FB" w:rsidP="001A7107">
            <w:pPr>
              <w:pStyle w:val="TableText"/>
              <w:rPr>
                <w:rFonts w:cs="Arial"/>
              </w:rPr>
            </w:pPr>
            <w:r w:rsidRPr="009B7B35">
              <w:rPr>
                <w:rFonts w:cs="Arial"/>
              </w:rPr>
              <w:t>Child care centre</w:t>
            </w:r>
          </w:p>
        </w:tc>
        <w:tc>
          <w:tcPr>
            <w:tcW w:w="2835" w:type="dxa"/>
          </w:tcPr>
          <w:p w14:paraId="0F4D5449" w14:textId="77777777" w:rsidR="00BE36FB" w:rsidRPr="009B7B35" w:rsidRDefault="00BE36FB" w:rsidP="001A7107">
            <w:pPr>
              <w:pStyle w:val="TableText"/>
              <w:rPr>
                <w:rFonts w:cs="Arial"/>
              </w:rPr>
            </w:pPr>
            <w:r w:rsidRPr="009B7B35">
              <w:rPr>
                <w:rFonts w:cs="Arial"/>
              </w:rPr>
              <w:t>Premises used for minding, education and care, but not residence, of children.</w:t>
            </w:r>
          </w:p>
        </w:tc>
        <w:tc>
          <w:tcPr>
            <w:tcW w:w="2339" w:type="dxa"/>
          </w:tcPr>
          <w:p w14:paraId="24A73F73" w14:textId="77777777" w:rsidR="00BE36FB" w:rsidRPr="009B7B35" w:rsidRDefault="00BE36FB" w:rsidP="001A7107">
            <w:pPr>
              <w:pStyle w:val="TableText"/>
              <w:rPr>
                <w:rFonts w:cs="Arial"/>
              </w:rPr>
            </w:pPr>
            <w:r w:rsidRPr="009B7B35">
              <w:rPr>
                <w:rFonts w:cs="Arial"/>
              </w:rPr>
              <w:t>Crèche, early childhood centre, kindergarten, outside hours school care</w:t>
            </w:r>
          </w:p>
        </w:tc>
        <w:tc>
          <w:tcPr>
            <w:tcW w:w="2339" w:type="dxa"/>
          </w:tcPr>
          <w:p w14:paraId="3F39EAD4" w14:textId="77777777" w:rsidR="00BE36FB" w:rsidRPr="009B7B35" w:rsidRDefault="00BE36FB" w:rsidP="001A7107">
            <w:pPr>
              <w:pStyle w:val="TableText"/>
              <w:rPr>
                <w:rFonts w:cs="Arial"/>
              </w:rPr>
            </w:pPr>
            <w:r w:rsidRPr="009B7B35">
              <w:rPr>
                <w:rFonts w:cs="Arial"/>
              </w:rPr>
              <w:t>Educational establishment, home based child care, family day care</w:t>
            </w:r>
          </w:p>
        </w:tc>
      </w:tr>
      <w:tr w:rsidR="00BE36FB" w:rsidRPr="009B7B35" w14:paraId="0DA89342" w14:textId="77777777" w:rsidTr="001A7107">
        <w:trPr>
          <w:cantSplit/>
        </w:trPr>
        <w:tc>
          <w:tcPr>
            <w:tcW w:w="1843" w:type="dxa"/>
          </w:tcPr>
          <w:p w14:paraId="182B4B0D" w14:textId="77777777" w:rsidR="00BE36FB" w:rsidRPr="009B7B35" w:rsidRDefault="00BE36FB" w:rsidP="001A7107">
            <w:pPr>
              <w:pStyle w:val="TableText"/>
              <w:rPr>
                <w:rFonts w:cs="Arial"/>
              </w:rPr>
            </w:pPr>
            <w:r w:rsidRPr="009B7B35">
              <w:rPr>
                <w:rFonts w:cs="Arial"/>
              </w:rPr>
              <w:t>Club</w:t>
            </w:r>
          </w:p>
        </w:tc>
        <w:tc>
          <w:tcPr>
            <w:tcW w:w="2835" w:type="dxa"/>
          </w:tcPr>
          <w:p w14:paraId="4FEAE160" w14:textId="77777777" w:rsidR="00BE36FB" w:rsidRPr="009B7B35" w:rsidRDefault="00BE36FB" w:rsidP="001A7107">
            <w:pPr>
              <w:pStyle w:val="TableText"/>
              <w:rPr>
                <w:rFonts w:cs="Arial"/>
              </w:rPr>
            </w:pPr>
            <w:r w:rsidRPr="009B7B35">
              <w:rPr>
                <w:rFonts w:cs="Arial"/>
              </w:rPr>
              <w:t>Premises used by persons associated for social, literary, political, sporting, athletic or other similar purposes for social interaction or entertainment. The use may include the ancillary preparation and service of food and drink.</w:t>
            </w:r>
          </w:p>
        </w:tc>
        <w:tc>
          <w:tcPr>
            <w:tcW w:w="2339" w:type="dxa"/>
          </w:tcPr>
          <w:p w14:paraId="00D50DCD" w14:textId="77777777" w:rsidR="00BE36FB" w:rsidRPr="009B7B35" w:rsidRDefault="00BE36FB" w:rsidP="001A7107">
            <w:pPr>
              <w:pStyle w:val="TableText"/>
              <w:rPr>
                <w:rFonts w:cs="Arial"/>
              </w:rPr>
            </w:pPr>
            <w:r w:rsidRPr="009B7B35">
              <w:rPr>
                <w:rFonts w:cs="Arial"/>
              </w:rPr>
              <w:t>Club house, guide and scout clubs, surf lifesaving club, RSL, bowls club</w:t>
            </w:r>
          </w:p>
        </w:tc>
        <w:tc>
          <w:tcPr>
            <w:tcW w:w="2339" w:type="dxa"/>
          </w:tcPr>
          <w:p w14:paraId="087F107F" w14:textId="77777777" w:rsidR="00BE36FB" w:rsidRPr="009B7B35" w:rsidRDefault="00BE36FB" w:rsidP="001A7107">
            <w:pPr>
              <w:pStyle w:val="TableText"/>
              <w:rPr>
                <w:rFonts w:cs="Arial"/>
              </w:rPr>
            </w:pPr>
            <w:r w:rsidRPr="009B7B35">
              <w:rPr>
                <w:rFonts w:cs="Arial"/>
              </w:rPr>
              <w:t>Hotel, nightclub entertainment facility, place of worship, theatre</w:t>
            </w:r>
          </w:p>
        </w:tc>
      </w:tr>
      <w:tr w:rsidR="00BE36FB" w:rsidRPr="009B7B35" w14:paraId="5CD24CF3" w14:textId="77777777" w:rsidTr="001A7107">
        <w:trPr>
          <w:cantSplit/>
        </w:trPr>
        <w:tc>
          <w:tcPr>
            <w:tcW w:w="1843" w:type="dxa"/>
          </w:tcPr>
          <w:p w14:paraId="17261605" w14:textId="77777777" w:rsidR="00BE36FB" w:rsidRPr="009B7B35" w:rsidRDefault="00BE36FB" w:rsidP="001A7107">
            <w:pPr>
              <w:pStyle w:val="TableText"/>
              <w:rPr>
                <w:rFonts w:cs="Arial"/>
              </w:rPr>
            </w:pPr>
            <w:r w:rsidRPr="009B7B35">
              <w:rPr>
                <w:rFonts w:cs="Arial"/>
              </w:rPr>
              <w:t>Community care centre</w:t>
            </w:r>
          </w:p>
        </w:tc>
        <w:tc>
          <w:tcPr>
            <w:tcW w:w="2835" w:type="dxa"/>
          </w:tcPr>
          <w:p w14:paraId="2B278124" w14:textId="77777777" w:rsidR="00BE36FB" w:rsidRPr="009B7B35" w:rsidRDefault="00BE36FB" w:rsidP="001A7107">
            <w:pPr>
              <w:pStyle w:val="TableText"/>
              <w:rPr>
                <w:rFonts w:cs="Arial"/>
              </w:rPr>
            </w:pPr>
            <w:r w:rsidRPr="009B7B35">
              <w:rPr>
                <w:rFonts w:cs="Arial"/>
              </w:rPr>
              <w:t>Premises used to provide social support where no accommodation is provided. Medical care may be provided but is ancillary to the primary use.</w:t>
            </w:r>
          </w:p>
        </w:tc>
        <w:tc>
          <w:tcPr>
            <w:tcW w:w="2339" w:type="dxa"/>
          </w:tcPr>
          <w:p w14:paraId="25921091" w14:textId="77777777" w:rsidR="00BE36FB" w:rsidRPr="009B7B35" w:rsidRDefault="00BE36FB" w:rsidP="001A7107">
            <w:pPr>
              <w:pStyle w:val="TableText"/>
              <w:rPr>
                <w:rFonts w:cs="Arial"/>
              </w:rPr>
            </w:pPr>
            <w:r w:rsidRPr="009B7B35">
              <w:rPr>
                <w:rFonts w:cs="Arial"/>
              </w:rPr>
              <w:t>Disability support services, drop in centre, respite centre, integrated Indigenous support centre</w:t>
            </w:r>
          </w:p>
        </w:tc>
        <w:tc>
          <w:tcPr>
            <w:tcW w:w="2339" w:type="dxa"/>
          </w:tcPr>
          <w:p w14:paraId="6F925BA2" w14:textId="77777777" w:rsidR="00BE36FB" w:rsidRPr="009B7B35" w:rsidRDefault="00BE36FB" w:rsidP="001A7107">
            <w:pPr>
              <w:pStyle w:val="TableText"/>
              <w:rPr>
                <w:rFonts w:cs="Arial"/>
              </w:rPr>
            </w:pPr>
            <w:r w:rsidRPr="009B7B35">
              <w:rPr>
                <w:rFonts w:cs="Arial"/>
              </w:rPr>
              <w:t>Child care centre, family day care, home based child care, health care services, residential care facility</w:t>
            </w:r>
          </w:p>
        </w:tc>
      </w:tr>
      <w:tr w:rsidR="00BE36FB" w:rsidRPr="009B7B35" w14:paraId="75939284" w14:textId="77777777" w:rsidTr="001A7107">
        <w:trPr>
          <w:cantSplit/>
        </w:trPr>
        <w:tc>
          <w:tcPr>
            <w:tcW w:w="1843" w:type="dxa"/>
          </w:tcPr>
          <w:p w14:paraId="0ADEE883" w14:textId="77777777" w:rsidR="00BE36FB" w:rsidRPr="009B7B35" w:rsidRDefault="00BE36FB" w:rsidP="001A7107">
            <w:pPr>
              <w:pStyle w:val="TableText"/>
              <w:rPr>
                <w:rFonts w:cs="Arial"/>
              </w:rPr>
            </w:pPr>
            <w:r w:rsidRPr="009B7B35">
              <w:rPr>
                <w:rFonts w:cs="Arial"/>
              </w:rPr>
              <w:t>Community residence</w:t>
            </w:r>
          </w:p>
        </w:tc>
        <w:tc>
          <w:tcPr>
            <w:tcW w:w="2835" w:type="dxa"/>
          </w:tcPr>
          <w:p w14:paraId="248AA216" w14:textId="77777777" w:rsidR="00BE36FB" w:rsidRPr="009B7B35" w:rsidRDefault="00BE36FB" w:rsidP="001A7107">
            <w:pPr>
              <w:pStyle w:val="TableText"/>
              <w:rPr>
                <w:rFonts w:cs="Arial"/>
              </w:rPr>
            </w:pPr>
            <w:r w:rsidRPr="009B7B35">
              <w:rPr>
                <w:rFonts w:cs="Arial"/>
              </w:rPr>
              <w:t>Any dwelling used for accommodation for a maximum of six persons who require assistance or support with daily living needs, share communal spaces and who may be unrelated. The use may include a resident support worker engaged or employed in the management of the residence.</w:t>
            </w:r>
          </w:p>
        </w:tc>
        <w:tc>
          <w:tcPr>
            <w:tcW w:w="2339" w:type="dxa"/>
          </w:tcPr>
          <w:p w14:paraId="7578FE2E" w14:textId="77777777" w:rsidR="00BE36FB" w:rsidRPr="009B7B35" w:rsidRDefault="00BE36FB" w:rsidP="001A7107">
            <w:pPr>
              <w:pStyle w:val="TableText"/>
              <w:rPr>
                <w:rFonts w:cs="Arial"/>
              </w:rPr>
            </w:pPr>
            <w:r w:rsidRPr="009B7B35">
              <w:rPr>
                <w:rFonts w:cs="Arial"/>
              </w:rPr>
              <w:t>Hospice</w:t>
            </w:r>
          </w:p>
        </w:tc>
        <w:tc>
          <w:tcPr>
            <w:tcW w:w="2339" w:type="dxa"/>
          </w:tcPr>
          <w:p w14:paraId="3DBC22E5" w14:textId="77777777" w:rsidR="00BE36FB" w:rsidRPr="009B7B35" w:rsidRDefault="00BE36FB" w:rsidP="001A7107">
            <w:pPr>
              <w:pStyle w:val="TableText"/>
              <w:rPr>
                <w:rFonts w:cs="Arial"/>
              </w:rPr>
            </w:pPr>
            <w:r w:rsidRPr="009B7B35">
              <w:rPr>
                <w:rFonts w:cs="Arial"/>
              </w:rPr>
              <w:t>Dwelling house, dwelling unit, residential care facility, rooming accommodation, short–term accommodation</w:t>
            </w:r>
          </w:p>
        </w:tc>
      </w:tr>
      <w:tr w:rsidR="00BE36FB" w:rsidRPr="009B7B35" w14:paraId="6E8FBFFA" w14:textId="77777777" w:rsidTr="001A7107">
        <w:trPr>
          <w:cantSplit/>
        </w:trPr>
        <w:tc>
          <w:tcPr>
            <w:tcW w:w="1843" w:type="dxa"/>
          </w:tcPr>
          <w:p w14:paraId="3968BE4D" w14:textId="77777777" w:rsidR="00BE36FB" w:rsidRPr="009B7B35" w:rsidRDefault="00BE36FB" w:rsidP="001A7107">
            <w:pPr>
              <w:pStyle w:val="TableText"/>
              <w:rPr>
                <w:rFonts w:cs="Arial"/>
              </w:rPr>
            </w:pPr>
            <w:r w:rsidRPr="009B7B35">
              <w:rPr>
                <w:rFonts w:cs="Arial"/>
              </w:rPr>
              <w:t>Community use</w:t>
            </w:r>
          </w:p>
        </w:tc>
        <w:tc>
          <w:tcPr>
            <w:tcW w:w="2835" w:type="dxa"/>
          </w:tcPr>
          <w:p w14:paraId="02595CA1" w14:textId="77777777" w:rsidR="00BE36FB" w:rsidRPr="009B7B35" w:rsidRDefault="00BE36FB" w:rsidP="001A7107">
            <w:pPr>
              <w:pStyle w:val="TableText"/>
              <w:rPr>
                <w:rFonts w:cs="Arial"/>
              </w:rPr>
            </w:pPr>
            <w:r w:rsidRPr="009B7B35">
              <w:rPr>
                <w:rFonts w:cs="Arial"/>
              </w:rPr>
              <w:t>Premises used for providing artistic, social or cultural facilities and community support services to the public and may include the ancillary preparation and provision of food and drink.</w:t>
            </w:r>
          </w:p>
        </w:tc>
        <w:tc>
          <w:tcPr>
            <w:tcW w:w="2339" w:type="dxa"/>
          </w:tcPr>
          <w:p w14:paraId="394338FF" w14:textId="77777777" w:rsidR="00BE36FB" w:rsidRPr="009B7B35" w:rsidRDefault="00BE36FB" w:rsidP="001A7107">
            <w:pPr>
              <w:pStyle w:val="TableText"/>
              <w:rPr>
                <w:rFonts w:cs="Arial"/>
              </w:rPr>
            </w:pPr>
            <w:r w:rsidRPr="009B7B35">
              <w:rPr>
                <w:rFonts w:cs="Arial"/>
              </w:rPr>
              <w:t>Art gallery, community centre, community hall, library, museum</w:t>
            </w:r>
          </w:p>
        </w:tc>
        <w:tc>
          <w:tcPr>
            <w:tcW w:w="2339" w:type="dxa"/>
          </w:tcPr>
          <w:p w14:paraId="62EE646E" w14:textId="77777777" w:rsidR="00BE36FB" w:rsidRPr="009B7B35" w:rsidRDefault="00BE36FB" w:rsidP="001A7107">
            <w:pPr>
              <w:pStyle w:val="TableText"/>
              <w:rPr>
                <w:rFonts w:cs="Arial"/>
              </w:rPr>
            </w:pPr>
            <w:r w:rsidRPr="009B7B35">
              <w:rPr>
                <w:rFonts w:cs="Arial"/>
              </w:rPr>
              <w:t>Cinema, club, hotel, nightclub entertainment facility, place of worship</w:t>
            </w:r>
          </w:p>
        </w:tc>
      </w:tr>
      <w:tr w:rsidR="00BE36FB" w:rsidRPr="009B7B35" w14:paraId="6C3AB080" w14:textId="77777777" w:rsidTr="001A7107">
        <w:trPr>
          <w:cantSplit/>
        </w:trPr>
        <w:tc>
          <w:tcPr>
            <w:tcW w:w="1843" w:type="dxa"/>
          </w:tcPr>
          <w:p w14:paraId="1BC4C8DE" w14:textId="77777777" w:rsidR="00BE36FB" w:rsidRPr="009B7B35" w:rsidRDefault="00BE36FB" w:rsidP="001A7107">
            <w:pPr>
              <w:pStyle w:val="TableText"/>
              <w:rPr>
                <w:rFonts w:cs="Arial"/>
              </w:rPr>
            </w:pPr>
            <w:r w:rsidRPr="009B7B35">
              <w:rPr>
                <w:rFonts w:cs="Arial"/>
              </w:rPr>
              <w:t>Crematorium</w:t>
            </w:r>
          </w:p>
        </w:tc>
        <w:tc>
          <w:tcPr>
            <w:tcW w:w="2835" w:type="dxa"/>
          </w:tcPr>
          <w:p w14:paraId="675AA79D" w14:textId="77777777" w:rsidR="00BE36FB" w:rsidRPr="009B7B35" w:rsidRDefault="00BE36FB" w:rsidP="001A7107">
            <w:pPr>
              <w:pStyle w:val="TableText"/>
              <w:rPr>
                <w:rFonts w:cs="Arial"/>
              </w:rPr>
            </w:pPr>
            <w:r w:rsidRPr="009B7B35">
              <w:rPr>
                <w:rFonts w:cs="Arial"/>
              </w:rPr>
              <w:t>Premises used for the cremation or aquamation of bodies.</w:t>
            </w:r>
          </w:p>
        </w:tc>
        <w:tc>
          <w:tcPr>
            <w:tcW w:w="2339" w:type="dxa"/>
          </w:tcPr>
          <w:p w14:paraId="1BDD305E" w14:textId="77777777" w:rsidR="00BE36FB" w:rsidRPr="009B7B35" w:rsidRDefault="00BE36FB" w:rsidP="001A7107">
            <w:pPr>
              <w:pStyle w:val="TableText"/>
              <w:rPr>
                <w:rFonts w:cs="Arial"/>
              </w:rPr>
            </w:pPr>
          </w:p>
        </w:tc>
        <w:tc>
          <w:tcPr>
            <w:tcW w:w="2339" w:type="dxa"/>
          </w:tcPr>
          <w:p w14:paraId="0F954312" w14:textId="77777777" w:rsidR="00BE36FB" w:rsidRPr="009B7B35" w:rsidRDefault="00BE36FB" w:rsidP="001A7107">
            <w:pPr>
              <w:pStyle w:val="TableText"/>
              <w:rPr>
                <w:rFonts w:cs="Arial"/>
              </w:rPr>
            </w:pPr>
            <w:r w:rsidRPr="009B7B35">
              <w:rPr>
                <w:rFonts w:cs="Arial"/>
              </w:rPr>
              <w:t>Cemetery</w:t>
            </w:r>
          </w:p>
        </w:tc>
      </w:tr>
      <w:tr w:rsidR="00BE36FB" w:rsidRPr="009B7B35" w14:paraId="77DA8C88" w14:textId="77777777" w:rsidTr="001A7107">
        <w:trPr>
          <w:cantSplit/>
        </w:trPr>
        <w:tc>
          <w:tcPr>
            <w:tcW w:w="1843" w:type="dxa"/>
          </w:tcPr>
          <w:p w14:paraId="229209B9" w14:textId="77777777" w:rsidR="00BE36FB" w:rsidRPr="009B7B35" w:rsidRDefault="00BE36FB" w:rsidP="001A7107">
            <w:pPr>
              <w:pStyle w:val="TableText"/>
              <w:rPr>
                <w:rFonts w:cs="Arial"/>
              </w:rPr>
            </w:pPr>
            <w:r w:rsidRPr="009B7B35">
              <w:rPr>
                <w:rFonts w:cs="Arial"/>
              </w:rPr>
              <w:t>Cropping</w:t>
            </w:r>
          </w:p>
        </w:tc>
        <w:tc>
          <w:tcPr>
            <w:tcW w:w="2835" w:type="dxa"/>
          </w:tcPr>
          <w:p w14:paraId="578BD559" w14:textId="77777777" w:rsidR="00BE36FB" w:rsidRPr="009B7B35" w:rsidRDefault="00BE36FB" w:rsidP="001A7107">
            <w:pPr>
              <w:pStyle w:val="TableText"/>
              <w:rPr>
                <w:rFonts w:cs="Arial"/>
              </w:rPr>
            </w:pPr>
            <w:r w:rsidRPr="009B7B35">
              <w:rPr>
                <w:rFonts w:cs="Arial"/>
              </w:rPr>
              <w:t>Premises used for growing plants or plant material for commercial purposes where dependent on the cultivation of soil. The use includes harvesting and the storage and packing of produce and plants grown on the site and the ancillary repair and servicing of machinery used on the site.</w:t>
            </w:r>
          </w:p>
        </w:tc>
        <w:tc>
          <w:tcPr>
            <w:tcW w:w="2339" w:type="dxa"/>
          </w:tcPr>
          <w:p w14:paraId="2A849AB0" w14:textId="77777777" w:rsidR="00BE36FB" w:rsidRPr="009B7B35" w:rsidRDefault="00BE36FB" w:rsidP="001A7107">
            <w:pPr>
              <w:pStyle w:val="TableText"/>
              <w:rPr>
                <w:rFonts w:cs="Arial"/>
              </w:rPr>
            </w:pPr>
            <w:r w:rsidRPr="009B7B35">
              <w:rPr>
                <w:rFonts w:cs="Arial"/>
              </w:rPr>
              <w:t>Fruit, nut, vegetable and grain production, forestry for wood production, fodder and pasture production, plant fibre production, sugar cane growing, vineyard</w:t>
            </w:r>
          </w:p>
        </w:tc>
        <w:tc>
          <w:tcPr>
            <w:tcW w:w="2339" w:type="dxa"/>
          </w:tcPr>
          <w:p w14:paraId="3C2F263B" w14:textId="77777777" w:rsidR="00BE36FB" w:rsidRPr="009B7B35" w:rsidRDefault="00BE36FB" w:rsidP="001A7107">
            <w:pPr>
              <w:pStyle w:val="TableText"/>
              <w:rPr>
                <w:rFonts w:cs="Arial"/>
              </w:rPr>
            </w:pPr>
            <w:r w:rsidRPr="009B7B35">
              <w:rPr>
                <w:rFonts w:cs="Arial"/>
              </w:rPr>
              <w:t>Permanent plantations, intensive horticulture, rural industry</w:t>
            </w:r>
          </w:p>
        </w:tc>
      </w:tr>
      <w:tr w:rsidR="00BE36FB" w:rsidRPr="009B7B35" w14:paraId="21AFC374" w14:textId="77777777" w:rsidTr="001A7107">
        <w:trPr>
          <w:cantSplit/>
        </w:trPr>
        <w:tc>
          <w:tcPr>
            <w:tcW w:w="1843" w:type="dxa"/>
          </w:tcPr>
          <w:p w14:paraId="164E3B37" w14:textId="77777777" w:rsidR="00BE36FB" w:rsidRPr="009B7B35" w:rsidRDefault="00BE36FB" w:rsidP="001A7107">
            <w:pPr>
              <w:pStyle w:val="TableText"/>
              <w:rPr>
                <w:rFonts w:cs="Arial"/>
              </w:rPr>
            </w:pPr>
            <w:r w:rsidRPr="009B7B35">
              <w:rPr>
                <w:rFonts w:cs="Arial"/>
              </w:rPr>
              <w:t>Detention facility</w:t>
            </w:r>
          </w:p>
        </w:tc>
        <w:tc>
          <w:tcPr>
            <w:tcW w:w="2835" w:type="dxa"/>
          </w:tcPr>
          <w:p w14:paraId="52425F8E" w14:textId="77777777" w:rsidR="00BE36FB" w:rsidRPr="009B7B35" w:rsidRDefault="00BE36FB" w:rsidP="001A7107">
            <w:pPr>
              <w:pStyle w:val="TableText"/>
              <w:rPr>
                <w:rFonts w:cs="Arial"/>
              </w:rPr>
            </w:pPr>
            <w:r w:rsidRPr="009B7B35">
              <w:rPr>
                <w:rFonts w:cs="Arial"/>
              </w:rPr>
              <w:t>Premises used for</w:t>
            </w:r>
            <w:r w:rsidRPr="009B7B35" w:rsidDel="00F0717E">
              <w:rPr>
                <w:rFonts w:cs="Arial"/>
              </w:rPr>
              <w:t xml:space="preserve"> </w:t>
            </w:r>
            <w:r w:rsidRPr="009B7B35">
              <w:rPr>
                <w:rFonts w:cs="Arial"/>
              </w:rPr>
              <w:t>the confinement of persons committed by a process of law.</w:t>
            </w:r>
          </w:p>
        </w:tc>
        <w:tc>
          <w:tcPr>
            <w:tcW w:w="2339" w:type="dxa"/>
          </w:tcPr>
          <w:p w14:paraId="5758BBBA" w14:textId="77777777" w:rsidR="00BE36FB" w:rsidRPr="009B7B35" w:rsidRDefault="00BE36FB" w:rsidP="001A7107">
            <w:pPr>
              <w:pStyle w:val="TableText"/>
              <w:rPr>
                <w:rFonts w:cs="Arial"/>
              </w:rPr>
            </w:pPr>
            <w:r w:rsidRPr="009B7B35">
              <w:rPr>
                <w:rFonts w:cs="Arial"/>
              </w:rPr>
              <w:t>Prison, detention centre</w:t>
            </w:r>
          </w:p>
        </w:tc>
        <w:tc>
          <w:tcPr>
            <w:tcW w:w="2339" w:type="dxa"/>
          </w:tcPr>
          <w:p w14:paraId="0226B30E" w14:textId="77777777" w:rsidR="00BE36FB" w:rsidRPr="009B7B35" w:rsidRDefault="00BE36FB" w:rsidP="001A7107">
            <w:pPr>
              <w:pStyle w:val="TableText"/>
              <w:rPr>
                <w:rFonts w:cs="Arial"/>
              </w:rPr>
            </w:pPr>
          </w:p>
        </w:tc>
      </w:tr>
      <w:tr w:rsidR="00BE36FB" w:rsidRPr="009B7B35" w14:paraId="617405C7" w14:textId="77777777" w:rsidTr="001A7107">
        <w:trPr>
          <w:cantSplit/>
        </w:trPr>
        <w:tc>
          <w:tcPr>
            <w:tcW w:w="1843" w:type="dxa"/>
          </w:tcPr>
          <w:p w14:paraId="6EEA08CA" w14:textId="77777777" w:rsidR="00BE36FB" w:rsidRPr="009B7B35" w:rsidRDefault="00BE36FB" w:rsidP="001A7107">
            <w:pPr>
              <w:pStyle w:val="TableText"/>
              <w:rPr>
                <w:rFonts w:cs="Arial"/>
              </w:rPr>
            </w:pPr>
            <w:r w:rsidRPr="009B7B35">
              <w:rPr>
                <w:rFonts w:cs="Arial"/>
              </w:rPr>
              <w:t>Dual occupancy</w:t>
            </w:r>
          </w:p>
        </w:tc>
        <w:tc>
          <w:tcPr>
            <w:tcW w:w="2835" w:type="dxa"/>
          </w:tcPr>
          <w:p w14:paraId="23602173" w14:textId="77777777" w:rsidR="00BE36FB" w:rsidRPr="009B7B35" w:rsidRDefault="00BE36FB" w:rsidP="001A7107">
            <w:pPr>
              <w:pStyle w:val="Default"/>
              <w:rPr>
                <w:color w:val="auto"/>
                <w:sz w:val="20"/>
                <w:szCs w:val="20"/>
              </w:rPr>
            </w:pPr>
            <w:r w:rsidRPr="009B7B35">
              <w:rPr>
                <w:color w:val="auto"/>
                <w:sz w:val="20"/>
                <w:szCs w:val="20"/>
              </w:rPr>
              <w:t xml:space="preserve">Premises containing two dwellings, each for a separate household, and consisting of: </w:t>
            </w:r>
          </w:p>
          <w:p w14:paraId="39EFFA31" w14:textId="77777777" w:rsidR="00BE36FB" w:rsidRPr="009B7B35" w:rsidRDefault="00BE36FB" w:rsidP="00BE36FB">
            <w:pPr>
              <w:pStyle w:val="Default"/>
              <w:numPr>
                <w:ilvl w:val="0"/>
                <w:numId w:val="877"/>
              </w:numPr>
              <w:ind w:left="368"/>
              <w:rPr>
                <w:color w:val="auto"/>
                <w:sz w:val="20"/>
                <w:szCs w:val="20"/>
              </w:rPr>
            </w:pPr>
            <w:r w:rsidRPr="009B7B35">
              <w:rPr>
                <w:color w:val="auto"/>
                <w:sz w:val="20"/>
                <w:szCs w:val="20"/>
              </w:rPr>
              <w:t xml:space="preserve">a single lot, where neither dwelling is a secondary dwelling or </w:t>
            </w:r>
          </w:p>
          <w:p w14:paraId="465DF33B" w14:textId="77777777" w:rsidR="00BE36FB" w:rsidRPr="009B7B35" w:rsidRDefault="00BE36FB" w:rsidP="00BE36FB">
            <w:pPr>
              <w:pStyle w:val="Default"/>
              <w:numPr>
                <w:ilvl w:val="0"/>
                <w:numId w:val="877"/>
              </w:numPr>
              <w:ind w:left="368"/>
              <w:rPr>
                <w:color w:val="auto"/>
                <w:sz w:val="20"/>
                <w:szCs w:val="20"/>
              </w:rPr>
            </w:pPr>
            <w:r w:rsidRPr="009B7B35">
              <w:rPr>
                <w:color w:val="auto"/>
                <w:sz w:val="20"/>
                <w:szCs w:val="20"/>
              </w:rPr>
              <w:t xml:space="preserve">two lots sharing common property where one dwelling is located on each lot. </w:t>
            </w:r>
          </w:p>
          <w:p w14:paraId="1D48F893" w14:textId="77777777" w:rsidR="00BE36FB" w:rsidRPr="009B7B35" w:rsidRDefault="00BE36FB" w:rsidP="001A7107">
            <w:pPr>
              <w:pStyle w:val="TableText"/>
              <w:rPr>
                <w:rFonts w:cs="Arial"/>
              </w:rPr>
            </w:pPr>
          </w:p>
        </w:tc>
        <w:tc>
          <w:tcPr>
            <w:tcW w:w="2339" w:type="dxa"/>
          </w:tcPr>
          <w:p w14:paraId="1374E696" w14:textId="77777777" w:rsidR="00BE36FB" w:rsidRPr="009B7B35" w:rsidRDefault="00BE36FB" w:rsidP="001A7107">
            <w:pPr>
              <w:pStyle w:val="Default"/>
              <w:rPr>
                <w:color w:val="auto"/>
                <w:sz w:val="20"/>
                <w:szCs w:val="20"/>
              </w:rPr>
            </w:pPr>
            <w:r w:rsidRPr="009B7B35">
              <w:rPr>
                <w:color w:val="auto"/>
                <w:sz w:val="20"/>
                <w:szCs w:val="20"/>
              </w:rPr>
              <w:t xml:space="preserve">Duplex, two dwellings on a single lot (whether or not attached), two dwellings within one single community title scheme under the </w:t>
            </w:r>
            <w:r w:rsidRPr="009B7B35">
              <w:rPr>
                <w:i/>
                <w:iCs/>
                <w:color w:val="auto"/>
                <w:sz w:val="20"/>
                <w:szCs w:val="20"/>
              </w:rPr>
              <w:t>Body Corporate and Community Management Act 1997</w:t>
            </w:r>
            <w:r w:rsidRPr="009B7B35">
              <w:rPr>
                <w:color w:val="auto"/>
                <w:sz w:val="20"/>
                <w:szCs w:val="20"/>
              </w:rPr>
              <w:t xml:space="preserve">, two dwellings within the one body corporate to which the </w:t>
            </w:r>
            <w:r w:rsidRPr="009B7B35">
              <w:rPr>
                <w:i/>
                <w:iCs/>
                <w:color w:val="auto"/>
                <w:sz w:val="20"/>
                <w:szCs w:val="20"/>
              </w:rPr>
              <w:t xml:space="preserve">Building Units and Group Title Act 1980 </w:t>
            </w:r>
            <w:r w:rsidRPr="009B7B35">
              <w:rPr>
                <w:color w:val="auto"/>
                <w:sz w:val="20"/>
                <w:szCs w:val="20"/>
              </w:rPr>
              <w:t>continues to  apply</w:t>
            </w:r>
          </w:p>
        </w:tc>
        <w:tc>
          <w:tcPr>
            <w:tcW w:w="2339" w:type="dxa"/>
          </w:tcPr>
          <w:p w14:paraId="06BED167" w14:textId="77777777" w:rsidR="00BE36FB" w:rsidRPr="009B7B35" w:rsidRDefault="00BE36FB" w:rsidP="001A7107">
            <w:pPr>
              <w:pStyle w:val="TableText"/>
              <w:rPr>
                <w:rFonts w:cs="Arial"/>
              </w:rPr>
            </w:pPr>
            <w:r w:rsidRPr="009B7B35">
              <w:rPr>
                <w:rFonts w:cs="Arial"/>
              </w:rPr>
              <w:t>Dwelling house, multiple dwelling</w:t>
            </w:r>
          </w:p>
        </w:tc>
      </w:tr>
      <w:tr w:rsidR="00BE36FB" w:rsidRPr="009B7B35" w14:paraId="16338FA5" w14:textId="77777777" w:rsidTr="001A7107">
        <w:trPr>
          <w:cantSplit/>
        </w:trPr>
        <w:tc>
          <w:tcPr>
            <w:tcW w:w="1843" w:type="dxa"/>
          </w:tcPr>
          <w:p w14:paraId="3B0E8753" w14:textId="77777777" w:rsidR="00BE36FB" w:rsidRPr="009B7B35" w:rsidRDefault="00BE36FB" w:rsidP="001A7107">
            <w:pPr>
              <w:pStyle w:val="TableText"/>
              <w:rPr>
                <w:rFonts w:cs="Arial"/>
              </w:rPr>
            </w:pPr>
            <w:bookmarkStart w:id="287" w:name="OLE_LINK3"/>
            <w:bookmarkStart w:id="288" w:name="OLE_LINK22"/>
            <w:r w:rsidRPr="009B7B35">
              <w:rPr>
                <w:rFonts w:cs="Arial"/>
              </w:rPr>
              <w:t>Dwelling house</w:t>
            </w:r>
          </w:p>
        </w:tc>
        <w:tc>
          <w:tcPr>
            <w:tcW w:w="2835" w:type="dxa"/>
          </w:tcPr>
          <w:p w14:paraId="376A4170" w14:textId="77777777" w:rsidR="00BE36FB" w:rsidRPr="009B7B35" w:rsidRDefault="00BE36FB" w:rsidP="001A7107">
            <w:pPr>
              <w:pStyle w:val="TableText"/>
              <w:rPr>
                <w:rFonts w:cs="Arial"/>
              </w:rPr>
            </w:pPr>
            <w:r w:rsidRPr="009B7B35">
              <w:rPr>
                <w:rFonts w:cs="Arial"/>
              </w:rPr>
              <w:t xml:space="preserve">A residential use of premises for one household that contains a single dwelling. The use includes domestic outbuildings and works normally associated with a dwelling and may include a secondary dwelling. </w:t>
            </w:r>
          </w:p>
        </w:tc>
        <w:tc>
          <w:tcPr>
            <w:tcW w:w="2339" w:type="dxa"/>
          </w:tcPr>
          <w:p w14:paraId="025D27B4" w14:textId="77777777" w:rsidR="00BE36FB" w:rsidRPr="009B7B35" w:rsidRDefault="00BE36FB" w:rsidP="001A7107">
            <w:pPr>
              <w:pStyle w:val="TableText"/>
              <w:rPr>
                <w:rFonts w:cs="Arial"/>
              </w:rPr>
            </w:pPr>
          </w:p>
        </w:tc>
        <w:tc>
          <w:tcPr>
            <w:tcW w:w="2339" w:type="dxa"/>
          </w:tcPr>
          <w:p w14:paraId="4AC8D8D7" w14:textId="77777777" w:rsidR="00BE36FB" w:rsidRPr="009B7B35" w:rsidRDefault="00BE36FB" w:rsidP="001A7107">
            <w:pPr>
              <w:pStyle w:val="TableText"/>
              <w:rPr>
                <w:rFonts w:cs="Arial"/>
              </w:rPr>
            </w:pPr>
            <w:r w:rsidRPr="009B7B35">
              <w:rPr>
                <w:rFonts w:cs="Arial"/>
              </w:rPr>
              <w:t>Caretaker’s accommodation, dual occupancy, rooming accommodation, short–term accommodation, student accommodation, multiple dwelling</w:t>
            </w:r>
          </w:p>
        </w:tc>
      </w:tr>
      <w:bookmarkEnd w:id="287"/>
      <w:bookmarkEnd w:id="288"/>
      <w:tr w:rsidR="00BE36FB" w:rsidRPr="009B7B35" w14:paraId="6A1A8536" w14:textId="77777777" w:rsidTr="001A7107">
        <w:trPr>
          <w:cantSplit/>
        </w:trPr>
        <w:tc>
          <w:tcPr>
            <w:tcW w:w="1843" w:type="dxa"/>
          </w:tcPr>
          <w:p w14:paraId="531A67C2" w14:textId="77777777" w:rsidR="00BE36FB" w:rsidRPr="009B7B35" w:rsidRDefault="00BE36FB" w:rsidP="001A7107">
            <w:pPr>
              <w:pStyle w:val="TableText"/>
              <w:rPr>
                <w:rFonts w:cs="Arial"/>
              </w:rPr>
            </w:pPr>
            <w:r w:rsidRPr="009B7B35">
              <w:rPr>
                <w:rFonts w:cs="Arial"/>
              </w:rPr>
              <w:t>Dwelling unit</w:t>
            </w:r>
          </w:p>
        </w:tc>
        <w:tc>
          <w:tcPr>
            <w:tcW w:w="2835" w:type="dxa"/>
          </w:tcPr>
          <w:p w14:paraId="370B6DDF" w14:textId="77777777" w:rsidR="00BE36FB" w:rsidRPr="009B7B35" w:rsidRDefault="00BE36FB" w:rsidP="001A7107">
            <w:pPr>
              <w:pStyle w:val="TableText"/>
              <w:rPr>
                <w:rFonts w:cs="Arial"/>
              </w:rPr>
            </w:pPr>
            <w:r w:rsidRPr="009B7B35">
              <w:rPr>
                <w:rFonts w:cs="Arial"/>
              </w:rPr>
              <w:t>A single dwelling within a premise containing non–residential use(s).</w:t>
            </w:r>
          </w:p>
        </w:tc>
        <w:tc>
          <w:tcPr>
            <w:tcW w:w="2339" w:type="dxa"/>
          </w:tcPr>
          <w:p w14:paraId="4C82C92C" w14:textId="77777777" w:rsidR="00BE36FB" w:rsidRPr="009B7B35" w:rsidRDefault="00BE36FB" w:rsidP="001A7107">
            <w:pPr>
              <w:pStyle w:val="TableText"/>
              <w:rPr>
                <w:rFonts w:cs="Arial"/>
              </w:rPr>
            </w:pPr>
            <w:r w:rsidRPr="009B7B35">
              <w:rPr>
                <w:rFonts w:cs="Arial"/>
              </w:rPr>
              <w:t>‘Shop–top’ apartment</w:t>
            </w:r>
          </w:p>
        </w:tc>
        <w:tc>
          <w:tcPr>
            <w:tcW w:w="2339" w:type="dxa"/>
          </w:tcPr>
          <w:p w14:paraId="506C698F" w14:textId="77777777" w:rsidR="00BE36FB" w:rsidRPr="009B7B35" w:rsidRDefault="00BE36FB" w:rsidP="001A7107">
            <w:pPr>
              <w:pStyle w:val="TableText"/>
              <w:rPr>
                <w:rFonts w:cs="Arial"/>
              </w:rPr>
            </w:pPr>
            <w:r w:rsidRPr="009B7B35">
              <w:rPr>
                <w:rFonts w:cs="Arial"/>
              </w:rPr>
              <w:t>Caretaker’s accommodation, dwelling house</w:t>
            </w:r>
          </w:p>
        </w:tc>
      </w:tr>
      <w:tr w:rsidR="00BE36FB" w:rsidRPr="009B7B35" w14:paraId="6D3C3782" w14:textId="77777777" w:rsidTr="001A7107">
        <w:trPr>
          <w:cantSplit/>
        </w:trPr>
        <w:tc>
          <w:tcPr>
            <w:tcW w:w="1843" w:type="dxa"/>
          </w:tcPr>
          <w:p w14:paraId="167568E6" w14:textId="77777777" w:rsidR="00BE36FB" w:rsidRPr="009B7B35" w:rsidRDefault="00BE36FB" w:rsidP="001A7107">
            <w:pPr>
              <w:pStyle w:val="TableText"/>
              <w:rPr>
                <w:rFonts w:cs="Arial"/>
              </w:rPr>
            </w:pPr>
            <w:r w:rsidRPr="009B7B35">
              <w:rPr>
                <w:rFonts w:cs="Arial"/>
              </w:rPr>
              <w:t>Educational establishment</w:t>
            </w:r>
          </w:p>
        </w:tc>
        <w:tc>
          <w:tcPr>
            <w:tcW w:w="2835" w:type="dxa"/>
          </w:tcPr>
          <w:p w14:paraId="3145F1D5" w14:textId="77777777" w:rsidR="00BE36FB" w:rsidRPr="009B7B35" w:rsidRDefault="00BE36FB" w:rsidP="001A7107">
            <w:pPr>
              <w:pStyle w:val="TableText"/>
              <w:rPr>
                <w:rFonts w:cs="Arial"/>
              </w:rPr>
            </w:pPr>
            <w:r w:rsidRPr="009B7B35">
              <w:rPr>
                <w:rFonts w:cs="Arial"/>
              </w:rPr>
              <w:t>Premises used for training and instruction designed to impart knowledge and develop skills. The use may include outside hours school care for students or on–site student accommodation.</w:t>
            </w:r>
          </w:p>
        </w:tc>
        <w:tc>
          <w:tcPr>
            <w:tcW w:w="2339" w:type="dxa"/>
          </w:tcPr>
          <w:p w14:paraId="635B4DA5" w14:textId="77777777" w:rsidR="00BE36FB" w:rsidRPr="009B7B35" w:rsidRDefault="00BE36FB" w:rsidP="001A7107">
            <w:pPr>
              <w:pStyle w:val="TableText"/>
              <w:rPr>
                <w:rFonts w:cs="Arial"/>
              </w:rPr>
            </w:pPr>
            <w:r w:rsidRPr="009B7B35">
              <w:rPr>
                <w:rFonts w:cs="Arial"/>
              </w:rPr>
              <w:t>Pre–preparatory, preparatory and primary school, secondary school, special education, college, university, technical institute, outdoor education centres</w:t>
            </w:r>
          </w:p>
        </w:tc>
        <w:tc>
          <w:tcPr>
            <w:tcW w:w="2339" w:type="dxa"/>
          </w:tcPr>
          <w:p w14:paraId="40BEA7E8" w14:textId="77777777" w:rsidR="00BE36FB" w:rsidRPr="009B7B35" w:rsidRDefault="00BE36FB" w:rsidP="001A7107">
            <w:pPr>
              <w:pStyle w:val="TableText"/>
              <w:rPr>
                <w:rFonts w:cs="Arial"/>
              </w:rPr>
            </w:pPr>
            <w:r w:rsidRPr="009B7B35">
              <w:rPr>
                <w:rFonts w:cs="Arial"/>
              </w:rPr>
              <w:t>Child care centre, home based child care, family day care</w:t>
            </w:r>
          </w:p>
        </w:tc>
      </w:tr>
      <w:tr w:rsidR="00BE36FB" w:rsidRPr="009B7B35" w14:paraId="635D4FE4" w14:textId="77777777" w:rsidTr="001A7107">
        <w:trPr>
          <w:cantSplit/>
        </w:trPr>
        <w:tc>
          <w:tcPr>
            <w:tcW w:w="1843" w:type="dxa"/>
          </w:tcPr>
          <w:p w14:paraId="3A2A7A53" w14:textId="77777777" w:rsidR="00BE36FB" w:rsidRPr="009B7B35" w:rsidRDefault="00BE36FB" w:rsidP="001A7107">
            <w:pPr>
              <w:pStyle w:val="TableText"/>
              <w:rPr>
                <w:rFonts w:cs="Arial"/>
              </w:rPr>
            </w:pPr>
            <w:r w:rsidRPr="009B7B35">
              <w:rPr>
                <w:rFonts w:cs="Arial"/>
              </w:rPr>
              <w:t>Emergency services</w:t>
            </w:r>
          </w:p>
        </w:tc>
        <w:tc>
          <w:tcPr>
            <w:tcW w:w="2835" w:type="dxa"/>
          </w:tcPr>
          <w:p w14:paraId="0AA3A4FD" w14:textId="77777777" w:rsidR="00BE36FB" w:rsidRPr="009B7B35" w:rsidRDefault="00BE36FB" w:rsidP="001A7107">
            <w:pPr>
              <w:pStyle w:val="TableText"/>
              <w:rPr>
                <w:rFonts w:cs="Arial"/>
              </w:rPr>
            </w:pPr>
            <w:r w:rsidRPr="009B7B35">
              <w:rPr>
                <w:rFonts w:cs="Arial"/>
              </w:rPr>
              <w:t>Premises used by government bodies or community organisations to provide essential emergency services or disaster management services including management support facilities for the protection of persons, property and the environment.</w:t>
            </w:r>
          </w:p>
        </w:tc>
        <w:tc>
          <w:tcPr>
            <w:tcW w:w="2339" w:type="dxa"/>
          </w:tcPr>
          <w:p w14:paraId="42FD216D" w14:textId="77777777" w:rsidR="00BE36FB" w:rsidRPr="009B7B35" w:rsidRDefault="00BE36FB" w:rsidP="001A7107">
            <w:pPr>
              <w:pStyle w:val="TableText"/>
              <w:rPr>
                <w:rFonts w:cs="Arial"/>
              </w:rPr>
            </w:pPr>
            <w:r w:rsidRPr="009B7B35">
              <w:rPr>
                <w:rFonts w:cs="Arial"/>
              </w:rPr>
              <w:t>State emergency service facility, ambulance station, rural fire brigade, auxiliary fire and rescue station, urban fire and rescue station, police station, emergency management support facility, evacuation centres</w:t>
            </w:r>
          </w:p>
        </w:tc>
        <w:tc>
          <w:tcPr>
            <w:tcW w:w="2339" w:type="dxa"/>
          </w:tcPr>
          <w:p w14:paraId="03F83030" w14:textId="77777777" w:rsidR="00BE36FB" w:rsidRPr="009B7B35" w:rsidRDefault="00BE36FB" w:rsidP="001A7107">
            <w:pPr>
              <w:pStyle w:val="TableText"/>
              <w:rPr>
                <w:rFonts w:cs="Arial"/>
              </w:rPr>
            </w:pPr>
            <w:r w:rsidRPr="009B7B35">
              <w:rPr>
                <w:rFonts w:cs="Arial"/>
              </w:rPr>
              <w:t>Community use, hospital, residential care facility</w:t>
            </w:r>
          </w:p>
        </w:tc>
      </w:tr>
      <w:tr w:rsidR="00BE36FB" w:rsidRPr="009B7B35" w14:paraId="1367E6E9" w14:textId="77777777" w:rsidTr="001A7107">
        <w:trPr>
          <w:cantSplit/>
        </w:trPr>
        <w:tc>
          <w:tcPr>
            <w:tcW w:w="1843" w:type="dxa"/>
          </w:tcPr>
          <w:p w14:paraId="0DCECF59" w14:textId="77777777" w:rsidR="00BE36FB" w:rsidRPr="009B7B35" w:rsidRDefault="00BE36FB" w:rsidP="001A7107">
            <w:pPr>
              <w:pStyle w:val="TableText"/>
              <w:rPr>
                <w:rFonts w:cs="Arial"/>
              </w:rPr>
            </w:pPr>
            <w:r w:rsidRPr="009B7B35">
              <w:rPr>
                <w:rFonts w:cs="Arial"/>
              </w:rPr>
              <w:t>Environment facility</w:t>
            </w:r>
          </w:p>
        </w:tc>
        <w:tc>
          <w:tcPr>
            <w:tcW w:w="2835" w:type="dxa"/>
          </w:tcPr>
          <w:p w14:paraId="51F543ED" w14:textId="77777777" w:rsidR="00BE36FB" w:rsidRPr="009B7B35" w:rsidRDefault="00BE36FB" w:rsidP="001A7107">
            <w:pPr>
              <w:pStyle w:val="TableText"/>
              <w:rPr>
                <w:rFonts w:cs="Arial"/>
              </w:rPr>
            </w:pPr>
            <w:r w:rsidRPr="009B7B35">
              <w:rPr>
                <w:rFonts w:cs="Arial"/>
              </w:rPr>
              <w:t>Facilities used for the conservation, interpretation and appreciation of areas of environmental, cultural or heritage value.</w:t>
            </w:r>
          </w:p>
        </w:tc>
        <w:tc>
          <w:tcPr>
            <w:tcW w:w="2339" w:type="dxa"/>
          </w:tcPr>
          <w:p w14:paraId="493BB696" w14:textId="77777777" w:rsidR="00BE36FB" w:rsidRPr="009B7B35" w:rsidRDefault="00BE36FB" w:rsidP="001A7107">
            <w:pPr>
              <w:pStyle w:val="TableText"/>
              <w:rPr>
                <w:rFonts w:cs="Arial"/>
              </w:rPr>
            </w:pPr>
            <w:r w:rsidRPr="009B7B35">
              <w:rPr>
                <w:rFonts w:cs="Arial"/>
              </w:rPr>
              <w:t>Nature–based attractions, walking tracks, seating, shelters, boardwalks, observation decks, bird hides</w:t>
            </w:r>
          </w:p>
        </w:tc>
        <w:tc>
          <w:tcPr>
            <w:tcW w:w="2339" w:type="dxa"/>
          </w:tcPr>
          <w:p w14:paraId="12D86A04" w14:textId="77777777" w:rsidR="00BE36FB" w:rsidRPr="009B7B35" w:rsidRDefault="00BE36FB" w:rsidP="001A7107">
            <w:pPr>
              <w:pStyle w:val="TableText"/>
              <w:rPr>
                <w:rFonts w:cs="Arial"/>
              </w:rPr>
            </w:pPr>
          </w:p>
        </w:tc>
      </w:tr>
      <w:tr w:rsidR="00BE36FB" w:rsidRPr="009B7B35" w14:paraId="2404F167" w14:textId="77777777" w:rsidTr="001A7107">
        <w:tc>
          <w:tcPr>
            <w:tcW w:w="1843" w:type="dxa"/>
          </w:tcPr>
          <w:p w14:paraId="141228C0" w14:textId="77777777" w:rsidR="00BE36FB" w:rsidRPr="009B7B35" w:rsidRDefault="00BE36FB" w:rsidP="001A7107">
            <w:pPr>
              <w:pStyle w:val="TableText"/>
              <w:rPr>
                <w:rFonts w:cs="Arial"/>
              </w:rPr>
            </w:pPr>
            <w:bookmarkStart w:id="289" w:name="_Hlk360805835"/>
            <w:r w:rsidRPr="009B7B35">
              <w:rPr>
                <w:rFonts w:cs="Arial"/>
              </w:rPr>
              <w:t>Extractive industry</w:t>
            </w:r>
          </w:p>
        </w:tc>
        <w:tc>
          <w:tcPr>
            <w:tcW w:w="2835" w:type="dxa"/>
          </w:tcPr>
          <w:p w14:paraId="17B218C2" w14:textId="77777777" w:rsidR="00BE36FB" w:rsidRPr="009B7B35" w:rsidRDefault="00BE36FB" w:rsidP="001A7107">
            <w:pPr>
              <w:pStyle w:val="TableText"/>
              <w:rPr>
                <w:rFonts w:cs="Arial"/>
              </w:rPr>
            </w:pPr>
            <w:r w:rsidRPr="009B7B35">
              <w:rPr>
                <w:rFonts w:cs="Arial"/>
              </w:rPr>
              <w:t xml:space="preserve">Premises used for the extraction and/or processing of extractive resources and associated activities, including their transportation to market. </w:t>
            </w:r>
          </w:p>
        </w:tc>
        <w:tc>
          <w:tcPr>
            <w:tcW w:w="2339" w:type="dxa"/>
          </w:tcPr>
          <w:p w14:paraId="266C7723" w14:textId="77777777" w:rsidR="00BE36FB" w:rsidRPr="009B7B35" w:rsidRDefault="00BE36FB" w:rsidP="001A7107">
            <w:pPr>
              <w:pStyle w:val="TableText"/>
              <w:rPr>
                <w:rFonts w:cs="Arial"/>
              </w:rPr>
            </w:pPr>
            <w:r w:rsidRPr="009B7B35">
              <w:rPr>
                <w:rFonts w:cs="Arial"/>
              </w:rPr>
              <w:t>Quarry</w:t>
            </w:r>
          </w:p>
        </w:tc>
        <w:tc>
          <w:tcPr>
            <w:tcW w:w="2339" w:type="dxa"/>
          </w:tcPr>
          <w:p w14:paraId="2A233715" w14:textId="77777777" w:rsidR="00BE36FB" w:rsidRPr="009B7B35" w:rsidRDefault="00BE36FB" w:rsidP="001A7107">
            <w:pPr>
              <w:pStyle w:val="TableText"/>
              <w:rPr>
                <w:rFonts w:cs="Arial"/>
              </w:rPr>
            </w:pPr>
          </w:p>
        </w:tc>
      </w:tr>
      <w:bookmarkEnd w:id="289"/>
      <w:tr w:rsidR="00BE36FB" w:rsidRPr="009B7B35" w14:paraId="5B225691" w14:textId="77777777" w:rsidTr="001A7107">
        <w:tc>
          <w:tcPr>
            <w:tcW w:w="1843" w:type="dxa"/>
          </w:tcPr>
          <w:p w14:paraId="6CADCEE9" w14:textId="77777777" w:rsidR="00BE36FB" w:rsidRPr="009B7B35" w:rsidRDefault="00BE36FB" w:rsidP="001A7107">
            <w:pPr>
              <w:pStyle w:val="TableText"/>
              <w:rPr>
                <w:rFonts w:cs="Arial"/>
              </w:rPr>
            </w:pPr>
            <w:r w:rsidRPr="009B7B35">
              <w:rPr>
                <w:rFonts w:cs="Arial"/>
              </w:rPr>
              <w:t>Food and drink outlet</w:t>
            </w:r>
          </w:p>
        </w:tc>
        <w:tc>
          <w:tcPr>
            <w:tcW w:w="2835" w:type="dxa"/>
          </w:tcPr>
          <w:p w14:paraId="62E7C052" w14:textId="77777777" w:rsidR="00BE36FB" w:rsidRPr="009B7B35" w:rsidRDefault="00BE36FB" w:rsidP="001A7107">
            <w:pPr>
              <w:pStyle w:val="TableText"/>
              <w:rPr>
                <w:rFonts w:cs="Arial"/>
              </w:rPr>
            </w:pPr>
            <w:r w:rsidRPr="009B7B35">
              <w:rPr>
                <w:rFonts w:cs="Arial"/>
              </w:rPr>
              <w:t>Premises used for preparation and sale of food and drink to the public for consumption on or off the site. The use may include the ancillary sale of liquor for consumption on site.</w:t>
            </w:r>
          </w:p>
        </w:tc>
        <w:tc>
          <w:tcPr>
            <w:tcW w:w="2339" w:type="dxa"/>
          </w:tcPr>
          <w:p w14:paraId="6FC9F768" w14:textId="77777777" w:rsidR="00BE36FB" w:rsidRPr="009B7B35" w:rsidRDefault="00BE36FB" w:rsidP="001A7107">
            <w:pPr>
              <w:pStyle w:val="TableText"/>
              <w:rPr>
                <w:rFonts w:cs="Arial"/>
              </w:rPr>
            </w:pPr>
            <w:r w:rsidRPr="009B7B35">
              <w:rPr>
                <w:rFonts w:cs="Arial"/>
              </w:rPr>
              <w:t>Bistro, café, coffee shop, drive–through facility, kiosk, milk bar, restaurant, snack bar, take–away, tea room</w:t>
            </w:r>
          </w:p>
        </w:tc>
        <w:tc>
          <w:tcPr>
            <w:tcW w:w="2339" w:type="dxa"/>
          </w:tcPr>
          <w:p w14:paraId="32254705" w14:textId="77777777" w:rsidR="00BE36FB" w:rsidRPr="009B7B35" w:rsidRDefault="00BE36FB" w:rsidP="001A7107">
            <w:pPr>
              <w:pStyle w:val="TableText"/>
              <w:rPr>
                <w:rFonts w:cs="Arial"/>
              </w:rPr>
            </w:pPr>
            <w:r w:rsidRPr="009B7B35">
              <w:rPr>
                <w:rFonts w:cs="Arial"/>
              </w:rPr>
              <w:t>Bar, club, hotel, shop, theatre, nightclub entertainment facility</w:t>
            </w:r>
          </w:p>
        </w:tc>
      </w:tr>
      <w:tr w:rsidR="00BE36FB" w:rsidRPr="009B7B35" w14:paraId="65356220" w14:textId="77777777" w:rsidTr="001A7107">
        <w:trPr>
          <w:cantSplit/>
        </w:trPr>
        <w:tc>
          <w:tcPr>
            <w:tcW w:w="1843" w:type="dxa"/>
          </w:tcPr>
          <w:p w14:paraId="4F5FEB04" w14:textId="77777777" w:rsidR="00BE36FB" w:rsidRPr="009B7B35" w:rsidRDefault="00BE36FB" w:rsidP="001A7107">
            <w:pPr>
              <w:pStyle w:val="TableText"/>
              <w:rPr>
                <w:rFonts w:cs="Arial"/>
              </w:rPr>
            </w:pPr>
            <w:r w:rsidRPr="009B7B35">
              <w:rPr>
                <w:rFonts w:cs="Arial"/>
              </w:rPr>
              <w:t>Function facility</w:t>
            </w:r>
          </w:p>
        </w:tc>
        <w:tc>
          <w:tcPr>
            <w:tcW w:w="2835" w:type="dxa"/>
          </w:tcPr>
          <w:p w14:paraId="2DC7D956" w14:textId="77777777" w:rsidR="00BE36FB" w:rsidRPr="009B7B35" w:rsidRDefault="00BE36FB" w:rsidP="001A7107">
            <w:pPr>
              <w:pStyle w:val="TableText"/>
              <w:rPr>
                <w:rFonts w:cs="Arial"/>
              </w:rPr>
            </w:pPr>
            <w:r w:rsidRPr="009B7B35">
              <w:rPr>
                <w:rFonts w:cs="Arial"/>
              </w:rPr>
              <w:t>Premises used for conducting receptions or functions that may include the preparation and provision of food and liquor for consumption on site.</w:t>
            </w:r>
          </w:p>
        </w:tc>
        <w:tc>
          <w:tcPr>
            <w:tcW w:w="2339" w:type="dxa"/>
          </w:tcPr>
          <w:p w14:paraId="66E98CC2" w14:textId="77777777" w:rsidR="00BE36FB" w:rsidRPr="009B7B35" w:rsidRDefault="00BE36FB" w:rsidP="001A7107">
            <w:pPr>
              <w:pStyle w:val="TableText"/>
              <w:rPr>
                <w:rFonts w:cs="Arial"/>
              </w:rPr>
            </w:pPr>
            <w:r w:rsidRPr="009B7B35">
              <w:rPr>
                <w:rFonts w:cs="Arial"/>
              </w:rPr>
              <w:t>Conference centre, reception centre</w:t>
            </w:r>
          </w:p>
        </w:tc>
        <w:tc>
          <w:tcPr>
            <w:tcW w:w="2339" w:type="dxa"/>
          </w:tcPr>
          <w:p w14:paraId="28C9EA7C" w14:textId="77777777" w:rsidR="00BE36FB" w:rsidRPr="009B7B35" w:rsidRDefault="00BE36FB" w:rsidP="001A7107">
            <w:pPr>
              <w:pStyle w:val="TableText"/>
              <w:rPr>
                <w:rFonts w:cs="Arial"/>
              </w:rPr>
            </w:pPr>
            <w:r w:rsidRPr="009B7B35">
              <w:rPr>
                <w:rFonts w:cs="Arial"/>
              </w:rPr>
              <w:t>Community use, hotel</w:t>
            </w:r>
          </w:p>
        </w:tc>
      </w:tr>
      <w:tr w:rsidR="00BE36FB" w:rsidRPr="009B7B35" w14:paraId="7554AE96" w14:textId="77777777" w:rsidTr="001A7107">
        <w:trPr>
          <w:cantSplit/>
        </w:trPr>
        <w:tc>
          <w:tcPr>
            <w:tcW w:w="1843" w:type="dxa"/>
          </w:tcPr>
          <w:p w14:paraId="4C023F9D" w14:textId="77777777" w:rsidR="00BE36FB" w:rsidRPr="009B7B35" w:rsidRDefault="00BE36FB" w:rsidP="001A7107">
            <w:pPr>
              <w:pStyle w:val="TableText"/>
              <w:rPr>
                <w:rFonts w:cs="Arial"/>
              </w:rPr>
            </w:pPr>
            <w:r w:rsidRPr="009B7B35">
              <w:rPr>
                <w:rFonts w:cs="Arial"/>
              </w:rPr>
              <w:t>Funeral parlour</w:t>
            </w:r>
          </w:p>
        </w:tc>
        <w:tc>
          <w:tcPr>
            <w:tcW w:w="2835" w:type="dxa"/>
          </w:tcPr>
          <w:p w14:paraId="0D4F49A6" w14:textId="77777777" w:rsidR="00BE36FB" w:rsidRPr="009B7B35" w:rsidRDefault="00BE36FB" w:rsidP="001A7107">
            <w:pPr>
              <w:pStyle w:val="TableText"/>
              <w:rPr>
                <w:rFonts w:cs="Arial"/>
              </w:rPr>
            </w:pPr>
            <w:r w:rsidRPr="009B7B35">
              <w:rPr>
                <w:rFonts w:cs="Arial"/>
              </w:rPr>
              <w:t>Premises used to arrange and conduct funerals, memorial services and the like, but do not include burial or cremation. The use includes a mortuary and the storage and preparation of bodies for burial or cremation.</w:t>
            </w:r>
          </w:p>
        </w:tc>
        <w:tc>
          <w:tcPr>
            <w:tcW w:w="2339" w:type="dxa"/>
          </w:tcPr>
          <w:p w14:paraId="35C91017" w14:textId="77777777" w:rsidR="00BE36FB" w:rsidRPr="009B7B35" w:rsidRDefault="00BE36FB" w:rsidP="001A7107">
            <w:pPr>
              <w:pStyle w:val="TableText"/>
              <w:rPr>
                <w:rFonts w:cs="Arial"/>
              </w:rPr>
            </w:pPr>
          </w:p>
        </w:tc>
        <w:tc>
          <w:tcPr>
            <w:tcW w:w="2339" w:type="dxa"/>
          </w:tcPr>
          <w:p w14:paraId="7D7B1154" w14:textId="77777777" w:rsidR="00BE36FB" w:rsidRPr="009B7B35" w:rsidRDefault="00BE36FB" w:rsidP="001A7107">
            <w:pPr>
              <w:pStyle w:val="TableText"/>
              <w:rPr>
                <w:rFonts w:cs="Arial"/>
              </w:rPr>
            </w:pPr>
            <w:r w:rsidRPr="009B7B35">
              <w:rPr>
                <w:rFonts w:cs="Arial"/>
              </w:rPr>
              <w:t>Cemetery, crematorium, place of worship</w:t>
            </w:r>
          </w:p>
        </w:tc>
      </w:tr>
      <w:tr w:rsidR="00BE36FB" w:rsidRPr="009B7B35" w14:paraId="44E7BA4E" w14:textId="77777777" w:rsidTr="001A7107">
        <w:trPr>
          <w:cantSplit/>
        </w:trPr>
        <w:tc>
          <w:tcPr>
            <w:tcW w:w="1843" w:type="dxa"/>
          </w:tcPr>
          <w:p w14:paraId="4CBAA00F" w14:textId="77777777" w:rsidR="00BE36FB" w:rsidRPr="009B7B35" w:rsidRDefault="00BE36FB" w:rsidP="001A7107">
            <w:pPr>
              <w:pStyle w:val="TableText"/>
              <w:rPr>
                <w:rFonts w:cs="Arial"/>
              </w:rPr>
            </w:pPr>
            <w:r w:rsidRPr="009B7B35">
              <w:rPr>
                <w:rFonts w:cs="Arial"/>
              </w:rPr>
              <w:t>Garden centre</w:t>
            </w:r>
          </w:p>
        </w:tc>
        <w:tc>
          <w:tcPr>
            <w:tcW w:w="2835" w:type="dxa"/>
          </w:tcPr>
          <w:p w14:paraId="2E9B4B1F" w14:textId="77777777" w:rsidR="00BE36FB" w:rsidRPr="009B7B35" w:rsidRDefault="00BE36FB" w:rsidP="001A7107">
            <w:pPr>
              <w:pStyle w:val="TableText"/>
              <w:rPr>
                <w:rFonts w:cs="Arial"/>
              </w:rPr>
            </w:pPr>
            <w:r w:rsidRPr="009B7B35">
              <w:rPr>
                <w:rFonts w:cs="Arial"/>
              </w:rPr>
              <w:t>Premises used primarily for the sale of plants and may include sale of gardening and landscape products and supplies where these are sold mainly in pre–packaged form. The use may include an ancillary food and drink outlet.</w:t>
            </w:r>
          </w:p>
        </w:tc>
        <w:tc>
          <w:tcPr>
            <w:tcW w:w="2339" w:type="dxa"/>
          </w:tcPr>
          <w:p w14:paraId="169DBEC7" w14:textId="77777777" w:rsidR="00BE36FB" w:rsidRPr="009B7B35" w:rsidRDefault="00BE36FB" w:rsidP="001A7107">
            <w:pPr>
              <w:pStyle w:val="TableText"/>
              <w:rPr>
                <w:rFonts w:cs="Arial"/>
              </w:rPr>
            </w:pPr>
            <w:r w:rsidRPr="009B7B35">
              <w:rPr>
                <w:rFonts w:cs="Arial"/>
              </w:rPr>
              <w:t>Retail plant nursery</w:t>
            </w:r>
          </w:p>
        </w:tc>
        <w:tc>
          <w:tcPr>
            <w:tcW w:w="2339" w:type="dxa"/>
          </w:tcPr>
          <w:p w14:paraId="3CAC9BF4" w14:textId="77777777" w:rsidR="00BE36FB" w:rsidRPr="009B7B35" w:rsidRDefault="00BE36FB" w:rsidP="001A7107">
            <w:pPr>
              <w:pStyle w:val="TableText"/>
              <w:rPr>
                <w:rFonts w:cs="Arial"/>
              </w:rPr>
            </w:pPr>
            <w:r w:rsidRPr="009B7B35">
              <w:rPr>
                <w:rFonts w:cs="Arial"/>
              </w:rPr>
              <w:t>Bulk landscape supplies, wholesale nursery, outdoor sales</w:t>
            </w:r>
          </w:p>
        </w:tc>
      </w:tr>
      <w:tr w:rsidR="00BE36FB" w:rsidRPr="009B7B35" w14:paraId="3D17DFD9" w14:textId="77777777" w:rsidTr="001A7107">
        <w:trPr>
          <w:cantSplit/>
        </w:trPr>
        <w:tc>
          <w:tcPr>
            <w:tcW w:w="1843" w:type="dxa"/>
          </w:tcPr>
          <w:p w14:paraId="08E313F0" w14:textId="77777777" w:rsidR="00BE36FB" w:rsidRPr="009B7B35" w:rsidRDefault="00BE36FB" w:rsidP="001A7107">
            <w:pPr>
              <w:pStyle w:val="TableText"/>
              <w:rPr>
                <w:rFonts w:cs="Arial"/>
              </w:rPr>
            </w:pPr>
            <w:r w:rsidRPr="009B7B35">
              <w:rPr>
                <w:rFonts w:cs="Arial"/>
              </w:rPr>
              <w:t>Hardware and trade supplies</w:t>
            </w:r>
          </w:p>
        </w:tc>
        <w:tc>
          <w:tcPr>
            <w:tcW w:w="2835" w:type="dxa"/>
          </w:tcPr>
          <w:p w14:paraId="0A808A40" w14:textId="77777777" w:rsidR="00BE36FB" w:rsidRPr="009B7B35" w:rsidRDefault="00BE36FB" w:rsidP="001A7107">
            <w:pPr>
              <w:pStyle w:val="TableText"/>
              <w:rPr>
                <w:rFonts w:cs="Arial"/>
              </w:rPr>
            </w:pPr>
            <w:r w:rsidRPr="009B7B35">
              <w:rPr>
                <w:rFonts w:cs="Arial"/>
              </w:rPr>
              <w:t xml:space="preserve">Premises used for the sale, display or hire of hardware and trade supplies including household fixtures, timber, tools, paint, wallpaper, plumbing supplies and the like. </w:t>
            </w:r>
          </w:p>
        </w:tc>
        <w:tc>
          <w:tcPr>
            <w:tcW w:w="2339" w:type="dxa"/>
          </w:tcPr>
          <w:p w14:paraId="0044653D" w14:textId="77777777" w:rsidR="00BE36FB" w:rsidRPr="009B7B35" w:rsidRDefault="00BE36FB" w:rsidP="001A7107">
            <w:pPr>
              <w:pStyle w:val="TableText"/>
              <w:rPr>
                <w:rFonts w:cs="Arial"/>
              </w:rPr>
            </w:pPr>
          </w:p>
        </w:tc>
        <w:tc>
          <w:tcPr>
            <w:tcW w:w="2339" w:type="dxa"/>
          </w:tcPr>
          <w:p w14:paraId="5AEC7A2C" w14:textId="77777777" w:rsidR="00BE36FB" w:rsidRPr="009B7B35" w:rsidRDefault="00BE36FB" w:rsidP="001A7107">
            <w:pPr>
              <w:pStyle w:val="TableText"/>
              <w:rPr>
                <w:rFonts w:cs="Arial"/>
              </w:rPr>
            </w:pPr>
            <w:r w:rsidRPr="009B7B35">
              <w:rPr>
                <w:rFonts w:cs="Arial"/>
              </w:rPr>
              <w:t>Shop, showroom, outdoor sales and warehouse</w:t>
            </w:r>
          </w:p>
        </w:tc>
      </w:tr>
      <w:tr w:rsidR="00BE36FB" w:rsidRPr="009B7B35" w14:paraId="4A9C7933" w14:textId="77777777" w:rsidTr="001A7107">
        <w:tc>
          <w:tcPr>
            <w:tcW w:w="1843" w:type="dxa"/>
          </w:tcPr>
          <w:p w14:paraId="57F36557" w14:textId="77777777" w:rsidR="00BE36FB" w:rsidRPr="009B7B35" w:rsidRDefault="00BE36FB" w:rsidP="001A7107">
            <w:pPr>
              <w:pStyle w:val="TableText"/>
              <w:rPr>
                <w:rFonts w:cs="Arial"/>
              </w:rPr>
            </w:pPr>
            <w:r w:rsidRPr="009B7B35">
              <w:rPr>
                <w:rFonts w:cs="Arial"/>
              </w:rPr>
              <w:t>Health care services</w:t>
            </w:r>
          </w:p>
        </w:tc>
        <w:tc>
          <w:tcPr>
            <w:tcW w:w="2835" w:type="dxa"/>
          </w:tcPr>
          <w:p w14:paraId="2F83AED2" w14:textId="77777777" w:rsidR="00BE36FB" w:rsidRPr="009B7B35" w:rsidRDefault="00BE36FB" w:rsidP="001A7107">
            <w:pPr>
              <w:pStyle w:val="TableText"/>
              <w:rPr>
                <w:rFonts w:cs="Arial"/>
              </w:rPr>
            </w:pPr>
            <w:r w:rsidRPr="009B7B35">
              <w:rPr>
                <w:rFonts w:cs="Arial"/>
              </w:rPr>
              <w:t>Premises for medical, paramedical, alternative therapies and general health care and treatment of persons that involves no overnight accommodation.</w:t>
            </w:r>
          </w:p>
        </w:tc>
        <w:tc>
          <w:tcPr>
            <w:tcW w:w="2339" w:type="dxa"/>
          </w:tcPr>
          <w:p w14:paraId="69D67D90" w14:textId="77777777" w:rsidR="00BE36FB" w:rsidRPr="009B7B35" w:rsidRDefault="00BE36FB" w:rsidP="001A7107">
            <w:pPr>
              <w:pStyle w:val="TableText"/>
              <w:rPr>
                <w:rFonts w:cs="Arial"/>
              </w:rPr>
            </w:pPr>
            <w:r w:rsidRPr="009B7B35">
              <w:rPr>
                <w:rFonts w:cs="Arial"/>
              </w:rPr>
              <w:t>Dental clinics, medical centres, natural medicine practices, nursing services, physiotherapy clinic</w:t>
            </w:r>
          </w:p>
        </w:tc>
        <w:tc>
          <w:tcPr>
            <w:tcW w:w="2339" w:type="dxa"/>
          </w:tcPr>
          <w:p w14:paraId="649BDDE5" w14:textId="77777777" w:rsidR="00BE36FB" w:rsidRPr="009B7B35" w:rsidRDefault="00BE36FB" w:rsidP="001A7107">
            <w:pPr>
              <w:pStyle w:val="TableText"/>
              <w:rPr>
                <w:rFonts w:cs="Arial"/>
              </w:rPr>
            </w:pPr>
            <w:r w:rsidRPr="009B7B35">
              <w:rPr>
                <w:rFonts w:cs="Arial"/>
              </w:rPr>
              <w:t>Community care centre, hospital</w:t>
            </w:r>
          </w:p>
        </w:tc>
      </w:tr>
      <w:tr w:rsidR="00BE36FB" w:rsidRPr="009B7B35" w14:paraId="60575C01" w14:textId="77777777" w:rsidTr="001A7107">
        <w:tc>
          <w:tcPr>
            <w:tcW w:w="1843" w:type="dxa"/>
          </w:tcPr>
          <w:p w14:paraId="6FE27FA7" w14:textId="77777777" w:rsidR="00BE36FB" w:rsidRPr="009B7B35" w:rsidRDefault="00BE36FB" w:rsidP="001A7107">
            <w:pPr>
              <w:pStyle w:val="TableText"/>
              <w:rPr>
                <w:rFonts w:cs="Arial"/>
              </w:rPr>
            </w:pPr>
            <w:r w:rsidRPr="009B7B35">
              <w:rPr>
                <w:rFonts w:cs="Arial"/>
              </w:rPr>
              <w:t>High impact industry</w:t>
            </w:r>
          </w:p>
        </w:tc>
        <w:tc>
          <w:tcPr>
            <w:tcW w:w="2835" w:type="dxa"/>
          </w:tcPr>
          <w:p w14:paraId="5F48199C" w14:textId="77777777" w:rsidR="00BE36FB" w:rsidRPr="009B7B35" w:rsidRDefault="00BE36FB" w:rsidP="001A7107">
            <w:pPr>
              <w:pStyle w:val="TableText"/>
              <w:rPr>
                <w:rFonts w:cs="Arial"/>
              </w:rPr>
            </w:pPr>
            <w:r w:rsidRPr="009B7B35">
              <w:rPr>
                <w:rFonts w:cs="Arial"/>
              </w:rPr>
              <w:t>Premises used for industrial activities that include the manufacturing, producing, processing, repairing, altering, recycling, storing, distributing, transferring or treating of products and have one or more of the following attributes:</w:t>
            </w:r>
          </w:p>
          <w:p w14:paraId="6C0B5DE5" w14:textId="77777777" w:rsidR="00BE36FB" w:rsidRPr="009B7B35" w:rsidRDefault="00BE36FB" w:rsidP="00BE36FB">
            <w:pPr>
              <w:pStyle w:val="ListBullet"/>
              <w:spacing w:before="80" w:after="80"/>
              <w:rPr>
                <w:rFonts w:cs="Arial"/>
                <w:szCs w:val="20"/>
              </w:rPr>
            </w:pPr>
            <w:r w:rsidRPr="009B7B35">
              <w:rPr>
                <w:rFonts w:cs="Arial"/>
                <w:szCs w:val="20"/>
              </w:rPr>
              <w:t>potential for significant impacts on sensitive land uses due to offsite emissions including aerosol, fume, particle, smoke, odour and noise</w:t>
            </w:r>
          </w:p>
          <w:p w14:paraId="0B1E0D6F" w14:textId="77777777" w:rsidR="00BE36FB" w:rsidRPr="009B7B35" w:rsidRDefault="00BE36FB" w:rsidP="00BE36FB">
            <w:pPr>
              <w:pStyle w:val="ListBullet"/>
              <w:spacing w:before="80" w:after="80"/>
              <w:rPr>
                <w:rFonts w:cs="Arial"/>
                <w:szCs w:val="20"/>
              </w:rPr>
            </w:pPr>
            <w:r w:rsidRPr="009B7B35">
              <w:rPr>
                <w:rFonts w:cs="Arial"/>
                <w:szCs w:val="20"/>
              </w:rPr>
              <w:t>potential for significant offsite impacts in the event of fire, explosion or toxic release</w:t>
            </w:r>
          </w:p>
          <w:p w14:paraId="1AF61CE4" w14:textId="77777777" w:rsidR="00BE36FB" w:rsidRPr="009B7B35" w:rsidRDefault="00BE36FB" w:rsidP="00BE36FB">
            <w:pPr>
              <w:pStyle w:val="ListBullet"/>
              <w:spacing w:before="80" w:after="80"/>
              <w:rPr>
                <w:rFonts w:cs="Arial"/>
                <w:szCs w:val="20"/>
              </w:rPr>
            </w:pPr>
            <w:r w:rsidRPr="009B7B35">
              <w:rPr>
                <w:rFonts w:cs="Arial"/>
                <w:szCs w:val="20"/>
              </w:rPr>
              <w:t>generates high traffic flows in the context of the locality or the road network</w:t>
            </w:r>
          </w:p>
          <w:p w14:paraId="6EBF07D4" w14:textId="77777777" w:rsidR="00BE36FB" w:rsidRPr="009B7B35" w:rsidRDefault="00BE36FB" w:rsidP="00BE36FB">
            <w:pPr>
              <w:pStyle w:val="ListBullet"/>
              <w:spacing w:before="80" w:after="80"/>
              <w:rPr>
                <w:rFonts w:cs="Arial"/>
                <w:szCs w:val="20"/>
              </w:rPr>
            </w:pPr>
            <w:r w:rsidRPr="009B7B35">
              <w:rPr>
                <w:rFonts w:cs="Arial"/>
                <w:szCs w:val="20"/>
              </w:rPr>
              <w:t>generates a significant demand on the local infrastructure network</w:t>
            </w:r>
          </w:p>
          <w:p w14:paraId="319C4847" w14:textId="77777777" w:rsidR="00BE36FB" w:rsidRPr="009B7B35" w:rsidRDefault="00BE36FB" w:rsidP="00BE36FB">
            <w:pPr>
              <w:pStyle w:val="ListBullet"/>
              <w:spacing w:before="80" w:after="80"/>
              <w:rPr>
                <w:rFonts w:cs="Arial"/>
                <w:szCs w:val="20"/>
              </w:rPr>
            </w:pPr>
            <w:r w:rsidRPr="009B7B35">
              <w:rPr>
                <w:rFonts w:cs="Arial"/>
                <w:szCs w:val="20"/>
              </w:rPr>
              <w:t>the use may involve night time and outdoor activities</w:t>
            </w:r>
          </w:p>
          <w:p w14:paraId="538D93CC" w14:textId="77777777" w:rsidR="00BE36FB" w:rsidRPr="009B7B35" w:rsidRDefault="00BE36FB" w:rsidP="00BE36FB">
            <w:pPr>
              <w:pStyle w:val="ListBullet"/>
              <w:spacing w:before="80" w:after="80"/>
              <w:rPr>
                <w:rFonts w:cs="Arial"/>
                <w:szCs w:val="20"/>
              </w:rPr>
            </w:pPr>
            <w:r w:rsidRPr="009B7B35">
              <w:rPr>
                <w:rFonts w:cs="Arial"/>
                <w:szCs w:val="20"/>
              </w:rPr>
              <w:t>onsite controls are required for emissions and dangerous goods risks.</w:t>
            </w:r>
          </w:p>
        </w:tc>
        <w:tc>
          <w:tcPr>
            <w:tcW w:w="2339" w:type="dxa"/>
          </w:tcPr>
          <w:p w14:paraId="796BE84D" w14:textId="77777777" w:rsidR="00BE36FB" w:rsidRPr="009B7B35" w:rsidRDefault="00BE36FB" w:rsidP="001A7107">
            <w:pPr>
              <w:pStyle w:val="TableText"/>
              <w:rPr>
                <w:rFonts w:cs="Arial"/>
              </w:rPr>
            </w:pPr>
            <w:r w:rsidRPr="009B7B35">
              <w:rPr>
                <w:rFonts w:cs="Arial"/>
              </w:rPr>
              <w:t>Abattoirs, concrete batching plant, boiler making and engineering and metal foundry</w:t>
            </w:r>
          </w:p>
          <w:p w14:paraId="3BBBC118" w14:textId="77777777" w:rsidR="00BE36FB" w:rsidRPr="009B7B35" w:rsidRDefault="00BE36FB" w:rsidP="001A7107">
            <w:pPr>
              <w:pStyle w:val="Notes"/>
              <w:rPr>
                <w:rFonts w:cs="Arial"/>
                <w:sz w:val="20"/>
                <w:szCs w:val="20"/>
              </w:rPr>
            </w:pPr>
            <w:r w:rsidRPr="009B7B35">
              <w:rPr>
                <w:rFonts w:cs="Arial"/>
                <w:sz w:val="20"/>
                <w:szCs w:val="20"/>
              </w:rPr>
              <w:t>Note—Additional examples may be shown in SC1.1.2 Industry thresholds.</w:t>
            </w:r>
            <w:r w:rsidRPr="009B7B35" w:rsidDel="00881284">
              <w:rPr>
                <w:rFonts w:cs="Arial"/>
                <w:sz w:val="20"/>
                <w:szCs w:val="20"/>
              </w:rPr>
              <w:t xml:space="preserve"> </w:t>
            </w:r>
          </w:p>
        </w:tc>
        <w:tc>
          <w:tcPr>
            <w:tcW w:w="2339" w:type="dxa"/>
          </w:tcPr>
          <w:p w14:paraId="2CEB7795" w14:textId="77777777" w:rsidR="00BE36FB" w:rsidRPr="009B7B35" w:rsidRDefault="00BE36FB" w:rsidP="001A7107">
            <w:pPr>
              <w:pStyle w:val="TableText"/>
              <w:rPr>
                <w:rFonts w:cs="Arial"/>
              </w:rPr>
            </w:pPr>
            <w:r w:rsidRPr="009B7B35">
              <w:rPr>
                <w:rFonts w:cs="Arial"/>
              </w:rPr>
              <w:t>Tanneries, rendering plants, oil refineries, waste incineration, manufacturing or storing explosives, power plants, manufacturing fertilisers, service industry, low impact industry, medium impact industry, special industry</w:t>
            </w:r>
          </w:p>
        </w:tc>
      </w:tr>
      <w:tr w:rsidR="00BE36FB" w:rsidRPr="009B7B35" w14:paraId="22D30BF0" w14:textId="77777777" w:rsidTr="001A7107">
        <w:trPr>
          <w:cantSplit/>
        </w:trPr>
        <w:tc>
          <w:tcPr>
            <w:tcW w:w="1843" w:type="dxa"/>
          </w:tcPr>
          <w:p w14:paraId="12717A24" w14:textId="77777777" w:rsidR="00BE36FB" w:rsidRPr="009B7B35" w:rsidRDefault="00BE36FB" w:rsidP="001A7107">
            <w:pPr>
              <w:pStyle w:val="TableText"/>
              <w:rPr>
                <w:rFonts w:cs="Arial"/>
              </w:rPr>
            </w:pPr>
            <w:r w:rsidRPr="009B7B35">
              <w:rPr>
                <w:rFonts w:cs="Arial"/>
              </w:rPr>
              <w:t>Home based business</w:t>
            </w:r>
          </w:p>
        </w:tc>
        <w:tc>
          <w:tcPr>
            <w:tcW w:w="2835" w:type="dxa"/>
          </w:tcPr>
          <w:p w14:paraId="26678082" w14:textId="77777777" w:rsidR="00BE36FB" w:rsidRPr="009B7B35" w:rsidRDefault="00BE36FB" w:rsidP="001A7107">
            <w:pPr>
              <w:pStyle w:val="TableText"/>
              <w:rPr>
                <w:rFonts w:cs="Arial"/>
              </w:rPr>
            </w:pPr>
            <w:r w:rsidRPr="009B7B35">
              <w:rPr>
                <w:rFonts w:cs="Arial"/>
              </w:rPr>
              <w:t>A dwelling used for a business activity where subordinate to the residential use.</w:t>
            </w:r>
          </w:p>
        </w:tc>
        <w:tc>
          <w:tcPr>
            <w:tcW w:w="2339" w:type="dxa"/>
          </w:tcPr>
          <w:p w14:paraId="6BB9D55D" w14:textId="77777777" w:rsidR="00BE36FB" w:rsidRPr="009B7B35" w:rsidRDefault="00BE36FB" w:rsidP="001A7107">
            <w:pPr>
              <w:pStyle w:val="TableText"/>
              <w:rPr>
                <w:rFonts w:cs="Arial"/>
              </w:rPr>
            </w:pPr>
            <w:r w:rsidRPr="009B7B35">
              <w:rPr>
                <w:rFonts w:cs="Arial"/>
              </w:rPr>
              <w:t>Bed and breakfast, home office, home based child care</w:t>
            </w:r>
          </w:p>
        </w:tc>
        <w:tc>
          <w:tcPr>
            <w:tcW w:w="2339" w:type="dxa"/>
          </w:tcPr>
          <w:p w14:paraId="533B3E54" w14:textId="77777777" w:rsidR="00BE36FB" w:rsidRPr="009B7B35" w:rsidRDefault="00BE36FB" w:rsidP="001A7107">
            <w:pPr>
              <w:pStyle w:val="TableText"/>
              <w:rPr>
                <w:rFonts w:cs="Arial"/>
              </w:rPr>
            </w:pPr>
            <w:r w:rsidRPr="009B7B35">
              <w:rPr>
                <w:rFonts w:cs="Arial"/>
              </w:rPr>
              <w:t>Hobby, office, shop, warehouse, transport depot</w:t>
            </w:r>
          </w:p>
        </w:tc>
      </w:tr>
      <w:tr w:rsidR="00BE36FB" w:rsidRPr="009B7B35" w14:paraId="077A204F" w14:textId="77777777" w:rsidTr="001A7107">
        <w:trPr>
          <w:cantSplit/>
        </w:trPr>
        <w:tc>
          <w:tcPr>
            <w:tcW w:w="1843" w:type="dxa"/>
          </w:tcPr>
          <w:p w14:paraId="157DAD7D" w14:textId="77777777" w:rsidR="00BE36FB" w:rsidRPr="009B7B35" w:rsidRDefault="00BE36FB" w:rsidP="001A7107">
            <w:pPr>
              <w:pStyle w:val="TableText"/>
              <w:rPr>
                <w:rFonts w:cs="Arial"/>
              </w:rPr>
            </w:pPr>
            <w:r w:rsidRPr="009B7B35">
              <w:rPr>
                <w:rFonts w:cs="Arial"/>
              </w:rPr>
              <w:t>Hospital</w:t>
            </w:r>
          </w:p>
        </w:tc>
        <w:tc>
          <w:tcPr>
            <w:tcW w:w="2835" w:type="dxa"/>
          </w:tcPr>
          <w:p w14:paraId="117549D6" w14:textId="77777777" w:rsidR="00BE36FB" w:rsidRPr="009B7B35" w:rsidRDefault="00BE36FB" w:rsidP="001A7107">
            <w:pPr>
              <w:pStyle w:val="TableText"/>
              <w:rPr>
                <w:rFonts w:cs="Arial"/>
              </w:rPr>
            </w:pPr>
            <w:r w:rsidRPr="009B7B35">
              <w:rPr>
                <w:rFonts w:cs="Arial"/>
              </w:rPr>
              <w:t>Premises used for</w:t>
            </w:r>
            <w:r w:rsidRPr="009B7B35" w:rsidDel="006C0219">
              <w:rPr>
                <w:rFonts w:cs="Arial"/>
              </w:rPr>
              <w:t xml:space="preserve"> </w:t>
            </w:r>
            <w:r w:rsidRPr="009B7B35">
              <w:rPr>
                <w:rFonts w:cs="Arial"/>
              </w:rPr>
              <w:t>medical or surgical care or treatment of patients whether or not involving overnight accommodation. The use may include ancillary accommodation for employees and ancillary activities directly serving the needs of patients and visitors.</w:t>
            </w:r>
          </w:p>
        </w:tc>
        <w:tc>
          <w:tcPr>
            <w:tcW w:w="2339" w:type="dxa"/>
          </w:tcPr>
          <w:p w14:paraId="5B9E5DC6" w14:textId="77777777" w:rsidR="00BE36FB" w:rsidRPr="009B7B35" w:rsidRDefault="00BE36FB" w:rsidP="001A7107">
            <w:pPr>
              <w:pStyle w:val="TableText"/>
              <w:rPr>
                <w:rFonts w:cs="Arial"/>
              </w:rPr>
            </w:pPr>
          </w:p>
        </w:tc>
        <w:tc>
          <w:tcPr>
            <w:tcW w:w="2339" w:type="dxa"/>
          </w:tcPr>
          <w:p w14:paraId="65805642" w14:textId="77777777" w:rsidR="00BE36FB" w:rsidRPr="009B7B35" w:rsidRDefault="00BE36FB" w:rsidP="001A7107">
            <w:pPr>
              <w:pStyle w:val="TableText"/>
              <w:rPr>
                <w:rFonts w:cs="Arial"/>
              </w:rPr>
            </w:pPr>
            <w:r w:rsidRPr="009B7B35">
              <w:rPr>
                <w:rFonts w:cs="Arial"/>
              </w:rPr>
              <w:t>Health care services, residential care facility</w:t>
            </w:r>
          </w:p>
        </w:tc>
      </w:tr>
      <w:tr w:rsidR="00BE36FB" w:rsidRPr="009B7B35" w14:paraId="51CEE465" w14:textId="77777777" w:rsidTr="001A7107">
        <w:trPr>
          <w:cantSplit/>
        </w:trPr>
        <w:tc>
          <w:tcPr>
            <w:tcW w:w="1843" w:type="dxa"/>
          </w:tcPr>
          <w:p w14:paraId="7336339D" w14:textId="77777777" w:rsidR="00BE36FB" w:rsidRPr="009B7B35" w:rsidRDefault="00BE36FB" w:rsidP="001A7107">
            <w:pPr>
              <w:pStyle w:val="TableText"/>
              <w:rPr>
                <w:rFonts w:cs="Arial"/>
              </w:rPr>
            </w:pPr>
            <w:r w:rsidRPr="009B7B35">
              <w:rPr>
                <w:rFonts w:cs="Arial"/>
              </w:rPr>
              <w:t>Hotel</w:t>
            </w:r>
          </w:p>
        </w:tc>
        <w:tc>
          <w:tcPr>
            <w:tcW w:w="2835" w:type="dxa"/>
          </w:tcPr>
          <w:p w14:paraId="016701BB" w14:textId="77777777" w:rsidR="00BE36FB" w:rsidRPr="009B7B35" w:rsidRDefault="00BE36FB" w:rsidP="001A7107">
            <w:pPr>
              <w:pStyle w:val="TableText"/>
              <w:rPr>
                <w:rFonts w:cs="Arial"/>
              </w:rPr>
            </w:pPr>
            <w:r w:rsidRPr="009B7B35">
              <w:rPr>
                <w:rFonts w:cs="Arial"/>
              </w:rPr>
              <w:t>Premises used primarily to sell liquor for consumption. The use may include short–term accommodation, dining and entertainment activities and facilities.</w:t>
            </w:r>
          </w:p>
        </w:tc>
        <w:tc>
          <w:tcPr>
            <w:tcW w:w="2339" w:type="dxa"/>
          </w:tcPr>
          <w:p w14:paraId="67BA016D" w14:textId="77777777" w:rsidR="00BE36FB" w:rsidRPr="009B7B35" w:rsidRDefault="00BE36FB" w:rsidP="001A7107">
            <w:pPr>
              <w:pStyle w:val="TableText"/>
              <w:rPr>
                <w:rFonts w:cs="Arial"/>
              </w:rPr>
            </w:pPr>
            <w:r w:rsidRPr="009B7B35">
              <w:rPr>
                <w:rFonts w:cs="Arial"/>
              </w:rPr>
              <w:t>Pub, tavern</w:t>
            </w:r>
          </w:p>
        </w:tc>
        <w:tc>
          <w:tcPr>
            <w:tcW w:w="2339" w:type="dxa"/>
          </w:tcPr>
          <w:p w14:paraId="65D5B007" w14:textId="77777777" w:rsidR="00BE36FB" w:rsidRPr="009B7B35" w:rsidRDefault="00BE36FB" w:rsidP="001A7107">
            <w:pPr>
              <w:pStyle w:val="TableText"/>
              <w:rPr>
                <w:rFonts w:cs="Arial"/>
              </w:rPr>
            </w:pPr>
            <w:r w:rsidRPr="009B7B35">
              <w:rPr>
                <w:rFonts w:cs="Arial"/>
              </w:rPr>
              <w:t>Nightclub entertainment facility</w:t>
            </w:r>
          </w:p>
        </w:tc>
      </w:tr>
      <w:tr w:rsidR="00BE36FB" w:rsidRPr="009B7B35" w14:paraId="7A97453B" w14:textId="77777777" w:rsidTr="001A7107">
        <w:trPr>
          <w:cantSplit/>
        </w:trPr>
        <w:tc>
          <w:tcPr>
            <w:tcW w:w="1843" w:type="dxa"/>
          </w:tcPr>
          <w:p w14:paraId="091CC718" w14:textId="77777777" w:rsidR="00BE36FB" w:rsidRPr="009B7B35" w:rsidRDefault="00BE36FB" w:rsidP="001A7107">
            <w:pPr>
              <w:pStyle w:val="TableText"/>
              <w:rPr>
                <w:rFonts w:cs="Arial"/>
              </w:rPr>
            </w:pPr>
            <w:r w:rsidRPr="009B7B35">
              <w:rPr>
                <w:rFonts w:cs="Arial"/>
              </w:rPr>
              <w:t>Indoor sport and recreation</w:t>
            </w:r>
          </w:p>
        </w:tc>
        <w:tc>
          <w:tcPr>
            <w:tcW w:w="2835" w:type="dxa"/>
          </w:tcPr>
          <w:p w14:paraId="300E9360" w14:textId="77777777" w:rsidR="00BE36FB" w:rsidRPr="009B7B35" w:rsidRDefault="00BE36FB" w:rsidP="001A7107">
            <w:pPr>
              <w:pStyle w:val="TableText"/>
              <w:rPr>
                <w:rFonts w:cs="Arial"/>
              </w:rPr>
            </w:pPr>
            <w:r w:rsidRPr="009B7B35">
              <w:rPr>
                <w:rFonts w:cs="Arial"/>
              </w:rPr>
              <w:t>Premises used for leisure, sport or recreation conducted wholly or mainly indoors.</w:t>
            </w:r>
          </w:p>
        </w:tc>
        <w:tc>
          <w:tcPr>
            <w:tcW w:w="2339" w:type="dxa"/>
          </w:tcPr>
          <w:p w14:paraId="3A38916F" w14:textId="77777777" w:rsidR="00BE36FB" w:rsidRPr="009B7B35" w:rsidRDefault="00BE36FB" w:rsidP="001A7107">
            <w:pPr>
              <w:pStyle w:val="TableText"/>
              <w:rPr>
                <w:rFonts w:cs="Arial"/>
              </w:rPr>
            </w:pPr>
            <w:r w:rsidRPr="009B7B35">
              <w:rPr>
                <w:rFonts w:cs="Arial"/>
              </w:rPr>
              <w:t>Amusement parlour, bowling alley, gymnasium, squash courts, enclosed tennis courts</w:t>
            </w:r>
          </w:p>
        </w:tc>
        <w:tc>
          <w:tcPr>
            <w:tcW w:w="2339" w:type="dxa"/>
          </w:tcPr>
          <w:p w14:paraId="273014B6" w14:textId="77777777" w:rsidR="00BE36FB" w:rsidRPr="009B7B35" w:rsidRDefault="00BE36FB" w:rsidP="001A7107">
            <w:pPr>
              <w:pStyle w:val="TableText"/>
              <w:rPr>
                <w:rFonts w:cs="Arial"/>
              </w:rPr>
            </w:pPr>
            <w:r w:rsidRPr="009B7B35">
              <w:rPr>
                <w:rFonts w:cs="Arial"/>
              </w:rPr>
              <w:t>Cinema, hotel, nightclub entertainment facility, theatre</w:t>
            </w:r>
          </w:p>
        </w:tc>
      </w:tr>
      <w:tr w:rsidR="00BE36FB" w:rsidRPr="009B7B35" w14:paraId="3AAA432E" w14:textId="77777777" w:rsidTr="001A7107">
        <w:tc>
          <w:tcPr>
            <w:tcW w:w="1843" w:type="dxa"/>
          </w:tcPr>
          <w:p w14:paraId="1847F4B4" w14:textId="77777777" w:rsidR="00BE36FB" w:rsidRPr="009B7B35" w:rsidRDefault="00BE36FB" w:rsidP="001A7107">
            <w:pPr>
              <w:pStyle w:val="TableText"/>
              <w:rPr>
                <w:rFonts w:cs="Arial"/>
              </w:rPr>
            </w:pPr>
            <w:r w:rsidRPr="009B7B35">
              <w:rPr>
                <w:rFonts w:cs="Arial"/>
              </w:rPr>
              <w:t>Intensive animal industry</w:t>
            </w:r>
          </w:p>
        </w:tc>
        <w:tc>
          <w:tcPr>
            <w:tcW w:w="2835" w:type="dxa"/>
          </w:tcPr>
          <w:p w14:paraId="1B835211" w14:textId="77777777" w:rsidR="00BE36FB" w:rsidRPr="009B7B35" w:rsidRDefault="00BE36FB" w:rsidP="001A7107">
            <w:pPr>
              <w:pStyle w:val="TableText"/>
              <w:rPr>
                <w:rFonts w:cs="Arial"/>
              </w:rPr>
            </w:pPr>
            <w:r w:rsidRPr="009B7B35">
              <w:rPr>
                <w:rFonts w:cs="Arial"/>
              </w:rPr>
              <w:t>Premises used for the intensive production of animals or animal products in an enclosure that requires the provision of food and water either mechanically or by hand. The use includes the ancillary storage and packing of feed and produce.</w:t>
            </w:r>
          </w:p>
        </w:tc>
        <w:tc>
          <w:tcPr>
            <w:tcW w:w="2339" w:type="dxa"/>
          </w:tcPr>
          <w:p w14:paraId="17F02441" w14:textId="77777777" w:rsidR="00BE36FB" w:rsidRPr="009B7B35" w:rsidRDefault="00BE36FB" w:rsidP="001A7107">
            <w:pPr>
              <w:pStyle w:val="TableText"/>
              <w:rPr>
                <w:rFonts w:cs="Arial"/>
              </w:rPr>
            </w:pPr>
            <w:r w:rsidRPr="009B7B35">
              <w:rPr>
                <w:rFonts w:cs="Arial"/>
              </w:rPr>
              <w:t>Feedlots, piggeries, poultry and egg production</w:t>
            </w:r>
          </w:p>
        </w:tc>
        <w:tc>
          <w:tcPr>
            <w:tcW w:w="2339" w:type="dxa"/>
          </w:tcPr>
          <w:p w14:paraId="72AB8F6D" w14:textId="77777777" w:rsidR="00BE36FB" w:rsidRPr="009B7B35" w:rsidRDefault="00BE36FB" w:rsidP="001A7107">
            <w:pPr>
              <w:pStyle w:val="TableText"/>
              <w:rPr>
                <w:rFonts w:cs="Arial"/>
              </w:rPr>
            </w:pPr>
            <w:r w:rsidRPr="009B7B35">
              <w:rPr>
                <w:rFonts w:cs="Arial"/>
              </w:rPr>
              <w:t>Animal husbandry, aquaculture, drought feeding, milking sheds, shearing sheds, weaning pens</w:t>
            </w:r>
          </w:p>
        </w:tc>
      </w:tr>
      <w:tr w:rsidR="00BE36FB" w:rsidRPr="009B7B35" w14:paraId="0CD84CCF" w14:textId="77777777" w:rsidTr="001A7107">
        <w:tc>
          <w:tcPr>
            <w:tcW w:w="1843" w:type="dxa"/>
          </w:tcPr>
          <w:p w14:paraId="30E01BD8" w14:textId="77777777" w:rsidR="00BE36FB" w:rsidRPr="009B7B35" w:rsidRDefault="00BE36FB" w:rsidP="001A7107">
            <w:pPr>
              <w:pStyle w:val="TableText"/>
              <w:rPr>
                <w:rFonts w:cs="Arial"/>
              </w:rPr>
            </w:pPr>
            <w:r w:rsidRPr="009B7B35">
              <w:rPr>
                <w:rFonts w:cs="Arial"/>
              </w:rPr>
              <w:t>Intensive horticulture</w:t>
            </w:r>
          </w:p>
        </w:tc>
        <w:tc>
          <w:tcPr>
            <w:tcW w:w="2835" w:type="dxa"/>
          </w:tcPr>
          <w:p w14:paraId="20990909" w14:textId="77777777" w:rsidR="00BE36FB" w:rsidRPr="009B7B35" w:rsidRDefault="00BE36FB" w:rsidP="001A7107">
            <w:pPr>
              <w:pStyle w:val="TableText"/>
              <w:rPr>
                <w:rFonts w:cs="Arial"/>
              </w:rPr>
            </w:pPr>
            <w:r w:rsidRPr="009B7B35">
              <w:rPr>
                <w:rFonts w:cs="Arial"/>
              </w:rPr>
              <w:t>Premises used for the intensive production of plants or plant material on imported media and located within a building or structure or where outdoors, artificial lights or containers are used. The use includes the storage and packing of produce and plants grown on the subject site.</w:t>
            </w:r>
          </w:p>
        </w:tc>
        <w:tc>
          <w:tcPr>
            <w:tcW w:w="2339" w:type="dxa"/>
          </w:tcPr>
          <w:p w14:paraId="29FC5066" w14:textId="77777777" w:rsidR="00BE36FB" w:rsidRPr="009B7B35" w:rsidRDefault="00BE36FB" w:rsidP="001A7107">
            <w:pPr>
              <w:pStyle w:val="TableText"/>
              <w:rPr>
                <w:rFonts w:cs="Arial"/>
              </w:rPr>
            </w:pPr>
            <w:r w:rsidRPr="009B7B35">
              <w:rPr>
                <w:rFonts w:cs="Arial"/>
              </w:rPr>
              <w:t>Greenhouse and shade house plant production, hydroponic farms, mushroom farms</w:t>
            </w:r>
          </w:p>
        </w:tc>
        <w:tc>
          <w:tcPr>
            <w:tcW w:w="2339" w:type="dxa"/>
          </w:tcPr>
          <w:p w14:paraId="4FA52063" w14:textId="77777777" w:rsidR="00BE36FB" w:rsidRPr="009B7B35" w:rsidRDefault="00BE36FB" w:rsidP="001A7107">
            <w:pPr>
              <w:pStyle w:val="TableText"/>
              <w:rPr>
                <w:rFonts w:cs="Arial"/>
              </w:rPr>
            </w:pPr>
            <w:r w:rsidRPr="009B7B35">
              <w:rPr>
                <w:rFonts w:cs="Arial"/>
              </w:rPr>
              <w:t>Wholesale nursery</w:t>
            </w:r>
          </w:p>
        </w:tc>
      </w:tr>
      <w:tr w:rsidR="00BE36FB" w:rsidRPr="009B7B35" w14:paraId="5842AA88" w14:textId="77777777" w:rsidTr="001A7107">
        <w:trPr>
          <w:cantSplit/>
        </w:trPr>
        <w:tc>
          <w:tcPr>
            <w:tcW w:w="1843" w:type="dxa"/>
          </w:tcPr>
          <w:p w14:paraId="610768AE" w14:textId="77777777" w:rsidR="00BE36FB" w:rsidRPr="009B7B35" w:rsidRDefault="00BE36FB" w:rsidP="001A7107">
            <w:pPr>
              <w:pStyle w:val="TableText"/>
              <w:rPr>
                <w:rFonts w:cs="Arial"/>
              </w:rPr>
            </w:pPr>
            <w:r w:rsidRPr="009B7B35">
              <w:rPr>
                <w:rFonts w:cs="Arial"/>
              </w:rPr>
              <w:t>Landing</w:t>
            </w:r>
          </w:p>
        </w:tc>
        <w:tc>
          <w:tcPr>
            <w:tcW w:w="2835" w:type="dxa"/>
          </w:tcPr>
          <w:p w14:paraId="7447BFFD" w14:textId="77777777" w:rsidR="00BE36FB" w:rsidRPr="009B7B35" w:rsidRDefault="00BE36FB" w:rsidP="001A7107">
            <w:pPr>
              <w:pStyle w:val="TableText"/>
              <w:rPr>
                <w:rFonts w:cs="Arial"/>
              </w:rPr>
            </w:pPr>
            <w:r w:rsidRPr="009B7B35">
              <w:rPr>
                <w:rFonts w:cs="Arial"/>
              </w:rPr>
              <w:t>A structure for mooring, launching, storage and retrieval of vessels where passengers embark and disembark.</w:t>
            </w:r>
          </w:p>
        </w:tc>
        <w:tc>
          <w:tcPr>
            <w:tcW w:w="2339" w:type="dxa"/>
          </w:tcPr>
          <w:p w14:paraId="7F9D3282" w14:textId="77777777" w:rsidR="00BE36FB" w:rsidRPr="009B7B35" w:rsidRDefault="00BE36FB" w:rsidP="001A7107">
            <w:pPr>
              <w:pStyle w:val="TableText"/>
              <w:rPr>
                <w:rFonts w:cs="Arial"/>
              </w:rPr>
            </w:pPr>
            <w:r w:rsidRPr="009B7B35">
              <w:rPr>
                <w:rFonts w:cs="Arial"/>
              </w:rPr>
              <w:t>Boat ramp, jetty, pontoon</w:t>
            </w:r>
          </w:p>
        </w:tc>
        <w:tc>
          <w:tcPr>
            <w:tcW w:w="2339" w:type="dxa"/>
          </w:tcPr>
          <w:p w14:paraId="4CA7B11E" w14:textId="77777777" w:rsidR="00BE36FB" w:rsidRPr="009B7B35" w:rsidRDefault="00BE36FB" w:rsidP="001A7107">
            <w:pPr>
              <w:pStyle w:val="TableText"/>
              <w:rPr>
                <w:rFonts w:cs="Arial"/>
              </w:rPr>
            </w:pPr>
            <w:r w:rsidRPr="009B7B35">
              <w:rPr>
                <w:rFonts w:cs="Arial"/>
              </w:rPr>
              <w:t>Marina</w:t>
            </w:r>
          </w:p>
        </w:tc>
      </w:tr>
      <w:tr w:rsidR="00BE36FB" w:rsidRPr="009B7B35" w14:paraId="351A5C6B" w14:textId="77777777" w:rsidTr="001A7107">
        <w:trPr>
          <w:cantSplit/>
        </w:trPr>
        <w:tc>
          <w:tcPr>
            <w:tcW w:w="1843" w:type="dxa"/>
          </w:tcPr>
          <w:p w14:paraId="10950D0F" w14:textId="77777777" w:rsidR="00BE36FB" w:rsidRPr="009B7B35" w:rsidRDefault="00BE36FB" w:rsidP="001A7107">
            <w:pPr>
              <w:pStyle w:val="TableText"/>
              <w:rPr>
                <w:rFonts w:cs="Arial"/>
              </w:rPr>
            </w:pPr>
            <w:r w:rsidRPr="009B7B35">
              <w:rPr>
                <w:rFonts w:cs="Arial"/>
              </w:rPr>
              <w:t>Low impact industry</w:t>
            </w:r>
          </w:p>
        </w:tc>
        <w:tc>
          <w:tcPr>
            <w:tcW w:w="2835" w:type="dxa"/>
          </w:tcPr>
          <w:p w14:paraId="4122B045" w14:textId="77777777" w:rsidR="00BE36FB" w:rsidRPr="009B7B35" w:rsidRDefault="00BE36FB" w:rsidP="001A7107">
            <w:pPr>
              <w:pStyle w:val="TableText"/>
              <w:rPr>
                <w:rFonts w:cs="Arial"/>
              </w:rPr>
            </w:pPr>
            <w:bookmarkStart w:id="290" w:name="OLE_LINK16"/>
            <w:bookmarkStart w:id="291" w:name="OLE_LINK5"/>
            <w:r w:rsidRPr="009B7B35">
              <w:rPr>
                <w:rFonts w:cs="Arial"/>
              </w:rPr>
              <w:t>Premises used for industrial activities that include the manufacturing, producing, processing, repairing, altering, recycling, storing, distributing, transferring or treating of products and have one or more of the following attributes:</w:t>
            </w:r>
          </w:p>
          <w:p w14:paraId="6AD12D44" w14:textId="77777777" w:rsidR="00BE36FB" w:rsidRPr="009B7B35" w:rsidRDefault="00BE36FB" w:rsidP="00BE36FB">
            <w:pPr>
              <w:pStyle w:val="ListBullet"/>
              <w:spacing w:before="80" w:after="80"/>
              <w:rPr>
                <w:rFonts w:cs="Arial"/>
                <w:szCs w:val="20"/>
              </w:rPr>
            </w:pPr>
            <w:r w:rsidRPr="009B7B35">
              <w:rPr>
                <w:rFonts w:cs="Arial"/>
                <w:szCs w:val="20"/>
              </w:rPr>
              <w:t>negligible impacts on sensitive land uses due to offsite emissions including aerosol, fume, particle, smoke, odour and noise</w:t>
            </w:r>
          </w:p>
          <w:p w14:paraId="75C2809D" w14:textId="77777777" w:rsidR="00BE36FB" w:rsidRPr="009B7B35" w:rsidRDefault="00BE36FB" w:rsidP="00BE36FB">
            <w:pPr>
              <w:pStyle w:val="ListBullet"/>
              <w:spacing w:before="80" w:after="80"/>
              <w:rPr>
                <w:rFonts w:cs="Arial"/>
                <w:szCs w:val="20"/>
              </w:rPr>
            </w:pPr>
            <w:r w:rsidRPr="009B7B35">
              <w:rPr>
                <w:rFonts w:cs="Arial"/>
                <w:szCs w:val="20"/>
              </w:rPr>
              <w:t>minimal traffic generation and heavy–vehicle usage</w:t>
            </w:r>
          </w:p>
          <w:p w14:paraId="41CCEB11" w14:textId="77777777" w:rsidR="00BE36FB" w:rsidRPr="009B7B35" w:rsidRDefault="00BE36FB" w:rsidP="00BE36FB">
            <w:pPr>
              <w:pStyle w:val="ListBullet"/>
              <w:spacing w:before="80" w:after="80"/>
              <w:rPr>
                <w:rFonts w:cs="Arial"/>
                <w:szCs w:val="20"/>
              </w:rPr>
            </w:pPr>
            <w:r w:rsidRPr="009B7B35">
              <w:rPr>
                <w:rFonts w:cs="Arial"/>
                <w:szCs w:val="20"/>
              </w:rPr>
              <w:t>demands imposed upon the local infrastructure network consistent with surrounding uses</w:t>
            </w:r>
          </w:p>
          <w:p w14:paraId="6D62B188" w14:textId="77777777" w:rsidR="00BE36FB" w:rsidRPr="009B7B35" w:rsidRDefault="00BE36FB" w:rsidP="00BE36FB">
            <w:pPr>
              <w:pStyle w:val="ListBullet"/>
              <w:spacing w:before="80" w:after="80"/>
              <w:rPr>
                <w:rFonts w:cs="Arial"/>
                <w:szCs w:val="20"/>
              </w:rPr>
            </w:pPr>
            <w:r w:rsidRPr="009B7B35">
              <w:rPr>
                <w:rFonts w:cs="Arial"/>
                <w:szCs w:val="20"/>
              </w:rPr>
              <w:t>the use generally operates during the day (e.g. 7am to 6pm)</w:t>
            </w:r>
          </w:p>
          <w:p w14:paraId="7E419DBF" w14:textId="77777777" w:rsidR="00BE36FB" w:rsidRPr="009B7B35" w:rsidRDefault="00BE36FB" w:rsidP="00BE36FB">
            <w:pPr>
              <w:pStyle w:val="ListBullet"/>
              <w:spacing w:before="80" w:after="80"/>
              <w:rPr>
                <w:rFonts w:cs="Arial"/>
                <w:szCs w:val="20"/>
              </w:rPr>
            </w:pPr>
            <w:r w:rsidRPr="009B7B35">
              <w:rPr>
                <w:rFonts w:cs="Arial"/>
                <w:szCs w:val="20"/>
              </w:rPr>
              <w:t>offsite impacts from storage of dangerous goods are negligible</w:t>
            </w:r>
          </w:p>
          <w:p w14:paraId="364DA598" w14:textId="77777777" w:rsidR="00BE36FB" w:rsidRPr="009B7B35" w:rsidRDefault="00BE36FB" w:rsidP="00BE36FB">
            <w:pPr>
              <w:pStyle w:val="ListBullet"/>
              <w:spacing w:before="80" w:after="80"/>
              <w:rPr>
                <w:rFonts w:cs="Arial"/>
                <w:szCs w:val="20"/>
              </w:rPr>
            </w:pPr>
            <w:r w:rsidRPr="009B7B35">
              <w:rPr>
                <w:rFonts w:cs="Arial"/>
                <w:szCs w:val="20"/>
              </w:rPr>
              <w:t>the use is primarily undertaken indoors.</w:t>
            </w:r>
            <w:bookmarkEnd w:id="290"/>
            <w:bookmarkEnd w:id="291"/>
          </w:p>
        </w:tc>
        <w:tc>
          <w:tcPr>
            <w:tcW w:w="2339" w:type="dxa"/>
          </w:tcPr>
          <w:p w14:paraId="5BD67FC6" w14:textId="77777777" w:rsidR="00BE36FB" w:rsidRPr="009B7B35" w:rsidRDefault="00BE36FB" w:rsidP="001A7107">
            <w:pPr>
              <w:pStyle w:val="TableText"/>
              <w:rPr>
                <w:rFonts w:cs="Arial"/>
              </w:rPr>
            </w:pPr>
            <w:r w:rsidRPr="009B7B35">
              <w:rPr>
                <w:rFonts w:cs="Arial"/>
              </w:rPr>
              <w:t>Repairing motor vehicles, fitting and turning workshop</w:t>
            </w:r>
          </w:p>
          <w:p w14:paraId="4EF0BAAD" w14:textId="77777777" w:rsidR="00BE36FB" w:rsidRPr="009B7B35" w:rsidRDefault="00BE36FB" w:rsidP="001A7107">
            <w:pPr>
              <w:pStyle w:val="Notes"/>
              <w:rPr>
                <w:rFonts w:cs="Arial"/>
                <w:sz w:val="20"/>
                <w:szCs w:val="20"/>
              </w:rPr>
            </w:pPr>
            <w:r w:rsidRPr="009B7B35">
              <w:rPr>
                <w:rFonts w:cs="Arial"/>
                <w:sz w:val="20"/>
                <w:szCs w:val="20"/>
              </w:rPr>
              <w:t>Note—Additional examples may be shown in SC1.1.2 Industry thresholds.</w:t>
            </w:r>
          </w:p>
        </w:tc>
        <w:tc>
          <w:tcPr>
            <w:tcW w:w="2339" w:type="dxa"/>
          </w:tcPr>
          <w:p w14:paraId="04366055" w14:textId="77777777" w:rsidR="00BE36FB" w:rsidRPr="009B7B35" w:rsidRDefault="00BE36FB" w:rsidP="001A7107">
            <w:pPr>
              <w:pStyle w:val="TableText"/>
              <w:rPr>
                <w:rFonts w:cs="Arial"/>
              </w:rPr>
            </w:pPr>
            <w:r w:rsidRPr="009B7B35">
              <w:rPr>
                <w:rFonts w:cs="Arial"/>
              </w:rPr>
              <w:t>Panel beating, spray painting or surface coating, tyre recycling, drum re–conditioning, wooden and laminated product manufacturing, service industry, medium impact industry, high impact industry, special industry</w:t>
            </w:r>
          </w:p>
        </w:tc>
      </w:tr>
      <w:tr w:rsidR="00BE36FB" w:rsidRPr="009B7B35" w14:paraId="6802B59D" w14:textId="77777777" w:rsidTr="001A7107">
        <w:trPr>
          <w:cantSplit/>
        </w:trPr>
        <w:tc>
          <w:tcPr>
            <w:tcW w:w="1843" w:type="dxa"/>
          </w:tcPr>
          <w:p w14:paraId="4F584FE9" w14:textId="77777777" w:rsidR="00BE36FB" w:rsidRPr="009B7B35" w:rsidRDefault="00BE36FB" w:rsidP="001A7107">
            <w:pPr>
              <w:pStyle w:val="TableText"/>
              <w:rPr>
                <w:rFonts w:cs="Arial"/>
              </w:rPr>
            </w:pPr>
            <w:r w:rsidRPr="009B7B35">
              <w:rPr>
                <w:rFonts w:cs="Arial"/>
              </w:rPr>
              <w:t>Major electricity</w:t>
            </w:r>
          </w:p>
          <w:p w14:paraId="09FE6BB9" w14:textId="77777777" w:rsidR="00BE36FB" w:rsidRPr="009B7B35" w:rsidRDefault="00BE36FB" w:rsidP="001A7107">
            <w:pPr>
              <w:pStyle w:val="TableText"/>
              <w:rPr>
                <w:rFonts w:cs="Arial"/>
              </w:rPr>
            </w:pPr>
            <w:r w:rsidRPr="009B7B35">
              <w:rPr>
                <w:rFonts w:cs="Arial"/>
              </w:rPr>
              <w:t>infrastructure</w:t>
            </w:r>
          </w:p>
        </w:tc>
        <w:tc>
          <w:tcPr>
            <w:tcW w:w="2835" w:type="dxa"/>
          </w:tcPr>
          <w:p w14:paraId="00775607" w14:textId="77777777" w:rsidR="00BE36FB" w:rsidRPr="009B7B35" w:rsidRDefault="00BE36FB" w:rsidP="001A7107">
            <w:pPr>
              <w:pStyle w:val="TableText"/>
              <w:rPr>
                <w:rFonts w:cs="Arial"/>
              </w:rPr>
            </w:pPr>
            <w:r w:rsidRPr="009B7B35">
              <w:rPr>
                <w:rFonts w:cs="Arial"/>
              </w:rPr>
              <w:t>All aspects of development for either the transmission grid or electricity supply networks as defined under the Electricity Act 1994. The use may include ancillary telecommunication facilities.</w:t>
            </w:r>
          </w:p>
        </w:tc>
        <w:tc>
          <w:tcPr>
            <w:tcW w:w="2339" w:type="dxa"/>
          </w:tcPr>
          <w:p w14:paraId="7D2BF865" w14:textId="77777777" w:rsidR="00BE36FB" w:rsidRPr="009B7B35" w:rsidRDefault="00BE36FB" w:rsidP="001A7107">
            <w:pPr>
              <w:pStyle w:val="TableText"/>
              <w:rPr>
                <w:rFonts w:cs="Arial"/>
              </w:rPr>
            </w:pPr>
            <w:r w:rsidRPr="009B7B35">
              <w:rPr>
                <w:rFonts w:cs="Arial"/>
              </w:rPr>
              <w:t>Power lines greater than 66kV</w:t>
            </w:r>
          </w:p>
        </w:tc>
        <w:tc>
          <w:tcPr>
            <w:tcW w:w="2339" w:type="dxa"/>
          </w:tcPr>
          <w:p w14:paraId="1AE54131" w14:textId="77777777" w:rsidR="00BE36FB" w:rsidRPr="009B7B35" w:rsidRDefault="00BE36FB" w:rsidP="001A7107">
            <w:pPr>
              <w:pStyle w:val="TableText"/>
              <w:rPr>
                <w:rFonts w:cs="Arial"/>
              </w:rPr>
            </w:pPr>
            <w:r w:rsidRPr="009B7B35">
              <w:rPr>
                <w:rFonts w:cs="Arial"/>
              </w:rPr>
              <w:t>Minor electricity infrastructure, substation</w:t>
            </w:r>
          </w:p>
        </w:tc>
      </w:tr>
      <w:tr w:rsidR="00BE36FB" w:rsidRPr="009B7B35" w14:paraId="59C26815" w14:textId="77777777" w:rsidTr="001A7107">
        <w:trPr>
          <w:cantSplit/>
        </w:trPr>
        <w:tc>
          <w:tcPr>
            <w:tcW w:w="1843" w:type="dxa"/>
          </w:tcPr>
          <w:p w14:paraId="4AFE2672" w14:textId="77777777" w:rsidR="00BE36FB" w:rsidRPr="009B7B35" w:rsidRDefault="00BE36FB" w:rsidP="001A7107">
            <w:pPr>
              <w:pStyle w:val="TableText"/>
              <w:rPr>
                <w:rFonts w:cs="Arial"/>
              </w:rPr>
            </w:pPr>
            <w:r w:rsidRPr="009B7B35">
              <w:rPr>
                <w:rFonts w:cs="Arial"/>
              </w:rPr>
              <w:t>Major sport, recreation and entertainment facility</w:t>
            </w:r>
          </w:p>
        </w:tc>
        <w:tc>
          <w:tcPr>
            <w:tcW w:w="2835" w:type="dxa"/>
          </w:tcPr>
          <w:p w14:paraId="1315B829" w14:textId="77777777" w:rsidR="00BE36FB" w:rsidRPr="009B7B35" w:rsidRDefault="00BE36FB" w:rsidP="001A7107">
            <w:pPr>
              <w:pStyle w:val="TableText"/>
              <w:rPr>
                <w:rFonts w:cs="Arial"/>
              </w:rPr>
            </w:pPr>
            <w:r w:rsidRPr="009B7B35">
              <w:rPr>
                <w:rFonts w:cs="Arial"/>
              </w:rPr>
              <w:t>Premises with large scale built facilities designed to cater for large scale events including major sporting, recreation, conference and entertainment events.</w:t>
            </w:r>
          </w:p>
        </w:tc>
        <w:tc>
          <w:tcPr>
            <w:tcW w:w="2339" w:type="dxa"/>
          </w:tcPr>
          <w:p w14:paraId="4346C114" w14:textId="77777777" w:rsidR="00BE36FB" w:rsidRPr="009B7B35" w:rsidRDefault="00BE36FB" w:rsidP="001A7107">
            <w:pPr>
              <w:pStyle w:val="TableText"/>
              <w:rPr>
                <w:rFonts w:cs="Arial"/>
              </w:rPr>
            </w:pPr>
            <w:r w:rsidRPr="009B7B35">
              <w:rPr>
                <w:rFonts w:cs="Arial"/>
              </w:rPr>
              <w:t>Convention and exhibition centres, entertainment centres, sports stadiums, horse racing</w:t>
            </w:r>
          </w:p>
        </w:tc>
        <w:tc>
          <w:tcPr>
            <w:tcW w:w="2339" w:type="dxa"/>
          </w:tcPr>
          <w:p w14:paraId="0C6A0159" w14:textId="77777777" w:rsidR="00BE36FB" w:rsidRPr="009B7B35" w:rsidRDefault="00BE36FB" w:rsidP="001A7107">
            <w:pPr>
              <w:pStyle w:val="TableText"/>
              <w:rPr>
                <w:rFonts w:cs="Arial"/>
              </w:rPr>
            </w:pPr>
            <w:r w:rsidRPr="009B7B35">
              <w:rPr>
                <w:rFonts w:cs="Arial"/>
              </w:rPr>
              <w:t xml:space="preserve">Indoor sport and recreation, local sporting field, motor sport, park, outdoor sport and recreation </w:t>
            </w:r>
          </w:p>
        </w:tc>
      </w:tr>
      <w:tr w:rsidR="00BE36FB" w:rsidRPr="009B7B35" w14:paraId="7851980C" w14:textId="77777777" w:rsidTr="001A7107">
        <w:trPr>
          <w:cantSplit/>
        </w:trPr>
        <w:tc>
          <w:tcPr>
            <w:tcW w:w="1843" w:type="dxa"/>
          </w:tcPr>
          <w:p w14:paraId="121FC2AD" w14:textId="77777777" w:rsidR="00BE36FB" w:rsidRPr="009B7B35" w:rsidRDefault="00BE36FB" w:rsidP="001A7107">
            <w:pPr>
              <w:pStyle w:val="TableText"/>
              <w:rPr>
                <w:rFonts w:cs="Arial"/>
              </w:rPr>
            </w:pPr>
            <w:r w:rsidRPr="009B7B35">
              <w:rPr>
                <w:rFonts w:cs="Arial"/>
              </w:rPr>
              <w:t>Marine industry</w:t>
            </w:r>
          </w:p>
        </w:tc>
        <w:tc>
          <w:tcPr>
            <w:tcW w:w="2835" w:type="dxa"/>
          </w:tcPr>
          <w:p w14:paraId="677C208A" w14:textId="77777777" w:rsidR="00BE36FB" w:rsidRPr="009B7B35" w:rsidRDefault="00BE36FB" w:rsidP="001A7107">
            <w:pPr>
              <w:pStyle w:val="TableText"/>
              <w:rPr>
                <w:rFonts w:cs="Arial"/>
              </w:rPr>
            </w:pPr>
            <w:r w:rsidRPr="009B7B35">
              <w:rPr>
                <w:rFonts w:cs="Arial"/>
              </w:rPr>
              <w:t>Premises used for waterfront based marine industries involved in any activity relating to the manufacturing, storage, repair or servicing of vessels and maritime infrastructure. The use may include the provision of fuel and disposal of waste.</w:t>
            </w:r>
          </w:p>
        </w:tc>
        <w:tc>
          <w:tcPr>
            <w:tcW w:w="2339" w:type="dxa"/>
          </w:tcPr>
          <w:p w14:paraId="1FF94918" w14:textId="77777777" w:rsidR="00BE36FB" w:rsidRPr="009B7B35" w:rsidRDefault="00BE36FB" w:rsidP="001A7107">
            <w:pPr>
              <w:pStyle w:val="TableText"/>
              <w:rPr>
                <w:rFonts w:cs="Arial"/>
              </w:rPr>
            </w:pPr>
            <w:r w:rsidRPr="009B7B35">
              <w:rPr>
                <w:rFonts w:cs="Arial"/>
              </w:rPr>
              <w:t>Boat building, boat storage, dry dock</w:t>
            </w:r>
          </w:p>
        </w:tc>
        <w:tc>
          <w:tcPr>
            <w:tcW w:w="2339" w:type="dxa"/>
          </w:tcPr>
          <w:p w14:paraId="3975D3F8" w14:textId="77777777" w:rsidR="00BE36FB" w:rsidRPr="009B7B35" w:rsidRDefault="00BE36FB" w:rsidP="001A7107">
            <w:pPr>
              <w:pStyle w:val="TableText"/>
              <w:rPr>
                <w:rFonts w:cs="Arial"/>
              </w:rPr>
            </w:pPr>
            <w:r w:rsidRPr="009B7B35">
              <w:rPr>
                <w:rFonts w:cs="Arial"/>
              </w:rPr>
              <w:t>Marina</w:t>
            </w:r>
          </w:p>
        </w:tc>
      </w:tr>
      <w:tr w:rsidR="00BE36FB" w:rsidRPr="009B7B35" w14:paraId="4825E624" w14:textId="77777777" w:rsidTr="001A7107">
        <w:trPr>
          <w:cantSplit/>
        </w:trPr>
        <w:tc>
          <w:tcPr>
            <w:tcW w:w="1843" w:type="dxa"/>
          </w:tcPr>
          <w:p w14:paraId="6D430515" w14:textId="77777777" w:rsidR="00BE36FB" w:rsidRPr="009B7B35" w:rsidRDefault="00BE36FB" w:rsidP="001A7107">
            <w:pPr>
              <w:pStyle w:val="TableText"/>
              <w:rPr>
                <w:rFonts w:cs="Arial"/>
              </w:rPr>
            </w:pPr>
            <w:r w:rsidRPr="009B7B35">
              <w:rPr>
                <w:rFonts w:cs="Arial"/>
              </w:rPr>
              <w:t>Market</w:t>
            </w:r>
          </w:p>
        </w:tc>
        <w:tc>
          <w:tcPr>
            <w:tcW w:w="2835" w:type="dxa"/>
          </w:tcPr>
          <w:p w14:paraId="3F26F93B" w14:textId="77777777" w:rsidR="00BE36FB" w:rsidRPr="009B7B35" w:rsidRDefault="00BE36FB" w:rsidP="001A7107">
            <w:pPr>
              <w:pStyle w:val="TableText"/>
              <w:rPr>
                <w:rFonts w:cs="Arial"/>
              </w:rPr>
            </w:pPr>
            <w:r w:rsidRPr="009B7B35">
              <w:rPr>
                <w:rFonts w:cs="Arial"/>
              </w:rPr>
              <w:t>Premises used for the sale of goods to the public on a regular basis, where goods are primarily sold from temporary structures such as stalls, booths or trestle tables. The use may include entertainment provided for the enjoyment of customers.</w:t>
            </w:r>
          </w:p>
        </w:tc>
        <w:tc>
          <w:tcPr>
            <w:tcW w:w="2339" w:type="dxa"/>
          </w:tcPr>
          <w:p w14:paraId="553416FC" w14:textId="77777777" w:rsidR="00BE36FB" w:rsidRPr="009B7B35" w:rsidRDefault="00BE36FB" w:rsidP="001A7107">
            <w:pPr>
              <w:pStyle w:val="TableText"/>
              <w:rPr>
                <w:rFonts w:cs="Arial"/>
              </w:rPr>
            </w:pPr>
            <w:r w:rsidRPr="009B7B35">
              <w:rPr>
                <w:rFonts w:cs="Arial"/>
              </w:rPr>
              <w:t>Flea market, farmers market, car boot sales</w:t>
            </w:r>
          </w:p>
        </w:tc>
        <w:tc>
          <w:tcPr>
            <w:tcW w:w="2339" w:type="dxa"/>
          </w:tcPr>
          <w:p w14:paraId="4A62B77C" w14:textId="77777777" w:rsidR="00BE36FB" w:rsidRPr="009B7B35" w:rsidRDefault="00BE36FB" w:rsidP="001A7107">
            <w:pPr>
              <w:pStyle w:val="TableText"/>
              <w:rPr>
                <w:rFonts w:cs="Arial"/>
              </w:rPr>
            </w:pPr>
            <w:r w:rsidRPr="009B7B35">
              <w:rPr>
                <w:rFonts w:cs="Arial"/>
              </w:rPr>
              <w:t>Shop, roadside stall</w:t>
            </w:r>
          </w:p>
        </w:tc>
      </w:tr>
      <w:tr w:rsidR="00BE36FB" w:rsidRPr="009B7B35" w14:paraId="11D29F9A" w14:textId="77777777" w:rsidTr="001A7107">
        <w:trPr>
          <w:cantSplit/>
        </w:trPr>
        <w:tc>
          <w:tcPr>
            <w:tcW w:w="1843" w:type="dxa"/>
          </w:tcPr>
          <w:p w14:paraId="70FAC19A" w14:textId="77777777" w:rsidR="00BE36FB" w:rsidRPr="009B7B35" w:rsidRDefault="00BE36FB" w:rsidP="001A7107">
            <w:pPr>
              <w:pStyle w:val="TableText"/>
              <w:rPr>
                <w:rFonts w:cs="Arial"/>
              </w:rPr>
            </w:pPr>
            <w:r w:rsidRPr="009B7B35">
              <w:rPr>
                <w:rFonts w:cs="Arial"/>
              </w:rPr>
              <w:t>Medium impact industry</w:t>
            </w:r>
          </w:p>
        </w:tc>
        <w:tc>
          <w:tcPr>
            <w:tcW w:w="2835" w:type="dxa"/>
          </w:tcPr>
          <w:p w14:paraId="5EE21892" w14:textId="77777777" w:rsidR="00BE36FB" w:rsidRPr="009B7B35" w:rsidRDefault="00BE36FB" w:rsidP="001A7107">
            <w:pPr>
              <w:pStyle w:val="TableText"/>
              <w:rPr>
                <w:rFonts w:cs="Arial"/>
              </w:rPr>
            </w:pPr>
            <w:r w:rsidRPr="009B7B35">
              <w:rPr>
                <w:rFonts w:cs="Arial"/>
              </w:rPr>
              <w:t>Premises used for industrial activities that include the manufacturing, producing, processing, repairing, altering, recycling, storing, distributing, transferring or treating of products and have one or more of the following attributes:</w:t>
            </w:r>
          </w:p>
          <w:p w14:paraId="22D57AF9" w14:textId="77777777" w:rsidR="00BE36FB" w:rsidRPr="009B7B35" w:rsidRDefault="00BE36FB" w:rsidP="00BE36FB">
            <w:pPr>
              <w:pStyle w:val="ListBullet"/>
              <w:spacing w:before="80" w:after="80"/>
              <w:rPr>
                <w:rFonts w:cs="Arial"/>
                <w:szCs w:val="20"/>
              </w:rPr>
            </w:pPr>
            <w:r w:rsidRPr="009B7B35">
              <w:rPr>
                <w:rFonts w:cs="Arial"/>
                <w:szCs w:val="20"/>
              </w:rPr>
              <w:t>potential for noticeable impacts on sensitive land uses due to offsite emissions including aerosol, fume, particle, smoke, odour and noise</w:t>
            </w:r>
          </w:p>
          <w:p w14:paraId="72DB6571" w14:textId="77777777" w:rsidR="00BE36FB" w:rsidRPr="009B7B35" w:rsidRDefault="00BE36FB" w:rsidP="00BE36FB">
            <w:pPr>
              <w:pStyle w:val="ListBullet"/>
              <w:spacing w:before="80" w:after="80"/>
              <w:rPr>
                <w:rFonts w:cs="Arial"/>
                <w:szCs w:val="20"/>
              </w:rPr>
            </w:pPr>
            <w:r w:rsidRPr="009B7B35">
              <w:rPr>
                <w:rFonts w:cs="Arial"/>
                <w:szCs w:val="20"/>
              </w:rPr>
              <w:t>potential for noticeable offsite impacts in the event of fire, explosion or toxic release</w:t>
            </w:r>
          </w:p>
          <w:p w14:paraId="65CF88B9" w14:textId="77777777" w:rsidR="00BE36FB" w:rsidRPr="009B7B35" w:rsidRDefault="00BE36FB" w:rsidP="00BE36FB">
            <w:pPr>
              <w:pStyle w:val="ListBullet"/>
              <w:spacing w:before="80" w:after="80"/>
              <w:rPr>
                <w:rFonts w:cs="Arial"/>
                <w:szCs w:val="20"/>
              </w:rPr>
            </w:pPr>
            <w:r w:rsidRPr="009B7B35">
              <w:rPr>
                <w:rFonts w:cs="Arial"/>
                <w:szCs w:val="20"/>
              </w:rPr>
              <w:t>generates high traffic flows in the context of the locality or the road network</w:t>
            </w:r>
          </w:p>
          <w:p w14:paraId="65BD17F7" w14:textId="77777777" w:rsidR="00BE36FB" w:rsidRPr="009B7B35" w:rsidRDefault="00BE36FB" w:rsidP="00BE36FB">
            <w:pPr>
              <w:pStyle w:val="ListBullet"/>
              <w:spacing w:before="80" w:after="80"/>
              <w:rPr>
                <w:rFonts w:cs="Arial"/>
                <w:szCs w:val="20"/>
              </w:rPr>
            </w:pPr>
            <w:r w:rsidRPr="009B7B35">
              <w:rPr>
                <w:rFonts w:cs="Arial"/>
                <w:szCs w:val="20"/>
              </w:rPr>
              <w:t>generates an elevated demand on the local infrastructure network</w:t>
            </w:r>
          </w:p>
          <w:p w14:paraId="224D5B1D" w14:textId="77777777" w:rsidR="00BE36FB" w:rsidRPr="009B7B35" w:rsidRDefault="00BE36FB" w:rsidP="00BE36FB">
            <w:pPr>
              <w:pStyle w:val="ListBullet"/>
              <w:spacing w:before="80" w:after="80"/>
              <w:rPr>
                <w:rFonts w:cs="Arial"/>
                <w:szCs w:val="20"/>
              </w:rPr>
            </w:pPr>
            <w:r w:rsidRPr="009B7B35">
              <w:rPr>
                <w:rFonts w:cs="Arial"/>
                <w:szCs w:val="20"/>
              </w:rPr>
              <w:t>onsite controls are required for emissions and dangerous goods risks</w:t>
            </w:r>
          </w:p>
          <w:p w14:paraId="0CAD2F18" w14:textId="77777777" w:rsidR="00BE36FB" w:rsidRPr="009B7B35" w:rsidRDefault="00BE36FB" w:rsidP="00BE36FB">
            <w:pPr>
              <w:pStyle w:val="ListBullet"/>
              <w:spacing w:before="80" w:after="80"/>
              <w:rPr>
                <w:rFonts w:cs="Arial"/>
                <w:szCs w:val="20"/>
              </w:rPr>
            </w:pPr>
            <w:r w:rsidRPr="009B7B35">
              <w:rPr>
                <w:rFonts w:cs="Arial"/>
                <w:szCs w:val="20"/>
              </w:rPr>
              <w:t>the use is primarily undertaken indoors</w:t>
            </w:r>
          </w:p>
          <w:p w14:paraId="6AF4711A" w14:textId="77777777" w:rsidR="00BE36FB" w:rsidRPr="009B7B35" w:rsidRDefault="00BE36FB" w:rsidP="00BE36FB">
            <w:pPr>
              <w:pStyle w:val="ListBullet"/>
              <w:spacing w:before="80" w:after="80"/>
              <w:rPr>
                <w:rFonts w:cs="Arial"/>
                <w:szCs w:val="20"/>
              </w:rPr>
            </w:pPr>
            <w:r w:rsidRPr="009B7B35">
              <w:rPr>
                <w:rFonts w:cs="Arial"/>
                <w:szCs w:val="20"/>
              </w:rPr>
              <w:t>evening or night activities are undertaken indoors and not outdoors.</w:t>
            </w:r>
          </w:p>
        </w:tc>
        <w:tc>
          <w:tcPr>
            <w:tcW w:w="2339" w:type="dxa"/>
          </w:tcPr>
          <w:p w14:paraId="3EA3D3ED" w14:textId="77777777" w:rsidR="00BE36FB" w:rsidRPr="009B7B35" w:rsidRDefault="00BE36FB" w:rsidP="001A7107">
            <w:pPr>
              <w:pStyle w:val="TableText"/>
              <w:rPr>
                <w:rFonts w:cs="Arial"/>
              </w:rPr>
            </w:pPr>
            <w:r w:rsidRPr="009B7B35">
              <w:rPr>
                <w:rFonts w:cs="Arial"/>
              </w:rPr>
              <w:t>Spray painting and surface coating, wooden and laminated product manufacturing (including cabinet making, joining, timber truss making or wood working)</w:t>
            </w:r>
          </w:p>
          <w:p w14:paraId="2E061114" w14:textId="77777777" w:rsidR="00BE36FB" w:rsidRPr="009B7B35" w:rsidRDefault="00BE36FB" w:rsidP="001A7107">
            <w:pPr>
              <w:pStyle w:val="Notes"/>
              <w:rPr>
                <w:rFonts w:cs="Arial"/>
                <w:sz w:val="20"/>
                <w:szCs w:val="20"/>
              </w:rPr>
            </w:pPr>
            <w:r w:rsidRPr="009B7B35">
              <w:rPr>
                <w:rFonts w:cs="Arial"/>
                <w:sz w:val="20"/>
                <w:szCs w:val="20"/>
              </w:rPr>
              <w:t>Note—Additional examples may be shown in SC1.1.2 Industry thresholds.</w:t>
            </w:r>
            <w:r w:rsidRPr="009B7B35" w:rsidDel="007658BF">
              <w:rPr>
                <w:rFonts w:cs="Arial"/>
                <w:sz w:val="20"/>
                <w:szCs w:val="20"/>
              </w:rPr>
              <w:t xml:space="preserve"> </w:t>
            </w:r>
          </w:p>
        </w:tc>
        <w:tc>
          <w:tcPr>
            <w:tcW w:w="2339" w:type="dxa"/>
          </w:tcPr>
          <w:p w14:paraId="39C9E7E9" w14:textId="77777777" w:rsidR="00BE36FB" w:rsidRPr="009B7B35" w:rsidRDefault="00BE36FB" w:rsidP="001A7107">
            <w:pPr>
              <w:pStyle w:val="TableText"/>
              <w:rPr>
                <w:rFonts w:cs="Arial"/>
              </w:rPr>
            </w:pPr>
            <w:r w:rsidRPr="009B7B35">
              <w:rPr>
                <w:rFonts w:cs="Arial"/>
              </w:rPr>
              <w:t>Concrete batching, tyre manufacturing and retreading, metal recovery (involving a fragmentiser), textile manufacture, chemically treating timber and plastic product manufacture, service industry, low impact industry, high impact industry, special industry</w:t>
            </w:r>
          </w:p>
        </w:tc>
      </w:tr>
      <w:tr w:rsidR="00BE36FB" w:rsidRPr="009B7B35" w14:paraId="63E012A3" w14:textId="77777777" w:rsidTr="001A7107">
        <w:trPr>
          <w:cantSplit/>
        </w:trPr>
        <w:tc>
          <w:tcPr>
            <w:tcW w:w="1843" w:type="dxa"/>
          </w:tcPr>
          <w:p w14:paraId="58419522" w14:textId="77777777" w:rsidR="00BE36FB" w:rsidRPr="009B7B35" w:rsidRDefault="00BE36FB" w:rsidP="001A7107">
            <w:pPr>
              <w:pStyle w:val="TableText"/>
              <w:rPr>
                <w:rFonts w:cs="Arial"/>
              </w:rPr>
            </w:pPr>
            <w:r w:rsidRPr="009B7B35">
              <w:rPr>
                <w:rFonts w:cs="Arial"/>
              </w:rPr>
              <w:t>Motor sport facility</w:t>
            </w:r>
          </w:p>
        </w:tc>
        <w:tc>
          <w:tcPr>
            <w:tcW w:w="2835" w:type="dxa"/>
          </w:tcPr>
          <w:p w14:paraId="67033069" w14:textId="77777777" w:rsidR="00BE36FB" w:rsidRPr="009B7B35" w:rsidRDefault="00BE36FB" w:rsidP="001A7107">
            <w:pPr>
              <w:pStyle w:val="TableText"/>
              <w:rPr>
                <w:rFonts w:cs="Arial"/>
              </w:rPr>
            </w:pPr>
            <w:r w:rsidRPr="009B7B35">
              <w:rPr>
                <w:rFonts w:cs="Arial"/>
              </w:rPr>
              <w:t>Premises used for organised or recreational motor sports whether on or off–road, which may include permanent, temporary or informal provision for spectators and other supporting uses.</w:t>
            </w:r>
          </w:p>
        </w:tc>
        <w:tc>
          <w:tcPr>
            <w:tcW w:w="2339" w:type="dxa"/>
          </w:tcPr>
          <w:p w14:paraId="00651E0A" w14:textId="77777777" w:rsidR="00BE36FB" w:rsidRPr="009B7B35" w:rsidRDefault="00BE36FB" w:rsidP="001A7107">
            <w:pPr>
              <w:pStyle w:val="TableText"/>
              <w:rPr>
                <w:rFonts w:cs="Arial"/>
              </w:rPr>
            </w:pPr>
            <w:r w:rsidRPr="009B7B35">
              <w:rPr>
                <w:rFonts w:cs="Arial"/>
              </w:rPr>
              <w:t>Go–karting, lawn mower race tracks, trail bike parks, 4WD and all terrain parks, motocross tracks, off road motorcycle facility, motorcycle or car race tracks</w:t>
            </w:r>
          </w:p>
        </w:tc>
        <w:tc>
          <w:tcPr>
            <w:tcW w:w="2339" w:type="dxa"/>
          </w:tcPr>
          <w:p w14:paraId="423E1CB5" w14:textId="77777777" w:rsidR="00BE36FB" w:rsidRPr="009B7B35" w:rsidRDefault="00BE36FB" w:rsidP="001A7107">
            <w:pPr>
              <w:pStyle w:val="TableText"/>
              <w:rPr>
                <w:rFonts w:cs="Arial"/>
              </w:rPr>
            </w:pPr>
            <w:r w:rsidRPr="009B7B35">
              <w:rPr>
                <w:rFonts w:cs="Arial"/>
              </w:rPr>
              <w:t xml:space="preserve">Major sport, recreation and entertainment facility, outdoor sport and recreation </w:t>
            </w:r>
          </w:p>
        </w:tc>
      </w:tr>
      <w:tr w:rsidR="00BE36FB" w:rsidRPr="009B7B35" w14:paraId="005BCA65" w14:textId="77777777" w:rsidTr="001A7107">
        <w:trPr>
          <w:cantSplit/>
        </w:trPr>
        <w:tc>
          <w:tcPr>
            <w:tcW w:w="1843" w:type="dxa"/>
          </w:tcPr>
          <w:p w14:paraId="2637D900" w14:textId="77777777" w:rsidR="00BE36FB" w:rsidRPr="009B7B35" w:rsidRDefault="00BE36FB" w:rsidP="001A7107">
            <w:pPr>
              <w:pStyle w:val="TableText"/>
              <w:rPr>
                <w:rFonts w:cs="Arial"/>
              </w:rPr>
            </w:pPr>
            <w:r w:rsidRPr="009B7B35">
              <w:rPr>
                <w:rFonts w:cs="Arial"/>
              </w:rPr>
              <w:t>Multiple dwelling</w:t>
            </w:r>
          </w:p>
        </w:tc>
        <w:tc>
          <w:tcPr>
            <w:tcW w:w="2835" w:type="dxa"/>
          </w:tcPr>
          <w:p w14:paraId="478C8A0D" w14:textId="77777777" w:rsidR="00BE36FB" w:rsidRPr="009B7B35" w:rsidRDefault="00BE36FB" w:rsidP="001A7107">
            <w:pPr>
              <w:pStyle w:val="TableText"/>
              <w:rPr>
                <w:rFonts w:cs="Arial"/>
              </w:rPr>
            </w:pPr>
            <w:r w:rsidRPr="009B7B35">
              <w:rPr>
                <w:rFonts w:cs="Arial"/>
              </w:rPr>
              <w:t xml:space="preserve">Premises containing three or more dwellings for separate households. </w:t>
            </w:r>
          </w:p>
        </w:tc>
        <w:tc>
          <w:tcPr>
            <w:tcW w:w="2339" w:type="dxa"/>
          </w:tcPr>
          <w:p w14:paraId="7598DF46" w14:textId="77777777" w:rsidR="00BE36FB" w:rsidRPr="009B7B35" w:rsidRDefault="00BE36FB" w:rsidP="001A7107">
            <w:pPr>
              <w:pStyle w:val="TableText"/>
              <w:rPr>
                <w:rFonts w:cs="Arial"/>
              </w:rPr>
            </w:pPr>
            <w:r w:rsidRPr="009B7B35">
              <w:rPr>
                <w:rFonts w:cs="Arial"/>
              </w:rPr>
              <w:t xml:space="preserve">Apartments, flats, units, townhouses, row housing, triplex </w:t>
            </w:r>
          </w:p>
        </w:tc>
        <w:tc>
          <w:tcPr>
            <w:tcW w:w="2339" w:type="dxa"/>
          </w:tcPr>
          <w:p w14:paraId="04BA765F" w14:textId="77777777" w:rsidR="00BE36FB" w:rsidRPr="009B7B35" w:rsidRDefault="00BE36FB" w:rsidP="001A7107">
            <w:pPr>
              <w:pStyle w:val="TableText"/>
              <w:rPr>
                <w:rFonts w:cs="Arial"/>
              </w:rPr>
            </w:pPr>
            <w:r w:rsidRPr="009B7B35">
              <w:rPr>
                <w:rFonts w:cs="Arial"/>
              </w:rPr>
              <w:t>Rooming accommodation, dual occupancy, duplex, granny flat, residential care facility, retirement facility</w:t>
            </w:r>
          </w:p>
        </w:tc>
      </w:tr>
      <w:tr w:rsidR="00BE36FB" w:rsidRPr="009B7B35" w14:paraId="0E7F51F1" w14:textId="77777777" w:rsidTr="001A7107">
        <w:trPr>
          <w:cantSplit/>
        </w:trPr>
        <w:tc>
          <w:tcPr>
            <w:tcW w:w="1843" w:type="dxa"/>
          </w:tcPr>
          <w:p w14:paraId="5C703ACA" w14:textId="77777777" w:rsidR="00BE36FB" w:rsidRPr="009B7B35" w:rsidRDefault="00BE36FB" w:rsidP="001A7107">
            <w:pPr>
              <w:pStyle w:val="TableText"/>
              <w:rPr>
                <w:rFonts w:cs="Arial"/>
              </w:rPr>
            </w:pPr>
            <w:r w:rsidRPr="009B7B35">
              <w:rPr>
                <w:rFonts w:cs="Arial"/>
              </w:rPr>
              <w:t>Nature–based tourism</w:t>
            </w:r>
          </w:p>
        </w:tc>
        <w:tc>
          <w:tcPr>
            <w:tcW w:w="2835" w:type="dxa"/>
          </w:tcPr>
          <w:p w14:paraId="588C36C4" w14:textId="77777777" w:rsidR="00BE36FB" w:rsidRPr="009B7B35" w:rsidRDefault="00BE36FB" w:rsidP="001A7107">
            <w:pPr>
              <w:pStyle w:val="TableText"/>
              <w:rPr>
                <w:rFonts w:cs="Arial"/>
              </w:rPr>
            </w:pPr>
            <w:r w:rsidRPr="009B7B35">
              <w:rPr>
                <w:rFonts w:cs="Arial"/>
              </w:rPr>
              <w:t>The use of land or premises for a tourism activity, including tourist and visitor short–term accommodation, that is intended for the conservation, interpretation and appreciation of areas of environmental, cultural or heritage value, local ecosystem and attributes of the natural environment.</w:t>
            </w:r>
          </w:p>
          <w:p w14:paraId="161DEE33" w14:textId="77777777" w:rsidR="00BE36FB" w:rsidRPr="009B7B35" w:rsidRDefault="00BE36FB" w:rsidP="001A7107">
            <w:pPr>
              <w:pStyle w:val="TableText"/>
              <w:rPr>
                <w:rFonts w:cs="Arial"/>
              </w:rPr>
            </w:pPr>
            <w:r w:rsidRPr="009B7B35">
              <w:rPr>
                <w:rFonts w:cs="Arial"/>
              </w:rPr>
              <w:t>Nature–based tourism activities typically:</w:t>
            </w:r>
          </w:p>
          <w:p w14:paraId="1547CAB6" w14:textId="77777777" w:rsidR="00BE36FB" w:rsidRPr="009B7B35" w:rsidRDefault="00BE36FB" w:rsidP="00BE36FB">
            <w:pPr>
              <w:pStyle w:val="ListBullet"/>
              <w:spacing w:before="80" w:after="80"/>
              <w:rPr>
                <w:rFonts w:cs="Arial"/>
                <w:szCs w:val="20"/>
              </w:rPr>
            </w:pPr>
            <w:r w:rsidRPr="009B7B35">
              <w:rPr>
                <w:rFonts w:cs="Arial"/>
                <w:szCs w:val="20"/>
              </w:rPr>
              <w:t>maintain a nature based focus or product</w:t>
            </w:r>
          </w:p>
          <w:p w14:paraId="7E3853B9" w14:textId="77777777" w:rsidR="00BE36FB" w:rsidRPr="009B7B35" w:rsidRDefault="00BE36FB" w:rsidP="00BE36FB">
            <w:pPr>
              <w:pStyle w:val="ListBullet"/>
              <w:spacing w:before="80" w:after="80"/>
              <w:rPr>
                <w:rFonts w:cs="Arial"/>
                <w:szCs w:val="20"/>
              </w:rPr>
            </w:pPr>
            <w:r w:rsidRPr="009B7B35">
              <w:rPr>
                <w:rFonts w:cs="Arial"/>
                <w:szCs w:val="20"/>
              </w:rPr>
              <w:t>promote environmental awareness, education and conservation</w:t>
            </w:r>
          </w:p>
          <w:p w14:paraId="51F0D578" w14:textId="77777777" w:rsidR="00BE36FB" w:rsidRPr="009B7B35" w:rsidRDefault="00BE36FB" w:rsidP="00BE36FB">
            <w:pPr>
              <w:pStyle w:val="ListBullet"/>
              <w:spacing w:before="80" w:after="80"/>
              <w:rPr>
                <w:rFonts w:cs="Arial"/>
                <w:szCs w:val="20"/>
              </w:rPr>
            </w:pPr>
            <w:r w:rsidRPr="009B7B35">
              <w:rPr>
                <w:rFonts w:cs="Arial"/>
                <w:szCs w:val="20"/>
              </w:rPr>
              <w:t>carry out sustainable practices.</w:t>
            </w:r>
          </w:p>
        </w:tc>
        <w:tc>
          <w:tcPr>
            <w:tcW w:w="2339" w:type="dxa"/>
          </w:tcPr>
          <w:p w14:paraId="1F3A40C6" w14:textId="77777777" w:rsidR="00BE36FB" w:rsidRPr="009B7B35" w:rsidRDefault="00BE36FB" w:rsidP="001A7107">
            <w:pPr>
              <w:pStyle w:val="TableText"/>
              <w:rPr>
                <w:rFonts w:cs="Arial"/>
              </w:rPr>
            </w:pPr>
            <w:r w:rsidRPr="009B7B35">
              <w:rPr>
                <w:rFonts w:cs="Arial"/>
              </w:rPr>
              <w:t>Environmentally responsible accommodation facilities including lodges, cabins, huts and tented camps</w:t>
            </w:r>
          </w:p>
        </w:tc>
        <w:tc>
          <w:tcPr>
            <w:tcW w:w="2339" w:type="dxa"/>
          </w:tcPr>
          <w:p w14:paraId="18D3C027" w14:textId="77777777" w:rsidR="00BE36FB" w:rsidRPr="009B7B35" w:rsidRDefault="00BE36FB" w:rsidP="001A7107">
            <w:pPr>
              <w:pStyle w:val="TableText"/>
              <w:rPr>
                <w:rFonts w:cs="Arial"/>
              </w:rPr>
            </w:pPr>
            <w:r w:rsidRPr="009B7B35">
              <w:rPr>
                <w:rFonts w:cs="Arial"/>
              </w:rPr>
              <w:t>Environment facility</w:t>
            </w:r>
          </w:p>
        </w:tc>
      </w:tr>
      <w:tr w:rsidR="00BE36FB" w:rsidRPr="009B7B35" w14:paraId="55761CE6" w14:textId="77777777" w:rsidTr="001A7107">
        <w:trPr>
          <w:cantSplit/>
        </w:trPr>
        <w:tc>
          <w:tcPr>
            <w:tcW w:w="1843" w:type="dxa"/>
          </w:tcPr>
          <w:p w14:paraId="45773FC0" w14:textId="77777777" w:rsidR="00BE36FB" w:rsidRPr="009B7B35" w:rsidRDefault="00BE36FB" w:rsidP="001A7107">
            <w:pPr>
              <w:pStyle w:val="TableText"/>
              <w:rPr>
                <w:rFonts w:cs="Arial"/>
              </w:rPr>
            </w:pPr>
            <w:r w:rsidRPr="009B7B35">
              <w:rPr>
                <w:rFonts w:cs="Arial"/>
              </w:rPr>
              <w:t>Nightclub entertainment facility</w:t>
            </w:r>
          </w:p>
        </w:tc>
        <w:tc>
          <w:tcPr>
            <w:tcW w:w="2835" w:type="dxa"/>
          </w:tcPr>
          <w:p w14:paraId="0AD5813E" w14:textId="77777777" w:rsidR="00BE36FB" w:rsidRPr="009B7B35" w:rsidRDefault="00BE36FB" w:rsidP="001A7107">
            <w:pPr>
              <w:pStyle w:val="TableText"/>
              <w:rPr>
                <w:rFonts w:cs="Arial"/>
              </w:rPr>
            </w:pPr>
            <w:r w:rsidRPr="009B7B35">
              <w:rPr>
                <w:rFonts w:cs="Arial"/>
              </w:rPr>
              <w:t>Premises used to provide entertainment, which may include cabaret, dancing and music. The use generally includes the sale of liquor and food for consumption on site.</w:t>
            </w:r>
          </w:p>
        </w:tc>
        <w:tc>
          <w:tcPr>
            <w:tcW w:w="2339" w:type="dxa"/>
          </w:tcPr>
          <w:p w14:paraId="3BCBEEDB" w14:textId="77777777" w:rsidR="00BE36FB" w:rsidRPr="009B7B35" w:rsidRDefault="00BE36FB" w:rsidP="001A7107">
            <w:pPr>
              <w:pStyle w:val="TableText"/>
              <w:rPr>
                <w:rFonts w:cs="Arial"/>
              </w:rPr>
            </w:pPr>
          </w:p>
        </w:tc>
        <w:tc>
          <w:tcPr>
            <w:tcW w:w="2339" w:type="dxa"/>
          </w:tcPr>
          <w:p w14:paraId="19971E67" w14:textId="77777777" w:rsidR="00BE36FB" w:rsidRPr="009B7B35" w:rsidRDefault="00BE36FB" w:rsidP="001A7107">
            <w:pPr>
              <w:pStyle w:val="TableText"/>
              <w:rPr>
                <w:rFonts w:cs="Arial"/>
              </w:rPr>
            </w:pPr>
            <w:r w:rsidRPr="009B7B35">
              <w:rPr>
                <w:rFonts w:cs="Arial"/>
              </w:rPr>
              <w:t>Club, hotel, tavern, pub, indoor sport and recreation, theatre, concert hall</w:t>
            </w:r>
          </w:p>
        </w:tc>
      </w:tr>
      <w:tr w:rsidR="00BE36FB" w:rsidRPr="009B7B35" w14:paraId="5D782507" w14:textId="77777777" w:rsidTr="001A7107">
        <w:tc>
          <w:tcPr>
            <w:tcW w:w="1843" w:type="dxa"/>
          </w:tcPr>
          <w:p w14:paraId="2F3F8856" w14:textId="77777777" w:rsidR="00BE36FB" w:rsidRPr="009B7B35" w:rsidRDefault="00BE36FB" w:rsidP="001A7107">
            <w:pPr>
              <w:pStyle w:val="TableText"/>
              <w:rPr>
                <w:rFonts w:cs="Arial"/>
              </w:rPr>
            </w:pPr>
            <w:r w:rsidRPr="009B7B35">
              <w:rPr>
                <w:rFonts w:cs="Arial"/>
              </w:rPr>
              <w:t>Non–resident workforce accommodation</w:t>
            </w:r>
          </w:p>
        </w:tc>
        <w:tc>
          <w:tcPr>
            <w:tcW w:w="2835" w:type="dxa"/>
          </w:tcPr>
          <w:p w14:paraId="335E0A7C" w14:textId="77777777" w:rsidR="00BE36FB" w:rsidRPr="009B7B35" w:rsidRDefault="00BE36FB" w:rsidP="001A7107">
            <w:pPr>
              <w:pStyle w:val="TableText"/>
              <w:rPr>
                <w:rFonts w:cs="Arial"/>
              </w:rPr>
            </w:pPr>
            <w:r w:rsidRPr="009B7B35">
              <w:rPr>
                <w:rFonts w:cs="Arial"/>
              </w:rPr>
              <w:t>Premises used to provide accommodation for non–resident workers. The use may include provision of recreational and entertainment facilities for the exclusive use of residents and their visitors.</w:t>
            </w:r>
          </w:p>
        </w:tc>
        <w:tc>
          <w:tcPr>
            <w:tcW w:w="2339" w:type="dxa"/>
          </w:tcPr>
          <w:p w14:paraId="39C4F636" w14:textId="77777777" w:rsidR="00BE36FB" w:rsidRPr="009B7B35" w:rsidRDefault="00BE36FB" w:rsidP="001A7107">
            <w:pPr>
              <w:pStyle w:val="TableText"/>
              <w:rPr>
                <w:rFonts w:cs="Arial"/>
              </w:rPr>
            </w:pPr>
            <w:r w:rsidRPr="009B7B35">
              <w:rPr>
                <w:rFonts w:cs="Arial"/>
              </w:rPr>
              <w:t>Contractor’s camp, construction camp, single person’s quarters, temporary workers’ accommodation</w:t>
            </w:r>
          </w:p>
        </w:tc>
        <w:tc>
          <w:tcPr>
            <w:tcW w:w="2339" w:type="dxa"/>
          </w:tcPr>
          <w:p w14:paraId="5426542D" w14:textId="77777777" w:rsidR="00BE36FB" w:rsidRPr="009B7B35" w:rsidRDefault="00BE36FB" w:rsidP="001A7107">
            <w:pPr>
              <w:pStyle w:val="TableText"/>
              <w:rPr>
                <w:rFonts w:cs="Arial"/>
              </w:rPr>
            </w:pPr>
            <w:r w:rsidRPr="009B7B35">
              <w:rPr>
                <w:rFonts w:cs="Arial"/>
              </w:rPr>
              <w:t>Relocatable home park, short–term accommodation, tourist park</w:t>
            </w:r>
          </w:p>
        </w:tc>
      </w:tr>
      <w:tr w:rsidR="00BE36FB" w:rsidRPr="009B7B35" w14:paraId="1AAE55C4" w14:textId="77777777" w:rsidTr="001A7107">
        <w:trPr>
          <w:trHeight w:val="3634"/>
        </w:trPr>
        <w:tc>
          <w:tcPr>
            <w:tcW w:w="1843" w:type="dxa"/>
          </w:tcPr>
          <w:p w14:paraId="65315FD9" w14:textId="77777777" w:rsidR="00BE36FB" w:rsidRPr="009B7B35" w:rsidRDefault="00BE36FB" w:rsidP="001A7107">
            <w:pPr>
              <w:pStyle w:val="TableText"/>
              <w:rPr>
                <w:rFonts w:cs="Arial"/>
              </w:rPr>
            </w:pPr>
            <w:r w:rsidRPr="009B7B35">
              <w:rPr>
                <w:rFonts w:cs="Arial"/>
              </w:rPr>
              <w:t>Office</w:t>
            </w:r>
          </w:p>
        </w:tc>
        <w:tc>
          <w:tcPr>
            <w:tcW w:w="2835" w:type="dxa"/>
          </w:tcPr>
          <w:p w14:paraId="3236EDA9" w14:textId="77777777" w:rsidR="00BE36FB" w:rsidRPr="009B7B35" w:rsidRDefault="00BE36FB" w:rsidP="001A7107">
            <w:pPr>
              <w:pStyle w:val="TableText"/>
              <w:rPr>
                <w:rFonts w:cs="Arial"/>
              </w:rPr>
            </w:pPr>
            <w:r w:rsidRPr="009B7B35">
              <w:rPr>
                <w:rFonts w:cs="Arial"/>
              </w:rPr>
              <w:t>Premises used for an administrative, secretarial or management service or the practice of a profession, where no goods or materials are made, sold or hired and where the principal activity provides for one or more of the following:</w:t>
            </w:r>
          </w:p>
          <w:p w14:paraId="00484078" w14:textId="77777777" w:rsidR="00BE36FB" w:rsidRPr="009B7B35" w:rsidRDefault="00BE36FB" w:rsidP="00BE36FB">
            <w:pPr>
              <w:pStyle w:val="ListBullet"/>
              <w:spacing w:before="80" w:after="80"/>
              <w:rPr>
                <w:rFonts w:cs="Arial"/>
                <w:szCs w:val="20"/>
              </w:rPr>
            </w:pPr>
            <w:r w:rsidRPr="009B7B35">
              <w:rPr>
                <w:rFonts w:cs="Arial"/>
                <w:szCs w:val="20"/>
              </w:rPr>
              <w:t>business or professional advice</w:t>
            </w:r>
          </w:p>
          <w:p w14:paraId="6EDDE76D" w14:textId="77777777" w:rsidR="00BE36FB" w:rsidRPr="009B7B35" w:rsidRDefault="00BE36FB" w:rsidP="00BE36FB">
            <w:pPr>
              <w:pStyle w:val="ListBullet"/>
              <w:spacing w:before="80" w:after="80"/>
              <w:rPr>
                <w:rFonts w:cs="Arial"/>
                <w:szCs w:val="20"/>
              </w:rPr>
            </w:pPr>
            <w:r w:rsidRPr="009B7B35">
              <w:rPr>
                <w:rFonts w:cs="Arial"/>
                <w:szCs w:val="20"/>
              </w:rPr>
              <w:t>service of goods that are not physically on the premises</w:t>
            </w:r>
          </w:p>
          <w:p w14:paraId="52042467" w14:textId="77777777" w:rsidR="00BE36FB" w:rsidRPr="009B7B35" w:rsidRDefault="00BE36FB" w:rsidP="00BE36FB">
            <w:pPr>
              <w:pStyle w:val="ListBullet"/>
              <w:spacing w:before="80" w:after="80"/>
              <w:rPr>
                <w:rFonts w:cs="Arial"/>
                <w:szCs w:val="20"/>
              </w:rPr>
            </w:pPr>
            <w:r w:rsidRPr="009B7B35">
              <w:rPr>
                <w:rFonts w:cs="Arial"/>
                <w:szCs w:val="20"/>
              </w:rPr>
              <w:t xml:space="preserve">office based administrative functions of an organisation. </w:t>
            </w:r>
          </w:p>
        </w:tc>
        <w:tc>
          <w:tcPr>
            <w:tcW w:w="2339" w:type="dxa"/>
          </w:tcPr>
          <w:p w14:paraId="03F5698D" w14:textId="77777777" w:rsidR="00BE36FB" w:rsidRPr="009B7B35" w:rsidRDefault="00BE36FB" w:rsidP="001A7107">
            <w:pPr>
              <w:pStyle w:val="TableText"/>
              <w:rPr>
                <w:rFonts w:cs="Arial"/>
              </w:rPr>
            </w:pPr>
            <w:r w:rsidRPr="009B7B35">
              <w:rPr>
                <w:rFonts w:cs="Arial"/>
              </w:rPr>
              <w:t>Bank, real estate agent, administration building</w:t>
            </w:r>
          </w:p>
        </w:tc>
        <w:tc>
          <w:tcPr>
            <w:tcW w:w="2339" w:type="dxa"/>
          </w:tcPr>
          <w:p w14:paraId="78DEE970" w14:textId="77777777" w:rsidR="00BE36FB" w:rsidRPr="009B7B35" w:rsidRDefault="00BE36FB" w:rsidP="001A7107">
            <w:pPr>
              <w:pStyle w:val="TableText"/>
              <w:rPr>
                <w:rFonts w:cs="Arial"/>
              </w:rPr>
            </w:pPr>
            <w:r w:rsidRPr="009B7B35">
              <w:rPr>
                <w:rFonts w:cs="Arial"/>
              </w:rPr>
              <w:t>Home based business, home office, shop, outdoor sales</w:t>
            </w:r>
          </w:p>
        </w:tc>
      </w:tr>
      <w:tr w:rsidR="00BE36FB" w:rsidRPr="009B7B35" w14:paraId="3483D094" w14:textId="77777777" w:rsidTr="001A7107">
        <w:trPr>
          <w:cantSplit/>
        </w:trPr>
        <w:tc>
          <w:tcPr>
            <w:tcW w:w="1843" w:type="dxa"/>
          </w:tcPr>
          <w:p w14:paraId="2D1CFF38" w14:textId="77777777" w:rsidR="00BE36FB" w:rsidRPr="009B7B35" w:rsidRDefault="00BE36FB" w:rsidP="001A7107">
            <w:pPr>
              <w:pStyle w:val="TableText"/>
              <w:rPr>
                <w:rFonts w:cs="Arial"/>
              </w:rPr>
            </w:pPr>
            <w:r w:rsidRPr="009B7B35">
              <w:rPr>
                <w:rFonts w:cs="Arial"/>
              </w:rPr>
              <w:t>Outdoor sales</w:t>
            </w:r>
          </w:p>
        </w:tc>
        <w:tc>
          <w:tcPr>
            <w:tcW w:w="2835" w:type="dxa"/>
          </w:tcPr>
          <w:p w14:paraId="4C77D7F7" w14:textId="77777777" w:rsidR="00BE36FB" w:rsidRPr="009B7B35" w:rsidRDefault="00BE36FB" w:rsidP="001A7107">
            <w:pPr>
              <w:pStyle w:val="TableText"/>
              <w:rPr>
                <w:rFonts w:cs="Arial"/>
              </w:rPr>
            </w:pPr>
            <w:r w:rsidRPr="009B7B35">
              <w:rPr>
                <w:rFonts w:cs="Arial"/>
              </w:rPr>
              <w:t>Premises used for the display, sale, hire or lease of products where the use is conducted wholly or predominantly outdoors and may include construction, industrial or farm plant and equipment, vehicles, boats and caravans. The use may include ancillary repair or servicing activities and sale or fitting of accessories.</w:t>
            </w:r>
          </w:p>
        </w:tc>
        <w:tc>
          <w:tcPr>
            <w:tcW w:w="2339" w:type="dxa"/>
          </w:tcPr>
          <w:p w14:paraId="2CA509A8" w14:textId="77777777" w:rsidR="00BE36FB" w:rsidRPr="009B7B35" w:rsidRDefault="00BE36FB" w:rsidP="001A7107">
            <w:pPr>
              <w:pStyle w:val="TableText"/>
              <w:rPr>
                <w:rFonts w:cs="Arial"/>
              </w:rPr>
            </w:pPr>
            <w:r w:rsidRPr="009B7B35">
              <w:rPr>
                <w:rFonts w:cs="Arial"/>
              </w:rPr>
              <w:t>Agricultural machinery sales yard, motor vehicles sales yard</w:t>
            </w:r>
          </w:p>
        </w:tc>
        <w:tc>
          <w:tcPr>
            <w:tcW w:w="2339" w:type="dxa"/>
          </w:tcPr>
          <w:p w14:paraId="52702D39" w14:textId="77777777" w:rsidR="00BE36FB" w:rsidRPr="009B7B35" w:rsidRDefault="00BE36FB" w:rsidP="001A7107">
            <w:pPr>
              <w:pStyle w:val="TableText"/>
              <w:rPr>
                <w:rFonts w:cs="Arial"/>
              </w:rPr>
            </w:pPr>
            <w:r w:rsidRPr="009B7B35">
              <w:rPr>
                <w:rFonts w:cs="Arial"/>
              </w:rPr>
              <w:t>Bulk landscape supplies, market</w:t>
            </w:r>
          </w:p>
        </w:tc>
      </w:tr>
      <w:tr w:rsidR="00BE36FB" w:rsidRPr="009B7B35" w14:paraId="7123A1D9" w14:textId="77777777" w:rsidTr="001A7107">
        <w:trPr>
          <w:cantSplit/>
        </w:trPr>
        <w:tc>
          <w:tcPr>
            <w:tcW w:w="1843" w:type="dxa"/>
          </w:tcPr>
          <w:p w14:paraId="3FE594AF" w14:textId="77777777" w:rsidR="00BE36FB" w:rsidRPr="009B7B35" w:rsidRDefault="00BE36FB" w:rsidP="001A7107">
            <w:pPr>
              <w:pStyle w:val="TableText"/>
              <w:rPr>
                <w:rFonts w:cs="Arial"/>
              </w:rPr>
            </w:pPr>
            <w:r w:rsidRPr="009B7B35">
              <w:rPr>
                <w:rFonts w:cs="Arial"/>
              </w:rPr>
              <w:t>Outdoor sport and recreation</w:t>
            </w:r>
          </w:p>
        </w:tc>
        <w:tc>
          <w:tcPr>
            <w:tcW w:w="2835" w:type="dxa"/>
          </w:tcPr>
          <w:p w14:paraId="6585CC06" w14:textId="77777777" w:rsidR="00BE36FB" w:rsidRPr="009B7B35" w:rsidRDefault="00BE36FB" w:rsidP="001A7107">
            <w:pPr>
              <w:pStyle w:val="TableText"/>
              <w:rPr>
                <w:rFonts w:cs="Arial"/>
              </w:rPr>
            </w:pPr>
            <w:r w:rsidRPr="009B7B35">
              <w:rPr>
                <w:rFonts w:cs="Arial"/>
              </w:rPr>
              <w:t>Premises used for a recreation or sport activity that is carried on outside a building and requires areas of open space and may include ancillary works necessary for safety and sustainability. The use may include ancillary food and drink outlet(s) and the provision of ancillary facilities or amenities conducted indoors such as changing rooms and storage facilities.</w:t>
            </w:r>
          </w:p>
        </w:tc>
        <w:tc>
          <w:tcPr>
            <w:tcW w:w="2339" w:type="dxa"/>
          </w:tcPr>
          <w:p w14:paraId="58F0E2D6" w14:textId="77777777" w:rsidR="00BE36FB" w:rsidRPr="009B7B35" w:rsidRDefault="00BE36FB" w:rsidP="001A7107">
            <w:pPr>
              <w:pStyle w:val="TableText"/>
              <w:rPr>
                <w:rFonts w:cs="Arial"/>
              </w:rPr>
            </w:pPr>
            <w:r w:rsidRPr="009B7B35">
              <w:rPr>
                <w:rFonts w:cs="Arial"/>
              </w:rPr>
              <w:t>Driving range, golf course, swimming pool, tennis courts, football ground, cricket oval</w:t>
            </w:r>
          </w:p>
        </w:tc>
        <w:tc>
          <w:tcPr>
            <w:tcW w:w="2339" w:type="dxa"/>
          </w:tcPr>
          <w:p w14:paraId="2C3B11B9" w14:textId="77777777" w:rsidR="00BE36FB" w:rsidRPr="009B7B35" w:rsidRDefault="00BE36FB" w:rsidP="001A7107">
            <w:pPr>
              <w:pStyle w:val="TableText"/>
              <w:rPr>
                <w:rFonts w:cs="Arial"/>
              </w:rPr>
            </w:pPr>
            <w:r w:rsidRPr="009B7B35">
              <w:rPr>
                <w:rFonts w:cs="Arial"/>
              </w:rPr>
              <w:t>Major sport, recreation and entertainment facility, motor sport, park, community use</w:t>
            </w:r>
          </w:p>
        </w:tc>
      </w:tr>
      <w:tr w:rsidR="00BE36FB" w:rsidRPr="009B7B35" w14:paraId="693FD6C8" w14:textId="77777777" w:rsidTr="001A7107">
        <w:trPr>
          <w:cantSplit/>
        </w:trPr>
        <w:tc>
          <w:tcPr>
            <w:tcW w:w="1843" w:type="dxa"/>
          </w:tcPr>
          <w:p w14:paraId="7F04F225" w14:textId="77777777" w:rsidR="00BE36FB" w:rsidRPr="009B7B35" w:rsidRDefault="00BE36FB" w:rsidP="001A7107">
            <w:pPr>
              <w:pStyle w:val="TableText"/>
              <w:rPr>
                <w:rFonts w:cs="Arial"/>
              </w:rPr>
            </w:pPr>
            <w:r w:rsidRPr="009B7B35">
              <w:rPr>
                <w:rFonts w:cs="Arial"/>
              </w:rPr>
              <w:t>Outstation</w:t>
            </w:r>
          </w:p>
        </w:tc>
        <w:tc>
          <w:tcPr>
            <w:tcW w:w="2835" w:type="dxa"/>
          </w:tcPr>
          <w:p w14:paraId="7BCA806E" w14:textId="77777777" w:rsidR="00BE36FB" w:rsidRPr="009B7B35" w:rsidRDefault="00BE36FB" w:rsidP="001A7107">
            <w:pPr>
              <w:pStyle w:val="TableText"/>
              <w:rPr>
                <w:rFonts w:cs="Arial"/>
              </w:rPr>
            </w:pPr>
            <w:r w:rsidRPr="009B7B35">
              <w:rPr>
                <w:rFonts w:cs="Arial"/>
              </w:rPr>
              <w:t>Premises used for cultural and/or recreational activities undertaken by Aboriginal and Torres Strait Islander people. The use provides for intermittent short stay and/or long term camping. The use may involve permanent low scale built infrastructure.</w:t>
            </w:r>
          </w:p>
        </w:tc>
        <w:tc>
          <w:tcPr>
            <w:tcW w:w="2339" w:type="dxa"/>
          </w:tcPr>
          <w:p w14:paraId="22ADFA11" w14:textId="77777777" w:rsidR="00BE36FB" w:rsidRPr="009B7B35" w:rsidRDefault="00BE36FB" w:rsidP="001A7107">
            <w:pPr>
              <w:pStyle w:val="TableText"/>
              <w:rPr>
                <w:rFonts w:cs="Arial"/>
              </w:rPr>
            </w:pPr>
            <w:r w:rsidRPr="009B7B35">
              <w:rPr>
                <w:rFonts w:cs="Arial"/>
              </w:rPr>
              <w:t>Indigenous camp site</w:t>
            </w:r>
          </w:p>
        </w:tc>
        <w:tc>
          <w:tcPr>
            <w:tcW w:w="2339" w:type="dxa"/>
          </w:tcPr>
          <w:p w14:paraId="075F2CA1" w14:textId="77777777" w:rsidR="00BE36FB" w:rsidRPr="009B7B35" w:rsidRDefault="00BE36FB" w:rsidP="001A7107">
            <w:pPr>
              <w:pStyle w:val="TableText"/>
              <w:rPr>
                <w:rFonts w:cs="Arial"/>
              </w:rPr>
            </w:pPr>
            <w:r w:rsidRPr="009B7B35">
              <w:rPr>
                <w:rFonts w:cs="Arial"/>
              </w:rPr>
              <w:t>Dwelling house, hostel, multiple dwelling, relocatable home park, short term accommodation, tourist park</w:t>
            </w:r>
          </w:p>
        </w:tc>
      </w:tr>
      <w:tr w:rsidR="00BE36FB" w:rsidRPr="009B7B35" w14:paraId="7764A928" w14:textId="77777777" w:rsidTr="001A7107">
        <w:trPr>
          <w:cantSplit/>
        </w:trPr>
        <w:tc>
          <w:tcPr>
            <w:tcW w:w="1843" w:type="dxa"/>
          </w:tcPr>
          <w:p w14:paraId="511F9CA2" w14:textId="77777777" w:rsidR="00BE36FB" w:rsidRPr="009B7B35" w:rsidRDefault="00BE36FB" w:rsidP="001A7107">
            <w:pPr>
              <w:pStyle w:val="TableText"/>
              <w:rPr>
                <w:rFonts w:cs="Arial"/>
              </w:rPr>
            </w:pPr>
            <w:r w:rsidRPr="009B7B35">
              <w:rPr>
                <w:rFonts w:cs="Arial"/>
              </w:rPr>
              <w:t>Park</w:t>
            </w:r>
          </w:p>
        </w:tc>
        <w:tc>
          <w:tcPr>
            <w:tcW w:w="2835" w:type="dxa"/>
          </w:tcPr>
          <w:p w14:paraId="44C8D4DC" w14:textId="77777777" w:rsidR="00BE36FB" w:rsidRPr="009B7B35" w:rsidRDefault="00BE36FB" w:rsidP="001A7107">
            <w:pPr>
              <w:pStyle w:val="TableText"/>
              <w:rPr>
                <w:rFonts w:cs="Arial"/>
              </w:rPr>
            </w:pPr>
            <w:r w:rsidRPr="009B7B35">
              <w:rPr>
                <w:rFonts w:cs="Arial"/>
              </w:rPr>
              <w:t>Premises accessible to the public generally for free sport, recreation and leisure, and may be used for community events or other community activities. Facilities may include children’s playground equipment, informal sports fields and ancillary vehicle parking and other public conveniences.</w:t>
            </w:r>
          </w:p>
        </w:tc>
        <w:tc>
          <w:tcPr>
            <w:tcW w:w="2339" w:type="dxa"/>
          </w:tcPr>
          <w:p w14:paraId="679AC5E0" w14:textId="77777777" w:rsidR="00BE36FB" w:rsidRPr="009B7B35" w:rsidRDefault="00BE36FB" w:rsidP="001A7107">
            <w:pPr>
              <w:pStyle w:val="TableText"/>
              <w:rPr>
                <w:rFonts w:cs="Arial"/>
              </w:rPr>
            </w:pPr>
            <w:r w:rsidRPr="009B7B35">
              <w:rPr>
                <w:rFonts w:cs="Arial"/>
              </w:rPr>
              <w:t>Urban common</w:t>
            </w:r>
          </w:p>
        </w:tc>
        <w:tc>
          <w:tcPr>
            <w:tcW w:w="2339" w:type="dxa"/>
          </w:tcPr>
          <w:p w14:paraId="37A606EE" w14:textId="77777777" w:rsidR="00BE36FB" w:rsidRPr="009B7B35" w:rsidRDefault="00BE36FB" w:rsidP="001A7107">
            <w:pPr>
              <w:pStyle w:val="TableText"/>
              <w:rPr>
                <w:rFonts w:cs="Arial"/>
              </w:rPr>
            </w:pPr>
            <w:r w:rsidRPr="009B7B35">
              <w:rPr>
                <w:rFonts w:cs="Arial"/>
              </w:rPr>
              <w:t>Tourist attraction, outdoor sport and recreation</w:t>
            </w:r>
          </w:p>
        </w:tc>
      </w:tr>
      <w:tr w:rsidR="00BE36FB" w:rsidRPr="009B7B35" w14:paraId="03661999" w14:textId="77777777" w:rsidTr="001A7107">
        <w:trPr>
          <w:cantSplit/>
        </w:trPr>
        <w:tc>
          <w:tcPr>
            <w:tcW w:w="1843" w:type="dxa"/>
          </w:tcPr>
          <w:p w14:paraId="6BBA556B" w14:textId="77777777" w:rsidR="00BE36FB" w:rsidRPr="009B7B35" w:rsidRDefault="00BE36FB" w:rsidP="001A7107">
            <w:pPr>
              <w:pStyle w:val="TableText"/>
              <w:rPr>
                <w:rFonts w:cs="Arial"/>
              </w:rPr>
            </w:pPr>
            <w:r w:rsidRPr="009B7B35">
              <w:rPr>
                <w:rFonts w:cs="Arial"/>
              </w:rPr>
              <w:t>Parking station</w:t>
            </w:r>
          </w:p>
        </w:tc>
        <w:tc>
          <w:tcPr>
            <w:tcW w:w="2835" w:type="dxa"/>
          </w:tcPr>
          <w:p w14:paraId="666BEDAB" w14:textId="77777777" w:rsidR="00BE36FB" w:rsidRPr="009B7B35" w:rsidRDefault="00BE36FB" w:rsidP="001A7107">
            <w:pPr>
              <w:pStyle w:val="TableText"/>
              <w:rPr>
                <w:rFonts w:cs="Arial"/>
              </w:rPr>
            </w:pPr>
            <w:r w:rsidRPr="009B7B35">
              <w:rPr>
                <w:rFonts w:cs="Arial"/>
              </w:rPr>
              <w:t>Premises used for parking vehicles where the parking is not ancillary to another use.</w:t>
            </w:r>
          </w:p>
        </w:tc>
        <w:tc>
          <w:tcPr>
            <w:tcW w:w="2339" w:type="dxa"/>
          </w:tcPr>
          <w:p w14:paraId="5589A671" w14:textId="77777777" w:rsidR="00BE36FB" w:rsidRPr="009B7B35" w:rsidRDefault="00BE36FB" w:rsidP="001A7107">
            <w:pPr>
              <w:pStyle w:val="TableText"/>
              <w:rPr>
                <w:rFonts w:cs="Arial"/>
              </w:rPr>
            </w:pPr>
            <w:r w:rsidRPr="009B7B35">
              <w:rPr>
                <w:rFonts w:cs="Arial"/>
              </w:rPr>
              <w:t>Car park, ‘park and ride’, bicycle parking</w:t>
            </w:r>
          </w:p>
        </w:tc>
        <w:tc>
          <w:tcPr>
            <w:tcW w:w="2339" w:type="dxa"/>
          </w:tcPr>
          <w:p w14:paraId="1CC3176B" w14:textId="77777777" w:rsidR="00BE36FB" w:rsidRPr="009B7B35" w:rsidRDefault="00BE36FB" w:rsidP="001A7107">
            <w:pPr>
              <w:pStyle w:val="TableText"/>
              <w:rPr>
                <w:rFonts w:cs="Arial"/>
              </w:rPr>
            </w:pPr>
          </w:p>
        </w:tc>
      </w:tr>
      <w:tr w:rsidR="00BE36FB" w:rsidRPr="009B7B35" w14:paraId="5DC80F6D" w14:textId="77777777" w:rsidTr="001A7107">
        <w:trPr>
          <w:cantSplit/>
        </w:trPr>
        <w:tc>
          <w:tcPr>
            <w:tcW w:w="1843" w:type="dxa"/>
          </w:tcPr>
          <w:p w14:paraId="7EF0BF1F" w14:textId="77777777" w:rsidR="00BE36FB" w:rsidRPr="009B7B35" w:rsidRDefault="00BE36FB" w:rsidP="001A7107">
            <w:pPr>
              <w:pStyle w:val="TableText"/>
              <w:rPr>
                <w:rFonts w:cs="Arial"/>
              </w:rPr>
            </w:pPr>
            <w:r w:rsidRPr="009B7B35">
              <w:rPr>
                <w:rFonts w:cs="Arial"/>
              </w:rPr>
              <w:t>Permanent plantation</w:t>
            </w:r>
          </w:p>
        </w:tc>
        <w:tc>
          <w:tcPr>
            <w:tcW w:w="2835" w:type="dxa"/>
          </w:tcPr>
          <w:p w14:paraId="74E0FF78" w14:textId="77777777" w:rsidR="00BE36FB" w:rsidRPr="009B7B35" w:rsidRDefault="00BE36FB" w:rsidP="001A7107">
            <w:pPr>
              <w:pStyle w:val="TableText"/>
              <w:rPr>
                <w:rFonts w:cs="Arial"/>
              </w:rPr>
            </w:pPr>
            <w:r w:rsidRPr="009B7B35">
              <w:rPr>
                <w:rFonts w:cs="Arial"/>
              </w:rPr>
              <w:t>Premises used for growing plants not intended to be harvested.</w:t>
            </w:r>
          </w:p>
        </w:tc>
        <w:tc>
          <w:tcPr>
            <w:tcW w:w="2339" w:type="dxa"/>
          </w:tcPr>
          <w:p w14:paraId="76B59E7E" w14:textId="77777777" w:rsidR="00BE36FB" w:rsidRPr="009B7B35" w:rsidRDefault="00BE36FB" w:rsidP="001A7107">
            <w:pPr>
              <w:pStyle w:val="TableText"/>
              <w:rPr>
                <w:rFonts w:cs="Arial"/>
              </w:rPr>
            </w:pPr>
            <w:r w:rsidRPr="009B7B35">
              <w:rPr>
                <w:rFonts w:cs="Arial"/>
              </w:rPr>
              <w:t>Permanent plantations for carbon sequestration, biodiversity or natural resource management</w:t>
            </w:r>
          </w:p>
        </w:tc>
        <w:tc>
          <w:tcPr>
            <w:tcW w:w="2339" w:type="dxa"/>
          </w:tcPr>
          <w:p w14:paraId="308E4A60" w14:textId="77777777" w:rsidR="00BE36FB" w:rsidRPr="009B7B35" w:rsidRDefault="00BE36FB" w:rsidP="001A7107">
            <w:pPr>
              <w:pStyle w:val="TableText"/>
              <w:rPr>
                <w:rFonts w:cs="Arial"/>
              </w:rPr>
            </w:pPr>
            <w:r w:rsidRPr="009B7B35">
              <w:rPr>
                <w:rFonts w:cs="Arial"/>
              </w:rPr>
              <w:t>Forestry for wood production, biofuel production</w:t>
            </w:r>
          </w:p>
        </w:tc>
      </w:tr>
      <w:tr w:rsidR="00BE36FB" w:rsidRPr="009B7B35" w14:paraId="4C137782" w14:textId="77777777" w:rsidTr="001A7107">
        <w:trPr>
          <w:cantSplit/>
        </w:trPr>
        <w:tc>
          <w:tcPr>
            <w:tcW w:w="1843" w:type="dxa"/>
          </w:tcPr>
          <w:p w14:paraId="5F04BE89" w14:textId="77777777" w:rsidR="00BE36FB" w:rsidRPr="009B7B35" w:rsidRDefault="00BE36FB" w:rsidP="001A7107">
            <w:pPr>
              <w:pStyle w:val="TableText"/>
              <w:rPr>
                <w:rFonts w:cs="Arial"/>
              </w:rPr>
            </w:pPr>
            <w:r w:rsidRPr="009B7B35">
              <w:rPr>
                <w:rFonts w:cs="Arial"/>
              </w:rPr>
              <w:t>Place of worship</w:t>
            </w:r>
          </w:p>
        </w:tc>
        <w:tc>
          <w:tcPr>
            <w:tcW w:w="2835" w:type="dxa"/>
          </w:tcPr>
          <w:p w14:paraId="540E63DC" w14:textId="77777777" w:rsidR="00BE36FB" w:rsidRPr="009B7B35" w:rsidRDefault="00BE36FB" w:rsidP="001A7107">
            <w:pPr>
              <w:pStyle w:val="TableText"/>
              <w:rPr>
                <w:rFonts w:cs="Arial"/>
              </w:rPr>
            </w:pPr>
            <w:r w:rsidRPr="009B7B35">
              <w:rPr>
                <w:rFonts w:cs="Arial"/>
              </w:rPr>
              <w:t>Premises used by an organised group for worship and religious activities. The use may include ancillary facilities for social, educational and associated charitable activities.</w:t>
            </w:r>
          </w:p>
        </w:tc>
        <w:tc>
          <w:tcPr>
            <w:tcW w:w="2339" w:type="dxa"/>
          </w:tcPr>
          <w:p w14:paraId="4719E3CF" w14:textId="77777777" w:rsidR="00BE36FB" w:rsidRPr="009B7B35" w:rsidRDefault="00BE36FB" w:rsidP="001A7107">
            <w:pPr>
              <w:pStyle w:val="TableText"/>
              <w:rPr>
                <w:rFonts w:cs="Arial"/>
              </w:rPr>
            </w:pPr>
            <w:r w:rsidRPr="009B7B35">
              <w:rPr>
                <w:rFonts w:cs="Arial"/>
              </w:rPr>
              <w:t>Church, chapel, mosque, synagogue, temple</w:t>
            </w:r>
          </w:p>
        </w:tc>
        <w:tc>
          <w:tcPr>
            <w:tcW w:w="2339" w:type="dxa"/>
          </w:tcPr>
          <w:p w14:paraId="474563D3" w14:textId="77777777" w:rsidR="00BE36FB" w:rsidRPr="009B7B35" w:rsidRDefault="00BE36FB" w:rsidP="001A7107">
            <w:pPr>
              <w:pStyle w:val="TableText"/>
              <w:rPr>
                <w:rFonts w:cs="Arial"/>
              </w:rPr>
            </w:pPr>
            <w:r w:rsidRPr="009B7B35">
              <w:rPr>
                <w:rFonts w:cs="Arial"/>
              </w:rPr>
              <w:t>Community use, child care centre, funeral parlour, crematorium</w:t>
            </w:r>
          </w:p>
        </w:tc>
      </w:tr>
      <w:tr w:rsidR="00BE36FB" w:rsidRPr="009B7B35" w14:paraId="5FF83F08" w14:textId="77777777" w:rsidTr="001A7107">
        <w:trPr>
          <w:cantSplit/>
        </w:trPr>
        <w:tc>
          <w:tcPr>
            <w:tcW w:w="1843" w:type="dxa"/>
          </w:tcPr>
          <w:p w14:paraId="21DC989C" w14:textId="77777777" w:rsidR="00BE36FB" w:rsidRPr="009B7B35" w:rsidRDefault="00BE36FB" w:rsidP="001A7107">
            <w:pPr>
              <w:pStyle w:val="TableText"/>
              <w:rPr>
                <w:rFonts w:cs="Arial"/>
              </w:rPr>
            </w:pPr>
            <w:r w:rsidRPr="009B7B35">
              <w:rPr>
                <w:rFonts w:cs="Arial"/>
              </w:rPr>
              <w:t>Port services</w:t>
            </w:r>
          </w:p>
        </w:tc>
        <w:tc>
          <w:tcPr>
            <w:tcW w:w="2835" w:type="dxa"/>
          </w:tcPr>
          <w:p w14:paraId="26D75F1B" w14:textId="77777777" w:rsidR="00BE36FB" w:rsidRPr="009B7B35" w:rsidRDefault="00BE36FB" w:rsidP="001A7107">
            <w:pPr>
              <w:pStyle w:val="TableText"/>
              <w:rPr>
                <w:rFonts w:cs="Arial"/>
              </w:rPr>
            </w:pPr>
            <w:r w:rsidRPr="009B7B35">
              <w:rPr>
                <w:rFonts w:cs="Arial"/>
              </w:rPr>
              <w:t>Premises used for the following:</w:t>
            </w:r>
          </w:p>
          <w:p w14:paraId="2F685EC2" w14:textId="77777777" w:rsidR="00BE36FB" w:rsidRPr="009B7B35" w:rsidRDefault="00BE36FB" w:rsidP="00BE36FB">
            <w:pPr>
              <w:pStyle w:val="ListBullet"/>
              <w:spacing w:before="80" w:after="80"/>
              <w:rPr>
                <w:rFonts w:cs="Arial"/>
                <w:szCs w:val="20"/>
              </w:rPr>
            </w:pPr>
            <w:r w:rsidRPr="009B7B35">
              <w:rPr>
                <w:rFonts w:cs="Arial"/>
                <w:szCs w:val="20"/>
              </w:rPr>
              <w:t>the arrival and departure of vessels</w:t>
            </w:r>
          </w:p>
          <w:p w14:paraId="52080B0C" w14:textId="77777777" w:rsidR="00BE36FB" w:rsidRPr="009B7B35" w:rsidRDefault="00BE36FB" w:rsidP="00BE36FB">
            <w:pPr>
              <w:pStyle w:val="ListBullet"/>
              <w:spacing w:before="80" w:after="80"/>
              <w:rPr>
                <w:rFonts w:cs="Arial"/>
                <w:szCs w:val="20"/>
              </w:rPr>
            </w:pPr>
            <w:r w:rsidRPr="009B7B35">
              <w:rPr>
                <w:rFonts w:cs="Arial"/>
                <w:szCs w:val="20"/>
              </w:rPr>
              <w:t>the movement of passengers or goods on or off vessels</w:t>
            </w:r>
          </w:p>
          <w:p w14:paraId="199CABA5" w14:textId="77777777" w:rsidR="00BE36FB" w:rsidRPr="009B7B35" w:rsidRDefault="00BE36FB" w:rsidP="00BE36FB">
            <w:pPr>
              <w:pStyle w:val="ListBullet"/>
              <w:spacing w:before="80" w:after="80"/>
              <w:rPr>
                <w:rFonts w:cs="Arial"/>
                <w:szCs w:val="20"/>
              </w:rPr>
            </w:pPr>
            <w:r w:rsidRPr="009B7B35">
              <w:rPr>
                <w:rFonts w:cs="Arial"/>
                <w:szCs w:val="20"/>
              </w:rPr>
              <w:t xml:space="preserve">any ancillary activities directly serving the needs of passengers and visitors or the housing, servicing, maintenance and repair of vessels. </w:t>
            </w:r>
          </w:p>
        </w:tc>
        <w:tc>
          <w:tcPr>
            <w:tcW w:w="2339" w:type="dxa"/>
          </w:tcPr>
          <w:p w14:paraId="2A719C14" w14:textId="77777777" w:rsidR="00BE36FB" w:rsidRPr="009B7B35" w:rsidRDefault="00BE36FB" w:rsidP="001A7107">
            <w:pPr>
              <w:pStyle w:val="TableText"/>
              <w:rPr>
                <w:rFonts w:cs="Arial"/>
              </w:rPr>
            </w:pPr>
            <w:r w:rsidRPr="009B7B35">
              <w:rPr>
                <w:rFonts w:cs="Arial"/>
              </w:rPr>
              <w:t>Marina, ferry terminal</w:t>
            </w:r>
          </w:p>
        </w:tc>
        <w:tc>
          <w:tcPr>
            <w:tcW w:w="2339" w:type="dxa"/>
          </w:tcPr>
          <w:p w14:paraId="637D7B83" w14:textId="77777777" w:rsidR="00BE36FB" w:rsidRPr="009B7B35" w:rsidRDefault="00BE36FB" w:rsidP="001A7107">
            <w:pPr>
              <w:pStyle w:val="TableText"/>
              <w:rPr>
                <w:rFonts w:cs="Arial"/>
              </w:rPr>
            </w:pPr>
            <w:r w:rsidRPr="009B7B35">
              <w:rPr>
                <w:rFonts w:cs="Arial"/>
              </w:rPr>
              <w:t>Landing</w:t>
            </w:r>
          </w:p>
        </w:tc>
      </w:tr>
      <w:tr w:rsidR="00BE36FB" w:rsidRPr="009B7B35" w14:paraId="7FE1E41C" w14:textId="77777777" w:rsidTr="001A7107">
        <w:trPr>
          <w:cantSplit/>
        </w:trPr>
        <w:tc>
          <w:tcPr>
            <w:tcW w:w="1843" w:type="dxa"/>
          </w:tcPr>
          <w:p w14:paraId="51970C11" w14:textId="77777777" w:rsidR="00BE36FB" w:rsidRPr="009B7B35" w:rsidRDefault="00BE36FB" w:rsidP="001A7107">
            <w:pPr>
              <w:pStyle w:val="TableText"/>
              <w:rPr>
                <w:rFonts w:cs="Arial"/>
              </w:rPr>
            </w:pPr>
            <w:r w:rsidRPr="009B7B35">
              <w:rPr>
                <w:rFonts w:cs="Arial"/>
              </w:rPr>
              <w:t>Relocatable home park</w:t>
            </w:r>
          </w:p>
        </w:tc>
        <w:tc>
          <w:tcPr>
            <w:tcW w:w="2835" w:type="dxa"/>
          </w:tcPr>
          <w:p w14:paraId="2AB6D32D" w14:textId="77777777" w:rsidR="00BE36FB" w:rsidRPr="009B7B35" w:rsidRDefault="00BE36FB" w:rsidP="001A7107">
            <w:pPr>
              <w:pStyle w:val="TableText"/>
              <w:rPr>
                <w:rFonts w:cs="Arial"/>
              </w:rPr>
            </w:pPr>
            <w:r w:rsidRPr="009B7B35">
              <w:rPr>
                <w:rFonts w:cs="Arial"/>
              </w:rPr>
              <w:t>Premises used for relocatable dwellings (whether they are permanently located or not) that provides long–term residential accommodation. The use may include a manager’s residence and office, ancillary food and drink outlet, kiosk, amenity buildings and the provision of recreation facilities for the exclusive use of residents.</w:t>
            </w:r>
          </w:p>
        </w:tc>
        <w:tc>
          <w:tcPr>
            <w:tcW w:w="2339" w:type="dxa"/>
          </w:tcPr>
          <w:p w14:paraId="42D02782" w14:textId="77777777" w:rsidR="00BE36FB" w:rsidRPr="009B7B35" w:rsidRDefault="00BE36FB" w:rsidP="001A7107">
            <w:pPr>
              <w:pStyle w:val="TableText"/>
              <w:rPr>
                <w:rFonts w:cs="Arial"/>
              </w:rPr>
            </w:pPr>
          </w:p>
        </w:tc>
        <w:tc>
          <w:tcPr>
            <w:tcW w:w="2339" w:type="dxa"/>
          </w:tcPr>
          <w:p w14:paraId="46888EFA" w14:textId="77777777" w:rsidR="00BE36FB" w:rsidRPr="009B7B35" w:rsidRDefault="00BE36FB" w:rsidP="001A7107">
            <w:pPr>
              <w:pStyle w:val="TableText"/>
              <w:rPr>
                <w:rFonts w:cs="Arial"/>
              </w:rPr>
            </w:pPr>
            <w:r w:rsidRPr="009B7B35">
              <w:rPr>
                <w:rFonts w:cs="Arial"/>
              </w:rPr>
              <w:t>Tourist park</w:t>
            </w:r>
          </w:p>
        </w:tc>
      </w:tr>
      <w:tr w:rsidR="00BE36FB" w:rsidRPr="009B7B35" w14:paraId="392BB8B8" w14:textId="77777777" w:rsidTr="001A7107">
        <w:trPr>
          <w:cantSplit/>
        </w:trPr>
        <w:tc>
          <w:tcPr>
            <w:tcW w:w="1843" w:type="dxa"/>
          </w:tcPr>
          <w:p w14:paraId="17F8F777" w14:textId="77777777" w:rsidR="00BE36FB" w:rsidRPr="009B7B35" w:rsidRDefault="00BE36FB" w:rsidP="001A7107">
            <w:pPr>
              <w:pStyle w:val="TableText"/>
              <w:rPr>
                <w:rFonts w:cs="Arial"/>
              </w:rPr>
            </w:pPr>
            <w:r w:rsidRPr="009B7B35">
              <w:rPr>
                <w:rFonts w:cs="Arial"/>
              </w:rPr>
              <w:t>Renewable energy facility</w:t>
            </w:r>
          </w:p>
        </w:tc>
        <w:tc>
          <w:tcPr>
            <w:tcW w:w="2835" w:type="dxa"/>
          </w:tcPr>
          <w:p w14:paraId="453A5C48" w14:textId="77777777" w:rsidR="00BE36FB" w:rsidRPr="009B7B35" w:rsidRDefault="00BE36FB" w:rsidP="001A7107">
            <w:pPr>
              <w:pStyle w:val="TableText"/>
              <w:rPr>
                <w:rFonts w:cs="Arial"/>
              </w:rPr>
            </w:pPr>
            <w:r w:rsidRPr="009B7B35">
              <w:rPr>
                <w:rFonts w:cs="Arial"/>
              </w:rPr>
              <w:t>Premises used for the generation of electricity or energy from renewable (naturally reoccurring) sources.</w:t>
            </w:r>
          </w:p>
        </w:tc>
        <w:tc>
          <w:tcPr>
            <w:tcW w:w="2339" w:type="dxa"/>
          </w:tcPr>
          <w:p w14:paraId="6AF31E01" w14:textId="77777777" w:rsidR="00BE36FB" w:rsidRPr="009B7B35" w:rsidRDefault="00BE36FB" w:rsidP="001A7107">
            <w:pPr>
              <w:pStyle w:val="TableText"/>
              <w:rPr>
                <w:rFonts w:cs="Arial"/>
              </w:rPr>
            </w:pPr>
            <w:r w:rsidRPr="009B7B35">
              <w:rPr>
                <w:rFonts w:cs="Arial"/>
              </w:rPr>
              <w:t>Solar farm, wind farm, tidal power</w:t>
            </w:r>
          </w:p>
        </w:tc>
        <w:tc>
          <w:tcPr>
            <w:tcW w:w="2339" w:type="dxa"/>
          </w:tcPr>
          <w:p w14:paraId="0BD30321" w14:textId="77777777" w:rsidR="00BE36FB" w:rsidRPr="009B7B35" w:rsidRDefault="00BE36FB" w:rsidP="001A7107">
            <w:pPr>
              <w:pStyle w:val="TableText"/>
              <w:rPr>
                <w:rFonts w:cs="Arial"/>
              </w:rPr>
            </w:pPr>
            <w:r w:rsidRPr="009B7B35">
              <w:rPr>
                <w:rFonts w:cs="Arial"/>
              </w:rPr>
              <w:t>Wind turbine or solar panels supplying energy to domestic or rural activities on the same site</w:t>
            </w:r>
          </w:p>
        </w:tc>
      </w:tr>
      <w:tr w:rsidR="00BE36FB" w:rsidRPr="009B7B35" w14:paraId="1529C1DA" w14:textId="77777777" w:rsidTr="001A7107">
        <w:trPr>
          <w:cantSplit/>
        </w:trPr>
        <w:tc>
          <w:tcPr>
            <w:tcW w:w="1843" w:type="dxa"/>
          </w:tcPr>
          <w:p w14:paraId="5D5A395E" w14:textId="77777777" w:rsidR="00BE36FB" w:rsidRPr="009B7B35" w:rsidRDefault="00BE36FB" w:rsidP="001A7107">
            <w:pPr>
              <w:pStyle w:val="TableText"/>
              <w:rPr>
                <w:rFonts w:cs="Arial"/>
              </w:rPr>
            </w:pPr>
            <w:r w:rsidRPr="009B7B35">
              <w:rPr>
                <w:rFonts w:cs="Arial"/>
              </w:rPr>
              <w:t>Research and technology industry</w:t>
            </w:r>
          </w:p>
        </w:tc>
        <w:tc>
          <w:tcPr>
            <w:tcW w:w="2835" w:type="dxa"/>
          </w:tcPr>
          <w:p w14:paraId="6957B2C6" w14:textId="77777777" w:rsidR="00BE36FB" w:rsidRPr="009B7B35" w:rsidRDefault="00BE36FB" w:rsidP="001A7107">
            <w:pPr>
              <w:pStyle w:val="TableText"/>
              <w:rPr>
                <w:rFonts w:cs="Arial"/>
              </w:rPr>
            </w:pPr>
            <w:r w:rsidRPr="009B7B35">
              <w:rPr>
                <w:rFonts w:cs="Arial"/>
              </w:rPr>
              <w:t>Premises used for innovative and emerging technological industries involved in research design, manufacture, assembly, testing, maintenance and storage of machinery, equipment and components. The use may include emerging industries such as energy, aerospace, and biotechnology.</w:t>
            </w:r>
          </w:p>
        </w:tc>
        <w:tc>
          <w:tcPr>
            <w:tcW w:w="2339" w:type="dxa"/>
          </w:tcPr>
          <w:p w14:paraId="647237C9" w14:textId="77777777" w:rsidR="00BE36FB" w:rsidRPr="009B7B35" w:rsidRDefault="00BE36FB" w:rsidP="001A7107">
            <w:pPr>
              <w:pStyle w:val="TableText"/>
              <w:rPr>
                <w:rFonts w:cs="Arial"/>
              </w:rPr>
            </w:pPr>
            <w:r w:rsidRPr="009B7B35">
              <w:rPr>
                <w:rFonts w:cs="Arial"/>
              </w:rPr>
              <w:t>Aeronautical engineering, computer component manufacturing, medical laboratories, computer server facility</w:t>
            </w:r>
          </w:p>
        </w:tc>
        <w:tc>
          <w:tcPr>
            <w:tcW w:w="2339" w:type="dxa"/>
          </w:tcPr>
          <w:p w14:paraId="0CD2FC67" w14:textId="77777777" w:rsidR="00BE36FB" w:rsidRPr="009B7B35" w:rsidRDefault="00BE36FB" w:rsidP="001A7107">
            <w:pPr>
              <w:pStyle w:val="TableText"/>
              <w:rPr>
                <w:rFonts w:cs="Arial"/>
              </w:rPr>
            </w:pPr>
          </w:p>
        </w:tc>
      </w:tr>
      <w:tr w:rsidR="00BE36FB" w:rsidRPr="009B7B35" w14:paraId="7FA5FE44" w14:textId="77777777" w:rsidTr="001A7107">
        <w:trPr>
          <w:cantSplit/>
        </w:trPr>
        <w:tc>
          <w:tcPr>
            <w:tcW w:w="1843" w:type="dxa"/>
          </w:tcPr>
          <w:p w14:paraId="7DFE9824" w14:textId="77777777" w:rsidR="00BE36FB" w:rsidRPr="009B7B35" w:rsidRDefault="00BE36FB" w:rsidP="001A7107">
            <w:pPr>
              <w:pStyle w:val="TableText"/>
              <w:rPr>
                <w:rFonts w:cs="Arial"/>
              </w:rPr>
            </w:pPr>
            <w:r w:rsidRPr="009B7B35">
              <w:rPr>
                <w:rFonts w:cs="Arial"/>
              </w:rPr>
              <w:t>Residential care facility</w:t>
            </w:r>
          </w:p>
        </w:tc>
        <w:tc>
          <w:tcPr>
            <w:tcW w:w="2835" w:type="dxa"/>
          </w:tcPr>
          <w:p w14:paraId="2B1F9604" w14:textId="77777777" w:rsidR="00BE36FB" w:rsidRPr="009B7B35" w:rsidRDefault="00BE36FB" w:rsidP="001A7107">
            <w:pPr>
              <w:pStyle w:val="TableText"/>
              <w:rPr>
                <w:rFonts w:cs="Arial"/>
              </w:rPr>
            </w:pPr>
            <w:r w:rsidRPr="009B7B35">
              <w:rPr>
                <w:rFonts w:cs="Arial"/>
              </w:rPr>
              <w:t>A residential use of premises for supervised accommodation where the use includes medical and other support facilities for residents who cannot live independently and require regular nursing or personal care.</w:t>
            </w:r>
          </w:p>
        </w:tc>
        <w:tc>
          <w:tcPr>
            <w:tcW w:w="2339" w:type="dxa"/>
          </w:tcPr>
          <w:p w14:paraId="75CAD185" w14:textId="77777777" w:rsidR="00BE36FB" w:rsidRPr="009B7B35" w:rsidRDefault="00BE36FB" w:rsidP="001A7107">
            <w:pPr>
              <w:pStyle w:val="TableText"/>
              <w:rPr>
                <w:rFonts w:cs="Arial"/>
              </w:rPr>
            </w:pPr>
            <w:r w:rsidRPr="009B7B35">
              <w:rPr>
                <w:rFonts w:cs="Arial"/>
              </w:rPr>
              <w:t xml:space="preserve">Convalescent home, nursing home </w:t>
            </w:r>
          </w:p>
        </w:tc>
        <w:tc>
          <w:tcPr>
            <w:tcW w:w="2339" w:type="dxa"/>
          </w:tcPr>
          <w:p w14:paraId="00D4D2C2" w14:textId="77777777" w:rsidR="00BE36FB" w:rsidRPr="009B7B35" w:rsidRDefault="00BE36FB" w:rsidP="001A7107">
            <w:pPr>
              <w:pStyle w:val="TableText"/>
              <w:rPr>
                <w:rFonts w:cs="Arial"/>
              </w:rPr>
            </w:pPr>
            <w:r w:rsidRPr="009B7B35">
              <w:rPr>
                <w:rFonts w:cs="Arial"/>
              </w:rPr>
              <w:t>Community residence, dwelling house, dual occupancy, hospital, multiple dwelling, retirement facility</w:t>
            </w:r>
          </w:p>
        </w:tc>
      </w:tr>
      <w:tr w:rsidR="00BE36FB" w:rsidRPr="009B7B35" w14:paraId="42538147" w14:textId="77777777" w:rsidTr="001A7107">
        <w:tc>
          <w:tcPr>
            <w:tcW w:w="1843" w:type="dxa"/>
          </w:tcPr>
          <w:p w14:paraId="1E1873D6" w14:textId="77777777" w:rsidR="00BE36FB" w:rsidRPr="009B7B35" w:rsidRDefault="00BE36FB" w:rsidP="001A7107">
            <w:pPr>
              <w:pStyle w:val="TableText"/>
              <w:rPr>
                <w:rFonts w:cs="Arial"/>
              </w:rPr>
            </w:pPr>
            <w:r w:rsidRPr="009B7B35">
              <w:rPr>
                <w:rFonts w:cs="Arial"/>
              </w:rPr>
              <w:t>Resort complex</w:t>
            </w:r>
          </w:p>
        </w:tc>
        <w:tc>
          <w:tcPr>
            <w:tcW w:w="2835" w:type="dxa"/>
          </w:tcPr>
          <w:p w14:paraId="2B20A4CC" w14:textId="77777777" w:rsidR="00BE36FB" w:rsidRPr="009B7B35" w:rsidRDefault="00BE36FB" w:rsidP="001A7107">
            <w:pPr>
              <w:pStyle w:val="TableText"/>
              <w:rPr>
                <w:rFonts w:cs="Arial"/>
              </w:rPr>
            </w:pPr>
            <w:r w:rsidRPr="009B7B35">
              <w:rPr>
                <w:rFonts w:cs="Arial"/>
              </w:rPr>
              <w:t>Premises used for tourist and visitor short–term accommodation that include integrated leisure facilities including:</w:t>
            </w:r>
          </w:p>
          <w:p w14:paraId="1E5EE799" w14:textId="77777777" w:rsidR="00BE36FB" w:rsidRPr="009B7B35" w:rsidRDefault="00BE36FB" w:rsidP="00BE36FB">
            <w:pPr>
              <w:pStyle w:val="ListBullet"/>
              <w:spacing w:before="80" w:after="80"/>
              <w:rPr>
                <w:rFonts w:cs="Arial"/>
                <w:szCs w:val="20"/>
              </w:rPr>
            </w:pPr>
            <w:r w:rsidRPr="009B7B35">
              <w:rPr>
                <w:rFonts w:cs="Arial"/>
                <w:szCs w:val="20"/>
              </w:rPr>
              <w:t>restaurants and bars</w:t>
            </w:r>
          </w:p>
          <w:p w14:paraId="39E7A8FB" w14:textId="77777777" w:rsidR="00BE36FB" w:rsidRPr="009B7B35" w:rsidRDefault="00BE36FB" w:rsidP="00BE36FB">
            <w:pPr>
              <w:pStyle w:val="ListBullet"/>
              <w:spacing w:before="80" w:after="80"/>
              <w:rPr>
                <w:rFonts w:cs="Arial"/>
                <w:szCs w:val="20"/>
              </w:rPr>
            </w:pPr>
            <w:r w:rsidRPr="009B7B35">
              <w:rPr>
                <w:rFonts w:cs="Arial"/>
                <w:szCs w:val="20"/>
              </w:rPr>
              <w:t>meeting and function facilities</w:t>
            </w:r>
          </w:p>
          <w:p w14:paraId="074A7B34" w14:textId="77777777" w:rsidR="00BE36FB" w:rsidRPr="009B7B35" w:rsidRDefault="00BE36FB" w:rsidP="00BE36FB">
            <w:pPr>
              <w:pStyle w:val="ListBullet"/>
              <w:spacing w:before="80" w:after="80"/>
              <w:rPr>
                <w:rFonts w:cs="Arial"/>
                <w:szCs w:val="20"/>
              </w:rPr>
            </w:pPr>
            <w:r w:rsidRPr="009B7B35">
              <w:rPr>
                <w:rFonts w:cs="Arial"/>
                <w:szCs w:val="20"/>
              </w:rPr>
              <w:t>sporting and fitness facilities</w:t>
            </w:r>
          </w:p>
          <w:p w14:paraId="4F654172" w14:textId="77777777" w:rsidR="00BE36FB" w:rsidRPr="009B7B35" w:rsidRDefault="00BE36FB" w:rsidP="00BE36FB">
            <w:pPr>
              <w:pStyle w:val="ListBullet"/>
              <w:spacing w:before="80" w:after="80"/>
              <w:rPr>
                <w:rFonts w:cs="Arial"/>
                <w:szCs w:val="20"/>
              </w:rPr>
            </w:pPr>
            <w:r w:rsidRPr="009B7B35">
              <w:rPr>
                <w:rFonts w:cs="Arial"/>
                <w:szCs w:val="20"/>
              </w:rPr>
              <w:t>staff accommodation</w:t>
            </w:r>
          </w:p>
          <w:p w14:paraId="7A8C9E28" w14:textId="77777777" w:rsidR="00BE36FB" w:rsidRPr="009B7B35" w:rsidRDefault="00BE36FB" w:rsidP="00BE36FB">
            <w:pPr>
              <w:pStyle w:val="ListBullet"/>
              <w:spacing w:before="80" w:after="80"/>
              <w:rPr>
                <w:rFonts w:cs="Arial"/>
                <w:szCs w:val="20"/>
              </w:rPr>
            </w:pPr>
            <w:r w:rsidRPr="009B7B35">
              <w:rPr>
                <w:rFonts w:cs="Arial"/>
                <w:szCs w:val="20"/>
              </w:rPr>
              <w:t>transport facilities directly associated with the tourist facility such as a ferry terminal and air services.</w:t>
            </w:r>
          </w:p>
        </w:tc>
        <w:tc>
          <w:tcPr>
            <w:tcW w:w="2339" w:type="dxa"/>
          </w:tcPr>
          <w:p w14:paraId="7F9C6C5F" w14:textId="77777777" w:rsidR="00BE36FB" w:rsidRPr="009B7B35" w:rsidRDefault="00BE36FB" w:rsidP="001A7107">
            <w:pPr>
              <w:pStyle w:val="TableText"/>
              <w:rPr>
                <w:rFonts w:cs="Arial"/>
              </w:rPr>
            </w:pPr>
            <w:r w:rsidRPr="009B7B35">
              <w:rPr>
                <w:rFonts w:cs="Arial"/>
              </w:rPr>
              <w:t xml:space="preserve">Island resort </w:t>
            </w:r>
          </w:p>
        </w:tc>
        <w:tc>
          <w:tcPr>
            <w:tcW w:w="2339" w:type="dxa"/>
          </w:tcPr>
          <w:p w14:paraId="2EF684DB" w14:textId="77777777" w:rsidR="00BE36FB" w:rsidRPr="009B7B35" w:rsidRDefault="00BE36FB" w:rsidP="001A7107">
            <w:pPr>
              <w:pStyle w:val="TableText"/>
              <w:rPr>
                <w:rFonts w:cs="Arial"/>
              </w:rPr>
            </w:pPr>
          </w:p>
        </w:tc>
      </w:tr>
      <w:tr w:rsidR="00BE36FB" w:rsidRPr="009B7B35" w14:paraId="3A945E1F" w14:textId="77777777" w:rsidTr="001A7107">
        <w:tc>
          <w:tcPr>
            <w:tcW w:w="1843" w:type="dxa"/>
          </w:tcPr>
          <w:p w14:paraId="189351B8" w14:textId="77777777" w:rsidR="00BE36FB" w:rsidRPr="009B7B35" w:rsidRDefault="00BE36FB" w:rsidP="001A7107">
            <w:pPr>
              <w:pStyle w:val="TableText"/>
              <w:rPr>
                <w:rFonts w:cs="Arial"/>
              </w:rPr>
            </w:pPr>
            <w:r w:rsidRPr="009B7B35">
              <w:rPr>
                <w:rFonts w:cs="Arial"/>
              </w:rPr>
              <w:t>Retirement facility</w:t>
            </w:r>
          </w:p>
        </w:tc>
        <w:tc>
          <w:tcPr>
            <w:tcW w:w="2835" w:type="dxa"/>
          </w:tcPr>
          <w:p w14:paraId="66B2B9E9" w14:textId="77777777" w:rsidR="00BE36FB" w:rsidRPr="009B7B35" w:rsidRDefault="00BE36FB" w:rsidP="001A7107">
            <w:pPr>
              <w:pStyle w:val="TableText"/>
              <w:rPr>
                <w:rFonts w:cs="Arial"/>
              </w:rPr>
            </w:pPr>
            <w:r w:rsidRPr="009B7B35">
              <w:rPr>
                <w:rFonts w:cs="Arial"/>
              </w:rPr>
              <w:t>A residential use of premises for an integrated community and specifically built and designed for older people. The use includes independent living units and may include serviced units where residents require some support with health care and daily living needs. The use may also include a manager’s residence and office, food and drink outlet, amenity buildings, communal facilities and accommodation for staff.</w:t>
            </w:r>
          </w:p>
        </w:tc>
        <w:tc>
          <w:tcPr>
            <w:tcW w:w="2339" w:type="dxa"/>
          </w:tcPr>
          <w:p w14:paraId="71931714" w14:textId="77777777" w:rsidR="00BE36FB" w:rsidRPr="009B7B35" w:rsidRDefault="00BE36FB" w:rsidP="001A7107">
            <w:pPr>
              <w:pStyle w:val="TableText"/>
              <w:rPr>
                <w:rFonts w:cs="Arial"/>
              </w:rPr>
            </w:pPr>
            <w:r w:rsidRPr="009B7B35">
              <w:rPr>
                <w:rFonts w:cs="Arial"/>
              </w:rPr>
              <w:t>Retirement village</w:t>
            </w:r>
          </w:p>
        </w:tc>
        <w:tc>
          <w:tcPr>
            <w:tcW w:w="2339" w:type="dxa"/>
          </w:tcPr>
          <w:p w14:paraId="32E948A3" w14:textId="77777777" w:rsidR="00BE36FB" w:rsidRPr="009B7B35" w:rsidRDefault="00BE36FB" w:rsidP="001A7107">
            <w:pPr>
              <w:pStyle w:val="TableText"/>
              <w:rPr>
                <w:rFonts w:cs="Arial"/>
              </w:rPr>
            </w:pPr>
            <w:r w:rsidRPr="009B7B35">
              <w:rPr>
                <w:rFonts w:cs="Arial"/>
              </w:rPr>
              <w:t>Residential care facility</w:t>
            </w:r>
          </w:p>
        </w:tc>
      </w:tr>
      <w:tr w:rsidR="00BE36FB" w:rsidRPr="009B7B35" w14:paraId="3991FC1C" w14:textId="77777777" w:rsidTr="001A7107">
        <w:trPr>
          <w:cantSplit/>
        </w:trPr>
        <w:tc>
          <w:tcPr>
            <w:tcW w:w="1843" w:type="dxa"/>
          </w:tcPr>
          <w:p w14:paraId="68EB9AFC" w14:textId="77777777" w:rsidR="00BE36FB" w:rsidRPr="009B7B35" w:rsidRDefault="00BE36FB" w:rsidP="001A7107">
            <w:pPr>
              <w:pStyle w:val="TableText"/>
              <w:rPr>
                <w:rFonts w:cs="Arial"/>
              </w:rPr>
            </w:pPr>
            <w:r w:rsidRPr="009B7B35">
              <w:rPr>
                <w:rFonts w:cs="Arial"/>
              </w:rPr>
              <w:t>Roadside stall</w:t>
            </w:r>
          </w:p>
        </w:tc>
        <w:tc>
          <w:tcPr>
            <w:tcW w:w="2835" w:type="dxa"/>
          </w:tcPr>
          <w:p w14:paraId="31A59994" w14:textId="77777777" w:rsidR="00BE36FB" w:rsidRPr="009B7B35" w:rsidRDefault="00BE36FB" w:rsidP="001A7107">
            <w:pPr>
              <w:pStyle w:val="TableText"/>
              <w:rPr>
                <w:rFonts w:cs="Arial"/>
              </w:rPr>
            </w:pPr>
            <w:r w:rsidRPr="009B7B35">
              <w:rPr>
                <w:rFonts w:cs="Arial"/>
              </w:rPr>
              <w:t>Premises used for the roadside display and sale of goods in rural areas.</w:t>
            </w:r>
          </w:p>
        </w:tc>
        <w:tc>
          <w:tcPr>
            <w:tcW w:w="2339" w:type="dxa"/>
          </w:tcPr>
          <w:p w14:paraId="3901890D" w14:textId="77777777" w:rsidR="00BE36FB" w:rsidRPr="009B7B35" w:rsidRDefault="00BE36FB" w:rsidP="001A7107">
            <w:pPr>
              <w:pStyle w:val="TableText"/>
              <w:rPr>
                <w:rFonts w:cs="Arial"/>
              </w:rPr>
            </w:pPr>
            <w:r w:rsidRPr="009B7B35">
              <w:rPr>
                <w:rFonts w:cs="Arial"/>
              </w:rPr>
              <w:t>Produce stall</w:t>
            </w:r>
          </w:p>
        </w:tc>
        <w:tc>
          <w:tcPr>
            <w:tcW w:w="2339" w:type="dxa"/>
          </w:tcPr>
          <w:p w14:paraId="0AF379BD" w14:textId="77777777" w:rsidR="00BE36FB" w:rsidRPr="009B7B35" w:rsidRDefault="00BE36FB" w:rsidP="001A7107">
            <w:pPr>
              <w:pStyle w:val="TableText"/>
              <w:rPr>
                <w:rFonts w:cs="Arial"/>
              </w:rPr>
            </w:pPr>
            <w:r w:rsidRPr="009B7B35">
              <w:rPr>
                <w:rFonts w:cs="Arial"/>
              </w:rPr>
              <w:t>Market</w:t>
            </w:r>
          </w:p>
        </w:tc>
      </w:tr>
      <w:tr w:rsidR="00BE36FB" w:rsidRPr="009B7B35" w14:paraId="0DF711CE" w14:textId="77777777" w:rsidTr="001A7107">
        <w:trPr>
          <w:cantSplit/>
        </w:trPr>
        <w:tc>
          <w:tcPr>
            <w:tcW w:w="1843" w:type="dxa"/>
          </w:tcPr>
          <w:p w14:paraId="30819DB5" w14:textId="77777777" w:rsidR="00BE36FB" w:rsidRPr="009B7B35" w:rsidRDefault="00BE36FB" w:rsidP="001A7107">
            <w:pPr>
              <w:pStyle w:val="TableText"/>
              <w:rPr>
                <w:rFonts w:cs="Arial"/>
              </w:rPr>
            </w:pPr>
            <w:r w:rsidRPr="009B7B35">
              <w:rPr>
                <w:rFonts w:cs="Arial"/>
              </w:rPr>
              <w:t>Rooming accommodation</w:t>
            </w:r>
          </w:p>
        </w:tc>
        <w:tc>
          <w:tcPr>
            <w:tcW w:w="2835" w:type="dxa"/>
          </w:tcPr>
          <w:p w14:paraId="778BF2EE" w14:textId="77777777" w:rsidR="00BE36FB" w:rsidRPr="009B7B35" w:rsidRDefault="00BE36FB" w:rsidP="001A7107">
            <w:pPr>
              <w:pStyle w:val="TableText"/>
              <w:rPr>
                <w:rFonts w:cs="Arial"/>
              </w:rPr>
            </w:pPr>
            <w:r w:rsidRPr="009B7B35">
              <w:rPr>
                <w:rFonts w:cs="Arial"/>
              </w:rPr>
              <w:t>Premises used for the accommodation of one or more households where each resident:</w:t>
            </w:r>
          </w:p>
          <w:p w14:paraId="4EF38DEB" w14:textId="77777777" w:rsidR="00BE36FB" w:rsidRPr="009B7B35" w:rsidRDefault="00BE36FB" w:rsidP="00BE36FB">
            <w:pPr>
              <w:pStyle w:val="ListBullet"/>
              <w:spacing w:before="80" w:after="80"/>
              <w:rPr>
                <w:rFonts w:cs="Arial"/>
                <w:szCs w:val="20"/>
              </w:rPr>
            </w:pPr>
            <w:r w:rsidRPr="009B7B35">
              <w:rPr>
                <w:rFonts w:cs="Arial"/>
                <w:szCs w:val="20"/>
              </w:rPr>
              <w:t>has a right to occupy one or more rooms</w:t>
            </w:r>
          </w:p>
          <w:p w14:paraId="70985B24" w14:textId="77777777" w:rsidR="00BE36FB" w:rsidRPr="009B7B35" w:rsidRDefault="00BE36FB" w:rsidP="00BE36FB">
            <w:pPr>
              <w:pStyle w:val="ListBullet"/>
              <w:spacing w:before="80" w:after="80"/>
              <w:rPr>
                <w:rFonts w:cs="Arial"/>
                <w:szCs w:val="20"/>
              </w:rPr>
            </w:pPr>
            <w:r w:rsidRPr="009B7B35">
              <w:rPr>
                <w:rFonts w:cs="Arial"/>
                <w:szCs w:val="20"/>
              </w:rPr>
              <w:t>does not have a right to occupy the whole of the premises in which the rooms are situated</w:t>
            </w:r>
          </w:p>
          <w:p w14:paraId="1FED6E10" w14:textId="77777777" w:rsidR="00BE36FB" w:rsidRPr="009B7B35" w:rsidRDefault="00BE36FB" w:rsidP="00BE36FB">
            <w:pPr>
              <w:pStyle w:val="ListBullet"/>
              <w:spacing w:before="80" w:after="80"/>
              <w:rPr>
                <w:rFonts w:cs="Arial"/>
                <w:szCs w:val="20"/>
              </w:rPr>
            </w:pPr>
            <w:r w:rsidRPr="009B7B35">
              <w:rPr>
                <w:rFonts w:cs="Arial"/>
                <w:szCs w:val="20"/>
              </w:rPr>
              <w:t>may be provided with separate facilities for private use</w:t>
            </w:r>
          </w:p>
          <w:p w14:paraId="72A42A8F" w14:textId="77777777" w:rsidR="00BE36FB" w:rsidRPr="009B7B35" w:rsidRDefault="00BE36FB" w:rsidP="00BE36FB">
            <w:pPr>
              <w:pStyle w:val="ListBullet"/>
              <w:spacing w:before="80" w:after="80"/>
              <w:rPr>
                <w:rFonts w:cs="Arial"/>
                <w:szCs w:val="20"/>
              </w:rPr>
            </w:pPr>
            <w:r w:rsidRPr="009B7B35">
              <w:rPr>
                <w:rFonts w:cs="Arial"/>
                <w:szCs w:val="20"/>
              </w:rPr>
              <w:t>may share communal facilities or communal space with one or more of the other residents.</w:t>
            </w:r>
          </w:p>
          <w:p w14:paraId="1F01AC7B" w14:textId="77777777" w:rsidR="00BE36FB" w:rsidRPr="009B7B35" w:rsidRDefault="00BE36FB" w:rsidP="001A7107">
            <w:pPr>
              <w:pStyle w:val="TableText"/>
              <w:rPr>
                <w:rFonts w:cs="Arial"/>
              </w:rPr>
            </w:pPr>
            <w:r w:rsidRPr="009B7B35">
              <w:rPr>
                <w:rFonts w:cs="Arial"/>
              </w:rPr>
              <w:t>The use may include:</w:t>
            </w:r>
          </w:p>
          <w:p w14:paraId="1E42C054" w14:textId="77777777" w:rsidR="00BE36FB" w:rsidRPr="009B7B35" w:rsidRDefault="00BE36FB" w:rsidP="00BE36FB">
            <w:pPr>
              <w:pStyle w:val="ListBullet"/>
              <w:spacing w:before="80" w:after="80"/>
              <w:rPr>
                <w:rFonts w:cs="Arial"/>
                <w:szCs w:val="20"/>
              </w:rPr>
            </w:pPr>
            <w:r w:rsidRPr="009B7B35">
              <w:rPr>
                <w:rFonts w:cs="Arial"/>
                <w:szCs w:val="20"/>
              </w:rPr>
              <w:t>rooms not in the same building on site</w:t>
            </w:r>
          </w:p>
          <w:p w14:paraId="01D92199" w14:textId="77777777" w:rsidR="00BE36FB" w:rsidRPr="009B7B35" w:rsidRDefault="00BE36FB" w:rsidP="00BE36FB">
            <w:pPr>
              <w:pStyle w:val="ListBullet"/>
              <w:spacing w:before="80" w:after="80"/>
              <w:rPr>
                <w:rFonts w:cs="Arial"/>
                <w:szCs w:val="20"/>
              </w:rPr>
            </w:pPr>
            <w:r w:rsidRPr="009B7B35">
              <w:rPr>
                <w:rFonts w:cs="Arial"/>
                <w:szCs w:val="20"/>
              </w:rPr>
              <w:t xml:space="preserve">provision of a food or other service </w:t>
            </w:r>
          </w:p>
          <w:p w14:paraId="01EA9E36" w14:textId="77777777" w:rsidR="00BE36FB" w:rsidRPr="009B7B35" w:rsidRDefault="00BE36FB" w:rsidP="00BE36FB">
            <w:pPr>
              <w:pStyle w:val="ListBullet"/>
              <w:spacing w:before="80" w:after="80"/>
              <w:rPr>
                <w:rFonts w:cs="Arial"/>
                <w:szCs w:val="20"/>
              </w:rPr>
            </w:pPr>
            <w:r w:rsidRPr="009B7B35">
              <w:rPr>
                <w:rFonts w:cs="Arial"/>
                <w:szCs w:val="20"/>
              </w:rPr>
              <w:t>on site management or staff and associated accommodation.</w:t>
            </w:r>
          </w:p>
          <w:p w14:paraId="20C436DE" w14:textId="77777777" w:rsidR="00BE36FB" w:rsidRPr="009B7B35" w:rsidRDefault="00BE36FB" w:rsidP="001A7107">
            <w:pPr>
              <w:autoSpaceDE w:val="0"/>
              <w:autoSpaceDN w:val="0"/>
              <w:adjustRightInd w:val="0"/>
              <w:rPr>
                <w:rFonts w:cs="Arial"/>
                <w:i/>
                <w:iCs/>
                <w:sz w:val="20"/>
                <w:szCs w:val="20"/>
              </w:rPr>
            </w:pPr>
            <w:r w:rsidRPr="009B7B35">
              <w:rPr>
                <w:rFonts w:cs="Arial"/>
                <w:sz w:val="20"/>
                <w:szCs w:val="20"/>
              </w:rPr>
              <w:t xml:space="preserve">Facilities includes furniture and equipment as defined in the </w:t>
            </w:r>
            <w:r w:rsidRPr="009B7B35">
              <w:rPr>
                <w:rFonts w:cs="Arial"/>
                <w:i/>
                <w:iCs/>
                <w:sz w:val="20"/>
                <w:szCs w:val="20"/>
              </w:rPr>
              <w:t>Residential Tenancies and</w:t>
            </w:r>
          </w:p>
          <w:p w14:paraId="2279A46F" w14:textId="77777777" w:rsidR="00BE36FB" w:rsidRPr="009B7B35" w:rsidRDefault="00BE36FB" w:rsidP="001A7107">
            <w:pPr>
              <w:autoSpaceDE w:val="0"/>
              <w:autoSpaceDN w:val="0"/>
              <w:adjustRightInd w:val="0"/>
              <w:rPr>
                <w:rFonts w:cs="Arial"/>
                <w:i/>
                <w:iCs/>
                <w:sz w:val="20"/>
                <w:szCs w:val="20"/>
              </w:rPr>
            </w:pPr>
            <w:r w:rsidRPr="009B7B35">
              <w:rPr>
                <w:rFonts w:cs="Arial"/>
                <w:i/>
                <w:iCs/>
                <w:sz w:val="20"/>
                <w:szCs w:val="20"/>
              </w:rPr>
              <w:t>Rooming Accommodation Act</w:t>
            </w:r>
          </w:p>
          <w:p w14:paraId="2FA5F497" w14:textId="77777777" w:rsidR="00BE36FB" w:rsidRPr="009B7B35" w:rsidRDefault="00BE36FB" w:rsidP="001A7107">
            <w:pPr>
              <w:pStyle w:val="ListBullet"/>
              <w:numPr>
                <w:ilvl w:val="0"/>
                <w:numId w:val="0"/>
              </w:numPr>
              <w:tabs>
                <w:tab w:val="clear" w:pos="284"/>
                <w:tab w:val="left" w:pos="0"/>
              </w:tabs>
              <w:rPr>
                <w:rFonts w:cs="Arial"/>
                <w:szCs w:val="20"/>
              </w:rPr>
            </w:pPr>
            <w:r w:rsidRPr="009B7B35">
              <w:rPr>
                <w:rFonts w:cs="Arial"/>
                <w:i/>
                <w:iCs/>
                <w:szCs w:val="20"/>
              </w:rPr>
              <w:t>2008</w:t>
            </w:r>
          </w:p>
        </w:tc>
        <w:tc>
          <w:tcPr>
            <w:tcW w:w="2339" w:type="dxa"/>
          </w:tcPr>
          <w:p w14:paraId="0CA51C86" w14:textId="77777777" w:rsidR="00BE36FB" w:rsidRPr="009B7B35" w:rsidRDefault="00BE36FB" w:rsidP="001A7107">
            <w:pPr>
              <w:pStyle w:val="TableText"/>
              <w:rPr>
                <w:rFonts w:cs="Arial"/>
              </w:rPr>
            </w:pPr>
            <w:r w:rsidRPr="009B7B35">
              <w:rPr>
                <w:rFonts w:cs="Arial"/>
              </w:rPr>
              <w:t>Boarding house, hostel, monastery, off–site student accommodation</w:t>
            </w:r>
          </w:p>
        </w:tc>
        <w:tc>
          <w:tcPr>
            <w:tcW w:w="2339" w:type="dxa"/>
          </w:tcPr>
          <w:p w14:paraId="35440816" w14:textId="77777777" w:rsidR="00BE36FB" w:rsidRPr="009B7B35" w:rsidRDefault="00BE36FB" w:rsidP="001A7107">
            <w:pPr>
              <w:pStyle w:val="TableText"/>
              <w:rPr>
                <w:rFonts w:cs="Arial"/>
              </w:rPr>
            </w:pPr>
            <w:r w:rsidRPr="009B7B35">
              <w:rPr>
                <w:rFonts w:cs="Arial"/>
              </w:rPr>
              <w:t>Hospice, community residence, dwelling house, short–term accommodation, multiple dwelling</w:t>
            </w:r>
          </w:p>
        </w:tc>
      </w:tr>
      <w:tr w:rsidR="00BE36FB" w:rsidRPr="009B7B35" w14:paraId="322E14BD" w14:textId="77777777" w:rsidTr="001A7107">
        <w:trPr>
          <w:cantSplit/>
        </w:trPr>
        <w:tc>
          <w:tcPr>
            <w:tcW w:w="1843" w:type="dxa"/>
          </w:tcPr>
          <w:p w14:paraId="5A72CF32" w14:textId="77777777" w:rsidR="00BE36FB" w:rsidRPr="009B7B35" w:rsidRDefault="00BE36FB" w:rsidP="001A7107">
            <w:pPr>
              <w:pStyle w:val="TableText"/>
              <w:rPr>
                <w:rFonts w:cs="Arial"/>
              </w:rPr>
            </w:pPr>
            <w:r w:rsidRPr="009B7B35">
              <w:rPr>
                <w:rFonts w:cs="Arial"/>
              </w:rPr>
              <w:t>Rural industry</w:t>
            </w:r>
          </w:p>
        </w:tc>
        <w:tc>
          <w:tcPr>
            <w:tcW w:w="2835" w:type="dxa"/>
          </w:tcPr>
          <w:p w14:paraId="01839652" w14:textId="77777777" w:rsidR="00BE36FB" w:rsidRPr="009B7B35" w:rsidRDefault="00BE36FB" w:rsidP="001A7107">
            <w:pPr>
              <w:pStyle w:val="TableText"/>
              <w:rPr>
                <w:rFonts w:cs="Arial"/>
              </w:rPr>
            </w:pPr>
            <w:r w:rsidRPr="009B7B35">
              <w:rPr>
                <w:rFonts w:cs="Arial"/>
              </w:rPr>
              <w:t>Premises used for storage, processing and packaging of products from a rural use. The use includes processing, packaging and sale of products produced as a result of a rural use where these activities are ancillary to a rural use on or adjacent to the site.</w:t>
            </w:r>
          </w:p>
        </w:tc>
        <w:tc>
          <w:tcPr>
            <w:tcW w:w="2339" w:type="dxa"/>
          </w:tcPr>
          <w:p w14:paraId="302A8382" w14:textId="77777777" w:rsidR="00BE36FB" w:rsidRPr="009B7B35" w:rsidRDefault="00BE36FB" w:rsidP="001A7107">
            <w:pPr>
              <w:pStyle w:val="TableText"/>
              <w:rPr>
                <w:rFonts w:cs="Arial"/>
              </w:rPr>
            </w:pPr>
            <w:r w:rsidRPr="009B7B35">
              <w:rPr>
                <w:rFonts w:cs="Arial"/>
              </w:rPr>
              <w:t>Packing shed</w:t>
            </w:r>
          </w:p>
        </w:tc>
        <w:tc>
          <w:tcPr>
            <w:tcW w:w="2339" w:type="dxa"/>
          </w:tcPr>
          <w:p w14:paraId="6A03E326" w14:textId="77777777" w:rsidR="00BE36FB" w:rsidRPr="009B7B35" w:rsidRDefault="00BE36FB" w:rsidP="001A7107">
            <w:pPr>
              <w:pStyle w:val="TableText"/>
              <w:rPr>
                <w:rFonts w:cs="Arial"/>
              </w:rPr>
            </w:pPr>
            <w:r w:rsidRPr="009B7B35">
              <w:rPr>
                <w:rFonts w:cs="Arial"/>
              </w:rPr>
              <w:t>Intensive animal husbandry, intensive horticulture, roadside stall, wholesale nursery, winery, abattoir, agricultural supply store</w:t>
            </w:r>
          </w:p>
        </w:tc>
      </w:tr>
      <w:tr w:rsidR="00BE36FB" w:rsidRPr="009B7B35" w14:paraId="1CD41D5A" w14:textId="77777777" w:rsidTr="001A7107">
        <w:trPr>
          <w:cantSplit/>
        </w:trPr>
        <w:tc>
          <w:tcPr>
            <w:tcW w:w="1843" w:type="dxa"/>
          </w:tcPr>
          <w:p w14:paraId="2CDE766C" w14:textId="77777777" w:rsidR="00BE36FB" w:rsidRPr="009B7B35" w:rsidRDefault="00BE36FB" w:rsidP="001A7107">
            <w:pPr>
              <w:pStyle w:val="TableText"/>
              <w:rPr>
                <w:rFonts w:cs="Arial"/>
              </w:rPr>
            </w:pPr>
            <w:r w:rsidRPr="009B7B35">
              <w:rPr>
                <w:rFonts w:cs="Arial"/>
              </w:rPr>
              <w:t>Rural workers’ accommodation</w:t>
            </w:r>
          </w:p>
        </w:tc>
        <w:tc>
          <w:tcPr>
            <w:tcW w:w="2835" w:type="dxa"/>
          </w:tcPr>
          <w:p w14:paraId="6D71C5F4" w14:textId="77777777" w:rsidR="00BE36FB" w:rsidRPr="009B7B35" w:rsidRDefault="00BE36FB" w:rsidP="001A7107">
            <w:pPr>
              <w:pStyle w:val="TableText"/>
              <w:rPr>
                <w:rFonts w:cs="Arial"/>
              </w:rPr>
            </w:pPr>
            <w:r w:rsidRPr="009B7B35">
              <w:rPr>
                <w:rFonts w:cs="Arial"/>
              </w:rPr>
              <w:t>Any premises used as quarters for staff employed in the use of land for rural purposes, such as agriculture, intensive animal husbandry and forestry, conducted on a lot in the same ownership whether or not such quarters are self–contained.</w:t>
            </w:r>
          </w:p>
        </w:tc>
        <w:tc>
          <w:tcPr>
            <w:tcW w:w="2339" w:type="dxa"/>
          </w:tcPr>
          <w:p w14:paraId="40C40EBD" w14:textId="77777777" w:rsidR="00BE36FB" w:rsidRPr="009B7B35" w:rsidRDefault="00BE36FB" w:rsidP="001A7107">
            <w:pPr>
              <w:pStyle w:val="TableText"/>
              <w:rPr>
                <w:rFonts w:cs="Arial"/>
              </w:rPr>
            </w:pPr>
            <w:r w:rsidRPr="009B7B35">
              <w:rPr>
                <w:rFonts w:cs="Arial"/>
              </w:rPr>
              <w:t>Farm workers’ accommodation</w:t>
            </w:r>
          </w:p>
        </w:tc>
        <w:tc>
          <w:tcPr>
            <w:tcW w:w="2339" w:type="dxa"/>
          </w:tcPr>
          <w:p w14:paraId="3C762E1F" w14:textId="77777777" w:rsidR="00BE36FB" w:rsidRPr="009B7B35" w:rsidRDefault="00BE36FB" w:rsidP="001A7107">
            <w:pPr>
              <w:pStyle w:val="TableText"/>
              <w:rPr>
                <w:rFonts w:cs="Arial"/>
              </w:rPr>
            </w:pPr>
            <w:r w:rsidRPr="009B7B35">
              <w:rPr>
                <w:rFonts w:cs="Arial"/>
              </w:rPr>
              <w:t>Short–term accommodation, caretaker’s accommodation, dual occupancy, dwelling house, nature or rural based tourist accommodation, non–resident workforce accommodation, multiple dwellings</w:t>
            </w:r>
          </w:p>
        </w:tc>
      </w:tr>
      <w:tr w:rsidR="00BE36FB" w:rsidRPr="009B7B35" w14:paraId="6FDB5CBB" w14:textId="77777777" w:rsidTr="001A7107">
        <w:trPr>
          <w:cantSplit/>
        </w:trPr>
        <w:tc>
          <w:tcPr>
            <w:tcW w:w="1843" w:type="dxa"/>
          </w:tcPr>
          <w:p w14:paraId="1076C11E" w14:textId="77777777" w:rsidR="00BE36FB" w:rsidRPr="009B7B35" w:rsidRDefault="00BE36FB" w:rsidP="001A7107">
            <w:pPr>
              <w:pStyle w:val="TableText"/>
              <w:rPr>
                <w:rFonts w:cs="Arial"/>
              </w:rPr>
            </w:pPr>
            <w:r w:rsidRPr="009B7B35">
              <w:rPr>
                <w:rFonts w:cs="Arial"/>
              </w:rPr>
              <w:t>Sales office</w:t>
            </w:r>
          </w:p>
        </w:tc>
        <w:tc>
          <w:tcPr>
            <w:tcW w:w="2835" w:type="dxa"/>
          </w:tcPr>
          <w:p w14:paraId="36DB50F3" w14:textId="77777777" w:rsidR="00BE36FB" w:rsidRPr="009B7B35" w:rsidRDefault="00BE36FB" w:rsidP="001A7107">
            <w:pPr>
              <w:pStyle w:val="TableText"/>
              <w:rPr>
                <w:rFonts w:cs="Arial"/>
              </w:rPr>
            </w:pPr>
            <w:r w:rsidRPr="009B7B35">
              <w:rPr>
                <w:rFonts w:cs="Arial"/>
              </w:rPr>
              <w:t>The temporary use of premises for displaying a land parcel or buildings that can be built for sale or can be won as a prize. The use may include a caravan or relocatable dwelling or structure.</w:t>
            </w:r>
          </w:p>
        </w:tc>
        <w:tc>
          <w:tcPr>
            <w:tcW w:w="2339" w:type="dxa"/>
          </w:tcPr>
          <w:p w14:paraId="16BD44D5" w14:textId="77777777" w:rsidR="00BE36FB" w:rsidRPr="009B7B35" w:rsidRDefault="00BE36FB" w:rsidP="001A7107">
            <w:pPr>
              <w:pStyle w:val="TableText"/>
              <w:rPr>
                <w:rFonts w:cs="Arial"/>
              </w:rPr>
            </w:pPr>
            <w:r w:rsidRPr="009B7B35">
              <w:rPr>
                <w:rFonts w:cs="Arial"/>
              </w:rPr>
              <w:t>Display dwelling</w:t>
            </w:r>
          </w:p>
        </w:tc>
        <w:tc>
          <w:tcPr>
            <w:tcW w:w="2339" w:type="dxa"/>
          </w:tcPr>
          <w:p w14:paraId="76066EF3" w14:textId="77777777" w:rsidR="00BE36FB" w:rsidRPr="009B7B35" w:rsidRDefault="00BE36FB" w:rsidP="001A7107">
            <w:pPr>
              <w:pStyle w:val="TableText"/>
              <w:rPr>
                <w:rFonts w:cs="Arial"/>
              </w:rPr>
            </w:pPr>
            <w:r w:rsidRPr="009B7B35">
              <w:rPr>
                <w:rFonts w:cs="Arial"/>
              </w:rPr>
              <w:t>Bank, office</w:t>
            </w:r>
          </w:p>
        </w:tc>
      </w:tr>
      <w:tr w:rsidR="00BE36FB" w:rsidRPr="009B7B35" w14:paraId="3ADCB133" w14:textId="77777777" w:rsidTr="001A7107">
        <w:trPr>
          <w:cantSplit/>
        </w:trPr>
        <w:tc>
          <w:tcPr>
            <w:tcW w:w="1843" w:type="dxa"/>
          </w:tcPr>
          <w:p w14:paraId="4D8166E5" w14:textId="77777777" w:rsidR="00BE36FB" w:rsidRPr="009B7B35" w:rsidRDefault="00BE36FB" w:rsidP="001A7107">
            <w:pPr>
              <w:pStyle w:val="TableText"/>
              <w:rPr>
                <w:rFonts w:cs="Arial"/>
              </w:rPr>
            </w:pPr>
            <w:bookmarkStart w:id="292" w:name="OLE_LINK24"/>
            <w:r w:rsidRPr="009B7B35">
              <w:rPr>
                <w:rFonts w:cs="Arial"/>
              </w:rPr>
              <w:t>Service industry</w:t>
            </w:r>
          </w:p>
        </w:tc>
        <w:tc>
          <w:tcPr>
            <w:tcW w:w="2835" w:type="dxa"/>
          </w:tcPr>
          <w:p w14:paraId="78554DDB" w14:textId="77777777" w:rsidR="00BE36FB" w:rsidRPr="009B7B35" w:rsidRDefault="00BE36FB" w:rsidP="001A7107">
            <w:pPr>
              <w:pStyle w:val="TableText"/>
              <w:rPr>
                <w:rFonts w:cs="Arial"/>
              </w:rPr>
            </w:pPr>
            <w:r w:rsidRPr="009B7B35">
              <w:rPr>
                <w:rFonts w:cs="Arial"/>
              </w:rPr>
              <w:t>Premises used for industrial activities that have no external air, noise or odour emissions from the site and can be suitably located with other non–industrial uses.</w:t>
            </w:r>
          </w:p>
        </w:tc>
        <w:tc>
          <w:tcPr>
            <w:tcW w:w="2339" w:type="dxa"/>
          </w:tcPr>
          <w:p w14:paraId="7B98D59F" w14:textId="77777777" w:rsidR="00BE36FB" w:rsidRPr="009B7B35" w:rsidRDefault="00BE36FB" w:rsidP="001A7107">
            <w:pPr>
              <w:pStyle w:val="TableText"/>
              <w:rPr>
                <w:rFonts w:cs="Arial"/>
              </w:rPr>
            </w:pPr>
            <w:r w:rsidRPr="009B7B35">
              <w:rPr>
                <w:rFonts w:cs="Arial"/>
              </w:rPr>
              <w:t>Audio visual equipment repair, film processing, bicycle repairs, clock and watch repairs, computer repairs, dry cleaning, hand engraving, jewellery making, laundromat, locksmith, picture framing, shoe repairs, tailor</w:t>
            </w:r>
          </w:p>
        </w:tc>
        <w:tc>
          <w:tcPr>
            <w:tcW w:w="2339" w:type="dxa"/>
          </w:tcPr>
          <w:p w14:paraId="314839C3" w14:textId="77777777" w:rsidR="00BE36FB" w:rsidRPr="009B7B35" w:rsidRDefault="00BE36FB" w:rsidP="001A7107">
            <w:pPr>
              <w:pStyle w:val="TableText"/>
              <w:rPr>
                <w:rFonts w:cs="Arial"/>
              </w:rPr>
            </w:pPr>
            <w:r w:rsidRPr="009B7B35">
              <w:rPr>
                <w:rFonts w:cs="Arial"/>
              </w:rPr>
              <w:t>Small engine mechanical repair workshop, cabinet making, shop fitting, sign writing, tyre depot, low impact industry, medium impact, high impact industry, special industry</w:t>
            </w:r>
          </w:p>
        </w:tc>
      </w:tr>
      <w:bookmarkEnd w:id="292"/>
      <w:tr w:rsidR="00BE36FB" w:rsidRPr="009B7B35" w14:paraId="0CD23129" w14:textId="77777777" w:rsidTr="001A7107">
        <w:trPr>
          <w:cantSplit/>
        </w:trPr>
        <w:tc>
          <w:tcPr>
            <w:tcW w:w="1843" w:type="dxa"/>
          </w:tcPr>
          <w:p w14:paraId="3F86D6AE" w14:textId="77777777" w:rsidR="00BE36FB" w:rsidRPr="009B7B35" w:rsidRDefault="00BE36FB" w:rsidP="001A7107">
            <w:pPr>
              <w:pStyle w:val="TableText"/>
              <w:rPr>
                <w:rFonts w:cs="Arial"/>
              </w:rPr>
            </w:pPr>
            <w:r w:rsidRPr="009B7B35">
              <w:rPr>
                <w:rFonts w:cs="Arial"/>
              </w:rPr>
              <w:t>Service station</w:t>
            </w:r>
          </w:p>
        </w:tc>
        <w:tc>
          <w:tcPr>
            <w:tcW w:w="2835" w:type="dxa"/>
          </w:tcPr>
          <w:p w14:paraId="32E6B34B" w14:textId="77777777" w:rsidR="00BE36FB" w:rsidRPr="009B7B35" w:rsidRDefault="00BE36FB" w:rsidP="001A7107">
            <w:pPr>
              <w:pStyle w:val="TableText"/>
              <w:rPr>
                <w:rFonts w:cs="Arial"/>
              </w:rPr>
            </w:pPr>
            <w:r w:rsidRPr="009B7B35">
              <w:rPr>
                <w:rFonts w:cs="Arial"/>
              </w:rPr>
              <w:t>Premises used for the sale of fuel including petrol, liquid petroleum gas, automotive distillate and alternative fuels. The use may include, where ancillary, a shop, food and drink outlet, maintenance, repair servicing and washing of vehicles, the hire of trailers, and supply of compressed air.</w:t>
            </w:r>
          </w:p>
        </w:tc>
        <w:tc>
          <w:tcPr>
            <w:tcW w:w="2339" w:type="dxa"/>
          </w:tcPr>
          <w:p w14:paraId="5779152B" w14:textId="77777777" w:rsidR="00BE36FB" w:rsidRPr="009B7B35" w:rsidRDefault="00BE36FB" w:rsidP="001A7107">
            <w:pPr>
              <w:pStyle w:val="TableText"/>
              <w:rPr>
                <w:rFonts w:cs="Arial"/>
              </w:rPr>
            </w:pPr>
          </w:p>
        </w:tc>
        <w:tc>
          <w:tcPr>
            <w:tcW w:w="2339" w:type="dxa"/>
          </w:tcPr>
          <w:p w14:paraId="5B2DF30D" w14:textId="77777777" w:rsidR="00BE36FB" w:rsidRPr="009B7B35" w:rsidRDefault="00BE36FB" w:rsidP="001A7107">
            <w:pPr>
              <w:pStyle w:val="TableText"/>
              <w:rPr>
                <w:rFonts w:cs="Arial"/>
              </w:rPr>
            </w:pPr>
            <w:r w:rsidRPr="009B7B35">
              <w:rPr>
                <w:rFonts w:cs="Arial"/>
              </w:rPr>
              <w:t>Car wash</w:t>
            </w:r>
          </w:p>
        </w:tc>
      </w:tr>
      <w:tr w:rsidR="00BE36FB" w:rsidRPr="009B7B35" w14:paraId="13DF0D5D" w14:textId="77777777" w:rsidTr="001A7107">
        <w:trPr>
          <w:cantSplit/>
        </w:trPr>
        <w:tc>
          <w:tcPr>
            <w:tcW w:w="1843" w:type="dxa"/>
          </w:tcPr>
          <w:p w14:paraId="76B4B9E6" w14:textId="77777777" w:rsidR="00BE36FB" w:rsidRPr="009B7B35" w:rsidRDefault="00BE36FB" w:rsidP="001A7107">
            <w:pPr>
              <w:pStyle w:val="TableText"/>
              <w:rPr>
                <w:rFonts w:cs="Arial"/>
              </w:rPr>
            </w:pPr>
            <w:r w:rsidRPr="009B7B35">
              <w:rPr>
                <w:rFonts w:cs="Arial"/>
              </w:rPr>
              <w:t>Shop</w:t>
            </w:r>
          </w:p>
        </w:tc>
        <w:tc>
          <w:tcPr>
            <w:tcW w:w="2835" w:type="dxa"/>
          </w:tcPr>
          <w:p w14:paraId="0E4C9BC0" w14:textId="77777777" w:rsidR="00BE36FB" w:rsidRPr="009B7B35" w:rsidRDefault="00BE36FB" w:rsidP="001A7107">
            <w:pPr>
              <w:pStyle w:val="TableText"/>
              <w:rPr>
                <w:rFonts w:cs="Arial"/>
              </w:rPr>
            </w:pPr>
            <w:r w:rsidRPr="009B7B35">
              <w:rPr>
                <w:rFonts w:cs="Arial"/>
              </w:rPr>
              <w:t xml:space="preserve">Premises used for the display, sale or hire of goods or the provision of personal services or betting to the public. </w:t>
            </w:r>
          </w:p>
        </w:tc>
        <w:tc>
          <w:tcPr>
            <w:tcW w:w="2339" w:type="dxa"/>
          </w:tcPr>
          <w:p w14:paraId="2BFFDD82" w14:textId="77777777" w:rsidR="00BE36FB" w:rsidRPr="009B7B35" w:rsidRDefault="00BE36FB" w:rsidP="001A7107">
            <w:pPr>
              <w:pStyle w:val="TableText"/>
              <w:rPr>
                <w:rFonts w:cs="Arial"/>
              </w:rPr>
            </w:pPr>
            <w:r w:rsidRPr="009B7B35">
              <w:rPr>
                <w:rFonts w:cs="Arial"/>
              </w:rPr>
              <w:t>Hairdresser, liquor store, department store, discount department store, discount variety stores, betting agencies, supermarket, corner store</w:t>
            </w:r>
          </w:p>
        </w:tc>
        <w:tc>
          <w:tcPr>
            <w:tcW w:w="2339" w:type="dxa"/>
          </w:tcPr>
          <w:p w14:paraId="11E18604" w14:textId="77777777" w:rsidR="00BE36FB" w:rsidRPr="009B7B35" w:rsidRDefault="00BE36FB" w:rsidP="001A7107">
            <w:pPr>
              <w:pStyle w:val="TableText"/>
              <w:rPr>
                <w:rFonts w:cs="Arial"/>
              </w:rPr>
            </w:pPr>
            <w:r w:rsidRPr="009B7B35">
              <w:rPr>
                <w:rFonts w:cs="Arial"/>
              </w:rPr>
              <w:t>Adult store, food and drink outlet, showroom, market</w:t>
            </w:r>
          </w:p>
        </w:tc>
      </w:tr>
      <w:tr w:rsidR="00BE36FB" w:rsidRPr="009B7B35" w14:paraId="7F5FC036" w14:textId="77777777" w:rsidTr="001A7107">
        <w:trPr>
          <w:cantSplit/>
        </w:trPr>
        <w:tc>
          <w:tcPr>
            <w:tcW w:w="1843" w:type="dxa"/>
          </w:tcPr>
          <w:p w14:paraId="6F106E51" w14:textId="77777777" w:rsidR="00BE36FB" w:rsidRPr="009B7B35" w:rsidRDefault="00BE36FB" w:rsidP="001A7107">
            <w:pPr>
              <w:pStyle w:val="TableText"/>
              <w:rPr>
                <w:rFonts w:cs="Arial"/>
              </w:rPr>
            </w:pPr>
            <w:r w:rsidRPr="009B7B35">
              <w:rPr>
                <w:rFonts w:cs="Arial"/>
              </w:rPr>
              <w:t>Shopping centre</w:t>
            </w:r>
          </w:p>
        </w:tc>
        <w:tc>
          <w:tcPr>
            <w:tcW w:w="2835" w:type="dxa"/>
          </w:tcPr>
          <w:p w14:paraId="646508D8" w14:textId="77777777" w:rsidR="00BE36FB" w:rsidRPr="009B7B35" w:rsidRDefault="00BE36FB" w:rsidP="001A7107">
            <w:pPr>
              <w:pStyle w:val="TableText"/>
              <w:rPr>
                <w:rFonts w:cs="Arial"/>
              </w:rPr>
            </w:pPr>
            <w:r w:rsidRPr="009B7B35">
              <w:rPr>
                <w:rFonts w:cs="Arial"/>
              </w:rPr>
              <w:t>Premises comprising two or more individual tenancies that is comprised primarily of shops, and that function as an integrated complex.</w:t>
            </w:r>
          </w:p>
        </w:tc>
        <w:tc>
          <w:tcPr>
            <w:tcW w:w="2339" w:type="dxa"/>
          </w:tcPr>
          <w:p w14:paraId="13112435" w14:textId="77777777" w:rsidR="00BE36FB" w:rsidRPr="009B7B35" w:rsidRDefault="00BE36FB" w:rsidP="001A7107">
            <w:pPr>
              <w:pStyle w:val="TableText"/>
              <w:rPr>
                <w:rFonts w:cs="Arial"/>
              </w:rPr>
            </w:pPr>
          </w:p>
        </w:tc>
        <w:tc>
          <w:tcPr>
            <w:tcW w:w="2339" w:type="dxa"/>
          </w:tcPr>
          <w:p w14:paraId="13A6C1A6" w14:textId="77777777" w:rsidR="00BE36FB" w:rsidRPr="009B7B35" w:rsidRDefault="00BE36FB" w:rsidP="001A7107">
            <w:pPr>
              <w:pStyle w:val="TableText"/>
              <w:rPr>
                <w:rFonts w:cs="Arial"/>
              </w:rPr>
            </w:pPr>
          </w:p>
        </w:tc>
      </w:tr>
      <w:tr w:rsidR="00BE36FB" w:rsidRPr="009B7B35" w14:paraId="40FF54E3" w14:textId="77777777" w:rsidTr="001A7107">
        <w:trPr>
          <w:cantSplit/>
        </w:trPr>
        <w:tc>
          <w:tcPr>
            <w:tcW w:w="1843" w:type="dxa"/>
          </w:tcPr>
          <w:p w14:paraId="175DDFB1" w14:textId="77777777" w:rsidR="00BE36FB" w:rsidRPr="009B7B35" w:rsidRDefault="00BE36FB" w:rsidP="001A7107">
            <w:pPr>
              <w:pStyle w:val="TableText"/>
              <w:rPr>
                <w:rFonts w:cs="Arial"/>
              </w:rPr>
            </w:pPr>
            <w:bookmarkStart w:id="293" w:name="OLE_LINK30"/>
            <w:bookmarkStart w:id="294" w:name="OLE_LINK31"/>
            <w:r w:rsidRPr="009B7B35">
              <w:rPr>
                <w:rFonts w:cs="Arial"/>
              </w:rPr>
              <w:t>Short–term accommodation</w:t>
            </w:r>
          </w:p>
        </w:tc>
        <w:tc>
          <w:tcPr>
            <w:tcW w:w="2835" w:type="dxa"/>
          </w:tcPr>
          <w:p w14:paraId="075B3763" w14:textId="77777777" w:rsidR="00BE36FB" w:rsidRPr="009B7B35" w:rsidRDefault="00BE36FB" w:rsidP="001A7107">
            <w:pPr>
              <w:pStyle w:val="TableText"/>
              <w:rPr>
                <w:rFonts w:cs="Arial"/>
              </w:rPr>
            </w:pPr>
            <w:r w:rsidRPr="009B7B35">
              <w:rPr>
                <w:rFonts w:cs="Arial"/>
              </w:rPr>
              <w:t>Premises used to provide short–term accommodation for tourists or travellers for a temporary period of time (typically not exceeding three consecutive months) and may be self–contained. The use may include a manager’s residence and office and the provision of recreation facilities for the exclusive use of visitors.</w:t>
            </w:r>
          </w:p>
        </w:tc>
        <w:tc>
          <w:tcPr>
            <w:tcW w:w="2339" w:type="dxa"/>
          </w:tcPr>
          <w:p w14:paraId="51687947" w14:textId="77777777" w:rsidR="00BE36FB" w:rsidRPr="009B7B35" w:rsidRDefault="00BE36FB" w:rsidP="001A7107">
            <w:pPr>
              <w:pStyle w:val="TableText"/>
              <w:rPr>
                <w:rFonts w:cs="Arial"/>
              </w:rPr>
            </w:pPr>
            <w:r w:rsidRPr="009B7B35">
              <w:rPr>
                <w:rFonts w:cs="Arial"/>
              </w:rPr>
              <w:t>Motel, backpackers, cabins, serviced apartments, accommodation hotel, farm stay</w:t>
            </w:r>
          </w:p>
        </w:tc>
        <w:tc>
          <w:tcPr>
            <w:tcW w:w="2339" w:type="dxa"/>
          </w:tcPr>
          <w:p w14:paraId="300167FE" w14:textId="77777777" w:rsidR="00BE36FB" w:rsidRPr="009B7B35" w:rsidRDefault="00BE36FB" w:rsidP="001A7107">
            <w:pPr>
              <w:pStyle w:val="TableText"/>
              <w:rPr>
                <w:rFonts w:cs="Arial"/>
              </w:rPr>
            </w:pPr>
            <w:r w:rsidRPr="009B7B35">
              <w:rPr>
                <w:rFonts w:cs="Arial"/>
              </w:rPr>
              <w:t>Hostel, rooming accommodation, tourist park</w:t>
            </w:r>
          </w:p>
        </w:tc>
      </w:tr>
      <w:bookmarkEnd w:id="293"/>
      <w:bookmarkEnd w:id="294"/>
      <w:tr w:rsidR="00BE36FB" w:rsidRPr="009B7B35" w14:paraId="4C771504" w14:textId="77777777" w:rsidTr="001A7107">
        <w:tc>
          <w:tcPr>
            <w:tcW w:w="1843" w:type="dxa"/>
          </w:tcPr>
          <w:p w14:paraId="1E686B99" w14:textId="77777777" w:rsidR="00BE36FB" w:rsidRPr="009B7B35" w:rsidRDefault="00BE36FB" w:rsidP="001A7107">
            <w:pPr>
              <w:pStyle w:val="TableText"/>
              <w:rPr>
                <w:rFonts w:cs="Arial"/>
              </w:rPr>
            </w:pPr>
            <w:r w:rsidRPr="009B7B35">
              <w:rPr>
                <w:rFonts w:cs="Arial"/>
              </w:rPr>
              <w:t>Showroom</w:t>
            </w:r>
          </w:p>
        </w:tc>
        <w:tc>
          <w:tcPr>
            <w:tcW w:w="2835" w:type="dxa"/>
          </w:tcPr>
          <w:p w14:paraId="26F48BF9" w14:textId="77777777" w:rsidR="00BE36FB" w:rsidRPr="009B7B35" w:rsidRDefault="00BE36FB" w:rsidP="001A7107">
            <w:pPr>
              <w:pStyle w:val="TableText"/>
              <w:rPr>
                <w:rFonts w:cs="Arial"/>
              </w:rPr>
            </w:pPr>
            <w:r w:rsidRPr="009B7B35">
              <w:rPr>
                <w:rFonts w:cs="Arial"/>
              </w:rPr>
              <w:t>Premises used primarily for the sale of goods of a related product line that are of a size, shape or weight that requires:</w:t>
            </w:r>
          </w:p>
          <w:p w14:paraId="0EAA9C90" w14:textId="77777777" w:rsidR="00BE36FB" w:rsidRPr="009B7B35" w:rsidRDefault="00BE36FB" w:rsidP="00BE36FB">
            <w:pPr>
              <w:pStyle w:val="ListBullet"/>
              <w:spacing w:before="80" w:after="80"/>
              <w:rPr>
                <w:rFonts w:cs="Arial"/>
                <w:szCs w:val="20"/>
              </w:rPr>
            </w:pPr>
            <w:r w:rsidRPr="009B7B35">
              <w:rPr>
                <w:rFonts w:cs="Arial"/>
                <w:szCs w:val="20"/>
              </w:rPr>
              <w:t>a large area for handling, display or storage</w:t>
            </w:r>
          </w:p>
          <w:p w14:paraId="4244F044" w14:textId="77777777" w:rsidR="00BE36FB" w:rsidRPr="009B7B35" w:rsidRDefault="00BE36FB" w:rsidP="00BE36FB">
            <w:pPr>
              <w:pStyle w:val="ListBullet"/>
              <w:spacing w:before="80" w:after="80"/>
              <w:rPr>
                <w:rFonts w:cs="Arial"/>
                <w:szCs w:val="20"/>
              </w:rPr>
            </w:pPr>
            <w:r w:rsidRPr="009B7B35">
              <w:rPr>
                <w:rFonts w:cs="Arial"/>
                <w:szCs w:val="20"/>
              </w:rPr>
              <w:t xml:space="preserve">direct vehicle access to the building by members of the public for loading and unloading items purchased or hired. </w:t>
            </w:r>
          </w:p>
        </w:tc>
        <w:tc>
          <w:tcPr>
            <w:tcW w:w="2339" w:type="dxa"/>
          </w:tcPr>
          <w:p w14:paraId="69C24421" w14:textId="77777777" w:rsidR="00BE36FB" w:rsidRPr="009B7B35" w:rsidRDefault="00BE36FB" w:rsidP="001A7107">
            <w:pPr>
              <w:pStyle w:val="TableText"/>
              <w:rPr>
                <w:rFonts w:cs="Arial"/>
              </w:rPr>
            </w:pPr>
            <w:r w:rsidRPr="009B7B35">
              <w:rPr>
                <w:rFonts w:cs="Arial"/>
              </w:rPr>
              <w:t>Bulky goods sales, motor vehicles sales showroom, bulk stationary supplies</w:t>
            </w:r>
          </w:p>
        </w:tc>
        <w:tc>
          <w:tcPr>
            <w:tcW w:w="2339" w:type="dxa"/>
          </w:tcPr>
          <w:p w14:paraId="5CBCA79D" w14:textId="77777777" w:rsidR="00BE36FB" w:rsidRPr="009B7B35" w:rsidRDefault="00BE36FB" w:rsidP="001A7107">
            <w:pPr>
              <w:pStyle w:val="TableText"/>
              <w:rPr>
                <w:rFonts w:cs="Arial"/>
              </w:rPr>
            </w:pPr>
            <w:r w:rsidRPr="009B7B35">
              <w:rPr>
                <w:rFonts w:cs="Arial"/>
              </w:rPr>
              <w:t>Food and drink outlet, shop, outdoor sales</w:t>
            </w:r>
          </w:p>
        </w:tc>
      </w:tr>
      <w:tr w:rsidR="00BE36FB" w:rsidRPr="009B7B35" w14:paraId="3AB49FD4" w14:textId="77777777" w:rsidTr="001A7107">
        <w:tc>
          <w:tcPr>
            <w:tcW w:w="1843" w:type="dxa"/>
          </w:tcPr>
          <w:p w14:paraId="0F6E1246" w14:textId="77777777" w:rsidR="00BE36FB" w:rsidRPr="009B7B35" w:rsidRDefault="00BE36FB" w:rsidP="001A7107">
            <w:pPr>
              <w:pStyle w:val="TableText"/>
              <w:rPr>
                <w:rFonts w:cs="Arial"/>
              </w:rPr>
            </w:pPr>
            <w:r w:rsidRPr="009B7B35">
              <w:rPr>
                <w:rFonts w:cs="Arial"/>
              </w:rPr>
              <w:t>Special industry</w:t>
            </w:r>
          </w:p>
        </w:tc>
        <w:tc>
          <w:tcPr>
            <w:tcW w:w="2835" w:type="dxa"/>
          </w:tcPr>
          <w:p w14:paraId="0CBFB66A" w14:textId="77777777" w:rsidR="00BE36FB" w:rsidRPr="009B7B35" w:rsidRDefault="00BE36FB" w:rsidP="001A7107">
            <w:pPr>
              <w:pStyle w:val="TableText"/>
              <w:rPr>
                <w:rFonts w:cs="Arial"/>
              </w:rPr>
            </w:pPr>
            <w:r w:rsidRPr="009B7B35">
              <w:rPr>
                <w:rFonts w:cs="Arial"/>
              </w:rPr>
              <w:t>Premises used for industrial activities that include the manufacturing, producing, processing, repairing, altering, recycling, storing, distributing, transferring or treating of products and have one or more of the following attributes:</w:t>
            </w:r>
          </w:p>
          <w:p w14:paraId="31C5AFB7" w14:textId="77777777" w:rsidR="00BE36FB" w:rsidRPr="009B7B35" w:rsidRDefault="00BE36FB" w:rsidP="00BE36FB">
            <w:pPr>
              <w:pStyle w:val="ListBullet"/>
              <w:spacing w:before="80" w:after="80"/>
              <w:rPr>
                <w:rFonts w:cs="Arial"/>
                <w:szCs w:val="20"/>
              </w:rPr>
            </w:pPr>
            <w:r w:rsidRPr="009B7B35">
              <w:rPr>
                <w:rFonts w:cs="Arial"/>
                <w:szCs w:val="20"/>
              </w:rPr>
              <w:t>potential for extreme impacts on sensitive land uses due to offsite emissions including aerosol, fume, particle, smoke, odour and noise</w:t>
            </w:r>
          </w:p>
          <w:p w14:paraId="07F2C398" w14:textId="77777777" w:rsidR="00BE36FB" w:rsidRPr="009B7B35" w:rsidRDefault="00BE36FB" w:rsidP="00BE36FB">
            <w:pPr>
              <w:pStyle w:val="ListBullet"/>
              <w:spacing w:before="80" w:after="80"/>
              <w:rPr>
                <w:rFonts w:cs="Arial"/>
                <w:szCs w:val="20"/>
              </w:rPr>
            </w:pPr>
            <w:r w:rsidRPr="009B7B35">
              <w:rPr>
                <w:rFonts w:cs="Arial"/>
                <w:szCs w:val="20"/>
              </w:rPr>
              <w:t>potential for extreme offsite impacts in the event of fire, explosion or toxic release</w:t>
            </w:r>
          </w:p>
          <w:p w14:paraId="074655F8" w14:textId="77777777" w:rsidR="00BE36FB" w:rsidRPr="009B7B35" w:rsidRDefault="00BE36FB" w:rsidP="00BE36FB">
            <w:pPr>
              <w:pStyle w:val="ListBullet"/>
              <w:spacing w:before="80" w:after="80"/>
              <w:rPr>
                <w:rFonts w:cs="Arial"/>
                <w:szCs w:val="20"/>
              </w:rPr>
            </w:pPr>
            <w:r w:rsidRPr="009B7B35">
              <w:rPr>
                <w:rFonts w:cs="Arial"/>
                <w:szCs w:val="20"/>
              </w:rPr>
              <w:t>onsite controls are required for emissions and dangerous goods risks</w:t>
            </w:r>
          </w:p>
          <w:p w14:paraId="305CC3F7" w14:textId="77777777" w:rsidR="00BE36FB" w:rsidRPr="009B7B35" w:rsidRDefault="00BE36FB" w:rsidP="00BE36FB">
            <w:pPr>
              <w:pStyle w:val="ListBullet"/>
              <w:spacing w:before="80" w:after="80"/>
              <w:rPr>
                <w:rFonts w:cs="Arial"/>
                <w:szCs w:val="20"/>
              </w:rPr>
            </w:pPr>
            <w:r w:rsidRPr="009B7B35">
              <w:rPr>
                <w:rFonts w:cs="Arial"/>
                <w:szCs w:val="20"/>
              </w:rPr>
              <w:t>the use generally involves night time and outdoor activities</w:t>
            </w:r>
          </w:p>
          <w:p w14:paraId="71D6AF66" w14:textId="77777777" w:rsidR="00BE36FB" w:rsidRPr="009B7B35" w:rsidRDefault="00BE36FB" w:rsidP="00BE36FB">
            <w:pPr>
              <w:pStyle w:val="ListBullet"/>
              <w:spacing w:before="80" w:after="80"/>
              <w:rPr>
                <w:rFonts w:cs="Arial"/>
                <w:szCs w:val="20"/>
              </w:rPr>
            </w:pPr>
            <w:r w:rsidRPr="009B7B35">
              <w:rPr>
                <w:rFonts w:cs="Arial"/>
                <w:szCs w:val="20"/>
              </w:rPr>
              <w:t>the use may involve the storage and handling of large volumes of dangerous goods</w:t>
            </w:r>
          </w:p>
          <w:p w14:paraId="5413BFA2" w14:textId="77777777" w:rsidR="00BE36FB" w:rsidRPr="009B7B35" w:rsidRDefault="00BE36FB" w:rsidP="00BE36FB">
            <w:pPr>
              <w:pStyle w:val="ListBullet"/>
              <w:spacing w:before="80" w:after="80"/>
              <w:rPr>
                <w:rFonts w:cs="Arial"/>
                <w:szCs w:val="20"/>
              </w:rPr>
            </w:pPr>
            <w:r w:rsidRPr="009B7B35">
              <w:rPr>
                <w:rFonts w:cs="Arial"/>
                <w:szCs w:val="20"/>
              </w:rPr>
              <w:t>requires significant separation from non–industrial uses.</w:t>
            </w:r>
          </w:p>
        </w:tc>
        <w:tc>
          <w:tcPr>
            <w:tcW w:w="2339" w:type="dxa"/>
          </w:tcPr>
          <w:p w14:paraId="14AB9321" w14:textId="77777777" w:rsidR="00BE36FB" w:rsidRPr="009B7B35" w:rsidRDefault="00BE36FB" w:rsidP="001A7107">
            <w:pPr>
              <w:pStyle w:val="TableText"/>
              <w:rPr>
                <w:rFonts w:cs="Arial"/>
              </w:rPr>
            </w:pPr>
            <w:r w:rsidRPr="009B7B35">
              <w:rPr>
                <w:rFonts w:cs="Arial"/>
              </w:rPr>
              <w:t>Tanneries, rendering plants, oil refineries, waste incineration, manufacturing or storing explosives, power plants, manufacturing fertilisers</w:t>
            </w:r>
          </w:p>
          <w:p w14:paraId="15381456" w14:textId="77777777" w:rsidR="00BE36FB" w:rsidRPr="009B7B35" w:rsidRDefault="00BE36FB" w:rsidP="001A7107">
            <w:pPr>
              <w:pStyle w:val="Notes"/>
              <w:rPr>
                <w:rFonts w:cs="Arial"/>
                <w:sz w:val="20"/>
                <w:szCs w:val="20"/>
              </w:rPr>
            </w:pPr>
            <w:r w:rsidRPr="009B7B35">
              <w:rPr>
                <w:rFonts w:cs="Arial"/>
                <w:sz w:val="20"/>
                <w:szCs w:val="20"/>
              </w:rPr>
              <w:t>Note—Additional examples may be shown in SC1.1.2 Industry thresholds.</w:t>
            </w:r>
          </w:p>
        </w:tc>
        <w:tc>
          <w:tcPr>
            <w:tcW w:w="2339" w:type="dxa"/>
          </w:tcPr>
          <w:p w14:paraId="2370D553" w14:textId="77777777" w:rsidR="00BE36FB" w:rsidRPr="009B7B35" w:rsidRDefault="00BE36FB" w:rsidP="001A7107">
            <w:pPr>
              <w:pStyle w:val="TableText"/>
              <w:rPr>
                <w:rFonts w:cs="Arial"/>
              </w:rPr>
            </w:pPr>
            <w:r w:rsidRPr="009B7B35">
              <w:rPr>
                <w:rFonts w:cs="Arial"/>
              </w:rPr>
              <w:t>Low impact industry, medium impact industry, high impact industry, service industry</w:t>
            </w:r>
          </w:p>
        </w:tc>
      </w:tr>
      <w:tr w:rsidR="00BE36FB" w:rsidRPr="009B7B35" w14:paraId="253EEFCA" w14:textId="77777777" w:rsidTr="001A7107">
        <w:tc>
          <w:tcPr>
            <w:tcW w:w="1843" w:type="dxa"/>
          </w:tcPr>
          <w:p w14:paraId="3E645737" w14:textId="77777777" w:rsidR="00BE36FB" w:rsidRPr="009B7B35" w:rsidRDefault="00BE36FB" w:rsidP="001A7107">
            <w:pPr>
              <w:pStyle w:val="TableText"/>
              <w:rPr>
                <w:rFonts w:cs="Arial"/>
              </w:rPr>
            </w:pPr>
            <w:r w:rsidRPr="009B7B35">
              <w:rPr>
                <w:rFonts w:cs="Arial"/>
              </w:rPr>
              <w:t>Substation</w:t>
            </w:r>
          </w:p>
        </w:tc>
        <w:tc>
          <w:tcPr>
            <w:tcW w:w="2835" w:type="dxa"/>
          </w:tcPr>
          <w:p w14:paraId="2A72B299" w14:textId="77777777" w:rsidR="00BE36FB" w:rsidRPr="009B7B35" w:rsidRDefault="00BE36FB" w:rsidP="001A7107">
            <w:pPr>
              <w:pStyle w:val="TableText"/>
              <w:rPr>
                <w:rFonts w:cs="Arial"/>
              </w:rPr>
            </w:pPr>
            <w:r w:rsidRPr="009B7B35">
              <w:rPr>
                <w:rFonts w:cs="Arial"/>
              </w:rPr>
              <w:t>Premises forming part of a transmission grid or supply network under the Electricity Act 1994, and used for:</w:t>
            </w:r>
          </w:p>
          <w:p w14:paraId="0D3A545A" w14:textId="77777777" w:rsidR="00BE36FB" w:rsidRPr="009B7B35" w:rsidRDefault="00BE36FB" w:rsidP="00BE36FB">
            <w:pPr>
              <w:pStyle w:val="ListBullet"/>
              <w:spacing w:before="80" w:after="80"/>
              <w:rPr>
                <w:rFonts w:cs="Arial"/>
                <w:szCs w:val="20"/>
              </w:rPr>
            </w:pPr>
            <w:r w:rsidRPr="009B7B35">
              <w:rPr>
                <w:rFonts w:cs="Arial"/>
                <w:szCs w:val="20"/>
              </w:rPr>
              <w:t>converting or transforming electrical energy from one voltage to another</w:t>
            </w:r>
          </w:p>
          <w:p w14:paraId="11C2C016" w14:textId="77777777" w:rsidR="00BE36FB" w:rsidRPr="009B7B35" w:rsidRDefault="00BE36FB" w:rsidP="00BE36FB">
            <w:pPr>
              <w:pStyle w:val="ListBullet"/>
              <w:spacing w:before="80" w:after="80"/>
              <w:rPr>
                <w:rFonts w:cs="Arial"/>
                <w:szCs w:val="20"/>
              </w:rPr>
            </w:pPr>
            <w:r w:rsidRPr="009B7B35">
              <w:rPr>
                <w:rFonts w:cs="Arial"/>
                <w:szCs w:val="20"/>
              </w:rPr>
              <w:t>regulating voltage in an electrical circuit</w:t>
            </w:r>
          </w:p>
          <w:p w14:paraId="774FD917" w14:textId="77777777" w:rsidR="00BE36FB" w:rsidRPr="009B7B35" w:rsidRDefault="00BE36FB" w:rsidP="00BE36FB">
            <w:pPr>
              <w:pStyle w:val="ListBullet"/>
              <w:spacing w:before="80" w:after="80"/>
              <w:rPr>
                <w:rFonts w:cs="Arial"/>
                <w:szCs w:val="20"/>
              </w:rPr>
            </w:pPr>
            <w:r w:rsidRPr="009B7B35">
              <w:rPr>
                <w:rFonts w:cs="Arial"/>
                <w:szCs w:val="20"/>
              </w:rPr>
              <w:t xml:space="preserve">controlling electrical circuits </w:t>
            </w:r>
          </w:p>
          <w:p w14:paraId="4D484409" w14:textId="77777777" w:rsidR="00BE36FB" w:rsidRPr="009B7B35" w:rsidRDefault="00BE36FB" w:rsidP="00BE36FB">
            <w:pPr>
              <w:pStyle w:val="ListBullet"/>
              <w:spacing w:before="80" w:after="80"/>
              <w:rPr>
                <w:rFonts w:cs="Arial"/>
                <w:szCs w:val="20"/>
              </w:rPr>
            </w:pPr>
            <w:r w:rsidRPr="009B7B35">
              <w:rPr>
                <w:rFonts w:cs="Arial"/>
                <w:szCs w:val="20"/>
              </w:rPr>
              <w:t>switching electrical current between circuits</w:t>
            </w:r>
          </w:p>
          <w:p w14:paraId="6866F0B2" w14:textId="77777777" w:rsidR="00BE36FB" w:rsidRPr="009B7B35" w:rsidRDefault="00BE36FB" w:rsidP="00BE36FB">
            <w:pPr>
              <w:pStyle w:val="ListBullet"/>
              <w:spacing w:before="80" w:after="80"/>
              <w:rPr>
                <w:rFonts w:cs="Arial"/>
                <w:szCs w:val="20"/>
              </w:rPr>
            </w:pPr>
            <w:r w:rsidRPr="009B7B35">
              <w:rPr>
                <w:rFonts w:cs="Arial"/>
                <w:szCs w:val="20"/>
              </w:rPr>
              <w:t>a switchyard, or</w:t>
            </w:r>
          </w:p>
          <w:p w14:paraId="502CDE4A" w14:textId="77777777" w:rsidR="00BE36FB" w:rsidRPr="009B7B35" w:rsidRDefault="00BE36FB" w:rsidP="00BE36FB">
            <w:pPr>
              <w:pStyle w:val="ListBullet"/>
              <w:spacing w:before="80" w:after="80"/>
              <w:rPr>
                <w:rFonts w:cs="Arial"/>
                <w:szCs w:val="20"/>
              </w:rPr>
            </w:pPr>
            <w:r w:rsidRPr="009B7B35">
              <w:rPr>
                <w:rFonts w:cs="Arial"/>
                <w:szCs w:val="20"/>
              </w:rPr>
              <w:t>communication facilities for ‘operating works’ as defined under the Electricity Act 1994 or for workforce operational and safety communications.</w:t>
            </w:r>
          </w:p>
        </w:tc>
        <w:tc>
          <w:tcPr>
            <w:tcW w:w="2339" w:type="dxa"/>
          </w:tcPr>
          <w:p w14:paraId="64589FDC" w14:textId="77777777" w:rsidR="00BE36FB" w:rsidRPr="009B7B35" w:rsidRDefault="00BE36FB" w:rsidP="001A7107">
            <w:pPr>
              <w:pStyle w:val="TableText"/>
              <w:rPr>
                <w:rFonts w:cs="Arial"/>
              </w:rPr>
            </w:pPr>
            <w:r w:rsidRPr="009B7B35">
              <w:rPr>
                <w:rFonts w:cs="Arial"/>
              </w:rPr>
              <w:t>Substations, switching yards</w:t>
            </w:r>
          </w:p>
        </w:tc>
        <w:tc>
          <w:tcPr>
            <w:tcW w:w="2339" w:type="dxa"/>
          </w:tcPr>
          <w:p w14:paraId="36F9B91A" w14:textId="77777777" w:rsidR="00BE36FB" w:rsidRPr="009B7B35" w:rsidRDefault="00BE36FB" w:rsidP="001A7107">
            <w:pPr>
              <w:pStyle w:val="TableText"/>
              <w:rPr>
                <w:rFonts w:cs="Arial"/>
              </w:rPr>
            </w:pPr>
            <w:r w:rsidRPr="009B7B35">
              <w:rPr>
                <w:rFonts w:cs="Arial"/>
              </w:rPr>
              <w:t>Major electricity infrastructure, minor electricity infrastructure</w:t>
            </w:r>
          </w:p>
        </w:tc>
      </w:tr>
      <w:tr w:rsidR="00BE36FB" w:rsidRPr="009B7B35" w14:paraId="1CF67418" w14:textId="77777777" w:rsidTr="001A7107">
        <w:trPr>
          <w:cantSplit/>
        </w:trPr>
        <w:tc>
          <w:tcPr>
            <w:tcW w:w="1843" w:type="dxa"/>
          </w:tcPr>
          <w:p w14:paraId="7A81EDF3" w14:textId="77777777" w:rsidR="00BE36FB" w:rsidRPr="009B7B35" w:rsidRDefault="00BE36FB" w:rsidP="001A7107">
            <w:pPr>
              <w:pStyle w:val="TableText"/>
              <w:rPr>
                <w:rFonts w:cs="Arial"/>
              </w:rPr>
            </w:pPr>
            <w:r w:rsidRPr="009B7B35">
              <w:rPr>
                <w:rFonts w:cs="Arial"/>
              </w:rPr>
              <w:t>Telecommunications facility</w:t>
            </w:r>
          </w:p>
        </w:tc>
        <w:tc>
          <w:tcPr>
            <w:tcW w:w="2835" w:type="dxa"/>
          </w:tcPr>
          <w:p w14:paraId="65926DC0" w14:textId="77777777" w:rsidR="00BE36FB" w:rsidRPr="009B7B35" w:rsidRDefault="00BE36FB" w:rsidP="001A7107">
            <w:pPr>
              <w:pStyle w:val="TableText"/>
              <w:rPr>
                <w:rFonts w:cs="Arial"/>
              </w:rPr>
            </w:pPr>
            <w:r w:rsidRPr="009B7B35">
              <w:rPr>
                <w:rFonts w:cs="Arial"/>
              </w:rPr>
              <w:t>Premises used for systems that carry communications and signals by means of radio, including guided or unguided electromagnetic energy, whether such facility is manned or remotely controlled.</w:t>
            </w:r>
          </w:p>
        </w:tc>
        <w:tc>
          <w:tcPr>
            <w:tcW w:w="2339" w:type="dxa"/>
          </w:tcPr>
          <w:p w14:paraId="3D893CEF" w14:textId="77777777" w:rsidR="00BE36FB" w:rsidRPr="009B7B35" w:rsidRDefault="00BE36FB" w:rsidP="001A7107">
            <w:pPr>
              <w:pStyle w:val="TableText"/>
              <w:rPr>
                <w:rFonts w:cs="Arial"/>
              </w:rPr>
            </w:pPr>
            <w:r w:rsidRPr="009B7B35">
              <w:rPr>
                <w:rFonts w:cs="Arial"/>
              </w:rPr>
              <w:t>Telecommunication tower, broadcasting station, television station</w:t>
            </w:r>
          </w:p>
        </w:tc>
        <w:tc>
          <w:tcPr>
            <w:tcW w:w="2339" w:type="dxa"/>
          </w:tcPr>
          <w:p w14:paraId="54F38307" w14:textId="77777777" w:rsidR="00BE36FB" w:rsidRPr="009B7B35" w:rsidRDefault="00BE36FB" w:rsidP="001A7107">
            <w:pPr>
              <w:pStyle w:val="TableText"/>
              <w:rPr>
                <w:rFonts w:cs="Arial"/>
              </w:rPr>
            </w:pPr>
            <w:r w:rsidRPr="009B7B35">
              <w:rPr>
                <w:rFonts w:cs="Arial"/>
              </w:rPr>
              <w:t>Aviation facility, ‘low–impact telecommunications facility’ as defined under the Telecommunications Act 1997</w:t>
            </w:r>
          </w:p>
        </w:tc>
      </w:tr>
      <w:tr w:rsidR="00BE36FB" w:rsidRPr="009B7B35" w14:paraId="3AB59855" w14:textId="77777777" w:rsidTr="001A7107">
        <w:trPr>
          <w:cantSplit/>
        </w:trPr>
        <w:tc>
          <w:tcPr>
            <w:tcW w:w="1843" w:type="dxa"/>
          </w:tcPr>
          <w:p w14:paraId="35D07A50" w14:textId="77777777" w:rsidR="00BE36FB" w:rsidRPr="009B7B35" w:rsidRDefault="00BE36FB" w:rsidP="001A7107">
            <w:pPr>
              <w:pStyle w:val="TableText"/>
              <w:rPr>
                <w:rFonts w:cs="Arial"/>
              </w:rPr>
            </w:pPr>
            <w:r w:rsidRPr="009B7B35">
              <w:rPr>
                <w:rFonts w:cs="Arial"/>
              </w:rPr>
              <w:t>Theatre</w:t>
            </w:r>
          </w:p>
        </w:tc>
        <w:tc>
          <w:tcPr>
            <w:tcW w:w="2835" w:type="dxa"/>
          </w:tcPr>
          <w:p w14:paraId="19F10E61" w14:textId="77777777" w:rsidR="00BE36FB" w:rsidRPr="009B7B35" w:rsidRDefault="00BE36FB" w:rsidP="001A7107">
            <w:pPr>
              <w:pStyle w:val="TableText"/>
              <w:rPr>
                <w:rFonts w:cs="Arial"/>
              </w:rPr>
            </w:pPr>
            <w:r w:rsidRPr="009B7B35">
              <w:rPr>
                <w:rFonts w:cs="Arial"/>
              </w:rPr>
              <w:t>Premises used for presenting movies, live entertainment or music to the public and may include provision of food and liquor for consumption on the premises. The use may include the production of film or music, including associated ancillary facilities, which are associated with the production, such as sound stages, wardrobe and laundry facilities, makeup facilities, set construction workshops, editing and post–production facilities.</w:t>
            </w:r>
          </w:p>
        </w:tc>
        <w:tc>
          <w:tcPr>
            <w:tcW w:w="2339" w:type="dxa"/>
          </w:tcPr>
          <w:p w14:paraId="4FC1655F" w14:textId="77777777" w:rsidR="00BE36FB" w:rsidRPr="009B7B35" w:rsidRDefault="00BE36FB" w:rsidP="001A7107">
            <w:pPr>
              <w:pStyle w:val="TableText"/>
              <w:rPr>
                <w:rFonts w:cs="Arial"/>
              </w:rPr>
            </w:pPr>
            <w:r w:rsidRPr="009B7B35">
              <w:rPr>
                <w:rFonts w:cs="Arial"/>
              </w:rPr>
              <w:t>Cinema, movie house, concert hall, dance hall, film studio, music recording studio</w:t>
            </w:r>
          </w:p>
        </w:tc>
        <w:tc>
          <w:tcPr>
            <w:tcW w:w="2339" w:type="dxa"/>
          </w:tcPr>
          <w:p w14:paraId="495AC7F3" w14:textId="77777777" w:rsidR="00BE36FB" w:rsidRPr="009B7B35" w:rsidRDefault="00BE36FB" w:rsidP="001A7107">
            <w:pPr>
              <w:pStyle w:val="TableText"/>
              <w:rPr>
                <w:rFonts w:cs="Arial"/>
              </w:rPr>
            </w:pPr>
            <w:r w:rsidRPr="009B7B35">
              <w:rPr>
                <w:rFonts w:cs="Arial"/>
              </w:rPr>
              <w:t>Community hall, hotel, indoor sport and recreation facility, temporary film studio</w:t>
            </w:r>
          </w:p>
        </w:tc>
      </w:tr>
      <w:tr w:rsidR="00BE36FB" w:rsidRPr="009B7B35" w14:paraId="3A11A145" w14:textId="77777777" w:rsidTr="001A7107">
        <w:trPr>
          <w:cantSplit/>
        </w:trPr>
        <w:tc>
          <w:tcPr>
            <w:tcW w:w="1843" w:type="dxa"/>
          </w:tcPr>
          <w:p w14:paraId="63A1D3A9" w14:textId="77777777" w:rsidR="00BE36FB" w:rsidRPr="009B7B35" w:rsidRDefault="00BE36FB" w:rsidP="001A7107">
            <w:pPr>
              <w:pStyle w:val="TableText"/>
              <w:rPr>
                <w:rFonts w:cs="Arial"/>
              </w:rPr>
            </w:pPr>
            <w:r w:rsidRPr="009B7B35">
              <w:rPr>
                <w:rFonts w:cs="Arial"/>
              </w:rPr>
              <w:t>Tourist attraction</w:t>
            </w:r>
          </w:p>
        </w:tc>
        <w:tc>
          <w:tcPr>
            <w:tcW w:w="2835" w:type="dxa"/>
          </w:tcPr>
          <w:p w14:paraId="5241F1FB" w14:textId="77777777" w:rsidR="00BE36FB" w:rsidRPr="009B7B35" w:rsidRDefault="00BE36FB" w:rsidP="001A7107">
            <w:pPr>
              <w:pStyle w:val="TableText"/>
              <w:rPr>
                <w:rFonts w:cs="Arial"/>
              </w:rPr>
            </w:pPr>
            <w:r w:rsidRPr="009B7B35">
              <w:rPr>
                <w:rFonts w:cs="Arial"/>
              </w:rPr>
              <w:t>Premises used for providing on– site entertainment, recreation or similar facilities for the general public. The use may include provision of food and drink for consumption on site.</w:t>
            </w:r>
          </w:p>
        </w:tc>
        <w:tc>
          <w:tcPr>
            <w:tcW w:w="2339" w:type="dxa"/>
          </w:tcPr>
          <w:p w14:paraId="46ED0020" w14:textId="77777777" w:rsidR="00BE36FB" w:rsidRPr="009B7B35" w:rsidRDefault="00BE36FB" w:rsidP="001A7107">
            <w:pPr>
              <w:pStyle w:val="TableText"/>
              <w:rPr>
                <w:rFonts w:cs="Arial"/>
              </w:rPr>
            </w:pPr>
            <w:r w:rsidRPr="009B7B35">
              <w:rPr>
                <w:rFonts w:cs="Arial"/>
              </w:rPr>
              <w:t>Theme park, zoo</w:t>
            </w:r>
          </w:p>
        </w:tc>
        <w:tc>
          <w:tcPr>
            <w:tcW w:w="2339" w:type="dxa"/>
          </w:tcPr>
          <w:p w14:paraId="0D2AB294" w14:textId="77777777" w:rsidR="00BE36FB" w:rsidRPr="009B7B35" w:rsidRDefault="00BE36FB" w:rsidP="001A7107">
            <w:pPr>
              <w:pStyle w:val="TableText"/>
              <w:rPr>
                <w:rFonts w:cs="Arial"/>
              </w:rPr>
            </w:pPr>
            <w:r w:rsidRPr="009B7B35">
              <w:rPr>
                <w:rFonts w:cs="Arial"/>
              </w:rPr>
              <w:t>Hotel, major sport, recreation and entertainment facility, nightclub entertainment facility</w:t>
            </w:r>
          </w:p>
        </w:tc>
      </w:tr>
      <w:tr w:rsidR="00BE36FB" w:rsidRPr="009B7B35" w14:paraId="09703BE6" w14:textId="77777777" w:rsidTr="001A7107">
        <w:trPr>
          <w:cantSplit/>
        </w:trPr>
        <w:tc>
          <w:tcPr>
            <w:tcW w:w="1843" w:type="dxa"/>
          </w:tcPr>
          <w:p w14:paraId="5164B52C" w14:textId="77777777" w:rsidR="00BE36FB" w:rsidRPr="009B7B35" w:rsidRDefault="00BE36FB" w:rsidP="001A7107">
            <w:pPr>
              <w:pStyle w:val="TableText"/>
              <w:rPr>
                <w:rFonts w:cs="Arial"/>
              </w:rPr>
            </w:pPr>
            <w:r w:rsidRPr="009B7B35">
              <w:rPr>
                <w:rFonts w:cs="Arial"/>
              </w:rPr>
              <w:t>Tourist park</w:t>
            </w:r>
          </w:p>
        </w:tc>
        <w:tc>
          <w:tcPr>
            <w:tcW w:w="2835" w:type="dxa"/>
          </w:tcPr>
          <w:p w14:paraId="1F874269" w14:textId="77777777" w:rsidR="00BE36FB" w:rsidRPr="009B7B35" w:rsidRDefault="00BE36FB" w:rsidP="001A7107">
            <w:pPr>
              <w:pStyle w:val="TableText"/>
              <w:rPr>
                <w:rFonts w:cs="Arial"/>
              </w:rPr>
            </w:pPr>
            <w:r w:rsidRPr="009B7B35">
              <w:rPr>
                <w:rFonts w:cs="Arial"/>
              </w:rPr>
              <w:t>Premises used to provide for accommodation in caravans, self–contained cabins, tents and similar structures for the public for short term holiday purposes. The use may include, where ancillary, a manager’s residence and office, kiosk, amenity buildings, food and drink outlet, or the provision of recreation facilities for the use of occupants of the tourist park and their visitors, and accommodation for staff.</w:t>
            </w:r>
          </w:p>
        </w:tc>
        <w:tc>
          <w:tcPr>
            <w:tcW w:w="2339" w:type="dxa"/>
          </w:tcPr>
          <w:p w14:paraId="230B7F6D" w14:textId="77777777" w:rsidR="00BE36FB" w:rsidRPr="009B7B35" w:rsidRDefault="00BE36FB" w:rsidP="001A7107">
            <w:pPr>
              <w:pStyle w:val="TableText"/>
              <w:rPr>
                <w:rFonts w:cs="Arial"/>
              </w:rPr>
            </w:pPr>
            <w:r w:rsidRPr="009B7B35">
              <w:rPr>
                <w:rFonts w:cs="Arial"/>
              </w:rPr>
              <w:t>Camping ground, caravan park, holiday cabins</w:t>
            </w:r>
          </w:p>
        </w:tc>
        <w:tc>
          <w:tcPr>
            <w:tcW w:w="2339" w:type="dxa"/>
          </w:tcPr>
          <w:p w14:paraId="0B2444CE" w14:textId="77777777" w:rsidR="00BE36FB" w:rsidRPr="009B7B35" w:rsidRDefault="00BE36FB" w:rsidP="001A7107">
            <w:pPr>
              <w:pStyle w:val="TableText"/>
              <w:rPr>
                <w:rFonts w:cs="Arial"/>
              </w:rPr>
            </w:pPr>
            <w:r w:rsidRPr="009B7B35">
              <w:rPr>
                <w:rFonts w:cs="Arial"/>
              </w:rPr>
              <w:t>Relocatable home park, tourist attraction, short–term accommodation, non–resident workforce accommodation</w:t>
            </w:r>
          </w:p>
        </w:tc>
      </w:tr>
      <w:tr w:rsidR="00BE36FB" w:rsidRPr="009B7B35" w14:paraId="58C97912" w14:textId="77777777" w:rsidTr="001A7107">
        <w:trPr>
          <w:cantSplit/>
        </w:trPr>
        <w:tc>
          <w:tcPr>
            <w:tcW w:w="1843" w:type="dxa"/>
          </w:tcPr>
          <w:p w14:paraId="31B6AEB6" w14:textId="77777777" w:rsidR="00BE36FB" w:rsidRPr="009B7B35" w:rsidDel="00A523CC" w:rsidRDefault="00BE36FB" w:rsidP="001A7107">
            <w:pPr>
              <w:pStyle w:val="TableText"/>
              <w:rPr>
                <w:rFonts w:cs="Arial"/>
              </w:rPr>
            </w:pPr>
            <w:r w:rsidRPr="009B7B35">
              <w:rPr>
                <w:rFonts w:cs="Arial"/>
              </w:rPr>
              <w:t>Transport depot</w:t>
            </w:r>
          </w:p>
        </w:tc>
        <w:tc>
          <w:tcPr>
            <w:tcW w:w="2835" w:type="dxa"/>
          </w:tcPr>
          <w:p w14:paraId="485952E2" w14:textId="77777777" w:rsidR="00BE36FB" w:rsidRPr="009B7B35" w:rsidRDefault="00BE36FB" w:rsidP="001A7107">
            <w:pPr>
              <w:pStyle w:val="TableText"/>
              <w:rPr>
                <w:rFonts w:cs="Arial"/>
              </w:rPr>
            </w:pPr>
            <w:r w:rsidRPr="009B7B35">
              <w:rPr>
                <w:rFonts w:cs="Arial"/>
              </w:rPr>
              <w:t>Premises used for the storage, for commercial or public purposes, of more than one motor vehicle. The use includes premises for the storage of taxis, buses, trucks, heavy machinery and uses of a like nature. The term may include the ancillary servicing, repair and cleaning of vehicles stored on the premises.</w:t>
            </w:r>
          </w:p>
        </w:tc>
        <w:tc>
          <w:tcPr>
            <w:tcW w:w="2339" w:type="dxa"/>
          </w:tcPr>
          <w:p w14:paraId="25CD8EFB" w14:textId="77777777" w:rsidR="00BE36FB" w:rsidRPr="009B7B35" w:rsidDel="00A523CC" w:rsidRDefault="00BE36FB" w:rsidP="001A7107">
            <w:pPr>
              <w:pStyle w:val="TableText"/>
              <w:rPr>
                <w:rFonts w:cs="Arial"/>
              </w:rPr>
            </w:pPr>
            <w:r w:rsidRPr="009B7B35">
              <w:rPr>
                <w:rFonts w:cs="Arial"/>
              </w:rPr>
              <w:t>Contractor’s depot, bus depot, truck yard, heavy machinery yard</w:t>
            </w:r>
          </w:p>
        </w:tc>
        <w:tc>
          <w:tcPr>
            <w:tcW w:w="2339" w:type="dxa"/>
          </w:tcPr>
          <w:p w14:paraId="59F2F5B8" w14:textId="77777777" w:rsidR="00BE36FB" w:rsidRPr="009B7B35" w:rsidDel="00A523CC" w:rsidRDefault="00BE36FB" w:rsidP="001A7107">
            <w:pPr>
              <w:pStyle w:val="TableText"/>
              <w:rPr>
                <w:rFonts w:cs="Arial"/>
              </w:rPr>
            </w:pPr>
            <w:r w:rsidRPr="009B7B35">
              <w:rPr>
                <w:rFonts w:cs="Arial"/>
              </w:rPr>
              <w:t>Home based business, warehouse, low impact industry, service industry</w:t>
            </w:r>
          </w:p>
        </w:tc>
      </w:tr>
      <w:tr w:rsidR="00BE36FB" w:rsidRPr="009B7B35" w14:paraId="59E6EF25" w14:textId="77777777" w:rsidTr="001A7107">
        <w:trPr>
          <w:cantSplit/>
        </w:trPr>
        <w:tc>
          <w:tcPr>
            <w:tcW w:w="1843" w:type="dxa"/>
          </w:tcPr>
          <w:p w14:paraId="44369097" w14:textId="77777777" w:rsidR="00BE36FB" w:rsidRPr="009B7B35" w:rsidRDefault="00BE36FB" w:rsidP="001A7107">
            <w:pPr>
              <w:pStyle w:val="TableText"/>
              <w:rPr>
                <w:rFonts w:cs="Arial"/>
              </w:rPr>
            </w:pPr>
            <w:r w:rsidRPr="009B7B35">
              <w:rPr>
                <w:rFonts w:cs="Arial"/>
              </w:rPr>
              <w:t>Utility installation</w:t>
            </w:r>
          </w:p>
        </w:tc>
        <w:tc>
          <w:tcPr>
            <w:tcW w:w="2835" w:type="dxa"/>
          </w:tcPr>
          <w:p w14:paraId="7C55BDA7" w14:textId="77777777" w:rsidR="00BE36FB" w:rsidRPr="009B7B35" w:rsidRDefault="00BE36FB" w:rsidP="001A7107">
            <w:pPr>
              <w:pStyle w:val="TableText"/>
              <w:rPr>
                <w:rFonts w:cs="Arial"/>
              </w:rPr>
            </w:pPr>
            <w:r w:rsidRPr="009B7B35">
              <w:rPr>
                <w:rFonts w:cs="Arial"/>
              </w:rPr>
              <w:t>Premises used to provide the public with the following services:</w:t>
            </w:r>
          </w:p>
          <w:p w14:paraId="0059B6D8" w14:textId="77777777" w:rsidR="00BE36FB" w:rsidRPr="009B7B35" w:rsidRDefault="00BE36FB" w:rsidP="00BE36FB">
            <w:pPr>
              <w:pStyle w:val="ListBullet"/>
              <w:spacing w:before="80" w:after="80"/>
              <w:rPr>
                <w:rFonts w:cs="Arial"/>
                <w:szCs w:val="20"/>
              </w:rPr>
            </w:pPr>
            <w:r w:rsidRPr="009B7B35">
              <w:rPr>
                <w:rFonts w:cs="Arial"/>
                <w:szCs w:val="20"/>
              </w:rPr>
              <w:t>supply or treatment of water, hydraulic power or gas</w:t>
            </w:r>
          </w:p>
          <w:p w14:paraId="0CC823A9" w14:textId="77777777" w:rsidR="00BE36FB" w:rsidRPr="009B7B35" w:rsidRDefault="00BE36FB" w:rsidP="00BE36FB">
            <w:pPr>
              <w:pStyle w:val="ListBullet"/>
              <w:spacing w:before="80" w:after="80"/>
              <w:rPr>
                <w:rFonts w:cs="Arial"/>
                <w:szCs w:val="20"/>
              </w:rPr>
            </w:pPr>
            <w:r w:rsidRPr="009B7B35">
              <w:rPr>
                <w:rFonts w:cs="Arial"/>
                <w:szCs w:val="20"/>
              </w:rPr>
              <w:t>sewerage, drainage or stormwater services</w:t>
            </w:r>
          </w:p>
          <w:p w14:paraId="750CBDCB" w14:textId="77777777" w:rsidR="00BE36FB" w:rsidRPr="009B7B35" w:rsidRDefault="00BE36FB" w:rsidP="00BE36FB">
            <w:pPr>
              <w:pStyle w:val="ListBullet"/>
              <w:spacing w:before="80" w:after="80"/>
              <w:rPr>
                <w:rFonts w:cs="Arial"/>
                <w:szCs w:val="20"/>
              </w:rPr>
            </w:pPr>
            <w:r w:rsidRPr="009B7B35">
              <w:rPr>
                <w:rFonts w:cs="Arial"/>
                <w:szCs w:val="20"/>
              </w:rPr>
              <w:t>transport services including road, rail or water</w:t>
            </w:r>
          </w:p>
          <w:p w14:paraId="04DA1432" w14:textId="77777777" w:rsidR="00BE36FB" w:rsidRPr="009B7B35" w:rsidRDefault="00BE36FB" w:rsidP="00BE36FB">
            <w:pPr>
              <w:pStyle w:val="ListBullet"/>
              <w:spacing w:before="80" w:after="80"/>
              <w:rPr>
                <w:rFonts w:cs="Arial"/>
                <w:szCs w:val="20"/>
              </w:rPr>
            </w:pPr>
            <w:r w:rsidRPr="009B7B35">
              <w:rPr>
                <w:rFonts w:cs="Arial"/>
                <w:szCs w:val="20"/>
              </w:rPr>
              <w:t>waste management facilities, or</w:t>
            </w:r>
          </w:p>
          <w:p w14:paraId="3D45654E" w14:textId="77777777" w:rsidR="00BE36FB" w:rsidRPr="009B7B35" w:rsidRDefault="00BE36FB" w:rsidP="00BE36FB">
            <w:pPr>
              <w:pStyle w:val="ListBullet"/>
              <w:spacing w:before="80" w:after="80"/>
              <w:rPr>
                <w:rFonts w:cs="Arial"/>
                <w:szCs w:val="20"/>
              </w:rPr>
            </w:pPr>
            <w:r w:rsidRPr="009B7B35">
              <w:rPr>
                <w:rFonts w:cs="Arial"/>
                <w:szCs w:val="20"/>
              </w:rPr>
              <w:t>network infrastructure.</w:t>
            </w:r>
          </w:p>
          <w:p w14:paraId="2A4C4272" w14:textId="77777777" w:rsidR="00BE36FB" w:rsidRPr="009B7B35" w:rsidRDefault="00BE36FB" w:rsidP="001A7107">
            <w:pPr>
              <w:pStyle w:val="TableText"/>
              <w:rPr>
                <w:rFonts w:cs="Arial"/>
              </w:rPr>
            </w:pPr>
            <w:r w:rsidRPr="009B7B35">
              <w:rPr>
                <w:rFonts w:cs="Arial"/>
              </w:rPr>
              <w:t>The use includes maintenance and storage depots and other facilities for the operation of the use.</w:t>
            </w:r>
          </w:p>
        </w:tc>
        <w:tc>
          <w:tcPr>
            <w:tcW w:w="2339" w:type="dxa"/>
          </w:tcPr>
          <w:p w14:paraId="4A9DD279" w14:textId="77777777" w:rsidR="00BE36FB" w:rsidRPr="009B7B35" w:rsidRDefault="00BE36FB" w:rsidP="001A7107">
            <w:pPr>
              <w:pStyle w:val="TableText"/>
              <w:rPr>
                <w:rFonts w:cs="Arial"/>
              </w:rPr>
            </w:pPr>
            <w:r w:rsidRPr="009B7B35">
              <w:rPr>
                <w:rFonts w:cs="Arial"/>
              </w:rPr>
              <w:t>Sewerage treatment plant, mail depot, pumping station, water treatment plant</w:t>
            </w:r>
          </w:p>
        </w:tc>
        <w:tc>
          <w:tcPr>
            <w:tcW w:w="2339" w:type="dxa"/>
          </w:tcPr>
          <w:p w14:paraId="23A05B9A" w14:textId="77777777" w:rsidR="00BE36FB" w:rsidRPr="009B7B35" w:rsidRDefault="00BE36FB" w:rsidP="001A7107">
            <w:pPr>
              <w:pStyle w:val="TableText"/>
              <w:rPr>
                <w:rFonts w:cs="Arial"/>
              </w:rPr>
            </w:pPr>
            <w:r w:rsidRPr="009B7B35">
              <w:rPr>
                <w:rFonts w:cs="Arial"/>
              </w:rPr>
              <w:t>Telecommunications tower, major electricity infrastructure, minor electricity infrastructure, substation, renewable energy facility, transport depot</w:t>
            </w:r>
          </w:p>
        </w:tc>
      </w:tr>
      <w:tr w:rsidR="00BE36FB" w:rsidRPr="009B7B35" w14:paraId="1AC20631" w14:textId="77777777" w:rsidTr="001A7107">
        <w:tc>
          <w:tcPr>
            <w:tcW w:w="1843" w:type="dxa"/>
          </w:tcPr>
          <w:p w14:paraId="0B71543B" w14:textId="77777777" w:rsidR="00BE36FB" w:rsidRPr="009B7B35" w:rsidRDefault="00BE36FB" w:rsidP="001A7107">
            <w:pPr>
              <w:pStyle w:val="TableText"/>
              <w:rPr>
                <w:rFonts w:cs="Arial"/>
              </w:rPr>
            </w:pPr>
            <w:r w:rsidRPr="009B7B35">
              <w:rPr>
                <w:rFonts w:cs="Arial"/>
              </w:rPr>
              <w:t>Veterinary services</w:t>
            </w:r>
          </w:p>
        </w:tc>
        <w:tc>
          <w:tcPr>
            <w:tcW w:w="2835" w:type="dxa"/>
          </w:tcPr>
          <w:p w14:paraId="15B92398" w14:textId="77777777" w:rsidR="00BE36FB" w:rsidRPr="009B7B35" w:rsidRDefault="00BE36FB" w:rsidP="001A7107">
            <w:pPr>
              <w:pStyle w:val="TableText"/>
              <w:rPr>
                <w:rFonts w:cs="Arial"/>
              </w:rPr>
            </w:pPr>
            <w:r w:rsidRPr="009B7B35">
              <w:rPr>
                <w:rFonts w:cs="Arial"/>
              </w:rPr>
              <w:t>Premises used for veterinary care, surgery and treatment of animals that may include provision for the short–term accommodation of the animals on the premises.</w:t>
            </w:r>
          </w:p>
        </w:tc>
        <w:tc>
          <w:tcPr>
            <w:tcW w:w="2339" w:type="dxa"/>
          </w:tcPr>
          <w:p w14:paraId="7A972E9F" w14:textId="77777777" w:rsidR="00BE36FB" w:rsidRPr="009B7B35" w:rsidRDefault="00BE36FB" w:rsidP="001A7107">
            <w:pPr>
              <w:pStyle w:val="TableText"/>
              <w:rPr>
                <w:rFonts w:cs="Arial"/>
              </w:rPr>
            </w:pPr>
          </w:p>
        </w:tc>
        <w:tc>
          <w:tcPr>
            <w:tcW w:w="2339" w:type="dxa"/>
          </w:tcPr>
          <w:p w14:paraId="14E470A4" w14:textId="77777777" w:rsidR="00BE36FB" w:rsidRPr="009B7B35" w:rsidRDefault="00BE36FB" w:rsidP="001A7107">
            <w:pPr>
              <w:pStyle w:val="TableText"/>
              <w:rPr>
                <w:rFonts w:cs="Arial"/>
              </w:rPr>
            </w:pPr>
            <w:r w:rsidRPr="009B7B35">
              <w:rPr>
                <w:rFonts w:cs="Arial"/>
              </w:rPr>
              <w:t>Animal keeping</w:t>
            </w:r>
          </w:p>
        </w:tc>
      </w:tr>
      <w:tr w:rsidR="00BE36FB" w:rsidRPr="009B7B35" w14:paraId="2E90C011" w14:textId="77777777" w:rsidTr="001A7107">
        <w:tc>
          <w:tcPr>
            <w:tcW w:w="1843" w:type="dxa"/>
          </w:tcPr>
          <w:p w14:paraId="20744BA3" w14:textId="77777777" w:rsidR="00BE36FB" w:rsidRPr="009B7B35" w:rsidRDefault="00BE36FB" w:rsidP="001A7107">
            <w:pPr>
              <w:pStyle w:val="TableText"/>
              <w:rPr>
                <w:rFonts w:cs="Arial"/>
              </w:rPr>
            </w:pPr>
            <w:r w:rsidRPr="009B7B35">
              <w:rPr>
                <w:rFonts w:cs="Arial"/>
              </w:rPr>
              <w:t>Warehouse</w:t>
            </w:r>
          </w:p>
        </w:tc>
        <w:tc>
          <w:tcPr>
            <w:tcW w:w="2835" w:type="dxa"/>
          </w:tcPr>
          <w:p w14:paraId="28866AC8" w14:textId="77777777" w:rsidR="00BE36FB" w:rsidRPr="009B7B35" w:rsidRDefault="00BE36FB" w:rsidP="001A7107">
            <w:pPr>
              <w:pStyle w:val="TableText"/>
              <w:rPr>
                <w:rFonts w:cs="Arial"/>
              </w:rPr>
            </w:pPr>
            <w:r w:rsidRPr="009B7B35">
              <w:rPr>
                <w:rFonts w:cs="Arial"/>
              </w:rPr>
              <w:t>Premises used for the storage and distribution of goods, whether or not in a building, including self–storage facilities or storage yards. The use may include sale of goods by wholesale where ancillary to storage. The use does not include retail sales from the premises or industrial uses.</w:t>
            </w:r>
          </w:p>
        </w:tc>
        <w:tc>
          <w:tcPr>
            <w:tcW w:w="2339" w:type="dxa"/>
          </w:tcPr>
          <w:p w14:paraId="47BB47D5" w14:textId="77777777" w:rsidR="00BE36FB" w:rsidRPr="009B7B35" w:rsidRDefault="00BE36FB" w:rsidP="001A7107">
            <w:pPr>
              <w:pStyle w:val="TableText"/>
              <w:rPr>
                <w:rFonts w:cs="Arial"/>
              </w:rPr>
            </w:pPr>
            <w:r w:rsidRPr="009B7B35">
              <w:rPr>
                <w:rFonts w:cs="Arial"/>
              </w:rPr>
              <w:t>Self–storage sheds</w:t>
            </w:r>
          </w:p>
        </w:tc>
        <w:tc>
          <w:tcPr>
            <w:tcW w:w="2339" w:type="dxa"/>
          </w:tcPr>
          <w:p w14:paraId="76BF93A9" w14:textId="77777777" w:rsidR="00BE36FB" w:rsidRPr="009B7B35" w:rsidRDefault="00BE36FB" w:rsidP="001A7107">
            <w:pPr>
              <w:pStyle w:val="TableText"/>
              <w:rPr>
                <w:rFonts w:cs="Arial"/>
              </w:rPr>
            </w:pPr>
            <w:r w:rsidRPr="009B7B35">
              <w:rPr>
                <w:rFonts w:cs="Arial"/>
              </w:rPr>
              <w:t>Hardware and trade supplies, outdoor sales, showroom, shop</w:t>
            </w:r>
          </w:p>
        </w:tc>
      </w:tr>
      <w:tr w:rsidR="00BE36FB" w:rsidRPr="009B7B35" w14:paraId="17FA9D1E" w14:textId="77777777" w:rsidTr="001A7107">
        <w:trPr>
          <w:cantSplit/>
        </w:trPr>
        <w:tc>
          <w:tcPr>
            <w:tcW w:w="1843" w:type="dxa"/>
          </w:tcPr>
          <w:p w14:paraId="022527D1" w14:textId="77777777" w:rsidR="00BE36FB" w:rsidRPr="009B7B35" w:rsidRDefault="00BE36FB" w:rsidP="001A7107">
            <w:pPr>
              <w:pStyle w:val="TableText"/>
              <w:rPr>
                <w:rFonts w:cs="Arial"/>
              </w:rPr>
            </w:pPr>
            <w:r w:rsidRPr="009B7B35">
              <w:rPr>
                <w:rFonts w:cs="Arial"/>
              </w:rPr>
              <w:t>Wholesale nursery</w:t>
            </w:r>
          </w:p>
        </w:tc>
        <w:tc>
          <w:tcPr>
            <w:tcW w:w="2835" w:type="dxa"/>
          </w:tcPr>
          <w:p w14:paraId="66753605" w14:textId="77777777" w:rsidR="00BE36FB" w:rsidRPr="009B7B35" w:rsidRDefault="00BE36FB" w:rsidP="001A7107">
            <w:pPr>
              <w:pStyle w:val="TableText"/>
              <w:rPr>
                <w:rFonts w:cs="Arial"/>
              </w:rPr>
            </w:pPr>
            <w:r w:rsidRPr="009B7B35">
              <w:rPr>
                <w:rFonts w:cs="Arial"/>
              </w:rPr>
              <w:t>Premises used for the sale of plants, but not to the general public, where the plants are grown on or adjacent to the site. The use may include sale of gardening materials where these are ancillary to the primary use.</w:t>
            </w:r>
          </w:p>
        </w:tc>
        <w:tc>
          <w:tcPr>
            <w:tcW w:w="2339" w:type="dxa"/>
          </w:tcPr>
          <w:p w14:paraId="39A64765" w14:textId="77777777" w:rsidR="00BE36FB" w:rsidRPr="009B7B35" w:rsidRDefault="00BE36FB" w:rsidP="001A7107">
            <w:pPr>
              <w:pStyle w:val="TableText"/>
              <w:rPr>
                <w:rFonts w:cs="Arial"/>
              </w:rPr>
            </w:pPr>
          </w:p>
        </w:tc>
        <w:tc>
          <w:tcPr>
            <w:tcW w:w="2339" w:type="dxa"/>
          </w:tcPr>
          <w:p w14:paraId="3B0DB58C" w14:textId="77777777" w:rsidR="00BE36FB" w:rsidRPr="009B7B35" w:rsidRDefault="00BE36FB" w:rsidP="001A7107">
            <w:pPr>
              <w:pStyle w:val="TableText"/>
              <w:rPr>
                <w:rFonts w:cs="Arial"/>
              </w:rPr>
            </w:pPr>
            <w:r w:rsidRPr="009B7B35">
              <w:rPr>
                <w:rFonts w:cs="Arial"/>
              </w:rPr>
              <w:t>Bulk landscape supplies, garden centre</w:t>
            </w:r>
          </w:p>
        </w:tc>
      </w:tr>
      <w:tr w:rsidR="00BE36FB" w:rsidRPr="009B7B35" w14:paraId="4880BF54" w14:textId="77777777" w:rsidTr="001A7107">
        <w:trPr>
          <w:cantSplit/>
        </w:trPr>
        <w:tc>
          <w:tcPr>
            <w:tcW w:w="1843" w:type="dxa"/>
          </w:tcPr>
          <w:p w14:paraId="046A58E6" w14:textId="77777777" w:rsidR="00BE36FB" w:rsidRPr="009B7B35" w:rsidRDefault="00BE36FB" w:rsidP="001A7107">
            <w:pPr>
              <w:pStyle w:val="TableText"/>
              <w:rPr>
                <w:rFonts w:cs="Arial"/>
              </w:rPr>
            </w:pPr>
            <w:r w:rsidRPr="009B7B35">
              <w:rPr>
                <w:rFonts w:cs="Arial"/>
              </w:rPr>
              <w:t>Winery</w:t>
            </w:r>
          </w:p>
        </w:tc>
        <w:tc>
          <w:tcPr>
            <w:tcW w:w="2835" w:type="dxa"/>
          </w:tcPr>
          <w:p w14:paraId="7EE13097" w14:textId="77777777" w:rsidR="00BE36FB" w:rsidRPr="009B7B35" w:rsidRDefault="00BE36FB" w:rsidP="001A7107">
            <w:pPr>
              <w:pStyle w:val="TableText"/>
              <w:rPr>
                <w:rFonts w:cs="Arial"/>
              </w:rPr>
            </w:pPr>
            <w:r w:rsidRPr="009B7B35">
              <w:rPr>
                <w:rFonts w:cs="Arial"/>
              </w:rPr>
              <w:t>Premises used for manufacturing of wine, which may include the sale of wine manufactured on site.</w:t>
            </w:r>
          </w:p>
        </w:tc>
        <w:tc>
          <w:tcPr>
            <w:tcW w:w="2339" w:type="dxa"/>
          </w:tcPr>
          <w:p w14:paraId="2012042C" w14:textId="77777777" w:rsidR="00BE36FB" w:rsidRPr="009B7B35" w:rsidRDefault="00BE36FB" w:rsidP="001A7107">
            <w:pPr>
              <w:pStyle w:val="TableText"/>
              <w:rPr>
                <w:rFonts w:cs="Arial"/>
              </w:rPr>
            </w:pPr>
          </w:p>
        </w:tc>
        <w:tc>
          <w:tcPr>
            <w:tcW w:w="2339" w:type="dxa"/>
          </w:tcPr>
          <w:p w14:paraId="6E36D470" w14:textId="77777777" w:rsidR="00BE36FB" w:rsidRPr="009B7B35" w:rsidRDefault="00BE36FB" w:rsidP="001A7107">
            <w:pPr>
              <w:pStyle w:val="TableText"/>
              <w:rPr>
                <w:rFonts w:cs="Arial"/>
              </w:rPr>
            </w:pPr>
            <w:r w:rsidRPr="009B7B35">
              <w:rPr>
                <w:rFonts w:cs="Arial"/>
              </w:rPr>
              <w:t>Rural industry</w:t>
            </w:r>
          </w:p>
        </w:tc>
      </w:tr>
    </w:tbl>
    <w:p w14:paraId="0E38D010" w14:textId="629DC954" w:rsidR="00BE36FB" w:rsidRPr="009B7B35" w:rsidRDefault="007A46D8" w:rsidP="007A46D8">
      <w:pPr>
        <w:pStyle w:val="Heading8"/>
        <w:numPr>
          <w:ilvl w:val="0"/>
          <w:numId w:val="0"/>
        </w:numPr>
        <w:rPr>
          <w:rFonts w:ascii="Arial" w:hAnsi="Arial" w:cs="Arial"/>
          <w:sz w:val="20"/>
        </w:rPr>
      </w:pPr>
      <w:bookmarkStart w:id="295" w:name="_Toc205367413"/>
      <w:r>
        <w:rPr>
          <w:rFonts w:ascii="Arial" w:hAnsi="Arial" w:cs="Arial"/>
          <w:sz w:val="20"/>
        </w:rPr>
        <w:t>SC1.1.1</w:t>
      </w:r>
      <w:r>
        <w:rPr>
          <w:rFonts w:ascii="Arial" w:hAnsi="Arial" w:cs="Arial"/>
          <w:sz w:val="20"/>
        </w:rPr>
        <w:tab/>
      </w:r>
      <w:r w:rsidR="00BE36FB" w:rsidRPr="009B7B35">
        <w:rPr>
          <w:rFonts w:ascii="Arial" w:hAnsi="Arial" w:cs="Arial"/>
          <w:sz w:val="20"/>
        </w:rPr>
        <w:t>Defined activity groups</w:t>
      </w:r>
      <w:bookmarkEnd w:id="295"/>
    </w:p>
    <w:p w14:paraId="3492A16C" w14:textId="77777777" w:rsidR="00BE36FB" w:rsidRPr="009B7B35" w:rsidRDefault="00BE36FB" w:rsidP="001A7107">
      <w:pPr>
        <w:rPr>
          <w:rFonts w:ascii="Arial" w:hAnsi="Arial" w:cs="Arial"/>
          <w:sz w:val="20"/>
          <w:szCs w:val="20"/>
        </w:rPr>
      </w:pPr>
      <w:r w:rsidRPr="009B7B35">
        <w:rPr>
          <w:rFonts w:ascii="Arial" w:hAnsi="Arial" w:cs="Arial"/>
          <w:sz w:val="20"/>
          <w:szCs w:val="20"/>
        </w:rPr>
        <w:t>There are no defined activity groups for the planning scheme.</w:t>
      </w:r>
    </w:p>
    <w:p w14:paraId="78477B21" w14:textId="73BCF0CE" w:rsidR="00BE36FB" w:rsidRPr="009B7B35" w:rsidRDefault="007A46D8" w:rsidP="007A46D8">
      <w:pPr>
        <w:pStyle w:val="Heading8"/>
        <w:numPr>
          <w:ilvl w:val="0"/>
          <w:numId w:val="0"/>
        </w:numPr>
        <w:rPr>
          <w:rFonts w:ascii="Arial" w:hAnsi="Arial" w:cs="Arial"/>
          <w:sz w:val="20"/>
        </w:rPr>
      </w:pPr>
      <w:bookmarkStart w:id="296" w:name="_Toc205367414"/>
      <w:r>
        <w:rPr>
          <w:rFonts w:ascii="Arial" w:hAnsi="Arial" w:cs="Arial"/>
          <w:sz w:val="20"/>
        </w:rPr>
        <w:t>SC1.1.2</w:t>
      </w:r>
      <w:r>
        <w:rPr>
          <w:rFonts w:ascii="Arial" w:hAnsi="Arial" w:cs="Arial"/>
          <w:sz w:val="20"/>
        </w:rPr>
        <w:tab/>
      </w:r>
      <w:r w:rsidR="00BE36FB" w:rsidRPr="009B7B35">
        <w:rPr>
          <w:rFonts w:ascii="Arial" w:hAnsi="Arial" w:cs="Arial"/>
          <w:sz w:val="20"/>
        </w:rPr>
        <w:t>Industry thresholds</w:t>
      </w:r>
      <w:bookmarkEnd w:id="296"/>
    </w:p>
    <w:p w14:paraId="694BAB74" w14:textId="77777777" w:rsidR="00BE36FB" w:rsidRPr="009B7B35" w:rsidRDefault="00BE36FB" w:rsidP="00BE36FB">
      <w:pPr>
        <w:numPr>
          <w:ilvl w:val="0"/>
          <w:numId w:val="827"/>
        </w:numPr>
        <w:rPr>
          <w:rFonts w:ascii="Arial" w:hAnsi="Arial" w:cs="Arial"/>
          <w:sz w:val="20"/>
          <w:szCs w:val="20"/>
        </w:rPr>
      </w:pPr>
      <w:r w:rsidRPr="009B7B35">
        <w:rPr>
          <w:rFonts w:ascii="Arial" w:hAnsi="Arial" w:cs="Arial"/>
          <w:sz w:val="20"/>
          <w:szCs w:val="20"/>
        </w:rPr>
        <w:t>The industry thresholds listed below are to be used in conjunction with the defined uses listed in Table Sc1.1.2.1—Low impact industry, Medium impact industry, High impact industry and Special industry.</w:t>
      </w:r>
    </w:p>
    <w:p w14:paraId="16FD74C2" w14:textId="77777777" w:rsidR="00BE36FB" w:rsidRPr="009B7B35" w:rsidRDefault="00BE36FB" w:rsidP="001A7107">
      <w:pPr>
        <w:pStyle w:val="Heading9"/>
        <w:numPr>
          <w:ilvl w:val="0"/>
          <w:numId w:val="0"/>
        </w:numPr>
        <w:rPr>
          <w:rFonts w:cs="Arial"/>
          <w:sz w:val="20"/>
        </w:rPr>
      </w:pPr>
      <w:r w:rsidRPr="009B7B35">
        <w:rPr>
          <w:rFonts w:cs="Arial"/>
          <w:sz w:val="20"/>
        </w:rPr>
        <w:t>Table Sc1.1.2.1—Industry thresholds</w:t>
      </w:r>
    </w:p>
    <w:tbl>
      <w:tblPr>
        <w:tblStyle w:val="Tablestyle"/>
        <w:tblW w:w="9356" w:type="dxa"/>
        <w:tblLook w:val="0620" w:firstRow="1" w:lastRow="0" w:firstColumn="0" w:lastColumn="0" w:noHBand="1" w:noVBand="1"/>
      </w:tblPr>
      <w:tblGrid>
        <w:gridCol w:w="1843"/>
        <w:gridCol w:w="7513"/>
      </w:tblGrid>
      <w:tr w:rsidR="00BE36FB" w:rsidRPr="009B7B35" w14:paraId="67A0E041" w14:textId="77777777" w:rsidTr="001A7107">
        <w:trPr>
          <w:cnfStyle w:val="100000000000" w:firstRow="1" w:lastRow="0" w:firstColumn="0" w:lastColumn="0" w:oddVBand="0" w:evenVBand="0" w:oddHBand="0" w:evenHBand="0" w:firstRowFirstColumn="0" w:firstRowLastColumn="0" w:lastRowFirstColumn="0" w:lastRowLastColumn="0"/>
          <w:tblHeader/>
        </w:trPr>
        <w:tc>
          <w:tcPr>
            <w:tcW w:w="1843" w:type="dxa"/>
          </w:tcPr>
          <w:p w14:paraId="1474F45F" w14:textId="77777777" w:rsidR="00BE36FB" w:rsidRPr="009B7B35" w:rsidRDefault="00BE36FB" w:rsidP="001A7107">
            <w:pPr>
              <w:pStyle w:val="TableText"/>
              <w:rPr>
                <w:rFonts w:cs="Arial"/>
              </w:rPr>
            </w:pPr>
            <w:r w:rsidRPr="009B7B35">
              <w:rPr>
                <w:rFonts w:cs="Arial"/>
              </w:rPr>
              <w:t>Use</w:t>
            </w:r>
          </w:p>
        </w:tc>
        <w:tc>
          <w:tcPr>
            <w:tcW w:w="7513" w:type="dxa"/>
          </w:tcPr>
          <w:p w14:paraId="65CF9556" w14:textId="77777777" w:rsidR="00BE36FB" w:rsidRPr="009B7B35" w:rsidRDefault="00BE36FB" w:rsidP="001A7107">
            <w:pPr>
              <w:pStyle w:val="TableText"/>
              <w:rPr>
                <w:rFonts w:cs="Arial"/>
              </w:rPr>
            </w:pPr>
            <w:r w:rsidRPr="009B7B35">
              <w:rPr>
                <w:rFonts w:cs="Arial"/>
              </w:rPr>
              <w:t>Additional examples include</w:t>
            </w:r>
          </w:p>
        </w:tc>
      </w:tr>
      <w:tr w:rsidR="00BE36FB" w:rsidRPr="009B7B35" w14:paraId="46B47988" w14:textId="77777777" w:rsidTr="001A7107">
        <w:tc>
          <w:tcPr>
            <w:tcW w:w="1843" w:type="dxa"/>
          </w:tcPr>
          <w:p w14:paraId="21C7F98D" w14:textId="77777777" w:rsidR="00BE36FB" w:rsidRPr="009B7B35" w:rsidRDefault="00BE36FB" w:rsidP="001A7107">
            <w:pPr>
              <w:pStyle w:val="TableText"/>
              <w:rPr>
                <w:rFonts w:cs="Arial"/>
              </w:rPr>
            </w:pPr>
            <w:r w:rsidRPr="009B7B35">
              <w:rPr>
                <w:rFonts w:cs="Arial"/>
              </w:rPr>
              <w:t>Low impact industry</w:t>
            </w:r>
          </w:p>
        </w:tc>
        <w:tc>
          <w:tcPr>
            <w:tcW w:w="7513" w:type="dxa"/>
          </w:tcPr>
          <w:p w14:paraId="0FBD6B32" w14:textId="77777777" w:rsidR="00BE36FB" w:rsidRPr="009B7B35" w:rsidRDefault="00BE36FB" w:rsidP="001A7107">
            <w:pPr>
              <w:pStyle w:val="Tablelist"/>
              <w:rPr>
                <w:rFonts w:cs="Arial"/>
              </w:rPr>
            </w:pPr>
            <w:r w:rsidRPr="009B7B35">
              <w:rPr>
                <w:rFonts w:cs="Arial"/>
              </w:rPr>
              <w:t>Repairing and servicing motor vehicles, including mechanical components, radiators, electrical components, wheel alignments, exhausts, tyres, suspension or air conditioning, not including spray painting.</w:t>
            </w:r>
          </w:p>
          <w:p w14:paraId="70C60FE3" w14:textId="77777777" w:rsidR="00BE36FB" w:rsidRPr="009B7B35" w:rsidRDefault="00BE36FB" w:rsidP="001A7107">
            <w:pPr>
              <w:pStyle w:val="Tablelist"/>
              <w:rPr>
                <w:rFonts w:cs="Arial"/>
              </w:rPr>
            </w:pPr>
            <w:r w:rsidRPr="009B7B35">
              <w:rPr>
                <w:rFonts w:cs="Arial"/>
              </w:rPr>
              <w:t>Repairing and servicing lawn mowers and outboard engines.</w:t>
            </w:r>
          </w:p>
          <w:p w14:paraId="795C768A" w14:textId="77777777" w:rsidR="00BE36FB" w:rsidRPr="009B7B35" w:rsidRDefault="00BE36FB" w:rsidP="001A7107">
            <w:pPr>
              <w:pStyle w:val="Tablelist"/>
              <w:rPr>
                <w:rFonts w:cs="Arial"/>
              </w:rPr>
            </w:pPr>
            <w:r w:rsidRPr="009B7B35">
              <w:rPr>
                <w:rFonts w:cs="Arial"/>
              </w:rPr>
              <w:t>Fitting and turning workshop.</w:t>
            </w:r>
          </w:p>
          <w:p w14:paraId="6B3C8EBB" w14:textId="77777777" w:rsidR="00BE36FB" w:rsidRPr="009B7B35" w:rsidRDefault="00BE36FB" w:rsidP="001A7107">
            <w:pPr>
              <w:pStyle w:val="Tablelist"/>
              <w:rPr>
                <w:rFonts w:cs="Arial"/>
              </w:rPr>
            </w:pPr>
            <w:r w:rsidRPr="009B7B35">
              <w:rPr>
                <w:rFonts w:cs="Arial"/>
              </w:rPr>
              <w:t>Assembling or fabricating products from sheet metal or welding steel, producing less than 10 tonnes a year and not including spray painting.</w:t>
            </w:r>
          </w:p>
          <w:p w14:paraId="0D3C8CDB" w14:textId="77777777" w:rsidR="00BE36FB" w:rsidRPr="009B7B35" w:rsidRDefault="00BE36FB" w:rsidP="001A7107">
            <w:pPr>
              <w:pStyle w:val="Tablelist"/>
              <w:rPr>
                <w:rFonts w:cs="Arial"/>
              </w:rPr>
            </w:pPr>
            <w:r w:rsidRPr="009B7B35">
              <w:rPr>
                <w:rFonts w:cs="Arial"/>
              </w:rPr>
              <w:t>Assembling wood products not involving cutting, routing, sanding or spray painting.</w:t>
            </w:r>
          </w:p>
          <w:p w14:paraId="66F456D8" w14:textId="77777777" w:rsidR="00BE36FB" w:rsidRPr="009B7B35" w:rsidRDefault="00BE36FB" w:rsidP="001A7107">
            <w:pPr>
              <w:pStyle w:val="Tablelist"/>
              <w:rPr>
                <w:rFonts w:cs="Arial"/>
              </w:rPr>
            </w:pPr>
            <w:r w:rsidRPr="009B7B35">
              <w:rPr>
                <w:rFonts w:cs="Arial"/>
              </w:rPr>
              <w:t>Dismantling automotive or mechanical equipment, not including debonding brake or clutch components.</w:t>
            </w:r>
          </w:p>
        </w:tc>
      </w:tr>
      <w:tr w:rsidR="00BE36FB" w:rsidRPr="009B7B35" w14:paraId="2D5F3466" w14:textId="77777777" w:rsidTr="001A7107">
        <w:tc>
          <w:tcPr>
            <w:tcW w:w="1843" w:type="dxa"/>
          </w:tcPr>
          <w:p w14:paraId="14A720D0" w14:textId="77777777" w:rsidR="00BE36FB" w:rsidRPr="009B7B35" w:rsidRDefault="00BE36FB" w:rsidP="001A7107">
            <w:pPr>
              <w:pStyle w:val="TableText"/>
              <w:rPr>
                <w:rFonts w:cs="Arial"/>
              </w:rPr>
            </w:pPr>
            <w:r w:rsidRPr="009B7B35">
              <w:rPr>
                <w:rFonts w:cs="Arial"/>
              </w:rPr>
              <w:t>Medium impact industry</w:t>
            </w:r>
          </w:p>
        </w:tc>
        <w:tc>
          <w:tcPr>
            <w:tcW w:w="7513" w:type="dxa"/>
          </w:tcPr>
          <w:p w14:paraId="6AA28D33" w14:textId="77777777" w:rsidR="00BE36FB" w:rsidRPr="009B7B35" w:rsidRDefault="00BE36FB" w:rsidP="00BE36FB">
            <w:pPr>
              <w:pStyle w:val="Tablelist"/>
              <w:numPr>
                <w:ilvl w:val="0"/>
                <w:numId w:val="862"/>
              </w:numPr>
              <w:ind w:left="578" w:hanging="567"/>
              <w:rPr>
                <w:rFonts w:cs="Arial"/>
              </w:rPr>
            </w:pPr>
            <w:r w:rsidRPr="009B7B35">
              <w:rPr>
                <w:rFonts w:cs="Arial"/>
              </w:rPr>
              <w:t>Metal foundry producing less than 10 tonnes of metal castings per annum.</w:t>
            </w:r>
          </w:p>
          <w:p w14:paraId="790FBBDC" w14:textId="77777777" w:rsidR="00BE36FB" w:rsidRPr="009B7B35" w:rsidRDefault="00BE36FB" w:rsidP="001A7107">
            <w:pPr>
              <w:pStyle w:val="Tablelist"/>
              <w:rPr>
                <w:rFonts w:cs="Arial"/>
              </w:rPr>
            </w:pPr>
            <w:r w:rsidRPr="009B7B35">
              <w:rPr>
                <w:rFonts w:cs="Arial"/>
              </w:rPr>
              <w:t>Boiler making or engineering works producing less than 10 000 tonnes of metal product per annum.</w:t>
            </w:r>
          </w:p>
          <w:p w14:paraId="6BA6DB0F" w14:textId="77777777" w:rsidR="00BE36FB" w:rsidRPr="009B7B35" w:rsidRDefault="00BE36FB" w:rsidP="001A7107">
            <w:pPr>
              <w:pStyle w:val="Tablelist"/>
              <w:rPr>
                <w:rFonts w:cs="Arial"/>
              </w:rPr>
            </w:pPr>
            <w:r w:rsidRPr="009B7B35">
              <w:rPr>
                <w:rFonts w:cs="Arial"/>
              </w:rPr>
              <w:t>Facility, goods yard or warehouse for the storage and distribution of dangerous goods not involving manufacturing processes and not a major hazard facility under the Work Health and Safety Act 2011.</w:t>
            </w:r>
          </w:p>
          <w:p w14:paraId="7B2EBD44" w14:textId="77777777" w:rsidR="00BE36FB" w:rsidRPr="009B7B35" w:rsidRDefault="00BE36FB" w:rsidP="001A7107">
            <w:pPr>
              <w:pStyle w:val="Tablelist"/>
              <w:rPr>
                <w:rFonts w:cs="Arial"/>
              </w:rPr>
            </w:pPr>
            <w:r w:rsidRPr="009B7B35">
              <w:rPr>
                <w:rFonts w:cs="Arial"/>
              </w:rPr>
              <w:t>Abrasive blasting facility using less than 10 tonnes of abrasive material per annum.</w:t>
            </w:r>
          </w:p>
          <w:p w14:paraId="4B1FCC6B" w14:textId="77777777" w:rsidR="00BE36FB" w:rsidRPr="009B7B35" w:rsidRDefault="00BE36FB" w:rsidP="001A7107">
            <w:pPr>
              <w:pStyle w:val="Tablelist"/>
              <w:rPr>
                <w:rFonts w:cs="Arial"/>
              </w:rPr>
            </w:pPr>
            <w:r w:rsidRPr="009B7B35">
              <w:rPr>
                <w:rFonts w:cs="Arial"/>
              </w:rPr>
              <w:t>Enamelling workshop using less than 15 000 litres of enamel per annum.</w:t>
            </w:r>
          </w:p>
          <w:p w14:paraId="1DF2024F" w14:textId="77777777" w:rsidR="00BE36FB" w:rsidRPr="009B7B35" w:rsidRDefault="00BE36FB" w:rsidP="001A7107">
            <w:pPr>
              <w:pStyle w:val="Tablelist"/>
              <w:rPr>
                <w:rFonts w:cs="Arial"/>
              </w:rPr>
            </w:pPr>
            <w:r w:rsidRPr="009B7B35">
              <w:rPr>
                <w:rFonts w:cs="Arial"/>
              </w:rPr>
              <w:t>Galvanising works using less than 100 tonnes of zinc per annum.</w:t>
            </w:r>
          </w:p>
          <w:p w14:paraId="684F5794" w14:textId="77777777" w:rsidR="00BE36FB" w:rsidRPr="009B7B35" w:rsidRDefault="00BE36FB" w:rsidP="001A7107">
            <w:pPr>
              <w:pStyle w:val="Tablelist"/>
              <w:rPr>
                <w:rFonts w:cs="Arial"/>
              </w:rPr>
            </w:pPr>
            <w:r w:rsidRPr="009B7B35">
              <w:rPr>
                <w:rFonts w:cs="Arial"/>
              </w:rPr>
              <w:t>Anodising or electroplating workshop where tank area is less than 400 square metres.</w:t>
            </w:r>
          </w:p>
          <w:p w14:paraId="46DFC286" w14:textId="77777777" w:rsidR="00BE36FB" w:rsidRPr="009B7B35" w:rsidRDefault="00BE36FB" w:rsidP="001A7107">
            <w:pPr>
              <w:pStyle w:val="Tablelist"/>
              <w:rPr>
                <w:rFonts w:cs="Arial"/>
              </w:rPr>
            </w:pPr>
            <w:r w:rsidRPr="009B7B35">
              <w:rPr>
                <w:rFonts w:cs="Arial"/>
              </w:rPr>
              <w:t>Powder coating workshop using less than 500 tonnes of coating per annum.</w:t>
            </w:r>
          </w:p>
          <w:p w14:paraId="11366EE4" w14:textId="77777777" w:rsidR="00BE36FB" w:rsidRPr="009B7B35" w:rsidRDefault="00BE36FB" w:rsidP="001A7107">
            <w:pPr>
              <w:pStyle w:val="Tablelist"/>
              <w:rPr>
                <w:rFonts w:cs="Arial"/>
              </w:rPr>
            </w:pPr>
            <w:r w:rsidRPr="009B7B35">
              <w:rPr>
                <w:rFonts w:cs="Arial"/>
              </w:rPr>
              <w:t>Spray painting workshop (including spray painting vehicles, plant, equipment or boats) using less than 20 000 litres of paint per annum.</w:t>
            </w:r>
          </w:p>
          <w:p w14:paraId="7048DCFE" w14:textId="77777777" w:rsidR="00BE36FB" w:rsidRPr="009B7B35" w:rsidRDefault="00BE36FB" w:rsidP="001A7107">
            <w:pPr>
              <w:pStyle w:val="Tablelist"/>
              <w:rPr>
                <w:rFonts w:cs="Arial"/>
              </w:rPr>
            </w:pPr>
            <w:r w:rsidRPr="009B7B35">
              <w:rPr>
                <w:rFonts w:cs="Arial"/>
              </w:rPr>
              <w:t>Scrap metal yard (not including a fragmentiser), dismantling automotive or mechanical equipment including debonding brake or clutch components.</w:t>
            </w:r>
          </w:p>
          <w:p w14:paraId="3652F702" w14:textId="77777777" w:rsidR="00BE36FB" w:rsidRPr="009B7B35" w:rsidRDefault="00BE36FB" w:rsidP="001A7107">
            <w:pPr>
              <w:pStyle w:val="Tablelist"/>
              <w:rPr>
                <w:rFonts w:cs="Arial"/>
              </w:rPr>
            </w:pPr>
            <w:r w:rsidRPr="009B7B35">
              <w:rPr>
                <w:rFonts w:cs="Arial"/>
              </w:rPr>
              <w:t>Manufacturing clay or ceramic products including bricks, tiles, pipes and pottery goods, less than 200 tonnes per annum.</w:t>
            </w:r>
          </w:p>
          <w:p w14:paraId="27DACF96" w14:textId="77777777" w:rsidR="00BE36FB" w:rsidRPr="009B7B35" w:rsidRDefault="00BE36FB" w:rsidP="001A7107">
            <w:pPr>
              <w:pStyle w:val="Tablelist"/>
              <w:rPr>
                <w:rFonts w:cs="Arial"/>
              </w:rPr>
            </w:pPr>
            <w:r w:rsidRPr="009B7B35">
              <w:rPr>
                <w:rFonts w:cs="Arial"/>
              </w:rPr>
              <w:t>Processing, smoking, drying, curing, milling, bottling or canning food, beverages or pet food, less than 200 tonnes per annum.</w:t>
            </w:r>
          </w:p>
          <w:p w14:paraId="105A6864" w14:textId="77777777" w:rsidR="00BE36FB" w:rsidRPr="009B7B35" w:rsidRDefault="00BE36FB" w:rsidP="001A7107">
            <w:pPr>
              <w:pStyle w:val="Tablelist"/>
              <w:rPr>
                <w:rFonts w:cs="Arial"/>
              </w:rPr>
            </w:pPr>
            <w:r w:rsidRPr="009B7B35">
              <w:rPr>
                <w:rFonts w:cs="Arial"/>
              </w:rPr>
              <w:t>Vegetable oil or oilseed processing in works with a design production capacity of less than 1000 tonnes per annum.</w:t>
            </w:r>
          </w:p>
          <w:p w14:paraId="77636EF6" w14:textId="77777777" w:rsidR="00BE36FB" w:rsidRPr="009B7B35" w:rsidRDefault="00BE36FB" w:rsidP="001A7107">
            <w:pPr>
              <w:pStyle w:val="Tablelist"/>
              <w:rPr>
                <w:rFonts w:cs="Arial"/>
              </w:rPr>
            </w:pPr>
            <w:r w:rsidRPr="009B7B35">
              <w:rPr>
                <w:rFonts w:cs="Arial"/>
              </w:rPr>
              <w:t>Manufacturing wooden products including cabinet making, joinery, wood working, producing less than 500 tonnes per annum.</w:t>
            </w:r>
          </w:p>
          <w:p w14:paraId="3CA4BAC5" w14:textId="77777777" w:rsidR="00BE36FB" w:rsidRPr="009B7B35" w:rsidRDefault="00BE36FB" w:rsidP="001A7107">
            <w:pPr>
              <w:pStyle w:val="Tablelist"/>
              <w:rPr>
                <w:rFonts w:cs="Arial"/>
              </w:rPr>
            </w:pPr>
            <w:r w:rsidRPr="009B7B35">
              <w:rPr>
                <w:rFonts w:cs="Arial"/>
              </w:rPr>
              <w:t>Manufacturing medium density fibreboard, chipboard, particle board, plywood, laminated board or wood veneer products, less than 250 tonnes per annum.</w:t>
            </w:r>
          </w:p>
          <w:p w14:paraId="169DE485" w14:textId="77777777" w:rsidR="00BE36FB" w:rsidRPr="009B7B35" w:rsidRDefault="00BE36FB" w:rsidP="001A7107">
            <w:pPr>
              <w:pStyle w:val="Tablelist"/>
              <w:rPr>
                <w:rFonts w:cs="Arial"/>
              </w:rPr>
            </w:pPr>
            <w:r w:rsidRPr="009B7B35">
              <w:rPr>
                <w:rFonts w:cs="Arial"/>
              </w:rPr>
              <w:t>Sawmilling, wood chipping and kiln drying timber and logs, producing less than 500 tonnes per annum.</w:t>
            </w:r>
          </w:p>
          <w:p w14:paraId="42548AB3" w14:textId="77777777" w:rsidR="00BE36FB" w:rsidRPr="009B7B35" w:rsidRDefault="00BE36FB" w:rsidP="001A7107">
            <w:pPr>
              <w:pStyle w:val="Tablelist"/>
              <w:rPr>
                <w:rFonts w:cs="Arial"/>
              </w:rPr>
            </w:pPr>
            <w:r w:rsidRPr="009B7B35">
              <w:rPr>
                <w:rFonts w:cs="Arial"/>
              </w:rPr>
              <w:t>Recycling and reprocessing batteries.</w:t>
            </w:r>
          </w:p>
          <w:p w14:paraId="4059BA56" w14:textId="77777777" w:rsidR="00BE36FB" w:rsidRPr="009B7B35" w:rsidRDefault="00BE36FB" w:rsidP="001A7107">
            <w:pPr>
              <w:pStyle w:val="Tablelist"/>
              <w:rPr>
                <w:rFonts w:cs="Arial"/>
              </w:rPr>
            </w:pPr>
            <w:r w:rsidRPr="009B7B35">
              <w:rPr>
                <w:rFonts w:cs="Arial"/>
              </w:rPr>
              <w:t>Repairing or maintaining boats.</w:t>
            </w:r>
          </w:p>
          <w:p w14:paraId="4D4E4FC1" w14:textId="77777777" w:rsidR="00BE36FB" w:rsidRPr="009B7B35" w:rsidRDefault="00BE36FB" w:rsidP="001A7107">
            <w:pPr>
              <w:pStyle w:val="Tablelist"/>
              <w:rPr>
                <w:rFonts w:cs="Arial"/>
              </w:rPr>
            </w:pPr>
            <w:r w:rsidRPr="009B7B35">
              <w:rPr>
                <w:rFonts w:cs="Arial"/>
              </w:rPr>
              <w:t>Manufacturing substrate for mushroom growing.</w:t>
            </w:r>
          </w:p>
          <w:p w14:paraId="50568923" w14:textId="77777777" w:rsidR="00BE36FB" w:rsidRPr="009B7B35" w:rsidRDefault="00BE36FB" w:rsidP="001A7107">
            <w:pPr>
              <w:pStyle w:val="Tablelist"/>
              <w:rPr>
                <w:rFonts w:cs="Arial"/>
              </w:rPr>
            </w:pPr>
            <w:r w:rsidRPr="009B7B35">
              <w:rPr>
                <w:rFonts w:cs="Arial"/>
              </w:rPr>
              <w:t>Manufacturing or processing plaster, producing less than 5000 tonnes per annum.</w:t>
            </w:r>
          </w:p>
          <w:p w14:paraId="22D7DE61" w14:textId="77777777" w:rsidR="00BE36FB" w:rsidRPr="009B7B35" w:rsidRDefault="00BE36FB" w:rsidP="001A7107">
            <w:pPr>
              <w:pStyle w:val="Tablelist"/>
              <w:rPr>
                <w:rFonts w:cs="Arial"/>
              </w:rPr>
            </w:pPr>
            <w:r w:rsidRPr="009B7B35">
              <w:rPr>
                <w:rFonts w:cs="Arial"/>
              </w:rPr>
              <w:t>Recycling or reprocessing tyres including retreading.</w:t>
            </w:r>
          </w:p>
          <w:p w14:paraId="4E7B00D6" w14:textId="77777777" w:rsidR="00BE36FB" w:rsidRPr="009B7B35" w:rsidRDefault="00BE36FB" w:rsidP="001A7107">
            <w:pPr>
              <w:pStyle w:val="Tablelist"/>
              <w:rPr>
                <w:rFonts w:cs="Arial"/>
              </w:rPr>
            </w:pPr>
            <w:r w:rsidRPr="009B7B35">
              <w:rPr>
                <w:rFonts w:cs="Arial"/>
              </w:rPr>
              <w:t>Printing advertising material, magazines, newspapers, packaging and stationery.</w:t>
            </w:r>
          </w:p>
          <w:p w14:paraId="5FDBE429" w14:textId="77777777" w:rsidR="00BE36FB" w:rsidRPr="009B7B35" w:rsidRDefault="00BE36FB" w:rsidP="001A7107">
            <w:pPr>
              <w:pStyle w:val="Tablelist"/>
              <w:rPr>
                <w:rFonts w:cs="Arial"/>
              </w:rPr>
            </w:pPr>
            <w:r w:rsidRPr="009B7B35">
              <w:rPr>
                <w:rFonts w:cs="Arial"/>
              </w:rPr>
              <w:t>Transport depot, distribution centre, contractors depot and storage yard.</w:t>
            </w:r>
          </w:p>
          <w:p w14:paraId="11CCF19B" w14:textId="77777777" w:rsidR="00BE36FB" w:rsidRPr="009B7B35" w:rsidRDefault="00BE36FB" w:rsidP="001A7107">
            <w:pPr>
              <w:pStyle w:val="Tablelist"/>
              <w:rPr>
                <w:rFonts w:cs="Arial"/>
              </w:rPr>
            </w:pPr>
            <w:r w:rsidRPr="009B7B35">
              <w:rPr>
                <w:rFonts w:cs="Arial"/>
              </w:rPr>
              <w:t>Manufacturing fibreglass, foam plastic, composite plastic or rigid fibre–reinforced plastic or plastic products, less than 5 tonnes per annum (except fibreglass boats, tanks and swimming pools).</w:t>
            </w:r>
          </w:p>
          <w:p w14:paraId="7E5D92AF" w14:textId="77777777" w:rsidR="00BE36FB" w:rsidRPr="009B7B35" w:rsidRDefault="00BE36FB" w:rsidP="001A7107">
            <w:pPr>
              <w:pStyle w:val="Tablelist"/>
              <w:rPr>
                <w:rFonts w:cs="Arial"/>
              </w:rPr>
            </w:pPr>
            <w:r w:rsidRPr="009B7B35">
              <w:rPr>
                <w:rFonts w:cs="Arial"/>
              </w:rPr>
              <w:t>Manufacturing PET, PETE, polypropylene and polystyrene plastic or plastic products, less than 10 000 tonnes per annum.</w:t>
            </w:r>
          </w:p>
          <w:p w14:paraId="66D1396F" w14:textId="77777777" w:rsidR="00BE36FB" w:rsidRPr="009B7B35" w:rsidRDefault="00BE36FB" w:rsidP="001A7107">
            <w:pPr>
              <w:pStyle w:val="Tablelist"/>
              <w:rPr>
                <w:rFonts w:cs="Arial"/>
              </w:rPr>
            </w:pPr>
            <w:r w:rsidRPr="009B7B35">
              <w:rPr>
                <w:rFonts w:cs="Arial"/>
              </w:rPr>
              <w:t>Reconditioning metal or plastic drums.</w:t>
            </w:r>
          </w:p>
          <w:p w14:paraId="03954CE4" w14:textId="77777777" w:rsidR="00BE36FB" w:rsidRPr="009B7B35" w:rsidRDefault="00BE36FB" w:rsidP="001A7107">
            <w:pPr>
              <w:pStyle w:val="Tablelist"/>
              <w:rPr>
                <w:rFonts w:cs="Arial"/>
              </w:rPr>
            </w:pPr>
            <w:r w:rsidRPr="009B7B35">
              <w:rPr>
                <w:rFonts w:cs="Arial"/>
              </w:rPr>
              <w:t>Glass fibre manufactures less than 200 tonnes per annum.</w:t>
            </w:r>
          </w:p>
          <w:p w14:paraId="11B37A15" w14:textId="77777777" w:rsidR="00BE36FB" w:rsidRPr="009B7B35" w:rsidRDefault="00BE36FB" w:rsidP="001A7107">
            <w:pPr>
              <w:pStyle w:val="Tablelist"/>
              <w:rPr>
                <w:rFonts w:cs="Arial"/>
              </w:rPr>
            </w:pPr>
            <w:r w:rsidRPr="009B7B35">
              <w:rPr>
                <w:rFonts w:cs="Arial"/>
              </w:rPr>
              <w:t>Manufacturing glass or glass products, where not glass fibre, less than 250 tonnes per annum.</w:t>
            </w:r>
          </w:p>
        </w:tc>
      </w:tr>
      <w:tr w:rsidR="00BE36FB" w:rsidRPr="009B7B35" w14:paraId="6B7EFE2E" w14:textId="77777777" w:rsidTr="001A7107">
        <w:tc>
          <w:tcPr>
            <w:tcW w:w="1843" w:type="dxa"/>
          </w:tcPr>
          <w:p w14:paraId="3869EC72" w14:textId="77777777" w:rsidR="00BE36FB" w:rsidRPr="009B7B35" w:rsidRDefault="00BE36FB" w:rsidP="001A7107">
            <w:pPr>
              <w:pStyle w:val="TableText"/>
              <w:rPr>
                <w:rFonts w:cs="Arial"/>
              </w:rPr>
            </w:pPr>
            <w:r w:rsidRPr="009B7B35">
              <w:rPr>
                <w:rFonts w:cs="Arial"/>
              </w:rPr>
              <w:t>High impact industry</w:t>
            </w:r>
          </w:p>
        </w:tc>
        <w:tc>
          <w:tcPr>
            <w:tcW w:w="7513" w:type="dxa"/>
          </w:tcPr>
          <w:p w14:paraId="52A09E84" w14:textId="77777777" w:rsidR="00BE36FB" w:rsidRPr="009B7B35" w:rsidRDefault="00BE36FB" w:rsidP="00BE36FB">
            <w:pPr>
              <w:pStyle w:val="Tablelist"/>
              <w:numPr>
                <w:ilvl w:val="0"/>
                <w:numId w:val="863"/>
              </w:numPr>
              <w:ind w:left="578" w:hanging="567"/>
              <w:rPr>
                <w:rFonts w:cs="Arial"/>
              </w:rPr>
            </w:pPr>
            <w:r w:rsidRPr="009B7B35">
              <w:rPr>
                <w:rFonts w:cs="Arial"/>
              </w:rPr>
              <w:t>Metal foundry producing 10 tonnes or greater of metal castings per annum</w:t>
            </w:r>
          </w:p>
          <w:p w14:paraId="76EE0444" w14:textId="77777777" w:rsidR="00BE36FB" w:rsidRPr="009B7B35" w:rsidRDefault="00BE36FB" w:rsidP="001A7107">
            <w:pPr>
              <w:pStyle w:val="Tablelist"/>
              <w:rPr>
                <w:rFonts w:cs="Arial"/>
              </w:rPr>
            </w:pPr>
            <w:r w:rsidRPr="009B7B35">
              <w:rPr>
                <w:rFonts w:cs="Arial"/>
              </w:rPr>
              <w:t>Boiler making or engineering works producing 10 000 tonnes or greater of metal product per annum.</w:t>
            </w:r>
          </w:p>
          <w:p w14:paraId="2426AE80" w14:textId="77777777" w:rsidR="00BE36FB" w:rsidRPr="009B7B35" w:rsidRDefault="00BE36FB" w:rsidP="001A7107">
            <w:pPr>
              <w:pStyle w:val="Tablelist"/>
              <w:rPr>
                <w:rFonts w:cs="Arial"/>
              </w:rPr>
            </w:pPr>
            <w:r w:rsidRPr="009B7B35">
              <w:rPr>
                <w:rFonts w:cs="Arial"/>
              </w:rPr>
              <w:t>Major hazard facility for the storage and distribution of dangerous goods not involving manufacturing processes.</w:t>
            </w:r>
          </w:p>
          <w:p w14:paraId="7B011979" w14:textId="77777777" w:rsidR="00BE36FB" w:rsidRPr="009B7B35" w:rsidRDefault="00BE36FB" w:rsidP="001A7107">
            <w:pPr>
              <w:pStyle w:val="Tablelist"/>
              <w:rPr>
                <w:rFonts w:cs="Arial"/>
              </w:rPr>
            </w:pPr>
            <w:r w:rsidRPr="009B7B35">
              <w:rPr>
                <w:rFonts w:cs="Arial"/>
              </w:rPr>
              <w:t>Scrap metal yard including a fragmentiser.</w:t>
            </w:r>
          </w:p>
          <w:p w14:paraId="743B20E7" w14:textId="77777777" w:rsidR="00BE36FB" w:rsidRPr="009B7B35" w:rsidRDefault="00BE36FB" w:rsidP="001A7107">
            <w:pPr>
              <w:pStyle w:val="Tablelist"/>
              <w:rPr>
                <w:rFonts w:cs="Arial"/>
              </w:rPr>
            </w:pPr>
            <w:r w:rsidRPr="009B7B35">
              <w:rPr>
                <w:rFonts w:cs="Arial"/>
              </w:rPr>
              <w:t>Manufacturing clay or ceramic products including bricks, tiles, pipes and pottery goods, greater than 200 tonnes per annum.</w:t>
            </w:r>
          </w:p>
          <w:p w14:paraId="1B6A3821" w14:textId="77777777" w:rsidR="00BE36FB" w:rsidRPr="009B7B35" w:rsidRDefault="00BE36FB" w:rsidP="001A7107">
            <w:pPr>
              <w:pStyle w:val="Tablelist"/>
              <w:rPr>
                <w:rFonts w:cs="Arial"/>
              </w:rPr>
            </w:pPr>
            <w:r w:rsidRPr="009B7B35">
              <w:rPr>
                <w:rFonts w:cs="Arial"/>
              </w:rPr>
              <w:t>Processing, smoking, drying, curing, milling, bottling or canning food, beverages or pet food, greater than 200 tonnes per annum.</w:t>
            </w:r>
          </w:p>
          <w:p w14:paraId="54F8075B" w14:textId="77777777" w:rsidR="00BE36FB" w:rsidRPr="009B7B35" w:rsidRDefault="00BE36FB" w:rsidP="001A7107">
            <w:pPr>
              <w:pStyle w:val="Tablelist"/>
              <w:rPr>
                <w:rFonts w:cs="Arial"/>
              </w:rPr>
            </w:pPr>
            <w:r w:rsidRPr="009B7B35">
              <w:rPr>
                <w:rFonts w:cs="Arial"/>
              </w:rPr>
              <w:t>Vegetable oil or oilseed processing in works with a design production capacity of greater than 1000 tonnes per annum.</w:t>
            </w:r>
          </w:p>
          <w:p w14:paraId="4A3EFED5" w14:textId="77777777" w:rsidR="00BE36FB" w:rsidRPr="009B7B35" w:rsidRDefault="00BE36FB" w:rsidP="001A7107">
            <w:pPr>
              <w:pStyle w:val="Tablelist"/>
              <w:rPr>
                <w:rFonts w:cs="Arial"/>
              </w:rPr>
            </w:pPr>
            <w:r w:rsidRPr="009B7B35">
              <w:rPr>
                <w:rFonts w:cs="Arial"/>
              </w:rPr>
              <w:t>Manufacturing wooden products including cabinet making, joinery, wood working, producing greater than 500 tonnes per annum.</w:t>
            </w:r>
          </w:p>
          <w:p w14:paraId="6DC303DF" w14:textId="77777777" w:rsidR="00BE36FB" w:rsidRPr="009B7B35" w:rsidRDefault="00BE36FB" w:rsidP="001A7107">
            <w:pPr>
              <w:pStyle w:val="Tablelist"/>
              <w:rPr>
                <w:rFonts w:cs="Arial"/>
              </w:rPr>
            </w:pPr>
            <w:r w:rsidRPr="009B7B35">
              <w:rPr>
                <w:rFonts w:cs="Arial"/>
              </w:rPr>
              <w:t>Manufacturing medium density fibreboard, chipboard, particle board, plywood, laminated board or wood veneer products, 250 tonnes or greater per annum.</w:t>
            </w:r>
          </w:p>
          <w:p w14:paraId="6D7881B0" w14:textId="77777777" w:rsidR="00BE36FB" w:rsidRPr="009B7B35" w:rsidRDefault="00BE36FB" w:rsidP="001A7107">
            <w:pPr>
              <w:pStyle w:val="Tablelist"/>
              <w:rPr>
                <w:rFonts w:cs="Arial"/>
              </w:rPr>
            </w:pPr>
            <w:r w:rsidRPr="009B7B35">
              <w:rPr>
                <w:rFonts w:cs="Arial"/>
              </w:rPr>
              <w:t>Sawmilling, wood chipping and kiln drying timber and logs, producing greater than 500 tonnes per annum.</w:t>
            </w:r>
          </w:p>
          <w:p w14:paraId="43142A8F" w14:textId="77777777" w:rsidR="00BE36FB" w:rsidRPr="009B7B35" w:rsidRDefault="00BE36FB" w:rsidP="001A7107">
            <w:pPr>
              <w:pStyle w:val="Tablelist"/>
              <w:rPr>
                <w:rFonts w:cs="Arial"/>
              </w:rPr>
            </w:pPr>
            <w:r w:rsidRPr="009B7B35">
              <w:rPr>
                <w:rFonts w:cs="Arial"/>
              </w:rPr>
              <w:t>Manufacturing or processing plaster, producing greater than 5000 tonnes per annum.</w:t>
            </w:r>
          </w:p>
          <w:p w14:paraId="77B17FE5" w14:textId="77777777" w:rsidR="00BE36FB" w:rsidRPr="009B7B35" w:rsidRDefault="00BE36FB" w:rsidP="001A7107">
            <w:pPr>
              <w:pStyle w:val="Tablelist"/>
              <w:rPr>
                <w:rFonts w:cs="Arial"/>
              </w:rPr>
            </w:pPr>
            <w:r w:rsidRPr="009B7B35">
              <w:rPr>
                <w:rFonts w:cs="Arial"/>
              </w:rPr>
              <w:t>Enamelling workshop using 15 000 litres or greater of enamel per annum.</w:t>
            </w:r>
          </w:p>
          <w:p w14:paraId="6F846D20" w14:textId="77777777" w:rsidR="00BE36FB" w:rsidRPr="009B7B35" w:rsidRDefault="00BE36FB" w:rsidP="001A7107">
            <w:pPr>
              <w:pStyle w:val="Tablelist"/>
              <w:rPr>
                <w:rFonts w:cs="Arial"/>
              </w:rPr>
            </w:pPr>
            <w:r w:rsidRPr="009B7B35">
              <w:rPr>
                <w:rFonts w:cs="Arial"/>
              </w:rPr>
              <w:t>Galvanising works using 100 tonnes or greater of zinc per annum.</w:t>
            </w:r>
          </w:p>
          <w:p w14:paraId="465B450F" w14:textId="77777777" w:rsidR="00BE36FB" w:rsidRPr="009B7B35" w:rsidRDefault="00BE36FB" w:rsidP="001A7107">
            <w:pPr>
              <w:pStyle w:val="Tablelist"/>
              <w:rPr>
                <w:rFonts w:cs="Arial"/>
              </w:rPr>
            </w:pPr>
            <w:r w:rsidRPr="009B7B35">
              <w:rPr>
                <w:rFonts w:cs="Arial"/>
              </w:rPr>
              <w:t>Anodising or electroplating workshop where tank area is 400 square metres or greater.</w:t>
            </w:r>
          </w:p>
          <w:p w14:paraId="36752199" w14:textId="77777777" w:rsidR="00BE36FB" w:rsidRPr="009B7B35" w:rsidRDefault="00BE36FB" w:rsidP="001A7107">
            <w:pPr>
              <w:pStyle w:val="Tablelist"/>
              <w:rPr>
                <w:rFonts w:cs="Arial"/>
              </w:rPr>
            </w:pPr>
            <w:r w:rsidRPr="009B7B35">
              <w:rPr>
                <w:rFonts w:cs="Arial"/>
              </w:rPr>
              <w:t>Powder coating workshop using 500 tonnes or greater of coating per annum.</w:t>
            </w:r>
          </w:p>
          <w:p w14:paraId="4696B98E" w14:textId="77777777" w:rsidR="00BE36FB" w:rsidRPr="009B7B35" w:rsidRDefault="00BE36FB" w:rsidP="001A7107">
            <w:pPr>
              <w:pStyle w:val="Tablelist"/>
              <w:rPr>
                <w:rFonts w:cs="Arial"/>
              </w:rPr>
            </w:pPr>
            <w:r w:rsidRPr="009B7B35">
              <w:rPr>
                <w:rFonts w:cs="Arial"/>
              </w:rPr>
              <w:t>Spray painting workshop (including spray painting vehicles, plant, equipment or boats) using 20 000 litres or greater of paint per annum.</w:t>
            </w:r>
          </w:p>
          <w:p w14:paraId="1F5967A9" w14:textId="77777777" w:rsidR="00BE36FB" w:rsidRPr="009B7B35" w:rsidRDefault="00BE36FB" w:rsidP="001A7107">
            <w:pPr>
              <w:pStyle w:val="Tablelist"/>
              <w:rPr>
                <w:rFonts w:cs="Arial"/>
              </w:rPr>
            </w:pPr>
            <w:r w:rsidRPr="009B7B35">
              <w:rPr>
                <w:rFonts w:cs="Arial"/>
              </w:rPr>
              <w:t>Concrete batching and producing concrete products.</w:t>
            </w:r>
          </w:p>
          <w:p w14:paraId="43EA8786" w14:textId="77777777" w:rsidR="00BE36FB" w:rsidRPr="009B7B35" w:rsidRDefault="00BE36FB" w:rsidP="001A7107">
            <w:pPr>
              <w:pStyle w:val="Tablelist"/>
              <w:rPr>
                <w:rFonts w:cs="Arial"/>
              </w:rPr>
            </w:pPr>
            <w:r w:rsidRPr="009B7B35">
              <w:rPr>
                <w:rFonts w:cs="Arial"/>
              </w:rPr>
              <w:t>Treating timber for preservation using chemicals including copper, chromium, arsenic, borax and creosote.</w:t>
            </w:r>
          </w:p>
          <w:p w14:paraId="175E0450" w14:textId="77777777" w:rsidR="00BE36FB" w:rsidRPr="009B7B35" w:rsidRDefault="00BE36FB" w:rsidP="001A7107">
            <w:pPr>
              <w:pStyle w:val="Tablelist"/>
              <w:rPr>
                <w:rFonts w:cs="Arial"/>
              </w:rPr>
            </w:pPr>
            <w:r w:rsidRPr="009B7B35">
              <w:rPr>
                <w:rFonts w:cs="Arial"/>
              </w:rPr>
              <w:t>Manufacturing soil conditioners by receiving, blending, storing, processing, drying or composting organic material or organic waste, including animal manure, sewage, septic sludge and domestic waste.</w:t>
            </w:r>
          </w:p>
          <w:p w14:paraId="0CD8225E" w14:textId="77777777" w:rsidR="00BE36FB" w:rsidRPr="009B7B35" w:rsidRDefault="00BE36FB" w:rsidP="001A7107">
            <w:pPr>
              <w:pStyle w:val="Tablelist"/>
              <w:rPr>
                <w:rFonts w:cs="Arial"/>
              </w:rPr>
            </w:pPr>
            <w:r w:rsidRPr="009B7B35">
              <w:rPr>
                <w:rFonts w:cs="Arial"/>
              </w:rPr>
              <w:t>Manufacturing fibreglass pools, tanks and boats.</w:t>
            </w:r>
          </w:p>
          <w:p w14:paraId="5AAB378E" w14:textId="77777777" w:rsidR="00BE36FB" w:rsidRPr="009B7B35" w:rsidRDefault="00BE36FB" w:rsidP="001A7107">
            <w:pPr>
              <w:pStyle w:val="Tablelist"/>
              <w:rPr>
                <w:rFonts w:cs="Arial"/>
              </w:rPr>
            </w:pPr>
            <w:r w:rsidRPr="009B7B35">
              <w:rPr>
                <w:rFonts w:cs="Arial"/>
              </w:rPr>
              <w:t>Manufacturing, fibreglass, foam plastic, composite plastic or rigid fibre–reinforced plastic or plastic products, 5 tonnes or greater per annum (except fibreglass boats, tanks and swimming pools).</w:t>
            </w:r>
          </w:p>
          <w:p w14:paraId="757F2065" w14:textId="77777777" w:rsidR="00BE36FB" w:rsidRPr="009B7B35" w:rsidRDefault="00BE36FB" w:rsidP="001A7107">
            <w:pPr>
              <w:pStyle w:val="Tablelist"/>
              <w:rPr>
                <w:rFonts w:cs="Arial"/>
              </w:rPr>
            </w:pPr>
            <w:r w:rsidRPr="009B7B35">
              <w:rPr>
                <w:rFonts w:cs="Arial"/>
              </w:rPr>
              <w:t>Manufacturing PET, PETE, polypropylene and polystyrene plastic or plastic products, 10 000 tonnes or greater per annum.</w:t>
            </w:r>
          </w:p>
          <w:p w14:paraId="290AAC6B" w14:textId="77777777" w:rsidR="00BE36FB" w:rsidRPr="009B7B35" w:rsidRDefault="00BE36FB" w:rsidP="001A7107">
            <w:pPr>
              <w:pStyle w:val="Tablelist"/>
              <w:rPr>
                <w:rFonts w:cs="Arial"/>
              </w:rPr>
            </w:pPr>
            <w:r w:rsidRPr="009B7B35">
              <w:rPr>
                <w:rFonts w:cs="Arial"/>
              </w:rPr>
              <w:t>Manufacturing tyres, asbestos products, asphalt, cement, glass or glass fibre, mineral wool or ceramic fibre.</w:t>
            </w:r>
          </w:p>
          <w:p w14:paraId="198543BD" w14:textId="77777777" w:rsidR="00BE36FB" w:rsidRPr="009B7B35" w:rsidRDefault="00BE36FB" w:rsidP="001A7107">
            <w:pPr>
              <w:pStyle w:val="Tablelist"/>
              <w:rPr>
                <w:rFonts w:cs="Arial"/>
              </w:rPr>
            </w:pPr>
            <w:r w:rsidRPr="009B7B35">
              <w:rPr>
                <w:rFonts w:cs="Arial"/>
              </w:rPr>
              <w:t>Abattoir.</w:t>
            </w:r>
          </w:p>
          <w:p w14:paraId="28846C59" w14:textId="77777777" w:rsidR="00BE36FB" w:rsidRPr="009B7B35" w:rsidRDefault="00BE36FB" w:rsidP="001A7107">
            <w:pPr>
              <w:pStyle w:val="Tablelist"/>
              <w:rPr>
                <w:rFonts w:cs="Arial"/>
              </w:rPr>
            </w:pPr>
            <w:r w:rsidRPr="009B7B35">
              <w:rPr>
                <w:rFonts w:cs="Arial"/>
              </w:rPr>
              <w:t>Recycling chemicals, oils or solvents.</w:t>
            </w:r>
          </w:p>
          <w:p w14:paraId="7B3D5F21" w14:textId="77777777" w:rsidR="00BE36FB" w:rsidRPr="009B7B35" w:rsidRDefault="00BE36FB" w:rsidP="001A7107">
            <w:pPr>
              <w:pStyle w:val="Tablelist"/>
              <w:rPr>
                <w:rFonts w:cs="Arial"/>
              </w:rPr>
            </w:pPr>
            <w:r w:rsidRPr="009B7B35">
              <w:rPr>
                <w:rFonts w:cs="Arial"/>
              </w:rPr>
              <w:t>Waste disposal facility (other than waste incinerator).</w:t>
            </w:r>
          </w:p>
          <w:p w14:paraId="7C777C28" w14:textId="77777777" w:rsidR="00BE36FB" w:rsidRPr="009B7B35" w:rsidRDefault="00BE36FB" w:rsidP="001A7107">
            <w:pPr>
              <w:pStyle w:val="Tablelist"/>
              <w:rPr>
                <w:rFonts w:cs="Arial"/>
              </w:rPr>
            </w:pPr>
            <w:r w:rsidRPr="009B7B35">
              <w:rPr>
                <w:rFonts w:cs="Arial"/>
              </w:rPr>
              <w:t>Recycling, storing or reprocessing regulated waste.</w:t>
            </w:r>
          </w:p>
          <w:p w14:paraId="0EE2FE73" w14:textId="77777777" w:rsidR="00BE36FB" w:rsidRPr="009B7B35" w:rsidRDefault="00BE36FB" w:rsidP="001A7107">
            <w:pPr>
              <w:pStyle w:val="Tablelist"/>
              <w:rPr>
                <w:rFonts w:cs="Arial"/>
              </w:rPr>
            </w:pPr>
            <w:r w:rsidRPr="009B7B35">
              <w:rPr>
                <w:rFonts w:cs="Arial"/>
              </w:rPr>
              <w:t>Manufacturing batteries.</w:t>
            </w:r>
          </w:p>
          <w:p w14:paraId="35483541" w14:textId="77777777" w:rsidR="00BE36FB" w:rsidRPr="009B7B35" w:rsidRDefault="00BE36FB" w:rsidP="001A7107">
            <w:pPr>
              <w:pStyle w:val="Tablelist"/>
              <w:rPr>
                <w:rFonts w:cs="Arial"/>
              </w:rPr>
            </w:pPr>
            <w:r w:rsidRPr="009B7B35">
              <w:rPr>
                <w:rFonts w:cs="Arial"/>
              </w:rPr>
              <w:t>Manufacturing wooden products including cabinet making, joinery, wood working, producing greater than 500 tonnes per annum.</w:t>
            </w:r>
          </w:p>
          <w:p w14:paraId="2E2FD049" w14:textId="77777777" w:rsidR="00BE36FB" w:rsidRPr="009B7B35" w:rsidRDefault="00BE36FB" w:rsidP="001A7107">
            <w:pPr>
              <w:pStyle w:val="Tablelist"/>
              <w:rPr>
                <w:rFonts w:cs="Arial"/>
              </w:rPr>
            </w:pPr>
            <w:r w:rsidRPr="009B7B35">
              <w:rPr>
                <w:rFonts w:cs="Arial"/>
              </w:rPr>
              <w:t>Abrasive blasting facility using 10 tonnes or greater of abrasive material per annum.</w:t>
            </w:r>
          </w:p>
          <w:p w14:paraId="7B5659E8" w14:textId="77777777" w:rsidR="00BE36FB" w:rsidRPr="009B7B35" w:rsidRDefault="00BE36FB" w:rsidP="001A7107">
            <w:pPr>
              <w:pStyle w:val="Tablelist"/>
              <w:rPr>
                <w:rFonts w:cs="Arial"/>
              </w:rPr>
            </w:pPr>
            <w:r w:rsidRPr="009B7B35">
              <w:rPr>
                <w:rFonts w:cs="Arial"/>
              </w:rPr>
              <w:t>Crematoria.</w:t>
            </w:r>
          </w:p>
          <w:p w14:paraId="3AC40DDF" w14:textId="77777777" w:rsidR="00BE36FB" w:rsidRPr="009B7B35" w:rsidRDefault="00BE36FB" w:rsidP="001A7107">
            <w:pPr>
              <w:pStyle w:val="Tablelist"/>
              <w:rPr>
                <w:rFonts w:cs="Arial"/>
              </w:rPr>
            </w:pPr>
            <w:r w:rsidRPr="009B7B35">
              <w:rPr>
                <w:rFonts w:cs="Arial"/>
              </w:rPr>
              <w:t>Glass fibre manufacture producing 200 tonnes or greater per annum.</w:t>
            </w:r>
          </w:p>
          <w:p w14:paraId="0E54EFC5" w14:textId="77777777" w:rsidR="00BE36FB" w:rsidRPr="009B7B35" w:rsidRDefault="00BE36FB" w:rsidP="001A7107">
            <w:pPr>
              <w:pStyle w:val="Tablelist"/>
              <w:rPr>
                <w:rFonts w:cs="Arial"/>
              </w:rPr>
            </w:pPr>
            <w:r w:rsidRPr="009B7B35">
              <w:rPr>
                <w:rFonts w:cs="Arial"/>
              </w:rPr>
              <w:t>Manufacturing glass or glass products, where not glass fibre, less than 250 tonnes per annum.</w:t>
            </w:r>
          </w:p>
        </w:tc>
      </w:tr>
      <w:tr w:rsidR="00BE36FB" w:rsidRPr="009B7B35" w14:paraId="1822C14E" w14:textId="77777777" w:rsidTr="001A7107">
        <w:tc>
          <w:tcPr>
            <w:tcW w:w="1843" w:type="dxa"/>
          </w:tcPr>
          <w:p w14:paraId="01EA0B99" w14:textId="77777777" w:rsidR="00BE36FB" w:rsidRPr="009B7B35" w:rsidRDefault="00BE36FB" w:rsidP="001A7107">
            <w:pPr>
              <w:pStyle w:val="TableText"/>
              <w:rPr>
                <w:rFonts w:cs="Arial"/>
              </w:rPr>
            </w:pPr>
            <w:r w:rsidRPr="009B7B35">
              <w:rPr>
                <w:rFonts w:cs="Arial"/>
              </w:rPr>
              <w:t>Special industry</w:t>
            </w:r>
          </w:p>
        </w:tc>
        <w:tc>
          <w:tcPr>
            <w:tcW w:w="7513" w:type="dxa"/>
          </w:tcPr>
          <w:p w14:paraId="0ACB9AD1" w14:textId="77777777" w:rsidR="00BE36FB" w:rsidRPr="009B7B35" w:rsidRDefault="00BE36FB" w:rsidP="00BE36FB">
            <w:pPr>
              <w:pStyle w:val="Tablelist"/>
              <w:numPr>
                <w:ilvl w:val="0"/>
                <w:numId w:val="864"/>
              </w:numPr>
              <w:ind w:left="578" w:hanging="578"/>
              <w:rPr>
                <w:rFonts w:cs="Arial"/>
              </w:rPr>
            </w:pPr>
            <w:r w:rsidRPr="009B7B35">
              <w:rPr>
                <w:rFonts w:cs="Arial"/>
              </w:rPr>
              <w:t>Oil refining or processing.</w:t>
            </w:r>
          </w:p>
          <w:p w14:paraId="3FFEFA2D" w14:textId="77777777" w:rsidR="00BE36FB" w:rsidRPr="009B7B35" w:rsidRDefault="00BE36FB" w:rsidP="001A7107">
            <w:pPr>
              <w:pStyle w:val="Tablelist"/>
              <w:rPr>
                <w:rFonts w:cs="Arial"/>
              </w:rPr>
            </w:pPr>
            <w:r w:rsidRPr="009B7B35">
              <w:rPr>
                <w:rFonts w:cs="Arial"/>
              </w:rPr>
              <w:t>Producing, refining or processing gas or fuel gas.</w:t>
            </w:r>
          </w:p>
          <w:p w14:paraId="33D06E4D" w14:textId="77777777" w:rsidR="00BE36FB" w:rsidRPr="009B7B35" w:rsidRDefault="00BE36FB" w:rsidP="001A7107">
            <w:pPr>
              <w:pStyle w:val="Tablelist"/>
              <w:rPr>
                <w:rFonts w:cs="Arial"/>
              </w:rPr>
            </w:pPr>
            <w:r w:rsidRPr="009B7B35">
              <w:rPr>
                <w:rFonts w:cs="Arial"/>
              </w:rPr>
              <w:t>Distilling alcohol in works producing greater than 2,500 litres per annum.</w:t>
            </w:r>
          </w:p>
          <w:p w14:paraId="5E2441FC" w14:textId="77777777" w:rsidR="00BE36FB" w:rsidRPr="009B7B35" w:rsidRDefault="00BE36FB" w:rsidP="001A7107">
            <w:pPr>
              <w:pStyle w:val="Tablelist"/>
              <w:rPr>
                <w:rFonts w:cs="Arial"/>
              </w:rPr>
            </w:pPr>
            <w:r w:rsidRPr="009B7B35">
              <w:rPr>
                <w:rFonts w:cs="Arial"/>
              </w:rPr>
              <w:t>Power station.</w:t>
            </w:r>
          </w:p>
          <w:p w14:paraId="30043B5C" w14:textId="77777777" w:rsidR="00BE36FB" w:rsidRPr="009B7B35" w:rsidRDefault="00BE36FB" w:rsidP="001A7107">
            <w:pPr>
              <w:pStyle w:val="Tablelist"/>
              <w:rPr>
                <w:rFonts w:cs="Arial"/>
              </w:rPr>
            </w:pPr>
            <w:r w:rsidRPr="009B7B35">
              <w:rPr>
                <w:rFonts w:cs="Arial"/>
              </w:rPr>
              <w:t>Producing, quenching, cutting, crushing or grading coke.</w:t>
            </w:r>
          </w:p>
          <w:p w14:paraId="2D6617F5" w14:textId="77777777" w:rsidR="00BE36FB" w:rsidRPr="009B7B35" w:rsidRDefault="00BE36FB" w:rsidP="001A7107">
            <w:pPr>
              <w:pStyle w:val="Tablelist"/>
              <w:rPr>
                <w:rFonts w:cs="Arial"/>
              </w:rPr>
            </w:pPr>
            <w:r w:rsidRPr="009B7B35">
              <w:rPr>
                <w:rFonts w:cs="Arial"/>
              </w:rPr>
              <w:t>Waste incinerator.</w:t>
            </w:r>
          </w:p>
          <w:p w14:paraId="40B1DC2F" w14:textId="77777777" w:rsidR="00BE36FB" w:rsidRPr="009B7B35" w:rsidRDefault="00BE36FB" w:rsidP="001A7107">
            <w:pPr>
              <w:pStyle w:val="Tablelist"/>
              <w:rPr>
                <w:rFonts w:cs="Arial"/>
              </w:rPr>
            </w:pPr>
            <w:r w:rsidRPr="009B7B35">
              <w:rPr>
                <w:rFonts w:cs="Arial"/>
              </w:rPr>
              <w:t>Sugar milling or refining.</w:t>
            </w:r>
          </w:p>
          <w:p w14:paraId="0258CA2C" w14:textId="77777777" w:rsidR="00BE36FB" w:rsidRPr="009B7B35" w:rsidRDefault="00BE36FB" w:rsidP="001A7107">
            <w:pPr>
              <w:pStyle w:val="Tablelist"/>
              <w:rPr>
                <w:rFonts w:cs="Arial"/>
              </w:rPr>
            </w:pPr>
            <w:r w:rsidRPr="009B7B35">
              <w:rPr>
                <w:rFonts w:cs="Arial"/>
              </w:rPr>
              <w:t>Pulp or paper manufacturing.</w:t>
            </w:r>
          </w:p>
          <w:p w14:paraId="2350BE52" w14:textId="77777777" w:rsidR="00BE36FB" w:rsidRPr="009B7B35" w:rsidRDefault="00BE36FB" w:rsidP="001A7107">
            <w:pPr>
              <w:pStyle w:val="Tablelist"/>
              <w:rPr>
                <w:rFonts w:cs="Arial"/>
              </w:rPr>
            </w:pPr>
            <w:r w:rsidRPr="009B7B35">
              <w:rPr>
                <w:rFonts w:cs="Arial"/>
              </w:rPr>
              <w:t>Tobacco processing.</w:t>
            </w:r>
          </w:p>
          <w:p w14:paraId="6BA21C71" w14:textId="77777777" w:rsidR="00BE36FB" w:rsidRPr="009B7B35" w:rsidRDefault="00BE36FB" w:rsidP="001A7107">
            <w:pPr>
              <w:pStyle w:val="Tablelist"/>
              <w:rPr>
                <w:rFonts w:cs="Arial"/>
              </w:rPr>
            </w:pPr>
            <w:r w:rsidRPr="009B7B35">
              <w:rPr>
                <w:rFonts w:cs="Arial"/>
              </w:rPr>
              <w:t>Tannery or works for curing animal skins, hides or finishing leather</w:t>
            </w:r>
          </w:p>
          <w:p w14:paraId="452A04ED" w14:textId="77777777" w:rsidR="00BE36FB" w:rsidRPr="009B7B35" w:rsidRDefault="00BE36FB" w:rsidP="001A7107">
            <w:pPr>
              <w:pStyle w:val="Tablelist"/>
              <w:rPr>
                <w:rFonts w:cs="Arial"/>
              </w:rPr>
            </w:pPr>
            <w:r w:rsidRPr="009B7B35">
              <w:rPr>
                <w:rFonts w:cs="Arial"/>
              </w:rPr>
              <w:t>Textile manufacturing, including carpet manufacturing, wool scouring or carbonising, cotton milling, or textile bleaching, dyeing or finishing.</w:t>
            </w:r>
          </w:p>
          <w:p w14:paraId="780BC4E5" w14:textId="77777777" w:rsidR="00BE36FB" w:rsidRPr="009B7B35" w:rsidRDefault="00BE36FB" w:rsidP="001A7107">
            <w:pPr>
              <w:pStyle w:val="Tablelist"/>
              <w:rPr>
                <w:rFonts w:cs="Arial"/>
              </w:rPr>
            </w:pPr>
            <w:r w:rsidRPr="009B7B35">
              <w:rPr>
                <w:rFonts w:cs="Arial"/>
              </w:rPr>
              <w:t>Rendering plant.</w:t>
            </w:r>
          </w:p>
          <w:p w14:paraId="768D8C5C" w14:textId="77777777" w:rsidR="00BE36FB" w:rsidRPr="009B7B35" w:rsidRDefault="00BE36FB" w:rsidP="001A7107">
            <w:pPr>
              <w:pStyle w:val="Tablelist"/>
              <w:rPr>
                <w:rFonts w:cs="Arial"/>
              </w:rPr>
            </w:pPr>
            <w:r w:rsidRPr="009B7B35">
              <w:rPr>
                <w:rFonts w:cs="Arial"/>
              </w:rPr>
              <w:t>Manufacturing chemicals, poisons and explosives.</w:t>
            </w:r>
          </w:p>
          <w:p w14:paraId="2F4E9956" w14:textId="77777777" w:rsidR="00BE36FB" w:rsidRPr="009B7B35" w:rsidRDefault="00BE36FB" w:rsidP="001A7107">
            <w:pPr>
              <w:pStyle w:val="Tablelist"/>
              <w:rPr>
                <w:rFonts w:cs="Arial"/>
              </w:rPr>
            </w:pPr>
            <w:r w:rsidRPr="009B7B35">
              <w:rPr>
                <w:rFonts w:cs="Arial"/>
              </w:rPr>
              <w:t>Manufacturing fertilisers involving ammonia.</w:t>
            </w:r>
          </w:p>
          <w:p w14:paraId="755D5214" w14:textId="77777777" w:rsidR="00BE36FB" w:rsidRPr="009B7B35" w:rsidRDefault="00BE36FB" w:rsidP="001A7107">
            <w:pPr>
              <w:pStyle w:val="Tablelist"/>
              <w:rPr>
                <w:rFonts w:cs="Arial"/>
              </w:rPr>
            </w:pPr>
            <w:r w:rsidRPr="009B7B35">
              <w:rPr>
                <w:rFonts w:cs="Arial"/>
              </w:rPr>
              <w:t>Manufacturing polyvinyl chloride plastic.</w:t>
            </w:r>
          </w:p>
        </w:tc>
      </w:tr>
    </w:tbl>
    <w:p w14:paraId="451C5E25" w14:textId="5A142B05" w:rsidR="00BE36FB" w:rsidRPr="009B7B35" w:rsidRDefault="007A46D8" w:rsidP="007A46D8">
      <w:pPr>
        <w:pStyle w:val="Heading7"/>
        <w:numPr>
          <w:ilvl w:val="0"/>
          <w:numId w:val="0"/>
        </w:numPr>
        <w:rPr>
          <w:rFonts w:cs="Arial"/>
          <w:sz w:val="20"/>
          <w:szCs w:val="20"/>
        </w:rPr>
      </w:pPr>
      <w:bookmarkStart w:id="297" w:name="_Toc205367415"/>
      <w:r>
        <w:rPr>
          <w:rFonts w:cs="Arial"/>
          <w:sz w:val="20"/>
          <w:szCs w:val="20"/>
        </w:rPr>
        <w:t>SC1.2</w:t>
      </w:r>
      <w:r>
        <w:rPr>
          <w:rFonts w:cs="Arial"/>
          <w:sz w:val="20"/>
          <w:szCs w:val="20"/>
        </w:rPr>
        <w:tab/>
      </w:r>
      <w:r w:rsidR="00BE36FB" w:rsidRPr="009B7B35">
        <w:rPr>
          <w:rFonts w:cs="Arial"/>
          <w:sz w:val="20"/>
          <w:szCs w:val="20"/>
        </w:rPr>
        <w:t>Administrative definitions</w:t>
      </w:r>
      <w:bookmarkEnd w:id="297"/>
    </w:p>
    <w:p w14:paraId="6C548E5A" w14:textId="77777777" w:rsidR="00BE36FB" w:rsidRPr="009B7B35" w:rsidRDefault="00BE36FB" w:rsidP="00BE36FB">
      <w:pPr>
        <w:numPr>
          <w:ilvl w:val="0"/>
          <w:numId w:val="828"/>
        </w:numPr>
        <w:rPr>
          <w:rFonts w:ascii="Arial" w:hAnsi="Arial" w:cs="Arial"/>
          <w:sz w:val="20"/>
          <w:szCs w:val="20"/>
        </w:rPr>
      </w:pPr>
      <w:r w:rsidRPr="009B7B35">
        <w:rPr>
          <w:rFonts w:ascii="Arial" w:hAnsi="Arial" w:cs="Arial"/>
          <w:sz w:val="20"/>
          <w:szCs w:val="20"/>
        </w:rPr>
        <w:t>Administrative definitions assist with the interpretation of the planning scheme but do not have a meaning in relation to a use.</w:t>
      </w:r>
    </w:p>
    <w:p w14:paraId="02E5F588" w14:textId="77777777" w:rsidR="00BE36FB" w:rsidRPr="009B7B35" w:rsidRDefault="00BE36FB" w:rsidP="00BE36FB">
      <w:pPr>
        <w:numPr>
          <w:ilvl w:val="0"/>
          <w:numId w:val="828"/>
        </w:numPr>
        <w:rPr>
          <w:rFonts w:ascii="Arial" w:hAnsi="Arial" w:cs="Arial"/>
          <w:sz w:val="20"/>
          <w:szCs w:val="20"/>
        </w:rPr>
      </w:pPr>
      <w:r w:rsidRPr="009B7B35">
        <w:rPr>
          <w:rFonts w:ascii="Arial" w:hAnsi="Arial" w:cs="Arial"/>
          <w:sz w:val="20"/>
          <w:szCs w:val="20"/>
        </w:rPr>
        <w:t>A term listed in Table Sc1.2.2 column 1 has the meaning set out beside that term in column 2 under the heading.</w:t>
      </w:r>
    </w:p>
    <w:p w14:paraId="4B0905FF" w14:textId="77777777" w:rsidR="00BE36FB" w:rsidRDefault="00BE36FB" w:rsidP="00BE36FB">
      <w:pPr>
        <w:numPr>
          <w:ilvl w:val="0"/>
          <w:numId w:val="828"/>
        </w:numPr>
        <w:rPr>
          <w:rFonts w:ascii="Arial" w:hAnsi="Arial" w:cs="Arial"/>
          <w:sz w:val="20"/>
          <w:szCs w:val="20"/>
        </w:rPr>
      </w:pPr>
      <w:r w:rsidRPr="009B7B35">
        <w:rPr>
          <w:rFonts w:ascii="Arial" w:hAnsi="Arial" w:cs="Arial"/>
          <w:sz w:val="20"/>
          <w:szCs w:val="20"/>
        </w:rPr>
        <w:t>The administrative definitions listed here are the definitions for the purpose of the planning scheme.</w:t>
      </w:r>
    </w:p>
    <w:p w14:paraId="29A5D112" w14:textId="4A77C1E3" w:rsidR="007A46D8" w:rsidRPr="009B7B35" w:rsidRDefault="007A46D8" w:rsidP="007A46D8">
      <w:pPr>
        <w:ind w:left="567"/>
        <w:rPr>
          <w:rFonts w:ascii="Arial" w:hAnsi="Arial" w:cs="Arial"/>
          <w:sz w:val="20"/>
          <w:szCs w:val="20"/>
        </w:rPr>
      </w:pPr>
    </w:p>
    <w:p w14:paraId="3437EC32" w14:textId="77777777" w:rsidR="00BE36FB" w:rsidRPr="009B7B35" w:rsidRDefault="00BE36FB" w:rsidP="001A7107">
      <w:pPr>
        <w:pStyle w:val="Heading9"/>
        <w:numPr>
          <w:ilvl w:val="0"/>
          <w:numId w:val="0"/>
        </w:numPr>
        <w:rPr>
          <w:rFonts w:cs="Arial"/>
          <w:sz w:val="20"/>
        </w:rPr>
      </w:pPr>
      <w:r w:rsidRPr="009B7B35">
        <w:rPr>
          <w:rFonts w:cs="Arial"/>
          <w:sz w:val="20"/>
        </w:rPr>
        <w:t>Table Sc1.2.1—Index of administrative definitions</w:t>
      </w:r>
    </w:p>
    <w:tbl>
      <w:tblPr>
        <w:tblStyle w:val="Tablestyle"/>
        <w:tblW w:w="0" w:type="auto"/>
        <w:tblLook w:val="0600" w:firstRow="0" w:lastRow="0" w:firstColumn="0" w:lastColumn="0" w:noHBand="1" w:noVBand="1"/>
      </w:tblPr>
      <w:tblGrid>
        <w:gridCol w:w="2806"/>
        <w:gridCol w:w="2800"/>
        <w:gridCol w:w="2757"/>
      </w:tblGrid>
      <w:tr w:rsidR="00BE36FB" w:rsidRPr="009B7B35" w14:paraId="31146022" w14:textId="77777777" w:rsidTr="001A7107">
        <w:tc>
          <w:tcPr>
            <w:tcW w:w="3137" w:type="dxa"/>
          </w:tcPr>
          <w:p w14:paraId="606CFB80" w14:textId="77777777" w:rsidR="00BE36FB" w:rsidRPr="009B7B35" w:rsidRDefault="00BE36FB" w:rsidP="00BE36FB">
            <w:pPr>
              <w:pStyle w:val="ListBullet"/>
              <w:spacing w:before="80" w:after="80"/>
              <w:rPr>
                <w:rFonts w:cs="Arial"/>
                <w:szCs w:val="20"/>
              </w:rPr>
            </w:pPr>
            <w:r w:rsidRPr="009B7B35">
              <w:rPr>
                <w:rFonts w:cs="Arial"/>
                <w:szCs w:val="20"/>
              </w:rPr>
              <w:t>Adjoining premises</w:t>
            </w:r>
          </w:p>
          <w:p w14:paraId="4FF94653" w14:textId="77777777" w:rsidR="00BE36FB" w:rsidRPr="009B7B35" w:rsidRDefault="00BE36FB" w:rsidP="00BE36FB">
            <w:pPr>
              <w:pStyle w:val="ListBullet"/>
              <w:spacing w:before="80" w:after="80"/>
              <w:rPr>
                <w:rFonts w:cs="Arial"/>
                <w:szCs w:val="20"/>
              </w:rPr>
            </w:pPr>
            <w:r w:rsidRPr="009B7B35">
              <w:rPr>
                <w:rFonts w:cs="Arial"/>
                <w:szCs w:val="20"/>
              </w:rPr>
              <w:t>Advertising device</w:t>
            </w:r>
          </w:p>
          <w:p w14:paraId="290BBC6A" w14:textId="77777777" w:rsidR="00BE36FB" w:rsidRPr="009B7B35" w:rsidRDefault="00BE36FB" w:rsidP="00BE36FB">
            <w:pPr>
              <w:pStyle w:val="ListBullet"/>
              <w:spacing w:before="80" w:after="80"/>
              <w:rPr>
                <w:rFonts w:cs="Arial"/>
                <w:szCs w:val="20"/>
              </w:rPr>
            </w:pPr>
            <w:r w:rsidRPr="009B7B35">
              <w:rPr>
                <w:rFonts w:cs="Arial"/>
                <w:szCs w:val="20"/>
              </w:rPr>
              <w:t>Affordable housing</w:t>
            </w:r>
          </w:p>
          <w:p w14:paraId="4247F551" w14:textId="77777777" w:rsidR="00BE36FB" w:rsidRPr="009B7B35" w:rsidRDefault="00BE36FB" w:rsidP="00BE36FB">
            <w:pPr>
              <w:pStyle w:val="ListBullet"/>
              <w:spacing w:before="80" w:after="80"/>
              <w:rPr>
                <w:rFonts w:cs="Arial"/>
                <w:szCs w:val="20"/>
              </w:rPr>
            </w:pPr>
            <w:r w:rsidRPr="009B7B35">
              <w:rPr>
                <w:rFonts w:cs="Arial"/>
                <w:szCs w:val="20"/>
              </w:rPr>
              <w:t>Average width</w:t>
            </w:r>
          </w:p>
          <w:p w14:paraId="5D9AF0DA" w14:textId="77777777" w:rsidR="00BE36FB" w:rsidRPr="009B7B35" w:rsidRDefault="00BE36FB" w:rsidP="00BE36FB">
            <w:pPr>
              <w:pStyle w:val="ListBullet"/>
              <w:spacing w:before="80" w:after="80"/>
              <w:rPr>
                <w:rFonts w:cs="Arial"/>
                <w:szCs w:val="20"/>
              </w:rPr>
            </w:pPr>
            <w:r w:rsidRPr="009B7B35">
              <w:rPr>
                <w:rFonts w:cs="Arial"/>
                <w:szCs w:val="20"/>
              </w:rPr>
              <w:t>Base date</w:t>
            </w:r>
          </w:p>
          <w:p w14:paraId="1C16BF87" w14:textId="77777777" w:rsidR="00BE36FB" w:rsidRPr="009B7B35" w:rsidRDefault="00BE36FB" w:rsidP="00BE36FB">
            <w:pPr>
              <w:pStyle w:val="ListBullet"/>
              <w:spacing w:before="80" w:after="80"/>
              <w:rPr>
                <w:rFonts w:cs="Arial"/>
                <w:szCs w:val="20"/>
              </w:rPr>
            </w:pPr>
            <w:r w:rsidRPr="009B7B35">
              <w:rPr>
                <w:rFonts w:cs="Arial"/>
                <w:szCs w:val="20"/>
              </w:rPr>
              <w:t>Basement</w:t>
            </w:r>
          </w:p>
          <w:p w14:paraId="2FBE59D6" w14:textId="77777777" w:rsidR="00BE36FB" w:rsidRPr="009B7B35" w:rsidRDefault="00BE36FB" w:rsidP="00BE36FB">
            <w:pPr>
              <w:pStyle w:val="ListBullet"/>
              <w:spacing w:before="80" w:after="80"/>
              <w:rPr>
                <w:rFonts w:cs="Arial"/>
                <w:szCs w:val="20"/>
              </w:rPr>
            </w:pPr>
            <w:r w:rsidRPr="009B7B35">
              <w:rPr>
                <w:rFonts w:cs="Arial"/>
                <w:szCs w:val="20"/>
              </w:rPr>
              <w:t>Boundary clearance</w:t>
            </w:r>
          </w:p>
          <w:p w14:paraId="34893EA2" w14:textId="77777777" w:rsidR="00BE36FB" w:rsidRPr="009B7B35" w:rsidRDefault="00BE36FB" w:rsidP="00BE36FB">
            <w:pPr>
              <w:pStyle w:val="ListBullet"/>
              <w:spacing w:before="80" w:after="80"/>
              <w:rPr>
                <w:rFonts w:cs="Arial"/>
                <w:szCs w:val="20"/>
              </w:rPr>
            </w:pPr>
            <w:r w:rsidRPr="009B7B35">
              <w:rPr>
                <w:rFonts w:cs="Arial"/>
                <w:szCs w:val="20"/>
              </w:rPr>
              <w:t>Building height</w:t>
            </w:r>
          </w:p>
          <w:p w14:paraId="1034A92B" w14:textId="77777777" w:rsidR="00BE36FB" w:rsidRPr="009B7B35" w:rsidRDefault="00BE36FB" w:rsidP="00BE36FB">
            <w:pPr>
              <w:pStyle w:val="ListBullet"/>
              <w:spacing w:before="80" w:after="80"/>
              <w:rPr>
                <w:rFonts w:cs="Arial"/>
                <w:szCs w:val="20"/>
              </w:rPr>
            </w:pPr>
            <w:r w:rsidRPr="009B7B35">
              <w:rPr>
                <w:rFonts w:cs="Arial"/>
                <w:szCs w:val="20"/>
              </w:rPr>
              <w:t>Demand unit</w:t>
            </w:r>
          </w:p>
          <w:p w14:paraId="4F4A81B4" w14:textId="77777777" w:rsidR="00BE36FB" w:rsidRPr="009B7B35" w:rsidRDefault="00BE36FB" w:rsidP="00BE36FB">
            <w:pPr>
              <w:pStyle w:val="ListBullet"/>
              <w:spacing w:before="80" w:after="80"/>
              <w:rPr>
                <w:rFonts w:cs="Arial"/>
                <w:szCs w:val="20"/>
              </w:rPr>
            </w:pPr>
            <w:r w:rsidRPr="009B7B35">
              <w:rPr>
                <w:rFonts w:cs="Arial"/>
                <w:szCs w:val="20"/>
              </w:rPr>
              <w:t>Development footprint</w:t>
            </w:r>
          </w:p>
          <w:p w14:paraId="785EC13C" w14:textId="77777777" w:rsidR="00BE36FB" w:rsidRPr="009B7B35" w:rsidRDefault="00BE36FB" w:rsidP="00BE36FB">
            <w:pPr>
              <w:pStyle w:val="ListBullet"/>
              <w:spacing w:before="80" w:after="80"/>
              <w:rPr>
                <w:rFonts w:cs="Arial"/>
                <w:szCs w:val="20"/>
              </w:rPr>
            </w:pPr>
            <w:r w:rsidRPr="009B7B35">
              <w:rPr>
                <w:rFonts w:cs="Arial"/>
                <w:szCs w:val="20"/>
              </w:rPr>
              <w:t>Domestic outbuilding</w:t>
            </w:r>
          </w:p>
          <w:p w14:paraId="66281BBF" w14:textId="77777777" w:rsidR="00BE36FB" w:rsidRPr="009B7B35" w:rsidRDefault="00BE36FB" w:rsidP="00BE36FB">
            <w:pPr>
              <w:pStyle w:val="ListBullet"/>
              <w:spacing w:before="80" w:after="80"/>
              <w:rPr>
                <w:rFonts w:cs="Arial"/>
                <w:szCs w:val="20"/>
              </w:rPr>
            </w:pPr>
            <w:r w:rsidRPr="009B7B35">
              <w:rPr>
                <w:rFonts w:cs="Arial"/>
                <w:szCs w:val="20"/>
              </w:rPr>
              <w:t>Dwelling</w:t>
            </w:r>
          </w:p>
          <w:p w14:paraId="2BBD5F74" w14:textId="77777777" w:rsidR="00BE36FB" w:rsidRPr="009B7B35" w:rsidRDefault="00BE36FB" w:rsidP="00BE36FB">
            <w:pPr>
              <w:pStyle w:val="ListBullet"/>
              <w:spacing w:before="80" w:after="80"/>
              <w:rPr>
                <w:rFonts w:cs="Arial"/>
                <w:szCs w:val="20"/>
              </w:rPr>
            </w:pPr>
            <w:r w:rsidRPr="009B7B35">
              <w:rPr>
                <w:rFonts w:cs="Arial"/>
                <w:szCs w:val="20"/>
              </w:rPr>
              <w:t>Electrical entity</w:t>
            </w:r>
          </w:p>
          <w:p w14:paraId="1B03C2A7" w14:textId="77777777" w:rsidR="00BE36FB" w:rsidRPr="009B7B35" w:rsidRDefault="00BE36FB" w:rsidP="00BE36FB">
            <w:pPr>
              <w:pStyle w:val="ListBullet"/>
              <w:spacing w:before="80" w:after="80"/>
              <w:rPr>
                <w:rFonts w:cs="Arial"/>
                <w:szCs w:val="20"/>
              </w:rPr>
            </w:pPr>
            <w:r w:rsidRPr="009B7B35">
              <w:rPr>
                <w:rFonts w:cs="Arial"/>
                <w:szCs w:val="20"/>
              </w:rPr>
              <w:t>Gross density</w:t>
            </w:r>
          </w:p>
        </w:tc>
        <w:tc>
          <w:tcPr>
            <w:tcW w:w="3137" w:type="dxa"/>
          </w:tcPr>
          <w:p w14:paraId="7A4F4E84" w14:textId="77777777" w:rsidR="00BE36FB" w:rsidRPr="009B7B35" w:rsidRDefault="00BE36FB" w:rsidP="00BE36FB">
            <w:pPr>
              <w:pStyle w:val="ListBullet"/>
              <w:spacing w:before="80" w:after="80"/>
              <w:rPr>
                <w:rFonts w:cs="Arial"/>
                <w:szCs w:val="20"/>
              </w:rPr>
            </w:pPr>
            <w:r w:rsidRPr="009B7B35">
              <w:rPr>
                <w:rFonts w:cs="Arial"/>
                <w:szCs w:val="20"/>
              </w:rPr>
              <w:t>Gross floor area</w:t>
            </w:r>
            <w:r w:rsidRPr="009B7B35" w:rsidDel="00EF2284">
              <w:rPr>
                <w:rFonts w:cs="Arial"/>
                <w:szCs w:val="20"/>
              </w:rPr>
              <w:t xml:space="preserve"> </w:t>
            </w:r>
          </w:p>
          <w:p w14:paraId="4F841397" w14:textId="77777777" w:rsidR="00BE36FB" w:rsidRPr="009B7B35" w:rsidRDefault="00BE36FB" w:rsidP="00BE36FB">
            <w:pPr>
              <w:pStyle w:val="ListBullet"/>
              <w:spacing w:before="80" w:after="80"/>
              <w:rPr>
                <w:rFonts w:cs="Arial"/>
                <w:szCs w:val="20"/>
              </w:rPr>
            </w:pPr>
            <w:r w:rsidRPr="009B7B35">
              <w:rPr>
                <w:rFonts w:cs="Arial"/>
                <w:szCs w:val="20"/>
              </w:rPr>
              <w:t>Ground level</w:t>
            </w:r>
          </w:p>
          <w:p w14:paraId="18F06897" w14:textId="77777777" w:rsidR="00BE36FB" w:rsidRPr="009B7B35" w:rsidRDefault="00BE36FB" w:rsidP="00BE36FB">
            <w:pPr>
              <w:pStyle w:val="ListBullet"/>
              <w:spacing w:before="80" w:after="80"/>
              <w:rPr>
                <w:rFonts w:cs="Arial"/>
                <w:szCs w:val="20"/>
              </w:rPr>
            </w:pPr>
            <w:r w:rsidRPr="009B7B35">
              <w:rPr>
                <w:rFonts w:cs="Arial"/>
                <w:szCs w:val="20"/>
              </w:rPr>
              <w:t>Household</w:t>
            </w:r>
          </w:p>
          <w:p w14:paraId="59E92F70" w14:textId="77777777" w:rsidR="00BE36FB" w:rsidRPr="009B7B35" w:rsidRDefault="00BE36FB" w:rsidP="00BE36FB">
            <w:pPr>
              <w:pStyle w:val="ListBullet"/>
              <w:spacing w:before="80" w:after="80"/>
              <w:rPr>
                <w:rFonts w:cs="Arial"/>
                <w:szCs w:val="20"/>
              </w:rPr>
            </w:pPr>
            <w:r w:rsidRPr="009B7B35">
              <w:rPr>
                <w:rFonts w:cs="Arial"/>
                <w:szCs w:val="20"/>
              </w:rPr>
              <w:t>Minor building work</w:t>
            </w:r>
          </w:p>
          <w:p w14:paraId="61CDB992" w14:textId="77777777" w:rsidR="00BE36FB" w:rsidRPr="009B7B35" w:rsidRDefault="00BE36FB" w:rsidP="00BE36FB">
            <w:pPr>
              <w:pStyle w:val="ListBullet"/>
              <w:spacing w:before="80" w:after="80"/>
              <w:rPr>
                <w:rFonts w:cs="Arial"/>
                <w:szCs w:val="20"/>
              </w:rPr>
            </w:pPr>
            <w:r w:rsidRPr="009B7B35">
              <w:rPr>
                <w:rFonts w:cs="Arial"/>
                <w:szCs w:val="20"/>
              </w:rPr>
              <w:t>Minor electricity infrastructure</w:t>
            </w:r>
          </w:p>
          <w:p w14:paraId="2C5506BC" w14:textId="77777777" w:rsidR="00BE36FB" w:rsidRPr="009B7B35" w:rsidRDefault="00BE36FB" w:rsidP="00BE36FB">
            <w:pPr>
              <w:pStyle w:val="ListBullet"/>
              <w:spacing w:before="80" w:after="80"/>
              <w:rPr>
                <w:rFonts w:cs="Arial"/>
                <w:szCs w:val="20"/>
              </w:rPr>
            </w:pPr>
            <w:r w:rsidRPr="009B7B35">
              <w:rPr>
                <w:rFonts w:cs="Arial"/>
                <w:szCs w:val="20"/>
              </w:rPr>
              <w:t>Mixed use centres</w:t>
            </w:r>
          </w:p>
          <w:p w14:paraId="54F014F7" w14:textId="77777777" w:rsidR="00BE36FB" w:rsidRPr="009B7B35" w:rsidRDefault="00BE36FB" w:rsidP="00BE36FB">
            <w:pPr>
              <w:pStyle w:val="ListBullet"/>
              <w:spacing w:before="80" w:after="80"/>
              <w:rPr>
                <w:rFonts w:cs="Arial"/>
                <w:szCs w:val="20"/>
              </w:rPr>
            </w:pPr>
            <w:r w:rsidRPr="009B7B35">
              <w:rPr>
                <w:rFonts w:cs="Arial"/>
                <w:szCs w:val="20"/>
              </w:rPr>
              <w:t>Net density</w:t>
            </w:r>
          </w:p>
          <w:p w14:paraId="19612A30" w14:textId="77777777" w:rsidR="00BE36FB" w:rsidRPr="009B7B35" w:rsidRDefault="00BE36FB" w:rsidP="00BE36FB">
            <w:pPr>
              <w:pStyle w:val="ListBullet"/>
              <w:spacing w:before="80" w:after="80"/>
              <w:rPr>
                <w:rFonts w:cs="Arial"/>
                <w:szCs w:val="20"/>
              </w:rPr>
            </w:pPr>
            <w:r w:rsidRPr="009B7B35">
              <w:rPr>
                <w:rFonts w:cs="Arial"/>
                <w:szCs w:val="20"/>
              </w:rPr>
              <w:t>Net developable area</w:t>
            </w:r>
          </w:p>
          <w:p w14:paraId="3F9C40D7" w14:textId="77777777" w:rsidR="00BE36FB" w:rsidRPr="009B7B35" w:rsidRDefault="00BE36FB" w:rsidP="00BE36FB">
            <w:pPr>
              <w:pStyle w:val="ListBullet"/>
              <w:spacing w:before="80" w:after="80"/>
              <w:rPr>
                <w:rFonts w:cs="Arial"/>
                <w:szCs w:val="20"/>
              </w:rPr>
            </w:pPr>
            <w:r w:rsidRPr="009B7B35">
              <w:rPr>
                <w:rFonts w:cs="Arial"/>
                <w:szCs w:val="20"/>
              </w:rPr>
              <w:t>Netserv plan</w:t>
            </w:r>
          </w:p>
          <w:p w14:paraId="687043EE" w14:textId="77777777" w:rsidR="00BE36FB" w:rsidRPr="009B7B35" w:rsidRDefault="00BE36FB" w:rsidP="00BE36FB">
            <w:pPr>
              <w:pStyle w:val="ListBullet"/>
              <w:spacing w:before="80" w:after="80"/>
              <w:rPr>
                <w:rFonts w:cs="Arial"/>
                <w:szCs w:val="20"/>
              </w:rPr>
            </w:pPr>
            <w:r w:rsidRPr="009B7B35">
              <w:rPr>
                <w:rFonts w:cs="Arial"/>
                <w:szCs w:val="20"/>
              </w:rPr>
              <w:t>New neighbourhoods</w:t>
            </w:r>
          </w:p>
          <w:p w14:paraId="35EAFAC5" w14:textId="77777777" w:rsidR="00BE36FB" w:rsidRPr="009B7B35" w:rsidRDefault="00BE36FB" w:rsidP="00BE36FB">
            <w:pPr>
              <w:pStyle w:val="ListBullet"/>
              <w:spacing w:before="80" w:after="80"/>
              <w:rPr>
                <w:rFonts w:cs="Arial"/>
                <w:szCs w:val="20"/>
              </w:rPr>
            </w:pPr>
            <w:r w:rsidRPr="009B7B35">
              <w:rPr>
                <w:rFonts w:cs="Arial"/>
                <w:szCs w:val="20"/>
              </w:rPr>
              <w:t>Non–resident workers</w:t>
            </w:r>
          </w:p>
          <w:p w14:paraId="12A33455" w14:textId="77777777" w:rsidR="00BE36FB" w:rsidRPr="009B7B35" w:rsidRDefault="00BE36FB" w:rsidP="00BE36FB">
            <w:pPr>
              <w:pStyle w:val="ListBullet"/>
              <w:spacing w:before="80" w:after="80"/>
              <w:rPr>
                <w:rFonts w:cs="Arial"/>
                <w:szCs w:val="20"/>
              </w:rPr>
            </w:pPr>
            <w:r w:rsidRPr="009B7B35">
              <w:rPr>
                <w:rFonts w:cs="Arial"/>
                <w:szCs w:val="20"/>
              </w:rPr>
              <w:t>Outermost projection</w:t>
            </w:r>
          </w:p>
          <w:p w14:paraId="1A1B4F69" w14:textId="77777777" w:rsidR="00BE36FB" w:rsidRPr="009B7B35" w:rsidRDefault="00BE36FB" w:rsidP="00BE36FB">
            <w:pPr>
              <w:pStyle w:val="ListBullet"/>
              <w:spacing w:before="80" w:after="80"/>
              <w:rPr>
                <w:rFonts w:cs="Arial"/>
                <w:szCs w:val="20"/>
              </w:rPr>
            </w:pPr>
            <w:r w:rsidRPr="009B7B35">
              <w:rPr>
                <w:rFonts w:cs="Arial"/>
                <w:szCs w:val="20"/>
              </w:rPr>
              <w:t>Planning assumptions</w:t>
            </w:r>
          </w:p>
        </w:tc>
        <w:tc>
          <w:tcPr>
            <w:tcW w:w="3082" w:type="dxa"/>
          </w:tcPr>
          <w:p w14:paraId="24C24145" w14:textId="77777777" w:rsidR="00BE36FB" w:rsidRPr="009B7B35" w:rsidRDefault="00BE36FB" w:rsidP="00BE36FB">
            <w:pPr>
              <w:pStyle w:val="ListBullet"/>
              <w:spacing w:before="80" w:after="80"/>
              <w:rPr>
                <w:rFonts w:cs="Arial"/>
                <w:szCs w:val="20"/>
              </w:rPr>
            </w:pPr>
            <w:r w:rsidRPr="009B7B35">
              <w:rPr>
                <w:rFonts w:cs="Arial"/>
                <w:szCs w:val="20"/>
              </w:rPr>
              <w:t>Plot ratio</w:t>
            </w:r>
          </w:p>
          <w:p w14:paraId="4B4EAA8A" w14:textId="77777777" w:rsidR="00BE36FB" w:rsidRPr="009B7B35" w:rsidRDefault="00BE36FB" w:rsidP="00BE36FB">
            <w:pPr>
              <w:pStyle w:val="ListBullet"/>
              <w:spacing w:before="80" w:after="80"/>
              <w:rPr>
                <w:rFonts w:cs="Arial"/>
                <w:szCs w:val="20"/>
              </w:rPr>
            </w:pPr>
            <w:r w:rsidRPr="009B7B35">
              <w:rPr>
                <w:rFonts w:cs="Arial"/>
                <w:szCs w:val="20"/>
              </w:rPr>
              <w:t>Projection area(s)</w:t>
            </w:r>
          </w:p>
          <w:p w14:paraId="23F14BFF" w14:textId="77777777" w:rsidR="00BE36FB" w:rsidRPr="009B7B35" w:rsidRDefault="00BE36FB" w:rsidP="00BE36FB">
            <w:pPr>
              <w:pStyle w:val="ListBullet"/>
              <w:spacing w:before="80" w:after="80"/>
              <w:rPr>
                <w:rFonts w:cs="Arial"/>
                <w:szCs w:val="20"/>
              </w:rPr>
            </w:pPr>
            <w:r w:rsidRPr="009B7B35">
              <w:rPr>
                <w:rFonts w:cs="Arial"/>
                <w:szCs w:val="20"/>
              </w:rPr>
              <w:t>Secondary dwelling</w:t>
            </w:r>
          </w:p>
          <w:p w14:paraId="7AFD43A2" w14:textId="77777777" w:rsidR="00BE36FB" w:rsidRPr="009B7B35" w:rsidRDefault="00BE36FB" w:rsidP="00BE36FB">
            <w:pPr>
              <w:pStyle w:val="ListBullet"/>
              <w:spacing w:before="80" w:after="80"/>
              <w:rPr>
                <w:rFonts w:cs="Arial"/>
                <w:szCs w:val="20"/>
              </w:rPr>
            </w:pPr>
            <w:r w:rsidRPr="009B7B35">
              <w:rPr>
                <w:rFonts w:cs="Arial"/>
                <w:szCs w:val="20"/>
              </w:rPr>
              <w:t>Setback</w:t>
            </w:r>
          </w:p>
          <w:p w14:paraId="6118A16D" w14:textId="77777777" w:rsidR="00BE36FB" w:rsidRPr="009B7B35" w:rsidRDefault="00BE36FB" w:rsidP="00BE36FB">
            <w:pPr>
              <w:pStyle w:val="ListBullet"/>
              <w:spacing w:before="80" w:after="80"/>
              <w:rPr>
                <w:rFonts w:cs="Arial"/>
                <w:szCs w:val="20"/>
              </w:rPr>
            </w:pPr>
            <w:r w:rsidRPr="009B7B35">
              <w:rPr>
                <w:rFonts w:cs="Arial"/>
                <w:szCs w:val="20"/>
              </w:rPr>
              <w:t>Service catchment</w:t>
            </w:r>
          </w:p>
          <w:p w14:paraId="08F5AAF1" w14:textId="77777777" w:rsidR="00BE36FB" w:rsidRPr="009B7B35" w:rsidRDefault="00BE36FB" w:rsidP="00BE36FB">
            <w:pPr>
              <w:pStyle w:val="ListBullet"/>
              <w:spacing w:before="80" w:after="80"/>
              <w:rPr>
                <w:rFonts w:cs="Arial"/>
                <w:szCs w:val="20"/>
              </w:rPr>
            </w:pPr>
            <w:r w:rsidRPr="009B7B35">
              <w:rPr>
                <w:rFonts w:cs="Arial"/>
                <w:szCs w:val="20"/>
              </w:rPr>
              <w:t>Site</w:t>
            </w:r>
          </w:p>
          <w:p w14:paraId="53AB98F2" w14:textId="77777777" w:rsidR="00BE36FB" w:rsidRPr="009B7B35" w:rsidRDefault="00BE36FB" w:rsidP="00BE36FB">
            <w:pPr>
              <w:pStyle w:val="ListBullet"/>
              <w:spacing w:before="80" w:after="80"/>
              <w:rPr>
                <w:rFonts w:cs="Arial"/>
                <w:szCs w:val="20"/>
              </w:rPr>
            </w:pPr>
            <w:r w:rsidRPr="009B7B35">
              <w:rPr>
                <w:rFonts w:cs="Arial"/>
                <w:szCs w:val="20"/>
              </w:rPr>
              <w:t>Site cover</w:t>
            </w:r>
          </w:p>
          <w:p w14:paraId="79175AFF" w14:textId="77777777" w:rsidR="00BE36FB" w:rsidRPr="009B7B35" w:rsidRDefault="00BE36FB" w:rsidP="00BE36FB">
            <w:pPr>
              <w:pStyle w:val="ListBullet"/>
              <w:spacing w:before="80" w:after="80"/>
              <w:rPr>
                <w:rFonts w:cs="Arial"/>
                <w:szCs w:val="20"/>
              </w:rPr>
            </w:pPr>
            <w:r w:rsidRPr="009B7B35">
              <w:rPr>
                <w:rFonts w:cs="Arial"/>
                <w:szCs w:val="20"/>
              </w:rPr>
              <w:t>Storey</w:t>
            </w:r>
          </w:p>
          <w:p w14:paraId="100AD5BC" w14:textId="77777777" w:rsidR="00BE36FB" w:rsidRPr="009B7B35" w:rsidRDefault="00BE36FB" w:rsidP="00BE36FB">
            <w:pPr>
              <w:pStyle w:val="ListBullet"/>
              <w:spacing w:before="80" w:after="80"/>
              <w:rPr>
                <w:rFonts w:cs="Arial"/>
                <w:szCs w:val="20"/>
              </w:rPr>
            </w:pPr>
            <w:r w:rsidRPr="009B7B35">
              <w:rPr>
                <w:rFonts w:cs="Arial"/>
                <w:szCs w:val="20"/>
              </w:rPr>
              <w:t>Temporary use</w:t>
            </w:r>
          </w:p>
          <w:p w14:paraId="0AB652C2" w14:textId="77777777" w:rsidR="00BE36FB" w:rsidRPr="009B7B35" w:rsidRDefault="00BE36FB" w:rsidP="00BE36FB">
            <w:pPr>
              <w:pStyle w:val="ListBullet"/>
              <w:spacing w:before="80" w:after="80"/>
              <w:rPr>
                <w:rFonts w:cs="Arial"/>
                <w:szCs w:val="20"/>
              </w:rPr>
            </w:pPr>
            <w:r w:rsidRPr="009B7B35">
              <w:rPr>
                <w:rFonts w:cs="Arial"/>
                <w:szCs w:val="20"/>
              </w:rPr>
              <w:t>Ultimate development</w:t>
            </w:r>
          </w:p>
          <w:p w14:paraId="0F919E91" w14:textId="77777777" w:rsidR="00BE36FB" w:rsidRPr="009B7B35" w:rsidRDefault="00BE36FB" w:rsidP="00BE36FB">
            <w:pPr>
              <w:pStyle w:val="ListBullet"/>
              <w:spacing w:before="80" w:after="80"/>
              <w:rPr>
                <w:rFonts w:cs="Arial"/>
                <w:szCs w:val="20"/>
              </w:rPr>
            </w:pPr>
            <w:r w:rsidRPr="009B7B35">
              <w:rPr>
                <w:rFonts w:cs="Arial"/>
                <w:szCs w:val="20"/>
              </w:rPr>
              <w:t>Urban purposes</w:t>
            </w:r>
          </w:p>
          <w:p w14:paraId="607CDC18" w14:textId="77777777" w:rsidR="00BE36FB" w:rsidRPr="009B7B35" w:rsidRDefault="00BE36FB" w:rsidP="00BE36FB">
            <w:pPr>
              <w:pStyle w:val="ListBullet"/>
              <w:spacing w:before="80" w:after="80"/>
              <w:rPr>
                <w:rFonts w:cs="Arial"/>
                <w:szCs w:val="20"/>
              </w:rPr>
            </w:pPr>
            <w:r w:rsidRPr="009B7B35">
              <w:rPr>
                <w:rFonts w:cs="Arial"/>
                <w:szCs w:val="20"/>
              </w:rPr>
              <w:t>Urban revitalisation neighbourhoods</w:t>
            </w:r>
          </w:p>
        </w:tc>
      </w:tr>
    </w:tbl>
    <w:p w14:paraId="5020D64F" w14:textId="77777777" w:rsidR="007A46D8" w:rsidRDefault="007A46D8" w:rsidP="001A7107">
      <w:pPr>
        <w:pStyle w:val="Heading9"/>
        <w:numPr>
          <w:ilvl w:val="0"/>
          <w:numId w:val="0"/>
        </w:numPr>
        <w:rPr>
          <w:rFonts w:cs="Arial"/>
          <w:sz w:val="20"/>
        </w:rPr>
      </w:pPr>
    </w:p>
    <w:p w14:paraId="75B8C2E7" w14:textId="6F55F83B" w:rsidR="00BE36FB" w:rsidRPr="009B7B35" w:rsidRDefault="00BE36FB" w:rsidP="001A7107">
      <w:pPr>
        <w:pStyle w:val="Heading9"/>
        <w:numPr>
          <w:ilvl w:val="0"/>
          <w:numId w:val="0"/>
        </w:numPr>
        <w:rPr>
          <w:rFonts w:cs="Arial"/>
          <w:sz w:val="20"/>
        </w:rPr>
      </w:pPr>
      <w:r w:rsidRPr="009B7B35">
        <w:rPr>
          <w:rFonts w:cs="Arial"/>
          <w:sz w:val="20"/>
        </w:rPr>
        <w:t>Table Sc1.2.2—Administrative definitions</w:t>
      </w:r>
    </w:p>
    <w:tbl>
      <w:tblPr>
        <w:tblStyle w:val="Tablestyle"/>
        <w:tblW w:w="9356" w:type="dxa"/>
        <w:tblLook w:val="0620" w:firstRow="1" w:lastRow="0" w:firstColumn="0" w:lastColumn="0" w:noHBand="1" w:noVBand="1"/>
      </w:tblPr>
      <w:tblGrid>
        <w:gridCol w:w="2410"/>
        <w:gridCol w:w="6946"/>
      </w:tblGrid>
      <w:tr w:rsidR="00BE36FB" w:rsidRPr="009B7B35" w14:paraId="373BD7EF" w14:textId="77777777" w:rsidTr="001A7107">
        <w:trPr>
          <w:cnfStyle w:val="100000000000" w:firstRow="1" w:lastRow="0" w:firstColumn="0" w:lastColumn="0" w:oddVBand="0" w:evenVBand="0" w:oddHBand="0" w:evenHBand="0" w:firstRowFirstColumn="0" w:firstRowLastColumn="0" w:lastRowFirstColumn="0" w:lastRowLastColumn="0"/>
          <w:tblHeader/>
        </w:trPr>
        <w:tc>
          <w:tcPr>
            <w:tcW w:w="2410" w:type="dxa"/>
          </w:tcPr>
          <w:p w14:paraId="4C1A0DDB" w14:textId="77777777" w:rsidR="00BE36FB" w:rsidRPr="009B7B35" w:rsidRDefault="00BE36FB" w:rsidP="001A7107">
            <w:pPr>
              <w:rPr>
                <w:rFonts w:cs="Arial"/>
                <w:sz w:val="20"/>
                <w:szCs w:val="20"/>
              </w:rPr>
            </w:pPr>
            <w:r w:rsidRPr="009B7B35">
              <w:rPr>
                <w:rFonts w:cs="Arial"/>
                <w:sz w:val="20"/>
                <w:szCs w:val="20"/>
              </w:rPr>
              <w:t>Column 1</w:t>
            </w:r>
          </w:p>
          <w:p w14:paraId="1E9260CE" w14:textId="77777777" w:rsidR="00BE36FB" w:rsidRPr="009B7B35" w:rsidRDefault="00BE36FB" w:rsidP="001A7107">
            <w:pPr>
              <w:rPr>
                <w:rFonts w:cs="Arial"/>
                <w:sz w:val="20"/>
                <w:szCs w:val="20"/>
              </w:rPr>
            </w:pPr>
            <w:r w:rsidRPr="009B7B35">
              <w:rPr>
                <w:rFonts w:cs="Arial"/>
                <w:sz w:val="20"/>
                <w:szCs w:val="20"/>
              </w:rPr>
              <w:t>Term</w:t>
            </w:r>
          </w:p>
        </w:tc>
        <w:tc>
          <w:tcPr>
            <w:tcW w:w="6946" w:type="dxa"/>
          </w:tcPr>
          <w:p w14:paraId="709874EE" w14:textId="77777777" w:rsidR="00BE36FB" w:rsidRPr="009B7B35" w:rsidRDefault="00BE36FB" w:rsidP="001A7107">
            <w:pPr>
              <w:rPr>
                <w:rFonts w:cs="Arial"/>
                <w:sz w:val="20"/>
                <w:szCs w:val="20"/>
              </w:rPr>
            </w:pPr>
            <w:r w:rsidRPr="009B7B35">
              <w:rPr>
                <w:rFonts w:cs="Arial"/>
                <w:sz w:val="20"/>
                <w:szCs w:val="20"/>
              </w:rPr>
              <w:t>Column 2</w:t>
            </w:r>
          </w:p>
          <w:p w14:paraId="23CAD436" w14:textId="77777777" w:rsidR="00BE36FB" w:rsidRPr="009B7B35" w:rsidRDefault="00BE36FB" w:rsidP="001A7107">
            <w:pPr>
              <w:rPr>
                <w:rFonts w:cs="Arial"/>
                <w:sz w:val="20"/>
                <w:szCs w:val="20"/>
              </w:rPr>
            </w:pPr>
            <w:r w:rsidRPr="009B7B35">
              <w:rPr>
                <w:rFonts w:cs="Arial"/>
                <w:sz w:val="20"/>
                <w:szCs w:val="20"/>
              </w:rPr>
              <w:t>Definition</w:t>
            </w:r>
          </w:p>
        </w:tc>
      </w:tr>
      <w:tr w:rsidR="00BE36FB" w:rsidRPr="009B7B35" w14:paraId="7A17FEFE" w14:textId="77777777" w:rsidTr="001A7107">
        <w:tc>
          <w:tcPr>
            <w:tcW w:w="2410" w:type="dxa"/>
          </w:tcPr>
          <w:p w14:paraId="0DD7CE22" w14:textId="77777777" w:rsidR="00BE36FB" w:rsidRPr="009B7B35" w:rsidRDefault="00BE36FB" w:rsidP="001A7107">
            <w:pPr>
              <w:pStyle w:val="TableText"/>
              <w:rPr>
                <w:rFonts w:cs="Arial"/>
              </w:rPr>
            </w:pPr>
            <w:r w:rsidRPr="009B7B35">
              <w:rPr>
                <w:rFonts w:cs="Arial"/>
              </w:rPr>
              <w:t>Adjoining premises</w:t>
            </w:r>
          </w:p>
        </w:tc>
        <w:tc>
          <w:tcPr>
            <w:tcW w:w="6946" w:type="dxa"/>
          </w:tcPr>
          <w:p w14:paraId="2B0BADD1" w14:textId="77777777" w:rsidR="00BE36FB" w:rsidRPr="009B7B35" w:rsidRDefault="00BE36FB" w:rsidP="001A7107">
            <w:pPr>
              <w:pStyle w:val="TableText"/>
              <w:rPr>
                <w:rFonts w:cs="Arial"/>
              </w:rPr>
            </w:pPr>
            <w:r w:rsidRPr="009B7B35">
              <w:rPr>
                <w:rFonts w:cs="Arial"/>
              </w:rPr>
              <w:t>Premises that share all or part of a common boundary. A common boundary may be a single point such as a corner point.</w:t>
            </w:r>
          </w:p>
        </w:tc>
      </w:tr>
      <w:tr w:rsidR="00BE36FB" w:rsidRPr="009B7B35" w14:paraId="1BF933B0" w14:textId="77777777" w:rsidTr="001A7107">
        <w:tc>
          <w:tcPr>
            <w:tcW w:w="2410" w:type="dxa"/>
          </w:tcPr>
          <w:p w14:paraId="059E4ED6" w14:textId="77777777" w:rsidR="00BE36FB" w:rsidRPr="009B7B35" w:rsidRDefault="00BE36FB" w:rsidP="001A7107">
            <w:pPr>
              <w:pStyle w:val="TableText"/>
              <w:rPr>
                <w:rFonts w:cs="Arial"/>
              </w:rPr>
            </w:pPr>
            <w:r w:rsidRPr="009B7B35">
              <w:rPr>
                <w:rFonts w:cs="Arial"/>
              </w:rPr>
              <w:t>Advertising device</w:t>
            </w:r>
          </w:p>
        </w:tc>
        <w:tc>
          <w:tcPr>
            <w:tcW w:w="6946" w:type="dxa"/>
          </w:tcPr>
          <w:p w14:paraId="25432543" w14:textId="77777777" w:rsidR="00BE36FB" w:rsidRPr="009B7B35" w:rsidRDefault="00BE36FB" w:rsidP="001A7107">
            <w:pPr>
              <w:pStyle w:val="TableText"/>
              <w:rPr>
                <w:rFonts w:cs="Arial"/>
              </w:rPr>
            </w:pPr>
            <w:r w:rsidRPr="009B7B35">
              <w:rPr>
                <w:rFonts w:cs="Arial"/>
              </w:rPr>
              <w:t>Any permanent structure, device, sign or the like intended for advertising purposes. It includes any framework, supporting structure or building feature that is provided exclusively or mainly as part of the advertisement.</w:t>
            </w:r>
          </w:p>
        </w:tc>
      </w:tr>
      <w:tr w:rsidR="00BE36FB" w:rsidRPr="009B7B35" w14:paraId="4741CADD" w14:textId="77777777" w:rsidTr="001A7107">
        <w:tc>
          <w:tcPr>
            <w:tcW w:w="2410" w:type="dxa"/>
          </w:tcPr>
          <w:p w14:paraId="4240B131" w14:textId="77777777" w:rsidR="00BE36FB" w:rsidRPr="009B7B35" w:rsidRDefault="00BE36FB" w:rsidP="001A7107">
            <w:pPr>
              <w:pStyle w:val="TableText"/>
              <w:rPr>
                <w:rFonts w:cs="Arial"/>
              </w:rPr>
            </w:pPr>
            <w:r w:rsidRPr="009B7B35">
              <w:rPr>
                <w:rFonts w:cs="Arial"/>
              </w:rPr>
              <w:t>Affordable housing</w:t>
            </w:r>
          </w:p>
        </w:tc>
        <w:tc>
          <w:tcPr>
            <w:tcW w:w="6946" w:type="dxa"/>
          </w:tcPr>
          <w:p w14:paraId="46DA7EDD" w14:textId="77777777" w:rsidR="00BE36FB" w:rsidRPr="009B7B35" w:rsidRDefault="00BE36FB" w:rsidP="001A7107">
            <w:pPr>
              <w:pStyle w:val="TableText"/>
              <w:rPr>
                <w:rFonts w:cs="Arial"/>
              </w:rPr>
            </w:pPr>
            <w:r w:rsidRPr="009B7B35">
              <w:rPr>
                <w:rFonts w:cs="Arial"/>
              </w:rPr>
              <w:t>Housing that is appropriate to the needs of households with low to moderate incomes.</w:t>
            </w:r>
          </w:p>
        </w:tc>
      </w:tr>
      <w:tr w:rsidR="00BE36FB" w:rsidRPr="009B7B35" w14:paraId="7C0C34B1" w14:textId="77777777" w:rsidTr="001A7107">
        <w:tc>
          <w:tcPr>
            <w:tcW w:w="2410" w:type="dxa"/>
          </w:tcPr>
          <w:p w14:paraId="42104D50" w14:textId="77777777" w:rsidR="00BE36FB" w:rsidRPr="009B7B35" w:rsidRDefault="00BE36FB" w:rsidP="001A7107">
            <w:pPr>
              <w:pStyle w:val="TableText"/>
              <w:rPr>
                <w:rFonts w:cs="Arial"/>
              </w:rPr>
            </w:pPr>
            <w:r w:rsidRPr="009B7B35">
              <w:rPr>
                <w:rFonts w:cs="Arial"/>
              </w:rPr>
              <w:t>Average width</w:t>
            </w:r>
          </w:p>
        </w:tc>
        <w:tc>
          <w:tcPr>
            <w:tcW w:w="6946" w:type="dxa"/>
          </w:tcPr>
          <w:p w14:paraId="0672C56A" w14:textId="77777777" w:rsidR="00BE36FB" w:rsidRPr="009B7B35" w:rsidRDefault="00BE36FB" w:rsidP="001A7107">
            <w:pPr>
              <w:pStyle w:val="TableText"/>
              <w:rPr>
                <w:rFonts w:cs="Arial"/>
              </w:rPr>
            </w:pPr>
            <w:r w:rsidRPr="009B7B35">
              <w:rPr>
                <w:rFonts w:cs="Arial"/>
              </w:rPr>
              <w:t>In regard to a lot, the distance between the midpoints of the side boundaries of the lot.</w:t>
            </w:r>
          </w:p>
        </w:tc>
      </w:tr>
      <w:tr w:rsidR="00BE36FB" w:rsidRPr="009B7B35" w14:paraId="0E231394" w14:textId="77777777" w:rsidTr="001A7107">
        <w:tc>
          <w:tcPr>
            <w:tcW w:w="2410" w:type="dxa"/>
          </w:tcPr>
          <w:p w14:paraId="7B4E6B8C" w14:textId="77777777" w:rsidR="00BE36FB" w:rsidRPr="009B7B35" w:rsidRDefault="00BE36FB" w:rsidP="001A7107">
            <w:pPr>
              <w:pStyle w:val="TableText"/>
              <w:rPr>
                <w:rFonts w:cs="Arial"/>
              </w:rPr>
            </w:pPr>
            <w:r w:rsidRPr="009B7B35">
              <w:rPr>
                <w:rFonts w:cs="Arial"/>
              </w:rPr>
              <w:t>Base date</w:t>
            </w:r>
          </w:p>
        </w:tc>
        <w:tc>
          <w:tcPr>
            <w:tcW w:w="6946" w:type="dxa"/>
          </w:tcPr>
          <w:p w14:paraId="0A80E6CE" w14:textId="77777777" w:rsidR="00BE36FB" w:rsidRPr="009B7B35" w:rsidRDefault="00BE36FB" w:rsidP="001A7107">
            <w:pPr>
              <w:pStyle w:val="TableText"/>
              <w:rPr>
                <w:rFonts w:cs="Arial"/>
              </w:rPr>
            </w:pPr>
            <w:r w:rsidRPr="009B7B35">
              <w:rPr>
                <w:rFonts w:cs="Arial"/>
              </w:rPr>
              <w:t>The date from which a local government has estimated its projected infrastructure demands and costs.</w:t>
            </w:r>
          </w:p>
        </w:tc>
      </w:tr>
      <w:tr w:rsidR="00BE36FB" w:rsidRPr="009B7B35" w14:paraId="3F5E1AC5" w14:textId="77777777" w:rsidTr="001A7107">
        <w:tc>
          <w:tcPr>
            <w:tcW w:w="2410" w:type="dxa"/>
          </w:tcPr>
          <w:p w14:paraId="72B2C4B8" w14:textId="77777777" w:rsidR="00BE36FB" w:rsidRPr="009B7B35" w:rsidRDefault="00BE36FB" w:rsidP="001A7107">
            <w:pPr>
              <w:pStyle w:val="TableText"/>
              <w:rPr>
                <w:rFonts w:cs="Arial"/>
              </w:rPr>
            </w:pPr>
            <w:r w:rsidRPr="009B7B35">
              <w:rPr>
                <w:rFonts w:cs="Arial"/>
              </w:rPr>
              <w:t>Basement</w:t>
            </w:r>
          </w:p>
        </w:tc>
        <w:tc>
          <w:tcPr>
            <w:tcW w:w="6946" w:type="dxa"/>
          </w:tcPr>
          <w:p w14:paraId="4F31AA46" w14:textId="77777777" w:rsidR="00BE36FB" w:rsidRPr="009B7B35" w:rsidRDefault="00BE36FB" w:rsidP="001A7107">
            <w:pPr>
              <w:pStyle w:val="TableText"/>
              <w:rPr>
                <w:rFonts w:cs="Arial"/>
              </w:rPr>
            </w:pPr>
            <w:r w:rsidRPr="009B7B35">
              <w:rPr>
                <w:rFonts w:cs="Arial"/>
              </w:rPr>
              <w:t>A space that is situated between one floor level and the floor level next below where no part of the space projects more than one metre above ground level.</w:t>
            </w:r>
          </w:p>
        </w:tc>
      </w:tr>
      <w:tr w:rsidR="00BE36FB" w:rsidRPr="009B7B35" w14:paraId="0B039314" w14:textId="77777777" w:rsidTr="001A7107">
        <w:tc>
          <w:tcPr>
            <w:tcW w:w="2410" w:type="dxa"/>
          </w:tcPr>
          <w:p w14:paraId="1835BB28" w14:textId="77777777" w:rsidR="00BE36FB" w:rsidRPr="009B7B35" w:rsidRDefault="00BE36FB" w:rsidP="001A7107">
            <w:pPr>
              <w:pStyle w:val="TableText"/>
              <w:rPr>
                <w:rFonts w:cs="Arial"/>
              </w:rPr>
            </w:pPr>
            <w:r w:rsidRPr="009B7B35">
              <w:rPr>
                <w:rFonts w:cs="Arial"/>
              </w:rPr>
              <w:t>Boundary clearance</w:t>
            </w:r>
          </w:p>
        </w:tc>
        <w:tc>
          <w:tcPr>
            <w:tcW w:w="6946" w:type="dxa"/>
          </w:tcPr>
          <w:p w14:paraId="60599ADC" w14:textId="77777777" w:rsidR="00BE36FB" w:rsidRPr="009B7B35" w:rsidRDefault="00BE36FB" w:rsidP="001A7107">
            <w:pPr>
              <w:pStyle w:val="TableText"/>
              <w:rPr>
                <w:rFonts w:cs="Arial"/>
              </w:rPr>
            </w:pPr>
            <w:r w:rsidRPr="009B7B35">
              <w:rPr>
                <w:rFonts w:cs="Arial"/>
              </w:rPr>
              <w:t>The shortest distance from the outermost projection of a structural part of the building or structure to the property boundary, including:</w:t>
            </w:r>
          </w:p>
          <w:p w14:paraId="6896E600" w14:textId="77777777" w:rsidR="00BE36FB" w:rsidRPr="009B7B35" w:rsidRDefault="00BE36FB" w:rsidP="00BE36FB">
            <w:pPr>
              <w:pStyle w:val="TableText"/>
              <w:numPr>
                <w:ilvl w:val="0"/>
                <w:numId w:val="835"/>
              </w:numPr>
              <w:rPr>
                <w:rFonts w:cs="Arial"/>
              </w:rPr>
            </w:pPr>
            <w:r w:rsidRPr="009B7B35">
              <w:rPr>
                <w:rFonts w:cs="Arial"/>
              </w:rPr>
              <w:t>if the projection is a roof and there is a fascia–the outside face of the fascia, or</w:t>
            </w:r>
          </w:p>
          <w:p w14:paraId="0002866A" w14:textId="77777777" w:rsidR="00BE36FB" w:rsidRPr="009B7B35" w:rsidRDefault="00BE36FB" w:rsidP="00BE36FB">
            <w:pPr>
              <w:pStyle w:val="TableText"/>
              <w:numPr>
                <w:ilvl w:val="0"/>
                <w:numId w:val="835"/>
              </w:numPr>
              <w:rPr>
                <w:rFonts w:cs="Arial"/>
              </w:rPr>
            </w:pPr>
            <w:r w:rsidRPr="009B7B35">
              <w:rPr>
                <w:rFonts w:cs="Arial"/>
              </w:rPr>
              <w:t>if the projection is a roof and there is no fascia–the roof structure.</w:t>
            </w:r>
          </w:p>
          <w:p w14:paraId="7BEB4002" w14:textId="77777777" w:rsidR="00BE36FB" w:rsidRPr="009B7B35" w:rsidRDefault="00BE36FB" w:rsidP="00BE36FB">
            <w:pPr>
              <w:pStyle w:val="TableText"/>
              <w:numPr>
                <w:ilvl w:val="0"/>
                <w:numId w:val="835"/>
              </w:numPr>
              <w:rPr>
                <w:rFonts w:cs="Arial"/>
              </w:rPr>
            </w:pPr>
            <w:r w:rsidRPr="009B7B35">
              <w:rPr>
                <w:rFonts w:cs="Arial"/>
              </w:rPr>
              <w:t>The term does not include rainwater fittings or ornamental or architectural attachments.</w:t>
            </w:r>
          </w:p>
        </w:tc>
      </w:tr>
      <w:tr w:rsidR="00BE36FB" w:rsidRPr="009B7B35" w14:paraId="3FDF11EC" w14:textId="77777777" w:rsidTr="001A7107">
        <w:tc>
          <w:tcPr>
            <w:tcW w:w="2410" w:type="dxa"/>
          </w:tcPr>
          <w:p w14:paraId="232E1B64" w14:textId="77777777" w:rsidR="00BE36FB" w:rsidRPr="009B7B35" w:rsidRDefault="00BE36FB" w:rsidP="001A7107">
            <w:pPr>
              <w:pStyle w:val="TableText"/>
              <w:rPr>
                <w:rFonts w:cs="Arial"/>
              </w:rPr>
            </w:pPr>
            <w:r w:rsidRPr="009B7B35">
              <w:rPr>
                <w:rFonts w:cs="Arial"/>
              </w:rPr>
              <w:t>Building height</w:t>
            </w:r>
          </w:p>
        </w:tc>
        <w:tc>
          <w:tcPr>
            <w:tcW w:w="6946" w:type="dxa"/>
          </w:tcPr>
          <w:p w14:paraId="3ADD9CDA" w14:textId="77777777" w:rsidR="00BE36FB" w:rsidRPr="009B7B35" w:rsidRDefault="00BE36FB" w:rsidP="001A7107">
            <w:pPr>
              <w:pStyle w:val="TableText"/>
              <w:rPr>
                <w:rFonts w:cs="Arial"/>
              </w:rPr>
            </w:pPr>
            <w:r w:rsidRPr="009B7B35">
              <w:rPr>
                <w:rFonts w:cs="Arial"/>
              </w:rPr>
              <w:t>If specified:</w:t>
            </w:r>
          </w:p>
          <w:p w14:paraId="62D722A5" w14:textId="77777777" w:rsidR="00BE36FB" w:rsidRPr="009B7B35" w:rsidRDefault="00BE36FB" w:rsidP="00BE36FB">
            <w:pPr>
              <w:pStyle w:val="TableText"/>
              <w:numPr>
                <w:ilvl w:val="0"/>
                <w:numId w:val="836"/>
              </w:numPr>
              <w:rPr>
                <w:rFonts w:cs="Arial"/>
              </w:rPr>
            </w:pPr>
            <w:r w:rsidRPr="009B7B35">
              <w:rPr>
                <w:rFonts w:cs="Arial"/>
              </w:rPr>
              <w:t>in metres, the vertical distance between the ground level and the highest point of the building roof (apex) or parapet at any point, but not including load–bearing antenna, aerial, chimney, flagpole or the like</w:t>
            </w:r>
          </w:p>
          <w:p w14:paraId="725910C5" w14:textId="77777777" w:rsidR="00BE36FB" w:rsidRPr="009B7B35" w:rsidRDefault="00BE36FB" w:rsidP="00BE36FB">
            <w:pPr>
              <w:pStyle w:val="TableText"/>
              <w:numPr>
                <w:ilvl w:val="0"/>
                <w:numId w:val="836"/>
              </w:numPr>
              <w:rPr>
                <w:rFonts w:cs="Arial"/>
              </w:rPr>
            </w:pPr>
            <w:r w:rsidRPr="009B7B35">
              <w:rPr>
                <w:rFonts w:cs="Arial"/>
              </w:rPr>
              <w:t>in storeys, the number of storeys above ground level, or</w:t>
            </w:r>
          </w:p>
          <w:p w14:paraId="5DE546EE" w14:textId="77777777" w:rsidR="00BE36FB" w:rsidRPr="009B7B35" w:rsidRDefault="00BE36FB" w:rsidP="00BE36FB">
            <w:pPr>
              <w:pStyle w:val="TableText"/>
              <w:numPr>
                <w:ilvl w:val="0"/>
                <w:numId w:val="836"/>
              </w:numPr>
              <w:rPr>
                <w:rFonts w:cs="Arial"/>
              </w:rPr>
            </w:pPr>
            <w:r w:rsidRPr="009B7B35">
              <w:rPr>
                <w:rFonts w:cs="Arial"/>
              </w:rPr>
              <w:t>in both metres and storeys, both (a) and (b) apply.</w:t>
            </w:r>
          </w:p>
        </w:tc>
      </w:tr>
      <w:tr w:rsidR="00BE36FB" w:rsidRPr="009B7B35" w14:paraId="041754C0" w14:textId="77777777" w:rsidTr="001A7107">
        <w:tc>
          <w:tcPr>
            <w:tcW w:w="2410" w:type="dxa"/>
          </w:tcPr>
          <w:p w14:paraId="6BBF4F11" w14:textId="77777777" w:rsidR="00BE36FB" w:rsidRPr="009B7B35" w:rsidRDefault="00BE36FB" w:rsidP="001A7107">
            <w:pPr>
              <w:pStyle w:val="TableText"/>
              <w:rPr>
                <w:rFonts w:cs="Arial"/>
              </w:rPr>
            </w:pPr>
            <w:r w:rsidRPr="009B7B35">
              <w:rPr>
                <w:rFonts w:cs="Arial"/>
              </w:rPr>
              <w:t>Demand unit</w:t>
            </w:r>
          </w:p>
        </w:tc>
        <w:tc>
          <w:tcPr>
            <w:tcW w:w="6946" w:type="dxa"/>
          </w:tcPr>
          <w:p w14:paraId="25493231" w14:textId="77777777" w:rsidR="00BE36FB" w:rsidRPr="009B7B35" w:rsidRDefault="00BE36FB" w:rsidP="001A7107">
            <w:pPr>
              <w:pStyle w:val="TableText"/>
              <w:rPr>
                <w:rFonts w:cs="Arial"/>
              </w:rPr>
            </w:pPr>
            <w:r w:rsidRPr="009B7B35">
              <w:rPr>
                <w:rFonts w:cs="Arial"/>
              </w:rPr>
              <w:t>Demand units provide a standard of unit measurement to express demand on a trunk infrastructure network.</w:t>
            </w:r>
          </w:p>
        </w:tc>
      </w:tr>
      <w:tr w:rsidR="00BE36FB" w:rsidRPr="009B7B35" w14:paraId="32F95326" w14:textId="77777777" w:rsidTr="001A7107">
        <w:tc>
          <w:tcPr>
            <w:tcW w:w="2410" w:type="dxa"/>
          </w:tcPr>
          <w:p w14:paraId="0E1B0027" w14:textId="77777777" w:rsidR="00BE36FB" w:rsidRPr="009B7B35" w:rsidRDefault="00BE36FB" w:rsidP="001A7107">
            <w:pPr>
              <w:pStyle w:val="TableText"/>
              <w:rPr>
                <w:rFonts w:cs="Arial"/>
              </w:rPr>
            </w:pPr>
            <w:r w:rsidRPr="009B7B35">
              <w:rPr>
                <w:rFonts w:cs="Arial"/>
              </w:rPr>
              <w:t>Development footprint</w:t>
            </w:r>
          </w:p>
        </w:tc>
        <w:tc>
          <w:tcPr>
            <w:tcW w:w="6946" w:type="dxa"/>
          </w:tcPr>
          <w:p w14:paraId="3CE186B3" w14:textId="77777777" w:rsidR="00BE36FB" w:rsidRPr="009B7B35" w:rsidRDefault="00BE36FB" w:rsidP="001A7107">
            <w:pPr>
              <w:pStyle w:val="TableText"/>
              <w:rPr>
                <w:rFonts w:cs="Arial"/>
              </w:rPr>
            </w:pPr>
            <w:r w:rsidRPr="009B7B35">
              <w:rPr>
                <w:rFonts w:cs="Arial"/>
              </w:rPr>
              <w:t>The location and extent of all development proposed on a site. This includes all buildings and structures, open space, all associated facilities, landscaping, on–site stormwater drainage, on–site wastewater treatment, all areas of disturbance, on–site parking, access and manoeuvring areas.</w:t>
            </w:r>
          </w:p>
        </w:tc>
      </w:tr>
      <w:tr w:rsidR="00BE36FB" w:rsidRPr="009B7B35" w14:paraId="1D4F2D0E" w14:textId="77777777" w:rsidTr="001A7107">
        <w:tc>
          <w:tcPr>
            <w:tcW w:w="2410" w:type="dxa"/>
          </w:tcPr>
          <w:p w14:paraId="21F7B5A5" w14:textId="77777777" w:rsidR="00BE36FB" w:rsidRPr="009B7B35" w:rsidRDefault="00BE36FB" w:rsidP="001A7107">
            <w:pPr>
              <w:pStyle w:val="TableText"/>
              <w:rPr>
                <w:rFonts w:cs="Arial"/>
              </w:rPr>
            </w:pPr>
            <w:r w:rsidRPr="009B7B35">
              <w:rPr>
                <w:rFonts w:cs="Arial"/>
              </w:rPr>
              <w:t>Domestic outbuilding</w:t>
            </w:r>
          </w:p>
        </w:tc>
        <w:tc>
          <w:tcPr>
            <w:tcW w:w="6946" w:type="dxa"/>
          </w:tcPr>
          <w:p w14:paraId="37003071" w14:textId="77777777" w:rsidR="00BE36FB" w:rsidRPr="009B7B35" w:rsidRDefault="00BE36FB" w:rsidP="001A7107">
            <w:pPr>
              <w:pStyle w:val="TableText"/>
              <w:rPr>
                <w:rFonts w:cs="Arial"/>
              </w:rPr>
            </w:pPr>
            <w:r w:rsidRPr="009B7B35">
              <w:rPr>
                <w:rFonts w:cs="Arial"/>
              </w:rPr>
              <w:t>A Class 10a building, as defined in the Building Code of Australia, that is ancillary to a residential use on the same premises and is limited to non–habitable buildings for the purpose of a shed, garage and carport.</w:t>
            </w:r>
          </w:p>
        </w:tc>
      </w:tr>
      <w:tr w:rsidR="00BE36FB" w:rsidRPr="009B7B35" w14:paraId="49E36300" w14:textId="77777777" w:rsidTr="001A7107">
        <w:tc>
          <w:tcPr>
            <w:tcW w:w="2410" w:type="dxa"/>
          </w:tcPr>
          <w:p w14:paraId="018028F0" w14:textId="77777777" w:rsidR="00BE36FB" w:rsidRPr="009B7B35" w:rsidRDefault="00BE36FB" w:rsidP="001A7107">
            <w:pPr>
              <w:pStyle w:val="TableText"/>
              <w:rPr>
                <w:rFonts w:cs="Arial"/>
              </w:rPr>
            </w:pPr>
            <w:r w:rsidRPr="009B7B35">
              <w:rPr>
                <w:rFonts w:cs="Arial"/>
              </w:rPr>
              <w:t>Dwelling</w:t>
            </w:r>
          </w:p>
        </w:tc>
        <w:tc>
          <w:tcPr>
            <w:tcW w:w="6946" w:type="dxa"/>
          </w:tcPr>
          <w:p w14:paraId="2CAF312B" w14:textId="77777777" w:rsidR="00BE36FB" w:rsidRPr="009B7B35" w:rsidRDefault="00BE36FB" w:rsidP="001A7107">
            <w:pPr>
              <w:pStyle w:val="TableText"/>
              <w:rPr>
                <w:rFonts w:cs="Arial"/>
              </w:rPr>
            </w:pPr>
            <w:r w:rsidRPr="009B7B35">
              <w:rPr>
                <w:rFonts w:cs="Arial"/>
              </w:rPr>
              <w:t xml:space="preserve">A building or part of a building used or capable of being used as a self–contained residence that must include the following: </w:t>
            </w:r>
          </w:p>
          <w:p w14:paraId="57FDF804" w14:textId="77777777" w:rsidR="00BE36FB" w:rsidRPr="009B7B35" w:rsidRDefault="00BE36FB" w:rsidP="00BE36FB">
            <w:pPr>
              <w:pStyle w:val="TableText"/>
              <w:numPr>
                <w:ilvl w:val="0"/>
                <w:numId w:val="829"/>
              </w:numPr>
              <w:rPr>
                <w:rFonts w:cs="Arial"/>
              </w:rPr>
            </w:pPr>
            <w:r w:rsidRPr="009B7B35">
              <w:rPr>
                <w:rFonts w:cs="Arial"/>
              </w:rPr>
              <w:t>food preparation facilities</w:t>
            </w:r>
          </w:p>
          <w:p w14:paraId="45209C0A" w14:textId="77777777" w:rsidR="00BE36FB" w:rsidRPr="009B7B35" w:rsidRDefault="00BE36FB" w:rsidP="00BE36FB">
            <w:pPr>
              <w:pStyle w:val="TableText"/>
              <w:numPr>
                <w:ilvl w:val="0"/>
                <w:numId w:val="829"/>
              </w:numPr>
              <w:rPr>
                <w:rFonts w:cs="Arial"/>
              </w:rPr>
            </w:pPr>
            <w:r w:rsidRPr="009B7B35">
              <w:rPr>
                <w:rFonts w:cs="Arial"/>
              </w:rPr>
              <w:t>a bath or shower</w:t>
            </w:r>
          </w:p>
          <w:p w14:paraId="0F0F010E" w14:textId="77777777" w:rsidR="00BE36FB" w:rsidRPr="009B7B35" w:rsidRDefault="00BE36FB" w:rsidP="00BE36FB">
            <w:pPr>
              <w:pStyle w:val="TableText"/>
              <w:numPr>
                <w:ilvl w:val="0"/>
                <w:numId w:val="829"/>
              </w:numPr>
              <w:rPr>
                <w:rFonts w:cs="Arial"/>
              </w:rPr>
            </w:pPr>
            <w:r w:rsidRPr="009B7B35">
              <w:rPr>
                <w:rFonts w:cs="Arial"/>
              </w:rPr>
              <w:t>a toilet and wash basin</w:t>
            </w:r>
          </w:p>
          <w:p w14:paraId="4DA82C42" w14:textId="77777777" w:rsidR="00BE36FB" w:rsidRPr="009B7B35" w:rsidRDefault="00BE36FB" w:rsidP="00BE36FB">
            <w:pPr>
              <w:pStyle w:val="TableText"/>
              <w:numPr>
                <w:ilvl w:val="0"/>
                <w:numId w:val="829"/>
              </w:numPr>
              <w:rPr>
                <w:rFonts w:cs="Arial"/>
              </w:rPr>
            </w:pPr>
            <w:r w:rsidRPr="009B7B35">
              <w:rPr>
                <w:rFonts w:cs="Arial"/>
              </w:rPr>
              <w:t>clothes washing facilities.</w:t>
            </w:r>
          </w:p>
          <w:p w14:paraId="47B6C654" w14:textId="77777777" w:rsidR="00BE36FB" w:rsidRPr="009B7B35" w:rsidRDefault="00BE36FB" w:rsidP="001A7107">
            <w:pPr>
              <w:pStyle w:val="TableText"/>
              <w:rPr>
                <w:rFonts w:cs="Arial"/>
              </w:rPr>
            </w:pPr>
            <w:r w:rsidRPr="009B7B35">
              <w:rPr>
                <w:rFonts w:cs="Arial"/>
              </w:rPr>
              <w:t>This term includes outbuildings, structures and works normally associated with a dwelling.</w:t>
            </w:r>
          </w:p>
        </w:tc>
      </w:tr>
      <w:tr w:rsidR="00BE36FB" w:rsidRPr="009B7B35" w14:paraId="3ED197F3" w14:textId="77777777" w:rsidTr="001A7107">
        <w:tc>
          <w:tcPr>
            <w:tcW w:w="2410" w:type="dxa"/>
          </w:tcPr>
          <w:p w14:paraId="3359D2B7" w14:textId="77777777" w:rsidR="00BE36FB" w:rsidRPr="009B7B35" w:rsidRDefault="00BE36FB" w:rsidP="001A7107">
            <w:pPr>
              <w:pStyle w:val="TableText"/>
              <w:rPr>
                <w:rFonts w:cs="Arial"/>
              </w:rPr>
            </w:pPr>
            <w:r w:rsidRPr="009B7B35">
              <w:rPr>
                <w:rFonts w:cs="Arial"/>
              </w:rPr>
              <w:t>Electrical entity</w:t>
            </w:r>
          </w:p>
        </w:tc>
        <w:tc>
          <w:tcPr>
            <w:tcW w:w="6946" w:type="dxa"/>
          </w:tcPr>
          <w:p w14:paraId="17F5768C" w14:textId="77777777" w:rsidR="00BE36FB" w:rsidRPr="009B7B35" w:rsidRDefault="00BE36FB" w:rsidP="001A7107">
            <w:pPr>
              <w:pStyle w:val="TableText"/>
              <w:rPr>
                <w:rFonts w:cs="Arial"/>
              </w:rPr>
            </w:pPr>
            <w:r w:rsidRPr="009B7B35">
              <w:rPr>
                <w:rFonts w:cs="Arial"/>
              </w:rPr>
              <w:t xml:space="preserve">An entity that is an electrical entity as that term is defined in the </w:t>
            </w:r>
            <w:r w:rsidRPr="009B7B35">
              <w:rPr>
                <w:rFonts w:cs="Arial"/>
                <w:i/>
              </w:rPr>
              <w:t>Electricity Act 1994</w:t>
            </w:r>
            <w:r w:rsidRPr="009B7B35">
              <w:rPr>
                <w:rFonts w:cs="Arial"/>
              </w:rPr>
              <w:t xml:space="preserve">. </w:t>
            </w:r>
          </w:p>
        </w:tc>
      </w:tr>
      <w:tr w:rsidR="00BE36FB" w:rsidRPr="009B7B35" w14:paraId="77FEB8B5" w14:textId="77777777" w:rsidTr="001A7107">
        <w:tc>
          <w:tcPr>
            <w:tcW w:w="2410" w:type="dxa"/>
          </w:tcPr>
          <w:p w14:paraId="09BF1CDF" w14:textId="77777777" w:rsidR="00BE36FB" w:rsidRPr="009B7B35" w:rsidRDefault="00BE36FB">
            <w:pPr>
              <w:pStyle w:val="TableText"/>
              <w:rPr>
                <w:rFonts w:cs="Arial"/>
              </w:rPr>
            </w:pPr>
            <w:r w:rsidRPr="009B7B35">
              <w:rPr>
                <w:rFonts w:cs="Arial"/>
              </w:rPr>
              <w:t>Gross density</w:t>
            </w:r>
          </w:p>
        </w:tc>
        <w:tc>
          <w:tcPr>
            <w:tcW w:w="6946" w:type="dxa"/>
          </w:tcPr>
          <w:p w14:paraId="03C35774" w14:textId="77777777" w:rsidR="00BE36FB" w:rsidRPr="009B7B35" w:rsidRDefault="00BE36FB">
            <w:pPr>
              <w:pStyle w:val="TableText"/>
              <w:rPr>
                <w:rFonts w:cs="Arial"/>
              </w:rPr>
            </w:pPr>
            <w:r w:rsidRPr="009B7B35">
              <w:rPr>
                <w:rFonts w:cs="Arial"/>
              </w:rPr>
              <w:t xml:space="preserve">Dwellings per hectare of land (including all lots, parks, minor and major roads, shops, schools, open spaces). </w:t>
            </w:r>
          </w:p>
        </w:tc>
      </w:tr>
      <w:tr w:rsidR="00BE36FB" w:rsidRPr="009B7B35" w14:paraId="74EA3D78" w14:textId="77777777" w:rsidTr="001A7107">
        <w:tc>
          <w:tcPr>
            <w:tcW w:w="2410" w:type="dxa"/>
          </w:tcPr>
          <w:p w14:paraId="0200E11B" w14:textId="77777777" w:rsidR="00BE36FB" w:rsidRPr="009B7B35" w:rsidRDefault="00BE36FB" w:rsidP="001A7107">
            <w:pPr>
              <w:pStyle w:val="TableText"/>
              <w:rPr>
                <w:rFonts w:cs="Arial"/>
              </w:rPr>
            </w:pPr>
            <w:r w:rsidRPr="009B7B35">
              <w:rPr>
                <w:rFonts w:cs="Arial"/>
              </w:rPr>
              <w:t>Gross floor area</w:t>
            </w:r>
          </w:p>
          <w:p w14:paraId="76C88B44" w14:textId="77777777" w:rsidR="00BE36FB" w:rsidRPr="009B7B35" w:rsidRDefault="00BE36FB" w:rsidP="001A7107">
            <w:pPr>
              <w:pStyle w:val="TableText"/>
              <w:rPr>
                <w:rFonts w:cs="Arial"/>
              </w:rPr>
            </w:pPr>
            <w:r w:rsidRPr="009B7B35">
              <w:rPr>
                <w:rFonts w:cs="Arial"/>
              </w:rPr>
              <w:t>(GFA)</w:t>
            </w:r>
          </w:p>
        </w:tc>
        <w:tc>
          <w:tcPr>
            <w:tcW w:w="6946" w:type="dxa"/>
          </w:tcPr>
          <w:p w14:paraId="0693B455" w14:textId="77777777" w:rsidR="00BE36FB" w:rsidRPr="009B7B35" w:rsidRDefault="00BE36FB" w:rsidP="001A7107">
            <w:pPr>
              <w:pStyle w:val="TableText"/>
              <w:rPr>
                <w:rFonts w:cs="Arial"/>
              </w:rPr>
            </w:pPr>
            <w:r w:rsidRPr="009B7B35">
              <w:rPr>
                <w:rFonts w:cs="Arial"/>
              </w:rPr>
              <w:t>The total floor area of all storeys of a building (measured from the outside of the external walls or the centre of a common wall), other than areas used for the following:</w:t>
            </w:r>
          </w:p>
          <w:p w14:paraId="6B79D866" w14:textId="77777777" w:rsidR="00BE36FB" w:rsidRPr="009B7B35" w:rsidRDefault="00BE36FB" w:rsidP="001A7107">
            <w:pPr>
              <w:pStyle w:val="TableText"/>
              <w:rPr>
                <w:rFonts w:cs="Arial"/>
              </w:rPr>
            </w:pPr>
            <w:r w:rsidRPr="009B7B35">
              <w:rPr>
                <w:rFonts w:cs="Arial"/>
              </w:rPr>
              <w:t>(a)</w:t>
            </w:r>
            <w:r w:rsidRPr="009B7B35">
              <w:rPr>
                <w:rFonts w:cs="Arial"/>
              </w:rPr>
              <w:tab/>
              <w:t>building services, plant and equipment</w:t>
            </w:r>
          </w:p>
          <w:p w14:paraId="3C6FB1BF" w14:textId="77777777" w:rsidR="00BE36FB" w:rsidRPr="009B7B35" w:rsidRDefault="00BE36FB" w:rsidP="001A7107">
            <w:pPr>
              <w:pStyle w:val="TableText"/>
              <w:rPr>
                <w:rFonts w:cs="Arial"/>
              </w:rPr>
            </w:pPr>
            <w:r w:rsidRPr="009B7B35">
              <w:rPr>
                <w:rFonts w:cs="Arial"/>
              </w:rPr>
              <w:t>(b)</w:t>
            </w:r>
            <w:r w:rsidRPr="009B7B35">
              <w:rPr>
                <w:rFonts w:cs="Arial"/>
              </w:rPr>
              <w:tab/>
              <w:t>access between levels</w:t>
            </w:r>
          </w:p>
          <w:p w14:paraId="2402CD6C" w14:textId="77777777" w:rsidR="00BE36FB" w:rsidRPr="009B7B35" w:rsidRDefault="00BE36FB" w:rsidP="001A7107">
            <w:pPr>
              <w:pStyle w:val="TableText"/>
              <w:rPr>
                <w:rFonts w:cs="Arial"/>
              </w:rPr>
            </w:pPr>
            <w:r w:rsidRPr="009B7B35">
              <w:rPr>
                <w:rFonts w:cs="Arial"/>
              </w:rPr>
              <w:t>(c)</w:t>
            </w:r>
            <w:r w:rsidRPr="009B7B35">
              <w:rPr>
                <w:rFonts w:cs="Arial"/>
              </w:rPr>
              <w:tab/>
              <w:t>ground floor public lobby</w:t>
            </w:r>
          </w:p>
          <w:p w14:paraId="1A8F6454" w14:textId="77777777" w:rsidR="00BE36FB" w:rsidRPr="009B7B35" w:rsidRDefault="00BE36FB" w:rsidP="001A7107">
            <w:pPr>
              <w:pStyle w:val="TableText"/>
              <w:rPr>
                <w:rFonts w:cs="Arial"/>
              </w:rPr>
            </w:pPr>
            <w:r w:rsidRPr="009B7B35">
              <w:rPr>
                <w:rFonts w:cs="Arial"/>
              </w:rPr>
              <w:t>(d)</w:t>
            </w:r>
            <w:r w:rsidRPr="009B7B35">
              <w:rPr>
                <w:rFonts w:cs="Arial"/>
              </w:rPr>
              <w:tab/>
              <w:t>a mall</w:t>
            </w:r>
          </w:p>
          <w:p w14:paraId="0A08B7EC" w14:textId="77777777" w:rsidR="00BE36FB" w:rsidRPr="009B7B35" w:rsidRDefault="00BE36FB" w:rsidP="001A7107">
            <w:pPr>
              <w:pStyle w:val="TableText"/>
              <w:rPr>
                <w:rFonts w:cs="Arial"/>
              </w:rPr>
            </w:pPr>
            <w:r w:rsidRPr="009B7B35">
              <w:rPr>
                <w:rFonts w:cs="Arial"/>
              </w:rPr>
              <w:t>(e)</w:t>
            </w:r>
            <w:r w:rsidRPr="009B7B35">
              <w:rPr>
                <w:rFonts w:cs="Arial"/>
              </w:rPr>
              <w:tab/>
              <w:t>the parking, loading and manoeuvring of motor vehicles</w:t>
            </w:r>
          </w:p>
          <w:p w14:paraId="0B847E34" w14:textId="77777777" w:rsidR="00BE36FB" w:rsidRPr="009B7B35" w:rsidRDefault="00BE36FB" w:rsidP="001A7107">
            <w:pPr>
              <w:pStyle w:val="TableText"/>
              <w:rPr>
                <w:rFonts w:cs="Arial"/>
              </w:rPr>
            </w:pPr>
            <w:r w:rsidRPr="009B7B35">
              <w:rPr>
                <w:rFonts w:cs="Arial"/>
              </w:rPr>
              <w:t>(f)</w:t>
            </w:r>
            <w:r w:rsidRPr="009B7B35">
              <w:rPr>
                <w:rFonts w:cs="Arial"/>
              </w:rPr>
              <w:tab/>
              <w:t>unenclosed private balconies whether roofed or not.</w:t>
            </w:r>
          </w:p>
        </w:tc>
      </w:tr>
      <w:tr w:rsidR="00BE36FB" w:rsidRPr="009B7B35" w14:paraId="363CEE86" w14:textId="77777777" w:rsidTr="001A7107">
        <w:tc>
          <w:tcPr>
            <w:tcW w:w="2410" w:type="dxa"/>
          </w:tcPr>
          <w:p w14:paraId="594527B8" w14:textId="77777777" w:rsidR="00BE36FB" w:rsidRPr="009B7B35" w:rsidRDefault="00BE36FB" w:rsidP="001A7107">
            <w:pPr>
              <w:pStyle w:val="TableText"/>
              <w:rPr>
                <w:rFonts w:cs="Arial"/>
              </w:rPr>
            </w:pPr>
            <w:r w:rsidRPr="009B7B35">
              <w:rPr>
                <w:rFonts w:cs="Arial"/>
              </w:rPr>
              <w:t>Ground level</w:t>
            </w:r>
          </w:p>
        </w:tc>
        <w:tc>
          <w:tcPr>
            <w:tcW w:w="6946" w:type="dxa"/>
          </w:tcPr>
          <w:p w14:paraId="4D1192E3" w14:textId="77777777" w:rsidR="00BE36FB" w:rsidRPr="009B7B35" w:rsidRDefault="00BE36FB" w:rsidP="001A7107">
            <w:pPr>
              <w:pStyle w:val="TableText"/>
              <w:rPr>
                <w:rFonts w:cs="Arial"/>
              </w:rPr>
            </w:pPr>
            <w:r w:rsidRPr="009B7B35">
              <w:rPr>
                <w:rFonts w:cs="Arial"/>
              </w:rPr>
              <w:t>The level of the natural ground, or, where the level of the natural ground has been changed, the level as lawfully changed.</w:t>
            </w:r>
          </w:p>
        </w:tc>
      </w:tr>
      <w:tr w:rsidR="00BE36FB" w:rsidRPr="009B7B35" w14:paraId="2CE2B5F4" w14:textId="77777777" w:rsidTr="001A7107">
        <w:tc>
          <w:tcPr>
            <w:tcW w:w="2410" w:type="dxa"/>
          </w:tcPr>
          <w:p w14:paraId="5A975F46" w14:textId="77777777" w:rsidR="00BE36FB" w:rsidRPr="009B7B35" w:rsidRDefault="00BE36FB" w:rsidP="001A7107">
            <w:pPr>
              <w:pStyle w:val="TableText"/>
              <w:rPr>
                <w:rFonts w:cs="Arial"/>
              </w:rPr>
            </w:pPr>
            <w:r w:rsidRPr="009B7B35">
              <w:rPr>
                <w:rFonts w:cs="Arial"/>
              </w:rPr>
              <w:t>Household</w:t>
            </w:r>
          </w:p>
        </w:tc>
        <w:tc>
          <w:tcPr>
            <w:tcW w:w="6946" w:type="dxa"/>
          </w:tcPr>
          <w:p w14:paraId="7C2EDD0A" w14:textId="77777777" w:rsidR="00BE36FB" w:rsidRPr="009B7B35" w:rsidRDefault="00BE36FB" w:rsidP="001A7107">
            <w:pPr>
              <w:pStyle w:val="TableText"/>
              <w:rPr>
                <w:rFonts w:cs="Arial"/>
              </w:rPr>
            </w:pPr>
            <w:r w:rsidRPr="009B7B35">
              <w:rPr>
                <w:rFonts w:cs="Arial"/>
              </w:rPr>
              <w:t xml:space="preserve">An individual or a group of two or more related or unrelated people who reside in the dwelling, with the common intention to live together on a long–term basis and who make common provision for food or other essentials for living. </w:t>
            </w:r>
          </w:p>
        </w:tc>
      </w:tr>
      <w:tr w:rsidR="00BE36FB" w:rsidRPr="009B7B35" w14:paraId="230BCE93" w14:textId="77777777" w:rsidTr="001A7107">
        <w:tc>
          <w:tcPr>
            <w:tcW w:w="2410" w:type="dxa"/>
          </w:tcPr>
          <w:p w14:paraId="106B2C15" w14:textId="77777777" w:rsidR="00BE36FB" w:rsidRPr="009B7B35" w:rsidRDefault="00BE36FB" w:rsidP="001A7107">
            <w:pPr>
              <w:pStyle w:val="TableText"/>
              <w:rPr>
                <w:rFonts w:cs="Arial"/>
              </w:rPr>
            </w:pPr>
            <w:r w:rsidRPr="009B7B35">
              <w:rPr>
                <w:rFonts w:cs="Arial"/>
              </w:rPr>
              <w:t>Minor building work</w:t>
            </w:r>
          </w:p>
        </w:tc>
        <w:tc>
          <w:tcPr>
            <w:tcW w:w="6946" w:type="dxa"/>
          </w:tcPr>
          <w:p w14:paraId="7A86DE51" w14:textId="77777777" w:rsidR="00BE36FB" w:rsidRPr="009B7B35" w:rsidRDefault="00BE36FB" w:rsidP="001A7107">
            <w:pPr>
              <w:pStyle w:val="Default"/>
              <w:rPr>
                <w:color w:val="auto"/>
                <w:sz w:val="20"/>
                <w:szCs w:val="20"/>
              </w:rPr>
            </w:pPr>
            <w:r w:rsidRPr="009B7B35">
              <w:rPr>
                <w:color w:val="auto"/>
                <w:sz w:val="20"/>
                <w:szCs w:val="20"/>
              </w:rPr>
              <w:t xml:space="preserve">An alteration, addition or extension to an existing building(s) which results in an increase in the gross floor area of the building(s) of less than five per cent of the gross floor area of the existing building(s) or 50 square metres, whichever is the lesser. </w:t>
            </w:r>
          </w:p>
        </w:tc>
      </w:tr>
      <w:tr w:rsidR="00BE36FB" w:rsidRPr="009B7B35" w14:paraId="3C315612" w14:textId="77777777" w:rsidTr="001A7107">
        <w:tc>
          <w:tcPr>
            <w:tcW w:w="2410" w:type="dxa"/>
          </w:tcPr>
          <w:p w14:paraId="1700AEB4" w14:textId="77777777" w:rsidR="00BE36FB" w:rsidRPr="009B7B35" w:rsidRDefault="00BE36FB" w:rsidP="001A7107">
            <w:pPr>
              <w:pStyle w:val="TableText"/>
              <w:rPr>
                <w:rFonts w:cs="Arial"/>
              </w:rPr>
            </w:pPr>
            <w:r w:rsidRPr="009B7B35">
              <w:rPr>
                <w:rFonts w:cs="Arial"/>
              </w:rPr>
              <w:t>Minor electricity infrastructure</w:t>
            </w:r>
          </w:p>
        </w:tc>
        <w:tc>
          <w:tcPr>
            <w:tcW w:w="6946" w:type="dxa"/>
          </w:tcPr>
          <w:p w14:paraId="103AE5F1" w14:textId="77777777" w:rsidR="00BE36FB" w:rsidRPr="009B7B35" w:rsidRDefault="00BE36FB" w:rsidP="001A7107">
            <w:pPr>
              <w:pStyle w:val="TableText"/>
              <w:rPr>
                <w:rFonts w:cs="Arial"/>
              </w:rPr>
            </w:pPr>
            <w:r w:rsidRPr="009B7B35">
              <w:rPr>
                <w:rFonts w:cs="Arial"/>
              </w:rPr>
              <w:t>All aspects of development for an electricity supply network as defined under the Electricity Act 1994, (or for private electricity works that form an extension of, or provide service connections to properties from the network), if the network operates at standard voltages up to and including 66kV.</w:t>
            </w:r>
          </w:p>
          <w:p w14:paraId="3E940B05" w14:textId="77777777" w:rsidR="00BE36FB" w:rsidRPr="009B7B35" w:rsidRDefault="00BE36FB" w:rsidP="001A7107">
            <w:pPr>
              <w:pStyle w:val="TableText"/>
              <w:rPr>
                <w:rFonts w:cs="Arial"/>
              </w:rPr>
            </w:pPr>
            <w:r w:rsidRPr="009B7B35">
              <w:rPr>
                <w:rFonts w:cs="Arial"/>
              </w:rPr>
              <w:t>This includes:</w:t>
            </w:r>
          </w:p>
          <w:p w14:paraId="507788B2" w14:textId="77777777" w:rsidR="00BE36FB" w:rsidRPr="009B7B35" w:rsidRDefault="00BE36FB" w:rsidP="00BE36FB">
            <w:pPr>
              <w:pStyle w:val="TableText"/>
              <w:numPr>
                <w:ilvl w:val="0"/>
                <w:numId w:val="837"/>
              </w:numPr>
              <w:rPr>
                <w:rFonts w:cs="Arial"/>
              </w:rPr>
            </w:pPr>
            <w:r w:rsidRPr="009B7B35">
              <w:rPr>
                <w:rFonts w:cs="Arial"/>
              </w:rPr>
              <w:t>augmentations/upgrades to existing power lines where the voltage of the infrastructure does not increase</w:t>
            </w:r>
          </w:p>
          <w:p w14:paraId="14C3F241" w14:textId="77777777" w:rsidR="00BE36FB" w:rsidRPr="009B7B35" w:rsidRDefault="00BE36FB" w:rsidP="00BE36FB">
            <w:pPr>
              <w:pStyle w:val="TableText"/>
              <w:numPr>
                <w:ilvl w:val="0"/>
                <w:numId w:val="837"/>
              </w:numPr>
              <w:rPr>
                <w:rFonts w:cs="Arial"/>
              </w:rPr>
            </w:pPr>
            <w:r w:rsidRPr="009B7B35">
              <w:rPr>
                <w:rFonts w:cs="Arial"/>
              </w:rPr>
              <w:t>augmentations to existing substations (including communication facilities for controlling works as defined under the Electricity Act 1994) where the voltage of the infrastructure does not increase, and where they are located on an existing substation lot.</w:t>
            </w:r>
          </w:p>
        </w:tc>
      </w:tr>
      <w:tr w:rsidR="00BE36FB" w:rsidRPr="009B7B35" w14:paraId="5D49FD76" w14:textId="77777777" w:rsidTr="001A7107">
        <w:tc>
          <w:tcPr>
            <w:tcW w:w="2410" w:type="dxa"/>
          </w:tcPr>
          <w:p w14:paraId="4BBFBBB1" w14:textId="77777777" w:rsidR="00BE36FB" w:rsidRPr="009B7B35" w:rsidRDefault="00BE36FB" w:rsidP="001A7107">
            <w:pPr>
              <w:pStyle w:val="TableText"/>
              <w:rPr>
                <w:rFonts w:cs="Arial"/>
              </w:rPr>
            </w:pPr>
            <w:r w:rsidRPr="009B7B35">
              <w:rPr>
                <w:rFonts w:cs="Arial"/>
              </w:rPr>
              <w:t>Mixed use centres</w:t>
            </w:r>
          </w:p>
        </w:tc>
        <w:tc>
          <w:tcPr>
            <w:tcW w:w="6946" w:type="dxa"/>
          </w:tcPr>
          <w:p w14:paraId="15905643" w14:textId="77777777" w:rsidR="00BE36FB" w:rsidRPr="009B7B35" w:rsidRDefault="00BE36FB" w:rsidP="001A7107">
            <w:pPr>
              <w:pStyle w:val="TableText"/>
              <w:rPr>
                <w:rFonts w:cs="Arial"/>
              </w:rPr>
            </w:pPr>
            <w:r w:rsidRPr="009B7B35">
              <w:rPr>
                <w:rFonts w:cs="Arial"/>
              </w:rPr>
              <w:t>Mixed use centres focus on non–residential activities like shopping, office–based employment, government and community services, higher education and entertainment. Mixed use centres are found at various scales, from local centres to town centres. Mixed use centres are a focus of transport networks, and a hub for public transport, walking and cycling routes. Mixed use centres also contain higher density housing. Increasingly the region's mixed use centres will be designed around streets and public spaces. Mixed use centres are vibrant places, busy with people in the day and at night. Their streets are lined with street trees. Mixed use centres are usually grid based and connected in a way that is easy to find your way around.</w:t>
            </w:r>
          </w:p>
        </w:tc>
      </w:tr>
      <w:tr w:rsidR="00BE36FB" w:rsidRPr="009B7B35" w14:paraId="172C5339" w14:textId="77777777" w:rsidTr="001A7107">
        <w:tc>
          <w:tcPr>
            <w:tcW w:w="2410" w:type="dxa"/>
          </w:tcPr>
          <w:p w14:paraId="7A8D8FC0" w14:textId="77777777" w:rsidR="00BE36FB" w:rsidRPr="009B7B35" w:rsidRDefault="00BE36FB" w:rsidP="001A7107">
            <w:pPr>
              <w:pStyle w:val="TableText"/>
              <w:rPr>
                <w:rFonts w:cs="Arial"/>
              </w:rPr>
            </w:pPr>
            <w:r w:rsidRPr="009B7B35">
              <w:rPr>
                <w:rFonts w:cs="Arial"/>
              </w:rPr>
              <w:t>Narrow lot</w:t>
            </w:r>
          </w:p>
        </w:tc>
        <w:tc>
          <w:tcPr>
            <w:tcW w:w="6946" w:type="dxa"/>
          </w:tcPr>
          <w:p w14:paraId="23D0AA91" w14:textId="77777777" w:rsidR="00BE36FB" w:rsidRPr="009B7B35" w:rsidRDefault="00BE36FB">
            <w:pPr>
              <w:pStyle w:val="TableText"/>
              <w:rPr>
                <w:rFonts w:cs="Arial"/>
              </w:rPr>
            </w:pPr>
            <w:r w:rsidRPr="009B7B35">
              <w:rPr>
                <w:rFonts w:cs="Arial"/>
              </w:rPr>
              <w:t>A lot that has an average width less than 15m and/or an area less than 450m</w:t>
            </w:r>
            <w:r w:rsidRPr="009B7B35">
              <w:rPr>
                <w:rStyle w:val="StyleSuperscript"/>
                <w:rFonts w:cs="Arial"/>
              </w:rPr>
              <w:t>2</w:t>
            </w:r>
            <w:r w:rsidRPr="009B7B35">
              <w:rPr>
                <w:rFonts w:cs="Arial"/>
              </w:rPr>
              <w:t>. These lots are associated with development for dwelling houses as outlined in the relevant zone code.</w:t>
            </w:r>
          </w:p>
        </w:tc>
      </w:tr>
      <w:tr w:rsidR="00BE36FB" w:rsidRPr="009B7B35" w14:paraId="5B504341" w14:textId="77777777" w:rsidTr="001A7107">
        <w:tc>
          <w:tcPr>
            <w:tcW w:w="2410" w:type="dxa"/>
          </w:tcPr>
          <w:p w14:paraId="1A815D51" w14:textId="77777777" w:rsidR="00BE36FB" w:rsidRPr="009B7B35" w:rsidRDefault="00BE36FB" w:rsidP="001A7107">
            <w:pPr>
              <w:pStyle w:val="TableText"/>
              <w:rPr>
                <w:rFonts w:cs="Arial"/>
              </w:rPr>
            </w:pPr>
            <w:r w:rsidRPr="009B7B35">
              <w:rPr>
                <w:rFonts w:cs="Arial"/>
              </w:rPr>
              <w:t>New neighbourhoods</w:t>
            </w:r>
          </w:p>
        </w:tc>
        <w:tc>
          <w:tcPr>
            <w:tcW w:w="6946" w:type="dxa"/>
          </w:tcPr>
          <w:p w14:paraId="6FE5BB53" w14:textId="77777777" w:rsidR="00BE36FB" w:rsidRPr="009B7B35" w:rsidRDefault="00BE36FB">
            <w:pPr>
              <w:pStyle w:val="TableText"/>
              <w:rPr>
                <w:rFonts w:cs="Arial"/>
              </w:rPr>
            </w:pPr>
            <w:r w:rsidRPr="009B7B35">
              <w:rPr>
                <w:rFonts w:cs="Arial"/>
              </w:rPr>
              <w:t>New neighbourhoods are characterised by walkability and offer a wide choice of housing types, including detached houses, duplexes, row houses, shop–top housing and live/work buildings. New neighbourhoods are generally low in scale. Development provides for an increased number of dwellings per hectare of land, compared with conventional suburbia.</w:t>
            </w:r>
          </w:p>
        </w:tc>
      </w:tr>
      <w:tr w:rsidR="00BE36FB" w:rsidRPr="009B7B35" w14:paraId="7075B456" w14:textId="77777777" w:rsidTr="001A7107">
        <w:tc>
          <w:tcPr>
            <w:tcW w:w="2410" w:type="dxa"/>
          </w:tcPr>
          <w:p w14:paraId="3131083B" w14:textId="77777777" w:rsidR="00BE36FB" w:rsidRPr="009B7B35" w:rsidRDefault="00BE36FB">
            <w:pPr>
              <w:pStyle w:val="TableText"/>
              <w:rPr>
                <w:rFonts w:cs="Arial"/>
              </w:rPr>
            </w:pPr>
            <w:r w:rsidRPr="009B7B35">
              <w:rPr>
                <w:rFonts w:cs="Arial"/>
              </w:rPr>
              <w:t>Net density</w:t>
            </w:r>
          </w:p>
        </w:tc>
        <w:tc>
          <w:tcPr>
            <w:tcW w:w="6946" w:type="dxa"/>
          </w:tcPr>
          <w:p w14:paraId="41157D53" w14:textId="77777777" w:rsidR="00BE36FB" w:rsidRPr="009B7B35" w:rsidRDefault="00BE36FB">
            <w:pPr>
              <w:pStyle w:val="TableText"/>
              <w:rPr>
                <w:rFonts w:cs="Arial"/>
              </w:rPr>
            </w:pPr>
            <w:r w:rsidRPr="009B7B35">
              <w:rPr>
                <w:rFonts w:cs="Arial"/>
              </w:rPr>
              <w:t>Dwellings per hectare of land (only including lots, local parks, local streets and half of the major roads if bordering the site).</w:t>
            </w:r>
          </w:p>
        </w:tc>
      </w:tr>
      <w:tr w:rsidR="00BE36FB" w:rsidRPr="009B7B35" w14:paraId="7181A693" w14:textId="77777777" w:rsidTr="001A7107">
        <w:tc>
          <w:tcPr>
            <w:tcW w:w="2410" w:type="dxa"/>
          </w:tcPr>
          <w:p w14:paraId="6E94499D" w14:textId="77777777" w:rsidR="00BE36FB" w:rsidRPr="009B7B35" w:rsidRDefault="00BE36FB" w:rsidP="001A7107">
            <w:pPr>
              <w:pStyle w:val="TableText"/>
              <w:rPr>
                <w:rFonts w:cs="Arial"/>
              </w:rPr>
            </w:pPr>
            <w:r w:rsidRPr="009B7B35">
              <w:rPr>
                <w:rFonts w:cs="Arial"/>
              </w:rPr>
              <w:t>Net developable area</w:t>
            </w:r>
          </w:p>
        </w:tc>
        <w:tc>
          <w:tcPr>
            <w:tcW w:w="6946" w:type="dxa"/>
          </w:tcPr>
          <w:p w14:paraId="49D90E56" w14:textId="77777777" w:rsidR="00BE36FB" w:rsidRPr="009B7B35" w:rsidRDefault="00BE36FB" w:rsidP="001A7107">
            <w:pPr>
              <w:pStyle w:val="TableText"/>
              <w:rPr>
                <w:rFonts w:cs="Arial"/>
              </w:rPr>
            </w:pPr>
            <w:r w:rsidRPr="009B7B35">
              <w:rPr>
                <w:rFonts w:cs="Arial"/>
              </w:rPr>
              <w:t>The area of land available for development. It does not include land that cannot be developed due to constraints such as acid sulfate soils, conservation land, flood affected land or steep slope.</w:t>
            </w:r>
          </w:p>
          <w:p w14:paraId="2707CE4A" w14:textId="77777777" w:rsidR="00BE36FB" w:rsidRPr="009B7B35" w:rsidRDefault="00BE36FB" w:rsidP="001A7107">
            <w:pPr>
              <w:pStyle w:val="Notes"/>
              <w:rPr>
                <w:rFonts w:cs="Arial"/>
                <w:sz w:val="20"/>
                <w:szCs w:val="20"/>
              </w:rPr>
            </w:pPr>
            <w:r w:rsidRPr="009B7B35">
              <w:rPr>
                <w:rFonts w:cs="Arial"/>
                <w:sz w:val="20"/>
                <w:szCs w:val="20"/>
              </w:rPr>
              <w:t>Note—For the purpose of a priority infrastructure plan, net developable area is usually measured in hectares, net developable hectares (net dev ha).</w:t>
            </w:r>
          </w:p>
        </w:tc>
      </w:tr>
      <w:tr w:rsidR="00BE36FB" w:rsidRPr="009B7B35" w14:paraId="60921E18" w14:textId="77777777" w:rsidTr="001A7107">
        <w:tc>
          <w:tcPr>
            <w:tcW w:w="2410" w:type="dxa"/>
          </w:tcPr>
          <w:p w14:paraId="15E0505D" w14:textId="77777777" w:rsidR="00BE36FB" w:rsidRPr="009B7B35" w:rsidRDefault="00BE36FB" w:rsidP="001A7107">
            <w:pPr>
              <w:pStyle w:val="TableText"/>
              <w:rPr>
                <w:rFonts w:cs="Arial"/>
              </w:rPr>
            </w:pPr>
            <w:r w:rsidRPr="009B7B35">
              <w:rPr>
                <w:rFonts w:cs="Arial"/>
              </w:rPr>
              <w:t>Netserv plan</w:t>
            </w:r>
          </w:p>
        </w:tc>
        <w:tc>
          <w:tcPr>
            <w:tcW w:w="6946" w:type="dxa"/>
          </w:tcPr>
          <w:p w14:paraId="5977B61B" w14:textId="77777777" w:rsidR="00BE36FB" w:rsidRPr="009B7B35" w:rsidRDefault="00BE36FB" w:rsidP="001A7107">
            <w:pPr>
              <w:pStyle w:val="TableText"/>
              <w:rPr>
                <w:rFonts w:cs="Arial"/>
              </w:rPr>
            </w:pPr>
            <w:r w:rsidRPr="009B7B35">
              <w:rPr>
                <w:rFonts w:cs="Arial"/>
              </w:rPr>
              <w:t>A distributor–retailer’s plan about its water and wastewater networks and provision of water service and wastewater service pursuant to section 99BJ of the South East Queensland Water (Distribution and Retail Restructuring) Act 2009.</w:t>
            </w:r>
          </w:p>
        </w:tc>
      </w:tr>
      <w:tr w:rsidR="00BE36FB" w:rsidRPr="009B7B35" w14:paraId="328A0C8E" w14:textId="77777777" w:rsidTr="001A7107">
        <w:tc>
          <w:tcPr>
            <w:tcW w:w="2410" w:type="dxa"/>
          </w:tcPr>
          <w:p w14:paraId="60997B53" w14:textId="77777777" w:rsidR="00BE36FB" w:rsidRPr="009B7B35" w:rsidRDefault="00BE36FB" w:rsidP="001A7107">
            <w:pPr>
              <w:pStyle w:val="TableText"/>
              <w:rPr>
                <w:rFonts w:cs="Arial"/>
              </w:rPr>
            </w:pPr>
            <w:r w:rsidRPr="009B7B35">
              <w:rPr>
                <w:rFonts w:cs="Arial"/>
              </w:rPr>
              <w:t>Non–resident workers</w:t>
            </w:r>
          </w:p>
        </w:tc>
        <w:tc>
          <w:tcPr>
            <w:tcW w:w="6946" w:type="dxa"/>
          </w:tcPr>
          <w:p w14:paraId="7B1CFB9C" w14:textId="77777777" w:rsidR="00BE36FB" w:rsidRPr="009B7B35" w:rsidRDefault="00BE36FB" w:rsidP="001A7107">
            <w:pPr>
              <w:pStyle w:val="TableText"/>
              <w:rPr>
                <w:rFonts w:cs="Arial"/>
              </w:rPr>
            </w:pPr>
            <w:r w:rsidRPr="009B7B35">
              <w:rPr>
                <w:rFonts w:cs="Arial"/>
              </w:rPr>
              <w:t>Workers who reside in areas for extended periods when employed on projects directly associated with resource extraction, major industry, major infrastructure or rural uses, but have a permanent place of residence in another area.</w:t>
            </w:r>
          </w:p>
          <w:p w14:paraId="21ED956C" w14:textId="77777777" w:rsidR="00BE36FB" w:rsidRPr="009B7B35" w:rsidRDefault="00BE36FB" w:rsidP="001A7107">
            <w:pPr>
              <w:pStyle w:val="TableText"/>
              <w:rPr>
                <w:rFonts w:cs="Arial"/>
              </w:rPr>
            </w:pPr>
            <w:r w:rsidRPr="009B7B35">
              <w:rPr>
                <w:rFonts w:cs="Arial"/>
              </w:rPr>
              <w:t>This includes workers engaged in fly–in/fly–out or drive–in/drive–out arrangements.</w:t>
            </w:r>
          </w:p>
        </w:tc>
      </w:tr>
      <w:tr w:rsidR="00BE36FB" w:rsidRPr="009B7B35" w14:paraId="5A65B5B2" w14:textId="77777777" w:rsidTr="001A7107">
        <w:tc>
          <w:tcPr>
            <w:tcW w:w="2410" w:type="dxa"/>
          </w:tcPr>
          <w:p w14:paraId="75105F87" w14:textId="77777777" w:rsidR="00BE36FB" w:rsidRPr="009B7B35" w:rsidRDefault="00BE36FB" w:rsidP="001A7107">
            <w:pPr>
              <w:pStyle w:val="TableText"/>
              <w:rPr>
                <w:rFonts w:cs="Arial"/>
              </w:rPr>
            </w:pPr>
            <w:r w:rsidRPr="009B7B35">
              <w:rPr>
                <w:rFonts w:cs="Arial"/>
              </w:rPr>
              <w:t>Outermost projection</w:t>
            </w:r>
          </w:p>
          <w:p w14:paraId="102DA3E0" w14:textId="77777777" w:rsidR="00BE36FB" w:rsidRPr="009B7B35" w:rsidRDefault="00BE36FB" w:rsidP="001A7107">
            <w:pPr>
              <w:pStyle w:val="TableText"/>
              <w:rPr>
                <w:rFonts w:cs="Arial"/>
              </w:rPr>
            </w:pPr>
            <w:r w:rsidRPr="009B7B35">
              <w:rPr>
                <w:rFonts w:cs="Arial"/>
              </w:rPr>
              <w:t>(OMP)</w:t>
            </w:r>
          </w:p>
        </w:tc>
        <w:tc>
          <w:tcPr>
            <w:tcW w:w="6946" w:type="dxa"/>
          </w:tcPr>
          <w:p w14:paraId="41F47628" w14:textId="77777777" w:rsidR="00BE36FB" w:rsidRPr="009B7B35" w:rsidRDefault="00BE36FB" w:rsidP="001A7107">
            <w:pPr>
              <w:pStyle w:val="TableText"/>
              <w:rPr>
                <w:rFonts w:cs="Arial"/>
              </w:rPr>
            </w:pPr>
            <w:r w:rsidRPr="009B7B35">
              <w:rPr>
                <w:rFonts w:cs="Arial"/>
              </w:rPr>
              <w:t>The outermost projection of any part of a building or structure including, in the case of a roof, the outside face of the fascia, or the roof structure where there is no fascia, or attached sunhoods or the like, but does not include retractable blinds, fixed screens, rainwater fittings, or ornamental attachments.</w:t>
            </w:r>
          </w:p>
        </w:tc>
      </w:tr>
      <w:tr w:rsidR="00BE36FB" w:rsidRPr="009B7B35" w14:paraId="374231A2" w14:textId="77777777" w:rsidTr="001A7107">
        <w:tc>
          <w:tcPr>
            <w:tcW w:w="2410" w:type="dxa"/>
          </w:tcPr>
          <w:p w14:paraId="0AF84D5A" w14:textId="77777777" w:rsidR="00BE36FB" w:rsidRPr="009B7B35" w:rsidRDefault="00BE36FB" w:rsidP="001A7107">
            <w:pPr>
              <w:pStyle w:val="TableText"/>
              <w:rPr>
                <w:rFonts w:cs="Arial"/>
              </w:rPr>
            </w:pPr>
            <w:r w:rsidRPr="009B7B35">
              <w:rPr>
                <w:rFonts w:cs="Arial"/>
              </w:rPr>
              <w:t>Planning assumptions</w:t>
            </w:r>
          </w:p>
        </w:tc>
        <w:tc>
          <w:tcPr>
            <w:tcW w:w="6946" w:type="dxa"/>
          </w:tcPr>
          <w:p w14:paraId="72BC2772" w14:textId="77777777" w:rsidR="00BE36FB" w:rsidRPr="009B7B35" w:rsidRDefault="00BE36FB" w:rsidP="001A7107">
            <w:pPr>
              <w:pStyle w:val="TableText"/>
              <w:rPr>
                <w:rFonts w:cs="Arial"/>
              </w:rPr>
            </w:pPr>
            <w:r w:rsidRPr="009B7B35">
              <w:rPr>
                <w:rFonts w:cs="Arial"/>
              </w:rPr>
              <w:t>Assumptions about the type, scale, location and timing of future growth.</w:t>
            </w:r>
          </w:p>
        </w:tc>
      </w:tr>
      <w:tr w:rsidR="00BE36FB" w:rsidRPr="009B7B35" w14:paraId="31D5B007" w14:textId="77777777" w:rsidTr="001A7107">
        <w:tc>
          <w:tcPr>
            <w:tcW w:w="2410" w:type="dxa"/>
          </w:tcPr>
          <w:p w14:paraId="0176D904" w14:textId="77777777" w:rsidR="00BE36FB" w:rsidRPr="009B7B35" w:rsidRDefault="00BE36FB" w:rsidP="001A7107">
            <w:pPr>
              <w:pStyle w:val="TableText"/>
              <w:rPr>
                <w:rFonts w:cs="Arial"/>
              </w:rPr>
            </w:pPr>
            <w:r w:rsidRPr="009B7B35">
              <w:rPr>
                <w:rFonts w:cs="Arial"/>
              </w:rPr>
              <w:t>Plot ratio</w:t>
            </w:r>
          </w:p>
        </w:tc>
        <w:tc>
          <w:tcPr>
            <w:tcW w:w="6946" w:type="dxa"/>
          </w:tcPr>
          <w:p w14:paraId="477014AB" w14:textId="77777777" w:rsidR="00BE36FB" w:rsidRPr="009B7B35" w:rsidRDefault="00BE36FB" w:rsidP="001A7107">
            <w:pPr>
              <w:pStyle w:val="TableText"/>
              <w:rPr>
                <w:rFonts w:cs="Arial"/>
              </w:rPr>
            </w:pPr>
            <w:r w:rsidRPr="009B7B35">
              <w:rPr>
                <w:rFonts w:cs="Arial"/>
              </w:rPr>
              <w:t>The ratio of gross floor area to the area of the site.</w:t>
            </w:r>
          </w:p>
        </w:tc>
      </w:tr>
      <w:tr w:rsidR="00BE36FB" w:rsidRPr="009B7B35" w14:paraId="682724F6" w14:textId="77777777" w:rsidTr="001A7107">
        <w:tc>
          <w:tcPr>
            <w:tcW w:w="2410" w:type="dxa"/>
          </w:tcPr>
          <w:p w14:paraId="6DCEBB8E" w14:textId="77777777" w:rsidR="00BE36FB" w:rsidRPr="009B7B35" w:rsidRDefault="00BE36FB" w:rsidP="001A7107">
            <w:pPr>
              <w:pStyle w:val="TableText"/>
              <w:rPr>
                <w:rFonts w:cs="Arial"/>
              </w:rPr>
            </w:pPr>
            <w:r w:rsidRPr="009B7B35">
              <w:rPr>
                <w:rFonts w:cs="Arial"/>
              </w:rPr>
              <w:t>Projection area(s)</w:t>
            </w:r>
          </w:p>
        </w:tc>
        <w:tc>
          <w:tcPr>
            <w:tcW w:w="6946" w:type="dxa"/>
          </w:tcPr>
          <w:p w14:paraId="2EFE2D93" w14:textId="77777777" w:rsidR="00BE36FB" w:rsidRPr="009B7B35" w:rsidRDefault="00BE36FB" w:rsidP="001A7107">
            <w:pPr>
              <w:pStyle w:val="TableText"/>
              <w:rPr>
                <w:rFonts w:cs="Arial"/>
              </w:rPr>
            </w:pPr>
            <w:r w:rsidRPr="009B7B35">
              <w:rPr>
                <w:rFonts w:cs="Arial"/>
              </w:rPr>
              <w:t>Area or areas within a local government area for which a local government carries out demand growth projections.</w:t>
            </w:r>
          </w:p>
        </w:tc>
      </w:tr>
      <w:tr w:rsidR="00BE36FB" w:rsidRPr="009B7B35" w14:paraId="4D1AE085" w14:textId="77777777" w:rsidTr="001A7107">
        <w:tc>
          <w:tcPr>
            <w:tcW w:w="2410" w:type="dxa"/>
          </w:tcPr>
          <w:p w14:paraId="40C1D2ED" w14:textId="77777777" w:rsidR="00BE36FB" w:rsidRPr="009B7B35" w:rsidRDefault="00BE36FB" w:rsidP="001A7107">
            <w:pPr>
              <w:pStyle w:val="TableText"/>
              <w:rPr>
                <w:rFonts w:cs="Arial"/>
              </w:rPr>
            </w:pPr>
            <w:r w:rsidRPr="009B7B35">
              <w:rPr>
                <w:rFonts w:cs="Arial"/>
              </w:rPr>
              <w:t>Secondary dwelling</w:t>
            </w:r>
          </w:p>
        </w:tc>
        <w:tc>
          <w:tcPr>
            <w:tcW w:w="6946" w:type="dxa"/>
          </w:tcPr>
          <w:p w14:paraId="66C5949A" w14:textId="77777777" w:rsidR="00BE36FB" w:rsidRPr="009B7B35" w:rsidRDefault="00BE36FB" w:rsidP="001A7107">
            <w:pPr>
              <w:pStyle w:val="TableText"/>
              <w:rPr>
                <w:rFonts w:cs="Arial"/>
              </w:rPr>
            </w:pPr>
            <w:r w:rsidRPr="009B7B35">
              <w:rPr>
                <w:rFonts w:cs="Arial"/>
              </w:rPr>
              <w:t>A dwelling used in conjunction with, and subordinate to, a dwelling house on the same lot.</w:t>
            </w:r>
          </w:p>
          <w:p w14:paraId="44E2D53A" w14:textId="77777777" w:rsidR="00BE36FB" w:rsidRPr="009B7B35" w:rsidRDefault="00BE36FB" w:rsidP="001A7107">
            <w:pPr>
              <w:pStyle w:val="TableText"/>
              <w:rPr>
                <w:rFonts w:cs="Arial"/>
              </w:rPr>
            </w:pPr>
            <w:r w:rsidRPr="009B7B35">
              <w:rPr>
                <w:rFonts w:cs="Arial"/>
              </w:rPr>
              <w:t>A secondary dwelling may be constructed under a dwelling house, be attached to a dwelling house or be free standing.</w:t>
            </w:r>
          </w:p>
        </w:tc>
      </w:tr>
      <w:tr w:rsidR="00BE36FB" w:rsidRPr="009B7B35" w14:paraId="3023C235" w14:textId="77777777" w:rsidTr="001A7107">
        <w:tc>
          <w:tcPr>
            <w:tcW w:w="2410" w:type="dxa"/>
          </w:tcPr>
          <w:p w14:paraId="1B242EFA" w14:textId="77777777" w:rsidR="00BE36FB" w:rsidRPr="009B7B35" w:rsidRDefault="00BE36FB" w:rsidP="001A7107">
            <w:pPr>
              <w:pStyle w:val="TableText"/>
              <w:rPr>
                <w:rFonts w:cs="Arial"/>
              </w:rPr>
            </w:pPr>
            <w:r w:rsidRPr="009B7B35">
              <w:rPr>
                <w:rFonts w:cs="Arial"/>
              </w:rPr>
              <w:t>Service catchment</w:t>
            </w:r>
          </w:p>
        </w:tc>
        <w:tc>
          <w:tcPr>
            <w:tcW w:w="6946" w:type="dxa"/>
          </w:tcPr>
          <w:p w14:paraId="562AEC6F" w14:textId="77777777" w:rsidR="00BE36FB" w:rsidRPr="009B7B35" w:rsidRDefault="00BE36FB" w:rsidP="001A7107">
            <w:pPr>
              <w:pStyle w:val="TableText"/>
              <w:rPr>
                <w:rFonts w:cs="Arial"/>
              </w:rPr>
            </w:pPr>
            <w:r w:rsidRPr="009B7B35">
              <w:rPr>
                <w:rFonts w:cs="Arial"/>
              </w:rPr>
              <w:t>An area serviced by an infrastructure network. An infrastructure network is made up of one or more service catchments. Service catchments are determined by the network type and how it has been designed to operate and provide service to the urban areas.</w:t>
            </w:r>
          </w:p>
          <w:p w14:paraId="47BD4055" w14:textId="77777777" w:rsidR="00BE36FB" w:rsidRPr="009B7B35" w:rsidRDefault="00BE36FB" w:rsidP="001A7107">
            <w:pPr>
              <w:pStyle w:val="Notes"/>
              <w:rPr>
                <w:rFonts w:cs="Arial"/>
                <w:sz w:val="20"/>
                <w:szCs w:val="20"/>
              </w:rPr>
            </w:pPr>
            <w:r w:rsidRPr="009B7B35">
              <w:rPr>
                <w:rFonts w:cs="Arial"/>
                <w:sz w:val="20"/>
                <w:szCs w:val="20"/>
              </w:rPr>
              <w:t>Note—For example:</w:t>
            </w:r>
          </w:p>
          <w:p w14:paraId="4259C6D5" w14:textId="77777777" w:rsidR="00BE36FB" w:rsidRPr="009B7B35" w:rsidRDefault="00BE36FB" w:rsidP="001A7107">
            <w:pPr>
              <w:pStyle w:val="Notesbullet"/>
              <w:rPr>
                <w:rFonts w:cs="Arial"/>
                <w:sz w:val="20"/>
                <w:szCs w:val="20"/>
              </w:rPr>
            </w:pPr>
            <w:r w:rsidRPr="009B7B35">
              <w:rPr>
                <w:rFonts w:cs="Arial"/>
                <w:sz w:val="20"/>
                <w:szCs w:val="20"/>
              </w:rPr>
              <w:t xml:space="preserve">stormwater network service catchments can be delineated to align with watershed boundaries </w:t>
            </w:r>
          </w:p>
          <w:p w14:paraId="092DBDF0" w14:textId="77777777" w:rsidR="00BE36FB" w:rsidRPr="009B7B35" w:rsidRDefault="00BE36FB" w:rsidP="001A7107">
            <w:pPr>
              <w:pStyle w:val="Notesbullet"/>
              <w:rPr>
                <w:rFonts w:cs="Arial"/>
                <w:sz w:val="20"/>
                <w:szCs w:val="20"/>
              </w:rPr>
            </w:pPr>
            <w:r w:rsidRPr="009B7B35">
              <w:rPr>
                <w:rFonts w:cs="Arial"/>
                <w:sz w:val="20"/>
                <w:szCs w:val="20"/>
              </w:rPr>
              <w:t xml:space="preserve">open space network service catchment can be determined using local government accessibility standards </w:t>
            </w:r>
          </w:p>
          <w:p w14:paraId="3ADC4A86" w14:textId="77777777" w:rsidR="00BE36FB" w:rsidRPr="009B7B35" w:rsidRDefault="00BE36FB" w:rsidP="001A7107">
            <w:pPr>
              <w:pStyle w:val="Notesbullet"/>
              <w:rPr>
                <w:rFonts w:cs="Arial"/>
                <w:sz w:val="20"/>
                <w:szCs w:val="20"/>
              </w:rPr>
            </w:pPr>
            <w:r w:rsidRPr="009B7B35">
              <w:rPr>
                <w:rFonts w:cs="Arial"/>
                <w:sz w:val="20"/>
                <w:szCs w:val="20"/>
              </w:rPr>
              <w:t xml:space="preserve">water network service catchment can be established as the area serviced by a particular reservoir. </w:t>
            </w:r>
          </w:p>
        </w:tc>
      </w:tr>
      <w:tr w:rsidR="00BE36FB" w:rsidRPr="009B7B35" w14:paraId="65775F78" w14:textId="77777777" w:rsidTr="001A7107">
        <w:tc>
          <w:tcPr>
            <w:tcW w:w="2410" w:type="dxa"/>
          </w:tcPr>
          <w:p w14:paraId="66DE48B0" w14:textId="77777777" w:rsidR="00BE36FB" w:rsidRPr="009B7B35" w:rsidRDefault="00BE36FB" w:rsidP="001A7107">
            <w:pPr>
              <w:pStyle w:val="TableText"/>
              <w:rPr>
                <w:rFonts w:cs="Arial"/>
              </w:rPr>
            </w:pPr>
            <w:r w:rsidRPr="009B7B35">
              <w:rPr>
                <w:rFonts w:cs="Arial"/>
              </w:rPr>
              <w:t>Setback</w:t>
            </w:r>
          </w:p>
        </w:tc>
        <w:tc>
          <w:tcPr>
            <w:tcW w:w="6946" w:type="dxa"/>
          </w:tcPr>
          <w:p w14:paraId="7897752E" w14:textId="77777777" w:rsidR="00BE36FB" w:rsidRPr="009B7B35" w:rsidRDefault="00BE36FB" w:rsidP="001A7107">
            <w:pPr>
              <w:pStyle w:val="TableText"/>
              <w:rPr>
                <w:rFonts w:cs="Arial"/>
              </w:rPr>
            </w:pPr>
            <w:r w:rsidRPr="009B7B35">
              <w:rPr>
                <w:rFonts w:cs="Arial"/>
              </w:rPr>
              <w:t>For a building or structure, the shortest distance measured horizontally from the outer most projection of a building or structure to the vertical projection of the boundary of the lot.</w:t>
            </w:r>
          </w:p>
        </w:tc>
      </w:tr>
      <w:tr w:rsidR="00BE36FB" w:rsidRPr="009B7B35" w14:paraId="63A2819F" w14:textId="77777777" w:rsidTr="001A7107">
        <w:tc>
          <w:tcPr>
            <w:tcW w:w="2410" w:type="dxa"/>
          </w:tcPr>
          <w:p w14:paraId="2F965EE1" w14:textId="77777777" w:rsidR="00BE36FB" w:rsidRPr="009B7B35" w:rsidRDefault="00BE36FB" w:rsidP="001A7107">
            <w:pPr>
              <w:pStyle w:val="TableText"/>
              <w:rPr>
                <w:rFonts w:cs="Arial"/>
              </w:rPr>
            </w:pPr>
            <w:r w:rsidRPr="009B7B35">
              <w:rPr>
                <w:rFonts w:cs="Arial"/>
              </w:rPr>
              <w:t>Site</w:t>
            </w:r>
          </w:p>
        </w:tc>
        <w:tc>
          <w:tcPr>
            <w:tcW w:w="6946" w:type="dxa"/>
          </w:tcPr>
          <w:p w14:paraId="36C2A0E0" w14:textId="77777777" w:rsidR="00BE36FB" w:rsidRPr="009B7B35" w:rsidRDefault="00BE36FB" w:rsidP="001A7107">
            <w:pPr>
              <w:pStyle w:val="TableText"/>
              <w:rPr>
                <w:rFonts w:cs="Arial"/>
              </w:rPr>
            </w:pPr>
            <w:r w:rsidRPr="009B7B35">
              <w:rPr>
                <w:rFonts w:cs="Arial"/>
              </w:rPr>
              <w:t>Any land on which development is carried out or is proposed to be carried out whether such land comprises the whole or part of one lot or more than one lot if each of such lots is contiguous.</w:t>
            </w:r>
          </w:p>
        </w:tc>
      </w:tr>
      <w:tr w:rsidR="00BE36FB" w:rsidRPr="009B7B35" w14:paraId="65CD16CC" w14:textId="77777777" w:rsidTr="001A7107">
        <w:tc>
          <w:tcPr>
            <w:tcW w:w="2410" w:type="dxa"/>
          </w:tcPr>
          <w:p w14:paraId="6C539F34" w14:textId="77777777" w:rsidR="00BE36FB" w:rsidRPr="009B7B35" w:rsidRDefault="00BE36FB" w:rsidP="001A7107">
            <w:pPr>
              <w:pStyle w:val="TableText"/>
              <w:rPr>
                <w:rFonts w:cs="Arial"/>
              </w:rPr>
            </w:pPr>
            <w:bookmarkStart w:id="298" w:name="OLE_LINK32"/>
            <w:bookmarkStart w:id="299" w:name="OLE_LINK33"/>
            <w:r w:rsidRPr="009B7B35">
              <w:rPr>
                <w:rFonts w:cs="Arial"/>
              </w:rPr>
              <w:t>Site cover</w:t>
            </w:r>
          </w:p>
        </w:tc>
        <w:tc>
          <w:tcPr>
            <w:tcW w:w="6946" w:type="dxa"/>
          </w:tcPr>
          <w:p w14:paraId="5F0F840D" w14:textId="77777777" w:rsidR="00BE36FB" w:rsidRPr="009B7B35" w:rsidRDefault="00BE36FB" w:rsidP="001A7107">
            <w:pPr>
              <w:pStyle w:val="Default"/>
              <w:rPr>
                <w:color w:val="auto"/>
                <w:sz w:val="20"/>
                <w:szCs w:val="20"/>
              </w:rPr>
            </w:pPr>
            <w:r w:rsidRPr="009B7B35">
              <w:rPr>
                <w:color w:val="auto"/>
                <w:sz w:val="20"/>
                <w:szCs w:val="20"/>
              </w:rPr>
              <w:t xml:space="preserve">The proportion of the site covered by a building(s), structure(s) attached to the building(s) and carport(s), calculated to the outer most projections of the building(s) and expressed as a percentage. </w:t>
            </w:r>
          </w:p>
          <w:p w14:paraId="7149D1CB" w14:textId="77777777" w:rsidR="00BE36FB" w:rsidRPr="009B7B35" w:rsidRDefault="00BE36FB" w:rsidP="001A7107">
            <w:pPr>
              <w:pStyle w:val="Default"/>
              <w:rPr>
                <w:color w:val="auto"/>
                <w:sz w:val="20"/>
                <w:szCs w:val="20"/>
              </w:rPr>
            </w:pPr>
          </w:p>
          <w:p w14:paraId="3802483D" w14:textId="77777777" w:rsidR="00BE36FB" w:rsidRPr="009B7B35" w:rsidRDefault="00BE36FB" w:rsidP="001A7107">
            <w:pPr>
              <w:pStyle w:val="Default"/>
              <w:rPr>
                <w:color w:val="auto"/>
                <w:sz w:val="20"/>
                <w:szCs w:val="20"/>
              </w:rPr>
            </w:pPr>
            <w:r w:rsidRPr="009B7B35">
              <w:rPr>
                <w:color w:val="auto"/>
                <w:sz w:val="20"/>
                <w:szCs w:val="20"/>
              </w:rPr>
              <w:t xml:space="preserve">The term does not include: </w:t>
            </w:r>
          </w:p>
          <w:p w14:paraId="4A9A30CA" w14:textId="77777777" w:rsidR="00BE36FB" w:rsidRPr="009B7B35" w:rsidRDefault="00BE36FB" w:rsidP="00BE36FB">
            <w:pPr>
              <w:pStyle w:val="TableText"/>
              <w:numPr>
                <w:ilvl w:val="0"/>
                <w:numId w:val="838"/>
              </w:numPr>
              <w:rPr>
                <w:rFonts w:cs="Arial"/>
              </w:rPr>
            </w:pPr>
            <w:r w:rsidRPr="009B7B35">
              <w:rPr>
                <w:rFonts w:cs="Arial"/>
              </w:rPr>
              <w:t xml:space="preserve">any structure or part thereof included in a landscaped open space area such as a gazebo or shade structure </w:t>
            </w:r>
          </w:p>
          <w:p w14:paraId="184E8D0D" w14:textId="77777777" w:rsidR="00BE36FB" w:rsidRPr="009B7B35" w:rsidRDefault="00BE36FB" w:rsidP="00BE36FB">
            <w:pPr>
              <w:pStyle w:val="TableText"/>
              <w:numPr>
                <w:ilvl w:val="0"/>
                <w:numId w:val="838"/>
              </w:numPr>
              <w:rPr>
                <w:rFonts w:cs="Arial"/>
              </w:rPr>
            </w:pPr>
            <w:r w:rsidRPr="009B7B35">
              <w:rPr>
                <w:rFonts w:cs="Arial"/>
              </w:rPr>
              <w:t xml:space="preserve">basement car parking areas located wholly below ground level </w:t>
            </w:r>
          </w:p>
          <w:p w14:paraId="1885F322" w14:textId="77777777" w:rsidR="00BE36FB" w:rsidRPr="009B7B35" w:rsidRDefault="00BE36FB" w:rsidP="00BE36FB">
            <w:pPr>
              <w:pStyle w:val="TableText"/>
              <w:numPr>
                <w:ilvl w:val="0"/>
                <w:numId w:val="838"/>
              </w:numPr>
              <w:rPr>
                <w:rFonts w:cs="Arial"/>
              </w:rPr>
            </w:pPr>
            <w:r w:rsidRPr="009B7B35">
              <w:rPr>
                <w:rFonts w:cs="Arial"/>
              </w:rPr>
              <w:t xml:space="preserve">eaves and sun shading devices </w:t>
            </w:r>
          </w:p>
        </w:tc>
      </w:tr>
      <w:bookmarkEnd w:id="298"/>
      <w:bookmarkEnd w:id="299"/>
      <w:tr w:rsidR="00BE36FB" w:rsidRPr="009B7B35" w14:paraId="350E9B43" w14:textId="77777777" w:rsidTr="001A7107">
        <w:tc>
          <w:tcPr>
            <w:tcW w:w="2410" w:type="dxa"/>
          </w:tcPr>
          <w:p w14:paraId="07F079D6" w14:textId="77777777" w:rsidR="00BE36FB" w:rsidRPr="009B7B35" w:rsidRDefault="00BE36FB" w:rsidP="001A7107">
            <w:pPr>
              <w:pStyle w:val="TableText"/>
              <w:rPr>
                <w:rFonts w:cs="Arial"/>
              </w:rPr>
            </w:pPr>
            <w:r w:rsidRPr="009B7B35">
              <w:rPr>
                <w:rFonts w:cs="Arial"/>
              </w:rPr>
              <w:t>Storey</w:t>
            </w:r>
          </w:p>
        </w:tc>
        <w:tc>
          <w:tcPr>
            <w:tcW w:w="6946" w:type="dxa"/>
          </w:tcPr>
          <w:p w14:paraId="2F7EC589" w14:textId="77777777" w:rsidR="00BE36FB" w:rsidRPr="009B7B35" w:rsidRDefault="00BE36FB" w:rsidP="001A7107">
            <w:pPr>
              <w:pStyle w:val="TableText"/>
              <w:rPr>
                <w:rFonts w:cs="Arial"/>
              </w:rPr>
            </w:pPr>
            <w:r w:rsidRPr="009B7B35">
              <w:rPr>
                <w:rFonts w:cs="Arial"/>
              </w:rPr>
              <w:t>A space that is situated between one floor level and the floor level next above, or if there is no floor above, the ceiling or roof above, but not a space that contains only:</w:t>
            </w:r>
          </w:p>
          <w:p w14:paraId="2D6CD47D" w14:textId="77777777" w:rsidR="00BE36FB" w:rsidRPr="009B7B35" w:rsidRDefault="00BE36FB" w:rsidP="00BE36FB">
            <w:pPr>
              <w:pStyle w:val="TableText"/>
              <w:numPr>
                <w:ilvl w:val="0"/>
                <w:numId w:val="878"/>
              </w:numPr>
              <w:rPr>
                <w:rFonts w:cs="Arial"/>
              </w:rPr>
            </w:pPr>
            <w:r w:rsidRPr="009B7B35">
              <w:rPr>
                <w:rFonts w:cs="Arial"/>
              </w:rPr>
              <w:t>a lift shaft, stairway or meter room</w:t>
            </w:r>
          </w:p>
          <w:p w14:paraId="43209055" w14:textId="77777777" w:rsidR="00BE36FB" w:rsidRPr="009B7B35" w:rsidRDefault="00BE36FB" w:rsidP="00BE36FB">
            <w:pPr>
              <w:pStyle w:val="TableText"/>
              <w:numPr>
                <w:ilvl w:val="0"/>
                <w:numId w:val="878"/>
              </w:numPr>
              <w:rPr>
                <w:rFonts w:cs="Arial"/>
              </w:rPr>
            </w:pPr>
            <w:r w:rsidRPr="009B7B35">
              <w:rPr>
                <w:rFonts w:cs="Arial"/>
              </w:rPr>
              <w:t>a bathroom, shower room, laundry, water closet, or other sanitary compartment</w:t>
            </w:r>
          </w:p>
          <w:p w14:paraId="534DED50" w14:textId="77777777" w:rsidR="00BE36FB" w:rsidRPr="009B7B35" w:rsidRDefault="00BE36FB" w:rsidP="00BE36FB">
            <w:pPr>
              <w:pStyle w:val="TableText"/>
              <w:numPr>
                <w:ilvl w:val="0"/>
                <w:numId w:val="878"/>
              </w:numPr>
              <w:rPr>
                <w:rFonts w:cs="Arial"/>
              </w:rPr>
            </w:pPr>
            <w:r w:rsidRPr="009B7B35">
              <w:rPr>
                <w:rFonts w:cs="Arial"/>
              </w:rPr>
              <w:t>a combination of the above.</w:t>
            </w:r>
          </w:p>
          <w:p w14:paraId="6F95E722" w14:textId="77777777" w:rsidR="00BE36FB" w:rsidRPr="009B7B35" w:rsidRDefault="00BE36FB" w:rsidP="001A7107">
            <w:pPr>
              <w:pStyle w:val="TableText"/>
              <w:rPr>
                <w:rFonts w:cs="Arial"/>
              </w:rPr>
            </w:pPr>
            <w:r w:rsidRPr="009B7B35">
              <w:rPr>
                <w:rFonts w:cs="Arial"/>
              </w:rPr>
              <w:t xml:space="preserve">A mezzanine is a storey. </w:t>
            </w:r>
          </w:p>
          <w:p w14:paraId="64D0F1B8" w14:textId="77777777" w:rsidR="00BE36FB" w:rsidRPr="009B7B35" w:rsidRDefault="00BE36FB" w:rsidP="001A7107">
            <w:pPr>
              <w:pStyle w:val="TableText"/>
              <w:rPr>
                <w:rFonts w:cs="Arial"/>
              </w:rPr>
            </w:pPr>
            <w:r w:rsidRPr="009B7B35">
              <w:rPr>
                <w:rFonts w:cs="Arial"/>
              </w:rPr>
              <w:t>A roofed structure on or part of a rooftop that does not solely accommodate building plant and equipment is a storey.</w:t>
            </w:r>
          </w:p>
          <w:p w14:paraId="3ED60F1D" w14:textId="77777777" w:rsidR="00BE36FB" w:rsidRPr="009B7B35" w:rsidRDefault="00BE36FB" w:rsidP="001A7107">
            <w:pPr>
              <w:pStyle w:val="TableText"/>
              <w:rPr>
                <w:rFonts w:cs="Arial"/>
              </w:rPr>
            </w:pPr>
            <w:r w:rsidRPr="009B7B35">
              <w:rPr>
                <w:rFonts w:cs="Arial"/>
              </w:rPr>
              <w:t>A basement is not a storey.</w:t>
            </w:r>
          </w:p>
        </w:tc>
      </w:tr>
      <w:tr w:rsidR="00BE36FB" w:rsidRPr="009B7B35" w14:paraId="56B04682" w14:textId="77777777" w:rsidTr="001A7107">
        <w:tc>
          <w:tcPr>
            <w:tcW w:w="2410" w:type="dxa"/>
          </w:tcPr>
          <w:p w14:paraId="0C671702" w14:textId="77777777" w:rsidR="00BE36FB" w:rsidRPr="009B7B35" w:rsidRDefault="00BE36FB" w:rsidP="001A7107">
            <w:pPr>
              <w:pStyle w:val="TableText"/>
              <w:rPr>
                <w:rFonts w:cs="Arial"/>
              </w:rPr>
            </w:pPr>
            <w:r w:rsidRPr="009B7B35">
              <w:rPr>
                <w:rFonts w:cs="Arial"/>
              </w:rPr>
              <w:t>Temporary use</w:t>
            </w:r>
          </w:p>
        </w:tc>
        <w:tc>
          <w:tcPr>
            <w:tcW w:w="6946" w:type="dxa"/>
          </w:tcPr>
          <w:p w14:paraId="69EA6E02" w14:textId="77777777" w:rsidR="00BE36FB" w:rsidRPr="009B7B35" w:rsidRDefault="00BE36FB" w:rsidP="001A7107">
            <w:pPr>
              <w:pStyle w:val="TableText"/>
              <w:rPr>
                <w:rFonts w:cs="Arial"/>
              </w:rPr>
            </w:pPr>
            <w:r w:rsidRPr="009B7B35">
              <w:rPr>
                <w:rFonts w:cs="Arial"/>
              </w:rPr>
              <w:t>A use that is impermanent and may be irregular or infrequent that does not require the construction of a permanent building or the installation of permanent infrastructure or services.</w:t>
            </w:r>
          </w:p>
          <w:p w14:paraId="618B2B1A" w14:textId="77777777" w:rsidR="00BE36FB" w:rsidRPr="009B7B35" w:rsidRDefault="00BE36FB" w:rsidP="001A7107">
            <w:pPr>
              <w:pStyle w:val="Notes"/>
              <w:rPr>
                <w:rFonts w:cs="Arial"/>
                <w:sz w:val="20"/>
                <w:szCs w:val="20"/>
              </w:rPr>
            </w:pPr>
            <w:r w:rsidRPr="009B7B35">
              <w:rPr>
                <w:rFonts w:cs="Arial"/>
                <w:sz w:val="20"/>
                <w:szCs w:val="20"/>
              </w:rPr>
              <w:t>Note—Provisions for temporary use timeframes for defined uses may be provided in section 1.7 Local government administrative matters.</w:t>
            </w:r>
          </w:p>
          <w:p w14:paraId="33015F42" w14:textId="77777777" w:rsidR="00BE36FB" w:rsidRPr="009B7B35" w:rsidRDefault="00BE36FB" w:rsidP="001A7107">
            <w:pPr>
              <w:pStyle w:val="Notes"/>
              <w:rPr>
                <w:rFonts w:cs="Arial"/>
                <w:sz w:val="20"/>
                <w:szCs w:val="20"/>
              </w:rPr>
            </w:pPr>
            <w:r w:rsidRPr="009B7B35">
              <w:rPr>
                <w:rFonts w:cs="Arial"/>
                <w:sz w:val="20"/>
                <w:szCs w:val="20"/>
              </w:rPr>
              <w:t>Note—It is recommended that local government use the ability under section 1.7 to further refine this definition for use in the local government area for defined uses.</w:t>
            </w:r>
          </w:p>
        </w:tc>
      </w:tr>
      <w:tr w:rsidR="00BE36FB" w:rsidRPr="009B7B35" w14:paraId="6D2C9717" w14:textId="77777777" w:rsidTr="001A7107">
        <w:tc>
          <w:tcPr>
            <w:tcW w:w="2410" w:type="dxa"/>
          </w:tcPr>
          <w:p w14:paraId="438DD9C5" w14:textId="77777777" w:rsidR="00BE36FB" w:rsidRPr="009B7B35" w:rsidRDefault="00BE36FB" w:rsidP="001A7107">
            <w:pPr>
              <w:pStyle w:val="TableText"/>
              <w:rPr>
                <w:rFonts w:cs="Arial"/>
              </w:rPr>
            </w:pPr>
            <w:r w:rsidRPr="009B7B35">
              <w:rPr>
                <w:rFonts w:cs="Arial"/>
              </w:rPr>
              <w:t>Ultimate development</w:t>
            </w:r>
          </w:p>
        </w:tc>
        <w:tc>
          <w:tcPr>
            <w:tcW w:w="6946" w:type="dxa"/>
          </w:tcPr>
          <w:p w14:paraId="33E82DAA" w14:textId="77777777" w:rsidR="00BE36FB" w:rsidRPr="009B7B35" w:rsidRDefault="00BE36FB" w:rsidP="001A7107">
            <w:pPr>
              <w:pStyle w:val="TableText"/>
              <w:rPr>
                <w:rFonts w:cs="Arial"/>
              </w:rPr>
            </w:pPr>
            <w:r w:rsidRPr="009B7B35">
              <w:rPr>
                <w:rFonts w:cs="Arial"/>
              </w:rPr>
              <w:t>The realistic extent of development anticipated to be achieved when a site (or projection area or infrastructure service catchment) is fully developed.</w:t>
            </w:r>
          </w:p>
        </w:tc>
      </w:tr>
      <w:tr w:rsidR="00BE36FB" w:rsidRPr="009B7B35" w14:paraId="1A741845" w14:textId="77777777" w:rsidTr="001A7107">
        <w:tc>
          <w:tcPr>
            <w:tcW w:w="2410" w:type="dxa"/>
          </w:tcPr>
          <w:p w14:paraId="62AD405E" w14:textId="77777777" w:rsidR="00BE36FB" w:rsidRPr="009B7B35" w:rsidRDefault="00BE36FB" w:rsidP="001A7107">
            <w:pPr>
              <w:pStyle w:val="TableText"/>
              <w:rPr>
                <w:rFonts w:cs="Arial"/>
              </w:rPr>
            </w:pPr>
            <w:r w:rsidRPr="009B7B35">
              <w:rPr>
                <w:rFonts w:cs="Arial"/>
              </w:rPr>
              <w:t>Urban purposes</w:t>
            </w:r>
          </w:p>
        </w:tc>
        <w:tc>
          <w:tcPr>
            <w:tcW w:w="6946" w:type="dxa"/>
          </w:tcPr>
          <w:p w14:paraId="2B8B4F75" w14:textId="77777777" w:rsidR="00BE36FB" w:rsidRPr="009B7B35" w:rsidRDefault="00BE36FB" w:rsidP="001A7107">
            <w:pPr>
              <w:pStyle w:val="TableText"/>
              <w:rPr>
                <w:rFonts w:cs="Arial"/>
              </w:rPr>
            </w:pPr>
            <w:r w:rsidRPr="009B7B35">
              <w:rPr>
                <w:rFonts w:cs="Arial"/>
              </w:rPr>
              <w:t>For the purpose of priority infrastructure plans, urban purposes includes residential (other than rural residential), retail, commercial, industrial, community and government related purposes.</w:t>
            </w:r>
          </w:p>
        </w:tc>
      </w:tr>
      <w:tr w:rsidR="00BE36FB" w:rsidRPr="009B7B35" w14:paraId="43469E3A" w14:textId="77777777" w:rsidTr="001A7107">
        <w:tc>
          <w:tcPr>
            <w:tcW w:w="2410" w:type="dxa"/>
          </w:tcPr>
          <w:p w14:paraId="72D3BD98" w14:textId="77777777" w:rsidR="00BE36FB" w:rsidRPr="009B7B35" w:rsidRDefault="00BE36FB">
            <w:pPr>
              <w:pStyle w:val="TableText"/>
              <w:rPr>
                <w:rFonts w:cs="Arial"/>
              </w:rPr>
            </w:pPr>
            <w:r w:rsidRPr="009B7B35">
              <w:rPr>
                <w:rFonts w:cs="Arial"/>
              </w:rPr>
              <w:t>Urban revitalisation neighbourhoods</w:t>
            </w:r>
          </w:p>
        </w:tc>
        <w:tc>
          <w:tcPr>
            <w:tcW w:w="6946" w:type="dxa"/>
          </w:tcPr>
          <w:p w14:paraId="401D68B4" w14:textId="77777777" w:rsidR="00BE36FB" w:rsidRPr="009B7B35" w:rsidRDefault="00BE36FB">
            <w:pPr>
              <w:pStyle w:val="TableText"/>
              <w:rPr>
                <w:rFonts w:cs="Arial"/>
              </w:rPr>
            </w:pPr>
            <w:r w:rsidRPr="009B7B35">
              <w:rPr>
                <w:rFonts w:cs="Arial"/>
              </w:rPr>
              <w:t>Urban revitalisation neighbourhoods are well located with good access to public transport, and walking and cycling routes to the city centre and other locations. They offer excellent access to services, parks and often have infrastructure capacity. They are usually supported by a grid street pattern. Urban revitalisation neighbourhoods are characterised by mixed use, providing access to a range of employment, shopping, community and other local services. Housing – of many kinds, is an important feature of these neighbourhoods too. Urban revitalisation neighbourhoods have a sense of enclosure at street level provided by small building setbacks.</w:t>
            </w:r>
          </w:p>
        </w:tc>
      </w:tr>
    </w:tbl>
    <w:p w14:paraId="0730F2F0" w14:textId="77777777" w:rsidR="00BE36FB" w:rsidRPr="009B7B35" w:rsidRDefault="00BE36FB" w:rsidP="001A7107">
      <w:pPr>
        <w:rPr>
          <w:rFonts w:ascii="Arial" w:hAnsi="Arial" w:cs="Arial"/>
          <w:sz w:val="20"/>
          <w:szCs w:val="20"/>
        </w:rPr>
      </w:pPr>
    </w:p>
    <w:p w14:paraId="7BE488D2" w14:textId="77777777" w:rsidR="00BE36FB" w:rsidRPr="009B7B35" w:rsidRDefault="00BE36FB" w:rsidP="001A7107">
      <w:pPr>
        <w:rPr>
          <w:rFonts w:ascii="Arial" w:hAnsi="Arial" w:cs="Arial"/>
          <w:sz w:val="20"/>
          <w:szCs w:val="20"/>
        </w:rPr>
        <w:sectPr w:rsidR="00BE36FB" w:rsidRPr="009B7B35" w:rsidSect="001A7107">
          <w:footerReference w:type="default" r:id="rId114"/>
          <w:footerReference w:type="first" r:id="rId115"/>
          <w:pgSz w:w="11906" w:h="16838"/>
          <w:pgMar w:top="1440" w:right="1800" w:bottom="1440" w:left="1800" w:header="708" w:footer="708" w:gutter="0"/>
          <w:cols w:space="708"/>
          <w:docGrid w:linePitch="360"/>
        </w:sectPr>
      </w:pPr>
    </w:p>
    <w:p w14:paraId="0961E3DE" w14:textId="77777777" w:rsidR="00BE36FB" w:rsidRPr="009B7B35" w:rsidRDefault="00BE36FB" w:rsidP="00BE36FB">
      <w:pPr>
        <w:pStyle w:val="Heading6"/>
        <w:numPr>
          <w:ilvl w:val="5"/>
          <w:numId w:val="834"/>
        </w:numPr>
        <w:rPr>
          <w:rFonts w:cs="Arial"/>
          <w:sz w:val="20"/>
          <w:szCs w:val="20"/>
        </w:rPr>
      </w:pPr>
      <w:bookmarkStart w:id="300" w:name="_Toc205367416"/>
      <w:r w:rsidRPr="009B7B35">
        <w:rPr>
          <w:rFonts w:cs="Arial"/>
          <w:sz w:val="20"/>
          <w:szCs w:val="20"/>
        </w:rPr>
        <w:t>Mapping</w:t>
      </w:r>
      <w:bookmarkEnd w:id="300"/>
    </w:p>
    <w:p w14:paraId="0B6F6DA1" w14:textId="5AB4D7C1" w:rsidR="00BE36FB" w:rsidRPr="009B7B35" w:rsidRDefault="007A46D8" w:rsidP="007A46D8">
      <w:pPr>
        <w:pStyle w:val="Heading7"/>
        <w:numPr>
          <w:ilvl w:val="0"/>
          <w:numId w:val="0"/>
        </w:numPr>
        <w:rPr>
          <w:rFonts w:cs="Arial"/>
          <w:sz w:val="20"/>
          <w:szCs w:val="20"/>
        </w:rPr>
      </w:pPr>
      <w:bookmarkStart w:id="301" w:name="_Toc205367417"/>
      <w:r>
        <w:rPr>
          <w:rFonts w:cs="Arial"/>
          <w:sz w:val="20"/>
          <w:szCs w:val="20"/>
        </w:rPr>
        <w:t>SC2.1</w:t>
      </w:r>
      <w:r>
        <w:rPr>
          <w:rFonts w:cs="Arial"/>
          <w:sz w:val="20"/>
          <w:szCs w:val="20"/>
        </w:rPr>
        <w:tab/>
      </w:r>
      <w:r w:rsidR="00BE36FB" w:rsidRPr="009B7B35">
        <w:rPr>
          <w:rFonts w:cs="Arial"/>
          <w:sz w:val="20"/>
          <w:szCs w:val="20"/>
        </w:rPr>
        <w:t>Map index</w:t>
      </w:r>
      <w:bookmarkEnd w:id="301"/>
    </w:p>
    <w:p w14:paraId="4CCD72E2" w14:textId="77777777" w:rsidR="00BE36FB" w:rsidRPr="009B7B35" w:rsidRDefault="00BE36FB" w:rsidP="001A7107">
      <w:pPr>
        <w:rPr>
          <w:rFonts w:ascii="Arial" w:hAnsi="Arial" w:cs="Arial"/>
          <w:sz w:val="20"/>
          <w:szCs w:val="20"/>
        </w:rPr>
      </w:pPr>
      <w:r w:rsidRPr="009B7B35">
        <w:rPr>
          <w:rFonts w:ascii="Arial" w:hAnsi="Arial" w:cs="Arial"/>
          <w:sz w:val="20"/>
          <w:szCs w:val="20"/>
        </w:rPr>
        <w:t>The table(s) below lists any strategic framework, zoning, local plan and overlay maps applicable to the planning scheme area. Maps relevant to other plans have also been included.</w:t>
      </w:r>
    </w:p>
    <w:p w14:paraId="00BD2731" w14:textId="77777777" w:rsidR="00BE36FB" w:rsidRPr="009B7B35" w:rsidRDefault="00BE36FB" w:rsidP="001A7107">
      <w:pPr>
        <w:pStyle w:val="Notes"/>
        <w:rPr>
          <w:rFonts w:cs="Arial"/>
          <w:sz w:val="20"/>
          <w:szCs w:val="20"/>
        </w:rPr>
      </w:pPr>
      <w:r w:rsidRPr="009B7B35">
        <w:rPr>
          <w:rFonts w:cs="Arial"/>
          <w:sz w:val="20"/>
          <w:szCs w:val="20"/>
        </w:rPr>
        <w:t>Editor's note—Mapping for the PIP is contained in Schedule 3 of the planning scheme.</w:t>
      </w:r>
    </w:p>
    <w:p w14:paraId="7395232B" w14:textId="77777777" w:rsidR="00BE36FB" w:rsidRPr="009B7B35" w:rsidRDefault="00BE36FB" w:rsidP="001A7107">
      <w:pPr>
        <w:pStyle w:val="Notes"/>
        <w:rPr>
          <w:rFonts w:cs="Arial"/>
          <w:sz w:val="20"/>
          <w:szCs w:val="20"/>
        </w:rPr>
      </w:pPr>
      <w:r w:rsidRPr="009B7B35">
        <w:rPr>
          <w:rFonts w:cs="Arial"/>
          <w:sz w:val="20"/>
          <w:szCs w:val="20"/>
        </w:rPr>
        <w:t>Editor's note - Mapping is accessible through Council's</w:t>
      </w:r>
      <w:hyperlink r:id="rId116" w:history="1">
        <w:r w:rsidRPr="009B7B35">
          <w:rPr>
            <w:rStyle w:val="Hyperlink"/>
            <w:rFonts w:cs="Arial"/>
            <w:sz w:val="20"/>
            <w:szCs w:val="20"/>
          </w:rPr>
          <w:t>online mapping site</w:t>
        </w:r>
      </w:hyperlink>
      <w:r w:rsidRPr="009B7B35">
        <w:rPr>
          <w:rFonts w:cs="Arial"/>
          <w:sz w:val="20"/>
          <w:szCs w:val="20"/>
        </w:rPr>
        <w:t>.</w:t>
      </w:r>
    </w:p>
    <w:p w14:paraId="3B731472" w14:textId="77777777" w:rsidR="00BE36FB" w:rsidRPr="009B7B35" w:rsidRDefault="00BE36FB" w:rsidP="001A7107">
      <w:pPr>
        <w:pStyle w:val="Heading9"/>
        <w:numPr>
          <w:ilvl w:val="0"/>
          <w:numId w:val="0"/>
        </w:numPr>
        <w:rPr>
          <w:rFonts w:cs="Arial"/>
          <w:sz w:val="20"/>
        </w:rPr>
      </w:pPr>
      <w:r w:rsidRPr="009B7B35">
        <w:rPr>
          <w:rFonts w:cs="Arial"/>
          <w:sz w:val="20"/>
        </w:rPr>
        <w:t>Table Sc2.1.1—Map index</w:t>
      </w:r>
    </w:p>
    <w:tbl>
      <w:tblPr>
        <w:tblStyle w:val="Tablestyle"/>
        <w:tblW w:w="0" w:type="auto"/>
        <w:tblLook w:val="04A0" w:firstRow="1" w:lastRow="0" w:firstColumn="1" w:lastColumn="0" w:noHBand="0" w:noVBand="1"/>
      </w:tblPr>
      <w:tblGrid>
        <w:gridCol w:w="1985"/>
        <w:gridCol w:w="4961"/>
        <w:gridCol w:w="2410"/>
      </w:tblGrid>
      <w:tr w:rsidR="00BE36FB" w:rsidRPr="009B7B35" w14:paraId="3EF54319"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8E4271D" w14:textId="77777777" w:rsidR="00BE36FB" w:rsidRPr="009B7B35" w:rsidRDefault="00BE36FB" w:rsidP="001A7107">
            <w:pPr>
              <w:pStyle w:val="TableText"/>
              <w:rPr>
                <w:rFonts w:cs="Arial"/>
              </w:rPr>
            </w:pPr>
            <w:r w:rsidRPr="009B7B35">
              <w:rPr>
                <w:rFonts w:cs="Arial"/>
              </w:rPr>
              <w:t>Map number</w:t>
            </w:r>
          </w:p>
        </w:tc>
        <w:tc>
          <w:tcPr>
            <w:tcW w:w="4961" w:type="dxa"/>
          </w:tcPr>
          <w:p w14:paraId="73BD6B3C"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Map title</w:t>
            </w:r>
          </w:p>
        </w:tc>
        <w:tc>
          <w:tcPr>
            <w:tcW w:w="2410" w:type="dxa"/>
          </w:tcPr>
          <w:p w14:paraId="44C7C59F"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Gazettal date</w:t>
            </w:r>
          </w:p>
        </w:tc>
      </w:tr>
      <w:tr w:rsidR="00BE36FB" w:rsidRPr="009B7B35" w14:paraId="6301373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3"/>
            <w:shd w:val="clear" w:color="auto" w:fill="BFBFBF" w:themeFill="background1" w:themeFillShade="BF"/>
          </w:tcPr>
          <w:p w14:paraId="621BE3DB" w14:textId="77777777" w:rsidR="00BE36FB" w:rsidRPr="009B7B35" w:rsidRDefault="00BE36FB" w:rsidP="001A7107">
            <w:pPr>
              <w:pStyle w:val="Tableheading"/>
              <w:rPr>
                <w:rFonts w:ascii="Arial" w:hAnsi="Arial" w:cs="Arial"/>
                <w:szCs w:val="20"/>
              </w:rPr>
            </w:pPr>
            <w:r w:rsidRPr="009B7B35">
              <w:rPr>
                <w:rFonts w:ascii="Arial" w:hAnsi="Arial" w:cs="Arial"/>
                <w:szCs w:val="20"/>
              </w:rPr>
              <w:t>Strategic framework maps</w:t>
            </w:r>
          </w:p>
        </w:tc>
      </w:tr>
      <w:tr w:rsidR="00BE36FB" w:rsidRPr="009B7B35" w14:paraId="2B824E8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0B090C6" w14:textId="77777777" w:rsidR="00BE36FB" w:rsidRPr="009B7B35" w:rsidRDefault="00BE36FB" w:rsidP="001A7107">
            <w:pPr>
              <w:pStyle w:val="TableText"/>
              <w:rPr>
                <w:rFonts w:cs="Arial"/>
              </w:rPr>
            </w:pPr>
          </w:p>
        </w:tc>
        <w:tc>
          <w:tcPr>
            <w:tcW w:w="4961" w:type="dxa"/>
          </w:tcPr>
          <w:p w14:paraId="50AEDA9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Strategic Framework Theme: Building it Better – Our Urban Places. Built Form Transect</w:t>
            </w:r>
          </w:p>
        </w:tc>
        <w:tc>
          <w:tcPr>
            <w:tcW w:w="2410" w:type="dxa"/>
          </w:tcPr>
          <w:p w14:paraId="5F03AFF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6B1F025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10C5D6D" w14:textId="77777777" w:rsidR="00BE36FB" w:rsidRPr="009B7B35" w:rsidRDefault="00BE36FB" w:rsidP="001A7107">
            <w:pPr>
              <w:pStyle w:val="TableText"/>
              <w:rPr>
                <w:rFonts w:cs="Arial"/>
              </w:rPr>
            </w:pPr>
          </w:p>
        </w:tc>
        <w:tc>
          <w:tcPr>
            <w:tcW w:w="4961" w:type="dxa"/>
          </w:tcPr>
          <w:p w14:paraId="1268EF2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Strategic Framework Theme: Community Living and Building it Better – Our Urban Places</w:t>
            </w:r>
          </w:p>
        </w:tc>
        <w:tc>
          <w:tcPr>
            <w:tcW w:w="2410" w:type="dxa"/>
          </w:tcPr>
          <w:p w14:paraId="5EAB426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7611382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FAABCA6" w14:textId="77777777" w:rsidR="00BE36FB" w:rsidRPr="009B7B35" w:rsidRDefault="00BE36FB" w:rsidP="001A7107">
            <w:pPr>
              <w:pStyle w:val="TableText"/>
              <w:rPr>
                <w:rFonts w:cs="Arial"/>
              </w:rPr>
            </w:pPr>
          </w:p>
        </w:tc>
        <w:tc>
          <w:tcPr>
            <w:tcW w:w="4961" w:type="dxa"/>
          </w:tcPr>
          <w:p w14:paraId="7413E06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Strategic Framework Theme: Connecting our Places</w:t>
            </w:r>
          </w:p>
        </w:tc>
        <w:tc>
          <w:tcPr>
            <w:tcW w:w="2410" w:type="dxa"/>
          </w:tcPr>
          <w:p w14:paraId="3993CC4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0CF2E68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DA51BE0" w14:textId="77777777" w:rsidR="00BE36FB" w:rsidRPr="009B7B35" w:rsidRDefault="00BE36FB" w:rsidP="001A7107">
            <w:pPr>
              <w:pStyle w:val="TableText"/>
              <w:rPr>
                <w:rFonts w:cs="Arial"/>
              </w:rPr>
            </w:pPr>
          </w:p>
        </w:tc>
        <w:tc>
          <w:tcPr>
            <w:tcW w:w="4961" w:type="dxa"/>
          </w:tcPr>
          <w:p w14:paraId="122B07D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Strategic Framework Theme: Our Environment and Heritage</w:t>
            </w:r>
          </w:p>
        </w:tc>
        <w:tc>
          <w:tcPr>
            <w:tcW w:w="2410" w:type="dxa"/>
          </w:tcPr>
          <w:p w14:paraId="17D9789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0D72FFF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D82CE6A" w14:textId="77777777" w:rsidR="00BE36FB" w:rsidRPr="009B7B35" w:rsidRDefault="00BE36FB" w:rsidP="001A7107">
            <w:pPr>
              <w:pStyle w:val="TableText"/>
              <w:rPr>
                <w:rFonts w:cs="Arial"/>
              </w:rPr>
            </w:pPr>
          </w:p>
        </w:tc>
        <w:tc>
          <w:tcPr>
            <w:tcW w:w="4961" w:type="dxa"/>
          </w:tcPr>
          <w:p w14:paraId="7E359EA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Strategic Framework Theme: Our Rural and Coastal Townships and Places</w:t>
            </w:r>
          </w:p>
        </w:tc>
        <w:tc>
          <w:tcPr>
            <w:tcW w:w="2410" w:type="dxa"/>
          </w:tcPr>
          <w:p w14:paraId="6A139CC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232964A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3"/>
            <w:shd w:val="clear" w:color="auto" w:fill="BFBFBF" w:themeFill="background1" w:themeFillShade="BF"/>
          </w:tcPr>
          <w:p w14:paraId="0FD2C056" w14:textId="77777777" w:rsidR="00BE36FB" w:rsidRPr="009B7B35" w:rsidRDefault="00BE36FB" w:rsidP="001A7107">
            <w:pPr>
              <w:pStyle w:val="Tableheading"/>
              <w:rPr>
                <w:rFonts w:ascii="Arial" w:hAnsi="Arial" w:cs="Arial"/>
                <w:szCs w:val="20"/>
              </w:rPr>
            </w:pPr>
            <w:r w:rsidRPr="009B7B35">
              <w:rPr>
                <w:rFonts w:ascii="Arial" w:hAnsi="Arial" w:cs="Arial"/>
                <w:szCs w:val="20"/>
              </w:rPr>
              <w:t>Zone maps</w:t>
            </w:r>
          </w:p>
        </w:tc>
      </w:tr>
      <w:tr w:rsidR="00BE36FB" w:rsidRPr="009B7B35" w14:paraId="3AD49D8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6074A77" w14:textId="77777777" w:rsidR="00BE36FB" w:rsidRPr="009B7B35" w:rsidRDefault="00BE36FB" w:rsidP="001A7107">
            <w:pPr>
              <w:pStyle w:val="TableText"/>
              <w:rPr>
                <w:rFonts w:cs="Arial"/>
              </w:rPr>
            </w:pPr>
          </w:p>
        </w:tc>
        <w:tc>
          <w:tcPr>
            <w:tcW w:w="4961" w:type="dxa"/>
          </w:tcPr>
          <w:p w14:paraId="60C06B0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Centre (level 1 Zone)</w:t>
            </w:r>
          </w:p>
        </w:tc>
        <w:tc>
          <w:tcPr>
            <w:tcW w:w="2410" w:type="dxa"/>
          </w:tcPr>
          <w:p w14:paraId="50D5F2E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0DAC848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9ACF9F3" w14:textId="77777777" w:rsidR="00BE36FB" w:rsidRPr="009B7B35" w:rsidRDefault="00BE36FB" w:rsidP="001A7107">
            <w:pPr>
              <w:pStyle w:val="TableText"/>
              <w:rPr>
                <w:rFonts w:cs="Arial"/>
              </w:rPr>
            </w:pPr>
          </w:p>
        </w:tc>
        <w:tc>
          <w:tcPr>
            <w:tcW w:w="4961" w:type="dxa"/>
          </w:tcPr>
          <w:p w14:paraId="4BFD9CF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Character residential</w:t>
            </w:r>
          </w:p>
        </w:tc>
        <w:tc>
          <w:tcPr>
            <w:tcW w:w="2410" w:type="dxa"/>
          </w:tcPr>
          <w:p w14:paraId="5B7AB63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0C1E421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E657CF3" w14:textId="77777777" w:rsidR="00BE36FB" w:rsidRPr="009B7B35" w:rsidRDefault="00BE36FB" w:rsidP="001A7107">
            <w:pPr>
              <w:pStyle w:val="TableText"/>
              <w:rPr>
                <w:rFonts w:cs="Arial"/>
              </w:rPr>
            </w:pPr>
          </w:p>
        </w:tc>
        <w:tc>
          <w:tcPr>
            <w:tcW w:w="4961" w:type="dxa"/>
          </w:tcPr>
          <w:p w14:paraId="06772F7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Community facilities</w:t>
            </w:r>
          </w:p>
        </w:tc>
        <w:tc>
          <w:tcPr>
            <w:tcW w:w="2410" w:type="dxa"/>
          </w:tcPr>
          <w:p w14:paraId="256418F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26D3D7B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FDAA3C7" w14:textId="77777777" w:rsidR="00BE36FB" w:rsidRPr="009B7B35" w:rsidRDefault="00BE36FB" w:rsidP="001A7107">
            <w:pPr>
              <w:pStyle w:val="TableText"/>
              <w:rPr>
                <w:rFonts w:cs="Arial"/>
              </w:rPr>
            </w:pPr>
          </w:p>
        </w:tc>
        <w:tc>
          <w:tcPr>
            <w:tcW w:w="4961" w:type="dxa"/>
          </w:tcPr>
          <w:p w14:paraId="01C9FC5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Conservation</w:t>
            </w:r>
          </w:p>
        </w:tc>
        <w:tc>
          <w:tcPr>
            <w:tcW w:w="2410" w:type="dxa"/>
          </w:tcPr>
          <w:p w14:paraId="3CE135A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41E67B9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807004A" w14:textId="77777777" w:rsidR="00BE36FB" w:rsidRPr="009B7B35" w:rsidRDefault="00BE36FB" w:rsidP="001A7107">
            <w:pPr>
              <w:pStyle w:val="TableText"/>
              <w:rPr>
                <w:rFonts w:cs="Arial"/>
              </w:rPr>
            </w:pPr>
          </w:p>
        </w:tc>
        <w:tc>
          <w:tcPr>
            <w:tcW w:w="4961" w:type="dxa"/>
          </w:tcPr>
          <w:p w14:paraId="2FA2DFF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Emerging community</w:t>
            </w:r>
          </w:p>
        </w:tc>
        <w:tc>
          <w:tcPr>
            <w:tcW w:w="2410" w:type="dxa"/>
          </w:tcPr>
          <w:p w14:paraId="1675D7D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0047B7B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22149CB" w14:textId="77777777" w:rsidR="00BE36FB" w:rsidRPr="009B7B35" w:rsidRDefault="00BE36FB" w:rsidP="001A7107">
            <w:pPr>
              <w:pStyle w:val="TableText"/>
              <w:rPr>
                <w:rFonts w:cs="Arial"/>
              </w:rPr>
            </w:pPr>
          </w:p>
        </w:tc>
        <w:tc>
          <w:tcPr>
            <w:tcW w:w="4961" w:type="dxa"/>
          </w:tcPr>
          <w:p w14:paraId="1218D21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Environmental management</w:t>
            </w:r>
          </w:p>
        </w:tc>
        <w:tc>
          <w:tcPr>
            <w:tcW w:w="2410" w:type="dxa"/>
          </w:tcPr>
          <w:p w14:paraId="5D40213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7309A78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A5FB4CE" w14:textId="77777777" w:rsidR="00BE36FB" w:rsidRPr="009B7B35" w:rsidRDefault="00BE36FB" w:rsidP="001A7107">
            <w:pPr>
              <w:pStyle w:val="TableText"/>
              <w:rPr>
                <w:rFonts w:cs="Arial"/>
              </w:rPr>
            </w:pPr>
          </w:p>
        </w:tc>
        <w:tc>
          <w:tcPr>
            <w:tcW w:w="4961" w:type="dxa"/>
          </w:tcPr>
          <w:p w14:paraId="24A82E1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High density residential</w:t>
            </w:r>
          </w:p>
        </w:tc>
        <w:tc>
          <w:tcPr>
            <w:tcW w:w="2410" w:type="dxa"/>
          </w:tcPr>
          <w:p w14:paraId="62FBDAE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70EBB70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46C0D07" w14:textId="77777777" w:rsidR="00BE36FB" w:rsidRPr="009B7B35" w:rsidRDefault="00BE36FB" w:rsidP="001A7107">
            <w:pPr>
              <w:pStyle w:val="TableText"/>
              <w:rPr>
                <w:rFonts w:cs="Arial"/>
              </w:rPr>
            </w:pPr>
          </w:p>
        </w:tc>
        <w:tc>
          <w:tcPr>
            <w:tcW w:w="4961" w:type="dxa"/>
          </w:tcPr>
          <w:p w14:paraId="503CA77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Industry (level 1 Zone)</w:t>
            </w:r>
          </w:p>
        </w:tc>
        <w:tc>
          <w:tcPr>
            <w:tcW w:w="2410" w:type="dxa"/>
          </w:tcPr>
          <w:p w14:paraId="41F1B64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15E9498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DD8BE6A" w14:textId="77777777" w:rsidR="00BE36FB" w:rsidRPr="009B7B35" w:rsidRDefault="00BE36FB" w:rsidP="001A7107">
            <w:pPr>
              <w:pStyle w:val="TableText"/>
              <w:rPr>
                <w:rFonts w:cs="Arial"/>
              </w:rPr>
            </w:pPr>
          </w:p>
        </w:tc>
        <w:tc>
          <w:tcPr>
            <w:tcW w:w="4961" w:type="dxa"/>
          </w:tcPr>
          <w:p w14:paraId="1F0DB78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Industry investigation zone</w:t>
            </w:r>
          </w:p>
        </w:tc>
        <w:tc>
          <w:tcPr>
            <w:tcW w:w="2410" w:type="dxa"/>
          </w:tcPr>
          <w:p w14:paraId="6C47B4A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0DF08CE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1B57237" w14:textId="77777777" w:rsidR="00BE36FB" w:rsidRPr="009B7B35" w:rsidRDefault="00BE36FB" w:rsidP="001A7107">
            <w:pPr>
              <w:pStyle w:val="TableText"/>
              <w:rPr>
                <w:rFonts w:cs="Arial"/>
              </w:rPr>
            </w:pPr>
          </w:p>
        </w:tc>
        <w:tc>
          <w:tcPr>
            <w:tcW w:w="4961" w:type="dxa"/>
          </w:tcPr>
          <w:p w14:paraId="18EB831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Limited development (constrained land)</w:t>
            </w:r>
          </w:p>
        </w:tc>
        <w:tc>
          <w:tcPr>
            <w:tcW w:w="2410" w:type="dxa"/>
          </w:tcPr>
          <w:p w14:paraId="1E1104C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6AC8187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05A2826" w14:textId="77777777" w:rsidR="00BE36FB" w:rsidRPr="009B7B35" w:rsidRDefault="00BE36FB" w:rsidP="001A7107">
            <w:pPr>
              <w:pStyle w:val="TableText"/>
              <w:rPr>
                <w:rFonts w:cs="Arial"/>
              </w:rPr>
            </w:pPr>
          </w:p>
        </w:tc>
        <w:tc>
          <w:tcPr>
            <w:tcW w:w="4961" w:type="dxa"/>
          </w:tcPr>
          <w:p w14:paraId="7DC3166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Low density residential</w:t>
            </w:r>
          </w:p>
        </w:tc>
        <w:tc>
          <w:tcPr>
            <w:tcW w:w="2410" w:type="dxa"/>
          </w:tcPr>
          <w:p w14:paraId="403FCDD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51BC746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95EFD33" w14:textId="77777777" w:rsidR="00BE36FB" w:rsidRPr="009B7B35" w:rsidRDefault="00BE36FB" w:rsidP="001A7107">
            <w:pPr>
              <w:pStyle w:val="TableText"/>
              <w:rPr>
                <w:rFonts w:cs="Arial"/>
              </w:rPr>
            </w:pPr>
          </w:p>
        </w:tc>
        <w:tc>
          <w:tcPr>
            <w:tcW w:w="4961" w:type="dxa"/>
          </w:tcPr>
          <w:p w14:paraId="6C24461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Low impact industry</w:t>
            </w:r>
          </w:p>
        </w:tc>
        <w:tc>
          <w:tcPr>
            <w:tcW w:w="2410" w:type="dxa"/>
          </w:tcPr>
          <w:p w14:paraId="46A20C3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0077EA9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5C95626" w14:textId="77777777" w:rsidR="00BE36FB" w:rsidRPr="009B7B35" w:rsidRDefault="00BE36FB" w:rsidP="001A7107">
            <w:pPr>
              <w:pStyle w:val="TableText"/>
              <w:rPr>
                <w:rFonts w:cs="Arial"/>
              </w:rPr>
            </w:pPr>
          </w:p>
        </w:tc>
        <w:tc>
          <w:tcPr>
            <w:tcW w:w="4961" w:type="dxa"/>
          </w:tcPr>
          <w:p w14:paraId="57FAD06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Low–medium density residential</w:t>
            </w:r>
          </w:p>
        </w:tc>
        <w:tc>
          <w:tcPr>
            <w:tcW w:w="2410" w:type="dxa"/>
          </w:tcPr>
          <w:p w14:paraId="4C1944F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0CE4936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36F4613" w14:textId="77777777" w:rsidR="00BE36FB" w:rsidRPr="009B7B35" w:rsidRDefault="00BE36FB" w:rsidP="001A7107">
            <w:pPr>
              <w:pStyle w:val="TableText"/>
              <w:rPr>
                <w:rFonts w:cs="Arial"/>
              </w:rPr>
            </w:pPr>
          </w:p>
        </w:tc>
        <w:tc>
          <w:tcPr>
            <w:tcW w:w="4961" w:type="dxa"/>
          </w:tcPr>
          <w:p w14:paraId="2EE0089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Major tourism</w:t>
            </w:r>
          </w:p>
        </w:tc>
        <w:tc>
          <w:tcPr>
            <w:tcW w:w="2410" w:type="dxa"/>
          </w:tcPr>
          <w:p w14:paraId="63B75FD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1FE42F4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7F7EC46" w14:textId="77777777" w:rsidR="00BE36FB" w:rsidRPr="009B7B35" w:rsidRDefault="00BE36FB" w:rsidP="001A7107">
            <w:pPr>
              <w:pStyle w:val="TableText"/>
              <w:rPr>
                <w:rFonts w:cs="Arial"/>
              </w:rPr>
            </w:pPr>
          </w:p>
        </w:tc>
        <w:tc>
          <w:tcPr>
            <w:tcW w:w="4961" w:type="dxa"/>
          </w:tcPr>
          <w:p w14:paraId="3D301E0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Medium density residential</w:t>
            </w:r>
          </w:p>
        </w:tc>
        <w:tc>
          <w:tcPr>
            <w:tcW w:w="2410" w:type="dxa"/>
          </w:tcPr>
          <w:p w14:paraId="79FDFD1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72FE606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FF7A139" w14:textId="77777777" w:rsidR="00BE36FB" w:rsidRPr="009B7B35" w:rsidRDefault="00BE36FB" w:rsidP="001A7107">
            <w:pPr>
              <w:pStyle w:val="TableText"/>
              <w:rPr>
                <w:rFonts w:cs="Arial"/>
              </w:rPr>
            </w:pPr>
          </w:p>
        </w:tc>
        <w:tc>
          <w:tcPr>
            <w:tcW w:w="4961" w:type="dxa"/>
          </w:tcPr>
          <w:p w14:paraId="29F0D20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Medium impact industry</w:t>
            </w:r>
          </w:p>
        </w:tc>
        <w:tc>
          <w:tcPr>
            <w:tcW w:w="2410" w:type="dxa"/>
          </w:tcPr>
          <w:p w14:paraId="16B6844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21D5D8D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3C6295D" w14:textId="77777777" w:rsidR="00BE36FB" w:rsidRPr="009B7B35" w:rsidRDefault="00BE36FB" w:rsidP="001A7107">
            <w:pPr>
              <w:pStyle w:val="TableText"/>
              <w:rPr>
                <w:rFonts w:cs="Arial"/>
              </w:rPr>
            </w:pPr>
          </w:p>
        </w:tc>
        <w:tc>
          <w:tcPr>
            <w:tcW w:w="4961" w:type="dxa"/>
          </w:tcPr>
          <w:p w14:paraId="042DA0B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Minor tourism</w:t>
            </w:r>
          </w:p>
        </w:tc>
        <w:tc>
          <w:tcPr>
            <w:tcW w:w="2410" w:type="dxa"/>
          </w:tcPr>
          <w:p w14:paraId="657A59D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7E37792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3EC5F03" w14:textId="77777777" w:rsidR="00BE36FB" w:rsidRPr="009B7B35" w:rsidRDefault="00BE36FB" w:rsidP="001A7107">
            <w:pPr>
              <w:pStyle w:val="TableText"/>
              <w:rPr>
                <w:rFonts w:cs="Arial"/>
              </w:rPr>
            </w:pPr>
          </w:p>
        </w:tc>
        <w:tc>
          <w:tcPr>
            <w:tcW w:w="4961" w:type="dxa"/>
          </w:tcPr>
          <w:p w14:paraId="3E05C4B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Mixed use</w:t>
            </w:r>
          </w:p>
        </w:tc>
        <w:tc>
          <w:tcPr>
            <w:tcW w:w="2410" w:type="dxa"/>
          </w:tcPr>
          <w:p w14:paraId="7E57828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7565D98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12F3CE9" w14:textId="77777777" w:rsidR="00BE36FB" w:rsidRPr="009B7B35" w:rsidRDefault="00BE36FB" w:rsidP="001A7107">
            <w:pPr>
              <w:pStyle w:val="TableText"/>
              <w:rPr>
                <w:rFonts w:cs="Arial"/>
              </w:rPr>
            </w:pPr>
          </w:p>
        </w:tc>
        <w:tc>
          <w:tcPr>
            <w:tcW w:w="4961" w:type="dxa"/>
          </w:tcPr>
          <w:p w14:paraId="7C40809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Neighbourhood centre</w:t>
            </w:r>
          </w:p>
        </w:tc>
        <w:tc>
          <w:tcPr>
            <w:tcW w:w="2410" w:type="dxa"/>
          </w:tcPr>
          <w:p w14:paraId="5192522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2091462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F5842C6" w14:textId="77777777" w:rsidR="00BE36FB" w:rsidRPr="009B7B35" w:rsidRDefault="00BE36FB" w:rsidP="001A7107">
            <w:pPr>
              <w:pStyle w:val="TableText"/>
              <w:rPr>
                <w:rFonts w:cs="Arial"/>
              </w:rPr>
            </w:pPr>
          </w:p>
        </w:tc>
        <w:tc>
          <w:tcPr>
            <w:tcW w:w="4961" w:type="dxa"/>
          </w:tcPr>
          <w:p w14:paraId="5806A1A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Open space</w:t>
            </w:r>
          </w:p>
        </w:tc>
        <w:tc>
          <w:tcPr>
            <w:tcW w:w="2410" w:type="dxa"/>
          </w:tcPr>
          <w:p w14:paraId="1173BFC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3A41E6A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03C3E1A" w14:textId="77777777" w:rsidR="00BE36FB" w:rsidRPr="009B7B35" w:rsidRDefault="00BE36FB" w:rsidP="001A7107">
            <w:pPr>
              <w:pStyle w:val="TableText"/>
              <w:rPr>
                <w:rFonts w:cs="Arial"/>
              </w:rPr>
            </w:pPr>
          </w:p>
        </w:tc>
        <w:tc>
          <w:tcPr>
            <w:tcW w:w="4961" w:type="dxa"/>
          </w:tcPr>
          <w:p w14:paraId="2227245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Principal centre</w:t>
            </w:r>
          </w:p>
        </w:tc>
        <w:tc>
          <w:tcPr>
            <w:tcW w:w="2410" w:type="dxa"/>
          </w:tcPr>
          <w:p w14:paraId="52A90C1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01D85F4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D3BABFB" w14:textId="77777777" w:rsidR="00BE36FB" w:rsidRPr="009B7B35" w:rsidRDefault="00BE36FB" w:rsidP="001A7107">
            <w:pPr>
              <w:pStyle w:val="TableText"/>
              <w:rPr>
                <w:rFonts w:cs="Arial"/>
              </w:rPr>
            </w:pPr>
          </w:p>
        </w:tc>
        <w:tc>
          <w:tcPr>
            <w:tcW w:w="4961" w:type="dxa"/>
          </w:tcPr>
          <w:p w14:paraId="45417EF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Rural</w:t>
            </w:r>
          </w:p>
        </w:tc>
        <w:tc>
          <w:tcPr>
            <w:tcW w:w="2410" w:type="dxa"/>
          </w:tcPr>
          <w:p w14:paraId="7CAFDDA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640527C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4CB5B57" w14:textId="77777777" w:rsidR="00BE36FB" w:rsidRPr="009B7B35" w:rsidRDefault="00BE36FB" w:rsidP="001A7107">
            <w:pPr>
              <w:pStyle w:val="TableText"/>
              <w:rPr>
                <w:rFonts w:cs="Arial"/>
              </w:rPr>
            </w:pPr>
          </w:p>
        </w:tc>
        <w:tc>
          <w:tcPr>
            <w:tcW w:w="4961" w:type="dxa"/>
          </w:tcPr>
          <w:p w14:paraId="687BF5D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Rural residential</w:t>
            </w:r>
          </w:p>
        </w:tc>
        <w:tc>
          <w:tcPr>
            <w:tcW w:w="2410" w:type="dxa"/>
          </w:tcPr>
          <w:p w14:paraId="7692424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5AB8A8C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4D31D76" w14:textId="77777777" w:rsidR="00BE36FB" w:rsidRPr="009B7B35" w:rsidRDefault="00BE36FB" w:rsidP="001A7107">
            <w:pPr>
              <w:pStyle w:val="TableText"/>
              <w:rPr>
                <w:rFonts w:cs="Arial"/>
              </w:rPr>
            </w:pPr>
          </w:p>
        </w:tc>
        <w:tc>
          <w:tcPr>
            <w:tcW w:w="4961" w:type="dxa"/>
          </w:tcPr>
          <w:p w14:paraId="221E057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Special industry</w:t>
            </w:r>
          </w:p>
        </w:tc>
        <w:tc>
          <w:tcPr>
            <w:tcW w:w="2410" w:type="dxa"/>
          </w:tcPr>
          <w:p w14:paraId="74C5938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0696D9E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930EB3B" w14:textId="77777777" w:rsidR="00BE36FB" w:rsidRPr="009B7B35" w:rsidRDefault="00BE36FB" w:rsidP="001A7107">
            <w:pPr>
              <w:pStyle w:val="TableText"/>
              <w:rPr>
                <w:rFonts w:cs="Arial"/>
              </w:rPr>
            </w:pPr>
          </w:p>
        </w:tc>
        <w:tc>
          <w:tcPr>
            <w:tcW w:w="4961" w:type="dxa"/>
          </w:tcPr>
          <w:p w14:paraId="64BD350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Special purpose</w:t>
            </w:r>
          </w:p>
        </w:tc>
        <w:tc>
          <w:tcPr>
            <w:tcW w:w="2410" w:type="dxa"/>
          </w:tcPr>
          <w:p w14:paraId="49A97FC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7D7990B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431E44E" w14:textId="77777777" w:rsidR="00BE36FB" w:rsidRPr="009B7B35" w:rsidRDefault="00BE36FB" w:rsidP="001A7107">
            <w:pPr>
              <w:pStyle w:val="TableText"/>
              <w:rPr>
                <w:rFonts w:cs="Arial"/>
              </w:rPr>
            </w:pPr>
          </w:p>
        </w:tc>
        <w:tc>
          <w:tcPr>
            <w:tcW w:w="4961" w:type="dxa"/>
          </w:tcPr>
          <w:p w14:paraId="6910746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Specialised centre</w:t>
            </w:r>
          </w:p>
        </w:tc>
        <w:tc>
          <w:tcPr>
            <w:tcW w:w="2410" w:type="dxa"/>
          </w:tcPr>
          <w:p w14:paraId="374F6F9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3DAB226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BB246B4" w14:textId="77777777" w:rsidR="00BE36FB" w:rsidRPr="009B7B35" w:rsidRDefault="00BE36FB" w:rsidP="001A7107">
            <w:pPr>
              <w:pStyle w:val="TableText"/>
              <w:rPr>
                <w:rFonts w:cs="Arial"/>
              </w:rPr>
            </w:pPr>
          </w:p>
        </w:tc>
        <w:tc>
          <w:tcPr>
            <w:tcW w:w="4961" w:type="dxa"/>
          </w:tcPr>
          <w:p w14:paraId="414F291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Sport and recreation</w:t>
            </w:r>
          </w:p>
        </w:tc>
        <w:tc>
          <w:tcPr>
            <w:tcW w:w="2410" w:type="dxa"/>
          </w:tcPr>
          <w:p w14:paraId="14E8AFC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091DA54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953B876" w14:textId="77777777" w:rsidR="00BE36FB" w:rsidRPr="009B7B35" w:rsidRDefault="00BE36FB" w:rsidP="001A7107">
            <w:pPr>
              <w:pStyle w:val="TableText"/>
              <w:rPr>
                <w:rFonts w:cs="Arial"/>
              </w:rPr>
            </w:pPr>
          </w:p>
        </w:tc>
        <w:tc>
          <w:tcPr>
            <w:tcW w:w="4961" w:type="dxa"/>
          </w:tcPr>
          <w:p w14:paraId="4BD8680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Township</w:t>
            </w:r>
          </w:p>
        </w:tc>
        <w:tc>
          <w:tcPr>
            <w:tcW w:w="2410" w:type="dxa"/>
          </w:tcPr>
          <w:p w14:paraId="481C84C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0D9687A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3"/>
            <w:shd w:val="clear" w:color="auto" w:fill="BFBFBF" w:themeFill="background1" w:themeFillShade="BF"/>
          </w:tcPr>
          <w:p w14:paraId="515A3B01" w14:textId="77777777" w:rsidR="00BE36FB" w:rsidRPr="009B7B35" w:rsidRDefault="00BE36FB" w:rsidP="001A7107">
            <w:pPr>
              <w:pStyle w:val="Tableheading"/>
              <w:rPr>
                <w:rFonts w:ascii="Arial" w:hAnsi="Arial" w:cs="Arial"/>
                <w:szCs w:val="20"/>
              </w:rPr>
            </w:pPr>
            <w:r w:rsidRPr="009B7B35">
              <w:rPr>
                <w:rFonts w:ascii="Arial" w:hAnsi="Arial" w:cs="Arial"/>
                <w:szCs w:val="20"/>
              </w:rPr>
              <w:t>Local plan maps</w:t>
            </w:r>
          </w:p>
        </w:tc>
      </w:tr>
      <w:tr w:rsidR="00BE36FB" w:rsidRPr="009B7B35" w14:paraId="1035469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2DE0567" w14:textId="77777777" w:rsidR="00BE36FB" w:rsidRPr="009B7B35" w:rsidRDefault="00BE36FB" w:rsidP="001A7107">
            <w:pPr>
              <w:pStyle w:val="TableText"/>
              <w:rPr>
                <w:rFonts w:cs="Arial"/>
              </w:rPr>
            </w:pPr>
            <w:r w:rsidRPr="009B7B35">
              <w:rPr>
                <w:rFonts w:cs="Arial"/>
              </w:rPr>
              <w:t>Nil</w:t>
            </w:r>
          </w:p>
        </w:tc>
        <w:tc>
          <w:tcPr>
            <w:tcW w:w="4961" w:type="dxa"/>
          </w:tcPr>
          <w:p w14:paraId="7A82190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2410" w:type="dxa"/>
          </w:tcPr>
          <w:p w14:paraId="6C0829B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08DE8A5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3"/>
            <w:shd w:val="clear" w:color="auto" w:fill="BFBFBF" w:themeFill="background1" w:themeFillShade="BF"/>
          </w:tcPr>
          <w:p w14:paraId="66E20B76" w14:textId="77777777" w:rsidR="00BE36FB" w:rsidRPr="009B7B35" w:rsidRDefault="00BE36FB" w:rsidP="001A7107">
            <w:pPr>
              <w:pStyle w:val="Tableheading"/>
              <w:rPr>
                <w:rFonts w:ascii="Arial" w:hAnsi="Arial" w:cs="Arial"/>
                <w:szCs w:val="20"/>
              </w:rPr>
            </w:pPr>
            <w:r w:rsidRPr="009B7B35">
              <w:rPr>
                <w:rFonts w:ascii="Arial" w:hAnsi="Arial" w:cs="Arial"/>
                <w:szCs w:val="20"/>
              </w:rPr>
              <w:t>Overlay maps</w:t>
            </w:r>
          </w:p>
        </w:tc>
      </w:tr>
      <w:tr w:rsidR="00BE36FB" w:rsidRPr="009B7B35" w14:paraId="17B85E7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C6D97E6" w14:textId="77777777" w:rsidR="00BE36FB" w:rsidRPr="009B7B35" w:rsidRDefault="00BE36FB" w:rsidP="001A7107">
            <w:pPr>
              <w:pStyle w:val="TableText"/>
              <w:rPr>
                <w:rFonts w:cs="Arial"/>
              </w:rPr>
            </w:pPr>
          </w:p>
        </w:tc>
        <w:tc>
          <w:tcPr>
            <w:tcW w:w="4961" w:type="dxa"/>
          </w:tcPr>
          <w:p w14:paraId="7369352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Airport</w:t>
            </w:r>
          </w:p>
        </w:tc>
        <w:tc>
          <w:tcPr>
            <w:tcW w:w="2410" w:type="dxa"/>
          </w:tcPr>
          <w:p w14:paraId="2629413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38C0178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70C892C" w14:textId="77777777" w:rsidR="00BE36FB" w:rsidRPr="009B7B35" w:rsidRDefault="00BE36FB" w:rsidP="001A7107">
            <w:pPr>
              <w:pStyle w:val="TableText"/>
              <w:rPr>
                <w:rFonts w:cs="Arial"/>
              </w:rPr>
            </w:pPr>
          </w:p>
        </w:tc>
        <w:tc>
          <w:tcPr>
            <w:tcW w:w="4961" w:type="dxa"/>
          </w:tcPr>
          <w:p w14:paraId="56F7083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Acid sulphate soils</w:t>
            </w:r>
          </w:p>
        </w:tc>
        <w:tc>
          <w:tcPr>
            <w:tcW w:w="2410" w:type="dxa"/>
          </w:tcPr>
          <w:p w14:paraId="5E031EC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19B6F2C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C54479A" w14:textId="77777777" w:rsidR="00BE36FB" w:rsidRPr="009B7B35" w:rsidRDefault="00BE36FB" w:rsidP="001A7107">
            <w:pPr>
              <w:pStyle w:val="TableText"/>
              <w:rPr>
                <w:rFonts w:cs="Arial"/>
              </w:rPr>
            </w:pPr>
          </w:p>
        </w:tc>
        <w:tc>
          <w:tcPr>
            <w:tcW w:w="4961" w:type="dxa"/>
          </w:tcPr>
          <w:p w14:paraId="084BAE7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Agricultural land classification</w:t>
            </w:r>
          </w:p>
        </w:tc>
        <w:tc>
          <w:tcPr>
            <w:tcW w:w="2410" w:type="dxa"/>
          </w:tcPr>
          <w:p w14:paraId="5A701A8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5498CE8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A8CA38C" w14:textId="77777777" w:rsidR="00BE36FB" w:rsidRPr="009B7B35" w:rsidRDefault="00BE36FB" w:rsidP="001A7107">
            <w:pPr>
              <w:pStyle w:val="TableText"/>
              <w:rPr>
                <w:rFonts w:cs="Arial"/>
              </w:rPr>
            </w:pPr>
          </w:p>
        </w:tc>
        <w:tc>
          <w:tcPr>
            <w:tcW w:w="4961" w:type="dxa"/>
          </w:tcPr>
          <w:p w14:paraId="206AF0E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Biodiversity</w:t>
            </w:r>
          </w:p>
        </w:tc>
        <w:tc>
          <w:tcPr>
            <w:tcW w:w="2410" w:type="dxa"/>
          </w:tcPr>
          <w:p w14:paraId="41A7920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68C2E56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5392583" w14:textId="77777777" w:rsidR="00BE36FB" w:rsidRPr="009B7B35" w:rsidRDefault="00BE36FB" w:rsidP="001A7107">
            <w:pPr>
              <w:pStyle w:val="TableText"/>
              <w:rPr>
                <w:rFonts w:cs="Arial"/>
              </w:rPr>
            </w:pPr>
          </w:p>
        </w:tc>
        <w:tc>
          <w:tcPr>
            <w:tcW w:w="4961" w:type="dxa"/>
          </w:tcPr>
          <w:p w14:paraId="7C60B2B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Building height and frontages</w:t>
            </w:r>
          </w:p>
        </w:tc>
        <w:tc>
          <w:tcPr>
            <w:tcW w:w="2410" w:type="dxa"/>
          </w:tcPr>
          <w:p w14:paraId="24B5AD3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5A1F880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7E88D9F" w14:textId="77777777" w:rsidR="00BE36FB" w:rsidRPr="009B7B35" w:rsidRDefault="00BE36FB" w:rsidP="001A7107">
            <w:pPr>
              <w:pStyle w:val="TableText"/>
              <w:rPr>
                <w:rFonts w:cs="Arial"/>
              </w:rPr>
            </w:pPr>
          </w:p>
        </w:tc>
        <w:tc>
          <w:tcPr>
            <w:tcW w:w="4961" w:type="dxa"/>
          </w:tcPr>
          <w:p w14:paraId="4F8DCC6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Bush fire hazard</w:t>
            </w:r>
          </w:p>
        </w:tc>
        <w:tc>
          <w:tcPr>
            <w:tcW w:w="2410" w:type="dxa"/>
          </w:tcPr>
          <w:p w14:paraId="0DE660E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7BAEF73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6B365A5" w14:textId="77777777" w:rsidR="00BE36FB" w:rsidRPr="009B7B35" w:rsidRDefault="00BE36FB" w:rsidP="001A7107">
            <w:pPr>
              <w:pStyle w:val="TableText"/>
              <w:rPr>
                <w:rFonts w:cs="Arial"/>
              </w:rPr>
            </w:pPr>
          </w:p>
        </w:tc>
        <w:tc>
          <w:tcPr>
            <w:tcW w:w="4961" w:type="dxa"/>
          </w:tcPr>
          <w:p w14:paraId="2B4F154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Coastal hazard</w:t>
            </w:r>
          </w:p>
        </w:tc>
        <w:tc>
          <w:tcPr>
            <w:tcW w:w="2410" w:type="dxa"/>
          </w:tcPr>
          <w:p w14:paraId="13F0105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758448A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24F32F5" w14:textId="77777777" w:rsidR="00BE36FB" w:rsidRPr="009B7B35" w:rsidRDefault="00BE36FB" w:rsidP="001A7107">
            <w:pPr>
              <w:pStyle w:val="TableText"/>
              <w:rPr>
                <w:rFonts w:cs="Arial"/>
              </w:rPr>
            </w:pPr>
          </w:p>
        </w:tc>
        <w:tc>
          <w:tcPr>
            <w:tcW w:w="4961" w:type="dxa"/>
          </w:tcPr>
          <w:p w14:paraId="33628E3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Extractive resources and minerals</w:t>
            </w:r>
          </w:p>
        </w:tc>
        <w:tc>
          <w:tcPr>
            <w:tcW w:w="2410" w:type="dxa"/>
          </w:tcPr>
          <w:p w14:paraId="66F58F3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6F5AFB5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EE36144" w14:textId="77777777" w:rsidR="00BE36FB" w:rsidRPr="009B7B35" w:rsidRDefault="00BE36FB" w:rsidP="001A7107">
            <w:pPr>
              <w:pStyle w:val="TableText"/>
              <w:rPr>
                <w:rFonts w:cs="Arial"/>
              </w:rPr>
            </w:pPr>
          </w:p>
        </w:tc>
        <w:tc>
          <w:tcPr>
            <w:tcW w:w="4961" w:type="dxa"/>
          </w:tcPr>
          <w:p w14:paraId="241755A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Flood hazard</w:t>
            </w:r>
          </w:p>
        </w:tc>
        <w:tc>
          <w:tcPr>
            <w:tcW w:w="2410" w:type="dxa"/>
          </w:tcPr>
          <w:p w14:paraId="2E3CD8E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255ABEA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0688954" w14:textId="77777777" w:rsidR="00BE36FB" w:rsidRPr="009B7B35" w:rsidRDefault="00BE36FB" w:rsidP="001A7107">
            <w:pPr>
              <w:pStyle w:val="TableText"/>
              <w:rPr>
                <w:rFonts w:cs="Arial"/>
              </w:rPr>
            </w:pPr>
          </w:p>
        </w:tc>
        <w:tc>
          <w:tcPr>
            <w:tcW w:w="4961" w:type="dxa"/>
          </w:tcPr>
          <w:p w14:paraId="15691DD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Heritage</w:t>
            </w:r>
          </w:p>
        </w:tc>
        <w:tc>
          <w:tcPr>
            <w:tcW w:w="2410" w:type="dxa"/>
          </w:tcPr>
          <w:p w14:paraId="7CAA1E5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0692CDD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550FEC9" w14:textId="77777777" w:rsidR="00BE36FB" w:rsidRPr="009B7B35" w:rsidRDefault="00BE36FB" w:rsidP="001A7107">
            <w:pPr>
              <w:pStyle w:val="TableText"/>
              <w:rPr>
                <w:rFonts w:cs="Arial"/>
              </w:rPr>
            </w:pPr>
          </w:p>
        </w:tc>
        <w:tc>
          <w:tcPr>
            <w:tcW w:w="4961" w:type="dxa"/>
          </w:tcPr>
          <w:p w14:paraId="2F4B310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Historic mine sites</w:t>
            </w:r>
          </w:p>
        </w:tc>
        <w:tc>
          <w:tcPr>
            <w:tcW w:w="2410" w:type="dxa"/>
          </w:tcPr>
          <w:p w14:paraId="72A3878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738C0F2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8EF6063" w14:textId="77777777" w:rsidR="00BE36FB" w:rsidRPr="009B7B35" w:rsidRDefault="00BE36FB" w:rsidP="001A7107">
            <w:pPr>
              <w:pStyle w:val="TableText"/>
              <w:rPr>
                <w:rFonts w:cs="Arial"/>
              </w:rPr>
            </w:pPr>
          </w:p>
        </w:tc>
        <w:tc>
          <w:tcPr>
            <w:tcW w:w="4961" w:type="dxa"/>
          </w:tcPr>
          <w:p w14:paraId="2251810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Regional infrastructure</w:t>
            </w:r>
          </w:p>
        </w:tc>
        <w:tc>
          <w:tcPr>
            <w:tcW w:w="2410" w:type="dxa"/>
          </w:tcPr>
          <w:p w14:paraId="2BD05CF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5FF5FED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F2E42AD" w14:textId="77777777" w:rsidR="00BE36FB" w:rsidRPr="009B7B35" w:rsidRDefault="00BE36FB" w:rsidP="001A7107">
            <w:pPr>
              <w:pStyle w:val="TableText"/>
              <w:rPr>
                <w:rFonts w:cs="Arial"/>
              </w:rPr>
            </w:pPr>
          </w:p>
        </w:tc>
        <w:tc>
          <w:tcPr>
            <w:tcW w:w="4961" w:type="dxa"/>
          </w:tcPr>
          <w:p w14:paraId="0CC0DC4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Scenic amenities</w:t>
            </w:r>
          </w:p>
        </w:tc>
        <w:tc>
          <w:tcPr>
            <w:tcW w:w="2410" w:type="dxa"/>
          </w:tcPr>
          <w:p w14:paraId="5DCEC20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507BF22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B3DC9A7" w14:textId="77777777" w:rsidR="00BE36FB" w:rsidRPr="009B7B35" w:rsidRDefault="00BE36FB" w:rsidP="001A7107">
            <w:pPr>
              <w:pStyle w:val="TableText"/>
              <w:rPr>
                <w:rFonts w:cs="Arial"/>
              </w:rPr>
            </w:pPr>
          </w:p>
        </w:tc>
        <w:tc>
          <w:tcPr>
            <w:tcW w:w="4961" w:type="dxa"/>
          </w:tcPr>
          <w:p w14:paraId="0C6E062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Steep land</w:t>
            </w:r>
          </w:p>
        </w:tc>
        <w:tc>
          <w:tcPr>
            <w:tcW w:w="2410" w:type="dxa"/>
          </w:tcPr>
          <w:p w14:paraId="73EFC59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6FE838A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E054996" w14:textId="77777777" w:rsidR="00BE36FB" w:rsidRPr="009B7B35" w:rsidRDefault="00BE36FB" w:rsidP="001A7107">
            <w:pPr>
              <w:pStyle w:val="TableText"/>
              <w:rPr>
                <w:rFonts w:cs="Arial"/>
              </w:rPr>
            </w:pPr>
          </w:p>
        </w:tc>
        <w:tc>
          <w:tcPr>
            <w:tcW w:w="4961" w:type="dxa"/>
          </w:tcPr>
          <w:p w14:paraId="6BE4D8A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Stock routes</w:t>
            </w:r>
          </w:p>
        </w:tc>
        <w:tc>
          <w:tcPr>
            <w:tcW w:w="2410" w:type="dxa"/>
          </w:tcPr>
          <w:p w14:paraId="455884B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7DD0678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AD2F04F" w14:textId="77777777" w:rsidR="00BE36FB" w:rsidRPr="009B7B35" w:rsidRDefault="00BE36FB" w:rsidP="001A7107">
            <w:pPr>
              <w:pStyle w:val="TableText"/>
              <w:rPr>
                <w:rFonts w:cs="Arial"/>
              </w:rPr>
            </w:pPr>
          </w:p>
        </w:tc>
        <w:tc>
          <w:tcPr>
            <w:tcW w:w="4961" w:type="dxa"/>
          </w:tcPr>
          <w:p w14:paraId="4959C7A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Water resource catchment</w:t>
            </w:r>
          </w:p>
        </w:tc>
        <w:tc>
          <w:tcPr>
            <w:tcW w:w="2410" w:type="dxa"/>
          </w:tcPr>
          <w:p w14:paraId="144D8AB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59B4D6D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3"/>
            <w:shd w:val="clear" w:color="auto" w:fill="BFBFBF" w:themeFill="background1" w:themeFillShade="BF"/>
          </w:tcPr>
          <w:p w14:paraId="3F206AFA" w14:textId="77777777" w:rsidR="00BE36FB" w:rsidRPr="009B7B35" w:rsidRDefault="00BE36FB" w:rsidP="001A7107">
            <w:pPr>
              <w:pStyle w:val="Tableheading"/>
              <w:rPr>
                <w:rFonts w:ascii="Arial" w:hAnsi="Arial" w:cs="Arial"/>
                <w:szCs w:val="20"/>
              </w:rPr>
            </w:pPr>
            <w:r w:rsidRPr="009B7B35">
              <w:rPr>
                <w:rFonts w:ascii="Arial" w:hAnsi="Arial" w:cs="Arial"/>
                <w:szCs w:val="20"/>
              </w:rPr>
              <w:t>Other plans maps</w:t>
            </w:r>
          </w:p>
        </w:tc>
      </w:tr>
      <w:tr w:rsidR="00BE36FB" w:rsidRPr="009B7B35" w14:paraId="1285665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9A367D4" w14:textId="77777777" w:rsidR="00BE36FB" w:rsidRPr="009B7B35" w:rsidRDefault="00BE36FB" w:rsidP="001A7107">
            <w:pPr>
              <w:pStyle w:val="TableText"/>
              <w:rPr>
                <w:rFonts w:cs="Arial"/>
              </w:rPr>
            </w:pPr>
          </w:p>
        </w:tc>
        <w:tc>
          <w:tcPr>
            <w:tcW w:w="4961" w:type="dxa"/>
          </w:tcPr>
          <w:p w14:paraId="5CD2E27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Agnes Water &amp; Seventeen Seventy Structure Plan</w:t>
            </w:r>
          </w:p>
        </w:tc>
        <w:tc>
          <w:tcPr>
            <w:tcW w:w="2410" w:type="dxa"/>
          </w:tcPr>
          <w:p w14:paraId="2145EC4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72951D6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2B3BA39" w14:textId="77777777" w:rsidR="00BE36FB" w:rsidRPr="009B7B35" w:rsidRDefault="00BE36FB" w:rsidP="001A7107">
            <w:pPr>
              <w:pStyle w:val="TableText"/>
              <w:rPr>
                <w:rFonts w:cs="Arial"/>
              </w:rPr>
            </w:pPr>
          </w:p>
        </w:tc>
        <w:tc>
          <w:tcPr>
            <w:tcW w:w="4961" w:type="dxa"/>
          </w:tcPr>
          <w:p w14:paraId="63FBF36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Boyne Island &amp; Tannum Sands Structure Plan</w:t>
            </w:r>
          </w:p>
        </w:tc>
        <w:tc>
          <w:tcPr>
            <w:tcW w:w="2410" w:type="dxa"/>
          </w:tcPr>
          <w:p w14:paraId="53B56FF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79A1293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D9543D1" w14:textId="77777777" w:rsidR="00BE36FB" w:rsidRPr="009B7B35" w:rsidRDefault="00BE36FB" w:rsidP="001A7107">
            <w:pPr>
              <w:pStyle w:val="TableText"/>
              <w:rPr>
                <w:rFonts w:cs="Arial"/>
              </w:rPr>
            </w:pPr>
          </w:p>
        </w:tc>
        <w:tc>
          <w:tcPr>
            <w:tcW w:w="4961" w:type="dxa"/>
          </w:tcPr>
          <w:p w14:paraId="425795A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Calliope Structure Plan</w:t>
            </w:r>
          </w:p>
        </w:tc>
        <w:tc>
          <w:tcPr>
            <w:tcW w:w="2410" w:type="dxa"/>
          </w:tcPr>
          <w:p w14:paraId="3514CA4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bl>
    <w:p w14:paraId="36B6DC87"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2036EDB4" w14:textId="29943E17" w:rsidR="00BE36FB" w:rsidRPr="009B7B35" w:rsidRDefault="007A46D8" w:rsidP="007A46D8">
      <w:pPr>
        <w:pStyle w:val="Heading7"/>
        <w:numPr>
          <w:ilvl w:val="0"/>
          <w:numId w:val="0"/>
        </w:numPr>
        <w:spacing w:before="0"/>
        <w:rPr>
          <w:rFonts w:cs="Arial"/>
          <w:sz w:val="20"/>
          <w:szCs w:val="20"/>
        </w:rPr>
      </w:pPr>
      <w:bookmarkStart w:id="302" w:name="_Toc205367418"/>
      <w:r>
        <w:rPr>
          <w:rFonts w:cs="Arial"/>
          <w:sz w:val="20"/>
          <w:szCs w:val="20"/>
        </w:rPr>
        <w:t>SC2.2</w:t>
      </w:r>
      <w:r>
        <w:rPr>
          <w:rFonts w:cs="Arial"/>
          <w:sz w:val="20"/>
          <w:szCs w:val="20"/>
        </w:rPr>
        <w:tab/>
      </w:r>
      <w:r w:rsidR="00BE36FB" w:rsidRPr="009B7B35">
        <w:rPr>
          <w:rFonts w:cs="Arial"/>
          <w:sz w:val="20"/>
          <w:szCs w:val="20"/>
        </w:rPr>
        <w:t>Strategic framework maps</w:t>
      </w:r>
      <w:bookmarkEnd w:id="302"/>
    </w:p>
    <w:p w14:paraId="7649D0E1" w14:textId="77777777" w:rsidR="00BE36FB" w:rsidRPr="009B7B35" w:rsidRDefault="00BE36FB" w:rsidP="001A7107">
      <w:pPr>
        <w:rPr>
          <w:rFonts w:ascii="Arial" w:hAnsi="Arial" w:cs="Arial"/>
          <w:noProof/>
          <w:sz w:val="20"/>
          <w:szCs w:val="20"/>
        </w:rPr>
      </w:pPr>
      <w:r w:rsidRPr="009B7B35">
        <w:rPr>
          <w:rFonts w:ascii="Arial" w:hAnsi="Arial" w:cs="Arial"/>
          <w:b/>
          <w:bCs/>
          <w:sz w:val="20"/>
          <w:szCs w:val="20"/>
        </w:rPr>
        <w:t>Strategic Framework Theme: Building it Better – Our Urban Places. Built Form Transect</w:t>
      </w:r>
      <w:r w:rsidRPr="009B7B35">
        <w:rPr>
          <w:rFonts w:ascii="Arial" w:hAnsi="Arial" w:cs="Arial"/>
          <w:noProof/>
          <w:sz w:val="20"/>
          <w:szCs w:val="20"/>
        </w:rPr>
        <w:drawing>
          <wp:inline distT="0" distB="0" distL="0" distR="0" wp14:anchorId="541E0823" wp14:editId="1F2AF77D">
            <wp:extent cx="8313929" cy="5804988"/>
            <wp:effectExtent l="0" t="2858" r="8573" b="8572"/>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ilding it Better - Built form transect.png"/>
                    <pic:cNvPicPr/>
                  </pic:nvPicPr>
                  <pic:blipFill rotWithShape="1">
                    <a:blip r:embed="rId117" cstate="print">
                      <a:extLst>
                        <a:ext uri="{28A0092B-C50C-407E-A947-70E740481C1C}">
                          <a14:useLocalDpi xmlns:a14="http://schemas.microsoft.com/office/drawing/2010/main" val="0"/>
                        </a:ext>
                      </a:extLst>
                    </a:blip>
                    <a:srcRect l="2918" t="2329" b="1877"/>
                    <a:stretch/>
                  </pic:blipFill>
                  <pic:spPr bwMode="auto">
                    <a:xfrm rot="16200000">
                      <a:off x="0" y="0"/>
                      <a:ext cx="8319887" cy="5809148"/>
                    </a:xfrm>
                    <a:prstGeom prst="rect">
                      <a:avLst/>
                    </a:prstGeom>
                    <a:ln>
                      <a:noFill/>
                    </a:ln>
                    <a:extLst>
                      <a:ext uri="{53640926-AAD7-44D8-BBD7-CCE9431645EC}">
                        <a14:shadowObscured xmlns:a14="http://schemas.microsoft.com/office/drawing/2010/main"/>
                      </a:ext>
                    </a:extLst>
                  </pic:spPr>
                </pic:pic>
              </a:graphicData>
            </a:graphic>
          </wp:inline>
        </w:drawing>
      </w:r>
      <w:r w:rsidRPr="009B7B35">
        <w:rPr>
          <w:rFonts w:ascii="Arial" w:hAnsi="Arial" w:cs="Arial"/>
          <w:noProof/>
          <w:sz w:val="20"/>
          <w:szCs w:val="20"/>
        </w:rPr>
        <w:br w:type="page"/>
      </w:r>
    </w:p>
    <w:p w14:paraId="08DF3450" w14:textId="77777777" w:rsidR="00BE36FB" w:rsidRPr="009B7B35" w:rsidRDefault="00BE36FB" w:rsidP="001A7107">
      <w:pPr>
        <w:rPr>
          <w:rFonts w:ascii="Arial" w:hAnsi="Arial" w:cs="Arial"/>
          <w:b/>
          <w:sz w:val="20"/>
          <w:szCs w:val="20"/>
        </w:rPr>
      </w:pPr>
      <w:r w:rsidRPr="009B7B35">
        <w:rPr>
          <w:rFonts w:ascii="Arial" w:hAnsi="Arial" w:cs="Arial"/>
          <w:b/>
          <w:sz w:val="20"/>
          <w:szCs w:val="20"/>
        </w:rPr>
        <w:t>Strategic Framework Theme: Community Living and Building it Better – Our Urban Places</w:t>
      </w:r>
    </w:p>
    <w:p w14:paraId="75E69C2E" w14:textId="77777777"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4E6548E8" wp14:editId="1EAAC599">
            <wp:extent cx="8447411" cy="5908253"/>
            <wp:effectExtent l="0" t="6667" r="4127" b="4128"/>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2.3_MAP_CommunityLiving.jpg"/>
                    <pic:cNvPicPr/>
                  </pic:nvPicPr>
                  <pic:blipFill rotWithShape="1">
                    <a:blip r:embed="rId118" cstate="print">
                      <a:extLst>
                        <a:ext uri="{28A0092B-C50C-407E-A947-70E740481C1C}">
                          <a14:useLocalDpi xmlns:a14="http://schemas.microsoft.com/office/drawing/2010/main" val="0"/>
                        </a:ext>
                      </a:extLst>
                    </a:blip>
                    <a:srcRect l="3051" t="1927" b="2247"/>
                    <a:stretch/>
                  </pic:blipFill>
                  <pic:spPr bwMode="auto">
                    <a:xfrm rot="16200000">
                      <a:off x="0" y="0"/>
                      <a:ext cx="8439683" cy="5902848"/>
                    </a:xfrm>
                    <a:prstGeom prst="rect">
                      <a:avLst/>
                    </a:prstGeom>
                    <a:ln>
                      <a:noFill/>
                    </a:ln>
                    <a:extLst>
                      <a:ext uri="{53640926-AAD7-44D8-BBD7-CCE9431645EC}">
                        <a14:shadowObscured xmlns:a14="http://schemas.microsoft.com/office/drawing/2010/main"/>
                      </a:ext>
                    </a:extLst>
                  </pic:spPr>
                </pic:pic>
              </a:graphicData>
            </a:graphic>
          </wp:inline>
        </w:drawing>
      </w:r>
    </w:p>
    <w:p w14:paraId="2B02769D" w14:textId="77777777" w:rsidR="00BE36FB" w:rsidRPr="009B7B35" w:rsidRDefault="00BE36FB" w:rsidP="001A7107">
      <w:pPr>
        <w:rPr>
          <w:rFonts w:ascii="Arial" w:hAnsi="Arial" w:cs="Arial"/>
          <w:b/>
          <w:sz w:val="20"/>
          <w:szCs w:val="20"/>
        </w:rPr>
      </w:pPr>
      <w:r w:rsidRPr="009B7B35">
        <w:rPr>
          <w:rFonts w:ascii="Arial" w:hAnsi="Arial" w:cs="Arial"/>
          <w:b/>
          <w:sz w:val="20"/>
          <w:szCs w:val="20"/>
        </w:rPr>
        <w:br w:type="page"/>
      </w:r>
    </w:p>
    <w:p w14:paraId="188D4013" w14:textId="77777777" w:rsidR="00BE36FB" w:rsidRPr="009B7B35" w:rsidRDefault="00BE36FB" w:rsidP="001A7107">
      <w:pPr>
        <w:rPr>
          <w:rFonts w:ascii="Arial" w:hAnsi="Arial" w:cs="Arial"/>
          <w:b/>
          <w:sz w:val="20"/>
          <w:szCs w:val="20"/>
        </w:rPr>
      </w:pPr>
      <w:r w:rsidRPr="009B7B35">
        <w:rPr>
          <w:rFonts w:ascii="Arial" w:hAnsi="Arial" w:cs="Arial"/>
          <w:b/>
          <w:sz w:val="20"/>
          <w:szCs w:val="20"/>
        </w:rPr>
        <w:t>Strategic Framework Theme: Connecting our Places</w:t>
      </w:r>
    </w:p>
    <w:p w14:paraId="7DDFE6F9" w14:textId="77777777" w:rsidR="00BE36FB" w:rsidRPr="009B7B35" w:rsidRDefault="00BE36FB" w:rsidP="001A7107">
      <w:pPr>
        <w:rPr>
          <w:rFonts w:ascii="Arial" w:hAnsi="Arial" w:cs="Arial"/>
          <w:b/>
          <w:sz w:val="20"/>
          <w:szCs w:val="20"/>
        </w:rPr>
      </w:pPr>
      <w:r w:rsidRPr="009B7B35">
        <w:rPr>
          <w:rFonts w:ascii="Arial" w:hAnsi="Arial" w:cs="Arial"/>
          <w:b/>
          <w:noProof/>
          <w:sz w:val="20"/>
          <w:szCs w:val="20"/>
        </w:rPr>
        <w:drawing>
          <wp:inline distT="0" distB="0" distL="0" distR="0" wp14:anchorId="186B45D7" wp14:editId="666318FA">
            <wp:extent cx="8431622" cy="5902145"/>
            <wp:effectExtent l="762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2.3_MAP_Connecting.jpg"/>
                    <pic:cNvPicPr/>
                  </pic:nvPicPr>
                  <pic:blipFill rotWithShape="1">
                    <a:blip r:embed="rId119" cstate="print">
                      <a:extLst>
                        <a:ext uri="{28A0092B-C50C-407E-A947-70E740481C1C}">
                          <a14:useLocalDpi xmlns:a14="http://schemas.microsoft.com/office/drawing/2010/main" val="0"/>
                        </a:ext>
                      </a:extLst>
                    </a:blip>
                    <a:srcRect l="3319" t="2128" b="2231"/>
                    <a:stretch/>
                  </pic:blipFill>
                  <pic:spPr bwMode="auto">
                    <a:xfrm rot="16200000">
                      <a:off x="0" y="0"/>
                      <a:ext cx="8440970" cy="5908689"/>
                    </a:xfrm>
                    <a:prstGeom prst="rect">
                      <a:avLst/>
                    </a:prstGeom>
                    <a:ln>
                      <a:noFill/>
                    </a:ln>
                    <a:extLst>
                      <a:ext uri="{53640926-AAD7-44D8-BBD7-CCE9431645EC}">
                        <a14:shadowObscured xmlns:a14="http://schemas.microsoft.com/office/drawing/2010/main"/>
                      </a:ext>
                    </a:extLst>
                  </pic:spPr>
                </pic:pic>
              </a:graphicData>
            </a:graphic>
          </wp:inline>
        </w:drawing>
      </w:r>
    </w:p>
    <w:p w14:paraId="11ACE901" w14:textId="77777777" w:rsidR="00BE36FB" w:rsidRPr="009B7B35" w:rsidRDefault="00BE36FB" w:rsidP="001A7107">
      <w:pPr>
        <w:rPr>
          <w:rFonts w:ascii="Arial" w:hAnsi="Arial" w:cs="Arial"/>
          <w:b/>
          <w:sz w:val="20"/>
          <w:szCs w:val="20"/>
        </w:rPr>
      </w:pPr>
      <w:r w:rsidRPr="009B7B35">
        <w:rPr>
          <w:rFonts w:ascii="Arial" w:hAnsi="Arial" w:cs="Arial"/>
          <w:b/>
          <w:sz w:val="20"/>
          <w:szCs w:val="20"/>
        </w:rPr>
        <w:br w:type="page"/>
      </w:r>
    </w:p>
    <w:p w14:paraId="3173794C" w14:textId="77777777" w:rsidR="00BE36FB" w:rsidRPr="009B7B35" w:rsidRDefault="00BE36FB" w:rsidP="001A7107">
      <w:pPr>
        <w:rPr>
          <w:rFonts w:ascii="Arial" w:hAnsi="Arial" w:cs="Arial"/>
          <w:b/>
          <w:sz w:val="20"/>
          <w:szCs w:val="20"/>
        </w:rPr>
      </w:pPr>
      <w:r w:rsidRPr="009B7B35">
        <w:rPr>
          <w:rFonts w:ascii="Arial" w:hAnsi="Arial" w:cs="Arial"/>
          <w:b/>
          <w:sz w:val="20"/>
          <w:szCs w:val="20"/>
        </w:rPr>
        <w:t>Strategic Framework Theme: Our Environment and Heritage</w:t>
      </w:r>
    </w:p>
    <w:p w14:paraId="36011959" w14:textId="77777777" w:rsidR="00BE36FB" w:rsidRPr="009B7B35" w:rsidRDefault="00BE36FB" w:rsidP="001A7107">
      <w:pPr>
        <w:rPr>
          <w:rFonts w:ascii="Arial" w:hAnsi="Arial" w:cs="Arial"/>
          <w:b/>
          <w:sz w:val="20"/>
          <w:szCs w:val="20"/>
        </w:rPr>
      </w:pPr>
      <w:r w:rsidRPr="009B7B35">
        <w:rPr>
          <w:rFonts w:ascii="Arial" w:hAnsi="Arial" w:cs="Arial"/>
          <w:b/>
          <w:noProof/>
          <w:sz w:val="20"/>
          <w:szCs w:val="20"/>
        </w:rPr>
        <w:drawing>
          <wp:inline distT="0" distB="0" distL="0" distR="0" wp14:anchorId="02C220CA" wp14:editId="6C70A36C">
            <wp:extent cx="8503358" cy="5939624"/>
            <wp:effectExtent l="5715"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 Env &amp; Heritage.PNG"/>
                    <pic:cNvPicPr/>
                  </pic:nvPicPr>
                  <pic:blipFill>
                    <a:blip r:embed="rId120">
                      <a:extLst>
                        <a:ext uri="{28A0092B-C50C-407E-A947-70E740481C1C}">
                          <a14:useLocalDpi xmlns:a14="http://schemas.microsoft.com/office/drawing/2010/main" val="0"/>
                        </a:ext>
                      </a:extLst>
                    </a:blip>
                    <a:stretch>
                      <a:fillRect/>
                    </a:stretch>
                  </pic:blipFill>
                  <pic:spPr>
                    <a:xfrm rot="16200000">
                      <a:off x="0" y="0"/>
                      <a:ext cx="8499670" cy="5937048"/>
                    </a:xfrm>
                    <a:prstGeom prst="rect">
                      <a:avLst/>
                    </a:prstGeom>
                  </pic:spPr>
                </pic:pic>
              </a:graphicData>
            </a:graphic>
          </wp:inline>
        </w:drawing>
      </w:r>
    </w:p>
    <w:p w14:paraId="633642C6" w14:textId="77777777" w:rsidR="00BE36FB" w:rsidRPr="009B7B35" w:rsidRDefault="00BE36FB" w:rsidP="001A7107">
      <w:pPr>
        <w:rPr>
          <w:rFonts w:ascii="Arial" w:hAnsi="Arial" w:cs="Arial"/>
          <w:b/>
          <w:sz w:val="20"/>
          <w:szCs w:val="20"/>
        </w:rPr>
      </w:pPr>
      <w:r w:rsidRPr="009B7B35">
        <w:rPr>
          <w:rFonts w:ascii="Arial" w:hAnsi="Arial" w:cs="Arial"/>
          <w:b/>
          <w:sz w:val="20"/>
          <w:szCs w:val="20"/>
        </w:rPr>
        <w:br w:type="page"/>
      </w:r>
    </w:p>
    <w:p w14:paraId="33AC7ECC" w14:textId="77777777" w:rsidR="00BE36FB" w:rsidRPr="009B7B35" w:rsidRDefault="00BE36FB" w:rsidP="001A7107">
      <w:pPr>
        <w:rPr>
          <w:rFonts w:ascii="Arial" w:hAnsi="Arial" w:cs="Arial"/>
          <w:b/>
          <w:sz w:val="20"/>
          <w:szCs w:val="20"/>
        </w:rPr>
      </w:pPr>
      <w:r w:rsidRPr="009B7B35">
        <w:rPr>
          <w:rFonts w:ascii="Arial" w:hAnsi="Arial" w:cs="Arial"/>
          <w:b/>
          <w:sz w:val="20"/>
          <w:szCs w:val="20"/>
        </w:rPr>
        <w:t>Strategic Framework Theme: Our Rural and Coastal Townships and Places</w:t>
      </w:r>
    </w:p>
    <w:p w14:paraId="7B891BEB" w14:textId="77777777"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383A4F5D" wp14:editId="30036732">
            <wp:extent cx="8477804" cy="5947575"/>
            <wp:effectExtent l="7620" t="0" r="7620" b="762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 Rural and Coastal Townships and Place.PNG"/>
                    <pic:cNvPicPr/>
                  </pic:nvPicPr>
                  <pic:blipFill>
                    <a:blip r:embed="rId121">
                      <a:extLst>
                        <a:ext uri="{28A0092B-C50C-407E-A947-70E740481C1C}">
                          <a14:useLocalDpi xmlns:a14="http://schemas.microsoft.com/office/drawing/2010/main" val="0"/>
                        </a:ext>
                      </a:extLst>
                    </a:blip>
                    <a:stretch>
                      <a:fillRect/>
                    </a:stretch>
                  </pic:blipFill>
                  <pic:spPr>
                    <a:xfrm rot="16200000">
                      <a:off x="0" y="0"/>
                      <a:ext cx="8471291" cy="5943006"/>
                    </a:xfrm>
                    <a:prstGeom prst="rect">
                      <a:avLst/>
                    </a:prstGeom>
                  </pic:spPr>
                </pic:pic>
              </a:graphicData>
            </a:graphic>
          </wp:inline>
        </w:drawing>
      </w:r>
      <w:r w:rsidRPr="009B7B35">
        <w:rPr>
          <w:rFonts w:ascii="Arial" w:hAnsi="Arial" w:cs="Arial"/>
          <w:sz w:val="20"/>
          <w:szCs w:val="20"/>
        </w:rPr>
        <w:br w:type="page"/>
      </w:r>
    </w:p>
    <w:p w14:paraId="5600EEF8" w14:textId="2F563A23" w:rsidR="00BE36FB" w:rsidRPr="009B7B35" w:rsidRDefault="007A46D8" w:rsidP="007A46D8">
      <w:pPr>
        <w:pStyle w:val="Heading7"/>
        <w:numPr>
          <w:ilvl w:val="0"/>
          <w:numId w:val="0"/>
        </w:numPr>
        <w:spacing w:before="0"/>
        <w:rPr>
          <w:rFonts w:cs="Arial"/>
          <w:bCs/>
          <w:iCs w:val="0"/>
          <w:sz w:val="20"/>
          <w:szCs w:val="20"/>
        </w:rPr>
      </w:pPr>
      <w:bookmarkStart w:id="303" w:name="_Toc205367419"/>
      <w:r>
        <w:rPr>
          <w:rFonts w:cs="Arial"/>
          <w:bCs/>
          <w:iCs w:val="0"/>
          <w:sz w:val="20"/>
          <w:szCs w:val="20"/>
        </w:rPr>
        <w:t>SC2.3</w:t>
      </w:r>
      <w:r>
        <w:rPr>
          <w:rFonts w:cs="Arial"/>
          <w:bCs/>
          <w:iCs w:val="0"/>
          <w:sz w:val="20"/>
          <w:szCs w:val="20"/>
        </w:rPr>
        <w:tab/>
      </w:r>
      <w:r w:rsidR="00BE36FB" w:rsidRPr="009B7B35">
        <w:rPr>
          <w:rFonts w:cs="Arial"/>
          <w:bCs/>
          <w:iCs w:val="0"/>
          <w:sz w:val="20"/>
          <w:szCs w:val="20"/>
        </w:rPr>
        <w:t>Other plans maps</w:t>
      </w:r>
      <w:bookmarkEnd w:id="303"/>
    </w:p>
    <w:p w14:paraId="7CDC8FCF" w14:textId="77777777" w:rsidR="00BE36FB" w:rsidRPr="009B7B35" w:rsidRDefault="00BE36FB" w:rsidP="001A7107">
      <w:pPr>
        <w:spacing w:after="120"/>
        <w:rPr>
          <w:rFonts w:ascii="Arial" w:hAnsi="Arial" w:cs="Arial"/>
          <w:sz w:val="20"/>
          <w:szCs w:val="20"/>
        </w:rPr>
      </w:pPr>
      <w:r w:rsidRPr="009B7B35">
        <w:rPr>
          <w:rFonts w:ascii="Arial" w:hAnsi="Arial" w:cs="Arial"/>
          <w:b/>
          <w:bCs/>
          <w:sz w:val="20"/>
          <w:szCs w:val="20"/>
        </w:rPr>
        <w:t>Calliope Structure Plan</w:t>
      </w:r>
      <w:r w:rsidRPr="009B7B35">
        <w:rPr>
          <w:rFonts w:ascii="Arial" w:hAnsi="Arial" w:cs="Arial"/>
          <w:noProof/>
          <w:sz w:val="20"/>
          <w:szCs w:val="20"/>
        </w:rPr>
        <w:drawing>
          <wp:inline distT="0" distB="0" distL="0" distR="0" wp14:anchorId="0D9ABCCA" wp14:editId="044939C6">
            <wp:extent cx="5907820" cy="821070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liope Structure Plan.PNG"/>
                    <pic:cNvPicPr/>
                  </pic:nvPicPr>
                  <pic:blipFill>
                    <a:blip r:embed="rId122">
                      <a:extLst>
                        <a:ext uri="{28A0092B-C50C-407E-A947-70E740481C1C}">
                          <a14:useLocalDpi xmlns:a14="http://schemas.microsoft.com/office/drawing/2010/main" val="0"/>
                        </a:ext>
                      </a:extLst>
                    </a:blip>
                    <a:stretch>
                      <a:fillRect/>
                    </a:stretch>
                  </pic:blipFill>
                  <pic:spPr>
                    <a:xfrm>
                      <a:off x="0" y="0"/>
                      <a:ext cx="5917723" cy="8224469"/>
                    </a:xfrm>
                    <a:prstGeom prst="rect">
                      <a:avLst/>
                    </a:prstGeom>
                  </pic:spPr>
                </pic:pic>
              </a:graphicData>
            </a:graphic>
          </wp:inline>
        </w:drawing>
      </w:r>
    </w:p>
    <w:p w14:paraId="3485F1BC" w14:textId="77777777" w:rsidR="00BE36FB" w:rsidRPr="009B7B35" w:rsidRDefault="00BE36FB" w:rsidP="001A7107">
      <w:pPr>
        <w:rPr>
          <w:rFonts w:ascii="Arial" w:hAnsi="Arial" w:cs="Arial"/>
          <w:sz w:val="20"/>
          <w:szCs w:val="20"/>
        </w:rPr>
      </w:pPr>
    </w:p>
    <w:p w14:paraId="119784C1" w14:textId="77777777" w:rsidR="00BE36FB" w:rsidRPr="009B7B35" w:rsidRDefault="00BE36FB" w:rsidP="001A7107">
      <w:pPr>
        <w:rPr>
          <w:rFonts w:ascii="Arial" w:hAnsi="Arial" w:cs="Arial"/>
          <w:b/>
          <w:bCs/>
          <w:sz w:val="20"/>
          <w:szCs w:val="20"/>
        </w:rPr>
      </w:pPr>
      <w:r w:rsidRPr="009B7B35">
        <w:rPr>
          <w:rFonts w:ascii="Arial" w:hAnsi="Arial" w:cs="Arial"/>
          <w:b/>
          <w:bCs/>
          <w:sz w:val="20"/>
          <w:szCs w:val="20"/>
        </w:rPr>
        <w:t>Agnes Water &amp; Seventeen Seventy Structure Plan</w:t>
      </w:r>
    </w:p>
    <w:p w14:paraId="7CCC9037" w14:textId="77777777"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083A10BD" wp14:editId="5F73D314">
            <wp:extent cx="5897121" cy="8175009"/>
            <wp:effectExtent l="0" t="0" r="889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AWSS_StructurePlan.jpg"/>
                    <pic:cNvPicPr/>
                  </pic:nvPicPr>
                  <pic:blipFill rotWithShape="1">
                    <a:blip r:embed="rId123" cstate="print">
                      <a:extLst>
                        <a:ext uri="{28A0092B-C50C-407E-A947-70E740481C1C}">
                          <a14:useLocalDpi xmlns:a14="http://schemas.microsoft.com/office/drawing/2010/main" val="0"/>
                        </a:ext>
                      </a:extLst>
                    </a:blip>
                    <a:srcRect t="-1227" b="10736"/>
                    <a:stretch/>
                  </pic:blipFill>
                  <pic:spPr bwMode="auto">
                    <a:xfrm>
                      <a:off x="0" y="0"/>
                      <a:ext cx="5892435" cy="8168512"/>
                    </a:xfrm>
                    <a:prstGeom prst="rect">
                      <a:avLst/>
                    </a:prstGeom>
                    <a:ln>
                      <a:noFill/>
                    </a:ln>
                    <a:extLst>
                      <a:ext uri="{53640926-AAD7-44D8-BBD7-CCE9431645EC}">
                        <a14:shadowObscured xmlns:a14="http://schemas.microsoft.com/office/drawing/2010/main"/>
                      </a:ext>
                    </a:extLst>
                  </pic:spPr>
                </pic:pic>
              </a:graphicData>
            </a:graphic>
          </wp:inline>
        </w:drawing>
      </w:r>
    </w:p>
    <w:p w14:paraId="4EC57F59"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09B34C6E" w14:textId="77777777" w:rsidR="00BE36FB" w:rsidRPr="009B7B35" w:rsidRDefault="00BE36FB" w:rsidP="001A7107">
      <w:pPr>
        <w:rPr>
          <w:rFonts w:ascii="Arial" w:hAnsi="Arial" w:cs="Arial"/>
          <w:b/>
          <w:bCs/>
          <w:sz w:val="20"/>
          <w:szCs w:val="20"/>
        </w:rPr>
      </w:pPr>
      <w:r w:rsidRPr="009B7B35">
        <w:rPr>
          <w:rFonts w:ascii="Arial" w:hAnsi="Arial" w:cs="Arial"/>
          <w:b/>
          <w:bCs/>
          <w:sz w:val="20"/>
          <w:szCs w:val="20"/>
        </w:rPr>
        <w:t>Boyne Island &amp; Tannum Sands Structure Plan</w:t>
      </w:r>
    </w:p>
    <w:p w14:paraId="3E87DC4C" w14:textId="77777777" w:rsidR="00BE36FB" w:rsidRPr="009B7B35" w:rsidRDefault="00BE36FB" w:rsidP="001A7107">
      <w:pPr>
        <w:rPr>
          <w:rFonts w:ascii="Arial" w:hAnsi="Arial" w:cs="Arial"/>
          <w:sz w:val="20"/>
          <w:szCs w:val="20"/>
        </w:rPr>
      </w:pPr>
      <w:r w:rsidRPr="009B7B35">
        <w:rPr>
          <w:rFonts w:ascii="Arial" w:hAnsi="Arial" w:cs="Arial"/>
          <w:noProof/>
          <w:sz w:val="20"/>
          <w:szCs w:val="20"/>
        </w:rPr>
        <w:drawing>
          <wp:inline distT="0" distB="0" distL="0" distR="0" wp14:anchorId="529D15E3" wp14:editId="6F5D87B1">
            <wp:extent cx="5882185" cy="8272468"/>
            <wp:effectExtent l="0" t="0" r="444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BITS_StructurePlan.jpg"/>
                    <pic:cNvPicPr/>
                  </pic:nvPicPr>
                  <pic:blipFill rotWithShape="1">
                    <a:blip r:embed="rId124" cstate="print">
                      <a:extLst>
                        <a:ext uri="{28A0092B-C50C-407E-A947-70E740481C1C}">
                          <a14:useLocalDpi xmlns:a14="http://schemas.microsoft.com/office/drawing/2010/main" val="0"/>
                        </a:ext>
                      </a:extLst>
                    </a:blip>
                    <a:srcRect l="3907" t="1624" r="3909" b="6819"/>
                    <a:stretch/>
                  </pic:blipFill>
                  <pic:spPr bwMode="auto">
                    <a:xfrm>
                      <a:off x="0" y="0"/>
                      <a:ext cx="5885191" cy="8276696"/>
                    </a:xfrm>
                    <a:prstGeom prst="rect">
                      <a:avLst/>
                    </a:prstGeom>
                    <a:ln>
                      <a:noFill/>
                    </a:ln>
                    <a:extLst>
                      <a:ext uri="{53640926-AAD7-44D8-BBD7-CCE9431645EC}">
                        <a14:shadowObscured xmlns:a14="http://schemas.microsoft.com/office/drawing/2010/main"/>
                      </a:ext>
                    </a:extLst>
                  </pic:spPr>
                </pic:pic>
              </a:graphicData>
            </a:graphic>
          </wp:inline>
        </w:drawing>
      </w:r>
    </w:p>
    <w:p w14:paraId="7D1B1C42" w14:textId="77777777" w:rsidR="00BE36FB" w:rsidRPr="009B7B35" w:rsidRDefault="00BE36FB" w:rsidP="001A7107">
      <w:pPr>
        <w:rPr>
          <w:rFonts w:ascii="Arial" w:hAnsi="Arial" w:cs="Arial"/>
          <w:sz w:val="20"/>
          <w:szCs w:val="20"/>
        </w:rPr>
      </w:pPr>
    </w:p>
    <w:p w14:paraId="14180937" w14:textId="77777777" w:rsidR="00BE36FB" w:rsidRPr="009B7B35" w:rsidRDefault="00BE36FB" w:rsidP="001A7107">
      <w:pPr>
        <w:rPr>
          <w:rFonts w:ascii="Arial" w:hAnsi="Arial" w:cs="Arial"/>
          <w:sz w:val="20"/>
          <w:szCs w:val="20"/>
        </w:rPr>
        <w:sectPr w:rsidR="00BE36FB" w:rsidRPr="009B7B35" w:rsidSect="001A7107">
          <w:footerReference w:type="default" r:id="rId125"/>
          <w:footerReference w:type="first" r:id="rId126"/>
          <w:pgSz w:w="11906" w:h="16838" w:code="9"/>
          <w:pgMar w:top="1418" w:right="1134" w:bottom="1418" w:left="1134" w:header="567" w:footer="567" w:gutter="284"/>
          <w:cols w:space="708"/>
          <w:docGrid w:linePitch="360"/>
        </w:sectPr>
      </w:pPr>
    </w:p>
    <w:p w14:paraId="7926328F" w14:textId="35548DE6" w:rsidR="00BE36FB" w:rsidRPr="007A46D8" w:rsidRDefault="00BE36FB" w:rsidP="007A46D8">
      <w:pPr>
        <w:pStyle w:val="Heading6"/>
        <w:numPr>
          <w:ilvl w:val="5"/>
          <w:numId w:val="834"/>
        </w:numPr>
        <w:rPr>
          <w:rFonts w:cs="Arial"/>
          <w:sz w:val="20"/>
          <w:szCs w:val="20"/>
        </w:rPr>
      </w:pPr>
      <w:bookmarkStart w:id="304" w:name="_Toc205367420"/>
      <w:r w:rsidRPr="007A46D8">
        <w:rPr>
          <w:rFonts w:cs="Arial"/>
          <w:sz w:val="20"/>
          <w:szCs w:val="20"/>
        </w:rPr>
        <w:t>Local Government Infrastructure Plan (LGIP) mapping and support material</w:t>
      </w:r>
      <w:bookmarkEnd w:id="304"/>
    </w:p>
    <w:p w14:paraId="496E7EE7" w14:textId="77777777" w:rsidR="00BE36FB" w:rsidRPr="009B7B35" w:rsidRDefault="00BE36FB" w:rsidP="007A46D8">
      <w:pPr>
        <w:pStyle w:val="Heading7"/>
        <w:numPr>
          <w:ilvl w:val="6"/>
          <w:numId w:val="834"/>
        </w:numPr>
        <w:rPr>
          <w:rFonts w:cs="Arial"/>
          <w:sz w:val="20"/>
          <w:szCs w:val="20"/>
        </w:rPr>
      </w:pPr>
      <w:bookmarkStart w:id="305" w:name="_Toc402447500"/>
      <w:bookmarkStart w:id="306" w:name="_Toc205367421"/>
      <w:r w:rsidRPr="009B7B35">
        <w:rPr>
          <w:rFonts w:cs="Arial"/>
          <w:sz w:val="20"/>
          <w:szCs w:val="20"/>
        </w:rPr>
        <w:t>Planning assumptions tables</w:t>
      </w:r>
      <w:bookmarkEnd w:id="305"/>
      <w:bookmarkEnd w:id="306"/>
    </w:p>
    <w:p w14:paraId="2F072D93" w14:textId="77777777" w:rsidR="00BE36FB" w:rsidRPr="009B7B35" w:rsidRDefault="00BE36FB" w:rsidP="001A7107">
      <w:pPr>
        <w:pStyle w:val="Heading9"/>
        <w:numPr>
          <w:ilvl w:val="0"/>
          <w:numId w:val="0"/>
        </w:numPr>
        <w:rPr>
          <w:rFonts w:cs="Arial"/>
          <w:sz w:val="20"/>
        </w:rPr>
      </w:pPr>
      <w:r w:rsidRPr="009B7B35">
        <w:rPr>
          <w:rFonts w:cs="Arial"/>
          <w:sz w:val="20"/>
        </w:rPr>
        <w:t>Table SC3.1.1—Existing and projected population</w:t>
      </w:r>
    </w:p>
    <w:tbl>
      <w:tblPr>
        <w:tblStyle w:val="Tablestyle"/>
        <w:tblW w:w="9639" w:type="dxa"/>
        <w:tblLayout w:type="fixed"/>
        <w:tblLook w:val="04A0" w:firstRow="1" w:lastRow="0" w:firstColumn="1" w:lastColumn="0" w:noHBand="0" w:noVBand="1"/>
      </w:tblPr>
      <w:tblGrid>
        <w:gridCol w:w="2552"/>
        <w:gridCol w:w="2268"/>
        <w:gridCol w:w="963"/>
        <w:gridCol w:w="964"/>
        <w:gridCol w:w="964"/>
        <w:gridCol w:w="964"/>
        <w:gridCol w:w="964"/>
      </w:tblGrid>
      <w:tr w:rsidR="00BE36FB" w:rsidRPr="009B7B35" w14:paraId="0F5D34EF" w14:textId="77777777" w:rsidTr="001A7107">
        <w:trPr>
          <w:cnfStyle w:val="100000000000" w:firstRow="1" w:lastRow="0" w:firstColumn="0" w:lastColumn="0" w:oddVBand="0" w:evenVBand="0" w:oddHBand="0" w:evenHBand="0" w:firstRowFirstColumn="0" w:firstRowLastColumn="0" w:lastRowFirstColumn="0" w:lastRowLastColumn="0"/>
          <w:cantSplit/>
          <w:trHeight w:val="226"/>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416C2915" w14:textId="77777777" w:rsidR="00BE36FB" w:rsidRPr="009B7B35" w:rsidRDefault="00BE36FB" w:rsidP="001A7107">
            <w:pPr>
              <w:pStyle w:val="TableText"/>
              <w:rPr>
                <w:rFonts w:cs="Arial"/>
              </w:rPr>
            </w:pPr>
            <w:r w:rsidRPr="009B7B35">
              <w:rPr>
                <w:rFonts w:cs="Arial"/>
              </w:rPr>
              <w:t>Column 1</w:t>
            </w:r>
          </w:p>
          <w:p w14:paraId="6D70EBCF" w14:textId="77777777" w:rsidR="00BE36FB" w:rsidRPr="009B7B35" w:rsidRDefault="00BE36FB" w:rsidP="001A7107">
            <w:pPr>
              <w:pStyle w:val="TableText"/>
              <w:rPr>
                <w:rFonts w:cs="Arial"/>
              </w:rPr>
            </w:pPr>
            <w:r w:rsidRPr="009B7B35">
              <w:rPr>
                <w:rFonts w:cs="Arial"/>
              </w:rPr>
              <w:t>Projection Area</w:t>
            </w:r>
          </w:p>
        </w:tc>
        <w:tc>
          <w:tcPr>
            <w:tcW w:w="2268" w:type="dxa"/>
            <w:vMerge w:val="restart"/>
          </w:tcPr>
          <w:p w14:paraId="20135498"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14:paraId="20A11061"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LGIP Development Type</w:t>
            </w:r>
          </w:p>
        </w:tc>
        <w:tc>
          <w:tcPr>
            <w:tcW w:w="4819" w:type="dxa"/>
            <w:gridSpan w:val="5"/>
          </w:tcPr>
          <w:p w14:paraId="5DFE25D0"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3</w:t>
            </w:r>
          </w:p>
          <w:p w14:paraId="79FD8ED3"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Existing and Projected Population</w:t>
            </w:r>
          </w:p>
        </w:tc>
      </w:tr>
      <w:tr w:rsidR="00BE36FB" w:rsidRPr="009B7B35" w14:paraId="39C1AFF4" w14:textId="77777777" w:rsidTr="001A7107">
        <w:trPr>
          <w:cnfStyle w:val="000000100000" w:firstRow="0" w:lastRow="0" w:firstColumn="0" w:lastColumn="0" w:oddVBand="0" w:evenVBand="0" w:oddHBand="1" w:evenHBand="0" w:firstRowFirstColumn="0" w:firstRowLastColumn="0" w:lastRowFirstColumn="0" w:lastRowLastColumn="0"/>
          <w:cantSplit/>
          <w:trHeight w:val="32"/>
        </w:trPr>
        <w:tc>
          <w:tcPr>
            <w:cnfStyle w:val="001000000000" w:firstRow="0" w:lastRow="0" w:firstColumn="1" w:lastColumn="0" w:oddVBand="0" w:evenVBand="0" w:oddHBand="0" w:evenHBand="0" w:firstRowFirstColumn="0" w:firstRowLastColumn="0" w:lastRowFirstColumn="0" w:lastRowLastColumn="0"/>
            <w:tcW w:w="2552" w:type="dxa"/>
            <w:vMerge/>
          </w:tcPr>
          <w:p w14:paraId="05C4671B" w14:textId="77777777" w:rsidR="00BE36FB" w:rsidRPr="009B7B35" w:rsidRDefault="00BE36FB" w:rsidP="001A7107">
            <w:pPr>
              <w:pStyle w:val="TableText"/>
              <w:rPr>
                <w:rFonts w:cs="Arial"/>
              </w:rPr>
            </w:pPr>
          </w:p>
        </w:tc>
        <w:tc>
          <w:tcPr>
            <w:tcW w:w="2268" w:type="dxa"/>
            <w:vMerge/>
          </w:tcPr>
          <w:p w14:paraId="5AB425B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963" w:type="dxa"/>
            <w:shd w:val="clear" w:color="auto" w:fill="BFBFBF" w:themeFill="background1" w:themeFillShade="BF"/>
          </w:tcPr>
          <w:p w14:paraId="4C17AC1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2011</w:t>
            </w:r>
          </w:p>
        </w:tc>
        <w:tc>
          <w:tcPr>
            <w:tcW w:w="964" w:type="dxa"/>
            <w:shd w:val="clear" w:color="auto" w:fill="BFBFBF" w:themeFill="background1" w:themeFillShade="BF"/>
          </w:tcPr>
          <w:p w14:paraId="433169D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2016</w:t>
            </w:r>
          </w:p>
        </w:tc>
        <w:tc>
          <w:tcPr>
            <w:tcW w:w="964" w:type="dxa"/>
            <w:shd w:val="clear" w:color="auto" w:fill="BFBFBF" w:themeFill="background1" w:themeFillShade="BF"/>
          </w:tcPr>
          <w:p w14:paraId="59B6FAA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2021</w:t>
            </w:r>
          </w:p>
        </w:tc>
        <w:tc>
          <w:tcPr>
            <w:tcW w:w="964" w:type="dxa"/>
            <w:shd w:val="clear" w:color="auto" w:fill="BFBFBF" w:themeFill="background1" w:themeFillShade="BF"/>
          </w:tcPr>
          <w:p w14:paraId="5BBAE1C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2026</w:t>
            </w:r>
          </w:p>
        </w:tc>
        <w:tc>
          <w:tcPr>
            <w:tcW w:w="964" w:type="dxa"/>
            <w:shd w:val="clear" w:color="auto" w:fill="BFBFBF" w:themeFill="background1" w:themeFillShade="BF"/>
          </w:tcPr>
          <w:p w14:paraId="2B74C54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2031</w:t>
            </w:r>
          </w:p>
        </w:tc>
      </w:tr>
      <w:tr w:rsidR="00BE36FB" w:rsidRPr="009B7B35" w14:paraId="3E684B1C" w14:textId="77777777" w:rsidTr="001A7107">
        <w:trPr>
          <w:cnfStyle w:val="000000010000" w:firstRow="0" w:lastRow="0" w:firstColumn="0" w:lastColumn="0" w:oddVBand="0" w:evenVBand="0" w:oddHBand="0" w:evenHBand="1"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5687F815" w14:textId="77777777" w:rsidR="00BE36FB" w:rsidRPr="009B7B35" w:rsidRDefault="00BE36FB" w:rsidP="001A7107">
            <w:pPr>
              <w:pStyle w:val="TableText"/>
              <w:spacing w:before="46" w:after="46"/>
              <w:rPr>
                <w:rFonts w:cs="Arial"/>
              </w:rPr>
            </w:pPr>
            <w:r w:rsidRPr="009B7B35">
              <w:rPr>
                <w:rFonts w:cs="Arial"/>
                <w:color w:val="000000"/>
              </w:rPr>
              <w:t>Gladstone (Previously South Gladstone, Barney Point and CBD)</w:t>
            </w:r>
          </w:p>
        </w:tc>
        <w:tc>
          <w:tcPr>
            <w:tcW w:w="2268" w:type="dxa"/>
          </w:tcPr>
          <w:p w14:paraId="394532AB"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14:paraId="2EB59952"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5,753 </w:t>
            </w:r>
          </w:p>
        </w:tc>
        <w:tc>
          <w:tcPr>
            <w:tcW w:w="964" w:type="dxa"/>
          </w:tcPr>
          <w:p w14:paraId="07C7B868"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6,694 </w:t>
            </w:r>
          </w:p>
        </w:tc>
        <w:tc>
          <w:tcPr>
            <w:tcW w:w="964" w:type="dxa"/>
          </w:tcPr>
          <w:p w14:paraId="13FA2A8D"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7,909 </w:t>
            </w:r>
          </w:p>
        </w:tc>
        <w:tc>
          <w:tcPr>
            <w:tcW w:w="964" w:type="dxa"/>
          </w:tcPr>
          <w:p w14:paraId="7F3F229C"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8,521 </w:t>
            </w:r>
          </w:p>
        </w:tc>
        <w:tc>
          <w:tcPr>
            <w:tcW w:w="964" w:type="dxa"/>
          </w:tcPr>
          <w:p w14:paraId="341FAE23"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9,254 </w:t>
            </w:r>
          </w:p>
        </w:tc>
      </w:tr>
      <w:tr w:rsidR="00BE36FB" w:rsidRPr="009B7B35" w14:paraId="5098B107" w14:textId="77777777" w:rsidTr="001A7107">
        <w:trPr>
          <w:cnfStyle w:val="000000100000" w:firstRow="0" w:lastRow="0" w:firstColumn="0" w:lastColumn="0" w:oddVBand="0" w:evenVBand="0" w:oddHBand="1" w:evenHBand="0"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tcPr>
          <w:p w14:paraId="42163535" w14:textId="77777777" w:rsidR="00BE36FB" w:rsidRPr="009B7B35" w:rsidRDefault="00BE36FB" w:rsidP="001A7107">
            <w:pPr>
              <w:pStyle w:val="TableText"/>
              <w:spacing w:before="46" w:after="46"/>
              <w:rPr>
                <w:rFonts w:cs="Arial"/>
              </w:rPr>
            </w:pPr>
          </w:p>
        </w:tc>
        <w:tc>
          <w:tcPr>
            <w:tcW w:w="2268" w:type="dxa"/>
          </w:tcPr>
          <w:p w14:paraId="69040965"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14:paraId="5AE94B0C"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603 </w:t>
            </w:r>
          </w:p>
        </w:tc>
        <w:tc>
          <w:tcPr>
            <w:tcW w:w="964" w:type="dxa"/>
          </w:tcPr>
          <w:p w14:paraId="42F0DFA7"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702 </w:t>
            </w:r>
          </w:p>
        </w:tc>
        <w:tc>
          <w:tcPr>
            <w:tcW w:w="964" w:type="dxa"/>
          </w:tcPr>
          <w:p w14:paraId="2DC0F0C5"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829 </w:t>
            </w:r>
          </w:p>
        </w:tc>
        <w:tc>
          <w:tcPr>
            <w:tcW w:w="964" w:type="dxa"/>
          </w:tcPr>
          <w:p w14:paraId="5DE18D02"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893 </w:t>
            </w:r>
          </w:p>
        </w:tc>
        <w:tc>
          <w:tcPr>
            <w:tcW w:w="964" w:type="dxa"/>
          </w:tcPr>
          <w:p w14:paraId="30EB5E98"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970 </w:t>
            </w:r>
          </w:p>
        </w:tc>
      </w:tr>
      <w:tr w:rsidR="00BE36FB" w:rsidRPr="009B7B35" w14:paraId="109BB44D" w14:textId="77777777"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tcPr>
          <w:p w14:paraId="0CCC4225" w14:textId="77777777" w:rsidR="00BE36FB" w:rsidRPr="009B7B35" w:rsidRDefault="00BE36FB" w:rsidP="001A7107">
            <w:pPr>
              <w:pStyle w:val="TableText"/>
              <w:spacing w:before="46" w:after="46"/>
              <w:rPr>
                <w:rFonts w:cs="Arial"/>
              </w:rPr>
            </w:pPr>
          </w:p>
        </w:tc>
        <w:tc>
          <w:tcPr>
            <w:tcW w:w="2268" w:type="dxa"/>
          </w:tcPr>
          <w:p w14:paraId="13124ECD"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14:paraId="4065BB48"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141 </w:t>
            </w:r>
          </w:p>
        </w:tc>
        <w:tc>
          <w:tcPr>
            <w:tcW w:w="964" w:type="dxa"/>
          </w:tcPr>
          <w:p w14:paraId="19CE8476"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165 </w:t>
            </w:r>
          </w:p>
        </w:tc>
        <w:tc>
          <w:tcPr>
            <w:tcW w:w="964" w:type="dxa"/>
          </w:tcPr>
          <w:p w14:paraId="22BC6B66"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194 </w:t>
            </w:r>
          </w:p>
        </w:tc>
        <w:tc>
          <w:tcPr>
            <w:tcW w:w="964" w:type="dxa"/>
          </w:tcPr>
          <w:p w14:paraId="3170FB4D"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209 </w:t>
            </w:r>
          </w:p>
        </w:tc>
        <w:tc>
          <w:tcPr>
            <w:tcW w:w="964" w:type="dxa"/>
          </w:tcPr>
          <w:p w14:paraId="56658B3E"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227 </w:t>
            </w:r>
          </w:p>
        </w:tc>
      </w:tr>
      <w:tr w:rsidR="00BE36FB" w:rsidRPr="009B7B35" w14:paraId="421AD839" w14:textId="77777777" w:rsidTr="001A7107">
        <w:trPr>
          <w:cnfStyle w:val="000000100000" w:firstRow="0" w:lastRow="0" w:firstColumn="0" w:lastColumn="0" w:oddVBand="0" w:evenVBand="0" w:oddHBand="1" w:evenHBand="0" w:firstRowFirstColumn="0" w:firstRowLastColumn="0" w:lastRowFirstColumn="0" w:lastRowLastColumn="0"/>
          <w:cantSplit/>
          <w:trHeight w:val="221"/>
        </w:trPr>
        <w:tc>
          <w:tcPr>
            <w:cnfStyle w:val="001000000000" w:firstRow="0" w:lastRow="0" w:firstColumn="1" w:lastColumn="0" w:oddVBand="0" w:evenVBand="0" w:oddHBand="0" w:evenHBand="0" w:firstRowFirstColumn="0" w:firstRowLastColumn="0" w:lastRowFirstColumn="0" w:lastRowLastColumn="0"/>
            <w:tcW w:w="2552" w:type="dxa"/>
            <w:vMerge/>
          </w:tcPr>
          <w:p w14:paraId="40609B3B" w14:textId="77777777" w:rsidR="00BE36FB" w:rsidRPr="009B7B35" w:rsidRDefault="00BE36FB" w:rsidP="001A7107">
            <w:pPr>
              <w:pStyle w:val="TableText"/>
              <w:spacing w:before="46" w:after="46"/>
              <w:rPr>
                <w:rFonts w:cs="Arial"/>
              </w:rPr>
            </w:pPr>
          </w:p>
        </w:tc>
        <w:tc>
          <w:tcPr>
            <w:tcW w:w="2268" w:type="dxa"/>
          </w:tcPr>
          <w:p w14:paraId="552FF52F"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14:paraId="2BDDE23E"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6,497</w:t>
            </w:r>
          </w:p>
        </w:tc>
        <w:tc>
          <w:tcPr>
            <w:tcW w:w="964" w:type="dxa"/>
          </w:tcPr>
          <w:p w14:paraId="7A3D3A03"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7,560</w:t>
            </w:r>
          </w:p>
        </w:tc>
        <w:tc>
          <w:tcPr>
            <w:tcW w:w="964" w:type="dxa"/>
          </w:tcPr>
          <w:p w14:paraId="19E78EF6"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8,933</w:t>
            </w:r>
          </w:p>
        </w:tc>
        <w:tc>
          <w:tcPr>
            <w:tcW w:w="964" w:type="dxa"/>
          </w:tcPr>
          <w:p w14:paraId="63642F3C"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9,624</w:t>
            </w:r>
          </w:p>
        </w:tc>
        <w:tc>
          <w:tcPr>
            <w:tcW w:w="964" w:type="dxa"/>
          </w:tcPr>
          <w:p w14:paraId="1574EFA9"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10,451</w:t>
            </w:r>
          </w:p>
        </w:tc>
      </w:tr>
      <w:tr w:rsidR="00BE36FB" w:rsidRPr="009B7B35" w14:paraId="5D8EE0DB" w14:textId="77777777"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1AE5D488" w14:textId="77777777" w:rsidR="00BE36FB" w:rsidRPr="009B7B35" w:rsidRDefault="00BE36FB" w:rsidP="001A7107">
            <w:pPr>
              <w:pStyle w:val="TableText"/>
              <w:spacing w:before="46" w:after="46"/>
              <w:rPr>
                <w:rFonts w:cs="Arial"/>
              </w:rPr>
            </w:pPr>
            <w:r w:rsidRPr="009B7B35">
              <w:rPr>
                <w:rFonts w:cs="Arial"/>
              </w:rPr>
              <w:t xml:space="preserve">West Gladstone </w:t>
            </w:r>
          </w:p>
        </w:tc>
        <w:tc>
          <w:tcPr>
            <w:tcW w:w="2268" w:type="dxa"/>
          </w:tcPr>
          <w:p w14:paraId="7E17265E"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14:paraId="5927D07E"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4,737 </w:t>
            </w:r>
          </w:p>
        </w:tc>
        <w:tc>
          <w:tcPr>
            <w:tcW w:w="964" w:type="dxa"/>
          </w:tcPr>
          <w:p w14:paraId="677664C9"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5,393 </w:t>
            </w:r>
          </w:p>
        </w:tc>
        <w:tc>
          <w:tcPr>
            <w:tcW w:w="964" w:type="dxa"/>
          </w:tcPr>
          <w:p w14:paraId="44056C41"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6,594 </w:t>
            </w:r>
          </w:p>
        </w:tc>
        <w:tc>
          <w:tcPr>
            <w:tcW w:w="964" w:type="dxa"/>
          </w:tcPr>
          <w:p w14:paraId="1F16CF69"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7,299 </w:t>
            </w:r>
          </w:p>
        </w:tc>
        <w:tc>
          <w:tcPr>
            <w:tcW w:w="964" w:type="dxa"/>
          </w:tcPr>
          <w:p w14:paraId="491FA1CC"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7,787 </w:t>
            </w:r>
          </w:p>
        </w:tc>
      </w:tr>
      <w:tr w:rsidR="00BE36FB" w:rsidRPr="009B7B35" w14:paraId="7BC25B14" w14:textId="77777777" w:rsidTr="001A7107">
        <w:trPr>
          <w:cnfStyle w:val="000000100000" w:firstRow="0" w:lastRow="0" w:firstColumn="0" w:lastColumn="0" w:oddVBand="0" w:evenVBand="0" w:oddHBand="1" w:evenHBand="0" w:firstRowFirstColumn="0" w:firstRowLastColumn="0" w:lastRowFirstColumn="0" w:lastRowLastColumn="0"/>
          <w:cantSplit/>
          <w:trHeight w:val="226"/>
        </w:trPr>
        <w:tc>
          <w:tcPr>
            <w:cnfStyle w:val="001000000000" w:firstRow="0" w:lastRow="0" w:firstColumn="1" w:lastColumn="0" w:oddVBand="0" w:evenVBand="0" w:oddHBand="0" w:evenHBand="0" w:firstRowFirstColumn="0" w:firstRowLastColumn="0" w:lastRowFirstColumn="0" w:lastRowLastColumn="0"/>
            <w:tcW w:w="2552" w:type="dxa"/>
            <w:vMerge/>
          </w:tcPr>
          <w:p w14:paraId="4D5511EA" w14:textId="77777777" w:rsidR="00BE36FB" w:rsidRPr="009B7B35" w:rsidRDefault="00BE36FB" w:rsidP="001A7107">
            <w:pPr>
              <w:pStyle w:val="TableText"/>
              <w:spacing w:before="46" w:after="46"/>
              <w:rPr>
                <w:rFonts w:cs="Arial"/>
              </w:rPr>
            </w:pPr>
          </w:p>
        </w:tc>
        <w:tc>
          <w:tcPr>
            <w:tcW w:w="2268" w:type="dxa"/>
          </w:tcPr>
          <w:p w14:paraId="539D2E79"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14:paraId="500CCA72"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497 </w:t>
            </w:r>
          </w:p>
        </w:tc>
        <w:tc>
          <w:tcPr>
            <w:tcW w:w="964" w:type="dxa"/>
          </w:tcPr>
          <w:p w14:paraId="15BF663C"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565 </w:t>
            </w:r>
          </w:p>
        </w:tc>
        <w:tc>
          <w:tcPr>
            <w:tcW w:w="964" w:type="dxa"/>
          </w:tcPr>
          <w:p w14:paraId="6AC1D812"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691 </w:t>
            </w:r>
          </w:p>
        </w:tc>
        <w:tc>
          <w:tcPr>
            <w:tcW w:w="964" w:type="dxa"/>
          </w:tcPr>
          <w:p w14:paraId="298B274C"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765 </w:t>
            </w:r>
          </w:p>
        </w:tc>
        <w:tc>
          <w:tcPr>
            <w:tcW w:w="964" w:type="dxa"/>
          </w:tcPr>
          <w:p w14:paraId="5A6F52A5"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816 </w:t>
            </w:r>
          </w:p>
        </w:tc>
      </w:tr>
      <w:tr w:rsidR="00BE36FB" w:rsidRPr="009B7B35" w14:paraId="1E09AECC" w14:textId="77777777"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tcPr>
          <w:p w14:paraId="6A2D17FB" w14:textId="77777777" w:rsidR="00BE36FB" w:rsidRPr="009B7B35" w:rsidRDefault="00BE36FB" w:rsidP="001A7107">
            <w:pPr>
              <w:pStyle w:val="TableText"/>
              <w:spacing w:before="46" w:after="46"/>
              <w:rPr>
                <w:rFonts w:cs="Arial"/>
              </w:rPr>
            </w:pPr>
          </w:p>
        </w:tc>
        <w:tc>
          <w:tcPr>
            <w:tcW w:w="2268" w:type="dxa"/>
          </w:tcPr>
          <w:p w14:paraId="5EFDF2FD"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14:paraId="4F5FC8F3"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116 </w:t>
            </w:r>
          </w:p>
        </w:tc>
        <w:tc>
          <w:tcPr>
            <w:tcW w:w="964" w:type="dxa"/>
          </w:tcPr>
          <w:p w14:paraId="28ACE17A"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133 </w:t>
            </w:r>
          </w:p>
        </w:tc>
        <w:tc>
          <w:tcPr>
            <w:tcW w:w="964" w:type="dxa"/>
          </w:tcPr>
          <w:p w14:paraId="0B52DEF0"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162 </w:t>
            </w:r>
          </w:p>
        </w:tc>
        <w:tc>
          <w:tcPr>
            <w:tcW w:w="964" w:type="dxa"/>
          </w:tcPr>
          <w:p w14:paraId="053F59F5"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179 </w:t>
            </w:r>
          </w:p>
        </w:tc>
        <w:tc>
          <w:tcPr>
            <w:tcW w:w="964" w:type="dxa"/>
          </w:tcPr>
          <w:p w14:paraId="6A6ACB64"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191 </w:t>
            </w:r>
          </w:p>
        </w:tc>
      </w:tr>
      <w:tr w:rsidR="00BE36FB" w:rsidRPr="009B7B35" w14:paraId="5402F599" w14:textId="77777777" w:rsidTr="001A7107">
        <w:trPr>
          <w:cnfStyle w:val="000000100000" w:firstRow="0" w:lastRow="0" w:firstColumn="0" w:lastColumn="0" w:oddVBand="0" w:evenVBand="0" w:oddHBand="1" w:evenHBand="0" w:firstRowFirstColumn="0" w:firstRowLastColumn="0" w:lastRowFirstColumn="0" w:lastRowLastColumn="0"/>
          <w:cantSplit/>
          <w:trHeight w:val="223"/>
        </w:trPr>
        <w:tc>
          <w:tcPr>
            <w:cnfStyle w:val="001000000000" w:firstRow="0" w:lastRow="0" w:firstColumn="1" w:lastColumn="0" w:oddVBand="0" w:evenVBand="0" w:oddHBand="0" w:evenHBand="0" w:firstRowFirstColumn="0" w:firstRowLastColumn="0" w:lastRowFirstColumn="0" w:lastRowLastColumn="0"/>
            <w:tcW w:w="2552" w:type="dxa"/>
            <w:vMerge/>
          </w:tcPr>
          <w:p w14:paraId="74837810" w14:textId="77777777" w:rsidR="00BE36FB" w:rsidRPr="009B7B35" w:rsidRDefault="00BE36FB" w:rsidP="001A7107">
            <w:pPr>
              <w:pStyle w:val="TableText"/>
              <w:spacing w:before="46" w:after="46"/>
              <w:rPr>
                <w:rFonts w:cs="Arial"/>
              </w:rPr>
            </w:pPr>
          </w:p>
        </w:tc>
        <w:tc>
          <w:tcPr>
            <w:tcW w:w="2268" w:type="dxa"/>
          </w:tcPr>
          <w:p w14:paraId="72A1E13D"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14:paraId="474AE2DC"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5,350</w:t>
            </w:r>
          </w:p>
        </w:tc>
        <w:tc>
          <w:tcPr>
            <w:tcW w:w="964" w:type="dxa"/>
          </w:tcPr>
          <w:p w14:paraId="1EEDFBF3"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6,091</w:t>
            </w:r>
          </w:p>
        </w:tc>
        <w:tc>
          <w:tcPr>
            <w:tcW w:w="964" w:type="dxa"/>
          </w:tcPr>
          <w:p w14:paraId="2AE74D94"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7,447</w:t>
            </w:r>
          </w:p>
        </w:tc>
        <w:tc>
          <w:tcPr>
            <w:tcW w:w="964" w:type="dxa"/>
          </w:tcPr>
          <w:p w14:paraId="0697F85E"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8,244</w:t>
            </w:r>
          </w:p>
        </w:tc>
        <w:tc>
          <w:tcPr>
            <w:tcW w:w="964" w:type="dxa"/>
          </w:tcPr>
          <w:p w14:paraId="0F1FDA36"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8,795</w:t>
            </w:r>
          </w:p>
        </w:tc>
      </w:tr>
      <w:tr w:rsidR="00BE36FB" w:rsidRPr="009B7B35" w14:paraId="2A866CBD" w14:textId="77777777" w:rsidTr="001A7107">
        <w:trPr>
          <w:cnfStyle w:val="000000010000" w:firstRow="0" w:lastRow="0" w:firstColumn="0" w:lastColumn="0" w:oddVBand="0" w:evenVBand="0" w:oddHBand="0" w:evenHBand="1"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1094E054" w14:textId="77777777" w:rsidR="00BE36FB" w:rsidRPr="009B7B35" w:rsidRDefault="00BE36FB" w:rsidP="001A7107">
            <w:pPr>
              <w:pStyle w:val="TableText"/>
              <w:spacing w:before="46" w:after="46"/>
              <w:rPr>
                <w:rFonts w:cs="Arial"/>
              </w:rPr>
            </w:pPr>
            <w:r w:rsidRPr="009B7B35">
              <w:rPr>
                <w:rFonts w:cs="Arial"/>
              </w:rPr>
              <w:t xml:space="preserve">Kin Kora – Sun Valley </w:t>
            </w:r>
          </w:p>
        </w:tc>
        <w:tc>
          <w:tcPr>
            <w:tcW w:w="2268" w:type="dxa"/>
          </w:tcPr>
          <w:p w14:paraId="3A6E9FA7"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14:paraId="40EF98CB"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3,765 </w:t>
            </w:r>
          </w:p>
        </w:tc>
        <w:tc>
          <w:tcPr>
            <w:tcW w:w="964" w:type="dxa"/>
          </w:tcPr>
          <w:p w14:paraId="42C57664"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4,020 </w:t>
            </w:r>
          </w:p>
        </w:tc>
        <w:tc>
          <w:tcPr>
            <w:tcW w:w="964" w:type="dxa"/>
          </w:tcPr>
          <w:p w14:paraId="2C5BC195"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4,494 </w:t>
            </w:r>
          </w:p>
        </w:tc>
        <w:tc>
          <w:tcPr>
            <w:tcW w:w="964" w:type="dxa"/>
          </w:tcPr>
          <w:p w14:paraId="571E3024"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5,748 </w:t>
            </w:r>
          </w:p>
        </w:tc>
        <w:tc>
          <w:tcPr>
            <w:tcW w:w="964" w:type="dxa"/>
          </w:tcPr>
          <w:p w14:paraId="3C29CC11"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7,016 </w:t>
            </w:r>
          </w:p>
        </w:tc>
      </w:tr>
      <w:tr w:rsidR="00BE36FB" w:rsidRPr="009B7B35" w14:paraId="4C25E10B" w14:textId="77777777" w:rsidTr="001A7107">
        <w:trPr>
          <w:cnfStyle w:val="000000100000" w:firstRow="0" w:lastRow="0" w:firstColumn="0" w:lastColumn="0" w:oddVBand="0" w:evenVBand="0" w:oddHBand="1" w:evenHBand="0"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tcPr>
          <w:p w14:paraId="020649DC" w14:textId="77777777" w:rsidR="00BE36FB" w:rsidRPr="009B7B35" w:rsidRDefault="00BE36FB" w:rsidP="001A7107">
            <w:pPr>
              <w:pStyle w:val="TableText"/>
              <w:spacing w:before="46" w:after="46"/>
              <w:rPr>
                <w:rFonts w:cs="Arial"/>
              </w:rPr>
            </w:pPr>
          </w:p>
        </w:tc>
        <w:tc>
          <w:tcPr>
            <w:tcW w:w="2268" w:type="dxa"/>
          </w:tcPr>
          <w:p w14:paraId="464C1D11"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14:paraId="7103EC18"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395 </w:t>
            </w:r>
          </w:p>
        </w:tc>
        <w:tc>
          <w:tcPr>
            <w:tcW w:w="964" w:type="dxa"/>
          </w:tcPr>
          <w:p w14:paraId="3E853A2C"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421 </w:t>
            </w:r>
          </w:p>
        </w:tc>
        <w:tc>
          <w:tcPr>
            <w:tcW w:w="964" w:type="dxa"/>
          </w:tcPr>
          <w:p w14:paraId="181581BA"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471 </w:t>
            </w:r>
          </w:p>
        </w:tc>
        <w:tc>
          <w:tcPr>
            <w:tcW w:w="964" w:type="dxa"/>
          </w:tcPr>
          <w:p w14:paraId="0C1E8AF3"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602 </w:t>
            </w:r>
          </w:p>
        </w:tc>
        <w:tc>
          <w:tcPr>
            <w:tcW w:w="964" w:type="dxa"/>
          </w:tcPr>
          <w:p w14:paraId="0AC53F9B"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735 </w:t>
            </w:r>
          </w:p>
        </w:tc>
      </w:tr>
      <w:tr w:rsidR="00BE36FB" w:rsidRPr="009B7B35" w14:paraId="3BE5BEBA" w14:textId="77777777" w:rsidTr="001A7107">
        <w:trPr>
          <w:cnfStyle w:val="000000010000" w:firstRow="0" w:lastRow="0" w:firstColumn="0" w:lastColumn="0" w:oddVBand="0" w:evenVBand="0" w:oddHBand="0" w:evenHBand="1" w:firstRowFirstColumn="0" w:firstRowLastColumn="0" w:lastRowFirstColumn="0" w:lastRowLastColumn="0"/>
          <w:cantSplit/>
          <w:trHeight w:val="229"/>
        </w:trPr>
        <w:tc>
          <w:tcPr>
            <w:cnfStyle w:val="001000000000" w:firstRow="0" w:lastRow="0" w:firstColumn="1" w:lastColumn="0" w:oddVBand="0" w:evenVBand="0" w:oddHBand="0" w:evenHBand="0" w:firstRowFirstColumn="0" w:firstRowLastColumn="0" w:lastRowFirstColumn="0" w:lastRowLastColumn="0"/>
            <w:tcW w:w="2552" w:type="dxa"/>
            <w:vMerge/>
          </w:tcPr>
          <w:p w14:paraId="643744A0" w14:textId="77777777" w:rsidR="00BE36FB" w:rsidRPr="009B7B35" w:rsidRDefault="00BE36FB" w:rsidP="001A7107">
            <w:pPr>
              <w:pStyle w:val="TableText"/>
              <w:spacing w:before="46" w:after="46"/>
              <w:rPr>
                <w:rFonts w:cs="Arial"/>
              </w:rPr>
            </w:pPr>
          </w:p>
        </w:tc>
        <w:tc>
          <w:tcPr>
            <w:tcW w:w="2268" w:type="dxa"/>
          </w:tcPr>
          <w:p w14:paraId="3750A1F7"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14:paraId="2B625387"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93 </w:t>
            </w:r>
          </w:p>
        </w:tc>
        <w:tc>
          <w:tcPr>
            <w:tcW w:w="964" w:type="dxa"/>
          </w:tcPr>
          <w:p w14:paraId="762B30DD"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99 </w:t>
            </w:r>
          </w:p>
        </w:tc>
        <w:tc>
          <w:tcPr>
            <w:tcW w:w="964" w:type="dxa"/>
          </w:tcPr>
          <w:p w14:paraId="71FE91C8"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110 </w:t>
            </w:r>
          </w:p>
        </w:tc>
        <w:tc>
          <w:tcPr>
            <w:tcW w:w="964" w:type="dxa"/>
          </w:tcPr>
          <w:p w14:paraId="4E2B9D77"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141 </w:t>
            </w:r>
          </w:p>
        </w:tc>
        <w:tc>
          <w:tcPr>
            <w:tcW w:w="964" w:type="dxa"/>
          </w:tcPr>
          <w:p w14:paraId="7A44C926"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172 </w:t>
            </w:r>
          </w:p>
        </w:tc>
      </w:tr>
      <w:tr w:rsidR="00BE36FB" w:rsidRPr="009B7B35" w14:paraId="3DEAE198" w14:textId="77777777" w:rsidTr="001A7107">
        <w:trPr>
          <w:cnfStyle w:val="000000100000" w:firstRow="0" w:lastRow="0" w:firstColumn="0" w:lastColumn="0" w:oddVBand="0" w:evenVBand="0" w:oddHBand="1" w:evenHBand="0" w:firstRowFirstColumn="0" w:firstRowLastColumn="0" w:lastRowFirstColumn="0" w:lastRowLastColumn="0"/>
          <w:cantSplit/>
          <w:trHeight w:val="222"/>
        </w:trPr>
        <w:tc>
          <w:tcPr>
            <w:cnfStyle w:val="001000000000" w:firstRow="0" w:lastRow="0" w:firstColumn="1" w:lastColumn="0" w:oddVBand="0" w:evenVBand="0" w:oddHBand="0" w:evenHBand="0" w:firstRowFirstColumn="0" w:firstRowLastColumn="0" w:lastRowFirstColumn="0" w:lastRowLastColumn="0"/>
            <w:tcW w:w="2552" w:type="dxa"/>
            <w:vMerge/>
          </w:tcPr>
          <w:p w14:paraId="77D2AC3A" w14:textId="77777777" w:rsidR="00BE36FB" w:rsidRPr="009B7B35" w:rsidRDefault="00BE36FB" w:rsidP="001A7107">
            <w:pPr>
              <w:pStyle w:val="TableText"/>
              <w:spacing w:before="46" w:after="46"/>
              <w:rPr>
                <w:rFonts w:cs="Arial"/>
              </w:rPr>
            </w:pPr>
          </w:p>
        </w:tc>
        <w:tc>
          <w:tcPr>
            <w:tcW w:w="2268" w:type="dxa"/>
          </w:tcPr>
          <w:p w14:paraId="682611EC"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14:paraId="178A7775"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4,252</w:t>
            </w:r>
          </w:p>
        </w:tc>
        <w:tc>
          <w:tcPr>
            <w:tcW w:w="964" w:type="dxa"/>
          </w:tcPr>
          <w:p w14:paraId="36158C7C"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4,540</w:t>
            </w:r>
          </w:p>
        </w:tc>
        <w:tc>
          <w:tcPr>
            <w:tcW w:w="964" w:type="dxa"/>
          </w:tcPr>
          <w:p w14:paraId="73BB47BC"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5,075</w:t>
            </w:r>
          </w:p>
        </w:tc>
        <w:tc>
          <w:tcPr>
            <w:tcW w:w="964" w:type="dxa"/>
          </w:tcPr>
          <w:p w14:paraId="72BBFD91"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6,492</w:t>
            </w:r>
          </w:p>
        </w:tc>
        <w:tc>
          <w:tcPr>
            <w:tcW w:w="964" w:type="dxa"/>
          </w:tcPr>
          <w:p w14:paraId="30FB90B3"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7,924</w:t>
            </w:r>
          </w:p>
        </w:tc>
      </w:tr>
      <w:tr w:rsidR="00BE36FB" w:rsidRPr="009B7B35" w14:paraId="13B2605C" w14:textId="77777777" w:rsidTr="001A7107">
        <w:trPr>
          <w:cnfStyle w:val="000000010000" w:firstRow="0" w:lastRow="0" w:firstColumn="0" w:lastColumn="0" w:oddVBand="0" w:evenVBand="0" w:oddHBand="0" w:evenHBand="1"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76DD5164" w14:textId="77777777" w:rsidR="00BE36FB" w:rsidRPr="009B7B35" w:rsidRDefault="00BE36FB" w:rsidP="001A7107">
            <w:pPr>
              <w:pStyle w:val="TableText"/>
              <w:spacing w:before="46" w:after="46"/>
              <w:rPr>
                <w:rFonts w:cs="Arial"/>
              </w:rPr>
            </w:pPr>
            <w:r w:rsidRPr="009B7B35">
              <w:rPr>
                <w:rFonts w:cs="Arial"/>
              </w:rPr>
              <w:t>Telina – Sth Trees- Glen Eden – Tooloola – O'Connell</w:t>
            </w:r>
          </w:p>
        </w:tc>
        <w:tc>
          <w:tcPr>
            <w:tcW w:w="2268" w:type="dxa"/>
          </w:tcPr>
          <w:p w14:paraId="23886CFB"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14:paraId="43C99234"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5,048 </w:t>
            </w:r>
          </w:p>
        </w:tc>
        <w:tc>
          <w:tcPr>
            <w:tcW w:w="964" w:type="dxa"/>
          </w:tcPr>
          <w:p w14:paraId="26FAB780"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5,827 </w:t>
            </w:r>
          </w:p>
        </w:tc>
        <w:tc>
          <w:tcPr>
            <w:tcW w:w="964" w:type="dxa"/>
          </w:tcPr>
          <w:p w14:paraId="7B5E5E79"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6,191 </w:t>
            </w:r>
          </w:p>
        </w:tc>
        <w:tc>
          <w:tcPr>
            <w:tcW w:w="964" w:type="dxa"/>
          </w:tcPr>
          <w:p w14:paraId="6E5B31E7"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6,204 </w:t>
            </w:r>
          </w:p>
        </w:tc>
        <w:tc>
          <w:tcPr>
            <w:tcW w:w="964" w:type="dxa"/>
          </w:tcPr>
          <w:p w14:paraId="3B966520"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6,225 </w:t>
            </w:r>
          </w:p>
        </w:tc>
      </w:tr>
      <w:tr w:rsidR="00BE36FB" w:rsidRPr="009B7B35" w14:paraId="526D0A94" w14:textId="77777777" w:rsidTr="001A7107">
        <w:trPr>
          <w:cnfStyle w:val="000000100000" w:firstRow="0" w:lastRow="0" w:firstColumn="0" w:lastColumn="0" w:oddVBand="0" w:evenVBand="0" w:oddHBand="1" w:evenHBand="0"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tcPr>
          <w:p w14:paraId="3D2753D5" w14:textId="77777777" w:rsidR="00BE36FB" w:rsidRPr="009B7B35" w:rsidRDefault="00BE36FB" w:rsidP="001A7107">
            <w:pPr>
              <w:pStyle w:val="TableText"/>
              <w:spacing w:before="46" w:after="46"/>
              <w:rPr>
                <w:rFonts w:cs="Arial"/>
              </w:rPr>
            </w:pPr>
          </w:p>
        </w:tc>
        <w:tc>
          <w:tcPr>
            <w:tcW w:w="2268" w:type="dxa"/>
          </w:tcPr>
          <w:p w14:paraId="28C7E4E0"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14:paraId="17A43EB1"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529 </w:t>
            </w:r>
          </w:p>
        </w:tc>
        <w:tc>
          <w:tcPr>
            <w:tcW w:w="964" w:type="dxa"/>
          </w:tcPr>
          <w:p w14:paraId="1305D390"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611 </w:t>
            </w:r>
          </w:p>
        </w:tc>
        <w:tc>
          <w:tcPr>
            <w:tcW w:w="964" w:type="dxa"/>
          </w:tcPr>
          <w:p w14:paraId="6191E4D2"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649 </w:t>
            </w:r>
          </w:p>
        </w:tc>
        <w:tc>
          <w:tcPr>
            <w:tcW w:w="964" w:type="dxa"/>
          </w:tcPr>
          <w:p w14:paraId="35043E42"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650 </w:t>
            </w:r>
          </w:p>
        </w:tc>
        <w:tc>
          <w:tcPr>
            <w:tcW w:w="964" w:type="dxa"/>
          </w:tcPr>
          <w:p w14:paraId="7ED52804"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653 </w:t>
            </w:r>
          </w:p>
        </w:tc>
      </w:tr>
      <w:tr w:rsidR="00BE36FB" w:rsidRPr="009B7B35" w14:paraId="5FC5E259" w14:textId="77777777"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tcPr>
          <w:p w14:paraId="3C3BA39C" w14:textId="77777777" w:rsidR="00BE36FB" w:rsidRPr="009B7B35" w:rsidRDefault="00BE36FB" w:rsidP="001A7107">
            <w:pPr>
              <w:pStyle w:val="TableText"/>
              <w:spacing w:before="46" w:after="46"/>
              <w:rPr>
                <w:rFonts w:cs="Arial"/>
              </w:rPr>
            </w:pPr>
          </w:p>
        </w:tc>
        <w:tc>
          <w:tcPr>
            <w:tcW w:w="2268" w:type="dxa"/>
          </w:tcPr>
          <w:p w14:paraId="57007B53"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14:paraId="48880F52"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124 </w:t>
            </w:r>
          </w:p>
        </w:tc>
        <w:tc>
          <w:tcPr>
            <w:tcW w:w="964" w:type="dxa"/>
          </w:tcPr>
          <w:p w14:paraId="26C09368"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143 </w:t>
            </w:r>
          </w:p>
        </w:tc>
        <w:tc>
          <w:tcPr>
            <w:tcW w:w="964" w:type="dxa"/>
          </w:tcPr>
          <w:p w14:paraId="44E3D5B9"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152 </w:t>
            </w:r>
          </w:p>
        </w:tc>
        <w:tc>
          <w:tcPr>
            <w:tcW w:w="964" w:type="dxa"/>
          </w:tcPr>
          <w:p w14:paraId="738AE4FC"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153 </w:t>
            </w:r>
          </w:p>
        </w:tc>
        <w:tc>
          <w:tcPr>
            <w:tcW w:w="964" w:type="dxa"/>
          </w:tcPr>
          <w:p w14:paraId="327F7C07"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153 </w:t>
            </w:r>
          </w:p>
        </w:tc>
      </w:tr>
      <w:tr w:rsidR="00BE36FB" w:rsidRPr="009B7B35" w14:paraId="75C12723" w14:textId="77777777" w:rsidTr="001A7107">
        <w:trPr>
          <w:cnfStyle w:val="000000100000" w:firstRow="0" w:lastRow="0" w:firstColumn="0" w:lastColumn="0" w:oddVBand="0" w:evenVBand="0" w:oddHBand="1" w:evenHBand="0" w:firstRowFirstColumn="0" w:firstRowLastColumn="0" w:lastRowFirstColumn="0" w:lastRowLastColumn="0"/>
          <w:cantSplit/>
          <w:trHeight w:val="221"/>
        </w:trPr>
        <w:tc>
          <w:tcPr>
            <w:cnfStyle w:val="001000000000" w:firstRow="0" w:lastRow="0" w:firstColumn="1" w:lastColumn="0" w:oddVBand="0" w:evenVBand="0" w:oddHBand="0" w:evenHBand="0" w:firstRowFirstColumn="0" w:firstRowLastColumn="0" w:lastRowFirstColumn="0" w:lastRowLastColumn="0"/>
            <w:tcW w:w="2552" w:type="dxa"/>
            <w:vMerge/>
          </w:tcPr>
          <w:p w14:paraId="458946F3" w14:textId="77777777" w:rsidR="00BE36FB" w:rsidRPr="009B7B35" w:rsidRDefault="00BE36FB" w:rsidP="001A7107">
            <w:pPr>
              <w:pStyle w:val="TableText"/>
              <w:spacing w:before="46" w:after="46"/>
              <w:rPr>
                <w:rFonts w:cs="Arial"/>
              </w:rPr>
            </w:pPr>
          </w:p>
        </w:tc>
        <w:tc>
          <w:tcPr>
            <w:tcW w:w="2268" w:type="dxa"/>
          </w:tcPr>
          <w:p w14:paraId="3E73B138"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14:paraId="77627C1E"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5,701</w:t>
            </w:r>
          </w:p>
        </w:tc>
        <w:tc>
          <w:tcPr>
            <w:tcW w:w="964" w:type="dxa"/>
          </w:tcPr>
          <w:p w14:paraId="184095BE"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6,581</w:t>
            </w:r>
          </w:p>
        </w:tc>
        <w:tc>
          <w:tcPr>
            <w:tcW w:w="964" w:type="dxa"/>
          </w:tcPr>
          <w:p w14:paraId="00BD63D5"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6,992</w:t>
            </w:r>
          </w:p>
        </w:tc>
        <w:tc>
          <w:tcPr>
            <w:tcW w:w="964" w:type="dxa"/>
          </w:tcPr>
          <w:p w14:paraId="7CAB92A1"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7,007</w:t>
            </w:r>
          </w:p>
        </w:tc>
        <w:tc>
          <w:tcPr>
            <w:tcW w:w="964" w:type="dxa"/>
          </w:tcPr>
          <w:p w14:paraId="5D2529CB"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7,031</w:t>
            </w:r>
          </w:p>
        </w:tc>
      </w:tr>
      <w:tr w:rsidR="00BE36FB" w:rsidRPr="009B7B35" w14:paraId="0FE9D210" w14:textId="77777777"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0E07541E" w14:textId="77777777" w:rsidR="00BE36FB" w:rsidRPr="009B7B35" w:rsidRDefault="00BE36FB" w:rsidP="001A7107">
            <w:pPr>
              <w:pStyle w:val="TableText"/>
              <w:spacing w:before="46" w:after="46"/>
              <w:rPr>
                <w:rFonts w:cs="Arial"/>
              </w:rPr>
            </w:pPr>
            <w:r w:rsidRPr="009B7B35">
              <w:rPr>
                <w:rFonts w:cs="Arial"/>
              </w:rPr>
              <w:t xml:space="preserve">Calemondah – Clinton – New Auckland </w:t>
            </w:r>
          </w:p>
        </w:tc>
        <w:tc>
          <w:tcPr>
            <w:tcW w:w="2268" w:type="dxa"/>
          </w:tcPr>
          <w:p w14:paraId="4A32B3AD"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14:paraId="1623D735"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10,107 </w:t>
            </w:r>
          </w:p>
        </w:tc>
        <w:tc>
          <w:tcPr>
            <w:tcW w:w="964" w:type="dxa"/>
          </w:tcPr>
          <w:p w14:paraId="7803BA2F"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12,392 </w:t>
            </w:r>
          </w:p>
        </w:tc>
        <w:tc>
          <w:tcPr>
            <w:tcW w:w="964" w:type="dxa"/>
          </w:tcPr>
          <w:p w14:paraId="420A842D"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12,949 </w:t>
            </w:r>
          </w:p>
        </w:tc>
        <w:tc>
          <w:tcPr>
            <w:tcW w:w="964" w:type="dxa"/>
          </w:tcPr>
          <w:p w14:paraId="287D89CA"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14,790 </w:t>
            </w:r>
          </w:p>
        </w:tc>
        <w:tc>
          <w:tcPr>
            <w:tcW w:w="964" w:type="dxa"/>
          </w:tcPr>
          <w:p w14:paraId="731BE33F"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16,783 </w:t>
            </w:r>
          </w:p>
        </w:tc>
      </w:tr>
      <w:tr w:rsidR="00BE36FB" w:rsidRPr="009B7B35" w14:paraId="1BF8BE9F" w14:textId="77777777" w:rsidTr="001A7107">
        <w:trPr>
          <w:cnfStyle w:val="000000100000" w:firstRow="0" w:lastRow="0" w:firstColumn="0" w:lastColumn="0" w:oddVBand="0" w:evenVBand="0" w:oddHBand="1" w:evenHBand="0" w:firstRowFirstColumn="0" w:firstRowLastColumn="0" w:lastRowFirstColumn="0" w:lastRowLastColumn="0"/>
          <w:cantSplit/>
          <w:trHeight w:val="226"/>
        </w:trPr>
        <w:tc>
          <w:tcPr>
            <w:cnfStyle w:val="001000000000" w:firstRow="0" w:lastRow="0" w:firstColumn="1" w:lastColumn="0" w:oddVBand="0" w:evenVBand="0" w:oddHBand="0" w:evenHBand="0" w:firstRowFirstColumn="0" w:firstRowLastColumn="0" w:lastRowFirstColumn="0" w:lastRowLastColumn="0"/>
            <w:tcW w:w="2552" w:type="dxa"/>
            <w:vMerge/>
          </w:tcPr>
          <w:p w14:paraId="182C7220" w14:textId="77777777" w:rsidR="00BE36FB" w:rsidRPr="009B7B35" w:rsidRDefault="00BE36FB" w:rsidP="001A7107">
            <w:pPr>
              <w:pStyle w:val="TableText"/>
              <w:spacing w:before="46" w:after="46"/>
              <w:rPr>
                <w:rFonts w:cs="Arial"/>
              </w:rPr>
            </w:pPr>
          </w:p>
        </w:tc>
        <w:tc>
          <w:tcPr>
            <w:tcW w:w="2268" w:type="dxa"/>
          </w:tcPr>
          <w:p w14:paraId="7C2305F2"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14:paraId="66A80A53"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1,059 </w:t>
            </w:r>
          </w:p>
        </w:tc>
        <w:tc>
          <w:tcPr>
            <w:tcW w:w="964" w:type="dxa"/>
          </w:tcPr>
          <w:p w14:paraId="57A10444"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1,299 </w:t>
            </w:r>
          </w:p>
        </w:tc>
        <w:tc>
          <w:tcPr>
            <w:tcW w:w="964" w:type="dxa"/>
          </w:tcPr>
          <w:p w14:paraId="572D970B"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1,357 </w:t>
            </w:r>
          </w:p>
        </w:tc>
        <w:tc>
          <w:tcPr>
            <w:tcW w:w="964" w:type="dxa"/>
          </w:tcPr>
          <w:p w14:paraId="0B0861E2"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1,550 </w:t>
            </w:r>
          </w:p>
        </w:tc>
        <w:tc>
          <w:tcPr>
            <w:tcW w:w="964" w:type="dxa"/>
          </w:tcPr>
          <w:p w14:paraId="5B9FC942"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1,759 </w:t>
            </w:r>
          </w:p>
        </w:tc>
      </w:tr>
      <w:tr w:rsidR="00BE36FB" w:rsidRPr="009B7B35" w14:paraId="7BC130F7" w14:textId="77777777"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tcPr>
          <w:p w14:paraId="30B5A4D7" w14:textId="77777777" w:rsidR="00BE36FB" w:rsidRPr="009B7B35" w:rsidRDefault="00BE36FB" w:rsidP="001A7107">
            <w:pPr>
              <w:pStyle w:val="TableText"/>
              <w:spacing w:before="46" w:after="46"/>
              <w:rPr>
                <w:rFonts w:cs="Arial"/>
              </w:rPr>
            </w:pPr>
          </w:p>
        </w:tc>
        <w:tc>
          <w:tcPr>
            <w:tcW w:w="2268" w:type="dxa"/>
          </w:tcPr>
          <w:p w14:paraId="4381A618"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14:paraId="5FCDC653"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248 </w:t>
            </w:r>
          </w:p>
        </w:tc>
        <w:tc>
          <w:tcPr>
            <w:tcW w:w="964" w:type="dxa"/>
          </w:tcPr>
          <w:p w14:paraId="743E55A9"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305 </w:t>
            </w:r>
          </w:p>
        </w:tc>
        <w:tc>
          <w:tcPr>
            <w:tcW w:w="964" w:type="dxa"/>
          </w:tcPr>
          <w:p w14:paraId="166929BC"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318 </w:t>
            </w:r>
          </w:p>
        </w:tc>
        <w:tc>
          <w:tcPr>
            <w:tcW w:w="964" w:type="dxa"/>
          </w:tcPr>
          <w:p w14:paraId="5B72D628"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364 </w:t>
            </w:r>
          </w:p>
        </w:tc>
        <w:tc>
          <w:tcPr>
            <w:tcW w:w="964" w:type="dxa"/>
          </w:tcPr>
          <w:p w14:paraId="5F8E9399"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413 </w:t>
            </w:r>
          </w:p>
        </w:tc>
      </w:tr>
      <w:tr w:rsidR="00BE36FB" w:rsidRPr="009B7B35" w14:paraId="38E2EBAD" w14:textId="77777777" w:rsidTr="001A7107">
        <w:trPr>
          <w:cnfStyle w:val="000000100000" w:firstRow="0" w:lastRow="0" w:firstColumn="0" w:lastColumn="0" w:oddVBand="0" w:evenVBand="0" w:oddHBand="1" w:evenHBand="0" w:firstRowFirstColumn="0" w:firstRowLastColumn="0" w:lastRowFirstColumn="0" w:lastRowLastColumn="0"/>
          <w:cantSplit/>
          <w:trHeight w:val="221"/>
        </w:trPr>
        <w:tc>
          <w:tcPr>
            <w:cnfStyle w:val="001000000000" w:firstRow="0" w:lastRow="0" w:firstColumn="1" w:lastColumn="0" w:oddVBand="0" w:evenVBand="0" w:oddHBand="0" w:evenHBand="0" w:firstRowFirstColumn="0" w:firstRowLastColumn="0" w:lastRowFirstColumn="0" w:lastRowLastColumn="0"/>
            <w:tcW w:w="2552" w:type="dxa"/>
            <w:vMerge/>
          </w:tcPr>
          <w:p w14:paraId="3D807282" w14:textId="77777777" w:rsidR="00BE36FB" w:rsidRPr="009B7B35" w:rsidRDefault="00BE36FB" w:rsidP="001A7107">
            <w:pPr>
              <w:pStyle w:val="TableText"/>
              <w:spacing w:before="46" w:after="46"/>
              <w:rPr>
                <w:rFonts w:cs="Arial"/>
              </w:rPr>
            </w:pPr>
          </w:p>
        </w:tc>
        <w:tc>
          <w:tcPr>
            <w:tcW w:w="2268" w:type="dxa"/>
          </w:tcPr>
          <w:p w14:paraId="03B5CBF5"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14:paraId="705E2A9A"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11,415</w:t>
            </w:r>
          </w:p>
        </w:tc>
        <w:tc>
          <w:tcPr>
            <w:tcW w:w="964" w:type="dxa"/>
          </w:tcPr>
          <w:p w14:paraId="6795436A"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13,995</w:t>
            </w:r>
          </w:p>
        </w:tc>
        <w:tc>
          <w:tcPr>
            <w:tcW w:w="964" w:type="dxa"/>
          </w:tcPr>
          <w:p w14:paraId="644821E2"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14,625</w:t>
            </w:r>
          </w:p>
        </w:tc>
        <w:tc>
          <w:tcPr>
            <w:tcW w:w="964" w:type="dxa"/>
          </w:tcPr>
          <w:p w14:paraId="3E48B5EA"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16,704</w:t>
            </w:r>
          </w:p>
        </w:tc>
        <w:tc>
          <w:tcPr>
            <w:tcW w:w="964" w:type="dxa"/>
          </w:tcPr>
          <w:p w14:paraId="0677B18C"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18,955</w:t>
            </w:r>
          </w:p>
        </w:tc>
      </w:tr>
      <w:tr w:rsidR="00BE36FB" w:rsidRPr="009B7B35" w14:paraId="1FE9C9C4" w14:textId="77777777"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74781EF1" w14:textId="77777777" w:rsidR="00BE36FB" w:rsidRPr="009B7B35" w:rsidRDefault="00BE36FB" w:rsidP="001A7107">
            <w:pPr>
              <w:pStyle w:val="TableText"/>
              <w:spacing w:before="46" w:after="46"/>
              <w:rPr>
                <w:rFonts w:cs="Arial"/>
              </w:rPr>
            </w:pPr>
            <w:r w:rsidRPr="009B7B35">
              <w:rPr>
                <w:rFonts w:cs="Arial"/>
              </w:rPr>
              <w:t xml:space="preserve">Boyne Island – Tannum Sands – Benaraby </w:t>
            </w:r>
          </w:p>
        </w:tc>
        <w:tc>
          <w:tcPr>
            <w:tcW w:w="2268" w:type="dxa"/>
          </w:tcPr>
          <w:p w14:paraId="3F47EE40"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14:paraId="458BD9E7"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5,383 </w:t>
            </w:r>
          </w:p>
        </w:tc>
        <w:tc>
          <w:tcPr>
            <w:tcW w:w="964" w:type="dxa"/>
          </w:tcPr>
          <w:p w14:paraId="213345CA"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6,677 </w:t>
            </w:r>
          </w:p>
        </w:tc>
        <w:tc>
          <w:tcPr>
            <w:tcW w:w="964" w:type="dxa"/>
          </w:tcPr>
          <w:p w14:paraId="47092C2D"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9,727 </w:t>
            </w:r>
          </w:p>
        </w:tc>
        <w:tc>
          <w:tcPr>
            <w:tcW w:w="964" w:type="dxa"/>
          </w:tcPr>
          <w:p w14:paraId="45F0935D"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12,390 </w:t>
            </w:r>
          </w:p>
        </w:tc>
        <w:tc>
          <w:tcPr>
            <w:tcW w:w="964" w:type="dxa"/>
          </w:tcPr>
          <w:p w14:paraId="39522888"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14,870 </w:t>
            </w:r>
          </w:p>
        </w:tc>
      </w:tr>
      <w:tr w:rsidR="00BE36FB" w:rsidRPr="009B7B35" w14:paraId="748B3958" w14:textId="77777777" w:rsidTr="001A7107">
        <w:trPr>
          <w:cnfStyle w:val="000000100000" w:firstRow="0" w:lastRow="0" w:firstColumn="0" w:lastColumn="0" w:oddVBand="0" w:evenVBand="0" w:oddHBand="1" w:evenHBand="0"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tcPr>
          <w:p w14:paraId="66EE2E4E" w14:textId="77777777" w:rsidR="00BE36FB" w:rsidRPr="009B7B35" w:rsidRDefault="00BE36FB" w:rsidP="001A7107">
            <w:pPr>
              <w:pStyle w:val="TableText"/>
              <w:spacing w:before="46" w:after="46"/>
              <w:rPr>
                <w:rFonts w:cs="Arial"/>
              </w:rPr>
            </w:pPr>
          </w:p>
        </w:tc>
        <w:tc>
          <w:tcPr>
            <w:tcW w:w="2268" w:type="dxa"/>
          </w:tcPr>
          <w:p w14:paraId="5A7358D3"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14:paraId="16238579"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179 </w:t>
            </w:r>
          </w:p>
        </w:tc>
        <w:tc>
          <w:tcPr>
            <w:tcW w:w="964" w:type="dxa"/>
          </w:tcPr>
          <w:p w14:paraId="6BC43F3B"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222 </w:t>
            </w:r>
          </w:p>
        </w:tc>
        <w:tc>
          <w:tcPr>
            <w:tcW w:w="964" w:type="dxa"/>
          </w:tcPr>
          <w:p w14:paraId="62BAB730"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324 </w:t>
            </w:r>
          </w:p>
        </w:tc>
        <w:tc>
          <w:tcPr>
            <w:tcW w:w="964" w:type="dxa"/>
          </w:tcPr>
          <w:p w14:paraId="301296E9"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413 </w:t>
            </w:r>
          </w:p>
        </w:tc>
        <w:tc>
          <w:tcPr>
            <w:tcW w:w="964" w:type="dxa"/>
          </w:tcPr>
          <w:p w14:paraId="543446C1"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495 </w:t>
            </w:r>
          </w:p>
        </w:tc>
      </w:tr>
      <w:tr w:rsidR="00BE36FB" w:rsidRPr="009B7B35" w14:paraId="198A72A2" w14:textId="77777777" w:rsidTr="001A7107">
        <w:trPr>
          <w:cnfStyle w:val="000000010000" w:firstRow="0" w:lastRow="0" w:firstColumn="0" w:lastColumn="0" w:oddVBand="0" w:evenVBand="0" w:oddHBand="0" w:evenHBand="1"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tcPr>
          <w:p w14:paraId="1C23E001" w14:textId="77777777" w:rsidR="00BE36FB" w:rsidRPr="009B7B35" w:rsidRDefault="00BE36FB" w:rsidP="001A7107">
            <w:pPr>
              <w:pStyle w:val="TableText"/>
              <w:spacing w:before="46" w:after="46"/>
              <w:rPr>
                <w:rFonts w:cs="Arial"/>
              </w:rPr>
            </w:pPr>
          </w:p>
        </w:tc>
        <w:tc>
          <w:tcPr>
            <w:tcW w:w="2268" w:type="dxa"/>
          </w:tcPr>
          <w:p w14:paraId="275543BB"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14:paraId="0D142DB6"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407 </w:t>
            </w:r>
          </w:p>
        </w:tc>
        <w:tc>
          <w:tcPr>
            <w:tcW w:w="964" w:type="dxa"/>
          </w:tcPr>
          <w:p w14:paraId="5A2A4B40"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505 </w:t>
            </w:r>
          </w:p>
        </w:tc>
        <w:tc>
          <w:tcPr>
            <w:tcW w:w="964" w:type="dxa"/>
          </w:tcPr>
          <w:p w14:paraId="2395AF91"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736 </w:t>
            </w:r>
          </w:p>
        </w:tc>
        <w:tc>
          <w:tcPr>
            <w:tcW w:w="964" w:type="dxa"/>
          </w:tcPr>
          <w:p w14:paraId="407D14EF"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938 </w:t>
            </w:r>
          </w:p>
        </w:tc>
        <w:tc>
          <w:tcPr>
            <w:tcW w:w="964" w:type="dxa"/>
          </w:tcPr>
          <w:p w14:paraId="1998E4B3"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1,125 </w:t>
            </w:r>
          </w:p>
        </w:tc>
      </w:tr>
      <w:tr w:rsidR="00BE36FB" w:rsidRPr="009B7B35" w14:paraId="3D82D55C" w14:textId="77777777" w:rsidTr="001A7107">
        <w:trPr>
          <w:cnfStyle w:val="000000100000" w:firstRow="0" w:lastRow="0" w:firstColumn="0" w:lastColumn="0" w:oddVBand="0" w:evenVBand="0" w:oddHBand="1" w:evenHBand="0" w:firstRowFirstColumn="0" w:firstRowLastColumn="0" w:lastRowFirstColumn="0" w:lastRowLastColumn="0"/>
          <w:cantSplit/>
          <w:trHeight w:val="223"/>
        </w:trPr>
        <w:tc>
          <w:tcPr>
            <w:cnfStyle w:val="001000000000" w:firstRow="0" w:lastRow="0" w:firstColumn="1" w:lastColumn="0" w:oddVBand="0" w:evenVBand="0" w:oddHBand="0" w:evenHBand="0" w:firstRowFirstColumn="0" w:firstRowLastColumn="0" w:lastRowFirstColumn="0" w:lastRowLastColumn="0"/>
            <w:tcW w:w="2552" w:type="dxa"/>
            <w:vMerge/>
          </w:tcPr>
          <w:p w14:paraId="6F5C6EE4" w14:textId="77777777" w:rsidR="00BE36FB" w:rsidRPr="009B7B35" w:rsidRDefault="00BE36FB" w:rsidP="001A7107">
            <w:pPr>
              <w:pStyle w:val="TableText"/>
              <w:spacing w:before="46" w:after="46"/>
              <w:rPr>
                <w:rFonts w:cs="Arial"/>
              </w:rPr>
            </w:pPr>
          </w:p>
        </w:tc>
        <w:tc>
          <w:tcPr>
            <w:tcW w:w="2268" w:type="dxa"/>
          </w:tcPr>
          <w:p w14:paraId="481709F4"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14:paraId="36E5A97C"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5,970</w:t>
            </w:r>
          </w:p>
        </w:tc>
        <w:tc>
          <w:tcPr>
            <w:tcW w:w="964" w:type="dxa"/>
          </w:tcPr>
          <w:p w14:paraId="23A3DDB4"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7,405</w:t>
            </w:r>
          </w:p>
        </w:tc>
        <w:tc>
          <w:tcPr>
            <w:tcW w:w="964" w:type="dxa"/>
          </w:tcPr>
          <w:p w14:paraId="607D0C31"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10,787</w:t>
            </w:r>
          </w:p>
        </w:tc>
        <w:tc>
          <w:tcPr>
            <w:tcW w:w="964" w:type="dxa"/>
          </w:tcPr>
          <w:p w14:paraId="3849B0C8"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13,741</w:t>
            </w:r>
          </w:p>
        </w:tc>
        <w:tc>
          <w:tcPr>
            <w:tcW w:w="964" w:type="dxa"/>
          </w:tcPr>
          <w:p w14:paraId="7E0FC198"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16,491</w:t>
            </w:r>
          </w:p>
        </w:tc>
      </w:tr>
      <w:tr w:rsidR="00BE36FB" w:rsidRPr="009B7B35" w14:paraId="00D278D5" w14:textId="77777777" w:rsidTr="001A7107">
        <w:trPr>
          <w:cnfStyle w:val="000000010000" w:firstRow="0" w:lastRow="0" w:firstColumn="0" w:lastColumn="0" w:oddVBand="0" w:evenVBand="0" w:oddHBand="0" w:evenHBand="1"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5F400F0D" w14:textId="77777777" w:rsidR="00BE36FB" w:rsidRPr="009B7B35" w:rsidRDefault="00BE36FB" w:rsidP="001A7107">
            <w:pPr>
              <w:pStyle w:val="TableText"/>
              <w:spacing w:before="46" w:after="46"/>
              <w:rPr>
                <w:rFonts w:cs="Arial"/>
              </w:rPr>
            </w:pPr>
            <w:r w:rsidRPr="009B7B35">
              <w:rPr>
                <w:rFonts w:cs="Arial"/>
              </w:rPr>
              <w:t xml:space="preserve">Gladstone Hinterland (aka Calliope) </w:t>
            </w:r>
          </w:p>
        </w:tc>
        <w:tc>
          <w:tcPr>
            <w:tcW w:w="2268" w:type="dxa"/>
          </w:tcPr>
          <w:p w14:paraId="378E3D64"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14:paraId="66D5ECBC"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5,747 </w:t>
            </w:r>
          </w:p>
        </w:tc>
        <w:tc>
          <w:tcPr>
            <w:tcW w:w="964" w:type="dxa"/>
          </w:tcPr>
          <w:p w14:paraId="37E7C61C"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6,891 </w:t>
            </w:r>
          </w:p>
        </w:tc>
        <w:tc>
          <w:tcPr>
            <w:tcW w:w="964" w:type="dxa"/>
          </w:tcPr>
          <w:p w14:paraId="51A7E388"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8,431 </w:t>
            </w:r>
          </w:p>
        </w:tc>
        <w:tc>
          <w:tcPr>
            <w:tcW w:w="964" w:type="dxa"/>
          </w:tcPr>
          <w:p w14:paraId="30D0BD90"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9,632 </w:t>
            </w:r>
          </w:p>
        </w:tc>
        <w:tc>
          <w:tcPr>
            <w:tcW w:w="964" w:type="dxa"/>
          </w:tcPr>
          <w:p w14:paraId="5304F908"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10,850 </w:t>
            </w:r>
          </w:p>
        </w:tc>
      </w:tr>
      <w:tr w:rsidR="00BE36FB" w:rsidRPr="009B7B35" w14:paraId="199406B1" w14:textId="77777777" w:rsidTr="001A7107">
        <w:trPr>
          <w:cnfStyle w:val="000000100000" w:firstRow="0" w:lastRow="0" w:firstColumn="0" w:lastColumn="0" w:oddVBand="0" w:evenVBand="0" w:oddHBand="1" w:evenHBand="0"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tcPr>
          <w:p w14:paraId="25723D73" w14:textId="77777777" w:rsidR="00BE36FB" w:rsidRPr="009B7B35" w:rsidRDefault="00BE36FB" w:rsidP="001A7107">
            <w:pPr>
              <w:pStyle w:val="TableText"/>
              <w:spacing w:before="46" w:after="46"/>
              <w:rPr>
                <w:rFonts w:cs="Arial"/>
              </w:rPr>
            </w:pPr>
          </w:p>
        </w:tc>
        <w:tc>
          <w:tcPr>
            <w:tcW w:w="2268" w:type="dxa"/>
          </w:tcPr>
          <w:p w14:paraId="2AAC35DA"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14:paraId="2B9ABFB4"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191 </w:t>
            </w:r>
          </w:p>
        </w:tc>
        <w:tc>
          <w:tcPr>
            <w:tcW w:w="964" w:type="dxa"/>
          </w:tcPr>
          <w:p w14:paraId="6AB933DE"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230 </w:t>
            </w:r>
          </w:p>
        </w:tc>
        <w:tc>
          <w:tcPr>
            <w:tcW w:w="964" w:type="dxa"/>
          </w:tcPr>
          <w:p w14:paraId="5E07BB2D"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281 </w:t>
            </w:r>
          </w:p>
        </w:tc>
        <w:tc>
          <w:tcPr>
            <w:tcW w:w="964" w:type="dxa"/>
          </w:tcPr>
          <w:p w14:paraId="69A4A8AD"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321 </w:t>
            </w:r>
          </w:p>
        </w:tc>
        <w:tc>
          <w:tcPr>
            <w:tcW w:w="964" w:type="dxa"/>
          </w:tcPr>
          <w:p w14:paraId="6CE7F44C"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361 </w:t>
            </w:r>
          </w:p>
        </w:tc>
      </w:tr>
      <w:tr w:rsidR="00BE36FB" w:rsidRPr="009B7B35" w14:paraId="6499B744" w14:textId="77777777" w:rsidTr="001A7107">
        <w:trPr>
          <w:cnfStyle w:val="000000010000" w:firstRow="0" w:lastRow="0" w:firstColumn="0" w:lastColumn="0" w:oddVBand="0" w:evenVBand="0" w:oddHBand="0" w:evenHBand="1" w:firstRowFirstColumn="0" w:firstRowLastColumn="0" w:lastRowFirstColumn="0" w:lastRowLastColumn="0"/>
          <w:cantSplit/>
          <w:trHeight w:val="229"/>
        </w:trPr>
        <w:tc>
          <w:tcPr>
            <w:cnfStyle w:val="001000000000" w:firstRow="0" w:lastRow="0" w:firstColumn="1" w:lastColumn="0" w:oddVBand="0" w:evenVBand="0" w:oddHBand="0" w:evenHBand="0" w:firstRowFirstColumn="0" w:firstRowLastColumn="0" w:lastRowFirstColumn="0" w:lastRowLastColumn="0"/>
            <w:tcW w:w="2552" w:type="dxa"/>
            <w:vMerge/>
          </w:tcPr>
          <w:p w14:paraId="5ED16A2C" w14:textId="77777777" w:rsidR="00BE36FB" w:rsidRPr="009B7B35" w:rsidRDefault="00BE36FB" w:rsidP="001A7107">
            <w:pPr>
              <w:pStyle w:val="TableText"/>
              <w:spacing w:before="46" w:after="46"/>
              <w:rPr>
                <w:rFonts w:cs="Arial"/>
              </w:rPr>
            </w:pPr>
          </w:p>
        </w:tc>
        <w:tc>
          <w:tcPr>
            <w:tcW w:w="2268" w:type="dxa"/>
          </w:tcPr>
          <w:p w14:paraId="22E30AD4"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14:paraId="7B232F9E"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435 </w:t>
            </w:r>
          </w:p>
        </w:tc>
        <w:tc>
          <w:tcPr>
            <w:tcW w:w="964" w:type="dxa"/>
          </w:tcPr>
          <w:p w14:paraId="0FE6C0FB"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521 </w:t>
            </w:r>
          </w:p>
        </w:tc>
        <w:tc>
          <w:tcPr>
            <w:tcW w:w="964" w:type="dxa"/>
          </w:tcPr>
          <w:p w14:paraId="228604F9"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638 </w:t>
            </w:r>
          </w:p>
        </w:tc>
        <w:tc>
          <w:tcPr>
            <w:tcW w:w="964" w:type="dxa"/>
          </w:tcPr>
          <w:p w14:paraId="0A79893F"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729 </w:t>
            </w:r>
          </w:p>
        </w:tc>
        <w:tc>
          <w:tcPr>
            <w:tcW w:w="964" w:type="dxa"/>
          </w:tcPr>
          <w:p w14:paraId="7392DF9E" w14:textId="77777777" w:rsidR="00BE36FB" w:rsidRPr="009B7B35" w:rsidRDefault="00BE36FB" w:rsidP="001A7107">
            <w:pPr>
              <w:pStyle w:val="TableText"/>
              <w:spacing w:before="46" w:after="46"/>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821 </w:t>
            </w:r>
          </w:p>
        </w:tc>
      </w:tr>
      <w:tr w:rsidR="00BE36FB" w:rsidRPr="009B7B35" w14:paraId="74572F18" w14:textId="77777777" w:rsidTr="001A7107">
        <w:trPr>
          <w:cnfStyle w:val="000000100000" w:firstRow="0" w:lastRow="0" w:firstColumn="0" w:lastColumn="0" w:oddVBand="0" w:evenVBand="0" w:oddHBand="1" w:evenHBand="0" w:firstRowFirstColumn="0" w:firstRowLastColumn="0" w:lastRowFirstColumn="0" w:lastRowLastColumn="0"/>
          <w:cantSplit/>
          <w:trHeight w:val="222"/>
        </w:trPr>
        <w:tc>
          <w:tcPr>
            <w:cnfStyle w:val="001000000000" w:firstRow="0" w:lastRow="0" w:firstColumn="1" w:lastColumn="0" w:oddVBand="0" w:evenVBand="0" w:oddHBand="0" w:evenHBand="0" w:firstRowFirstColumn="0" w:firstRowLastColumn="0" w:lastRowFirstColumn="0" w:lastRowLastColumn="0"/>
            <w:tcW w:w="2552" w:type="dxa"/>
            <w:vMerge/>
          </w:tcPr>
          <w:p w14:paraId="7818AA1B" w14:textId="77777777" w:rsidR="00BE36FB" w:rsidRPr="009B7B35" w:rsidRDefault="00BE36FB" w:rsidP="001A7107">
            <w:pPr>
              <w:pStyle w:val="TableText"/>
              <w:spacing w:before="46" w:after="46"/>
              <w:rPr>
                <w:rFonts w:cs="Arial"/>
              </w:rPr>
            </w:pPr>
          </w:p>
        </w:tc>
        <w:tc>
          <w:tcPr>
            <w:tcW w:w="2268" w:type="dxa"/>
          </w:tcPr>
          <w:p w14:paraId="6542B80E"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14:paraId="4B9BE0CE"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6,374</w:t>
            </w:r>
          </w:p>
        </w:tc>
        <w:tc>
          <w:tcPr>
            <w:tcW w:w="964" w:type="dxa"/>
          </w:tcPr>
          <w:p w14:paraId="360C1202"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7,642</w:t>
            </w:r>
          </w:p>
        </w:tc>
        <w:tc>
          <w:tcPr>
            <w:tcW w:w="964" w:type="dxa"/>
          </w:tcPr>
          <w:p w14:paraId="081BA209"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9,350</w:t>
            </w:r>
          </w:p>
        </w:tc>
        <w:tc>
          <w:tcPr>
            <w:tcW w:w="964" w:type="dxa"/>
          </w:tcPr>
          <w:p w14:paraId="2723D570"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10,681</w:t>
            </w:r>
          </w:p>
        </w:tc>
        <w:tc>
          <w:tcPr>
            <w:tcW w:w="964" w:type="dxa"/>
          </w:tcPr>
          <w:p w14:paraId="24BFFCEF" w14:textId="77777777" w:rsidR="00BE36FB" w:rsidRPr="009B7B35" w:rsidRDefault="00BE36FB" w:rsidP="001A7107">
            <w:pPr>
              <w:pStyle w:val="TableText"/>
              <w:spacing w:before="46" w:after="46"/>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12,033</w:t>
            </w:r>
          </w:p>
        </w:tc>
      </w:tr>
      <w:tr w:rsidR="00BE36FB" w:rsidRPr="009B7B35" w14:paraId="27D7FC1E" w14:textId="77777777"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4FB6967E" w14:textId="77777777" w:rsidR="00BE36FB" w:rsidRPr="009B7B35" w:rsidRDefault="00BE36FB" w:rsidP="001A7107">
            <w:pPr>
              <w:pStyle w:val="TableText"/>
              <w:rPr>
                <w:rFonts w:cs="Arial"/>
              </w:rPr>
            </w:pPr>
            <w:r w:rsidRPr="009B7B35">
              <w:rPr>
                <w:rFonts w:cs="Arial"/>
              </w:rPr>
              <w:t xml:space="preserve">Agnes Waters – Miriam Vale </w:t>
            </w:r>
          </w:p>
        </w:tc>
        <w:tc>
          <w:tcPr>
            <w:tcW w:w="2268" w:type="dxa"/>
          </w:tcPr>
          <w:p w14:paraId="2AB8337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14:paraId="779B584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2,810 </w:t>
            </w:r>
          </w:p>
        </w:tc>
        <w:tc>
          <w:tcPr>
            <w:tcW w:w="964" w:type="dxa"/>
          </w:tcPr>
          <w:p w14:paraId="1D97C71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3,097 </w:t>
            </w:r>
          </w:p>
        </w:tc>
        <w:tc>
          <w:tcPr>
            <w:tcW w:w="964" w:type="dxa"/>
          </w:tcPr>
          <w:p w14:paraId="62BE531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3,363 </w:t>
            </w:r>
          </w:p>
        </w:tc>
        <w:tc>
          <w:tcPr>
            <w:tcW w:w="964" w:type="dxa"/>
          </w:tcPr>
          <w:p w14:paraId="3A87667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3,632 </w:t>
            </w:r>
          </w:p>
        </w:tc>
        <w:tc>
          <w:tcPr>
            <w:tcW w:w="964" w:type="dxa"/>
          </w:tcPr>
          <w:p w14:paraId="777392E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3,906 </w:t>
            </w:r>
          </w:p>
        </w:tc>
      </w:tr>
      <w:tr w:rsidR="00BE36FB" w:rsidRPr="009B7B35" w14:paraId="435D552D" w14:textId="77777777" w:rsidTr="001A7107">
        <w:trPr>
          <w:cnfStyle w:val="000000100000" w:firstRow="0" w:lastRow="0" w:firstColumn="0" w:lastColumn="0" w:oddVBand="0" w:evenVBand="0" w:oddHBand="1" w:evenHBand="0" w:firstRowFirstColumn="0" w:firstRowLastColumn="0" w:lastRowFirstColumn="0" w:lastRowLastColumn="0"/>
          <w:cantSplit/>
          <w:trHeight w:val="226"/>
        </w:trPr>
        <w:tc>
          <w:tcPr>
            <w:cnfStyle w:val="001000000000" w:firstRow="0" w:lastRow="0" w:firstColumn="1" w:lastColumn="0" w:oddVBand="0" w:evenVBand="0" w:oddHBand="0" w:evenHBand="0" w:firstRowFirstColumn="0" w:firstRowLastColumn="0" w:lastRowFirstColumn="0" w:lastRowLastColumn="0"/>
            <w:tcW w:w="2552" w:type="dxa"/>
            <w:vMerge/>
          </w:tcPr>
          <w:p w14:paraId="23EFCDF6" w14:textId="77777777" w:rsidR="00BE36FB" w:rsidRPr="009B7B35" w:rsidRDefault="00BE36FB" w:rsidP="001A7107">
            <w:pPr>
              <w:pStyle w:val="TableText"/>
              <w:rPr>
                <w:rFonts w:cs="Arial"/>
              </w:rPr>
            </w:pPr>
          </w:p>
        </w:tc>
        <w:tc>
          <w:tcPr>
            <w:tcW w:w="2268" w:type="dxa"/>
          </w:tcPr>
          <w:p w14:paraId="41BD1FA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14:paraId="0F73EF8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130 </w:t>
            </w:r>
          </w:p>
        </w:tc>
        <w:tc>
          <w:tcPr>
            <w:tcW w:w="964" w:type="dxa"/>
          </w:tcPr>
          <w:p w14:paraId="6DB81DA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143 </w:t>
            </w:r>
          </w:p>
        </w:tc>
        <w:tc>
          <w:tcPr>
            <w:tcW w:w="964" w:type="dxa"/>
          </w:tcPr>
          <w:p w14:paraId="4B5657D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156 </w:t>
            </w:r>
          </w:p>
        </w:tc>
        <w:tc>
          <w:tcPr>
            <w:tcW w:w="964" w:type="dxa"/>
          </w:tcPr>
          <w:p w14:paraId="4A74107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168 </w:t>
            </w:r>
          </w:p>
        </w:tc>
        <w:tc>
          <w:tcPr>
            <w:tcW w:w="964" w:type="dxa"/>
          </w:tcPr>
          <w:p w14:paraId="61A99F9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181 </w:t>
            </w:r>
          </w:p>
        </w:tc>
      </w:tr>
      <w:tr w:rsidR="00BE36FB" w:rsidRPr="009B7B35" w14:paraId="6888DEA8" w14:textId="77777777"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tcPr>
          <w:p w14:paraId="6E9984F3" w14:textId="77777777" w:rsidR="00BE36FB" w:rsidRPr="009B7B35" w:rsidRDefault="00BE36FB" w:rsidP="001A7107">
            <w:pPr>
              <w:pStyle w:val="TableText"/>
              <w:rPr>
                <w:rFonts w:cs="Arial"/>
              </w:rPr>
            </w:pPr>
          </w:p>
        </w:tc>
        <w:tc>
          <w:tcPr>
            <w:tcW w:w="2268" w:type="dxa"/>
          </w:tcPr>
          <w:p w14:paraId="128E43C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14:paraId="76CC147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464 </w:t>
            </w:r>
          </w:p>
        </w:tc>
        <w:tc>
          <w:tcPr>
            <w:tcW w:w="964" w:type="dxa"/>
          </w:tcPr>
          <w:p w14:paraId="0E3A293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511 </w:t>
            </w:r>
          </w:p>
        </w:tc>
        <w:tc>
          <w:tcPr>
            <w:tcW w:w="964" w:type="dxa"/>
          </w:tcPr>
          <w:p w14:paraId="684D0DD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555 </w:t>
            </w:r>
          </w:p>
        </w:tc>
        <w:tc>
          <w:tcPr>
            <w:tcW w:w="964" w:type="dxa"/>
          </w:tcPr>
          <w:p w14:paraId="6F197EB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600 </w:t>
            </w:r>
          </w:p>
        </w:tc>
        <w:tc>
          <w:tcPr>
            <w:tcW w:w="964" w:type="dxa"/>
          </w:tcPr>
          <w:p w14:paraId="401E615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645 </w:t>
            </w:r>
          </w:p>
        </w:tc>
      </w:tr>
      <w:tr w:rsidR="00BE36FB" w:rsidRPr="009B7B35" w14:paraId="66AE39A0" w14:textId="77777777" w:rsidTr="001A7107">
        <w:trPr>
          <w:cnfStyle w:val="000000100000" w:firstRow="0" w:lastRow="0" w:firstColumn="0" w:lastColumn="0" w:oddVBand="0" w:evenVBand="0" w:oddHBand="1" w:evenHBand="0" w:firstRowFirstColumn="0" w:firstRowLastColumn="0" w:lastRowFirstColumn="0" w:lastRowLastColumn="0"/>
          <w:cantSplit/>
          <w:trHeight w:val="221"/>
        </w:trPr>
        <w:tc>
          <w:tcPr>
            <w:cnfStyle w:val="001000000000" w:firstRow="0" w:lastRow="0" w:firstColumn="1" w:lastColumn="0" w:oddVBand="0" w:evenVBand="0" w:oddHBand="0" w:evenHBand="0" w:firstRowFirstColumn="0" w:firstRowLastColumn="0" w:lastRowFirstColumn="0" w:lastRowLastColumn="0"/>
            <w:tcW w:w="2552" w:type="dxa"/>
            <w:vMerge/>
          </w:tcPr>
          <w:p w14:paraId="65D2B8A2" w14:textId="77777777" w:rsidR="00BE36FB" w:rsidRPr="009B7B35" w:rsidRDefault="00BE36FB" w:rsidP="001A7107">
            <w:pPr>
              <w:pStyle w:val="TableText"/>
              <w:rPr>
                <w:rFonts w:cs="Arial"/>
              </w:rPr>
            </w:pPr>
          </w:p>
        </w:tc>
        <w:tc>
          <w:tcPr>
            <w:tcW w:w="2268" w:type="dxa"/>
          </w:tcPr>
          <w:p w14:paraId="6002046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14:paraId="486EDBC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3,404</w:t>
            </w:r>
          </w:p>
        </w:tc>
        <w:tc>
          <w:tcPr>
            <w:tcW w:w="964" w:type="dxa"/>
          </w:tcPr>
          <w:p w14:paraId="5FF303C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3,751</w:t>
            </w:r>
          </w:p>
        </w:tc>
        <w:tc>
          <w:tcPr>
            <w:tcW w:w="964" w:type="dxa"/>
          </w:tcPr>
          <w:p w14:paraId="08E53EB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4,074</w:t>
            </w:r>
          </w:p>
        </w:tc>
        <w:tc>
          <w:tcPr>
            <w:tcW w:w="964" w:type="dxa"/>
          </w:tcPr>
          <w:p w14:paraId="5DA2CBC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4,400</w:t>
            </w:r>
          </w:p>
        </w:tc>
        <w:tc>
          <w:tcPr>
            <w:tcW w:w="964" w:type="dxa"/>
          </w:tcPr>
          <w:p w14:paraId="496FF24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4,732</w:t>
            </w:r>
          </w:p>
        </w:tc>
      </w:tr>
      <w:tr w:rsidR="00BE36FB" w:rsidRPr="009B7B35" w14:paraId="5FB0594F" w14:textId="77777777"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44E592EE" w14:textId="77777777" w:rsidR="00BE36FB" w:rsidRPr="009B7B35" w:rsidRDefault="00BE36FB" w:rsidP="001A7107">
            <w:pPr>
              <w:pStyle w:val="TableText"/>
              <w:rPr>
                <w:rFonts w:cs="Arial"/>
              </w:rPr>
            </w:pPr>
            <w:r w:rsidRPr="009B7B35">
              <w:rPr>
                <w:rFonts w:cs="Arial"/>
              </w:rPr>
              <w:t xml:space="preserve">Outside PIA </w:t>
            </w:r>
          </w:p>
        </w:tc>
        <w:tc>
          <w:tcPr>
            <w:tcW w:w="2268" w:type="dxa"/>
          </w:tcPr>
          <w:p w14:paraId="36428C3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14:paraId="3209754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9,294 </w:t>
            </w:r>
          </w:p>
        </w:tc>
        <w:tc>
          <w:tcPr>
            <w:tcW w:w="964" w:type="dxa"/>
          </w:tcPr>
          <w:p w14:paraId="2FE48B6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11,110 </w:t>
            </w:r>
          </w:p>
        </w:tc>
        <w:tc>
          <w:tcPr>
            <w:tcW w:w="964" w:type="dxa"/>
          </w:tcPr>
          <w:p w14:paraId="6DC4656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14,348 </w:t>
            </w:r>
          </w:p>
        </w:tc>
        <w:tc>
          <w:tcPr>
            <w:tcW w:w="964" w:type="dxa"/>
          </w:tcPr>
          <w:p w14:paraId="2273E83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17,103 </w:t>
            </w:r>
          </w:p>
        </w:tc>
        <w:tc>
          <w:tcPr>
            <w:tcW w:w="964" w:type="dxa"/>
          </w:tcPr>
          <w:p w14:paraId="53A0ECF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19,751 </w:t>
            </w:r>
          </w:p>
        </w:tc>
      </w:tr>
      <w:tr w:rsidR="00BE36FB" w:rsidRPr="009B7B35" w14:paraId="5F6C9DE3" w14:textId="77777777" w:rsidTr="001A7107">
        <w:trPr>
          <w:cnfStyle w:val="000000100000" w:firstRow="0" w:lastRow="0" w:firstColumn="0" w:lastColumn="0" w:oddVBand="0" w:evenVBand="0" w:oddHBand="1" w:evenHBand="0" w:firstRowFirstColumn="0" w:firstRowLastColumn="0" w:lastRowFirstColumn="0" w:lastRowLastColumn="0"/>
          <w:cantSplit/>
          <w:trHeight w:val="226"/>
        </w:trPr>
        <w:tc>
          <w:tcPr>
            <w:cnfStyle w:val="001000000000" w:firstRow="0" w:lastRow="0" w:firstColumn="1" w:lastColumn="0" w:oddVBand="0" w:evenVBand="0" w:oddHBand="0" w:evenHBand="0" w:firstRowFirstColumn="0" w:firstRowLastColumn="0" w:lastRowFirstColumn="0" w:lastRowLastColumn="0"/>
            <w:tcW w:w="2552" w:type="dxa"/>
            <w:vMerge/>
          </w:tcPr>
          <w:p w14:paraId="0B5F1CC5" w14:textId="77777777" w:rsidR="00BE36FB" w:rsidRPr="009B7B35" w:rsidRDefault="00BE36FB" w:rsidP="001A7107">
            <w:pPr>
              <w:pStyle w:val="TableText"/>
              <w:rPr>
                <w:rFonts w:cs="Arial"/>
              </w:rPr>
            </w:pPr>
          </w:p>
        </w:tc>
        <w:tc>
          <w:tcPr>
            <w:tcW w:w="2268" w:type="dxa"/>
          </w:tcPr>
          <w:p w14:paraId="5ADF68B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14:paraId="47C1025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334 </w:t>
            </w:r>
          </w:p>
        </w:tc>
        <w:tc>
          <w:tcPr>
            <w:tcW w:w="964" w:type="dxa"/>
          </w:tcPr>
          <w:p w14:paraId="5283462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397 </w:t>
            </w:r>
          </w:p>
        </w:tc>
        <w:tc>
          <w:tcPr>
            <w:tcW w:w="964" w:type="dxa"/>
          </w:tcPr>
          <w:p w14:paraId="112726C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507 </w:t>
            </w:r>
          </w:p>
        </w:tc>
        <w:tc>
          <w:tcPr>
            <w:tcW w:w="964" w:type="dxa"/>
          </w:tcPr>
          <w:p w14:paraId="260672C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601 </w:t>
            </w:r>
          </w:p>
        </w:tc>
        <w:tc>
          <w:tcPr>
            <w:tcW w:w="964" w:type="dxa"/>
          </w:tcPr>
          <w:p w14:paraId="606D629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692 </w:t>
            </w:r>
          </w:p>
        </w:tc>
      </w:tr>
      <w:tr w:rsidR="00BE36FB" w:rsidRPr="009B7B35" w14:paraId="22CB9032" w14:textId="77777777" w:rsidTr="001A7107">
        <w:trPr>
          <w:cnfStyle w:val="000000010000" w:firstRow="0" w:lastRow="0" w:firstColumn="0" w:lastColumn="0" w:oddVBand="0" w:evenVBand="0" w:oddHBand="0" w:evenHBand="1" w:firstRowFirstColumn="0" w:firstRowLastColumn="0" w:lastRowFirstColumn="0" w:lastRowLastColumn="0"/>
          <w:cantSplit/>
          <w:trHeight w:val="230"/>
        </w:trPr>
        <w:tc>
          <w:tcPr>
            <w:cnfStyle w:val="001000000000" w:firstRow="0" w:lastRow="0" w:firstColumn="1" w:lastColumn="0" w:oddVBand="0" w:evenVBand="0" w:oddHBand="0" w:evenHBand="0" w:firstRowFirstColumn="0" w:firstRowLastColumn="0" w:lastRowFirstColumn="0" w:lastRowLastColumn="0"/>
            <w:tcW w:w="2552" w:type="dxa"/>
            <w:vMerge/>
          </w:tcPr>
          <w:p w14:paraId="64F1F58A" w14:textId="77777777" w:rsidR="00BE36FB" w:rsidRPr="009B7B35" w:rsidRDefault="00BE36FB" w:rsidP="001A7107">
            <w:pPr>
              <w:pStyle w:val="TableText"/>
              <w:rPr>
                <w:rFonts w:cs="Arial"/>
              </w:rPr>
            </w:pPr>
          </w:p>
        </w:tc>
        <w:tc>
          <w:tcPr>
            <w:tcW w:w="2268" w:type="dxa"/>
          </w:tcPr>
          <w:p w14:paraId="3165947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14:paraId="20FC565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871 </w:t>
            </w:r>
          </w:p>
        </w:tc>
        <w:tc>
          <w:tcPr>
            <w:tcW w:w="964" w:type="dxa"/>
          </w:tcPr>
          <w:p w14:paraId="0B8936A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1,025 </w:t>
            </w:r>
          </w:p>
        </w:tc>
        <w:tc>
          <w:tcPr>
            <w:tcW w:w="964" w:type="dxa"/>
          </w:tcPr>
          <w:p w14:paraId="2A025F7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1,286 </w:t>
            </w:r>
          </w:p>
        </w:tc>
        <w:tc>
          <w:tcPr>
            <w:tcW w:w="964" w:type="dxa"/>
          </w:tcPr>
          <w:p w14:paraId="3816087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1,511 </w:t>
            </w:r>
          </w:p>
        </w:tc>
        <w:tc>
          <w:tcPr>
            <w:tcW w:w="964" w:type="dxa"/>
          </w:tcPr>
          <w:p w14:paraId="404E9C3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1,727 </w:t>
            </w:r>
          </w:p>
        </w:tc>
      </w:tr>
      <w:tr w:rsidR="00BE36FB" w:rsidRPr="009B7B35" w14:paraId="34067829" w14:textId="77777777" w:rsidTr="001A7107">
        <w:trPr>
          <w:cnfStyle w:val="000000100000" w:firstRow="0" w:lastRow="0" w:firstColumn="0" w:lastColumn="0" w:oddVBand="0" w:evenVBand="0" w:oddHBand="1" w:evenHBand="0" w:firstRowFirstColumn="0" w:firstRowLastColumn="0" w:lastRowFirstColumn="0" w:lastRowLastColumn="0"/>
          <w:cantSplit/>
          <w:trHeight w:val="223"/>
        </w:trPr>
        <w:tc>
          <w:tcPr>
            <w:cnfStyle w:val="001000000000" w:firstRow="0" w:lastRow="0" w:firstColumn="1" w:lastColumn="0" w:oddVBand="0" w:evenVBand="0" w:oddHBand="0" w:evenHBand="0" w:firstRowFirstColumn="0" w:firstRowLastColumn="0" w:lastRowFirstColumn="0" w:lastRowLastColumn="0"/>
            <w:tcW w:w="2552" w:type="dxa"/>
            <w:vMerge/>
          </w:tcPr>
          <w:p w14:paraId="76679A10" w14:textId="77777777" w:rsidR="00BE36FB" w:rsidRPr="009B7B35" w:rsidRDefault="00BE36FB" w:rsidP="001A7107">
            <w:pPr>
              <w:pStyle w:val="TableText"/>
              <w:rPr>
                <w:rFonts w:cs="Arial"/>
              </w:rPr>
            </w:pPr>
          </w:p>
        </w:tc>
        <w:tc>
          <w:tcPr>
            <w:tcW w:w="2268" w:type="dxa"/>
          </w:tcPr>
          <w:p w14:paraId="7F8E581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14:paraId="12D6430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10,498</w:t>
            </w:r>
          </w:p>
        </w:tc>
        <w:tc>
          <w:tcPr>
            <w:tcW w:w="964" w:type="dxa"/>
          </w:tcPr>
          <w:p w14:paraId="40D505F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12,532</w:t>
            </w:r>
          </w:p>
        </w:tc>
        <w:tc>
          <w:tcPr>
            <w:tcW w:w="964" w:type="dxa"/>
          </w:tcPr>
          <w:p w14:paraId="475343C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16,141</w:t>
            </w:r>
          </w:p>
        </w:tc>
        <w:tc>
          <w:tcPr>
            <w:tcW w:w="964" w:type="dxa"/>
          </w:tcPr>
          <w:p w14:paraId="605B073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19,215</w:t>
            </w:r>
          </w:p>
        </w:tc>
        <w:tc>
          <w:tcPr>
            <w:tcW w:w="964" w:type="dxa"/>
          </w:tcPr>
          <w:p w14:paraId="1F30F3D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22,170</w:t>
            </w:r>
          </w:p>
        </w:tc>
      </w:tr>
      <w:tr w:rsidR="00BE36FB" w:rsidRPr="009B7B35" w14:paraId="5B99361D" w14:textId="77777777" w:rsidTr="001A7107">
        <w:trPr>
          <w:cnfStyle w:val="000000010000" w:firstRow="0" w:lastRow="0" w:firstColumn="0" w:lastColumn="0" w:oddVBand="0" w:evenVBand="0" w:oddHBand="0" w:evenHBand="1"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773C918F" w14:textId="77777777" w:rsidR="00BE36FB" w:rsidRPr="009B7B35" w:rsidRDefault="00BE36FB" w:rsidP="001A7107">
            <w:pPr>
              <w:pStyle w:val="TableText"/>
              <w:rPr>
                <w:rFonts w:cs="Arial"/>
              </w:rPr>
            </w:pPr>
            <w:r w:rsidRPr="009B7B35">
              <w:rPr>
                <w:rFonts w:cs="Arial"/>
              </w:rPr>
              <w:t xml:space="preserve">Gladstone Regional Area </w:t>
            </w:r>
          </w:p>
        </w:tc>
        <w:tc>
          <w:tcPr>
            <w:tcW w:w="2268" w:type="dxa"/>
          </w:tcPr>
          <w:p w14:paraId="69A924E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963" w:type="dxa"/>
          </w:tcPr>
          <w:p w14:paraId="18F9281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52,644 </w:t>
            </w:r>
          </w:p>
        </w:tc>
        <w:tc>
          <w:tcPr>
            <w:tcW w:w="964" w:type="dxa"/>
          </w:tcPr>
          <w:p w14:paraId="29844F2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62,101 </w:t>
            </w:r>
          </w:p>
        </w:tc>
        <w:tc>
          <w:tcPr>
            <w:tcW w:w="964" w:type="dxa"/>
          </w:tcPr>
          <w:p w14:paraId="53DD5F9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74,006 </w:t>
            </w:r>
          </w:p>
        </w:tc>
        <w:tc>
          <w:tcPr>
            <w:tcW w:w="964" w:type="dxa"/>
          </w:tcPr>
          <w:p w14:paraId="6EA9D8B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85,320 </w:t>
            </w:r>
          </w:p>
        </w:tc>
        <w:tc>
          <w:tcPr>
            <w:tcW w:w="964" w:type="dxa"/>
          </w:tcPr>
          <w:p w14:paraId="04EB8D5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96,444 </w:t>
            </w:r>
          </w:p>
        </w:tc>
      </w:tr>
      <w:tr w:rsidR="00BE36FB" w:rsidRPr="009B7B35" w14:paraId="38197998" w14:textId="77777777" w:rsidTr="001A7107">
        <w:trPr>
          <w:cnfStyle w:val="000000100000" w:firstRow="0" w:lastRow="0" w:firstColumn="0" w:lastColumn="0" w:oddVBand="0" w:evenVBand="0" w:oddHBand="1" w:evenHBand="0" w:firstRowFirstColumn="0" w:firstRowLastColumn="0" w:lastRowFirstColumn="0" w:lastRowLastColumn="0"/>
          <w:cantSplit/>
          <w:trHeight w:val="228"/>
        </w:trPr>
        <w:tc>
          <w:tcPr>
            <w:cnfStyle w:val="001000000000" w:firstRow="0" w:lastRow="0" w:firstColumn="1" w:lastColumn="0" w:oddVBand="0" w:evenVBand="0" w:oddHBand="0" w:evenHBand="0" w:firstRowFirstColumn="0" w:firstRowLastColumn="0" w:lastRowFirstColumn="0" w:lastRowLastColumn="0"/>
            <w:tcW w:w="2552" w:type="dxa"/>
            <w:vMerge/>
          </w:tcPr>
          <w:p w14:paraId="1FBDE0A3" w14:textId="77777777" w:rsidR="00BE36FB" w:rsidRPr="009B7B35" w:rsidRDefault="00BE36FB" w:rsidP="001A7107">
            <w:pPr>
              <w:pStyle w:val="TableText"/>
              <w:rPr>
                <w:rFonts w:cs="Arial"/>
              </w:rPr>
            </w:pPr>
          </w:p>
        </w:tc>
        <w:tc>
          <w:tcPr>
            <w:tcW w:w="2268" w:type="dxa"/>
          </w:tcPr>
          <w:p w14:paraId="525F887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963" w:type="dxa"/>
          </w:tcPr>
          <w:p w14:paraId="3603CA8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3,917 </w:t>
            </w:r>
          </w:p>
        </w:tc>
        <w:tc>
          <w:tcPr>
            <w:tcW w:w="964" w:type="dxa"/>
          </w:tcPr>
          <w:p w14:paraId="4A7D497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4,590 </w:t>
            </w:r>
          </w:p>
        </w:tc>
        <w:tc>
          <w:tcPr>
            <w:tcW w:w="964" w:type="dxa"/>
          </w:tcPr>
          <w:p w14:paraId="43789C2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5,265 </w:t>
            </w:r>
          </w:p>
        </w:tc>
        <w:tc>
          <w:tcPr>
            <w:tcW w:w="964" w:type="dxa"/>
          </w:tcPr>
          <w:p w14:paraId="050B149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5,964 </w:t>
            </w:r>
          </w:p>
        </w:tc>
        <w:tc>
          <w:tcPr>
            <w:tcW w:w="964" w:type="dxa"/>
          </w:tcPr>
          <w:p w14:paraId="1521432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6,662 </w:t>
            </w:r>
          </w:p>
        </w:tc>
      </w:tr>
      <w:tr w:rsidR="00BE36FB" w:rsidRPr="009B7B35" w14:paraId="672805A3" w14:textId="77777777" w:rsidTr="001A7107">
        <w:trPr>
          <w:cnfStyle w:val="000000010000" w:firstRow="0" w:lastRow="0" w:firstColumn="0" w:lastColumn="0" w:oddVBand="0" w:evenVBand="0" w:oddHBand="0" w:evenHBand="1" w:firstRowFirstColumn="0" w:firstRowLastColumn="0" w:lastRowFirstColumn="0" w:lastRowLastColumn="0"/>
          <w:cantSplit/>
          <w:trHeight w:val="229"/>
        </w:trPr>
        <w:tc>
          <w:tcPr>
            <w:cnfStyle w:val="001000000000" w:firstRow="0" w:lastRow="0" w:firstColumn="1" w:lastColumn="0" w:oddVBand="0" w:evenVBand="0" w:oddHBand="0" w:evenHBand="0" w:firstRowFirstColumn="0" w:firstRowLastColumn="0" w:lastRowFirstColumn="0" w:lastRowLastColumn="0"/>
            <w:tcW w:w="2552" w:type="dxa"/>
            <w:vMerge/>
          </w:tcPr>
          <w:p w14:paraId="445A9AEE" w14:textId="77777777" w:rsidR="00BE36FB" w:rsidRPr="009B7B35" w:rsidRDefault="00BE36FB" w:rsidP="001A7107">
            <w:pPr>
              <w:pStyle w:val="TableText"/>
              <w:rPr>
                <w:rFonts w:cs="Arial"/>
              </w:rPr>
            </w:pPr>
          </w:p>
        </w:tc>
        <w:tc>
          <w:tcPr>
            <w:tcW w:w="2268" w:type="dxa"/>
          </w:tcPr>
          <w:p w14:paraId="62F666B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963" w:type="dxa"/>
          </w:tcPr>
          <w:p w14:paraId="21CF548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2,900 </w:t>
            </w:r>
          </w:p>
        </w:tc>
        <w:tc>
          <w:tcPr>
            <w:tcW w:w="964" w:type="dxa"/>
          </w:tcPr>
          <w:p w14:paraId="29EB3F1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3,407 </w:t>
            </w:r>
          </w:p>
        </w:tc>
        <w:tc>
          <w:tcPr>
            <w:tcW w:w="964" w:type="dxa"/>
          </w:tcPr>
          <w:p w14:paraId="40DF88E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4,153 </w:t>
            </w:r>
          </w:p>
        </w:tc>
        <w:tc>
          <w:tcPr>
            <w:tcW w:w="964" w:type="dxa"/>
          </w:tcPr>
          <w:p w14:paraId="5A94E1C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4,823 </w:t>
            </w:r>
          </w:p>
        </w:tc>
        <w:tc>
          <w:tcPr>
            <w:tcW w:w="964" w:type="dxa"/>
          </w:tcPr>
          <w:p w14:paraId="1CA7A9C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5,476 </w:t>
            </w:r>
          </w:p>
        </w:tc>
      </w:tr>
      <w:tr w:rsidR="00BE36FB" w:rsidRPr="009B7B35" w14:paraId="48A8A08F" w14:textId="77777777" w:rsidTr="001A7107">
        <w:trPr>
          <w:cnfStyle w:val="000000100000" w:firstRow="0" w:lastRow="0" w:firstColumn="0" w:lastColumn="0" w:oddVBand="0" w:evenVBand="0" w:oddHBand="1" w:evenHBand="0" w:firstRowFirstColumn="0" w:firstRowLastColumn="0" w:lastRowFirstColumn="0" w:lastRowLastColumn="0"/>
          <w:cantSplit/>
          <w:trHeight w:val="222"/>
        </w:trPr>
        <w:tc>
          <w:tcPr>
            <w:cnfStyle w:val="001000000000" w:firstRow="0" w:lastRow="0" w:firstColumn="1" w:lastColumn="0" w:oddVBand="0" w:evenVBand="0" w:oddHBand="0" w:evenHBand="0" w:firstRowFirstColumn="0" w:firstRowLastColumn="0" w:lastRowFirstColumn="0" w:lastRowLastColumn="0"/>
            <w:tcW w:w="2552" w:type="dxa"/>
            <w:vMerge/>
          </w:tcPr>
          <w:p w14:paraId="056D24B8" w14:textId="77777777" w:rsidR="00BE36FB" w:rsidRPr="009B7B35" w:rsidRDefault="00BE36FB" w:rsidP="001A7107">
            <w:pPr>
              <w:pStyle w:val="TableText"/>
              <w:rPr>
                <w:rFonts w:cs="Arial"/>
              </w:rPr>
            </w:pPr>
          </w:p>
        </w:tc>
        <w:tc>
          <w:tcPr>
            <w:tcW w:w="2268" w:type="dxa"/>
          </w:tcPr>
          <w:p w14:paraId="47266CE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963" w:type="dxa"/>
          </w:tcPr>
          <w:p w14:paraId="282CAD6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59,461</w:t>
            </w:r>
          </w:p>
        </w:tc>
        <w:tc>
          <w:tcPr>
            <w:tcW w:w="964" w:type="dxa"/>
          </w:tcPr>
          <w:p w14:paraId="5504962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70,098</w:t>
            </w:r>
          </w:p>
        </w:tc>
        <w:tc>
          <w:tcPr>
            <w:tcW w:w="964" w:type="dxa"/>
          </w:tcPr>
          <w:p w14:paraId="2C00C17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83,424</w:t>
            </w:r>
          </w:p>
        </w:tc>
        <w:tc>
          <w:tcPr>
            <w:tcW w:w="964" w:type="dxa"/>
          </w:tcPr>
          <w:p w14:paraId="340BAD2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96,107</w:t>
            </w:r>
          </w:p>
        </w:tc>
        <w:tc>
          <w:tcPr>
            <w:tcW w:w="964" w:type="dxa"/>
          </w:tcPr>
          <w:p w14:paraId="3EFE9BB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108,582</w:t>
            </w:r>
          </w:p>
        </w:tc>
      </w:tr>
    </w:tbl>
    <w:p w14:paraId="08246911" w14:textId="77777777" w:rsidR="00BE36FB" w:rsidRPr="009B7B35" w:rsidRDefault="00BE36FB" w:rsidP="001A7107">
      <w:pPr>
        <w:pStyle w:val="Heading9"/>
        <w:numPr>
          <w:ilvl w:val="0"/>
          <w:numId w:val="0"/>
        </w:numPr>
        <w:rPr>
          <w:rFonts w:cs="Arial"/>
          <w:sz w:val="20"/>
        </w:rPr>
      </w:pPr>
      <w:r w:rsidRPr="009B7B35">
        <w:rPr>
          <w:rFonts w:cs="Arial"/>
          <w:sz w:val="20"/>
        </w:rPr>
        <w:t>Table SC3.1.2—Existing and projected employees</w:t>
      </w:r>
    </w:p>
    <w:tbl>
      <w:tblPr>
        <w:tblStyle w:val="Tablestyle"/>
        <w:tblW w:w="0" w:type="auto"/>
        <w:tblLayout w:type="fixed"/>
        <w:tblLook w:val="04A0" w:firstRow="1" w:lastRow="0" w:firstColumn="1" w:lastColumn="0" w:noHBand="0" w:noVBand="1"/>
      </w:tblPr>
      <w:tblGrid>
        <w:gridCol w:w="2552"/>
        <w:gridCol w:w="2268"/>
        <w:gridCol w:w="963"/>
        <w:gridCol w:w="964"/>
        <w:gridCol w:w="964"/>
        <w:gridCol w:w="964"/>
        <w:gridCol w:w="964"/>
      </w:tblGrid>
      <w:tr w:rsidR="00BE36FB" w:rsidRPr="009B7B35" w14:paraId="09403169" w14:textId="77777777" w:rsidTr="001A7107">
        <w:trPr>
          <w:cnfStyle w:val="100000000000" w:firstRow="1" w:lastRow="0" w:firstColumn="0" w:lastColumn="0" w:oddVBand="0" w:evenVBand="0" w:oddHBand="0"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77DF5FDA" w14:textId="77777777" w:rsidR="00BE36FB" w:rsidRPr="009B7B35" w:rsidRDefault="00BE36FB" w:rsidP="001A7107">
            <w:pPr>
              <w:pStyle w:val="TableText"/>
              <w:rPr>
                <w:rFonts w:cs="Arial"/>
              </w:rPr>
            </w:pPr>
            <w:r w:rsidRPr="009B7B35">
              <w:rPr>
                <w:rFonts w:cs="Arial"/>
              </w:rPr>
              <w:t>Column 1</w:t>
            </w:r>
          </w:p>
          <w:p w14:paraId="4F6D349E" w14:textId="77777777" w:rsidR="00BE36FB" w:rsidRPr="009B7B35" w:rsidRDefault="00BE36FB" w:rsidP="001A7107">
            <w:pPr>
              <w:pStyle w:val="TableText"/>
              <w:rPr>
                <w:rFonts w:cs="Arial"/>
                <w:b w:val="0"/>
              </w:rPr>
            </w:pPr>
            <w:r w:rsidRPr="009B7B35">
              <w:rPr>
                <w:rFonts w:cs="Arial"/>
              </w:rPr>
              <w:t>Projection area</w:t>
            </w:r>
          </w:p>
        </w:tc>
        <w:tc>
          <w:tcPr>
            <w:tcW w:w="2268" w:type="dxa"/>
            <w:vMerge w:val="restart"/>
          </w:tcPr>
          <w:p w14:paraId="2B886625"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14:paraId="2AC35DA1"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b w:val="0"/>
              </w:rPr>
            </w:pPr>
            <w:r w:rsidRPr="009B7B35">
              <w:rPr>
                <w:rFonts w:cs="Arial"/>
              </w:rPr>
              <w:t>LGIP development type</w:t>
            </w:r>
          </w:p>
        </w:tc>
        <w:tc>
          <w:tcPr>
            <w:tcW w:w="4819" w:type="dxa"/>
            <w:gridSpan w:val="5"/>
          </w:tcPr>
          <w:p w14:paraId="23EBA835"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Column3</w:t>
            </w:r>
          </w:p>
          <w:p w14:paraId="22A0AE01"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b w:val="0"/>
              </w:rPr>
            </w:pPr>
            <w:r w:rsidRPr="009B7B35">
              <w:rPr>
                <w:rFonts w:cs="Arial"/>
              </w:rPr>
              <w:t>Existing and Projected Employment (employees)</w:t>
            </w:r>
          </w:p>
        </w:tc>
      </w:tr>
      <w:tr w:rsidR="00BE36FB" w:rsidRPr="009B7B35" w14:paraId="426F4AB7" w14:textId="77777777" w:rsidTr="001A7107">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2552" w:type="dxa"/>
            <w:vMerge/>
          </w:tcPr>
          <w:p w14:paraId="7EB442D6" w14:textId="77777777" w:rsidR="00BE36FB" w:rsidRPr="009B7B35" w:rsidRDefault="00BE36FB" w:rsidP="001A7107">
            <w:pPr>
              <w:pStyle w:val="TableText"/>
              <w:rPr>
                <w:rFonts w:cs="Arial"/>
              </w:rPr>
            </w:pPr>
          </w:p>
        </w:tc>
        <w:tc>
          <w:tcPr>
            <w:tcW w:w="2268" w:type="dxa"/>
            <w:vMerge/>
          </w:tcPr>
          <w:p w14:paraId="647506B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963" w:type="dxa"/>
            <w:shd w:val="clear" w:color="auto" w:fill="BFBFBF" w:themeFill="background1" w:themeFillShade="BF"/>
          </w:tcPr>
          <w:p w14:paraId="788EDDB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2011</w:t>
            </w:r>
          </w:p>
        </w:tc>
        <w:tc>
          <w:tcPr>
            <w:tcW w:w="964" w:type="dxa"/>
            <w:shd w:val="clear" w:color="auto" w:fill="BFBFBF" w:themeFill="background1" w:themeFillShade="BF"/>
          </w:tcPr>
          <w:p w14:paraId="1BDC836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2016</w:t>
            </w:r>
          </w:p>
        </w:tc>
        <w:tc>
          <w:tcPr>
            <w:tcW w:w="964" w:type="dxa"/>
            <w:shd w:val="clear" w:color="auto" w:fill="BFBFBF" w:themeFill="background1" w:themeFillShade="BF"/>
          </w:tcPr>
          <w:p w14:paraId="75AA030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2021</w:t>
            </w:r>
          </w:p>
        </w:tc>
        <w:tc>
          <w:tcPr>
            <w:tcW w:w="964" w:type="dxa"/>
            <w:shd w:val="clear" w:color="auto" w:fill="BFBFBF" w:themeFill="background1" w:themeFillShade="BF"/>
          </w:tcPr>
          <w:p w14:paraId="1642D9A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2026</w:t>
            </w:r>
          </w:p>
        </w:tc>
        <w:tc>
          <w:tcPr>
            <w:tcW w:w="964" w:type="dxa"/>
            <w:shd w:val="clear" w:color="auto" w:fill="BFBFBF" w:themeFill="background1" w:themeFillShade="BF"/>
          </w:tcPr>
          <w:p w14:paraId="1DA4481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2031</w:t>
            </w:r>
          </w:p>
        </w:tc>
      </w:tr>
      <w:tr w:rsidR="00BE36FB" w:rsidRPr="009B7B35" w14:paraId="5BC926A0" w14:textId="77777777"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42922193" w14:textId="77777777" w:rsidR="00BE36FB" w:rsidRPr="009B7B35" w:rsidRDefault="00BE36FB" w:rsidP="001A7107">
            <w:pPr>
              <w:pStyle w:val="TableText"/>
              <w:rPr>
                <w:rFonts w:cs="Arial"/>
              </w:rPr>
            </w:pPr>
            <w:r w:rsidRPr="009B7B35">
              <w:rPr>
                <w:rFonts w:cs="Arial"/>
                <w:color w:val="000000"/>
              </w:rPr>
              <w:t>Gladstone (Previously South Gladstone, Barney Point and CBD)</w:t>
            </w:r>
          </w:p>
        </w:tc>
        <w:tc>
          <w:tcPr>
            <w:tcW w:w="2268" w:type="dxa"/>
          </w:tcPr>
          <w:p w14:paraId="7B1EEF1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14:paraId="6CC7851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1,709 </w:t>
            </w:r>
          </w:p>
        </w:tc>
        <w:tc>
          <w:tcPr>
            <w:tcW w:w="964" w:type="dxa"/>
          </w:tcPr>
          <w:p w14:paraId="3D49E30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1,784 </w:t>
            </w:r>
          </w:p>
        </w:tc>
        <w:tc>
          <w:tcPr>
            <w:tcW w:w="964" w:type="dxa"/>
          </w:tcPr>
          <w:p w14:paraId="5697606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1,839 </w:t>
            </w:r>
          </w:p>
        </w:tc>
        <w:tc>
          <w:tcPr>
            <w:tcW w:w="964" w:type="dxa"/>
          </w:tcPr>
          <w:p w14:paraId="0859451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1,982 </w:t>
            </w:r>
          </w:p>
        </w:tc>
        <w:tc>
          <w:tcPr>
            <w:tcW w:w="964" w:type="dxa"/>
          </w:tcPr>
          <w:p w14:paraId="63BCC47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2,152 </w:t>
            </w:r>
          </w:p>
        </w:tc>
      </w:tr>
      <w:tr w:rsidR="00BE36FB" w:rsidRPr="009B7B35" w14:paraId="46362D35" w14:textId="77777777"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14:paraId="4EDBA077" w14:textId="77777777" w:rsidR="00BE36FB" w:rsidRPr="009B7B35" w:rsidRDefault="00BE36FB" w:rsidP="001A7107">
            <w:pPr>
              <w:pStyle w:val="TableText"/>
              <w:rPr>
                <w:rFonts w:cs="Arial"/>
              </w:rPr>
            </w:pPr>
          </w:p>
        </w:tc>
        <w:tc>
          <w:tcPr>
            <w:tcW w:w="2268" w:type="dxa"/>
          </w:tcPr>
          <w:p w14:paraId="5AA7D4F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14:paraId="73A2CCF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479F195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3D9D16F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4E87108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2E92864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13DDBF11" w14:textId="77777777" w:rsidTr="001A7107">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52" w:type="dxa"/>
            <w:vMerge/>
          </w:tcPr>
          <w:p w14:paraId="277114CF" w14:textId="77777777" w:rsidR="00BE36FB" w:rsidRPr="009B7B35" w:rsidRDefault="00BE36FB" w:rsidP="001A7107">
            <w:pPr>
              <w:pStyle w:val="TableText"/>
              <w:rPr>
                <w:rFonts w:cs="Arial"/>
              </w:rPr>
            </w:pPr>
          </w:p>
        </w:tc>
        <w:tc>
          <w:tcPr>
            <w:tcW w:w="2268" w:type="dxa"/>
          </w:tcPr>
          <w:p w14:paraId="383818C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14:paraId="5B1B3A0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150 </w:t>
            </w:r>
          </w:p>
        </w:tc>
        <w:tc>
          <w:tcPr>
            <w:tcW w:w="964" w:type="dxa"/>
          </w:tcPr>
          <w:p w14:paraId="3E8DC6B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157 </w:t>
            </w:r>
          </w:p>
        </w:tc>
        <w:tc>
          <w:tcPr>
            <w:tcW w:w="964" w:type="dxa"/>
          </w:tcPr>
          <w:p w14:paraId="600CCF0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161 </w:t>
            </w:r>
          </w:p>
        </w:tc>
        <w:tc>
          <w:tcPr>
            <w:tcW w:w="964" w:type="dxa"/>
          </w:tcPr>
          <w:p w14:paraId="666EAE4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174 </w:t>
            </w:r>
          </w:p>
        </w:tc>
        <w:tc>
          <w:tcPr>
            <w:tcW w:w="964" w:type="dxa"/>
          </w:tcPr>
          <w:p w14:paraId="3F21EF1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189 </w:t>
            </w:r>
          </w:p>
        </w:tc>
      </w:tr>
      <w:tr w:rsidR="00BE36FB" w:rsidRPr="009B7B35" w14:paraId="1863F261" w14:textId="77777777"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2552" w:type="dxa"/>
            <w:vMerge/>
          </w:tcPr>
          <w:p w14:paraId="3CF798C3" w14:textId="77777777" w:rsidR="00BE36FB" w:rsidRPr="009B7B35" w:rsidRDefault="00BE36FB" w:rsidP="001A7107">
            <w:pPr>
              <w:pStyle w:val="TableText"/>
              <w:rPr>
                <w:rFonts w:cs="Arial"/>
              </w:rPr>
            </w:pPr>
          </w:p>
        </w:tc>
        <w:tc>
          <w:tcPr>
            <w:tcW w:w="2268" w:type="dxa"/>
          </w:tcPr>
          <w:p w14:paraId="01AC436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14:paraId="48A2F36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240 </w:t>
            </w:r>
          </w:p>
        </w:tc>
        <w:tc>
          <w:tcPr>
            <w:tcW w:w="964" w:type="dxa"/>
          </w:tcPr>
          <w:p w14:paraId="2E61861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250 </w:t>
            </w:r>
          </w:p>
        </w:tc>
        <w:tc>
          <w:tcPr>
            <w:tcW w:w="964" w:type="dxa"/>
          </w:tcPr>
          <w:p w14:paraId="6E62545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258 </w:t>
            </w:r>
          </w:p>
        </w:tc>
        <w:tc>
          <w:tcPr>
            <w:tcW w:w="964" w:type="dxa"/>
          </w:tcPr>
          <w:p w14:paraId="4D4A264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278 </w:t>
            </w:r>
          </w:p>
        </w:tc>
        <w:tc>
          <w:tcPr>
            <w:tcW w:w="964" w:type="dxa"/>
          </w:tcPr>
          <w:p w14:paraId="30AA82A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302 </w:t>
            </w:r>
          </w:p>
        </w:tc>
      </w:tr>
      <w:tr w:rsidR="00BE36FB" w:rsidRPr="009B7B35" w14:paraId="0C051719" w14:textId="77777777"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14:paraId="4D562A4F" w14:textId="77777777" w:rsidR="00BE36FB" w:rsidRPr="009B7B35" w:rsidRDefault="00BE36FB" w:rsidP="001A7107">
            <w:pPr>
              <w:pStyle w:val="TableText"/>
              <w:rPr>
                <w:rFonts w:cs="Arial"/>
              </w:rPr>
            </w:pPr>
          </w:p>
        </w:tc>
        <w:tc>
          <w:tcPr>
            <w:tcW w:w="2268" w:type="dxa"/>
          </w:tcPr>
          <w:p w14:paraId="7DA205F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14:paraId="4BCAE84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423EFEF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05C8CCB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036125D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40F4D7B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52C4DA87" w14:textId="77777777" w:rsidTr="001A710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552" w:type="dxa"/>
            <w:vMerge/>
          </w:tcPr>
          <w:p w14:paraId="3A53DEB8" w14:textId="77777777" w:rsidR="00BE36FB" w:rsidRPr="009B7B35" w:rsidRDefault="00BE36FB" w:rsidP="001A7107">
            <w:pPr>
              <w:pStyle w:val="TableText"/>
              <w:rPr>
                <w:rFonts w:cs="Arial"/>
              </w:rPr>
            </w:pPr>
          </w:p>
        </w:tc>
        <w:tc>
          <w:tcPr>
            <w:tcW w:w="2268" w:type="dxa"/>
          </w:tcPr>
          <w:p w14:paraId="3E93FB0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963" w:type="dxa"/>
          </w:tcPr>
          <w:p w14:paraId="4E113E1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2,099 </w:t>
            </w:r>
          </w:p>
        </w:tc>
        <w:tc>
          <w:tcPr>
            <w:tcW w:w="964" w:type="dxa"/>
          </w:tcPr>
          <w:p w14:paraId="0688B5D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2,191 </w:t>
            </w:r>
          </w:p>
        </w:tc>
        <w:tc>
          <w:tcPr>
            <w:tcW w:w="964" w:type="dxa"/>
          </w:tcPr>
          <w:p w14:paraId="45B450F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2,259 </w:t>
            </w:r>
          </w:p>
        </w:tc>
        <w:tc>
          <w:tcPr>
            <w:tcW w:w="964" w:type="dxa"/>
          </w:tcPr>
          <w:p w14:paraId="31921FF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2,433 </w:t>
            </w:r>
          </w:p>
        </w:tc>
        <w:tc>
          <w:tcPr>
            <w:tcW w:w="964" w:type="dxa"/>
          </w:tcPr>
          <w:p w14:paraId="4DE12E9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2,642 </w:t>
            </w:r>
          </w:p>
        </w:tc>
      </w:tr>
      <w:tr w:rsidR="00BE36FB" w:rsidRPr="009B7B35" w14:paraId="67B648DD" w14:textId="77777777"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6500430F" w14:textId="77777777" w:rsidR="00BE36FB" w:rsidRPr="009B7B35" w:rsidRDefault="00BE36FB" w:rsidP="001A7107">
            <w:pPr>
              <w:pStyle w:val="TableText"/>
              <w:rPr>
                <w:rFonts w:cs="Arial"/>
              </w:rPr>
            </w:pPr>
            <w:r w:rsidRPr="009B7B35">
              <w:rPr>
                <w:rFonts w:cs="Arial"/>
              </w:rPr>
              <w:t xml:space="preserve">West Gladstone </w:t>
            </w:r>
          </w:p>
        </w:tc>
        <w:tc>
          <w:tcPr>
            <w:tcW w:w="2268" w:type="dxa"/>
          </w:tcPr>
          <w:p w14:paraId="5619845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14:paraId="2BF7F5E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401 </w:t>
            </w:r>
          </w:p>
        </w:tc>
        <w:tc>
          <w:tcPr>
            <w:tcW w:w="964" w:type="dxa"/>
          </w:tcPr>
          <w:p w14:paraId="62A133A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418 </w:t>
            </w:r>
          </w:p>
        </w:tc>
        <w:tc>
          <w:tcPr>
            <w:tcW w:w="964" w:type="dxa"/>
          </w:tcPr>
          <w:p w14:paraId="5D48336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431 </w:t>
            </w:r>
          </w:p>
        </w:tc>
        <w:tc>
          <w:tcPr>
            <w:tcW w:w="964" w:type="dxa"/>
          </w:tcPr>
          <w:p w14:paraId="35E8380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477 </w:t>
            </w:r>
          </w:p>
        </w:tc>
        <w:tc>
          <w:tcPr>
            <w:tcW w:w="964" w:type="dxa"/>
          </w:tcPr>
          <w:p w14:paraId="28B94C7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509 </w:t>
            </w:r>
          </w:p>
        </w:tc>
      </w:tr>
      <w:tr w:rsidR="00BE36FB" w:rsidRPr="009B7B35" w14:paraId="246CDF6E" w14:textId="77777777"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14:paraId="571640DE" w14:textId="77777777" w:rsidR="00BE36FB" w:rsidRPr="009B7B35" w:rsidRDefault="00BE36FB" w:rsidP="001A7107">
            <w:pPr>
              <w:pStyle w:val="TableText"/>
              <w:rPr>
                <w:rFonts w:cs="Arial"/>
              </w:rPr>
            </w:pPr>
          </w:p>
        </w:tc>
        <w:tc>
          <w:tcPr>
            <w:tcW w:w="2268" w:type="dxa"/>
          </w:tcPr>
          <w:p w14:paraId="0BC364C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14:paraId="61FE283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6E59C4D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04E10D1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48BF68B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72222ED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4A8EE434" w14:textId="77777777" w:rsidTr="001A7107">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52" w:type="dxa"/>
            <w:vMerge/>
          </w:tcPr>
          <w:p w14:paraId="7FC43E46" w14:textId="77777777" w:rsidR="00BE36FB" w:rsidRPr="009B7B35" w:rsidRDefault="00BE36FB" w:rsidP="001A7107">
            <w:pPr>
              <w:pStyle w:val="TableText"/>
              <w:rPr>
                <w:rFonts w:cs="Arial"/>
              </w:rPr>
            </w:pPr>
          </w:p>
        </w:tc>
        <w:tc>
          <w:tcPr>
            <w:tcW w:w="2268" w:type="dxa"/>
          </w:tcPr>
          <w:p w14:paraId="2695EFE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14:paraId="6122318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77D337D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7D11786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224631F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79F86D8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35CCB63B" w14:textId="77777777"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14:paraId="66D58B03" w14:textId="77777777" w:rsidR="00BE36FB" w:rsidRPr="009B7B35" w:rsidRDefault="00BE36FB" w:rsidP="001A7107">
            <w:pPr>
              <w:pStyle w:val="TableText"/>
              <w:rPr>
                <w:rFonts w:cs="Arial"/>
              </w:rPr>
            </w:pPr>
          </w:p>
        </w:tc>
        <w:tc>
          <w:tcPr>
            <w:tcW w:w="2268" w:type="dxa"/>
          </w:tcPr>
          <w:p w14:paraId="2942D00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14:paraId="0334540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179 </w:t>
            </w:r>
          </w:p>
        </w:tc>
        <w:tc>
          <w:tcPr>
            <w:tcW w:w="964" w:type="dxa"/>
          </w:tcPr>
          <w:p w14:paraId="098820B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187 </w:t>
            </w:r>
          </w:p>
        </w:tc>
        <w:tc>
          <w:tcPr>
            <w:tcW w:w="964" w:type="dxa"/>
          </w:tcPr>
          <w:p w14:paraId="465C626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192 </w:t>
            </w:r>
          </w:p>
        </w:tc>
        <w:tc>
          <w:tcPr>
            <w:tcW w:w="964" w:type="dxa"/>
          </w:tcPr>
          <w:p w14:paraId="6137EA4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213 </w:t>
            </w:r>
          </w:p>
        </w:tc>
        <w:tc>
          <w:tcPr>
            <w:tcW w:w="964" w:type="dxa"/>
          </w:tcPr>
          <w:p w14:paraId="3924047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227 </w:t>
            </w:r>
          </w:p>
        </w:tc>
      </w:tr>
      <w:tr w:rsidR="00BE36FB" w:rsidRPr="009B7B35" w14:paraId="4C4B0DA0" w14:textId="77777777" w:rsidTr="001A7107">
        <w:trPr>
          <w:cnfStyle w:val="000000010000" w:firstRow="0" w:lastRow="0" w:firstColumn="0" w:lastColumn="0" w:oddVBand="0" w:evenVBand="0" w:oddHBand="0" w:evenHBand="1"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52" w:type="dxa"/>
            <w:vMerge/>
          </w:tcPr>
          <w:p w14:paraId="0977BD38" w14:textId="77777777" w:rsidR="00BE36FB" w:rsidRPr="009B7B35" w:rsidRDefault="00BE36FB" w:rsidP="001A7107">
            <w:pPr>
              <w:pStyle w:val="TableText"/>
              <w:rPr>
                <w:rFonts w:cs="Arial"/>
              </w:rPr>
            </w:pPr>
          </w:p>
        </w:tc>
        <w:tc>
          <w:tcPr>
            <w:tcW w:w="2268" w:type="dxa"/>
          </w:tcPr>
          <w:p w14:paraId="51A2C14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14:paraId="6BDD492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234D771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6DDEF0F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1CD0243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780AAAE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1457C78B" w14:textId="77777777" w:rsidTr="001A710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552" w:type="dxa"/>
            <w:vMerge/>
          </w:tcPr>
          <w:p w14:paraId="76568578" w14:textId="77777777" w:rsidR="00BE36FB" w:rsidRPr="009B7B35" w:rsidRDefault="00BE36FB" w:rsidP="001A7107">
            <w:pPr>
              <w:pStyle w:val="TableText"/>
              <w:rPr>
                <w:rFonts w:cs="Arial"/>
              </w:rPr>
            </w:pPr>
          </w:p>
        </w:tc>
        <w:tc>
          <w:tcPr>
            <w:tcW w:w="2268" w:type="dxa"/>
          </w:tcPr>
          <w:p w14:paraId="704B3E5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963" w:type="dxa"/>
          </w:tcPr>
          <w:p w14:paraId="11A338E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579 </w:t>
            </w:r>
          </w:p>
        </w:tc>
        <w:tc>
          <w:tcPr>
            <w:tcW w:w="964" w:type="dxa"/>
          </w:tcPr>
          <w:p w14:paraId="3DCA5FF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605 </w:t>
            </w:r>
          </w:p>
        </w:tc>
        <w:tc>
          <w:tcPr>
            <w:tcW w:w="964" w:type="dxa"/>
          </w:tcPr>
          <w:p w14:paraId="17D0581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623 </w:t>
            </w:r>
          </w:p>
        </w:tc>
        <w:tc>
          <w:tcPr>
            <w:tcW w:w="964" w:type="dxa"/>
          </w:tcPr>
          <w:p w14:paraId="2ED0C15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690 </w:t>
            </w:r>
          </w:p>
        </w:tc>
        <w:tc>
          <w:tcPr>
            <w:tcW w:w="964" w:type="dxa"/>
          </w:tcPr>
          <w:p w14:paraId="19956BD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736 </w:t>
            </w:r>
          </w:p>
        </w:tc>
      </w:tr>
      <w:tr w:rsidR="00BE36FB" w:rsidRPr="009B7B35" w14:paraId="38BDA9CE" w14:textId="77777777"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068ED333" w14:textId="77777777" w:rsidR="00BE36FB" w:rsidRPr="009B7B35" w:rsidRDefault="00BE36FB" w:rsidP="001A7107">
            <w:pPr>
              <w:pStyle w:val="TableText"/>
              <w:rPr>
                <w:rFonts w:cs="Arial"/>
              </w:rPr>
            </w:pPr>
            <w:r w:rsidRPr="009B7B35">
              <w:rPr>
                <w:rFonts w:cs="Arial"/>
              </w:rPr>
              <w:t>Kin Kora – Sun Valley</w:t>
            </w:r>
          </w:p>
        </w:tc>
        <w:tc>
          <w:tcPr>
            <w:tcW w:w="2268" w:type="dxa"/>
          </w:tcPr>
          <w:p w14:paraId="30490BB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14:paraId="7D54450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33 </w:t>
            </w:r>
          </w:p>
        </w:tc>
        <w:tc>
          <w:tcPr>
            <w:tcW w:w="964" w:type="dxa"/>
          </w:tcPr>
          <w:p w14:paraId="24E9D31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 </w:t>
            </w:r>
          </w:p>
        </w:tc>
        <w:tc>
          <w:tcPr>
            <w:tcW w:w="964" w:type="dxa"/>
          </w:tcPr>
          <w:p w14:paraId="3953412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35 </w:t>
            </w:r>
          </w:p>
        </w:tc>
        <w:tc>
          <w:tcPr>
            <w:tcW w:w="964" w:type="dxa"/>
          </w:tcPr>
          <w:p w14:paraId="49F7CA1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45 </w:t>
            </w:r>
          </w:p>
        </w:tc>
        <w:tc>
          <w:tcPr>
            <w:tcW w:w="964" w:type="dxa"/>
          </w:tcPr>
          <w:p w14:paraId="42119CE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55 </w:t>
            </w:r>
          </w:p>
        </w:tc>
      </w:tr>
      <w:tr w:rsidR="00BE36FB" w:rsidRPr="009B7B35" w14:paraId="60CDD5BF" w14:textId="77777777"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2552" w:type="dxa"/>
            <w:vMerge/>
          </w:tcPr>
          <w:p w14:paraId="5F2813C8" w14:textId="77777777" w:rsidR="00BE36FB" w:rsidRPr="009B7B35" w:rsidRDefault="00BE36FB" w:rsidP="001A7107">
            <w:pPr>
              <w:pStyle w:val="TableText"/>
              <w:rPr>
                <w:rFonts w:cs="Arial"/>
              </w:rPr>
            </w:pPr>
          </w:p>
        </w:tc>
        <w:tc>
          <w:tcPr>
            <w:tcW w:w="2268" w:type="dxa"/>
          </w:tcPr>
          <w:p w14:paraId="1F8BD89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14:paraId="5300F92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67629D3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4D36173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2F25FA8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5F0869C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59EB5F17" w14:textId="77777777"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2552" w:type="dxa"/>
            <w:vMerge/>
          </w:tcPr>
          <w:p w14:paraId="538DE8E9" w14:textId="77777777" w:rsidR="00BE36FB" w:rsidRPr="009B7B35" w:rsidRDefault="00BE36FB" w:rsidP="001A7107">
            <w:pPr>
              <w:pStyle w:val="TableText"/>
              <w:rPr>
                <w:rFonts w:cs="Arial"/>
              </w:rPr>
            </w:pPr>
          </w:p>
        </w:tc>
        <w:tc>
          <w:tcPr>
            <w:tcW w:w="2268" w:type="dxa"/>
          </w:tcPr>
          <w:p w14:paraId="062D1B6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14:paraId="0B80C8F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66AB367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5155B25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5FA8CE5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6A01962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7561A1E5" w14:textId="77777777"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14:paraId="35ABE347" w14:textId="77777777" w:rsidR="00BE36FB" w:rsidRPr="009B7B35" w:rsidRDefault="00BE36FB" w:rsidP="001A7107">
            <w:pPr>
              <w:pStyle w:val="TableText"/>
              <w:rPr>
                <w:rFonts w:cs="Arial"/>
              </w:rPr>
            </w:pPr>
          </w:p>
        </w:tc>
        <w:tc>
          <w:tcPr>
            <w:tcW w:w="2268" w:type="dxa"/>
          </w:tcPr>
          <w:p w14:paraId="1E3AE02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14:paraId="53B6FFD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54 </w:t>
            </w:r>
          </w:p>
        </w:tc>
        <w:tc>
          <w:tcPr>
            <w:tcW w:w="964" w:type="dxa"/>
          </w:tcPr>
          <w:p w14:paraId="2E814DE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56 </w:t>
            </w:r>
          </w:p>
        </w:tc>
        <w:tc>
          <w:tcPr>
            <w:tcW w:w="964" w:type="dxa"/>
          </w:tcPr>
          <w:p w14:paraId="31970B6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58 </w:t>
            </w:r>
          </w:p>
        </w:tc>
        <w:tc>
          <w:tcPr>
            <w:tcW w:w="964" w:type="dxa"/>
          </w:tcPr>
          <w:p w14:paraId="0A9D893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74 </w:t>
            </w:r>
          </w:p>
        </w:tc>
        <w:tc>
          <w:tcPr>
            <w:tcW w:w="964" w:type="dxa"/>
          </w:tcPr>
          <w:p w14:paraId="58A60D8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90 </w:t>
            </w:r>
          </w:p>
        </w:tc>
      </w:tr>
      <w:tr w:rsidR="00BE36FB" w:rsidRPr="009B7B35" w14:paraId="55E7C489" w14:textId="77777777" w:rsidTr="001A7107">
        <w:trPr>
          <w:cnfStyle w:val="000000010000" w:firstRow="0" w:lastRow="0" w:firstColumn="0" w:lastColumn="0" w:oddVBand="0" w:evenVBand="0" w:oddHBand="0" w:evenHBand="1"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52" w:type="dxa"/>
            <w:vMerge/>
          </w:tcPr>
          <w:p w14:paraId="3D8CD4B0" w14:textId="77777777" w:rsidR="00BE36FB" w:rsidRPr="009B7B35" w:rsidRDefault="00BE36FB" w:rsidP="001A7107">
            <w:pPr>
              <w:pStyle w:val="TableText"/>
              <w:rPr>
                <w:rFonts w:cs="Arial"/>
              </w:rPr>
            </w:pPr>
          </w:p>
        </w:tc>
        <w:tc>
          <w:tcPr>
            <w:tcW w:w="2268" w:type="dxa"/>
          </w:tcPr>
          <w:p w14:paraId="5EC83F9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14:paraId="433BC9D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67BBE67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2E866D5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761E000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77F38FF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7BD1F4C9" w14:textId="77777777" w:rsidTr="001A710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552" w:type="dxa"/>
            <w:vMerge/>
          </w:tcPr>
          <w:p w14:paraId="376B9DB4" w14:textId="77777777" w:rsidR="00BE36FB" w:rsidRPr="009B7B35" w:rsidRDefault="00BE36FB" w:rsidP="001A7107">
            <w:pPr>
              <w:pStyle w:val="TableText"/>
              <w:rPr>
                <w:rFonts w:cs="Arial"/>
              </w:rPr>
            </w:pPr>
          </w:p>
        </w:tc>
        <w:tc>
          <w:tcPr>
            <w:tcW w:w="2268" w:type="dxa"/>
          </w:tcPr>
          <w:p w14:paraId="368DC56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963" w:type="dxa"/>
          </w:tcPr>
          <w:p w14:paraId="77D9DC8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87 </w:t>
            </w:r>
          </w:p>
        </w:tc>
        <w:tc>
          <w:tcPr>
            <w:tcW w:w="964" w:type="dxa"/>
          </w:tcPr>
          <w:p w14:paraId="7BEEDD8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91 </w:t>
            </w:r>
          </w:p>
        </w:tc>
        <w:tc>
          <w:tcPr>
            <w:tcW w:w="964" w:type="dxa"/>
          </w:tcPr>
          <w:p w14:paraId="15B612E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93 </w:t>
            </w:r>
          </w:p>
        </w:tc>
        <w:tc>
          <w:tcPr>
            <w:tcW w:w="964" w:type="dxa"/>
          </w:tcPr>
          <w:p w14:paraId="0500406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119 </w:t>
            </w:r>
          </w:p>
        </w:tc>
        <w:tc>
          <w:tcPr>
            <w:tcW w:w="964" w:type="dxa"/>
          </w:tcPr>
          <w:p w14:paraId="75B3550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146 </w:t>
            </w:r>
          </w:p>
        </w:tc>
      </w:tr>
      <w:tr w:rsidR="00BE36FB" w:rsidRPr="009B7B35" w14:paraId="6E523F9E" w14:textId="77777777"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40A8BDFA" w14:textId="77777777" w:rsidR="00BE36FB" w:rsidRPr="009B7B35" w:rsidRDefault="00BE36FB" w:rsidP="001A7107">
            <w:pPr>
              <w:pStyle w:val="TableText"/>
              <w:rPr>
                <w:rFonts w:cs="Arial"/>
              </w:rPr>
            </w:pPr>
            <w:r w:rsidRPr="009B7B35">
              <w:rPr>
                <w:rFonts w:cs="Arial"/>
                <w:color w:val="000000"/>
              </w:rPr>
              <w:t>Telina – Sth Trees – Glen Eden – Tooloola – O'Connell</w:t>
            </w:r>
          </w:p>
        </w:tc>
        <w:tc>
          <w:tcPr>
            <w:tcW w:w="2268" w:type="dxa"/>
          </w:tcPr>
          <w:p w14:paraId="248CFC8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14:paraId="4FBFD52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156 </w:t>
            </w:r>
          </w:p>
        </w:tc>
        <w:tc>
          <w:tcPr>
            <w:tcW w:w="964" w:type="dxa"/>
          </w:tcPr>
          <w:p w14:paraId="0D610F6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163 </w:t>
            </w:r>
          </w:p>
        </w:tc>
        <w:tc>
          <w:tcPr>
            <w:tcW w:w="964" w:type="dxa"/>
          </w:tcPr>
          <w:p w14:paraId="5F990B9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168 </w:t>
            </w:r>
          </w:p>
        </w:tc>
        <w:tc>
          <w:tcPr>
            <w:tcW w:w="964" w:type="dxa"/>
          </w:tcPr>
          <w:p w14:paraId="0D5F18B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169 </w:t>
            </w:r>
          </w:p>
        </w:tc>
        <w:tc>
          <w:tcPr>
            <w:tcW w:w="964" w:type="dxa"/>
          </w:tcPr>
          <w:p w14:paraId="144320E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169 </w:t>
            </w:r>
          </w:p>
        </w:tc>
      </w:tr>
      <w:tr w:rsidR="00BE36FB" w:rsidRPr="009B7B35" w14:paraId="6B60722F" w14:textId="77777777"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14:paraId="645F7A58" w14:textId="77777777" w:rsidR="00BE36FB" w:rsidRPr="009B7B35" w:rsidRDefault="00BE36FB" w:rsidP="001A7107">
            <w:pPr>
              <w:pStyle w:val="TableText"/>
              <w:rPr>
                <w:rFonts w:cs="Arial"/>
              </w:rPr>
            </w:pPr>
          </w:p>
        </w:tc>
        <w:tc>
          <w:tcPr>
            <w:tcW w:w="2268" w:type="dxa"/>
          </w:tcPr>
          <w:p w14:paraId="3DE57C2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14:paraId="27D9AE0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64F5262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2BC6163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694FFB1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3C60DF3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1690E53E" w14:textId="77777777" w:rsidTr="001A7107">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52" w:type="dxa"/>
            <w:vMerge/>
          </w:tcPr>
          <w:p w14:paraId="6E09652A" w14:textId="77777777" w:rsidR="00BE36FB" w:rsidRPr="009B7B35" w:rsidRDefault="00BE36FB" w:rsidP="001A7107">
            <w:pPr>
              <w:pStyle w:val="TableText"/>
              <w:rPr>
                <w:rFonts w:cs="Arial"/>
              </w:rPr>
            </w:pPr>
          </w:p>
        </w:tc>
        <w:tc>
          <w:tcPr>
            <w:tcW w:w="2268" w:type="dxa"/>
          </w:tcPr>
          <w:p w14:paraId="797AF24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14:paraId="7CAD1E3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1,091 </w:t>
            </w:r>
          </w:p>
        </w:tc>
        <w:tc>
          <w:tcPr>
            <w:tcW w:w="964" w:type="dxa"/>
          </w:tcPr>
          <w:p w14:paraId="186C825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1,139 </w:t>
            </w:r>
          </w:p>
        </w:tc>
        <w:tc>
          <w:tcPr>
            <w:tcW w:w="964" w:type="dxa"/>
          </w:tcPr>
          <w:p w14:paraId="15D1082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1,174 </w:t>
            </w:r>
          </w:p>
        </w:tc>
        <w:tc>
          <w:tcPr>
            <w:tcW w:w="964" w:type="dxa"/>
          </w:tcPr>
          <w:p w14:paraId="0F3314D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1,177 </w:t>
            </w:r>
          </w:p>
        </w:tc>
        <w:tc>
          <w:tcPr>
            <w:tcW w:w="964" w:type="dxa"/>
          </w:tcPr>
          <w:p w14:paraId="35B25C6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1,181 </w:t>
            </w:r>
          </w:p>
        </w:tc>
      </w:tr>
      <w:tr w:rsidR="00BE36FB" w:rsidRPr="009B7B35" w14:paraId="798334CB" w14:textId="77777777"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14:paraId="4FB749F9" w14:textId="77777777" w:rsidR="00BE36FB" w:rsidRPr="009B7B35" w:rsidRDefault="00BE36FB" w:rsidP="001A7107">
            <w:pPr>
              <w:pStyle w:val="TableText"/>
              <w:rPr>
                <w:rFonts w:cs="Arial"/>
              </w:rPr>
            </w:pPr>
          </w:p>
        </w:tc>
        <w:tc>
          <w:tcPr>
            <w:tcW w:w="2268" w:type="dxa"/>
          </w:tcPr>
          <w:p w14:paraId="459DB61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14:paraId="4E605C8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26 </w:t>
            </w:r>
          </w:p>
        </w:tc>
        <w:tc>
          <w:tcPr>
            <w:tcW w:w="964" w:type="dxa"/>
          </w:tcPr>
          <w:p w14:paraId="61C9EF9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27 </w:t>
            </w:r>
          </w:p>
        </w:tc>
        <w:tc>
          <w:tcPr>
            <w:tcW w:w="964" w:type="dxa"/>
          </w:tcPr>
          <w:p w14:paraId="1AF98A8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 </w:t>
            </w:r>
          </w:p>
        </w:tc>
        <w:tc>
          <w:tcPr>
            <w:tcW w:w="964" w:type="dxa"/>
          </w:tcPr>
          <w:p w14:paraId="72448E5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 </w:t>
            </w:r>
          </w:p>
        </w:tc>
        <w:tc>
          <w:tcPr>
            <w:tcW w:w="964" w:type="dxa"/>
          </w:tcPr>
          <w:p w14:paraId="4B14D6D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 </w:t>
            </w:r>
          </w:p>
        </w:tc>
      </w:tr>
      <w:tr w:rsidR="00BE36FB" w:rsidRPr="009B7B35" w14:paraId="692A6054" w14:textId="77777777" w:rsidTr="001A7107">
        <w:trPr>
          <w:cnfStyle w:val="000000010000" w:firstRow="0" w:lastRow="0" w:firstColumn="0" w:lastColumn="0" w:oddVBand="0" w:evenVBand="0" w:oddHBand="0" w:evenHBand="1"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52" w:type="dxa"/>
            <w:vMerge/>
          </w:tcPr>
          <w:p w14:paraId="398D5A84" w14:textId="77777777" w:rsidR="00BE36FB" w:rsidRPr="009B7B35" w:rsidRDefault="00BE36FB" w:rsidP="001A7107">
            <w:pPr>
              <w:pStyle w:val="TableText"/>
              <w:rPr>
                <w:rFonts w:cs="Arial"/>
              </w:rPr>
            </w:pPr>
          </w:p>
        </w:tc>
        <w:tc>
          <w:tcPr>
            <w:tcW w:w="2268" w:type="dxa"/>
          </w:tcPr>
          <w:p w14:paraId="7ED63CB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14:paraId="7BE40C3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76B6D01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5E59B7E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32F1FA8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082406E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4B1FB7E5" w14:textId="77777777" w:rsidTr="001A710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552" w:type="dxa"/>
            <w:vMerge/>
          </w:tcPr>
          <w:p w14:paraId="19BE5321" w14:textId="77777777" w:rsidR="00BE36FB" w:rsidRPr="009B7B35" w:rsidRDefault="00BE36FB" w:rsidP="001A7107">
            <w:pPr>
              <w:pStyle w:val="TableText"/>
              <w:rPr>
                <w:rFonts w:cs="Arial"/>
              </w:rPr>
            </w:pPr>
          </w:p>
        </w:tc>
        <w:tc>
          <w:tcPr>
            <w:tcW w:w="2268" w:type="dxa"/>
          </w:tcPr>
          <w:p w14:paraId="3587DFF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963" w:type="dxa"/>
          </w:tcPr>
          <w:p w14:paraId="38A7214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1,274 </w:t>
            </w:r>
          </w:p>
        </w:tc>
        <w:tc>
          <w:tcPr>
            <w:tcW w:w="964" w:type="dxa"/>
          </w:tcPr>
          <w:p w14:paraId="7EB47CE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1,330</w:t>
            </w:r>
          </w:p>
        </w:tc>
        <w:tc>
          <w:tcPr>
            <w:tcW w:w="964" w:type="dxa"/>
          </w:tcPr>
          <w:p w14:paraId="6D27A6A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1,371</w:t>
            </w:r>
          </w:p>
        </w:tc>
        <w:tc>
          <w:tcPr>
            <w:tcW w:w="964" w:type="dxa"/>
          </w:tcPr>
          <w:p w14:paraId="2530D8C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1,374</w:t>
            </w:r>
          </w:p>
        </w:tc>
        <w:tc>
          <w:tcPr>
            <w:tcW w:w="964" w:type="dxa"/>
          </w:tcPr>
          <w:p w14:paraId="5DF996E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1,379</w:t>
            </w:r>
          </w:p>
        </w:tc>
      </w:tr>
      <w:tr w:rsidR="00BE36FB" w:rsidRPr="009B7B35" w14:paraId="552BA8F9" w14:textId="77777777"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1ADEB611" w14:textId="77777777" w:rsidR="00BE36FB" w:rsidRPr="009B7B35" w:rsidRDefault="00BE36FB" w:rsidP="001A7107">
            <w:pPr>
              <w:pStyle w:val="TableText"/>
              <w:spacing w:before="20" w:after="32"/>
              <w:rPr>
                <w:rFonts w:cs="Arial"/>
              </w:rPr>
            </w:pPr>
            <w:r w:rsidRPr="009B7B35">
              <w:rPr>
                <w:rFonts w:cs="Arial"/>
                <w:color w:val="000000"/>
              </w:rPr>
              <w:t>Calemondah – Clinton – New Auckland</w:t>
            </w:r>
          </w:p>
        </w:tc>
        <w:tc>
          <w:tcPr>
            <w:tcW w:w="2268" w:type="dxa"/>
          </w:tcPr>
          <w:p w14:paraId="6CFB76E6"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14:paraId="060D55C3"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412 </w:t>
            </w:r>
          </w:p>
        </w:tc>
        <w:tc>
          <w:tcPr>
            <w:tcW w:w="964" w:type="dxa"/>
          </w:tcPr>
          <w:p w14:paraId="489FC539"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430 </w:t>
            </w:r>
          </w:p>
        </w:tc>
        <w:tc>
          <w:tcPr>
            <w:tcW w:w="964" w:type="dxa"/>
          </w:tcPr>
          <w:p w14:paraId="345DFC11"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443 </w:t>
            </w:r>
          </w:p>
        </w:tc>
        <w:tc>
          <w:tcPr>
            <w:tcW w:w="964" w:type="dxa"/>
          </w:tcPr>
          <w:p w14:paraId="149BE248"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506 </w:t>
            </w:r>
          </w:p>
        </w:tc>
        <w:tc>
          <w:tcPr>
            <w:tcW w:w="964" w:type="dxa"/>
          </w:tcPr>
          <w:p w14:paraId="3B44B049"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574 </w:t>
            </w:r>
          </w:p>
        </w:tc>
      </w:tr>
      <w:tr w:rsidR="00BE36FB" w:rsidRPr="009B7B35" w14:paraId="3D945730" w14:textId="77777777"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14:paraId="06FE4B1A" w14:textId="77777777" w:rsidR="00BE36FB" w:rsidRPr="009B7B35" w:rsidRDefault="00BE36FB" w:rsidP="001A7107">
            <w:pPr>
              <w:pStyle w:val="TableText"/>
              <w:spacing w:before="20" w:after="32"/>
              <w:rPr>
                <w:rFonts w:cs="Arial"/>
              </w:rPr>
            </w:pPr>
          </w:p>
        </w:tc>
        <w:tc>
          <w:tcPr>
            <w:tcW w:w="2268" w:type="dxa"/>
          </w:tcPr>
          <w:p w14:paraId="6493D479"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14:paraId="164B105C"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58BF4A33"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3D8E69E2"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1B80D766"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38D424CB"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5FDD3536" w14:textId="77777777" w:rsidTr="001A7107">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52" w:type="dxa"/>
            <w:vMerge/>
          </w:tcPr>
          <w:p w14:paraId="7EE1A54D" w14:textId="77777777" w:rsidR="00BE36FB" w:rsidRPr="009B7B35" w:rsidRDefault="00BE36FB" w:rsidP="001A7107">
            <w:pPr>
              <w:pStyle w:val="TableText"/>
              <w:spacing w:before="20" w:after="32"/>
              <w:rPr>
                <w:rFonts w:cs="Arial"/>
              </w:rPr>
            </w:pPr>
          </w:p>
        </w:tc>
        <w:tc>
          <w:tcPr>
            <w:tcW w:w="2268" w:type="dxa"/>
          </w:tcPr>
          <w:p w14:paraId="318F6526"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14:paraId="6528251D"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1,003 </w:t>
            </w:r>
          </w:p>
        </w:tc>
        <w:tc>
          <w:tcPr>
            <w:tcW w:w="964" w:type="dxa"/>
          </w:tcPr>
          <w:p w14:paraId="5024C039"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1,046 </w:t>
            </w:r>
          </w:p>
        </w:tc>
        <w:tc>
          <w:tcPr>
            <w:tcW w:w="964" w:type="dxa"/>
          </w:tcPr>
          <w:p w14:paraId="2CEF19C2"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1,079 </w:t>
            </w:r>
          </w:p>
        </w:tc>
        <w:tc>
          <w:tcPr>
            <w:tcW w:w="964" w:type="dxa"/>
          </w:tcPr>
          <w:p w14:paraId="6BBBF327"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1,232 </w:t>
            </w:r>
          </w:p>
        </w:tc>
        <w:tc>
          <w:tcPr>
            <w:tcW w:w="964" w:type="dxa"/>
          </w:tcPr>
          <w:p w14:paraId="246C0A8B"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1,398 </w:t>
            </w:r>
          </w:p>
        </w:tc>
      </w:tr>
      <w:tr w:rsidR="00BE36FB" w:rsidRPr="009B7B35" w14:paraId="588BE7B2" w14:textId="77777777"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14:paraId="444F33BB" w14:textId="77777777" w:rsidR="00BE36FB" w:rsidRPr="009B7B35" w:rsidRDefault="00BE36FB" w:rsidP="001A7107">
            <w:pPr>
              <w:pStyle w:val="TableText"/>
              <w:spacing w:before="20" w:after="32"/>
              <w:rPr>
                <w:rFonts w:cs="Arial"/>
              </w:rPr>
            </w:pPr>
          </w:p>
        </w:tc>
        <w:tc>
          <w:tcPr>
            <w:tcW w:w="2268" w:type="dxa"/>
          </w:tcPr>
          <w:p w14:paraId="2D8061FB"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14:paraId="313B93E1"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117 </w:t>
            </w:r>
          </w:p>
        </w:tc>
        <w:tc>
          <w:tcPr>
            <w:tcW w:w="964" w:type="dxa"/>
          </w:tcPr>
          <w:p w14:paraId="55A4F355"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122 </w:t>
            </w:r>
          </w:p>
        </w:tc>
        <w:tc>
          <w:tcPr>
            <w:tcW w:w="964" w:type="dxa"/>
          </w:tcPr>
          <w:p w14:paraId="3417E07E"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126 </w:t>
            </w:r>
          </w:p>
        </w:tc>
        <w:tc>
          <w:tcPr>
            <w:tcW w:w="964" w:type="dxa"/>
          </w:tcPr>
          <w:p w14:paraId="130C08BC"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144 </w:t>
            </w:r>
          </w:p>
        </w:tc>
        <w:tc>
          <w:tcPr>
            <w:tcW w:w="964" w:type="dxa"/>
          </w:tcPr>
          <w:p w14:paraId="4FB7C84C"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164 </w:t>
            </w:r>
          </w:p>
        </w:tc>
      </w:tr>
      <w:tr w:rsidR="00BE36FB" w:rsidRPr="009B7B35" w14:paraId="2DB92E9E" w14:textId="77777777" w:rsidTr="001A7107">
        <w:trPr>
          <w:cnfStyle w:val="000000010000" w:firstRow="0" w:lastRow="0" w:firstColumn="0" w:lastColumn="0" w:oddVBand="0" w:evenVBand="0" w:oddHBand="0" w:evenHBand="1"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52" w:type="dxa"/>
            <w:vMerge/>
          </w:tcPr>
          <w:p w14:paraId="0A447A93" w14:textId="77777777" w:rsidR="00BE36FB" w:rsidRPr="009B7B35" w:rsidRDefault="00BE36FB" w:rsidP="001A7107">
            <w:pPr>
              <w:pStyle w:val="TableText"/>
              <w:spacing w:before="20" w:after="32"/>
              <w:rPr>
                <w:rFonts w:cs="Arial"/>
              </w:rPr>
            </w:pPr>
          </w:p>
        </w:tc>
        <w:tc>
          <w:tcPr>
            <w:tcW w:w="2268" w:type="dxa"/>
          </w:tcPr>
          <w:p w14:paraId="001F03E4"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14:paraId="40E4F4EE"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2A9523A8"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3685BA0D"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433F4C48"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6E5E2B8A"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229B3BBB" w14:textId="77777777" w:rsidTr="001A710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552" w:type="dxa"/>
            <w:vMerge/>
          </w:tcPr>
          <w:p w14:paraId="343E2303" w14:textId="77777777" w:rsidR="00BE36FB" w:rsidRPr="009B7B35" w:rsidRDefault="00BE36FB" w:rsidP="001A7107">
            <w:pPr>
              <w:pStyle w:val="TableText"/>
              <w:spacing w:before="20" w:after="32"/>
              <w:rPr>
                <w:rFonts w:cs="Arial"/>
              </w:rPr>
            </w:pPr>
          </w:p>
        </w:tc>
        <w:tc>
          <w:tcPr>
            <w:tcW w:w="2268" w:type="dxa"/>
          </w:tcPr>
          <w:p w14:paraId="4ED20C18"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963" w:type="dxa"/>
          </w:tcPr>
          <w:p w14:paraId="6B26E509"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1,531 </w:t>
            </w:r>
          </w:p>
        </w:tc>
        <w:tc>
          <w:tcPr>
            <w:tcW w:w="964" w:type="dxa"/>
          </w:tcPr>
          <w:p w14:paraId="4E2D6ED3"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1,598 </w:t>
            </w:r>
          </w:p>
        </w:tc>
        <w:tc>
          <w:tcPr>
            <w:tcW w:w="964" w:type="dxa"/>
          </w:tcPr>
          <w:p w14:paraId="40016580"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1,648 </w:t>
            </w:r>
          </w:p>
        </w:tc>
        <w:tc>
          <w:tcPr>
            <w:tcW w:w="964" w:type="dxa"/>
          </w:tcPr>
          <w:p w14:paraId="109FB8F8"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1,882 </w:t>
            </w:r>
          </w:p>
        </w:tc>
        <w:tc>
          <w:tcPr>
            <w:tcW w:w="964" w:type="dxa"/>
          </w:tcPr>
          <w:p w14:paraId="5A87B0EC"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2,136 </w:t>
            </w:r>
          </w:p>
        </w:tc>
      </w:tr>
      <w:tr w:rsidR="00BE36FB" w:rsidRPr="009B7B35" w14:paraId="43BB277D" w14:textId="77777777"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384F4149" w14:textId="77777777" w:rsidR="00BE36FB" w:rsidRPr="009B7B35" w:rsidRDefault="00BE36FB" w:rsidP="001A7107">
            <w:pPr>
              <w:pStyle w:val="TableText"/>
              <w:spacing w:before="20" w:after="32"/>
              <w:rPr>
                <w:rFonts w:cs="Arial"/>
              </w:rPr>
            </w:pPr>
            <w:r w:rsidRPr="009B7B35">
              <w:rPr>
                <w:rFonts w:cs="Arial"/>
                <w:color w:val="000000"/>
              </w:rPr>
              <w:t>Boyne Island – Tannum Sands – Benaraby</w:t>
            </w:r>
          </w:p>
        </w:tc>
        <w:tc>
          <w:tcPr>
            <w:tcW w:w="2268" w:type="dxa"/>
          </w:tcPr>
          <w:p w14:paraId="53886AE1"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14:paraId="33792004"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1,168 </w:t>
            </w:r>
          </w:p>
        </w:tc>
        <w:tc>
          <w:tcPr>
            <w:tcW w:w="964" w:type="dxa"/>
          </w:tcPr>
          <w:p w14:paraId="48CE10F8"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1,446 </w:t>
            </w:r>
          </w:p>
        </w:tc>
        <w:tc>
          <w:tcPr>
            <w:tcW w:w="964" w:type="dxa"/>
          </w:tcPr>
          <w:p w14:paraId="246DD9EE"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1,764 </w:t>
            </w:r>
          </w:p>
        </w:tc>
        <w:tc>
          <w:tcPr>
            <w:tcW w:w="964" w:type="dxa"/>
          </w:tcPr>
          <w:p w14:paraId="254E3F27"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2,247 </w:t>
            </w:r>
          </w:p>
        </w:tc>
        <w:tc>
          <w:tcPr>
            <w:tcW w:w="964" w:type="dxa"/>
          </w:tcPr>
          <w:p w14:paraId="45D97DC7"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2,697 </w:t>
            </w:r>
          </w:p>
        </w:tc>
      </w:tr>
      <w:tr w:rsidR="00BE36FB" w:rsidRPr="009B7B35" w14:paraId="2DED3B63" w14:textId="77777777"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14:paraId="7DE6CB56" w14:textId="77777777" w:rsidR="00BE36FB" w:rsidRPr="009B7B35" w:rsidRDefault="00BE36FB" w:rsidP="001A7107">
            <w:pPr>
              <w:pStyle w:val="TableText"/>
              <w:spacing w:before="20" w:after="32"/>
              <w:rPr>
                <w:rFonts w:cs="Arial"/>
              </w:rPr>
            </w:pPr>
          </w:p>
        </w:tc>
        <w:tc>
          <w:tcPr>
            <w:tcW w:w="2268" w:type="dxa"/>
          </w:tcPr>
          <w:p w14:paraId="1A1395C9"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14:paraId="7C65F717"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6EC51A99"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1A9A597E"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2E67FEA2"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66A047BE"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7B4C6836" w14:textId="77777777" w:rsidTr="001A7107">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52" w:type="dxa"/>
            <w:vMerge/>
          </w:tcPr>
          <w:p w14:paraId="010C0602" w14:textId="77777777" w:rsidR="00BE36FB" w:rsidRPr="009B7B35" w:rsidRDefault="00BE36FB" w:rsidP="001A7107">
            <w:pPr>
              <w:pStyle w:val="TableText"/>
              <w:spacing w:before="20" w:after="32"/>
              <w:rPr>
                <w:rFonts w:cs="Arial"/>
              </w:rPr>
            </w:pPr>
          </w:p>
        </w:tc>
        <w:tc>
          <w:tcPr>
            <w:tcW w:w="2268" w:type="dxa"/>
          </w:tcPr>
          <w:p w14:paraId="454F2151"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14:paraId="07BDE8D0"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2,886 </w:t>
            </w:r>
          </w:p>
        </w:tc>
        <w:tc>
          <w:tcPr>
            <w:tcW w:w="964" w:type="dxa"/>
          </w:tcPr>
          <w:p w14:paraId="1B991DF9"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3,572 </w:t>
            </w:r>
          </w:p>
        </w:tc>
        <w:tc>
          <w:tcPr>
            <w:tcW w:w="964" w:type="dxa"/>
          </w:tcPr>
          <w:p w14:paraId="5C1FABF4"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4,358 </w:t>
            </w:r>
          </w:p>
        </w:tc>
        <w:tc>
          <w:tcPr>
            <w:tcW w:w="964" w:type="dxa"/>
          </w:tcPr>
          <w:p w14:paraId="461488F5"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5,551 </w:t>
            </w:r>
          </w:p>
        </w:tc>
        <w:tc>
          <w:tcPr>
            <w:tcW w:w="964" w:type="dxa"/>
          </w:tcPr>
          <w:p w14:paraId="1CD6E643"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6,662 </w:t>
            </w:r>
          </w:p>
        </w:tc>
      </w:tr>
      <w:tr w:rsidR="00BE36FB" w:rsidRPr="009B7B35" w14:paraId="1044C067" w14:textId="77777777" w:rsidTr="001A710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14:paraId="3D46D195" w14:textId="77777777" w:rsidR="00BE36FB" w:rsidRPr="009B7B35" w:rsidRDefault="00BE36FB" w:rsidP="001A7107">
            <w:pPr>
              <w:pStyle w:val="TableText"/>
              <w:spacing w:before="20" w:after="32"/>
              <w:rPr>
                <w:rFonts w:cs="Arial"/>
              </w:rPr>
            </w:pPr>
          </w:p>
        </w:tc>
        <w:tc>
          <w:tcPr>
            <w:tcW w:w="2268" w:type="dxa"/>
          </w:tcPr>
          <w:p w14:paraId="60E3259B"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14:paraId="05269B68"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445 </w:t>
            </w:r>
          </w:p>
        </w:tc>
        <w:tc>
          <w:tcPr>
            <w:tcW w:w="964" w:type="dxa"/>
          </w:tcPr>
          <w:p w14:paraId="35248E11"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551 </w:t>
            </w:r>
          </w:p>
        </w:tc>
        <w:tc>
          <w:tcPr>
            <w:tcW w:w="964" w:type="dxa"/>
          </w:tcPr>
          <w:p w14:paraId="566AFF3C"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672 </w:t>
            </w:r>
          </w:p>
        </w:tc>
        <w:tc>
          <w:tcPr>
            <w:tcW w:w="964" w:type="dxa"/>
          </w:tcPr>
          <w:p w14:paraId="61CE9190"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857 </w:t>
            </w:r>
          </w:p>
        </w:tc>
        <w:tc>
          <w:tcPr>
            <w:tcW w:w="964" w:type="dxa"/>
          </w:tcPr>
          <w:p w14:paraId="4CB32950"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1,028 </w:t>
            </w:r>
          </w:p>
        </w:tc>
      </w:tr>
      <w:tr w:rsidR="00BE36FB" w:rsidRPr="009B7B35" w14:paraId="29E4B493" w14:textId="77777777" w:rsidTr="001A7107">
        <w:trPr>
          <w:cnfStyle w:val="000000010000" w:firstRow="0" w:lastRow="0" w:firstColumn="0" w:lastColumn="0" w:oddVBand="0" w:evenVBand="0" w:oddHBand="0" w:evenHBand="1"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52" w:type="dxa"/>
            <w:vMerge/>
          </w:tcPr>
          <w:p w14:paraId="3895D6D5" w14:textId="77777777" w:rsidR="00BE36FB" w:rsidRPr="009B7B35" w:rsidRDefault="00BE36FB" w:rsidP="001A7107">
            <w:pPr>
              <w:pStyle w:val="TableText"/>
              <w:spacing w:before="20" w:after="32"/>
              <w:rPr>
                <w:rFonts w:cs="Arial"/>
              </w:rPr>
            </w:pPr>
          </w:p>
        </w:tc>
        <w:tc>
          <w:tcPr>
            <w:tcW w:w="2268" w:type="dxa"/>
          </w:tcPr>
          <w:p w14:paraId="675F71AF"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14:paraId="53992B47"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361E216E"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3CF53C3F"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27151B13"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6FBC67BD"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09FE0269" w14:textId="77777777" w:rsidTr="001A710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552" w:type="dxa"/>
            <w:vMerge/>
          </w:tcPr>
          <w:p w14:paraId="45F02911" w14:textId="77777777" w:rsidR="00BE36FB" w:rsidRPr="009B7B35" w:rsidRDefault="00BE36FB" w:rsidP="001A7107">
            <w:pPr>
              <w:pStyle w:val="TableText"/>
              <w:spacing w:before="20" w:after="32"/>
              <w:rPr>
                <w:rFonts w:cs="Arial"/>
              </w:rPr>
            </w:pPr>
          </w:p>
        </w:tc>
        <w:tc>
          <w:tcPr>
            <w:tcW w:w="2268" w:type="dxa"/>
          </w:tcPr>
          <w:p w14:paraId="29645DD3"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963" w:type="dxa"/>
          </w:tcPr>
          <w:p w14:paraId="0A7029AB"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4,500</w:t>
            </w:r>
          </w:p>
        </w:tc>
        <w:tc>
          <w:tcPr>
            <w:tcW w:w="964" w:type="dxa"/>
          </w:tcPr>
          <w:p w14:paraId="0BFB3993"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5,569</w:t>
            </w:r>
          </w:p>
        </w:tc>
        <w:tc>
          <w:tcPr>
            <w:tcW w:w="964" w:type="dxa"/>
          </w:tcPr>
          <w:p w14:paraId="3FDC7593"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6,794</w:t>
            </w:r>
          </w:p>
        </w:tc>
        <w:tc>
          <w:tcPr>
            <w:tcW w:w="964" w:type="dxa"/>
          </w:tcPr>
          <w:p w14:paraId="07975296"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8,655</w:t>
            </w:r>
          </w:p>
        </w:tc>
        <w:tc>
          <w:tcPr>
            <w:tcW w:w="964" w:type="dxa"/>
          </w:tcPr>
          <w:p w14:paraId="5347F139"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10,387</w:t>
            </w:r>
          </w:p>
        </w:tc>
      </w:tr>
      <w:tr w:rsidR="00BE36FB" w:rsidRPr="009B7B35" w14:paraId="6944EC33" w14:textId="77777777" w:rsidTr="001A7107">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70AF1C6E" w14:textId="77777777" w:rsidR="00BE36FB" w:rsidRPr="009B7B35" w:rsidRDefault="00BE36FB" w:rsidP="001A7107">
            <w:pPr>
              <w:pStyle w:val="TableText"/>
              <w:spacing w:before="20" w:after="32"/>
              <w:rPr>
                <w:rFonts w:cs="Arial"/>
              </w:rPr>
            </w:pPr>
            <w:r w:rsidRPr="009B7B35">
              <w:rPr>
                <w:rFonts w:cs="Arial"/>
                <w:color w:val="000000"/>
              </w:rPr>
              <w:t>Gladstone Hinterland (aka Calliope)</w:t>
            </w:r>
          </w:p>
        </w:tc>
        <w:tc>
          <w:tcPr>
            <w:tcW w:w="2268" w:type="dxa"/>
          </w:tcPr>
          <w:p w14:paraId="08E2A133"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14:paraId="794ED11B"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373 </w:t>
            </w:r>
          </w:p>
        </w:tc>
        <w:tc>
          <w:tcPr>
            <w:tcW w:w="964" w:type="dxa"/>
          </w:tcPr>
          <w:p w14:paraId="5FB8DFC2"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462 </w:t>
            </w:r>
          </w:p>
        </w:tc>
        <w:tc>
          <w:tcPr>
            <w:tcW w:w="964" w:type="dxa"/>
          </w:tcPr>
          <w:p w14:paraId="526D057E"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564 </w:t>
            </w:r>
          </w:p>
        </w:tc>
        <w:tc>
          <w:tcPr>
            <w:tcW w:w="964" w:type="dxa"/>
          </w:tcPr>
          <w:p w14:paraId="3B78A1D1"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644 </w:t>
            </w:r>
          </w:p>
        </w:tc>
        <w:tc>
          <w:tcPr>
            <w:tcW w:w="964" w:type="dxa"/>
          </w:tcPr>
          <w:p w14:paraId="1DE4B01C"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726 </w:t>
            </w:r>
          </w:p>
        </w:tc>
      </w:tr>
      <w:tr w:rsidR="00BE36FB" w:rsidRPr="009B7B35" w14:paraId="3C8962F8" w14:textId="77777777" w:rsidTr="001A7107">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52" w:type="dxa"/>
            <w:vMerge/>
          </w:tcPr>
          <w:p w14:paraId="14264C0D" w14:textId="77777777" w:rsidR="00BE36FB" w:rsidRPr="009B7B35" w:rsidRDefault="00BE36FB" w:rsidP="001A7107">
            <w:pPr>
              <w:pStyle w:val="TableText"/>
              <w:spacing w:before="20" w:after="32"/>
              <w:rPr>
                <w:rFonts w:cs="Arial"/>
              </w:rPr>
            </w:pPr>
          </w:p>
        </w:tc>
        <w:tc>
          <w:tcPr>
            <w:tcW w:w="2268" w:type="dxa"/>
          </w:tcPr>
          <w:p w14:paraId="1C405B4D"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14:paraId="6BFB64DF"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2659BF4A"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5C0C5286"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5FC6B3F2"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964" w:type="dxa"/>
          </w:tcPr>
          <w:p w14:paraId="64F23FE0"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2A2D9C4F" w14:textId="77777777" w:rsidTr="001A7107">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552" w:type="dxa"/>
            <w:vMerge/>
          </w:tcPr>
          <w:p w14:paraId="7DA6A1D3" w14:textId="77777777" w:rsidR="00BE36FB" w:rsidRPr="009B7B35" w:rsidRDefault="00BE36FB" w:rsidP="001A7107">
            <w:pPr>
              <w:pStyle w:val="TableText"/>
              <w:spacing w:before="20" w:after="32"/>
              <w:rPr>
                <w:rFonts w:cs="Arial"/>
              </w:rPr>
            </w:pPr>
          </w:p>
        </w:tc>
        <w:tc>
          <w:tcPr>
            <w:tcW w:w="2268" w:type="dxa"/>
          </w:tcPr>
          <w:p w14:paraId="7C9B24C5"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14:paraId="66DE82FD"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 </w:t>
            </w:r>
          </w:p>
        </w:tc>
        <w:tc>
          <w:tcPr>
            <w:tcW w:w="964" w:type="dxa"/>
          </w:tcPr>
          <w:p w14:paraId="015413A2"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 </w:t>
            </w:r>
          </w:p>
        </w:tc>
        <w:tc>
          <w:tcPr>
            <w:tcW w:w="964" w:type="dxa"/>
          </w:tcPr>
          <w:p w14:paraId="1181DAA9"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 </w:t>
            </w:r>
          </w:p>
        </w:tc>
        <w:tc>
          <w:tcPr>
            <w:tcW w:w="964" w:type="dxa"/>
          </w:tcPr>
          <w:p w14:paraId="3DAE50B3"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 </w:t>
            </w:r>
          </w:p>
        </w:tc>
        <w:tc>
          <w:tcPr>
            <w:tcW w:w="964" w:type="dxa"/>
          </w:tcPr>
          <w:p w14:paraId="635AB70F"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 </w:t>
            </w:r>
          </w:p>
        </w:tc>
      </w:tr>
      <w:tr w:rsidR="00BE36FB" w:rsidRPr="009B7B35" w14:paraId="1C618355" w14:textId="77777777" w:rsidTr="001A7107">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552" w:type="dxa"/>
            <w:vMerge/>
          </w:tcPr>
          <w:p w14:paraId="32D23EB8" w14:textId="77777777" w:rsidR="00BE36FB" w:rsidRPr="009B7B35" w:rsidRDefault="00BE36FB" w:rsidP="001A7107">
            <w:pPr>
              <w:pStyle w:val="TableText"/>
              <w:spacing w:before="20" w:after="20"/>
              <w:rPr>
                <w:rFonts w:cs="Arial"/>
              </w:rPr>
            </w:pPr>
          </w:p>
        </w:tc>
        <w:tc>
          <w:tcPr>
            <w:tcW w:w="2268" w:type="dxa"/>
          </w:tcPr>
          <w:p w14:paraId="46BCDF47" w14:textId="77777777"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14:paraId="56CE76BE" w14:textId="77777777"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84 </w:t>
            </w:r>
          </w:p>
        </w:tc>
        <w:tc>
          <w:tcPr>
            <w:tcW w:w="964" w:type="dxa"/>
          </w:tcPr>
          <w:p w14:paraId="49AE2998" w14:textId="77777777"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104 </w:t>
            </w:r>
          </w:p>
        </w:tc>
        <w:tc>
          <w:tcPr>
            <w:tcW w:w="964" w:type="dxa"/>
          </w:tcPr>
          <w:p w14:paraId="397E8C81" w14:textId="77777777"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127 </w:t>
            </w:r>
          </w:p>
        </w:tc>
        <w:tc>
          <w:tcPr>
            <w:tcW w:w="964" w:type="dxa"/>
          </w:tcPr>
          <w:p w14:paraId="46E0F400" w14:textId="77777777"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145 </w:t>
            </w:r>
          </w:p>
        </w:tc>
        <w:tc>
          <w:tcPr>
            <w:tcW w:w="964" w:type="dxa"/>
          </w:tcPr>
          <w:p w14:paraId="3EFD7440" w14:textId="77777777"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164 </w:t>
            </w:r>
          </w:p>
        </w:tc>
      </w:tr>
      <w:tr w:rsidR="00BE36FB" w:rsidRPr="009B7B35" w14:paraId="2D3331CE" w14:textId="77777777" w:rsidTr="001A7107">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552" w:type="dxa"/>
            <w:vMerge/>
          </w:tcPr>
          <w:p w14:paraId="63F823AD" w14:textId="77777777" w:rsidR="00BE36FB" w:rsidRPr="009B7B35" w:rsidRDefault="00BE36FB" w:rsidP="001A7107">
            <w:pPr>
              <w:pStyle w:val="TableText"/>
              <w:spacing w:before="20" w:after="20"/>
              <w:rPr>
                <w:rFonts w:cs="Arial"/>
              </w:rPr>
            </w:pPr>
          </w:p>
        </w:tc>
        <w:tc>
          <w:tcPr>
            <w:tcW w:w="2268" w:type="dxa"/>
          </w:tcPr>
          <w:p w14:paraId="417D8ED8" w14:textId="77777777" w:rsidR="00BE36FB" w:rsidRPr="009B7B35" w:rsidRDefault="00BE36FB" w:rsidP="001A7107">
            <w:pPr>
              <w:pStyle w:val="TableText"/>
              <w:spacing w:before="20" w:after="2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14:paraId="08DDDCFF" w14:textId="77777777" w:rsidR="00BE36FB" w:rsidRPr="009B7B35" w:rsidRDefault="00BE36FB" w:rsidP="001A7107">
            <w:pPr>
              <w:pStyle w:val="TableText"/>
              <w:spacing w:before="20" w:after="2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4273E506" w14:textId="77777777" w:rsidR="00BE36FB" w:rsidRPr="009B7B35" w:rsidRDefault="00BE36FB" w:rsidP="001A7107">
            <w:pPr>
              <w:pStyle w:val="TableText"/>
              <w:spacing w:before="20" w:after="2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7325EE78" w14:textId="77777777" w:rsidR="00BE36FB" w:rsidRPr="009B7B35" w:rsidRDefault="00BE36FB" w:rsidP="001A7107">
            <w:pPr>
              <w:pStyle w:val="TableText"/>
              <w:spacing w:before="20" w:after="2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113A62E3" w14:textId="77777777" w:rsidR="00BE36FB" w:rsidRPr="009B7B35" w:rsidRDefault="00BE36FB" w:rsidP="001A7107">
            <w:pPr>
              <w:pStyle w:val="TableText"/>
              <w:spacing w:before="20" w:after="2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964" w:type="dxa"/>
          </w:tcPr>
          <w:p w14:paraId="07F06A85" w14:textId="77777777" w:rsidR="00BE36FB" w:rsidRPr="009B7B35" w:rsidRDefault="00BE36FB" w:rsidP="001A7107">
            <w:pPr>
              <w:pStyle w:val="TableText"/>
              <w:spacing w:before="20" w:after="2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53D66B49" w14:textId="77777777" w:rsidTr="001A7107">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52" w:type="dxa"/>
            <w:vMerge/>
          </w:tcPr>
          <w:p w14:paraId="200A7C3C" w14:textId="77777777" w:rsidR="00BE36FB" w:rsidRPr="009B7B35" w:rsidRDefault="00BE36FB" w:rsidP="001A7107">
            <w:pPr>
              <w:pStyle w:val="TableText"/>
              <w:spacing w:before="20" w:after="20"/>
              <w:rPr>
                <w:rFonts w:cs="Arial"/>
              </w:rPr>
            </w:pPr>
          </w:p>
        </w:tc>
        <w:tc>
          <w:tcPr>
            <w:tcW w:w="2268" w:type="dxa"/>
          </w:tcPr>
          <w:p w14:paraId="4D4CDFD0" w14:textId="77777777"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963" w:type="dxa"/>
          </w:tcPr>
          <w:p w14:paraId="19331C7C" w14:textId="77777777"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469</w:t>
            </w:r>
          </w:p>
        </w:tc>
        <w:tc>
          <w:tcPr>
            <w:tcW w:w="964" w:type="dxa"/>
          </w:tcPr>
          <w:p w14:paraId="58D8866E" w14:textId="77777777"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581</w:t>
            </w:r>
          </w:p>
        </w:tc>
        <w:tc>
          <w:tcPr>
            <w:tcW w:w="964" w:type="dxa"/>
          </w:tcPr>
          <w:p w14:paraId="05AA0B72" w14:textId="77777777"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709</w:t>
            </w:r>
          </w:p>
        </w:tc>
        <w:tc>
          <w:tcPr>
            <w:tcW w:w="964" w:type="dxa"/>
          </w:tcPr>
          <w:p w14:paraId="6785D3F3" w14:textId="77777777"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810</w:t>
            </w:r>
          </w:p>
        </w:tc>
        <w:tc>
          <w:tcPr>
            <w:tcW w:w="964" w:type="dxa"/>
          </w:tcPr>
          <w:p w14:paraId="142112AE" w14:textId="77777777" w:rsidR="00BE36FB" w:rsidRPr="009B7B35" w:rsidRDefault="00BE36FB" w:rsidP="001A7107">
            <w:pPr>
              <w:pStyle w:val="TableText"/>
              <w:spacing w:before="20" w:after="2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912</w:t>
            </w:r>
          </w:p>
        </w:tc>
      </w:tr>
      <w:tr w:rsidR="00BE36FB" w:rsidRPr="009B7B35" w14:paraId="0518587F" w14:textId="77777777"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63DEB3B2" w14:textId="77777777" w:rsidR="00BE36FB" w:rsidRPr="009B7B35" w:rsidRDefault="00BE36FB" w:rsidP="001A7107">
            <w:pPr>
              <w:pStyle w:val="TableText"/>
              <w:spacing w:before="20" w:after="32"/>
              <w:rPr>
                <w:rFonts w:cs="Arial"/>
              </w:rPr>
            </w:pPr>
            <w:r w:rsidRPr="009B7B35">
              <w:rPr>
                <w:rFonts w:cs="Arial"/>
              </w:rPr>
              <w:t xml:space="preserve">Agnes Waters, Miriam Vale </w:t>
            </w:r>
          </w:p>
        </w:tc>
        <w:tc>
          <w:tcPr>
            <w:tcW w:w="2268" w:type="dxa"/>
          </w:tcPr>
          <w:p w14:paraId="71A0AE3E"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14:paraId="3C498705"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757 </w:t>
            </w:r>
          </w:p>
        </w:tc>
        <w:tc>
          <w:tcPr>
            <w:tcW w:w="964" w:type="dxa"/>
          </w:tcPr>
          <w:p w14:paraId="6BCDA674"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899 </w:t>
            </w:r>
          </w:p>
        </w:tc>
        <w:tc>
          <w:tcPr>
            <w:tcW w:w="964" w:type="dxa"/>
          </w:tcPr>
          <w:p w14:paraId="4B778F99"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1,038 </w:t>
            </w:r>
          </w:p>
        </w:tc>
        <w:tc>
          <w:tcPr>
            <w:tcW w:w="964" w:type="dxa"/>
          </w:tcPr>
          <w:p w14:paraId="44CCCA4E"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1,177 </w:t>
            </w:r>
          </w:p>
        </w:tc>
        <w:tc>
          <w:tcPr>
            <w:tcW w:w="964" w:type="dxa"/>
          </w:tcPr>
          <w:p w14:paraId="7F79F77C"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 </w:t>
            </w:r>
          </w:p>
        </w:tc>
      </w:tr>
      <w:tr w:rsidR="00BE36FB" w:rsidRPr="009B7B35" w14:paraId="15DE47C4" w14:textId="77777777"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14:paraId="1207AAC6" w14:textId="77777777" w:rsidR="00BE36FB" w:rsidRPr="009B7B35" w:rsidRDefault="00BE36FB" w:rsidP="001A7107">
            <w:pPr>
              <w:pStyle w:val="TableText"/>
              <w:spacing w:before="20" w:after="32"/>
              <w:rPr>
                <w:rFonts w:cs="Arial"/>
              </w:rPr>
            </w:pPr>
          </w:p>
        </w:tc>
        <w:tc>
          <w:tcPr>
            <w:tcW w:w="2268" w:type="dxa"/>
          </w:tcPr>
          <w:p w14:paraId="4B2F2EF8"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14:paraId="6C29AD0B"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285 </w:t>
            </w:r>
          </w:p>
        </w:tc>
        <w:tc>
          <w:tcPr>
            <w:tcW w:w="964" w:type="dxa"/>
          </w:tcPr>
          <w:p w14:paraId="15E06DBE"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338 </w:t>
            </w:r>
          </w:p>
        </w:tc>
        <w:tc>
          <w:tcPr>
            <w:tcW w:w="964" w:type="dxa"/>
          </w:tcPr>
          <w:p w14:paraId="5DDED77B"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390 </w:t>
            </w:r>
          </w:p>
        </w:tc>
        <w:tc>
          <w:tcPr>
            <w:tcW w:w="964" w:type="dxa"/>
          </w:tcPr>
          <w:p w14:paraId="48FD7222"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442 </w:t>
            </w:r>
          </w:p>
        </w:tc>
        <w:tc>
          <w:tcPr>
            <w:tcW w:w="964" w:type="dxa"/>
          </w:tcPr>
          <w:p w14:paraId="3E106422"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220 </w:t>
            </w:r>
          </w:p>
        </w:tc>
      </w:tr>
      <w:tr w:rsidR="00BE36FB" w:rsidRPr="009B7B35" w14:paraId="1659D250" w14:textId="77777777"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14:paraId="0B73F4C3" w14:textId="77777777" w:rsidR="00BE36FB" w:rsidRPr="009B7B35" w:rsidRDefault="00BE36FB" w:rsidP="001A7107">
            <w:pPr>
              <w:pStyle w:val="TableText"/>
              <w:spacing w:before="20" w:after="32"/>
              <w:rPr>
                <w:rFonts w:cs="Arial"/>
              </w:rPr>
            </w:pPr>
          </w:p>
        </w:tc>
        <w:tc>
          <w:tcPr>
            <w:tcW w:w="2268" w:type="dxa"/>
          </w:tcPr>
          <w:p w14:paraId="7A81860C"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14:paraId="560076D0"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253 </w:t>
            </w:r>
          </w:p>
        </w:tc>
        <w:tc>
          <w:tcPr>
            <w:tcW w:w="964" w:type="dxa"/>
          </w:tcPr>
          <w:p w14:paraId="6ADAFE86"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300 </w:t>
            </w:r>
          </w:p>
        </w:tc>
        <w:tc>
          <w:tcPr>
            <w:tcW w:w="964" w:type="dxa"/>
          </w:tcPr>
          <w:p w14:paraId="6E634945"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347 </w:t>
            </w:r>
          </w:p>
        </w:tc>
        <w:tc>
          <w:tcPr>
            <w:tcW w:w="964" w:type="dxa"/>
          </w:tcPr>
          <w:p w14:paraId="71FEE02A"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393 </w:t>
            </w:r>
          </w:p>
        </w:tc>
        <w:tc>
          <w:tcPr>
            <w:tcW w:w="964" w:type="dxa"/>
          </w:tcPr>
          <w:p w14:paraId="59EA8E16"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160 </w:t>
            </w:r>
          </w:p>
        </w:tc>
      </w:tr>
      <w:tr w:rsidR="00BE36FB" w:rsidRPr="009B7B35" w14:paraId="57DFE8BB" w14:textId="77777777"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14:paraId="0EE60542" w14:textId="77777777" w:rsidR="00BE36FB" w:rsidRPr="009B7B35" w:rsidRDefault="00BE36FB" w:rsidP="001A7107">
            <w:pPr>
              <w:pStyle w:val="TableText"/>
              <w:spacing w:before="20" w:after="32"/>
              <w:rPr>
                <w:rFonts w:cs="Arial"/>
              </w:rPr>
            </w:pPr>
          </w:p>
        </w:tc>
        <w:tc>
          <w:tcPr>
            <w:tcW w:w="2268" w:type="dxa"/>
          </w:tcPr>
          <w:p w14:paraId="29645F50"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14:paraId="0AA94B98"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213 </w:t>
            </w:r>
          </w:p>
        </w:tc>
        <w:tc>
          <w:tcPr>
            <w:tcW w:w="964" w:type="dxa"/>
          </w:tcPr>
          <w:p w14:paraId="1BC5BD4B"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253 </w:t>
            </w:r>
          </w:p>
        </w:tc>
        <w:tc>
          <w:tcPr>
            <w:tcW w:w="964" w:type="dxa"/>
          </w:tcPr>
          <w:p w14:paraId="0BFBAD22"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292 </w:t>
            </w:r>
          </w:p>
        </w:tc>
        <w:tc>
          <w:tcPr>
            <w:tcW w:w="964" w:type="dxa"/>
          </w:tcPr>
          <w:p w14:paraId="512D9E62"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331 </w:t>
            </w:r>
          </w:p>
        </w:tc>
        <w:tc>
          <w:tcPr>
            <w:tcW w:w="964" w:type="dxa"/>
          </w:tcPr>
          <w:p w14:paraId="5E21F5CF"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r>
      <w:tr w:rsidR="00BE36FB" w:rsidRPr="009B7B35" w14:paraId="3A713B43" w14:textId="77777777"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14:paraId="43F0224E" w14:textId="77777777" w:rsidR="00BE36FB" w:rsidRPr="009B7B35" w:rsidRDefault="00BE36FB" w:rsidP="001A7107">
            <w:pPr>
              <w:pStyle w:val="TableText"/>
              <w:spacing w:before="20" w:after="32"/>
              <w:rPr>
                <w:rFonts w:cs="Arial"/>
              </w:rPr>
            </w:pPr>
          </w:p>
        </w:tc>
        <w:tc>
          <w:tcPr>
            <w:tcW w:w="2268" w:type="dxa"/>
          </w:tcPr>
          <w:p w14:paraId="6E60D20A"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14:paraId="1366C352"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964" w:type="dxa"/>
          </w:tcPr>
          <w:p w14:paraId="685FD3AA"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964" w:type="dxa"/>
          </w:tcPr>
          <w:p w14:paraId="3F480769"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964" w:type="dxa"/>
          </w:tcPr>
          <w:p w14:paraId="49511B24"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964" w:type="dxa"/>
          </w:tcPr>
          <w:p w14:paraId="478AFF4E"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r>
      <w:tr w:rsidR="00BE36FB" w:rsidRPr="009B7B35" w14:paraId="3933E7B8" w14:textId="77777777"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14:paraId="24FB50B5" w14:textId="77777777" w:rsidR="00BE36FB" w:rsidRPr="009B7B35" w:rsidRDefault="00BE36FB" w:rsidP="001A7107">
            <w:pPr>
              <w:pStyle w:val="TableText"/>
              <w:spacing w:before="20" w:after="32"/>
              <w:rPr>
                <w:rFonts w:cs="Arial"/>
              </w:rPr>
            </w:pPr>
          </w:p>
        </w:tc>
        <w:tc>
          <w:tcPr>
            <w:tcW w:w="2268" w:type="dxa"/>
          </w:tcPr>
          <w:p w14:paraId="585401A6"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 xml:space="preserve">Total </w:t>
            </w:r>
          </w:p>
        </w:tc>
        <w:tc>
          <w:tcPr>
            <w:tcW w:w="963" w:type="dxa"/>
          </w:tcPr>
          <w:p w14:paraId="29D02B9A"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1,508</w:t>
            </w:r>
          </w:p>
        </w:tc>
        <w:tc>
          <w:tcPr>
            <w:tcW w:w="964" w:type="dxa"/>
          </w:tcPr>
          <w:p w14:paraId="322574CF"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1,790</w:t>
            </w:r>
          </w:p>
        </w:tc>
        <w:tc>
          <w:tcPr>
            <w:tcW w:w="964" w:type="dxa"/>
          </w:tcPr>
          <w:p w14:paraId="61FEF613"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2,066</w:t>
            </w:r>
          </w:p>
        </w:tc>
        <w:tc>
          <w:tcPr>
            <w:tcW w:w="964" w:type="dxa"/>
          </w:tcPr>
          <w:p w14:paraId="0D331EAE"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2,343</w:t>
            </w:r>
          </w:p>
        </w:tc>
        <w:tc>
          <w:tcPr>
            <w:tcW w:w="964" w:type="dxa"/>
          </w:tcPr>
          <w:p w14:paraId="7D2CC2A3"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430</w:t>
            </w:r>
          </w:p>
        </w:tc>
      </w:tr>
      <w:tr w:rsidR="00BE36FB" w:rsidRPr="009B7B35" w14:paraId="36EE44B9" w14:textId="77777777"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174D451A" w14:textId="77777777" w:rsidR="00BE36FB" w:rsidRPr="009B7B35" w:rsidRDefault="00BE36FB" w:rsidP="001A7107">
            <w:pPr>
              <w:pStyle w:val="TableText"/>
              <w:spacing w:before="20" w:after="32"/>
              <w:rPr>
                <w:rFonts w:cs="Arial"/>
              </w:rPr>
            </w:pPr>
            <w:r w:rsidRPr="009B7B35">
              <w:rPr>
                <w:rFonts w:cs="Arial"/>
              </w:rPr>
              <w:t>Outside PIA</w:t>
            </w:r>
          </w:p>
        </w:tc>
        <w:tc>
          <w:tcPr>
            <w:tcW w:w="2268" w:type="dxa"/>
          </w:tcPr>
          <w:p w14:paraId="0A60C653"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14:paraId="3DA50364"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33 </w:t>
            </w:r>
          </w:p>
        </w:tc>
        <w:tc>
          <w:tcPr>
            <w:tcW w:w="964" w:type="dxa"/>
          </w:tcPr>
          <w:p w14:paraId="7E7FF7BB"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 </w:t>
            </w:r>
          </w:p>
        </w:tc>
        <w:tc>
          <w:tcPr>
            <w:tcW w:w="964" w:type="dxa"/>
          </w:tcPr>
          <w:p w14:paraId="0E4FAA10"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35 </w:t>
            </w:r>
          </w:p>
        </w:tc>
        <w:tc>
          <w:tcPr>
            <w:tcW w:w="964" w:type="dxa"/>
          </w:tcPr>
          <w:p w14:paraId="213BD54C"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35 </w:t>
            </w:r>
          </w:p>
        </w:tc>
        <w:tc>
          <w:tcPr>
            <w:tcW w:w="964" w:type="dxa"/>
          </w:tcPr>
          <w:p w14:paraId="0F7281E7"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 </w:t>
            </w:r>
          </w:p>
        </w:tc>
      </w:tr>
      <w:tr w:rsidR="00BE36FB" w:rsidRPr="009B7B35" w14:paraId="5FE8567E" w14:textId="77777777"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14:paraId="6DCF43D2" w14:textId="77777777" w:rsidR="00BE36FB" w:rsidRPr="009B7B35" w:rsidRDefault="00BE36FB" w:rsidP="001A7107">
            <w:pPr>
              <w:pStyle w:val="TableText"/>
              <w:spacing w:before="20" w:after="32"/>
              <w:rPr>
                <w:rFonts w:cs="Arial"/>
              </w:rPr>
            </w:pPr>
          </w:p>
        </w:tc>
        <w:tc>
          <w:tcPr>
            <w:tcW w:w="2268" w:type="dxa"/>
          </w:tcPr>
          <w:p w14:paraId="4369CE98"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14:paraId="4D276812"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964" w:type="dxa"/>
          </w:tcPr>
          <w:p w14:paraId="7BD065FC"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964" w:type="dxa"/>
          </w:tcPr>
          <w:p w14:paraId="04E56086"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964" w:type="dxa"/>
          </w:tcPr>
          <w:p w14:paraId="6EB49E6A"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964" w:type="dxa"/>
          </w:tcPr>
          <w:p w14:paraId="222E2905"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110</w:t>
            </w:r>
          </w:p>
        </w:tc>
      </w:tr>
      <w:tr w:rsidR="00BE36FB" w:rsidRPr="009B7B35" w14:paraId="12953299" w14:textId="77777777"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14:paraId="6F4B0A05" w14:textId="77777777" w:rsidR="00BE36FB" w:rsidRPr="009B7B35" w:rsidRDefault="00BE36FB" w:rsidP="001A7107">
            <w:pPr>
              <w:pStyle w:val="TableText"/>
              <w:spacing w:before="20" w:after="32"/>
              <w:rPr>
                <w:rFonts w:cs="Arial"/>
              </w:rPr>
            </w:pPr>
          </w:p>
        </w:tc>
        <w:tc>
          <w:tcPr>
            <w:tcW w:w="2268" w:type="dxa"/>
          </w:tcPr>
          <w:p w14:paraId="2CCC5163"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14:paraId="355B0846"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530 </w:t>
            </w:r>
          </w:p>
        </w:tc>
        <w:tc>
          <w:tcPr>
            <w:tcW w:w="964" w:type="dxa"/>
          </w:tcPr>
          <w:p w14:paraId="00593FF3"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554 </w:t>
            </w:r>
          </w:p>
        </w:tc>
        <w:tc>
          <w:tcPr>
            <w:tcW w:w="964" w:type="dxa"/>
          </w:tcPr>
          <w:p w14:paraId="7AF6EA92"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571 </w:t>
            </w:r>
          </w:p>
        </w:tc>
        <w:tc>
          <w:tcPr>
            <w:tcW w:w="964" w:type="dxa"/>
          </w:tcPr>
          <w:p w14:paraId="6D91E411"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571 </w:t>
            </w:r>
          </w:p>
        </w:tc>
        <w:tc>
          <w:tcPr>
            <w:tcW w:w="964" w:type="dxa"/>
          </w:tcPr>
          <w:p w14:paraId="10E7402A"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80 </w:t>
            </w:r>
          </w:p>
        </w:tc>
      </w:tr>
      <w:tr w:rsidR="00BE36FB" w:rsidRPr="009B7B35" w14:paraId="17CF8EC3" w14:textId="77777777"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14:paraId="00C2D8EC" w14:textId="77777777" w:rsidR="00BE36FB" w:rsidRPr="009B7B35" w:rsidRDefault="00BE36FB" w:rsidP="001A7107">
            <w:pPr>
              <w:pStyle w:val="TableText"/>
              <w:spacing w:before="20" w:after="32"/>
              <w:rPr>
                <w:rFonts w:cs="Arial"/>
              </w:rPr>
            </w:pPr>
          </w:p>
        </w:tc>
        <w:tc>
          <w:tcPr>
            <w:tcW w:w="2268" w:type="dxa"/>
          </w:tcPr>
          <w:p w14:paraId="4E089832"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14:paraId="3AC3946D"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24 </w:t>
            </w:r>
          </w:p>
        </w:tc>
        <w:tc>
          <w:tcPr>
            <w:tcW w:w="964" w:type="dxa"/>
          </w:tcPr>
          <w:p w14:paraId="7C21EBDE"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 </w:t>
            </w:r>
          </w:p>
        </w:tc>
        <w:tc>
          <w:tcPr>
            <w:tcW w:w="964" w:type="dxa"/>
          </w:tcPr>
          <w:p w14:paraId="3C628E6C"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26 </w:t>
            </w:r>
          </w:p>
        </w:tc>
        <w:tc>
          <w:tcPr>
            <w:tcW w:w="964" w:type="dxa"/>
          </w:tcPr>
          <w:p w14:paraId="2BFE98EE"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26 </w:t>
            </w:r>
          </w:p>
        </w:tc>
        <w:tc>
          <w:tcPr>
            <w:tcW w:w="964" w:type="dxa"/>
          </w:tcPr>
          <w:p w14:paraId="613DB82D"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r>
      <w:tr w:rsidR="00BE36FB" w:rsidRPr="009B7B35" w14:paraId="12E71021" w14:textId="77777777"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14:paraId="10A47E59" w14:textId="77777777" w:rsidR="00BE36FB" w:rsidRPr="009B7B35" w:rsidRDefault="00BE36FB" w:rsidP="001A7107">
            <w:pPr>
              <w:pStyle w:val="TableText"/>
              <w:spacing w:before="20" w:after="32"/>
              <w:rPr>
                <w:rFonts w:cs="Arial"/>
              </w:rPr>
            </w:pPr>
          </w:p>
        </w:tc>
        <w:tc>
          <w:tcPr>
            <w:tcW w:w="2268" w:type="dxa"/>
          </w:tcPr>
          <w:p w14:paraId="118FD5F4"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14:paraId="560FBF44"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3,298 </w:t>
            </w:r>
          </w:p>
        </w:tc>
        <w:tc>
          <w:tcPr>
            <w:tcW w:w="964" w:type="dxa"/>
          </w:tcPr>
          <w:p w14:paraId="35297470"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3,779 </w:t>
            </w:r>
          </w:p>
        </w:tc>
        <w:tc>
          <w:tcPr>
            <w:tcW w:w="964" w:type="dxa"/>
          </w:tcPr>
          <w:p w14:paraId="1264B346"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4,283 </w:t>
            </w:r>
          </w:p>
        </w:tc>
        <w:tc>
          <w:tcPr>
            <w:tcW w:w="964" w:type="dxa"/>
          </w:tcPr>
          <w:p w14:paraId="3C3E3BF4"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4,422 </w:t>
            </w:r>
          </w:p>
        </w:tc>
        <w:tc>
          <w:tcPr>
            <w:tcW w:w="964" w:type="dxa"/>
          </w:tcPr>
          <w:p w14:paraId="3A8EC9F8"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r>
      <w:tr w:rsidR="00BE36FB" w:rsidRPr="009B7B35" w14:paraId="462CCA6F" w14:textId="77777777"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14:paraId="45627E15" w14:textId="77777777" w:rsidR="00BE36FB" w:rsidRPr="009B7B35" w:rsidRDefault="00BE36FB" w:rsidP="001A7107">
            <w:pPr>
              <w:pStyle w:val="TableText"/>
              <w:spacing w:before="20" w:after="32"/>
              <w:rPr>
                <w:rFonts w:cs="Arial"/>
              </w:rPr>
            </w:pPr>
          </w:p>
        </w:tc>
        <w:tc>
          <w:tcPr>
            <w:tcW w:w="2268" w:type="dxa"/>
          </w:tcPr>
          <w:p w14:paraId="6E8BB907"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 xml:space="preserve">Total </w:t>
            </w:r>
          </w:p>
        </w:tc>
        <w:tc>
          <w:tcPr>
            <w:tcW w:w="963" w:type="dxa"/>
          </w:tcPr>
          <w:p w14:paraId="014633BD"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3,885</w:t>
            </w:r>
          </w:p>
        </w:tc>
        <w:tc>
          <w:tcPr>
            <w:tcW w:w="964" w:type="dxa"/>
          </w:tcPr>
          <w:p w14:paraId="7D3B863D"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4,392</w:t>
            </w:r>
          </w:p>
        </w:tc>
        <w:tc>
          <w:tcPr>
            <w:tcW w:w="964" w:type="dxa"/>
          </w:tcPr>
          <w:p w14:paraId="6F99D549"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4,914</w:t>
            </w:r>
          </w:p>
        </w:tc>
        <w:tc>
          <w:tcPr>
            <w:tcW w:w="964" w:type="dxa"/>
          </w:tcPr>
          <w:p w14:paraId="7B9831F3"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5,054</w:t>
            </w:r>
          </w:p>
        </w:tc>
        <w:tc>
          <w:tcPr>
            <w:tcW w:w="964" w:type="dxa"/>
          </w:tcPr>
          <w:p w14:paraId="18C12ECA"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215</w:t>
            </w:r>
          </w:p>
        </w:tc>
      </w:tr>
      <w:tr w:rsidR="00BE36FB" w:rsidRPr="009B7B35" w14:paraId="37B79242" w14:textId="77777777"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3F5ED001" w14:textId="77777777" w:rsidR="00BE36FB" w:rsidRPr="009B7B35" w:rsidRDefault="00BE36FB" w:rsidP="001A7107">
            <w:pPr>
              <w:pStyle w:val="TableText"/>
              <w:spacing w:before="20" w:after="32"/>
              <w:rPr>
                <w:rFonts w:cs="Arial"/>
              </w:rPr>
            </w:pPr>
            <w:r w:rsidRPr="009B7B35">
              <w:rPr>
                <w:rFonts w:cs="Arial"/>
              </w:rPr>
              <w:t xml:space="preserve">Gladstone Regional Area </w:t>
            </w:r>
          </w:p>
        </w:tc>
        <w:tc>
          <w:tcPr>
            <w:tcW w:w="2268" w:type="dxa"/>
          </w:tcPr>
          <w:p w14:paraId="335E7B60"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963" w:type="dxa"/>
          </w:tcPr>
          <w:p w14:paraId="4AAFD084"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5,043 </w:t>
            </w:r>
          </w:p>
        </w:tc>
        <w:tc>
          <w:tcPr>
            <w:tcW w:w="964" w:type="dxa"/>
          </w:tcPr>
          <w:p w14:paraId="55DF2C19"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5,671 </w:t>
            </w:r>
          </w:p>
        </w:tc>
        <w:tc>
          <w:tcPr>
            <w:tcW w:w="964" w:type="dxa"/>
          </w:tcPr>
          <w:p w14:paraId="6DAB943F"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6,318 </w:t>
            </w:r>
          </w:p>
        </w:tc>
        <w:tc>
          <w:tcPr>
            <w:tcW w:w="964" w:type="dxa"/>
          </w:tcPr>
          <w:p w14:paraId="6A631491"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7,282 </w:t>
            </w:r>
          </w:p>
        </w:tc>
        <w:tc>
          <w:tcPr>
            <w:tcW w:w="964" w:type="dxa"/>
          </w:tcPr>
          <w:p w14:paraId="7618FD3A"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6,957 </w:t>
            </w:r>
          </w:p>
        </w:tc>
      </w:tr>
      <w:tr w:rsidR="00BE36FB" w:rsidRPr="009B7B35" w14:paraId="48004C88" w14:textId="77777777"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14:paraId="1872AEF1" w14:textId="77777777" w:rsidR="00BE36FB" w:rsidRPr="009B7B35" w:rsidRDefault="00BE36FB" w:rsidP="001A7107">
            <w:pPr>
              <w:pStyle w:val="TableText"/>
              <w:spacing w:before="20" w:after="32"/>
              <w:rPr>
                <w:rFonts w:cs="Arial"/>
              </w:rPr>
            </w:pPr>
          </w:p>
        </w:tc>
        <w:tc>
          <w:tcPr>
            <w:tcW w:w="2268" w:type="dxa"/>
          </w:tcPr>
          <w:p w14:paraId="02AE198A"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963" w:type="dxa"/>
          </w:tcPr>
          <w:p w14:paraId="6C166945"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285 </w:t>
            </w:r>
          </w:p>
        </w:tc>
        <w:tc>
          <w:tcPr>
            <w:tcW w:w="964" w:type="dxa"/>
          </w:tcPr>
          <w:p w14:paraId="32D1675E"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338 </w:t>
            </w:r>
          </w:p>
        </w:tc>
        <w:tc>
          <w:tcPr>
            <w:tcW w:w="964" w:type="dxa"/>
          </w:tcPr>
          <w:p w14:paraId="26774FE6"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390 </w:t>
            </w:r>
          </w:p>
        </w:tc>
        <w:tc>
          <w:tcPr>
            <w:tcW w:w="964" w:type="dxa"/>
          </w:tcPr>
          <w:p w14:paraId="4A4100B9"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442 </w:t>
            </w:r>
          </w:p>
        </w:tc>
        <w:tc>
          <w:tcPr>
            <w:tcW w:w="964" w:type="dxa"/>
          </w:tcPr>
          <w:p w14:paraId="3AC58EB3"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330 </w:t>
            </w:r>
          </w:p>
        </w:tc>
      </w:tr>
      <w:tr w:rsidR="00BE36FB" w:rsidRPr="009B7B35" w14:paraId="44E46EDB" w14:textId="77777777"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14:paraId="4E84DFA3" w14:textId="77777777" w:rsidR="00BE36FB" w:rsidRPr="009B7B35" w:rsidRDefault="00BE36FB" w:rsidP="001A7107">
            <w:pPr>
              <w:pStyle w:val="TableText"/>
              <w:spacing w:before="20" w:after="32"/>
              <w:rPr>
                <w:rFonts w:cs="Arial"/>
              </w:rPr>
            </w:pPr>
          </w:p>
        </w:tc>
        <w:tc>
          <w:tcPr>
            <w:tcW w:w="2268" w:type="dxa"/>
          </w:tcPr>
          <w:p w14:paraId="5A844F13"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963" w:type="dxa"/>
          </w:tcPr>
          <w:p w14:paraId="20DA6418"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5,925 </w:t>
            </w:r>
          </w:p>
        </w:tc>
        <w:tc>
          <w:tcPr>
            <w:tcW w:w="964" w:type="dxa"/>
          </w:tcPr>
          <w:p w14:paraId="753EBE8A"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6,782 </w:t>
            </w:r>
          </w:p>
        </w:tc>
        <w:tc>
          <w:tcPr>
            <w:tcW w:w="964" w:type="dxa"/>
          </w:tcPr>
          <w:p w14:paraId="03209B77"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7,707 </w:t>
            </w:r>
          </w:p>
        </w:tc>
        <w:tc>
          <w:tcPr>
            <w:tcW w:w="964" w:type="dxa"/>
          </w:tcPr>
          <w:p w14:paraId="14F8C3EE"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9,118 </w:t>
            </w:r>
          </w:p>
        </w:tc>
        <w:tc>
          <w:tcPr>
            <w:tcW w:w="964" w:type="dxa"/>
          </w:tcPr>
          <w:p w14:paraId="26812E92"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9,693 </w:t>
            </w:r>
          </w:p>
        </w:tc>
      </w:tr>
      <w:tr w:rsidR="00BE36FB" w:rsidRPr="009B7B35" w14:paraId="6C605D76" w14:textId="77777777"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14:paraId="0A7D9CE8" w14:textId="77777777" w:rsidR="00BE36FB" w:rsidRPr="009B7B35" w:rsidRDefault="00BE36FB" w:rsidP="001A7107">
            <w:pPr>
              <w:pStyle w:val="TableText"/>
              <w:spacing w:before="20" w:after="32"/>
              <w:rPr>
                <w:rFonts w:cs="Arial"/>
              </w:rPr>
            </w:pPr>
          </w:p>
        </w:tc>
        <w:tc>
          <w:tcPr>
            <w:tcW w:w="2268" w:type="dxa"/>
          </w:tcPr>
          <w:p w14:paraId="0FF91F7D"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963" w:type="dxa"/>
          </w:tcPr>
          <w:p w14:paraId="6339C285"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1,382 </w:t>
            </w:r>
          </w:p>
        </w:tc>
        <w:tc>
          <w:tcPr>
            <w:tcW w:w="964" w:type="dxa"/>
          </w:tcPr>
          <w:p w14:paraId="39E8466D"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1,576 </w:t>
            </w:r>
          </w:p>
        </w:tc>
        <w:tc>
          <w:tcPr>
            <w:tcW w:w="964" w:type="dxa"/>
          </w:tcPr>
          <w:p w14:paraId="1EE2A2D5"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1,780 </w:t>
            </w:r>
          </w:p>
        </w:tc>
        <w:tc>
          <w:tcPr>
            <w:tcW w:w="964" w:type="dxa"/>
          </w:tcPr>
          <w:p w14:paraId="778D9A0B"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2,096 </w:t>
            </w:r>
          </w:p>
        </w:tc>
        <w:tc>
          <w:tcPr>
            <w:tcW w:w="964" w:type="dxa"/>
          </w:tcPr>
          <w:p w14:paraId="0E5BA1F1"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2,003 </w:t>
            </w:r>
          </w:p>
        </w:tc>
      </w:tr>
      <w:tr w:rsidR="00BE36FB" w:rsidRPr="009B7B35" w14:paraId="6FEDF961" w14:textId="77777777" w:rsidTr="001A710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tcPr>
          <w:p w14:paraId="47EE5993" w14:textId="77777777" w:rsidR="00BE36FB" w:rsidRPr="009B7B35" w:rsidRDefault="00BE36FB" w:rsidP="001A7107">
            <w:pPr>
              <w:pStyle w:val="TableText"/>
              <w:spacing w:before="20" w:after="32"/>
              <w:rPr>
                <w:rFonts w:cs="Arial"/>
              </w:rPr>
            </w:pPr>
          </w:p>
        </w:tc>
        <w:tc>
          <w:tcPr>
            <w:tcW w:w="2268" w:type="dxa"/>
          </w:tcPr>
          <w:p w14:paraId="1DEF30D9"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Other</w:t>
            </w:r>
            <w:r w:rsidRPr="009B7B35">
              <w:rPr>
                <w:rFonts w:cs="Arial"/>
                <w:vertAlign w:val="superscript"/>
              </w:rPr>
              <w:t>#</w:t>
            </w:r>
            <w:r w:rsidRPr="009B7B35">
              <w:rPr>
                <w:rFonts w:cs="Arial"/>
              </w:rPr>
              <w:t xml:space="preserve"> </w:t>
            </w:r>
          </w:p>
        </w:tc>
        <w:tc>
          <w:tcPr>
            <w:tcW w:w="963" w:type="dxa"/>
          </w:tcPr>
          <w:p w14:paraId="7C31C381"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3,298 </w:t>
            </w:r>
          </w:p>
        </w:tc>
        <w:tc>
          <w:tcPr>
            <w:tcW w:w="964" w:type="dxa"/>
          </w:tcPr>
          <w:p w14:paraId="1C26216E"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3,779 </w:t>
            </w:r>
          </w:p>
        </w:tc>
        <w:tc>
          <w:tcPr>
            <w:tcW w:w="964" w:type="dxa"/>
          </w:tcPr>
          <w:p w14:paraId="7DDD2C49"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4,283 </w:t>
            </w:r>
          </w:p>
        </w:tc>
        <w:tc>
          <w:tcPr>
            <w:tcW w:w="964" w:type="dxa"/>
          </w:tcPr>
          <w:p w14:paraId="28F8D69F"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4,422 </w:t>
            </w:r>
          </w:p>
        </w:tc>
        <w:tc>
          <w:tcPr>
            <w:tcW w:w="964" w:type="dxa"/>
          </w:tcPr>
          <w:p w14:paraId="6D4E4D07" w14:textId="77777777" w:rsidR="00BE36FB" w:rsidRPr="009B7B35" w:rsidRDefault="00BE36FB" w:rsidP="001A7107">
            <w:pPr>
              <w:pStyle w:val="TableText"/>
              <w:spacing w:before="20" w:after="32"/>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r>
      <w:tr w:rsidR="00BE36FB" w:rsidRPr="009B7B35" w14:paraId="2550870E" w14:textId="77777777" w:rsidTr="001A710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552" w:type="dxa"/>
            <w:vMerge/>
          </w:tcPr>
          <w:p w14:paraId="1784F78D" w14:textId="77777777" w:rsidR="00BE36FB" w:rsidRPr="009B7B35" w:rsidRDefault="00BE36FB" w:rsidP="001A7107">
            <w:pPr>
              <w:pStyle w:val="TableText"/>
              <w:spacing w:before="20" w:after="32"/>
              <w:rPr>
                <w:rFonts w:cs="Arial"/>
              </w:rPr>
            </w:pPr>
          </w:p>
        </w:tc>
        <w:tc>
          <w:tcPr>
            <w:tcW w:w="2268" w:type="dxa"/>
          </w:tcPr>
          <w:p w14:paraId="631992B2"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 xml:space="preserve">Total </w:t>
            </w:r>
          </w:p>
        </w:tc>
        <w:tc>
          <w:tcPr>
            <w:tcW w:w="963" w:type="dxa"/>
          </w:tcPr>
          <w:p w14:paraId="671D9286"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15,933</w:t>
            </w:r>
          </w:p>
        </w:tc>
        <w:tc>
          <w:tcPr>
            <w:tcW w:w="964" w:type="dxa"/>
          </w:tcPr>
          <w:p w14:paraId="748B130A"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18,147</w:t>
            </w:r>
          </w:p>
        </w:tc>
        <w:tc>
          <w:tcPr>
            <w:tcW w:w="964" w:type="dxa"/>
          </w:tcPr>
          <w:p w14:paraId="16666A36"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20,478</w:t>
            </w:r>
          </w:p>
        </w:tc>
        <w:tc>
          <w:tcPr>
            <w:tcW w:w="964" w:type="dxa"/>
          </w:tcPr>
          <w:p w14:paraId="72054B97"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23,360</w:t>
            </w:r>
          </w:p>
        </w:tc>
        <w:tc>
          <w:tcPr>
            <w:tcW w:w="964" w:type="dxa"/>
          </w:tcPr>
          <w:p w14:paraId="5031E5FA" w14:textId="77777777" w:rsidR="00BE36FB" w:rsidRPr="009B7B35" w:rsidRDefault="00BE36FB" w:rsidP="001A7107">
            <w:pPr>
              <w:pStyle w:val="TableText"/>
              <w:spacing w:before="20" w:after="32"/>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18,983</w:t>
            </w:r>
          </w:p>
        </w:tc>
      </w:tr>
    </w:tbl>
    <w:p w14:paraId="1D59F8C2" w14:textId="77777777" w:rsidR="00BE36FB" w:rsidRPr="009B7B35" w:rsidRDefault="00BE36FB" w:rsidP="001A7107">
      <w:pPr>
        <w:pStyle w:val="Heading9"/>
        <w:numPr>
          <w:ilvl w:val="0"/>
          <w:numId w:val="0"/>
        </w:numPr>
        <w:rPr>
          <w:rFonts w:cs="Arial"/>
          <w:sz w:val="20"/>
        </w:rPr>
      </w:pPr>
      <w:r w:rsidRPr="009B7B35">
        <w:rPr>
          <w:rFonts w:cs="Arial"/>
          <w:sz w:val="20"/>
        </w:rPr>
        <w:t>Table SC3.1.3—Planned density table</w:t>
      </w:r>
    </w:p>
    <w:tbl>
      <w:tblPr>
        <w:tblStyle w:val="Tablestyle"/>
        <w:tblW w:w="9639" w:type="dxa"/>
        <w:tblLook w:val="04A0" w:firstRow="1" w:lastRow="0" w:firstColumn="1" w:lastColumn="0" w:noHBand="0" w:noVBand="1"/>
      </w:tblPr>
      <w:tblGrid>
        <w:gridCol w:w="2552"/>
        <w:gridCol w:w="3260"/>
        <w:gridCol w:w="1913"/>
        <w:gridCol w:w="1914"/>
      </w:tblGrid>
      <w:tr w:rsidR="00BE36FB" w:rsidRPr="009B7B35" w14:paraId="37F76906" w14:textId="77777777" w:rsidTr="001A7107">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1FA8E7B2" w14:textId="77777777" w:rsidR="00BE36FB" w:rsidRPr="009B7B35" w:rsidRDefault="00BE36FB" w:rsidP="001A7107">
            <w:pPr>
              <w:pStyle w:val="TableText"/>
              <w:rPr>
                <w:rFonts w:cs="Arial"/>
              </w:rPr>
            </w:pPr>
            <w:r w:rsidRPr="009B7B35">
              <w:rPr>
                <w:rFonts w:cs="Arial"/>
              </w:rPr>
              <w:t>Column 1</w:t>
            </w:r>
          </w:p>
          <w:p w14:paraId="2DCD5A80" w14:textId="77777777" w:rsidR="00BE36FB" w:rsidRPr="009B7B35" w:rsidRDefault="00BE36FB" w:rsidP="001A7107">
            <w:pPr>
              <w:pStyle w:val="TableText"/>
              <w:rPr>
                <w:rFonts w:cs="Arial"/>
              </w:rPr>
            </w:pPr>
            <w:r w:rsidRPr="009B7B35">
              <w:rPr>
                <w:rFonts w:cs="Arial"/>
              </w:rPr>
              <w:t>Area classification</w:t>
            </w:r>
          </w:p>
        </w:tc>
        <w:tc>
          <w:tcPr>
            <w:tcW w:w="3260" w:type="dxa"/>
            <w:vMerge w:val="restart"/>
          </w:tcPr>
          <w:p w14:paraId="3A15BB3D"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14:paraId="6EBCEBB9"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LGIP development type</w:t>
            </w:r>
          </w:p>
        </w:tc>
        <w:tc>
          <w:tcPr>
            <w:tcW w:w="3827" w:type="dxa"/>
            <w:gridSpan w:val="2"/>
          </w:tcPr>
          <w:p w14:paraId="60AC0CDE"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3</w:t>
            </w:r>
          </w:p>
          <w:p w14:paraId="437699CF"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Planned density</w:t>
            </w:r>
          </w:p>
        </w:tc>
      </w:tr>
      <w:tr w:rsidR="00BE36FB" w:rsidRPr="009B7B35" w14:paraId="3CC02EF6" w14:textId="77777777" w:rsidTr="001A7107">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2552" w:type="dxa"/>
            <w:vMerge/>
          </w:tcPr>
          <w:p w14:paraId="2984E851" w14:textId="77777777" w:rsidR="00BE36FB" w:rsidRPr="009B7B35" w:rsidRDefault="00BE36FB" w:rsidP="001A7107">
            <w:pPr>
              <w:pStyle w:val="TableText"/>
              <w:rPr>
                <w:rFonts w:cs="Arial"/>
              </w:rPr>
            </w:pPr>
          </w:p>
        </w:tc>
        <w:tc>
          <w:tcPr>
            <w:tcW w:w="3260" w:type="dxa"/>
            <w:vMerge/>
          </w:tcPr>
          <w:p w14:paraId="6AD13CC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1913" w:type="dxa"/>
            <w:shd w:val="clear" w:color="auto" w:fill="auto"/>
          </w:tcPr>
          <w:p w14:paraId="781641F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Non-residential plot ratio</w:t>
            </w:r>
          </w:p>
        </w:tc>
        <w:tc>
          <w:tcPr>
            <w:tcW w:w="1914" w:type="dxa"/>
            <w:shd w:val="clear" w:color="auto" w:fill="auto"/>
          </w:tcPr>
          <w:p w14:paraId="08EE65B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Residential density (dwellings/dev ha)</w:t>
            </w:r>
          </w:p>
        </w:tc>
      </w:tr>
      <w:tr w:rsidR="00BE36FB" w:rsidRPr="009B7B35" w14:paraId="449E36A0" w14:textId="77777777"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9639" w:type="dxa"/>
            <w:gridSpan w:val="4"/>
            <w:shd w:val="clear" w:color="auto" w:fill="BFBFBF" w:themeFill="background1" w:themeFillShade="BF"/>
          </w:tcPr>
          <w:p w14:paraId="33D67048" w14:textId="77777777" w:rsidR="00BE36FB" w:rsidRPr="009B7B35" w:rsidRDefault="00BE36FB" w:rsidP="001A7107">
            <w:pPr>
              <w:pStyle w:val="Tableheading"/>
              <w:rPr>
                <w:rFonts w:ascii="Arial" w:hAnsi="Arial" w:cs="Arial"/>
                <w:szCs w:val="20"/>
              </w:rPr>
            </w:pPr>
            <w:r w:rsidRPr="009B7B35">
              <w:rPr>
                <w:rFonts w:ascii="Arial" w:hAnsi="Arial" w:cs="Arial"/>
                <w:szCs w:val="20"/>
              </w:rPr>
              <w:t>Residential</w:t>
            </w:r>
          </w:p>
        </w:tc>
      </w:tr>
      <w:tr w:rsidR="00BE36FB" w:rsidRPr="009B7B35" w14:paraId="235A88C2" w14:textId="77777777"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04A26202" w14:textId="77777777" w:rsidR="00BE36FB" w:rsidRPr="009B7B35" w:rsidRDefault="00BE36FB" w:rsidP="001A7107">
            <w:pPr>
              <w:pStyle w:val="TableText"/>
              <w:rPr>
                <w:rFonts w:cs="Arial"/>
              </w:rPr>
            </w:pPr>
            <w:r w:rsidRPr="009B7B35">
              <w:rPr>
                <w:rFonts w:cs="Arial"/>
              </w:rPr>
              <w:t xml:space="preserve">Township </w:t>
            </w:r>
          </w:p>
        </w:tc>
        <w:tc>
          <w:tcPr>
            <w:tcW w:w="3260" w:type="dxa"/>
          </w:tcPr>
          <w:p w14:paraId="64969DF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Dwelling house</w:t>
            </w:r>
          </w:p>
        </w:tc>
        <w:tc>
          <w:tcPr>
            <w:tcW w:w="1913" w:type="dxa"/>
          </w:tcPr>
          <w:p w14:paraId="0136481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1A78B23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12.5</w:t>
            </w:r>
          </w:p>
        </w:tc>
      </w:tr>
      <w:tr w:rsidR="00BE36FB" w:rsidRPr="009B7B35" w14:paraId="2F646F37" w14:textId="77777777" w:rsidTr="001A7107">
        <w:trPr>
          <w:cnfStyle w:val="000000010000" w:firstRow="0" w:lastRow="0" w:firstColumn="0" w:lastColumn="0" w:oddVBand="0" w:evenVBand="0" w:oddHBand="0" w:evenHBand="1"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vMerge/>
          </w:tcPr>
          <w:p w14:paraId="633D3B1A" w14:textId="77777777" w:rsidR="00BE36FB" w:rsidRPr="009B7B35" w:rsidRDefault="00BE36FB" w:rsidP="001A7107">
            <w:pPr>
              <w:pStyle w:val="TableText"/>
              <w:rPr>
                <w:rFonts w:cs="Arial"/>
              </w:rPr>
            </w:pPr>
          </w:p>
        </w:tc>
        <w:tc>
          <w:tcPr>
            <w:tcW w:w="3260" w:type="dxa"/>
          </w:tcPr>
          <w:p w14:paraId="3F11349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Dual occupancy</w:t>
            </w:r>
          </w:p>
        </w:tc>
        <w:tc>
          <w:tcPr>
            <w:tcW w:w="1913" w:type="dxa"/>
          </w:tcPr>
          <w:p w14:paraId="121C5D3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65314D0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 </w:t>
            </w:r>
          </w:p>
        </w:tc>
      </w:tr>
      <w:tr w:rsidR="00BE36FB" w:rsidRPr="009B7B35" w14:paraId="2A697BF1" w14:textId="77777777" w:rsidTr="001A7107">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3B0B65E0" w14:textId="77777777" w:rsidR="00BE36FB" w:rsidRPr="009B7B35" w:rsidRDefault="00BE36FB" w:rsidP="001A7107">
            <w:pPr>
              <w:pStyle w:val="TableText"/>
              <w:rPr>
                <w:rFonts w:cs="Arial"/>
              </w:rPr>
            </w:pPr>
            <w:r w:rsidRPr="009B7B35">
              <w:rPr>
                <w:rFonts w:cs="Arial"/>
              </w:rPr>
              <w:t xml:space="preserve">Character </w:t>
            </w:r>
          </w:p>
        </w:tc>
        <w:tc>
          <w:tcPr>
            <w:tcW w:w="3260" w:type="dxa"/>
          </w:tcPr>
          <w:p w14:paraId="3F50147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Dwelling house</w:t>
            </w:r>
          </w:p>
        </w:tc>
        <w:tc>
          <w:tcPr>
            <w:tcW w:w="1913" w:type="dxa"/>
          </w:tcPr>
          <w:p w14:paraId="7E2F28F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7243B45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16.6 </w:t>
            </w:r>
          </w:p>
        </w:tc>
      </w:tr>
      <w:tr w:rsidR="00BE36FB" w:rsidRPr="009B7B35" w14:paraId="1966D306" w14:textId="77777777" w:rsidTr="001A7107">
        <w:trPr>
          <w:cnfStyle w:val="000000010000" w:firstRow="0" w:lastRow="0" w:firstColumn="0" w:lastColumn="0" w:oddVBand="0" w:evenVBand="0" w:oddHBand="0" w:evenHBand="1"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vMerge/>
          </w:tcPr>
          <w:p w14:paraId="2BC49169" w14:textId="77777777" w:rsidR="00BE36FB" w:rsidRPr="009B7B35" w:rsidRDefault="00BE36FB" w:rsidP="001A7107">
            <w:pPr>
              <w:pStyle w:val="TableText"/>
              <w:rPr>
                <w:rFonts w:cs="Arial"/>
              </w:rPr>
            </w:pPr>
          </w:p>
        </w:tc>
        <w:tc>
          <w:tcPr>
            <w:tcW w:w="3260" w:type="dxa"/>
          </w:tcPr>
          <w:p w14:paraId="2F0B403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Dual occupancy</w:t>
            </w:r>
          </w:p>
        </w:tc>
        <w:tc>
          <w:tcPr>
            <w:tcW w:w="1913" w:type="dxa"/>
          </w:tcPr>
          <w:p w14:paraId="5DAB340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0BF6E2C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16.6 </w:t>
            </w:r>
          </w:p>
        </w:tc>
      </w:tr>
      <w:tr w:rsidR="00BE36FB" w:rsidRPr="009B7B35" w14:paraId="4CD34E63" w14:textId="77777777"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18BA41C8" w14:textId="77777777" w:rsidR="00BE36FB" w:rsidRPr="009B7B35" w:rsidRDefault="00BE36FB" w:rsidP="001A7107">
            <w:pPr>
              <w:pStyle w:val="TableText"/>
              <w:rPr>
                <w:rFonts w:cs="Arial"/>
              </w:rPr>
            </w:pPr>
            <w:r w:rsidRPr="009B7B35">
              <w:rPr>
                <w:rFonts w:cs="Arial"/>
              </w:rPr>
              <w:t xml:space="preserve">Emerging communities </w:t>
            </w:r>
          </w:p>
        </w:tc>
        <w:tc>
          <w:tcPr>
            <w:tcW w:w="3260" w:type="dxa"/>
          </w:tcPr>
          <w:p w14:paraId="3C7A5CC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Residential (Calliope)</w:t>
            </w:r>
          </w:p>
        </w:tc>
        <w:tc>
          <w:tcPr>
            <w:tcW w:w="1913" w:type="dxa"/>
          </w:tcPr>
          <w:p w14:paraId="3D458D2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304471E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12.5 </w:t>
            </w:r>
          </w:p>
        </w:tc>
      </w:tr>
      <w:tr w:rsidR="00BE36FB" w:rsidRPr="009B7B35" w14:paraId="1E8CA1FE" w14:textId="77777777"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tcPr>
          <w:p w14:paraId="61731C21" w14:textId="77777777" w:rsidR="00BE36FB" w:rsidRPr="009B7B35" w:rsidRDefault="00BE36FB" w:rsidP="001A7107">
            <w:pPr>
              <w:pStyle w:val="TableText"/>
              <w:rPr>
                <w:rFonts w:cs="Arial"/>
              </w:rPr>
            </w:pPr>
          </w:p>
        </w:tc>
        <w:tc>
          <w:tcPr>
            <w:tcW w:w="3260" w:type="dxa"/>
          </w:tcPr>
          <w:p w14:paraId="180B1AF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Residential (all other areas)</w:t>
            </w:r>
          </w:p>
        </w:tc>
        <w:tc>
          <w:tcPr>
            <w:tcW w:w="1913" w:type="dxa"/>
          </w:tcPr>
          <w:p w14:paraId="7D16750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6194A50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 </w:t>
            </w:r>
          </w:p>
        </w:tc>
      </w:tr>
      <w:tr w:rsidR="00BE36FB" w:rsidRPr="009B7B35" w14:paraId="55BD05BF" w14:textId="77777777"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142F3E94" w14:textId="77777777" w:rsidR="00BE36FB" w:rsidRPr="009B7B35" w:rsidRDefault="00BE36FB" w:rsidP="001A7107">
            <w:pPr>
              <w:pStyle w:val="TableText"/>
              <w:rPr>
                <w:rFonts w:cs="Arial"/>
              </w:rPr>
            </w:pPr>
            <w:r w:rsidRPr="009B7B35">
              <w:rPr>
                <w:rFonts w:cs="Arial"/>
              </w:rPr>
              <w:t xml:space="preserve">Low density residential </w:t>
            </w:r>
          </w:p>
        </w:tc>
        <w:tc>
          <w:tcPr>
            <w:tcW w:w="3260" w:type="dxa"/>
          </w:tcPr>
          <w:p w14:paraId="73807B2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Dwelling house (Calliope)</w:t>
            </w:r>
          </w:p>
        </w:tc>
        <w:tc>
          <w:tcPr>
            <w:tcW w:w="1913" w:type="dxa"/>
          </w:tcPr>
          <w:p w14:paraId="230224C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244A697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12.5 </w:t>
            </w:r>
          </w:p>
        </w:tc>
      </w:tr>
      <w:tr w:rsidR="00BE36FB" w:rsidRPr="009B7B35" w14:paraId="1FFCC8A4" w14:textId="77777777" w:rsidTr="001A7107">
        <w:trPr>
          <w:cnfStyle w:val="000000010000" w:firstRow="0" w:lastRow="0" w:firstColumn="0" w:lastColumn="0" w:oddVBand="0" w:evenVBand="0" w:oddHBand="0" w:evenHBand="1"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vMerge/>
          </w:tcPr>
          <w:p w14:paraId="4F925278" w14:textId="77777777" w:rsidR="00BE36FB" w:rsidRPr="009B7B35" w:rsidRDefault="00BE36FB" w:rsidP="001A7107">
            <w:pPr>
              <w:pStyle w:val="TableText"/>
              <w:rPr>
                <w:rFonts w:cs="Arial"/>
              </w:rPr>
            </w:pPr>
          </w:p>
        </w:tc>
        <w:tc>
          <w:tcPr>
            <w:tcW w:w="3260" w:type="dxa"/>
          </w:tcPr>
          <w:p w14:paraId="3B72968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Dwelling house (all other areas)</w:t>
            </w:r>
          </w:p>
        </w:tc>
        <w:tc>
          <w:tcPr>
            <w:tcW w:w="1913" w:type="dxa"/>
          </w:tcPr>
          <w:p w14:paraId="3605266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7E9E750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16.6 </w:t>
            </w:r>
          </w:p>
        </w:tc>
      </w:tr>
      <w:tr w:rsidR="00BE36FB" w:rsidRPr="009B7B35" w14:paraId="19B29689" w14:textId="77777777" w:rsidTr="001A7107">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tcPr>
          <w:p w14:paraId="3FAA047C" w14:textId="77777777" w:rsidR="00BE36FB" w:rsidRPr="009B7B35" w:rsidRDefault="00BE36FB" w:rsidP="001A7107">
            <w:pPr>
              <w:pStyle w:val="TableText"/>
              <w:rPr>
                <w:rFonts w:cs="Arial"/>
              </w:rPr>
            </w:pPr>
          </w:p>
        </w:tc>
        <w:tc>
          <w:tcPr>
            <w:tcW w:w="3260" w:type="dxa"/>
          </w:tcPr>
          <w:p w14:paraId="787AD8C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Dual occupancy</w:t>
            </w:r>
          </w:p>
        </w:tc>
        <w:tc>
          <w:tcPr>
            <w:tcW w:w="1913" w:type="dxa"/>
          </w:tcPr>
          <w:p w14:paraId="1BDAE19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370D70F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 </w:t>
            </w:r>
          </w:p>
        </w:tc>
      </w:tr>
      <w:tr w:rsidR="00BE36FB" w:rsidRPr="009B7B35" w14:paraId="62C58EA2" w14:textId="77777777" w:rsidTr="001A7107">
        <w:trPr>
          <w:cnfStyle w:val="000000010000" w:firstRow="0" w:lastRow="0" w:firstColumn="0" w:lastColumn="0" w:oddVBand="0" w:evenVBand="0" w:oddHBand="0" w:evenHBand="1"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7345B618" w14:textId="77777777" w:rsidR="00BE36FB" w:rsidRPr="009B7B35" w:rsidRDefault="00BE36FB" w:rsidP="001A7107">
            <w:pPr>
              <w:pStyle w:val="TableText"/>
              <w:rPr>
                <w:rFonts w:cs="Arial"/>
              </w:rPr>
            </w:pPr>
            <w:r w:rsidRPr="009B7B35">
              <w:rPr>
                <w:rFonts w:cs="Arial"/>
              </w:rPr>
              <w:t xml:space="preserve">Low-medium density residential </w:t>
            </w:r>
          </w:p>
        </w:tc>
        <w:tc>
          <w:tcPr>
            <w:tcW w:w="3260" w:type="dxa"/>
          </w:tcPr>
          <w:p w14:paraId="5467BCF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Dwelling house</w:t>
            </w:r>
          </w:p>
        </w:tc>
        <w:tc>
          <w:tcPr>
            <w:tcW w:w="1913" w:type="dxa"/>
          </w:tcPr>
          <w:p w14:paraId="2ACA22E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27AAE95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 </w:t>
            </w:r>
          </w:p>
        </w:tc>
      </w:tr>
      <w:tr w:rsidR="00BE36FB" w:rsidRPr="009B7B35" w14:paraId="670CA478" w14:textId="77777777"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vMerge/>
          </w:tcPr>
          <w:p w14:paraId="4FFDBE42" w14:textId="77777777" w:rsidR="00BE36FB" w:rsidRPr="009B7B35" w:rsidRDefault="00BE36FB" w:rsidP="001A7107">
            <w:pPr>
              <w:pStyle w:val="TableText"/>
              <w:rPr>
                <w:rFonts w:cs="Arial"/>
              </w:rPr>
            </w:pPr>
          </w:p>
        </w:tc>
        <w:tc>
          <w:tcPr>
            <w:tcW w:w="3260" w:type="dxa"/>
          </w:tcPr>
          <w:p w14:paraId="5478C8E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Dual occupancy</w:t>
            </w:r>
          </w:p>
        </w:tc>
        <w:tc>
          <w:tcPr>
            <w:tcW w:w="1913" w:type="dxa"/>
          </w:tcPr>
          <w:p w14:paraId="38C071C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49DAB98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33.3 </w:t>
            </w:r>
          </w:p>
        </w:tc>
      </w:tr>
      <w:tr w:rsidR="00BE36FB" w:rsidRPr="009B7B35" w14:paraId="2B1920E7" w14:textId="77777777"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tcPr>
          <w:p w14:paraId="6B0E786B" w14:textId="77777777" w:rsidR="00BE36FB" w:rsidRPr="009B7B35" w:rsidRDefault="00BE36FB" w:rsidP="001A7107">
            <w:pPr>
              <w:pStyle w:val="TableText"/>
              <w:rPr>
                <w:rFonts w:cs="Arial"/>
              </w:rPr>
            </w:pPr>
          </w:p>
        </w:tc>
        <w:tc>
          <w:tcPr>
            <w:tcW w:w="3260" w:type="dxa"/>
          </w:tcPr>
          <w:p w14:paraId="252E7F2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Terraced/row house</w:t>
            </w:r>
          </w:p>
        </w:tc>
        <w:tc>
          <w:tcPr>
            <w:tcW w:w="1913" w:type="dxa"/>
          </w:tcPr>
          <w:p w14:paraId="03D0025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5DF56B1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41.6 </w:t>
            </w:r>
          </w:p>
        </w:tc>
      </w:tr>
      <w:tr w:rsidR="00BE36FB" w:rsidRPr="009B7B35" w14:paraId="5CE43AB1" w14:textId="77777777" w:rsidTr="001A710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552" w:type="dxa"/>
            <w:vMerge/>
          </w:tcPr>
          <w:p w14:paraId="7E0FFA75" w14:textId="77777777" w:rsidR="00BE36FB" w:rsidRPr="009B7B35" w:rsidRDefault="00BE36FB" w:rsidP="001A7107">
            <w:pPr>
              <w:pStyle w:val="TableText"/>
              <w:rPr>
                <w:rFonts w:cs="Arial"/>
              </w:rPr>
            </w:pPr>
          </w:p>
        </w:tc>
        <w:tc>
          <w:tcPr>
            <w:tcW w:w="3260" w:type="dxa"/>
          </w:tcPr>
          <w:p w14:paraId="460851B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Multiple dwelling</w:t>
            </w:r>
          </w:p>
        </w:tc>
        <w:tc>
          <w:tcPr>
            <w:tcW w:w="1913" w:type="dxa"/>
          </w:tcPr>
          <w:p w14:paraId="4833B30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0267A2F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41.6 </w:t>
            </w:r>
          </w:p>
        </w:tc>
      </w:tr>
      <w:tr w:rsidR="00BE36FB" w:rsidRPr="009B7B35" w14:paraId="4DC9ABB0" w14:textId="77777777"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3AAC8B65" w14:textId="77777777" w:rsidR="00BE36FB" w:rsidRPr="009B7B35" w:rsidRDefault="00BE36FB" w:rsidP="001A7107">
            <w:pPr>
              <w:pStyle w:val="TableText"/>
              <w:rPr>
                <w:rFonts w:cs="Arial"/>
              </w:rPr>
            </w:pPr>
            <w:r w:rsidRPr="009B7B35">
              <w:rPr>
                <w:rFonts w:cs="Arial"/>
              </w:rPr>
              <w:t xml:space="preserve">Medium density residential </w:t>
            </w:r>
          </w:p>
        </w:tc>
        <w:tc>
          <w:tcPr>
            <w:tcW w:w="3260" w:type="dxa"/>
          </w:tcPr>
          <w:p w14:paraId="086C6C2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Dwelling house</w:t>
            </w:r>
          </w:p>
        </w:tc>
        <w:tc>
          <w:tcPr>
            <w:tcW w:w="1913" w:type="dxa"/>
          </w:tcPr>
          <w:p w14:paraId="427E9C9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0E4A271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 </w:t>
            </w:r>
          </w:p>
        </w:tc>
      </w:tr>
      <w:tr w:rsidR="00BE36FB" w:rsidRPr="009B7B35" w14:paraId="2A633067" w14:textId="77777777" w:rsidTr="001A7107">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tcPr>
          <w:p w14:paraId="4CCC6A16" w14:textId="77777777" w:rsidR="00BE36FB" w:rsidRPr="009B7B35" w:rsidRDefault="00BE36FB" w:rsidP="001A7107">
            <w:pPr>
              <w:pStyle w:val="TableText"/>
              <w:rPr>
                <w:rFonts w:cs="Arial"/>
              </w:rPr>
            </w:pPr>
          </w:p>
        </w:tc>
        <w:tc>
          <w:tcPr>
            <w:tcW w:w="3260" w:type="dxa"/>
          </w:tcPr>
          <w:p w14:paraId="590E9E1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Dual occupancy</w:t>
            </w:r>
          </w:p>
        </w:tc>
        <w:tc>
          <w:tcPr>
            <w:tcW w:w="1913" w:type="dxa"/>
          </w:tcPr>
          <w:p w14:paraId="20D3B8D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7567CE5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33.3 </w:t>
            </w:r>
          </w:p>
        </w:tc>
      </w:tr>
      <w:tr w:rsidR="00BE36FB" w:rsidRPr="009B7B35" w14:paraId="2002E646" w14:textId="77777777" w:rsidTr="001A7107">
        <w:trPr>
          <w:cnfStyle w:val="000000010000" w:firstRow="0" w:lastRow="0" w:firstColumn="0" w:lastColumn="0" w:oddVBand="0" w:evenVBand="0" w:oddHBand="0" w:evenHBand="1"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552" w:type="dxa"/>
            <w:vMerge/>
          </w:tcPr>
          <w:p w14:paraId="3A44A8C6" w14:textId="77777777" w:rsidR="00BE36FB" w:rsidRPr="009B7B35" w:rsidRDefault="00BE36FB" w:rsidP="001A7107">
            <w:pPr>
              <w:pStyle w:val="TableText"/>
              <w:rPr>
                <w:rFonts w:cs="Arial"/>
              </w:rPr>
            </w:pPr>
          </w:p>
        </w:tc>
        <w:tc>
          <w:tcPr>
            <w:tcW w:w="3260" w:type="dxa"/>
          </w:tcPr>
          <w:p w14:paraId="770B871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Terraced/row house</w:t>
            </w:r>
          </w:p>
        </w:tc>
        <w:tc>
          <w:tcPr>
            <w:tcW w:w="1913" w:type="dxa"/>
          </w:tcPr>
          <w:p w14:paraId="104ABBC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1E117D5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41.6 </w:t>
            </w:r>
          </w:p>
        </w:tc>
      </w:tr>
      <w:tr w:rsidR="00BE36FB" w:rsidRPr="009B7B35" w14:paraId="33330178" w14:textId="77777777" w:rsidTr="001A7107">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tcPr>
          <w:p w14:paraId="2A48D995" w14:textId="77777777" w:rsidR="00BE36FB" w:rsidRPr="009B7B35" w:rsidRDefault="00BE36FB" w:rsidP="001A7107">
            <w:pPr>
              <w:pStyle w:val="TableText"/>
              <w:rPr>
                <w:rFonts w:cs="Arial"/>
              </w:rPr>
            </w:pPr>
          </w:p>
        </w:tc>
        <w:tc>
          <w:tcPr>
            <w:tcW w:w="3260" w:type="dxa"/>
          </w:tcPr>
          <w:p w14:paraId="47CFEDE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Multiple dwelling</w:t>
            </w:r>
          </w:p>
        </w:tc>
        <w:tc>
          <w:tcPr>
            <w:tcW w:w="1913" w:type="dxa"/>
          </w:tcPr>
          <w:p w14:paraId="0EE6FA1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4E15BE5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194.2 </w:t>
            </w:r>
          </w:p>
        </w:tc>
      </w:tr>
      <w:tr w:rsidR="00BE36FB" w:rsidRPr="009B7B35" w14:paraId="6C9DA533" w14:textId="77777777"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46CC1C7B" w14:textId="77777777" w:rsidR="00BE36FB" w:rsidRPr="009B7B35" w:rsidRDefault="00BE36FB" w:rsidP="001A7107">
            <w:pPr>
              <w:pStyle w:val="TableText"/>
              <w:rPr>
                <w:rFonts w:cs="Arial"/>
              </w:rPr>
            </w:pPr>
            <w:r w:rsidRPr="009B7B35">
              <w:rPr>
                <w:rFonts w:cs="Arial"/>
              </w:rPr>
              <w:t xml:space="preserve">Mixed use </w:t>
            </w:r>
          </w:p>
        </w:tc>
        <w:tc>
          <w:tcPr>
            <w:tcW w:w="3260" w:type="dxa"/>
          </w:tcPr>
          <w:p w14:paraId="1F6D63E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Dwelling house</w:t>
            </w:r>
          </w:p>
        </w:tc>
        <w:tc>
          <w:tcPr>
            <w:tcW w:w="1913" w:type="dxa"/>
          </w:tcPr>
          <w:p w14:paraId="429DE71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3EB6245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16.6 </w:t>
            </w:r>
          </w:p>
        </w:tc>
      </w:tr>
      <w:tr w:rsidR="00BE36FB" w:rsidRPr="009B7B35" w14:paraId="19CB8FAD" w14:textId="77777777" w:rsidTr="001A710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552" w:type="dxa"/>
            <w:vMerge/>
          </w:tcPr>
          <w:p w14:paraId="76D7962D" w14:textId="77777777" w:rsidR="00BE36FB" w:rsidRPr="009B7B35" w:rsidRDefault="00BE36FB" w:rsidP="001A7107">
            <w:pPr>
              <w:pStyle w:val="TableText"/>
              <w:rPr>
                <w:rFonts w:cs="Arial"/>
              </w:rPr>
            </w:pPr>
          </w:p>
        </w:tc>
        <w:tc>
          <w:tcPr>
            <w:tcW w:w="3260" w:type="dxa"/>
          </w:tcPr>
          <w:p w14:paraId="47A937E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Dual occupancy</w:t>
            </w:r>
          </w:p>
        </w:tc>
        <w:tc>
          <w:tcPr>
            <w:tcW w:w="1913" w:type="dxa"/>
          </w:tcPr>
          <w:p w14:paraId="41D286F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44916B3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33.3 </w:t>
            </w:r>
          </w:p>
        </w:tc>
      </w:tr>
      <w:tr w:rsidR="00BE36FB" w:rsidRPr="009B7B35" w14:paraId="4F25D6A2" w14:textId="77777777"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tcPr>
          <w:p w14:paraId="3153A023" w14:textId="77777777" w:rsidR="00BE36FB" w:rsidRPr="009B7B35" w:rsidRDefault="00BE36FB" w:rsidP="001A7107">
            <w:pPr>
              <w:pStyle w:val="TableText"/>
              <w:rPr>
                <w:rFonts w:cs="Arial"/>
              </w:rPr>
            </w:pPr>
          </w:p>
        </w:tc>
        <w:tc>
          <w:tcPr>
            <w:tcW w:w="3260" w:type="dxa"/>
          </w:tcPr>
          <w:p w14:paraId="703332B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Multiple dwelling</w:t>
            </w:r>
          </w:p>
        </w:tc>
        <w:tc>
          <w:tcPr>
            <w:tcW w:w="1913" w:type="dxa"/>
          </w:tcPr>
          <w:p w14:paraId="772D3B5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1D4A86E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194.2 </w:t>
            </w:r>
          </w:p>
        </w:tc>
      </w:tr>
      <w:tr w:rsidR="00BE36FB" w:rsidRPr="009B7B35" w14:paraId="5BB5CE4B" w14:textId="77777777" w:rsidTr="001A7107">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552" w:type="dxa"/>
            <w:vMerge/>
          </w:tcPr>
          <w:p w14:paraId="79A7DDB7" w14:textId="77777777" w:rsidR="00BE36FB" w:rsidRPr="009B7B35" w:rsidRDefault="00BE36FB" w:rsidP="001A7107">
            <w:pPr>
              <w:pStyle w:val="TableText"/>
              <w:rPr>
                <w:rFonts w:cs="Arial"/>
              </w:rPr>
            </w:pPr>
          </w:p>
        </w:tc>
        <w:tc>
          <w:tcPr>
            <w:tcW w:w="3260" w:type="dxa"/>
          </w:tcPr>
          <w:p w14:paraId="37F19FA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Mixed use (primary frontage building – 4 storey) </w:t>
            </w:r>
          </w:p>
        </w:tc>
        <w:tc>
          <w:tcPr>
            <w:tcW w:w="1913" w:type="dxa"/>
          </w:tcPr>
          <w:p w14:paraId="4B86B25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0974AA4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128.2 </w:t>
            </w:r>
          </w:p>
        </w:tc>
      </w:tr>
      <w:tr w:rsidR="00BE36FB" w:rsidRPr="009B7B35" w14:paraId="399073D8" w14:textId="77777777" w:rsidTr="001A7107">
        <w:trPr>
          <w:cnfStyle w:val="000000010000" w:firstRow="0" w:lastRow="0" w:firstColumn="0" w:lastColumn="0" w:oddVBand="0" w:evenVBand="0" w:oddHBand="0" w:evenHBand="1"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552" w:type="dxa"/>
            <w:vMerge/>
          </w:tcPr>
          <w:p w14:paraId="68B80549" w14:textId="77777777" w:rsidR="00BE36FB" w:rsidRPr="009B7B35" w:rsidRDefault="00BE36FB" w:rsidP="001A7107">
            <w:pPr>
              <w:pStyle w:val="TableText"/>
              <w:rPr>
                <w:rFonts w:cs="Arial"/>
              </w:rPr>
            </w:pPr>
          </w:p>
        </w:tc>
        <w:tc>
          <w:tcPr>
            <w:tcW w:w="3260" w:type="dxa"/>
          </w:tcPr>
          <w:p w14:paraId="76AFACE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Mixed use (secondary frontage building – 4 storey)</w:t>
            </w:r>
          </w:p>
        </w:tc>
        <w:tc>
          <w:tcPr>
            <w:tcW w:w="1913" w:type="dxa"/>
          </w:tcPr>
          <w:p w14:paraId="4C888BD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2D693E8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128.2 </w:t>
            </w:r>
          </w:p>
        </w:tc>
      </w:tr>
      <w:tr w:rsidR="00BE36FB" w:rsidRPr="009B7B35" w14:paraId="29772621" w14:textId="77777777" w:rsidTr="001A7107">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2552" w:type="dxa"/>
            <w:vMerge/>
          </w:tcPr>
          <w:p w14:paraId="75B90526" w14:textId="77777777" w:rsidR="00BE36FB" w:rsidRPr="009B7B35" w:rsidRDefault="00BE36FB" w:rsidP="001A7107">
            <w:pPr>
              <w:pStyle w:val="TableText"/>
              <w:rPr>
                <w:rFonts w:cs="Arial"/>
              </w:rPr>
            </w:pPr>
          </w:p>
        </w:tc>
        <w:tc>
          <w:tcPr>
            <w:tcW w:w="3260" w:type="dxa"/>
          </w:tcPr>
          <w:p w14:paraId="5607814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Mixed use (primary frontage building – 6 storey)</w:t>
            </w:r>
          </w:p>
        </w:tc>
        <w:tc>
          <w:tcPr>
            <w:tcW w:w="1913" w:type="dxa"/>
          </w:tcPr>
          <w:p w14:paraId="78F7985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4D9D5FF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213.7 </w:t>
            </w:r>
          </w:p>
        </w:tc>
      </w:tr>
      <w:tr w:rsidR="00BE36FB" w:rsidRPr="009B7B35" w14:paraId="0973B926" w14:textId="77777777" w:rsidTr="001A7107">
        <w:trPr>
          <w:cnfStyle w:val="000000010000" w:firstRow="0" w:lastRow="0" w:firstColumn="0" w:lastColumn="0" w:oddVBand="0" w:evenVBand="0" w:oddHBand="0" w:evenHBand="1"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552" w:type="dxa"/>
            <w:vMerge/>
          </w:tcPr>
          <w:p w14:paraId="5AFE7795" w14:textId="77777777" w:rsidR="00BE36FB" w:rsidRPr="009B7B35" w:rsidRDefault="00BE36FB" w:rsidP="001A7107">
            <w:pPr>
              <w:pStyle w:val="TableText"/>
              <w:rPr>
                <w:rFonts w:cs="Arial"/>
              </w:rPr>
            </w:pPr>
          </w:p>
        </w:tc>
        <w:tc>
          <w:tcPr>
            <w:tcW w:w="3260" w:type="dxa"/>
          </w:tcPr>
          <w:p w14:paraId="6F3E86C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Mixed use (secondary frontage building – 6 storey)</w:t>
            </w:r>
          </w:p>
        </w:tc>
        <w:tc>
          <w:tcPr>
            <w:tcW w:w="1913" w:type="dxa"/>
          </w:tcPr>
          <w:p w14:paraId="4CC5D04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5BD4B01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213.7 </w:t>
            </w:r>
          </w:p>
        </w:tc>
      </w:tr>
      <w:tr w:rsidR="00BE36FB" w:rsidRPr="009B7B35" w14:paraId="73814BED" w14:textId="77777777" w:rsidTr="001A7107">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2552" w:type="dxa"/>
            <w:vMerge/>
          </w:tcPr>
          <w:p w14:paraId="37929E07" w14:textId="77777777" w:rsidR="00BE36FB" w:rsidRPr="009B7B35" w:rsidRDefault="00BE36FB" w:rsidP="001A7107">
            <w:pPr>
              <w:pStyle w:val="TableText"/>
              <w:rPr>
                <w:rFonts w:cs="Arial"/>
              </w:rPr>
            </w:pPr>
          </w:p>
        </w:tc>
        <w:tc>
          <w:tcPr>
            <w:tcW w:w="3260" w:type="dxa"/>
          </w:tcPr>
          <w:p w14:paraId="0EC5475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Mixed use (Multiple Dwelling - 3 storey – Agnes Water)</w:t>
            </w:r>
          </w:p>
        </w:tc>
        <w:tc>
          <w:tcPr>
            <w:tcW w:w="1913" w:type="dxa"/>
          </w:tcPr>
          <w:p w14:paraId="414F85F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22D2292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97.2 </w:t>
            </w:r>
          </w:p>
        </w:tc>
      </w:tr>
      <w:tr w:rsidR="00BE36FB" w:rsidRPr="009B7B35" w14:paraId="3C5459AE" w14:textId="77777777" w:rsidTr="001A7107">
        <w:trPr>
          <w:cnfStyle w:val="000000010000" w:firstRow="0" w:lastRow="0" w:firstColumn="0" w:lastColumn="0" w:oddVBand="0" w:evenVBand="0" w:oddHBand="0" w:evenHBand="1"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424ABAFC" w14:textId="77777777" w:rsidR="00BE36FB" w:rsidRPr="009B7B35" w:rsidRDefault="00BE36FB" w:rsidP="001A7107">
            <w:pPr>
              <w:pStyle w:val="TableText"/>
              <w:rPr>
                <w:rFonts w:cs="Arial"/>
              </w:rPr>
            </w:pPr>
            <w:r w:rsidRPr="009B7B35">
              <w:rPr>
                <w:rFonts w:cs="Arial"/>
              </w:rPr>
              <w:t xml:space="preserve">Principal centre </w:t>
            </w:r>
          </w:p>
        </w:tc>
        <w:tc>
          <w:tcPr>
            <w:tcW w:w="3260" w:type="dxa"/>
          </w:tcPr>
          <w:p w14:paraId="47F4210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Principal centre (primary frontage building – 8 storey)</w:t>
            </w:r>
          </w:p>
        </w:tc>
        <w:tc>
          <w:tcPr>
            <w:tcW w:w="1913" w:type="dxa"/>
          </w:tcPr>
          <w:p w14:paraId="7BA2D37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30976D9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278.6 </w:t>
            </w:r>
          </w:p>
        </w:tc>
      </w:tr>
      <w:tr w:rsidR="00BE36FB" w:rsidRPr="009B7B35" w14:paraId="2FBD0369" w14:textId="77777777" w:rsidTr="001A7107">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2552" w:type="dxa"/>
            <w:vMerge/>
          </w:tcPr>
          <w:p w14:paraId="0B012C8D" w14:textId="77777777" w:rsidR="00BE36FB" w:rsidRPr="009B7B35" w:rsidRDefault="00BE36FB" w:rsidP="001A7107">
            <w:pPr>
              <w:pStyle w:val="TableText"/>
              <w:rPr>
                <w:rFonts w:cs="Arial"/>
              </w:rPr>
            </w:pPr>
          </w:p>
        </w:tc>
        <w:tc>
          <w:tcPr>
            <w:tcW w:w="3260" w:type="dxa"/>
          </w:tcPr>
          <w:p w14:paraId="4716C38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Principal centre (secondary frontage building – 8 storey)</w:t>
            </w:r>
          </w:p>
        </w:tc>
        <w:tc>
          <w:tcPr>
            <w:tcW w:w="1913" w:type="dxa"/>
          </w:tcPr>
          <w:p w14:paraId="4F574B7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62F6C3A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278.6 </w:t>
            </w:r>
          </w:p>
        </w:tc>
      </w:tr>
      <w:tr w:rsidR="00BE36FB" w:rsidRPr="009B7B35" w14:paraId="60959C89" w14:textId="77777777" w:rsidTr="001A7107">
        <w:trPr>
          <w:cnfStyle w:val="000000010000" w:firstRow="0" w:lastRow="0" w:firstColumn="0" w:lastColumn="0" w:oddVBand="0" w:evenVBand="0" w:oddHBand="0" w:evenHBand="1"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552" w:type="dxa"/>
          </w:tcPr>
          <w:p w14:paraId="0138A4E5" w14:textId="77777777" w:rsidR="00BE36FB" w:rsidRPr="009B7B35" w:rsidRDefault="00BE36FB" w:rsidP="001A7107">
            <w:pPr>
              <w:pStyle w:val="TableText"/>
              <w:rPr>
                <w:rFonts w:cs="Arial"/>
              </w:rPr>
            </w:pPr>
            <w:r w:rsidRPr="009B7B35">
              <w:rPr>
                <w:rFonts w:cs="Arial"/>
              </w:rPr>
              <w:t xml:space="preserve">Limited development (Constrained Land) </w:t>
            </w:r>
          </w:p>
        </w:tc>
        <w:tc>
          <w:tcPr>
            <w:tcW w:w="3260" w:type="dxa"/>
          </w:tcPr>
          <w:p w14:paraId="751A9F2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Dwelling house </w:t>
            </w:r>
          </w:p>
        </w:tc>
        <w:tc>
          <w:tcPr>
            <w:tcW w:w="1913" w:type="dxa"/>
          </w:tcPr>
          <w:p w14:paraId="1959BE8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22EFB23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0.02 </w:t>
            </w:r>
          </w:p>
        </w:tc>
      </w:tr>
      <w:tr w:rsidR="00BE36FB" w:rsidRPr="009B7B35" w14:paraId="1A2A8052" w14:textId="77777777" w:rsidTr="001A710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552" w:type="dxa"/>
          </w:tcPr>
          <w:p w14:paraId="66A30D75" w14:textId="77777777" w:rsidR="00BE36FB" w:rsidRPr="009B7B35" w:rsidRDefault="00BE36FB" w:rsidP="001A7107">
            <w:pPr>
              <w:pStyle w:val="TableText"/>
              <w:rPr>
                <w:rFonts w:cs="Arial"/>
              </w:rPr>
            </w:pPr>
            <w:r w:rsidRPr="009B7B35">
              <w:rPr>
                <w:rFonts w:cs="Arial"/>
              </w:rPr>
              <w:t xml:space="preserve">Rural </w:t>
            </w:r>
          </w:p>
        </w:tc>
        <w:tc>
          <w:tcPr>
            <w:tcW w:w="3260" w:type="dxa"/>
          </w:tcPr>
          <w:p w14:paraId="18482B9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Dwelling house </w:t>
            </w:r>
          </w:p>
        </w:tc>
        <w:tc>
          <w:tcPr>
            <w:tcW w:w="1913" w:type="dxa"/>
          </w:tcPr>
          <w:p w14:paraId="23BD949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3AF9BF3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0.004 </w:t>
            </w:r>
          </w:p>
        </w:tc>
      </w:tr>
      <w:tr w:rsidR="00BE36FB" w:rsidRPr="009B7B35" w14:paraId="49136ACA" w14:textId="77777777"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6B89989C" w14:textId="77777777" w:rsidR="00BE36FB" w:rsidRPr="009B7B35" w:rsidRDefault="00BE36FB" w:rsidP="001A7107">
            <w:pPr>
              <w:pStyle w:val="TableText"/>
              <w:rPr>
                <w:rFonts w:cs="Arial"/>
              </w:rPr>
            </w:pPr>
            <w:r w:rsidRPr="009B7B35">
              <w:rPr>
                <w:rFonts w:cs="Arial"/>
              </w:rPr>
              <w:t xml:space="preserve">Rural residential </w:t>
            </w:r>
          </w:p>
        </w:tc>
        <w:tc>
          <w:tcPr>
            <w:tcW w:w="3260" w:type="dxa"/>
          </w:tcPr>
          <w:p w14:paraId="18B09C2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Dwelling house (urban water service) </w:t>
            </w:r>
          </w:p>
        </w:tc>
        <w:tc>
          <w:tcPr>
            <w:tcW w:w="1913" w:type="dxa"/>
          </w:tcPr>
          <w:p w14:paraId="4A64156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7C9707C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 </w:t>
            </w:r>
          </w:p>
        </w:tc>
      </w:tr>
      <w:tr w:rsidR="00BE36FB" w:rsidRPr="009B7B35" w14:paraId="3D9FECB2" w14:textId="77777777" w:rsidTr="001A7107">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552" w:type="dxa"/>
            <w:vMerge/>
          </w:tcPr>
          <w:p w14:paraId="08F49217" w14:textId="77777777" w:rsidR="00BE36FB" w:rsidRPr="009B7B35" w:rsidRDefault="00BE36FB" w:rsidP="001A7107">
            <w:pPr>
              <w:pStyle w:val="TableText"/>
              <w:rPr>
                <w:rFonts w:cs="Arial"/>
              </w:rPr>
            </w:pPr>
          </w:p>
        </w:tc>
        <w:tc>
          <w:tcPr>
            <w:tcW w:w="3260" w:type="dxa"/>
          </w:tcPr>
          <w:p w14:paraId="2995338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Dwelling house (less than urban water service) </w:t>
            </w:r>
          </w:p>
        </w:tc>
        <w:tc>
          <w:tcPr>
            <w:tcW w:w="1913" w:type="dxa"/>
          </w:tcPr>
          <w:p w14:paraId="5BE5A9B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14ACA0C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0.7 </w:t>
            </w:r>
          </w:p>
        </w:tc>
      </w:tr>
      <w:tr w:rsidR="00BE36FB" w:rsidRPr="009B7B35" w14:paraId="5EF2779C" w14:textId="77777777"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9639" w:type="dxa"/>
            <w:gridSpan w:val="4"/>
            <w:shd w:val="clear" w:color="auto" w:fill="BFBFBF" w:themeFill="background1" w:themeFillShade="BF"/>
          </w:tcPr>
          <w:p w14:paraId="3B4847AC" w14:textId="77777777" w:rsidR="00BE36FB" w:rsidRPr="009B7B35" w:rsidRDefault="00BE36FB" w:rsidP="001A7107">
            <w:pPr>
              <w:pStyle w:val="Tableheading"/>
              <w:rPr>
                <w:rFonts w:ascii="Arial" w:hAnsi="Arial" w:cs="Arial"/>
                <w:szCs w:val="20"/>
              </w:rPr>
            </w:pPr>
            <w:r w:rsidRPr="009B7B35">
              <w:rPr>
                <w:rFonts w:ascii="Arial" w:hAnsi="Arial" w:cs="Arial"/>
                <w:szCs w:val="20"/>
              </w:rPr>
              <w:t>Non residential</w:t>
            </w:r>
          </w:p>
        </w:tc>
      </w:tr>
      <w:tr w:rsidR="00BE36FB" w:rsidRPr="009B7B35" w14:paraId="31872181" w14:textId="77777777" w:rsidTr="001A7107">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tcPr>
          <w:p w14:paraId="16E38B9E" w14:textId="77777777" w:rsidR="00BE36FB" w:rsidRPr="009B7B35" w:rsidRDefault="00BE36FB" w:rsidP="001A7107">
            <w:pPr>
              <w:pStyle w:val="TableText"/>
              <w:rPr>
                <w:rFonts w:cs="Arial"/>
              </w:rPr>
            </w:pPr>
            <w:r w:rsidRPr="009B7B35">
              <w:rPr>
                <w:rFonts w:cs="Arial"/>
              </w:rPr>
              <w:t xml:space="preserve">Centre zone </w:t>
            </w:r>
          </w:p>
        </w:tc>
        <w:tc>
          <w:tcPr>
            <w:tcW w:w="3260" w:type="dxa"/>
          </w:tcPr>
          <w:p w14:paraId="326FEE1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Centre zone </w:t>
            </w:r>
          </w:p>
        </w:tc>
        <w:tc>
          <w:tcPr>
            <w:tcW w:w="1913" w:type="dxa"/>
          </w:tcPr>
          <w:p w14:paraId="0B0E8D7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48564AF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r w:rsidR="00BE36FB" w:rsidRPr="009B7B35" w14:paraId="1520FDC3" w14:textId="77777777" w:rsidTr="001A7107">
        <w:trPr>
          <w:cnfStyle w:val="000000010000" w:firstRow="0" w:lastRow="0" w:firstColumn="0" w:lastColumn="0" w:oddVBand="0" w:evenVBand="0" w:oddHBand="0" w:evenHBand="1"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tcPr>
          <w:p w14:paraId="281D0CAF" w14:textId="77777777" w:rsidR="00BE36FB" w:rsidRPr="009B7B35" w:rsidRDefault="00BE36FB" w:rsidP="001A7107">
            <w:pPr>
              <w:pStyle w:val="TableText"/>
              <w:rPr>
                <w:rFonts w:cs="Arial"/>
              </w:rPr>
            </w:pPr>
            <w:r w:rsidRPr="009B7B35">
              <w:rPr>
                <w:rFonts w:cs="Arial"/>
              </w:rPr>
              <w:t xml:space="preserve">Neighbourhood centre </w:t>
            </w:r>
          </w:p>
        </w:tc>
        <w:tc>
          <w:tcPr>
            <w:tcW w:w="3260" w:type="dxa"/>
          </w:tcPr>
          <w:p w14:paraId="7D7C5F9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Neighbourhood centre </w:t>
            </w:r>
          </w:p>
        </w:tc>
        <w:tc>
          <w:tcPr>
            <w:tcW w:w="1913" w:type="dxa"/>
          </w:tcPr>
          <w:p w14:paraId="276C827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c>
          <w:tcPr>
            <w:tcW w:w="1914" w:type="dxa"/>
          </w:tcPr>
          <w:p w14:paraId="08D6024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r>
      <w:tr w:rsidR="00BE36FB" w:rsidRPr="009B7B35" w14:paraId="4FAB9F0D" w14:textId="77777777"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tcPr>
          <w:p w14:paraId="2DB3D145" w14:textId="77777777" w:rsidR="00BE36FB" w:rsidRPr="009B7B35" w:rsidRDefault="00BE36FB" w:rsidP="001A7107">
            <w:pPr>
              <w:pStyle w:val="TableText"/>
              <w:rPr>
                <w:rFonts w:cs="Arial"/>
              </w:rPr>
            </w:pPr>
            <w:r w:rsidRPr="009B7B35">
              <w:rPr>
                <w:rFonts w:cs="Arial"/>
              </w:rPr>
              <w:t xml:space="preserve">Specialised centre </w:t>
            </w:r>
          </w:p>
        </w:tc>
        <w:tc>
          <w:tcPr>
            <w:tcW w:w="3260" w:type="dxa"/>
          </w:tcPr>
          <w:p w14:paraId="66701D1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Specialised centre </w:t>
            </w:r>
          </w:p>
        </w:tc>
        <w:tc>
          <w:tcPr>
            <w:tcW w:w="1913" w:type="dxa"/>
          </w:tcPr>
          <w:p w14:paraId="7618805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c>
          <w:tcPr>
            <w:tcW w:w="1914" w:type="dxa"/>
          </w:tcPr>
          <w:p w14:paraId="2501C33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r w:rsidR="00BE36FB" w:rsidRPr="009B7B35" w14:paraId="763FF970" w14:textId="77777777" w:rsidTr="001A7107">
        <w:trPr>
          <w:cnfStyle w:val="000000010000" w:firstRow="0" w:lastRow="0" w:firstColumn="0" w:lastColumn="0" w:oddVBand="0" w:evenVBand="0" w:oddHBand="0" w:evenHBand="1"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06018FCA" w14:textId="77777777" w:rsidR="00BE36FB" w:rsidRPr="009B7B35" w:rsidRDefault="00BE36FB" w:rsidP="001A7107">
            <w:pPr>
              <w:pStyle w:val="TableText"/>
              <w:rPr>
                <w:rFonts w:cs="Arial"/>
              </w:rPr>
            </w:pPr>
            <w:r w:rsidRPr="009B7B35">
              <w:rPr>
                <w:rFonts w:cs="Arial"/>
              </w:rPr>
              <w:t xml:space="preserve">Mixed use </w:t>
            </w:r>
          </w:p>
        </w:tc>
        <w:tc>
          <w:tcPr>
            <w:tcW w:w="3260" w:type="dxa"/>
          </w:tcPr>
          <w:p w14:paraId="04F5F89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Mixed use (Primary frontage building) </w:t>
            </w:r>
          </w:p>
        </w:tc>
        <w:tc>
          <w:tcPr>
            <w:tcW w:w="1913" w:type="dxa"/>
          </w:tcPr>
          <w:p w14:paraId="6B4ED29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0.72m</w:t>
            </w:r>
            <w:r w:rsidRPr="009B7B35">
              <w:rPr>
                <w:rFonts w:cs="Arial"/>
                <w:vertAlign w:val="superscript"/>
              </w:rPr>
              <w:t>2</w:t>
            </w:r>
            <w:r w:rsidRPr="009B7B35">
              <w:rPr>
                <w:rFonts w:cs="Arial"/>
              </w:rPr>
              <w:t xml:space="preserve"> GFA/m</w:t>
            </w:r>
            <w:r w:rsidRPr="009B7B35">
              <w:rPr>
                <w:rFonts w:cs="Arial"/>
                <w:vertAlign w:val="superscript"/>
              </w:rPr>
              <w:t>2</w:t>
            </w:r>
            <w:r w:rsidRPr="009B7B35">
              <w:rPr>
                <w:rFonts w:cs="Arial"/>
              </w:rPr>
              <w:t xml:space="preserve"> site area </w:t>
            </w:r>
          </w:p>
        </w:tc>
        <w:tc>
          <w:tcPr>
            <w:tcW w:w="1914" w:type="dxa"/>
          </w:tcPr>
          <w:p w14:paraId="49F27A0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r>
      <w:tr w:rsidR="00BE36FB" w:rsidRPr="009B7B35" w14:paraId="2BE136BA" w14:textId="77777777" w:rsidTr="001A7107">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2552" w:type="dxa"/>
            <w:vMerge/>
          </w:tcPr>
          <w:p w14:paraId="0F5145E9" w14:textId="77777777" w:rsidR="00BE36FB" w:rsidRPr="009B7B35" w:rsidRDefault="00BE36FB" w:rsidP="001A7107">
            <w:pPr>
              <w:pStyle w:val="TableText"/>
              <w:rPr>
                <w:rFonts w:cs="Arial"/>
              </w:rPr>
            </w:pPr>
          </w:p>
        </w:tc>
        <w:tc>
          <w:tcPr>
            <w:tcW w:w="3260" w:type="dxa"/>
          </w:tcPr>
          <w:p w14:paraId="3BF3B7D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Mixed use (Secondary frontage building) </w:t>
            </w:r>
          </w:p>
        </w:tc>
        <w:tc>
          <w:tcPr>
            <w:tcW w:w="1913" w:type="dxa"/>
          </w:tcPr>
          <w:p w14:paraId="0FDF7AE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0.48m</w:t>
            </w:r>
            <w:r w:rsidRPr="009B7B35">
              <w:rPr>
                <w:rFonts w:cs="Arial"/>
                <w:vertAlign w:val="superscript"/>
              </w:rPr>
              <w:t>2</w:t>
            </w:r>
            <w:r w:rsidRPr="009B7B35">
              <w:rPr>
                <w:rFonts w:cs="Arial"/>
              </w:rPr>
              <w:t xml:space="preserve"> GFA/m</w:t>
            </w:r>
            <w:r w:rsidRPr="009B7B35">
              <w:rPr>
                <w:rFonts w:cs="Arial"/>
                <w:vertAlign w:val="superscript"/>
              </w:rPr>
              <w:t>2</w:t>
            </w:r>
            <w:r w:rsidRPr="009B7B35">
              <w:rPr>
                <w:rFonts w:cs="Arial"/>
              </w:rPr>
              <w:t xml:space="preserve"> site area </w:t>
            </w:r>
          </w:p>
        </w:tc>
        <w:tc>
          <w:tcPr>
            <w:tcW w:w="1914" w:type="dxa"/>
          </w:tcPr>
          <w:p w14:paraId="0B7BEA8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r w:rsidR="00BE36FB" w:rsidRPr="009B7B35" w14:paraId="477A0366" w14:textId="77777777" w:rsidTr="001A7107">
        <w:trPr>
          <w:cnfStyle w:val="000000010000" w:firstRow="0" w:lastRow="0" w:firstColumn="0" w:lastColumn="0" w:oddVBand="0" w:evenVBand="0" w:oddHBand="0" w:evenHBand="1"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552" w:type="dxa"/>
            <w:vMerge/>
          </w:tcPr>
          <w:p w14:paraId="79FD56CF" w14:textId="77777777" w:rsidR="00BE36FB" w:rsidRPr="009B7B35" w:rsidRDefault="00BE36FB" w:rsidP="001A7107">
            <w:pPr>
              <w:pStyle w:val="TableText"/>
              <w:rPr>
                <w:rFonts w:cs="Arial"/>
              </w:rPr>
            </w:pPr>
          </w:p>
        </w:tc>
        <w:tc>
          <w:tcPr>
            <w:tcW w:w="3260" w:type="dxa"/>
          </w:tcPr>
          <w:p w14:paraId="06F829D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Mixed use (Agnes Water) </w:t>
            </w:r>
          </w:p>
        </w:tc>
        <w:tc>
          <w:tcPr>
            <w:tcW w:w="1913" w:type="dxa"/>
          </w:tcPr>
          <w:p w14:paraId="796A645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0.6m</w:t>
            </w:r>
            <w:r w:rsidRPr="009B7B35">
              <w:rPr>
                <w:rFonts w:cs="Arial"/>
                <w:vertAlign w:val="superscript"/>
              </w:rPr>
              <w:t>2</w:t>
            </w:r>
            <w:r w:rsidRPr="009B7B35">
              <w:rPr>
                <w:rFonts w:cs="Arial"/>
              </w:rPr>
              <w:t xml:space="preserve"> GFA/m</w:t>
            </w:r>
            <w:r w:rsidRPr="009B7B35">
              <w:rPr>
                <w:rFonts w:cs="Arial"/>
                <w:vertAlign w:val="superscript"/>
              </w:rPr>
              <w:t>2</w:t>
            </w:r>
            <w:r w:rsidRPr="009B7B35">
              <w:rPr>
                <w:rFonts w:cs="Arial"/>
              </w:rPr>
              <w:t xml:space="preserve"> site area </w:t>
            </w:r>
          </w:p>
        </w:tc>
        <w:tc>
          <w:tcPr>
            <w:tcW w:w="1914" w:type="dxa"/>
          </w:tcPr>
          <w:p w14:paraId="019836C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r>
      <w:tr w:rsidR="00BE36FB" w:rsidRPr="009B7B35" w14:paraId="5CA4C5D3" w14:textId="77777777" w:rsidTr="001A7107">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552" w:type="dxa"/>
            <w:vMerge w:val="restart"/>
          </w:tcPr>
          <w:p w14:paraId="2EE1461C" w14:textId="77777777" w:rsidR="00BE36FB" w:rsidRPr="009B7B35" w:rsidRDefault="00BE36FB" w:rsidP="001A7107">
            <w:pPr>
              <w:pStyle w:val="TableText"/>
              <w:rPr>
                <w:rFonts w:cs="Arial"/>
              </w:rPr>
            </w:pPr>
            <w:r w:rsidRPr="009B7B35">
              <w:rPr>
                <w:rFonts w:cs="Arial"/>
              </w:rPr>
              <w:t xml:space="preserve">Principal centre </w:t>
            </w:r>
          </w:p>
        </w:tc>
        <w:tc>
          <w:tcPr>
            <w:tcW w:w="3260" w:type="dxa"/>
          </w:tcPr>
          <w:p w14:paraId="134B6E4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Principal centre (Primary frontage building) </w:t>
            </w:r>
          </w:p>
        </w:tc>
        <w:tc>
          <w:tcPr>
            <w:tcW w:w="1913" w:type="dxa"/>
          </w:tcPr>
          <w:p w14:paraId="4FD14B1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0.72m</w:t>
            </w:r>
            <w:r w:rsidRPr="009B7B35">
              <w:rPr>
                <w:rFonts w:cs="Arial"/>
                <w:vertAlign w:val="superscript"/>
              </w:rPr>
              <w:t>2</w:t>
            </w:r>
            <w:r w:rsidRPr="009B7B35">
              <w:rPr>
                <w:rFonts w:cs="Arial"/>
              </w:rPr>
              <w:t xml:space="preserve"> GFA/m</w:t>
            </w:r>
            <w:r w:rsidRPr="009B7B35">
              <w:rPr>
                <w:rFonts w:cs="Arial"/>
                <w:vertAlign w:val="superscript"/>
              </w:rPr>
              <w:t>2</w:t>
            </w:r>
            <w:r w:rsidRPr="009B7B35">
              <w:rPr>
                <w:rFonts w:cs="Arial"/>
              </w:rPr>
              <w:t xml:space="preserve"> site area </w:t>
            </w:r>
          </w:p>
        </w:tc>
        <w:tc>
          <w:tcPr>
            <w:tcW w:w="1914" w:type="dxa"/>
          </w:tcPr>
          <w:p w14:paraId="2B399F6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r w:rsidR="00BE36FB" w:rsidRPr="009B7B35" w14:paraId="16871A0E" w14:textId="77777777" w:rsidTr="001A7107">
        <w:trPr>
          <w:cnfStyle w:val="000000010000" w:firstRow="0" w:lastRow="0" w:firstColumn="0" w:lastColumn="0" w:oddVBand="0" w:evenVBand="0" w:oddHBand="0" w:evenHBand="1"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552" w:type="dxa"/>
            <w:vMerge/>
          </w:tcPr>
          <w:p w14:paraId="38460B37" w14:textId="77777777" w:rsidR="00BE36FB" w:rsidRPr="009B7B35" w:rsidRDefault="00BE36FB" w:rsidP="001A7107">
            <w:pPr>
              <w:pStyle w:val="TableText"/>
              <w:rPr>
                <w:rFonts w:cs="Arial"/>
              </w:rPr>
            </w:pPr>
          </w:p>
        </w:tc>
        <w:tc>
          <w:tcPr>
            <w:tcW w:w="3260" w:type="dxa"/>
          </w:tcPr>
          <w:p w14:paraId="7229157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Principal centre (Secondary frontage building) </w:t>
            </w:r>
          </w:p>
        </w:tc>
        <w:tc>
          <w:tcPr>
            <w:tcW w:w="1913" w:type="dxa"/>
          </w:tcPr>
          <w:p w14:paraId="2D298A4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0.48m</w:t>
            </w:r>
            <w:r w:rsidRPr="009B7B35">
              <w:rPr>
                <w:rFonts w:cs="Arial"/>
                <w:vertAlign w:val="superscript"/>
              </w:rPr>
              <w:t>2</w:t>
            </w:r>
            <w:r w:rsidRPr="009B7B35">
              <w:rPr>
                <w:rFonts w:cs="Arial"/>
              </w:rPr>
              <w:t xml:space="preserve"> GFA/m</w:t>
            </w:r>
            <w:r w:rsidRPr="009B7B35">
              <w:rPr>
                <w:rFonts w:cs="Arial"/>
                <w:vertAlign w:val="superscript"/>
              </w:rPr>
              <w:t>2</w:t>
            </w:r>
            <w:r w:rsidRPr="009B7B35">
              <w:rPr>
                <w:rFonts w:cs="Arial"/>
              </w:rPr>
              <w:t xml:space="preserve"> site area </w:t>
            </w:r>
          </w:p>
        </w:tc>
        <w:tc>
          <w:tcPr>
            <w:tcW w:w="1914" w:type="dxa"/>
          </w:tcPr>
          <w:p w14:paraId="2DAB0FB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r>
      <w:tr w:rsidR="00BE36FB" w:rsidRPr="009B7B35" w14:paraId="0BA00602" w14:textId="77777777"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tcPr>
          <w:p w14:paraId="57FF4980" w14:textId="77777777" w:rsidR="00BE36FB" w:rsidRPr="009B7B35" w:rsidRDefault="00BE36FB" w:rsidP="001A7107">
            <w:pPr>
              <w:pStyle w:val="TableText"/>
              <w:rPr>
                <w:rFonts w:cs="Arial"/>
              </w:rPr>
            </w:pPr>
            <w:r w:rsidRPr="009B7B35">
              <w:rPr>
                <w:rFonts w:cs="Arial"/>
              </w:rPr>
              <w:t xml:space="preserve">Community facilities </w:t>
            </w:r>
          </w:p>
        </w:tc>
        <w:tc>
          <w:tcPr>
            <w:tcW w:w="3260" w:type="dxa"/>
          </w:tcPr>
          <w:p w14:paraId="77B3991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facilities </w:t>
            </w:r>
          </w:p>
        </w:tc>
        <w:tc>
          <w:tcPr>
            <w:tcW w:w="1913" w:type="dxa"/>
          </w:tcPr>
          <w:p w14:paraId="40055FF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First principles </w:t>
            </w:r>
          </w:p>
        </w:tc>
        <w:tc>
          <w:tcPr>
            <w:tcW w:w="1914" w:type="dxa"/>
          </w:tcPr>
          <w:p w14:paraId="293FB21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r w:rsidR="00BE36FB" w:rsidRPr="009B7B35" w14:paraId="4D84BE8D" w14:textId="77777777" w:rsidTr="001A7107">
        <w:trPr>
          <w:cnfStyle w:val="000000010000" w:firstRow="0" w:lastRow="0" w:firstColumn="0" w:lastColumn="0" w:oddVBand="0" w:evenVBand="0" w:oddHBand="0" w:evenHBand="1"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52" w:type="dxa"/>
          </w:tcPr>
          <w:p w14:paraId="1513328D" w14:textId="77777777" w:rsidR="00BE36FB" w:rsidRPr="009B7B35" w:rsidRDefault="00BE36FB" w:rsidP="001A7107">
            <w:pPr>
              <w:pStyle w:val="TableText"/>
              <w:rPr>
                <w:rFonts w:cs="Arial"/>
              </w:rPr>
            </w:pPr>
            <w:r w:rsidRPr="009B7B35">
              <w:rPr>
                <w:rFonts w:cs="Arial"/>
              </w:rPr>
              <w:t xml:space="preserve">Sport and recreation </w:t>
            </w:r>
          </w:p>
        </w:tc>
        <w:tc>
          <w:tcPr>
            <w:tcW w:w="3260" w:type="dxa"/>
          </w:tcPr>
          <w:p w14:paraId="1C870B1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Sport and recreation </w:t>
            </w:r>
          </w:p>
        </w:tc>
        <w:tc>
          <w:tcPr>
            <w:tcW w:w="1913" w:type="dxa"/>
          </w:tcPr>
          <w:p w14:paraId="03C0355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First principles </w:t>
            </w:r>
          </w:p>
        </w:tc>
        <w:tc>
          <w:tcPr>
            <w:tcW w:w="1914" w:type="dxa"/>
          </w:tcPr>
          <w:p w14:paraId="7FCBEE5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r>
      <w:tr w:rsidR="00BE36FB" w:rsidRPr="009B7B35" w14:paraId="3993EF03" w14:textId="77777777"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tcPr>
          <w:p w14:paraId="788F13CA" w14:textId="77777777" w:rsidR="00BE36FB" w:rsidRPr="009B7B35" w:rsidRDefault="00BE36FB" w:rsidP="001A7107">
            <w:pPr>
              <w:pStyle w:val="TableText"/>
              <w:rPr>
                <w:rFonts w:cs="Arial"/>
              </w:rPr>
            </w:pPr>
            <w:r w:rsidRPr="009B7B35">
              <w:rPr>
                <w:rFonts w:cs="Arial"/>
              </w:rPr>
              <w:t xml:space="preserve">Open space </w:t>
            </w:r>
          </w:p>
        </w:tc>
        <w:tc>
          <w:tcPr>
            <w:tcW w:w="3260" w:type="dxa"/>
          </w:tcPr>
          <w:p w14:paraId="23F7342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Open space </w:t>
            </w:r>
          </w:p>
        </w:tc>
        <w:tc>
          <w:tcPr>
            <w:tcW w:w="1913" w:type="dxa"/>
          </w:tcPr>
          <w:p w14:paraId="5D989B1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First principles </w:t>
            </w:r>
          </w:p>
        </w:tc>
        <w:tc>
          <w:tcPr>
            <w:tcW w:w="1914" w:type="dxa"/>
          </w:tcPr>
          <w:p w14:paraId="4283139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r w:rsidR="00BE36FB" w:rsidRPr="009B7B35" w14:paraId="4F2F723B" w14:textId="77777777" w:rsidTr="001A7107">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552" w:type="dxa"/>
          </w:tcPr>
          <w:p w14:paraId="7B45076D" w14:textId="77777777" w:rsidR="00BE36FB" w:rsidRPr="009B7B35" w:rsidRDefault="00BE36FB" w:rsidP="001A7107">
            <w:pPr>
              <w:pStyle w:val="TableText"/>
              <w:rPr>
                <w:rFonts w:cs="Arial"/>
              </w:rPr>
            </w:pPr>
            <w:r w:rsidRPr="009B7B35">
              <w:rPr>
                <w:rFonts w:cs="Arial"/>
              </w:rPr>
              <w:t xml:space="preserve">Low impact industry </w:t>
            </w:r>
          </w:p>
        </w:tc>
        <w:tc>
          <w:tcPr>
            <w:tcW w:w="3260" w:type="dxa"/>
          </w:tcPr>
          <w:p w14:paraId="223AC96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Low impact industry </w:t>
            </w:r>
          </w:p>
        </w:tc>
        <w:tc>
          <w:tcPr>
            <w:tcW w:w="1913" w:type="dxa"/>
          </w:tcPr>
          <w:p w14:paraId="444E129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28.1ET/ha </w:t>
            </w:r>
          </w:p>
        </w:tc>
        <w:tc>
          <w:tcPr>
            <w:tcW w:w="1914" w:type="dxa"/>
          </w:tcPr>
          <w:p w14:paraId="022B38D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r>
      <w:tr w:rsidR="00BE36FB" w:rsidRPr="009B7B35" w14:paraId="2B62C779" w14:textId="77777777" w:rsidTr="001A7107">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tcPr>
          <w:p w14:paraId="6A3E2623" w14:textId="77777777" w:rsidR="00BE36FB" w:rsidRPr="009B7B35" w:rsidRDefault="00BE36FB" w:rsidP="001A7107">
            <w:pPr>
              <w:pStyle w:val="TableText"/>
              <w:rPr>
                <w:rFonts w:cs="Arial"/>
              </w:rPr>
            </w:pPr>
            <w:r w:rsidRPr="009B7B35">
              <w:rPr>
                <w:rFonts w:cs="Arial"/>
              </w:rPr>
              <w:t xml:space="preserve">Medium impact industry </w:t>
            </w:r>
          </w:p>
        </w:tc>
        <w:tc>
          <w:tcPr>
            <w:tcW w:w="3260" w:type="dxa"/>
          </w:tcPr>
          <w:p w14:paraId="6D4A025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Medium impact industry </w:t>
            </w:r>
          </w:p>
        </w:tc>
        <w:tc>
          <w:tcPr>
            <w:tcW w:w="1913" w:type="dxa"/>
          </w:tcPr>
          <w:p w14:paraId="4B49174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28.1ET/ha </w:t>
            </w:r>
          </w:p>
        </w:tc>
        <w:tc>
          <w:tcPr>
            <w:tcW w:w="1914" w:type="dxa"/>
          </w:tcPr>
          <w:p w14:paraId="4E0EDDE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r w:rsidR="00BE36FB" w:rsidRPr="009B7B35" w14:paraId="272071E2" w14:textId="77777777" w:rsidTr="001A7107">
        <w:trPr>
          <w:cnfStyle w:val="000000010000" w:firstRow="0" w:lastRow="0" w:firstColumn="0" w:lastColumn="0" w:oddVBand="0" w:evenVBand="0" w:oddHBand="0" w:evenHBand="1"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552" w:type="dxa"/>
          </w:tcPr>
          <w:p w14:paraId="078B326B" w14:textId="77777777" w:rsidR="00BE36FB" w:rsidRPr="009B7B35" w:rsidRDefault="00BE36FB" w:rsidP="001A7107">
            <w:pPr>
              <w:pStyle w:val="TableText"/>
              <w:rPr>
                <w:rFonts w:cs="Arial"/>
              </w:rPr>
            </w:pPr>
            <w:r w:rsidRPr="009B7B35">
              <w:rPr>
                <w:rFonts w:cs="Arial"/>
              </w:rPr>
              <w:t xml:space="preserve">High impact industry </w:t>
            </w:r>
          </w:p>
        </w:tc>
        <w:tc>
          <w:tcPr>
            <w:tcW w:w="3260" w:type="dxa"/>
          </w:tcPr>
          <w:p w14:paraId="0219F4F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High impact industry </w:t>
            </w:r>
          </w:p>
        </w:tc>
        <w:tc>
          <w:tcPr>
            <w:tcW w:w="1913" w:type="dxa"/>
          </w:tcPr>
          <w:p w14:paraId="38D73CC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28.1ET/ha </w:t>
            </w:r>
          </w:p>
        </w:tc>
        <w:tc>
          <w:tcPr>
            <w:tcW w:w="1914" w:type="dxa"/>
          </w:tcPr>
          <w:p w14:paraId="3443C66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 </w:t>
            </w:r>
          </w:p>
        </w:tc>
      </w:tr>
      <w:tr w:rsidR="00BE36FB" w:rsidRPr="009B7B35" w14:paraId="58060140" w14:textId="77777777" w:rsidTr="001A7107">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52" w:type="dxa"/>
          </w:tcPr>
          <w:p w14:paraId="22BDB19C" w14:textId="77777777" w:rsidR="00BE36FB" w:rsidRPr="009B7B35" w:rsidRDefault="00BE36FB" w:rsidP="001A7107">
            <w:pPr>
              <w:pStyle w:val="TableText"/>
              <w:rPr>
                <w:rFonts w:cs="Arial"/>
              </w:rPr>
            </w:pPr>
            <w:r w:rsidRPr="009B7B35">
              <w:rPr>
                <w:rFonts w:cs="Arial"/>
              </w:rPr>
              <w:t xml:space="preserve">Special industry </w:t>
            </w:r>
          </w:p>
        </w:tc>
        <w:tc>
          <w:tcPr>
            <w:tcW w:w="3260" w:type="dxa"/>
          </w:tcPr>
          <w:p w14:paraId="6253849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Special industry </w:t>
            </w:r>
          </w:p>
        </w:tc>
        <w:tc>
          <w:tcPr>
            <w:tcW w:w="1913" w:type="dxa"/>
          </w:tcPr>
          <w:p w14:paraId="3912634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28.1ET/ha </w:t>
            </w:r>
          </w:p>
        </w:tc>
        <w:tc>
          <w:tcPr>
            <w:tcW w:w="1914" w:type="dxa"/>
          </w:tcPr>
          <w:p w14:paraId="117887F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w:t>
            </w:r>
          </w:p>
        </w:tc>
      </w:tr>
    </w:tbl>
    <w:p w14:paraId="796AD641" w14:textId="77777777" w:rsidR="00BE36FB" w:rsidRPr="009B7B35" w:rsidRDefault="00BE36FB" w:rsidP="001A7107">
      <w:pPr>
        <w:pStyle w:val="Notes"/>
        <w:rPr>
          <w:rFonts w:cs="Arial"/>
          <w:sz w:val="20"/>
          <w:szCs w:val="20"/>
        </w:rPr>
      </w:pPr>
      <w:r w:rsidRPr="009B7B35">
        <w:rPr>
          <w:rFonts w:cs="Arial"/>
          <w:sz w:val="20"/>
          <w:szCs w:val="20"/>
        </w:rPr>
        <w:t>* Based on existing approvals</w:t>
      </w:r>
    </w:p>
    <w:p w14:paraId="12AA6BEF"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2EFB6E17" w14:textId="77777777" w:rsidR="00BE36FB" w:rsidRPr="009B7B35" w:rsidRDefault="00BE36FB" w:rsidP="001A7107">
      <w:pPr>
        <w:pStyle w:val="Heading9"/>
        <w:numPr>
          <w:ilvl w:val="0"/>
          <w:numId w:val="0"/>
        </w:numPr>
        <w:rPr>
          <w:rFonts w:cs="Arial"/>
          <w:sz w:val="20"/>
        </w:rPr>
      </w:pPr>
      <w:r w:rsidRPr="009B7B35">
        <w:rPr>
          <w:rFonts w:cs="Arial"/>
          <w:sz w:val="20"/>
        </w:rPr>
        <w:t>Table SC3.1.4—Demand generation rate for trunk infrastructure networks</w:t>
      </w:r>
    </w:p>
    <w:tbl>
      <w:tblPr>
        <w:tblStyle w:val="Tablestyle"/>
        <w:tblW w:w="9639" w:type="dxa"/>
        <w:tblLayout w:type="fixed"/>
        <w:tblLook w:val="04A0" w:firstRow="1" w:lastRow="0" w:firstColumn="1" w:lastColumn="0" w:noHBand="0" w:noVBand="1"/>
      </w:tblPr>
      <w:tblGrid>
        <w:gridCol w:w="2316"/>
        <w:gridCol w:w="1334"/>
        <w:gridCol w:w="1335"/>
        <w:gridCol w:w="1335"/>
        <w:gridCol w:w="1335"/>
        <w:gridCol w:w="1984"/>
      </w:tblGrid>
      <w:tr w:rsidR="00BE36FB" w:rsidRPr="009B7B35" w14:paraId="760E7160" w14:textId="77777777" w:rsidTr="001A7107">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2316" w:type="dxa"/>
            <w:vMerge w:val="restart"/>
          </w:tcPr>
          <w:p w14:paraId="7EBB4005" w14:textId="77777777" w:rsidR="00BE36FB" w:rsidRPr="009B7B35" w:rsidRDefault="00BE36FB" w:rsidP="001A7107">
            <w:pPr>
              <w:pStyle w:val="TableText"/>
              <w:rPr>
                <w:rFonts w:cs="Arial"/>
              </w:rPr>
            </w:pPr>
            <w:r w:rsidRPr="009B7B35">
              <w:rPr>
                <w:rFonts w:cs="Arial"/>
              </w:rPr>
              <w:t>Planning scheme identification (zone)</w:t>
            </w:r>
          </w:p>
        </w:tc>
        <w:tc>
          <w:tcPr>
            <w:tcW w:w="7323" w:type="dxa"/>
            <w:gridSpan w:val="5"/>
          </w:tcPr>
          <w:p w14:paraId="7093ED95"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Planned infrastructure demand rate</w:t>
            </w:r>
          </w:p>
        </w:tc>
      </w:tr>
      <w:tr w:rsidR="00BE36FB" w:rsidRPr="009B7B35" w14:paraId="39694952" w14:textId="77777777" w:rsidTr="001A7107">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2316" w:type="dxa"/>
            <w:vMerge/>
          </w:tcPr>
          <w:p w14:paraId="232060A5" w14:textId="77777777" w:rsidR="00BE36FB" w:rsidRPr="009B7B35" w:rsidRDefault="00BE36FB" w:rsidP="001A7107">
            <w:pPr>
              <w:pStyle w:val="TableText"/>
              <w:rPr>
                <w:rFonts w:cs="Arial"/>
              </w:rPr>
            </w:pPr>
          </w:p>
        </w:tc>
        <w:tc>
          <w:tcPr>
            <w:tcW w:w="1334" w:type="dxa"/>
          </w:tcPr>
          <w:p w14:paraId="2C285BA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Water Supply (EP/Gross ha)</w:t>
            </w:r>
          </w:p>
        </w:tc>
        <w:tc>
          <w:tcPr>
            <w:tcW w:w="1335" w:type="dxa"/>
          </w:tcPr>
          <w:p w14:paraId="2350FAF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Sewerage (EP/Gross ha)</w:t>
            </w:r>
          </w:p>
        </w:tc>
        <w:tc>
          <w:tcPr>
            <w:tcW w:w="1335" w:type="dxa"/>
          </w:tcPr>
          <w:p w14:paraId="74B8EC1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Stormwater</w:t>
            </w:r>
          </w:p>
          <w:p w14:paraId="7546DD3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Quantity (imp fraction)</w:t>
            </w:r>
          </w:p>
        </w:tc>
        <w:tc>
          <w:tcPr>
            <w:tcW w:w="1335" w:type="dxa"/>
          </w:tcPr>
          <w:p w14:paraId="3AA1685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Transport</w:t>
            </w:r>
          </w:p>
          <w:p w14:paraId="5D2B9D1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(trips/net dev. ha)</w:t>
            </w:r>
          </w:p>
        </w:tc>
        <w:tc>
          <w:tcPr>
            <w:tcW w:w="1984" w:type="dxa"/>
          </w:tcPr>
          <w:p w14:paraId="6D36D8B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Public Parks and land for community facilities</w:t>
            </w:r>
          </w:p>
          <w:p w14:paraId="6C23EDD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(EP/Gross dev. ha)</w:t>
            </w:r>
          </w:p>
        </w:tc>
      </w:tr>
      <w:tr w:rsidR="00BE36FB" w:rsidRPr="009B7B35" w14:paraId="122521B8" w14:textId="77777777" w:rsidTr="001A7107">
        <w:trPr>
          <w:cnfStyle w:val="000000010000" w:firstRow="0" w:lastRow="0" w:firstColumn="0" w:lastColumn="0" w:oddVBand="0" w:evenVBand="0" w:oddHBand="0" w:evenHBand="1"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316" w:type="dxa"/>
          </w:tcPr>
          <w:p w14:paraId="172EA961" w14:textId="77777777" w:rsidR="00BE36FB" w:rsidRPr="009B7B35" w:rsidRDefault="00BE36FB" w:rsidP="001A7107">
            <w:pPr>
              <w:pStyle w:val="TableText"/>
              <w:rPr>
                <w:rFonts w:cs="Arial"/>
              </w:rPr>
            </w:pPr>
            <w:r w:rsidRPr="009B7B35">
              <w:rPr>
                <w:rFonts w:cs="Arial"/>
              </w:rPr>
              <w:t>Rural</w:t>
            </w:r>
          </w:p>
        </w:tc>
        <w:tc>
          <w:tcPr>
            <w:tcW w:w="1334" w:type="dxa"/>
          </w:tcPr>
          <w:p w14:paraId="7424B8D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335" w:type="dxa"/>
          </w:tcPr>
          <w:p w14:paraId="3FD4F33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335" w:type="dxa"/>
          </w:tcPr>
          <w:p w14:paraId="678270D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335" w:type="dxa"/>
          </w:tcPr>
          <w:p w14:paraId="12300AB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 </w:t>
            </w:r>
          </w:p>
        </w:tc>
        <w:tc>
          <w:tcPr>
            <w:tcW w:w="1984" w:type="dxa"/>
          </w:tcPr>
          <w:p w14:paraId="5817550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2.6 persons/dwelling </w:t>
            </w:r>
          </w:p>
        </w:tc>
      </w:tr>
      <w:tr w:rsidR="00BE36FB" w:rsidRPr="009B7B35" w14:paraId="1A2E4977" w14:textId="77777777" w:rsidTr="001A710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16" w:type="dxa"/>
          </w:tcPr>
          <w:p w14:paraId="358B4A37" w14:textId="77777777" w:rsidR="00BE36FB" w:rsidRPr="009B7B35" w:rsidRDefault="00BE36FB" w:rsidP="001A7107">
            <w:pPr>
              <w:pStyle w:val="TableText"/>
              <w:rPr>
                <w:rFonts w:cs="Arial"/>
              </w:rPr>
            </w:pPr>
            <w:r w:rsidRPr="009B7B35">
              <w:rPr>
                <w:rFonts w:cs="Arial"/>
              </w:rPr>
              <w:t>Rural Residential</w:t>
            </w:r>
          </w:p>
        </w:tc>
        <w:tc>
          <w:tcPr>
            <w:tcW w:w="1334" w:type="dxa"/>
          </w:tcPr>
          <w:p w14:paraId="3BAAE69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 </w:t>
            </w:r>
          </w:p>
        </w:tc>
        <w:tc>
          <w:tcPr>
            <w:tcW w:w="1335" w:type="dxa"/>
          </w:tcPr>
          <w:p w14:paraId="265C003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 </w:t>
            </w:r>
          </w:p>
        </w:tc>
        <w:tc>
          <w:tcPr>
            <w:tcW w:w="1335" w:type="dxa"/>
          </w:tcPr>
          <w:p w14:paraId="32806ED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0.4 </w:t>
            </w:r>
          </w:p>
        </w:tc>
        <w:tc>
          <w:tcPr>
            <w:tcW w:w="1335" w:type="dxa"/>
          </w:tcPr>
          <w:p w14:paraId="0429A89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17 </w:t>
            </w:r>
          </w:p>
        </w:tc>
        <w:tc>
          <w:tcPr>
            <w:tcW w:w="1984" w:type="dxa"/>
          </w:tcPr>
          <w:p w14:paraId="4D358B5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t>
            </w:r>
          </w:p>
        </w:tc>
      </w:tr>
      <w:tr w:rsidR="00BE36FB" w:rsidRPr="009B7B35" w14:paraId="1936387E" w14:textId="77777777" w:rsidTr="001A710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16" w:type="dxa"/>
          </w:tcPr>
          <w:p w14:paraId="7CC5260E" w14:textId="77777777" w:rsidR="00BE36FB" w:rsidRPr="009B7B35" w:rsidRDefault="00BE36FB" w:rsidP="001A7107">
            <w:pPr>
              <w:pStyle w:val="TableText"/>
              <w:rPr>
                <w:rFonts w:cs="Arial"/>
              </w:rPr>
            </w:pPr>
            <w:r w:rsidRPr="009B7B35">
              <w:rPr>
                <w:rFonts w:cs="Arial"/>
              </w:rPr>
              <w:t xml:space="preserve">Village </w:t>
            </w:r>
          </w:p>
        </w:tc>
        <w:tc>
          <w:tcPr>
            <w:tcW w:w="1334" w:type="dxa"/>
          </w:tcPr>
          <w:p w14:paraId="3251E06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 </w:t>
            </w:r>
          </w:p>
        </w:tc>
        <w:tc>
          <w:tcPr>
            <w:tcW w:w="1335" w:type="dxa"/>
          </w:tcPr>
          <w:p w14:paraId="0A1A5F8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 </w:t>
            </w:r>
          </w:p>
        </w:tc>
        <w:tc>
          <w:tcPr>
            <w:tcW w:w="1335" w:type="dxa"/>
          </w:tcPr>
          <w:p w14:paraId="30CF99E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0.5 </w:t>
            </w:r>
          </w:p>
        </w:tc>
        <w:tc>
          <w:tcPr>
            <w:tcW w:w="1335" w:type="dxa"/>
          </w:tcPr>
          <w:p w14:paraId="2750274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 </w:t>
            </w:r>
          </w:p>
        </w:tc>
        <w:tc>
          <w:tcPr>
            <w:tcW w:w="1984" w:type="dxa"/>
          </w:tcPr>
          <w:p w14:paraId="48FFD25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r>
      <w:tr w:rsidR="00BE36FB" w:rsidRPr="009B7B35" w14:paraId="4D943F70" w14:textId="77777777" w:rsidTr="001A710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16" w:type="dxa"/>
          </w:tcPr>
          <w:p w14:paraId="5021F32B" w14:textId="77777777" w:rsidR="00BE36FB" w:rsidRPr="009B7B35" w:rsidRDefault="00BE36FB" w:rsidP="001A7107">
            <w:pPr>
              <w:pStyle w:val="TableText"/>
              <w:rPr>
                <w:rFonts w:cs="Arial"/>
              </w:rPr>
            </w:pPr>
            <w:r w:rsidRPr="009B7B35">
              <w:rPr>
                <w:rFonts w:cs="Arial"/>
              </w:rPr>
              <w:t>Residential</w:t>
            </w:r>
          </w:p>
        </w:tc>
        <w:tc>
          <w:tcPr>
            <w:tcW w:w="1334" w:type="dxa"/>
          </w:tcPr>
          <w:p w14:paraId="417A97B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29 </w:t>
            </w:r>
          </w:p>
        </w:tc>
        <w:tc>
          <w:tcPr>
            <w:tcW w:w="1335" w:type="dxa"/>
          </w:tcPr>
          <w:p w14:paraId="171AC17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29 </w:t>
            </w:r>
          </w:p>
        </w:tc>
        <w:tc>
          <w:tcPr>
            <w:tcW w:w="1335" w:type="dxa"/>
          </w:tcPr>
          <w:p w14:paraId="787D9DD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0.6 </w:t>
            </w:r>
          </w:p>
        </w:tc>
        <w:tc>
          <w:tcPr>
            <w:tcW w:w="1335" w:type="dxa"/>
          </w:tcPr>
          <w:p w14:paraId="061E361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 </w:t>
            </w:r>
          </w:p>
        </w:tc>
        <w:tc>
          <w:tcPr>
            <w:tcW w:w="1984" w:type="dxa"/>
          </w:tcPr>
          <w:p w14:paraId="500E3F0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t>
            </w:r>
          </w:p>
        </w:tc>
      </w:tr>
      <w:tr w:rsidR="00BE36FB" w:rsidRPr="009B7B35" w14:paraId="151C34CC" w14:textId="77777777" w:rsidTr="001A710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16" w:type="dxa"/>
          </w:tcPr>
          <w:p w14:paraId="4B52945D" w14:textId="77777777" w:rsidR="00BE36FB" w:rsidRPr="009B7B35" w:rsidRDefault="00BE36FB" w:rsidP="001A7107">
            <w:pPr>
              <w:pStyle w:val="TableText"/>
              <w:rPr>
                <w:rFonts w:cs="Arial"/>
              </w:rPr>
            </w:pPr>
            <w:r w:rsidRPr="009B7B35">
              <w:rPr>
                <w:rFonts w:cs="Arial"/>
              </w:rPr>
              <w:t>Commercial</w:t>
            </w:r>
          </w:p>
        </w:tc>
        <w:tc>
          <w:tcPr>
            <w:tcW w:w="1334" w:type="dxa"/>
          </w:tcPr>
          <w:p w14:paraId="3A12841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 </w:t>
            </w:r>
          </w:p>
        </w:tc>
        <w:tc>
          <w:tcPr>
            <w:tcW w:w="1335" w:type="dxa"/>
          </w:tcPr>
          <w:p w14:paraId="7362F53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 </w:t>
            </w:r>
          </w:p>
        </w:tc>
        <w:tc>
          <w:tcPr>
            <w:tcW w:w="1335" w:type="dxa"/>
          </w:tcPr>
          <w:p w14:paraId="3666576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0.9 </w:t>
            </w:r>
          </w:p>
        </w:tc>
        <w:tc>
          <w:tcPr>
            <w:tcW w:w="1335" w:type="dxa"/>
          </w:tcPr>
          <w:p w14:paraId="0F33362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c>
          <w:tcPr>
            <w:tcW w:w="1984" w:type="dxa"/>
          </w:tcPr>
          <w:p w14:paraId="3AB0363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r>
      <w:tr w:rsidR="00BE36FB" w:rsidRPr="009B7B35" w14:paraId="1B968F6C" w14:textId="77777777" w:rsidTr="001A710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16" w:type="dxa"/>
          </w:tcPr>
          <w:p w14:paraId="762229A8" w14:textId="77777777" w:rsidR="00BE36FB" w:rsidRPr="009B7B35" w:rsidRDefault="00BE36FB" w:rsidP="001A7107">
            <w:pPr>
              <w:pStyle w:val="TableText"/>
              <w:rPr>
                <w:rFonts w:cs="Arial"/>
              </w:rPr>
            </w:pPr>
            <w:r w:rsidRPr="009B7B35">
              <w:rPr>
                <w:rFonts w:cs="Arial"/>
              </w:rPr>
              <w:t>Local Industry</w:t>
            </w:r>
          </w:p>
        </w:tc>
        <w:tc>
          <w:tcPr>
            <w:tcW w:w="1334" w:type="dxa"/>
          </w:tcPr>
          <w:p w14:paraId="17A5110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 </w:t>
            </w:r>
          </w:p>
        </w:tc>
        <w:tc>
          <w:tcPr>
            <w:tcW w:w="1335" w:type="dxa"/>
          </w:tcPr>
          <w:p w14:paraId="328B5B9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 </w:t>
            </w:r>
          </w:p>
        </w:tc>
        <w:tc>
          <w:tcPr>
            <w:tcW w:w="1335" w:type="dxa"/>
          </w:tcPr>
          <w:p w14:paraId="27466B9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0.9 </w:t>
            </w:r>
          </w:p>
        </w:tc>
        <w:tc>
          <w:tcPr>
            <w:tcW w:w="1335" w:type="dxa"/>
          </w:tcPr>
          <w:p w14:paraId="539ADD6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t>
            </w:r>
          </w:p>
        </w:tc>
        <w:tc>
          <w:tcPr>
            <w:tcW w:w="1984" w:type="dxa"/>
          </w:tcPr>
          <w:p w14:paraId="772D2FF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2FA34B20" w14:textId="77777777" w:rsidTr="001A710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16" w:type="dxa"/>
          </w:tcPr>
          <w:p w14:paraId="7A08D09D" w14:textId="77777777" w:rsidR="00BE36FB" w:rsidRPr="009B7B35" w:rsidRDefault="00BE36FB" w:rsidP="001A7107">
            <w:pPr>
              <w:pStyle w:val="TableText"/>
              <w:rPr>
                <w:rFonts w:cs="Arial"/>
              </w:rPr>
            </w:pPr>
            <w:r w:rsidRPr="009B7B35">
              <w:rPr>
                <w:rFonts w:cs="Arial"/>
              </w:rPr>
              <w:t>Other</w:t>
            </w:r>
          </w:p>
        </w:tc>
        <w:tc>
          <w:tcPr>
            <w:tcW w:w="1334" w:type="dxa"/>
          </w:tcPr>
          <w:p w14:paraId="3F38019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c>
          <w:tcPr>
            <w:tcW w:w="1335" w:type="dxa"/>
          </w:tcPr>
          <w:p w14:paraId="62A1965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c>
          <w:tcPr>
            <w:tcW w:w="1335" w:type="dxa"/>
          </w:tcPr>
          <w:p w14:paraId="6C120A1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c>
          <w:tcPr>
            <w:tcW w:w="1335" w:type="dxa"/>
          </w:tcPr>
          <w:p w14:paraId="0B1AA0F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c>
          <w:tcPr>
            <w:tcW w:w="1984" w:type="dxa"/>
          </w:tcPr>
          <w:p w14:paraId="179E515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r>
    </w:tbl>
    <w:p w14:paraId="2685E045" w14:textId="77777777" w:rsidR="00BE36FB" w:rsidRPr="009B7B35" w:rsidRDefault="00BE36FB" w:rsidP="001A7107">
      <w:pPr>
        <w:pStyle w:val="Notes"/>
        <w:rPr>
          <w:rFonts w:cs="Arial"/>
          <w:sz w:val="20"/>
          <w:szCs w:val="20"/>
        </w:rPr>
      </w:pPr>
      <w:r w:rsidRPr="009B7B35">
        <w:rPr>
          <w:rFonts w:cs="Arial"/>
          <w:sz w:val="20"/>
          <w:szCs w:val="20"/>
        </w:rPr>
        <w:t>Notes*—Assessed by Council on a case by case basis</w:t>
      </w:r>
    </w:p>
    <w:p w14:paraId="78F98224" w14:textId="77777777" w:rsidR="00BE36FB" w:rsidRPr="009B7B35" w:rsidRDefault="00BE36FB" w:rsidP="001A7107">
      <w:pPr>
        <w:pStyle w:val="Notes"/>
        <w:rPr>
          <w:rFonts w:cs="Arial"/>
          <w:sz w:val="20"/>
          <w:szCs w:val="20"/>
        </w:rPr>
      </w:pPr>
      <w:r w:rsidRPr="009B7B35">
        <w:rPr>
          <w:rFonts w:cs="Arial"/>
          <w:sz w:val="20"/>
          <w:szCs w:val="20"/>
        </w:rPr>
        <w:t>Notes**—Assessed by Council on a case by case basis due to high variability of demand across different types of commercial and local industry activity</w:t>
      </w:r>
    </w:p>
    <w:p w14:paraId="17029F6F" w14:textId="77777777" w:rsidR="00BE36FB" w:rsidRPr="009B7B35" w:rsidRDefault="00BE36FB" w:rsidP="001A7107">
      <w:pPr>
        <w:pStyle w:val="Heading9"/>
        <w:numPr>
          <w:ilvl w:val="0"/>
          <w:numId w:val="0"/>
        </w:numPr>
        <w:rPr>
          <w:rFonts w:cs="Arial"/>
          <w:sz w:val="20"/>
        </w:rPr>
      </w:pPr>
      <w:r w:rsidRPr="009B7B35">
        <w:rPr>
          <w:rFonts w:cs="Arial"/>
          <w:sz w:val="20"/>
        </w:rPr>
        <w:t>Table SC3.1.5—Existing and projected residential dwellings</w:t>
      </w:r>
    </w:p>
    <w:tbl>
      <w:tblPr>
        <w:tblStyle w:val="Tablestyle"/>
        <w:tblW w:w="9639" w:type="dxa"/>
        <w:tblLayout w:type="fixed"/>
        <w:tblLook w:val="04A0" w:firstRow="1" w:lastRow="0" w:firstColumn="1" w:lastColumn="0" w:noHBand="0" w:noVBand="1"/>
      </w:tblPr>
      <w:tblGrid>
        <w:gridCol w:w="2694"/>
        <w:gridCol w:w="1842"/>
        <w:gridCol w:w="1020"/>
        <w:gridCol w:w="1021"/>
        <w:gridCol w:w="1020"/>
        <w:gridCol w:w="1021"/>
        <w:gridCol w:w="1021"/>
      </w:tblGrid>
      <w:tr w:rsidR="00BE36FB" w:rsidRPr="009B7B35" w14:paraId="3B154A68" w14:textId="77777777" w:rsidTr="001A7107">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5AAB1EA5" w14:textId="77777777" w:rsidR="00BE36FB" w:rsidRPr="009B7B35" w:rsidRDefault="00BE36FB" w:rsidP="001A7107">
            <w:pPr>
              <w:pStyle w:val="Tableheading"/>
              <w:rPr>
                <w:rFonts w:ascii="Arial" w:hAnsi="Arial" w:cs="Arial"/>
                <w:szCs w:val="20"/>
              </w:rPr>
            </w:pPr>
            <w:r w:rsidRPr="009B7B35">
              <w:rPr>
                <w:rFonts w:ascii="Arial" w:hAnsi="Arial" w:cs="Arial"/>
                <w:szCs w:val="20"/>
              </w:rPr>
              <w:t>Column 1</w:t>
            </w:r>
          </w:p>
          <w:p w14:paraId="71C3780E" w14:textId="77777777" w:rsidR="00BE36FB" w:rsidRPr="009B7B35" w:rsidRDefault="00BE36FB" w:rsidP="001A7107">
            <w:pPr>
              <w:pStyle w:val="Tableheading"/>
              <w:rPr>
                <w:rFonts w:ascii="Arial" w:hAnsi="Arial" w:cs="Arial"/>
                <w:szCs w:val="20"/>
              </w:rPr>
            </w:pPr>
            <w:r w:rsidRPr="009B7B35">
              <w:rPr>
                <w:rFonts w:ascii="Arial" w:hAnsi="Arial" w:cs="Arial"/>
                <w:szCs w:val="20"/>
              </w:rPr>
              <w:t>Projection area</w:t>
            </w:r>
          </w:p>
        </w:tc>
        <w:tc>
          <w:tcPr>
            <w:tcW w:w="1842" w:type="dxa"/>
            <w:vMerge w:val="restart"/>
          </w:tcPr>
          <w:p w14:paraId="72E1A24D"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Column 2</w:t>
            </w:r>
          </w:p>
          <w:p w14:paraId="551C4F7E"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LGIP development type</w:t>
            </w:r>
          </w:p>
        </w:tc>
        <w:tc>
          <w:tcPr>
            <w:tcW w:w="5103" w:type="dxa"/>
            <w:gridSpan w:val="5"/>
          </w:tcPr>
          <w:p w14:paraId="3A2287CA"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Column 3</w:t>
            </w:r>
          </w:p>
          <w:p w14:paraId="59C02341"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Existing and projected dwellings</w:t>
            </w:r>
          </w:p>
        </w:tc>
      </w:tr>
      <w:tr w:rsidR="00BE36FB" w:rsidRPr="009B7B35" w14:paraId="292D04D1" w14:textId="77777777" w:rsidTr="001A71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vMerge/>
          </w:tcPr>
          <w:p w14:paraId="3AD450CC" w14:textId="77777777" w:rsidR="00BE36FB" w:rsidRPr="009B7B35" w:rsidRDefault="00BE36FB" w:rsidP="001A7107">
            <w:pPr>
              <w:pStyle w:val="Tableheading"/>
              <w:rPr>
                <w:rFonts w:ascii="Arial" w:hAnsi="Arial" w:cs="Arial"/>
                <w:szCs w:val="20"/>
              </w:rPr>
            </w:pPr>
          </w:p>
        </w:tc>
        <w:tc>
          <w:tcPr>
            <w:tcW w:w="1842" w:type="dxa"/>
            <w:vMerge/>
          </w:tcPr>
          <w:p w14:paraId="7E2C73DA"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p>
        </w:tc>
        <w:tc>
          <w:tcPr>
            <w:tcW w:w="1020" w:type="dxa"/>
            <w:shd w:val="clear" w:color="auto" w:fill="BFBFBF" w:themeFill="background1" w:themeFillShade="BF"/>
          </w:tcPr>
          <w:p w14:paraId="0A6578EC"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2011</w:t>
            </w:r>
          </w:p>
        </w:tc>
        <w:tc>
          <w:tcPr>
            <w:tcW w:w="1021" w:type="dxa"/>
            <w:shd w:val="clear" w:color="auto" w:fill="BFBFBF" w:themeFill="background1" w:themeFillShade="BF"/>
          </w:tcPr>
          <w:p w14:paraId="71DC999F"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2016</w:t>
            </w:r>
          </w:p>
        </w:tc>
        <w:tc>
          <w:tcPr>
            <w:tcW w:w="1020" w:type="dxa"/>
            <w:shd w:val="clear" w:color="auto" w:fill="BFBFBF" w:themeFill="background1" w:themeFillShade="BF"/>
          </w:tcPr>
          <w:p w14:paraId="36FE6931"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2021</w:t>
            </w:r>
          </w:p>
        </w:tc>
        <w:tc>
          <w:tcPr>
            <w:tcW w:w="1021" w:type="dxa"/>
            <w:shd w:val="clear" w:color="auto" w:fill="BFBFBF" w:themeFill="background1" w:themeFillShade="BF"/>
          </w:tcPr>
          <w:p w14:paraId="59163D2A"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2026</w:t>
            </w:r>
          </w:p>
        </w:tc>
        <w:tc>
          <w:tcPr>
            <w:tcW w:w="1021" w:type="dxa"/>
            <w:shd w:val="clear" w:color="auto" w:fill="BFBFBF" w:themeFill="background1" w:themeFillShade="BF"/>
          </w:tcPr>
          <w:p w14:paraId="45354F39"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2031</w:t>
            </w:r>
          </w:p>
        </w:tc>
      </w:tr>
      <w:tr w:rsidR="00BE36FB" w:rsidRPr="009B7B35" w14:paraId="383B29F6"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3F1E87DD" w14:textId="77777777" w:rsidR="00BE36FB" w:rsidRPr="009B7B35" w:rsidRDefault="00BE36FB" w:rsidP="001A7107">
            <w:pPr>
              <w:pStyle w:val="TableText"/>
              <w:rPr>
                <w:rFonts w:cs="Arial"/>
              </w:rPr>
            </w:pPr>
            <w:r w:rsidRPr="009B7B35">
              <w:rPr>
                <w:rFonts w:cs="Arial"/>
              </w:rPr>
              <w:t>Gladstone (Previously South Gladstone, Barney Point and CBD)</w:t>
            </w:r>
          </w:p>
        </w:tc>
        <w:tc>
          <w:tcPr>
            <w:tcW w:w="1842" w:type="dxa"/>
          </w:tcPr>
          <w:p w14:paraId="114EFD22"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14:paraId="1E51BEA5"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2,266 </w:t>
            </w:r>
          </w:p>
        </w:tc>
        <w:tc>
          <w:tcPr>
            <w:tcW w:w="1021" w:type="dxa"/>
          </w:tcPr>
          <w:p w14:paraId="410B89BF"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2,660 </w:t>
            </w:r>
          </w:p>
        </w:tc>
        <w:tc>
          <w:tcPr>
            <w:tcW w:w="1020" w:type="dxa"/>
          </w:tcPr>
          <w:p w14:paraId="72B03B00"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3,171 </w:t>
            </w:r>
          </w:p>
        </w:tc>
        <w:tc>
          <w:tcPr>
            <w:tcW w:w="1021" w:type="dxa"/>
          </w:tcPr>
          <w:p w14:paraId="6DD46E4D"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3,448 </w:t>
            </w:r>
          </w:p>
        </w:tc>
        <w:tc>
          <w:tcPr>
            <w:tcW w:w="1021" w:type="dxa"/>
          </w:tcPr>
          <w:p w14:paraId="09987131"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3,744 </w:t>
            </w:r>
          </w:p>
        </w:tc>
      </w:tr>
      <w:tr w:rsidR="00BE36FB" w:rsidRPr="009B7B35" w14:paraId="2A501992" w14:textId="77777777"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50C58EF1" w14:textId="77777777" w:rsidR="00BE36FB" w:rsidRPr="009B7B35" w:rsidRDefault="00BE36FB" w:rsidP="001A7107">
            <w:pPr>
              <w:pStyle w:val="TableText"/>
              <w:rPr>
                <w:rFonts w:cs="Arial"/>
              </w:rPr>
            </w:pPr>
          </w:p>
        </w:tc>
        <w:tc>
          <w:tcPr>
            <w:tcW w:w="1842" w:type="dxa"/>
          </w:tcPr>
          <w:p w14:paraId="4609A5D1"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14:paraId="7B2B1CD6"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403 </w:t>
            </w:r>
          </w:p>
        </w:tc>
        <w:tc>
          <w:tcPr>
            <w:tcW w:w="1021" w:type="dxa"/>
          </w:tcPr>
          <w:p w14:paraId="3FFE3CBF"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473 </w:t>
            </w:r>
          </w:p>
        </w:tc>
        <w:tc>
          <w:tcPr>
            <w:tcW w:w="1020" w:type="dxa"/>
          </w:tcPr>
          <w:p w14:paraId="176D40BC"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564 </w:t>
            </w:r>
          </w:p>
        </w:tc>
        <w:tc>
          <w:tcPr>
            <w:tcW w:w="1021" w:type="dxa"/>
          </w:tcPr>
          <w:p w14:paraId="55591B80"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613 </w:t>
            </w:r>
          </w:p>
        </w:tc>
        <w:tc>
          <w:tcPr>
            <w:tcW w:w="1021" w:type="dxa"/>
          </w:tcPr>
          <w:p w14:paraId="5680E7F9"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666 </w:t>
            </w:r>
          </w:p>
        </w:tc>
      </w:tr>
      <w:tr w:rsidR="00BE36FB" w:rsidRPr="009B7B35" w14:paraId="247B73B3"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14:paraId="5DF1AEE8" w14:textId="77777777" w:rsidR="00BE36FB" w:rsidRPr="009B7B35" w:rsidRDefault="00BE36FB" w:rsidP="001A7107">
            <w:pPr>
              <w:pStyle w:val="TableText"/>
              <w:rPr>
                <w:rFonts w:cs="Arial"/>
              </w:rPr>
            </w:pPr>
          </w:p>
        </w:tc>
        <w:tc>
          <w:tcPr>
            <w:tcW w:w="1842" w:type="dxa"/>
          </w:tcPr>
          <w:p w14:paraId="1BCFF551"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1402E1A5"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85 </w:t>
            </w:r>
          </w:p>
        </w:tc>
        <w:tc>
          <w:tcPr>
            <w:tcW w:w="1021" w:type="dxa"/>
          </w:tcPr>
          <w:p w14:paraId="4D9739C7"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 </w:t>
            </w:r>
          </w:p>
        </w:tc>
        <w:tc>
          <w:tcPr>
            <w:tcW w:w="1020" w:type="dxa"/>
          </w:tcPr>
          <w:p w14:paraId="3D906208"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119 </w:t>
            </w:r>
          </w:p>
        </w:tc>
        <w:tc>
          <w:tcPr>
            <w:tcW w:w="1021" w:type="dxa"/>
          </w:tcPr>
          <w:p w14:paraId="670DA578"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129 </w:t>
            </w:r>
          </w:p>
        </w:tc>
        <w:tc>
          <w:tcPr>
            <w:tcW w:w="1021" w:type="dxa"/>
          </w:tcPr>
          <w:p w14:paraId="1191E143"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140 </w:t>
            </w:r>
          </w:p>
        </w:tc>
      </w:tr>
      <w:tr w:rsidR="00BE36FB" w:rsidRPr="009B7B35" w14:paraId="0D26CA51" w14:textId="77777777" w:rsidTr="001A7107">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2694" w:type="dxa"/>
            <w:vMerge/>
          </w:tcPr>
          <w:p w14:paraId="2F1261E3" w14:textId="77777777" w:rsidR="00BE36FB" w:rsidRPr="009B7B35" w:rsidRDefault="00BE36FB" w:rsidP="001A7107">
            <w:pPr>
              <w:pStyle w:val="TableText"/>
              <w:rPr>
                <w:rFonts w:cs="Arial"/>
              </w:rPr>
            </w:pPr>
          </w:p>
        </w:tc>
        <w:tc>
          <w:tcPr>
            <w:tcW w:w="1842" w:type="dxa"/>
          </w:tcPr>
          <w:p w14:paraId="6F41FC5B"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14:paraId="517B266B"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2,754</w:t>
            </w:r>
          </w:p>
        </w:tc>
        <w:tc>
          <w:tcPr>
            <w:tcW w:w="1021" w:type="dxa"/>
          </w:tcPr>
          <w:p w14:paraId="7C7DBE58"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3,233</w:t>
            </w:r>
          </w:p>
        </w:tc>
        <w:tc>
          <w:tcPr>
            <w:tcW w:w="1020" w:type="dxa"/>
          </w:tcPr>
          <w:p w14:paraId="7EFC3040"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3,855</w:t>
            </w:r>
          </w:p>
        </w:tc>
        <w:tc>
          <w:tcPr>
            <w:tcW w:w="1021" w:type="dxa"/>
          </w:tcPr>
          <w:p w14:paraId="2BD3F1E0"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4,190</w:t>
            </w:r>
          </w:p>
        </w:tc>
        <w:tc>
          <w:tcPr>
            <w:tcW w:w="1021" w:type="dxa"/>
          </w:tcPr>
          <w:p w14:paraId="7CF2E421"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4,550</w:t>
            </w:r>
          </w:p>
        </w:tc>
      </w:tr>
      <w:tr w:rsidR="00BE36FB" w:rsidRPr="009B7B35" w14:paraId="12C47A0C"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242C3083" w14:textId="77777777" w:rsidR="00BE36FB" w:rsidRPr="009B7B35" w:rsidRDefault="00BE36FB" w:rsidP="001A7107">
            <w:pPr>
              <w:pStyle w:val="TableText"/>
              <w:rPr>
                <w:rFonts w:cs="Arial"/>
              </w:rPr>
            </w:pPr>
            <w:r w:rsidRPr="009B7B35">
              <w:rPr>
                <w:rFonts w:cs="Arial"/>
              </w:rPr>
              <w:t xml:space="preserve">West Gladstone </w:t>
            </w:r>
          </w:p>
        </w:tc>
        <w:tc>
          <w:tcPr>
            <w:tcW w:w="1842" w:type="dxa"/>
          </w:tcPr>
          <w:p w14:paraId="4E4DD613"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14:paraId="1B1A717E"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1,866 </w:t>
            </w:r>
          </w:p>
        </w:tc>
        <w:tc>
          <w:tcPr>
            <w:tcW w:w="1021" w:type="dxa"/>
          </w:tcPr>
          <w:p w14:paraId="6080B966"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2,143 </w:t>
            </w:r>
          </w:p>
        </w:tc>
        <w:tc>
          <w:tcPr>
            <w:tcW w:w="1020" w:type="dxa"/>
          </w:tcPr>
          <w:p w14:paraId="45557AF6"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2,644 </w:t>
            </w:r>
          </w:p>
        </w:tc>
        <w:tc>
          <w:tcPr>
            <w:tcW w:w="1021" w:type="dxa"/>
          </w:tcPr>
          <w:p w14:paraId="7B5B0156"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2,953 </w:t>
            </w:r>
          </w:p>
        </w:tc>
        <w:tc>
          <w:tcPr>
            <w:tcW w:w="1021" w:type="dxa"/>
          </w:tcPr>
          <w:p w14:paraId="6D4F3581"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3,151 </w:t>
            </w:r>
          </w:p>
        </w:tc>
      </w:tr>
      <w:tr w:rsidR="00BE36FB" w:rsidRPr="009B7B35" w14:paraId="088C71A8"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168ACC4B" w14:textId="77777777" w:rsidR="00BE36FB" w:rsidRPr="009B7B35" w:rsidRDefault="00BE36FB" w:rsidP="001A7107">
            <w:pPr>
              <w:pStyle w:val="TableText"/>
              <w:rPr>
                <w:rFonts w:cs="Arial"/>
              </w:rPr>
            </w:pPr>
          </w:p>
        </w:tc>
        <w:tc>
          <w:tcPr>
            <w:tcW w:w="1842" w:type="dxa"/>
          </w:tcPr>
          <w:p w14:paraId="65CC19FB"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14:paraId="620DAFFD"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332 </w:t>
            </w:r>
          </w:p>
        </w:tc>
        <w:tc>
          <w:tcPr>
            <w:tcW w:w="1021" w:type="dxa"/>
          </w:tcPr>
          <w:p w14:paraId="422555C6"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381 </w:t>
            </w:r>
          </w:p>
        </w:tc>
        <w:tc>
          <w:tcPr>
            <w:tcW w:w="1020" w:type="dxa"/>
          </w:tcPr>
          <w:p w14:paraId="2D58771B"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470 </w:t>
            </w:r>
          </w:p>
        </w:tc>
        <w:tc>
          <w:tcPr>
            <w:tcW w:w="1021" w:type="dxa"/>
          </w:tcPr>
          <w:p w14:paraId="35DE090C"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525 </w:t>
            </w:r>
          </w:p>
        </w:tc>
        <w:tc>
          <w:tcPr>
            <w:tcW w:w="1021" w:type="dxa"/>
          </w:tcPr>
          <w:p w14:paraId="220DDAB7"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560 </w:t>
            </w:r>
          </w:p>
        </w:tc>
      </w:tr>
      <w:tr w:rsidR="00BE36FB" w:rsidRPr="009B7B35" w14:paraId="1E1DBBFE" w14:textId="77777777" w:rsidTr="001A7107">
        <w:trPr>
          <w:cnfStyle w:val="000000010000" w:firstRow="0" w:lastRow="0" w:firstColumn="0" w:lastColumn="0" w:oddVBand="0" w:evenVBand="0" w:oddHBand="0" w:evenHBand="1"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694" w:type="dxa"/>
            <w:vMerge/>
          </w:tcPr>
          <w:p w14:paraId="0EF0DEF9" w14:textId="77777777" w:rsidR="00BE36FB" w:rsidRPr="009B7B35" w:rsidRDefault="00BE36FB" w:rsidP="001A7107">
            <w:pPr>
              <w:pStyle w:val="TableText"/>
              <w:rPr>
                <w:rFonts w:cs="Arial"/>
              </w:rPr>
            </w:pPr>
          </w:p>
        </w:tc>
        <w:tc>
          <w:tcPr>
            <w:tcW w:w="1842" w:type="dxa"/>
          </w:tcPr>
          <w:p w14:paraId="49A6BEFD"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1CF9C328"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70 </w:t>
            </w:r>
          </w:p>
        </w:tc>
        <w:tc>
          <w:tcPr>
            <w:tcW w:w="1021" w:type="dxa"/>
          </w:tcPr>
          <w:p w14:paraId="34C0A7CE"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80 </w:t>
            </w:r>
          </w:p>
        </w:tc>
        <w:tc>
          <w:tcPr>
            <w:tcW w:w="1020" w:type="dxa"/>
          </w:tcPr>
          <w:p w14:paraId="5DF24E3E"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99 </w:t>
            </w:r>
          </w:p>
        </w:tc>
        <w:tc>
          <w:tcPr>
            <w:tcW w:w="1021" w:type="dxa"/>
          </w:tcPr>
          <w:p w14:paraId="33B09A82"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111 </w:t>
            </w:r>
          </w:p>
        </w:tc>
        <w:tc>
          <w:tcPr>
            <w:tcW w:w="1021" w:type="dxa"/>
          </w:tcPr>
          <w:p w14:paraId="19243BFB"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118 </w:t>
            </w:r>
          </w:p>
        </w:tc>
      </w:tr>
      <w:tr w:rsidR="00BE36FB" w:rsidRPr="009B7B35" w14:paraId="6E088A18" w14:textId="77777777"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14:paraId="75C1AE66" w14:textId="77777777" w:rsidR="00BE36FB" w:rsidRPr="009B7B35" w:rsidRDefault="00BE36FB" w:rsidP="001A7107">
            <w:pPr>
              <w:pStyle w:val="TableText"/>
              <w:rPr>
                <w:rFonts w:cs="Arial"/>
              </w:rPr>
            </w:pPr>
          </w:p>
        </w:tc>
        <w:tc>
          <w:tcPr>
            <w:tcW w:w="1842" w:type="dxa"/>
          </w:tcPr>
          <w:p w14:paraId="224C88ED"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14:paraId="6D2DA7F7"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2,268</w:t>
            </w:r>
          </w:p>
        </w:tc>
        <w:tc>
          <w:tcPr>
            <w:tcW w:w="1021" w:type="dxa"/>
          </w:tcPr>
          <w:p w14:paraId="0B918D98"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2,605</w:t>
            </w:r>
          </w:p>
        </w:tc>
        <w:tc>
          <w:tcPr>
            <w:tcW w:w="1020" w:type="dxa"/>
          </w:tcPr>
          <w:p w14:paraId="69F1B232"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3,213</w:t>
            </w:r>
          </w:p>
        </w:tc>
        <w:tc>
          <w:tcPr>
            <w:tcW w:w="1021" w:type="dxa"/>
          </w:tcPr>
          <w:p w14:paraId="784E07EB"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3,589</w:t>
            </w:r>
          </w:p>
        </w:tc>
        <w:tc>
          <w:tcPr>
            <w:tcW w:w="1021" w:type="dxa"/>
          </w:tcPr>
          <w:p w14:paraId="6492C7D1"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3,829</w:t>
            </w:r>
          </w:p>
        </w:tc>
      </w:tr>
      <w:tr w:rsidR="00BE36FB" w:rsidRPr="009B7B35" w14:paraId="5CA2BDBB"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58A6AD82" w14:textId="77777777" w:rsidR="00BE36FB" w:rsidRPr="009B7B35" w:rsidRDefault="00BE36FB" w:rsidP="001A7107">
            <w:pPr>
              <w:pStyle w:val="TableText"/>
              <w:rPr>
                <w:rFonts w:cs="Arial"/>
              </w:rPr>
            </w:pPr>
            <w:r w:rsidRPr="009B7B35">
              <w:rPr>
                <w:rFonts w:cs="Arial"/>
              </w:rPr>
              <w:t>Kin Kora – Sun Valley</w:t>
            </w:r>
          </w:p>
        </w:tc>
        <w:tc>
          <w:tcPr>
            <w:tcW w:w="1842" w:type="dxa"/>
          </w:tcPr>
          <w:p w14:paraId="0D5B388F"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14:paraId="7F9581BD"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1,483 </w:t>
            </w:r>
          </w:p>
        </w:tc>
        <w:tc>
          <w:tcPr>
            <w:tcW w:w="1021" w:type="dxa"/>
          </w:tcPr>
          <w:p w14:paraId="259F2DEB"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1,598 </w:t>
            </w:r>
          </w:p>
        </w:tc>
        <w:tc>
          <w:tcPr>
            <w:tcW w:w="1020" w:type="dxa"/>
          </w:tcPr>
          <w:p w14:paraId="66B14664"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1,802 </w:t>
            </w:r>
          </w:p>
        </w:tc>
        <w:tc>
          <w:tcPr>
            <w:tcW w:w="1021" w:type="dxa"/>
          </w:tcPr>
          <w:p w14:paraId="39E6691C"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2,326 </w:t>
            </w:r>
          </w:p>
        </w:tc>
        <w:tc>
          <w:tcPr>
            <w:tcW w:w="1021" w:type="dxa"/>
          </w:tcPr>
          <w:p w14:paraId="575B1789"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2,839 </w:t>
            </w:r>
          </w:p>
        </w:tc>
      </w:tr>
      <w:tr w:rsidR="00BE36FB" w:rsidRPr="009B7B35" w14:paraId="69D550DE" w14:textId="77777777"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6A559C67" w14:textId="77777777" w:rsidR="00BE36FB" w:rsidRPr="009B7B35" w:rsidRDefault="00BE36FB" w:rsidP="001A7107">
            <w:pPr>
              <w:pStyle w:val="TableText"/>
              <w:rPr>
                <w:rFonts w:cs="Arial"/>
              </w:rPr>
            </w:pPr>
          </w:p>
        </w:tc>
        <w:tc>
          <w:tcPr>
            <w:tcW w:w="1842" w:type="dxa"/>
          </w:tcPr>
          <w:p w14:paraId="715E03B7"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14:paraId="3EC17DB0"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264 </w:t>
            </w:r>
          </w:p>
        </w:tc>
        <w:tc>
          <w:tcPr>
            <w:tcW w:w="1021" w:type="dxa"/>
          </w:tcPr>
          <w:p w14:paraId="1FFFACAB"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284 </w:t>
            </w:r>
          </w:p>
        </w:tc>
        <w:tc>
          <w:tcPr>
            <w:tcW w:w="1020" w:type="dxa"/>
          </w:tcPr>
          <w:p w14:paraId="2E8FECE5"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321 </w:t>
            </w:r>
          </w:p>
        </w:tc>
        <w:tc>
          <w:tcPr>
            <w:tcW w:w="1021" w:type="dxa"/>
          </w:tcPr>
          <w:p w14:paraId="627FDFB0"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414 </w:t>
            </w:r>
          </w:p>
        </w:tc>
        <w:tc>
          <w:tcPr>
            <w:tcW w:w="1021" w:type="dxa"/>
          </w:tcPr>
          <w:p w14:paraId="5EB53C40"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505 </w:t>
            </w:r>
          </w:p>
        </w:tc>
      </w:tr>
      <w:tr w:rsidR="00BE36FB" w:rsidRPr="009B7B35" w14:paraId="6B0D462A"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14:paraId="378C4AE3" w14:textId="77777777" w:rsidR="00BE36FB" w:rsidRPr="009B7B35" w:rsidRDefault="00BE36FB" w:rsidP="001A7107">
            <w:pPr>
              <w:pStyle w:val="TableText"/>
              <w:rPr>
                <w:rFonts w:cs="Arial"/>
              </w:rPr>
            </w:pPr>
          </w:p>
        </w:tc>
        <w:tc>
          <w:tcPr>
            <w:tcW w:w="1842" w:type="dxa"/>
          </w:tcPr>
          <w:p w14:paraId="1C21B212"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53B91A94"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56 </w:t>
            </w:r>
          </w:p>
        </w:tc>
        <w:tc>
          <w:tcPr>
            <w:tcW w:w="1021" w:type="dxa"/>
          </w:tcPr>
          <w:p w14:paraId="7F3D88E3"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60 </w:t>
            </w:r>
          </w:p>
        </w:tc>
        <w:tc>
          <w:tcPr>
            <w:tcW w:w="1020" w:type="dxa"/>
          </w:tcPr>
          <w:p w14:paraId="76B96698"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68 </w:t>
            </w:r>
          </w:p>
        </w:tc>
        <w:tc>
          <w:tcPr>
            <w:tcW w:w="1021" w:type="dxa"/>
          </w:tcPr>
          <w:p w14:paraId="41A1D86B"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87 </w:t>
            </w:r>
          </w:p>
        </w:tc>
        <w:tc>
          <w:tcPr>
            <w:tcW w:w="1021" w:type="dxa"/>
          </w:tcPr>
          <w:p w14:paraId="78F85CCE"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106 </w:t>
            </w:r>
          </w:p>
        </w:tc>
      </w:tr>
      <w:tr w:rsidR="00BE36FB" w:rsidRPr="009B7B35" w14:paraId="5D7BD3A7" w14:textId="77777777"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694" w:type="dxa"/>
            <w:vMerge/>
          </w:tcPr>
          <w:p w14:paraId="7749B8DC" w14:textId="77777777" w:rsidR="00BE36FB" w:rsidRPr="009B7B35" w:rsidRDefault="00BE36FB" w:rsidP="001A7107">
            <w:pPr>
              <w:pStyle w:val="TableText"/>
              <w:rPr>
                <w:rFonts w:cs="Arial"/>
              </w:rPr>
            </w:pPr>
          </w:p>
        </w:tc>
        <w:tc>
          <w:tcPr>
            <w:tcW w:w="1842" w:type="dxa"/>
          </w:tcPr>
          <w:p w14:paraId="6245B6A6"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14:paraId="277CD958"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1,802</w:t>
            </w:r>
          </w:p>
        </w:tc>
        <w:tc>
          <w:tcPr>
            <w:tcW w:w="1021" w:type="dxa"/>
          </w:tcPr>
          <w:p w14:paraId="7BAAD30A"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1,942</w:t>
            </w:r>
          </w:p>
        </w:tc>
        <w:tc>
          <w:tcPr>
            <w:tcW w:w="1020" w:type="dxa"/>
          </w:tcPr>
          <w:p w14:paraId="636F312C"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2,190</w:t>
            </w:r>
          </w:p>
        </w:tc>
        <w:tc>
          <w:tcPr>
            <w:tcW w:w="1021" w:type="dxa"/>
          </w:tcPr>
          <w:p w14:paraId="3BBE5FA4"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2,826</w:t>
            </w:r>
          </w:p>
        </w:tc>
        <w:tc>
          <w:tcPr>
            <w:tcW w:w="1021" w:type="dxa"/>
          </w:tcPr>
          <w:p w14:paraId="1167FDAF"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3,450</w:t>
            </w:r>
          </w:p>
        </w:tc>
      </w:tr>
      <w:tr w:rsidR="00BE36FB" w:rsidRPr="009B7B35" w14:paraId="5E1C4DDD"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72738688" w14:textId="77777777" w:rsidR="00BE36FB" w:rsidRPr="009B7B35" w:rsidRDefault="00BE36FB" w:rsidP="001A7107">
            <w:pPr>
              <w:pStyle w:val="TableText"/>
              <w:rPr>
                <w:rFonts w:cs="Arial"/>
              </w:rPr>
            </w:pPr>
            <w:r w:rsidRPr="009B7B35">
              <w:rPr>
                <w:rFonts w:cs="Arial"/>
              </w:rPr>
              <w:t>Telina – Sth Trees – Glen Eden – Tooloola – O'Connell</w:t>
            </w:r>
          </w:p>
        </w:tc>
        <w:tc>
          <w:tcPr>
            <w:tcW w:w="1842" w:type="dxa"/>
          </w:tcPr>
          <w:p w14:paraId="54FCF994"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14:paraId="07FF8B72"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1,988 </w:t>
            </w:r>
          </w:p>
        </w:tc>
        <w:tc>
          <w:tcPr>
            <w:tcW w:w="1021" w:type="dxa"/>
          </w:tcPr>
          <w:p w14:paraId="71953E5F"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2,316 </w:t>
            </w:r>
          </w:p>
        </w:tc>
        <w:tc>
          <w:tcPr>
            <w:tcW w:w="1020" w:type="dxa"/>
          </w:tcPr>
          <w:p w14:paraId="0586B7EE"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2,483 </w:t>
            </w:r>
          </w:p>
        </w:tc>
        <w:tc>
          <w:tcPr>
            <w:tcW w:w="1021" w:type="dxa"/>
          </w:tcPr>
          <w:p w14:paraId="1C4ACADA"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2,510 </w:t>
            </w:r>
          </w:p>
        </w:tc>
        <w:tc>
          <w:tcPr>
            <w:tcW w:w="1021" w:type="dxa"/>
          </w:tcPr>
          <w:p w14:paraId="7C54D92B"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2,519 </w:t>
            </w:r>
          </w:p>
        </w:tc>
      </w:tr>
      <w:tr w:rsidR="00BE36FB" w:rsidRPr="009B7B35" w14:paraId="631C650A" w14:textId="77777777"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7EE4123D" w14:textId="77777777" w:rsidR="00BE36FB" w:rsidRPr="009B7B35" w:rsidRDefault="00BE36FB" w:rsidP="001A7107">
            <w:pPr>
              <w:pStyle w:val="TableText"/>
              <w:rPr>
                <w:rFonts w:cs="Arial"/>
              </w:rPr>
            </w:pPr>
          </w:p>
        </w:tc>
        <w:tc>
          <w:tcPr>
            <w:tcW w:w="1842" w:type="dxa"/>
          </w:tcPr>
          <w:p w14:paraId="0E9CB123"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14:paraId="2C4452AC"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354 </w:t>
            </w:r>
          </w:p>
        </w:tc>
        <w:tc>
          <w:tcPr>
            <w:tcW w:w="1021" w:type="dxa"/>
          </w:tcPr>
          <w:p w14:paraId="54246AD9"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412 </w:t>
            </w:r>
          </w:p>
        </w:tc>
        <w:tc>
          <w:tcPr>
            <w:tcW w:w="1020" w:type="dxa"/>
          </w:tcPr>
          <w:p w14:paraId="1423E2EC"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442 </w:t>
            </w:r>
          </w:p>
        </w:tc>
        <w:tc>
          <w:tcPr>
            <w:tcW w:w="1021" w:type="dxa"/>
          </w:tcPr>
          <w:p w14:paraId="3FC53447"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447 </w:t>
            </w:r>
          </w:p>
        </w:tc>
        <w:tc>
          <w:tcPr>
            <w:tcW w:w="1021" w:type="dxa"/>
          </w:tcPr>
          <w:p w14:paraId="0B7358A5"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448 </w:t>
            </w:r>
          </w:p>
        </w:tc>
      </w:tr>
      <w:tr w:rsidR="00BE36FB" w:rsidRPr="009B7B35" w14:paraId="7C73F835"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14:paraId="535D2C30" w14:textId="77777777" w:rsidR="00BE36FB" w:rsidRPr="009B7B35" w:rsidRDefault="00BE36FB" w:rsidP="001A7107">
            <w:pPr>
              <w:pStyle w:val="TableText"/>
              <w:rPr>
                <w:rFonts w:cs="Arial"/>
              </w:rPr>
            </w:pPr>
          </w:p>
        </w:tc>
        <w:tc>
          <w:tcPr>
            <w:tcW w:w="1842" w:type="dxa"/>
          </w:tcPr>
          <w:p w14:paraId="38751B6F"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7FAA3DAC"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75 </w:t>
            </w:r>
          </w:p>
        </w:tc>
        <w:tc>
          <w:tcPr>
            <w:tcW w:w="1021" w:type="dxa"/>
          </w:tcPr>
          <w:p w14:paraId="410CF335"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87 </w:t>
            </w:r>
          </w:p>
        </w:tc>
        <w:tc>
          <w:tcPr>
            <w:tcW w:w="1020" w:type="dxa"/>
          </w:tcPr>
          <w:p w14:paraId="28DB1EAF"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93 </w:t>
            </w:r>
          </w:p>
        </w:tc>
        <w:tc>
          <w:tcPr>
            <w:tcW w:w="1021" w:type="dxa"/>
          </w:tcPr>
          <w:p w14:paraId="7934DEA9"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94 </w:t>
            </w:r>
          </w:p>
        </w:tc>
        <w:tc>
          <w:tcPr>
            <w:tcW w:w="1021" w:type="dxa"/>
          </w:tcPr>
          <w:p w14:paraId="7C4EF758"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94 </w:t>
            </w:r>
          </w:p>
        </w:tc>
      </w:tr>
      <w:tr w:rsidR="00BE36FB" w:rsidRPr="009B7B35" w14:paraId="49831CA6" w14:textId="77777777" w:rsidTr="001A7107">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2694" w:type="dxa"/>
            <w:vMerge/>
          </w:tcPr>
          <w:p w14:paraId="0805F23B" w14:textId="77777777" w:rsidR="00BE36FB" w:rsidRPr="009B7B35" w:rsidRDefault="00BE36FB" w:rsidP="001A7107">
            <w:pPr>
              <w:pStyle w:val="TableText"/>
              <w:rPr>
                <w:rFonts w:cs="Arial"/>
              </w:rPr>
            </w:pPr>
          </w:p>
        </w:tc>
        <w:tc>
          <w:tcPr>
            <w:tcW w:w="1842" w:type="dxa"/>
          </w:tcPr>
          <w:p w14:paraId="672A8757"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14:paraId="65970080"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2,416</w:t>
            </w:r>
          </w:p>
        </w:tc>
        <w:tc>
          <w:tcPr>
            <w:tcW w:w="1021" w:type="dxa"/>
          </w:tcPr>
          <w:p w14:paraId="6CFB1DEA"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2,815</w:t>
            </w:r>
          </w:p>
        </w:tc>
        <w:tc>
          <w:tcPr>
            <w:tcW w:w="1020" w:type="dxa"/>
          </w:tcPr>
          <w:p w14:paraId="78B79E07"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3,017</w:t>
            </w:r>
          </w:p>
        </w:tc>
        <w:tc>
          <w:tcPr>
            <w:tcW w:w="1021" w:type="dxa"/>
          </w:tcPr>
          <w:p w14:paraId="373674D8"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3,051</w:t>
            </w:r>
          </w:p>
        </w:tc>
        <w:tc>
          <w:tcPr>
            <w:tcW w:w="1021" w:type="dxa"/>
          </w:tcPr>
          <w:p w14:paraId="3F2D5783"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3,061</w:t>
            </w:r>
          </w:p>
        </w:tc>
      </w:tr>
      <w:tr w:rsidR="00BE36FB" w:rsidRPr="009B7B35" w14:paraId="4F660831"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45EEE0E6" w14:textId="77777777" w:rsidR="00BE36FB" w:rsidRPr="009B7B35" w:rsidRDefault="00BE36FB" w:rsidP="001A7107">
            <w:pPr>
              <w:pStyle w:val="TableText"/>
              <w:rPr>
                <w:rFonts w:cs="Arial"/>
              </w:rPr>
            </w:pPr>
            <w:r w:rsidRPr="009B7B35">
              <w:rPr>
                <w:rFonts w:cs="Arial"/>
              </w:rPr>
              <w:t>Calemondah – Clinton – New Auckland</w:t>
            </w:r>
          </w:p>
        </w:tc>
        <w:tc>
          <w:tcPr>
            <w:tcW w:w="1842" w:type="dxa"/>
          </w:tcPr>
          <w:p w14:paraId="7836B42A"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14:paraId="65AA9C94"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3,981 </w:t>
            </w:r>
          </w:p>
        </w:tc>
        <w:tc>
          <w:tcPr>
            <w:tcW w:w="1021" w:type="dxa"/>
          </w:tcPr>
          <w:p w14:paraId="5D45B434"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4,925 </w:t>
            </w:r>
          </w:p>
        </w:tc>
        <w:tc>
          <w:tcPr>
            <w:tcW w:w="1020" w:type="dxa"/>
          </w:tcPr>
          <w:p w14:paraId="561F11F2"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5,192 </w:t>
            </w:r>
          </w:p>
        </w:tc>
        <w:tc>
          <w:tcPr>
            <w:tcW w:w="1021" w:type="dxa"/>
          </w:tcPr>
          <w:p w14:paraId="01004FB4"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5,984 </w:t>
            </w:r>
          </w:p>
        </w:tc>
        <w:tc>
          <w:tcPr>
            <w:tcW w:w="1021" w:type="dxa"/>
          </w:tcPr>
          <w:p w14:paraId="03FE5741"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6,790 </w:t>
            </w:r>
          </w:p>
        </w:tc>
      </w:tr>
      <w:tr w:rsidR="00BE36FB" w:rsidRPr="009B7B35" w14:paraId="4D3AAA49"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18553240" w14:textId="77777777" w:rsidR="00BE36FB" w:rsidRPr="009B7B35" w:rsidRDefault="00BE36FB" w:rsidP="001A7107">
            <w:pPr>
              <w:pStyle w:val="TableText"/>
              <w:rPr>
                <w:rFonts w:cs="Arial"/>
              </w:rPr>
            </w:pPr>
          </w:p>
        </w:tc>
        <w:tc>
          <w:tcPr>
            <w:tcW w:w="1842" w:type="dxa"/>
          </w:tcPr>
          <w:p w14:paraId="177591CD"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14:paraId="14672311"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708 </w:t>
            </w:r>
          </w:p>
        </w:tc>
        <w:tc>
          <w:tcPr>
            <w:tcW w:w="1021" w:type="dxa"/>
          </w:tcPr>
          <w:p w14:paraId="53B9027D"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876 </w:t>
            </w:r>
          </w:p>
        </w:tc>
        <w:tc>
          <w:tcPr>
            <w:tcW w:w="1020" w:type="dxa"/>
          </w:tcPr>
          <w:p w14:paraId="7BA161E7"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924 </w:t>
            </w:r>
          </w:p>
        </w:tc>
        <w:tc>
          <w:tcPr>
            <w:tcW w:w="1021" w:type="dxa"/>
          </w:tcPr>
          <w:p w14:paraId="7935DBB7"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1,064 </w:t>
            </w:r>
          </w:p>
        </w:tc>
        <w:tc>
          <w:tcPr>
            <w:tcW w:w="1021" w:type="dxa"/>
          </w:tcPr>
          <w:p w14:paraId="223B04FA"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1,208 </w:t>
            </w:r>
          </w:p>
        </w:tc>
      </w:tr>
      <w:tr w:rsidR="00BE36FB" w:rsidRPr="009B7B35" w14:paraId="4880E5A8" w14:textId="77777777" w:rsidTr="001A7107">
        <w:trPr>
          <w:cnfStyle w:val="000000010000" w:firstRow="0" w:lastRow="0" w:firstColumn="0" w:lastColumn="0" w:oddVBand="0" w:evenVBand="0" w:oddHBand="0" w:evenHBand="1"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694" w:type="dxa"/>
            <w:vMerge/>
          </w:tcPr>
          <w:p w14:paraId="5EA38696" w14:textId="77777777" w:rsidR="00BE36FB" w:rsidRPr="009B7B35" w:rsidRDefault="00BE36FB" w:rsidP="001A7107">
            <w:pPr>
              <w:pStyle w:val="TableText"/>
              <w:rPr>
                <w:rFonts w:cs="Arial"/>
              </w:rPr>
            </w:pPr>
          </w:p>
        </w:tc>
        <w:tc>
          <w:tcPr>
            <w:tcW w:w="1842" w:type="dxa"/>
          </w:tcPr>
          <w:p w14:paraId="426F210D"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3C53D387"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149 </w:t>
            </w:r>
          </w:p>
        </w:tc>
        <w:tc>
          <w:tcPr>
            <w:tcW w:w="1021" w:type="dxa"/>
          </w:tcPr>
          <w:p w14:paraId="76E6B9C8"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185 </w:t>
            </w:r>
          </w:p>
        </w:tc>
        <w:tc>
          <w:tcPr>
            <w:tcW w:w="1020" w:type="dxa"/>
          </w:tcPr>
          <w:p w14:paraId="0C722266"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195 </w:t>
            </w:r>
          </w:p>
        </w:tc>
        <w:tc>
          <w:tcPr>
            <w:tcW w:w="1021" w:type="dxa"/>
          </w:tcPr>
          <w:p w14:paraId="119E5689"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224 </w:t>
            </w:r>
          </w:p>
        </w:tc>
        <w:tc>
          <w:tcPr>
            <w:tcW w:w="1021" w:type="dxa"/>
          </w:tcPr>
          <w:p w14:paraId="026A7115"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255 </w:t>
            </w:r>
          </w:p>
        </w:tc>
      </w:tr>
      <w:tr w:rsidR="00BE36FB" w:rsidRPr="009B7B35" w14:paraId="155A500A" w14:textId="77777777"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14:paraId="13F72C43" w14:textId="77777777" w:rsidR="00BE36FB" w:rsidRPr="009B7B35" w:rsidRDefault="00BE36FB" w:rsidP="001A7107">
            <w:pPr>
              <w:pStyle w:val="TableText"/>
              <w:rPr>
                <w:rFonts w:cs="Arial"/>
              </w:rPr>
            </w:pPr>
          </w:p>
        </w:tc>
        <w:tc>
          <w:tcPr>
            <w:tcW w:w="1842" w:type="dxa"/>
          </w:tcPr>
          <w:p w14:paraId="0C69C2BC"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14:paraId="50606935"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4,838</w:t>
            </w:r>
          </w:p>
        </w:tc>
        <w:tc>
          <w:tcPr>
            <w:tcW w:w="1021" w:type="dxa"/>
          </w:tcPr>
          <w:p w14:paraId="1DB0F7F6"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5,985</w:t>
            </w:r>
          </w:p>
        </w:tc>
        <w:tc>
          <w:tcPr>
            <w:tcW w:w="1020" w:type="dxa"/>
          </w:tcPr>
          <w:p w14:paraId="29256CD0"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6,311</w:t>
            </w:r>
          </w:p>
        </w:tc>
        <w:tc>
          <w:tcPr>
            <w:tcW w:w="1021" w:type="dxa"/>
          </w:tcPr>
          <w:p w14:paraId="1BCC363D"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7,273</w:t>
            </w:r>
          </w:p>
        </w:tc>
        <w:tc>
          <w:tcPr>
            <w:tcW w:w="1021" w:type="dxa"/>
          </w:tcPr>
          <w:p w14:paraId="0449915D"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8,253</w:t>
            </w:r>
          </w:p>
        </w:tc>
      </w:tr>
      <w:tr w:rsidR="00BE36FB" w:rsidRPr="009B7B35" w14:paraId="4AC4152B"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44BD4C66" w14:textId="77777777" w:rsidR="00BE36FB" w:rsidRPr="009B7B35" w:rsidRDefault="00BE36FB" w:rsidP="001A7107">
            <w:pPr>
              <w:pStyle w:val="TableText"/>
              <w:rPr>
                <w:rFonts w:cs="Arial"/>
              </w:rPr>
            </w:pPr>
            <w:r w:rsidRPr="009B7B35">
              <w:rPr>
                <w:rFonts w:cs="Arial"/>
              </w:rPr>
              <w:t>Boyne Island – Tannum Sands – Benaraby</w:t>
            </w:r>
          </w:p>
        </w:tc>
        <w:tc>
          <w:tcPr>
            <w:tcW w:w="1842" w:type="dxa"/>
          </w:tcPr>
          <w:p w14:paraId="2D28CACF"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14:paraId="10F9344E"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1,972 </w:t>
            </w:r>
          </w:p>
        </w:tc>
        <w:tc>
          <w:tcPr>
            <w:tcW w:w="1021" w:type="dxa"/>
          </w:tcPr>
          <w:p w14:paraId="4358444A"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2,487 </w:t>
            </w:r>
          </w:p>
        </w:tc>
        <w:tc>
          <w:tcPr>
            <w:tcW w:w="1020" w:type="dxa"/>
          </w:tcPr>
          <w:p w14:paraId="2C40AE50"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3,684 </w:t>
            </w:r>
          </w:p>
        </w:tc>
        <w:tc>
          <w:tcPr>
            <w:tcW w:w="1021" w:type="dxa"/>
          </w:tcPr>
          <w:p w14:paraId="486C0E53"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4,773 </w:t>
            </w:r>
          </w:p>
        </w:tc>
        <w:tc>
          <w:tcPr>
            <w:tcW w:w="1021" w:type="dxa"/>
          </w:tcPr>
          <w:p w14:paraId="746E6921"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5,728 </w:t>
            </w:r>
          </w:p>
        </w:tc>
      </w:tr>
      <w:tr w:rsidR="00BE36FB" w:rsidRPr="009B7B35" w14:paraId="5ACC4D11"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5F6CE7F6" w14:textId="77777777" w:rsidR="00BE36FB" w:rsidRPr="009B7B35" w:rsidRDefault="00BE36FB" w:rsidP="001A7107">
            <w:pPr>
              <w:pStyle w:val="TableText"/>
              <w:rPr>
                <w:rFonts w:cs="Arial"/>
              </w:rPr>
            </w:pPr>
          </w:p>
        </w:tc>
        <w:tc>
          <w:tcPr>
            <w:tcW w:w="1842" w:type="dxa"/>
          </w:tcPr>
          <w:p w14:paraId="700BC44C"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14:paraId="0E768216"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103 </w:t>
            </w:r>
          </w:p>
        </w:tc>
        <w:tc>
          <w:tcPr>
            <w:tcW w:w="1021" w:type="dxa"/>
          </w:tcPr>
          <w:p w14:paraId="73693DD0"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130 </w:t>
            </w:r>
          </w:p>
        </w:tc>
        <w:tc>
          <w:tcPr>
            <w:tcW w:w="1020" w:type="dxa"/>
          </w:tcPr>
          <w:p w14:paraId="27753AC4"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193 </w:t>
            </w:r>
          </w:p>
        </w:tc>
        <w:tc>
          <w:tcPr>
            <w:tcW w:w="1021" w:type="dxa"/>
          </w:tcPr>
          <w:p w14:paraId="575C41C0"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250 </w:t>
            </w:r>
          </w:p>
        </w:tc>
        <w:tc>
          <w:tcPr>
            <w:tcW w:w="1021" w:type="dxa"/>
          </w:tcPr>
          <w:p w14:paraId="095346B5"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300 </w:t>
            </w:r>
          </w:p>
        </w:tc>
      </w:tr>
      <w:tr w:rsidR="00BE36FB" w:rsidRPr="009B7B35" w14:paraId="3B654675"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14:paraId="6AB571AB" w14:textId="77777777" w:rsidR="00BE36FB" w:rsidRPr="009B7B35" w:rsidRDefault="00BE36FB" w:rsidP="001A7107">
            <w:pPr>
              <w:pStyle w:val="TableText"/>
              <w:rPr>
                <w:rFonts w:cs="Arial"/>
              </w:rPr>
            </w:pPr>
          </w:p>
        </w:tc>
        <w:tc>
          <w:tcPr>
            <w:tcW w:w="1842" w:type="dxa"/>
          </w:tcPr>
          <w:p w14:paraId="4DD6ADEC"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3FDB19CA"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236 </w:t>
            </w:r>
          </w:p>
        </w:tc>
        <w:tc>
          <w:tcPr>
            <w:tcW w:w="1021" w:type="dxa"/>
          </w:tcPr>
          <w:p w14:paraId="5379392B"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298 </w:t>
            </w:r>
          </w:p>
        </w:tc>
        <w:tc>
          <w:tcPr>
            <w:tcW w:w="1020" w:type="dxa"/>
          </w:tcPr>
          <w:p w14:paraId="6C92F7D7"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441 </w:t>
            </w:r>
          </w:p>
        </w:tc>
        <w:tc>
          <w:tcPr>
            <w:tcW w:w="1021" w:type="dxa"/>
          </w:tcPr>
          <w:p w14:paraId="5D3AEF69"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571 </w:t>
            </w:r>
          </w:p>
        </w:tc>
        <w:tc>
          <w:tcPr>
            <w:tcW w:w="1021" w:type="dxa"/>
          </w:tcPr>
          <w:p w14:paraId="38FF762C"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686 </w:t>
            </w:r>
          </w:p>
        </w:tc>
      </w:tr>
      <w:tr w:rsidR="00BE36FB" w:rsidRPr="009B7B35" w14:paraId="2C1ACB65" w14:textId="77777777"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694" w:type="dxa"/>
            <w:vMerge/>
          </w:tcPr>
          <w:p w14:paraId="374CD37E" w14:textId="77777777" w:rsidR="00BE36FB" w:rsidRPr="009B7B35" w:rsidRDefault="00BE36FB" w:rsidP="001A7107">
            <w:pPr>
              <w:pStyle w:val="TableText"/>
              <w:rPr>
                <w:rFonts w:cs="Arial"/>
              </w:rPr>
            </w:pPr>
          </w:p>
        </w:tc>
        <w:tc>
          <w:tcPr>
            <w:tcW w:w="1842" w:type="dxa"/>
          </w:tcPr>
          <w:p w14:paraId="195A4C36"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14:paraId="382A7960"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2,311</w:t>
            </w:r>
          </w:p>
        </w:tc>
        <w:tc>
          <w:tcPr>
            <w:tcW w:w="1021" w:type="dxa"/>
          </w:tcPr>
          <w:p w14:paraId="507F35D6"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2,915</w:t>
            </w:r>
          </w:p>
        </w:tc>
        <w:tc>
          <w:tcPr>
            <w:tcW w:w="1020" w:type="dxa"/>
          </w:tcPr>
          <w:p w14:paraId="3B41240A"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4,318</w:t>
            </w:r>
          </w:p>
        </w:tc>
        <w:tc>
          <w:tcPr>
            <w:tcW w:w="1021" w:type="dxa"/>
          </w:tcPr>
          <w:p w14:paraId="4D10708B"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5,594</w:t>
            </w:r>
          </w:p>
        </w:tc>
        <w:tc>
          <w:tcPr>
            <w:tcW w:w="1021" w:type="dxa"/>
          </w:tcPr>
          <w:p w14:paraId="0ABA6755"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6,713</w:t>
            </w:r>
          </w:p>
        </w:tc>
      </w:tr>
      <w:tr w:rsidR="00BE36FB" w:rsidRPr="009B7B35" w14:paraId="6048754A"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1AF9BF48" w14:textId="77777777" w:rsidR="00BE36FB" w:rsidRPr="009B7B35" w:rsidRDefault="00BE36FB" w:rsidP="001A7107">
            <w:pPr>
              <w:pStyle w:val="TableText"/>
              <w:rPr>
                <w:rFonts w:cs="Arial"/>
              </w:rPr>
            </w:pPr>
            <w:r w:rsidRPr="009B7B35">
              <w:rPr>
                <w:rFonts w:cs="Arial"/>
              </w:rPr>
              <w:t xml:space="preserve">Gladstone Hinterland (aka Calliope) </w:t>
            </w:r>
          </w:p>
        </w:tc>
        <w:tc>
          <w:tcPr>
            <w:tcW w:w="1842" w:type="dxa"/>
          </w:tcPr>
          <w:p w14:paraId="7A2BDB9C"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14:paraId="7F94E12F"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2,105 </w:t>
            </w:r>
          </w:p>
        </w:tc>
        <w:tc>
          <w:tcPr>
            <w:tcW w:w="1021" w:type="dxa"/>
          </w:tcPr>
          <w:p w14:paraId="0D8FCF79"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2,567 </w:t>
            </w:r>
          </w:p>
        </w:tc>
        <w:tc>
          <w:tcPr>
            <w:tcW w:w="1020" w:type="dxa"/>
          </w:tcPr>
          <w:p w14:paraId="6117111F"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3,194 </w:t>
            </w:r>
          </w:p>
        </w:tc>
        <w:tc>
          <w:tcPr>
            <w:tcW w:w="1021" w:type="dxa"/>
          </w:tcPr>
          <w:p w14:paraId="4CF8CCFE"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3,710 </w:t>
            </w:r>
          </w:p>
        </w:tc>
        <w:tc>
          <w:tcPr>
            <w:tcW w:w="1021" w:type="dxa"/>
          </w:tcPr>
          <w:p w14:paraId="7FDD1A57"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4,180 </w:t>
            </w:r>
          </w:p>
        </w:tc>
      </w:tr>
      <w:tr w:rsidR="00BE36FB" w:rsidRPr="009B7B35" w14:paraId="66C29B16" w14:textId="77777777"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56C8711F" w14:textId="77777777" w:rsidR="00BE36FB" w:rsidRPr="009B7B35" w:rsidRDefault="00BE36FB" w:rsidP="001A7107">
            <w:pPr>
              <w:pStyle w:val="TableText"/>
              <w:rPr>
                <w:rFonts w:cs="Arial"/>
              </w:rPr>
            </w:pPr>
          </w:p>
        </w:tc>
        <w:tc>
          <w:tcPr>
            <w:tcW w:w="1842" w:type="dxa"/>
          </w:tcPr>
          <w:p w14:paraId="62A898E9"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14:paraId="78FF1D00"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110 </w:t>
            </w:r>
          </w:p>
        </w:tc>
        <w:tc>
          <w:tcPr>
            <w:tcW w:w="1021" w:type="dxa"/>
          </w:tcPr>
          <w:p w14:paraId="6E087A97"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134 </w:t>
            </w:r>
          </w:p>
        </w:tc>
        <w:tc>
          <w:tcPr>
            <w:tcW w:w="1020" w:type="dxa"/>
          </w:tcPr>
          <w:p w14:paraId="5653DAC8"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167 </w:t>
            </w:r>
          </w:p>
        </w:tc>
        <w:tc>
          <w:tcPr>
            <w:tcW w:w="1021" w:type="dxa"/>
          </w:tcPr>
          <w:p w14:paraId="69FD0218"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194 </w:t>
            </w:r>
          </w:p>
        </w:tc>
        <w:tc>
          <w:tcPr>
            <w:tcW w:w="1021" w:type="dxa"/>
          </w:tcPr>
          <w:p w14:paraId="2A4651F3"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219 </w:t>
            </w:r>
          </w:p>
        </w:tc>
      </w:tr>
      <w:tr w:rsidR="00BE36FB" w:rsidRPr="009B7B35" w14:paraId="0EAB8FE2"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14:paraId="52C48397" w14:textId="77777777" w:rsidR="00BE36FB" w:rsidRPr="009B7B35" w:rsidRDefault="00BE36FB" w:rsidP="001A7107">
            <w:pPr>
              <w:pStyle w:val="TableText"/>
              <w:rPr>
                <w:rFonts w:cs="Arial"/>
              </w:rPr>
            </w:pPr>
          </w:p>
        </w:tc>
        <w:tc>
          <w:tcPr>
            <w:tcW w:w="1842" w:type="dxa"/>
          </w:tcPr>
          <w:p w14:paraId="57F92793"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0C700594"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252 </w:t>
            </w:r>
          </w:p>
        </w:tc>
        <w:tc>
          <w:tcPr>
            <w:tcW w:w="1021" w:type="dxa"/>
          </w:tcPr>
          <w:p w14:paraId="4092A3B5"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307 </w:t>
            </w:r>
          </w:p>
        </w:tc>
        <w:tc>
          <w:tcPr>
            <w:tcW w:w="1020" w:type="dxa"/>
          </w:tcPr>
          <w:p w14:paraId="549F1F49"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382 </w:t>
            </w:r>
          </w:p>
        </w:tc>
        <w:tc>
          <w:tcPr>
            <w:tcW w:w="1021" w:type="dxa"/>
          </w:tcPr>
          <w:p w14:paraId="778006C3"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444 </w:t>
            </w:r>
          </w:p>
        </w:tc>
        <w:tc>
          <w:tcPr>
            <w:tcW w:w="1021" w:type="dxa"/>
          </w:tcPr>
          <w:p w14:paraId="05905F7A"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500 </w:t>
            </w:r>
          </w:p>
        </w:tc>
      </w:tr>
      <w:tr w:rsidR="00BE36FB" w:rsidRPr="009B7B35" w14:paraId="568A4CA0" w14:textId="77777777"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694" w:type="dxa"/>
            <w:vMerge/>
          </w:tcPr>
          <w:p w14:paraId="66BB8C4B" w14:textId="77777777" w:rsidR="00BE36FB" w:rsidRPr="009B7B35" w:rsidRDefault="00BE36FB" w:rsidP="001A7107">
            <w:pPr>
              <w:pStyle w:val="TableText"/>
              <w:rPr>
                <w:rFonts w:cs="Arial"/>
              </w:rPr>
            </w:pPr>
          </w:p>
        </w:tc>
        <w:tc>
          <w:tcPr>
            <w:tcW w:w="1842" w:type="dxa"/>
          </w:tcPr>
          <w:p w14:paraId="4402061E"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Total</w:t>
            </w:r>
          </w:p>
        </w:tc>
        <w:tc>
          <w:tcPr>
            <w:tcW w:w="1020" w:type="dxa"/>
          </w:tcPr>
          <w:p w14:paraId="1CB183D1"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2,467</w:t>
            </w:r>
          </w:p>
        </w:tc>
        <w:tc>
          <w:tcPr>
            <w:tcW w:w="1021" w:type="dxa"/>
          </w:tcPr>
          <w:p w14:paraId="611AB760"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3,008</w:t>
            </w:r>
          </w:p>
        </w:tc>
        <w:tc>
          <w:tcPr>
            <w:tcW w:w="1020" w:type="dxa"/>
          </w:tcPr>
          <w:p w14:paraId="58F9BE88"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3,743</w:t>
            </w:r>
          </w:p>
        </w:tc>
        <w:tc>
          <w:tcPr>
            <w:tcW w:w="1021" w:type="dxa"/>
          </w:tcPr>
          <w:p w14:paraId="000F4D63"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4,348</w:t>
            </w:r>
          </w:p>
        </w:tc>
        <w:tc>
          <w:tcPr>
            <w:tcW w:w="1021" w:type="dxa"/>
          </w:tcPr>
          <w:p w14:paraId="66188A9B"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4,899</w:t>
            </w:r>
          </w:p>
        </w:tc>
      </w:tr>
      <w:tr w:rsidR="00BE36FB" w:rsidRPr="009B7B35" w14:paraId="4FE1FD8C"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12AA8852" w14:textId="77777777" w:rsidR="00BE36FB" w:rsidRPr="009B7B35" w:rsidRDefault="00BE36FB" w:rsidP="001A7107">
            <w:pPr>
              <w:pStyle w:val="TableText"/>
              <w:rPr>
                <w:rFonts w:cs="Arial"/>
              </w:rPr>
            </w:pPr>
            <w:r w:rsidRPr="009B7B35">
              <w:rPr>
                <w:rFonts w:cs="Arial"/>
              </w:rPr>
              <w:t>Agnes Waters – Miriam Vale</w:t>
            </w:r>
          </w:p>
        </w:tc>
        <w:tc>
          <w:tcPr>
            <w:tcW w:w="1842" w:type="dxa"/>
          </w:tcPr>
          <w:p w14:paraId="333C5E5F"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14:paraId="2DFD3F46"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1,489 </w:t>
            </w:r>
          </w:p>
        </w:tc>
        <w:tc>
          <w:tcPr>
            <w:tcW w:w="1021" w:type="dxa"/>
          </w:tcPr>
          <w:p w14:paraId="67713552"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1,725 </w:t>
            </w:r>
          </w:p>
        </w:tc>
        <w:tc>
          <w:tcPr>
            <w:tcW w:w="1020" w:type="dxa"/>
          </w:tcPr>
          <w:p w14:paraId="7D178345"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1,969 </w:t>
            </w:r>
          </w:p>
        </w:tc>
        <w:tc>
          <w:tcPr>
            <w:tcW w:w="1021" w:type="dxa"/>
          </w:tcPr>
          <w:p w14:paraId="0A13F145"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2,234 </w:t>
            </w:r>
          </w:p>
        </w:tc>
        <w:tc>
          <w:tcPr>
            <w:tcW w:w="1021" w:type="dxa"/>
          </w:tcPr>
          <w:p w14:paraId="3A1B99A4"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2,402 </w:t>
            </w:r>
          </w:p>
        </w:tc>
      </w:tr>
      <w:tr w:rsidR="00BE36FB" w:rsidRPr="009B7B35" w14:paraId="79D538DB"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2BC8BCF3" w14:textId="77777777" w:rsidR="00BE36FB" w:rsidRPr="009B7B35" w:rsidRDefault="00BE36FB" w:rsidP="001A7107">
            <w:pPr>
              <w:pStyle w:val="TableText"/>
              <w:rPr>
                <w:rFonts w:cs="Arial"/>
              </w:rPr>
            </w:pPr>
          </w:p>
        </w:tc>
        <w:tc>
          <w:tcPr>
            <w:tcW w:w="1842" w:type="dxa"/>
          </w:tcPr>
          <w:p w14:paraId="4F058EFE"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14:paraId="234B8283"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82 </w:t>
            </w:r>
          </w:p>
        </w:tc>
        <w:tc>
          <w:tcPr>
            <w:tcW w:w="1021" w:type="dxa"/>
          </w:tcPr>
          <w:p w14:paraId="22DAA612"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95 </w:t>
            </w:r>
          </w:p>
        </w:tc>
        <w:tc>
          <w:tcPr>
            <w:tcW w:w="1020" w:type="dxa"/>
          </w:tcPr>
          <w:p w14:paraId="3921C925"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108 </w:t>
            </w:r>
          </w:p>
        </w:tc>
        <w:tc>
          <w:tcPr>
            <w:tcW w:w="1021" w:type="dxa"/>
          </w:tcPr>
          <w:p w14:paraId="602E6AA7"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123 </w:t>
            </w:r>
          </w:p>
        </w:tc>
        <w:tc>
          <w:tcPr>
            <w:tcW w:w="1021" w:type="dxa"/>
          </w:tcPr>
          <w:p w14:paraId="6FBE7D2E"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132 </w:t>
            </w:r>
          </w:p>
        </w:tc>
      </w:tr>
      <w:tr w:rsidR="00BE36FB" w:rsidRPr="009B7B35" w14:paraId="46841166" w14:textId="77777777" w:rsidTr="001A7107">
        <w:trPr>
          <w:cnfStyle w:val="000000010000" w:firstRow="0" w:lastRow="0" w:firstColumn="0" w:lastColumn="0" w:oddVBand="0" w:evenVBand="0" w:oddHBand="0" w:evenHBand="1"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694" w:type="dxa"/>
            <w:vMerge/>
          </w:tcPr>
          <w:p w14:paraId="03F3202D" w14:textId="77777777" w:rsidR="00BE36FB" w:rsidRPr="009B7B35" w:rsidRDefault="00BE36FB" w:rsidP="001A7107">
            <w:pPr>
              <w:pStyle w:val="TableText"/>
              <w:rPr>
                <w:rFonts w:cs="Arial"/>
              </w:rPr>
            </w:pPr>
          </w:p>
        </w:tc>
        <w:tc>
          <w:tcPr>
            <w:tcW w:w="1842" w:type="dxa"/>
          </w:tcPr>
          <w:p w14:paraId="21260024"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49E03BD8"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297 </w:t>
            </w:r>
          </w:p>
        </w:tc>
        <w:tc>
          <w:tcPr>
            <w:tcW w:w="1021" w:type="dxa"/>
          </w:tcPr>
          <w:p w14:paraId="3A64B459"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344 </w:t>
            </w:r>
          </w:p>
        </w:tc>
        <w:tc>
          <w:tcPr>
            <w:tcW w:w="1020" w:type="dxa"/>
          </w:tcPr>
          <w:p w14:paraId="44677CDE"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392 </w:t>
            </w:r>
          </w:p>
        </w:tc>
        <w:tc>
          <w:tcPr>
            <w:tcW w:w="1021" w:type="dxa"/>
          </w:tcPr>
          <w:p w14:paraId="512E35E0"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445 </w:t>
            </w:r>
          </w:p>
        </w:tc>
        <w:tc>
          <w:tcPr>
            <w:tcW w:w="1021" w:type="dxa"/>
          </w:tcPr>
          <w:p w14:paraId="74D5BB6C" w14:textId="77777777" w:rsidR="00BE36FB" w:rsidRPr="009B7B35" w:rsidRDefault="00BE36FB" w:rsidP="001A7107">
            <w:pPr>
              <w:pStyle w:val="TableText"/>
              <w:spacing w:before="50"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479 </w:t>
            </w:r>
          </w:p>
        </w:tc>
      </w:tr>
      <w:tr w:rsidR="00BE36FB" w:rsidRPr="009B7B35" w14:paraId="2844855F" w14:textId="77777777"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14:paraId="539C56F0" w14:textId="77777777" w:rsidR="00BE36FB" w:rsidRPr="009B7B35" w:rsidRDefault="00BE36FB" w:rsidP="001A7107">
            <w:pPr>
              <w:pStyle w:val="TableText"/>
              <w:rPr>
                <w:rFonts w:cs="Arial"/>
              </w:rPr>
            </w:pPr>
          </w:p>
        </w:tc>
        <w:tc>
          <w:tcPr>
            <w:tcW w:w="1842" w:type="dxa"/>
          </w:tcPr>
          <w:p w14:paraId="2FC009B5"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14:paraId="75413A65"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1,868</w:t>
            </w:r>
          </w:p>
        </w:tc>
        <w:tc>
          <w:tcPr>
            <w:tcW w:w="1021" w:type="dxa"/>
          </w:tcPr>
          <w:p w14:paraId="626A2622"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2,163</w:t>
            </w:r>
          </w:p>
        </w:tc>
        <w:tc>
          <w:tcPr>
            <w:tcW w:w="1020" w:type="dxa"/>
          </w:tcPr>
          <w:p w14:paraId="1D45C07E"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2,469</w:t>
            </w:r>
          </w:p>
        </w:tc>
        <w:tc>
          <w:tcPr>
            <w:tcW w:w="1021" w:type="dxa"/>
          </w:tcPr>
          <w:p w14:paraId="17F668F5"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2,802</w:t>
            </w:r>
          </w:p>
        </w:tc>
        <w:tc>
          <w:tcPr>
            <w:tcW w:w="1021" w:type="dxa"/>
          </w:tcPr>
          <w:p w14:paraId="632547E8" w14:textId="77777777" w:rsidR="00BE36FB" w:rsidRPr="009B7B35" w:rsidRDefault="00BE36FB" w:rsidP="001A7107">
            <w:pPr>
              <w:pStyle w:val="TableText"/>
              <w:spacing w:before="50"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3,013</w:t>
            </w:r>
          </w:p>
        </w:tc>
      </w:tr>
      <w:tr w:rsidR="00BE36FB" w:rsidRPr="009B7B35" w14:paraId="275872B4"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67BD4B2D" w14:textId="77777777" w:rsidR="00BE36FB" w:rsidRPr="009B7B35" w:rsidRDefault="00BE36FB" w:rsidP="001A7107">
            <w:pPr>
              <w:pStyle w:val="TableText"/>
              <w:rPr>
                <w:rFonts w:cs="Arial"/>
              </w:rPr>
            </w:pPr>
            <w:r w:rsidRPr="009B7B35">
              <w:rPr>
                <w:rFonts w:cs="Arial"/>
              </w:rPr>
              <w:t xml:space="preserve">Outside PIA </w:t>
            </w:r>
          </w:p>
        </w:tc>
        <w:tc>
          <w:tcPr>
            <w:tcW w:w="1842" w:type="dxa"/>
          </w:tcPr>
          <w:p w14:paraId="63F9E9F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14:paraId="05929DA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3,711 </w:t>
            </w:r>
          </w:p>
        </w:tc>
        <w:tc>
          <w:tcPr>
            <w:tcW w:w="1021" w:type="dxa"/>
          </w:tcPr>
          <w:p w14:paraId="64B6C41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4,519 </w:t>
            </w:r>
          </w:p>
        </w:tc>
        <w:tc>
          <w:tcPr>
            <w:tcW w:w="1020" w:type="dxa"/>
          </w:tcPr>
          <w:p w14:paraId="528E926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5,898 </w:t>
            </w:r>
          </w:p>
        </w:tc>
        <w:tc>
          <w:tcPr>
            <w:tcW w:w="1021" w:type="dxa"/>
          </w:tcPr>
          <w:p w14:paraId="4294768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7,144 </w:t>
            </w:r>
          </w:p>
        </w:tc>
        <w:tc>
          <w:tcPr>
            <w:tcW w:w="1021" w:type="dxa"/>
          </w:tcPr>
          <w:p w14:paraId="549305F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8,207 </w:t>
            </w:r>
          </w:p>
        </w:tc>
      </w:tr>
      <w:tr w:rsidR="00BE36FB" w:rsidRPr="009B7B35" w14:paraId="54EC85DA"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0735300C" w14:textId="77777777" w:rsidR="00BE36FB" w:rsidRPr="009B7B35" w:rsidRDefault="00BE36FB" w:rsidP="001A7107">
            <w:pPr>
              <w:pStyle w:val="TableText"/>
              <w:rPr>
                <w:rFonts w:cs="Arial"/>
              </w:rPr>
            </w:pPr>
          </w:p>
        </w:tc>
        <w:tc>
          <w:tcPr>
            <w:tcW w:w="1842" w:type="dxa"/>
          </w:tcPr>
          <w:p w14:paraId="1E80E8D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14:paraId="5272627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197 </w:t>
            </w:r>
          </w:p>
        </w:tc>
        <w:tc>
          <w:tcPr>
            <w:tcW w:w="1021" w:type="dxa"/>
          </w:tcPr>
          <w:p w14:paraId="0937621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239 </w:t>
            </w:r>
          </w:p>
        </w:tc>
        <w:tc>
          <w:tcPr>
            <w:tcW w:w="1020" w:type="dxa"/>
          </w:tcPr>
          <w:p w14:paraId="2CB9F7E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312 </w:t>
            </w:r>
          </w:p>
        </w:tc>
        <w:tc>
          <w:tcPr>
            <w:tcW w:w="1021" w:type="dxa"/>
          </w:tcPr>
          <w:p w14:paraId="7568F91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378 </w:t>
            </w:r>
          </w:p>
        </w:tc>
        <w:tc>
          <w:tcPr>
            <w:tcW w:w="1021" w:type="dxa"/>
          </w:tcPr>
          <w:p w14:paraId="5728D7D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433 </w:t>
            </w:r>
          </w:p>
        </w:tc>
      </w:tr>
      <w:tr w:rsidR="00BE36FB" w:rsidRPr="009B7B35" w14:paraId="1B9E116E" w14:textId="77777777" w:rsidTr="001A7107">
        <w:trPr>
          <w:cnfStyle w:val="000000010000" w:firstRow="0" w:lastRow="0" w:firstColumn="0" w:lastColumn="0" w:oddVBand="0" w:evenVBand="0" w:oddHBand="0" w:evenHBand="1"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694" w:type="dxa"/>
            <w:vMerge/>
          </w:tcPr>
          <w:p w14:paraId="10D7F1FC" w14:textId="77777777" w:rsidR="00BE36FB" w:rsidRPr="009B7B35" w:rsidRDefault="00BE36FB" w:rsidP="001A7107">
            <w:pPr>
              <w:pStyle w:val="TableText"/>
              <w:rPr>
                <w:rFonts w:cs="Arial"/>
              </w:rPr>
            </w:pPr>
          </w:p>
        </w:tc>
        <w:tc>
          <w:tcPr>
            <w:tcW w:w="1842" w:type="dxa"/>
          </w:tcPr>
          <w:p w14:paraId="476B18B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729F882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523 </w:t>
            </w:r>
          </w:p>
        </w:tc>
        <w:tc>
          <w:tcPr>
            <w:tcW w:w="1021" w:type="dxa"/>
          </w:tcPr>
          <w:p w14:paraId="6D374D6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633 </w:t>
            </w:r>
          </w:p>
        </w:tc>
        <w:tc>
          <w:tcPr>
            <w:tcW w:w="1020" w:type="dxa"/>
          </w:tcPr>
          <w:p w14:paraId="7DA177C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811 </w:t>
            </w:r>
          </w:p>
        </w:tc>
        <w:tc>
          <w:tcPr>
            <w:tcW w:w="1021" w:type="dxa"/>
          </w:tcPr>
          <w:p w14:paraId="367C136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974 </w:t>
            </w:r>
          </w:p>
        </w:tc>
        <w:tc>
          <w:tcPr>
            <w:tcW w:w="1021" w:type="dxa"/>
          </w:tcPr>
          <w:p w14:paraId="5100829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1,110 </w:t>
            </w:r>
          </w:p>
        </w:tc>
      </w:tr>
      <w:tr w:rsidR="00BE36FB" w:rsidRPr="009B7B35" w14:paraId="367A9EE7" w14:textId="77777777"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14:paraId="1A0F5C24" w14:textId="77777777" w:rsidR="00BE36FB" w:rsidRPr="009B7B35" w:rsidRDefault="00BE36FB" w:rsidP="001A7107">
            <w:pPr>
              <w:pStyle w:val="TableText"/>
              <w:rPr>
                <w:rFonts w:cs="Arial"/>
              </w:rPr>
            </w:pPr>
          </w:p>
        </w:tc>
        <w:tc>
          <w:tcPr>
            <w:tcW w:w="1842" w:type="dxa"/>
          </w:tcPr>
          <w:p w14:paraId="5A4E86E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14:paraId="1199294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4,431</w:t>
            </w:r>
          </w:p>
        </w:tc>
        <w:tc>
          <w:tcPr>
            <w:tcW w:w="1021" w:type="dxa"/>
          </w:tcPr>
          <w:p w14:paraId="3BD048F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5,391</w:t>
            </w:r>
          </w:p>
        </w:tc>
        <w:tc>
          <w:tcPr>
            <w:tcW w:w="1020" w:type="dxa"/>
          </w:tcPr>
          <w:p w14:paraId="408C78A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7,020</w:t>
            </w:r>
          </w:p>
        </w:tc>
        <w:tc>
          <w:tcPr>
            <w:tcW w:w="1021" w:type="dxa"/>
          </w:tcPr>
          <w:p w14:paraId="67FDBD1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8,496</w:t>
            </w:r>
          </w:p>
        </w:tc>
        <w:tc>
          <w:tcPr>
            <w:tcW w:w="1021" w:type="dxa"/>
          </w:tcPr>
          <w:p w14:paraId="0C4B0E9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9,750</w:t>
            </w:r>
          </w:p>
        </w:tc>
      </w:tr>
      <w:tr w:rsidR="00BE36FB" w:rsidRPr="009B7B35" w14:paraId="34B9FE85"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192ECFAC" w14:textId="77777777" w:rsidR="00BE36FB" w:rsidRPr="009B7B35" w:rsidRDefault="00BE36FB" w:rsidP="001A7107">
            <w:pPr>
              <w:pStyle w:val="TableText"/>
              <w:rPr>
                <w:rFonts w:cs="Arial"/>
              </w:rPr>
            </w:pPr>
            <w:r w:rsidRPr="009B7B35">
              <w:rPr>
                <w:rFonts w:cs="Arial"/>
              </w:rPr>
              <w:t xml:space="preserve">Gladstone Regional Area </w:t>
            </w:r>
          </w:p>
        </w:tc>
        <w:tc>
          <w:tcPr>
            <w:tcW w:w="1842" w:type="dxa"/>
          </w:tcPr>
          <w:p w14:paraId="33E1C57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Single dwelling </w:t>
            </w:r>
          </w:p>
        </w:tc>
        <w:tc>
          <w:tcPr>
            <w:tcW w:w="1020" w:type="dxa"/>
          </w:tcPr>
          <w:p w14:paraId="776120B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20,860 </w:t>
            </w:r>
          </w:p>
        </w:tc>
        <w:tc>
          <w:tcPr>
            <w:tcW w:w="1021" w:type="dxa"/>
          </w:tcPr>
          <w:p w14:paraId="64323A4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24,939 </w:t>
            </w:r>
          </w:p>
        </w:tc>
        <w:tc>
          <w:tcPr>
            <w:tcW w:w="1020" w:type="dxa"/>
          </w:tcPr>
          <w:p w14:paraId="75F23EB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30,036 </w:t>
            </w:r>
          </w:p>
        </w:tc>
        <w:tc>
          <w:tcPr>
            <w:tcW w:w="1021" w:type="dxa"/>
          </w:tcPr>
          <w:p w14:paraId="695C973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35,082 </w:t>
            </w:r>
          </w:p>
        </w:tc>
        <w:tc>
          <w:tcPr>
            <w:tcW w:w="1021" w:type="dxa"/>
          </w:tcPr>
          <w:p w14:paraId="2021334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39,559 </w:t>
            </w:r>
          </w:p>
        </w:tc>
      </w:tr>
      <w:tr w:rsidR="00BE36FB" w:rsidRPr="009B7B35" w14:paraId="4ED7146F" w14:textId="77777777"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5E65FD38" w14:textId="77777777" w:rsidR="00BE36FB" w:rsidRPr="009B7B35" w:rsidRDefault="00BE36FB" w:rsidP="001A7107">
            <w:pPr>
              <w:pStyle w:val="TableText"/>
              <w:rPr>
                <w:rFonts w:cs="Arial"/>
              </w:rPr>
            </w:pPr>
          </w:p>
        </w:tc>
        <w:tc>
          <w:tcPr>
            <w:tcW w:w="1842" w:type="dxa"/>
          </w:tcPr>
          <w:p w14:paraId="09B0436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Multiple dwelling </w:t>
            </w:r>
          </w:p>
        </w:tc>
        <w:tc>
          <w:tcPr>
            <w:tcW w:w="1020" w:type="dxa"/>
          </w:tcPr>
          <w:p w14:paraId="4A17B6F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2,552 </w:t>
            </w:r>
          </w:p>
        </w:tc>
        <w:tc>
          <w:tcPr>
            <w:tcW w:w="1021" w:type="dxa"/>
          </w:tcPr>
          <w:p w14:paraId="0AD3F48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3,025 </w:t>
            </w:r>
          </w:p>
        </w:tc>
        <w:tc>
          <w:tcPr>
            <w:tcW w:w="1020" w:type="dxa"/>
          </w:tcPr>
          <w:p w14:paraId="0059D3F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3,500 </w:t>
            </w:r>
          </w:p>
        </w:tc>
        <w:tc>
          <w:tcPr>
            <w:tcW w:w="1021" w:type="dxa"/>
          </w:tcPr>
          <w:p w14:paraId="11255F2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4,007 </w:t>
            </w:r>
          </w:p>
        </w:tc>
        <w:tc>
          <w:tcPr>
            <w:tcW w:w="1021" w:type="dxa"/>
          </w:tcPr>
          <w:p w14:paraId="61C1473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4,471 </w:t>
            </w:r>
          </w:p>
        </w:tc>
      </w:tr>
      <w:tr w:rsidR="00BE36FB" w:rsidRPr="009B7B35" w14:paraId="7C5F8145"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14:paraId="2C37BC7E" w14:textId="77777777" w:rsidR="00BE36FB" w:rsidRPr="009B7B35" w:rsidRDefault="00BE36FB" w:rsidP="001A7107">
            <w:pPr>
              <w:pStyle w:val="TableText"/>
              <w:rPr>
                <w:rFonts w:cs="Arial"/>
              </w:rPr>
            </w:pPr>
          </w:p>
        </w:tc>
        <w:tc>
          <w:tcPr>
            <w:tcW w:w="1842" w:type="dxa"/>
          </w:tcPr>
          <w:p w14:paraId="7147034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4C552B3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1,743 </w:t>
            </w:r>
          </w:p>
        </w:tc>
        <w:tc>
          <w:tcPr>
            <w:tcW w:w="1021" w:type="dxa"/>
          </w:tcPr>
          <w:p w14:paraId="7A67727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2,093 </w:t>
            </w:r>
          </w:p>
        </w:tc>
        <w:tc>
          <w:tcPr>
            <w:tcW w:w="1020" w:type="dxa"/>
          </w:tcPr>
          <w:p w14:paraId="6D9FDDE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2,600 </w:t>
            </w:r>
          </w:p>
        </w:tc>
        <w:tc>
          <w:tcPr>
            <w:tcW w:w="1021" w:type="dxa"/>
          </w:tcPr>
          <w:p w14:paraId="2910E5A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3,080 </w:t>
            </w:r>
          </w:p>
        </w:tc>
        <w:tc>
          <w:tcPr>
            <w:tcW w:w="1021" w:type="dxa"/>
          </w:tcPr>
          <w:p w14:paraId="0845E49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3,489 </w:t>
            </w:r>
          </w:p>
        </w:tc>
      </w:tr>
      <w:tr w:rsidR="00BE36FB" w:rsidRPr="009B7B35" w14:paraId="7AB05EF6" w14:textId="77777777"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14:paraId="76EF1D0A" w14:textId="77777777" w:rsidR="00BE36FB" w:rsidRPr="009B7B35" w:rsidRDefault="00BE36FB" w:rsidP="001A7107">
            <w:pPr>
              <w:pStyle w:val="TableText"/>
              <w:rPr>
                <w:rFonts w:cs="Arial"/>
              </w:rPr>
            </w:pPr>
          </w:p>
        </w:tc>
        <w:tc>
          <w:tcPr>
            <w:tcW w:w="1842" w:type="dxa"/>
          </w:tcPr>
          <w:p w14:paraId="4E39F4E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14:paraId="20752DE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25,155</w:t>
            </w:r>
          </w:p>
        </w:tc>
        <w:tc>
          <w:tcPr>
            <w:tcW w:w="1021" w:type="dxa"/>
          </w:tcPr>
          <w:p w14:paraId="4A6E53D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30,057</w:t>
            </w:r>
          </w:p>
        </w:tc>
        <w:tc>
          <w:tcPr>
            <w:tcW w:w="1020" w:type="dxa"/>
          </w:tcPr>
          <w:p w14:paraId="0593ABB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36,136</w:t>
            </w:r>
          </w:p>
        </w:tc>
        <w:tc>
          <w:tcPr>
            <w:tcW w:w="1021" w:type="dxa"/>
          </w:tcPr>
          <w:p w14:paraId="0D30277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42,169</w:t>
            </w:r>
          </w:p>
        </w:tc>
        <w:tc>
          <w:tcPr>
            <w:tcW w:w="1021" w:type="dxa"/>
          </w:tcPr>
          <w:p w14:paraId="0B669D6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47,519</w:t>
            </w:r>
          </w:p>
        </w:tc>
      </w:tr>
    </w:tbl>
    <w:p w14:paraId="5B380391" w14:textId="77777777" w:rsidR="00BE36FB" w:rsidRPr="009B7B35" w:rsidRDefault="00BE36FB" w:rsidP="001A7107">
      <w:pPr>
        <w:pStyle w:val="Heading9"/>
        <w:numPr>
          <w:ilvl w:val="0"/>
          <w:numId w:val="0"/>
        </w:numPr>
        <w:rPr>
          <w:rFonts w:cs="Arial"/>
          <w:sz w:val="20"/>
        </w:rPr>
      </w:pPr>
      <w:r w:rsidRPr="009B7B35">
        <w:rPr>
          <w:rFonts w:cs="Arial"/>
          <w:sz w:val="20"/>
        </w:rPr>
        <w:t xml:space="preserve">Table SC3.1.6—Existing and projected non-residential floor space </w:t>
      </w:r>
    </w:p>
    <w:tbl>
      <w:tblPr>
        <w:tblStyle w:val="Tablestyle"/>
        <w:tblW w:w="9639" w:type="dxa"/>
        <w:tblLayout w:type="fixed"/>
        <w:tblLook w:val="04A0" w:firstRow="1" w:lastRow="0" w:firstColumn="1" w:lastColumn="0" w:noHBand="0" w:noVBand="1"/>
      </w:tblPr>
      <w:tblGrid>
        <w:gridCol w:w="2694"/>
        <w:gridCol w:w="1842"/>
        <w:gridCol w:w="1020"/>
        <w:gridCol w:w="1021"/>
        <w:gridCol w:w="1020"/>
        <w:gridCol w:w="1021"/>
        <w:gridCol w:w="1021"/>
      </w:tblGrid>
      <w:tr w:rsidR="00BE36FB" w:rsidRPr="009B7B35" w14:paraId="44B746B0" w14:textId="77777777" w:rsidTr="001A7107">
        <w:trPr>
          <w:cnfStyle w:val="100000000000" w:firstRow="1" w:lastRow="0" w:firstColumn="0" w:lastColumn="0" w:oddVBand="0" w:evenVBand="0" w:oddHBand="0"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0EEDC9CA" w14:textId="77777777" w:rsidR="00BE36FB" w:rsidRPr="009B7B35" w:rsidRDefault="00BE36FB" w:rsidP="001A7107">
            <w:pPr>
              <w:pStyle w:val="Tableheading"/>
              <w:rPr>
                <w:rFonts w:ascii="Arial" w:hAnsi="Arial" w:cs="Arial"/>
                <w:szCs w:val="20"/>
              </w:rPr>
            </w:pPr>
            <w:r w:rsidRPr="009B7B35">
              <w:rPr>
                <w:rFonts w:ascii="Arial" w:hAnsi="Arial" w:cs="Arial"/>
                <w:szCs w:val="20"/>
              </w:rPr>
              <w:t>Column 1</w:t>
            </w:r>
          </w:p>
          <w:p w14:paraId="53630460"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Projection area </w:t>
            </w:r>
          </w:p>
        </w:tc>
        <w:tc>
          <w:tcPr>
            <w:tcW w:w="1842" w:type="dxa"/>
            <w:vMerge w:val="restart"/>
          </w:tcPr>
          <w:p w14:paraId="18ABC758"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Column 2</w:t>
            </w:r>
          </w:p>
          <w:p w14:paraId="110B4719"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 xml:space="preserve">LGIP development type </w:t>
            </w:r>
          </w:p>
        </w:tc>
        <w:tc>
          <w:tcPr>
            <w:tcW w:w="5103" w:type="dxa"/>
            <w:gridSpan w:val="5"/>
          </w:tcPr>
          <w:p w14:paraId="78B35289"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Column 3</w:t>
            </w:r>
          </w:p>
          <w:p w14:paraId="1272446A"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Existing and projected non-residential floor space (m</w:t>
            </w:r>
            <w:r w:rsidRPr="009B7B35">
              <w:rPr>
                <w:rFonts w:ascii="Arial" w:hAnsi="Arial" w:cs="Arial"/>
                <w:szCs w:val="20"/>
                <w:vertAlign w:val="superscript"/>
              </w:rPr>
              <w:t>2</w:t>
            </w:r>
            <w:r w:rsidRPr="009B7B35">
              <w:rPr>
                <w:rFonts w:ascii="Arial" w:hAnsi="Arial" w:cs="Arial"/>
                <w:szCs w:val="20"/>
              </w:rPr>
              <w:t xml:space="preserve"> GFA)</w:t>
            </w:r>
          </w:p>
        </w:tc>
      </w:tr>
      <w:tr w:rsidR="00BE36FB" w:rsidRPr="009B7B35" w14:paraId="58616CCE" w14:textId="77777777"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2694" w:type="dxa"/>
            <w:vMerge/>
          </w:tcPr>
          <w:p w14:paraId="461F9FE9" w14:textId="77777777" w:rsidR="00BE36FB" w:rsidRPr="009B7B35" w:rsidRDefault="00BE36FB" w:rsidP="001A7107">
            <w:pPr>
              <w:pStyle w:val="Tableheading"/>
              <w:rPr>
                <w:rFonts w:ascii="Arial" w:hAnsi="Arial" w:cs="Arial"/>
                <w:szCs w:val="20"/>
              </w:rPr>
            </w:pPr>
          </w:p>
        </w:tc>
        <w:tc>
          <w:tcPr>
            <w:tcW w:w="1842" w:type="dxa"/>
            <w:vMerge/>
          </w:tcPr>
          <w:p w14:paraId="46467C8B"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p>
        </w:tc>
        <w:tc>
          <w:tcPr>
            <w:tcW w:w="1020" w:type="dxa"/>
          </w:tcPr>
          <w:p w14:paraId="1924C49A"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 xml:space="preserve">2011 </w:t>
            </w:r>
          </w:p>
        </w:tc>
        <w:tc>
          <w:tcPr>
            <w:tcW w:w="1021" w:type="dxa"/>
          </w:tcPr>
          <w:p w14:paraId="32971533"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 xml:space="preserve">2016 </w:t>
            </w:r>
          </w:p>
        </w:tc>
        <w:tc>
          <w:tcPr>
            <w:tcW w:w="1020" w:type="dxa"/>
          </w:tcPr>
          <w:p w14:paraId="6915036A"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 xml:space="preserve">2021 </w:t>
            </w:r>
          </w:p>
        </w:tc>
        <w:tc>
          <w:tcPr>
            <w:tcW w:w="1021" w:type="dxa"/>
          </w:tcPr>
          <w:p w14:paraId="6630FB0F"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 xml:space="preserve">2026 </w:t>
            </w:r>
          </w:p>
        </w:tc>
        <w:tc>
          <w:tcPr>
            <w:tcW w:w="1021" w:type="dxa"/>
          </w:tcPr>
          <w:p w14:paraId="001C4A77" w14:textId="77777777" w:rsidR="00BE36FB" w:rsidRPr="009B7B35" w:rsidRDefault="00BE36FB" w:rsidP="001A7107">
            <w:pPr>
              <w:pStyle w:val="Tableheading"/>
              <w:cnfStyle w:val="000000100000" w:firstRow="0" w:lastRow="0" w:firstColumn="0" w:lastColumn="0" w:oddVBand="0" w:evenVBand="0" w:oddHBand="1" w:evenHBand="0" w:firstRowFirstColumn="0" w:firstRowLastColumn="0" w:lastRowFirstColumn="0" w:lastRowLastColumn="0"/>
              <w:rPr>
                <w:rFonts w:ascii="Arial" w:hAnsi="Arial" w:cs="Arial"/>
                <w:szCs w:val="20"/>
              </w:rPr>
            </w:pPr>
            <w:r w:rsidRPr="009B7B35">
              <w:rPr>
                <w:rFonts w:ascii="Arial" w:hAnsi="Arial" w:cs="Arial"/>
                <w:szCs w:val="20"/>
              </w:rPr>
              <w:t xml:space="preserve">2031 </w:t>
            </w:r>
          </w:p>
        </w:tc>
      </w:tr>
      <w:tr w:rsidR="00BE36FB" w:rsidRPr="009B7B35" w14:paraId="364A2874"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2C97EFCF" w14:textId="77777777" w:rsidR="00BE36FB" w:rsidRPr="009B7B35" w:rsidRDefault="00BE36FB" w:rsidP="001A7107">
            <w:pPr>
              <w:pStyle w:val="TableText"/>
              <w:spacing w:after="50"/>
              <w:rPr>
                <w:rFonts w:cs="Arial"/>
              </w:rPr>
            </w:pPr>
            <w:r w:rsidRPr="009B7B35">
              <w:rPr>
                <w:rFonts w:cs="Arial"/>
              </w:rPr>
              <w:t>Gladstone (Previously South Gladstone, Barney Point and CBD)</w:t>
            </w:r>
          </w:p>
        </w:tc>
        <w:tc>
          <w:tcPr>
            <w:tcW w:w="1842" w:type="dxa"/>
          </w:tcPr>
          <w:p w14:paraId="5BD7994F"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14:paraId="792165FB"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512,801 </w:t>
            </w:r>
          </w:p>
        </w:tc>
        <w:tc>
          <w:tcPr>
            <w:tcW w:w="1021" w:type="dxa"/>
          </w:tcPr>
          <w:p w14:paraId="115238CF"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535,200 </w:t>
            </w:r>
          </w:p>
        </w:tc>
        <w:tc>
          <w:tcPr>
            <w:tcW w:w="1020" w:type="dxa"/>
          </w:tcPr>
          <w:p w14:paraId="1A5A22F6"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551,776 </w:t>
            </w:r>
          </w:p>
        </w:tc>
        <w:tc>
          <w:tcPr>
            <w:tcW w:w="1021" w:type="dxa"/>
          </w:tcPr>
          <w:p w14:paraId="0EFBEEF8"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594,459 </w:t>
            </w:r>
          </w:p>
        </w:tc>
        <w:tc>
          <w:tcPr>
            <w:tcW w:w="1021" w:type="dxa"/>
          </w:tcPr>
          <w:p w14:paraId="720B4B06"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645,568 </w:t>
            </w:r>
          </w:p>
        </w:tc>
      </w:tr>
      <w:tr w:rsidR="00BE36FB" w:rsidRPr="009B7B35" w14:paraId="662F8495"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55FECCF8" w14:textId="77777777" w:rsidR="00BE36FB" w:rsidRPr="009B7B35" w:rsidRDefault="00BE36FB" w:rsidP="001A7107">
            <w:pPr>
              <w:pStyle w:val="TableText"/>
              <w:spacing w:after="50"/>
              <w:rPr>
                <w:rFonts w:cs="Arial"/>
              </w:rPr>
            </w:pPr>
          </w:p>
        </w:tc>
        <w:tc>
          <w:tcPr>
            <w:tcW w:w="1842" w:type="dxa"/>
          </w:tcPr>
          <w:p w14:paraId="2B0A3657"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14:paraId="41D35ED4"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64E9BFD5"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14:paraId="76713FE4"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71AD1525"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18112E72"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39D50A52"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47FE38AC" w14:textId="77777777" w:rsidR="00BE36FB" w:rsidRPr="009B7B35" w:rsidRDefault="00BE36FB" w:rsidP="001A7107">
            <w:pPr>
              <w:pStyle w:val="TableText"/>
              <w:spacing w:after="50"/>
              <w:rPr>
                <w:rFonts w:cs="Arial"/>
              </w:rPr>
            </w:pPr>
          </w:p>
        </w:tc>
        <w:tc>
          <w:tcPr>
            <w:tcW w:w="1842" w:type="dxa"/>
          </w:tcPr>
          <w:p w14:paraId="7ED0F194"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14:paraId="30D0A577"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16,135 </w:t>
            </w:r>
          </w:p>
        </w:tc>
        <w:tc>
          <w:tcPr>
            <w:tcW w:w="1021" w:type="dxa"/>
          </w:tcPr>
          <w:p w14:paraId="4F6892E2"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16,839 </w:t>
            </w:r>
          </w:p>
        </w:tc>
        <w:tc>
          <w:tcPr>
            <w:tcW w:w="1020" w:type="dxa"/>
          </w:tcPr>
          <w:p w14:paraId="79D7BAF8"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17,361 </w:t>
            </w:r>
          </w:p>
        </w:tc>
        <w:tc>
          <w:tcPr>
            <w:tcW w:w="1021" w:type="dxa"/>
          </w:tcPr>
          <w:p w14:paraId="642CB840"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18,704 </w:t>
            </w:r>
          </w:p>
        </w:tc>
        <w:tc>
          <w:tcPr>
            <w:tcW w:w="1021" w:type="dxa"/>
          </w:tcPr>
          <w:p w14:paraId="22A54858"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20,312 </w:t>
            </w:r>
          </w:p>
        </w:tc>
      </w:tr>
      <w:tr w:rsidR="00BE36FB" w:rsidRPr="009B7B35" w14:paraId="6D522872" w14:textId="77777777"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3CF9C807" w14:textId="77777777" w:rsidR="00BE36FB" w:rsidRPr="009B7B35" w:rsidRDefault="00BE36FB" w:rsidP="001A7107">
            <w:pPr>
              <w:pStyle w:val="TableText"/>
              <w:spacing w:after="50"/>
              <w:rPr>
                <w:rFonts w:cs="Arial"/>
              </w:rPr>
            </w:pPr>
          </w:p>
        </w:tc>
        <w:tc>
          <w:tcPr>
            <w:tcW w:w="1842" w:type="dxa"/>
          </w:tcPr>
          <w:p w14:paraId="557B7F05"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14:paraId="7DC4D1C8"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47,935 </w:t>
            </w:r>
          </w:p>
        </w:tc>
        <w:tc>
          <w:tcPr>
            <w:tcW w:w="1021" w:type="dxa"/>
          </w:tcPr>
          <w:p w14:paraId="02B0E63D"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50,029 </w:t>
            </w:r>
          </w:p>
        </w:tc>
        <w:tc>
          <w:tcPr>
            <w:tcW w:w="1020" w:type="dxa"/>
          </w:tcPr>
          <w:p w14:paraId="577D59F2"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51,578 </w:t>
            </w:r>
          </w:p>
        </w:tc>
        <w:tc>
          <w:tcPr>
            <w:tcW w:w="1021" w:type="dxa"/>
          </w:tcPr>
          <w:p w14:paraId="7EF0840F"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55,568 </w:t>
            </w:r>
          </w:p>
        </w:tc>
        <w:tc>
          <w:tcPr>
            <w:tcW w:w="1021" w:type="dxa"/>
          </w:tcPr>
          <w:p w14:paraId="6C0740E9"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60,345 </w:t>
            </w:r>
          </w:p>
        </w:tc>
      </w:tr>
      <w:tr w:rsidR="00BE36FB" w:rsidRPr="009B7B35" w14:paraId="69D78271"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14:paraId="03E69CB9" w14:textId="77777777" w:rsidR="00BE36FB" w:rsidRPr="009B7B35" w:rsidRDefault="00BE36FB" w:rsidP="001A7107">
            <w:pPr>
              <w:pStyle w:val="TableText"/>
              <w:spacing w:after="50"/>
              <w:rPr>
                <w:rFonts w:cs="Arial"/>
              </w:rPr>
            </w:pPr>
          </w:p>
        </w:tc>
        <w:tc>
          <w:tcPr>
            <w:tcW w:w="1842" w:type="dxa"/>
          </w:tcPr>
          <w:p w14:paraId="411709B3"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2BDBDD1D"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2CBE6725"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14:paraId="1F87C678"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36D59CC5"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3BEC0DBB"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223B6932" w14:textId="77777777"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694" w:type="dxa"/>
            <w:vMerge/>
          </w:tcPr>
          <w:p w14:paraId="0BB41C25" w14:textId="77777777" w:rsidR="00BE36FB" w:rsidRPr="009B7B35" w:rsidRDefault="00BE36FB" w:rsidP="001A7107">
            <w:pPr>
              <w:pStyle w:val="TableText"/>
              <w:spacing w:after="50"/>
              <w:rPr>
                <w:rFonts w:cs="Arial"/>
              </w:rPr>
            </w:pPr>
          </w:p>
        </w:tc>
        <w:tc>
          <w:tcPr>
            <w:tcW w:w="1842" w:type="dxa"/>
          </w:tcPr>
          <w:p w14:paraId="17A86AEC"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 xml:space="preserve">Total </w:t>
            </w:r>
          </w:p>
        </w:tc>
        <w:tc>
          <w:tcPr>
            <w:tcW w:w="1020" w:type="dxa"/>
          </w:tcPr>
          <w:p w14:paraId="331A8B0B"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576,870</w:t>
            </w:r>
          </w:p>
        </w:tc>
        <w:tc>
          <w:tcPr>
            <w:tcW w:w="1021" w:type="dxa"/>
          </w:tcPr>
          <w:p w14:paraId="1C54FE63"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602,068</w:t>
            </w:r>
          </w:p>
        </w:tc>
        <w:tc>
          <w:tcPr>
            <w:tcW w:w="1020" w:type="dxa"/>
          </w:tcPr>
          <w:p w14:paraId="03AFEA32"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620,715</w:t>
            </w:r>
          </w:p>
        </w:tc>
        <w:tc>
          <w:tcPr>
            <w:tcW w:w="1021" w:type="dxa"/>
          </w:tcPr>
          <w:p w14:paraId="0EB8258E"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668,730</w:t>
            </w:r>
          </w:p>
        </w:tc>
        <w:tc>
          <w:tcPr>
            <w:tcW w:w="1021" w:type="dxa"/>
          </w:tcPr>
          <w:p w14:paraId="49858490"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726,225</w:t>
            </w:r>
          </w:p>
        </w:tc>
      </w:tr>
      <w:tr w:rsidR="00BE36FB" w:rsidRPr="009B7B35" w14:paraId="5ADFC7F2"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5C3F77AF" w14:textId="77777777" w:rsidR="00BE36FB" w:rsidRPr="009B7B35" w:rsidRDefault="00BE36FB" w:rsidP="001A7107">
            <w:pPr>
              <w:pStyle w:val="TableText"/>
              <w:spacing w:after="50"/>
              <w:rPr>
                <w:rFonts w:cs="Arial"/>
              </w:rPr>
            </w:pPr>
            <w:r w:rsidRPr="009B7B35">
              <w:rPr>
                <w:rFonts w:cs="Arial"/>
              </w:rPr>
              <w:t xml:space="preserve">West Gladstone </w:t>
            </w:r>
          </w:p>
        </w:tc>
        <w:tc>
          <w:tcPr>
            <w:tcW w:w="1842" w:type="dxa"/>
          </w:tcPr>
          <w:p w14:paraId="09DF4A39"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14:paraId="562F116C"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120,175 </w:t>
            </w:r>
          </w:p>
        </w:tc>
        <w:tc>
          <w:tcPr>
            <w:tcW w:w="1021" w:type="dxa"/>
          </w:tcPr>
          <w:p w14:paraId="66BC3639"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125,424 </w:t>
            </w:r>
          </w:p>
        </w:tc>
        <w:tc>
          <w:tcPr>
            <w:tcW w:w="1020" w:type="dxa"/>
          </w:tcPr>
          <w:p w14:paraId="5D790850"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129,309 </w:t>
            </w:r>
          </w:p>
        </w:tc>
        <w:tc>
          <w:tcPr>
            <w:tcW w:w="1021" w:type="dxa"/>
          </w:tcPr>
          <w:p w14:paraId="0740DC94"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143,147 </w:t>
            </w:r>
          </w:p>
        </w:tc>
        <w:tc>
          <w:tcPr>
            <w:tcW w:w="1021" w:type="dxa"/>
          </w:tcPr>
          <w:p w14:paraId="5E5AC260"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152,719 </w:t>
            </w:r>
          </w:p>
        </w:tc>
      </w:tr>
      <w:tr w:rsidR="00BE36FB" w:rsidRPr="009B7B35" w14:paraId="68FF6AE2" w14:textId="77777777"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56067E68" w14:textId="77777777" w:rsidR="00BE36FB" w:rsidRPr="009B7B35" w:rsidRDefault="00BE36FB" w:rsidP="001A7107">
            <w:pPr>
              <w:pStyle w:val="TableText"/>
              <w:spacing w:after="50"/>
              <w:rPr>
                <w:rFonts w:cs="Arial"/>
              </w:rPr>
            </w:pPr>
          </w:p>
        </w:tc>
        <w:tc>
          <w:tcPr>
            <w:tcW w:w="1842" w:type="dxa"/>
          </w:tcPr>
          <w:p w14:paraId="522C4069"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14:paraId="06AFD3D1"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225D99F9"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14:paraId="7BE89CE7"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25D833A5"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7241FFCE"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25EBF708"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29B4536B" w14:textId="77777777" w:rsidR="00BE36FB" w:rsidRPr="009B7B35" w:rsidRDefault="00BE36FB" w:rsidP="001A7107">
            <w:pPr>
              <w:pStyle w:val="TableText"/>
              <w:spacing w:after="50"/>
              <w:rPr>
                <w:rFonts w:cs="Arial"/>
              </w:rPr>
            </w:pPr>
          </w:p>
        </w:tc>
        <w:tc>
          <w:tcPr>
            <w:tcW w:w="1842" w:type="dxa"/>
          </w:tcPr>
          <w:p w14:paraId="05F0F841"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14:paraId="08709AED"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62F42A3F"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14:paraId="4C059CE9"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0E617150"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4B44B54C"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5D3AB481"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6870C040" w14:textId="77777777" w:rsidR="00BE36FB" w:rsidRPr="009B7B35" w:rsidRDefault="00BE36FB" w:rsidP="001A7107">
            <w:pPr>
              <w:pStyle w:val="TableText"/>
              <w:spacing w:after="50"/>
              <w:rPr>
                <w:rFonts w:cs="Arial"/>
              </w:rPr>
            </w:pPr>
          </w:p>
        </w:tc>
        <w:tc>
          <w:tcPr>
            <w:tcW w:w="1842" w:type="dxa"/>
          </w:tcPr>
          <w:p w14:paraId="488C48FE"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14:paraId="48D907C6"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35,759 </w:t>
            </w:r>
          </w:p>
        </w:tc>
        <w:tc>
          <w:tcPr>
            <w:tcW w:w="1021" w:type="dxa"/>
          </w:tcPr>
          <w:p w14:paraId="490C060E"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37,321 </w:t>
            </w:r>
          </w:p>
        </w:tc>
        <w:tc>
          <w:tcPr>
            <w:tcW w:w="1020" w:type="dxa"/>
          </w:tcPr>
          <w:p w14:paraId="6D5119BB"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38,477 </w:t>
            </w:r>
          </w:p>
        </w:tc>
        <w:tc>
          <w:tcPr>
            <w:tcW w:w="1021" w:type="dxa"/>
          </w:tcPr>
          <w:p w14:paraId="5B55022F"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42,594 </w:t>
            </w:r>
          </w:p>
        </w:tc>
        <w:tc>
          <w:tcPr>
            <w:tcW w:w="1021" w:type="dxa"/>
          </w:tcPr>
          <w:p w14:paraId="6741AA9A"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45,443 </w:t>
            </w:r>
          </w:p>
        </w:tc>
      </w:tr>
      <w:tr w:rsidR="00BE36FB" w:rsidRPr="009B7B35" w14:paraId="0702771A"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302B9B8C" w14:textId="77777777" w:rsidR="00BE36FB" w:rsidRPr="009B7B35" w:rsidRDefault="00BE36FB" w:rsidP="001A7107">
            <w:pPr>
              <w:pStyle w:val="TableText"/>
              <w:spacing w:after="50"/>
              <w:rPr>
                <w:rFonts w:cs="Arial"/>
              </w:rPr>
            </w:pPr>
          </w:p>
        </w:tc>
        <w:tc>
          <w:tcPr>
            <w:tcW w:w="1842" w:type="dxa"/>
          </w:tcPr>
          <w:p w14:paraId="13FB05CE"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201A6F4D"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312CB10B"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14:paraId="1A90C532"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3EE9CC9B"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2A5B2E0D"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2DD73852" w14:textId="77777777" w:rsidTr="001A7107">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2694" w:type="dxa"/>
            <w:vMerge/>
          </w:tcPr>
          <w:p w14:paraId="049FD3C6" w14:textId="77777777" w:rsidR="00BE36FB" w:rsidRPr="009B7B35" w:rsidRDefault="00BE36FB" w:rsidP="001A7107">
            <w:pPr>
              <w:pStyle w:val="TableText"/>
              <w:spacing w:after="50"/>
              <w:rPr>
                <w:rFonts w:cs="Arial"/>
              </w:rPr>
            </w:pPr>
          </w:p>
        </w:tc>
        <w:tc>
          <w:tcPr>
            <w:tcW w:w="1842" w:type="dxa"/>
          </w:tcPr>
          <w:p w14:paraId="028C16AB"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Total</w:t>
            </w:r>
          </w:p>
        </w:tc>
        <w:tc>
          <w:tcPr>
            <w:tcW w:w="1020" w:type="dxa"/>
          </w:tcPr>
          <w:p w14:paraId="534E5963"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155,934</w:t>
            </w:r>
          </w:p>
        </w:tc>
        <w:tc>
          <w:tcPr>
            <w:tcW w:w="1021" w:type="dxa"/>
          </w:tcPr>
          <w:p w14:paraId="7FC81ECE"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162,745</w:t>
            </w:r>
          </w:p>
        </w:tc>
        <w:tc>
          <w:tcPr>
            <w:tcW w:w="1020" w:type="dxa"/>
          </w:tcPr>
          <w:p w14:paraId="3B52AEA3"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167,785</w:t>
            </w:r>
          </w:p>
        </w:tc>
        <w:tc>
          <w:tcPr>
            <w:tcW w:w="1021" w:type="dxa"/>
          </w:tcPr>
          <w:p w14:paraId="6E0268F8"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185,741</w:t>
            </w:r>
          </w:p>
        </w:tc>
        <w:tc>
          <w:tcPr>
            <w:tcW w:w="1021" w:type="dxa"/>
          </w:tcPr>
          <w:p w14:paraId="6D81F66A"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198,162</w:t>
            </w:r>
          </w:p>
        </w:tc>
      </w:tr>
      <w:tr w:rsidR="00BE36FB" w:rsidRPr="009B7B35" w14:paraId="0CBAEA32"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34986659" w14:textId="77777777" w:rsidR="00BE36FB" w:rsidRPr="009B7B35" w:rsidRDefault="00BE36FB" w:rsidP="001A7107">
            <w:pPr>
              <w:pStyle w:val="TableText"/>
              <w:spacing w:after="50"/>
              <w:rPr>
                <w:rFonts w:cs="Arial"/>
              </w:rPr>
            </w:pPr>
            <w:r w:rsidRPr="009B7B35">
              <w:rPr>
                <w:rFonts w:cs="Arial"/>
              </w:rPr>
              <w:t>Kin Kora – Sun Valley</w:t>
            </w:r>
          </w:p>
        </w:tc>
        <w:tc>
          <w:tcPr>
            <w:tcW w:w="1842" w:type="dxa"/>
          </w:tcPr>
          <w:p w14:paraId="559B45E3"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14:paraId="40D50256"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9,877 </w:t>
            </w:r>
          </w:p>
        </w:tc>
        <w:tc>
          <w:tcPr>
            <w:tcW w:w="1021" w:type="dxa"/>
          </w:tcPr>
          <w:p w14:paraId="46C77429"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10,309 </w:t>
            </w:r>
          </w:p>
        </w:tc>
        <w:tc>
          <w:tcPr>
            <w:tcW w:w="1020" w:type="dxa"/>
          </w:tcPr>
          <w:p w14:paraId="6CC01758"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10,628 </w:t>
            </w:r>
          </w:p>
        </w:tc>
        <w:tc>
          <w:tcPr>
            <w:tcW w:w="1021" w:type="dxa"/>
          </w:tcPr>
          <w:p w14:paraId="204C6BA1"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13,595 </w:t>
            </w:r>
          </w:p>
        </w:tc>
        <w:tc>
          <w:tcPr>
            <w:tcW w:w="1021" w:type="dxa"/>
          </w:tcPr>
          <w:p w14:paraId="2EC9BF41"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16,594 </w:t>
            </w:r>
          </w:p>
        </w:tc>
      </w:tr>
      <w:tr w:rsidR="00BE36FB" w:rsidRPr="009B7B35" w14:paraId="2A895D40"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79B741DF" w14:textId="77777777" w:rsidR="00BE36FB" w:rsidRPr="009B7B35" w:rsidRDefault="00BE36FB" w:rsidP="001A7107">
            <w:pPr>
              <w:pStyle w:val="TableText"/>
              <w:spacing w:after="50"/>
              <w:rPr>
                <w:rFonts w:cs="Arial"/>
              </w:rPr>
            </w:pPr>
          </w:p>
        </w:tc>
        <w:tc>
          <w:tcPr>
            <w:tcW w:w="1842" w:type="dxa"/>
          </w:tcPr>
          <w:p w14:paraId="066713AF"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14:paraId="3B6AC3DE"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09E8E455"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14:paraId="468C4BB3"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0F40DC0F"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4646F09C"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33463DF7" w14:textId="77777777" w:rsidTr="001A7107">
        <w:trPr>
          <w:cnfStyle w:val="000000010000" w:firstRow="0" w:lastRow="0" w:firstColumn="0" w:lastColumn="0" w:oddVBand="0" w:evenVBand="0" w:oddHBand="0" w:evenHBand="1"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72CB2C26" w14:textId="77777777" w:rsidR="00BE36FB" w:rsidRPr="009B7B35" w:rsidRDefault="00BE36FB" w:rsidP="001A7107">
            <w:pPr>
              <w:pStyle w:val="TableText"/>
              <w:spacing w:after="50"/>
              <w:rPr>
                <w:rFonts w:cs="Arial"/>
              </w:rPr>
            </w:pPr>
          </w:p>
        </w:tc>
        <w:tc>
          <w:tcPr>
            <w:tcW w:w="1842" w:type="dxa"/>
          </w:tcPr>
          <w:p w14:paraId="7769AE14"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14:paraId="2C483445"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690A1068"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14:paraId="422461B6"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08C56D98"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190A17F8"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145657F1"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28C40167" w14:textId="77777777" w:rsidR="00BE36FB" w:rsidRPr="009B7B35" w:rsidRDefault="00BE36FB" w:rsidP="001A7107">
            <w:pPr>
              <w:pStyle w:val="TableText"/>
              <w:spacing w:after="50"/>
              <w:rPr>
                <w:rFonts w:cs="Arial"/>
              </w:rPr>
            </w:pPr>
          </w:p>
        </w:tc>
        <w:tc>
          <w:tcPr>
            <w:tcW w:w="1842" w:type="dxa"/>
          </w:tcPr>
          <w:p w14:paraId="027689A3"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14:paraId="188AF50E"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10,766 </w:t>
            </w:r>
          </w:p>
        </w:tc>
        <w:tc>
          <w:tcPr>
            <w:tcW w:w="1021" w:type="dxa"/>
          </w:tcPr>
          <w:p w14:paraId="25E7CE77"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11,236 </w:t>
            </w:r>
          </w:p>
        </w:tc>
        <w:tc>
          <w:tcPr>
            <w:tcW w:w="1020" w:type="dxa"/>
          </w:tcPr>
          <w:p w14:paraId="48E8746F"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11,584 </w:t>
            </w:r>
          </w:p>
        </w:tc>
        <w:tc>
          <w:tcPr>
            <w:tcW w:w="1021" w:type="dxa"/>
          </w:tcPr>
          <w:p w14:paraId="18C7B1ED"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14,818 </w:t>
            </w:r>
          </w:p>
        </w:tc>
        <w:tc>
          <w:tcPr>
            <w:tcW w:w="1021" w:type="dxa"/>
          </w:tcPr>
          <w:p w14:paraId="40017E48"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18,087 </w:t>
            </w:r>
          </w:p>
        </w:tc>
      </w:tr>
      <w:tr w:rsidR="00BE36FB" w:rsidRPr="009B7B35" w14:paraId="739DE0EC"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14:paraId="4F786C7A" w14:textId="77777777" w:rsidR="00BE36FB" w:rsidRPr="009B7B35" w:rsidRDefault="00BE36FB" w:rsidP="001A7107">
            <w:pPr>
              <w:pStyle w:val="TableText"/>
              <w:spacing w:after="50"/>
              <w:rPr>
                <w:rFonts w:cs="Arial"/>
              </w:rPr>
            </w:pPr>
          </w:p>
        </w:tc>
        <w:tc>
          <w:tcPr>
            <w:tcW w:w="1842" w:type="dxa"/>
          </w:tcPr>
          <w:p w14:paraId="59E65970"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750204B6"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697BB0F4"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14:paraId="49405DC7"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455A6CAA"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390799A3"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33871265" w14:textId="77777777"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694" w:type="dxa"/>
            <w:vMerge/>
          </w:tcPr>
          <w:p w14:paraId="0ACAAE5B" w14:textId="77777777" w:rsidR="00BE36FB" w:rsidRPr="009B7B35" w:rsidRDefault="00BE36FB" w:rsidP="001A7107">
            <w:pPr>
              <w:pStyle w:val="TableText"/>
              <w:spacing w:after="50"/>
              <w:rPr>
                <w:rFonts w:cs="Arial"/>
              </w:rPr>
            </w:pPr>
          </w:p>
        </w:tc>
        <w:tc>
          <w:tcPr>
            <w:tcW w:w="1842" w:type="dxa"/>
          </w:tcPr>
          <w:p w14:paraId="1C8F8CD6"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 xml:space="preserve">Total </w:t>
            </w:r>
          </w:p>
        </w:tc>
        <w:tc>
          <w:tcPr>
            <w:tcW w:w="1020" w:type="dxa"/>
          </w:tcPr>
          <w:p w14:paraId="4A1AB4EC"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20,643</w:t>
            </w:r>
          </w:p>
        </w:tc>
        <w:tc>
          <w:tcPr>
            <w:tcW w:w="1021" w:type="dxa"/>
          </w:tcPr>
          <w:p w14:paraId="7D9BB100"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21,545</w:t>
            </w:r>
          </w:p>
        </w:tc>
        <w:tc>
          <w:tcPr>
            <w:tcW w:w="1020" w:type="dxa"/>
          </w:tcPr>
          <w:p w14:paraId="58E24316"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22,212</w:t>
            </w:r>
          </w:p>
        </w:tc>
        <w:tc>
          <w:tcPr>
            <w:tcW w:w="1021" w:type="dxa"/>
          </w:tcPr>
          <w:p w14:paraId="7B348705"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28,413</w:t>
            </w:r>
          </w:p>
        </w:tc>
        <w:tc>
          <w:tcPr>
            <w:tcW w:w="1021" w:type="dxa"/>
          </w:tcPr>
          <w:p w14:paraId="292CB777"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bCs/>
              </w:rPr>
            </w:pPr>
            <w:r w:rsidRPr="009B7B35">
              <w:rPr>
                <w:rFonts w:cs="Arial"/>
                <w:b/>
                <w:bCs/>
              </w:rPr>
              <w:t>34,682</w:t>
            </w:r>
          </w:p>
        </w:tc>
      </w:tr>
      <w:tr w:rsidR="00BE36FB" w:rsidRPr="009B7B35" w14:paraId="1D21C1A2"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5FD96F14" w14:textId="77777777" w:rsidR="00BE36FB" w:rsidRPr="009B7B35" w:rsidRDefault="00BE36FB" w:rsidP="001A7107">
            <w:pPr>
              <w:pStyle w:val="TableText"/>
              <w:spacing w:after="50"/>
              <w:rPr>
                <w:rFonts w:cs="Arial"/>
              </w:rPr>
            </w:pPr>
            <w:r w:rsidRPr="009B7B35">
              <w:rPr>
                <w:rFonts w:cs="Arial"/>
              </w:rPr>
              <w:t>Telina – Sth Trees – Glen Eden – Tooloola – O'Connell</w:t>
            </w:r>
          </w:p>
        </w:tc>
        <w:tc>
          <w:tcPr>
            <w:tcW w:w="1842" w:type="dxa"/>
          </w:tcPr>
          <w:p w14:paraId="3387298F"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14:paraId="63521DE0"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46,918 </w:t>
            </w:r>
          </w:p>
        </w:tc>
        <w:tc>
          <w:tcPr>
            <w:tcW w:w="1021" w:type="dxa"/>
          </w:tcPr>
          <w:p w14:paraId="60510CCA"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48,967 </w:t>
            </w:r>
          </w:p>
        </w:tc>
        <w:tc>
          <w:tcPr>
            <w:tcW w:w="1020" w:type="dxa"/>
          </w:tcPr>
          <w:p w14:paraId="2064893C"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50,484 </w:t>
            </w:r>
          </w:p>
        </w:tc>
        <w:tc>
          <w:tcPr>
            <w:tcW w:w="1021" w:type="dxa"/>
          </w:tcPr>
          <w:p w14:paraId="4BF19332"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50,592 </w:t>
            </w:r>
          </w:p>
        </w:tc>
        <w:tc>
          <w:tcPr>
            <w:tcW w:w="1021" w:type="dxa"/>
          </w:tcPr>
          <w:p w14:paraId="0DA8BB2F"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50,762 </w:t>
            </w:r>
          </w:p>
        </w:tc>
      </w:tr>
      <w:tr w:rsidR="00BE36FB" w:rsidRPr="009B7B35" w14:paraId="14ED73EC" w14:textId="77777777"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330E293C" w14:textId="77777777" w:rsidR="00BE36FB" w:rsidRPr="009B7B35" w:rsidRDefault="00BE36FB" w:rsidP="001A7107">
            <w:pPr>
              <w:pStyle w:val="TableText"/>
              <w:spacing w:after="50"/>
              <w:rPr>
                <w:rFonts w:cs="Arial"/>
              </w:rPr>
            </w:pPr>
          </w:p>
        </w:tc>
        <w:tc>
          <w:tcPr>
            <w:tcW w:w="1842" w:type="dxa"/>
          </w:tcPr>
          <w:p w14:paraId="4150C447"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14:paraId="5286BDB2"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162830B4"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14:paraId="1EE13778"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4119B469"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122AF45E"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1DA6A9D0"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7484D9EE" w14:textId="77777777" w:rsidR="00BE36FB" w:rsidRPr="009B7B35" w:rsidRDefault="00BE36FB" w:rsidP="001A7107">
            <w:pPr>
              <w:pStyle w:val="TableText"/>
              <w:spacing w:after="50"/>
              <w:rPr>
                <w:rFonts w:cs="Arial"/>
              </w:rPr>
            </w:pPr>
          </w:p>
        </w:tc>
        <w:tc>
          <w:tcPr>
            <w:tcW w:w="1842" w:type="dxa"/>
          </w:tcPr>
          <w:p w14:paraId="27A97E51"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14:paraId="2C5FB0D5"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117,424 </w:t>
            </w:r>
          </w:p>
        </w:tc>
        <w:tc>
          <w:tcPr>
            <w:tcW w:w="1021" w:type="dxa"/>
          </w:tcPr>
          <w:p w14:paraId="6E0FB930"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122,553 </w:t>
            </w:r>
          </w:p>
        </w:tc>
        <w:tc>
          <w:tcPr>
            <w:tcW w:w="1020" w:type="dxa"/>
          </w:tcPr>
          <w:p w14:paraId="6C405029"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126,348 </w:t>
            </w:r>
          </w:p>
        </w:tc>
        <w:tc>
          <w:tcPr>
            <w:tcW w:w="1021" w:type="dxa"/>
          </w:tcPr>
          <w:p w14:paraId="7A501A1F"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126,619 </w:t>
            </w:r>
          </w:p>
        </w:tc>
        <w:tc>
          <w:tcPr>
            <w:tcW w:w="1021" w:type="dxa"/>
          </w:tcPr>
          <w:p w14:paraId="6E070062"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127,045 </w:t>
            </w:r>
          </w:p>
        </w:tc>
      </w:tr>
      <w:tr w:rsidR="00BE36FB" w:rsidRPr="009B7B35" w14:paraId="76E0C1D0" w14:textId="77777777"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1DCD4DEE" w14:textId="77777777" w:rsidR="00BE36FB" w:rsidRPr="009B7B35" w:rsidRDefault="00BE36FB" w:rsidP="001A7107">
            <w:pPr>
              <w:pStyle w:val="TableText"/>
              <w:spacing w:after="50"/>
              <w:rPr>
                <w:rFonts w:cs="Arial"/>
              </w:rPr>
            </w:pPr>
          </w:p>
        </w:tc>
        <w:tc>
          <w:tcPr>
            <w:tcW w:w="1842" w:type="dxa"/>
          </w:tcPr>
          <w:p w14:paraId="6833743B"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14:paraId="18FEF44C"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5,255 </w:t>
            </w:r>
          </w:p>
        </w:tc>
        <w:tc>
          <w:tcPr>
            <w:tcW w:w="1021" w:type="dxa"/>
          </w:tcPr>
          <w:p w14:paraId="07EEBA90"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5,484 </w:t>
            </w:r>
          </w:p>
        </w:tc>
        <w:tc>
          <w:tcPr>
            <w:tcW w:w="1020" w:type="dxa"/>
          </w:tcPr>
          <w:p w14:paraId="6C77ED91"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5,654 </w:t>
            </w:r>
          </w:p>
        </w:tc>
        <w:tc>
          <w:tcPr>
            <w:tcW w:w="1021" w:type="dxa"/>
          </w:tcPr>
          <w:p w14:paraId="4FE1C9E9"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5,666 </w:t>
            </w:r>
          </w:p>
        </w:tc>
        <w:tc>
          <w:tcPr>
            <w:tcW w:w="1021" w:type="dxa"/>
          </w:tcPr>
          <w:p w14:paraId="240BE1C3"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5,685 </w:t>
            </w:r>
          </w:p>
        </w:tc>
      </w:tr>
      <w:tr w:rsidR="00BE36FB" w:rsidRPr="009B7B35" w14:paraId="0618E06A"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14:paraId="27784FCF" w14:textId="77777777" w:rsidR="00BE36FB" w:rsidRPr="009B7B35" w:rsidRDefault="00BE36FB" w:rsidP="001A7107">
            <w:pPr>
              <w:pStyle w:val="TableText"/>
              <w:spacing w:after="50"/>
              <w:rPr>
                <w:rFonts w:cs="Arial"/>
              </w:rPr>
            </w:pPr>
          </w:p>
        </w:tc>
        <w:tc>
          <w:tcPr>
            <w:tcW w:w="1842" w:type="dxa"/>
          </w:tcPr>
          <w:p w14:paraId="4D9A8CCB"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3D18245C"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6237A461"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14:paraId="0BA9F79B"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128CAB09"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398A34D0" w14:textId="77777777" w:rsidR="00BE36FB" w:rsidRPr="009B7B35" w:rsidRDefault="00BE36FB" w:rsidP="001A7107">
            <w:pPr>
              <w:pStyle w:val="TableText"/>
              <w:spacing w:after="50"/>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7AE7BE75" w14:textId="77777777" w:rsidTr="001A7107">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2694" w:type="dxa"/>
            <w:vMerge/>
          </w:tcPr>
          <w:p w14:paraId="0365F59D" w14:textId="77777777" w:rsidR="00BE36FB" w:rsidRPr="009B7B35" w:rsidRDefault="00BE36FB" w:rsidP="001A7107">
            <w:pPr>
              <w:pStyle w:val="TableText"/>
              <w:spacing w:after="50"/>
              <w:rPr>
                <w:rFonts w:cs="Arial"/>
              </w:rPr>
            </w:pPr>
          </w:p>
        </w:tc>
        <w:tc>
          <w:tcPr>
            <w:tcW w:w="1842" w:type="dxa"/>
          </w:tcPr>
          <w:p w14:paraId="798C36DD"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1020" w:type="dxa"/>
          </w:tcPr>
          <w:p w14:paraId="1321AA48"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169,596 </w:t>
            </w:r>
          </w:p>
        </w:tc>
        <w:tc>
          <w:tcPr>
            <w:tcW w:w="1021" w:type="dxa"/>
          </w:tcPr>
          <w:p w14:paraId="0D8E5883"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177,004 </w:t>
            </w:r>
          </w:p>
        </w:tc>
        <w:tc>
          <w:tcPr>
            <w:tcW w:w="1020" w:type="dxa"/>
          </w:tcPr>
          <w:p w14:paraId="28E65097"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182,486 </w:t>
            </w:r>
          </w:p>
        </w:tc>
        <w:tc>
          <w:tcPr>
            <w:tcW w:w="1021" w:type="dxa"/>
          </w:tcPr>
          <w:p w14:paraId="26AE70C5"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182,878 </w:t>
            </w:r>
          </w:p>
        </w:tc>
        <w:tc>
          <w:tcPr>
            <w:tcW w:w="1021" w:type="dxa"/>
          </w:tcPr>
          <w:p w14:paraId="0D290D16" w14:textId="77777777" w:rsidR="00BE36FB" w:rsidRPr="009B7B35" w:rsidRDefault="00BE36FB" w:rsidP="001A7107">
            <w:pPr>
              <w:pStyle w:val="TableText"/>
              <w:spacing w:after="50"/>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183,492 </w:t>
            </w:r>
          </w:p>
        </w:tc>
      </w:tr>
      <w:tr w:rsidR="00BE36FB" w:rsidRPr="009B7B35" w14:paraId="7DA0A84D"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27829AEC" w14:textId="77777777" w:rsidR="00BE36FB" w:rsidRPr="009B7B35" w:rsidRDefault="00BE36FB" w:rsidP="001A7107">
            <w:pPr>
              <w:pStyle w:val="TableText"/>
              <w:rPr>
                <w:rFonts w:cs="Arial"/>
              </w:rPr>
            </w:pPr>
            <w:r w:rsidRPr="009B7B35">
              <w:rPr>
                <w:rFonts w:cs="Arial"/>
              </w:rPr>
              <w:t>Calemondah – Clinton – New Auckland</w:t>
            </w:r>
          </w:p>
        </w:tc>
        <w:tc>
          <w:tcPr>
            <w:tcW w:w="1842" w:type="dxa"/>
          </w:tcPr>
          <w:p w14:paraId="587E127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14:paraId="779865E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123,467 </w:t>
            </w:r>
          </w:p>
        </w:tc>
        <w:tc>
          <w:tcPr>
            <w:tcW w:w="1021" w:type="dxa"/>
          </w:tcPr>
          <w:p w14:paraId="2C8A51F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128,860 </w:t>
            </w:r>
          </w:p>
        </w:tc>
        <w:tc>
          <w:tcPr>
            <w:tcW w:w="1020" w:type="dxa"/>
          </w:tcPr>
          <w:p w14:paraId="5177651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132,851 </w:t>
            </w:r>
          </w:p>
        </w:tc>
        <w:tc>
          <w:tcPr>
            <w:tcW w:w="1021" w:type="dxa"/>
          </w:tcPr>
          <w:p w14:paraId="6C6E26E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151,738 </w:t>
            </w:r>
          </w:p>
        </w:tc>
        <w:tc>
          <w:tcPr>
            <w:tcW w:w="1021" w:type="dxa"/>
          </w:tcPr>
          <w:p w14:paraId="58D850C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172,185 </w:t>
            </w:r>
          </w:p>
        </w:tc>
      </w:tr>
      <w:tr w:rsidR="00BE36FB" w:rsidRPr="009B7B35" w14:paraId="2A0888BF"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17659E64" w14:textId="77777777" w:rsidR="00BE36FB" w:rsidRPr="009B7B35" w:rsidRDefault="00BE36FB" w:rsidP="001A7107">
            <w:pPr>
              <w:pStyle w:val="TableText"/>
              <w:rPr>
                <w:rFonts w:cs="Arial"/>
              </w:rPr>
            </w:pPr>
          </w:p>
        </w:tc>
        <w:tc>
          <w:tcPr>
            <w:tcW w:w="1842" w:type="dxa"/>
          </w:tcPr>
          <w:p w14:paraId="307A251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14:paraId="58EDB72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3297235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14:paraId="6B3281F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0BB19D2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37E6BDB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404F95C4" w14:textId="77777777" w:rsidTr="001A7107">
        <w:trPr>
          <w:cnfStyle w:val="000000010000" w:firstRow="0" w:lastRow="0" w:firstColumn="0" w:lastColumn="0" w:oddVBand="0" w:evenVBand="0" w:oddHBand="0" w:evenHBand="1"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2472BF83" w14:textId="77777777" w:rsidR="00BE36FB" w:rsidRPr="009B7B35" w:rsidRDefault="00BE36FB" w:rsidP="001A7107">
            <w:pPr>
              <w:pStyle w:val="TableText"/>
              <w:rPr>
                <w:rFonts w:cs="Arial"/>
              </w:rPr>
            </w:pPr>
          </w:p>
        </w:tc>
        <w:tc>
          <w:tcPr>
            <w:tcW w:w="1842" w:type="dxa"/>
          </w:tcPr>
          <w:p w14:paraId="6129B9F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14:paraId="18CF129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107,862 </w:t>
            </w:r>
          </w:p>
        </w:tc>
        <w:tc>
          <w:tcPr>
            <w:tcW w:w="1021" w:type="dxa"/>
          </w:tcPr>
          <w:p w14:paraId="5B09F67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112,574 </w:t>
            </w:r>
          </w:p>
        </w:tc>
        <w:tc>
          <w:tcPr>
            <w:tcW w:w="1020" w:type="dxa"/>
          </w:tcPr>
          <w:p w14:paraId="2841F10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116,060 </w:t>
            </w:r>
          </w:p>
        </w:tc>
        <w:tc>
          <w:tcPr>
            <w:tcW w:w="1021" w:type="dxa"/>
          </w:tcPr>
          <w:p w14:paraId="04C773C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132,560 </w:t>
            </w:r>
          </w:p>
        </w:tc>
        <w:tc>
          <w:tcPr>
            <w:tcW w:w="1021" w:type="dxa"/>
          </w:tcPr>
          <w:p w14:paraId="72B2616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150,423 </w:t>
            </w:r>
          </w:p>
        </w:tc>
      </w:tr>
      <w:tr w:rsidR="00BE36FB" w:rsidRPr="009B7B35" w14:paraId="22547903"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48316907" w14:textId="77777777" w:rsidR="00BE36FB" w:rsidRPr="009B7B35" w:rsidRDefault="00BE36FB" w:rsidP="001A7107">
            <w:pPr>
              <w:pStyle w:val="TableText"/>
              <w:rPr>
                <w:rFonts w:cs="Arial"/>
              </w:rPr>
            </w:pPr>
          </w:p>
        </w:tc>
        <w:tc>
          <w:tcPr>
            <w:tcW w:w="1842" w:type="dxa"/>
          </w:tcPr>
          <w:p w14:paraId="2A970FC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14:paraId="004618A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23,455 </w:t>
            </w:r>
          </w:p>
        </w:tc>
        <w:tc>
          <w:tcPr>
            <w:tcW w:w="1021" w:type="dxa"/>
          </w:tcPr>
          <w:p w14:paraId="1C2C3E5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24,479 </w:t>
            </w:r>
          </w:p>
        </w:tc>
        <w:tc>
          <w:tcPr>
            <w:tcW w:w="1020" w:type="dxa"/>
          </w:tcPr>
          <w:p w14:paraId="6861807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25,237 </w:t>
            </w:r>
          </w:p>
        </w:tc>
        <w:tc>
          <w:tcPr>
            <w:tcW w:w="1021" w:type="dxa"/>
          </w:tcPr>
          <w:p w14:paraId="7F8AB8D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28,825 </w:t>
            </w:r>
          </w:p>
        </w:tc>
        <w:tc>
          <w:tcPr>
            <w:tcW w:w="1021" w:type="dxa"/>
          </w:tcPr>
          <w:p w14:paraId="07E2C96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32,709 </w:t>
            </w:r>
          </w:p>
        </w:tc>
      </w:tr>
      <w:tr w:rsidR="00BE36FB" w:rsidRPr="009B7B35" w14:paraId="376A75CB"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14:paraId="1DB33BB6" w14:textId="77777777" w:rsidR="00BE36FB" w:rsidRPr="009B7B35" w:rsidRDefault="00BE36FB" w:rsidP="001A7107">
            <w:pPr>
              <w:pStyle w:val="TableText"/>
              <w:rPr>
                <w:rFonts w:cs="Arial"/>
              </w:rPr>
            </w:pPr>
          </w:p>
        </w:tc>
        <w:tc>
          <w:tcPr>
            <w:tcW w:w="1842" w:type="dxa"/>
          </w:tcPr>
          <w:p w14:paraId="000683D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14FDB1D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639B746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14:paraId="5DCE1E0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4762F58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3A71B64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65780567" w14:textId="77777777"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694" w:type="dxa"/>
            <w:vMerge/>
          </w:tcPr>
          <w:p w14:paraId="0A35C8D6" w14:textId="77777777" w:rsidR="00BE36FB" w:rsidRPr="009B7B35" w:rsidRDefault="00BE36FB" w:rsidP="001A7107">
            <w:pPr>
              <w:pStyle w:val="TableText"/>
              <w:rPr>
                <w:rFonts w:cs="Arial"/>
              </w:rPr>
            </w:pPr>
          </w:p>
        </w:tc>
        <w:tc>
          <w:tcPr>
            <w:tcW w:w="1842" w:type="dxa"/>
          </w:tcPr>
          <w:p w14:paraId="4C66764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1020" w:type="dxa"/>
          </w:tcPr>
          <w:p w14:paraId="11D49F5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254,784 </w:t>
            </w:r>
          </w:p>
        </w:tc>
        <w:tc>
          <w:tcPr>
            <w:tcW w:w="1021" w:type="dxa"/>
          </w:tcPr>
          <w:p w14:paraId="24F2B29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265,913 </w:t>
            </w:r>
          </w:p>
        </w:tc>
        <w:tc>
          <w:tcPr>
            <w:tcW w:w="1020" w:type="dxa"/>
          </w:tcPr>
          <w:p w14:paraId="0DBB063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274,149 </w:t>
            </w:r>
          </w:p>
        </w:tc>
        <w:tc>
          <w:tcPr>
            <w:tcW w:w="1021" w:type="dxa"/>
          </w:tcPr>
          <w:p w14:paraId="5AEACD1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313,122 </w:t>
            </w:r>
          </w:p>
        </w:tc>
        <w:tc>
          <w:tcPr>
            <w:tcW w:w="1021" w:type="dxa"/>
          </w:tcPr>
          <w:p w14:paraId="7CC9D18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355,317 </w:t>
            </w:r>
          </w:p>
        </w:tc>
      </w:tr>
      <w:tr w:rsidR="00BE36FB" w:rsidRPr="009B7B35" w14:paraId="14DFEDA5"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487426D8" w14:textId="77777777" w:rsidR="00BE36FB" w:rsidRPr="009B7B35" w:rsidRDefault="00BE36FB" w:rsidP="001A7107">
            <w:pPr>
              <w:pStyle w:val="TableText"/>
              <w:rPr>
                <w:rFonts w:cs="Arial"/>
              </w:rPr>
            </w:pPr>
            <w:r w:rsidRPr="009B7B35">
              <w:rPr>
                <w:rFonts w:cs="Arial"/>
              </w:rPr>
              <w:t>Boyne Island – Tannum Sands – Benaraby</w:t>
            </w:r>
          </w:p>
        </w:tc>
        <w:tc>
          <w:tcPr>
            <w:tcW w:w="1842" w:type="dxa"/>
          </w:tcPr>
          <w:p w14:paraId="2B0311E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14:paraId="2FD3625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29,209 </w:t>
            </w:r>
          </w:p>
        </w:tc>
        <w:tc>
          <w:tcPr>
            <w:tcW w:w="1021" w:type="dxa"/>
          </w:tcPr>
          <w:p w14:paraId="5B6FF0F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36,151 </w:t>
            </w:r>
          </w:p>
        </w:tc>
        <w:tc>
          <w:tcPr>
            <w:tcW w:w="1020" w:type="dxa"/>
          </w:tcPr>
          <w:p w14:paraId="707BA29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44,102 </w:t>
            </w:r>
          </w:p>
        </w:tc>
        <w:tc>
          <w:tcPr>
            <w:tcW w:w="1021" w:type="dxa"/>
          </w:tcPr>
          <w:p w14:paraId="5218A46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56,181 </w:t>
            </w:r>
          </w:p>
        </w:tc>
        <w:tc>
          <w:tcPr>
            <w:tcW w:w="1021" w:type="dxa"/>
          </w:tcPr>
          <w:p w14:paraId="166752C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67,424 </w:t>
            </w:r>
          </w:p>
        </w:tc>
      </w:tr>
      <w:tr w:rsidR="00BE36FB" w:rsidRPr="009B7B35" w14:paraId="14DE7F59" w14:textId="77777777"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6DAC99BF" w14:textId="77777777" w:rsidR="00BE36FB" w:rsidRPr="009B7B35" w:rsidRDefault="00BE36FB" w:rsidP="001A7107">
            <w:pPr>
              <w:pStyle w:val="TableText"/>
              <w:rPr>
                <w:rFonts w:cs="Arial"/>
              </w:rPr>
            </w:pPr>
          </w:p>
        </w:tc>
        <w:tc>
          <w:tcPr>
            <w:tcW w:w="1842" w:type="dxa"/>
          </w:tcPr>
          <w:p w14:paraId="1193272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14:paraId="5552CDA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64A9480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14:paraId="4D3C264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179467E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3363C08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1B4C7CB2"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36C82D8F" w14:textId="77777777" w:rsidR="00BE36FB" w:rsidRPr="009B7B35" w:rsidRDefault="00BE36FB" w:rsidP="001A7107">
            <w:pPr>
              <w:pStyle w:val="TableText"/>
              <w:rPr>
                <w:rFonts w:cs="Arial"/>
              </w:rPr>
            </w:pPr>
          </w:p>
        </w:tc>
        <w:tc>
          <w:tcPr>
            <w:tcW w:w="1842" w:type="dxa"/>
          </w:tcPr>
          <w:p w14:paraId="3888919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14:paraId="6A45B14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230,886 </w:t>
            </w:r>
          </w:p>
        </w:tc>
        <w:tc>
          <w:tcPr>
            <w:tcW w:w="1021" w:type="dxa"/>
          </w:tcPr>
          <w:p w14:paraId="0EAFF5A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285,756 </w:t>
            </w:r>
          </w:p>
        </w:tc>
        <w:tc>
          <w:tcPr>
            <w:tcW w:w="1020" w:type="dxa"/>
          </w:tcPr>
          <w:p w14:paraId="0F70966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348,612 </w:t>
            </w:r>
          </w:p>
        </w:tc>
        <w:tc>
          <w:tcPr>
            <w:tcW w:w="1021" w:type="dxa"/>
          </w:tcPr>
          <w:p w14:paraId="6D4611B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444,085 </w:t>
            </w:r>
          </w:p>
        </w:tc>
        <w:tc>
          <w:tcPr>
            <w:tcW w:w="1021" w:type="dxa"/>
          </w:tcPr>
          <w:p w14:paraId="34221A0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532,963 </w:t>
            </w:r>
          </w:p>
        </w:tc>
      </w:tr>
      <w:tr w:rsidR="00BE36FB" w:rsidRPr="009B7B35" w14:paraId="6FA87306" w14:textId="77777777"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60587475" w14:textId="77777777" w:rsidR="00BE36FB" w:rsidRPr="009B7B35" w:rsidRDefault="00BE36FB" w:rsidP="001A7107">
            <w:pPr>
              <w:pStyle w:val="TableText"/>
              <w:rPr>
                <w:rFonts w:cs="Arial"/>
              </w:rPr>
            </w:pPr>
          </w:p>
        </w:tc>
        <w:tc>
          <w:tcPr>
            <w:tcW w:w="1842" w:type="dxa"/>
          </w:tcPr>
          <w:p w14:paraId="3C78846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14:paraId="767BF30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0C263ED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14:paraId="3244762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077464D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174C92C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7DEAB849"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14:paraId="2C51A1FF" w14:textId="77777777" w:rsidR="00BE36FB" w:rsidRPr="009B7B35" w:rsidRDefault="00BE36FB" w:rsidP="001A7107">
            <w:pPr>
              <w:pStyle w:val="TableText"/>
              <w:rPr>
                <w:rFonts w:cs="Arial"/>
              </w:rPr>
            </w:pPr>
          </w:p>
        </w:tc>
        <w:tc>
          <w:tcPr>
            <w:tcW w:w="1842" w:type="dxa"/>
          </w:tcPr>
          <w:p w14:paraId="52C06E0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3B49094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7BF6F99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14:paraId="4CD1B9D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24D28E5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3CAAC23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51EED3CB" w14:textId="77777777" w:rsidTr="001A7107">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2694" w:type="dxa"/>
            <w:vMerge/>
          </w:tcPr>
          <w:p w14:paraId="30ACBAB6" w14:textId="77777777" w:rsidR="00BE36FB" w:rsidRPr="009B7B35" w:rsidRDefault="00BE36FB" w:rsidP="001A7107">
            <w:pPr>
              <w:pStyle w:val="TableText"/>
              <w:rPr>
                <w:rFonts w:cs="Arial"/>
              </w:rPr>
            </w:pPr>
          </w:p>
        </w:tc>
        <w:tc>
          <w:tcPr>
            <w:tcW w:w="1842" w:type="dxa"/>
          </w:tcPr>
          <w:p w14:paraId="6D83AB0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1020" w:type="dxa"/>
          </w:tcPr>
          <w:p w14:paraId="6F46619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260,095 </w:t>
            </w:r>
          </w:p>
        </w:tc>
        <w:tc>
          <w:tcPr>
            <w:tcW w:w="1021" w:type="dxa"/>
          </w:tcPr>
          <w:p w14:paraId="7A1A197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321,906 </w:t>
            </w:r>
          </w:p>
        </w:tc>
        <w:tc>
          <w:tcPr>
            <w:tcW w:w="1020" w:type="dxa"/>
          </w:tcPr>
          <w:p w14:paraId="564F0A8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392,714 </w:t>
            </w:r>
          </w:p>
        </w:tc>
        <w:tc>
          <w:tcPr>
            <w:tcW w:w="1021" w:type="dxa"/>
          </w:tcPr>
          <w:p w14:paraId="3154787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500,265 </w:t>
            </w:r>
          </w:p>
        </w:tc>
        <w:tc>
          <w:tcPr>
            <w:tcW w:w="1021" w:type="dxa"/>
          </w:tcPr>
          <w:p w14:paraId="109F7F9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600,387 </w:t>
            </w:r>
          </w:p>
        </w:tc>
      </w:tr>
      <w:tr w:rsidR="00BE36FB" w:rsidRPr="009B7B35" w14:paraId="5FE0A43B"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523FE9F6" w14:textId="77777777" w:rsidR="00BE36FB" w:rsidRPr="009B7B35" w:rsidRDefault="00BE36FB" w:rsidP="001A7107">
            <w:pPr>
              <w:pStyle w:val="TableText"/>
              <w:rPr>
                <w:rFonts w:cs="Arial"/>
              </w:rPr>
            </w:pPr>
            <w:r w:rsidRPr="009B7B35">
              <w:rPr>
                <w:rFonts w:cs="Arial"/>
              </w:rPr>
              <w:t xml:space="preserve">Gladstone Hinterland (aka Calliope) </w:t>
            </w:r>
          </w:p>
        </w:tc>
        <w:tc>
          <w:tcPr>
            <w:tcW w:w="1842" w:type="dxa"/>
          </w:tcPr>
          <w:p w14:paraId="78FF6CB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14:paraId="79F9927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9,337 </w:t>
            </w:r>
          </w:p>
        </w:tc>
        <w:tc>
          <w:tcPr>
            <w:tcW w:w="1021" w:type="dxa"/>
          </w:tcPr>
          <w:p w14:paraId="7675139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11,556 </w:t>
            </w:r>
          </w:p>
        </w:tc>
        <w:tc>
          <w:tcPr>
            <w:tcW w:w="1020" w:type="dxa"/>
          </w:tcPr>
          <w:p w14:paraId="047D1D1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14,097 </w:t>
            </w:r>
          </w:p>
        </w:tc>
        <w:tc>
          <w:tcPr>
            <w:tcW w:w="1021" w:type="dxa"/>
          </w:tcPr>
          <w:p w14:paraId="4ED0B1D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16,104 </w:t>
            </w:r>
          </w:p>
        </w:tc>
        <w:tc>
          <w:tcPr>
            <w:tcW w:w="1021" w:type="dxa"/>
          </w:tcPr>
          <w:p w14:paraId="3744A7A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18,142 </w:t>
            </w:r>
          </w:p>
        </w:tc>
      </w:tr>
      <w:tr w:rsidR="00BE36FB" w:rsidRPr="009B7B35" w14:paraId="5936BAAB"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48096138" w14:textId="77777777" w:rsidR="00BE36FB" w:rsidRPr="009B7B35" w:rsidRDefault="00BE36FB" w:rsidP="001A7107">
            <w:pPr>
              <w:pStyle w:val="TableText"/>
              <w:rPr>
                <w:rFonts w:cs="Arial"/>
              </w:rPr>
            </w:pPr>
          </w:p>
        </w:tc>
        <w:tc>
          <w:tcPr>
            <w:tcW w:w="1842" w:type="dxa"/>
          </w:tcPr>
          <w:p w14:paraId="2AE38FD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14:paraId="7712E80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2B5D219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14:paraId="2EDED38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3566DAC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45E40F9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4A858545" w14:textId="77777777" w:rsidTr="001A7107">
        <w:trPr>
          <w:cnfStyle w:val="000000010000" w:firstRow="0" w:lastRow="0" w:firstColumn="0" w:lastColumn="0" w:oddVBand="0" w:evenVBand="0" w:oddHBand="0" w:evenHBand="1"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23A40F69" w14:textId="77777777" w:rsidR="00BE36FB" w:rsidRPr="009B7B35" w:rsidRDefault="00BE36FB" w:rsidP="001A7107">
            <w:pPr>
              <w:pStyle w:val="TableText"/>
              <w:rPr>
                <w:rFonts w:cs="Arial"/>
              </w:rPr>
            </w:pPr>
          </w:p>
        </w:tc>
        <w:tc>
          <w:tcPr>
            <w:tcW w:w="1842" w:type="dxa"/>
          </w:tcPr>
          <w:p w14:paraId="67EFE81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14:paraId="79A795F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927 </w:t>
            </w:r>
          </w:p>
        </w:tc>
        <w:tc>
          <w:tcPr>
            <w:tcW w:w="1021" w:type="dxa"/>
          </w:tcPr>
          <w:p w14:paraId="2D3210B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1,148 </w:t>
            </w:r>
          </w:p>
        </w:tc>
        <w:tc>
          <w:tcPr>
            <w:tcW w:w="1020" w:type="dxa"/>
          </w:tcPr>
          <w:p w14:paraId="74B8BFA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1,400 </w:t>
            </w:r>
          </w:p>
        </w:tc>
        <w:tc>
          <w:tcPr>
            <w:tcW w:w="1021" w:type="dxa"/>
          </w:tcPr>
          <w:p w14:paraId="6E9D752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1,599 </w:t>
            </w:r>
          </w:p>
        </w:tc>
        <w:tc>
          <w:tcPr>
            <w:tcW w:w="1021" w:type="dxa"/>
          </w:tcPr>
          <w:p w14:paraId="29A56E4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1,802 </w:t>
            </w:r>
          </w:p>
        </w:tc>
      </w:tr>
      <w:tr w:rsidR="00BE36FB" w:rsidRPr="009B7B35" w14:paraId="33DEA5E3"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7F568739" w14:textId="77777777" w:rsidR="00BE36FB" w:rsidRPr="009B7B35" w:rsidRDefault="00BE36FB" w:rsidP="001A7107">
            <w:pPr>
              <w:pStyle w:val="TableText"/>
              <w:rPr>
                <w:rFonts w:cs="Arial"/>
              </w:rPr>
            </w:pPr>
          </w:p>
        </w:tc>
        <w:tc>
          <w:tcPr>
            <w:tcW w:w="1842" w:type="dxa"/>
          </w:tcPr>
          <w:p w14:paraId="358E89C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14:paraId="3848325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44C0236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14:paraId="1A1ADA3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1331775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6BBC5A3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5966CB87" w14:textId="77777777" w:rsidTr="001A7107">
        <w:trPr>
          <w:cnfStyle w:val="000000010000" w:firstRow="0" w:lastRow="0" w:firstColumn="0" w:lastColumn="0" w:oddVBand="0" w:evenVBand="0" w:oddHBand="0" w:evenHBand="1"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694" w:type="dxa"/>
            <w:vMerge/>
          </w:tcPr>
          <w:p w14:paraId="7F8EB321" w14:textId="77777777" w:rsidR="00BE36FB" w:rsidRPr="009B7B35" w:rsidRDefault="00BE36FB" w:rsidP="001A7107">
            <w:pPr>
              <w:pStyle w:val="TableText"/>
              <w:rPr>
                <w:rFonts w:cs="Arial"/>
              </w:rPr>
            </w:pPr>
          </w:p>
        </w:tc>
        <w:tc>
          <w:tcPr>
            <w:tcW w:w="1842" w:type="dxa"/>
          </w:tcPr>
          <w:p w14:paraId="207AE5A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25C8606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13262BA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14:paraId="3A64706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3A3983C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4B821B8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2849E0A2" w14:textId="77777777"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14:paraId="579AF0CE" w14:textId="77777777" w:rsidR="00BE36FB" w:rsidRPr="009B7B35" w:rsidRDefault="00BE36FB" w:rsidP="001A7107">
            <w:pPr>
              <w:pStyle w:val="TableText"/>
              <w:rPr>
                <w:rFonts w:cs="Arial"/>
              </w:rPr>
            </w:pPr>
          </w:p>
        </w:tc>
        <w:tc>
          <w:tcPr>
            <w:tcW w:w="1842" w:type="dxa"/>
          </w:tcPr>
          <w:p w14:paraId="6E14E4D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1020" w:type="dxa"/>
          </w:tcPr>
          <w:p w14:paraId="329C6D1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10,264 </w:t>
            </w:r>
          </w:p>
        </w:tc>
        <w:tc>
          <w:tcPr>
            <w:tcW w:w="1021" w:type="dxa"/>
          </w:tcPr>
          <w:p w14:paraId="3612DD5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12,703 </w:t>
            </w:r>
          </w:p>
        </w:tc>
        <w:tc>
          <w:tcPr>
            <w:tcW w:w="1020" w:type="dxa"/>
          </w:tcPr>
          <w:p w14:paraId="0CC2D48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15,497 </w:t>
            </w:r>
          </w:p>
        </w:tc>
        <w:tc>
          <w:tcPr>
            <w:tcW w:w="1021" w:type="dxa"/>
          </w:tcPr>
          <w:p w14:paraId="295F610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17,704 </w:t>
            </w:r>
          </w:p>
        </w:tc>
        <w:tc>
          <w:tcPr>
            <w:tcW w:w="1021" w:type="dxa"/>
          </w:tcPr>
          <w:p w14:paraId="4B19652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19,944 </w:t>
            </w:r>
          </w:p>
        </w:tc>
      </w:tr>
      <w:tr w:rsidR="00BE36FB" w:rsidRPr="009B7B35" w14:paraId="7731AFBD"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353B766D" w14:textId="77777777" w:rsidR="00BE36FB" w:rsidRPr="009B7B35" w:rsidRDefault="00BE36FB" w:rsidP="001A7107">
            <w:pPr>
              <w:pStyle w:val="TableText"/>
              <w:rPr>
                <w:rFonts w:cs="Arial"/>
              </w:rPr>
            </w:pPr>
            <w:r w:rsidRPr="009B7B35">
              <w:rPr>
                <w:rFonts w:cs="Arial"/>
              </w:rPr>
              <w:t>Agnes Waters – Miriam Vale</w:t>
            </w:r>
          </w:p>
        </w:tc>
        <w:tc>
          <w:tcPr>
            <w:tcW w:w="1842" w:type="dxa"/>
          </w:tcPr>
          <w:p w14:paraId="453B09B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14:paraId="04EF99D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18,931 </w:t>
            </w:r>
          </w:p>
        </w:tc>
        <w:tc>
          <w:tcPr>
            <w:tcW w:w="1021" w:type="dxa"/>
          </w:tcPr>
          <w:p w14:paraId="76ED1B4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22,478 </w:t>
            </w:r>
          </w:p>
        </w:tc>
        <w:tc>
          <w:tcPr>
            <w:tcW w:w="1020" w:type="dxa"/>
          </w:tcPr>
          <w:p w14:paraId="013C54A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25,941 </w:t>
            </w:r>
          </w:p>
        </w:tc>
        <w:tc>
          <w:tcPr>
            <w:tcW w:w="1021" w:type="dxa"/>
          </w:tcPr>
          <w:p w14:paraId="028846D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29,414 </w:t>
            </w:r>
          </w:p>
        </w:tc>
        <w:tc>
          <w:tcPr>
            <w:tcW w:w="1021" w:type="dxa"/>
          </w:tcPr>
          <w:p w14:paraId="4112541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1,250 </w:t>
            </w:r>
          </w:p>
        </w:tc>
      </w:tr>
      <w:tr w:rsidR="00BE36FB" w:rsidRPr="009B7B35" w14:paraId="4E423CEA" w14:textId="77777777"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482FD707" w14:textId="77777777" w:rsidR="00BE36FB" w:rsidRPr="009B7B35" w:rsidRDefault="00BE36FB" w:rsidP="001A7107">
            <w:pPr>
              <w:pStyle w:val="TableText"/>
              <w:rPr>
                <w:rFonts w:cs="Arial"/>
              </w:rPr>
            </w:pPr>
          </w:p>
        </w:tc>
        <w:tc>
          <w:tcPr>
            <w:tcW w:w="1842" w:type="dxa"/>
          </w:tcPr>
          <w:p w14:paraId="6E58FAA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14:paraId="669429E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31,306 </w:t>
            </w:r>
          </w:p>
        </w:tc>
        <w:tc>
          <w:tcPr>
            <w:tcW w:w="1021" w:type="dxa"/>
          </w:tcPr>
          <w:p w14:paraId="5D18C2A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37,171 </w:t>
            </w:r>
          </w:p>
        </w:tc>
        <w:tc>
          <w:tcPr>
            <w:tcW w:w="1020" w:type="dxa"/>
          </w:tcPr>
          <w:p w14:paraId="19F0A04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42,896 </w:t>
            </w:r>
          </w:p>
        </w:tc>
        <w:tc>
          <w:tcPr>
            <w:tcW w:w="1021" w:type="dxa"/>
          </w:tcPr>
          <w:p w14:paraId="3F41267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48,640 </w:t>
            </w:r>
          </w:p>
        </w:tc>
        <w:tc>
          <w:tcPr>
            <w:tcW w:w="1021" w:type="dxa"/>
          </w:tcPr>
          <w:p w14:paraId="416EAF2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24,200 </w:t>
            </w:r>
          </w:p>
        </w:tc>
      </w:tr>
      <w:tr w:rsidR="00BE36FB" w:rsidRPr="009B7B35" w14:paraId="0472E885"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5E27BD5D" w14:textId="77777777" w:rsidR="00BE36FB" w:rsidRPr="009B7B35" w:rsidRDefault="00BE36FB" w:rsidP="001A7107">
            <w:pPr>
              <w:pStyle w:val="TableText"/>
              <w:rPr>
                <w:rFonts w:cs="Arial"/>
              </w:rPr>
            </w:pPr>
          </w:p>
        </w:tc>
        <w:tc>
          <w:tcPr>
            <w:tcW w:w="1842" w:type="dxa"/>
          </w:tcPr>
          <w:p w14:paraId="3598894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14:paraId="37D64EB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20,238 </w:t>
            </w:r>
          </w:p>
        </w:tc>
        <w:tc>
          <w:tcPr>
            <w:tcW w:w="1021" w:type="dxa"/>
          </w:tcPr>
          <w:p w14:paraId="3397977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24,030 </w:t>
            </w:r>
          </w:p>
        </w:tc>
        <w:tc>
          <w:tcPr>
            <w:tcW w:w="1020" w:type="dxa"/>
          </w:tcPr>
          <w:p w14:paraId="599B15F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27,731 </w:t>
            </w:r>
          </w:p>
        </w:tc>
        <w:tc>
          <w:tcPr>
            <w:tcW w:w="1021" w:type="dxa"/>
          </w:tcPr>
          <w:p w14:paraId="2DA654C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31,444 </w:t>
            </w:r>
          </w:p>
        </w:tc>
        <w:tc>
          <w:tcPr>
            <w:tcW w:w="1021" w:type="dxa"/>
          </w:tcPr>
          <w:p w14:paraId="610E80D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12,800 </w:t>
            </w:r>
          </w:p>
        </w:tc>
      </w:tr>
      <w:tr w:rsidR="00BE36FB" w:rsidRPr="009B7B35" w14:paraId="32D5C94B" w14:textId="77777777"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474EF34F" w14:textId="77777777" w:rsidR="00BE36FB" w:rsidRPr="009B7B35" w:rsidRDefault="00BE36FB" w:rsidP="001A7107">
            <w:pPr>
              <w:pStyle w:val="TableText"/>
              <w:rPr>
                <w:rFonts w:cs="Arial"/>
              </w:rPr>
            </w:pPr>
          </w:p>
        </w:tc>
        <w:tc>
          <w:tcPr>
            <w:tcW w:w="1842" w:type="dxa"/>
          </w:tcPr>
          <w:p w14:paraId="3AD8F1F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14:paraId="2FC8846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3A8B2E5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14:paraId="087CB24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32D0AB0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0A3F20B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35A2270E"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14:paraId="4E98156A" w14:textId="77777777" w:rsidR="00BE36FB" w:rsidRPr="009B7B35" w:rsidRDefault="00BE36FB" w:rsidP="001A7107">
            <w:pPr>
              <w:pStyle w:val="TableText"/>
              <w:rPr>
                <w:rFonts w:cs="Arial"/>
              </w:rPr>
            </w:pPr>
          </w:p>
        </w:tc>
        <w:tc>
          <w:tcPr>
            <w:tcW w:w="1842" w:type="dxa"/>
          </w:tcPr>
          <w:p w14:paraId="3B7A752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63EE07E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3DB115F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14:paraId="4DA536D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5634DAB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44B6D8A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5783AB9D" w14:textId="77777777" w:rsidTr="001A710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694" w:type="dxa"/>
            <w:vMerge/>
          </w:tcPr>
          <w:p w14:paraId="28C11A41" w14:textId="77777777" w:rsidR="00BE36FB" w:rsidRPr="009B7B35" w:rsidRDefault="00BE36FB" w:rsidP="001A7107">
            <w:pPr>
              <w:pStyle w:val="TableText"/>
              <w:rPr>
                <w:rFonts w:cs="Arial"/>
              </w:rPr>
            </w:pPr>
          </w:p>
        </w:tc>
        <w:tc>
          <w:tcPr>
            <w:tcW w:w="1842" w:type="dxa"/>
          </w:tcPr>
          <w:p w14:paraId="1319051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Total </w:t>
            </w:r>
          </w:p>
        </w:tc>
        <w:tc>
          <w:tcPr>
            <w:tcW w:w="1020" w:type="dxa"/>
          </w:tcPr>
          <w:p w14:paraId="41E5C05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70,475 </w:t>
            </w:r>
          </w:p>
        </w:tc>
        <w:tc>
          <w:tcPr>
            <w:tcW w:w="1021" w:type="dxa"/>
          </w:tcPr>
          <w:p w14:paraId="260F9F4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83,679 </w:t>
            </w:r>
          </w:p>
        </w:tc>
        <w:tc>
          <w:tcPr>
            <w:tcW w:w="1020" w:type="dxa"/>
          </w:tcPr>
          <w:p w14:paraId="405EDF1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96,568 </w:t>
            </w:r>
          </w:p>
        </w:tc>
        <w:tc>
          <w:tcPr>
            <w:tcW w:w="1021" w:type="dxa"/>
          </w:tcPr>
          <w:p w14:paraId="12A1E70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109,497 </w:t>
            </w:r>
          </w:p>
        </w:tc>
        <w:tc>
          <w:tcPr>
            <w:tcW w:w="1021" w:type="dxa"/>
          </w:tcPr>
          <w:p w14:paraId="6827BCD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38,250 </w:t>
            </w:r>
          </w:p>
        </w:tc>
      </w:tr>
      <w:tr w:rsidR="00BE36FB" w:rsidRPr="009B7B35" w14:paraId="676DE5B1"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715B9261" w14:textId="77777777" w:rsidR="00BE36FB" w:rsidRPr="009B7B35" w:rsidRDefault="00BE36FB" w:rsidP="001A7107">
            <w:pPr>
              <w:pStyle w:val="TableText"/>
              <w:rPr>
                <w:rFonts w:cs="Arial"/>
              </w:rPr>
            </w:pPr>
            <w:r w:rsidRPr="009B7B35">
              <w:rPr>
                <w:rFonts w:cs="Arial"/>
              </w:rPr>
              <w:t xml:space="preserve">Outside PIA </w:t>
            </w:r>
          </w:p>
        </w:tc>
        <w:tc>
          <w:tcPr>
            <w:tcW w:w="1842" w:type="dxa"/>
          </w:tcPr>
          <w:p w14:paraId="610B861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14:paraId="12247ED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9,877 </w:t>
            </w:r>
          </w:p>
        </w:tc>
        <w:tc>
          <w:tcPr>
            <w:tcW w:w="1021" w:type="dxa"/>
          </w:tcPr>
          <w:p w14:paraId="1D21FCE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10,309 </w:t>
            </w:r>
          </w:p>
        </w:tc>
        <w:tc>
          <w:tcPr>
            <w:tcW w:w="1020" w:type="dxa"/>
          </w:tcPr>
          <w:p w14:paraId="3BF10A9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10,628 </w:t>
            </w:r>
          </w:p>
        </w:tc>
        <w:tc>
          <w:tcPr>
            <w:tcW w:w="1021" w:type="dxa"/>
          </w:tcPr>
          <w:p w14:paraId="2930B57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10,628 </w:t>
            </w:r>
          </w:p>
        </w:tc>
        <w:tc>
          <w:tcPr>
            <w:tcW w:w="1021" w:type="dxa"/>
          </w:tcPr>
          <w:p w14:paraId="4CAEC2A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625 </w:t>
            </w:r>
          </w:p>
        </w:tc>
      </w:tr>
      <w:tr w:rsidR="00BE36FB" w:rsidRPr="009B7B35" w14:paraId="7F12772D"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7E11A884" w14:textId="77777777" w:rsidR="00BE36FB" w:rsidRPr="009B7B35" w:rsidRDefault="00BE36FB" w:rsidP="001A7107">
            <w:pPr>
              <w:pStyle w:val="TableText"/>
              <w:rPr>
                <w:rFonts w:cs="Arial"/>
              </w:rPr>
            </w:pPr>
          </w:p>
        </w:tc>
        <w:tc>
          <w:tcPr>
            <w:tcW w:w="1842" w:type="dxa"/>
          </w:tcPr>
          <w:p w14:paraId="067ABB6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14:paraId="2D74242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5B9CB04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0" w:type="dxa"/>
          </w:tcPr>
          <w:p w14:paraId="2524980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07E7EE8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c>
          <w:tcPr>
            <w:tcW w:w="1021" w:type="dxa"/>
          </w:tcPr>
          <w:p w14:paraId="67B753B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12,100 </w:t>
            </w:r>
          </w:p>
        </w:tc>
      </w:tr>
      <w:tr w:rsidR="00BE36FB" w:rsidRPr="009B7B35" w14:paraId="7AE7F58F" w14:textId="77777777" w:rsidTr="001A7107">
        <w:trPr>
          <w:cnfStyle w:val="000000010000" w:firstRow="0" w:lastRow="0" w:firstColumn="0" w:lastColumn="0" w:oddVBand="0" w:evenVBand="0" w:oddHBand="0" w:evenHBand="1"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0272FD4D" w14:textId="77777777" w:rsidR="00BE36FB" w:rsidRPr="009B7B35" w:rsidRDefault="00BE36FB" w:rsidP="001A7107">
            <w:pPr>
              <w:pStyle w:val="TableText"/>
              <w:rPr>
                <w:rFonts w:cs="Arial"/>
              </w:rPr>
            </w:pPr>
          </w:p>
        </w:tc>
        <w:tc>
          <w:tcPr>
            <w:tcW w:w="1842" w:type="dxa"/>
          </w:tcPr>
          <w:p w14:paraId="106C218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14:paraId="1F4E23F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57,068 </w:t>
            </w:r>
          </w:p>
        </w:tc>
        <w:tc>
          <w:tcPr>
            <w:tcW w:w="1021" w:type="dxa"/>
          </w:tcPr>
          <w:p w14:paraId="13C76E6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59,561 </w:t>
            </w:r>
          </w:p>
        </w:tc>
        <w:tc>
          <w:tcPr>
            <w:tcW w:w="1020" w:type="dxa"/>
          </w:tcPr>
          <w:p w14:paraId="64E29EC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61,406 </w:t>
            </w:r>
          </w:p>
        </w:tc>
        <w:tc>
          <w:tcPr>
            <w:tcW w:w="1021" w:type="dxa"/>
          </w:tcPr>
          <w:p w14:paraId="64F16DA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61,406 </w:t>
            </w:r>
          </w:p>
        </w:tc>
        <w:tc>
          <w:tcPr>
            <w:tcW w:w="1021" w:type="dxa"/>
          </w:tcPr>
          <w:p w14:paraId="1D08EFE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6,400 </w:t>
            </w:r>
          </w:p>
        </w:tc>
      </w:tr>
      <w:tr w:rsidR="00BE36FB" w:rsidRPr="009B7B35" w14:paraId="7B239874"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2FC47931" w14:textId="77777777" w:rsidR="00BE36FB" w:rsidRPr="009B7B35" w:rsidRDefault="00BE36FB" w:rsidP="001A7107">
            <w:pPr>
              <w:pStyle w:val="TableText"/>
              <w:rPr>
                <w:rFonts w:cs="Arial"/>
              </w:rPr>
            </w:pPr>
          </w:p>
        </w:tc>
        <w:tc>
          <w:tcPr>
            <w:tcW w:w="1842" w:type="dxa"/>
          </w:tcPr>
          <w:p w14:paraId="1F6A2B9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14:paraId="4716EAB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4,742 </w:t>
            </w:r>
          </w:p>
        </w:tc>
        <w:tc>
          <w:tcPr>
            <w:tcW w:w="1021" w:type="dxa"/>
          </w:tcPr>
          <w:p w14:paraId="5537446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4,949 </w:t>
            </w:r>
          </w:p>
        </w:tc>
        <w:tc>
          <w:tcPr>
            <w:tcW w:w="1020" w:type="dxa"/>
          </w:tcPr>
          <w:p w14:paraId="4448CA3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5,103 </w:t>
            </w:r>
          </w:p>
        </w:tc>
        <w:tc>
          <w:tcPr>
            <w:tcW w:w="1021" w:type="dxa"/>
          </w:tcPr>
          <w:p w14:paraId="37815CF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5,103 </w:t>
            </w:r>
          </w:p>
        </w:tc>
        <w:tc>
          <w:tcPr>
            <w:tcW w:w="1021" w:type="dxa"/>
          </w:tcPr>
          <w:p w14:paraId="78D76AA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0 </w:t>
            </w:r>
          </w:p>
        </w:tc>
      </w:tr>
      <w:tr w:rsidR="00BE36FB" w:rsidRPr="009B7B35" w14:paraId="03090392" w14:textId="77777777" w:rsidTr="001A7107">
        <w:trPr>
          <w:cnfStyle w:val="000000010000" w:firstRow="0" w:lastRow="0" w:firstColumn="0" w:lastColumn="0" w:oddVBand="0" w:evenVBand="0" w:oddHBand="0" w:evenHBand="1"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694" w:type="dxa"/>
            <w:vMerge/>
          </w:tcPr>
          <w:p w14:paraId="1F9C89DC" w14:textId="77777777" w:rsidR="00BE36FB" w:rsidRPr="009B7B35" w:rsidRDefault="00BE36FB" w:rsidP="001A7107">
            <w:pPr>
              <w:pStyle w:val="TableText"/>
              <w:rPr>
                <w:rFonts w:cs="Arial"/>
              </w:rPr>
            </w:pPr>
          </w:p>
        </w:tc>
        <w:tc>
          <w:tcPr>
            <w:tcW w:w="1842" w:type="dxa"/>
          </w:tcPr>
          <w:p w14:paraId="5361902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60E493E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3C0A7C9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14:paraId="795AF39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313ED06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51CEBBD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43CDADCD" w14:textId="77777777"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14:paraId="0BDAB110" w14:textId="77777777" w:rsidR="00BE36FB" w:rsidRPr="009B7B35" w:rsidRDefault="00BE36FB" w:rsidP="001A7107">
            <w:pPr>
              <w:pStyle w:val="TableText"/>
              <w:rPr>
                <w:rFonts w:cs="Arial"/>
              </w:rPr>
            </w:pPr>
          </w:p>
        </w:tc>
        <w:tc>
          <w:tcPr>
            <w:tcW w:w="1842" w:type="dxa"/>
          </w:tcPr>
          <w:p w14:paraId="5FC76F0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1020" w:type="dxa"/>
          </w:tcPr>
          <w:p w14:paraId="00FC5E6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71,688 </w:t>
            </w:r>
          </w:p>
        </w:tc>
        <w:tc>
          <w:tcPr>
            <w:tcW w:w="1021" w:type="dxa"/>
          </w:tcPr>
          <w:p w14:paraId="6CBF007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74,819 </w:t>
            </w:r>
          </w:p>
        </w:tc>
        <w:tc>
          <w:tcPr>
            <w:tcW w:w="1020" w:type="dxa"/>
          </w:tcPr>
          <w:p w14:paraId="7681CE0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77,137 </w:t>
            </w:r>
          </w:p>
        </w:tc>
        <w:tc>
          <w:tcPr>
            <w:tcW w:w="1021" w:type="dxa"/>
          </w:tcPr>
          <w:p w14:paraId="6CC94D5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77,137 </w:t>
            </w:r>
          </w:p>
        </w:tc>
        <w:tc>
          <w:tcPr>
            <w:tcW w:w="1021" w:type="dxa"/>
          </w:tcPr>
          <w:p w14:paraId="01A8CD0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19,125 </w:t>
            </w:r>
          </w:p>
        </w:tc>
      </w:tr>
      <w:tr w:rsidR="00BE36FB" w:rsidRPr="009B7B35" w14:paraId="3DC0DBD6"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val="restart"/>
          </w:tcPr>
          <w:p w14:paraId="449176C7" w14:textId="77777777" w:rsidR="00BE36FB" w:rsidRPr="009B7B35" w:rsidRDefault="00BE36FB" w:rsidP="001A7107">
            <w:pPr>
              <w:pStyle w:val="TableText"/>
              <w:rPr>
                <w:rFonts w:cs="Arial"/>
              </w:rPr>
            </w:pPr>
            <w:r w:rsidRPr="009B7B35">
              <w:rPr>
                <w:rFonts w:cs="Arial"/>
              </w:rPr>
              <w:t xml:space="preserve">Gladstone Regional Area </w:t>
            </w:r>
          </w:p>
        </w:tc>
        <w:tc>
          <w:tcPr>
            <w:tcW w:w="1842" w:type="dxa"/>
          </w:tcPr>
          <w:p w14:paraId="1B86856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Commercial </w:t>
            </w:r>
          </w:p>
        </w:tc>
        <w:tc>
          <w:tcPr>
            <w:tcW w:w="1020" w:type="dxa"/>
          </w:tcPr>
          <w:p w14:paraId="12B8F42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880,592 </w:t>
            </w:r>
          </w:p>
        </w:tc>
        <w:tc>
          <w:tcPr>
            <w:tcW w:w="1021" w:type="dxa"/>
          </w:tcPr>
          <w:p w14:paraId="5C7C0C7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929,254 </w:t>
            </w:r>
          </w:p>
        </w:tc>
        <w:tc>
          <w:tcPr>
            <w:tcW w:w="1020" w:type="dxa"/>
          </w:tcPr>
          <w:p w14:paraId="1DF6C17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969,816 </w:t>
            </w:r>
          </w:p>
        </w:tc>
        <w:tc>
          <w:tcPr>
            <w:tcW w:w="1021" w:type="dxa"/>
          </w:tcPr>
          <w:p w14:paraId="1E69C23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1,065,857 </w:t>
            </w:r>
          </w:p>
        </w:tc>
        <w:tc>
          <w:tcPr>
            <w:tcW w:w="1021" w:type="dxa"/>
          </w:tcPr>
          <w:p w14:paraId="5A4C576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1,125,269 </w:t>
            </w:r>
          </w:p>
        </w:tc>
      </w:tr>
      <w:tr w:rsidR="00BE36FB" w:rsidRPr="009B7B35" w14:paraId="5DE93565" w14:textId="77777777" w:rsidTr="001A7107">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2ABE720A" w14:textId="77777777" w:rsidR="00BE36FB" w:rsidRPr="009B7B35" w:rsidRDefault="00BE36FB" w:rsidP="001A7107">
            <w:pPr>
              <w:pStyle w:val="TableText"/>
              <w:rPr>
                <w:rFonts w:cs="Arial"/>
              </w:rPr>
            </w:pPr>
          </w:p>
        </w:tc>
        <w:tc>
          <w:tcPr>
            <w:tcW w:w="1842" w:type="dxa"/>
          </w:tcPr>
          <w:p w14:paraId="6729C68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Retail </w:t>
            </w:r>
          </w:p>
        </w:tc>
        <w:tc>
          <w:tcPr>
            <w:tcW w:w="1020" w:type="dxa"/>
          </w:tcPr>
          <w:p w14:paraId="48B2A55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31,306 </w:t>
            </w:r>
          </w:p>
        </w:tc>
        <w:tc>
          <w:tcPr>
            <w:tcW w:w="1021" w:type="dxa"/>
          </w:tcPr>
          <w:p w14:paraId="087D516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37,171 </w:t>
            </w:r>
          </w:p>
        </w:tc>
        <w:tc>
          <w:tcPr>
            <w:tcW w:w="1020" w:type="dxa"/>
          </w:tcPr>
          <w:p w14:paraId="4AA86D4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42,896 </w:t>
            </w:r>
          </w:p>
        </w:tc>
        <w:tc>
          <w:tcPr>
            <w:tcW w:w="1021" w:type="dxa"/>
          </w:tcPr>
          <w:p w14:paraId="3A75119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48,640 </w:t>
            </w:r>
          </w:p>
        </w:tc>
        <w:tc>
          <w:tcPr>
            <w:tcW w:w="1021" w:type="dxa"/>
          </w:tcPr>
          <w:p w14:paraId="38317F3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36,300 </w:t>
            </w:r>
          </w:p>
        </w:tc>
      </w:tr>
      <w:tr w:rsidR="00BE36FB" w:rsidRPr="009B7B35" w14:paraId="76E50DDE" w14:textId="77777777" w:rsidTr="001A7107">
        <w:trPr>
          <w:cnfStyle w:val="000000010000" w:firstRow="0" w:lastRow="0" w:firstColumn="0" w:lastColumn="0" w:oddVBand="0" w:evenVBand="0" w:oddHBand="0" w:evenHBand="1"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694" w:type="dxa"/>
            <w:vMerge/>
          </w:tcPr>
          <w:p w14:paraId="56B23F2E" w14:textId="77777777" w:rsidR="00BE36FB" w:rsidRPr="009B7B35" w:rsidRDefault="00BE36FB" w:rsidP="001A7107">
            <w:pPr>
              <w:pStyle w:val="TableText"/>
              <w:rPr>
                <w:rFonts w:cs="Arial"/>
              </w:rPr>
            </w:pPr>
          </w:p>
        </w:tc>
        <w:tc>
          <w:tcPr>
            <w:tcW w:w="1842" w:type="dxa"/>
          </w:tcPr>
          <w:p w14:paraId="0F2E993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Industrial </w:t>
            </w:r>
          </w:p>
        </w:tc>
        <w:tc>
          <w:tcPr>
            <w:tcW w:w="1020" w:type="dxa"/>
          </w:tcPr>
          <w:p w14:paraId="09B95E4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550,540 </w:t>
            </w:r>
          </w:p>
        </w:tc>
        <w:tc>
          <w:tcPr>
            <w:tcW w:w="1021" w:type="dxa"/>
          </w:tcPr>
          <w:p w14:paraId="276193B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622,460 </w:t>
            </w:r>
          </w:p>
        </w:tc>
        <w:tc>
          <w:tcPr>
            <w:tcW w:w="1020" w:type="dxa"/>
          </w:tcPr>
          <w:p w14:paraId="656CC4D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698,918 </w:t>
            </w:r>
          </w:p>
        </w:tc>
        <w:tc>
          <w:tcPr>
            <w:tcW w:w="1021" w:type="dxa"/>
          </w:tcPr>
          <w:p w14:paraId="18C88BD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816,417 </w:t>
            </w:r>
          </w:p>
        </w:tc>
        <w:tc>
          <w:tcPr>
            <w:tcW w:w="1021" w:type="dxa"/>
          </w:tcPr>
          <w:p w14:paraId="60AA0DE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851,744 </w:t>
            </w:r>
          </w:p>
        </w:tc>
      </w:tr>
      <w:tr w:rsidR="00BE36FB" w:rsidRPr="009B7B35" w14:paraId="5CA487B4" w14:textId="77777777" w:rsidTr="001A7107">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694" w:type="dxa"/>
            <w:vMerge/>
          </w:tcPr>
          <w:p w14:paraId="4C51F682" w14:textId="77777777" w:rsidR="00BE36FB" w:rsidRPr="009B7B35" w:rsidRDefault="00BE36FB" w:rsidP="001A7107">
            <w:pPr>
              <w:pStyle w:val="TableText"/>
              <w:rPr>
                <w:rFonts w:cs="Arial"/>
              </w:rPr>
            </w:pPr>
          </w:p>
        </w:tc>
        <w:tc>
          <w:tcPr>
            <w:tcW w:w="1842" w:type="dxa"/>
          </w:tcPr>
          <w:p w14:paraId="7F6AB29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Community </w:t>
            </w:r>
          </w:p>
        </w:tc>
        <w:tc>
          <w:tcPr>
            <w:tcW w:w="1020" w:type="dxa"/>
          </w:tcPr>
          <w:p w14:paraId="3B5325A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127,911 </w:t>
            </w:r>
          </w:p>
        </w:tc>
        <w:tc>
          <w:tcPr>
            <w:tcW w:w="1021" w:type="dxa"/>
          </w:tcPr>
          <w:p w14:paraId="7FD736E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133,499 </w:t>
            </w:r>
          </w:p>
        </w:tc>
        <w:tc>
          <w:tcPr>
            <w:tcW w:w="1020" w:type="dxa"/>
          </w:tcPr>
          <w:p w14:paraId="7E6121B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137,633 </w:t>
            </w:r>
          </w:p>
        </w:tc>
        <w:tc>
          <w:tcPr>
            <w:tcW w:w="1021" w:type="dxa"/>
          </w:tcPr>
          <w:p w14:paraId="6F574A8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152,574 </w:t>
            </w:r>
          </w:p>
        </w:tc>
        <w:tc>
          <w:tcPr>
            <w:tcW w:w="1021" w:type="dxa"/>
          </w:tcPr>
          <w:p w14:paraId="02D2662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162,270 </w:t>
            </w:r>
          </w:p>
        </w:tc>
      </w:tr>
      <w:tr w:rsidR="00BE36FB" w:rsidRPr="009B7B35" w14:paraId="6AA7A9A4" w14:textId="77777777" w:rsidTr="001A710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694" w:type="dxa"/>
            <w:vMerge/>
          </w:tcPr>
          <w:p w14:paraId="2EF6F96F" w14:textId="77777777" w:rsidR="00BE36FB" w:rsidRPr="009B7B35" w:rsidRDefault="00BE36FB" w:rsidP="001A7107">
            <w:pPr>
              <w:pStyle w:val="TableText"/>
              <w:rPr>
                <w:rFonts w:cs="Arial"/>
              </w:rPr>
            </w:pPr>
          </w:p>
        </w:tc>
        <w:tc>
          <w:tcPr>
            <w:tcW w:w="1842" w:type="dxa"/>
          </w:tcPr>
          <w:p w14:paraId="53CBD72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Other# </w:t>
            </w:r>
          </w:p>
        </w:tc>
        <w:tc>
          <w:tcPr>
            <w:tcW w:w="1020" w:type="dxa"/>
          </w:tcPr>
          <w:p w14:paraId="4E0A36C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78E560C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0" w:type="dxa"/>
          </w:tcPr>
          <w:p w14:paraId="12BF0B1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46182B0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c>
          <w:tcPr>
            <w:tcW w:w="1021" w:type="dxa"/>
          </w:tcPr>
          <w:p w14:paraId="2837403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0 </w:t>
            </w:r>
          </w:p>
        </w:tc>
      </w:tr>
      <w:tr w:rsidR="00BE36FB" w:rsidRPr="009B7B35" w14:paraId="18F4BAEE" w14:textId="77777777" w:rsidTr="001A710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94" w:type="dxa"/>
            <w:vMerge/>
          </w:tcPr>
          <w:p w14:paraId="3D23D7BD" w14:textId="77777777" w:rsidR="00BE36FB" w:rsidRPr="009B7B35" w:rsidRDefault="00BE36FB" w:rsidP="001A7107">
            <w:pPr>
              <w:pStyle w:val="TableText"/>
              <w:rPr>
                <w:rFonts w:cs="Arial"/>
              </w:rPr>
            </w:pPr>
          </w:p>
        </w:tc>
        <w:tc>
          <w:tcPr>
            <w:tcW w:w="1842" w:type="dxa"/>
          </w:tcPr>
          <w:p w14:paraId="23183B5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Total </w:t>
            </w:r>
          </w:p>
        </w:tc>
        <w:tc>
          <w:tcPr>
            <w:tcW w:w="1020" w:type="dxa"/>
          </w:tcPr>
          <w:p w14:paraId="73AA201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1,590,350 </w:t>
            </w:r>
          </w:p>
        </w:tc>
        <w:tc>
          <w:tcPr>
            <w:tcW w:w="1021" w:type="dxa"/>
          </w:tcPr>
          <w:p w14:paraId="609F2E1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1,722,383 </w:t>
            </w:r>
          </w:p>
        </w:tc>
        <w:tc>
          <w:tcPr>
            <w:tcW w:w="1020" w:type="dxa"/>
          </w:tcPr>
          <w:p w14:paraId="55B7E05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1,849,263 </w:t>
            </w:r>
          </w:p>
        </w:tc>
        <w:tc>
          <w:tcPr>
            <w:tcW w:w="1021" w:type="dxa"/>
          </w:tcPr>
          <w:p w14:paraId="0A25C44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2,083,487 </w:t>
            </w:r>
          </w:p>
        </w:tc>
        <w:tc>
          <w:tcPr>
            <w:tcW w:w="1021" w:type="dxa"/>
          </w:tcPr>
          <w:p w14:paraId="65E8398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2,175,583 </w:t>
            </w:r>
          </w:p>
        </w:tc>
      </w:tr>
    </w:tbl>
    <w:p w14:paraId="7FB3F4BB" w14:textId="77777777" w:rsidR="00BE36FB" w:rsidRPr="009B7B35" w:rsidRDefault="00BE36FB" w:rsidP="001A7107">
      <w:pPr>
        <w:pStyle w:val="Heading9"/>
        <w:numPr>
          <w:ilvl w:val="0"/>
          <w:numId w:val="0"/>
        </w:numPr>
        <w:rPr>
          <w:rFonts w:cs="Arial"/>
          <w:sz w:val="20"/>
        </w:rPr>
      </w:pPr>
      <w:r w:rsidRPr="009B7B35">
        <w:rPr>
          <w:rFonts w:cs="Arial"/>
          <w:sz w:val="20"/>
        </w:rPr>
        <w:t>Table SC3.1.7—Existing and projected demand for the water supply network</w:t>
      </w:r>
    </w:p>
    <w:tbl>
      <w:tblPr>
        <w:tblStyle w:val="Tablestyle"/>
        <w:tblW w:w="9639" w:type="dxa"/>
        <w:tblLayout w:type="fixed"/>
        <w:tblLook w:val="04A0" w:firstRow="1" w:lastRow="0" w:firstColumn="1" w:lastColumn="0" w:noHBand="0" w:noVBand="1"/>
      </w:tblPr>
      <w:tblGrid>
        <w:gridCol w:w="1843"/>
        <w:gridCol w:w="2268"/>
        <w:gridCol w:w="1105"/>
        <w:gridCol w:w="1106"/>
        <w:gridCol w:w="1105"/>
        <w:gridCol w:w="1106"/>
        <w:gridCol w:w="1106"/>
      </w:tblGrid>
      <w:tr w:rsidR="00BE36FB" w:rsidRPr="009B7B35" w14:paraId="606EB09C" w14:textId="77777777" w:rsidTr="001A7107">
        <w:trPr>
          <w:cnfStyle w:val="100000000000" w:firstRow="1" w:lastRow="0" w:firstColumn="0" w:lastColumn="0" w:oddVBand="0" w:evenVBand="0" w:oddHBand="0"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4111" w:type="dxa"/>
            <w:gridSpan w:val="2"/>
          </w:tcPr>
          <w:p w14:paraId="35C09395" w14:textId="77777777" w:rsidR="00BE36FB" w:rsidRPr="009B7B35" w:rsidRDefault="00BE36FB" w:rsidP="001A7107">
            <w:pPr>
              <w:pStyle w:val="TableText"/>
              <w:rPr>
                <w:rFonts w:cs="Arial"/>
              </w:rPr>
            </w:pPr>
            <w:r w:rsidRPr="009B7B35">
              <w:rPr>
                <w:rFonts w:cs="Arial"/>
              </w:rPr>
              <w:t>Column 1</w:t>
            </w:r>
          </w:p>
          <w:p w14:paraId="37EA9977" w14:textId="77777777" w:rsidR="00BE36FB" w:rsidRPr="009B7B35" w:rsidRDefault="00BE36FB" w:rsidP="001A7107">
            <w:pPr>
              <w:pStyle w:val="TableText"/>
              <w:rPr>
                <w:rFonts w:cs="Arial"/>
              </w:rPr>
            </w:pPr>
            <w:r w:rsidRPr="009B7B35">
              <w:rPr>
                <w:rFonts w:cs="Arial"/>
              </w:rPr>
              <w:t xml:space="preserve">Service catchment </w:t>
            </w:r>
          </w:p>
        </w:tc>
        <w:tc>
          <w:tcPr>
            <w:tcW w:w="5528" w:type="dxa"/>
            <w:gridSpan w:val="5"/>
          </w:tcPr>
          <w:p w14:paraId="3E0E3802"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14:paraId="42876D08"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Existing and projected demand (EP)</w:t>
            </w:r>
          </w:p>
        </w:tc>
      </w:tr>
      <w:tr w:rsidR="00BE36FB" w:rsidRPr="009B7B35" w14:paraId="7C7F523A" w14:textId="77777777"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14:paraId="117A2F4F" w14:textId="77777777" w:rsidR="00BE36FB" w:rsidRPr="009B7B35" w:rsidRDefault="00BE36FB" w:rsidP="001A7107">
            <w:pPr>
              <w:pStyle w:val="TableText"/>
              <w:rPr>
                <w:rFonts w:cs="Arial"/>
                <w:b/>
              </w:rPr>
            </w:pPr>
            <w:r w:rsidRPr="009B7B35">
              <w:rPr>
                <w:rFonts w:cs="Arial"/>
                <w:b/>
              </w:rPr>
              <w:t xml:space="preserve">Catchment no </w:t>
            </w:r>
          </w:p>
        </w:tc>
        <w:tc>
          <w:tcPr>
            <w:tcW w:w="2268" w:type="dxa"/>
          </w:tcPr>
          <w:p w14:paraId="1775ACF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Catchment name (*) </w:t>
            </w:r>
          </w:p>
        </w:tc>
        <w:tc>
          <w:tcPr>
            <w:tcW w:w="1105" w:type="dxa"/>
          </w:tcPr>
          <w:p w14:paraId="187A1DB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2012</w:t>
            </w:r>
          </w:p>
        </w:tc>
        <w:tc>
          <w:tcPr>
            <w:tcW w:w="1106" w:type="dxa"/>
          </w:tcPr>
          <w:p w14:paraId="1FD3752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2017</w:t>
            </w:r>
          </w:p>
        </w:tc>
        <w:tc>
          <w:tcPr>
            <w:tcW w:w="1105" w:type="dxa"/>
          </w:tcPr>
          <w:p w14:paraId="0E41904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2022</w:t>
            </w:r>
          </w:p>
        </w:tc>
        <w:tc>
          <w:tcPr>
            <w:tcW w:w="1106" w:type="dxa"/>
          </w:tcPr>
          <w:p w14:paraId="04483E4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2027</w:t>
            </w:r>
          </w:p>
        </w:tc>
        <w:tc>
          <w:tcPr>
            <w:tcW w:w="1106" w:type="dxa"/>
          </w:tcPr>
          <w:p w14:paraId="628AA8E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2032</w:t>
            </w:r>
          </w:p>
        </w:tc>
      </w:tr>
      <w:tr w:rsidR="00BE36FB" w:rsidRPr="009B7B35" w14:paraId="2C410BB0" w14:textId="77777777"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14:paraId="3B827BDF" w14:textId="77777777" w:rsidR="00BE36FB" w:rsidRPr="009B7B35" w:rsidRDefault="00BE36FB" w:rsidP="001A7107">
            <w:pPr>
              <w:pStyle w:val="TableText"/>
              <w:rPr>
                <w:rFonts w:cs="Arial"/>
              </w:rPr>
            </w:pPr>
            <w:r w:rsidRPr="009B7B35">
              <w:rPr>
                <w:rFonts w:cs="Arial"/>
              </w:rPr>
              <w:t>Gladstone</w:t>
            </w:r>
          </w:p>
        </w:tc>
        <w:tc>
          <w:tcPr>
            <w:tcW w:w="2268" w:type="dxa"/>
          </w:tcPr>
          <w:p w14:paraId="17D6FD2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Gladstone </w:t>
            </w:r>
          </w:p>
        </w:tc>
        <w:tc>
          <w:tcPr>
            <w:tcW w:w="1105" w:type="dxa"/>
          </w:tcPr>
          <w:p w14:paraId="2DBA33D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33,215</w:t>
            </w:r>
          </w:p>
        </w:tc>
        <w:tc>
          <w:tcPr>
            <w:tcW w:w="1106" w:type="dxa"/>
          </w:tcPr>
          <w:p w14:paraId="5B633F7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38,768</w:t>
            </w:r>
          </w:p>
        </w:tc>
        <w:tc>
          <w:tcPr>
            <w:tcW w:w="1105" w:type="dxa"/>
          </w:tcPr>
          <w:p w14:paraId="0987280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43,072</w:t>
            </w:r>
          </w:p>
        </w:tc>
        <w:tc>
          <w:tcPr>
            <w:tcW w:w="1106" w:type="dxa"/>
          </w:tcPr>
          <w:p w14:paraId="21166B6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48,071</w:t>
            </w:r>
          </w:p>
        </w:tc>
        <w:tc>
          <w:tcPr>
            <w:tcW w:w="1106" w:type="dxa"/>
          </w:tcPr>
          <w:p w14:paraId="7424363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52,900</w:t>
            </w:r>
          </w:p>
        </w:tc>
      </w:tr>
      <w:tr w:rsidR="00BE36FB" w:rsidRPr="009B7B35" w14:paraId="5B14AEBA" w14:textId="77777777"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14:paraId="566A36D4" w14:textId="77777777" w:rsidR="00BE36FB" w:rsidRPr="009B7B35" w:rsidRDefault="00BE36FB" w:rsidP="001A7107">
            <w:pPr>
              <w:pStyle w:val="TableText"/>
              <w:rPr>
                <w:rFonts w:cs="Arial"/>
              </w:rPr>
            </w:pPr>
            <w:r w:rsidRPr="009B7B35">
              <w:rPr>
                <w:rFonts w:cs="Arial"/>
              </w:rPr>
              <w:t>BTC</w:t>
            </w:r>
          </w:p>
        </w:tc>
        <w:tc>
          <w:tcPr>
            <w:tcW w:w="2268" w:type="dxa"/>
          </w:tcPr>
          <w:p w14:paraId="43C63F5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Boyne/Tannum/Calliope Village </w:t>
            </w:r>
          </w:p>
        </w:tc>
        <w:tc>
          <w:tcPr>
            <w:tcW w:w="1105" w:type="dxa"/>
          </w:tcPr>
          <w:p w14:paraId="27784AF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6,868</w:t>
            </w:r>
          </w:p>
        </w:tc>
        <w:tc>
          <w:tcPr>
            <w:tcW w:w="1106" w:type="dxa"/>
          </w:tcPr>
          <w:p w14:paraId="4CE0AA3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8,012</w:t>
            </w:r>
          </w:p>
        </w:tc>
        <w:tc>
          <w:tcPr>
            <w:tcW w:w="1105" w:type="dxa"/>
          </w:tcPr>
          <w:p w14:paraId="61EEDA9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9,242</w:t>
            </w:r>
          </w:p>
        </w:tc>
        <w:tc>
          <w:tcPr>
            <w:tcW w:w="1106" w:type="dxa"/>
          </w:tcPr>
          <w:p w14:paraId="2343DDA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9,242</w:t>
            </w:r>
          </w:p>
        </w:tc>
        <w:tc>
          <w:tcPr>
            <w:tcW w:w="1106" w:type="dxa"/>
          </w:tcPr>
          <w:p w14:paraId="7D9BBFA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29,606</w:t>
            </w:r>
          </w:p>
        </w:tc>
      </w:tr>
      <w:tr w:rsidR="00BE36FB" w:rsidRPr="009B7B35" w14:paraId="4A58CBB9" w14:textId="77777777"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14:paraId="43800AFC" w14:textId="77777777" w:rsidR="00BE36FB" w:rsidRPr="009B7B35" w:rsidRDefault="00BE36FB" w:rsidP="001A7107">
            <w:pPr>
              <w:pStyle w:val="TableText"/>
              <w:rPr>
                <w:rFonts w:cs="Arial"/>
              </w:rPr>
            </w:pPr>
            <w:r w:rsidRPr="009B7B35">
              <w:rPr>
                <w:rFonts w:cs="Arial"/>
              </w:rPr>
              <w:t>BTC</w:t>
            </w:r>
          </w:p>
        </w:tc>
        <w:tc>
          <w:tcPr>
            <w:tcW w:w="2268" w:type="dxa"/>
          </w:tcPr>
          <w:p w14:paraId="2232313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Beecher</w:t>
            </w:r>
          </w:p>
        </w:tc>
        <w:tc>
          <w:tcPr>
            <w:tcW w:w="1105" w:type="dxa"/>
          </w:tcPr>
          <w:p w14:paraId="7A97431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370</w:t>
            </w:r>
          </w:p>
        </w:tc>
        <w:tc>
          <w:tcPr>
            <w:tcW w:w="1106" w:type="dxa"/>
          </w:tcPr>
          <w:p w14:paraId="17F53B4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431</w:t>
            </w:r>
          </w:p>
        </w:tc>
        <w:tc>
          <w:tcPr>
            <w:tcW w:w="1105" w:type="dxa"/>
          </w:tcPr>
          <w:p w14:paraId="35EF9A3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498</w:t>
            </w:r>
          </w:p>
        </w:tc>
        <w:tc>
          <w:tcPr>
            <w:tcW w:w="1106" w:type="dxa"/>
          </w:tcPr>
          <w:p w14:paraId="43FBE2C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574</w:t>
            </w:r>
          </w:p>
        </w:tc>
        <w:tc>
          <w:tcPr>
            <w:tcW w:w="1106" w:type="dxa"/>
          </w:tcPr>
          <w:p w14:paraId="3137F25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1,062</w:t>
            </w:r>
          </w:p>
        </w:tc>
      </w:tr>
      <w:tr w:rsidR="00BE36FB" w:rsidRPr="009B7B35" w14:paraId="278B4383" w14:textId="77777777"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14:paraId="4B8C430F" w14:textId="77777777" w:rsidR="00BE36FB" w:rsidRPr="009B7B35" w:rsidRDefault="00BE36FB" w:rsidP="001A7107">
            <w:pPr>
              <w:pStyle w:val="TableText"/>
              <w:rPr>
                <w:rFonts w:cs="Arial"/>
              </w:rPr>
            </w:pPr>
            <w:r w:rsidRPr="009B7B35">
              <w:rPr>
                <w:rFonts w:cs="Arial"/>
              </w:rPr>
              <w:t>ML</w:t>
            </w:r>
          </w:p>
        </w:tc>
        <w:tc>
          <w:tcPr>
            <w:tcW w:w="2268" w:type="dxa"/>
          </w:tcPr>
          <w:p w14:paraId="5EF581E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Mt Larcom</w:t>
            </w:r>
          </w:p>
        </w:tc>
        <w:tc>
          <w:tcPr>
            <w:tcW w:w="1105" w:type="dxa"/>
          </w:tcPr>
          <w:p w14:paraId="0B851A2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140</w:t>
            </w:r>
          </w:p>
        </w:tc>
        <w:tc>
          <w:tcPr>
            <w:tcW w:w="1106" w:type="dxa"/>
          </w:tcPr>
          <w:p w14:paraId="0C498D4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147</w:t>
            </w:r>
          </w:p>
        </w:tc>
        <w:tc>
          <w:tcPr>
            <w:tcW w:w="1105" w:type="dxa"/>
          </w:tcPr>
          <w:p w14:paraId="7CBDDCB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150</w:t>
            </w:r>
          </w:p>
        </w:tc>
        <w:tc>
          <w:tcPr>
            <w:tcW w:w="1106" w:type="dxa"/>
          </w:tcPr>
          <w:p w14:paraId="1AC874D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150</w:t>
            </w:r>
          </w:p>
        </w:tc>
        <w:tc>
          <w:tcPr>
            <w:tcW w:w="1106" w:type="dxa"/>
          </w:tcPr>
          <w:p w14:paraId="1736ACA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150</w:t>
            </w:r>
          </w:p>
        </w:tc>
      </w:tr>
      <w:tr w:rsidR="00BE36FB" w:rsidRPr="009B7B35" w14:paraId="581214E3" w14:textId="77777777"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14:paraId="24A9CA30" w14:textId="77777777" w:rsidR="00BE36FB" w:rsidRPr="009B7B35" w:rsidRDefault="00BE36FB" w:rsidP="001A7107">
            <w:pPr>
              <w:pStyle w:val="TableText"/>
              <w:rPr>
                <w:rFonts w:cs="Arial"/>
              </w:rPr>
            </w:pPr>
            <w:r w:rsidRPr="009B7B35">
              <w:rPr>
                <w:rFonts w:cs="Arial"/>
              </w:rPr>
              <w:t>MV</w:t>
            </w:r>
          </w:p>
        </w:tc>
        <w:tc>
          <w:tcPr>
            <w:tcW w:w="2268" w:type="dxa"/>
          </w:tcPr>
          <w:p w14:paraId="20BE65D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Miriam Vale</w:t>
            </w:r>
          </w:p>
        </w:tc>
        <w:tc>
          <w:tcPr>
            <w:tcW w:w="1105" w:type="dxa"/>
          </w:tcPr>
          <w:p w14:paraId="43567B4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386</w:t>
            </w:r>
          </w:p>
        </w:tc>
        <w:tc>
          <w:tcPr>
            <w:tcW w:w="1106" w:type="dxa"/>
          </w:tcPr>
          <w:p w14:paraId="67C3D17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459</w:t>
            </w:r>
          </w:p>
        </w:tc>
        <w:tc>
          <w:tcPr>
            <w:tcW w:w="1105" w:type="dxa"/>
          </w:tcPr>
          <w:p w14:paraId="5E46D1E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529</w:t>
            </w:r>
          </w:p>
        </w:tc>
        <w:tc>
          <w:tcPr>
            <w:tcW w:w="1106" w:type="dxa"/>
          </w:tcPr>
          <w:p w14:paraId="5DEFCD2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600</w:t>
            </w:r>
          </w:p>
        </w:tc>
        <w:tc>
          <w:tcPr>
            <w:tcW w:w="1106" w:type="dxa"/>
          </w:tcPr>
          <w:p w14:paraId="539D63F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700</w:t>
            </w:r>
          </w:p>
        </w:tc>
      </w:tr>
      <w:tr w:rsidR="00BE36FB" w:rsidRPr="009B7B35" w14:paraId="700F15F6" w14:textId="77777777"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14:paraId="48B82DD8" w14:textId="77777777" w:rsidR="00BE36FB" w:rsidRPr="009B7B35" w:rsidRDefault="00BE36FB" w:rsidP="001A7107">
            <w:pPr>
              <w:pStyle w:val="TableText"/>
              <w:rPr>
                <w:rFonts w:cs="Arial"/>
              </w:rPr>
            </w:pPr>
            <w:r w:rsidRPr="009B7B35">
              <w:rPr>
                <w:rFonts w:cs="Arial"/>
              </w:rPr>
              <w:t>AW</w:t>
            </w:r>
          </w:p>
        </w:tc>
        <w:tc>
          <w:tcPr>
            <w:tcW w:w="2268" w:type="dxa"/>
          </w:tcPr>
          <w:p w14:paraId="5CC3881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Agnes/1770</w:t>
            </w:r>
          </w:p>
        </w:tc>
        <w:tc>
          <w:tcPr>
            <w:tcW w:w="1105" w:type="dxa"/>
          </w:tcPr>
          <w:p w14:paraId="5448C54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1,723</w:t>
            </w:r>
          </w:p>
        </w:tc>
        <w:tc>
          <w:tcPr>
            <w:tcW w:w="1106" w:type="dxa"/>
          </w:tcPr>
          <w:p w14:paraId="06C5165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2,046</w:t>
            </w:r>
          </w:p>
        </w:tc>
        <w:tc>
          <w:tcPr>
            <w:tcW w:w="1105" w:type="dxa"/>
          </w:tcPr>
          <w:p w14:paraId="51F7413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2,361</w:t>
            </w:r>
          </w:p>
        </w:tc>
        <w:tc>
          <w:tcPr>
            <w:tcW w:w="1106" w:type="dxa"/>
          </w:tcPr>
          <w:p w14:paraId="158D3EC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2,677</w:t>
            </w:r>
          </w:p>
        </w:tc>
        <w:tc>
          <w:tcPr>
            <w:tcW w:w="1106" w:type="dxa"/>
          </w:tcPr>
          <w:p w14:paraId="66AF59A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3,000</w:t>
            </w:r>
          </w:p>
        </w:tc>
      </w:tr>
      <w:tr w:rsidR="00BE36FB" w:rsidRPr="009B7B35" w14:paraId="2751915A" w14:textId="77777777"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4111" w:type="dxa"/>
            <w:gridSpan w:val="2"/>
          </w:tcPr>
          <w:p w14:paraId="0DCA6459" w14:textId="77777777" w:rsidR="00BE36FB" w:rsidRPr="009B7B35" w:rsidRDefault="00BE36FB" w:rsidP="001A7107">
            <w:pPr>
              <w:pStyle w:val="TableText"/>
              <w:rPr>
                <w:rFonts w:cs="Arial"/>
                <w:b/>
              </w:rPr>
            </w:pPr>
            <w:r w:rsidRPr="009B7B35">
              <w:rPr>
                <w:rFonts w:cs="Arial"/>
                <w:b/>
              </w:rPr>
              <w:t>Totals</w:t>
            </w:r>
          </w:p>
        </w:tc>
        <w:tc>
          <w:tcPr>
            <w:tcW w:w="1105" w:type="dxa"/>
          </w:tcPr>
          <w:p w14:paraId="2878660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42,702</w:t>
            </w:r>
          </w:p>
        </w:tc>
        <w:tc>
          <w:tcPr>
            <w:tcW w:w="1106" w:type="dxa"/>
          </w:tcPr>
          <w:p w14:paraId="2DEFD1A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49,863</w:t>
            </w:r>
          </w:p>
        </w:tc>
        <w:tc>
          <w:tcPr>
            <w:tcW w:w="1105" w:type="dxa"/>
          </w:tcPr>
          <w:p w14:paraId="644A875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55,852</w:t>
            </w:r>
          </w:p>
        </w:tc>
        <w:tc>
          <w:tcPr>
            <w:tcW w:w="1106" w:type="dxa"/>
          </w:tcPr>
          <w:p w14:paraId="1A383EF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61,314</w:t>
            </w:r>
          </w:p>
        </w:tc>
        <w:tc>
          <w:tcPr>
            <w:tcW w:w="1106" w:type="dxa"/>
          </w:tcPr>
          <w:p w14:paraId="7AD3B84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87,418</w:t>
            </w:r>
          </w:p>
        </w:tc>
      </w:tr>
    </w:tbl>
    <w:p w14:paraId="7F41F272" w14:textId="77777777" w:rsidR="00BE36FB" w:rsidRPr="009B7B35" w:rsidRDefault="00BE36FB" w:rsidP="001A7107">
      <w:pPr>
        <w:pStyle w:val="Heading9"/>
        <w:numPr>
          <w:ilvl w:val="0"/>
          <w:numId w:val="0"/>
        </w:numPr>
        <w:rPr>
          <w:rFonts w:cs="Arial"/>
          <w:sz w:val="20"/>
        </w:rPr>
      </w:pPr>
      <w:r w:rsidRPr="009B7B35">
        <w:rPr>
          <w:rFonts w:cs="Arial"/>
          <w:sz w:val="20"/>
        </w:rPr>
        <w:t>Table SC3.1.8—Existing and projected demand for the sewerage network</w:t>
      </w:r>
    </w:p>
    <w:tbl>
      <w:tblPr>
        <w:tblStyle w:val="Tablestyle"/>
        <w:tblW w:w="9639" w:type="dxa"/>
        <w:tblLayout w:type="fixed"/>
        <w:tblLook w:val="04A0" w:firstRow="1" w:lastRow="0" w:firstColumn="1" w:lastColumn="0" w:noHBand="0" w:noVBand="1"/>
      </w:tblPr>
      <w:tblGrid>
        <w:gridCol w:w="1843"/>
        <w:gridCol w:w="2268"/>
        <w:gridCol w:w="1105"/>
        <w:gridCol w:w="1106"/>
        <w:gridCol w:w="1105"/>
        <w:gridCol w:w="1106"/>
        <w:gridCol w:w="1106"/>
      </w:tblGrid>
      <w:tr w:rsidR="00BE36FB" w:rsidRPr="009B7B35" w14:paraId="63B4E092" w14:textId="77777777" w:rsidTr="001A7107">
        <w:trPr>
          <w:cnfStyle w:val="100000000000" w:firstRow="1" w:lastRow="0"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4111" w:type="dxa"/>
            <w:gridSpan w:val="2"/>
          </w:tcPr>
          <w:p w14:paraId="1FFF0DEE" w14:textId="77777777" w:rsidR="00BE36FB" w:rsidRPr="009B7B35" w:rsidRDefault="00BE36FB" w:rsidP="001A7107">
            <w:pPr>
              <w:pStyle w:val="TableText"/>
              <w:rPr>
                <w:rFonts w:cs="Arial"/>
              </w:rPr>
            </w:pPr>
            <w:r w:rsidRPr="009B7B35">
              <w:rPr>
                <w:rFonts w:cs="Arial"/>
              </w:rPr>
              <w:t>Column 1</w:t>
            </w:r>
          </w:p>
          <w:p w14:paraId="16C62986" w14:textId="77777777" w:rsidR="00BE36FB" w:rsidRPr="009B7B35" w:rsidRDefault="00BE36FB" w:rsidP="001A7107">
            <w:pPr>
              <w:pStyle w:val="TableText"/>
              <w:rPr>
                <w:rFonts w:cs="Arial"/>
              </w:rPr>
            </w:pPr>
            <w:r w:rsidRPr="009B7B35">
              <w:rPr>
                <w:rFonts w:cs="Arial"/>
              </w:rPr>
              <w:t xml:space="preserve">Service catchment </w:t>
            </w:r>
          </w:p>
        </w:tc>
        <w:tc>
          <w:tcPr>
            <w:tcW w:w="5528" w:type="dxa"/>
            <w:gridSpan w:val="5"/>
          </w:tcPr>
          <w:p w14:paraId="4B33A6C9"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14:paraId="17925433"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Existing and projected demand (EP)</w:t>
            </w:r>
          </w:p>
        </w:tc>
      </w:tr>
      <w:tr w:rsidR="00BE36FB" w:rsidRPr="009B7B35" w14:paraId="142C249D" w14:textId="77777777" w:rsidTr="001A7107">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843" w:type="dxa"/>
          </w:tcPr>
          <w:p w14:paraId="2D183C26" w14:textId="77777777" w:rsidR="00BE36FB" w:rsidRPr="009B7B35" w:rsidRDefault="00BE36FB" w:rsidP="001A7107">
            <w:pPr>
              <w:pStyle w:val="TableText"/>
              <w:rPr>
                <w:rFonts w:cs="Arial"/>
                <w:b/>
              </w:rPr>
            </w:pPr>
            <w:r w:rsidRPr="009B7B35">
              <w:rPr>
                <w:rFonts w:cs="Arial"/>
                <w:b/>
              </w:rPr>
              <w:t xml:space="preserve">Catchment no </w:t>
            </w:r>
          </w:p>
        </w:tc>
        <w:tc>
          <w:tcPr>
            <w:tcW w:w="2268" w:type="dxa"/>
          </w:tcPr>
          <w:p w14:paraId="15C841F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Catchment name (*) </w:t>
            </w:r>
          </w:p>
        </w:tc>
        <w:tc>
          <w:tcPr>
            <w:tcW w:w="1105" w:type="dxa"/>
          </w:tcPr>
          <w:p w14:paraId="3E986BF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2012 </w:t>
            </w:r>
          </w:p>
        </w:tc>
        <w:tc>
          <w:tcPr>
            <w:tcW w:w="1106" w:type="dxa"/>
          </w:tcPr>
          <w:p w14:paraId="7873A40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2017 </w:t>
            </w:r>
          </w:p>
        </w:tc>
        <w:tc>
          <w:tcPr>
            <w:tcW w:w="1105" w:type="dxa"/>
          </w:tcPr>
          <w:p w14:paraId="07684F3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2022 </w:t>
            </w:r>
          </w:p>
        </w:tc>
        <w:tc>
          <w:tcPr>
            <w:tcW w:w="1106" w:type="dxa"/>
          </w:tcPr>
          <w:p w14:paraId="47B41DD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2027 </w:t>
            </w:r>
          </w:p>
        </w:tc>
        <w:tc>
          <w:tcPr>
            <w:tcW w:w="1106" w:type="dxa"/>
          </w:tcPr>
          <w:p w14:paraId="63E99CA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2032 </w:t>
            </w:r>
          </w:p>
        </w:tc>
      </w:tr>
      <w:tr w:rsidR="00BE36FB" w:rsidRPr="009B7B35" w14:paraId="6C3A4EA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C85625D" w14:textId="77777777" w:rsidR="00BE36FB" w:rsidRPr="009B7B35" w:rsidRDefault="00BE36FB" w:rsidP="001A7107">
            <w:pPr>
              <w:pStyle w:val="TableText"/>
              <w:rPr>
                <w:rFonts w:cs="Arial"/>
              </w:rPr>
            </w:pPr>
            <w:r w:rsidRPr="009B7B35">
              <w:rPr>
                <w:rFonts w:cs="Arial"/>
              </w:rPr>
              <w:t>A1</w:t>
            </w:r>
          </w:p>
        </w:tc>
        <w:tc>
          <w:tcPr>
            <w:tcW w:w="2268" w:type="dxa"/>
          </w:tcPr>
          <w:p w14:paraId="241B86F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A1</w:t>
            </w:r>
          </w:p>
        </w:tc>
        <w:tc>
          <w:tcPr>
            <w:tcW w:w="1105" w:type="dxa"/>
          </w:tcPr>
          <w:p w14:paraId="4F1685D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2,662</w:t>
            </w:r>
          </w:p>
        </w:tc>
        <w:tc>
          <w:tcPr>
            <w:tcW w:w="1106" w:type="dxa"/>
          </w:tcPr>
          <w:p w14:paraId="2E1901C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2,720</w:t>
            </w:r>
          </w:p>
        </w:tc>
        <w:tc>
          <w:tcPr>
            <w:tcW w:w="1105" w:type="dxa"/>
          </w:tcPr>
          <w:p w14:paraId="1065775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2,737</w:t>
            </w:r>
          </w:p>
        </w:tc>
        <w:tc>
          <w:tcPr>
            <w:tcW w:w="1106" w:type="dxa"/>
          </w:tcPr>
          <w:p w14:paraId="1F9F6AB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2,737</w:t>
            </w:r>
          </w:p>
        </w:tc>
        <w:tc>
          <w:tcPr>
            <w:tcW w:w="1106" w:type="dxa"/>
          </w:tcPr>
          <w:p w14:paraId="41CCE35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2,825</w:t>
            </w:r>
          </w:p>
        </w:tc>
      </w:tr>
      <w:tr w:rsidR="00BE36FB" w:rsidRPr="009B7B35" w14:paraId="04CE87E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3E94D65" w14:textId="77777777" w:rsidR="00BE36FB" w:rsidRPr="009B7B35" w:rsidRDefault="00BE36FB" w:rsidP="001A7107">
            <w:pPr>
              <w:pStyle w:val="TableText"/>
              <w:rPr>
                <w:rFonts w:cs="Arial"/>
              </w:rPr>
            </w:pPr>
            <w:r w:rsidRPr="009B7B35">
              <w:rPr>
                <w:rFonts w:cs="Arial"/>
              </w:rPr>
              <w:t>A2</w:t>
            </w:r>
          </w:p>
        </w:tc>
        <w:tc>
          <w:tcPr>
            <w:tcW w:w="2268" w:type="dxa"/>
          </w:tcPr>
          <w:p w14:paraId="784AC99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A2</w:t>
            </w:r>
          </w:p>
        </w:tc>
        <w:tc>
          <w:tcPr>
            <w:tcW w:w="1105" w:type="dxa"/>
          </w:tcPr>
          <w:p w14:paraId="6825BFD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660</w:t>
            </w:r>
          </w:p>
        </w:tc>
        <w:tc>
          <w:tcPr>
            <w:tcW w:w="1106" w:type="dxa"/>
          </w:tcPr>
          <w:p w14:paraId="0B3E58B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698 </w:t>
            </w:r>
          </w:p>
        </w:tc>
        <w:tc>
          <w:tcPr>
            <w:tcW w:w="1105" w:type="dxa"/>
          </w:tcPr>
          <w:p w14:paraId="71DEB06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723</w:t>
            </w:r>
          </w:p>
        </w:tc>
        <w:tc>
          <w:tcPr>
            <w:tcW w:w="1106" w:type="dxa"/>
          </w:tcPr>
          <w:p w14:paraId="07237C8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723</w:t>
            </w:r>
          </w:p>
        </w:tc>
        <w:tc>
          <w:tcPr>
            <w:tcW w:w="1106" w:type="dxa"/>
          </w:tcPr>
          <w:p w14:paraId="776BFCC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855</w:t>
            </w:r>
          </w:p>
        </w:tc>
      </w:tr>
      <w:tr w:rsidR="00BE36FB" w:rsidRPr="009B7B35" w14:paraId="213E642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23FDE85" w14:textId="77777777" w:rsidR="00BE36FB" w:rsidRPr="009B7B35" w:rsidRDefault="00BE36FB" w:rsidP="001A7107">
            <w:pPr>
              <w:pStyle w:val="TableText"/>
              <w:rPr>
                <w:rFonts w:cs="Arial"/>
              </w:rPr>
            </w:pPr>
            <w:r w:rsidRPr="009B7B35">
              <w:rPr>
                <w:rFonts w:cs="Arial"/>
              </w:rPr>
              <w:t>A5</w:t>
            </w:r>
          </w:p>
        </w:tc>
        <w:tc>
          <w:tcPr>
            <w:tcW w:w="2268" w:type="dxa"/>
          </w:tcPr>
          <w:p w14:paraId="674839A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A5</w:t>
            </w:r>
          </w:p>
        </w:tc>
        <w:tc>
          <w:tcPr>
            <w:tcW w:w="1105" w:type="dxa"/>
          </w:tcPr>
          <w:p w14:paraId="58D7C0D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592</w:t>
            </w:r>
          </w:p>
        </w:tc>
        <w:tc>
          <w:tcPr>
            <w:tcW w:w="1106" w:type="dxa"/>
          </w:tcPr>
          <w:p w14:paraId="680EB3E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601</w:t>
            </w:r>
          </w:p>
        </w:tc>
        <w:tc>
          <w:tcPr>
            <w:tcW w:w="1105" w:type="dxa"/>
          </w:tcPr>
          <w:p w14:paraId="17197C8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607</w:t>
            </w:r>
          </w:p>
        </w:tc>
        <w:tc>
          <w:tcPr>
            <w:tcW w:w="1106" w:type="dxa"/>
          </w:tcPr>
          <w:p w14:paraId="47CB941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607</w:t>
            </w:r>
          </w:p>
        </w:tc>
        <w:tc>
          <w:tcPr>
            <w:tcW w:w="1106" w:type="dxa"/>
          </w:tcPr>
          <w:p w14:paraId="67FE48D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635</w:t>
            </w:r>
          </w:p>
        </w:tc>
      </w:tr>
      <w:tr w:rsidR="00BE36FB" w:rsidRPr="009B7B35" w14:paraId="7E430B9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19547DE" w14:textId="77777777" w:rsidR="00BE36FB" w:rsidRPr="009B7B35" w:rsidRDefault="00BE36FB" w:rsidP="001A7107">
            <w:pPr>
              <w:pStyle w:val="TableText"/>
              <w:rPr>
                <w:rFonts w:cs="Arial"/>
              </w:rPr>
            </w:pPr>
            <w:r w:rsidRPr="009B7B35">
              <w:rPr>
                <w:rFonts w:cs="Arial"/>
              </w:rPr>
              <w:t>A6</w:t>
            </w:r>
          </w:p>
        </w:tc>
        <w:tc>
          <w:tcPr>
            <w:tcW w:w="2268" w:type="dxa"/>
          </w:tcPr>
          <w:p w14:paraId="06F2FAB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A6</w:t>
            </w:r>
          </w:p>
        </w:tc>
        <w:tc>
          <w:tcPr>
            <w:tcW w:w="1105" w:type="dxa"/>
          </w:tcPr>
          <w:p w14:paraId="3289546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1,227</w:t>
            </w:r>
          </w:p>
        </w:tc>
        <w:tc>
          <w:tcPr>
            <w:tcW w:w="1106" w:type="dxa"/>
          </w:tcPr>
          <w:p w14:paraId="59782BB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1,269</w:t>
            </w:r>
          </w:p>
        </w:tc>
        <w:tc>
          <w:tcPr>
            <w:tcW w:w="1105" w:type="dxa"/>
          </w:tcPr>
          <w:p w14:paraId="7232EB9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1,295</w:t>
            </w:r>
          </w:p>
        </w:tc>
        <w:tc>
          <w:tcPr>
            <w:tcW w:w="1106" w:type="dxa"/>
          </w:tcPr>
          <w:p w14:paraId="268407D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1,295</w:t>
            </w:r>
          </w:p>
        </w:tc>
        <w:tc>
          <w:tcPr>
            <w:tcW w:w="1106" w:type="dxa"/>
          </w:tcPr>
          <w:p w14:paraId="322CDDB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1,435</w:t>
            </w:r>
          </w:p>
        </w:tc>
      </w:tr>
      <w:tr w:rsidR="00BE36FB" w:rsidRPr="009B7B35" w14:paraId="65DC0C6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D21D7E8" w14:textId="77777777" w:rsidR="00BE36FB" w:rsidRPr="009B7B35" w:rsidRDefault="00BE36FB" w:rsidP="001A7107">
            <w:pPr>
              <w:pStyle w:val="TableText"/>
              <w:rPr>
                <w:rFonts w:cs="Arial"/>
              </w:rPr>
            </w:pPr>
            <w:r w:rsidRPr="009B7B35">
              <w:rPr>
                <w:rFonts w:cs="Arial"/>
              </w:rPr>
              <w:t>A7</w:t>
            </w:r>
          </w:p>
        </w:tc>
        <w:tc>
          <w:tcPr>
            <w:tcW w:w="2268" w:type="dxa"/>
          </w:tcPr>
          <w:p w14:paraId="4664D6F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A7</w:t>
            </w:r>
          </w:p>
        </w:tc>
        <w:tc>
          <w:tcPr>
            <w:tcW w:w="1105" w:type="dxa"/>
          </w:tcPr>
          <w:p w14:paraId="2596B88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1,124</w:t>
            </w:r>
          </w:p>
        </w:tc>
        <w:tc>
          <w:tcPr>
            <w:tcW w:w="1106" w:type="dxa"/>
          </w:tcPr>
          <w:p w14:paraId="2232499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1,269</w:t>
            </w:r>
          </w:p>
        </w:tc>
        <w:tc>
          <w:tcPr>
            <w:tcW w:w="1105" w:type="dxa"/>
          </w:tcPr>
          <w:p w14:paraId="7E3D2BC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1,295</w:t>
            </w:r>
          </w:p>
        </w:tc>
        <w:tc>
          <w:tcPr>
            <w:tcW w:w="1106" w:type="dxa"/>
          </w:tcPr>
          <w:p w14:paraId="0BC60F1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1,295</w:t>
            </w:r>
          </w:p>
        </w:tc>
        <w:tc>
          <w:tcPr>
            <w:tcW w:w="1106" w:type="dxa"/>
          </w:tcPr>
          <w:p w14:paraId="483CF6F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1,435</w:t>
            </w:r>
          </w:p>
        </w:tc>
      </w:tr>
      <w:tr w:rsidR="00BE36FB" w:rsidRPr="009B7B35" w14:paraId="2037515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5D45948" w14:textId="77777777" w:rsidR="00BE36FB" w:rsidRPr="009B7B35" w:rsidRDefault="00BE36FB" w:rsidP="001A7107">
            <w:pPr>
              <w:pStyle w:val="TableText"/>
              <w:rPr>
                <w:rFonts w:cs="Arial"/>
              </w:rPr>
            </w:pPr>
            <w:r w:rsidRPr="009B7B35">
              <w:rPr>
                <w:rFonts w:cs="Arial"/>
              </w:rPr>
              <w:t>A10</w:t>
            </w:r>
          </w:p>
        </w:tc>
        <w:tc>
          <w:tcPr>
            <w:tcW w:w="2268" w:type="dxa"/>
          </w:tcPr>
          <w:p w14:paraId="7E71E9C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A10</w:t>
            </w:r>
          </w:p>
        </w:tc>
        <w:tc>
          <w:tcPr>
            <w:tcW w:w="1105" w:type="dxa"/>
          </w:tcPr>
          <w:p w14:paraId="73229A8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1,239</w:t>
            </w:r>
          </w:p>
        </w:tc>
        <w:tc>
          <w:tcPr>
            <w:tcW w:w="1106" w:type="dxa"/>
          </w:tcPr>
          <w:p w14:paraId="1190585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1,239</w:t>
            </w:r>
          </w:p>
        </w:tc>
        <w:tc>
          <w:tcPr>
            <w:tcW w:w="1105" w:type="dxa"/>
          </w:tcPr>
          <w:p w14:paraId="699A975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1,239</w:t>
            </w:r>
          </w:p>
        </w:tc>
        <w:tc>
          <w:tcPr>
            <w:tcW w:w="1106" w:type="dxa"/>
          </w:tcPr>
          <w:p w14:paraId="6AADB1B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1,239</w:t>
            </w:r>
          </w:p>
        </w:tc>
        <w:tc>
          <w:tcPr>
            <w:tcW w:w="1106" w:type="dxa"/>
          </w:tcPr>
          <w:p w14:paraId="2488692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1,239</w:t>
            </w:r>
          </w:p>
        </w:tc>
      </w:tr>
      <w:tr w:rsidR="00BE36FB" w:rsidRPr="009B7B35" w14:paraId="4DA4945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5394637" w14:textId="77777777" w:rsidR="00BE36FB" w:rsidRPr="009B7B35" w:rsidRDefault="00BE36FB" w:rsidP="001A7107">
            <w:pPr>
              <w:pStyle w:val="TableText"/>
              <w:rPr>
                <w:rFonts w:cs="Arial"/>
              </w:rPr>
            </w:pPr>
            <w:r w:rsidRPr="009B7B35">
              <w:rPr>
                <w:rFonts w:cs="Arial"/>
              </w:rPr>
              <w:t>C1</w:t>
            </w:r>
          </w:p>
        </w:tc>
        <w:tc>
          <w:tcPr>
            <w:tcW w:w="2268" w:type="dxa"/>
          </w:tcPr>
          <w:p w14:paraId="01474EE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C1</w:t>
            </w:r>
          </w:p>
        </w:tc>
        <w:tc>
          <w:tcPr>
            <w:tcW w:w="1105" w:type="dxa"/>
          </w:tcPr>
          <w:p w14:paraId="27AA99C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711</w:t>
            </w:r>
          </w:p>
        </w:tc>
        <w:tc>
          <w:tcPr>
            <w:tcW w:w="1106" w:type="dxa"/>
          </w:tcPr>
          <w:p w14:paraId="56D976E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714</w:t>
            </w:r>
          </w:p>
        </w:tc>
        <w:tc>
          <w:tcPr>
            <w:tcW w:w="1105" w:type="dxa"/>
          </w:tcPr>
          <w:p w14:paraId="6FB34F9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715</w:t>
            </w:r>
          </w:p>
        </w:tc>
        <w:tc>
          <w:tcPr>
            <w:tcW w:w="1106" w:type="dxa"/>
          </w:tcPr>
          <w:p w14:paraId="4D009FD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715</w:t>
            </w:r>
          </w:p>
        </w:tc>
        <w:tc>
          <w:tcPr>
            <w:tcW w:w="1106" w:type="dxa"/>
          </w:tcPr>
          <w:p w14:paraId="2C016C4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722</w:t>
            </w:r>
          </w:p>
        </w:tc>
      </w:tr>
      <w:tr w:rsidR="00BE36FB" w:rsidRPr="009B7B35" w14:paraId="5FCE0F9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DDBF406" w14:textId="77777777" w:rsidR="00BE36FB" w:rsidRPr="009B7B35" w:rsidRDefault="00BE36FB" w:rsidP="001A7107">
            <w:pPr>
              <w:pStyle w:val="TableText"/>
              <w:rPr>
                <w:rFonts w:cs="Arial"/>
              </w:rPr>
            </w:pPr>
            <w:r w:rsidRPr="009B7B35">
              <w:rPr>
                <w:rFonts w:cs="Arial"/>
              </w:rPr>
              <w:t>C2</w:t>
            </w:r>
          </w:p>
        </w:tc>
        <w:tc>
          <w:tcPr>
            <w:tcW w:w="2268" w:type="dxa"/>
          </w:tcPr>
          <w:p w14:paraId="3A2D4DE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C2</w:t>
            </w:r>
          </w:p>
        </w:tc>
        <w:tc>
          <w:tcPr>
            <w:tcW w:w="1105" w:type="dxa"/>
          </w:tcPr>
          <w:p w14:paraId="7712EBA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787</w:t>
            </w:r>
          </w:p>
        </w:tc>
        <w:tc>
          <w:tcPr>
            <w:tcW w:w="1106" w:type="dxa"/>
          </w:tcPr>
          <w:p w14:paraId="2BE6C00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841</w:t>
            </w:r>
          </w:p>
        </w:tc>
        <w:tc>
          <w:tcPr>
            <w:tcW w:w="1105" w:type="dxa"/>
          </w:tcPr>
          <w:p w14:paraId="4E62AC0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860</w:t>
            </w:r>
          </w:p>
        </w:tc>
        <w:tc>
          <w:tcPr>
            <w:tcW w:w="1106" w:type="dxa"/>
          </w:tcPr>
          <w:p w14:paraId="3A6E8BA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860</w:t>
            </w:r>
          </w:p>
        </w:tc>
        <w:tc>
          <w:tcPr>
            <w:tcW w:w="1106" w:type="dxa"/>
          </w:tcPr>
          <w:p w14:paraId="3DF0F40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964</w:t>
            </w:r>
          </w:p>
        </w:tc>
      </w:tr>
      <w:tr w:rsidR="00BE36FB" w:rsidRPr="009B7B35" w14:paraId="03CDC33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F38573C" w14:textId="77777777" w:rsidR="00BE36FB" w:rsidRPr="009B7B35" w:rsidRDefault="00BE36FB" w:rsidP="001A7107">
            <w:pPr>
              <w:pStyle w:val="TableText"/>
              <w:rPr>
                <w:rFonts w:cs="Arial"/>
              </w:rPr>
            </w:pPr>
            <w:r w:rsidRPr="009B7B35">
              <w:rPr>
                <w:rFonts w:cs="Arial"/>
              </w:rPr>
              <w:t>C3</w:t>
            </w:r>
          </w:p>
        </w:tc>
        <w:tc>
          <w:tcPr>
            <w:tcW w:w="2268" w:type="dxa"/>
          </w:tcPr>
          <w:p w14:paraId="2F779B0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C3</w:t>
            </w:r>
          </w:p>
        </w:tc>
        <w:tc>
          <w:tcPr>
            <w:tcW w:w="1105" w:type="dxa"/>
          </w:tcPr>
          <w:p w14:paraId="1A83035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94</w:t>
            </w:r>
          </w:p>
        </w:tc>
        <w:tc>
          <w:tcPr>
            <w:tcW w:w="1106" w:type="dxa"/>
          </w:tcPr>
          <w:p w14:paraId="2F2398A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96</w:t>
            </w:r>
          </w:p>
        </w:tc>
        <w:tc>
          <w:tcPr>
            <w:tcW w:w="1105" w:type="dxa"/>
          </w:tcPr>
          <w:p w14:paraId="03A481D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96</w:t>
            </w:r>
          </w:p>
        </w:tc>
        <w:tc>
          <w:tcPr>
            <w:tcW w:w="1106" w:type="dxa"/>
          </w:tcPr>
          <w:p w14:paraId="59168F1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96</w:t>
            </w:r>
          </w:p>
        </w:tc>
        <w:tc>
          <w:tcPr>
            <w:tcW w:w="1106" w:type="dxa"/>
          </w:tcPr>
          <w:p w14:paraId="517B573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96</w:t>
            </w:r>
          </w:p>
        </w:tc>
      </w:tr>
      <w:tr w:rsidR="00BE36FB" w:rsidRPr="009B7B35" w14:paraId="51C4003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7C777A4" w14:textId="77777777" w:rsidR="00BE36FB" w:rsidRPr="009B7B35" w:rsidRDefault="00BE36FB" w:rsidP="001A7107">
            <w:pPr>
              <w:pStyle w:val="TableText"/>
              <w:rPr>
                <w:rFonts w:cs="Arial"/>
              </w:rPr>
            </w:pPr>
            <w:r w:rsidRPr="009B7B35">
              <w:rPr>
                <w:rFonts w:cs="Arial"/>
              </w:rPr>
              <w:t>D1</w:t>
            </w:r>
          </w:p>
        </w:tc>
        <w:tc>
          <w:tcPr>
            <w:tcW w:w="2268" w:type="dxa"/>
          </w:tcPr>
          <w:p w14:paraId="0A4593D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D1</w:t>
            </w:r>
          </w:p>
        </w:tc>
        <w:tc>
          <w:tcPr>
            <w:tcW w:w="1105" w:type="dxa"/>
          </w:tcPr>
          <w:p w14:paraId="2A44661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347</w:t>
            </w:r>
          </w:p>
        </w:tc>
        <w:tc>
          <w:tcPr>
            <w:tcW w:w="1106" w:type="dxa"/>
          </w:tcPr>
          <w:p w14:paraId="1D0E07F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348</w:t>
            </w:r>
          </w:p>
        </w:tc>
        <w:tc>
          <w:tcPr>
            <w:tcW w:w="1105" w:type="dxa"/>
          </w:tcPr>
          <w:p w14:paraId="3E53F5E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348</w:t>
            </w:r>
          </w:p>
        </w:tc>
        <w:tc>
          <w:tcPr>
            <w:tcW w:w="1106" w:type="dxa"/>
          </w:tcPr>
          <w:p w14:paraId="360E809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348</w:t>
            </w:r>
          </w:p>
        </w:tc>
        <w:tc>
          <w:tcPr>
            <w:tcW w:w="1106" w:type="dxa"/>
          </w:tcPr>
          <w:p w14:paraId="656794C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349</w:t>
            </w:r>
          </w:p>
        </w:tc>
      </w:tr>
      <w:tr w:rsidR="00BE36FB" w:rsidRPr="009B7B35" w14:paraId="55714DF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7494154" w14:textId="77777777" w:rsidR="00BE36FB" w:rsidRPr="009B7B35" w:rsidRDefault="00BE36FB" w:rsidP="001A7107">
            <w:pPr>
              <w:pStyle w:val="TableText"/>
              <w:rPr>
                <w:rFonts w:cs="Arial"/>
              </w:rPr>
            </w:pPr>
            <w:r w:rsidRPr="009B7B35">
              <w:rPr>
                <w:rFonts w:cs="Arial"/>
              </w:rPr>
              <w:t>D2</w:t>
            </w:r>
          </w:p>
        </w:tc>
        <w:tc>
          <w:tcPr>
            <w:tcW w:w="2268" w:type="dxa"/>
          </w:tcPr>
          <w:p w14:paraId="005C1D5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D2</w:t>
            </w:r>
          </w:p>
        </w:tc>
        <w:tc>
          <w:tcPr>
            <w:tcW w:w="1105" w:type="dxa"/>
          </w:tcPr>
          <w:p w14:paraId="68DD722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23</w:t>
            </w:r>
          </w:p>
        </w:tc>
        <w:tc>
          <w:tcPr>
            <w:tcW w:w="1106" w:type="dxa"/>
          </w:tcPr>
          <w:p w14:paraId="1272530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30</w:t>
            </w:r>
          </w:p>
        </w:tc>
        <w:tc>
          <w:tcPr>
            <w:tcW w:w="1105" w:type="dxa"/>
          </w:tcPr>
          <w:p w14:paraId="46E85FF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w:t>
            </w:r>
          </w:p>
        </w:tc>
        <w:tc>
          <w:tcPr>
            <w:tcW w:w="1106" w:type="dxa"/>
          </w:tcPr>
          <w:p w14:paraId="5BB5EBC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w:t>
            </w:r>
          </w:p>
        </w:tc>
        <w:tc>
          <w:tcPr>
            <w:tcW w:w="1106" w:type="dxa"/>
          </w:tcPr>
          <w:p w14:paraId="6D223C5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51</w:t>
            </w:r>
          </w:p>
        </w:tc>
      </w:tr>
      <w:tr w:rsidR="00BE36FB" w:rsidRPr="009B7B35" w14:paraId="3A0453E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6C8C27C" w14:textId="77777777" w:rsidR="00BE36FB" w:rsidRPr="009B7B35" w:rsidRDefault="00BE36FB" w:rsidP="001A7107">
            <w:pPr>
              <w:pStyle w:val="TableText"/>
              <w:rPr>
                <w:rFonts w:cs="Arial"/>
              </w:rPr>
            </w:pPr>
            <w:r w:rsidRPr="009B7B35">
              <w:rPr>
                <w:rFonts w:cs="Arial"/>
              </w:rPr>
              <w:t>D3</w:t>
            </w:r>
          </w:p>
        </w:tc>
        <w:tc>
          <w:tcPr>
            <w:tcW w:w="2268" w:type="dxa"/>
          </w:tcPr>
          <w:p w14:paraId="0EDA136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D3</w:t>
            </w:r>
          </w:p>
        </w:tc>
        <w:tc>
          <w:tcPr>
            <w:tcW w:w="1105" w:type="dxa"/>
          </w:tcPr>
          <w:p w14:paraId="5F25F4F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t>
            </w:r>
          </w:p>
        </w:tc>
        <w:tc>
          <w:tcPr>
            <w:tcW w:w="1106" w:type="dxa"/>
          </w:tcPr>
          <w:p w14:paraId="4E3345D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w:t>
            </w:r>
          </w:p>
        </w:tc>
        <w:tc>
          <w:tcPr>
            <w:tcW w:w="1105" w:type="dxa"/>
          </w:tcPr>
          <w:p w14:paraId="200B96C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14</w:t>
            </w:r>
          </w:p>
        </w:tc>
        <w:tc>
          <w:tcPr>
            <w:tcW w:w="1106" w:type="dxa"/>
          </w:tcPr>
          <w:p w14:paraId="77A467A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14</w:t>
            </w:r>
          </w:p>
        </w:tc>
        <w:tc>
          <w:tcPr>
            <w:tcW w:w="1106" w:type="dxa"/>
          </w:tcPr>
          <w:p w14:paraId="792921D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49</w:t>
            </w:r>
          </w:p>
        </w:tc>
      </w:tr>
      <w:tr w:rsidR="00BE36FB" w:rsidRPr="009B7B35" w14:paraId="1E86477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312B4AE" w14:textId="77777777" w:rsidR="00BE36FB" w:rsidRPr="009B7B35" w:rsidRDefault="00BE36FB" w:rsidP="001A7107">
            <w:pPr>
              <w:pStyle w:val="TableText"/>
              <w:rPr>
                <w:rFonts w:cs="Arial"/>
              </w:rPr>
            </w:pPr>
            <w:r w:rsidRPr="009B7B35">
              <w:rPr>
                <w:rFonts w:cs="Arial"/>
              </w:rPr>
              <w:t>S1</w:t>
            </w:r>
          </w:p>
        </w:tc>
        <w:tc>
          <w:tcPr>
            <w:tcW w:w="2268" w:type="dxa"/>
          </w:tcPr>
          <w:p w14:paraId="0FAA5E2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S1</w:t>
            </w:r>
          </w:p>
        </w:tc>
        <w:tc>
          <w:tcPr>
            <w:tcW w:w="1105" w:type="dxa"/>
          </w:tcPr>
          <w:p w14:paraId="15EB3AC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6,477</w:t>
            </w:r>
          </w:p>
        </w:tc>
        <w:tc>
          <w:tcPr>
            <w:tcW w:w="1106" w:type="dxa"/>
          </w:tcPr>
          <w:p w14:paraId="7C3A2BF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6,834</w:t>
            </w:r>
          </w:p>
        </w:tc>
        <w:tc>
          <w:tcPr>
            <w:tcW w:w="1105" w:type="dxa"/>
          </w:tcPr>
          <w:p w14:paraId="5EB4CC5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7,024</w:t>
            </w:r>
          </w:p>
        </w:tc>
        <w:tc>
          <w:tcPr>
            <w:tcW w:w="1106" w:type="dxa"/>
          </w:tcPr>
          <w:p w14:paraId="590FEEF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7,024</w:t>
            </w:r>
          </w:p>
        </w:tc>
        <w:tc>
          <w:tcPr>
            <w:tcW w:w="1106" w:type="dxa"/>
          </w:tcPr>
          <w:p w14:paraId="534F268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7,324</w:t>
            </w:r>
          </w:p>
        </w:tc>
      </w:tr>
      <w:tr w:rsidR="00BE36FB" w:rsidRPr="009B7B35" w14:paraId="1A7D77F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06F5C38" w14:textId="77777777" w:rsidR="00BE36FB" w:rsidRPr="009B7B35" w:rsidRDefault="00BE36FB" w:rsidP="001A7107">
            <w:pPr>
              <w:pStyle w:val="TableText"/>
              <w:rPr>
                <w:rFonts w:cs="Arial"/>
              </w:rPr>
            </w:pPr>
            <w:r w:rsidRPr="009B7B35">
              <w:rPr>
                <w:rFonts w:cs="Arial"/>
              </w:rPr>
              <w:t>S4</w:t>
            </w:r>
          </w:p>
        </w:tc>
        <w:tc>
          <w:tcPr>
            <w:tcW w:w="2268" w:type="dxa"/>
          </w:tcPr>
          <w:p w14:paraId="6B31A39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S4</w:t>
            </w:r>
          </w:p>
        </w:tc>
        <w:tc>
          <w:tcPr>
            <w:tcW w:w="1105" w:type="dxa"/>
          </w:tcPr>
          <w:p w14:paraId="6A5DAA2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813</w:t>
            </w:r>
          </w:p>
        </w:tc>
        <w:tc>
          <w:tcPr>
            <w:tcW w:w="1106" w:type="dxa"/>
          </w:tcPr>
          <w:p w14:paraId="2654788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882</w:t>
            </w:r>
          </w:p>
        </w:tc>
        <w:tc>
          <w:tcPr>
            <w:tcW w:w="1105" w:type="dxa"/>
          </w:tcPr>
          <w:p w14:paraId="11A1746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906</w:t>
            </w:r>
          </w:p>
        </w:tc>
        <w:tc>
          <w:tcPr>
            <w:tcW w:w="1106" w:type="dxa"/>
          </w:tcPr>
          <w:p w14:paraId="79FBF36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906</w:t>
            </w:r>
          </w:p>
        </w:tc>
        <w:tc>
          <w:tcPr>
            <w:tcW w:w="1106" w:type="dxa"/>
          </w:tcPr>
          <w:p w14:paraId="51B4A72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1,029</w:t>
            </w:r>
          </w:p>
        </w:tc>
      </w:tr>
      <w:tr w:rsidR="00BE36FB" w:rsidRPr="009B7B35" w14:paraId="33B3F9C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A70B8D7" w14:textId="77777777" w:rsidR="00BE36FB" w:rsidRPr="009B7B35" w:rsidRDefault="00BE36FB" w:rsidP="001A7107">
            <w:pPr>
              <w:pStyle w:val="TableText"/>
              <w:rPr>
                <w:rFonts w:cs="Arial"/>
              </w:rPr>
            </w:pPr>
            <w:r w:rsidRPr="009B7B35">
              <w:rPr>
                <w:rFonts w:cs="Arial"/>
              </w:rPr>
              <w:t>T1</w:t>
            </w:r>
          </w:p>
        </w:tc>
        <w:tc>
          <w:tcPr>
            <w:tcW w:w="2268" w:type="dxa"/>
          </w:tcPr>
          <w:p w14:paraId="316FF61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T1</w:t>
            </w:r>
          </w:p>
        </w:tc>
        <w:tc>
          <w:tcPr>
            <w:tcW w:w="1105" w:type="dxa"/>
          </w:tcPr>
          <w:p w14:paraId="2F4065A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137</w:t>
            </w:r>
          </w:p>
        </w:tc>
        <w:tc>
          <w:tcPr>
            <w:tcW w:w="1106" w:type="dxa"/>
          </w:tcPr>
          <w:p w14:paraId="5487E82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140</w:t>
            </w:r>
          </w:p>
        </w:tc>
        <w:tc>
          <w:tcPr>
            <w:tcW w:w="1105" w:type="dxa"/>
          </w:tcPr>
          <w:p w14:paraId="7CE29E2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140</w:t>
            </w:r>
          </w:p>
        </w:tc>
        <w:tc>
          <w:tcPr>
            <w:tcW w:w="1106" w:type="dxa"/>
          </w:tcPr>
          <w:p w14:paraId="1CDAF50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140</w:t>
            </w:r>
          </w:p>
        </w:tc>
        <w:tc>
          <w:tcPr>
            <w:tcW w:w="1106" w:type="dxa"/>
          </w:tcPr>
          <w:p w14:paraId="16F798F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140</w:t>
            </w:r>
          </w:p>
        </w:tc>
      </w:tr>
      <w:tr w:rsidR="00BE36FB" w:rsidRPr="009B7B35" w14:paraId="43A07E4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A81E3B2" w14:textId="77777777" w:rsidR="00BE36FB" w:rsidRPr="009B7B35" w:rsidRDefault="00BE36FB" w:rsidP="001A7107">
            <w:pPr>
              <w:pStyle w:val="TableText"/>
              <w:rPr>
                <w:rFonts w:cs="Arial"/>
              </w:rPr>
            </w:pPr>
            <w:r w:rsidRPr="009B7B35">
              <w:rPr>
                <w:rFonts w:cs="Arial"/>
              </w:rPr>
              <w:t>T2</w:t>
            </w:r>
          </w:p>
        </w:tc>
        <w:tc>
          <w:tcPr>
            <w:tcW w:w="2268" w:type="dxa"/>
          </w:tcPr>
          <w:p w14:paraId="0408D11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T2</w:t>
            </w:r>
          </w:p>
        </w:tc>
        <w:tc>
          <w:tcPr>
            <w:tcW w:w="1105" w:type="dxa"/>
          </w:tcPr>
          <w:p w14:paraId="61497C3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1,053</w:t>
            </w:r>
          </w:p>
        </w:tc>
        <w:tc>
          <w:tcPr>
            <w:tcW w:w="1106" w:type="dxa"/>
          </w:tcPr>
          <w:p w14:paraId="5B2F8AF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1,176</w:t>
            </w:r>
          </w:p>
        </w:tc>
        <w:tc>
          <w:tcPr>
            <w:tcW w:w="1105" w:type="dxa"/>
          </w:tcPr>
          <w:p w14:paraId="49F42EE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1,209</w:t>
            </w:r>
          </w:p>
        </w:tc>
        <w:tc>
          <w:tcPr>
            <w:tcW w:w="1106" w:type="dxa"/>
          </w:tcPr>
          <w:p w14:paraId="37B74A3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1,209</w:t>
            </w:r>
          </w:p>
        </w:tc>
        <w:tc>
          <w:tcPr>
            <w:tcW w:w="1106" w:type="dxa"/>
          </w:tcPr>
          <w:p w14:paraId="0DA665E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1,382</w:t>
            </w:r>
          </w:p>
        </w:tc>
      </w:tr>
      <w:tr w:rsidR="00BE36FB" w:rsidRPr="009B7B35" w14:paraId="56B93D7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F183896" w14:textId="77777777" w:rsidR="00BE36FB" w:rsidRPr="009B7B35" w:rsidRDefault="00BE36FB" w:rsidP="001A7107">
            <w:pPr>
              <w:pStyle w:val="TableText"/>
              <w:rPr>
                <w:rFonts w:cs="Arial"/>
              </w:rPr>
            </w:pPr>
            <w:r w:rsidRPr="009B7B35">
              <w:rPr>
                <w:rFonts w:cs="Arial"/>
              </w:rPr>
              <w:t>T5</w:t>
            </w:r>
          </w:p>
        </w:tc>
        <w:tc>
          <w:tcPr>
            <w:tcW w:w="2268" w:type="dxa"/>
          </w:tcPr>
          <w:p w14:paraId="5F3FBC7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T5</w:t>
            </w:r>
          </w:p>
        </w:tc>
        <w:tc>
          <w:tcPr>
            <w:tcW w:w="1105" w:type="dxa"/>
          </w:tcPr>
          <w:p w14:paraId="2B2D0EE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256</w:t>
            </w:r>
          </w:p>
        </w:tc>
        <w:tc>
          <w:tcPr>
            <w:tcW w:w="1106" w:type="dxa"/>
          </w:tcPr>
          <w:p w14:paraId="7AA14AD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276</w:t>
            </w:r>
          </w:p>
        </w:tc>
        <w:tc>
          <w:tcPr>
            <w:tcW w:w="1105" w:type="dxa"/>
          </w:tcPr>
          <w:p w14:paraId="18C130A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276</w:t>
            </w:r>
          </w:p>
        </w:tc>
        <w:tc>
          <w:tcPr>
            <w:tcW w:w="1106" w:type="dxa"/>
          </w:tcPr>
          <w:p w14:paraId="4673B3E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276</w:t>
            </w:r>
          </w:p>
        </w:tc>
        <w:tc>
          <w:tcPr>
            <w:tcW w:w="1106" w:type="dxa"/>
          </w:tcPr>
          <w:p w14:paraId="5FC9AB3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276 </w:t>
            </w:r>
          </w:p>
        </w:tc>
      </w:tr>
      <w:tr w:rsidR="00BE36FB" w:rsidRPr="009B7B35" w14:paraId="5CBF0F5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B77965C" w14:textId="77777777" w:rsidR="00BE36FB" w:rsidRPr="009B7B35" w:rsidRDefault="00BE36FB" w:rsidP="001A7107">
            <w:pPr>
              <w:pStyle w:val="TableText"/>
              <w:rPr>
                <w:rFonts w:cs="Arial"/>
              </w:rPr>
            </w:pPr>
            <w:r w:rsidRPr="009B7B35">
              <w:rPr>
                <w:rFonts w:cs="Arial"/>
              </w:rPr>
              <w:t>ST1</w:t>
            </w:r>
          </w:p>
        </w:tc>
        <w:tc>
          <w:tcPr>
            <w:tcW w:w="2268" w:type="dxa"/>
          </w:tcPr>
          <w:p w14:paraId="55D00DA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ST1</w:t>
            </w:r>
          </w:p>
        </w:tc>
        <w:tc>
          <w:tcPr>
            <w:tcW w:w="1105" w:type="dxa"/>
          </w:tcPr>
          <w:p w14:paraId="29A7BAE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53</w:t>
            </w:r>
          </w:p>
        </w:tc>
        <w:tc>
          <w:tcPr>
            <w:tcW w:w="1106" w:type="dxa"/>
          </w:tcPr>
          <w:p w14:paraId="22B9C22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126</w:t>
            </w:r>
          </w:p>
        </w:tc>
        <w:tc>
          <w:tcPr>
            <w:tcW w:w="1105" w:type="dxa"/>
          </w:tcPr>
          <w:p w14:paraId="4B5924C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185</w:t>
            </w:r>
          </w:p>
        </w:tc>
        <w:tc>
          <w:tcPr>
            <w:tcW w:w="1106" w:type="dxa"/>
          </w:tcPr>
          <w:p w14:paraId="35E500B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185</w:t>
            </w:r>
          </w:p>
        </w:tc>
        <w:tc>
          <w:tcPr>
            <w:tcW w:w="1106" w:type="dxa"/>
          </w:tcPr>
          <w:p w14:paraId="2D597A8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493</w:t>
            </w:r>
          </w:p>
        </w:tc>
      </w:tr>
      <w:tr w:rsidR="00BE36FB" w:rsidRPr="009B7B35" w14:paraId="7AEC121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8BB9B0D" w14:textId="77777777" w:rsidR="00BE36FB" w:rsidRPr="009B7B35" w:rsidRDefault="00BE36FB" w:rsidP="001A7107">
            <w:pPr>
              <w:pStyle w:val="TableText"/>
              <w:rPr>
                <w:rFonts w:cs="Arial"/>
              </w:rPr>
            </w:pPr>
            <w:r w:rsidRPr="009B7B35">
              <w:rPr>
                <w:rFonts w:cs="Arial"/>
              </w:rPr>
              <w:t>ST4</w:t>
            </w:r>
          </w:p>
        </w:tc>
        <w:tc>
          <w:tcPr>
            <w:tcW w:w="2268" w:type="dxa"/>
          </w:tcPr>
          <w:p w14:paraId="4038088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ST4</w:t>
            </w:r>
          </w:p>
        </w:tc>
        <w:tc>
          <w:tcPr>
            <w:tcW w:w="1105" w:type="dxa"/>
          </w:tcPr>
          <w:p w14:paraId="40AC15D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w:t>
            </w:r>
          </w:p>
        </w:tc>
        <w:tc>
          <w:tcPr>
            <w:tcW w:w="1106" w:type="dxa"/>
          </w:tcPr>
          <w:p w14:paraId="24CE70B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59</w:t>
            </w:r>
          </w:p>
        </w:tc>
        <w:tc>
          <w:tcPr>
            <w:tcW w:w="1105" w:type="dxa"/>
          </w:tcPr>
          <w:p w14:paraId="1EC6B1E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152</w:t>
            </w:r>
          </w:p>
        </w:tc>
        <w:tc>
          <w:tcPr>
            <w:tcW w:w="1106" w:type="dxa"/>
          </w:tcPr>
          <w:p w14:paraId="47A40F8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152</w:t>
            </w:r>
          </w:p>
        </w:tc>
        <w:tc>
          <w:tcPr>
            <w:tcW w:w="1106" w:type="dxa"/>
          </w:tcPr>
          <w:p w14:paraId="7BF4D71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179</w:t>
            </w:r>
          </w:p>
        </w:tc>
      </w:tr>
      <w:tr w:rsidR="00BE36FB" w:rsidRPr="009B7B35" w14:paraId="4F336FC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D7E4DD3" w14:textId="77777777" w:rsidR="00BE36FB" w:rsidRPr="009B7B35" w:rsidRDefault="00BE36FB" w:rsidP="001A7107">
            <w:pPr>
              <w:pStyle w:val="TableText"/>
              <w:rPr>
                <w:rFonts w:cs="Arial"/>
              </w:rPr>
            </w:pPr>
            <w:r w:rsidRPr="009B7B35">
              <w:rPr>
                <w:rFonts w:cs="Arial"/>
              </w:rPr>
              <w:t>ST6</w:t>
            </w:r>
          </w:p>
        </w:tc>
        <w:tc>
          <w:tcPr>
            <w:tcW w:w="2268" w:type="dxa"/>
          </w:tcPr>
          <w:p w14:paraId="017C794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ST6</w:t>
            </w:r>
          </w:p>
        </w:tc>
        <w:tc>
          <w:tcPr>
            <w:tcW w:w="1105" w:type="dxa"/>
          </w:tcPr>
          <w:p w14:paraId="1F45B2F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t>
            </w:r>
          </w:p>
        </w:tc>
        <w:tc>
          <w:tcPr>
            <w:tcW w:w="1106" w:type="dxa"/>
          </w:tcPr>
          <w:p w14:paraId="4FF0B36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14</w:t>
            </w:r>
          </w:p>
        </w:tc>
        <w:tc>
          <w:tcPr>
            <w:tcW w:w="1105" w:type="dxa"/>
          </w:tcPr>
          <w:p w14:paraId="602083A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26</w:t>
            </w:r>
          </w:p>
        </w:tc>
        <w:tc>
          <w:tcPr>
            <w:tcW w:w="1106" w:type="dxa"/>
          </w:tcPr>
          <w:p w14:paraId="5A67630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26</w:t>
            </w:r>
          </w:p>
        </w:tc>
        <w:tc>
          <w:tcPr>
            <w:tcW w:w="1106" w:type="dxa"/>
          </w:tcPr>
          <w:p w14:paraId="4B4FCB3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89</w:t>
            </w:r>
          </w:p>
        </w:tc>
      </w:tr>
      <w:tr w:rsidR="00BE36FB" w:rsidRPr="009B7B35" w14:paraId="0C60E48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35499CA" w14:textId="77777777" w:rsidR="00BE36FB" w:rsidRPr="009B7B35" w:rsidRDefault="00BE36FB" w:rsidP="001A7107">
            <w:pPr>
              <w:pStyle w:val="TableText"/>
              <w:rPr>
                <w:rFonts w:cs="Arial"/>
              </w:rPr>
            </w:pPr>
            <w:r w:rsidRPr="009B7B35">
              <w:rPr>
                <w:rFonts w:cs="Arial"/>
              </w:rPr>
              <w:t>ST3</w:t>
            </w:r>
          </w:p>
        </w:tc>
        <w:tc>
          <w:tcPr>
            <w:tcW w:w="2268" w:type="dxa"/>
          </w:tcPr>
          <w:p w14:paraId="5F9C821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ST3</w:t>
            </w:r>
          </w:p>
        </w:tc>
        <w:tc>
          <w:tcPr>
            <w:tcW w:w="1105" w:type="dxa"/>
          </w:tcPr>
          <w:p w14:paraId="1237B6E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308</w:t>
            </w:r>
          </w:p>
        </w:tc>
        <w:tc>
          <w:tcPr>
            <w:tcW w:w="1106" w:type="dxa"/>
          </w:tcPr>
          <w:p w14:paraId="7E7080C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365</w:t>
            </w:r>
          </w:p>
        </w:tc>
        <w:tc>
          <w:tcPr>
            <w:tcW w:w="1105" w:type="dxa"/>
          </w:tcPr>
          <w:p w14:paraId="3D09295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385</w:t>
            </w:r>
          </w:p>
        </w:tc>
        <w:tc>
          <w:tcPr>
            <w:tcW w:w="1106" w:type="dxa"/>
          </w:tcPr>
          <w:p w14:paraId="23848AF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385</w:t>
            </w:r>
          </w:p>
        </w:tc>
        <w:tc>
          <w:tcPr>
            <w:tcW w:w="1106" w:type="dxa"/>
          </w:tcPr>
          <w:p w14:paraId="2ED3BF5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490</w:t>
            </w:r>
          </w:p>
        </w:tc>
      </w:tr>
      <w:tr w:rsidR="00BE36FB" w:rsidRPr="009B7B35" w14:paraId="53BDA57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C2C8434" w14:textId="77777777" w:rsidR="00BE36FB" w:rsidRPr="009B7B35" w:rsidRDefault="00BE36FB" w:rsidP="001A7107">
            <w:pPr>
              <w:pStyle w:val="TableText"/>
              <w:rPr>
                <w:rFonts w:cs="Arial"/>
              </w:rPr>
            </w:pPr>
            <w:r w:rsidRPr="009B7B35">
              <w:rPr>
                <w:rFonts w:cs="Arial"/>
              </w:rPr>
              <w:t>Boyne/Tannum</w:t>
            </w:r>
          </w:p>
        </w:tc>
        <w:tc>
          <w:tcPr>
            <w:tcW w:w="2268" w:type="dxa"/>
          </w:tcPr>
          <w:p w14:paraId="52D8CBA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Boyne/Tannum</w:t>
            </w:r>
          </w:p>
        </w:tc>
        <w:tc>
          <w:tcPr>
            <w:tcW w:w="1105" w:type="dxa"/>
          </w:tcPr>
          <w:p w14:paraId="620AB7B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4,620</w:t>
            </w:r>
          </w:p>
        </w:tc>
        <w:tc>
          <w:tcPr>
            <w:tcW w:w="1106" w:type="dxa"/>
          </w:tcPr>
          <w:p w14:paraId="5037AC3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5,460</w:t>
            </w:r>
          </w:p>
        </w:tc>
        <w:tc>
          <w:tcPr>
            <w:tcW w:w="1105" w:type="dxa"/>
          </w:tcPr>
          <w:p w14:paraId="02D6C30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6,604</w:t>
            </w:r>
          </w:p>
        </w:tc>
        <w:tc>
          <w:tcPr>
            <w:tcW w:w="1106" w:type="dxa"/>
          </w:tcPr>
          <w:p w14:paraId="04049F7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8,035</w:t>
            </w:r>
          </w:p>
        </w:tc>
        <w:tc>
          <w:tcPr>
            <w:tcW w:w="1106" w:type="dxa"/>
          </w:tcPr>
          <w:p w14:paraId="40673DE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9,466</w:t>
            </w:r>
          </w:p>
        </w:tc>
      </w:tr>
      <w:tr w:rsidR="00BE36FB" w:rsidRPr="009B7B35" w14:paraId="11B75AF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D8099E6" w14:textId="77777777" w:rsidR="00BE36FB" w:rsidRPr="009B7B35" w:rsidRDefault="00BE36FB" w:rsidP="001A7107">
            <w:pPr>
              <w:pStyle w:val="TableText"/>
              <w:rPr>
                <w:rFonts w:cs="Arial"/>
              </w:rPr>
            </w:pPr>
            <w:r w:rsidRPr="009B7B35">
              <w:rPr>
                <w:rFonts w:cs="Arial"/>
              </w:rPr>
              <w:t>Calliope</w:t>
            </w:r>
          </w:p>
        </w:tc>
        <w:tc>
          <w:tcPr>
            <w:tcW w:w="2268" w:type="dxa"/>
          </w:tcPr>
          <w:p w14:paraId="399CC8B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Calliope</w:t>
            </w:r>
          </w:p>
        </w:tc>
        <w:tc>
          <w:tcPr>
            <w:tcW w:w="1105" w:type="dxa"/>
          </w:tcPr>
          <w:p w14:paraId="4ECD359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1,797</w:t>
            </w:r>
          </w:p>
        </w:tc>
        <w:tc>
          <w:tcPr>
            <w:tcW w:w="1106" w:type="dxa"/>
          </w:tcPr>
          <w:p w14:paraId="318D367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2,183</w:t>
            </w:r>
          </w:p>
        </w:tc>
        <w:tc>
          <w:tcPr>
            <w:tcW w:w="1105" w:type="dxa"/>
          </w:tcPr>
          <w:p w14:paraId="116F934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2,617</w:t>
            </w:r>
          </w:p>
        </w:tc>
        <w:tc>
          <w:tcPr>
            <w:tcW w:w="1106" w:type="dxa"/>
          </w:tcPr>
          <w:p w14:paraId="0071E40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3,146</w:t>
            </w:r>
          </w:p>
        </w:tc>
        <w:tc>
          <w:tcPr>
            <w:tcW w:w="1106" w:type="dxa"/>
          </w:tcPr>
          <w:p w14:paraId="2C45ED8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7,937</w:t>
            </w:r>
          </w:p>
        </w:tc>
      </w:tr>
      <w:tr w:rsidR="00BE36FB" w:rsidRPr="009B7B35" w14:paraId="6580D8A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228CCA5" w14:textId="77777777" w:rsidR="00BE36FB" w:rsidRPr="009B7B35" w:rsidRDefault="00BE36FB" w:rsidP="001A7107">
            <w:pPr>
              <w:pStyle w:val="TableText"/>
              <w:rPr>
                <w:rFonts w:cs="Arial"/>
              </w:rPr>
            </w:pPr>
            <w:r w:rsidRPr="009B7B35">
              <w:rPr>
                <w:rFonts w:cs="Arial"/>
              </w:rPr>
              <w:t>Miriam Vale</w:t>
            </w:r>
          </w:p>
        </w:tc>
        <w:tc>
          <w:tcPr>
            <w:tcW w:w="2268" w:type="dxa"/>
          </w:tcPr>
          <w:p w14:paraId="323FA62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Agnes &amp; 1770</w:t>
            </w:r>
          </w:p>
        </w:tc>
        <w:tc>
          <w:tcPr>
            <w:tcW w:w="1105" w:type="dxa"/>
          </w:tcPr>
          <w:p w14:paraId="4ED5FDF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1,723</w:t>
            </w:r>
          </w:p>
        </w:tc>
        <w:tc>
          <w:tcPr>
            <w:tcW w:w="1106" w:type="dxa"/>
          </w:tcPr>
          <w:p w14:paraId="027D81E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2,046</w:t>
            </w:r>
          </w:p>
        </w:tc>
        <w:tc>
          <w:tcPr>
            <w:tcW w:w="1105" w:type="dxa"/>
          </w:tcPr>
          <w:p w14:paraId="23ECDD6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2,361</w:t>
            </w:r>
          </w:p>
        </w:tc>
        <w:tc>
          <w:tcPr>
            <w:tcW w:w="1106" w:type="dxa"/>
          </w:tcPr>
          <w:p w14:paraId="50F6562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2,677</w:t>
            </w:r>
          </w:p>
        </w:tc>
        <w:tc>
          <w:tcPr>
            <w:tcW w:w="1106" w:type="dxa"/>
          </w:tcPr>
          <w:p w14:paraId="15547E6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3,000</w:t>
            </w:r>
          </w:p>
        </w:tc>
      </w:tr>
      <w:tr w:rsidR="00BE36FB" w:rsidRPr="009B7B35" w14:paraId="2A81ED8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gridSpan w:val="2"/>
          </w:tcPr>
          <w:p w14:paraId="1B0560B5" w14:textId="77777777" w:rsidR="00BE36FB" w:rsidRPr="009B7B35" w:rsidRDefault="00BE36FB" w:rsidP="001A7107">
            <w:pPr>
              <w:pStyle w:val="TableText"/>
              <w:rPr>
                <w:rFonts w:cs="Arial"/>
                <w:b/>
              </w:rPr>
            </w:pPr>
            <w:r w:rsidRPr="009B7B35">
              <w:rPr>
                <w:rFonts w:cs="Arial"/>
                <w:b/>
              </w:rPr>
              <w:t>Totals</w:t>
            </w:r>
          </w:p>
        </w:tc>
        <w:tc>
          <w:tcPr>
            <w:tcW w:w="1105" w:type="dxa"/>
          </w:tcPr>
          <w:p w14:paraId="385BBCE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26,718</w:t>
            </w:r>
          </w:p>
        </w:tc>
        <w:tc>
          <w:tcPr>
            <w:tcW w:w="1106" w:type="dxa"/>
          </w:tcPr>
          <w:p w14:paraId="326A7F6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29,392</w:t>
            </w:r>
          </w:p>
        </w:tc>
        <w:tc>
          <w:tcPr>
            <w:tcW w:w="1105" w:type="dxa"/>
          </w:tcPr>
          <w:p w14:paraId="3AA7311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31,847</w:t>
            </w:r>
          </w:p>
        </w:tc>
        <w:tc>
          <w:tcPr>
            <w:tcW w:w="1106" w:type="dxa"/>
          </w:tcPr>
          <w:p w14:paraId="3B133DE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34,123</w:t>
            </w:r>
          </w:p>
        </w:tc>
        <w:tc>
          <w:tcPr>
            <w:tcW w:w="1106" w:type="dxa"/>
          </w:tcPr>
          <w:p w14:paraId="6C3AE57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b/>
              </w:rPr>
            </w:pPr>
            <w:r w:rsidRPr="009B7B35">
              <w:rPr>
                <w:rFonts w:cs="Arial"/>
                <w:b/>
              </w:rPr>
              <w:t>42,460</w:t>
            </w:r>
          </w:p>
        </w:tc>
      </w:tr>
    </w:tbl>
    <w:p w14:paraId="55834D02" w14:textId="77777777" w:rsidR="00BE36FB" w:rsidRPr="009B7B35" w:rsidRDefault="00BE36FB" w:rsidP="001A7107">
      <w:pPr>
        <w:pStyle w:val="Heading9"/>
        <w:numPr>
          <w:ilvl w:val="0"/>
          <w:numId w:val="0"/>
        </w:numPr>
        <w:rPr>
          <w:rFonts w:cs="Arial"/>
          <w:sz w:val="20"/>
        </w:rPr>
      </w:pPr>
      <w:r w:rsidRPr="009B7B35">
        <w:rPr>
          <w:rFonts w:cs="Arial"/>
          <w:sz w:val="20"/>
        </w:rPr>
        <w:t>Table SC3.1.9—Existing and projected demand for the transport network</w:t>
      </w:r>
    </w:p>
    <w:tbl>
      <w:tblPr>
        <w:tblStyle w:val="Tablestyle"/>
        <w:tblW w:w="9639" w:type="dxa"/>
        <w:tblLayout w:type="fixed"/>
        <w:tblLook w:val="04A0" w:firstRow="1" w:lastRow="0" w:firstColumn="1" w:lastColumn="0" w:noHBand="0" w:noVBand="1"/>
      </w:tblPr>
      <w:tblGrid>
        <w:gridCol w:w="1843"/>
        <w:gridCol w:w="2268"/>
        <w:gridCol w:w="1105"/>
        <w:gridCol w:w="1106"/>
        <w:gridCol w:w="1105"/>
        <w:gridCol w:w="1106"/>
        <w:gridCol w:w="1106"/>
      </w:tblGrid>
      <w:tr w:rsidR="00BE36FB" w:rsidRPr="009B7B35" w14:paraId="6CE7E8C9" w14:textId="77777777" w:rsidTr="001A7107">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111" w:type="dxa"/>
            <w:gridSpan w:val="2"/>
          </w:tcPr>
          <w:p w14:paraId="292E1933" w14:textId="77777777" w:rsidR="00BE36FB" w:rsidRPr="009B7B35" w:rsidRDefault="00BE36FB" w:rsidP="001A7107">
            <w:pPr>
              <w:pStyle w:val="TableText"/>
              <w:rPr>
                <w:rFonts w:cs="Arial"/>
              </w:rPr>
            </w:pPr>
            <w:r w:rsidRPr="009B7B35">
              <w:rPr>
                <w:rFonts w:cs="Arial"/>
              </w:rPr>
              <w:t>Column 1</w:t>
            </w:r>
          </w:p>
          <w:p w14:paraId="68897A57" w14:textId="77777777" w:rsidR="00BE36FB" w:rsidRPr="009B7B35" w:rsidRDefault="00BE36FB" w:rsidP="001A7107">
            <w:pPr>
              <w:pStyle w:val="TableText"/>
              <w:rPr>
                <w:rFonts w:cs="Arial"/>
              </w:rPr>
            </w:pPr>
            <w:r w:rsidRPr="009B7B35">
              <w:rPr>
                <w:rFonts w:cs="Arial"/>
              </w:rPr>
              <w:t>Service catchment</w:t>
            </w:r>
          </w:p>
        </w:tc>
        <w:tc>
          <w:tcPr>
            <w:tcW w:w="5528" w:type="dxa"/>
            <w:gridSpan w:val="5"/>
          </w:tcPr>
          <w:p w14:paraId="7D273A03"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14:paraId="64E98032"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Existing and projected demand (trips)</w:t>
            </w:r>
          </w:p>
        </w:tc>
      </w:tr>
      <w:tr w:rsidR="00BE36FB" w:rsidRPr="009B7B35" w14:paraId="08E6083B" w14:textId="77777777" w:rsidTr="001A7107">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843" w:type="dxa"/>
          </w:tcPr>
          <w:p w14:paraId="17DA5312" w14:textId="77777777" w:rsidR="00BE36FB" w:rsidRPr="009B7B35" w:rsidRDefault="00BE36FB" w:rsidP="001A7107">
            <w:pPr>
              <w:pStyle w:val="TableText"/>
              <w:rPr>
                <w:rFonts w:cs="Arial"/>
                <w:b/>
              </w:rPr>
            </w:pPr>
            <w:r w:rsidRPr="009B7B35">
              <w:rPr>
                <w:rFonts w:cs="Arial"/>
                <w:b/>
              </w:rPr>
              <w:t xml:space="preserve">Catchment no </w:t>
            </w:r>
          </w:p>
        </w:tc>
        <w:tc>
          <w:tcPr>
            <w:tcW w:w="2268" w:type="dxa"/>
          </w:tcPr>
          <w:p w14:paraId="2DB18A5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Catchment name (*)</w:t>
            </w:r>
          </w:p>
        </w:tc>
        <w:tc>
          <w:tcPr>
            <w:tcW w:w="1105" w:type="dxa"/>
          </w:tcPr>
          <w:p w14:paraId="0F1428C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2012 </w:t>
            </w:r>
          </w:p>
        </w:tc>
        <w:tc>
          <w:tcPr>
            <w:tcW w:w="1106" w:type="dxa"/>
          </w:tcPr>
          <w:p w14:paraId="136D54F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2017 </w:t>
            </w:r>
          </w:p>
        </w:tc>
        <w:tc>
          <w:tcPr>
            <w:tcW w:w="1105" w:type="dxa"/>
          </w:tcPr>
          <w:p w14:paraId="6460D56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2022 </w:t>
            </w:r>
          </w:p>
        </w:tc>
        <w:tc>
          <w:tcPr>
            <w:tcW w:w="1106" w:type="dxa"/>
          </w:tcPr>
          <w:p w14:paraId="71E6C1A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2027 </w:t>
            </w:r>
          </w:p>
        </w:tc>
        <w:tc>
          <w:tcPr>
            <w:tcW w:w="1106" w:type="dxa"/>
          </w:tcPr>
          <w:p w14:paraId="3CA1091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 xml:space="preserve">2032 </w:t>
            </w:r>
          </w:p>
        </w:tc>
      </w:tr>
      <w:tr w:rsidR="00BE36FB" w:rsidRPr="009B7B35" w14:paraId="719E78B6" w14:textId="77777777"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14:paraId="7BD6693E" w14:textId="77777777" w:rsidR="00BE36FB" w:rsidRPr="009B7B35" w:rsidRDefault="00BE36FB" w:rsidP="001A7107">
            <w:pPr>
              <w:pStyle w:val="TableText"/>
              <w:rPr>
                <w:rFonts w:cs="Arial"/>
              </w:rPr>
            </w:pPr>
          </w:p>
        </w:tc>
        <w:tc>
          <w:tcPr>
            <w:tcW w:w="2268" w:type="dxa"/>
          </w:tcPr>
          <w:p w14:paraId="6B9056F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Gladstone</w:t>
            </w:r>
          </w:p>
        </w:tc>
        <w:tc>
          <w:tcPr>
            <w:tcW w:w="1105" w:type="dxa"/>
          </w:tcPr>
          <w:p w14:paraId="1B666EF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143,878</w:t>
            </w:r>
          </w:p>
        </w:tc>
        <w:tc>
          <w:tcPr>
            <w:tcW w:w="1106" w:type="dxa"/>
          </w:tcPr>
          <w:p w14:paraId="43BCF7F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160,886</w:t>
            </w:r>
          </w:p>
        </w:tc>
        <w:tc>
          <w:tcPr>
            <w:tcW w:w="1105" w:type="dxa"/>
          </w:tcPr>
          <w:p w14:paraId="4380A11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181,673</w:t>
            </w:r>
          </w:p>
        </w:tc>
        <w:tc>
          <w:tcPr>
            <w:tcW w:w="1106" w:type="dxa"/>
          </w:tcPr>
          <w:p w14:paraId="38B075E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204,146</w:t>
            </w:r>
          </w:p>
        </w:tc>
        <w:tc>
          <w:tcPr>
            <w:tcW w:w="1106" w:type="dxa"/>
          </w:tcPr>
          <w:p w14:paraId="64A6E4A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228,644</w:t>
            </w:r>
          </w:p>
        </w:tc>
      </w:tr>
      <w:tr w:rsidR="00BE36FB" w:rsidRPr="009B7B35" w14:paraId="58C5A7AA" w14:textId="77777777"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14:paraId="6789D819" w14:textId="77777777" w:rsidR="00BE36FB" w:rsidRPr="009B7B35" w:rsidRDefault="00BE36FB" w:rsidP="001A7107">
            <w:pPr>
              <w:pStyle w:val="TableText"/>
              <w:rPr>
                <w:rFonts w:cs="Arial"/>
              </w:rPr>
            </w:pPr>
          </w:p>
        </w:tc>
        <w:tc>
          <w:tcPr>
            <w:tcW w:w="2268" w:type="dxa"/>
          </w:tcPr>
          <w:p w14:paraId="2E342C3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Calliope</w:t>
            </w:r>
          </w:p>
        </w:tc>
        <w:tc>
          <w:tcPr>
            <w:tcW w:w="1105" w:type="dxa"/>
          </w:tcPr>
          <w:p w14:paraId="2290505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56,953</w:t>
            </w:r>
          </w:p>
        </w:tc>
        <w:tc>
          <w:tcPr>
            <w:tcW w:w="1106" w:type="dxa"/>
          </w:tcPr>
          <w:p w14:paraId="1566A26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71,689</w:t>
            </w:r>
          </w:p>
        </w:tc>
        <w:tc>
          <w:tcPr>
            <w:tcW w:w="1105" w:type="dxa"/>
          </w:tcPr>
          <w:p w14:paraId="1D6FFA0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88,940</w:t>
            </w:r>
          </w:p>
        </w:tc>
        <w:tc>
          <w:tcPr>
            <w:tcW w:w="1106" w:type="dxa"/>
          </w:tcPr>
          <w:p w14:paraId="6BD74DA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104,895</w:t>
            </w:r>
          </w:p>
        </w:tc>
        <w:tc>
          <w:tcPr>
            <w:tcW w:w="1106" w:type="dxa"/>
          </w:tcPr>
          <w:p w14:paraId="3DCC116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115,385</w:t>
            </w:r>
          </w:p>
        </w:tc>
      </w:tr>
      <w:tr w:rsidR="00BE36FB" w:rsidRPr="009B7B35" w14:paraId="076DA3E3" w14:textId="77777777"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14:paraId="31BE0484" w14:textId="77777777" w:rsidR="00BE36FB" w:rsidRPr="009B7B35" w:rsidRDefault="00BE36FB" w:rsidP="001A7107">
            <w:pPr>
              <w:pStyle w:val="TableText"/>
              <w:rPr>
                <w:rFonts w:cs="Arial"/>
              </w:rPr>
            </w:pPr>
          </w:p>
        </w:tc>
        <w:tc>
          <w:tcPr>
            <w:tcW w:w="2268" w:type="dxa"/>
          </w:tcPr>
          <w:p w14:paraId="61C01B0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Miriam Vale</w:t>
            </w:r>
          </w:p>
        </w:tc>
        <w:tc>
          <w:tcPr>
            <w:tcW w:w="1105" w:type="dxa"/>
          </w:tcPr>
          <w:p w14:paraId="21DA155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23,981</w:t>
            </w:r>
          </w:p>
        </w:tc>
        <w:tc>
          <w:tcPr>
            <w:tcW w:w="1106" w:type="dxa"/>
          </w:tcPr>
          <w:p w14:paraId="46727C9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29,920</w:t>
            </w:r>
          </w:p>
        </w:tc>
        <w:tc>
          <w:tcPr>
            <w:tcW w:w="1105" w:type="dxa"/>
          </w:tcPr>
          <w:p w14:paraId="31232EC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36,283</w:t>
            </w:r>
          </w:p>
        </w:tc>
        <w:tc>
          <w:tcPr>
            <w:tcW w:w="1106" w:type="dxa"/>
          </w:tcPr>
          <w:p w14:paraId="2DC5AA4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43,230</w:t>
            </w:r>
          </w:p>
        </w:tc>
        <w:tc>
          <w:tcPr>
            <w:tcW w:w="1106" w:type="dxa"/>
          </w:tcPr>
          <w:p w14:paraId="1321816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50,177</w:t>
            </w:r>
          </w:p>
        </w:tc>
      </w:tr>
      <w:tr w:rsidR="00BE36FB" w:rsidRPr="009B7B35" w14:paraId="783C589E" w14:textId="77777777"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4111" w:type="dxa"/>
            <w:gridSpan w:val="2"/>
          </w:tcPr>
          <w:p w14:paraId="1434E4AE" w14:textId="77777777" w:rsidR="00BE36FB" w:rsidRPr="009B7B35" w:rsidRDefault="00BE36FB" w:rsidP="001A7107">
            <w:pPr>
              <w:pStyle w:val="TableText"/>
              <w:rPr>
                <w:rFonts w:cs="Arial"/>
                <w:b/>
              </w:rPr>
            </w:pPr>
            <w:r w:rsidRPr="009B7B35">
              <w:rPr>
                <w:rFonts w:cs="Arial"/>
                <w:b/>
              </w:rPr>
              <w:t xml:space="preserve">Totals </w:t>
            </w:r>
          </w:p>
        </w:tc>
        <w:tc>
          <w:tcPr>
            <w:tcW w:w="1105" w:type="dxa"/>
          </w:tcPr>
          <w:p w14:paraId="4C3596F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224,812</w:t>
            </w:r>
          </w:p>
        </w:tc>
        <w:tc>
          <w:tcPr>
            <w:tcW w:w="1106" w:type="dxa"/>
          </w:tcPr>
          <w:p w14:paraId="3EEC6A1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262,495</w:t>
            </w:r>
          </w:p>
        </w:tc>
        <w:tc>
          <w:tcPr>
            <w:tcW w:w="1105" w:type="dxa"/>
          </w:tcPr>
          <w:p w14:paraId="0EAE428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306,895</w:t>
            </w:r>
          </w:p>
        </w:tc>
        <w:tc>
          <w:tcPr>
            <w:tcW w:w="1106" w:type="dxa"/>
          </w:tcPr>
          <w:p w14:paraId="4E3B16E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352,271</w:t>
            </w:r>
          </w:p>
        </w:tc>
        <w:tc>
          <w:tcPr>
            <w:tcW w:w="1106" w:type="dxa"/>
          </w:tcPr>
          <w:p w14:paraId="4BEA57E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394,206</w:t>
            </w:r>
          </w:p>
        </w:tc>
      </w:tr>
    </w:tbl>
    <w:p w14:paraId="3E209BB6" w14:textId="77777777" w:rsidR="00BE36FB" w:rsidRPr="009B7B35" w:rsidRDefault="00BE36FB" w:rsidP="001A7107">
      <w:pPr>
        <w:pStyle w:val="Heading9"/>
        <w:numPr>
          <w:ilvl w:val="0"/>
          <w:numId w:val="0"/>
        </w:numPr>
        <w:rPr>
          <w:rFonts w:cs="Arial"/>
          <w:sz w:val="20"/>
        </w:rPr>
      </w:pPr>
      <w:r w:rsidRPr="009B7B35">
        <w:rPr>
          <w:rFonts w:cs="Arial"/>
          <w:sz w:val="20"/>
        </w:rPr>
        <w:t xml:space="preserve">Table SC3.1.10—Existing and projected demand for the parks and land for community facilities network </w:t>
      </w:r>
    </w:p>
    <w:tbl>
      <w:tblPr>
        <w:tblStyle w:val="Tablestyle"/>
        <w:tblW w:w="9639" w:type="dxa"/>
        <w:tblLook w:val="04A0" w:firstRow="1" w:lastRow="0" w:firstColumn="1" w:lastColumn="0" w:noHBand="0" w:noVBand="1"/>
      </w:tblPr>
      <w:tblGrid>
        <w:gridCol w:w="1843"/>
        <w:gridCol w:w="2268"/>
        <w:gridCol w:w="1105"/>
        <w:gridCol w:w="1106"/>
        <w:gridCol w:w="1105"/>
        <w:gridCol w:w="1106"/>
        <w:gridCol w:w="1106"/>
      </w:tblGrid>
      <w:tr w:rsidR="00BE36FB" w:rsidRPr="009B7B35" w14:paraId="35C7943E" w14:textId="77777777" w:rsidTr="001A7107">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111" w:type="dxa"/>
            <w:gridSpan w:val="2"/>
          </w:tcPr>
          <w:p w14:paraId="040267C4" w14:textId="77777777" w:rsidR="00BE36FB" w:rsidRPr="009B7B35" w:rsidRDefault="00BE36FB" w:rsidP="001A7107">
            <w:pPr>
              <w:pStyle w:val="TableText"/>
              <w:rPr>
                <w:rFonts w:cs="Arial"/>
              </w:rPr>
            </w:pPr>
            <w:r w:rsidRPr="009B7B35">
              <w:rPr>
                <w:rFonts w:cs="Arial"/>
              </w:rPr>
              <w:t>Column 1</w:t>
            </w:r>
          </w:p>
          <w:p w14:paraId="6B538B17" w14:textId="77777777" w:rsidR="00BE36FB" w:rsidRPr="009B7B35" w:rsidRDefault="00BE36FB" w:rsidP="001A7107">
            <w:pPr>
              <w:pStyle w:val="TableText"/>
              <w:rPr>
                <w:rFonts w:cs="Arial"/>
              </w:rPr>
            </w:pPr>
            <w:r w:rsidRPr="009B7B35">
              <w:rPr>
                <w:rFonts w:cs="Arial"/>
              </w:rPr>
              <w:t>Service catchment</w:t>
            </w:r>
          </w:p>
        </w:tc>
        <w:tc>
          <w:tcPr>
            <w:tcW w:w="5528" w:type="dxa"/>
            <w:gridSpan w:val="5"/>
          </w:tcPr>
          <w:p w14:paraId="7F0BD6BB"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14:paraId="0439BB00"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Existing and projected demand (pop)</w:t>
            </w:r>
          </w:p>
        </w:tc>
      </w:tr>
      <w:tr w:rsidR="00BE36FB" w:rsidRPr="009B7B35" w14:paraId="5F29356F" w14:textId="77777777"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14:paraId="448ECC90" w14:textId="77777777" w:rsidR="00BE36FB" w:rsidRPr="009B7B35" w:rsidRDefault="00BE36FB" w:rsidP="001A7107">
            <w:pPr>
              <w:pStyle w:val="TableText"/>
              <w:rPr>
                <w:rFonts w:cs="Arial"/>
                <w:b/>
              </w:rPr>
            </w:pPr>
            <w:r w:rsidRPr="009B7B35">
              <w:rPr>
                <w:rFonts w:cs="Arial"/>
                <w:b/>
              </w:rPr>
              <w:t xml:space="preserve">Catchment no </w:t>
            </w:r>
          </w:p>
        </w:tc>
        <w:tc>
          <w:tcPr>
            <w:tcW w:w="2268" w:type="dxa"/>
          </w:tcPr>
          <w:p w14:paraId="354A997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Catchment Name (*)</w:t>
            </w:r>
          </w:p>
        </w:tc>
        <w:tc>
          <w:tcPr>
            <w:tcW w:w="1105" w:type="dxa"/>
          </w:tcPr>
          <w:p w14:paraId="09ED317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2012</w:t>
            </w:r>
          </w:p>
        </w:tc>
        <w:tc>
          <w:tcPr>
            <w:tcW w:w="1106" w:type="dxa"/>
          </w:tcPr>
          <w:p w14:paraId="6B8F323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2017</w:t>
            </w:r>
          </w:p>
        </w:tc>
        <w:tc>
          <w:tcPr>
            <w:tcW w:w="1105" w:type="dxa"/>
          </w:tcPr>
          <w:p w14:paraId="6F854FB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2022</w:t>
            </w:r>
          </w:p>
        </w:tc>
        <w:tc>
          <w:tcPr>
            <w:tcW w:w="1106" w:type="dxa"/>
          </w:tcPr>
          <w:p w14:paraId="685068D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2027</w:t>
            </w:r>
          </w:p>
        </w:tc>
        <w:tc>
          <w:tcPr>
            <w:tcW w:w="1106" w:type="dxa"/>
          </w:tcPr>
          <w:p w14:paraId="6FD1D01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2032</w:t>
            </w:r>
          </w:p>
        </w:tc>
      </w:tr>
      <w:tr w:rsidR="00BE36FB" w:rsidRPr="009B7B35" w14:paraId="38804CD2" w14:textId="77777777"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14:paraId="4AF3C1F5" w14:textId="77777777" w:rsidR="00BE36FB" w:rsidRPr="009B7B35" w:rsidRDefault="00BE36FB" w:rsidP="001A7107">
            <w:pPr>
              <w:pStyle w:val="TableText"/>
              <w:rPr>
                <w:rFonts w:cs="Arial"/>
              </w:rPr>
            </w:pPr>
          </w:p>
        </w:tc>
        <w:tc>
          <w:tcPr>
            <w:tcW w:w="2268" w:type="dxa"/>
          </w:tcPr>
          <w:p w14:paraId="0464BDA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Gladstone</w:t>
            </w:r>
          </w:p>
        </w:tc>
        <w:tc>
          <w:tcPr>
            <w:tcW w:w="1105" w:type="dxa"/>
          </w:tcPr>
          <w:p w14:paraId="27CC8DD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33,215</w:t>
            </w:r>
          </w:p>
        </w:tc>
        <w:tc>
          <w:tcPr>
            <w:tcW w:w="1106" w:type="dxa"/>
          </w:tcPr>
          <w:p w14:paraId="6D6ACA6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38,768</w:t>
            </w:r>
          </w:p>
        </w:tc>
        <w:tc>
          <w:tcPr>
            <w:tcW w:w="1105" w:type="dxa"/>
          </w:tcPr>
          <w:p w14:paraId="34E37B9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43,072</w:t>
            </w:r>
          </w:p>
        </w:tc>
        <w:tc>
          <w:tcPr>
            <w:tcW w:w="1106" w:type="dxa"/>
          </w:tcPr>
          <w:p w14:paraId="1609A6F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48,071</w:t>
            </w:r>
          </w:p>
        </w:tc>
        <w:tc>
          <w:tcPr>
            <w:tcW w:w="1106" w:type="dxa"/>
          </w:tcPr>
          <w:p w14:paraId="0B578B1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48,100</w:t>
            </w:r>
          </w:p>
        </w:tc>
      </w:tr>
      <w:tr w:rsidR="00BE36FB" w:rsidRPr="009B7B35" w14:paraId="2006AD1E" w14:textId="77777777"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14:paraId="2D0FEF1B" w14:textId="77777777" w:rsidR="00BE36FB" w:rsidRPr="009B7B35" w:rsidRDefault="00BE36FB" w:rsidP="001A7107">
            <w:pPr>
              <w:pStyle w:val="TableText"/>
              <w:rPr>
                <w:rFonts w:cs="Arial"/>
              </w:rPr>
            </w:pPr>
          </w:p>
        </w:tc>
        <w:tc>
          <w:tcPr>
            <w:tcW w:w="2268" w:type="dxa"/>
          </w:tcPr>
          <w:p w14:paraId="575497F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Calliope</w:t>
            </w:r>
          </w:p>
        </w:tc>
        <w:tc>
          <w:tcPr>
            <w:tcW w:w="1105" w:type="dxa"/>
          </w:tcPr>
          <w:p w14:paraId="6357425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20,573</w:t>
            </w:r>
          </w:p>
        </w:tc>
        <w:tc>
          <w:tcPr>
            <w:tcW w:w="1106" w:type="dxa"/>
          </w:tcPr>
          <w:p w14:paraId="2599BCE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25,078</w:t>
            </w:r>
          </w:p>
        </w:tc>
        <w:tc>
          <w:tcPr>
            <w:tcW w:w="1105" w:type="dxa"/>
          </w:tcPr>
          <w:p w14:paraId="15EFEE7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33,561</w:t>
            </w:r>
          </w:p>
        </w:tc>
        <w:tc>
          <w:tcPr>
            <w:tcW w:w="1106" w:type="dxa"/>
          </w:tcPr>
          <w:p w14:paraId="309B0B5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40,704</w:t>
            </w:r>
          </w:p>
        </w:tc>
        <w:tc>
          <w:tcPr>
            <w:tcW w:w="1106" w:type="dxa"/>
          </w:tcPr>
          <w:p w14:paraId="470EDB7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40,800</w:t>
            </w:r>
          </w:p>
        </w:tc>
      </w:tr>
      <w:tr w:rsidR="00BE36FB" w:rsidRPr="009B7B35" w14:paraId="25AF9E68" w14:textId="77777777" w:rsidTr="001A7107">
        <w:trPr>
          <w:cnfStyle w:val="000000010000" w:firstRow="0" w:lastRow="0" w:firstColumn="0" w:lastColumn="0" w:oddVBand="0" w:evenVBand="0" w:oddHBand="0" w:evenHBand="1"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1843" w:type="dxa"/>
          </w:tcPr>
          <w:p w14:paraId="3B2C0A8D" w14:textId="77777777" w:rsidR="00BE36FB" w:rsidRPr="009B7B35" w:rsidRDefault="00BE36FB" w:rsidP="001A7107">
            <w:pPr>
              <w:pStyle w:val="TableText"/>
              <w:rPr>
                <w:rFonts w:cs="Arial"/>
              </w:rPr>
            </w:pPr>
          </w:p>
        </w:tc>
        <w:tc>
          <w:tcPr>
            <w:tcW w:w="2268" w:type="dxa"/>
          </w:tcPr>
          <w:p w14:paraId="239D94F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Miriam Vale</w:t>
            </w:r>
          </w:p>
        </w:tc>
        <w:tc>
          <w:tcPr>
            <w:tcW w:w="1105" w:type="dxa"/>
          </w:tcPr>
          <w:p w14:paraId="6F68CE7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5,673</w:t>
            </w:r>
          </w:p>
        </w:tc>
        <w:tc>
          <w:tcPr>
            <w:tcW w:w="1106" w:type="dxa"/>
          </w:tcPr>
          <w:p w14:paraId="22C5023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6,252</w:t>
            </w:r>
          </w:p>
        </w:tc>
        <w:tc>
          <w:tcPr>
            <w:tcW w:w="1105" w:type="dxa"/>
          </w:tcPr>
          <w:p w14:paraId="7AF3F71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6,791</w:t>
            </w:r>
          </w:p>
        </w:tc>
        <w:tc>
          <w:tcPr>
            <w:tcW w:w="1106" w:type="dxa"/>
          </w:tcPr>
          <w:p w14:paraId="7C5AFCC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7,333</w:t>
            </w:r>
          </w:p>
        </w:tc>
        <w:tc>
          <w:tcPr>
            <w:tcW w:w="1106" w:type="dxa"/>
          </w:tcPr>
          <w:p w14:paraId="49A04CD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7,400</w:t>
            </w:r>
          </w:p>
        </w:tc>
      </w:tr>
      <w:tr w:rsidR="00BE36FB" w:rsidRPr="009B7B35" w14:paraId="1C342EEF" w14:textId="77777777" w:rsidTr="001A7107">
        <w:trPr>
          <w:cnfStyle w:val="000000100000" w:firstRow="0" w:lastRow="0" w:firstColumn="0" w:lastColumn="0" w:oddVBand="0" w:evenVBand="0" w:oddHBand="1" w:evenHBand="0" w:firstRowFirstColumn="0" w:firstRowLastColumn="0" w:lastRowFirstColumn="0" w:lastRowLastColumn="0"/>
          <w:trHeight w:val="32"/>
        </w:trPr>
        <w:tc>
          <w:tcPr>
            <w:cnfStyle w:val="001000000000" w:firstRow="0" w:lastRow="0" w:firstColumn="1" w:lastColumn="0" w:oddVBand="0" w:evenVBand="0" w:oddHBand="0" w:evenHBand="0" w:firstRowFirstColumn="0" w:firstRowLastColumn="0" w:lastRowFirstColumn="0" w:lastRowLastColumn="0"/>
            <w:tcW w:w="4111" w:type="dxa"/>
            <w:gridSpan w:val="2"/>
          </w:tcPr>
          <w:p w14:paraId="5D5CC343" w14:textId="77777777" w:rsidR="00BE36FB" w:rsidRPr="009B7B35" w:rsidRDefault="00BE36FB" w:rsidP="001A7107">
            <w:pPr>
              <w:pStyle w:val="TableText"/>
              <w:rPr>
                <w:rFonts w:cs="Arial"/>
                <w:b/>
              </w:rPr>
            </w:pPr>
            <w:r w:rsidRPr="009B7B35">
              <w:rPr>
                <w:rFonts w:cs="Arial"/>
                <w:b/>
              </w:rPr>
              <w:t xml:space="preserve">Totals </w:t>
            </w:r>
          </w:p>
        </w:tc>
        <w:tc>
          <w:tcPr>
            <w:tcW w:w="1105" w:type="dxa"/>
          </w:tcPr>
          <w:p w14:paraId="4ABBC61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59,461</w:t>
            </w:r>
          </w:p>
        </w:tc>
        <w:tc>
          <w:tcPr>
            <w:tcW w:w="1106" w:type="dxa"/>
          </w:tcPr>
          <w:p w14:paraId="20AC528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70,098</w:t>
            </w:r>
          </w:p>
        </w:tc>
        <w:tc>
          <w:tcPr>
            <w:tcW w:w="1105" w:type="dxa"/>
          </w:tcPr>
          <w:p w14:paraId="0DE5DE0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83,424</w:t>
            </w:r>
          </w:p>
        </w:tc>
        <w:tc>
          <w:tcPr>
            <w:tcW w:w="1106" w:type="dxa"/>
          </w:tcPr>
          <w:p w14:paraId="4683911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96,107</w:t>
            </w:r>
          </w:p>
        </w:tc>
        <w:tc>
          <w:tcPr>
            <w:tcW w:w="1106" w:type="dxa"/>
          </w:tcPr>
          <w:p w14:paraId="4062752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b/>
              </w:rPr>
            </w:pPr>
            <w:r w:rsidRPr="009B7B35">
              <w:rPr>
                <w:rFonts w:cs="Arial"/>
                <w:b/>
              </w:rPr>
              <w:t>96,300</w:t>
            </w:r>
          </w:p>
        </w:tc>
      </w:tr>
    </w:tbl>
    <w:p w14:paraId="18F9464B" w14:textId="77777777" w:rsidR="00BE36FB" w:rsidRPr="009B7B35" w:rsidRDefault="00BE36FB" w:rsidP="001A7107">
      <w:pPr>
        <w:rPr>
          <w:rFonts w:ascii="Arial" w:hAnsi="Arial" w:cs="Arial"/>
          <w:sz w:val="20"/>
          <w:szCs w:val="20"/>
        </w:rPr>
      </w:pPr>
    </w:p>
    <w:p w14:paraId="2E0A58F4" w14:textId="77777777" w:rsidR="00BE36FB" w:rsidRPr="009B7B35" w:rsidRDefault="00BE36FB" w:rsidP="001A7107">
      <w:pPr>
        <w:rPr>
          <w:rFonts w:ascii="Arial" w:hAnsi="Arial" w:cs="Arial"/>
          <w:sz w:val="20"/>
          <w:szCs w:val="20"/>
        </w:rPr>
        <w:sectPr w:rsidR="00BE36FB" w:rsidRPr="009B7B35" w:rsidSect="00835088">
          <w:footerReference w:type="default" r:id="rId127"/>
          <w:pgSz w:w="11906" w:h="16841"/>
          <w:pgMar w:top="1418" w:right="1134" w:bottom="1418" w:left="1134" w:header="720" w:footer="720" w:gutter="0"/>
          <w:cols w:space="720"/>
        </w:sectPr>
      </w:pPr>
    </w:p>
    <w:p w14:paraId="5E035AD6" w14:textId="77777777" w:rsidR="00BE36FB" w:rsidRPr="009B7B35" w:rsidRDefault="00BE36FB" w:rsidP="007A46D8">
      <w:pPr>
        <w:pStyle w:val="Heading7"/>
        <w:numPr>
          <w:ilvl w:val="6"/>
          <w:numId w:val="834"/>
        </w:numPr>
        <w:spacing w:before="0"/>
        <w:rPr>
          <w:rFonts w:cs="Arial"/>
          <w:bCs/>
          <w:iCs w:val="0"/>
          <w:sz w:val="20"/>
          <w:szCs w:val="20"/>
        </w:rPr>
      </w:pPr>
      <w:bookmarkStart w:id="307" w:name="_Toc402447501"/>
      <w:bookmarkStart w:id="308" w:name="_Toc205367422"/>
      <w:r w:rsidRPr="009B7B35">
        <w:rPr>
          <w:rFonts w:cs="Arial"/>
          <w:bCs/>
          <w:iCs w:val="0"/>
          <w:sz w:val="20"/>
          <w:szCs w:val="20"/>
        </w:rPr>
        <w:t>Schedules of works</w:t>
      </w:r>
      <w:bookmarkEnd w:id="307"/>
      <w:bookmarkEnd w:id="308"/>
    </w:p>
    <w:p w14:paraId="41C0A78C" w14:textId="77777777" w:rsidR="00BE36FB" w:rsidRPr="009B7B35" w:rsidRDefault="00BE36FB" w:rsidP="001A7107">
      <w:pPr>
        <w:pStyle w:val="Heading9"/>
        <w:numPr>
          <w:ilvl w:val="0"/>
          <w:numId w:val="0"/>
        </w:numPr>
        <w:rPr>
          <w:rFonts w:cs="Arial"/>
          <w:sz w:val="20"/>
        </w:rPr>
      </w:pPr>
      <w:r w:rsidRPr="009B7B35">
        <w:rPr>
          <w:rFonts w:cs="Arial"/>
          <w:sz w:val="20"/>
        </w:rPr>
        <w:t>Table SC3.2.1—Water supply network</w:t>
      </w:r>
    </w:p>
    <w:tbl>
      <w:tblPr>
        <w:tblStyle w:val="Tablestyle"/>
        <w:tblW w:w="4941" w:type="pct"/>
        <w:tblLayout w:type="fixed"/>
        <w:tblLook w:val="04A0" w:firstRow="1" w:lastRow="0" w:firstColumn="1" w:lastColumn="0" w:noHBand="0" w:noVBand="1"/>
      </w:tblPr>
      <w:tblGrid>
        <w:gridCol w:w="1960"/>
        <w:gridCol w:w="4136"/>
        <w:gridCol w:w="1630"/>
        <w:gridCol w:w="1630"/>
      </w:tblGrid>
      <w:tr w:rsidR="00BE36FB" w:rsidRPr="009B7B35" w14:paraId="3DD0E660"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16E87D9A" w14:textId="77777777" w:rsidR="00BE36FB" w:rsidRPr="009B7B35" w:rsidRDefault="00BE36FB" w:rsidP="001A7107">
            <w:pPr>
              <w:pStyle w:val="TableText"/>
              <w:rPr>
                <w:rFonts w:cs="Arial"/>
              </w:rPr>
            </w:pPr>
            <w:r w:rsidRPr="009B7B35">
              <w:rPr>
                <w:rFonts w:cs="Arial"/>
              </w:rPr>
              <w:t>Column 1</w:t>
            </w:r>
            <w:r w:rsidRPr="009B7B35">
              <w:rPr>
                <w:rFonts w:cs="Arial"/>
              </w:rPr>
              <w:br/>
              <w:t xml:space="preserve">Asset ID </w:t>
            </w:r>
          </w:p>
        </w:tc>
        <w:tc>
          <w:tcPr>
            <w:tcW w:w="2210" w:type="pct"/>
            <w:hideMark/>
          </w:tcPr>
          <w:p w14:paraId="70274B51"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r w:rsidRPr="009B7B35">
              <w:rPr>
                <w:rFonts w:cs="Arial"/>
              </w:rPr>
              <w:br/>
              <w:t xml:space="preserve">Description </w:t>
            </w:r>
          </w:p>
        </w:tc>
        <w:tc>
          <w:tcPr>
            <w:tcW w:w="871" w:type="pct"/>
            <w:hideMark/>
          </w:tcPr>
          <w:p w14:paraId="2E81627B"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3</w:t>
            </w:r>
            <w:r w:rsidRPr="009B7B35">
              <w:rPr>
                <w:rFonts w:cs="Arial"/>
              </w:rPr>
              <w:br/>
              <w:t xml:space="preserve">Establishment timing </w:t>
            </w:r>
          </w:p>
        </w:tc>
        <w:tc>
          <w:tcPr>
            <w:tcW w:w="871" w:type="pct"/>
            <w:hideMark/>
          </w:tcPr>
          <w:p w14:paraId="34ABCC7F"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4</w:t>
            </w:r>
            <w:r w:rsidRPr="009B7B35">
              <w:rPr>
                <w:rFonts w:cs="Arial"/>
              </w:rPr>
              <w:br/>
              <w:t xml:space="preserve">Establishment cost </w:t>
            </w:r>
          </w:p>
        </w:tc>
      </w:tr>
      <w:tr w:rsidR="00BE36FB" w:rsidRPr="009B7B35" w14:paraId="167259E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1222BA3C" w14:textId="77777777" w:rsidR="00BE36FB" w:rsidRPr="009B7B35" w:rsidRDefault="00BE36FB" w:rsidP="001A7107">
            <w:pPr>
              <w:pStyle w:val="TableText"/>
              <w:rPr>
                <w:rFonts w:cs="Arial"/>
              </w:rPr>
            </w:pPr>
            <w:r w:rsidRPr="009B7B35">
              <w:rPr>
                <w:rFonts w:cs="Arial"/>
              </w:rPr>
              <w:t>ES-PB358</w:t>
            </w:r>
          </w:p>
        </w:tc>
        <w:tc>
          <w:tcPr>
            <w:tcW w:w="2210" w:type="pct"/>
            <w:hideMark/>
          </w:tcPr>
          <w:p w14:paraId="594F3C9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200NB main extension on Coronation Drive to Dahl Road</w:t>
            </w:r>
          </w:p>
        </w:tc>
        <w:tc>
          <w:tcPr>
            <w:tcW w:w="871" w:type="pct"/>
            <w:hideMark/>
          </w:tcPr>
          <w:p w14:paraId="4FD4D19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327A3C9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$475,500 </w:t>
            </w:r>
          </w:p>
        </w:tc>
      </w:tr>
      <w:tr w:rsidR="00BE36FB" w:rsidRPr="009B7B35" w14:paraId="5EB13F7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3BF08502" w14:textId="77777777" w:rsidR="00BE36FB" w:rsidRPr="009B7B35" w:rsidRDefault="00BE36FB" w:rsidP="001A7107">
            <w:pPr>
              <w:pStyle w:val="TableText"/>
              <w:rPr>
                <w:rFonts w:cs="Arial"/>
              </w:rPr>
            </w:pPr>
            <w:r w:rsidRPr="009B7B35">
              <w:rPr>
                <w:rFonts w:cs="Arial"/>
              </w:rPr>
              <w:t>EB-PB364</w:t>
            </w:r>
          </w:p>
        </w:tc>
        <w:tc>
          <w:tcPr>
            <w:tcW w:w="2210" w:type="pct"/>
            <w:hideMark/>
          </w:tcPr>
          <w:p w14:paraId="152B622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375NB main feed to Tannum Waters from Res</w:t>
            </w:r>
          </w:p>
        </w:tc>
        <w:tc>
          <w:tcPr>
            <w:tcW w:w="871" w:type="pct"/>
            <w:hideMark/>
          </w:tcPr>
          <w:p w14:paraId="3C60AC5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71" w:type="pct"/>
            <w:hideMark/>
          </w:tcPr>
          <w:p w14:paraId="63C02DF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$245,000 </w:t>
            </w:r>
          </w:p>
        </w:tc>
      </w:tr>
      <w:tr w:rsidR="00BE36FB" w:rsidRPr="009B7B35" w14:paraId="53E3947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50DBA78B" w14:textId="77777777" w:rsidR="00BE36FB" w:rsidRPr="009B7B35" w:rsidRDefault="00BE36FB" w:rsidP="001A7107">
            <w:pPr>
              <w:pStyle w:val="TableText"/>
              <w:rPr>
                <w:rFonts w:cs="Arial"/>
              </w:rPr>
            </w:pPr>
            <w:r w:rsidRPr="009B7B35">
              <w:rPr>
                <w:rFonts w:cs="Arial"/>
              </w:rPr>
              <w:t>ES-PB372</w:t>
            </w:r>
          </w:p>
        </w:tc>
        <w:tc>
          <w:tcPr>
            <w:tcW w:w="2210" w:type="pct"/>
            <w:hideMark/>
          </w:tcPr>
          <w:p w14:paraId="15B7630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300NB extension of main toward Cemetery boundary</w:t>
            </w:r>
          </w:p>
        </w:tc>
        <w:tc>
          <w:tcPr>
            <w:tcW w:w="871" w:type="pct"/>
            <w:hideMark/>
          </w:tcPr>
          <w:p w14:paraId="375DD93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2017</w:t>
            </w:r>
          </w:p>
        </w:tc>
        <w:tc>
          <w:tcPr>
            <w:tcW w:w="871" w:type="pct"/>
            <w:hideMark/>
          </w:tcPr>
          <w:p w14:paraId="26638B4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$390,000 </w:t>
            </w:r>
          </w:p>
        </w:tc>
      </w:tr>
      <w:tr w:rsidR="00BE36FB" w:rsidRPr="009B7B35" w14:paraId="09704F6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5CC25E82" w14:textId="77777777" w:rsidR="00BE36FB" w:rsidRPr="009B7B35" w:rsidRDefault="00BE36FB" w:rsidP="001A7107">
            <w:pPr>
              <w:pStyle w:val="TableText"/>
              <w:rPr>
                <w:rFonts w:cs="Arial"/>
              </w:rPr>
            </w:pPr>
            <w:r w:rsidRPr="009B7B35">
              <w:rPr>
                <w:rFonts w:cs="Arial"/>
              </w:rPr>
              <w:t>ES-PB347</w:t>
            </w:r>
          </w:p>
        </w:tc>
        <w:tc>
          <w:tcPr>
            <w:tcW w:w="2210" w:type="pct"/>
            <w:hideMark/>
          </w:tcPr>
          <w:p w14:paraId="27B0888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Acquire 'Heidelberg' Reservoir site land</w:t>
            </w:r>
          </w:p>
        </w:tc>
        <w:tc>
          <w:tcPr>
            <w:tcW w:w="871" w:type="pct"/>
            <w:hideMark/>
          </w:tcPr>
          <w:p w14:paraId="3A73759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2017</w:t>
            </w:r>
          </w:p>
        </w:tc>
        <w:tc>
          <w:tcPr>
            <w:tcW w:w="871" w:type="pct"/>
            <w:hideMark/>
          </w:tcPr>
          <w:p w14:paraId="7A722E8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4617,006 </w:t>
            </w:r>
          </w:p>
        </w:tc>
      </w:tr>
      <w:tr w:rsidR="00BE36FB" w:rsidRPr="009B7B35" w14:paraId="451915B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34A40CFF" w14:textId="77777777" w:rsidR="00BE36FB" w:rsidRPr="009B7B35" w:rsidRDefault="00BE36FB" w:rsidP="001A7107">
            <w:pPr>
              <w:pStyle w:val="TableText"/>
              <w:rPr>
                <w:rFonts w:cs="Arial"/>
              </w:rPr>
            </w:pPr>
            <w:r w:rsidRPr="009B7B35">
              <w:rPr>
                <w:rFonts w:cs="Arial"/>
              </w:rPr>
              <w:t>ES-PB376</w:t>
            </w:r>
          </w:p>
        </w:tc>
        <w:tc>
          <w:tcPr>
            <w:tcW w:w="2210" w:type="pct"/>
            <w:hideMark/>
          </w:tcPr>
          <w:p w14:paraId="14936AE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10ML "Heidelberg" Reservoir</w:t>
            </w:r>
          </w:p>
        </w:tc>
        <w:tc>
          <w:tcPr>
            <w:tcW w:w="871" w:type="pct"/>
            <w:hideMark/>
          </w:tcPr>
          <w:p w14:paraId="7678F8B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2017</w:t>
            </w:r>
          </w:p>
        </w:tc>
        <w:tc>
          <w:tcPr>
            <w:tcW w:w="871" w:type="pct"/>
            <w:hideMark/>
          </w:tcPr>
          <w:p w14:paraId="19EA1AF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$3,750,000 </w:t>
            </w:r>
          </w:p>
        </w:tc>
      </w:tr>
      <w:tr w:rsidR="00BE36FB" w:rsidRPr="009B7B35" w14:paraId="2D5D5D3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6E63498C" w14:textId="77777777" w:rsidR="00BE36FB" w:rsidRPr="009B7B35" w:rsidRDefault="00BE36FB" w:rsidP="001A7107">
            <w:pPr>
              <w:pStyle w:val="TableText"/>
              <w:rPr>
                <w:rFonts w:cs="Arial"/>
              </w:rPr>
            </w:pPr>
            <w:r w:rsidRPr="009B7B35">
              <w:rPr>
                <w:rFonts w:cs="Arial"/>
              </w:rPr>
              <w:t>ES-PB373</w:t>
            </w:r>
          </w:p>
        </w:tc>
        <w:tc>
          <w:tcPr>
            <w:tcW w:w="2210" w:type="pct"/>
            <w:hideMark/>
          </w:tcPr>
          <w:p w14:paraId="72097CE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Construct Temporary Pump Station at Boyne Island and Tannum Sands</w:t>
            </w:r>
          </w:p>
        </w:tc>
        <w:tc>
          <w:tcPr>
            <w:tcW w:w="871" w:type="pct"/>
            <w:hideMark/>
          </w:tcPr>
          <w:p w14:paraId="7109FCF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2017</w:t>
            </w:r>
          </w:p>
        </w:tc>
        <w:tc>
          <w:tcPr>
            <w:tcW w:w="871" w:type="pct"/>
            <w:hideMark/>
          </w:tcPr>
          <w:p w14:paraId="273B69F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$633,750 </w:t>
            </w:r>
          </w:p>
        </w:tc>
      </w:tr>
      <w:tr w:rsidR="00BE36FB" w:rsidRPr="009B7B35" w14:paraId="1D35350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1CE9039" w14:textId="77777777" w:rsidR="00BE36FB" w:rsidRPr="009B7B35" w:rsidRDefault="00BE36FB" w:rsidP="001A7107">
            <w:pPr>
              <w:pStyle w:val="TableText"/>
              <w:rPr>
                <w:rFonts w:cs="Arial"/>
              </w:rPr>
            </w:pPr>
            <w:r w:rsidRPr="009B7B35">
              <w:rPr>
                <w:rFonts w:cs="Arial"/>
              </w:rPr>
              <w:t>ES-PB371</w:t>
            </w:r>
          </w:p>
        </w:tc>
        <w:tc>
          <w:tcPr>
            <w:tcW w:w="2210" w:type="pct"/>
            <w:hideMark/>
          </w:tcPr>
          <w:p w14:paraId="1C7FDB3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450NB reticulation trunk main Reservoir to general retic</w:t>
            </w:r>
          </w:p>
        </w:tc>
        <w:tc>
          <w:tcPr>
            <w:tcW w:w="871" w:type="pct"/>
            <w:hideMark/>
          </w:tcPr>
          <w:p w14:paraId="70096DD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2017</w:t>
            </w:r>
          </w:p>
        </w:tc>
        <w:tc>
          <w:tcPr>
            <w:tcW w:w="871" w:type="pct"/>
            <w:hideMark/>
          </w:tcPr>
          <w:p w14:paraId="34C8FA4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$220,000 </w:t>
            </w:r>
          </w:p>
        </w:tc>
      </w:tr>
      <w:tr w:rsidR="00BE36FB" w:rsidRPr="009B7B35" w14:paraId="4A78D2F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1D3F3358" w14:textId="77777777" w:rsidR="00BE36FB" w:rsidRPr="009B7B35" w:rsidRDefault="00BE36FB" w:rsidP="001A7107">
            <w:pPr>
              <w:pStyle w:val="TableText"/>
              <w:rPr>
                <w:rFonts w:cs="Arial"/>
              </w:rPr>
            </w:pPr>
            <w:r w:rsidRPr="009B7B35">
              <w:rPr>
                <w:rFonts w:cs="Arial"/>
              </w:rPr>
              <w:t>ES-PB377</w:t>
            </w:r>
          </w:p>
        </w:tc>
        <w:tc>
          <w:tcPr>
            <w:tcW w:w="2210" w:type="pct"/>
            <w:hideMark/>
          </w:tcPr>
          <w:p w14:paraId="1CA1717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300NB Heidelberg distribution main</w:t>
            </w:r>
          </w:p>
        </w:tc>
        <w:tc>
          <w:tcPr>
            <w:tcW w:w="871" w:type="pct"/>
            <w:hideMark/>
          </w:tcPr>
          <w:p w14:paraId="788B9CE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2018</w:t>
            </w:r>
          </w:p>
        </w:tc>
        <w:tc>
          <w:tcPr>
            <w:tcW w:w="871" w:type="pct"/>
            <w:hideMark/>
          </w:tcPr>
          <w:p w14:paraId="1F102C1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$692,500 </w:t>
            </w:r>
          </w:p>
        </w:tc>
      </w:tr>
      <w:tr w:rsidR="00BE36FB" w:rsidRPr="009B7B35" w14:paraId="2B838A1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18420854" w14:textId="77777777" w:rsidR="00BE36FB" w:rsidRPr="009B7B35" w:rsidRDefault="00BE36FB" w:rsidP="001A7107">
            <w:pPr>
              <w:pStyle w:val="TableText"/>
              <w:rPr>
                <w:rFonts w:cs="Arial"/>
              </w:rPr>
            </w:pPr>
            <w:r w:rsidRPr="009B7B35">
              <w:rPr>
                <w:rFonts w:cs="Arial"/>
              </w:rPr>
              <w:t>ES-PB383</w:t>
            </w:r>
          </w:p>
        </w:tc>
        <w:tc>
          <w:tcPr>
            <w:tcW w:w="2210" w:type="pct"/>
            <w:hideMark/>
          </w:tcPr>
          <w:p w14:paraId="384633A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375NB Heidelberg distribution main</w:t>
            </w:r>
          </w:p>
        </w:tc>
        <w:tc>
          <w:tcPr>
            <w:tcW w:w="871" w:type="pct"/>
            <w:hideMark/>
          </w:tcPr>
          <w:p w14:paraId="7837EC1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2020</w:t>
            </w:r>
          </w:p>
        </w:tc>
        <w:tc>
          <w:tcPr>
            <w:tcW w:w="871" w:type="pct"/>
            <w:hideMark/>
          </w:tcPr>
          <w:p w14:paraId="14696CE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$1,232,500 </w:t>
            </w:r>
          </w:p>
        </w:tc>
      </w:tr>
      <w:tr w:rsidR="00BE36FB" w:rsidRPr="009B7B35" w14:paraId="7E54F18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055B30D" w14:textId="77777777" w:rsidR="00BE36FB" w:rsidRPr="009B7B35" w:rsidRDefault="00BE36FB" w:rsidP="001A7107">
            <w:pPr>
              <w:pStyle w:val="TableText"/>
              <w:rPr>
                <w:rFonts w:cs="Arial"/>
              </w:rPr>
            </w:pPr>
            <w:r w:rsidRPr="009B7B35">
              <w:rPr>
                <w:rFonts w:cs="Arial"/>
              </w:rPr>
              <w:t>ES-PB361</w:t>
            </w:r>
          </w:p>
        </w:tc>
        <w:tc>
          <w:tcPr>
            <w:tcW w:w="2210" w:type="pct"/>
            <w:hideMark/>
          </w:tcPr>
          <w:p w14:paraId="22C2EEF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Reservoir, 1770 including PRV and associated mains (AWIWP works)</w:t>
            </w:r>
          </w:p>
        </w:tc>
        <w:tc>
          <w:tcPr>
            <w:tcW w:w="871" w:type="pct"/>
            <w:hideMark/>
          </w:tcPr>
          <w:p w14:paraId="2B571DB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481C3CC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$1,340,000 </w:t>
            </w:r>
          </w:p>
        </w:tc>
      </w:tr>
      <w:tr w:rsidR="00BE36FB" w:rsidRPr="009B7B35" w14:paraId="509C295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1BC23085" w14:textId="77777777" w:rsidR="00BE36FB" w:rsidRPr="009B7B35" w:rsidRDefault="00BE36FB" w:rsidP="001A7107">
            <w:pPr>
              <w:pStyle w:val="TableText"/>
              <w:rPr>
                <w:rFonts w:cs="Arial"/>
              </w:rPr>
            </w:pPr>
            <w:r w:rsidRPr="009B7B35">
              <w:rPr>
                <w:rFonts w:cs="Arial"/>
              </w:rPr>
              <w:t>ES-PB348</w:t>
            </w:r>
          </w:p>
        </w:tc>
        <w:tc>
          <w:tcPr>
            <w:tcW w:w="2210" w:type="pct"/>
            <w:hideMark/>
          </w:tcPr>
          <w:p w14:paraId="03CC109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Acquire new reservoir site L5 SP190794</w:t>
            </w:r>
          </w:p>
        </w:tc>
        <w:tc>
          <w:tcPr>
            <w:tcW w:w="871" w:type="pct"/>
            <w:hideMark/>
          </w:tcPr>
          <w:p w14:paraId="46A56C7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w:t>
            </w:r>
          </w:p>
        </w:tc>
        <w:tc>
          <w:tcPr>
            <w:tcW w:w="871" w:type="pct"/>
            <w:hideMark/>
          </w:tcPr>
          <w:p w14:paraId="533FC60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$685,562 </w:t>
            </w:r>
          </w:p>
        </w:tc>
      </w:tr>
      <w:tr w:rsidR="00BE36FB" w:rsidRPr="009B7B35" w14:paraId="3F29E05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11EA0C87" w14:textId="77777777" w:rsidR="00BE36FB" w:rsidRPr="009B7B35" w:rsidRDefault="00BE36FB" w:rsidP="001A7107">
            <w:pPr>
              <w:pStyle w:val="TableText"/>
              <w:rPr>
                <w:rFonts w:cs="Arial"/>
              </w:rPr>
            </w:pPr>
            <w:r w:rsidRPr="009B7B35">
              <w:rPr>
                <w:rFonts w:cs="Arial"/>
              </w:rPr>
              <w:t>ES-PB362</w:t>
            </w:r>
          </w:p>
        </w:tc>
        <w:tc>
          <w:tcPr>
            <w:tcW w:w="2210" w:type="pct"/>
            <w:hideMark/>
          </w:tcPr>
          <w:p w14:paraId="5AEF536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300NB Don Cameron Drive upgrade from Walker Street</w:t>
            </w:r>
          </w:p>
        </w:tc>
        <w:tc>
          <w:tcPr>
            <w:tcW w:w="871" w:type="pct"/>
            <w:hideMark/>
          </w:tcPr>
          <w:p w14:paraId="2A60B29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5AB0794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$550,000 </w:t>
            </w:r>
          </w:p>
        </w:tc>
      </w:tr>
      <w:tr w:rsidR="00BE36FB" w:rsidRPr="009B7B35" w14:paraId="5BD4AC0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448FC531" w14:textId="77777777" w:rsidR="00BE36FB" w:rsidRPr="009B7B35" w:rsidRDefault="00BE36FB" w:rsidP="001A7107">
            <w:pPr>
              <w:pStyle w:val="TableText"/>
              <w:rPr>
                <w:rFonts w:cs="Arial"/>
              </w:rPr>
            </w:pPr>
            <w:r w:rsidRPr="009B7B35">
              <w:rPr>
                <w:rFonts w:cs="Arial"/>
              </w:rPr>
              <w:t>ES-PB384</w:t>
            </w:r>
          </w:p>
        </w:tc>
        <w:tc>
          <w:tcPr>
            <w:tcW w:w="2210" w:type="pct"/>
            <w:hideMark/>
          </w:tcPr>
          <w:p w14:paraId="5A8CB80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boosters Calliope and South Gne</w:t>
            </w:r>
          </w:p>
        </w:tc>
        <w:tc>
          <w:tcPr>
            <w:tcW w:w="871" w:type="pct"/>
            <w:hideMark/>
          </w:tcPr>
          <w:p w14:paraId="637BB19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2020</w:t>
            </w:r>
          </w:p>
        </w:tc>
        <w:tc>
          <w:tcPr>
            <w:tcW w:w="871" w:type="pct"/>
            <w:hideMark/>
          </w:tcPr>
          <w:p w14:paraId="1B59B72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$2,087,500 </w:t>
            </w:r>
          </w:p>
        </w:tc>
      </w:tr>
      <w:tr w:rsidR="00BE36FB" w:rsidRPr="009B7B35" w14:paraId="2848166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08D7BC32" w14:textId="77777777" w:rsidR="00BE36FB" w:rsidRPr="009B7B35" w:rsidRDefault="00BE36FB" w:rsidP="001A7107">
            <w:pPr>
              <w:pStyle w:val="TableText"/>
              <w:rPr>
                <w:rFonts w:cs="Arial"/>
              </w:rPr>
            </w:pPr>
            <w:r w:rsidRPr="009B7B35">
              <w:rPr>
                <w:rFonts w:cs="Arial"/>
              </w:rPr>
              <w:t>ES-PB385</w:t>
            </w:r>
          </w:p>
        </w:tc>
        <w:tc>
          <w:tcPr>
            <w:tcW w:w="2210" w:type="pct"/>
            <w:hideMark/>
          </w:tcPr>
          <w:p w14:paraId="575B7A1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6ML No.2 Reservoir - Mt Elizabeth</w:t>
            </w:r>
          </w:p>
        </w:tc>
        <w:tc>
          <w:tcPr>
            <w:tcW w:w="871" w:type="pct"/>
            <w:hideMark/>
          </w:tcPr>
          <w:p w14:paraId="6B68B45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2020</w:t>
            </w:r>
          </w:p>
        </w:tc>
        <w:tc>
          <w:tcPr>
            <w:tcW w:w="871" w:type="pct"/>
            <w:hideMark/>
          </w:tcPr>
          <w:p w14:paraId="2ADAD5C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$2,725,000 </w:t>
            </w:r>
          </w:p>
        </w:tc>
      </w:tr>
      <w:tr w:rsidR="00BE36FB" w:rsidRPr="009B7B35" w14:paraId="209FE7C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09112FC" w14:textId="77777777" w:rsidR="00BE36FB" w:rsidRPr="009B7B35" w:rsidRDefault="00BE36FB" w:rsidP="001A7107">
            <w:pPr>
              <w:pStyle w:val="TableText"/>
              <w:rPr>
                <w:rFonts w:cs="Arial"/>
              </w:rPr>
            </w:pPr>
            <w:r w:rsidRPr="009B7B35">
              <w:rPr>
                <w:rFonts w:cs="Arial"/>
              </w:rPr>
              <w:t>WTM_AW_013</w:t>
            </w:r>
          </w:p>
        </w:tc>
        <w:tc>
          <w:tcPr>
            <w:tcW w:w="2210" w:type="pct"/>
            <w:hideMark/>
          </w:tcPr>
          <w:p w14:paraId="0892410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Capacity upgrade from Starfish Street to Banksia Drive</w:t>
            </w:r>
          </w:p>
        </w:tc>
        <w:tc>
          <w:tcPr>
            <w:tcW w:w="871" w:type="pct"/>
            <w:hideMark/>
          </w:tcPr>
          <w:p w14:paraId="6DD4E67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1B9AE71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$190,000 </w:t>
            </w:r>
          </w:p>
        </w:tc>
      </w:tr>
      <w:tr w:rsidR="00BE36FB" w:rsidRPr="009B7B35" w14:paraId="28C6BD7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318B53EC" w14:textId="77777777" w:rsidR="00BE36FB" w:rsidRPr="009B7B35" w:rsidRDefault="00BE36FB" w:rsidP="001A7107">
            <w:pPr>
              <w:pStyle w:val="TableText"/>
              <w:rPr>
                <w:rFonts w:cs="Arial"/>
              </w:rPr>
            </w:pPr>
            <w:r w:rsidRPr="009B7B35">
              <w:rPr>
                <w:rFonts w:cs="Arial"/>
              </w:rPr>
              <w:t>WRM_NRG_082</w:t>
            </w:r>
          </w:p>
        </w:tc>
        <w:tc>
          <w:tcPr>
            <w:tcW w:w="2210" w:type="pct"/>
            <w:hideMark/>
          </w:tcPr>
          <w:p w14:paraId="491F590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For resolution of local low pressures</w:t>
            </w:r>
          </w:p>
        </w:tc>
        <w:tc>
          <w:tcPr>
            <w:tcW w:w="871" w:type="pct"/>
            <w:hideMark/>
          </w:tcPr>
          <w:p w14:paraId="52A748A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769AB96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$200,000 </w:t>
            </w:r>
          </w:p>
        </w:tc>
      </w:tr>
      <w:tr w:rsidR="00BE36FB" w:rsidRPr="009B7B35" w14:paraId="6FA05C5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6B5F688D" w14:textId="77777777" w:rsidR="00BE36FB" w:rsidRPr="009B7B35" w:rsidRDefault="00BE36FB" w:rsidP="001A7107">
            <w:pPr>
              <w:pStyle w:val="TableText"/>
              <w:rPr>
                <w:rFonts w:cs="Arial"/>
              </w:rPr>
            </w:pPr>
            <w:r w:rsidRPr="009B7B35">
              <w:rPr>
                <w:rFonts w:cs="Arial"/>
              </w:rPr>
              <w:t>WTM_NRG_091</w:t>
            </w:r>
          </w:p>
        </w:tc>
        <w:tc>
          <w:tcPr>
            <w:tcW w:w="2210" w:type="pct"/>
            <w:hideMark/>
          </w:tcPr>
          <w:p w14:paraId="463ADFC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supply main to NRG WSZ</w:t>
            </w:r>
          </w:p>
        </w:tc>
        <w:tc>
          <w:tcPr>
            <w:tcW w:w="871" w:type="pct"/>
            <w:hideMark/>
          </w:tcPr>
          <w:p w14:paraId="5BA6FD1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3048B04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$1,120,000 </w:t>
            </w:r>
          </w:p>
        </w:tc>
      </w:tr>
      <w:tr w:rsidR="00BE36FB" w:rsidRPr="009B7B35" w14:paraId="658681C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603D57D" w14:textId="77777777" w:rsidR="00BE36FB" w:rsidRPr="009B7B35" w:rsidRDefault="00BE36FB" w:rsidP="001A7107">
            <w:pPr>
              <w:pStyle w:val="TableText"/>
              <w:rPr>
                <w:rFonts w:cs="Arial"/>
              </w:rPr>
            </w:pPr>
            <w:r w:rsidRPr="009B7B35">
              <w:rPr>
                <w:rFonts w:cs="Arial"/>
              </w:rPr>
              <w:t>WTM_PAT_036</w:t>
            </w:r>
          </w:p>
        </w:tc>
        <w:tc>
          <w:tcPr>
            <w:tcW w:w="2210" w:type="pct"/>
            <w:hideMark/>
          </w:tcPr>
          <w:p w14:paraId="0C2212B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Supply to new Paterson Reservoir, pipe work upstream of proposed Paterson WPS</w:t>
            </w:r>
          </w:p>
        </w:tc>
        <w:tc>
          <w:tcPr>
            <w:tcW w:w="871" w:type="pct"/>
            <w:hideMark/>
          </w:tcPr>
          <w:p w14:paraId="123515D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1994337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$50,000 </w:t>
            </w:r>
          </w:p>
        </w:tc>
      </w:tr>
      <w:tr w:rsidR="00BE36FB" w:rsidRPr="009B7B35" w14:paraId="76A7D4A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42E195E" w14:textId="77777777" w:rsidR="00BE36FB" w:rsidRPr="009B7B35" w:rsidRDefault="00BE36FB" w:rsidP="001A7107">
            <w:pPr>
              <w:pStyle w:val="TableText"/>
              <w:rPr>
                <w:rFonts w:cs="Arial"/>
              </w:rPr>
            </w:pPr>
            <w:r w:rsidRPr="009B7B35">
              <w:rPr>
                <w:rFonts w:cs="Arial"/>
              </w:rPr>
              <w:t>WTM_PAT_037</w:t>
            </w:r>
          </w:p>
        </w:tc>
        <w:tc>
          <w:tcPr>
            <w:tcW w:w="2210" w:type="pct"/>
            <w:hideMark/>
          </w:tcPr>
          <w:p w14:paraId="2790161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Supply to new Paterson Reservoir, from WPS to existing 450mm main in Glenlyon Road. 450mm main will be dedicated for supply to Paterson WSZ and parallel 300mm main will be dedicated for supply to the Fisher Street, Radar Hill and Ferris Hill reservoir</w:t>
            </w:r>
          </w:p>
        </w:tc>
        <w:tc>
          <w:tcPr>
            <w:tcW w:w="871" w:type="pct"/>
            <w:hideMark/>
          </w:tcPr>
          <w:p w14:paraId="5DAB922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1A136F7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$750,000 </w:t>
            </w:r>
          </w:p>
        </w:tc>
      </w:tr>
      <w:tr w:rsidR="00BE36FB" w:rsidRPr="009B7B35" w14:paraId="3094B65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1F964C96" w14:textId="77777777" w:rsidR="00BE36FB" w:rsidRPr="009B7B35" w:rsidRDefault="00BE36FB" w:rsidP="001A7107">
            <w:pPr>
              <w:pStyle w:val="TableText"/>
              <w:rPr>
                <w:rFonts w:cs="Arial"/>
              </w:rPr>
            </w:pPr>
            <w:r w:rsidRPr="009B7B35">
              <w:rPr>
                <w:rFonts w:cs="Arial"/>
              </w:rPr>
              <w:t>WTM_PAT_042</w:t>
            </w:r>
          </w:p>
        </w:tc>
        <w:tc>
          <w:tcPr>
            <w:tcW w:w="2210" w:type="pct"/>
            <w:hideMark/>
          </w:tcPr>
          <w:p w14:paraId="6404CD4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Paterson 2 reservoir inlet</w:t>
            </w:r>
          </w:p>
        </w:tc>
        <w:tc>
          <w:tcPr>
            <w:tcW w:w="871" w:type="pct"/>
            <w:hideMark/>
          </w:tcPr>
          <w:p w14:paraId="27437B1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62D56BC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$180,000 </w:t>
            </w:r>
          </w:p>
        </w:tc>
      </w:tr>
      <w:tr w:rsidR="00BE36FB" w:rsidRPr="009B7B35" w14:paraId="4EA6887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5424FE67" w14:textId="77777777" w:rsidR="00BE36FB" w:rsidRPr="009B7B35" w:rsidRDefault="00BE36FB" w:rsidP="001A7107">
            <w:pPr>
              <w:pStyle w:val="TableText"/>
              <w:rPr>
                <w:rFonts w:cs="Arial"/>
              </w:rPr>
            </w:pPr>
            <w:r w:rsidRPr="009B7B35">
              <w:rPr>
                <w:rFonts w:cs="Arial"/>
              </w:rPr>
              <w:t>WTM_PAT_043</w:t>
            </w:r>
          </w:p>
        </w:tc>
        <w:tc>
          <w:tcPr>
            <w:tcW w:w="2210" w:type="pct"/>
            <w:hideMark/>
          </w:tcPr>
          <w:p w14:paraId="2A408F7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Paterson 2 reservoir outlet</w:t>
            </w:r>
          </w:p>
        </w:tc>
        <w:tc>
          <w:tcPr>
            <w:tcW w:w="871" w:type="pct"/>
            <w:hideMark/>
          </w:tcPr>
          <w:p w14:paraId="09CD484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2359FF5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$160,000 </w:t>
            </w:r>
          </w:p>
        </w:tc>
      </w:tr>
      <w:tr w:rsidR="00BE36FB" w:rsidRPr="009B7B35" w14:paraId="0E8D3E5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65CF57B0" w14:textId="77777777" w:rsidR="00BE36FB" w:rsidRPr="009B7B35" w:rsidRDefault="00BE36FB" w:rsidP="001A7107">
            <w:pPr>
              <w:pStyle w:val="TableText"/>
              <w:rPr>
                <w:rFonts w:cs="Arial"/>
              </w:rPr>
            </w:pPr>
            <w:r w:rsidRPr="009B7B35">
              <w:rPr>
                <w:rFonts w:cs="Arial"/>
              </w:rPr>
              <w:t>WTM_PAT_044</w:t>
            </w:r>
          </w:p>
        </w:tc>
        <w:tc>
          <w:tcPr>
            <w:tcW w:w="2210" w:type="pct"/>
            <w:hideMark/>
          </w:tcPr>
          <w:p w14:paraId="5E63D5D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Paterson outlet trunk main connection</w:t>
            </w:r>
          </w:p>
        </w:tc>
        <w:tc>
          <w:tcPr>
            <w:tcW w:w="871" w:type="pct"/>
            <w:hideMark/>
          </w:tcPr>
          <w:p w14:paraId="370EE62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51A0529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$500,000 </w:t>
            </w:r>
          </w:p>
        </w:tc>
      </w:tr>
      <w:tr w:rsidR="00BE36FB" w:rsidRPr="009B7B35" w14:paraId="6D9F0EB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5B9CDD54" w14:textId="77777777" w:rsidR="00BE36FB" w:rsidRPr="009B7B35" w:rsidRDefault="00BE36FB" w:rsidP="001A7107">
            <w:pPr>
              <w:pStyle w:val="TableText"/>
              <w:rPr>
                <w:rFonts w:cs="Arial"/>
              </w:rPr>
            </w:pPr>
            <w:r w:rsidRPr="009B7B35">
              <w:rPr>
                <w:rFonts w:cs="Arial"/>
              </w:rPr>
              <w:t>WTM_PAT_046</w:t>
            </w:r>
          </w:p>
        </w:tc>
        <w:tc>
          <w:tcPr>
            <w:tcW w:w="2210" w:type="pct"/>
            <w:hideMark/>
          </w:tcPr>
          <w:p w14:paraId="2BE3BDE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Internal trunk main connection to facilitate supply into the CBD area</w:t>
            </w:r>
          </w:p>
        </w:tc>
        <w:tc>
          <w:tcPr>
            <w:tcW w:w="871" w:type="pct"/>
            <w:hideMark/>
          </w:tcPr>
          <w:p w14:paraId="5AFA01D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44257FA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$30,000 </w:t>
            </w:r>
          </w:p>
        </w:tc>
      </w:tr>
      <w:tr w:rsidR="00BE36FB" w:rsidRPr="009B7B35" w14:paraId="706CE05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0A059081" w14:textId="77777777" w:rsidR="00BE36FB" w:rsidRPr="009B7B35" w:rsidRDefault="00BE36FB" w:rsidP="001A7107">
            <w:pPr>
              <w:pStyle w:val="TableText"/>
              <w:rPr>
                <w:rFonts w:cs="Arial"/>
              </w:rPr>
            </w:pPr>
            <w:r w:rsidRPr="009B7B35">
              <w:rPr>
                <w:rFonts w:cs="Arial"/>
              </w:rPr>
              <w:t>WTM_PAT_047</w:t>
            </w:r>
          </w:p>
        </w:tc>
        <w:tc>
          <w:tcPr>
            <w:tcW w:w="2210" w:type="pct"/>
            <w:hideMark/>
          </w:tcPr>
          <w:p w14:paraId="1285538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Paterson internal trunk main, to facilitate supply into the CBD area</w:t>
            </w:r>
          </w:p>
        </w:tc>
        <w:tc>
          <w:tcPr>
            <w:tcW w:w="871" w:type="pct"/>
            <w:hideMark/>
          </w:tcPr>
          <w:p w14:paraId="1FE2DB8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5D0DAB2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$150,000 </w:t>
            </w:r>
          </w:p>
        </w:tc>
      </w:tr>
      <w:tr w:rsidR="00BE36FB" w:rsidRPr="009B7B35" w14:paraId="41C8580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1BE6971D" w14:textId="77777777" w:rsidR="00BE36FB" w:rsidRPr="009B7B35" w:rsidRDefault="00BE36FB" w:rsidP="001A7107">
            <w:pPr>
              <w:pStyle w:val="TableText"/>
              <w:rPr>
                <w:rFonts w:cs="Arial"/>
              </w:rPr>
            </w:pPr>
            <w:r w:rsidRPr="009B7B35">
              <w:rPr>
                <w:rFonts w:cs="Arial"/>
              </w:rPr>
              <w:t>WTM_PAT_048</w:t>
            </w:r>
          </w:p>
        </w:tc>
        <w:tc>
          <w:tcPr>
            <w:tcW w:w="2210" w:type="pct"/>
            <w:hideMark/>
          </w:tcPr>
          <w:p w14:paraId="783FE79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Paterson zone internal trunk connection</w:t>
            </w:r>
          </w:p>
        </w:tc>
        <w:tc>
          <w:tcPr>
            <w:tcW w:w="871" w:type="pct"/>
            <w:hideMark/>
          </w:tcPr>
          <w:p w14:paraId="46A52EB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49FE748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$40,000 </w:t>
            </w:r>
          </w:p>
        </w:tc>
      </w:tr>
      <w:tr w:rsidR="00BE36FB" w:rsidRPr="009B7B35" w14:paraId="5F41440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3DE5ABE1" w14:textId="77777777" w:rsidR="00BE36FB" w:rsidRPr="009B7B35" w:rsidRDefault="00BE36FB" w:rsidP="001A7107">
            <w:pPr>
              <w:pStyle w:val="TableText"/>
              <w:rPr>
                <w:rFonts w:cs="Arial"/>
              </w:rPr>
            </w:pPr>
            <w:r w:rsidRPr="009B7B35">
              <w:rPr>
                <w:rFonts w:cs="Arial"/>
              </w:rPr>
              <w:t>WTM_PAT_049</w:t>
            </w:r>
          </w:p>
        </w:tc>
        <w:tc>
          <w:tcPr>
            <w:tcW w:w="2210" w:type="pct"/>
            <w:hideMark/>
          </w:tcPr>
          <w:p w14:paraId="2EFFBE7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Paterson zone internal trunk connection</w:t>
            </w:r>
          </w:p>
        </w:tc>
        <w:tc>
          <w:tcPr>
            <w:tcW w:w="871" w:type="pct"/>
            <w:hideMark/>
          </w:tcPr>
          <w:p w14:paraId="2439B78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5541FAD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$270,000 </w:t>
            </w:r>
          </w:p>
        </w:tc>
      </w:tr>
      <w:tr w:rsidR="00BE36FB" w:rsidRPr="009B7B35" w14:paraId="246BC21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65DAA6CA" w14:textId="77777777" w:rsidR="00BE36FB" w:rsidRPr="009B7B35" w:rsidRDefault="00BE36FB" w:rsidP="001A7107">
            <w:pPr>
              <w:pStyle w:val="TableText"/>
              <w:rPr>
                <w:rFonts w:cs="Arial"/>
              </w:rPr>
            </w:pPr>
            <w:r w:rsidRPr="009B7B35">
              <w:rPr>
                <w:rFonts w:cs="Arial"/>
              </w:rPr>
              <w:t>WTM_PAT_058</w:t>
            </w:r>
          </w:p>
        </w:tc>
        <w:tc>
          <w:tcPr>
            <w:tcW w:w="2210" w:type="pct"/>
            <w:hideMark/>
          </w:tcPr>
          <w:p w14:paraId="103D77B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Connection from Paterson 2 reservoir to internal Paterson network</w:t>
            </w:r>
          </w:p>
        </w:tc>
        <w:tc>
          <w:tcPr>
            <w:tcW w:w="871" w:type="pct"/>
            <w:hideMark/>
          </w:tcPr>
          <w:p w14:paraId="2126634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58BB4C5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$450,000 </w:t>
            </w:r>
          </w:p>
        </w:tc>
      </w:tr>
      <w:tr w:rsidR="00BE36FB" w:rsidRPr="009B7B35" w14:paraId="2B7338F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550230E4" w14:textId="77777777" w:rsidR="00BE36FB" w:rsidRPr="009B7B35" w:rsidRDefault="00BE36FB" w:rsidP="001A7107">
            <w:pPr>
              <w:pStyle w:val="TableText"/>
              <w:rPr>
                <w:rFonts w:cs="Arial"/>
              </w:rPr>
            </w:pPr>
            <w:r w:rsidRPr="009B7B35">
              <w:rPr>
                <w:rFonts w:cs="Arial"/>
              </w:rPr>
              <w:t>WRM_PAT_083</w:t>
            </w:r>
          </w:p>
        </w:tc>
        <w:tc>
          <w:tcPr>
            <w:tcW w:w="2210" w:type="pct"/>
            <w:hideMark/>
          </w:tcPr>
          <w:p w14:paraId="501A85A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Paterson zone internal trunk connection</w:t>
            </w:r>
          </w:p>
        </w:tc>
        <w:tc>
          <w:tcPr>
            <w:tcW w:w="871" w:type="pct"/>
            <w:hideMark/>
          </w:tcPr>
          <w:p w14:paraId="2487187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6DC14B5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$60,000 </w:t>
            </w:r>
          </w:p>
        </w:tc>
      </w:tr>
      <w:tr w:rsidR="00BE36FB" w:rsidRPr="009B7B35" w14:paraId="631EDB5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E5D5423" w14:textId="77777777" w:rsidR="00BE36FB" w:rsidRPr="009B7B35" w:rsidRDefault="00BE36FB" w:rsidP="001A7107">
            <w:pPr>
              <w:pStyle w:val="TableText"/>
              <w:rPr>
                <w:rFonts w:cs="Arial"/>
              </w:rPr>
            </w:pPr>
            <w:r w:rsidRPr="009B7B35">
              <w:rPr>
                <w:rFonts w:cs="Arial"/>
              </w:rPr>
              <w:t>WTM_PAT_090</w:t>
            </w:r>
          </w:p>
        </w:tc>
        <w:tc>
          <w:tcPr>
            <w:tcW w:w="2210" w:type="pct"/>
            <w:hideMark/>
          </w:tcPr>
          <w:p w14:paraId="5D71BEF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Western outlet from Paterson 2 reservoir</w:t>
            </w:r>
          </w:p>
        </w:tc>
        <w:tc>
          <w:tcPr>
            <w:tcW w:w="871" w:type="pct"/>
            <w:hideMark/>
          </w:tcPr>
          <w:p w14:paraId="6FB72A0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60D4E9E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$2,080,000 </w:t>
            </w:r>
          </w:p>
        </w:tc>
      </w:tr>
      <w:tr w:rsidR="00BE36FB" w:rsidRPr="009B7B35" w14:paraId="036FEE9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31D2C725" w14:textId="77777777" w:rsidR="00BE36FB" w:rsidRPr="009B7B35" w:rsidRDefault="00BE36FB" w:rsidP="001A7107">
            <w:pPr>
              <w:pStyle w:val="TableText"/>
              <w:rPr>
                <w:rFonts w:cs="Arial"/>
              </w:rPr>
            </w:pPr>
            <w:r w:rsidRPr="009B7B35">
              <w:rPr>
                <w:rFonts w:cs="Arial"/>
              </w:rPr>
              <w:t>WTM_ZoneA_045</w:t>
            </w:r>
          </w:p>
        </w:tc>
        <w:tc>
          <w:tcPr>
            <w:tcW w:w="2210" w:type="pct"/>
            <w:hideMark/>
          </w:tcPr>
          <w:p w14:paraId="7E2EA50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Fisher Street reservoir to Zone A connection</w:t>
            </w:r>
          </w:p>
        </w:tc>
        <w:tc>
          <w:tcPr>
            <w:tcW w:w="871" w:type="pct"/>
            <w:hideMark/>
          </w:tcPr>
          <w:p w14:paraId="5E7E5F3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311811C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$20,000 </w:t>
            </w:r>
          </w:p>
        </w:tc>
      </w:tr>
      <w:tr w:rsidR="00BE36FB" w:rsidRPr="009B7B35" w14:paraId="68BDBC0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8210020" w14:textId="77777777" w:rsidR="00BE36FB" w:rsidRPr="009B7B35" w:rsidRDefault="00BE36FB" w:rsidP="001A7107">
            <w:pPr>
              <w:pStyle w:val="TableText"/>
              <w:rPr>
                <w:rFonts w:cs="Arial"/>
              </w:rPr>
            </w:pPr>
            <w:r w:rsidRPr="009B7B35">
              <w:rPr>
                <w:rFonts w:cs="Arial"/>
              </w:rPr>
              <w:t>WTM_ZoneA_089</w:t>
            </w:r>
          </w:p>
        </w:tc>
        <w:tc>
          <w:tcPr>
            <w:tcW w:w="2210" w:type="pct"/>
            <w:hideMark/>
          </w:tcPr>
          <w:p w14:paraId="250ED3B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Replacement of 300mm diameter main in Glenlyon Road</w:t>
            </w:r>
          </w:p>
        </w:tc>
        <w:tc>
          <w:tcPr>
            <w:tcW w:w="871" w:type="pct"/>
            <w:hideMark/>
          </w:tcPr>
          <w:p w14:paraId="44DC281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4CFB88D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$940,000 </w:t>
            </w:r>
          </w:p>
        </w:tc>
      </w:tr>
      <w:tr w:rsidR="00BE36FB" w:rsidRPr="009B7B35" w14:paraId="3F22158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51E35885" w14:textId="77777777" w:rsidR="00BE36FB" w:rsidRPr="009B7B35" w:rsidRDefault="00BE36FB" w:rsidP="001A7107">
            <w:pPr>
              <w:pStyle w:val="TableText"/>
              <w:rPr>
                <w:rFonts w:cs="Arial"/>
              </w:rPr>
            </w:pPr>
            <w:r w:rsidRPr="009B7B35">
              <w:rPr>
                <w:rFonts w:cs="Arial"/>
              </w:rPr>
              <w:t>WTM_ZoneD_018</w:t>
            </w:r>
          </w:p>
        </w:tc>
        <w:tc>
          <w:tcPr>
            <w:tcW w:w="2210" w:type="pct"/>
            <w:hideMark/>
          </w:tcPr>
          <w:p w14:paraId="19C7C97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Internal trunk main for connection of the Kirkwood low reservoir to the Zone D water supply network</w:t>
            </w:r>
          </w:p>
        </w:tc>
        <w:tc>
          <w:tcPr>
            <w:tcW w:w="871" w:type="pct"/>
            <w:hideMark/>
          </w:tcPr>
          <w:p w14:paraId="2088002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1C7B3EB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$770,000 </w:t>
            </w:r>
          </w:p>
        </w:tc>
      </w:tr>
      <w:tr w:rsidR="00BE36FB" w:rsidRPr="009B7B35" w14:paraId="21B3AC8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19A0991D" w14:textId="77777777" w:rsidR="00BE36FB" w:rsidRPr="009B7B35" w:rsidRDefault="00BE36FB" w:rsidP="001A7107">
            <w:pPr>
              <w:pStyle w:val="TableText"/>
              <w:rPr>
                <w:rFonts w:cs="Arial"/>
              </w:rPr>
            </w:pPr>
            <w:r w:rsidRPr="009B7B35">
              <w:rPr>
                <w:rFonts w:cs="Arial"/>
              </w:rPr>
              <w:t>WTM_ZoneD_019</w:t>
            </w:r>
          </w:p>
        </w:tc>
        <w:tc>
          <w:tcPr>
            <w:tcW w:w="2210" w:type="pct"/>
            <w:hideMark/>
          </w:tcPr>
          <w:p w14:paraId="411EA26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Internal trunk main for connection of the Kirkwood low reservoir to the Zone D water supply network</w:t>
            </w:r>
          </w:p>
        </w:tc>
        <w:tc>
          <w:tcPr>
            <w:tcW w:w="871" w:type="pct"/>
            <w:hideMark/>
          </w:tcPr>
          <w:p w14:paraId="4F4A5F4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73370B2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$640,000 </w:t>
            </w:r>
          </w:p>
        </w:tc>
      </w:tr>
      <w:tr w:rsidR="00BE36FB" w:rsidRPr="009B7B35" w14:paraId="66B974D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04EDF33D" w14:textId="77777777" w:rsidR="00BE36FB" w:rsidRPr="009B7B35" w:rsidRDefault="00BE36FB" w:rsidP="001A7107">
            <w:pPr>
              <w:pStyle w:val="TableText"/>
              <w:rPr>
                <w:rFonts w:cs="Arial"/>
              </w:rPr>
            </w:pPr>
            <w:r w:rsidRPr="009B7B35">
              <w:rPr>
                <w:rFonts w:cs="Arial"/>
              </w:rPr>
              <w:t>WTM_ZoneD_020</w:t>
            </w:r>
          </w:p>
        </w:tc>
        <w:tc>
          <w:tcPr>
            <w:tcW w:w="2210" w:type="pct"/>
            <w:hideMark/>
          </w:tcPr>
          <w:p w14:paraId="37990FE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Internal trunk main for connection of the Kirkwood low reservoir to the Zone D water supply network</w:t>
            </w:r>
          </w:p>
        </w:tc>
        <w:tc>
          <w:tcPr>
            <w:tcW w:w="871" w:type="pct"/>
            <w:hideMark/>
          </w:tcPr>
          <w:p w14:paraId="0602DE5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3719756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$660,000 </w:t>
            </w:r>
          </w:p>
        </w:tc>
      </w:tr>
      <w:tr w:rsidR="00BE36FB" w:rsidRPr="009B7B35" w14:paraId="29A524A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3C42B14" w14:textId="77777777" w:rsidR="00BE36FB" w:rsidRPr="009B7B35" w:rsidRDefault="00BE36FB" w:rsidP="001A7107">
            <w:pPr>
              <w:pStyle w:val="TableText"/>
              <w:rPr>
                <w:rFonts w:cs="Arial"/>
              </w:rPr>
            </w:pPr>
            <w:r w:rsidRPr="009B7B35">
              <w:rPr>
                <w:rFonts w:cs="Arial"/>
              </w:rPr>
              <w:t>WTM_ZoneD_028</w:t>
            </w:r>
          </w:p>
        </w:tc>
        <w:tc>
          <w:tcPr>
            <w:tcW w:w="2210" w:type="pct"/>
            <w:hideMark/>
          </w:tcPr>
          <w:p w14:paraId="47B5895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Kirkwood Low reservoir outlet</w:t>
            </w:r>
          </w:p>
        </w:tc>
        <w:tc>
          <w:tcPr>
            <w:tcW w:w="871" w:type="pct"/>
            <w:hideMark/>
          </w:tcPr>
          <w:p w14:paraId="1A6297D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5366CBC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$80,000 </w:t>
            </w:r>
          </w:p>
        </w:tc>
      </w:tr>
      <w:tr w:rsidR="00BE36FB" w:rsidRPr="009B7B35" w14:paraId="596B37D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3F7C08D0" w14:textId="77777777" w:rsidR="00BE36FB" w:rsidRPr="009B7B35" w:rsidRDefault="00BE36FB" w:rsidP="001A7107">
            <w:pPr>
              <w:pStyle w:val="TableText"/>
              <w:rPr>
                <w:rFonts w:cs="Arial"/>
              </w:rPr>
            </w:pPr>
            <w:r w:rsidRPr="009B7B35">
              <w:rPr>
                <w:rFonts w:cs="Arial"/>
              </w:rPr>
              <w:t>WTM_ZoneD_030</w:t>
            </w:r>
          </w:p>
        </w:tc>
        <w:tc>
          <w:tcPr>
            <w:tcW w:w="2210" w:type="pct"/>
            <w:hideMark/>
          </w:tcPr>
          <w:p w14:paraId="146AEDD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Kirkwood Low reservoir inlet</w:t>
            </w:r>
          </w:p>
        </w:tc>
        <w:tc>
          <w:tcPr>
            <w:tcW w:w="871" w:type="pct"/>
            <w:hideMark/>
          </w:tcPr>
          <w:p w14:paraId="6533995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078D791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$730,000 </w:t>
            </w:r>
          </w:p>
        </w:tc>
      </w:tr>
      <w:tr w:rsidR="00BE36FB" w:rsidRPr="009B7B35" w14:paraId="134E844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01499D01" w14:textId="77777777" w:rsidR="00BE36FB" w:rsidRPr="009B7B35" w:rsidRDefault="00BE36FB" w:rsidP="001A7107">
            <w:pPr>
              <w:pStyle w:val="TableText"/>
              <w:rPr>
                <w:rFonts w:cs="Arial"/>
              </w:rPr>
            </w:pPr>
            <w:r w:rsidRPr="009B7B35">
              <w:rPr>
                <w:rFonts w:cs="Arial"/>
              </w:rPr>
              <w:t>WTM_ZoneD_033</w:t>
            </w:r>
          </w:p>
        </w:tc>
        <w:tc>
          <w:tcPr>
            <w:tcW w:w="2210" w:type="pct"/>
            <w:hideMark/>
          </w:tcPr>
          <w:p w14:paraId="0018F2C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Kirkwood Low reservoir inlet</w:t>
            </w:r>
          </w:p>
        </w:tc>
        <w:tc>
          <w:tcPr>
            <w:tcW w:w="871" w:type="pct"/>
            <w:hideMark/>
          </w:tcPr>
          <w:p w14:paraId="5827683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7AD688E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$80,000 </w:t>
            </w:r>
          </w:p>
        </w:tc>
      </w:tr>
      <w:tr w:rsidR="00BE36FB" w:rsidRPr="009B7B35" w14:paraId="3F17058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46352535" w14:textId="77777777" w:rsidR="00BE36FB" w:rsidRPr="009B7B35" w:rsidRDefault="00BE36FB" w:rsidP="001A7107">
            <w:pPr>
              <w:pStyle w:val="TableText"/>
              <w:rPr>
                <w:rFonts w:cs="Arial"/>
              </w:rPr>
            </w:pPr>
            <w:r w:rsidRPr="009B7B35">
              <w:rPr>
                <w:rFonts w:cs="Arial"/>
              </w:rPr>
              <w:t>WTM_ZoneD_050</w:t>
            </w:r>
          </w:p>
        </w:tc>
        <w:tc>
          <w:tcPr>
            <w:tcW w:w="2210" w:type="pct"/>
            <w:hideMark/>
          </w:tcPr>
          <w:p w14:paraId="7FE1296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Clinton reservoir dedicated supply works</w:t>
            </w:r>
          </w:p>
        </w:tc>
        <w:tc>
          <w:tcPr>
            <w:tcW w:w="871" w:type="pct"/>
            <w:hideMark/>
          </w:tcPr>
          <w:p w14:paraId="7BFF769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1275750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$30,000 </w:t>
            </w:r>
          </w:p>
        </w:tc>
      </w:tr>
      <w:tr w:rsidR="00BE36FB" w:rsidRPr="009B7B35" w14:paraId="3123B8D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13BD52C" w14:textId="77777777" w:rsidR="00BE36FB" w:rsidRPr="009B7B35" w:rsidRDefault="00BE36FB" w:rsidP="001A7107">
            <w:pPr>
              <w:pStyle w:val="TableText"/>
              <w:rPr>
                <w:rFonts w:cs="Arial"/>
              </w:rPr>
            </w:pPr>
            <w:r w:rsidRPr="009B7B35">
              <w:rPr>
                <w:rFonts w:cs="Arial"/>
              </w:rPr>
              <w:t>WTM_ZoneD_051</w:t>
            </w:r>
          </w:p>
        </w:tc>
        <w:tc>
          <w:tcPr>
            <w:tcW w:w="2210" w:type="pct"/>
            <w:hideMark/>
          </w:tcPr>
          <w:p w14:paraId="1F6DDD9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Clinton reservoir dedicated supply works</w:t>
            </w:r>
          </w:p>
        </w:tc>
        <w:tc>
          <w:tcPr>
            <w:tcW w:w="871" w:type="pct"/>
            <w:hideMark/>
          </w:tcPr>
          <w:p w14:paraId="54DBA7C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09C04BA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 </w:t>
            </w:r>
          </w:p>
        </w:tc>
      </w:tr>
      <w:tr w:rsidR="00BE36FB" w:rsidRPr="009B7B35" w14:paraId="33AA52E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4275C74C" w14:textId="77777777" w:rsidR="00BE36FB" w:rsidRPr="009B7B35" w:rsidRDefault="00BE36FB" w:rsidP="001A7107">
            <w:pPr>
              <w:pStyle w:val="TableText"/>
              <w:rPr>
                <w:rFonts w:cs="Arial"/>
              </w:rPr>
            </w:pPr>
            <w:r w:rsidRPr="009B7B35">
              <w:rPr>
                <w:rFonts w:cs="Arial"/>
              </w:rPr>
              <w:t>WTM_ZoneD_052</w:t>
            </w:r>
          </w:p>
        </w:tc>
        <w:tc>
          <w:tcPr>
            <w:tcW w:w="2210" w:type="pct"/>
            <w:hideMark/>
          </w:tcPr>
          <w:p w14:paraId="3B6B903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Clinton reservoir dedicated supply works</w:t>
            </w:r>
          </w:p>
        </w:tc>
        <w:tc>
          <w:tcPr>
            <w:tcW w:w="871" w:type="pct"/>
            <w:hideMark/>
          </w:tcPr>
          <w:p w14:paraId="2889680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3A679AC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$20,000 </w:t>
            </w:r>
          </w:p>
        </w:tc>
      </w:tr>
      <w:tr w:rsidR="00BE36FB" w:rsidRPr="009B7B35" w14:paraId="4A84F7B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283C77F6" w14:textId="77777777" w:rsidR="00BE36FB" w:rsidRPr="009B7B35" w:rsidRDefault="00BE36FB" w:rsidP="001A7107">
            <w:pPr>
              <w:pStyle w:val="TableText"/>
              <w:rPr>
                <w:rFonts w:cs="Arial"/>
              </w:rPr>
            </w:pPr>
            <w:r w:rsidRPr="009B7B35">
              <w:rPr>
                <w:rFonts w:cs="Arial"/>
              </w:rPr>
              <w:t>WTM_ZoneD_053</w:t>
            </w:r>
          </w:p>
        </w:tc>
        <w:tc>
          <w:tcPr>
            <w:tcW w:w="2210" w:type="pct"/>
            <w:hideMark/>
          </w:tcPr>
          <w:p w14:paraId="32D2E9B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Clinton reservoir dedicated supply works</w:t>
            </w:r>
          </w:p>
        </w:tc>
        <w:tc>
          <w:tcPr>
            <w:tcW w:w="871" w:type="pct"/>
            <w:hideMark/>
          </w:tcPr>
          <w:p w14:paraId="605DDB8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0BBC1BD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 </w:t>
            </w:r>
          </w:p>
        </w:tc>
      </w:tr>
      <w:tr w:rsidR="00BE36FB" w:rsidRPr="009B7B35" w14:paraId="3F7D609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6A204E45" w14:textId="77777777" w:rsidR="00BE36FB" w:rsidRPr="009B7B35" w:rsidRDefault="00BE36FB" w:rsidP="001A7107">
            <w:pPr>
              <w:pStyle w:val="TableText"/>
              <w:rPr>
                <w:rFonts w:cs="Arial"/>
              </w:rPr>
            </w:pPr>
            <w:r w:rsidRPr="009B7B35">
              <w:rPr>
                <w:rFonts w:cs="Arial"/>
              </w:rPr>
              <w:t>WTM_ZoneD_054</w:t>
            </w:r>
          </w:p>
        </w:tc>
        <w:tc>
          <w:tcPr>
            <w:tcW w:w="2210" w:type="pct"/>
            <w:hideMark/>
          </w:tcPr>
          <w:p w14:paraId="746793A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Kirkwood low reservoir outlet</w:t>
            </w:r>
          </w:p>
        </w:tc>
        <w:tc>
          <w:tcPr>
            <w:tcW w:w="871" w:type="pct"/>
            <w:hideMark/>
          </w:tcPr>
          <w:p w14:paraId="4497EDF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1391127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$920,000 </w:t>
            </w:r>
          </w:p>
        </w:tc>
      </w:tr>
      <w:tr w:rsidR="00BE36FB" w:rsidRPr="009B7B35" w14:paraId="2952F5F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47EFCED5" w14:textId="77777777" w:rsidR="00BE36FB" w:rsidRPr="009B7B35" w:rsidRDefault="00BE36FB" w:rsidP="001A7107">
            <w:pPr>
              <w:pStyle w:val="TableText"/>
              <w:rPr>
                <w:rFonts w:cs="Arial"/>
              </w:rPr>
            </w:pPr>
            <w:r w:rsidRPr="009B7B35">
              <w:rPr>
                <w:rFonts w:cs="Arial"/>
              </w:rPr>
              <w:t>WTM_ZoneD_055</w:t>
            </w:r>
          </w:p>
        </w:tc>
        <w:tc>
          <w:tcPr>
            <w:tcW w:w="2210" w:type="pct"/>
            <w:hideMark/>
          </w:tcPr>
          <w:p w14:paraId="55DEA7E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Kirkwood low reservoir outlet</w:t>
            </w:r>
          </w:p>
        </w:tc>
        <w:tc>
          <w:tcPr>
            <w:tcW w:w="871" w:type="pct"/>
            <w:hideMark/>
          </w:tcPr>
          <w:p w14:paraId="59DB4F2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4D78AB5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$40,000 </w:t>
            </w:r>
          </w:p>
        </w:tc>
      </w:tr>
      <w:tr w:rsidR="00BE36FB" w:rsidRPr="009B7B35" w14:paraId="0413C08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6EB2BCC6" w14:textId="77777777" w:rsidR="00BE36FB" w:rsidRPr="009B7B35" w:rsidRDefault="00BE36FB" w:rsidP="001A7107">
            <w:pPr>
              <w:pStyle w:val="TableText"/>
              <w:rPr>
                <w:rFonts w:cs="Arial"/>
              </w:rPr>
            </w:pPr>
            <w:r w:rsidRPr="009B7B35">
              <w:rPr>
                <w:rFonts w:cs="Arial"/>
              </w:rPr>
              <w:t>WTM_ZoneD_056</w:t>
            </w:r>
          </w:p>
        </w:tc>
        <w:tc>
          <w:tcPr>
            <w:tcW w:w="2210" w:type="pct"/>
            <w:hideMark/>
          </w:tcPr>
          <w:p w14:paraId="5A00F30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High lift pumps station upgrade - pipework. GAWB Asset</w:t>
            </w:r>
          </w:p>
        </w:tc>
        <w:tc>
          <w:tcPr>
            <w:tcW w:w="871" w:type="pct"/>
            <w:hideMark/>
          </w:tcPr>
          <w:p w14:paraId="71788AE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387538E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$20,000 </w:t>
            </w:r>
          </w:p>
        </w:tc>
      </w:tr>
      <w:tr w:rsidR="00BE36FB" w:rsidRPr="009B7B35" w14:paraId="1F04AA4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04CD6B50" w14:textId="77777777" w:rsidR="00BE36FB" w:rsidRPr="009B7B35" w:rsidRDefault="00BE36FB" w:rsidP="001A7107">
            <w:pPr>
              <w:pStyle w:val="TableText"/>
              <w:rPr>
                <w:rFonts w:cs="Arial"/>
              </w:rPr>
            </w:pPr>
            <w:r w:rsidRPr="009B7B35">
              <w:rPr>
                <w:rFonts w:cs="Arial"/>
              </w:rPr>
              <w:t>WTM_ZoneD_057</w:t>
            </w:r>
          </w:p>
        </w:tc>
        <w:tc>
          <w:tcPr>
            <w:tcW w:w="2210" w:type="pct"/>
            <w:hideMark/>
          </w:tcPr>
          <w:p w14:paraId="579A89F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High lift pump station upgrade - pipework. GAWB Asset</w:t>
            </w:r>
          </w:p>
        </w:tc>
        <w:tc>
          <w:tcPr>
            <w:tcW w:w="871" w:type="pct"/>
            <w:hideMark/>
          </w:tcPr>
          <w:p w14:paraId="5EACBC6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23C3865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$20,000 </w:t>
            </w:r>
          </w:p>
        </w:tc>
      </w:tr>
      <w:tr w:rsidR="00BE36FB" w:rsidRPr="009B7B35" w14:paraId="017B0D2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1105C30F" w14:textId="77777777" w:rsidR="00BE36FB" w:rsidRPr="009B7B35" w:rsidRDefault="00BE36FB" w:rsidP="001A7107">
            <w:pPr>
              <w:pStyle w:val="TableText"/>
              <w:rPr>
                <w:rFonts w:cs="Arial"/>
              </w:rPr>
            </w:pPr>
            <w:r w:rsidRPr="009B7B35">
              <w:rPr>
                <w:rFonts w:cs="Arial"/>
              </w:rPr>
              <w:t>WTM_ZoneD_059</w:t>
            </w:r>
          </w:p>
        </w:tc>
        <w:tc>
          <w:tcPr>
            <w:tcW w:w="2210" w:type="pct"/>
            <w:hideMark/>
          </w:tcPr>
          <w:p w14:paraId="2518D8B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Clinton reservoir outlet to replace dedicated inlet main</w:t>
            </w:r>
          </w:p>
        </w:tc>
        <w:tc>
          <w:tcPr>
            <w:tcW w:w="871" w:type="pct"/>
            <w:hideMark/>
          </w:tcPr>
          <w:p w14:paraId="453DA14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68618D6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$1,570,000 </w:t>
            </w:r>
          </w:p>
        </w:tc>
      </w:tr>
      <w:tr w:rsidR="00BE36FB" w:rsidRPr="009B7B35" w14:paraId="3AF8D9E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68B53FE0" w14:textId="77777777" w:rsidR="00BE36FB" w:rsidRPr="009B7B35" w:rsidRDefault="00BE36FB" w:rsidP="001A7107">
            <w:pPr>
              <w:pStyle w:val="TableText"/>
              <w:rPr>
                <w:rFonts w:cs="Arial"/>
              </w:rPr>
            </w:pPr>
            <w:r w:rsidRPr="009B7B35">
              <w:rPr>
                <w:rFonts w:cs="Arial"/>
              </w:rPr>
              <w:t>WTM_ZoneD_076</w:t>
            </w:r>
          </w:p>
        </w:tc>
        <w:tc>
          <w:tcPr>
            <w:tcW w:w="2210" w:type="pct"/>
            <w:hideMark/>
          </w:tcPr>
          <w:p w14:paraId="0C606DF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Internal water main to resolve low pressure at Bembooka Close Glen Eden</w:t>
            </w:r>
          </w:p>
        </w:tc>
        <w:tc>
          <w:tcPr>
            <w:tcW w:w="871" w:type="pct"/>
            <w:hideMark/>
          </w:tcPr>
          <w:p w14:paraId="6A683A4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3B90BEE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$360,000 </w:t>
            </w:r>
          </w:p>
        </w:tc>
      </w:tr>
      <w:tr w:rsidR="00BE36FB" w:rsidRPr="009B7B35" w14:paraId="773ABA6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7CCEE13" w14:textId="77777777" w:rsidR="00BE36FB" w:rsidRPr="009B7B35" w:rsidRDefault="00BE36FB" w:rsidP="001A7107">
            <w:pPr>
              <w:pStyle w:val="TableText"/>
              <w:rPr>
                <w:rFonts w:cs="Arial"/>
              </w:rPr>
            </w:pPr>
            <w:r w:rsidRPr="009B7B35">
              <w:rPr>
                <w:rFonts w:cs="Arial"/>
              </w:rPr>
              <w:t>WRM_ZoneD_081</w:t>
            </w:r>
          </w:p>
        </w:tc>
        <w:tc>
          <w:tcPr>
            <w:tcW w:w="2210" w:type="pct"/>
            <w:hideMark/>
          </w:tcPr>
          <w:p w14:paraId="0BD649B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Proposed for resolution of low pressure in Marian Close</w:t>
            </w:r>
          </w:p>
        </w:tc>
        <w:tc>
          <w:tcPr>
            <w:tcW w:w="871" w:type="pct"/>
            <w:hideMark/>
          </w:tcPr>
          <w:p w14:paraId="36D699D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61D9AFD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$120,000 </w:t>
            </w:r>
          </w:p>
        </w:tc>
      </w:tr>
      <w:tr w:rsidR="00BE36FB" w:rsidRPr="009B7B35" w14:paraId="68E917A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230E7E61" w14:textId="77777777" w:rsidR="00BE36FB" w:rsidRPr="009B7B35" w:rsidRDefault="00BE36FB" w:rsidP="001A7107">
            <w:pPr>
              <w:pStyle w:val="TableText"/>
              <w:rPr>
                <w:rFonts w:cs="Arial"/>
              </w:rPr>
            </w:pPr>
            <w:r w:rsidRPr="009B7B35">
              <w:rPr>
                <w:rFonts w:cs="Arial"/>
              </w:rPr>
              <w:t>WTM_ZoneD_087</w:t>
            </w:r>
          </w:p>
        </w:tc>
        <w:tc>
          <w:tcPr>
            <w:tcW w:w="2210" w:type="pct"/>
            <w:hideMark/>
          </w:tcPr>
          <w:p w14:paraId="7E130B1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Internal Zone D interconnection for low pressures Brindabella Parade and to facilitate supply from the Clinton reservoir into this area</w:t>
            </w:r>
          </w:p>
        </w:tc>
        <w:tc>
          <w:tcPr>
            <w:tcW w:w="871" w:type="pct"/>
            <w:hideMark/>
          </w:tcPr>
          <w:p w14:paraId="3B9DE9A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341A1D7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$260,000 </w:t>
            </w:r>
          </w:p>
        </w:tc>
      </w:tr>
      <w:tr w:rsidR="00BE36FB" w:rsidRPr="009B7B35" w14:paraId="7BB6EB2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513C3435" w14:textId="77777777" w:rsidR="00BE36FB" w:rsidRPr="009B7B35" w:rsidRDefault="00BE36FB" w:rsidP="001A7107">
            <w:pPr>
              <w:pStyle w:val="TableText"/>
              <w:rPr>
                <w:rFonts w:cs="Arial"/>
              </w:rPr>
            </w:pPr>
            <w:r w:rsidRPr="009B7B35">
              <w:rPr>
                <w:rFonts w:cs="Arial"/>
              </w:rPr>
              <w:t>WTM_AW_003</w:t>
            </w:r>
          </w:p>
        </w:tc>
        <w:tc>
          <w:tcPr>
            <w:tcW w:w="2210" w:type="pct"/>
            <w:hideMark/>
          </w:tcPr>
          <w:p w14:paraId="0DABC25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WTP dedicated reservoir supply, sized to ultimate</w:t>
            </w:r>
          </w:p>
        </w:tc>
        <w:tc>
          <w:tcPr>
            <w:tcW w:w="871" w:type="pct"/>
            <w:hideMark/>
          </w:tcPr>
          <w:p w14:paraId="114BBC2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71" w:type="pct"/>
            <w:hideMark/>
          </w:tcPr>
          <w:p w14:paraId="217E0C9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$1,650,000 </w:t>
            </w:r>
          </w:p>
        </w:tc>
      </w:tr>
      <w:tr w:rsidR="00BE36FB" w:rsidRPr="009B7B35" w14:paraId="1F5AD49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33691F20" w14:textId="77777777" w:rsidR="00BE36FB" w:rsidRPr="009B7B35" w:rsidRDefault="00BE36FB" w:rsidP="001A7107">
            <w:pPr>
              <w:pStyle w:val="TableText"/>
              <w:rPr>
                <w:rFonts w:cs="Arial"/>
              </w:rPr>
            </w:pPr>
            <w:r w:rsidRPr="009B7B35">
              <w:rPr>
                <w:rFonts w:cs="Arial"/>
              </w:rPr>
              <w:t>WTM_AW_004</w:t>
            </w:r>
          </w:p>
        </w:tc>
        <w:tc>
          <w:tcPr>
            <w:tcW w:w="2210" w:type="pct"/>
            <w:hideMark/>
          </w:tcPr>
          <w:p w14:paraId="62DBD92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WTP dedicated reservoir supply, sized to ultimate</w:t>
            </w:r>
          </w:p>
        </w:tc>
        <w:tc>
          <w:tcPr>
            <w:tcW w:w="871" w:type="pct"/>
            <w:hideMark/>
          </w:tcPr>
          <w:p w14:paraId="2727894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71" w:type="pct"/>
            <w:hideMark/>
          </w:tcPr>
          <w:p w14:paraId="32CA8B9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$1,100,000 </w:t>
            </w:r>
          </w:p>
        </w:tc>
      </w:tr>
      <w:tr w:rsidR="00BE36FB" w:rsidRPr="009B7B35" w14:paraId="5361144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A995992" w14:textId="77777777" w:rsidR="00BE36FB" w:rsidRPr="009B7B35" w:rsidRDefault="00BE36FB" w:rsidP="001A7107">
            <w:pPr>
              <w:pStyle w:val="TableText"/>
              <w:rPr>
                <w:rFonts w:cs="Arial"/>
              </w:rPr>
            </w:pPr>
            <w:r w:rsidRPr="009B7B35">
              <w:rPr>
                <w:rFonts w:cs="Arial"/>
              </w:rPr>
              <w:t>WTM_ZoneD_078</w:t>
            </w:r>
          </w:p>
        </w:tc>
        <w:tc>
          <w:tcPr>
            <w:tcW w:w="2210" w:type="pct"/>
            <w:hideMark/>
          </w:tcPr>
          <w:p w14:paraId="680E3E4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proposed main to resolve low pressure in St Clements Close and Birmingham Close</w:t>
            </w:r>
          </w:p>
        </w:tc>
        <w:tc>
          <w:tcPr>
            <w:tcW w:w="871" w:type="pct"/>
            <w:hideMark/>
          </w:tcPr>
          <w:p w14:paraId="05774C8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71" w:type="pct"/>
            <w:hideMark/>
          </w:tcPr>
          <w:p w14:paraId="4CBEEB9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$310,000 </w:t>
            </w:r>
          </w:p>
        </w:tc>
      </w:tr>
      <w:tr w:rsidR="00BE36FB" w:rsidRPr="009B7B35" w14:paraId="7F4097B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4E542E34" w14:textId="77777777" w:rsidR="00BE36FB" w:rsidRPr="009B7B35" w:rsidRDefault="00BE36FB" w:rsidP="001A7107">
            <w:pPr>
              <w:pStyle w:val="TableText"/>
              <w:rPr>
                <w:rFonts w:cs="Arial"/>
              </w:rPr>
            </w:pPr>
            <w:r w:rsidRPr="009B7B35">
              <w:rPr>
                <w:rFonts w:cs="Arial"/>
              </w:rPr>
              <w:t>WRM_ZoneD_079</w:t>
            </w:r>
          </w:p>
        </w:tc>
        <w:tc>
          <w:tcPr>
            <w:tcW w:w="2210" w:type="pct"/>
            <w:hideMark/>
          </w:tcPr>
          <w:p w14:paraId="0E7D5A2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proposed to assist low pressure around corner of Kauri Drive and Cypress Close</w:t>
            </w:r>
          </w:p>
        </w:tc>
        <w:tc>
          <w:tcPr>
            <w:tcW w:w="871" w:type="pct"/>
            <w:hideMark/>
          </w:tcPr>
          <w:p w14:paraId="79F78AA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71" w:type="pct"/>
            <w:hideMark/>
          </w:tcPr>
          <w:p w14:paraId="288E899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$80,000 </w:t>
            </w:r>
          </w:p>
        </w:tc>
      </w:tr>
      <w:tr w:rsidR="00BE36FB" w:rsidRPr="009B7B35" w14:paraId="73371A7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6C08C348" w14:textId="77777777" w:rsidR="00BE36FB" w:rsidRPr="009B7B35" w:rsidRDefault="00BE36FB" w:rsidP="001A7107">
            <w:pPr>
              <w:pStyle w:val="TableText"/>
              <w:rPr>
                <w:rFonts w:cs="Arial"/>
              </w:rPr>
            </w:pPr>
            <w:r w:rsidRPr="009B7B35">
              <w:rPr>
                <w:rFonts w:cs="Arial"/>
              </w:rPr>
              <w:t>WRM_ZoneD_080</w:t>
            </w:r>
          </w:p>
        </w:tc>
        <w:tc>
          <w:tcPr>
            <w:tcW w:w="2210" w:type="pct"/>
            <w:hideMark/>
          </w:tcPr>
          <w:p w14:paraId="27389AC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proposed to assist low pressure around corner of Kauri Drive and Cypress Close</w:t>
            </w:r>
          </w:p>
        </w:tc>
        <w:tc>
          <w:tcPr>
            <w:tcW w:w="871" w:type="pct"/>
            <w:hideMark/>
          </w:tcPr>
          <w:p w14:paraId="4196238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71" w:type="pct"/>
            <w:hideMark/>
          </w:tcPr>
          <w:p w14:paraId="37DEA39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$50,000 </w:t>
            </w:r>
          </w:p>
        </w:tc>
      </w:tr>
      <w:tr w:rsidR="00BE36FB" w:rsidRPr="009B7B35" w14:paraId="08F04DB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23FE568A" w14:textId="77777777" w:rsidR="00BE36FB" w:rsidRPr="009B7B35" w:rsidRDefault="00BE36FB" w:rsidP="001A7107">
            <w:pPr>
              <w:pStyle w:val="TableText"/>
              <w:rPr>
                <w:rFonts w:cs="Arial"/>
              </w:rPr>
            </w:pPr>
            <w:r w:rsidRPr="009B7B35">
              <w:rPr>
                <w:rFonts w:cs="Arial"/>
              </w:rPr>
              <w:t>WTM_ZoneD_088</w:t>
            </w:r>
          </w:p>
        </w:tc>
        <w:tc>
          <w:tcPr>
            <w:tcW w:w="2210" w:type="pct"/>
            <w:hideMark/>
          </w:tcPr>
          <w:p w14:paraId="6F4ABEC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Zone D internal connection for low pressure Goodnight Place</w:t>
            </w:r>
          </w:p>
        </w:tc>
        <w:tc>
          <w:tcPr>
            <w:tcW w:w="871" w:type="pct"/>
            <w:hideMark/>
          </w:tcPr>
          <w:p w14:paraId="2185BF8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71" w:type="pct"/>
            <w:hideMark/>
          </w:tcPr>
          <w:p w14:paraId="23121D0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$110,000 </w:t>
            </w:r>
          </w:p>
        </w:tc>
      </w:tr>
      <w:tr w:rsidR="00BE36FB" w:rsidRPr="009B7B35" w14:paraId="510291A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05E32E58" w14:textId="77777777" w:rsidR="00BE36FB" w:rsidRPr="009B7B35" w:rsidRDefault="00BE36FB" w:rsidP="001A7107">
            <w:pPr>
              <w:pStyle w:val="TableText"/>
              <w:rPr>
                <w:rFonts w:cs="Arial"/>
              </w:rPr>
            </w:pPr>
            <w:r w:rsidRPr="009B7B35">
              <w:rPr>
                <w:rFonts w:cs="Arial"/>
              </w:rPr>
              <w:t>WTM_AW_007</w:t>
            </w:r>
          </w:p>
        </w:tc>
        <w:tc>
          <w:tcPr>
            <w:tcW w:w="2210" w:type="pct"/>
            <w:hideMark/>
          </w:tcPr>
          <w:p w14:paraId="7775A1E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Required to resolve low pressures in northern Agnes Water</w:t>
            </w:r>
          </w:p>
        </w:tc>
        <w:tc>
          <w:tcPr>
            <w:tcW w:w="871" w:type="pct"/>
            <w:hideMark/>
          </w:tcPr>
          <w:p w14:paraId="76D14D7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w:t>
            </w:r>
          </w:p>
        </w:tc>
        <w:tc>
          <w:tcPr>
            <w:tcW w:w="871" w:type="pct"/>
            <w:hideMark/>
          </w:tcPr>
          <w:p w14:paraId="5695EF1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$800,000 </w:t>
            </w:r>
          </w:p>
        </w:tc>
      </w:tr>
      <w:tr w:rsidR="00BE36FB" w:rsidRPr="009B7B35" w14:paraId="7396E75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6A9BCD39" w14:textId="77777777" w:rsidR="00BE36FB" w:rsidRPr="009B7B35" w:rsidRDefault="00BE36FB" w:rsidP="001A7107">
            <w:pPr>
              <w:pStyle w:val="TableText"/>
              <w:rPr>
                <w:rFonts w:cs="Arial"/>
              </w:rPr>
            </w:pPr>
            <w:r w:rsidRPr="009B7B35">
              <w:rPr>
                <w:rFonts w:cs="Arial"/>
              </w:rPr>
              <w:t>WTM_ZoneD_067</w:t>
            </w:r>
          </w:p>
        </w:tc>
        <w:tc>
          <w:tcPr>
            <w:tcW w:w="2210" w:type="pct"/>
            <w:hideMark/>
          </w:tcPr>
          <w:p w14:paraId="761CFE1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Round Hill reservoir outlet upgrade, for reduction in head loss through the current single 600mm outlet</w:t>
            </w:r>
          </w:p>
        </w:tc>
        <w:tc>
          <w:tcPr>
            <w:tcW w:w="871" w:type="pct"/>
            <w:hideMark/>
          </w:tcPr>
          <w:p w14:paraId="514B9D6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w:t>
            </w:r>
          </w:p>
        </w:tc>
        <w:tc>
          <w:tcPr>
            <w:tcW w:w="871" w:type="pct"/>
            <w:hideMark/>
          </w:tcPr>
          <w:p w14:paraId="5CE2605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$1,330,000 </w:t>
            </w:r>
          </w:p>
        </w:tc>
      </w:tr>
      <w:tr w:rsidR="00BE36FB" w:rsidRPr="009B7B35" w14:paraId="49DC87D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F35A023" w14:textId="77777777" w:rsidR="00BE36FB" w:rsidRPr="009B7B35" w:rsidRDefault="00BE36FB" w:rsidP="001A7107">
            <w:pPr>
              <w:pStyle w:val="TableText"/>
              <w:rPr>
                <w:rFonts w:cs="Arial"/>
              </w:rPr>
            </w:pPr>
            <w:r w:rsidRPr="009B7B35">
              <w:rPr>
                <w:rFonts w:cs="Arial"/>
              </w:rPr>
              <w:t>WTM_FERRIS_084</w:t>
            </w:r>
          </w:p>
        </w:tc>
        <w:tc>
          <w:tcPr>
            <w:tcW w:w="2210" w:type="pct"/>
            <w:hideMark/>
          </w:tcPr>
          <w:p w14:paraId="474D4D1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Ferris Hill interconnection for rezone establishment</w:t>
            </w:r>
          </w:p>
        </w:tc>
        <w:tc>
          <w:tcPr>
            <w:tcW w:w="871" w:type="pct"/>
            <w:hideMark/>
          </w:tcPr>
          <w:p w14:paraId="7B930DE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w:t>
            </w:r>
          </w:p>
        </w:tc>
        <w:tc>
          <w:tcPr>
            <w:tcW w:w="871" w:type="pct"/>
            <w:hideMark/>
          </w:tcPr>
          <w:p w14:paraId="5389004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$10,000 </w:t>
            </w:r>
          </w:p>
        </w:tc>
      </w:tr>
      <w:tr w:rsidR="00BE36FB" w:rsidRPr="009B7B35" w14:paraId="272EC75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2C536FF0" w14:textId="77777777" w:rsidR="00BE36FB" w:rsidRPr="009B7B35" w:rsidRDefault="00BE36FB" w:rsidP="001A7107">
            <w:pPr>
              <w:pStyle w:val="TableText"/>
              <w:rPr>
                <w:rFonts w:cs="Arial"/>
              </w:rPr>
            </w:pPr>
            <w:r w:rsidRPr="009B7B35">
              <w:rPr>
                <w:rFonts w:cs="Arial"/>
              </w:rPr>
              <w:t>WTM_ZoneA_085</w:t>
            </w:r>
          </w:p>
        </w:tc>
        <w:tc>
          <w:tcPr>
            <w:tcW w:w="2210" w:type="pct"/>
            <w:hideMark/>
          </w:tcPr>
          <w:p w14:paraId="17FA0C3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Zone A rezoning establishment</w:t>
            </w:r>
          </w:p>
        </w:tc>
        <w:tc>
          <w:tcPr>
            <w:tcW w:w="871" w:type="pct"/>
            <w:hideMark/>
          </w:tcPr>
          <w:p w14:paraId="6EB2DB5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w:t>
            </w:r>
          </w:p>
        </w:tc>
        <w:tc>
          <w:tcPr>
            <w:tcW w:w="871" w:type="pct"/>
            <w:hideMark/>
          </w:tcPr>
          <w:p w14:paraId="5E95782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$20,000 </w:t>
            </w:r>
          </w:p>
        </w:tc>
      </w:tr>
      <w:tr w:rsidR="00BE36FB" w:rsidRPr="009B7B35" w14:paraId="7531240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48A1E1F1" w14:textId="77777777" w:rsidR="00BE36FB" w:rsidRPr="009B7B35" w:rsidRDefault="00BE36FB" w:rsidP="001A7107">
            <w:pPr>
              <w:pStyle w:val="TableText"/>
              <w:rPr>
                <w:rFonts w:cs="Arial"/>
              </w:rPr>
            </w:pPr>
            <w:r w:rsidRPr="009B7B35">
              <w:rPr>
                <w:rFonts w:cs="Arial"/>
              </w:rPr>
              <w:t>WTM_ZoneD_060</w:t>
            </w:r>
          </w:p>
        </w:tc>
        <w:tc>
          <w:tcPr>
            <w:tcW w:w="2210" w:type="pct"/>
            <w:hideMark/>
          </w:tcPr>
          <w:p w14:paraId="0565C12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Extension of Clinton reservoir outlet to replace dedicated inlet main</w:t>
            </w:r>
          </w:p>
        </w:tc>
        <w:tc>
          <w:tcPr>
            <w:tcW w:w="871" w:type="pct"/>
            <w:hideMark/>
          </w:tcPr>
          <w:p w14:paraId="2BAEDC0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w:t>
            </w:r>
          </w:p>
        </w:tc>
        <w:tc>
          <w:tcPr>
            <w:tcW w:w="871" w:type="pct"/>
            <w:hideMark/>
          </w:tcPr>
          <w:p w14:paraId="6E3B54C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$370,000 </w:t>
            </w:r>
          </w:p>
        </w:tc>
      </w:tr>
      <w:tr w:rsidR="00BE36FB" w:rsidRPr="009B7B35" w14:paraId="227E99C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93FD537" w14:textId="77777777" w:rsidR="00BE36FB" w:rsidRPr="009B7B35" w:rsidRDefault="00BE36FB" w:rsidP="001A7107">
            <w:pPr>
              <w:pStyle w:val="TableText"/>
              <w:rPr>
                <w:rFonts w:cs="Arial"/>
              </w:rPr>
            </w:pPr>
            <w:r w:rsidRPr="009B7B35">
              <w:rPr>
                <w:rFonts w:cs="Arial"/>
              </w:rPr>
              <w:t>WTM_ZoneD_068</w:t>
            </w:r>
          </w:p>
        </w:tc>
        <w:tc>
          <w:tcPr>
            <w:tcW w:w="2210" w:type="pct"/>
            <w:hideMark/>
          </w:tcPr>
          <w:p w14:paraId="20E3937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Support to supply from Round Hill to Clinton and NRG and reduce high head losses and velocities in these mains</w:t>
            </w:r>
          </w:p>
        </w:tc>
        <w:tc>
          <w:tcPr>
            <w:tcW w:w="871" w:type="pct"/>
            <w:hideMark/>
          </w:tcPr>
          <w:p w14:paraId="559E33F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w:t>
            </w:r>
          </w:p>
        </w:tc>
        <w:tc>
          <w:tcPr>
            <w:tcW w:w="871" w:type="pct"/>
            <w:hideMark/>
          </w:tcPr>
          <w:p w14:paraId="313D94B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$1,030,000 </w:t>
            </w:r>
          </w:p>
        </w:tc>
      </w:tr>
      <w:tr w:rsidR="00BE36FB" w:rsidRPr="009B7B35" w14:paraId="1492AE5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6DDE3FB5" w14:textId="77777777" w:rsidR="00BE36FB" w:rsidRPr="009B7B35" w:rsidRDefault="00BE36FB" w:rsidP="001A7107">
            <w:pPr>
              <w:pStyle w:val="TableText"/>
              <w:rPr>
                <w:rFonts w:cs="Arial"/>
              </w:rPr>
            </w:pPr>
            <w:r w:rsidRPr="009B7B35">
              <w:rPr>
                <w:rFonts w:cs="Arial"/>
              </w:rPr>
              <w:t>WTM_ZoneD_069</w:t>
            </w:r>
          </w:p>
        </w:tc>
        <w:tc>
          <w:tcPr>
            <w:tcW w:w="2210" w:type="pct"/>
            <w:hideMark/>
          </w:tcPr>
          <w:p w14:paraId="023EE97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Interconnection of trunk mains from Round Hill reservoir</w:t>
            </w:r>
          </w:p>
        </w:tc>
        <w:tc>
          <w:tcPr>
            <w:tcW w:w="871" w:type="pct"/>
            <w:hideMark/>
          </w:tcPr>
          <w:p w14:paraId="428FEEB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w:t>
            </w:r>
          </w:p>
        </w:tc>
        <w:tc>
          <w:tcPr>
            <w:tcW w:w="871" w:type="pct"/>
            <w:hideMark/>
          </w:tcPr>
          <w:p w14:paraId="26C5FD4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$20,000 </w:t>
            </w:r>
          </w:p>
        </w:tc>
      </w:tr>
      <w:tr w:rsidR="00BE36FB" w:rsidRPr="009B7B35" w14:paraId="76A80E7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5A370AC2" w14:textId="77777777" w:rsidR="00BE36FB" w:rsidRPr="009B7B35" w:rsidRDefault="00BE36FB" w:rsidP="001A7107">
            <w:pPr>
              <w:pStyle w:val="TableText"/>
              <w:rPr>
                <w:rFonts w:cs="Arial"/>
              </w:rPr>
            </w:pPr>
            <w:r w:rsidRPr="009B7B35">
              <w:rPr>
                <w:rFonts w:cs="Arial"/>
              </w:rPr>
              <w:t>WTM_FERRIS_032</w:t>
            </w:r>
          </w:p>
        </w:tc>
        <w:tc>
          <w:tcPr>
            <w:tcW w:w="2210" w:type="pct"/>
            <w:hideMark/>
          </w:tcPr>
          <w:p w14:paraId="0CA4957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Ferris Hill No. 2 pipework</w:t>
            </w:r>
          </w:p>
        </w:tc>
        <w:tc>
          <w:tcPr>
            <w:tcW w:w="871" w:type="pct"/>
            <w:hideMark/>
          </w:tcPr>
          <w:p w14:paraId="21059ED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71" w:type="pct"/>
            <w:hideMark/>
          </w:tcPr>
          <w:p w14:paraId="6FAA631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$100,000 </w:t>
            </w:r>
          </w:p>
        </w:tc>
      </w:tr>
      <w:tr w:rsidR="00BE36FB" w:rsidRPr="009B7B35" w14:paraId="172C0BB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283F01F5" w14:textId="77777777" w:rsidR="00BE36FB" w:rsidRPr="009B7B35" w:rsidRDefault="00BE36FB" w:rsidP="001A7107">
            <w:pPr>
              <w:pStyle w:val="TableText"/>
              <w:rPr>
                <w:rFonts w:cs="Arial"/>
              </w:rPr>
            </w:pPr>
            <w:r w:rsidRPr="009B7B35">
              <w:rPr>
                <w:rFonts w:cs="Arial"/>
              </w:rPr>
              <w:t>WTM_FERRISl_035</w:t>
            </w:r>
          </w:p>
        </w:tc>
        <w:tc>
          <w:tcPr>
            <w:tcW w:w="2210" w:type="pct"/>
            <w:hideMark/>
          </w:tcPr>
          <w:p w14:paraId="143AE60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Ferris Hill No. 2 pipework</w:t>
            </w:r>
          </w:p>
        </w:tc>
        <w:tc>
          <w:tcPr>
            <w:tcW w:w="871" w:type="pct"/>
            <w:hideMark/>
          </w:tcPr>
          <w:p w14:paraId="3298569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71" w:type="pct"/>
            <w:hideMark/>
          </w:tcPr>
          <w:p w14:paraId="193EBED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$60,000 </w:t>
            </w:r>
          </w:p>
        </w:tc>
      </w:tr>
      <w:tr w:rsidR="00BE36FB" w:rsidRPr="009B7B35" w14:paraId="52261E2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0FCAE5AB" w14:textId="77777777" w:rsidR="00BE36FB" w:rsidRPr="009B7B35" w:rsidRDefault="00BE36FB" w:rsidP="001A7107">
            <w:pPr>
              <w:pStyle w:val="TableText"/>
              <w:rPr>
                <w:rFonts w:cs="Arial"/>
              </w:rPr>
            </w:pPr>
            <w:r w:rsidRPr="009B7B35">
              <w:rPr>
                <w:rFonts w:cs="Arial"/>
              </w:rPr>
              <w:t>WTM_NRG_040</w:t>
            </w:r>
          </w:p>
        </w:tc>
        <w:tc>
          <w:tcPr>
            <w:tcW w:w="2210" w:type="pct"/>
            <w:hideMark/>
          </w:tcPr>
          <w:p w14:paraId="75D997B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reservoir pipework</w:t>
            </w:r>
          </w:p>
        </w:tc>
        <w:tc>
          <w:tcPr>
            <w:tcW w:w="871" w:type="pct"/>
            <w:hideMark/>
          </w:tcPr>
          <w:p w14:paraId="379DB24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71" w:type="pct"/>
            <w:hideMark/>
          </w:tcPr>
          <w:p w14:paraId="37CD183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$50,000 </w:t>
            </w:r>
          </w:p>
        </w:tc>
      </w:tr>
      <w:tr w:rsidR="00BE36FB" w:rsidRPr="009B7B35" w14:paraId="7386E73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1B600F98" w14:textId="77777777" w:rsidR="00BE36FB" w:rsidRPr="009B7B35" w:rsidRDefault="00BE36FB" w:rsidP="001A7107">
            <w:pPr>
              <w:pStyle w:val="TableText"/>
              <w:rPr>
                <w:rFonts w:cs="Arial"/>
              </w:rPr>
            </w:pPr>
            <w:r w:rsidRPr="009B7B35">
              <w:rPr>
                <w:rFonts w:cs="Arial"/>
              </w:rPr>
              <w:t>WTM_NRG_041</w:t>
            </w:r>
          </w:p>
        </w:tc>
        <w:tc>
          <w:tcPr>
            <w:tcW w:w="2210" w:type="pct"/>
            <w:hideMark/>
          </w:tcPr>
          <w:p w14:paraId="4F4307F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New reservoir pipework</w:t>
            </w:r>
          </w:p>
        </w:tc>
        <w:tc>
          <w:tcPr>
            <w:tcW w:w="871" w:type="pct"/>
            <w:hideMark/>
          </w:tcPr>
          <w:p w14:paraId="599689F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71" w:type="pct"/>
            <w:hideMark/>
          </w:tcPr>
          <w:p w14:paraId="7F36C74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$60,000 </w:t>
            </w:r>
          </w:p>
        </w:tc>
      </w:tr>
      <w:tr w:rsidR="00BE36FB" w:rsidRPr="009B7B35" w14:paraId="61DEABF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1962459D" w14:textId="77777777" w:rsidR="00BE36FB" w:rsidRPr="009B7B35" w:rsidRDefault="00BE36FB" w:rsidP="001A7107">
            <w:pPr>
              <w:pStyle w:val="TableText"/>
              <w:rPr>
                <w:rFonts w:cs="Arial"/>
              </w:rPr>
            </w:pPr>
            <w:r w:rsidRPr="009B7B35">
              <w:rPr>
                <w:rFonts w:cs="Arial"/>
              </w:rPr>
              <w:t>WTM_ZoneD_021</w:t>
            </w:r>
          </w:p>
        </w:tc>
        <w:tc>
          <w:tcPr>
            <w:tcW w:w="2210" w:type="pct"/>
            <w:hideMark/>
          </w:tcPr>
          <w:p w14:paraId="6A1556E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of 375mm diameter supply to Calliope and Kirkwood Road low level supply</w:t>
            </w:r>
          </w:p>
        </w:tc>
        <w:tc>
          <w:tcPr>
            <w:tcW w:w="871" w:type="pct"/>
            <w:hideMark/>
          </w:tcPr>
          <w:p w14:paraId="4FB39E9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71" w:type="pct"/>
            <w:hideMark/>
          </w:tcPr>
          <w:p w14:paraId="38D86D1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$3,060,000 </w:t>
            </w:r>
          </w:p>
        </w:tc>
      </w:tr>
      <w:tr w:rsidR="00BE36FB" w:rsidRPr="009B7B35" w14:paraId="31D93B1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367889BC" w14:textId="77777777" w:rsidR="00BE36FB" w:rsidRPr="009B7B35" w:rsidRDefault="00BE36FB" w:rsidP="001A7107">
            <w:pPr>
              <w:pStyle w:val="TableText"/>
              <w:rPr>
                <w:rFonts w:cs="Arial"/>
              </w:rPr>
            </w:pPr>
            <w:r w:rsidRPr="009B7B35">
              <w:rPr>
                <w:rFonts w:cs="Arial"/>
              </w:rPr>
              <w:t>WTM_ZoneD_034</w:t>
            </w:r>
          </w:p>
        </w:tc>
        <w:tc>
          <w:tcPr>
            <w:tcW w:w="2210" w:type="pct"/>
            <w:hideMark/>
          </w:tcPr>
          <w:p w14:paraId="4948CB1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of 375mm diameter supply to Calliope and Kirkwood Road low</w:t>
            </w:r>
          </w:p>
        </w:tc>
        <w:tc>
          <w:tcPr>
            <w:tcW w:w="871" w:type="pct"/>
            <w:hideMark/>
          </w:tcPr>
          <w:p w14:paraId="08A2EF8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71" w:type="pct"/>
            <w:hideMark/>
          </w:tcPr>
          <w:p w14:paraId="6DCB787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$870,000 </w:t>
            </w:r>
          </w:p>
        </w:tc>
      </w:tr>
      <w:tr w:rsidR="00BE36FB" w:rsidRPr="009B7B35" w14:paraId="1733D2C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5BC63FA" w14:textId="77777777" w:rsidR="00BE36FB" w:rsidRPr="009B7B35" w:rsidRDefault="00BE36FB" w:rsidP="001A7107">
            <w:pPr>
              <w:pStyle w:val="TableText"/>
              <w:rPr>
                <w:rFonts w:cs="Arial"/>
              </w:rPr>
            </w:pPr>
            <w:r w:rsidRPr="009B7B35">
              <w:rPr>
                <w:rFonts w:cs="Arial"/>
              </w:rPr>
              <w:t>WTM_ZoneD_038</w:t>
            </w:r>
          </w:p>
        </w:tc>
        <w:tc>
          <w:tcPr>
            <w:tcW w:w="2210" w:type="pct"/>
            <w:hideMark/>
          </w:tcPr>
          <w:p w14:paraId="5754555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Round Hill 2 pipework</w:t>
            </w:r>
          </w:p>
        </w:tc>
        <w:tc>
          <w:tcPr>
            <w:tcW w:w="871" w:type="pct"/>
            <w:hideMark/>
          </w:tcPr>
          <w:p w14:paraId="595BF88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71" w:type="pct"/>
            <w:hideMark/>
          </w:tcPr>
          <w:p w14:paraId="385B074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$20,000 </w:t>
            </w:r>
          </w:p>
        </w:tc>
      </w:tr>
      <w:tr w:rsidR="00BE36FB" w:rsidRPr="009B7B35" w14:paraId="57CB0C8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3A2A639A" w14:textId="77777777" w:rsidR="00BE36FB" w:rsidRPr="009B7B35" w:rsidRDefault="00BE36FB" w:rsidP="001A7107">
            <w:pPr>
              <w:pStyle w:val="TableText"/>
              <w:rPr>
                <w:rFonts w:cs="Arial"/>
              </w:rPr>
            </w:pPr>
            <w:r w:rsidRPr="009B7B35">
              <w:rPr>
                <w:rFonts w:cs="Arial"/>
              </w:rPr>
              <w:t>WTM_ZoneD_039</w:t>
            </w:r>
          </w:p>
        </w:tc>
        <w:tc>
          <w:tcPr>
            <w:tcW w:w="2210" w:type="pct"/>
            <w:hideMark/>
          </w:tcPr>
          <w:p w14:paraId="073BEB1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Round Hill 2 pipework</w:t>
            </w:r>
          </w:p>
        </w:tc>
        <w:tc>
          <w:tcPr>
            <w:tcW w:w="871" w:type="pct"/>
            <w:hideMark/>
          </w:tcPr>
          <w:p w14:paraId="20B639D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71" w:type="pct"/>
            <w:hideMark/>
          </w:tcPr>
          <w:p w14:paraId="09D5528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$30,000 </w:t>
            </w:r>
          </w:p>
        </w:tc>
      </w:tr>
      <w:tr w:rsidR="00BE36FB" w:rsidRPr="009B7B35" w14:paraId="631BA5D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23ADA0CB" w14:textId="77777777" w:rsidR="00BE36FB" w:rsidRPr="009B7B35" w:rsidRDefault="00BE36FB" w:rsidP="001A7107">
            <w:pPr>
              <w:pStyle w:val="TableText"/>
              <w:rPr>
                <w:rFonts w:cs="Arial"/>
              </w:rPr>
            </w:pPr>
            <w:r w:rsidRPr="009B7B35">
              <w:rPr>
                <w:rFonts w:cs="Arial"/>
              </w:rPr>
              <w:t>WRS_PAT_202</w:t>
            </w:r>
          </w:p>
        </w:tc>
        <w:tc>
          <w:tcPr>
            <w:tcW w:w="2210" w:type="pct"/>
            <w:hideMark/>
          </w:tcPr>
          <w:p w14:paraId="56FE533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Paterson St WSZ reservoir 2 - new storage (25.0 ML)</w:t>
            </w:r>
          </w:p>
        </w:tc>
        <w:tc>
          <w:tcPr>
            <w:tcW w:w="871" w:type="pct"/>
            <w:hideMark/>
          </w:tcPr>
          <w:p w14:paraId="75CBBCD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71" w:type="pct"/>
            <w:hideMark/>
          </w:tcPr>
          <w:p w14:paraId="2418B67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$5,460,000 </w:t>
            </w:r>
          </w:p>
        </w:tc>
      </w:tr>
      <w:tr w:rsidR="00BE36FB" w:rsidRPr="009B7B35" w14:paraId="73FD4B4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36B67AC1" w14:textId="77777777" w:rsidR="00BE36FB" w:rsidRPr="009B7B35" w:rsidRDefault="00BE36FB" w:rsidP="001A7107">
            <w:pPr>
              <w:pStyle w:val="TableText"/>
              <w:rPr>
                <w:rFonts w:cs="Arial"/>
              </w:rPr>
            </w:pPr>
            <w:r w:rsidRPr="009B7B35">
              <w:rPr>
                <w:rFonts w:cs="Arial"/>
              </w:rPr>
              <w:t>WRS_ZONED_200</w:t>
            </w:r>
          </w:p>
        </w:tc>
        <w:tc>
          <w:tcPr>
            <w:tcW w:w="2210" w:type="pct"/>
            <w:hideMark/>
          </w:tcPr>
          <w:p w14:paraId="119020C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Kirkwood Low reservoir (11 ML)</w:t>
            </w:r>
          </w:p>
        </w:tc>
        <w:tc>
          <w:tcPr>
            <w:tcW w:w="871" w:type="pct"/>
            <w:hideMark/>
          </w:tcPr>
          <w:p w14:paraId="6146EE0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71" w:type="pct"/>
            <w:hideMark/>
          </w:tcPr>
          <w:p w14:paraId="79274E8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$2,970,000 </w:t>
            </w:r>
          </w:p>
        </w:tc>
      </w:tr>
      <w:tr w:rsidR="00BE36FB" w:rsidRPr="009B7B35" w14:paraId="3913A00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573E4E97" w14:textId="77777777" w:rsidR="00BE36FB" w:rsidRPr="009B7B35" w:rsidRDefault="00BE36FB" w:rsidP="001A7107">
            <w:pPr>
              <w:pStyle w:val="TableText"/>
              <w:rPr>
                <w:rFonts w:cs="Arial"/>
              </w:rPr>
            </w:pPr>
            <w:r w:rsidRPr="009B7B35">
              <w:rPr>
                <w:rFonts w:cs="Arial"/>
              </w:rPr>
              <w:t>WRS_FERRIS_203</w:t>
            </w:r>
          </w:p>
        </w:tc>
        <w:tc>
          <w:tcPr>
            <w:tcW w:w="2210" w:type="pct"/>
            <w:hideMark/>
          </w:tcPr>
          <w:p w14:paraId="0C59E8A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Ferris Hill No. 2 reservoir (2.0 ML)</w:t>
            </w:r>
          </w:p>
        </w:tc>
        <w:tc>
          <w:tcPr>
            <w:tcW w:w="871" w:type="pct"/>
            <w:hideMark/>
          </w:tcPr>
          <w:p w14:paraId="703FE4F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71" w:type="pct"/>
            <w:hideMark/>
          </w:tcPr>
          <w:p w14:paraId="5E3F2FA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$1,020,000 </w:t>
            </w:r>
          </w:p>
        </w:tc>
      </w:tr>
      <w:tr w:rsidR="00BE36FB" w:rsidRPr="009B7B35" w14:paraId="5304B6A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40EF63F8" w14:textId="77777777" w:rsidR="00BE36FB" w:rsidRPr="009B7B35" w:rsidRDefault="00BE36FB" w:rsidP="001A7107">
            <w:pPr>
              <w:pStyle w:val="TableText"/>
              <w:rPr>
                <w:rFonts w:cs="Arial"/>
              </w:rPr>
            </w:pPr>
            <w:r w:rsidRPr="009B7B35">
              <w:rPr>
                <w:rFonts w:cs="Arial"/>
              </w:rPr>
              <w:t>WRS_NRG_204</w:t>
            </w:r>
          </w:p>
        </w:tc>
        <w:tc>
          <w:tcPr>
            <w:tcW w:w="2210" w:type="pct"/>
            <w:hideMark/>
          </w:tcPr>
          <w:p w14:paraId="3ADAEDB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New NRG WSZ reservoir (13.5.0 ML)</w:t>
            </w:r>
          </w:p>
        </w:tc>
        <w:tc>
          <w:tcPr>
            <w:tcW w:w="871" w:type="pct"/>
            <w:hideMark/>
          </w:tcPr>
          <w:p w14:paraId="7BDF8B4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71" w:type="pct"/>
            <w:hideMark/>
          </w:tcPr>
          <w:p w14:paraId="49EE38C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$3,620,000 </w:t>
            </w:r>
          </w:p>
        </w:tc>
      </w:tr>
      <w:tr w:rsidR="00BE36FB" w:rsidRPr="009B7B35" w14:paraId="5A61ED1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6E023BE" w14:textId="77777777" w:rsidR="00BE36FB" w:rsidRPr="009B7B35" w:rsidRDefault="00BE36FB" w:rsidP="001A7107">
            <w:pPr>
              <w:pStyle w:val="TableText"/>
              <w:rPr>
                <w:rFonts w:cs="Arial"/>
              </w:rPr>
            </w:pPr>
            <w:r w:rsidRPr="009B7B35">
              <w:rPr>
                <w:rFonts w:cs="Arial"/>
              </w:rPr>
              <w:t xml:space="preserve">WRS_ZONED_206 </w:t>
            </w:r>
          </w:p>
        </w:tc>
        <w:tc>
          <w:tcPr>
            <w:tcW w:w="2210" w:type="pct"/>
            <w:hideMark/>
          </w:tcPr>
          <w:p w14:paraId="0FC832A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Round Hill 2 (7.2 ML) </w:t>
            </w:r>
          </w:p>
        </w:tc>
        <w:tc>
          <w:tcPr>
            <w:tcW w:w="871" w:type="pct"/>
            <w:hideMark/>
          </w:tcPr>
          <w:p w14:paraId="0E4AEEA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2031 </w:t>
            </w:r>
          </w:p>
        </w:tc>
        <w:tc>
          <w:tcPr>
            <w:tcW w:w="871" w:type="pct"/>
            <w:hideMark/>
          </w:tcPr>
          <w:p w14:paraId="6BB358C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$2,340,000</w:t>
            </w:r>
          </w:p>
        </w:tc>
      </w:tr>
      <w:tr w:rsidR="00BE36FB" w:rsidRPr="009B7B35" w14:paraId="6B1946B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79D24022" w14:textId="77777777" w:rsidR="00BE36FB" w:rsidRPr="009B7B35" w:rsidRDefault="00BE36FB" w:rsidP="001A7107">
            <w:pPr>
              <w:pStyle w:val="TableText"/>
              <w:rPr>
                <w:rFonts w:cs="Arial"/>
              </w:rPr>
            </w:pPr>
            <w:r w:rsidRPr="009B7B35">
              <w:rPr>
                <w:rFonts w:cs="Arial"/>
              </w:rPr>
              <w:t xml:space="preserve">LAND_AW_210 </w:t>
            </w:r>
          </w:p>
        </w:tc>
        <w:tc>
          <w:tcPr>
            <w:tcW w:w="2210" w:type="pct"/>
            <w:hideMark/>
          </w:tcPr>
          <w:p w14:paraId="11F346F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Acquisition of land for future Agnes Water reservoir site </w:t>
            </w:r>
          </w:p>
        </w:tc>
        <w:tc>
          <w:tcPr>
            <w:tcW w:w="871" w:type="pct"/>
            <w:hideMark/>
          </w:tcPr>
          <w:p w14:paraId="3CF58FA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2016 </w:t>
            </w:r>
          </w:p>
        </w:tc>
        <w:tc>
          <w:tcPr>
            <w:tcW w:w="871" w:type="pct"/>
            <w:hideMark/>
          </w:tcPr>
          <w:p w14:paraId="3394B61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w:t>
            </w:r>
          </w:p>
        </w:tc>
      </w:tr>
      <w:tr w:rsidR="00BE36FB" w:rsidRPr="009B7B35" w14:paraId="28EA12F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43BB08EA" w14:textId="77777777" w:rsidR="00BE36FB" w:rsidRPr="009B7B35" w:rsidRDefault="00BE36FB" w:rsidP="001A7107">
            <w:pPr>
              <w:pStyle w:val="TableText"/>
              <w:rPr>
                <w:rFonts w:cs="Arial"/>
              </w:rPr>
            </w:pPr>
            <w:r w:rsidRPr="009B7B35">
              <w:rPr>
                <w:rFonts w:cs="Arial"/>
              </w:rPr>
              <w:t xml:space="preserve">WPS_PAT_103 </w:t>
            </w:r>
          </w:p>
        </w:tc>
        <w:tc>
          <w:tcPr>
            <w:tcW w:w="2210" w:type="pct"/>
            <w:hideMark/>
          </w:tcPr>
          <w:p w14:paraId="7951CD7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Paterson 2 reservoir WPS </w:t>
            </w:r>
          </w:p>
        </w:tc>
        <w:tc>
          <w:tcPr>
            <w:tcW w:w="871" w:type="pct"/>
            <w:hideMark/>
          </w:tcPr>
          <w:p w14:paraId="5243A9D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2014 </w:t>
            </w:r>
          </w:p>
        </w:tc>
        <w:tc>
          <w:tcPr>
            <w:tcW w:w="871" w:type="pct"/>
            <w:hideMark/>
          </w:tcPr>
          <w:p w14:paraId="08D6864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$740,000</w:t>
            </w:r>
          </w:p>
        </w:tc>
      </w:tr>
      <w:tr w:rsidR="00BE36FB" w:rsidRPr="009B7B35" w14:paraId="74E155C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36E70213" w14:textId="77777777" w:rsidR="00BE36FB" w:rsidRPr="009B7B35" w:rsidRDefault="00BE36FB" w:rsidP="001A7107">
            <w:pPr>
              <w:pStyle w:val="TableText"/>
              <w:rPr>
                <w:rFonts w:cs="Arial"/>
              </w:rPr>
            </w:pPr>
            <w:r w:rsidRPr="009B7B35">
              <w:rPr>
                <w:rFonts w:cs="Arial"/>
              </w:rPr>
              <w:t xml:space="preserve">WPS_ZONED_102 </w:t>
            </w:r>
          </w:p>
        </w:tc>
        <w:tc>
          <w:tcPr>
            <w:tcW w:w="2210" w:type="pct"/>
            <w:hideMark/>
          </w:tcPr>
          <w:p w14:paraId="5747530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New WPS Kirkwood Road low </w:t>
            </w:r>
          </w:p>
        </w:tc>
        <w:tc>
          <w:tcPr>
            <w:tcW w:w="871" w:type="pct"/>
            <w:hideMark/>
          </w:tcPr>
          <w:p w14:paraId="6649930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2014 </w:t>
            </w:r>
          </w:p>
        </w:tc>
        <w:tc>
          <w:tcPr>
            <w:tcW w:w="871" w:type="pct"/>
            <w:hideMark/>
          </w:tcPr>
          <w:p w14:paraId="2F9B538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$330,000 </w:t>
            </w:r>
          </w:p>
        </w:tc>
      </w:tr>
      <w:tr w:rsidR="00BE36FB" w:rsidRPr="009B7B35" w14:paraId="414C934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03A3F841" w14:textId="77777777" w:rsidR="00BE36FB" w:rsidRPr="009B7B35" w:rsidRDefault="00BE36FB" w:rsidP="001A7107">
            <w:pPr>
              <w:pStyle w:val="TableText"/>
              <w:rPr>
                <w:rFonts w:cs="Arial"/>
              </w:rPr>
            </w:pPr>
            <w:r w:rsidRPr="009B7B35">
              <w:rPr>
                <w:rFonts w:cs="Arial"/>
              </w:rPr>
              <w:t xml:space="preserve">WPS_ZONED_102A </w:t>
            </w:r>
          </w:p>
        </w:tc>
        <w:tc>
          <w:tcPr>
            <w:tcW w:w="2210" w:type="pct"/>
            <w:hideMark/>
          </w:tcPr>
          <w:p w14:paraId="447783F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New WPS Kirkwood Road - upgrade 2 </w:t>
            </w:r>
          </w:p>
        </w:tc>
        <w:tc>
          <w:tcPr>
            <w:tcW w:w="871" w:type="pct"/>
            <w:hideMark/>
          </w:tcPr>
          <w:p w14:paraId="380F91D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2031 </w:t>
            </w:r>
          </w:p>
        </w:tc>
        <w:tc>
          <w:tcPr>
            <w:tcW w:w="871" w:type="pct"/>
            <w:hideMark/>
          </w:tcPr>
          <w:p w14:paraId="485A0A5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$630,000</w:t>
            </w:r>
          </w:p>
        </w:tc>
      </w:tr>
      <w:tr w:rsidR="00BE36FB" w:rsidRPr="009B7B35" w14:paraId="523559A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31BA4662" w14:textId="77777777" w:rsidR="00BE36FB" w:rsidRPr="009B7B35" w:rsidRDefault="00BE36FB" w:rsidP="001A7107">
            <w:pPr>
              <w:pStyle w:val="TableText"/>
              <w:rPr>
                <w:rFonts w:cs="Arial"/>
              </w:rPr>
            </w:pPr>
            <w:r w:rsidRPr="009B7B35">
              <w:rPr>
                <w:rFonts w:cs="Arial"/>
              </w:rPr>
              <w:t xml:space="preserve">WPS_PAT_103A </w:t>
            </w:r>
          </w:p>
        </w:tc>
        <w:tc>
          <w:tcPr>
            <w:tcW w:w="2210" w:type="pct"/>
            <w:hideMark/>
          </w:tcPr>
          <w:p w14:paraId="522AFDA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Paterson 2 reservoir WPS upgrade </w:t>
            </w:r>
          </w:p>
        </w:tc>
        <w:tc>
          <w:tcPr>
            <w:tcW w:w="871" w:type="pct"/>
            <w:hideMark/>
          </w:tcPr>
          <w:p w14:paraId="565210F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2036 </w:t>
            </w:r>
          </w:p>
        </w:tc>
        <w:tc>
          <w:tcPr>
            <w:tcW w:w="871" w:type="pct"/>
            <w:hideMark/>
          </w:tcPr>
          <w:p w14:paraId="2562968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$930,000</w:t>
            </w:r>
          </w:p>
        </w:tc>
      </w:tr>
      <w:tr w:rsidR="00BE36FB" w:rsidRPr="009B7B35" w14:paraId="773F3BB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63BC9C94" w14:textId="77777777" w:rsidR="00BE36FB" w:rsidRPr="009B7B35" w:rsidRDefault="00BE36FB" w:rsidP="001A7107">
            <w:pPr>
              <w:pStyle w:val="TableText"/>
              <w:rPr>
                <w:rFonts w:cs="Arial"/>
              </w:rPr>
            </w:pPr>
            <w:r w:rsidRPr="009B7B35">
              <w:rPr>
                <w:rFonts w:cs="Arial"/>
              </w:rPr>
              <w:t xml:space="preserve">WTP_AW_600 </w:t>
            </w:r>
          </w:p>
        </w:tc>
        <w:tc>
          <w:tcPr>
            <w:tcW w:w="2210" w:type="pct"/>
            <w:hideMark/>
          </w:tcPr>
          <w:p w14:paraId="55CFB5D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1.5 ML/d upgrade of existing WTP for treatment capacity of 3.0 ML </w:t>
            </w:r>
          </w:p>
        </w:tc>
        <w:tc>
          <w:tcPr>
            <w:tcW w:w="871" w:type="pct"/>
            <w:hideMark/>
          </w:tcPr>
          <w:p w14:paraId="1C804F1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2016 </w:t>
            </w:r>
          </w:p>
        </w:tc>
        <w:tc>
          <w:tcPr>
            <w:tcW w:w="871" w:type="pct"/>
            <w:hideMark/>
          </w:tcPr>
          <w:p w14:paraId="0167694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$17,500,000</w:t>
            </w:r>
          </w:p>
        </w:tc>
      </w:tr>
      <w:tr w:rsidR="00BE36FB" w:rsidRPr="009B7B35" w14:paraId="352FFE4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hideMark/>
          </w:tcPr>
          <w:p w14:paraId="4FE28A50" w14:textId="77777777" w:rsidR="00BE36FB" w:rsidRPr="009B7B35" w:rsidRDefault="00BE36FB" w:rsidP="001A7107">
            <w:pPr>
              <w:pStyle w:val="TableText"/>
              <w:rPr>
                <w:rFonts w:cs="Arial"/>
              </w:rPr>
            </w:pPr>
            <w:r w:rsidRPr="009B7B35">
              <w:rPr>
                <w:rFonts w:cs="Arial"/>
              </w:rPr>
              <w:t xml:space="preserve">WTP_AW_600a </w:t>
            </w:r>
          </w:p>
        </w:tc>
        <w:tc>
          <w:tcPr>
            <w:tcW w:w="2210" w:type="pct"/>
            <w:hideMark/>
          </w:tcPr>
          <w:p w14:paraId="40E0F24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1.5 ML/d upgrade of Agnes Water WTP to total treatment capacity of 4.5 ML/d </w:t>
            </w:r>
          </w:p>
        </w:tc>
        <w:tc>
          <w:tcPr>
            <w:tcW w:w="871" w:type="pct"/>
            <w:hideMark/>
          </w:tcPr>
          <w:p w14:paraId="10BC92F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2021 </w:t>
            </w:r>
          </w:p>
        </w:tc>
        <w:tc>
          <w:tcPr>
            <w:tcW w:w="871" w:type="pct"/>
            <w:hideMark/>
          </w:tcPr>
          <w:p w14:paraId="2D5F1ED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$17,500,000</w:t>
            </w:r>
          </w:p>
        </w:tc>
      </w:tr>
    </w:tbl>
    <w:p w14:paraId="0D3A6BD2" w14:textId="77777777" w:rsidR="00BE36FB" w:rsidRPr="009B7B35" w:rsidRDefault="00BE36FB" w:rsidP="001A7107">
      <w:pPr>
        <w:pStyle w:val="Heading9"/>
        <w:numPr>
          <w:ilvl w:val="0"/>
          <w:numId w:val="0"/>
        </w:numPr>
        <w:rPr>
          <w:rFonts w:cs="Arial"/>
          <w:sz w:val="20"/>
        </w:rPr>
      </w:pPr>
      <w:r w:rsidRPr="009B7B35">
        <w:rPr>
          <w:rFonts w:cs="Arial"/>
          <w:sz w:val="20"/>
        </w:rPr>
        <w:t>Table SC3.2.2—Sewerage network</w:t>
      </w:r>
    </w:p>
    <w:tbl>
      <w:tblPr>
        <w:tblStyle w:val="Tablestyle"/>
        <w:tblW w:w="4941" w:type="pct"/>
        <w:tblLayout w:type="fixed"/>
        <w:tblLook w:val="04A0" w:firstRow="1" w:lastRow="0" w:firstColumn="1" w:lastColumn="0" w:noHBand="0" w:noVBand="1"/>
      </w:tblPr>
      <w:tblGrid>
        <w:gridCol w:w="2127"/>
        <w:gridCol w:w="1701"/>
        <w:gridCol w:w="2408"/>
        <w:gridCol w:w="1561"/>
        <w:gridCol w:w="1559"/>
      </w:tblGrid>
      <w:tr w:rsidR="00BE36FB" w:rsidRPr="009B7B35" w14:paraId="315D8DD2"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15470719" w14:textId="77777777" w:rsidR="00BE36FB" w:rsidRPr="009B7B35" w:rsidRDefault="00BE36FB" w:rsidP="001A7107">
            <w:pPr>
              <w:pStyle w:val="TableText"/>
              <w:rPr>
                <w:rFonts w:cs="Arial"/>
              </w:rPr>
            </w:pPr>
            <w:r w:rsidRPr="009B7B35">
              <w:rPr>
                <w:rFonts w:cs="Arial"/>
              </w:rPr>
              <w:t>Column 1</w:t>
            </w:r>
          </w:p>
          <w:p w14:paraId="60E7F936" w14:textId="77777777" w:rsidR="00BE36FB" w:rsidRPr="009B7B35" w:rsidRDefault="00BE36FB" w:rsidP="001A7107">
            <w:pPr>
              <w:pStyle w:val="TableText"/>
              <w:rPr>
                <w:rFonts w:cs="Arial"/>
              </w:rPr>
            </w:pPr>
            <w:r w:rsidRPr="009B7B35">
              <w:rPr>
                <w:rFonts w:cs="Arial"/>
              </w:rPr>
              <w:t xml:space="preserve">Map reference (LGIP ID) </w:t>
            </w:r>
          </w:p>
        </w:tc>
        <w:tc>
          <w:tcPr>
            <w:tcW w:w="909" w:type="pct"/>
            <w:hideMark/>
          </w:tcPr>
          <w:p w14:paraId="3E50701F"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r w:rsidRPr="009B7B35">
              <w:rPr>
                <w:rFonts w:cs="Arial"/>
              </w:rPr>
              <w:br/>
              <w:t xml:space="preserve">Asset name </w:t>
            </w:r>
          </w:p>
        </w:tc>
        <w:tc>
          <w:tcPr>
            <w:tcW w:w="1287" w:type="pct"/>
            <w:hideMark/>
          </w:tcPr>
          <w:p w14:paraId="2EEA377E"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3</w:t>
            </w:r>
            <w:r w:rsidRPr="009B7B35">
              <w:rPr>
                <w:rFonts w:cs="Arial"/>
              </w:rPr>
              <w:br/>
              <w:t xml:space="preserve">Description </w:t>
            </w:r>
          </w:p>
        </w:tc>
        <w:tc>
          <w:tcPr>
            <w:tcW w:w="834" w:type="pct"/>
            <w:hideMark/>
          </w:tcPr>
          <w:p w14:paraId="6A5FBBA1"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3</w:t>
            </w:r>
            <w:r w:rsidRPr="009B7B35">
              <w:rPr>
                <w:rFonts w:cs="Arial"/>
              </w:rPr>
              <w:br/>
              <w:t xml:space="preserve">Establishment timing </w:t>
            </w:r>
          </w:p>
        </w:tc>
        <w:tc>
          <w:tcPr>
            <w:tcW w:w="833" w:type="pct"/>
            <w:hideMark/>
          </w:tcPr>
          <w:p w14:paraId="75AE0E0A"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4</w:t>
            </w:r>
            <w:r w:rsidRPr="009B7B35">
              <w:rPr>
                <w:rFonts w:cs="Arial"/>
              </w:rPr>
              <w:br/>
              <w:t xml:space="preserve">Establishment cost </w:t>
            </w:r>
          </w:p>
        </w:tc>
      </w:tr>
      <w:tr w:rsidR="00BE36FB" w:rsidRPr="009B7B35" w14:paraId="7CCEDA0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6D167240" w14:textId="77777777" w:rsidR="00BE36FB" w:rsidRPr="009B7B35" w:rsidRDefault="00BE36FB" w:rsidP="001A7107">
            <w:pPr>
              <w:pStyle w:val="TableText"/>
              <w:rPr>
                <w:rFonts w:cs="Arial"/>
              </w:rPr>
            </w:pPr>
            <w:r w:rsidRPr="009B7B35">
              <w:rPr>
                <w:rFonts w:cs="Arial"/>
              </w:rPr>
              <w:t>ES-PB413</w:t>
            </w:r>
          </w:p>
        </w:tc>
        <w:tc>
          <w:tcPr>
            <w:tcW w:w="909" w:type="pct"/>
            <w:hideMark/>
          </w:tcPr>
          <w:p w14:paraId="1129ED9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Gladstone STP – upgrade 2015</w:t>
            </w:r>
          </w:p>
        </w:tc>
        <w:tc>
          <w:tcPr>
            <w:tcW w:w="1287" w:type="pct"/>
            <w:hideMark/>
          </w:tcPr>
          <w:p w14:paraId="108CD33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Biological filter plant refurbishment &amp; replacement of clarifiers</w:t>
            </w:r>
          </w:p>
        </w:tc>
        <w:tc>
          <w:tcPr>
            <w:tcW w:w="834" w:type="pct"/>
            <w:hideMark/>
          </w:tcPr>
          <w:p w14:paraId="059077A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14:paraId="124BB0E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$28,000,000 </w:t>
            </w:r>
          </w:p>
        </w:tc>
      </w:tr>
      <w:tr w:rsidR="00BE36FB" w:rsidRPr="009B7B35" w14:paraId="49504D1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68EE9EE" w14:textId="77777777" w:rsidR="00BE36FB" w:rsidRPr="009B7B35" w:rsidRDefault="00BE36FB" w:rsidP="001A7107">
            <w:pPr>
              <w:pStyle w:val="TableText"/>
              <w:rPr>
                <w:rFonts w:cs="Arial"/>
              </w:rPr>
            </w:pPr>
            <w:r w:rsidRPr="009B7B35">
              <w:rPr>
                <w:rFonts w:cs="Arial"/>
              </w:rPr>
              <w:t>ES-PB442</w:t>
            </w:r>
          </w:p>
        </w:tc>
        <w:tc>
          <w:tcPr>
            <w:tcW w:w="909" w:type="pct"/>
            <w:hideMark/>
          </w:tcPr>
          <w:p w14:paraId="53B1098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Gladstone STP – upgrade 2026</w:t>
            </w:r>
          </w:p>
        </w:tc>
        <w:tc>
          <w:tcPr>
            <w:tcW w:w="1287" w:type="pct"/>
            <w:hideMark/>
          </w:tcPr>
          <w:p w14:paraId="49C7777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New oxidation ditch</w:t>
            </w:r>
          </w:p>
        </w:tc>
        <w:tc>
          <w:tcPr>
            <w:tcW w:w="834" w:type="pct"/>
            <w:hideMark/>
          </w:tcPr>
          <w:p w14:paraId="043F71B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2019</w:t>
            </w:r>
          </w:p>
        </w:tc>
        <w:tc>
          <w:tcPr>
            <w:tcW w:w="833" w:type="pct"/>
            <w:hideMark/>
          </w:tcPr>
          <w:p w14:paraId="10F95C2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$14,520,000 </w:t>
            </w:r>
          </w:p>
        </w:tc>
      </w:tr>
      <w:tr w:rsidR="00BE36FB" w:rsidRPr="009B7B35" w14:paraId="7E2DE7D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8AAECF6" w14:textId="77777777" w:rsidR="00BE36FB" w:rsidRPr="009B7B35" w:rsidRDefault="00BE36FB" w:rsidP="001A7107">
            <w:pPr>
              <w:pStyle w:val="TableText"/>
              <w:rPr>
                <w:rFonts w:cs="Arial"/>
              </w:rPr>
            </w:pPr>
            <w:r w:rsidRPr="009B7B35">
              <w:rPr>
                <w:rFonts w:cs="Arial"/>
              </w:rPr>
              <w:t>ES-PB445</w:t>
            </w:r>
          </w:p>
        </w:tc>
        <w:tc>
          <w:tcPr>
            <w:tcW w:w="909" w:type="pct"/>
            <w:hideMark/>
          </w:tcPr>
          <w:p w14:paraId="40515F4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South Trees STP – upgrade 2021</w:t>
            </w:r>
          </w:p>
        </w:tc>
        <w:tc>
          <w:tcPr>
            <w:tcW w:w="1287" w:type="pct"/>
            <w:hideMark/>
          </w:tcPr>
          <w:p w14:paraId="0CC0EC5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Treatment plant augmentation</w:t>
            </w:r>
          </w:p>
        </w:tc>
        <w:tc>
          <w:tcPr>
            <w:tcW w:w="834" w:type="pct"/>
            <w:hideMark/>
          </w:tcPr>
          <w:p w14:paraId="60371B9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w:t>
            </w:r>
          </w:p>
        </w:tc>
        <w:tc>
          <w:tcPr>
            <w:tcW w:w="833" w:type="pct"/>
            <w:hideMark/>
          </w:tcPr>
          <w:p w14:paraId="3D298DB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$7,605,301 </w:t>
            </w:r>
          </w:p>
        </w:tc>
      </w:tr>
      <w:tr w:rsidR="00BE36FB" w:rsidRPr="009B7B35" w14:paraId="1D845EF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422303F5" w14:textId="77777777" w:rsidR="00BE36FB" w:rsidRPr="009B7B35" w:rsidRDefault="00BE36FB" w:rsidP="001A7107">
            <w:pPr>
              <w:pStyle w:val="TableText"/>
              <w:rPr>
                <w:rFonts w:cs="Arial"/>
              </w:rPr>
            </w:pPr>
            <w:r w:rsidRPr="009B7B35">
              <w:rPr>
                <w:rFonts w:cs="Arial"/>
              </w:rPr>
              <w:t>ES-PB388</w:t>
            </w:r>
          </w:p>
        </w:tc>
        <w:tc>
          <w:tcPr>
            <w:tcW w:w="909" w:type="pct"/>
            <w:hideMark/>
          </w:tcPr>
          <w:p w14:paraId="545BAF5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1287" w:type="pct"/>
            <w:hideMark/>
          </w:tcPr>
          <w:p w14:paraId="5C624E3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Gravity – RET Increase main from 225NB</w:t>
            </w:r>
          </w:p>
        </w:tc>
        <w:tc>
          <w:tcPr>
            <w:tcW w:w="834" w:type="pct"/>
            <w:hideMark/>
          </w:tcPr>
          <w:p w14:paraId="425F2A8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57EF971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$115,200 </w:t>
            </w:r>
          </w:p>
        </w:tc>
      </w:tr>
      <w:tr w:rsidR="00BE36FB" w:rsidRPr="009B7B35" w14:paraId="5A283F3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7A3B1A9D" w14:textId="77777777" w:rsidR="00BE36FB" w:rsidRPr="009B7B35" w:rsidRDefault="00BE36FB" w:rsidP="001A7107">
            <w:pPr>
              <w:pStyle w:val="TableText"/>
              <w:rPr>
                <w:rFonts w:cs="Arial"/>
              </w:rPr>
            </w:pPr>
            <w:r w:rsidRPr="009B7B35">
              <w:rPr>
                <w:rFonts w:cs="Arial"/>
              </w:rPr>
              <w:t>ES-PB401</w:t>
            </w:r>
          </w:p>
        </w:tc>
        <w:tc>
          <w:tcPr>
            <w:tcW w:w="909" w:type="pct"/>
            <w:hideMark/>
          </w:tcPr>
          <w:p w14:paraId="4878FBC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1287" w:type="pct"/>
            <w:hideMark/>
          </w:tcPr>
          <w:p w14:paraId="6460268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STP main – Calliope</w:t>
            </w:r>
          </w:p>
        </w:tc>
        <w:tc>
          <w:tcPr>
            <w:tcW w:w="834" w:type="pct"/>
            <w:hideMark/>
          </w:tcPr>
          <w:p w14:paraId="57B236E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6AF1D29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$260,000 </w:t>
            </w:r>
          </w:p>
        </w:tc>
      </w:tr>
      <w:tr w:rsidR="00BE36FB" w:rsidRPr="009B7B35" w14:paraId="6B88905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50F38D0" w14:textId="77777777" w:rsidR="00BE36FB" w:rsidRPr="009B7B35" w:rsidRDefault="00BE36FB" w:rsidP="001A7107">
            <w:pPr>
              <w:pStyle w:val="TableText"/>
              <w:rPr>
                <w:rFonts w:cs="Arial"/>
              </w:rPr>
            </w:pPr>
            <w:r w:rsidRPr="009B7B35">
              <w:rPr>
                <w:rFonts w:cs="Arial"/>
              </w:rPr>
              <w:t>ES-PB435</w:t>
            </w:r>
          </w:p>
        </w:tc>
        <w:tc>
          <w:tcPr>
            <w:tcW w:w="909" w:type="pct"/>
            <w:hideMark/>
          </w:tcPr>
          <w:p w14:paraId="4403771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1287" w:type="pct"/>
            <w:hideMark/>
          </w:tcPr>
          <w:p w14:paraId="53FCFDB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Treatment – TS new clarifier</w:t>
            </w:r>
          </w:p>
        </w:tc>
        <w:tc>
          <w:tcPr>
            <w:tcW w:w="834" w:type="pct"/>
            <w:hideMark/>
          </w:tcPr>
          <w:p w14:paraId="2B9ECE3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2019</w:t>
            </w:r>
          </w:p>
        </w:tc>
        <w:tc>
          <w:tcPr>
            <w:tcW w:w="833" w:type="pct"/>
            <w:hideMark/>
          </w:tcPr>
          <w:p w14:paraId="065AFC2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$2,739,507 </w:t>
            </w:r>
          </w:p>
        </w:tc>
      </w:tr>
      <w:tr w:rsidR="00BE36FB" w:rsidRPr="009B7B35" w14:paraId="2A06FA8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7116B644" w14:textId="77777777" w:rsidR="00BE36FB" w:rsidRPr="009B7B35" w:rsidRDefault="00BE36FB" w:rsidP="001A7107">
            <w:pPr>
              <w:pStyle w:val="TableText"/>
              <w:rPr>
                <w:rFonts w:cs="Arial"/>
              </w:rPr>
            </w:pPr>
            <w:r w:rsidRPr="009B7B35">
              <w:rPr>
                <w:rFonts w:cs="Arial"/>
              </w:rPr>
              <w:t>ES-PB330</w:t>
            </w:r>
          </w:p>
        </w:tc>
        <w:tc>
          <w:tcPr>
            <w:tcW w:w="909" w:type="pct"/>
            <w:hideMark/>
          </w:tcPr>
          <w:p w14:paraId="0F5B4C5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PS #1, Stage 1</w:t>
            </w:r>
          </w:p>
        </w:tc>
        <w:tc>
          <w:tcPr>
            <w:tcW w:w="1287" w:type="pct"/>
            <w:hideMark/>
          </w:tcPr>
          <w:p w14:paraId="3C8D306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Upgrade storage capacity of site (emergency and operational)</w:t>
            </w:r>
          </w:p>
          <w:p w14:paraId="0F87989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Emergency storage of 110m</w:t>
            </w:r>
            <w:r w:rsidRPr="009B7B35">
              <w:rPr>
                <w:rFonts w:cs="Arial"/>
                <w:vertAlign w:val="superscript"/>
              </w:rPr>
              <w:t>3</w:t>
            </w:r>
          </w:p>
          <w:p w14:paraId="5FF6C92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Operating of 6m</w:t>
            </w:r>
            <w:r w:rsidRPr="009B7B35">
              <w:rPr>
                <w:rFonts w:cs="Arial"/>
                <w:vertAlign w:val="superscript"/>
              </w:rPr>
              <w:t xml:space="preserve">3 </w:t>
            </w:r>
          </w:p>
        </w:tc>
        <w:tc>
          <w:tcPr>
            <w:tcW w:w="834" w:type="pct"/>
            <w:hideMark/>
          </w:tcPr>
          <w:p w14:paraId="198EC7C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1592565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$558,103 </w:t>
            </w:r>
          </w:p>
        </w:tc>
      </w:tr>
      <w:tr w:rsidR="00BE36FB" w:rsidRPr="009B7B35" w14:paraId="595185F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68C70734" w14:textId="77777777" w:rsidR="00BE36FB" w:rsidRPr="009B7B35" w:rsidRDefault="00BE36FB" w:rsidP="001A7107">
            <w:pPr>
              <w:pStyle w:val="TableText"/>
              <w:rPr>
                <w:rFonts w:cs="Arial"/>
              </w:rPr>
            </w:pPr>
            <w:r w:rsidRPr="009B7B35">
              <w:rPr>
                <w:rFonts w:cs="Arial"/>
              </w:rPr>
              <w:t>ES-PB407</w:t>
            </w:r>
          </w:p>
        </w:tc>
        <w:tc>
          <w:tcPr>
            <w:tcW w:w="909" w:type="pct"/>
            <w:hideMark/>
          </w:tcPr>
          <w:p w14:paraId="366C4C2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PS #4, Stage 1</w:t>
            </w:r>
          </w:p>
        </w:tc>
        <w:tc>
          <w:tcPr>
            <w:tcW w:w="1287" w:type="pct"/>
            <w:hideMark/>
          </w:tcPr>
          <w:p w14:paraId="73B1599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Upgrade storage capacity of site (emergency and operational)</w:t>
            </w:r>
          </w:p>
          <w:p w14:paraId="75C6DA4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Emergency storage of 26m</w:t>
            </w:r>
            <w:r w:rsidRPr="009B7B35">
              <w:rPr>
                <w:rFonts w:cs="Arial"/>
                <w:vertAlign w:val="superscript"/>
              </w:rPr>
              <w:t>3</w:t>
            </w:r>
          </w:p>
          <w:p w14:paraId="68AFFF1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Operational storage of 1.3m</w:t>
            </w:r>
            <w:r w:rsidRPr="009B7B35">
              <w:rPr>
                <w:rFonts w:cs="Arial"/>
                <w:vertAlign w:val="superscript"/>
              </w:rPr>
              <w:t>3</w:t>
            </w:r>
          </w:p>
        </w:tc>
        <w:tc>
          <w:tcPr>
            <w:tcW w:w="834" w:type="pct"/>
            <w:hideMark/>
          </w:tcPr>
          <w:p w14:paraId="42DA5C4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4E13668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$269,837 </w:t>
            </w:r>
          </w:p>
        </w:tc>
      </w:tr>
      <w:tr w:rsidR="00BE36FB" w:rsidRPr="009B7B35" w14:paraId="1FB6799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78C1ECE" w14:textId="77777777" w:rsidR="00BE36FB" w:rsidRPr="009B7B35" w:rsidRDefault="00BE36FB" w:rsidP="001A7107">
            <w:pPr>
              <w:pStyle w:val="TableText"/>
              <w:rPr>
                <w:rFonts w:cs="Arial"/>
              </w:rPr>
            </w:pPr>
            <w:r w:rsidRPr="009B7B35">
              <w:rPr>
                <w:rFonts w:cs="Arial"/>
              </w:rPr>
              <w:t>ES-PB436</w:t>
            </w:r>
          </w:p>
        </w:tc>
        <w:tc>
          <w:tcPr>
            <w:tcW w:w="909" w:type="pct"/>
            <w:hideMark/>
          </w:tcPr>
          <w:p w14:paraId="45869DC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PS #6, Stage 1</w:t>
            </w:r>
          </w:p>
        </w:tc>
        <w:tc>
          <w:tcPr>
            <w:tcW w:w="1287" w:type="pct"/>
            <w:hideMark/>
          </w:tcPr>
          <w:p w14:paraId="585FA61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Relocate pump station and rising main due to development</w:t>
            </w:r>
          </w:p>
          <w:p w14:paraId="6872E50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well to have operating storage of 2m</w:t>
            </w:r>
            <w:r w:rsidRPr="009B7B35">
              <w:rPr>
                <w:rFonts w:cs="Arial"/>
                <w:vertAlign w:val="superscript"/>
              </w:rPr>
              <w:t>3</w:t>
            </w:r>
            <w:r w:rsidRPr="009B7B35">
              <w:rPr>
                <w:rFonts w:cs="Arial"/>
              </w:rPr>
              <w:t>, emergency storage 40m</w:t>
            </w:r>
            <w:r w:rsidRPr="009B7B35">
              <w:rPr>
                <w:rFonts w:cs="Arial"/>
                <w:vertAlign w:val="superscript"/>
              </w:rPr>
              <w:t>3</w:t>
            </w:r>
          </w:p>
          <w:p w14:paraId="1AC8BA8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Pumps typically 9kW</w:t>
            </w:r>
          </w:p>
          <w:p w14:paraId="21A95C8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Rising main to be 100 PVC-M</w:t>
            </w:r>
          </w:p>
        </w:tc>
        <w:tc>
          <w:tcPr>
            <w:tcW w:w="834" w:type="pct"/>
            <w:hideMark/>
          </w:tcPr>
          <w:p w14:paraId="794EC44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2015</w:t>
            </w:r>
          </w:p>
        </w:tc>
        <w:tc>
          <w:tcPr>
            <w:tcW w:w="833" w:type="pct"/>
            <w:hideMark/>
          </w:tcPr>
          <w:p w14:paraId="5DCD154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$528,705 </w:t>
            </w:r>
          </w:p>
        </w:tc>
      </w:tr>
      <w:tr w:rsidR="00BE36FB" w:rsidRPr="009B7B35" w14:paraId="6C10E19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3663A186" w14:textId="77777777" w:rsidR="00BE36FB" w:rsidRPr="009B7B35" w:rsidRDefault="00BE36FB" w:rsidP="001A7107">
            <w:pPr>
              <w:pStyle w:val="TableText"/>
              <w:rPr>
                <w:rFonts w:cs="Arial"/>
              </w:rPr>
            </w:pPr>
            <w:r w:rsidRPr="009B7B35">
              <w:rPr>
                <w:rFonts w:cs="Arial"/>
              </w:rPr>
              <w:t>ES-PB426</w:t>
            </w:r>
          </w:p>
        </w:tc>
        <w:tc>
          <w:tcPr>
            <w:tcW w:w="909" w:type="pct"/>
            <w:hideMark/>
          </w:tcPr>
          <w:p w14:paraId="27385B5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RET 6.1</w:t>
            </w:r>
          </w:p>
        </w:tc>
        <w:tc>
          <w:tcPr>
            <w:tcW w:w="1287" w:type="pct"/>
            <w:hideMark/>
          </w:tcPr>
          <w:p w14:paraId="3814BAE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New 225NB main entering new PS</w:t>
            </w:r>
          </w:p>
        </w:tc>
        <w:tc>
          <w:tcPr>
            <w:tcW w:w="834" w:type="pct"/>
            <w:hideMark/>
          </w:tcPr>
          <w:p w14:paraId="0E53D0E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2015</w:t>
            </w:r>
          </w:p>
        </w:tc>
        <w:tc>
          <w:tcPr>
            <w:tcW w:w="833" w:type="pct"/>
            <w:hideMark/>
          </w:tcPr>
          <w:p w14:paraId="4082916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$143,474 </w:t>
            </w:r>
          </w:p>
        </w:tc>
      </w:tr>
      <w:tr w:rsidR="00BE36FB" w:rsidRPr="009B7B35" w14:paraId="64BD38C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EAAB757" w14:textId="77777777" w:rsidR="00BE36FB" w:rsidRPr="009B7B35" w:rsidRDefault="00BE36FB" w:rsidP="001A7107">
            <w:pPr>
              <w:pStyle w:val="TableText"/>
              <w:rPr>
                <w:rFonts w:cs="Arial"/>
              </w:rPr>
            </w:pPr>
            <w:r w:rsidRPr="009B7B35">
              <w:rPr>
                <w:rFonts w:cs="Arial"/>
              </w:rPr>
              <w:t>ES-PB427</w:t>
            </w:r>
          </w:p>
        </w:tc>
        <w:tc>
          <w:tcPr>
            <w:tcW w:w="909" w:type="pct"/>
            <w:hideMark/>
          </w:tcPr>
          <w:p w14:paraId="5648770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RET 7.1</w:t>
            </w:r>
          </w:p>
        </w:tc>
        <w:tc>
          <w:tcPr>
            <w:tcW w:w="1287" w:type="pct"/>
            <w:hideMark/>
          </w:tcPr>
          <w:p w14:paraId="350AE2A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375NB trunk main in Catchment 7</w:t>
            </w:r>
          </w:p>
        </w:tc>
        <w:tc>
          <w:tcPr>
            <w:tcW w:w="834" w:type="pct"/>
            <w:hideMark/>
          </w:tcPr>
          <w:p w14:paraId="7DA68A8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2015</w:t>
            </w:r>
          </w:p>
        </w:tc>
        <w:tc>
          <w:tcPr>
            <w:tcW w:w="833" w:type="pct"/>
            <w:hideMark/>
          </w:tcPr>
          <w:p w14:paraId="791CE65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$394,884 </w:t>
            </w:r>
          </w:p>
        </w:tc>
      </w:tr>
      <w:tr w:rsidR="00BE36FB" w:rsidRPr="009B7B35" w14:paraId="079056B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4A38D5EE" w14:textId="77777777" w:rsidR="00BE36FB" w:rsidRPr="009B7B35" w:rsidRDefault="00BE36FB" w:rsidP="001A7107">
            <w:pPr>
              <w:pStyle w:val="TableText"/>
              <w:rPr>
                <w:rFonts w:cs="Arial"/>
              </w:rPr>
            </w:pPr>
            <w:r w:rsidRPr="009B7B35">
              <w:rPr>
                <w:rFonts w:cs="Arial"/>
              </w:rPr>
              <w:t>ES-PB428</w:t>
            </w:r>
          </w:p>
        </w:tc>
        <w:tc>
          <w:tcPr>
            <w:tcW w:w="909" w:type="pct"/>
            <w:hideMark/>
          </w:tcPr>
          <w:p w14:paraId="0173F3E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RET 7.2</w:t>
            </w:r>
          </w:p>
        </w:tc>
        <w:tc>
          <w:tcPr>
            <w:tcW w:w="1287" w:type="pct"/>
            <w:hideMark/>
          </w:tcPr>
          <w:p w14:paraId="5861136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New 300NB trunk main in Catchment 7</w:t>
            </w:r>
          </w:p>
        </w:tc>
        <w:tc>
          <w:tcPr>
            <w:tcW w:w="834" w:type="pct"/>
            <w:hideMark/>
          </w:tcPr>
          <w:p w14:paraId="1F33180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2015</w:t>
            </w:r>
          </w:p>
        </w:tc>
        <w:tc>
          <w:tcPr>
            <w:tcW w:w="833" w:type="pct"/>
            <w:hideMark/>
          </w:tcPr>
          <w:p w14:paraId="062D011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$542,307 </w:t>
            </w:r>
          </w:p>
        </w:tc>
      </w:tr>
      <w:tr w:rsidR="00BE36FB" w:rsidRPr="009B7B35" w14:paraId="610793D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475C0951" w14:textId="77777777" w:rsidR="00BE36FB" w:rsidRPr="009B7B35" w:rsidRDefault="00BE36FB" w:rsidP="001A7107">
            <w:pPr>
              <w:pStyle w:val="TableText"/>
              <w:rPr>
                <w:rFonts w:cs="Arial"/>
              </w:rPr>
            </w:pPr>
            <w:r w:rsidRPr="009B7B35">
              <w:rPr>
                <w:rFonts w:cs="Arial"/>
              </w:rPr>
              <w:t>ES-PB430</w:t>
            </w:r>
          </w:p>
        </w:tc>
        <w:tc>
          <w:tcPr>
            <w:tcW w:w="909" w:type="pct"/>
            <w:hideMark/>
          </w:tcPr>
          <w:p w14:paraId="30DE49E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RET 7.3</w:t>
            </w:r>
          </w:p>
        </w:tc>
        <w:tc>
          <w:tcPr>
            <w:tcW w:w="1287" w:type="pct"/>
            <w:hideMark/>
          </w:tcPr>
          <w:p w14:paraId="5AC62F2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225NB trunk main in Catchment 7</w:t>
            </w:r>
          </w:p>
        </w:tc>
        <w:tc>
          <w:tcPr>
            <w:tcW w:w="834" w:type="pct"/>
            <w:hideMark/>
          </w:tcPr>
          <w:p w14:paraId="000CF91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2015</w:t>
            </w:r>
          </w:p>
        </w:tc>
        <w:tc>
          <w:tcPr>
            <w:tcW w:w="833" w:type="pct"/>
            <w:hideMark/>
          </w:tcPr>
          <w:p w14:paraId="0CBD9B9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$172,432 </w:t>
            </w:r>
          </w:p>
        </w:tc>
      </w:tr>
      <w:tr w:rsidR="00BE36FB" w:rsidRPr="009B7B35" w14:paraId="7CAD673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7ABFF411" w14:textId="77777777" w:rsidR="00BE36FB" w:rsidRPr="009B7B35" w:rsidRDefault="00BE36FB" w:rsidP="001A7107">
            <w:pPr>
              <w:pStyle w:val="TableText"/>
              <w:rPr>
                <w:rFonts w:cs="Arial"/>
              </w:rPr>
            </w:pPr>
            <w:r w:rsidRPr="009B7B35">
              <w:rPr>
                <w:rFonts w:cs="Arial"/>
              </w:rPr>
              <w:t>ES-PB403</w:t>
            </w:r>
          </w:p>
        </w:tc>
        <w:tc>
          <w:tcPr>
            <w:tcW w:w="909" w:type="pct"/>
            <w:hideMark/>
          </w:tcPr>
          <w:p w14:paraId="3103310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Effluent reuse schemes</w:t>
            </w:r>
          </w:p>
        </w:tc>
        <w:tc>
          <w:tcPr>
            <w:tcW w:w="1287" w:type="pct"/>
            <w:hideMark/>
          </w:tcPr>
          <w:p w14:paraId="627DA9B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This is some of the area currently being irrigated, need to improve Golf Club irrigation capabilities</w:t>
            </w:r>
          </w:p>
        </w:tc>
        <w:tc>
          <w:tcPr>
            <w:tcW w:w="834" w:type="pct"/>
            <w:hideMark/>
          </w:tcPr>
          <w:p w14:paraId="09E5DF0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2017</w:t>
            </w:r>
          </w:p>
        </w:tc>
        <w:tc>
          <w:tcPr>
            <w:tcW w:w="833" w:type="pct"/>
            <w:hideMark/>
          </w:tcPr>
          <w:p w14:paraId="52AAC75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$1,053,024 </w:t>
            </w:r>
          </w:p>
        </w:tc>
      </w:tr>
      <w:tr w:rsidR="00BE36FB" w:rsidRPr="009B7B35" w14:paraId="3271ABB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35D54F7" w14:textId="77777777" w:rsidR="00BE36FB" w:rsidRPr="009B7B35" w:rsidRDefault="00BE36FB" w:rsidP="001A7107">
            <w:pPr>
              <w:pStyle w:val="TableText"/>
              <w:rPr>
                <w:rFonts w:cs="Arial"/>
              </w:rPr>
            </w:pPr>
            <w:r w:rsidRPr="009B7B35">
              <w:rPr>
                <w:rFonts w:cs="Arial"/>
              </w:rPr>
              <w:t>ES-PB409</w:t>
            </w:r>
          </w:p>
        </w:tc>
        <w:tc>
          <w:tcPr>
            <w:tcW w:w="909" w:type="pct"/>
            <w:hideMark/>
          </w:tcPr>
          <w:p w14:paraId="4E91532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PS #9, Stage 1</w:t>
            </w:r>
          </w:p>
        </w:tc>
        <w:tc>
          <w:tcPr>
            <w:tcW w:w="1287" w:type="pct"/>
            <w:hideMark/>
          </w:tcPr>
          <w:p w14:paraId="3831088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Pump effluent to STP via Don Cameron Drive</w:t>
            </w:r>
          </w:p>
          <w:p w14:paraId="4C21878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Pumps at 10.2l/s @ 39m, typically 70kW</w:t>
            </w:r>
          </w:p>
          <w:p w14:paraId="3D580C8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Emergency of 40m</w:t>
            </w:r>
            <w:r w:rsidRPr="009B7B35">
              <w:rPr>
                <w:rFonts w:cs="Arial"/>
                <w:vertAlign w:val="superscript"/>
              </w:rPr>
              <w:t>3</w:t>
            </w:r>
          </w:p>
          <w:p w14:paraId="75E52E0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Operating of 1.5m</w:t>
            </w:r>
            <w:r w:rsidRPr="009B7B35">
              <w:rPr>
                <w:rFonts w:cs="Arial"/>
                <w:vertAlign w:val="superscript"/>
              </w:rPr>
              <w:t>3</w:t>
            </w:r>
          </w:p>
          <w:p w14:paraId="7424532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Rising main of 100 PVC-M, 10000m</w:t>
            </w:r>
          </w:p>
        </w:tc>
        <w:tc>
          <w:tcPr>
            <w:tcW w:w="834" w:type="pct"/>
            <w:hideMark/>
          </w:tcPr>
          <w:p w14:paraId="3096120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2015</w:t>
            </w:r>
          </w:p>
        </w:tc>
        <w:tc>
          <w:tcPr>
            <w:tcW w:w="833" w:type="pct"/>
            <w:hideMark/>
          </w:tcPr>
          <w:p w14:paraId="083D4AF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$1,179,387 </w:t>
            </w:r>
          </w:p>
        </w:tc>
      </w:tr>
      <w:tr w:rsidR="00BE36FB" w:rsidRPr="009B7B35" w14:paraId="7AF4749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4DD557FB" w14:textId="77777777" w:rsidR="00BE36FB" w:rsidRPr="009B7B35" w:rsidRDefault="00BE36FB" w:rsidP="001A7107">
            <w:pPr>
              <w:pStyle w:val="TableText"/>
              <w:rPr>
                <w:rFonts w:cs="Arial"/>
              </w:rPr>
            </w:pPr>
            <w:r w:rsidRPr="009B7B35">
              <w:rPr>
                <w:rFonts w:cs="Arial"/>
              </w:rPr>
              <w:t>ES-PB399</w:t>
            </w:r>
          </w:p>
        </w:tc>
        <w:tc>
          <w:tcPr>
            <w:tcW w:w="909" w:type="pct"/>
            <w:hideMark/>
          </w:tcPr>
          <w:p w14:paraId="0C9D237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RET 1.3</w:t>
            </w:r>
          </w:p>
        </w:tc>
        <w:tc>
          <w:tcPr>
            <w:tcW w:w="1287" w:type="pct"/>
            <w:hideMark/>
          </w:tcPr>
          <w:p w14:paraId="036703B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New 225NB main from Herbertson Road to Muirhead Street servicing sub catchment 1A</w:t>
            </w:r>
          </w:p>
        </w:tc>
        <w:tc>
          <w:tcPr>
            <w:tcW w:w="834" w:type="pct"/>
            <w:hideMark/>
          </w:tcPr>
          <w:p w14:paraId="2206821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6EBA44F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$225,084 </w:t>
            </w:r>
          </w:p>
        </w:tc>
      </w:tr>
      <w:tr w:rsidR="00BE36FB" w:rsidRPr="009B7B35" w14:paraId="53183B1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0F28F1C3" w14:textId="77777777" w:rsidR="00BE36FB" w:rsidRPr="009B7B35" w:rsidRDefault="00BE36FB" w:rsidP="001A7107">
            <w:pPr>
              <w:pStyle w:val="TableText"/>
              <w:rPr>
                <w:rFonts w:cs="Arial"/>
              </w:rPr>
            </w:pPr>
            <w:r w:rsidRPr="009B7B35">
              <w:rPr>
                <w:rFonts w:cs="Arial"/>
              </w:rPr>
              <w:t>ES-PB404</w:t>
            </w:r>
          </w:p>
        </w:tc>
        <w:tc>
          <w:tcPr>
            <w:tcW w:w="909" w:type="pct"/>
            <w:hideMark/>
          </w:tcPr>
          <w:p w14:paraId="30CF8EE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Wet weather storage</w:t>
            </w:r>
          </w:p>
        </w:tc>
        <w:tc>
          <w:tcPr>
            <w:tcW w:w="1287" w:type="pct"/>
            <w:hideMark/>
          </w:tcPr>
          <w:p w14:paraId="25A9C4D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Construct 30ML storage in addition to existing</w:t>
            </w:r>
          </w:p>
        </w:tc>
        <w:tc>
          <w:tcPr>
            <w:tcW w:w="834" w:type="pct"/>
            <w:hideMark/>
          </w:tcPr>
          <w:p w14:paraId="7CF1BAF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609F1C9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$1,447,908 </w:t>
            </w:r>
          </w:p>
        </w:tc>
      </w:tr>
      <w:tr w:rsidR="00BE36FB" w:rsidRPr="009B7B35" w14:paraId="5AC2F1B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63A0060C" w14:textId="77777777" w:rsidR="00BE36FB" w:rsidRPr="009B7B35" w:rsidRDefault="00BE36FB" w:rsidP="001A7107">
            <w:pPr>
              <w:pStyle w:val="TableText"/>
              <w:rPr>
                <w:rFonts w:cs="Arial"/>
              </w:rPr>
            </w:pPr>
            <w:r w:rsidRPr="009B7B35">
              <w:rPr>
                <w:rFonts w:cs="Arial"/>
              </w:rPr>
              <w:t>ES-PB431</w:t>
            </w:r>
          </w:p>
        </w:tc>
        <w:tc>
          <w:tcPr>
            <w:tcW w:w="909" w:type="pct"/>
            <w:hideMark/>
          </w:tcPr>
          <w:p w14:paraId="0D14DDA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RET 7.4</w:t>
            </w:r>
          </w:p>
        </w:tc>
        <w:tc>
          <w:tcPr>
            <w:tcW w:w="1287" w:type="pct"/>
            <w:hideMark/>
          </w:tcPr>
          <w:p w14:paraId="7487A9E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Regrade existing 'flat' main to gain additional flow capacity</w:t>
            </w:r>
          </w:p>
        </w:tc>
        <w:tc>
          <w:tcPr>
            <w:tcW w:w="834" w:type="pct"/>
            <w:hideMark/>
          </w:tcPr>
          <w:p w14:paraId="138DEE2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2015</w:t>
            </w:r>
          </w:p>
        </w:tc>
        <w:tc>
          <w:tcPr>
            <w:tcW w:w="833" w:type="pct"/>
            <w:hideMark/>
          </w:tcPr>
          <w:p w14:paraId="46F5B23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$145,944 </w:t>
            </w:r>
          </w:p>
        </w:tc>
      </w:tr>
      <w:tr w:rsidR="00BE36FB" w:rsidRPr="009B7B35" w14:paraId="0938388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03BF3453" w14:textId="77777777" w:rsidR="00BE36FB" w:rsidRPr="009B7B35" w:rsidRDefault="00BE36FB" w:rsidP="001A7107">
            <w:pPr>
              <w:pStyle w:val="TableText"/>
              <w:rPr>
                <w:rFonts w:cs="Arial"/>
              </w:rPr>
            </w:pPr>
            <w:r w:rsidRPr="009B7B35">
              <w:rPr>
                <w:rFonts w:cs="Arial"/>
              </w:rPr>
              <w:t>ES-PB391</w:t>
            </w:r>
          </w:p>
        </w:tc>
        <w:tc>
          <w:tcPr>
            <w:tcW w:w="909" w:type="pct"/>
            <w:hideMark/>
          </w:tcPr>
          <w:p w14:paraId="594714E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RET 1.5</w:t>
            </w:r>
          </w:p>
        </w:tc>
        <w:tc>
          <w:tcPr>
            <w:tcW w:w="1287" w:type="pct"/>
            <w:hideMark/>
          </w:tcPr>
          <w:p w14:paraId="16F9464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225NB main servicing catchment 1D and 1E</w:t>
            </w:r>
          </w:p>
        </w:tc>
        <w:tc>
          <w:tcPr>
            <w:tcW w:w="834" w:type="pct"/>
            <w:hideMark/>
          </w:tcPr>
          <w:p w14:paraId="74099DE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14:paraId="2FFC9DA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$157,953 </w:t>
            </w:r>
          </w:p>
        </w:tc>
      </w:tr>
      <w:tr w:rsidR="00BE36FB" w:rsidRPr="009B7B35" w14:paraId="1B30891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4CDD635E" w14:textId="77777777" w:rsidR="00BE36FB" w:rsidRPr="009B7B35" w:rsidRDefault="00BE36FB" w:rsidP="001A7107">
            <w:pPr>
              <w:pStyle w:val="TableText"/>
              <w:rPr>
                <w:rFonts w:cs="Arial"/>
              </w:rPr>
            </w:pPr>
            <w:r w:rsidRPr="009B7B35">
              <w:rPr>
                <w:rFonts w:cs="Arial"/>
              </w:rPr>
              <w:t>ES-PB410</w:t>
            </w:r>
          </w:p>
        </w:tc>
        <w:tc>
          <w:tcPr>
            <w:tcW w:w="909" w:type="pct"/>
            <w:hideMark/>
          </w:tcPr>
          <w:p w14:paraId="6439DC3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Effluent reuse schemes</w:t>
            </w:r>
          </w:p>
        </w:tc>
        <w:tc>
          <w:tcPr>
            <w:tcW w:w="1287" w:type="pct"/>
            <w:hideMark/>
          </w:tcPr>
          <w:p w14:paraId="1AC15C3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Requires increase of treatment capacity to Class A+</w:t>
            </w:r>
          </w:p>
        </w:tc>
        <w:tc>
          <w:tcPr>
            <w:tcW w:w="834" w:type="pct"/>
            <w:hideMark/>
          </w:tcPr>
          <w:p w14:paraId="06FB224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w:t>
            </w:r>
          </w:p>
        </w:tc>
        <w:tc>
          <w:tcPr>
            <w:tcW w:w="833" w:type="pct"/>
            <w:hideMark/>
          </w:tcPr>
          <w:p w14:paraId="6B5E495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$6,293,464 </w:t>
            </w:r>
          </w:p>
        </w:tc>
      </w:tr>
      <w:tr w:rsidR="00BE36FB" w:rsidRPr="009B7B35" w14:paraId="2B6161A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3008F6C7" w14:textId="77777777" w:rsidR="00BE36FB" w:rsidRPr="009B7B35" w:rsidRDefault="00BE36FB" w:rsidP="001A7107">
            <w:pPr>
              <w:pStyle w:val="TableText"/>
              <w:rPr>
                <w:rFonts w:cs="Arial"/>
              </w:rPr>
            </w:pPr>
            <w:r w:rsidRPr="009B7B35">
              <w:rPr>
                <w:rFonts w:cs="Arial"/>
              </w:rPr>
              <w:t>ES-PB424</w:t>
            </w:r>
          </w:p>
        </w:tc>
        <w:tc>
          <w:tcPr>
            <w:tcW w:w="909" w:type="pct"/>
            <w:hideMark/>
          </w:tcPr>
          <w:p w14:paraId="62EFF09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MISC1</w:t>
            </w:r>
          </w:p>
        </w:tc>
        <w:tc>
          <w:tcPr>
            <w:tcW w:w="1287" w:type="pct"/>
            <w:hideMark/>
          </w:tcPr>
          <w:p w14:paraId="29ED582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Possible Council contributions to 9" mains</w:t>
            </w:r>
          </w:p>
        </w:tc>
        <w:tc>
          <w:tcPr>
            <w:tcW w:w="834" w:type="pct"/>
            <w:hideMark/>
          </w:tcPr>
          <w:p w14:paraId="115A8ED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2015</w:t>
            </w:r>
          </w:p>
        </w:tc>
        <w:tc>
          <w:tcPr>
            <w:tcW w:w="833" w:type="pct"/>
            <w:hideMark/>
          </w:tcPr>
          <w:p w14:paraId="5A27291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$218,750 </w:t>
            </w:r>
          </w:p>
        </w:tc>
      </w:tr>
      <w:tr w:rsidR="00BE36FB" w:rsidRPr="009B7B35" w14:paraId="31D1097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1EB2F62" w14:textId="77777777" w:rsidR="00BE36FB" w:rsidRPr="009B7B35" w:rsidRDefault="00BE36FB" w:rsidP="001A7107">
            <w:pPr>
              <w:pStyle w:val="TableText"/>
              <w:rPr>
                <w:rFonts w:cs="Arial"/>
              </w:rPr>
            </w:pPr>
            <w:r w:rsidRPr="009B7B35">
              <w:rPr>
                <w:rFonts w:cs="Arial"/>
              </w:rPr>
              <w:t>ES-PB416</w:t>
            </w:r>
          </w:p>
        </w:tc>
        <w:tc>
          <w:tcPr>
            <w:tcW w:w="909" w:type="pct"/>
            <w:hideMark/>
          </w:tcPr>
          <w:p w14:paraId="4685B0E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PS #2, Stage 2</w:t>
            </w:r>
          </w:p>
        </w:tc>
        <w:tc>
          <w:tcPr>
            <w:tcW w:w="1287" w:type="pct"/>
            <w:hideMark/>
          </w:tcPr>
          <w:p w14:paraId="11E0296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Reroute station to #9</w:t>
            </w:r>
          </w:p>
          <w:p w14:paraId="5FA1BAB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Downsize pumps to 7KW (20l/s @ 13m)</w:t>
            </w:r>
          </w:p>
          <w:p w14:paraId="5A86192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Rising main to be 150mm PVC-M</w:t>
            </w:r>
          </w:p>
        </w:tc>
        <w:tc>
          <w:tcPr>
            <w:tcW w:w="834" w:type="pct"/>
            <w:hideMark/>
          </w:tcPr>
          <w:p w14:paraId="658029B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2017</w:t>
            </w:r>
          </w:p>
        </w:tc>
        <w:tc>
          <w:tcPr>
            <w:tcW w:w="833" w:type="pct"/>
            <w:hideMark/>
          </w:tcPr>
          <w:p w14:paraId="00CC1F1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$370,204 </w:t>
            </w:r>
          </w:p>
        </w:tc>
      </w:tr>
      <w:tr w:rsidR="00BE36FB" w:rsidRPr="009B7B35" w14:paraId="19E4031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3B6449AF" w14:textId="77777777" w:rsidR="00BE36FB" w:rsidRPr="009B7B35" w:rsidRDefault="00BE36FB" w:rsidP="001A7107">
            <w:pPr>
              <w:pStyle w:val="TableText"/>
              <w:rPr>
                <w:rFonts w:cs="Arial"/>
              </w:rPr>
            </w:pPr>
            <w:r w:rsidRPr="009B7B35">
              <w:rPr>
                <w:rFonts w:cs="Arial"/>
              </w:rPr>
              <w:t>ES-PB423</w:t>
            </w:r>
          </w:p>
        </w:tc>
        <w:tc>
          <w:tcPr>
            <w:tcW w:w="909" w:type="pct"/>
            <w:hideMark/>
          </w:tcPr>
          <w:p w14:paraId="116B99C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PS #9, Stage 2</w:t>
            </w:r>
          </w:p>
        </w:tc>
        <w:tc>
          <w:tcPr>
            <w:tcW w:w="1287" w:type="pct"/>
            <w:hideMark/>
          </w:tcPr>
          <w:p w14:paraId="67F819B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Pump effluent to Tannum Sands STP</w:t>
            </w:r>
          </w:p>
          <w:p w14:paraId="3400B12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well operating storage of 7m</w:t>
            </w:r>
            <w:r w:rsidRPr="009B7B35">
              <w:rPr>
                <w:rFonts w:cs="Arial"/>
                <w:vertAlign w:val="superscript"/>
              </w:rPr>
              <w:t>3</w:t>
            </w:r>
            <w:r w:rsidRPr="009B7B35">
              <w:rPr>
                <w:rFonts w:cs="Arial"/>
              </w:rPr>
              <w:t>, emergency storage of 140m</w:t>
            </w:r>
            <w:r w:rsidRPr="009B7B35">
              <w:rPr>
                <w:rFonts w:cs="Arial"/>
                <w:vertAlign w:val="superscript"/>
              </w:rPr>
              <w:t>3</w:t>
            </w:r>
          </w:p>
          <w:p w14:paraId="19989C7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Pumpset to 46l/s @ 68m, typically 120kW</w:t>
            </w:r>
          </w:p>
          <w:p w14:paraId="0EB7CB7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Rising main 200 PVC-M</w:t>
            </w:r>
          </w:p>
        </w:tc>
        <w:tc>
          <w:tcPr>
            <w:tcW w:w="834" w:type="pct"/>
            <w:hideMark/>
          </w:tcPr>
          <w:p w14:paraId="3C05513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14:paraId="3309CC0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$9,416,886 </w:t>
            </w:r>
          </w:p>
        </w:tc>
      </w:tr>
      <w:tr w:rsidR="00BE36FB" w:rsidRPr="009B7B35" w14:paraId="4540085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B57D3E3" w14:textId="77777777" w:rsidR="00BE36FB" w:rsidRPr="009B7B35" w:rsidRDefault="00BE36FB" w:rsidP="001A7107">
            <w:pPr>
              <w:pStyle w:val="TableText"/>
              <w:rPr>
                <w:rFonts w:cs="Arial"/>
              </w:rPr>
            </w:pPr>
            <w:r w:rsidRPr="009B7B35">
              <w:rPr>
                <w:rFonts w:cs="Arial"/>
              </w:rPr>
              <w:t>ES-PB438</w:t>
            </w:r>
          </w:p>
        </w:tc>
        <w:tc>
          <w:tcPr>
            <w:tcW w:w="909" w:type="pct"/>
            <w:hideMark/>
          </w:tcPr>
          <w:p w14:paraId="5368845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PS #10, Stage 1</w:t>
            </w:r>
          </w:p>
        </w:tc>
        <w:tc>
          <w:tcPr>
            <w:tcW w:w="1287" w:type="pct"/>
            <w:hideMark/>
          </w:tcPr>
          <w:p w14:paraId="6BA974B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Construct New Station</w:t>
            </w:r>
          </w:p>
          <w:p w14:paraId="5EEE6C8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Divert #5 into catchment</w:t>
            </w:r>
          </w:p>
          <w:p w14:paraId="7BC6B37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Pumpset required 15l/s @ 23m, typically 10kW</w:t>
            </w:r>
          </w:p>
          <w:p w14:paraId="10E0959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Rising main 100mm</w:t>
            </w:r>
          </w:p>
          <w:p w14:paraId="12D7409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Emergency storage = 43m</w:t>
            </w:r>
            <w:r w:rsidRPr="009B7B35">
              <w:rPr>
                <w:rFonts w:cs="Arial"/>
                <w:vertAlign w:val="superscript"/>
              </w:rPr>
              <w:t>3</w:t>
            </w:r>
          </w:p>
          <w:p w14:paraId="66D56A9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Operating of 2.2m</w:t>
            </w:r>
            <w:r w:rsidRPr="009B7B35">
              <w:rPr>
                <w:rFonts w:cs="Arial"/>
                <w:vertAlign w:val="superscript"/>
              </w:rPr>
              <w:t>3</w:t>
            </w:r>
            <w:r w:rsidRPr="009B7B35">
              <w:rPr>
                <w:rFonts w:cs="Arial"/>
              </w:rPr>
              <w:t xml:space="preserve"> </w:t>
            </w:r>
          </w:p>
        </w:tc>
        <w:tc>
          <w:tcPr>
            <w:tcW w:w="834" w:type="pct"/>
            <w:hideMark/>
          </w:tcPr>
          <w:p w14:paraId="24673A9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2018</w:t>
            </w:r>
          </w:p>
        </w:tc>
        <w:tc>
          <w:tcPr>
            <w:tcW w:w="833" w:type="pct"/>
            <w:hideMark/>
          </w:tcPr>
          <w:p w14:paraId="273F5F8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$876,971 </w:t>
            </w:r>
          </w:p>
        </w:tc>
      </w:tr>
      <w:tr w:rsidR="00BE36FB" w:rsidRPr="009B7B35" w14:paraId="3BA5556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448C0290" w14:textId="77777777" w:rsidR="00BE36FB" w:rsidRPr="009B7B35" w:rsidRDefault="00BE36FB" w:rsidP="001A7107">
            <w:pPr>
              <w:pStyle w:val="TableText"/>
              <w:rPr>
                <w:rFonts w:cs="Arial"/>
              </w:rPr>
            </w:pPr>
            <w:r w:rsidRPr="009B7B35">
              <w:rPr>
                <w:rFonts w:cs="Arial"/>
              </w:rPr>
              <w:t>ES-PB434</w:t>
            </w:r>
          </w:p>
        </w:tc>
        <w:tc>
          <w:tcPr>
            <w:tcW w:w="909" w:type="pct"/>
            <w:hideMark/>
          </w:tcPr>
          <w:p w14:paraId="4A4B20C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Additional clarifiers</w:t>
            </w:r>
          </w:p>
        </w:tc>
        <w:tc>
          <w:tcPr>
            <w:tcW w:w="1287" w:type="pct"/>
            <w:hideMark/>
          </w:tcPr>
          <w:p w14:paraId="3F367E8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Duplicate clarifiers to bring plant capacity to 15,000EP</w:t>
            </w:r>
          </w:p>
        </w:tc>
        <w:tc>
          <w:tcPr>
            <w:tcW w:w="834" w:type="pct"/>
            <w:hideMark/>
          </w:tcPr>
          <w:p w14:paraId="28A0553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2018</w:t>
            </w:r>
          </w:p>
        </w:tc>
        <w:tc>
          <w:tcPr>
            <w:tcW w:w="833" w:type="pct"/>
            <w:hideMark/>
          </w:tcPr>
          <w:p w14:paraId="29F1C87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$814,448 </w:t>
            </w:r>
          </w:p>
        </w:tc>
      </w:tr>
      <w:tr w:rsidR="00BE36FB" w:rsidRPr="009B7B35" w14:paraId="0CBD549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0C92847" w14:textId="77777777" w:rsidR="00BE36FB" w:rsidRPr="009B7B35" w:rsidRDefault="00BE36FB" w:rsidP="001A7107">
            <w:pPr>
              <w:pStyle w:val="TableText"/>
              <w:rPr>
                <w:rFonts w:cs="Arial"/>
              </w:rPr>
            </w:pPr>
            <w:r w:rsidRPr="009B7B35">
              <w:rPr>
                <w:rFonts w:cs="Arial"/>
              </w:rPr>
              <w:t>ES-PB432</w:t>
            </w:r>
          </w:p>
        </w:tc>
        <w:tc>
          <w:tcPr>
            <w:tcW w:w="909" w:type="pct"/>
            <w:hideMark/>
          </w:tcPr>
          <w:p w14:paraId="501B14E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PS #5, Stage 2</w:t>
            </w:r>
          </w:p>
        </w:tc>
        <w:tc>
          <w:tcPr>
            <w:tcW w:w="1287" w:type="pct"/>
            <w:hideMark/>
          </w:tcPr>
          <w:p w14:paraId="39FE4F2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Re-route rising main to PS10</w:t>
            </w:r>
          </w:p>
          <w:p w14:paraId="6C2EF4C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Smaller pumps can be installed (typically 4kW)</w:t>
            </w:r>
          </w:p>
          <w:p w14:paraId="6070D12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Rising main to be 90 OD Poly</w:t>
            </w:r>
          </w:p>
        </w:tc>
        <w:tc>
          <w:tcPr>
            <w:tcW w:w="834" w:type="pct"/>
            <w:hideMark/>
          </w:tcPr>
          <w:p w14:paraId="6313B53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2018</w:t>
            </w:r>
          </w:p>
        </w:tc>
        <w:tc>
          <w:tcPr>
            <w:tcW w:w="833" w:type="pct"/>
            <w:hideMark/>
          </w:tcPr>
          <w:p w14:paraId="061C74E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$202,926 </w:t>
            </w:r>
          </w:p>
        </w:tc>
      </w:tr>
      <w:tr w:rsidR="00BE36FB" w:rsidRPr="009B7B35" w14:paraId="2BB6F5B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6626E02" w14:textId="77777777" w:rsidR="00BE36FB" w:rsidRPr="009B7B35" w:rsidRDefault="00BE36FB" w:rsidP="001A7107">
            <w:pPr>
              <w:pStyle w:val="TableText"/>
              <w:rPr>
                <w:rFonts w:cs="Arial"/>
              </w:rPr>
            </w:pPr>
            <w:r w:rsidRPr="009B7B35">
              <w:rPr>
                <w:rFonts w:cs="Arial"/>
              </w:rPr>
              <w:t>ES-PB436</w:t>
            </w:r>
          </w:p>
        </w:tc>
        <w:tc>
          <w:tcPr>
            <w:tcW w:w="909" w:type="pct"/>
            <w:hideMark/>
          </w:tcPr>
          <w:p w14:paraId="19231E1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PS #6, Stage 2</w:t>
            </w:r>
          </w:p>
        </w:tc>
        <w:tc>
          <w:tcPr>
            <w:tcW w:w="1287" w:type="pct"/>
            <w:hideMark/>
          </w:tcPr>
          <w:p w14:paraId="734535C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Relocate the rising main due to Calliope STP capacity being reached</w:t>
            </w:r>
          </w:p>
          <w:p w14:paraId="412C4D8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rising main to be 100PVC-M</w:t>
            </w:r>
          </w:p>
          <w:p w14:paraId="5BA7569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New pumps required due to elevation, typically 62kW</w:t>
            </w:r>
          </w:p>
        </w:tc>
        <w:tc>
          <w:tcPr>
            <w:tcW w:w="834" w:type="pct"/>
            <w:hideMark/>
          </w:tcPr>
          <w:p w14:paraId="3DB0AB5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2033</w:t>
            </w:r>
          </w:p>
        </w:tc>
        <w:tc>
          <w:tcPr>
            <w:tcW w:w="833" w:type="pct"/>
            <w:hideMark/>
          </w:tcPr>
          <w:p w14:paraId="3DA9874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$1,010,705 </w:t>
            </w:r>
          </w:p>
        </w:tc>
      </w:tr>
      <w:tr w:rsidR="00BE36FB" w:rsidRPr="009B7B35" w14:paraId="51F9114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4FC9E22" w14:textId="77777777" w:rsidR="00BE36FB" w:rsidRPr="009B7B35" w:rsidRDefault="00BE36FB" w:rsidP="001A7107">
            <w:pPr>
              <w:pStyle w:val="TableText"/>
              <w:rPr>
                <w:rFonts w:cs="Arial"/>
              </w:rPr>
            </w:pPr>
            <w:r w:rsidRPr="009B7B35">
              <w:rPr>
                <w:rFonts w:cs="Arial"/>
              </w:rPr>
              <w:t>ES-PB393</w:t>
            </w:r>
          </w:p>
        </w:tc>
        <w:tc>
          <w:tcPr>
            <w:tcW w:w="909" w:type="pct"/>
            <w:hideMark/>
          </w:tcPr>
          <w:p w14:paraId="0A4B4A7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Boyne Island pump station No. 2 upgrade</w:t>
            </w:r>
          </w:p>
        </w:tc>
        <w:tc>
          <w:tcPr>
            <w:tcW w:w="1287" w:type="pct"/>
            <w:hideMark/>
          </w:tcPr>
          <w:p w14:paraId="0575192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834" w:type="pct"/>
            <w:hideMark/>
          </w:tcPr>
          <w:p w14:paraId="7852465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0761E77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$263,256 </w:t>
            </w:r>
          </w:p>
        </w:tc>
      </w:tr>
      <w:tr w:rsidR="00BE36FB" w:rsidRPr="009B7B35" w14:paraId="73B919F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B17A25C" w14:textId="77777777" w:rsidR="00BE36FB" w:rsidRPr="009B7B35" w:rsidRDefault="00BE36FB" w:rsidP="001A7107">
            <w:pPr>
              <w:pStyle w:val="TableText"/>
              <w:rPr>
                <w:rFonts w:cs="Arial"/>
              </w:rPr>
            </w:pPr>
            <w:r w:rsidRPr="009B7B35">
              <w:rPr>
                <w:rFonts w:cs="Arial"/>
              </w:rPr>
              <w:t>ES-PB392</w:t>
            </w:r>
          </w:p>
        </w:tc>
        <w:tc>
          <w:tcPr>
            <w:tcW w:w="909" w:type="pct"/>
            <w:hideMark/>
          </w:tcPr>
          <w:p w14:paraId="34BC82A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Boyne Island improve lagoon capacity (lining)</w:t>
            </w:r>
          </w:p>
        </w:tc>
        <w:tc>
          <w:tcPr>
            <w:tcW w:w="1287" w:type="pct"/>
            <w:hideMark/>
          </w:tcPr>
          <w:p w14:paraId="3EED3BB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834" w:type="pct"/>
            <w:hideMark/>
          </w:tcPr>
          <w:p w14:paraId="2E18259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6F67948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$197,442 </w:t>
            </w:r>
          </w:p>
        </w:tc>
      </w:tr>
      <w:tr w:rsidR="00BE36FB" w:rsidRPr="009B7B35" w14:paraId="0319670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1F25F15F" w14:textId="77777777" w:rsidR="00BE36FB" w:rsidRPr="009B7B35" w:rsidRDefault="00BE36FB" w:rsidP="001A7107">
            <w:pPr>
              <w:pStyle w:val="TableText"/>
              <w:rPr>
                <w:rFonts w:cs="Arial"/>
              </w:rPr>
            </w:pPr>
            <w:r w:rsidRPr="009B7B35">
              <w:rPr>
                <w:rFonts w:cs="Arial"/>
              </w:rPr>
              <w:t>ES-PB433</w:t>
            </w:r>
          </w:p>
        </w:tc>
        <w:tc>
          <w:tcPr>
            <w:tcW w:w="909" w:type="pct"/>
            <w:hideMark/>
          </w:tcPr>
          <w:p w14:paraId="0DA99ED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Boyne Island improve pumped disposal capacity (new pumps and station)</w:t>
            </w:r>
          </w:p>
        </w:tc>
        <w:tc>
          <w:tcPr>
            <w:tcW w:w="1287" w:type="pct"/>
            <w:hideMark/>
          </w:tcPr>
          <w:p w14:paraId="3F400D2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834" w:type="pct"/>
            <w:hideMark/>
          </w:tcPr>
          <w:p w14:paraId="17446F1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2018</w:t>
            </w:r>
          </w:p>
        </w:tc>
        <w:tc>
          <w:tcPr>
            <w:tcW w:w="833" w:type="pct"/>
            <w:hideMark/>
          </w:tcPr>
          <w:p w14:paraId="3766F03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$411,337 </w:t>
            </w:r>
          </w:p>
        </w:tc>
      </w:tr>
      <w:tr w:rsidR="00BE36FB" w:rsidRPr="009B7B35" w14:paraId="14A8E5F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009298F1" w14:textId="77777777" w:rsidR="00BE36FB" w:rsidRPr="009B7B35" w:rsidRDefault="00BE36FB" w:rsidP="001A7107">
            <w:pPr>
              <w:pStyle w:val="TableText"/>
              <w:rPr>
                <w:rFonts w:cs="Arial"/>
              </w:rPr>
            </w:pPr>
            <w:r w:rsidRPr="009B7B35">
              <w:rPr>
                <w:rFonts w:cs="Arial"/>
              </w:rPr>
              <w:t>ES-PB444</w:t>
            </w:r>
          </w:p>
        </w:tc>
        <w:tc>
          <w:tcPr>
            <w:tcW w:w="909" w:type="pct"/>
            <w:hideMark/>
          </w:tcPr>
          <w:p w14:paraId="130212C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Boyne Island improve site storage capacity (Lagoon North East Corner)</w:t>
            </w:r>
          </w:p>
        </w:tc>
        <w:tc>
          <w:tcPr>
            <w:tcW w:w="1287" w:type="pct"/>
            <w:hideMark/>
          </w:tcPr>
          <w:p w14:paraId="5196E96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834" w:type="pct"/>
            <w:hideMark/>
          </w:tcPr>
          <w:p w14:paraId="2584D2F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2020</w:t>
            </w:r>
          </w:p>
        </w:tc>
        <w:tc>
          <w:tcPr>
            <w:tcW w:w="833" w:type="pct"/>
            <w:hideMark/>
          </w:tcPr>
          <w:p w14:paraId="739E22C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$548,450 </w:t>
            </w:r>
          </w:p>
        </w:tc>
      </w:tr>
      <w:tr w:rsidR="00BE36FB" w:rsidRPr="009B7B35" w14:paraId="1C00C53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E8BEFA8" w14:textId="77777777" w:rsidR="00BE36FB" w:rsidRPr="009B7B35" w:rsidRDefault="00BE36FB" w:rsidP="001A7107">
            <w:pPr>
              <w:pStyle w:val="TableText"/>
              <w:rPr>
                <w:rFonts w:cs="Arial"/>
              </w:rPr>
            </w:pPr>
            <w:r w:rsidRPr="009B7B35">
              <w:rPr>
                <w:rFonts w:cs="Arial"/>
              </w:rPr>
              <w:t>ES-PB440</w:t>
            </w:r>
          </w:p>
        </w:tc>
        <w:tc>
          <w:tcPr>
            <w:tcW w:w="909" w:type="pct"/>
            <w:hideMark/>
          </w:tcPr>
          <w:p w14:paraId="4975C43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SPS C - AW</w:t>
            </w:r>
          </w:p>
        </w:tc>
        <w:tc>
          <w:tcPr>
            <w:tcW w:w="1287" w:type="pct"/>
            <w:hideMark/>
          </w:tcPr>
          <w:p w14:paraId="45F5570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834" w:type="pct"/>
            <w:hideMark/>
          </w:tcPr>
          <w:p w14:paraId="7019B58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2020</w:t>
            </w:r>
          </w:p>
        </w:tc>
        <w:tc>
          <w:tcPr>
            <w:tcW w:w="833" w:type="pct"/>
            <w:hideMark/>
          </w:tcPr>
          <w:p w14:paraId="25572A5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$336,000 </w:t>
            </w:r>
          </w:p>
        </w:tc>
      </w:tr>
      <w:tr w:rsidR="00BE36FB" w:rsidRPr="009B7B35" w14:paraId="5B4D99A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6499C45C" w14:textId="77777777" w:rsidR="00BE36FB" w:rsidRPr="009B7B35" w:rsidRDefault="00BE36FB" w:rsidP="001A7107">
            <w:pPr>
              <w:pStyle w:val="TableText"/>
              <w:rPr>
                <w:rFonts w:cs="Arial"/>
              </w:rPr>
            </w:pPr>
            <w:r w:rsidRPr="009B7B35">
              <w:rPr>
                <w:rFonts w:cs="Arial"/>
              </w:rPr>
              <w:t>ES-PB441</w:t>
            </w:r>
          </w:p>
        </w:tc>
        <w:tc>
          <w:tcPr>
            <w:tcW w:w="909" w:type="pct"/>
            <w:hideMark/>
          </w:tcPr>
          <w:p w14:paraId="7A0EFC4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Rising mains - AW</w:t>
            </w:r>
          </w:p>
        </w:tc>
        <w:tc>
          <w:tcPr>
            <w:tcW w:w="1287" w:type="pct"/>
            <w:hideMark/>
          </w:tcPr>
          <w:p w14:paraId="2BF0F72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834" w:type="pct"/>
            <w:hideMark/>
          </w:tcPr>
          <w:p w14:paraId="56455D7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2025</w:t>
            </w:r>
          </w:p>
        </w:tc>
        <w:tc>
          <w:tcPr>
            <w:tcW w:w="833" w:type="pct"/>
            <w:hideMark/>
          </w:tcPr>
          <w:p w14:paraId="3E1F8C1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 - </w:t>
            </w:r>
          </w:p>
        </w:tc>
      </w:tr>
      <w:tr w:rsidR="00BE36FB" w:rsidRPr="009B7B35" w14:paraId="5CEBEF5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4B0D8DD0" w14:textId="77777777" w:rsidR="00BE36FB" w:rsidRPr="009B7B35" w:rsidRDefault="00BE36FB" w:rsidP="001A7107">
            <w:pPr>
              <w:pStyle w:val="TableText"/>
              <w:rPr>
                <w:rFonts w:cs="Arial"/>
              </w:rPr>
            </w:pPr>
            <w:r w:rsidRPr="009B7B35">
              <w:rPr>
                <w:rFonts w:cs="Arial"/>
              </w:rPr>
              <w:t>ES-PB398</w:t>
            </w:r>
          </w:p>
        </w:tc>
        <w:tc>
          <w:tcPr>
            <w:tcW w:w="909" w:type="pct"/>
            <w:hideMark/>
          </w:tcPr>
          <w:p w14:paraId="62064A1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SPS new treatment facility on existing site - MV scheduled</w:t>
            </w:r>
          </w:p>
        </w:tc>
        <w:tc>
          <w:tcPr>
            <w:tcW w:w="1287" w:type="pct"/>
            <w:hideMark/>
          </w:tcPr>
          <w:p w14:paraId="265532E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834" w:type="pct"/>
            <w:hideMark/>
          </w:tcPr>
          <w:p w14:paraId="2D8F1DB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6672CB3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$7,000,000 </w:t>
            </w:r>
          </w:p>
        </w:tc>
      </w:tr>
      <w:tr w:rsidR="00BE36FB" w:rsidRPr="009B7B35" w14:paraId="0FE0E50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624A23C3" w14:textId="77777777" w:rsidR="00BE36FB" w:rsidRPr="009B7B35" w:rsidRDefault="00BE36FB" w:rsidP="001A7107">
            <w:pPr>
              <w:pStyle w:val="TableText"/>
              <w:rPr>
                <w:rFonts w:cs="Arial"/>
              </w:rPr>
            </w:pPr>
            <w:r w:rsidRPr="009B7B35">
              <w:rPr>
                <w:rFonts w:cs="Arial"/>
              </w:rPr>
              <w:t>SGM_A_002</w:t>
            </w:r>
          </w:p>
        </w:tc>
        <w:tc>
          <w:tcPr>
            <w:tcW w:w="909" w:type="pct"/>
            <w:hideMark/>
          </w:tcPr>
          <w:p w14:paraId="514AE86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Corner of Hanson Road/Yarroon Street</w:t>
            </w:r>
          </w:p>
        </w:tc>
        <w:tc>
          <w:tcPr>
            <w:tcW w:w="1287" w:type="pct"/>
            <w:hideMark/>
          </w:tcPr>
          <w:p w14:paraId="41C274D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required to resolve flooding and surcharging in corner of Hanson Road/Yarroon Street</w:t>
            </w:r>
          </w:p>
        </w:tc>
        <w:tc>
          <w:tcPr>
            <w:tcW w:w="834" w:type="pct"/>
            <w:hideMark/>
          </w:tcPr>
          <w:p w14:paraId="5C09F3A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33" w:type="pct"/>
            <w:hideMark/>
          </w:tcPr>
          <w:p w14:paraId="04D58F2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$40,000 </w:t>
            </w:r>
          </w:p>
        </w:tc>
      </w:tr>
      <w:tr w:rsidR="00BE36FB" w:rsidRPr="009B7B35" w14:paraId="77D98D8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41BF9ABB" w14:textId="77777777" w:rsidR="00BE36FB" w:rsidRPr="009B7B35" w:rsidRDefault="00BE36FB" w:rsidP="001A7107">
            <w:pPr>
              <w:pStyle w:val="TableText"/>
              <w:rPr>
                <w:rFonts w:cs="Arial"/>
              </w:rPr>
            </w:pPr>
            <w:r w:rsidRPr="009B7B35">
              <w:rPr>
                <w:rFonts w:cs="Arial"/>
              </w:rPr>
              <w:t>SGM_A_012</w:t>
            </w:r>
          </w:p>
        </w:tc>
        <w:tc>
          <w:tcPr>
            <w:tcW w:w="909" w:type="pct"/>
            <w:hideMark/>
          </w:tcPr>
          <w:p w14:paraId="6E9FD99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Hughes Street/Gladstone Benaraby Road</w:t>
            </w:r>
          </w:p>
        </w:tc>
        <w:tc>
          <w:tcPr>
            <w:tcW w:w="1287" w:type="pct"/>
            <w:hideMark/>
          </w:tcPr>
          <w:p w14:paraId="056A5D2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required to resolve flooding and surcharging in Hughes Street/Gladstone Benaraby Road</w:t>
            </w:r>
          </w:p>
        </w:tc>
        <w:tc>
          <w:tcPr>
            <w:tcW w:w="834" w:type="pct"/>
            <w:hideMark/>
          </w:tcPr>
          <w:p w14:paraId="5C84741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w:t>
            </w:r>
          </w:p>
        </w:tc>
        <w:tc>
          <w:tcPr>
            <w:tcW w:w="833" w:type="pct"/>
            <w:hideMark/>
          </w:tcPr>
          <w:p w14:paraId="6067594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$40,000 </w:t>
            </w:r>
          </w:p>
        </w:tc>
      </w:tr>
      <w:tr w:rsidR="00BE36FB" w:rsidRPr="009B7B35" w14:paraId="28C18B7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70165FFB" w14:textId="77777777" w:rsidR="00BE36FB" w:rsidRPr="009B7B35" w:rsidRDefault="00BE36FB" w:rsidP="001A7107">
            <w:pPr>
              <w:pStyle w:val="TableText"/>
              <w:rPr>
                <w:rFonts w:cs="Arial"/>
              </w:rPr>
            </w:pPr>
            <w:r w:rsidRPr="009B7B35">
              <w:rPr>
                <w:rFonts w:cs="Arial"/>
              </w:rPr>
              <w:t>SGM_A_014</w:t>
            </w:r>
          </w:p>
        </w:tc>
        <w:tc>
          <w:tcPr>
            <w:tcW w:w="909" w:type="pct"/>
            <w:hideMark/>
          </w:tcPr>
          <w:p w14:paraId="256D236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Mylne Street</w:t>
            </w:r>
          </w:p>
        </w:tc>
        <w:tc>
          <w:tcPr>
            <w:tcW w:w="1287" w:type="pct"/>
            <w:hideMark/>
          </w:tcPr>
          <w:p w14:paraId="66F3428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required to resolve flooding and surcharging in Mylne Street</w:t>
            </w:r>
          </w:p>
        </w:tc>
        <w:tc>
          <w:tcPr>
            <w:tcW w:w="834" w:type="pct"/>
            <w:hideMark/>
          </w:tcPr>
          <w:p w14:paraId="1D4C7D1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w:t>
            </w:r>
          </w:p>
        </w:tc>
        <w:tc>
          <w:tcPr>
            <w:tcW w:w="833" w:type="pct"/>
            <w:hideMark/>
          </w:tcPr>
          <w:p w14:paraId="1A68278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$30,000 </w:t>
            </w:r>
          </w:p>
        </w:tc>
      </w:tr>
      <w:tr w:rsidR="00BE36FB" w:rsidRPr="009B7B35" w14:paraId="0FCD412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410F049" w14:textId="77777777" w:rsidR="00BE36FB" w:rsidRPr="009B7B35" w:rsidRDefault="00BE36FB" w:rsidP="001A7107">
            <w:pPr>
              <w:pStyle w:val="TableText"/>
              <w:rPr>
                <w:rFonts w:cs="Arial"/>
              </w:rPr>
            </w:pPr>
            <w:r w:rsidRPr="009B7B35">
              <w:rPr>
                <w:rFonts w:cs="Arial"/>
              </w:rPr>
              <w:t>SGM_A_015</w:t>
            </w:r>
          </w:p>
        </w:tc>
        <w:tc>
          <w:tcPr>
            <w:tcW w:w="909" w:type="pct"/>
            <w:hideMark/>
          </w:tcPr>
          <w:p w14:paraId="38DEEB0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Palm Drive</w:t>
            </w:r>
          </w:p>
        </w:tc>
        <w:tc>
          <w:tcPr>
            <w:tcW w:w="1287" w:type="pct"/>
            <w:hideMark/>
          </w:tcPr>
          <w:p w14:paraId="5AEA279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required to resolve flooding and surcharging in Palm Drive</w:t>
            </w:r>
          </w:p>
        </w:tc>
        <w:tc>
          <w:tcPr>
            <w:tcW w:w="834" w:type="pct"/>
            <w:hideMark/>
          </w:tcPr>
          <w:p w14:paraId="63FE3F8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33" w:type="pct"/>
            <w:hideMark/>
          </w:tcPr>
          <w:p w14:paraId="2BD7C5D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$40,000 </w:t>
            </w:r>
          </w:p>
        </w:tc>
      </w:tr>
      <w:tr w:rsidR="00BE36FB" w:rsidRPr="009B7B35" w14:paraId="5E3F085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049B85B" w14:textId="77777777" w:rsidR="00BE36FB" w:rsidRPr="009B7B35" w:rsidRDefault="00BE36FB" w:rsidP="001A7107">
            <w:pPr>
              <w:pStyle w:val="TableText"/>
              <w:rPr>
                <w:rFonts w:cs="Arial"/>
              </w:rPr>
            </w:pPr>
            <w:r w:rsidRPr="009B7B35">
              <w:rPr>
                <w:rFonts w:cs="Arial"/>
              </w:rPr>
              <w:t>SGM_S_003</w:t>
            </w:r>
          </w:p>
        </w:tc>
        <w:tc>
          <w:tcPr>
            <w:tcW w:w="909" w:type="pct"/>
            <w:hideMark/>
          </w:tcPr>
          <w:p w14:paraId="37325B9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Near Red Rover Road/Bensted Street/Wicks Street/Shaw Street</w:t>
            </w:r>
          </w:p>
        </w:tc>
        <w:tc>
          <w:tcPr>
            <w:tcW w:w="1287" w:type="pct"/>
            <w:hideMark/>
          </w:tcPr>
          <w:p w14:paraId="21EFA1B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required to resolve under capacity gravity sewer and resolve surcharging in Near Red Rover Road/Bensted Street Wicks Street/Shaw Street</w:t>
            </w:r>
          </w:p>
        </w:tc>
        <w:tc>
          <w:tcPr>
            <w:tcW w:w="834" w:type="pct"/>
            <w:hideMark/>
          </w:tcPr>
          <w:p w14:paraId="011BD3B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w:t>
            </w:r>
          </w:p>
        </w:tc>
        <w:tc>
          <w:tcPr>
            <w:tcW w:w="833" w:type="pct"/>
            <w:hideMark/>
          </w:tcPr>
          <w:p w14:paraId="2396762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 </w:t>
            </w:r>
          </w:p>
        </w:tc>
      </w:tr>
      <w:tr w:rsidR="00BE36FB" w:rsidRPr="009B7B35" w14:paraId="26E9EA8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332EC41C" w14:textId="77777777" w:rsidR="00BE36FB" w:rsidRPr="009B7B35" w:rsidRDefault="00BE36FB" w:rsidP="001A7107">
            <w:pPr>
              <w:pStyle w:val="TableText"/>
              <w:rPr>
                <w:rFonts w:cs="Arial"/>
              </w:rPr>
            </w:pPr>
            <w:r w:rsidRPr="009B7B35">
              <w:rPr>
                <w:rFonts w:cs="Arial"/>
              </w:rPr>
              <w:t>SGM_S_004</w:t>
            </w:r>
          </w:p>
        </w:tc>
        <w:tc>
          <w:tcPr>
            <w:tcW w:w="909" w:type="pct"/>
            <w:hideMark/>
          </w:tcPr>
          <w:p w14:paraId="24263CA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Emmadale Drive/Creekwood Cl/Clarance Drive</w:t>
            </w:r>
          </w:p>
        </w:tc>
        <w:tc>
          <w:tcPr>
            <w:tcW w:w="1287" w:type="pct"/>
            <w:hideMark/>
          </w:tcPr>
          <w:p w14:paraId="69F12A9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required to resolve flooding and surcharging in Emmadale Drive/Creekwood Cl/Clarance Drive</w:t>
            </w:r>
          </w:p>
        </w:tc>
        <w:tc>
          <w:tcPr>
            <w:tcW w:w="834" w:type="pct"/>
            <w:hideMark/>
          </w:tcPr>
          <w:p w14:paraId="63FB692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33" w:type="pct"/>
            <w:hideMark/>
          </w:tcPr>
          <w:p w14:paraId="3EFDBA8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$10,000 </w:t>
            </w:r>
          </w:p>
        </w:tc>
      </w:tr>
      <w:tr w:rsidR="00BE36FB" w:rsidRPr="009B7B35" w14:paraId="41D7BFC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76D7A8FD" w14:textId="77777777" w:rsidR="00BE36FB" w:rsidRPr="009B7B35" w:rsidRDefault="00BE36FB" w:rsidP="001A7107">
            <w:pPr>
              <w:pStyle w:val="TableText"/>
              <w:rPr>
                <w:rFonts w:cs="Arial"/>
              </w:rPr>
            </w:pPr>
            <w:r w:rsidRPr="009B7B35">
              <w:rPr>
                <w:rFonts w:cs="Arial"/>
              </w:rPr>
              <w:t>SGM_S_005</w:t>
            </w:r>
          </w:p>
        </w:tc>
        <w:tc>
          <w:tcPr>
            <w:tcW w:w="909" w:type="pct"/>
            <w:hideMark/>
          </w:tcPr>
          <w:p w14:paraId="4A7AF19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Huntington Court/Liriope Drive</w:t>
            </w:r>
          </w:p>
        </w:tc>
        <w:tc>
          <w:tcPr>
            <w:tcW w:w="1287" w:type="pct"/>
            <w:hideMark/>
          </w:tcPr>
          <w:p w14:paraId="6992F51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required to resolve under capacity gravity sewer and resolve surcharging in Huntington Court/Liriope Drive</w:t>
            </w:r>
          </w:p>
        </w:tc>
        <w:tc>
          <w:tcPr>
            <w:tcW w:w="834" w:type="pct"/>
            <w:hideMark/>
          </w:tcPr>
          <w:p w14:paraId="45D2296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33" w:type="pct"/>
            <w:hideMark/>
          </w:tcPr>
          <w:p w14:paraId="2A8B6CC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$30,000 </w:t>
            </w:r>
          </w:p>
        </w:tc>
      </w:tr>
      <w:tr w:rsidR="00BE36FB" w:rsidRPr="009B7B35" w14:paraId="06B2B0B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0CE59183" w14:textId="77777777" w:rsidR="00BE36FB" w:rsidRPr="009B7B35" w:rsidRDefault="00BE36FB" w:rsidP="001A7107">
            <w:pPr>
              <w:pStyle w:val="TableText"/>
              <w:rPr>
                <w:rFonts w:cs="Arial"/>
              </w:rPr>
            </w:pPr>
            <w:r w:rsidRPr="009B7B35">
              <w:rPr>
                <w:rFonts w:cs="Arial"/>
              </w:rPr>
              <w:t>SGM_S_008</w:t>
            </w:r>
          </w:p>
        </w:tc>
        <w:tc>
          <w:tcPr>
            <w:tcW w:w="909" w:type="pct"/>
            <w:hideMark/>
          </w:tcPr>
          <w:p w14:paraId="5E0BFBF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Rugby League Ground, Harvey Road</w:t>
            </w:r>
          </w:p>
        </w:tc>
        <w:tc>
          <w:tcPr>
            <w:tcW w:w="1287" w:type="pct"/>
            <w:hideMark/>
          </w:tcPr>
          <w:p w14:paraId="0CCF425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required to resolve under capacity gravity sewer and resolve surcharging in Rugby League Ground, Harvey Road</w:t>
            </w:r>
          </w:p>
        </w:tc>
        <w:tc>
          <w:tcPr>
            <w:tcW w:w="834" w:type="pct"/>
            <w:hideMark/>
          </w:tcPr>
          <w:p w14:paraId="0630381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33" w:type="pct"/>
            <w:hideMark/>
          </w:tcPr>
          <w:p w14:paraId="02E42D8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$50,000 </w:t>
            </w:r>
          </w:p>
        </w:tc>
      </w:tr>
      <w:tr w:rsidR="00BE36FB" w:rsidRPr="009B7B35" w14:paraId="68FA07B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10312F54" w14:textId="77777777" w:rsidR="00BE36FB" w:rsidRPr="009B7B35" w:rsidRDefault="00BE36FB" w:rsidP="001A7107">
            <w:pPr>
              <w:pStyle w:val="TableText"/>
              <w:rPr>
                <w:rFonts w:cs="Arial"/>
              </w:rPr>
            </w:pPr>
            <w:r w:rsidRPr="009B7B35">
              <w:rPr>
                <w:rFonts w:cs="Arial"/>
              </w:rPr>
              <w:t>SGM_T_001</w:t>
            </w:r>
          </w:p>
        </w:tc>
        <w:tc>
          <w:tcPr>
            <w:tcW w:w="909" w:type="pct"/>
            <w:hideMark/>
          </w:tcPr>
          <w:p w14:paraId="49F1566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Parallel to Billabong Drive</w:t>
            </w:r>
          </w:p>
        </w:tc>
        <w:tc>
          <w:tcPr>
            <w:tcW w:w="1287" w:type="pct"/>
            <w:hideMark/>
          </w:tcPr>
          <w:p w14:paraId="4A8BFD5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required to resolve under capacity gravity sewer and resolve surcharging in Billabong Drive</w:t>
            </w:r>
          </w:p>
        </w:tc>
        <w:tc>
          <w:tcPr>
            <w:tcW w:w="834" w:type="pct"/>
            <w:hideMark/>
          </w:tcPr>
          <w:p w14:paraId="77833EB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w:t>
            </w:r>
          </w:p>
        </w:tc>
        <w:tc>
          <w:tcPr>
            <w:tcW w:w="833" w:type="pct"/>
            <w:hideMark/>
          </w:tcPr>
          <w:p w14:paraId="01099DD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$60,000 </w:t>
            </w:r>
          </w:p>
        </w:tc>
      </w:tr>
      <w:tr w:rsidR="00BE36FB" w:rsidRPr="009B7B35" w14:paraId="6809E96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B06EEEA" w14:textId="77777777" w:rsidR="00BE36FB" w:rsidRPr="009B7B35" w:rsidRDefault="00BE36FB" w:rsidP="001A7107">
            <w:pPr>
              <w:pStyle w:val="TableText"/>
              <w:rPr>
                <w:rFonts w:cs="Arial"/>
              </w:rPr>
            </w:pPr>
            <w:r w:rsidRPr="009B7B35">
              <w:rPr>
                <w:rFonts w:cs="Arial"/>
              </w:rPr>
              <w:t>SGM_AW_001</w:t>
            </w:r>
          </w:p>
        </w:tc>
        <w:tc>
          <w:tcPr>
            <w:tcW w:w="909" w:type="pct"/>
            <w:hideMark/>
          </w:tcPr>
          <w:p w14:paraId="340880D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Near Seaspray Drive</w:t>
            </w:r>
          </w:p>
        </w:tc>
        <w:tc>
          <w:tcPr>
            <w:tcW w:w="1287" w:type="pct"/>
            <w:hideMark/>
          </w:tcPr>
          <w:p w14:paraId="45439F4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required to resolve under capacity gravity sewer and resolve surcharging in Near Seaspray Drive</w:t>
            </w:r>
          </w:p>
        </w:tc>
        <w:tc>
          <w:tcPr>
            <w:tcW w:w="834" w:type="pct"/>
            <w:hideMark/>
          </w:tcPr>
          <w:p w14:paraId="4E426B9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33" w:type="pct"/>
            <w:hideMark/>
          </w:tcPr>
          <w:p w14:paraId="65256E6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$30,000 </w:t>
            </w:r>
          </w:p>
        </w:tc>
      </w:tr>
      <w:tr w:rsidR="00BE36FB" w:rsidRPr="009B7B35" w14:paraId="2A7E747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F4C92F3" w14:textId="77777777" w:rsidR="00BE36FB" w:rsidRPr="009B7B35" w:rsidRDefault="00BE36FB" w:rsidP="001A7107">
            <w:pPr>
              <w:pStyle w:val="TableText"/>
              <w:rPr>
                <w:rFonts w:cs="Arial"/>
              </w:rPr>
            </w:pPr>
            <w:r w:rsidRPr="009B7B35">
              <w:rPr>
                <w:rFonts w:cs="Arial"/>
              </w:rPr>
              <w:t>SGM_AW_003</w:t>
            </w:r>
          </w:p>
        </w:tc>
        <w:tc>
          <w:tcPr>
            <w:tcW w:w="909" w:type="pct"/>
            <w:hideMark/>
          </w:tcPr>
          <w:p w14:paraId="17AE4F6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Near Fitzroy Crescent/Captain Cook Drive</w:t>
            </w:r>
          </w:p>
        </w:tc>
        <w:tc>
          <w:tcPr>
            <w:tcW w:w="1287" w:type="pct"/>
            <w:hideMark/>
          </w:tcPr>
          <w:p w14:paraId="1528846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proposed as per Agnes Water's Future Sewerage Strategy in Near Fitzroy Crescent/Captain Cook Drive</w:t>
            </w:r>
          </w:p>
        </w:tc>
        <w:tc>
          <w:tcPr>
            <w:tcW w:w="834" w:type="pct"/>
            <w:hideMark/>
          </w:tcPr>
          <w:p w14:paraId="4E6B109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14:paraId="7C6785A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$440,000 </w:t>
            </w:r>
          </w:p>
        </w:tc>
      </w:tr>
      <w:tr w:rsidR="00BE36FB" w:rsidRPr="009B7B35" w14:paraId="7580B83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046C030" w14:textId="77777777" w:rsidR="00BE36FB" w:rsidRPr="009B7B35" w:rsidRDefault="00BE36FB" w:rsidP="001A7107">
            <w:pPr>
              <w:pStyle w:val="TableText"/>
              <w:rPr>
                <w:rFonts w:cs="Arial"/>
              </w:rPr>
            </w:pPr>
            <w:r w:rsidRPr="009B7B35">
              <w:rPr>
                <w:rFonts w:cs="Arial"/>
              </w:rPr>
              <w:t>SGM_AW_004</w:t>
            </w:r>
          </w:p>
        </w:tc>
        <w:tc>
          <w:tcPr>
            <w:tcW w:w="909" w:type="pct"/>
            <w:hideMark/>
          </w:tcPr>
          <w:p w14:paraId="4547CBC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Near Fitzroy Crescent/Captain Cook Drive</w:t>
            </w:r>
          </w:p>
        </w:tc>
        <w:tc>
          <w:tcPr>
            <w:tcW w:w="1287" w:type="pct"/>
            <w:hideMark/>
          </w:tcPr>
          <w:p w14:paraId="6E62538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proposed as per Agnes Water's Future Sewerage Strategy in Near Fitzroy Crescent/Captain Cook Drive</w:t>
            </w:r>
          </w:p>
        </w:tc>
        <w:tc>
          <w:tcPr>
            <w:tcW w:w="834" w:type="pct"/>
            <w:hideMark/>
          </w:tcPr>
          <w:p w14:paraId="4D2C77D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33" w:type="pct"/>
            <w:hideMark/>
          </w:tcPr>
          <w:p w14:paraId="3DFEDD6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$290,000 </w:t>
            </w:r>
          </w:p>
        </w:tc>
      </w:tr>
      <w:tr w:rsidR="00BE36FB" w:rsidRPr="009B7B35" w14:paraId="793A568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66291E14" w14:textId="77777777" w:rsidR="00BE36FB" w:rsidRPr="009B7B35" w:rsidRDefault="00BE36FB" w:rsidP="001A7107">
            <w:pPr>
              <w:pStyle w:val="TableText"/>
              <w:rPr>
                <w:rFonts w:cs="Arial"/>
              </w:rPr>
            </w:pPr>
            <w:r w:rsidRPr="009B7B35">
              <w:rPr>
                <w:rFonts w:cs="Arial"/>
              </w:rPr>
              <w:t>SGM_AW_005</w:t>
            </w:r>
          </w:p>
        </w:tc>
        <w:tc>
          <w:tcPr>
            <w:tcW w:w="909" w:type="pct"/>
            <w:hideMark/>
          </w:tcPr>
          <w:p w14:paraId="5273D35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Springs Road</w:t>
            </w:r>
          </w:p>
        </w:tc>
        <w:tc>
          <w:tcPr>
            <w:tcW w:w="1287" w:type="pct"/>
            <w:hideMark/>
          </w:tcPr>
          <w:p w14:paraId="407F5D9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Augmentation proposed as per Agnes Water's Future Sewerage Strategy in Springs Road</w:t>
            </w:r>
          </w:p>
        </w:tc>
        <w:tc>
          <w:tcPr>
            <w:tcW w:w="834" w:type="pct"/>
            <w:hideMark/>
          </w:tcPr>
          <w:p w14:paraId="7135368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14:paraId="217AA5E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$200,000 </w:t>
            </w:r>
          </w:p>
        </w:tc>
      </w:tr>
      <w:tr w:rsidR="00BE36FB" w:rsidRPr="009B7B35" w14:paraId="2D1E5C9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4E16057B" w14:textId="77777777" w:rsidR="00BE36FB" w:rsidRPr="009B7B35" w:rsidRDefault="00BE36FB" w:rsidP="001A7107">
            <w:pPr>
              <w:pStyle w:val="TableText"/>
              <w:rPr>
                <w:rFonts w:cs="Arial"/>
              </w:rPr>
            </w:pPr>
            <w:r w:rsidRPr="009B7B35">
              <w:rPr>
                <w:rFonts w:cs="Arial"/>
              </w:rPr>
              <w:t>SGM_AW_006</w:t>
            </w:r>
          </w:p>
        </w:tc>
        <w:tc>
          <w:tcPr>
            <w:tcW w:w="909" w:type="pct"/>
            <w:hideMark/>
          </w:tcPr>
          <w:p w14:paraId="3DDD1F8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Near Bicentennial Drive/Jarvey Drive/Watermark Avenue</w:t>
            </w:r>
          </w:p>
        </w:tc>
        <w:tc>
          <w:tcPr>
            <w:tcW w:w="1287" w:type="pct"/>
            <w:hideMark/>
          </w:tcPr>
          <w:p w14:paraId="670EF10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Augmentation proposed as per Agnes Water's Future Sewerage Strategy in Near Bicentennial Drive/Jarvey Drive/Watermark Avenue</w:t>
            </w:r>
          </w:p>
        </w:tc>
        <w:tc>
          <w:tcPr>
            <w:tcW w:w="834" w:type="pct"/>
            <w:hideMark/>
          </w:tcPr>
          <w:p w14:paraId="43409C5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33" w:type="pct"/>
            <w:hideMark/>
          </w:tcPr>
          <w:p w14:paraId="20BA7B7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$680,000 </w:t>
            </w:r>
          </w:p>
        </w:tc>
      </w:tr>
      <w:tr w:rsidR="00BE36FB" w:rsidRPr="009B7B35" w14:paraId="353E0E9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00D3E694" w14:textId="77777777" w:rsidR="00BE36FB" w:rsidRPr="009B7B35" w:rsidRDefault="00BE36FB" w:rsidP="001A7107">
            <w:pPr>
              <w:pStyle w:val="TableText"/>
              <w:rPr>
                <w:rFonts w:cs="Arial"/>
              </w:rPr>
            </w:pPr>
            <w:r w:rsidRPr="009B7B35">
              <w:rPr>
                <w:rFonts w:cs="Arial"/>
              </w:rPr>
              <w:t>SRM_A_001</w:t>
            </w:r>
          </w:p>
        </w:tc>
        <w:tc>
          <w:tcPr>
            <w:tcW w:w="909" w:type="pct"/>
            <w:hideMark/>
          </w:tcPr>
          <w:p w14:paraId="5C4172B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Friend Street</w:t>
            </w:r>
          </w:p>
        </w:tc>
        <w:tc>
          <w:tcPr>
            <w:tcW w:w="1287" w:type="pct"/>
            <w:hideMark/>
          </w:tcPr>
          <w:p w14:paraId="55D9A93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1A3EBCF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73E50D5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$2,460,000 </w:t>
            </w:r>
          </w:p>
        </w:tc>
      </w:tr>
      <w:tr w:rsidR="00BE36FB" w:rsidRPr="009B7B35" w14:paraId="5A6DA06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8C16E46" w14:textId="77777777" w:rsidR="00BE36FB" w:rsidRPr="009B7B35" w:rsidRDefault="00BE36FB" w:rsidP="001A7107">
            <w:pPr>
              <w:pStyle w:val="TableText"/>
              <w:rPr>
                <w:rFonts w:cs="Arial"/>
              </w:rPr>
            </w:pPr>
            <w:r w:rsidRPr="009B7B35">
              <w:rPr>
                <w:rFonts w:cs="Arial"/>
              </w:rPr>
              <w:t>SRM_AW1770_001</w:t>
            </w:r>
          </w:p>
        </w:tc>
        <w:tc>
          <w:tcPr>
            <w:tcW w:w="909" w:type="pct"/>
            <w:hideMark/>
          </w:tcPr>
          <w:p w14:paraId="1FB0439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Near Discovery Drive</w:t>
            </w:r>
          </w:p>
        </w:tc>
        <w:tc>
          <w:tcPr>
            <w:tcW w:w="1287" w:type="pct"/>
            <w:hideMark/>
          </w:tcPr>
          <w:p w14:paraId="481E526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4E4CCD2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33" w:type="pct"/>
            <w:hideMark/>
          </w:tcPr>
          <w:p w14:paraId="73673BC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$680,000 </w:t>
            </w:r>
          </w:p>
        </w:tc>
      </w:tr>
      <w:tr w:rsidR="00BE36FB" w:rsidRPr="009B7B35" w14:paraId="3930272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3AB0731A" w14:textId="77777777" w:rsidR="00BE36FB" w:rsidRPr="009B7B35" w:rsidRDefault="00BE36FB" w:rsidP="001A7107">
            <w:pPr>
              <w:pStyle w:val="TableText"/>
              <w:rPr>
                <w:rFonts w:cs="Arial"/>
              </w:rPr>
            </w:pPr>
            <w:r w:rsidRPr="009B7B35">
              <w:rPr>
                <w:rFonts w:cs="Arial"/>
              </w:rPr>
              <w:t>SRM_AW1770_003a</w:t>
            </w:r>
          </w:p>
        </w:tc>
        <w:tc>
          <w:tcPr>
            <w:tcW w:w="909" w:type="pct"/>
            <w:hideMark/>
          </w:tcPr>
          <w:p w14:paraId="1E3C8FC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Anderson Way</w:t>
            </w:r>
          </w:p>
        </w:tc>
        <w:tc>
          <w:tcPr>
            <w:tcW w:w="1287" w:type="pct"/>
            <w:hideMark/>
          </w:tcPr>
          <w:p w14:paraId="14657FC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14E3694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14:paraId="734BACC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$640,000 </w:t>
            </w:r>
          </w:p>
        </w:tc>
      </w:tr>
      <w:tr w:rsidR="00BE36FB" w:rsidRPr="009B7B35" w14:paraId="248B575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075B13DC" w14:textId="77777777" w:rsidR="00BE36FB" w:rsidRPr="009B7B35" w:rsidRDefault="00BE36FB" w:rsidP="001A7107">
            <w:pPr>
              <w:pStyle w:val="TableText"/>
              <w:rPr>
                <w:rFonts w:cs="Arial"/>
              </w:rPr>
            </w:pPr>
            <w:r w:rsidRPr="009B7B35">
              <w:rPr>
                <w:rFonts w:cs="Arial"/>
              </w:rPr>
              <w:t>SRM_AW1770_003b</w:t>
            </w:r>
          </w:p>
        </w:tc>
        <w:tc>
          <w:tcPr>
            <w:tcW w:w="909" w:type="pct"/>
            <w:hideMark/>
          </w:tcPr>
          <w:p w14:paraId="4C1588B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Anderson Way</w:t>
            </w:r>
          </w:p>
        </w:tc>
        <w:tc>
          <w:tcPr>
            <w:tcW w:w="1287" w:type="pct"/>
            <w:hideMark/>
          </w:tcPr>
          <w:p w14:paraId="712B556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2678711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33" w:type="pct"/>
            <w:hideMark/>
          </w:tcPr>
          <w:p w14:paraId="75965D6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$1,900,000 </w:t>
            </w:r>
          </w:p>
        </w:tc>
      </w:tr>
      <w:tr w:rsidR="00BE36FB" w:rsidRPr="009B7B35" w14:paraId="20363E9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10A3AEA8" w14:textId="77777777" w:rsidR="00BE36FB" w:rsidRPr="009B7B35" w:rsidRDefault="00BE36FB" w:rsidP="001A7107">
            <w:pPr>
              <w:pStyle w:val="TableText"/>
              <w:rPr>
                <w:rFonts w:cs="Arial"/>
              </w:rPr>
            </w:pPr>
            <w:r w:rsidRPr="009B7B35">
              <w:rPr>
                <w:rFonts w:cs="Arial"/>
              </w:rPr>
              <w:t>SPS_A_001</w:t>
            </w:r>
          </w:p>
        </w:tc>
        <w:tc>
          <w:tcPr>
            <w:tcW w:w="909" w:type="pct"/>
            <w:hideMark/>
          </w:tcPr>
          <w:p w14:paraId="7270200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Lord Street</w:t>
            </w:r>
          </w:p>
        </w:tc>
        <w:tc>
          <w:tcPr>
            <w:tcW w:w="1287" w:type="pct"/>
            <w:hideMark/>
          </w:tcPr>
          <w:p w14:paraId="52895A7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7A60BB2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6BF7E5C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$8,477,378 </w:t>
            </w:r>
          </w:p>
        </w:tc>
      </w:tr>
      <w:tr w:rsidR="00BE36FB" w:rsidRPr="009B7B35" w14:paraId="50663CA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C0BC4C0" w14:textId="77777777" w:rsidR="00BE36FB" w:rsidRPr="009B7B35" w:rsidRDefault="00BE36FB" w:rsidP="001A7107">
            <w:pPr>
              <w:pStyle w:val="TableText"/>
              <w:rPr>
                <w:rFonts w:cs="Arial"/>
              </w:rPr>
            </w:pPr>
            <w:r w:rsidRPr="009B7B35">
              <w:rPr>
                <w:rFonts w:cs="Arial"/>
              </w:rPr>
              <w:t>SPS_A_002</w:t>
            </w:r>
          </w:p>
        </w:tc>
        <w:tc>
          <w:tcPr>
            <w:tcW w:w="909" w:type="pct"/>
            <w:hideMark/>
          </w:tcPr>
          <w:p w14:paraId="4A87E5C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Strokarch Street</w:t>
            </w:r>
          </w:p>
        </w:tc>
        <w:tc>
          <w:tcPr>
            <w:tcW w:w="1287" w:type="pct"/>
            <w:hideMark/>
          </w:tcPr>
          <w:p w14:paraId="5A879A1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1F2FACD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030776D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$197,580 </w:t>
            </w:r>
          </w:p>
        </w:tc>
      </w:tr>
      <w:tr w:rsidR="00BE36FB" w:rsidRPr="009B7B35" w14:paraId="1AC57BC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7D313E10" w14:textId="77777777" w:rsidR="00BE36FB" w:rsidRPr="009B7B35" w:rsidRDefault="00BE36FB" w:rsidP="001A7107">
            <w:pPr>
              <w:pStyle w:val="TableText"/>
              <w:rPr>
                <w:rFonts w:cs="Arial"/>
              </w:rPr>
            </w:pPr>
            <w:r w:rsidRPr="009B7B35">
              <w:rPr>
                <w:rFonts w:cs="Arial"/>
              </w:rPr>
              <w:t>SPS_A_004</w:t>
            </w:r>
          </w:p>
        </w:tc>
        <w:tc>
          <w:tcPr>
            <w:tcW w:w="909" w:type="pct"/>
            <w:hideMark/>
          </w:tcPr>
          <w:p w14:paraId="6526DE8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Friends Street</w:t>
            </w:r>
          </w:p>
        </w:tc>
        <w:tc>
          <w:tcPr>
            <w:tcW w:w="1287" w:type="pct"/>
            <w:hideMark/>
          </w:tcPr>
          <w:p w14:paraId="1F33BE7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1F1F3B9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0C3CFD1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$365,190 </w:t>
            </w:r>
          </w:p>
        </w:tc>
      </w:tr>
      <w:tr w:rsidR="00BE36FB" w:rsidRPr="009B7B35" w14:paraId="5DC332D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52930EB" w14:textId="77777777" w:rsidR="00BE36FB" w:rsidRPr="009B7B35" w:rsidRDefault="00BE36FB" w:rsidP="001A7107">
            <w:pPr>
              <w:pStyle w:val="TableText"/>
              <w:rPr>
                <w:rFonts w:cs="Arial"/>
              </w:rPr>
            </w:pPr>
            <w:r w:rsidRPr="009B7B35">
              <w:rPr>
                <w:rFonts w:cs="Arial"/>
              </w:rPr>
              <w:t>SPS_A_005</w:t>
            </w:r>
          </w:p>
        </w:tc>
        <w:tc>
          <w:tcPr>
            <w:tcW w:w="909" w:type="pct"/>
            <w:hideMark/>
          </w:tcPr>
          <w:p w14:paraId="38467BB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Palm Drive</w:t>
            </w:r>
          </w:p>
        </w:tc>
        <w:tc>
          <w:tcPr>
            <w:tcW w:w="1287" w:type="pct"/>
            <w:hideMark/>
          </w:tcPr>
          <w:p w14:paraId="0305EFB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15CAAC4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1B3F12D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$365,190 </w:t>
            </w:r>
          </w:p>
        </w:tc>
      </w:tr>
      <w:tr w:rsidR="00BE36FB" w:rsidRPr="009B7B35" w14:paraId="1C8299F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482A020" w14:textId="77777777" w:rsidR="00BE36FB" w:rsidRPr="009B7B35" w:rsidRDefault="00BE36FB" w:rsidP="001A7107">
            <w:pPr>
              <w:pStyle w:val="TableText"/>
              <w:rPr>
                <w:rFonts w:cs="Arial"/>
              </w:rPr>
            </w:pPr>
            <w:r w:rsidRPr="009B7B35">
              <w:rPr>
                <w:rFonts w:cs="Arial"/>
              </w:rPr>
              <w:t>SPS_A_006</w:t>
            </w:r>
          </w:p>
        </w:tc>
        <w:tc>
          <w:tcPr>
            <w:tcW w:w="909" w:type="pct"/>
            <w:hideMark/>
          </w:tcPr>
          <w:p w14:paraId="4245B7A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Young Street</w:t>
            </w:r>
          </w:p>
        </w:tc>
        <w:tc>
          <w:tcPr>
            <w:tcW w:w="1287" w:type="pct"/>
            <w:hideMark/>
          </w:tcPr>
          <w:p w14:paraId="07A44FB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4592566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1A0A699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$100,000 </w:t>
            </w:r>
          </w:p>
        </w:tc>
      </w:tr>
      <w:tr w:rsidR="00BE36FB" w:rsidRPr="009B7B35" w14:paraId="6871448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9591163" w14:textId="77777777" w:rsidR="00BE36FB" w:rsidRPr="009B7B35" w:rsidRDefault="00BE36FB" w:rsidP="001A7107">
            <w:pPr>
              <w:pStyle w:val="TableText"/>
              <w:rPr>
                <w:rFonts w:cs="Arial"/>
              </w:rPr>
            </w:pPr>
            <w:r w:rsidRPr="009B7B35">
              <w:rPr>
                <w:rFonts w:cs="Arial"/>
              </w:rPr>
              <w:t>SPS_A_007</w:t>
            </w:r>
          </w:p>
        </w:tc>
        <w:tc>
          <w:tcPr>
            <w:tcW w:w="909" w:type="pct"/>
            <w:hideMark/>
          </w:tcPr>
          <w:p w14:paraId="48FCE47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Morgan Street</w:t>
            </w:r>
          </w:p>
        </w:tc>
        <w:tc>
          <w:tcPr>
            <w:tcW w:w="1287" w:type="pct"/>
            <w:hideMark/>
          </w:tcPr>
          <w:p w14:paraId="28D4CF5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0722317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45D0704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$100,000 </w:t>
            </w:r>
          </w:p>
        </w:tc>
      </w:tr>
      <w:tr w:rsidR="00BE36FB" w:rsidRPr="009B7B35" w14:paraId="4CB6DBF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C5E502C" w14:textId="77777777" w:rsidR="00BE36FB" w:rsidRPr="009B7B35" w:rsidRDefault="00BE36FB" w:rsidP="001A7107">
            <w:pPr>
              <w:pStyle w:val="TableText"/>
              <w:rPr>
                <w:rFonts w:cs="Arial"/>
              </w:rPr>
            </w:pPr>
            <w:r w:rsidRPr="009B7B35">
              <w:rPr>
                <w:rFonts w:cs="Arial"/>
              </w:rPr>
              <w:t>SPS_A_009</w:t>
            </w:r>
          </w:p>
        </w:tc>
        <w:tc>
          <w:tcPr>
            <w:tcW w:w="909" w:type="pct"/>
            <w:hideMark/>
          </w:tcPr>
          <w:p w14:paraId="2936881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Chapple Street (North)</w:t>
            </w:r>
          </w:p>
        </w:tc>
        <w:tc>
          <w:tcPr>
            <w:tcW w:w="1287" w:type="pct"/>
            <w:hideMark/>
          </w:tcPr>
          <w:p w14:paraId="2C10C27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1A01015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339DEDC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$100,000 </w:t>
            </w:r>
          </w:p>
        </w:tc>
      </w:tr>
      <w:tr w:rsidR="00BE36FB" w:rsidRPr="009B7B35" w14:paraId="485B07E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1E210D7D" w14:textId="77777777" w:rsidR="00BE36FB" w:rsidRPr="009B7B35" w:rsidRDefault="00BE36FB" w:rsidP="001A7107">
            <w:pPr>
              <w:pStyle w:val="TableText"/>
              <w:rPr>
                <w:rFonts w:cs="Arial"/>
              </w:rPr>
            </w:pPr>
            <w:r w:rsidRPr="009B7B35">
              <w:rPr>
                <w:rFonts w:cs="Arial"/>
              </w:rPr>
              <w:t>SPS_A_010</w:t>
            </w:r>
          </w:p>
        </w:tc>
        <w:tc>
          <w:tcPr>
            <w:tcW w:w="909" w:type="pct"/>
            <w:hideMark/>
          </w:tcPr>
          <w:p w14:paraId="750F32D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Marina (terminal building)</w:t>
            </w:r>
          </w:p>
        </w:tc>
        <w:tc>
          <w:tcPr>
            <w:tcW w:w="1287" w:type="pct"/>
            <w:hideMark/>
          </w:tcPr>
          <w:p w14:paraId="631DAE4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04B2D92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5C4118A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$100,000 </w:t>
            </w:r>
          </w:p>
        </w:tc>
      </w:tr>
      <w:tr w:rsidR="00BE36FB" w:rsidRPr="009B7B35" w14:paraId="11C7E2D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674ABE7F" w14:textId="77777777" w:rsidR="00BE36FB" w:rsidRPr="009B7B35" w:rsidRDefault="00BE36FB" w:rsidP="001A7107">
            <w:pPr>
              <w:pStyle w:val="TableText"/>
              <w:rPr>
                <w:rFonts w:cs="Arial"/>
              </w:rPr>
            </w:pPr>
            <w:r w:rsidRPr="009B7B35">
              <w:rPr>
                <w:rFonts w:cs="Arial"/>
              </w:rPr>
              <w:t>SPS_A_011</w:t>
            </w:r>
          </w:p>
        </w:tc>
        <w:tc>
          <w:tcPr>
            <w:tcW w:w="909" w:type="pct"/>
            <w:hideMark/>
          </w:tcPr>
          <w:p w14:paraId="397AF3F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Clinton coal facility</w:t>
            </w:r>
          </w:p>
        </w:tc>
        <w:tc>
          <w:tcPr>
            <w:tcW w:w="1287" w:type="pct"/>
            <w:hideMark/>
          </w:tcPr>
          <w:p w14:paraId="3CEE1EC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162070A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758F33E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$231,990 </w:t>
            </w:r>
          </w:p>
        </w:tc>
      </w:tr>
      <w:tr w:rsidR="00BE36FB" w:rsidRPr="009B7B35" w14:paraId="552CA25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3C56208E" w14:textId="77777777" w:rsidR="00BE36FB" w:rsidRPr="009B7B35" w:rsidRDefault="00BE36FB" w:rsidP="001A7107">
            <w:pPr>
              <w:pStyle w:val="TableText"/>
              <w:rPr>
                <w:rFonts w:cs="Arial"/>
              </w:rPr>
            </w:pPr>
            <w:r w:rsidRPr="009B7B35">
              <w:rPr>
                <w:rFonts w:cs="Arial"/>
              </w:rPr>
              <w:t>SPS_S_001</w:t>
            </w:r>
          </w:p>
        </w:tc>
        <w:tc>
          <w:tcPr>
            <w:tcW w:w="909" w:type="pct"/>
            <w:hideMark/>
          </w:tcPr>
          <w:p w14:paraId="4F2BC83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Neil Street</w:t>
            </w:r>
          </w:p>
        </w:tc>
        <w:tc>
          <w:tcPr>
            <w:tcW w:w="1287" w:type="pct"/>
            <w:hideMark/>
          </w:tcPr>
          <w:p w14:paraId="5DADD88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7157888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461CAD2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$100,000 </w:t>
            </w:r>
          </w:p>
        </w:tc>
      </w:tr>
      <w:tr w:rsidR="00BE36FB" w:rsidRPr="009B7B35" w14:paraId="0C3D7B4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C5CBB46" w14:textId="77777777" w:rsidR="00BE36FB" w:rsidRPr="009B7B35" w:rsidRDefault="00BE36FB" w:rsidP="001A7107">
            <w:pPr>
              <w:pStyle w:val="TableText"/>
              <w:rPr>
                <w:rFonts w:cs="Arial"/>
              </w:rPr>
            </w:pPr>
            <w:r w:rsidRPr="009B7B35">
              <w:rPr>
                <w:rFonts w:cs="Arial"/>
              </w:rPr>
              <w:t>SPS_S_002</w:t>
            </w:r>
          </w:p>
        </w:tc>
        <w:tc>
          <w:tcPr>
            <w:tcW w:w="909" w:type="pct"/>
            <w:hideMark/>
          </w:tcPr>
          <w:p w14:paraId="7C8933D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Cemetery Road</w:t>
            </w:r>
          </w:p>
        </w:tc>
        <w:tc>
          <w:tcPr>
            <w:tcW w:w="1287" w:type="pct"/>
            <w:hideMark/>
          </w:tcPr>
          <w:p w14:paraId="3696768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454EE8F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7F4B711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$1,721,610 </w:t>
            </w:r>
          </w:p>
        </w:tc>
      </w:tr>
      <w:tr w:rsidR="00BE36FB" w:rsidRPr="009B7B35" w14:paraId="67AB579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DAE63FA" w14:textId="77777777" w:rsidR="00BE36FB" w:rsidRPr="009B7B35" w:rsidRDefault="00BE36FB" w:rsidP="001A7107">
            <w:pPr>
              <w:pStyle w:val="TableText"/>
              <w:rPr>
                <w:rFonts w:cs="Arial"/>
              </w:rPr>
            </w:pPr>
            <w:r w:rsidRPr="009B7B35">
              <w:rPr>
                <w:rFonts w:cs="Arial"/>
              </w:rPr>
              <w:t>SPS_S_004</w:t>
            </w:r>
          </w:p>
        </w:tc>
        <w:tc>
          <w:tcPr>
            <w:tcW w:w="909" w:type="pct"/>
            <w:hideMark/>
          </w:tcPr>
          <w:p w14:paraId="163E2ED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Parsloe Street</w:t>
            </w:r>
          </w:p>
        </w:tc>
        <w:tc>
          <w:tcPr>
            <w:tcW w:w="1287" w:type="pct"/>
            <w:hideMark/>
          </w:tcPr>
          <w:p w14:paraId="6A987AD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76AEABC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25FFF6C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$172,050 </w:t>
            </w:r>
          </w:p>
        </w:tc>
      </w:tr>
      <w:tr w:rsidR="00BE36FB" w:rsidRPr="009B7B35" w14:paraId="413CC54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334CC64D" w14:textId="77777777" w:rsidR="00BE36FB" w:rsidRPr="009B7B35" w:rsidRDefault="00BE36FB" w:rsidP="001A7107">
            <w:pPr>
              <w:pStyle w:val="TableText"/>
              <w:rPr>
                <w:rFonts w:cs="Arial"/>
              </w:rPr>
            </w:pPr>
            <w:r w:rsidRPr="009B7B35">
              <w:rPr>
                <w:rFonts w:cs="Arial"/>
              </w:rPr>
              <w:t>SPS_T_004</w:t>
            </w:r>
          </w:p>
        </w:tc>
        <w:tc>
          <w:tcPr>
            <w:tcW w:w="909" w:type="pct"/>
            <w:hideMark/>
          </w:tcPr>
          <w:p w14:paraId="23604E8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Boys Road</w:t>
            </w:r>
          </w:p>
        </w:tc>
        <w:tc>
          <w:tcPr>
            <w:tcW w:w="1287" w:type="pct"/>
            <w:hideMark/>
          </w:tcPr>
          <w:p w14:paraId="40B0EFE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5EF125F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644B8BB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$100,000 </w:t>
            </w:r>
          </w:p>
        </w:tc>
      </w:tr>
      <w:tr w:rsidR="00BE36FB" w:rsidRPr="009B7B35" w14:paraId="5379FCE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368F2AF" w14:textId="77777777" w:rsidR="00BE36FB" w:rsidRPr="009B7B35" w:rsidRDefault="00BE36FB" w:rsidP="001A7107">
            <w:pPr>
              <w:pStyle w:val="TableText"/>
              <w:rPr>
                <w:rFonts w:cs="Arial"/>
              </w:rPr>
            </w:pPr>
            <w:r w:rsidRPr="009B7B35">
              <w:rPr>
                <w:rFonts w:cs="Arial"/>
              </w:rPr>
              <w:t>SPS_T_006</w:t>
            </w:r>
          </w:p>
        </w:tc>
        <w:tc>
          <w:tcPr>
            <w:tcW w:w="909" w:type="pct"/>
            <w:hideMark/>
          </w:tcPr>
          <w:p w14:paraId="7C32FEC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Cavella Drive, Glen Eden</w:t>
            </w:r>
          </w:p>
        </w:tc>
        <w:tc>
          <w:tcPr>
            <w:tcW w:w="1287" w:type="pct"/>
            <w:hideMark/>
          </w:tcPr>
          <w:p w14:paraId="4B645AD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63FE392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2AE2A25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$113,220 </w:t>
            </w:r>
          </w:p>
        </w:tc>
      </w:tr>
      <w:tr w:rsidR="00BE36FB" w:rsidRPr="009B7B35" w14:paraId="361793B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09E71C75" w14:textId="77777777" w:rsidR="00BE36FB" w:rsidRPr="009B7B35" w:rsidRDefault="00BE36FB" w:rsidP="001A7107">
            <w:pPr>
              <w:pStyle w:val="TableText"/>
              <w:rPr>
                <w:rFonts w:cs="Arial"/>
              </w:rPr>
            </w:pPr>
            <w:r w:rsidRPr="009B7B35">
              <w:rPr>
                <w:rFonts w:cs="Arial"/>
              </w:rPr>
              <w:t>SPS_AW_001</w:t>
            </w:r>
          </w:p>
        </w:tc>
        <w:tc>
          <w:tcPr>
            <w:tcW w:w="909" w:type="pct"/>
            <w:hideMark/>
          </w:tcPr>
          <w:p w14:paraId="023B6A6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Near Jarvey Drive</w:t>
            </w:r>
          </w:p>
        </w:tc>
        <w:tc>
          <w:tcPr>
            <w:tcW w:w="1287" w:type="pct"/>
            <w:hideMark/>
          </w:tcPr>
          <w:p w14:paraId="3C6CD5B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364FBC7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14:paraId="2BFD78F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$591,630 </w:t>
            </w:r>
          </w:p>
        </w:tc>
      </w:tr>
      <w:tr w:rsidR="00BE36FB" w:rsidRPr="009B7B35" w14:paraId="3EF3B16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418AE5D1" w14:textId="77777777" w:rsidR="00BE36FB" w:rsidRPr="009B7B35" w:rsidRDefault="00BE36FB" w:rsidP="001A7107">
            <w:pPr>
              <w:pStyle w:val="TableText"/>
              <w:rPr>
                <w:rFonts w:cs="Arial"/>
              </w:rPr>
            </w:pPr>
            <w:r w:rsidRPr="009B7B35">
              <w:rPr>
                <w:rFonts w:cs="Arial"/>
              </w:rPr>
              <w:t>SPS_AW_004</w:t>
            </w:r>
          </w:p>
        </w:tc>
        <w:tc>
          <w:tcPr>
            <w:tcW w:w="909" w:type="pct"/>
            <w:hideMark/>
          </w:tcPr>
          <w:p w14:paraId="089F52F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Near Captain Cook Drive</w:t>
            </w:r>
          </w:p>
        </w:tc>
        <w:tc>
          <w:tcPr>
            <w:tcW w:w="1287" w:type="pct"/>
            <w:hideMark/>
          </w:tcPr>
          <w:p w14:paraId="633E0DD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5EA4E71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33" w:type="pct"/>
            <w:hideMark/>
          </w:tcPr>
          <w:p w14:paraId="774220D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$802,530 </w:t>
            </w:r>
          </w:p>
        </w:tc>
      </w:tr>
      <w:tr w:rsidR="00BE36FB" w:rsidRPr="009B7B35" w14:paraId="4C27D76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5E889B7" w14:textId="77777777" w:rsidR="00BE36FB" w:rsidRPr="009B7B35" w:rsidRDefault="00BE36FB" w:rsidP="001A7107">
            <w:pPr>
              <w:pStyle w:val="TableText"/>
              <w:rPr>
                <w:rFonts w:cs="Arial"/>
              </w:rPr>
            </w:pPr>
            <w:r w:rsidRPr="009B7B35">
              <w:rPr>
                <w:rFonts w:cs="Arial"/>
              </w:rPr>
              <w:t>SPS_AW_005</w:t>
            </w:r>
          </w:p>
        </w:tc>
        <w:tc>
          <w:tcPr>
            <w:tcW w:w="909" w:type="pct"/>
            <w:hideMark/>
          </w:tcPr>
          <w:p w14:paraId="64F8032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Springs Road</w:t>
            </w:r>
          </w:p>
        </w:tc>
        <w:tc>
          <w:tcPr>
            <w:tcW w:w="1287" w:type="pct"/>
            <w:hideMark/>
          </w:tcPr>
          <w:p w14:paraId="199DC88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5523E42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w:t>
            </w:r>
          </w:p>
        </w:tc>
        <w:tc>
          <w:tcPr>
            <w:tcW w:w="833" w:type="pct"/>
            <w:hideMark/>
          </w:tcPr>
          <w:p w14:paraId="5CF55E1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$300,810 </w:t>
            </w:r>
          </w:p>
        </w:tc>
      </w:tr>
      <w:tr w:rsidR="00BE36FB" w:rsidRPr="009B7B35" w14:paraId="5EF1F6C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F802B1E" w14:textId="77777777" w:rsidR="00BE36FB" w:rsidRPr="009B7B35" w:rsidRDefault="00BE36FB" w:rsidP="001A7107">
            <w:pPr>
              <w:pStyle w:val="TableText"/>
              <w:rPr>
                <w:rFonts w:cs="Arial"/>
              </w:rPr>
            </w:pPr>
            <w:r w:rsidRPr="009B7B35">
              <w:rPr>
                <w:rFonts w:cs="Arial"/>
              </w:rPr>
              <w:t>SPS_T_005</w:t>
            </w:r>
          </w:p>
        </w:tc>
        <w:tc>
          <w:tcPr>
            <w:tcW w:w="909" w:type="pct"/>
            <w:hideMark/>
          </w:tcPr>
          <w:p w14:paraId="6302F26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Glen Eden</w:t>
            </w:r>
          </w:p>
        </w:tc>
        <w:tc>
          <w:tcPr>
            <w:tcW w:w="1287" w:type="pct"/>
            <w:hideMark/>
          </w:tcPr>
          <w:p w14:paraId="031AC88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358B3B0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w:t>
            </w:r>
          </w:p>
        </w:tc>
        <w:tc>
          <w:tcPr>
            <w:tcW w:w="833" w:type="pct"/>
            <w:hideMark/>
          </w:tcPr>
          <w:p w14:paraId="39647BE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$434,010 </w:t>
            </w:r>
          </w:p>
        </w:tc>
      </w:tr>
      <w:tr w:rsidR="00BE36FB" w:rsidRPr="009B7B35" w14:paraId="37E00E5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039604EC" w14:textId="77777777" w:rsidR="00BE36FB" w:rsidRPr="009B7B35" w:rsidRDefault="00BE36FB" w:rsidP="001A7107">
            <w:pPr>
              <w:pStyle w:val="TableText"/>
              <w:rPr>
                <w:rFonts w:cs="Arial"/>
              </w:rPr>
            </w:pPr>
            <w:r w:rsidRPr="009B7B35">
              <w:rPr>
                <w:rFonts w:cs="Arial"/>
              </w:rPr>
              <w:t>SPS_S_003</w:t>
            </w:r>
          </w:p>
        </w:tc>
        <w:tc>
          <w:tcPr>
            <w:tcW w:w="909" w:type="pct"/>
            <w:hideMark/>
          </w:tcPr>
          <w:p w14:paraId="2D477B2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Parksville Estate ( Emerdale)</w:t>
            </w:r>
          </w:p>
        </w:tc>
        <w:tc>
          <w:tcPr>
            <w:tcW w:w="1287" w:type="pct"/>
            <w:hideMark/>
          </w:tcPr>
          <w:p w14:paraId="2A4D0B9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68C394E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w:t>
            </w:r>
          </w:p>
        </w:tc>
        <w:tc>
          <w:tcPr>
            <w:tcW w:w="833" w:type="pct"/>
            <w:hideMark/>
          </w:tcPr>
          <w:p w14:paraId="32350A7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$100,000 </w:t>
            </w:r>
          </w:p>
        </w:tc>
      </w:tr>
      <w:tr w:rsidR="00BE36FB" w:rsidRPr="009B7B35" w14:paraId="7F9A992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992EA89" w14:textId="77777777" w:rsidR="00BE36FB" w:rsidRPr="009B7B35" w:rsidRDefault="00BE36FB" w:rsidP="001A7107">
            <w:pPr>
              <w:pStyle w:val="TableText"/>
              <w:rPr>
                <w:rFonts w:cs="Arial"/>
              </w:rPr>
            </w:pPr>
            <w:r w:rsidRPr="009B7B35">
              <w:rPr>
                <w:rFonts w:cs="Arial"/>
              </w:rPr>
              <w:t>SPS_A_012</w:t>
            </w:r>
          </w:p>
        </w:tc>
        <w:tc>
          <w:tcPr>
            <w:tcW w:w="909" w:type="pct"/>
            <w:hideMark/>
          </w:tcPr>
          <w:p w14:paraId="043C55D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Beckinsale Street</w:t>
            </w:r>
          </w:p>
        </w:tc>
        <w:tc>
          <w:tcPr>
            <w:tcW w:w="1287" w:type="pct"/>
            <w:hideMark/>
          </w:tcPr>
          <w:p w14:paraId="19B5412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5990D27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33" w:type="pct"/>
            <w:hideMark/>
          </w:tcPr>
          <w:p w14:paraId="23E7685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$892,440 </w:t>
            </w:r>
          </w:p>
        </w:tc>
      </w:tr>
      <w:tr w:rsidR="00BE36FB" w:rsidRPr="009B7B35" w14:paraId="74EEEF6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68F2A5A4" w14:textId="77777777" w:rsidR="00BE36FB" w:rsidRPr="009B7B35" w:rsidRDefault="00BE36FB" w:rsidP="001A7107">
            <w:pPr>
              <w:pStyle w:val="TableText"/>
              <w:rPr>
                <w:rFonts w:cs="Arial"/>
              </w:rPr>
            </w:pPr>
            <w:r w:rsidRPr="009B7B35">
              <w:rPr>
                <w:rFonts w:cs="Arial"/>
              </w:rPr>
              <w:t>SES_A_001</w:t>
            </w:r>
          </w:p>
        </w:tc>
        <w:tc>
          <w:tcPr>
            <w:tcW w:w="909" w:type="pct"/>
            <w:hideMark/>
          </w:tcPr>
          <w:p w14:paraId="3FC9663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Lord Street</w:t>
            </w:r>
          </w:p>
        </w:tc>
        <w:tc>
          <w:tcPr>
            <w:tcW w:w="1287" w:type="pct"/>
            <w:hideMark/>
          </w:tcPr>
          <w:p w14:paraId="2C62F31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6B14B28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141140C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$308,580 </w:t>
            </w:r>
          </w:p>
        </w:tc>
      </w:tr>
      <w:tr w:rsidR="00BE36FB" w:rsidRPr="009B7B35" w14:paraId="31806D1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0D642056" w14:textId="77777777" w:rsidR="00BE36FB" w:rsidRPr="009B7B35" w:rsidRDefault="00BE36FB" w:rsidP="001A7107">
            <w:pPr>
              <w:pStyle w:val="TableText"/>
              <w:rPr>
                <w:rFonts w:cs="Arial"/>
              </w:rPr>
            </w:pPr>
            <w:r w:rsidRPr="009B7B35">
              <w:rPr>
                <w:rFonts w:cs="Arial"/>
              </w:rPr>
              <w:t>SES_A_003</w:t>
            </w:r>
          </w:p>
        </w:tc>
        <w:tc>
          <w:tcPr>
            <w:tcW w:w="909" w:type="pct"/>
            <w:hideMark/>
          </w:tcPr>
          <w:p w14:paraId="553940E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Agnes Street</w:t>
            </w:r>
          </w:p>
        </w:tc>
        <w:tc>
          <w:tcPr>
            <w:tcW w:w="1287" w:type="pct"/>
            <w:hideMark/>
          </w:tcPr>
          <w:p w14:paraId="107BF0E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7DD69C7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2D3DA8C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$105,450 </w:t>
            </w:r>
          </w:p>
        </w:tc>
      </w:tr>
      <w:tr w:rsidR="00BE36FB" w:rsidRPr="009B7B35" w14:paraId="7892AD2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6E648A0" w14:textId="77777777" w:rsidR="00BE36FB" w:rsidRPr="009B7B35" w:rsidRDefault="00BE36FB" w:rsidP="001A7107">
            <w:pPr>
              <w:pStyle w:val="TableText"/>
              <w:rPr>
                <w:rFonts w:cs="Arial"/>
              </w:rPr>
            </w:pPr>
            <w:r w:rsidRPr="009B7B35">
              <w:rPr>
                <w:rFonts w:cs="Arial"/>
              </w:rPr>
              <w:t>SES_A_004</w:t>
            </w:r>
          </w:p>
        </w:tc>
        <w:tc>
          <w:tcPr>
            <w:tcW w:w="909" w:type="pct"/>
            <w:hideMark/>
          </w:tcPr>
          <w:p w14:paraId="6B7CF53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Friend Street</w:t>
            </w:r>
          </w:p>
        </w:tc>
        <w:tc>
          <w:tcPr>
            <w:tcW w:w="1287" w:type="pct"/>
            <w:hideMark/>
          </w:tcPr>
          <w:p w14:paraId="33D8500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0C8382A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2C37ED2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$105,450 </w:t>
            </w:r>
          </w:p>
        </w:tc>
      </w:tr>
      <w:tr w:rsidR="00BE36FB" w:rsidRPr="009B7B35" w14:paraId="79ACCD9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2E091718" w14:textId="77777777" w:rsidR="00BE36FB" w:rsidRPr="009B7B35" w:rsidRDefault="00BE36FB" w:rsidP="001A7107">
            <w:pPr>
              <w:pStyle w:val="TableText"/>
              <w:rPr>
                <w:rFonts w:cs="Arial"/>
              </w:rPr>
            </w:pPr>
            <w:r w:rsidRPr="009B7B35">
              <w:rPr>
                <w:rFonts w:cs="Arial"/>
              </w:rPr>
              <w:t>SES_A_005</w:t>
            </w:r>
          </w:p>
        </w:tc>
        <w:tc>
          <w:tcPr>
            <w:tcW w:w="909" w:type="pct"/>
            <w:hideMark/>
          </w:tcPr>
          <w:p w14:paraId="2DC7C57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Palm Drive</w:t>
            </w:r>
          </w:p>
        </w:tc>
        <w:tc>
          <w:tcPr>
            <w:tcW w:w="1287" w:type="pct"/>
            <w:hideMark/>
          </w:tcPr>
          <w:p w14:paraId="63EF469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6D73D8F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1057217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$105,450 </w:t>
            </w:r>
          </w:p>
        </w:tc>
      </w:tr>
      <w:tr w:rsidR="00BE36FB" w:rsidRPr="009B7B35" w14:paraId="1881C9C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75580C7E" w14:textId="77777777" w:rsidR="00BE36FB" w:rsidRPr="009B7B35" w:rsidRDefault="00BE36FB" w:rsidP="001A7107">
            <w:pPr>
              <w:pStyle w:val="TableText"/>
              <w:rPr>
                <w:rFonts w:cs="Arial"/>
              </w:rPr>
            </w:pPr>
            <w:r w:rsidRPr="009B7B35">
              <w:rPr>
                <w:rFonts w:cs="Arial"/>
              </w:rPr>
              <w:t>SES_A_006</w:t>
            </w:r>
          </w:p>
        </w:tc>
        <w:tc>
          <w:tcPr>
            <w:tcW w:w="909" w:type="pct"/>
            <w:hideMark/>
          </w:tcPr>
          <w:p w14:paraId="4DE43AA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Morgan Street</w:t>
            </w:r>
          </w:p>
        </w:tc>
        <w:tc>
          <w:tcPr>
            <w:tcW w:w="1287" w:type="pct"/>
            <w:hideMark/>
          </w:tcPr>
          <w:p w14:paraId="47ABF74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2B3974D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5644627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$23,310 </w:t>
            </w:r>
          </w:p>
        </w:tc>
      </w:tr>
      <w:tr w:rsidR="00BE36FB" w:rsidRPr="009B7B35" w14:paraId="5F8D84A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462644EF" w14:textId="77777777" w:rsidR="00BE36FB" w:rsidRPr="009B7B35" w:rsidRDefault="00BE36FB" w:rsidP="001A7107">
            <w:pPr>
              <w:pStyle w:val="TableText"/>
              <w:rPr>
                <w:rFonts w:cs="Arial"/>
              </w:rPr>
            </w:pPr>
            <w:r w:rsidRPr="009B7B35">
              <w:rPr>
                <w:rFonts w:cs="Arial"/>
              </w:rPr>
              <w:t>SES_A_007</w:t>
            </w:r>
          </w:p>
        </w:tc>
        <w:tc>
          <w:tcPr>
            <w:tcW w:w="909" w:type="pct"/>
            <w:hideMark/>
          </w:tcPr>
          <w:p w14:paraId="452F71C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Soppa Street</w:t>
            </w:r>
          </w:p>
        </w:tc>
        <w:tc>
          <w:tcPr>
            <w:tcW w:w="1287" w:type="pct"/>
            <w:hideMark/>
          </w:tcPr>
          <w:p w14:paraId="482C707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6BE2DC7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7930C89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$23,310 </w:t>
            </w:r>
          </w:p>
        </w:tc>
      </w:tr>
      <w:tr w:rsidR="00BE36FB" w:rsidRPr="009B7B35" w14:paraId="3E7D283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326F579" w14:textId="77777777" w:rsidR="00BE36FB" w:rsidRPr="009B7B35" w:rsidRDefault="00BE36FB" w:rsidP="001A7107">
            <w:pPr>
              <w:pStyle w:val="TableText"/>
              <w:rPr>
                <w:rFonts w:cs="Arial"/>
              </w:rPr>
            </w:pPr>
            <w:r w:rsidRPr="009B7B35">
              <w:rPr>
                <w:rFonts w:cs="Arial"/>
              </w:rPr>
              <w:t>SES_A_008</w:t>
            </w:r>
          </w:p>
        </w:tc>
        <w:tc>
          <w:tcPr>
            <w:tcW w:w="909" w:type="pct"/>
            <w:hideMark/>
          </w:tcPr>
          <w:p w14:paraId="18A417F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Clinton coal facility</w:t>
            </w:r>
          </w:p>
        </w:tc>
        <w:tc>
          <w:tcPr>
            <w:tcW w:w="1287" w:type="pct"/>
            <w:hideMark/>
          </w:tcPr>
          <w:p w14:paraId="6A3960D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3644CB5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083A453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$23,310 </w:t>
            </w:r>
          </w:p>
        </w:tc>
      </w:tr>
      <w:tr w:rsidR="00BE36FB" w:rsidRPr="009B7B35" w14:paraId="23D0938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627BACE6" w14:textId="77777777" w:rsidR="00BE36FB" w:rsidRPr="009B7B35" w:rsidRDefault="00BE36FB" w:rsidP="001A7107">
            <w:pPr>
              <w:pStyle w:val="TableText"/>
              <w:rPr>
                <w:rFonts w:cs="Arial"/>
              </w:rPr>
            </w:pPr>
            <w:r w:rsidRPr="009B7B35">
              <w:rPr>
                <w:rFonts w:cs="Arial"/>
              </w:rPr>
              <w:t>SES_S_001</w:t>
            </w:r>
          </w:p>
        </w:tc>
        <w:tc>
          <w:tcPr>
            <w:tcW w:w="909" w:type="pct"/>
            <w:hideMark/>
          </w:tcPr>
          <w:p w14:paraId="3DA4F03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Aerodrome Road</w:t>
            </w:r>
          </w:p>
        </w:tc>
        <w:tc>
          <w:tcPr>
            <w:tcW w:w="1287" w:type="pct"/>
            <w:hideMark/>
          </w:tcPr>
          <w:p w14:paraId="7BA1113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6D1EB95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4EB8D50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$66,600 </w:t>
            </w:r>
          </w:p>
        </w:tc>
      </w:tr>
      <w:tr w:rsidR="00BE36FB" w:rsidRPr="009B7B35" w14:paraId="00A32E1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13B982A9" w14:textId="77777777" w:rsidR="00BE36FB" w:rsidRPr="009B7B35" w:rsidRDefault="00BE36FB" w:rsidP="001A7107">
            <w:pPr>
              <w:pStyle w:val="TableText"/>
              <w:rPr>
                <w:rFonts w:cs="Arial"/>
              </w:rPr>
            </w:pPr>
            <w:r w:rsidRPr="009B7B35">
              <w:rPr>
                <w:rFonts w:cs="Arial"/>
              </w:rPr>
              <w:t>SES_S_002</w:t>
            </w:r>
          </w:p>
        </w:tc>
        <w:tc>
          <w:tcPr>
            <w:tcW w:w="909" w:type="pct"/>
            <w:hideMark/>
          </w:tcPr>
          <w:p w14:paraId="4ED6393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Cemetery Road</w:t>
            </w:r>
          </w:p>
        </w:tc>
        <w:tc>
          <w:tcPr>
            <w:tcW w:w="1287" w:type="pct"/>
            <w:hideMark/>
          </w:tcPr>
          <w:p w14:paraId="0B5E49E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3B44EE1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5E6FC34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$358,530 </w:t>
            </w:r>
          </w:p>
        </w:tc>
      </w:tr>
      <w:tr w:rsidR="00BE36FB" w:rsidRPr="009B7B35" w14:paraId="6428FED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0F2D1F00" w14:textId="77777777" w:rsidR="00BE36FB" w:rsidRPr="009B7B35" w:rsidRDefault="00BE36FB" w:rsidP="001A7107">
            <w:pPr>
              <w:pStyle w:val="TableText"/>
              <w:rPr>
                <w:rFonts w:cs="Arial"/>
              </w:rPr>
            </w:pPr>
            <w:r w:rsidRPr="009B7B35">
              <w:rPr>
                <w:rFonts w:cs="Arial"/>
              </w:rPr>
              <w:t>SES_T_001</w:t>
            </w:r>
          </w:p>
        </w:tc>
        <w:tc>
          <w:tcPr>
            <w:tcW w:w="909" w:type="pct"/>
            <w:hideMark/>
          </w:tcPr>
          <w:p w14:paraId="510AFE4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Boys Road</w:t>
            </w:r>
          </w:p>
        </w:tc>
        <w:tc>
          <w:tcPr>
            <w:tcW w:w="1287" w:type="pct"/>
            <w:hideMark/>
          </w:tcPr>
          <w:p w14:paraId="2DC9760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24C2656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50B8FF5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$42,180 </w:t>
            </w:r>
          </w:p>
        </w:tc>
      </w:tr>
      <w:tr w:rsidR="00BE36FB" w:rsidRPr="009B7B35" w14:paraId="3181019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13C5E543" w14:textId="77777777" w:rsidR="00BE36FB" w:rsidRPr="009B7B35" w:rsidRDefault="00BE36FB" w:rsidP="001A7107">
            <w:pPr>
              <w:pStyle w:val="TableText"/>
              <w:rPr>
                <w:rFonts w:cs="Arial"/>
              </w:rPr>
            </w:pPr>
            <w:r w:rsidRPr="009B7B35">
              <w:rPr>
                <w:rFonts w:cs="Arial"/>
              </w:rPr>
              <w:t>SES_T_002</w:t>
            </w:r>
          </w:p>
        </w:tc>
        <w:tc>
          <w:tcPr>
            <w:tcW w:w="909" w:type="pct"/>
            <w:hideMark/>
          </w:tcPr>
          <w:p w14:paraId="29F8FCA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Glen Eden</w:t>
            </w:r>
          </w:p>
        </w:tc>
        <w:tc>
          <w:tcPr>
            <w:tcW w:w="1287" w:type="pct"/>
            <w:hideMark/>
          </w:tcPr>
          <w:p w14:paraId="500261A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0669E1B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w:t>
            </w:r>
          </w:p>
        </w:tc>
        <w:tc>
          <w:tcPr>
            <w:tcW w:w="833" w:type="pct"/>
            <w:hideMark/>
          </w:tcPr>
          <w:p w14:paraId="2706233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$105,450 </w:t>
            </w:r>
          </w:p>
        </w:tc>
      </w:tr>
      <w:tr w:rsidR="00BE36FB" w:rsidRPr="009B7B35" w14:paraId="65A0F3B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3D26E22F" w14:textId="77777777" w:rsidR="00BE36FB" w:rsidRPr="009B7B35" w:rsidRDefault="00BE36FB" w:rsidP="001A7107">
            <w:pPr>
              <w:pStyle w:val="TableText"/>
              <w:rPr>
                <w:rFonts w:cs="Arial"/>
              </w:rPr>
            </w:pPr>
            <w:r w:rsidRPr="009B7B35">
              <w:rPr>
                <w:rFonts w:cs="Arial"/>
              </w:rPr>
              <w:t>SES_T_003</w:t>
            </w:r>
          </w:p>
        </w:tc>
        <w:tc>
          <w:tcPr>
            <w:tcW w:w="909" w:type="pct"/>
            <w:hideMark/>
          </w:tcPr>
          <w:p w14:paraId="17C0073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Cavella Drive, Glen Eden</w:t>
            </w:r>
          </w:p>
        </w:tc>
        <w:tc>
          <w:tcPr>
            <w:tcW w:w="1287" w:type="pct"/>
            <w:hideMark/>
          </w:tcPr>
          <w:p w14:paraId="3CE23A5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4DE45E7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2014</w:t>
            </w:r>
          </w:p>
        </w:tc>
        <w:tc>
          <w:tcPr>
            <w:tcW w:w="833" w:type="pct"/>
            <w:hideMark/>
          </w:tcPr>
          <w:p w14:paraId="4D08CCA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$23,310 </w:t>
            </w:r>
          </w:p>
        </w:tc>
      </w:tr>
      <w:tr w:rsidR="00BE36FB" w:rsidRPr="009B7B35" w14:paraId="798E8E7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6AB1CE40" w14:textId="77777777" w:rsidR="00BE36FB" w:rsidRPr="009B7B35" w:rsidRDefault="00BE36FB" w:rsidP="001A7107">
            <w:pPr>
              <w:pStyle w:val="TableText"/>
              <w:rPr>
                <w:rFonts w:cs="Arial"/>
              </w:rPr>
            </w:pPr>
            <w:r w:rsidRPr="009B7B35">
              <w:rPr>
                <w:rFonts w:cs="Arial"/>
              </w:rPr>
              <w:t>SES_AW_002</w:t>
            </w:r>
          </w:p>
        </w:tc>
        <w:tc>
          <w:tcPr>
            <w:tcW w:w="909" w:type="pct"/>
            <w:hideMark/>
          </w:tcPr>
          <w:p w14:paraId="42425E3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Thomson Street</w:t>
            </w:r>
          </w:p>
        </w:tc>
        <w:tc>
          <w:tcPr>
            <w:tcW w:w="1287" w:type="pct"/>
            <w:hideMark/>
          </w:tcPr>
          <w:p w14:paraId="0726471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6281292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w:t>
            </w:r>
          </w:p>
        </w:tc>
        <w:tc>
          <w:tcPr>
            <w:tcW w:w="833" w:type="pct"/>
            <w:hideMark/>
          </w:tcPr>
          <w:p w14:paraId="101465B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$23,310 </w:t>
            </w:r>
          </w:p>
        </w:tc>
      </w:tr>
      <w:tr w:rsidR="00BE36FB" w:rsidRPr="009B7B35" w14:paraId="74DCDEB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6CFD6B63" w14:textId="77777777" w:rsidR="00BE36FB" w:rsidRPr="009B7B35" w:rsidRDefault="00BE36FB" w:rsidP="001A7107">
            <w:pPr>
              <w:pStyle w:val="TableText"/>
              <w:rPr>
                <w:rFonts w:cs="Arial"/>
              </w:rPr>
            </w:pPr>
            <w:r w:rsidRPr="009B7B35">
              <w:rPr>
                <w:rFonts w:cs="Arial"/>
              </w:rPr>
              <w:t>SES_A_002</w:t>
            </w:r>
          </w:p>
        </w:tc>
        <w:tc>
          <w:tcPr>
            <w:tcW w:w="909" w:type="pct"/>
            <w:hideMark/>
          </w:tcPr>
          <w:p w14:paraId="510D994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Strokarck Street</w:t>
            </w:r>
          </w:p>
        </w:tc>
        <w:tc>
          <w:tcPr>
            <w:tcW w:w="1287" w:type="pct"/>
            <w:hideMark/>
          </w:tcPr>
          <w:p w14:paraId="11BEB47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5C1E8B2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w:t>
            </w:r>
          </w:p>
        </w:tc>
        <w:tc>
          <w:tcPr>
            <w:tcW w:w="833" w:type="pct"/>
            <w:hideMark/>
          </w:tcPr>
          <w:p w14:paraId="1ACE3BE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$66,600 </w:t>
            </w:r>
          </w:p>
        </w:tc>
      </w:tr>
      <w:tr w:rsidR="00BE36FB" w:rsidRPr="009B7B35" w14:paraId="20A1B80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5859DFFC" w14:textId="77777777" w:rsidR="00BE36FB" w:rsidRPr="009B7B35" w:rsidRDefault="00BE36FB" w:rsidP="001A7107">
            <w:pPr>
              <w:pStyle w:val="TableText"/>
              <w:rPr>
                <w:rFonts w:cs="Arial"/>
              </w:rPr>
            </w:pPr>
            <w:r w:rsidRPr="009B7B35">
              <w:rPr>
                <w:rFonts w:cs="Arial"/>
              </w:rPr>
              <w:t>SES_AW_001</w:t>
            </w:r>
          </w:p>
        </w:tc>
        <w:tc>
          <w:tcPr>
            <w:tcW w:w="909" w:type="pct"/>
            <w:hideMark/>
          </w:tcPr>
          <w:p w14:paraId="0AF2B2F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Jeffery Court</w:t>
            </w:r>
          </w:p>
        </w:tc>
        <w:tc>
          <w:tcPr>
            <w:tcW w:w="1287" w:type="pct"/>
            <w:hideMark/>
          </w:tcPr>
          <w:p w14:paraId="1BC8A79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7BD1267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33" w:type="pct"/>
            <w:hideMark/>
          </w:tcPr>
          <w:p w14:paraId="21BE67D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$23,310 </w:t>
            </w:r>
          </w:p>
        </w:tc>
      </w:tr>
      <w:tr w:rsidR="00BE36FB" w:rsidRPr="009B7B35" w14:paraId="2537962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771DF574" w14:textId="77777777" w:rsidR="00BE36FB" w:rsidRPr="009B7B35" w:rsidRDefault="00BE36FB" w:rsidP="001A7107">
            <w:pPr>
              <w:pStyle w:val="TableText"/>
              <w:rPr>
                <w:rFonts w:cs="Arial"/>
              </w:rPr>
            </w:pPr>
            <w:r w:rsidRPr="009B7B35">
              <w:rPr>
                <w:rFonts w:cs="Arial"/>
              </w:rPr>
              <w:t>SES_A_009</w:t>
            </w:r>
          </w:p>
        </w:tc>
        <w:tc>
          <w:tcPr>
            <w:tcW w:w="909" w:type="pct"/>
            <w:hideMark/>
          </w:tcPr>
          <w:p w14:paraId="535E483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Beckinsale Street</w:t>
            </w:r>
          </w:p>
        </w:tc>
        <w:tc>
          <w:tcPr>
            <w:tcW w:w="1287" w:type="pct"/>
            <w:hideMark/>
          </w:tcPr>
          <w:p w14:paraId="6305678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0</w:t>
            </w:r>
          </w:p>
        </w:tc>
        <w:tc>
          <w:tcPr>
            <w:tcW w:w="834" w:type="pct"/>
            <w:hideMark/>
          </w:tcPr>
          <w:p w14:paraId="6161A86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2031</w:t>
            </w:r>
          </w:p>
        </w:tc>
        <w:tc>
          <w:tcPr>
            <w:tcW w:w="833" w:type="pct"/>
            <w:hideMark/>
          </w:tcPr>
          <w:p w14:paraId="7A86ECC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$42,180 </w:t>
            </w:r>
          </w:p>
        </w:tc>
      </w:tr>
      <w:tr w:rsidR="00BE36FB" w:rsidRPr="009B7B35" w14:paraId="3F3971E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pct"/>
            <w:hideMark/>
          </w:tcPr>
          <w:p w14:paraId="6088C8DC" w14:textId="77777777" w:rsidR="00BE36FB" w:rsidRPr="009B7B35" w:rsidRDefault="00BE36FB" w:rsidP="001A7107">
            <w:pPr>
              <w:pStyle w:val="TableText"/>
              <w:rPr>
                <w:rFonts w:cs="Arial"/>
              </w:rPr>
            </w:pPr>
            <w:r w:rsidRPr="009B7B35">
              <w:rPr>
                <w:rFonts w:cs="Arial"/>
              </w:rPr>
              <w:t>SES_S_003</w:t>
            </w:r>
          </w:p>
        </w:tc>
        <w:tc>
          <w:tcPr>
            <w:tcW w:w="909" w:type="pct"/>
            <w:hideMark/>
          </w:tcPr>
          <w:p w14:paraId="7A8E869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Parksville Estate (Emmadale)</w:t>
            </w:r>
          </w:p>
        </w:tc>
        <w:tc>
          <w:tcPr>
            <w:tcW w:w="1287" w:type="pct"/>
            <w:hideMark/>
          </w:tcPr>
          <w:p w14:paraId="48CD896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0</w:t>
            </w:r>
          </w:p>
        </w:tc>
        <w:tc>
          <w:tcPr>
            <w:tcW w:w="834" w:type="pct"/>
            <w:hideMark/>
          </w:tcPr>
          <w:p w14:paraId="101CD95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2031</w:t>
            </w:r>
          </w:p>
        </w:tc>
        <w:tc>
          <w:tcPr>
            <w:tcW w:w="833" w:type="pct"/>
            <w:hideMark/>
          </w:tcPr>
          <w:p w14:paraId="3DCB66F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$42,180 </w:t>
            </w:r>
          </w:p>
        </w:tc>
      </w:tr>
    </w:tbl>
    <w:p w14:paraId="19D2E3BD" w14:textId="77777777" w:rsidR="00BE36FB" w:rsidRPr="009B7B35" w:rsidRDefault="00BE36FB" w:rsidP="001A7107">
      <w:pPr>
        <w:pStyle w:val="Heading9"/>
        <w:numPr>
          <w:ilvl w:val="0"/>
          <w:numId w:val="0"/>
        </w:numPr>
        <w:rPr>
          <w:rFonts w:cs="Arial"/>
          <w:sz w:val="20"/>
        </w:rPr>
      </w:pPr>
      <w:r w:rsidRPr="009B7B35">
        <w:rPr>
          <w:rFonts w:cs="Arial"/>
          <w:sz w:val="20"/>
        </w:rPr>
        <w:t>Table SC3.2.3 – Transport network</w:t>
      </w:r>
    </w:p>
    <w:tbl>
      <w:tblPr>
        <w:tblStyle w:val="Tablestyle"/>
        <w:tblW w:w="4941" w:type="pct"/>
        <w:tblLayout w:type="fixed"/>
        <w:tblLook w:val="04A0" w:firstRow="1" w:lastRow="0" w:firstColumn="1" w:lastColumn="0" w:noHBand="0" w:noVBand="1"/>
      </w:tblPr>
      <w:tblGrid>
        <w:gridCol w:w="1716"/>
        <w:gridCol w:w="1403"/>
        <w:gridCol w:w="3117"/>
        <w:gridCol w:w="1561"/>
        <w:gridCol w:w="1559"/>
      </w:tblGrid>
      <w:tr w:rsidR="00BE36FB" w:rsidRPr="009B7B35" w14:paraId="36B3EAE4"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A778E12" w14:textId="77777777" w:rsidR="00BE36FB" w:rsidRPr="009B7B35" w:rsidRDefault="00BE36FB" w:rsidP="001A7107">
            <w:pPr>
              <w:pStyle w:val="TableText"/>
              <w:rPr>
                <w:rFonts w:cs="Arial"/>
              </w:rPr>
            </w:pPr>
            <w:r w:rsidRPr="009B7B35">
              <w:rPr>
                <w:rFonts w:cs="Arial"/>
              </w:rPr>
              <w:t>Column 1</w:t>
            </w:r>
          </w:p>
          <w:p w14:paraId="67921C28" w14:textId="77777777" w:rsidR="00BE36FB" w:rsidRPr="009B7B35" w:rsidRDefault="00BE36FB" w:rsidP="001A7107">
            <w:pPr>
              <w:pStyle w:val="TableText"/>
              <w:rPr>
                <w:rFonts w:cs="Arial"/>
              </w:rPr>
            </w:pPr>
            <w:r w:rsidRPr="009B7B35">
              <w:rPr>
                <w:rFonts w:cs="Arial"/>
              </w:rPr>
              <w:t>Asset ID</w:t>
            </w:r>
          </w:p>
        </w:tc>
        <w:tc>
          <w:tcPr>
            <w:tcW w:w="750" w:type="pct"/>
            <w:hideMark/>
          </w:tcPr>
          <w:p w14:paraId="6B4F1FA4"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2</w:t>
            </w:r>
          </w:p>
          <w:p w14:paraId="557DD31C"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Map reference (LGIP ID)</w:t>
            </w:r>
          </w:p>
        </w:tc>
        <w:tc>
          <w:tcPr>
            <w:tcW w:w="1666" w:type="pct"/>
            <w:hideMark/>
          </w:tcPr>
          <w:p w14:paraId="5718AED0"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3</w:t>
            </w:r>
          </w:p>
          <w:p w14:paraId="68F75300"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Asset name</w:t>
            </w:r>
          </w:p>
        </w:tc>
        <w:tc>
          <w:tcPr>
            <w:tcW w:w="834" w:type="pct"/>
            <w:hideMark/>
          </w:tcPr>
          <w:p w14:paraId="73382759"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4</w:t>
            </w:r>
          </w:p>
          <w:p w14:paraId="4C4A874E"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Establishment timing</w:t>
            </w:r>
          </w:p>
        </w:tc>
        <w:tc>
          <w:tcPr>
            <w:tcW w:w="833" w:type="pct"/>
            <w:hideMark/>
          </w:tcPr>
          <w:p w14:paraId="62358C7B"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Column 5</w:t>
            </w:r>
          </w:p>
          <w:p w14:paraId="3B5B4006"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Establishment cost</w:t>
            </w:r>
          </w:p>
        </w:tc>
      </w:tr>
      <w:tr w:rsidR="00BE36FB" w:rsidRPr="009B7B35" w14:paraId="2D286D2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2F46F5F6" w14:textId="77777777" w:rsidR="00BE36FB" w:rsidRPr="009B7B35" w:rsidRDefault="00BE36FB" w:rsidP="001A7107">
            <w:pPr>
              <w:pStyle w:val="TableText"/>
              <w:rPr>
                <w:rFonts w:cs="Arial"/>
              </w:rPr>
            </w:pPr>
            <w:r w:rsidRPr="009B7B35">
              <w:rPr>
                <w:rFonts w:cs="Arial"/>
              </w:rPr>
              <w:t>Blain Drive</w:t>
            </w:r>
          </w:p>
        </w:tc>
        <w:tc>
          <w:tcPr>
            <w:tcW w:w="750" w:type="pct"/>
            <w:hideMark/>
          </w:tcPr>
          <w:p w14:paraId="50569CA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R-BLN-001</w:t>
            </w:r>
          </w:p>
        </w:tc>
        <w:tc>
          <w:tcPr>
            <w:tcW w:w="1666" w:type="pct"/>
            <w:hideMark/>
          </w:tcPr>
          <w:p w14:paraId="25C3CA8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Blain Drive (Dawson Highway - Railway Crossing)</w:t>
            </w:r>
          </w:p>
        </w:tc>
        <w:tc>
          <w:tcPr>
            <w:tcW w:w="834" w:type="pct"/>
            <w:hideMark/>
          </w:tcPr>
          <w:p w14:paraId="633D17B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39C3F20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$680,000</w:t>
            </w:r>
          </w:p>
        </w:tc>
      </w:tr>
      <w:tr w:rsidR="00BE36FB" w:rsidRPr="009B7B35" w14:paraId="366E9BA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2F13C81" w14:textId="77777777" w:rsidR="00BE36FB" w:rsidRPr="009B7B35" w:rsidRDefault="00BE36FB" w:rsidP="001A7107">
            <w:pPr>
              <w:pStyle w:val="TableText"/>
              <w:rPr>
                <w:rFonts w:cs="Arial"/>
              </w:rPr>
            </w:pPr>
            <w:r w:rsidRPr="009B7B35">
              <w:rPr>
                <w:rFonts w:cs="Arial"/>
              </w:rPr>
              <w:t>Blain Drive</w:t>
            </w:r>
          </w:p>
        </w:tc>
        <w:tc>
          <w:tcPr>
            <w:tcW w:w="750" w:type="pct"/>
            <w:hideMark/>
          </w:tcPr>
          <w:p w14:paraId="7BAADC9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R-BLN-002</w:t>
            </w:r>
          </w:p>
        </w:tc>
        <w:tc>
          <w:tcPr>
            <w:tcW w:w="1666" w:type="pct"/>
            <w:hideMark/>
          </w:tcPr>
          <w:p w14:paraId="64DD110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Blain Drive (Railway Crossing - Auckland Creek)</w:t>
            </w:r>
          </w:p>
        </w:tc>
        <w:tc>
          <w:tcPr>
            <w:tcW w:w="834" w:type="pct"/>
            <w:hideMark/>
          </w:tcPr>
          <w:p w14:paraId="0FE4173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14:paraId="3C5C27C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$1,540,000</w:t>
            </w:r>
          </w:p>
        </w:tc>
      </w:tr>
      <w:tr w:rsidR="00BE36FB" w:rsidRPr="009B7B35" w14:paraId="29BFAFE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C55ABB5" w14:textId="77777777" w:rsidR="00BE36FB" w:rsidRPr="009B7B35" w:rsidRDefault="00BE36FB" w:rsidP="001A7107">
            <w:pPr>
              <w:pStyle w:val="TableText"/>
              <w:rPr>
                <w:rFonts w:cs="Arial"/>
              </w:rPr>
            </w:pPr>
            <w:r w:rsidRPr="009B7B35">
              <w:rPr>
                <w:rFonts w:cs="Arial"/>
              </w:rPr>
              <w:t>Blain Drive</w:t>
            </w:r>
          </w:p>
        </w:tc>
        <w:tc>
          <w:tcPr>
            <w:tcW w:w="750" w:type="pct"/>
            <w:hideMark/>
          </w:tcPr>
          <w:p w14:paraId="0DA9236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R-BLN-003</w:t>
            </w:r>
          </w:p>
        </w:tc>
        <w:tc>
          <w:tcPr>
            <w:tcW w:w="1666" w:type="pct"/>
            <w:hideMark/>
          </w:tcPr>
          <w:p w14:paraId="2CBF3E4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Blain Drive / Palm Drive Intersection</w:t>
            </w:r>
          </w:p>
        </w:tc>
        <w:tc>
          <w:tcPr>
            <w:tcW w:w="834" w:type="pct"/>
            <w:hideMark/>
          </w:tcPr>
          <w:p w14:paraId="3FC4A47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75E693C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$560,000</w:t>
            </w:r>
          </w:p>
        </w:tc>
      </w:tr>
      <w:tr w:rsidR="00BE36FB" w:rsidRPr="009B7B35" w14:paraId="10DEFCF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39CCFC54" w14:textId="77777777" w:rsidR="00BE36FB" w:rsidRPr="009B7B35" w:rsidRDefault="00BE36FB" w:rsidP="001A7107">
            <w:pPr>
              <w:pStyle w:val="TableText"/>
              <w:rPr>
                <w:rFonts w:cs="Arial"/>
              </w:rPr>
            </w:pPr>
            <w:r w:rsidRPr="009B7B35">
              <w:rPr>
                <w:rFonts w:cs="Arial"/>
              </w:rPr>
              <w:t>Blain Drive</w:t>
            </w:r>
          </w:p>
        </w:tc>
        <w:tc>
          <w:tcPr>
            <w:tcW w:w="750" w:type="pct"/>
            <w:hideMark/>
          </w:tcPr>
          <w:p w14:paraId="07F8E53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R-BLN-004</w:t>
            </w:r>
          </w:p>
        </w:tc>
        <w:tc>
          <w:tcPr>
            <w:tcW w:w="1666" w:type="pct"/>
            <w:hideMark/>
          </w:tcPr>
          <w:p w14:paraId="727DC8B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Blain Drive (Auckland Creek Bridge)</w:t>
            </w:r>
          </w:p>
        </w:tc>
        <w:tc>
          <w:tcPr>
            <w:tcW w:w="834" w:type="pct"/>
            <w:hideMark/>
          </w:tcPr>
          <w:p w14:paraId="5E890F1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14:paraId="4B1572B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$1,470,000</w:t>
            </w:r>
          </w:p>
        </w:tc>
      </w:tr>
      <w:tr w:rsidR="00BE36FB" w:rsidRPr="009B7B35" w14:paraId="0B607E0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559BA729" w14:textId="77777777" w:rsidR="00BE36FB" w:rsidRPr="009B7B35" w:rsidRDefault="00BE36FB" w:rsidP="001A7107">
            <w:pPr>
              <w:pStyle w:val="TableText"/>
              <w:rPr>
                <w:rFonts w:cs="Arial"/>
              </w:rPr>
            </w:pPr>
            <w:r w:rsidRPr="009B7B35">
              <w:rPr>
                <w:rFonts w:cs="Arial"/>
              </w:rPr>
              <w:t>Blain Drive</w:t>
            </w:r>
          </w:p>
        </w:tc>
        <w:tc>
          <w:tcPr>
            <w:tcW w:w="750" w:type="pct"/>
            <w:hideMark/>
          </w:tcPr>
          <w:p w14:paraId="4F68AD6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R-BLN-005</w:t>
            </w:r>
          </w:p>
        </w:tc>
        <w:tc>
          <w:tcPr>
            <w:tcW w:w="1666" w:type="pct"/>
            <w:hideMark/>
          </w:tcPr>
          <w:p w14:paraId="7DD13CA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Blain Drive (Auckland Creek - Hanson Road)</w:t>
            </w:r>
          </w:p>
        </w:tc>
        <w:tc>
          <w:tcPr>
            <w:tcW w:w="834" w:type="pct"/>
            <w:hideMark/>
          </w:tcPr>
          <w:p w14:paraId="5F0FE22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7F62C65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$1,930,000</w:t>
            </w:r>
          </w:p>
        </w:tc>
      </w:tr>
      <w:tr w:rsidR="00BE36FB" w:rsidRPr="009B7B35" w14:paraId="1B0E45E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FCECA67" w14:textId="77777777" w:rsidR="00BE36FB" w:rsidRPr="009B7B35" w:rsidRDefault="00BE36FB" w:rsidP="001A7107">
            <w:pPr>
              <w:pStyle w:val="TableText"/>
              <w:rPr>
                <w:rFonts w:cs="Arial"/>
              </w:rPr>
            </w:pPr>
            <w:r w:rsidRPr="009B7B35">
              <w:rPr>
                <w:rFonts w:cs="Arial"/>
              </w:rPr>
              <w:t>Callemondah</w:t>
            </w:r>
          </w:p>
        </w:tc>
        <w:tc>
          <w:tcPr>
            <w:tcW w:w="750" w:type="pct"/>
            <w:hideMark/>
          </w:tcPr>
          <w:p w14:paraId="0B37835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R-CAL-001</w:t>
            </w:r>
          </w:p>
        </w:tc>
        <w:tc>
          <w:tcPr>
            <w:tcW w:w="1666" w:type="pct"/>
            <w:hideMark/>
          </w:tcPr>
          <w:p w14:paraId="6BB5B99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Callemondah Drive (Roseanna Street - Railyards)</w:t>
            </w:r>
          </w:p>
        </w:tc>
        <w:tc>
          <w:tcPr>
            <w:tcW w:w="834" w:type="pct"/>
            <w:hideMark/>
          </w:tcPr>
          <w:p w14:paraId="359D45F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14:paraId="6D9227D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$860,000</w:t>
            </w:r>
          </w:p>
        </w:tc>
      </w:tr>
      <w:tr w:rsidR="00BE36FB" w:rsidRPr="009B7B35" w14:paraId="1E1C647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D9CAC20" w14:textId="77777777" w:rsidR="00BE36FB" w:rsidRPr="009B7B35" w:rsidRDefault="00BE36FB" w:rsidP="001A7107">
            <w:pPr>
              <w:pStyle w:val="TableText"/>
              <w:rPr>
                <w:rFonts w:cs="Arial"/>
              </w:rPr>
            </w:pPr>
            <w:r w:rsidRPr="009B7B35">
              <w:rPr>
                <w:rFonts w:cs="Arial"/>
              </w:rPr>
              <w:t>Callemondah</w:t>
            </w:r>
          </w:p>
        </w:tc>
        <w:tc>
          <w:tcPr>
            <w:tcW w:w="750" w:type="pct"/>
            <w:hideMark/>
          </w:tcPr>
          <w:p w14:paraId="4E840F1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R-CAL-002</w:t>
            </w:r>
          </w:p>
        </w:tc>
        <w:tc>
          <w:tcPr>
            <w:tcW w:w="1666" w:type="pct"/>
            <w:hideMark/>
          </w:tcPr>
          <w:p w14:paraId="3B44639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Red Rover Road (Power Station Rail Bridge - Benstead Street South)</w:t>
            </w:r>
          </w:p>
        </w:tc>
        <w:tc>
          <w:tcPr>
            <w:tcW w:w="834" w:type="pct"/>
            <w:hideMark/>
          </w:tcPr>
          <w:p w14:paraId="49AD571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14:paraId="19F3194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$580,000</w:t>
            </w:r>
          </w:p>
        </w:tc>
      </w:tr>
      <w:tr w:rsidR="00BE36FB" w:rsidRPr="009B7B35" w14:paraId="681CCB2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2464C18" w14:textId="77777777" w:rsidR="00BE36FB" w:rsidRPr="009B7B35" w:rsidRDefault="00BE36FB" w:rsidP="001A7107">
            <w:pPr>
              <w:pStyle w:val="TableText"/>
              <w:rPr>
                <w:rFonts w:cs="Arial"/>
              </w:rPr>
            </w:pPr>
            <w:r w:rsidRPr="009B7B35">
              <w:rPr>
                <w:rFonts w:cs="Arial"/>
              </w:rPr>
              <w:t>Callemondah</w:t>
            </w:r>
          </w:p>
        </w:tc>
        <w:tc>
          <w:tcPr>
            <w:tcW w:w="750" w:type="pct"/>
            <w:hideMark/>
          </w:tcPr>
          <w:p w14:paraId="1DE2170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R-CAL-003</w:t>
            </w:r>
          </w:p>
        </w:tc>
        <w:tc>
          <w:tcPr>
            <w:tcW w:w="1666" w:type="pct"/>
            <w:hideMark/>
          </w:tcPr>
          <w:p w14:paraId="059A270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Red Rover Road (Benstead Street South - Benstead Street North)</w:t>
            </w:r>
          </w:p>
        </w:tc>
        <w:tc>
          <w:tcPr>
            <w:tcW w:w="834" w:type="pct"/>
            <w:hideMark/>
          </w:tcPr>
          <w:p w14:paraId="05D74BC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2F83A34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$1,350,000</w:t>
            </w:r>
          </w:p>
        </w:tc>
      </w:tr>
      <w:tr w:rsidR="00BE36FB" w:rsidRPr="009B7B35" w14:paraId="5DBF4A2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33A9FBD2" w14:textId="77777777" w:rsidR="00BE36FB" w:rsidRPr="009B7B35" w:rsidRDefault="00BE36FB" w:rsidP="001A7107">
            <w:pPr>
              <w:pStyle w:val="TableText"/>
              <w:rPr>
                <w:rFonts w:cs="Arial"/>
              </w:rPr>
            </w:pPr>
            <w:r w:rsidRPr="009B7B35">
              <w:rPr>
                <w:rFonts w:cs="Arial"/>
              </w:rPr>
              <w:t>Callemondah</w:t>
            </w:r>
          </w:p>
        </w:tc>
        <w:tc>
          <w:tcPr>
            <w:tcW w:w="750" w:type="pct"/>
            <w:hideMark/>
          </w:tcPr>
          <w:p w14:paraId="1B2E75A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R-CAL-004</w:t>
            </w:r>
          </w:p>
        </w:tc>
        <w:tc>
          <w:tcPr>
            <w:tcW w:w="1666" w:type="pct"/>
            <w:hideMark/>
          </w:tcPr>
          <w:p w14:paraId="6064D47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Red Rover Road (Benstead Street North - Hanson Road)</w:t>
            </w:r>
          </w:p>
        </w:tc>
        <w:tc>
          <w:tcPr>
            <w:tcW w:w="834" w:type="pct"/>
            <w:hideMark/>
          </w:tcPr>
          <w:p w14:paraId="1737038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14:paraId="348E9A3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$970,000</w:t>
            </w:r>
          </w:p>
        </w:tc>
      </w:tr>
      <w:tr w:rsidR="00BE36FB" w:rsidRPr="009B7B35" w14:paraId="6A79AC3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E8DBFE0" w14:textId="77777777" w:rsidR="00BE36FB" w:rsidRPr="009B7B35" w:rsidRDefault="00BE36FB" w:rsidP="001A7107">
            <w:pPr>
              <w:pStyle w:val="TableText"/>
              <w:rPr>
                <w:rFonts w:cs="Arial"/>
              </w:rPr>
            </w:pPr>
            <w:r w:rsidRPr="009B7B35">
              <w:rPr>
                <w:rFonts w:cs="Arial"/>
              </w:rPr>
              <w:t>Callemondah</w:t>
            </w:r>
          </w:p>
        </w:tc>
        <w:tc>
          <w:tcPr>
            <w:tcW w:w="750" w:type="pct"/>
            <w:hideMark/>
          </w:tcPr>
          <w:p w14:paraId="6F069CD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R-CAL-005</w:t>
            </w:r>
          </w:p>
        </w:tc>
        <w:tc>
          <w:tcPr>
            <w:tcW w:w="1666" w:type="pct"/>
            <w:hideMark/>
          </w:tcPr>
          <w:p w14:paraId="6BBB9AE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Red Rover Road / Benstead Street South Intersection</w:t>
            </w:r>
          </w:p>
        </w:tc>
        <w:tc>
          <w:tcPr>
            <w:tcW w:w="834" w:type="pct"/>
            <w:hideMark/>
          </w:tcPr>
          <w:p w14:paraId="17317B3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604FA4F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$750,000</w:t>
            </w:r>
          </w:p>
        </w:tc>
      </w:tr>
      <w:tr w:rsidR="00BE36FB" w:rsidRPr="009B7B35" w14:paraId="1812881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58CFC0AC" w14:textId="77777777" w:rsidR="00BE36FB" w:rsidRPr="009B7B35" w:rsidRDefault="00BE36FB" w:rsidP="001A7107">
            <w:pPr>
              <w:pStyle w:val="TableText"/>
              <w:rPr>
                <w:rFonts w:cs="Arial"/>
              </w:rPr>
            </w:pPr>
            <w:r w:rsidRPr="009B7B35">
              <w:rPr>
                <w:rFonts w:cs="Arial"/>
              </w:rPr>
              <w:t>Callemondah</w:t>
            </w:r>
          </w:p>
        </w:tc>
        <w:tc>
          <w:tcPr>
            <w:tcW w:w="750" w:type="pct"/>
            <w:hideMark/>
          </w:tcPr>
          <w:p w14:paraId="351F5D6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R-CAL-006</w:t>
            </w:r>
          </w:p>
        </w:tc>
        <w:tc>
          <w:tcPr>
            <w:tcW w:w="1666" w:type="pct"/>
            <w:hideMark/>
          </w:tcPr>
          <w:p w14:paraId="0F4F06D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Red Rover Road / Benstead Street North Intersection</w:t>
            </w:r>
          </w:p>
        </w:tc>
        <w:tc>
          <w:tcPr>
            <w:tcW w:w="834" w:type="pct"/>
            <w:hideMark/>
          </w:tcPr>
          <w:p w14:paraId="65C7534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14:paraId="2AD3BD5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$750,000</w:t>
            </w:r>
          </w:p>
        </w:tc>
      </w:tr>
      <w:tr w:rsidR="00BE36FB" w:rsidRPr="009B7B35" w14:paraId="7C6606A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9FAE47F" w14:textId="77777777" w:rsidR="00BE36FB" w:rsidRPr="009B7B35" w:rsidRDefault="00BE36FB" w:rsidP="001A7107">
            <w:pPr>
              <w:pStyle w:val="TableText"/>
              <w:rPr>
                <w:rFonts w:cs="Arial"/>
              </w:rPr>
            </w:pPr>
            <w:r w:rsidRPr="009B7B35">
              <w:rPr>
                <w:rFonts w:cs="Arial"/>
              </w:rPr>
              <w:t>Clinton</w:t>
            </w:r>
          </w:p>
        </w:tc>
        <w:tc>
          <w:tcPr>
            <w:tcW w:w="750" w:type="pct"/>
            <w:hideMark/>
          </w:tcPr>
          <w:p w14:paraId="491C9A5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R-CLN-001</w:t>
            </w:r>
          </w:p>
        </w:tc>
        <w:tc>
          <w:tcPr>
            <w:tcW w:w="1666" w:type="pct"/>
            <w:hideMark/>
          </w:tcPr>
          <w:p w14:paraId="6959593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Don Young Drive / Col Brown Avenue Intersection</w:t>
            </w:r>
          </w:p>
        </w:tc>
        <w:tc>
          <w:tcPr>
            <w:tcW w:w="834" w:type="pct"/>
            <w:hideMark/>
          </w:tcPr>
          <w:p w14:paraId="23C05E8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25F67EA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$790,000</w:t>
            </w:r>
          </w:p>
        </w:tc>
      </w:tr>
      <w:tr w:rsidR="00BE36FB" w:rsidRPr="009B7B35" w14:paraId="53C6829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711994F8" w14:textId="77777777" w:rsidR="00BE36FB" w:rsidRPr="009B7B35" w:rsidRDefault="00BE36FB" w:rsidP="001A7107">
            <w:pPr>
              <w:pStyle w:val="TableText"/>
              <w:rPr>
                <w:rFonts w:cs="Arial"/>
              </w:rPr>
            </w:pPr>
            <w:r w:rsidRPr="009B7B35">
              <w:rPr>
                <w:rFonts w:cs="Arial"/>
              </w:rPr>
              <w:t>Clinton</w:t>
            </w:r>
          </w:p>
        </w:tc>
        <w:tc>
          <w:tcPr>
            <w:tcW w:w="750" w:type="pct"/>
            <w:hideMark/>
          </w:tcPr>
          <w:p w14:paraId="7D74F4B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R-CLN-002</w:t>
            </w:r>
          </w:p>
        </w:tc>
        <w:tc>
          <w:tcPr>
            <w:tcW w:w="1666" w:type="pct"/>
            <w:hideMark/>
          </w:tcPr>
          <w:p w14:paraId="0ADDE03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Dawson Highway / Kirkwood Road / Don Young Drive Intersection</w:t>
            </w:r>
          </w:p>
        </w:tc>
        <w:tc>
          <w:tcPr>
            <w:tcW w:w="834" w:type="pct"/>
            <w:hideMark/>
          </w:tcPr>
          <w:p w14:paraId="7CF0351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2014-2016</w:t>
            </w:r>
          </w:p>
        </w:tc>
        <w:tc>
          <w:tcPr>
            <w:tcW w:w="833" w:type="pct"/>
            <w:hideMark/>
          </w:tcPr>
          <w:p w14:paraId="26317E4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$2,050,000</w:t>
            </w:r>
          </w:p>
        </w:tc>
      </w:tr>
      <w:tr w:rsidR="00BE36FB" w:rsidRPr="009B7B35" w14:paraId="5EBF77F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18C02E5" w14:textId="77777777" w:rsidR="00BE36FB" w:rsidRPr="009B7B35" w:rsidRDefault="00BE36FB" w:rsidP="001A7107">
            <w:pPr>
              <w:pStyle w:val="TableText"/>
              <w:rPr>
                <w:rFonts w:cs="Arial"/>
              </w:rPr>
            </w:pPr>
            <w:r w:rsidRPr="009B7B35">
              <w:rPr>
                <w:rFonts w:cs="Arial"/>
              </w:rPr>
              <w:t>Clinton</w:t>
            </w:r>
          </w:p>
        </w:tc>
        <w:tc>
          <w:tcPr>
            <w:tcW w:w="750" w:type="pct"/>
            <w:hideMark/>
          </w:tcPr>
          <w:p w14:paraId="7357B53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R-CLN-003</w:t>
            </w:r>
          </w:p>
        </w:tc>
        <w:tc>
          <w:tcPr>
            <w:tcW w:w="1666" w:type="pct"/>
            <w:hideMark/>
          </w:tcPr>
          <w:p w14:paraId="06D0481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Dawson Highway / Harvey Road / Chapman Drive Intersection</w:t>
            </w:r>
          </w:p>
        </w:tc>
        <w:tc>
          <w:tcPr>
            <w:tcW w:w="834" w:type="pct"/>
            <w:hideMark/>
          </w:tcPr>
          <w:p w14:paraId="7F6A6D7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2021-2016</w:t>
            </w:r>
          </w:p>
        </w:tc>
        <w:tc>
          <w:tcPr>
            <w:tcW w:w="833" w:type="pct"/>
            <w:hideMark/>
          </w:tcPr>
          <w:p w14:paraId="30F5BF7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$250,000</w:t>
            </w:r>
          </w:p>
        </w:tc>
      </w:tr>
      <w:tr w:rsidR="00BE36FB" w:rsidRPr="009B7B35" w14:paraId="3653F82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726A5E53" w14:textId="77777777" w:rsidR="00BE36FB" w:rsidRPr="009B7B35" w:rsidRDefault="00BE36FB" w:rsidP="001A7107">
            <w:pPr>
              <w:pStyle w:val="TableText"/>
              <w:rPr>
                <w:rFonts w:cs="Arial"/>
              </w:rPr>
            </w:pPr>
            <w:r w:rsidRPr="009B7B35">
              <w:rPr>
                <w:rFonts w:cs="Arial"/>
              </w:rPr>
              <w:t>Clinton</w:t>
            </w:r>
          </w:p>
        </w:tc>
        <w:tc>
          <w:tcPr>
            <w:tcW w:w="750" w:type="pct"/>
            <w:hideMark/>
          </w:tcPr>
          <w:p w14:paraId="75B1924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R-CLN-004</w:t>
            </w:r>
          </w:p>
        </w:tc>
        <w:tc>
          <w:tcPr>
            <w:tcW w:w="1666" w:type="pct"/>
            <w:hideMark/>
          </w:tcPr>
          <w:p w14:paraId="3846B9C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J Hickey Avenue / Chapman Drive Intersection</w:t>
            </w:r>
          </w:p>
        </w:tc>
        <w:tc>
          <w:tcPr>
            <w:tcW w:w="834" w:type="pct"/>
            <w:hideMark/>
          </w:tcPr>
          <w:p w14:paraId="0C52532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14:paraId="4D4DA23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$540,000</w:t>
            </w:r>
          </w:p>
        </w:tc>
      </w:tr>
      <w:tr w:rsidR="00BE36FB" w:rsidRPr="009B7B35" w14:paraId="7EA122F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E6405E0" w14:textId="77777777" w:rsidR="00BE36FB" w:rsidRPr="009B7B35" w:rsidRDefault="00BE36FB" w:rsidP="001A7107">
            <w:pPr>
              <w:pStyle w:val="TableText"/>
              <w:rPr>
                <w:rFonts w:cs="Arial"/>
              </w:rPr>
            </w:pPr>
            <w:r w:rsidRPr="009B7B35">
              <w:rPr>
                <w:rFonts w:cs="Arial"/>
              </w:rPr>
              <w:t>Clinton</w:t>
            </w:r>
          </w:p>
        </w:tc>
        <w:tc>
          <w:tcPr>
            <w:tcW w:w="750" w:type="pct"/>
            <w:hideMark/>
          </w:tcPr>
          <w:p w14:paraId="6E42391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R-CLN-005</w:t>
            </w:r>
          </w:p>
        </w:tc>
        <w:tc>
          <w:tcPr>
            <w:tcW w:w="1666" w:type="pct"/>
            <w:hideMark/>
          </w:tcPr>
          <w:p w14:paraId="7D94211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Col Brown Avenue / J Hickey Avenue Intersection East</w:t>
            </w:r>
          </w:p>
        </w:tc>
        <w:tc>
          <w:tcPr>
            <w:tcW w:w="834" w:type="pct"/>
            <w:hideMark/>
          </w:tcPr>
          <w:p w14:paraId="36C60FA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14:paraId="6753383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$540,000</w:t>
            </w:r>
          </w:p>
        </w:tc>
      </w:tr>
      <w:tr w:rsidR="00BE36FB" w:rsidRPr="009B7B35" w14:paraId="69E4FC5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6C787BF" w14:textId="77777777" w:rsidR="00BE36FB" w:rsidRPr="009B7B35" w:rsidRDefault="00BE36FB" w:rsidP="001A7107">
            <w:pPr>
              <w:pStyle w:val="TableText"/>
              <w:rPr>
                <w:rFonts w:cs="Arial"/>
              </w:rPr>
            </w:pPr>
            <w:r w:rsidRPr="009B7B35">
              <w:rPr>
                <w:rFonts w:cs="Arial"/>
              </w:rPr>
              <w:t>Clinton</w:t>
            </w:r>
          </w:p>
        </w:tc>
        <w:tc>
          <w:tcPr>
            <w:tcW w:w="750" w:type="pct"/>
            <w:hideMark/>
          </w:tcPr>
          <w:p w14:paraId="2FAF636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R-CLN-006</w:t>
            </w:r>
          </w:p>
        </w:tc>
        <w:tc>
          <w:tcPr>
            <w:tcW w:w="1666" w:type="pct"/>
            <w:hideMark/>
          </w:tcPr>
          <w:p w14:paraId="76856F6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Harvey Road / Carinya Drive Intersection</w:t>
            </w:r>
          </w:p>
        </w:tc>
        <w:tc>
          <w:tcPr>
            <w:tcW w:w="834" w:type="pct"/>
            <w:hideMark/>
          </w:tcPr>
          <w:p w14:paraId="780F044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14:paraId="7324E7F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$410,000</w:t>
            </w:r>
          </w:p>
        </w:tc>
      </w:tr>
      <w:tr w:rsidR="00BE36FB" w:rsidRPr="009B7B35" w14:paraId="7B43FBE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0B2C785" w14:textId="77777777" w:rsidR="00BE36FB" w:rsidRPr="009B7B35" w:rsidRDefault="00BE36FB" w:rsidP="001A7107">
            <w:pPr>
              <w:pStyle w:val="TableText"/>
              <w:rPr>
                <w:rFonts w:cs="Arial"/>
              </w:rPr>
            </w:pPr>
            <w:r w:rsidRPr="009B7B35">
              <w:rPr>
                <w:rFonts w:cs="Arial"/>
              </w:rPr>
              <w:t>Gladstone</w:t>
            </w:r>
          </w:p>
        </w:tc>
        <w:tc>
          <w:tcPr>
            <w:tcW w:w="750" w:type="pct"/>
            <w:hideMark/>
          </w:tcPr>
          <w:p w14:paraId="359CE83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R-CBD-001</w:t>
            </w:r>
          </w:p>
        </w:tc>
        <w:tc>
          <w:tcPr>
            <w:tcW w:w="1666" w:type="pct"/>
            <w:hideMark/>
          </w:tcPr>
          <w:p w14:paraId="5F85A14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Goondoon Street (Lord Street - Yarroon Street)</w:t>
            </w:r>
          </w:p>
        </w:tc>
        <w:tc>
          <w:tcPr>
            <w:tcW w:w="834" w:type="pct"/>
            <w:hideMark/>
          </w:tcPr>
          <w:p w14:paraId="248A1BE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615E573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$540,000</w:t>
            </w:r>
          </w:p>
        </w:tc>
      </w:tr>
      <w:tr w:rsidR="00BE36FB" w:rsidRPr="009B7B35" w14:paraId="36FE0D4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7A244FA4" w14:textId="77777777" w:rsidR="00BE36FB" w:rsidRPr="009B7B35" w:rsidRDefault="00BE36FB" w:rsidP="001A7107">
            <w:pPr>
              <w:pStyle w:val="TableText"/>
              <w:rPr>
                <w:rFonts w:cs="Arial"/>
              </w:rPr>
            </w:pPr>
            <w:r w:rsidRPr="009B7B35">
              <w:rPr>
                <w:rFonts w:cs="Arial"/>
              </w:rPr>
              <w:t>Gladstone</w:t>
            </w:r>
          </w:p>
        </w:tc>
        <w:tc>
          <w:tcPr>
            <w:tcW w:w="750" w:type="pct"/>
            <w:hideMark/>
          </w:tcPr>
          <w:p w14:paraId="5E104EB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R-CBD-002</w:t>
            </w:r>
          </w:p>
        </w:tc>
        <w:tc>
          <w:tcPr>
            <w:tcW w:w="1666" w:type="pct"/>
            <w:hideMark/>
          </w:tcPr>
          <w:p w14:paraId="32A8EAB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Goondoon Street / Yarroon Street Intersection</w:t>
            </w:r>
          </w:p>
        </w:tc>
        <w:tc>
          <w:tcPr>
            <w:tcW w:w="834" w:type="pct"/>
            <w:hideMark/>
          </w:tcPr>
          <w:p w14:paraId="1540803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14:paraId="66827CE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$660,000</w:t>
            </w:r>
          </w:p>
        </w:tc>
      </w:tr>
      <w:tr w:rsidR="00BE36FB" w:rsidRPr="009B7B35" w14:paraId="30A53BE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B50E79D" w14:textId="77777777" w:rsidR="00BE36FB" w:rsidRPr="009B7B35" w:rsidRDefault="00BE36FB" w:rsidP="001A7107">
            <w:pPr>
              <w:pStyle w:val="TableText"/>
              <w:rPr>
                <w:rFonts w:cs="Arial"/>
              </w:rPr>
            </w:pPr>
            <w:r w:rsidRPr="009B7B35">
              <w:rPr>
                <w:rFonts w:cs="Arial"/>
              </w:rPr>
              <w:t>Gladstone</w:t>
            </w:r>
          </w:p>
        </w:tc>
        <w:tc>
          <w:tcPr>
            <w:tcW w:w="750" w:type="pct"/>
            <w:hideMark/>
          </w:tcPr>
          <w:p w14:paraId="79D2450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R-CBD-003</w:t>
            </w:r>
          </w:p>
        </w:tc>
        <w:tc>
          <w:tcPr>
            <w:tcW w:w="1666" w:type="pct"/>
            <w:hideMark/>
          </w:tcPr>
          <w:p w14:paraId="12B00DD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Goondoon Street / Roseberry Street Intersection</w:t>
            </w:r>
          </w:p>
        </w:tc>
        <w:tc>
          <w:tcPr>
            <w:tcW w:w="834" w:type="pct"/>
            <w:hideMark/>
          </w:tcPr>
          <w:p w14:paraId="070EDBC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6012146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$660,000</w:t>
            </w:r>
          </w:p>
        </w:tc>
      </w:tr>
      <w:tr w:rsidR="00BE36FB" w:rsidRPr="009B7B35" w14:paraId="48064BF3"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DF73B19" w14:textId="77777777" w:rsidR="00BE36FB" w:rsidRPr="009B7B35" w:rsidRDefault="00BE36FB" w:rsidP="001A7107">
            <w:pPr>
              <w:pStyle w:val="TableText"/>
              <w:rPr>
                <w:rFonts w:cs="Arial"/>
              </w:rPr>
            </w:pPr>
            <w:r w:rsidRPr="009B7B35">
              <w:rPr>
                <w:rFonts w:cs="Arial"/>
              </w:rPr>
              <w:t>Gladstone</w:t>
            </w:r>
          </w:p>
        </w:tc>
        <w:tc>
          <w:tcPr>
            <w:tcW w:w="750" w:type="pct"/>
            <w:hideMark/>
          </w:tcPr>
          <w:p w14:paraId="20A2FA7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R-CBD-004</w:t>
            </w:r>
          </w:p>
        </w:tc>
        <w:tc>
          <w:tcPr>
            <w:tcW w:w="1666" w:type="pct"/>
            <w:hideMark/>
          </w:tcPr>
          <w:p w14:paraId="276E51B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Goondoon Street / William Street Intersection</w:t>
            </w:r>
          </w:p>
        </w:tc>
        <w:tc>
          <w:tcPr>
            <w:tcW w:w="834" w:type="pct"/>
            <w:hideMark/>
          </w:tcPr>
          <w:p w14:paraId="4E408CD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14:paraId="1D685EB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$660,000</w:t>
            </w:r>
          </w:p>
        </w:tc>
      </w:tr>
      <w:tr w:rsidR="00BE36FB" w:rsidRPr="009B7B35" w14:paraId="580BF98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349C8F55" w14:textId="77777777" w:rsidR="00BE36FB" w:rsidRPr="009B7B35" w:rsidRDefault="00BE36FB" w:rsidP="001A7107">
            <w:pPr>
              <w:pStyle w:val="TableText"/>
              <w:rPr>
                <w:rFonts w:cs="Arial"/>
              </w:rPr>
            </w:pPr>
            <w:r w:rsidRPr="009B7B35">
              <w:rPr>
                <w:rFonts w:cs="Arial"/>
              </w:rPr>
              <w:t>Gladstone</w:t>
            </w:r>
          </w:p>
        </w:tc>
        <w:tc>
          <w:tcPr>
            <w:tcW w:w="750" w:type="pct"/>
            <w:hideMark/>
          </w:tcPr>
          <w:p w14:paraId="7533727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R-CBD-005</w:t>
            </w:r>
          </w:p>
        </w:tc>
        <w:tc>
          <w:tcPr>
            <w:tcW w:w="1666" w:type="pct"/>
            <w:hideMark/>
          </w:tcPr>
          <w:p w14:paraId="51BC119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Auckland Street / Herbert Street Intersection</w:t>
            </w:r>
          </w:p>
        </w:tc>
        <w:tc>
          <w:tcPr>
            <w:tcW w:w="834" w:type="pct"/>
            <w:hideMark/>
          </w:tcPr>
          <w:p w14:paraId="36FC4C3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08058D5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$660,000</w:t>
            </w:r>
          </w:p>
        </w:tc>
      </w:tr>
      <w:tr w:rsidR="00BE36FB" w:rsidRPr="009B7B35" w14:paraId="2F92A76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5E708F5A" w14:textId="77777777" w:rsidR="00BE36FB" w:rsidRPr="009B7B35" w:rsidRDefault="00BE36FB" w:rsidP="001A7107">
            <w:pPr>
              <w:pStyle w:val="TableText"/>
              <w:rPr>
                <w:rFonts w:cs="Arial"/>
              </w:rPr>
            </w:pPr>
            <w:r w:rsidRPr="009B7B35">
              <w:rPr>
                <w:rFonts w:cs="Arial"/>
              </w:rPr>
              <w:t>Gladstone</w:t>
            </w:r>
          </w:p>
        </w:tc>
        <w:tc>
          <w:tcPr>
            <w:tcW w:w="750" w:type="pct"/>
            <w:hideMark/>
          </w:tcPr>
          <w:p w14:paraId="1F384B5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R-GLD-001</w:t>
            </w:r>
          </w:p>
        </w:tc>
        <w:tc>
          <w:tcPr>
            <w:tcW w:w="1666" w:type="pct"/>
            <w:hideMark/>
          </w:tcPr>
          <w:p w14:paraId="4DAEDB5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Hanson Road / Palm Drive Intersection</w:t>
            </w:r>
          </w:p>
        </w:tc>
        <w:tc>
          <w:tcPr>
            <w:tcW w:w="834" w:type="pct"/>
            <w:hideMark/>
          </w:tcPr>
          <w:p w14:paraId="48215BD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2014-2016</w:t>
            </w:r>
          </w:p>
        </w:tc>
        <w:tc>
          <w:tcPr>
            <w:tcW w:w="833" w:type="pct"/>
            <w:hideMark/>
          </w:tcPr>
          <w:p w14:paraId="42CC382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$1,330,000</w:t>
            </w:r>
          </w:p>
        </w:tc>
      </w:tr>
      <w:tr w:rsidR="00BE36FB" w:rsidRPr="009B7B35" w14:paraId="5DAED75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282CEA98" w14:textId="77777777" w:rsidR="00BE36FB" w:rsidRPr="009B7B35" w:rsidRDefault="00BE36FB" w:rsidP="001A7107">
            <w:pPr>
              <w:pStyle w:val="TableText"/>
              <w:rPr>
                <w:rFonts w:cs="Arial"/>
              </w:rPr>
            </w:pPr>
            <w:r w:rsidRPr="009B7B35">
              <w:rPr>
                <w:rFonts w:cs="Arial"/>
              </w:rPr>
              <w:t>Gladstone</w:t>
            </w:r>
          </w:p>
        </w:tc>
        <w:tc>
          <w:tcPr>
            <w:tcW w:w="750" w:type="pct"/>
            <w:hideMark/>
          </w:tcPr>
          <w:p w14:paraId="5E308A5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R-GLD-002</w:t>
            </w:r>
          </w:p>
        </w:tc>
        <w:tc>
          <w:tcPr>
            <w:tcW w:w="1666" w:type="pct"/>
            <w:hideMark/>
          </w:tcPr>
          <w:p w14:paraId="0737B2C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Hanson Road / Lord Street Intersection</w:t>
            </w:r>
          </w:p>
        </w:tc>
        <w:tc>
          <w:tcPr>
            <w:tcW w:w="834" w:type="pct"/>
            <w:hideMark/>
          </w:tcPr>
          <w:p w14:paraId="7ED326B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0581BFF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$1,080,000</w:t>
            </w:r>
          </w:p>
        </w:tc>
      </w:tr>
      <w:tr w:rsidR="00BE36FB" w:rsidRPr="009B7B35" w14:paraId="213E2D4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7876E83" w14:textId="77777777" w:rsidR="00BE36FB" w:rsidRPr="009B7B35" w:rsidRDefault="00BE36FB" w:rsidP="001A7107">
            <w:pPr>
              <w:pStyle w:val="TableText"/>
              <w:rPr>
                <w:rFonts w:cs="Arial"/>
              </w:rPr>
            </w:pPr>
            <w:r w:rsidRPr="009B7B35">
              <w:rPr>
                <w:rFonts w:cs="Arial"/>
              </w:rPr>
              <w:t>Glen Eden</w:t>
            </w:r>
          </w:p>
        </w:tc>
        <w:tc>
          <w:tcPr>
            <w:tcW w:w="750" w:type="pct"/>
            <w:hideMark/>
          </w:tcPr>
          <w:p w14:paraId="41A7458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R-GED-001</w:t>
            </w:r>
          </w:p>
        </w:tc>
        <w:tc>
          <w:tcPr>
            <w:tcW w:w="1666" w:type="pct"/>
            <w:hideMark/>
          </w:tcPr>
          <w:p w14:paraId="4922E66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John Dory Drive Extension (John Dory Drive - Glen Eden Drive)</w:t>
            </w:r>
          </w:p>
        </w:tc>
        <w:tc>
          <w:tcPr>
            <w:tcW w:w="834" w:type="pct"/>
            <w:hideMark/>
          </w:tcPr>
          <w:p w14:paraId="5AEE6E5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14:paraId="080ACBE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$2,030,000</w:t>
            </w:r>
          </w:p>
        </w:tc>
      </w:tr>
      <w:tr w:rsidR="00BE36FB" w:rsidRPr="009B7B35" w14:paraId="5752311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695B98AA" w14:textId="77777777" w:rsidR="00BE36FB" w:rsidRPr="009B7B35" w:rsidRDefault="00BE36FB" w:rsidP="001A7107">
            <w:pPr>
              <w:pStyle w:val="TableText"/>
              <w:rPr>
                <w:rFonts w:cs="Arial"/>
              </w:rPr>
            </w:pPr>
            <w:r w:rsidRPr="009B7B35">
              <w:rPr>
                <w:rFonts w:cs="Arial"/>
              </w:rPr>
              <w:t>Glen Eden</w:t>
            </w:r>
          </w:p>
        </w:tc>
        <w:tc>
          <w:tcPr>
            <w:tcW w:w="750" w:type="pct"/>
            <w:hideMark/>
          </w:tcPr>
          <w:p w14:paraId="79FCA17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R-GED-002</w:t>
            </w:r>
          </w:p>
        </w:tc>
        <w:tc>
          <w:tcPr>
            <w:tcW w:w="1666" w:type="pct"/>
            <w:hideMark/>
          </w:tcPr>
          <w:p w14:paraId="6BCB987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Kirkwood Road / Glen Eden Drive Extension Intersection</w:t>
            </w:r>
          </w:p>
        </w:tc>
        <w:tc>
          <w:tcPr>
            <w:tcW w:w="834" w:type="pct"/>
            <w:hideMark/>
          </w:tcPr>
          <w:p w14:paraId="7CA5E53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14:paraId="0357B89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$590,000</w:t>
            </w:r>
          </w:p>
        </w:tc>
      </w:tr>
      <w:tr w:rsidR="00BE36FB" w:rsidRPr="009B7B35" w14:paraId="0D02860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731C880" w14:textId="77777777" w:rsidR="00BE36FB" w:rsidRPr="009B7B35" w:rsidRDefault="00BE36FB" w:rsidP="001A7107">
            <w:pPr>
              <w:pStyle w:val="TableText"/>
              <w:rPr>
                <w:rFonts w:cs="Arial"/>
              </w:rPr>
            </w:pPr>
            <w:r w:rsidRPr="009B7B35">
              <w:rPr>
                <w:rFonts w:cs="Arial"/>
              </w:rPr>
              <w:t>Glen Eden</w:t>
            </w:r>
          </w:p>
        </w:tc>
        <w:tc>
          <w:tcPr>
            <w:tcW w:w="750" w:type="pct"/>
            <w:hideMark/>
          </w:tcPr>
          <w:p w14:paraId="1BE5901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R-GED-003</w:t>
            </w:r>
          </w:p>
        </w:tc>
        <w:tc>
          <w:tcPr>
            <w:tcW w:w="1666" w:type="pct"/>
            <w:hideMark/>
          </w:tcPr>
          <w:p w14:paraId="50D6C2E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John Dory Drive / Glen Eden Drive Intersection</w:t>
            </w:r>
          </w:p>
        </w:tc>
        <w:tc>
          <w:tcPr>
            <w:tcW w:w="834" w:type="pct"/>
            <w:hideMark/>
          </w:tcPr>
          <w:p w14:paraId="59FF5F3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14:paraId="34F3EE1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$370,000</w:t>
            </w:r>
          </w:p>
        </w:tc>
      </w:tr>
      <w:tr w:rsidR="00BE36FB" w:rsidRPr="009B7B35" w14:paraId="60A3B2E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34DDB7C7" w14:textId="77777777" w:rsidR="00BE36FB" w:rsidRPr="009B7B35" w:rsidRDefault="00BE36FB" w:rsidP="001A7107">
            <w:pPr>
              <w:pStyle w:val="TableText"/>
              <w:rPr>
                <w:rFonts w:cs="Arial"/>
              </w:rPr>
            </w:pPr>
            <w:r w:rsidRPr="009B7B35">
              <w:rPr>
                <w:rFonts w:cs="Arial"/>
              </w:rPr>
              <w:t>Glenlyon Road</w:t>
            </w:r>
          </w:p>
        </w:tc>
        <w:tc>
          <w:tcPr>
            <w:tcW w:w="750" w:type="pct"/>
            <w:hideMark/>
          </w:tcPr>
          <w:p w14:paraId="38E02E5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R-GLY-001</w:t>
            </w:r>
          </w:p>
        </w:tc>
        <w:tc>
          <w:tcPr>
            <w:tcW w:w="1666" w:type="pct"/>
            <w:hideMark/>
          </w:tcPr>
          <w:p w14:paraId="0B5E089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Glenlyon Street (Bramston Street - Herbert Street)</w:t>
            </w:r>
          </w:p>
        </w:tc>
        <w:tc>
          <w:tcPr>
            <w:tcW w:w="834" w:type="pct"/>
            <w:hideMark/>
          </w:tcPr>
          <w:p w14:paraId="317D161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26C4A2B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$1,230,000</w:t>
            </w:r>
          </w:p>
        </w:tc>
      </w:tr>
      <w:tr w:rsidR="00BE36FB" w:rsidRPr="009B7B35" w14:paraId="5FE164B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3123E81" w14:textId="77777777" w:rsidR="00BE36FB" w:rsidRPr="009B7B35" w:rsidRDefault="00BE36FB" w:rsidP="001A7107">
            <w:pPr>
              <w:pStyle w:val="TableText"/>
              <w:rPr>
                <w:rFonts w:cs="Arial"/>
              </w:rPr>
            </w:pPr>
            <w:r w:rsidRPr="009B7B35">
              <w:rPr>
                <w:rFonts w:cs="Arial"/>
              </w:rPr>
              <w:t>Glenlyon Road</w:t>
            </w:r>
          </w:p>
        </w:tc>
        <w:tc>
          <w:tcPr>
            <w:tcW w:w="750" w:type="pct"/>
            <w:hideMark/>
          </w:tcPr>
          <w:p w14:paraId="6DF4896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R-GLY-002</w:t>
            </w:r>
          </w:p>
        </w:tc>
        <w:tc>
          <w:tcPr>
            <w:tcW w:w="1666" w:type="pct"/>
            <w:hideMark/>
          </w:tcPr>
          <w:p w14:paraId="5947B9D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Glenlyon Road (Herbert Street - Derby Street)</w:t>
            </w:r>
          </w:p>
        </w:tc>
        <w:tc>
          <w:tcPr>
            <w:tcW w:w="834" w:type="pct"/>
            <w:hideMark/>
          </w:tcPr>
          <w:p w14:paraId="2FB0547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14:paraId="1AA5A61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$2,680,000</w:t>
            </w:r>
          </w:p>
        </w:tc>
      </w:tr>
      <w:tr w:rsidR="00BE36FB" w:rsidRPr="009B7B35" w14:paraId="023DC8D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64E0DE2C" w14:textId="77777777" w:rsidR="00BE36FB" w:rsidRPr="009B7B35" w:rsidRDefault="00BE36FB" w:rsidP="001A7107">
            <w:pPr>
              <w:pStyle w:val="TableText"/>
              <w:rPr>
                <w:rFonts w:cs="Arial"/>
              </w:rPr>
            </w:pPr>
            <w:r w:rsidRPr="009B7B35">
              <w:rPr>
                <w:rFonts w:cs="Arial"/>
              </w:rPr>
              <w:t>Glenlyon Road</w:t>
            </w:r>
          </w:p>
        </w:tc>
        <w:tc>
          <w:tcPr>
            <w:tcW w:w="750" w:type="pct"/>
            <w:hideMark/>
          </w:tcPr>
          <w:p w14:paraId="21B8323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R-GLY-003</w:t>
            </w:r>
          </w:p>
        </w:tc>
        <w:tc>
          <w:tcPr>
            <w:tcW w:w="1666" w:type="pct"/>
            <w:hideMark/>
          </w:tcPr>
          <w:p w14:paraId="326A9DC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Glenlyon Road (Derby Street - Philip Street)</w:t>
            </w:r>
          </w:p>
        </w:tc>
        <w:tc>
          <w:tcPr>
            <w:tcW w:w="834" w:type="pct"/>
            <w:hideMark/>
          </w:tcPr>
          <w:p w14:paraId="3F34A20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6139D21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$5,940,000</w:t>
            </w:r>
          </w:p>
        </w:tc>
      </w:tr>
      <w:tr w:rsidR="00BE36FB" w:rsidRPr="009B7B35" w14:paraId="4528E9C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74EF66A" w14:textId="77777777" w:rsidR="00BE36FB" w:rsidRPr="009B7B35" w:rsidRDefault="00BE36FB" w:rsidP="001A7107">
            <w:pPr>
              <w:pStyle w:val="TableText"/>
              <w:rPr>
                <w:rFonts w:cs="Arial"/>
              </w:rPr>
            </w:pPr>
            <w:r w:rsidRPr="009B7B35">
              <w:rPr>
                <w:rFonts w:cs="Arial"/>
              </w:rPr>
              <w:t>Glenlyon Road</w:t>
            </w:r>
          </w:p>
        </w:tc>
        <w:tc>
          <w:tcPr>
            <w:tcW w:w="750" w:type="pct"/>
            <w:hideMark/>
          </w:tcPr>
          <w:p w14:paraId="4B50023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R-GLY-004</w:t>
            </w:r>
          </w:p>
        </w:tc>
        <w:tc>
          <w:tcPr>
            <w:tcW w:w="1666" w:type="pct"/>
            <w:hideMark/>
          </w:tcPr>
          <w:p w14:paraId="57721AA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Glenlyon Road (Philip Street - Dixon Drive)</w:t>
            </w:r>
          </w:p>
        </w:tc>
        <w:tc>
          <w:tcPr>
            <w:tcW w:w="834" w:type="pct"/>
            <w:hideMark/>
          </w:tcPr>
          <w:p w14:paraId="4F75394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5F22627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$5,650,000</w:t>
            </w:r>
          </w:p>
        </w:tc>
      </w:tr>
      <w:tr w:rsidR="00BE36FB" w:rsidRPr="009B7B35" w14:paraId="3F58D65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D9DD3CE" w14:textId="77777777" w:rsidR="00BE36FB" w:rsidRPr="009B7B35" w:rsidRDefault="00BE36FB" w:rsidP="001A7107">
            <w:pPr>
              <w:pStyle w:val="TableText"/>
              <w:rPr>
                <w:rFonts w:cs="Arial"/>
              </w:rPr>
            </w:pPr>
            <w:r w:rsidRPr="009B7B35">
              <w:rPr>
                <w:rFonts w:cs="Arial"/>
              </w:rPr>
              <w:t>Glenlyon Road</w:t>
            </w:r>
          </w:p>
        </w:tc>
        <w:tc>
          <w:tcPr>
            <w:tcW w:w="750" w:type="pct"/>
            <w:hideMark/>
          </w:tcPr>
          <w:p w14:paraId="3AD3757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R-GLY-005</w:t>
            </w:r>
          </w:p>
        </w:tc>
        <w:tc>
          <w:tcPr>
            <w:tcW w:w="1666" w:type="pct"/>
            <w:hideMark/>
          </w:tcPr>
          <w:p w14:paraId="5D4EBBE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Glenlyon Road (Dixon Drive - Victoria Avenue)</w:t>
            </w:r>
          </w:p>
        </w:tc>
        <w:tc>
          <w:tcPr>
            <w:tcW w:w="834" w:type="pct"/>
            <w:hideMark/>
          </w:tcPr>
          <w:p w14:paraId="308AC2E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14:paraId="56636CF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$4,760,000</w:t>
            </w:r>
          </w:p>
        </w:tc>
      </w:tr>
      <w:tr w:rsidR="00BE36FB" w:rsidRPr="009B7B35" w14:paraId="2A3CEC9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E22A1F0" w14:textId="77777777" w:rsidR="00BE36FB" w:rsidRPr="009B7B35" w:rsidRDefault="00BE36FB" w:rsidP="001A7107">
            <w:pPr>
              <w:pStyle w:val="TableText"/>
              <w:rPr>
                <w:rFonts w:cs="Arial"/>
              </w:rPr>
            </w:pPr>
            <w:r w:rsidRPr="009B7B35">
              <w:rPr>
                <w:rFonts w:cs="Arial"/>
              </w:rPr>
              <w:t>Glenlyon Road</w:t>
            </w:r>
          </w:p>
        </w:tc>
        <w:tc>
          <w:tcPr>
            <w:tcW w:w="750" w:type="pct"/>
            <w:hideMark/>
          </w:tcPr>
          <w:p w14:paraId="21AB5D1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R-GLY-006</w:t>
            </w:r>
          </w:p>
        </w:tc>
        <w:tc>
          <w:tcPr>
            <w:tcW w:w="1666" w:type="pct"/>
            <w:hideMark/>
          </w:tcPr>
          <w:p w14:paraId="461EFA3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Glenlyon Road (Victoria Avenue - Kirkwood Road)</w:t>
            </w:r>
          </w:p>
        </w:tc>
        <w:tc>
          <w:tcPr>
            <w:tcW w:w="834" w:type="pct"/>
            <w:hideMark/>
          </w:tcPr>
          <w:p w14:paraId="2D721F6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14:paraId="0E2B327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$2,970,000</w:t>
            </w:r>
          </w:p>
        </w:tc>
      </w:tr>
      <w:tr w:rsidR="00BE36FB" w:rsidRPr="009B7B35" w14:paraId="6A08735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7E4CDDAD" w14:textId="77777777" w:rsidR="00BE36FB" w:rsidRPr="009B7B35" w:rsidRDefault="00BE36FB" w:rsidP="001A7107">
            <w:pPr>
              <w:pStyle w:val="TableText"/>
              <w:rPr>
                <w:rFonts w:cs="Arial"/>
              </w:rPr>
            </w:pPr>
            <w:r w:rsidRPr="009B7B35">
              <w:rPr>
                <w:rFonts w:cs="Arial"/>
              </w:rPr>
              <w:t>Glenlyon Road</w:t>
            </w:r>
          </w:p>
        </w:tc>
        <w:tc>
          <w:tcPr>
            <w:tcW w:w="750" w:type="pct"/>
            <w:hideMark/>
          </w:tcPr>
          <w:p w14:paraId="65E135F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R-GLY-007</w:t>
            </w:r>
          </w:p>
        </w:tc>
        <w:tc>
          <w:tcPr>
            <w:tcW w:w="1666" w:type="pct"/>
            <w:hideMark/>
          </w:tcPr>
          <w:p w14:paraId="0BE082A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Glenlyon Road Extension (Kirkwood Road to Mt Rollo)</w:t>
            </w:r>
          </w:p>
        </w:tc>
        <w:tc>
          <w:tcPr>
            <w:tcW w:w="834" w:type="pct"/>
            <w:hideMark/>
          </w:tcPr>
          <w:p w14:paraId="3F01EBE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14:paraId="47C4F56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$3,850,000</w:t>
            </w:r>
          </w:p>
        </w:tc>
      </w:tr>
      <w:tr w:rsidR="00BE36FB" w:rsidRPr="009B7B35" w14:paraId="6F8D0D1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613DF6DF" w14:textId="77777777" w:rsidR="00BE36FB" w:rsidRPr="009B7B35" w:rsidRDefault="00BE36FB" w:rsidP="001A7107">
            <w:pPr>
              <w:pStyle w:val="TableText"/>
              <w:rPr>
                <w:rFonts w:cs="Arial"/>
              </w:rPr>
            </w:pPr>
            <w:r w:rsidRPr="009B7B35">
              <w:rPr>
                <w:rFonts w:cs="Arial"/>
              </w:rPr>
              <w:t>Kin Kora</w:t>
            </w:r>
          </w:p>
        </w:tc>
        <w:tc>
          <w:tcPr>
            <w:tcW w:w="750" w:type="pct"/>
            <w:hideMark/>
          </w:tcPr>
          <w:p w14:paraId="2134A52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R-KKA-001</w:t>
            </w:r>
          </w:p>
        </w:tc>
        <w:tc>
          <w:tcPr>
            <w:tcW w:w="1666" w:type="pct"/>
            <w:hideMark/>
          </w:tcPr>
          <w:p w14:paraId="7BB172D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Dawson Highway / Philip Street Intersection</w:t>
            </w:r>
          </w:p>
        </w:tc>
        <w:tc>
          <w:tcPr>
            <w:tcW w:w="834" w:type="pct"/>
            <w:hideMark/>
          </w:tcPr>
          <w:p w14:paraId="61902EA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2014-2016</w:t>
            </w:r>
          </w:p>
        </w:tc>
        <w:tc>
          <w:tcPr>
            <w:tcW w:w="833" w:type="pct"/>
            <w:hideMark/>
          </w:tcPr>
          <w:p w14:paraId="735A702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$2,090,000</w:t>
            </w:r>
          </w:p>
        </w:tc>
      </w:tr>
      <w:tr w:rsidR="00BE36FB" w:rsidRPr="009B7B35" w14:paraId="4FE4289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13CEB14" w14:textId="77777777" w:rsidR="00BE36FB" w:rsidRPr="009B7B35" w:rsidRDefault="00BE36FB" w:rsidP="001A7107">
            <w:pPr>
              <w:pStyle w:val="TableText"/>
              <w:rPr>
                <w:rFonts w:cs="Arial"/>
              </w:rPr>
            </w:pPr>
            <w:r w:rsidRPr="009B7B35">
              <w:rPr>
                <w:rFonts w:cs="Arial"/>
              </w:rPr>
              <w:t>Kin Kora</w:t>
            </w:r>
          </w:p>
        </w:tc>
        <w:tc>
          <w:tcPr>
            <w:tcW w:w="750" w:type="pct"/>
            <w:hideMark/>
          </w:tcPr>
          <w:p w14:paraId="6913142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R-KKA-002</w:t>
            </w:r>
          </w:p>
        </w:tc>
        <w:tc>
          <w:tcPr>
            <w:tcW w:w="1666" w:type="pct"/>
            <w:hideMark/>
          </w:tcPr>
          <w:p w14:paraId="1BF8738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Philip Street (Waterson Drive - 144 Philip Street)</w:t>
            </w:r>
          </w:p>
        </w:tc>
        <w:tc>
          <w:tcPr>
            <w:tcW w:w="834" w:type="pct"/>
            <w:hideMark/>
          </w:tcPr>
          <w:p w14:paraId="2575FD8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14:paraId="3A8D0AC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$2,290,000</w:t>
            </w:r>
          </w:p>
        </w:tc>
      </w:tr>
      <w:tr w:rsidR="00BE36FB" w:rsidRPr="009B7B35" w14:paraId="421AC60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7EF746E8" w14:textId="77777777" w:rsidR="00BE36FB" w:rsidRPr="009B7B35" w:rsidRDefault="00BE36FB" w:rsidP="001A7107">
            <w:pPr>
              <w:pStyle w:val="TableText"/>
              <w:rPr>
                <w:rFonts w:cs="Arial"/>
              </w:rPr>
            </w:pPr>
            <w:r w:rsidRPr="009B7B35">
              <w:rPr>
                <w:rFonts w:cs="Arial"/>
              </w:rPr>
              <w:t>New Auckland</w:t>
            </w:r>
          </w:p>
        </w:tc>
        <w:tc>
          <w:tcPr>
            <w:tcW w:w="750" w:type="pct"/>
            <w:hideMark/>
          </w:tcPr>
          <w:p w14:paraId="6F6828B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R-NAK-001</w:t>
            </w:r>
          </w:p>
        </w:tc>
        <w:tc>
          <w:tcPr>
            <w:tcW w:w="1666" w:type="pct"/>
            <w:hideMark/>
          </w:tcPr>
          <w:p w14:paraId="09EFE19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Penda Avenue / Shaw Street Intersection</w:t>
            </w:r>
          </w:p>
        </w:tc>
        <w:tc>
          <w:tcPr>
            <w:tcW w:w="834" w:type="pct"/>
            <w:hideMark/>
          </w:tcPr>
          <w:p w14:paraId="52AED66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14:paraId="1863A76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$2,010,000</w:t>
            </w:r>
          </w:p>
        </w:tc>
      </w:tr>
      <w:tr w:rsidR="00BE36FB" w:rsidRPr="009B7B35" w14:paraId="6811332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82CEF8A" w14:textId="77777777" w:rsidR="00BE36FB" w:rsidRPr="009B7B35" w:rsidRDefault="00BE36FB" w:rsidP="001A7107">
            <w:pPr>
              <w:pStyle w:val="TableText"/>
              <w:rPr>
                <w:rFonts w:cs="Arial"/>
              </w:rPr>
            </w:pPr>
            <w:r w:rsidRPr="009B7B35">
              <w:rPr>
                <w:rFonts w:cs="Arial"/>
              </w:rPr>
              <w:t>South Gladstone</w:t>
            </w:r>
          </w:p>
        </w:tc>
        <w:tc>
          <w:tcPr>
            <w:tcW w:w="750" w:type="pct"/>
            <w:hideMark/>
          </w:tcPr>
          <w:p w14:paraId="0EEE3C8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R-SGL-001</w:t>
            </w:r>
          </w:p>
        </w:tc>
        <w:tc>
          <w:tcPr>
            <w:tcW w:w="1666" w:type="pct"/>
            <w:hideMark/>
          </w:tcPr>
          <w:p w14:paraId="6495C8A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Auckland Street / Short Street Intersection</w:t>
            </w:r>
          </w:p>
        </w:tc>
        <w:tc>
          <w:tcPr>
            <w:tcW w:w="834" w:type="pct"/>
            <w:hideMark/>
          </w:tcPr>
          <w:p w14:paraId="613EDFC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441B582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$600,000</w:t>
            </w:r>
          </w:p>
        </w:tc>
      </w:tr>
      <w:tr w:rsidR="00BE36FB" w:rsidRPr="009B7B35" w14:paraId="177BDD6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76E4ED82" w14:textId="77777777" w:rsidR="00BE36FB" w:rsidRPr="009B7B35" w:rsidRDefault="00BE36FB" w:rsidP="001A7107">
            <w:pPr>
              <w:pStyle w:val="TableText"/>
              <w:rPr>
                <w:rFonts w:cs="Arial"/>
              </w:rPr>
            </w:pPr>
            <w:r w:rsidRPr="009B7B35">
              <w:rPr>
                <w:rFonts w:cs="Arial"/>
              </w:rPr>
              <w:t>South Gladstone</w:t>
            </w:r>
          </w:p>
        </w:tc>
        <w:tc>
          <w:tcPr>
            <w:tcW w:w="750" w:type="pct"/>
            <w:hideMark/>
          </w:tcPr>
          <w:p w14:paraId="47787BD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R-SGL-002</w:t>
            </w:r>
          </w:p>
        </w:tc>
        <w:tc>
          <w:tcPr>
            <w:tcW w:w="1666" w:type="pct"/>
            <w:hideMark/>
          </w:tcPr>
          <w:p w14:paraId="74343C2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Coon Street / Toolooa Street Intersection</w:t>
            </w:r>
          </w:p>
        </w:tc>
        <w:tc>
          <w:tcPr>
            <w:tcW w:w="834" w:type="pct"/>
            <w:hideMark/>
          </w:tcPr>
          <w:p w14:paraId="12F380F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14:paraId="22A7B94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$660,000</w:t>
            </w:r>
          </w:p>
        </w:tc>
      </w:tr>
      <w:tr w:rsidR="00BE36FB" w:rsidRPr="009B7B35" w14:paraId="6736EE6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5EA18AF" w14:textId="77777777" w:rsidR="00BE36FB" w:rsidRPr="009B7B35" w:rsidRDefault="00BE36FB" w:rsidP="001A7107">
            <w:pPr>
              <w:pStyle w:val="TableText"/>
              <w:rPr>
                <w:rFonts w:cs="Arial"/>
              </w:rPr>
            </w:pPr>
            <w:r w:rsidRPr="009B7B35">
              <w:rPr>
                <w:rFonts w:cs="Arial"/>
              </w:rPr>
              <w:t>South Gladstone</w:t>
            </w:r>
          </w:p>
        </w:tc>
        <w:tc>
          <w:tcPr>
            <w:tcW w:w="750" w:type="pct"/>
            <w:hideMark/>
          </w:tcPr>
          <w:p w14:paraId="00C197A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R-SGL-003</w:t>
            </w:r>
          </w:p>
        </w:tc>
        <w:tc>
          <w:tcPr>
            <w:tcW w:w="1666" w:type="pct"/>
            <w:hideMark/>
          </w:tcPr>
          <w:p w14:paraId="1DE32C8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Derby Street / Coon Street Intersection</w:t>
            </w:r>
          </w:p>
        </w:tc>
        <w:tc>
          <w:tcPr>
            <w:tcW w:w="834" w:type="pct"/>
            <w:hideMark/>
          </w:tcPr>
          <w:p w14:paraId="2F30B2A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7A42940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$660,000</w:t>
            </w:r>
          </w:p>
        </w:tc>
      </w:tr>
      <w:tr w:rsidR="00BE36FB" w:rsidRPr="009B7B35" w14:paraId="43AB28F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165040B" w14:textId="77777777" w:rsidR="00BE36FB" w:rsidRPr="009B7B35" w:rsidRDefault="00BE36FB" w:rsidP="001A7107">
            <w:pPr>
              <w:pStyle w:val="TableText"/>
              <w:rPr>
                <w:rFonts w:cs="Arial"/>
              </w:rPr>
            </w:pPr>
            <w:r w:rsidRPr="009B7B35">
              <w:rPr>
                <w:rFonts w:cs="Arial"/>
              </w:rPr>
              <w:t>South Gladstone</w:t>
            </w:r>
          </w:p>
        </w:tc>
        <w:tc>
          <w:tcPr>
            <w:tcW w:w="750" w:type="pct"/>
            <w:hideMark/>
          </w:tcPr>
          <w:p w14:paraId="5B58E1E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R-SGL-004</w:t>
            </w:r>
          </w:p>
        </w:tc>
        <w:tc>
          <w:tcPr>
            <w:tcW w:w="1666" w:type="pct"/>
            <w:hideMark/>
          </w:tcPr>
          <w:p w14:paraId="7BE0295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Derby Street / Ann Street Intersection</w:t>
            </w:r>
          </w:p>
        </w:tc>
        <w:tc>
          <w:tcPr>
            <w:tcW w:w="834" w:type="pct"/>
            <w:hideMark/>
          </w:tcPr>
          <w:p w14:paraId="619E220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14:paraId="0A8C4E7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$1,310,000</w:t>
            </w:r>
          </w:p>
        </w:tc>
      </w:tr>
      <w:tr w:rsidR="00BE36FB" w:rsidRPr="009B7B35" w14:paraId="01D870C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84F3744" w14:textId="77777777" w:rsidR="00BE36FB" w:rsidRPr="009B7B35" w:rsidRDefault="00BE36FB" w:rsidP="001A7107">
            <w:pPr>
              <w:pStyle w:val="TableText"/>
              <w:rPr>
                <w:rFonts w:cs="Arial"/>
              </w:rPr>
            </w:pPr>
            <w:r w:rsidRPr="009B7B35">
              <w:rPr>
                <w:rFonts w:cs="Arial"/>
              </w:rPr>
              <w:t>South Gladstone</w:t>
            </w:r>
          </w:p>
        </w:tc>
        <w:tc>
          <w:tcPr>
            <w:tcW w:w="750" w:type="pct"/>
            <w:hideMark/>
          </w:tcPr>
          <w:p w14:paraId="3207F3A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R-SGL-005</w:t>
            </w:r>
          </w:p>
        </w:tc>
        <w:tc>
          <w:tcPr>
            <w:tcW w:w="1666" w:type="pct"/>
            <w:hideMark/>
          </w:tcPr>
          <w:p w14:paraId="761A761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Philip Street / Oxley Drive Intersection</w:t>
            </w:r>
          </w:p>
        </w:tc>
        <w:tc>
          <w:tcPr>
            <w:tcW w:w="834" w:type="pct"/>
            <w:hideMark/>
          </w:tcPr>
          <w:p w14:paraId="7030AA2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14:paraId="15FC0F0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$540,000</w:t>
            </w:r>
          </w:p>
        </w:tc>
      </w:tr>
      <w:tr w:rsidR="00BE36FB" w:rsidRPr="009B7B35" w14:paraId="1386716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676C67B3" w14:textId="77777777" w:rsidR="00BE36FB" w:rsidRPr="009B7B35" w:rsidRDefault="00BE36FB" w:rsidP="001A7107">
            <w:pPr>
              <w:pStyle w:val="TableText"/>
              <w:rPr>
                <w:rFonts w:cs="Arial"/>
              </w:rPr>
            </w:pPr>
            <w:r w:rsidRPr="009B7B35">
              <w:rPr>
                <w:rFonts w:cs="Arial"/>
              </w:rPr>
              <w:t>Telina</w:t>
            </w:r>
          </w:p>
        </w:tc>
        <w:tc>
          <w:tcPr>
            <w:tcW w:w="750" w:type="pct"/>
            <w:hideMark/>
          </w:tcPr>
          <w:p w14:paraId="44D3283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R-TEL-001</w:t>
            </w:r>
          </w:p>
        </w:tc>
        <w:tc>
          <w:tcPr>
            <w:tcW w:w="1666" w:type="pct"/>
            <w:hideMark/>
          </w:tcPr>
          <w:p w14:paraId="73BA2C2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Dixon Drive / Witney Street Intersection</w:t>
            </w:r>
          </w:p>
        </w:tc>
        <w:tc>
          <w:tcPr>
            <w:tcW w:w="834" w:type="pct"/>
            <w:hideMark/>
          </w:tcPr>
          <w:p w14:paraId="483BD4A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14:paraId="3A596BB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$540,000</w:t>
            </w:r>
          </w:p>
        </w:tc>
      </w:tr>
      <w:tr w:rsidR="00BE36FB" w:rsidRPr="009B7B35" w14:paraId="4D1F2A0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27B82932" w14:textId="77777777" w:rsidR="00BE36FB" w:rsidRPr="009B7B35" w:rsidRDefault="00BE36FB" w:rsidP="001A7107">
            <w:pPr>
              <w:pStyle w:val="TableText"/>
              <w:rPr>
                <w:rFonts w:cs="Arial"/>
              </w:rPr>
            </w:pPr>
            <w:r w:rsidRPr="009B7B35">
              <w:rPr>
                <w:rFonts w:cs="Arial"/>
              </w:rPr>
              <w:t>Telina</w:t>
            </w:r>
          </w:p>
        </w:tc>
        <w:tc>
          <w:tcPr>
            <w:tcW w:w="750" w:type="pct"/>
            <w:hideMark/>
          </w:tcPr>
          <w:p w14:paraId="5F113B4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R-TEL-002</w:t>
            </w:r>
          </w:p>
        </w:tc>
        <w:tc>
          <w:tcPr>
            <w:tcW w:w="1666" w:type="pct"/>
            <w:hideMark/>
          </w:tcPr>
          <w:p w14:paraId="331C040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Dixon Drive / Mercury Street Intersection</w:t>
            </w:r>
          </w:p>
        </w:tc>
        <w:tc>
          <w:tcPr>
            <w:tcW w:w="834" w:type="pct"/>
            <w:hideMark/>
          </w:tcPr>
          <w:p w14:paraId="54D2AC2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14:paraId="3123FFF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$540,000</w:t>
            </w:r>
          </w:p>
        </w:tc>
      </w:tr>
      <w:tr w:rsidR="00BE36FB" w:rsidRPr="009B7B35" w14:paraId="2198441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3F9C2815" w14:textId="77777777" w:rsidR="00BE36FB" w:rsidRPr="009B7B35" w:rsidRDefault="00BE36FB" w:rsidP="001A7107">
            <w:pPr>
              <w:pStyle w:val="TableText"/>
              <w:rPr>
                <w:rFonts w:cs="Arial"/>
              </w:rPr>
            </w:pPr>
            <w:r w:rsidRPr="009B7B35">
              <w:rPr>
                <w:rFonts w:cs="Arial"/>
              </w:rPr>
              <w:t>Toolooa</w:t>
            </w:r>
          </w:p>
        </w:tc>
        <w:tc>
          <w:tcPr>
            <w:tcW w:w="750" w:type="pct"/>
            <w:hideMark/>
          </w:tcPr>
          <w:p w14:paraId="64BA89C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R-TOO-001</w:t>
            </w:r>
          </w:p>
        </w:tc>
        <w:tc>
          <w:tcPr>
            <w:tcW w:w="1666" w:type="pct"/>
            <w:hideMark/>
          </w:tcPr>
          <w:p w14:paraId="6344F44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Dalrymple Drive / John Dory Drive Intersection</w:t>
            </w:r>
          </w:p>
        </w:tc>
        <w:tc>
          <w:tcPr>
            <w:tcW w:w="834" w:type="pct"/>
            <w:hideMark/>
          </w:tcPr>
          <w:p w14:paraId="675B54B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14:paraId="35CD573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$410,000</w:t>
            </w:r>
          </w:p>
        </w:tc>
      </w:tr>
      <w:tr w:rsidR="00BE36FB" w:rsidRPr="009B7B35" w14:paraId="2079F42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69799932" w14:textId="77777777" w:rsidR="00BE36FB" w:rsidRPr="009B7B35" w:rsidRDefault="00BE36FB" w:rsidP="001A7107">
            <w:pPr>
              <w:pStyle w:val="TableText"/>
              <w:rPr>
                <w:rFonts w:cs="Arial"/>
              </w:rPr>
            </w:pPr>
            <w:r w:rsidRPr="009B7B35">
              <w:rPr>
                <w:rFonts w:cs="Arial"/>
              </w:rPr>
              <w:t>Toolooa</w:t>
            </w:r>
          </w:p>
        </w:tc>
        <w:tc>
          <w:tcPr>
            <w:tcW w:w="750" w:type="pct"/>
            <w:hideMark/>
          </w:tcPr>
          <w:p w14:paraId="78F707C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R-TOO-002</w:t>
            </w:r>
          </w:p>
        </w:tc>
        <w:tc>
          <w:tcPr>
            <w:tcW w:w="1666" w:type="pct"/>
            <w:hideMark/>
          </w:tcPr>
          <w:p w14:paraId="37F142D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Gladstone-Benaraby Road / Dalrymple Road Intersection</w:t>
            </w:r>
          </w:p>
        </w:tc>
        <w:tc>
          <w:tcPr>
            <w:tcW w:w="834" w:type="pct"/>
            <w:hideMark/>
          </w:tcPr>
          <w:p w14:paraId="3D9F0AB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196A5CE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$800,000</w:t>
            </w:r>
          </w:p>
        </w:tc>
      </w:tr>
      <w:tr w:rsidR="00BE36FB" w:rsidRPr="009B7B35" w14:paraId="2EAAF66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197B8BD" w14:textId="77777777" w:rsidR="00BE36FB" w:rsidRPr="009B7B35" w:rsidRDefault="00BE36FB" w:rsidP="001A7107">
            <w:pPr>
              <w:pStyle w:val="TableText"/>
              <w:rPr>
                <w:rFonts w:cs="Arial"/>
              </w:rPr>
            </w:pPr>
            <w:r w:rsidRPr="009B7B35">
              <w:rPr>
                <w:rFonts w:cs="Arial"/>
              </w:rPr>
              <w:t>West Gladstone</w:t>
            </w:r>
          </w:p>
        </w:tc>
        <w:tc>
          <w:tcPr>
            <w:tcW w:w="750" w:type="pct"/>
            <w:hideMark/>
          </w:tcPr>
          <w:p w14:paraId="3496CBD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R-WGL-001</w:t>
            </w:r>
          </w:p>
        </w:tc>
        <w:tc>
          <w:tcPr>
            <w:tcW w:w="1666" w:type="pct"/>
            <w:hideMark/>
          </w:tcPr>
          <w:p w14:paraId="181755F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Dawson Highway / Scenery Street Intersection</w:t>
            </w:r>
          </w:p>
        </w:tc>
        <w:tc>
          <w:tcPr>
            <w:tcW w:w="834" w:type="pct"/>
            <w:hideMark/>
          </w:tcPr>
          <w:p w14:paraId="5248EB8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14:paraId="5280B4F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$1,310,000</w:t>
            </w:r>
          </w:p>
        </w:tc>
      </w:tr>
      <w:tr w:rsidR="00BE36FB" w:rsidRPr="009B7B35" w14:paraId="14F8EBF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6FBC316C" w14:textId="77777777" w:rsidR="00BE36FB" w:rsidRPr="009B7B35" w:rsidRDefault="00BE36FB" w:rsidP="001A7107">
            <w:pPr>
              <w:pStyle w:val="TableText"/>
              <w:rPr>
                <w:rFonts w:cs="Arial"/>
              </w:rPr>
            </w:pPr>
            <w:r w:rsidRPr="009B7B35">
              <w:rPr>
                <w:rFonts w:cs="Arial"/>
              </w:rPr>
              <w:t>West Gladstone</w:t>
            </w:r>
          </w:p>
        </w:tc>
        <w:tc>
          <w:tcPr>
            <w:tcW w:w="750" w:type="pct"/>
            <w:hideMark/>
          </w:tcPr>
          <w:p w14:paraId="21C0F22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R-WGL-002</w:t>
            </w:r>
          </w:p>
        </w:tc>
        <w:tc>
          <w:tcPr>
            <w:tcW w:w="1666" w:type="pct"/>
            <w:hideMark/>
          </w:tcPr>
          <w:p w14:paraId="0217583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Dawson Highway / Paterson Street / Cemetary Street Intersections</w:t>
            </w:r>
          </w:p>
        </w:tc>
        <w:tc>
          <w:tcPr>
            <w:tcW w:w="834" w:type="pct"/>
            <w:hideMark/>
          </w:tcPr>
          <w:p w14:paraId="54A0858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14:paraId="2D2F91C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$1,500,000</w:t>
            </w:r>
          </w:p>
        </w:tc>
      </w:tr>
      <w:tr w:rsidR="00BE36FB" w:rsidRPr="009B7B35" w14:paraId="3E088B4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2C82418C" w14:textId="77777777" w:rsidR="00BE36FB" w:rsidRPr="009B7B35" w:rsidRDefault="00BE36FB" w:rsidP="001A7107">
            <w:pPr>
              <w:pStyle w:val="TableText"/>
              <w:rPr>
                <w:rFonts w:cs="Arial"/>
              </w:rPr>
            </w:pPr>
            <w:r w:rsidRPr="009B7B35">
              <w:rPr>
                <w:rFonts w:cs="Arial"/>
              </w:rPr>
              <w:t>West Gladstone</w:t>
            </w:r>
          </w:p>
        </w:tc>
        <w:tc>
          <w:tcPr>
            <w:tcW w:w="750" w:type="pct"/>
            <w:hideMark/>
          </w:tcPr>
          <w:p w14:paraId="1C195C4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R-WGL-003</w:t>
            </w:r>
          </w:p>
        </w:tc>
        <w:tc>
          <w:tcPr>
            <w:tcW w:w="1666" w:type="pct"/>
            <w:hideMark/>
          </w:tcPr>
          <w:p w14:paraId="13F596B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Breslin Street / Boles Street Intersection</w:t>
            </w:r>
          </w:p>
        </w:tc>
        <w:tc>
          <w:tcPr>
            <w:tcW w:w="834" w:type="pct"/>
            <w:hideMark/>
          </w:tcPr>
          <w:p w14:paraId="4FA2ACB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14:paraId="2EC7B21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$840,000</w:t>
            </w:r>
          </w:p>
        </w:tc>
      </w:tr>
      <w:tr w:rsidR="00BE36FB" w:rsidRPr="009B7B35" w14:paraId="35EA668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68D4EC7A" w14:textId="77777777" w:rsidR="00BE36FB" w:rsidRPr="009B7B35" w:rsidRDefault="00BE36FB" w:rsidP="001A7107">
            <w:pPr>
              <w:pStyle w:val="TableText"/>
              <w:rPr>
                <w:rFonts w:cs="Arial"/>
              </w:rPr>
            </w:pPr>
            <w:r w:rsidRPr="009B7B35">
              <w:rPr>
                <w:rFonts w:cs="Arial"/>
              </w:rPr>
              <w:t>Yarwun</w:t>
            </w:r>
          </w:p>
        </w:tc>
        <w:tc>
          <w:tcPr>
            <w:tcW w:w="750" w:type="pct"/>
            <w:hideMark/>
          </w:tcPr>
          <w:p w14:paraId="4B80E68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R-YAR-001</w:t>
            </w:r>
          </w:p>
        </w:tc>
        <w:tc>
          <w:tcPr>
            <w:tcW w:w="1666" w:type="pct"/>
            <w:hideMark/>
          </w:tcPr>
          <w:p w14:paraId="2B198E1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Red Rover Road / Don Young Drive / Reid Road Extension Intersection</w:t>
            </w:r>
          </w:p>
        </w:tc>
        <w:tc>
          <w:tcPr>
            <w:tcW w:w="834" w:type="pct"/>
            <w:hideMark/>
          </w:tcPr>
          <w:p w14:paraId="0E6C93D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14:paraId="766FB11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$760,000</w:t>
            </w:r>
          </w:p>
        </w:tc>
      </w:tr>
      <w:tr w:rsidR="00BE36FB" w:rsidRPr="009B7B35" w14:paraId="542D28A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7C6B028E" w14:textId="77777777" w:rsidR="00BE36FB" w:rsidRPr="009B7B35" w:rsidRDefault="00BE36FB" w:rsidP="001A7107">
            <w:pPr>
              <w:pStyle w:val="TableText"/>
              <w:rPr>
                <w:rFonts w:cs="Arial"/>
              </w:rPr>
            </w:pPr>
            <w:r w:rsidRPr="009B7B35">
              <w:rPr>
                <w:rFonts w:cs="Arial"/>
              </w:rPr>
              <w:t>Yarwun</w:t>
            </w:r>
          </w:p>
        </w:tc>
        <w:tc>
          <w:tcPr>
            <w:tcW w:w="750" w:type="pct"/>
            <w:hideMark/>
          </w:tcPr>
          <w:p w14:paraId="304DFB6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R-YAR-002</w:t>
            </w:r>
          </w:p>
        </w:tc>
        <w:tc>
          <w:tcPr>
            <w:tcW w:w="1666" w:type="pct"/>
            <w:hideMark/>
          </w:tcPr>
          <w:p w14:paraId="3AB31F3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Reid Road Extension (Red Rover Road - Calliope River)</w:t>
            </w:r>
          </w:p>
        </w:tc>
        <w:tc>
          <w:tcPr>
            <w:tcW w:w="834" w:type="pct"/>
            <w:hideMark/>
          </w:tcPr>
          <w:p w14:paraId="04C0AD8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14:paraId="6ECD471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$2,890,000</w:t>
            </w:r>
          </w:p>
        </w:tc>
      </w:tr>
      <w:tr w:rsidR="00BE36FB" w:rsidRPr="009B7B35" w14:paraId="71EFD01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637D6CB3" w14:textId="77777777" w:rsidR="00BE36FB" w:rsidRPr="009B7B35" w:rsidRDefault="00BE36FB" w:rsidP="001A7107">
            <w:pPr>
              <w:pStyle w:val="TableText"/>
              <w:rPr>
                <w:rFonts w:cs="Arial"/>
              </w:rPr>
            </w:pPr>
            <w:r w:rsidRPr="009B7B35">
              <w:rPr>
                <w:rFonts w:cs="Arial"/>
              </w:rPr>
              <w:t>Yarwun</w:t>
            </w:r>
          </w:p>
        </w:tc>
        <w:tc>
          <w:tcPr>
            <w:tcW w:w="750" w:type="pct"/>
            <w:hideMark/>
          </w:tcPr>
          <w:p w14:paraId="5DC00DA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R-YAR-003</w:t>
            </w:r>
          </w:p>
        </w:tc>
        <w:tc>
          <w:tcPr>
            <w:tcW w:w="1666" w:type="pct"/>
            <w:hideMark/>
          </w:tcPr>
          <w:p w14:paraId="2BD8BED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Reid Road Extension (Calliope River Bridge)</w:t>
            </w:r>
          </w:p>
        </w:tc>
        <w:tc>
          <w:tcPr>
            <w:tcW w:w="834" w:type="pct"/>
            <w:hideMark/>
          </w:tcPr>
          <w:p w14:paraId="351D617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14:paraId="43320B7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$74,250,000</w:t>
            </w:r>
          </w:p>
        </w:tc>
      </w:tr>
      <w:tr w:rsidR="00BE36FB" w:rsidRPr="009B7B35" w14:paraId="2651154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80FE598" w14:textId="77777777" w:rsidR="00BE36FB" w:rsidRPr="009B7B35" w:rsidRDefault="00BE36FB" w:rsidP="001A7107">
            <w:pPr>
              <w:pStyle w:val="TableText"/>
              <w:rPr>
                <w:rFonts w:cs="Arial"/>
              </w:rPr>
            </w:pPr>
            <w:r w:rsidRPr="009B7B35">
              <w:rPr>
                <w:rFonts w:cs="Arial"/>
              </w:rPr>
              <w:t>Yarwun</w:t>
            </w:r>
          </w:p>
        </w:tc>
        <w:tc>
          <w:tcPr>
            <w:tcW w:w="750" w:type="pct"/>
            <w:hideMark/>
          </w:tcPr>
          <w:p w14:paraId="34E7B1D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R-YAR-004</w:t>
            </w:r>
          </w:p>
        </w:tc>
        <w:tc>
          <w:tcPr>
            <w:tcW w:w="1666" w:type="pct"/>
            <w:hideMark/>
          </w:tcPr>
          <w:p w14:paraId="379E52B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Reid Road Extension (Calliope River - Port Curtis Way)</w:t>
            </w:r>
          </w:p>
        </w:tc>
        <w:tc>
          <w:tcPr>
            <w:tcW w:w="834" w:type="pct"/>
            <w:hideMark/>
          </w:tcPr>
          <w:p w14:paraId="4FD8B0A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14:paraId="46FE56B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$10,590,000</w:t>
            </w:r>
          </w:p>
        </w:tc>
      </w:tr>
      <w:tr w:rsidR="00BE36FB" w:rsidRPr="009B7B35" w14:paraId="35C52F5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FAA0F20" w14:textId="77777777" w:rsidR="00BE36FB" w:rsidRPr="009B7B35" w:rsidRDefault="00BE36FB" w:rsidP="001A7107">
            <w:pPr>
              <w:pStyle w:val="TableText"/>
              <w:rPr>
                <w:rFonts w:cs="Arial"/>
              </w:rPr>
            </w:pPr>
            <w:r w:rsidRPr="009B7B35">
              <w:rPr>
                <w:rFonts w:cs="Arial"/>
              </w:rPr>
              <w:t>Yarwun</w:t>
            </w:r>
          </w:p>
        </w:tc>
        <w:tc>
          <w:tcPr>
            <w:tcW w:w="750" w:type="pct"/>
            <w:hideMark/>
          </w:tcPr>
          <w:p w14:paraId="0A12F94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R-YAR-005</w:t>
            </w:r>
          </w:p>
        </w:tc>
        <w:tc>
          <w:tcPr>
            <w:tcW w:w="1666" w:type="pct"/>
            <w:hideMark/>
          </w:tcPr>
          <w:p w14:paraId="14F294B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Calliope River Road</w:t>
            </w:r>
          </w:p>
        </w:tc>
        <w:tc>
          <w:tcPr>
            <w:tcW w:w="834" w:type="pct"/>
            <w:hideMark/>
          </w:tcPr>
          <w:p w14:paraId="393F8AC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55BC599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$3,850,000</w:t>
            </w:r>
          </w:p>
        </w:tc>
      </w:tr>
      <w:tr w:rsidR="00BE36FB" w:rsidRPr="009B7B35" w14:paraId="02E8A61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68B64617" w14:textId="77777777" w:rsidR="00BE36FB" w:rsidRPr="009B7B35" w:rsidRDefault="00BE36FB" w:rsidP="001A7107">
            <w:pPr>
              <w:pStyle w:val="TableText"/>
              <w:rPr>
                <w:rFonts w:cs="Arial"/>
              </w:rPr>
            </w:pPr>
            <w:r w:rsidRPr="009B7B35">
              <w:rPr>
                <w:rFonts w:cs="Arial"/>
              </w:rPr>
              <w:t>Boyne Island</w:t>
            </w:r>
          </w:p>
        </w:tc>
        <w:tc>
          <w:tcPr>
            <w:tcW w:w="750" w:type="pct"/>
            <w:hideMark/>
          </w:tcPr>
          <w:p w14:paraId="33ABDB9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R-BIS-001</w:t>
            </w:r>
          </w:p>
        </w:tc>
        <w:tc>
          <w:tcPr>
            <w:tcW w:w="1666" w:type="pct"/>
            <w:hideMark/>
          </w:tcPr>
          <w:p w14:paraId="6314E82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Boyne Island Road (undefined)</w:t>
            </w:r>
          </w:p>
        </w:tc>
        <w:tc>
          <w:tcPr>
            <w:tcW w:w="834" w:type="pct"/>
            <w:hideMark/>
          </w:tcPr>
          <w:p w14:paraId="341B235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14:paraId="1028A90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$16,870,000</w:t>
            </w:r>
          </w:p>
        </w:tc>
      </w:tr>
      <w:tr w:rsidR="00BE36FB" w:rsidRPr="009B7B35" w14:paraId="1B795E5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32389D91" w14:textId="77777777" w:rsidR="00BE36FB" w:rsidRPr="009B7B35" w:rsidRDefault="00BE36FB" w:rsidP="001A7107">
            <w:pPr>
              <w:pStyle w:val="TableText"/>
              <w:rPr>
                <w:rFonts w:cs="Arial"/>
              </w:rPr>
            </w:pPr>
            <w:r w:rsidRPr="009B7B35">
              <w:rPr>
                <w:rFonts w:cs="Arial"/>
              </w:rPr>
              <w:t>Hampton/Tannum Sands</w:t>
            </w:r>
          </w:p>
        </w:tc>
        <w:tc>
          <w:tcPr>
            <w:tcW w:w="750" w:type="pct"/>
            <w:hideMark/>
          </w:tcPr>
          <w:p w14:paraId="41019C0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R-HTS-001</w:t>
            </w:r>
          </w:p>
        </w:tc>
        <w:tc>
          <w:tcPr>
            <w:tcW w:w="1666" w:type="pct"/>
            <w:hideMark/>
          </w:tcPr>
          <w:p w14:paraId="75CB3C3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Hampton Drive / Booth Avenue West Intersection</w:t>
            </w:r>
          </w:p>
        </w:tc>
        <w:tc>
          <w:tcPr>
            <w:tcW w:w="834" w:type="pct"/>
            <w:hideMark/>
          </w:tcPr>
          <w:p w14:paraId="10D1E00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5E8B278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$330,000</w:t>
            </w:r>
          </w:p>
        </w:tc>
      </w:tr>
      <w:tr w:rsidR="00BE36FB" w:rsidRPr="009B7B35" w14:paraId="61C473C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A24C45D" w14:textId="77777777" w:rsidR="00BE36FB" w:rsidRPr="009B7B35" w:rsidRDefault="00BE36FB" w:rsidP="001A7107">
            <w:pPr>
              <w:pStyle w:val="TableText"/>
              <w:rPr>
                <w:rFonts w:cs="Arial"/>
              </w:rPr>
            </w:pPr>
            <w:r w:rsidRPr="009B7B35">
              <w:rPr>
                <w:rFonts w:cs="Arial"/>
              </w:rPr>
              <w:t>Hampton/Tannum Sands</w:t>
            </w:r>
          </w:p>
        </w:tc>
        <w:tc>
          <w:tcPr>
            <w:tcW w:w="750" w:type="pct"/>
            <w:hideMark/>
          </w:tcPr>
          <w:p w14:paraId="0F8DE35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R-HTS-002</w:t>
            </w:r>
          </w:p>
        </w:tc>
        <w:tc>
          <w:tcPr>
            <w:tcW w:w="1666" w:type="pct"/>
            <w:hideMark/>
          </w:tcPr>
          <w:p w14:paraId="5156C23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Hampton Drive / Latrobe Street Intersection</w:t>
            </w:r>
          </w:p>
        </w:tc>
        <w:tc>
          <w:tcPr>
            <w:tcW w:w="834" w:type="pct"/>
            <w:hideMark/>
          </w:tcPr>
          <w:p w14:paraId="08649FE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14:paraId="1756388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$330,000</w:t>
            </w:r>
          </w:p>
        </w:tc>
      </w:tr>
      <w:tr w:rsidR="00BE36FB" w:rsidRPr="009B7B35" w14:paraId="3D38284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89B85F8" w14:textId="77777777" w:rsidR="00BE36FB" w:rsidRPr="009B7B35" w:rsidRDefault="00BE36FB" w:rsidP="001A7107">
            <w:pPr>
              <w:pStyle w:val="TableText"/>
              <w:rPr>
                <w:rFonts w:cs="Arial"/>
              </w:rPr>
            </w:pPr>
            <w:r w:rsidRPr="009B7B35">
              <w:rPr>
                <w:rFonts w:cs="Arial"/>
              </w:rPr>
              <w:t>Hampton/Tannum Sands</w:t>
            </w:r>
          </w:p>
        </w:tc>
        <w:tc>
          <w:tcPr>
            <w:tcW w:w="750" w:type="pct"/>
            <w:hideMark/>
          </w:tcPr>
          <w:p w14:paraId="116F56A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R-HTS-003</w:t>
            </w:r>
          </w:p>
        </w:tc>
        <w:tc>
          <w:tcPr>
            <w:tcW w:w="1666" w:type="pct"/>
            <w:hideMark/>
          </w:tcPr>
          <w:p w14:paraId="775C438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Hampton Drive / Garnet Road Intersection</w:t>
            </w:r>
          </w:p>
        </w:tc>
        <w:tc>
          <w:tcPr>
            <w:tcW w:w="834" w:type="pct"/>
            <w:hideMark/>
          </w:tcPr>
          <w:p w14:paraId="2997330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288CD0E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$330,000</w:t>
            </w:r>
          </w:p>
        </w:tc>
      </w:tr>
      <w:tr w:rsidR="00BE36FB" w:rsidRPr="009B7B35" w14:paraId="6BB7670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2E6F1D1E" w14:textId="77777777" w:rsidR="00BE36FB" w:rsidRPr="009B7B35" w:rsidRDefault="00BE36FB" w:rsidP="001A7107">
            <w:pPr>
              <w:pStyle w:val="TableText"/>
              <w:rPr>
                <w:rFonts w:cs="Arial"/>
              </w:rPr>
            </w:pPr>
            <w:r w:rsidRPr="009B7B35">
              <w:rPr>
                <w:rFonts w:cs="Arial"/>
              </w:rPr>
              <w:t>Hampton/Tannum Sands</w:t>
            </w:r>
          </w:p>
        </w:tc>
        <w:tc>
          <w:tcPr>
            <w:tcW w:w="750" w:type="pct"/>
            <w:hideMark/>
          </w:tcPr>
          <w:p w14:paraId="77BCC72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R-HTS-004</w:t>
            </w:r>
          </w:p>
        </w:tc>
        <w:tc>
          <w:tcPr>
            <w:tcW w:w="1666" w:type="pct"/>
            <w:hideMark/>
          </w:tcPr>
          <w:p w14:paraId="20306F3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Hampton Drive / Booth Avenue East Intersection</w:t>
            </w:r>
          </w:p>
        </w:tc>
        <w:tc>
          <w:tcPr>
            <w:tcW w:w="834" w:type="pct"/>
            <w:hideMark/>
          </w:tcPr>
          <w:p w14:paraId="7D287C2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14:paraId="152FF42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$333,000</w:t>
            </w:r>
          </w:p>
        </w:tc>
      </w:tr>
      <w:tr w:rsidR="00BE36FB" w:rsidRPr="009B7B35" w14:paraId="17C0AA1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75F90522" w14:textId="77777777" w:rsidR="00BE36FB" w:rsidRPr="009B7B35" w:rsidRDefault="00BE36FB" w:rsidP="001A7107">
            <w:pPr>
              <w:pStyle w:val="TableText"/>
              <w:rPr>
                <w:rFonts w:cs="Arial"/>
              </w:rPr>
            </w:pPr>
            <w:r w:rsidRPr="009B7B35">
              <w:rPr>
                <w:rFonts w:cs="Arial"/>
              </w:rPr>
              <w:t>Hampton/Tannum Sands</w:t>
            </w:r>
          </w:p>
        </w:tc>
        <w:tc>
          <w:tcPr>
            <w:tcW w:w="750" w:type="pct"/>
            <w:hideMark/>
          </w:tcPr>
          <w:p w14:paraId="6D46D82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R-HTS-005</w:t>
            </w:r>
          </w:p>
        </w:tc>
        <w:tc>
          <w:tcPr>
            <w:tcW w:w="1666" w:type="pct"/>
            <w:hideMark/>
          </w:tcPr>
          <w:p w14:paraId="51DFDC5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Hampton Drive / Cremorne Drive Intersection</w:t>
            </w:r>
          </w:p>
        </w:tc>
        <w:tc>
          <w:tcPr>
            <w:tcW w:w="834" w:type="pct"/>
            <w:hideMark/>
          </w:tcPr>
          <w:p w14:paraId="1414ACA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7831561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$333,000</w:t>
            </w:r>
          </w:p>
        </w:tc>
      </w:tr>
      <w:tr w:rsidR="00BE36FB" w:rsidRPr="009B7B35" w14:paraId="2AD12BD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554AFAD1" w14:textId="77777777" w:rsidR="00BE36FB" w:rsidRPr="009B7B35" w:rsidRDefault="00BE36FB" w:rsidP="001A7107">
            <w:pPr>
              <w:pStyle w:val="TableText"/>
              <w:rPr>
                <w:rFonts w:cs="Arial"/>
              </w:rPr>
            </w:pPr>
            <w:r w:rsidRPr="009B7B35">
              <w:rPr>
                <w:rFonts w:cs="Arial"/>
              </w:rPr>
              <w:t>Hampton/Tannum Sands</w:t>
            </w:r>
          </w:p>
        </w:tc>
        <w:tc>
          <w:tcPr>
            <w:tcW w:w="750" w:type="pct"/>
            <w:hideMark/>
          </w:tcPr>
          <w:p w14:paraId="38850D6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R-HTS-006</w:t>
            </w:r>
          </w:p>
        </w:tc>
        <w:tc>
          <w:tcPr>
            <w:tcW w:w="1666" w:type="pct"/>
            <w:hideMark/>
          </w:tcPr>
          <w:p w14:paraId="6360DED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Hampton Drive / Tannum Sands Road Intersection</w:t>
            </w:r>
          </w:p>
        </w:tc>
        <w:tc>
          <w:tcPr>
            <w:tcW w:w="834" w:type="pct"/>
            <w:hideMark/>
          </w:tcPr>
          <w:p w14:paraId="1651F2E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14:paraId="60E0CAC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$940,000</w:t>
            </w:r>
          </w:p>
        </w:tc>
      </w:tr>
      <w:tr w:rsidR="00BE36FB" w:rsidRPr="009B7B35" w14:paraId="115C168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358B72E8" w14:textId="77777777" w:rsidR="00BE36FB" w:rsidRPr="009B7B35" w:rsidRDefault="00BE36FB" w:rsidP="001A7107">
            <w:pPr>
              <w:pStyle w:val="TableText"/>
              <w:rPr>
                <w:rFonts w:cs="Arial"/>
              </w:rPr>
            </w:pPr>
            <w:r w:rsidRPr="009B7B35">
              <w:rPr>
                <w:rFonts w:cs="Arial"/>
              </w:rPr>
              <w:t>Hampton/Tannum Sands</w:t>
            </w:r>
          </w:p>
        </w:tc>
        <w:tc>
          <w:tcPr>
            <w:tcW w:w="750" w:type="pct"/>
            <w:hideMark/>
          </w:tcPr>
          <w:p w14:paraId="41C3F0A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R-HTS-007</w:t>
            </w:r>
          </w:p>
        </w:tc>
        <w:tc>
          <w:tcPr>
            <w:tcW w:w="1666" w:type="pct"/>
            <w:hideMark/>
          </w:tcPr>
          <w:p w14:paraId="14F4A76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Hampton Drive (Malpas Street - Latrobe Street)</w:t>
            </w:r>
          </w:p>
        </w:tc>
        <w:tc>
          <w:tcPr>
            <w:tcW w:w="834" w:type="pct"/>
            <w:hideMark/>
          </w:tcPr>
          <w:p w14:paraId="08C7587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62988CB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$4,910,000</w:t>
            </w:r>
          </w:p>
        </w:tc>
      </w:tr>
      <w:tr w:rsidR="00BE36FB" w:rsidRPr="009B7B35" w14:paraId="7765F97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4D86FFE" w14:textId="77777777" w:rsidR="00BE36FB" w:rsidRPr="009B7B35" w:rsidRDefault="00BE36FB" w:rsidP="001A7107">
            <w:pPr>
              <w:pStyle w:val="TableText"/>
              <w:rPr>
                <w:rFonts w:cs="Arial"/>
              </w:rPr>
            </w:pPr>
            <w:r w:rsidRPr="009B7B35">
              <w:rPr>
                <w:rFonts w:cs="Arial"/>
              </w:rPr>
              <w:t>Hampton/Tannum Sands</w:t>
            </w:r>
          </w:p>
        </w:tc>
        <w:tc>
          <w:tcPr>
            <w:tcW w:w="750" w:type="pct"/>
            <w:hideMark/>
          </w:tcPr>
          <w:p w14:paraId="4E4D12E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R-HTS-008</w:t>
            </w:r>
          </w:p>
        </w:tc>
        <w:tc>
          <w:tcPr>
            <w:tcW w:w="1666" w:type="pct"/>
            <w:hideMark/>
          </w:tcPr>
          <w:p w14:paraId="7DDBFC0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Tannum Sands Road / Coronation Drive Intersection</w:t>
            </w:r>
          </w:p>
        </w:tc>
        <w:tc>
          <w:tcPr>
            <w:tcW w:w="834" w:type="pct"/>
            <w:hideMark/>
          </w:tcPr>
          <w:p w14:paraId="7B60113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2F80B32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$1,050,000</w:t>
            </w:r>
          </w:p>
        </w:tc>
      </w:tr>
      <w:tr w:rsidR="00BE36FB" w:rsidRPr="009B7B35" w14:paraId="3814ED0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E1F642E" w14:textId="77777777" w:rsidR="00BE36FB" w:rsidRPr="009B7B35" w:rsidRDefault="00BE36FB" w:rsidP="001A7107">
            <w:pPr>
              <w:pStyle w:val="TableText"/>
              <w:rPr>
                <w:rFonts w:cs="Arial"/>
              </w:rPr>
            </w:pPr>
            <w:r w:rsidRPr="009B7B35">
              <w:rPr>
                <w:rFonts w:cs="Arial"/>
              </w:rPr>
              <w:t>Hampton/Tannum Sands</w:t>
            </w:r>
          </w:p>
        </w:tc>
        <w:tc>
          <w:tcPr>
            <w:tcW w:w="750" w:type="pct"/>
            <w:hideMark/>
          </w:tcPr>
          <w:p w14:paraId="3553039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R-HTS-009</w:t>
            </w:r>
          </w:p>
        </w:tc>
        <w:tc>
          <w:tcPr>
            <w:tcW w:w="1666" w:type="pct"/>
            <w:hideMark/>
          </w:tcPr>
          <w:p w14:paraId="4CBC96C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Tannum Sands Road (Hampton Drive - Silverton Drive)</w:t>
            </w:r>
          </w:p>
        </w:tc>
        <w:tc>
          <w:tcPr>
            <w:tcW w:w="834" w:type="pct"/>
            <w:hideMark/>
          </w:tcPr>
          <w:p w14:paraId="79F07C7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14:paraId="19E317C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$4,240,000</w:t>
            </w:r>
          </w:p>
        </w:tc>
      </w:tr>
      <w:tr w:rsidR="00BE36FB" w:rsidRPr="009B7B35" w14:paraId="44EC347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5D56841" w14:textId="77777777" w:rsidR="00BE36FB" w:rsidRPr="009B7B35" w:rsidRDefault="00BE36FB" w:rsidP="001A7107">
            <w:pPr>
              <w:pStyle w:val="TableText"/>
              <w:rPr>
                <w:rFonts w:cs="Arial"/>
              </w:rPr>
            </w:pPr>
            <w:r w:rsidRPr="009B7B35">
              <w:rPr>
                <w:rFonts w:cs="Arial"/>
              </w:rPr>
              <w:t>Malpas Street</w:t>
            </w:r>
          </w:p>
        </w:tc>
        <w:tc>
          <w:tcPr>
            <w:tcW w:w="750" w:type="pct"/>
            <w:hideMark/>
          </w:tcPr>
          <w:p w14:paraId="370D492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R-MAL-001</w:t>
            </w:r>
          </w:p>
        </w:tc>
        <w:tc>
          <w:tcPr>
            <w:tcW w:w="1666" w:type="pct"/>
            <w:hideMark/>
          </w:tcPr>
          <w:p w14:paraId="13BB1D5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Malpas Street / Beltana Drive Intersection</w:t>
            </w:r>
          </w:p>
        </w:tc>
        <w:tc>
          <w:tcPr>
            <w:tcW w:w="834" w:type="pct"/>
            <w:hideMark/>
          </w:tcPr>
          <w:p w14:paraId="0C61DF8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14:paraId="21C95C7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$330,000</w:t>
            </w:r>
          </w:p>
        </w:tc>
      </w:tr>
      <w:tr w:rsidR="00BE36FB" w:rsidRPr="009B7B35" w14:paraId="19D7D17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34A4A147" w14:textId="77777777" w:rsidR="00BE36FB" w:rsidRPr="009B7B35" w:rsidRDefault="00BE36FB" w:rsidP="001A7107">
            <w:pPr>
              <w:pStyle w:val="TableText"/>
              <w:rPr>
                <w:rFonts w:cs="Arial"/>
              </w:rPr>
            </w:pPr>
            <w:r w:rsidRPr="009B7B35">
              <w:rPr>
                <w:rFonts w:cs="Arial"/>
              </w:rPr>
              <w:t>Malpas Street</w:t>
            </w:r>
          </w:p>
        </w:tc>
        <w:tc>
          <w:tcPr>
            <w:tcW w:w="750" w:type="pct"/>
            <w:hideMark/>
          </w:tcPr>
          <w:p w14:paraId="2ACBEC8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R-MAL-002</w:t>
            </w:r>
          </w:p>
        </w:tc>
        <w:tc>
          <w:tcPr>
            <w:tcW w:w="1666" w:type="pct"/>
            <w:hideMark/>
          </w:tcPr>
          <w:p w14:paraId="6C3E82D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Malpas Street / Tarcoola Drive Intersection</w:t>
            </w:r>
          </w:p>
        </w:tc>
        <w:tc>
          <w:tcPr>
            <w:tcW w:w="834" w:type="pct"/>
            <w:hideMark/>
          </w:tcPr>
          <w:p w14:paraId="352E2CA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14:paraId="4772CAB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$330,000</w:t>
            </w:r>
          </w:p>
        </w:tc>
      </w:tr>
      <w:tr w:rsidR="00BE36FB" w:rsidRPr="009B7B35" w14:paraId="28BF2D0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78B3C77" w14:textId="77777777" w:rsidR="00BE36FB" w:rsidRPr="009B7B35" w:rsidRDefault="00BE36FB" w:rsidP="001A7107">
            <w:pPr>
              <w:pStyle w:val="TableText"/>
              <w:rPr>
                <w:rFonts w:cs="Arial"/>
              </w:rPr>
            </w:pPr>
            <w:r w:rsidRPr="009B7B35">
              <w:rPr>
                <w:rFonts w:cs="Arial"/>
              </w:rPr>
              <w:t>Malpas Street</w:t>
            </w:r>
          </w:p>
        </w:tc>
        <w:tc>
          <w:tcPr>
            <w:tcW w:w="750" w:type="pct"/>
            <w:hideMark/>
          </w:tcPr>
          <w:p w14:paraId="039B553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R-MAL-003</w:t>
            </w:r>
          </w:p>
        </w:tc>
        <w:tc>
          <w:tcPr>
            <w:tcW w:w="1666" w:type="pct"/>
            <w:hideMark/>
          </w:tcPr>
          <w:p w14:paraId="7921948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Malpas Street / Centenary Drive Intersection</w:t>
            </w:r>
          </w:p>
        </w:tc>
        <w:tc>
          <w:tcPr>
            <w:tcW w:w="834" w:type="pct"/>
            <w:hideMark/>
          </w:tcPr>
          <w:p w14:paraId="184B953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14:paraId="26A87C8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$450,000</w:t>
            </w:r>
          </w:p>
        </w:tc>
      </w:tr>
      <w:tr w:rsidR="00BE36FB" w:rsidRPr="009B7B35" w14:paraId="09A606D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93020EA" w14:textId="77777777" w:rsidR="00BE36FB" w:rsidRPr="009B7B35" w:rsidRDefault="00BE36FB" w:rsidP="001A7107">
            <w:pPr>
              <w:pStyle w:val="TableText"/>
              <w:rPr>
                <w:rFonts w:cs="Arial"/>
              </w:rPr>
            </w:pPr>
            <w:r w:rsidRPr="009B7B35">
              <w:rPr>
                <w:rFonts w:cs="Arial"/>
              </w:rPr>
              <w:t>Malpas Street</w:t>
            </w:r>
          </w:p>
        </w:tc>
        <w:tc>
          <w:tcPr>
            <w:tcW w:w="750" w:type="pct"/>
            <w:hideMark/>
          </w:tcPr>
          <w:p w14:paraId="566B9F0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R-MAL-004</w:t>
            </w:r>
          </w:p>
        </w:tc>
        <w:tc>
          <w:tcPr>
            <w:tcW w:w="1666" w:type="pct"/>
            <w:hideMark/>
          </w:tcPr>
          <w:p w14:paraId="79BFB5B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Malpas Street (Centenary Drive - Boyne Island Road)</w:t>
            </w:r>
          </w:p>
        </w:tc>
        <w:tc>
          <w:tcPr>
            <w:tcW w:w="834" w:type="pct"/>
            <w:hideMark/>
          </w:tcPr>
          <w:p w14:paraId="4AAB0AD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14:paraId="1ECBC08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$6,380,000</w:t>
            </w:r>
          </w:p>
        </w:tc>
      </w:tr>
      <w:tr w:rsidR="00BE36FB" w:rsidRPr="009B7B35" w14:paraId="3A77195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161FD83" w14:textId="77777777" w:rsidR="00BE36FB" w:rsidRPr="009B7B35" w:rsidRDefault="00BE36FB" w:rsidP="001A7107">
            <w:pPr>
              <w:pStyle w:val="TableText"/>
              <w:rPr>
                <w:rFonts w:cs="Arial"/>
              </w:rPr>
            </w:pPr>
            <w:r w:rsidRPr="009B7B35">
              <w:rPr>
                <w:rFonts w:cs="Arial"/>
              </w:rPr>
              <w:t>Pioneer Drive</w:t>
            </w:r>
          </w:p>
        </w:tc>
        <w:tc>
          <w:tcPr>
            <w:tcW w:w="750" w:type="pct"/>
            <w:hideMark/>
          </w:tcPr>
          <w:p w14:paraId="6747716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R-PNR-001</w:t>
            </w:r>
          </w:p>
        </w:tc>
        <w:tc>
          <w:tcPr>
            <w:tcW w:w="1666" w:type="pct"/>
            <w:hideMark/>
          </w:tcPr>
          <w:p w14:paraId="3AD5EB4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Pioneer Drive (Tannum STP Road)(Tannum Sands Road - Tannum STP)</w:t>
            </w:r>
          </w:p>
        </w:tc>
        <w:tc>
          <w:tcPr>
            <w:tcW w:w="834" w:type="pct"/>
            <w:hideMark/>
          </w:tcPr>
          <w:p w14:paraId="3BAF2C5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14:paraId="4A4454D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$5,200,000</w:t>
            </w:r>
          </w:p>
        </w:tc>
      </w:tr>
      <w:tr w:rsidR="00BE36FB" w:rsidRPr="009B7B35" w14:paraId="3E430C0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613EDA9" w14:textId="77777777" w:rsidR="00BE36FB" w:rsidRPr="009B7B35" w:rsidRDefault="00BE36FB" w:rsidP="001A7107">
            <w:pPr>
              <w:pStyle w:val="TableText"/>
              <w:rPr>
                <w:rFonts w:cs="Arial"/>
              </w:rPr>
            </w:pPr>
            <w:r w:rsidRPr="009B7B35">
              <w:rPr>
                <w:rFonts w:cs="Arial"/>
              </w:rPr>
              <w:t>Pioneer Drive</w:t>
            </w:r>
          </w:p>
        </w:tc>
        <w:tc>
          <w:tcPr>
            <w:tcW w:w="750" w:type="pct"/>
            <w:hideMark/>
          </w:tcPr>
          <w:p w14:paraId="459111B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R-PNR-002</w:t>
            </w:r>
          </w:p>
        </w:tc>
        <w:tc>
          <w:tcPr>
            <w:tcW w:w="1666" w:type="pct"/>
            <w:hideMark/>
          </w:tcPr>
          <w:p w14:paraId="6961382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Pioneer Drive Extension (Tannum STP - Boyne Island Road)</w:t>
            </w:r>
          </w:p>
        </w:tc>
        <w:tc>
          <w:tcPr>
            <w:tcW w:w="834" w:type="pct"/>
            <w:hideMark/>
          </w:tcPr>
          <w:p w14:paraId="51B308A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14:paraId="5C5EDCA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$3,080,000</w:t>
            </w:r>
          </w:p>
        </w:tc>
      </w:tr>
      <w:tr w:rsidR="00BE36FB" w:rsidRPr="009B7B35" w14:paraId="0AE9542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2D30D523" w14:textId="77777777" w:rsidR="00BE36FB" w:rsidRPr="009B7B35" w:rsidRDefault="00BE36FB" w:rsidP="001A7107">
            <w:pPr>
              <w:pStyle w:val="TableText"/>
              <w:rPr>
                <w:rFonts w:cs="Arial"/>
              </w:rPr>
            </w:pPr>
            <w:r w:rsidRPr="009B7B35">
              <w:rPr>
                <w:rFonts w:cs="Arial"/>
              </w:rPr>
              <w:t>Pioneer Drive</w:t>
            </w:r>
          </w:p>
        </w:tc>
        <w:tc>
          <w:tcPr>
            <w:tcW w:w="750" w:type="pct"/>
            <w:hideMark/>
          </w:tcPr>
          <w:p w14:paraId="456D77D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R-PNR-003</w:t>
            </w:r>
          </w:p>
        </w:tc>
        <w:tc>
          <w:tcPr>
            <w:tcW w:w="1666" w:type="pct"/>
            <w:hideMark/>
          </w:tcPr>
          <w:p w14:paraId="139AF13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Pioneer Drive Extension (Boyne River)</w:t>
            </w:r>
          </w:p>
        </w:tc>
        <w:tc>
          <w:tcPr>
            <w:tcW w:w="834" w:type="pct"/>
            <w:hideMark/>
          </w:tcPr>
          <w:p w14:paraId="3A254FE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14:paraId="447656B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$74,250,000</w:t>
            </w:r>
          </w:p>
        </w:tc>
      </w:tr>
      <w:tr w:rsidR="00BE36FB" w:rsidRPr="009B7B35" w14:paraId="699EF0E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344DC29E" w14:textId="77777777" w:rsidR="00BE36FB" w:rsidRPr="009B7B35" w:rsidRDefault="00BE36FB" w:rsidP="001A7107">
            <w:pPr>
              <w:pStyle w:val="TableText"/>
              <w:rPr>
                <w:rFonts w:cs="Arial"/>
              </w:rPr>
            </w:pPr>
            <w:r w:rsidRPr="009B7B35">
              <w:rPr>
                <w:rFonts w:cs="Arial"/>
              </w:rPr>
              <w:t>Pioneer Drive</w:t>
            </w:r>
          </w:p>
        </w:tc>
        <w:tc>
          <w:tcPr>
            <w:tcW w:w="750" w:type="pct"/>
            <w:hideMark/>
          </w:tcPr>
          <w:p w14:paraId="2630039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R-PNR-004</w:t>
            </w:r>
          </w:p>
        </w:tc>
        <w:tc>
          <w:tcPr>
            <w:tcW w:w="1666" w:type="pct"/>
            <w:hideMark/>
          </w:tcPr>
          <w:p w14:paraId="1B056ED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Pioneer Drive Extension (Floodway)</w:t>
            </w:r>
          </w:p>
        </w:tc>
        <w:tc>
          <w:tcPr>
            <w:tcW w:w="834" w:type="pct"/>
            <w:hideMark/>
          </w:tcPr>
          <w:p w14:paraId="3A79616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14:paraId="5D99A01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$7,890,000</w:t>
            </w:r>
          </w:p>
        </w:tc>
      </w:tr>
      <w:tr w:rsidR="00BE36FB" w:rsidRPr="009B7B35" w14:paraId="2DF07B0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18E0095" w14:textId="77777777" w:rsidR="00BE36FB" w:rsidRPr="009B7B35" w:rsidRDefault="00BE36FB" w:rsidP="001A7107">
            <w:pPr>
              <w:pStyle w:val="TableText"/>
              <w:rPr>
                <w:rFonts w:cs="Arial"/>
              </w:rPr>
            </w:pPr>
            <w:r w:rsidRPr="009B7B35">
              <w:rPr>
                <w:rFonts w:cs="Arial"/>
              </w:rPr>
              <w:t>Pioneer Drive</w:t>
            </w:r>
          </w:p>
        </w:tc>
        <w:tc>
          <w:tcPr>
            <w:tcW w:w="750" w:type="pct"/>
            <w:hideMark/>
          </w:tcPr>
          <w:p w14:paraId="0FB8FBF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R-PNR-005</w:t>
            </w:r>
          </w:p>
        </w:tc>
        <w:tc>
          <w:tcPr>
            <w:tcW w:w="1666" w:type="pct"/>
            <w:hideMark/>
          </w:tcPr>
          <w:p w14:paraId="46A80B0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Pioneer Drive Extension (Cattle Creek)</w:t>
            </w:r>
          </w:p>
        </w:tc>
        <w:tc>
          <w:tcPr>
            <w:tcW w:w="834" w:type="pct"/>
            <w:hideMark/>
          </w:tcPr>
          <w:p w14:paraId="37BBD78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14:paraId="3C47EA3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$5,610,000</w:t>
            </w:r>
          </w:p>
        </w:tc>
      </w:tr>
      <w:tr w:rsidR="00BE36FB" w:rsidRPr="009B7B35" w14:paraId="7B92909F"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7DAD5100" w14:textId="77777777" w:rsidR="00BE36FB" w:rsidRPr="009B7B35" w:rsidRDefault="00BE36FB" w:rsidP="001A7107">
            <w:pPr>
              <w:pStyle w:val="TableText"/>
              <w:rPr>
                <w:rFonts w:cs="Arial"/>
              </w:rPr>
            </w:pPr>
            <w:r w:rsidRPr="009B7B35">
              <w:rPr>
                <w:rFonts w:cs="Arial"/>
              </w:rPr>
              <w:t>Tannum Sands</w:t>
            </w:r>
          </w:p>
        </w:tc>
        <w:tc>
          <w:tcPr>
            <w:tcW w:w="750" w:type="pct"/>
            <w:hideMark/>
          </w:tcPr>
          <w:p w14:paraId="7D095E7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R-TNS-001</w:t>
            </w:r>
          </w:p>
        </w:tc>
        <w:tc>
          <w:tcPr>
            <w:tcW w:w="1666" w:type="pct"/>
            <w:hideMark/>
          </w:tcPr>
          <w:p w14:paraId="6B78EF3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Coronation Drive Extension (Coronation Drive - Dahl Road)</w:t>
            </w:r>
          </w:p>
        </w:tc>
        <w:tc>
          <w:tcPr>
            <w:tcW w:w="834" w:type="pct"/>
            <w:hideMark/>
          </w:tcPr>
          <w:p w14:paraId="197CF20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14:paraId="695EF96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$2,550,000</w:t>
            </w:r>
          </w:p>
        </w:tc>
      </w:tr>
      <w:tr w:rsidR="00BE36FB" w:rsidRPr="009B7B35" w14:paraId="224DD5D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0C32A68" w14:textId="77777777" w:rsidR="00BE36FB" w:rsidRPr="009B7B35" w:rsidRDefault="00BE36FB" w:rsidP="001A7107">
            <w:pPr>
              <w:pStyle w:val="TableText"/>
              <w:rPr>
                <w:rFonts w:cs="Arial"/>
              </w:rPr>
            </w:pPr>
            <w:r w:rsidRPr="009B7B35">
              <w:rPr>
                <w:rFonts w:cs="Arial"/>
              </w:rPr>
              <w:t>Tannum Sands</w:t>
            </w:r>
          </w:p>
        </w:tc>
        <w:tc>
          <w:tcPr>
            <w:tcW w:w="750" w:type="pct"/>
            <w:hideMark/>
          </w:tcPr>
          <w:p w14:paraId="1A3EC15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R-TNS-002</w:t>
            </w:r>
          </w:p>
        </w:tc>
        <w:tc>
          <w:tcPr>
            <w:tcW w:w="1666" w:type="pct"/>
            <w:hideMark/>
          </w:tcPr>
          <w:p w14:paraId="748C974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Coronation Drive Extension (Dahl Road - Pioneer Drive)</w:t>
            </w:r>
          </w:p>
        </w:tc>
        <w:tc>
          <w:tcPr>
            <w:tcW w:w="834" w:type="pct"/>
            <w:hideMark/>
          </w:tcPr>
          <w:p w14:paraId="509442C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14:paraId="62D1B65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$4,070,000</w:t>
            </w:r>
          </w:p>
        </w:tc>
      </w:tr>
      <w:tr w:rsidR="00BE36FB" w:rsidRPr="009B7B35" w14:paraId="358AC24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F127573" w14:textId="77777777" w:rsidR="00BE36FB" w:rsidRPr="009B7B35" w:rsidRDefault="00BE36FB" w:rsidP="001A7107">
            <w:pPr>
              <w:pStyle w:val="TableText"/>
              <w:rPr>
                <w:rFonts w:cs="Arial"/>
              </w:rPr>
            </w:pPr>
            <w:r w:rsidRPr="009B7B35">
              <w:rPr>
                <w:rFonts w:cs="Arial"/>
              </w:rPr>
              <w:t>Tannum Sands</w:t>
            </w:r>
          </w:p>
        </w:tc>
        <w:tc>
          <w:tcPr>
            <w:tcW w:w="750" w:type="pct"/>
            <w:hideMark/>
          </w:tcPr>
          <w:p w14:paraId="2230816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R-TNS-003</w:t>
            </w:r>
          </w:p>
        </w:tc>
        <w:tc>
          <w:tcPr>
            <w:tcW w:w="1666" w:type="pct"/>
            <w:hideMark/>
          </w:tcPr>
          <w:p w14:paraId="39E181A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Dahl Road Extension (Dahl Road - Coronation Drive Extension)</w:t>
            </w:r>
          </w:p>
        </w:tc>
        <w:tc>
          <w:tcPr>
            <w:tcW w:w="834" w:type="pct"/>
            <w:hideMark/>
          </w:tcPr>
          <w:p w14:paraId="1B3865E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14:paraId="5DA8F34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$3,570,000</w:t>
            </w:r>
          </w:p>
        </w:tc>
      </w:tr>
      <w:tr w:rsidR="00BE36FB" w:rsidRPr="009B7B35" w14:paraId="0B95A6F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274B76C2" w14:textId="77777777" w:rsidR="00BE36FB" w:rsidRPr="009B7B35" w:rsidRDefault="00BE36FB" w:rsidP="001A7107">
            <w:pPr>
              <w:pStyle w:val="TableText"/>
              <w:rPr>
                <w:rFonts w:cs="Arial"/>
              </w:rPr>
            </w:pPr>
            <w:r w:rsidRPr="009B7B35">
              <w:rPr>
                <w:rFonts w:cs="Arial"/>
              </w:rPr>
              <w:t>Tannum Sands</w:t>
            </w:r>
          </w:p>
        </w:tc>
        <w:tc>
          <w:tcPr>
            <w:tcW w:w="750" w:type="pct"/>
            <w:hideMark/>
          </w:tcPr>
          <w:p w14:paraId="1517B1F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R-TNS-004</w:t>
            </w:r>
          </w:p>
        </w:tc>
        <w:tc>
          <w:tcPr>
            <w:tcW w:w="1666" w:type="pct"/>
            <w:hideMark/>
          </w:tcPr>
          <w:p w14:paraId="4913212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Coronation Drive / Cremorne Drive Intersection</w:t>
            </w:r>
          </w:p>
        </w:tc>
        <w:tc>
          <w:tcPr>
            <w:tcW w:w="834" w:type="pct"/>
            <w:hideMark/>
          </w:tcPr>
          <w:p w14:paraId="7DEAC50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14:paraId="3294A54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$430,000</w:t>
            </w:r>
          </w:p>
        </w:tc>
      </w:tr>
      <w:tr w:rsidR="00BE36FB" w:rsidRPr="009B7B35" w14:paraId="566CEA3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733AD46" w14:textId="77777777" w:rsidR="00BE36FB" w:rsidRPr="009B7B35" w:rsidRDefault="00BE36FB" w:rsidP="001A7107">
            <w:pPr>
              <w:pStyle w:val="TableText"/>
              <w:rPr>
                <w:rFonts w:cs="Arial"/>
              </w:rPr>
            </w:pPr>
            <w:r w:rsidRPr="009B7B35">
              <w:rPr>
                <w:rFonts w:cs="Arial"/>
              </w:rPr>
              <w:t>Agnes Water</w:t>
            </w:r>
          </w:p>
        </w:tc>
        <w:tc>
          <w:tcPr>
            <w:tcW w:w="750" w:type="pct"/>
            <w:hideMark/>
          </w:tcPr>
          <w:p w14:paraId="648B11D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R-AGW-001</w:t>
            </w:r>
          </w:p>
        </w:tc>
        <w:tc>
          <w:tcPr>
            <w:tcW w:w="1666" w:type="pct"/>
            <w:hideMark/>
          </w:tcPr>
          <w:p w14:paraId="46388D3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Seventeen Seventy Link Road (Round Hill Road - Captain Cook Drive)</w:t>
            </w:r>
          </w:p>
        </w:tc>
        <w:tc>
          <w:tcPr>
            <w:tcW w:w="834" w:type="pct"/>
            <w:hideMark/>
          </w:tcPr>
          <w:p w14:paraId="028F747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14:paraId="5472E2A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$7,360,000</w:t>
            </w:r>
          </w:p>
        </w:tc>
      </w:tr>
      <w:tr w:rsidR="00BE36FB" w:rsidRPr="009B7B35" w14:paraId="49FFF3A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2B624BE0" w14:textId="77777777" w:rsidR="00BE36FB" w:rsidRPr="009B7B35" w:rsidRDefault="00BE36FB" w:rsidP="001A7107">
            <w:pPr>
              <w:pStyle w:val="TableText"/>
              <w:rPr>
                <w:rFonts w:cs="Arial"/>
              </w:rPr>
            </w:pPr>
            <w:r w:rsidRPr="009B7B35">
              <w:rPr>
                <w:rFonts w:cs="Arial"/>
              </w:rPr>
              <w:t>Agnes Water</w:t>
            </w:r>
          </w:p>
        </w:tc>
        <w:tc>
          <w:tcPr>
            <w:tcW w:w="750" w:type="pct"/>
            <w:hideMark/>
          </w:tcPr>
          <w:p w14:paraId="7505889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R-AGW-002</w:t>
            </w:r>
          </w:p>
        </w:tc>
        <w:tc>
          <w:tcPr>
            <w:tcW w:w="1666" w:type="pct"/>
            <w:hideMark/>
          </w:tcPr>
          <w:p w14:paraId="70552BB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Bicentennial Drive / Round Hill Road Intersection</w:t>
            </w:r>
          </w:p>
        </w:tc>
        <w:tc>
          <w:tcPr>
            <w:tcW w:w="834" w:type="pct"/>
            <w:hideMark/>
          </w:tcPr>
          <w:p w14:paraId="0E7B143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14:paraId="22C3BB9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$120,000</w:t>
            </w:r>
          </w:p>
        </w:tc>
      </w:tr>
      <w:tr w:rsidR="00BE36FB" w:rsidRPr="009B7B35" w14:paraId="472667C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7B344F05" w14:textId="77777777" w:rsidR="00BE36FB" w:rsidRPr="009B7B35" w:rsidRDefault="00BE36FB" w:rsidP="001A7107">
            <w:pPr>
              <w:pStyle w:val="TableText"/>
              <w:rPr>
                <w:rFonts w:cs="Arial"/>
              </w:rPr>
            </w:pPr>
            <w:r w:rsidRPr="009B7B35">
              <w:rPr>
                <w:rFonts w:cs="Arial"/>
              </w:rPr>
              <w:t>Agnes Water</w:t>
            </w:r>
          </w:p>
        </w:tc>
        <w:tc>
          <w:tcPr>
            <w:tcW w:w="750" w:type="pct"/>
            <w:hideMark/>
          </w:tcPr>
          <w:p w14:paraId="20C879D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R-AGW-003</w:t>
            </w:r>
          </w:p>
        </w:tc>
        <w:tc>
          <w:tcPr>
            <w:tcW w:w="1666" w:type="pct"/>
            <w:hideMark/>
          </w:tcPr>
          <w:p w14:paraId="45F6ECD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Round Hill Road (various rural sections)</w:t>
            </w:r>
          </w:p>
        </w:tc>
        <w:tc>
          <w:tcPr>
            <w:tcW w:w="834" w:type="pct"/>
            <w:hideMark/>
          </w:tcPr>
          <w:p w14:paraId="2CE9F09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2016-2026</w:t>
            </w:r>
          </w:p>
        </w:tc>
        <w:tc>
          <w:tcPr>
            <w:tcW w:w="833" w:type="pct"/>
            <w:hideMark/>
          </w:tcPr>
          <w:p w14:paraId="25BFB8E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$2,890,000</w:t>
            </w:r>
          </w:p>
        </w:tc>
      </w:tr>
      <w:tr w:rsidR="00BE36FB" w:rsidRPr="009B7B35" w14:paraId="28F8736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276793DC" w14:textId="77777777" w:rsidR="00BE36FB" w:rsidRPr="009B7B35" w:rsidRDefault="00BE36FB" w:rsidP="001A7107">
            <w:pPr>
              <w:pStyle w:val="TableText"/>
              <w:rPr>
                <w:rFonts w:cs="Arial"/>
              </w:rPr>
            </w:pPr>
            <w:r w:rsidRPr="009B7B35">
              <w:rPr>
                <w:rFonts w:cs="Arial"/>
              </w:rPr>
              <w:t>Agnes Water</w:t>
            </w:r>
          </w:p>
        </w:tc>
        <w:tc>
          <w:tcPr>
            <w:tcW w:w="750" w:type="pct"/>
            <w:hideMark/>
          </w:tcPr>
          <w:p w14:paraId="4BA0279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R-AGW-004</w:t>
            </w:r>
          </w:p>
        </w:tc>
        <w:tc>
          <w:tcPr>
            <w:tcW w:w="1666" w:type="pct"/>
            <w:hideMark/>
          </w:tcPr>
          <w:p w14:paraId="5A1C202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Round Hill Road / Captain Cook Drive Intersection </w:t>
            </w:r>
          </w:p>
        </w:tc>
        <w:tc>
          <w:tcPr>
            <w:tcW w:w="834" w:type="pct"/>
            <w:hideMark/>
          </w:tcPr>
          <w:p w14:paraId="04095C0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761BF0F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$730,000</w:t>
            </w:r>
          </w:p>
        </w:tc>
      </w:tr>
      <w:tr w:rsidR="00BE36FB" w:rsidRPr="009B7B35" w14:paraId="0FE1933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5E6FDC1B" w14:textId="77777777" w:rsidR="00BE36FB" w:rsidRPr="009B7B35" w:rsidRDefault="00BE36FB" w:rsidP="001A7107">
            <w:pPr>
              <w:pStyle w:val="TableText"/>
              <w:rPr>
                <w:rFonts w:cs="Arial"/>
              </w:rPr>
            </w:pPr>
            <w:r w:rsidRPr="009B7B35">
              <w:rPr>
                <w:rFonts w:cs="Arial"/>
              </w:rPr>
              <w:t>Agnes Water</w:t>
            </w:r>
          </w:p>
        </w:tc>
        <w:tc>
          <w:tcPr>
            <w:tcW w:w="750" w:type="pct"/>
            <w:hideMark/>
          </w:tcPr>
          <w:p w14:paraId="045BDFA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R-AGW-005</w:t>
            </w:r>
          </w:p>
        </w:tc>
        <w:tc>
          <w:tcPr>
            <w:tcW w:w="1666" w:type="pct"/>
            <w:hideMark/>
          </w:tcPr>
          <w:p w14:paraId="53A026C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Captain Cook Drive (GRC Depot - 1770 Marina)</w:t>
            </w:r>
          </w:p>
        </w:tc>
        <w:tc>
          <w:tcPr>
            <w:tcW w:w="834" w:type="pct"/>
            <w:hideMark/>
          </w:tcPr>
          <w:p w14:paraId="41FD0FC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14:paraId="245299C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$3,880,000</w:t>
            </w:r>
          </w:p>
        </w:tc>
      </w:tr>
      <w:tr w:rsidR="00BE36FB" w:rsidRPr="009B7B35" w14:paraId="155EDE26"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5BD9D330" w14:textId="77777777" w:rsidR="00BE36FB" w:rsidRPr="009B7B35" w:rsidRDefault="00BE36FB" w:rsidP="001A7107">
            <w:pPr>
              <w:pStyle w:val="TableText"/>
              <w:rPr>
                <w:rFonts w:cs="Arial"/>
              </w:rPr>
            </w:pPr>
            <w:r w:rsidRPr="009B7B35">
              <w:rPr>
                <w:rFonts w:cs="Arial"/>
              </w:rPr>
              <w:t>Calliope East</w:t>
            </w:r>
          </w:p>
        </w:tc>
        <w:tc>
          <w:tcPr>
            <w:tcW w:w="750" w:type="pct"/>
            <w:hideMark/>
          </w:tcPr>
          <w:p w14:paraId="4E87BE5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R-CPE-001</w:t>
            </w:r>
          </w:p>
        </w:tc>
        <w:tc>
          <w:tcPr>
            <w:tcW w:w="1666" w:type="pct"/>
            <w:hideMark/>
          </w:tcPr>
          <w:p w14:paraId="489DEAA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Drynan Drive East (Dawson Highway - Morris Avenue)</w:t>
            </w:r>
          </w:p>
        </w:tc>
        <w:tc>
          <w:tcPr>
            <w:tcW w:w="834" w:type="pct"/>
            <w:hideMark/>
          </w:tcPr>
          <w:p w14:paraId="6D3F8A0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399E9FA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$500,000</w:t>
            </w:r>
          </w:p>
        </w:tc>
      </w:tr>
      <w:tr w:rsidR="00BE36FB" w:rsidRPr="009B7B35" w14:paraId="2158D94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737D188A" w14:textId="77777777" w:rsidR="00BE36FB" w:rsidRPr="009B7B35" w:rsidRDefault="00BE36FB" w:rsidP="001A7107">
            <w:pPr>
              <w:pStyle w:val="TableText"/>
              <w:rPr>
                <w:rFonts w:cs="Arial"/>
              </w:rPr>
            </w:pPr>
            <w:r w:rsidRPr="009B7B35">
              <w:rPr>
                <w:rFonts w:cs="Arial"/>
              </w:rPr>
              <w:t>Calliope East</w:t>
            </w:r>
          </w:p>
        </w:tc>
        <w:tc>
          <w:tcPr>
            <w:tcW w:w="750" w:type="pct"/>
            <w:hideMark/>
          </w:tcPr>
          <w:p w14:paraId="212363F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R-CPE-002</w:t>
            </w:r>
          </w:p>
        </w:tc>
        <w:tc>
          <w:tcPr>
            <w:tcW w:w="1666" w:type="pct"/>
            <w:hideMark/>
          </w:tcPr>
          <w:p w14:paraId="65BDC72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Morris Avenue (Don Cameron Drive - Central Avenue)</w:t>
            </w:r>
          </w:p>
        </w:tc>
        <w:tc>
          <w:tcPr>
            <w:tcW w:w="834" w:type="pct"/>
            <w:hideMark/>
          </w:tcPr>
          <w:p w14:paraId="3C8D07C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14:paraId="096FCEB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$800,000</w:t>
            </w:r>
          </w:p>
        </w:tc>
      </w:tr>
      <w:tr w:rsidR="00BE36FB" w:rsidRPr="009B7B35" w14:paraId="08CC926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689554FC" w14:textId="77777777" w:rsidR="00BE36FB" w:rsidRPr="009B7B35" w:rsidRDefault="00BE36FB" w:rsidP="001A7107">
            <w:pPr>
              <w:pStyle w:val="TableText"/>
              <w:rPr>
                <w:rFonts w:cs="Arial"/>
              </w:rPr>
            </w:pPr>
            <w:r w:rsidRPr="009B7B35">
              <w:rPr>
                <w:rFonts w:cs="Arial"/>
              </w:rPr>
              <w:t>Calliope East</w:t>
            </w:r>
          </w:p>
        </w:tc>
        <w:tc>
          <w:tcPr>
            <w:tcW w:w="750" w:type="pct"/>
            <w:hideMark/>
          </w:tcPr>
          <w:p w14:paraId="43EA249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R-CPE-003</w:t>
            </w:r>
          </w:p>
        </w:tc>
        <w:tc>
          <w:tcPr>
            <w:tcW w:w="1666" w:type="pct"/>
            <w:hideMark/>
          </w:tcPr>
          <w:p w14:paraId="088B3F1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Don Cameron Drive (Walker Drive - Central/East Intersection)</w:t>
            </w:r>
          </w:p>
        </w:tc>
        <w:tc>
          <w:tcPr>
            <w:tcW w:w="834" w:type="pct"/>
            <w:hideMark/>
          </w:tcPr>
          <w:p w14:paraId="60FFA3E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4A3FB34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$1,600,000</w:t>
            </w:r>
          </w:p>
        </w:tc>
      </w:tr>
      <w:tr w:rsidR="00BE36FB" w:rsidRPr="009B7B35" w14:paraId="110A529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2B18CEA3" w14:textId="77777777" w:rsidR="00BE36FB" w:rsidRPr="009B7B35" w:rsidRDefault="00BE36FB" w:rsidP="001A7107">
            <w:pPr>
              <w:pStyle w:val="TableText"/>
              <w:rPr>
                <w:rFonts w:cs="Arial"/>
              </w:rPr>
            </w:pPr>
            <w:r w:rsidRPr="009B7B35">
              <w:rPr>
                <w:rFonts w:cs="Arial"/>
              </w:rPr>
              <w:t>Calliope East</w:t>
            </w:r>
          </w:p>
        </w:tc>
        <w:tc>
          <w:tcPr>
            <w:tcW w:w="750" w:type="pct"/>
            <w:hideMark/>
          </w:tcPr>
          <w:p w14:paraId="71BC018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R-CPE-004</w:t>
            </w:r>
          </w:p>
        </w:tc>
        <w:tc>
          <w:tcPr>
            <w:tcW w:w="1666" w:type="pct"/>
            <w:hideMark/>
          </w:tcPr>
          <w:p w14:paraId="5494833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Lightning Street (Dawson Highway - Trudy Street)</w:t>
            </w:r>
          </w:p>
        </w:tc>
        <w:tc>
          <w:tcPr>
            <w:tcW w:w="834" w:type="pct"/>
            <w:hideMark/>
          </w:tcPr>
          <w:p w14:paraId="607AE51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65B2A25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$430,000</w:t>
            </w:r>
          </w:p>
        </w:tc>
      </w:tr>
      <w:tr w:rsidR="00BE36FB" w:rsidRPr="009B7B35" w14:paraId="16FC9FE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540F8881" w14:textId="77777777" w:rsidR="00BE36FB" w:rsidRPr="009B7B35" w:rsidRDefault="00BE36FB" w:rsidP="001A7107">
            <w:pPr>
              <w:pStyle w:val="TableText"/>
              <w:rPr>
                <w:rFonts w:cs="Arial"/>
              </w:rPr>
            </w:pPr>
            <w:r w:rsidRPr="009B7B35">
              <w:rPr>
                <w:rFonts w:cs="Arial"/>
              </w:rPr>
              <w:t>Calliope East</w:t>
            </w:r>
          </w:p>
        </w:tc>
        <w:tc>
          <w:tcPr>
            <w:tcW w:w="750" w:type="pct"/>
            <w:hideMark/>
          </w:tcPr>
          <w:p w14:paraId="72F49D4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R-CPE-005</w:t>
            </w:r>
          </w:p>
        </w:tc>
        <w:tc>
          <w:tcPr>
            <w:tcW w:w="1666" w:type="pct"/>
            <w:hideMark/>
          </w:tcPr>
          <w:p w14:paraId="2D433DA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Trudy Street (Lightning Street - Herbertson Road)</w:t>
            </w:r>
          </w:p>
        </w:tc>
        <w:tc>
          <w:tcPr>
            <w:tcW w:w="834" w:type="pct"/>
            <w:hideMark/>
          </w:tcPr>
          <w:p w14:paraId="07A22AB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14:paraId="734E1EB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$370,000</w:t>
            </w:r>
          </w:p>
        </w:tc>
      </w:tr>
      <w:tr w:rsidR="00BE36FB" w:rsidRPr="009B7B35" w14:paraId="47A89DB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748F49E4" w14:textId="77777777" w:rsidR="00BE36FB" w:rsidRPr="009B7B35" w:rsidRDefault="00BE36FB" w:rsidP="001A7107">
            <w:pPr>
              <w:pStyle w:val="TableText"/>
              <w:rPr>
                <w:rFonts w:cs="Arial"/>
              </w:rPr>
            </w:pPr>
            <w:r w:rsidRPr="009B7B35">
              <w:rPr>
                <w:rFonts w:cs="Arial"/>
              </w:rPr>
              <w:t>Calliope East</w:t>
            </w:r>
          </w:p>
        </w:tc>
        <w:tc>
          <w:tcPr>
            <w:tcW w:w="750" w:type="pct"/>
            <w:hideMark/>
          </w:tcPr>
          <w:p w14:paraId="38129C0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R-CPE-006</w:t>
            </w:r>
          </w:p>
        </w:tc>
        <w:tc>
          <w:tcPr>
            <w:tcW w:w="1666" w:type="pct"/>
            <w:hideMark/>
          </w:tcPr>
          <w:p w14:paraId="3CF8771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Panorama Road 1 (Herbertson Road - Panorama Road 2)</w:t>
            </w:r>
          </w:p>
        </w:tc>
        <w:tc>
          <w:tcPr>
            <w:tcW w:w="834" w:type="pct"/>
            <w:hideMark/>
          </w:tcPr>
          <w:p w14:paraId="22FE3A5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14:paraId="0E11459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$2,210,000</w:t>
            </w:r>
          </w:p>
        </w:tc>
      </w:tr>
      <w:tr w:rsidR="00BE36FB" w:rsidRPr="009B7B35" w14:paraId="7397417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2AB70465" w14:textId="77777777" w:rsidR="00BE36FB" w:rsidRPr="009B7B35" w:rsidRDefault="00BE36FB" w:rsidP="001A7107">
            <w:pPr>
              <w:pStyle w:val="TableText"/>
              <w:rPr>
                <w:rFonts w:cs="Arial"/>
              </w:rPr>
            </w:pPr>
            <w:r w:rsidRPr="009B7B35">
              <w:rPr>
                <w:rFonts w:cs="Arial"/>
              </w:rPr>
              <w:t>Calliope East</w:t>
            </w:r>
          </w:p>
        </w:tc>
        <w:tc>
          <w:tcPr>
            <w:tcW w:w="750" w:type="pct"/>
            <w:hideMark/>
          </w:tcPr>
          <w:p w14:paraId="4A304FC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R-CPE-007</w:t>
            </w:r>
          </w:p>
        </w:tc>
        <w:tc>
          <w:tcPr>
            <w:tcW w:w="1666" w:type="pct"/>
            <w:hideMark/>
          </w:tcPr>
          <w:p w14:paraId="3A71BB9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Don Cameron Drive / Morris Avenue Intersection</w:t>
            </w:r>
          </w:p>
        </w:tc>
        <w:tc>
          <w:tcPr>
            <w:tcW w:w="834" w:type="pct"/>
            <w:hideMark/>
          </w:tcPr>
          <w:p w14:paraId="38368D7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Post 2031</w:t>
            </w:r>
          </w:p>
        </w:tc>
        <w:tc>
          <w:tcPr>
            <w:tcW w:w="833" w:type="pct"/>
            <w:hideMark/>
          </w:tcPr>
          <w:p w14:paraId="1FDCC5A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$410,000</w:t>
            </w:r>
          </w:p>
        </w:tc>
      </w:tr>
      <w:tr w:rsidR="00BE36FB" w:rsidRPr="009B7B35" w14:paraId="6D7EEA9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CB7CCCD" w14:textId="77777777" w:rsidR="00BE36FB" w:rsidRPr="009B7B35" w:rsidRDefault="00BE36FB" w:rsidP="001A7107">
            <w:pPr>
              <w:pStyle w:val="TableText"/>
              <w:rPr>
                <w:rFonts w:cs="Arial"/>
              </w:rPr>
            </w:pPr>
            <w:r w:rsidRPr="009B7B35">
              <w:rPr>
                <w:rFonts w:cs="Arial"/>
              </w:rPr>
              <w:t>Calliope East</w:t>
            </w:r>
          </w:p>
        </w:tc>
        <w:tc>
          <w:tcPr>
            <w:tcW w:w="750" w:type="pct"/>
            <w:hideMark/>
          </w:tcPr>
          <w:p w14:paraId="0238821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R-CPE-008</w:t>
            </w:r>
          </w:p>
        </w:tc>
        <w:tc>
          <w:tcPr>
            <w:tcW w:w="1666" w:type="pct"/>
            <w:hideMark/>
          </w:tcPr>
          <w:p w14:paraId="4CE4110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Morris Avenue / Drynan Drive Intersection</w:t>
            </w:r>
          </w:p>
        </w:tc>
        <w:tc>
          <w:tcPr>
            <w:tcW w:w="834" w:type="pct"/>
            <w:hideMark/>
          </w:tcPr>
          <w:p w14:paraId="646E6E3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14:paraId="7B86628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$540,000</w:t>
            </w:r>
          </w:p>
        </w:tc>
      </w:tr>
      <w:tr w:rsidR="00BE36FB" w:rsidRPr="009B7B35" w14:paraId="74F1AEA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38FADEB4" w14:textId="77777777" w:rsidR="00BE36FB" w:rsidRPr="009B7B35" w:rsidRDefault="00BE36FB" w:rsidP="001A7107">
            <w:pPr>
              <w:pStyle w:val="TableText"/>
              <w:rPr>
                <w:rFonts w:cs="Arial"/>
              </w:rPr>
            </w:pPr>
            <w:r w:rsidRPr="009B7B35">
              <w:rPr>
                <w:rFonts w:cs="Arial"/>
              </w:rPr>
              <w:t>Calliope East</w:t>
            </w:r>
          </w:p>
        </w:tc>
        <w:tc>
          <w:tcPr>
            <w:tcW w:w="750" w:type="pct"/>
            <w:hideMark/>
          </w:tcPr>
          <w:p w14:paraId="0B3E614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R-CPE-009</w:t>
            </w:r>
          </w:p>
        </w:tc>
        <w:tc>
          <w:tcPr>
            <w:tcW w:w="1666" w:type="pct"/>
            <w:hideMark/>
          </w:tcPr>
          <w:p w14:paraId="7325C77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Trudy Street / Herbertson Road / Panorama 1 Intersection</w:t>
            </w:r>
          </w:p>
        </w:tc>
        <w:tc>
          <w:tcPr>
            <w:tcW w:w="834" w:type="pct"/>
            <w:hideMark/>
          </w:tcPr>
          <w:p w14:paraId="0B62EE3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2016-2021</w:t>
            </w:r>
          </w:p>
        </w:tc>
        <w:tc>
          <w:tcPr>
            <w:tcW w:w="833" w:type="pct"/>
            <w:hideMark/>
          </w:tcPr>
          <w:p w14:paraId="6D5870F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$550,000</w:t>
            </w:r>
          </w:p>
        </w:tc>
      </w:tr>
      <w:tr w:rsidR="00BE36FB" w:rsidRPr="009B7B35" w14:paraId="432B979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76C64C74" w14:textId="77777777" w:rsidR="00BE36FB" w:rsidRPr="009B7B35" w:rsidRDefault="00BE36FB" w:rsidP="001A7107">
            <w:pPr>
              <w:pStyle w:val="TableText"/>
              <w:rPr>
                <w:rFonts w:cs="Arial"/>
              </w:rPr>
            </w:pPr>
            <w:r w:rsidRPr="009B7B35">
              <w:rPr>
                <w:rFonts w:cs="Arial"/>
              </w:rPr>
              <w:t>Calliope East</w:t>
            </w:r>
          </w:p>
        </w:tc>
        <w:tc>
          <w:tcPr>
            <w:tcW w:w="750" w:type="pct"/>
            <w:hideMark/>
          </w:tcPr>
          <w:p w14:paraId="306FEDD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R-CPE-010</w:t>
            </w:r>
          </w:p>
        </w:tc>
        <w:tc>
          <w:tcPr>
            <w:tcW w:w="1666" w:type="pct"/>
            <w:hideMark/>
          </w:tcPr>
          <w:p w14:paraId="5104E42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Panorama 1 / Panorama 2 Intersection</w:t>
            </w:r>
          </w:p>
        </w:tc>
        <w:tc>
          <w:tcPr>
            <w:tcW w:w="834" w:type="pct"/>
            <w:hideMark/>
          </w:tcPr>
          <w:p w14:paraId="43B217E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2021-2026</w:t>
            </w:r>
          </w:p>
        </w:tc>
        <w:tc>
          <w:tcPr>
            <w:tcW w:w="833" w:type="pct"/>
            <w:hideMark/>
          </w:tcPr>
          <w:p w14:paraId="224B709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$550,000</w:t>
            </w:r>
          </w:p>
        </w:tc>
      </w:tr>
      <w:tr w:rsidR="00BE36FB" w:rsidRPr="009B7B35" w14:paraId="6F94147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7A62646C" w14:textId="77777777" w:rsidR="00BE36FB" w:rsidRPr="009B7B35" w:rsidRDefault="00BE36FB" w:rsidP="001A7107">
            <w:pPr>
              <w:pStyle w:val="TableText"/>
              <w:rPr>
                <w:rFonts w:cs="Arial"/>
              </w:rPr>
            </w:pPr>
            <w:r w:rsidRPr="009B7B35">
              <w:rPr>
                <w:rFonts w:cs="Arial"/>
              </w:rPr>
              <w:t>Calliope East</w:t>
            </w:r>
          </w:p>
        </w:tc>
        <w:tc>
          <w:tcPr>
            <w:tcW w:w="750" w:type="pct"/>
            <w:hideMark/>
          </w:tcPr>
          <w:p w14:paraId="2BB37FC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R-CPE-011</w:t>
            </w:r>
          </w:p>
        </w:tc>
        <w:tc>
          <w:tcPr>
            <w:tcW w:w="1666" w:type="pct"/>
            <w:hideMark/>
          </w:tcPr>
          <w:p w14:paraId="203957D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Don Cameron / Central / East Intersection</w:t>
            </w:r>
          </w:p>
        </w:tc>
        <w:tc>
          <w:tcPr>
            <w:tcW w:w="834" w:type="pct"/>
            <w:hideMark/>
          </w:tcPr>
          <w:p w14:paraId="52EBEAE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3F9FC6A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$550,000</w:t>
            </w:r>
          </w:p>
        </w:tc>
      </w:tr>
      <w:tr w:rsidR="00BE36FB" w:rsidRPr="009B7B35" w14:paraId="170BEAC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EE1C404" w14:textId="77777777" w:rsidR="00BE36FB" w:rsidRPr="009B7B35" w:rsidRDefault="00BE36FB" w:rsidP="001A7107">
            <w:pPr>
              <w:pStyle w:val="TableText"/>
              <w:rPr>
                <w:rFonts w:cs="Arial"/>
              </w:rPr>
            </w:pPr>
            <w:r w:rsidRPr="009B7B35">
              <w:rPr>
                <w:rFonts w:cs="Arial"/>
              </w:rPr>
              <w:t>Calliope East</w:t>
            </w:r>
          </w:p>
        </w:tc>
        <w:tc>
          <w:tcPr>
            <w:tcW w:w="750" w:type="pct"/>
            <w:hideMark/>
          </w:tcPr>
          <w:p w14:paraId="56299C8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R-CPE-012</w:t>
            </w:r>
          </w:p>
        </w:tc>
        <w:tc>
          <w:tcPr>
            <w:tcW w:w="1666" w:type="pct"/>
            <w:hideMark/>
          </w:tcPr>
          <w:p w14:paraId="1565CC8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Morris Avenue / Central Avenue Intersection</w:t>
            </w:r>
          </w:p>
        </w:tc>
        <w:tc>
          <w:tcPr>
            <w:tcW w:w="834" w:type="pct"/>
            <w:hideMark/>
          </w:tcPr>
          <w:p w14:paraId="7D64B58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14:paraId="1B93FAD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$410,000</w:t>
            </w:r>
          </w:p>
        </w:tc>
      </w:tr>
      <w:tr w:rsidR="00BE36FB" w:rsidRPr="009B7B35" w14:paraId="222B08B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3F3B46E9" w14:textId="77777777" w:rsidR="00BE36FB" w:rsidRPr="009B7B35" w:rsidRDefault="00BE36FB" w:rsidP="001A7107">
            <w:pPr>
              <w:pStyle w:val="TableText"/>
              <w:rPr>
                <w:rFonts w:cs="Arial"/>
              </w:rPr>
            </w:pPr>
            <w:r w:rsidRPr="009B7B35">
              <w:rPr>
                <w:rFonts w:cs="Arial"/>
              </w:rPr>
              <w:t>Calliope South</w:t>
            </w:r>
          </w:p>
        </w:tc>
        <w:tc>
          <w:tcPr>
            <w:tcW w:w="750" w:type="pct"/>
            <w:hideMark/>
          </w:tcPr>
          <w:p w14:paraId="601C385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R-CPS-001</w:t>
            </w:r>
          </w:p>
        </w:tc>
        <w:tc>
          <w:tcPr>
            <w:tcW w:w="1666" w:type="pct"/>
            <w:hideMark/>
          </w:tcPr>
          <w:p w14:paraId="35A9C6A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Sutherland Street (Dawson Highway - Pujolas Street)</w:t>
            </w:r>
          </w:p>
        </w:tc>
        <w:tc>
          <w:tcPr>
            <w:tcW w:w="834" w:type="pct"/>
            <w:hideMark/>
          </w:tcPr>
          <w:p w14:paraId="4D35FFB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2B9F87D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$620,000</w:t>
            </w:r>
          </w:p>
        </w:tc>
      </w:tr>
      <w:tr w:rsidR="00BE36FB" w:rsidRPr="009B7B35" w14:paraId="1ED74A79"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67FA2480" w14:textId="77777777" w:rsidR="00BE36FB" w:rsidRPr="009B7B35" w:rsidRDefault="00BE36FB" w:rsidP="001A7107">
            <w:pPr>
              <w:pStyle w:val="TableText"/>
              <w:rPr>
                <w:rFonts w:cs="Arial"/>
              </w:rPr>
            </w:pPr>
            <w:r w:rsidRPr="009B7B35">
              <w:rPr>
                <w:rFonts w:cs="Arial"/>
              </w:rPr>
              <w:t>Calliope South</w:t>
            </w:r>
          </w:p>
        </w:tc>
        <w:tc>
          <w:tcPr>
            <w:tcW w:w="750" w:type="pct"/>
            <w:hideMark/>
          </w:tcPr>
          <w:p w14:paraId="0257426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R-CPS-002</w:t>
            </w:r>
          </w:p>
        </w:tc>
        <w:tc>
          <w:tcPr>
            <w:tcW w:w="1666" w:type="pct"/>
            <w:hideMark/>
          </w:tcPr>
          <w:p w14:paraId="689B459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Pujolas Street (Bloomfield Street - Sutherland Street)</w:t>
            </w:r>
          </w:p>
        </w:tc>
        <w:tc>
          <w:tcPr>
            <w:tcW w:w="834" w:type="pct"/>
            <w:hideMark/>
          </w:tcPr>
          <w:p w14:paraId="27C928A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14:paraId="6B28FF4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$270,000</w:t>
            </w:r>
          </w:p>
        </w:tc>
      </w:tr>
      <w:tr w:rsidR="00BE36FB" w:rsidRPr="009B7B35" w14:paraId="53B06DB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450D69A" w14:textId="77777777" w:rsidR="00BE36FB" w:rsidRPr="009B7B35" w:rsidRDefault="00BE36FB" w:rsidP="001A7107">
            <w:pPr>
              <w:pStyle w:val="TableText"/>
              <w:rPr>
                <w:rFonts w:cs="Arial"/>
              </w:rPr>
            </w:pPr>
            <w:r w:rsidRPr="009B7B35">
              <w:rPr>
                <w:rFonts w:cs="Arial"/>
              </w:rPr>
              <w:t>Calliope South</w:t>
            </w:r>
          </w:p>
        </w:tc>
        <w:tc>
          <w:tcPr>
            <w:tcW w:w="750" w:type="pct"/>
            <w:hideMark/>
          </w:tcPr>
          <w:p w14:paraId="6C45B93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R-CPS-003</w:t>
            </w:r>
          </w:p>
        </w:tc>
        <w:tc>
          <w:tcPr>
            <w:tcW w:w="1666" w:type="pct"/>
            <w:hideMark/>
          </w:tcPr>
          <w:p w14:paraId="49DE988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Archer Street (Pujolas Street - Stowe Road)</w:t>
            </w:r>
          </w:p>
        </w:tc>
        <w:tc>
          <w:tcPr>
            <w:tcW w:w="834" w:type="pct"/>
            <w:hideMark/>
          </w:tcPr>
          <w:p w14:paraId="7B8EDD3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32C892B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$1,600,000</w:t>
            </w:r>
          </w:p>
        </w:tc>
      </w:tr>
      <w:tr w:rsidR="00BE36FB" w:rsidRPr="009B7B35" w14:paraId="16E2AD2E"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326EB28B" w14:textId="77777777" w:rsidR="00BE36FB" w:rsidRPr="009B7B35" w:rsidRDefault="00BE36FB" w:rsidP="001A7107">
            <w:pPr>
              <w:pStyle w:val="TableText"/>
              <w:rPr>
                <w:rFonts w:cs="Arial"/>
              </w:rPr>
            </w:pPr>
            <w:r w:rsidRPr="009B7B35">
              <w:rPr>
                <w:rFonts w:cs="Arial"/>
              </w:rPr>
              <w:t>Calliope South</w:t>
            </w:r>
          </w:p>
        </w:tc>
        <w:tc>
          <w:tcPr>
            <w:tcW w:w="750" w:type="pct"/>
            <w:hideMark/>
          </w:tcPr>
          <w:p w14:paraId="5BC451E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R-CPS-004</w:t>
            </w:r>
          </w:p>
        </w:tc>
        <w:tc>
          <w:tcPr>
            <w:tcW w:w="1666" w:type="pct"/>
            <w:hideMark/>
          </w:tcPr>
          <w:p w14:paraId="1586780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Stowe Road (Archer Street - Ninganga Court)</w:t>
            </w:r>
          </w:p>
        </w:tc>
        <w:tc>
          <w:tcPr>
            <w:tcW w:w="834" w:type="pct"/>
            <w:hideMark/>
          </w:tcPr>
          <w:p w14:paraId="62B7D3C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14:paraId="414533D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$1,720,000</w:t>
            </w:r>
          </w:p>
        </w:tc>
      </w:tr>
      <w:tr w:rsidR="00BE36FB" w:rsidRPr="009B7B35" w14:paraId="21D5419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11A6AAC" w14:textId="77777777" w:rsidR="00BE36FB" w:rsidRPr="009B7B35" w:rsidRDefault="00BE36FB" w:rsidP="001A7107">
            <w:pPr>
              <w:pStyle w:val="TableText"/>
              <w:rPr>
                <w:rFonts w:cs="Arial"/>
              </w:rPr>
            </w:pPr>
            <w:r w:rsidRPr="009B7B35">
              <w:rPr>
                <w:rFonts w:cs="Arial"/>
              </w:rPr>
              <w:t>Calliope South</w:t>
            </w:r>
          </w:p>
        </w:tc>
        <w:tc>
          <w:tcPr>
            <w:tcW w:w="750" w:type="pct"/>
            <w:hideMark/>
          </w:tcPr>
          <w:p w14:paraId="3D7AFB5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R-CPS-005</w:t>
            </w:r>
          </w:p>
        </w:tc>
        <w:tc>
          <w:tcPr>
            <w:tcW w:w="1666" w:type="pct"/>
            <w:hideMark/>
          </w:tcPr>
          <w:p w14:paraId="3209DF1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Archer Street / Bloomfield Street / Pujolas Street Intersection</w:t>
            </w:r>
          </w:p>
        </w:tc>
        <w:tc>
          <w:tcPr>
            <w:tcW w:w="834" w:type="pct"/>
            <w:hideMark/>
          </w:tcPr>
          <w:p w14:paraId="3FBFAFE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37CBD5C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$540,000</w:t>
            </w:r>
          </w:p>
        </w:tc>
      </w:tr>
      <w:tr w:rsidR="00BE36FB" w:rsidRPr="009B7B35" w14:paraId="0BB45CD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0D41C880" w14:textId="77777777" w:rsidR="00BE36FB" w:rsidRPr="009B7B35" w:rsidRDefault="00BE36FB" w:rsidP="001A7107">
            <w:pPr>
              <w:pStyle w:val="TableText"/>
              <w:rPr>
                <w:rFonts w:cs="Arial"/>
              </w:rPr>
            </w:pPr>
            <w:r w:rsidRPr="009B7B35">
              <w:rPr>
                <w:rFonts w:cs="Arial"/>
              </w:rPr>
              <w:t>Calliope West</w:t>
            </w:r>
          </w:p>
        </w:tc>
        <w:tc>
          <w:tcPr>
            <w:tcW w:w="750" w:type="pct"/>
            <w:hideMark/>
          </w:tcPr>
          <w:p w14:paraId="2FB5820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R-CPW-001</w:t>
            </w:r>
          </w:p>
        </w:tc>
        <w:tc>
          <w:tcPr>
            <w:tcW w:w="1666" w:type="pct"/>
            <w:hideMark/>
          </w:tcPr>
          <w:p w14:paraId="614A5B3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Drynan Drive West (Dawson Highway - Elliot Drive)</w:t>
            </w:r>
          </w:p>
        </w:tc>
        <w:tc>
          <w:tcPr>
            <w:tcW w:w="834" w:type="pct"/>
            <w:hideMark/>
          </w:tcPr>
          <w:p w14:paraId="7C999BC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14:paraId="2BF907F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$1,350,000</w:t>
            </w:r>
          </w:p>
        </w:tc>
      </w:tr>
      <w:tr w:rsidR="00BE36FB" w:rsidRPr="009B7B35" w14:paraId="1D67D60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215A551C" w14:textId="77777777" w:rsidR="00BE36FB" w:rsidRPr="009B7B35" w:rsidRDefault="00BE36FB" w:rsidP="001A7107">
            <w:pPr>
              <w:pStyle w:val="TableText"/>
              <w:rPr>
                <w:rFonts w:cs="Arial"/>
              </w:rPr>
            </w:pPr>
            <w:r w:rsidRPr="009B7B35">
              <w:rPr>
                <w:rFonts w:cs="Arial"/>
              </w:rPr>
              <w:t>Calliope West</w:t>
            </w:r>
          </w:p>
        </w:tc>
        <w:tc>
          <w:tcPr>
            <w:tcW w:w="750" w:type="pct"/>
            <w:hideMark/>
          </w:tcPr>
          <w:p w14:paraId="217FE51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R-CPW-002</w:t>
            </w:r>
          </w:p>
        </w:tc>
        <w:tc>
          <w:tcPr>
            <w:tcW w:w="1666" w:type="pct"/>
            <w:hideMark/>
          </w:tcPr>
          <w:p w14:paraId="4283AB7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Major Collector (Drynan Drive - Dawson Highway)</w:t>
            </w:r>
          </w:p>
        </w:tc>
        <w:tc>
          <w:tcPr>
            <w:tcW w:w="834" w:type="pct"/>
            <w:hideMark/>
          </w:tcPr>
          <w:p w14:paraId="505602D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0EB6FF2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$1,110,000</w:t>
            </w:r>
          </w:p>
        </w:tc>
      </w:tr>
      <w:tr w:rsidR="00BE36FB" w:rsidRPr="009B7B35" w14:paraId="082A331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338AE0B3" w14:textId="77777777" w:rsidR="00BE36FB" w:rsidRPr="009B7B35" w:rsidRDefault="00BE36FB" w:rsidP="001A7107">
            <w:pPr>
              <w:pStyle w:val="TableText"/>
              <w:rPr>
                <w:rFonts w:cs="Arial"/>
              </w:rPr>
            </w:pPr>
            <w:r w:rsidRPr="009B7B35">
              <w:rPr>
                <w:rFonts w:cs="Arial"/>
              </w:rPr>
              <w:t>Calliope West</w:t>
            </w:r>
          </w:p>
        </w:tc>
        <w:tc>
          <w:tcPr>
            <w:tcW w:w="750" w:type="pct"/>
            <w:hideMark/>
          </w:tcPr>
          <w:p w14:paraId="71DB0D2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R-CPW-003</w:t>
            </w:r>
          </w:p>
        </w:tc>
        <w:tc>
          <w:tcPr>
            <w:tcW w:w="1666" w:type="pct"/>
            <w:hideMark/>
          </w:tcPr>
          <w:p w14:paraId="7B94F1C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Liffey Way (Drynan Drive - end of existing formation)</w:t>
            </w:r>
          </w:p>
        </w:tc>
        <w:tc>
          <w:tcPr>
            <w:tcW w:w="834" w:type="pct"/>
            <w:hideMark/>
          </w:tcPr>
          <w:p w14:paraId="1C0D34E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14:paraId="41B2EC9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$740,000</w:t>
            </w:r>
          </w:p>
        </w:tc>
      </w:tr>
      <w:tr w:rsidR="00BE36FB" w:rsidRPr="009B7B35" w14:paraId="6B19286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55F5FC73" w14:textId="77777777" w:rsidR="00BE36FB" w:rsidRPr="009B7B35" w:rsidRDefault="00BE36FB" w:rsidP="001A7107">
            <w:pPr>
              <w:pStyle w:val="TableText"/>
              <w:rPr>
                <w:rFonts w:cs="Arial"/>
              </w:rPr>
            </w:pPr>
            <w:r w:rsidRPr="009B7B35">
              <w:rPr>
                <w:rFonts w:cs="Arial"/>
              </w:rPr>
              <w:t>Calliope West</w:t>
            </w:r>
          </w:p>
        </w:tc>
        <w:tc>
          <w:tcPr>
            <w:tcW w:w="750" w:type="pct"/>
            <w:hideMark/>
          </w:tcPr>
          <w:p w14:paraId="58E2A97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R-CPW-004</w:t>
            </w:r>
          </w:p>
        </w:tc>
        <w:tc>
          <w:tcPr>
            <w:tcW w:w="1666" w:type="pct"/>
            <w:hideMark/>
          </w:tcPr>
          <w:p w14:paraId="0A8CCE7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Drynan Drive / Liffey Way Intersection</w:t>
            </w:r>
          </w:p>
        </w:tc>
        <w:tc>
          <w:tcPr>
            <w:tcW w:w="834" w:type="pct"/>
            <w:hideMark/>
          </w:tcPr>
          <w:p w14:paraId="56DA867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1864B8F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$410,000</w:t>
            </w:r>
          </w:p>
        </w:tc>
      </w:tr>
      <w:tr w:rsidR="00BE36FB" w:rsidRPr="009B7B35" w14:paraId="7383C78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3F310D74" w14:textId="77777777" w:rsidR="00BE36FB" w:rsidRPr="009B7B35" w:rsidRDefault="00BE36FB" w:rsidP="001A7107">
            <w:pPr>
              <w:pStyle w:val="TableText"/>
              <w:rPr>
                <w:rFonts w:cs="Arial"/>
              </w:rPr>
            </w:pPr>
            <w:r w:rsidRPr="009B7B35">
              <w:rPr>
                <w:rFonts w:cs="Arial"/>
              </w:rPr>
              <w:t>Calliope West</w:t>
            </w:r>
          </w:p>
        </w:tc>
        <w:tc>
          <w:tcPr>
            <w:tcW w:w="750" w:type="pct"/>
            <w:hideMark/>
          </w:tcPr>
          <w:p w14:paraId="57DE00F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R-CPW-005</w:t>
            </w:r>
          </w:p>
        </w:tc>
        <w:tc>
          <w:tcPr>
            <w:tcW w:w="1666" w:type="pct"/>
            <w:hideMark/>
          </w:tcPr>
          <w:p w14:paraId="7AD7FE2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Drynan Drive / Capricornia Drive Intersection</w:t>
            </w:r>
          </w:p>
        </w:tc>
        <w:tc>
          <w:tcPr>
            <w:tcW w:w="834" w:type="pct"/>
            <w:hideMark/>
          </w:tcPr>
          <w:p w14:paraId="4B3E637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2016-2021</w:t>
            </w:r>
          </w:p>
        </w:tc>
        <w:tc>
          <w:tcPr>
            <w:tcW w:w="833" w:type="pct"/>
            <w:hideMark/>
          </w:tcPr>
          <w:p w14:paraId="337A3D0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$430,000</w:t>
            </w:r>
          </w:p>
        </w:tc>
      </w:tr>
      <w:tr w:rsidR="00BE36FB" w:rsidRPr="009B7B35" w14:paraId="4A072C0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218A504D" w14:textId="77777777" w:rsidR="00BE36FB" w:rsidRPr="009B7B35" w:rsidRDefault="00BE36FB" w:rsidP="001A7107">
            <w:pPr>
              <w:pStyle w:val="TableText"/>
              <w:rPr>
                <w:rFonts w:cs="Arial"/>
              </w:rPr>
            </w:pPr>
            <w:r w:rsidRPr="009B7B35">
              <w:rPr>
                <w:rFonts w:cs="Arial"/>
              </w:rPr>
              <w:t>Calliope West</w:t>
            </w:r>
          </w:p>
        </w:tc>
        <w:tc>
          <w:tcPr>
            <w:tcW w:w="750" w:type="pct"/>
            <w:hideMark/>
          </w:tcPr>
          <w:p w14:paraId="52374DB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R-CPW-006</w:t>
            </w:r>
          </w:p>
        </w:tc>
        <w:tc>
          <w:tcPr>
            <w:tcW w:w="1666" w:type="pct"/>
            <w:hideMark/>
          </w:tcPr>
          <w:p w14:paraId="2EAE85E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Drynan Drive / Major Collector Intersection</w:t>
            </w:r>
          </w:p>
        </w:tc>
        <w:tc>
          <w:tcPr>
            <w:tcW w:w="834" w:type="pct"/>
            <w:hideMark/>
          </w:tcPr>
          <w:p w14:paraId="7854EAB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6CBDD7A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$410,000</w:t>
            </w:r>
          </w:p>
        </w:tc>
      </w:tr>
      <w:tr w:rsidR="00BE36FB" w:rsidRPr="009B7B35" w14:paraId="189848D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032282C" w14:textId="77777777" w:rsidR="00BE36FB" w:rsidRPr="009B7B35" w:rsidRDefault="00BE36FB" w:rsidP="001A7107">
            <w:pPr>
              <w:pStyle w:val="TableText"/>
              <w:rPr>
                <w:rFonts w:cs="Arial"/>
              </w:rPr>
            </w:pPr>
            <w:r w:rsidRPr="009B7B35">
              <w:rPr>
                <w:rFonts w:cs="Arial"/>
              </w:rPr>
              <w:t>Calliope Dawson Hwy</w:t>
            </w:r>
          </w:p>
        </w:tc>
        <w:tc>
          <w:tcPr>
            <w:tcW w:w="750" w:type="pct"/>
            <w:hideMark/>
          </w:tcPr>
          <w:p w14:paraId="6F3BE8F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R-CPD-001</w:t>
            </w:r>
          </w:p>
        </w:tc>
        <w:tc>
          <w:tcPr>
            <w:tcW w:w="1666" w:type="pct"/>
            <w:hideMark/>
          </w:tcPr>
          <w:p w14:paraId="6865226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Dawson Highway / Drynan Drive Intersection</w:t>
            </w:r>
          </w:p>
        </w:tc>
        <w:tc>
          <w:tcPr>
            <w:tcW w:w="834" w:type="pct"/>
            <w:hideMark/>
          </w:tcPr>
          <w:p w14:paraId="0AE6693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14:paraId="445F56F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$990,000</w:t>
            </w:r>
          </w:p>
        </w:tc>
      </w:tr>
      <w:tr w:rsidR="00BE36FB" w:rsidRPr="009B7B35" w14:paraId="38E3C49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252EB39A" w14:textId="77777777" w:rsidR="00BE36FB" w:rsidRPr="009B7B35" w:rsidRDefault="00BE36FB" w:rsidP="001A7107">
            <w:pPr>
              <w:pStyle w:val="TableText"/>
              <w:rPr>
                <w:rFonts w:cs="Arial"/>
              </w:rPr>
            </w:pPr>
            <w:r w:rsidRPr="009B7B35">
              <w:rPr>
                <w:rFonts w:cs="Arial"/>
              </w:rPr>
              <w:t>Calliope Dawson Hwy</w:t>
            </w:r>
          </w:p>
        </w:tc>
        <w:tc>
          <w:tcPr>
            <w:tcW w:w="750" w:type="pct"/>
            <w:hideMark/>
          </w:tcPr>
          <w:p w14:paraId="0BACD27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R-CPD-002</w:t>
            </w:r>
          </w:p>
        </w:tc>
        <w:tc>
          <w:tcPr>
            <w:tcW w:w="1666" w:type="pct"/>
            <w:hideMark/>
          </w:tcPr>
          <w:p w14:paraId="00130FE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Dawson Highway / Don Cameron Drive / Herbertson Road Intersection</w:t>
            </w:r>
          </w:p>
        </w:tc>
        <w:tc>
          <w:tcPr>
            <w:tcW w:w="834" w:type="pct"/>
            <w:hideMark/>
          </w:tcPr>
          <w:p w14:paraId="7656B1C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2021-2026</w:t>
            </w:r>
          </w:p>
        </w:tc>
        <w:tc>
          <w:tcPr>
            <w:tcW w:w="833" w:type="pct"/>
            <w:hideMark/>
          </w:tcPr>
          <w:p w14:paraId="76EE8EA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$990,000</w:t>
            </w:r>
          </w:p>
        </w:tc>
      </w:tr>
      <w:tr w:rsidR="00BE36FB" w:rsidRPr="009B7B35" w14:paraId="76B99EC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14F96438" w14:textId="77777777" w:rsidR="00BE36FB" w:rsidRPr="009B7B35" w:rsidRDefault="00BE36FB" w:rsidP="001A7107">
            <w:pPr>
              <w:pStyle w:val="TableText"/>
              <w:rPr>
                <w:rFonts w:cs="Arial"/>
              </w:rPr>
            </w:pPr>
            <w:r w:rsidRPr="009B7B35">
              <w:rPr>
                <w:rFonts w:cs="Arial"/>
              </w:rPr>
              <w:t>Calliope Dawson Hwy</w:t>
            </w:r>
          </w:p>
        </w:tc>
        <w:tc>
          <w:tcPr>
            <w:tcW w:w="750" w:type="pct"/>
            <w:hideMark/>
          </w:tcPr>
          <w:p w14:paraId="3E8674E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R-CPD-003</w:t>
            </w:r>
          </w:p>
        </w:tc>
        <w:tc>
          <w:tcPr>
            <w:tcW w:w="1666" w:type="pct"/>
            <w:hideMark/>
          </w:tcPr>
          <w:p w14:paraId="473EF95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Dawson Highway / Lightning Drive Intersection</w:t>
            </w:r>
          </w:p>
        </w:tc>
        <w:tc>
          <w:tcPr>
            <w:tcW w:w="834" w:type="pct"/>
            <w:hideMark/>
          </w:tcPr>
          <w:p w14:paraId="55EF4B87"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Post 2031</w:t>
            </w:r>
          </w:p>
        </w:tc>
        <w:tc>
          <w:tcPr>
            <w:tcW w:w="833" w:type="pct"/>
            <w:hideMark/>
          </w:tcPr>
          <w:p w14:paraId="58314F3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$990,000</w:t>
            </w:r>
          </w:p>
        </w:tc>
      </w:tr>
      <w:tr w:rsidR="00BE36FB" w:rsidRPr="009B7B35" w14:paraId="4AB6A2F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4A0D9E19" w14:textId="77777777" w:rsidR="00BE36FB" w:rsidRPr="009B7B35" w:rsidRDefault="00BE36FB" w:rsidP="001A7107">
            <w:pPr>
              <w:pStyle w:val="TableText"/>
              <w:rPr>
                <w:rFonts w:cs="Arial"/>
              </w:rPr>
            </w:pPr>
            <w:r w:rsidRPr="009B7B35">
              <w:rPr>
                <w:rFonts w:cs="Arial"/>
              </w:rPr>
              <w:t>Calliope Dawson Hwy</w:t>
            </w:r>
          </w:p>
        </w:tc>
        <w:tc>
          <w:tcPr>
            <w:tcW w:w="750" w:type="pct"/>
            <w:hideMark/>
          </w:tcPr>
          <w:p w14:paraId="0777028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R-CPD-004</w:t>
            </w:r>
          </w:p>
        </w:tc>
        <w:tc>
          <w:tcPr>
            <w:tcW w:w="1666" w:type="pct"/>
            <w:hideMark/>
          </w:tcPr>
          <w:p w14:paraId="7BA86F3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Dawson Highway / Bloomfield Street Intersection</w:t>
            </w:r>
          </w:p>
        </w:tc>
        <w:tc>
          <w:tcPr>
            <w:tcW w:w="834" w:type="pct"/>
            <w:hideMark/>
          </w:tcPr>
          <w:p w14:paraId="07BECAED"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2026-2031</w:t>
            </w:r>
          </w:p>
        </w:tc>
        <w:tc>
          <w:tcPr>
            <w:tcW w:w="833" w:type="pct"/>
            <w:hideMark/>
          </w:tcPr>
          <w:p w14:paraId="3D7BA00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$150,000</w:t>
            </w:r>
          </w:p>
        </w:tc>
      </w:tr>
      <w:tr w:rsidR="00BE36FB" w:rsidRPr="009B7B35" w14:paraId="153C3AD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pct"/>
            <w:hideMark/>
          </w:tcPr>
          <w:p w14:paraId="5B963AE3" w14:textId="77777777" w:rsidR="00BE36FB" w:rsidRPr="009B7B35" w:rsidRDefault="00BE36FB" w:rsidP="001A7107">
            <w:pPr>
              <w:pStyle w:val="TableText"/>
              <w:rPr>
                <w:rFonts w:cs="Arial"/>
              </w:rPr>
            </w:pPr>
            <w:r w:rsidRPr="009B7B35">
              <w:rPr>
                <w:rFonts w:cs="Arial"/>
              </w:rPr>
              <w:t>Calliope Dawson Hwy</w:t>
            </w:r>
          </w:p>
        </w:tc>
        <w:tc>
          <w:tcPr>
            <w:tcW w:w="750" w:type="pct"/>
            <w:hideMark/>
          </w:tcPr>
          <w:p w14:paraId="2D5E04E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R-CPD-005</w:t>
            </w:r>
          </w:p>
        </w:tc>
        <w:tc>
          <w:tcPr>
            <w:tcW w:w="1666" w:type="pct"/>
            <w:hideMark/>
          </w:tcPr>
          <w:p w14:paraId="0AEF2E7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Dawson Highway / Sutherland Street Intersection</w:t>
            </w:r>
          </w:p>
        </w:tc>
        <w:tc>
          <w:tcPr>
            <w:tcW w:w="834" w:type="pct"/>
            <w:hideMark/>
          </w:tcPr>
          <w:p w14:paraId="14D5900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2026-2031</w:t>
            </w:r>
          </w:p>
        </w:tc>
        <w:tc>
          <w:tcPr>
            <w:tcW w:w="833" w:type="pct"/>
            <w:hideMark/>
          </w:tcPr>
          <w:p w14:paraId="600404E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$990,000</w:t>
            </w:r>
          </w:p>
        </w:tc>
      </w:tr>
    </w:tbl>
    <w:p w14:paraId="42AA947D" w14:textId="77777777" w:rsidR="00BE36FB" w:rsidRPr="009B7B35" w:rsidRDefault="00BE36FB" w:rsidP="001A7107">
      <w:pPr>
        <w:pStyle w:val="Heading9"/>
        <w:numPr>
          <w:ilvl w:val="0"/>
          <w:numId w:val="0"/>
        </w:numPr>
        <w:rPr>
          <w:rFonts w:cs="Arial"/>
          <w:sz w:val="20"/>
        </w:rPr>
      </w:pPr>
      <w:r w:rsidRPr="009B7B35">
        <w:rPr>
          <w:rFonts w:cs="Arial"/>
          <w:sz w:val="20"/>
        </w:rPr>
        <w:t>Table SC3.2.4– Parks and land for community services</w:t>
      </w:r>
    </w:p>
    <w:p w14:paraId="250F4A57" w14:textId="77777777" w:rsidR="00BE36FB" w:rsidRPr="009B7B35" w:rsidRDefault="00BE36FB" w:rsidP="001A7107">
      <w:pPr>
        <w:rPr>
          <w:rFonts w:ascii="Arial" w:hAnsi="Arial" w:cs="Arial"/>
          <w:sz w:val="20"/>
          <w:szCs w:val="20"/>
        </w:rPr>
      </w:pPr>
      <w:r w:rsidRPr="009B7B35">
        <w:rPr>
          <w:rFonts w:ascii="Arial" w:hAnsi="Arial" w:cs="Arial"/>
          <w:sz w:val="20"/>
          <w:szCs w:val="20"/>
        </w:rPr>
        <w:t>No works scheduled</w:t>
      </w:r>
      <w:bookmarkStart w:id="309" w:name="_Toc402447502"/>
      <w:r w:rsidRPr="009B7B35">
        <w:rPr>
          <w:rFonts w:ascii="Arial" w:hAnsi="Arial" w:cs="Arial"/>
          <w:sz w:val="20"/>
          <w:szCs w:val="20"/>
        </w:rPr>
        <w:t>.</w:t>
      </w:r>
    </w:p>
    <w:p w14:paraId="56A3B7A8"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61C98FE1" w14:textId="77777777" w:rsidR="00BE36FB" w:rsidRPr="009B7B35" w:rsidRDefault="00BE36FB" w:rsidP="007A46D8">
      <w:pPr>
        <w:pStyle w:val="Heading7"/>
        <w:numPr>
          <w:ilvl w:val="6"/>
          <w:numId w:val="834"/>
        </w:numPr>
        <w:rPr>
          <w:rFonts w:cs="Arial"/>
          <w:sz w:val="20"/>
          <w:szCs w:val="20"/>
        </w:rPr>
      </w:pPr>
      <w:bookmarkStart w:id="310" w:name="_Toc205367423"/>
      <w:r w:rsidRPr="009B7B35">
        <w:rPr>
          <w:rFonts w:cs="Arial"/>
          <w:sz w:val="20"/>
          <w:szCs w:val="20"/>
        </w:rPr>
        <w:t>Local government infrastructure plan maps</w:t>
      </w:r>
      <w:bookmarkEnd w:id="309"/>
      <w:bookmarkEnd w:id="310"/>
    </w:p>
    <w:p w14:paraId="0CA1A181" w14:textId="77777777" w:rsidR="00BE36FB" w:rsidRPr="009B7B35" w:rsidRDefault="00BE36FB" w:rsidP="001A7107">
      <w:pPr>
        <w:pStyle w:val="Heading9"/>
        <w:numPr>
          <w:ilvl w:val="0"/>
          <w:numId w:val="0"/>
        </w:numPr>
        <w:rPr>
          <w:rFonts w:cs="Arial"/>
          <w:sz w:val="20"/>
        </w:rPr>
      </w:pPr>
      <w:r w:rsidRPr="009B7B35">
        <w:rPr>
          <w:rFonts w:cs="Arial"/>
          <w:sz w:val="20"/>
        </w:rPr>
        <w:t>Table Sc3.3.1—Map index</w:t>
      </w:r>
    </w:p>
    <w:p w14:paraId="2FBD8185" w14:textId="77777777" w:rsidR="00BE36FB" w:rsidRPr="009B7B35" w:rsidRDefault="00BE36FB" w:rsidP="001A7107">
      <w:pPr>
        <w:pStyle w:val="Notes"/>
        <w:rPr>
          <w:rFonts w:cs="Arial"/>
          <w:sz w:val="20"/>
          <w:szCs w:val="20"/>
        </w:rPr>
      </w:pPr>
      <w:r w:rsidRPr="009B7B35">
        <w:rPr>
          <w:rFonts w:cs="Arial"/>
          <w:sz w:val="20"/>
          <w:szCs w:val="20"/>
        </w:rPr>
        <w:t xml:space="preserve">Note - Mapping is accessible through Council's </w:t>
      </w:r>
      <w:hyperlink r:id="rId128" w:history="1">
        <w:r w:rsidRPr="009B7B35">
          <w:rPr>
            <w:rStyle w:val="Hyperlink"/>
            <w:rFonts w:cs="Arial"/>
            <w:sz w:val="20"/>
            <w:szCs w:val="20"/>
          </w:rPr>
          <w:t>online mapping site</w:t>
        </w:r>
      </w:hyperlink>
      <w:r w:rsidRPr="009B7B35">
        <w:rPr>
          <w:rFonts w:cs="Arial"/>
          <w:sz w:val="20"/>
          <w:szCs w:val="20"/>
        </w:rPr>
        <w:t>.</w:t>
      </w:r>
    </w:p>
    <w:p w14:paraId="141E92E0" w14:textId="77777777" w:rsidR="00BE36FB" w:rsidRPr="009B7B35" w:rsidRDefault="00BE36FB" w:rsidP="001A7107">
      <w:pPr>
        <w:rPr>
          <w:rFonts w:ascii="Arial" w:hAnsi="Arial" w:cs="Arial"/>
          <w:sz w:val="20"/>
          <w:szCs w:val="20"/>
        </w:rPr>
      </w:pPr>
    </w:p>
    <w:tbl>
      <w:tblPr>
        <w:tblStyle w:val="Tablestyle"/>
        <w:tblW w:w="0" w:type="auto"/>
        <w:tblLook w:val="04A0" w:firstRow="1" w:lastRow="0" w:firstColumn="1" w:lastColumn="0" w:noHBand="0" w:noVBand="1"/>
      </w:tblPr>
      <w:tblGrid>
        <w:gridCol w:w="1985"/>
        <w:gridCol w:w="4961"/>
        <w:gridCol w:w="2410"/>
      </w:tblGrid>
      <w:tr w:rsidR="00BE36FB" w:rsidRPr="009B7B35" w14:paraId="0981D632"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3F560C1" w14:textId="77777777" w:rsidR="00BE36FB" w:rsidRPr="009B7B35" w:rsidRDefault="00BE36FB" w:rsidP="001A7107">
            <w:pPr>
              <w:pStyle w:val="TableText"/>
              <w:rPr>
                <w:rFonts w:cs="Arial"/>
              </w:rPr>
            </w:pPr>
            <w:r w:rsidRPr="009B7B35">
              <w:rPr>
                <w:rFonts w:cs="Arial"/>
              </w:rPr>
              <w:t>Map number</w:t>
            </w:r>
          </w:p>
        </w:tc>
        <w:tc>
          <w:tcPr>
            <w:tcW w:w="4961" w:type="dxa"/>
          </w:tcPr>
          <w:p w14:paraId="278DD3F6"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Map title</w:t>
            </w:r>
          </w:p>
        </w:tc>
        <w:tc>
          <w:tcPr>
            <w:tcW w:w="2410" w:type="dxa"/>
          </w:tcPr>
          <w:p w14:paraId="070943FC"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Gazettal date</w:t>
            </w:r>
          </w:p>
        </w:tc>
      </w:tr>
      <w:tr w:rsidR="00BE36FB" w:rsidRPr="009B7B35" w14:paraId="436D9ED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502DFC1" w14:textId="77777777" w:rsidR="00BE36FB" w:rsidRPr="009B7B35" w:rsidRDefault="00BE36FB" w:rsidP="001A7107">
            <w:pPr>
              <w:pStyle w:val="TableText"/>
              <w:rPr>
                <w:rFonts w:cs="Arial"/>
              </w:rPr>
            </w:pPr>
          </w:p>
        </w:tc>
        <w:tc>
          <w:tcPr>
            <w:tcW w:w="4961" w:type="dxa"/>
          </w:tcPr>
          <w:p w14:paraId="6A4ED3A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Priority Infrastructure Area for Gladstone Regional Council (LGIP - LGIP_PIA)</w:t>
            </w:r>
          </w:p>
        </w:tc>
        <w:tc>
          <w:tcPr>
            <w:tcW w:w="2410" w:type="dxa"/>
          </w:tcPr>
          <w:p w14:paraId="6D1B17D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28263E2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F72955C" w14:textId="77777777" w:rsidR="00BE36FB" w:rsidRPr="009B7B35" w:rsidRDefault="00BE36FB" w:rsidP="001A7107">
            <w:pPr>
              <w:pStyle w:val="TableText"/>
              <w:rPr>
                <w:rFonts w:cs="Arial"/>
              </w:rPr>
            </w:pPr>
          </w:p>
        </w:tc>
        <w:tc>
          <w:tcPr>
            <w:tcW w:w="4961" w:type="dxa"/>
          </w:tcPr>
          <w:p w14:paraId="49D8D7A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Plan for trunk infrastructure - Water supply (LGIP - LGIPWaterPFTI)</w:t>
            </w:r>
          </w:p>
        </w:tc>
        <w:tc>
          <w:tcPr>
            <w:tcW w:w="2410" w:type="dxa"/>
          </w:tcPr>
          <w:p w14:paraId="1ED68E8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62420AC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E2B8D6C" w14:textId="77777777" w:rsidR="00BE36FB" w:rsidRPr="009B7B35" w:rsidRDefault="00BE36FB" w:rsidP="001A7107">
            <w:pPr>
              <w:pStyle w:val="TableText"/>
              <w:rPr>
                <w:rFonts w:cs="Arial"/>
              </w:rPr>
            </w:pPr>
          </w:p>
        </w:tc>
        <w:tc>
          <w:tcPr>
            <w:tcW w:w="4961" w:type="dxa"/>
          </w:tcPr>
          <w:p w14:paraId="47DD62F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Plan for trunk infrastructure - Sewerage (LGIP - LGIPSewerPFTI)</w:t>
            </w:r>
          </w:p>
        </w:tc>
        <w:tc>
          <w:tcPr>
            <w:tcW w:w="2410" w:type="dxa"/>
          </w:tcPr>
          <w:p w14:paraId="132A8BC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r w:rsidR="00BE36FB" w:rsidRPr="009B7B35" w14:paraId="7E926FE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AA4E6FD" w14:textId="77777777" w:rsidR="00BE36FB" w:rsidRPr="009B7B35" w:rsidRDefault="00BE36FB" w:rsidP="001A7107">
            <w:pPr>
              <w:pStyle w:val="TableText"/>
              <w:rPr>
                <w:rFonts w:cs="Arial"/>
              </w:rPr>
            </w:pPr>
          </w:p>
        </w:tc>
        <w:tc>
          <w:tcPr>
            <w:tcW w:w="4961" w:type="dxa"/>
          </w:tcPr>
          <w:p w14:paraId="433E383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Plan for trunk infrastructure - Transport (LGIP - LGIPRoadsPFTI)</w:t>
            </w:r>
          </w:p>
        </w:tc>
        <w:tc>
          <w:tcPr>
            <w:tcW w:w="2410" w:type="dxa"/>
          </w:tcPr>
          <w:p w14:paraId="44FED08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r>
      <w:tr w:rsidR="00BE36FB" w:rsidRPr="009B7B35" w14:paraId="53B7793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2DBFF35" w14:textId="77777777" w:rsidR="00BE36FB" w:rsidRPr="009B7B35" w:rsidRDefault="00BE36FB" w:rsidP="001A7107">
            <w:pPr>
              <w:pStyle w:val="TableText"/>
              <w:rPr>
                <w:rFonts w:cs="Arial"/>
              </w:rPr>
            </w:pPr>
          </w:p>
        </w:tc>
        <w:tc>
          <w:tcPr>
            <w:tcW w:w="4961" w:type="dxa"/>
          </w:tcPr>
          <w:p w14:paraId="5CDA6BB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Plan for trunk infrastructure - Parks (LGIP - LGIPParksPFTI)</w:t>
            </w:r>
          </w:p>
        </w:tc>
        <w:tc>
          <w:tcPr>
            <w:tcW w:w="2410" w:type="dxa"/>
          </w:tcPr>
          <w:p w14:paraId="42626487"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r>
    </w:tbl>
    <w:p w14:paraId="40B21B95" w14:textId="77777777" w:rsidR="00BE36FB" w:rsidRPr="009B7B35" w:rsidRDefault="00BE36FB" w:rsidP="001A7107">
      <w:pPr>
        <w:rPr>
          <w:rFonts w:ascii="Arial" w:hAnsi="Arial" w:cs="Arial"/>
          <w:sz w:val="20"/>
          <w:szCs w:val="20"/>
        </w:rPr>
      </w:pPr>
    </w:p>
    <w:p w14:paraId="0BD8EC7D" w14:textId="77777777" w:rsidR="00BE36FB" w:rsidRPr="009B7B35" w:rsidRDefault="00BE36FB" w:rsidP="007A46D8">
      <w:pPr>
        <w:pStyle w:val="Heading7"/>
        <w:numPr>
          <w:ilvl w:val="6"/>
          <w:numId w:val="834"/>
        </w:numPr>
        <w:rPr>
          <w:rFonts w:cs="Arial"/>
          <w:sz w:val="20"/>
          <w:szCs w:val="20"/>
        </w:rPr>
      </w:pPr>
      <w:bookmarkStart w:id="311" w:name="_Toc205367424"/>
      <w:r w:rsidRPr="009B7B35">
        <w:rPr>
          <w:rFonts w:cs="Arial"/>
          <w:sz w:val="20"/>
          <w:szCs w:val="20"/>
        </w:rPr>
        <w:t>Glossary and abbreviations</w:t>
      </w:r>
      <w:bookmarkEnd w:id="311"/>
    </w:p>
    <w:tbl>
      <w:tblPr>
        <w:tblStyle w:val="Tablestyle"/>
        <w:tblW w:w="4941" w:type="pct"/>
        <w:tblLook w:val="04A0" w:firstRow="1" w:lastRow="0" w:firstColumn="1" w:lastColumn="0" w:noHBand="0" w:noVBand="1"/>
      </w:tblPr>
      <w:tblGrid>
        <w:gridCol w:w="2410"/>
        <w:gridCol w:w="992"/>
        <w:gridCol w:w="5954"/>
      </w:tblGrid>
      <w:tr w:rsidR="00BE36FB" w:rsidRPr="009B7B35" w14:paraId="430987FD"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1BF52438" w14:textId="77777777" w:rsidR="00BE36FB" w:rsidRPr="009B7B35" w:rsidRDefault="00BE36FB" w:rsidP="001A7107">
            <w:pPr>
              <w:pStyle w:val="TableText"/>
              <w:rPr>
                <w:rFonts w:cs="Arial"/>
              </w:rPr>
            </w:pPr>
            <w:r w:rsidRPr="009B7B35">
              <w:rPr>
                <w:rFonts w:cs="Arial"/>
              </w:rPr>
              <w:t>Term</w:t>
            </w:r>
          </w:p>
        </w:tc>
        <w:tc>
          <w:tcPr>
            <w:tcW w:w="530" w:type="pct"/>
            <w:hideMark/>
          </w:tcPr>
          <w:p w14:paraId="267B43A6"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Acronym</w:t>
            </w:r>
          </w:p>
        </w:tc>
        <w:tc>
          <w:tcPr>
            <w:tcW w:w="3182" w:type="pct"/>
            <w:hideMark/>
          </w:tcPr>
          <w:p w14:paraId="61DEFFD5" w14:textId="77777777" w:rsidR="00BE36FB" w:rsidRPr="009B7B35" w:rsidRDefault="00BE36FB" w:rsidP="001A7107">
            <w:pPr>
              <w:pStyle w:val="TableText"/>
              <w:cnfStyle w:val="100000000000" w:firstRow="1" w:lastRow="0" w:firstColumn="0" w:lastColumn="0" w:oddVBand="0" w:evenVBand="0" w:oddHBand="0" w:evenHBand="0" w:firstRowFirstColumn="0" w:firstRowLastColumn="0" w:lastRowFirstColumn="0" w:lastRowLastColumn="0"/>
              <w:rPr>
                <w:rFonts w:cs="Arial"/>
              </w:rPr>
            </w:pPr>
            <w:r w:rsidRPr="009B7B35">
              <w:rPr>
                <w:rFonts w:cs="Arial"/>
              </w:rPr>
              <w:t>Definition</w:t>
            </w:r>
          </w:p>
        </w:tc>
      </w:tr>
      <w:tr w:rsidR="00BE36FB" w:rsidRPr="009B7B35" w14:paraId="0155A0E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5FB2C72E" w14:textId="77777777" w:rsidR="00BE36FB" w:rsidRPr="009B7B35" w:rsidRDefault="00BE36FB" w:rsidP="001A7107">
            <w:pPr>
              <w:pStyle w:val="TableText"/>
              <w:rPr>
                <w:rFonts w:cs="Arial"/>
              </w:rPr>
            </w:pPr>
            <w:r w:rsidRPr="009B7B35">
              <w:rPr>
                <w:rFonts w:cs="Arial"/>
              </w:rPr>
              <w:t xml:space="preserve">Apportionment </w:t>
            </w:r>
          </w:p>
        </w:tc>
        <w:tc>
          <w:tcPr>
            <w:tcW w:w="530" w:type="pct"/>
            <w:hideMark/>
          </w:tcPr>
          <w:p w14:paraId="68901A7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7B54DAA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The division of costs so that each user pays for their proportional use or planned allocation of the assets needed to provide the Desired Standard of Service. </w:t>
            </w:r>
          </w:p>
        </w:tc>
      </w:tr>
      <w:tr w:rsidR="00BE36FB" w:rsidRPr="009B7B35" w14:paraId="693D467C"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4D096141" w14:textId="77777777" w:rsidR="00BE36FB" w:rsidRPr="009B7B35" w:rsidRDefault="00BE36FB" w:rsidP="001A7107">
            <w:pPr>
              <w:pStyle w:val="TableText"/>
              <w:rPr>
                <w:rFonts w:cs="Arial"/>
              </w:rPr>
            </w:pPr>
            <w:r w:rsidRPr="009B7B35">
              <w:rPr>
                <w:rFonts w:cs="Arial"/>
              </w:rPr>
              <w:t>Assessable demand</w:t>
            </w:r>
          </w:p>
        </w:tc>
        <w:tc>
          <w:tcPr>
            <w:tcW w:w="530" w:type="pct"/>
            <w:hideMark/>
          </w:tcPr>
          <w:p w14:paraId="7BE4D71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151BDEC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The Infrastructure demand for the network, assessed for a development application. This is expressed in Trips for Transport, Impervious Hectares (Imp Ha) for Stormwater, Equivalent persons (EP) for Sewer and Water Services and Equivalent residential lots for Recreation Facilities. </w:t>
            </w:r>
          </w:p>
        </w:tc>
      </w:tr>
      <w:tr w:rsidR="00BE36FB" w:rsidRPr="009B7B35" w14:paraId="2846D84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6EC601F9" w14:textId="77777777" w:rsidR="00BE36FB" w:rsidRPr="009B7B35" w:rsidRDefault="00BE36FB" w:rsidP="001A7107">
            <w:pPr>
              <w:pStyle w:val="TableText"/>
              <w:rPr>
                <w:rFonts w:cs="Arial"/>
              </w:rPr>
            </w:pPr>
            <w:r w:rsidRPr="009B7B35">
              <w:rPr>
                <w:rFonts w:cs="Arial"/>
              </w:rPr>
              <w:t xml:space="preserve">Base date </w:t>
            </w:r>
          </w:p>
        </w:tc>
        <w:tc>
          <w:tcPr>
            <w:tcW w:w="530" w:type="pct"/>
            <w:hideMark/>
          </w:tcPr>
          <w:p w14:paraId="3D46A21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59C6520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Date from which a local government has estimated its projected infrastructure demands and costs. </w:t>
            </w:r>
          </w:p>
        </w:tc>
      </w:tr>
      <w:tr w:rsidR="00BE36FB" w:rsidRPr="009B7B35" w14:paraId="378AF8F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40E3D291" w14:textId="77777777" w:rsidR="00BE36FB" w:rsidRPr="009B7B35" w:rsidRDefault="00BE36FB" w:rsidP="001A7107">
            <w:pPr>
              <w:pStyle w:val="TableText"/>
              <w:rPr>
                <w:rFonts w:cs="Arial"/>
              </w:rPr>
            </w:pPr>
            <w:r w:rsidRPr="009B7B35">
              <w:rPr>
                <w:rFonts w:cs="Arial"/>
              </w:rPr>
              <w:t xml:space="preserve">Broad hectare land </w:t>
            </w:r>
          </w:p>
        </w:tc>
        <w:tc>
          <w:tcPr>
            <w:tcW w:w="530" w:type="pct"/>
            <w:hideMark/>
          </w:tcPr>
          <w:p w14:paraId="7F11D60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6A4D6E3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Future land supply for residential development within the Urban Expansion and Urban Residential zones. The identified land is known as Broad hectare land and possesses the characteristics of being suitable, potentially available and with servicing intent for water supply and/or sewerage. </w:t>
            </w:r>
          </w:p>
        </w:tc>
      </w:tr>
      <w:tr w:rsidR="00BE36FB" w:rsidRPr="009B7B35" w14:paraId="1669090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697D2D22" w14:textId="77777777" w:rsidR="00BE36FB" w:rsidRPr="009B7B35" w:rsidRDefault="00BE36FB" w:rsidP="001A7107">
            <w:pPr>
              <w:pStyle w:val="TableText"/>
              <w:rPr>
                <w:rFonts w:cs="Arial"/>
              </w:rPr>
            </w:pPr>
            <w:r w:rsidRPr="009B7B35">
              <w:rPr>
                <w:rFonts w:cs="Arial"/>
              </w:rPr>
              <w:t xml:space="preserve">Capital works </w:t>
            </w:r>
          </w:p>
        </w:tc>
        <w:tc>
          <w:tcPr>
            <w:tcW w:w="530" w:type="pct"/>
            <w:hideMark/>
          </w:tcPr>
          <w:p w14:paraId="02396DA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7030ACF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Infrastructure or other works that ensures the land is suitable for development for its intended purpose </w:t>
            </w:r>
          </w:p>
        </w:tc>
      </w:tr>
      <w:tr w:rsidR="00BE36FB" w:rsidRPr="009B7B35" w14:paraId="2AC5A55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568D2FD5" w14:textId="77777777" w:rsidR="00BE36FB" w:rsidRPr="009B7B35" w:rsidRDefault="00BE36FB" w:rsidP="001A7107">
            <w:pPr>
              <w:pStyle w:val="TableText"/>
              <w:rPr>
                <w:rFonts w:cs="Arial"/>
              </w:rPr>
            </w:pPr>
            <w:r w:rsidRPr="009B7B35">
              <w:rPr>
                <w:rFonts w:cs="Arial"/>
              </w:rPr>
              <w:t>Capital works program</w:t>
            </w:r>
          </w:p>
        </w:tc>
        <w:tc>
          <w:tcPr>
            <w:tcW w:w="530" w:type="pct"/>
            <w:hideMark/>
          </w:tcPr>
          <w:p w14:paraId="0170DEB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621DC2C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The schedule of works and capital costs outlined in the Plans for Trunk Infrastructure and associated Infrastructure Schedules</w:t>
            </w:r>
          </w:p>
        </w:tc>
      </w:tr>
      <w:tr w:rsidR="00BE36FB" w:rsidRPr="009B7B35" w14:paraId="4149C20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7B6481CC" w14:textId="77777777" w:rsidR="00BE36FB" w:rsidRPr="009B7B35" w:rsidRDefault="00BE36FB" w:rsidP="001A7107">
            <w:pPr>
              <w:pStyle w:val="TableText"/>
              <w:rPr>
                <w:rFonts w:cs="Arial"/>
              </w:rPr>
            </w:pPr>
            <w:r w:rsidRPr="009B7B35">
              <w:rPr>
                <w:rFonts w:cs="Arial"/>
              </w:rPr>
              <w:t xml:space="preserve">Charge Rate </w:t>
            </w:r>
          </w:p>
        </w:tc>
        <w:tc>
          <w:tcPr>
            <w:tcW w:w="530" w:type="pct"/>
            <w:hideMark/>
          </w:tcPr>
          <w:p w14:paraId="59D459B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CR </w:t>
            </w:r>
          </w:p>
        </w:tc>
        <w:tc>
          <w:tcPr>
            <w:tcW w:w="3182" w:type="pct"/>
            <w:hideMark/>
          </w:tcPr>
          <w:p w14:paraId="4283470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Rate applied to development in accordance with Council Adopted Infrastructure Charges Resolution (AICR) </w:t>
            </w:r>
          </w:p>
        </w:tc>
      </w:tr>
      <w:tr w:rsidR="00BE36FB" w:rsidRPr="009B7B35" w14:paraId="71A0FD7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45A617A8" w14:textId="77777777" w:rsidR="00BE36FB" w:rsidRPr="009B7B35" w:rsidRDefault="00BE36FB" w:rsidP="001A7107">
            <w:pPr>
              <w:pStyle w:val="TableText"/>
              <w:rPr>
                <w:rFonts w:cs="Arial"/>
              </w:rPr>
            </w:pPr>
            <w:r w:rsidRPr="009B7B35">
              <w:rPr>
                <w:rFonts w:cs="Arial"/>
              </w:rPr>
              <w:t>Contributions catchment</w:t>
            </w:r>
          </w:p>
        </w:tc>
        <w:tc>
          <w:tcPr>
            <w:tcW w:w="530" w:type="pct"/>
            <w:hideMark/>
          </w:tcPr>
          <w:p w14:paraId="0FE664F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14BB546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A generic reference to water supply regions/zones, sewerage catchments/sub catchments, stormwater catchments, transport sectors and open space</w:t>
            </w:r>
          </w:p>
        </w:tc>
      </w:tr>
      <w:tr w:rsidR="00BE36FB" w:rsidRPr="009B7B35" w14:paraId="1A4BF74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48293545" w14:textId="77777777" w:rsidR="00BE36FB" w:rsidRPr="009B7B35" w:rsidRDefault="00BE36FB" w:rsidP="001A7107">
            <w:pPr>
              <w:pStyle w:val="TableText"/>
              <w:rPr>
                <w:rFonts w:cs="Arial"/>
              </w:rPr>
            </w:pPr>
            <w:r w:rsidRPr="009B7B35">
              <w:rPr>
                <w:rFonts w:cs="Arial"/>
              </w:rPr>
              <w:t>Cost Impact Assessment Policy</w:t>
            </w:r>
          </w:p>
        </w:tc>
        <w:tc>
          <w:tcPr>
            <w:tcW w:w="530" w:type="pct"/>
            <w:hideMark/>
          </w:tcPr>
          <w:p w14:paraId="6FED6CF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CIA </w:t>
            </w:r>
          </w:p>
        </w:tc>
        <w:tc>
          <w:tcPr>
            <w:tcW w:w="3182" w:type="pct"/>
            <w:hideMark/>
          </w:tcPr>
          <w:p w14:paraId="0279EB7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Cost Impact assessments (undertaken on applications that are in any way inconsistent with the assumptions contained in the planning scheme) will be undertaken in accordance with Council Cost Impact Assessment Policy</w:t>
            </w:r>
          </w:p>
        </w:tc>
      </w:tr>
      <w:tr w:rsidR="00BE36FB" w:rsidRPr="009B7B35" w14:paraId="172F1A2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6F5907C0" w14:textId="77777777" w:rsidR="00BE36FB" w:rsidRPr="009B7B35" w:rsidRDefault="00BE36FB" w:rsidP="001A7107">
            <w:pPr>
              <w:pStyle w:val="TableText"/>
              <w:rPr>
                <w:rFonts w:cs="Arial"/>
              </w:rPr>
            </w:pPr>
            <w:r w:rsidRPr="009B7B35">
              <w:rPr>
                <w:rFonts w:cs="Arial"/>
              </w:rPr>
              <w:t>Defined water/sewer service area</w:t>
            </w:r>
          </w:p>
        </w:tc>
        <w:tc>
          <w:tcPr>
            <w:tcW w:w="530" w:type="pct"/>
            <w:hideMark/>
          </w:tcPr>
          <w:p w14:paraId="458B35C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089A014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The area declared under sections 161 -163 of the Water Supply (safety and Reliability) Act for provision of retail water services and/or sewerage services to customers. Areas within the service area will generally be able to be connected directly and separately to the service provider's infrastructure for the area</w:t>
            </w:r>
          </w:p>
        </w:tc>
      </w:tr>
      <w:tr w:rsidR="00BE36FB" w:rsidRPr="009B7B35" w14:paraId="208BB80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050AB6C4" w14:textId="77777777" w:rsidR="00BE36FB" w:rsidRPr="009B7B35" w:rsidRDefault="00BE36FB" w:rsidP="001A7107">
            <w:pPr>
              <w:pStyle w:val="TableText"/>
              <w:rPr>
                <w:rFonts w:cs="Arial"/>
              </w:rPr>
            </w:pPr>
            <w:r w:rsidRPr="009B7B35">
              <w:rPr>
                <w:rFonts w:cs="Arial"/>
              </w:rPr>
              <w:t xml:space="preserve">Degree of Saturation </w:t>
            </w:r>
          </w:p>
        </w:tc>
        <w:tc>
          <w:tcPr>
            <w:tcW w:w="530" w:type="pct"/>
            <w:hideMark/>
          </w:tcPr>
          <w:p w14:paraId="07122EF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DOS</w:t>
            </w:r>
          </w:p>
        </w:tc>
        <w:tc>
          <w:tcPr>
            <w:tcW w:w="3182" w:type="pct"/>
            <w:hideMark/>
          </w:tcPr>
          <w:p w14:paraId="5FA037D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degree of saturation (used in regards to transport modelling) is the arrival flow divided by the entry (absorption) capacity of a lane or intersection.</w:t>
            </w:r>
          </w:p>
        </w:tc>
      </w:tr>
      <w:tr w:rsidR="00BE36FB" w:rsidRPr="009B7B35" w14:paraId="07AFE5B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B1EEA56" w14:textId="77777777" w:rsidR="00BE36FB" w:rsidRPr="009B7B35" w:rsidRDefault="00BE36FB" w:rsidP="001A7107">
            <w:pPr>
              <w:pStyle w:val="TableText"/>
              <w:rPr>
                <w:rFonts w:cs="Arial"/>
              </w:rPr>
            </w:pPr>
          </w:p>
        </w:tc>
        <w:tc>
          <w:tcPr>
            <w:tcW w:w="530" w:type="pct"/>
            <w:hideMark/>
          </w:tcPr>
          <w:p w14:paraId="5C10B54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0806CB3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Unit of demand that applies to each type of infrastructure to express the demand</w:t>
            </w:r>
          </w:p>
        </w:tc>
      </w:tr>
      <w:tr w:rsidR="00BE36FB" w:rsidRPr="009B7B35" w14:paraId="4B01840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020B5474" w14:textId="77777777" w:rsidR="00BE36FB" w:rsidRPr="009B7B35" w:rsidRDefault="00BE36FB" w:rsidP="001A7107">
            <w:pPr>
              <w:pStyle w:val="TableText"/>
              <w:rPr>
                <w:rFonts w:cs="Arial"/>
              </w:rPr>
            </w:pPr>
            <w:r w:rsidRPr="009B7B35">
              <w:rPr>
                <w:rFonts w:cs="Arial"/>
              </w:rPr>
              <w:t xml:space="preserve">Offsets </w:t>
            </w:r>
          </w:p>
        </w:tc>
        <w:tc>
          <w:tcPr>
            <w:tcW w:w="530" w:type="pct"/>
            <w:hideMark/>
          </w:tcPr>
          <w:p w14:paraId="07B38C8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0E220AB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An amount offset against the Infrastructure Charge for the relevant infrastructure network to recognise the value (less any contingency amounts) of land or items of trunk infrastructure supplied as part of a development. </w:t>
            </w:r>
          </w:p>
        </w:tc>
      </w:tr>
      <w:tr w:rsidR="00BE36FB" w:rsidRPr="009B7B35" w14:paraId="06AEF7F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1433F487" w14:textId="77777777" w:rsidR="00BE36FB" w:rsidRPr="009B7B35" w:rsidRDefault="00BE36FB" w:rsidP="001A7107">
            <w:pPr>
              <w:pStyle w:val="TableText"/>
              <w:rPr>
                <w:rFonts w:cs="Arial"/>
              </w:rPr>
            </w:pPr>
            <w:r w:rsidRPr="009B7B35">
              <w:rPr>
                <w:rFonts w:cs="Arial"/>
              </w:rPr>
              <w:t>Development sequences</w:t>
            </w:r>
          </w:p>
        </w:tc>
        <w:tc>
          <w:tcPr>
            <w:tcW w:w="530" w:type="pct"/>
            <w:hideMark/>
          </w:tcPr>
          <w:p w14:paraId="28389C5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1ED2590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A time period used for Planning Assumptions e.g. 2011 – 2016 and timeframe where the identified land may be made available for development. </w:t>
            </w:r>
          </w:p>
        </w:tc>
      </w:tr>
      <w:tr w:rsidR="00BE36FB" w:rsidRPr="009B7B35" w14:paraId="271CC6F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016C0AC4" w14:textId="77777777" w:rsidR="00BE36FB" w:rsidRPr="009B7B35" w:rsidRDefault="00BE36FB" w:rsidP="001A7107">
            <w:pPr>
              <w:pStyle w:val="TableText"/>
              <w:rPr>
                <w:rFonts w:cs="Arial"/>
              </w:rPr>
            </w:pPr>
            <w:r w:rsidRPr="009B7B35">
              <w:rPr>
                <w:rFonts w:cs="Arial"/>
              </w:rPr>
              <w:t xml:space="preserve">Developable area </w:t>
            </w:r>
          </w:p>
        </w:tc>
        <w:tc>
          <w:tcPr>
            <w:tcW w:w="530" w:type="pct"/>
            <w:hideMark/>
          </w:tcPr>
          <w:p w14:paraId="28E5A59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0D0F82E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The area of land available for development. It does not include land that cannot be developed due to constraints such as conservation land, flood affected land or steep slope. </w:t>
            </w:r>
          </w:p>
        </w:tc>
      </w:tr>
      <w:tr w:rsidR="00BE36FB" w:rsidRPr="009B7B35" w14:paraId="299B515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1609F665" w14:textId="77777777" w:rsidR="00BE36FB" w:rsidRPr="009B7B35" w:rsidRDefault="00BE36FB" w:rsidP="001A7107">
            <w:pPr>
              <w:pStyle w:val="TableText"/>
              <w:rPr>
                <w:rFonts w:cs="Arial"/>
              </w:rPr>
            </w:pPr>
            <w:r w:rsidRPr="009B7B35">
              <w:rPr>
                <w:rFonts w:cs="Arial"/>
              </w:rPr>
              <w:t xml:space="preserve">Discounting </w:t>
            </w:r>
          </w:p>
        </w:tc>
        <w:tc>
          <w:tcPr>
            <w:tcW w:w="530" w:type="pct"/>
            <w:hideMark/>
          </w:tcPr>
          <w:p w14:paraId="173E37C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48EF910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The process of expressing the value of a future asset (or revenue stream) in present day terms. </w:t>
            </w:r>
          </w:p>
        </w:tc>
      </w:tr>
      <w:tr w:rsidR="00BE36FB" w:rsidRPr="009B7B35" w14:paraId="69684FD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468C0A3D" w14:textId="77777777" w:rsidR="00BE36FB" w:rsidRPr="009B7B35" w:rsidRDefault="00BE36FB" w:rsidP="001A7107">
            <w:pPr>
              <w:pStyle w:val="TableText"/>
              <w:rPr>
                <w:rFonts w:cs="Arial"/>
              </w:rPr>
            </w:pPr>
            <w:r w:rsidRPr="009B7B35">
              <w:rPr>
                <w:rFonts w:cs="Arial"/>
              </w:rPr>
              <w:t xml:space="preserve">Discounted value </w:t>
            </w:r>
          </w:p>
        </w:tc>
        <w:tc>
          <w:tcPr>
            <w:tcW w:w="530" w:type="pct"/>
            <w:hideMark/>
          </w:tcPr>
          <w:p w14:paraId="0571904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70B84CD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The present value of a future asset. </w:t>
            </w:r>
          </w:p>
        </w:tc>
      </w:tr>
      <w:tr w:rsidR="00BE36FB" w:rsidRPr="009B7B35" w14:paraId="3232580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61CB9118" w14:textId="77777777" w:rsidR="00BE36FB" w:rsidRPr="009B7B35" w:rsidRDefault="00BE36FB" w:rsidP="001A7107">
            <w:pPr>
              <w:pStyle w:val="TableText"/>
              <w:rPr>
                <w:rFonts w:cs="Arial"/>
              </w:rPr>
            </w:pPr>
            <w:r w:rsidRPr="009B7B35">
              <w:rPr>
                <w:rFonts w:cs="Arial"/>
              </w:rPr>
              <w:t xml:space="preserve">Equivalent Tenement </w:t>
            </w:r>
          </w:p>
        </w:tc>
        <w:tc>
          <w:tcPr>
            <w:tcW w:w="530" w:type="pct"/>
            <w:hideMark/>
          </w:tcPr>
          <w:p w14:paraId="598A231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ET </w:t>
            </w:r>
          </w:p>
        </w:tc>
        <w:tc>
          <w:tcPr>
            <w:tcW w:w="3182" w:type="pct"/>
            <w:hideMark/>
          </w:tcPr>
          <w:p w14:paraId="23709C8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A property-based unit of measurement used to indicate infrastructure demand. The demand from a property, with a single detached dwelling is 1 ET. </w:t>
            </w:r>
          </w:p>
        </w:tc>
      </w:tr>
      <w:tr w:rsidR="00BE36FB" w:rsidRPr="009B7B35" w14:paraId="160E9479"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50674AEC" w14:textId="77777777" w:rsidR="00BE36FB" w:rsidRPr="009B7B35" w:rsidRDefault="00BE36FB" w:rsidP="001A7107">
            <w:pPr>
              <w:pStyle w:val="TableText"/>
              <w:rPr>
                <w:rFonts w:cs="Arial"/>
              </w:rPr>
            </w:pPr>
            <w:r w:rsidRPr="009B7B35">
              <w:rPr>
                <w:rFonts w:cs="Arial"/>
              </w:rPr>
              <w:t xml:space="preserve">Equivalent Person </w:t>
            </w:r>
          </w:p>
        </w:tc>
        <w:tc>
          <w:tcPr>
            <w:tcW w:w="530" w:type="pct"/>
            <w:hideMark/>
          </w:tcPr>
          <w:p w14:paraId="25B225C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EP </w:t>
            </w:r>
          </w:p>
        </w:tc>
        <w:tc>
          <w:tcPr>
            <w:tcW w:w="3182" w:type="pct"/>
            <w:hideMark/>
          </w:tcPr>
          <w:p w14:paraId="3E6078F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A unit of measurement used for determining water demand or the quality and/or quantity of sewerage discharge for a person in a detached house/dwelling. </w:t>
            </w:r>
          </w:p>
        </w:tc>
      </w:tr>
      <w:tr w:rsidR="00BE36FB" w:rsidRPr="009B7B35" w14:paraId="5A9450C7"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4862A486" w14:textId="77777777" w:rsidR="00BE36FB" w:rsidRPr="009B7B35" w:rsidRDefault="00BE36FB" w:rsidP="001A7107">
            <w:pPr>
              <w:pStyle w:val="TableText"/>
              <w:rPr>
                <w:rFonts w:cs="Arial"/>
              </w:rPr>
            </w:pPr>
            <w:r w:rsidRPr="009B7B35">
              <w:rPr>
                <w:rFonts w:cs="Arial"/>
              </w:rPr>
              <w:t>Estimated Resident Population</w:t>
            </w:r>
          </w:p>
        </w:tc>
        <w:tc>
          <w:tcPr>
            <w:tcW w:w="530" w:type="pct"/>
            <w:hideMark/>
          </w:tcPr>
          <w:p w14:paraId="0B4E75D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ERP </w:t>
            </w:r>
          </w:p>
        </w:tc>
        <w:tc>
          <w:tcPr>
            <w:tcW w:w="3182" w:type="pct"/>
            <w:hideMark/>
          </w:tcPr>
          <w:p w14:paraId="5C0C2FD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The estimated total population less visitors. </w:t>
            </w:r>
          </w:p>
        </w:tc>
      </w:tr>
      <w:tr w:rsidR="00BE36FB" w:rsidRPr="009B7B35" w14:paraId="1AEFFD2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06EBBDEF" w14:textId="77777777" w:rsidR="00BE36FB" w:rsidRPr="009B7B35" w:rsidRDefault="00BE36FB" w:rsidP="001A7107">
            <w:pPr>
              <w:pStyle w:val="TableText"/>
              <w:rPr>
                <w:rFonts w:cs="Arial"/>
              </w:rPr>
            </w:pPr>
            <w:r w:rsidRPr="009B7B35">
              <w:rPr>
                <w:rFonts w:cs="Arial"/>
              </w:rPr>
              <w:t xml:space="preserve">Extrinsic material </w:t>
            </w:r>
          </w:p>
        </w:tc>
        <w:tc>
          <w:tcPr>
            <w:tcW w:w="530" w:type="pct"/>
            <w:hideMark/>
          </w:tcPr>
          <w:p w14:paraId="1CE232E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2CC84AF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All relevant background studies and reports prepared in relation to the preparation of an LGIP, e.g. planning reports documenting the network planning, preparation of demand generation rates and report(s) documenting the preparation of the planning assumptions. </w:t>
            </w:r>
          </w:p>
        </w:tc>
      </w:tr>
      <w:tr w:rsidR="00BE36FB" w:rsidRPr="009B7B35" w14:paraId="36CD505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03CEC551" w14:textId="77777777" w:rsidR="00BE36FB" w:rsidRPr="009B7B35" w:rsidRDefault="00BE36FB" w:rsidP="001A7107">
            <w:pPr>
              <w:pStyle w:val="TableText"/>
              <w:rPr>
                <w:rFonts w:cs="Arial"/>
              </w:rPr>
            </w:pPr>
            <w:r w:rsidRPr="009B7B35">
              <w:rPr>
                <w:rFonts w:cs="Arial"/>
              </w:rPr>
              <w:t xml:space="preserve">Fee simple </w:t>
            </w:r>
          </w:p>
        </w:tc>
        <w:tc>
          <w:tcPr>
            <w:tcW w:w="530" w:type="pct"/>
            <w:hideMark/>
          </w:tcPr>
          <w:p w14:paraId="2E745E3D"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41500B4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Outright, unqualified ownership of real estate, free of any liens or other claims against title. </w:t>
            </w:r>
          </w:p>
        </w:tc>
      </w:tr>
      <w:tr w:rsidR="00BE36FB" w:rsidRPr="009B7B35" w14:paraId="5330C99F"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7D9050F4" w14:textId="77777777" w:rsidR="00BE36FB" w:rsidRPr="009B7B35" w:rsidRDefault="00BE36FB" w:rsidP="001A7107">
            <w:pPr>
              <w:pStyle w:val="TableText"/>
              <w:rPr>
                <w:rFonts w:cs="Arial"/>
              </w:rPr>
            </w:pPr>
            <w:r w:rsidRPr="009B7B35">
              <w:rPr>
                <w:rFonts w:cs="Arial"/>
              </w:rPr>
              <w:t>First principles assessment</w:t>
            </w:r>
          </w:p>
        </w:tc>
        <w:tc>
          <w:tcPr>
            <w:tcW w:w="530" w:type="pct"/>
            <w:hideMark/>
          </w:tcPr>
          <w:p w14:paraId="247E8CB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25E8131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process for determining the demand generated by development which is significantly different to those land uses envisaged in the LGIP.</w:t>
            </w:r>
          </w:p>
        </w:tc>
      </w:tr>
      <w:tr w:rsidR="00BE36FB" w:rsidRPr="009B7B35" w14:paraId="0B16D99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11B3AD0F" w14:textId="77777777" w:rsidR="00BE36FB" w:rsidRPr="009B7B35" w:rsidRDefault="00BE36FB" w:rsidP="001A7107">
            <w:pPr>
              <w:pStyle w:val="TableText"/>
              <w:rPr>
                <w:rFonts w:cs="Arial"/>
              </w:rPr>
            </w:pPr>
            <w:r w:rsidRPr="009B7B35">
              <w:rPr>
                <w:rFonts w:cs="Arial"/>
              </w:rPr>
              <w:t xml:space="preserve">Fraction impervious </w:t>
            </w:r>
          </w:p>
        </w:tc>
        <w:tc>
          <w:tcPr>
            <w:tcW w:w="530" w:type="pct"/>
            <w:hideMark/>
          </w:tcPr>
          <w:p w14:paraId="3502D93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4952DDE1"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The part of a catchment / site which is the impervious area, expressed as a decimal or percentage. </w:t>
            </w:r>
          </w:p>
        </w:tc>
      </w:tr>
      <w:tr w:rsidR="00BE36FB" w:rsidRPr="009B7B35" w14:paraId="06435DB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06A6D31F" w14:textId="77777777" w:rsidR="00BE36FB" w:rsidRPr="009B7B35" w:rsidRDefault="00BE36FB" w:rsidP="001A7107">
            <w:pPr>
              <w:pStyle w:val="TableText"/>
              <w:rPr>
                <w:rFonts w:cs="Arial"/>
              </w:rPr>
            </w:pPr>
            <w:r w:rsidRPr="009B7B35">
              <w:rPr>
                <w:rFonts w:cs="Arial"/>
              </w:rPr>
              <w:t xml:space="preserve">Future investigation </w:t>
            </w:r>
          </w:p>
        </w:tc>
        <w:tc>
          <w:tcPr>
            <w:tcW w:w="530" w:type="pct"/>
            <w:hideMark/>
          </w:tcPr>
          <w:p w14:paraId="48FE0E8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557F0DD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Areas identified in the LGIP as possible urban expansion areas for specific uses, Areas subject to further investigation. Investigation areas are not included in planning assumptions or in the PIA.</w:t>
            </w:r>
          </w:p>
        </w:tc>
      </w:tr>
      <w:tr w:rsidR="00BE36FB" w:rsidRPr="009B7B35" w14:paraId="5C937021"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616F9A3C" w14:textId="77777777" w:rsidR="00BE36FB" w:rsidRPr="009B7B35" w:rsidRDefault="00BE36FB" w:rsidP="001A7107">
            <w:pPr>
              <w:pStyle w:val="TableText"/>
              <w:rPr>
                <w:rFonts w:cs="Arial"/>
              </w:rPr>
            </w:pPr>
            <w:r w:rsidRPr="009B7B35">
              <w:rPr>
                <w:rFonts w:cs="Arial"/>
              </w:rPr>
              <w:t>Future urban expansion areas</w:t>
            </w:r>
          </w:p>
        </w:tc>
        <w:tc>
          <w:tcPr>
            <w:tcW w:w="530" w:type="pct"/>
            <w:hideMark/>
          </w:tcPr>
          <w:p w14:paraId="117CDEB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7E77FF8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Areas identified for urban growth for specific uses and included in the planning assumptions and PIA. </w:t>
            </w:r>
          </w:p>
        </w:tc>
      </w:tr>
      <w:tr w:rsidR="00BE36FB" w:rsidRPr="009B7B35" w14:paraId="0AE5B4FA"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1F418CEA" w14:textId="77777777" w:rsidR="00BE36FB" w:rsidRPr="009B7B35" w:rsidRDefault="00BE36FB" w:rsidP="001A7107">
            <w:pPr>
              <w:pStyle w:val="TableText"/>
              <w:rPr>
                <w:rFonts w:cs="Arial"/>
              </w:rPr>
            </w:pPr>
            <w:r w:rsidRPr="009B7B35">
              <w:rPr>
                <w:rFonts w:cs="Arial"/>
              </w:rPr>
              <w:t xml:space="preserve">Impervious area </w:t>
            </w:r>
          </w:p>
        </w:tc>
        <w:tc>
          <w:tcPr>
            <w:tcW w:w="530" w:type="pct"/>
            <w:hideMark/>
          </w:tcPr>
          <w:p w14:paraId="30C7A83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768C996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A surface or area within a Stormwater drainage catchment where the majority of rainfall will become runoff (no infiltration). </w:t>
            </w:r>
          </w:p>
        </w:tc>
      </w:tr>
      <w:tr w:rsidR="00BE36FB" w:rsidRPr="009B7B35" w14:paraId="577BC44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95C82E9" w14:textId="77777777" w:rsidR="00BE36FB" w:rsidRPr="009B7B35" w:rsidRDefault="00BE36FB" w:rsidP="001A7107">
            <w:pPr>
              <w:pStyle w:val="TableText"/>
              <w:rPr>
                <w:rFonts w:cs="Arial"/>
              </w:rPr>
            </w:pPr>
            <w:r w:rsidRPr="009B7B35">
              <w:rPr>
                <w:rFonts w:cs="Arial"/>
              </w:rPr>
              <w:t>Infrastructure agreements register</w:t>
            </w:r>
          </w:p>
        </w:tc>
        <w:tc>
          <w:tcPr>
            <w:tcW w:w="530" w:type="pct"/>
            <w:hideMark/>
          </w:tcPr>
          <w:p w14:paraId="5D16DEF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5173832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A register of all Infrastructure Agreements in the Council Area. </w:t>
            </w:r>
          </w:p>
        </w:tc>
      </w:tr>
      <w:tr w:rsidR="00BE36FB" w:rsidRPr="009B7B35" w14:paraId="0F22A155"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42252EA8" w14:textId="77777777" w:rsidR="00BE36FB" w:rsidRPr="009B7B35" w:rsidRDefault="00BE36FB" w:rsidP="001A7107">
            <w:pPr>
              <w:pStyle w:val="TableText"/>
              <w:rPr>
                <w:rFonts w:cs="Arial"/>
              </w:rPr>
            </w:pPr>
            <w:r w:rsidRPr="009B7B35">
              <w:rPr>
                <w:rFonts w:cs="Arial"/>
              </w:rPr>
              <w:t xml:space="preserve">Infrastructure credit </w:t>
            </w:r>
          </w:p>
        </w:tc>
        <w:tc>
          <w:tcPr>
            <w:tcW w:w="530" w:type="pct"/>
            <w:hideMark/>
          </w:tcPr>
          <w:p w14:paraId="277BC79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52A4963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The credit which may be attributed for previous contributions or an existing lawful use or existing lawful right permitted under the current Planning Scheme, on the site at the time of lodging the application. Infrastructure credits are determined for each network. </w:t>
            </w:r>
          </w:p>
        </w:tc>
      </w:tr>
      <w:tr w:rsidR="00BE36FB" w:rsidRPr="009B7B35" w14:paraId="24D0001D"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3E93F0F4" w14:textId="77777777" w:rsidR="00BE36FB" w:rsidRPr="009B7B35" w:rsidRDefault="00BE36FB" w:rsidP="001A7107">
            <w:pPr>
              <w:pStyle w:val="TableText"/>
              <w:rPr>
                <w:rFonts w:cs="Arial"/>
              </w:rPr>
            </w:pPr>
            <w:r w:rsidRPr="009B7B35">
              <w:rPr>
                <w:rFonts w:cs="Arial"/>
              </w:rPr>
              <w:t xml:space="preserve">Impervious fraction </w:t>
            </w:r>
          </w:p>
        </w:tc>
        <w:tc>
          <w:tcPr>
            <w:tcW w:w="530" w:type="pct"/>
            <w:hideMark/>
          </w:tcPr>
          <w:p w14:paraId="4C8F878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394EF31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The proportion of a site from which rainfall will become runoff (i.e. no infiltration) </w:t>
            </w:r>
          </w:p>
        </w:tc>
      </w:tr>
      <w:tr w:rsidR="00BE36FB" w:rsidRPr="009B7B35" w14:paraId="75C22740"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5AA114B4" w14:textId="77777777" w:rsidR="00BE36FB" w:rsidRPr="009B7B35" w:rsidRDefault="00BE36FB" w:rsidP="001A7107">
            <w:pPr>
              <w:pStyle w:val="TableText"/>
              <w:rPr>
                <w:rFonts w:cs="Arial"/>
              </w:rPr>
            </w:pPr>
            <w:r w:rsidRPr="009B7B35">
              <w:rPr>
                <w:rFonts w:cs="Arial"/>
              </w:rPr>
              <w:t xml:space="preserve">LGIP Planning assumptions </w:t>
            </w:r>
          </w:p>
        </w:tc>
        <w:tc>
          <w:tcPr>
            <w:tcW w:w="530" w:type="pct"/>
            <w:hideMark/>
          </w:tcPr>
          <w:p w14:paraId="70A411C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614A2D8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assumptions about the type, scale, location and timing of future urban growth, which have informed preparation of the LGIP.</w:t>
            </w:r>
          </w:p>
        </w:tc>
      </w:tr>
      <w:tr w:rsidR="00BE36FB" w:rsidRPr="009B7B35" w14:paraId="0216491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3468C8D2" w14:textId="77777777" w:rsidR="00BE36FB" w:rsidRPr="009B7B35" w:rsidRDefault="00BE36FB" w:rsidP="001A7107">
            <w:pPr>
              <w:pStyle w:val="TableText"/>
              <w:rPr>
                <w:rFonts w:cs="Arial"/>
              </w:rPr>
            </w:pPr>
            <w:r w:rsidRPr="009B7B35">
              <w:rPr>
                <w:rFonts w:cs="Arial"/>
              </w:rPr>
              <w:t xml:space="preserve">Planned capacity </w:t>
            </w:r>
          </w:p>
        </w:tc>
        <w:tc>
          <w:tcPr>
            <w:tcW w:w="530" w:type="pct"/>
            <w:hideMark/>
          </w:tcPr>
          <w:p w14:paraId="32ED02D2"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499206A8"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Capacity which may exist within the existing trunk infrastructure assets and which is required to service future planned growth. </w:t>
            </w:r>
          </w:p>
        </w:tc>
      </w:tr>
      <w:tr w:rsidR="00BE36FB" w:rsidRPr="009B7B35" w14:paraId="3830CFC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BFF3DC4" w14:textId="77777777" w:rsidR="00BE36FB" w:rsidRPr="009B7B35" w:rsidRDefault="00BE36FB" w:rsidP="001A7107">
            <w:pPr>
              <w:pStyle w:val="TableText"/>
              <w:rPr>
                <w:rFonts w:cs="Arial"/>
              </w:rPr>
            </w:pPr>
            <w:r w:rsidRPr="009B7B35">
              <w:rPr>
                <w:rFonts w:cs="Arial"/>
              </w:rPr>
              <w:t xml:space="preserve">Planned demand </w:t>
            </w:r>
          </w:p>
        </w:tc>
        <w:tc>
          <w:tcPr>
            <w:tcW w:w="530" w:type="pct"/>
            <w:hideMark/>
          </w:tcPr>
          <w:p w14:paraId="79F1617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3C3429B5"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demand expected (in size, form, location and sequencing) based on Council's Planning Scheme and LGIP Planned Infrastructure calculations.</w:t>
            </w:r>
          </w:p>
        </w:tc>
      </w:tr>
      <w:tr w:rsidR="00BE36FB" w:rsidRPr="009B7B35" w14:paraId="68629DB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439F187F" w14:textId="77777777" w:rsidR="00BE36FB" w:rsidRPr="009B7B35" w:rsidRDefault="00BE36FB" w:rsidP="001A7107">
            <w:pPr>
              <w:pStyle w:val="TableText"/>
              <w:rPr>
                <w:rFonts w:cs="Arial"/>
              </w:rPr>
            </w:pPr>
            <w:r w:rsidRPr="009B7B35">
              <w:rPr>
                <w:rFonts w:cs="Arial"/>
              </w:rPr>
              <w:t xml:space="preserve">Planning scheme </w:t>
            </w:r>
          </w:p>
        </w:tc>
        <w:tc>
          <w:tcPr>
            <w:tcW w:w="530" w:type="pct"/>
            <w:hideMark/>
          </w:tcPr>
          <w:p w14:paraId="497BA3D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274A4C6C"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Gladstone Regional Council Planning Scheme (2014) </w:t>
            </w:r>
          </w:p>
        </w:tc>
      </w:tr>
      <w:tr w:rsidR="00BE36FB" w:rsidRPr="009B7B35" w14:paraId="73954632"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A49E840" w14:textId="77777777" w:rsidR="00BE36FB" w:rsidRPr="009B7B35" w:rsidRDefault="00BE36FB" w:rsidP="001A7107">
            <w:pPr>
              <w:pStyle w:val="TableText"/>
              <w:rPr>
                <w:rFonts w:cs="Arial"/>
              </w:rPr>
            </w:pPr>
            <w:r w:rsidRPr="009B7B35">
              <w:rPr>
                <w:rFonts w:cs="Arial"/>
              </w:rPr>
              <w:t xml:space="preserve">Planned trunk infrastructure </w:t>
            </w:r>
          </w:p>
        </w:tc>
        <w:tc>
          <w:tcPr>
            <w:tcW w:w="530" w:type="pct"/>
            <w:hideMark/>
          </w:tcPr>
          <w:p w14:paraId="705FA68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2083991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Trunk infrastructure that is included in Council's capital works program and contained in reports and strategies (PFTI), reviewed from time to time.</w:t>
            </w:r>
          </w:p>
        </w:tc>
      </w:tr>
      <w:tr w:rsidR="00BE36FB" w:rsidRPr="009B7B35" w14:paraId="163627B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40B2DE81" w14:textId="77777777" w:rsidR="00BE36FB" w:rsidRPr="009B7B35" w:rsidRDefault="00BE36FB" w:rsidP="001A7107">
            <w:pPr>
              <w:pStyle w:val="TableText"/>
              <w:rPr>
                <w:rFonts w:cs="Arial"/>
              </w:rPr>
            </w:pPr>
            <w:r w:rsidRPr="009B7B35">
              <w:rPr>
                <w:rFonts w:cs="Arial"/>
              </w:rPr>
              <w:t xml:space="preserve">Present Value </w:t>
            </w:r>
          </w:p>
        </w:tc>
        <w:tc>
          <w:tcPr>
            <w:tcW w:w="530" w:type="pct"/>
            <w:hideMark/>
          </w:tcPr>
          <w:p w14:paraId="290EDBE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PV </w:t>
            </w:r>
          </w:p>
        </w:tc>
        <w:tc>
          <w:tcPr>
            <w:tcW w:w="3182" w:type="pct"/>
            <w:hideMark/>
          </w:tcPr>
          <w:p w14:paraId="3A16C2A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Value on a given date of a series of future cash flows, discounted to reflect the time value of money. The present value is calculated as at the base date. </w:t>
            </w:r>
          </w:p>
        </w:tc>
      </w:tr>
      <w:tr w:rsidR="00BE36FB" w:rsidRPr="009B7B35" w14:paraId="54641CA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369E1695" w14:textId="77777777" w:rsidR="00BE36FB" w:rsidRPr="009B7B35" w:rsidRDefault="00BE36FB" w:rsidP="001A7107">
            <w:pPr>
              <w:pStyle w:val="TableText"/>
              <w:rPr>
                <w:rFonts w:cs="Arial"/>
              </w:rPr>
            </w:pPr>
            <w:r w:rsidRPr="009B7B35">
              <w:rPr>
                <w:rFonts w:cs="Arial"/>
              </w:rPr>
              <w:t>Planning and Forecasting Information Unit</w:t>
            </w:r>
          </w:p>
        </w:tc>
        <w:tc>
          <w:tcPr>
            <w:tcW w:w="530" w:type="pct"/>
            <w:hideMark/>
          </w:tcPr>
          <w:p w14:paraId="69D52513"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PIFU </w:t>
            </w:r>
          </w:p>
        </w:tc>
        <w:tc>
          <w:tcPr>
            <w:tcW w:w="3182" w:type="pct"/>
            <w:hideMark/>
          </w:tcPr>
          <w:p w14:paraId="30FC26AA"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Department of Infrastructure and Planning's business unit responsible for forecasting growth across Queensland</w:t>
            </w:r>
          </w:p>
        </w:tc>
      </w:tr>
      <w:tr w:rsidR="00BE36FB" w:rsidRPr="009B7B35" w14:paraId="71C0C540"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1FAC04CB" w14:textId="77777777" w:rsidR="00BE36FB" w:rsidRPr="009B7B35" w:rsidRDefault="00BE36FB" w:rsidP="001A7107">
            <w:pPr>
              <w:pStyle w:val="TableText"/>
              <w:rPr>
                <w:rFonts w:cs="Arial"/>
              </w:rPr>
            </w:pPr>
            <w:r w:rsidRPr="009B7B35">
              <w:rPr>
                <w:rFonts w:cs="Arial"/>
              </w:rPr>
              <w:t xml:space="preserve">Proposed application demand </w:t>
            </w:r>
          </w:p>
        </w:tc>
        <w:tc>
          <w:tcPr>
            <w:tcW w:w="530" w:type="pct"/>
            <w:hideMark/>
          </w:tcPr>
          <w:p w14:paraId="2540963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39CFBE3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Infrastructure demand calculated for a specific proposed development and site. </w:t>
            </w:r>
          </w:p>
        </w:tc>
      </w:tr>
      <w:tr w:rsidR="00BE36FB" w:rsidRPr="009B7B35" w14:paraId="6A9ABEF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0B5C2BD4" w14:textId="77777777" w:rsidR="00BE36FB" w:rsidRPr="009B7B35" w:rsidRDefault="00BE36FB" w:rsidP="001A7107">
            <w:pPr>
              <w:pStyle w:val="TableText"/>
              <w:rPr>
                <w:rFonts w:cs="Arial"/>
              </w:rPr>
            </w:pPr>
            <w:r w:rsidRPr="009B7B35">
              <w:rPr>
                <w:rFonts w:cs="Arial"/>
              </w:rPr>
              <w:t xml:space="preserve">Redevelopments </w:t>
            </w:r>
          </w:p>
        </w:tc>
        <w:tc>
          <w:tcPr>
            <w:tcW w:w="530" w:type="pct"/>
            <w:hideMark/>
          </w:tcPr>
          <w:p w14:paraId="6A0A15FE"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1FFA9109"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Development on developed land where the intensity or density of the land is increased. </w:t>
            </w:r>
          </w:p>
        </w:tc>
      </w:tr>
      <w:tr w:rsidR="00BE36FB" w:rsidRPr="009B7B35" w14:paraId="38BCB076"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4D9DDD01" w14:textId="77777777" w:rsidR="00BE36FB" w:rsidRPr="009B7B35" w:rsidRDefault="00BE36FB" w:rsidP="001A7107">
            <w:pPr>
              <w:pStyle w:val="TableText"/>
              <w:rPr>
                <w:rFonts w:cs="Arial"/>
              </w:rPr>
            </w:pPr>
            <w:r w:rsidRPr="009B7B35">
              <w:rPr>
                <w:rFonts w:cs="Arial"/>
              </w:rPr>
              <w:t xml:space="preserve">State infrastructure plans </w:t>
            </w:r>
          </w:p>
        </w:tc>
        <w:tc>
          <w:tcPr>
            <w:tcW w:w="530" w:type="pct"/>
            <w:hideMark/>
          </w:tcPr>
          <w:p w14:paraId="3C345B30"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3F9B0286"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Plans for the supply of State infrastructure in a Local Government area prepared by the supplier of the State infrastructure. </w:t>
            </w:r>
          </w:p>
        </w:tc>
      </w:tr>
      <w:tr w:rsidR="00BE36FB" w:rsidRPr="009B7B35" w14:paraId="63E09364"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39CA7A48" w14:textId="77777777" w:rsidR="00BE36FB" w:rsidRPr="009B7B35" w:rsidRDefault="00BE36FB" w:rsidP="001A7107">
            <w:pPr>
              <w:pStyle w:val="TableText"/>
              <w:rPr>
                <w:rFonts w:cs="Arial"/>
              </w:rPr>
            </w:pPr>
            <w:r w:rsidRPr="009B7B35">
              <w:rPr>
                <w:rFonts w:cs="Arial"/>
              </w:rPr>
              <w:t xml:space="preserve">Statistical Local Area </w:t>
            </w:r>
          </w:p>
        </w:tc>
        <w:tc>
          <w:tcPr>
            <w:tcW w:w="530" w:type="pct"/>
            <w:hideMark/>
          </w:tcPr>
          <w:p w14:paraId="27C1E6B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SLA</w:t>
            </w:r>
          </w:p>
        </w:tc>
        <w:tc>
          <w:tcPr>
            <w:tcW w:w="3182" w:type="pct"/>
            <w:hideMark/>
          </w:tcPr>
          <w:p w14:paraId="54BCA3B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An Australian Standard Geographical Classification defined area. </w:t>
            </w:r>
          </w:p>
        </w:tc>
      </w:tr>
      <w:tr w:rsidR="00BE36FB" w:rsidRPr="009B7B35" w14:paraId="12951EC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39835838" w14:textId="77777777" w:rsidR="00BE36FB" w:rsidRPr="009B7B35" w:rsidRDefault="00BE36FB" w:rsidP="001A7107">
            <w:pPr>
              <w:pStyle w:val="TableText"/>
              <w:rPr>
                <w:rFonts w:cs="Arial"/>
              </w:rPr>
            </w:pPr>
            <w:r w:rsidRPr="009B7B35">
              <w:rPr>
                <w:rFonts w:cs="Arial"/>
              </w:rPr>
              <w:t xml:space="preserve">Stormwater Quality Improvement Devices </w:t>
            </w:r>
          </w:p>
        </w:tc>
        <w:tc>
          <w:tcPr>
            <w:tcW w:w="530" w:type="pct"/>
            <w:hideMark/>
          </w:tcPr>
          <w:p w14:paraId="7EDC1D9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SQIDS </w:t>
            </w:r>
          </w:p>
        </w:tc>
        <w:tc>
          <w:tcPr>
            <w:tcW w:w="3182" w:type="pct"/>
            <w:hideMark/>
          </w:tcPr>
          <w:p w14:paraId="5D68A52A"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Infrastructure that serves the function of improving stormwater quality. </w:t>
            </w:r>
          </w:p>
        </w:tc>
      </w:tr>
      <w:tr w:rsidR="00BE36FB" w:rsidRPr="009B7B35" w14:paraId="7073DED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7DCAFFC0" w14:textId="77777777" w:rsidR="00BE36FB" w:rsidRPr="009B7B35" w:rsidRDefault="00BE36FB" w:rsidP="001A7107">
            <w:pPr>
              <w:pStyle w:val="TableText"/>
              <w:rPr>
                <w:rFonts w:cs="Arial"/>
              </w:rPr>
            </w:pPr>
            <w:r w:rsidRPr="009B7B35">
              <w:rPr>
                <w:rFonts w:cs="Arial"/>
              </w:rPr>
              <w:t xml:space="preserve">Trips </w:t>
            </w:r>
          </w:p>
        </w:tc>
        <w:tc>
          <w:tcPr>
            <w:tcW w:w="530" w:type="pct"/>
            <w:hideMark/>
          </w:tcPr>
          <w:p w14:paraId="6FC256D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0D8989B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The number of trips generated from a traffic district between a generator and attractor (or from origin to destination) as a single trip</w:t>
            </w:r>
          </w:p>
        </w:tc>
      </w:tr>
      <w:tr w:rsidR="00BE36FB" w:rsidRPr="009B7B35" w14:paraId="7742FCF8"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839610F" w14:textId="77777777" w:rsidR="00BE36FB" w:rsidRPr="009B7B35" w:rsidRDefault="00BE36FB" w:rsidP="001A7107">
            <w:pPr>
              <w:pStyle w:val="TableText"/>
              <w:rPr>
                <w:rFonts w:cs="Arial"/>
              </w:rPr>
            </w:pPr>
            <w:r w:rsidRPr="009B7B35">
              <w:rPr>
                <w:rFonts w:cs="Arial"/>
              </w:rPr>
              <w:t xml:space="preserve">Traffic district </w:t>
            </w:r>
          </w:p>
        </w:tc>
        <w:tc>
          <w:tcPr>
            <w:tcW w:w="530" w:type="pct"/>
            <w:hideMark/>
          </w:tcPr>
          <w:p w14:paraId="3C4D4CB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7C84371B"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 xml:space="preserve">A sector or series of sectors identified within the traffic modelling as being representative of a broader pattern of traffic use within a given area. </w:t>
            </w:r>
          </w:p>
        </w:tc>
      </w:tr>
      <w:tr w:rsidR="00BE36FB" w:rsidRPr="009B7B35" w14:paraId="19213BCC"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5FEFA12A" w14:textId="77777777" w:rsidR="00BE36FB" w:rsidRPr="009B7B35" w:rsidRDefault="00BE36FB" w:rsidP="001A7107">
            <w:pPr>
              <w:pStyle w:val="TableText"/>
              <w:rPr>
                <w:rFonts w:cs="Arial"/>
              </w:rPr>
            </w:pPr>
            <w:r w:rsidRPr="009B7B35">
              <w:rPr>
                <w:rFonts w:cs="Arial"/>
              </w:rPr>
              <w:t>Unplanned trunk infrastructure</w:t>
            </w:r>
          </w:p>
        </w:tc>
        <w:tc>
          <w:tcPr>
            <w:tcW w:w="530" w:type="pct"/>
            <w:hideMark/>
          </w:tcPr>
          <w:p w14:paraId="0706B7D4"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p>
        </w:tc>
        <w:tc>
          <w:tcPr>
            <w:tcW w:w="3182" w:type="pct"/>
            <w:hideMark/>
          </w:tcPr>
          <w:p w14:paraId="27C70540"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Infrastructure that is not illustrated within Council's Plans for Trunk Infrastructure (PFTI).</w:t>
            </w:r>
          </w:p>
        </w:tc>
      </w:tr>
      <w:tr w:rsidR="00BE36FB" w:rsidRPr="009B7B35" w14:paraId="4FABD97B"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AFFC8E4" w14:textId="77777777" w:rsidR="00BE36FB" w:rsidRPr="009B7B35" w:rsidRDefault="00BE36FB" w:rsidP="001A7107">
            <w:pPr>
              <w:pStyle w:val="TableText"/>
              <w:rPr>
                <w:rFonts w:cs="Arial"/>
              </w:rPr>
            </w:pPr>
            <w:r w:rsidRPr="009B7B35">
              <w:rPr>
                <w:rFonts w:cs="Arial"/>
              </w:rPr>
              <w:t>Ultimate development</w:t>
            </w:r>
          </w:p>
        </w:tc>
        <w:tc>
          <w:tcPr>
            <w:tcW w:w="530" w:type="pct"/>
            <w:hideMark/>
          </w:tcPr>
          <w:p w14:paraId="31CAAD1E"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p>
        </w:tc>
        <w:tc>
          <w:tcPr>
            <w:tcW w:w="3182" w:type="pct"/>
            <w:hideMark/>
          </w:tcPr>
          <w:p w14:paraId="47602D0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rPr>
            </w:pPr>
            <w:r w:rsidRPr="009B7B35">
              <w:rPr>
                <w:rFonts w:cs="Arial"/>
              </w:rPr>
              <w:t>The realistic extent of development anticipated to be achieved when a site (or locality) is fully developed.</w:t>
            </w:r>
          </w:p>
        </w:tc>
      </w:tr>
    </w:tbl>
    <w:p w14:paraId="0EC31429" w14:textId="77777777" w:rsidR="00BE36FB" w:rsidRPr="009B7B35" w:rsidRDefault="00BE36FB" w:rsidP="001A7107">
      <w:pPr>
        <w:rPr>
          <w:rFonts w:ascii="Arial" w:hAnsi="Arial" w:cs="Arial"/>
          <w:sz w:val="20"/>
          <w:szCs w:val="20"/>
        </w:rPr>
      </w:pPr>
    </w:p>
    <w:p w14:paraId="6CE91F84" w14:textId="77777777" w:rsidR="00BE36FB" w:rsidRPr="009B7B35" w:rsidRDefault="00BE36FB" w:rsidP="001A7107">
      <w:pPr>
        <w:rPr>
          <w:rFonts w:ascii="Arial" w:hAnsi="Arial" w:cs="Arial"/>
          <w:sz w:val="20"/>
          <w:szCs w:val="20"/>
        </w:rPr>
        <w:sectPr w:rsidR="00BE36FB" w:rsidRPr="009B7B35" w:rsidSect="001A7107">
          <w:footerReference w:type="first" r:id="rId129"/>
          <w:pgSz w:w="11906" w:h="16838" w:code="9"/>
          <w:pgMar w:top="1418" w:right="1134" w:bottom="1418" w:left="1134" w:header="567" w:footer="567" w:gutter="284"/>
          <w:cols w:space="708"/>
          <w:titlePg/>
          <w:docGrid w:linePitch="360"/>
        </w:sectPr>
      </w:pPr>
    </w:p>
    <w:p w14:paraId="466AF4C0" w14:textId="77777777" w:rsidR="00BE36FB" w:rsidRPr="009B7B35" w:rsidRDefault="00BE36FB" w:rsidP="007A46D8">
      <w:pPr>
        <w:pStyle w:val="Heading6"/>
        <w:numPr>
          <w:ilvl w:val="5"/>
          <w:numId w:val="834"/>
        </w:numPr>
        <w:ind w:left="0" w:firstLine="0"/>
        <w:rPr>
          <w:rFonts w:cs="Arial"/>
          <w:sz w:val="20"/>
          <w:szCs w:val="20"/>
        </w:rPr>
      </w:pPr>
      <w:bookmarkStart w:id="312" w:name="_Toc205367425"/>
      <w:r w:rsidRPr="009B7B35">
        <w:rPr>
          <w:rFonts w:cs="Arial"/>
          <w:sz w:val="20"/>
          <w:szCs w:val="20"/>
        </w:rPr>
        <w:t>Notations required under the Planning Act 2016</w:t>
      </w:r>
      <w:bookmarkEnd w:id="312"/>
    </w:p>
    <w:p w14:paraId="103C55E0" w14:textId="77777777" w:rsidR="00BE36FB" w:rsidRPr="009B7B35" w:rsidRDefault="00BE36FB" w:rsidP="007A46D8">
      <w:pPr>
        <w:pStyle w:val="Heading7"/>
        <w:numPr>
          <w:ilvl w:val="6"/>
          <w:numId w:val="834"/>
        </w:numPr>
        <w:ind w:left="0" w:firstLine="0"/>
        <w:rPr>
          <w:rFonts w:cs="Arial"/>
          <w:sz w:val="20"/>
          <w:szCs w:val="20"/>
        </w:rPr>
      </w:pPr>
      <w:bookmarkStart w:id="313" w:name="_Toc205367426"/>
      <w:r w:rsidRPr="009B7B35">
        <w:rPr>
          <w:rFonts w:cs="Arial"/>
          <w:sz w:val="20"/>
          <w:szCs w:val="20"/>
        </w:rPr>
        <w:t>Notation of decisions affecting the planning scheme under section 89 of the Act</w:t>
      </w:r>
      <w:bookmarkEnd w:id="313"/>
    </w:p>
    <w:p w14:paraId="75B729F8" w14:textId="77777777" w:rsidR="00BE36FB" w:rsidRPr="009B7B35" w:rsidRDefault="00BE36FB" w:rsidP="001A7107">
      <w:pPr>
        <w:pStyle w:val="Heading9"/>
        <w:numPr>
          <w:ilvl w:val="0"/>
          <w:numId w:val="0"/>
        </w:numPr>
        <w:rPr>
          <w:rFonts w:cs="Arial"/>
          <w:sz w:val="20"/>
        </w:rPr>
      </w:pPr>
      <w:r w:rsidRPr="009B7B35">
        <w:rPr>
          <w:rFonts w:cs="Arial"/>
          <w:sz w:val="20"/>
        </w:rPr>
        <w:t>Table SC4.1.1—Notation of decisions under section 89 of the Act</w:t>
      </w:r>
    </w:p>
    <w:tbl>
      <w:tblPr>
        <w:tblStyle w:val="Tablestyle"/>
        <w:tblW w:w="0" w:type="auto"/>
        <w:tblLayout w:type="fixed"/>
        <w:tblLook w:val="0620" w:firstRow="1" w:lastRow="0" w:firstColumn="0" w:lastColumn="0" w:noHBand="1" w:noVBand="1"/>
      </w:tblPr>
      <w:tblGrid>
        <w:gridCol w:w="1232"/>
        <w:gridCol w:w="1738"/>
        <w:gridCol w:w="4543"/>
        <w:gridCol w:w="1843"/>
      </w:tblGrid>
      <w:tr w:rsidR="00BE36FB" w:rsidRPr="009B7B35" w14:paraId="7D26C7E1"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1232" w:type="dxa"/>
          </w:tcPr>
          <w:p w14:paraId="0ED206C2" w14:textId="77777777" w:rsidR="00BE36FB" w:rsidRPr="009B7B35" w:rsidRDefault="00BE36FB" w:rsidP="001A7107">
            <w:pPr>
              <w:pStyle w:val="Tableheading"/>
              <w:rPr>
                <w:rFonts w:ascii="Arial" w:hAnsi="Arial" w:cs="Arial"/>
                <w:szCs w:val="20"/>
              </w:rPr>
            </w:pPr>
            <w:r w:rsidRPr="009B7B35">
              <w:rPr>
                <w:rFonts w:ascii="Arial" w:hAnsi="Arial" w:cs="Arial"/>
                <w:szCs w:val="20"/>
              </w:rPr>
              <w:t>Date of decision</w:t>
            </w:r>
          </w:p>
        </w:tc>
        <w:tc>
          <w:tcPr>
            <w:tcW w:w="1738" w:type="dxa"/>
          </w:tcPr>
          <w:p w14:paraId="2A59F71A" w14:textId="77777777" w:rsidR="00BE36FB" w:rsidRPr="009B7B35" w:rsidRDefault="00BE36FB" w:rsidP="001A7107">
            <w:pPr>
              <w:pStyle w:val="Tableheading"/>
              <w:rPr>
                <w:rFonts w:ascii="Arial" w:hAnsi="Arial" w:cs="Arial"/>
                <w:szCs w:val="20"/>
              </w:rPr>
            </w:pPr>
            <w:r w:rsidRPr="009B7B35">
              <w:rPr>
                <w:rFonts w:ascii="Arial" w:hAnsi="Arial" w:cs="Arial"/>
                <w:szCs w:val="20"/>
              </w:rPr>
              <w:t>Location (real property description)</w:t>
            </w:r>
          </w:p>
        </w:tc>
        <w:tc>
          <w:tcPr>
            <w:tcW w:w="4543" w:type="dxa"/>
          </w:tcPr>
          <w:p w14:paraId="586963E1" w14:textId="77777777" w:rsidR="00BE36FB" w:rsidRPr="009B7B35" w:rsidRDefault="00BE36FB" w:rsidP="001A7107">
            <w:pPr>
              <w:pStyle w:val="Tableheading"/>
              <w:rPr>
                <w:rFonts w:ascii="Arial" w:hAnsi="Arial" w:cs="Arial"/>
                <w:szCs w:val="20"/>
              </w:rPr>
            </w:pPr>
            <w:r w:rsidRPr="009B7B35">
              <w:rPr>
                <w:rFonts w:ascii="Arial" w:hAnsi="Arial" w:cs="Arial"/>
                <w:szCs w:val="20"/>
              </w:rPr>
              <w:t>Decision type</w:t>
            </w:r>
          </w:p>
        </w:tc>
        <w:tc>
          <w:tcPr>
            <w:tcW w:w="1843" w:type="dxa"/>
          </w:tcPr>
          <w:p w14:paraId="5E299ADC" w14:textId="77777777" w:rsidR="00BE36FB" w:rsidRPr="009B7B35" w:rsidRDefault="00BE36FB" w:rsidP="001A7107">
            <w:pPr>
              <w:pStyle w:val="Tableheading"/>
              <w:rPr>
                <w:rFonts w:ascii="Arial" w:hAnsi="Arial" w:cs="Arial"/>
                <w:szCs w:val="20"/>
              </w:rPr>
            </w:pPr>
            <w:r w:rsidRPr="009B7B35">
              <w:rPr>
                <w:rFonts w:ascii="Arial" w:hAnsi="Arial" w:cs="Arial"/>
                <w:szCs w:val="20"/>
              </w:rPr>
              <w:t>File/Map reference</w:t>
            </w:r>
          </w:p>
        </w:tc>
      </w:tr>
      <w:tr w:rsidR="00BE36FB" w:rsidRPr="009B7B35" w14:paraId="19CBD315" w14:textId="77777777" w:rsidTr="001A7107">
        <w:trPr>
          <w:cantSplit/>
        </w:trPr>
        <w:tc>
          <w:tcPr>
            <w:tcW w:w="1232" w:type="dxa"/>
          </w:tcPr>
          <w:p w14:paraId="53CEFA66" w14:textId="77777777" w:rsidR="00BE36FB" w:rsidRPr="009B7B35" w:rsidRDefault="00BE36FB" w:rsidP="001A7107">
            <w:pPr>
              <w:pStyle w:val="TableText"/>
              <w:rPr>
                <w:rFonts w:cs="Arial"/>
              </w:rPr>
            </w:pPr>
            <w:r w:rsidRPr="009B7B35">
              <w:rPr>
                <w:rFonts w:cs="Arial"/>
              </w:rPr>
              <w:t>14/06/2006</w:t>
            </w:r>
          </w:p>
        </w:tc>
        <w:tc>
          <w:tcPr>
            <w:tcW w:w="1738" w:type="dxa"/>
          </w:tcPr>
          <w:p w14:paraId="4668F80A" w14:textId="77777777" w:rsidR="00BE36FB" w:rsidRPr="009B7B35" w:rsidRDefault="00BE36FB" w:rsidP="001A7107">
            <w:pPr>
              <w:pStyle w:val="TableText"/>
              <w:rPr>
                <w:rFonts w:cs="Arial"/>
              </w:rPr>
            </w:pPr>
            <w:r w:rsidRPr="009B7B35">
              <w:rPr>
                <w:rFonts w:cs="Arial"/>
              </w:rPr>
              <w:t>7 RP905784</w:t>
            </w:r>
          </w:p>
          <w:p w14:paraId="4400816E" w14:textId="77777777" w:rsidR="00BE36FB" w:rsidRPr="009B7B35" w:rsidRDefault="00BE36FB" w:rsidP="001A7107">
            <w:pPr>
              <w:pStyle w:val="TableText"/>
              <w:rPr>
                <w:rFonts w:cs="Arial"/>
              </w:rPr>
            </w:pPr>
            <w:r w:rsidRPr="009B7B35">
              <w:rPr>
                <w:rFonts w:cs="Arial"/>
              </w:rPr>
              <w:t>1 SP228533</w:t>
            </w:r>
          </w:p>
          <w:p w14:paraId="62724515" w14:textId="77777777" w:rsidR="00BE36FB" w:rsidRPr="009B7B35" w:rsidRDefault="00BE36FB" w:rsidP="001A7107">
            <w:pPr>
              <w:pStyle w:val="TableText"/>
              <w:rPr>
                <w:rFonts w:cs="Arial"/>
              </w:rPr>
            </w:pPr>
            <w:r w:rsidRPr="009B7B35">
              <w:rPr>
                <w:rFonts w:cs="Arial"/>
              </w:rPr>
              <w:t>10 SP118590</w:t>
            </w:r>
          </w:p>
        </w:tc>
        <w:tc>
          <w:tcPr>
            <w:tcW w:w="4543" w:type="dxa"/>
          </w:tcPr>
          <w:p w14:paraId="54D11497" w14:textId="77777777" w:rsidR="00BE36FB" w:rsidRPr="009B7B35" w:rsidRDefault="00BE36FB" w:rsidP="001A7107">
            <w:pPr>
              <w:pStyle w:val="TableText"/>
              <w:rPr>
                <w:rFonts w:cs="Arial"/>
              </w:rPr>
            </w:pPr>
            <w:r w:rsidRPr="009B7B35">
              <w:rPr>
                <w:rFonts w:cs="Arial"/>
              </w:rPr>
              <w:t>Preliminary Approval Overriding the Planning Scheme S3.1.6 of IPA – Mixed Use Development Precinct, Higher Density Residential Precinct, Urban Residential Precinct, Rural Residential Precinct, Community Title Precinct, &amp; Open Space Precinct</w:t>
            </w:r>
          </w:p>
        </w:tc>
        <w:tc>
          <w:tcPr>
            <w:tcW w:w="1843" w:type="dxa"/>
          </w:tcPr>
          <w:p w14:paraId="740FB626" w14:textId="77777777" w:rsidR="00BE36FB" w:rsidRPr="009B7B35" w:rsidRDefault="00BE36FB" w:rsidP="001A7107">
            <w:pPr>
              <w:pStyle w:val="TableText"/>
              <w:rPr>
                <w:rFonts w:cs="Arial"/>
              </w:rPr>
            </w:pPr>
            <w:r w:rsidRPr="009B7B35">
              <w:rPr>
                <w:rFonts w:cs="Arial"/>
              </w:rPr>
              <w:t>DA/5850/2005</w:t>
            </w:r>
          </w:p>
        </w:tc>
      </w:tr>
      <w:tr w:rsidR="00BE36FB" w:rsidRPr="009B7B35" w14:paraId="678C95E4" w14:textId="77777777" w:rsidTr="001A7107">
        <w:trPr>
          <w:cantSplit/>
        </w:trPr>
        <w:tc>
          <w:tcPr>
            <w:tcW w:w="1232" w:type="dxa"/>
          </w:tcPr>
          <w:p w14:paraId="3B6D8919" w14:textId="77777777" w:rsidR="00BE36FB" w:rsidRPr="009B7B35" w:rsidRDefault="00BE36FB" w:rsidP="001A7107">
            <w:pPr>
              <w:pStyle w:val="TableText"/>
              <w:rPr>
                <w:rFonts w:cs="Arial"/>
              </w:rPr>
            </w:pPr>
            <w:r w:rsidRPr="009B7B35">
              <w:rPr>
                <w:rFonts w:cs="Arial"/>
              </w:rPr>
              <w:t>22/08/2007</w:t>
            </w:r>
          </w:p>
        </w:tc>
        <w:tc>
          <w:tcPr>
            <w:tcW w:w="1738" w:type="dxa"/>
          </w:tcPr>
          <w:p w14:paraId="74314DF5" w14:textId="77777777" w:rsidR="00BE36FB" w:rsidRPr="009B7B35" w:rsidRDefault="00BE36FB" w:rsidP="001A7107">
            <w:pPr>
              <w:pStyle w:val="TableText"/>
              <w:rPr>
                <w:rFonts w:cs="Arial"/>
              </w:rPr>
            </w:pPr>
            <w:r w:rsidRPr="009B7B35">
              <w:rPr>
                <w:rFonts w:cs="Arial"/>
              </w:rPr>
              <w:t>981 SP250639</w:t>
            </w:r>
          </w:p>
        </w:tc>
        <w:tc>
          <w:tcPr>
            <w:tcW w:w="4543" w:type="dxa"/>
          </w:tcPr>
          <w:p w14:paraId="2288B3F4" w14:textId="77777777" w:rsidR="00BE36FB" w:rsidRPr="009B7B35" w:rsidRDefault="00BE36FB" w:rsidP="001A7107">
            <w:pPr>
              <w:pStyle w:val="TableText"/>
              <w:rPr>
                <w:rFonts w:cs="Arial"/>
              </w:rPr>
            </w:pPr>
            <w:r w:rsidRPr="009B7B35">
              <w:rPr>
                <w:rFonts w:cs="Arial"/>
              </w:rPr>
              <w:t>Preliminary Approval Overriding the Planning Scheme S3.1.6 of IPA – Material Change of Use for Residential Subdivision &amp; Reconfiguring a Lot (Stages 3 to 24 – 3 Lots into 544 Lots) &amp; Development Permit For Reconfiguring a Lot (Stages 1 &amp; 2 – 2 Lots into 62 Lots)</w:t>
            </w:r>
          </w:p>
        </w:tc>
        <w:tc>
          <w:tcPr>
            <w:tcW w:w="1843" w:type="dxa"/>
          </w:tcPr>
          <w:p w14:paraId="716C6C88" w14:textId="77777777" w:rsidR="00BE36FB" w:rsidRPr="009B7B35" w:rsidRDefault="00BE36FB" w:rsidP="001A7107">
            <w:pPr>
              <w:pStyle w:val="TableText"/>
              <w:rPr>
                <w:rFonts w:cs="Arial"/>
              </w:rPr>
            </w:pPr>
            <w:r w:rsidRPr="009B7B35">
              <w:rPr>
                <w:rFonts w:cs="Arial"/>
              </w:rPr>
              <w:t>DA/6696/2005</w:t>
            </w:r>
          </w:p>
        </w:tc>
      </w:tr>
      <w:tr w:rsidR="00BE36FB" w:rsidRPr="009B7B35" w14:paraId="53CDAC1F" w14:textId="77777777" w:rsidTr="001A7107">
        <w:trPr>
          <w:cantSplit/>
        </w:trPr>
        <w:tc>
          <w:tcPr>
            <w:tcW w:w="1232" w:type="dxa"/>
          </w:tcPr>
          <w:p w14:paraId="175F28AB" w14:textId="77777777" w:rsidR="00BE36FB" w:rsidRPr="009B7B35" w:rsidRDefault="00BE36FB" w:rsidP="001A7107">
            <w:pPr>
              <w:pStyle w:val="TableText"/>
              <w:rPr>
                <w:rFonts w:cs="Arial"/>
              </w:rPr>
            </w:pPr>
            <w:r w:rsidRPr="009B7B35">
              <w:rPr>
                <w:rFonts w:cs="Arial"/>
              </w:rPr>
              <w:t>27/02/2008</w:t>
            </w:r>
          </w:p>
        </w:tc>
        <w:tc>
          <w:tcPr>
            <w:tcW w:w="1738" w:type="dxa"/>
          </w:tcPr>
          <w:p w14:paraId="38A7DD9F" w14:textId="77777777" w:rsidR="00BE36FB" w:rsidRPr="009B7B35" w:rsidRDefault="00BE36FB" w:rsidP="001A7107">
            <w:pPr>
              <w:pStyle w:val="TableText"/>
              <w:rPr>
                <w:rFonts w:cs="Arial"/>
              </w:rPr>
            </w:pPr>
            <w:r w:rsidRPr="009B7B35">
              <w:rPr>
                <w:rFonts w:cs="Arial"/>
              </w:rPr>
              <w:t>3 SP253021</w:t>
            </w:r>
          </w:p>
          <w:p w14:paraId="1AEDEAC4" w14:textId="77777777" w:rsidR="00BE36FB" w:rsidRPr="009B7B35" w:rsidRDefault="00BE36FB" w:rsidP="001A7107">
            <w:pPr>
              <w:pStyle w:val="TableText"/>
              <w:rPr>
                <w:rFonts w:cs="Arial"/>
              </w:rPr>
            </w:pPr>
            <w:r w:rsidRPr="009B7B35">
              <w:rPr>
                <w:rFonts w:cs="Arial"/>
              </w:rPr>
              <w:t>1 SP231539</w:t>
            </w:r>
          </w:p>
          <w:p w14:paraId="3454180D" w14:textId="77777777" w:rsidR="00BE36FB" w:rsidRPr="009B7B35" w:rsidRDefault="00BE36FB" w:rsidP="001A7107">
            <w:pPr>
              <w:pStyle w:val="TableText"/>
              <w:rPr>
                <w:rFonts w:cs="Arial"/>
              </w:rPr>
            </w:pPr>
            <w:r w:rsidRPr="009B7B35">
              <w:rPr>
                <w:rFonts w:cs="Arial"/>
              </w:rPr>
              <w:t>3 SP100337</w:t>
            </w:r>
          </w:p>
        </w:tc>
        <w:tc>
          <w:tcPr>
            <w:tcW w:w="4543" w:type="dxa"/>
          </w:tcPr>
          <w:p w14:paraId="192B8311" w14:textId="77777777" w:rsidR="00BE36FB" w:rsidRPr="009B7B35" w:rsidRDefault="00BE36FB" w:rsidP="001A7107">
            <w:pPr>
              <w:pStyle w:val="TableText"/>
              <w:rPr>
                <w:rFonts w:cs="Arial"/>
              </w:rPr>
            </w:pPr>
            <w:r w:rsidRPr="009B7B35">
              <w:rPr>
                <w:rFonts w:cs="Arial"/>
              </w:rPr>
              <w:t>Preliminary Approval Overriding the Planning Scheme S3.1.6 of IPA –Material Change of Use for a Residential Subdivision &amp; Reconfiguring a Lot (1 into 102)</w:t>
            </w:r>
          </w:p>
        </w:tc>
        <w:tc>
          <w:tcPr>
            <w:tcW w:w="1843" w:type="dxa"/>
          </w:tcPr>
          <w:p w14:paraId="354FDC92" w14:textId="77777777" w:rsidR="00BE36FB" w:rsidRPr="009B7B35" w:rsidRDefault="00BE36FB" w:rsidP="001A7107">
            <w:pPr>
              <w:pStyle w:val="TableText"/>
              <w:rPr>
                <w:rFonts w:cs="Arial"/>
              </w:rPr>
            </w:pPr>
            <w:r w:rsidRPr="009B7B35">
              <w:rPr>
                <w:rFonts w:cs="Arial"/>
              </w:rPr>
              <w:t>DA/7962/2006</w:t>
            </w:r>
          </w:p>
        </w:tc>
      </w:tr>
      <w:tr w:rsidR="00BE36FB" w:rsidRPr="009B7B35" w14:paraId="13CE65C7" w14:textId="77777777" w:rsidTr="001A7107">
        <w:trPr>
          <w:cantSplit/>
        </w:trPr>
        <w:tc>
          <w:tcPr>
            <w:tcW w:w="1232" w:type="dxa"/>
          </w:tcPr>
          <w:p w14:paraId="14510E5C" w14:textId="77777777" w:rsidR="00BE36FB" w:rsidRPr="009B7B35" w:rsidRDefault="00BE36FB" w:rsidP="001A7107">
            <w:pPr>
              <w:pStyle w:val="TableText"/>
              <w:rPr>
                <w:rFonts w:cs="Arial"/>
              </w:rPr>
            </w:pPr>
            <w:r w:rsidRPr="009B7B35">
              <w:rPr>
                <w:rFonts w:cs="Arial"/>
              </w:rPr>
              <w:t>7/10/2009</w:t>
            </w:r>
          </w:p>
        </w:tc>
        <w:tc>
          <w:tcPr>
            <w:tcW w:w="1738" w:type="dxa"/>
          </w:tcPr>
          <w:p w14:paraId="04A0A4E2" w14:textId="77777777" w:rsidR="00BE36FB" w:rsidRPr="009B7B35" w:rsidRDefault="00BE36FB" w:rsidP="001A7107">
            <w:pPr>
              <w:pStyle w:val="TableText"/>
              <w:rPr>
                <w:rFonts w:cs="Arial"/>
              </w:rPr>
            </w:pPr>
            <w:r w:rsidRPr="009B7B35">
              <w:rPr>
                <w:rFonts w:cs="Arial"/>
              </w:rPr>
              <w:t>1 SP150256</w:t>
            </w:r>
          </w:p>
          <w:p w14:paraId="21E23431" w14:textId="77777777" w:rsidR="00BE36FB" w:rsidRPr="009B7B35" w:rsidRDefault="00BE36FB" w:rsidP="001A7107">
            <w:pPr>
              <w:pStyle w:val="TableText"/>
              <w:rPr>
                <w:rFonts w:cs="Arial"/>
              </w:rPr>
            </w:pPr>
            <w:r w:rsidRPr="009B7B35">
              <w:rPr>
                <w:rFonts w:cs="Arial"/>
              </w:rPr>
              <w:t>3 SP150256</w:t>
            </w:r>
          </w:p>
          <w:p w14:paraId="7DF8F737" w14:textId="77777777" w:rsidR="00BE36FB" w:rsidRPr="009B7B35" w:rsidRDefault="00BE36FB" w:rsidP="001A7107">
            <w:pPr>
              <w:pStyle w:val="TableText"/>
              <w:rPr>
                <w:rFonts w:cs="Arial"/>
              </w:rPr>
            </w:pPr>
            <w:r w:rsidRPr="009B7B35">
              <w:rPr>
                <w:rFonts w:cs="Arial"/>
              </w:rPr>
              <w:t xml:space="preserve">10 SP171136 </w:t>
            </w:r>
          </w:p>
          <w:p w14:paraId="5330FAC1" w14:textId="77777777" w:rsidR="00BE36FB" w:rsidRPr="009B7B35" w:rsidRDefault="00BE36FB" w:rsidP="001A7107">
            <w:pPr>
              <w:pStyle w:val="TableText"/>
              <w:rPr>
                <w:rFonts w:cs="Arial"/>
              </w:rPr>
            </w:pPr>
            <w:r w:rsidRPr="009B7B35">
              <w:rPr>
                <w:rFonts w:cs="Arial"/>
              </w:rPr>
              <w:t>35 CTN1238</w:t>
            </w:r>
          </w:p>
        </w:tc>
        <w:tc>
          <w:tcPr>
            <w:tcW w:w="4543" w:type="dxa"/>
          </w:tcPr>
          <w:p w14:paraId="1910AF08" w14:textId="77777777" w:rsidR="00BE36FB" w:rsidRPr="009B7B35" w:rsidRDefault="00BE36FB" w:rsidP="001A7107">
            <w:pPr>
              <w:pStyle w:val="TableText"/>
              <w:rPr>
                <w:rFonts w:cs="Arial"/>
              </w:rPr>
            </w:pPr>
            <w:r w:rsidRPr="009B7B35">
              <w:rPr>
                <w:rFonts w:cs="Arial"/>
              </w:rPr>
              <w:t>Preliminary Approval Overriding the Planning Scheme – Boyne Island Community Resort</w:t>
            </w:r>
          </w:p>
        </w:tc>
        <w:tc>
          <w:tcPr>
            <w:tcW w:w="1843" w:type="dxa"/>
          </w:tcPr>
          <w:p w14:paraId="3017957B" w14:textId="77777777" w:rsidR="00BE36FB" w:rsidRPr="009B7B35" w:rsidRDefault="00BE36FB" w:rsidP="001A7107">
            <w:pPr>
              <w:pStyle w:val="TableText"/>
              <w:rPr>
                <w:rFonts w:cs="Arial"/>
              </w:rPr>
            </w:pPr>
            <w:r w:rsidRPr="009B7B35">
              <w:rPr>
                <w:rFonts w:cs="Arial"/>
              </w:rPr>
              <w:t>DA/20549/2007</w:t>
            </w:r>
          </w:p>
        </w:tc>
      </w:tr>
      <w:tr w:rsidR="00BE36FB" w:rsidRPr="009B7B35" w14:paraId="65F83B7D" w14:textId="77777777" w:rsidTr="001A7107">
        <w:trPr>
          <w:cantSplit/>
        </w:trPr>
        <w:tc>
          <w:tcPr>
            <w:tcW w:w="1232" w:type="dxa"/>
          </w:tcPr>
          <w:p w14:paraId="702351D1" w14:textId="77777777" w:rsidR="00BE36FB" w:rsidRPr="009B7B35" w:rsidRDefault="00BE36FB" w:rsidP="001A7107">
            <w:pPr>
              <w:pStyle w:val="TableText"/>
              <w:rPr>
                <w:rFonts w:cs="Arial"/>
              </w:rPr>
            </w:pPr>
            <w:r w:rsidRPr="009B7B35">
              <w:rPr>
                <w:rFonts w:cs="Arial"/>
              </w:rPr>
              <w:t>1/12/2009</w:t>
            </w:r>
          </w:p>
        </w:tc>
        <w:tc>
          <w:tcPr>
            <w:tcW w:w="1738" w:type="dxa"/>
          </w:tcPr>
          <w:p w14:paraId="1606A68E" w14:textId="77777777" w:rsidR="00BE36FB" w:rsidRPr="009B7B35" w:rsidRDefault="00BE36FB" w:rsidP="001A7107">
            <w:pPr>
              <w:pStyle w:val="TableText"/>
              <w:rPr>
                <w:rFonts w:cs="Arial"/>
              </w:rPr>
            </w:pPr>
            <w:r w:rsidRPr="009B7B35">
              <w:rPr>
                <w:rFonts w:cs="Arial"/>
              </w:rPr>
              <w:t>900 SP144790</w:t>
            </w:r>
          </w:p>
          <w:p w14:paraId="18305128" w14:textId="77777777" w:rsidR="00BE36FB" w:rsidRPr="009B7B35" w:rsidRDefault="00BE36FB" w:rsidP="001A7107">
            <w:pPr>
              <w:pStyle w:val="TableText"/>
              <w:rPr>
                <w:rFonts w:cs="Arial"/>
              </w:rPr>
            </w:pPr>
            <w:r w:rsidRPr="009B7B35">
              <w:rPr>
                <w:rFonts w:cs="Arial"/>
              </w:rPr>
              <w:t xml:space="preserve">2 RP899392 </w:t>
            </w:r>
          </w:p>
          <w:p w14:paraId="10A62E85" w14:textId="77777777" w:rsidR="00BE36FB" w:rsidRPr="009B7B35" w:rsidRDefault="00BE36FB" w:rsidP="001A7107">
            <w:pPr>
              <w:pStyle w:val="TableText"/>
              <w:rPr>
                <w:rFonts w:cs="Arial"/>
              </w:rPr>
            </w:pPr>
            <w:r w:rsidRPr="009B7B35">
              <w:rPr>
                <w:rFonts w:cs="Arial"/>
              </w:rPr>
              <w:t>911 SP250657</w:t>
            </w:r>
          </w:p>
          <w:p w14:paraId="525366A1" w14:textId="77777777" w:rsidR="00BE36FB" w:rsidRPr="009B7B35" w:rsidRDefault="00BE36FB" w:rsidP="001A7107">
            <w:pPr>
              <w:pStyle w:val="TableText"/>
              <w:rPr>
                <w:rFonts w:cs="Arial"/>
              </w:rPr>
            </w:pPr>
            <w:r w:rsidRPr="009B7B35">
              <w:rPr>
                <w:rFonts w:cs="Arial"/>
              </w:rPr>
              <w:t>243 SP174113</w:t>
            </w:r>
          </w:p>
          <w:p w14:paraId="6494FECF" w14:textId="77777777" w:rsidR="00BE36FB" w:rsidRPr="009B7B35" w:rsidRDefault="00BE36FB" w:rsidP="001A7107">
            <w:pPr>
              <w:pStyle w:val="TableText"/>
              <w:rPr>
                <w:rFonts w:cs="Arial"/>
              </w:rPr>
            </w:pPr>
            <w:r w:rsidRPr="009B7B35">
              <w:rPr>
                <w:rFonts w:cs="Arial"/>
              </w:rPr>
              <w:t>301 SP174113</w:t>
            </w:r>
          </w:p>
        </w:tc>
        <w:tc>
          <w:tcPr>
            <w:tcW w:w="4543" w:type="dxa"/>
          </w:tcPr>
          <w:p w14:paraId="4300409D" w14:textId="77777777" w:rsidR="00BE36FB" w:rsidRPr="009B7B35" w:rsidRDefault="00BE36FB" w:rsidP="001A7107">
            <w:pPr>
              <w:pStyle w:val="TableText"/>
              <w:rPr>
                <w:rFonts w:cs="Arial"/>
              </w:rPr>
            </w:pPr>
            <w:r w:rsidRPr="009B7B35">
              <w:rPr>
                <w:rFonts w:cs="Arial"/>
              </w:rPr>
              <w:t>Preliminary Approval Overriding the Planning Scheme S3.1.6 of IPA –Material Change of Use – Residential Subdivision in Urban Expansion &amp; Rural Zones; Staged Reconfiguring a Lot (5 into 513) and Multiple Unit Residential Over 5 Key Sites (Total 233 Units)</w:t>
            </w:r>
          </w:p>
        </w:tc>
        <w:tc>
          <w:tcPr>
            <w:tcW w:w="1843" w:type="dxa"/>
          </w:tcPr>
          <w:p w14:paraId="7BBB92B6" w14:textId="77777777" w:rsidR="00BE36FB" w:rsidRPr="009B7B35" w:rsidRDefault="00BE36FB" w:rsidP="001A7107">
            <w:pPr>
              <w:pStyle w:val="TableText"/>
              <w:rPr>
                <w:rFonts w:cs="Arial"/>
              </w:rPr>
            </w:pPr>
            <w:r w:rsidRPr="009B7B35">
              <w:rPr>
                <w:rFonts w:cs="Arial"/>
              </w:rPr>
              <w:t>DA/10762/2008</w:t>
            </w:r>
          </w:p>
        </w:tc>
      </w:tr>
      <w:tr w:rsidR="00BE36FB" w:rsidRPr="009B7B35" w14:paraId="708D982A" w14:textId="77777777" w:rsidTr="001A7107">
        <w:trPr>
          <w:cantSplit/>
        </w:trPr>
        <w:tc>
          <w:tcPr>
            <w:tcW w:w="1232" w:type="dxa"/>
          </w:tcPr>
          <w:p w14:paraId="7F0F0F7C" w14:textId="77777777" w:rsidR="00BE36FB" w:rsidRPr="009B7B35" w:rsidRDefault="00BE36FB" w:rsidP="001A7107">
            <w:pPr>
              <w:pStyle w:val="TableText"/>
              <w:rPr>
                <w:rFonts w:cs="Arial"/>
              </w:rPr>
            </w:pPr>
            <w:r w:rsidRPr="009B7B35">
              <w:rPr>
                <w:rFonts w:cs="Arial"/>
              </w:rPr>
              <w:t>8/03/2010</w:t>
            </w:r>
          </w:p>
        </w:tc>
        <w:tc>
          <w:tcPr>
            <w:tcW w:w="1738" w:type="dxa"/>
          </w:tcPr>
          <w:p w14:paraId="7FD20985" w14:textId="77777777" w:rsidR="00BE36FB" w:rsidRPr="009B7B35" w:rsidRDefault="00BE36FB" w:rsidP="001A7107">
            <w:pPr>
              <w:pStyle w:val="TableText"/>
              <w:rPr>
                <w:rFonts w:cs="Arial"/>
              </w:rPr>
            </w:pPr>
            <w:r w:rsidRPr="009B7B35">
              <w:rPr>
                <w:rFonts w:cs="Arial"/>
              </w:rPr>
              <w:t>9 FD 803715</w:t>
            </w:r>
          </w:p>
        </w:tc>
        <w:tc>
          <w:tcPr>
            <w:tcW w:w="4543" w:type="dxa"/>
          </w:tcPr>
          <w:p w14:paraId="37C42EB9" w14:textId="77777777" w:rsidR="00BE36FB" w:rsidRPr="009B7B35" w:rsidRDefault="00BE36FB" w:rsidP="001A7107">
            <w:pPr>
              <w:pStyle w:val="TableText"/>
              <w:rPr>
                <w:rFonts w:cs="Arial"/>
              </w:rPr>
            </w:pPr>
            <w:r w:rsidRPr="009B7B35">
              <w:rPr>
                <w:rFonts w:cs="Arial"/>
              </w:rPr>
              <w:t>Duplex (Multiple Dwelling) Assessment Against Superseded Planning Scheme Prior Amendment and Adoption of Policy 4.17 on 21 August 2007</w:t>
            </w:r>
          </w:p>
        </w:tc>
        <w:tc>
          <w:tcPr>
            <w:tcW w:w="1843" w:type="dxa"/>
          </w:tcPr>
          <w:p w14:paraId="7C414F56" w14:textId="77777777" w:rsidR="00BE36FB" w:rsidRPr="009B7B35" w:rsidRDefault="00BE36FB" w:rsidP="001A7107">
            <w:pPr>
              <w:pStyle w:val="TableText"/>
              <w:rPr>
                <w:rFonts w:cs="Arial"/>
              </w:rPr>
            </w:pPr>
            <w:r w:rsidRPr="009B7B35">
              <w:rPr>
                <w:rFonts w:cs="Arial"/>
              </w:rPr>
              <w:t>DA/44444/2008</w:t>
            </w:r>
          </w:p>
        </w:tc>
      </w:tr>
      <w:tr w:rsidR="00BE36FB" w:rsidRPr="009B7B35" w14:paraId="53986EA1" w14:textId="77777777" w:rsidTr="001A7107">
        <w:trPr>
          <w:cantSplit/>
        </w:trPr>
        <w:tc>
          <w:tcPr>
            <w:tcW w:w="1232" w:type="dxa"/>
          </w:tcPr>
          <w:p w14:paraId="03138244" w14:textId="77777777" w:rsidR="00BE36FB" w:rsidRPr="009B7B35" w:rsidRDefault="00BE36FB" w:rsidP="001A7107">
            <w:pPr>
              <w:pStyle w:val="TableText"/>
              <w:rPr>
                <w:rFonts w:cs="Arial"/>
              </w:rPr>
            </w:pPr>
            <w:r w:rsidRPr="009B7B35">
              <w:rPr>
                <w:rFonts w:cs="Arial"/>
              </w:rPr>
              <w:t>9/06/2010</w:t>
            </w:r>
          </w:p>
        </w:tc>
        <w:tc>
          <w:tcPr>
            <w:tcW w:w="1738" w:type="dxa"/>
          </w:tcPr>
          <w:p w14:paraId="1E7919AF" w14:textId="77777777" w:rsidR="00BE36FB" w:rsidRPr="009B7B35" w:rsidRDefault="00BE36FB" w:rsidP="001A7107">
            <w:pPr>
              <w:pStyle w:val="TableText"/>
              <w:rPr>
                <w:rFonts w:cs="Arial"/>
              </w:rPr>
            </w:pPr>
            <w:r w:rsidRPr="009B7B35">
              <w:rPr>
                <w:rFonts w:cs="Arial"/>
              </w:rPr>
              <w:t>600 SP 261769</w:t>
            </w:r>
          </w:p>
        </w:tc>
        <w:tc>
          <w:tcPr>
            <w:tcW w:w="4543" w:type="dxa"/>
          </w:tcPr>
          <w:p w14:paraId="26DB2426" w14:textId="77777777" w:rsidR="00BE36FB" w:rsidRPr="009B7B35" w:rsidRDefault="00BE36FB" w:rsidP="001A7107">
            <w:pPr>
              <w:pStyle w:val="TableText"/>
              <w:rPr>
                <w:rFonts w:cs="Arial"/>
              </w:rPr>
            </w:pPr>
            <w:r w:rsidRPr="009B7B35">
              <w:rPr>
                <w:rFonts w:cs="Arial"/>
              </w:rPr>
              <w:t>Residential Subdivision and Reconfiguring a lot (1 into 134) &amp; Operational Works (clearing of native vegetation) under the Superseded Planning Scheme</w:t>
            </w:r>
          </w:p>
        </w:tc>
        <w:tc>
          <w:tcPr>
            <w:tcW w:w="1843" w:type="dxa"/>
          </w:tcPr>
          <w:p w14:paraId="40067A8E" w14:textId="77777777" w:rsidR="00BE36FB" w:rsidRPr="009B7B35" w:rsidRDefault="00BE36FB" w:rsidP="001A7107">
            <w:pPr>
              <w:pStyle w:val="TableText"/>
              <w:rPr>
                <w:rFonts w:cs="Arial"/>
              </w:rPr>
            </w:pPr>
            <w:r w:rsidRPr="009B7B35">
              <w:rPr>
                <w:rFonts w:cs="Arial"/>
              </w:rPr>
              <w:t>DA/10817/2008</w:t>
            </w:r>
          </w:p>
        </w:tc>
      </w:tr>
      <w:tr w:rsidR="00BE36FB" w:rsidRPr="009B7B35" w14:paraId="3DC822FA" w14:textId="77777777" w:rsidTr="001A7107">
        <w:trPr>
          <w:cantSplit/>
        </w:trPr>
        <w:tc>
          <w:tcPr>
            <w:tcW w:w="1232" w:type="dxa"/>
          </w:tcPr>
          <w:p w14:paraId="19D8F68D" w14:textId="77777777" w:rsidR="00BE36FB" w:rsidRPr="009B7B35" w:rsidRDefault="00BE36FB" w:rsidP="001A7107">
            <w:pPr>
              <w:pStyle w:val="TableText"/>
              <w:rPr>
                <w:rFonts w:cs="Arial"/>
              </w:rPr>
            </w:pPr>
            <w:r w:rsidRPr="009B7B35">
              <w:rPr>
                <w:rFonts w:cs="Arial"/>
              </w:rPr>
              <w:t>2/07/2010</w:t>
            </w:r>
          </w:p>
        </w:tc>
        <w:tc>
          <w:tcPr>
            <w:tcW w:w="1738" w:type="dxa"/>
          </w:tcPr>
          <w:p w14:paraId="33772D74" w14:textId="77777777" w:rsidR="00BE36FB" w:rsidRPr="009B7B35" w:rsidRDefault="00BE36FB" w:rsidP="001A7107">
            <w:pPr>
              <w:pStyle w:val="TableText"/>
              <w:rPr>
                <w:rFonts w:cs="Arial"/>
              </w:rPr>
            </w:pPr>
            <w:r w:rsidRPr="009B7B35">
              <w:rPr>
                <w:rFonts w:cs="Arial"/>
              </w:rPr>
              <w:t>1 RP601689</w:t>
            </w:r>
          </w:p>
        </w:tc>
        <w:tc>
          <w:tcPr>
            <w:tcW w:w="4543" w:type="dxa"/>
          </w:tcPr>
          <w:p w14:paraId="7E1797C0" w14:textId="77777777" w:rsidR="00BE36FB" w:rsidRPr="009B7B35" w:rsidRDefault="00BE36FB" w:rsidP="001A7107">
            <w:pPr>
              <w:pStyle w:val="TableText"/>
              <w:rPr>
                <w:rFonts w:cs="Arial"/>
              </w:rPr>
            </w:pPr>
            <w:r w:rsidRPr="009B7B35">
              <w:rPr>
                <w:rFonts w:cs="Arial"/>
              </w:rPr>
              <w:t>Preliminary Approval Overriding the Planning Scheme – Material Change of Use for Industry (Low Impact) and Reconfiguring a Lot  (1 into 44) Local Industry Estate</w:t>
            </w:r>
          </w:p>
        </w:tc>
        <w:tc>
          <w:tcPr>
            <w:tcW w:w="1843" w:type="dxa"/>
          </w:tcPr>
          <w:p w14:paraId="6A258E11" w14:textId="77777777" w:rsidR="00BE36FB" w:rsidRPr="009B7B35" w:rsidRDefault="00BE36FB" w:rsidP="001A7107">
            <w:pPr>
              <w:pStyle w:val="TableText"/>
              <w:rPr>
                <w:rFonts w:cs="Arial"/>
              </w:rPr>
            </w:pPr>
            <w:r w:rsidRPr="009B7B35">
              <w:rPr>
                <w:rFonts w:cs="Arial"/>
              </w:rPr>
              <w:t>DA/20729/2009</w:t>
            </w:r>
          </w:p>
        </w:tc>
      </w:tr>
      <w:tr w:rsidR="00BE36FB" w:rsidRPr="009B7B35" w14:paraId="515834F4" w14:textId="77777777" w:rsidTr="001A7107">
        <w:trPr>
          <w:cantSplit/>
        </w:trPr>
        <w:tc>
          <w:tcPr>
            <w:tcW w:w="1232" w:type="dxa"/>
          </w:tcPr>
          <w:p w14:paraId="41F2B3E0" w14:textId="77777777" w:rsidR="00BE36FB" w:rsidRPr="009B7B35" w:rsidRDefault="00BE36FB" w:rsidP="001A7107">
            <w:pPr>
              <w:pStyle w:val="TableText"/>
              <w:rPr>
                <w:rFonts w:cs="Arial"/>
              </w:rPr>
            </w:pPr>
            <w:r w:rsidRPr="009B7B35">
              <w:rPr>
                <w:rFonts w:cs="Arial"/>
              </w:rPr>
              <w:t>29/10/2010</w:t>
            </w:r>
          </w:p>
        </w:tc>
        <w:tc>
          <w:tcPr>
            <w:tcW w:w="1738" w:type="dxa"/>
          </w:tcPr>
          <w:p w14:paraId="16EB772A" w14:textId="77777777" w:rsidR="00BE36FB" w:rsidRPr="009B7B35" w:rsidRDefault="00BE36FB" w:rsidP="001A7107">
            <w:pPr>
              <w:pStyle w:val="TableText"/>
              <w:rPr>
                <w:rFonts w:cs="Arial"/>
              </w:rPr>
            </w:pPr>
            <w:r w:rsidRPr="009B7B35">
              <w:rPr>
                <w:rFonts w:cs="Arial"/>
              </w:rPr>
              <w:t>1 RP619033</w:t>
            </w:r>
          </w:p>
          <w:p w14:paraId="6247311D" w14:textId="77777777" w:rsidR="00BE36FB" w:rsidRPr="009B7B35" w:rsidRDefault="00BE36FB" w:rsidP="001A7107">
            <w:pPr>
              <w:pStyle w:val="TableText"/>
              <w:rPr>
                <w:rFonts w:cs="Arial"/>
              </w:rPr>
            </w:pPr>
            <w:r w:rsidRPr="009B7B35">
              <w:rPr>
                <w:rFonts w:cs="Arial"/>
              </w:rPr>
              <w:t>5 RP 620667</w:t>
            </w:r>
          </w:p>
        </w:tc>
        <w:tc>
          <w:tcPr>
            <w:tcW w:w="4543" w:type="dxa"/>
          </w:tcPr>
          <w:p w14:paraId="603421D7" w14:textId="77777777" w:rsidR="00BE36FB" w:rsidRPr="009B7B35" w:rsidRDefault="00BE36FB" w:rsidP="001A7107">
            <w:pPr>
              <w:pStyle w:val="TableText"/>
              <w:rPr>
                <w:rFonts w:cs="Arial"/>
              </w:rPr>
            </w:pPr>
            <w:r w:rsidRPr="009B7B35">
              <w:rPr>
                <w:rFonts w:cs="Arial"/>
              </w:rPr>
              <w:t>Preliminary Approval Overriding the Planning Scheme – Material Change of Use for Boyne Tannum Precinct Mixed Use Development</w:t>
            </w:r>
          </w:p>
        </w:tc>
        <w:tc>
          <w:tcPr>
            <w:tcW w:w="1843" w:type="dxa"/>
          </w:tcPr>
          <w:p w14:paraId="4B031C0E" w14:textId="77777777" w:rsidR="00BE36FB" w:rsidRPr="009B7B35" w:rsidRDefault="00BE36FB" w:rsidP="001A7107">
            <w:pPr>
              <w:pStyle w:val="TableText"/>
              <w:rPr>
                <w:rFonts w:cs="Arial"/>
              </w:rPr>
            </w:pPr>
            <w:r w:rsidRPr="009B7B35">
              <w:rPr>
                <w:rFonts w:cs="Arial"/>
              </w:rPr>
              <w:t>DA/20701/2008</w:t>
            </w:r>
          </w:p>
        </w:tc>
      </w:tr>
      <w:tr w:rsidR="00BE36FB" w:rsidRPr="009B7B35" w14:paraId="0881B6B1" w14:textId="77777777" w:rsidTr="001A7107">
        <w:trPr>
          <w:cantSplit/>
        </w:trPr>
        <w:tc>
          <w:tcPr>
            <w:tcW w:w="1232" w:type="dxa"/>
          </w:tcPr>
          <w:p w14:paraId="3FF455BF" w14:textId="77777777" w:rsidR="00BE36FB" w:rsidRPr="009B7B35" w:rsidRDefault="00BE36FB" w:rsidP="001A7107">
            <w:pPr>
              <w:pStyle w:val="TableText"/>
              <w:rPr>
                <w:rFonts w:cs="Arial"/>
              </w:rPr>
            </w:pPr>
            <w:r w:rsidRPr="009B7B35">
              <w:rPr>
                <w:rFonts w:cs="Arial"/>
              </w:rPr>
              <w:t>05/07/2011</w:t>
            </w:r>
          </w:p>
        </w:tc>
        <w:tc>
          <w:tcPr>
            <w:tcW w:w="1738" w:type="dxa"/>
          </w:tcPr>
          <w:p w14:paraId="1B8A69D0" w14:textId="77777777" w:rsidR="00BE36FB" w:rsidRPr="009B7B35" w:rsidRDefault="00BE36FB" w:rsidP="001A7107">
            <w:pPr>
              <w:pStyle w:val="TableText"/>
              <w:rPr>
                <w:rFonts w:cs="Arial"/>
              </w:rPr>
            </w:pPr>
            <w:r w:rsidRPr="009B7B35">
              <w:rPr>
                <w:rFonts w:cs="Arial"/>
              </w:rPr>
              <w:t>61 RP608758</w:t>
            </w:r>
          </w:p>
          <w:p w14:paraId="280A19D8" w14:textId="77777777" w:rsidR="00BE36FB" w:rsidRPr="009B7B35" w:rsidRDefault="00BE36FB" w:rsidP="001A7107">
            <w:pPr>
              <w:pStyle w:val="TableText"/>
              <w:rPr>
                <w:rFonts w:cs="Arial"/>
              </w:rPr>
            </w:pPr>
            <w:r w:rsidRPr="009B7B35">
              <w:rPr>
                <w:rFonts w:cs="Arial"/>
              </w:rPr>
              <w:t xml:space="preserve">10 RP853988 </w:t>
            </w:r>
          </w:p>
          <w:p w14:paraId="268E3FAC" w14:textId="77777777" w:rsidR="00BE36FB" w:rsidRPr="009B7B35" w:rsidRDefault="00BE36FB" w:rsidP="001A7107">
            <w:pPr>
              <w:pStyle w:val="TableText"/>
              <w:rPr>
                <w:rFonts w:cs="Arial"/>
              </w:rPr>
            </w:pPr>
            <w:r w:rsidRPr="009B7B35">
              <w:rPr>
                <w:rFonts w:cs="Arial"/>
              </w:rPr>
              <w:t>78 RP610994</w:t>
            </w:r>
          </w:p>
          <w:p w14:paraId="3A2D78E9" w14:textId="77777777" w:rsidR="00BE36FB" w:rsidRPr="009B7B35" w:rsidRDefault="00BE36FB" w:rsidP="001A7107">
            <w:pPr>
              <w:pStyle w:val="TableText"/>
              <w:rPr>
                <w:rFonts w:cs="Arial"/>
              </w:rPr>
            </w:pPr>
            <w:r w:rsidRPr="009B7B35">
              <w:rPr>
                <w:rFonts w:cs="Arial"/>
              </w:rPr>
              <w:t>79 RP610994</w:t>
            </w:r>
          </w:p>
          <w:p w14:paraId="7D844ACC" w14:textId="77777777" w:rsidR="00BE36FB" w:rsidRPr="009B7B35" w:rsidRDefault="00BE36FB" w:rsidP="001A7107">
            <w:pPr>
              <w:pStyle w:val="TableText"/>
              <w:rPr>
                <w:rFonts w:cs="Arial"/>
              </w:rPr>
            </w:pPr>
            <w:r w:rsidRPr="009B7B35">
              <w:rPr>
                <w:rFonts w:cs="Arial"/>
              </w:rPr>
              <w:t>62 RP610994</w:t>
            </w:r>
          </w:p>
          <w:p w14:paraId="5736713D" w14:textId="77777777" w:rsidR="00BE36FB" w:rsidRPr="009B7B35" w:rsidRDefault="00BE36FB" w:rsidP="001A7107">
            <w:pPr>
              <w:pStyle w:val="TableText"/>
              <w:rPr>
                <w:rFonts w:cs="Arial"/>
              </w:rPr>
            </w:pPr>
            <w:r w:rsidRPr="009B7B35">
              <w:rPr>
                <w:rFonts w:cs="Arial"/>
              </w:rPr>
              <w:t>63 RP610994</w:t>
            </w:r>
          </w:p>
          <w:p w14:paraId="5EA3182F" w14:textId="77777777" w:rsidR="00BE36FB" w:rsidRPr="009B7B35" w:rsidRDefault="00BE36FB" w:rsidP="001A7107">
            <w:pPr>
              <w:pStyle w:val="TableText"/>
              <w:rPr>
                <w:rFonts w:cs="Arial"/>
              </w:rPr>
            </w:pPr>
            <w:r w:rsidRPr="009B7B35">
              <w:rPr>
                <w:rFonts w:cs="Arial"/>
              </w:rPr>
              <w:t>64 RP610994</w:t>
            </w:r>
          </w:p>
          <w:p w14:paraId="31E3B9E9" w14:textId="77777777" w:rsidR="00BE36FB" w:rsidRPr="009B7B35" w:rsidRDefault="00BE36FB" w:rsidP="001A7107">
            <w:pPr>
              <w:pStyle w:val="TableText"/>
              <w:rPr>
                <w:rFonts w:cs="Arial"/>
              </w:rPr>
            </w:pPr>
            <w:r w:rsidRPr="009B7B35">
              <w:rPr>
                <w:rFonts w:cs="Arial"/>
              </w:rPr>
              <w:t>65 RP610994</w:t>
            </w:r>
          </w:p>
          <w:p w14:paraId="085FFCA2" w14:textId="77777777" w:rsidR="00BE36FB" w:rsidRPr="009B7B35" w:rsidRDefault="00BE36FB" w:rsidP="001A7107">
            <w:pPr>
              <w:pStyle w:val="TableText"/>
              <w:rPr>
                <w:rFonts w:cs="Arial"/>
              </w:rPr>
            </w:pPr>
            <w:r w:rsidRPr="009B7B35">
              <w:rPr>
                <w:rFonts w:cs="Arial"/>
              </w:rPr>
              <w:t>66 RP610994</w:t>
            </w:r>
          </w:p>
          <w:p w14:paraId="656B9649" w14:textId="77777777" w:rsidR="00BE36FB" w:rsidRPr="009B7B35" w:rsidRDefault="00BE36FB" w:rsidP="001A7107">
            <w:pPr>
              <w:pStyle w:val="TableText"/>
              <w:rPr>
                <w:rFonts w:cs="Arial"/>
              </w:rPr>
            </w:pPr>
            <w:r w:rsidRPr="009B7B35">
              <w:rPr>
                <w:rFonts w:cs="Arial"/>
              </w:rPr>
              <w:t>67 RP610994</w:t>
            </w:r>
          </w:p>
          <w:p w14:paraId="6B715AA4" w14:textId="77777777" w:rsidR="00BE36FB" w:rsidRPr="009B7B35" w:rsidRDefault="00BE36FB" w:rsidP="001A7107">
            <w:pPr>
              <w:pStyle w:val="TableText"/>
              <w:rPr>
                <w:rFonts w:cs="Arial"/>
              </w:rPr>
            </w:pPr>
            <w:r w:rsidRPr="009B7B35">
              <w:rPr>
                <w:rFonts w:cs="Arial"/>
              </w:rPr>
              <w:t>80 RP610994</w:t>
            </w:r>
          </w:p>
        </w:tc>
        <w:tc>
          <w:tcPr>
            <w:tcW w:w="4543" w:type="dxa"/>
          </w:tcPr>
          <w:p w14:paraId="76AF2389" w14:textId="77777777" w:rsidR="00BE36FB" w:rsidRPr="009B7B35" w:rsidRDefault="00BE36FB" w:rsidP="001A7107">
            <w:pPr>
              <w:pStyle w:val="TableText"/>
              <w:rPr>
                <w:rFonts w:cs="Arial"/>
              </w:rPr>
            </w:pPr>
            <w:r w:rsidRPr="009B7B35">
              <w:rPr>
                <w:rFonts w:cs="Arial"/>
              </w:rPr>
              <w:t>Preliminary Approval Overriding the Planning Scheme – Material Change of Use for Multiple Unit Residential (119 units), Motel (60 rooms and Restaurant), Commercial Premises (Conference Facility), Licensed Premises (Hotel &amp; Bottle Shop) &amp; Gaming Premises and Reconfiguring a Lot (11 into 3 &amp; access easements)</w:t>
            </w:r>
          </w:p>
        </w:tc>
        <w:tc>
          <w:tcPr>
            <w:tcW w:w="1843" w:type="dxa"/>
          </w:tcPr>
          <w:p w14:paraId="37F33695" w14:textId="77777777" w:rsidR="00BE36FB" w:rsidRPr="009B7B35" w:rsidRDefault="00BE36FB" w:rsidP="001A7107">
            <w:pPr>
              <w:pStyle w:val="TableText"/>
              <w:rPr>
                <w:rFonts w:cs="Arial"/>
              </w:rPr>
            </w:pPr>
            <w:r w:rsidRPr="009B7B35">
              <w:rPr>
                <w:rFonts w:cs="Arial"/>
              </w:rPr>
              <w:t>DA/209/2010</w:t>
            </w:r>
          </w:p>
        </w:tc>
      </w:tr>
      <w:tr w:rsidR="00BE36FB" w:rsidRPr="009B7B35" w14:paraId="46B41A0F" w14:textId="77777777" w:rsidTr="001A7107">
        <w:trPr>
          <w:cantSplit/>
        </w:trPr>
        <w:tc>
          <w:tcPr>
            <w:tcW w:w="1232" w:type="dxa"/>
          </w:tcPr>
          <w:p w14:paraId="734A5F7E" w14:textId="77777777" w:rsidR="00BE36FB" w:rsidRPr="009B7B35" w:rsidRDefault="00BE36FB" w:rsidP="001A7107">
            <w:pPr>
              <w:pStyle w:val="TableText"/>
              <w:rPr>
                <w:rFonts w:cs="Arial"/>
              </w:rPr>
            </w:pPr>
            <w:r w:rsidRPr="009B7B35">
              <w:rPr>
                <w:rFonts w:cs="Arial"/>
              </w:rPr>
              <w:t>19/07/2011</w:t>
            </w:r>
          </w:p>
        </w:tc>
        <w:tc>
          <w:tcPr>
            <w:tcW w:w="1738" w:type="dxa"/>
          </w:tcPr>
          <w:p w14:paraId="073E51A6" w14:textId="77777777" w:rsidR="00BE36FB" w:rsidRPr="009B7B35" w:rsidRDefault="00BE36FB" w:rsidP="001A7107">
            <w:pPr>
              <w:pStyle w:val="TableText"/>
              <w:rPr>
                <w:rFonts w:cs="Arial"/>
              </w:rPr>
            </w:pPr>
            <w:r w:rsidRPr="009B7B35">
              <w:rPr>
                <w:rFonts w:cs="Arial"/>
              </w:rPr>
              <w:t>1 RP 612257</w:t>
            </w:r>
          </w:p>
        </w:tc>
        <w:tc>
          <w:tcPr>
            <w:tcW w:w="4543" w:type="dxa"/>
          </w:tcPr>
          <w:p w14:paraId="7CCEFDEE" w14:textId="77777777" w:rsidR="00BE36FB" w:rsidRPr="009B7B35" w:rsidRDefault="00BE36FB" w:rsidP="001A7107">
            <w:pPr>
              <w:pStyle w:val="TableText"/>
              <w:rPr>
                <w:rFonts w:cs="Arial"/>
              </w:rPr>
            </w:pPr>
            <w:r w:rsidRPr="009B7B35">
              <w:rPr>
                <w:rFonts w:cs="Arial"/>
              </w:rPr>
              <w:t>Preliminary Approval Overriding the Planning Scheme – Material Change Of Use for 220 Dwellings &amp; Commercial Land Use &amp; Reconfiguring a Lot (1 Into 225 Under Community Management Scheme) &amp; Environmentally Relevant Activity 15B (Sewerage Treatment)</w:t>
            </w:r>
          </w:p>
        </w:tc>
        <w:tc>
          <w:tcPr>
            <w:tcW w:w="1843" w:type="dxa"/>
          </w:tcPr>
          <w:p w14:paraId="2BF08F3E" w14:textId="77777777" w:rsidR="00BE36FB" w:rsidRPr="009B7B35" w:rsidRDefault="00BE36FB" w:rsidP="001A7107">
            <w:pPr>
              <w:pStyle w:val="TableText"/>
              <w:rPr>
                <w:rFonts w:cs="Arial"/>
              </w:rPr>
            </w:pPr>
            <w:r w:rsidRPr="009B7B35">
              <w:rPr>
                <w:rFonts w:cs="Arial"/>
              </w:rPr>
              <w:t>DA/20648/2008</w:t>
            </w:r>
          </w:p>
        </w:tc>
      </w:tr>
      <w:tr w:rsidR="00BE36FB" w:rsidRPr="009B7B35" w14:paraId="3FD54ACF" w14:textId="77777777" w:rsidTr="001A7107">
        <w:trPr>
          <w:cantSplit/>
        </w:trPr>
        <w:tc>
          <w:tcPr>
            <w:tcW w:w="1232" w:type="dxa"/>
          </w:tcPr>
          <w:p w14:paraId="065897CE" w14:textId="77777777" w:rsidR="00BE36FB" w:rsidRPr="009B7B35" w:rsidRDefault="00BE36FB" w:rsidP="001A7107">
            <w:pPr>
              <w:pStyle w:val="TableText"/>
              <w:rPr>
                <w:rFonts w:cs="Arial"/>
              </w:rPr>
            </w:pPr>
            <w:r w:rsidRPr="009B7B35">
              <w:rPr>
                <w:rFonts w:cs="Arial"/>
              </w:rPr>
              <w:t>4/10/2011</w:t>
            </w:r>
          </w:p>
        </w:tc>
        <w:tc>
          <w:tcPr>
            <w:tcW w:w="1738" w:type="dxa"/>
          </w:tcPr>
          <w:p w14:paraId="0FC471F6" w14:textId="77777777" w:rsidR="00BE36FB" w:rsidRPr="009B7B35" w:rsidRDefault="00BE36FB" w:rsidP="001A7107">
            <w:pPr>
              <w:pStyle w:val="TableText"/>
              <w:rPr>
                <w:rFonts w:cs="Arial"/>
              </w:rPr>
            </w:pPr>
            <w:r w:rsidRPr="009B7B35">
              <w:rPr>
                <w:rFonts w:cs="Arial"/>
              </w:rPr>
              <w:t xml:space="preserve">2 SP152520 </w:t>
            </w:r>
          </w:p>
        </w:tc>
        <w:tc>
          <w:tcPr>
            <w:tcW w:w="4543" w:type="dxa"/>
          </w:tcPr>
          <w:p w14:paraId="7E549FB6" w14:textId="77777777" w:rsidR="00BE36FB" w:rsidRPr="009B7B35" w:rsidRDefault="00BE36FB" w:rsidP="001A7107">
            <w:pPr>
              <w:pStyle w:val="TableText"/>
              <w:rPr>
                <w:rFonts w:cs="Arial"/>
              </w:rPr>
            </w:pPr>
            <w:r w:rsidRPr="009B7B35">
              <w:rPr>
                <w:rFonts w:cs="Arial"/>
              </w:rPr>
              <w:t>Multiple Unit Residential (28 units) under the superseded Planning Scheme</w:t>
            </w:r>
          </w:p>
        </w:tc>
        <w:tc>
          <w:tcPr>
            <w:tcW w:w="1843" w:type="dxa"/>
          </w:tcPr>
          <w:p w14:paraId="0F8015E9" w14:textId="77777777" w:rsidR="00BE36FB" w:rsidRPr="009B7B35" w:rsidRDefault="00BE36FB" w:rsidP="001A7107">
            <w:pPr>
              <w:pStyle w:val="TableText"/>
              <w:rPr>
                <w:rFonts w:cs="Arial"/>
              </w:rPr>
            </w:pPr>
            <w:r w:rsidRPr="009B7B35">
              <w:rPr>
                <w:rFonts w:cs="Arial"/>
              </w:rPr>
              <w:t>DA/77/2009</w:t>
            </w:r>
          </w:p>
        </w:tc>
      </w:tr>
      <w:tr w:rsidR="00BE36FB" w:rsidRPr="009B7B35" w14:paraId="60AA558A" w14:textId="77777777" w:rsidTr="001A7107">
        <w:trPr>
          <w:cantSplit/>
        </w:trPr>
        <w:tc>
          <w:tcPr>
            <w:tcW w:w="1232" w:type="dxa"/>
          </w:tcPr>
          <w:p w14:paraId="74A3C5C1" w14:textId="77777777" w:rsidR="00BE36FB" w:rsidRPr="009B7B35" w:rsidRDefault="00BE36FB" w:rsidP="001A7107">
            <w:pPr>
              <w:pStyle w:val="TableText"/>
              <w:rPr>
                <w:rFonts w:cs="Arial"/>
              </w:rPr>
            </w:pPr>
            <w:r w:rsidRPr="009B7B35">
              <w:rPr>
                <w:rFonts w:cs="Arial"/>
              </w:rPr>
              <w:t>1/11/2011</w:t>
            </w:r>
          </w:p>
        </w:tc>
        <w:tc>
          <w:tcPr>
            <w:tcW w:w="1738" w:type="dxa"/>
          </w:tcPr>
          <w:p w14:paraId="49E68628" w14:textId="77777777" w:rsidR="00BE36FB" w:rsidRPr="009B7B35" w:rsidRDefault="00BE36FB" w:rsidP="001A7107">
            <w:pPr>
              <w:pStyle w:val="TableText"/>
              <w:rPr>
                <w:rFonts w:cs="Arial"/>
              </w:rPr>
            </w:pPr>
            <w:r w:rsidRPr="009B7B35">
              <w:rPr>
                <w:rFonts w:cs="Arial"/>
              </w:rPr>
              <w:t>1 RP608779</w:t>
            </w:r>
          </w:p>
          <w:p w14:paraId="2BB58EEA" w14:textId="77777777" w:rsidR="00BE36FB" w:rsidRPr="009B7B35" w:rsidRDefault="00BE36FB" w:rsidP="001A7107">
            <w:pPr>
              <w:pStyle w:val="TableText"/>
              <w:rPr>
                <w:rFonts w:cs="Arial"/>
              </w:rPr>
            </w:pPr>
            <w:r w:rsidRPr="009B7B35">
              <w:rPr>
                <w:rFonts w:cs="Arial"/>
              </w:rPr>
              <w:t>25 CTN1967</w:t>
            </w:r>
          </w:p>
          <w:p w14:paraId="6F386D70" w14:textId="77777777" w:rsidR="00BE36FB" w:rsidRPr="009B7B35" w:rsidRDefault="00BE36FB" w:rsidP="001A7107">
            <w:pPr>
              <w:pStyle w:val="TableText"/>
              <w:rPr>
                <w:rFonts w:cs="Arial"/>
              </w:rPr>
            </w:pPr>
            <w:r w:rsidRPr="009B7B35">
              <w:rPr>
                <w:rFonts w:cs="Arial"/>
              </w:rPr>
              <w:t>26 P4041</w:t>
            </w:r>
          </w:p>
          <w:p w14:paraId="62CB57FF" w14:textId="77777777" w:rsidR="00BE36FB" w:rsidRPr="009B7B35" w:rsidRDefault="00BE36FB" w:rsidP="001A7107">
            <w:pPr>
              <w:pStyle w:val="TableText"/>
              <w:rPr>
                <w:rFonts w:cs="Arial"/>
              </w:rPr>
            </w:pPr>
            <w:r w:rsidRPr="009B7B35">
              <w:rPr>
                <w:rFonts w:cs="Arial"/>
              </w:rPr>
              <w:t>27 P4041</w:t>
            </w:r>
          </w:p>
          <w:p w14:paraId="2DFBCAA6" w14:textId="77777777" w:rsidR="00BE36FB" w:rsidRPr="009B7B35" w:rsidRDefault="00BE36FB" w:rsidP="001A7107">
            <w:pPr>
              <w:pStyle w:val="TableText"/>
              <w:rPr>
                <w:rFonts w:cs="Arial"/>
              </w:rPr>
            </w:pPr>
            <w:r w:rsidRPr="009B7B35">
              <w:rPr>
                <w:rFonts w:cs="Arial"/>
              </w:rPr>
              <w:t>28 P4041</w:t>
            </w:r>
          </w:p>
          <w:p w14:paraId="2F9A0332" w14:textId="77777777" w:rsidR="00BE36FB" w:rsidRPr="009B7B35" w:rsidRDefault="00BE36FB" w:rsidP="001A7107">
            <w:pPr>
              <w:pStyle w:val="TableText"/>
              <w:rPr>
                <w:rFonts w:cs="Arial"/>
              </w:rPr>
            </w:pPr>
            <w:r w:rsidRPr="009B7B35">
              <w:rPr>
                <w:rFonts w:cs="Arial"/>
              </w:rPr>
              <w:t>33 P4041</w:t>
            </w:r>
          </w:p>
          <w:p w14:paraId="4279542E" w14:textId="77777777" w:rsidR="00BE36FB" w:rsidRPr="009B7B35" w:rsidRDefault="00BE36FB" w:rsidP="001A7107">
            <w:pPr>
              <w:pStyle w:val="TableText"/>
              <w:rPr>
                <w:rFonts w:cs="Arial"/>
              </w:rPr>
            </w:pPr>
            <w:r w:rsidRPr="009B7B35">
              <w:rPr>
                <w:rFonts w:cs="Arial"/>
              </w:rPr>
              <w:t>36 P4041</w:t>
            </w:r>
          </w:p>
          <w:p w14:paraId="439F3955" w14:textId="77777777" w:rsidR="00BE36FB" w:rsidRPr="009B7B35" w:rsidRDefault="00BE36FB" w:rsidP="001A7107">
            <w:pPr>
              <w:pStyle w:val="TableText"/>
              <w:rPr>
                <w:rFonts w:cs="Arial"/>
              </w:rPr>
            </w:pPr>
            <w:r w:rsidRPr="009B7B35">
              <w:rPr>
                <w:rFonts w:cs="Arial"/>
              </w:rPr>
              <w:t xml:space="preserve">1 RP612624 </w:t>
            </w:r>
          </w:p>
          <w:p w14:paraId="4E675CCD" w14:textId="77777777" w:rsidR="00BE36FB" w:rsidRPr="009B7B35" w:rsidRDefault="00BE36FB" w:rsidP="001A7107">
            <w:pPr>
              <w:pStyle w:val="TableText"/>
              <w:rPr>
                <w:rFonts w:cs="Arial"/>
              </w:rPr>
            </w:pPr>
            <w:r w:rsidRPr="009B7B35">
              <w:rPr>
                <w:rFonts w:cs="Arial"/>
              </w:rPr>
              <w:t>2 RP612623</w:t>
            </w:r>
          </w:p>
          <w:p w14:paraId="6E600607" w14:textId="77777777" w:rsidR="00BE36FB" w:rsidRPr="009B7B35" w:rsidRDefault="00BE36FB" w:rsidP="001A7107">
            <w:pPr>
              <w:pStyle w:val="TableText"/>
              <w:rPr>
                <w:rFonts w:cs="Arial"/>
              </w:rPr>
            </w:pPr>
            <w:r w:rsidRPr="009B7B35">
              <w:rPr>
                <w:rFonts w:cs="Arial"/>
              </w:rPr>
              <w:t>3 RP612625</w:t>
            </w:r>
          </w:p>
          <w:p w14:paraId="74D42769" w14:textId="77777777" w:rsidR="00BE36FB" w:rsidRPr="009B7B35" w:rsidRDefault="00BE36FB" w:rsidP="001A7107">
            <w:pPr>
              <w:pStyle w:val="TableText"/>
              <w:rPr>
                <w:rFonts w:cs="Arial"/>
              </w:rPr>
            </w:pPr>
            <w:r w:rsidRPr="009B7B35">
              <w:rPr>
                <w:rFonts w:cs="Arial"/>
              </w:rPr>
              <w:t>4 RP612625</w:t>
            </w:r>
          </w:p>
          <w:p w14:paraId="09F8E481" w14:textId="77777777" w:rsidR="00BE36FB" w:rsidRPr="009B7B35" w:rsidRDefault="00BE36FB" w:rsidP="001A7107">
            <w:pPr>
              <w:pStyle w:val="TableText"/>
              <w:rPr>
                <w:rFonts w:cs="Arial"/>
              </w:rPr>
            </w:pPr>
            <w:r w:rsidRPr="009B7B35">
              <w:rPr>
                <w:rFonts w:cs="Arial"/>
              </w:rPr>
              <w:t>35 CTN1238</w:t>
            </w:r>
          </w:p>
          <w:p w14:paraId="2C62D7FF" w14:textId="77777777" w:rsidR="00BE36FB" w:rsidRPr="009B7B35" w:rsidRDefault="00BE36FB" w:rsidP="001A7107">
            <w:pPr>
              <w:pStyle w:val="TableText"/>
              <w:rPr>
                <w:rFonts w:cs="Arial"/>
              </w:rPr>
            </w:pPr>
            <w:r w:rsidRPr="009B7B35">
              <w:rPr>
                <w:rFonts w:cs="Arial"/>
              </w:rPr>
              <w:t>2 SP142970</w:t>
            </w:r>
          </w:p>
        </w:tc>
        <w:tc>
          <w:tcPr>
            <w:tcW w:w="4543" w:type="dxa"/>
          </w:tcPr>
          <w:p w14:paraId="67050EC7" w14:textId="77777777" w:rsidR="00BE36FB" w:rsidRPr="009B7B35" w:rsidRDefault="00BE36FB" w:rsidP="001A7107">
            <w:pPr>
              <w:pStyle w:val="TableText"/>
              <w:rPr>
                <w:rFonts w:cs="Arial"/>
              </w:rPr>
            </w:pPr>
            <w:r w:rsidRPr="009B7B35">
              <w:rPr>
                <w:rFonts w:cs="Arial"/>
              </w:rPr>
              <w:t>Preliminary Approval Overriding the Planning Scheme – Master Planned Urban Community Comprising Residential, Local Industry, Commercial, Open Space &amp; Recreation, Conservation &amp; Community Uses</w:t>
            </w:r>
          </w:p>
        </w:tc>
        <w:tc>
          <w:tcPr>
            <w:tcW w:w="1843" w:type="dxa"/>
          </w:tcPr>
          <w:p w14:paraId="4814CA86" w14:textId="77777777" w:rsidR="00BE36FB" w:rsidRPr="009B7B35" w:rsidRDefault="00BE36FB" w:rsidP="001A7107">
            <w:pPr>
              <w:pStyle w:val="TableText"/>
              <w:rPr>
                <w:rFonts w:cs="Arial"/>
              </w:rPr>
            </w:pPr>
            <w:r w:rsidRPr="009B7B35">
              <w:rPr>
                <w:rFonts w:cs="Arial"/>
              </w:rPr>
              <w:t>DA/20621/2008</w:t>
            </w:r>
          </w:p>
        </w:tc>
      </w:tr>
      <w:tr w:rsidR="00BE36FB" w:rsidRPr="009B7B35" w14:paraId="2D37E185" w14:textId="77777777" w:rsidTr="001A7107">
        <w:trPr>
          <w:cantSplit/>
        </w:trPr>
        <w:tc>
          <w:tcPr>
            <w:tcW w:w="1232" w:type="dxa"/>
          </w:tcPr>
          <w:p w14:paraId="01A06754" w14:textId="77777777" w:rsidR="00BE36FB" w:rsidRPr="009B7B35" w:rsidRDefault="00BE36FB" w:rsidP="001A7107">
            <w:pPr>
              <w:pStyle w:val="TableText"/>
              <w:rPr>
                <w:rFonts w:cs="Arial"/>
              </w:rPr>
            </w:pPr>
            <w:r w:rsidRPr="009B7B35">
              <w:rPr>
                <w:rFonts w:cs="Arial"/>
              </w:rPr>
              <w:t>17/02/2012</w:t>
            </w:r>
          </w:p>
        </w:tc>
        <w:tc>
          <w:tcPr>
            <w:tcW w:w="1738" w:type="dxa"/>
          </w:tcPr>
          <w:p w14:paraId="01A8ACFA" w14:textId="77777777" w:rsidR="00BE36FB" w:rsidRPr="009B7B35" w:rsidRDefault="00BE36FB" w:rsidP="001A7107">
            <w:pPr>
              <w:pStyle w:val="TableText"/>
              <w:rPr>
                <w:rFonts w:cs="Arial"/>
              </w:rPr>
            </w:pPr>
            <w:r w:rsidRPr="009B7B35">
              <w:rPr>
                <w:rFonts w:cs="Arial"/>
              </w:rPr>
              <w:t>4 CP860403: TL213279</w:t>
            </w:r>
          </w:p>
          <w:p w14:paraId="3F00B3C9" w14:textId="77777777" w:rsidR="00BE36FB" w:rsidRPr="009B7B35" w:rsidRDefault="00BE36FB" w:rsidP="001A7107">
            <w:pPr>
              <w:pStyle w:val="TableText"/>
              <w:rPr>
                <w:rFonts w:cs="Arial"/>
              </w:rPr>
            </w:pPr>
            <w:r w:rsidRPr="009B7B35">
              <w:rPr>
                <w:rFonts w:cs="Arial"/>
              </w:rPr>
              <w:t>2 CP860403</w:t>
            </w:r>
          </w:p>
          <w:p w14:paraId="18FDF781" w14:textId="77777777" w:rsidR="00BE36FB" w:rsidRPr="009B7B35" w:rsidRDefault="00BE36FB" w:rsidP="001A7107">
            <w:pPr>
              <w:pStyle w:val="TableText"/>
              <w:rPr>
                <w:rFonts w:cs="Arial"/>
              </w:rPr>
            </w:pPr>
            <w:r w:rsidRPr="009B7B35">
              <w:rPr>
                <w:rFonts w:cs="Arial"/>
              </w:rPr>
              <w:t xml:space="preserve">198 NPW655 </w:t>
            </w:r>
          </w:p>
          <w:p w14:paraId="620CD40C" w14:textId="77777777" w:rsidR="00BE36FB" w:rsidRPr="009B7B35" w:rsidRDefault="00BE36FB" w:rsidP="001A7107">
            <w:pPr>
              <w:pStyle w:val="TableText"/>
              <w:rPr>
                <w:rFonts w:cs="Arial"/>
              </w:rPr>
            </w:pPr>
            <w:r w:rsidRPr="009B7B35">
              <w:rPr>
                <w:rFonts w:cs="Arial"/>
              </w:rPr>
              <w:t>8 CP 860464</w:t>
            </w:r>
          </w:p>
        </w:tc>
        <w:tc>
          <w:tcPr>
            <w:tcW w:w="4543" w:type="dxa"/>
          </w:tcPr>
          <w:p w14:paraId="212FB571" w14:textId="77777777" w:rsidR="00BE36FB" w:rsidRPr="009B7B35" w:rsidRDefault="00BE36FB" w:rsidP="001A7107">
            <w:pPr>
              <w:pStyle w:val="TableText"/>
              <w:rPr>
                <w:rFonts w:cs="Arial"/>
              </w:rPr>
            </w:pPr>
            <w:r w:rsidRPr="009B7B35">
              <w:rPr>
                <w:rFonts w:cs="Arial"/>
              </w:rPr>
              <w:t>Preliminary Approval Overriding the Planning Scheme – Turtle Street Beach Resort.</w:t>
            </w:r>
          </w:p>
        </w:tc>
        <w:tc>
          <w:tcPr>
            <w:tcW w:w="1843" w:type="dxa"/>
          </w:tcPr>
          <w:p w14:paraId="3E5064CD" w14:textId="77777777" w:rsidR="00BE36FB" w:rsidRPr="009B7B35" w:rsidRDefault="00BE36FB" w:rsidP="001A7107">
            <w:pPr>
              <w:pStyle w:val="TableText"/>
              <w:rPr>
                <w:rFonts w:cs="Arial"/>
              </w:rPr>
            </w:pPr>
            <w:r w:rsidRPr="009B7B35">
              <w:rPr>
                <w:rFonts w:cs="Arial"/>
              </w:rPr>
              <w:t>DA/99/2009</w:t>
            </w:r>
          </w:p>
        </w:tc>
      </w:tr>
      <w:tr w:rsidR="00BE36FB" w:rsidRPr="009B7B35" w14:paraId="080E330F" w14:textId="77777777" w:rsidTr="001A7107">
        <w:trPr>
          <w:cantSplit/>
        </w:trPr>
        <w:tc>
          <w:tcPr>
            <w:tcW w:w="1232" w:type="dxa"/>
          </w:tcPr>
          <w:p w14:paraId="53D36503" w14:textId="77777777" w:rsidR="00BE36FB" w:rsidRPr="009B7B35" w:rsidRDefault="00BE36FB" w:rsidP="001A7107">
            <w:pPr>
              <w:pStyle w:val="TableText"/>
              <w:rPr>
                <w:rFonts w:cs="Arial"/>
              </w:rPr>
            </w:pPr>
            <w:r w:rsidRPr="009B7B35">
              <w:rPr>
                <w:rFonts w:cs="Arial"/>
              </w:rPr>
              <w:t>22/03/2012</w:t>
            </w:r>
          </w:p>
        </w:tc>
        <w:tc>
          <w:tcPr>
            <w:tcW w:w="1738" w:type="dxa"/>
          </w:tcPr>
          <w:p w14:paraId="6FD6F8AE" w14:textId="77777777" w:rsidR="00BE36FB" w:rsidRPr="009B7B35" w:rsidRDefault="00BE36FB" w:rsidP="001A7107">
            <w:pPr>
              <w:pStyle w:val="TableText"/>
              <w:rPr>
                <w:rFonts w:cs="Arial"/>
              </w:rPr>
            </w:pPr>
            <w:r w:rsidRPr="009B7B35">
              <w:rPr>
                <w:rFonts w:cs="Arial"/>
              </w:rPr>
              <w:t>1 RP605875</w:t>
            </w:r>
          </w:p>
        </w:tc>
        <w:tc>
          <w:tcPr>
            <w:tcW w:w="4543" w:type="dxa"/>
          </w:tcPr>
          <w:p w14:paraId="250F2E30" w14:textId="77777777" w:rsidR="00BE36FB" w:rsidRPr="009B7B35" w:rsidRDefault="00BE36FB" w:rsidP="001A7107">
            <w:pPr>
              <w:pStyle w:val="TableText"/>
              <w:rPr>
                <w:rFonts w:cs="Arial"/>
              </w:rPr>
            </w:pPr>
            <w:r w:rsidRPr="009B7B35">
              <w:rPr>
                <w:rFonts w:cs="Arial"/>
              </w:rPr>
              <w:t>Preliminary Approval Overriding the Planning Scheme – Material Change of Use –  Small Lot Housing &amp; Reconfiguration of a Lot</w:t>
            </w:r>
          </w:p>
        </w:tc>
        <w:tc>
          <w:tcPr>
            <w:tcW w:w="1843" w:type="dxa"/>
          </w:tcPr>
          <w:p w14:paraId="526BAE65" w14:textId="77777777" w:rsidR="00BE36FB" w:rsidRPr="009B7B35" w:rsidRDefault="00BE36FB" w:rsidP="001A7107">
            <w:pPr>
              <w:pStyle w:val="TableText"/>
              <w:rPr>
                <w:rFonts w:cs="Arial"/>
              </w:rPr>
            </w:pPr>
            <w:r w:rsidRPr="009B7B35">
              <w:rPr>
                <w:rFonts w:cs="Arial"/>
              </w:rPr>
              <w:t>DA/348/2011</w:t>
            </w:r>
          </w:p>
        </w:tc>
      </w:tr>
      <w:tr w:rsidR="00BE36FB" w:rsidRPr="009B7B35" w14:paraId="1AD87142" w14:textId="77777777" w:rsidTr="001A7107">
        <w:trPr>
          <w:cantSplit/>
        </w:trPr>
        <w:tc>
          <w:tcPr>
            <w:tcW w:w="1232" w:type="dxa"/>
          </w:tcPr>
          <w:p w14:paraId="23C97C2D" w14:textId="77777777" w:rsidR="00BE36FB" w:rsidRPr="009B7B35" w:rsidRDefault="00BE36FB" w:rsidP="001A7107">
            <w:pPr>
              <w:pStyle w:val="TableText"/>
              <w:rPr>
                <w:rFonts w:cs="Arial"/>
              </w:rPr>
            </w:pPr>
            <w:r w:rsidRPr="009B7B35">
              <w:rPr>
                <w:rFonts w:cs="Arial"/>
              </w:rPr>
              <w:t>29/05/2012</w:t>
            </w:r>
          </w:p>
        </w:tc>
        <w:tc>
          <w:tcPr>
            <w:tcW w:w="1738" w:type="dxa"/>
          </w:tcPr>
          <w:p w14:paraId="03AD86E5" w14:textId="77777777" w:rsidR="00BE36FB" w:rsidRPr="009B7B35" w:rsidRDefault="00BE36FB" w:rsidP="001A7107">
            <w:pPr>
              <w:pStyle w:val="TableText"/>
              <w:rPr>
                <w:rFonts w:cs="Arial"/>
              </w:rPr>
            </w:pPr>
            <w:r w:rsidRPr="009B7B35">
              <w:rPr>
                <w:rFonts w:cs="Arial"/>
              </w:rPr>
              <w:t>19 RP 86142</w:t>
            </w:r>
          </w:p>
        </w:tc>
        <w:tc>
          <w:tcPr>
            <w:tcW w:w="4543" w:type="dxa"/>
          </w:tcPr>
          <w:p w14:paraId="331CA9AD" w14:textId="77777777" w:rsidR="00BE36FB" w:rsidRPr="009B7B35" w:rsidRDefault="00BE36FB" w:rsidP="001A7107">
            <w:pPr>
              <w:pStyle w:val="TableText"/>
              <w:rPr>
                <w:rFonts w:cs="Arial"/>
              </w:rPr>
            </w:pPr>
            <w:r w:rsidRPr="009B7B35">
              <w:rPr>
                <w:rFonts w:cs="Arial"/>
              </w:rPr>
              <w:t>Multiple Dwelling (6 units) – Superseded Planning Scheme for former Miriam Vale Shire</w:t>
            </w:r>
          </w:p>
        </w:tc>
        <w:tc>
          <w:tcPr>
            <w:tcW w:w="1843" w:type="dxa"/>
          </w:tcPr>
          <w:p w14:paraId="6DA62B4F" w14:textId="77777777" w:rsidR="00BE36FB" w:rsidRPr="009B7B35" w:rsidRDefault="00BE36FB" w:rsidP="001A7107">
            <w:pPr>
              <w:pStyle w:val="TableText"/>
              <w:rPr>
                <w:rFonts w:cs="Arial"/>
              </w:rPr>
            </w:pPr>
            <w:r w:rsidRPr="009B7B35">
              <w:rPr>
                <w:rFonts w:cs="Arial"/>
              </w:rPr>
              <w:t>DA/277/2011</w:t>
            </w:r>
          </w:p>
        </w:tc>
      </w:tr>
      <w:tr w:rsidR="00BE36FB" w:rsidRPr="009B7B35" w14:paraId="552A8F66" w14:textId="77777777" w:rsidTr="001A7107">
        <w:trPr>
          <w:cantSplit/>
        </w:trPr>
        <w:tc>
          <w:tcPr>
            <w:tcW w:w="1232" w:type="dxa"/>
          </w:tcPr>
          <w:p w14:paraId="7C7DB8AE" w14:textId="77777777" w:rsidR="00BE36FB" w:rsidRPr="009B7B35" w:rsidRDefault="00BE36FB" w:rsidP="001A7107">
            <w:pPr>
              <w:pStyle w:val="TableText"/>
              <w:rPr>
                <w:rFonts w:cs="Arial"/>
              </w:rPr>
            </w:pPr>
            <w:r w:rsidRPr="009B7B35">
              <w:rPr>
                <w:rFonts w:cs="Arial"/>
              </w:rPr>
              <w:t>29/06/2012</w:t>
            </w:r>
          </w:p>
        </w:tc>
        <w:tc>
          <w:tcPr>
            <w:tcW w:w="1738" w:type="dxa"/>
          </w:tcPr>
          <w:p w14:paraId="7E22E4E4" w14:textId="77777777" w:rsidR="00BE36FB" w:rsidRPr="009B7B35" w:rsidRDefault="00BE36FB" w:rsidP="001A7107">
            <w:pPr>
              <w:pStyle w:val="TableText"/>
              <w:rPr>
                <w:rFonts w:cs="Arial"/>
              </w:rPr>
            </w:pPr>
            <w:r w:rsidRPr="009B7B35">
              <w:rPr>
                <w:rFonts w:cs="Arial"/>
              </w:rPr>
              <w:t>3 SP 253021</w:t>
            </w:r>
          </w:p>
          <w:p w14:paraId="1BB3FE6F" w14:textId="77777777" w:rsidR="00BE36FB" w:rsidRPr="009B7B35" w:rsidRDefault="00BE36FB" w:rsidP="001A7107">
            <w:pPr>
              <w:pStyle w:val="TableText"/>
              <w:rPr>
                <w:rFonts w:cs="Arial"/>
              </w:rPr>
            </w:pPr>
            <w:r w:rsidRPr="009B7B35">
              <w:rPr>
                <w:rFonts w:cs="Arial"/>
              </w:rPr>
              <w:t>1 SP 231539</w:t>
            </w:r>
          </w:p>
          <w:p w14:paraId="6334A8B0" w14:textId="77777777" w:rsidR="00BE36FB" w:rsidRPr="009B7B35" w:rsidRDefault="00BE36FB" w:rsidP="001A7107">
            <w:pPr>
              <w:pStyle w:val="TableText"/>
              <w:rPr>
                <w:rFonts w:cs="Arial"/>
              </w:rPr>
            </w:pPr>
            <w:r w:rsidRPr="009B7B35">
              <w:rPr>
                <w:rFonts w:cs="Arial"/>
              </w:rPr>
              <w:t>3 SP 100337</w:t>
            </w:r>
          </w:p>
        </w:tc>
        <w:tc>
          <w:tcPr>
            <w:tcW w:w="4543" w:type="dxa"/>
          </w:tcPr>
          <w:p w14:paraId="763842E6" w14:textId="77777777" w:rsidR="00BE36FB" w:rsidRPr="009B7B35" w:rsidRDefault="00BE36FB" w:rsidP="001A7107">
            <w:pPr>
              <w:pStyle w:val="TableText"/>
              <w:rPr>
                <w:rFonts w:cs="Arial"/>
              </w:rPr>
            </w:pPr>
            <w:r w:rsidRPr="009B7B35">
              <w:rPr>
                <w:rFonts w:cs="Arial"/>
              </w:rPr>
              <w:t>Preliminary Approval Overriding the Planning Scheme S3.1.6 of IPA –</w:t>
            </w:r>
          </w:p>
          <w:p w14:paraId="676B5F06" w14:textId="77777777" w:rsidR="00BE36FB" w:rsidRPr="009B7B35" w:rsidRDefault="00BE36FB" w:rsidP="001A7107">
            <w:pPr>
              <w:pStyle w:val="TableText"/>
              <w:rPr>
                <w:rFonts w:cs="Arial"/>
              </w:rPr>
            </w:pPr>
            <w:r w:rsidRPr="009B7B35">
              <w:rPr>
                <w:rFonts w:cs="Arial"/>
              </w:rPr>
              <w:t>Material Change of Use (Superseded Planning Scheme) for Residential Development and Development Permit for Stage 1 of staged Reconfiguration of a Lot (1 into 91) Including New Road and Park</w:t>
            </w:r>
          </w:p>
        </w:tc>
        <w:tc>
          <w:tcPr>
            <w:tcW w:w="1843" w:type="dxa"/>
          </w:tcPr>
          <w:p w14:paraId="1D29518F" w14:textId="77777777" w:rsidR="00BE36FB" w:rsidRPr="009B7B35" w:rsidRDefault="00BE36FB" w:rsidP="001A7107">
            <w:pPr>
              <w:pStyle w:val="TableText"/>
              <w:rPr>
                <w:rFonts w:cs="Arial"/>
              </w:rPr>
            </w:pPr>
            <w:r w:rsidRPr="009B7B35">
              <w:rPr>
                <w:rFonts w:cs="Arial"/>
              </w:rPr>
              <w:t>DA/11307/2008</w:t>
            </w:r>
          </w:p>
        </w:tc>
      </w:tr>
      <w:tr w:rsidR="00BE36FB" w:rsidRPr="009B7B35" w14:paraId="1EA141B3" w14:textId="77777777" w:rsidTr="001A7107">
        <w:trPr>
          <w:cantSplit/>
        </w:trPr>
        <w:tc>
          <w:tcPr>
            <w:tcW w:w="1232" w:type="dxa"/>
          </w:tcPr>
          <w:p w14:paraId="5CCC1B96" w14:textId="77777777" w:rsidR="00BE36FB" w:rsidRPr="009B7B35" w:rsidRDefault="00BE36FB" w:rsidP="001A7107">
            <w:pPr>
              <w:pStyle w:val="TableText"/>
              <w:rPr>
                <w:rFonts w:cs="Arial"/>
              </w:rPr>
            </w:pPr>
            <w:r w:rsidRPr="009B7B35">
              <w:rPr>
                <w:rFonts w:cs="Arial"/>
              </w:rPr>
              <w:t>28/11/2012</w:t>
            </w:r>
          </w:p>
        </w:tc>
        <w:tc>
          <w:tcPr>
            <w:tcW w:w="1738" w:type="dxa"/>
          </w:tcPr>
          <w:p w14:paraId="1D4B3A09" w14:textId="77777777" w:rsidR="00BE36FB" w:rsidRPr="009B7B35" w:rsidRDefault="00BE36FB" w:rsidP="001A7107">
            <w:pPr>
              <w:pStyle w:val="TableText"/>
              <w:rPr>
                <w:rFonts w:cs="Arial"/>
              </w:rPr>
            </w:pPr>
            <w:r w:rsidRPr="009B7B35">
              <w:rPr>
                <w:rFonts w:cs="Arial"/>
              </w:rPr>
              <w:t>2 SP103802</w:t>
            </w:r>
          </w:p>
        </w:tc>
        <w:tc>
          <w:tcPr>
            <w:tcW w:w="4543" w:type="dxa"/>
          </w:tcPr>
          <w:p w14:paraId="69FE3E5D" w14:textId="77777777" w:rsidR="00BE36FB" w:rsidRPr="009B7B35" w:rsidRDefault="00BE36FB" w:rsidP="001A7107">
            <w:pPr>
              <w:pStyle w:val="TableText"/>
              <w:rPr>
                <w:rFonts w:cs="Arial"/>
              </w:rPr>
            </w:pPr>
            <w:r w:rsidRPr="009B7B35">
              <w:rPr>
                <w:rFonts w:cs="Arial"/>
              </w:rPr>
              <w:t>Preliminary Approval Overriding the Planning Scheme –Material Change of Use for Residential Community – Maximum 2,000 Dwelling Units in accordance with The Tannum Waters Residential Community Development Plan</w:t>
            </w:r>
          </w:p>
        </w:tc>
        <w:tc>
          <w:tcPr>
            <w:tcW w:w="1843" w:type="dxa"/>
          </w:tcPr>
          <w:p w14:paraId="59AB607B" w14:textId="77777777" w:rsidR="00BE36FB" w:rsidRPr="009B7B35" w:rsidRDefault="00BE36FB" w:rsidP="001A7107">
            <w:pPr>
              <w:pStyle w:val="TableText"/>
              <w:rPr>
                <w:rFonts w:cs="Arial"/>
              </w:rPr>
            </w:pPr>
            <w:r w:rsidRPr="009B7B35">
              <w:rPr>
                <w:rFonts w:cs="Arial"/>
              </w:rPr>
              <w:t>DA/20390/2004</w:t>
            </w:r>
          </w:p>
        </w:tc>
      </w:tr>
      <w:tr w:rsidR="00BE36FB" w:rsidRPr="009B7B35" w14:paraId="299CB1A0" w14:textId="77777777" w:rsidTr="001A7107">
        <w:trPr>
          <w:cantSplit/>
        </w:trPr>
        <w:tc>
          <w:tcPr>
            <w:tcW w:w="1232" w:type="dxa"/>
          </w:tcPr>
          <w:p w14:paraId="2B6242E6" w14:textId="77777777" w:rsidR="00BE36FB" w:rsidRPr="009B7B35" w:rsidRDefault="00BE36FB" w:rsidP="001A7107">
            <w:pPr>
              <w:pStyle w:val="TableText"/>
              <w:rPr>
                <w:rFonts w:cs="Arial"/>
              </w:rPr>
            </w:pPr>
            <w:r w:rsidRPr="009B7B35">
              <w:rPr>
                <w:rFonts w:cs="Arial"/>
              </w:rPr>
              <w:t>17/03/2014</w:t>
            </w:r>
          </w:p>
        </w:tc>
        <w:tc>
          <w:tcPr>
            <w:tcW w:w="1738" w:type="dxa"/>
          </w:tcPr>
          <w:p w14:paraId="73AD4758" w14:textId="77777777" w:rsidR="00BE36FB" w:rsidRPr="009B7B35" w:rsidRDefault="00BE36FB" w:rsidP="001A7107">
            <w:pPr>
              <w:pStyle w:val="TableText"/>
              <w:rPr>
                <w:rFonts w:cs="Arial"/>
              </w:rPr>
            </w:pPr>
            <w:r w:rsidRPr="009B7B35">
              <w:rPr>
                <w:rFonts w:cs="Arial"/>
              </w:rPr>
              <w:t>7 RP618441</w:t>
            </w:r>
          </w:p>
        </w:tc>
        <w:tc>
          <w:tcPr>
            <w:tcW w:w="4543" w:type="dxa"/>
          </w:tcPr>
          <w:p w14:paraId="5996FA58" w14:textId="77777777" w:rsidR="00BE36FB" w:rsidRPr="009B7B35" w:rsidRDefault="00BE36FB" w:rsidP="001A7107">
            <w:pPr>
              <w:pStyle w:val="TableText"/>
              <w:rPr>
                <w:rFonts w:cs="Arial"/>
              </w:rPr>
            </w:pPr>
            <w:r w:rsidRPr="009B7B35">
              <w:rPr>
                <w:rFonts w:cs="Arial"/>
              </w:rPr>
              <w:t>Preliminary Approval Overriding the Planning Scheme – Material Change of Use (Change in Density For Residential Land Use) for Community Advisory Service Centre, Neighbourhood Centre, Child Care Centre, 4 Community Facility Lots, Food Premises, 54 Dwelling House Lots, 7 Duplex Lots, 6 Park Lots &amp; Reconfiguration of a Lot (1 Into 67)</w:t>
            </w:r>
          </w:p>
        </w:tc>
        <w:tc>
          <w:tcPr>
            <w:tcW w:w="1843" w:type="dxa"/>
          </w:tcPr>
          <w:p w14:paraId="100EFA15" w14:textId="77777777" w:rsidR="00BE36FB" w:rsidRPr="009B7B35" w:rsidRDefault="00BE36FB" w:rsidP="001A7107">
            <w:pPr>
              <w:pStyle w:val="TableText"/>
              <w:rPr>
                <w:rFonts w:cs="Arial"/>
              </w:rPr>
            </w:pPr>
            <w:r w:rsidRPr="009B7B35">
              <w:rPr>
                <w:rFonts w:cs="Arial"/>
              </w:rPr>
              <w:t>DA/658/2012</w:t>
            </w:r>
          </w:p>
        </w:tc>
      </w:tr>
      <w:tr w:rsidR="00BE36FB" w:rsidRPr="009B7B35" w14:paraId="3328EE03" w14:textId="77777777" w:rsidTr="001A7107">
        <w:trPr>
          <w:cantSplit/>
        </w:trPr>
        <w:tc>
          <w:tcPr>
            <w:tcW w:w="1232" w:type="dxa"/>
          </w:tcPr>
          <w:p w14:paraId="7B57113A" w14:textId="77777777" w:rsidR="00BE36FB" w:rsidRPr="009B7B35" w:rsidRDefault="00BE36FB" w:rsidP="001A7107">
            <w:pPr>
              <w:pStyle w:val="TableText"/>
              <w:rPr>
                <w:rFonts w:cs="Arial"/>
              </w:rPr>
            </w:pPr>
            <w:r w:rsidRPr="009B7B35">
              <w:rPr>
                <w:rFonts w:cs="Arial"/>
              </w:rPr>
              <w:t>17/09/2015</w:t>
            </w:r>
          </w:p>
        </w:tc>
        <w:tc>
          <w:tcPr>
            <w:tcW w:w="1738" w:type="dxa"/>
          </w:tcPr>
          <w:p w14:paraId="563CD08F" w14:textId="77777777" w:rsidR="00BE36FB" w:rsidRPr="009B7B35" w:rsidRDefault="00BE36FB" w:rsidP="001A7107">
            <w:pPr>
              <w:pStyle w:val="TableText"/>
              <w:rPr>
                <w:rFonts w:cs="Arial"/>
              </w:rPr>
            </w:pPr>
            <w:r w:rsidRPr="009B7B35">
              <w:rPr>
                <w:rFonts w:cs="Arial"/>
              </w:rPr>
              <w:t>243 SP 174113 301 SP 174113</w:t>
            </w:r>
          </w:p>
        </w:tc>
        <w:tc>
          <w:tcPr>
            <w:tcW w:w="4543" w:type="dxa"/>
          </w:tcPr>
          <w:p w14:paraId="7619ECC4" w14:textId="77777777" w:rsidR="00BE36FB" w:rsidRPr="009B7B35" w:rsidRDefault="00BE36FB" w:rsidP="001A7107">
            <w:pPr>
              <w:pStyle w:val="TableText"/>
              <w:rPr>
                <w:rFonts w:cs="Arial"/>
              </w:rPr>
            </w:pPr>
            <w:r w:rsidRPr="009B7B35">
              <w:rPr>
                <w:rFonts w:cs="Arial"/>
              </w:rPr>
              <w:t>Preliminary Approval Overriding the Planning Scheme – Material Change of Use (Change in Density Urban Expansion to Commercial Zone) and Showrooms and Development Permit for a Reconfiguring of a Lot (2 into 5 Lots)</w:t>
            </w:r>
          </w:p>
        </w:tc>
        <w:tc>
          <w:tcPr>
            <w:tcW w:w="1843" w:type="dxa"/>
          </w:tcPr>
          <w:p w14:paraId="5B9D0DD8" w14:textId="77777777" w:rsidR="00BE36FB" w:rsidRPr="009B7B35" w:rsidRDefault="00BE36FB" w:rsidP="001A7107">
            <w:pPr>
              <w:pStyle w:val="TableText"/>
              <w:rPr>
                <w:rFonts w:cs="Arial"/>
              </w:rPr>
            </w:pPr>
            <w:r w:rsidRPr="009B7B35">
              <w:rPr>
                <w:rFonts w:cs="Arial"/>
              </w:rPr>
              <w:t>DA/1008/2014</w:t>
            </w:r>
          </w:p>
        </w:tc>
      </w:tr>
    </w:tbl>
    <w:p w14:paraId="443FBB10" w14:textId="77777777" w:rsidR="00BE36FB" w:rsidRPr="009B7B35" w:rsidRDefault="00BE36FB" w:rsidP="001A7107">
      <w:pPr>
        <w:pStyle w:val="Notes"/>
        <w:rPr>
          <w:rFonts w:cs="Arial"/>
          <w:sz w:val="20"/>
          <w:szCs w:val="20"/>
        </w:rPr>
      </w:pPr>
      <w:r w:rsidRPr="009B7B35">
        <w:rPr>
          <w:rFonts w:cs="Arial"/>
          <w:sz w:val="20"/>
          <w:szCs w:val="20"/>
        </w:rPr>
        <w:t>Editor's note—This schedule must include details of:</w:t>
      </w:r>
    </w:p>
    <w:p w14:paraId="5BF823B6" w14:textId="77777777" w:rsidR="00BE36FB" w:rsidRPr="009B7B35" w:rsidRDefault="00BE36FB" w:rsidP="001A7107">
      <w:pPr>
        <w:pStyle w:val="Notesbullet"/>
        <w:rPr>
          <w:rFonts w:cs="Arial"/>
          <w:sz w:val="20"/>
          <w:szCs w:val="20"/>
        </w:rPr>
      </w:pPr>
      <w:r w:rsidRPr="009B7B35">
        <w:rPr>
          <w:rFonts w:cs="Arial"/>
          <w:sz w:val="20"/>
          <w:szCs w:val="20"/>
        </w:rPr>
        <w:t>development approvals that are substantially inconsistent with the planning scheme</w:t>
      </w:r>
    </w:p>
    <w:p w14:paraId="597EE138" w14:textId="77777777" w:rsidR="00BE36FB" w:rsidRPr="009B7B35" w:rsidRDefault="00BE36FB" w:rsidP="001A7107">
      <w:pPr>
        <w:pStyle w:val="Notesbullet"/>
        <w:rPr>
          <w:rFonts w:cs="Arial"/>
          <w:sz w:val="20"/>
          <w:szCs w:val="20"/>
        </w:rPr>
      </w:pPr>
      <w:r w:rsidRPr="009B7B35">
        <w:rPr>
          <w:rFonts w:cs="Arial"/>
          <w:sz w:val="20"/>
          <w:szCs w:val="20"/>
        </w:rPr>
        <w:t>variation approvals</w:t>
      </w:r>
    </w:p>
    <w:p w14:paraId="739314F5" w14:textId="77777777" w:rsidR="00BE36FB" w:rsidRPr="009B7B35" w:rsidRDefault="00BE36FB" w:rsidP="001A7107">
      <w:pPr>
        <w:pStyle w:val="Notesbullet"/>
        <w:rPr>
          <w:rFonts w:cs="Arial"/>
          <w:sz w:val="20"/>
          <w:szCs w:val="20"/>
        </w:rPr>
      </w:pPr>
      <w:r w:rsidRPr="009B7B35">
        <w:rPr>
          <w:rFonts w:cs="Arial"/>
          <w:sz w:val="20"/>
          <w:szCs w:val="20"/>
        </w:rPr>
        <w:t>decisions agreeing to a superseded planning scheme request to apply to a superseded scheme to a particular development</w:t>
      </w:r>
    </w:p>
    <w:p w14:paraId="6C97DF41" w14:textId="77777777" w:rsidR="00BE36FB" w:rsidRPr="009B7B35" w:rsidRDefault="00BE36FB" w:rsidP="007A46D8">
      <w:pPr>
        <w:pStyle w:val="Heading7"/>
        <w:numPr>
          <w:ilvl w:val="6"/>
          <w:numId w:val="834"/>
        </w:numPr>
        <w:rPr>
          <w:rFonts w:cs="Arial"/>
          <w:sz w:val="20"/>
          <w:szCs w:val="20"/>
        </w:rPr>
      </w:pPr>
      <w:bookmarkStart w:id="314" w:name="_Toc205367427"/>
      <w:r w:rsidRPr="009B7B35">
        <w:rPr>
          <w:rFonts w:cs="Arial"/>
          <w:sz w:val="20"/>
          <w:szCs w:val="20"/>
        </w:rPr>
        <w:t>Notation of resolution(s) under Chapter 4, Part 2, Division 2 of the Act</w:t>
      </w:r>
      <w:bookmarkEnd w:id="314"/>
    </w:p>
    <w:p w14:paraId="195CC251" w14:textId="77777777" w:rsidR="00BE36FB" w:rsidRPr="009B7B35" w:rsidRDefault="00BE36FB" w:rsidP="001A7107">
      <w:pPr>
        <w:pStyle w:val="Heading9"/>
        <w:numPr>
          <w:ilvl w:val="0"/>
          <w:numId w:val="0"/>
        </w:numPr>
        <w:rPr>
          <w:rFonts w:cs="Arial"/>
          <w:sz w:val="20"/>
        </w:rPr>
      </w:pPr>
      <w:r w:rsidRPr="009B7B35">
        <w:rPr>
          <w:rFonts w:cs="Arial"/>
          <w:sz w:val="20"/>
        </w:rPr>
        <w:t>Table SC4.2.1—Notation of resolutions under Chapter 4, Part 2, Division 2 of the Act</w:t>
      </w:r>
    </w:p>
    <w:tbl>
      <w:tblPr>
        <w:tblStyle w:val="Tablestyle"/>
        <w:tblW w:w="0" w:type="auto"/>
        <w:tblLook w:val="04A0" w:firstRow="1" w:lastRow="0" w:firstColumn="1" w:lastColumn="0" w:noHBand="0" w:noVBand="1"/>
      </w:tblPr>
      <w:tblGrid>
        <w:gridCol w:w="2355"/>
        <w:gridCol w:w="2348"/>
        <w:gridCol w:w="2348"/>
        <w:gridCol w:w="2305"/>
      </w:tblGrid>
      <w:tr w:rsidR="00BE36FB" w:rsidRPr="009B7B35" w14:paraId="438003FE"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5" w:type="dxa"/>
          </w:tcPr>
          <w:p w14:paraId="16976117" w14:textId="77777777" w:rsidR="00BE36FB" w:rsidRPr="009B7B35" w:rsidRDefault="00BE36FB" w:rsidP="001A7107">
            <w:pPr>
              <w:pStyle w:val="Tableheading"/>
              <w:rPr>
                <w:rFonts w:ascii="Arial" w:hAnsi="Arial" w:cs="Arial"/>
                <w:szCs w:val="20"/>
              </w:rPr>
            </w:pPr>
            <w:r w:rsidRPr="009B7B35">
              <w:rPr>
                <w:rFonts w:ascii="Arial" w:hAnsi="Arial" w:cs="Arial"/>
                <w:szCs w:val="20"/>
              </w:rPr>
              <w:t>Date of resolution</w:t>
            </w:r>
          </w:p>
        </w:tc>
        <w:tc>
          <w:tcPr>
            <w:tcW w:w="2348" w:type="dxa"/>
          </w:tcPr>
          <w:p w14:paraId="487463A8"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Date of effect</w:t>
            </w:r>
          </w:p>
        </w:tc>
        <w:tc>
          <w:tcPr>
            <w:tcW w:w="2348" w:type="dxa"/>
          </w:tcPr>
          <w:p w14:paraId="341FF5A1"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Details</w:t>
            </w:r>
          </w:p>
        </w:tc>
        <w:tc>
          <w:tcPr>
            <w:tcW w:w="2305" w:type="dxa"/>
          </w:tcPr>
          <w:p w14:paraId="491EF3E9"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Contact information</w:t>
            </w:r>
          </w:p>
        </w:tc>
      </w:tr>
      <w:tr w:rsidR="00BE36FB" w:rsidRPr="009B7B35" w14:paraId="65AB8428"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5" w:type="dxa"/>
          </w:tcPr>
          <w:p w14:paraId="2125F2A7" w14:textId="77777777" w:rsidR="00BE36FB" w:rsidRPr="009B7B35" w:rsidRDefault="00BE36FB" w:rsidP="001A7107">
            <w:pPr>
              <w:pStyle w:val="TableText"/>
              <w:rPr>
                <w:rFonts w:cs="Arial"/>
              </w:rPr>
            </w:pPr>
            <w:r w:rsidRPr="009B7B35">
              <w:rPr>
                <w:rFonts w:cs="Arial"/>
              </w:rPr>
              <w:t>18 November 2014</w:t>
            </w:r>
          </w:p>
        </w:tc>
        <w:tc>
          <w:tcPr>
            <w:tcW w:w="2348" w:type="dxa"/>
          </w:tcPr>
          <w:p w14:paraId="47DAC02B"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19 November 2014</w:t>
            </w:r>
          </w:p>
        </w:tc>
        <w:tc>
          <w:tcPr>
            <w:tcW w:w="2348" w:type="dxa"/>
          </w:tcPr>
          <w:p w14:paraId="2E0B00BF"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Adopted Infrastructure Charges Resolution (No.1) 2014</w:t>
            </w:r>
          </w:p>
        </w:tc>
        <w:tc>
          <w:tcPr>
            <w:tcW w:w="2305" w:type="dxa"/>
          </w:tcPr>
          <w:p w14:paraId="7728720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 xml:space="preserve">Available on Councils Website </w:t>
            </w:r>
          </w:p>
        </w:tc>
      </w:tr>
      <w:tr w:rsidR="00BE36FB" w:rsidRPr="009B7B35" w14:paraId="266E729A"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5" w:type="dxa"/>
          </w:tcPr>
          <w:p w14:paraId="7FF9D80E" w14:textId="77777777" w:rsidR="00BE36FB" w:rsidRPr="009B7B35" w:rsidRDefault="00BE36FB" w:rsidP="001A7107">
            <w:pPr>
              <w:pStyle w:val="TableText"/>
              <w:rPr>
                <w:rFonts w:cs="Arial"/>
              </w:rPr>
            </w:pPr>
            <w:r w:rsidRPr="009B7B35">
              <w:rPr>
                <w:rFonts w:cs="Arial"/>
              </w:rPr>
              <w:t>03 November 2015</w:t>
            </w:r>
          </w:p>
        </w:tc>
        <w:tc>
          <w:tcPr>
            <w:tcW w:w="2348" w:type="dxa"/>
          </w:tcPr>
          <w:p w14:paraId="2EE2960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04 November 2015</w:t>
            </w:r>
          </w:p>
        </w:tc>
        <w:tc>
          <w:tcPr>
            <w:tcW w:w="2348" w:type="dxa"/>
          </w:tcPr>
          <w:p w14:paraId="45A1AD8F"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Adopted Infrastructure Charges Resolution (No.1) 2015</w:t>
            </w:r>
          </w:p>
        </w:tc>
        <w:tc>
          <w:tcPr>
            <w:tcW w:w="2305" w:type="dxa"/>
          </w:tcPr>
          <w:p w14:paraId="668C10D4"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Available on Councils Website here</w:t>
            </w:r>
          </w:p>
        </w:tc>
      </w:tr>
      <w:tr w:rsidR="00BE36FB" w:rsidRPr="009B7B35" w14:paraId="111AE4F7"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5" w:type="dxa"/>
          </w:tcPr>
          <w:p w14:paraId="762F52C3" w14:textId="77777777" w:rsidR="00BE36FB" w:rsidRPr="009B7B35" w:rsidRDefault="00BE36FB" w:rsidP="001A7107">
            <w:pPr>
              <w:pStyle w:val="TableText"/>
              <w:rPr>
                <w:rFonts w:cs="Arial"/>
              </w:rPr>
            </w:pPr>
            <w:r w:rsidRPr="009B7B35">
              <w:rPr>
                <w:rFonts w:cs="Arial"/>
              </w:rPr>
              <w:t>20 December 2016</w:t>
            </w:r>
          </w:p>
        </w:tc>
        <w:tc>
          <w:tcPr>
            <w:tcW w:w="2348" w:type="dxa"/>
          </w:tcPr>
          <w:p w14:paraId="1086F45C"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21 December 2016</w:t>
            </w:r>
          </w:p>
        </w:tc>
        <w:tc>
          <w:tcPr>
            <w:tcW w:w="2348" w:type="dxa"/>
          </w:tcPr>
          <w:p w14:paraId="2459281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Adopted Infrastructure Charges Resolution (No.1) 2015 - Amendment 1</w:t>
            </w:r>
          </w:p>
        </w:tc>
        <w:tc>
          <w:tcPr>
            <w:tcW w:w="2305" w:type="dxa"/>
          </w:tcPr>
          <w:p w14:paraId="0B63DCD1"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color w:val="auto"/>
              </w:rPr>
            </w:pPr>
            <w:r w:rsidRPr="009B7B35">
              <w:rPr>
                <w:rFonts w:cs="Arial"/>
                <w:color w:val="auto"/>
              </w:rPr>
              <w:t>Available on Councils Website here</w:t>
            </w:r>
          </w:p>
        </w:tc>
      </w:tr>
      <w:tr w:rsidR="00BE36FB" w:rsidRPr="009B7B35" w14:paraId="4547B2E4"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5" w:type="dxa"/>
          </w:tcPr>
          <w:p w14:paraId="4FCEA38F" w14:textId="77777777" w:rsidR="00BE36FB" w:rsidRPr="009B7B35" w:rsidRDefault="00BE36FB" w:rsidP="001A7107">
            <w:pPr>
              <w:pStyle w:val="TableText"/>
              <w:rPr>
                <w:rFonts w:cs="Arial"/>
              </w:rPr>
            </w:pPr>
            <w:r w:rsidRPr="009B7B35">
              <w:rPr>
                <w:rFonts w:cs="Arial"/>
              </w:rPr>
              <w:t>07 March 2017</w:t>
            </w:r>
          </w:p>
        </w:tc>
        <w:tc>
          <w:tcPr>
            <w:tcW w:w="2348" w:type="dxa"/>
          </w:tcPr>
          <w:p w14:paraId="456577E5"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08 March 2017</w:t>
            </w:r>
          </w:p>
        </w:tc>
        <w:tc>
          <w:tcPr>
            <w:tcW w:w="2348" w:type="dxa"/>
          </w:tcPr>
          <w:p w14:paraId="60B568F3"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Adopted Infrastructure Charges Resolution (No.1) 2015 - Amendment 2</w:t>
            </w:r>
          </w:p>
        </w:tc>
        <w:tc>
          <w:tcPr>
            <w:tcW w:w="2305" w:type="dxa"/>
          </w:tcPr>
          <w:p w14:paraId="2A882D89" w14:textId="77777777" w:rsidR="00BE36FB" w:rsidRPr="009B7B35" w:rsidRDefault="00BE36FB" w:rsidP="001A7107">
            <w:pPr>
              <w:pStyle w:val="TableText"/>
              <w:cnfStyle w:val="000000010000" w:firstRow="0" w:lastRow="0" w:firstColumn="0" w:lastColumn="0" w:oddVBand="0" w:evenVBand="0" w:oddHBand="0" w:evenHBand="1" w:firstRowFirstColumn="0" w:firstRowLastColumn="0" w:lastRowFirstColumn="0" w:lastRowLastColumn="0"/>
              <w:rPr>
                <w:rFonts w:cs="Arial"/>
                <w:color w:val="auto"/>
              </w:rPr>
            </w:pPr>
            <w:r w:rsidRPr="009B7B35">
              <w:rPr>
                <w:rFonts w:cs="Arial"/>
                <w:color w:val="auto"/>
              </w:rPr>
              <w:t>Available on Councils Website here</w:t>
            </w:r>
          </w:p>
        </w:tc>
      </w:tr>
    </w:tbl>
    <w:p w14:paraId="6AA6B1A9" w14:textId="77777777" w:rsidR="00BE36FB" w:rsidRPr="009B7B35" w:rsidRDefault="00BE36FB" w:rsidP="001A7107">
      <w:pPr>
        <w:pStyle w:val="Notes"/>
        <w:rPr>
          <w:rFonts w:cs="Arial"/>
          <w:sz w:val="20"/>
          <w:szCs w:val="20"/>
        </w:rPr>
      </w:pPr>
      <w:r w:rsidRPr="009B7B35">
        <w:rPr>
          <w:rFonts w:cs="Arial"/>
          <w:sz w:val="20"/>
          <w:szCs w:val="20"/>
        </w:rPr>
        <w:t xml:space="preserve">Editor's note—This schedule must provide information about the adopted infrastructure charges for the local government and where a copy of the adopted charges can be obtained, including a link to the local government website where a copy of the infrastructure charges resolution can be viewed or downloaded in accordance with the requirements of section 117(1)(a) of the Act. </w:t>
      </w:r>
    </w:p>
    <w:p w14:paraId="17FAA29F" w14:textId="77777777" w:rsidR="00BE36FB" w:rsidRPr="009B7B35" w:rsidRDefault="00BE36FB" w:rsidP="007A46D8">
      <w:pPr>
        <w:pStyle w:val="Heading7"/>
        <w:numPr>
          <w:ilvl w:val="6"/>
          <w:numId w:val="834"/>
        </w:numPr>
        <w:ind w:left="0" w:firstLine="0"/>
        <w:rPr>
          <w:rFonts w:cs="Arial"/>
          <w:sz w:val="20"/>
          <w:szCs w:val="20"/>
        </w:rPr>
      </w:pPr>
      <w:bookmarkStart w:id="315" w:name="_Toc205367428"/>
      <w:r w:rsidRPr="009B7B35">
        <w:rPr>
          <w:rFonts w:cs="Arial"/>
          <w:sz w:val="20"/>
          <w:szCs w:val="20"/>
        </w:rPr>
        <w:t>Notation of registration for urban encroachment provisions under section 267 of the Act</w:t>
      </w:r>
      <w:bookmarkEnd w:id="315"/>
    </w:p>
    <w:p w14:paraId="053D7BC4" w14:textId="77777777" w:rsidR="00BE36FB" w:rsidRPr="009B7B35" w:rsidRDefault="00BE36FB" w:rsidP="001A7107">
      <w:pPr>
        <w:pStyle w:val="Heading9"/>
        <w:numPr>
          <w:ilvl w:val="0"/>
          <w:numId w:val="0"/>
        </w:numPr>
        <w:rPr>
          <w:rFonts w:cs="Arial"/>
          <w:sz w:val="20"/>
        </w:rPr>
      </w:pPr>
      <w:r w:rsidRPr="009B7B35">
        <w:rPr>
          <w:rFonts w:cs="Arial"/>
          <w:sz w:val="20"/>
        </w:rPr>
        <w:t>Table SC4.3.1—Notation of registrations made under section 267 of the Act</w:t>
      </w:r>
    </w:p>
    <w:tbl>
      <w:tblPr>
        <w:tblStyle w:val="Tablestyle"/>
        <w:tblW w:w="0" w:type="auto"/>
        <w:tblLook w:val="04A0" w:firstRow="1" w:lastRow="0" w:firstColumn="1" w:lastColumn="0" w:noHBand="0" w:noVBand="1"/>
      </w:tblPr>
      <w:tblGrid>
        <w:gridCol w:w="2373"/>
        <w:gridCol w:w="2368"/>
        <w:gridCol w:w="2335"/>
        <w:gridCol w:w="2280"/>
      </w:tblGrid>
      <w:tr w:rsidR="00BE36FB" w:rsidRPr="009B7B35" w14:paraId="7C7C0B2C"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3" w:type="dxa"/>
          </w:tcPr>
          <w:p w14:paraId="22C1C50E" w14:textId="77777777" w:rsidR="00BE36FB" w:rsidRPr="009B7B35" w:rsidRDefault="00BE36FB" w:rsidP="001A7107">
            <w:pPr>
              <w:pStyle w:val="Tableheading"/>
              <w:rPr>
                <w:rFonts w:ascii="Arial" w:hAnsi="Arial" w:cs="Arial"/>
                <w:szCs w:val="20"/>
              </w:rPr>
            </w:pPr>
            <w:r w:rsidRPr="009B7B35">
              <w:rPr>
                <w:rFonts w:ascii="Arial" w:hAnsi="Arial" w:cs="Arial"/>
                <w:szCs w:val="20"/>
              </w:rPr>
              <w:t>Date of registration of the premises</w:t>
            </w:r>
          </w:p>
        </w:tc>
        <w:tc>
          <w:tcPr>
            <w:tcW w:w="2368" w:type="dxa"/>
          </w:tcPr>
          <w:p w14:paraId="7EB15C0F"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Location of premises (real property description)</w:t>
            </w:r>
          </w:p>
        </w:tc>
        <w:tc>
          <w:tcPr>
            <w:tcW w:w="2335" w:type="dxa"/>
          </w:tcPr>
          <w:p w14:paraId="7525B191"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Details of registration</w:t>
            </w:r>
          </w:p>
        </w:tc>
        <w:tc>
          <w:tcPr>
            <w:tcW w:w="2280" w:type="dxa"/>
          </w:tcPr>
          <w:p w14:paraId="421A0D46" w14:textId="77777777" w:rsidR="00BE36FB" w:rsidRPr="009B7B35" w:rsidRDefault="00BE36FB" w:rsidP="001A7107">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9B7B35">
              <w:rPr>
                <w:rFonts w:ascii="Arial" w:hAnsi="Arial" w:cs="Arial"/>
                <w:szCs w:val="20"/>
              </w:rPr>
              <w:t>Term of registration</w:t>
            </w:r>
          </w:p>
        </w:tc>
      </w:tr>
      <w:tr w:rsidR="00BE36FB" w:rsidRPr="009B7B35" w14:paraId="177E8BBB"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3" w:type="dxa"/>
          </w:tcPr>
          <w:p w14:paraId="3DC58188" w14:textId="77777777" w:rsidR="00BE36FB" w:rsidRPr="009B7B35" w:rsidRDefault="00BE36FB" w:rsidP="001A7107">
            <w:pPr>
              <w:pStyle w:val="TableText"/>
              <w:rPr>
                <w:rFonts w:cs="Arial"/>
              </w:rPr>
            </w:pPr>
            <w:r w:rsidRPr="009B7B35">
              <w:rPr>
                <w:rFonts w:cs="Arial"/>
              </w:rPr>
              <w:t>Nil</w:t>
            </w:r>
          </w:p>
        </w:tc>
        <w:tc>
          <w:tcPr>
            <w:tcW w:w="2368" w:type="dxa"/>
          </w:tcPr>
          <w:p w14:paraId="5D0723A2"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Nil</w:t>
            </w:r>
          </w:p>
        </w:tc>
        <w:tc>
          <w:tcPr>
            <w:tcW w:w="2335" w:type="dxa"/>
          </w:tcPr>
          <w:p w14:paraId="75EEE6E6"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Nil</w:t>
            </w:r>
          </w:p>
        </w:tc>
        <w:tc>
          <w:tcPr>
            <w:tcW w:w="2280" w:type="dxa"/>
          </w:tcPr>
          <w:p w14:paraId="691CF8B8" w14:textId="77777777" w:rsidR="00BE36FB" w:rsidRPr="009B7B35" w:rsidRDefault="00BE36FB" w:rsidP="001A7107">
            <w:pPr>
              <w:pStyle w:val="TableText"/>
              <w:cnfStyle w:val="000000100000" w:firstRow="0" w:lastRow="0" w:firstColumn="0" w:lastColumn="0" w:oddVBand="0" w:evenVBand="0" w:oddHBand="1" w:evenHBand="0" w:firstRowFirstColumn="0" w:firstRowLastColumn="0" w:lastRowFirstColumn="0" w:lastRowLastColumn="0"/>
              <w:rPr>
                <w:rFonts w:cs="Arial"/>
              </w:rPr>
            </w:pPr>
            <w:r w:rsidRPr="009B7B35">
              <w:rPr>
                <w:rFonts w:cs="Arial"/>
              </w:rPr>
              <w:t>Nil</w:t>
            </w:r>
          </w:p>
        </w:tc>
      </w:tr>
    </w:tbl>
    <w:p w14:paraId="6CC33316" w14:textId="77777777" w:rsidR="00BE36FB" w:rsidRPr="009B7B35" w:rsidRDefault="00BE36FB" w:rsidP="001A7107">
      <w:pPr>
        <w:rPr>
          <w:rFonts w:ascii="Arial" w:hAnsi="Arial" w:cs="Arial"/>
          <w:sz w:val="20"/>
          <w:szCs w:val="20"/>
        </w:rPr>
        <w:sectPr w:rsidR="00BE36FB" w:rsidRPr="009B7B35" w:rsidSect="001A7107">
          <w:footerReference w:type="default" r:id="rId130"/>
          <w:footerReference w:type="first" r:id="rId131"/>
          <w:pgSz w:w="11906" w:h="16838" w:code="9"/>
          <w:pgMar w:top="1418" w:right="1134" w:bottom="1418" w:left="1134" w:header="567" w:footer="567" w:gutter="284"/>
          <w:cols w:space="708"/>
          <w:docGrid w:linePitch="360"/>
        </w:sectPr>
      </w:pPr>
    </w:p>
    <w:p w14:paraId="178BCF00" w14:textId="77777777" w:rsidR="00BE36FB" w:rsidRPr="009B7B35" w:rsidRDefault="00BE36FB" w:rsidP="007A46D8">
      <w:pPr>
        <w:pStyle w:val="Heading6"/>
        <w:numPr>
          <w:ilvl w:val="5"/>
          <w:numId w:val="834"/>
        </w:numPr>
        <w:rPr>
          <w:rFonts w:cs="Arial"/>
          <w:sz w:val="20"/>
          <w:szCs w:val="20"/>
        </w:rPr>
      </w:pPr>
      <w:bookmarkStart w:id="316" w:name="_Toc205367429"/>
      <w:r w:rsidRPr="009B7B35">
        <w:rPr>
          <w:rFonts w:cs="Arial"/>
          <w:sz w:val="20"/>
          <w:szCs w:val="20"/>
        </w:rPr>
        <w:t>Designation of premises for development</w:t>
      </w:r>
      <w:bookmarkEnd w:id="316"/>
    </w:p>
    <w:p w14:paraId="6990FE27" w14:textId="77777777" w:rsidR="00BE36FB" w:rsidRPr="009B7B35" w:rsidRDefault="00BE36FB" w:rsidP="001A7107">
      <w:pPr>
        <w:pStyle w:val="Heading9"/>
        <w:numPr>
          <w:ilvl w:val="0"/>
          <w:numId w:val="0"/>
        </w:numPr>
        <w:rPr>
          <w:rFonts w:cs="Arial"/>
          <w:sz w:val="20"/>
        </w:rPr>
      </w:pPr>
      <w:r w:rsidRPr="009B7B35">
        <w:rPr>
          <w:rFonts w:cs="Arial"/>
          <w:sz w:val="20"/>
        </w:rPr>
        <w:t>Table SC5.1—Designation of premises for development of infrastructure under section 42 of the Act</w:t>
      </w:r>
    </w:p>
    <w:tbl>
      <w:tblPr>
        <w:tblStyle w:val="Tablestyle"/>
        <w:tblW w:w="0" w:type="auto"/>
        <w:tblLook w:val="0620" w:firstRow="1" w:lastRow="0" w:firstColumn="0" w:lastColumn="0" w:noHBand="1" w:noVBand="1"/>
      </w:tblPr>
      <w:tblGrid>
        <w:gridCol w:w="1886"/>
        <w:gridCol w:w="1612"/>
        <w:gridCol w:w="2314"/>
        <w:gridCol w:w="3599"/>
      </w:tblGrid>
      <w:tr w:rsidR="00BE36FB" w:rsidRPr="009B7B35" w14:paraId="6F2FEC46" w14:textId="77777777" w:rsidTr="001A7107">
        <w:trPr>
          <w:cnfStyle w:val="100000000000" w:firstRow="1" w:lastRow="0" w:firstColumn="0" w:lastColumn="0" w:oddVBand="0" w:evenVBand="0" w:oddHBand="0" w:evenHBand="0" w:firstRowFirstColumn="0" w:firstRowLastColumn="0" w:lastRowFirstColumn="0" w:lastRowLastColumn="0"/>
          <w:tblHeader/>
        </w:trPr>
        <w:tc>
          <w:tcPr>
            <w:tcW w:w="0" w:type="auto"/>
          </w:tcPr>
          <w:p w14:paraId="7A72FF1F" w14:textId="77777777" w:rsidR="00BE36FB" w:rsidRPr="009B7B35" w:rsidRDefault="00BE36FB" w:rsidP="001A7107">
            <w:pPr>
              <w:pStyle w:val="Tableheading"/>
              <w:rPr>
                <w:rFonts w:ascii="Arial" w:hAnsi="Arial" w:cs="Arial"/>
                <w:szCs w:val="20"/>
              </w:rPr>
            </w:pPr>
            <w:r w:rsidRPr="009B7B35">
              <w:rPr>
                <w:rFonts w:ascii="Arial" w:hAnsi="Arial" w:cs="Arial"/>
                <w:szCs w:val="20"/>
              </w:rPr>
              <w:t>Date the designation, amendment, extension or repeal takes effect</w:t>
            </w:r>
          </w:p>
        </w:tc>
        <w:tc>
          <w:tcPr>
            <w:tcW w:w="0" w:type="auto"/>
          </w:tcPr>
          <w:p w14:paraId="28B24A1D" w14:textId="77777777" w:rsidR="00BE36FB" w:rsidRPr="009B7B35" w:rsidRDefault="00BE36FB" w:rsidP="001A7107">
            <w:pPr>
              <w:pStyle w:val="Tableheading"/>
              <w:rPr>
                <w:rFonts w:ascii="Arial" w:hAnsi="Arial" w:cs="Arial"/>
                <w:szCs w:val="20"/>
              </w:rPr>
            </w:pPr>
            <w:r w:rsidRPr="009B7B35">
              <w:rPr>
                <w:rFonts w:ascii="Arial" w:hAnsi="Arial" w:cs="Arial"/>
                <w:szCs w:val="20"/>
              </w:rPr>
              <w:t>Location of premises (real property description</w:t>
            </w:r>
          </w:p>
        </w:tc>
        <w:tc>
          <w:tcPr>
            <w:tcW w:w="2314" w:type="dxa"/>
          </w:tcPr>
          <w:p w14:paraId="5AD20C21" w14:textId="77777777" w:rsidR="00BE36FB" w:rsidRPr="009B7B35" w:rsidRDefault="00BE36FB" w:rsidP="001A7107">
            <w:pPr>
              <w:pStyle w:val="Tableheading"/>
              <w:rPr>
                <w:rFonts w:ascii="Arial" w:hAnsi="Arial" w:cs="Arial"/>
                <w:szCs w:val="20"/>
              </w:rPr>
            </w:pPr>
            <w:r w:rsidRPr="009B7B35">
              <w:rPr>
                <w:rFonts w:ascii="Arial" w:hAnsi="Arial" w:cs="Arial"/>
                <w:szCs w:val="20"/>
              </w:rPr>
              <w:t>Street address</w:t>
            </w:r>
          </w:p>
        </w:tc>
        <w:tc>
          <w:tcPr>
            <w:tcW w:w="3599" w:type="dxa"/>
          </w:tcPr>
          <w:p w14:paraId="472846C6" w14:textId="77777777" w:rsidR="00BE36FB" w:rsidRPr="009B7B35" w:rsidRDefault="00BE36FB" w:rsidP="001A7107">
            <w:pPr>
              <w:pStyle w:val="Tableheading"/>
              <w:rPr>
                <w:rFonts w:ascii="Arial" w:hAnsi="Arial" w:cs="Arial"/>
                <w:szCs w:val="20"/>
              </w:rPr>
            </w:pPr>
            <w:r w:rsidRPr="009B7B35">
              <w:rPr>
                <w:rFonts w:ascii="Arial" w:hAnsi="Arial" w:cs="Arial"/>
                <w:szCs w:val="20"/>
              </w:rPr>
              <w:t>Type of infrastructure</w:t>
            </w:r>
          </w:p>
        </w:tc>
      </w:tr>
      <w:tr w:rsidR="00BE36FB" w:rsidRPr="009B7B35" w14:paraId="1E2AABE4" w14:textId="77777777" w:rsidTr="001A7107">
        <w:tc>
          <w:tcPr>
            <w:tcW w:w="0" w:type="auto"/>
          </w:tcPr>
          <w:p w14:paraId="1C882B2C" w14:textId="77777777" w:rsidR="00BE36FB" w:rsidRPr="009B7B35" w:rsidRDefault="00BE36FB" w:rsidP="001A7107">
            <w:pPr>
              <w:pStyle w:val="TableText"/>
              <w:rPr>
                <w:rFonts w:cs="Arial"/>
              </w:rPr>
            </w:pPr>
            <w:r w:rsidRPr="009B7B35">
              <w:rPr>
                <w:rFonts w:cs="Arial"/>
              </w:rPr>
              <w:t>19/01/2001</w:t>
            </w:r>
          </w:p>
        </w:tc>
        <w:tc>
          <w:tcPr>
            <w:tcW w:w="0" w:type="auto"/>
          </w:tcPr>
          <w:p w14:paraId="2EED06A2" w14:textId="77777777" w:rsidR="00BE36FB" w:rsidRPr="009B7B35" w:rsidRDefault="00BE36FB" w:rsidP="001A7107">
            <w:pPr>
              <w:pStyle w:val="TableText"/>
              <w:rPr>
                <w:rFonts w:cs="Arial"/>
              </w:rPr>
            </w:pPr>
            <w:r w:rsidRPr="009B7B35">
              <w:rPr>
                <w:rFonts w:cs="Arial"/>
              </w:rPr>
              <w:t>31 CTN1</w:t>
            </w:r>
          </w:p>
          <w:p w14:paraId="562451E9" w14:textId="77777777" w:rsidR="00BE36FB" w:rsidRPr="009B7B35" w:rsidRDefault="00BE36FB" w:rsidP="001A7107">
            <w:pPr>
              <w:pStyle w:val="TableText"/>
              <w:rPr>
                <w:rFonts w:cs="Arial"/>
              </w:rPr>
            </w:pPr>
            <w:r w:rsidRPr="009B7B35">
              <w:rPr>
                <w:rFonts w:cs="Arial"/>
              </w:rPr>
              <w:t>20 SP106093</w:t>
            </w:r>
          </w:p>
          <w:p w14:paraId="4A674869" w14:textId="77777777" w:rsidR="00BE36FB" w:rsidRPr="009B7B35" w:rsidRDefault="00BE36FB" w:rsidP="001A7107">
            <w:pPr>
              <w:pStyle w:val="TableText"/>
              <w:rPr>
                <w:rFonts w:cs="Arial"/>
              </w:rPr>
            </w:pPr>
            <w:r w:rsidRPr="009B7B35">
              <w:rPr>
                <w:rFonts w:cs="Arial"/>
              </w:rPr>
              <w:t>21 SP106093</w:t>
            </w:r>
          </w:p>
          <w:p w14:paraId="7751CC24" w14:textId="77777777" w:rsidR="00BE36FB" w:rsidRPr="009B7B35" w:rsidRDefault="00BE36FB" w:rsidP="001A7107">
            <w:pPr>
              <w:pStyle w:val="TableText"/>
              <w:rPr>
                <w:rFonts w:cs="Arial"/>
              </w:rPr>
            </w:pPr>
            <w:r w:rsidRPr="009B7B35">
              <w:rPr>
                <w:rFonts w:cs="Arial"/>
              </w:rPr>
              <w:t>22 SP106093</w:t>
            </w:r>
          </w:p>
          <w:p w14:paraId="181185C7" w14:textId="77777777" w:rsidR="00BE36FB" w:rsidRPr="009B7B35" w:rsidRDefault="00BE36FB" w:rsidP="001A7107">
            <w:pPr>
              <w:pStyle w:val="TableText"/>
              <w:rPr>
                <w:rFonts w:cs="Arial"/>
              </w:rPr>
            </w:pPr>
            <w:r w:rsidRPr="009B7B35">
              <w:rPr>
                <w:rFonts w:cs="Arial"/>
              </w:rPr>
              <w:t>6 CTN1122</w:t>
            </w:r>
          </w:p>
          <w:p w14:paraId="7345F124" w14:textId="77777777" w:rsidR="00BE36FB" w:rsidRPr="009B7B35" w:rsidRDefault="00BE36FB" w:rsidP="001A7107">
            <w:pPr>
              <w:pStyle w:val="TableText"/>
              <w:rPr>
                <w:rFonts w:cs="Arial"/>
              </w:rPr>
            </w:pPr>
            <w:r w:rsidRPr="009B7B35">
              <w:rPr>
                <w:rFonts w:cs="Arial"/>
              </w:rPr>
              <w:t>43 CTN116</w:t>
            </w:r>
          </w:p>
          <w:p w14:paraId="5D40E7B7" w14:textId="77777777" w:rsidR="00BE36FB" w:rsidRPr="009B7B35" w:rsidRDefault="00BE36FB" w:rsidP="001A7107">
            <w:pPr>
              <w:pStyle w:val="TableText"/>
              <w:rPr>
                <w:rFonts w:cs="Arial"/>
              </w:rPr>
            </w:pPr>
            <w:r w:rsidRPr="009B7B35">
              <w:rPr>
                <w:rFonts w:cs="Arial"/>
              </w:rPr>
              <w:t>1 SP121313</w:t>
            </w:r>
          </w:p>
          <w:p w14:paraId="1E063837" w14:textId="77777777" w:rsidR="00BE36FB" w:rsidRPr="009B7B35" w:rsidRDefault="00BE36FB" w:rsidP="001A7107">
            <w:pPr>
              <w:pStyle w:val="TableText"/>
              <w:rPr>
                <w:rFonts w:cs="Arial"/>
              </w:rPr>
            </w:pPr>
            <w:r w:rsidRPr="009B7B35">
              <w:rPr>
                <w:rFonts w:cs="Arial"/>
              </w:rPr>
              <w:t>13 CTN1229</w:t>
            </w:r>
          </w:p>
          <w:p w14:paraId="6FA75C8F" w14:textId="77777777" w:rsidR="00BE36FB" w:rsidRPr="009B7B35" w:rsidRDefault="00BE36FB" w:rsidP="001A7107">
            <w:pPr>
              <w:pStyle w:val="TableText"/>
              <w:rPr>
                <w:rFonts w:cs="Arial"/>
              </w:rPr>
            </w:pPr>
            <w:r w:rsidRPr="009B7B35">
              <w:rPr>
                <w:rFonts w:cs="Arial"/>
              </w:rPr>
              <w:t>161 CTN124</w:t>
            </w:r>
          </w:p>
          <w:p w14:paraId="0296DE34" w14:textId="77777777" w:rsidR="00BE36FB" w:rsidRPr="009B7B35" w:rsidRDefault="00BE36FB" w:rsidP="001A7107">
            <w:pPr>
              <w:pStyle w:val="TableText"/>
              <w:rPr>
                <w:rFonts w:cs="Arial"/>
              </w:rPr>
            </w:pPr>
            <w:r w:rsidRPr="009B7B35">
              <w:rPr>
                <w:rFonts w:cs="Arial"/>
              </w:rPr>
              <w:t>162 CTN124</w:t>
            </w:r>
          </w:p>
          <w:p w14:paraId="70D714EE" w14:textId="77777777" w:rsidR="00BE36FB" w:rsidRPr="009B7B35" w:rsidRDefault="00BE36FB" w:rsidP="001A7107">
            <w:pPr>
              <w:pStyle w:val="TableText"/>
              <w:rPr>
                <w:rFonts w:cs="Arial"/>
              </w:rPr>
            </w:pPr>
            <w:r w:rsidRPr="009B7B35">
              <w:rPr>
                <w:rFonts w:cs="Arial"/>
              </w:rPr>
              <w:t>171 CTN124</w:t>
            </w:r>
          </w:p>
          <w:p w14:paraId="064AD678" w14:textId="77777777" w:rsidR="00BE36FB" w:rsidRPr="009B7B35" w:rsidRDefault="00BE36FB" w:rsidP="001A7107">
            <w:pPr>
              <w:pStyle w:val="TableText"/>
              <w:rPr>
                <w:rFonts w:cs="Arial"/>
              </w:rPr>
            </w:pPr>
            <w:r w:rsidRPr="009B7B35">
              <w:rPr>
                <w:rFonts w:cs="Arial"/>
              </w:rPr>
              <w:t>181 CTN124</w:t>
            </w:r>
          </w:p>
          <w:p w14:paraId="00126249" w14:textId="77777777" w:rsidR="00BE36FB" w:rsidRPr="009B7B35" w:rsidRDefault="00BE36FB" w:rsidP="001A7107">
            <w:pPr>
              <w:pStyle w:val="TableText"/>
              <w:rPr>
                <w:rFonts w:cs="Arial"/>
              </w:rPr>
            </w:pPr>
            <w:r w:rsidRPr="009B7B35">
              <w:rPr>
                <w:rFonts w:cs="Arial"/>
              </w:rPr>
              <w:t>182 CTN124</w:t>
            </w:r>
          </w:p>
          <w:p w14:paraId="5C512FD5" w14:textId="77777777" w:rsidR="00BE36FB" w:rsidRPr="009B7B35" w:rsidRDefault="00BE36FB" w:rsidP="001A7107">
            <w:pPr>
              <w:pStyle w:val="TableText"/>
              <w:rPr>
                <w:rFonts w:cs="Arial"/>
              </w:rPr>
            </w:pPr>
            <w:r w:rsidRPr="009B7B35">
              <w:rPr>
                <w:rFonts w:cs="Arial"/>
              </w:rPr>
              <w:t>152 CTN124</w:t>
            </w:r>
          </w:p>
          <w:p w14:paraId="31A4E9C1" w14:textId="77777777" w:rsidR="00BE36FB" w:rsidRPr="009B7B35" w:rsidRDefault="00BE36FB" w:rsidP="001A7107">
            <w:pPr>
              <w:pStyle w:val="TableText"/>
              <w:rPr>
                <w:rFonts w:cs="Arial"/>
              </w:rPr>
            </w:pPr>
            <w:r w:rsidRPr="009B7B35">
              <w:rPr>
                <w:rFonts w:cs="Arial"/>
              </w:rPr>
              <w:t>131 CTN124</w:t>
            </w:r>
          </w:p>
          <w:p w14:paraId="1EA85D65" w14:textId="77777777" w:rsidR="00BE36FB" w:rsidRPr="009B7B35" w:rsidRDefault="00BE36FB" w:rsidP="001A7107">
            <w:pPr>
              <w:pStyle w:val="TableText"/>
              <w:rPr>
                <w:rFonts w:cs="Arial"/>
              </w:rPr>
            </w:pPr>
            <w:r w:rsidRPr="009B7B35">
              <w:rPr>
                <w:rFonts w:cs="Arial"/>
              </w:rPr>
              <w:t>132 CTN124</w:t>
            </w:r>
          </w:p>
          <w:p w14:paraId="3C139BB9" w14:textId="77777777" w:rsidR="00BE36FB" w:rsidRPr="009B7B35" w:rsidRDefault="00BE36FB" w:rsidP="001A7107">
            <w:pPr>
              <w:pStyle w:val="TableText"/>
              <w:rPr>
                <w:rFonts w:cs="Arial"/>
              </w:rPr>
            </w:pPr>
            <w:r w:rsidRPr="009B7B35">
              <w:rPr>
                <w:rFonts w:cs="Arial"/>
              </w:rPr>
              <w:t>141 CTN124</w:t>
            </w:r>
          </w:p>
          <w:p w14:paraId="5749CC3E" w14:textId="77777777" w:rsidR="00BE36FB" w:rsidRPr="009B7B35" w:rsidRDefault="00BE36FB" w:rsidP="001A7107">
            <w:pPr>
              <w:pStyle w:val="TableText"/>
              <w:rPr>
                <w:rFonts w:cs="Arial"/>
              </w:rPr>
            </w:pPr>
            <w:r w:rsidRPr="009B7B35">
              <w:rPr>
                <w:rFonts w:cs="Arial"/>
              </w:rPr>
              <w:t>151 CTN124</w:t>
            </w:r>
          </w:p>
          <w:p w14:paraId="452D3DAA" w14:textId="77777777" w:rsidR="00BE36FB" w:rsidRPr="009B7B35" w:rsidRDefault="00BE36FB" w:rsidP="001A7107">
            <w:pPr>
              <w:pStyle w:val="TableText"/>
              <w:rPr>
                <w:rFonts w:cs="Arial"/>
              </w:rPr>
            </w:pPr>
            <w:r w:rsidRPr="009B7B35">
              <w:rPr>
                <w:rFonts w:cs="Arial"/>
              </w:rPr>
              <w:t>201 CTN124</w:t>
            </w:r>
          </w:p>
          <w:p w14:paraId="73A3861C" w14:textId="77777777" w:rsidR="00BE36FB" w:rsidRPr="009B7B35" w:rsidRDefault="00BE36FB" w:rsidP="001A7107">
            <w:pPr>
              <w:pStyle w:val="TableText"/>
              <w:rPr>
                <w:rFonts w:cs="Arial"/>
              </w:rPr>
            </w:pPr>
            <w:r w:rsidRPr="009B7B35">
              <w:rPr>
                <w:rFonts w:cs="Arial"/>
              </w:rPr>
              <w:t>61 CTN1327</w:t>
            </w:r>
          </w:p>
          <w:p w14:paraId="635CDAD4" w14:textId="77777777" w:rsidR="00BE36FB" w:rsidRPr="009B7B35" w:rsidRDefault="00BE36FB" w:rsidP="001A7107">
            <w:pPr>
              <w:pStyle w:val="TableText"/>
              <w:rPr>
                <w:rFonts w:cs="Arial"/>
              </w:rPr>
            </w:pPr>
            <w:r w:rsidRPr="009B7B35">
              <w:rPr>
                <w:rFonts w:cs="Arial"/>
              </w:rPr>
              <w:t>4 CTN1364</w:t>
            </w:r>
          </w:p>
          <w:p w14:paraId="7C43DE30" w14:textId="77777777" w:rsidR="00BE36FB" w:rsidRPr="009B7B35" w:rsidRDefault="00BE36FB" w:rsidP="001A7107">
            <w:pPr>
              <w:pStyle w:val="TableText"/>
              <w:rPr>
                <w:rFonts w:cs="Arial"/>
              </w:rPr>
            </w:pPr>
            <w:r w:rsidRPr="009B7B35">
              <w:rPr>
                <w:rFonts w:cs="Arial"/>
              </w:rPr>
              <w:t>43 CTN1370</w:t>
            </w:r>
          </w:p>
          <w:p w14:paraId="52AFDC36" w14:textId="77777777" w:rsidR="00BE36FB" w:rsidRPr="009B7B35" w:rsidRDefault="00BE36FB" w:rsidP="001A7107">
            <w:pPr>
              <w:pStyle w:val="TableText"/>
              <w:rPr>
                <w:rFonts w:cs="Arial"/>
              </w:rPr>
            </w:pPr>
            <w:r w:rsidRPr="009B7B35">
              <w:rPr>
                <w:rFonts w:cs="Arial"/>
              </w:rPr>
              <w:t>36 CTN1432</w:t>
            </w:r>
          </w:p>
          <w:p w14:paraId="3F9FD85D" w14:textId="77777777" w:rsidR="00BE36FB" w:rsidRPr="009B7B35" w:rsidRDefault="00BE36FB" w:rsidP="001A7107">
            <w:pPr>
              <w:pStyle w:val="TableText"/>
              <w:rPr>
                <w:rFonts w:cs="Arial"/>
              </w:rPr>
            </w:pPr>
            <w:r w:rsidRPr="009B7B35">
              <w:rPr>
                <w:rFonts w:cs="Arial"/>
              </w:rPr>
              <w:t>3 RP15332</w:t>
            </w:r>
          </w:p>
          <w:p w14:paraId="723C2BF8" w14:textId="77777777" w:rsidR="00BE36FB" w:rsidRPr="009B7B35" w:rsidRDefault="00BE36FB" w:rsidP="001A7107">
            <w:pPr>
              <w:pStyle w:val="TableText"/>
              <w:rPr>
                <w:rFonts w:cs="Arial"/>
              </w:rPr>
            </w:pPr>
            <w:r w:rsidRPr="009B7B35">
              <w:rPr>
                <w:rFonts w:cs="Arial"/>
              </w:rPr>
              <w:t>4 RP15332</w:t>
            </w:r>
          </w:p>
          <w:p w14:paraId="096FAE2D" w14:textId="77777777" w:rsidR="00BE36FB" w:rsidRPr="009B7B35" w:rsidRDefault="00BE36FB" w:rsidP="001A7107">
            <w:pPr>
              <w:pStyle w:val="TableText"/>
              <w:rPr>
                <w:rFonts w:cs="Arial"/>
              </w:rPr>
            </w:pPr>
            <w:r w:rsidRPr="009B7B35">
              <w:rPr>
                <w:rFonts w:cs="Arial"/>
              </w:rPr>
              <w:t>64 CTN1550</w:t>
            </w:r>
          </w:p>
          <w:p w14:paraId="1C79A92D" w14:textId="77777777" w:rsidR="00BE36FB" w:rsidRPr="009B7B35" w:rsidRDefault="00BE36FB" w:rsidP="001A7107">
            <w:pPr>
              <w:pStyle w:val="TableText"/>
              <w:rPr>
                <w:rFonts w:cs="Arial"/>
              </w:rPr>
            </w:pPr>
            <w:r w:rsidRPr="009B7B35">
              <w:rPr>
                <w:rFonts w:cs="Arial"/>
              </w:rPr>
              <w:t>583 FTY1595</w:t>
            </w:r>
          </w:p>
          <w:p w14:paraId="025BD900" w14:textId="77777777" w:rsidR="00BE36FB" w:rsidRPr="009B7B35" w:rsidRDefault="00BE36FB" w:rsidP="001A7107">
            <w:pPr>
              <w:pStyle w:val="TableText"/>
              <w:rPr>
                <w:rFonts w:cs="Arial"/>
              </w:rPr>
            </w:pPr>
            <w:r w:rsidRPr="009B7B35">
              <w:rPr>
                <w:rFonts w:cs="Arial"/>
              </w:rPr>
              <w:t>17 CTN166</w:t>
            </w:r>
          </w:p>
          <w:p w14:paraId="18A08A94" w14:textId="77777777" w:rsidR="00BE36FB" w:rsidRPr="009B7B35" w:rsidRDefault="00BE36FB" w:rsidP="001A7107">
            <w:pPr>
              <w:pStyle w:val="TableText"/>
              <w:rPr>
                <w:rFonts w:cs="Arial"/>
              </w:rPr>
            </w:pPr>
            <w:r w:rsidRPr="009B7B35">
              <w:rPr>
                <w:rFonts w:cs="Arial"/>
              </w:rPr>
              <w:t>79 CTN1668</w:t>
            </w:r>
          </w:p>
          <w:p w14:paraId="61F0FE5F" w14:textId="77777777" w:rsidR="00BE36FB" w:rsidRPr="009B7B35" w:rsidRDefault="00BE36FB" w:rsidP="001A7107">
            <w:pPr>
              <w:pStyle w:val="TableText"/>
              <w:rPr>
                <w:rFonts w:cs="Arial"/>
              </w:rPr>
            </w:pPr>
            <w:r w:rsidRPr="009B7B35">
              <w:rPr>
                <w:rFonts w:cs="Arial"/>
              </w:rPr>
              <w:t>90 CTN1668</w:t>
            </w:r>
          </w:p>
          <w:p w14:paraId="755B729A" w14:textId="77777777" w:rsidR="00BE36FB" w:rsidRPr="009B7B35" w:rsidRDefault="00BE36FB" w:rsidP="001A7107">
            <w:pPr>
              <w:pStyle w:val="TableText"/>
              <w:rPr>
                <w:rFonts w:cs="Arial"/>
              </w:rPr>
            </w:pPr>
            <w:r w:rsidRPr="009B7B35">
              <w:rPr>
                <w:rFonts w:cs="Arial"/>
              </w:rPr>
              <w:t>35 CTN1715</w:t>
            </w:r>
          </w:p>
          <w:p w14:paraId="504873F5" w14:textId="77777777" w:rsidR="00BE36FB" w:rsidRPr="009B7B35" w:rsidRDefault="00BE36FB" w:rsidP="001A7107">
            <w:pPr>
              <w:pStyle w:val="TableText"/>
              <w:rPr>
                <w:rFonts w:cs="Arial"/>
              </w:rPr>
            </w:pPr>
            <w:r w:rsidRPr="009B7B35">
              <w:rPr>
                <w:rFonts w:cs="Arial"/>
              </w:rPr>
              <w:t>48 CTN1754</w:t>
            </w:r>
          </w:p>
          <w:p w14:paraId="06955B25" w14:textId="77777777" w:rsidR="00BE36FB" w:rsidRPr="009B7B35" w:rsidRDefault="00BE36FB" w:rsidP="001A7107">
            <w:pPr>
              <w:pStyle w:val="TableText"/>
              <w:rPr>
                <w:rFonts w:cs="Arial"/>
              </w:rPr>
            </w:pPr>
            <w:r w:rsidRPr="009B7B35">
              <w:rPr>
                <w:rFonts w:cs="Arial"/>
              </w:rPr>
              <w:t>102 CTN1796</w:t>
            </w:r>
          </w:p>
          <w:p w14:paraId="2AD64574" w14:textId="77777777" w:rsidR="00BE36FB" w:rsidRPr="009B7B35" w:rsidRDefault="00BE36FB" w:rsidP="001A7107">
            <w:pPr>
              <w:pStyle w:val="TableText"/>
              <w:rPr>
                <w:rFonts w:cs="Arial"/>
              </w:rPr>
            </w:pPr>
            <w:r w:rsidRPr="009B7B35">
              <w:rPr>
                <w:rFonts w:cs="Arial"/>
              </w:rPr>
              <w:t>1 CTN181</w:t>
            </w:r>
          </w:p>
          <w:p w14:paraId="793330A7" w14:textId="77777777" w:rsidR="00BE36FB" w:rsidRPr="009B7B35" w:rsidRDefault="00BE36FB" w:rsidP="001A7107">
            <w:pPr>
              <w:pStyle w:val="TableText"/>
              <w:rPr>
                <w:rFonts w:cs="Arial"/>
              </w:rPr>
            </w:pPr>
            <w:r w:rsidRPr="009B7B35">
              <w:rPr>
                <w:rFonts w:cs="Arial"/>
              </w:rPr>
              <w:t xml:space="preserve">2 CTN181 </w:t>
            </w:r>
          </w:p>
          <w:p w14:paraId="3BDE7BBE" w14:textId="77777777" w:rsidR="00BE36FB" w:rsidRPr="009B7B35" w:rsidRDefault="00BE36FB" w:rsidP="001A7107">
            <w:pPr>
              <w:pStyle w:val="TableText"/>
              <w:rPr>
                <w:rFonts w:cs="Arial"/>
              </w:rPr>
            </w:pPr>
            <w:r w:rsidRPr="009B7B35">
              <w:rPr>
                <w:rFonts w:cs="Arial"/>
              </w:rPr>
              <w:t>35 CTN1834</w:t>
            </w:r>
          </w:p>
          <w:p w14:paraId="613DF247" w14:textId="77777777" w:rsidR="00BE36FB" w:rsidRPr="009B7B35" w:rsidRDefault="00BE36FB" w:rsidP="001A7107">
            <w:pPr>
              <w:pStyle w:val="TableText"/>
              <w:rPr>
                <w:rFonts w:cs="Arial"/>
              </w:rPr>
            </w:pPr>
            <w:r w:rsidRPr="009B7B35">
              <w:rPr>
                <w:rFonts w:cs="Arial"/>
              </w:rPr>
              <w:t>36 CTN1954</w:t>
            </w:r>
          </w:p>
          <w:p w14:paraId="208467DC" w14:textId="77777777" w:rsidR="00BE36FB" w:rsidRPr="009B7B35" w:rsidRDefault="00BE36FB" w:rsidP="001A7107">
            <w:pPr>
              <w:pStyle w:val="TableText"/>
              <w:rPr>
                <w:rFonts w:cs="Arial"/>
              </w:rPr>
            </w:pPr>
            <w:r w:rsidRPr="009B7B35">
              <w:rPr>
                <w:rFonts w:cs="Arial"/>
              </w:rPr>
              <w:t>73 CTN2058</w:t>
            </w:r>
          </w:p>
          <w:p w14:paraId="12912323" w14:textId="77777777" w:rsidR="00BE36FB" w:rsidRPr="009B7B35" w:rsidRDefault="00BE36FB" w:rsidP="001A7107">
            <w:pPr>
              <w:pStyle w:val="TableText"/>
              <w:rPr>
                <w:rFonts w:cs="Arial"/>
              </w:rPr>
            </w:pPr>
            <w:r w:rsidRPr="009B7B35">
              <w:rPr>
                <w:rFonts w:cs="Arial"/>
              </w:rPr>
              <w:t>7 CTN207</w:t>
            </w:r>
          </w:p>
          <w:p w14:paraId="64FDC2BD" w14:textId="77777777" w:rsidR="00BE36FB" w:rsidRPr="009B7B35" w:rsidRDefault="00BE36FB" w:rsidP="001A7107">
            <w:pPr>
              <w:pStyle w:val="TableText"/>
              <w:rPr>
                <w:rFonts w:cs="Arial"/>
              </w:rPr>
            </w:pPr>
            <w:r w:rsidRPr="009B7B35">
              <w:rPr>
                <w:rFonts w:cs="Arial"/>
              </w:rPr>
              <w:t>14 CTN207</w:t>
            </w:r>
          </w:p>
          <w:p w14:paraId="7624C25F" w14:textId="77777777" w:rsidR="00BE36FB" w:rsidRPr="009B7B35" w:rsidRDefault="00BE36FB" w:rsidP="001A7107">
            <w:pPr>
              <w:pStyle w:val="TableText"/>
              <w:rPr>
                <w:rFonts w:cs="Arial"/>
              </w:rPr>
            </w:pPr>
            <w:r w:rsidRPr="009B7B35">
              <w:rPr>
                <w:rFonts w:cs="Arial"/>
              </w:rPr>
              <w:t>6 CTN207</w:t>
            </w:r>
          </w:p>
          <w:p w14:paraId="7B419E0F" w14:textId="77777777" w:rsidR="00BE36FB" w:rsidRPr="009B7B35" w:rsidRDefault="00BE36FB" w:rsidP="001A7107">
            <w:pPr>
              <w:pStyle w:val="TableText"/>
              <w:rPr>
                <w:rFonts w:cs="Arial"/>
              </w:rPr>
            </w:pPr>
            <w:r w:rsidRPr="009B7B35">
              <w:rPr>
                <w:rFonts w:cs="Arial"/>
              </w:rPr>
              <w:t>23 CTN207</w:t>
            </w:r>
          </w:p>
          <w:p w14:paraId="1F59A6DA" w14:textId="77777777" w:rsidR="00BE36FB" w:rsidRPr="009B7B35" w:rsidRDefault="00BE36FB" w:rsidP="001A7107">
            <w:pPr>
              <w:pStyle w:val="TableText"/>
              <w:rPr>
                <w:rFonts w:cs="Arial"/>
              </w:rPr>
            </w:pPr>
            <w:r w:rsidRPr="009B7B35">
              <w:rPr>
                <w:rFonts w:cs="Arial"/>
              </w:rPr>
              <w:t>24 CTN207</w:t>
            </w:r>
          </w:p>
          <w:p w14:paraId="4D62C758" w14:textId="77777777" w:rsidR="00BE36FB" w:rsidRPr="009B7B35" w:rsidRDefault="00BE36FB" w:rsidP="001A7107">
            <w:pPr>
              <w:pStyle w:val="TableText"/>
              <w:rPr>
                <w:rFonts w:cs="Arial"/>
              </w:rPr>
            </w:pPr>
            <w:r w:rsidRPr="009B7B35">
              <w:rPr>
                <w:rFonts w:cs="Arial"/>
              </w:rPr>
              <w:t>2 CTN207</w:t>
            </w:r>
          </w:p>
          <w:p w14:paraId="6186661D" w14:textId="77777777" w:rsidR="00BE36FB" w:rsidRPr="009B7B35" w:rsidRDefault="00BE36FB" w:rsidP="001A7107">
            <w:pPr>
              <w:pStyle w:val="TableText"/>
              <w:rPr>
                <w:rFonts w:cs="Arial"/>
              </w:rPr>
            </w:pPr>
            <w:r w:rsidRPr="009B7B35">
              <w:rPr>
                <w:rFonts w:cs="Arial"/>
              </w:rPr>
              <w:t>3 CTN207</w:t>
            </w:r>
          </w:p>
          <w:p w14:paraId="7C085CFE" w14:textId="77777777" w:rsidR="00BE36FB" w:rsidRPr="009B7B35" w:rsidRDefault="00BE36FB" w:rsidP="001A7107">
            <w:pPr>
              <w:pStyle w:val="TableText"/>
              <w:rPr>
                <w:rFonts w:cs="Arial"/>
              </w:rPr>
            </w:pPr>
            <w:r w:rsidRPr="009B7B35">
              <w:rPr>
                <w:rFonts w:cs="Arial"/>
              </w:rPr>
              <w:t>4 CTN207</w:t>
            </w:r>
          </w:p>
          <w:p w14:paraId="67E48324" w14:textId="77777777" w:rsidR="00BE36FB" w:rsidRPr="009B7B35" w:rsidRDefault="00BE36FB" w:rsidP="001A7107">
            <w:pPr>
              <w:pStyle w:val="TableText"/>
              <w:rPr>
                <w:rFonts w:cs="Arial"/>
              </w:rPr>
            </w:pPr>
            <w:r w:rsidRPr="009B7B35">
              <w:rPr>
                <w:rFonts w:cs="Arial"/>
              </w:rPr>
              <w:t>5 CTN207</w:t>
            </w:r>
          </w:p>
          <w:p w14:paraId="4487FA7B" w14:textId="77777777" w:rsidR="00BE36FB" w:rsidRPr="009B7B35" w:rsidRDefault="00BE36FB" w:rsidP="001A7107">
            <w:pPr>
              <w:pStyle w:val="TableText"/>
              <w:rPr>
                <w:rFonts w:cs="Arial"/>
              </w:rPr>
            </w:pPr>
            <w:r w:rsidRPr="009B7B35">
              <w:rPr>
                <w:rFonts w:cs="Arial"/>
              </w:rPr>
              <w:t>9 CTN207</w:t>
            </w:r>
          </w:p>
          <w:p w14:paraId="2FA12AEF" w14:textId="77777777" w:rsidR="00BE36FB" w:rsidRPr="009B7B35" w:rsidRDefault="00BE36FB" w:rsidP="001A7107">
            <w:pPr>
              <w:pStyle w:val="TableText"/>
              <w:rPr>
                <w:rFonts w:cs="Arial"/>
              </w:rPr>
            </w:pPr>
            <w:r w:rsidRPr="009B7B35">
              <w:rPr>
                <w:rFonts w:cs="Arial"/>
              </w:rPr>
              <w:t>16 CTN207</w:t>
            </w:r>
          </w:p>
          <w:p w14:paraId="54F8DC07" w14:textId="77777777" w:rsidR="00BE36FB" w:rsidRPr="009B7B35" w:rsidRDefault="00BE36FB" w:rsidP="001A7107">
            <w:pPr>
              <w:pStyle w:val="TableText"/>
              <w:rPr>
                <w:rFonts w:cs="Arial"/>
              </w:rPr>
            </w:pPr>
            <w:r w:rsidRPr="009B7B35">
              <w:rPr>
                <w:rFonts w:cs="Arial"/>
              </w:rPr>
              <w:t>2 CTN208</w:t>
            </w:r>
          </w:p>
          <w:p w14:paraId="6A1DE423" w14:textId="77777777" w:rsidR="00BE36FB" w:rsidRPr="009B7B35" w:rsidRDefault="00BE36FB" w:rsidP="001A7107">
            <w:pPr>
              <w:pStyle w:val="TableText"/>
              <w:rPr>
                <w:rFonts w:cs="Arial"/>
              </w:rPr>
            </w:pPr>
            <w:r w:rsidRPr="009B7B35">
              <w:rPr>
                <w:rFonts w:cs="Arial"/>
              </w:rPr>
              <w:t>2 CTN209</w:t>
            </w:r>
          </w:p>
          <w:p w14:paraId="17C60CA0" w14:textId="77777777" w:rsidR="00BE36FB" w:rsidRPr="009B7B35" w:rsidRDefault="00BE36FB" w:rsidP="001A7107">
            <w:pPr>
              <w:pStyle w:val="TableText"/>
              <w:rPr>
                <w:rFonts w:cs="Arial"/>
              </w:rPr>
            </w:pPr>
            <w:r w:rsidRPr="009B7B35">
              <w:rPr>
                <w:rFonts w:cs="Arial"/>
              </w:rPr>
              <w:t>3 CTN209</w:t>
            </w:r>
          </w:p>
          <w:p w14:paraId="23DF1DE9" w14:textId="77777777" w:rsidR="00BE36FB" w:rsidRPr="009B7B35" w:rsidRDefault="00BE36FB" w:rsidP="001A7107">
            <w:pPr>
              <w:pStyle w:val="TableText"/>
              <w:rPr>
                <w:rFonts w:cs="Arial"/>
              </w:rPr>
            </w:pPr>
            <w:r w:rsidRPr="009B7B35">
              <w:rPr>
                <w:rFonts w:cs="Arial"/>
              </w:rPr>
              <w:t>2 CTN211</w:t>
            </w:r>
          </w:p>
          <w:p w14:paraId="418B2792" w14:textId="77777777" w:rsidR="00BE36FB" w:rsidRPr="009B7B35" w:rsidRDefault="00BE36FB" w:rsidP="001A7107">
            <w:pPr>
              <w:pStyle w:val="TableText"/>
              <w:rPr>
                <w:rFonts w:cs="Arial"/>
              </w:rPr>
            </w:pPr>
            <w:r w:rsidRPr="009B7B35">
              <w:rPr>
                <w:rFonts w:cs="Arial"/>
              </w:rPr>
              <w:t>9 CTN212</w:t>
            </w:r>
          </w:p>
          <w:p w14:paraId="1279E129" w14:textId="77777777" w:rsidR="00BE36FB" w:rsidRPr="009B7B35" w:rsidRDefault="00BE36FB" w:rsidP="001A7107">
            <w:pPr>
              <w:pStyle w:val="TableText"/>
              <w:rPr>
                <w:rFonts w:cs="Arial"/>
              </w:rPr>
            </w:pPr>
            <w:r w:rsidRPr="009B7B35">
              <w:rPr>
                <w:rFonts w:cs="Arial"/>
              </w:rPr>
              <w:t>10 CTN212</w:t>
            </w:r>
          </w:p>
          <w:p w14:paraId="68BFA28E" w14:textId="77777777" w:rsidR="00BE36FB" w:rsidRPr="009B7B35" w:rsidRDefault="00BE36FB" w:rsidP="001A7107">
            <w:pPr>
              <w:pStyle w:val="TableText"/>
              <w:rPr>
                <w:rFonts w:cs="Arial"/>
              </w:rPr>
            </w:pPr>
            <w:r w:rsidRPr="009B7B35">
              <w:rPr>
                <w:rFonts w:cs="Arial"/>
              </w:rPr>
              <w:t>29 CTN212</w:t>
            </w:r>
          </w:p>
          <w:p w14:paraId="1ACC186D" w14:textId="77777777" w:rsidR="00BE36FB" w:rsidRPr="009B7B35" w:rsidRDefault="00BE36FB" w:rsidP="001A7107">
            <w:pPr>
              <w:pStyle w:val="TableText"/>
              <w:rPr>
                <w:rFonts w:cs="Arial"/>
              </w:rPr>
            </w:pPr>
            <w:r w:rsidRPr="009B7B35">
              <w:rPr>
                <w:rFonts w:cs="Arial"/>
              </w:rPr>
              <w:t>31 CTN212</w:t>
            </w:r>
          </w:p>
          <w:p w14:paraId="22D1C439" w14:textId="77777777" w:rsidR="00BE36FB" w:rsidRPr="009B7B35" w:rsidRDefault="00BE36FB" w:rsidP="001A7107">
            <w:pPr>
              <w:pStyle w:val="TableText"/>
              <w:rPr>
                <w:rFonts w:cs="Arial"/>
              </w:rPr>
            </w:pPr>
            <w:r w:rsidRPr="009B7B35">
              <w:rPr>
                <w:rFonts w:cs="Arial"/>
              </w:rPr>
              <w:t>3 CTN217</w:t>
            </w:r>
          </w:p>
          <w:p w14:paraId="64618224" w14:textId="77777777" w:rsidR="00BE36FB" w:rsidRPr="009B7B35" w:rsidRDefault="00BE36FB" w:rsidP="001A7107">
            <w:pPr>
              <w:pStyle w:val="TableText"/>
              <w:rPr>
                <w:rFonts w:cs="Arial"/>
              </w:rPr>
            </w:pPr>
            <w:r w:rsidRPr="009B7B35">
              <w:rPr>
                <w:rFonts w:cs="Arial"/>
              </w:rPr>
              <w:t>2 CTN217</w:t>
            </w:r>
          </w:p>
          <w:p w14:paraId="0BCA8B34" w14:textId="77777777" w:rsidR="00BE36FB" w:rsidRPr="009B7B35" w:rsidRDefault="00BE36FB" w:rsidP="001A7107">
            <w:pPr>
              <w:pStyle w:val="TableText"/>
              <w:rPr>
                <w:rFonts w:cs="Arial"/>
              </w:rPr>
            </w:pPr>
            <w:r w:rsidRPr="009B7B35">
              <w:rPr>
                <w:rFonts w:cs="Arial"/>
              </w:rPr>
              <w:t>4 CTH217</w:t>
            </w:r>
          </w:p>
          <w:p w14:paraId="744B017C" w14:textId="77777777" w:rsidR="00BE36FB" w:rsidRPr="009B7B35" w:rsidRDefault="00BE36FB" w:rsidP="001A7107">
            <w:pPr>
              <w:pStyle w:val="TableText"/>
              <w:rPr>
                <w:rFonts w:cs="Arial"/>
              </w:rPr>
            </w:pPr>
            <w:r w:rsidRPr="009B7B35">
              <w:rPr>
                <w:rFonts w:cs="Arial"/>
              </w:rPr>
              <w:t>5 CTN217</w:t>
            </w:r>
          </w:p>
          <w:p w14:paraId="7C84E9B4" w14:textId="77777777" w:rsidR="00BE36FB" w:rsidRPr="009B7B35" w:rsidRDefault="00BE36FB" w:rsidP="001A7107">
            <w:pPr>
              <w:pStyle w:val="TableText"/>
              <w:rPr>
                <w:rFonts w:cs="Arial"/>
              </w:rPr>
            </w:pPr>
            <w:r w:rsidRPr="009B7B35">
              <w:rPr>
                <w:rFonts w:cs="Arial"/>
              </w:rPr>
              <w:t>9 CTN272</w:t>
            </w:r>
          </w:p>
          <w:p w14:paraId="1206A1BE" w14:textId="77777777" w:rsidR="00BE36FB" w:rsidRPr="009B7B35" w:rsidRDefault="00BE36FB" w:rsidP="001A7107">
            <w:pPr>
              <w:pStyle w:val="TableText"/>
              <w:rPr>
                <w:rFonts w:cs="Arial"/>
              </w:rPr>
            </w:pPr>
            <w:r w:rsidRPr="009B7B35">
              <w:rPr>
                <w:rFonts w:cs="Arial"/>
              </w:rPr>
              <w:t>1 CTN275</w:t>
            </w:r>
          </w:p>
          <w:p w14:paraId="2377B989" w14:textId="77777777" w:rsidR="00BE36FB" w:rsidRPr="009B7B35" w:rsidRDefault="00BE36FB" w:rsidP="001A7107">
            <w:pPr>
              <w:pStyle w:val="TableText"/>
              <w:rPr>
                <w:rFonts w:cs="Arial"/>
              </w:rPr>
            </w:pPr>
            <w:r w:rsidRPr="009B7B35">
              <w:rPr>
                <w:rFonts w:cs="Arial"/>
              </w:rPr>
              <w:t>75 CTN324</w:t>
            </w:r>
          </w:p>
          <w:p w14:paraId="4315897F" w14:textId="77777777" w:rsidR="00BE36FB" w:rsidRPr="009B7B35" w:rsidRDefault="00BE36FB" w:rsidP="001A7107">
            <w:pPr>
              <w:pStyle w:val="TableText"/>
              <w:rPr>
                <w:rFonts w:cs="Arial"/>
              </w:rPr>
            </w:pPr>
            <w:r w:rsidRPr="009B7B35">
              <w:rPr>
                <w:rFonts w:cs="Arial"/>
              </w:rPr>
              <w:t>76 CTN324</w:t>
            </w:r>
          </w:p>
          <w:p w14:paraId="2C48A6FA" w14:textId="77777777" w:rsidR="00BE36FB" w:rsidRPr="009B7B35" w:rsidRDefault="00BE36FB" w:rsidP="001A7107">
            <w:pPr>
              <w:pStyle w:val="TableText"/>
              <w:rPr>
                <w:rFonts w:cs="Arial"/>
              </w:rPr>
            </w:pPr>
            <w:r w:rsidRPr="009B7B35">
              <w:rPr>
                <w:rFonts w:cs="Arial"/>
              </w:rPr>
              <w:t>71 CTN324</w:t>
            </w:r>
          </w:p>
          <w:p w14:paraId="7A3A967D" w14:textId="77777777" w:rsidR="00BE36FB" w:rsidRPr="009B7B35" w:rsidRDefault="00BE36FB" w:rsidP="001A7107">
            <w:pPr>
              <w:pStyle w:val="TableText"/>
              <w:rPr>
                <w:rFonts w:cs="Arial"/>
              </w:rPr>
            </w:pPr>
            <w:r w:rsidRPr="009B7B35">
              <w:rPr>
                <w:rFonts w:cs="Arial"/>
              </w:rPr>
              <w:t>1 CTN33</w:t>
            </w:r>
          </w:p>
          <w:p w14:paraId="34AC392A" w14:textId="77777777" w:rsidR="00BE36FB" w:rsidRPr="009B7B35" w:rsidRDefault="00BE36FB" w:rsidP="001A7107">
            <w:pPr>
              <w:pStyle w:val="TableText"/>
              <w:rPr>
                <w:rFonts w:cs="Arial"/>
              </w:rPr>
            </w:pPr>
            <w:r w:rsidRPr="009B7B35">
              <w:rPr>
                <w:rFonts w:cs="Arial"/>
              </w:rPr>
              <w:t>2 CTN36</w:t>
            </w:r>
          </w:p>
          <w:p w14:paraId="4E19CE8F" w14:textId="77777777" w:rsidR="00BE36FB" w:rsidRPr="009B7B35" w:rsidRDefault="00BE36FB" w:rsidP="001A7107">
            <w:pPr>
              <w:pStyle w:val="TableText"/>
              <w:rPr>
                <w:rFonts w:cs="Arial"/>
              </w:rPr>
            </w:pPr>
            <w:r w:rsidRPr="009B7B35">
              <w:rPr>
                <w:rFonts w:cs="Arial"/>
              </w:rPr>
              <w:t>291 CL40109</w:t>
            </w:r>
          </w:p>
          <w:p w14:paraId="4F1616AB" w14:textId="77777777" w:rsidR="00BE36FB" w:rsidRPr="009B7B35" w:rsidRDefault="00BE36FB" w:rsidP="001A7107">
            <w:pPr>
              <w:pStyle w:val="TableText"/>
              <w:rPr>
                <w:rFonts w:cs="Arial"/>
              </w:rPr>
            </w:pPr>
            <w:r w:rsidRPr="009B7B35">
              <w:rPr>
                <w:rFonts w:cs="Arial"/>
              </w:rPr>
              <w:t>348 CL40121</w:t>
            </w:r>
          </w:p>
          <w:p w14:paraId="1D708C58" w14:textId="77777777" w:rsidR="00BE36FB" w:rsidRPr="009B7B35" w:rsidRDefault="00BE36FB" w:rsidP="001A7107">
            <w:pPr>
              <w:pStyle w:val="TableText"/>
              <w:rPr>
                <w:rFonts w:cs="Arial"/>
              </w:rPr>
            </w:pPr>
            <w:r w:rsidRPr="009B7B35">
              <w:rPr>
                <w:rFonts w:cs="Arial"/>
              </w:rPr>
              <w:t>341 CL40122</w:t>
            </w:r>
          </w:p>
          <w:p w14:paraId="01C4C6DE" w14:textId="77777777" w:rsidR="00BE36FB" w:rsidRPr="009B7B35" w:rsidRDefault="00BE36FB" w:rsidP="001A7107">
            <w:pPr>
              <w:pStyle w:val="TableText"/>
              <w:rPr>
                <w:rFonts w:cs="Arial"/>
              </w:rPr>
            </w:pPr>
            <w:r w:rsidRPr="009B7B35">
              <w:rPr>
                <w:rFonts w:cs="Arial"/>
              </w:rPr>
              <w:t>350 CL40199</w:t>
            </w:r>
          </w:p>
          <w:p w14:paraId="750DDD48" w14:textId="77777777" w:rsidR="00BE36FB" w:rsidRPr="009B7B35" w:rsidRDefault="00BE36FB" w:rsidP="001A7107">
            <w:pPr>
              <w:pStyle w:val="TableText"/>
              <w:rPr>
                <w:rFonts w:cs="Arial"/>
              </w:rPr>
            </w:pPr>
            <w:r w:rsidRPr="009B7B35">
              <w:rPr>
                <w:rFonts w:cs="Arial"/>
              </w:rPr>
              <w:t>468 CL40211</w:t>
            </w:r>
          </w:p>
          <w:p w14:paraId="2FEEFA90" w14:textId="77777777" w:rsidR="00BE36FB" w:rsidRPr="009B7B35" w:rsidRDefault="00BE36FB" w:rsidP="001A7107">
            <w:pPr>
              <w:pStyle w:val="TableText"/>
              <w:rPr>
                <w:rFonts w:cs="Arial"/>
              </w:rPr>
            </w:pPr>
            <w:r w:rsidRPr="009B7B35">
              <w:rPr>
                <w:rFonts w:cs="Arial"/>
              </w:rPr>
              <w:t>486 CL40228</w:t>
            </w:r>
          </w:p>
          <w:p w14:paraId="7E0F23FA" w14:textId="77777777" w:rsidR="00BE36FB" w:rsidRPr="009B7B35" w:rsidRDefault="00BE36FB" w:rsidP="001A7107">
            <w:pPr>
              <w:pStyle w:val="TableText"/>
              <w:rPr>
                <w:rFonts w:cs="Arial"/>
              </w:rPr>
            </w:pPr>
            <w:r w:rsidRPr="009B7B35">
              <w:rPr>
                <w:rFonts w:cs="Arial"/>
              </w:rPr>
              <w:t>491 CL40230</w:t>
            </w:r>
          </w:p>
          <w:p w14:paraId="25E41A78" w14:textId="77777777" w:rsidR="00BE36FB" w:rsidRPr="009B7B35" w:rsidRDefault="00BE36FB" w:rsidP="001A7107">
            <w:pPr>
              <w:pStyle w:val="TableText"/>
              <w:rPr>
                <w:rFonts w:cs="Arial"/>
              </w:rPr>
            </w:pPr>
            <w:r w:rsidRPr="009B7B35">
              <w:rPr>
                <w:rFonts w:cs="Arial"/>
              </w:rPr>
              <w:t>536 CL40255</w:t>
            </w:r>
          </w:p>
          <w:p w14:paraId="3AD82FC2" w14:textId="77777777" w:rsidR="00BE36FB" w:rsidRPr="009B7B35" w:rsidRDefault="00BE36FB" w:rsidP="001A7107">
            <w:pPr>
              <w:pStyle w:val="TableText"/>
              <w:rPr>
                <w:rFonts w:cs="Arial"/>
              </w:rPr>
            </w:pPr>
            <w:r w:rsidRPr="009B7B35">
              <w:rPr>
                <w:rFonts w:cs="Arial"/>
              </w:rPr>
              <w:t>9 CL40289</w:t>
            </w:r>
          </w:p>
          <w:p w14:paraId="12ACE7DE" w14:textId="77777777" w:rsidR="00BE36FB" w:rsidRPr="009B7B35" w:rsidRDefault="00BE36FB" w:rsidP="001A7107">
            <w:pPr>
              <w:pStyle w:val="TableText"/>
              <w:rPr>
                <w:rFonts w:cs="Arial"/>
              </w:rPr>
            </w:pPr>
            <w:r w:rsidRPr="009B7B35">
              <w:rPr>
                <w:rFonts w:cs="Arial"/>
              </w:rPr>
              <w:t>5 CL40289</w:t>
            </w:r>
          </w:p>
          <w:p w14:paraId="0E47E094" w14:textId="77777777" w:rsidR="00BE36FB" w:rsidRPr="009B7B35" w:rsidRDefault="00BE36FB" w:rsidP="001A7107">
            <w:pPr>
              <w:pStyle w:val="TableText"/>
              <w:rPr>
                <w:rFonts w:cs="Arial"/>
              </w:rPr>
            </w:pPr>
            <w:r w:rsidRPr="009B7B35">
              <w:rPr>
                <w:rFonts w:cs="Arial"/>
              </w:rPr>
              <w:t>13 CL40307</w:t>
            </w:r>
          </w:p>
          <w:p w14:paraId="767F58B1" w14:textId="77777777" w:rsidR="00BE36FB" w:rsidRPr="009B7B35" w:rsidRDefault="00BE36FB" w:rsidP="001A7107">
            <w:pPr>
              <w:pStyle w:val="TableText"/>
              <w:rPr>
                <w:rFonts w:cs="Arial"/>
              </w:rPr>
            </w:pPr>
            <w:r w:rsidRPr="009B7B35">
              <w:rPr>
                <w:rFonts w:cs="Arial"/>
              </w:rPr>
              <w:t>21 CL40307</w:t>
            </w:r>
          </w:p>
          <w:p w14:paraId="0E7A70B8" w14:textId="77777777" w:rsidR="00BE36FB" w:rsidRPr="009B7B35" w:rsidRDefault="00BE36FB" w:rsidP="001A7107">
            <w:pPr>
              <w:pStyle w:val="TableText"/>
              <w:rPr>
                <w:rFonts w:cs="Arial"/>
              </w:rPr>
            </w:pPr>
            <w:r w:rsidRPr="009B7B35">
              <w:rPr>
                <w:rFonts w:cs="Arial"/>
              </w:rPr>
              <w:t>17 CL 40308</w:t>
            </w:r>
          </w:p>
          <w:p w14:paraId="0A430469" w14:textId="77777777" w:rsidR="00BE36FB" w:rsidRPr="009B7B35" w:rsidRDefault="00BE36FB" w:rsidP="001A7107">
            <w:pPr>
              <w:pStyle w:val="TableText"/>
              <w:rPr>
                <w:rFonts w:cs="Arial"/>
              </w:rPr>
            </w:pPr>
            <w:r w:rsidRPr="009B7B35">
              <w:rPr>
                <w:rFonts w:cs="Arial"/>
              </w:rPr>
              <w:t>27 CL40312</w:t>
            </w:r>
          </w:p>
          <w:p w14:paraId="480CE126" w14:textId="77777777" w:rsidR="00BE36FB" w:rsidRPr="009B7B35" w:rsidRDefault="00BE36FB" w:rsidP="001A7107">
            <w:pPr>
              <w:pStyle w:val="TableText"/>
              <w:rPr>
                <w:rFonts w:cs="Arial"/>
              </w:rPr>
            </w:pPr>
            <w:r w:rsidRPr="009B7B35">
              <w:rPr>
                <w:rFonts w:cs="Arial"/>
              </w:rPr>
              <w:t>18 CL40313</w:t>
            </w:r>
          </w:p>
          <w:p w14:paraId="312640B4" w14:textId="77777777" w:rsidR="00BE36FB" w:rsidRPr="009B7B35" w:rsidRDefault="00BE36FB" w:rsidP="001A7107">
            <w:pPr>
              <w:pStyle w:val="TableText"/>
              <w:rPr>
                <w:rFonts w:cs="Arial"/>
              </w:rPr>
            </w:pPr>
            <w:r w:rsidRPr="009B7B35">
              <w:rPr>
                <w:rFonts w:cs="Arial"/>
              </w:rPr>
              <w:t>25 CL40314</w:t>
            </w:r>
          </w:p>
          <w:p w14:paraId="238D0153" w14:textId="77777777" w:rsidR="00BE36FB" w:rsidRPr="009B7B35" w:rsidRDefault="00BE36FB" w:rsidP="001A7107">
            <w:pPr>
              <w:pStyle w:val="TableText"/>
              <w:rPr>
                <w:rFonts w:cs="Arial"/>
              </w:rPr>
            </w:pPr>
            <w:r w:rsidRPr="009B7B35">
              <w:rPr>
                <w:rFonts w:cs="Arial"/>
              </w:rPr>
              <w:t>17 CL40315</w:t>
            </w:r>
          </w:p>
          <w:p w14:paraId="73788F03" w14:textId="77777777" w:rsidR="00BE36FB" w:rsidRPr="009B7B35" w:rsidRDefault="00BE36FB" w:rsidP="001A7107">
            <w:pPr>
              <w:pStyle w:val="TableText"/>
              <w:rPr>
                <w:rFonts w:cs="Arial"/>
              </w:rPr>
            </w:pPr>
            <w:r w:rsidRPr="009B7B35">
              <w:rPr>
                <w:rFonts w:cs="Arial"/>
              </w:rPr>
              <w:t>19 CL40326</w:t>
            </w:r>
          </w:p>
          <w:p w14:paraId="73135954" w14:textId="77777777" w:rsidR="00BE36FB" w:rsidRPr="009B7B35" w:rsidRDefault="00BE36FB" w:rsidP="001A7107">
            <w:pPr>
              <w:pStyle w:val="TableText"/>
              <w:rPr>
                <w:rFonts w:cs="Arial"/>
              </w:rPr>
            </w:pPr>
            <w:r w:rsidRPr="009B7B35">
              <w:rPr>
                <w:rFonts w:cs="Arial"/>
              </w:rPr>
              <w:t>21 CL40327</w:t>
            </w:r>
          </w:p>
          <w:p w14:paraId="4856D371" w14:textId="77777777" w:rsidR="00BE36FB" w:rsidRPr="009B7B35" w:rsidRDefault="00BE36FB" w:rsidP="001A7107">
            <w:pPr>
              <w:pStyle w:val="TableText"/>
              <w:rPr>
                <w:rFonts w:cs="Arial"/>
              </w:rPr>
            </w:pPr>
            <w:r w:rsidRPr="009B7B35">
              <w:rPr>
                <w:rFonts w:cs="Arial"/>
              </w:rPr>
              <w:t>29 CL40349</w:t>
            </w:r>
          </w:p>
          <w:p w14:paraId="45FA6D7E" w14:textId="77777777" w:rsidR="00BE36FB" w:rsidRPr="009B7B35" w:rsidRDefault="00BE36FB" w:rsidP="001A7107">
            <w:pPr>
              <w:pStyle w:val="TableText"/>
              <w:rPr>
                <w:rFonts w:cs="Arial"/>
              </w:rPr>
            </w:pPr>
            <w:r w:rsidRPr="009B7B35">
              <w:rPr>
                <w:rFonts w:cs="Arial"/>
              </w:rPr>
              <w:t>23CL40351</w:t>
            </w:r>
          </w:p>
          <w:p w14:paraId="334753A4" w14:textId="77777777" w:rsidR="00BE36FB" w:rsidRPr="009B7B35" w:rsidRDefault="00BE36FB" w:rsidP="001A7107">
            <w:pPr>
              <w:pStyle w:val="TableText"/>
              <w:rPr>
                <w:rFonts w:cs="Arial"/>
              </w:rPr>
            </w:pPr>
            <w:r w:rsidRPr="009B7B35">
              <w:rPr>
                <w:rFonts w:cs="Arial"/>
              </w:rPr>
              <w:t>24 CL40352</w:t>
            </w:r>
          </w:p>
          <w:p w14:paraId="52607E63" w14:textId="77777777" w:rsidR="00BE36FB" w:rsidRPr="009B7B35" w:rsidRDefault="00BE36FB" w:rsidP="001A7107">
            <w:pPr>
              <w:pStyle w:val="TableText"/>
              <w:rPr>
                <w:rFonts w:cs="Arial"/>
              </w:rPr>
            </w:pPr>
            <w:r w:rsidRPr="009B7B35">
              <w:rPr>
                <w:rFonts w:cs="Arial"/>
              </w:rPr>
              <w:t>42 CL40353</w:t>
            </w:r>
          </w:p>
          <w:p w14:paraId="5ADD8490" w14:textId="77777777" w:rsidR="00BE36FB" w:rsidRPr="009B7B35" w:rsidRDefault="00BE36FB" w:rsidP="001A7107">
            <w:pPr>
              <w:pStyle w:val="TableText"/>
              <w:rPr>
                <w:rFonts w:cs="Arial"/>
              </w:rPr>
            </w:pPr>
            <w:r w:rsidRPr="009B7B35">
              <w:rPr>
                <w:rFonts w:cs="Arial"/>
              </w:rPr>
              <w:t>27 CL40359</w:t>
            </w:r>
          </w:p>
          <w:p w14:paraId="7F337807" w14:textId="77777777" w:rsidR="00BE36FB" w:rsidRPr="009B7B35" w:rsidRDefault="00BE36FB" w:rsidP="001A7107">
            <w:pPr>
              <w:pStyle w:val="TableText"/>
              <w:rPr>
                <w:rFonts w:cs="Arial"/>
              </w:rPr>
            </w:pPr>
            <w:r w:rsidRPr="009B7B35">
              <w:rPr>
                <w:rFonts w:cs="Arial"/>
              </w:rPr>
              <w:t>12 CL40375</w:t>
            </w:r>
          </w:p>
          <w:p w14:paraId="74909E13" w14:textId="77777777" w:rsidR="00BE36FB" w:rsidRPr="009B7B35" w:rsidRDefault="00BE36FB" w:rsidP="001A7107">
            <w:pPr>
              <w:pStyle w:val="TableText"/>
              <w:rPr>
                <w:rFonts w:cs="Arial"/>
              </w:rPr>
            </w:pPr>
            <w:r w:rsidRPr="009B7B35">
              <w:rPr>
                <w:rFonts w:cs="Arial"/>
              </w:rPr>
              <w:t>11 CL40375</w:t>
            </w:r>
          </w:p>
          <w:p w14:paraId="6B0D30B7" w14:textId="77777777" w:rsidR="00BE36FB" w:rsidRPr="009B7B35" w:rsidRDefault="00BE36FB" w:rsidP="001A7107">
            <w:pPr>
              <w:pStyle w:val="TableText"/>
              <w:rPr>
                <w:rFonts w:cs="Arial"/>
              </w:rPr>
            </w:pPr>
            <w:r w:rsidRPr="009B7B35">
              <w:rPr>
                <w:rFonts w:cs="Arial"/>
              </w:rPr>
              <w:t>28 CL40395</w:t>
            </w:r>
          </w:p>
          <w:p w14:paraId="7412D962" w14:textId="77777777" w:rsidR="00BE36FB" w:rsidRPr="009B7B35" w:rsidRDefault="00BE36FB" w:rsidP="001A7107">
            <w:pPr>
              <w:pStyle w:val="TableText"/>
              <w:rPr>
                <w:rFonts w:cs="Arial"/>
              </w:rPr>
            </w:pPr>
            <w:r w:rsidRPr="009B7B35">
              <w:rPr>
                <w:rFonts w:cs="Arial"/>
              </w:rPr>
              <w:t>19 CTN438</w:t>
            </w:r>
          </w:p>
          <w:p w14:paraId="122A7D04" w14:textId="77777777" w:rsidR="00BE36FB" w:rsidRPr="009B7B35" w:rsidRDefault="00BE36FB" w:rsidP="001A7107">
            <w:pPr>
              <w:pStyle w:val="TableText"/>
              <w:rPr>
                <w:rFonts w:cs="Arial"/>
              </w:rPr>
            </w:pPr>
            <w:r w:rsidRPr="009B7B35">
              <w:rPr>
                <w:rFonts w:cs="Arial"/>
              </w:rPr>
              <w:t>50 CTN438</w:t>
            </w:r>
          </w:p>
          <w:p w14:paraId="030AB209" w14:textId="77777777" w:rsidR="00BE36FB" w:rsidRPr="009B7B35" w:rsidRDefault="00BE36FB" w:rsidP="001A7107">
            <w:pPr>
              <w:pStyle w:val="TableText"/>
              <w:rPr>
                <w:rFonts w:cs="Arial"/>
              </w:rPr>
            </w:pPr>
            <w:r w:rsidRPr="009B7B35">
              <w:rPr>
                <w:rFonts w:cs="Arial"/>
              </w:rPr>
              <w:t>52 CTN438</w:t>
            </w:r>
          </w:p>
          <w:p w14:paraId="4C5CC3DB" w14:textId="77777777" w:rsidR="00BE36FB" w:rsidRPr="009B7B35" w:rsidRDefault="00BE36FB" w:rsidP="001A7107">
            <w:pPr>
              <w:pStyle w:val="TableText"/>
              <w:rPr>
                <w:rFonts w:cs="Arial"/>
              </w:rPr>
            </w:pPr>
            <w:r w:rsidRPr="009B7B35">
              <w:rPr>
                <w:rFonts w:cs="Arial"/>
              </w:rPr>
              <w:t>36 CTN439</w:t>
            </w:r>
          </w:p>
          <w:p w14:paraId="1DD2986E" w14:textId="77777777" w:rsidR="00BE36FB" w:rsidRPr="009B7B35" w:rsidRDefault="00BE36FB" w:rsidP="001A7107">
            <w:pPr>
              <w:pStyle w:val="TableText"/>
              <w:rPr>
                <w:rFonts w:cs="Arial"/>
              </w:rPr>
            </w:pPr>
            <w:r w:rsidRPr="009B7B35">
              <w:rPr>
                <w:rFonts w:cs="Arial"/>
              </w:rPr>
              <w:t>37 CTN439</w:t>
            </w:r>
          </w:p>
          <w:p w14:paraId="332E85B5" w14:textId="77777777" w:rsidR="00BE36FB" w:rsidRPr="009B7B35" w:rsidRDefault="00BE36FB" w:rsidP="001A7107">
            <w:pPr>
              <w:pStyle w:val="TableText"/>
              <w:rPr>
                <w:rFonts w:cs="Arial"/>
              </w:rPr>
            </w:pPr>
            <w:r w:rsidRPr="009B7B35">
              <w:rPr>
                <w:rFonts w:cs="Arial"/>
              </w:rPr>
              <w:t>7 USL44540</w:t>
            </w:r>
          </w:p>
          <w:p w14:paraId="1ACC511D" w14:textId="77777777" w:rsidR="00BE36FB" w:rsidRPr="009B7B35" w:rsidRDefault="00BE36FB" w:rsidP="001A7107">
            <w:pPr>
              <w:pStyle w:val="TableText"/>
              <w:rPr>
                <w:rFonts w:cs="Arial"/>
              </w:rPr>
            </w:pPr>
            <w:r w:rsidRPr="009B7B35">
              <w:rPr>
                <w:rFonts w:cs="Arial"/>
              </w:rPr>
              <w:t>18 USL44586</w:t>
            </w:r>
          </w:p>
          <w:p w14:paraId="2B508FA4" w14:textId="77777777" w:rsidR="00BE36FB" w:rsidRPr="009B7B35" w:rsidRDefault="00BE36FB" w:rsidP="001A7107">
            <w:pPr>
              <w:pStyle w:val="TableText"/>
              <w:rPr>
                <w:rFonts w:cs="Arial"/>
              </w:rPr>
            </w:pPr>
            <w:r w:rsidRPr="009B7B35">
              <w:rPr>
                <w:rFonts w:cs="Arial"/>
              </w:rPr>
              <w:t>61 CTN468</w:t>
            </w:r>
          </w:p>
          <w:p w14:paraId="4CA352B4" w14:textId="77777777" w:rsidR="00BE36FB" w:rsidRPr="009B7B35" w:rsidRDefault="00BE36FB" w:rsidP="001A7107">
            <w:pPr>
              <w:pStyle w:val="TableText"/>
              <w:rPr>
                <w:rFonts w:cs="Arial"/>
              </w:rPr>
            </w:pPr>
            <w:r w:rsidRPr="009B7B35">
              <w:rPr>
                <w:rFonts w:cs="Arial"/>
              </w:rPr>
              <w:t>62 CTN468</w:t>
            </w:r>
          </w:p>
          <w:p w14:paraId="30A8B236" w14:textId="77777777" w:rsidR="00BE36FB" w:rsidRPr="009B7B35" w:rsidRDefault="00BE36FB" w:rsidP="001A7107">
            <w:pPr>
              <w:pStyle w:val="TableText"/>
              <w:rPr>
                <w:rFonts w:cs="Arial"/>
              </w:rPr>
            </w:pPr>
            <w:r w:rsidRPr="009B7B35">
              <w:rPr>
                <w:rFonts w:cs="Arial"/>
              </w:rPr>
              <w:t>1 CTN492</w:t>
            </w:r>
          </w:p>
          <w:p w14:paraId="52C98DE5" w14:textId="77777777" w:rsidR="00BE36FB" w:rsidRPr="009B7B35" w:rsidRDefault="00BE36FB" w:rsidP="001A7107">
            <w:pPr>
              <w:pStyle w:val="TableText"/>
              <w:rPr>
                <w:rFonts w:cs="Arial"/>
              </w:rPr>
            </w:pPr>
            <w:r w:rsidRPr="009B7B35">
              <w:rPr>
                <w:rFonts w:cs="Arial"/>
              </w:rPr>
              <w:t>30 CTN492</w:t>
            </w:r>
          </w:p>
          <w:p w14:paraId="19556096" w14:textId="77777777" w:rsidR="00BE36FB" w:rsidRPr="009B7B35" w:rsidRDefault="00BE36FB" w:rsidP="001A7107">
            <w:pPr>
              <w:pStyle w:val="TableText"/>
              <w:rPr>
                <w:rFonts w:cs="Arial"/>
              </w:rPr>
            </w:pPr>
            <w:r w:rsidRPr="009B7B35">
              <w:rPr>
                <w:rFonts w:cs="Arial"/>
              </w:rPr>
              <w:t>1 CTN54</w:t>
            </w:r>
          </w:p>
          <w:p w14:paraId="7B671E86" w14:textId="77777777" w:rsidR="00BE36FB" w:rsidRPr="009B7B35" w:rsidRDefault="00BE36FB" w:rsidP="001A7107">
            <w:pPr>
              <w:pStyle w:val="TableText"/>
              <w:rPr>
                <w:rFonts w:cs="Arial"/>
              </w:rPr>
            </w:pPr>
            <w:r w:rsidRPr="009B7B35">
              <w:rPr>
                <w:rFonts w:cs="Arial"/>
              </w:rPr>
              <w:t>2 RP601566</w:t>
            </w:r>
          </w:p>
          <w:p w14:paraId="3E0AF82F" w14:textId="77777777" w:rsidR="00BE36FB" w:rsidRPr="009B7B35" w:rsidRDefault="00BE36FB" w:rsidP="001A7107">
            <w:pPr>
              <w:pStyle w:val="TableText"/>
              <w:rPr>
                <w:rFonts w:cs="Arial"/>
              </w:rPr>
            </w:pPr>
            <w:r w:rsidRPr="009B7B35">
              <w:rPr>
                <w:rFonts w:cs="Arial"/>
              </w:rPr>
              <w:t>2 RP601567</w:t>
            </w:r>
          </w:p>
          <w:p w14:paraId="45E00681" w14:textId="77777777" w:rsidR="00BE36FB" w:rsidRPr="009B7B35" w:rsidRDefault="00BE36FB" w:rsidP="001A7107">
            <w:pPr>
              <w:pStyle w:val="TableText"/>
              <w:rPr>
                <w:rFonts w:cs="Arial"/>
              </w:rPr>
            </w:pPr>
            <w:r w:rsidRPr="009B7B35">
              <w:rPr>
                <w:rFonts w:cs="Arial"/>
              </w:rPr>
              <w:t>3 RP601567</w:t>
            </w:r>
          </w:p>
          <w:p w14:paraId="3E665E20" w14:textId="77777777" w:rsidR="00BE36FB" w:rsidRPr="009B7B35" w:rsidRDefault="00BE36FB" w:rsidP="001A7107">
            <w:pPr>
              <w:pStyle w:val="TableText"/>
              <w:rPr>
                <w:rFonts w:cs="Arial"/>
              </w:rPr>
            </w:pPr>
            <w:r w:rsidRPr="009B7B35">
              <w:rPr>
                <w:rFonts w:cs="Arial"/>
              </w:rPr>
              <w:t>4 RP601670</w:t>
            </w:r>
          </w:p>
          <w:p w14:paraId="7835D49A" w14:textId="77777777" w:rsidR="00BE36FB" w:rsidRPr="009B7B35" w:rsidRDefault="00BE36FB" w:rsidP="001A7107">
            <w:pPr>
              <w:pStyle w:val="TableText"/>
              <w:rPr>
                <w:rFonts w:cs="Arial"/>
              </w:rPr>
            </w:pPr>
            <w:r w:rsidRPr="009B7B35">
              <w:rPr>
                <w:rFonts w:cs="Arial"/>
              </w:rPr>
              <w:t>1 RP601670</w:t>
            </w:r>
          </w:p>
          <w:p w14:paraId="442A1620" w14:textId="77777777" w:rsidR="00BE36FB" w:rsidRPr="009B7B35" w:rsidRDefault="00BE36FB" w:rsidP="001A7107">
            <w:pPr>
              <w:pStyle w:val="TableText"/>
              <w:rPr>
                <w:rFonts w:cs="Arial"/>
              </w:rPr>
            </w:pPr>
            <w:r w:rsidRPr="009B7B35">
              <w:rPr>
                <w:rFonts w:cs="Arial"/>
              </w:rPr>
              <w:t>3 RP601670</w:t>
            </w:r>
          </w:p>
          <w:p w14:paraId="1D9F9EF9" w14:textId="77777777" w:rsidR="00BE36FB" w:rsidRPr="009B7B35" w:rsidRDefault="00BE36FB" w:rsidP="001A7107">
            <w:pPr>
              <w:pStyle w:val="TableText"/>
              <w:rPr>
                <w:rFonts w:cs="Arial"/>
              </w:rPr>
            </w:pPr>
            <w:r w:rsidRPr="009B7B35">
              <w:rPr>
                <w:rFonts w:cs="Arial"/>
              </w:rPr>
              <w:t>7 RP601670</w:t>
            </w:r>
          </w:p>
          <w:p w14:paraId="0FA265AA" w14:textId="77777777" w:rsidR="00BE36FB" w:rsidRPr="009B7B35" w:rsidRDefault="00BE36FB" w:rsidP="001A7107">
            <w:pPr>
              <w:pStyle w:val="TableText"/>
              <w:rPr>
                <w:rFonts w:cs="Arial"/>
              </w:rPr>
            </w:pPr>
            <w:r w:rsidRPr="009B7B35">
              <w:rPr>
                <w:rFonts w:cs="Arial"/>
              </w:rPr>
              <w:t>2 RP601670</w:t>
            </w:r>
          </w:p>
          <w:p w14:paraId="6422EEDE" w14:textId="77777777" w:rsidR="00BE36FB" w:rsidRPr="009B7B35" w:rsidRDefault="00BE36FB" w:rsidP="001A7107">
            <w:pPr>
              <w:pStyle w:val="TableText"/>
              <w:rPr>
                <w:rFonts w:cs="Arial"/>
              </w:rPr>
            </w:pPr>
            <w:r w:rsidRPr="009B7B35">
              <w:rPr>
                <w:rFonts w:cs="Arial"/>
              </w:rPr>
              <w:t>1 RP601726</w:t>
            </w:r>
          </w:p>
          <w:p w14:paraId="2B3298C3" w14:textId="77777777" w:rsidR="00BE36FB" w:rsidRPr="009B7B35" w:rsidRDefault="00BE36FB" w:rsidP="001A7107">
            <w:pPr>
              <w:pStyle w:val="TableText"/>
              <w:rPr>
                <w:rFonts w:cs="Arial"/>
              </w:rPr>
            </w:pPr>
            <w:r w:rsidRPr="009B7B35">
              <w:rPr>
                <w:rFonts w:cs="Arial"/>
              </w:rPr>
              <w:t>3 RP601726</w:t>
            </w:r>
          </w:p>
          <w:p w14:paraId="4F1B29B6" w14:textId="77777777" w:rsidR="00BE36FB" w:rsidRPr="009B7B35" w:rsidRDefault="00BE36FB" w:rsidP="001A7107">
            <w:pPr>
              <w:pStyle w:val="TableText"/>
              <w:rPr>
                <w:rFonts w:cs="Arial"/>
              </w:rPr>
            </w:pPr>
            <w:r w:rsidRPr="009B7B35">
              <w:rPr>
                <w:rFonts w:cs="Arial"/>
              </w:rPr>
              <w:t>2 RP601726</w:t>
            </w:r>
          </w:p>
          <w:p w14:paraId="601BFFC9" w14:textId="77777777" w:rsidR="00BE36FB" w:rsidRPr="009B7B35" w:rsidRDefault="00BE36FB" w:rsidP="001A7107">
            <w:pPr>
              <w:pStyle w:val="TableText"/>
              <w:rPr>
                <w:rFonts w:cs="Arial"/>
              </w:rPr>
            </w:pPr>
            <w:r w:rsidRPr="009B7B35">
              <w:rPr>
                <w:rFonts w:cs="Arial"/>
              </w:rPr>
              <w:t>1 RP601727</w:t>
            </w:r>
          </w:p>
          <w:p w14:paraId="2D30A59A" w14:textId="77777777" w:rsidR="00BE36FB" w:rsidRPr="009B7B35" w:rsidRDefault="00BE36FB" w:rsidP="001A7107">
            <w:pPr>
              <w:pStyle w:val="TableText"/>
              <w:rPr>
                <w:rFonts w:cs="Arial"/>
              </w:rPr>
            </w:pPr>
            <w:r w:rsidRPr="009B7B35">
              <w:rPr>
                <w:rFonts w:cs="Arial"/>
              </w:rPr>
              <w:t>1 RP601730</w:t>
            </w:r>
          </w:p>
          <w:p w14:paraId="3E4DC7C8" w14:textId="77777777" w:rsidR="00BE36FB" w:rsidRPr="009B7B35" w:rsidRDefault="00BE36FB" w:rsidP="001A7107">
            <w:pPr>
              <w:pStyle w:val="TableText"/>
              <w:rPr>
                <w:rFonts w:cs="Arial"/>
              </w:rPr>
            </w:pPr>
            <w:r w:rsidRPr="009B7B35">
              <w:rPr>
                <w:rFonts w:cs="Arial"/>
              </w:rPr>
              <w:t>3 RP601730</w:t>
            </w:r>
          </w:p>
          <w:p w14:paraId="48F61E65" w14:textId="77777777" w:rsidR="00BE36FB" w:rsidRPr="009B7B35" w:rsidRDefault="00BE36FB" w:rsidP="001A7107">
            <w:pPr>
              <w:pStyle w:val="TableText"/>
              <w:rPr>
                <w:rFonts w:cs="Arial"/>
              </w:rPr>
            </w:pPr>
            <w:r w:rsidRPr="009B7B35">
              <w:rPr>
                <w:rFonts w:cs="Arial"/>
              </w:rPr>
              <w:t>2 RP602598</w:t>
            </w:r>
          </w:p>
          <w:p w14:paraId="24F8E142" w14:textId="77777777" w:rsidR="00BE36FB" w:rsidRPr="009B7B35" w:rsidRDefault="00BE36FB" w:rsidP="001A7107">
            <w:pPr>
              <w:pStyle w:val="TableText"/>
              <w:rPr>
                <w:rFonts w:cs="Arial"/>
              </w:rPr>
            </w:pPr>
            <w:r w:rsidRPr="009B7B35">
              <w:rPr>
                <w:rFonts w:cs="Arial"/>
              </w:rPr>
              <w:t>3 RP602598</w:t>
            </w:r>
          </w:p>
          <w:p w14:paraId="7AE66F46" w14:textId="77777777" w:rsidR="00BE36FB" w:rsidRPr="009B7B35" w:rsidRDefault="00BE36FB" w:rsidP="001A7107">
            <w:pPr>
              <w:pStyle w:val="TableText"/>
              <w:rPr>
                <w:rFonts w:cs="Arial"/>
              </w:rPr>
            </w:pPr>
            <w:r w:rsidRPr="009B7B35">
              <w:rPr>
                <w:rFonts w:cs="Arial"/>
              </w:rPr>
              <w:t>1 RP605433</w:t>
            </w:r>
          </w:p>
          <w:p w14:paraId="7547C983" w14:textId="77777777" w:rsidR="00BE36FB" w:rsidRPr="009B7B35" w:rsidRDefault="00BE36FB" w:rsidP="001A7107">
            <w:pPr>
              <w:pStyle w:val="TableText"/>
              <w:rPr>
                <w:rFonts w:cs="Arial"/>
              </w:rPr>
            </w:pPr>
            <w:r w:rsidRPr="009B7B35">
              <w:rPr>
                <w:rFonts w:cs="Arial"/>
              </w:rPr>
              <w:t>3 RP605433</w:t>
            </w:r>
          </w:p>
          <w:p w14:paraId="5E0A94CF" w14:textId="77777777" w:rsidR="00BE36FB" w:rsidRPr="009B7B35" w:rsidRDefault="00BE36FB" w:rsidP="001A7107">
            <w:pPr>
              <w:pStyle w:val="TableText"/>
              <w:rPr>
                <w:rFonts w:cs="Arial"/>
              </w:rPr>
            </w:pPr>
            <w:r w:rsidRPr="009B7B35">
              <w:rPr>
                <w:rFonts w:cs="Arial"/>
              </w:rPr>
              <w:t>1 RP608206</w:t>
            </w:r>
          </w:p>
          <w:p w14:paraId="56FBAA88" w14:textId="77777777" w:rsidR="00BE36FB" w:rsidRPr="009B7B35" w:rsidRDefault="00BE36FB" w:rsidP="001A7107">
            <w:pPr>
              <w:pStyle w:val="TableText"/>
              <w:rPr>
                <w:rFonts w:cs="Arial"/>
              </w:rPr>
            </w:pPr>
            <w:r w:rsidRPr="009B7B35">
              <w:rPr>
                <w:rFonts w:cs="Arial"/>
              </w:rPr>
              <w:t>1 RP608337</w:t>
            </w:r>
          </w:p>
          <w:p w14:paraId="0FC9FB60" w14:textId="77777777" w:rsidR="00BE36FB" w:rsidRPr="009B7B35" w:rsidRDefault="00BE36FB" w:rsidP="001A7107">
            <w:pPr>
              <w:pStyle w:val="TableText"/>
              <w:rPr>
                <w:rFonts w:cs="Arial"/>
              </w:rPr>
            </w:pPr>
            <w:r w:rsidRPr="009B7B35">
              <w:rPr>
                <w:rFonts w:cs="Arial"/>
              </w:rPr>
              <w:t>2 RP608337</w:t>
            </w:r>
          </w:p>
          <w:p w14:paraId="52BD4ECA" w14:textId="77777777" w:rsidR="00BE36FB" w:rsidRPr="009B7B35" w:rsidRDefault="00BE36FB" w:rsidP="001A7107">
            <w:pPr>
              <w:pStyle w:val="TableText"/>
              <w:rPr>
                <w:rFonts w:cs="Arial"/>
              </w:rPr>
            </w:pPr>
            <w:r w:rsidRPr="009B7B35">
              <w:rPr>
                <w:rFonts w:cs="Arial"/>
              </w:rPr>
              <w:t>3 RP608337</w:t>
            </w:r>
          </w:p>
          <w:p w14:paraId="43848F12" w14:textId="77777777" w:rsidR="00BE36FB" w:rsidRPr="009B7B35" w:rsidRDefault="00BE36FB" w:rsidP="001A7107">
            <w:pPr>
              <w:pStyle w:val="TableText"/>
              <w:rPr>
                <w:rFonts w:cs="Arial"/>
              </w:rPr>
            </w:pPr>
            <w:r w:rsidRPr="009B7B35">
              <w:rPr>
                <w:rFonts w:cs="Arial"/>
              </w:rPr>
              <w:t>4 RP608577</w:t>
            </w:r>
          </w:p>
          <w:p w14:paraId="4F7190C3" w14:textId="77777777" w:rsidR="00BE36FB" w:rsidRPr="009B7B35" w:rsidRDefault="00BE36FB" w:rsidP="001A7107">
            <w:pPr>
              <w:pStyle w:val="TableText"/>
              <w:rPr>
                <w:rFonts w:cs="Arial"/>
              </w:rPr>
            </w:pPr>
            <w:r w:rsidRPr="009B7B35">
              <w:rPr>
                <w:rFonts w:cs="Arial"/>
              </w:rPr>
              <w:t>3 RP608577</w:t>
            </w:r>
          </w:p>
          <w:p w14:paraId="52CB5FE8" w14:textId="77777777" w:rsidR="00BE36FB" w:rsidRPr="009B7B35" w:rsidRDefault="00BE36FB" w:rsidP="001A7107">
            <w:pPr>
              <w:pStyle w:val="TableText"/>
              <w:rPr>
                <w:rFonts w:cs="Arial"/>
              </w:rPr>
            </w:pPr>
            <w:r w:rsidRPr="009B7B35">
              <w:rPr>
                <w:rFonts w:cs="Arial"/>
              </w:rPr>
              <w:t>2 RP608577</w:t>
            </w:r>
          </w:p>
          <w:p w14:paraId="5F2B23AB" w14:textId="77777777" w:rsidR="00BE36FB" w:rsidRPr="009B7B35" w:rsidRDefault="00BE36FB" w:rsidP="001A7107">
            <w:pPr>
              <w:pStyle w:val="TableText"/>
              <w:rPr>
                <w:rFonts w:cs="Arial"/>
              </w:rPr>
            </w:pPr>
            <w:r w:rsidRPr="009B7B35">
              <w:rPr>
                <w:rFonts w:cs="Arial"/>
              </w:rPr>
              <w:t>1 RP608677</w:t>
            </w:r>
          </w:p>
          <w:p w14:paraId="15042F8A" w14:textId="77777777" w:rsidR="00BE36FB" w:rsidRPr="009B7B35" w:rsidRDefault="00BE36FB" w:rsidP="001A7107">
            <w:pPr>
              <w:pStyle w:val="TableText"/>
              <w:rPr>
                <w:rFonts w:cs="Arial"/>
              </w:rPr>
            </w:pPr>
            <w:r w:rsidRPr="009B7B35">
              <w:rPr>
                <w:rFonts w:cs="Arial"/>
              </w:rPr>
              <w:t>2 RP608678</w:t>
            </w:r>
          </w:p>
          <w:p w14:paraId="5CA0817F" w14:textId="77777777" w:rsidR="00BE36FB" w:rsidRPr="009B7B35" w:rsidRDefault="00BE36FB" w:rsidP="001A7107">
            <w:pPr>
              <w:pStyle w:val="TableText"/>
              <w:rPr>
                <w:rFonts w:cs="Arial"/>
              </w:rPr>
            </w:pPr>
            <w:r w:rsidRPr="009B7B35">
              <w:rPr>
                <w:rFonts w:cs="Arial"/>
              </w:rPr>
              <w:t>2 RP 608679</w:t>
            </w:r>
          </w:p>
          <w:p w14:paraId="1494C01A" w14:textId="77777777" w:rsidR="00BE36FB" w:rsidRPr="009B7B35" w:rsidRDefault="00BE36FB" w:rsidP="001A7107">
            <w:pPr>
              <w:pStyle w:val="TableText"/>
              <w:rPr>
                <w:rFonts w:cs="Arial"/>
              </w:rPr>
            </w:pPr>
            <w:r w:rsidRPr="009B7B35">
              <w:rPr>
                <w:rFonts w:cs="Arial"/>
              </w:rPr>
              <w:t>2 RP608680</w:t>
            </w:r>
          </w:p>
          <w:p w14:paraId="299A6C8E" w14:textId="77777777" w:rsidR="00BE36FB" w:rsidRPr="009B7B35" w:rsidRDefault="00BE36FB" w:rsidP="001A7107">
            <w:pPr>
              <w:pStyle w:val="TableText"/>
              <w:rPr>
                <w:rFonts w:cs="Arial"/>
              </w:rPr>
            </w:pPr>
            <w:r w:rsidRPr="009B7B35">
              <w:rPr>
                <w:rFonts w:cs="Arial"/>
              </w:rPr>
              <w:t>2 RP608681</w:t>
            </w:r>
          </w:p>
          <w:p w14:paraId="24434586" w14:textId="77777777" w:rsidR="00BE36FB" w:rsidRPr="009B7B35" w:rsidRDefault="00BE36FB" w:rsidP="001A7107">
            <w:pPr>
              <w:pStyle w:val="TableText"/>
              <w:rPr>
                <w:rFonts w:cs="Arial"/>
              </w:rPr>
            </w:pPr>
            <w:r w:rsidRPr="009B7B35">
              <w:rPr>
                <w:rFonts w:cs="Arial"/>
              </w:rPr>
              <w:t>3 RP608681</w:t>
            </w:r>
          </w:p>
          <w:p w14:paraId="43CEF986" w14:textId="77777777" w:rsidR="00BE36FB" w:rsidRPr="009B7B35" w:rsidRDefault="00BE36FB" w:rsidP="001A7107">
            <w:pPr>
              <w:pStyle w:val="TableText"/>
              <w:rPr>
                <w:rFonts w:cs="Arial"/>
              </w:rPr>
            </w:pPr>
            <w:r w:rsidRPr="009B7B35">
              <w:rPr>
                <w:rFonts w:cs="Arial"/>
              </w:rPr>
              <w:t>4 RP608681</w:t>
            </w:r>
          </w:p>
          <w:p w14:paraId="76476D55" w14:textId="77777777" w:rsidR="00BE36FB" w:rsidRPr="009B7B35" w:rsidRDefault="00BE36FB" w:rsidP="001A7107">
            <w:pPr>
              <w:pStyle w:val="TableText"/>
              <w:rPr>
                <w:rFonts w:cs="Arial"/>
              </w:rPr>
            </w:pPr>
            <w:r w:rsidRPr="009B7B35">
              <w:rPr>
                <w:rFonts w:cs="Arial"/>
              </w:rPr>
              <w:t>7 RP608747</w:t>
            </w:r>
          </w:p>
          <w:p w14:paraId="2D3A460C" w14:textId="77777777" w:rsidR="00BE36FB" w:rsidRPr="009B7B35" w:rsidRDefault="00BE36FB" w:rsidP="001A7107">
            <w:pPr>
              <w:pStyle w:val="TableText"/>
              <w:rPr>
                <w:rFonts w:cs="Arial"/>
              </w:rPr>
            </w:pPr>
            <w:r w:rsidRPr="009B7B35">
              <w:rPr>
                <w:rFonts w:cs="Arial"/>
              </w:rPr>
              <w:t>8 RP608747</w:t>
            </w:r>
          </w:p>
          <w:p w14:paraId="2F9E110E" w14:textId="77777777" w:rsidR="00BE36FB" w:rsidRPr="009B7B35" w:rsidRDefault="00BE36FB" w:rsidP="001A7107">
            <w:pPr>
              <w:pStyle w:val="TableText"/>
              <w:rPr>
                <w:rFonts w:cs="Arial"/>
              </w:rPr>
            </w:pPr>
            <w:r w:rsidRPr="009B7B35">
              <w:rPr>
                <w:rFonts w:cs="Arial"/>
              </w:rPr>
              <w:t>5 RP608748</w:t>
            </w:r>
          </w:p>
          <w:p w14:paraId="5E00FFA1" w14:textId="77777777" w:rsidR="00BE36FB" w:rsidRPr="009B7B35" w:rsidRDefault="00BE36FB" w:rsidP="001A7107">
            <w:pPr>
              <w:pStyle w:val="TableText"/>
              <w:rPr>
                <w:rFonts w:cs="Arial"/>
              </w:rPr>
            </w:pPr>
            <w:r w:rsidRPr="009B7B35">
              <w:rPr>
                <w:rFonts w:cs="Arial"/>
              </w:rPr>
              <w:t>6 RP608748</w:t>
            </w:r>
          </w:p>
          <w:p w14:paraId="675BB082" w14:textId="77777777" w:rsidR="00BE36FB" w:rsidRPr="009B7B35" w:rsidRDefault="00BE36FB" w:rsidP="001A7107">
            <w:pPr>
              <w:pStyle w:val="TableText"/>
              <w:rPr>
                <w:rFonts w:cs="Arial"/>
              </w:rPr>
            </w:pPr>
            <w:r w:rsidRPr="009B7B35">
              <w:rPr>
                <w:rFonts w:cs="Arial"/>
              </w:rPr>
              <w:t>3 RP608749</w:t>
            </w:r>
          </w:p>
          <w:p w14:paraId="438F5015" w14:textId="77777777" w:rsidR="00BE36FB" w:rsidRPr="009B7B35" w:rsidRDefault="00BE36FB" w:rsidP="001A7107">
            <w:pPr>
              <w:pStyle w:val="TableText"/>
              <w:rPr>
                <w:rFonts w:cs="Arial"/>
              </w:rPr>
            </w:pPr>
            <w:r w:rsidRPr="009B7B35">
              <w:rPr>
                <w:rFonts w:cs="Arial"/>
              </w:rPr>
              <w:t>4 RP608749</w:t>
            </w:r>
          </w:p>
          <w:p w14:paraId="6BFFFBD6" w14:textId="77777777" w:rsidR="00BE36FB" w:rsidRPr="009B7B35" w:rsidRDefault="00BE36FB" w:rsidP="001A7107">
            <w:pPr>
              <w:pStyle w:val="TableText"/>
              <w:rPr>
                <w:rFonts w:cs="Arial"/>
              </w:rPr>
            </w:pPr>
            <w:r w:rsidRPr="009B7B35">
              <w:rPr>
                <w:rFonts w:cs="Arial"/>
              </w:rPr>
              <w:t>1 RP608750</w:t>
            </w:r>
          </w:p>
          <w:p w14:paraId="566D2226" w14:textId="77777777" w:rsidR="00BE36FB" w:rsidRPr="009B7B35" w:rsidRDefault="00BE36FB" w:rsidP="001A7107">
            <w:pPr>
              <w:pStyle w:val="TableText"/>
              <w:rPr>
                <w:rFonts w:cs="Arial"/>
              </w:rPr>
            </w:pPr>
            <w:r w:rsidRPr="009B7B35">
              <w:rPr>
                <w:rFonts w:cs="Arial"/>
              </w:rPr>
              <w:t>2 RP608750</w:t>
            </w:r>
          </w:p>
          <w:p w14:paraId="33C3EABD" w14:textId="77777777" w:rsidR="00BE36FB" w:rsidRPr="009B7B35" w:rsidRDefault="00BE36FB" w:rsidP="001A7107">
            <w:pPr>
              <w:pStyle w:val="TableText"/>
              <w:rPr>
                <w:rFonts w:cs="Arial"/>
              </w:rPr>
            </w:pPr>
            <w:r w:rsidRPr="009B7B35">
              <w:rPr>
                <w:rFonts w:cs="Arial"/>
              </w:rPr>
              <w:t>1 RP608751</w:t>
            </w:r>
          </w:p>
          <w:p w14:paraId="7E1133D1" w14:textId="77777777" w:rsidR="00BE36FB" w:rsidRPr="009B7B35" w:rsidRDefault="00BE36FB" w:rsidP="001A7107">
            <w:pPr>
              <w:pStyle w:val="TableText"/>
              <w:rPr>
                <w:rFonts w:cs="Arial"/>
              </w:rPr>
            </w:pPr>
            <w:r w:rsidRPr="009B7B35">
              <w:rPr>
                <w:rFonts w:cs="Arial"/>
              </w:rPr>
              <w:t>2 RP608751</w:t>
            </w:r>
          </w:p>
          <w:p w14:paraId="74FDCCFD" w14:textId="77777777" w:rsidR="00BE36FB" w:rsidRPr="009B7B35" w:rsidRDefault="00BE36FB" w:rsidP="001A7107">
            <w:pPr>
              <w:pStyle w:val="TableText"/>
              <w:rPr>
                <w:rFonts w:cs="Arial"/>
              </w:rPr>
            </w:pPr>
            <w:r w:rsidRPr="009B7B35">
              <w:rPr>
                <w:rFonts w:cs="Arial"/>
              </w:rPr>
              <w:t>1 RP608752</w:t>
            </w:r>
          </w:p>
          <w:p w14:paraId="47ADEDB0" w14:textId="77777777" w:rsidR="00BE36FB" w:rsidRPr="009B7B35" w:rsidRDefault="00BE36FB" w:rsidP="001A7107">
            <w:pPr>
              <w:pStyle w:val="TableText"/>
              <w:rPr>
                <w:rFonts w:cs="Arial"/>
              </w:rPr>
            </w:pPr>
            <w:r w:rsidRPr="009B7B35">
              <w:rPr>
                <w:rFonts w:cs="Arial"/>
              </w:rPr>
              <w:t>3 RP608753</w:t>
            </w:r>
          </w:p>
          <w:p w14:paraId="76844270" w14:textId="77777777" w:rsidR="00BE36FB" w:rsidRPr="009B7B35" w:rsidRDefault="00BE36FB" w:rsidP="001A7107">
            <w:pPr>
              <w:pStyle w:val="TableText"/>
              <w:rPr>
                <w:rFonts w:cs="Arial"/>
              </w:rPr>
            </w:pPr>
            <w:r w:rsidRPr="009B7B35">
              <w:rPr>
                <w:rFonts w:cs="Arial"/>
              </w:rPr>
              <w:t>4 RP608753</w:t>
            </w:r>
          </w:p>
          <w:p w14:paraId="4AF5CA28" w14:textId="77777777" w:rsidR="00BE36FB" w:rsidRPr="009B7B35" w:rsidRDefault="00BE36FB" w:rsidP="001A7107">
            <w:pPr>
              <w:pStyle w:val="TableText"/>
              <w:rPr>
                <w:rFonts w:cs="Arial"/>
              </w:rPr>
            </w:pPr>
            <w:r w:rsidRPr="009B7B35">
              <w:rPr>
                <w:rFonts w:cs="Arial"/>
              </w:rPr>
              <w:t>5 RP608753</w:t>
            </w:r>
          </w:p>
          <w:p w14:paraId="525949F4" w14:textId="77777777" w:rsidR="00BE36FB" w:rsidRPr="009B7B35" w:rsidRDefault="00BE36FB" w:rsidP="001A7107">
            <w:pPr>
              <w:pStyle w:val="TableText"/>
              <w:rPr>
                <w:rFonts w:cs="Arial"/>
              </w:rPr>
            </w:pPr>
            <w:r w:rsidRPr="009B7B35">
              <w:rPr>
                <w:rFonts w:cs="Arial"/>
              </w:rPr>
              <w:t>1 RP608753</w:t>
            </w:r>
          </w:p>
          <w:p w14:paraId="46770549" w14:textId="77777777" w:rsidR="00BE36FB" w:rsidRPr="009B7B35" w:rsidRDefault="00BE36FB" w:rsidP="001A7107">
            <w:pPr>
              <w:pStyle w:val="TableText"/>
              <w:rPr>
                <w:rFonts w:cs="Arial"/>
              </w:rPr>
            </w:pPr>
            <w:r w:rsidRPr="009B7B35">
              <w:rPr>
                <w:rFonts w:cs="Arial"/>
              </w:rPr>
              <w:t>2 RP608753</w:t>
            </w:r>
          </w:p>
          <w:p w14:paraId="5F128DB8" w14:textId="77777777" w:rsidR="00BE36FB" w:rsidRPr="009B7B35" w:rsidRDefault="00BE36FB" w:rsidP="001A7107">
            <w:pPr>
              <w:pStyle w:val="TableText"/>
              <w:rPr>
                <w:rFonts w:cs="Arial"/>
              </w:rPr>
            </w:pPr>
            <w:r w:rsidRPr="009B7B35">
              <w:rPr>
                <w:rFonts w:cs="Arial"/>
              </w:rPr>
              <w:t>1 RP608754</w:t>
            </w:r>
          </w:p>
          <w:p w14:paraId="65D3C1A1" w14:textId="77777777" w:rsidR="00BE36FB" w:rsidRPr="009B7B35" w:rsidRDefault="00BE36FB" w:rsidP="001A7107">
            <w:pPr>
              <w:pStyle w:val="TableText"/>
              <w:rPr>
                <w:rFonts w:cs="Arial"/>
              </w:rPr>
            </w:pPr>
            <w:r w:rsidRPr="009B7B35">
              <w:rPr>
                <w:rFonts w:cs="Arial"/>
              </w:rPr>
              <w:t>2 RP608754</w:t>
            </w:r>
          </w:p>
          <w:p w14:paraId="07B82C03" w14:textId="77777777" w:rsidR="00BE36FB" w:rsidRPr="009B7B35" w:rsidRDefault="00BE36FB" w:rsidP="001A7107">
            <w:pPr>
              <w:pStyle w:val="TableText"/>
              <w:rPr>
                <w:rFonts w:cs="Arial"/>
              </w:rPr>
            </w:pPr>
            <w:r w:rsidRPr="009B7B35">
              <w:rPr>
                <w:rFonts w:cs="Arial"/>
              </w:rPr>
              <w:t>1 RP608755</w:t>
            </w:r>
          </w:p>
          <w:p w14:paraId="3F7D1F7E" w14:textId="77777777" w:rsidR="00BE36FB" w:rsidRPr="009B7B35" w:rsidRDefault="00BE36FB" w:rsidP="001A7107">
            <w:pPr>
              <w:pStyle w:val="TableText"/>
              <w:rPr>
                <w:rFonts w:cs="Arial"/>
              </w:rPr>
            </w:pPr>
            <w:r w:rsidRPr="009B7B35">
              <w:rPr>
                <w:rFonts w:cs="Arial"/>
              </w:rPr>
              <w:t>2 RP608755</w:t>
            </w:r>
          </w:p>
          <w:p w14:paraId="3E2E0BA7" w14:textId="77777777" w:rsidR="00BE36FB" w:rsidRPr="009B7B35" w:rsidRDefault="00BE36FB" w:rsidP="001A7107">
            <w:pPr>
              <w:pStyle w:val="TableText"/>
              <w:rPr>
                <w:rFonts w:cs="Arial"/>
              </w:rPr>
            </w:pPr>
            <w:r w:rsidRPr="009B7B35">
              <w:rPr>
                <w:rFonts w:cs="Arial"/>
              </w:rPr>
              <w:t>3 RP608755</w:t>
            </w:r>
          </w:p>
          <w:p w14:paraId="0781C835" w14:textId="77777777" w:rsidR="00BE36FB" w:rsidRPr="009B7B35" w:rsidRDefault="00BE36FB" w:rsidP="001A7107">
            <w:pPr>
              <w:pStyle w:val="TableText"/>
              <w:rPr>
                <w:rFonts w:cs="Arial"/>
              </w:rPr>
            </w:pPr>
            <w:r w:rsidRPr="009B7B35">
              <w:rPr>
                <w:rFonts w:cs="Arial"/>
              </w:rPr>
              <w:t>1 RP608756</w:t>
            </w:r>
          </w:p>
          <w:p w14:paraId="18EA581F" w14:textId="77777777" w:rsidR="00BE36FB" w:rsidRPr="009B7B35" w:rsidRDefault="00BE36FB" w:rsidP="001A7107">
            <w:pPr>
              <w:pStyle w:val="TableText"/>
              <w:rPr>
                <w:rFonts w:cs="Arial"/>
              </w:rPr>
            </w:pPr>
            <w:r w:rsidRPr="009B7B35">
              <w:rPr>
                <w:rFonts w:cs="Arial"/>
              </w:rPr>
              <w:t>2 RP608756</w:t>
            </w:r>
          </w:p>
          <w:p w14:paraId="71435FF2" w14:textId="77777777" w:rsidR="00BE36FB" w:rsidRPr="009B7B35" w:rsidRDefault="00BE36FB" w:rsidP="001A7107">
            <w:pPr>
              <w:pStyle w:val="TableText"/>
              <w:rPr>
                <w:rFonts w:cs="Arial"/>
              </w:rPr>
            </w:pPr>
            <w:r w:rsidRPr="009B7B35">
              <w:rPr>
                <w:rFonts w:cs="Arial"/>
              </w:rPr>
              <w:t>1 RP608780</w:t>
            </w:r>
          </w:p>
          <w:p w14:paraId="40C4BA14" w14:textId="77777777" w:rsidR="00BE36FB" w:rsidRPr="009B7B35" w:rsidRDefault="00BE36FB" w:rsidP="001A7107">
            <w:pPr>
              <w:pStyle w:val="TableText"/>
              <w:rPr>
                <w:rFonts w:cs="Arial"/>
              </w:rPr>
            </w:pPr>
            <w:r w:rsidRPr="009B7B35">
              <w:rPr>
                <w:rFonts w:cs="Arial"/>
              </w:rPr>
              <w:t>2 RP608780</w:t>
            </w:r>
          </w:p>
          <w:p w14:paraId="56237226" w14:textId="77777777" w:rsidR="00BE36FB" w:rsidRPr="009B7B35" w:rsidRDefault="00BE36FB" w:rsidP="001A7107">
            <w:pPr>
              <w:pStyle w:val="TableText"/>
              <w:rPr>
                <w:rFonts w:cs="Arial"/>
              </w:rPr>
            </w:pPr>
            <w:r w:rsidRPr="009B7B35">
              <w:rPr>
                <w:rFonts w:cs="Arial"/>
              </w:rPr>
              <w:t>4 RP608781</w:t>
            </w:r>
          </w:p>
          <w:p w14:paraId="28DEF053" w14:textId="77777777" w:rsidR="00BE36FB" w:rsidRPr="009B7B35" w:rsidRDefault="00BE36FB" w:rsidP="001A7107">
            <w:pPr>
              <w:pStyle w:val="TableText"/>
              <w:rPr>
                <w:rFonts w:cs="Arial"/>
              </w:rPr>
            </w:pPr>
            <w:r w:rsidRPr="009B7B35">
              <w:rPr>
                <w:rFonts w:cs="Arial"/>
              </w:rPr>
              <w:t>5 RP608781</w:t>
            </w:r>
          </w:p>
          <w:p w14:paraId="0BB675CD" w14:textId="77777777" w:rsidR="00BE36FB" w:rsidRPr="009B7B35" w:rsidRDefault="00BE36FB" w:rsidP="001A7107">
            <w:pPr>
              <w:pStyle w:val="TableText"/>
              <w:rPr>
                <w:rFonts w:cs="Arial"/>
              </w:rPr>
            </w:pPr>
            <w:r w:rsidRPr="009B7B35">
              <w:rPr>
                <w:rFonts w:cs="Arial"/>
              </w:rPr>
              <w:t>1 RP608782</w:t>
            </w:r>
          </w:p>
          <w:p w14:paraId="71D1DE2F" w14:textId="77777777" w:rsidR="00BE36FB" w:rsidRPr="009B7B35" w:rsidRDefault="00BE36FB" w:rsidP="001A7107">
            <w:pPr>
              <w:pStyle w:val="TableText"/>
              <w:rPr>
                <w:rFonts w:cs="Arial"/>
              </w:rPr>
            </w:pPr>
            <w:r w:rsidRPr="009B7B35">
              <w:rPr>
                <w:rFonts w:cs="Arial"/>
              </w:rPr>
              <w:t>2 RP608782</w:t>
            </w:r>
          </w:p>
          <w:p w14:paraId="1B45B16E" w14:textId="77777777" w:rsidR="00BE36FB" w:rsidRPr="009B7B35" w:rsidRDefault="00BE36FB" w:rsidP="001A7107">
            <w:pPr>
              <w:pStyle w:val="TableText"/>
              <w:rPr>
                <w:rFonts w:cs="Arial"/>
              </w:rPr>
            </w:pPr>
            <w:r w:rsidRPr="009B7B35">
              <w:rPr>
                <w:rFonts w:cs="Arial"/>
              </w:rPr>
              <w:t>1 RP608783</w:t>
            </w:r>
          </w:p>
          <w:p w14:paraId="5BB48248" w14:textId="77777777" w:rsidR="00BE36FB" w:rsidRPr="009B7B35" w:rsidRDefault="00BE36FB" w:rsidP="001A7107">
            <w:pPr>
              <w:pStyle w:val="TableText"/>
              <w:rPr>
                <w:rFonts w:cs="Arial"/>
              </w:rPr>
            </w:pPr>
            <w:r w:rsidRPr="009B7B35">
              <w:rPr>
                <w:rFonts w:cs="Arial"/>
              </w:rPr>
              <w:t>2 RP608783</w:t>
            </w:r>
          </w:p>
          <w:p w14:paraId="36F6DC46" w14:textId="77777777" w:rsidR="00BE36FB" w:rsidRPr="009B7B35" w:rsidRDefault="00BE36FB" w:rsidP="001A7107">
            <w:pPr>
              <w:pStyle w:val="TableText"/>
              <w:rPr>
                <w:rFonts w:cs="Arial"/>
              </w:rPr>
            </w:pPr>
            <w:r w:rsidRPr="009B7B35">
              <w:rPr>
                <w:rFonts w:cs="Arial"/>
              </w:rPr>
              <w:t>3 RP608783</w:t>
            </w:r>
          </w:p>
          <w:p w14:paraId="376D3449" w14:textId="77777777" w:rsidR="00BE36FB" w:rsidRPr="009B7B35" w:rsidRDefault="00BE36FB" w:rsidP="001A7107">
            <w:pPr>
              <w:pStyle w:val="TableText"/>
              <w:rPr>
                <w:rFonts w:cs="Arial"/>
              </w:rPr>
            </w:pPr>
            <w:r w:rsidRPr="009B7B35">
              <w:rPr>
                <w:rFonts w:cs="Arial"/>
              </w:rPr>
              <w:t>4 RP608784</w:t>
            </w:r>
          </w:p>
          <w:p w14:paraId="737B999A" w14:textId="77777777" w:rsidR="00BE36FB" w:rsidRPr="009B7B35" w:rsidRDefault="00BE36FB" w:rsidP="001A7107">
            <w:pPr>
              <w:pStyle w:val="TableText"/>
              <w:rPr>
                <w:rFonts w:cs="Arial"/>
              </w:rPr>
            </w:pPr>
            <w:r w:rsidRPr="009B7B35">
              <w:rPr>
                <w:rFonts w:cs="Arial"/>
              </w:rPr>
              <w:t>1 RP609099</w:t>
            </w:r>
          </w:p>
          <w:p w14:paraId="67C094EA" w14:textId="77777777" w:rsidR="00BE36FB" w:rsidRPr="009B7B35" w:rsidRDefault="00BE36FB" w:rsidP="001A7107">
            <w:pPr>
              <w:pStyle w:val="TableText"/>
              <w:rPr>
                <w:rFonts w:cs="Arial"/>
              </w:rPr>
            </w:pPr>
            <w:r w:rsidRPr="009B7B35">
              <w:rPr>
                <w:rFonts w:cs="Arial"/>
              </w:rPr>
              <w:t>1 RP609128</w:t>
            </w:r>
          </w:p>
          <w:p w14:paraId="621DCB78" w14:textId="77777777" w:rsidR="00BE36FB" w:rsidRPr="009B7B35" w:rsidRDefault="00BE36FB" w:rsidP="001A7107">
            <w:pPr>
              <w:pStyle w:val="TableText"/>
              <w:rPr>
                <w:rFonts w:cs="Arial"/>
              </w:rPr>
            </w:pPr>
            <w:r w:rsidRPr="009B7B35">
              <w:rPr>
                <w:rFonts w:cs="Arial"/>
              </w:rPr>
              <w:t>2 RP609128</w:t>
            </w:r>
          </w:p>
          <w:p w14:paraId="2C139B1A" w14:textId="77777777" w:rsidR="00BE36FB" w:rsidRPr="009B7B35" w:rsidRDefault="00BE36FB" w:rsidP="001A7107">
            <w:pPr>
              <w:pStyle w:val="TableText"/>
              <w:rPr>
                <w:rFonts w:cs="Arial"/>
              </w:rPr>
            </w:pPr>
            <w:r w:rsidRPr="009B7B35">
              <w:rPr>
                <w:rFonts w:cs="Arial"/>
              </w:rPr>
              <w:t>2 RP609261</w:t>
            </w:r>
          </w:p>
          <w:p w14:paraId="07320C7D" w14:textId="77777777" w:rsidR="00BE36FB" w:rsidRPr="009B7B35" w:rsidRDefault="00BE36FB" w:rsidP="001A7107">
            <w:pPr>
              <w:pStyle w:val="TableText"/>
              <w:rPr>
                <w:rFonts w:cs="Arial"/>
              </w:rPr>
            </w:pPr>
            <w:r w:rsidRPr="009B7B35">
              <w:rPr>
                <w:rFonts w:cs="Arial"/>
              </w:rPr>
              <w:t>1 RP609285</w:t>
            </w:r>
          </w:p>
          <w:p w14:paraId="2615DB4C" w14:textId="77777777" w:rsidR="00BE36FB" w:rsidRPr="009B7B35" w:rsidRDefault="00BE36FB" w:rsidP="001A7107">
            <w:pPr>
              <w:pStyle w:val="TableText"/>
              <w:rPr>
                <w:rFonts w:cs="Arial"/>
              </w:rPr>
            </w:pPr>
            <w:r w:rsidRPr="009B7B35">
              <w:rPr>
                <w:rFonts w:cs="Arial"/>
              </w:rPr>
              <w:t>2 RP609285</w:t>
            </w:r>
          </w:p>
          <w:p w14:paraId="2F8ABBD1" w14:textId="77777777" w:rsidR="00BE36FB" w:rsidRPr="009B7B35" w:rsidRDefault="00BE36FB" w:rsidP="001A7107">
            <w:pPr>
              <w:pStyle w:val="TableText"/>
              <w:rPr>
                <w:rFonts w:cs="Arial"/>
              </w:rPr>
            </w:pPr>
            <w:r w:rsidRPr="009B7B35">
              <w:rPr>
                <w:rFonts w:cs="Arial"/>
              </w:rPr>
              <w:t>3 RP609285</w:t>
            </w:r>
          </w:p>
          <w:p w14:paraId="78540628" w14:textId="77777777" w:rsidR="00BE36FB" w:rsidRPr="009B7B35" w:rsidRDefault="00BE36FB" w:rsidP="001A7107">
            <w:pPr>
              <w:pStyle w:val="TableText"/>
              <w:rPr>
                <w:rFonts w:cs="Arial"/>
              </w:rPr>
            </w:pPr>
            <w:r w:rsidRPr="009B7B35">
              <w:rPr>
                <w:rFonts w:cs="Arial"/>
              </w:rPr>
              <w:t>2 RP609526</w:t>
            </w:r>
          </w:p>
          <w:p w14:paraId="4A7D2670" w14:textId="77777777" w:rsidR="00BE36FB" w:rsidRPr="009B7B35" w:rsidRDefault="00BE36FB" w:rsidP="001A7107">
            <w:pPr>
              <w:pStyle w:val="TableText"/>
              <w:rPr>
                <w:rFonts w:cs="Arial"/>
              </w:rPr>
            </w:pPr>
            <w:r w:rsidRPr="009B7B35">
              <w:rPr>
                <w:rFonts w:cs="Arial"/>
              </w:rPr>
              <w:t>1 RP610470</w:t>
            </w:r>
          </w:p>
          <w:p w14:paraId="3E3884E8" w14:textId="77777777" w:rsidR="00BE36FB" w:rsidRPr="009B7B35" w:rsidRDefault="00BE36FB" w:rsidP="001A7107">
            <w:pPr>
              <w:pStyle w:val="TableText"/>
              <w:rPr>
                <w:rFonts w:cs="Arial"/>
              </w:rPr>
            </w:pPr>
            <w:r w:rsidRPr="009B7B35">
              <w:rPr>
                <w:rFonts w:cs="Arial"/>
              </w:rPr>
              <w:t>10 RP611368</w:t>
            </w:r>
          </w:p>
          <w:p w14:paraId="194F998A" w14:textId="77777777" w:rsidR="00BE36FB" w:rsidRPr="009B7B35" w:rsidRDefault="00BE36FB" w:rsidP="001A7107">
            <w:pPr>
              <w:pStyle w:val="TableText"/>
              <w:rPr>
                <w:rFonts w:cs="Arial"/>
              </w:rPr>
            </w:pPr>
            <w:r w:rsidRPr="009B7B35">
              <w:rPr>
                <w:rFonts w:cs="Arial"/>
              </w:rPr>
              <w:t>11 RP611368</w:t>
            </w:r>
          </w:p>
          <w:p w14:paraId="1DC21422" w14:textId="77777777" w:rsidR="00BE36FB" w:rsidRPr="009B7B35" w:rsidRDefault="00BE36FB" w:rsidP="001A7107">
            <w:pPr>
              <w:pStyle w:val="TableText"/>
              <w:rPr>
                <w:rFonts w:cs="Arial"/>
              </w:rPr>
            </w:pPr>
            <w:r w:rsidRPr="009B7B35">
              <w:rPr>
                <w:rFonts w:cs="Arial"/>
              </w:rPr>
              <w:t>12 RP611368</w:t>
            </w:r>
          </w:p>
          <w:p w14:paraId="398B1D64" w14:textId="77777777" w:rsidR="00BE36FB" w:rsidRPr="009B7B35" w:rsidRDefault="00BE36FB" w:rsidP="001A7107">
            <w:pPr>
              <w:pStyle w:val="TableText"/>
              <w:rPr>
                <w:rFonts w:cs="Arial"/>
              </w:rPr>
            </w:pPr>
            <w:r w:rsidRPr="009B7B35">
              <w:rPr>
                <w:rFonts w:cs="Arial"/>
              </w:rPr>
              <w:t>13 RP611368</w:t>
            </w:r>
          </w:p>
          <w:p w14:paraId="28F35248" w14:textId="77777777" w:rsidR="00BE36FB" w:rsidRPr="009B7B35" w:rsidRDefault="00BE36FB" w:rsidP="001A7107">
            <w:pPr>
              <w:pStyle w:val="TableText"/>
              <w:rPr>
                <w:rFonts w:cs="Arial"/>
              </w:rPr>
            </w:pPr>
            <w:r w:rsidRPr="009B7B35">
              <w:rPr>
                <w:rFonts w:cs="Arial"/>
              </w:rPr>
              <w:t>14 RP611368</w:t>
            </w:r>
          </w:p>
          <w:p w14:paraId="19A85C8A" w14:textId="77777777" w:rsidR="00BE36FB" w:rsidRPr="009B7B35" w:rsidRDefault="00BE36FB" w:rsidP="001A7107">
            <w:pPr>
              <w:pStyle w:val="TableText"/>
              <w:rPr>
                <w:rFonts w:cs="Arial"/>
              </w:rPr>
            </w:pPr>
            <w:r w:rsidRPr="009B7B35">
              <w:rPr>
                <w:rFonts w:cs="Arial"/>
              </w:rPr>
              <w:t>8 RP611368</w:t>
            </w:r>
          </w:p>
          <w:p w14:paraId="6AF2DF70" w14:textId="77777777" w:rsidR="00BE36FB" w:rsidRPr="009B7B35" w:rsidRDefault="00BE36FB" w:rsidP="001A7107">
            <w:pPr>
              <w:pStyle w:val="TableText"/>
              <w:rPr>
                <w:rFonts w:cs="Arial"/>
              </w:rPr>
            </w:pPr>
            <w:r w:rsidRPr="009B7B35">
              <w:rPr>
                <w:rFonts w:cs="Arial"/>
              </w:rPr>
              <w:t>9 RP611368</w:t>
            </w:r>
          </w:p>
          <w:p w14:paraId="0272CC91" w14:textId="77777777" w:rsidR="00BE36FB" w:rsidRPr="009B7B35" w:rsidRDefault="00BE36FB" w:rsidP="001A7107">
            <w:pPr>
              <w:pStyle w:val="TableText"/>
              <w:rPr>
                <w:rFonts w:cs="Arial"/>
              </w:rPr>
            </w:pPr>
            <w:r w:rsidRPr="009B7B35">
              <w:rPr>
                <w:rFonts w:cs="Arial"/>
              </w:rPr>
              <w:t>15 RP611368</w:t>
            </w:r>
          </w:p>
          <w:p w14:paraId="091E9A57" w14:textId="77777777" w:rsidR="00BE36FB" w:rsidRPr="009B7B35" w:rsidRDefault="00BE36FB" w:rsidP="001A7107">
            <w:pPr>
              <w:pStyle w:val="TableText"/>
              <w:rPr>
                <w:rFonts w:cs="Arial"/>
              </w:rPr>
            </w:pPr>
            <w:r w:rsidRPr="009B7B35">
              <w:rPr>
                <w:rFonts w:cs="Arial"/>
              </w:rPr>
              <w:t>16 RP611368</w:t>
            </w:r>
          </w:p>
          <w:p w14:paraId="7613AFE8" w14:textId="77777777" w:rsidR="00BE36FB" w:rsidRPr="009B7B35" w:rsidRDefault="00BE36FB" w:rsidP="001A7107">
            <w:pPr>
              <w:pStyle w:val="TableText"/>
              <w:rPr>
                <w:rFonts w:cs="Arial"/>
              </w:rPr>
            </w:pPr>
            <w:r w:rsidRPr="009B7B35">
              <w:rPr>
                <w:rFonts w:cs="Arial"/>
              </w:rPr>
              <w:t>17 RP611368</w:t>
            </w:r>
          </w:p>
          <w:p w14:paraId="6C503FDF" w14:textId="77777777" w:rsidR="00BE36FB" w:rsidRPr="009B7B35" w:rsidRDefault="00BE36FB" w:rsidP="001A7107">
            <w:pPr>
              <w:pStyle w:val="TableText"/>
              <w:rPr>
                <w:rFonts w:cs="Arial"/>
              </w:rPr>
            </w:pPr>
            <w:r w:rsidRPr="009B7B35">
              <w:rPr>
                <w:rFonts w:cs="Arial"/>
              </w:rPr>
              <w:t>18 RP611368</w:t>
            </w:r>
          </w:p>
          <w:p w14:paraId="5DAF2E98" w14:textId="77777777" w:rsidR="00BE36FB" w:rsidRPr="009B7B35" w:rsidRDefault="00BE36FB" w:rsidP="001A7107">
            <w:pPr>
              <w:pStyle w:val="TableText"/>
              <w:rPr>
                <w:rFonts w:cs="Arial"/>
              </w:rPr>
            </w:pPr>
            <w:r w:rsidRPr="009B7B35">
              <w:rPr>
                <w:rFonts w:cs="Arial"/>
              </w:rPr>
              <w:t>3 RP611416</w:t>
            </w:r>
          </w:p>
          <w:p w14:paraId="249B5C4E" w14:textId="77777777" w:rsidR="00BE36FB" w:rsidRPr="009B7B35" w:rsidRDefault="00BE36FB" w:rsidP="001A7107">
            <w:pPr>
              <w:pStyle w:val="TableText"/>
              <w:rPr>
                <w:rFonts w:cs="Arial"/>
              </w:rPr>
            </w:pPr>
            <w:r w:rsidRPr="009B7B35">
              <w:rPr>
                <w:rFonts w:cs="Arial"/>
              </w:rPr>
              <w:t>4 RP611416</w:t>
            </w:r>
          </w:p>
          <w:p w14:paraId="7730E311" w14:textId="77777777" w:rsidR="00BE36FB" w:rsidRPr="009B7B35" w:rsidRDefault="00BE36FB" w:rsidP="001A7107">
            <w:pPr>
              <w:pStyle w:val="TableText"/>
              <w:rPr>
                <w:rFonts w:cs="Arial"/>
              </w:rPr>
            </w:pPr>
            <w:r w:rsidRPr="009B7B35">
              <w:rPr>
                <w:rFonts w:cs="Arial"/>
              </w:rPr>
              <w:t>5 RP611416</w:t>
            </w:r>
          </w:p>
          <w:p w14:paraId="2983EF00" w14:textId="77777777" w:rsidR="00BE36FB" w:rsidRPr="009B7B35" w:rsidRDefault="00BE36FB" w:rsidP="001A7107">
            <w:pPr>
              <w:pStyle w:val="TableText"/>
              <w:rPr>
                <w:rFonts w:cs="Arial"/>
              </w:rPr>
            </w:pPr>
            <w:r w:rsidRPr="009B7B35">
              <w:rPr>
                <w:rFonts w:cs="Arial"/>
              </w:rPr>
              <w:t>6 RP611416</w:t>
            </w:r>
          </w:p>
          <w:p w14:paraId="45749529" w14:textId="77777777" w:rsidR="00BE36FB" w:rsidRPr="009B7B35" w:rsidRDefault="00BE36FB" w:rsidP="001A7107">
            <w:pPr>
              <w:pStyle w:val="TableText"/>
              <w:rPr>
                <w:rFonts w:cs="Arial"/>
              </w:rPr>
            </w:pPr>
            <w:r w:rsidRPr="009B7B35">
              <w:rPr>
                <w:rFonts w:cs="Arial"/>
              </w:rPr>
              <w:t>7 RP611416</w:t>
            </w:r>
          </w:p>
          <w:p w14:paraId="248B2EA5" w14:textId="77777777" w:rsidR="00BE36FB" w:rsidRPr="009B7B35" w:rsidRDefault="00BE36FB" w:rsidP="001A7107">
            <w:pPr>
              <w:pStyle w:val="TableText"/>
              <w:rPr>
                <w:rFonts w:cs="Arial"/>
              </w:rPr>
            </w:pPr>
            <w:r w:rsidRPr="009B7B35">
              <w:rPr>
                <w:rFonts w:cs="Arial"/>
              </w:rPr>
              <w:t>1 RP612072</w:t>
            </w:r>
          </w:p>
          <w:p w14:paraId="0A89473D" w14:textId="77777777" w:rsidR="00BE36FB" w:rsidRPr="009B7B35" w:rsidRDefault="00BE36FB" w:rsidP="001A7107">
            <w:pPr>
              <w:pStyle w:val="TableText"/>
              <w:rPr>
                <w:rFonts w:cs="Arial"/>
              </w:rPr>
            </w:pPr>
            <w:r w:rsidRPr="009B7B35">
              <w:rPr>
                <w:rFonts w:cs="Arial"/>
              </w:rPr>
              <w:t>1 RP612518</w:t>
            </w:r>
          </w:p>
          <w:p w14:paraId="4F7E93B9" w14:textId="77777777" w:rsidR="00BE36FB" w:rsidRPr="009B7B35" w:rsidRDefault="00BE36FB" w:rsidP="001A7107">
            <w:pPr>
              <w:pStyle w:val="TableText"/>
              <w:rPr>
                <w:rFonts w:cs="Arial"/>
              </w:rPr>
            </w:pPr>
            <w:r w:rsidRPr="009B7B35">
              <w:rPr>
                <w:rFonts w:cs="Arial"/>
              </w:rPr>
              <w:t>1 RP613433</w:t>
            </w:r>
          </w:p>
          <w:p w14:paraId="45F6129F" w14:textId="77777777" w:rsidR="00BE36FB" w:rsidRPr="009B7B35" w:rsidRDefault="00BE36FB" w:rsidP="001A7107">
            <w:pPr>
              <w:pStyle w:val="TableText"/>
              <w:rPr>
                <w:rFonts w:cs="Arial"/>
              </w:rPr>
            </w:pPr>
            <w:r w:rsidRPr="009B7B35">
              <w:rPr>
                <w:rFonts w:cs="Arial"/>
              </w:rPr>
              <w:t>2 RP615267</w:t>
            </w:r>
          </w:p>
          <w:p w14:paraId="0C35459E" w14:textId="77777777" w:rsidR="00BE36FB" w:rsidRPr="009B7B35" w:rsidRDefault="00BE36FB" w:rsidP="001A7107">
            <w:pPr>
              <w:pStyle w:val="TableText"/>
              <w:rPr>
                <w:rFonts w:cs="Arial"/>
              </w:rPr>
            </w:pPr>
            <w:r w:rsidRPr="009B7B35">
              <w:rPr>
                <w:rFonts w:cs="Arial"/>
              </w:rPr>
              <w:t>2 RP615331</w:t>
            </w:r>
          </w:p>
          <w:p w14:paraId="72BC686E" w14:textId="77777777" w:rsidR="00BE36FB" w:rsidRPr="009B7B35" w:rsidRDefault="00BE36FB" w:rsidP="001A7107">
            <w:pPr>
              <w:pStyle w:val="TableText"/>
              <w:rPr>
                <w:rFonts w:cs="Arial"/>
              </w:rPr>
            </w:pPr>
            <w:r w:rsidRPr="009B7B35">
              <w:rPr>
                <w:rFonts w:cs="Arial"/>
              </w:rPr>
              <w:t>1 RP615331</w:t>
            </w:r>
          </w:p>
          <w:p w14:paraId="40FF4058" w14:textId="77777777" w:rsidR="00BE36FB" w:rsidRPr="009B7B35" w:rsidRDefault="00BE36FB" w:rsidP="001A7107">
            <w:pPr>
              <w:pStyle w:val="TableText"/>
              <w:rPr>
                <w:rFonts w:cs="Arial"/>
              </w:rPr>
            </w:pPr>
            <w:r w:rsidRPr="009B7B35">
              <w:rPr>
                <w:rFonts w:cs="Arial"/>
              </w:rPr>
              <w:t>3 RP615332</w:t>
            </w:r>
          </w:p>
          <w:p w14:paraId="1B543787" w14:textId="77777777" w:rsidR="00BE36FB" w:rsidRPr="009B7B35" w:rsidRDefault="00BE36FB" w:rsidP="001A7107">
            <w:pPr>
              <w:pStyle w:val="TableText"/>
              <w:rPr>
                <w:rFonts w:cs="Arial"/>
              </w:rPr>
            </w:pPr>
            <w:r w:rsidRPr="009B7B35">
              <w:rPr>
                <w:rFonts w:cs="Arial"/>
              </w:rPr>
              <w:t>4 RP615332</w:t>
            </w:r>
          </w:p>
          <w:p w14:paraId="08E2FB6E" w14:textId="77777777" w:rsidR="00BE36FB" w:rsidRPr="009B7B35" w:rsidRDefault="00BE36FB" w:rsidP="001A7107">
            <w:pPr>
              <w:pStyle w:val="TableText"/>
              <w:rPr>
                <w:rFonts w:cs="Arial"/>
              </w:rPr>
            </w:pPr>
            <w:r w:rsidRPr="009B7B35">
              <w:rPr>
                <w:rFonts w:cs="Arial"/>
              </w:rPr>
              <w:t>5 RP615333</w:t>
            </w:r>
          </w:p>
          <w:p w14:paraId="06D46615" w14:textId="77777777" w:rsidR="00BE36FB" w:rsidRPr="009B7B35" w:rsidRDefault="00BE36FB" w:rsidP="001A7107">
            <w:pPr>
              <w:pStyle w:val="TableText"/>
              <w:rPr>
                <w:rFonts w:cs="Arial"/>
              </w:rPr>
            </w:pPr>
            <w:r w:rsidRPr="009B7B35">
              <w:rPr>
                <w:rFonts w:cs="Arial"/>
              </w:rPr>
              <w:t>6 RP615333</w:t>
            </w:r>
          </w:p>
          <w:p w14:paraId="1D5CF32C" w14:textId="77777777" w:rsidR="00BE36FB" w:rsidRPr="009B7B35" w:rsidRDefault="00BE36FB" w:rsidP="001A7107">
            <w:pPr>
              <w:pStyle w:val="TableText"/>
              <w:rPr>
                <w:rFonts w:cs="Arial"/>
              </w:rPr>
            </w:pPr>
            <w:r w:rsidRPr="009B7B35">
              <w:rPr>
                <w:rFonts w:cs="Arial"/>
              </w:rPr>
              <w:t>1 RP615470</w:t>
            </w:r>
          </w:p>
          <w:p w14:paraId="11E993A9" w14:textId="77777777" w:rsidR="00BE36FB" w:rsidRPr="009B7B35" w:rsidRDefault="00BE36FB" w:rsidP="001A7107">
            <w:pPr>
              <w:pStyle w:val="TableText"/>
              <w:rPr>
                <w:rFonts w:cs="Arial"/>
              </w:rPr>
            </w:pPr>
            <w:r w:rsidRPr="009B7B35">
              <w:rPr>
                <w:rFonts w:cs="Arial"/>
              </w:rPr>
              <w:t>1 RP616234</w:t>
            </w:r>
          </w:p>
          <w:p w14:paraId="48D28878" w14:textId="77777777" w:rsidR="00BE36FB" w:rsidRPr="009B7B35" w:rsidRDefault="00BE36FB" w:rsidP="001A7107">
            <w:pPr>
              <w:pStyle w:val="TableText"/>
              <w:rPr>
                <w:rFonts w:cs="Arial"/>
              </w:rPr>
            </w:pPr>
            <w:r w:rsidRPr="009B7B35">
              <w:rPr>
                <w:rFonts w:cs="Arial"/>
              </w:rPr>
              <w:t>1 RP620329</w:t>
            </w:r>
          </w:p>
          <w:p w14:paraId="4FCA47C6" w14:textId="77777777" w:rsidR="00BE36FB" w:rsidRPr="009B7B35" w:rsidRDefault="00BE36FB" w:rsidP="001A7107">
            <w:pPr>
              <w:pStyle w:val="TableText"/>
              <w:rPr>
                <w:rFonts w:cs="Arial"/>
              </w:rPr>
            </w:pPr>
            <w:r w:rsidRPr="009B7B35">
              <w:rPr>
                <w:rFonts w:cs="Arial"/>
              </w:rPr>
              <w:t>22 CTN70</w:t>
            </w:r>
          </w:p>
          <w:p w14:paraId="1E304B27" w14:textId="77777777" w:rsidR="00BE36FB" w:rsidRPr="009B7B35" w:rsidRDefault="00BE36FB" w:rsidP="001A7107">
            <w:pPr>
              <w:pStyle w:val="TableText"/>
              <w:rPr>
                <w:rFonts w:cs="Arial"/>
              </w:rPr>
            </w:pPr>
            <w:r w:rsidRPr="009B7B35">
              <w:rPr>
                <w:rFonts w:cs="Arial"/>
              </w:rPr>
              <w:t>105 CTN77</w:t>
            </w:r>
          </w:p>
          <w:p w14:paraId="3DBFD0F0" w14:textId="77777777" w:rsidR="00BE36FB" w:rsidRPr="009B7B35" w:rsidRDefault="00BE36FB" w:rsidP="001A7107">
            <w:pPr>
              <w:pStyle w:val="TableText"/>
              <w:rPr>
                <w:rFonts w:cs="Arial"/>
              </w:rPr>
            </w:pPr>
            <w:r w:rsidRPr="009B7B35">
              <w:rPr>
                <w:rFonts w:cs="Arial"/>
              </w:rPr>
              <w:t>1 RP843214</w:t>
            </w:r>
          </w:p>
          <w:p w14:paraId="02BF62C1" w14:textId="77777777" w:rsidR="00BE36FB" w:rsidRPr="009B7B35" w:rsidRDefault="00BE36FB" w:rsidP="001A7107">
            <w:pPr>
              <w:pStyle w:val="TableText"/>
              <w:rPr>
                <w:rFonts w:cs="Arial"/>
              </w:rPr>
            </w:pPr>
            <w:r w:rsidRPr="009B7B35">
              <w:rPr>
                <w:rFonts w:cs="Arial"/>
              </w:rPr>
              <w:t>2 RP843214</w:t>
            </w:r>
          </w:p>
          <w:p w14:paraId="033C383F" w14:textId="77777777" w:rsidR="00BE36FB" w:rsidRPr="009B7B35" w:rsidRDefault="00BE36FB" w:rsidP="001A7107">
            <w:pPr>
              <w:pStyle w:val="TableText"/>
              <w:rPr>
                <w:rFonts w:cs="Arial"/>
              </w:rPr>
            </w:pPr>
            <w:r w:rsidRPr="009B7B35">
              <w:rPr>
                <w:rFonts w:cs="Arial"/>
              </w:rPr>
              <w:t>3 RP859885</w:t>
            </w:r>
          </w:p>
          <w:p w14:paraId="384669DC" w14:textId="77777777" w:rsidR="00BE36FB" w:rsidRPr="009B7B35" w:rsidRDefault="00BE36FB" w:rsidP="001A7107">
            <w:pPr>
              <w:pStyle w:val="TableText"/>
              <w:rPr>
                <w:rFonts w:cs="Arial"/>
              </w:rPr>
            </w:pPr>
            <w:r w:rsidRPr="009B7B35">
              <w:rPr>
                <w:rFonts w:cs="Arial"/>
              </w:rPr>
              <w:t>4 RP859885</w:t>
            </w:r>
          </w:p>
          <w:p w14:paraId="0057E467" w14:textId="77777777" w:rsidR="00BE36FB" w:rsidRPr="009B7B35" w:rsidRDefault="00BE36FB" w:rsidP="001A7107">
            <w:pPr>
              <w:pStyle w:val="TableText"/>
              <w:rPr>
                <w:rFonts w:cs="Arial"/>
              </w:rPr>
            </w:pPr>
            <w:r w:rsidRPr="009B7B35">
              <w:rPr>
                <w:rFonts w:cs="Arial"/>
              </w:rPr>
              <w:t xml:space="preserve">24 CTN865 </w:t>
            </w:r>
          </w:p>
          <w:p w14:paraId="46E1FA31" w14:textId="77777777" w:rsidR="00BE36FB" w:rsidRPr="009B7B35" w:rsidRDefault="00BE36FB" w:rsidP="001A7107">
            <w:pPr>
              <w:pStyle w:val="TableText"/>
              <w:rPr>
                <w:rFonts w:cs="Arial"/>
              </w:rPr>
            </w:pPr>
            <w:r w:rsidRPr="009B7B35">
              <w:rPr>
                <w:rFonts w:cs="Arial"/>
              </w:rPr>
              <w:t>2 RP866110</w:t>
            </w:r>
          </w:p>
          <w:p w14:paraId="6647FB2C" w14:textId="77777777" w:rsidR="00BE36FB" w:rsidRPr="009B7B35" w:rsidRDefault="00BE36FB" w:rsidP="001A7107">
            <w:pPr>
              <w:pStyle w:val="TableText"/>
              <w:rPr>
                <w:rFonts w:cs="Arial"/>
              </w:rPr>
            </w:pPr>
            <w:r w:rsidRPr="009B7B35">
              <w:rPr>
                <w:rFonts w:cs="Arial"/>
              </w:rPr>
              <w:t>3 RP866110</w:t>
            </w:r>
          </w:p>
          <w:p w14:paraId="727BB93F" w14:textId="77777777" w:rsidR="00BE36FB" w:rsidRPr="009B7B35" w:rsidRDefault="00BE36FB" w:rsidP="001A7107">
            <w:pPr>
              <w:pStyle w:val="TableText"/>
              <w:rPr>
                <w:rFonts w:cs="Arial"/>
              </w:rPr>
            </w:pPr>
            <w:r w:rsidRPr="009B7B35">
              <w:rPr>
                <w:rFonts w:cs="Arial"/>
              </w:rPr>
              <w:t>1 CP881488</w:t>
            </w:r>
          </w:p>
          <w:p w14:paraId="0F7EA62B" w14:textId="77777777" w:rsidR="00BE36FB" w:rsidRPr="009B7B35" w:rsidRDefault="00BE36FB" w:rsidP="001A7107">
            <w:pPr>
              <w:pStyle w:val="TableText"/>
              <w:rPr>
                <w:rFonts w:cs="Arial"/>
              </w:rPr>
            </w:pPr>
            <w:r w:rsidRPr="009B7B35">
              <w:rPr>
                <w:rFonts w:cs="Arial"/>
              </w:rPr>
              <w:t>3 RP889244</w:t>
            </w:r>
          </w:p>
          <w:p w14:paraId="08B971E7" w14:textId="77777777" w:rsidR="00BE36FB" w:rsidRPr="009B7B35" w:rsidRDefault="00BE36FB" w:rsidP="001A7107">
            <w:pPr>
              <w:pStyle w:val="TableText"/>
              <w:rPr>
                <w:rFonts w:cs="Arial"/>
              </w:rPr>
            </w:pPr>
            <w:r w:rsidRPr="009B7B35">
              <w:rPr>
                <w:rFonts w:cs="Arial"/>
              </w:rPr>
              <w:t>6 CTN932</w:t>
            </w:r>
          </w:p>
          <w:p w14:paraId="4D5359D3" w14:textId="77777777" w:rsidR="00BE36FB" w:rsidRPr="009B7B35" w:rsidRDefault="00BE36FB" w:rsidP="001A7107">
            <w:pPr>
              <w:pStyle w:val="TableText"/>
              <w:rPr>
                <w:rFonts w:cs="Arial"/>
              </w:rPr>
            </w:pPr>
            <w:r w:rsidRPr="009B7B35">
              <w:rPr>
                <w:rFonts w:cs="Arial"/>
              </w:rPr>
              <w:t>2 CTN941</w:t>
            </w:r>
          </w:p>
          <w:p w14:paraId="11A9C241" w14:textId="77777777" w:rsidR="00BE36FB" w:rsidRPr="009B7B35" w:rsidRDefault="00BE36FB" w:rsidP="001A7107">
            <w:pPr>
              <w:pStyle w:val="TableText"/>
              <w:rPr>
                <w:rFonts w:cs="Arial"/>
              </w:rPr>
            </w:pPr>
            <w:r w:rsidRPr="009B7B35">
              <w:rPr>
                <w:rFonts w:cs="Arial"/>
              </w:rPr>
              <w:t>331 NPW96</w:t>
            </w:r>
          </w:p>
          <w:p w14:paraId="388DFFD8" w14:textId="77777777" w:rsidR="00BE36FB" w:rsidRPr="009B7B35" w:rsidRDefault="00BE36FB" w:rsidP="001A7107">
            <w:pPr>
              <w:pStyle w:val="TableText"/>
              <w:rPr>
                <w:rFonts w:cs="Arial"/>
              </w:rPr>
            </w:pPr>
            <w:r w:rsidRPr="009B7B35">
              <w:rPr>
                <w:rFonts w:cs="Arial"/>
              </w:rPr>
              <w:t>5 CTN994</w:t>
            </w:r>
          </w:p>
          <w:p w14:paraId="3A9CDF34" w14:textId="77777777" w:rsidR="00BE36FB" w:rsidRPr="009B7B35" w:rsidRDefault="00BE36FB" w:rsidP="001A7107">
            <w:pPr>
              <w:pStyle w:val="TableText"/>
              <w:rPr>
                <w:rFonts w:cs="Arial"/>
              </w:rPr>
            </w:pPr>
            <w:r w:rsidRPr="009B7B35">
              <w:rPr>
                <w:rFonts w:cs="Arial"/>
              </w:rPr>
              <w:t>22 CTN995</w:t>
            </w:r>
          </w:p>
        </w:tc>
        <w:tc>
          <w:tcPr>
            <w:tcW w:w="2314" w:type="dxa"/>
          </w:tcPr>
          <w:p w14:paraId="2F2BB0A6" w14:textId="77777777" w:rsidR="00BE36FB" w:rsidRPr="009B7B35" w:rsidRDefault="00BE36FB" w:rsidP="001A7107">
            <w:pPr>
              <w:pStyle w:val="TableText"/>
              <w:rPr>
                <w:rFonts w:cs="Arial"/>
              </w:rPr>
            </w:pPr>
          </w:p>
        </w:tc>
        <w:tc>
          <w:tcPr>
            <w:tcW w:w="3599" w:type="dxa"/>
          </w:tcPr>
          <w:p w14:paraId="3A249337" w14:textId="77777777" w:rsidR="00BE36FB" w:rsidRPr="009B7B35" w:rsidRDefault="00BE36FB" w:rsidP="001A7107">
            <w:pPr>
              <w:pStyle w:val="TableText"/>
              <w:rPr>
                <w:rFonts w:cs="Arial"/>
              </w:rPr>
            </w:pPr>
            <w:r w:rsidRPr="009B7B35">
              <w:rPr>
                <w:rFonts w:cs="Arial"/>
              </w:rPr>
              <w:t xml:space="preserve">(l) parks and recreational facilities </w:t>
            </w:r>
          </w:p>
          <w:p w14:paraId="283086B0" w14:textId="77777777" w:rsidR="00BE36FB" w:rsidRPr="009B7B35" w:rsidRDefault="00BE36FB" w:rsidP="001A7107">
            <w:pPr>
              <w:pStyle w:val="TableText"/>
              <w:rPr>
                <w:rFonts w:cs="Arial"/>
              </w:rPr>
            </w:pPr>
            <w:r w:rsidRPr="009B7B35">
              <w:rPr>
                <w:rFonts w:cs="Arial"/>
              </w:rPr>
              <w:t xml:space="preserve">(m) railway lines, stations and associated facilities </w:t>
            </w:r>
          </w:p>
          <w:p w14:paraId="68ABE261" w14:textId="77777777" w:rsidR="00BE36FB" w:rsidRPr="009B7B35" w:rsidRDefault="00BE36FB" w:rsidP="001A7107">
            <w:pPr>
              <w:pStyle w:val="TableText"/>
              <w:rPr>
                <w:rFonts w:cs="Arial"/>
              </w:rPr>
            </w:pPr>
            <w:r w:rsidRPr="009B7B35">
              <w:rPr>
                <w:rFonts w:cs="Arial"/>
              </w:rPr>
              <w:t xml:space="preserve">(n) State–controlled roads </w:t>
            </w:r>
          </w:p>
          <w:p w14:paraId="25189847" w14:textId="77777777" w:rsidR="00BE36FB" w:rsidRPr="009B7B35" w:rsidRDefault="00BE36FB" w:rsidP="001A7107">
            <w:pPr>
              <w:pStyle w:val="TableText"/>
              <w:rPr>
                <w:rFonts w:cs="Arial"/>
              </w:rPr>
            </w:pPr>
            <w:r w:rsidRPr="009B7B35">
              <w:rPr>
                <w:rFonts w:cs="Arial"/>
              </w:rPr>
              <w:t xml:space="preserve">(p) water cycle management infrastructure </w:t>
            </w:r>
          </w:p>
          <w:p w14:paraId="3B96AAFE" w14:textId="77777777" w:rsidR="00BE36FB" w:rsidRPr="009B7B35" w:rsidRDefault="00BE36FB" w:rsidP="001A7107">
            <w:pPr>
              <w:pStyle w:val="TableText"/>
              <w:rPr>
                <w:rFonts w:cs="Arial"/>
              </w:rPr>
            </w:pPr>
            <w:r w:rsidRPr="009B7B35">
              <w:rPr>
                <w:rFonts w:cs="Arial"/>
              </w:rPr>
              <w:t>(r) storage and works depots and the like including administrative facilities associated with the provision or maintenance of the community infrastructure mentioned in paragraphs (a) to (q)</w:t>
            </w:r>
          </w:p>
        </w:tc>
      </w:tr>
      <w:tr w:rsidR="00BE36FB" w:rsidRPr="009B7B35" w14:paraId="20C5CF23" w14:textId="77777777" w:rsidTr="001A7107">
        <w:tc>
          <w:tcPr>
            <w:tcW w:w="0" w:type="auto"/>
          </w:tcPr>
          <w:p w14:paraId="66110698" w14:textId="77777777" w:rsidR="00BE36FB" w:rsidRPr="009B7B35" w:rsidRDefault="00BE36FB" w:rsidP="001A7107">
            <w:pPr>
              <w:pStyle w:val="TableText"/>
              <w:rPr>
                <w:rFonts w:cs="Arial"/>
              </w:rPr>
            </w:pPr>
            <w:r w:rsidRPr="009B7B35">
              <w:rPr>
                <w:rFonts w:cs="Arial"/>
              </w:rPr>
              <w:t>6/07/2001</w:t>
            </w:r>
          </w:p>
        </w:tc>
        <w:tc>
          <w:tcPr>
            <w:tcW w:w="0" w:type="auto"/>
          </w:tcPr>
          <w:p w14:paraId="3636DAF9" w14:textId="77777777" w:rsidR="00BE36FB" w:rsidRPr="009B7B35" w:rsidRDefault="00BE36FB" w:rsidP="001A7107">
            <w:pPr>
              <w:pStyle w:val="TableText"/>
              <w:rPr>
                <w:rFonts w:cs="Arial"/>
              </w:rPr>
            </w:pPr>
            <w:r w:rsidRPr="009B7B35">
              <w:rPr>
                <w:rFonts w:cs="Arial"/>
              </w:rPr>
              <w:t>10 DS734</w:t>
            </w:r>
          </w:p>
        </w:tc>
        <w:tc>
          <w:tcPr>
            <w:tcW w:w="2314" w:type="dxa"/>
          </w:tcPr>
          <w:p w14:paraId="717B4F8E" w14:textId="77777777" w:rsidR="00BE36FB" w:rsidRPr="009B7B35" w:rsidRDefault="00BE36FB" w:rsidP="001A7107">
            <w:pPr>
              <w:pStyle w:val="TableText"/>
              <w:rPr>
                <w:rFonts w:cs="Arial"/>
              </w:rPr>
            </w:pPr>
            <w:r w:rsidRPr="009B7B35">
              <w:rPr>
                <w:rFonts w:cs="Arial"/>
              </w:rPr>
              <w:t>Raglan Street</w:t>
            </w:r>
            <w:r w:rsidRPr="009B7B35">
              <w:rPr>
                <w:rFonts w:cs="Arial"/>
              </w:rPr>
              <w:br/>
              <w:t>MOUNT LARCOM QLD 4695</w:t>
            </w:r>
          </w:p>
        </w:tc>
        <w:tc>
          <w:tcPr>
            <w:tcW w:w="3599" w:type="dxa"/>
          </w:tcPr>
          <w:p w14:paraId="22A7F745" w14:textId="77777777" w:rsidR="00BE36FB" w:rsidRPr="009B7B35" w:rsidRDefault="00BE36FB" w:rsidP="001A7107">
            <w:pPr>
              <w:pStyle w:val="TableText"/>
              <w:rPr>
                <w:rFonts w:cs="Arial"/>
              </w:rPr>
            </w:pPr>
            <w:r w:rsidRPr="009B7B35">
              <w:rPr>
                <w:rFonts w:cs="Arial"/>
              </w:rPr>
              <w:t>(g) emergency services facilities</w:t>
            </w:r>
          </w:p>
        </w:tc>
      </w:tr>
      <w:tr w:rsidR="00BE36FB" w:rsidRPr="009B7B35" w14:paraId="7F3E3675" w14:textId="77777777" w:rsidTr="001A7107">
        <w:tc>
          <w:tcPr>
            <w:tcW w:w="0" w:type="auto"/>
          </w:tcPr>
          <w:p w14:paraId="5FA8269D" w14:textId="77777777" w:rsidR="00BE36FB" w:rsidRPr="009B7B35" w:rsidRDefault="00BE36FB" w:rsidP="001A7107">
            <w:pPr>
              <w:pStyle w:val="TableText"/>
              <w:rPr>
                <w:rFonts w:cs="Arial"/>
              </w:rPr>
            </w:pPr>
            <w:r w:rsidRPr="009B7B35">
              <w:rPr>
                <w:rFonts w:cs="Arial"/>
              </w:rPr>
              <w:t>26/04/2002</w:t>
            </w:r>
          </w:p>
        </w:tc>
        <w:tc>
          <w:tcPr>
            <w:tcW w:w="0" w:type="auto"/>
          </w:tcPr>
          <w:p w14:paraId="50DE3804" w14:textId="77777777" w:rsidR="00BE36FB" w:rsidRPr="009B7B35" w:rsidRDefault="00BE36FB" w:rsidP="001A7107">
            <w:pPr>
              <w:pStyle w:val="TableText"/>
              <w:rPr>
                <w:rFonts w:cs="Arial"/>
              </w:rPr>
            </w:pPr>
            <w:r w:rsidRPr="009B7B35">
              <w:rPr>
                <w:rFonts w:cs="Arial"/>
              </w:rPr>
              <w:t>9 FD1110</w:t>
            </w:r>
          </w:p>
        </w:tc>
        <w:tc>
          <w:tcPr>
            <w:tcW w:w="2314" w:type="dxa"/>
          </w:tcPr>
          <w:p w14:paraId="7817C944" w14:textId="77777777" w:rsidR="00BE36FB" w:rsidRPr="009B7B35" w:rsidRDefault="00BE36FB" w:rsidP="001A7107">
            <w:pPr>
              <w:pStyle w:val="TableText"/>
              <w:rPr>
                <w:rFonts w:cs="Arial"/>
              </w:rPr>
            </w:pPr>
            <w:r w:rsidRPr="009B7B35">
              <w:rPr>
                <w:rFonts w:cs="Arial"/>
              </w:rPr>
              <w:t>cnr Springs Road, Tate Street and Donohue Drive</w:t>
            </w:r>
            <w:r w:rsidRPr="009B7B35">
              <w:rPr>
                <w:rFonts w:cs="Arial"/>
              </w:rPr>
              <w:br/>
              <w:t>MIRIAM VALE QLD 4677</w:t>
            </w:r>
          </w:p>
        </w:tc>
        <w:tc>
          <w:tcPr>
            <w:tcW w:w="3599" w:type="dxa"/>
          </w:tcPr>
          <w:p w14:paraId="43913169" w14:textId="77777777" w:rsidR="00BE36FB" w:rsidRPr="009B7B35" w:rsidRDefault="00BE36FB" w:rsidP="001A7107">
            <w:pPr>
              <w:pStyle w:val="TableText"/>
              <w:rPr>
                <w:rFonts w:cs="Arial"/>
              </w:rPr>
            </w:pPr>
            <w:r w:rsidRPr="009B7B35">
              <w:rPr>
                <w:rFonts w:cs="Arial"/>
              </w:rPr>
              <w:t>(r) storage and works depots and the like including administrative facilities associated with the provision or maintenance of the community infrastructure mentioned in paragraphs (a) to (q)</w:t>
            </w:r>
          </w:p>
          <w:p w14:paraId="34215ECA" w14:textId="77777777" w:rsidR="00BE36FB" w:rsidRPr="009B7B35" w:rsidRDefault="00BE36FB" w:rsidP="001A7107">
            <w:pPr>
              <w:pStyle w:val="TableText"/>
              <w:rPr>
                <w:rFonts w:cs="Arial"/>
              </w:rPr>
            </w:pPr>
            <w:r w:rsidRPr="009B7B35">
              <w:rPr>
                <w:rFonts w:cs="Arial"/>
              </w:rPr>
              <w:t>(s) any other facility not mentioned in paragraphs (a) to (r) and intended primarily to accommodate government functions</w:t>
            </w:r>
          </w:p>
        </w:tc>
      </w:tr>
      <w:tr w:rsidR="00BE36FB" w:rsidRPr="009B7B35" w14:paraId="636C13C1" w14:textId="77777777" w:rsidTr="001A7107">
        <w:tc>
          <w:tcPr>
            <w:tcW w:w="0" w:type="auto"/>
          </w:tcPr>
          <w:p w14:paraId="10BC26DC" w14:textId="77777777" w:rsidR="00BE36FB" w:rsidRPr="009B7B35" w:rsidRDefault="00BE36FB" w:rsidP="001A7107">
            <w:pPr>
              <w:pStyle w:val="TableText"/>
              <w:rPr>
                <w:rFonts w:cs="Arial"/>
              </w:rPr>
            </w:pPr>
            <w:r w:rsidRPr="009B7B35">
              <w:rPr>
                <w:rFonts w:cs="Arial"/>
              </w:rPr>
              <w:t>18/07/2003</w:t>
            </w:r>
          </w:p>
        </w:tc>
        <w:tc>
          <w:tcPr>
            <w:tcW w:w="0" w:type="auto"/>
          </w:tcPr>
          <w:p w14:paraId="1D2B7F3F" w14:textId="77777777" w:rsidR="00BE36FB" w:rsidRPr="009B7B35" w:rsidRDefault="00BE36FB" w:rsidP="001A7107">
            <w:pPr>
              <w:pStyle w:val="TableText"/>
              <w:rPr>
                <w:rFonts w:cs="Arial"/>
              </w:rPr>
            </w:pPr>
            <w:r w:rsidRPr="009B7B35">
              <w:rPr>
                <w:rFonts w:cs="Arial"/>
              </w:rPr>
              <w:t>3 RP889241</w:t>
            </w:r>
          </w:p>
          <w:p w14:paraId="28BD45A4" w14:textId="77777777" w:rsidR="00BE36FB" w:rsidRPr="009B7B35" w:rsidRDefault="00BE36FB" w:rsidP="001A7107">
            <w:pPr>
              <w:pStyle w:val="TableText"/>
              <w:rPr>
                <w:rFonts w:cs="Arial"/>
              </w:rPr>
            </w:pPr>
            <w:r w:rsidRPr="009B7B35">
              <w:rPr>
                <w:rFonts w:cs="Arial"/>
              </w:rPr>
              <w:t>3 RP889241</w:t>
            </w:r>
          </w:p>
        </w:tc>
        <w:tc>
          <w:tcPr>
            <w:tcW w:w="2314" w:type="dxa"/>
          </w:tcPr>
          <w:p w14:paraId="00256F70" w14:textId="77777777" w:rsidR="00BE36FB" w:rsidRPr="009B7B35" w:rsidRDefault="00BE36FB" w:rsidP="001A7107">
            <w:pPr>
              <w:pStyle w:val="TableText"/>
              <w:rPr>
                <w:rFonts w:cs="Arial"/>
              </w:rPr>
            </w:pPr>
            <w:r w:rsidRPr="009B7B35">
              <w:rPr>
                <w:rFonts w:cs="Arial"/>
              </w:rPr>
              <w:t xml:space="preserve">cnr Curtis Avenue and Banksia Street </w:t>
            </w:r>
            <w:r w:rsidRPr="009B7B35">
              <w:rPr>
                <w:rFonts w:cs="Arial"/>
              </w:rPr>
              <w:br/>
              <w:t>BOYNE ISLAND QLD 4680</w:t>
            </w:r>
          </w:p>
        </w:tc>
        <w:tc>
          <w:tcPr>
            <w:tcW w:w="3599" w:type="dxa"/>
          </w:tcPr>
          <w:p w14:paraId="3730BA69" w14:textId="77777777" w:rsidR="00BE36FB" w:rsidRPr="009B7B35" w:rsidRDefault="00BE36FB" w:rsidP="001A7107">
            <w:pPr>
              <w:pStyle w:val="TableText"/>
              <w:rPr>
                <w:rFonts w:cs="Arial"/>
              </w:rPr>
            </w:pPr>
            <w:r w:rsidRPr="009B7B35">
              <w:rPr>
                <w:rFonts w:cs="Arial"/>
              </w:rPr>
              <w:t>(g) emergency services facilities</w:t>
            </w:r>
          </w:p>
        </w:tc>
      </w:tr>
      <w:tr w:rsidR="00BE36FB" w:rsidRPr="009B7B35" w14:paraId="61D059A3" w14:textId="77777777" w:rsidTr="001A7107">
        <w:tc>
          <w:tcPr>
            <w:tcW w:w="0" w:type="auto"/>
          </w:tcPr>
          <w:p w14:paraId="443EB186" w14:textId="77777777" w:rsidR="00BE36FB" w:rsidRPr="009B7B35" w:rsidRDefault="00BE36FB" w:rsidP="001A7107">
            <w:pPr>
              <w:pStyle w:val="TableText"/>
              <w:rPr>
                <w:rFonts w:cs="Arial"/>
              </w:rPr>
            </w:pPr>
            <w:r w:rsidRPr="009B7B35">
              <w:rPr>
                <w:rFonts w:cs="Arial"/>
              </w:rPr>
              <w:t>12/01/2004</w:t>
            </w:r>
          </w:p>
        </w:tc>
        <w:tc>
          <w:tcPr>
            <w:tcW w:w="0" w:type="auto"/>
          </w:tcPr>
          <w:p w14:paraId="342D366D" w14:textId="77777777" w:rsidR="00BE36FB" w:rsidRPr="009B7B35" w:rsidRDefault="00BE36FB" w:rsidP="001A7107">
            <w:pPr>
              <w:pStyle w:val="TableText"/>
              <w:rPr>
                <w:rFonts w:cs="Arial"/>
              </w:rPr>
            </w:pPr>
            <w:r w:rsidRPr="009B7B35">
              <w:rPr>
                <w:rFonts w:cs="Arial"/>
              </w:rPr>
              <w:t>6 SP103557</w:t>
            </w:r>
          </w:p>
          <w:p w14:paraId="458DB7C8" w14:textId="77777777" w:rsidR="00BE36FB" w:rsidRPr="009B7B35" w:rsidRDefault="00BE36FB" w:rsidP="001A7107">
            <w:pPr>
              <w:pStyle w:val="TableText"/>
              <w:rPr>
                <w:rFonts w:cs="Arial"/>
              </w:rPr>
            </w:pPr>
            <w:r w:rsidRPr="009B7B35">
              <w:rPr>
                <w:rFonts w:cs="Arial"/>
              </w:rPr>
              <w:t>349 FTY1050</w:t>
            </w:r>
          </w:p>
          <w:p w14:paraId="68D058BB" w14:textId="77777777" w:rsidR="00BE36FB" w:rsidRPr="009B7B35" w:rsidRDefault="00BE36FB" w:rsidP="001A7107">
            <w:pPr>
              <w:pStyle w:val="TableText"/>
              <w:rPr>
                <w:rFonts w:cs="Arial"/>
              </w:rPr>
            </w:pPr>
            <w:r w:rsidRPr="009B7B35">
              <w:rPr>
                <w:rFonts w:cs="Arial"/>
              </w:rPr>
              <w:t>170 FTY1282</w:t>
            </w:r>
          </w:p>
          <w:p w14:paraId="1BE8FF6A" w14:textId="77777777" w:rsidR="00BE36FB" w:rsidRPr="009B7B35" w:rsidRDefault="00BE36FB" w:rsidP="001A7107">
            <w:pPr>
              <w:pStyle w:val="TableText"/>
              <w:rPr>
                <w:rFonts w:cs="Arial"/>
              </w:rPr>
            </w:pPr>
            <w:r w:rsidRPr="009B7B35">
              <w:rPr>
                <w:rFonts w:cs="Arial"/>
              </w:rPr>
              <w:t>14 RN1347</w:t>
            </w:r>
          </w:p>
          <w:p w14:paraId="549B3430" w14:textId="77777777" w:rsidR="00BE36FB" w:rsidRPr="009B7B35" w:rsidRDefault="00BE36FB" w:rsidP="001A7107">
            <w:pPr>
              <w:pStyle w:val="TableText"/>
              <w:rPr>
                <w:rFonts w:cs="Arial"/>
              </w:rPr>
            </w:pPr>
            <w:r w:rsidRPr="009B7B35">
              <w:rPr>
                <w:rFonts w:cs="Arial"/>
              </w:rPr>
              <w:t>15 RN1352</w:t>
            </w:r>
          </w:p>
          <w:p w14:paraId="612DF57E" w14:textId="77777777" w:rsidR="00BE36FB" w:rsidRPr="009B7B35" w:rsidRDefault="00BE36FB" w:rsidP="001A7107">
            <w:pPr>
              <w:pStyle w:val="TableText"/>
              <w:rPr>
                <w:rFonts w:cs="Arial"/>
              </w:rPr>
            </w:pPr>
            <w:r w:rsidRPr="009B7B35">
              <w:rPr>
                <w:rFonts w:cs="Arial"/>
              </w:rPr>
              <w:t>23 RN1392</w:t>
            </w:r>
          </w:p>
          <w:p w14:paraId="3B2FDDBB" w14:textId="77777777" w:rsidR="00BE36FB" w:rsidRPr="009B7B35" w:rsidRDefault="00BE36FB" w:rsidP="001A7107">
            <w:pPr>
              <w:pStyle w:val="TableText"/>
              <w:rPr>
                <w:rFonts w:cs="Arial"/>
              </w:rPr>
            </w:pPr>
            <w:r w:rsidRPr="009B7B35">
              <w:rPr>
                <w:rFonts w:cs="Arial"/>
              </w:rPr>
              <w:t>25 MPH14073</w:t>
            </w:r>
          </w:p>
          <w:p w14:paraId="365A2B8C" w14:textId="77777777" w:rsidR="00BE36FB" w:rsidRPr="009B7B35" w:rsidRDefault="00BE36FB" w:rsidP="001A7107">
            <w:pPr>
              <w:pStyle w:val="TableText"/>
              <w:rPr>
                <w:rFonts w:cs="Arial"/>
              </w:rPr>
            </w:pPr>
            <w:r w:rsidRPr="009B7B35">
              <w:rPr>
                <w:rFonts w:cs="Arial"/>
              </w:rPr>
              <w:t>24 RN1599</w:t>
            </w:r>
          </w:p>
          <w:p w14:paraId="3C4560D1" w14:textId="77777777" w:rsidR="00BE36FB" w:rsidRPr="009B7B35" w:rsidRDefault="00BE36FB" w:rsidP="001A7107">
            <w:pPr>
              <w:pStyle w:val="TableText"/>
              <w:rPr>
                <w:rFonts w:cs="Arial"/>
              </w:rPr>
            </w:pPr>
            <w:r w:rsidRPr="009B7B35">
              <w:rPr>
                <w:rFonts w:cs="Arial"/>
              </w:rPr>
              <w:t>2 CTN1749</w:t>
            </w:r>
          </w:p>
          <w:p w14:paraId="4CA00C4A" w14:textId="77777777" w:rsidR="00BE36FB" w:rsidRPr="009B7B35" w:rsidRDefault="00BE36FB" w:rsidP="001A7107">
            <w:pPr>
              <w:pStyle w:val="TableText"/>
              <w:rPr>
                <w:rFonts w:cs="Arial"/>
              </w:rPr>
            </w:pPr>
            <w:r w:rsidRPr="009B7B35">
              <w:rPr>
                <w:rFonts w:cs="Arial"/>
              </w:rPr>
              <w:t>27 MPH23015</w:t>
            </w:r>
          </w:p>
          <w:p w14:paraId="33044EF9" w14:textId="77777777" w:rsidR="00BE36FB" w:rsidRPr="009B7B35" w:rsidRDefault="00BE36FB" w:rsidP="001A7107">
            <w:pPr>
              <w:pStyle w:val="TableText"/>
              <w:rPr>
                <w:rFonts w:cs="Arial"/>
              </w:rPr>
            </w:pPr>
            <w:r w:rsidRPr="009B7B35">
              <w:rPr>
                <w:rFonts w:cs="Arial"/>
              </w:rPr>
              <w:t>20 MPH23015</w:t>
            </w:r>
          </w:p>
          <w:p w14:paraId="47566300" w14:textId="77777777" w:rsidR="00BE36FB" w:rsidRPr="009B7B35" w:rsidRDefault="00BE36FB" w:rsidP="001A7107">
            <w:pPr>
              <w:pStyle w:val="TableText"/>
              <w:rPr>
                <w:rFonts w:cs="Arial"/>
              </w:rPr>
            </w:pPr>
            <w:r w:rsidRPr="009B7B35">
              <w:rPr>
                <w:rFonts w:cs="Arial"/>
              </w:rPr>
              <w:t>36 CTN260</w:t>
            </w:r>
          </w:p>
          <w:p w14:paraId="5820C7D9" w14:textId="77777777" w:rsidR="00BE36FB" w:rsidRPr="009B7B35" w:rsidRDefault="00BE36FB" w:rsidP="001A7107">
            <w:pPr>
              <w:pStyle w:val="TableText"/>
              <w:rPr>
                <w:rFonts w:cs="Arial"/>
              </w:rPr>
            </w:pPr>
            <w:r w:rsidRPr="009B7B35">
              <w:rPr>
                <w:rFonts w:cs="Arial"/>
              </w:rPr>
              <w:t>13 CTN301</w:t>
            </w:r>
          </w:p>
          <w:p w14:paraId="7C9FA94B" w14:textId="77777777" w:rsidR="00BE36FB" w:rsidRPr="009B7B35" w:rsidRDefault="00BE36FB" w:rsidP="001A7107">
            <w:pPr>
              <w:pStyle w:val="TableText"/>
              <w:rPr>
                <w:rFonts w:cs="Arial"/>
              </w:rPr>
            </w:pPr>
            <w:r w:rsidRPr="009B7B35">
              <w:rPr>
                <w:rFonts w:cs="Arial"/>
              </w:rPr>
              <w:t>12 CTN301</w:t>
            </w:r>
          </w:p>
          <w:p w14:paraId="142E9DCE" w14:textId="77777777" w:rsidR="00BE36FB" w:rsidRPr="009B7B35" w:rsidRDefault="00BE36FB" w:rsidP="001A7107">
            <w:pPr>
              <w:pStyle w:val="TableText"/>
              <w:rPr>
                <w:rFonts w:cs="Arial"/>
              </w:rPr>
            </w:pPr>
            <w:r w:rsidRPr="009B7B35">
              <w:rPr>
                <w:rFonts w:cs="Arial"/>
              </w:rPr>
              <w:t>13 CTN344</w:t>
            </w:r>
          </w:p>
          <w:p w14:paraId="5B68AF8A" w14:textId="77777777" w:rsidR="00BE36FB" w:rsidRPr="009B7B35" w:rsidRDefault="00BE36FB" w:rsidP="001A7107">
            <w:pPr>
              <w:pStyle w:val="TableText"/>
              <w:rPr>
                <w:rFonts w:cs="Arial"/>
              </w:rPr>
            </w:pPr>
            <w:r w:rsidRPr="009B7B35">
              <w:rPr>
                <w:rFonts w:cs="Arial"/>
              </w:rPr>
              <w:t>14 CTN344</w:t>
            </w:r>
          </w:p>
          <w:p w14:paraId="5A233AD1" w14:textId="77777777" w:rsidR="00BE36FB" w:rsidRPr="009B7B35" w:rsidRDefault="00BE36FB" w:rsidP="001A7107">
            <w:pPr>
              <w:pStyle w:val="TableText"/>
              <w:rPr>
                <w:rFonts w:cs="Arial"/>
              </w:rPr>
            </w:pPr>
            <w:r w:rsidRPr="009B7B35">
              <w:rPr>
                <w:rFonts w:cs="Arial"/>
              </w:rPr>
              <w:t>412 CL40158</w:t>
            </w:r>
          </w:p>
          <w:p w14:paraId="14943D2B" w14:textId="77777777" w:rsidR="00BE36FB" w:rsidRPr="009B7B35" w:rsidRDefault="00BE36FB" w:rsidP="001A7107">
            <w:pPr>
              <w:pStyle w:val="TableText"/>
              <w:rPr>
                <w:rFonts w:cs="Arial"/>
              </w:rPr>
            </w:pPr>
            <w:r w:rsidRPr="009B7B35">
              <w:rPr>
                <w:rFonts w:cs="Arial"/>
              </w:rPr>
              <w:t>479 CL40215</w:t>
            </w:r>
          </w:p>
          <w:p w14:paraId="15FB5AEA" w14:textId="77777777" w:rsidR="00BE36FB" w:rsidRPr="009B7B35" w:rsidRDefault="00BE36FB" w:rsidP="001A7107">
            <w:pPr>
              <w:pStyle w:val="TableText"/>
              <w:rPr>
                <w:rFonts w:cs="Arial"/>
              </w:rPr>
            </w:pPr>
            <w:r w:rsidRPr="009B7B35">
              <w:rPr>
                <w:rFonts w:cs="Arial"/>
              </w:rPr>
              <w:t>524 CL40243</w:t>
            </w:r>
          </w:p>
          <w:p w14:paraId="66DB70A3" w14:textId="77777777" w:rsidR="00BE36FB" w:rsidRPr="009B7B35" w:rsidRDefault="00BE36FB" w:rsidP="001A7107">
            <w:pPr>
              <w:pStyle w:val="TableText"/>
              <w:rPr>
                <w:rFonts w:cs="Arial"/>
              </w:rPr>
            </w:pPr>
            <w:r w:rsidRPr="009B7B35">
              <w:rPr>
                <w:rFonts w:cs="Arial"/>
              </w:rPr>
              <w:t>525 CL40243</w:t>
            </w:r>
          </w:p>
          <w:p w14:paraId="0B7D0ECF" w14:textId="77777777" w:rsidR="00BE36FB" w:rsidRPr="009B7B35" w:rsidRDefault="00BE36FB" w:rsidP="001A7107">
            <w:pPr>
              <w:pStyle w:val="TableText"/>
              <w:rPr>
                <w:rFonts w:cs="Arial"/>
              </w:rPr>
            </w:pPr>
            <w:r w:rsidRPr="009B7B35">
              <w:rPr>
                <w:rFonts w:cs="Arial"/>
              </w:rPr>
              <w:t>534 CL40257</w:t>
            </w:r>
          </w:p>
          <w:p w14:paraId="57ADDCC3" w14:textId="77777777" w:rsidR="00BE36FB" w:rsidRPr="009B7B35" w:rsidRDefault="00BE36FB" w:rsidP="001A7107">
            <w:pPr>
              <w:pStyle w:val="TableText"/>
              <w:rPr>
                <w:rFonts w:cs="Arial"/>
              </w:rPr>
            </w:pPr>
            <w:r w:rsidRPr="009B7B35">
              <w:rPr>
                <w:rFonts w:cs="Arial"/>
              </w:rPr>
              <w:t>67 CL40347</w:t>
            </w:r>
          </w:p>
          <w:p w14:paraId="43FAFC35" w14:textId="77777777" w:rsidR="00BE36FB" w:rsidRPr="009B7B35" w:rsidRDefault="00BE36FB" w:rsidP="001A7107">
            <w:pPr>
              <w:pStyle w:val="TableText"/>
              <w:rPr>
                <w:rFonts w:cs="Arial"/>
              </w:rPr>
            </w:pPr>
            <w:r w:rsidRPr="009B7B35">
              <w:rPr>
                <w:rFonts w:cs="Arial"/>
              </w:rPr>
              <w:t>68 CL40347</w:t>
            </w:r>
          </w:p>
          <w:p w14:paraId="0EAA4F27" w14:textId="77777777" w:rsidR="00BE36FB" w:rsidRPr="009B7B35" w:rsidRDefault="00BE36FB" w:rsidP="001A7107">
            <w:pPr>
              <w:pStyle w:val="TableText"/>
              <w:rPr>
                <w:rFonts w:cs="Arial"/>
              </w:rPr>
            </w:pPr>
            <w:r w:rsidRPr="009B7B35">
              <w:rPr>
                <w:rFonts w:cs="Arial"/>
              </w:rPr>
              <w:t>5 CL40380</w:t>
            </w:r>
          </w:p>
          <w:p w14:paraId="36AB531A" w14:textId="77777777" w:rsidR="00BE36FB" w:rsidRPr="009B7B35" w:rsidRDefault="00BE36FB" w:rsidP="001A7107">
            <w:pPr>
              <w:pStyle w:val="TableText"/>
              <w:rPr>
                <w:rFonts w:cs="Arial"/>
              </w:rPr>
            </w:pPr>
            <w:r w:rsidRPr="009B7B35">
              <w:rPr>
                <w:rFonts w:cs="Arial"/>
              </w:rPr>
              <w:t>12 CL 40391</w:t>
            </w:r>
          </w:p>
          <w:p w14:paraId="659FCE4E" w14:textId="77777777" w:rsidR="00BE36FB" w:rsidRPr="009B7B35" w:rsidRDefault="00BE36FB" w:rsidP="001A7107">
            <w:pPr>
              <w:pStyle w:val="TableText"/>
              <w:rPr>
                <w:rFonts w:cs="Arial"/>
              </w:rPr>
            </w:pPr>
            <w:r w:rsidRPr="009B7B35">
              <w:rPr>
                <w:rFonts w:cs="Arial"/>
              </w:rPr>
              <w:t>25 CTN406</w:t>
            </w:r>
          </w:p>
          <w:p w14:paraId="3EBA7993" w14:textId="77777777" w:rsidR="00BE36FB" w:rsidRPr="009B7B35" w:rsidRDefault="00BE36FB" w:rsidP="001A7107">
            <w:pPr>
              <w:pStyle w:val="TableText"/>
              <w:rPr>
                <w:rFonts w:cs="Arial"/>
              </w:rPr>
            </w:pPr>
            <w:r w:rsidRPr="009B7B35">
              <w:rPr>
                <w:rFonts w:cs="Arial"/>
              </w:rPr>
              <w:t>3 CTN 466</w:t>
            </w:r>
          </w:p>
          <w:p w14:paraId="12D6E42E" w14:textId="77777777" w:rsidR="00BE36FB" w:rsidRPr="009B7B35" w:rsidRDefault="00BE36FB" w:rsidP="001A7107">
            <w:pPr>
              <w:pStyle w:val="TableText"/>
              <w:rPr>
                <w:rFonts w:cs="Arial"/>
              </w:rPr>
            </w:pPr>
            <w:r w:rsidRPr="009B7B35">
              <w:rPr>
                <w:rFonts w:cs="Arial"/>
              </w:rPr>
              <w:t>55 CTN515</w:t>
            </w:r>
          </w:p>
          <w:p w14:paraId="58FC8224" w14:textId="77777777" w:rsidR="00BE36FB" w:rsidRPr="009B7B35" w:rsidRDefault="00BE36FB" w:rsidP="001A7107">
            <w:pPr>
              <w:pStyle w:val="TableText"/>
              <w:rPr>
                <w:rFonts w:cs="Arial"/>
              </w:rPr>
            </w:pPr>
            <w:r w:rsidRPr="009B7B35">
              <w:rPr>
                <w:rFonts w:cs="Arial"/>
              </w:rPr>
              <w:t>10 RN52</w:t>
            </w:r>
          </w:p>
          <w:p w14:paraId="6A197937" w14:textId="77777777" w:rsidR="00BE36FB" w:rsidRPr="009B7B35" w:rsidRDefault="00BE36FB" w:rsidP="001A7107">
            <w:pPr>
              <w:pStyle w:val="TableText"/>
              <w:rPr>
                <w:rFonts w:cs="Arial"/>
              </w:rPr>
            </w:pPr>
            <w:r w:rsidRPr="009B7B35">
              <w:rPr>
                <w:rFonts w:cs="Arial"/>
              </w:rPr>
              <w:t>3 RP604371</w:t>
            </w:r>
          </w:p>
          <w:p w14:paraId="6E4C2086" w14:textId="77777777" w:rsidR="00BE36FB" w:rsidRPr="009B7B35" w:rsidRDefault="00BE36FB" w:rsidP="001A7107">
            <w:pPr>
              <w:pStyle w:val="TableText"/>
              <w:rPr>
                <w:rFonts w:cs="Arial"/>
              </w:rPr>
            </w:pPr>
            <w:r w:rsidRPr="009B7B35">
              <w:rPr>
                <w:rFonts w:cs="Arial"/>
              </w:rPr>
              <w:t>2 RP609065</w:t>
            </w:r>
          </w:p>
          <w:p w14:paraId="7988A3F2" w14:textId="77777777" w:rsidR="00BE36FB" w:rsidRPr="009B7B35" w:rsidRDefault="00BE36FB" w:rsidP="001A7107">
            <w:pPr>
              <w:pStyle w:val="TableText"/>
              <w:rPr>
                <w:rFonts w:cs="Arial"/>
              </w:rPr>
            </w:pPr>
            <w:r w:rsidRPr="009B7B35">
              <w:rPr>
                <w:rFonts w:cs="Arial"/>
              </w:rPr>
              <w:t>1 RP609065</w:t>
            </w:r>
          </w:p>
          <w:p w14:paraId="0A067114" w14:textId="77777777" w:rsidR="00BE36FB" w:rsidRPr="009B7B35" w:rsidRDefault="00BE36FB" w:rsidP="001A7107">
            <w:pPr>
              <w:pStyle w:val="TableText"/>
              <w:rPr>
                <w:rFonts w:cs="Arial"/>
              </w:rPr>
            </w:pPr>
            <w:r w:rsidRPr="009B7B35">
              <w:rPr>
                <w:rFonts w:cs="Arial"/>
              </w:rPr>
              <w:t>6 RP609065</w:t>
            </w:r>
          </w:p>
          <w:p w14:paraId="342CD0FA" w14:textId="77777777" w:rsidR="00BE36FB" w:rsidRPr="009B7B35" w:rsidRDefault="00BE36FB" w:rsidP="001A7107">
            <w:pPr>
              <w:pStyle w:val="TableText"/>
              <w:rPr>
                <w:rFonts w:cs="Arial"/>
              </w:rPr>
            </w:pPr>
            <w:r w:rsidRPr="009B7B35">
              <w:rPr>
                <w:rFonts w:cs="Arial"/>
              </w:rPr>
              <w:t>2 RP614969</w:t>
            </w:r>
          </w:p>
          <w:p w14:paraId="3659CFF4" w14:textId="77777777" w:rsidR="00BE36FB" w:rsidRPr="009B7B35" w:rsidRDefault="00BE36FB" w:rsidP="001A7107">
            <w:pPr>
              <w:pStyle w:val="TableText"/>
              <w:rPr>
                <w:rFonts w:cs="Arial"/>
              </w:rPr>
            </w:pPr>
            <w:r w:rsidRPr="009B7B35">
              <w:rPr>
                <w:rFonts w:cs="Arial"/>
              </w:rPr>
              <w:t>4 RP615957</w:t>
            </w:r>
          </w:p>
          <w:p w14:paraId="2E8B81E8" w14:textId="77777777" w:rsidR="00BE36FB" w:rsidRPr="009B7B35" w:rsidRDefault="00BE36FB" w:rsidP="001A7107">
            <w:pPr>
              <w:pStyle w:val="TableText"/>
              <w:rPr>
                <w:rFonts w:cs="Arial"/>
              </w:rPr>
            </w:pPr>
            <w:r w:rsidRPr="009B7B35">
              <w:rPr>
                <w:rFonts w:cs="Arial"/>
              </w:rPr>
              <w:t>3 RP801363</w:t>
            </w:r>
          </w:p>
          <w:p w14:paraId="390378F3" w14:textId="77777777" w:rsidR="00BE36FB" w:rsidRPr="009B7B35" w:rsidRDefault="00BE36FB" w:rsidP="001A7107">
            <w:pPr>
              <w:pStyle w:val="TableText"/>
              <w:rPr>
                <w:rFonts w:cs="Arial"/>
              </w:rPr>
            </w:pPr>
            <w:r w:rsidRPr="009B7B35">
              <w:rPr>
                <w:rFonts w:cs="Arial"/>
              </w:rPr>
              <w:t>6 CTN812615</w:t>
            </w:r>
          </w:p>
          <w:p w14:paraId="5543C9AF" w14:textId="77777777" w:rsidR="00BE36FB" w:rsidRPr="009B7B35" w:rsidRDefault="00BE36FB" w:rsidP="001A7107">
            <w:pPr>
              <w:pStyle w:val="TableText"/>
              <w:rPr>
                <w:rFonts w:cs="Arial"/>
              </w:rPr>
            </w:pPr>
            <w:r w:rsidRPr="009B7B35">
              <w:rPr>
                <w:rFonts w:cs="Arial"/>
              </w:rPr>
              <w:t>6 RP848846</w:t>
            </w:r>
          </w:p>
          <w:p w14:paraId="249D1C63" w14:textId="77777777" w:rsidR="00BE36FB" w:rsidRPr="009B7B35" w:rsidRDefault="00BE36FB" w:rsidP="001A7107">
            <w:pPr>
              <w:pStyle w:val="TableText"/>
              <w:rPr>
                <w:rFonts w:cs="Arial"/>
              </w:rPr>
            </w:pPr>
            <w:r w:rsidRPr="009B7B35">
              <w:rPr>
                <w:rFonts w:cs="Arial"/>
              </w:rPr>
              <w:t>15 RP848908</w:t>
            </w:r>
          </w:p>
          <w:p w14:paraId="3A56C553" w14:textId="77777777" w:rsidR="00BE36FB" w:rsidRPr="009B7B35" w:rsidRDefault="00BE36FB" w:rsidP="001A7107">
            <w:pPr>
              <w:pStyle w:val="TableText"/>
              <w:rPr>
                <w:rFonts w:cs="Arial"/>
              </w:rPr>
            </w:pPr>
            <w:r w:rsidRPr="009B7B35">
              <w:rPr>
                <w:rFonts w:cs="Arial"/>
              </w:rPr>
              <w:t>16 RP84890</w:t>
            </w:r>
          </w:p>
          <w:p w14:paraId="2DDCE64F" w14:textId="77777777" w:rsidR="00BE36FB" w:rsidRPr="009B7B35" w:rsidRDefault="00BE36FB" w:rsidP="001A7107">
            <w:pPr>
              <w:pStyle w:val="TableText"/>
              <w:rPr>
                <w:rFonts w:cs="Arial"/>
              </w:rPr>
            </w:pPr>
            <w:r w:rsidRPr="009B7B35">
              <w:rPr>
                <w:rFonts w:cs="Arial"/>
              </w:rPr>
              <w:t>6 RP889910</w:t>
            </w:r>
          </w:p>
          <w:p w14:paraId="0E7C206C" w14:textId="77777777" w:rsidR="00BE36FB" w:rsidRPr="009B7B35" w:rsidRDefault="00BE36FB" w:rsidP="001A7107">
            <w:pPr>
              <w:pStyle w:val="TableText"/>
              <w:rPr>
                <w:rFonts w:cs="Arial"/>
              </w:rPr>
            </w:pPr>
            <w:r w:rsidRPr="009B7B35">
              <w:rPr>
                <w:rFonts w:cs="Arial"/>
              </w:rPr>
              <w:t>4 RN903</w:t>
            </w:r>
          </w:p>
          <w:p w14:paraId="4AF479CB" w14:textId="77777777" w:rsidR="00BE36FB" w:rsidRPr="009B7B35" w:rsidRDefault="00BE36FB" w:rsidP="001A7107">
            <w:pPr>
              <w:pStyle w:val="TableText"/>
              <w:rPr>
                <w:rFonts w:cs="Arial"/>
              </w:rPr>
            </w:pPr>
            <w:r w:rsidRPr="009B7B35">
              <w:rPr>
                <w:rFonts w:cs="Arial"/>
              </w:rPr>
              <w:t>9 RP912763</w:t>
            </w:r>
          </w:p>
          <w:p w14:paraId="1FF1412E" w14:textId="77777777" w:rsidR="00BE36FB" w:rsidRPr="009B7B35" w:rsidRDefault="00BE36FB" w:rsidP="001A7107">
            <w:pPr>
              <w:pStyle w:val="TableText"/>
              <w:rPr>
                <w:rFonts w:cs="Arial"/>
              </w:rPr>
            </w:pPr>
            <w:r w:rsidRPr="009B7B35">
              <w:rPr>
                <w:rFonts w:cs="Arial"/>
              </w:rPr>
              <w:t>8 RP912763</w:t>
            </w:r>
          </w:p>
          <w:p w14:paraId="055E52CA" w14:textId="77777777" w:rsidR="00BE36FB" w:rsidRPr="009B7B35" w:rsidRDefault="00BE36FB" w:rsidP="001A7107">
            <w:pPr>
              <w:pStyle w:val="TableText"/>
              <w:rPr>
                <w:rFonts w:cs="Arial"/>
              </w:rPr>
            </w:pPr>
            <w:r w:rsidRPr="009B7B35">
              <w:rPr>
                <w:rFonts w:cs="Arial"/>
              </w:rPr>
              <w:t>10 RP912765</w:t>
            </w:r>
          </w:p>
          <w:p w14:paraId="0E9AB107" w14:textId="77777777" w:rsidR="00BE36FB" w:rsidRPr="009B7B35" w:rsidRDefault="00BE36FB" w:rsidP="001A7107">
            <w:pPr>
              <w:pStyle w:val="TableText"/>
              <w:rPr>
                <w:rFonts w:cs="Arial"/>
              </w:rPr>
            </w:pPr>
            <w:r w:rsidRPr="009B7B35">
              <w:rPr>
                <w:rFonts w:cs="Arial"/>
              </w:rPr>
              <w:t>20 RN94</w:t>
            </w:r>
          </w:p>
        </w:tc>
        <w:tc>
          <w:tcPr>
            <w:tcW w:w="2314" w:type="dxa"/>
          </w:tcPr>
          <w:p w14:paraId="5F86225F" w14:textId="77777777" w:rsidR="00BE36FB" w:rsidRPr="009B7B35" w:rsidRDefault="00BE36FB" w:rsidP="001A7107">
            <w:pPr>
              <w:pStyle w:val="TableText"/>
              <w:rPr>
                <w:rFonts w:cs="Arial"/>
              </w:rPr>
            </w:pPr>
          </w:p>
        </w:tc>
        <w:tc>
          <w:tcPr>
            <w:tcW w:w="3599" w:type="dxa"/>
          </w:tcPr>
          <w:p w14:paraId="37E185A2" w14:textId="77777777" w:rsidR="00BE36FB" w:rsidRPr="009B7B35" w:rsidRDefault="00BE36FB" w:rsidP="001A7107">
            <w:pPr>
              <w:pStyle w:val="TableText"/>
              <w:rPr>
                <w:rFonts w:cs="Arial"/>
              </w:rPr>
            </w:pPr>
            <w:r w:rsidRPr="009B7B35">
              <w:rPr>
                <w:rFonts w:cs="Arial"/>
              </w:rPr>
              <w:t xml:space="preserve">(k) operating works under the </w:t>
            </w:r>
            <w:r w:rsidRPr="009B7B35">
              <w:rPr>
                <w:rStyle w:val="StyleItalic"/>
                <w:rFonts w:cs="Arial"/>
              </w:rPr>
              <w:t>Electricity Act 1994</w:t>
            </w:r>
          </w:p>
        </w:tc>
      </w:tr>
      <w:tr w:rsidR="00BE36FB" w:rsidRPr="009B7B35" w14:paraId="6DE74D0C" w14:textId="77777777" w:rsidTr="001A7107">
        <w:tc>
          <w:tcPr>
            <w:tcW w:w="0" w:type="auto"/>
          </w:tcPr>
          <w:p w14:paraId="110BAE7D" w14:textId="77777777" w:rsidR="00BE36FB" w:rsidRPr="009B7B35" w:rsidRDefault="00BE36FB" w:rsidP="001A7107">
            <w:pPr>
              <w:pStyle w:val="TableText"/>
              <w:rPr>
                <w:rFonts w:cs="Arial"/>
              </w:rPr>
            </w:pPr>
            <w:r w:rsidRPr="009B7B35">
              <w:rPr>
                <w:rFonts w:cs="Arial"/>
              </w:rPr>
              <w:t>21/12/2009</w:t>
            </w:r>
          </w:p>
        </w:tc>
        <w:tc>
          <w:tcPr>
            <w:tcW w:w="0" w:type="auto"/>
          </w:tcPr>
          <w:p w14:paraId="0831B6F3" w14:textId="77777777" w:rsidR="00BE36FB" w:rsidRPr="009B7B35" w:rsidRDefault="00BE36FB" w:rsidP="001A7107">
            <w:pPr>
              <w:pStyle w:val="TableText"/>
              <w:rPr>
                <w:rFonts w:cs="Arial"/>
              </w:rPr>
            </w:pPr>
            <w:r w:rsidRPr="009B7B35">
              <w:rPr>
                <w:rFonts w:cs="Arial"/>
              </w:rPr>
              <w:t>1SP196790</w:t>
            </w:r>
          </w:p>
        </w:tc>
        <w:tc>
          <w:tcPr>
            <w:tcW w:w="2314" w:type="dxa"/>
          </w:tcPr>
          <w:p w14:paraId="76442AF7" w14:textId="77777777" w:rsidR="00BE36FB" w:rsidRPr="009B7B35" w:rsidRDefault="00BE36FB" w:rsidP="001A7107">
            <w:pPr>
              <w:pStyle w:val="TableText"/>
              <w:rPr>
                <w:rFonts w:cs="Arial"/>
              </w:rPr>
            </w:pPr>
            <w:r w:rsidRPr="009B7B35">
              <w:rPr>
                <w:rFonts w:cs="Arial"/>
              </w:rPr>
              <w:t>Lot 1 Round Hill Road</w:t>
            </w:r>
            <w:r w:rsidRPr="009B7B35">
              <w:rPr>
                <w:rFonts w:cs="Arial"/>
              </w:rPr>
              <w:br/>
              <w:t>AGNES WATER QLD 4677</w:t>
            </w:r>
          </w:p>
        </w:tc>
        <w:tc>
          <w:tcPr>
            <w:tcW w:w="3599" w:type="dxa"/>
          </w:tcPr>
          <w:p w14:paraId="303149C1" w14:textId="77777777" w:rsidR="00BE36FB" w:rsidRPr="009B7B35" w:rsidRDefault="00BE36FB" w:rsidP="001A7107">
            <w:pPr>
              <w:pStyle w:val="TableText"/>
              <w:rPr>
                <w:rFonts w:cs="Arial"/>
              </w:rPr>
            </w:pPr>
            <w:r w:rsidRPr="009B7B35">
              <w:rPr>
                <w:rFonts w:cs="Arial"/>
              </w:rPr>
              <w:t>(g) emergency services facilities</w:t>
            </w:r>
          </w:p>
        </w:tc>
      </w:tr>
      <w:tr w:rsidR="00BE36FB" w:rsidRPr="009B7B35" w14:paraId="4F277AAE" w14:textId="77777777" w:rsidTr="001A7107">
        <w:tc>
          <w:tcPr>
            <w:tcW w:w="0" w:type="auto"/>
          </w:tcPr>
          <w:p w14:paraId="5D83C0B1" w14:textId="77777777" w:rsidR="00BE36FB" w:rsidRPr="009B7B35" w:rsidRDefault="00BE36FB" w:rsidP="001A7107">
            <w:pPr>
              <w:pStyle w:val="TableText"/>
              <w:rPr>
                <w:rFonts w:cs="Arial"/>
              </w:rPr>
            </w:pPr>
            <w:r w:rsidRPr="009B7B35">
              <w:rPr>
                <w:rFonts w:cs="Arial"/>
              </w:rPr>
              <w:t>23/04/2010</w:t>
            </w:r>
          </w:p>
        </w:tc>
        <w:tc>
          <w:tcPr>
            <w:tcW w:w="0" w:type="auto"/>
          </w:tcPr>
          <w:p w14:paraId="22841F8B" w14:textId="77777777" w:rsidR="00BE36FB" w:rsidRPr="009B7B35" w:rsidRDefault="00BE36FB" w:rsidP="001A7107">
            <w:pPr>
              <w:pStyle w:val="TableText"/>
              <w:rPr>
                <w:rFonts w:cs="Arial"/>
              </w:rPr>
            </w:pPr>
            <w:r w:rsidRPr="009B7B35">
              <w:rPr>
                <w:rFonts w:cs="Arial"/>
              </w:rPr>
              <w:t>113 CTN799</w:t>
            </w:r>
          </w:p>
        </w:tc>
        <w:tc>
          <w:tcPr>
            <w:tcW w:w="2314" w:type="dxa"/>
          </w:tcPr>
          <w:p w14:paraId="41BAD7C9" w14:textId="77777777" w:rsidR="00BE36FB" w:rsidRPr="009B7B35" w:rsidRDefault="00BE36FB" w:rsidP="001A7107">
            <w:pPr>
              <w:pStyle w:val="TableText"/>
              <w:rPr>
                <w:rFonts w:cs="Arial"/>
              </w:rPr>
            </w:pPr>
            <w:r w:rsidRPr="009B7B35">
              <w:rPr>
                <w:rFonts w:cs="Arial"/>
              </w:rPr>
              <w:t>Harry Road, Callemondah</w:t>
            </w:r>
          </w:p>
        </w:tc>
        <w:tc>
          <w:tcPr>
            <w:tcW w:w="3599" w:type="dxa"/>
          </w:tcPr>
          <w:p w14:paraId="37F50E04" w14:textId="77777777" w:rsidR="00BE36FB" w:rsidRPr="009B7B35" w:rsidRDefault="00BE36FB" w:rsidP="001A7107">
            <w:pPr>
              <w:pStyle w:val="TableText"/>
              <w:rPr>
                <w:rFonts w:cs="Arial"/>
              </w:rPr>
            </w:pPr>
            <w:r w:rsidRPr="009B7B35">
              <w:rPr>
                <w:rFonts w:cs="Arial"/>
              </w:rPr>
              <w:t xml:space="preserve">(k) operating works under the </w:t>
            </w:r>
            <w:r w:rsidRPr="009B7B35">
              <w:rPr>
                <w:rFonts w:cs="Arial"/>
                <w:i/>
              </w:rPr>
              <w:t>Electricity Act 1994</w:t>
            </w:r>
          </w:p>
        </w:tc>
      </w:tr>
      <w:tr w:rsidR="00BE36FB" w:rsidRPr="009B7B35" w14:paraId="5D650286" w14:textId="77777777" w:rsidTr="001A7107">
        <w:tc>
          <w:tcPr>
            <w:tcW w:w="0" w:type="auto"/>
          </w:tcPr>
          <w:p w14:paraId="389A4D23" w14:textId="77777777" w:rsidR="00BE36FB" w:rsidRPr="009B7B35" w:rsidRDefault="00BE36FB" w:rsidP="001A7107">
            <w:pPr>
              <w:pStyle w:val="TableText"/>
              <w:rPr>
                <w:rFonts w:cs="Arial"/>
              </w:rPr>
            </w:pPr>
            <w:r w:rsidRPr="009B7B35">
              <w:rPr>
                <w:rFonts w:cs="Arial"/>
              </w:rPr>
              <w:t>14/02/2012</w:t>
            </w:r>
          </w:p>
        </w:tc>
        <w:tc>
          <w:tcPr>
            <w:tcW w:w="0" w:type="auto"/>
          </w:tcPr>
          <w:p w14:paraId="128E0F16" w14:textId="77777777" w:rsidR="00BE36FB" w:rsidRPr="009B7B35" w:rsidRDefault="00BE36FB" w:rsidP="001A7107">
            <w:pPr>
              <w:pStyle w:val="TableText"/>
              <w:rPr>
                <w:rFonts w:cs="Arial"/>
              </w:rPr>
            </w:pPr>
            <w:r w:rsidRPr="009B7B35">
              <w:rPr>
                <w:rFonts w:cs="Arial"/>
              </w:rPr>
              <w:t>5 CTN1962</w:t>
            </w:r>
          </w:p>
        </w:tc>
        <w:tc>
          <w:tcPr>
            <w:tcW w:w="2314" w:type="dxa"/>
          </w:tcPr>
          <w:p w14:paraId="6EE56A86" w14:textId="77777777" w:rsidR="00BE36FB" w:rsidRPr="009B7B35" w:rsidRDefault="00BE36FB" w:rsidP="001A7107">
            <w:pPr>
              <w:pStyle w:val="TableText"/>
              <w:rPr>
                <w:rFonts w:cs="Arial"/>
              </w:rPr>
            </w:pPr>
            <w:r w:rsidRPr="009B7B35">
              <w:rPr>
                <w:rFonts w:cs="Arial"/>
              </w:rPr>
              <w:t>120 Glenlyon Street</w:t>
            </w:r>
            <w:r w:rsidRPr="009B7B35">
              <w:rPr>
                <w:rFonts w:cs="Arial"/>
              </w:rPr>
              <w:br/>
              <w:t>GLADSTONE QLD 4680</w:t>
            </w:r>
          </w:p>
        </w:tc>
        <w:tc>
          <w:tcPr>
            <w:tcW w:w="3599" w:type="dxa"/>
          </w:tcPr>
          <w:p w14:paraId="723484F9" w14:textId="77777777" w:rsidR="00BE36FB" w:rsidRPr="009B7B35" w:rsidRDefault="00BE36FB" w:rsidP="001A7107">
            <w:pPr>
              <w:pStyle w:val="TableText"/>
              <w:rPr>
                <w:rFonts w:cs="Arial"/>
              </w:rPr>
            </w:pPr>
            <w:r w:rsidRPr="009B7B35">
              <w:rPr>
                <w:rFonts w:cs="Arial"/>
              </w:rPr>
              <w:t xml:space="preserve">(7) emergency services facilities </w:t>
            </w:r>
          </w:p>
          <w:p w14:paraId="63DE2CAE" w14:textId="77777777" w:rsidR="00BE36FB" w:rsidRPr="009B7B35" w:rsidRDefault="00BE36FB" w:rsidP="001A7107">
            <w:pPr>
              <w:pStyle w:val="TableText"/>
              <w:rPr>
                <w:rFonts w:cs="Arial"/>
              </w:rPr>
            </w:pPr>
            <w:r w:rsidRPr="009B7B35">
              <w:rPr>
                <w:rFonts w:cs="Arial"/>
              </w:rPr>
              <w:t>(15) storage and works depots and the like including administrative facilities associated with the provision or maintenance of the community infrastructure mentioned in this part</w:t>
            </w:r>
          </w:p>
        </w:tc>
      </w:tr>
      <w:tr w:rsidR="00BE36FB" w:rsidRPr="009B7B35" w14:paraId="2F588F08" w14:textId="77777777" w:rsidTr="001A7107">
        <w:tc>
          <w:tcPr>
            <w:tcW w:w="0" w:type="auto"/>
          </w:tcPr>
          <w:p w14:paraId="071EBD6D" w14:textId="77777777" w:rsidR="00BE36FB" w:rsidRPr="009B7B35" w:rsidRDefault="00BE36FB" w:rsidP="001A7107">
            <w:pPr>
              <w:pStyle w:val="TableText"/>
              <w:rPr>
                <w:rFonts w:cs="Arial"/>
              </w:rPr>
            </w:pPr>
            <w:r w:rsidRPr="009B7B35">
              <w:rPr>
                <w:rFonts w:cs="Arial"/>
              </w:rPr>
              <w:t>27/04/2012</w:t>
            </w:r>
          </w:p>
        </w:tc>
        <w:tc>
          <w:tcPr>
            <w:tcW w:w="0" w:type="auto"/>
          </w:tcPr>
          <w:p w14:paraId="4155C3E8" w14:textId="77777777" w:rsidR="00BE36FB" w:rsidRPr="009B7B35" w:rsidRDefault="00BE36FB" w:rsidP="001A7107">
            <w:pPr>
              <w:pStyle w:val="TableText"/>
              <w:rPr>
                <w:rFonts w:cs="Arial"/>
              </w:rPr>
            </w:pPr>
            <w:r w:rsidRPr="009B7B35">
              <w:rPr>
                <w:rFonts w:cs="Arial"/>
              </w:rPr>
              <w:t>110 CTN2047</w:t>
            </w:r>
          </w:p>
        </w:tc>
        <w:tc>
          <w:tcPr>
            <w:tcW w:w="2314" w:type="dxa"/>
          </w:tcPr>
          <w:p w14:paraId="124975CC" w14:textId="77777777" w:rsidR="00BE36FB" w:rsidRPr="009B7B35" w:rsidRDefault="00BE36FB" w:rsidP="001A7107">
            <w:pPr>
              <w:pStyle w:val="TableText"/>
              <w:rPr>
                <w:rFonts w:cs="Arial"/>
              </w:rPr>
            </w:pPr>
            <w:r w:rsidRPr="009B7B35">
              <w:rPr>
                <w:rFonts w:cs="Arial"/>
              </w:rPr>
              <w:t>4 Bloomfield Street</w:t>
            </w:r>
            <w:r w:rsidRPr="009B7B35">
              <w:rPr>
                <w:rFonts w:cs="Arial"/>
              </w:rPr>
              <w:br/>
              <w:t>CALLIOPE QLD 4680</w:t>
            </w:r>
          </w:p>
        </w:tc>
        <w:tc>
          <w:tcPr>
            <w:tcW w:w="3599" w:type="dxa"/>
          </w:tcPr>
          <w:p w14:paraId="2738D6C5" w14:textId="77777777" w:rsidR="00BE36FB" w:rsidRPr="009B7B35" w:rsidRDefault="00BE36FB" w:rsidP="001A7107">
            <w:pPr>
              <w:pStyle w:val="TableText"/>
              <w:rPr>
                <w:rFonts w:cs="Arial"/>
              </w:rPr>
            </w:pPr>
            <w:r w:rsidRPr="009B7B35">
              <w:rPr>
                <w:rFonts w:cs="Arial"/>
              </w:rPr>
              <w:t>(7) emergency services facilities</w:t>
            </w:r>
          </w:p>
          <w:p w14:paraId="4A941E3B" w14:textId="77777777" w:rsidR="00BE36FB" w:rsidRPr="009B7B35" w:rsidRDefault="00BE36FB" w:rsidP="001A7107">
            <w:pPr>
              <w:pStyle w:val="TableText"/>
              <w:rPr>
                <w:rFonts w:cs="Arial"/>
              </w:rPr>
            </w:pPr>
            <w:r w:rsidRPr="009B7B35">
              <w:rPr>
                <w:rFonts w:cs="Arial"/>
              </w:rPr>
              <w:t>(15) storage and works depots and the like including administrative facilities associated with the provision or maintenance of the community infrastructure mentioned in this part</w:t>
            </w:r>
          </w:p>
        </w:tc>
      </w:tr>
      <w:tr w:rsidR="00BE36FB" w:rsidRPr="009B7B35" w14:paraId="2F2B4E21" w14:textId="77777777" w:rsidTr="001A7107">
        <w:tc>
          <w:tcPr>
            <w:tcW w:w="9411" w:type="dxa"/>
            <w:gridSpan w:val="4"/>
          </w:tcPr>
          <w:p w14:paraId="7373F853" w14:textId="77777777" w:rsidR="00BE36FB" w:rsidRPr="009B7B35" w:rsidRDefault="00BE36FB" w:rsidP="001A7107">
            <w:pPr>
              <w:pStyle w:val="TableText"/>
              <w:rPr>
                <w:rFonts w:cs="Arial"/>
              </w:rPr>
            </w:pPr>
            <w:r w:rsidRPr="009B7B35">
              <w:rPr>
                <w:rFonts w:cs="Arial"/>
              </w:rPr>
              <w:t>A designation may include:</w:t>
            </w:r>
          </w:p>
          <w:p w14:paraId="430A80DD" w14:textId="77777777" w:rsidR="00BE36FB" w:rsidRPr="009B7B35" w:rsidRDefault="00BE36FB" w:rsidP="00BE36FB">
            <w:pPr>
              <w:pStyle w:val="TableText"/>
              <w:numPr>
                <w:ilvl w:val="0"/>
                <w:numId w:val="839"/>
              </w:numPr>
              <w:rPr>
                <w:rFonts w:cs="Arial"/>
              </w:rPr>
            </w:pPr>
            <w:r w:rsidRPr="009B7B35">
              <w:rPr>
                <w:rFonts w:cs="Arial"/>
              </w:rPr>
              <w:t>requirements about works or the use of the land for the community infrastructure, including the height, shape, bulk or location of the works on the land, vehicular access to the land, vehicular and pedestrian circulation on the land, hours of operation of the use, landscaping on the land and ancillary uses of the land, and</w:t>
            </w:r>
          </w:p>
          <w:p w14:paraId="04FE69BE" w14:textId="77777777" w:rsidR="00BE36FB" w:rsidRPr="009B7B35" w:rsidRDefault="00BE36FB" w:rsidP="00BE36FB">
            <w:pPr>
              <w:pStyle w:val="TableText"/>
              <w:numPr>
                <w:ilvl w:val="0"/>
                <w:numId w:val="839"/>
              </w:numPr>
              <w:rPr>
                <w:rFonts w:cs="Arial"/>
              </w:rPr>
            </w:pPr>
            <w:r w:rsidRPr="009B7B35">
              <w:rPr>
                <w:rFonts w:cs="Arial"/>
              </w:rPr>
              <w:t>other requirements designed to lessen the impacts of the works or the use of the land for community infrastructure, including procedures for environmental management.</w:t>
            </w:r>
          </w:p>
        </w:tc>
      </w:tr>
    </w:tbl>
    <w:p w14:paraId="2B6112FE" w14:textId="77777777" w:rsidR="00BE36FB" w:rsidRPr="009B7B35" w:rsidRDefault="00BE36FB" w:rsidP="001A7107">
      <w:pPr>
        <w:rPr>
          <w:rFonts w:ascii="Arial" w:hAnsi="Arial" w:cs="Arial"/>
          <w:sz w:val="20"/>
          <w:szCs w:val="20"/>
        </w:rPr>
      </w:pPr>
    </w:p>
    <w:p w14:paraId="46226D4B" w14:textId="77777777" w:rsidR="00BE36FB" w:rsidRPr="009B7B35" w:rsidRDefault="00BE36FB" w:rsidP="001A7107">
      <w:pPr>
        <w:rPr>
          <w:rFonts w:ascii="Arial" w:hAnsi="Arial" w:cs="Arial"/>
          <w:sz w:val="20"/>
          <w:szCs w:val="20"/>
        </w:rPr>
        <w:sectPr w:rsidR="00BE36FB" w:rsidRPr="009B7B35" w:rsidSect="001A7107">
          <w:footerReference w:type="default" r:id="rId132"/>
          <w:footerReference w:type="first" r:id="rId133"/>
          <w:pgSz w:w="11906" w:h="16838" w:code="9"/>
          <w:pgMar w:top="1418" w:right="1134" w:bottom="1418" w:left="1134" w:header="567" w:footer="567" w:gutter="284"/>
          <w:cols w:space="708"/>
          <w:docGrid w:linePitch="360"/>
        </w:sectPr>
      </w:pPr>
    </w:p>
    <w:p w14:paraId="31C7B9FA" w14:textId="77777777" w:rsidR="00BE36FB" w:rsidRPr="009B7B35" w:rsidRDefault="00BE36FB" w:rsidP="007A46D8">
      <w:pPr>
        <w:pStyle w:val="Heading6"/>
        <w:numPr>
          <w:ilvl w:val="5"/>
          <w:numId w:val="834"/>
        </w:numPr>
        <w:rPr>
          <w:rFonts w:cs="Arial"/>
          <w:sz w:val="20"/>
          <w:szCs w:val="20"/>
        </w:rPr>
      </w:pPr>
      <w:bookmarkStart w:id="317" w:name="_Toc205367430"/>
      <w:r w:rsidRPr="009B7B35">
        <w:rPr>
          <w:rFonts w:cs="Arial"/>
          <w:sz w:val="20"/>
          <w:szCs w:val="20"/>
        </w:rPr>
        <w:t>Planning scheme policies</w:t>
      </w:r>
      <w:bookmarkEnd w:id="317"/>
    </w:p>
    <w:p w14:paraId="56367C98" w14:textId="77777777" w:rsidR="00BE36FB" w:rsidRPr="009B7B35" w:rsidRDefault="00BE36FB" w:rsidP="007A46D8">
      <w:pPr>
        <w:pStyle w:val="Heading7"/>
        <w:numPr>
          <w:ilvl w:val="6"/>
          <w:numId w:val="834"/>
        </w:numPr>
        <w:rPr>
          <w:rFonts w:cs="Arial"/>
          <w:sz w:val="20"/>
          <w:szCs w:val="20"/>
        </w:rPr>
      </w:pPr>
      <w:bookmarkStart w:id="318" w:name="_Toc205367431"/>
      <w:r w:rsidRPr="009B7B35">
        <w:rPr>
          <w:rFonts w:cs="Arial"/>
          <w:sz w:val="20"/>
          <w:szCs w:val="20"/>
        </w:rPr>
        <w:t>Planning scheme policy index</w:t>
      </w:r>
      <w:bookmarkEnd w:id="318"/>
    </w:p>
    <w:p w14:paraId="0356A5B8" w14:textId="77777777" w:rsidR="00BE36FB" w:rsidRPr="009B7B35" w:rsidRDefault="00BE36FB" w:rsidP="001A7107">
      <w:pPr>
        <w:rPr>
          <w:rFonts w:ascii="Arial" w:hAnsi="Arial" w:cs="Arial"/>
          <w:sz w:val="20"/>
          <w:szCs w:val="20"/>
        </w:rPr>
      </w:pPr>
      <w:r w:rsidRPr="009B7B35">
        <w:rPr>
          <w:rFonts w:ascii="Arial" w:hAnsi="Arial" w:cs="Arial"/>
          <w:sz w:val="20"/>
          <w:szCs w:val="20"/>
        </w:rPr>
        <w:t>The table below lists all the planning scheme policies applicable to the planning scheme area.</w:t>
      </w:r>
    </w:p>
    <w:p w14:paraId="2E2036CC" w14:textId="77777777" w:rsidR="00BE36FB" w:rsidRPr="009B7B35" w:rsidRDefault="00BE36FB" w:rsidP="001A7107">
      <w:pPr>
        <w:pStyle w:val="Heading9"/>
        <w:numPr>
          <w:ilvl w:val="0"/>
          <w:numId w:val="0"/>
        </w:numPr>
        <w:rPr>
          <w:rFonts w:cs="Arial"/>
          <w:sz w:val="20"/>
        </w:rPr>
      </w:pPr>
      <w:r w:rsidRPr="009B7B35">
        <w:rPr>
          <w:rFonts w:cs="Arial"/>
          <w:sz w:val="20"/>
        </w:rPr>
        <w:t>Table SC6.1.1—Planning scheme policy index</w:t>
      </w:r>
    </w:p>
    <w:tbl>
      <w:tblPr>
        <w:tblStyle w:val="Tablestyle"/>
        <w:tblW w:w="0" w:type="auto"/>
        <w:tblLook w:val="00A0" w:firstRow="1" w:lastRow="0" w:firstColumn="1" w:lastColumn="0" w:noHBand="0" w:noVBand="0"/>
      </w:tblPr>
      <w:tblGrid>
        <w:gridCol w:w="9356"/>
      </w:tblGrid>
      <w:tr w:rsidR="00BE36FB" w:rsidRPr="009B7B35" w14:paraId="3238A106"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tcPr>
          <w:p w14:paraId="24E2F75E" w14:textId="77777777" w:rsidR="00BE36FB" w:rsidRPr="009B7B35" w:rsidRDefault="00BE36FB" w:rsidP="001A7107">
            <w:pPr>
              <w:pStyle w:val="Tableheading"/>
              <w:rPr>
                <w:rFonts w:ascii="Arial" w:hAnsi="Arial" w:cs="Arial"/>
                <w:szCs w:val="20"/>
              </w:rPr>
            </w:pPr>
            <w:r w:rsidRPr="009B7B35">
              <w:rPr>
                <w:rFonts w:ascii="Arial" w:hAnsi="Arial" w:cs="Arial"/>
                <w:szCs w:val="20"/>
              </w:rPr>
              <w:t>Planning scheme policy titles</w:t>
            </w:r>
          </w:p>
        </w:tc>
      </w:tr>
      <w:tr w:rsidR="00BE36FB" w:rsidRPr="009B7B35" w14:paraId="3B06D581"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tcPr>
          <w:p w14:paraId="41862EC8" w14:textId="77777777" w:rsidR="00BE36FB" w:rsidRPr="009B7B35" w:rsidRDefault="00BE36FB" w:rsidP="00BE36FB">
            <w:pPr>
              <w:pStyle w:val="ListBullet"/>
              <w:spacing w:before="80" w:after="80"/>
              <w:rPr>
                <w:rFonts w:cs="Arial"/>
                <w:szCs w:val="20"/>
              </w:rPr>
            </w:pPr>
            <w:r w:rsidRPr="009B7B35">
              <w:rPr>
                <w:rFonts w:cs="Arial"/>
                <w:szCs w:val="20"/>
              </w:rPr>
              <w:t>Engineering design</w:t>
            </w:r>
          </w:p>
          <w:p w14:paraId="53BD930F" w14:textId="77777777" w:rsidR="00BE36FB" w:rsidRPr="009B7B35" w:rsidRDefault="00BE36FB" w:rsidP="00BE36FB">
            <w:pPr>
              <w:pStyle w:val="ListBullet"/>
              <w:spacing w:before="80" w:after="80"/>
              <w:rPr>
                <w:rFonts w:cs="Arial"/>
                <w:szCs w:val="20"/>
              </w:rPr>
            </w:pPr>
            <w:r w:rsidRPr="009B7B35">
              <w:rPr>
                <w:rFonts w:cs="Arial"/>
                <w:szCs w:val="20"/>
              </w:rPr>
              <w:t>Plans of development</w:t>
            </w:r>
          </w:p>
          <w:p w14:paraId="2ABF8F93" w14:textId="77777777" w:rsidR="00BE36FB" w:rsidRPr="009B7B35" w:rsidRDefault="00BE36FB" w:rsidP="00BE36FB">
            <w:pPr>
              <w:pStyle w:val="ListBullet"/>
              <w:spacing w:before="80" w:after="80"/>
              <w:rPr>
                <w:rFonts w:cs="Arial"/>
                <w:szCs w:val="20"/>
              </w:rPr>
            </w:pPr>
            <w:r w:rsidRPr="009B7B35">
              <w:rPr>
                <w:rFonts w:cs="Arial"/>
                <w:szCs w:val="20"/>
              </w:rPr>
              <w:t>Community and economic needs assessment</w:t>
            </w:r>
          </w:p>
          <w:p w14:paraId="11F3CE2D" w14:textId="77777777" w:rsidR="00BE36FB" w:rsidRPr="009B7B35" w:rsidRDefault="00BE36FB" w:rsidP="00BE36FB">
            <w:pPr>
              <w:pStyle w:val="ListBullet"/>
              <w:spacing w:before="80" w:after="80"/>
              <w:rPr>
                <w:rFonts w:cs="Arial"/>
                <w:szCs w:val="20"/>
              </w:rPr>
            </w:pPr>
            <w:r w:rsidRPr="009B7B35">
              <w:rPr>
                <w:rFonts w:cs="Arial"/>
                <w:szCs w:val="20"/>
              </w:rPr>
              <w:t>CBD redevelopment</w:t>
            </w:r>
          </w:p>
          <w:p w14:paraId="51394AAC" w14:textId="77777777" w:rsidR="00BE36FB" w:rsidRPr="009B7B35" w:rsidRDefault="00BE36FB" w:rsidP="00BE36FB">
            <w:pPr>
              <w:pStyle w:val="ListBullet"/>
              <w:spacing w:before="80" w:after="80"/>
              <w:rPr>
                <w:rFonts w:cs="Arial"/>
                <w:szCs w:val="20"/>
              </w:rPr>
            </w:pPr>
            <w:r w:rsidRPr="009B7B35">
              <w:rPr>
                <w:rFonts w:cs="Arial"/>
                <w:szCs w:val="20"/>
              </w:rPr>
              <w:t xml:space="preserve">Beecher/Burua constant flow precinct </w:t>
            </w:r>
          </w:p>
          <w:p w14:paraId="1DF2766A" w14:textId="77777777" w:rsidR="00BE36FB" w:rsidRPr="009B7B35" w:rsidRDefault="00BE36FB" w:rsidP="00BE36FB">
            <w:pPr>
              <w:pStyle w:val="ListBullet"/>
              <w:spacing w:before="80" w:after="80"/>
              <w:rPr>
                <w:rFonts w:cs="Arial"/>
                <w:szCs w:val="20"/>
              </w:rPr>
            </w:pPr>
            <w:r w:rsidRPr="009B7B35">
              <w:rPr>
                <w:rFonts w:cs="Arial"/>
                <w:szCs w:val="20"/>
              </w:rPr>
              <w:t>Flood hazard</w:t>
            </w:r>
          </w:p>
          <w:p w14:paraId="79B57062" w14:textId="77777777" w:rsidR="00BE36FB" w:rsidRPr="009B7B35" w:rsidRDefault="00BE36FB" w:rsidP="00BE36FB">
            <w:pPr>
              <w:pStyle w:val="ListBullet"/>
              <w:spacing w:before="80" w:after="80"/>
              <w:rPr>
                <w:rFonts w:cs="Arial"/>
                <w:szCs w:val="20"/>
              </w:rPr>
            </w:pPr>
            <w:r w:rsidRPr="009B7B35">
              <w:rPr>
                <w:rFonts w:cs="Arial"/>
                <w:szCs w:val="20"/>
              </w:rPr>
              <w:t>Heritage</w:t>
            </w:r>
          </w:p>
          <w:p w14:paraId="40A5626D" w14:textId="77777777" w:rsidR="00BE36FB" w:rsidRPr="009B7B35" w:rsidRDefault="00BE36FB" w:rsidP="00BE36FB">
            <w:pPr>
              <w:pStyle w:val="ListBullet"/>
              <w:spacing w:before="80" w:after="80"/>
              <w:rPr>
                <w:rFonts w:cs="Arial"/>
                <w:szCs w:val="20"/>
              </w:rPr>
            </w:pPr>
            <w:r w:rsidRPr="009B7B35">
              <w:rPr>
                <w:rFonts w:cs="Arial"/>
                <w:szCs w:val="20"/>
              </w:rPr>
              <w:t>Non–resident workers accommodation</w:t>
            </w:r>
          </w:p>
          <w:p w14:paraId="23BDCF22" w14:textId="77777777" w:rsidR="00BE36FB" w:rsidRPr="009B7B35" w:rsidRDefault="00BE36FB" w:rsidP="00BE36FB">
            <w:pPr>
              <w:pStyle w:val="ListBullet"/>
              <w:spacing w:before="80" w:after="80"/>
              <w:rPr>
                <w:rFonts w:cs="Arial"/>
                <w:szCs w:val="20"/>
              </w:rPr>
            </w:pPr>
            <w:r w:rsidRPr="009B7B35">
              <w:rPr>
                <w:rFonts w:cs="Arial"/>
                <w:szCs w:val="20"/>
              </w:rPr>
              <w:t>Vehicle parking rates</w:t>
            </w:r>
          </w:p>
          <w:p w14:paraId="43C01588" w14:textId="77777777" w:rsidR="00BE36FB" w:rsidRPr="009B7B35" w:rsidRDefault="00BE36FB" w:rsidP="00BE36FB">
            <w:pPr>
              <w:pStyle w:val="ListBullet"/>
              <w:spacing w:before="80" w:after="80"/>
              <w:rPr>
                <w:rFonts w:cs="Arial"/>
                <w:szCs w:val="20"/>
              </w:rPr>
            </w:pPr>
            <w:r w:rsidRPr="009B7B35">
              <w:rPr>
                <w:rFonts w:cs="Arial"/>
                <w:szCs w:val="20"/>
              </w:rPr>
              <w:t>Waste management</w:t>
            </w:r>
          </w:p>
        </w:tc>
      </w:tr>
    </w:tbl>
    <w:p w14:paraId="10397A33" w14:textId="77777777" w:rsidR="00BE36FB" w:rsidRPr="009B7B35" w:rsidRDefault="00BE36FB" w:rsidP="007A46D8">
      <w:pPr>
        <w:pStyle w:val="Heading7"/>
        <w:numPr>
          <w:ilvl w:val="6"/>
          <w:numId w:val="834"/>
        </w:numPr>
        <w:rPr>
          <w:rFonts w:cs="Arial"/>
          <w:sz w:val="20"/>
          <w:szCs w:val="20"/>
        </w:rPr>
      </w:pPr>
      <w:bookmarkStart w:id="319" w:name="_Toc205367432"/>
      <w:r w:rsidRPr="009B7B35">
        <w:rPr>
          <w:rFonts w:cs="Arial"/>
          <w:sz w:val="20"/>
          <w:szCs w:val="20"/>
        </w:rPr>
        <w:t>Engineering design</w:t>
      </w:r>
      <w:bookmarkEnd w:id="319"/>
    </w:p>
    <w:p w14:paraId="0811C32F" w14:textId="77777777" w:rsidR="00BE36FB" w:rsidRPr="009B7B35" w:rsidRDefault="00BE36FB" w:rsidP="007A46D8">
      <w:pPr>
        <w:pStyle w:val="Heading8"/>
        <w:numPr>
          <w:ilvl w:val="7"/>
          <w:numId w:val="834"/>
        </w:numPr>
        <w:rPr>
          <w:rFonts w:ascii="Arial" w:hAnsi="Arial" w:cs="Arial"/>
          <w:sz w:val="20"/>
        </w:rPr>
      </w:pPr>
      <w:bookmarkStart w:id="320" w:name="_Toc205367433"/>
      <w:r w:rsidRPr="009B7B35">
        <w:rPr>
          <w:rFonts w:ascii="Arial" w:hAnsi="Arial" w:cs="Arial"/>
          <w:sz w:val="20"/>
        </w:rPr>
        <w:t>Introduction</w:t>
      </w:r>
      <w:bookmarkEnd w:id="320"/>
    </w:p>
    <w:p w14:paraId="2C798E95" w14:textId="77777777" w:rsidR="00BE36FB" w:rsidRPr="009B7B35" w:rsidRDefault="00BE36FB" w:rsidP="001A7107">
      <w:pPr>
        <w:rPr>
          <w:rFonts w:ascii="Arial" w:hAnsi="Arial" w:cs="Arial"/>
          <w:sz w:val="20"/>
          <w:szCs w:val="20"/>
        </w:rPr>
      </w:pPr>
      <w:r w:rsidRPr="009B7B35">
        <w:rPr>
          <w:rFonts w:ascii="Arial" w:hAnsi="Arial" w:cs="Arial"/>
          <w:sz w:val="20"/>
          <w:szCs w:val="20"/>
        </w:rPr>
        <w:t>Short Title – The planning scheme policy may be cited as the Engineering Design PSP.</w:t>
      </w:r>
    </w:p>
    <w:p w14:paraId="4E5FBFEC" w14:textId="77777777" w:rsidR="00BE36FB" w:rsidRPr="009B7B35" w:rsidRDefault="00BE36FB" w:rsidP="007A46D8">
      <w:pPr>
        <w:pStyle w:val="Heading8"/>
        <w:numPr>
          <w:ilvl w:val="7"/>
          <w:numId w:val="834"/>
        </w:numPr>
        <w:rPr>
          <w:rFonts w:ascii="Arial" w:hAnsi="Arial" w:cs="Arial"/>
          <w:sz w:val="20"/>
        </w:rPr>
      </w:pPr>
      <w:bookmarkStart w:id="321" w:name="_Toc205367434"/>
      <w:r w:rsidRPr="009B7B35">
        <w:rPr>
          <w:rFonts w:ascii="Arial" w:hAnsi="Arial" w:cs="Arial"/>
          <w:sz w:val="20"/>
        </w:rPr>
        <w:t>Purpose</w:t>
      </w:r>
      <w:bookmarkEnd w:id="321"/>
    </w:p>
    <w:p w14:paraId="4A5299C0"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purpose of the planning scheme policy is to provide guidance to applicants on the required relevant Engineering and development design standard documents that are to be utilised for development. </w:t>
      </w:r>
    </w:p>
    <w:p w14:paraId="5DE12C7F" w14:textId="77777777" w:rsidR="00BE36FB" w:rsidRPr="009B7B35" w:rsidRDefault="00BE36FB" w:rsidP="007A46D8">
      <w:pPr>
        <w:pStyle w:val="Heading8"/>
        <w:numPr>
          <w:ilvl w:val="7"/>
          <w:numId w:val="834"/>
        </w:numPr>
        <w:rPr>
          <w:rFonts w:ascii="Arial" w:hAnsi="Arial" w:cs="Arial"/>
          <w:sz w:val="20"/>
        </w:rPr>
      </w:pPr>
      <w:bookmarkStart w:id="322" w:name="_Toc205367435"/>
      <w:r w:rsidRPr="009B7B35">
        <w:rPr>
          <w:rFonts w:ascii="Arial" w:hAnsi="Arial" w:cs="Arial"/>
          <w:sz w:val="20"/>
        </w:rPr>
        <w:t>Legislative authority</w:t>
      </w:r>
      <w:bookmarkEnd w:id="322"/>
    </w:p>
    <w:p w14:paraId="2274E47F"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This planning scheme policy is made under the relevant requirements section 22(1) of the </w:t>
      </w:r>
      <w:r w:rsidRPr="009B7B35">
        <w:rPr>
          <w:rStyle w:val="StyleItalic"/>
          <w:rFonts w:cs="Arial"/>
          <w:szCs w:val="20"/>
        </w:rPr>
        <w:t>Planning Act 2016</w:t>
      </w:r>
      <w:r w:rsidRPr="009B7B35">
        <w:rPr>
          <w:rFonts w:ascii="Arial" w:hAnsi="Arial" w:cs="Arial"/>
          <w:sz w:val="20"/>
          <w:szCs w:val="20"/>
        </w:rPr>
        <w:t xml:space="preserve"> and the associated requirements of </w:t>
      </w:r>
      <w:r w:rsidRPr="009B7B35">
        <w:rPr>
          <w:rStyle w:val="StyleItalic"/>
          <w:rFonts w:cs="Arial"/>
          <w:szCs w:val="20"/>
        </w:rPr>
        <w:t>Queensland Planning Provisions</w:t>
      </w:r>
      <w:r w:rsidRPr="009B7B35">
        <w:rPr>
          <w:rFonts w:ascii="Arial" w:hAnsi="Arial" w:cs="Arial"/>
          <w:sz w:val="20"/>
          <w:szCs w:val="20"/>
        </w:rPr>
        <w:t xml:space="preserve"> version 4. </w:t>
      </w:r>
    </w:p>
    <w:p w14:paraId="796EA63D" w14:textId="77777777" w:rsidR="00BE36FB" w:rsidRPr="009B7B35" w:rsidRDefault="00BE36FB">
      <w:pPr>
        <w:rPr>
          <w:rFonts w:ascii="Arial" w:hAnsi="Arial" w:cs="Arial"/>
          <w:sz w:val="20"/>
          <w:szCs w:val="20"/>
        </w:rPr>
      </w:pPr>
      <w:r w:rsidRPr="009B7B35">
        <w:rPr>
          <w:rFonts w:ascii="Arial" w:hAnsi="Arial" w:cs="Arial"/>
          <w:sz w:val="20"/>
          <w:szCs w:val="20"/>
        </w:rPr>
        <w:t>Relationship to the Gladstone Planning Scheme: Our Place Our Plan.</w:t>
      </w:r>
    </w:p>
    <w:p w14:paraId="24EC64A7" w14:textId="77777777" w:rsidR="00BE36FB" w:rsidRPr="009B7B35" w:rsidRDefault="00BE36FB">
      <w:pPr>
        <w:rPr>
          <w:rFonts w:ascii="Arial" w:hAnsi="Arial" w:cs="Arial"/>
          <w:sz w:val="20"/>
          <w:szCs w:val="20"/>
        </w:rPr>
      </w:pPr>
    </w:p>
    <w:p w14:paraId="1BDE2320" w14:textId="77777777" w:rsidR="00BE36FB" w:rsidRPr="009B7B35" w:rsidRDefault="00BE36FB" w:rsidP="001A7107">
      <w:pPr>
        <w:rPr>
          <w:rFonts w:ascii="Arial" w:hAnsi="Arial" w:cs="Arial"/>
          <w:sz w:val="20"/>
          <w:szCs w:val="20"/>
        </w:rPr>
      </w:pPr>
      <w:r w:rsidRPr="009B7B35">
        <w:rPr>
          <w:rFonts w:ascii="Arial" w:hAnsi="Arial" w:cs="Arial"/>
          <w:sz w:val="20"/>
          <w:szCs w:val="20"/>
        </w:rPr>
        <w:t>This Planning Scheme Policy is referred to in a number of Codes within the Planning Scheme and reference is made to the most recently adopted version of each document at a particular point in time.</w:t>
      </w:r>
    </w:p>
    <w:p w14:paraId="33F64EE7" w14:textId="77777777" w:rsidR="00BE36FB" w:rsidRPr="009B7B35" w:rsidRDefault="00BE36FB" w:rsidP="007A46D8">
      <w:pPr>
        <w:pStyle w:val="Heading8"/>
        <w:numPr>
          <w:ilvl w:val="7"/>
          <w:numId w:val="834"/>
        </w:numPr>
        <w:rPr>
          <w:rFonts w:ascii="Arial" w:hAnsi="Arial" w:cs="Arial"/>
          <w:sz w:val="20"/>
        </w:rPr>
      </w:pPr>
      <w:bookmarkStart w:id="323" w:name="_Toc205367436"/>
      <w:r w:rsidRPr="009B7B35">
        <w:rPr>
          <w:rFonts w:ascii="Arial" w:hAnsi="Arial" w:cs="Arial"/>
          <w:sz w:val="20"/>
        </w:rPr>
        <w:t>Terminology</w:t>
      </w:r>
      <w:bookmarkEnd w:id="323"/>
    </w:p>
    <w:p w14:paraId="0B3DCA50" w14:textId="77777777" w:rsidR="00BE36FB" w:rsidRPr="009B7B35" w:rsidRDefault="00BE36FB" w:rsidP="001A7107">
      <w:pPr>
        <w:rPr>
          <w:rFonts w:ascii="Arial" w:hAnsi="Arial" w:cs="Arial"/>
          <w:sz w:val="20"/>
          <w:szCs w:val="20"/>
        </w:rPr>
      </w:pPr>
      <w:r w:rsidRPr="009B7B35">
        <w:rPr>
          <w:rFonts w:ascii="Arial" w:hAnsi="Arial" w:cs="Arial"/>
          <w:sz w:val="20"/>
          <w:szCs w:val="20"/>
        </w:rPr>
        <w:t>Terms used in the planning scheme policy are defined in Schedule 1—Definitions.</w:t>
      </w:r>
    </w:p>
    <w:p w14:paraId="5C872319" w14:textId="77777777" w:rsidR="00BE36FB" w:rsidRPr="009B7B35" w:rsidRDefault="00BE36FB" w:rsidP="007A46D8">
      <w:pPr>
        <w:pStyle w:val="Heading8"/>
        <w:numPr>
          <w:ilvl w:val="7"/>
          <w:numId w:val="834"/>
        </w:numPr>
        <w:rPr>
          <w:rFonts w:ascii="Arial" w:hAnsi="Arial" w:cs="Arial"/>
          <w:sz w:val="20"/>
        </w:rPr>
      </w:pPr>
      <w:bookmarkStart w:id="324" w:name="_Toc205367437"/>
      <w:r w:rsidRPr="009B7B35">
        <w:rPr>
          <w:rFonts w:ascii="Arial" w:hAnsi="Arial" w:cs="Arial"/>
          <w:sz w:val="20"/>
        </w:rPr>
        <w:t>Documents included in this policy include:</w:t>
      </w:r>
      <w:bookmarkEnd w:id="324"/>
    </w:p>
    <w:p w14:paraId="475A4D39" w14:textId="77777777" w:rsidR="00BE36FB" w:rsidRPr="009B7B35" w:rsidRDefault="00BE36FB" w:rsidP="00BE36FB">
      <w:pPr>
        <w:numPr>
          <w:ilvl w:val="0"/>
          <w:numId w:val="841"/>
        </w:numPr>
        <w:rPr>
          <w:rFonts w:ascii="Arial" w:hAnsi="Arial" w:cs="Arial"/>
          <w:sz w:val="20"/>
          <w:szCs w:val="20"/>
        </w:rPr>
      </w:pPr>
      <w:r w:rsidRPr="009B7B35">
        <w:rPr>
          <w:rFonts w:ascii="Arial" w:hAnsi="Arial" w:cs="Arial"/>
          <w:sz w:val="20"/>
          <w:szCs w:val="20"/>
        </w:rPr>
        <w:t xml:space="preserve">The </w:t>
      </w:r>
      <w:r w:rsidRPr="009B7B35">
        <w:rPr>
          <w:rStyle w:val="StyleItalic"/>
          <w:rFonts w:cs="Arial"/>
          <w:szCs w:val="20"/>
        </w:rPr>
        <w:t>Capricorn Municipal Development Guidelines</w:t>
      </w:r>
      <w:r w:rsidRPr="009B7B35">
        <w:rPr>
          <w:rFonts w:ascii="Arial" w:hAnsi="Arial" w:cs="Arial"/>
          <w:sz w:val="20"/>
          <w:szCs w:val="20"/>
        </w:rPr>
        <w:t xml:space="preserve"> (including Standard Drawings and Specifications, Construction Specifications and Procedures, Design Specifications and Purchase Specifications as they relate to Gladstone Regional Council).</w:t>
      </w:r>
    </w:p>
    <w:p w14:paraId="6E51670F" w14:textId="77777777" w:rsidR="00BE36FB" w:rsidRPr="009B7B35" w:rsidRDefault="00BE36FB" w:rsidP="00BE36FB">
      <w:pPr>
        <w:numPr>
          <w:ilvl w:val="0"/>
          <w:numId w:val="841"/>
        </w:numPr>
        <w:rPr>
          <w:rFonts w:ascii="Arial" w:hAnsi="Arial" w:cs="Arial"/>
          <w:sz w:val="20"/>
          <w:szCs w:val="20"/>
        </w:rPr>
      </w:pPr>
      <w:r w:rsidRPr="009B7B35">
        <w:rPr>
          <w:rFonts w:ascii="Arial" w:hAnsi="Arial" w:cs="Arial"/>
          <w:sz w:val="20"/>
          <w:szCs w:val="20"/>
        </w:rPr>
        <w:t>Adopted Infrastructure Contribution Policy.</w:t>
      </w:r>
    </w:p>
    <w:p w14:paraId="43EBA51B" w14:textId="77777777" w:rsidR="00BE36FB" w:rsidRPr="009B7B35" w:rsidRDefault="00BE36FB" w:rsidP="00BE36FB">
      <w:pPr>
        <w:numPr>
          <w:ilvl w:val="0"/>
          <w:numId w:val="841"/>
        </w:numPr>
        <w:rPr>
          <w:rFonts w:ascii="Arial" w:hAnsi="Arial" w:cs="Arial"/>
          <w:sz w:val="20"/>
          <w:szCs w:val="20"/>
        </w:rPr>
      </w:pPr>
      <w:r w:rsidRPr="009B7B35">
        <w:rPr>
          <w:rStyle w:val="StyleItalic"/>
          <w:rFonts w:cs="Arial"/>
          <w:szCs w:val="20"/>
        </w:rPr>
        <w:t>Build Over or Adjacent to Council Services Policy</w:t>
      </w:r>
      <w:r w:rsidRPr="009B7B35">
        <w:rPr>
          <w:rFonts w:ascii="Arial" w:hAnsi="Arial" w:cs="Arial"/>
          <w:sz w:val="20"/>
          <w:szCs w:val="20"/>
        </w:rPr>
        <w:t>.</w:t>
      </w:r>
    </w:p>
    <w:p w14:paraId="4229E3FC" w14:textId="77777777" w:rsidR="00BE36FB" w:rsidRPr="009B7B35" w:rsidRDefault="00BE36FB" w:rsidP="00BE36FB">
      <w:pPr>
        <w:numPr>
          <w:ilvl w:val="0"/>
          <w:numId w:val="841"/>
        </w:numPr>
        <w:rPr>
          <w:rFonts w:ascii="Arial" w:hAnsi="Arial" w:cs="Arial"/>
          <w:sz w:val="20"/>
          <w:szCs w:val="20"/>
        </w:rPr>
      </w:pPr>
      <w:r w:rsidRPr="009B7B35">
        <w:rPr>
          <w:rFonts w:ascii="Arial" w:hAnsi="Arial" w:cs="Arial"/>
          <w:sz w:val="20"/>
          <w:szCs w:val="20"/>
        </w:rPr>
        <w:t>Rural Roads—</w:t>
      </w:r>
      <w:r w:rsidRPr="009B7B35">
        <w:rPr>
          <w:rStyle w:val="StyleItalic"/>
          <w:rFonts w:cs="Arial"/>
          <w:szCs w:val="20"/>
        </w:rPr>
        <w:t>Construction of Roads in Rural Areas Policy</w:t>
      </w:r>
      <w:r w:rsidRPr="009B7B35">
        <w:rPr>
          <w:rFonts w:ascii="Arial" w:hAnsi="Arial" w:cs="Arial"/>
          <w:sz w:val="20"/>
          <w:szCs w:val="20"/>
        </w:rPr>
        <w:t>.</w:t>
      </w:r>
    </w:p>
    <w:p w14:paraId="5C1C18F5" w14:textId="77777777" w:rsidR="00BE36FB" w:rsidRPr="009B7B35" w:rsidRDefault="00BE36FB" w:rsidP="00BE36FB">
      <w:pPr>
        <w:numPr>
          <w:ilvl w:val="0"/>
          <w:numId w:val="841"/>
        </w:numPr>
        <w:rPr>
          <w:rFonts w:ascii="Arial" w:hAnsi="Arial" w:cs="Arial"/>
          <w:sz w:val="20"/>
          <w:szCs w:val="20"/>
        </w:rPr>
      </w:pPr>
      <w:r w:rsidRPr="009B7B35">
        <w:rPr>
          <w:rFonts w:ascii="Arial" w:hAnsi="Arial" w:cs="Arial"/>
          <w:sz w:val="20"/>
          <w:szCs w:val="20"/>
        </w:rPr>
        <w:t>Water—</w:t>
      </w:r>
      <w:r w:rsidRPr="009B7B35">
        <w:rPr>
          <w:rStyle w:val="StyleItalic"/>
          <w:rFonts w:cs="Arial"/>
          <w:szCs w:val="20"/>
        </w:rPr>
        <w:t>Metered Standpipe (Mobile &amp; Fixed) and Hydrant Usage Policy</w:t>
      </w:r>
      <w:r w:rsidRPr="009B7B35">
        <w:rPr>
          <w:rFonts w:ascii="Arial" w:hAnsi="Arial" w:cs="Arial"/>
          <w:sz w:val="20"/>
          <w:szCs w:val="20"/>
        </w:rPr>
        <w:t>.</w:t>
      </w:r>
    </w:p>
    <w:p w14:paraId="3CF643C0" w14:textId="77777777" w:rsidR="00BE36FB" w:rsidRPr="009B7B35" w:rsidRDefault="00BE36FB" w:rsidP="00BE36FB">
      <w:pPr>
        <w:numPr>
          <w:ilvl w:val="0"/>
          <w:numId w:val="841"/>
        </w:numPr>
        <w:rPr>
          <w:rFonts w:ascii="Arial" w:hAnsi="Arial" w:cs="Arial"/>
          <w:sz w:val="20"/>
          <w:szCs w:val="20"/>
        </w:rPr>
      </w:pPr>
      <w:r w:rsidRPr="009B7B35">
        <w:rPr>
          <w:rFonts w:ascii="Arial" w:hAnsi="Arial" w:cs="Arial"/>
          <w:sz w:val="20"/>
          <w:szCs w:val="20"/>
        </w:rPr>
        <w:t>Water—</w:t>
      </w:r>
      <w:r w:rsidRPr="009B7B35">
        <w:rPr>
          <w:rStyle w:val="StyleItalic"/>
          <w:rFonts w:cs="Arial"/>
          <w:szCs w:val="20"/>
        </w:rPr>
        <w:t>Direct Connection of Pumps to Council Water Network Policy</w:t>
      </w:r>
      <w:r w:rsidRPr="009B7B35">
        <w:rPr>
          <w:rFonts w:ascii="Arial" w:hAnsi="Arial" w:cs="Arial"/>
          <w:sz w:val="20"/>
          <w:szCs w:val="20"/>
        </w:rPr>
        <w:t>.</w:t>
      </w:r>
    </w:p>
    <w:p w14:paraId="4E91E0EF" w14:textId="77777777" w:rsidR="00BE36FB" w:rsidRPr="009B7B35" w:rsidRDefault="00BE36FB" w:rsidP="007A46D8">
      <w:pPr>
        <w:pStyle w:val="Heading7"/>
        <w:numPr>
          <w:ilvl w:val="6"/>
          <w:numId w:val="834"/>
        </w:numPr>
        <w:rPr>
          <w:rFonts w:cs="Arial"/>
          <w:sz w:val="20"/>
          <w:szCs w:val="20"/>
        </w:rPr>
      </w:pPr>
      <w:bookmarkStart w:id="325" w:name="_Toc205367438"/>
      <w:r w:rsidRPr="009B7B35">
        <w:rPr>
          <w:rFonts w:cs="Arial"/>
          <w:sz w:val="20"/>
          <w:szCs w:val="20"/>
        </w:rPr>
        <w:t>Plans of development</w:t>
      </w:r>
      <w:bookmarkEnd w:id="325"/>
    </w:p>
    <w:p w14:paraId="4D6F15E7" w14:textId="77777777" w:rsidR="00BE36FB" w:rsidRPr="009B7B35" w:rsidRDefault="00BE36FB" w:rsidP="007A46D8">
      <w:pPr>
        <w:pStyle w:val="Heading8"/>
        <w:numPr>
          <w:ilvl w:val="7"/>
          <w:numId w:val="834"/>
        </w:numPr>
        <w:rPr>
          <w:rFonts w:ascii="Arial" w:hAnsi="Arial" w:cs="Arial"/>
          <w:sz w:val="20"/>
        </w:rPr>
      </w:pPr>
      <w:bookmarkStart w:id="326" w:name="_Toc205367439"/>
      <w:r w:rsidRPr="009B7B35">
        <w:rPr>
          <w:rFonts w:ascii="Arial" w:hAnsi="Arial" w:cs="Arial"/>
          <w:sz w:val="20"/>
        </w:rPr>
        <w:t>Purpose</w:t>
      </w:r>
      <w:bookmarkEnd w:id="326"/>
    </w:p>
    <w:p w14:paraId="39A81A08" w14:textId="77777777" w:rsidR="00BE36FB" w:rsidRPr="009B7B35" w:rsidRDefault="00BE36FB" w:rsidP="001A7107">
      <w:pPr>
        <w:rPr>
          <w:rFonts w:ascii="Arial" w:hAnsi="Arial" w:cs="Arial"/>
          <w:sz w:val="20"/>
          <w:szCs w:val="20"/>
        </w:rPr>
      </w:pPr>
      <w:r w:rsidRPr="009B7B35">
        <w:rPr>
          <w:rFonts w:ascii="Arial" w:hAnsi="Arial" w:cs="Arial"/>
          <w:sz w:val="20"/>
          <w:szCs w:val="20"/>
        </w:rPr>
        <w:t>The purpose of this planning scheme policy is to:</w:t>
      </w:r>
    </w:p>
    <w:p w14:paraId="00FB79F4" w14:textId="77777777" w:rsidR="00BE36FB" w:rsidRPr="009B7B35" w:rsidRDefault="00BE36FB" w:rsidP="00BE36FB">
      <w:pPr>
        <w:numPr>
          <w:ilvl w:val="0"/>
          <w:numId w:val="842"/>
        </w:numPr>
        <w:rPr>
          <w:rFonts w:ascii="Arial" w:hAnsi="Arial" w:cs="Arial"/>
          <w:sz w:val="20"/>
          <w:szCs w:val="20"/>
        </w:rPr>
      </w:pPr>
      <w:r w:rsidRPr="009B7B35">
        <w:rPr>
          <w:rFonts w:ascii="Arial" w:hAnsi="Arial" w:cs="Arial"/>
          <w:sz w:val="20"/>
          <w:szCs w:val="20"/>
        </w:rPr>
        <w:t xml:space="preserve">Provide guidelines for the information and format required to make Plans of development in support of a Development application.  </w:t>
      </w:r>
    </w:p>
    <w:p w14:paraId="4A823F56" w14:textId="77777777" w:rsidR="00BE36FB" w:rsidRPr="009B7B35" w:rsidRDefault="00BE36FB" w:rsidP="007A46D8">
      <w:pPr>
        <w:pStyle w:val="Heading8"/>
        <w:numPr>
          <w:ilvl w:val="7"/>
          <w:numId w:val="834"/>
        </w:numPr>
        <w:rPr>
          <w:rFonts w:ascii="Arial" w:hAnsi="Arial" w:cs="Arial"/>
          <w:sz w:val="20"/>
        </w:rPr>
      </w:pPr>
      <w:bookmarkStart w:id="327" w:name="_Toc205367440"/>
      <w:r w:rsidRPr="009B7B35">
        <w:rPr>
          <w:rFonts w:ascii="Arial" w:hAnsi="Arial" w:cs="Arial"/>
          <w:sz w:val="20"/>
        </w:rPr>
        <w:t>Application</w:t>
      </w:r>
      <w:bookmarkEnd w:id="327"/>
    </w:p>
    <w:p w14:paraId="01C49AD7"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This planning scheme policy applies to Development applications for a Material change of use or Reconfiguration of a lot where a Variation approval is sought under the </w:t>
      </w:r>
      <w:r w:rsidRPr="009B7B35">
        <w:rPr>
          <w:rFonts w:ascii="Arial" w:hAnsi="Arial" w:cs="Arial"/>
          <w:i/>
          <w:sz w:val="20"/>
          <w:szCs w:val="20"/>
        </w:rPr>
        <w:t>Planning Act 2016</w:t>
      </w:r>
      <w:r w:rsidRPr="009B7B35">
        <w:rPr>
          <w:rFonts w:ascii="Arial" w:hAnsi="Arial" w:cs="Arial"/>
          <w:sz w:val="20"/>
          <w:szCs w:val="20"/>
        </w:rPr>
        <w:t xml:space="preserve">. Plans of development are required where detailed planning has not been undertaken to achieve development outcomes in investigative zones such as the Emerging community and Industry investigation zones. </w:t>
      </w:r>
    </w:p>
    <w:p w14:paraId="6E74EBD1" w14:textId="77777777" w:rsidR="00BE36FB" w:rsidRPr="009B7B35" w:rsidRDefault="00BE36FB" w:rsidP="007A46D8">
      <w:pPr>
        <w:pStyle w:val="Heading8"/>
        <w:numPr>
          <w:ilvl w:val="7"/>
          <w:numId w:val="834"/>
        </w:numPr>
        <w:rPr>
          <w:rFonts w:ascii="Arial" w:hAnsi="Arial" w:cs="Arial"/>
          <w:sz w:val="20"/>
        </w:rPr>
      </w:pPr>
      <w:bookmarkStart w:id="328" w:name="_Toc205367441"/>
      <w:r w:rsidRPr="009B7B35">
        <w:rPr>
          <w:rFonts w:ascii="Arial" w:hAnsi="Arial" w:cs="Arial"/>
          <w:sz w:val="20"/>
        </w:rPr>
        <w:t>What is a Plan of development</w:t>
      </w:r>
      <w:bookmarkEnd w:id="328"/>
    </w:p>
    <w:p w14:paraId="1687963C"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A Plan of development is the preferred planning tool used to identify development outcomes on a plan, and if proposed, a planning code to achieve outcomes for a Variation approval that varies the Planning scheme under the </w:t>
      </w:r>
      <w:r w:rsidRPr="009B7B35">
        <w:rPr>
          <w:rFonts w:ascii="Arial" w:hAnsi="Arial" w:cs="Arial"/>
          <w:i/>
          <w:sz w:val="20"/>
          <w:szCs w:val="20"/>
        </w:rPr>
        <w:t>Planning Act 2016</w:t>
      </w:r>
      <w:r w:rsidRPr="009B7B35">
        <w:rPr>
          <w:rFonts w:ascii="Arial" w:hAnsi="Arial" w:cs="Arial"/>
          <w:sz w:val="20"/>
          <w:szCs w:val="20"/>
        </w:rPr>
        <w:t xml:space="preserve">. The Plan of development is largely influenced by the accompanying detailed planning, environmental, social and infrastructure studies and also demonstrates compliance with the Strategic framework. </w:t>
      </w:r>
    </w:p>
    <w:p w14:paraId="6A9B362A" w14:textId="77777777" w:rsidR="00BE36FB" w:rsidRPr="009B7B35" w:rsidRDefault="00BE36FB" w:rsidP="001A7107">
      <w:pPr>
        <w:rPr>
          <w:rFonts w:ascii="Arial" w:hAnsi="Arial" w:cs="Arial"/>
          <w:sz w:val="20"/>
          <w:szCs w:val="20"/>
        </w:rPr>
      </w:pPr>
    </w:p>
    <w:p w14:paraId="5F79D634" w14:textId="77777777" w:rsidR="00BE36FB" w:rsidRPr="009B7B35" w:rsidRDefault="00BE36FB" w:rsidP="001A7107">
      <w:pPr>
        <w:rPr>
          <w:rFonts w:ascii="Arial" w:hAnsi="Arial" w:cs="Arial"/>
          <w:sz w:val="20"/>
          <w:szCs w:val="20"/>
        </w:rPr>
      </w:pPr>
      <w:r w:rsidRPr="009B7B35">
        <w:rPr>
          <w:rFonts w:ascii="Arial" w:hAnsi="Arial" w:cs="Arial"/>
          <w:sz w:val="20"/>
          <w:szCs w:val="20"/>
        </w:rPr>
        <w:t>The Plan of development is to demonstrate:</w:t>
      </w:r>
    </w:p>
    <w:p w14:paraId="601B66C6" w14:textId="77777777" w:rsidR="00BE36FB" w:rsidRPr="009B7B35" w:rsidRDefault="00BE36FB" w:rsidP="00BE36FB">
      <w:pPr>
        <w:numPr>
          <w:ilvl w:val="0"/>
          <w:numId w:val="867"/>
        </w:numPr>
        <w:rPr>
          <w:rFonts w:ascii="Arial" w:hAnsi="Arial" w:cs="Arial"/>
          <w:sz w:val="20"/>
          <w:szCs w:val="20"/>
        </w:rPr>
      </w:pPr>
      <w:r w:rsidRPr="009B7B35">
        <w:rPr>
          <w:rFonts w:ascii="Arial" w:hAnsi="Arial" w:cs="Arial"/>
          <w:sz w:val="20"/>
          <w:szCs w:val="20"/>
        </w:rPr>
        <w:t>How the lot layout/design of the proposal responds to specific opportunities and constraints both onsite and within the surrounding locality;</w:t>
      </w:r>
    </w:p>
    <w:p w14:paraId="1642AAA0" w14:textId="77777777" w:rsidR="00BE36FB" w:rsidRPr="009B7B35" w:rsidRDefault="00BE36FB" w:rsidP="00BE36FB">
      <w:pPr>
        <w:numPr>
          <w:ilvl w:val="0"/>
          <w:numId w:val="867"/>
        </w:numPr>
        <w:rPr>
          <w:rFonts w:ascii="Arial" w:hAnsi="Arial" w:cs="Arial"/>
          <w:sz w:val="20"/>
          <w:szCs w:val="20"/>
        </w:rPr>
      </w:pPr>
      <w:r w:rsidRPr="009B7B35">
        <w:rPr>
          <w:rFonts w:ascii="Arial" w:hAnsi="Arial" w:cs="Arial"/>
          <w:sz w:val="20"/>
          <w:szCs w:val="20"/>
        </w:rPr>
        <w:t>How the lot layout/design of the proposal results in a highly integrated development/community which does not result in adverse impacts to neighbouring properties or the locality;</w:t>
      </w:r>
    </w:p>
    <w:p w14:paraId="169876CC" w14:textId="77777777" w:rsidR="00BE36FB" w:rsidRPr="009B7B35" w:rsidRDefault="00BE36FB" w:rsidP="00BE36FB">
      <w:pPr>
        <w:numPr>
          <w:ilvl w:val="0"/>
          <w:numId w:val="867"/>
        </w:numPr>
        <w:rPr>
          <w:rFonts w:ascii="Arial" w:hAnsi="Arial" w:cs="Arial"/>
          <w:sz w:val="20"/>
          <w:szCs w:val="20"/>
        </w:rPr>
      </w:pPr>
      <w:r w:rsidRPr="009B7B35">
        <w:rPr>
          <w:rFonts w:ascii="Arial" w:hAnsi="Arial" w:cs="Arial"/>
          <w:sz w:val="20"/>
          <w:szCs w:val="20"/>
        </w:rPr>
        <w:t xml:space="preserve">How the staging of the proposal results in the timely provision of physical and social infrastructure which meets the needs to the community and does not place unreasonable economic burden on the community; and </w:t>
      </w:r>
    </w:p>
    <w:p w14:paraId="72122C33" w14:textId="77777777" w:rsidR="00BE36FB" w:rsidRPr="009B7B35" w:rsidRDefault="00BE36FB" w:rsidP="00BE36FB">
      <w:pPr>
        <w:numPr>
          <w:ilvl w:val="0"/>
          <w:numId w:val="867"/>
        </w:numPr>
        <w:rPr>
          <w:rFonts w:ascii="Arial" w:hAnsi="Arial" w:cs="Arial"/>
          <w:sz w:val="20"/>
          <w:szCs w:val="20"/>
        </w:rPr>
      </w:pPr>
      <w:r w:rsidRPr="009B7B35">
        <w:rPr>
          <w:rFonts w:ascii="Arial" w:hAnsi="Arial" w:cs="Arial"/>
          <w:sz w:val="20"/>
          <w:szCs w:val="20"/>
        </w:rPr>
        <w:t>How the proposed variations to the Planning scheme comply with the intent of the Strategic framework and other Planning scheme provisions to such an extent considered acceptable by the Planning scheme.</w:t>
      </w:r>
    </w:p>
    <w:p w14:paraId="3E36944B" w14:textId="77777777" w:rsidR="00BE36FB" w:rsidRPr="009B7B35" w:rsidRDefault="00BE36FB" w:rsidP="007A46D8">
      <w:pPr>
        <w:pStyle w:val="Heading8"/>
        <w:numPr>
          <w:ilvl w:val="7"/>
          <w:numId w:val="834"/>
        </w:numPr>
        <w:rPr>
          <w:rFonts w:ascii="Arial" w:hAnsi="Arial" w:cs="Arial"/>
          <w:sz w:val="20"/>
        </w:rPr>
      </w:pPr>
      <w:bookmarkStart w:id="329" w:name="_Toc205367442"/>
      <w:r w:rsidRPr="009B7B35">
        <w:rPr>
          <w:rFonts w:ascii="Arial" w:hAnsi="Arial" w:cs="Arial"/>
          <w:sz w:val="20"/>
        </w:rPr>
        <w:t>Guidelines and process for preparing a plan of development</w:t>
      </w:r>
      <w:bookmarkEnd w:id="329"/>
    </w:p>
    <w:p w14:paraId="4EE3CD26" w14:textId="77777777" w:rsidR="00BE36FB" w:rsidRPr="009B7B35" w:rsidRDefault="00BE36FB" w:rsidP="001A7107">
      <w:pPr>
        <w:rPr>
          <w:rFonts w:ascii="Arial" w:hAnsi="Arial" w:cs="Arial"/>
          <w:sz w:val="20"/>
          <w:szCs w:val="20"/>
          <w:lang w:eastAsia="en-US"/>
        </w:rPr>
      </w:pPr>
      <w:r w:rsidRPr="009B7B35">
        <w:rPr>
          <w:rFonts w:ascii="Arial" w:hAnsi="Arial" w:cs="Arial"/>
          <w:sz w:val="20"/>
          <w:szCs w:val="20"/>
        </w:rPr>
        <w:t>A Plan of development should demonstrate how the proposal has responded to the various planning, urban design, engineering, environmental and social issues raised through the various Planning scheme codes. A Plan of development is informed and created through the synthesis of three components which are outlined below:</w:t>
      </w:r>
    </w:p>
    <w:p w14:paraId="144204B9" w14:textId="77777777" w:rsidR="00BE36FB" w:rsidRPr="009B7B35" w:rsidRDefault="00BE36FB" w:rsidP="00BE36FB">
      <w:pPr>
        <w:numPr>
          <w:ilvl w:val="0"/>
          <w:numId w:val="845"/>
        </w:numPr>
        <w:rPr>
          <w:rFonts w:ascii="Arial" w:hAnsi="Arial" w:cs="Arial"/>
          <w:sz w:val="20"/>
          <w:szCs w:val="20"/>
        </w:rPr>
      </w:pPr>
      <w:r w:rsidRPr="009B7B35">
        <w:rPr>
          <w:rFonts w:ascii="Arial" w:hAnsi="Arial" w:cs="Arial"/>
          <w:b/>
          <w:sz w:val="20"/>
          <w:szCs w:val="20"/>
        </w:rPr>
        <w:t>Contextual assessment</w:t>
      </w:r>
      <w:r w:rsidRPr="009B7B35">
        <w:rPr>
          <w:rFonts w:ascii="Arial" w:hAnsi="Arial" w:cs="Arial"/>
          <w:sz w:val="20"/>
          <w:szCs w:val="20"/>
        </w:rPr>
        <w:t xml:space="preserve"> - this is to include higher level assessment of the regional and local context and the nature of development in surrounding areas. The assessment is to inform the integration of the proposal with established areas in terms of connectivity, land use and development density. Matters to be addressed but limited to are:</w:t>
      </w:r>
    </w:p>
    <w:p w14:paraId="43BBDF7C"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Strategic intent, strategic outcomes and elements of the Strategic framework that relate to the proposal and how the proposal aligns with these; and</w:t>
      </w:r>
    </w:p>
    <w:p w14:paraId="19796D51"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Demonstration of clear economic and community need in accordance with SC6.4.</w:t>
      </w:r>
    </w:p>
    <w:p w14:paraId="62638B06" w14:textId="77777777" w:rsidR="00BE36FB" w:rsidRPr="009B7B35" w:rsidRDefault="00BE36FB" w:rsidP="00BE36FB">
      <w:pPr>
        <w:numPr>
          <w:ilvl w:val="0"/>
          <w:numId w:val="845"/>
        </w:numPr>
        <w:rPr>
          <w:rFonts w:ascii="Arial" w:hAnsi="Arial" w:cs="Arial"/>
          <w:sz w:val="20"/>
          <w:szCs w:val="20"/>
        </w:rPr>
      </w:pPr>
      <w:r w:rsidRPr="009B7B35">
        <w:rPr>
          <w:rFonts w:ascii="Arial" w:hAnsi="Arial" w:cs="Arial"/>
          <w:b/>
          <w:sz w:val="20"/>
          <w:szCs w:val="20"/>
        </w:rPr>
        <w:t>Site analysis</w:t>
      </w:r>
      <w:r w:rsidRPr="009B7B35">
        <w:rPr>
          <w:rFonts w:ascii="Arial" w:hAnsi="Arial" w:cs="Arial"/>
          <w:sz w:val="20"/>
          <w:szCs w:val="20"/>
        </w:rPr>
        <w:t xml:space="preserve"> - this should identify constraints and opportunities of the development area in the form of technical studies and include but be not limited to:</w:t>
      </w:r>
    </w:p>
    <w:p w14:paraId="1FD953C7"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Key access points and road networks, including level and hierarchy;</w:t>
      </w:r>
    </w:p>
    <w:p w14:paraId="6F6FB0AA"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Public transport routes;</w:t>
      </w:r>
    </w:p>
    <w:p w14:paraId="2AD94C84"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Pedestrian and cyclist networks;</w:t>
      </w:r>
    </w:p>
    <w:p w14:paraId="6D592703"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Infrastructure and service corridors (transmission lines, water, sewer and gas pipelines);</w:t>
      </w:r>
    </w:p>
    <w:p w14:paraId="103A8DBC"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State or local places of heritage significance or matters relating to native title;</w:t>
      </w:r>
    </w:p>
    <w:p w14:paraId="315C31A6"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Surrounding incompatible land uses (agricultural land, extractive resources, industry, community infrastructure, sensitive land uses);</w:t>
      </w:r>
    </w:p>
    <w:p w14:paraId="38E98AAB"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Open space networks (including waterways);</w:t>
      </w:r>
    </w:p>
    <w:p w14:paraId="72798208"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Stormwater management infrastructure (including overland flow paths); and</w:t>
      </w:r>
    </w:p>
    <w:p w14:paraId="3A7E6AC9"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 xml:space="preserve">Environmental values and constraints (ecologically significant areas, bushfire, topography, steep land, flood natural hazard, coastal natural hazard, acid sulfate soils, land contamination. </w:t>
      </w:r>
    </w:p>
    <w:p w14:paraId="1ED380DB" w14:textId="77777777" w:rsidR="00BE36FB" w:rsidRPr="009B7B35" w:rsidRDefault="00BE36FB" w:rsidP="00BE36FB">
      <w:pPr>
        <w:numPr>
          <w:ilvl w:val="0"/>
          <w:numId w:val="845"/>
        </w:numPr>
        <w:rPr>
          <w:rFonts w:ascii="Arial" w:hAnsi="Arial" w:cs="Arial"/>
          <w:sz w:val="20"/>
          <w:szCs w:val="20"/>
        </w:rPr>
      </w:pPr>
      <w:r w:rsidRPr="009B7B35">
        <w:rPr>
          <w:rFonts w:ascii="Arial" w:hAnsi="Arial" w:cs="Arial"/>
          <w:b/>
          <w:sz w:val="20"/>
          <w:szCs w:val="20"/>
        </w:rPr>
        <w:t>Preparation of the Plan of development</w:t>
      </w:r>
      <w:r w:rsidRPr="009B7B35">
        <w:rPr>
          <w:rFonts w:ascii="Arial" w:hAnsi="Arial" w:cs="Arial"/>
          <w:sz w:val="20"/>
          <w:szCs w:val="20"/>
        </w:rPr>
        <w:t xml:space="preserve"> - should demonstrate the clear responses to components 1 and 2 and describe how the proposed planned outcome integrates these components. Matters to be addressed include but are not limited to:</w:t>
      </w:r>
    </w:p>
    <w:p w14:paraId="33031140"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Proposed additions and linkages to the components found in Part 2 (road networks, public transport routes, pedestrian and cycle networks);</w:t>
      </w:r>
    </w:p>
    <w:p w14:paraId="17B986DD"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Interface with incompatible land uses (agricultural land, extractive resources, industry, community infrastructure and sensitive land uses);</w:t>
      </w:r>
    </w:p>
    <w:p w14:paraId="4377921E"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Response to environmental values and constraints;</w:t>
      </w:r>
    </w:p>
    <w:p w14:paraId="5D2D6DD3"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Proposed landform variations (preliminary earthwork design/intent where change to ground level is proposed or where subsequent development is to utilise slope sensitive design);</w:t>
      </w:r>
    </w:p>
    <w:p w14:paraId="32DB2B31"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Lot yields, densities, Gross floor areas for each part of the site (including planned infrastructure demand arising from management lots on a standalone subdivision);</w:t>
      </w:r>
    </w:p>
    <w:p w14:paraId="1D14D417"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Building envelopes where proposed;</w:t>
      </w:r>
    </w:p>
    <w:p w14:paraId="43192F4D"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Details of proposed staging of the development; and</w:t>
      </w:r>
    </w:p>
    <w:p w14:paraId="3838789C"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End zone recommendations to be applied upon completion of the development.</w:t>
      </w:r>
    </w:p>
    <w:p w14:paraId="6977D821"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In some circumstances, a code that reflects the above but not limited to:</w:t>
      </w:r>
    </w:p>
    <w:p w14:paraId="35AB5390"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Preamble as to how the code is to be read in accordance with the Planning scheme;</w:t>
      </w:r>
    </w:p>
    <w:p w14:paraId="08B19288"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Level of assessment for the development should the code vary the Planning scheme;</w:t>
      </w:r>
    </w:p>
    <w:p w14:paraId="1F4F2F5E"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 xml:space="preserve">Purpose and Overall outcomes for the development should the code vary the Planning Scheme; and </w:t>
      </w:r>
    </w:p>
    <w:p w14:paraId="3BD8F953"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 xml:space="preserve">Performance and Acceptable outcomes for the development should the code vary the Planning scheme. This may include relevant siting and design standards that deal with respective built form types, minimum lot sizes and other relevant planning outcomes. </w:t>
      </w:r>
    </w:p>
    <w:p w14:paraId="0DE1A645" w14:textId="77777777" w:rsidR="00BE36FB" w:rsidRPr="009B7B35" w:rsidRDefault="00BE36FB" w:rsidP="001A7107">
      <w:pPr>
        <w:rPr>
          <w:rFonts w:ascii="Arial" w:hAnsi="Arial" w:cs="Arial"/>
          <w:sz w:val="20"/>
          <w:szCs w:val="20"/>
        </w:rPr>
      </w:pPr>
    </w:p>
    <w:p w14:paraId="24B452A0"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Plan of development should extend outside of the proposed development area to a scale necessary to demonstrate how the layout and design of the development addresses external site opportunities and constraints and contributes to an integrated community, while not negatively impacting the development of adjoining sites. </w:t>
      </w:r>
    </w:p>
    <w:p w14:paraId="34D28863" w14:textId="77777777" w:rsidR="00BE36FB" w:rsidRPr="009B7B35" w:rsidRDefault="00BE36FB" w:rsidP="007A46D8">
      <w:pPr>
        <w:pStyle w:val="Heading8"/>
        <w:numPr>
          <w:ilvl w:val="7"/>
          <w:numId w:val="834"/>
        </w:numPr>
        <w:rPr>
          <w:rFonts w:ascii="Arial" w:hAnsi="Arial" w:cs="Arial"/>
          <w:sz w:val="20"/>
        </w:rPr>
      </w:pPr>
      <w:bookmarkStart w:id="330" w:name="_Toc205367443"/>
      <w:r w:rsidRPr="009B7B35">
        <w:rPr>
          <w:rFonts w:ascii="Arial" w:hAnsi="Arial" w:cs="Arial"/>
          <w:sz w:val="20"/>
        </w:rPr>
        <w:t>Varying codes</w:t>
      </w:r>
      <w:bookmarkEnd w:id="330"/>
    </w:p>
    <w:p w14:paraId="0BC703A7" w14:textId="77777777" w:rsidR="00BE36FB" w:rsidRPr="009B7B35" w:rsidRDefault="00BE36FB" w:rsidP="001A7107">
      <w:pPr>
        <w:rPr>
          <w:rFonts w:ascii="Arial" w:hAnsi="Arial" w:cs="Arial"/>
          <w:sz w:val="20"/>
          <w:szCs w:val="20"/>
        </w:rPr>
      </w:pPr>
      <w:r w:rsidRPr="009B7B35">
        <w:rPr>
          <w:rFonts w:ascii="Arial" w:hAnsi="Arial" w:cs="Arial"/>
          <w:sz w:val="20"/>
          <w:szCs w:val="20"/>
        </w:rPr>
        <w:t>A Variation approval may seek to affect the Planning scheme by varying an existing code or by creating a new code. If the development seeks to vary the effect of a code identified in the Planning scheme, the proposal should include a copy of the Planning scheme code and a copy of the proposed variation to the code, with a written statement about the differences between the two codes. Any new codes or variations to codes must be drafted in a way that reflects the format and structure of codes in the Planning scheme. Council will not accept Plans of development which include codes which are drafted outside of the prescribed format of the current Planning scheme.</w:t>
      </w:r>
    </w:p>
    <w:p w14:paraId="6CE3CE4B" w14:textId="77777777" w:rsidR="00BE36FB" w:rsidRPr="009B7B35" w:rsidRDefault="00BE36FB" w:rsidP="001A7107">
      <w:pPr>
        <w:rPr>
          <w:rFonts w:ascii="Arial" w:hAnsi="Arial" w:cs="Arial"/>
          <w:sz w:val="20"/>
          <w:szCs w:val="20"/>
        </w:rPr>
      </w:pPr>
    </w:p>
    <w:p w14:paraId="7A6E0F06"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Council’s preference is for a zone of the Planning scheme to be applied together with a Plan of development that may identify alternative built form or scale/intensity outcomes through alternative acceptable outcomes of Planning scheme codes. These built form variations should be accompanied by the appropriate urban design documentation including building typologies, 3D photomontages and massing plans. </w:t>
      </w:r>
    </w:p>
    <w:p w14:paraId="6B435C14" w14:textId="77777777" w:rsidR="00BE36FB" w:rsidRPr="009B7B35" w:rsidRDefault="00BE36FB" w:rsidP="001A7107">
      <w:pPr>
        <w:rPr>
          <w:rFonts w:ascii="Arial" w:hAnsi="Arial" w:cs="Arial"/>
          <w:sz w:val="20"/>
          <w:szCs w:val="20"/>
        </w:rPr>
      </w:pPr>
    </w:p>
    <w:p w14:paraId="123051B2"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Codes should not introduce building code matters that are outside of the scope of the Planning scheme or introduce new regulation for design elements of Dwelling houses that the Planning scheme currently does not regulate. For example, fences, energy efficiency, mail box design, colours of the house, roof or fence etc. or building appearance/materials. </w:t>
      </w:r>
    </w:p>
    <w:p w14:paraId="62BAD8D4" w14:textId="77777777" w:rsidR="00BE36FB" w:rsidRPr="009B7B35" w:rsidRDefault="00BE36FB" w:rsidP="001A7107">
      <w:pPr>
        <w:rPr>
          <w:rFonts w:ascii="Arial" w:hAnsi="Arial" w:cs="Arial"/>
          <w:sz w:val="20"/>
          <w:szCs w:val="20"/>
        </w:rPr>
      </w:pPr>
    </w:p>
    <w:p w14:paraId="351D1B93"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New land uses undefined by the Planning scheme cannot be introduced. </w:t>
      </w:r>
    </w:p>
    <w:p w14:paraId="38B7B915" w14:textId="77777777" w:rsidR="00BE36FB" w:rsidRPr="009B7B35" w:rsidRDefault="00BE36FB" w:rsidP="007A46D8">
      <w:pPr>
        <w:pStyle w:val="Heading8"/>
        <w:numPr>
          <w:ilvl w:val="7"/>
          <w:numId w:val="834"/>
        </w:numPr>
        <w:rPr>
          <w:rFonts w:ascii="Arial" w:hAnsi="Arial" w:cs="Arial"/>
          <w:sz w:val="20"/>
        </w:rPr>
      </w:pPr>
      <w:bookmarkStart w:id="331" w:name="_Toc205367444"/>
      <w:r w:rsidRPr="009B7B35">
        <w:rPr>
          <w:rFonts w:ascii="Arial" w:hAnsi="Arial" w:cs="Arial"/>
          <w:sz w:val="20"/>
        </w:rPr>
        <w:t>Varying categories of development and assessment</w:t>
      </w:r>
      <w:bookmarkEnd w:id="331"/>
    </w:p>
    <w:p w14:paraId="7B443CEE"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If the proposal seeks to vary the category of development and assessment identified in the Planning scheme, the proposal must include a copy of the provisions of the Planning scheme that prescribe the category of development and assessment and a copy of the proposed category of development and assessment table. This is accompanied with a written statement of the differences between the two documents. Any new category of development and assessment tables, or variations to existing tables, must be drafted in a way that reflects the format and structure of level of assessment tables in the Planning scheme. </w:t>
      </w:r>
    </w:p>
    <w:p w14:paraId="03E282A8" w14:textId="77777777" w:rsidR="00BE36FB" w:rsidRPr="009B7B35" w:rsidRDefault="00BE36FB" w:rsidP="007A46D8">
      <w:pPr>
        <w:pStyle w:val="Heading7"/>
        <w:numPr>
          <w:ilvl w:val="6"/>
          <w:numId w:val="834"/>
        </w:numPr>
        <w:rPr>
          <w:rFonts w:cs="Arial"/>
          <w:sz w:val="20"/>
          <w:szCs w:val="20"/>
        </w:rPr>
      </w:pPr>
      <w:bookmarkStart w:id="332" w:name="_Toc205367445"/>
      <w:r w:rsidRPr="009B7B35">
        <w:rPr>
          <w:rFonts w:cs="Arial"/>
          <w:sz w:val="20"/>
          <w:szCs w:val="20"/>
        </w:rPr>
        <w:t>Community and economic needs assessment</w:t>
      </w:r>
      <w:bookmarkEnd w:id="332"/>
    </w:p>
    <w:p w14:paraId="23BB14D1" w14:textId="77777777" w:rsidR="00BE36FB" w:rsidRPr="009B7B35" w:rsidRDefault="00BE36FB" w:rsidP="007A46D8">
      <w:pPr>
        <w:pStyle w:val="Heading8"/>
        <w:numPr>
          <w:ilvl w:val="7"/>
          <w:numId w:val="834"/>
        </w:numPr>
        <w:rPr>
          <w:rFonts w:ascii="Arial" w:hAnsi="Arial" w:cs="Arial"/>
          <w:sz w:val="20"/>
        </w:rPr>
      </w:pPr>
      <w:bookmarkStart w:id="333" w:name="_Toc205367446"/>
      <w:r w:rsidRPr="009B7B35">
        <w:rPr>
          <w:rFonts w:ascii="Arial" w:hAnsi="Arial" w:cs="Arial"/>
          <w:sz w:val="20"/>
        </w:rPr>
        <w:t>Purpose</w:t>
      </w:r>
      <w:bookmarkEnd w:id="333"/>
    </w:p>
    <w:p w14:paraId="5B1A48BA" w14:textId="77777777" w:rsidR="00BE36FB" w:rsidRPr="009B7B35" w:rsidRDefault="00BE36FB" w:rsidP="001A7107">
      <w:pPr>
        <w:rPr>
          <w:rFonts w:ascii="Arial" w:hAnsi="Arial" w:cs="Arial"/>
          <w:sz w:val="20"/>
          <w:szCs w:val="20"/>
        </w:rPr>
      </w:pPr>
      <w:r w:rsidRPr="009B7B35">
        <w:rPr>
          <w:rFonts w:ascii="Arial" w:hAnsi="Arial" w:cs="Arial"/>
          <w:sz w:val="20"/>
          <w:szCs w:val="20"/>
        </w:rPr>
        <w:t>The purpose of this planning scheme policy is to:</w:t>
      </w:r>
    </w:p>
    <w:p w14:paraId="1A64E742" w14:textId="77777777" w:rsidR="00BE36FB" w:rsidRPr="009B7B35" w:rsidRDefault="00BE36FB" w:rsidP="00BE36FB">
      <w:pPr>
        <w:numPr>
          <w:ilvl w:val="0"/>
          <w:numId w:val="874"/>
        </w:numPr>
        <w:rPr>
          <w:rFonts w:ascii="Arial" w:hAnsi="Arial" w:cs="Arial"/>
          <w:sz w:val="20"/>
          <w:szCs w:val="20"/>
        </w:rPr>
      </w:pPr>
      <w:r w:rsidRPr="009B7B35">
        <w:rPr>
          <w:rFonts w:ascii="Arial" w:hAnsi="Arial" w:cs="Arial"/>
          <w:sz w:val="20"/>
          <w:szCs w:val="20"/>
        </w:rPr>
        <w:t xml:space="preserve">Provide the guidelines and format for the information required to make community and economic need assessment in support of a Development application.  </w:t>
      </w:r>
    </w:p>
    <w:p w14:paraId="2C0880BB" w14:textId="77777777" w:rsidR="00BE36FB" w:rsidRPr="009B7B35" w:rsidRDefault="00BE36FB" w:rsidP="007A46D8">
      <w:pPr>
        <w:pStyle w:val="Heading8"/>
        <w:numPr>
          <w:ilvl w:val="7"/>
          <w:numId w:val="834"/>
        </w:numPr>
        <w:rPr>
          <w:rFonts w:ascii="Arial" w:hAnsi="Arial" w:cs="Arial"/>
          <w:sz w:val="20"/>
        </w:rPr>
      </w:pPr>
      <w:bookmarkStart w:id="334" w:name="_Toc205367447"/>
      <w:r w:rsidRPr="009B7B35">
        <w:rPr>
          <w:rFonts w:ascii="Arial" w:hAnsi="Arial" w:cs="Arial"/>
          <w:sz w:val="20"/>
        </w:rPr>
        <w:t>Application</w:t>
      </w:r>
      <w:bookmarkEnd w:id="334"/>
    </w:p>
    <w:p w14:paraId="5D3F50C9" w14:textId="77777777" w:rsidR="00BE36FB" w:rsidRPr="009B7B35" w:rsidRDefault="00BE36FB" w:rsidP="001A7107">
      <w:pPr>
        <w:rPr>
          <w:rFonts w:ascii="Arial" w:hAnsi="Arial" w:cs="Arial"/>
          <w:sz w:val="20"/>
          <w:szCs w:val="20"/>
          <w:highlight w:val="yellow"/>
        </w:rPr>
      </w:pPr>
      <w:r w:rsidRPr="009B7B35">
        <w:rPr>
          <w:rFonts w:ascii="Arial" w:hAnsi="Arial" w:cs="Arial"/>
          <w:sz w:val="20"/>
          <w:szCs w:val="20"/>
        </w:rPr>
        <w:t xml:space="preserve">This planning scheme policy applies to Development applications for a Material change of use or Reconfiguration of a lot where a Variation approval is sought under the </w:t>
      </w:r>
      <w:r w:rsidRPr="009B7B35">
        <w:rPr>
          <w:rFonts w:ascii="Arial" w:hAnsi="Arial" w:cs="Arial"/>
          <w:i/>
          <w:sz w:val="20"/>
          <w:szCs w:val="20"/>
        </w:rPr>
        <w:t>Planning Act 2016</w:t>
      </w:r>
      <w:r w:rsidRPr="009B7B35">
        <w:rPr>
          <w:rFonts w:ascii="Arial" w:hAnsi="Arial" w:cs="Arial"/>
          <w:sz w:val="20"/>
          <w:szCs w:val="20"/>
        </w:rPr>
        <w:t>. Community and economic needs assessments are required when the demand for the desired development outcome may not be known or exist at the time of lodgement.  Community and economic needs assessments form part of the basis for determining whether sufficient grounds exist to support a Development application where the proposal is inconsistent with the Strategic Framework of the Planning scheme.</w:t>
      </w:r>
    </w:p>
    <w:p w14:paraId="610B1A77" w14:textId="77777777" w:rsidR="00BE36FB" w:rsidRPr="009B7B35" w:rsidRDefault="00BE36FB" w:rsidP="007A46D8">
      <w:pPr>
        <w:pStyle w:val="Heading8"/>
        <w:numPr>
          <w:ilvl w:val="7"/>
          <w:numId w:val="834"/>
        </w:numPr>
        <w:rPr>
          <w:rFonts w:ascii="Arial" w:hAnsi="Arial" w:cs="Arial"/>
          <w:sz w:val="20"/>
        </w:rPr>
      </w:pPr>
      <w:bookmarkStart w:id="335" w:name="_Toc205367448"/>
      <w:r w:rsidRPr="009B7B35">
        <w:rPr>
          <w:rFonts w:ascii="Arial" w:hAnsi="Arial" w:cs="Arial"/>
          <w:sz w:val="20"/>
        </w:rPr>
        <w:t>What is a Community and economic needs assessment</w:t>
      </w:r>
      <w:bookmarkEnd w:id="335"/>
      <w:r w:rsidRPr="009B7B35">
        <w:rPr>
          <w:rFonts w:ascii="Arial" w:hAnsi="Arial" w:cs="Arial"/>
          <w:sz w:val="20"/>
        </w:rPr>
        <w:t xml:space="preserve"> </w:t>
      </w:r>
    </w:p>
    <w:p w14:paraId="02033335"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Gladstone region has long been characterised by periods of rapid population growth followed by more stable phases - placing fluctuating demands on the regions centres and residential housing supplies. Whilst this growth has occurred in preferred locations, this cycle has led to issues in both undersupply and oversupply of which the former Planning schemes have struggled to address. </w:t>
      </w:r>
    </w:p>
    <w:p w14:paraId="4FD021EA" w14:textId="77777777" w:rsidR="00BE36FB" w:rsidRPr="009B7B35" w:rsidRDefault="00BE36FB" w:rsidP="001A7107">
      <w:pPr>
        <w:rPr>
          <w:rFonts w:ascii="Arial" w:hAnsi="Arial" w:cs="Arial"/>
          <w:sz w:val="20"/>
          <w:szCs w:val="20"/>
        </w:rPr>
      </w:pPr>
    </w:p>
    <w:p w14:paraId="7EB1E78C" w14:textId="77777777" w:rsidR="00BE36FB" w:rsidRPr="009B7B35" w:rsidRDefault="00BE36FB" w:rsidP="001A7107">
      <w:pPr>
        <w:rPr>
          <w:rFonts w:ascii="Arial" w:hAnsi="Arial" w:cs="Arial"/>
          <w:sz w:val="20"/>
          <w:szCs w:val="20"/>
        </w:rPr>
      </w:pPr>
      <w:r w:rsidRPr="009B7B35">
        <w:rPr>
          <w:rFonts w:ascii="Arial" w:hAnsi="Arial" w:cs="Arial"/>
          <w:sz w:val="20"/>
          <w:szCs w:val="20"/>
        </w:rPr>
        <w:t>In response to this, the Strategic Framework seeks to protect the economic viability and long term function of existing and future centres as well as to ensure that residential development occurs in step with community need. A community and economic needs assessment is the primary supporting document used to justify whether there is need for a particular proposed development and whether such a proposal will have any adverse impacts to the existing social, economic and urban fabric of the immediate and surrounding locality. These impacts include:</w:t>
      </w:r>
    </w:p>
    <w:p w14:paraId="0A0CD907" w14:textId="77777777" w:rsidR="00BE36FB" w:rsidRPr="009B7B35" w:rsidRDefault="00BE36FB" w:rsidP="001A7107">
      <w:pPr>
        <w:rPr>
          <w:rFonts w:ascii="Arial" w:hAnsi="Arial" w:cs="Arial"/>
          <w:sz w:val="20"/>
          <w:szCs w:val="20"/>
        </w:rPr>
      </w:pPr>
    </w:p>
    <w:p w14:paraId="29EE9C10" w14:textId="77777777" w:rsidR="00BE36FB" w:rsidRPr="009B7B35" w:rsidRDefault="00BE36FB" w:rsidP="00BE36FB">
      <w:pPr>
        <w:numPr>
          <w:ilvl w:val="0"/>
          <w:numId w:val="869"/>
        </w:numPr>
        <w:rPr>
          <w:rFonts w:ascii="Arial" w:hAnsi="Arial" w:cs="Arial"/>
          <w:sz w:val="20"/>
          <w:szCs w:val="20"/>
        </w:rPr>
      </w:pPr>
      <w:r w:rsidRPr="009B7B35">
        <w:rPr>
          <w:rFonts w:ascii="Arial" w:hAnsi="Arial" w:cs="Arial"/>
          <w:sz w:val="20"/>
          <w:szCs w:val="20"/>
        </w:rPr>
        <w:t xml:space="preserve">Whether a proposal may negatively impact on an existing centre to the point where it may become economically unsustainable or whether it will enhance the viability of an existing centre; </w:t>
      </w:r>
    </w:p>
    <w:p w14:paraId="41E5E655" w14:textId="77777777" w:rsidR="00BE36FB" w:rsidRPr="009B7B35" w:rsidRDefault="00BE36FB" w:rsidP="00BE36FB">
      <w:pPr>
        <w:numPr>
          <w:ilvl w:val="0"/>
          <w:numId w:val="869"/>
        </w:numPr>
        <w:rPr>
          <w:rFonts w:ascii="Arial" w:hAnsi="Arial" w:cs="Arial"/>
          <w:sz w:val="20"/>
          <w:szCs w:val="20"/>
        </w:rPr>
      </w:pPr>
      <w:r w:rsidRPr="009B7B35">
        <w:rPr>
          <w:rFonts w:ascii="Arial" w:hAnsi="Arial" w:cs="Arial"/>
          <w:sz w:val="20"/>
          <w:szCs w:val="20"/>
        </w:rPr>
        <w:t xml:space="preserve">Whether a proposal may create unnecessary community and economic hardship or alleviate existing or emerging issues; and  </w:t>
      </w:r>
    </w:p>
    <w:p w14:paraId="2BC22086" w14:textId="77777777" w:rsidR="00BE36FB" w:rsidRPr="009B7B35" w:rsidRDefault="00BE36FB" w:rsidP="00BE36FB">
      <w:pPr>
        <w:numPr>
          <w:ilvl w:val="0"/>
          <w:numId w:val="869"/>
        </w:numPr>
        <w:rPr>
          <w:rFonts w:ascii="Arial" w:hAnsi="Arial" w:cs="Arial"/>
          <w:sz w:val="20"/>
          <w:szCs w:val="20"/>
        </w:rPr>
      </w:pPr>
      <w:r w:rsidRPr="009B7B35">
        <w:rPr>
          <w:rFonts w:ascii="Arial" w:hAnsi="Arial" w:cs="Arial"/>
          <w:sz w:val="20"/>
          <w:szCs w:val="20"/>
        </w:rPr>
        <w:t>Whether a proposal may result in adverse market conditions due to the scale of proposed increased supplies or relieve pressures on existing demands by meeting existing or emerging demands.</w:t>
      </w:r>
    </w:p>
    <w:p w14:paraId="51667FC2" w14:textId="77777777" w:rsidR="00BE36FB" w:rsidRPr="009B7B35" w:rsidRDefault="00BE36FB" w:rsidP="007A46D8">
      <w:pPr>
        <w:pStyle w:val="Heading8"/>
        <w:numPr>
          <w:ilvl w:val="7"/>
          <w:numId w:val="834"/>
        </w:numPr>
        <w:rPr>
          <w:rFonts w:ascii="Arial" w:hAnsi="Arial" w:cs="Arial"/>
          <w:sz w:val="20"/>
        </w:rPr>
      </w:pPr>
      <w:bookmarkStart w:id="336" w:name="_Toc205367449"/>
      <w:r w:rsidRPr="009B7B35">
        <w:rPr>
          <w:rFonts w:ascii="Arial" w:hAnsi="Arial" w:cs="Arial"/>
          <w:sz w:val="20"/>
        </w:rPr>
        <w:t>Guidelines and process for preparing a Community and economic needs assessment</w:t>
      </w:r>
      <w:bookmarkEnd w:id="336"/>
      <w:r w:rsidRPr="009B7B35">
        <w:rPr>
          <w:rFonts w:ascii="Arial" w:hAnsi="Arial" w:cs="Arial"/>
          <w:sz w:val="20"/>
        </w:rPr>
        <w:t xml:space="preserve"> </w:t>
      </w:r>
    </w:p>
    <w:p w14:paraId="64400F77"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A community and economic needs assessment is to include, but is not limited to, the following: </w:t>
      </w:r>
    </w:p>
    <w:p w14:paraId="089E27D8" w14:textId="77777777" w:rsidR="00BE36FB" w:rsidRPr="009B7B35" w:rsidRDefault="00BE36FB" w:rsidP="00BE36FB">
      <w:pPr>
        <w:numPr>
          <w:ilvl w:val="0"/>
          <w:numId w:val="870"/>
        </w:numPr>
        <w:rPr>
          <w:rFonts w:ascii="Arial" w:hAnsi="Arial" w:cs="Arial"/>
          <w:sz w:val="20"/>
          <w:szCs w:val="20"/>
        </w:rPr>
      </w:pPr>
      <w:r w:rsidRPr="009B7B35">
        <w:rPr>
          <w:rFonts w:ascii="Arial" w:hAnsi="Arial" w:cs="Arial"/>
          <w:b/>
          <w:sz w:val="20"/>
          <w:szCs w:val="20"/>
        </w:rPr>
        <w:t>Residential</w:t>
      </w:r>
      <w:r w:rsidRPr="009B7B35">
        <w:rPr>
          <w:rFonts w:ascii="Arial" w:hAnsi="Arial" w:cs="Arial"/>
          <w:sz w:val="20"/>
          <w:szCs w:val="20"/>
        </w:rPr>
        <w:t>:</w:t>
      </w:r>
    </w:p>
    <w:p w14:paraId="366B3441"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An outline of the purpose of the assessment;</w:t>
      </w:r>
    </w:p>
    <w:p w14:paraId="49C07096"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 xml:space="preserve">A description of the methodology used and why this methodology is appropriate for the type of proposal; </w:t>
      </w:r>
    </w:p>
    <w:p w14:paraId="76AC1590"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 description of the proposed size (lot/density/unit numbers) together with details of any pre-commitment;</w:t>
      </w:r>
    </w:p>
    <w:p w14:paraId="42C424CE"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An examination of the population growth prospects and socio-economic characteristics of the area, including socio-economic factors;</w:t>
      </w:r>
    </w:p>
    <w:p w14:paraId="79C4D776"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The identification of any approved or proposed development that may affect the proposal or be affected by the proposal (Council expects at a minimum, that all existing, under construction and approved Development permits are acknowledged and taken into consideration as part of any assessment. Council will not accept any assessments which do not accurately identify and consider all relevant development activity within the immediate and surrounding areas;</w:t>
      </w:r>
    </w:p>
    <w:p w14:paraId="0F8AC7E6"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An estimation of the demand, or likely future demand, for future residential lots, units and/or accommodation;</w:t>
      </w:r>
    </w:p>
    <w:p w14:paraId="5A238A1C"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An estimation of the market share of the proposal and commentary on changes to the supply/demand balance upon approval and implementation of the proposal, including whether the proposal would represent an excess of supply for the community;</w:t>
      </w:r>
    </w:p>
    <w:p w14:paraId="20763FEC"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 xml:space="preserve">If the proposal is located outside of the Emerging community zone, evidence that feasible alternatives in appropriately zoned locations have been investigated and assessed so that the reasoning behind the selection of the preferred site is clear. It is noted that Council will not accept justification based upon ownership of land as the primary reason for location choice; and </w:t>
      </w:r>
    </w:p>
    <w:p w14:paraId="737EFBDA"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 summary of the overall need for the proposal including a description of the potential community and economic benefits and potential negative impacts. This summary is to consider aspects other than employment through construction related roles. Historically large developments, which have a short-term increase in construction roles, generally result in low levels of long-term employment benefits. Applicants are to demonstrate the long term community and economic and outcomes such a proposal is expected to provide.</w:t>
      </w:r>
    </w:p>
    <w:p w14:paraId="6990C018" w14:textId="77777777" w:rsidR="00BE36FB" w:rsidRPr="009B7B35" w:rsidRDefault="00BE36FB" w:rsidP="00BE36FB">
      <w:pPr>
        <w:numPr>
          <w:ilvl w:val="0"/>
          <w:numId w:val="870"/>
        </w:numPr>
        <w:rPr>
          <w:rFonts w:ascii="Arial" w:hAnsi="Arial" w:cs="Arial"/>
          <w:sz w:val="20"/>
          <w:szCs w:val="20"/>
        </w:rPr>
      </w:pPr>
      <w:r w:rsidRPr="009B7B35">
        <w:rPr>
          <w:rFonts w:ascii="Arial" w:hAnsi="Arial" w:cs="Arial"/>
          <w:b/>
          <w:sz w:val="20"/>
          <w:szCs w:val="20"/>
        </w:rPr>
        <w:t>Commercial</w:t>
      </w:r>
      <w:r w:rsidRPr="009B7B35">
        <w:rPr>
          <w:rFonts w:ascii="Arial" w:hAnsi="Arial" w:cs="Arial"/>
          <w:sz w:val="20"/>
          <w:szCs w:val="20"/>
        </w:rPr>
        <w:t>:</w:t>
      </w:r>
    </w:p>
    <w:p w14:paraId="71265A1E"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An outline of the purpose of the assessment;</w:t>
      </w:r>
    </w:p>
    <w:p w14:paraId="675C2556"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 xml:space="preserve">A description of the methodology used and why this methodology is appropriate for the type of proposal; </w:t>
      </w:r>
    </w:p>
    <w:p w14:paraId="55113892"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 description of the proposed size, gross floor area, function and tenancy mix of the proposed development, together with details of any pre-commitment;</w:t>
      </w:r>
    </w:p>
    <w:p w14:paraId="10B41B33"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An examination of the business growth prospects and economic characteristics of the area, including economic factors such as demand for that type of commercial land;</w:t>
      </w:r>
    </w:p>
    <w:p w14:paraId="6884250E"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The identification of any approved or proposed development that may affect the proposal or be affected by the proposal (Council expects at a minimum, that all existing, under construction and approved Development permits are acknowledged and taken into consideration as part of any assessment. Council will not accept any assessments which do accurately reflect and consider all relevant development activity within the immediate and surrounding areas);</w:t>
      </w:r>
    </w:p>
    <w:p w14:paraId="308E6666"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The identification of the location, size, nature, function and tenancy mix of competitive business, commercial or centre uses likely to be affected by the proposal and how such a proposal may impact on these existing economic centres;</w:t>
      </w:r>
    </w:p>
    <w:p w14:paraId="61FB2880"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An estimation of the demand, or likely future demand, for business, commercial or centre floor space in the trade area and commentary on changes to the supply/demand balance upon approval of the proposal, including whether the proposal represents an excess of supply for the community or is meeting an existing or emerging demand;</w:t>
      </w:r>
    </w:p>
    <w:p w14:paraId="7B4DA158"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The identification of the impacts the proposal would have on the successful trading of other centres (including the period of time) and the identification of the impacts on the Gladstone regional centre hierarchy and functionality of existing activity centres; </w:t>
      </w:r>
    </w:p>
    <w:p w14:paraId="6C33ADEB"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If the proposal is located outside of the Emerging community zone, evidence as to why the proposal is required, including why the proposal cannot be accommodated within an existing centre. It is noted that Council will not accept justification based upon ownership of land as the primary reason for location; and</w:t>
      </w:r>
    </w:p>
    <w:p w14:paraId="15A40171"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A summary of the overall need for the proposed development including a description of the community benefits. Council requests that this summary of benefits consider aspects other than employment through construction related roles. Historically large developments, which have a short-term increase in construction roles, generally result in low levels of long-term employment benefits. Applicants are to provide comparative examples of projected long term employment numbers and indirect 'flow on' employment numbers. Applicants are to also demonstrate the long term community and economic outcomes such a proposal is expected to provide; and</w:t>
      </w:r>
    </w:p>
    <w:p w14:paraId="4FD80346" w14:textId="77777777" w:rsidR="00BE36FB" w:rsidRPr="009B7B35" w:rsidRDefault="00BE36FB" w:rsidP="00BE36FB">
      <w:pPr>
        <w:numPr>
          <w:ilvl w:val="1"/>
          <w:numId w:val="870"/>
        </w:numPr>
        <w:rPr>
          <w:rFonts w:ascii="Arial" w:hAnsi="Arial" w:cs="Arial"/>
          <w:sz w:val="20"/>
          <w:szCs w:val="20"/>
        </w:rPr>
      </w:pPr>
      <w:r w:rsidRPr="009B7B35">
        <w:rPr>
          <w:rFonts w:ascii="Arial" w:hAnsi="Arial" w:cs="Arial"/>
          <w:sz w:val="20"/>
          <w:szCs w:val="20"/>
        </w:rPr>
        <w:t>For commercial proposals that are trade area based, the definition of the trade area should have due consideration to the following:</w:t>
      </w:r>
    </w:p>
    <w:p w14:paraId="2D026940" w14:textId="77777777" w:rsidR="00BE36FB" w:rsidRPr="009B7B35" w:rsidRDefault="00BE36FB" w:rsidP="00BE36FB">
      <w:pPr>
        <w:numPr>
          <w:ilvl w:val="2"/>
          <w:numId w:val="870"/>
        </w:numPr>
        <w:rPr>
          <w:rFonts w:ascii="Arial" w:hAnsi="Arial" w:cs="Arial"/>
          <w:sz w:val="20"/>
          <w:szCs w:val="20"/>
        </w:rPr>
      </w:pPr>
      <w:r w:rsidRPr="009B7B35">
        <w:rPr>
          <w:rFonts w:ascii="Arial" w:hAnsi="Arial" w:cs="Arial"/>
          <w:sz w:val="20"/>
          <w:szCs w:val="20"/>
        </w:rPr>
        <w:t xml:space="preserve">The existing centre hierarchy and their intended strategic purpose as per the Planning scheme and other relevant competition; </w:t>
      </w:r>
    </w:p>
    <w:p w14:paraId="508C8767" w14:textId="77777777" w:rsidR="00BE36FB" w:rsidRPr="009B7B35" w:rsidRDefault="00BE36FB" w:rsidP="00BE36FB">
      <w:pPr>
        <w:numPr>
          <w:ilvl w:val="2"/>
          <w:numId w:val="870"/>
        </w:numPr>
        <w:rPr>
          <w:rFonts w:ascii="Arial" w:hAnsi="Arial" w:cs="Arial"/>
          <w:sz w:val="20"/>
          <w:szCs w:val="20"/>
        </w:rPr>
      </w:pPr>
      <w:r w:rsidRPr="009B7B35">
        <w:rPr>
          <w:rFonts w:ascii="Arial" w:hAnsi="Arial" w:cs="Arial"/>
          <w:sz w:val="20"/>
          <w:szCs w:val="20"/>
        </w:rPr>
        <w:t>The nature, scale and functionality (higher/lower order services) of the proposal including the target market;</w:t>
      </w:r>
    </w:p>
    <w:p w14:paraId="3A335B60" w14:textId="77777777" w:rsidR="00BE36FB" w:rsidRPr="009B7B35" w:rsidRDefault="00BE36FB" w:rsidP="00BE36FB">
      <w:pPr>
        <w:numPr>
          <w:ilvl w:val="2"/>
          <w:numId w:val="870"/>
        </w:numPr>
        <w:rPr>
          <w:rFonts w:ascii="Arial" w:hAnsi="Arial" w:cs="Arial"/>
          <w:sz w:val="20"/>
          <w:szCs w:val="20"/>
        </w:rPr>
      </w:pPr>
      <w:r w:rsidRPr="009B7B35">
        <w:rPr>
          <w:rFonts w:ascii="Arial" w:hAnsi="Arial" w:cs="Arial"/>
          <w:sz w:val="20"/>
          <w:szCs w:val="20"/>
        </w:rPr>
        <w:t>The nature of the potential users of the development (e.g. residents, workers, students, other businesses);</w:t>
      </w:r>
    </w:p>
    <w:p w14:paraId="5F454D5C" w14:textId="77777777" w:rsidR="00BE36FB" w:rsidRPr="009B7B35" w:rsidRDefault="00BE36FB" w:rsidP="00BE36FB">
      <w:pPr>
        <w:numPr>
          <w:ilvl w:val="2"/>
          <w:numId w:val="870"/>
        </w:numPr>
        <w:rPr>
          <w:rFonts w:ascii="Arial" w:hAnsi="Arial" w:cs="Arial"/>
          <w:sz w:val="20"/>
          <w:szCs w:val="20"/>
        </w:rPr>
      </w:pPr>
      <w:r w:rsidRPr="009B7B35">
        <w:rPr>
          <w:rFonts w:ascii="Arial" w:hAnsi="Arial" w:cs="Arial"/>
          <w:sz w:val="20"/>
          <w:szCs w:val="20"/>
        </w:rPr>
        <w:t xml:space="preserve">Typical travel routes of potential users of the development including whether trips are intended to be local, district, regional or inter-regional; </w:t>
      </w:r>
    </w:p>
    <w:p w14:paraId="00B5BA50" w14:textId="77777777" w:rsidR="00BE36FB" w:rsidRPr="009B7B35" w:rsidRDefault="00BE36FB" w:rsidP="00BE36FB">
      <w:pPr>
        <w:numPr>
          <w:ilvl w:val="2"/>
          <w:numId w:val="870"/>
        </w:numPr>
        <w:rPr>
          <w:rFonts w:ascii="Arial" w:hAnsi="Arial" w:cs="Arial"/>
          <w:sz w:val="20"/>
          <w:szCs w:val="20"/>
        </w:rPr>
      </w:pPr>
      <w:r w:rsidRPr="009B7B35">
        <w:rPr>
          <w:rFonts w:ascii="Arial" w:hAnsi="Arial" w:cs="Arial"/>
          <w:sz w:val="20"/>
          <w:szCs w:val="20"/>
        </w:rPr>
        <w:t>The attracting capacity of any neighbouring uses; and</w:t>
      </w:r>
    </w:p>
    <w:p w14:paraId="56B93427" w14:textId="77777777" w:rsidR="00BE36FB" w:rsidRPr="009B7B35" w:rsidRDefault="00BE36FB" w:rsidP="00BE36FB">
      <w:pPr>
        <w:numPr>
          <w:ilvl w:val="2"/>
          <w:numId w:val="870"/>
        </w:numPr>
        <w:rPr>
          <w:rFonts w:ascii="Arial" w:hAnsi="Arial" w:cs="Arial"/>
          <w:sz w:val="20"/>
          <w:szCs w:val="20"/>
        </w:rPr>
      </w:pPr>
      <w:r w:rsidRPr="009B7B35">
        <w:rPr>
          <w:rFonts w:ascii="Arial" w:hAnsi="Arial" w:cs="Arial"/>
          <w:sz w:val="20"/>
          <w:szCs w:val="20"/>
        </w:rPr>
        <w:t>A map(s) of the trade area which clearly defines the trade area boundary, identifies relevant existing centres, identifies the site of the proposed development and includes key transport corridors. A justification of the proposed trade area boundary.</w:t>
      </w:r>
    </w:p>
    <w:p w14:paraId="1A1292A4" w14:textId="77777777" w:rsidR="00BE36FB" w:rsidRPr="009B7B35" w:rsidRDefault="00BE36FB" w:rsidP="001A7107">
      <w:pPr>
        <w:rPr>
          <w:rFonts w:ascii="Arial" w:hAnsi="Arial" w:cs="Arial"/>
          <w:sz w:val="20"/>
          <w:szCs w:val="20"/>
        </w:rPr>
      </w:pPr>
    </w:p>
    <w:p w14:paraId="55904DAE" w14:textId="77777777" w:rsidR="00BE36FB" w:rsidRPr="009B7B35" w:rsidRDefault="00BE36FB" w:rsidP="001A7107">
      <w:pPr>
        <w:rPr>
          <w:rFonts w:ascii="Arial" w:hAnsi="Arial" w:cs="Arial"/>
          <w:sz w:val="20"/>
          <w:szCs w:val="20"/>
        </w:rPr>
      </w:pPr>
      <w:r w:rsidRPr="009B7B35">
        <w:rPr>
          <w:rFonts w:ascii="Arial" w:hAnsi="Arial" w:cs="Arial"/>
          <w:sz w:val="20"/>
          <w:szCs w:val="20"/>
        </w:rPr>
        <w:t>These reports are to be prepared by a suitable competent person.</w:t>
      </w:r>
    </w:p>
    <w:p w14:paraId="1C00FD94" w14:textId="77777777" w:rsidR="00BE36FB" w:rsidRPr="009B7B35" w:rsidRDefault="00BE36FB" w:rsidP="007A46D8">
      <w:pPr>
        <w:pStyle w:val="Heading7"/>
        <w:numPr>
          <w:ilvl w:val="6"/>
          <w:numId w:val="834"/>
        </w:numPr>
        <w:rPr>
          <w:rFonts w:cs="Arial"/>
          <w:sz w:val="20"/>
          <w:szCs w:val="20"/>
        </w:rPr>
      </w:pPr>
      <w:bookmarkStart w:id="337" w:name="_Toc205367450"/>
      <w:r w:rsidRPr="009B7B35">
        <w:rPr>
          <w:rFonts w:cs="Arial"/>
          <w:sz w:val="20"/>
          <w:szCs w:val="20"/>
        </w:rPr>
        <w:t>CBD redevelopment</w:t>
      </w:r>
      <w:bookmarkEnd w:id="337"/>
    </w:p>
    <w:p w14:paraId="6D0CE9C9" w14:textId="77777777" w:rsidR="00BE36FB" w:rsidRPr="009B7B35" w:rsidRDefault="00BE36FB" w:rsidP="007A46D8">
      <w:pPr>
        <w:pStyle w:val="Heading8"/>
        <w:numPr>
          <w:ilvl w:val="7"/>
          <w:numId w:val="834"/>
        </w:numPr>
        <w:rPr>
          <w:rFonts w:ascii="Arial" w:hAnsi="Arial" w:cs="Arial"/>
          <w:sz w:val="20"/>
        </w:rPr>
      </w:pPr>
      <w:bookmarkStart w:id="338" w:name="_Toc205367451"/>
      <w:r w:rsidRPr="009B7B35">
        <w:rPr>
          <w:rFonts w:ascii="Arial" w:hAnsi="Arial" w:cs="Arial"/>
          <w:sz w:val="20"/>
        </w:rPr>
        <w:t>Purpose</w:t>
      </w:r>
      <w:bookmarkEnd w:id="338"/>
    </w:p>
    <w:p w14:paraId="2371A7C0" w14:textId="77777777" w:rsidR="00BE36FB" w:rsidRPr="009B7B35" w:rsidRDefault="00BE36FB" w:rsidP="001A7107">
      <w:pPr>
        <w:rPr>
          <w:rFonts w:ascii="Arial" w:hAnsi="Arial" w:cs="Arial"/>
          <w:sz w:val="20"/>
          <w:szCs w:val="20"/>
        </w:rPr>
      </w:pPr>
      <w:r w:rsidRPr="009B7B35">
        <w:rPr>
          <w:rFonts w:ascii="Arial" w:hAnsi="Arial" w:cs="Arial"/>
          <w:sz w:val="20"/>
          <w:szCs w:val="20"/>
        </w:rPr>
        <w:t>The purpose of this planning scheme policy is to:</w:t>
      </w:r>
    </w:p>
    <w:p w14:paraId="5A3D4199" w14:textId="77777777" w:rsidR="00BE36FB" w:rsidRPr="009B7B35" w:rsidRDefault="00BE36FB" w:rsidP="00BE36FB">
      <w:pPr>
        <w:numPr>
          <w:ilvl w:val="0"/>
          <w:numId w:val="871"/>
        </w:numPr>
        <w:rPr>
          <w:rFonts w:ascii="Arial" w:hAnsi="Arial" w:cs="Arial"/>
          <w:sz w:val="20"/>
          <w:szCs w:val="20"/>
        </w:rPr>
      </w:pPr>
      <w:r w:rsidRPr="009B7B35">
        <w:rPr>
          <w:rFonts w:ascii="Arial" w:hAnsi="Arial" w:cs="Arial"/>
          <w:sz w:val="20"/>
          <w:szCs w:val="20"/>
        </w:rPr>
        <w:t xml:space="preserve">Provide the guidelines for development within the Principal centre zone in achieving the outcomes within the Jumpstart our City Heart Urban Renewal Strategy.  </w:t>
      </w:r>
    </w:p>
    <w:p w14:paraId="7B0A640B" w14:textId="77777777" w:rsidR="00BE36FB" w:rsidRPr="009B7B35" w:rsidRDefault="00BE36FB" w:rsidP="007A46D8">
      <w:pPr>
        <w:pStyle w:val="Heading8"/>
        <w:numPr>
          <w:ilvl w:val="7"/>
          <w:numId w:val="834"/>
        </w:numPr>
        <w:rPr>
          <w:rFonts w:ascii="Arial" w:hAnsi="Arial" w:cs="Arial"/>
          <w:sz w:val="20"/>
        </w:rPr>
      </w:pPr>
      <w:bookmarkStart w:id="339" w:name="_Toc205367452"/>
      <w:r w:rsidRPr="009B7B35">
        <w:rPr>
          <w:rFonts w:ascii="Arial" w:hAnsi="Arial" w:cs="Arial"/>
          <w:sz w:val="20"/>
        </w:rPr>
        <w:t>Application</w:t>
      </w:r>
      <w:bookmarkEnd w:id="339"/>
    </w:p>
    <w:p w14:paraId="58ACF58D"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This planning scheme policy applies to Development applications for a Material Change of Use or Reconfiguration of a Lot within the Principal centre zone. </w:t>
      </w:r>
    </w:p>
    <w:p w14:paraId="7E55104A" w14:textId="77777777" w:rsidR="00BE36FB" w:rsidRPr="009B7B35" w:rsidRDefault="00BE36FB" w:rsidP="007A46D8">
      <w:pPr>
        <w:pStyle w:val="Heading8"/>
        <w:numPr>
          <w:ilvl w:val="7"/>
          <w:numId w:val="834"/>
        </w:numPr>
        <w:rPr>
          <w:rFonts w:ascii="Arial" w:hAnsi="Arial" w:cs="Arial"/>
          <w:sz w:val="20"/>
        </w:rPr>
      </w:pPr>
      <w:bookmarkStart w:id="340" w:name="_Toc205367453"/>
      <w:r w:rsidRPr="009B7B35">
        <w:rPr>
          <w:rFonts w:ascii="Arial" w:hAnsi="Arial" w:cs="Arial"/>
          <w:sz w:val="20"/>
        </w:rPr>
        <w:t>Introduction</w:t>
      </w:r>
      <w:bookmarkEnd w:id="340"/>
      <w:r w:rsidRPr="009B7B35">
        <w:rPr>
          <w:rFonts w:ascii="Arial" w:hAnsi="Arial" w:cs="Arial"/>
          <w:sz w:val="20"/>
        </w:rPr>
        <w:t xml:space="preserve">  </w:t>
      </w:r>
    </w:p>
    <w:p w14:paraId="205EE092"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In 2016, the Gladstone Regional Council adopted the Jumpstart our City Heart Urban Renewal Strategy, supported by the existing CBD Streetscape design manual with the vision to create a 'vibrant City Heart destination, playing and learning from its unique heritage to allow dynamic opportunities for residential living, active business uses, engaging entertainment and cultural activity for all'. The project included 8 guiding principles for transformation throughout 5 new precincts, and an implementation plan to support its renewal.  </w:t>
      </w:r>
    </w:p>
    <w:p w14:paraId="72D9F3EA" w14:textId="77777777" w:rsidR="00BE36FB" w:rsidRPr="009B7B35" w:rsidRDefault="00BE36FB" w:rsidP="001A7107">
      <w:pPr>
        <w:rPr>
          <w:rFonts w:ascii="Arial" w:hAnsi="Arial" w:cs="Arial"/>
          <w:sz w:val="20"/>
          <w:szCs w:val="20"/>
        </w:rPr>
      </w:pPr>
    </w:p>
    <w:p w14:paraId="2E6F3EA9"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Where a Development application is lodged within the Principal centre zone, it is the expectation of Council that the site specific outcomes of the Jumpstart our City Heart Urban Renewal Strategy and CBD Streetscape design manual are met. In achieving compliance with these documents, compliance is also achieved with the relevant provisions of the Principal centre zone code.  </w:t>
      </w:r>
    </w:p>
    <w:p w14:paraId="7CC3AD89" w14:textId="77777777" w:rsidR="00BE36FB" w:rsidRPr="009B7B35" w:rsidRDefault="00BE36FB" w:rsidP="007A46D8">
      <w:pPr>
        <w:pStyle w:val="Heading8"/>
        <w:numPr>
          <w:ilvl w:val="7"/>
          <w:numId w:val="834"/>
        </w:numPr>
        <w:rPr>
          <w:rFonts w:ascii="Arial" w:hAnsi="Arial" w:cs="Arial"/>
          <w:sz w:val="20"/>
        </w:rPr>
      </w:pPr>
      <w:bookmarkStart w:id="341" w:name="_Toc205367454"/>
      <w:r w:rsidRPr="009B7B35">
        <w:rPr>
          <w:rFonts w:ascii="Arial" w:hAnsi="Arial" w:cs="Arial"/>
          <w:sz w:val="20"/>
        </w:rPr>
        <w:t>Delivery of works</w:t>
      </w:r>
      <w:bookmarkEnd w:id="341"/>
      <w:r w:rsidRPr="009B7B35">
        <w:rPr>
          <w:rFonts w:ascii="Arial" w:hAnsi="Arial" w:cs="Arial"/>
          <w:sz w:val="20"/>
        </w:rPr>
        <w:t xml:space="preserve">  </w:t>
      </w:r>
    </w:p>
    <w:p w14:paraId="79E5604B" w14:textId="77777777" w:rsidR="00BE36FB" w:rsidRPr="009B7B35" w:rsidRDefault="00BE36FB" w:rsidP="001A7107">
      <w:pPr>
        <w:rPr>
          <w:rFonts w:ascii="Arial" w:hAnsi="Arial" w:cs="Arial"/>
          <w:sz w:val="20"/>
          <w:szCs w:val="20"/>
        </w:rPr>
      </w:pPr>
      <w:r w:rsidRPr="009B7B35">
        <w:rPr>
          <w:rFonts w:ascii="Arial" w:hAnsi="Arial" w:cs="Arial"/>
          <w:sz w:val="20"/>
          <w:szCs w:val="20"/>
        </w:rPr>
        <w:t>Where a proposal is located on a Primary or Secondary frontage as per the Building heights and frontages overlay, the Applicant as part of their common material must demonstrate to Council how the proposal complies with the outcomes expressed within the Jumpstart our City Heart Urban Renewal Strategy through the delivery of works in accordance with the CBD Streetscape design manual. Works are to include:</w:t>
      </w:r>
    </w:p>
    <w:p w14:paraId="6FAC2371" w14:textId="77777777" w:rsidR="00BE36FB" w:rsidRPr="009B7B35" w:rsidRDefault="00BE36FB" w:rsidP="00BE36FB">
      <w:pPr>
        <w:numPr>
          <w:ilvl w:val="0"/>
          <w:numId w:val="868"/>
        </w:numPr>
        <w:rPr>
          <w:rFonts w:ascii="Arial" w:hAnsi="Arial" w:cs="Arial"/>
          <w:sz w:val="20"/>
          <w:szCs w:val="20"/>
        </w:rPr>
      </w:pPr>
      <w:r w:rsidRPr="009B7B35">
        <w:rPr>
          <w:rFonts w:ascii="Arial" w:hAnsi="Arial" w:cs="Arial"/>
          <w:sz w:val="20"/>
          <w:szCs w:val="20"/>
        </w:rPr>
        <w:t>Street furniture (litter bins, drink fountains, bike hoops, seats, signage and ash receptacles);</w:t>
      </w:r>
    </w:p>
    <w:p w14:paraId="39D88C2E" w14:textId="77777777" w:rsidR="00BE36FB" w:rsidRPr="009B7B35" w:rsidRDefault="00BE36FB" w:rsidP="00BE36FB">
      <w:pPr>
        <w:numPr>
          <w:ilvl w:val="0"/>
          <w:numId w:val="868"/>
        </w:numPr>
        <w:rPr>
          <w:rFonts w:ascii="Arial" w:hAnsi="Arial" w:cs="Arial"/>
          <w:sz w:val="20"/>
          <w:szCs w:val="20"/>
        </w:rPr>
      </w:pPr>
      <w:r w:rsidRPr="009B7B35">
        <w:rPr>
          <w:rFonts w:ascii="Arial" w:hAnsi="Arial" w:cs="Arial"/>
          <w:sz w:val="20"/>
          <w:szCs w:val="20"/>
        </w:rPr>
        <w:t>Landscaping including street trees;</w:t>
      </w:r>
    </w:p>
    <w:p w14:paraId="43868A5E" w14:textId="77777777" w:rsidR="00BE36FB" w:rsidRPr="009B7B35" w:rsidRDefault="00BE36FB" w:rsidP="00BE36FB">
      <w:pPr>
        <w:numPr>
          <w:ilvl w:val="0"/>
          <w:numId w:val="868"/>
        </w:numPr>
        <w:rPr>
          <w:rFonts w:ascii="Arial" w:hAnsi="Arial" w:cs="Arial"/>
          <w:sz w:val="20"/>
          <w:szCs w:val="20"/>
        </w:rPr>
      </w:pPr>
      <w:r w:rsidRPr="009B7B35">
        <w:rPr>
          <w:rFonts w:ascii="Arial" w:hAnsi="Arial" w:cs="Arial"/>
          <w:sz w:val="20"/>
          <w:szCs w:val="20"/>
        </w:rPr>
        <w:t>Footpaths; and</w:t>
      </w:r>
    </w:p>
    <w:p w14:paraId="1B7700D5" w14:textId="77777777" w:rsidR="00BE36FB" w:rsidRPr="009B7B35" w:rsidRDefault="00BE36FB" w:rsidP="00BE36FB">
      <w:pPr>
        <w:numPr>
          <w:ilvl w:val="0"/>
          <w:numId w:val="868"/>
        </w:numPr>
        <w:rPr>
          <w:rFonts w:ascii="Arial" w:hAnsi="Arial" w:cs="Arial"/>
          <w:sz w:val="20"/>
          <w:szCs w:val="20"/>
        </w:rPr>
      </w:pPr>
      <w:r w:rsidRPr="009B7B35">
        <w:rPr>
          <w:rFonts w:ascii="Arial" w:hAnsi="Arial" w:cs="Arial"/>
          <w:sz w:val="20"/>
          <w:szCs w:val="20"/>
        </w:rPr>
        <w:t xml:space="preserve">Public artwork. </w:t>
      </w:r>
    </w:p>
    <w:p w14:paraId="3F67A633" w14:textId="77777777" w:rsidR="00BE36FB" w:rsidRPr="009B7B35" w:rsidRDefault="00BE36FB" w:rsidP="001A7107">
      <w:pPr>
        <w:rPr>
          <w:rFonts w:ascii="Arial" w:hAnsi="Arial" w:cs="Arial"/>
          <w:sz w:val="20"/>
          <w:szCs w:val="20"/>
        </w:rPr>
      </w:pPr>
    </w:p>
    <w:p w14:paraId="065FBC8F" w14:textId="77777777" w:rsidR="00BE36FB" w:rsidRPr="009B7B35" w:rsidRDefault="00BE36FB" w:rsidP="001A7107">
      <w:pPr>
        <w:rPr>
          <w:rFonts w:ascii="Arial" w:hAnsi="Arial" w:cs="Arial"/>
          <w:sz w:val="20"/>
          <w:szCs w:val="20"/>
          <w:highlight w:val="yellow"/>
        </w:rPr>
      </w:pPr>
      <w:r w:rsidRPr="009B7B35">
        <w:rPr>
          <w:rFonts w:ascii="Arial" w:hAnsi="Arial" w:cs="Arial"/>
          <w:sz w:val="20"/>
          <w:szCs w:val="20"/>
        </w:rPr>
        <w:t>Where a proposal fails to provide compliance with these requirements, Council will by use of conditions, require the Applicant to provide the following:</w:t>
      </w:r>
    </w:p>
    <w:p w14:paraId="21D17F1C" w14:textId="77777777" w:rsidR="00BE36FB" w:rsidRPr="009B7B35" w:rsidRDefault="00BE36FB" w:rsidP="001A7107">
      <w:pPr>
        <w:rPr>
          <w:rFonts w:ascii="Arial" w:hAnsi="Arial" w:cs="Arial"/>
          <w:sz w:val="20"/>
          <w:szCs w:val="20"/>
          <w:highlight w:val="yellow"/>
        </w:rPr>
      </w:pPr>
    </w:p>
    <w:p w14:paraId="7D0621BF" w14:textId="77777777" w:rsidR="00BE36FB" w:rsidRPr="009B7B35" w:rsidRDefault="00BE36FB" w:rsidP="001A7107">
      <w:pPr>
        <w:rPr>
          <w:rFonts w:ascii="Arial" w:hAnsi="Arial" w:cs="Arial"/>
          <w:b/>
          <w:sz w:val="20"/>
          <w:szCs w:val="20"/>
        </w:rPr>
      </w:pPr>
      <w:r w:rsidRPr="009B7B35">
        <w:rPr>
          <w:rFonts w:ascii="Arial" w:hAnsi="Arial" w:cs="Arial"/>
          <w:b/>
          <w:sz w:val="20"/>
          <w:szCs w:val="20"/>
        </w:rPr>
        <w:t>Table 6.5.4.1</w:t>
      </w:r>
    </w:p>
    <w:tbl>
      <w:tblPr>
        <w:tblStyle w:val="Tablestyle"/>
        <w:tblW w:w="0" w:type="auto"/>
        <w:tblLook w:val="0620" w:firstRow="1" w:lastRow="0" w:firstColumn="0" w:lastColumn="0" w:noHBand="1" w:noVBand="1"/>
      </w:tblPr>
      <w:tblGrid>
        <w:gridCol w:w="3686"/>
        <w:gridCol w:w="5670"/>
      </w:tblGrid>
      <w:tr w:rsidR="00BE36FB" w:rsidRPr="009B7B35" w14:paraId="37BEEAB7" w14:textId="77777777" w:rsidTr="001A7107">
        <w:trPr>
          <w:cnfStyle w:val="100000000000" w:firstRow="1" w:lastRow="0" w:firstColumn="0" w:lastColumn="0" w:oddVBand="0" w:evenVBand="0" w:oddHBand="0" w:evenHBand="0" w:firstRowFirstColumn="0" w:firstRowLastColumn="0" w:lastRowFirstColumn="0" w:lastRowLastColumn="0"/>
          <w:trHeight w:val="36"/>
        </w:trPr>
        <w:tc>
          <w:tcPr>
            <w:tcW w:w="3686" w:type="dxa"/>
          </w:tcPr>
          <w:p w14:paraId="6F498EA6" w14:textId="77777777" w:rsidR="00BE36FB" w:rsidRPr="009B7B35" w:rsidRDefault="00BE36FB" w:rsidP="001A7107">
            <w:pPr>
              <w:pStyle w:val="Tableheading"/>
              <w:rPr>
                <w:rFonts w:ascii="Arial" w:hAnsi="Arial" w:cs="Arial"/>
                <w:szCs w:val="20"/>
              </w:rPr>
            </w:pPr>
            <w:r w:rsidRPr="009B7B35">
              <w:rPr>
                <w:rFonts w:ascii="Arial" w:hAnsi="Arial" w:cs="Arial"/>
                <w:b/>
                <w:szCs w:val="20"/>
              </w:rPr>
              <w:t>Application Type</w:t>
            </w:r>
          </w:p>
        </w:tc>
        <w:tc>
          <w:tcPr>
            <w:tcW w:w="5670" w:type="dxa"/>
          </w:tcPr>
          <w:p w14:paraId="73F276A7" w14:textId="77777777" w:rsidR="00BE36FB" w:rsidRPr="009B7B35" w:rsidRDefault="00BE36FB" w:rsidP="001A7107">
            <w:pPr>
              <w:pStyle w:val="Tableheading"/>
              <w:rPr>
                <w:rFonts w:ascii="Arial" w:hAnsi="Arial" w:cs="Arial"/>
                <w:szCs w:val="20"/>
              </w:rPr>
            </w:pPr>
            <w:r w:rsidRPr="009B7B35">
              <w:rPr>
                <w:rFonts w:ascii="Arial" w:hAnsi="Arial" w:cs="Arial"/>
                <w:b/>
                <w:szCs w:val="20"/>
              </w:rPr>
              <w:t>Provisions Required</w:t>
            </w:r>
          </w:p>
        </w:tc>
      </w:tr>
      <w:tr w:rsidR="00BE36FB" w:rsidRPr="009B7B35" w14:paraId="1709C5AA" w14:textId="77777777" w:rsidTr="001A7107">
        <w:tc>
          <w:tcPr>
            <w:tcW w:w="3686" w:type="dxa"/>
          </w:tcPr>
          <w:p w14:paraId="323F46AC" w14:textId="77777777" w:rsidR="00BE36FB" w:rsidRPr="009B7B35" w:rsidRDefault="00BE36FB" w:rsidP="001A7107">
            <w:pPr>
              <w:pStyle w:val="TableText"/>
              <w:rPr>
                <w:rFonts w:cs="Arial"/>
              </w:rPr>
            </w:pPr>
            <w:r w:rsidRPr="009B7B35">
              <w:rPr>
                <w:rFonts w:cs="Arial"/>
              </w:rPr>
              <w:t>Material Change of Use and involving the reuse of an existing building, whether or not involving an increase in Gross floor area</w:t>
            </w:r>
          </w:p>
        </w:tc>
        <w:tc>
          <w:tcPr>
            <w:tcW w:w="5670" w:type="dxa"/>
          </w:tcPr>
          <w:p w14:paraId="4087064E" w14:textId="77777777" w:rsidR="00BE36FB" w:rsidRPr="009B7B35" w:rsidRDefault="00BE36FB" w:rsidP="00BE36FB">
            <w:pPr>
              <w:pStyle w:val="TableText"/>
              <w:numPr>
                <w:ilvl w:val="0"/>
                <w:numId w:val="875"/>
              </w:numPr>
              <w:ind w:left="368"/>
              <w:rPr>
                <w:rFonts w:cs="Arial"/>
              </w:rPr>
            </w:pPr>
            <w:r w:rsidRPr="009B7B35">
              <w:rPr>
                <w:rFonts w:cs="Arial"/>
              </w:rPr>
              <w:t>Streetscaping works in accordance with the CBD Streetscape design manual totalling 1% of the overall cost of building works.</w:t>
            </w:r>
          </w:p>
        </w:tc>
      </w:tr>
      <w:tr w:rsidR="00BE36FB" w:rsidRPr="009B7B35" w14:paraId="559814CD" w14:textId="77777777" w:rsidTr="001A7107">
        <w:tc>
          <w:tcPr>
            <w:tcW w:w="3686" w:type="dxa"/>
          </w:tcPr>
          <w:p w14:paraId="6CF0D0BD" w14:textId="77777777" w:rsidR="00BE36FB" w:rsidRPr="009B7B35" w:rsidRDefault="00BE36FB" w:rsidP="001A7107">
            <w:pPr>
              <w:pStyle w:val="TableText"/>
              <w:rPr>
                <w:rFonts w:cs="Arial"/>
              </w:rPr>
            </w:pPr>
            <w:r w:rsidRPr="009B7B35">
              <w:rPr>
                <w:rFonts w:cs="Arial"/>
              </w:rPr>
              <w:t>Material Change of Use for a new development</w:t>
            </w:r>
          </w:p>
        </w:tc>
        <w:tc>
          <w:tcPr>
            <w:tcW w:w="5670" w:type="dxa"/>
          </w:tcPr>
          <w:p w14:paraId="6D84D586" w14:textId="77777777" w:rsidR="00BE36FB" w:rsidRPr="009B7B35" w:rsidRDefault="00BE36FB" w:rsidP="00BE36FB">
            <w:pPr>
              <w:numPr>
                <w:ilvl w:val="0"/>
                <w:numId w:val="872"/>
              </w:numPr>
              <w:ind w:left="368"/>
              <w:rPr>
                <w:rFonts w:cs="Arial"/>
                <w:sz w:val="20"/>
                <w:szCs w:val="20"/>
              </w:rPr>
            </w:pPr>
            <w:r w:rsidRPr="009B7B35">
              <w:rPr>
                <w:rFonts w:cs="Arial"/>
                <w:sz w:val="20"/>
                <w:szCs w:val="20"/>
              </w:rPr>
              <w:t xml:space="preserve">Full streetscaping works along any primary and secondary frontages in accordance with the CBD Streetscape design manual; and </w:t>
            </w:r>
          </w:p>
          <w:p w14:paraId="1C00610E" w14:textId="77777777" w:rsidR="00BE36FB" w:rsidRPr="009B7B35" w:rsidRDefault="00BE36FB" w:rsidP="00BE36FB">
            <w:pPr>
              <w:numPr>
                <w:ilvl w:val="0"/>
                <w:numId w:val="872"/>
              </w:numPr>
              <w:ind w:left="368"/>
              <w:rPr>
                <w:rFonts w:cs="Arial"/>
                <w:sz w:val="20"/>
                <w:szCs w:val="20"/>
              </w:rPr>
            </w:pPr>
            <w:r w:rsidRPr="009B7B35">
              <w:rPr>
                <w:rFonts w:cs="Arial"/>
                <w:sz w:val="20"/>
                <w:szCs w:val="20"/>
              </w:rPr>
              <w:t xml:space="preserve">Artworks at a cost of no less than 1% of the total construction works. </w:t>
            </w:r>
          </w:p>
        </w:tc>
      </w:tr>
      <w:tr w:rsidR="00BE36FB" w:rsidRPr="009B7B35" w14:paraId="5A04E9D4" w14:textId="77777777" w:rsidTr="001A7107">
        <w:tc>
          <w:tcPr>
            <w:tcW w:w="3686" w:type="dxa"/>
          </w:tcPr>
          <w:p w14:paraId="4662D796" w14:textId="77777777" w:rsidR="00BE36FB" w:rsidRPr="009B7B35" w:rsidRDefault="00BE36FB" w:rsidP="001A7107">
            <w:pPr>
              <w:pStyle w:val="TableText"/>
              <w:rPr>
                <w:rFonts w:cs="Arial"/>
              </w:rPr>
            </w:pPr>
            <w:r w:rsidRPr="009B7B35">
              <w:rPr>
                <w:rFonts w:cs="Arial"/>
              </w:rPr>
              <w:t>Reconfiguring a Lot</w:t>
            </w:r>
          </w:p>
        </w:tc>
        <w:tc>
          <w:tcPr>
            <w:tcW w:w="5670" w:type="dxa"/>
          </w:tcPr>
          <w:p w14:paraId="58F56A89" w14:textId="77777777" w:rsidR="00BE36FB" w:rsidRPr="009B7B35" w:rsidRDefault="00BE36FB" w:rsidP="00BE36FB">
            <w:pPr>
              <w:pStyle w:val="TableText"/>
              <w:numPr>
                <w:ilvl w:val="0"/>
                <w:numId w:val="876"/>
              </w:numPr>
              <w:ind w:left="368"/>
              <w:rPr>
                <w:rFonts w:cs="Arial"/>
              </w:rPr>
            </w:pPr>
            <w:r w:rsidRPr="009B7B35">
              <w:rPr>
                <w:rFonts w:cs="Arial"/>
              </w:rPr>
              <w:t>Full streetscaping works along any primary and secondary frontages in accordance with the CBD Streetscape design manual.</w:t>
            </w:r>
          </w:p>
        </w:tc>
      </w:tr>
    </w:tbl>
    <w:p w14:paraId="098B3E9D" w14:textId="77777777" w:rsidR="00BE36FB" w:rsidRPr="009B7B35" w:rsidRDefault="00BE36FB" w:rsidP="007A46D8">
      <w:pPr>
        <w:pStyle w:val="Heading7"/>
        <w:numPr>
          <w:ilvl w:val="6"/>
          <w:numId w:val="834"/>
        </w:numPr>
        <w:rPr>
          <w:rFonts w:cs="Arial"/>
          <w:sz w:val="20"/>
          <w:szCs w:val="20"/>
        </w:rPr>
      </w:pPr>
      <w:bookmarkStart w:id="342" w:name="_Toc205367455"/>
      <w:r w:rsidRPr="009B7B35">
        <w:rPr>
          <w:rFonts w:cs="Arial"/>
          <w:sz w:val="20"/>
          <w:szCs w:val="20"/>
        </w:rPr>
        <w:t>Beecher/Burua constant flow precinct</w:t>
      </w:r>
      <w:bookmarkEnd w:id="342"/>
      <w:r w:rsidRPr="009B7B35">
        <w:rPr>
          <w:rFonts w:cs="Arial"/>
          <w:sz w:val="20"/>
          <w:szCs w:val="20"/>
        </w:rPr>
        <w:t xml:space="preserve"> </w:t>
      </w:r>
    </w:p>
    <w:p w14:paraId="3DEDC349" w14:textId="77777777" w:rsidR="00BE36FB" w:rsidRPr="009B7B35" w:rsidRDefault="00BE36FB" w:rsidP="007A46D8">
      <w:pPr>
        <w:pStyle w:val="Heading8"/>
        <w:numPr>
          <w:ilvl w:val="7"/>
          <w:numId w:val="834"/>
        </w:numPr>
        <w:rPr>
          <w:rFonts w:ascii="Arial" w:hAnsi="Arial" w:cs="Arial"/>
          <w:sz w:val="20"/>
        </w:rPr>
      </w:pPr>
      <w:bookmarkStart w:id="343" w:name="_Toc205367456"/>
      <w:r w:rsidRPr="009B7B35">
        <w:rPr>
          <w:rFonts w:ascii="Arial" w:hAnsi="Arial" w:cs="Arial"/>
          <w:sz w:val="20"/>
        </w:rPr>
        <w:t>Purpose</w:t>
      </w:r>
      <w:bookmarkEnd w:id="343"/>
    </w:p>
    <w:p w14:paraId="65698E7A" w14:textId="77777777" w:rsidR="00BE36FB" w:rsidRPr="009B7B35" w:rsidRDefault="00BE36FB" w:rsidP="001A7107">
      <w:pPr>
        <w:rPr>
          <w:rFonts w:ascii="Arial" w:hAnsi="Arial" w:cs="Arial"/>
          <w:sz w:val="20"/>
          <w:szCs w:val="20"/>
        </w:rPr>
      </w:pPr>
      <w:r w:rsidRPr="009B7B35">
        <w:rPr>
          <w:rFonts w:ascii="Arial" w:hAnsi="Arial" w:cs="Arial"/>
          <w:sz w:val="20"/>
          <w:szCs w:val="20"/>
        </w:rPr>
        <w:t>The purpose of this planning scheme policy is to:</w:t>
      </w:r>
    </w:p>
    <w:p w14:paraId="1D8BB8B0" w14:textId="77777777" w:rsidR="00BE36FB" w:rsidRPr="009B7B35" w:rsidRDefault="00BE36FB" w:rsidP="00BE36FB">
      <w:pPr>
        <w:numPr>
          <w:ilvl w:val="0"/>
          <w:numId w:val="873"/>
        </w:numPr>
        <w:rPr>
          <w:rFonts w:ascii="Arial" w:hAnsi="Arial" w:cs="Arial"/>
          <w:sz w:val="20"/>
          <w:szCs w:val="20"/>
        </w:rPr>
      </w:pPr>
      <w:r w:rsidRPr="009B7B35">
        <w:rPr>
          <w:rFonts w:ascii="Arial" w:hAnsi="Arial" w:cs="Arial"/>
          <w:sz w:val="20"/>
          <w:szCs w:val="20"/>
        </w:rPr>
        <w:t xml:space="preserve">Provide the guidelines for development within the Beecher/Burua constant flow precinct with respect to water capacity and future development potential. </w:t>
      </w:r>
    </w:p>
    <w:p w14:paraId="1438EDAA" w14:textId="77777777" w:rsidR="00BE36FB" w:rsidRPr="009B7B35" w:rsidRDefault="00BE36FB" w:rsidP="007A46D8">
      <w:pPr>
        <w:pStyle w:val="Heading8"/>
        <w:numPr>
          <w:ilvl w:val="7"/>
          <w:numId w:val="834"/>
        </w:numPr>
        <w:rPr>
          <w:rFonts w:ascii="Arial" w:hAnsi="Arial" w:cs="Arial"/>
          <w:sz w:val="20"/>
        </w:rPr>
      </w:pPr>
      <w:bookmarkStart w:id="344" w:name="_Toc205367457"/>
      <w:r w:rsidRPr="009B7B35">
        <w:rPr>
          <w:rFonts w:ascii="Arial" w:hAnsi="Arial" w:cs="Arial"/>
          <w:sz w:val="20"/>
        </w:rPr>
        <w:t>Application</w:t>
      </w:r>
      <w:bookmarkEnd w:id="344"/>
    </w:p>
    <w:p w14:paraId="67024F4C"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This planning scheme policy applies to Development applications for a Reconfiguration of a Lot where within the Beecher/Burua constant flow precinct. </w:t>
      </w:r>
    </w:p>
    <w:p w14:paraId="5EA90DD2" w14:textId="77777777" w:rsidR="00BE36FB" w:rsidRPr="009B7B35" w:rsidRDefault="00BE36FB" w:rsidP="007A46D8">
      <w:pPr>
        <w:pStyle w:val="Heading8"/>
        <w:numPr>
          <w:ilvl w:val="7"/>
          <w:numId w:val="834"/>
        </w:numPr>
        <w:rPr>
          <w:rFonts w:ascii="Arial" w:hAnsi="Arial" w:cs="Arial"/>
          <w:sz w:val="20"/>
        </w:rPr>
      </w:pPr>
      <w:bookmarkStart w:id="345" w:name="_Toc205367458"/>
      <w:r w:rsidRPr="009B7B35">
        <w:rPr>
          <w:rFonts w:ascii="Arial" w:hAnsi="Arial" w:cs="Arial"/>
          <w:sz w:val="20"/>
        </w:rPr>
        <w:t>Introduction</w:t>
      </w:r>
      <w:bookmarkEnd w:id="345"/>
      <w:r w:rsidRPr="009B7B35">
        <w:rPr>
          <w:rFonts w:ascii="Arial" w:hAnsi="Arial" w:cs="Arial"/>
          <w:sz w:val="20"/>
        </w:rPr>
        <w:t xml:space="preserve">  </w:t>
      </w:r>
    </w:p>
    <w:p w14:paraId="16840AC2"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water infrastructure network within the Defined water supply area of Beecher and Burua is a Constant flow water supply network. Development outside of the projected levels will place increased demands on the existing water supply network and ultimately affect the expected future performance of the potable water infrastructure. The control of development is required to achieve the desired standard of service and to ensure that there is sufficient water capacity available. To achieve this control, water modelling and analysis has been undertaken to understand the maximum capacity of the supply network.  </w:t>
      </w:r>
    </w:p>
    <w:p w14:paraId="629D634E" w14:textId="77777777" w:rsidR="00BE36FB" w:rsidRPr="009B7B35" w:rsidRDefault="00BE36FB" w:rsidP="007A46D8">
      <w:pPr>
        <w:pStyle w:val="Heading8"/>
        <w:numPr>
          <w:ilvl w:val="7"/>
          <w:numId w:val="834"/>
        </w:numPr>
        <w:rPr>
          <w:rFonts w:ascii="Arial" w:hAnsi="Arial" w:cs="Arial"/>
          <w:sz w:val="20"/>
        </w:rPr>
      </w:pPr>
      <w:bookmarkStart w:id="346" w:name="_Toc205367459"/>
      <w:r w:rsidRPr="009B7B35">
        <w:rPr>
          <w:rFonts w:ascii="Arial" w:hAnsi="Arial" w:cs="Arial"/>
          <w:sz w:val="20"/>
        </w:rPr>
        <w:t>Water capacity and future development potential</w:t>
      </w:r>
      <w:bookmarkEnd w:id="346"/>
      <w:r w:rsidRPr="009B7B35">
        <w:rPr>
          <w:rFonts w:ascii="Arial" w:hAnsi="Arial" w:cs="Arial"/>
          <w:sz w:val="20"/>
        </w:rPr>
        <w:t xml:space="preserve">    </w:t>
      </w:r>
    </w:p>
    <w:p w14:paraId="4AF79555"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As a result of the water modelling and analysis, Table 6.6.4.1 provides the available capacity for the </w:t>
      </w:r>
    </w:p>
    <w:p w14:paraId="1728AA3C" w14:textId="77777777" w:rsidR="00BE36FB" w:rsidRPr="009B7B35" w:rsidRDefault="00BE36FB" w:rsidP="001A7107">
      <w:pPr>
        <w:rPr>
          <w:rFonts w:ascii="Arial" w:hAnsi="Arial" w:cs="Arial"/>
          <w:sz w:val="20"/>
          <w:szCs w:val="20"/>
        </w:rPr>
      </w:pPr>
      <w:r w:rsidRPr="009B7B35">
        <w:rPr>
          <w:rFonts w:ascii="Arial" w:hAnsi="Arial" w:cs="Arial"/>
          <w:sz w:val="20"/>
          <w:szCs w:val="20"/>
        </w:rPr>
        <w:t>Beecher/Burua constant flow precinct in terms of available developable lots. The table is the primary tool used for achieving compliance with the Rural residential zone code with respect to demonstrating available water capacity within the water supply network.</w:t>
      </w:r>
    </w:p>
    <w:p w14:paraId="0E1776CC" w14:textId="77777777" w:rsidR="00BE36FB" w:rsidRPr="009B7B35" w:rsidRDefault="00BE36FB" w:rsidP="001A7107">
      <w:pPr>
        <w:rPr>
          <w:rFonts w:ascii="Arial" w:hAnsi="Arial" w:cs="Arial"/>
          <w:sz w:val="20"/>
          <w:szCs w:val="20"/>
          <w:highlight w:val="yellow"/>
        </w:rPr>
      </w:pPr>
    </w:p>
    <w:p w14:paraId="35353006" w14:textId="77777777" w:rsidR="00BE36FB" w:rsidRPr="009B7B35" w:rsidRDefault="00BE36FB" w:rsidP="001A7107">
      <w:pPr>
        <w:rPr>
          <w:rFonts w:ascii="Arial" w:hAnsi="Arial" w:cs="Arial"/>
          <w:b/>
          <w:sz w:val="20"/>
          <w:szCs w:val="20"/>
        </w:rPr>
      </w:pPr>
      <w:r w:rsidRPr="009B7B35">
        <w:rPr>
          <w:rFonts w:ascii="Arial" w:hAnsi="Arial" w:cs="Arial"/>
          <w:b/>
          <w:sz w:val="20"/>
          <w:szCs w:val="20"/>
        </w:rPr>
        <w:t>Table 6.6.4.1</w:t>
      </w:r>
    </w:p>
    <w:tbl>
      <w:tblPr>
        <w:tblStyle w:val="Tablestyle"/>
        <w:tblW w:w="0" w:type="auto"/>
        <w:tblLook w:val="0620" w:firstRow="1" w:lastRow="0" w:firstColumn="0" w:lastColumn="0" w:noHBand="1" w:noVBand="1"/>
      </w:tblPr>
      <w:tblGrid>
        <w:gridCol w:w="1701"/>
        <w:gridCol w:w="4395"/>
        <w:gridCol w:w="3118"/>
      </w:tblGrid>
      <w:tr w:rsidR="00BE36FB" w:rsidRPr="009B7B35" w14:paraId="0C135D6A" w14:textId="77777777" w:rsidTr="001A7107">
        <w:trPr>
          <w:cnfStyle w:val="100000000000" w:firstRow="1" w:lastRow="0" w:firstColumn="0" w:lastColumn="0" w:oddVBand="0" w:evenVBand="0" w:oddHBand="0" w:evenHBand="0" w:firstRowFirstColumn="0" w:firstRowLastColumn="0" w:lastRowFirstColumn="0" w:lastRowLastColumn="0"/>
          <w:trHeight w:val="36"/>
        </w:trPr>
        <w:tc>
          <w:tcPr>
            <w:tcW w:w="17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14:paraId="54802DB2" w14:textId="77777777" w:rsidR="00BE36FB" w:rsidRPr="009B7B35" w:rsidRDefault="00BE36FB">
            <w:pPr>
              <w:pStyle w:val="Tableheading"/>
              <w:rPr>
                <w:rFonts w:ascii="Arial" w:hAnsi="Arial" w:cs="Arial"/>
                <w:szCs w:val="20"/>
              </w:rPr>
            </w:pPr>
            <w:r w:rsidRPr="009B7B35">
              <w:rPr>
                <w:rFonts w:ascii="Arial" w:hAnsi="Arial" w:cs="Arial"/>
                <w:b/>
                <w:szCs w:val="20"/>
              </w:rPr>
              <w:t>Registered lots</w:t>
            </w:r>
          </w:p>
        </w:tc>
        <w:tc>
          <w:tcPr>
            <w:tcW w:w="439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14:paraId="5465E57F" w14:textId="77777777" w:rsidR="00BE36FB" w:rsidRPr="009B7B35" w:rsidRDefault="00BE36FB">
            <w:pPr>
              <w:pStyle w:val="Tableheading"/>
              <w:rPr>
                <w:rFonts w:ascii="Arial" w:hAnsi="Arial" w:cs="Arial"/>
                <w:szCs w:val="20"/>
              </w:rPr>
            </w:pPr>
            <w:r w:rsidRPr="009B7B35">
              <w:rPr>
                <w:rFonts w:ascii="Arial" w:hAnsi="Arial" w:cs="Arial"/>
                <w:b/>
                <w:szCs w:val="20"/>
              </w:rPr>
              <w:t>Approved lots (not yet registered)</w:t>
            </w:r>
          </w:p>
        </w:tc>
        <w:tc>
          <w:tcPr>
            <w:tcW w:w="31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14:paraId="64221F30" w14:textId="77777777" w:rsidR="00BE36FB" w:rsidRPr="009B7B35" w:rsidRDefault="00BE36FB">
            <w:pPr>
              <w:pStyle w:val="Tableheading"/>
              <w:rPr>
                <w:rFonts w:ascii="Arial" w:hAnsi="Arial" w:cs="Arial"/>
                <w:b/>
                <w:szCs w:val="20"/>
              </w:rPr>
            </w:pPr>
            <w:r w:rsidRPr="009B7B35">
              <w:rPr>
                <w:rFonts w:ascii="Arial" w:hAnsi="Arial" w:cs="Arial"/>
                <w:b/>
                <w:szCs w:val="20"/>
              </w:rPr>
              <w:t xml:space="preserve">Available lots for development </w:t>
            </w:r>
          </w:p>
        </w:tc>
      </w:tr>
      <w:tr w:rsidR="00BE36FB" w:rsidRPr="009B7B35" w14:paraId="0FDFB834" w14:textId="77777777" w:rsidTr="001A7107">
        <w:tc>
          <w:tcPr>
            <w:tcW w:w="17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14:paraId="5DF37157" w14:textId="77777777" w:rsidR="00BE36FB" w:rsidRPr="009B7B35" w:rsidRDefault="00BE36FB">
            <w:pPr>
              <w:pStyle w:val="TableText"/>
              <w:rPr>
                <w:rFonts w:cs="Arial"/>
              </w:rPr>
            </w:pPr>
            <w:r w:rsidRPr="009B7B35">
              <w:rPr>
                <w:rFonts w:cs="Arial"/>
              </w:rPr>
              <w:t>664</w:t>
            </w:r>
          </w:p>
        </w:tc>
        <w:tc>
          <w:tcPr>
            <w:tcW w:w="439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14:paraId="5F4FFB88" w14:textId="77777777" w:rsidR="00BE36FB" w:rsidRPr="009B7B35" w:rsidRDefault="00BE36FB">
            <w:pPr>
              <w:pStyle w:val="TableText"/>
              <w:rPr>
                <w:rFonts w:cs="Arial"/>
              </w:rPr>
            </w:pPr>
            <w:r w:rsidRPr="009B7B35">
              <w:rPr>
                <w:rFonts w:cs="Arial"/>
              </w:rPr>
              <w:t>267</w:t>
            </w:r>
          </w:p>
        </w:tc>
        <w:tc>
          <w:tcPr>
            <w:tcW w:w="31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14:paraId="1A7183F3" w14:textId="77777777" w:rsidR="00BE36FB" w:rsidRPr="009B7B35" w:rsidRDefault="00BE36FB">
            <w:pPr>
              <w:pStyle w:val="TableText"/>
              <w:rPr>
                <w:rFonts w:cs="Arial"/>
              </w:rPr>
            </w:pPr>
            <w:r w:rsidRPr="009B7B35">
              <w:rPr>
                <w:rFonts w:cs="Arial"/>
              </w:rPr>
              <w:t>139</w:t>
            </w:r>
          </w:p>
        </w:tc>
      </w:tr>
    </w:tbl>
    <w:p w14:paraId="14AA5BD7" w14:textId="77777777" w:rsidR="00BE36FB" w:rsidRPr="009B7B35" w:rsidRDefault="00BE36FB" w:rsidP="001A7107">
      <w:pPr>
        <w:pStyle w:val="Notes"/>
        <w:rPr>
          <w:rFonts w:cs="Arial"/>
          <w:sz w:val="20"/>
          <w:szCs w:val="20"/>
        </w:rPr>
      </w:pPr>
      <w:r w:rsidRPr="009B7B35">
        <w:rPr>
          <w:rFonts w:cs="Arial"/>
          <w:sz w:val="20"/>
          <w:szCs w:val="20"/>
        </w:rPr>
        <w:t xml:space="preserve">Note—Table 6.6.4.1 will continuously be reviewed in accordance with development activity. </w:t>
      </w:r>
    </w:p>
    <w:p w14:paraId="6691FC61" w14:textId="77777777" w:rsidR="00BE36FB" w:rsidRPr="009B7B35" w:rsidRDefault="00BE36FB" w:rsidP="007A46D8">
      <w:pPr>
        <w:pStyle w:val="Heading7"/>
        <w:numPr>
          <w:ilvl w:val="6"/>
          <w:numId w:val="834"/>
        </w:numPr>
        <w:rPr>
          <w:rFonts w:cs="Arial"/>
          <w:sz w:val="20"/>
          <w:szCs w:val="20"/>
        </w:rPr>
      </w:pPr>
      <w:bookmarkStart w:id="347" w:name="_Toc205367460"/>
      <w:r w:rsidRPr="009B7B35">
        <w:rPr>
          <w:rFonts w:cs="Arial"/>
          <w:sz w:val="20"/>
          <w:szCs w:val="20"/>
        </w:rPr>
        <w:t>Flood hazard</w:t>
      </w:r>
      <w:bookmarkEnd w:id="347"/>
    </w:p>
    <w:p w14:paraId="098BF4B3" w14:textId="77777777" w:rsidR="00BE36FB" w:rsidRPr="009B7B35" w:rsidRDefault="00BE36FB" w:rsidP="007A46D8">
      <w:pPr>
        <w:pStyle w:val="Heading8"/>
        <w:numPr>
          <w:ilvl w:val="7"/>
          <w:numId w:val="834"/>
        </w:numPr>
        <w:rPr>
          <w:rFonts w:ascii="Arial" w:hAnsi="Arial" w:cs="Arial"/>
          <w:sz w:val="20"/>
        </w:rPr>
      </w:pPr>
      <w:bookmarkStart w:id="348" w:name="_Toc205367461"/>
      <w:r w:rsidRPr="009B7B35">
        <w:rPr>
          <w:rFonts w:ascii="Arial" w:hAnsi="Arial" w:cs="Arial"/>
          <w:sz w:val="20"/>
        </w:rPr>
        <w:t>Purpose</w:t>
      </w:r>
      <w:bookmarkEnd w:id="348"/>
    </w:p>
    <w:p w14:paraId="59373A3D" w14:textId="77777777" w:rsidR="00BE36FB" w:rsidRPr="009B7B35" w:rsidRDefault="00BE36FB" w:rsidP="001A7107">
      <w:pPr>
        <w:rPr>
          <w:rFonts w:ascii="Arial" w:hAnsi="Arial" w:cs="Arial"/>
          <w:sz w:val="20"/>
          <w:szCs w:val="20"/>
        </w:rPr>
      </w:pPr>
      <w:r w:rsidRPr="009B7B35">
        <w:rPr>
          <w:rFonts w:ascii="Arial" w:hAnsi="Arial" w:cs="Arial"/>
          <w:sz w:val="20"/>
          <w:szCs w:val="20"/>
        </w:rPr>
        <w:t>The purpose of this planning scheme policy is to:</w:t>
      </w:r>
    </w:p>
    <w:p w14:paraId="36C20D61" w14:textId="77777777" w:rsidR="00BE36FB" w:rsidRPr="009B7B35" w:rsidRDefault="00BE36FB" w:rsidP="00BE36FB">
      <w:pPr>
        <w:numPr>
          <w:ilvl w:val="0"/>
          <w:numId w:val="874"/>
        </w:numPr>
        <w:rPr>
          <w:rFonts w:ascii="Arial" w:hAnsi="Arial" w:cs="Arial"/>
          <w:sz w:val="20"/>
          <w:szCs w:val="20"/>
        </w:rPr>
      </w:pPr>
      <w:r w:rsidRPr="009B7B35">
        <w:rPr>
          <w:rFonts w:ascii="Arial" w:hAnsi="Arial" w:cs="Arial"/>
          <w:sz w:val="20"/>
          <w:szCs w:val="20"/>
        </w:rPr>
        <w:t>Provide advice about achieving outcomes in the Flood hazard overlay code.</w:t>
      </w:r>
    </w:p>
    <w:p w14:paraId="4D880633" w14:textId="77777777" w:rsidR="00BE36FB" w:rsidRPr="009B7B35" w:rsidRDefault="00BE36FB" w:rsidP="00BE36FB">
      <w:pPr>
        <w:numPr>
          <w:ilvl w:val="0"/>
          <w:numId w:val="874"/>
        </w:numPr>
        <w:rPr>
          <w:rFonts w:ascii="Arial" w:hAnsi="Arial" w:cs="Arial"/>
          <w:sz w:val="20"/>
          <w:szCs w:val="20"/>
        </w:rPr>
      </w:pPr>
      <w:r w:rsidRPr="009B7B35">
        <w:rPr>
          <w:rFonts w:ascii="Arial" w:hAnsi="Arial" w:cs="Arial"/>
          <w:sz w:val="20"/>
          <w:szCs w:val="20"/>
        </w:rPr>
        <w:t>Identify and provide guidance about information that may be required to support a development application where subject to the Flood hazard overlay code.</w:t>
      </w:r>
    </w:p>
    <w:p w14:paraId="7662A2B3" w14:textId="77777777" w:rsidR="00BE36FB" w:rsidRPr="009B7B35" w:rsidRDefault="00BE36FB" w:rsidP="00BE36FB">
      <w:pPr>
        <w:numPr>
          <w:ilvl w:val="0"/>
          <w:numId w:val="874"/>
        </w:numPr>
        <w:rPr>
          <w:rFonts w:ascii="Arial" w:hAnsi="Arial" w:cs="Arial"/>
          <w:sz w:val="20"/>
          <w:szCs w:val="20"/>
        </w:rPr>
      </w:pPr>
      <w:r w:rsidRPr="009B7B35">
        <w:rPr>
          <w:rFonts w:ascii="Arial" w:hAnsi="Arial" w:cs="Arial"/>
          <w:sz w:val="20"/>
          <w:szCs w:val="20"/>
        </w:rPr>
        <w:t xml:space="preserve">Identify guidelines that may be relevant to achieving outcomes in the Flood hazard overlay code. </w:t>
      </w:r>
    </w:p>
    <w:p w14:paraId="41089481" w14:textId="77777777" w:rsidR="00BE36FB" w:rsidRPr="009B7B35" w:rsidRDefault="00BE36FB" w:rsidP="007A46D8">
      <w:pPr>
        <w:pStyle w:val="Heading8"/>
        <w:numPr>
          <w:ilvl w:val="7"/>
          <w:numId w:val="834"/>
        </w:numPr>
        <w:rPr>
          <w:rFonts w:ascii="Arial" w:hAnsi="Arial" w:cs="Arial"/>
          <w:sz w:val="20"/>
        </w:rPr>
      </w:pPr>
      <w:bookmarkStart w:id="349" w:name="_Toc205367462"/>
      <w:r w:rsidRPr="009B7B35">
        <w:rPr>
          <w:rFonts w:ascii="Arial" w:hAnsi="Arial" w:cs="Arial"/>
          <w:sz w:val="20"/>
        </w:rPr>
        <w:t>Application</w:t>
      </w:r>
      <w:bookmarkEnd w:id="349"/>
    </w:p>
    <w:p w14:paraId="0135ECDD" w14:textId="77777777" w:rsidR="00BE36FB" w:rsidRPr="009B7B35" w:rsidRDefault="00BE36FB" w:rsidP="001A7107">
      <w:pPr>
        <w:rPr>
          <w:rFonts w:ascii="Arial" w:hAnsi="Arial" w:cs="Arial"/>
          <w:sz w:val="20"/>
          <w:szCs w:val="20"/>
        </w:rPr>
      </w:pPr>
      <w:r w:rsidRPr="009B7B35">
        <w:rPr>
          <w:rFonts w:ascii="Arial" w:hAnsi="Arial" w:cs="Arial"/>
          <w:sz w:val="20"/>
          <w:szCs w:val="20"/>
        </w:rPr>
        <w:t>This planning scheme policy applies to development which requires assessment against the Flood hazard overlay code.</w:t>
      </w:r>
    </w:p>
    <w:p w14:paraId="0CCC7F27" w14:textId="77777777" w:rsidR="00BE36FB" w:rsidRPr="009B7B35" w:rsidRDefault="00BE36FB" w:rsidP="007A46D8">
      <w:pPr>
        <w:pStyle w:val="Heading8"/>
        <w:numPr>
          <w:ilvl w:val="7"/>
          <w:numId w:val="834"/>
        </w:numPr>
        <w:rPr>
          <w:rFonts w:ascii="Arial" w:hAnsi="Arial" w:cs="Arial"/>
          <w:sz w:val="20"/>
        </w:rPr>
      </w:pPr>
      <w:bookmarkStart w:id="350" w:name="_Toc205367463"/>
      <w:r w:rsidRPr="009B7B35">
        <w:rPr>
          <w:rFonts w:ascii="Arial" w:hAnsi="Arial" w:cs="Arial"/>
          <w:sz w:val="20"/>
        </w:rPr>
        <w:t>Background information—Flood mapping</w:t>
      </w:r>
      <w:bookmarkEnd w:id="350"/>
    </w:p>
    <w:p w14:paraId="1C36BCBC" w14:textId="77777777" w:rsidR="00BE36FB" w:rsidRPr="009B7B35" w:rsidRDefault="00BE36FB" w:rsidP="001A7107">
      <w:pPr>
        <w:rPr>
          <w:rFonts w:ascii="Arial" w:hAnsi="Arial" w:cs="Arial"/>
          <w:sz w:val="20"/>
          <w:szCs w:val="20"/>
        </w:rPr>
      </w:pPr>
      <w:r w:rsidRPr="009B7B35">
        <w:rPr>
          <w:rFonts w:ascii="Arial" w:hAnsi="Arial" w:cs="Arial"/>
          <w:sz w:val="20"/>
          <w:szCs w:val="20"/>
        </w:rPr>
        <w:t>Council’s Flood hazard overlay maps are derived from:</w:t>
      </w:r>
    </w:p>
    <w:p w14:paraId="7AF334CC" w14:textId="77777777" w:rsidR="00BE36FB" w:rsidRPr="009B7B35" w:rsidRDefault="00BE36FB" w:rsidP="00BE36FB">
      <w:pPr>
        <w:numPr>
          <w:ilvl w:val="0"/>
          <w:numId w:val="843"/>
        </w:numPr>
        <w:rPr>
          <w:rFonts w:ascii="Arial" w:hAnsi="Arial" w:cs="Arial"/>
          <w:sz w:val="20"/>
          <w:szCs w:val="20"/>
        </w:rPr>
      </w:pPr>
      <w:r w:rsidRPr="009B7B35">
        <w:rPr>
          <w:rFonts w:ascii="Arial" w:hAnsi="Arial" w:cs="Arial"/>
          <w:sz w:val="20"/>
          <w:szCs w:val="20"/>
        </w:rPr>
        <w:t>Detailed flood modelling studies identified in Appendix 1 of this planning scheme policy.</w:t>
      </w:r>
    </w:p>
    <w:p w14:paraId="5F3D7D04" w14:textId="77777777" w:rsidR="00BE36FB" w:rsidRPr="009B7B35" w:rsidRDefault="00BE36FB" w:rsidP="00BE36FB">
      <w:pPr>
        <w:numPr>
          <w:ilvl w:val="0"/>
          <w:numId w:val="843"/>
        </w:numPr>
        <w:rPr>
          <w:rFonts w:ascii="Arial" w:hAnsi="Arial" w:cs="Arial"/>
          <w:sz w:val="20"/>
          <w:szCs w:val="20"/>
        </w:rPr>
      </w:pPr>
      <w:r w:rsidRPr="009B7B35">
        <w:rPr>
          <w:rFonts w:ascii="Arial" w:hAnsi="Arial" w:cs="Arial"/>
          <w:sz w:val="20"/>
          <w:szCs w:val="20"/>
        </w:rPr>
        <w:t>Interim flood assessment overlay mapping completed by the Queensland Reconstruction Authority.</w:t>
      </w:r>
    </w:p>
    <w:p w14:paraId="54F1F145" w14:textId="77777777" w:rsidR="00BE36FB" w:rsidRPr="009B7B35" w:rsidRDefault="00BE36FB" w:rsidP="007A46D8">
      <w:pPr>
        <w:pStyle w:val="Heading8"/>
        <w:numPr>
          <w:ilvl w:val="7"/>
          <w:numId w:val="834"/>
        </w:numPr>
        <w:rPr>
          <w:rFonts w:ascii="Arial" w:hAnsi="Arial" w:cs="Arial"/>
          <w:sz w:val="20"/>
        </w:rPr>
      </w:pPr>
      <w:bookmarkStart w:id="351" w:name="_Toc205367464"/>
      <w:r w:rsidRPr="009B7B35">
        <w:rPr>
          <w:rFonts w:ascii="Arial" w:hAnsi="Arial" w:cs="Arial"/>
          <w:sz w:val="20"/>
        </w:rPr>
        <w:t>Guidelines for achieving Flood hazard overlay code outcomes</w:t>
      </w:r>
      <w:bookmarkEnd w:id="351"/>
      <w:r w:rsidRPr="009B7B35">
        <w:rPr>
          <w:rFonts w:ascii="Arial" w:hAnsi="Arial" w:cs="Arial"/>
          <w:sz w:val="20"/>
        </w:rPr>
        <w:t xml:space="preserve"> </w:t>
      </w:r>
    </w:p>
    <w:p w14:paraId="60C1D6B4" w14:textId="77777777" w:rsidR="00BE36FB" w:rsidRPr="009B7B35" w:rsidRDefault="00BE36FB" w:rsidP="001A7107">
      <w:pPr>
        <w:rPr>
          <w:rFonts w:ascii="Arial" w:hAnsi="Arial" w:cs="Arial"/>
          <w:sz w:val="20"/>
          <w:szCs w:val="20"/>
        </w:rPr>
      </w:pPr>
      <w:r w:rsidRPr="009B7B35">
        <w:rPr>
          <w:rFonts w:ascii="Arial" w:hAnsi="Arial" w:cs="Arial"/>
          <w:sz w:val="20"/>
          <w:szCs w:val="20"/>
        </w:rPr>
        <w:t>For the purposes of the performance outcomes and acceptable outcomes in the Flood hazard overlay code, the following are relevant guidelines:</w:t>
      </w:r>
    </w:p>
    <w:p w14:paraId="0756B426" w14:textId="77777777" w:rsidR="00BE36FB" w:rsidRPr="009B7B35" w:rsidRDefault="00BE36FB" w:rsidP="00BE36FB">
      <w:pPr>
        <w:numPr>
          <w:ilvl w:val="0"/>
          <w:numId w:val="844"/>
        </w:numPr>
        <w:rPr>
          <w:rStyle w:val="StyleItalic"/>
          <w:rFonts w:cs="Arial"/>
          <w:i w:val="0"/>
          <w:szCs w:val="20"/>
        </w:rPr>
      </w:pPr>
      <w:r w:rsidRPr="009B7B35">
        <w:rPr>
          <w:rStyle w:val="StyleItalic"/>
          <w:rFonts w:cs="Arial"/>
          <w:szCs w:val="20"/>
        </w:rPr>
        <w:t>Floodplain Management in Australia: Best Practice Principles and Guidelines SCARM Report 73 (CSIRO, 2000).</w:t>
      </w:r>
    </w:p>
    <w:p w14:paraId="2449D9D7" w14:textId="77777777" w:rsidR="00BE36FB" w:rsidRPr="009B7B35" w:rsidRDefault="00BE36FB" w:rsidP="00BE36FB">
      <w:pPr>
        <w:numPr>
          <w:ilvl w:val="0"/>
          <w:numId w:val="844"/>
        </w:numPr>
        <w:rPr>
          <w:rFonts w:ascii="Arial" w:hAnsi="Arial" w:cs="Arial"/>
          <w:sz w:val="20"/>
          <w:szCs w:val="20"/>
        </w:rPr>
      </w:pPr>
      <w:r w:rsidRPr="009B7B35">
        <w:rPr>
          <w:rFonts w:ascii="Arial" w:hAnsi="Arial" w:cs="Arial"/>
          <w:sz w:val="20"/>
          <w:szCs w:val="20"/>
        </w:rPr>
        <w:t xml:space="preserve">the relevant </w:t>
      </w:r>
      <w:r w:rsidRPr="009B7B35">
        <w:rPr>
          <w:rStyle w:val="StyleItalic"/>
          <w:rFonts w:cs="Arial"/>
          <w:szCs w:val="20"/>
        </w:rPr>
        <w:t xml:space="preserve">State Planning Policy </w:t>
      </w:r>
      <w:r w:rsidRPr="009B7B35">
        <w:rPr>
          <w:rFonts w:ascii="Arial" w:hAnsi="Arial" w:cs="Arial"/>
          <w:sz w:val="20"/>
          <w:szCs w:val="20"/>
        </w:rPr>
        <w:t>(Department of State Development, Infrastructure and Planning) and State Planning Policy Guidelines.</w:t>
      </w:r>
    </w:p>
    <w:p w14:paraId="4036E43F" w14:textId="77777777" w:rsidR="00BE36FB" w:rsidRPr="009B7B35" w:rsidRDefault="00BE36FB" w:rsidP="00BE36FB">
      <w:pPr>
        <w:numPr>
          <w:ilvl w:val="0"/>
          <w:numId w:val="844"/>
        </w:numPr>
        <w:rPr>
          <w:rFonts w:ascii="Arial" w:hAnsi="Arial" w:cs="Arial"/>
          <w:sz w:val="20"/>
          <w:szCs w:val="20"/>
        </w:rPr>
      </w:pPr>
      <w:r w:rsidRPr="009B7B35">
        <w:rPr>
          <w:rStyle w:val="StyleItalic"/>
          <w:rFonts w:cs="Arial"/>
          <w:szCs w:val="20"/>
        </w:rPr>
        <w:t>Planning for stronger more resilient floodplains</w:t>
      </w:r>
      <w:r w:rsidRPr="009B7B35">
        <w:rPr>
          <w:rFonts w:ascii="Arial" w:hAnsi="Arial" w:cs="Arial"/>
          <w:sz w:val="20"/>
          <w:szCs w:val="20"/>
        </w:rPr>
        <w:t>, Part 2, Measures to support floodplain management in future planning scheme (Queensland Reconstruction Authority, 2012).</w:t>
      </w:r>
    </w:p>
    <w:p w14:paraId="14DF283F" w14:textId="77777777" w:rsidR="00BE36FB" w:rsidRPr="009B7B35" w:rsidRDefault="00BE36FB" w:rsidP="00BE36FB">
      <w:pPr>
        <w:numPr>
          <w:ilvl w:val="0"/>
          <w:numId w:val="844"/>
        </w:numPr>
        <w:rPr>
          <w:rFonts w:ascii="Arial" w:hAnsi="Arial" w:cs="Arial"/>
          <w:sz w:val="20"/>
          <w:szCs w:val="20"/>
        </w:rPr>
      </w:pPr>
      <w:r w:rsidRPr="009B7B35">
        <w:rPr>
          <w:rStyle w:val="StyleItalic"/>
          <w:rFonts w:cs="Arial"/>
          <w:szCs w:val="20"/>
        </w:rPr>
        <w:t>Queensland Urban Drainage Manual</w:t>
      </w:r>
      <w:r w:rsidRPr="009B7B35">
        <w:rPr>
          <w:rFonts w:ascii="Arial" w:hAnsi="Arial" w:cs="Arial"/>
          <w:sz w:val="20"/>
          <w:szCs w:val="20"/>
        </w:rPr>
        <w:t xml:space="preserve"> 2013 (QUDM), (Department of Energy and Water Supply).</w:t>
      </w:r>
    </w:p>
    <w:p w14:paraId="5017A6D1" w14:textId="77777777" w:rsidR="00BE36FB" w:rsidRPr="009B7B35" w:rsidRDefault="00BE36FB" w:rsidP="00BE36FB">
      <w:pPr>
        <w:numPr>
          <w:ilvl w:val="0"/>
          <w:numId w:val="844"/>
        </w:numPr>
        <w:rPr>
          <w:rFonts w:ascii="Arial" w:hAnsi="Arial" w:cs="Arial"/>
          <w:sz w:val="20"/>
          <w:szCs w:val="20"/>
        </w:rPr>
      </w:pPr>
      <w:r w:rsidRPr="009B7B35">
        <w:rPr>
          <w:rFonts w:ascii="Arial" w:hAnsi="Arial" w:cs="Arial"/>
          <w:sz w:val="20"/>
          <w:szCs w:val="20"/>
        </w:rPr>
        <w:t>Australian Rainfall and Runoff (IEAust, 1999).</w:t>
      </w:r>
    </w:p>
    <w:p w14:paraId="36678707" w14:textId="77777777" w:rsidR="00BE36FB" w:rsidRPr="009B7B35" w:rsidRDefault="00BE36FB" w:rsidP="007A46D8">
      <w:pPr>
        <w:pStyle w:val="Heading8"/>
        <w:numPr>
          <w:ilvl w:val="7"/>
          <w:numId w:val="834"/>
        </w:numPr>
        <w:rPr>
          <w:rFonts w:ascii="Arial" w:hAnsi="Arial" w:cs="Arial"/>
          <w:sz w:val="20"/>
        </w:rPr>
      </w:pPr>
      <w:bookmarkStart w:id="352" w:name="_Toc205367465"/>
      <w:r w:rsidRPr="009B7B35">
        <w:rPr>
          <w:rFonts w:ascii="Arial" w:hAnsi="Arial" w:cs="Arial"/>
          <w:sz w:val="20"/>
        </w:rPr>
        <w:t>Climate change/variability</w:t>
      </w:r>
      <w:bookmarkEnd w:id="352"/>
    </w:p>
    <w:p w14:paraId="3CB3EEFC" w14:textId="77777777" w:rsidR="00BE36FB" w:rsidRPr="009B7B35" w:rsidRDefault="00BE36FB" w:rsidP="001A7107">
      <w:pPr>
        <w:rPr>
          <w:rFonts w:ascii="Arial" w:hAnsi="Arial" w:cs="Arial"/>
          <w:sz w:val="20"/>
          <w:szCs w:val="20"/>
        </w:rPr>
      </w:pPr>
      <w:r w:rsidRPr="009B7B35">
        <w:rPr>
          <w:rFonts w:ascii="Arial" w:hAnsi="Arial" w:cs="Arial"/>
          <w:sz w:val="20"/>
          <w:szCs w:val="20"/>
        </w:rPr>
        <w:t>Climate change/variability investigations must include tailwater increases that account for a projected sea level rise of 0.8m and must include the effects of an increase in 1% AEP rainfall intensity of 20%.</w:t>
      </w:r>
    </w:p>
    <w:p w14:paraId="5DE41269" w14:textId="77777777" w:rsidR="00BE36FB" w:rsidRPr="009B7B35" w:rsidRDefault="00BE36FB" w:rsidP="007A46D8">
      <w:pPr>
        <w:pStyle w:val="Heading8"/>
        <w:numPr>
          <w:ilvl w:val="7"/>
          <w:numId w:val="834"/>
        </w:numPr>
        <w:rPr>
          <w:rFonts w:ascii="Arial" w:hAnsi="Arial" w:cs="Arial"/>
          <w:sz w:val="20"/>
        </w:rPr>
      </w:pPr>
      <w:bookmarkStart w:id="353" w:name="_Toc205367466"/>
      <w:r w:rsidRPr="009B7B35">
        <w:rPr>
          <w:rFonts w:ascii="Arial" w:hAnsi="Arial" w:cs="Arial"/>
          <w:sz w:val="20"/>
        </w:rPr>
        <w:t>Guidelines for the preparation of a flood hazard assessment report and flood hazard mitigation report</w:t>
      </w:r>
      <w:bookmarkEnd w:id="353"/>
      <w:r w:rsidRPr="009B7B35">
        <w:rPr>
          <w:rFonts w:ascii="Arial" w:hAnsi="Arial" w:cs="Arial"/>
          <w:sz w:val="20"/>
        </w:rPr>
        <w:t xml:space="preserve"> </w:t>
      </w:r>
    </w:p>
    <w:p w14:paraId="11A33052" w14:textId="77777777" w:rsidR="00BE36FB" w:rsidRPr="009B7B35" w:rsidRDefault="00BE36FB" w:rsidP="00BE36FB">
      <w:pPr>
        <w:numPr>
          <w:ilvl w:val="0"/>
          <w:numId w:val="845"/>
        </w:numPr>
        <w:rPr>
          <w:rFonts w:ascii="Arial" w:hAnsi="Arial" w:cs="Arial"/>
          <w:sz w:val="20"/>
          <w:szCs w:val="20"/>
        </w:rPr>
      </w:pPr>
      <w:r w:rsidRPr="009B7B35">
        <w:rPr>
          <w:rFonts w:ascii="Arial" w:hAnsi="Arial" w:cs="Arial"/>
          <w:sz w:val="20"/>
          <w:szCs w:val="20"/>
        </w:rPr>
        <w:t>Flood hazard assessment report</w:t>
      </w:r>
    </w:p>
    <w:p w14:paraId="3C817C07"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A flood hazard assessment report is to be certified by a Registered Professional Engineer Queensland with demonstrated expertise in hydrology, hydraulic modelling and stormwater engineering and is to:</w:t>
      </w:r>
    </w:p>
    <w:p w14:paraId="4E7FE1E6"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 xml:space="preserve">Be prepared in accordance with the methodology prescribed in Queensland Reconstruction Authorities publication </w:t>
      </w:r>
      <w:r w:rsidRPr="009B7B35">
        <w:rPr>
          <w:rStyle w:val="StyleItalic"/>
          <w:rFonts w:cs="Arial"/>
          <w:szCs w:val="20"/>
        </w:rPr>
        <w:t>Planning for stronger more resilient floodplains Part 2.</w:t>
      </w:r>
    </w:p>
    <w:p w14:paraId="1B0A07BA"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Include accurate hydrological and hydraulic modelling of the waterway network and assessment of existing flooding and flood levels of major water systems including accounting for climate change/variability.</w:t>
      </w:r>
    </w:p>
    <w:p w14:paraId="6AD735DF"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Include modelling of the 10%, 2% 1%, 0.5%, 0.2% and 0.1% AEP flood events and any other relevant AEPs based on development category and the PMF. This analysis is to include volumes, depths of flooding, and velocity.</w:t>
      </w:r>
    </w:p>
    <w:p w14:paraId="5D3A9AE7"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Include a qualitative assessment of the piped drainage and hydraulic analysis of the drainage network particularly in relation to the potential for a regional event to cause backflow flooding of the drainage network.</w:t>
      </w:r>
    </w:p>
    <w:p w14:paraId="2C558987"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Address the potential impacts of climate change.</w:t>
      </w:r>
    </w:p>
    <w:p w14:paraId="6889D250" w14:textId="77777777" w:rsidR="00BE36FB" w:rsidRPr="009B7B35" w:rsidRDefault="00BE36FB" w:rsidP="00BE36FB">
      <w:pPr>
        <w:numPr>
          <w:ilvl w:val="0"/>
          <w:numId w:val="845"/>
        </w:numPr>
        <w:rPr>
          <w:rFonts w:ascii="Arial" w:hAnsi="Arial" w:cs="Arial"/>
          <w:sz w:val="20"/>
          <w:szCs w:val="20"/>
        </w:rPr>
      </w:pPr>
      <w:r w:rsidRPr="009B7B35">
        <w:rPr>
          <w:rFonts w:ascii="Arial" w:hAnsi="Arial" w:cs="Arial"/>
          <w:sz w:val="20"/>
          <w:szCs w:val="20"/>
        </w:rPr>
        <w:t>Flood hazard mitigation report</w:t>
      </w:r>
    </w:p>
    <w:p w14:paraId="0A5631D7"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A flood hazard mitigation report is to:</w:t>
      </w:r>
    </w:p>
    <w:p w14:paraId="27C2B25D"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Assess the potential impacts of the development on flood hazard.</w:t>
      </w:r>
    </w:p>
    <w:p w14:paraId="73416888"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Assess the potential impacts of flood hazard on the development.</w:t>
      </w:r>
    </w:p>
    <w:p w14:paraId="2F5425F0"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Recommend strategies to be incorporated into the proposed development to satisfy the outcomes of the Flood hazard overlay code.</w:t>
      </w:r>
    </w:p>
    <w:p w14:paraId="4A403DD5"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Describe and evaluate the impact of the proposed mitigation strategies on the existing and likely future use of land and buildings in proximity to the proposed development.</w:t>
      </w:r>
    </w:p>
    <w:p w14:paraId="1D90DF76"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Address the following:</w:t>
      </w:r>
    </w:p>
    <w:p w14:paraId="59D9657E" w14:textId="77777777"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waterways, including bank stability</w:t>
      </w:r>
    </w:p>
    <w:p w14:paraId="04177263" w14:textId="77777777"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impacts on adjacent properties both upstream and downstream</w:t>
      </w:r>
    </w:p>
    <w:p w14:paraId="128BEAC1" w14:textId="77777777"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preferred areas and non-preferred areas on site for various activities, based on the probability of inundation and the volume, depth, velocity and depth velocity products of flows. The preferred areas are also the be based on availability of evacuation routes</w:t>
      </w:r>
    </w:p>
    <w:p w14:paraId="1CB996BA" w14:textId="77777777"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the use of flood resistant materials and construction techniques able to withstand relevant hydraulic and debris loads where appropriate</w:t>
      </w:r>
    </w:p>
    <w:p w14:paraId="16D82248" w14:textId="77777777"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the location and height of means of ingress and egress, including possible flood-free escape routes which are to be passible by a two wheel drive sedan during the 1% AEP flood event.</w:t>
      </w:r>
    </w:p>
    <w:p w14:paraId="7CA7ED48" w14:textId="77777777"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the location and height of buildings, particularly habitable floor areas</w:t>
      </w:r>
    </w:p>
    <w:p w14:paraId="5146EE26" w14:textId="77777777"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structural design, including the design of footings and foundations to take account of static and dynamic loads (including debris loads and any reduced bearing capacity owing to submerged soils)</w:t>
      </w:r>
    </w:p>
    <w:p w14:paraId="292AFF8C" w14:textId="77777777"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the location and design of plant and equipment, including electrical fittings</w:t>
      </w:r>
    </w:p>
    <w:p w14:paraId="719A6C3B" w14:textId="77777777"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the storage of materials which are likely to cause environmental harm if released as a result of inundation or stormwater flows</w:t>
      </w:r>
    </w:p>
    <w:p w14:paraId="4C37137C" w14:textId="77777777"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the appropriate treatment of water supply, sanitation systems and other relevant infrastructure</w:t>
      </w:r>
    </w:p>
    <w:p w14:paraId="77F36638" w14:textId="77777777"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relevant management practices, including flood warning and evacuation measures</w:t>
      </w:r>
    </w:p>
    <w:p w14:paraId="4FA55AF1" w14:textId="77777777"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 xml:space="preserve">details of any easements or reserves required for stormwater design, and </w:t>
      </w:r>
    </w:p>
    <w:p w14:paraId="159EBF46" w14:textId="77777777" w:rsidR="00BE36FB" w:rsidRPr="009B7B35" w:rsidRDefault="00BE36FB" w:rsidP="00BE36FB">
      <w:pPr>
        <w:numPr>
          <w:ilvl w:val="3"/>
          <w:numId w:val="845"/>
        </w:numPr>
        <w:rPr>
          <w:rFonts w:ascii="Arial" w:hAnsi="Arial" w:cs="Arial"/>
          <w:sz w:val="20"/>
          <w:szCs w:val="20"/>
        </w:rPr>
      </w:pPr>
      <w:r w:rsidRPr="009B7B35">
        <w:rPr>
          <w:rFonts w:ascii="Arial" w:hAnsi="Arial" w:cs="Arial"/>
          <w:sz w:val="20"/>
          <w:szCs w:val="20"/>
        </w:rPr>
        <w:t>details of detention/retention storages to achieve non worsening and located above the 1% AEP flood level.</w:t>
      </w:r>
    </w:p>
    <w:p w14:paraId="061C8D3E" w14:textId="77777777" w:rsidR="00BE36FB" w:rsidRPr="009B7B35" w:rsidRDefault="00BE36FB" w:rsidP="00BE36FB">
      <w:pPr>
        <w:numPr>
          <w:ilvl w:val="0"/>
          <w:numId w:val="845"/>
        </w:numPr>
        <w:rPr>
          <w:rFonts w:ascii="Arial" w:hAnsi="Arial" w:cs="Arial"/>
          <w:sz w:val="20"/>
          <w:szCs w:val="20"/>
        </w:rPr>
      </w:pPr>
      <w:r w:rsidRPr="009B7B35">
        <w:rPr>
          <w:rFonts w:ascii="Arial" w:hAnsi="Arial" w:cs="Arial"/>
          <w:sz w:val="20"/>
          <w:szCs w:val="20"/>
        </w:rPr>
        <w:t>Flood risk management</w:t>
      </w:r>
    </w:p>
    <w:p w14:paraId="10632877"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A flood risk assessment is:</w:t>
      </w:r>
    </w:p>
    <w:p w14:paraId="471425C3"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Only required to address a performance outcome of the Flood hazard overlay code where the proposed land use is not compatible with the acceptable outcomes of the code.</w:t>
      </w:r>
    </w:p>
    <w:p w14:paraId="6AF97D15"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To be carried out by a Registered Professional Engineer Queensland with demonstrated expertise in flood risk management and shall comply with the procedures outlined in AS/NZS ISO31000:2009 Risk Management.</w:t>
      </w:r>
    </w:p>
    <w:p w14:paraId="00408745"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To ensure that risks are compatible with the flood hazard and level of flood immunity and the risks to people and property is minimised.</w:t>
      </w:r>
    </w:p>
    <w:p w14:paraId="46920043" w14:textId="77777777" w:rsidR="00BE36FB" w:rsidRPr="009B7B35" w:rsidRDefault="00BE36FB" w:rsidP="00BE36FB">
      <w:pPr>
        <w:numPr>
          <w:ilvl w:val="1"/>
          <w:numId w:val="845"/>
        </w:numPr>
        <w:rPr>
          <w:rFonts w:ascii="Arial" w:hAnsi="Arial" w:cs="Arial"/>
          <w:sz w:val="20"/>
          <w:szCs w:val="20"/>
        </w:rPr>
      </w:pPr>
      <w:r w:rsidRPr="009B7B35">
        <w:rPr>
          <w:rFonts w:ascii="Arial" w:hAnsi="Arial" w:cs="Arial"/>
          <w:sz w:val="20"/>
          <w:szCs w:val="20"/>
        </w:rPr>
        <w:t>A risk assessment process should include the following elements:</w:t>
      </w:r>
    </w:p>
    <w:p w14:paraId="6A20EBE5"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The number of people likely to be at risk and may need to be evacuated.</w:t>
      </w:r>
    </w:p>
    <w:p w14:paraId="0C06AB74"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Hazards associated with floods larger than the DFE.</w:t>
      </w:r>
    </w:p>
    <w:p w14:paraId="76EC2CE5"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Flood warning time.</w:t>
      </w:r>
    </w:p>
    <w:p w14:paraId="5D835064"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Evacuation routes and the safety thereof.</w:t>
      </w:r>
    </w:p>
    <w:p w14:paraId="11AFE845"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The potential for isolation for extended periods.</w:t>
      </w:r>
    </w:p>
    <w:p w14:paraId="246E4DAC"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 xml:space="preserve">The impact to special needs groups (the publication </w:t>
      </w:r>
      <w:r w:rsidRPr="009B7B35">
        <w:rPr>
          <w:rFonts w:ascii="Arial" w:hAnsi="Arial" w:cs="Arial"/>
          <w:i/>
          <w:sz w:val="20"/>
          <w:szCs w:val="20"/>
        </w:rPr>
        <w:t>Evacuation Planning by Emergency Management Australia</w:t>
      </w:r>
      <w:r w:rsidRPr="009B7B35">
        <w:rPr>
          <w:rFonts w:ascii="Arial" w:hAnsi="Arial" w:cs="Arial"/>
          <w:sz w:val="20"/>
          <w:szCs w:val="20"/>
        </w:rPr>
        <w:t xml:space="preserve"> lists special needs groups).</w:t>
      </w:r>
    </w:p>
    <w:p w14:paraId="36A69893"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Flood recovery times and economic impacts.</w:t>
      </w:r>
    </w:p>
    <w:p w14:paraId="3038181E" w14:textId="77777777" w:rsidR="00BE36FB" w:rsidRPr="009B7B35" w:rsidRDefault="00BE36FB" w:rsidP="00BE36FB">
      <w:pPr>
        <w:numPr>
          <w:ilvl w:val="2"/>
          <w:numId w:val="845"/>
        </w:numPr>
        <w:rPr>
          <w:rFonts w:ascii="Arial" w:hAnsi="Arial" w:cs="Arial"/>
          <w:sz w:val="20"/>
          <w:szCs w:val="20"/>
        </w:rPr>
      </w:pPr>
      <w:r w:rsidRPr="009B7B35">
        <w:rPr>
          <w:rFonts w:ascii="Arial" w:hAnsi="Arial" w:cs="Arial"/>
          <w:sz w:val="20"/>
          <w:szCs w:val="20"/>
        </w:rPr>
        <w:t>Impacts of greater rainfall intensity.</w:t>
      </w:r>
    </w:p>
    <w:p w14:paraId="73021322" w14:textId="77777777" w:rsidR="00BE36FB" w:rsidRPr="009B7B35" w:rsidRDefault="00BE36FB" w:rsidP="007A46D8">
      <w:pPr>
        <w:pStyle w:val="Heading8"/>
        <w:numPr>
          <w:ilvl w:val="7"/>
          <w:numId w:val="834"/>
        </w:numPr>
        <w:rPr>
          <w:rFonts w:ascii="Arial" w:hAnsi="Arial" w:cs="Arial"/>
          <w:sz w:val="20"/>
        </w:rPr>
      </w:pPr>
      <w:bookmarkStart w:id="354" w:name="_Toc205367467"/>
      <w:r w:rsidRPr="009B7B35">
        <w:rPr>
          <w:rFonts w:ascii="Arial" w:hAnsi="Arial" w:cs="Arial"/>
          <w:sz w:val="20"/>
        </w:rPr>
        <w:t>Appendix 1</w:t>
      </w:r>
      <w:bookmarkEnd w:id="354"/>
    </w:p>
    <w:p w14:paraId="31A4F032" w14:textId="77777777" w:rsidR="00BE36FB" w:rsidRPr="009B7B35" w:rsidRDefault="00BE36FB" w:rsidP="001A7107">
      <w:pPr>
        <w:rPr>
          <w:rFonts w:ascii="Arial" w:hAnsi="Arial" w:cs="Arial"/>
          <w:sz w:val="20"/>
          <w:szCs w:val="20"/>
        </w:rPr>
      </w:pPr>
      <w:r w:rsidRPr="009B7B35">
        <w:rPr>
          <w:rStyle w:val="StyleItalic"/>
          <w:rFonts w:cs="Arial"/>
          <w:szCs w:val="20"/>
        </w:rPr>
        <w:t>Calliope River Flood Risk Assessment Study</w:t>
      </w:r>
      <w:r w:rsidRPr="009B7B35">
        <w:rPr>
          <w:rFonts w:ascii="Arial" w:hAnsi="Arial" w:cs="Arial"/>
          <w:sz w:val="20"/>
          <w:szCs w:val="20"/>
        </w:rPr>
        <w:t>, Sargent Consulting, April 2006.</w:t>
      </w:r>
    </w:p>
    <w:p w14:paraId="1F9F76EC" w14:textId="77777777" w:rsidR="00BE36FB" w:rsidRPr="009B7B35" w:rsidRDefault="00BE36FB" w:rsidP="001A7107">
      <w:pPr>
        <w:rPr>
          <w:rStyle w:val="StyleItalic"/>
          <w:rFonts w:cs="Arial"/>
          <w:szCs w:val="20"/>
        </w:rPr>
      </w:pPr>
      <w:r w:rsidRPr="009B7B35">
        <w:rPr>
          <w:rStyle w:val="StyleItalic"/>
          <w:rFonts w:cs="Arial"/>
          <w:szCs w:val="20"/>
        </w:rPr>
        <w:t>Auckland Creek Flood Study Report</w:t>
      </w:r>
      <w:r w:rsidRPr="009B7B35">
        <w:rPr>
          <w:rFonts w:ascii="Arial" w:hAnsi="Arial" w:cs="Arial"/>
          <w:sz w:val="20"/>
          <w:szCs w:val="20"/>
        </w:rPr>
        <w:t>, GHD, August 2006.</w:t>
      </w:r>
    </w:p>
    <w:p w14:paraId="43A1FD86" w14:textId="77777777" w:rsidR="00BE36FB" w:rsidRPr="009B7B35" w:rsidRDefault="00BE36FB" w:rsidP="001A7107">
      <w:pPr>
        <w:rPr>
          <w:rFonts w:ascii="Arial" w:hAnsi="Arial" w:cs="Arial"/>
          <w:sz w:val="20"/>
          <w:szCs w:val="20"/>
        </w:rPr>
      </w:pPr>
      <w:r w:rsidRPr="009B7B35">
        <w:rPr>
          <w:rStyle w:val="StyleItalic"/>
          <w:rFonts w:cs="Arial"/>
          <w:szCs w:val="20"/>
        </w:rPr>
        <w:t xml:space="preserve">Report on Awoonga Dam, Boyne River Dam Break and </w:t>
      </w:r>
      <w:r w:rsidRPr="009B7B35">
        <w:rPr>
          <w:rFonts w:ascii="Arial" w:hAnsi="Arial" w:cs="Arial"/>
          <w:i/>
          <w:iCs/>
          <w:sz w:val="20"/>
          <w:szCs w:val="20"/>
        </w:rPr>
        <w:t xml:space="preserve">Flood Modelling Study, </w:t>
      </w:r>
      <w:r w:rsidRPr="009B7B35">
        <w:rPr>
          <w:rFonts w:ascii="Arial" w:hAnsi="Arial" w:cs="Arial"/>
          <w:sz w:val="20"/>
          <w:szCs w:val="20"/>
        </w:rPr>
        <w:t>Sunwater, October 2003.</w:t>
      </w:r>
    </w:p>
    <w:p w14:paraId="3887C397" w14:textId="77777777" w:rsidR="00BE36FB" w:rsidRPr="009B7B35" w:rsidRDefault="00BE36FB" w:rsidP="007A46D8">
      <w:pPr>
        <w:pStyle w:val="Heading8"/>
        <w:numPr>
          <w:ilvl w:val="7"/>
          <w:numId w:val="834"/>
        </w:numPr>
        <w:rPr>
          <w:rFonts w:ascii="Arial" w:hAnsi="Arial" w:cs="Arial"/>
          <w:sz w:val="20"/>
        </w:rPr>
      </w:pPr>
      <w:bookmarkStart w:id="355" w:name="_Toc205367468"/>
      <w:r w:rsidRPr="009B7B35">
        <w:rPr>
          <w:rFonts w:ascii="Arial" w:hAnsi="Arial" w:cs="Arial"/>
          <w:sz w:val="20"/>
        </w:rPr>
        <w:t>Floodplain risk management</w:t>
      </w:r>
      <w:bookmarkEnd w:id="355"/>
    </w:p>
    <w:p w14:paraId="4B673D63" w14:textId="77777777" w:rsidR="00BE36FB" w:rsidRPr="009B7B35" w:rsidRDefault="00BE36FB" w:rsidP="001A7107">
      <w:pPr>
        <w:rPr>
          <w:rFonts w:ascii="Arial" w:hAnsi="Arial" w:cs="Arial"/>
          <w:sz w:val="20"/>
          <w:szCs w:val="20"/>
        </w:rPr>
      </w:pPr>
      <w:r w:rsidRPr="009B7B35">
        <w:rPr>
          <w:rFonts w:ascii="Arial" w:hAnsi="Arial" w:cs="Arial"/>
          <w:sz w:val="20"/>
          <w:szCs w:val="20"/>
        </w:rPr>
        <w:t>The flood management strategy used by the Council is based on the principles of floodplain risk management to ensure that development on a floodplain occurs having regard to:</w:t>
      </w:r>
    </w:p>
    <w:p w14:paraId="52AAEE62" w14:textId="77777777" w:rsidR="00BE36FB" w:rsidRPr="009B7B35" w:rsidRDefault="00BE36FB" w:rsidP="00BE36FB">
      <w:pPr>
        <w:numPr>
          <w:ilvl w:val="0"/>
          <w:numId w:val="846"/>
        </w:numPr>
        <w:rPr>
          <w:rFonts w:ascii="Arial" w:hAnsi="Arial" w:cs="Arial"/>
          <w:sz w:val="20"/>
          <w:szCs w:val="20"/>
        </w:rPr>
      </w:pPr>
      <w:r w:rsidRPr="009B7B35">
        <w:rPr>
          <w:rFonts w:ascii="Arial" w:hAnsi="Arial" w:cs="Arial"/>
          <w:sz w:val="20"/>
          <w:szCs w:val="20"/>
        </w:rPr>
        <w:t>The compatibility of the development type with the flood hazard to minimise the risk to people’s safety or structural damage to buildings.</w:t>
      </w:r>
    </w:p>
    <w:p w14:paraId="02880344" w14:textId="77777777" w:rsidR="00BE36FB" w:rsidRPr="009B7B35" w:rsidRDefault="00BE36FB" w:rsidP="00BE36FB">
      <w:pPr>
        <w:numPr>
          <w:ilvl w:val="0"/>
          <w:numId w:val="846"/>
        </w:numPr>
        <w:rPr>
          <w:rFonts w:ascii="Arial" w:hAnsi="Arial" w:cs="Arial"/>
          <w:sz w:val="20"/>
          <w:szCs w:val="20"/>
        </w:rPr>
      </w:pPr>
      <w:r w:rsidRPr="009B7B35">
        <w:rPr>
          <w:rFonts w:ascii="Arial" w:hAnsi="Arial" w:cs="Arial"/>
          <w:sz w:val="20"/>
          <w:szCs w:val="20"/>
        </w:rPr>
        <w:t>The social, economic and environmental costs and benefits of developing within a floodplain when balanced against the flood risks.</w:t>
      </w:r>
    </w:p>
    <w:p w14:paraId="36F1FD21" w14:textId="77777777" w:rsidR="00BE36FB" w:rsidRPr="009B7B35" w:rsidRDefault="00BE36FB" w:rsidP="00BE36FB">
      <w:pPr>
        <w:numPr>
          <w:ilvl w:val="0"/>
          <w:numId w:val="846"/>
        </w:numPr>
        <w:rPr>
          <w:rFonts w:ascii="Arial" w:hAnsi="Arial" w:cs="Arial"/>
          <w:sz w:val="20"/>
          <w:szCs w:val="20"/>
        </w:rPr>
      </w:pPr>
      <w:r w:rsidRPr="009B7B35">
        <w:rPr>
          <w:rFonts w:ascii="Arial" w:hAnsi="Arial" w:cs="Arial"/>
          <w:sz w:val="20"/>
          <w:szCs w:val="20"/>
        </w:rPr>
        <w:t>While development controls may apply to land affected by the defined flood events which is typically, but not always a 1% AEP flood event, significantly larger floods can occur up to a probable maximum flood. Some types of development that are more susceptible to flooding will need to consider, mitigate for or design to floods larger than the 1% AEP.</w:t>
      </w:r>
    </w:p>
    <w:p w14:paraId="7C88A205" w14:textId="77777777" w:rsidR="00BE36FB" w:rsidRPr="009B7B35" w:rsidRDefault="00BE36FB" w:rsidP="00BE36FB">
      <w:pPr>
        <w:numPr>
          <w:ilvl w:val="0"/>
          <w:numId w:val="846"/>
        </w:numPr>
        <w:rPr>
          <w:rFonts w:ascii="Arial" w:hAnsi="Arial" w:cs="Arial"/>
          <w:sz w:val="20"/>
          <w:szCs w:val="20"/>
        </w:rPr>
      </w:pPr>
      <w:r w:rsidRPr="009B7B35">
        <w:rPr>
          <w:rFonts w:ascii="Arial" w:hAnsi="Arial" w:cs="Arial"/>
          <w:sz w:val="20"/>
          <w:szCs w:val="20"/>
        </w:rPr>
        <w:t>When considering the safety of people, a full range of flood probabilities up to the probable maximum flood need to be considered. Development should not wholly rely on Council's disaster management response for managing the risk with such rare floods, although it is a consideration in managing the risk.</w:t>
      </w:r>
    </w:p>
    <w:p w14:paraId="20BC9227" w14:textId="77777777" w:rsidR="00BE36FB" w:rsidRPr="009B7B35" w:rsidRDefault="00BE36FB" w:rsidP="007A46D8">
      <w:pPr>
        <w:pStyle w:val="Heading7"/>
        <w:numPr>
          <w:ilvl w:val="6"/>
          <w:numId w:val="834"/>
        </w:numPr>
        <w:rPr>
          <w:rFonts w:cs="Arial"/>
          <w:sz w:val="20"/>
          <w:szCs w:val="20"/>
        </w:rPr>
      </w:pPr>
      <w:bookmarkStart w:id="356" w:name="_Toc205367469"/>
      <w:r w:rsidRPr="009B7B35">
        <w:rPr>
          <w:rFonts w:cs="Arial"/>
          <w:sz w:val="20"/>
          <w:szCs w:val="20"/>
        </w:rPr>
        <w:t>Heritage</w:t>
      </w:r>
      <w:bookmarkEnd w:id="356"/>
    </w:p>
    <w:p w14:paraId="7D3FB137" w14:textId="77777777" w:rsidR="00BE36FB" w:rsidRPr="009B7B35" w:rsidRDefault="00BE36FB" w:rsidP="007A46D8">
      <w:pPr>
        <w:pStyle w:val="Heading8"/>
        <w:numPr>
          <w:ilvl w:val="7"/>
          <w:numId w:val="834"/>
        </w:numPr>
        <w:rPr>
          <w:rFonts w:ascii="Arial" w:hAnsi="Arial" w:cs="Arial"/>
          <w:sz w:val="20"/>
        </w:rPr>
      </w:pPr>
      <w:bookmarkStart w:id="357" w:name="_Toc205367470"/>
      <w:r w:rsidRPr="009B7B35">
        <w:rPr>
          <w:rFonts w:ascii="Arial" w:hAnsi="Arial" w:cs="Arial"/>
          <w:sz w:val="20"/>
        </w:rPr>
        <w:t>Introduction</w:t>
      </w:r>
      <w:bookmarkEnd w:id="357"/>
    </w:p>
    <w:p w14:paraId="0F7E7D06" w14:textId="77777777" w:rsidR="00BE36FB" w:rsidRPr="009B7B35" w:rsidRDefault="00BE36FB" w:rsidP="001A7107">
      <w:pPr>
        <w:rPr>
          <w:rFonts w:ascii="Arial" w:hAnsi="Arial" w:cs="Arial"/>
          <w:sz w:val="20"/>
          <w:szCs w:val="20"/>
        </w:rPr>
      </w:pPr>
      <w:r w:rsidRPr="009B7B35">
        <w:rPr>
          <w:rFonts w:ascii="Arial" w:hAnsi="Arial" w:cs="Arial"/>
          <w:sz w:val="20"/>
          <w:szCs w:val="20"/>
        </w:rPr>
        <w:t>Short Title—The planning scheme policy may be cited as the Heritage PSP.</w:t>
      </w:r>
    </w:p>
    <w:p w14:paraId="028F1458" w14:textId="77777777" w:rsidR="00BE36FB" w:rsidRPr="009B7B35" w:rsidRDefault="00BE36FB" w:rsidP="007A46D8">
      <w:pPr>
        <w:pStyle w:val="Heading8"/>
        <w:numPr>
          <w:ilvl w:val="7"/>
          <w:numId w:val="834"/>
        </w:numPr>
        <w:rPr>
          <w:rFonts w:ascii="Arial" w:hAnsi="Arial" w:cs="Arial"/>
          <w:sz w:val="20"/>
        </w:rPr>
      </w:pPr>
      <w:bookmarkStart w:id="358" w:name="_Toc205367471"/>
      <w:r w:rsidRPr="009B7B35">
        <w:rPr>
          <w:rFonts w:ascii="Arial" w:hAnsi="Arial" w:cs="Arial"/>
          <w:sz w:val="20"/>
        </w:rPr>
        <w:t>Purpose</w:t>
      </w:r>
      <w:bookmarkEnd w:id="358"/>
    </w:p>
    <w:p w14:paraId="460C1A2F" w14:textId="77777777" w:rsidR="00BE36FB" w:rsidRPr="009B7B35" w:rsidRDefault="00BE36FB" w:rsidP="001A7107">
      <w:pPr>
        <w:rPr>
          <w:rFonts w:ascii="Arial" w:hAnsi="Arial" w:cs="Arial"/>
          <w:sz w:val="20"/>
          <w:szCs w:val="20"/>
        </w:rPr>
      </w:pPr>
      <w:r w:rsidRPr="009B7B35">
        <w:rPr>
          <w:rFonts w:ascii="Arial" w:hAnsi="Arial" w:cs="Arial"/>
          <w:sz w:val="20"/>
          <w:szCs w:val="20"/>
        </w:rPr>
        <w:t>The purpose of the planning scheme policy is to provide applicants with additional information and guidance in meeting the requirements of the Heritage overlay code.</w:t>
      </w:r>
    </w:p>
    <w:p w14:paraId="595548FA" w14:textId="77777777" w:rsidR="00BE36FB" w:rsidRPr="009B7B35" w:rsidRDefault="00BE36FB" w:rsidP="007A46D8">
      <w:pPr>
        <w:pStyle w:val="Heading8"/>
        <w:numPr>
          <w:ilvl w:val="7"/>
          <w:numId w:val="834"/>
        </w:numPr>
        <w:rPr>
          <w:rFonts w:ascii="Arial" w:hAnsi="Arial" w:cs="Arial"/>
          <w:sz w:val="20"/>
        </w:rPr>
      </w:pPr>
      <w:bookmarkStart w:id="359" w:name="_Toc205367472"/>
      <w:r w:rsidRPr="009B7B35">
        <w:rPr>
          <w:rFonts w:ascii="Arial" w:hAnsi="Arial" w:cs="Arial"/>
          <w:sz w:val="20"/>
        </w:rPr>
        <w:t>Legislative authority</w:t>
      </w:r>
      <w:bookmarkEnd w:id="359"/>
    </w:p>
    <w:p w14:paraId="37DD8FBD" w14:textId="77777777" w:rsidR="00BE36FB" w:rsidRPr="009B7B35" w:rsidRDefault="00BE36FB">
      <w:pPr>
        <w:rPr>
          <w:rFonts w:ascii="Arial" w:hAnsi="Arial" w:cs="Arial"/>
          <w:sz w:val="20"/>
          <w:szCs w:val="20"/>
        </w:rPr>
      </w:pPr>
      <w:r w:rsidRPr="009B7B35">
        <w:rPr>
          <w:rFonts w:ascii="Arial" w:hAnsi="Arial" w:cs="Arial"/>
          <w:sz w:val="20"/>
          <w:szCs w:val="20"/>
        </w:rPr>
        <w:t>This planning scheme policy is made under relationship to the Gladstone Plan.</w:t>
      </w:r>
    </w:p>
    <w:p w14:paraId="49E0153C" w14:textId="77777777" w:rsidR="00BE36FB" w:rsidRPr="009B7B35" w:rsidRDefault="00BE36FB" w:rsidP="007A46D8">
      <w:pPr>
        <w:pStyle w:val="Heading8"/>
        <w:numPr>
          <w:ilvl w:val="7"/>
          <w:numId w:val="834"/>
        </w:numPr>
        <w:rPr>
          <w:rFonts w:ascii="Arial" w:hAnsi="Arial" w:cs="Arial"/>
          <w:sz w:val="20"/>
        </w:rPr>
      </w:pPr>
      <w:bookmarkStart w:id="360" w:name="_Toc205367473"/>
      <w:r w:rsidRPr="009B7B35">
        <w:rPr>
          <w:rFonts w:ascii="Arial" w:hAnsi="Arial" w:cs="Arial"/>
          <w:sz w:val="20"/>
        </w:rPr>
        <w:t>Terminology</w:t>
      </w:r>
      <w:bookmarkEnd w:id="360"/>
    </w:p>
    <w:p w14:paraId="349B74E4" w14:textId="77777777" w:rsidR="00BE36FB" w:rsidRPr="009B7B35" w:rsidRDefault="00BE36FB" w:rsidP="001A7107">
      <w:pPr>
        <w:rPr>
          <w:rFonts w:ascii="Arial" w:hAnsi="Arial" w:cs="Arial"/>
          <w:sz w:val="20"/>
          <w:szCs w:val="20"/>
        </w:rPr>
      </w:pPr>
      <w:r w:rsidRPr="009B7B35">
        <w:rPr>
          <w:rFonts w:ascii="Arial" w:hAnsi="Arial" w:cs="Arial"/>
          <w:sz w:val="20"/>
          <w:szCs w:val="20"/>
        </w:rPr>
        <w:t>Terms used in the planning scheme policy are defined in Schedule 1 Definitions. A term used in the planning scheme policy which is not defined in Schedule 1 Definitions, is to be interpreted in accordance with Sc6.7.7.</w:t>
      </w:r>
    </w:p>
    <w:p w14:paraId="4AE01D5A" w14:textId="77777777" w:rsidR="00BE36FB" w:rsidRPr="009B7B35" w:rsidRDefault="00BE36FB" w:rsidP="007A46D8">
      <w:pPr>
        <w:pStyle w:val="Heading8"/>
        <w:numPr>
          <w:ilvl w:val="7"/>
          <w:numId w:val="834"/>
        </w:numPr>
        <w:rPr>
          <w:rFonts w:ascii="Arial" w:hAnsi="Arial" w:cs="Arial"/>
          <w:sz w:val="20"/>
        </w:rPr>
      </w:pPr>
      <w:bookmarkStart w:id="361" w:name="_Toc205367474"/>
      <w:r w:rsidRPr="009B7B35">
        <w:rPr>
          <w:rFonts w:ascii="Arial" w:hAnsi="Arial" w:cs="Arial"/>
          <w:sz w:val="20"/>
        </w:rPr>
        <w:t>Development within a heritage place</w:t>
      </w:r>
      <w:bookmarkEnd w:id="361"/>
    </w:p>
    <w:p w14:paraId="12D2ED53" w14:textId="77777777" w:rsidR="00BE36FB" w:rsidRPr="009B7B35" w:rsidRDefault="00BE36FB">
      <w:pPr>
        <w:rPr>
          <w:rFonts w:ascii="Arial" w:hAnsi="Arial" w:cs="Arial"/>
          <w:b/>
          <w:sz w:val="20"/>
          <w:szCs w:val="20"/>
        </w:rPr>
      </w:pPr>
      <w:r w:rsidRPr="009B7B35">
        <w:rPr>
          <w:rFonts w:ascii="Arial" w:hAnsi="Arial" w:cs="Arial"/>
          <w:b/>
          <w:sz w:val="20"/>
          <w:szCs w:val="20"/>
        </w:rPr>
        <w:t>Preparing a statement of impact</w:t>
      </w:r>
    </w:p>
    <w:p w14:paraId="40E744A5" w14:textId="77777777" w:rsidR="00BE36FB" w:rsidRPr="009B7B35" w:rsidRDefault="00BE36FB" w:rsidP="001A7107">
      <w:pPr>
        <w:rPr>
          <w:rFonts w:ascii="Arial" w:hAnsi="Arial" w:cs="Arial"/>
          <w:sz w:val="20"/>
          <w:szCs w:val="20"/>
        </w:rPr>
      </w:pPr>
      <w:r w:rsidRPr="009B7B35">
        <w:rPr>
          <w:rFonts w:ascii="Arial" w:hAnsi="Arial" w:cs="Arial"/>
          <w:sz w:val="20"/>
          <w:szCs w:val="20"/>
        </w:rPr>
        <w:t>A Statement of impact prepared by a suitably qualified professional will demonstrate how a proposed development will conserve and/or impact the cultural heritage significance of a local heritage place, including its setting and context. A Statement of Impact is required to address demolition or removal if within a local heritage place and development if within a local heritage place.</w:t>
      </w:r>
    </w:p>
    <w:p w14:paraId="03415054" w14:textId="77777777" w:rsidR="00BE36FB" w:rsidRPr="009B7B35" w:rsidRDefault="00BE36FB" w:rsidP="001A7107">
      <w:pPr>
        <w:rPr>
          <w:rFonts w:ascii="Arial" w:hAnsi="Arial" w:cs="Arial"/>
          <w:sz w:val="20"/>
          <w:szCs w:val="20"/>
        </w:rPr>
      </w:pPr>
    </w:p>
    <w:p w14:paraId="7BB34695" w14:textId="77777777" w:rsidR="00BE36FB" w:rsidRPr="009B7B35" w:rsidRDefault="00BE36FB" w:rsidP="001A7107">
      <w:pPr>
        <w:rPr>
          <w:rFonts w:ascii="Arial" w:hAnsi="Arial" w:cs="Arial"/>
          <w:sz w:val="20"/>
          <w:szCs w:val="20"/>
        </w:rPr>
      </w:pPr>
      <w:r w:rsidRPr="009B7B35">
        <w:rPr>
          <w:rFonts w:ascii="Arial" w:hAnsi="Arial" w:cs="Arial"/>
          <w:sz w:val="20"/>
          <w:szCs w:val="20"/>
        </w:rPr>
        <w:t>Requirements for a statement of impact are:</w:t>
      </w:r>
    </w:p>
    <w:p w14:paraId="27A7B872" w14:textId="77777777"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The statement of impact is prepared by a suitably qualified professional.</w:t>
      </w:r>
    </w:p>
    <w:p w14:paraId="685BB09F" w14:textId="77777777"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 xml:space="preserve">Preparation of the statement is made with reference to the </w:t>
      </w:r>
      <w:r w:rsidRPr="009B7B35">
        <w:rPr>
          <w:rStyle w:val="StyleItalic"/>
          <w:rFonts w:cs="Arial"/>
          <w:szCs w:val="20"/>
        </w:rPr>
        <w:t>ICOMOS Charter for Places of Cultural Significance (Burra Charter)</w:t>
      </w:r>
      <w:r w:rsidRPr="009B7B35">
        <w:rPr>
          <w:rFonts w:ascii="Arial" w:hAnsi="Arial" w:cs="Arial"/>
          <w:sz w:val="20"/>
          <w:szCs w:val="20"/>
        </w:rPr>
        <w:t>.</w:t>
      </w:r>
    </w:p>
    <w:p w14:paraId="2093C158" w14:textId="77777777"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Includes a section that describes the history of the place and a description of the place (including any relevant components, contents, spaces and views that contribute to the significance of the place noted in the Place Card).</w:t>
      </w:r>
    </w:p>
    <w:p w14:paraId="5F6D10ED" w14:textId="77777777"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Includes a review of the Statement of Significance of the place.</w:t>
      </w:r>
    </w:p>
    <w:p w14:paraId="762F4AA2" w14:textId="77777777"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Includes reference to an existing Conservation Management Plan or Archaeological Management Plan and the management policies included in either plan (if available).</w:t>
      </w:r>
    </w:p>
    <w:p w14:paraId="0F4F1055" w14:textId="77777777"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Includes an outline of the proposed development.</w:t>
      </w:r>
    </w:p>
    <w:p w14:paraId="67323A82" w14:textId="77777777"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Identifies the impact of the proposed development on the cultural heritage significance of the Local Heritage Place. The assessment should discuss how the proposed development conserves, or minimises the impact on, the significance of the place and, if relevant, reflects the management policies contained in the Conservation Management Plan or Archaeological Management Plan.</w:t>
      </w:r>
    </w:p>
    <w:p w14:paraId="0CFB7ED2" w14:textId="77777777"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If it is determined that the proposed development will impact the significance of the place, information must be provided to demonstrate why the change is required, what options were considered and what measures are provided to reduce the detrimental impact that may result from the change.</w:t>
      </w:r>
    </w:p>
    <w:p w14:paraId="273CFFDA" w14:textId="77777777" w:rsidR="00BE36FB" w:rsidRPr="009B7B35" w:rsidRDefault="00BE36FB" w:rsidP="00BE36FB">
      <w:pPr>
        <w:numPr>
          <w:ilvl w:val="0"/>
          <w:numId w:val="847"/>
        </w:numPr>
        <w:rPr>
          <w:rFonts w:ascii="Arial" w:hAnsi="Arial" w:cs="Arial"/>
          <w:sz w:val="20"/>
          <w:szCs w:val="20"/>
        </w:rPr>
      </w:pPr>
      <w:r w:rsidRPr="009B7B35">
        <w:rPr>
          <w:rFonts w:ascii="Arial" w:hAnsi="Arial" w:cs="Arial"/>
          <w:sz w:val="20"/>
          <w:szCs w:val="20"/>
        </w:rPr>
        <w:t>List any references used in the production of the statement and any relevant technical information or correspondence from government departments.</w:t>
      </w:r>
    </w:p>
    <w:p w14:paraId="6A30258F" w14:textId="77777777" w:rsidR="00BE36FB" w:rsidRPr="009B7B35" w:rsidRDefault="00BE36FB" w:rsidP="001A7107">
      <w:pPr>
        <w:rPr>
          <w:rFonts w:ascii="Arial" w:hAnsi="Arial" w:cs="Arial"/>
          <w:sz w:val="20"/>
          <w:szCs w:val="20"/>
        </w:rPr>
      </w:pPr>
    </w:p>
    <w:p w14:paraId="541DD735" w14:textId="77777777" w:rsidR="00BE36FB" w:rsidRPr="009B7B35" w:rsidRDefault="00BE36FB">
      <w:pPr>
        <w:rPr>
          <w:rStyle w:val="Strong"/>
          <w:rFonts w:ascii="Arial" w:eastAsiaTheme="majorEastAsia" w:hAnsi="Arial" w:cs="Arial"/>
          <w:sz w:val="20"/>
          <w:szCs w:val="20"/>
        </w:rPr>
      </w:pPr>
      <w:r w:rsidRPr="009B7B35">
        <w:rPr>
          <w:rStyle w:val="Strong"/>
          <w:rFonts w:ascii="Arial" w:eastAsiaTheme="majorEastAsia" w:hAnsi="Arial" w:cs="Arial"/>
          <w:sz w:val="20"/>
          <w:szCs w:val="20"/>
        </w:rPr>
        <w:t>Preparing a Heritage Management Plan</w:t>
      </w:r>
    </w:p>
    <w:p w14:paraId="17D5FA8D" w14:textId="77777777" w:rsidR="00BE36FB" w:rsidRPr="009B7B35" w:rsidRDefault="00BE36FB" w:rsidP="001A7107">
      <w:pPr>
        <w:rPr>
          <w:rFonts w:ascii="Arial" w:hAnsi="Arial" w:cs="Arial"/>
          <w:sz w:val="20"/>
          <w:szCs w:val="20"/>
        </w:rPr>
      </w:pPr>
      <w:r w:rsidRPr="009B7B35">
        <w:rPr>
          <w:rFonts w:ascii="Arial" w:hAnsi="Arial" w:cs="Arial"/>
          <w:sz w:val="20"/>
          <w:szCs w:val="20"/>
        </w:rPr>
        <w:t>A Heritage Management Plan is required to address demolition or removal if within a local heritage place.</w:t>
      </w:r>
    </w:p>
    <w:p w14:paraId="06F9B517" w14:textId="77777777" w:rsidR="00BE36FB" w:rsidRPr="009B7B35" w:rsidRDefault="00BE36FB" w:rsidP="001A7107">
      <w:pPr>
        <w:rPr>
          <w:rFonts w:ascii="Arial" w:hAnsi="Arial" w:cs="Arial"/>
          <w:sz w:val="20"/>
          <w:szCs w:val="20"/>
        </w:rPr>
      </w:pPr>
    </w:p>
    <w:p w14:paraId="34A4D9DF" w14:textId="77777777" w:rsidR="00BE36FB" w:rsidRPr="009B7B35" w:rsidRDefault="00BE36FB" w:rsidP="001A7107">
      <w:pPr>
        <w:rPr>
          <w:rFonts w:ascii="Arial" w:hAnsi="Arial" w:cs="Arial"/>
          <w:sz w:val="20"/>
          <w:szCs w:val="20"/>
        </w:rPr>
      </w:pPr>
      <w:r w:rsidRPr="009B7B35">
        <w:rPr>
          <w:rFonts w:ascii="Arial" w:hAnsi="Arial" w:cs="Arial"/>
          <w:sz w:val="20"/>
          <w:szCs w:val="20"/>
        </w:rPr>
        <w:t>Requirements for a Heritage Management Plan are:</w:t>
      </w:r>
    </w:p>
    <w:p w14:paraId="3347016D" w14:textId="77777777" w:rsidR="00BE36FB" w:rsidRPr="009B7B35" w:rsidRDefault="00BE36FB" w:rsidP="00BE36FB">
      <w:pPr>
        <w:numPr>
          <w:ilvl w:val="0"/>
          <w:numId w:val="830"/>
        </w:numPr>
        <w:rPr>
          <w:rFonts w:ascii="Arial" w:hAnsi="Arial" w:cs="Arial"/>
          <w:sz w:val="20"/>
          <w:szCs w:val="20"/>
        </w:rPr>
      </w:pPr>
      <w:r w:rsidRPr="009B7B35">
        <w:rPr>
          <w:rFonts w:ascii="Arial" w:hAnsi="Arial" w:cs="Arial"/>
          <w:sz w:val="20"/>
          <w:szCs w:val="20"/>
        </w:rPr>
        <w:t>The Heritage Management Plan is prepared by a suitably qualified professional.</w:t>
      </w:r>
    </w:p>
    <w:p w14:paraId="460E7C07" w14:textId="77777777" w:rsidR="00BE36FB" w:rsidRPr="009B7B35" w:rsidRDefault="00BE36FB" w:rsidP="00BE36FB">
      <w:pPr>
        <w:numPr>
          <w:ilvl w:val="0"/>
          <w:numId w:val="830"/>
        </w:numPr>
        <w:rPr>
          <w:rFonts w:ascii="Arial" w:hAnsi="Arial" w:cs="Arial"/>
          <w:sz w:val="20"/>
          <w:szCs w:val="20"/>
        </w:rPr>
      </w:pPr>
      <w:r w:rsidRPr="009B7B35">
        <w:rPr>
          <w:rFonts w:ascii="Arial" w:hAnsi="Arial" w:cs="Arial"/>
          <w:sz w:val="20"/>
          <w:szCs w:val="20"/>
        </w:rPr>
        <w:t>A description of the extent of the heritage boundary (curtilage) and the specific heritage features within the boundary.</w:t>
      </w:r>
    </w:p>
    <w:p w14:paraId="34B8F2AF" w14:textId="77777777" w:rsidR="00BE36FB" w:rsidRPr="009B7B35" w:rsidRDefault="00BE36FB" w:rsidP="00BE36FB">
      <w:pPr>
        <w:numPr>
          <w:ilvl w:val="0"/>
          <w:numId w:val="830"/>
        </w:numPr>
        <w:rPr>
          <w:rFonts w:ascii="Arial" w:hAnsi="Arial" w:cs="Arial"/>
          <w:sz w:val="20"/>
          <w:szCs w:val="20"/>
        </w:rPr>
      </w:pPr>
      <w:r w:rsidRPr="009B7B35">
        <w:rPr>
          <w:rFonts w:ascii="Arial" w:hAnsi="Arial" w:cs="Arial"/>
          <w:sz w:val="20"/>
          <w:szCs w:val="20"/>
        </w:rPr>
        <w:t>An outline of the requirements for the management of any approved works within sensitive areas, including:</w:t>
      </w:r>
    </w:p>
    <w:p w14:paraId="3642EAC2" w14:textId="77777777" w:rsidR="00BE36FB" w:rsidRPr="009B7B35" w:rsidRDefault="00BE36FB" w:rsidP="00BE36FB">
      <w:pPr>
        <w:numPr>
          <w:ilvl w:val="1"/>
          <w:numId w:val="830"/>
        </w:numPr>
        <w:rPr>
          <w:rFonts w:ascii="Arial" w:hAnsi="Arial" w:cs="Arial"/>
          <w:sz w:val="20"/>
          <w:szCs w:val="20"/>
        </w:rPr>
      </w:pPr>
      <w:r w:rsidRPr="009B7B35">
        <w:rPr>
          <w:rFonts w:ascii="Arial" w:hAnsi="Arial" w:cs="Arial"/>
          <w:sz w:val="20"/>
          <w:szCs w:val="20"/>
        </w:rPr>
        <w:t>Council conditions of approval for the work</w:t>
      </w:r>
    </w:p>
    <w:p w14:paraId="4034DD62" w14:textId="77777777" w:rsidR="00BE36FB" w:rsidRPr="009B7B35" w:rsidRDefault="00BE36FB" w:rsidP="00BE36FB">
      <w:pPr>
        <w:numPr>
          <w:ilvl w:val="1"/>
          <w:numId w:val="830"/>
        </w:numPr>
        <w:rPr>
          <w:rFonts w:ascii="Arial" w:hAnsi="Arial" w:cs="Arial"/>
          <w:sz w:val="20"/>
          <w:szCs w:val="20"/>
        </w:rPr>
      </w:pPr>
      <w:r w:rsidRPr="009B7B35">
        <w:rPr>
          <w:rFonts w:ascii="Arial" w:hAnsi="Arial" w:cs="Arial"/>
          <w:sz w:val="20"/>
          <w:szCs w:val="20"/>
        </w:rPr>
        <w:t>Work Method Statements for work requiring particular care and attention to appropriate conservation methods, and</w:t>
      </w:r>
    </w:p>
    <w:p w14:paraId="471DC853" w14:textId="77777777" w:rsidR="00BE36FB" w:rsidRPr="009B7B35" w:rsidRDefault="00BE36FB" w:rsidP="00BE36FB">
      <w:pPr>
        <w:numPr>
          <w:ilvl w:val="1"/>
          <w:numId w:val="830"/>
        </w:numPr>
        <w:rPr>
          <w:rFonts w:ascii="Arial" w:hAnsi="Arial" w:cs="Arial"/>
          <w:sz w:val="20"/>
          <w:szCs w:val="20"/>
        </w:rPr>
      </w:pPr>
      <w:r w:rsidRPr="009B7B35">
        <w:rPr>
          <w:rFonts w:ascii="Arial" w:hAnsi="Arial" w:cs="Arial"/>
          <w:sz w:val="20"/>
          <w:szCs w:val="20"/>
        </w:rPr>
        <w:t>training of contractors, including 'tool box talks'.</w:t>
      </w:r>
    </w:p>
    <w:p w14:paraId="5C9AFC2E" w14:textId="77777777" w:rsidR="00BE36FB" w:rsidRPr="009B7B35" w:rsidRDefault="00BE36FB" w:rsidP="00BE36FB">
      <w:pPr>
        <w:numPr>
          <w:ilvl w:val="0"/>
          <w:numId w:val="830"/>
        </w:numPr>
        <w:rPr>
          <w:rFonts w:ascii="Arial" w:hAnsi="Arial" w:cs="Arial"/>
          <w:sz w:val="20"/>
          <w:szCs w:val="20"/>
        </w:rPr>
      </w:pPr>
      <w:r w:rsidRPr="009B7B35">
        <w:rPr>
          <w:rFonts w:ascii="Arial" w:hAnsi="Arial" w:cs="Arial"/>
          <w:sz w:val="20"/>
          <w:szCs w:val="20"/>
        </w:rPr>
        <w:t>An assessment of the risk inherent in particular activities to the significance of the place and appropriate mitigation and/or monitoring responses.</w:t>
      </w:r>
    </w:p>
    <w:p w14:paraId="40C95D5B" w14:textId="77777777" w:rsidR="00BE36FB" w:rsidRPr="009B7B35" w:rsidRDefault="00BE36FB" w:rsidP="00BE36FB">
      <w:pPr>
        <w:numPr>
          <w:ilvl w:val="0"/>
          <w:numId w:val="830"/>
        </w:numPr>
        <w:rPr>
          <w:rFonts w:ascii="Arial" w:hAnsi="Arial" w:cs="Arial"/>
          <w:sz w:val="20"/>
          <w:szCs w:val="20"/>
        </w:rPr>
      </w:pPr>
      <w:r w:rsidRPr="009B7B35">
        <w:rPr>
          <w:rFonts w:ascii="Arial" w:hAnsi="Arial" w:cs="Arial"/>
          <w:sz w:val="20"/>
          <w:szCs w:val="20"/>
        </w:rPr>
        <w:t>A procedure for the incidental discovery of items of potential cultural heritage significance, including archaeological artefacts.</w:t>
      </w:r>
    </w:p>
    <w:p w14:paraId="080F5470" w14:textId="77777777" w:rsidR="00BE36FB" w:rsidRPr="009B7B35" w:rsidRDefault="00BE36FB" w:rsidP="00BE36FB">
      <w:pPr>
        <w:numPr>
          <w:ilvl w:val="0"/>
          <w:numId w:val="830"/>
        </w:numPr>
        <w:rPr>
          <w:rFonts w:ascii="Arial" w:hAnsi="Arial" w:cs="Arial"/>
          <w:sz w:val="20"/>
          <w:szCs w:val="20"/>
        </w:rPr>
      </w:pPr>
      <w:r w:rsidRPr="009B7B35">
        <w:rPr>
          <w:rFonts w:ascii="Arial" w:hAnsi="Arial" w:cs="Arial"/>
          <w:sz w:val="20"/>
          <w:szCs w:val="20"/>
        </w:rPr>
        <w:t xml:space="preserve">An archival recording of the place or particular features of the place directly affected by the demolition/removal activities. The archival recording is in accordance with the standards required in the Department of Environment and Heritage </w:t>
      </w:r>
      <w:r w:rsidRPr="009B7B35">
        <w:rPr>
          <w:rStyle w:val="StyleItalic"/>
          <w:rFonts w:cs="Arial"/>
          <w:szCs w:val="20"/>
        </w:rPr>
        <w:t>Protection Guideline: Archival Recording of Heritage Places (2013)</w:t>
      </w:r>
      <w:r w:rsidRPr="009B7B35">
        <w:rPr>
          <w:rFonts w:ascii="Arial" w:hAnsi="Arial" w:cs="Arial"/>
          <w:sz w:val="20"/>
          <w:szCs w:val="20"/>
        </w:rPr>
        <w:t xml:space="preserve"> or subsequent versions.</w:t>
      </w:r>
    </w:p>
    <w:p w14:paraId="4F270123" w14:textId="77777777" w:rsidR="00BE36FB" w:rsidRPr="009B7B35" w:rsidRDefault="00BE36FB" w:rsidP="001A7107">
      <w:pPr>
        <w:rPr>
          <w:rFonts w:ascii="Arial" w:hAnsi="Arial" w:cs="Arial"/>
          <w:sz w:val="20"/>
          <w:szCs w:val="20"/>
        </w:rPr>
      </w:pPr>
    </w:p>
    <w:p w14:paraId="26637B40" w14:textId="77777777" w:rsidR="00BE36FB" w:rsidRPr="009B7B35" w:rsidRDefault="00BE36FB">
      <w:pPr>
        <w:rPr>
          <w:rStyle w:val="Strong"/>
          <w:rFonts w:ascii="Arial" w:eastAsiaTheme="majorEastAsia" w:hAnsi="Arial" w:cs="Arial"/>
          <w:sz w:val="20"/>
          <w:szCs w:val="20"/>
        </w:rPr>
      </w:pPr>
      <w:r w:rsidRPr="009B7B35">
        <w:rPr>
          <w:rStyle w:val="Strong"/>
          <w:rFonts w:ascii="Arial" w:eastAsiaTheme="majorEastAsia" w:hAnsi="Arial" w:cs="Arial"/>
          <w:sz w:val="20"/>
          <w:szCs w:val="20"/>
        </w:rPr>
        <w:t>Preparing an Archaeological Management Plan</w:t>
      </w:r>
    </w:p>
    <w:p w14:paraId="517C106E" w14:textId="77777777" w:rsidR="00BE36FB" w:rsidRPr="009B7B35" w:rsidRDefault="00BE36FB" w:rsidP="001A7107">
      <w:pPr>
        <w:rPr>
          <w:rFonts w:ascii="Arial" w:hAnsi="Arial" w:cs="Arial"/>
          <w:sz w:val="20"/>
          <w:szCs w:val="20"/>
        </w:rPr>
      </w:pPr>
      <w:r w:rsidRPr="009B7B35">
        <w:rPr>
          <w:rFonts w:ascii="Arial" w:hAnsi="Arial" w:cs="Arial"/>
          <w:sz w:val="20"/>
          <w:szCs w:val="20"/>
        </w:rPr>
        <w:t>Requirements for an Archaeological Management Plan are:</w:t>
      </w:r>
    </w:p>
    <w:p w14:paraId="1F8F1F0F" w14:textId="77777777" w:rsidR="00BE36FB" w:rsidRPr="009B7B35" w:rsidRDefault="00BE36FB" w:rsidP="00BE36FB">
      <w:pPr>
        <w:numPr>
          <w:ilvl w:val="0"/>
          <w:numId w:val="848"/>
        </w:numPr>
        <w:rPr>
          <w:rFonts w:ascii="Arial" w:hAnsi="Arial" w:cs="Arial"/>
          <w:sz w:val="20"/>
          <w:szCs w:val="20"/>
        </w:rPr>
      </w:pPr>
      <w:r w:rsidRPr="009B7B35">
        <w:rPr>
          <w:rFonts w:ascii="Arial" w:hAnsi="Arial" w:cs="Arial"/>
          <w:sz w:val="20"/>
          <w:szCs w:val="20"/>
        </w:rPr>
        <w:t>The Archaeological Management Plan is prepared by a suitably qualified professional.</w:t>
      </w:r>
    </w:p>
    <w:p w14:paraId="50A746C8" w14:textId="77777777" w:rsidR="00BE36FB" w:rsidRPr="009B7B35" w:rsidRDefault="00BE36FB" w:rsidP="00BE36FB">
      <w:pPr>
        <w:numPr>
          <w:ilvl w:val="0"/>
          <w:numId w:val="848"/>
        </w:numPr>
        <w:rPr>
          <w:rFonts w:ascii="Arial" w:hAnsi="Arial" w:cs="Arial"/>
          <w:sz w:val="20"/>
          <w:szCs w:val="20"/>
        </w:rPr>
      </w:pPr>
      <w:r w:rsidRPr="009B7B35">
        <w:rPr>
          <w:rFonts w:ascii="Arial" w:hAnsi="Arial" w:cs="Arial"/>
          <w:sz w:val="20"/>
          <w:szCs w:val="20"/>
        </w:rPr>
        <w:t>Outline a methodology for evaluating the extent, nature and integrity of the site and its significance should ground breaking activities be unavoidable.</w:t>
      </w:r>
    </w:p>
    <w:p w14:paraId="3C5359AC" w14:textId="77777777" w:rsidR="00BE36FB" w:rsidRPr="009B7B35" w:rsidRDefault="00BE36FB" w:rsidP="00BE36FB">
      <w:pPr>
        <w:numPr>
          <w:ilvl w:val="0"/>
          <w:numId w:val="848"/>
        </w:numPr>
        <w:rPr>
          <w:rFonts w:ascii="Arial" w:hAnsi="Arial" w:cs="Arial"/>
          <w:sz w:val="20"/>
          <w:szCs w:val="20"/>
        </w:rPr>
      </w:pPr>
      <w:r w:rsidRPr="009B7B35">
        <w:rPr>
          <w:rFonts w:ascii="Arial" w:hAnsi="Arial" w:cs="Arial"/>
          <w:sz w:val="20"/>
          <w:szCs w:val="20"/>
        </w:rPr>
        <w:t>Define appropriate management measures for the site, having regard to its potential significance, inclusive of the establishment of any ground disturbance exclusion zones and/or monitoring areas.</w:t>
      </w:r>
    </w:p>
    <w:p w14:paraId="64A3EE5A" w14:textId="77777777" w:rsidR="00BE36FB" w:rsidRPr="009B7B35" w:rsidRDefault="00BE36FB" w:rsidP="00BE36FB">
      <w:pPr>
        <w:numPr>
          <w:ilvl w:val="0"/>
          <w:numId w:val="848"/>
        </w:numPr>
        <w:rPr>
          <w:rFonts w:ascii="Arial" w:hAnsi="Arial" w:cs="Arial"/>
          <w:sz w:val="20"/>
          <w:szCs w:val="20"/>
        </w:rPr>
      </w:pPr>
      <w:r w:rsidRPr="009B7B35">
        <w:rPr>
          <w:rFonts w:ascii="Arial" w:hAnsi="Arial" w:cs="Arial"/>
          <w:sz w:val="20"/>
          <w:szCs w:val="20"/>
        </w:rPr>
        <w:t>Specify the process for dealing with new/unexpected finds of an archaeological nature resulting from ground–breaking activities, including advising Council of any such discovery.</w:t>
      </w:r>
    </w:p>
    <w:p w14:paraId="7FFBEED9" w14:textId="77777777" w:rsidR="00BE36FB" w:rsidRPr="009B7B35" w:rsidRDefault="00BE36FB" w:rsidP="00BE36FB">
      <w:pPr>
        <w:numPr>
          <w:ilvl w:val="0"/>
          <w:numId w:val="848"/>
        </w:numPr>
        <w:rPr>
          <w:rFonts w:ascii="Arial" w:hAnsi="Arial" w:cs="Arial"/>
          <w:sz w:val="20"/>
          <w:szCs w:val="20"/>
        </w:rPr>
      </w:pPr>
      <w:r w:rsidRPr="009B7B35">
        <w:rPr>
          <w:rFonts w:ascii="Arial" w:hAnsi="Arial" w:cs="Arial"/>
          <w:sz w:val="20"/>
          <w:szCs w:val="20"/>
        </w:rPr>
        <w:t>Outline the process for the curation and long–term ownership and management of any archaeological material collected as a result of development activities within the curtilage of a Local Heritage Place that has been identified as an archaeological place.</w:t>
      </w:r>
    </w:p>
    <w:p w14:paraId="7F06FA35" w14:textId="77777777" w:rsidR="00BE36FB" w:rsidRPr="009B7B35" w:rsidRDefault="00BE36FB" w:rsidP="001A7107">
      <w:pPr>
        <w:rPr>
          <w:rFonts w:ascii="Arial" w:hAnsi="Arial" w:cs="Arial"/>
          <w:sz w:val="20"/>
          <w:szCs w:val="20"/>
        </w:rPr>
      </w:pPr>
    </w:p>
    <w:p w14:paraId="49B9BB5D" w14:textId="77777777" w:rsidR="00BE36FB" w:rsidRPr="009B7B35" w:rsidRDefault="00BE36FB">
      <w:pPr>
        <w:rPr>
          <w:rFonts w:ascii="Arial" w:hAnsi="Arial" w:cs="Arial"/>
          <w:b/>
          <w:sz w:val="20"/>
          <w:szCs w:val="20"/>
        </w:rPr>
      </w:pPr>
      <w:r w:rsidRPr="009B7B35">
        <w:rPr>
          <w:rFonts w:ascii="Arial" w:hAnsi="Arial" w:cs="Arial"/>
          <w:b/>
          <w:sz w:val="20"/>
          <w:szCs w:val="20"/>
        </w:rPr>
        <w:t>Requirements for a suitably qualified professional</w:t>
      </w:r>
    </w:p>
    <w:p w14:paraId="7555BF37" w14:textId="77777777" w:rsidR="00BE36FB" w:rsidRPr="009B7B35" w:rsidRDefault="00BE36FB" w:rsidP="001A7107">
      <w:pPr>
        <w:rPr>
          <w:rFonts w:ascii="Arial" w:hAnsi="Arial" w:cs="Arial"/>
          <w:sz w:val="20"/>
          <w:szCs w:val="20"/>
        </w:rPr>
      </w:pPr>
      <w:r w:rsidRPr="009B7B35">
        <w:rPr>
          <w:rFonts w:ascii="Arial" w:hAnsi="Arial" w:cs="Arial"/>
          <w:sz w:val="20"/>
          <w:szCs w:val="20"/>
        </w:rPr>
        <w:t>For the purposes of the drafting of a Statement of Impact or a Heritage Management Plan, a suitably qualified professional is considered to be a person who:</w:t>
      </w:r>
    </w:p>
    <w:p w14:paraId="7595986A" w14:textId="77777777" w:rsidR="00BE36FB" w:rsidRPr="009B7B35" w:rsidRDefault="00BE36FB" w:rsidP="00BE36FB">
      <w:pPr>
        <w:numPr>
          <w:ilvl w:val="0"/>
          <w:numId w:val="849"/>
        </w:numPr>
        <w:rPr>
          <w:rFonts w:ascii="Arial" w:hAnsi="Arial" w:cs="Arial"/>
          <w:sz w:val="20"/>
          <w:szCs w:val="20"/>
        </w:rPr>
      </w:pPr>
      <w:r w:rsidRPr="009B7B35">
        <w:rPr>
          <w:rFonts w:ascii="Arial" w:hAnsi="Arial" w:cs="Arial"/>
          <w:sz w:val="20"/>
          <w:szCs w:val="20"/>
        </w:rPr>
        <w:t>Holds a minimum of a bachelor degree in an area related to heritage conservation (e.g. archaeology, architecture, history, museum studies, engineer, and planner).</w:t>
      </w:r>
    </w:p>
    <w:p w14:paraId="07050908" w14:textId="77777777" w:rsidR="00BE36FB" w:rsidRPr="009B7B35" w:rsidRDefault="00BE36FB" w:rsidP="00BE36FB">
      <w:pPr>
        <w:numPr>
          <w:ilvl w:val="0"/>
          <w:numId w:val="849"/>
        </w:numPr>
        <w:rPr>
          <w:rFonts w:ascii="Arial" w:hAnsi="Arial" w:cs="Arial"/>
          <w:sz w:val="20"/>
          <w:szCs w:val="20"/>
        </w:rPr>
      </w:pPr>
      <w:r w:rsidRPr="009B7B35">
        <w:rPr>
          <w:rFonts w:ascii="Arial" w:hAnsi="Arial" w:cs="Arial"/>
          <w:sz w:val="20"/>
          <w:szCs w:val="20"/>
        </w:rPr>
        <w:t>Has demonstrable competence in identification and assessment of heritage significance and development of management strategies and recommendations for the management of heritage places.</w:t>
      </w:r>
    </w:p>
    <w:p w14:paraId="67382862" w14:textId="77777777" w:rsidR="00BE36FB" w:rsidRPr="009B7B35" w:rsidRDefault="00BE36FB" w:rsidP="001A7107">
      <w:pPr>
        <w:rPr>
          <w:rFonts w:ascii="Arial" w:hAnsi="Arial" w:cs="Arial"/>
          <w:sz w:val="20"/>
          <w:szCs w:val="20"/>
        </w:rPr>
      </w:pPr>
    </w:p>
    <w:p w14:paraId="70722572" w14:textId="77777777" w:rsidR="00BE36FB" w:rsidRPr="009B7B35" w:rsidRDefault="00BE36FB" w:rsidP="001A7107">
      <w:pPr>
        <w:rPr>
          <w:rFonts w:ascii="Arial" w:hAnsi="Arial" w:cs="Arial"/>
          <w:sz w:val="20"/>
          <w:szCs w:val="20"/>
        </w:rPr>
      </w:pPr>
      <w:r w:rsidRPr="009B7B35">
        <w:rPr>
          <w:rFonts w:ascii="Arial" w:hAnsi="Arial" w:cs="Arial"/>
          <w:sz w:val="20"/>
          <w:szCs w:val="20"/>
        </w:rPr>
        <w:t>For the purposes of the drafting of an Archaeological Management Plan, a suitably qualified professional is considered to be an Archaeologist who:</w:t>
      </w:r>
    </w:p>
    <w:p w14:paraId="66136B31" w14:textId="77777777" w:rsidR="00BE36FB" w:rsidRPr="009B7B35" w:rsidRDefault="00BE36FB" w:rsidP="00BE36FB">
      <w:pPr>
        <w:numPr>
          <w:ilvl w:val="0"/>
          <w:numId w:val="866"/>
        </w:numPr>
        <w:rPr>
          <w:rFonts w:ascii="Arial" w:hAnsi="Arial" w:cs="Arial"/>
          <w:sz w:val="20"/>
          <w:szCs w:val="20"/>
        </w:rPr>
      </w:pPr>
      <w:r w:rsidRPr="009B7B35">
        <w:rPr>
          <w:rFonts w:ascii="Arial" w:hAnsi="Arial" w:cs="Arial"/>
          <w:sz w:val="20"/>
          <w:szCs w:val="20"/>
        </w:rPr>
        <w:t>Holds a minimum of an honours or other postgraduate university qualification in archaeology.</w:t>
      </w:r>
    </w:p>
    <w:p w14:paraId="12041C7B" w14:textId="77777777" w:rsidR="00BE36FB" w:rsidRPr="009B7B35" w:rsidRDefault="00BE36FB" w:rsidP="00BE36FB">
      <w:pPr>
        <w:numPr>
          <w:ilvl w:val="0"/>
          <w:numId w:val="866"/>
        </w:numPr>
        <w:rPr>
          <w:rFonts w:ascii="Arial" w:hAnsi="Arial" w:cs="Arial"/>
          <w:sz w:val="20"/>
          <w:szCs w:val="20"/>
        </w:rPr>
      </w:pPr>
      <w:r w:rsidRPr="009B7B35">
        <w:rPr>
          <w:rFonts w:ascii="Arial" w:hAnsi="Arial" w:cs="Arial"/>
          <w:sz w:val="20"/>
          <w:szCs w:val="20"/>
        </w:rPr>
        <w:t>Has demonstrable competence in the survey, identification and recording of archaeological sites; archaeological site assessment and evaluation; and the development of management strategies and recommendations concerning the management of archaeological sites.</w:t>
      </w:r>
    </w:p>
    <w:p w14:paraId="42C560D1" w14:textId="77777777" w:rsidR="00BE36FB" w:rsidRPr="009B7B35" w:rsidRDefault="00BE36FB" w:rsidP="001A7107">
      <w:pPr>
        <w:rPr>
          <w:rFonts w:ascii="Arial" w:hAnsi="Arial" w:cs="Arial"/>
          <w:sz w:val="20"/>
          <w:szCs w:val="20"/>
        </w:rPr>
      </w:pPr>
    </w:p>
    <w:p w14:paraId="29200C5E" w14:textId="77777777" w:rsidR="00BE36FB" w:rsidRPr="009B7B35" w:rsidRDefault="00BE36FB" w:rsidP="001A7107">
      <w:pPr>
        <w:rPr>
          <w:rFonts w:ascii="Arial" w:hAnsi="Arial" w:cs="Arial"/>
          <w:sz w:val="20"/>
          <w:szCs w:val="20"/>
        </w:rPr>
      </w:pPr>
      <w:r w:rsidRPr="009B7B35">
        <w:rPr>
          <w:rFonts w:ascii="Arial" w:hAnsi="Arial" w:cs="Arial"/>
          <w:sz w:val="20"/>
          <w:szCs w:val="20"/>
        </w:rPr>
        <w:t>For the purposes of determining the structural condition of a Local Heritage Place or part of a Local Heritage Place, a suitably qualified person is considered to be a structural engineer, preferably with heritage related experience.</w:t>
      </w:r>
    </w:p>
    <w:p w14:paraId="4D872ED7" w14:textId="77777777" w:rsidR="00BE36FB" w:rsidRPr="009B7B35" w:rsidRDefault="00BE36FB" w:rsidP="001A7107">
      <w:pPr>
        <w:rPr>
          <w:rFonts w:ascii="Arial" w:hAnsi="Arial" w:cs="Arial"/>
          <w:sz w:val="20"/>
          <w:szCs w:val="20"/>
        </w:rPr>
      </w:pPr>
    </w:p>
    <w:p w14:paraId="561CCCE4" w14:textId="77777777" w:rsidR="00BE36FB" w:rsidRPr="009B7B35" w:rsidRDefault="00BE36FB" w:rsidP="001A7107">
      <w:pPr>
        <w:rPr>
          <w:rFonts w:ascii="Arial" w:hAnsi="Arial" w:cs="Arial"/>
          <w:sz w:val="20"/>
          <w:szCs w:val="20"/>
        </w:rPr>
      </w:pPr>
      <w:r w:rsidRPr="009B7B35">
        <w:rPr>
          <w:rFonts w:ascii="Arial" w:hAnsi="Arial" w:cs="Arial"/>
          <w:sz w:val="20"/>
          <w:szCs w:val="20"/>
        </w:rPr>
        <w:t>For the purposes of assessing the ability for a place to be economically repaired or the anticipated cost and feasibility of adapting or repairing the place for specific uses, a suitably qualified person is considered to be a quantity surveyor, builder, building designer or architect (or equivalent) that has demonstrable experience in the estimation of construction costs and project feasibility.</w:t>
      </w:r>
    </w:p>
    <w:p w14:paraId="29ED180D" w14:textId="77777777" w:rsidR="00BE36FB" w:rsidRPr="009B7B35" w:rsidRDefault="00BE36FB" w:rsidP="007A46D8">
      <w:pPr>
        <w:pStyle w:val="Heading8"/>
        <w:numPr>
          <w:ilvl w:val="7"/>
          <w:numId w:val="834"/>
        </w:numPr>
        <w:rPr>
          <w:rFonts w:ascii="Arial" w:hAnsi="Arial" w:cs="Arial"/>
          <w:sz w:val="20"/>
        </w:rPr>
      </w:pPr>
      <w:bookmarkStart w:id="362" w:name="_Toc205367475"/>
      <w:r w:rsidRPr="009B7B35">
        <w:rPr>
          <w:rFonts w:ascii="Arial" w:hAnsi="Arial" w:cs="Arial"/>
          <w:sz w:val="20"/>
        </w:rPr>
        <w:t>Entering or removing a place from the Local Heritage Register (LHR)</w:t>
      </w:r>
      <w:bookmarkEnd w:id="362"/>
    </w:p>
    <w:p w14:paraId="07C080AB" w14:textId="77777777" w:rsidR="00BE36FB" w:rsidRPr="009B7B35" w:rsidRDefault="00BE36FB" w:rsidP="001A7107">
      <w:pPr>
        <w:rPr>
          <w:rStyle w:val="Strong"/>
          <w:rFonts w:ascii="Arial" w:eastAsiaTheme="majorEastAsia" w:hAnsi="Arial" w:cs="Arial"/>
          <w:sz w:val="20"/>
          <w:szCs w:val="20"/>
        </w:rPr>
      </w:pPr>
      <w:r w:rsidRPr="009B7B35">
        <w:rPr>
          <w:rStyle w:val="Strong"/>
          <w:rFonts w:ascii="Arial" w:eastAsiaTheme="majorEastAsia" w:hAnsi="Arial" w:cs="Arial"/>
          <w:sz w:val="20"/>
          <w:szCs w:val="20"/>
        </w:rPr>
        <w:t>Criteria for entry of a place onto the Local Heritage Register</w:t>
      </w:r>
    </w:p>
    <w:p w14:paraId="7F14E0B5" w14:textId="77777777" w:rsidR="00BE36FB" w:rsidRPr="009B7B35" w:rsidRDefault="00BE36FB" w:rsidP="001A7107">
      <w:pPr>
        <w:pStyle w:val="Notes"/>
        <w:rPr>
          <w:rFonts w:cs="Arial"/>
          <w:sz w:val="20"/>
          <w:szCs w:val="20"/>
        </w:rPr>
      </w:pPr>
      <w:r w:rsidRPr="009B7B35">
        <w:rPr>
          <w:rFonts w:cs="Arial"/>
          <w:sz w:val="20"/>
          <w:szCs w:val="20"/>
        </w:rPr>
        <w:t xml:space="preserve">Note—Successful applications for adding a place to the Local Heritage Register will result in a formal amendment to the Gladstone Plan as required by the </w:t>
      </w:r>
      <w:r w:rsidRPr="009B7B35">
        <w:rPr>
          <w:rFonts w:cs="Arial"/>
          <w:i/>
          <w:sz w:val="20"/>
          <w:szCs w:val="20"/>
        </w:rPr>
        <w:t>Planning Act 2016</w:t>
      </w:r>
      <w:r w:rsidRPr="009B7B35">
        <w:rPr>
          <w:rFonts w:cs="Arial"/>
          <w:sz w:val="20"/>
          <w:szCs w:val="20"/>
        </w:rPr>
        <w:t>.</w:t>
      </w:r>
    </w:p>
    <w:p w14:paraId="5EFD6F9F"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A place must meet one or more of the following criteria (adapted from the </w:t>
      </w:r>
      <w:r w:rsidRPr="009B7B35">
        <w:rPr>
          <w:rStyle w:val="StyleItalic"/>
          <w:rFonts w:cs="Arial"/>
          <w:szCs w:val="20"/>
        </w:rPr>
        <w:t>Queensland Heritage Act 1992</w:t>
      </w:r>
      <w:r w:rsidRPr="009B7B35">
        <w:rPr>
          <w:rFonts w:ascii="Arial" w:hAnsi="Arial" w:cs="Arial"/>
          <w:sz w:val="20"/>
          <w:szCs w:val="20"/>
        </w:rPr>
        <w:t>):</w:t>
      </w:r>
    </w:p>
    <w:p w14:paraId="3BB007F2" w14:textId="77777777"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is important in demonstrating the evolution or pattern of the region's history.</w:t>
      </w:r>
    </w:p>
    <w:p w14:paraId="6B2D98F1" w14:textId="77777777"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demonstrates rare, uncommon or endangered aspects of the region's cultural heritage.</w:t>
      </w:r>
    </w:p>
    <w:p w14:paraId="4F514113" w14:textId="77777777"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has potential to yield information that will contribute to an understanding of the region’s history.</w:t>
      </w:r>
    </w:p>
    <w:p w14:paraId="7B3A428D" w14:textId="77777777"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is important in demonstrating the principal characteristics of a particular class of cultural places important to the region.</w:t>
      </w:r>
    </w:p>
    <w:p w14:paraId="05181476" w14:textId="77777777"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is important to the region because of its aesthetic significance.</w:t>
      </w:r>
    </w:p>
    <w:p w14:paraId="07D5A273" w14:textId="77777777"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is important in demonstrating a high degree of creative or technical achievement at a particular period for the region.</w:t>
      </w:r>
    </w:p>
    <w:p w14:paraId="29C5D65E" w14:textId="77777777"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has a strong or special association with a particular community or cultural group for social, cultural or spiritual reasons important to the region.</w:t>
      </w:r>
    </w:p>
    <w:p w14:paraId="25BD9DA8" w14:textId="77777777"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The place has a special association with the life or work of a particular person, group or organisation of importance in the region’s history.</w:t>
      </w:r>
    </w:p>
    <w:p w14:paraId="7655F0C6" w14:textId="77777777" w:rsidR="00BE36FB" w:rsidRPr="009B7B35" w:rsidRDefault="00BE36FB" w:rsidP="00BE36FB">
      <w:pPr>
        <w:numPr>
          <w:ilvl w:val="0"/>
          <w:numId w:val="850"/>
        </w:numPr>
        <w:rPr>
          <w:rFonts w:ascii="Arial" w:hAnsi="Arial" w:cs="Arial"/>
          <w:sz w:val="20"/>
          <w:szCs w:val="20"/>
        </w:rPr>
      </w:pPr>
      <w:r w:rsidRPr="009B7B35">
        <w:rPr>
          <w:rFonts w:ascii="Arial" w:hAnsi="Arial" w:cs="Arial"/>
          <w:sz w:val="20"/>
          <w:szCs w:val="20"/>
        </w:rPr>
        <w:t>A place need only meet one criterion for entry on the register.</w:t>
      </w:r>
    </w:p>
    <w:p w14:paraId="5A02C55A" w14:textId="77777777" w:rsidR="00BE36FB" w:rsidRPr="009B7B35" w:rsidRDefault="00BE36FB" w:rsidP="001A7107">
      <w:pPr>
        <w:rPr>
          <w:rFonts w:ascii="Arial" w:hAnsi="Arial" w:cs="Arial"/>
          <w:sz w:val="20"/>
          <w:szCs w:val="20"/>
        </w:rPr>
      </w:pPr>
    </w:p>
    <w:p w14:paraId="3759FD6A" w14:textId="77777777" w:rsidR="00BE36FB" w:rsidRPr="009B7B35" w:rsidRDefault="00BE36FB">
      <w:pPr>
        <w:rPr>
          <w:rFonts w:ascii="Arial" w:hAnsi="Arial" w:cs="Arial"/>
          <w:b/>
          <w:sz w:val="20"/>
          <w:szCs w:val="20"/>
        </w:rPr>
      </w:pPr>
      <w:r w:rsidRPr="009B7B35">
        <w:rPr>
          <w:rFonts w:ascii="Arial" w:hAnsi="Arial" w:cs="Arial"/>
          <w:b/>
          <w:sz w:val="20"/>
          <w:szCs w:val="20"/>
        </w:rPr>
        <w:t>How to nominate to add a place to Gladstone Regional Council Local Heritage Register</w:t>
      </w:r>
    </w:p>
    <w:p w14:paraId="125B9EAE"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Any person or body, including the Gladstone Regional Council, can nominate a place for entry on the LHR. The nomination of a place for entry on the LHR must include the following information: </w:t>
      </w:r>
    </w:p>
    <w:p w14:paraId="5FE34483" w14:textId="77777777"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The name of the place (and other names if known).</w:t>
      </w:r>
    </w:p>
    <w:p w14:paraId="2CC8447C" w14:textId="77777777"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The specific location of the place.</w:t>
      </w:r>
    </w:p>
    <w:p w14:paraId="19F81C4B" w14:textId="77777777"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A description of the place.</w:t>
      </w:r>
    </w:p>
    <w:p w14:paraId="5E623B84" w14:textId="77777777"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A brief history of the place.</w:t>
      </w:r>
    </w:p>
    <w:p w14:paraId="799221B9" w14:textId="77777777"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A Statement of Significance for the place.</w:t>
      </w:r>
    </w:p>
    <w:p w14:paraId="7624B030" w14:textId="77777777"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As estimation of the integrity and condition of the place.</w:t>
      </w:r>
    </w:p>
    <w:p w14:paraId="7888168C" w14:textId="77777777"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The date on which the place was inspected for the purposes of compiling the nomination.</w:t>
      </w:r>
    </w:p>
    <w:p w14:paraId="17D5F578" w14:textId="77777777"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Recent photos of the place.</w:t>
      </w:r>
    </w:p>
    <w:p w14:paraId="0636B2C5" w14:textId="77777777" w:rsidR="00BE36FB" w:rsidRPr="009B7B35" w:rsidRDefault="00BE36FB" w:rsidP="00BE36FB">
      <w:pPr>
        <w:numPr>
          <w:ilvl w:val="0"/>
          <w:numId w:val="851"/>
        </w:numPr>
        <w:rPr>
          <w:rFonts w:ascii="Arial" w:hAnsi="Arial" w:cs="Arial"/>
          <w:sz w:val="20"/>
          <w:szCs w:val="20"/>
        </w:rPr>
      </w:pPr>
      <w:r w:rsidRPr="009B7B35">
        <w:rPr>
          <w:rFonts w:ascii="Arial" w:hAnsi="Arial" w:cs="Arial"/>
          <w:sz w:val="20"/>
          <w:szCs w:val="20"/>
        </w:rPr>
        <w:t>References of works used to compile the history and/or description of the place.</w:t>
      </w:r>
    </w:p>
    <w:p w14:paraId="7B74EF8D" w14:textId="77777777" w:rsidR="00BE36FB" w:rsidRPr="009B7B35" w:rsidRDefault="00BE36FB" w:rsidP="001A7107">
      <w:pPr>
        <w:rPr>
          <w:rFonts w:ascii="Arial" w:hAnsi="Arial" w:cs="Arial"/>
          <w:sz w:val="20"/>
          <w:szCs w:val="20"/>
        </w:rPr>
      </w:pPr>
    </w:p>
    <w:p w14:paraId="5016F912"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place card forms an example for anyone proposing to nominate a place for entry on the LHR. In determining whether a place should or should not be entered onto the LHR, Council may seek additional information or assistance from: </w:t>
      </w:r>
    </w:p>
    <w:p w14:paraId="1C5E0354" w14:textId="77777777" w:rsidR="00BE36FB" w:rsidRPr="009B7B35" w:rsidRDefault="00BE36FB" w:rsidP="00BE36FB">
      <w:pPr>
        <w:numPr>
          <w:ilvl w:val="0"/>
          <w:numId w:val="852"/>
        </w:numPr>
        <w:rPr>
          <w:rFonts w:ascii="Arial" w:hAnsi="Arial" w:cs="Arial"/>
          <w:sz w:val="20"/>
          <w:szCs w:val="20"/>
        </w:rPr>
      </w:pPr>
      <w:r w:rsidRPr="009B7B35">
        <w:rPr>
          <w:rFonts w:ascii="Arial" w:hAnsi="Arial" w:cs="Arial"/>
          <w:sz w:val="20"/>
          <w:szCs w:val="20"/>
        </w:rPr>
        <w:t>The owner of the place, if the owner did not make the nomination.</w:t>
      </w:r>
    </w:p>
    <w:p w14:paraId="5DB2748C" w14:textId="77777777" w:rsidR="00BE36FB" w:rsidRPr="009B7B35" w:rsidRDefault="00BE36FB" w:rsidP="00BE36FB">
      <w:pPr>
        <w:numPr>
          <w:ilvl w:val="0"/>
          <w:numId w:val="852"/>
        </w:numPr>
        <w:rPr>
          <w:rFonts w:ascii="Arial" w:hAnsi="Arial" w:cs="Arial"/>
          <w:sz w:val="20"/>
          <w:szCs w:val="20"/>
        </w:rPr>
      </w:pPr>
      <w:r w:rsidRPr="009B7B35">
        <w:rPr>
          <w:rFonts w:ascii="Arial" w:hAnsi="Arial" w:cs="Arial"/>
          <w:sz w:val="20"/>
          <w:szCs w:val="20"/>
        </w:rPr>
        <w:t>Any person or body with a special knowledge of, or interest in, the place.</w:t>
      </w:r>
    </w:p>
    <w:p w14:paraId="222E0032" w14:textId="77777777" w:rsidR="00BE36FB" w:rsidRPr="009B7B35" w:rsidRDefault="00BE36FB" w:rsidP="00BE36FB">
      <w:pPr>
        <w:numPr>
          <w:ilvl w:val="0"/>
          <w:numId w:val="852"/>
        </w:numPr>
        <w:rPr>
          <w:rFonts w:ascii="Arial" w:hAnsi="Arial" w:cs="Arial"/>
          <w:sz w:val="20"/>
          <w:szCs w:val="20"/>
        </w:rPr>
      </w:pPr>
      <w:r w:rsidRPr="009B7B35">
        <w:rPr>
          <w:rFonts w:ascii="Arial" w:hAnsi="Arial" w:cs="Arial"/>
          <w:sz w:val="20"/>
          <w:szCs w:val="20"/>
        </w:rPr>
        <w:t xml:space="preserve">Any person or body with a special knowledge or interest in the region’s cultural heritage. </w:t>
      </w:r>
    </w:p>
    <w:p w14:paraId="59CA2FC4" w14:textId="77777777" w:rsidR="00BE36FB" w:rsidRPr="009B7B35" w:rsidRDefault="00BE36FB" w:rsidP="001A7107">
      <w:pPr>
        <w:rPr>
          <w:rFonts w:ascii="Arial" w:hAnsi="Arial" w:cs="Arial"/>
          <w:sz w:val="20"/>
          <w:szCs w:val="20"/>
        </w:rPr>
      </w:pPr>
    </w:p>
    <w:p w14:paraId="3C97557C" w14:textId="77777777" w:rsidR="00BE36FB" w:rsidRPr="009B7B35" w:rsidRDefault="00BE36FB" w:rsidP="001A7107">
      <w:pPr>
        <w:rPr>
          <w:rFonts w:ascii="Arial" w:hAnsi="Arial" w:cs="Arial"/>
          <w:sz w:val="20"/>
          <w:szCs w:val="20"/>
        </w:rPr>
      </w:pPr>
      <w:r w:rsidRPr="009B7B35">
        <w:rPr>
          <w:rFonts w:ascii="Arial" w:hAnsi="Arial" w:cs="Arial"/>
          <w:sz w:val="20"/>
          <w:szCs w:val="20"/>
        </w:rPr>
        <w:t>Send the completed application and supporting information to:</w:t>
      </w:r>
    </w:p>
    <w:p w14:paraId="14B74360" w14:textId="77777777" w:rsidR="00BE36FB" w:rsidRPr="009B7B35" w:rsidRDefault="00BE36FB" w:rsidP="001A7107">
      <w:pPr>
        <w:rPr>
          <w:rFonts w:ascii="Arial" w:hAnsi="Arial" w:cs="Arial"/>
          <w:sz w:val="20"/>
          <w:szCs w:val="20"/>
        </w:rPr>
      </w:pPr>
      <w:r w:rsidRPr="009B7B35">
        <w:rPr>
          <w:rFonts w:ascii="Arial" w:hAnsi="Arial" w:cs="Arial"/>
          <w:sz w:val="20"/>
          <w:szCs w:val="20"/>
        </w:rPr>
        <w:tab/>
        <w:t>Chief Executive Officer</w:t>
      </w:r>
    </w:p>
    <w:p w14:paraId="55A07EBC" w14:textId="77777777" w:rsidR="00BE36FB" w:rsidRPr="009B7B35" w:rsidRDefault="00BE36FB" w:rsidP="001A7107">
      <w:pPr>
        <w:rPr>
          <w:rFonts w:ascii="Arial" w:hAnsi="Arial" w:cs="Arial"/>
          <w:sz w:val="20"/>
          <w:szCs w:val="20"/>
        </w:rPr>
      </w:pPr>
      <w:r w:rsidRPr="009B7B35">
        <w:rPr>
          <w:rFonts w:ascii="Arial" w:hAnsi="Arial" w:cs="Arial"/>
          <w:sz w:val="20"/>
          <w:szCs w:val="20"/>
        </w:rPr>
        <w:tab/>
        <w:t>Gladstone Regional Council</w:t>
      </w:r>
    </w:p>
    <w:p w14:paraId="092AC95E" w14:textId="77777777" w:rsidR="00BE36FB" w:rsidRPr="009B7B35" w:rsidRDefault="00BE36FB" w:rsidP="001A7107">
      <w:pPr>
        <w:rPr>
          <w:rFonts w:ascii="Arial" w:hAnsi="Arial" w:cs="Arial"/>
          <w:sz w:val="20"/>
          <w:szCs w:val="20"/>
        </w:rPr>
      </w:pPr>
      <w:r w:rsidRPr="009B7B35">
        <w:rPr>
          <w:rFonts w:ascii="Arial" w:hAnsi="Arial" w:cs="Arial"/>
          <w:sz w:val="20"/>
          <w:szCs w:val="20"/>
        </w:rPr>
        <w:tab/>
        <w:t>PO Box 29</w:t>
      </w:r>
    </w:p>
    <w:p w14:paraId="497BD12C" w14:textId="77777777" w:rsidR="00BE36FB" w:rsidRPr="009B7B35" w:rsidRDefault="00BE36FB" w:rsidP="001A7107">
      <w:pPr>
        <w:rPr>
          <w:rFonts w:ascii="Arial" w:hAnsi="Arial" w:cs="Arial"/>
          <w:sz w:val="20"/>
          <w:szCs w:val="20"/>
        </w:rPr>
      </w:pPr>
      <w:r w:rsidRPr="009B7B35">
        <w:rPr>
          <w:rFonts w:ascii="Arial" w:hAnsi="Arial" w:cs="Arial"/>
          <w:sz w:val="20"/>
          <w:szCs w:val="20"/>
        </w:rPr>
        <w:tab/>
        <w:t>GLADSTONE QLD 4680</w:t>
      </w:r>
    </w:p>
    <w:p w14:paraId="2E145D67" w14:textId="77777777" w:rsidR="00BE36FB" w:rsidRPr="009B7B35" w:rsidRDefault="00BE36FB" w:rsidP="001A7107">
      <w:pPr>
        <w:pStyle w:val="Tableheading"/>
        <w:rPr>
          <w:rFonts w:ascii="Arial" w:hAnsi="Arial" w:cs="Arial"/>
          <w:szCs w:val="20"/>
        </w:rPr>
      </w:pPr>
    </w:p>
    <w:p w14:paraId="5E4FF8C8" w14:textId="77777777" w:rsidR="00BE36FB" w:rsidRPr="009B7B35" w:rsidRDefault="00BE36FB" w:rsidP="001A7107">
      <w:pPr>
        <w:pStyle w:val="Tableheading"/>
        <w:rPr>
          <w:rFonts w:ascii="Arial" w:hAnsi="Arial" w:cs="Arial"/>
          <w:szCs w:val="20"/>
        </w:rPr>
      </w:pPr>
      <w:r w:rsidRPr="009B7B35">
        <w:rPr>
          <w:rFonts w:ascii="Arial" w:hAnsi="Arial" w:cs="Arial"/>
          <w:szCs w:val="20"/>
        </w:rPr>
        <w:t>How to nominate to remove a place from Gladstone Regional Council Local Heritage Register</w:t>
      </w:r>
    </w:p>
    <w:p w14:paraId="3D07EB9F"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For the removal of a place from the register, the applicant should identify the name and location of the place and provide information that clearly demonstrates the place is no longer of cultural heritage significance. To achieve this, the applicant must address the Statement of Significance for the place. </w:t>
      </w:r>
    </w:p>
    <w:p w14:paraId="73E6F9DE" w14:textId="77777777" w:rsidR="00BE36FB" w:rsidRPr="009B7B35" w:rsidRDefault="00BE36FB" w:rsidP="001A7107">
      <w:pPr>
        <w:rPr>
          <w:rFonts w:ascii="Arial" w:hAnsi="Arial" w:cs="Arial"/>
          <w:sz w:val="20"/>
          <w:szCs w:val="20"/>
        </w:rPr>
      </w:pPr>
    </w:p>
    <w:p w14:paraId="7F0CA1F2" w14:textId="77777777" w:rsidR="00BE36FB" w:rsidRPr="009B7B35" w:rsidRDefault="00BE36FB" w:rsidP="001A7107">
      <w:pPr>
        <w:rPr>
          <w:rFonts w:ascii="Arial" w:hAnsi="Arial" w:cs="Arial"/>
          <w:sz w:val="20"/>
          <w:szCs w:val="20"/>
        </w:rPr>
      </w:pPr>
      <w:r w:rsidRPr="009B7B35">
        <w:rPr>
          <w:rFonts w:ascii="Arial" w:hAnsi="Arial" w:cs="Arial"/>
          <w:sz w:val="20"/>
          <w:szCs w:val="20"/>
        </w:rPr>
        <w:t>Send the completed application and supporting information to:</w:t>
      </w:r>
    </w:p>
    <w:p w14:paraId="22ADBB20" w14:textId="77777777" w:rsidR="00BE36FB" w:rsidRPr="009B7B35" w:rsidRDefault="00BE36FB" w:rsidP="001A7107">
      <w:pPr>
        <w:rPr>
          <w:rFonts w:ascii="Arial" w:hAnsi="Arial" w:cs="Arial"/>
          <w:sz w:val="20"/>
          <w:szCs w:val="20"/>
        </w:rPr>
      </w:pPr>
      <w:r w:rsidRPr="009B7B35">
        <w:rPr>
          <w:rFonts w:ascii="Arial" w:hAnsi="Arial" w:cs="Arial"/>
          <w:sz w:val="20"/>
          <w:szCs w:val="20"/>
        </w:rPr>
        <w:tab/>
        <w:t>Chief Executive Officer</w:t>
      </w:r>
    </w:p>
    <w:p w14:paraId="7DF077FD" w14:textId="77777777" w:rsidR="00BE36FB" w:rsidRPr="009B7B35" w:rsidRDefault="00BE36FB" w:rsidP="001A7107">
      <w:pPr>
        <w:rPr>
          <w:rFonts w:ascii="Arial" w:hAnsi="Arial" w:cs="Arial"/>
          <w:sz w:val="20"/>
          <w:szCs w:val="20"/>
        </w:rPr>
      </w:pPr>
      <w:r w:rsidRPr="009B7B35">
        <w:rPr>
          <w:rFonts w:ascii="Arial" w:hAnsi="Arial" w:cs="Arial"/>
          <w:sz w:val="20"/>
          <w:szCs w:val="20"/>
        </w:rPr>
        <w:tab/>
        <w:t>Gladstone Regional Council</w:t>
      </w:r>
    </w:p>
    <w:p w14:paraId="0D381C0D" w14:textId="77777777" w:rsidR="00BE36FB" w:rsidRPr="009B7B35" w:rsidRDefault="00BE36FB" w:rsidP="001A7107">
      <w:pPr>
        <w:rPr>
          <w:rFonts w:ascii="Arial" w:hAnsi="Arial" w:cs="Arial"/>
          <w:sz w:val="20"/>
          <w:szCs w:val="20"/>
        </w:rPr>
      </w:pPr>
      <w:r w:rsidRPr="009B7B35">
        <w:rPr>
          <w:rFonts w:ascii="Arial" w:hAnsi="Arial" w:cs="Arial"/>
          <w:sz w:val="20"/>
          <w:szCs w:val="20"/>
        </w:rPr>
        <w:tab/>
        <w:t>PO Box 29</w:t>
      </w:r>
    </w:p>
    <w:p w14:paraId="3C98CB01" w14:textId="77777777" w:rsidR="00BE36FB" w:rsidRPr="009B7B35" w:rsidRDefault="00BE36FB" w:rsidP="001A7107">
      <w:pPr>
        <w:rPr>
          <w:rFonts w:ascii="Arial" w:hAnsi="Arial" w:cs="Arial"/>
          <w:sz w:val="20"/>
          <w:szCs w:val="20"/>
        </w:rPr>
      </w:pPr>
      <w:r w:rsidRPr="009B7B35">
        <w:rPr>
          <w:rFonts w:ascii="Arial" w:hAnsi="Arial" w:cs="Arial"/>
          <w:sz w:val="20"/>
          <w:szCs w:val="20"/>
        </w:rPr>
        <w:tab/>
        <w:t xml:space="preserve">GLADSTONE QLD 4680  </w:t>
      </w:r>
    </w:p>
    <w:p w14:paraId="4CB0CC9D" w14:textId="77777777" w:rsidR="00BE36FB" w:rsidRPr="009B7B35" w:rsidRDefault="00BE36FB" w:rsidP="001A7107">
      <w:pPr>
        <w:pStyle w:val="Notes"/>
        <w:rPr>
          <w:rFonts w:cs="Arial"/>
          <w:sz w:val="20"/>
          <w:szCs w:val="20"/>
        </w:rPr>
      </w:pPr>
      <w:r w:rsidRPr="009B7B35">
        <w:rPr>
          <w:rFonts w:cs="Arial"/>
          <w:sz w:val="20"/>
          <w:szCs w:val="20"/>
        </w:rPr>
        <w:t>Note—Please note that if a place is nominated to be included on, or to be removed from the Local Heritage Register, Gladstone Regional Council will be required to undertake an amendment to the planning scheme.</w:t>
      </w:r>
    </w:p>
    <w:p w14:paraId="35A6886A"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50CC1B21" w14:textId="77777777" w:rsidR="00BE36FB" w:rsidRPr="009B7B35" w:rsidRDefault="00BE36FB" w:rsidP="007A46D8">
      <w:pPr>
        <w:pStyle w:val="Heading8"/>
        <w:numPr>
          <w:ilvl w:val="7"/>
          <w:numId w:val="834"/>
        </w:numPr>
        <w:rPr>
          <w:rFonts w:ascii="Arial" w:hAnsi="Arial" w:cs="Arial"/>
          <w:sz w:val="20"/>
        </w:rPr>
      </w:pPr>
      <w:bookmarkStart w:id="363" w:name="_Toc205367476"/>
      <w:r w:rsidRPr="009B7B35">
        <w:rPr>
          <w:rFonts w:ascii="Arial" w:hAnsi="Arial" w:cs="Arial"/>
          <w:sz w:val="20"/>
        </w:rPr>
        <w:t>Criteria for assessment</w:t>
      </w:r>
      <w:bookmarkEnd w:id="363"/>
    </w:p>
    <w:p w14:paraId="4139ABE9" w14:textId="77777777" w:rsidR="00BE36FB" w:rsidRPr="009B7B35" w:rsidRDefault="00BE36FB" w:rsidP="001A7107">
      <w:pPr>
        <w:rPr>
          <w:rFonts w:ascii="Arial" w:hAnsi="Arial" w:cs="Arial"/>
          <w:sz w:val="20"/>
          <w:szCs w:val="20"/>
        </w:rPr>
      </w:pPr>
      <w:r w:rsidRPr="009B7B35">
        <w:rPr>
          <w:rFonts w:ascii="Arial" w:hAnsi="Arial" w:cs="Arial"/>
          <w:sz w:val="20"/>
          <w:szCs w:val="20"/>
        </w:rPr>
        <w:t>For the purposes of this planning scheme policy and overlay code the following terms have the following meanings.</w:t>
      </w:r>
    </w:p>
    <w:p w14:paraId="5C84EB33" w14:textId="77777777"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3185"/>
        <w:gridCol w:w="6171"/>
      </w:tblGrid>
      <w:tr w:rsidR="00BE36FB" w:rsidRPr="009B7B35" w14:paraId="1966D1E9" w14:textId="77777777" w:rsidTr="001A7107">
        <w:trPr>
          <w:cnfStyle w:val="100000000000" w:firstRow="1" w:lastRow="0" w:firstColumn="0" w:lastColumn="0" w:oddVBand="0" w:evenVBand="0" w:oddHBand="0" w:evenHBand="0" w:firstRowFirstColumn="0" w:firstRowLastColumn="0" w:lastRowFirstColumn="0" w:lastRowLastColumn="0"/>
          <w:trHeight w:val="36"/>
        </w:trPr>
        <w:tc>
          <w:tcPr>
            <w:tcW w:w="3185" w:type="dxa"/>
          </w:tcPr>
          <w:p w14:paraId="723FF065" w14:textId="77777777" w:rsidR="00BE36FB" w:rsidRPr="009B7B35" w:rsidRDefault="00BE36FB" w:rsidP="001A7107">
            <w:pPr>
              <w:pStyle w:val="Tableheading"/>
              <w:rPr>
                <w:rFonts w:ascii="Arial" w:hAnsi="Arial" w:cs="Arial"/>
                <w:szCs w:val="20"/>
              </w:rPr>
            </w:pPr>
            <w:r w:rsidRPr="009B7B35">
              <w:rPr>
                <w:rFonts w:ascii="Arial" w:hAnsi="Arial" w:cs="Arial"/>
                <w:szCs w:val="20"/>
              </w:rPr>
              <w:t>Term</w:t>
            </w:r>
          </w:p>
        </w:tc>
        <w:tc>
          <w:tcPr>
            <w:tcW w:w="6171" w:type="dxa"/>
          </w:tcPr>
          <w:p w14:paraId="19F64FF9" w14:textId="77777777" w:rsidR="00BE36FB" w:rsidRPr="009B7B35" w:rsidRDefault="00BE36FB" w:rsidP="001A7107">
            <w:pPr>
              <w:pStyle w:val="Tableheading"/>
              <w:rPr>
                <w:rFonts w:ascii="Arial" w:hAnsi="Arial" w:cs="Arial"/>
                <w:szCs w:val="20"/>
              </w:rPr>
            </w:pPr>
            <w:r w:rsidRPr="009B7B35">
              <w:rPr>
                <w:rFonts w:ascii="Arial" w:hAnsi="Arial" w:cs="Arial"/>
                <w:szCs w:val="20"/>
              </w:rPr>
              <w:t>Meaning</w:t>
            </w:r>
          </w:p>
        </w:tc>
      </w:tr>
      <w:tr w:rsidR="00BE36FB" w:rsidRPr="009B7B35" w14:paraId="32674F44" w14:textId="77777777" w:rsidTr="001A7107">
        <w:tc>
          <w:tcPr>
            <w:tcW w:w="3185" w:type="dxa"/>
          </w:tcPr>
          <w:p w14:paraId="188F91F1" w14:textId="77777777" w:rsidR="00BE36FB" w:rsidRPr="009B7B35" w:rsidRDefault="00BE36FB" w:rsidP="001A7107">
            <w:pPr>
              <w:pStyle w:val="TableText"/>
              <w:rPr>
                <w:rFonts w:cs="Arial"/>
              </w:rPr>
            </w:pPr>
            <w:r w:rsidRPr="009B7B35">
              <w:rPr>
                <w:rFonts w:cs="Arial"/>
              </w:rPr>
              <w:t>Archaeological Management Plan</w:t>
            </w:r>
          </w:p>
        </w:tc>
        <w:tc>
          <w:tcPr>
            <w:tcW w:w="6171" w:type="dxa"/>
          </w:tcPr>
          <w:p w14:paraId="56DE8A2A" w14:textId="77777777" w:rsidR="00BE36FB" w:rsidRPr="009B7B35" w:rsidRDefault="00BE36FB" w:rsidP="001A7107">
            <w:pPr>
              <w:pStyle w:val="TableText"/>
              <w:rPr>
                <w:rFonts w:cs="Arial"/>
              </w:rPr>
            </w:pPr>
            <w:r w:rsidRPr="009B7B35">
              <w:rPr>
                <w:rFonts w:cs="Arial"/>
              </w:rPr>
              <w:t>A plan that describes the significant archaeological features and artefacts of a place, or the potential for archaeological for archaeological features and artefacts to be present, and the proposed methodology to manage impacts on the features and artefacts during approved ground–breaking activity, including the procedure to manage unexpected discoveries.</w:t>
            </w:r>
          </w:p>
        </w:tc>
      </w:tr>
      <w:tr w:rsidR="00BE36FB" w:rsidRPr="009B7B35" w14:paraId="5EB79FF3" w14:textId="77777777" w:rsidTr="001A7107">
        <w:tc>
          <w:tcPr>
            <w:tcW w:w="3185" w:type="dxa"/>
          </w:tcPr>
          <w:p w14:paraId="4058ADA8" w14:textId="77777777" w:rsidR="00BE36FB" w:rsidRPr="009B7B35" w:rsidRDefault="00BE36FB" w:rsidP="001A7107">
            <w:pPr>
              <w:pStyle w:val="TableText"/>
              <w:rPr>
                <w:rFonts w:cs="Arial"/>
              </w:rPr>
            </w:pPr>
            <w:r w:rsidRPr="009B7B35">
              <w:rPr>
                <w:rFonts w:cs="Arial"/>
              </w:rPr>
              <w:t>Ground–breaking activity</w:t>
            </w:r>
          </w:p>
        </w:tc>
        <w:tc>
          <w:tcPr>
            <w:tcW w:w="6171" w:type="dxa"/>
          </w:tcPr>
          <w:p w14:paraId="250AEA96" w14:textId="77777777" w:rsidR="00BE36FB" w:rsidRPr="009B7B35" w:rsidRDefault="00BE36FB" w:rsidP="001A7107">
            <w:pPr>
              <w:pStyle w:val="TableText"/>
              <w:rPr>
                <w:rFonts w:cs="Arial"/>
              </w:rPr>
            </w:pPr>
            <w:r w:rsidRPr="009B7B35">
              <w:rPr>
                <w:rFonts w:cs="Arial"/>
              </w:rPr>
              <w:t xml:space="preserve">An activity which involves: </w:t>
            </w:r>
          </w:p>
          <w:p w14:paraId="2ED64D31" w14:textId="77777777" w:rsidR="00BE36FB" w:rsidRPr="009B7B35" w:rsidRDefault="00BE36FB" w:rsidP="00BE36FB">
            <w:pPr>
              <w:pStyle w:val="TableText"/>
              <w:numPr>
                <w:ilvl w:val="0"/>
                <w:numId w:val="857"/>
              </w:numPr>
              <w:rPr>
                <w:rFonts w:cs="Arial"/>
              </w:rPr>
            </w:pPr>
            <w:r w:rsidRPr="009B7B35">
              <w:rPr>
                <w:rFonts w:cs="Arial"/>
              </w:rPr>
              <w:t xml:space="preserve">The use of machinery to break the topsoil or surface rock layer of the ground, including by use of an end loader, excavator, backhoe, bobcat, rotary hoe, drill or ditch digger, or </w:t>
            </w:r>
          </w:p>
          <w:p w14:paraId="6E5C1C53" w14:textId="77777777" w:rsidR="00BE36FB" w:rsidRPr="009B7B35" w:rsidRDefault="00BE36FB" w:rsidP="00BE36FB">
            <w:pPr>
              <w:pStyle w:val="TableText"/>
              <w:numPr>
                <w:ilvl w:val="0"/>
                <w:numId w:val="857"/>
              </w:numPr>
              <w:rPr>
                <w:rFonts w:cs="Arial"/>
              </w:rPr>
            </w:pPr>
            <w:r w:rsidRPr="009B7B35">
              <w:rPr>
                <w:rFonts w:cs="Arial"/>
              </w:rPr>
              <w:t>The removal of mature vegetation by disturbing root systems and exposing underlying soil.</w:t>
            </w:r>
          </w:p>
        </w:tc>
      </w:tr>
      <w:tr w:rsidR="00BE36FB" w:rsidRPr="009B7B35" w14:paraId="5180D500" w14:textId="77777777" w:rsidTr="001A7107">
        <w:tc>
          <w:tcPr>
            <w:tcW w:w="3185" w:type="dxa"/>
          </w:tcPr>
          <w:p w14:paraId="45801A99" w14:textId="77777777" w:rsidR="00BE36FB" w:rsidRPr="009B7B35" w:rsidRDefault="00BE36FB" w:rsidP="001A7107">
            <w:pPr>
              <w:pStyle w:val="TableText"/>
              <w:rPr>
                <w:rFonts w:cs="Arial"/>
              </w:rPr>
            </w:pPr>
            <w:r w:rsidRPr="009B7B35">
              <w:rPr>
                <w:rFonts w:cs="Arial"/>
              </w:rPr>
              <w:t>Heritage Management Plan</w:t>
            </w:r>
          </w:p>
        </w:tc>
        <w:tc>
          <w:tcPr>
            <w:tcW w:w="6171" w:type="dxa"/>
          </w:tcPr>
          <w:p w14:paraId="5E8939F2" w14:textId="77777777" w:rsidR="00BE36FB" w:rsidRPr="009B7B35" w:rsidRDefault="00BE36FB" w:rsidP="001A7107">
            <w:pPr>
              <w:pStyle w:val="TableText"/>
              <w:rPr>
                <w:rFonts w:cs="Arial"/>
              </w:rPr>
            </w:pPr>
            <w:r w:rsidRPr="009B7B35">
              <w:rPr>
                <w:rFonts w:cs="Arial"/>
              </w:rPr>
              <w:t>A plan that outlines the significance of the place, the conditions of approval for development to a Local Heritage Place and particular requirements to manage the significance of the place during development, including where necessary an archival recording of the place where demolition or removal is required.</w:t>
            </w:r>
          </w:p>
        </w:tc>
      </w:tr>
      <w:tr w:rsidR="00BE36FB" w:rsidRPr="009B7B35" w14:paraId="365C8774" w14:textId="77777777" w:rsidTr="001A7107">
        <w:tc>
          <w:tcPr>
            <w:tcW w:w="3185" w:type="dxa"/>
          </w:tcPr>
          <w:p w14:paraId="567843E8" w14:textId="77777777" w:rsidR="00BE36FB" w:rsidRPr="009B7B35" w:rsidRDefault="00BE36FB" w:rsidP="001A7107">
            <w:pPr>
              <w:pStyle w:val="TableText"/>
              <w:rPr>
                <w:rFonts w:cs="Arial"/>
              </w:rPr>
            </w:pPr>
            <w:r w:rsidRPr="009B7B35">
              <w:rPr>
                <w:rFonts w:cs="Arial"/>
              </w:rPr>
              <w:t>Local Heritage Place</w:t>
            </w:r>
          </w:p>
        </w:tc>
        <w:tc>
          <w:tcPr>
            <w:tcW w:w="6171" w:type="dxa"/>
          </w:tcPr>
          <w:p w14:paraId="5ED1EC21" w14:textId="77777777" w:rsidR="00BE36FB" w:rsidRPr="009B7B35" w:rsidRDefault="00BE36FB" w:rsidP="001A7107">
            <w:pPr>
              <w:pStyle w:val="TableText"/>
              <w:rPr>
                <w:rFonts w:cs="Arial"/>
              </w:rPr>
            </w:pPr>
            <w:r w:rsidRPr="009B7B35">
              <w:rPr>
                <w:rFonts w:cs="Arial"/>
              </w:rPr>
              <w:t>A place of regional heritage significance listed in Gladstone Regional Council Local Heritage Register.</w:t>
            </w:r>
          </w:p>
        </w:tc>
      </w:tr>
      <w:tr w:rsidR="00BE36FB" w:rsidRPr="009B7B35" w14:paraId="0357F1BB" w14:textId="77777777" w:rsidTr="001A7107">
        <w:tc>
          <w:tcPr>
            <w:tcW w:w="3185" w:type="dxa"/>
          </w:tcPr>
          <w:p w14:paraId="16C54256" w14:textId="77777777" w:rsidR="00BE36FB" w:rsidRPr="009B7B35" w:rsidRDefault="00BE36FB" w:rsidP="001A7107">
            <w:pPr>
              <w:pStyle w:val="TableText"/>
              <w:rPr>
                <w:rFonts w:cs="Arial"/>
              </w:rPr>
            </w:pPr>
            <w:r w:rsidRPr="009B7B35">
              <w:rPr>
                <w:rFonts w:cs="Arial"/>
              </w:rPr>
              <w:t>Place</w:t>
            </w:r>
          </w:p>
        </w:tc>
        <w:tc>
          <w:tcPr>
            <w:tcW w:w="6171" w:type="dxa"/>
          </w:tcPr>
          <w:p w14:paraId="288EA4E0" w14:textId="77777777" w:rsidR="00BE36FB" w:rsidRPr="009B7B35" w:rsidRDefault="00BE36FB" w:rsidP="001A7107">
            <w:pPr>
              <w:pStyle w:val="TableText"/>
              <w:rPr>
                <w:rFonts w:cs="Arial"/>
              </w:rPr>
            </w:pPr>
            <w:r w:rsidRPr="009B7B35">
              <w:rPr>
                <w:rFonts w:cs="Arial"/>
              </w:rPr>
              <w:t>A site, area, land, landscape, building or other work, group of buildings or other works, and may include components, contents, spaces and views (</w:t>
            </w:r>
            <w:r w:rsidRPr="009B7B35">
              <w:rPr>
                <w:rStyle w:val="StyleItalic"/>
                <w:rFonts w:cs="Arial"/>
              </w:rPr>
              <w:t>Australia ICOMOS Burra Charter, 1999</w:t>
            </w:r>
            <w:r w:rsidRPr="009B7B35">
              <w:rPr>
                <w:rFonts w:cs="Arial"/>
              </w:rPr>
              <w:t>).</w:t>
            </w:r>
          </w:p>
        </w:tc>
      </w:tr>
      <w:tr w:rsidR="00BE36FB" w:rsidRPr="009B7B35" w14:paraId="42F4CB2D" w14:textId="77777777" w:rsidTr="001A7107">
        <w:tc>
          <w:tcPr>
            <w:tcW w:w="3185" w:type="dxa"/>
          </w:tcPr>
          <w:p w14:paraId="5FE149EE" w14:textId="77777777" w:rsidR="00BE36FB" w:rsidRPr="009B7B35" w:rsidRDefault="00BE36FB" w:rsidP="001A7107">
            <w:pPr>
              <w:pStyle w:val="TableText"/>
              <w:rPr>
                <w:rFonts w:cs="Arial"/>
              </w:rPr>
            </w:pPr>
            <w:r w:rsidRPr="009B7B35">
              <w:rPr>
                <w:rFonts w:cs="Arial"/>
              </w:rPr>
              <w:t>Statement of Impact</w:t>
            </w:r>
          </w:p>
        </w:tc>
        <w:tc>
          <w:tcPr>
            <w:tcW w:w="6171" w:type="dxa"/>
          </w:tcPr>
          <w:p w14:paraId="60DE15BD" w14:textId="77777777" w:rsidR="00BE36FB" w:rsidRPr="009B7B35" w:rsidRDefault="00BE36FB" w:rsidP="001A7107">
            <w:pPr>
              <w:pStyle w:val="TableText"/>
              <w:rPr>
                <w:rFonts w:cs="Arial"/>
              </w:rPr>
            </w:pPr>
            <w:r w:rsidRPr="009B7B35">
              <w:rPr>
                <w:rFonts w:cs="Arial"/>
              </w:rPr>
              <w:t>A statement (generally in the form of a report) that outlines the significance of a place and provides an analysis determining the extent to which a proposed development activity will impact or conserve that significance.</w:t>
            </w:r>
          </w:p>
        </w:tc>
      </w:tr>
      <w:tr w:rsidR="00BE36FB" w:rsidRPr="009B7B35" w14:paraId="5FC388D0" w14:textId="77777777" w:rsidTr="001A7107">
        <w:tc>
          <w:tcPr>
            <w:tcW w:w="3185" w:type="dxa"/>
          </w:tcPr>
          <w:p w14:paraId="44235D2E" w14:textId="77777777" w:rsidR="00BE36FB" w:rsidRPr="009B7B35" w:rsidRDefault="00BE36FB" w:rsidP="001A7107">
            <w:pPr>
              <w:pStyle w:val="TableText"/>
              <w:rPr>
                <w:rFonts w:cs="Arial"/>
              </w:rPr>
            </w:pPr>
            <w:r w:rsidRPr="009B7B35">
              <w:rPr>
                <w:rFonts w:cs="Arial"/>
              </w:rPr>
              <w:t>Statement of Significance</w:t>
            </w:r>
          </w:p>
        </w:tc>
        <w:tc>
          <w:tcPr>
            <w:tcW w:w="6171" w:type="dxa"/>
          </w:tcPr>
          <w:p w14:paraId="1BBA93C4" w14:textId="77777777" w:rsidR="00BE36FB" w:rsidRPr="009B7B35" w:rsidRDefault="00BE36FB" w:rsidP="001A7107">
            <w:pPr>
              <w:pStyle w:val="TableText"/>
              <w:rPr>
                <w:rFonts w:cs="Arial"/>
              </w:rPr>
            </w:pPr>
            <w:r w:rsidRPr="009B7B35">
              <w:rPr>
                <w:rFonts w:cs="Arial"/>
              </w:rPr>
              <w:t>The significance of the Local Heritage Place related to the heritage criteria a–h.</w:t>
            </w:r>
          </w:p>
        </w:tc>
      </w:tr>
    </w:tbl>
    <w:p w14:paraId="6B647FC2" w14:textId="77777777" w:rsidR="00BE36FB" w:rsidRPr="009B7B35" w:rsidRDefault="00BE36FB" w:rsidP="007A46D8">
      <w:pPr>
        <w:pStyle w:val="Heading7"/>
        <w:numPr>
          <w:ilvl w:val="6"/>
          <w:numId w:val="834"/>
        </w:numPr>
        <w:rPr>
          <w:rFonts w:cs="Arial"/>
          <w:sz w:val="20"/>
          <w:szCs w:val="20"/>
        </w:rPr>
      </w:pPr>
      <w:bookmarkStart w:id="364" w:name="_Toc205367477"/>
      <w:r w:rsidRPr="009B7B35">
        <w:rPr>
          <w:rFonts w:cs="Arial"/>
          <w:sz w:val="20"/>
          <w:szCs w:val="20"/>
        </w:rPr>
        <w:t>Non–resident workers accommodation</w:t>
      </w:r>
      <w:bookmarkEnd w:id="364"/>
    </w:p>
    <w:p w14:paraId="09861A69" w14:textId="77777777" w:rsidR="00BE36FB" w:rsidRPr="009B7B35" w:rsidRDefault="00BE36FB" w:rsidP="007A46D8">
      <w:pPr>
        <w:pStyle w:val="Heading8"/>
        <w:numPr>
          <w:ilvl w:val="7"/>
          <w:numId w:val="834"/>
        </w:numPr>
        <w:rPr>
          <w:rFonts w:ascii="Arial" w:hAnsi="Arial" w:cs="Arial"/>
          <w:sz w:val="20"/>
        </w:rPr>
      </w:pPr>
      <w:bookmarkStart w:id="365" w:name="_Toc205367478"/>
      <w:r w:rsidRPr="009B7B35">
        <w:rPr>
          <w:rFonts w:ascii="Arial" w:hAnsi="Arial" w:cs="Arial"/>
          <w:sz w:val="20"/>
        </w:rPr>
        <w:t>Introduction</w:t>
      </w:r>
      <w:bookmarkEnd w:id="365"/>
    </w:p>
    <w:p w14:paraId="78AFD507" w14:textId="77777777" w:rsidR="00BE36FB" w:rsidRPr="009B7B35" w:rsidRDefault="00BE36FB" w:rsidP="001A7107">
      <w:pPr>
        <w:rPr>
          <w:rFonts w:ascii="Arial" w:hAnsi="Arial" w:cs="Arial"/>
          <w:sz w:val="20"/>
          <w:szCs w:val="20"/>
        </w:rPr>
      </w:pPr>
      <w:r w:rsidRPr="009B7B35">
        <w:rPr>
          <w:rFonts w:ascii="Arial" w:hAnsi="Arial" w:cs="Arial"/>
          <w:sz w:val="20"/>
          <w:szCs w:val="20"/>
        </w:rPr>
        <w:t>Gladstone is a focus for industrial development of State and national importance. Traditionally the construction phase of these developments has placed significant pressures on the local economy when a large non–resident workforce competes for scarce short term rental accommodation. The impacts to the local community include a general decline in the availability of accommodation, sharp increases in the cost of rental accommodation and an instability in the overall cost of housing.</w:t>
      </w:r>
    </w:p>
    <w:p w14:paraId="0C8C782A" w14:textId="77777777" w:rsidR="00BE36FB" w:rsidRPr="009B7B35" w:rsidRDefault="00BE36FB" w:rsidP="001A7107">
      <w:pPr>
        <w:rPr>
          <w:rFonts w:ascii="Arial" w:hAnsi="Arial" w:cs="Arial"/>
          <w:sz w:val="20"/>
          <w:szCs w:val="20"/>
        </w:rPr>
      </w:pPr>
    </w:p>
    <w:p w14:paraId="03EA983C" w14:textId="77777777" w:rsidR="00BE36FB" w:rsidRPr="009B7B35" w:rsidRDefault="00BE36FB" w:rsidP="001A7107">
      <w:pPr>
        <w:rPr>
          <w:rFonts w:ascii="Arial" w:hAnsi="Arial" w:cs="Arial"/>
          <w:sz w:val="20"/>
          <w:szCs w:val="20"/>
        </w:rPr>
      </w:pPr>
      <w:r w:rsidRPr="009B7B35">
        <w:rPr>
          <w:rFonts w:ascii="Arial" w:hAnsi="Arial" w:cs="Arial"/>
          <w:sz w:val="20"/>
          <w:szCs w:val="20"/>
        </w:rPr>
        <w:t>Council is committed to alleviating these adverse impacts by encouraging the provision of purpose built non–resident workers accommodation that can respond to the peak demands of those construction phases. These facilities are not necessarily seen as an end use, rather a temporary support for short term accommodation provided in serviced apartments.</w:t>
      </w:r>
    </w:p>
    <w:p w14:paraId="59DEF962" w14:textId="77777777" w:rsidR="00BE36FB" w:rsidRPr="009B7B35" w:rsidRDefault="00BE36FB" w:rsidP="001A7107">
      <w:pPr>
        <w:rPr>
          <w:rFonts w:ascii="Arial" w:hAnsi="Arial" w:cs="Arial"/>
          <w:sz w:val="20"/>
          <w:szCs w:val="20"/>
        </w:rPr>
      </w:pPr>
    </w:p>
    <w:p w14:paraId="5A11F84C" w14:textId="77777777" w:rsidR="00BE36FB" w:rsidRPr="009B7B35" w:rsidRDefault="00BE36FB" w:rsidP="001A7107">
      <w:pPr>
        <w:rPr>
          <w:rFonts w:ascii="Arial" w:hAnsi="Arial" w:cs="Arial"/>
          <w:sz w:val="20"/>
          <w:szCs w:val="20"/>
        </w:rPr>
      </w:pPr>
      <w:r w:rsidRPr="009B7B35">
        <w:rPr>
          <w:rFonts w:ascii="Arial" w:hAnsi="Arial" w:cs="Arial"/>
          <w:sz w:val="20"/>
          <w:szCs w:val="20"/>
        </w:rPr>
        <w:t>Workers accommodation needs to provide a high level of health, safety and comfort for their occupants commensurate with the needs of modern mobile workforce working day and night shifts.</w:t>
      </w:r>
    </w:p>
    <w:p w14:paraId="7E6F5153" w14:textId="77777777" w:rsidR="00BE36FB" w:rsidRPr="009B7B35" w:rsidRDefault="00BE36FB" w:rsidP="001A7107">
      <w:pPr>
        <w:rPr>
          <w:rFonts w:ascii="Arial" w:hAnsi="Arial" w:cs="Arial"/>
          <w:sz w:val="20"/>
          <w:szCs w:val="20"/>
        </w:rPr>
      </w:pPr>
    </w:p>
    <w:p w14:paraId="0F8FD591" w14:textId="77777777" w:rsidR="00BE36FB" w:rsidRPr="009B7B35" w:rsidRDefault="00BE36FB" w:rsidP="001A7107">
      <w:pPr>
        <w:rPr>
          <w:rFonts w:ascii="Arial" w:hAnsi="Arial" w:cs="Arial"/>
          <w:sz w:val="20"/>
          <w:szCs w:val="20"/>
        </w:rPr>
      </w:pPr>
      <w:r w:rsidRPr="009B7B35">
        <w:rPr>
          <w:rFonts w:ascii="Arial" w:hAnsi="Arial" w:cs="Arial"/>
          <w:sz w:val="20"/>
          <w:szCs w:val="20"/>
        </w:rPr>
        <w:t>Council is also committed to ensuring that, by applying appropriate development standards, new development is appropriately located and serviced, is able to be socially integrated into existing communities and compatible with existing land uses.</w:t>
      </w:r>
    </w:p>
    <w:p w14:paraId="1C00CB42" w14:textId="77777777" w:rsidR="00BE36FB" w:rsidRPr="009B7B35" w:rsidRDefault="00BE36FB" w:rsidP="001A7107">
      <w:pPr>
        <w:rPr>
          <w:rFonts w:ascii="Arial" w:hAnsi="Arial" w:cs="Arial"/>
          <w:sz w:val="20"/>
          <w:szCs w:val="20"/>
        </w:rPr>
      </w:pPr>
    </w:p>
    <w:p w14:paraId="65826390" w14:textId="77777777" w:rsidR="00BE36FB" w:rsidRPr="009B7B35" w:rsidRDefault="00BE36FB" w:rsidP="001A7107">
      <w:pPr>
        <w:rPr>
          <w:rFonts w:ascii="Arial" w:hAnsi="Arial" w:cs="Arial"/>
          <w:b/>
          <w:sz w:val="20"/>
          <w:szCs w:val="20"/>
        </w:rPr>
      </w:pPr>
      <w:r w:rsidRPr="009B7B35">
        <w:rPr>
          <w:rFonts w:ascii="Arial" w:hAnsi="Arial" w:cs="Arial"/>
          <w:b/>
          <w:sz w:val="20"/>
          <w:szCs w:val="20"/>
        </w:rPr>
        <w:t>Relationship to the planning scheme</w:t>
      </w:r>
    </w:p>
    <w:p w14:paraId="56327B2E" w14:textId="77777777" w:rsidR="00BE36FB" w:rsidRPr="009B7B35" w:rsidRDefault="00BE36FB" w:rsidP="001A7107">
      <w:pPr>
        <w:rPr>
          <w:rFonts w:ascii="Arial" w:hAnsi="Arial" w:cs="Arial"/>
          <w:sz w:val="20"/>
          <w:szCs w:val="20"/>
        </w:rPr>
      </w:pPr>
      <w:r w:rsidRPr="009B7B35">
        <w:rPr>
          <w:rFonts w:ascii="Arial" w:hAnsi="Arial" w:cs="Arial"/>
          <w:sz w:val="20"/>
          <w:szCs w:val="20"/>
        </w:rPr>
        <w:t>This planning scheme policy applies to Material change of use applications which require assessment against the Planning Scheme Policy for Non–resident workers accommodation.</w:t>
      </w:r>
    </w:p>
    <w:p w14:paraId="69AC74D1" w14:textId="77777777" w:rsidR="00BE36FB" w:rsidRPr="009B7B35" w:rsidRDefault="00BE36FB" w:rsidP="001A7107">
      <w:pPr>
        <w:rPr>
          <w:rFonts w:ascii="Arial" w:hAnsi="Arial" w:cs="Arial"/>
          <w:sz w:val="20"/>
          <w:szCs w:val="20"/>
        </w:rPr>
      </w:pPr>
    </w:p>
    <w:p w14:paraId="180A5F5A" w14:textId="77777777" w:rsidR="00BE36FB" w:rsidRPr="009B7B35" w:rsidRDefault="00BE36FB" w:rsidP="001A7107">
      <w:pPr>
        <w:rPr>
          <w:rFonts w:ascii="Arial" w:hAnsi="Arial" w:cs="Arial"/>
          <w:b/>
          <w:sz w:val="20"/>
          <w:szCs w:val="20"/>
        </w:rPr>
      </w:pPr>
      <w:r w:rsidRPr="009B7B35">
        <w:rPr>
          <w:rFonts w:ascii="Arial" w:hAnsi="Arial" w:cs="Arial"/>
          <w:b/>
          <w:sz w:val="20"/>
          <w:szCs w:val="20"/>
        </w:rPr>
        <w:t>Purpose</w:t>
      </w:r>
    </w:p>
    <w:p w14:paraId="60F8C8F9" w14:textId="77777777" w:rsidR="00BE36FB" w:rsidRPr="009B7B35" w:rsidRDefault="00BE36FB" w:rsidP="001A7107">
      <w:pPr>
        <w:rPr>
          <w:rFonts w:ascii="Arial" w:hAnsi="Arial" w:cs="Arial"/>
          <w:sz w:val="20"/>
          <w:szCs w:val="20"/>
        </w:rPr>
      </w:pPr>
      <w:r w:rsidRPr="009B7B35">
        <w:rPr>
          <w:rFonts w:ascii="Arial" w:hAnsi="Arial" w:cs="Arial"/>
          <w:sz w:val="20"/>
          <w:szCs w:val="20"/>
        </w:rPr>
        <w:t>The purpose of the planning scheme policy is to provide guidance on the appropriate location, development standards, and built form of non–resident workers accommodation that will achieve high quality outcomes that support the needs of major industrial development.</w:t>
      </w:r>
    </w:p>
    <w:p w14:paraId="4342EB06" w14:textId="77777777" w:rsidR="00BE36FB" w:rsidRPr="009B7B35" w:rsidRDefault="00BE36FB" w:rsidP="007A46D8">
      <w:pPr>
        <w:pStyle w:val="Heading8"/>
        <w:numPr>
          <w:ilvl w:val="7"/>
          <w:numId w:val="834"/>
        </w:numPr>
        <w:rPr>
          <w:rFonts w:ascii="Arial" w:hAnsi="Arial" w:cs="Arial"/>
          <w:sz w:val="20"/>
        </w:rPr>
      </w:pPr>
      <w:bookmarkStart w:id="366" w:name="_Toc205367479"/>
      <w:r w:rsidRPr="009B7B35">
        <w:rPr>
          <w:rFonts w:ascii="Arial" w:hAnsi="Arial" w:cs="Arial"/>
          <w:sz w:val="20"/>
        </w:rPr>
        <w:t>Location</w:t>
      </w:r>
      <w:bookmarkEnd w:id="366"/>
    </w:p>
    <w:p w14:paraId="793F149A"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Council’s preferred location for non–resident workers accommodation is in those locations where there is access to relevant infrastructure and services and where workers contribute to the cultural and social values of those communities. </w:t>
      </w:r>
    </w:p>
    <w:p w14:paraId="04064678" w14:textId="77777777" w:rsidR="00BE36FB" w:rsidRPr="009B7B35" w:rsidRDefault="00BE36FB" w:rsidP="001A7107">
      <w:pPr>
        <w:rPr>
          <w:rFonts w:ascii="Arial" w:hAnsi="Arial" w:cs="Arial"/>
          <w:sz w:val="20"/>
          <w:szCs w:val="20"/>
        </w:rPr>
      </w:pPr>
    </w:p>
    <w:p w14:paraId="7FCA1A12"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development should not adjoin incompatible land uses which have impacts that cannot be managed by the development. It should also have a site area sufficient to enable it to incorporate measures that will avoid adverse impacts to adjoining residential land uses including matters such as noise generated by early morning and late night shift traffic. </w:t>
      </w:r>
    </w:p>
    <w:p w14:paraId="07571263" w14:textId="77777777" w:rsidR="00BE36FB" w:rsidRPr="009B7B35" w:rsidRDefault="00BE36FB" w:rsidP="001A7107">
      <w:pPr>
        <w:rPr>
          <w:rFonts w:ascii="Arial" w:hAnsi="Arial" w:cs="Arial"/>
          <w:sz w:val="20"/>
          <w:szCs w:val="20"/>
        </w:rPr>
      </w:pPr>
    </w:p>
    <w:p w14:paraId="32691E88"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Strong links to workplaces, retail, entertainment and recreational services and facilities are important. </w:t>
      </w:r>
    </w:p>
    <w:p w14:paraId="05C51496" w14:textId="77777777" w:rsidR="00BE36FB" w:rsidRPr="009B7B35" w:rsidRDefault="00BE36FB" w:rsidP="001A7107">
      <w:pPr>
        <w:rPr>
          <w:rFonts w:ascii="Arial" w:hAnsi="Arial" w:cs="Arial"/>
          <w:sz w:val="20"/>
          <w:szCs w:val="20"/>
        </w:rPr>
      </w:pPr>
    </w:p>
    <w:p w14:paraId="74B37569" w14:textId="77777777" w:rsidR="00BE36FB" w:rsidRPr="009B7B35" w:rsidRDefault="00BE36FB" w:rsidP="001A7107">
      <w:pPr>
        <w:rPr>
          <w:rFonts w:ascii="Arial" w:hAnsi="Arial" w:cs="Arial"/>
          <w:sz w:val="20"/>
          <w:szCs w:val="20"/>
        </w:rPr>
      </w:pPr>
      <w:r w:rsidRPr="009B7B35">
        <w:rPr>
          <w:rFonts w:ascii="Arial" w:hAnsi="Arial" w:cs="Arial"/>
          <w:sz w:val="20"/>
          <w:szCs w:val="20"/>
        </w:rPr>
        <w:t>Where an urban or urban edge location is not practicable, developments need to be either capable of connecting to existing reticulated water and waste water systems or demonstrate that adequate services can be provided on–site in an ecologically sustainable manner. A higher level of on–site dining, social and recreational facilities would be expected to compensate for their more remote location.</w:t>
      </w:r>
    </w:p>
    <w:p w14:paraId="23AC42D2" w14:textId="77777777" w:rsidR="00BE36FB" w:rsidRPr="009B7B35" w:rsidRDefault="00BE36FB" w:rsidP="001A7107">
      <w:pPr>
        <w:rPr>
          <w:rFonts w:ascii="Arial" w:hAnsi="Arial" w:cs="Arial"/>
          <w:sz w:val="20"/>
          <w:szCs w:val="20"/>
        </w:rPr>
      </w:pPr>
    </w:p>
    <w:p w14:paraId="228C2791" w14:textId="77777777" w:rsidR="00BE36FB" w:rsidRPr="009B7B35" w:rsidRDefault="00BE36FB" w:rsidP="001A7107">
      <w:pPr>
        <w:rPr>
          <w:rFonts w:ascii="Arial" w:hAnsi="Arial" w:cs="Arial"/>
          <w:sz w:val="20"/>
          <w:szCs w:val="20"/>
        </w:rPr>
      </w:pPr>
      <w:r w:rsidRPr="009B7B35">
        <w:rPr>
          <w:rFonts w:ascii="Arial" w:hAnsi="Arial" w:cs="Arial"/>
          <w:sz w:val="20"/>
          <w:szCs w:val="20"/>
        </w:rPr>
        <w:t>Sites should avoid land constrained by overlay codes including natural hazard areas, steep land, areas with biodiversity or scenic values, areas of higher quality agricultural land, and should be separated from surrounding uses that may generate noise, light or dust emissions.</w:t>
      </w:r>
    </w:p>
    <w:p w14:paraId="75D69EC5" w14:textId="77777777"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14:paraId="201E9D5F" w14:textId="77777777" w:rsidTr="001A7107">
        <w:trPr>
          <w:cnfStyle w:val="100000000000" w:firstRow="1" w:lastRow="0" w:firstColumn="0" w:lastColumn="0" w:oddVBand="0" w:evenVBand="0" w:oddHBand="0" w:evenHBand="0" w:firstRowFirstColumn="0" w:firstRowLastColumn="0" w:lastRowFirstColumn="0" w:lastRowLastColumn="0"/>
        </w:trPr>
        <w:tc>
          <w:tcPr>
            <w:tcW w:w="9356" w:type="dxa"/>
          </w:tcPr>
          <w:p w14:paraId="4595D524" w14:textId="77777777" w:rsidR="00BE36FB" w:rsidRPr="009B7B35" w:rsidRDefault="00BE36FB" w:rsidP="001A7107">
            <w:pPr>
              <w:pStyle w:val="Tableheading"/>
              <w:rPr>
                <w:rFonts w:ascii="Arial" w:hAnsi="Arial" w:cs="Arial"/>
                <w:szCs w:val="20"/>
              </w:rPr>
            </w:pPr>
            <w:r w:rsidRPr="009B7B35">
              <w:rPr>
                <w:rFonts w:ascii="Arial" w:hAnsi="Arial" w:cs="Arial"/>
                <w:szCs w:val="20"/>
              </w:rPr>
              <w:t>Benchmark—Location</w:t>
            </w:r>
          </w:p>
        </w:tc>
      </w:tr>
      <w:tr w:rsidR="00BE36FB" w:rsidRPr="009B7B35" w14:paraId="7BFA5011" w14:textId="77777777" w:rsidTr="001A7107">
        <w:tc>
          <w:tcPr>
            <w:tcW w:w="9356" w:type="dxa"/>
          </w:tcPr>
          <w:p w14:paraId="51881070" w14:textId="77777777" w:rsidR="00BE36FB" w:rsidRPr="009B7B35" w:rsidRDefault="00BE36FB" w:rsidP="00BE36FB">
            <w:pPr>
              <w:pStyle w:val="ListBullet"/>
              <w:spacing w:before="80" w:after="80"/>
              <w:rPr>
                <w:rFonts w:cs="Arial"/>
                <w:szCs w:val="20"/>
              </w:rPr>
            </w:pPr>
            <w:r w:rsidRPr="009B7B35">
              <w:rPr>
                <w:rFonts w:cs="Arial"/>
                <w:szCs w:val="20"/>
              </w:rPr>
              <w:t>The land is physically suitable for the development having regard to matters including flooding, tidal surge, bushfire risk, steep land, drainage, contamination and biodiversity and scenic values.</w:t>
            </w:r>
          </w:p>
          <w:p w14:paraId="6BEB8B1A" w14:textId="77777777" w:rsidR="00BE36FB" w:rsidRPr="009B7B35" w:rsidRDefault="00BE36FB" w:rsidP="00BE36FB">
            <w:pPr>
              <w:pStyle w:val="ListBullet"/>
              <w:spacing w:before="80" w:after="80"/>
              <w:rPr>
                <w:rFonts w:cs="Arial"/>
                <w:szCs w:val="20"/>
              </w:rPr>
            </w:pPr>
            <w:r w:rsidRPr="009B7B35">
              <w:rPr>
                <w:rFonts w:cs="Arial"/>
                <w:szCs w:val="20"/>
              </w:rPr>
              <w:t>The scale of the development proposed is compatible with existing development in the locality and with the expected outcomes of the particular zone code.</w:t>
            </w:r>
          </w:p>
          <w:p w14:paraId="46444C4C" w14:textId="77777777" w:rsidR="00BE36FB" w:rsidRPr="009B7B35" w:rsidRDefault="00BE36FB" w:rsidP="00BE36FB">
            <w:pPr>
              <w:pStyle w:val="ListBullet"/>
              <w:spacing w:before="80" w:after="80"/>
              <w:rPr>
                <w:rFonts w:cs="Arial"/>
                <w:szCs w:val="20"/>
              </w:rPr>
            </w:pPr>
            <w:r w:rsidRPr="009B7B35">
              <w:rPr>
                <w:rFonts w:cs="Arial"/>
                <w:szCs w:val="20"/>
              </w:rPr>
              <w:t>Development avoids locations that adjoin incompatible uses where the impacts from noise, dust or light emissions cannot be mitigated.</w:t>
            </w:r>
          </w:p>
          <w:p w14:paraId="452FD028" w14:textId="77777777" w:rsidR="00BE36FB" w:rsidRPr="009B7B35" w:rsidRDefault="00BE36FB" w:rsidP="00BE36FB">
            <w:pPr>
              <w:pStyle w:val="ListBullet"/>
              <w:spacing w:before="80" w:after="80"/>
              <w:rPr>
                <w:rFonts w:cs="Arial"/>
                <w:szCs w:val="20"/>
              </w:rPr>
            </w:pPr>
            <w:r w:rsidRPr="009B7B35">
              <w:rPr>
                <w:rFonts w:cs="Arial"/>
                <w:szCs w:val="20"/>
              </w:rPr>
              <w:t>Development does not adversely impact on the amenity of existing residential uses.</w:t>
            </w:r>
          </w:p>
          <w:p w14:paraId="5651727C" w14:textId="77777777" w:rsidR="00BE36FB" w:rsidRPr="009B7B35" w:rsidRDefault="00BE36FB" w:rsidP="00BE36FB">
            <w:pPr>
              <w:pStyle w:val="ListBullet"/>
              <w:spacing w:before="80" w:after="80"/>
              <w:rPr>
                <w:rFonts w:cs="Arial"/>
                <w:szCs w:val="20"/>
              </w:rPr>
            </w:pPr>
            <w:r w:rsidRPr="009B7B35">
              <w:rPr>
                <w:rFonts w:cs="Arial"/>
                <w:szCs w:val="20"/>
              </w:rPr>
              <w:t>The land is capable of being provided with acceptable levels of infrastructure, community services and facilities.</w:t>
            </w:r>
          </w:p>
          <w:p w14:paraId="0DA1E4BA" w14:textId="77777777" w:rsidR="00BE36FB" w:rsidRPr="009B7B35" w:rsidRDefault="00BE36FB" w:rsidP="00BE36FB">
            <w:pPr>
              <w:pStyle w:val="ListBullet"/>
              <w:spacing w:before="80" w:after="80"/>
              <w:rPr>
                <w:rFonts w:cs="Arial"/>
                <w:szCs w:val="20"/>
              </w:rPr>
            </w:pPr>
            <w:r w:rsidRPr="009B7B35">
              <w:rPr>
                <w:rFonts w:cs="Arial"/>
                <w:szCs w:val="20"/>
              </w:rPr>
              <w:t>Developments are located within a reasonable distance of workplaces.</w:t>
            </w:r>
          </w:p>
          <w:p w14:paraId="16D079B5" w14:textId="77777777" w:rsidR="00BE36FB" w:rsidRPr="009B7B35" w:rsidRDefault="00BE36FB" w:rsidP="00BE36FB">
            <w:pPr>
              <w:pStyle w:val="ListBullet"/>
              <w:spacing w:before="80" w:after="80"/>
              <w:rPr>
                <w:rFonts w:cs="Arial"/>
                <w:szCs w:val="20"/>
              </w:rPr>
            </w:pPr>
            <w:r w:rsidRPr="009B7B35">
              <w:rPr>
                <w:rFonts w:cs="Arial"/>
                <w:szCs w:val="20"/>
              </w:rPr>
              <w:t xml:space="preserve">Developments in urban or urban fringe locations are able to be fully integrated with existing communities.  </w:t>
            </w:r>
          </w:p>
          <w:p w14:paraId="56D9C8D4" w14:textId="77777777" w:rsidR="00BE36FB" w:rsidRPr="009B7B35" w:rsidRDefault="00BE36FB" w:rsidP="00BE36FB">
            <w:pPr>
              <w:pStyle w:val="ListBullet"/>
              <w:spacing w:before="80" w:after="80"/>
              <w:rPr>
                <w:rFonts w:cs="Arial"/>
                <w:szCs w:val="20"/>
              </w:rPr>
            </w:pPr>
            <w:r w:rsidRPr="009B7B35">
              <w:rPr>
                <w:rFonts w:cs="Arial"/>
                <w:szCs w:val="20"/>
              </w:rPr>
              <w:t>In the case of development proposed in rural areas, the development is not located on Class A or Class B agricultural land.</w:t>
            </w:r>
          </w:p>
        </w:tc>
      </w:tr>
    </w:tbl>
    <w:p w14:paraId="4CDEA153" w14:textId="77777777" w:rsidR="00BE36FB" w:rsidRPr="009B7B35" w:rsidRDefault="00BE36FB" w:rsidP="007A46D8">
      <w:pPr>
        <w:pStyle w:val="Heading8"/>
        <w:numPr>
          <w:ilvl w:val="7"/>
          <w:numId w:val="834"/>
        </w:numPr>
        <w:rPr>
          <w:rFonts w:ascii="Arial" w:hAnsi="Arial" w:cs="Arial"/>
          <w:sz w:val="20"/>
        </w:rPr>
      </w:pPr>
      <w:bookmarkStart w:id="367" w:name="_Toc205367480"/>
      <w:r w:rsidRPr="009B7B35">
        <w:rPr>
          <w:rFonts w:ascii="Arial" w:hAnsi="Arial" w:cs="Arial"/>
          <w:sz w:val="20"/>
        </w:rPr>
        <w:t>Site area</w:t>
      </w:r>
      <w:bookmarkEnd w:id="367"/>
    </w:p>
    <w:p w14:paraId="13DFBE74" w14:textId="77777777" w:rsidR="00BE36FB" w:rsidRPr="009B7B35" w:rsidRDefault="00BE36FB" w:rsidP="001A7107">
      <w:pPr>
        <w:rPr>
          <w:rFonts w:ascii="Arial" w:hAnsi="Arial" w:cs="Arial"/>
          <w:sz w:val="20"/>
          <w:szCs w:val="20"/>
        </w:rPr>
      </w:pPr>
      <w:r w:rsidRPr="009B7B35">
        <w:rPr>
          <w:rFonts w:ascii="Arial" w:hAnsi="Arial" w:cs="Arial"/>
          <w:sz w:val="20"/>
          <w:szCs w:val="20"/>
        </w:rPr>
        <w:t>The site area needed to accommodate the development will be largely dependent on the size of the accommodation facility, style of development, the on–site facilities provided, the need to incorporate measures to mitigate impacts to/from adjoining premises, site characteristics and, in some cases, its landscape setting and the need to make provision for an on–site water supply and/or waste water disposal.</w:t>
      </w:r>
    </w:p>
    <w:p w14:paraId="099A1EB1" w14:textId="77777777"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14:paraId="0060D773" w14:textId="77777777" w:rsidTr="001A7107">
        <w:trPr>
          <w:cnfStyle w:val="100000000000" w:firstRow="1" w:lastRow="0" w:firstColumn="0" w:lastColumn="0" w:oddVBand="0" w:evenVBand="0" w:oddHBand="0" w:evenHBand="0" w:firstRowFirstColumn="0" w:firstRowLastColumn="0" w:lastRowFirstColumn="0" w:lastRowLastColumn="0"/>
        </w:trPr>
        <w:tc>
          <w:tcPr>
            <w:tcW w:w="9356" w:type="dxa"/>
          </w:tcPr>
          <w:p w14:paraId="789828C4" w14:textId="77777777" w:rsidR="00BE36FB" w:rsidRPr="009B7B35" w:rsidRDefault="00BE36FB" w:rsidP="001A7107">
            <w:pPr>
              <w:pStyle w:val="Tableheading"/>
              <w:rPr>
                <w:rFonts w:ascii="Arial" w:hAnsi="Arial" w:cs="Arial"/>
                <w:szCs w:val="20"/>
              </w:rPr>
            </w:pPr>
            <w:r w:rsidRPr="009B7B35">
              <w:rPr>
                <w:rFonts w:ascii="Arial" w:hAnsi="Arial" w:cs="Arial"/>
                <w:szCs w:val="20"/>
              </w:rPr>
              <w:t>Benchmark—Site area</w:t>
            </w:r>
          </w:p>
        </w:tc>
      </w:tr>
      <w:tr w:rsidR="00BE36FB" w:rsidRPr="009B7B35" w14:paraId="45A1279C" w14:textId="77777777" w:rsidTr="001A7107">
        <w:tc>
          <w:tcPr>
            <w:tcW w:w="9356" w:type="dxa"/>
          </w:tcPr>
          <w:p w14:paraId="1E360E27" w14:textId="77777777" w:rsidR="00BE36FB" w:rsidRPr="009B7B35" w:rsidRDefault="00BE36FB" w:rsidP="00BE36FB">
            <w:pPr>
              <w:pStyle w:val="ListBullet"/>
              <w:spacing w:before="80" w:after="80"/>
              <w:rPr>
                <w:rFonts w:cs="Arial"/>
                <w:szCs w:val="20"/>
              </w:rPr>
            </w:pPr>
            <w:r w:rsidRPr="009B7B35">
              <w:rPr>
                <w:rFonts w:cs="Arial"/>
                <w:szCs w:val="20"/>
              </w:rPr>
              <w:t>The site area is to be sufficient for the development to be compatible with the scale and nature of its locality, the scale of facilities to be provided and its landscape setting.</w:t>
            </w:r>
          </w:p>
          <w:p w14:paraId="1AC9AA90" w14:textId="77777777" w:rsidR="00BE36FB" w:rsidRPr="009B7B35" w:rsidRDefault="00BE36FB" w:rsidP="00BE36FB">
            <w:pPr>
              <w:pStyle w:val="ListBullet"/>
              <w:spacing w:before="80" w:after="80"/>
              <w:rPr>
                <w:rFonts w:cs="Arial"/>
                <w:szCs w:val="20"/>
              </w:rPr>
            </w:pPr>
            <w:r w:rsidRPr="009B7B35">
              <w:rPr>
                <w:rFonts w:cs="Arial"/>
                <w:szCs w:val="20"/>
              </w:rPr>
              <w:t>As a guideline, in urban or urban fringe locations, a minimum lot size of 2ha and a maximum bed density of 1 room per 50m</w:t>
            </w:r>
            <w:r w:rsidRPr="009B7B35">
              <w:rPr>
                <w:rStyle w:val="StyleSuperscript"/>
                <w:rFonts w:cs="Arial"/>
                <w:szCs w:val="20"/>
              </w:rPr>
              <w:t>2</w:t>
            </w:r>
            <w:r w:rsidRPr="009B7B35">
              <w:rPr>
                <w:rFonts w:cs="Arial"/>
                <w:szCs w:val="20"/>
              </w:rPr>
              <w:t xml:space="preserve"> of site area is considered appropriate.</w:t>
            </w:r>
          </w:p>
        </w:tc>
      </w:tr>
    </w:tbl>
    <w:p w14:paraId="52796895" w14:textId="77777777" w:rsidR="00BE36FB" w:rsidRPr="009B7B35" w:rsidRDefault="00BE36FB" w:rsidP="007A46D8">
      <w:pPr>
        <w:pStyle w:val="Heading8"/>
        <w:numPr>
          <w:ilvl w:val="7"/>
          <w:numId w:val="834"/>
        </w:numPr>
        <w:rPr>
          <w:rFonts w:ascii="Arial" w:hAnsi="Arial" w:cs="Arial"/>
          <w:sz w:val="20"/>
        </w:rPr>
      </w:pPr>
      <w:bookmarkStart w:id="368" w:name="_Toc205367481"/>
      <w:r w:rsidRPr="009B7B35">
        <w:rPr>
          <w:rFonts w:ascii="Arial" w:hAnsi="Arial" w:cs="Arial"/>
          <w:sz w:val="20"/>
        </w:rPr>
        <w:t>Infrastructure and services</w:t>
      </w:r>
      <w:bookmarkEnd w:id="368"/>
    </w:p>
    <w:p w14:paraId="16ADFEF6" w14:textId="77777777" w:rsidR="00BE36FB" w:rsidRPr="009B7B35" w:rsidRDefault="00BE36FB" w:rsidP="001A7107">
      <w:pPr>
        <w:rPr>
          <w:rFonts w:ascii="Arial" w:hAnsi="Arial" w:cs="Arial"/>
          <w:sz w:val="20"/>
          <w:szCs w:val="20"/>
        </w:rPr>
      </w:pPr>
      <w:r w:rsidRPr="009B7B35">
        <w:rPr>
          <w:rFonts w:ascii="Arial" w:hAnsi="Arial" w:cs="Arial"/>
          <w:sz w:val="20"/>
          <w:szCs w:val="20"/>
        </w:rPr>
        <w:t>In urban and urban fringe areas developments are to be connected to a reticulated water supply, reticulated sewerage, stormwater drainage systems, electricity and telecommunication facilities. In rural areas developments will need to provide all of that infrastructure.</w:t>
      </w:r>
    </w:p>
    <w:p w14:paraId="2C1AED3F" w14:textId="77777777"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14:paraId="16EA61C7" w14:textId="77777777" w:rsidTr="001A7107">
        <w:trPr>
          <w:cnfStyle w:val="100000000000" w:firstRow="1" w:lastRow="0" w:firstColumn="0" w:lastColumn="0" w:oddVBand="0" w:evenVBand="0" w:oddHBand="0" w:evenHBand="0" w:firstRowFirstColumn="0" w:firstRowLastColumn="0" w:lastRowFirstColumn="0" w:lastRowLastColumn="0"/>
        </w:trPr>
        <w:tc>
          <w:tcPr>
            <w:tcW w:w="9356" w:type="dxa"/>
          </w:tcPr>
          <w:p w14:paraId="200C6779" w14:textId="77777777" w:rsidR="00BE36FB" w:rsidRPr="009B7B35" w:rsidRDefault="00BE36FB" w:rsidP="001A7107">
            <w:pPr>
              <w:pStyle w:val="Tableheading"/>
              <w:rPr>
                <w:rFonts w:ascii="Arial" w:hAnsi="Arial" w:cs="Arial"/>
                <w:szCs w:val="20"/>
              </w:rPr>
            </w:pPr>
            <w:r w:rsidRPr="009B7B35">
              <w:rPr>
                <w:rFonts w:ascii="Arial" w:hAnsi="Arial" w:cs="Arial"/>
                <w:szCs w:val="20"/>
              </w:rPr>
              <w:t>Benchmark—Infrastructure and services</w:t>
            </w:r>
          </w:p>
        </w:tc>
      </w:tr>
      <w:tr w:rsidR="00BE36FB" w:rsidRPr="009B7B35" w14:paraId="2ED32602" w14:textId="77777777" w:rsidTr="001A7107">
        <w:trPr>
          <w:trHeight w:val="2017"/>
        </w:trPr>
        <w:tc>
          <w:tcPr>
            <w:tcW w:w="9356" w:type="dxa"/>
          </w:tcPr>
          <w:p w14:paraId="38B5DA72" w14:textId="77777777" w:rsidR="00BE36FB" w:rsidRPr="009B7B35" w:rsidRDefault="00BE36FB" w:rsidP="00BE36FB">
            <w:pPr>
              <w:pStyle w:val="ListBullet"/>
              <w:spacing w:before="80" w:after="80"/>
              <w:rPr>
                <w:rFonts w:cs="Arial"/>
                <w:szCs w:val="20"/>
              </w:rPr>
            </w:pPr>
            <w:r w:rsidRPr="009B7B35">
              <w:rPr>
                <w:rFonts w:cs="Arial"/>
                <w:szCs w:val="20"/>
              </w:rPr>
              <w:t xml:space="preserve">Development demonstrates that either the development can be connected to Council’s reticulated water supply or a drinking water quality management plan in accordance with the </w:t>
            </w:r>
            <w:r w:rsidRPr="009B7B35">
              <w:rPr>
                <w:rStyle w:val="StyleItalic"/>
                <w:rFonts w:cs="Arial"/>
                <w:szCs w:val="20"/>
              </w:rPr>
              <w:t>Water Supply (Safety and Reliability) Act 2008</w:t>
            </w:r>
            <w:r w:rsidRPr="009B7B35">
              <w:rPr>
                <w:rFonts w:cs="Arial"/>
                <w:szCs w:val="20"/>
              </w:rPr>
              <w:t xml:space="preserve"> is provided and complied with for the life of the development </w:t>
            </w:r>
          </w:p>
          <w:p w14:paraId="338A285F" w14:textId="77777777" w:rsidR="00BE36FB" w:rsidRPr="009B7B35" w:rsidRDefault="00BE36FB" w:rsidP="00BE36FB">
            <w:pPr>
              <w:pStyle w:val="ListBullet"/>
              <w:spacing w:before="80" w:after="80"/>
              <w:rPr>
                <w:rFonts w:cs="Arial"/>
                <w:szCs w:val="20"/>
              </w:rPr>
            </w:pPr>
            <w:r w:rsidRPr="009B7B35">
              <w:rPr>
                <w:rFonts w:cs="Arial"/>
                <w:szCs w:val="20"/>
              </w:rPr>
              <w:t xml:space="preserve">In areas not connected to Council’s reticulated supply, a sufficient size lake, dam water tank or swimming pool is provided for firefighting purposes in accordance with the QFRS guidelines.  </w:t>
            </w:r>
          </w:p>
          <w:p w14:paraId="563BA000" w14:textId="77777777" w:rsidR="00BE36FB" w:rsidRPr="009B7B35" w:rsidRDefault="00BE36FB" w:rsidP="00BE36FB">
            <w:pPr>
              <w:pStyle w:val="ListBullet"/>
              <w:spacing w:before="80" w:after="80"/>
              <w:rPr>
                <w:rFonts w:cs="Arial"/>
                <w:szCs w:val="20"/>
              </w:rPr>
            </w:pPr>
            <w:r w:rsidRPr="009B7B35">
              <w:rPr>
                <w:rFonts w:cs="Arial"/>
                <w:szCs w:val="20"/>
              </w:rPr>
              <w:t xml:space="preserve">Development demonstrates that either the development can be connected to Council’s reticulated sewerage supply or that an adequate alternative waste water treatment plant conforming to the </w:t>
            </w:r>
            <w:r w:rsidRPr="009B7B35">
              <w:rPr>
                <w:rStyle w:val="StyleItalic"/>
                <w:rFonts w:cs="Arial"/>
                <w:szCs w:val="20"/>
              </w:rPr>
              <w:t>Queensland Plumbing and Wastewater Code</w:t>
            </w:r>
            <w:r w:rsidRPr="009B7B35">
              <w:rPr>
                <w:rFonts w:cs="Arial"/>
                <w:szCs w:val="20"/>
              </w:rPr>
              <w:t xml:space="preserve"> will be available to the site and that the disposal of waste water will have no measurable adverse environmental impacts on adjoining land.</w:t>
            </w:r>
          </w:p>
          <w:p w14:paraId="4875F186" w14:textId="77777777" w:rsidR="00BE36FB" w:rsidRPr="009B7B35" w:rsidRDefault="00BE36FB" w:rsidP="00BE36FB">
            <w:pPr>
              <w:pStyle w:val="ListBullet"/>
              <w:spacing w:before="80" w:after="80"/>
              <w:rPr>
                <w:rFonts w:cs="Arial"/>
                <w:szCs w:val="20"/>
              </w:rPr>
            </w:pPr>
            <w:r w:rsidRPr="009B7B35">
              <w:rPr>
                <w:rFonts w:cs="Arial"/>
                <w:szCs w:val="20"/>
              </w:rPr>
              <w:t>Existing emergency services will be available to the site within acceptable response times or on–site provision is made available for those services.</w:t>
            </w:r>
          </w:p>
          <w:p w14:paraId="6FBF6D21" w14:textId="77777777" w:rsidR="00BE36FB" w:rsidRPr="009B7B35" w:rsidRDefault="00BE36FB" w:rsidP="00BE36FB">
            <w:pPr>
              <w:pStyle w:val="ListBullet"/>
              <w:spacing w:before="80" w:after="80"/>
              <w:rPr>
                <w:rFonts w:cs="Arial"/>
                <w:szCs w:val="20"/>
              </w:rPr>
            </w:pPr>
            <w:r w:rsidRPr="009B7B35">
              <w:rPr>
                <w:rFonts w:cs="Arial"/>
                <w:szCs w:val="20"/>
              </w:rPr>
              <w:t>A specific fire safety plan is prepared, including training of fire wardens, periodic testing and monitoring of fire safety equipment and periodic drills.</w:t>
            </w:r>
          </w:p>
          <w:p w14:paraId="1DCA87D2" w14:textId="77777777" w:rsidR="00BE36FB" w:rsidRPr="009B7B35" w:rsidRDefault="00BE36FB" w:rsidP="00BE36FB">
            <w:pPr>
              <w:pStyle w:val="ListBullet"/>
              <w:spacing w:before="80" w:after="80"/>
              <w:rPr>
                <w:rFonts w:cs="Arial"/>
                <w:szCs w:val="20"/>
              </w:rPr>
            </w:pPr>
            <w:r w:rsidRPr="009B7B35">
              <w:rPr>
                <w:rFonts w:cs="Arial"/>
                <w:szCs w:val="20"/>
              </w:rPr>
              <w:t xml:space="preserve">Provision is made for the removal of waste in accordance with PSP for Waste management. </w:t>
            </w:r>
          </w:p>
          <w:p w14:paraId="7DC94E70" w14:textId="77777777" w:rsidR="00BE36FB" w:rsidRPr="009B7B35" w:rsidRDefault="00BE36FB" w:rsidP="00BE36FB">
            <w:pPr>
              <w:pStyle w:val="ListBullet"/>
              <w:spacing w:before="80" w:after="80"/>
              <w:rPr>
                <w:rFonts w:cs="Arial"/>
                <w:szCs w:val="20"/>
              </w:rPr>
            </w:pPr>
            <w:r w:rsidRPr="009B7B35">
              <w:rPr>
                <w:rFonts w:cs="Arial"/>
                <w:szCs w:val="20"/>
              </w:rPr>
              <w:t>Waste storage areas are appropriately located and screened to be unobtrusive within and external to the site.</w:t>
            </w:r>
          </w:p>
        </w:tc>
      </w:tr>
    </w:tbl>
    <w:p w14:paraId="7565F65C" w14:textId="77777777" w:rsidR="00BE36FB" w:rsidRPr="009B7B35" w:rsidRDefault="00BE36FB" w:rsidP="007A46D8">
      <w:pPr>
        <w:pStyle w:val="Heading8"/>
        <w:numPr>
          <w:ilvl w:val="7"/>
          <w:numId w:val="834"/>
        </w:numPr>
        <w:rPr>
          <w:rFonts w:ascii="Arial" w:hAnsi="Arial" w:cs="Arial"/>
          <w:sz w:val="20"/>
        </w:rPr>
      </w:pPr>
      <w:bookmarkStart w:id="369" w:name="_Toc205367482"/>
      <w:r w:rsidRPr="009B7B35">
        <w:rPr>
          <w:rFonts w:ascii="Arial" w:hAnsi="Arial" w:cs="Arial"/>
          <w:sz w:val="20"/>
        </w:rPr>
        <w:t>Connectivity</w:t>
      </w:r>
      <w:bookmarkEnd w:id="369"/>
    </w:p>
    <w:p w14:paraId="63A92D3E" w14:textId="77777777" w:rsidR="00BE36FB" w:rsidRPr="009B7B35" w:rsidRDefault="00BE36FB" w:rsidP="001A7107">
      <w:pPr>
        <w:rPr>
          <w:rFonts w:ascii="Arial" w:hAnsi="Arial" w:cs="Arial"/>
          <w:sz w:val="20"/>
          <w:szCs w:val="20"/>
        </w:rPr>
      </w:pPr>
      <w:r w:rsidRPr="009B7B35">
        <w:rPr>
          <w:rFonts w:ascii="Arial" w:hAnsi="Arial" w:cs="Arial"/>
          <w:sz w:val="20"/>
          <w:szCs w:val="20"/>
        </w:rPr>
        <w:t>Non–resident worker accommodation facilities can generate considerable traffic with defined peak periods. This can have a considerable impact on exiting road and intersection capacities and larger developments (&gt;200 beds) need to identify and mitigate adverse impacts.</w:t>
      </w:r>
    </w:p>
    <w:p w14:paraId="6C398D3F" w14:textId="77777777" w:rsidR="00BE36FB" w:rsidRPr="009B7B35" w:rsidRDefault="00BE36FB" w:rsidP="001A7107">
      <w:pPr>
        <w:rPr>
          <w:rFonts w:ascii="Arial" w:hAnsi="Arial" w:cs="Arial"/>
          <w:sz w:val="20"/>
          <w:szCs w:val="20"/>
        </w:rPr>
      </w:pPr>
    </w:p>
    <w:p w14:paraId="76EC8F09" w14:textId="77777777" w:rsidR="00BE36FB" w:rsidRPr="009B7B35" w:rsidRDefault="00BE36FB" w:rsidP="001A7107">
      <w:pPr>
        <w:rPr>
          <w:rFonts w:ascii="Arial" w:hAnsi="Arial" w:cs="Arial"/>
          <w:sz w:val="20"/>
          <w:szCs w:val="20"/>
        </w:rPr>
      </w:pPr>
      <w:r w:rsidRPr="009B7B35">
        <w:rPr>
          <w:rFonts w:ascii="Arial" w:hAnsi="Arial" w:cs="Arial"/>
          <w:sz w:val="20"/>
          <w:szCs w:val="20"/>
        </w:rPr>
        <w:t>As shift changes often occur during noise sensitive times it is important that traffic does not impact on residential communities.  Desirably development will have direct access to collector roads rather than residential streets and avoid direct access to major roads where the capacity of the network could be compromised.</w:t>
      </w:r>
    </w:p>
    <w:p w14:paraId="6C3854DD" w14:textId="77777777"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14:paraId="08962095" w14:textId="77777777" w:rsidTr="001A7107">
        <w:trPr>
          <w:cnfStyle w:val="100000000000" w:firstRow="1" w:lastRow="0" w:firstColumn="0" w:lastColumn="0" w:oddVBand="0" w:evenVBand="0" w:oddHBand="0" w:evenHBand="0" w:firstRowFirstColumn="0" w:firstRowLastColumn="0" w:lastRowFirstColumn="0" w:lastRowLastColumn="0"/>
        </w:trPr>
        <w:tc>
          <w:tcPr>
            <w:tcW w:w="9356" w:type="dxa"/>
          </w:tcPr>
          <w:p w14:paraId="481C8138" w14:textId="77777777" w:rsidR="00BE36FB" w:rsidRPr="009B7B35" w:rsidRDefault="00BE36FB" w:rsidP="001A7107">
            <w:pPr>
              <w:pStyle w:val="Tableheading"/>
              <w:rPr>
                <w:rFonts w:ascii="Arial" w:hAnsi="Arial" w:cs="Arial"/>
                <w:szCs w:val="20"/>
              </w:rPr>
            </w:pPr>
            <w:r w:rsidRPr="009B7B35">
              <w:rPr>
                <w:rFonts w:ascii="Arial" w:hAnsi="Arial" w:cs="Arial"/>
                <w:szCs w:val="20"/>
              </w:rPr>
              <w:t>Benchmark—Connectivity</w:t>
            </w:r>
          </w:p>
        </w:tc>
      </w:tr>
      <w:tr w:rsidR="00BE36FB" w:rsidRPr="009B7B35" w14:paraId="4A6D12A4" w14:textId="77777777" w:rsidTr="001A7107">
        <w:tc>
          <w:tcPr>
            <w:tcW w:w="9356" w:type="dxa"/>
          </w:tcPr>
          <w:p w14:paraId="026CA270" w14:textId="77777777" w:rsidR="00BE36FB" w:rsidRPr="009B7B35" w:rsidRDefault="00BE36FB" w:rsidP="00BE36FB">
            <w:pPr>
              <w:pStyle w:val="ListBullet"/>
              <w:spacing w:before="80" w:after="80"/>
              <w:rPr>
                <w:rFonts w:cs="Arial"/>
                <w:szCs w:val="20"/>
              </w:rPr>
            </w:pPr>
            <w:r w:rsidRPr="009B7B35">
              <w:rPr>
                <w:rFonts w:cs="Arial"/>
                <w:szCs w:val="20"/>
              </w:rPr>
              <w:t>Development does not have direct access to a State controlled road or local residential streets.</w:t>
            </w:r>
          </w:p>
          <w:p w14:paraId="1CA05FE8" w14:textId="77777777" w:rsidR="00BE36FB" w:rsidRPr="009B7B35" w:rsidRDefault="00BE36FB" w:rsidP="00BE36FB">
            <w:pPr>
              <w:pStyle w:val="ListBullet"/>
              <w:spacing w:before="80" w:after="80"/>
              <w:rPr>
                <w:rFonts w:cs="Arial"/>
                <w:szCs w:val="20"/>
              </w:rPr>
            </w:pPr>
            <w:r w:rsidRPr="009B7B35">
              <w:rPr>
                <w:rFonts w:cs="Arial"/>
                <w:szCs w:val="20"/>
              </w:rPr>
              <w:t>Council may require a traffic study identifying traffic generation, likely traffic routes, existing road and intersection capacity, impacts on existing road network, traffic safety and traffic noise to be submitted.</w:t>
            </w:r>
          </w:p>
          <w:p w14:paraId="4F8C0A1E" w14:textId="77777777" w:rsidR="00BE36FB" w:rsidRPr="009B7B35" w:rsidRDefault="00BE36FB" w:rsidP="00BE36FB">
            <w:pPr>
              <w:pStyle w:val="ListBullet"/>
              <w:spacing w:before="80" w:after="80"/>
              <w:rPr>
                <w:rFonts w:cs="Arial"/>
                <w:szCs w:val="20"/>
              </w:rPr>
            </w:pPr>
            <w:r w:rsidRPr="009B7B35">
              <w:rPr>
                <w:rFonts w:cs="Arial"/>
                <w:szCs w:val="20"/>
              </w:rPr>
              <w:t>Developments make provision for the transportation of workers to workplaces, Gladstone airport, and where not provided on–site, to retail, health, entertainment, and recreational services that are in excess of 400m from the development site.</w:t>
            </w:r>
          </w:p>
        </w:tc>
      </w:tr>
    </w:tbl>
    <w:p w14:paraId="5570ED13" w14:textId="77777777" w:rsidR="00BE36FB" w:rsidRPr="009B7B35" w:rsidRDefault="00BE36FB" w:rsidP="007A46D8">
      <w:pPr>
        <w:pStyle w:val="Heading8"/>
        <w:numPr>
          <w:ilvl w:val="7"/>
          <w:numId w:val="834"/>
        </w:numPr>
        <w:rPr>
          <w:rFonts w:ascii="Arial" w:hAnsi="Arial" w:cs="Arial"/>
          <w:sz w:val="20"/>
        </w:rPr>
      </w:pPr>
      <w:bookmarkStart w:id="370" w:name="_Toc205367483"/>
      <w:r w:rsidRPr="009B7B35">
        <w:rPr>
          <w:rFonts w:ascii="Arial" w:hAnsi="Arial" w:cs="Arial"/>
          <w:sz w:val="20"/>
        </w:rPr>
        <w:t>Built form</w:t>
      </w:r>
      <w:bookmarkEnd w:id="370"/>
    </w:p>
    <w:p w14:paraId="6843E763" w14:textId="77777777" w:rsidR="00BE36FB" w:rsidRPr="009B7B35" w:rsidRDefault="00BE36FB" w:rsidP="001A7107">
      <w:pPr>
        <w:rPr>
          <w:rFonts w:ascii="Arial" w:hAnsi="Arial" w:cs="Arial"/>
          <w:sz w:val="20"/>
          <w:szCs w:val="20"/>
        </w:rPr>
      </w:pPr>
      <w:r w:rsidRPr="009B7B35">
        <w:rPr>
          <w:rFonts w:ascii="Arial" w:hAnsi="Arial" w:cs="Arial"/>
          <w:sz w:val="20"/>
          <w:szCs w:val="20"/>
        </w:rPr>
        <w:t>The typology and quality of non–resident workers accommodation varies considerably in part due to their location, whether they are for a specific project provided on–site, their size or the economic sector they serve. In the past poor quality accommodation in the nature of ‘mining camps’ often had negative impacts on the community generally, and particularly where there was a lack of integration into an established community or there was a failure to provide adequate on–site facilities.</w:t>
      </w:r>
    </w:p>
    <w:p w14:paraId="1010B9FA" w14:textId="77777777" w:rsidR="00BE36FB" w:rsidRPr="009B7B35" w:rsidRDefault="00BE36FB" w:rsidP="001A7107">
      <w:pPr>
        <w:rPr>
          <w:rFonts w:ascii="Arial" w:hAnsi="Arial" w:cs="Arial"/>
          <w:sz w:val="20"/>
          <w:szCs w:val="20"/>
        </w:rPr>
      </w:pPr>
    </w:p>
    <w:p w14:paraId="6CBB6CB5" w14:textId="77777777" w:rsidR="00BE36FB" w:rsidRPr="009B7B35" w:rsidRDefault="00BE36FB" w:rsidP="001A7107">
      <w:pPr>
        <w:rPr>
          <w:rFonts w:ascii="Arial" w:hAnsi="Arial" w:cs="Arial"/>
          <w:sz w:val="20"/>
          <w:szCs w:val="20"/>
        </w:rPr>
      </w:pPr>
      <w:r w:rsidRPr="009B7B35">
        <w:rPr>
          <w:rFonts w:ascii="Arial" w:hAnsi="Arial" w:cs="Arial"/>
          <w:sz w:val="20"/>
          <w:szCs w:val="20"/>
        </w:rPr>
        <w:t>There is also a large variety of workers’ living facilities. Recent developments in Gladstone have been large (+ 1,400 beds), provide full dining facilities, laundry and recreational facilities including swimming pools, tennis and basketball courts, gymnasiums, recreation centres, licensed taverns, games rooms and libraries.</w:t>
      </w:r>
    </w:p>
    <w:p w14:paraId="6D464121" w14:textId="77777777" w:rsidR="00BE36FB" w:rsidRPr="009B7B35" w:rsidRDefault="00BE36FB" w:rsidP="001A7107">
      <w:pPr>
        <w:rPr>
          <w:rFonts w:ascii="Arial" w:hAnsi="Arial" w:cs="Arial"/>
          <w:sz w:val="20"/>
          <w:szCs w:val="20"/>
        </w:rPr>
      </w:pPr>
    </w:p>
    <w:p w14:paraId="3B3D860D" w14:textId="77777777" w:rsidR="00BE36FB" w:rsidRPr="009B7B35" w:rsidRDefault="00BE36FB" w:rsidP="001A7107">
      <w:pPr>
        <w:rPr>
          <w:rFonts w:ascii="Arial" w:hAnsi="Arial" w:cs="Arial"/>
          <w:sz w:val="20"/>
          <w:szCs w:val="20"/>
        </w:rPr>
      </w:pPr>
      <w:r w:rsidRPr="009B7B35">
        <w:rPr>
          <w:rFonts w:ascii="Arial" w:hAnsi="Arial" w:cs="Arial"/>
          <w:sz w:val="20"/>
          <w:szCs w:val="20"/>
        </w:rPr>
        <w:t>While this policy is intended to apply to non–resident workers accommodation in its various forms it has particular relevance to larger scale developments.</w:t>
      </w:r>
    </w:p>
    <w:p w14:paraId="424C6C53" w14:textId="77777777" w:rsidR="00BE36FB" w:rsidRPr="009B7B35" w:rsidRDefault="00BE36FB" w:rsidP="001A7107">
      <w:pPr>
        <w:rPr>
          <w:rFonts w:ascii="Arial" w:hAnsi="Arial" w:cs="Arial"/>
          <w:sz w:val="20"/>
          <w:szCs w:val="20"/>
        </w:rPr>
      </w:pPr>
    </w:p>
    <w:p w14:paraId="08E4908F" w14:textId="77777777" w:rsidR="00BE36FB" w:rsidRPr="009B7B35" w:rsidRDefault="00BE36FB" w:rsidP="001A7107">
      <w:pPr>
        <w:rPr>
          <w:rFonts w:ascii="Arial" w:hAnsi="Arial" w:cs="Arial"/>
          <w:sz w:val="20"/>
          <w:szCs w:val="20"/>
        </w:rPr>
      </w:pPr>
      <w:r w:rsidRPr="009B7B35">
        <w:rPr>
          <w:rFonts w:ascii="Arial" w:hAnsi="Arial" w:cs="Arial"/>
          <w:sz w:val="20"/>
          <w:szCs w:val="20"/>
        </w:rPr>
        <w:t>Council encourages a building form and scale capable of integration with its existing environment. It does not support a contention that the temporary nature of such a use should offer a basis of reduced development standards given that the community will perceive these developments as part of their community.</w:t>
      </w:r>
    </w:p>
    <w:p w14:paraId="438A80B6" w14:textId="77777777"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9356"/>
      </w:tblGrid>
      <w:tr w:rsidR="00BE36FB" w:rsidRPr="009B7B35" w14:paraId="34B47627" w14:textId="77777777" w:rsidTr="001A7107">
        <w:trPr>
          <w:cnfStyle w:val="100000000000" w:firstRow="1" w:lastRow="0" w:firstColumn="0" w:lastColumn="0" w:oddVBand="0" w:evenVBand="0" w:oddHBand="0" w:evenHBand="0" w:firstRowFirstColumn="0" w:firstRowLastColumn="0" w:lastRowFirstColumn="0" w:lastRowLastColumn="0"/>
        </w:trPr>
        <w:tc>
          <w:tcPr>
            <w:tcW w:w="9356" w:type="dxa"/>
          </w:tcPr>
          <w:p w14:paraId="337899E3" w14:textId="77777777" w:rsidR="00BE36FB" w:rsidRPr="009B7B35" w:rsidRDefault="00BE36FB" w:rsidP="001A7107">
            <w:pPr>
              <w:pStyle w:val="Tableheading"/>
              <w:rPr>
                <w:rFonts w:ascii="Arial" w:hAnsi="Arial" w:cs="Arial"/>
                <w:szCs w:val="20"/>
              </w:rPr>
            </w:pPr>
            <w:r w:rsidRPr="009B7B35">
              <w:rPr>
                <w:rFonts w:ascii="Arial" w:hAnsi="Arial" w:cs="Arial"/>
                <w:szCs w:val="20"/>
              </w:rPr>
              <w:t>Benchmark—Built form</w:t>
            </w:r>
          </w:p>
        </w:tc>
      </w:tr>
      <w:tr w:rsidR="00BE36FB" w:rsidRPr="009B7B35" w14:paraId="275F6832" w14:textId="77777777" w:rsidTr="001A7107">
        <w:trPr>
          <w:trHeight w:val="274"/>
        </w:trPr>
        <w:tc>
          <w:tcPr>
            <w:tcW w:w="9356" w:type="dxa"/>
          </w:tcPr>
          <w:p w14:paraId="0A258419" w14:textId="77777777" w:rsidR="00BE36FB" w:rsidRPr="009B7B35" w:rsidRDefault="00BE36FB" w:rsidP="00BE36FB">
            <w:pPr>
              <w:pStyle w:val="ListBullet"/>
              <w:spacing w:before="80" w:after="80"/>
              <w:rPr>
                <w:rFonts w:cs="Arial"/>
                <w:szCs w:val="20"/>
              </w:rPr>
            </w:pPr>
            <w:r w:rsidRPr="009B7B35">
              <w:rPr>
                <w:rFonts w:cs="Arial"/>
                <w:szCs w:val="20"/>
              </w:rPr>
              <w:t>Buildings and structures should not exceed 8.5m.</w:t>
            </w:r>
          </w:p>
          <w:p w14:paraId="5C4962F6" w14:textId="77777777" w:rsidR="00BE36FB" w:rsidRPr="009B7B35" w:rsidRDefault="00BE36FB" w:rsidP="00BE36FB">
            <w:pPr>
              <w:pStyle w:val="ListBullet"/>
              <w:spacing w:before="80" w:after="80"/>
              <w:rPr>
                <w:rFonts w:cs="Arial"/>
                <w:szCs w:val="20"/>
              </w:rPr>
            </w:pPr>
            <w:r w:rsidRPr="009B7B35">
              <w:rPr>
                <w:rFonts w:cs="Arial"/>
                <w:szCs w:val="20"/>
              </w:rPr>
              <w:t>Building materials and finishes should be of a high standard and complement the surrounding environment.</w:t>
            </w:r>
          </w:p>
          <w:p w14:paraId="066653D5" w14:textId="77777777" w:rsidR="00BE36FB" w:rsidRPr="009B7B35" w:rsidRDefault="00BE36FB" w:rsidP="00BE36FB">
            <w:pPr>
              <w:pStyle w:val="ListBullet"/>
              <w:spacing w:before="80" w:after="80"/>
              <w:rPr>
                <w:rFonts w:cs="Arial"/>
                <w:szCs w:val="20"/>
              </w:rPr>
            </w:pPr>
            <w:r w:rsidRPr="009B7B35">
              <w:rPr>
                <w:rFonts w:cs="Arial"/>
                <w:szCs w:val="20"/>
              </w:rPr>
              <w:t>The use of reflective building materials is avoided.</w:t>
            </w:r>
          </w:p>
          <w:p w14:paraId="1EAACB67" w14:textId="77777777" w:rsidR="00BE36FB" w:rsidRPr="009B7B35" w:rsidRDefault="00BE36FB" w:rsidP="00BE36FB">
            <w:pPr>
              <w:pStyle w:val="ListBullet"/>
              <w:spacing w:before="80" w:after="80"/>
              <w:rPr>
                <w:rFonts w:cs="Arial"/>
                <w:szCs w:val="20"/>
              </w:rPr>
            </w:pPr>
            <w:r w:rsidRPr="009B7B35">
              <w:rPr>
                <w:rFonts w:cs="Arial"/>
                <w:szCs w:val="20"/>
              </w:rPr>
              <w:t>Buildings are setback a minimum of 10m from a side or rear boundary and 6m from a street boundary. In highly exposed sites or in rural areas, larger setbacks should be provided to enable a scale of landscaping sufficient to screen the development.</w:t>
            </w:r>
          </w:p>
          <w:p w14:paraId="1949EAAA" w14:textId="77777777" w:rsidR="00BE36FB" w:rsidRPr="009B7B35" w:rsidRDefault="00BE36FB" w:rsidP="00BE36FB">
            <w:pPr>
              <w:pStyle w:val="ListBullet"/>
              <w:spacing w:before="80" w:after="80"/>
              <w:rPr>
                <w:rFonts w:cs="Arial"/>
                <w:szCs w:val="20"/>
              </w:rPr>
            </w:pPr>
            <w:r w:rsidRPr="009B7B35">
              <w:rPr>
                <w:rFonts w:cs="Arial"/>
                <w:szCs w:val="20"/>
              </w:rPr>
              <w:t>The development should provide a positive visual contribution to the street or rural road it fronts.</w:t>
            </w:r>
          </w:p>
          <w:p w14:paraId="43BC30BB" w14:textId="77777777" w:rsidR="00BE36FB" w:rsidRPr="009B7B35" w:rsidRDefault="00BE36FB" w:rsidP="00BE36FB">
            <w:pPr>
              <w:pStyle w:val="ListBullet"/>
              <w:spacing w:before="80" w:after="80"/>
              <w:rPr>
                <w:rFonts w:cs="Arial"/>
                <w:szCs w:val="20"/>
              </w:rPr>
            </w:pPr>
            <w:r w:rsidRPr="009B7B35">
              <w:rPr>
                <w:rFonts w:cs="Arial"/>
                <w:szCs w:val="20"/>
              </w:rPr>
              <w:t>Non–residential buildings such as reception buildings should be located towards the street frontage to provide legibility.</w:t>
            </w:r>
          </w:p>
          <w:p w14:paraId="25A65FE2" w14:textId="77777777" w:rsidR="00BE36FB" w:rsidRPr="009B7B35" w:rsidRDefault="00BE36FB" w:rsidP="00BE36FB">
            <w:pPr>
              <w:pStyle w:val="ListBullet"/>
              <w:spacing w:before="80" w:after="80"/>
              <w:rPr>
                <w:rFonts w:cs="Arial"/>
                <w:szCs w:val="20"/>
              </w:rPr>
            </w:pPr>
            <w:r w:rsidRPr="009B7B35">
              <w:rPr>
                <w:rFonts w:cs="Arial"/>
                <w:szCs w:val="20"/>
              </w:rPr>
              <w:t>Where non–residential facilities are open to the public they should be located to permit direct access from the street.</w:t>
            </w:r>
          </w:p>
          <w:p w14:paraId="7AB934CB" w14:textId="77777777" w:rsidR="00BE36FB" w:rsidRPr="009B7B35" w:rsidRDefault="00BE36FB" w:rsidP="00BE36FB">
            <w:pPr>
              <w:pStyle w:val="ListBullet"/>
              <w:spacing w:before="80" w:after="80"/>
              <w:rPr>
                <w:rFonts w:cs="Arial"/>
                <w:szCs w:val="20"/>
              </w:rPr>
            </w:pPr>
            <w:r w:rsidRPr="009B7B35">
              <w:rPr>
                <w:rFonts w:cs="Arial"/>
                <w:szCs w:val="20"/>
              </w:rPr>
              <w:t>Large car parking areas are fully screened by buildings or landscaping and should be located to avoid noise and light impacts to surrounding developments.</w:t>
            </w:r>
          </w:p>
          <w:p w14:paraId="2E2B4BD4" w14:textId="77777777" w:rsidR="00BE36FB" w:rsidRPr="009B7B35" w:rsidRDefault="00BE36FB" w:rsidP="00BE36FB">
            <w:pPr>
              <w:pStyle w:val="ListBullet"/>
              <w:spacing w:before="80" w:after="80"/>
              <w:rPr>
                <w:rFonts w:cs="Arial"/>
                <w:szCs w:val="20"/>
              </w:rPr>
            </w:pPr>
            <w:r w:rsidRPr="009B7B35">
              <w:rPr>
                <w:rFonts w:cs="Arial"/>
                <w:szCs w:val="20"/>
              </w:rPr>
              <w:t>Security lighting should not adversely impact on adjoining premises.</w:t>
            </w:r>
          </w:p>
          <w:p w14:paraId="4E08D610" w14:textId="77777777" w:rsidR="00BE36FB" w:rsidRPr="009B7B35" w:rsidRDefault="00BE36FB" w:rsidP="00BE36FB">
            <w:pPr>
              <w:pStyle w:val="ListBullet"/>
              <w:spacing w:before="80" w:after="80"/>
              <w:rPr>
                <w:rFonts w:cs="Arial"/>
                <w:szCs w:val="20"/>
              </w:rPr>
            </w:pPr>
            <w:r w:rsidRPr="009B7B35">
              <w:rPr>
                <w:rFonts w:cs="Arial"/>
                <w:szCs w:val="20"/>
              </w:rPr>
              <w:t>Security fencing should be transparent and provided in association with landscaping.</w:t>
            </w:r>
          </w:p>
          <w:p w14:paraId="4408F9AE" w14:textId="77777777" w:rsidR="00BE36FB" w:rsidRPr="009B7B35" w:rsidRDefault="00BE36FB" w:rsidP="00BE36FB">
            <w:pPr>
              <w:pStyle w:val="ListBullet"/>
              <w:spacing w:before="80" w:after="80"/>
              <w:rPr>
                <w:rFonts w:cs="Arial"/>
                <w:szCs w:val="20"/>
              </w:rPr>
            </w:pPr>
            <w:r w:rsidRPr="009B7B35">
              <w:rPr>
                <w:rFonts w:cs="Arial"/>
                <w:szCs w:val="20"/>
              </w:rPr>
              <w:t>The amenity of residents is protected by locating accommodation units away from potentially intrusive adjoining uses.</w:t>
            </w:r>
          </w:p>
        </w:tc>
      </w:tr>
    </w:tbl>
    <w:p w14:paraId="122D13CB" w14:textId="77777777" w:rsidR="00BE36FB" w:rsidRPr="009B7B35" w:rsidRDefault="00BE36FB" w:rsidP="007A46D8">
      <w:pPr>
        <w:pStyle w:val="Heading8"/>
        <w:numPr>
          <w:ilvl w:val="7"/>
          <w:numId w:val="834"/>
        </w:numPr>
        <w:rPr>
          <w:rFonts w:ascii="Arial" w:hAnsi="Arial" w:cs="Arial"/>
          <w:sz w:val="20"/>
        </w:rPr>
      </w:pPr>
      <w:bookmarkStart w:id="371" w:name="_Toc205367484"/>
      <w:r w:rsidRPr="009B7B35">
        <w:rPr>
          <w:rFonts w:ascii="Arial" w:hAnsi="Arial" w:cs="Arial"/>
          <w:sz w:val="20"/>
        </w:rPr>
        <w:t>Vehicle, pedestrian and cycle movement</w:t>
      </w:r>
      <w:bookmarkEnd w:id="371"/>
    </w:p>
    <w:p w14:paraId="665D0D1D" w14:textId="77777777" w:rsidR="00BE36FB" w:rsidRPr="009B7B35" w:rsidRDefault="00BE36FB" w:rsidP="001A7107">
      <w:pPr>
        <w:rPr>
          <w:rFonts w:ascii="Arial" w:hAnsi="Arial" w:cs="Arial"/>
          <w:sz w:val="20"/>
          <w:szCs w:val="20"/>
        </w:rPr>
      </w:pPr>
      <w:r w:rsidRPr="009B7B35">
        <w:rPr>
          <w:rFonts w:ascii="Arial" w:hAnsi="Arial" w:cs="Arial"/>
          <w:sz w:val="20"/>
          <w:szCs w:val="20"/>
        </w:rPr>
        <w:t>Developments need to ensure that adequate on–site car parking is provided for occupants. It is recognized that demand will vary according to occupancy rates and that a proportion of the occupants will be fly–in, fly–out.</w:t>
      </w:r>
    </w:p>
    <w:p w14:paraId="1ACCFE7C" w14:textId="77777777" w:rsidR="00BE36FB" w:rsidRPr="009B7B35" w:rsidRDefault="00BE36FB" w:rsidP="001A7107">
      <w:pPr>
        <w:rPr>
          <w:rFonts w:ascii="Arial" w:hAnsi="Arial" w:cs="Arial"/>
          <w:sz w:val="20"/>
          <w:szCs w:val="20"/>
        </w:rPr>
      </w:pPr>
    </w:p>
    <w:p w14:paraId="454B9292" w14:textId="77777777" w:rsidR="00BE36FB" w:rsidRPr="009B7B35" w:rsidRDefault="00BE36FB" w:rsidP="001A7107">
      <w:pPr>
        <w:rPr>
          <w:rFonts w:ascii="Arial" w:hAnsi="Arial" w:cs="Arial"/>
          <w:sz w:val="20"/>
          <w:szCs w:val="20"/>
        </w:rPr>
      </w:pPr>
      <w:r w:rsidRPr="009B7B35">
        <w:rPr>
          <w:rFonts w:ascii="Arial" w:hAnsi="Arial" w:cs="Arial"/>
          <w:sz w:val="20"/>
          <w:szCs w:val="20"/>
        </w:rPr>
        <w:t>Internal access roads should be designed to allow for pick up and set down points, for bus access and goods delivery. In relevant cases thought needs to be given to the needs of possible reuse options for the site.</w:t>
      </w:r>
    </w:p>
    <w:p w14:paraId="7F42B55D" w14:textId="77777777"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14:paraId="2A8A9F3E" w14:textId="77777777" w:rsidTr="001A7107">
        <w:trPr>
          <w:cnfStyle w:val="100000000000" w:firstRow="1" w:lastRow="0" w:firstColumn="0" w:lastColumn="0" w:oddVBand="0" w:evenVBand="0" w:oddHBand="0" w:evenHBand="0" w:firstRowFirstColumn="0" w:firstRowLastColumn="0" w:lastRowFirstColumn="0" w:lastRowLastColumn="0"/>
        </w:trPr>
        <w:tc>
          <w:tcPr>
            <w:tcW w:w="9356" w:type="dxa"/>
          </w:tcPr>
          <w:p w14:paraId="3D34B82E" w14:textId="77777777" w:rsidR="00BE36FB" w:rsidRPr="009B7B35" w:rsidRDefault="00BE36FB" w:rsidP="001A7107">
            <w:pPr>
              <w:pStyle w:val="Tableheading"/>
              <w:rPr>
                <w:rFonts w:ascii="Arial" w:hAnsi="Arial" w:cs="Arial"/>
                <w:szCs w:val="20"/>
              </w:rPr>
            </w:pPr>
            <w:r w:rsidRPr="009B7B35">
              <w:rPr>
                <w:rFonts w:ascii="Arial" w:hAnsi="Arial" w:cs="Arial"/>
                <w:szCs w:val="20"/>
              </w:rPr>
              <w:t>Benchmark—Vehicle, pedestrian and cycle movement</w:t>
            </w:r>
          </w:p>
        </w:tc>
      </w:tr>
      <w:tr w:rsidR="00BE36FB" w:rsidRPr="009B7B35" w14:paraId="5EF2F523" w14:textId="77777777" w:rsidTr="001A7107">
        <w:tc>
          <w:tcPr>
            <w:tcW w:w="9356" w:type="dxa"/>
          </w:tcPr>
          <w:p w14:paraId="230BE1E5" w14:textId="77777777" w:rsidR="00BE36FB" w:rsidRPr="009B7B35" w:rsidRDefault="00BE36FB" w:rsidP="00BE36FB">
            <w:pPr>
              <w:pStyle w:val="ListBullet"/>
              <w:spacing w:before="80" w:after="80"/>
              <w:rPr>
                <w:rFonts w:cs="Arial"/>
                <w:szCs w:val="20"/>
              </w:rPr>
            </w:pPr>
            <w:r w:rsidRPr="009B7B35">
              <w:rPr>
                <w:rFonts w:cs="Arial"/>
                <w:szCs w:val="20"/>
              </w:rPr>
              <w:t>Sufficient on–site car parking is provided to cater for expected demand. As a guideline a minimum of 0.75 car spaces per bed should be provided.</w:t>
            </w:r>
          </w:p>
          <w:p w14:paraId="19E5D5E7" w14:textId="77777777" w:rsidR="00BE36FB" w:rsidRPr="009B7B35" w:rsidRDefault="00BE36FB" w:rsidP="00BE36FB">
            <w:pPr>
              <w:pStyle w:val="ListBullet"/>
              <w:spacing w:before="80" w:after="80"/>
              <w:rPr>
                <w:rFonts w:cs="Arial"/>
                <w:szCs w:val="20"/>
              </w:rPr>
            </w:pPr>
            <w:r w:rsidRPr="009B7B35">
              <w:rPr>
                <w:rFonts w:cs="Arial"/>
                <w:szCs w:val="20"/>
              </w:rPr>
              <w:t>Where use of non–resident facilities is proposed, additional car parking is provided are the rates specified for those use types.</w:t>
            </w:r>
          </w:p>
          <w:p w14:paraId="214BABE1" w14:textId="77777777" w:rsidR="00BE36FB" w:rsidRPr="009B7B35" w:rsidRDefault="00BE36FB" w:rsidP="00BE36FB">
            <w:pPr>
              <w:pStyle w:val="ListBullet"/>
              <w:spacing w:before="80" w:after="80"/>
              <w:rPr>
                <w:rFonts w:cs="Arial"/>
                <w:szCs w:val="20"/>
              </w:rPr>
            </w:pPr>
            <w:r w:rsidRPr="009B7B35">
              <w:rPr>
                <w:rFonts w:cs="Arial"/>
                <w:szCs w:val="20"/>
              </w:rPr>
              <w:t>A car washing facility should be provided.</w:t>
            </w:r>
          </w:p>
          <w:p w14:paraId="6F0D899D" w14:textId="77777777" w:rsidR="00BE36FB" w:rsidRPr="009B7B35" w:rsidRDefault="00BE36FB" w:rsidP="00BE36FB">
            <w:pPr>
              <w:pStyle w:val="ListBullet"/>
              <w:spacing w:before="80" w:after="80"/>
              <w:rPr>
                <w:rFonts w:cs="Arial"/>
                <w:szCs w:val="20"/>
              </w:rPr>
            </w:pPr>
            <w:r w:rsidRPr="009B7B35">
              <w:rPr>
                <w:rFonts w:cs="Arial"/>
                <w:szCs w:val="20"/>
              </w:rPr>
              <w:t>Car and bus parking areas, access roads and pick up/set down points are designed to minimise noise and lighting impacts to adjoining premises and to accommodation areas.</w:t>
            </w:r>
          </w:p>
          <w:p w14:paraId="756532AF" w14:textId="77777777" w:rsidR="00BE36FB" w:rsidRPr="009B7B35" w:rsidRDefault="00BE36FB" w:rsidP="00BE36FB">
            <w:pPr>
              <w:pStyle w:val="ListBullet"/>
              <w:spacing w:before="80" w:after="80"/>
              <w:rPr>
                <w:rFonts w:cs="Arial"/>
                <w:szCs w:val="20"/>
              </w:rPr>
            </w:pPr>
            <w:r w:rsidRPr="009B7B35">
              <w:rPr>
                <w:rFonts w:cs="Arial"/>
                <w:szCs w:val="20"/>
              </w:rPr>
              <w:t>The internal layout makes provision for queuing for check–in, check out adjacent to reception areas.</w:t>
            </w:r>
          </w:p>
          <w:p w14:paraId="46565E15" w14:textId="77777777" w:rsidR="00BE36FB" w:rsidRPr="009B7B35" w:rsidRDefault="00BE36FB" w:rsidP="00BE36FB">
            <w:pPr>
              <w:pStyle w:val="ListBullet"/>
              <w:spacing w:before="80" w:after="80"/>
              <w:rPr>
                <w:rFonts w:cs="Arial"/>
                <w:szCs w:val="20"/>
              </w:rPr>
            </w:pPr>
            <w:r w:rsidRPr="009B7B35">
              <w:rPr>
                <w:rFonts w:cs="Arial"/>
                <w:szCs w:val="20"/>
              </w:rPr>
              <w:t>Internal roads and cycle ways are sealed and drained and conform to the dimensions specified in Table 1.</w:t>
            </w:r>
          </w:p>
          <w:p w14:paraId="7A6424DE" w14:textId="77777777" w:rsidR="00BE36FB" w:rsidRPr="009B7B35" w:rsidRDefault="00BE36FB" w:rsidP="00BE36FB">
            <w:pPr>
              <w:pStyle w:val="ListBullet"/>
              <w:spacing w:before="80" w:after="80"/>
              <w:rPr>
                <w:rFonts w:cs="Arial"/>
                <w:szCs w:val="20"/>
              </w:rPr>
            </w:pPr>
            <w:r w:rsidRPr="009B7B35">
              <w:rPr>
                <w:rFonts w:cs="Arial"/>
                <w:szCs w:val="20"/>
              </w:rPr>
              <w:t>The visual impact of car parking and other hard standing areas is minimised through appropriate landscaping.</w:t>
            </w:r>
          </w:p>
          <w:p w14:paraId="6EE73F4C" w14:textId="77777777" w:rsidR="00BE36FB" w:rsidRPr="009B7B35" w:rsidRDefault="00BE36FB" w:rsidP="00BE36FB">
            <w:pPr>
              <w:pStyle w:val="ListBullet"/>
              <w:spacing w:before="80" w:after="80"/>
              <w:rPr>
                <w:rFonts w:cs="Arial"/>
                <w:szCs w:val="20"/>
              </w:rPr>
            </w:pPr>
            <w:r w:rsidRPr="009B7B35">
              <w:rPr>
                <w:rFonts w:cs="Arial"/>
                <w:szCs w:val="20"/>
              </w:rPr>
              <w:t>Make provision for pedestrian and cycle movement around the site and to and from the site.</w:t>
            </w:r>
          </w:p>
          <w:p w14:paraId="3874411E" w14:textId="77777777" w:rsidR="00BE36FB" w:rsidRPr="009B7B35" w:rsidRDefault="00BE36FB" w:rsidP="00BE36FB">
            <w:pPr>
              <w:pStyle w:val="ListBullet"/>
              <w:spacing w:before="80" w:after="80"/>
              <w:rPr>
                <w:rFonts w:cs="Arial"/>
                <w:szCs w:val="20"/>
              </w:rPr>
            </w:pPr>
            <w:r w:rsidRPr="009B7B35">
              <w:rPr>
                <w:rFonts w:cs="Arial"/>
                <w:szCs w:val="20"/>
              </w:rPr>
              <w:t>Access for fire fighting vehicles is provided to within 50m of all buildings.</w:t>
            </w:r>
          </w:p>
        </w:tc>
      </w:tr>
    </w:tbl>
    <w:p w14:paraId="29B3265E" w14:textId="77777777" w:rsidR="00BE36FB" w:rsidRPr="009B7B35" w:rsidRDefault="00BE36FB" w:rsidP="007A46D8">
      <w:pPr>
        <w:pStyle w:val="Heading8"/>
        <w:numPr>
          <w:ilvl w:val="7"/>
          <w:numId w:val="834"/>
        </w:numPr>
        <w:rPr>
          <w:rFonts w:ascii="Arial" w:hAnsi="Arial" w:cs="Arial"/>
          <w:sz w:val="20"/>
        </w:rPr>
      </w:pPr>
      <w:bookmarkStart w:id="372" w:name="_Toc205367485"/>
      <w:r w:rsidRPr="009B7B35">
        <w:rPr>
          <w:rFonts w:ascii="Arial" w:hAnsi="Arial" w:cs="Arial"/>
          <w:sz w:val="20"/>
        </w:rPr>
        <w:t>On–site amenity</w:t>
      </w:r>
      <w:bookmarkEnd w:id="372"/>
    </w:p>
    <w:p w14:paraId="58D3B824" w14:textId="77777777" w:rsidR="00BE36FB" w:rsidRPr="009B7B35" w:rsidRDefault="00BE36FB" w:rsidP="001A7107">
      <w:pPr>
        <w:rPr>
          <w:rFonts w:ascii="Arial" w:hAnsi="Arial" w:cs="Arial"/>
          <w:sz w:val="20"/>
          <w:szCs w:val="20"/>
        </w:rPr>
      </w:pPr>
      <w:r w:rsidRPr="009B7B35">
        <w:rPr>
          <w:rFonts w:ascii="Arial" w:hAnsi="Arial" w:cs="Arial"/>
          <w:sz w:val="20"/>
          <w:szCs w:val="20"/>
        </w:rPr>
        <w:t xml:space="preserve">The characteristics of the workers will be a primary driver in determining the level of on–site amenity. The nature of the workers rosters may require different daily patterns of vehicle movements, sleeping, eating and general activity. The type of accommodation provided needs to be responsive to their male/female ratio, whether or not they are single/couples/families and their likely length of occupation is days/weeks/months. </w:t>
      </w:r>
    </w:p>
    <w:p w14:paraId="4D4C2EAB" w14:textId="77777777" w:rsidR="00BE36FB" w:rsidRPr="009B7B35" w:rsidRDefault="00BE36FB" w:rsidP="001A7107">
      <w:pPr>
        <w:rPr>
          <w:rFonts w:ascii="Arial" w:hAnsi="Arial" w:cs="Arial"/>
          <w:sz w:val="20"/>
          <w:szCs w:val="20"/>
        </w:rPr>
      </w:pPr>
    </w:p>
    <w:p w14:paraId="7EA73E0B" w14:textId="77777777" w:rsidR="00BE36FB" w:rsidRPr="009B7B35" w:rsidRDefault="00BE36FB" w:rsidP="001A7107">
      <w:pPr>
        <w:rPr>
          <w:rFonts w:ascii="Arial" w:hAnsi="Arial" w:cs="Arial"/>
          <w:sz w:val="20"/>
          <w:szCs w:val="20"/>
        </w:rPr>
      </w:pPr>
      <w:r w:rsidRPr="009B7B35">
        <w:rPr>
          <w:rFonts w:ascii="Arial" w:hAnsi="Arial" w:cs="Arial"/>
          <w:sz w:val="20"/>
          <w:szCs w:val="20"/>
        </w:rPr>
        <w:t>The level of integration with existing communities will also determine the need for non–residential on–site facilities including dining and recreational facilities, car parking and transport arrangements to work and community facilities. These are more important in rural locations.</w:t>
      </w:r>
    </w:p>
    <w:p w14:paraId="710429B9" w14:textId="77777777" w:rsidR="00BE36FB" w:rsidRPr="009B7B35" w:rsidRDefault="00BE36FB" w:rsidP="001A7107">
      <w:pPr>
        <w:rPr>
          <w:rFonts w:ascii="Arial" w:hAnsi="Arial" w:cs="Arial"/>
          <w:sz w:val="20"/>
          <w:szCs w:val="20"/>
        </w:rPr>
      </w:pPr>
    </w:p>
    <w:p w14:paraId="47C1969E" w14:textId="77777777" w:rsidR="00BE36FB" w:rsidRPr="009B7B35" w:rsidRDefault="00BE36FB" w:rsidP="001A7107">
      <w:pPr>
        <w:rPr>
          <w:rFonts w:ascii="Arial" w:hAnsi="Arial" w:cs="Arial"/>
          <w:sz w:val="20"/>
          <w:szCs w:val="20"/>
        </w:rPr>
      </w:pPr>
      <w:r w:rsidRPr="009B7B35">
        <w:rPr>
          <w:rFonts w:ascii="Arial" w:hAnsi="Arial" w:cs="Arial"/>
          <w:sz w:val="20"/>
          <w:szCs w:val="20"/>
        </w:rPr>
        <w:t>The comfort and safety are primary considerations in the design of the accommodation facility.</w:t>
      </w:r>
    </w:p>
    <w:p w14:paraId="68BC0157" w14:textId="77777777"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14:paraId="14883075" w14:textId="77777777" w:rsidTr="001A7107">
        <w:trPr>
          <w:cnfStyle w:val="100000000000" w:firstRow="1" w:lastRow="0" w:firstColumn="0" w:lastColumn="0" w:oddVBand="0" w:evenVBand="0" w:oddHBand="0" w:evenHBand="0" w:firstRowFirstColumn="0" w:firstRowLastColumn="0" w:lastRowFirstColumn="0" w:lastRowLastColumn="0"/>
        </w:trPr>
        <w:tc>
          <w:tcPr>
            <w:tcW w:w="9356" w:type="dxa"/>
          </w:tcPr>
          <w:p w14:paraId="0F8C4D8F" w14:textId="77777777" w:rsidR="00BE36FB" w:rsidRPr="009B7B35" w:rsidRDefault="00BE36FB" w:rsidP="001A7107">
            <w:pPr>
              <w:pStyle w:val="Tableheading"/>
              <w:rPr>
                <w:rFonts w:ascii="Arial" w:hAnsi="Arial" w:cs="Arial"/>
                <w:szCs w:val="20"/>
              </w:rPr>
            </w:pPr>
            <w:r w:rsidRPr="009B7B35">
              <w:rPr>
                <w:rFonts w:ascii="Arial" w:hAnsi="Arial" w:cs="Arial"/>
                <w:szCs w:val="20"/>
              </w:rPr>
              <w:t>Benchmark—On–site amenity</w:t>
            </w:r>
          </w:p>
        </w:tc>
      </w:tr>
      <w:tr w:rsidR="00BE36FB" w:rsidRPr="009B7B35" w14:paraId="222F6D2D" w14:textId="77777777" w:rsidTr="001A7107">
        <w:trPr>
          <w:trHeight w:val="70"/>
        </w:trPr>
        <w:tc>
          <w:tcPr>
            <w:tcW w:w="9356" w:type="dxa"/>
          </w:tcPr>
          <w:p w14:paraId="47B7B33F" w14:textId="77777777" w:rsidR="00BE36FB" w:rsidRPr="009B7B35" w:rsidRDefault="00BE36FB" w:rsidP="00BE36FB">
            <w:pPr>
              <w:pStyle w:val="ListBullet"/>
              <w:spacing w:before="80" w:after="80"/>
              <w:rPr>
                <w:rFonts w:cs="Arial"/>
                <w:szCs w:val="20"/>
              </w:rPr>
            </w:pPr>
            <w:r w:rsidRPr="009B7B35">
              <w:rPr>
                <w:rFonts w:cs="Arial"/>
                <w:szCs w:val="20"/>
              </w:rPr>
              <w:t xml:space="preserve">Identify the expected characteristics of workers  </w:t>
            </w:r>
          </w:p>
          <w:p w14:paraId="6D64614F" w14:textId="77777777" w:rsidR="00BE36FB" w:rsidRPr="009B7B35" w:rsidRDefault="00BE36FB" w:rsidP="00BE36FB">
            <w:pPr>
              <w:pStyle w:val="ListBullet"/>
              <w:spacing w:before="80" w:after="80"/>
              <w:rPr>
                <w:rFonts w:cs="Arial"/>
                <w:szCs w:val="20"/>
              </w:rPr>
            </w:pPr>
            <w:r w:rsidRPr="009B7B35">
              <w:rPr>
                <w:rFonts w:cs="Arial"/>
                <w:szCs w:val="20"/>
              </w:rPr>
              <w:t>A separate bed is provided for each worker, hot bedding is avoided.</w:t>
            </w:r>
          </w:p>
          <w:p w14:paraId="3EF60358" w14:textId="77777777" w:rsidR="00BE36FB" w:rsidRPr="009B7B35" w:rsidRDefault="00BE36FB" w:rsidP="00BE36FB">
            <w:pPr>
              <w:pStyle w:val="ListBullet"/>
              <w:spacing w:before="80" w:after="80"/>
              <w:rPr>
                <w:rFonts w:cs="Arial"/>
                <w:szCs w:val="20"/>
              </w:rPr>
            </w:pPr>
            <w:r w:rsidRPr="009B7B35">
              <w:rPr>
                <w:rFonts w:cs="Arial"/>
                <w:szCs w:val="20"/>
              </w:rPr>
              <w:t>Double bunks are not advisable for fire safety reasons.</w:t>
            </w:r>
          </w:p>
          <w:p w14:paraId="7EEB1351" w14:textId="77777777" w:rsidR="00BE36FB" w:rsidRPr="009B7B35" w:rsidRDefault="00BE36FB" w:rsidP="00BE36FB">
            <w:pPr>
              <w:pStyle w:val="ListBullet"/>
              <w:spacing w:before="80" w:after="80"/>
              <w:rPr>
                <w:rFonts w:cs="Arial"/>
                <w:szCs w:val="20"/>
              </w:rPr>
            </w:pPr>
            <w:r w:rsidRPr="009B7B35">
              <w:rPr>
                <w:rFonts w:cs="Arial"/>
                <w:szCs w:val="20"/>
              </w:rPr>
              <w:t>All rooms are provided with an ensuite bathroom and lockable door.</w:t>
            </w:r>
          </w:p>
          <w:p w14:paraId="1B510E27" w14:textId="77777777" w:rsidR="00BE36FB" w:rsidRPr="009B7B35" w:rsidRDefault="00BE36FB" w:rsidP="00BE36FB">
            <w:pPr>
              <w:pStyle w:val="ListBullet"/>
              <w:spacing w:before="80" w:after="80"/>
              <w:rPr>
                <w:rFonts w:cs="Arial"/>
                <w:szCs w:val="20"/>
              </w:rPr>
            </w:pPr>
            <w:r w:rsidRPr="009B7B35">
              <w:rPr>
                <w:rFonts w:cs="Arial"/>
                <w:szCs w:val="20"/>
              </w:rPr>
              <w:t>All accommodation room windows are provided with black out blinds or devices.</w:t>
            </w:r>
          </w:p>
          <w:p w14:paraId="0F98AE3C" w14:textId="77777777" w:rsidR="00BE36FB" w:rsidRPr="009B7B35" w:rsidRDefault="00BE36FB" w:rsidP="00BE36FB">
            <w:pPr>
              <w:pStyle w:val="ListBullet"/>
              <w:spacing w:before="80" w:after="80"/>
              <w:rPr>
                <w:rFonts w:cs="Arial"/>
                <w:szCs w:val="20"/>
              </w:rPr>
            </w:pPr>
            <w:r w:rsidRPr="009B7B35">
              <w:rPr>
                <w:rFonts w:cs="Arial"/>
                <w:szCs w:val="20"/>
              </w:rPr>
              <w:t>Accommodation rooms are constructed minimize the intrusion of noise.</w:t>
            </w:r>
          </w:p>
          <w:p w14:paraId="6F60F2E2" w14:textId="77777777" w:rsidR="00BE36FB" w:rsidRPr="009B7B35" w:rsidRDefault="00BE36FB" w:rsidP="00BE36FB">
            <w:pPr>
              <w:pStyle w:val="ListBullet"/>
              <w:spacing w:before="80" w:after="80"/>
              <w:rPr>
                <w:rFonts w:cs="Arial"/>
                <w:szCs w:val="20"/>
              </w:rPr>
            </w:pPr>
            <w:r w:rsidRPr="009B7B35">
              <w:rPr>
                <w:rFonts w:cs="Arial"/>
                <w:szCs w:val="20"/>
              </w:rPr>
              <w:t>Air conditioning is provided to all buildings.</w:t>
            </w:r>
          </w:p>
          <w:p w14:paraId="7552C60E" w14:textId="77777777" w:rsidR="00BE36FB" w:rsidRPr="009B7B35" w:rsidRDefault="00BE36FB" w:rsidP="00BE36FB">
            <w:pPr>
              <w:pStyle w:val="ListBullet"/>
              <w:spacing w:before="80" w:after="80"/>
              <w:rPr>
                <w:rFonts w:cs="Arial"/>
                <w:szCs w:val="20"/>
              </w:rPr>
            </w:pPr>
            <w:r w:rsidRPr="009B7B35">
              <w:rPr>
                <w:rFonts w:cs="Arial"/>
                <w:szCs w:val="20"/>
              </w:rPr>
              <w:t>Except where it can be demonstrated that a need exists in the wider community, on–site facilities are of a type and scale consistent with the needs of the occupants only.</w:t>
            </w:r>
          </w:p>
          <w:p w14:paraId="0384EDF7" w14:textId="77777777" w:rsidR="00BE36FB" w:rsidRPr="009B7B35" w:rsidRDefault="00BE36FB" w:rsidP="00BE36FB">
            <w:pPr>
              <w:pStyle w:val="ListBullet"/>
              <w:spacing w:before="80" w:after="80"/>
              <w:rPr>
                <w:rFonts w:cs="Arial"/>
                <w:szCs w:val="20"/>
              </w:rPr>
            </w:pPr>
            <w:r w:rsidRPr="009B7B35">
              <w:rPr>
                <w:rFonts w:cs="Arial"/>
                <w:szCs w:val="20"/>
              </w:rPr>
              <w:t xml:space="preserve">Where on–site facilities such as a convenience store or cafe serve a wider community, those facilities are located to provide convenient street access. </w:t>
            </w:r>
          </w:p>
          <w:p w14:paraId="1DA9DF58" w14:textId="77777777" w:rsidR="00BE36FB" w:rsidRPr="009B7B35" w:rsidRDefault="00BE36FB" w:rsidP="00BE36FB">
            <w:pPr>
              <w:pStyle w:val="ListBullet"/>
              <w:spacing w:before="80" w:after="80"/>
              <w:rPr>
                <w:rFonts w:cs="Arial"/>
                <w:szCs w:val="20"/>
              </w:rPr>
            </w:pPr>
            <w:r w:rsidRPr="009B7B35">
              <w:rPr>
                <w:rFonts w:cs="Arial"/>
                <w:szCs w:val="20"/>
              </w:rPr>
              <w:t>Development has access to, or, in the case of developments in rural localities, provides dining, rooms, passive and active recreational facilities, laundry facilities, first aid facilities and internet connection facilities sufficient to meet the day to day needs of the occupants.</w:t>
            </w:r>
          </w:p>
          <w:p w14:paraId="18E9F8CE" w14:textId="77777777" w:rsidR="00BE36FB" w:rsidRPr="009B7B35" w:rsidRDefault="00BE36FB" w:rsidP="00BE36FB">
            <w:pPr>
              <w:pStyle w:val="ListBullet"/>
              <w:spacing w:before="80" w:after="80"/>
              <w:rPr>
                <w:rFonts w:cs="Arial"/>
                <w:szCs w:val="20"/>
              </w:rPr>
            </w:pPr>
            <w:r w:rsidRPr="009B7B35">
              <w:rPr>
                <w:rFonts w:cs="Arial"/>
                <w:szCs w:val="20"/>
              </w:rPr>
              <w:t>Developments are designed to incorporate CPTED principles.</w:t>
            </w:r>
          </w:p>
          <w:p w14:paraId="62FAB566" w14:textId="77777777" w:rsidR="00BE36FB" w:rsidRPr="009B7B35" w:rsidRDefault="00BE36FB" w:rsidP="00BE36FB">
            <w:pPr>
              <w:pStyle w:val="ListBullet"/>
              <w:spacing w:before="80" w:after="80"/>
              <w:rPr>
                <w:rFonts w:cs="Arial"/>
                <w:szCs w:val="20"/>
              </w:rPr>
            </w:pPr>
            <w:r w:rsidRPr="009B7B35">
              <w:rPr>
                <w:rFonts w:cs="Arial"/>
                <w:szCs w:val="20"/>
              </w:rPr>
              <w:t>Opposing accommodation room entries are separated by a 1.2m wide concrete pathway, a landscape buffer strip 2m wide in addition to front entry deck thresholds.</w:t>
            </w:r>
          </w:p>
          <w:p w14:paraId="470DFD98" w14:textId="77777777" w:rsidR="00BE36FB" w:rsidRPr="009B7B35" w:rsidRDefault="00BE36FB" w:rsidP="00BE36FB">
            <w:pPr>
              <w:pStyle w:val="ListBullet"/>
              <w:spacing w:before="80" w:after="80"/>
              <w:rPr>
                <w:rFonts w:cs="Arial"/>
                <w:szCs w:val="20"/>
              </w:rPr>
            </w:pPr>
            <w:r w:rsidRPr="009B7B35">
              <w:rPr>
                <w:rFonts w:cs="Arial"/>
                <w:szCs w:val="20"/>
              </w:rPr>
              <w:t>Open space for active and passive uses is provided at the rate of the greater of 5m</w:t>
            </w:r>
            <w:r w:rsidRPr="009B7B35">
              <w:rPr>
                <w:rStyle w:val="StyleSuperscript"/>
                <w:rFonts w:cs="Arial"/>
                <w:szCs w:val="20"/>
              </w:rPr>
              <w:t>2</w:t>
            </w:r>
            <w:r w:rsidRPr="009B7B35">
              <w:rPr>
                <w:rFonts w:cs="Arial"/>
                <w:szCs w:val="20"/>
              </w:rPr>
              <w:t xml:space="preserve"> per occupant or 10% of the site area.</w:t>
            </w:r>
          </w:p>
          <w:p w14:paraId="7EC68D80" w14:textId="77777777" w:rsidR="00BE36FB" w:rsidRPr="009B7B35" w:rsidRDefault="00BE36FB" w:rsidP="00BE36FB">
            <w:pPr>
              <w:pStyle w:val="ListBullet"/>
              <w:spacing w:before="80" w:after="80"/>
              <w:rPr>
                <w:rFonts w:cs="Arial"/>
                <w:szCs w:val="20"/>
              </w:rPr>
            </w:pPr>
            <w:r w:rsidRPr="009B7B35">
              <w:rPr>
                <w:rFonts w:cs="Arial"/>
                <w:szCs w:val="20"/>
              </w:rPr>
              <w:t>Active and passive open space areas are distributed to provide consolidated areas for each 100 rooms.</w:t>
            </w:r>
          </w:p>
        </w:tc>
      </w:tr>
    </w:tbl>
    <w:p w14:paraId="107C0CA0" w14:textId="77777777" w:rsidR="00BE36FB" w:rsidRPr="009B7B35" w:rsidRDefault="00BE36FB" w:rsidP="007A46D8">
      <w:pPr>
        <w:pStyle w:val="Heading8"/>
        <w:numPr>
          <w:ilvl w:val="7"/>
          <w:numId w:val="834"/>
        </w:numPr>
        <w:rPr>
          <w:rFonts w:ascii="Arial" w:hAnsi="Arial" w:cs="Arial"/>
          <w:sz w:val="20"/>
        </w:rPr>
      </w:pPr>
      <w:bookmarkStart w:id="373" w:name="_Toc205367486"/>
      <w:r w:rsidRPr="009B7B35">
        <w:rPr>
          <w:rFonts w:ascii="Arial" w:hAnsi="Arial" w:cs="Arial"/>
          <w:sz w:val="20"/>
        </w:rPr>
        <w:t>Climate responsive design</w:t>
      </w:r>
      <w:bookmarkEnd w:id="373"/>
    </w:p>
    <w:p w14:paraId="01FD0F39" w14:textId="77777777" w:rsidR="00BE36FB" w:rsidRPr="009B7B35" w:rsidRDefault="00BE36FB" w:rsidP="001A7107">
      <w:pPr>
        <w:rPr>
          <w:rFonts w:ascii="Arial" w:hAnsi="Arial" w:cs="Arial"/>
          <w:sz w:val="20"/>
          <w:szCs w:val="20"/>
        </w:rPr>
      </w:pPr>
      <w:r w:rsidRPr="009B7B35">
        <w:rPr>
          <w:rFonts w:ascii="Arial" w:hAnsi="Arial" w:cs="Arial"/>
          <w:sz w:val="20"/>
          <w:szCs w:val="20"/>
        </w:rPr>
        <w:t>Gladstone’s sub–tropical climate means that most areas buildings will be air–conditioned to provide adequate comfort for occupants, many of whom will be sleeping during hotter daylight hours.  Developments should incorporate passive design principles and respect the micro–climate of the particular site.</w:t>
      </w:r>
    </w:p>
    <w:p w14:paraId="643DC0EA" w14:textId="77777777" w:rsidR="00BE36FB" w:rsidRPr="009B7B35" w:rsidRDefault="00BE36FB" w:rsidP="001A7107">
      <w:pPr>
        <w:rPr>
          <w:rFonts w:ascii="Arial" w:hAnsi="Arial" w:cs="Arial"/>
          <w:sz w:val="20"/>
          <w:szCs w:val="20"/>
        </w:rPr>
      </w:pPr>
    </w:p>
    <w:p w14:paraId="301ECE97" w14:textId="77777777" w:rsidR="00BE36FB" w:rsidRPr="009B7B35" w:rsidRDefault="00BE36FB" w:rsidP="001A7107">
      <w:pPr>
        <w:rPr>
          <w:rFonts w:ascii="Arial" w:hAnsi="Arial" w:cs="Arial"/>
          <w:sz w:val="20"/>
          <w:szCs w:val="20"/>
        </w:rPr>
      </w:pPr>
      <w:r w:rsidRPr="009B7B35">
        <w:rPr>
          <w:rFonts w:ascii="Arial" w:hAnsi="Arial" w:cs="Arial"/>
          <w:sz w:val="20"/>
          <w:szCs w:val="20"/>
        </w:rPr>
        <w:t>This should include an appreciation that large car parking and hard–standing areas will generate reflective heat and should be located to ensure prevailing breezes assist in minimizing heat transfer to buildings.</w:t>
      </w:r>
    </w:p>
    <w:p w14:paraId="28E851D2" w14:textId="77777777" w:rsidR="00BE36FB" w:rsidRPr="009B7B35" w:rsidRDefault="00BE36FB" w:rsidP="001A7107">
      <w:pPr>
        <w:rPr>
          <w:rFonts w:ascii="Arial" w:hAnsi="Arial" w:cs="Arial"/>
          <w:sz w:val="20"/>
          <w:szCs w:val="20"/>
        </w:rPr>
      </w:pPr>
    </w:p>
    <w:tbl>
      <w:tblPr>
        <w:tblStyle w:val="Tablestyle"/>
        <w:tblW w:w="0" w:type="auto"/>
        <w:tblLook w:val="0620" w:firstRow="1" w:lastRow="0" w:firstColumn="0" w:lastColumn="0" w:noHBand="1" w:noVBand="1"/>
      </w:tblPr>
      <w:tblGrid>
        <w:gridCol w:w="9356"/>
      </w:tblGrid>
      <w:tr w:rsidR="00BE36FB" w:rsidRPr="009B7B35" w14:paraId="1CBD86FE" w14:textId="77777777" w:rsidTr="001A7107">
        <w:trPr>
          <w:cnfStyle w:val="100000000000" w:firstRow="1" w:lastRow="0" w:firstColumn="0" w:lastColumn="0" w:oddVBand="0" w:evenVBand="0" w:oddHBand="0" w:evenHBand="0" w:firstRowFirstColumn="0" w:firstRowLastColumn="0" w:lastRowFirstColumn="0" w:lastRowLastColumn="0"/>
        </w:trPr>
        <w:tc>
          <w:tcPr>
            <w:tcW w:w="9356" w:type="dxa"/>
          </w:tcPr>
          <w:p w14:paraId="7397AC65" w14:textId="77777777" w:rsidR="00BE36FB" w:rsidRPr="009B7B35" w:rsidRDefault="00BE36FB" w:rsidP="001A7107">
            <w:pPr>
              <w:pStyle w:val="Tableheading"/>
              <w:rPr>
                <w:rFonts w:ascii="Arial" w:hAnsi="Arial" w:cs="Arial"/>
                <w:szCs w:val="20"/>
              </w:rPr>
            </w:pPr>
            <w:r w:rsidRPr="009B7B35">
              <w:rPr>
                <w:rFonts w:ascii="Arial" w:hAnsi="Arial" w:cs="Arial"/>
                <w:szCs w:val="20"/>
              </w:rPr>
              <w:t>Benchmark—Climate responsive design</w:t>
            </w:r>
          </w:p>
        </w:tc>
      </w:tr>
      <w:tr w:rsidR="00BE36FB" w:rsidRPr="009B7B35" w14:paraId="6FB854DF" w14:textId="77777777" w:rsidTr="001A7107">
        <w:tc>
          <w:tcPr>
            <w:tcW w:w="9356" w:type="dxa"/>
          </w:tcPr>
          <w:p w14:paraId="2DF0921F" w14:textId="77777777" w:rsidR="00BE36FB" w:rsidRPr="009B7B35" w:rsidRDefault="00BE36FB" w:rsidP="00BE36FB">
            <w:pPr>
              <w:pStyle w:val="ListBullet"/>
              <w:spacing w:before="80" w:after="80"/>
              <w:rPr>
                <w:rFonts w:cs="Arial"/>
                <w:szCs w:val="20"/>
              </w:rPr>
            </w:pPr>
            <w:r w:rsidRPr="009B7B35">
              <w:rPr>
                <w:rFonts w:cs="Arial"/>
                <w:szCs w:val="20"/>
              </w:rPr>
              <w:t>Buildings are separated to allow penetrating breezes to flow through the site</w:t>
            </w:r>
          </w:p>
          <w:p w14:paraId="01226C8F" w14:textId="77777777" w:rsidR="00BE36FB" w:rsidRPr="009B7B35" w:rsidRDefault="00BE36FB" w:rsidP="00BE36FB">
            <w:pPr>
              <w:pStyle w:val="ListBullet"/>
              <w:spacing w:before="80" w:after="80"/>
              <w:rPr>
                <w:rFonts w:cs="Arial"/>
                <w:szCs w:val="20"/>
              </w:rPr>
            </w:pPr>
            <w:r w:rsidRPr="009B7B35">
              <w:rPr>
                <w:rFonts w:cs="Arial"/>
                <w:szCs w:val="20"/>
              </w:rPr>
              <w:t xml:space="preserve">Buildings are orientated to  buildings to manage </w:t>
            </w:r>
          </w:p>
          <w:p w14:paraId="20AB4D64" w14:textId="77777777" w:rsidR="00BE36FB" w:rsidRPr="009B7B35" w:rsidRDefault="00BE36FB" w:rsidP="00BE36FB">
            <w:pPr>
              <w:pStyle w:val="ListBullet"/>
              <w:spacing w:before="80" w:after="80"/>
              <w:rPr>
                <w:rFonts w:cs="Arial"/>
                <w:szCs w:val="20"/>
              </w:rPr>
            </w:pPr>
            <w:r w:rsidRPr="009B7B35">
              <w:rPr>
                <w:rFonts w:cs="Arial"/>
                <w:szCs w:val="20"/>
              </w:rPr>
              <w:t xml:space="preserve">Roofs have eaves of a minimum of 600mm </w:t>
            </w:r>
          </w:p>
          <w:p w14:paraId="66C4CBF2" w14:textId="77777777" w:rsidR="00BE36FB" w:rsidRPr="009B7B35" w:rsidRDefault="00BE36FB" w:rsidP="00BE36FB">
            <w:pPr>
              <w:pStyle w:val="ListBullet"/>
              <w:spacing w:before="80" w:after="80"/>
              <w:rPr>
                <w:rFonts w:cs="Arial"/>
                <w:szCs w:val="20"/>
              </w:rPr>
            </w:pPr>
            <w:r w:rsidRPr="009B7B35">
              <w:rPr>
                <w:rFonts w:cs="Arial"/>
                <w:szCs w:val="20"/>
              </w:rPr>
              <w:t>Avoid locating accommodation units on the western side and use landscaping to shade western facades.</w:t>
            </w:r>
          </w:p>
          <w:p w14:paraId="26D0E75B" w14:textId="77777777" w:rsidR="00BE36FB" w:rsidRPr="009B7B35" w:rsidRDefault="00BE36FB" w:rsidP="00BE36FB">
            <w:pPr>
              <w:pStyle w:val="ListBullet"/>
              <w:spacing w:before="80" w:after="80"/>
              <w:rPr>
                <w:rFonts w:cs="Arial"/>
                <w:szCs w:val="20"/>
              </w:rPr>
            </w:pPr>
            <w:r w:rsidRPr="009B7B35">
              <w:rPr>
                <w:rFonts w:cs="Arial"/>
                <w:szCs w:val="20"/>
              </w:rPr>
              <w:t>Large parking and hard–standing areas are located downwind of habitable areas to minimize heat transfer.</w:t>
            </w:r>
          </w:p>
          <w:p w14:paraId="37486786" w14:textId="77777777" w:rsidR="00BE36FB" w:rsidRPr="009B7B35" w:rsidRDefault="00BE36FB" w:rsidP="00BE36FB">
            <w:pPr>
              <w:pStyle w:val="ListBullet"/>
              <w:spacing w:before="80" w:after="80"/>
              <w:rPr>
                <w:rFonts w:cs="Arial"/>
                <w:szCs w:val="20"/>
              </w:rPr>
            </w:pPr>
            <w:r w:rsidRPr="009B7B35">
              <w:rPr>
                <w:rFonts w:cs="Arial"/>
                <w:szCs w:val="20"/>
              </w:rPr>
              <w:t>Use landscaping to create microclimates in communal outdoor areas.</w:t>
            </w:r>
          </w:p>
        </w:tc>
      </w:tr>
    </w:tbl>
    <w:p w14:paraId="0D9CDD03" w14:textId="77777777" w:rsidR="00BE36FB" w:rsidRPr="009B7B35" w:rsidRDefault="00BE36FB" w:rsidP="007A46D8">
      <w:pPr>
        <w:pStyle w:val="Heading8"/>
        <w:numPr>
          <w:ilvl w:val="7"/>
          <w:numId w:val="834"/>
        </w:numPr>
        <w:rPr>
          <w:rFonts w:ascii="Arial" w:hAnsi="Arial" w:cs="Arial"/>
          <w:sz w:val="20"/>
        </w:rPr>
      </w:pPr>
      <w:bookmarkStart w:id="374" w:name="_Toc205367487"/>
      <w:r w:rsidRPr="009B7B35">
        <w:rPr>
          <w:rFonts w:ascii="Arial" w:hAnsi="Arial" w:cs="Arial"/>
          <w:sz w:val="20"/>
        </w:rPr>
        <w:t>Affordability</w:t>
      </w:r>
      <w:bookmarkEnd w:id="374"/>
    </w:p>
    <w:p w14:paraId="55D76214" w14:textId="77777777" w:rsidR="00BE36FB" w:rsidRPr="009B7B35" w:rsidRDefault="00BE36FB" w:rsidP="001A7107">
      <w:pPr>
        <w:rPr>
          <w:rFonts w:ascii="Arial" w:hAnsi="Arial" w:cs="Arial"/>
          <w:sz w:val="20"/>
          <w:szCs w:val="20"/>
        </w:rPr>
      </w:pPr>
      <w:r w:rsidRPr="009B7B35">
        <w:rPr>
          <w:rFonts w:ascii="Arial" w:hAnsi="Arial" w:cs="Arial"/>
          <w:sz w:val="20"/>
          <w:szCs w:val="20"/>
        </w:rPr>
        <w:t>Not all temporary non–resident workers are highly skilled and highly paid but are still essential to the development phase. Scarce accommodation during construction phases can significantly disadvantage those that are on lower wages but still an essential part of the development process. For larger developments a contribution towards affordable accommodation will be required.</w:t>
      </w:r>
    </w:p>
    <w:p w14:paraId="42DA76A0" w14:textId="77777777"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14:paraId="41664CEF" w14:textId="77777777" w:rsidTr="001A7107">
        <w:trPr>
          <w:cnfStyle w:val="100000000000" w:firstRow="1" w:lastRow="0" w:firstColumn="0" w:lastColumn="0" w:oddVBand="0" w:evenVBand="0" w:oddHBand="0" w:evenHBand="0" w:firstRowFirstColumn="0" w:firstRowLastColumn="0" w:lastRowFirstColumn="0" w:lastRowLastColumn="0"/>
        </w:trPr>
        <w:tc>
          <w:tcPr>
            <w:tcW w:w="9356" w:type="dxa"/>
          </w:tcPr>
          <w:p w14:paraId="5205BE67" w14:textId="77777777" w:rsidR="00BE36FB" w:rsidRPr="009B7B35" w:rsidRDefault="00BE36FB" w:rsidP="001A7107">
            <w:pPr>
              <w:pStyle w:val="Tableheading"/>
              <w:rPr>
                <w:rFonts w:ascii="Arial" w:hAnsi="Arial" w:cs="Arial"/>
                <w:szCs w:val="20"/>
              </w:rPr>
            </w:pPr>
            <w:r w:rsidRPr="009B7B35">
              <w:rPr>
                <w:rFonts w:ascii="Arial" w:hAnsi="Arial" w:cs="Arial"/>
                <w:szCs w:val="20"/>
              </w:rPr>
              <w:t>Benchmark—Affordable housing</w:t>
            </w:r>
          </w:p>
        </w:tc>
      </w:tr>
      <w:tr w:rsidR="00BE36FB" w:rsidRPr="009B7B35" w14:paraId="4963AF15" w14:textId="77777777" w:rsidTr="001A7107">
        <w:tc>
          <w:tcPr>
            <w:tcW w:w="9356" w:type="dxa"/>
          </w:tcPr>
          <w:p w14:paraId="0CA24CA9" w14:textId="77777777" w:rsidR="00BE36FB" w:rsidRPr="009B7B35" w:rsidRDefault="00BE36FB" w:rsidP="00BE36FB">
            <w:pPr>
              <w:pStyle w:val="ListBullet"/>
              <w:spacing w:before="80" w:after="80"/>
              <w:rPr>
                <w:rFonts w:cs="Arial"/>
                <w:szCs w:val="20"/>
              </w:rPr>
            </w:pPr>
            <w:r w:rsidRPr="009B7B35">
              <w:rPr>
                <w:rFonts w:cs="Arial"/>
                <w:szCs w:val="20"/>
              </w:rPr>
              <w:t xml:space="preserve">For developments over 100 rooms, 5% of all rooms are to be provided to eligible persons as affordable housing in accordance with </w:t>
            </w:r>
            <w:r w:rsidRPr="009B7B35">
              <w:rPr>
                <w:rStyle w:val="StyleItalic"/>
                <w:rFonts w:cs="Arial"/>
                <w:szCs w:val="20"/>
              </w:rPr>
              <w:t>Queensland Urban Development Authority Priority Development Area Guideline No 16</w:t>
            </w:r>
            <w:r w:rsidRPr="009B7B35">
              <w:rPr>
                <w:rFonts w:cs="Arial"/>
                <w:szCs w:val="20"/>
              </w:rPr>
              <w:t>.</w:t>
            </w:r>
          </w:p>
        </w:tc>
      </w:tr>
    </w:tbl>
    <w:p w14:paraId="1040A19B" w14:textId="77777777" w:rsidR="00BE36FB" w:rsidRPr="009B7B35" w:rsidRDefault="00BE36FB" w:rsidP="007A46D8">
      <w:pPr>
        <w:pStyle w:val="Heading8"/>
        <w:numPr>
          <w:ilvl w:val="7"/>
          <w:numId w:val="834"/>
        </w:numPr>
        <w:rPr>
          <w:rFonts w:ascii="Arial" w:hAnsi="Arial" w:cs="Arial"/>
          <w:sz w:val="20"/>
        </w:rPr>
      </w:pPr>
      <w:bookmarkStart w:id="375" w:name="_Toc205367488"/>
      <w:r w:rsidRPr="009B7B35">
        <w:rPr>
          <w:rFonts w:ascii="Arial" w:hAnsi="Arial" w:cs="Arial"/>
          <w:sz w:val="20"/>
        </w:rPr>
        <w:t>Landscaping</w:t>
      </w:r>
      <w:bookmarkEnd w:id="375"/>
    </w:p>
    <w:p w14:paraId="1A847D25" w14:textId="77777777" w:rsidR="00BE36FB" w:rsidRPr="009B7B35" w:rsidRDefault="00BE36FB" w:rsidP="001A7107">
      <w:pPr>
        <w:rPr>
          <w:rFonts w:ascii="Arial" w:hAnsi="Arial" w:cs="Arial"/>
          <w:sz w:val="20"/>
          <w:szCs w:val="20"/>
        </w:rPr>
      </w:pPr>
      <w:r w:rsidRPr="009B7B35">
        <w:rPr>
          <w:rFonts w:ascii="Arial" w:hAnsi="Arial" w:cs="Arial"/>
          <w:sz w:val="20"/>
          <w:szCs w:val="20"/>
        </w:rPr>
        <w:t>Large non–resident workers accommodation facilities can have a considerable visual impact, particularly in rural areas where they are out of character with expected.  Large building setbacks will provide the opportunity to provide landscaping in scale with the development.</w:t>
      </w:r>
    </w:p>
    <w:p w14:paraId="67C1B301" w14:textId="77777777" w:rsidR="00BE36FB" w:rsidRPr="009B7B35" w:rsidRDefault="00BE36FB" w:rsidP="001A7107">
      <w:pPr>
        <w:rPr>
          <w:rFonts w:ascii="Arial" w:hAnsi="Arial" w:cs="Arial"/>
          <w:sz w:val="20"/>
          <w:szCs w:val="20"/>
        </w:rPr>
      </w:pPr>
    </w:p>
    <w:p w14:paraId="0CFD20E8" w14:textId="77777777" w:rsidR="00BE36FB" w:rsidRPr="009B7B35" w:rsidRDefault="00BE36FB" w:rsidP="001A7107">
      <w:pPr>
        <w:rPr>
          <w:rFonts w:ascii="Arial" w:hAnsi="Arial" w:cs="Arial"/>
          <w:sz w:val="20"/>
          <w:szCs w:val="20"/>
        </w:rPr>
      </w:pPr>
      <w:r w:rsidRPr="009B7B35">
        <w:rPr>
          <w:rFonts w:ascii="Arial" w:hAnsi="Arial" w:cs="Arial"/>
          <w:sz w:val="20"/>
          <w:szCs w:val="20"/>
        </w:rPr>
        <w:t>On–site amenity will be greatly enhanced where high quality soft and hard landscaping is incorporated highly trafficked areas and in and around each building.</w:t>
      </w:r>
    </w:p>
    <w:p w14:paraId="65E41B34" w14:textId="77777777" w:rsidR="00BE36FB" w:rsidRPr="009B7B35" w:rsidRDefault="00BE36FB" w:rsidP="001A7107">
      <w:pPr>
        <w:rPr>
          <w:rFonts w:ascii="Arial" w:hAnsi="Arial" w:cs="Arial"/>
          <w:sz w:val="20"/>
          <w:szCs w:val="20"/>
        </w:rPr>
      </w:pPr>
    </w:p>
    <w:p w14:paraId="7AF47932" w14:textId="77777777" w:rsidR="00BE36FB" w:rsidRPr="009B7B35" w:rsidRDefault="00BE36FB" w:rsidP="001A7107">
      <w:pPr>
        <w:rPr>
          <w:rFonts w:ascii="Arial" w:hAnsi="Arial" w:cs="Arial"/>
          <w:sz w:val="20"/>
          <w:szCs w:val="20"/>
        </w:rPr>
      </w:pPr>
      <w:r w:rsidRPr="009B7B35">
        <w:rPr>
          <w:rFonts w:ascii="Arial" w:hAnsi="Arial" w:cs="Arial"/>
          <w:sz w:val="20"/>
          <w:szCs w:val="20"/>
        </w:rPr>
        <w:t>Landscaping should also be used to assist in the achievement of stormwater quality objectives.</w:t>
      </w:r>
    </w:p>
    <w:p w14:paraId="0FDA752B" w14:textId="77777777"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14:paraId="4F4454ED" w14:textId="77777777" w:rsidTr="001A7107">
        <w:trPr>
          <w:cnfStyle w:val="100000000000" w:firstRow="1" w:lastRow="0" w:firstColumn="0" w:lastColumn="0" w:oddVBand="0" w:evenVBand="0" w:oddHBand="0" w:evenHBand="0" w:firstRowFirstColumn="0" w:firstRowLastColumn="0" w:lastRowFirstColumn="0" w:lastRowLastColumn="0"/>
        </w:trPr>
        <w:tc>
          <w:tcPr>
            <w:tcW w:w="9356" w:type="dxa"/>
          </w:tcPr>
          <w:p w14:paraId="4ACDABCB" w14:textId="77777777" w:rsidR="00BE36FB" w:rsidRPr="009B7B35" w:rsidRDefault="00BE36FB" w:rsidP="001A7107">
            <w:pPr>
              <w:pStyle w:val="Tableheading"/>
              <w:rPr>
                <w:rFonts w:ascii="Arial" w:hAnsi="Arial" w:cs="Arial"/>
                <w:szCs w:val="20"/>
              </w:rPr>
            </w:pPr>
            <w:r w:rsidRPr="009B7B35">
              <w:rPr>
                <w:rFonts w:ascii="Arial" w:hAnsi="Arial" w:cs="Arial"/>
                <w:szCs w:val="20"/>
              </w:rPr>
              <w:t>Benchmark—Landscaping</w:t>
            </w:r>
          </w:p>
        </w:tc>
      </w:tr>
      <w:tr w:rsidR="00BE36FB" w:rsidRPr="009B7B35" w14:paraId="539ED8D7" w14:textId="77777777" w:rsidTr="001A7107">
        <w:tc>
          <w:tcPr>
            <w:tcW w:w="9356" w:type="dxa"/>
          </w:tcPr>
          <w:p w14:paraId="0B7ADB32" w14:textId="77777777" w:rsidR="00BE36FB" w:rsidRPr="009B7B35" w:rsidRDefault="00BE36FB" w:rsidP="00BE36FB">
            <w:pPr>
              <w:pStyle w:val="ListBullet"/>
              <w:spacing w:before="80" w:after="80"/>
              <w:rPr>
                <w:rFonts w:cs="Arial"/>
                <w:szCs w:val="20"/>
              </w:rPr>
            </w:pPr>
            <w:r w:rsidRPr="009B7B35">
              <w:rPr>
                <w:rFonts w:cs="Arial"/>
                <w:szCs w:val="20"/>
              </w:rPr>
              <w:t>Landscaping reinforces the local character of the area by using locally indigenous native plant species.</w:t>
            </w:r>
          </w:p>
          <w:p w14:paraId="0337D181" w14:textId="77777777" w:rsidR="00BE36FB" w:rsidRPr="009B7B35" w:rsidRDefault="00BE36FB" w:rsidP="00BE36FB">
            <w:pPr>
              <w:pStyle w:val="ListBullet"/>
              <w:spacing w:before="80" w:after="80"/>
              <w:rPr>
                <w:rFonts w:cs="Arial"/>
                <w:szCs w:val="20"/>
              </w:rPr>
            </w:pPr>
            <w:r w:rsidRPr="009B7B35">
              <w:rPr>
                <w:rFonts w:cs="Arial"/>
                <w:szCs w:val="20"/>
              </w:rPr>
              <w:t>Landscaping enhances local biodiversity and wildlife habitat through corridor planting.</w:t>
            </w:r>
          </w:p>
          <w:p w14:paraId="0F6CE828" w14:textId="77777777" w:rsidR="00BE36FB" w:rsidRPr="009B7B35" w:rsidRDefault="00BE36FB" w:rsidP="00BE36FB">
            <w:pPr>
              <w:pStyle w:val="ListBullet"/>
              <w:spacing w:before="80" w:after="80"/>
              <w:rPr>
                <w:rFonts w:cs="Arial"/>
                <w:szCs w:val="20"/>
              </w:rPr>
            </w:pPr>
            <w:r w:rsidRPr="009B7B35">
              <w:rPr>
                <w:rFonts w:cs="Arial"/>
                <w:szCs w:val="20"/>
              </w:rPr>
              <w:t>Landscaping softens perimeter fencing.</w:t>
            </w:r>
          </w:p>
          <w:p w14:paraId="6012F30A" w14:textId="77777777" w:rsidR="00BE36FB" w:rsidRPr="009B7B35" w:rsidRDefault="00BE36FB" w:rsidP="00BE36FB">
            <w:pPr>
              <w:pStyle w:val="ListBullet"/>
              <w:spacing w:before="80" w:after="80"/>
              <w:rPr>
                <w:rFonts w:cs="Arial"/>
                <w:szCs w:val="20"/>
              </w:rPr>
            </w:pPr>
            <w:r w:rsidRPr="009B7B35">
              <w:rPr>
                <w:rFonts w:cs="Arial"/>
                <w:szCs w:val="20"/>
              </w:rPr>
              <w:t>Landscaping conceals undesirable views into and from the site.</w:t>
            </w:r>
          </w:p>
          <w:p w14:paraId="5202B36E" w14:textId="77777777" w:rsidR="00BE36FB" w:rsidRPr="009B7B35" w:rsidRDefault="00BE36FB" w:rsidP="00BE36FB">
            <w:pPr>
              <w:pStyle w:val="ListBullet"/>
              <w:spacing w:before="80" w:after="80"/>
              <w:rPr>
                <w:rFonts w:cs="Arial"/>
                <w:szCs w:val="20"/>
              </w:rPr>
            </w:pPr>
            <w:r w:rsidRPr="009B7B35">
              <w:rPr>
                <w:rFonts w:cs="Arial"/>
                <w:szCs w:val="20"/>
              </w:rPr>
              <w:t>Landscaping provides a visual and functional amenity to occupants and neighbours.</w:t>
            </w:r>
          </w:p>
          <w:p w14:paraId="4CAA52E9" w14:textId="77777777" w:rsidR="00BE36FB" w:rsidRPr="009B7B35" w:rsidRDefault="00BE36FB" w:rsidP="00BE36FB">
            <w:pPr>
              <w:pStyle w:val="ListBullet"/>
              <w:spacing w:before="80" w:after="80"/>
              <w:rPr>
                <w:rFonts w:cs="Arial"/>
                <w:szCs w:val="20"/>
              </w:rPr>
            </w:pPr>
            <w:r w:rsidRPr="009B7B35">
              <w:rPr>
                <w:rFonts w:cs="Arial"/>
                <w:szCs w:val="20"/>
              </w:rPr>
              <w:t>Landscaping contributes to on–site stormwater quality management.</w:t>
            </w:r>
          </w:p>
          <w:p w14:paraId="3D3B8737" w14:textId="77777777" w:rsidR="00BE36FB" w:rsidRPr="009B7B35" w:rsidRDefault="00BE36FB" w:rsidP="00BE36FB">
            <w:pPr>
              <w:pStyle w:val="ListBullet"/>
              <w:spacing w:before="80" w:after="80"/>
              <w:rPr>
                <w:rFonts w:cs="Arial"/>
                <w:szCs w:val="20"/>
              </w:rPr>
            </w:pPr>
            <w:r w:rsidRPr="009B7B35">
              <w:rPr>
                <w:rFonts w:cs="Arial"/>
                <w:szCs w:val="20"/>
              </w:rPr>
              <w:t>Front, side and rear boundary setbacks are primarily used for landscaping rather than for recreational purposes.</w:t>
            </w:r>
          </w:p>
          <w:p w14:paraId="2FBF2944" w14:textId="77777777" w:rsidR="00BE36FB" w:rsidRPr="009B7B35" w:rsidRDefault="00BE36FB" w:rsidP="00BE36FB">
            <w:pPr>
              <w:pStyle w:val="ListBullet"/>
              <w:spacing w:before="80" w:after="80"/>
              <w:rPr>
                <w:rFonts w:cs="Arial"/>
                <w:szCs w:val="20"/>
              </w:rPr>
            </w:pPr>
            <w:r w:rsidRPr="009B7B35">
              <w:rPr>
                <w:rFonts w:cs="Arial"/>
                <w:szCs w:val="20"/>
              </w:rPr>
              <w:t>Exiting on–site trees are retained as far as practicable.</w:t>
            </w:r>
          </w:p>
        </w:tc>
      </w:tr>
    </w:tbl>
    <w:p w14:paraId="0FF1805B" w14:textId="77777777" w:rsidR="00BE36FB" w:rsidRPr="009B7B35" w:rsidRDefault="00BE36FB" w:rsidP="007A46D8">
      <w:pPr>
        <w:pStyle w:val="Heading8"/>
        <w:numPr>
          <w:ilvl w:val="7"/>
          <w:numId w:val="834"/>
        </w:numPr>
        <w:rPr>
          <w:rFonts w:ascii="Arial" w:hAnsi="Arial" w:cs="Arial"/>
          <w:sz w:val="20"/>
        </w:rPr>
      </w:pPr>
      <w:bookmarkStart w:id="376" w:name="_Toc205367489"/>
      <w:r w:rsidRPr="009B7B35">
        <w:rPr>
          <w:rFonts w:ascii="Arial" w:hAnsi="Arial" w:cs="Arial"/>
          <w:sz w:val="20"/>
        </w:rPr>
        <w:t>Changing circumstances or decommissioning</w:t>
      </w:r>
      <w:bookmarkEnd w:id="376"/>
    </w:p>
    <w:p w14:paraId="3ED5EB24" w14:textId="77777777" w:rsidR="00BE36FB" w:rsidRPr="009B7B35" w:rsidRDefault="00BE36FB" w:rsidP="001A7107">
      <w:pPr>
        <w:rPr>
          <w:rFonts w:ascii="Arial" w:hAnsi="Arial" w:cs="Arial"/>
          <w:sz w:val="20"/>
          <w:szCs w:val="20"/>
        </w:rPr>
      </w:pPr>
      <w:r w:rsidRPr="009B7B35">
        <w:rPr>
          <w:rFonts w:ascii="Arial" w:hAnsi="Arial" w:cs="Arial"/>
          <w:sz w:val="20"/>
          <w:szCs w:val="20"/>
        </w:rPr>
        <w:t>Population growth in Gladstone over the past 50 years has occurred as a series of steps linked to major new industry and port developments and this pattern of growth is likely to continue within the foreseeable future. The demand for purpose built workers accommodation is directly related to the industrial growth and at present is an essential component of the housing stock.  Over time, however, the demand is likely to decline as it in turn competes in a much larger housing market including high density apartments in central locations.  As such it is therefore expected that decommissioning and removal of these facilities will occur and, in the case of developments in more remote locations, Council may impose a condition on planning consents requiring their removal within a particular time frame.</w:t>
      </w:r>
    </w:p>
    <w:p w14:paraId="2FAA93E1" w14:textId="77777777" w:rsidR="00BE36FB" w:rsidRPr="009B7B35" w:rsidRDefault="00BE36FB" w:rsidP="001A7107">
      <w:pPr>
        <w:rPr>
          <w:rFonts w:ascii="Arial" w:hAnsi="Arial" w:cs="Arial"/>
          <w:sz w:val="20"/>
          <w:szCs w:val="20"/>
        </w:rPr>
      </w:pPr>
    </w:p>
    <w:p w14:paraId="3DF7E360" w14:textId="77777777" w:rsidR="00BE36FB" w:rsidRPr="009B7B35" w:rsidRDefault="00BE36FB" w:rsidP="001A7107">
      <w:pPr>
        <w:rPr>
          <w:rFonts w:ascii="Arial" w:hAnsi="Arial" w:cs="Arial"/>
          <w:sz w:val="20"/>
          <w:szCs w:val="20"/>
        </w:rPr>
      </w:pPr>
      <w:r w:rsidRPr="009B7B35">
        <w:rPr>
          <w:rFonts w:ascii="Arial" w:hAnsi="Arial" w:cs="Arial"/>
          <w:sz w:val="20"/>
          <w:szCs w:val="20"/>
        </w:rPr>
        <w:t>The removal of, or of, non–resident workers accommodation is an important consideration, particularly those developments in locations distant from the existing urban areas.</w:t>
      </w:r>
    </w:p>
    <w:p w14:paraId="69DA9C09" w14:textId="77777777" w:rsidR="00BE36FB" w:rsidRPr="009B7B35" w:rsidRDefault="00BE36FB" w:rsidP="001A7107">
      <w:pPr>
        <w:rPr>
          <w:rFonts w:ascii="Arial" w:hAnsi="Arial" w:cs="Arial"/>
          <w:sz w:val="20"/>
          <w:szCs w:val="20"/>
        </w:rPr>
      </w:pPr>
    </w:p>
    <w:p w14:paraId="02A0EE06" w14:textId="77777777" w:rsidR="00BE36FB" w:rsidRPr="009B7B35" w:rsidRDefault="00BE36FB" w:rsidP="001A7107">
      <w:pPr>
        <w:rPr>
          <w:rFonts w:ascii="Arial" w:hAnsi="Arial" w:cs="Arial"/>
          <w:sz w:val="20"/>
          <w:szCs w:val="20"/>
        </w:rPr>
      </w:pPr>
      <w:r w:rsidRPr="009B7B35">
        <w:rPr>
          <w:rFonts w:ascii="Arial" w:hAnsi="Arial" w:cs="Arial"/>
          <w:sz w:val="20"/>
          <w:szCs w:val="20"/>
        </w:rPr>
        <w:t>In well located areas adaption and reuse other uses such as affordable accommodation, aged care housing or tourist accommodation may be feasible.</w:t>
      </w:r>
    </w:p>
    <w:p w14:paraId="72D80D1B" w14:textId="77777777" w:rsidR="00BE36FB" w:rsidRPr="009B7B35" w:rsidRDefault="00BE36FB" w:rsidP="001A7107">
      <w:pPr>
        <w:rPr>
          <w:rFonts w:ascii="Arial" w:hAnsi="Arial" w:cs="Arial"/>
          <w:sz w:val="20"/>
          <w:szCs w:val="20"/>
        </w:rPr>
      </w:pPr>
    </w:p>
    <w:tbl>
      <w:tblPr>
        <w:tblStyle w:val="Tablestyle"/>
        <w:tblW w:w="9356" w:type="dxa"/>
        <w:tblLook w:val="0620" w:firstRow="1" w:lastRow="0" w:firstColumn="0" w:lastColumn="0" w:noHBand="1" w:noVBand="1"/>
      </w:tblPr>
      <w:tblGrid>
        <w:gridCol w:w="9356"/>
      </w:tblGrid>
      <w:tr w:rsidR="00BE36FB" w:rsidRPr="009B7B35" w14:paraId="5605E693" w14:textId="77777777" w:rsidTr="001A7107">
        <w:trPr>
          <w:cnfStyle w:val="100000000000" w:firstRow="1" w:lastRow="0" w:firstColumn="0" w:lastColumn="0" w:oddVBand="0" w:evenVBand="0" w:oddHBand="0" w:evenHBand="0" w:firstRowFirstColumn="0" w:firstRowLastColumn="0" w:lastRowFirstColumn="0" w:lastRowLastColumn="0"/>
        </w:trPr>
        <w:tc>
          <w:tcPr>
            <w:tcW w:w="9356" w:type="dxa"/>
          </w:tcPr>
          <w:p w14:paraId="657BB61A" w14:textId="77777777" w:rsidR="00BE36FB" w:rsidRPr="009B7B35" w:rsidRDefault="00BE36FB" w:rsidP="001A7107">
            <w:pPr>
              <w:pStyle w:val="Tableheading"/>
              <w:rPr>
                <w:rFonts w:ascii="Arial" w:hAnsi="Arial" w:cs="Arial"/>
                <w:szCs w:val="20"/>
              </w:rPr>
            </w:pPr>
            <w:r w:rsidRPr="009B7B35">
              <w:rPr>
                <w:rFonts w:ascii="Arial" w:hAnsi="Arial" w:cs="Arial"/>
                <w:szCs w:val="20"/>
              </w:rPr>
              <w:t>Benchmark—Adaptable reuse or decommissioning</w:t>
            </w:r>
          </w:p>
        </w:tc>
      </w:tr>
      <w:tr w:rsidR="00BE36FB" w:rsidRPr="009B7B35" w14:paraId="5171D5FC" w14:textId="77777777" w:rsidTr="001A7107">
        <w:tc>
          <w:tcPr>
            <w:tcW w:w="9356" w:type="dxa"/>
          </w:tcPr>
          <w:p w14:paraId="3B6B7B28" w14:textId="77777777" w:rsidR="00BE36FB" w:rsidRPr="009B7B35" w:rsidRDefault="00BE36FB" w:rsidP="00BE36FB">
            <w:pPr>
              <w:pStyle w:val="ListBullet"/>
              <w:spacing w:before="80" w:after="80"/>
              <w:rPr>
                <w:rFonts w:cs="Arial"/>
                <w:szCs w:val="20"/>
              </w:rPr>
            </w:pPr>
            <w:r w:rsidRPr="009B7B35">
              <w:rPr>
                <w:rFonts w:cs="Arial"/>
                <w:szCs w:val="20"/>
              </w:rPr>
              <w:t>Identify longer term options for the development particularly those that are within or close to fully serviced urban or urban fringe locations.</w:t>
            </w:r>
          </w:p>
          <w:p w14:paraId="25607AA2" w14:textId="77777777" w:rsidR="00BE36FB" w:rsidRPr="009B7B35" w:rsidRDefault="00BE36FB" w:rsidP="00BE36FB">
            <w:pPr>
              <w:pStyle w:val="ListBullet"/>
              <w:spacing w:before="80" w:after="80"/>
              <w:rPr>
                <w:rFonts w:cs="Arial"/>
                <w:szCs w:val="20"/>
              </w:rPr>
            </w:pPr>
            <w:r w:rsidRPr="009B7B35">
              <w:rPr>
                <w:rFonts w:cs="Arial"/>
                <w:szCs w:val="20"/>
              </w:rPr>
              <w:t>Ensure that infrastructure, parking and facilities are compatible with identified reuse options.</w:t>
            </w:r>
          </w:p>
          <w:p w14:paraId="014D6F2C" w14:textId="77777777" w:rsidR="00BE36FB" w:rsidRPr="009B7B35" w:rsidRDefault="00BE36FB" w:rsidP="00BE36FB">
            <w:pPr>
              <w:pStyle w:val="ListBullet"/>
              <w:spacing w:before="80" w:after="80"/>
              <w:rPr>
                <w:rFonts w:cs="Arial"/>
                <w:szCs w:val="20"/>
              </w:rPr>
            </w:pPr>
            <w:r w:rsidRPr="009B7B35">
              <w:rPr>
                <w:rFonts w:cs="Arial"/>
                <w:szCs w:val="20"/>
              </w:rPr>
              <w:t>The development is capable of being scaled down while retaining functionality and visual amenity.</w:t>
            </w:r>
          </w:p>
          <w:p w14:paraId="12AEA80E" w14:textId="77777777" w:rsidR="00BE36FB" w:rsidRPr="009B7B35" w:rsidRDefault="00BE36FB" w:rsidP="00BE36FB">
            <w:pPr>
              <w:pStyle w:val="ListBullet"/>
              <w:spacing w:before="80" w:after="80"/>
              <w:rPr>
                <w:rFonts w:cs="Arial"/>
                <w:szCs w:val="20"/>
              </w:rPr>
            </w:pPr>
            <w:r w:rsidRPr="009B7B35">
              <w:rPr>
                <w:rFonts w:cs="Arial"/>
                <w:szCs w:val="20"/>
              </w:rPr>
              <w:t>Where reuse is not practical, a decommissioning strategy should be prepared for lodgement with the development application.</w:t>
            </w:r>
          </w:p>
        </w:tc>
      </w:tr>
    </w:tbl>
    <w:p w14:paraId="172B1308" w14:textId="77777777" w:rsidR="00BE36FB" w:rsidRPr="009B7B35" w:rsidRDefault="00BE36FB" w:rsidP="001A7107">
      <w:pPr>
        <w:pStyle w:val="Heading9"/>
        <w:numPr>
          <w:ilvl w:val="0"/>
          <w:numId w:val="0"/>
        </w:numPr>
        <w:rPr>
          <w:rFonts w:cs="Arial"/>
          <w:sz w:val="20"/>
        </w:rPr>
      </w:pPr>
      <w:r w:rsidRPr="009B7B35">
        <w:rPr>
          <w:rFonts w:cs="Arial"/>
          <w:sz w:val="20"/>
        </w:rPr>
        <w:t>Table SC6.9.12.1—Internal vehicle pedestrian and cycle standards</w:t>
      </w:r>
    </w:p>
    <w:tbl>
      <w:tblPr>
        <w:tblStyle w:val="Tablestyle"/>
        <w:tblW w:w="0" w:type="auto"/>
        <w:tblLook w:val="0620" w:firstRow="1" w:lastRow="0" w:firstColumn="0" w:lastColumn="0" w:noHBand="1" w:noVBand="1"/>
      </w:tblPr>
      <w:tblGrid>
        <w:gridCol w:w="6379"/>
        <w:gridCol w:w="2977"/>
      </w:tblGrid>
      <w:tr w:rsidR="00BE36FB" w:rsidRPr="009B7B35" w14:paraId="341E1058" w14:textId="77777777" w:rsidTr="001A7107">
        <w:trPr>
          <w:cnfStyle w:val="100000000000" w:firstRow="1" w:lastRow="0" w:firstColumn="0" w:lastColumn="0" w:oddVBand="0" w:evenVBand="0" w:oddHBand="0" w:evenHBand="0" w:firstRowFirstColumn="0" w:firstRowLastColumn="0" w:lastRowFirstColumn="0" w:lastRowLastColumn="0"/>
        </w:trPr>
        <w:tc>
          <w:tcPr>
            <w:tcW w:w="6379" w:type="dxa"/>
          </w:tcPr>
          <w:p w14:paraId="6A85DA0B"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Feature </w:t>
            </w:r>
          </w:p>
        </w:tc>
        <w:tc>
          <w:tcPr>
            <w:tcW w:w="2977" w:type="dxa"/>
          </w:tcPr>
          <w:p w14:paraId="2C0AC46B" w14:textId="77777777" w:rsidR="00BE36FB" w:rsidRPr="009B7B35" w:rsidRDefault="00BE36FB" w:rsidP="001A7107">
            <w:pPr>
              <w:pStyle w:val="Tableheading"/>
              <w:rPr>
                <w:rFonts w:ascii="Arial" w:hAnsi="Arial" w:cs="Arial"/>
                <w:szCs w:val="20"/>
              </w:rPr>
            </w:pPr>
            <w:r w:rsidRPr="009B7B35">
              <w:rPr>
                <w:rFonts w:ascii="Arial" w:hAnsi="Arial" w:cs="Arial"/>
                <w:szCs w:val="20"/>
              </w:rPr>
              <w:t>Dimensions</w:t>
            </w:r>
          </w:p>
        </w:tc>
      </w:tr>
      <w:tr w:rsidR="00BE36FB" w:rsidRPr="009B7B35" w14:paraId="5AA19711" w14:textId="77777777" w:rsidTr="001A7107">
        <w:tc>
          <w:tcPr>
            <w:tcW w:w="9356" w:type="dxa"/>
            <w:gridSpan w:val="2"/>
            <w:shd w:val="clear" w:color="auto" w:fill="BFBFBF" w:themeFill="background1" w:themeFillShade="BF"/>
          </w:tcPr>
          <w:p w14:paraId="0065C0C9" w14:textId="77777777" w:rsidR="00BE36FB" w:rsidRPr="009B7B35" w:rsidRDefault="00BE36FB" w:rsidP="001A7107">
            <w:pPr>
              <w:pStyle w:val="Tableheading"/>
              <w:rPr>
                <w:rFonts w:ascii="Arial" w:hAnsi="Arial" w:cs="Arial"/>
                <w:szCs w:val="20"/>
              </w:rPr>
            </w:pPr>
            <w:r w:rsidRPr="009B7B35">
              <w:rPr>
                <w:rFonts w:ascii="Arial" w:hAnsi="Arial" w:cs="Arial"/>
                <w:szCs w:val="20"/>
              </w:rPr>
              <w:t>Entrances and exits</w:t>
            </w:r>
          </w:p>
        </w:tc>
      </w:tr>
      <w:tr w:rsidR="00BE36FB" w:rsidRPr="009B7B35" w14:paraId="53CC539E" w14:textId="77777777" w:rsidTr="001A7107">
        <w:tc>
          <w:tcPr>
            <w:tcW w:w="6379" w:type="dxa"/>
          </w:tcPr>
          <w:p w14:paraId="042D3BED" w14:textId="77777777" w:rsidR="00BE36FB" w:rsidRPr="009B7B35" w:rsidRDefault="00BE36FB" w:rsidP="001A7107">
            <w:pPr>
              <w:pStyle w:val="TableText"/>
              <w:rPr>
                <w:rFonts w:cs="Arial"/>
              </w:rPr>
            </w:pPr>
            <w:r w:rsidRPr="009B7B35">
              <w:rPr>
                <w:rFonts w:cs="Arial"/>
              </w:rPr>
              <w:t>Two–way entrance/exit streets</w:t>
            </w:r>
          </w:p>
        </w:tc>
        <w:tc>
          <w:tcPr>
            <w:tcW w:w="2977" w:type="dxa"/>
          </w:tcPr>
          <w:p w14:paraId="56609F4E" w14:textId="77777777" w:rsidR="00BE36FB" w:rsidRPr="009B7B35" w:rsidRDefault="00BE36FB" w:rsidP="001A7107">
            <w:pPr>
              <w:pStyle w:val="TableText"/>
              <w:rPr>
                <w:rFonts w:cs="Arial"/>
              </w:rPr>
            </w:pPr>
            <w:r w:rsidRPr="009B7B35">
              <w:rPr>
                <w:rFonts w:cs="Arial"/>
              </w:rPr>
              <w:t>7 metres wide</w:t>
            </w:r>
          </w:p>
        </w:tc>
      </w:tr>
      <w:tr w:rsidR="00BE36FB" w:rsidRPr="009B7B35" w14:paraId="692FD6EA" w14:textId="77777777" w:rsidTr="001A7107">
        <w:tc>
          <w:tcPr>
            <w:tcW w:w="6379" w:type="dxa"/>
          </w:tcPr>
          <w:p w14:paraId="60B0BDE5" w14:textId="77777777" w:rsidR="00BE36FB" w:rsidRPr="009B7B35" w:rsidRDefault="00BE36FB" w:rsidP="001A7107">
            <w:pPr>
              <w:pStyle w:val="TableText"/>
              <w:rPr>
                <w:rFonts w:cs="Arial"/>
              </w:rPr>
            </w:pPr>
            <w:r w:rsidRPr="009B7B35">
              <w:rPr>
                <w:rFonts w:cs="Arial"/>
              </w:rPr>
              <w:t>One–way entrance</w:t>
            </w:r>
          </w:p>
        </w:tc>
        <w:tc>
          <w:tcPr>
            <w:tcW w:w="2977" w:type="dxa"/>
          </w:tcPr>
          <w:p w14:paraId="7771F0CD" w14:textId="77777777" w:rsidR="00BE36FB" w:rsidRPr="009B7B35" w:rsidRDefault="00BE36FB" w:rsidP="001A7107">
            <w:pPr>
              <w:pStyle w:val="TableText"/>
              <w:rPr>
                <w:rFonts w:cs="Arial"/>
              </w:rPr>
            </w:pPr>
            <w:r w:rsidRPr="009B7B35">
              <w:rPr>
                <w:rFonts w:cs="Arial"/>
              </w:rPr>
              <w:t>4 metres wide</w:t>
            </w:r>
          </w:p>
        </w:tc>
      </w:tr>
      <w:tr w:rsidR="00BE36FB" w:rsidRPr="009B7B35" w14:paraId="036182DC" w14:textId="77777777" w:rsidTr="001A7107">
        <w:tc>
          <w:tcPr>
            <w:tcW w:w="6379" w:type="dxa"/>
          </w:tcPr>
          <w:p w14:paraId="6B54C551" w14:textId="77777777" w:rsidR="00BE36FB" w:rsidRPr="009B7B35" w:rsidRDefault="00BE36FB" w:rsidP="001A7107">
            <w:pPr>
              <w:pStyle w:val="TableText"/>
              <w:rPr>
                <w:rFonts w:cs="Arial"/>
              </w:rPr>
            </w:pPr>
            <w:r w:rsidRPr="009B7B35">
              <w:rPr>
                <w:rFonts w:cs="Arial"/>
              </w:rPr>
              <w:t>One–way exit</w:t>
            </w:r>
          </w:p>
        </w:tc>
        <w:tc>
          <w:tcPr>
            <w:tcW w:w="2977" w:type="dxa"/>
          </w:tcPr>
          <w:p w14:paraId="2E22AD5D" w14:textId="77777777" w:rsidR="00BE36FB" w:rsidRPr="009B7B35" w:rsidRDefault="00BE36FB" w:rsidP="001A7107">
            <w:pPr>
              <w:pStyle w:val="TableText"/>
              <w:rPr>
                <w:rFonts w:cs="Arial"/>
              </w:rPr>
            </w:pPr>
            <w:r w:rsidRPr="009B7B35">
              <w:rPr>
                <w:rFonts w:cs="Arial"/>
              </w:rPr>
              <w:t>5 metres wide</w:t>
            </w:r>
          </w:p>
        </w:tc>
      </w:tr>
      <w:tr w:rsidR="00BE36FB" w:rsidRPr="009B7B35" w14:paraId="419D92C1" w14:textId="77777777" w:rsidTr="001A7107">
        <w:tc>
          <w:tcPr>
            <w:tcW w:w="6379" w:type="dxa"/>
          </w:tcPr>
          <w:p w14:paraId="4EE5DCA1" w14:textId="77777777" w:rsidR="00BE36FB" w:rsidRPr="009B7B35" w:rsidRDefault="00BE36FB" w:rsidP="001A7107">
            <w:pPr>
              <w:pStyle w:val="TableText"/>
              <w:rPr>
                <w:rFonts w:cs="Arial"/>
              </w:rPr>
            </w:pPr>
            <w:r w:rsidRPr="009B7B35">
              <w:rPr>
                <w:rFonts w:cs="Arial"/>
              </w:rPr>
              <w:t>Major street serving common buildings</w:t>
            </w:r>
          </w:p>
        </w:tc>
        <w:tc>
          <w:tcPr>
            <w:tcW w:w="2977" w:type="dxa"/>
          </w:tcPr>
          <w:p w14:paraId="634DFADB" w14:textId="77777777" w:rsidR="00BE36FB" w:rsidRPr="009B7B35" w:rsidRDefault="00BE36FB" w:rsidP="001A7107">
            <w:pPr>
              <w:pStyle w:val="TableText"/>
              <w:rPr>
                <w:rFonts w:cs="Arial"/>
              </w:rPr>
            </w:pPr>
            <w:r w:rsidRPr="009B7B35">
              <w:rPr>
                <w:rFonts w:cs="Arial"/>
              </w:rPr>
              <w:t>7 metres wide</w:t>
            </w:r>
          </w:p>
        </w:tc>
      </w:tr>
      <w:tr w:rsidR="00BE36FB" w:rsidRPr="009B7B35" w14:paraId="773FA861" w14:textId="77777777" w:rsidTr="001A7107">
        <w:tc>
          <w:tcPr>
            <w:tcW w:w="6379" w:type="dxa"/>
          </w:tcPr>
          <w:p w14:paraId="5513BEDE" w14:textId="77777777" w:rsidR="00BE36FB" w:rsidRPr="009B7B35" w:rsidRDefault="00BE36FB" w:rsidP="001A7107">
            <w:pPr>
              <w:pStyle w:val="TableText"/>
              <w:rPr>
                <w:rFonts w:cs="Arial"/>
              </w:rPr>
            </w:pPr>
            <w:r w:rsidRPr="009B7B35">
              <w:rPr>
                <w:rFonts w:cs="Arial"/>
              </w:rPr>
              <w:t>Where bus access is required</w:t>
            </w:r>
          </w:p>
        </w:tc>
        <w:tc>
          <w:tcPr>
            <w:tcW w:w="2977" w:type="dxa"/>
          </w:tcPr>
          <w:p w14:paraId="718E32CC" w14:textId="77777777" w:rsidR="00BE36FB" w:rsidRPr="009B7B35" w:rsidRDefault="00BE36FB" w:rsidP="001A7107">
            <w:pPr>
              <w:pStyle w:val="TableText"/>
              <w:rPr>
                <w:rFonts w:cs="Arial"/>
              </w:rPr>
            </w:pPr>
            <w:r w:rsidRPr="009B7B35">
              <w:rPr>
                <w:rFonts w:cs="Arial"/>
              </w:rPr>
              <w:t>9 metres wide</w:t>
            </w:r>
          </w:p>
        </w:tc>
      </w:tr>
      <w:tr w:rsidR="00BE36FB" w:rsidRPr="009B7B35" w14:paraId="7F6F50B6" w14:textId="77777777" w:rsidTr="001A7107">
        <w:tc>
          <w:tcPr>
            <w:tcW w:w="9356" w:type="dxa"/>
            <w:gridSpan w:val="2"/>
            <w:shd w:val="clear" w:color="auto" w:fill="BFBFBF" w:themeFill="background1" w:themeFillShade="BF"/>
          </w:tcPr>
          <w:p w14:paraId="602B7D35" w14:textId="77777777" w:rsidR="00BE36FB" w:rsidRPr="009B7B35" w:rsidRDefault="00BE36FB" w:rsidP="001A7107">
            <w:pPr>
              <w:pStyle w:val="Tableheading"/>
              <w:rPr>
                <w:rFonts w:ascii="Arial" w:hAnsi="Arial" w:cs="Arial"/>
                <w:szCs w:val="20"/>
              </w:rPr>
            </w:pPr>
            <w:r w:rsidRPr="009B7B35">
              <w:rPr>
                <w:rFonts w:ascii="Arial" w:hAnsi="Arial" w:cs="Arial"/>
                <w:szCs w:val="20"/>
              </w:rPr>
              <w:t>Internal streets within the site</w:t>
            </w:r>
          </w:p>
        </w:tc>
      </w:tr>
      <w:tr w:rsidR="00BE36FB" w:rsidRPr="009B7B35" w14:paraId="2FB3AD9A" w14:textId="77777777" w:rsidTr="001A7107">
        <w:tc>
          <w:tcPr>
            <w:tcW w:w="6379" w:type="dxa"/>
          </w:tcPr>
          <w:p w14:paraId="6C785CFC" w14:textId="77777777" w:rsidR="00BE36FB" w:rsidRPr="009B7B35" w:rsidRDefault="00BE36FB" w:rsidP="001A7107">
            <w:pPr>
              <w:pStyle w:val="TableText"/>
              <w:rPr>
                <w:rFonts w:cs="Arial"/>
              </w:rPr>
            </w:pPr>
            <w:r w:rsidRPr="009B7B35">
              <w:rPr>
                <w:rFonts w:cs="Arial"/>
              </w:rPr>
              <w:t>One–way or cul–de–sac</w:t>
            </w:r>
          </w:p>
        </w:tc>
        <w:tc>
          <w:tcPr>
            <w:tcW w:w="2977" w:type="dxa"/>
          </w:tcPr>
          <w:p w14:paraId="60942DF3" w14:textId="77777777" w:rsidR="00BE36FB" w:rsidRPr="009B7B35" w:rsidRDefault="00BE36FB" w:rsidP="001A7107">
            <w:pPr>
              <w:pStyle w:val="TableText"/>
              <w:rPr>
                <w:rFonts w:cs="Arial"/>
              </w:rPr>
            </w:pPr>
            <w:r w:rsidRPr="009B7B35">
              <w:rPr>
                <w:rFonts w:cs="Arial"/>
              </w:rPr>
              <w:t>4 metres wide</w:t>
            </w:r>
          </w:p>
        </w:tc>
      </w:tr>
      <w:tr w:rsidR="00BE36FB" w:rsidRPr="009B7B35" w14:paraId="54BDA9CB" w14:textId="77777777" w:rsidTr="001A7107">
        <w:tc>
          <w:tcPr>
            <w:tcW w:w="6379" w:type="dxa"/>
          </w:tcPr>
          <w:p w14:paraId="1B17BD1F" w14:textId="77777777" w:rsidR="00BE36FB" w:rsidRPr="009B7B35" w:rsidRDefault="00BE36FB" w:rsidP="001A7107">
            <w:pPr>
              <w:pStyle w:val="TableText"/>
              <w:rPr>
                <w:rFonts w:cs="Arial"/>
              </w:rPr>
            </w:pPr>
            <w:r w:rsidRPr="009B7B35">
              <w:rPr>
                <w:rFonts w:cs="Arial"/>
              </w:rPr>
              <w:t>Two–way streets</w:t>
            </w:r>
          </w:p>
        </w:tc>
        <w:tc>
          <w:tcPr>
            <w:tcW w:w="2977" w:type="dxa"/>
          </w:tcPr>
          <w:p w14:paraId="78BF0F5F" w14:textId="77777777" w:rsidR="00BE36FB" w:rsidRPr="009B7B35" w:rsidRDefault="00BE36FB" w:rsidP="001A7107">
            <w:pPr>
              <w:pStyle w:val="TableText"/>
              <w:rPr>
                <w:rFonts w:cs="Arial"/>
              </w:rPr>
            </w:pPr>
            <w:r w:rsidRPr="009B7B35">
              <w:rPr>
                <w:rFonts w:cs="Arial"/>
              </w:rPr>
              <w:t>6 metres wide</w:t>
            </w:r>
          </w:p>
        </w:tc>
      </w:tr>
      <w:tr w:rsidR="00BE36FB" w:rsidRPr="009B7B35" w14:paraId="0E4BF133" w14:textId="77777777" w:rsidTr="001A7107">
        <w:tc>
          <w:tcPr>
            <w:tcW w:w="9356" w:type="dxa"/>
            <w:gridSpan w:val="2"/>
            <w:shd w:val="clear" w:color="auto" w:fill="BFBFBF" w:themeFill="background1" w:themeFillShade="BF"/>
          </w:tcPr>
          <w:p w14:paraId="0B27BB5F" w14:textId="77777777" w:rsidR="00BE36FB" w:rsidRPr="009B7B35" w:rsidRDefault="00BE36FB" w:rsidP="001A7107">
            <w:pPr>
              <w:pStyle w:val="Tableheading"/>
              <w:rPr>
                <w:rFonts w:ascii="Arial" w:hAnsi="Arial" w:cs="Arial"/>
                <w:szCs w:val="20"/>
              </w:rPr>
            </w:pPr>
            <w:r w:rsidRPr="009B7B35">
              <w:rPr>
                <w:rFonts w:ascii="Arial" w:hAnsi="Arial" w:cs="Arial"/>
                <w:szCs w:val="20"/>
              </w:rPr>
              <w:t>Pedestrian and cycle ways</w:t>
            </w:r>
          </w:p>
        </w:tc>
      </w:tr>
      <w:tr w:rsidR="00BE36FB" w:rsidRPr="009B7B35" w14:paraId="2BD55FD1" w14:textId="77777777" w:rsidTr="001A7107">
        <w:tc>
          <w:tcPr>
            <w:tcW w:w="6379" w:type="dxa"/>
          </w:tcPr>
          <w:p w14:paraId="1270E229" w14:textId="77777777" w:rsidR="00BE36FB" w:rsidRPr="009B7B35" w:rsidRDefault="00BE36FB" w:rsidP="001A7107">
            <w:pPr>
              <w:pStyle w:val="TableText"/>
              <w:rPr>
                <w:rFonts w:cs="Arial"/>
              </w:rPr>
            </w:pPr>
            <w:r w:rsidRPr="009B7B35">
              <w:rPr>
                <w:rFonts w:cs="Arial"/>
              </w:rPr>
              <w:t>Pedestrian pathways</w:t>
            </w:r>
          </w:p>
        </w:tc>
        <w:tc>
          <w:tcPr>
            <w:tcW w:w="2977" w:type="dxa"/>
          </w:tcPr>
          <w:p w14:paraId="0FA0EDF4" w14:textId="77777777" w:rsidR="00BE36FB" w:rsidRPr="009B7B35" w:rsidRDefault="00BE36FB" w:rsidP="001A7107">
            <w:pPr>
              <w:pStyle w:val="TableText"/>
              <w:rPr>
                <w:rFonts w:cs="Arial"/>
              </w:rPr>
            </w:pPr>
            <w:r w:rsidRPr="009B7B35">
              <w:rPr>
                <w:rFonts w:cs="Arial"/>
              </w:rPr>
              <w:t>1.2 metres wide</w:t>
            </w:r>
          </w:p>
        </w:tc>
      </w:tr>
      <w:tr w:rsidR="00BE36FB" w:rsidRPr="009B7B35" w14:paraId="008CC47D" w14:textId="77777777" w:rsidTr="001A7107">
        <w:tc>
          <w:tcPr>
            <w:tcW w:w="6379" w:type="dxa"/>
          </w:tcPr>
          <w:p w14:paraId="33C994EA" w14:textId="77777777" w:rsidR="00BE36FB" w:rsidRPr="009B7B35" w:rsidRDefault="00BE36FB" w:rsidP="001A7107">
            <w:pPr>
              <w:pStyle w:val="TableText"/>
              <w:rPr>
                <w:rFonts w:cs="Arial"/>
              </w:rPr>
            </w:pPr>
            <w:r w:rsidRPr="009B7B35">
              <w:rPr>
                <w:rFonts w:cs="Arial"/>
              </w:rPr>
              <w:t>Shared pedestrian/cycle ways/on–site service vehicles</w:t>
            </w:r>
          </w:p>
        </w:tc>
        <w:tc>
          <w:tcPr>
            <w:tcW w:w="2977" w:type="dxa"/>
          </w:tcPr>
          <w:p w14:paraId="5762B37E" w14:textId="77777777" w:rsidR="00BE36FB" w:rsidRPr="009B7B35" w:rsidRDefault="00BE36FB" w:rsidP="001A7107">
            <w:pPr>
              <w:pStyle w:val="TableText"/>
              <w:rPr>
                <w:rFonts w:cs="Arial"/>
              </w:rPr>
            </w:pPr>
            <w:r w:rsidRPr="009B7B35">
              <w:rPr>
                <w:rFonts w:cs="Arial"/>
              </w:rPr>
              <w:t>6 metres wide</w:t>
            </w:r>
          </w:p>
        </w:tc>
      </w:tr>
      <w:tr w:rsidR="00BE36FB" w:rsidRPr="009B7B35" w14:paraId="66D2913C" w14:textId="77777777" w:rsidTr="001A7107">
        <w:tc>
          <w:tcPr>
            <w:tcW w:w="6379" w:type="dxa"/>
          </w:tcPr>
          <w:p w14:paraId="335AAF7A" w14:textId="77777777" w:rsidR="00BE36FB" w:rsidRPr="009B7B35" w:rsidRDefault="00BE36FB" w:rsidP="001A7107">
            <w:pPr>
              <w:pStyle w:val="TableText"/>
              <w:rPr>
                <w:rFonts w:cs="Arial"/>
              </w:rPr>
            </w:pPr>
            <w:r w:rsidRPr="009B7B35">
              <w:rPr>
                <w:rFonts w:cs="Arial"/>
              </w:rPr>
              <w:t>Emergency vehicles</w:t>
            </w:r>
          </w:p>
        </w:tc>
        <w:tc>
          <w:tcPr>
            <w:tcW w:w="2977" w:type="dxa"/>
          </w:tcPr>
          <w:p w14:paraId="390A9A69" w14:textId="77777777" w:rsidR="00BE36FB" w:rsidRPr="009B7B35" w:rsidRDefault="00BE36FB" w:rsidP="001A7107">
            <w:pPr>
              <w:pStyle w:val="TableText"/>
              <w:rPr>
                <w:rFonts w:cs="Arial"/>
              </w:rPr>
            </w:pPr>
            <w:r w:rsidRPr="009B7B35">
              <w:rPr>
                <w:rFonts w:cs="Arial"/>
              </w:rPr>
              <w:t>As required by service</w:t>
            </w:r>
          </w:p>
        </w:tc>
      </w:tr>
      <w:tr w:rsidR="00BE36FB" w:rsidRPr="009B7B35" w14:paraId="45AEA982" w14:textId="77777777" w:rsidTr="001A7107">
        <w:tc>
          <w:tcPr>
            <w:tcW w:w="6379" w:type="dxa"/>
          </w:tcPr>
          <w:p w14:paraId="371AA049" w14:textId="77777777" w:rsidR="00BE36FB" w:rsidRPr="009B7B35" w:rsidRDefault="00BE36FB" w:rsidP="001A7107">
            <w:pPr>
              <w:pStyle w:val="TableText"/>
              <w:rPr>
                <w:rFonts w:cs="Arial"/>
              </w:rPr>
            </w:pPr>
            <w:r w:rsidRPr="009B7B35">
              <w:rPr>
                <w:rFonts w:cs="Arial"/>
              </w:rPr>
              <w:t>Planted buffer strip on either side of uncovered paths</w:t>
            </w:r>
          </w:p>
        </w:tc>
        <w:tc>
          <w:tcPr>
            <w:tcW w:w="2977" w:type="dxa"/>
          </w:tcPr>
          <w:p w14:paraId="1383E32B" w14:textId="77777777" w:rsidR="00BE36FB" w:rsidRPr="009B7B35" w:rsidRDefault="00BE36FB" w:rsidP="001A7107">
            <w:pPr>
              <w:pStyle w:val="TableText"/>
              <w:rPr>
                <w:rFonts w:cs="Arial"/>
              </w:rPr>
            </w:pPr>
          </w:p>
        </w:tc>
      </w:tr>
    </w:tbl>
    <w:p w14:paraId="58A9C59A" w14:textId="77777777" w:rsidR="00BE36FB" w:rsidRPr="009B7B35" w:rsidRDefault="00BE36FB" w:rsidP="007A46D8">
      <w:pPr>
        <w:pStyle w:val="Heading7"/>
        <w:numPr>
          <w:ilvl w:val="6"/>
          <w:numId w:val="834"/>
        </w:numPr>
        <w:rPr>
          <w:rFonts w:cs="Arial"/>
          <w:sz w:val="20"/>
          <w:szCs w:val="20"/>
        </w:rPr>
      </w:pPr>
      <w:bookmarkStart w:id="377" w:name="_Toc205367490"/>
      <w:r w:rsidRPr="009B7B35">
        <w:rPr>
          <w:rFonts w:cs="Arial"/>
          <w:sz w:val="20"/>
          <w:szCs w:val="20"/>
        </w:rPr>
        <w:t>Vehicle parking rates</w:t>
      </w:r>
      <w:bookmarkEnd w:id="377"/>
    </w:p>
    <w:p w14:paraId="040E9BEF" w14:textId="77777777" w:rsidR="00BE36FB" w:rsidRPr="009B7B35" w:rsidRDefault="00BE36FB" w:rsidP="007A46D8">
      <w:pPr>
        <w:pStyle w:val="Heading8"/>
        <w:numPr>
          <w:ilvl w:val="7"/>
          <w:numId w:val="834"/>
        </w:numPr>
        <w:rPr>
          <w:rFonts w:ascii="Arial" w:hAnsi="Arial" w:cs="Arial"/>
          <w:sz w:val="20"/>
        </w:rPr>
      </w:pPr>
      <w:bookmarkStart w:id="378" w:name="_Toc205367491"/>
      <w:r w:rsidRPr="009B7B35">
        <w:rPr>
          <w:rFonts w:ascii="Arial" w:hAnsi="Arial" w:cs="Arial"/>
          <w:sz w:val="20"/>
        </w:rPr>
        <w:t>Application</w:t>
      </w:r>
      <w:bookmarkEnd w:id="378"/>
    </w:p>
    <w:p w14:paraId="3F80E462" w14:textId="77777777" w:rsidR="00BE36FB" w:rsidRPr="009B7B35" w:rsidRDefault="00BE36FB" w:rsidP="001A7107">
      <w:pPr>
        <w:rPr>
          <w:rFonts w:ascii="Arial" w:hAnsi="Arial" w:cs="Arial"/>
          <w:sz w:val="20"/>
          <w:szCs w:val="20"/>
        </w:rPr>
      </w:pPr>
      <w:r w:rsidRPr="009B7B35">
        <w:rPr>
          <w:rFonts w:ascii="Arial" w:hAnsi="Arial" w:cs="Arial"/>
          <w:sz w:val="20"/>
          <w:szCs w:val="20"/>
        </w:rPr>
        <w:t>This planning scheme policy is triggered where assessment is required against the provisions of the Development design code.</w:t>
      </w:r>
    </w:p>
    <w:p w14:paraId="4EC66528" w14:textId="77777777" w:rsidR="00BE36FB" w:rsidRPr="009B7B35" w:rsidRDefault="00BE36FB" w:rsidP="007A46D8">
      <w:pPr>
        <w:pStyle w:val="Heading8"/>
        <w:numPr>
          <w:ilvl w:val="7"/>
          <w:numId w:val="834"/>
        </w:numPr>
        <w:rPr>
          <w:rFonts w:ascii="Arial" w:hAnsi="Arial" w:cs="Arial"/>
          <w:sz w:val="20"/>
        </w:rPr>
      </w:pPr>
      <w:bookmarkStart w:id="379" w:name="_Toc205367492"/>
      <w:r w:rsidRPr="009B7B35">
        <w:rPr>
          <w:rFonts w:ascii="Arial" w:hAnsi="Arial" w:cs="Arial"/>
          <w:sz w:val="20"/>
        </w:rPr>
        <w:t>Purpose</w:t>
      </w:r>
      <w:bookmarkEnd w:id="379"/>
    </w:p>
    <w:p w14:paraId="2C239C67" w14:textId="77777777" w:rsidR="00BE36FB" w:rsidRPr="009B7B35" w:rsidRDefault="00BE36FB" w:rsidP="001A7107">
      <w:pPr>
        <w:rPr>
          <w:rFonts w:ascii="Arial" w:hAnsi="Arial" w:cs="Arial"/>
          <w:sz w:val="20"/>
          <w:szCs w:val="20"/>
        </w:rPr>
      </w:pPr>
      <w:r w:rsidRPr="009B7B35">
        <w:rPr>
          <w:rFonts w:ascii="Arial" w:hAnsi="Arial" w:cs="Arial"/>
          <w:sz w:val="20"/>
          <w:szCs w:val="20"/>
        </w:rPr>
        <w:t>The purpose of the planning scheme policy is to provide adequate levels of on–site parking for development.</w:t>
      </w:r>
    </w:p>
    <w:p w14:paraId="6D33F255" w14:textId="77777777" w:rsidR="00BE36FB" w:rsidRPr="009B7B35" w:rsidRDefault="00BE36FB" w:rsidP="001A7107">
      <w:pPr>
        <w:pStyle w:val="Heading9"/>
        <w:numPr>
          <w:ilvl w:val="0"/>
          <w:numId w:val="0"/>
        </w:numPr>
        <w:rPr>
          <w:rFonts w:cs="Arial"/>
          <w:sz w:val="20"/>
        </w:rPr>
      </w:pPr>
      <w:r w:rsidRPr="009B7B35">
        <w:rPr>
          <w:rFonts w:cs="Arial"/>
          <w:sz w:val="20"/>
        </w:rPr>
        <w:t>Table SC6.10.2.1—Minimum on–site parking rates</w:t>
      </w:r>
    </w:p>
    <w:tbl>
      <w:tblPr>
        <w:tblStyle w:val="Tablestyle"/>
        <w:tblW w:w="9380" w:type="dxa"/>
        <w:tblLook w:val="0620" w:firstRow="1" w:lastRow="0" w:firstColumn="0" w:lastColumn="0" w:noHBand="1" w:noVBand="1"/>
      </w:tblPr>
      <w:tblGrid>
        <w:gridCol w:w="2560"/>
        <w:gridCol w:w="4394"/>
        <w:gridCol w:w="2426"/>
      </w:tblGrid>
      <w:tr w:rsidR="00BE36FB" w:rsidRPr="009B7B35" w14:paraId="147591F4" w14:textId="77777777" w:rsidTr="001A7107">
        <w:trPr>
          <w:cnfStyle w:val="100000000000" w:firstRow="1" w:lastRow="0" w:firstColumn="0" w:lastColumn="0" w:oddVBand="0" w:evenVBand="0" w:oddHBand="0" w:evenHBand="0" w:firstRowFirstColumn="0" w:firstRowLastColumn="0" w:lastRowFirstColumn="0" w:lastRowLastColumn="0"/>
          <w:cantSplit/>
          <w:tblHeader/>
        </w:trPr>
        <w:tc>
          <w:tcPr>
            <w:tcW w:w="2560" w:type="dxa"/>
          </w:tcPr>
          <w:p w14:paraId="7CE49BB0" w14:textId="77777777" w:rsidR="00BE36FB" w:rsidRPr="009B7B35" w:rsidRDefault="00BE36FB" w:rsidP="001A7107">
            <w:pPr>
              <w:pStyle w:val="Tableheading"/>
              <w:rPr>
                <w:rFonts w:ascii="Arial" w:hAnsi="Arial" w:cs="Arial"/>
                <w:szCs w:val="20"/>
              </w:rPr>
            </w:pPr>
            <w:r w:rsidRPr="009B7B35">
              <w:rPr>
                <w:rFonts w:ascii="Arial" w:hAnsi="Arial" w:cs="Arial"/>
                <w:szCs w:val="20"/>
              </w:rPr>
              <w:t>Use</w:t>
            </w:r>
          </w:p>
        </w:tc>
        <w:tc>
          <w:tcPr>
            <w:tcW w:w="4394" w:type="dxa"/>
          </w:tcPr>
          <w:p w14:paraId="6935B608" w14:textId="77777777" w:rsidR="00BE36FB" w:rsidRPr="009B7B35" w:rsidRDefault="00BE36FB" w:rsidP="001A7107">
            <w:pPr>
              <w:pStyle w:val="Tableheading"/>
              <w:rPr>
                <w:rFonts w:ascii="Arial" w:hAnsi="Arial" w:cs="Arial"/>
                <w:szCs w:val="20"/>
              </w:rPr>
            </w:pPr>
            <w:r w:rsidRPr="009B7B35">
              <w:rPr>
                <w:rFonts w:ascii="Arial" w:hAnsi="Arial" w:cs="Arial"/>
                <w:szCs w:val="20"/>
              </w:rPr>
              <w:t>Vehicles</w:t>
            </w:r>
          </w:p>
        </w:tc>
        <w:tc>
          <w:tcPr>
            <w:tcW w:w="2426" w:type="dxa"/>
          </w:tcPr>
          <w:p w14:paraId="4C953DED"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Bicycles </w:t>
            </w:r>
          </w:p>
        </w:tc>
      </w:tr>
      <w:tr w:rsidR="00BE36FB" w:rsidRPr="009B7B35" w14:paraId="41EDB3E1" w14:textId="77777777" w:rsidTr="001A7107">
        <w:trPr>
          <w:cantSplit/>
        </w:trPr>
        <w:tc>
          <w:tcPr>
            <w:tcW w:w="2560" w:type="dxa"/>
          </w:tcPr>
          <w:p w14:paraId="7D6D03D8" w14:textId="77777777" w:rsidR="00BE36FB" w:rsidRPr="009B7B35" w:rsidRDefault="00BE36FB" w:rsidP="001A7107">
            <w:pPr>
              <w:pStyle w:val="TableText"/>
              <w:rPr>
                <w:rFonts w:cs="Arial"/>
              </w:rPr>
            </w:pPr>
            <w:r w:rsidRPr="009B7B35">
              <w:rPr>
                <w:rFonts w:cs="Arial"/>
              </w:rPr>
              <w:t>Agricultural Supplies Store</w:t>
            </w:r>
          </w:p>
        </w:tc>
        <w:tc>
          <w:tcPr>
            <w:tcW w:w="4394" w:type="dxa"/>
          </w:tcPr>
          <w:p w14:paraId="5A397D3D" w14:textId="77777777" w:rsidR="00BE36FB" w:rsidRPr="009B7B35" w:rsidRDefault="00BE36FB" w:rsidP="001A7107">
            <w:pPr>
              <w:pStyle w:val="TableText"/>
              <w:rPr>
                <w:rFonts w:cs="Arial"/>
              </w:rPr>
            </w:pPr>
            <w:r w:rsidRPr="009B7B35">
              <w:rPr>
                <w:rFonts w:cs="Arial"/>
              </w:rPr>
              <w:t>1 space per 50m</w:t>
            </w:r>
            <w:r w:rsidRPr="009B7B35">
              <w:rPr>
                <w:rStyle w:val="StyleSuperscript"/>
                <w:rFonts w:cs="Arial"/>
              </w:rPr>
              <w:t>2</w:t>
            </w:r>
            <w:r w:rsidRPr="009B7B35">
              <w:rPr>
                <w:rFonts w:cs="Arial"/>
              </w:rPr>
              <w:t xml:space="preserve"> of GFA.</w:t>
            </w:r>
          </w:p>
        </w:tc>
        <w:tc>
          <w:tcPr>
            <w:tcW w:w="2426" w:type="dxa"/>
          </w:tcPr>
          <w:p w14:paraId="6A866C18"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6C9715A4" w14:textId="77777777" w:rsidTr="001A7107">
        <w:trPr>
          <w:cantSplit/>
        </w:trPr>
        <w:tc>
          <w:tcPr>
            <w:tcW w:w="2560" w:type="dxa"/>
          </w:tcPr>
          <w:p w14:paraId="571A8C70" w14:textId="77777777" w:rsidR="00BE36FB" w:rsidRPr="009B7B35" w:rsidRDefault="00BE36FB" w:rsidP="001A7107">
            <w:pPr>
              <w:pStyle w:val="TableText"/>
              <w:rPr>
                <w:rFonts w:cs="Arial"/>
              </w:rPr>
            </w:pPr>
            <w:r w:rsidRPr="009B7B35">
              <w:rPr>
                <w:rFonts w:cs="Arial"/>
              </w:rPr>
              <w:t>Air Services</w:t>
            </w:r>
          </w:p>
        </w:tc>
        <w:tc>
          <w:tcPr>
            <w:tcW w:w="4394" w:type="dxa"/>
          </w:tcPr>
          <w:p w14:paraId="308A8C64" w14:textId="77777777" w:rsidR="00BE36FB" w:rsidRPr="009B7B35" w:rsidRDefault="00BE36FB" w:rsidP="001A7107">
            <w:pPr>
              <w:pStyle w:val="TableText"/>
              <w:rPr>
                <w:rFonts w:cs="Arial"/>
              </w:rPr>
            </w:pPr>
            <w:r w:rsidRPr="009B7B35">
              <w:rPr>
                <w:rFonts w:cs="Arial"/>
              </w:rPr>
              <w:t>1 space per employee, plus 10 visitor spaces for the administration building.</w:t>
            </w:r>
          </w:p>
        </w:tc>
        <w:tc>
          <w:tcPr>
            <w:tcW w:w="2426" w:type="dxa"/>
          </w:tcPr>
          <w:p w14:paraId="4E389ACA" w14:textId="77777777" w:rsidR="00BE36FB" w:rsidRPr="009B7B35" w:rsidRDefault="00BE36FB" w:rsidP="001A7107">
            <w:pPr>
              <w:pStyle w:val="TableText"/>
              <w:rPr>
                <w:rFonts w:cs="Arial"/>
              </w:rPr>
            </w:pPr>
            <w:r w:rsidRPr="009B7B35">
              <w:rPr>
                <w:rFonts w:cs="Arial"/>
              </w:rPr>
              <w:t>1 space per 200m</w:t>
            </w:r>
            <w:r w:rsidRPr="009B7B35">
              <w:rPr>
                <w:rStyle w:val="StyleSuperscript"/>
                <w:rFonts w:cs="Arial"/>
              </w:rPr>
              <w:t>2</w:t>
            </w:r>
            <w:r w:rsidRPr="009B7B35">
              <w:rPr>
                <w:rFonts w:cs="Arial"/>
              </w:rPr>
              <w:t xml:space="preserve"> GFA (minimum 4 spaces)</w:t>
            </w:r>
          </w:p>
        </w:tc>
      </w:tr>
      <w:tr w:rsidR="00BE36FB" w:rsidRPr="009B7B35" w14:paraId="209239C5" w14:textId="77777777" w:rsidTr="001A7107">
        <w:trPr>
          <w:cantSplit/>
        </w:trPr>
        <w:tc>
          <w:tcPr>
            <w:tcW w:w="2560" w:type="dxa"/>
          </w:tcPr>
          <w:p w14:paraId="7B2621BF" w14:textId="77777777" w:rsidR="00BE36FB" w:rsidRPr="009B7B35" w:rsidRDefault="00BE36FB" w:rsidP="001A7107">
            <w:pPr>
              <w:pStyle w:val="TableText"/>
              <w:rPr>
                <w:rFonts w:cs="Arial"/>
              </w:rPr>
            </w:pPr>
            <w:r w:rsidRPr="009B7B35">
              <w:rPr>
                <w:rFonts w:cs="Arial"/>
              </w:rPr>
              <w:t>Animal Husbandry</w:t>
            </w:r>
          </w:p>
        </w:tc>
        <w:tc>
          <w:tcPr>
            <w:tcW w:w="4394" w:type="dxa"/>
          </w:tcPr>
          <w:p w14:paraId="00E98F42" w14:textId="77777777" w:rsidR="00BE36FB" w:rsidRPr="009B7B35" w:rsidRDefault="00BE36FB" w:rsidP="001A7107">
            <w:pPr>
              <w:pStyle w:val="TableText"/>
              <w:rPr>
                <w:rFonts w:cs="Arial"/>
              </w:rPr>
            </w:pPr>
            <w:r w:rsidRPr="009B7B35">
              <w:rPr>
                <w:rFonts w:cs="Arial"/>
              </w:rPr>
              <w:t>1 space per 2 employees, plus 2 visitor spaces.</w:t>
            </w:r>
          </w:p>
        </w:tc>
        <w:tc>
          <w:tcPr>
            <w:tcW w:w="2426" w:type="dxa"/>
          </w:tcPr>
          <w:p w14:paraId="1B2975A0" w14:textId="77777777" w:rsidR="00BE36FB" w:rsidRPr="009B7B35" w:rsidRDefault="00BE36FB" w:rsidP="001A7107">
            <w:pPr>
              <w:pStyle w:val="TableText"/>
              <w:rPr>
                <w:rFonts w:cs="Arial"/>
              </w:rPr>
            </w:pPr>
            <w:r w:rsidRPr="009B7B35">
              <w:rPr>
                <w:rFonts w:cs="Arial"/>
              </w:rPr>
              <w:t>Nil</w:t>
            </w:r>
          </w:p>
        </w:tc>
      </w:tr>
      <w:tr w:rsidR="00BE36FB" w:rsidRPr="009B7B35" w14:paraId="2E8BC191" w14:textId="77777777" w:rsidTr="001A7107">
        <w:trPr>
          <w:cantSplit/>
        </w:trPr>
        <w:tc>
          <w:tcPr>
            <w:tcW w:w="2560" w:type="dxa"/>
          </w:tcPr>
          <w:p w14:paraId="24BEF3DA" w14:textId="77777777" w:rsidR="00BE36FB" w:rsidRPr="009B7B35" w:rsidRDefault="00BE36FB" w:rsidP="001A7107">
            <w:pPr>
              <w:pStyle w:val="TableText"/>
              <w:rPr>
                <w:rFonts w:cs="Arial"/>
              </w:rPr>
            </w:pPr>
            <w:r w:rsidRPr="009B7B35">
              <w:rPr>
                <w:rFonts w:cs="Arial"/>
              </w:rPr>
              <w:t>Animal Keeping</w:t>
            </w:r>
          </w:p>
        </w:tc>
        <w:tc>
          <w:tcPr>
            <w:tcW w:w="4394" w:type="dxa"/>
          </w:tcPr>
          <w:p w14:paraId="4C9DB3A5" w14:textId="77777777" w:rsidR="00BE36FB" w:rsidRPr="009B7B35" w:rsidRDefault="00BE36FB" w:rsidP="001A7107">
            <w:pPr>
              <w:pStyle w:val="TableText"/>
              <w:rPr>
                <w:rFonts w:cs="Arial"/>
              </w:rPr>
            </w:pPr>
            <w:r w:rsidRPr="009B7B35">
              <w:rPr>
                <w:rFonts w:cs="Arial"/>
              </w:rPr>
              <w:t>1 space per 2 employees, plus 2 visitor spaces. Minimum of 4 spaces for Cattery and Kennels</w:t>
            </w:r>
          </w:p>
        </w:tc>
        <w:tc>
          <w:tcPr>
            <w:tcW w:w="2426" w:type="dxa"/>
          </w:tcPr>
          <w:p w14:paraId="5901A109" w14:textId="77777777" w:rsidR="00BE36FB" w:rsidRPr="009B7B35" w:rsidRDefault="00BE36FB" w:rsidP="001A7107">
            <w:pPr>
              <w:pStyle w:val="TableText"/>
              <w:rPr>
                <w:rFonts w:cs="Arial"/>
              </w:rPr>
            </w:pPr>
            <w:r w:rsidRPr="009B7B35">
              <w:rPr>
                <w:rFonts w:cs="Arial"/>
              </w:rPr>
              <w:t>Nil</w:t>
            </w:r>
          </w:p>
        </w:tc>
      </w:tr>
      <w:tr w:rsidR="00BE36FB" w:rsidRPr="009B7B35" w14:paraId="3E1D7421" w14:textId="77777777" w:rsidTr="001A7107">
        <w:trPr>
          <w:cantSplit/>
        </w:trPr>
        <w:tc>
          <w:tcPr>
            <w:tcW w:w="2560" w:type="dxa"/>
          </w:tcPr>
          <w:p w14:paraId="428DB5B6" w14:textId="77777777" w:rsidR="00BE36FB" w:rsidRPr="009B7B35" w:rsidRDefault="00BE36FB" w:rsidP="001A7107">
            <w:pPr>
              <w:pStyle w:val="TableText"/>
              <w:rPr>
                <w:rFonts w:cs="Arial"/>
              </w:rPr>
            </w:pPr>
            <w:r w:rsidRPr="009B7B35">
              <w:rPr>
                <w:rFonts w:cs="Arial"/>
              </w:rPr>
              <w:t>Aquaculture</w:t>
            </w:r>
          </w:p>
        </w:tc>
        <w:tc>
          <w:tcPr>
            <w:tcW w:w="4394" w:type="dxa"/>
          </w:tcPr>
          <w:p w14:paraId="5180DF62" w14:textId="77777777" w:rsidR="00BE36FB" w:rsidRPr="009B7B35" w:rsidRDefault="00BE36FB" w:rsidP="001A7107">
            <w:pPr>
              <w:pStyle w:val="TableText"/>
              <w:rPr>
                <w:rFonts w:cs="Arial"/>
              </w:rPr>
            </w:pPr>
            <w:r w:rsidRPr="009B7B35">
              <w:rPr>
                <w:rFonts w:cs="Arial"/>
              </w:rPr>
              <w:t>1 space per 2 employees, plus 2 visitor spaces.</w:t>
            </w:r>
          </w:p>
          <w:p w14:paraId="58068B64" w14:textId="77777777" w:rsidR="00BE36FB" w:rsidRPr="009B7B35" w:rsidRDefault="00BE36FB" w:rsidP="001A7107">
            <w:pPr>
              <w:pStyle w:val="TableText"/>
              <w:rPr>
                <w:rFonts w:cs="Arial"/>
              </w:rPr>
            </w:pPr>
            <w:r w:rsidRPr="009B7B35">
              <w:rPr>
                <w:rFonts w:cs="Arial"/>
              </w:rPr>
              <w:t>Heavy vehicles must be able to be accommodated and turned on site.</w:t>
            </w:r>
          </w:p>
        </w:tc>
        <w:tc>
          <w:tcPr>
            <w:tcW w:w="2426" w:type="dxa"/>
          </w:tcPr>
          <w:p w14:paraId="0E1E5E89" w14:textId="77777777" w:rsidR="00BE36FB" w:rsidRPr="009B7B35" w:rsidRDefault="00BE36FB" w:rsidP="001A7107">
            <w:pPr>
              <w:pStyle w:val="TableText"/>
              <w:rPr>
                <w:rFonts w:cs="Arial"/>
              </w:rPr>
            </w:pPr>
            <w:r w:rsidRPr="009B7B35">
              <w:rPr>
                <w:rFonts w:cs="Arial"/>
              </w:rPr>
              <w:t>Nil</w:t>
            </w:r>
          </w:p>
        </w:tc>
      </w:tr>
      <w:tr w:rsidR="00BE36FB" w:rsidRPr="009B7B35" w14:paraId="5E250D1E" w14:textId="77777777" w:rsidTr="001A7107">
        <w:trPr>
          <w:cantSplit/>
        </w:trPr>
        <w:tc>
          <w:tcPr>
            <w:tcW w:w="2560" w:type="dxa"/>
          </w:tcPr>
          <w:p w14:paraId="0AFCDEF9" w14:textId="77777777" w:rsidR="00BE36FB" w:rsidRPr="009B7B35" w:rsidRDefault="00BE36FB" w:rsidP="001A7107">
            <w:pPr>
              <w:pStyle w:val="TableText"/>
              <w:rPr>
                <w:rFonts w:cs="Arial"/>
              </w:rPr>
            </w:pPr>
            <w:r w:rsidRPr="009B7B35">
              <w:rPr>
                <w:rFonts w:cs="Arial"/>
              </w:rPr>
              <w:t>Bulk Landscape Supplies</w:t>
            </w:r>
          </w:p>
        </w:tc>
        <w:tc>
          <w:tcPr>
            <w:tcW w:w="4394" w:type="dxa"/>
          </w:tcPr>
          <w:p w14:paraId="2202A6CA" w14:textId="77777777" w:rsidR="00BE36FB" w:rsidRPr="009B7B35" w:rsidRDefault="00BE36FB" w:rsidP="001A7107">
            <w:pPr>
              <w:pStyle w:val="TableText"/>
              <w:rPr>
                <w:rFonts w:cs="Arial"/>
              </w:rPr>
            </w:pPr>
            <w:r w:rsidRPr="009B7B35">
              <w:rPr>
                <w:rFonts w:cs="Arial"/>
              </w:rPr>
              <w:t>1 space per 100m</w:t>
            </w:r>
            <w:r w:rsidRPr="009B7B35">
              <w:rPr>
                <w:rStyle w:val="StyleSuperscript"/>
                <w:rFonts w:cs="Arial"/>
              </w:rPr>
              <w:t>2</w:t>
            </w:r>
            <w:r w:rsidRPr="009B7B35">
              <w:rPr>
                <w:rFonts w:cs="Arial"/>
              </w:rPr>
              <w:t xml:space="preserve"> of site area used for display and sale purposes, plus 1 space per employee. Minimum of 6 spaces.</w:t>
            </w:r>
          </w:p>
        </w:tc>
        <w:tc>
          <w:tcPr>
            <w:tcW w:w="2426" w:type="dxa"/>
          </w:tcPr>
          <w:p w14:paraId="5AC54CED" w14:textId="77777777" w:rsidR="00BE36FB" w:rsidRPr="009B7B35" w:rsidRDefault="00BE36FB" w:rsidP="001A7107">
            <w:pPr>
              <w:pStyle w:val="TableText"/>
              <w:rPr>
                <w:rFonts w:cs="Arial"/>
              </w:rPr>
            </w:pPr>
            <w:r w:rsidRPr="009B7B35">
              <w:rPr>
                <w:rFonts w:cs="Arial"/>
              </w:rPr>
              <w:t>Nil</w:t>
            </w:r>
          </w:p>
        </w:tc>
      </w:tr>
      <w:tr w:rsidR="00BE36FB" w:rsidRPr="009B7B35" w14:paraId="33EB4A19" w14:textId="77777777" w:rsidTr="001A7107">
        <w:trPr>
          <w:cantSplit/>
        </w:trPr>
        <w:tc>
          <w:tcPr>
            <w:tcW w:w="2560" w:type="dxa"/>
          </w:tcPr>
          <w:p w14:paraId="4E751CC0" w14:textId="77777777" w:rsidR="00BE36FB" w:rsidRPr="009B7B35" w:rsidRDefault="00BE36FB" w:rsidP="001A7107">
            <w:pPr>
              <w:pStyle w:val="TableText"/>
              <w:rPr>
                <w:rFonts w:cs="Arial"/>
              </w:rPr>
            </w:pPr>
            <w:r w:rsidRPr="009B7B35">
              <w:rPr>
                <w:rFonts w:cs="Arial"/>
              </w:rPr>
              <w:t>Car Wash</w:t>
            </w:r>
          </w:p>
        </w:tc>
        <w:tc>
          <w:tcPr>
            <w:tcW w:w="4394" w:type="dxa"/>
          </w:tcPr>
          <w:p w14:paraId="7DDCDE51" w14:textId="77777777" w:rsidR="00BE36FB" w:rsidRPr="009B7B35" w:rsidRDefault="00BE36FB" w:rsidP="001A7107">
            <w:pPr>
              <w:pStyle w:val="TableText"/>
              <w:rPr>
                <w:rFonts w:cs="Arial"/>
              </w:rPr>
            </w:pPr>
            <w:r w:rsidRPr="009B7B35">
              <w:rPr>
                <w:rFonts w:cs="Arial"/>
              </w:rPr>
              <w:t>1 space per service bay. Queuing space, clear of the road reserve, for 4 vehicles.</w:t>
            </w:r>
          </w:p>
        </w:tc>
        <w:tc>
          <w:tcPr>
            <w:tcW w:w="2426" w:type="dxa"/>
          </w:tcPr>
          <w:p w14:paraId="1D49D133" w14:textId="77777777" w:rsidR="00BE36FB" w:rsidRPr="009B7B35" w:rsidRDefault="00BE36FB" w:rsidP="001A7107">
            <w:pPr>
              <w:pStyle w:val="TableText"/>
              <w:rPr>
                <w:rFonts w:cs="Arial"/>
              </w:rPr>
            </w:pPr>
            <w:r w:rsidRPr="009B7B35">
              <w:rPr>
                <w:rFonts w:cs="Arial"/>
              </w:rPr>
              <w:t>Nil</w:t>
            </w:r>
          </w:p>
        </w:tc>
      </w:tr>
      <w:tr w:rsidR="00BE36FB" w:rsidRPr="009B7B35" w14:paraId="2784409C" w14:textId="77777777" w:rsidTr="001A7107">
        <w:trPr>
          <w:cantSplit/>
        </w:trPr>
        <w:tc>
          <w:tcPr>
            <w:tcW w:w="2560" w:type="dxa"/>
          </w:tcPr>
          <w:p w14:paraId="6486803D" w14:textId="77777777" w:rsidR="00BE36FB" w:rsidRPr="009B7B35" w:rsidRDefault="00BE36FB" w:rsidP="001A7107">
            <w:pPr>
              <w:pStyle w:val="TableText"/>
              <w:rPr>
                <w:rFonts w:cs="Arial"/>
              </w:rPr>
            </w:pPr>
            <w:r w:rsidRPr="009B7B35">
              <w:rPr>
                <w:rFonts w:cs="Arial"/>
              </w:rPr>
              <w:t>Caretaker's Residence</w:t>
            </w:r>
          </w:p>
        </w:tc>
        <w:tc>
          <w:tcPr>
            <w:tcW w:w="4394" w:type="dxa"/>
          </w:tcPr>
          <w:p w14:paraId="16F2983A" w14:textId="77777777" w:rsidR="00BE36FB" w:rsidRPr="009B7B35" w:rsidRDefault="00BE36FB" w:rsidP="001A7107">
            <w:pPr>
              <w:pStyle w:val="TableText"/>
              <w:rPr>
                <w:rFonts w:cs="Arial"/>
              </w:rPr>
            </w:pPr>
            <w:r w:rsidRPr="009B7B35">
              <w:rPr>
                <w:rFonts w:cs="Arial"/>
              </w:rPr>
              <w:t>1 space, adjacent to the residence.</w:t>
            </w:r>
          </w:p>
        </w:tc>
        <w:tc>
          <w:tcPr>
            <w:tcW w:w="2426" w:type="dxa"/>
          </w:tcPr>
          <w:p w14:paraId="73C6AA68" w14:textId="77777777" w:rsidR="00BE36FB" w:rsidRPr="009B7B35" w:rsidRDefault="00BE36FB" w:rsidP="001A7107">
            <w:pPr>
              <w:pStyle w:val="TableText"/>
              <w:rPr>
                <w:rFonts w:cs="Arial"/>
              </w:rPr>
            </w:pPr>
            <w:r w:rsidRPr="009B7B35">
              <w:rPr>
                <w:rFonts w:cs="Arial"/>
              </w:rPr>
              <w:t>Nil</w:t>
            </w:r>
          </w:p>
        </w:tc>
      </w:tr>
      <w:tr w:rsidR="00BE36FB" w:rsidRPr="009B7B35" w14:paraId="2F8C5C82" w14:textId="77777777" w:rsidTr="001A7107">
        <w:trPr>
          <w:cantSplit/>
        </w:trPr>
        <w:tc>
          <w:tcPr>
            <w:tcW w:w="2560" w:type="dxa"/>
          </w:tcPr>
          <w:p w14:paraId="17AF58A5" w14:textId="77777777" w:rsidR="00BE36FB" w:rsidRPr="009B7B35" w:rsidRDefault="00BE36FB" w:rsidP="001A7107">
            <w:pPr>
              <w:pStyle w:val="TableText"/>
              <w:rPr>
                <w:rFonts w:cs="Arial"/>
              </w:rPr>
            </w:pPr>
            <w:r w:rsidRPr="009B7B35">
              <w:rPr>
                <w:rFonts w:cs="Arial"/>
              </w:rPr>
              <w:t>Cemetery</w:t>
            </w:r>
          </w:p>
        </w:tc>
        <w:tc>
          <w:tcPr>
            <w:tcW w:w="4394" w:type="dxa"/>
          </w:tcPr>
          <w:p w14:paraId="3CE87FB8" w14:textId="77777777" w:rsidR="00BE36FB" w:rsidRPr="009B7B35" w:rsidRDefault="00BE36FB" w:rsidP="001A7107">
            <w:pPr>
              <w:pStyle w:val="TableText"/>
              <w:rPr>
                <w:rFonts w:cs="Arial"/>
              </w:rPr>
            </w:pPr>
            <w:r w:rsidRPr="009B7B35">
              <w:rPr>
                <w:rFonts w:cs="Arial"/>
              </w:rPr>
              <w:t>10 spaces otherwise adequate spaces in accordance with a traffic management plan.</w:t>
            </w:r>
          </w:p>
        </w:tc>
        <w:tc>
          <w:tcPr>
            <w:tcW w:w="2426" w:type="dxa"/>
          </w:tcPr>
          <w:p w14:paraId="3E787E26" w14:textId="77777777" w:rsidR="00BE36FB" w:rsidRPr="009B7B35" w:rsidRDefault="00BE36FB" w:rsidP="001A7107">
            <w:pPr>
              <w:pStyle w:val="TableText"/>
              <w:rPr>
                <w:rFonts w:cs="Arial"/>
              </w:rPr>
            </w:pPr>
            <w:r w:rsidRPr="009B7B35">
              <w:rPr>
                <w:rFonts w:cs="Arial"/>
              </w:rPr>
              <w:t>Minimum 4 spaces</w:t>
            </w:r>
          </w:p>
        </w:tc>
      </w:tr>
      <w:tr w:rsidR="00BE36FB" w:rsidRPr="009B7B35" w14:paraId="534A9C31" w14:textId="77777777" w:rsidTr="001A7107">
        <w:trPr>
          <w:cantSplit/>
        </w:trPr>
        <w:tc>
          <w:tcPr>
            <w:tcW w:w="2560" w:type="dxa"/>
          </w:tcPr>
          <w:p w14:paraId="36C5C5DD" w14:textId="77777777" w:rsidR="00BE36FB" w:rsidRPr="009B7B35" w:rsidRDefault="00BE36FB" w:rsidP="001A7107">
            <w:pPr>
              <w:pStyle w:val="TableText"/>
              <w:rPr>
                <w:rFonts w:cs="Arial"/>
              </w:rPr>
            </w:pPr>
            <w:r w:rsidRPr="009B7B35">
              <w:rPr>
                <w:rFonts w:cs="Arial"/>
              </w:rPr>
              <w:t>Child Care Centre</w:t>
            </w:r>
          </w:p>
        </w:tc>
        <w:tc>
          <w:tcPr>
            <w:tcW w:w="4394" w:type="dxa"/>
          </w:tcPr>
          <w:p w14:paraId="5C447292" w14:textId="77777777" w:rsidR="00BE36FB" w:rsidRPr="009B7B35" w:rsidRDefault="00BE36FB" w:rsidP="001A7107">
            <w:pPr>
              <w:pStyle w:val="TableText"/>
              <w:rPr>
                <w:rFonts w:cs="Arial"/>
              </w:rPr>
            </w:pPr>
            <w:r w:rsidRPr="009B7B35">
              <w:rPr>
                <w:rFonts w:cs="Arial"/>
              </w:rPr>
              <w:t>1 space per full time equivalent employees; plus 1 space per 5 children able to be accommodated on the site.</w:t>
            </w:r>
          </w:p>
          <w:p w14:paraId="48EC2939" w14:textId="77777777" w:rsidR="00BE36FB" w:rsidRPr="009B7B35" w:rsidRDefault="00BE36FB" w:rsidP="001A7107">
            <w:pPr>
              <w:pStyle w:val="TableText"/>
              <w:rPr>
                <w:rFonts w:cs="Arial"/>
              </w:rPr>
            </w:pPr>
            <w:r w:rsidRPr="009B7B35">
              <w:rPr>
                <w:rFonts w:cs="Arial"/>
              </w:rPr>
              <w:t>Provision is to be made for the setting down and picking up of children.</w:t>
            </w:r>
          </w:p>
        </w:tc>
        <w:tc>
          <w:tcPr>
            <w:tcW w:w="2426" w:type="dxa"/>
          </w:tcPr>
          <w:p w14:paraId="26F655E9" w14:textId="77777777" w:rsidR="00BE36FB" w:rsidRPr="009B7B35" w:rsidRDefault="00BE36FB" w:rsidP="001A7107">
            <w:pPr>
              <w:pStyle w:val="TableText"/>
              <w:rPr>
                <w:rFonts w:cs="Arial"/>
              </w:rPr>
            </w:pPr>
            <w:r w:rsidRPr="009B7B35">
              <w:rPr>
                <w:rFonts w:cs="Arial"/>
              </w:rPr>
              <w:t>1 space per 100m</w:t>
            </w:r>
            <w:r w:rsidRPr="009B7B35">
              <w:rPr>
                <w:rStyle w:val="StyleSuperscript"/>
                <w:rFonts w:cs="Arial"/>
              </w:rPr>
              <w:t>2</w:t>
            </w:r>
            <w:r w:rsidRPr="009B7B35">
              <w:rPr>
                <w:rFonts w:cs="Arial"/>
              </w:rPr>
              <w:t xml:space="preserve"> GFA (minimum 4 spaces)</w:t>
            </w:r>
          </w:p>
        </w:tc>
      </w:tr>
      <w:tr w:rsidR="00BE36FB" w:rsidRPr="009B7B35" w14:paraId="233D2E69" w14:textId="77777777" w:rsidTr="001A7107">
        <w:trPr>
          <w:cantSplit/>
        </w:trPr>
        <w:tc>
          <w:tcPr>
            <w:tcW w:w="2560" w:type="dxa"/>
          </w:tcPr>
          <w:p w14:paraId="7056E7C1" w14:textId="77777777" w:rsidR="00BE36FB" w:rsidRPr="009B7B35" w:rsidRDefault="00BE36FB" w:rsidP="001A7107">
            <w:pPr>
              <w:pStyle w:val="TableText"/>
              <w:rPr>
                <w:rFonts w:cs="Arial"/>
              </w:rPr>
            </w:pPr>
            <w:r w:rsidRPr="009B7B35">
              <w:rPr>
                <w:rFonts w:cs="Arial"/>
              </w:rPr>
              <w:t>Club/Bar/Hotel/Nightclub</w:t>
            </w:r>
          </w:p>
        </w:tc>
        <w:tc>
          <w:tcPr>
            <w:tcW w:w="4394" w:type="dxa"/>
          </w:tcPr>
          <w:p w14:paraId="5105BCCA" w14:textId="77777777" w:rsidR="00BE36FB" w:rsidRPr="009B7B35" w:rsidRDefault="00BE36FB" w:rsidP="001A7107">
            <w:pPr>
              <w:pStyle w:val="TableText"/>
              <w:rPr>
                <w:rFonts w:cs="Arial"/>
              </w:rPr>
            </w:pPr>
            <w:r w:rsidRPr="009B7B35">
              <w:rPr>
                <w:rFonts w:cs="Arial"/>
              </w:rPr>
              <w:t>Principal centre zone: 1 space per 30m</w:t>
            </w:r>
            <w:r w:rsidRPr="009B7B35">
              <w:rPr>
                <w:rFonts w:cs="Arial"/>
                <w:vertAlign w:val="superscript"/>
              </w:rPr>
              <w:t>2</w:t>
            </w:r>
            <w:r w:rsidRPr="009B7B35">
              <w:rPr>
                <w:rFonts w:cs="Arial"/>
              </w:rPr>
              <w:t>.</w:t>
            </w:r>
          </w:p>
          <w:p w14:paraId="64287DF4" w14:textId="77777777" w:rsidR="00BE36FB" w:rsidRPr="009B7B35" w:rsidRDefault="00BE36FB" w:rsidP="001A7107">
            <w:pPr>
              <w:pStyle w:val="TableText"/>
              <w:rPr>
                <w:rFonts w:cs="Arial"/>
              </w:rPr>
            </w:pPr>
            <w:r w:rsidRPr="009B7B35">
              <w:rPr>
                <w:rFonts w:cs="Arial"/>
              </w:rPr>
              <w:t>All other zones:</w:t>
            </w:r>
          </w:p>
          <w:p w14:paraId="0074DB0D" w14:textId="77777777" w:rsidR="00BE36FB" w:rsidRPr="009B7B35" w:rsidRDefault="00BE36FB" w:rsidP="001A7107">
            <w:pPr>
              <w:pStyle w:val="TableText"/>
              <w:rPr>
                <w:rFonts w:cs="Arial"/>
              </w:rPr>
            </w:pPr>
            <w:r w:rsidRPr="009B7B35">
              <w:rPr>
                <w:rFonts w:cs="Arial"/>
              </w:rPr>
              <w:t>1 space per 20m</w:t>
            </w:r>
            <w:r w:rsidRPr="009B7B35">
              <w:rPr>
                <w:rStyle w:val="StyleSuperscript"/>
                <w:rFonts w:cs="Arial"/>
              </w:rPr>
              <w:t>2</w:t>
            </w:r>
            <w:r w:rsidRPr="009B7B35">
              <w:rPr>
                <w:rFonts w:cs="Arial"/>
              </w:rPr>
              <w:t xml:space="preserve"> GFA, plus 1 space per 15m</w:t>
            </w:r>
            <w:r w:rsidRPr="009B7B35">
              <w:rPr>
                <w:rStyle w:val="StyleSuperscript"/>
                <w:rFonts w:cs="Arial"/>
              </w:rPr>
              <w:t>2</w:t>
            </w:r>
            <w:r w:rsidRPr="009B7B35">
              <w:rPr>
                <w:rFonts w:cs="Arial"/>
              </w:rPr>
              <w:t xml:space="preserve"> GFA of bar, lounge, gaming and dining area. Queuing space, clear of the road reserve, for 12 vehicles in any drive–in bottle department.</w:t>
            </w:r>
          </w:p>
        </w:tc>
        <w:tc>
          <w:tcPr>
            <w:tcW w:w="2426" w:type="dxa"/>
          </w:tcPr>
          <w:p w14:paraId="1E043A4C" w14:textId="77777777" w:rsidR="00BE36FB" w:rsidRPr="009B7B35" w:rsidRDefault="00BE36FB" w:rsidP="001A7107">
            <w:pPr>
              <w:pStyle w:val="TableText"/>
              <w:rPr>
                <w:rFonts w:cs="Arial"/>
              </w:rPr>
            </w:pPr>
            <w:r w:rsidRPr="009B7B35">
              <w:rPr>
                <w:rFonts w:cs="Arial"/>
              </w:rPr>
              <w:t>Club/Bar/Hotel – 1 space per 400m</w:t>
            </w:r>
            <w:r w:rsidRPr="009B7B35">
              <w:rPr>
                <w:rStyle w:val="StyleSuperscript"/>
                <w:rFonts w:cs="Arial"/>
              </w:rPr>
              <w:t>2</w:t>
            </w:r>
            <w:r w:rsidRPr="009B7B35">
              <w:rPr>
                <w:rFonts w:cs="Arial"/>
              </w:rPr>
              <w:t xml:space="preserve"> GFA (minimum 4 spaces)</w:t>
            </w:r>
          </w:p>
        </w:tc>
      </w:tr>
      <w:tr w:rsidR="00BE36FB" w:rsidRPr="009B7B35" w14:paraId="4F69F5EB" w14:textId="77777777" w:rsidTr="001A7107">
        <w:trPr>
          <w:cantSplit/>
        </w:trPr>
        <w:tc>
          <w:tcPr>
            <w:tcW w:w="2560" w:type="dxa"/>
          </w:tcPr>
          <w:p w14:paraId="7D2A24FB" w14:textId="77777777" w:rsidR="00BE36FB" w:rsidRPr="009B7B35" w:rsidRDefault="00BE36FB" w:rsidP="001A7107">
            <w:pPr>
              <w:pStyle w:val="TableText"/>
              <w:rPr>
                <w:rFonts w:cs="Arial"/>
              </w:rPr>
            </w:pPr>
            <w:r w:rsidRPr="009B7B35">
              <w:rPr>
                <w:rFonts w:cs="Arial"/>
              </w:rPr>
              <w:t>Community Use</w:t>
            </w:r>
          </w:p>
        </w:tc>
        <w:tc>
          <w:tcPr>
            <w:tcW w:w="4394" w:type="dxa"/>
          </w:tcPr>
          <w:p w14:paraId="54D9A788" w14:textId="77777777" w:rsidR="00BE36FB" w:rsidRPr="009B7B35" w:rsidRDefault="00BE36FB" w:rsidP="001A7107">
            <w:pPr>
              <w:pStyle w:val="TableText"/>
              <w:rPr>
                <w:rFonts w:cs="Arial"/>
              </w:rPr>
            </w:pPr>
            <w:r w:rsidRPr="009B7B35">
              <w:rPr>
                <w:rFonts w:cs="Arial"/>
              </w:rPr>
              <w:t>1 space per 50m</w:t>
            </w:r>
            <w:r w:rsidRPr="009B7B35">
              <w:rPr>
                <w:rStyle w:val="StyleSuperscript"/>
                <w:rFonts w:cs="Arial"/>
              </w:rPr>
              <w:t>2</w:t>
            </w:r>
            <w:r w:rsidRPr="009B7B35">
              <w:rPr>
                <w:rFonts w:cs="Arial"/>
              </w:rPr>
              <w:t xml:space="preserve"> of GFA</w:t>
            </w:r>
          </w:p>
        </w:tc>
        <w:tc>
          <w:tcPr>
            <w:tcW w:w="2426" w:type="dxa"/>
          </w:tcPr>
          <w:p w14:paraId="3CFCF5AE"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4CAF3821" w14:textId="77777777" w:rsidTr="001A7107">
        <w:trPr>
          <w:cantSplit/>
        </w:trPr>
        <w:tc>
          <w:tcPr>
            <w:tcW w:w="2560" w:type="dxa"/>
          </w:tcPr>
          <w:p w14:paraId="2F0C0CD1" w14:textId="77777777" w:rsidR="00BE36FB" w:rsidRPr="009B7B35" w:rsidRDefault="00BE36FB" w:rsidP="001A7107">
            <w:pPr>
              <w:pStyle w:val="TableText"/>
              <w:rPr>
                <w:rFonts w:cs="Arial"/>
              </w:rPr>
            </w:pPr>
            <w:r w:rsidRPr="009B7B35">
              <w:rPr>
                <w:rFonts w:cs="Arial"/>
              </w:rPr>
              <w:t>Dual Occupancy</w:t>
            </w:r>
          </w:p>
        </w:tc>
        <w:tc>
          <w:tcPr>
            <w:tcW w:w="4394" w:type="dxa"/>
          </w:tcPr>
          <w:p w14:paraId="7C547C99" w14:textId="77777777" w:rsidR="00BE36FB" w:rsidRPr="009B7B35" w:rsidRDefault="00BE36FB" w:rsidP="001A7107">
            <w:pPr>
              <w:pStyle w:val="TableText"/>
              <w:rPr>
                <w:rFonts w:cs="Arial"/>
              </w:rPr>
            </w:pPr>
            <w:r w:rsidRPr="009B7B35">
              <w:rPr>
                <w:rFonts w:cs="Arial"/>
              </w:rPr>
              <w:t>2 spaces per dwelling</w:t>
            </w:r>
          </w:p>
        </w:tc>
        <w:tc>
          <w:tcPr>
            <w:tcW w:w="2426" w:type="dxa"/>
          </w:tcPr>
          <w:p w14:paraId="503CEF25" w14:textId="77777777" w:rsidR="00BE36FB" w:rsidRPr="009B7B35" w:rsidRDefault="00BE36FB" w:rsidP="001A7107">
            <w:pPr>
              <w:pStyle w:val="TableText"/>
              <w:rPr>
                <w:rFonts w:cs="Arial"/>
              </w:rPr>
            </w:pPr>
            <w:r w:rsidRPr="009B7B35">
              <w:rPr>
                <w:rFonts w:cs="Arial"/>
              </w:rPr>
              <w:t>Nil</w:t>
            </w:r>
          </w:p>
        </w:tc>
      </w:tr>
      <w:tr w:rsidR="00BE36FB" w:rsidRPr="009B7B35" w14:paraId="1AC76AB0" w14:textId="77777777" w:rsidTr="001A7107">
        <w:trPr>
          <w:cantSplit/>
        </w:trPr>
        <w:tc>
          <w:tcPr>
            <w:tcW w:w="2560" w:type="dxa"/>
          </w:tcPr>
          <w:p w14:paraId="79093415" w14:textId="77777777" w:rsidR="00BE36FB" w:rsidRPr="009B7B35" w:rsidRDefault="00BE36FB" w:rsidP="001A7107">
            <w:pPr>
              <w:pStyle w:val="TableText"/>
              <w:rPr>
                <w:rFonts w:cs="Arial"/>
              </w:rPr>
            </w:pPr>
            <w:r w:rsidRPr="009B7B35">
              <w:rPr>
                <w:rFonts w:cs="Arial"/>
              </w:rPr>
              <w:t xml:space="preserve">Dwelling House </w:t>
            </w:r>
          </w:p>
        </w:tc>
        <w:tc>
          <w:tcPr>
            <w:tcW w:w="4394" w:type="dxa"/>
          </w:tcPr>
          <w:p w14:paraId="7120119F" w14:textId="77777777" w:rsidR="00BE36FB" w:rsidRPr="009B7B35" w:rsidRDefault="00BE36FB" w:rsidP="001A7107">
            <w:pPr>
              <w:pStyle w:val="TableText"/>
              <w:rPr>
                <w:rFonts w:cs="Arial"/>
              </w:rPr>
            </w:pPr>
            <w:r w:rsidRPr="009B7B35">
              <w:rPr>
                <w:rFonts w:cs="Arial"/>
              </w:rPr>
              <w:t>2 spaces per dwelling</w:t>
            </w:r>
          </w:p>
        </w:tc>
        <w:tc>
          <w:tcPr>
            <w:tcW w:w="2426" w:type="dxa"/>
          </w:tcPr>
          <w:p w14:paraId="7650F4AC" w14:textId="77777777" w:rsidR="00BE36FB" w:rsidRPr="009B7B35" w:rsidRDefault="00BE36FB" w:rsidP="001A7107">
            <w:pPr>
              <w:pStyle w:val="TableText"/>
              <w:rPr>
                <w:rFonts w:cs="Arial"/>
              </w:rPr>
            </w:pPr>
            <w:r w:rsidRPr="009B7B35">
              <w:rPr>
                <w:rFonts w:cs="Arial"/>
              </w:rPr>
              <w:t>Nil</w:t>
            </w:r>
          </w:p>
        </w:tc>
      </w:tr>
      <w:tr w:rsidR="00BE36FB" w:rsidRPr="009B7B35" w14:paraId="6A614854" w14:textId="77777777" w:rsidTr="001A7107">
        <w:trPr>
          <w:cantSplit/>
        </w:trPr>
        <w:tc>
          <w:tcPr>
            <w:tcW w:w="2560" w:type="dxa"/>
          </w:tcPr>
          <w:p w14:paraId="6F54B3AF" w14:textId="77777777" w:rsidR="00BE36FB" w:rsidRPr="009B7B35" w:rsidRDefault="00BE36FB" w:rsidP="001A7107">
            <w:pPr>
              <w:pStyle w:val="TableText"/>
              <w:rPr>
                <w:rFonts w:cs="Arial"/>
              </w:rPr>
            </w:pPr>
            <w:r w:rsidRPr="009B7B35">
              <w:rPr>
                <w:rFonts w:cs="Arial"/>
              </w:rPr>
              <w:t>Educational Establishment</w:t>
            </w:r>
          </w:p>
        </w:tc>
        <w:tc>
          <w:tcPr>
            <w:tcW w:w="4394" w:type="dxa"/>
          </w:tcPr>
          <w:p w14:paraId="1F7E20EF" w14:textId="77777777" w:rsidR="00BE36FB" w:rsidRPr="009B7B35" w:rsidRDefault="00BE36FB" w:rsidP="001A7107">
            <w:pPr>
              <w:pStyle w:val="TableText"/>
              <w:rPr>
                <w:rFonts w:cs="Arial"/>
              </w:rPr>
            </w:pPr>
            <w:r w:rsidRPr="009B7B35">
              <w:rPr>
                <w:rFonts w:cs="Arial"/>
              </w:rPr>
              <w:t>1 car space per 50m</w:t>
            </w:r>
            <w:r w:rsidRPr="009B7B35">
              <w:rPr>
                <w:rStyle w:val="StyleSuperscript"/>
                <w:rFonts w:cs="Arial"/>
              </w:rPr>
              <w:t>2</w:t>
            </w:r>
            <w:r w:rsidRPr="009B7B35">
              <w:rPr>
                <w:rFonts w:cs="Arial"/>
              </w:rPr>
              <w:t xml:space="preserve"> of gross floor area, plus an off–street area sufficient in size to accommodate three vehicles for pick–up and sit–down purposes.</w:t>
            </w:r>
          </w:p>
        </w:tc>
        <w:tc>
          <w:tcPr>
            <w:tcW w:w="2426" w:type="dxa"/>
          </w:tcPr>
          <w:p w14:paraId="44C23B14" w14:textId="77777777" w:rsidR="00BE36FB" w:rsidRPr="009B7B35" w:rsidRDefault="00BE36FB" w:rsidP="001A7107">
            <w:pPr>
              <w:pStyle w:val="TableText"/>
              <w:rPr>
                <w:rFonts w:cs="Arial"/>
              </w:rPr>
            </w:pPr>
            <w:r w:rsidRPr="009B7B35">
              <w:rPr>
                <w:rFonts w:cs="Arial"/>
              </w:rPr>
              <w:t>1 space per 100m</w:t>
            </w:r>
            <w:r w:rsidRPr="009B7B35">
              <w:rPr>
                <w:rStyle w:val="StyleSuperscript"/>
                <w:rFonts w:cs="Arial"/>
              </w:rPr>
              <w:t>2</w:t>
            </w:r>
            <w:r w:rsidRPr="009B7B35">
              <w:rPr>
                <w:rFonts w:cs="Arial"/>
              </w:rPr>
              <w:t xml:space="preserve"> GFA OR for a tertiary education facility, the number of bicycle spaces specified in MP 4.1 (Sustainable buildings) of the QDC, whichever is the greater (minimum 6 spaces)</w:t>
            </w:r>
          </w:p>
        </w:tc>
      </w:tr>
      <w:tr w:rsidR="00BE36FB" w:rsidRPr="009B7B35" w14:paraId="4A858FD9" w14:textId="77777777" w:rsidTr="001A7107">
        <w:trPr>
          <w:cantSplit/>
        </w:trPr>
        <w:tc>
          <w:tcPr>
            <w:tcW w:w="2560" w:type="dxa"/>
          </w:tcPr>
          <w:p w14:paraId="3120A518" w14:textId="77777777" w:rsidR="00BE36FB" w:rsidRPr="009B7B35" w:rsidRDefault="00BE36FB" w:rsidP="001A7107">
            <w:pPr>
              <w:pStyle w:val="TableText"/>
              <w:rPr>
                <w:rFonts w:cs="Arial"/>
              </w:rPr>
            </w:pPr>
            <w:r w:rsidRPr="009B7B35">
              <w:rPr>
                <w:rFonts w:cs="Arial"/>
              </w:rPr>
              <w:t>Emergency Services</w:t>
            </w:r>
          </w:p>
        </w:tc>
        <w:tc>
          <w:tcPr>
            <w:tcW w:w="4394" w:type="dxa"/>
          </w:tcPr>
          <w:p w14:paraId="4C6A56BF" w14:textId="77777777" w:rsidR="00BE36FB" w:rsidRPr="009B7B35" w:rsidRDefault="00BE36FB" w:rsidP="001A7107">
            <w:pPr>
              <w:pStyle w:val="TableText"/>
              <w:rPr>
                <w:rFonts w:cs="Arial"/>
              </w:rPr>
            </w:pPr>
            <w:r w:rsidRPr="009B7B35">
              <w:rPr>
                <w:rFonts w:cs="Arial"/>
              </w:rPr>
              <w:t>1 space per 50m</w:t>
            </w:r>
            <w:r w:rsidRPr="009B7B35">
              <w:rPr>
                <w:rStyle w:val="StyleSuperscript"/>
                <w:rFonts w:cs="Arial"/>
              </w:rPr>
              <w:t>2</w:t>
            </w:r>
            <w:r w:rsidRPr="009B7B35">
              <w:rPr>
                <w:rFonts w:cs="Arial"/>
              </w:rPr>
              <w:t xml:space="preserve"> of GFA, otherwise sufficient spaces to accommodate the amount of vehicular traffic, including emergency vehicle access, likely to be generated by the particular use in accordance with a traffic management plan.</w:t>
            </w:r>
          </w:p>
        </w:tc>
        <w:tc>
          <w:tcPr>
            <w:tcW w:w="2426" w:type="dxa"/>
          </w:tcPr>
          <w:p w14:paraId="268EACBD"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0989A24C" w14:textId="77777777" w:rsidTr="001A7107">
        <w:trPr>
          <w:cantSplit/>
        </w:trPr>
        <w:tc>
          <w:tcPr>
            <w:tcW w:w="2560" w:type="dxa"/>
          </w:tcPr>
          <w:p w14:paraId="00EC52B9" w14:textId="77777777" w:rsidR="00BE36FB" w:rsidRPr="009B7B35" w:rsidRDefault="00BE36FB" w:rsidP="001A7107">
            <w:pPr>
              <w:pStyle w:val="TableText"/>
              <w:rPr>
                <w:rFonts w:cs="Arial"/>
              </w:rPr>
            </w:pPr>
            <w:r w:rsidRPr="009B7B35">
              <w:rPr>
                <w:rFonts w:cs="Arial"/>
              </w:rPr>
              <w:t>Extractive Industry</w:t>
            </w:r>
          </w:p>
        </w:tc>
        <w:tc>
          <w:tcPr>
            <w:tcW w:w="4394" w:type="dxa"/>
          </w:tcPr>
          <w:p w14:paraId="052E4359" w14:textId="77777777" w:rsidR="00BE36FB" w:rsidRPr="009B7B35" w:rsidRDefault="00BE36FB" w:rsidP="001A7107">
            <w:pPr>
              <w:pStyle w:val="TableText"/>
              <w:rPr>
                <w:rFonts w:cs="Arial"/>
              </w:rPr>
            </w:pPr>
            <w:r w:rsidRPr="009B7B35">
              <w:rPr>
                <w:rFonts w:cs="Arial"/>
              </w:rPr>
              <w:t>1 space per 2 employees, plus 2 visitor spaces. Heavy vehicles must be able to be accommodated and turned on site.</w:t>
            </w:r>
          </w:p>
        </w:tc>
        <w:tc>
          <w:tcPr>
            <w:tcW w:w="2426" w:type="dxa"/>
          </w:tcPr>
          <w:p w14:paraId="5ADA7364" w14:textId="77777777" w:rsidR="00BE36FB" w:rsidRPr="009B7B35" w:rsidRDefault="00BE36FB" w:rsidP="001A7107">
            <w:pPr>
              <w:pStyle w:val="TableText"/>
              <w:rPr>
                <w:rFonts w:cs="Arial"/>
              </w:rPr>
            </w:pPr>
            <w:r w:rsidRPr="009B7B35">
              <w:rPr>
                <w:rFonts w:cs="Arial"/>
              </w:rPr>
              <w:t>Nil</w:t>
            </w:r>
          </w:p>
        </w:tc>
      </w:tr>
      <w:tr w:rsidR="00BE36FB" w:rsidRPr="009B7B35" w14:paraId="652A69F9" w14:textId="77777777" w:rsidTr="001A7107">
        <w:trPr>
          <w:cantSplit/>
        </w:trPr>
        <w:tc>
          <w:tcPr>
            <w:tcW w:w="2560" w:type="dxa"/>
          </w:tcPr>
          <w:p w14:paraId="00240578" w14:textId="77777777" w:rsidR="00BE36FB" w:rsidRPr="009B7B35" w:rsidRDefault="00BE36FB" w:rsidP="001A7107">
            <w:pPr>
              <w:pStyle w:val="TableText"/>
              <w:rPr>
                <w:rFonts w:cs="Arial"/>
              </w:rPr>
            </w:pPr>
            <w:r w:rsidRPr="009B7B35">
              <w:rPr>
                <w:rFonts w:cs="Arial"/>
              </w:rPr>
              <w:t xml:space="preserve">Food &amp; Drink Outlet </w:t>
            </w:r>
          </w:p>
        </w:tc>
        <w:tc>
          <w:tcPr>
            <w:tcW w:w="4394" w:type="dxa"/>
          </w:tcPr>
          <w:p w14:paraId="00F2877E" w14:textId="77777777" w:rsidR="00BE36FB" w:rsidRPr="009B7B35" w:rsidRDefault="00BE36FB" w:rsidP="001A7107">
            <w:pPr>
              <w:pStyle w:val="TableText"/>
              <w:rPr>
                <w:rFonts w:cs="Arial"/>
              </w:rPr>
            </w:pPr>
            <w:r w:rsidRPr="009B7B35">
              <w:rPr>
                <w:rFonts w:cs="Arial"/>
              </w:rPr>
              <w:t>Principal centre zone and Mixed use zone: 1 space per 30m</w:t>
            </w:r>
            <w:r w:rsidRPr="009B7B35">
              <w:rPr>
                <w:rStyle w:val="StyleSuperscript"/>
                <w:rFonts w:cs="Arial"/>
              </w:rPr>
              <w:t>2</w:t>
            </w:r>
            <w:r w:rsidRPr="009B7B35">
              <w:rPr>
                <w:rFonts w:cs="Arial"/>
              </w:rPr>
              <w:t xml:space="preserve"> GFA. </w:t>
            </w:r>
          </w:p>
          <w:p w14:paraId="73449768" w14:textId="77777777" w:rsidR="00BE36FB" w:rsidRPr="009B7B35" w:rsidRDefault="00BE36FB" w:rsidP="001A7107">
            <w:pPr>
              <w:pStyle w:val="TableText"/>
              <w:rPr>
                <w:rFonts w:cs="Arial"/>
              </w:rPr>
            </w:pPr>
            <w:r w:rsidRPr="009B7B35">
              <w:rPr>
                <w:rFonts w:cs="Arial"/>
              </w:rPr>
              <w:t>All other zones: 1 space per 15m</w:t>
            </w:r>
            <w:r w:rsidRPr="009B7B35">
              <w:rPr>
                <w:rStyle w:val="StyleSuperscript"/>
                <w:rFonts w:cs="Arial"/>
              </w:rPr>
              <w:t>2</w:t>
            </w:r>
            <w:r w:rsidRPr="009B7B35">
              <w:rPr>
                <w:rFonts w:cs="Arial"/>
              </w:rPr>
              <w:t xml:space="preserve">. GFA. </w:t>
            </w:r>
          </w:p>
          <w:p w14:paraId="2971668F" w14:textId="77777777" w:rsidR="00BE36FB" w:rsidRPr="009B7B35" w:rsidRDefault="00BE36FB" w:rsidP="001A7107">
            <w:pPr>
              <w:pStyle w:val="TableText"/>
              <w:rPr>
                <w:rFonts w:cs="Arial"/>
              </w:rPr>
            </w:pPr>
            <w:r w:rsidRPr="009B7B35">
              <w:rPr>
                <w:rFonts w:cs="Arial"/>
              </w:rPr>
              <w:t>For any drive–through facility, queuing space, clear of the road reserve, for 10 vehicles being served or awaiting service.</w:t>
            </w:r>
          </w:p>
        </w:tc>
        <w:tc>
          <w:tcPr>
            <w:tcW w:w="2426" w:type="dxa"/>
          </w:tcPr>
          <w:p w14:paraId="7E7838DD" w14:textId="77777777" w:rsidR="00BE36FB" w:rsidRPr="009B7B35" w:rsidRDefault="00BE36FB" w:rsidP="001A7107">
            <w:pPr>
              <w:pStyle w:val="TableText"/>
              <w:rPr>
                <w:rFonts w:cs="Arial"/>
              </w:rPr>
            </w:pPr>
            <w:r w:rsidRPr="009B7B35">
              <w:rPr>
                <w:rFonts w:cs="Arial"/>
              </w:rPr>
              <w:t>1 space per 200m</w:t>
            </w:r>
            <w:r w:rsidRPr="009B7B35">
              <w:rPr>
                <w:rStyle w:val="StyleSuperscript"/>
                <w:rFonts w:cs="Arial"/>
              </w:rPr>
              <w:t>2</w:t>
            </w:r>
            <w:r w:rsidRPr="009B7B35">
              <w:rPr>
                <w:rFonts w:cs="Arial"/>
              </w:rPr>
              <w:t xml:space="preserve"> GFA (minimum 4 spaces)</w:t>
            </w:r>
          </w:p>
        </w:tc>
      </w:tr>
      <w:tr w:rsidR="00BE36FB" w:rsidRPr="009B7B35" w14:paraId="40DED720" w14:textId="77777777" w:rsidTr="001A7107">
        <w:trPr>
          <w:cantSplit/>
        </w:trPr>
        <w:tc>
          <w:tcPr>
            <w:tcW w:w="2560" w:type="dxa"/>
          </w:tcPr>
          <w:p w14:paraId="273060AE" w14:textId="77777777" w:rsidR="00BE36FB" w:rsidRPr="009B7B35" w:rsidRDefault="00BE36FB" w:rsidP="001A7107">
            <w:pPr>
              <w:pStyle w:val="TableText"/>
              <w:rPr>
                <w:rFonts w:cs="Arial"/>
              </w:rPr>
            </w:pPr>
            <w:r w:rsidRPr="009B7B35">
              <w:rPr>
                <w:rFonts w:cs="Arial"/>
              </w:rPr>
              <w:t>Funeral Parlour</w:t>
            </w:r>
          </w:p>
        </w:tc>
        <w:tc>
          <w:tcPr>
            <w:tcW w:w="4394" w:type="dxa"/>
          </w:tcPr>
          <w:p w14:paraId="05F9CA48" w14:textId="77777777" w:rsidR="00BE36FB" w:rsidRPr="009B7B35" w:rsidRDefault="00BE36FB" w:rsidP="001A7107">
            <w:pPr>
              <w:pStyle w:val="TableText"/>
              <w:rPr>
                <w:rFonts w:cs="Arial"/>
              </w:rPr>
            </w:pPr>
            <w:r w:rsidRPr="009B7B35">
              <w:rPr>
                <w:rFonts w:cs="Arial"/>
              </w:rPr>
              <w:t>1 space per employee, plus 1 space per 5 chapel seats.</w:t>
            </w:r>
          </w:p>
        </w:tc>
        <w:tc>
          <w:tcPr>
            <w:tcW w:w="2426" w:type="dxa"/>
          </w:tcPr>
          <w:p w14:paraId="5AD1E22E" w14:textId="77777777" w:rsidR="00BE36FB" w:rsidRPr="009B7B35" w:rsidRDefault="00BE36FB" w:rsidP="001A7107">
            <w:pPr>
              <w:pStyle w:val="TableText"/>
              <w:rPr>
                <w:rFonts w:cs="Arial"/>
              </w:rPr>
            </w:pPr>
            <w:r w:rsidRPr="009B7B35">
              <w:rPr>
                <w:rFonts w:cs="Arial"/>
              </w:rPr>
              <w:t>Nil</w:t>
            </w:r>
          </w:p>
        </w:tc>
      </w:tr>
      <w:tr w:rsidR="00BE36FB" w:rsidRPr="009B7B35" w14:paraId="5193D8E0" w14:textId="77777777" w:rsidTr="001A7107">
        <w:trPr>
          <w:cantSplit/>
        </w:trPr>
        <w:tc>
          <w:tcPr>
            <w:tcW w:w="2560" w:type="dxa"/>
          </w:tcPr>
          <w:p w14:paraId="3FEFCD5A" w14:textId="77777777" w:rsidR="00BE36FB" w:rsidRPr="009B7B35" w:rsidRDefault="00BE36FB" w:rsidP="001A7107">
            <w:pPr>
              <w:pStyle w:val="TableText"/>
              <w:rPr>
                <w:rFonts w:cs="Arial"/>
              </w:rPr>
            </w:pPr>
            <w:r w:rsidRPr="009B7B35">
              <w:rPr>
                <w:rFonts w:cs="Arial"/>
              </w:rPr>
              <w:t>Garden Centre</w:t>
            </w:r>
          </w:p>
        </w:tc>
        <w:tc>
          <w:tcPr>
            <w:tcW w:w="4394" w:type="dxa"/>
          </w:tcPr>
          <w:p w14:paraId="6DA5D0A8" w14:textId="77777777" w:rsidR="00BE36FB" w:rsidRPr="009B7B35" w:rsidRDefault="00BE36FB" w:rsidP="001A7107">
            <w:pPr>
              <w:pStyle w:val="TableText"/>
              <w:rPr>
                <w:rFonts w:cs="Arial"/>
              </w:rPr>
            </w:pPr>
            <w:r w:rsidRPr="009B7B35">
              <w:rPr>
                <w:rFonts w:cs="Arial"/>
              </w:rPr>
              <w:t>1 space per 100m</w:t>
            </w:r>
            <w:r w:rsidRPr="009B7B35">
              <w:rPr>
                <w:rStyle w:val="StyleSuperscript"/>
                <w:rFonts w:cs="Arial"/>
              </w:rPr>
              <w:t>2</w:t>
            </w:r>
            <w:r w:rsidRPr="009B7B35">
              <w:rPr>
                <w:rFonts w:cs="Arial"/>
              </w:rPr>
              <w:t xml:space="preserve"> of site area used for display and sale purposes, plus 1 space per employee. Minimum of 6 spaces.</w:t>
            </w:r>
          </w:p>
        </w:tc>
        <w:tc>
          <w:tcPr>
            <w:tcW w:w="2426" w:type="dxa"/>
          </w:tcPr>
          <w:p w14:paraId="0D42AA81" w14:textId="77777777" w:rsidR="00BE36FB" w:rsidRPr="009B7B35" w:rsidRDefault="00BE36FB" w:rsidP="001A7107">
            <w:pPr>
              <w:pStyle w:val="TableText"/>
              <w:rPr>
                <w:rFonts w:cs="Arial"/>
              </w:rPr>
            </w:pPr>
            <w:r w:rsidRPr="009B7B35">
              <w:rPr>
                <w:rFonts w:cs="Arial"/>
              </w:rPr>
              <w:t>1 space per 200m</w:t>
            </w:r>
            <w:r w:rsidRPr="009B7B35">
              <w:rPr>
                <w:rStyle w:val="StyleSuperscript"/>
                <w:rFonts w:cs="Arial"/>
              </w:rPr>
              <w:t>2</w:t>
            </w:r>
            <w:r w:rsidRPr="009B7B35">
              <w:rPr>
                <w:rFonts w:cs="Arial"/>
              </w:rPr>
              <w:t xml:space="preserve"> GFA (minimum 4 spaces)</w:t>
            </w:r>
          </w:p>
        </w:tc>
      </w:tr>
      <w:tr w:rsidR="00BE36FB" w:rsidRPr="009B7B35" w14:paraId="6766DF65" w14:textId="77777777" w:rsidTr="001A7107">
        <w:trPr>
          <w:cantSplit/>
        </w:trPr>
        <w:tc>
          <w:tcPr>
            <w:tcW w:w="2560" w:type="dxa"/>
          </w:tcPr>
          <w:p w14:paraId="2FF3E430" w14:textId="77777777" w:rsidR="00BE36FB" w:rsidRPr="009B7B35" w:rsidRDefault="00BE36FB" w:rsidP="001A7107">
            <w:pPr>
              <w:pStyle w:val="TableText"/>
              <w:rPr>
                <w:rFonts w:cs="Arial"/>
              </w:rPr>
            </w:pPr>
            <w:r w:rsidRPr="009B7B35">
              <w:rPr>
                <w:rFonts w:cs="Arial"/>
              </w:rPr>
              <w:t>Hardware &amp; Trade Supplies</w:t>
            </w:r>
          </w:p>
        </w:tc>
        <w:tc>
          <w:tcPr>
            <w:tcW w:w="4394" w:type="dxa"/>
          </w:tcPr>
          <w:p w14:paraId="3A85E4F9" w14:textId="77777777" w:rsidR="00BE36FB" w:rsidRPr="009B7B35" w:rsidRDefault="00BE36FB" w:rsidP="001A7107">
            <w:pPr>
              <w:pStyle w:val="TableText"/>
              <w:rPr>
                <w:rFonts w:cs="Arial"/>
              </w:rPr>
            </w:pPr>
            <w:r w:rsidRPr="009B7B35">
              <w:rPr>
                <w:rFonts w:cs="Arial"/>
              </w:rPr>
              <w:t>Principal centre zone and Mixed use zone: 1 space per 30m</w:t>
            </w:r>
            <w:r w:rsidRPr="009B7B35">
              <w:rPr>
                <w:rStyle w:val="StyleSuperscript"/>
                <w:rFonts w:cs="Arial"/>
              </w:rPr>
              <w:t>2</w:t>
            </w:r>
            <w:r w:rsidRPr="009B7B35">
              <w:rPr>
                <w:rFonts w:cs="Arial"/>
              </w:rPr>
              <w:t xml:space="preserve"> GFA. </w:t>
            </w:r>
          </w:p>
          <w:p w14:paraId="3DADEEA3" w14:textId="77777777" w:rsidR="00BE36FB" w:rsidRPr="009B7B35" w:rsidRDefault="00BE36FB" w:rsidP="001A7107">
            <w:pPr>
              <w:pStyle w:val="TableText"/>
              <w:rPr>
                <w:rFonts w:cs="Arial"/>
              </w:rPr>
            </w:pPr>
            <w:r w:rsidRPr="009B7B35">
              <w:rPr>
                <w:rFonts w:cs="Arial"/>
              </w:rPr>
              <w:t>All other zones: 1 space per 25m</w:t>
            </w:r>
            <w:r w:rsidRPr="009B7B35">
              <w:rPr>
                <w:rStyle w:val="StyleSuperscript"/>
                <w:rFonts w:cs="Arial"/>
              </w:rPr>
              <w:t>2</w:t>
            </w:r>
            <w:r w:rsidRPr="009B7B35">
              <w:rPr>
                <w:rFonts w:cs="Arial"/>
              </w:rPr>
              <w:t xml:space="preserve"> GFA.</w:t>
            </w:r>
          </w:p>
        </w:tc>
        <w:tc>
          <w:tcPr>
            <w:tcW w:w="2426" w:type="dxa"/>
          </w:tcPr>
          <w:p w14:paraId="54A8B64F"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41FF7D21" w14:textId="77777777" w:rsidTr="001A7107">
        <w:trPr>
          <w:cantSplit/>
        </w:trPr>
        <w:tc>
          <w:tcPr>
            <w:tcW w:w="2560" w:type="dxa"/>
          </w:tcPr>
          <w:p w14:paraId="709518B4" w14:textId="77777777" w:rsidR="00BE36FB" w:rsidRPr="009B7B35" w:rsidRDefault="00BE36FB" w:rsidP="001A7107">
            <w:pPr>
              <w:pStyle w:val="TableText"/>
              <w:rPr>
                <w:rFonts w:cs="Arial"/>
              </w:rPr>
            </w:pPr>
            <w:r w:rsidRPr="009B7B35">
              <w:rPr>
                <w:rFonts w:cs="Arial"/>
              </w:rPr>
              <w:t>Health Care Services</w:t>
            </w:r>
          </w:p>
        </w:tc>
        <w:tc>
          <w:tcPr>
            <w:tcW w:w="4394" w:type="dxa"/>
          </w:tcPr>
          <w:p w14:paraId="22E1AAA0" w14:textId="77777777" w:rsidR="00BE36FB" w:rsidRPr="009B7B35" w:rsidRDefault="00BE36FB" w:rsidP="001A7107">
            <w:pPr>
              <w:pStyle w:val="TableText"/>
              <w:rPr>
                <w:rFonts w:cs="Arial"/>
              </w:rPr>
            </w:pPr>
            <w:r w:rsidRPr="009B7B35">
              <w:rPr>
                <w:rFonts w:cs="Arial"/>
              </w:rPr>
              <w:t>1 space per 20m</w:t>
            </w:r>
            <w:r w:rsidRPr="009B7B35">
              <w:rPr>
                <w:rStyle w:val="StyleSuperscript"/>
                <w:rFonts w:cs="Arial"/>
              </w:rPr>
              <w:t>2</w:t>
            </w:r>
            <w:r w:rsidRPr="009B7B35">
              <w:rPr>
                <w:rFonts w:cs="Arial"/>
              </w:rPr>
              <w:t xml:space="preserve"> GFA</w:t>
            </w:r>
          </w:p>
        </w:tc>
        <w:tc>
          <w:tcPr>
            <w:tcW w:w="2426" w:type="dxa"/>
          </w:tcPr>
          <w:p w14:paraId="465B9211"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3263A301" w14:textId="77777777" w:rsidTr="001A7107">
        <w:trPr>
          <w:cantSplit/>
        </w:trPr>
        <w:tc>
          <w:tcPr>
            <w:tcW w:w="2560" w:type="dxa"/>
          </w:tcPr>
          <w:p w14:paraId="0170247F" w14:textId="77777777" w:rsidR="00BE36FB" w:rsidRPr="009B7B35" w:rsidRDefault="00BE36FB" w:rsidP="001A7107">
            <w:pPr>
              <w:pStyle w:val="TableText"/>
              <w:rPr>
                <w:rFonts w:cs="Arial"/>
              </w:rPr>
            </w:pPr>
            <w:r w:rsidRPr="009B7B35">
              <w:rPr>
                <w:rFonts w:cs="Arial"/>
              </w:rPr>
              <w:t>High Impact Industry</w:t>
            </w:r>
          </w:p>
        </w:tc>
        <w:tc>
          <w:tcPr>
            <w:tcW w:w="4394" w:type="dxa"/>
          </w:tcPr>
          <w:p w14:paraId="4634D6E1" w14:textId="77777777" w:rsidR="00BE36FB" w:rsidRPr="009B7B35" w:rsidRDefault="00BE36FB" w:rsidP="001A7107">
            <w:pPr>
              <w:pStyle w:val="TableText"/>
              <w:rPr>
                <w:rFonts w:cs="Arial"/>
              </w:rPr>
            </w:pPr>
            <w:r w:rsidRPr="009B7B35">
              <w:rPr>
                <w:rFonts w:cs="Arial"/>
              </w:rPr>
              <w:t>1 space per employee. Based on maximum employees per shift. Heavy vehicles must be able to be accommodated and turned on site.</w:t>
            </w:r>
          </w:p>
        </w:tc>
        <w:tc>
          <w:tcPr>
            <w:tcW w:w="2426" w:type="dxa"/>
          </w:tcPr>
          <w:p w14:paraId="74245F29"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0485B539" w14:textId="77777777" w:rsidTr="001A7107">
        <w:trPr>
          <w:cantSplit/>
        </w:trPr>
        <w:tc>
          <w:tcPr>
            <w:tcW w:w="2560" w:type="dxa"/>
          </w:tcPr>
          <w:p w14:paraId="337121A0" w14:textId="77777777" w:rsidR="00BE36FB" w:rsidRPr="009B7B35" w:rsidRDefault="00BE36FB" w:rsidP="001A7107">
            <w:pPr>
              <w:pStyle w:val="TableText"/>
              <w:rPr>
                <w:rFonts w:cs="Arial"/>
              </w:rPr>
            </w:pPr>
            <w:r w:rsidRPr="009B7B35">
              <w:rPr>
                <w:rFonts w:cs="Arial"/>
              </w:rPr>
              <w:t>Home Based Business</w:t>
            </w:r>
          </w:p>
        </w:tc>
        <w:tc>
          <w:tcPr>
            <w:tcW w:w="4394" w:type="dxa"/>
          </w:tcPr>
          <w:p w14:paraId="1623BCD0" w14:textId="77777777" w:rsidR="00BE36FB" w:rsidRPr="009B7B35" w:rsidRDefault="00BE36FB" w:rsidP="001A7107">
            <w:pPr>
              <w:pStyle w:val="TableText"/>
              <w:rPr>
                <w:rFonts w:cs="Arial"/>
              </w:rPr>
            </w:pPr>
            <w:r w:rsidRPr="009B7B35">
              <w:rPr>
                <w:rFonts w:cs="Arial"/>
              </w:rPr>
              <w:t>Refer to requirements within the "Home Based Business Code".</w:t>
            </w:r>
          </w:p>
        </w:tc>
        <w:tc>
          <w:tcPr>
            <w:tcW w:w="2426" w:type="dxa"/>
          </w:tcPr>
          <w:p w14:paraId="740F2830" w14:textId="77777777" w:rsidR="00BE36FB" w:rsidRPr="009B7B35" w:rsidRDefault="00BE36FB" w:rsidP="001A7107">
            <w:pPr>
              <w:pStyle w:val="TableText"/>
              <w:rPr>
                <w:rFonts w:cs="Arial"/>
              </w:rPr>
            </w:pPr>
            <w:r w:rsidRPr="009B7B35">
              <w:rPr>
                <w:rFonts w:cs="Arial"/>
              </w:rPr>
              <w:t>Nil</w:t>
            </w:r>
          </w:p>
        </w:tc>
      </w:tr>
      <w:tr w:rsidR="00BE36FB" w:rsidRPr="009B7B35" w14:paraId="7EA036D0" w14:textId="77777777" w:rsidTr="001A7107">
        <w:trPr>
          <w:cantSplit/>
        </w:trPr>
        <w:tc>
          <w:tcPr>
            <w:tcW w:w="2560" w:type="dxa"/>
          </w:tcPr>
          <w:p w14:paraId="188601E2" w14:textId="77777777" w:rsidR="00BE36FB" w:rsidRPr="009B7B35" w:rsidRDefault="00BE36FB" w:rsidP="001A7107">
            <w:pPr>
              <w:pStyle w:val="TableText"/>
              <w:rPr>
                <w:rFonts w:cs="Arial"/>
              </w:rPr>
            </w:pPr>
            <w:r w:rsidRPr="009B7B35">
              <w:rPr>
                <w:rFonts w:cs="Arial"/>
              </w:rPr>
              <w:t>Hospital</w:t>
            </w:r>
          </w:p>
        </w:tc>
        <w:tc>
          <w:tcPr>
            <w:tcW w:w="4394" w:type="dxa"/>
          </w:tcPr>
          <w:p w14:paraId="6802FB17" w14:textId="77777777" w:rsidR="00BE36FB" w:rsidRPr="009B7B35" w:rsidRDefault="00BE36FB" w:rsidP="001A7107">
            <w:pPr>
              <w:pStyle w:val="TableText"/>
              <w:rPr>
                <w:rFonts w:cs="Arial"/>
              </w:rPr>
            </w:pPr>
            <w:r w:rsidRPr="009B7B35">
              <w:rPr>
                <w:rFonts w:cs="Arial"/>
              </w:rPr>
              <w:t>1 space per 5 beds, plus 1 space per 2 employees. Based on maximum employees per shift. Heavy vehicles must be able to be accommodated and turned on site. Appropriate emergency vehicular facilities.</w:t>
            </w:r>
          </w:p>
        </w:tc>
        <w:tc>
          <w:tcPr>
            <w:tcW w:w="2426" w:type="dxa"/>
          </w:tcPr>
          <w:p w14:paraId="55677FD7"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OR the number of bicycle spaces specified in MP 4.1 (Sustainable buildings) of the QDC, whichever is the greater (minimum 4 spaces)</w:t>
            </w:r>
          </w:p>
        </w:tc>
      </w:tr>
      <w:tr w:rsidR="00BE36FB" w:rsidRPr="009B7B35" w14:paraId="51A85862" w14:textId="77777777" w:rsidTr="001A7107">
        <w:trPr>
          <w:cantSplit/>
        </w:trPr>
        <w:tc>
          <w:tcPr>
            <w:tcW w:w="2560" w:type="dxa"/>
          </w:tcPr>
          <w:p w14:paraId="6363D65A" w14:textId="77777777" w:rsidR="00BE36FB" w:rsidRPr="009B7B35" w:rsidRDefault="00BE36FB" w:rsidP="001A7107">
            <w:pPr>
              <w:pStyle w:val="TableText"/>
              <w:rPr>
                <w:rFonts w:cs="Arial"/>
              </w:rPr>
            </w:pPr>
            <w:r w:rsidRPr="009B7B35">
              <w:rPr>
                <w:rFonts w:cs="Arial"/>
              </w:rPr>
              <w:t>Indoor Sport &amp; Recreation</w:t>
            </w:r>
          </w:p>
        </w:tc>
        <w:tc>
          <w:tcPr>
            <w:tcW w:w="4394" w:type="dxa"/>
          </w:tcPr>
          <w:p w14:paraId="0823203A" w14:textId="77777777" w:rsidR="00BE36FB" w:rsidRPr="009B7B35" w:rsidRDefault="00BE36FB" w:rsidP="001A7107">
            <w:pPr>
              <w:pStyle w:val="TableText"/>
              <w:rPr>
                <w:rFonts w:cs="Arial"/>
              </w:rPr>
            </w:pPr>
            <w:r w:rsidRPr="009B7B35">
              <w:rPr>
                <w:rFonts w:cs="Arial"/>
              </w:rPr>
              <w:t>1 space per 20m</w:t>
            </w:r>
            <w:r w:rsidRPr="009B7B35">
              <w:rPr>
                <w:rStyle w:val="StyleSuperscript"/>
                <w:rFonts w:cs="Arial"/>
              </w:rPr>
              <w:t>2</w:t>
            </w:r>
            <w:r w:rsidRPr="009B7B35">
              <w:rPr>
                <w:rFonts w:cs="Arial"/>
              </w:rPr>
              <w:t xml:space="preserve"> GFA, or 1 space per 5 spectators able to be seated, or 4 spaces per court or lane. Whichever is the greater.</w:t>
            </w:r>
          </w:p>
        </w:tc>
        <w:tc>
          <w:tcPr>
            <w:tcW w:w="2426" w:type="dxa"/>
          </w:tcPr>
          <w:p w14:paraId="46980944"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4FC171B8" w14:textId="77777777" w:rsidTr="001A7107">
        <w:trPr>
          <w:cantSplit/>
        </w:trPr>
        <w:tc>
          <w:tcPr>
            <w:tcW w:w="2560" w:type="dxa"/>
          </w:tcPr>
          <w:p w14:paraId="425389E8" w14:textId="77777777" w:rsidR="00BE36FB" w:rsidRPr="009B7B35" w:rsidRDefault="00BE36FB" w:rsidP="001A7107">
            <w:pPr>
              <w:pStyle w:val="TableText"/>
              <w:rPr>
                <w:rFonts w:cs="Arial"/>
              </w:rPr>
            </w:pPr>
            <w:r w:rsidRPr="009B7B35">
              <w:rPr>
                <w:rFonts w:cs="Arial"/>
              </w:rPr>
              <w:t>Intensive Animal Industry</w:t>
            </w:r>
          </w:p>
        </w:tc>
        <w:tc>
          <w:tcPr>
            <w:tcW w:w="4394" w:type="dxa"/>
          </w:tcPr>
          <w:p w14:paraId="19DE6F1D" w14:textId="77777777" w:rsidR="00BE36FB" w:rsidRPr="009B7B35" w:rsidRDefault="00BE36FB" w:rsidP="001A7107">
            <w:pPr>
              <w:pStyle w:val="TableText"/>
              <w:rPr>
                <w:rFonts w:cs="Arial"/>
              </w:rPr>
            </w:pPr>
            <w:r w:rsidRPr="009B7B35">
              <w:rPr>
                <w:rFonts w:cs="Arial"/>
              </w:rPr>
              <w:t>1 space per 2 employees, plus 2 visitor spaces. Provision for loading and unloading where a cattle feedlot, piggery, poultry farm, stables.</w:t>
            </w:r>
          </w:p>
        </w:tc>
        <w:tc>
          <w:tcPr>
            <w:tcW w:w="2426" w:type="dxa"/>
          </w:tcPr>
          <w:p w14:paraId="0559593F" w14:textId="77777777" w:rsidR="00BE36FB" w:rsidRPr="009B7B35" w:rsidRDefault="00BE36FB" w:rsidP="001A7107">
            <w:pPr>
              <w:pStyle w:val="TableText"/>
              <w:rPr>
                <w:rFonts w:cs="Arial"/>
              </w:rPr>
            </w:pPr>
            <w:r w:rsidRPr="009B7B35">
              <w:rPr>
                <w:rFonts w:cs="Arial"/>
              </w:rPr>
              <w:t>Nil</w:t>
            </w:r>
          </w:p>
        </w:tc>
      </w:tr>
      <w:tr w:rsidR="00BE36FB" w:rsidRPr="009B7B35" w14:paraId="0326FEFD" w14:textId="77777777" w:rsidTr="001A7107">
        <w:trPr>
          <w:cantSplit/>
        </w:trPr>
        <w:tc>
          <w:tcPr>
            <w:tcW w:w="2560" w:type="dxa"/>
          </w:tcPr>
          <w:p w14:paraId="4B3483A6" w14:textId="77777777" w:rsidR="00BE36FB" w:rsidRPr="009B7B35" w:rsidRDefault="00BE36FB" w:rsidP="001A7107">
            <w:pPr>
              <w:pStyle w:val="TableText"/>
              <w:rPr>
                <w:rFonts w:cs="Arial"/>
              </w:rPr>
            </w:pPr>
            <w:r w:rsidRPr="009B7B35">
              <w:rPr>
                <w:rFonts w:cs="Arial"/>
              </w:rPr>
              <w:t>Low Impact Industry</w:t>
            </w:r>
          </w:p>
        </w:tc>
        <w:tc>
          <w:tcPr>
            <w:tcW w:w="4394" w:type="dxa"/>
          </w:tcPr>
          <w:p w14:paraId="38AB4F0C" w14:textId="77777777" w:rsidR="00BE36FB" w:rsidRPr="009B7B35" w:rsidRDefault="00BE36FB" w:rsidP="001A7107">
            <w:pPr>
              <w:pStyle w:val="TableText"/>
              <w:rPr>
                <w:rFonts w:cs="Arial"/>
              </w:rPr>
            </w:pPr>
            <w:r w:rsidRPr="009B7B35">
              <w:rPr>
                <w:rFonts w:cs="Arial"/>
              </w:rPr>
              <w:t>1 space per 50m</w:t>
            </w:r>
            <w:r w:rsidRPr="009B7B35">
              <w:rPr>
                <w:rStyle w:val="StyleSuperscript"/>
                <w:rFonts w:cs="Arial"/>
              </w:rPr>
              <w:t>2</w:t>
            </w:r>
            <w:r w:rsidRPr="009B7B35">
              <w:rPr>
                <w:rFonts w:cs="Arial"/>
              </w:rPr>
              <w:t xml:space="preserve"> GFA for the first 500m</w:t>
            </w:r>
            <w:r w:rsidRPr="009B7B35">
              <w:rPr>
                <w:rStyle w:val="StyleSuperscript"/>
                <w:rFonts w:cs="Arial"/>
              </w:rPr>
              <w:t>2</w:t>
            </w:r>
            <w:r w:rsidRPr="009B7B35">
              <w:rPr>
                <w:rFonts w:cs="Arial"/>
              </w:rPr>
              <w:t>, plus 1 space per 100m</w:t>
            </w:r>
            <w:r w:rsidRPr="009B7B35">
              <w:rPr>
                <w:rStyle w:val="StyleSuperscript"/>
                <w:rFonts w:cs="Arial"/>
              </w:rPr>
              <w:t>2</w:t>
            </w:r>
            <w:r w:rsidRPr="009B7B35">
              <w:rPr>
                <w:rFonts w:cs="Arial"/>
              </w:rPr>
              <w:t xml:space="preserve"> GFA thereafter. Heavy vehicles must be able to be accommodated and turned on site.</w:t>
            </w:r>
          </w:p>
        </w:tc>
        <w:tc>
          <w:tcPr>
            <w:tcW w:w="2426" w:type="dxa"/>
          </w:tcPr>
          <w:p w14:paraId="1F044DBD"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17E21CD2" w14:textId="77777777" w:rsidTr="001A7107">
        <w:trPr>
          <w:cantSplit/>
        </w:trPr>
        <w:tc>
          <w:tcPr>
            <w:tcW w:w="2560" w:type="dxa"/>
          </w:tcPr>
          <w:p w14:paraId="0A10F3A6" w14:textId="77777777" w:rsidR="00BE36FB" w:rsidRPr="009B7B35" w:rsidRDefault="00BE36FB" w:rsidP="001A7107">
            <w:pPr>
              <w:pStyle w:val="TableText"/>
              <w:rPr>
                <w:rFonts w:cs="Arial"/>
              </w:rPr>
            </w:pPr>
            <w:r w:rsidRPr="009B7B35">
              <w:rPr>
                <w:rFonts w:cs="Arial"/>
              </w:rPr>
              <w:t>Major Electricity Infrastructure/ Utility Installation</w:t>
            </w:r>
          </w:p>
        </w:tc>
        <w:tc>
          <w:tcPr>
            <w:tcW w:w="4394" w:type="dxa"/>
          </w:tcPr>
          <w:p w14:paraId="475FE293" w14:textId="77777777" w:rsidR="00BE36FB" w:rsidRPr="009B7B35" w:rsidRDefault="00BE36FB" w:rsidP="001A7107">
            <w:pPr>
              <w:pStyle w:val="TableText"/>
              <w:rPr>
                <w:rFonts w:cs="Arial"/>
              </w:rPr>
            </w:pPr>
            <w:r w:rsidRPr="009B7B35">
              <w:rPr>
                <w:rFonts w:cs="Arial"/>
              </w:rPr>
              <w:t>1 space per employee plus 1 space for maintenance vehicle (excluding transmission lines, pipelines, etc.)</w:t>
            </w:r>
          </w:p>
        </w:tc>
        <w:tc>
          <w:tcPr>
            <w:tcW w:w="2426" w:type="dxa"/>
          </w:tcPr>
          <w:p w14:paraId="448405DF"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176118FE" w14:textId="77777777" w:rsidTr="001A7107">
        <w:trPr>
          <w:cantSplit/>
        </w:trPr>
        <w:tc>
          <w:tcPr>
            <w:tcW w:w="2560" w:type="dxa"/>
          </w:tcPr>
          <w:p w14:paraId="587871D7" w14:textId="77777777" w:rsidR="00BE36FB" w:rsidRPr="009B7B35" w:rsidRDefault="00BE36FB" w:rsidP="001A7107">
            <w:pPr>
              <w:pStyle w:val="TableText"/>
              <w:rPr>
                <w:rFonts w:cs="Arial"/>
              </w:rPr>
            </w:pPr>
            <w:r w:rsidRPr="009B7B35">
              <w:rPr>
                <w:rFonts w:cs="Arial"/>
              </w:rPr>
              <w:t>Major Sports, Recreation &amp; Entertainment</w:t>
            </w:r>
          </w:p>
        </w:tc>
        <w:tc>
          <w:tcPr>
            <w:tcW w:w="4394" w:type="dxa"/>
          </w:tcPr>
          <w:p w14:paraId="1FB41EDF" w14:textId="77777777" w:rsidR="00BE36FB" w:rsidRPr="009B7B35" w:rsidRDefault="00BE36FB" w:rsidP="001A7107">
            <w:pPr>
              <w:pStyle w:val="TableText"/>
              <w:rPr>
                <w:rFonts w:cs="Arial"/>
              </w:rPr>
            </w:pPr>
            <w:r w:rsidRPr="009B7B35">
              <w:rPr>
                <w:rFonts w:cs="Arial"/>
              </w:rPr>
              <w:t>1 space per 5 spectators able to be seated or 50 spaces per playing field, or 30 spaces per bowling green, or 4 spaces per court. Otherwise sufficient spaces to accommodate the amount of vehicular traffic, including emergency vehicle access, likely to be generated by the particular use in accordance with a traffic management plan.</w:t>
            </w:r>
          </w:p>
        </w:tc>
        <w:tc>
          <w:tcPr>
            <w:tcW w:w="2426" w:type="dxa"/>
          </w:tcPr>
          <w:p w14:paraId="5C111BB7" w14:textId="77777777" w:rsidR="00BE36FB" w:rsidRPr="009B7B35" w:rsidRDefault="00BE36FB" w:rsidP="001A7107">
            <w:pPr>
              <w:pStyle w:val="TableText"/>
              <w:rPr>
                <w:rFonts w:cs="Arial"/>
              </w:rPr>
            </w:pPr>
            <w:r w:rsidRPr="009B7B35">
              <w:rPr>
                <w:rFonts w:cs="Arial"/>
              </w:rPr>
              <w:t>To be provided in accordance with a traffic management plan.</w:t>
            </w:r>
          </w:p>
        </w:tc>
      </w:tr>
      <w:tr w:rsidR="00BE36FB" w:rsidRPr="009B7B35" w14:paraId="7CA630A1" w14:textId="77777777" w:rsidTr="001A7107">
        <w:trPr>
          <w:cantSplit/>
        </w:trPr>
        <w:tc>
          <w:tcPr>
            <w:tcW w:w="2560" w:type="dxa"/>
          </w:tcPr>
          <w:p w14:paraId="03089621" w14:textId="77777777" w:rsidR="00BE36FB" w:rsidRPr="009B7B35" w:rsidRDefault="00BE36FB" w:rsidP="001A7107">
            <w:pPr>
              <w:pStyle w:val="TableText"/>
              <w:rPr>
                <w:rFonts w:cs="Arial"/>
              </w:rPr>
            </w:pPr>
            <w:r w:rsidRPr="009B7B35">
              <w:rPr>
                <w:rFonts w:cs="Arial"/>
              </w:rPr>
              <w:t>Marine Industry</w:t>
            </w:r>
          </w:p>
        </w:tc>
        <w:tc>
          <w:tcPr>
            <w:tcW w:w="4394" w:type="dxa"/>
          </w:tcPr>
          <w:p w14:paraId="7B7418E5" w14:textId="77777777" w:rsidR="00BE36FB" w:rsidRPr="009B7B35" w:rsidRDefault="00BE36FB" w:rsidP="001A7107">
            <w:pPr>
              <w:pStyle w:val="TableText"/>
              <w:rPr>
                <w:rFonts w:cs="Arial"/>
              </w:rPr>
            </w:pPr>
            <w:r w:rsidRPr="009B7B35">
              <w:rPr>
                <w:rFonts w:cs="Arial"/>
              </w:rPr>
              <w:t>1 space per 50sqm of GFA.</w:t>
            </w:r>
          </w:p>
          <w:p w14:paraId="2FEC1024" w14:textId="77777777" w:rsidR="00BE36FB" w:rsidRPr="009B7B35" w:rsidRDefault="00BE36FB" w:rsidP="001A7107">
            <w:pPr>
              <w:pStyle w:val="TableText"/>
              <w:rPr>
                <w:rFonts w:cs="Arial"/>
              </w:rPr>
            </w:pPr>
            <w:r w:rsidRPr="009B7B35">
              <w:rPr>
                <w:rFonts w:cs="Arial"/>
              </w:rPr>
              <w:t xml:space="preserve">Heavy vehicles must be able to be accommodated and turned on site. </w:t>
            </w:r>
          </w:p>
        </w:tc>
        <w:tc>
          <w:tcPr>
            <w:tcW w:w="2426" w:type="dxa"/>
          </w:tcPr>
          <w:p w14:paraId="0E3404BB"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052F372F" w14:textId="77777777" w:rsidTr="001A7107">
        <w:trPr>
          <w:cantSplit/>
        </w:trPr>
        <w:tc>
          <w:tcPr>
            <w:tcW w:w="2560" w:type="dxa"/>
          </w:tcPr>
          <w:p w14:paraId="0EA48142" w14:textId="77777777" w:rsidR="00BE36FB" w:rsidRPr="009B7B35" w:rsidRDefault="00BE36FB" w:rsidP="001A7107">
            <w:pPr>
              <w:pStyle w:val="TableText"/>
              <w:rPr>
                <w:rFonts w:cs="Arial"/>
              </w:rPr>
            </w:pPr>
            <w:r w:rsidRPr="009B7B35">
              <w:rPr>
                <w:rFonts w:cs="Arial"/>
              </w:rPr>
              <w:t>Market</w:t>
            </w:r>
          </w:p>
        </w:tc>
        <w:tc>
          <w:tcPr>
            <w:tcW w:w="4394" w:type="dxa"/>
          </w:tcPr>
          <w:p w14:paraId="57FF82B0" w14:textId="77777777" w:rsidR="00BE36FB" w:rsidRPr="009B7B35" w:rsidRDefault="00BE36FB" w:rsidP="001A7107">
            <w:pPr>
              <w:pStyle w:val="TableText"/>
              <w:rPr>
                <w:rFonts w:cs="Arial"/>
              </w:rPr>
            </w:pPr>
            <w:r w:rsidRPr="009B7B35">
              <w:rPr>
                <w:rFonts w:cs="Arial"/>
              </w:rPr>
              <w:t>2 spaces per stall.</w:t>
            </w:r>
          </w:p>
        </w:tc>
        <w:tc>
          <w:tcPr>
            <w:tcW w:w="2426" w:type="dxa"/>
          </w:tcPr>
          <w:p w14:paraId="00457F3F"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3C31BE04" w14:textId="77777777" w:rsidTr="001A7107">
        <w:trPr>
          <w:cantSplit/>
        </w:trPr>
        <w:tc>
          <w:tcPr>
            <w:tcW w:w="2560" w:type="dxa"/>
          </w:tcPr>
          <w:p w14:paraId="7F64A864" w14:textId="77777777" w:rsidR="00BE36FB" w:rsidRPr="009B7B35" w:rsidRDefault="00BE36FB" w:rsidP="001A7107">
            <w:pPr>
              <w:pStyle w:val="TableText"/>
              <w:rPr>
                <w:rFonts w:cs="Arial"/>
              </w:rPr>
            </w:pPr>
            <w:r w:rsidRPr="009B7B35">
              <w:rPr>
                <w:rFonts w:cs="Arial"/>
              </w:rPr>
              <w:t>Multiple Dwelling</w:t>
            </w:r>
          </w:p>
        </w:tc>
        <w:tc>
          <w:tcPr>
            <w:tcW w:w="4394" w:type="dxa"/>
          </w:tcPr>
          <w:p w14:paraId="539CF3E2" w14:textId="77777777" w:rsidR="00BE36FB" w:rsidRPr="009B7B35" w:rsidRDefault="00BE36FB" w:rsidP="001A7107">
            <w:pPr>
              <w:pStyle w:val="TableText"/>
              <w:rPr>
                <w:rFonts w:cs="Arial"/>
              </w:rPr>
            </w:pPr>
            <w:r w:rsidRPr="009B7B35">
              <w:rPr>
                <w:rFonts w:cs="Arial"/>
              </w:rPr>
              <w:t>Principal centre zone and Mixed use zone: 1 space per 1 bedroom unit. 1.5 spaces for 2 or more bedrooms. All other zones: 1.5 spaces per unit.</w:t>
            </w:r>
          </w:p>
        </w:tc>
        <w:tc>
          <w:tcPr>
            <w:tcW w:w="2426" w:type="dxa"/>
          </w:tcPr>
          <w:p w14:paraId="4744F9D8" w14:textId="77777777" w:rsidR="00BE36FB" w:rsidRPr="009B7B35" w:rsidRDefault="00BE36FB" w:rsidP="001A7107">
            <w:pPr>
              <w:pStyle w:val="TableText"/>
              <w:rPr>
                <w:rFonts w:cs="Arial"/>
              </w:rPr>
            </w:pPr>
            <w:r w:rsidRPr="009B7B35">
              <w:rPr>
                <w:rFonts w:cs="Arial"/>
              </w:rPr>
              <w:t>1 space for 4 dwellings (minimum 4 spaces)</w:t>
            </w:r>
          </w:p>
        </w:tc>
      </w:tr>
      <w:tr w:rsidR="00BE36FB" w:rsidRPr="009B7B35" w14:paraId="4119307B" w14:textId="77777777" w:rsidTr="001A7107">
        <w:trPr>
          <w:cantSplit/>
        </w:trPr>
        <w:tc>
          <w:tcPr>
            <w:tcW w:w="2560" w:type="dxa"/>
          </w:tcPr>
          <w:p w14:paraId="5B538488" w14:textId="77777777" w:rsidR="00BE36FB" w:rsidRPr="009B7B35" w:rsidRDefault="00BE36FB" w:rsidP="001A7107">
            <w:pPr>
              <w:pStyle w:val="TableText"/>
              <w:rPr>
                <w:rFonts w:cs="Arial"/>
              </w:rPr>
            </w:pPr>
            <w:r w:rsidRPr="009B7B35">
              <w:rPr>
                <w:rFonts w:cs="Arial"/>
              </w:rPr>
              <w:t>Nature–based Tourism</w:t>
            </w:r>
          </w:p>
        </w:tc>
        <w:tc>
          <w:tcPr>
            <w:tcW w:w="4394" w:type="dxa"/>
          </w:tcPr>
          <w:p w14:paraId="2E103085" w14:textId="77777777" w:rsidR="00BE36FB" w:rsidRPr="009B7B35" w:rsidRDefault="00BE36FB" w:rsidP="001A7107">
            <w:pPr>
              <w:pStyle w:val="TableText"/>
              <w:rPr>
                <w:rFonts w:cs="Arial"/>
              </w:rPr>
            </w:pPr>
            <w:r w:rsidRPr="009B7B35">
              <w:rPr>
                <w:rFonts w:cs="Arial"/>
              </w:rPr>
              <w:t>1 space in addition to those required for the dwelling house, plus 1 additional space for every non–resident employee.</w:t>
            </w:r>
          </w:p>
        </w:tc>
        <w:tc>
          <w:tcPr>
            <w:tcW w:w="2426" w:type="dxa"/>
          </w:tcPr>
          <w:p w14:paraId="3E22335C" w14:textId="77777777" w:rsidR="00BE36FB" w:rsidRPr="009B7B35" w:rsidRDefault="00BE36FB" w:rsidP="001A7107">
            <w:pPr>
              <w:pStyle w:val="TableText"/>
              <w:rPr>
                <w:rFonts w:cs="Arial"/>
              </w:rPr>
            </w:pPr>
            <w:r w:rsidRPr="009B7B35">
              <w:rPr>
                <w:rFonts w:cs="Arial"/>
              </w:rPr>
              <w:t>Nil</w:t>
            </w:r>
          </w:p>
        </w:tc>
      </w:tr>
      <w:tr w:rsidR="00BE36FB" w:rsidRPr="009B7B35" w14:paraId="3DE69806" w14:textId="77777777" w:rsidTr="001A7107">
        <w:trPr>
          <w:cantSplit/>
        </w:trPr>
        <w:tc>
          <w:tcPr>
            <w:tcW w:w="2560" w:type="dxa"/>
          </w:tcPr>
          <w:p w14:paraId="7E65B346" w14:textId="77777777" w:rsidR="00BE36FB" w:rsidRPr="009B7B35" w:rsidRDefault="00BE36FB" w:rsidP="001A7107">
            <w:pPr>
              <w:pStyle w:val="TableText"/>
              <w:rPr>
                <w:rFonts w:cs="Arial"/>
              </w:rPr>
            </w:pPr>
            <w:r w:rsidRPr="009B7B35">
              <w:rPr>
                <w:rFonts w:cs="Arial"/>
              </w:rPr>
              <w:t>Non– Res Workforce Accommodation</w:t>
            </w:r>
          </w:p>
        </w:tc>
        <w:tc>
          <w:tcPr>
            <w:tcW w:w="4394" w:type="dxa"/>
          </w:tcPr>
          <w:p w14:paraId="1E9B8768" w14:textId="77777777" w:rsidR="00BE36FB" w:rsidRPr="009B7B35" w:rsidRDefault="00BE36FB" w:rsidP="001A7107">
            <w:pPr>
              <w:pStyle w:val="TableText"/>
              <w:rPr>
                <w:rFonts w:cs="Arial"/>
              </w:rPr>
            </w:pPr>
            <w:r w:rsidRPr="009B7B35">
              <w:rPr>
                <w:rFonts w:cs="Arial"/>
              </w:rPr>
              <w:t>1 space per dwelling unit and 1 space per every 4 rooming units, and 1 visitor space every 4 dwelling units, and 1 visitor space every 10 rooming units.</w:t>
            </w:r>
          </w:p>
        </w:tc>
        <w:tc>
          <w:tcPr>
            <w:tcW w:w="2426" w:type="dxa"/>
          </w:tcPr>
          <w:p w14:paraId="4FA667BD" w14:textId="77777777" w:rsidR="00BE36FB" w:rsidRPr="009B7B35" w:rsidRDefault="00BE36FB" w:rsidP="001A7107">
            <w:pPr>
              <w:pStyle w:val="TableText"/>
              <w:rPr>
                <w:rFonts w:cs="Arial"/>
              </w:rPr>
            </w:pPr>
            <w:r w:rsidRPr="009B7B35">
              <w:rPr>
                <w:rFonts w:cs="Arial"/>
              </w:rPr>
              <w:t>1 space for 10 rooming units (minimum 4 spaces)</w:t>
            </w:r>
          </w:p>
        </w:tc>
      </w:tr>
      <w:tr w:rsidR="00BE36FB" w:rsidRPr="009B7B35" w14:paraId="76E40AD9" w14:textId="77777777" w:rsidTr="001A7107">
        <w:trPr>
          <w:cantSplit/>
        </w:trPr>
        <w:tc>
          <w:tcPr>
            <w:tcW w:w="2560" w:type="dxa"/>
          </w:tcPr>
          <w:p w14:paraId="5262FA44" w14:textId="77777777" w:rsidR="00BE36FB" w:rsidRPr="009B7B35" w:rsidRDefault="00BE36FB" w:rsidP="001A7107">
            <w:pPr>
              <w:pStyle w:val="TableText"/>
              <w:rPr>
                <w:rFonts w:cs="Arial"/>
              </w:rPr>
            </w:pPr>
            <w:r w:rsidRPr="009B7B35">
              <w:rPr>
                <w:rFonts w:cs="Arial"/>
              </w:rPr>
              <w:t>Office</w:t>
            </w:r>
          </w:p>
        </w:tc>
        <w:tc>
          <w:tcPr>
            <w:tcW w:w="4394" w:type="dxa"/>
          </w:tcPr>
          <w:p w14:paraId="3A27E59C" w14:textId="77777777" w:rsidR="00BE36FB" w:rsidRPr="009B7B35" w:rsidRDefault="00BE36FB" w:rsidP="001A7107">
            <w:pPr>
              <w:pStyle w:val="TableText"/>
              <w:rPr>
                <w:rFonts w:cs="Arial"/>
              </w:rPr>
            </w:pPr>
            <w:r w:rsidRPr="009B7B35">
              <w:rPr>
                <w:rFonts w:cs="Arial"/>
              </w:rPr>
              <w:t>Principal centre zone and Mixed use zone: 1 space per 30m</w:t>
            </w:r>
            <w:r w:rsidRPr="009B7B35">
              <w:rPr>
                <w:rStyle w:val="StyleSuperscript"/>
                <w:rFonts w:cs="Arial"/>
              </w:rPr>
              <w:t>2</w:t>
            </w:r>
            <w:r w:rsidRPr="009B7B35">
              <w:rPr>
                <w:rFonts w:cs="Arial"/>
              </w:rPr>
              <w:t xml:space="preserve"> GFA.</w:t>
            </w:r>
          </w:p>
          <w:p w14:paraId="27A06285" w14:textId="77777777" w:rsidR="00BE36FB" w:rsidRPr="009B7B35" w:rsidRDefault="00BE36FB" w:rsidP="001A7107">
            <w:pPr>
              <w:pStyle w:val="TableText"/>
              <w:rPr>
                <w:rFonts w:cs="Arial"/>
              </w:rPr>
            </w:pPr>
            <w:r w:rsidRPr="009B7B35">
              <w:rPr>
                <w:rFonts w:cs="Arial"/>
              </w:rPr>
              <w:t>All other zones: 1 space per 25m</w:t>
            </w:r>
            <w:r w:rsidRPr="009B7B35">
              <w:rPr>
                <w:rStyle w:val="StyleSuperscript"/>
                <w:rFonts w:cs="Arial"/>
              </w:rPr>
              <w:t>2</w:t>
            </w:r>
            <w:r w:rsidRPr="009B7B35">
              <w:rPr>
                <w:rFonts w:cs="Arial"/>
              </w:rPr>
              <w:t xml:space="preserve"> GFA.</w:t>
            </w:r>
          </w:p>
        </w:tc>
        <w:tc>
          <w:tcPr>
            <w:tcW w:w="2426" w:type="dxa"/>
          </w:tcPr>
          <w:p w14:paraId="4EF061C8"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OR the number of bicycle spaces specified in MP 4.1 (Sustainable buildings) of the QDC, whichever is the greater (minimum 4 spaces)</w:t>
            </w:r>
          </w:p>
        </w:tc>
      </w:tr>
      <w:tr w:rsidR="00BE36FB" w:rsidRPr="009B7B35" w14:paraId="6F2CE580" w14:textId="77777777" w:rsidTr="001A7107">
        <w:trPr>
          <w:cantSplit/>
        </w:trPr>
        <w:tc>
          <w:tcPr>
            <w:tcW w:w="2560" w:type="dxa"/>
          </w:tcPr>
          <w:p w14:paraId="258114D4" w14:textId="77777777" w:rsidR="00BE36FB" w:rsidRPr="009B7B35" w:rsidRDefault="00BE36FB" w:rsidP="001A7107">
            <w:pPr>
              <w:pStyle w:val="TableText"/>
              <w:rPr>
                <w:rFonts w:cs="Arial"/>
              </w:rPr>
            </w:pPr>
            <w:r w:rsidRPr="009B7B35">
              <w:rPr>
                <w:rFonts w:cs="Arial"/>
              </w:rPr>
              <w:t>Outdoor Sales</w:t>
            </w:r>
          </w:p>
        </w:tc>
        <w:tc>
          <w:tcPr>
            <w:tcW w:w="4394" w:type="dxa"/>
          </w:tcPr>
          <w:p w14:paraId="6408D55E" w14:textId="77777777" w:rsidR="00BE36FB" w:rsidRPr="009B7B35" w:rsidRDefault="00BE36FB" w:rsidP="001A7107">
            <w:pPr>
              <w:pStyle w:val="TableText"/>
              <w:rPr>
                <w:rFonts w:cs="Arial"/>
              </w:rPr>
            </w:pPr>
            <w:r w:rsidRPr="009B7B35">
              <w:rPr>
                <w:rFonts w:cs="Arial"/>
              </w:rPr>
              <w:t>1 space per 100m</w:t>
            </w:r>
            <w:r w:rsidRPr="009B7B35">
              <w:rPr>
                <w:rStyle w:val="StyleSuperscript"/>
                <w:rFonts w:cs="Arial"/>
              </w:rPr>
              <w:t>2</w:t>
            </w:r>
            <w:r w:rsidRPr="009B7B35">
              <w:rPr>
                <w:rFonts w:cs="Arial"/>
              </w:rPr>
              <w:t xml:space="preserve"> site area used for the purposes of display and sale to the public.</w:t>
            </w:r>
          </w:p>
        </w:tc>
        <w:tc>
          <w:tcPr>
            <w:tcW w:w="2426" w:type="dxa"/>
          </w:tcPr>
          <w:p w14:paraId="41EE5482"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7E3303D4" w14:textId="77777777" w:rsidTr="001A7107">
        <w:trPr>
          <w:cantSplit/>
        </w:trPr>
        <w:tc>
          <w:tcPr>
            <w:tcW w:w="2560" w:type="dxa"/>
          </w:tcPr>
          <w:p w14:paraId="286D5D62" w14:textId="77777777" w:rsidR="00BE36FB" w:rsidRPr="009B7B35" w:rsidRDefault="00BE36FB" w:rsidP="001A7107">
            <w:pPr>
              <w:pStyle w:val="TableText"/>
              <w:rPr>
                <w:rFonts w:cs="Arial"/>
              </w:rPr>
            </w:pPr>
            <w:r w:rsidRPr="009B7B35">
              <w:rPr>
                <w:rFonts w:cs="Arial"/>
              </w:rPr>
              <w:t>Outdoor Sport &amp; Recreation</w:t>
            </w:r>
          </w:p>
        </w:tc>
        <w:tc>
          <w:tcPr>
            <w:tcW w:w="4394" w:type="dxa"/>
          </w:tcPr>
          <w:p w14:paraId="06A43213" w14:textId="77777777" w:rsidR="00BE36FB" w:rsidRPr="009B7B35" w:rsidRDefault="00BE36FB" w:rsidP="001A7107">
            <w:pPr>
              <w:pStyle w:val="TableText"/>
              <w:rPr>
                <w:rFonts w:cs="Arial"/>
              </w:rPr>
            </w:pPr>
            <w:r w:rsidRPr="009B7B35">
              <w:rPr>
                <w:rFonts w:cs="Arial"/>
              </w:rPr>
              <w:t>1 space per 20m</w:t>
            </w:r>
            <w:r w:rsidRPr="009B7B35">
              <w:rPr>
                <w:rStyle w:val="StyleSuperscript"/>
                <w:rFonts w:cs="Arial"/>
              </w:rPr>
              <w:t>2</w:t>
            </w:r>
            <w:r w:rsidRPr="009B7B35">
              <w:rPr>
                <w:rFonts w:cs="Arial"/>
              </w:rPr>
              <w:t xml:space="preserve"> GFA, or 1 space per 5 spectators able to be seated; or 4 spaces per court or lane.</w:t>
            </w:r>
          </w:p>
        </w:tc>
        <w:tc>
          <w:tcPr>
            <w:tcW w:w="2426" w:type="dxa"/>
          </w:tcPr>
          <w:p w14:paraId="6421C297"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6 spaces)</w:t>
            </w:r>
          </w:p>
        </w:tc>
      </w:tr>
      <w:tr w:rsidR="00BE36FB" w:rsidRPr="009B7B35" w14:paraId="028BA28F" w14:textId="77777777" w:rsidTr="001A7107">
        <w:trPr>
          <w:cantSplit/>
        </w:trPr>
        <w:tc>
          <w:tcPr>
            <w:tcW w:w="2560" w:type="dxa"/>
          </w:tcPr>
          <w:p w14:paraId="0626C837" w14:textId="77777777" w:rsidR="00BE36FB" w:rsidRPr="009B7B35" w:rsidRDefault="00BE36FB" w:rsidP="001A7107">
            <w:pPr>
              <w:pStyle w:val="TableText"/>
              <w:rPr>
                <w:rFonts w:cs="Arial"/>
              </w:rPr>
            </w:pPr>
            <w:r w:rsidRPr="009B7B35">
              <w:rPr>
                <w:rFonts w:cs="Arial"/>
              </w:rPr>
              <w:t>Place of Worship</w:t>
            </w:r>
          </w:p>
        </w:tc>
        <w:tc>
          <w:tcPr>
            <w:tcW w:w="4394" w:type="dxa"/>
          </w:tcPr>
          <w:p w14:paraId="18DBA48C" w14:textId="77777777" w:rsidR="00BE36FB" w:rsidRPr="009B7B35" w:rsidRDefault="00BE36FB" w:rsidP="001A7107">
            <w:pPr>
              <w:pStyle w:val="TableText"/>
              <w:rPr>
                <w:rFonts w:cs="Arial"/>
              </w:rPr>
            </w:pPr>
            <w:r w:rsidRPr="009B7B35">
              <w:rPr>
                <w:rFonts w:cs="Arial"/>
              </w:rPr>
              <w:t>1 space per 10 people able to be seated</w:t>
            </w:r>
          </w:p>
        </w:tc>
        <w:tc>
          <w:tcPr>
            <w:tcW w:w="2426" w:type="dxa"/>
          </w:tcPr>
          <w:p w14:paraId="3D445C09"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272EA3E8" w14:textId="77777777" w:rsidTr="001A7107">
        <w:trPr>
          <w:cantSplit/>
        </w:trPr>
        <w:tc>
          <w:tcPr>
            <w:tcW w:w="2560" w:type="dxa"/>
          </w:tcPr>
          <w:p w14:paraId="41E800E5" w14:textId="77777777" w:rsidR="00BE36FB" w:rsidRPr="009B7B35" w:rsidRDefault="00BE36FB" w:rsidP="001A7107">
            <w:pPr>
              <w:pStyle w:val="TableText"/>
              <w:rPr>
                <w:rFonts w:cs="Arial"/>
              </w:rPr>
            </w:pPr>
            <w:r w:rsidRPr="009B7B35">
              <w:rPr>
                <w:rFonts w:cs="Arial"/>
              </w:rPr>
              <w:t>Port Services</w:t>
            </w:r>
          </w:p>
        </w:tc>
        <w:tc>
          <w:tcPr>
            <w:tcW w:w="4394" w:type="dxa"/>
          </w:tcPr>
          <w:p w14:paraId="7C772CD4" w14:textId="77777777" w:rsidR="00BE36FB" w:rsidRPr="009B7B35" w:rsidRDefault="00BE36FB" w:rsidP="001A7107">
            <w:pPr>
              <w:pStyle w:val="TableText"/>
              <w:rPr>
                <w:rFonts w:cs="Arial"/>
              </w:rPr>
            </w:pPr>
            <w:r w:rsidRPr="009B7B35">
              <w:rPr>
                <w:rFonts w:cs="Arial"/>
              </w:rPr>
              <w:t>1 space per 50m</w:t>
            </w:r>
            <w:r w:rsidRPr="009B7B35">
              <w:rPr>
                <w:rStyle w:val="StyleSuperscript"/>
                <w:rFonts w:cs="Arial"/>
              </w:rPr>
              <w:t>2</w:t>
            </w:r>
            <w:r w:rsidRPr="009B7B35">
              <w:rPr>
                <w:rFonts w:cs="Arial"/>
              </w:rPr>
              <w:t xml:space="preserve"> GFA; plus 1 space per berth or mooring facility available. Heavy vehicles must be able to be accommodated and turned on site.</w:t>
            </w:r>
          </w:p>
        </w:tc>
        <w:tc>
          <w:tcPr>
            <w:tcW w:w="2426" w:type="dxa"/>
          </w:tcPr>
          <w:p w14:paraId="02FFB77B"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033ACFD1" w14:textId="77777777" w:rsidTr="001A7107">
        <w:trPr>
          <w:cantSplit/>
        </w:trPr>
        <w:tc>
          <w:tcPr>
            <w:tcW w:w="2560" w:type="dxa"/>
          </w:tcPr>
          <w:p w14:paraId="4352B3EE" w14:textId="77777777" w:rsidR="00BE36FB" w:rsidRPr="009B7B35" w:rsidRDefault="00BE36FB" w:rsidP="001A7107">
            <w:pPr>
              <w:pStyle w:val="TableText"/>
              <w:rPr>
                <w:rFonts w:cs="Arial"/>
              </w:rPr>
            </w:pPr>
            <w:r w:rsidRPr="009B7B35">
              <w:rPr>
                <w:rFonts w:cs="Arial"/>
              </w:rPr>
              <w:t>Relocatable Home Park/Caravan Park</w:t>
            </w:r>
          </w:p>
        </w:tc>
        <w:tc>
          <w:tcPr>
            <w:tcW w:w="4394" w:type="dxa"/>
          </w:tcPr>
          <w:p w14:paraId="56CD883A" w14:textId="77777777" w:rsidR="00BE36FB" w:rsidRPr="009B7B35" w:rsidRDefault="00BE36FB" w:rsidP="001A7107">
            <w:pPr>
              <w:pStyle w:val="TableText"/>
              <w:rPr>
                <w:rFonts w:cs="Arial"/>
              </w:rPr>
            </w:pPr>
            <w:r w:rsidRPr="009B7B35">
              <w:rPr>
                <w:rFonts w:cs="Arial"/>
              </w:rPr>
              <w:t>1 space per caravan, plus 1 space per cabin site or relocatable home site to be located adjacent to such site plus 1 space per camping site, plus 1 space per 10 van sites, cabin site and relocatable home site for visitors. Emergency vehicle access and parking facilities. Emergency vehicle access and parking facilities.</w:t>
            </w:r>
          </w:p>
        </w:tc>
        <w:tc>
          <w:tcPr>
            <w:tcW w:w="2426" w:type="dxa"/>
          </w:tcPr>
          <w:p w14:paraId="25EFFFF3" w14:textId="77777777" w:rsidR="00BE36FB" w:rsidRPr="009B7B35" w:rsidRDefault="00BE36FB" w:rsidP="001A7107">
            <w:pPr>
              <w:pStyle w:val="TableText"/>
              <w:rPr>
                <w:rFonts w:cs="Arial"/>
              </w:rPr>
            </w:pPr>
            <w:r w:rsidRPr="009B7B35">
              <w:rPr>
                <w:rFonts w:cs="Arial"/>
              </w:rPr>
              <w:t>1 space per relocatable home site (minimum 4 spaces)</w:t>
            </w:r>
          </w:p>
        </w:tc>
      </w:tr>
      <w:tr w:rsidR="00BE36FB" w:rsidRPr="009B7B35" w14:paraId="2F34B6BA" w14:textId="77777777" w:rsidTr="001A7107">
        <w:trPr>
          <w:cantSplit/>
        </w:trPr>
        <w:tc>
          <w:tcPr>
            <w:tcW w:w="2560" w:type="dxa"/>
          </w:tcPr>
          <w:p w14:paraId="024343CB" w14:textId="77777777" w:rsidR="00BE36FB" w:rsidRPr="009B7B35" w:rsidRDefault="00BE36FB" w:rsidP="001A7107">
            <w:pPr>
              <w:pStyle w:val="TableText"/>
              <w:rPr>
                <w:rFonts w:cs="Arial"/>
              </w:rPr>
            </w:pPr>
            <w:r w:rsidRPr="009B7B35">
              <w:rPr>
                <w:rFonts w:cs="Arial"/>
              </w:rPr>
              <w:t>Resort Complex</w:t>
            </w:r>
          </w:p>
        </w:tc>
        <w:tc>
          <w:tcPr>
            <w:tcW w:w="4394" w:type="dxa"/>
          </w:tcPr>
          <w:p w14:paraId="698C856F" w14:textId="77777777" w:rsidR="00BE36FB" w:rsidRPr="009B7B35" w:rsidRDefault="00BE36FB" w:rsidP="001A7107">
            <w:pPr>
              <w:pStyle w:val="TableText"/>
              <w:rPr>
                <w:rFonts w:cs="Arial"/>
              </w:rPr>
            </w:pPr>
            <w:r w:rsidRPr="009B7B35">
              <w:rPr>
                <w:rFonts w:cs="Arial"/>
              </w:rPr>
              <w:t>2 spaces, plus 1 space per dwelling unit or rooming unit, plus 1 space per 30m</w:t>
            </w:r>
            <w:r w:rsidRPr="009B7B35">
              <w:rPr>
                <w:rStyle w:val="StyleSuperscript"/>
                <w:rFonts w:cs="Arial"/>
              </w:rPr>
              <w:t>2</w:t>
            </w:r>
            <w:r w:rsidRPr="009B7B35">
              <w:rPr>
                <w:rFonts w:cs="Arial"/>
              </w:rPr>
              <w:t xml:space="preserve"> GFA of any restaurant and/or conference facilities, plus 1 space per 2 employees, plus those spaces required in accordance with the particular use accommodated on the site (i.e. 1 per 30sqm GFA for commercial premises etc.)</w:t>
            </w:r>
          </w:p>
        </w:tc>
        <w:tc>
          <w:tcPr>
            <w:tcW w:w="2426" w:type="dxa"/>
          </w:tcPr>
          <w:p w14:paraId="4EE7D720" w14:textId="77777777" w:rsidR="00BE36FB" w:rsidRPr="009B7B35" w:rsidRDefault="00BE36FB" w:rsidP="001A7107">
            <w:pPr>
              <w:pStyle w:val="TableText"/>
              <w:rPr>
                <w:rFonts w:cs="Arial"/>
              </w:rPr>
            </w:pPr>
            <w:r w:rsidRPr="009B7B35">
              <w:rPr>
                <w:rFonts w:cs="Arial"/>
              </w:rPr>
              <w:t>1 space per 10 sites (minimum 4 spaces)</w:t>
            </w:r>
          </w:p>
        </w:tc>
      </w:tr>
      <w:tr w:rsidR="00BE36FB" w:rsidRPr="009B7B35" w14:paraId="7887F2E1" w14:textId="77777777" w:rsidTr="001A7107">
        <w:trPr>
          <w:cantSplit/>
        </w:trPr>
        <w:tc>
          <w:tcPr>
            <w:tcW w:w="2560" w:type="dxa"/>
          </w:tcPr>
          <w:p w14:paraId="1452B7B8" w14:textId="77777777" w:rsidR="00BE36FB" w:rsidRPr="009B7B35" w:rsidRDefault="00BE36FB" w:rsidP="001A7107">
            <w:pPr>
              <w:pStyle w:val="TableText"/>
              <w:rPr>
                <w:rFonts w:cs="Arial"/>
              </w:rPr>
            </w:pPr>
            <w:r w:rsidRPr="009B7B35">
              <w:rPr>
                <w:rFonts w:cs="Arial"/>
              </w:rPr>
              <w:t xml:space="preserve">Retirement Facility Residential Care Facility </w:t>
            </w:r>
          </w:p>
        </w:tc>
        <w:tc>
          <w:tcPr>
            <w:tcW w:w="4394" w:type="dxa"/>
          </w:tcPr>
          <w:p w14:paraId="445EBF85" w14:textId="77777777" w:rsidR="00BE36FB" w:rsidRPr="009B7B35" w:rsidRDefault="00BE36FB" w:rsidP="001A7107">
            <w:pPr>
              <w:pStyle w:val="TableText"/>
              <w:rPr>
                <w:rFonts w:cs="Arial"/>
              </w:rPr>
            </w:pPr>
            <w:r w:rsidRPr="009B7B35">
              <w:rPr>
                <w:rFonts w:cs="Arial"/>
              </w:rPr>
              <w:t>1 space per 4 nursing home beds plus 1 space per employee; plus 1 space per 4 hostel type units, plus 1 space per self–contained unit, plus 1 space per 2 employees.</w:t>
            </w:r>
          </w:p>
        </w:tc>
        <w:tc>
          <w:tcPr>
            <w:tcW w:w="2426" w:type="dxa"/>
          </w:tcPr>
          <w:p w14:paraId="01E63B92" w14:textId="77777777" w:rsidR="00BE36FB" w:rsidRPr="009B7B35" w:rsidRDefault="00BE36FB" w:rsidP="001A7107">
            <w:pPr>
              <w:pStyle w:val="TableText"/>
              <w:rPr>
                <w:rFonts w:cs="Arial"/>
              </w:rPr>
            </w:pPr>
            <w:r w:rsidRPr="009B7B35">
              <w:rPr>
                <w:rFonts w:cs="Arial"/>
              </w:rPr>
              <w:t>1 space per 10 beds (minimum 4 spaces)</w:t>
            </w:r>
          </w:p>
        </w:tc>
      </w:tr>
      <w:tr w:rsidR="00BE36FB" w:rsidRPr="009B7B35" w14:paraId="4085EC05" w14:textId="77777777" w:rsidTr="001A7107">
        <w:trPr>
          <w:cantSplit/>
        </w:trPr>
        <w:tc>
          <w:tcPr>
            <w:tcW w:w="2560" w:type="dxa"/>
          </w:tcPr>
          <w:p w14:paraId="127D8D57" w14:textId="77777777" w:rsidR="00BE36FB" w:rsidRPr="009B7B35" w:rsidRDefault="00BE36FB" w:rsidP="001A7107">
            <w:pPr>
              <w:pStyle w:val="TableText"/>
              <w:rPr>
                <w:rFonts w:cs="Arial"/>
              </w:rPr>
            </w:pPr>
            <w:r w:rsidRPr="009B7B35">
              <w:rPr>
                <w:rFonts w:cs="Arial"/>
              </w:rPr>
              <w:t>Roadside Stall</w:t>
            </w:r>
          </w:p>
        </w:tc>
        <w:tc>
          <w:tcPr>
            <w:tcW w:w="4394" w:type="dxa"/>
          </w:tcPr>
          <w:p w14:paraId="75A406DD" w14:textId="77777777" w:rsidR="00BE36FB" w:rsidRPr="009B7B35" w:rsidRDefault="00BE36FB" w:rsidP="001A7107">
            <w:pPr>
              <w:pStyle w:val="TableText"/>
              <w:rPr>
                <w:rFonts w:cs="Arial"/>
              </w:rPr>
            </w:pPr>
            <w:r w:rsidRPr="009B7B35">
              <w:rPr>
                <w:rFonts w:cs="Arial"/>
              </w:rPr>
              <w:t>3 spaces. Provision for vehicles to safely decelerate and park off–road and to accelerate and re–enter traffic stream.</w:t>
            </w:r>
          </w:p>
        </w:tc>
        <w:tc>
          <w:tcPr>
            <w:tcW w:w="2426" w:type="dxa"/>
          </w:tcPr>
          <w:p w14:paraId="30A83855" w14:textId="77777777" w:rsidR="00BE36FB" w:rsidRPr="009B7B35" w:rsidRDefault="00BE36FB" w:rsidP="001A7107">
            <w:pPr>
              <w:pStyle w:val="TableText"/>
              <w:rPr>
                <w:rFonts w:cs="Arial"/>
              </w:rPr>
            </w:pPr>
            <w:r w:rsidRPr="009B7B35">
              <w:rPr>
                <w:rFonts w:cs="Arial"/>
              </w:rPr>
              <w:t>Nil</w:t>
            </w:r>
          </w:p>
        </w:tc>
      </w:tr>
      <w:tr w:rsidR="00BE36FB" w:rsidRPr="009B7B35" w14:paraId="351CD181" w14:textId="77777777" w:rsidTr="001A7107">
        <w:trPr>
          <w:cantSplit/>
        </w:trPr>
        <w:tc>
          <w:tcPr>
            <w:tcW w:w="2560" w:type="dxa"/>
          </w:tcPr>
          <w:p w14:paraId="6CBC5F2B" w14:textId="77777777" w:rsidR="00BE36FB" w:rsidRPr="009B7B35" w:rsidRDefault="00BE36FB" w:rsidP="001A7107">
            <w:pPr>
              <w:pStyle w:val="TableText"/>
              <w:rPr>
                <w:rFonts w:cs="Arial"/>
              </w:rPr>
            </w:pPr>
            <w:r w:rsidRPr="009B7B35">
              <w:rPr>
                <w:rFonts w:cs="Arial"/>
              </w:rPr>
              <w:t>Rooming Accommodation</w:t>
            </w:r>
          </w:p>
        </w:tc>
        <w:tc>
          <w:tcPr>
            <w:tcW w:w="4394" w:type="dxa"/>
          </w:tcPr>
          <w:p w14:paraId="119BEF48" w14:textId="77777777" w:rsidR="00BE36FB" w:rsidRPr="009B7B35" w:rsidRDefault="00BE36FB" w:rsidP="001A7107">
            <w:pPr>
              <w:pStyle w:val="TableText"/>
              <w:rPr>
                <w:rFonts w:cs="Arial"/>
              </w:rPr>
            </w:pPr>
            <w:r w:rsidRPr="009B7B35">
              <w:rPr>
                <w:rFonts w:cs="Arial"/>
              </w:rPr>
              <w:t>1.5 spaces per unit.</w:t>
            </w:r>
          </w:p>
        </w:tc>
        <w:tc>
          <w:tcPr>
            <w:tcW w:w="2426" w:type="dxa"/>
          </w:tcPr>
          <w:p w14:paraId="26375DF9" w14:textId="77777777" w:rsidR="00BE36FB" w:rsidRPr="009B7B35" w:rsidRDefault="00BE36FB" w:rsidP="001A7107">
            <w:pPr>
              <w:pStyle w:val="TableText"/>
              <w:rPr>
                <w:rFonts w:cs="Arial"/>
              </w:rPr>
            </w:pPr>
            <w:r w:rsidRPr="009B7B35">
              <w:rPr>
                <w:rFonts w:cs="Arial"/>
              </w:rPr>
              <w:t>1 space per 10 rooming units (minimum 4 spaces)</w:t>
            </w:r>
          </w:p>
        </w:tc>
      </w:tr>
      <w:tr w:rsidR="00BE36FB" w:rsidRPr="009B7B35" w14:paraId="24FF1854" w14:textId="77777777" w:rsidTr="001A7107">
        <w:trPr>
          <w:cantSplit/>
        </w:trPr>
        <w:tc>
          <w:tcPr>
            <w:tcW w:w="2560" w:type="dxa"/>
          </w:tcPr>
          <w:p w14:paraId="2D9E169C" w14:textId="77777777" w:rsidR="00BE36FB" w:rsidRPr="009B7B35" w:rsidRDefault="00BE36FB" w:rsidP="001A7107">
            <w:pPr>
              <w:pStyle w:val="TableText"/>
              <w:rPr>
                <w:rFonts w:cs="Arial"/>
              </w:rPr>
            </w:pPr>
            <w:r w:rsidRPr="009B7B35">
              <w:rPr>
                <w:rFonts w:cs="Arial"/>
              </w:rPr>
              <w:t xml:space="preserve">Rural Industry </w:t>
            </w:r>
          </w:p>
        </w:tc>
        <w:tc>
          <w:tcPr>
            <w:tcW w:w="4394" w:type="dxa"/>
          </w:tcPr>
          <w:p w14:paraId="24D622DC" w14:textId="77777777" w:rsidR="00BE36FB" w:rsidRPr="009B7B35" w:rsidRDefault="00BE36FB" w:rsidP="001A7107">
            <w:pPr>
              <w:pStyle w:val="TableText"/>
              <w:rPr>
                <w:rFonts w:cs="Arial"/>
              </w:rPr>
            </w:pPr>
            <w:r w:rsidRPr="009B7B35">
              <w:rPr>
                <w:rFonts w:cs="Arial"/>
              </w:rPr>
              <w:t>1 space per 50m</w:t>
            </w:r>
            <w:r w:rsidRPr="009B7B35">
              <w:rPr>
                <w:rStyle w:val="StyleSuperscript"/>
                <w:rFonts w:cs="Arial"/>
              </w:rPr>
              <w:t>2</w:t>
            </w:r>
            <w:r w:rsidRPr="009B7B35">
              <w:rPr>
                <w:rFonts w:cs="Arial"/>
              </w:rPr>
              <w:t xml:space="preserve"> GFA for the first 500m</w:t>
            </w:r>
            <w:r w:rsidRPr="009B7B35">
              <w:rPr>
                <w:rStyle w:val="StyleSuperscript"/>
                <w:rFonts w:cs="Arial"/>
              </w:rPr>
              <w:t>2</w:t>
            </w:r>
            <w:r w:rsidRPr="009B7B35">
              <w:rPr>
                <w:rFonts w:cs="Arial"/>
              </w:rPr>
              <w:t>, plus 1 space per 100m</w:t>
            </w:r>
            <w:r w:rsidRPr="009B7B35">
              <w:rPr>
                <w:rStyle w:val="StyleSuperscript"/>
                <w:rFonts w:cs="Arial"/>
              </w:rPr>
              <w:t>2</w:t>
            </w:r>
            <w:r w:rsidRPr="009B7B35">
              <w:rPr>
                <w:rFonts w:cs="Arial"/>
              </w:rPr>
              <w:t xml:space="preserve"> GFA thereafter. Heavy vehicles must be able to be accommodated and turned on site.</w:t>
            </w:r>
          </w:p>
        </w:tc>
        <w:tc>
          <w:tcPr>
            <w:tcW w:w="2426" w:type="dxa"/>
          </w:tcPr>
          <w:p w14:paraId="460410A3" w14:textId="77777777" w:rsidR="00BE36FB" w:rsidRPr="009B7B35" w:rsidRDefault="00BE36FB" w:rsidP="001A7107">
            <w:pPr>
              <w:pStyle w:val="TableText"/>
              <w:rPr>
                <w:rFonts w:cs="Arial"/>
              </w:rPr>
            </w:pPr>
            <w:r w:rsidRPr="009B7B35">
              <w:rPr>
                <w:rFonts w:cs="Arial"/>
              </w:rPr>
              <w:t>Nil</w:t>
            </w:r>
          </w:p>
        </w:tc>
      </w:tr>
      <w:tr w:rsidR="00BE36FB" w:rsidRPr="009B7B35" w14:paraId="204B1068" w14:textId="77777777" w:rsidTr="001A7107">
        <w:trPr>
          <w:cantSplit/>
        </w:trPr>
        <w:tc>
          <w:tcPr>
            <w:tcW w:w="2560" w:type="dxa"/>
          </w:tcPr>
          <w:p w14:paraId="6955238F" w14:textId="77777777" w:rsidR="00BE36FB" w:rsidRPr="009B7B35" w:rsidRDefault="00BE36FB" w:rsidP="001A7107">
            <w:pPr>
              <w:pStyle w:val="TableText"/>
              <w:rPr>
                <w:rFonts w:cs="Arial"/>
              </w:rPr>
            </w:pPr>
            <w:r w:rsidRPr="009B7B35">
              <w:rPr>
                <w:rFonts w:cs="Arial"/>
              </w:rPr>
              <w:t>Rural Workers Accommodation</w:t>
            </w:r>
          </w:p>
        </w:tc>
        <w:tc>
          <w:tcPr>
            <w:tcW w:w="4394" w:type="dxa"/>
          </w:tcPr>
          <w:p w14:paraId="02420503" w14:textId="77777777" w:rsidR="00BE36FB" w:rsidRPr="009B7B35" w:rsidRDefault="00BE36FB" w:rsidP="001A7107">
            <w:pPr>
              <w:pStyle w:val="TableText"/>
              <w:rPr>
                <w:rFonts w:cs="Arial"/>
              </w:rPr>
            </w:pPr>
            <w:r w:rsidRPr="009B7B35">
              <w:rPr>
                <w:rFonts w:cs="Arial"/>
              </w:rPr>
              <w:t>1 space per unit or rooming unit.</w:t>
            </w:r>
          </w:p>
        </w:tc>
        <w:tc>
          <w:tcPr>
            <w:tcW w:w="2426" w:type="dxa"/>
          </w:tcPr>
          <w:p w14:paraId="39C6F252" w14:textId="77777777" w:rsidR="00BE36FB" w:rsidRPr="009B7B35" w:rsidRDefault="00BE36FB" w:rsidP="001A7107">
            <w:pPr>
              <w:pStyle w:val="TableText"/>
              <w:rPr>
                <w:rFonts w:cs="Arial"/>
              </w:rPr>
            </w:pPr>
            <w:r w:rsidRPr="009B7B35">
              <w:rPr>
                <w:rFonts w:cs="Arial"/>
              </w:rPr>
              <w:t>Nil</w:t>
            </w:r>
          </w:p>
        </w:tc>
      </w:tr>
      <w:tr w:rsidR="00BE36FB" w:rsidRPr="009B7B35" w14:paraId="367C64EA" w14:textId="77777777" w:rsidTr="001A7107">
        <w:trPr>
          <w:cantSplit/>
        </w:trPr>
        <w:tc>
          <w:tcPr>
            <w:tcW w:w="2560" w:type="dxa"/>
          </w:tcPr>
          <w:p w14:paraId="7AC11D60" w14:textId="77777777" w:rsidR="00BE36FB" w:rsidRPr="009B7B35" w:rsidRDefault="00BE36FB" w:rsidP="001A7107">
            <w:pPr>
              <w:pStyle w:val="TableText"/>
              <w:rPr>
                <w:rFonts w:cs="Arial"/>
              </w:rPr>
            </w:pPr>
            <w:r w:rsidRPr="009B7B35">
              <w:rPr>
                <w:rFonts w:cs="Arial"/>
              </w:rPr>
              <w:t>Sales Office</w:t>
            </w:r>
          </w:p>
        </w:tc>
        <w:tc>
          <w:tcPr>
            <w:tcW w:w="4394" w:type="dxa"/>
          </w:tcPr>
          <w:p w14:paraId="5D90E389" w14:textId="77777777" w:rsidR="00BE36FB" w:rsidRPr="009B7B35" w:rsidRDefault="00BE36FB" w:rsidP="001A7107">
            <w:pPr>
              <w:pStyle w:val="TableText"/>
              <w:rPr>
                <w:rFonts w:cs="Arial"/>
              </w:rPr>
            </w:pPr>
            <w:r w:rsidRPr="009B7B35">
              <w:rPr>
                <w:rFonts w:cs="Arial"/>
              </w:rPr>
              <w:t>2 sealed spaces. Frontage to a sealed road to allow for roadside parking.</w:t>
            </w:r>
          </w:p>
        </w:tc>
        <w:tc>
          <w:tcPr>
            <w:tcW w:w="2426" w:type="dxa"/>
          </w:tcPr>
          <w:p w14:paraId="1A75DBC2" w14:textId="77777777" w:rsidR="00BE36FB" w:rsidRPr="009B7B35" w:rsidRDefault="00BE36FB" w:rsidP="001A7107">
            <w:pPr>
              <w:pStyle w:val="TableText"/>
              <w:rPr>
                <w:rFonts w:cs="Arial"/>
              </w:rPr>
            </w:pPr>
            <w:r w:rsidRPr="009B7B35">
              <w:rPr>
                <w:rFonts w:cs="Arial"/>
              </w:rPr>
              <w:t>Nil</w:t>
            </w:r>
          </w:p>
        </w:tc>
      </w:tr>
      <w:tr w:rsidR="00BE36FB" w:rsidRPr="009B7B35" w14:paraId="1E570780" w14:textId="77777777" w:rsidTr="001A7107">
        <w:trPr>
          <w:cantSplit/>
        </w:trPr>
        <w:tc>
          <w:tcPr>
            <w:tcW w:w="2560" w:type="dxa"/>
          </w:tcPr>
          <w:p w14:paraId="5D382AC4" w14:textId="77777777" w:rsidR="00BE36FB" w:rsidRPr="009B7B35" w:rsidRDefault="00BE36FB" w:rsidP="001A7107">
            <w:pPr>
              <w:pStyle w:val="TableText"/>
              <w:rPr>
                <w:rFonts w:cs="Arial"/>
              </w:rPr>
            </w:pPr>
            <w:r w:rsidRPr="009B7B35">
              <w:rPr>
                <w:rFonts w:cs="Arial"/>
              </w:rPr>
              <w:t>Service Industry</w:t>
            </w:r>
          </w:p>
        </w:tc>
        <w:tc>
          <w:tcPr>
            <w:tcW w:w="4394" w:type="dxa"/>
          </w:tcPr>
          <w:p w14:paraId="4ECD7F2A" w14:textId="77777777" w:rsidR="00BE36FB" w:rsidRPr="009B7B35" w:rsidRDefault="00BE36FB" w:rsidP="001A7107">
            <w:pPr>
              <w:pStyle w:val="TableText"/>
              <w:rPr>
                <w:rFonts w:cs="Arial"/>
              </w:rPr>
            </w:pPr>
            <w:r w:rsidRPr="009B7B35">
              <w:rPr>
                <w:rFonts w:cs="Arial"/>
              </w:rPr>
              <w:t>1 space per 30sqm GFA.</w:t>
            </w:r>
          </w:p>
        </w:tc>
        <w:tc>
          <w:tcPr>
            <w:tcW w:w="2426" w:type="dxa"/>
          </w:tcPr>
          <w:p w14:paraId="3C943F8E"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740944E3" w14:textId="77777777" w:rsidTr="001A7107">
        <w:trPr>
          <w:cantSplit/>
        </w:trPr>
        <w:tc>
          <w:tcPr>
            <w:tcW w:w="2560" w:type="dxa"/>
          </w:tcPr>
          <w:p w14:paraId="0BC775F8" w14:textId="77777777" w:rsidR="00BE36FB" w:rsidRPr="009B7B35" w:rsidRDefault="00BE36FB" w:rsidP="001A7107">
            <w:pPr>
              <w:pStyle w:val="TableText"/>
              <w:rPr>
                <w:rFonts w:cs="Arial"/>
              </w:rPr>
            </w:pPr>
            <w:r w:rsidRPr="009B7B35">
              <w:rPr>
                <w:rFonts w:cs="Arial"/>
              </w:rPr>
              <w:t>Service Station</w:t>
            </w:r>
          </w:p>
        </w:tc>
        <w:tc>
          <w:tcPr>
            <w:tcW w:w="4394" w:type="dxa"/>
          </w:tcPr>
          <w:p w14:paraId="7E0574F8" w14:textId="77777777" w:rsidR="00BE36FB" w:rsidRPr="009B7B35" w:rsidRDefault="00BE36FB" w:rsidP="001A7107">
            <w:pPr>
              <w:pStyle w:val="TableText"/>
              <w:rPr>
                <w:rFonts w:cs="Arial"/>
              </w:rPr>
            </w:pPr>
            <w:r w:rsidRPr="009B7B35">
              <w:rPr>
                <w:rFonts w:cs="Arial"/>
              </w:rPr>
              <w:t>1 space per employee, plus 2 visitor spaces. Minimum 4 spaces. Heavy vehicles must be able to be accommodated and turned on site.</w:t>
            </w:r>
          </w:p>
        </w:tc>
        <w:tc>
          <w:tcPr>
            <w:tcW w:w="2426" w:type="dxa"/>
          </w:tcPr>
          <w:p w14:paraId="3265520B"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6 spaces)</w:t>
            </w:r>
          </w:p>
        </w:tc>
      </w:tr>
      <w:tr w:rsidR="00BE36FB" w:rsidRPr="009B7B35" w14:paraId="7745384B" w14:textId="77777777" w:rsidTr="001A7107">
        <w:trPr>
          <w:cantSplit/>
        </w:trPr>
        <w:tc>
          <w:tcPr>
            <w:tcW w:w="2560" w:type="dxa"/>
          </w:tcPr>
          <w:p w14:paraId="22A4B0F4" w14:textId="77777777" w:rsidR="00BE36FB" w:rsidRPr="009B7B35" w:rsidRDefault="00BE36FB" w:rsidP="001A7107">
            <w:pPr>
              <w:pStyle w:val="TableText"/>
              <w:rPr>
                <w:rFonts w:cs="Arial"/>
              </w:rPr>
            </w:pPr>
            <w:r w:rsidRPr="009B7B35">
              <w:rPr>
                <w:rFonts w:cs="Arial"/>
              </w:rPr>
              <w:t>Shop</w:t>
            </w:r>
          </w:p>
        </w:tc>
        <w:tc>
          <w:tcPr>
            <w:tcW w:w="4394" w:type="dxa"/>
          </w:tcPr>
          <w:p w14:paraId="2325371E" w14:textId="77777777" w:rsidR="00BE36FB" w:rsidRPr="009B7B35" w:rsidRDefault="00BE36FB" w:rsidP="001A7107">
            <w:pPr>
              <w:pStyle w:val="TableText"/>
              <w:rPr>
                <w:rFonts w:cs="Arial"/>
              </w:rPr>
            </w:pPr>
            <w:r w:rsidRPr="009B7B35">
              <w:rPr>
                <w:rFonts w:cs="Arial"/>
              </w:rPr>
              <w:t>Principal centre zone and Mixed use zone: 1 space per 30m</w:t>
            </w:r>
            <w:r w:rsidRPr="009B7B35">
              <w:rPr>
                <w:rStyle w:val="StyleSuperscript"/>
                <w:rFonts w:cs="Arial"/>
              </w:rPr>
              <w:t>2</w:t>
            </w:r>
            <w:r w:rsidRPr="009B7B35">
              <w:rPr>
                <w:rFonts w:cs="Arial"/>
              </w:rPr>
              <w:t xml:space="preserve"> GFA.</w:t>
            </w:r>
          </w:p>
          <w:p w14:paraId="65C02F65" w14:textId="77777777" w:rsidR="00BE36FB" w:rsidRPr="009B7B35" w:rsidRDefault="00BE36FB" w:rsidP="001A7107">
            <w:pPr>
              <w:pStyle w:val="TableText"/>
              <w:rPr>
                <w:rFonts w:cs="Arial"/>
              </w:rPr>
            </w:pPr>
            <w:r w:rsidRPr="009B7B35">
              <w:rPr>
                <w:rFonts w:cs="Arial"/>
              </w:rPr>
              <w:t>All other zones: 1 space per 25m</w:t>
            </w:r>
            <w:r w:rsidRPr="009B7B35">
              <w:rPr>
                <w:rStyle w:val="StyleSuperscript"/>
                <w:rFonts w:cs="Arial"/>
              </w:rPr>
              <w:t>2</w:t>
            </w:r>
            <w:r w:rsidRPr="009B7B35">
              <w:rPr>
                <w:rFonts w:cs="Arial"/>
              </w:rPr>
              <w:t xml:space="preserve"> GFA.</w:t>
            </w:r>
          </w:p>
        </w:tc>
        <w:tc>
          <w:tcPr>
            <w:tcW w:w="2426" w:type="dxa"/>
          </w:tcPr>
          <w:p w14:paraId="18E72A0F" w14:textId="77777777" w:rsidR="00BE36FB" w:rsidRPr="009B7B35" w:rsidRDefault="00BE36FB" w:rsidP="001A7107">
            <w:pPr>
              <w:pStyle w:val="TableText"/>
              <w:rPr>
                <w:rFonts w:cs="Arial"/>
              </w:rPr>
            </w:pPr>
            <w:r w:rsidRPr="009B7B35">
              <w:rPr>
                <w:rFonts w:cs="Arial"/>
              </w:rPr>
              <w:t>1 space per 200m</w:t>
            </w:r>
            <w:r w:rsidRPr="009B7B35">
              <w:rPr>
                <w:rStyle w:val="StyleSuperscript"/>
                <w:rFonts w:cs="Arial"/>
              </w:rPr>
              <w:t>2</w:t>
            </w:r>
            <w:r w:rsidRPr="009B7B35">
              <w:rPr>
                <w:rFonts w:cs="Arial"/>
              </w:rPr>
              <w:t xml:space="preserve"> GFA (minimum 4 spaces)</w:t>
            </w:r>
          </w:p>
        </w:tc>
      </w:tr>
      <w:tr w:rsidR="00BE36FB" w:rsidRPr="009B7B35" w14:paraId="639A505E" w14:textId="77777777" w:rsidTr="001A7107">
        <w:trPr>
          <w:cantSplit/>
        </w:trPr>
        <w:tc>
          <w:tcPr>
            <w:tcW w:w="2560" w:type="dxa"/>
          </w:tcPr>
          <w:p w14:paraId="358D93F3" w14:textId="77777777" w:rsidR="00BE36FB" w:rsidRPr="009B7B35" w:rsidRDefault="00BE36FB" w:rsidP="001A7107">
            <w:pPr>
              <w:pStyle w:val="TableText"/>
              <w:rPr>
                <w:rFonts w:cs="Arial"/>
              </w:rPr>
            </w:pPr>
            <w:r w:rsidRPr="009B7B35">
              <w:rPr>
                <w:rFonts w:cs="Arial"/>
              </w:rPr>
              <w:t>Shopping Centre</w:t>
            </w:r>
          </w:p>
        </w:tc>
        <w:tc>
          <w:tcPr>
            <w:tcW w:w="4394" w:type="dxa"/>
          </w:tcPr>
          <w:p w14:paraId="1371B11D" w14:textId="77777777" w:rsidR="00BE36FB" w:rsidRPr="009B7B35" w:rsidRDefault="00BE36FB" w:rsidP="001A7107">
            <w:pPr>
              <w:pStyle w:val="TableText"/>
              <w:rPr>
                <w:rFonts w:cs="Arial"/>
              </w:rPr>
            </w:pPr>
            <w:r w:rsidRPr="009B7B35">
              <w:rPr>
                <w:rFonts w:cs="Arial"/>
              </w:rPr>
              <w:t>Principal centre zone and Mixed use zone: 1 space per 30m</w:t>
            </w:r>
            <w:r w:rsidRPr="009B7B35">
              <w:rPr>
                <w:rStyle w:val="StyleSuperscript"/>
                <w:rFonts w:cs="Arial"/>
              </w:rPr>
              <w:t>2</w:t>
            </w:r>
            <w:r w:rsidRPr="009B7B35">
              <w:rPr>
                <w:rFonts w:cs="Arial"/>
              </w:rPr>
              <w:t xml:space="preserve"> GFA.</w:t>
            </w:r>
          </w:p>
          <w:p w14:paraId="0BA4653A" w14:textId="77777777" w:rsidR="00BE36FB" w:rsidRPr="009B7B35" w:rsidRDefault="00BE36FB" w:rsidP="001A7107">
            <w:pPr>
              <w:pStyle w:val="TableText"/>
              <w:rPr>
                <w:rFonts w:cs="Arial"/>
              </w:rPr>
            </w:pPr>
            <w:r w:rsidRPr="009B7B35">
              <w:rPr>
                <w:rFonts w:cs="Arial"/>
              </w:rPr>
              <w:t>All other zones: 1 space per 25m</w:t>
            </w:r>
            <w:r w:rsidRPr="009B7B35">
              <w:rPr>
                <w:rStyle w:val="StyleSuperscript"/>
                <w:rFonts w:cs="Arial"/>
              </w:rPr>
              <w:t>2</w:t>
            </w:r>
            <w:r w:rsidRPr="009B7B35">
              <w:rPr>
                <w:rFonts w:cs="Arial"/>
              </w:rPr>
              <w:t xml:space="preserve"> GFA.</w:t>
            </w:r>
          </w:p>
          <w:p w14:paraId="3CCC24AF" w14:textId="77777777" w:rsidR="00BE36FB" w:rsidRPr="009B7B35" w:rsidRDefault="00BE36FB" w:rsidP="001A7107">
            <w:pPr>
              <w:pStyle w:val="TableText"/>
              <w:rPr>
                <w:rFonts w:cs="Arial"/>
              </w:rPr>
            </w:pPr>
            <w:r w:rsidRPr="009B7B35">
              <w:rPr>
                <w:rFonts w:cs="Arial"/>
              </w:rPr>
              <w:t>All zones: Heavy vehicles must be able to be accommodated and turned on site.</w:t>
            </w:r>
          </w:p>
          <w:p w14:paraId="7EA81367" w14:textId="77777777" w:rsidR="00BE36FB" w:rsidRPr="009B7B35" w:rsidRDefault="00BE36FB" w:rsidP="001A7107">
            <w:pPr>
              <w:pStyle w:val="TableText"/>
              <w:rPr>
                <w:rFonts w:cs="Arial"/>
              </w:rPr>
            </w:pPr>
            <w:r w:rsidRPr="009B7B35">
              <w:rPr>
                <w:rFonts w:cs="Arial"/>
              </w:rPr>
              <w:t>Emergency vehicle access and parking facilities.</w:t>
            </w:r>
          </w:p>
        </w:tc>
        <w:tc>
          <w:tcPr>
            <w:tcW w:w="2426" w:type="dxa"/>
          </w:tcPr>
          <w:p w14:paraId="10FD61B6" w14:textId="77777777" w:rsidR="00BE36FB" w:rsidRPr="009B7B35" w:rsidRDefault="00BE36FB" w:rsidP="001A7107">
            <w:pPr>
              <w:pStyle w:val="TableText"/>
              <w:rPr>
                <w:rFonts w:cs="Arial"/>
              </w:rPr>
            </w:pPr>
            <w:r w:rsidRPr="009B7B35">
              <w:rPr>
                <w:rFonts w:cs="Arial"/>
              </w:rPr>
              <w:t>1 space per 200m</w:t>
            </w:r>
            <w:r w:rsidRPr="009B7B35">
              <w:rPr>
                <w:rStyle w:val="StyleSuperscript"/>
                <w:rFonts w:cs="Arial"/>
              </w:rPr>
              <w:t>2</w:t>
            </w:r>
            <w:r w:rsidRPr="009B7B35">
              <w:rPr>
                <w:rFonts w:cs="Arial"/>
              </w:rPr>
              <w:t xml:space="preserve"> GFA OR the number of bicycle spaces specified in MP 4.1 (Sustainable buildings) of the QDC, whichever is the greater (minimum 4 spaces)</w:t>
            </w:r>
          </w:p>
        </w:tc>
      </w:tr>
      <w:tr w:rsidR="00BE36FB" w:rsidRPr="009B7B35" w14:paraId="4FF2078A" w14:textId="77777777" w:rsidTr="001A7107">
        <w:trPr>
          <w:cantSplit/>
        </w:trPr>
        <w:tc>
          <w:tcPr>
            <w:tcW w:w="2560" w:type="dxa"/>
          </w:tcPr>
          <w:p w14:paraId="320A0A67" w14:textId="77777777" w:rsidR="00BE36FB" w:rsidRPr="009B7B35" w:rsidRDefault="00BE36FB" w:rsidP="001A7107">
            <w:pPr>
              <w:pStyle w:val="TableText"/>
              <w:rPr>
                <w:rFonts w:cs="Arial"/>
              </w:rPr>
            </w:pPr>
            <w:r w:rsidRPr="009B7B35">
              <w:rPr>
                <w:rFonts w:cs="Arial"/>
              </w:rPr>
              <w:t>Short Term Accommodation</w:t>
            </w:r>
          </w:p>
        </w:tc>
        <w:tc>
          <w:tcPr>
            <w:tcW w:w="4394" w:type="dxa"/>
          </w:tcPr>
          <w:p w14:paraId="463DEC9B" w14:textId="77777777" w:rsidR="00BE36FB" w:rsidRPr="009B7B35" w:rsidRDefault="00BE36FB" w:rsidP="001A7107">
            <w:pPr>
              <w:pStyle w:val="TableText"/>
              <w:rPr>
                <w:rFonts w:cs="Arial"/>
              </w:rPr>
            </w:pPr>
            <w:r w:rsidRPr="009B7B35">
              <w:rPr>
                <w:rFonts w:cs="Arial"/>
              </w:rPr>
              <w:t>Principal centre zone: 0.5 spaces per unit.</w:t>
            </w:r>
          </w:p>
          <w:p w14:paraId="50AAD252" w14:textId="77777777" w:rsidR="00BE36FB" w:rsidRPr="009B7B35" w:rsidRDefault="00BE36FB" w:rsidP="001A7107">
            <w:pPr>
              <w:pStyle w:val="TableText"/>
              <w:rPr>
                <w:rFonts w:cs="Arial"/>
              </w:rPr>
            </w:pPr>
            <w:r w:rsidRPr="009B7B35">
              <w:rPr>
                <w:rFonts w:cs="Arial"/>
              </w:rPr>
              <w:t>All other zones: 2 spaces, plus 1 space per dwelling or rooming unit, plus 1 space per 30m</w:t>
            </w:r>
            <w:r w:rsidRPr="009B7B35">
              <w:rPr>
                <w:rStyle w:val="StyleSuperscript"/>
                <w:rFonts w:cs="Arial"/>
              </w:rPr>
              <w:t>2</w:t>
            </w:r>
            <w:r w:rsidRPr="009B7B35">
              <w:rPr>
                <w:rFonts w:cs="Arial"/>
              </w:rPr>
              <w:t xml:space="preserve"> GFA of any restaurant and/or conference facilities.</w:t>
            </w:r>
          </w:p>
        </w:tc>
        <w:tc>
          <w:tcPr>
            <w:tcW w:w="2426" w:type="dxa"/>
          </w:tcPr>
          <w:p w14:paraId="44536FBA" w14:textId="77777777" w:rsidR="00BE36FB" w:rsidRPr="009B7B35" w:rsidRDefault="00BE36FB" w:rsidP="001A7107">
            <w:pPr>
              <w:pStyle w:val="TableText"/>
              <w:rPr>
                <w:rFonts w:cs="Arial"/>
              </w:rPr>
            </w:pPr>
            <w:r w:rsidRPr="009B7B35">
              <w:rPr>
                <w:rFonts w:cs="Arial"/>
              </w:rPr>
              <w:t>1 space per 10 rooming units (minimum 4 spaces)</w:t>
            </w:r>
          </w:p>
        </w:tc>
      </w:tr>
      <w:tr w:rsidR="00BE36FB" w:rsidRPr="009B7B35" w14:paraId="32B80070" w14:textId="77777777" w:rsidTr="001A7107">
        <w:trPr>
          <w:cantSplit/>
        </w:trPr>
        <w:tc>
          <w:tcPr>
            <w:tcW w:w="2560" w:type="dxa"/>
          </w:tcPr>
          <w:p w14:paraId="1318123A" w14:textId="77777777" w:rsidR="00BE36FB" w:rsidRPr="009B7B35" w:rsidRDefault="00BE36FB" w:rsidP="001A7107">
            <w:pPr>
              <w:pStyle w:val="TableText"/>
              <w:rPr>
                <w:rFonts w:cs="Arial"/>
              </w:rPr>
            </w:pPr>
            <w:r w:rsidRPr="009B7B35">
              <w:rPr>
                <w:rFonts w:cs="Arial"/>
              </w:rPr>
              <w:t>Showroom</w:t>
            </w:r>
          </w:p>
        </w:tc>
        <w:tc>
          <w:tcPr>
            <w:tcW w:w="4394" w:type="dxa"/>
          </w:tcPr>
          <w:p w14:paraId="1D7FED6D" w14:textId="77777777" w:rsidR="00BE36FB" w:rsidRPr="009B7B35" w:rsidRDefault="00BE36FB" w:rsidP="001A7107">
            <w:pPr>
              <w:pStyle w:val="TableText"/>
              <w:rPr>
                <w:rFonts w:cs="Arial"/>
              </w:rPr>
            </w:pPr>
            <w:r w:rsidRPr="009B7B35">
              <w:rPr>
                <w:rFonts w:cs="Arial"/>
              </w:rPr>
              <w:t>1 space per 30m</w:t>
            </w:r>
            <w:r w:rsidRPr="009B7B35">
              <w:rPr>
                <w:rStyle w:val="StyleSuperscript"/>
                <w:rFonts w:cs="Arial"/>
              </w:rPr>
              <w:t>2</w:t>
            </w:r>
            <w:r w:rsidRPr="009B7B35">
              <w:rPr>
                <w:rFonts w:cs="Arial"/>
              </w:rPr>
              <w:t xml:space="preserve"> GFA. Heavy vehicles must be able to be accommodated and turned on site.</w:t>
            </w:r>
          </w:p>
        </w:tc>
        <w:tc>
          <w:tcPr>
            <w:tcW w:w="2426" w:type="dxa"/>
          </w:tcPr>
          <w:p w14:paraId="4FC42478"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47A7D19A" w14:textId="77777777" w:rsidTr="001A7107">
        <w:trPr>
          <w:cantSplit/>
        </w:trPr>
        <w:tc>
          <w:tcPr>
            <w:tcW w:w="2560" w:type="dxa"/>
          </w:tcPr>
          <w:p w14:paraId="57F5914B" w14:textId="77777777" w:rsidR="00BE36FB" w:rsidRPr="009B7B35" w:rsidRDefault="00BE36FB" w:rsidP="001A7107">
            <w:pPr>
              <w:pStyle w:val="TableText"/>
              <w:rPr>
                <w:rFonts w:cs="Arial"/>
              </w:rPr>
            </w:pPr>
            <w:r w:rsidRPr="009B7B35">
              <w:rPr>
                <w:rFonts w:cs="Arial"/>
              </w:rPr>
              <w:t>Special Industry</w:t>
            </w:r>
          </w:p>
        </w:tc>
        <w:tc>
          <w:tcPr>
            <w:tcW w:w="4394" w:type="dxa"/>
          </w:tcPr>
          <w:p w14:paraId="02D3C477" w14:textId="77777777" w:rsidR="00BE36FB" w:rsidRPr="009B7B35" w:rsidRDefault="00BE36FB" w:rsidP="001A7107">
            <w:pPr>
              <w:pStyle w:val="TableText"/>
              <w:rPr>
                <w:rFonts w:cs="Arial"/>
              </w:rPr>
            </w:pPr>
            <w:r w:rsidRPr="009B7B35">
              <w:rPr>
                <w:rFonts w:cs="Arial"/>
              </w:rPr>
              <w:t>1 space per employee. Based on maximum number of employees per shift. Heavy vehicles must be able to be accommodated and turned on site.</w:t>
            </w:r>
          </w:p>
        </w:tc>
        <w:tc>
          <w:tcPr>
            <w:tcW w:w="2426" w:type="dxa"/>
          </w:tcPr>
          <w:p w14:paraId="1124B105"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452CFD6A" w14:textId="77777777" w:rsidTr="001A7107">
        <w:trPr>
          <w:cantSplit/>
        </w:trPr>
        <w:tc>
          <w:tcPr>
            <w:tcW w:w="2560" w:type="dxa"/>
          </w:tcPr>
          <w:p w14:paraId="0C20E80D" w14:textId="77777777" w:rsidR="00BE36FB" w:rsidRPr="009B7B35" w:rsidRDefault="00BE36FB" w:rsidP="001A7107">
            <w:pPr>
              <w:pStyle w:val="TableText"/>
              <w:rPr>
                <w:rFonts w:cs="Arial"/>
              </w:rPr>
            </w:pPr>
            <w:r w:rsidRPr="009B7B35">
              <w:rPr>
                <w:rFonts w:cs="Arial"/>
              </w:rPr>
              <w:t>Telecommunications Facilities</w:t>
            </w:r>
          </w:p>
        </w:tc>
        <w:tc>
          <w:tcPr>
            <w:tcW w:w="4394" w:type="dxa"/>
          </w:tcPr>
          <w:p w14:paraId="6572EBCC" w14:textId="77777777" w:rsidR="00BE36FB" w:rsidRPr="009B7B35" w:rsidRDefault="00BE36FB" w:rsidP="001A7107">
            <w:pPr>
              <w:pStyle w:val="TableText"/>
              <w:rPr>
                <w:rFonts w:cs="Arial"/>
              </w:rPr>
            </w:pPr>
            <w:r w:rsidRPr="009B7B35">
              <w:rPr>
                <w:rFonts w:cs="Arial"/>
              </w:rPr>
              <w:t>1 space for maintenance purposes to be available on the site, adjoining land or street reserve.</w:t>
            </w:r>
          </w:p>
        </w:tc>
        <w:tc>
          <w:tcPr>
            <w:tcW w:w="2426" w:type="dxa"/>
          </w:tcPr>
          <w:p w14:paraId="04CCF057" w14:textId="77777777" w:rsidR="00BE36FB" w:rsidRPr="009B7B35" w:rsidRDefault="00BE36FB" w:rsidP="001A7107">
            <w:pPr>
              <w:pStyle w:val="TableText"/>
              <w:rPr>
                <w:rFonts w:cs="Arial"/>
              </w:rPr>
            </w:pPr>
            <w:r w:rsidRPr="009B7B35">
              <w:rPr>
                <w:rFonts w:cs="Arial"/>
              </w:rPr>
              <w:t>Nil</w:t>
            </w:r>
          </w:p>
        </w:tc>
      </w:tr>
      <w:tr w:rsidR="00BE36FB" w:rsidRPr="009B7B35" w14:paraId="777CB648" w14:textId="77777777" w:rsidTr="001A7107">
        <w:trPr>
          <w:cantSplit/>
        </w:trPr>
        <w:tc>
          <w:tcPr>
            <w:tcW w:w="2560" w:type="dxa"/>
          </w:tcPr>
          <w:p w14:paraId="6A02B41B" w14:textId="77777777" w:rsidR="00BE36FB" w:rsidRPr="009B7B35" w:rsidRDefault="00BE36FB" w:rsidP="001A7107">
            <w:pPr>
              <w:pStyle w:val="TableText"/>
              <w:rPr>
                <w:rFonts w:cs="Arial"/>
              </w:rPr>
            </w:pPr>
            <w:r w:rsidRPr="009B7B35">
              <w:rPr>
                <w:rFonts w:cs="Arial"/>
              </w:rPr>
              <w:t>Theatre</w:t>
            </w:r>
          </w:p>
        </w:tc>
        <w:tc>
          <w:tcPr>
            <w:tcW w:w="4394" w:type="dxa"/>
          </w:tcPr>
          <w:p w14:paraId="04C45F88" w14:textId="77777777" w:rsidR="00BE36FB" w:rsidRPr="009B7B35" w:rsidRDefault="00BE36FB" w:rsidP="001A7107">
            <w:pPr>
              <w:pStyle w:val="TableText"/>
              <w:rPr>
                <w:rFonts w:cs="Arial"/>
              </w:rPr>
            </w:pPr>
            <w:r w:rsidRPr="009B7B35">
              <w:rPr>
                <w:rFonts w:cs="Arial"/>
              </w:rPr>
              <w:t>1 space per 6 seats.</w:t>
            </w:r>
          </w:p>
        </w:tc>
        <w:tc>
          <w:tcPr>
            <w:tcW w:w="2426" w:type="dxa"/>
          </w:tcPr>
          <w:p w14:paraId="7C919136"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7F5100A6" w14:textId="77777777" w:rsidTr="001A7107">
        <w:trPr>
          <w:cantSplit/>
        </w:trPr>
        <w:tc>
          <w:tcPr>
            <w:tcW w:w="2560" w:type="dxa"/>
          </w:tcPr>
          <w:p w14:paraId="0669D721" w14:textId="77777777" w:rsidR="00BE36FB" w:rsidRPr="009B7B35" w:rsidRDefault="00BE36FB" w:rsidP="001A7107">
            <w:pPr>
              <w:pStyle w:val="TableText"/>
              <w:rPr>
                <w:rFonts w:cs="Arial"/>
              </w:rPr>
            </w:pPr>
            <w:r w:rsidRPr="009B7B35">
              <w:rPr>
                <w:rFonts w:cs="Arial"/>
              </w:rPr>
              <w:t>Transport Depot</w:t>
            </w:r>
          </w:p>
        </w:tc>
        <w:tc>
          <w:tcPr>
            <w:tcW w:w="4394" w:type="dxa"/>
          </w:tcPr>
          <w:p w14:paraId="256EC0EA" w14:textId="77777777" w:rsidR="00BE36FB" w:rsidRPr="009B7B35" w:rsidRDefault="00BE36FB" w:rsidP="001A7107">
            <w:pPr>
              <w:pStyle w:val="TableText"/>
              <w:rPr>
                <w:rFonts w:cs="Arial"/>
              </w:rPr>
            </w:pPr>
            <w:r w:rsidRPr="009B7B35">
              <w:rPr>
                <w:rFonts w:cs="Arial"/>
              </w:rPr>
              <w:t>1 space per 50m</w:t>
            </w:r>
            <w:r w:rsidRPr="009B7B35">
              <w:rPr>
                <w:rStyle w:val="StyleSuperscript"/>
                <w:rFonts w:cs="Arial"/>
              </w:rPr>
              <w:t>2</w:t>
            </w:r>
            <w:r w:rsidRPr="009B7B35">
              <w:rPr>
                <w:rFonts w:cs="Arial"/>
              </w:rPr>
              <w:t xml:space="preserve"> GFA for the first 500m</w:t>
            </w:r>
            <w:r w:rsidRPr="009B7B35">
              <w:rPr>
                <w:rStyle w:val="StyleSuperscript"/>
                <w:rFonts w:cs="Arial"/>
              </w:rPr>
              <w:t>2</w:t>
            </w:r>
            <w:r w:rsidRPr="009B7B35">
              <w:rPr>
                <w:rFonts w:cs="Arial"/>
              </w:rPr>
              <w:t>; plus 1 space per 100m</w:t>
            </w:r>
            <w:r w:rsidRPr="009B7B35">
              <w:rPr>
                <w:rStyle w:val="StyleSuperscript"/>
                <w:rFonts w:cs="Arial"/>
              </w:rPr>
              <w:t>2</w:t>
            </w:r>
            <w:r w:rsidRPr="009B7B35">
              <w:rPr>
                <w:rFonts w:cs="Arial"/>
              </w:rPr>
              <w:t xml:space="preserve"> GFA thereafter. Heavy vehicles must be able to be accommodated and turned on site.</w:t>
            </w:r>
          </w:p>
        </w:tc>
        <w:tc>
          <w:tcPr>
            <w:tcW w:w="2426" w:type="dxa"/>
          </w:tcPr>
          <w:p w14:paraId="24EBA621"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60E0D893" w14:textId="77777777" w:rsidTr="001A7107">
        <w:trPr>
          <w:cantSplit/>
        </w:trPr>
        <w:tc>
          <w:tcPr>
            <w:tcW w:w="2560" w:type="dxa"/>
          </w:tcPr>
          <w:p w14:paraId="6192D724" w14:textId="77777777" w:rsidR="00BE36FB" w:rsidRPr="009B7B35" w:rsidRDefault="00BE36FB" w:rsidP="001A7107">
            <w:pPr>
              <w:pStyle w:val="TableText"/>
              <w:rPr>
                <w:rFonts w:cs="Arial"/>
              </w:rPr>
            </w:pPr>
            <w:r w:rsidRPr="009B7B35">
              <w:rPr>
                <w:rFonts w:cs="Arial"/>
              </w:rPr>
              <w:t>Veterinary Services</w:t>
            </w:r>
          </w:p>
        </w:tc>
        <w:tc>
          <w:tcPr>
            <w:tcW w:w="4394" w:type="dxa"/>
          </w:tcPr>
          <w:p w14:paraId="59545D36" w14:textId="77777777" w:rsidR="00BE36FB" w:rsidRPr="009B7B35" w:rsidRDefault="00BE36FB" w:rsidP="001A7107">
            <w:pPr>
              <w:pStyle w:val="TableText"/>
              <w:rPr>
                <w:rFonts w:cs="Arial"/>
              </w:rPr>
            </w:pPr>
            <w:r w:rsidRPr="009B7B35">
              <w:rPr>
                <w:rFonts w:cs="Arial"/>
              </w:rPr>
              <w:t>1 space per 2 employees, plus 2 visitor spaces.</w:t>
            </w:r>
          </w:p>
        </w:tc>
        <w:tc>
          <w:tcPr>
            <w:tcW w:w="2426" w:type="dxa"/>
          </w:tcPr>
          <w:p w14:paraId="1488D85B"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r w:rsidR="00BE36FB" w:rsidRPr="009B7B35" w14:paraId="10C6C6FE" w14:textId="77777777" w:rsidTr="001A7107">
        <w:trPr>
          <w:cantSplit/>
        </w:trPr>
        <w:tc>
          <w:tcPr>
            <w:tcW w:w="2560" w:type="dxa"/>
          </w:tcPr>
          <w:p w14:paraId="2CE15E1D" w14:textId="77777777" w:rsidR="00BE36FB" w:rsidRPr="009B7B35" w:rsidRDefault="00BE36FB" w:rsidP="001A7107">
            <w:pPr>
              <w:pStyle w:val="TableText"/>
              <w:rPr>
                <w:rFonts w:cs="Arial"/>
              </w:rPr>
            </w:pPr>
            <w:r w:rsidRPr="009B7B35">
              <w:rPr>
                <w:rFonts w:cs="Arial"/>
              </w:rPr>
              <w:t>Warehouse</w:t>
            </w:r>
          </w:p>
        </w:tc>
        <w:tc>
          <w:tcPr>
            <w:tcW w:w="4394" w:type="dxa"/>
          </w:tcPr>
          <w:p w14:paraId="5CE448CA" w14:textId="77777777" w:rsidR="00BE36FB" w:rsidRPr="009B7B35" w:rsidRDefault="00BE36FB" w:rsidP="001A7107">
            <w:pPr>
              <w:pStyle w:val="TableText"/>
              <w:rPr>
                <w:rFonts w:cs="Arial"/>
              </w:rPr>
            </w:pPr>
            <w:r w:rsidRPr="009B7B35">
              <w:rPr>
                <w:rFonts w:cs="Arial"/>
              </w:rPr>
              <w:t>1 space per employees, plus 2 visitor spaces, plus 1 space per 50m</w:t>
            </w:r>
            <w:r w:rsidRPr="009B7B35">
              <w:rPr>
                <w:rStyle w:val="StyleSuperscript"/>
                <w:rFonts w:cs="Arial"/>
              </w:rPr>
              <w:t>2</w:t>
            </w:r>
            <w:r w:rsidRPr="009B7B35">
              <w:rPr>
                <w:rFonts w:cs="Arial"/>
              </w:rPr>
              <w:t xml:space="preserve"> GFA for the first 500m</w:t>
            </w:r>
            <w:r w:rsidRPr="009B7B35">
              <w:rPr>
                <w:rStyle w:val="StyleSuperscript"/>
                <w:rFonts w:cs="Arial"/>
              </w:rPr>
              <w:t>2</w:t>
            </w:r>
            <w:r w:rsidRPr="009B7B35">
              <w:rPr>
                <w:rFonts w:cs="Arial"/>
              </w:rPr>
              <w:t>, plus 1 space per 100m</w:t>
            </w:r>
            <w:r w:rsidRPr="009B7B35">
              <w:rPr>
                <w:rStyle w:val="StyleSuperscript"/>
                <w:rFonts w:cs="Arial"/>
              </w:rPr>
              <w:t>2</w:t>
            </w:r>
            <w:r w:rsidRPr="009B7B35">
              <w:rPr>
                <w:rFonts w:cs="Arial"/>
              </w:rPr>
              <w:t xml:space="preserve"> GFA thereafter. Heavy vehicles must be able to be accommodated and turned on site.</w:t>
            </w:r>
          </w:p>
        </w:tc>
        <w:tc>
          <w:tcPr>
            <w:tcW w:w="2426" w:type="dxa"/>
          </w:tcPr>
          <w:p w14:paraId="3CC94772" w14:textId="77777777" w:rsidR="00BE36FB" w:rsidRPr="009B7B35" w:rsidRDefault="00BE36FB" w:rsidP="001A7107">
            <w:pPr>
              <w:pStyle w:val="TableText"/>
              <w:rPr>
                <w:rFonts w:cs="Arial"/>
              </w:rPr>
            </w:pPr>
            <w:r w:rsidRPr="009B7B35">
              <w:rPr>
                <w:rFonts w:cs="Arial"/>
              </w:rPr>
              <w:t>1 space per 400m</w:t>
            </w:r>
            <w:r w:rsidRPr="009B7B35">
              <w:rPr>
                <w:rStyle w:val="StyleSuperscript"/>
                <w:rFonts w:cs="Arial"/>
              </w:rPr>
              <w:t>2</w:t>
            </w:r>
            <w:r w:rsidRPr="009B7B35">
              <w:rPr>
                <w:rFonts w:cs="Arial"/>
              </w:rPr>
              <w:t xml:space="preserve"> GFA (minimum 4 spaces)</w:t>
            </w:r>
          </w:p>
        </w:tc>
      </w:tr>
    </w:tbl>
    <w:p w14:paraId="34CCCB4D" w14:textId="77777777" w:rsidR="00BE36FB" w:rsidRPr="009B7B35" w:rsidRDefault="00BE36FB" w:rsidP="007A46D8">
      <w:pPr>
        <w:pStyle w:val="Heading7"/>
        <w:numPr>
          <w:ilvl w:val="6"/>
          <w:numId w:val="834"/>
        </w:numPr>
        <w:rPr>
          <w:rFonts w:cs="Arial"/>
          <w:sz w:val="20"/>
          <w:szCs w:val="20"/>
        </w:rPr>
      </w:pPr>
      <w:bookmarkStart w:id="380" w:name="_Toc205367493"/>
      <w:r w:rsidRPr="009B7B35">
        <w:rPr>
          <w:rFonts w:cs="Arial"/>
          <w:sz w:val="20"/>
          <w:szCs w:val="20"/>
        </w:rPr>
        <w:t>Waste management</w:t>
      </w:r>
      <w:bookmarkEnd w:id="380"/>
    </w:p>
    <w:p w14:paraId="2FA01853" w14:textId="77777777" w:rsidR="00BE36FB" w:rsidRPr="009B7B35" w:rsidRDefault="00BE36FB" w:rsidP="007A46D8">
      <w:pPr>
        <w:pStyle w:val="Heading8"/>
        <w:numPr>
          <w:ilvl w:val="7"/>
          <w:numId w:val="834"/>
        </w:numPr>
        <w:rPr>
          <w:rFonts w:ascii="Arial" w:hAnsi="Arial" w:cs="Arial"/>
          <w:sz w:val="20"/>
        </w:rPr>
      </w:pPr>
      <w:bookmarkStart w:id="381" w:name="_Toc205367494"/>
      <w:r w:rsidRPr="009B7B35">
        <w:rPr>
          <w:rFonts w:ascii="Arial" w:hAnsi="Arial" w:cs="Arial"/>
          <w:sz w:val="20"/>
        </w:rPr>
        <w:t>Application</w:t>
      </w:r>
      <w:bookmarkEnd w:id="381"/>
    </w:p>
    <w:p w14:paraId="2BD1E957" w14:textId="77777777" w:rsidR="00BE36FB" w:rsidRPr="009B7B35" w:rsidRDefault="00BE36FB" w:rsidP="001A7107">
      <w:pPr>
        <w:rPr>
          <w:rFonts w:ascii="Arial" w:hAnsi="Arial" w:cs="Arial"/>
          <w:sz w:val="20"/>
          <w:szCs w:val="20"/>
        </w:rPr>
      </w:pPr>
      <w:r w:rsidRPr="009B7B35">
        <w:rPr>
          <w:rFonts w:ascii="Arial" w:hAnsi="Arial" w:cs="Arial"/>
          <w:sz w:val="20"/>
          <w:szCs w:val="20"/>
        </w:rPr>
        <w:t>This planning scheme policy applies to Material change of use applications which require assessment against the waste management provisions of the Development design code.</w:t>
      </w:r>
    </w:p>
    <w:p w14:paraId="2EF1897F" w14:textId="77777777" w:rsidR="00BE36FB" w:rsidRPr="009B7B35" w:rsidRDefault="00BE36FB" w:rsidP="007A46D8">
      <w:pPr>
        <w:pStyle w:val="Heading8"/>
        <w:numPr>
          <w:ilvl w:val="7"/>
          <w:numId w:val="834"/>
        </w:numPr>
        <w:rPr>
          <w:rFonts w:ascii="Arial" w:hAnsi="Arial" w:cs="Arial"/>
          <w:sz w:val="20"/>
        </w:rPr>
      </w:pPr>
      <w:bookmarkStart w:id="382" w:name="_Toc205367495"/>
      <w:r w:rsidRPr="009B7B35">
        <w:rPr>
          <w:rFonts w:ascii="Arial" w:hAnsi="Arial" w:cs="Arial"/>
          <w:sz w:val="20"/>
        </w:rPr>
        <w:t>Purpose</w:t>
      </w:r>
      <w:bookmarkEnd w:id="382"/>
    </w:p>
    <w:p w14:paraId="03348D48" w14:textId="77777777" w:rsidR="00BE36FB" w:rsidRPr="009B7B35" w:rsidRDefault="00BE36FB" w:rsidP="001A7107">
      <w:pPr>
        <w:rPr>
          <w:rFonts w:ascii="Arial" w:hAnsi="Arial" w:cs="Arial"/>
          <w:sz w:val="20"/>
          <w:szCs w:val="20"/>
        </w:rPr>
      </w:pPr>
      <w:r w:rsidRPr="009B7B35">
        <w:rPr>
          <w:rFonts w:ascii="Arial" w:hAnsi="Arial" w:cs="Arial"/>
          <w:sz w:val="20"/>
          <w:szCs w:val="20"/>
        </w:rPr>
        <w:t>The purpose of the planning scheme policy is to:</w:t>
      </w:r>
    </w:p>
    <w:p w14:paraId="121CA2DB" w14:textId="77777777" w:rsidR="00BE36FB" w:rsidRPr="009B7B35" w:rsidRDefault="00BE36FB" w:rsidP="00BE36FB">
      <w:pPr>
        <w:numPr>
          <w:ilvl w:val="0"/>
          <w:numId w:val="853"/>
        </w:numPr>
        <w:rPr>
          <w:rFonts w:ascii="Arial" w:hAnsi="Arial" w:cs="Arial"/>
          <w:sz w:val="20"/>
          <w:szCs w:val="20"/>
        </w:rPr>
      </w:pPr>
      <w:r w:rsidRPr="009B7B35">
        <w:rPr>
          <w:rFonts w:ascii="Arial" w:hAnsi="Arial" w:cs="Arial"/>
          <w:sz w:val="20"/>
          <w:szCs w:val="20"/>
        </w:rPr>
        <w:t>Provide general advice about achieving outcomes in the Waste management code.</w:t>
      </w:r>
    </w:p>
    <w:p w14:paraId="6FA058AA" w14:textId="77777777" w:rsidR="00BE36FB" w:rsidRPr="009B7B35" w:rsidRDefault="00BE36FB" w:rsidP="00BE36FB">
      <w:pPr>
        <w:numPr>
          <w:ilvl w:val="0"/>
          <w:numId w:val="853"/>
        </w:numPr>
        <w:rPr>
          <w:rFonts w:ascii="Arial" w:hAnsi="Arial" w:cs="Arial"/>
          <w:sz w:val="20"/>
          <w:szCs w:val="20"/>
        </w:rPr>
      </w:pPr>
      <w:r w:rsidRPr="009B7B35">
        <w:rPr>
          <w:rFonts w:ascii="Arial" w:hAnsi="Arial" w:cs="Arial"/>
          <w:sz w:val="20"/>
          <w:szCs w:val="20"/>
        </w:rPr>
        <w:t>State standards identified in the Waste management code for waste storage and servicing.</w:t>
      </w:r>
    </w:p>
    <w:p w14:paraId="75766FEF" w14:textId="77777777" w:rsidR="00BE36FB" w:rsidRPr="009B7B35" w:rsidRDefault="00BE36FB" w:rsidP="00BE36FB">
      <w:pPr>
        <w:numPr>
          <w:ilvl w:val="0"/>
          <w:numId w:val="853"/>
        </w:numPr>
        <w:rPr>
          <w:rFonts w:ascii="Arial" w:hAnsi="Arial" w:cs="Arial"/>
          <w:sz w:val="20"/>
          <w:szCs w:val="20"/>
        </w:rPr>
      </w:pPr>
      <w:r w:rsidRPr="009B7B35">
        <w:rPr>
          <w:rFonts w:ascii="Arial" w:hAnsi="Arial" w:cs="Arial"/>
          <w:sz w:val="20"/>
          <w:szCs w:val="20"/>
        </w:rPr>
        <w:t>Provide guidelines about the preparation of a waste management plan.</w:t>
      </w:r>
    </w:p>
    <w:p w14:paraId="5BB11F88" w14:textId="77777777" w:rsidR="00BE36FB" w:rsidRPr="009B7B35" w:rsidRDefault="00BE36FB" w:rsidP="007A46D8">
      <w:pPr>
        <w:pStyle w:val="Heading8"/>
        <w:numPr>
          <w:ilvl w:val="7"/>
          <w:numId w:val="834"/>
        </w:numPr>
        <w:rPr>
          <w:rFonts w:ascii="Arial" w:hAnsi="Arial" w:cs="Arial"/>
          <w:sz w:val="20"/>
        </w:rPr>
      </w:pPr>
      <w:bookmarkStart w:id="383" w:name="_Toc205367496"/>
      <w:r w:rsidRPr="009B7B35">
        <w:rPr>
          <w:rFonts w:ascii="Arial" w:hAnsi="Arial" w:cs="Arial"/>
          <w:sz w:val="20"/>
        </w:rPr>
        <w:t>General</w:t>
      </w:r>
      <w:bookmarkEnd w:id="383"/>
    </w:p>
    <w:p w14:paraId="35137A0D" w14:textId="77777777" w:rsidR="00BE36FB" w:rsidRPr="009B7B35" w:rsidRDefault="00BE36FB" w:rsidP="00BE36FB">
      <w:pPr>
        <w:numPr>
          <w:ilvl w:val="0"/>
          <w:numId w:val="840"/>
        </w:numPr>
        <w:rPr>
          <w:rFonts w:ascii="Arial" w:hAnsi="Arial" w:cs="Arial"/>
          <w:sz w:val="20"/>
          <w:szCs w:val="20"/>
        </w:rPr>
      </w:pPr>
      <w:r w:rsidRPr="009B7B35">
        <w:rPr>
          <w:rFonts w:ascii="Arial" w:hAnsi="Arial" w:cs="Arial"/>
          <w:sz w:val="20"/>
          <w:szCs w:val="20"/>
        </w:rPr>
        <w:t>In determining compliance with the Waste management code in terms of waste minimisation, waste storage and waste servicing, Council may require submission of a Waste Management Plan for certain types of development including:</w:t>
      </w:r>
    </w:p>
    <w:p w14:paraId="473E0FCD"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a residential use with more than 10 dwelling units</w:t>
      </w:r>
    </w:p>
    <w:p w14:paraId="32F10576"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business activities with a total use area greater than 500m</w:t>
      </w:r>
      <w:r w:rsidRPr="009B7B35">
        <w:rPr>
          <w:rStyle w:val="StyleSuperscript"/>
          <w:rFonts w:cs="Arial"/>
          <w:szCs w:val="20"/>
        </w:rPr>
        <w:t>2</w:t>
      </w:r>
    </w:p>
    <w:p w14:paraId="636B5F79"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 xml:space="preserve">an environmentally relevant activity (as defined by Schedule 1 of the </w:t>
      </w:r>
      <w:r w:rsidRPr="009B7B35">
        <w:rPr>
          <w:rStyle w:val="StyleItalic"/>
          <w:rFonts w:cs="Arial"/>
          <w:szCs w:val="20"/>
        </w:rPr>
        <w:t>Environmental Protection Regulation 2008</w:t>
      </w:r>
      <w:r w:rsidRPr="009B7B35">
        <w:rPr>
          <w:rFonts w:ascii="Arial" w:hAnsi="Arial" w:cs="Arial"/>
          <w:sz w:val="20"/>
          <w:szCs w:val="20"/>
        </w:rPr>
        <w:t>)</w:t>
      </w:r>
    </w:p>
    <w:p w14:paraId="293A9C78"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construction or demolition of a building, other than construction of a dwelling house, or Class 10 building, and</w:t>
      </w:r>
    </w:p>
    <w:p w14:paraId="48917691"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another use or activity where identified as having significant waste management requirements.</w:t>
      </w:r>
    </w:p>
    <w:p w14:paraId="0F7E83C0" w14:textId="77777777" w:rsidR="00BE36FB" w:rsidRPr="009B7B35" w:rsidRDefault="00BE36FB" w:rsidP="00BE36FB">
      <w:pPr>
        <w:numPr>
          <w:ilvl w:val="0"/>
          <w:numId w:val="854"/>
        </w:numPr>
        <w:rPr>
          <w:rFonts w:ascii="Arial" w:hAnsi="Arial" w:cs="Arial"/>
          <w:sz w:val="20"/>
          <w:szCs w:val="20"/>
        </w:rPr>
      </w:pPr>
      <w:r w:rsidRPr="009B7B35">
        <w:rPr>
          <w:rFonts w:ascii="Arial" w:hAnsi="Arial" w:cs="Arial"/>
          <w:sz w:val="20"/>
          <w:szCs w:val="20"/>
        </w:rPr>
        <w:t>Council may also consider the following matters in assessing the appropriateness of waste minimisation, waste storage and waste servicing arrangements:</w:t>
      </w:r>
    </w:p>
    <w:p w14:paraId="039125E2"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type of waste generated by the development</w:t>
      </w:r>
    </w:p>
    <w:p w14:paraId="72670D5D"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amount of waste likely to be generated by the development having regard to Table Sc6.10.3.1—Indicative waste and recycling generation rates for particular uses</w:t>
      </w:r>
    </w:p>
    <w:p w14:paraId="7678A6D0"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minimum service levels required to accommodate the waste management needs of the development having regard to Table Sc6.10.3.2—Minimum waste service levels for particular uses</w:t>
      </w:r>
    </w:p>
    <w:p w14:paraId="0DA4677C"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types of waste storage bins best suited to the needs of the development</w:t>
      </w:r>
    </w:p>
    <w:p w14:paraId="7722C581"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required size of waste storage areas</w:t>
      </w:r>
    </w:p>
    <w:p w14:paraId="0BFFCE51"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need for and preferred location of waste storage areas and bin wash down areas</w:t>
      </w:r>
    </w:p>
    <w:p w14:paraId="6F9AB4FE"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distance waste needs to be moved to a waste storage area and/or collection area</w:t>
      </w:r>
    </w:p>
    <w:p w14:paraId="1D1E5DA0"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whether the collection service will be kerbside or on private property</w:t>
      </w:r>
    </w:p>
    <w:p w14:paraId="30FA8596"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the mechanism or pathway used to move bins to and from the waste storage area</w:t>
      </w:r>
    </w:p>
    <w:p w14:paraId="15E3A9C1"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safe vehicle and pedestrian access to bins</w:t>
      </w:r>
    </w:p>
    <w:p w14:paraId="59F417EB"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 xml:space="preserve">Guidelines provided by other jurisdictions including </w:t>
      </w:r>
      <w:r w:rsidRPr="009B7B35">
        <w:rPr>
          <w:rStyle w:val="StyleItalic"/>
          <w:rFonts w:cs="Arial"/>
          <w:szCs w:val="20"/>
        </w:rPr>
        <w:t>Better Practice Guide for Waste Management in Multi – unit Dwellings</w:t>
      </w:r>
      <w:r w:rsidRPr="009B7B35">
        <w:rPr>
          <w:rFonts w:ascii="Arial" w:hAnsi="Arial" w:cs="Arial"/>
          <w:sz w:val="20"/>
          <w:szCs w:val="20"/>
        </w:rPr>
        <w:t xml:space="preserve"> by Department of Environment and Climate Change NSW, or similar, and</w:t>
      </w:r>
    </w:p>
    <w:p w14:paraId="0446852A" w14:textId="77777777" w:rsidR="00BE36FB" w:rsidRPr="009B7B35" w:rsidRDefault="00BE36FB" w:rsidP="00BE36FB">
      <w:pPr>
        <w:numPr>
          <w:ilvl w:val="1"/>
          <w:numId w:val="854"/>
        </w:numPr>
        <w:rPr>
          <w:rFonts w:ascii="Arial" w:hAnsi="Arial" w:cs="Arial"/>
          <w:sz w:val="20"/>
          <w:szCs w:val="20"/>
        </w:rPr>
      </w:pPr>
      <w:r w:rsidRPr="009B7B35">
        <w:rPr>
          <w:rFonts w:ascii="Arial" w:hAnsi="Arial" w:cs="Arial"/>
          <w:sz w:val="20"/>
          <w:szCs w:val="20"/>
        </w:rPr>
        <w:t>a waste management plan prepared by a competent person in accordance with the Guidance Note – Preparation of waste management plans.</w:t>
      </w:r>
    </w:p>
    <w:p w14:paraId="206F5A3A" w14:textId="77777777" w:rsidR="00BE36FB" w:rsidRPr="009B7B35" w:rsidRDefault="00BE36FB" w:rsidP="001A7107">
      <w:pPr>
        <w:pStyle w:val="Heading9"/>
        <w:numPr>
          <w:ilvl w:val="0"/>
          <w:numId w:val="0"/>
        </w:numPr>
        <w:rPr>
          <w:rFonts w:cs="Arial"/>
          <w:sz w:val="20"/>
        </w:rPr>
      </w:pPr>
      <w:r w:rsidRPr="009B7B35">
        <w:rPr>
          <w:rFonts w:cs="Arial"/>
          <w:sz w:val="20"/>
        </w:rPr>
        <w:t>Table SC6.11.3.1—Indicative waste and recycling generation rates for particular uses</w:t>
      </w:r>
    </w:p>
    <w:tbl>
      <w:tblPr>
        <w:tblStyle w:val="Tablestyle"/>
        <w:tblW w:w="9380" w:type="dxa"/>
        <w:tblLayout w:type="fixed"/>
        <w:tblLook w:val="0620" w:firstRow="1" w:lastRow="0" w:firstColumn="0" w:lastColumn="0" w:noHBand="1" w:noVBand="1"/>
      </w:tblPr>
      <w:tblGrid>
        <w:gridCol w:w="3119"/>
        <w:gridCol w:w="3149"/>
        <w:gridCol w:w="3112"/>
      </w:tblGrid>
      <w:tr w:rsidR="00BE36FB" w:rsidRPr="009B7B35" w14:paraId="79C1B2C9" w14:textId="77777777" w:rsidTr="001A7107">
        <w:trPr>
          <w:cnfStyle w:val="100000000000" w:firstRow="1" w:lastRow="0" w:firstColumn="0" w:lastColumn="0" w:oddVBand="0" w:evenVBand="0" w:oddHBand="0" w:evenHBand="0" w:firstRowFirstColumn="0" w:firstRowLastColumn="0" w:lastRowFirstColumn="0" w:lastRowLastColumn="0"/>
        </w:trPr>
        <w:tc>
          <w:tcPr>
            <w:tcW w:w="3119" w:type="dxa"/>
          </w:tcPr>
          <w:p w14:paraId="6AE51EDC" w14:textId="77777777" w:rsidR="00BE36FB" w:rsidRPr="009B7B35" w:rsidRDefault="00BE36FB" w:rsidP="001A7107">
            <w:pPr>
              <w:pStyle w:val="Tableheading"/>
              <w:rPr>
                <w:rFonts w:ascii="Arial" w:hAnsi="Arial" w:cs="Arial"/>
                <w:szCs w:val="20"/>
              </w:rPr>
            </w:pPr>
            <w:r w:rsidRPr="009B7B35">
              <w:rPr>
                <w:rFonts w:ascii="Arial" w:hAnsi="Arial" w:cs="Arial"/>
                <w:szCs w:val="20"/>
              </w:rPr>
              <w:t>Use</w:t>
            </w:r>
          </w:p>
        </w:tc>
        <w:tc>
          <w:tcPr>
            <w:tcW w:w="3149" w:type="dxa"/>
          </w:tcPr>
          <w:p w14:paraId="72DDDC2C" w14:textId="77777777" w:rsidR="00BE36FB" w:rsidRPr="009B7B35" w:rsidRDefault="00BE36FB" w:rsidP="001A7107">
            <w:pPr>
              <w:pStyle w:val="Tableheading"/>
              <w:rPr>
                <w:rFonts w:ascii="Arial" w:hAnsi="Arial" w:cs="Arial"/>
                <w:szCs w:val="20"/>
              </w:rPr>
            </w:pPr>
            <w:r w:rsidRPr="009B7B35">
              <w:rPr>
                <w:rFonts w:ascii="Arial" w:hAnsi="Arial" w:cs="Arial"/>
                <w:szCs w:val="20"/>
              </w:rPr>
              <w:t>Waste Generation Rate</w:t>
            </w:r>
          </w:p>
        </w:tc>
        <w:tc>
          <w:tcPr>
            <w:tcW w:w="3112" w:type="dxa"/>
          </w:tcPr>
          <w:p w14:paraId="445486BC" w14:textId="77777777" w:rsidR="00BE36FB" w:rsidRPr="009B7B35" w:rsidRDefault="00BE36FB" w:rsidP="001A7107">
            <w:pPr>
              <w:pStyle w:val="Tableheading"/>
              <w:rPr>
                <w:rFonts w:ascii="Arial" w:hAnsi="Arial" w:cs="Arial"/>
                <w:szCs w:val="20"/>
              </w:rPr>
            </w:pPr>
            <w:r w:rsidRPr="009B7B35">
              <w:rPr>
                <w:rFonts w:ascii="Arial" w:hAnsi="Arial" w:cs="Arial"/>
                <w:szCs w:val="20"/>
              </w:rPr>
              <w:t>Recycling Generation Rate</w:t>
            </w:r>
          </w:p>
        </w:tc>
      </w:tr>
      <w:tr w:rsidR="00BE36FB" w:rsidRPr="009B7B35" w14:paraId="5D834FA1" w14:textId="77777777" w:rsidTr="001A7107">
        <w:tc>
          <w:tcPr>
            <w:tcW w:w="3119" w:type="dxa"/>
          </w:tcPr>
          <w:p w14:paraId="16F4B6B8" w14:textId="77777777" w:rsidR="00BE36FB" w:rsidRPr="009B7B35" w:rsidRDefault="00BE36FB" w:rsidP="001A7107">
            <w:pPr>
              <w:pStyle w:val="TableText"/>
              <w:rPr>
                <w:rFonts w:cs="Arial"/>
              </w:rPr>
            </w:pPr>
            <w:r w:rsidRPr="009B7B35">
              <w:rPr>
                <w:rFonts w:cs="Arial"/>
              </w:rPr>
              <w:t>Accommodation building where for backpackers accommodation</w:t>
            </w:r>
          </w:p>
        </w:tc>
        <w:tc>
          <w:tcPr>
            <w:tcW w:w="3149" w:type="dxa"/>
          </w:tcPr>
          <w:p w14:paraId="45126153" w14:textId="77777777" w:rsidR="00BE36FB" w:rsidRPr="009B7B35" w:rsidRDefault="00BE36FB" w:rsidP="001A7107">
            <w:pPr>
              <w:pStyle w:val="TableText"/>
              <w:rPr>
                <w:rFonts w:cs="Arial"/>
              </w:rPr>
            </w:pPr>
            <w:r w:rsidRPr="009B7B35">
              <w:rPr>
                <w:rFonts w:cs="Arial"/>
              </w:rPr>
              <w:t>40L / occupant / week</w:t>
            </w:r>
          </w:p>
        </w:tc>
        <w:tc>
          <w:tcPr>
            <w:tcW w:w="3112" w:type="dxa"/>
          </w:tcPr>
          <w:p w14:paraId="6D2C74A2" w14:textId="77777777" w:rsidR="00BE36FB" w:rsidRPr="009B7B35" w:rsidRDefault="00BE36FB" w:rsidP="001A7107">
            <w:pPr>
              <w:pStyle w:val="TableText"/>
              <w:rPr>
                <w:rFonts w:cs="Arial"/>
              </w:rPr>
            </w:pPr>
            <w:r w:rsidRPr="009B7B35">
              <w:rPr>
                <w:rFonts w:cs="Arial"/>
              </w:rPr>
              <w:t>20L / occupant / week</w:t>
            </w:r>
          </w:p>
        </w:tc>
      </w:tr>
      <w:tr w:rsidR="00BE36FB" w:rsidRPr="009B7B35" w14:paraId="1AC9BE48" w14:textId="77777777" w:rsidTr="001A7107">
        <w:tc>
          <w:tcPr>
            <w:tcW w:w="3119" w:type="dxa"/>
          </w:tcPr>
          <w:p w14:paraId="1192B92B" w14:textId="77777777" w:rsidR="00BE36FB" w:rsidRPr="009B7B35" w:rsidRDefault="00BE36FB" w:rsidP="001A7107">
            <w:pPr>
              <w:pStyle w:val="TableText"/>
              <w:rPr>
                <w:rFonts w:cs="Arial"/>
              </w:rPr>
            </w:pPr>
            <w:r w:rsidRPr="009B7B35">
              <w:rPr>
                <w:rFonts w:cs="Arial"/>
              </w:rPr>
              <w:t>Accommodation building where for a boarding house or guest house</w:t>
            </w:r>
          </w:p>
        </w:tc>
        <w:tc>
          <w:tcPr>
            <w:tcW w:w="3149" w:type="dxa"/>
          </w:tcPr>
          <w:p w14:paraId="44D66CC1" w14:textId="77777777" w:rsidR="00BE36FB" w:rsidRPr="009B7B35" w:rsidRDefault="00BE36FB" w:rsidP="001A7107">
            <w:pPr>
              <w:pStyle w:val="TableText"/>
              <w:rPr>
                <w:rFonts w:cs="Arial"/>
              </w:rPr>
            </w:pPr>
            <w:r w:rsidRPr="009B7B35">
              <w:rPr>
                <w:rFonts w:cs="Arial"/>
              </w:rPr>
              <w:t>40L / occupant / week</w:t>
            </w:r>
          </w:p>
        </w:tc>
        <w:tc>
          <w:tcPr>
            <w:tcW w:w="3112" w:type="dxa"/>
          </w:tcPr>
          <w:p w14:paraId="7117028D" w14:textId="77777777" w:rsidR="00BE36FB" w:rsidRPr="009B7B35" w:rsidRDefault="00BE36FB" w:rsidP="001A7107">
            <w:pPr>
              <w:pStyle w:val="TableText"/>
              <w:rPr>
                <w:rFonts w:cs="Arial"/>
              </w:rPr>
            </w:pPr>
            <w:r w:rsidRPr="009B7B35">
              <w:rPr>
                <w:rFonts w:cs="Arial"/>
              </w:rPr>
              <w:t>20L / occupant / week</w:t>
            </w:r>
          </w:p>
        </w:tc>
      </w:tr>
      <w:tr w:rsidR="00BE36FB" w:rsidRPr="009B7B35" w14:paraId="4254290C" w14:textId="77777777" w:rsidTr="001A7107">
        <w:tc>
          <w:tcPr>
            <w:tcW w:w="3119" w:type="dxa"/>
          </w:tcPr>
          <w:p w14:paraId="489588BA" w14:textId="77777777" w:rsidR="00BE36FB" w:rsidRPr="009B7B35" w:rsidRDefault="00BE36FB" w:rsidP="001A7107">
            <w:pPr>
              <w:pStyle w:val="TableText"/>
              <w:rPr>
                <w:rFonts w:cs="Arial"/>
              </w:rPr>
            </w:pPr>
            <w:r w:rsidRPr="009B7B35">
              <w:rPr>
                <w:rFonts w:cs="Arial"/>
              </w:rPr>
              <w:t>Motel (where not including a public restaurant)</w:t>
            </w:r>
          </w:p>
        </w:tc>
        <w:tc>
          <w:tcPr>
            <w:tcW w:w="3149" w:type="dxa"/>
          </w:tcPr>
          <w:p w14:paraId="2BAB26BB" w14:textId="77777777" w:rsidR="00BE36FB" w:rsidRPr="009B7B35" w:rsidRDefault="00BE36FB" w:rsidP="001A7107">
            <w:pPr>
              <w:pStyle w:val="TableText"/>
              <w:rPr>
                <w:rFonts w:cs="Arial"/>
              </w:rPr>
            </w:pPr>
            <w:r w:rsidRPr="009B7B35">
              <w:rPr>
                <w:rFonts w:cs="Arial"/>
              </w:rPr>
              <w:t>5L / bed / day</w:t>
            </w:r>
          </w:p>
          <w:p w14:paraId="5FF9A1A2" w14:textId="77777777" w:rsidR="00BE36FB" w:rsidRPr="009B7B35" w:rsidRDefault="00BE36FB" w:rsidP="001A7107">
            <w:pPr>
              <w:pStyle w:val="TableText"/>
              <w:rPr>
                <w:rFonts w:cs="Arial"/>
              </w:rPr>
            </w:pPr>
            <w:r w:rsidRPr="009B7B35">
              <w:rPr>
                <w:rFonts w:cs="Arial"/>
              </w:rPr>
              <w:t>10L / 1.5m</w:t>
            </w:r>
            <w:r w:rsidRPr="009B7B35">
              <w:rPr>
                <w:rStyle w:val="StyleSuperscript"/>
                <w:rFonts w:cs="Arial"/>
              </w:rPr>
              <w:t>2</w:t>
            </w:r>
            <w:r w:rsidRPr="009B7B35">
              <w:rPr>
                <w:rFonts w:cs="Arial"/>
              </w:rPr>
              <w:t xml:space="preserve"> / of dining area / day</w:t>
            </w:r>
          </w:p>
        </w:tc>
        <w:tc>
          <w:tcPr>
            <w:tcW w:w="3112" w:type="dxa"/>
          </w:tcPr>
          <w:p w14:paraId="06BAAB8E" w14:textId="77777777" w:rsidR="00BE36FB" w:rsidRPr="009B7B35" w:rsidRDefault="00BE36FB" w:rsidP="001A7107">
            <w:pPr>
              <w:pStyle w:val="TableText"/>
              <w:rPr>
                <w:rFonts w:cs="Arial"/>
              </w:rPr>
            </w:pPr>
            <w:r w:rsidRPr="009B7B35">
              <w:rPr>
                <w:rFonts w:cs="Arial"/>
              </w:rPr>
              <w:t>1L / bed / day</w:t>
            </w:r>
          </w:p>
        </w:tc>
      </w:tr>
      <w:tr w:rsidR="00BE36FB" w:rsidRPr="009B7B35" w14:paraId="2090FD11" w14:textId="77777777" w:rsidTr="001A7107">
        <w:tc>
          <w:tcPr>
            <w:tcW w:w="3119" w:type="dxa"/>
          </w:tcPr>
          <w:p w14:paraId="31B78F9F" w14:textId="77777777" w:rsidR="00BE36FB" w:rsidRPr="009B7B35" w:rsidRDefault="00BE36FB" w:rsidP="001A7107">
            <w:pPr>
              <w:pStyle w:val="TableText"/>
              <w:rPr>
                <w:rFonts w:cs="Arial"/>
              </w:rPr>
            </w:pPr>
            <w:r w:rsidRPr="009B7B35">
              <w:rPr>
                <w:rFonts w:cs="Arial"/>
              </w:rPr>
              <w:t>Entertainment/catering use and retail business use where for a:</w:t>
            </w:r>
          </w:p>
          <w:p w14:paraId="6A0D8D91" w14:textId="77777777" w:rsidR="00BE36FB" w:rsidRPr="009B7B35" w:rsidRDefault="00BE36FB" w:rsidP="00BE36FB">
            <w:pPr>
              <w:pStyle w:val="TableText"/>
              <w:numPr>
                <w:ilvl w:val="0"/>
                <w:numId w:val="831"/>
              </w:numPr>
              <w:rPr>
                <w:rFonts w:cs="Arial"/>
              </w:rPr>
            </w:pPr>
            <w:r w:rsidRPr="009B7B35">
              <w:rPr>
                <w:rFonts w:cs="Arial"/>
              </w:rPr>
              <w:t>butcher</w:t>
            </w:r>
          </w:p>
          <w:p w14:paraId="24FCE678" w14:textId="77777777" w:rsidR="00BE36FB" w:rsidRPr="009B7B35" w:rsidRDefault="00BE36FB" w:rsidP="00BE36FB">
            <w:pPr>
              <w:pStyle w:val="TableText"/>
              <w:numPr>
                <w:ilvl w:val="0"/>
                <w:numId w:val="831"/>
              </w:numPr>
              <w:rPr>
                <w:rFonts w:cs="Arial"/>
              </w:rPr>
            </w:pPr>
            <w:r w:rsidRPr="009B7B35">
              <w:rPr>
                <w:rFonts w:cs="Arial"/>
              </w:rPr>
              <w:t>delicatessen</w:t>
            </w:r>
          </w:p>
          <w:p w14:paraId="15224790" w14:textId="77777777" w:rsidR="00BE36FB" w:rsidRPr="009B7B35" w:rsidRDefault="00BE36FB" w:rsidP="00BE36FB">
            <w:pPr>
              <w:pStyle w:val="TableText"/>
              <w:numPr>
                <w:ilvl w:val="0"/>
                <w:numId w:val="831"/>
              </w:numPr>
              <w:rPr>
                <w:rFonts w:cs="Arial"/>
              </w:rPr>
            </w:pPr>
            <w:r w:rsidRPr="009B7B35">
              <w:rPr>
                <w:rFonts w:cs="Arial"/>
              </w:rPr>
              <w:t>fish shop</w:t>
            </w:r>
          </w:p>
          <w:p w14:paraId="5F201B1B" w14:textId="77777777" w:rsidR="00BE36FB" w:rsidRPr="009B7B35" w:rsidRDefault="00BE36FB" w:rsidP="00BE36FB">
            <w:pPr>
              <w:pStyle w:val="TableText"/>
              <w:numPr>
                <w:ilvl w:val="0"/>
                <w:numId w:val="831"/>
              </w:numPr>
              <w:rPr>
                <w:rFonts w:cs="Arial"/>
              </w:rPr>
            </w:pPr>
            <w:r w:rsidRPr="009B7B35">
              <w:rPr>
                <w:rFonts w:cs="Arial"/>
              </w:rPr>
              <w:t>greengrocer</w:t>
            </w:r>
          </w:p>
          <w:p w14:paraId="6DBCB2B2" w14:textId="77777777" w:rsidR="00BE36FB" w:rsidRPr="009B7B35" w:rsidRDefault="00BE36FB" w:rsidP="00BE36FB">
            <w:pPr>
              <w:pStyle w:val="TableText"/>
              <w:numPr>
                <w:ilvl w:val="0"/>
                <w:numId w:val="831"/>
              </w:numPr>
              <w:rPr>
                <w:rFonts w:cs="Arial"/>
              </w:rPr>
            </w:pPr>
            <w:r w:rsidRPr="009B7B35">
              <w:rPr>
                <w:rFonts w:cs="Arial"/>
              </w:rPr>
              <w:t>hairdresser</w:t>
            </w:r>
          </w:p>
          <w:p w14:paraId="7B205956" w14:textId="77777777" w:rsidR="00BE36FB" w:rsidRPr="009B7B35" w:rsidRDefault="00BE36FB" w:rsidP="00BE36FB">
            <w:pPr>
              <w:pStyle w:val="TableText"/>
              <w:numPr>
                <w:ilvl w:val="0"/>
                <w:numId w:val="831"/>
              </w:numPr>
              <w:rPr>
                <w:rFonts w:cs="Arial"/>
              </w:rPr>
            </w:pPr>
            <w:r w:rsidRPr="009B7B35">
              <w:rPr>
                <w:rFonts w:cs="Arial"/>
              </w:rPr>
              <w:t>restaurant</w:t>
            </w:r>
          </w:p>
          <w:p w14:paraId="2310300E" w14:textId="77777777" w:rsidR="00BE36FB" w:rsidRPr="009B7B35" w:rsidRDefault="00BE36FB" w:rsidP="00BE36FB">
            <w:pPr>
              <w:pStyle w:val="TableText"/>
              <w:numPr>
                <w:ilvl w:val="0"/>
                <w:numId w:val="831"/>
              </w:numPr>
              <w:rPr>
                <w:rFonts w:cs="Arial"/>
              </w:rPr>
            </w:pPr>
            <w:r w:rsidRPr="009B7B35">
              <w:rPr>
                <w:rFonts w:cs="Arial"/>
              </w:rPr>
              <w:t>supermarket</w:t>
            </w:r>
          </w:p>
          <w:p w14:paraId="3F104DA5" w14:textId="77777777" w:rsidR="00BE36FB" w:rsidRPr="009B7B35" w:rsidRDefault="00BE36FB" w:rsidP="00BE36FB">
            <w:pPr>
              <w:pStyle w:val="TableText"/>
              <w:numPr>
                <w:ilvl w:val="0"/>
                <w:numId w:val="831"/>
              </w:numPr>
              <w:rPr>
                <w:rFonts w:cs="Arial"/>
              </w:rPr>
            </w:pPr>
            <w:r w:rsidRPr="009B7B35">
              <w:rPr>
                <w:rFonts w:cs="Arial"/>
              </w:rPr>
              <w:t>takeaway</w:t>
            </w:r>
          </w:p>
        </w:tc>
        <w:tc>
          <w:tcPr>
            <w:tcW w:w="3149" w:type="dxa"/>
          </w:tcPr>
          <w:p w14:paraId="6F7F947F" w14:textId="77777777" w:rsidR="00BE36FB" w:rsidRPr="009B7B35" w:rsidRDefault="00BE36FB" w:rsidP="001A7107">
            <w:pPr>
              <w:pStyle w:val="TableText"/>
              <w:rPr>
                <w:rFonts w:cs="Arial"/>
              </w:rPr>
            </w:pPr>
            <w:r w:rsidRPr="009B7B35">
              <w:rPr>
                <w:rFonts w:cs="Arial"/>
              </w:rPr>
              <w:t>80L / 100m</w:t>
            </w:r>
            <w:r w:rsidRPr="009B7B35">
              <w:rPr>
                <w:rStyle w:val="StyleSuperscript"/>
                <w:rFonts w:cs="Arial"/>
              </w:rPr>
              <w:t>2</w:t>
            </w:r>
            <w:r w:rsidRPr="009B7B35">
              <w:rPr>
                <w:rFonts w:cs="Arial"/>
              </w:rPr>
              <w:t xml:space="preserve"> floor area / day </w:t>
            </w:r>
          </w:p>
          <w:p w14:paraId="0C70B903" w14:textId="77777777" w:rsidR="00BE36FB" w:rsidRPr="009B7B35" w:rsidRDefault="00BE36FB" w:rsidP="001A7107">
            <w:pPr>
              <w:pStyle w:val="TableText"/>
              <w:rPr>
                <w:rFonts w:cs="Arial"/>
              </w:rPr>
            </w:pPr>
            <w:r w:rsidRPr="009B7B35">
              <w:rPr>
                <w:rFonts w:cs="Arial"/>
              </w:rPr>
              <w:t>80L / 100m</w:t>
            </w:r>
            <w:r w:rsidRPr="009B7B35">
              <w:rPr>
                <w:rStyle w:val="StyleSuperscript"/>
                <w:rFonts w:cs="Arial"/>
              </w:rPr>
              <w:t>2</w:t>
            </w:r>
            <w:r w:rsidRPr="009B7B35">
              <w:rPr>
                <w:rFonts w:cs="Arial"/>
              </w:rPr>
              <w:t xml:space="preserve"> floor area / day </w:t>
            </w:r>
          </w:p>
          <w:p w14:paraId="5B7658B8" w14:textId="77777777" w:rsidR="00BE36FB" w:rsidRPr="009B7B35" w:rsidRDefault="00BE36FB" w:rsidP="001A7107">
            <w:pPr>
              <w:pStyle w:val="TableText"/>
              <w:rPr>
                <w:rFonts w:cs="Arial"/>
              </w:rPr>
            </w:pPr>
            <w:r w:rsidRPr="009B7B35">
              <w:rPr>
                <w:rFonts w:cs="Arial"/>
              </w:rPr>
              <w:t>80L / 100m</w:t>
            </w:r>
            <w:r w:rsidRPr="009B7B35">
              <w:rPr>
                <w:rStyle w:val="StyleSuperscript"/>
                <w:rFonts w:cs="Arial"/>
              </w:rPr>
              <w:t>2</w:t>
            </w:r>
            <w:r w:rsidRPr="009B7B35">
              <w:rPr>
                <w:rFonts w:cs="Arial"/>
              </w:rPr>
              <w:t xml:space="preserve"> floor area / day </w:t>
            </w:r>
          </w:p>
          <w:p w14:paraId="66366043" w14:textId="77777777" w:rsidR="00BE36FB" w:rsidRPr="009B7B35" w:rsidRDefault="00BE36FB" w:rsidP="001A7107">
            <w:pPr>
              <w:pStyle w:val="TableText"/>
              <w:rPr>
                <w:rFonts w:cs="Arial"/>
              </w:rPr>
            </w:pPr>
            <w:r w:rsidRPr="009B7B35">
              <w:rPr>
                <w:rFonts w:cs="Arial"/>
              </w:rPr>
              <w:t>240L / 100m</w:t>
            </w:r>
            <w:r w:rsidRPr="009B7B35">
              <w:rPr>
                <w:rStyle w:val="StyleSuperscript"/>
                <w:rFonts w:cs="Arial"/>
              </w:rPr>
              <w:t>2</w:t>
            </w:r>
            <w:r w:rsidRPr="009B7B35">
              <w:rPr>
                <w:rFonts w:cs="Arial"/>
              </w:rPr>
              <w:t xml:space="preserve"> floor area / day </w:t>
            </w:r>
          </w:p>
          <w:p w14:paraId="4F17C6E0" w14:textId="77777777" w:rsidR="00BE36FB" w:rsidRPr="009B7B35" w:rsidRDefault="00BE36FB" w:rsidP="001A7107">
            <w:pPr>
              <w:pStyle w:val="TableText"/>
              <w:rPr>
                <w:rFonts w:cs="Arial"/>
              </w:rPr>
            </w:pPr>
            <w:r w:rsidRPr="009B7B35">
              <w:rPr>
                <w:rFonts w:cs="Arial"/>
              </w:rPr>
              <w:t>80L / 100m</w:t>
            </w:r>
            <w:r w:rsidRPr="009B7B35">
              <w:rPr>
                <w:rStyle w:val="StyleSuperscript"/>
                <w:rFonts w:cs="Arial"/>
              </w:rPr>
              <w:t>2</w:t>
            </w:r>
            <w:r w:rsidRPr="009B7B35">
              <w:rPr>
                <w:rFonts w:cs="Arial"/>
              </w:rPr>
              <w:t xml:space="preserve"> floor area / day </w:t>
            </w:r>
          </w:p>
          <w:p w14:paraId="5E3565BA" w14:textId="77777777" w:rsidR="00BE36FB" w:rsidRPr="009B7B35" w:rsidRDefault="00BE36FB" w:rsidP="001A7107">
            <w:pPr>
              <w:pStyle w:val="TableText"/>
              <w:rPr>
                <w:rFonts w:cs="Arial"/>
              </w:rPr>
            </w:pPr>
            <w:r w:rsidRPr="009B7B35">
              <w:rPr>
                <w:rFonts w:cs="Arial"/>
              </w:rPr>
              <w:t>10L / 1.5m</w:t>
            </w:r>
            <w:r w:rsidRPr="009B7B35">
              <w:rPr>
                <w:rStyle w:val="StyleSuperscript"/>
                <w:rFonts w:cs="Arial"/>
              </w:rPr>
              <w:t>2</w:t>
            </w:r>
            <w:r w:rsidRPr="009B7B35">
              <w:rPr>
                <w:rFonts w:cs="Arial"/>
              </w:rPr>
              <w:t xml:space="preserve"> floor area / day </w:t>
            </w:r>
          </w:p>
          <w:p w14:paraId="418C6F0E" w14:textId="77777777" w:rsidR="00BE36FB" w:rsidRPr="009B7B35" w:rsidRDefault="00BE36FB" w:rsidP="001A7107">
            <w:pPr>
              <w:pStyle w:val="TableText"/>
              <w:rPr>
                <w:rFonts w:cs="Arial"/>
              </w:rPr>
            </w:pPr>
            <w:r w:rsidRPr="009B7B35">
              <w:rPr>
                <w:rFonts w:cs="Arial"/>
              </w:rPr>
              <w:t>240L / 100m</w:t>
            </w:r>
            <w:r w:rsidRPr="009B7B35">
              <w:rPr>
                <w:rStyle w:val="StyleSuperscript"/>
                <w:rFonts w:cs="Arial"/>
              </w:rPr>
              <w:t>2</w:t>
            </w:r>
            <w:r w:rsidRPr="009B7B35">
              <w:rPr>
                <w:rFonts w:cs="Arial"/>
              </w:rPr>
              <w:t xml:space="preserve"> floor area / day </w:t>
            </w:r>
          </w:p>
          <w:p w14:paraId="438D47CC" w14:textId="77777777" w:rsidR="00BE36FB" w:rsidRPr="009B7B35" w:rsidRDefault="00BE36FB" w:rsidP="001A7107">
            <w:pPr>
              <w:pStyle w:val="TableText"/>
              <w:rPr>
                <w:rFonts w:cs="Arial"/>
              </w:rPr>
            </w:pPr>
            <w:r w:rsidRPr="009B7B35">
              <w:rPr>
                <w:rFonts w:cs="Arial"/>
              </w:rPr>
              <w:t>80L / 100m</w:t>
            </w:r>
            <w:r w:rsidRPr="009B7B35">
              <w:rPr>
                <w:rStyle w:val="StyleSuperscript"/>
                <w:rFonts w:cs="Arial"/>
              </w:rPr>
              <w:t>2</w:t>
            </w:r>
            <w:r w:rsidRPr="009B7B35">
              <w:rPr>
                <w:rFonts w:cs="Arial"/>
              </w:rPr>
              <w:t xml:space="preserve"> floor area / day</w:t>
            </w:r>
          </w:p>
        </w:tc>
        <w:tc>
          <w:tcPr>
            <w:tcW w:w="3112" w:type="dxa"/>
          </w:tcPr>
          <w:p w14:paraId="1E08438A" w14:textId="77777777" w:rsidR="00BE36FB" w:rsidRPr="009B7B35" w:rsidRDefault="00BE36FB" w:rsidP="001A7107">
            <w:pPr>
              <w:pStyle w:val="TableText"/>
              <w:rPr>
                <w:rFonts w:cs="Arial"/>
              </w:rPr>
            </w:pPr>
            <w:r w:rsidRPr="009B7B35">
              <w:rPr>
                <w:rFonts w:cs="Arial"/>
              </w:rPr>
              <w:t xml:space="preserve">40L </w:t>
            </w:r>
          </w:p>
          <w:p w14:paraId="3E13C439" w14:textId="77777777" w:rsidR="00BE36FB" w:rsidRPr="009B7B35" w:rsidRDefault="00BE36FB" w:rsidP="001A7107">
            <w:pPr>
              <w:pStyle w:val="TableText"/>
              <w:rPr>
                <w:rFonts w:cs="Arial"/>
              </w:rPr>
            </w:pPr>
            <w:r w:rsidRPr="009B7B35">
              <w:rPr>
                <w:rFonts w:cs="Arial"/>
              </w:rPr>
              <w:t xml:space="preserve">40L </w:t>
            </w:r>
          </w:p>
          <w:p w14:paraId="175B964D" w14:textId="77777777" w:rsidR="00BE36FB" w:rsidRPr="009B7B35" w:rsidRDefault="00BE36FB" w:rsidP="001A7107">
            <w:pPr>
              <w:pStyle w:val="TableText"/>
              <w:rPr>
                <w:rFonts w:cs="Arial"/>
              </w:rPr>
            </w:pPr>
            <w:r w:rsidRPr="009B7B35">
              <w:rPr>
                <w:rFonts w:cs="Arial"/>
              </w:rPr>
              <w:t xml:space="preserve">40L </w:t>
            </w:r>
          </w:p>
          <w:p w14:paraId="2FA1C86A" w14:textId="77777777" w:rsidR="00BE36FB" w:rsidRPr="009B7B35" w:rsidRDefault="00BE36FB" w:rsidP="001A7107">
            <w:pPr>
              <w:pStyle w:val="TableText"/>
              <w:rPr>
                <w:rFonts w:cs="Arial"/>
              </w:rPr>
            </w:pPr>
            <w:r w:rsidRPr="009B7B35">
              <w:rPr>
                <w:rFonts w:cs="Arial"/>
              </w:rPr>
              <w:t>120L / 100m</w:t>
            </w:r>
            <w:r w:rsidRPr="009B7B35">
              <w:rPr>
                <w:rStyle w:val="StyleSuperscript"/>
                <w:rFonts w:cs="Arial"/>
              </w:rPr>
              <w:t>2</w:t>
            </w:r>
            <w:r w:rsidRPr="009B7B35">
              <w:rPr>
                <w:rFonts w:cs="Arial"/>
              </w:rPr>
              <w:t xml:space="preserve"> / day</w:t>
            </w:r>
          </w:p>
          <w:p w14:paraId="6C924613" w14:textId="77777777" w:rsidR="00BE36FB" w:rsidRPr="009B7B35" w:rsidRDefault="00BE36FB" w:rsidP="001A7107">
            <w:pPr>
              <w:pStyle w:val="TableText"/>
              <w:rPr>
                <w:rFonts w:cs="Arial"/>
              </w:rPr>
            </w:pPr>
            <w:r w:rsidRPr="009B7B35">
              <w:rPr>
                <w:rFonts w:cs="Arial"/>
              </w:rPr>
              <w:t>40L</w:t>
            </w:r>
          </w:p>
          <w:p w14:paraId="42973040" w14:textId="77777777" w:rsidR="00BE36FB" w:rsidRPr="009B7B35" w:rsidRDefault="00BE36FB" w:rsidP="001A7107">
            <w:pPr>
              <w:pStyle w:val="TableText"/>
              <w:rPr>
                <w:rFonts w:cs="Arial"/>
              </w:rPr>
            </w:pPr>
            <w:r w:rsidRPr="009B7B35">
              <w:rPr>
                <w:rFonts w:cs="Arial"/>
              </w:rPr>
              <w:t>2L / 1.5m</w:t>
            </w:r>
            <w:r w:rsidRPr="009B7B35">
              <w:rPr>
                <w:rStyle w:val="StyleSuperscript"/>
                <w:rFonts w:cs="Arial"/>
              </w:rPr>
              <w:t>2</w:t>
            </w:r>
            <w:r w:rsidRPr="009B7B35">
              <w:rPr>
                <w:rFonts w:cs="Arial"/>
              </w:rPr>
              <w:t xml:space="preserve"> floor area / day </w:t>
            </w:r>
          </w:p>
          <w:p w14:paraId="3D22F013" w14:textId="77777777" w:rsidR="00BE36FB" w:rsidRPr="009B7B35" w:rsidRDefault="00BE36FB" w:rsidP="001A7107">
            <w:pPr>
              <w:pStyle w:val="TableText"/>
              <w:rPr>
                <w:rFonts w:cs="Arial"/>
              </w:rPr>
            </w:pPr>
            <w:r w:rsidRPr="009B7B35">
              <w:rPr>
                <w:rFonts w:cs="Arial"/>
              </w:rPr>
              <w:t>240L / 100m</w:t>
            </w:r>
            <w:r w:rsidRPr="009B7B35">
              <w:rPr>
                <w:rStyle w:val="StyleSuperscript"/>
                <w:rFonts w:cs="Arial"/>
              </w:rPr>
              <w:t>2</w:t>
            </w:r>
            <w:r w:rsidRPr="009B7B35">
              <w:rPr>
                <w:rFonts w:cs="Arial"/>
              </w:rPr>
              <w:t xml:space="preserve"> / day</w:t>
            </w:r>
          </w:p>
          <w:p w14:paraId="0060E72B" w14:textId="77777777" w:rsidR="00BE36FB" w:rsidRPr="009B7B35" w:rsidRDefault="00BE36FB" w:rsidP="001A7107">
            <w:pPr>
              <w:pStyle w:val="TableText"/>
              <w:rPr>
                <w:rFonts w:cs="Arial"/>
              </w:rPr>
            </w:pPr>
            <w:r w:rsidRPr="009B7B35">
              <w:rPr>
                <w:rFonts w:cs="Arial"/>
              </w:rPr>
              <w:t>40L</w:t>
            </w:r>
          </w:p>
        </w:tc>
      </w:tr>
      <w:tr w:rsidR="00BE36FB" w:rsidRPr="009B7B35" w14:paraId="5D6BDA3F" w14:textId="77777777" w:rsidTr="001A7107">
        <w:tc>
          <w:tcPr>
            <w:tcW w:w="3119" w:type="dxa"/>
          </w:tcPr>
          <w:p w14:paraId="7549419A" w14:textId="77777777" w:rsidR="00BE36FB" w:rsidRPr="009B7B35" w:rsidRDefault="00BE36FB" w:rsidP="001A7107">
            <w:pPr>
              <w:pStyle w:val="TableText"/>
              <w:rPr>
                <w:rFonts w:cs="Arial"/>
              </w:rPr>
            </w:pPr>
            <w:r w:rsidRPr="009B7B35">
              <w:rPr>
                <w:rFonts w:cs="Arial"/>
              </w:rPr>
              <w:t>Entertainment/catering use where for a hotel</w:t>
            </w:r>
          </w:p>
        </w:tc>
        <w:tc>
          <w:tcPr>
            <w:tcW w:w="3149" w:type="dxa"/>
          </w:tcPr>
          <w:p w14:paraId="1666A3AA" w14:textId="77777777" w:rsidR="00BE36FB" w:rsidRPr="009B7B35" w:rsidRDefault="00BE36FB" w:rsidP="001A7107">
            <w:pPr>
              <w:pStyle w:val="TableText"/>
              <w:rPr>
                <w:rFonts w:cs="Arial"/>
              </w:rPr>
            </w:pPr>
            <w:r w:rsidRPr="009B7B35">
              <w:rPr>
                <w:rFonts w:cs="Arial"/>
              </w:rPr>
              <w:t>5L / bed / day</w:t>
            </w:r>
          </w:p>
          <w:p w14:paraId="7AA167D4" w14:textId="77777777" w:rsidR="00BE36FB" w:rsidRPr="009B7B35" w:rsidRDefault="00BE36FB" w:rsidP="001A7107">
            <w:pPr>
              <w:pStyle w:val="TableText"/>
              <w:rPr>
                <w:rFonts w:cs="Arial"/>
              </w:rPr>
            </w:pPr>
            <w:r w:rsidRPr="009B7B35">
              <w:rPr>
                <w:rFonts w:cs="Arial"/>
              </w:rPr>
              <w:t>50L / 100m</w:t>
            </w:r>
            <w:r w:rsidRPr="009B7B35">
              <w:rPr>
                <w:rStyle w:val="StyleSuperscript"/>
                <w:rFonts w:cs="Arial"/>
              </w:rPr>
              <w:t>2</w:t>
            </w:r>
            <w:r w:rsidRPr="009B7B35">
              <w:rPr>
                <w:rFonts w:cs="Arial"/>
              </w:rPr>
              <w:t xml:space="preserve"> / bar area / day </w:t>
            </w:r>
          </w:p>
          <w:p w14:paraId="1D191D43" w14:textId="77777777" w:rsidR="00BE36FB" w:rsidRPr="009B7B35" w:rsidRDefault="00BE36FB" w:rsidP="001A7107">
            <w:pPr>
              <w:pStyle w:val="TableText"/>
              <w:rPr>
                <w:rFonts w:cs="Arial"/>
              </w:rPr>
            </w:pPr>
            <w:r w:rsidRPr="009B7B35">
              <w:rPr>
                <w:rFonts w:cs="Arial"/>
              </w:rPr>
              <w:t>10L / 1.5m</w:t>
            </w:r>
            <w:r w:rsidRPr="009B7B35">
              <w:rPr>
                <w:rStyle w:val="StyleSuperscript"/>
                <w:rFonts w:cs="Arial"/>
              </w:rPr>
              <w:t>2</w:t>
            </w:r>
            <w:r w:rsidRPr="009B7B35">
              <w:rPr>
                <w:rFonts w:cs="Arial"/>
              </w:rPr>
              <w:t xml:space="preserve"> of dining  area / day</w:t>
            </w:r>
          </w:p>
        </w:tc>
        <w:tc>
          <w:tcPr>
            <w:tcW w:w="3112" w:type="dxa"/>
          </w:tcPr>
          <w:p w14:paraId="678466E2" w14:textId="77777777" w:rsidR="00BE36FB" w:rsidRPr="009B7B35" w:rsidRDefault="00BE36FB" w:rsidP="001A7107">
            <w:pPr>
              <w:pStyle w:val="TableText"/>
              <w:rPr>
                <w:rFonts w:cs="Arial"/>
              </w:rPr>
            </w:pPr>
            <w:r w:rsidRPr="009B7B35">
              <w:rPr>
                <w:rFonts w:cs="Arial"/>
              </w:rPr>
              <w:t>50L / 100m</w:t>
            </w:r>
            <w:r w:rsidRPr="009B7B35">
              <w:rPr>
                <w:rStyle w:val="StyleSuperscript"/>
                <w:rFonts w:cs="Arial"/>
              </w:rPr>
              <w:t>2</w:t>
            </w:r>
            <w:r w:rsidRPr="009B7B35">
              <w:rPr>
                <w:rFonts w:cs="Arial"/>
              </w:rPr>
              <w:t xml:space="preserve"> / of bar and dining areas / day</w:t>
            </w:r>
          </w:p>
        </w:tc>
      </w:tr>
      <w:tr w:rsidR="00BE36FB" w:rsidRPr="009B7B35" w14:paraId="5E8E04C3" w14:textId="77777777" w:rsidTr="001A7107">
        <w:tc>
          <w:tcPr>
            <w:tcW w:w="3119" w:type="dxa"/>
          </w:tcPr>
          <w:p w14:paraId="0DA07D2E" w14:textId="77777777" w:rsidR="00BE36FB" w:rsidRPr="009B7B35" w:rsidRDefault="00BE36FB" w:rsidP="001A7107">
            <w:pPr>
              <w:pStyle w:val="TableText"/>
              <w:rPr>
                <w:rFonts w:cs="Arial"/>
              </w:rPr>
            </w:pPr>
            <w:r w:rsidRPr="009B7B35">
              <w:rPr>
                <w:rFonts w:cs="Arial"/>
              </w:rPr>
              <w:t>Entertainment/catering use where for a licensed club</w:t>
            </w:r>
          </w:p>
        </w:tc>
        <w:tc>
          <w:tcPr>
            <w:tcW w:w="3149" w:type="dxa"/>
          </w:tcPr>
          <w:p w14:paraId="60EEFC77" w14:textId="77777777" w:rsidR="00BE36FB" w:rsidRPr="009B7B35" w:rsidRDefault="00BE36FB" w:rsidP="001A7107">
            <w:pPr>
              <w:pStyle w:val="TableText"/>
              <w:rPr>
                <w:rFonts w:cs="Arial"/>
              </w:rPr>
            </w:pPr>
            <w:r w:rsidRPr="009B7B35">
              <w:rPr>
                <w:rFonts w:cs="Arial"/>
              </w:rPr>
              <w:t>50L / 100m</w:t>
            </w:r>
            <w:r w:rsidRPr="009B7B35">
              <w:rPr>
                <w:rStyle w:val="StyleSuperscript"/>
                <w:rFonts w:cs="Arial"/>
              </w:rPr>
              <w:t>2</w:t>
            </w:r>
            <w:r w:rsidRPr="009B7B35">
              <w:rPr>
                <w:rFonts w:cs="Arial"/>
              </w:rPr>
              <w:t xml:space="preserve"> / bar area / day</w:t>
            </w:r>
          </w:p>
          <w:p w14:paraId="4B584842" w14:textId="77777777" w:rsidR="00BE36FB" w:rsidRPr="009B7B35" w:rsidRDefault="00BE36FB" w:rsidP="001A7107">
            <w:pPr>
              <w:pStyle w:val="TableText"/>
              <w:rPr>
                <w:rFonts w:cs="Arial"/>
              </w:rPr>
            </w:pPr>
            <w:r w:rsidRPr="009B7B35">
              <w:rPr>
                <w:rFonts w:cs="Arial"/>
              </w:rPr>
              <w:t>10L / 1.5m</w:t>
            </w:r>
            <w:r w:rsidRPr="009B7B35">
              <w:rPr>
                <w:rStyle w:val="StyleSuperscript"/>
                <w:rFonts w:cs="Arial"/>
              </w:rPr>
              <w:t>2</w:t>
            </w:r>
            <w:r w:rsidRPr="009B7B35">
              <w:rPr>
                <w:rFonts w:cs="Arial"/>
              </w:rPr>
              <w:t xml:space="preserve"> / of dining area / day</w:t>
            </w:r>
          </w:p>
        </w:tc>
        <w:tc>
          <w:tcPr>
            <w:tcW w:w="3112" w:type="dxa"/>
          </w:tcPr>
          <w:p w14:paraId="14D8DC74" w14:textId="77777777" w:rsidR="00BE36FB" w:rsidRPr="009B7B35" w:rsidRDefault="00BE36FB" w:rsidP="001A7107">
            <w:pPr>
              <w:pStyle w:val="TableText"/>
              <w:rPr>
                <w:rFonts w:cs="Arial"/>
              </w:rPr>
            </w:pPr>
            <w:r w:rsidRPr="009B7B35">
              <w:rPr>
                <w:rFonts w:cs="Arial"/>
              </w:rPr>
              <w:t>50L / 100m</w:t>
            </w:r>
            <w:r w:rsidRPr="009B7B35">
              <w:rPr>
                <w:rStyle w:val="StyleSuperscript"/>
                <w:rFonts w:cs="Arial"/>
              </w:rPr>
              <w:t>2</w:t>
            </w:r>
            <w:r w:rsidRPr="009B7B35">
              <w:rPr>
                <w:rFonts w:cs="Arial"/>
              </w:rPr>
              <w:t xml:space="preserve"> / of bar and dining areas / day</w:t>
            </w:r>
          </w:p>
        </w:tc>
      </w:tr>
      <w:tr w:rsidR="00BE36FB" w:rsidRPr="009B7B35" w14:paraId="67E2CC4C" w14:textId="77777777" w:rsidTr="001A7107">
        <w:tc>
          <w:tcPr>
            <w:tcW w:w="3119" w:type="dxa"/>
          </w:tcPr>
          <w:p w14:paraId="095996A4" w14:textId="77777777" w:rsidR="00BE36FB" w:rsidRPr="009B7B35" w:rsidRDefault="00BE36FB" w:rsidP="001A7107">
            <w:pPr>
              <w:pStyle w:val="TableText"/>
              <w:rPr>
                <w:rFonts w:cs="Arial"/>
              </w:rPr>
            </w:pPr>
            <w:r w:rsidRPr="009B7B35">
              <w:rPr>
                <w:rFonts w:cs="Arial"/>
              </w:rPr>
              <w:t>A retail business use where for:</w:t>
            </w:r>
          </w:p>
          <w:p w14:paraId="4CF4D756" w14:textId="77777777" w:rsidR="00BE36FB" w:rsidRPr="009B7B35" w:rsidRDefault="00BE36FB" w:rsidP="00BE36FB">
            <w:pPr>
              <w:pStyle w:val="TableText"/>
              <w:numPr>
                <w:ilvl w:val="0"/>
                <w:numId w:val="858"/>
              </w:numPr>
              <w:rPr>
                <w:rFonts w:cs="Arial"/>
              </w:rPr>
            </w:pPr>
            <w:r w:rsidRPr="009B7B35">
              <w:rPr>
                <w:rFonts w:cs="Arial"/>
              </w:rPr>
              <w:t>a shop or shops having a gross leasable floor area not exceeding 100m</w:t>
            </w:r>
            <w:r w:rsidRPr="009B7B35">
              <w:rPr>
                <w:rStyle w:val="StyleSuperscript"/>
                <w:rFonts w:cs="Arial"/>
              </w:rPr>
              <w:t>2</w:t>
            </w:r>
          </w:p>
          <w:p w14:paraId="67F5DC33" w14:textId="77777777" w:rsidR="00BE36FB" w:rsidRPr="009B7B35" w:rsidRDefault="00BE36FB" w:rsidP="00BE36FB">
            <w:pPr>
              <w:pStyle w:val="TableText"/>
              <w:numPr>
                <w:ilvl w:val="0"/>
                <w:numId w:val="858"/>
              </w:numPr>
              <w:rPr>
                <w:rFonts w:cs="Arial"/>
              </w:rPr>
            </w:pPr>
            <w:r w:rsidRPr="009B7B35">
              <w:rPr>
                <w:rFonts w:cs="Arial"/>
              </w:rPr>
              <w:t>a shop of shops having a gross leasable floor area 100m</w:t>
            </w:r>
            <w:r w:rsidRPr="009B7B35">
              <w:rPr>
                <w:rStyle w:val="StyleSuperscript"/>
                <w:rFonts w:cs="Arial"/>
              </w:rPr>
              <w:t>2</w:t>
            </w:r>
            <w:r w:rsidRPr="009B7B35">
              <w:rPr>
                <w:rFonts w:cs="Arial"/>
              </w:rPr>
              <w:t xml:space="preserve"> or greater.</w:t>
            </w:r>
          </w:p>
        </w:tc>
        <w:tc>
          <w:tcPr>
            <w:tcW w:w="3149" w:type="dxa"/>
          </w:tcPr>
          <w:p w14:paraId="5E0D8830" w14:textId="77777777" w:rsidR="00BE36FB" w:rsidRPr="009B7B35" w:rsidRDefault="00BE36FB" w:rsidP="001A7107">
            <w:pPr>
              <w:pStyle w:val="TableText"/>
              <w:rPr>
                <w:rFonts w:cs="Arial"/>
              </w:rPr>
            </w:pPr>
            <w:r w:rsidRPr="009B7B35">
              <w:rPr>
                <w:rFonts w:cs="Arial"/>
              </w:rPr>
              <w:t>50L / 100m</w:t>
            </w:r>
            <w:r w:rsidRPr="009B7B35">
              <w:rPr>
                <w:rStyle w:val="StyleSuperscript"/>
                <w:rFonts w:cs="Arial"/>
              </w:rPr>
              <w:t>2</w:t>
            </w:r>
            <w:r w:rsidRPr="009B7B35">
              <w:rPr>
                <w:rFonts w:cs="Arial"/>
              </w:rPr>
              <w:t xml:space="preserve"> / floor area / day</w:t>
            </w:r>
          </w:p>
          <w:p w14:paraId="482E7659" w14:textId="77777777" w:rsidR="00BE36FB" w:rsidRPr="009B7B35" w:rsidRDefault="00BE36FB" w:rsidP="001A7107">
            <w:pPr>
              <w:pStyle w:val="TableText"/>
              <w:rPr>
                <w:rFonts w:cs="Arial"/>
              </w:rPr>
            </w:pPr>
            <w:r w:rsidRPr="009B7B35">
              <w:rPr>
                <w:rFonts w:cs="Arial"/>
              </w:rPr>
              <w:t>50L / 100m</w:t>
            </w:r>
            <w:r w:rsidRPr="009B7B35">
              <w:rPr>
                <w:rStyle w:val="StyleSuperscript"/>
                <w:rFonts w:cs="Arial"/>
              </w:rPr>
              <w:t>2</w:t>
            </w:r>
            <w:r w:rsidRPr="009B7B35">
              <w:rPr>
                <w:rFonts w:cs="Arial"/>
              </w:rPr>
              <w:t xml:space="preserve"> / floor area / day</w:t>
            </w:r>
          </w:p>
        </w:tc>
        <w:tc>
          <w:tcPr>
            <w:tcW w:w="3112" w:type="dxa"/>
          </w:tcPr>
          <w:p w14:paraId="397F172A" w14:textId="77777777" w:rsidR="00BE36FB" w:rsidRPr="009B7B35" w:rsidRDefault="00BE36FB" w:rsidP="001A7107">
            <w:pPr>
              <w:pStyle w:val="TableText"/>
              <w:rPr>
                <w:rFonts w:cs="Arial"/>
              </w:rPr>
            </w:pPr>
            <w:r w:rsidRPr="009B7B35">
              <w:rPr>
                <w:rFonts w:cs="Arial"/>
              </w:rPr>
              <w:t>25L / 100m</w:t>
            </w:r>
            <w:r w:rsidRPr="009B7B35">
              <w:rPr>
                <w:rStyle w:val="StyleSuperscript"/>
                <w:rFonts w:cs="Arial"/>
              </w:rPr>
              <w:t>2</w:t>
            </w:r>
            <w:r w:rsidRPr="009B7B35">
              <w:rPr>
                <w:rFonts w:cs="Arial"/>
              </w:rPr>
              <w:t xml:space="preserve"> / floor area / day</w:t>
            </w:r>
          </w:p>
          <w:p w14:paraId="5BA87023" w14:textId="77777777" w:rsidR="00BE36FB" w:rsidRPr="009B7B35" w:rsidRDefault="00BE36FB" w:rsidP="001A7107">
            <w:pPr>
              <w:pStyle w:val="TableText"/>
              <w:rPr>
                <w:rFonts w:cs="Arial"/>
              </w:rPr>
            </w:pPr>
            <w:r w:rsidRPr="009B7B35">
              <w:rPr>
                <w:rFonts w:cs="Arial"/>
              </w:rPr>
              <w:t>50L / 100m</w:t>
            </w:r>
            <w:r w:rsidRPr="009B7B35">
              <w:rPr>
                <w:rStyle w:val="StyleSuperscript"/>
                <w:rFonts w:cs="Arial"/>
              </w:rPr>
              <w:t>2</w:t>
            </w:r>
            <w:r w:rsidRPr="009B7B35">
              <w:rPr>
                <w:rFonts w:cs="Arial"/>
              </w:rPr>
              <w:t xml:space="preserve"> / floor area / day</w:t>
            </w:r>
          </w:p>
        </w:tc>
      </w:tr>
      <w:tr w:rsidR="00BE36FB" w:rsidRPr="009B7B35" w14:paraId="23555415" w14:textId="77777777" w:rsidTr="001A7107">
        <w:tc>
          <w:tcPr>
            <w:tcW w:w="3119" w:type="dxa"/>
          </w:tcPr>
          <w:p w14:paraId="02C47ACC" w14:textId="77777777" w:rsidR="00BE36FB" w:rsidRPr="009B7B35" w:rsidRDefault="00BE36FB" w:rsidP="001A7107">
            <w:pPr>
              <w:pStyle w:val="TableText"/>
              <w:rPr>
                <w:rFonts w:cs="Arial"/>
              </w:rPr>
            </w:pPr>
            <w:r w:rsidRPr="009B7B35">
              <w:rPr>
                <w:rFonts w:cs="Arial"/>
              </w:rPr>
              <w:t>A retail business use where for a showroom</w:t>
            </w:r>
          </w:p>
        </w:tc>
        <w:tc>
          <w:tcPr>
            <w:tcW w:w="3149" w:type="dxa"/>
          </w:tcPr>
          <w:p w14:paraId="46A788E6" w14:textId="77777777" w:rsidR="00BE36FB" w:rsidRPr="009B7B35" w:rsidRDefault="00BE36FB" w:rsidP="001A7107">
            <w:pPr>
              <w:pStyle w:val="TableText"/>
              <w:rPr>
                <w:rFonts w:cs="Arial"/>
              </w:rPr>
            </w:pPr>
            <w:r w:rsidRPr="009B7B35">
              <w:rPr>
                <w:rFonts w:cs="Arial"/>
              </w:rPr>
              <w:t>40L / 100m</w:t>
            </w:r>
            <w:r w:rsidRPr="009B7B35">
              <w:rPr>
                <w:rStyle w:val="StyleSuperscript"/>
                <w:rFonts w:cs="Arial"/>
              </w:rPr>
              <w:t>2</w:t>
            </w:r>
            <w:r w:rsidRPr="009B7B35">
              <w:rPr>
                <w:rFonts w:cs="Arial"/>
              </w:rPr>
              <w:t xml:space="preserve"> / floor area / day</w:t>
            </w:r>
          </w:p>
        </w:tc>
        <w:tc>
          <w:tcPr>
            <w:tcW w:w="3112" w:type="dxa"/>
          </w:tcPr>
          <w:p w14:paraId="243BC084" w14:textId="77777777" w:rsidR="00BE36FB" w:rsidRPr="009B7B35" w:rsidRDefault="00BE36FB" w:rsidP="001A7107">
            <w:pPr>
              <w:pStyle w:val="TableText"/>
              <w:rPr>
                <w:rFonts w:cs="Arial"/>
              </w:rPr>
            </w:pPr>
            <w:r w:rsidRPr="009B7B35">
              <w:rPr>
                <w:rFonts w:cs="Arial"/>
              </w:rPr>
              <w:t>10L / 100m</w:t>
            </w:r>
            <w:r w:rsidRPr="009B7B35">
              <w:rPr>
                <w:rStyle w:val="StyleSuperscript"/>
                <w:rFonts w:cs="Arial"/>
              </w:rPr>
              <w:t>2</w:t>
            </w:r>
            <w:r w:rsidRPr="009B7B35">
              <w:rPr>
                <w:rFonts w:cs="Arial"/>
              </w:rPr>
              <w:t xml:space="preserve"> / floor area / day</w:t>
            </w:r>
          </w:p>
        </w:tc>
      </w:tr>
      <w:tr w:rsidR="00BE36FB" w:rsidRPr="009B7B35" w14:paraId="3D47DDE7" w14:textId="77777777" w:rsidTr="001A7107">
        <w:tc>
          <w:tcPr>
            <w:tcW w:w="3119" w:type="dxa"/>
          </w:tcPr>
          <w:p w14:paraId="1B877216" w14:textId="77777777" w:rsidR="00BE36FB" w:rsidRPr="009B7B35" w:rsidRDefault="00BE36FB" w:rsidP="001A7107">
            <w:pPr>
              <w:pStyle w:val="TableText"/>
              <w:rPr>
                <w:rFonts w:cs="Arial"/>
              </w:rPr>
            </w:pPr>
            <w:r w:rsidRPr="009B7B35">
              <w:rPr>
                <w:rFonts w:cs="Arial"/>
              </w:rPr>
              <w:t>A commercial business uses where for an office</w:t>
            </w:r>
          </w:p>
        </w:tc>
        <w:tc>
          <w:tcPr>
            <w:tcW w:w="3149" w:type="dxa"/>
          </w:tcPr>
          <w:p w14:paraId="36308245" w14:textId="77777777" w:rsidR="00BE36FB" w:rsidRPr="009B7B35" w:rsidRDefault="00BE36FB" w:rsidP="001A7107">
            <w:pPr>
              <w:pStyle w:val="TableText"/>
              <w:rPr>
                <w:rFonts w:cs="Arial"/>
              </w:rPr>
            </w:pPr>
            <w:r w:rsidRPr="009B7B35">
              <w:rPr>
                <w:rFonts w:cs="Arial"/>
              </w:rPr>
              <w:t>10L / 100m</w:t>
            </w:r>
            <w:r w:rsidRPr="009B7B35">
              <w:rPr>
                <w:rStyle w:val="StyleSuperscript"/>
                <w:rFonts w:cs="Arial"/>
              </w:rPr>
              <w:t>2</w:t>
            </w:r>
            <w:r w:rsidRPr="009B7B35">
              <w:rPr>
                <w:rFonts w:cs="Arial"/>
              </w:rPr>
              <w:t xml:space="preserve"> / day </w:t>
            </w:r>
          </w:p>
        </w:tc>
        <w:tc>
          <w:tcPr>
            <w:tcW w:w="3112" w:type="dxa"/>
          </w:tcPr>
          <w:p w14:paraId="7E026775" w14:textId="77777777" w:rsidR="00BE36FB" w:rsidRPr="009B7B35" w:rsidRDefault="00BE36FB" w:rsidP="001A7107">
            <w:pPr>
              <w:pStyle w:val="TableText"/>
              <w:rPr>
                <w:rFonts w:cs="Arial"/>
              </w:rPr>
            </w:pPr>
            <w:r w:rsidRPr="009B7B35">
              <w:rPr>
                <w:rFonts w:cs="Arial"/>
              </w:rPr>
              <w:t>10L / 100m</w:t>
            </w:r>
            <w:r w:rsidRPr="009B7B35">
              <w:rPr>
                <w:rStyle w:val="StyleSuperscript"/>
                <w:rFonts w:cs="Arial"/>
              </w:rPr>
              <w:t>2</w:t>
            </w:r>
            <w:r w:rsidRPr="009B7B35">
              <w:rPr>
                <w:rFonts w:cs="Arial"/>
              </w:rPr>
              <w:t xml:space="preserve"> / day</w:t>
            </w:r>
          </w:p>
        </w:tc>
      </w:tr>
    </w:tbl>
    <w:p w14:paraId="0918BE10"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154028CF" w14:textId="77777777" w:rsidR="00BE36FB" w:rsidRPr="009B7B35" w:rsidRDefault="00BE36FB" w:rsidP="001A7107">
      <w:pPr>
        <w:pStyle w:val="Heading9"/>
        <w:numPr>
          <w:ilvl w:val="0"/>
          <w:numId w:val="0"/>
        </w:numPr>
        <w:rPr>
          <w:rFonts w:cs="Arial"/>
          <w:sz w:val="20"/>
        </w:rPr>
      </w:pPr>
      <w:r w:rsidRPr="009B7B35">
        <w:rPr>
          <w:rFonts w:cs="Arial"/>
          <w:sz w:val="20"/>
        </w:rPr>
        <w:t>Table SC6.11.3.2—Minimum waste service levels for particular uses</w:t>
      </w:r>
    </w:p>
    <w:tbl>
      <w:tblPr>
        <w:tblStyle w:val="Tablestyle"/>
        <w:tblW w:w="9356" w:type="dxa"/>
        <w:tblLayout w:type="fixed"/>
        <w:tblLook w:val="0620" w:firstRow="1" w:lastRow="0" w:firstColumn="0" w:lastColumn="0" w:noHBand="1" w:noVBand="1"/>
      </w:tblPr>
      <w:tblGrid>
        <w:gridCol w:w="2974"/>
        <w:gridCol w:w="6382"/>
      </w:tblGrid>
      <w:tr w:rsidR="00BE36FB" w:rsidRPr="009B7B35" w14:paraId="3DB971CC" w14:textId="77777777" w:rsidTr="001A7107">
        <w:trPr>
          <w:cnfStyle w:val="100000000000" w:firstRow="1" w:lastRow="0" w:firstColumn="0" w:lastColumn="0" w:oddVBand="0" w:evenVBand="0" w:oddHBand="0" w:evenHBand="0" w:firstRowFirstColumn="0" w:firstRowLastColumn="0" w:lastRowFirstColumn="0" w:lastRowLastColumn="0"/>
          <w:cantSplit/>
        </w:trPr>
        <w:tc>
          <w:tcPr>
            <w:tcW w:w="2974" w:type="dxa"/>
          </w:tcPr>
          <w:p w14:paraId="596A3B21" w14:textId="77777777" w:rsidR="00BE36FB" w:rsidRPr="009B7B35" w:rsidRDefault="00BE36FB" w:rsidP="001A7107">
            <w:pPr>
              <w:pStyle w:val="Tableheading"/>
              <w:rPr>
                <w:rFonts w:ascii="Arial" w:hAnsi="Arial" w:cs="Arial"/>
                <w:szCs w:val="20"/>
              </w:rPr>
            </w:pPr>
            <w:r w:rsidRPr="009B7B35">
              <w:rPr>
                <w:rFonts w:ascii="Arial" w:hAnsi="Arial" w:cs="Arial"/>
                <w:szCs w:val="20"/>
              </w:rPr>
              <w:t>Use</w:t>
            </w:r>
          </w:p>
        </w:tc>
        <w:tc>
          <w:tcPr>
            <w:tcW w:w="6382" w:type="dxa"/>
          </w:tcPr>
          <w:p w14:paraId="5B6B4817" w14:textId="77777777" w:rsidR="00BE36FB" w:rsidRPr="009B7B35" w:rsidRDefault="00BE36FB" w:rsidP="001A7107">
            <w:pPr>
              <w:pStyle w:val="Tableheading"/>
              <w:rPr>
                <w:rFonts w:ascii="Arial" w:hAnsi="Arial" w:cs="Arial"/>
                <w:szCs w:val="20"/>
              </w:rPr>
            </w:pPr>
            <w:r w:rsidRPr="009B7B35">
              <w:rPr>
                <w:rFonts w:ascii="Arial" w:hAnsi="Arial" w:cs="Arial"/>
                <w:szCs w:val="20"/>
              </w:rPr>
              <w:t>Minimum service level</w:t>
            </w:r>
          </w:p>
        </w:tc>
      </w:tr>
      <w:tr w:rsidR="00BE36FB" w:rsidRPr="009B7B35" w14:paraId="1DA15DB6" w14:textId="77777777" w:rsidTr="001A7107">
        <w:trPr>
          <w:cantSplit/>
        </w:trPr>
        <w:tc>
          <w:tcPr>
            <w:tcW w:w="2974" w:type="dxa"/>
          </w:tcPr>
          <w:p w14:paraId="0E4F77FA" w14:textId="77777777" w:rsidR="00BE36FB" w:rsidRPr="009B7B35" w:rsidRDefault="00BE36FB" w:rsidP="001A7107">
            <w:pPr>
              <w:pStyle w:val="TableText"/>
              <w:rPr>
                <w:rFonts w:cs="Arial"/>
              </w:rPr>
            </w:pPr>
            <w:r w:rsidRPr="009B7B35">
              <w:rPr>
                <w:rFonts w:cs="Arial"/>
              </w:rPr>
              <w:t>Dual occupancy, dwelling house</w:t>
            </w:r>
          </w:p>
        </w:tc>
        <w:tc>
          <w:tcPr>
            <w:tcW w:w="6382" w:type="dxa"/>
          </w:tcPr>
          <w:p w14:paraId="19BA75A2" w14:textId="77777777" w:rsidR="00BE36FB" w:rsidRPr="009B7B35" w:rsidRDefault="00BE36FB" w:rsidP="00BE36FB">
            <w:pPr>
              <w:pStyle w:val="TableText"/>
              <w:numPr>
                <w:ilvl w:val="0"/>
                <w:numId w:val="859"/>
              </w:numPr>
              <w:rPr>
                <w:rFonts w:cs="Arial"/>
              </w:rPr>
            </w:pPr>
            <w:r w:rsidRPr="009B7B35">
              <w:rPr>
                <w:rFonts w:cs="Arial"/>
              </w:rPr>
              <w:t>one 240L waste storage bin serviced once a week, and</w:t>
            </w:r>
          </w:p>
          <w:p w14:paraId="213F8A17" w14:textId="77777777" w:rsidR="00BE36FB" w:rsidRPr="009B7B35" w:rsidRDefault="00BE36FB" w:rsidP="00BE36FB">
            <w:pPr>
              <w:pStyle w:val="TableText"/>
              <w:numPr>
                <w:ilvl w:val="0"/>
                <w:numId w:val="859"/>
              </w:numPr>
              <w:rPr>
                <w:rFonts w:cs="Arial"/>
              </w:rPr>
            </w:pPr>
            <w:r w:rsidRPr="009B7B35">
              <w:rPr>
                <w:rFonts w:cs="Arial"/>
              </w:rPr>
              <w:t>one 240L recycling bin serviced fortnightly, per dwelling.</w:t>
            </w:r>
          </w:p>
        </w:tc>
      </w:tr>
      <w:tr w:rsidR="00BE36FB" w:rsidRPr="009B7B35" w14:paraId="217C4E57" w14:textId="77777777" w:rsidTr="001A7107">
        <w:trPr>
          <w:cantSplit/>
        </w:trPr>
        <w:tc>
          <w:tcPr>
            <w:tcW w:w="2974" w:type="dxa"/>
          </w:tcPr>
          <w:p w14:paraId="5294E249" w14:textId="77777777" w:rsidR="00BE36FB" w:rsidRPr="009B7B35" w:rsidRDefault="00BE36FB" w:rsidP="001A7107">
            <w:pPr>
              <w:pStyle w:val="TableText"/>
              <w:rPr>
                <w:rFonts w:cs="Arial"/>
              </w:rPr>
            </w:pPr>
            <w:r w:rsidRPr="009B7B35">
              <w:rPr>
                <w:rFonts w:cs="Arial"/>
              </w:rPr>
              <w:t>All other uses</w:t>
            </w:r>
          </w:p>
        </w:tc>
        <w:tc>
          <w:tcPr>
            <w:tcW w:w="6382" w:type="dxa"/>
          </w:tcPr>
          <w:p w14:paraId="34B9FC30" w14:textId="77777777" w:rsidR="00BE36FB" w:rsidRPr="009B7B35" w:rsidRDefault="00BE36FB" w:rsidP="00BE36FB">
            <w:pPr>
              <w:pStyle w:val="TableText"/>
              <w:numPr>
                <w:ilvl w:val="0"/>
                <w:numId w:val="860"/>
              </w:numPr>
              <w:rPr>
                <w:rFonts w:cs="Arial"/>
              </w:rPr>
            </w:pPr>
            <w:r w:rsidRPr="009B7B35">
              <w:rPr>
                <w:rFonts w:cs="Arial"/>
              </w:rPr>
              <w:t>bulk bins as determined as part of assessment of proposal, and</w:t>
            </w:r>
          </w:p>
          <w:p w14:paraId="5E0C85F7" w14:textId="77777777" w:rsidR="00BE36FB" w:rsidRPr="009B7B35" w:rsidRDefault="00BE36FB" w:rsidP="00BE36FB">
            <w:pPr>
              <w:pStyle w:val="TableText"/>
              <w:numPr>
                <w:ilvl w:val="0"/>
                <w:numId w:val="860"/>
              </w:numPr>
              <w:rPr>
                <w:rFonts w:cs="Arial"/>
              </w:rPr>
            </w:pPr>
            <w:r w:rsidRPr="009B7B35">
              <w:rPr>
                <w:rFonts w:cs="Arial"/>
              </w:rPr>
              <w:t>provide a Waste Management Plan in accordance with Appendix 1.</w:t>
            </w:r>
          </w:p>
        </w:tc>
      </w:tr>
    </w:tbl>
    <w:p w14:paraId="38D631E1" w14:textId="77777777" w:rsidR="00BE36FB" w:rsidRPr="009B7B35" w:rsidRDefault="00BE36FB" w:rsidP="007A46D8">
      <w:pPr>
        <w:pStyle w:val="Heading8"/>
        <w:numPr>
          <w:ilvl w:val="7"/>
          <w:numId w:val="834"/>
        </w:numPr>
        <w:rPr>
          <w:rFonts w:ascii="Arial" w:hAnsi="Arial" w:cs="Arial"/>
          <w:sz w:val="20"/>
        </w:rPr>
      </w:pPr>
      <w:bookmarkStart w:id="384" w:name="_Toc205367497"/>
      <w:r w:rsidRPr="009B7B35">
        <w:rPr>
          <w:rFonts w:ascii="Arial" w:hAnsi="Arial" w:cs="Arial"/>
          <w:sz w:val="20"/>
        </w:rPr>
        <w:t>Standards for waste storage outcomes</w:t>
      </w:r>
      <w:bookmarkEnd w:id="384"/>
    </w:p>
    <w:p w14:paraId="0C444927" w14:textId="77777777" w:rsidR="00BE36FB" w:rsidRPr="009B7B35" w:rsidRDefault="00BE36FB" w:rsidP="001A7107">
      <w:pPr>
        <w:rPr>
          <w:rFonts w:ascii="Arial" w:hAnsi="Arial" w:cs="Arial"/>
          <w:sz w:val="20"/>
          <w:szCs w:val="20"/>
        </w:rPr>
      </w:pPr>
      <w:r w:rsidRPr="009B7B35">
        <w:rPr>
          <w:rFonts w:ascii="Arial" w:hAnsi="Arial" w:cs="Arial"/>
          <w:sz w:val="20"/>
          <w:szCs w:val="20"/>
        </w:rPr>
        <w:t>For the purposes of the waste management code the following are the standards identified in the code for waste storage areas.</w:t>
      </w:r>
    </w:p>
    <w:p w14:paraId="32B70A6D" w14:textId="77777777" w:rsidR="00BE36FB" w:rsidRPr="009B7B35" w:rsidRDefault="00BE36FB" w:rsidP="00BE36FB">
      <w:pPr>
        <w:numPr>
          <w:ilvl w:val="0"/>
          <w:numId w:val="855"/>
        </w:numPr>
        <w:rPr>
          <w:rFonts w:ascii="Arial" w:hAnsi="Arial" w:cs="Arial"/>
          <w:sz w:val="20"/>
          <w:szCs w:val="20"/>
        </w:rPr>
      </w:pPr>
      <w:r w:rsidRPr="009B7B35">
        <w:rPr>
          <w:rFonts w:ascii="Arial" w:hAnsi="Arial" w:cs="Arial"/>
          <w:sz w:val="20"/>
          <w:szCs w:val="20"/>
        </w:rPr>
        <w:t>Waste container storage areas generally:</w:t>
      </w:r>
    </w:p>
    <w:p w14:paraId="3317C659"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waste container storage areas must be attractively designed to minimise their visual impact on the streetscape and surrounding areas</w:t>
      </w:r>
    </w:p>
    <w:p w14:paraId="32211A80"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waste and waste storage bins must not be placed where they may impede safe use of any exit, exit corridor, doorway or stairway, under stairways or near any existing or potential heat source</w:t>
      </w:r>
    </w:p>
    <w:p w14:paraId="3B0275FE"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waste storage bins must be made of non–combustible materials</w:t>
      </w:r>
    </w:p>
    <w:p w14:paraId="687574C7"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where the storage area contains more than  two standard domestic bins, a waste wash down area must be provided for the regular cleaning of waste storage containers, which:</w:t>
      </w:r>
    </w:p>
    <w:p w14:paraId="7D0DD885"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is located such that waste containers can be easily moved to the waste wash down area and is not located adjacent to or underneath the eating or living areas of any unit or neighbouring property</w:t>
      </w:r>
    </w:p>
    <w:p w14:paraId="17386B8B"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has a floor graded to fall to a drainage point located within the wash down area</w:t>
      </w:r>
    </w:p>
    <w:p w14:paraId="6A826579"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provides for drainage by means of a trapped gully connected to the sewer, and is designed such that rainfall and other surface water cannot flow into the wash down, and</w:t>
      </w:r>
    </w:p>
    <w:p w14:paraId="277BB2B8"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has a hose cock located in the vicinity of the wash down area.</w:t>
      </w:r>
    </w:p>
    <w:p w14:paraId="4F83F590"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waste chutes may be provided for both general waste and recyclables and in particular for multi–unit residential and commercial developments of more than three storeys or 12 metres in height</w:t>
      </w:r>
    </w:p>
    <w:p w14:paraId="14708269"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any waste chute and associated accessories must:</w:t>
      </w:r>
    </w:p>
    <w:p w14:paraId="3B47BB9B"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be cylindrical with a diameter not less than 450mm</w:t>
      </w:r>
    </w:p>
    <w:p w14:paraId="49F4EB65"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have a bottom edge which finishes at least 25mm below the level of the ceiling in the waste storage room with a maximum of 300mm between the bottom edge (and any extension thereof) and the top of the waste container</w:t>
      </w:r>
    </w:p>
    <w:p w14:paraId="53F76379"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as far as practicable, be vertical throughout the chute length up to the level of the highest hopper</w:t>
      </w:r>
    </w:p>
    <w:p w14:paraId="54AFF45E"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discharge centrally above the waste container or compactor in the waste storage room</w:t>
      </w:r>
    </w:p>
    <w:p w14:paraId="7D3EAB10"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be continued in full bore above the roof of the building, but not less than 600mm above the level of the highest hopper</w:t>
      </w:r>
    </w:p>
    <w:p w14:paraId="68357ABF"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be fully supported at each floor level and contained in fire rated shafts in compliance with the appropriate standards</w:t>
      </w:r>
    </w:p>
    <w:p w14:paraId="66B2EDFE"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provide for access at appropriate levels to assist in clearing obstructions and cleaning with a nylon brush or similar appliance on a pulley system</w:t>
      </w:r>
    </w:p>
    <w:p w14:paraId="796105BB"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be ventilated in a manner that ensures air does not flow from the chute through service openings, and the flow of air in the chute does not impede the downward movement of waste</w:t>
      </w:r>
    </w:p>
    <w:p w14:paraId="1A25DCAF"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where the chute is not continued to the full height of the building, incorporate a vent formed of non–combustible material having a minimum diameter of 150mm carried to a point of at least 2.0 metres above the eaves of the building or the eaves of any building within 10.0 metres</w:t>
      </w:r>
    </w:p>
    <w:p w14:paraId="398FE1E4"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incorporate a shutter fitted for closing off the chute in the case of fire or when the waste container is withdrawn that is:</w:t>
      </w:r>
    </w:p>
    <w:p w14:paraId="5FD9CA22" w14:textId="77777777" w:rsidR="00BE36FB" w:rsidRPr="009B7B35" w:rsidRDefault="00BE36FB" w:rsidP="00BE36FB">
      <w:pPr>
        <w:numPr>
          <w:ilvl w:val="3"/>
          <w:numId w:val="855"/>
        </w:numPr>
        <w:rPr>
          <w:rFonts w:ascii="Arial" w:hAnsi="Arial" w:cs="Arial"/>
          <w:sz w:val="20"/>
          <w:szCs w:val="20"/>
        </w:rPr>
      </w:pPr>
      <w:r w:rsidRPr="009B7B35">
        <w:rPr>
          <w:rFonts w:ascii="Arial" w:hAnsi="Arial" w:cs="Arial"/>
          <w:sz w:val="20"/>
          <w:szCs w:val="20"/>
        </w:rPr>
        <w:t>self–closing and constructed of galvanised steel sheet or other approved metal</w:t>
      </w:r>
    </w:p>
    <w:p w14:paraId="412C602E" w14:textId="77777777" w:rsidR="00BE36FB" w:rsidRPr="009B7B35" w:rsidRDefault="00BE36FB" w:rsidP="00BE36FB">
      <w:pPr>
        <w:numPr>
          <w:ilvl w:val="3"/>
          <w:numId w:val="855"/>
        </w:numPr>
        <w:rPr>
          <w:rFonts w:ascii="Arial" w:hAnsi="Arial" w:cs="Arial"/>
          <w:sz w:val="20"/>
          <w:szCs w:val="20"/>
        </w:rPr>
      </w:pPr>
      <w:r w:rsidRPr="009B7B35">
        <w:rPr>
          <w:rFonts w:ascii="Arial" w:hAnsi="Arial" w:cs="Arial"/>
          <w:sz w:val="20"/>
          <w:szCs w:val="20"/>
        </w:rPr>
        <w:t>assembled with bolts, hinges or rollers of non–corrosive material so that it can be dismounted and re–assembled if necessary</w:t>
      </w:r>
    </w:p>
    <w:p w14:paraId="5E7298C7" w14:textId="77777777" w:rsidR="00BE36FB" w:rsidRPr="009B7B35" w:rsidRDefault="00BE36FB" w:rsidP="00BE36FB">
      <w:pPr>
        <w:numPr>
          <w:ilvl w:val="3"/>
          <w:numId w:val="855"/>
        </w:numPr>
        <w:rPr>
          <w:rFonts w:ascii="Arial" w:hAnsi="Arial" w:cs="Arial"/>
          <w:sz w:val="20"/>
          <w:szCs w:val="20"/>
        </w:rPr>
      </w:pPr>
      <w:r w:rsidRPr="009B7B35">
        <w:rPr>
          <w:rFonts w:ascii="Arial" w:hAnsi="Arial" w:cs="Arial"/>
          <w:sz w:val="20"/>
          <w:szCs w:val="20"/>
        </w:rPr>
        <w:t>be fitted with a fusible link for automatic operation in the case of a fire in the waste container or waste room, which is selected to operate at a temperature at least 5 degrees Celsius above the operating temperature of the automatic fire control system installed</w:t>
      </w:r>
    </w:p>
    <w:p w14:paraId="6D5C02DA" w14:textId="77777777" w:rsidR="00BE36FB" w:rsidRPr="009B7B35" w:rsidRDefault="00BE36FB" w:rsidP="00BE36FB">
      <w:pPr>
        <w:numPr>
          <w:ilvl w:val="3"/>
          <w:numId w:val="855"/>
        </w:numPr>
        <w:rPr>
          <w:rFonts w:ascii="Arial" w:hAnsi="Arial" w:cs="Arial"/>
          <w:sz w:val="20"/>
          <w:szCs w:val="20"/>
        </w:rPr>
      </w:pPr>
      <w:r w:rsidRPr="009B7B35">
        <w:rPr>
          <w:rFonts w:ascii="Arial" w:hAnsi="Arial" w:cs="Arial"/>
          <w:sz w:val="20"/>
          <w:szCs w:val="20"/>
        </w:rPr>
        <w:t>be constructed of materials which are non–combustible and non–corrosive or otherwise coated / treated with a non–corrosive compound and of adequate strength for their purpose</w:t>
      </w:r>
    </w:p>
    <w:p w14:paraId="7DE648FF" w14:textId="77777777" w:rsidR="00BE36FB" w:rsidRPr="009B7B35" w:rsidRDefault="00BE36FB" w:rsidP="00BE36FB">
      <w:pPr>
        <w:numPr>
          <w:ilvl w:val="3"/>
          <w:numId w:val="855"/>
        </w:numPr>
        <w:rPr>
          <w:rFonts w:ascii="Arial" w:hAnsi="Arial" w:cs="Arial"/>
          <w:sz w:val="20"/>
          <w:szCs w:val="20"/>
        </w:rPr>
      </w:pPr>
      <w:r w:rsidRPr="009B7B35">
        <w:rPr>
          <w:rFonts w:ascii="Arial" w:hAnsi="Arial" w:cs="Arial"/>
          <w:sz w:val="20"/>
          <w:szCs w:val="20"/>
        </w:rPr>
        <w:t>have a chute interior and chute branch and joints with smooth, impervious, and non–corrosive surfaces that provide uninterrupted flow for the passage of waste and are insect and vermin proof, and</w:t>
      </w:r>
    </w:p>
    <w:p w14:paraId="068B5CBF" w14:textId="77777777" w:rsidR="00BE36FB" w:rsidRPr="009B7B35" w:rsidRDefault="00BE36FB" w:rsidP="00BE36FB">
      <w:pPr>
        <w:numPr>
          <w:ilvl w:val="3"/>
          <w:numId w:val="855"/>
        </w:numPr>
        <w:rPr>
          <w:rFonts w:ascii="Arial" w:hAnsi="Arial" w:cs="Arial"/>
          <w:sz w:val="20"/>
          <w:szCs w:val="20"/>
        </w:rPr>
      </w:pPr>
      <w:r w:rsidRPr="009B7B35">
        <w:rPr>
          <w:rFonts w:ascii="Arial" w:hAnsi="Arial" w:cs="Arial"/>
          <w:sz w:val="20"/>
          <w:szCs w:val="20"/>
        </w:rPr>
        <w:t>be part of a whole of waste disposal system, including all chutes, rooms, compartments and equipment that is designed and constructed so that the use and operation of the system does not at any time give rise to transmission of vibration to the structure of the premises, or odour in excess of 1 odour unit beyond the disposal and storage points.</w:t>
      </w:r>
    </w:p>
    <w:p w14:paraId="2B71B37A" w14:textId="77777777" w:rsidR="00BE36FB" w:rsidRPr="009B7B35" w:rsidRDefault="00BE36FB" w:rsidP="00BE36FB">
      <w:pPr>
        <w:numPr>
          <w:ilvl w:val="0"/>
          <w:numId w:val="855"/>
        </w:numPr>
        <w:rPr>
          <w:rFonts w:ascii="Arial" w:hAnsi="Arial" w:cs="Arial"/>
          <w:sz w:val="20"/>
          <w:szCs w:val="20"/>
        </w:rPr>
      </w:pPr>
      <w:r w:rsidRPr="009B7B35">
        <w:rPr>
          <w:rFonts w:ascii="Arial" w:hAnsi="Arial" w:cs="Arial"/>
          <w:sz w:val="20"/>
          <w:szCs w:val="20"/>
        </w:rPr>
        <w:t>Waste disposal points</w:t>
      </w:r>
    </w:p>
    <w:p w14:paraId="43FF099D" w14:textId="77777777" w:rsidR="00BE36FB" w:rsidRPr="009B7B35" w:rsidRDefault="00BE36FB" w:rsidP="00BE36FB">
      <w:pPr>
        <w:pStyle w:val="NormalIndent"/>
        <w:numPr>
          <w:ilvl w:val="0"/>
          <w:numId w:val="855"/>
        </w:numPr>
        <w:rPr>
          <w:rFonts w:cs="Arial"/>
          <w:szCs w:val="20"/>
        </w:rPr>
      </w:pPr>
      <w:r w:rsidRPr="009B7B35">
        <w:rPr>
          <w:rFonts w:cs="Arial"/>
          <w:szCs w:val="20"/>
        </w:rPr>
        <w:t>Hoppers for disposal of waste into waste chutes must:</w:t>
      </w:r>
    </w:p>
    <w:p w14:paraId="2A20B204"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provided on each residential floor and be located in a freely ventilated position in the open air (e.g. a sheltered balcony or in a dedicated waste disposal room)</w:t>
      </w:r>
    </w:p>
    <w:p w14:paraId="4359FF19"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easily accessed by the occupants of each unit</w:t>
      </w:r>
    </w:p>
    <w:p w14:paraId="6E9C2C09"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separate from any habitable room or place used in connection with food preparation or living areas</w:t>
      </w:r>
    </w:p>
    <w:p w14:paraId="785239D2"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designed and installed so as to:</w:t>
      </w:r>
    </w:p>
    <w:p w14:paraId="05812481"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close off the service opening in the chute when the device is open for loading</w:t>
      </w:r>
    </w:p>
    <w:p w14:paraId="46621C0A"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be between 1.0 metre and 1.5 metres above floor level</w:t>
      </w:r>
    </w:p>
    <w:p w14:paraId="3CDA87CC"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automatically return to the closed position after use</w:t>
      </w:r>
    </w:p>
    <w:p w14:paraId="2698609F"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permit free flow into the chute</w:t>
      </w:r>
    </w:p>
    <w:p w14:paraId="3EBF807D"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not project into the chute, and</w:t>
      </w:r>
    </w:p>
    <w:p w14:paraId="53B11540"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allow easy cleaning of the device and the connection between the service opening and the chute.</w:t>
      </w:r>
    </w:p>
    <w:p w14:paraId="4B8909EC"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have the largest dimension of the service opening (the diagonal of a rectangular opening) not exceeding .75 diameter of the chute with which the hopper is connected</w:t>
      </w:r>
    </w:p>
    <w:p w14:paraId="634E7C1F"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have a surround on the wall around that hopper that is at least 300mm wide and made of glazed tiling or other impervious material with can be easily cleaned</w:t>
      </w:r>
    </w:p>
    <w:p w14:paraId="54FCA5D9"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have a floor adjacent to the hopper that is paved with hard impervious materials with a smooth finished surface, and</w:t>
      </w:r>
    </w:p>
    <w:p w14:paraId="7B7367F2"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if located within a waste disposal room be ventilated and finished with an impervious material covered at all angles.</w:t>
      </w:r>
    </w:p>
    <w:p w14:paraId="1567A142" w14:textId="77777777" w:rsidR="00BE36FB" w:rsidRPr="009B7B35" w:rsidRDefault="00BE36FB" w:rsidP="00BE36FB">
      <w:pPr>
        <w:numPr>
          <w:ilvl w:val="0"/>
          <w:numId w:val="855"/>
        </w:numPr>
        <w:rPr>
          <w:rFonts w:ascii="Arial" w:hAnsi="Arial" w:cs="Arial"/>
          <w:sz w:val="20"/>
          <w:szCs w:val="20"/>
        </w:rPr>
      </w:pPr>
      <w:r w:rsidRPr="009B7B35">
        <w:rPr>
          <w:rFonts w:ascii="Arial" w:hAnsi="Arial" w:cs="Arial"/>
          <w:sz w:val="20"/>
          <w:szCs w:val="20"/>
        </w:rPr>
        <w:t xml:space="preserve">Waste container storage rooms are to be provided for the storage of waste in standard containers at the bottom of each waste chute and must: </w:t>
      </w:r>
    </w:p>
    <w:p w14:paraId="43A21BA5"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located at vehicle access level, preferably away from the main entrance to the building</w:t>
      </w:r>
    </w:p>
    <w:p w14:paraId="3D0B6B66"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not be located adjacent to or within any habitable room or place used in connection with food preparation or living areas</w:t>
      </w:r>
    </w:p>
    <w:p w14:paraId="7A23F574"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of sufficient size to fully contain the number of waste containers required to service the development</w:t>
      </w:r>
    </w:p>
    <w:p w14:paraId="508C5555"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provide for waste containers to be easily accessed for direct disposal of bulky items to the waste container</w:t>
      </w:r>
    </w:p>
    <w:p w14:paraId="32B270D3"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provide for unobstructed access for removal of waste containers to the service point and for the positioning of the containers correctly in relation to the waste chute</w:t>
      </w:r>
    </w:p>
    <w:p w14:paraId="029F2B6B"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the service point or be located within 40 metres of the service point</w:t>
      </w:r>
    </w:p>
    <w:p w14:paraId="2F515667"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be designed and constructed so that:</w:t>
      </w:r>
    </w:p>
    <w:p w14:paraId="5E6C7F8A"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the doors are close fitting, self–closing and not less than 820mm wide</w:t>
      </w:r>
    </w:p>
    <w:p w14:paraId="0365C4FA"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walls, doors and roof of each waste room are lined with non–combustible and impervious material with a smooth finish and a fire resistance rating of one hour</w:t>
      </w:r>
    </w:p>
    <w:p w14:paraId="72425740"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the junctions of the walls with the floors are covered with the covering formed to prevent damage to walls by containers</w:t>
      </w:r>
    </w:p>
    <w:p w14:paraId="761A276F"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door frames are metal, hardwood or metal clad softwood, situated in an external wall</w:t>
      </w:r>
    </w:p>
    <w:p w14:paraId="6467D0D2"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door frames are rebated with a lock capable of being activated from within the room without a key at all times</w:t>
      </w:r>
    </w:p>
    <w:p w14:paraId="7DC30019"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 hose cock and an adequate length of hand hose of a minimum internal diameter of 12mm are provided immediately outside the room</w:t>
      </w:r>
    </w:p>
    <w:p w14:paraId="3CE7A9EE"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unless refrigerated to below 4 degrees Celsius, the room has an approved mechanical exhaust system for ventilation or permanent, unobstructed natural ventilation openings direct to the external air not less than one–twentieth (1/20th) of the floor area with one half of such openings situated at or near the floor level and one half at or near the ceiling level</w:t>
      </w:r>
    </w:p>
    <w:p w14:paraId="1E6EEA34"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automatic or other system for control of fire in the waste room meets Australian Standards on sprinkler installation</w:t>
      </w:r>
    </w:p>
    <w:p w14:paraId="201B7F18"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the waste room is fly and vermin proof</w:t>
      </w:r>
    </w:p>
    <w:p w14:paraId="59E78A04"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the floor of the waste room is graded to fall to a drain located outside and adjacent to the waste room as close as practicable to the doorway and drainage is by means of a trapped gully connected to the sewer with gullies positioned to avoid the track of waste container wheels</w:t>
      </w:r>
    </w:p>
    <w:p w14:paraId="22A6B48A"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rainfall and other surface water cannot flow into the waste room;</w:t>
      </w:r>
    </w:p>
    <w:p w14:paraId="7068D9FD"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artificial lighting is provided</w:t>
      </w:r>
    </w:p>
    <w:p w14:paraId="017FA02C"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refrigerated rooms are fitted with an approved alarm device, located outside, but controllable only from within the room with all conduits concealed in the floor, walls or ceiling</w:t>
      </w:r>
    </w:p>
    <w:p w14:paraId="183062C5"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all equipment in a fixed position is located clear of walls and floors and is supported on suitable plinths or impervious legs</w:t>
      </w:r>
    </w:p>
    <w:p w14:paraId="1349EE8C"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any container storage and drainage racks are made of galvanised metal or other durable, impervious materials, and</w:t>
      </w:r>
    </w:p>
    <w:p w14:paraId="16511AB6"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be well ventilated and have “hazardous waste” and “no smoking” signs installed.</w:t>
      </w:r>
    </w:p>
    <w:p w14:paraId="407A6988"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A waste wash down area must be provided for the regular cleaning of waste containers, which:</w:t>
      </w:r>
    </w:p>
    <w:p w14:paraId="332F6B73"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is located such that waste containers can be easily moved to the waste wash down area and is not located adjacent to or underneath the eating or living areas of any unit or neighbouring property</w:t>
      </w:r>
    </w:p>
    <w:p w14:paraId="3D39DF43"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has a floor graded to fall to a drainage point located within the wash down area</w:t>
      </w:r>
    </w:p>
    <w:p w14:paraId="7036E7ED"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provides for drainage by means of a trapped gully connected to the sewer, and is designed such that rainfall and other surface water cannot flow into the wash down</w:t>
      </w:r>
    </w:p>
    <w:p w14:paraId="056C6018"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has a hose cock located in the vicinity of the wash down area.</w:t>
      </w:r>
    </w:p>
    <w:p w14:paraId="29AF28E6" w14:textId="77777777" w:rsidR="00BE36FB" w:rsidRPr="009B7B35" w:rsidRDefault="00BE36FB" w:rsidP="00BE36FB">
      <w:pPr>
        <w:numPr>
          <w:ilvl w:val="1"/>
          <w:numId w:val="855"/>
        </w:numPr>
        <w:rPr>
          <w:rFonts w:ascii="Arial" w:hAnsi="Arial" w:cs="Arial"/>
          <w:sz w:val="20"/>
          <w:szCs w:val="20"/>
        </w:rPr>
      </w:pPr>
      <w:r w:rsidRPr="009B7B35">
        <w:rPr>
          <w:rFonts w:ascii="Arial" w:hAnsi="Arial" w:cs="Arial"/>
          <w:sz w:val="20"/>
          <w:szCs w:val="20"/>
        </w:rPr>
        <w:t>Council may require or accept specialised equipment in some circumstances, such as compaction equipment to minimise storage areas. Compaction equipment may be accepted for the following wastes:</w:t>
      </w:r>
    </w:p>
    <w:p w14:paraId="3FC0D187"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mixed waste (other than glass)</w:t>
      </w:r>
    </w:p>
    <w:p w14:paraId="6332F6F1"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cardboard or paper</w:t>
      </w:r>
    </w:p>
    <w:p w14:paraId="35385FA8"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plastic or aluminium containers</w:t>
      </w:r>
    </w:p>
    <w:p w14:paraId="4EBA7D48" w14:textId="77777777" w:rsidR="00BE36FB" w:rsidRPr="009B7B35" w:rsidRDefault="00BE36FB" w:rsidP="00BE36FB">
      <w:pPr>
        <w:numPr>
          <w:ilvl w:val="2"/>
          <w:numId w:val="855"/>
        </w:numPr>
        <w:rPr>
          <w:rFonts w:ascii="Arial" w:hAnsi="Arial" w:cs="Arial"/>
          <w:sz w:val="20"/>
          <w:szCs w:val="20"/>
        </w:rPr>
      </w:pPr>
      <w:r w:rsidRPr="009B7B35">
        <w:rPr>
          <w:rFonts w:ascii="Arial" w:hAnsi="Arial" w:cs="Arial"/>
          <w:sz w:val="20"/>
          <w:szCs w:val="20"/>
        </w:rPr>
        <w:t>putrescible waste – provided a specialised refrigerated compactor is used.</w:t>
      </w:r>
    </w:p>
    <w:p w14:paraId="63651769" w14:textId="77777777" w:rsidR="00BE36FB" w:rsidRPr="009B7B35" w:rsidRDefault="00BE36FB" w:rsidP="00BE36FB">
      <w:pPr>
        <w:pStyle w:val="NormalIndent"/>
        <w:numPr>
          <w:ilvl w:val="0"/>
          <w:numId w:val="855"/>
        </w:numPr>
        <w:rPr>
          <w:rFonts w:cs="Arial"/>
          <w:szCs w:val="20"/>
        </w:rPr>
      </w:pPr>
      <w:r w:rsidRPr="009B7B35">
        <w:rPr>
          <w:rFonts w:cs="Arial"/>
          <w:szCs w:val="20"/>
        </w:rPr>
        <w:t>Plans for the installation of compactors must be submitted for the approval of Council’s Delegated Officer.</w:t>
      </w:r>
    </w:p>
    <w:p w14:paraId="383FF255" w14:textId="77777777" w:rsidR="00BE36FB" w:rsidRPr="009B7B35" w:rsidRDefault="00BE36FB" w:rsidP="007A46D8">
      <w:pPr>
        <w:pStyle w:val="Heading8"/>
        <w:numPr>
          <w:ilvl w:val="7"/>
          <w:numId w:val="834"/>
        </w:numPr>
        <w:rPr>
          <w:rFonts w:ascii="Arial" w:hAnsi="Arial" w:cs="Arial"/>
          <w:sz w:val="20"/>
        </w:rPr>
      </w:pPr>
      <w:bookmarkStart w:id="385" w:name="_Toc205367498"/>
      <w:r w:rsidRPr="009B7B35">
        <w:rPr>
          <w:rFonts w:ascii="Arial" w:hAnsi="Arial" w:cs="Arial"/>
          <w:sz w:val="20"/>
        </w:rPr>
        <w:t>Standards for waste servicing outcomes</w:t>
      </w:r>
      <w:bookmarkEnd w:id="385"/>
    </w:p>
    <w:p w14:paraId="084082E5" w14:textId="77777777" w:rsidR="00BE36FB" w:rsidRPr="009B7B35" w:rsidRDefault="00BE36FB">
      <w:pPr>
        <w:rPr>
          <w:rFonts w:ascii="Arial" w:hAnsi="Arial" w:cs="Arial"/>
          <w:sz w:val="20"/>
          <w:szCs w:val="20"/>
        </w:rPr>
      </w:pPr>
      <w:r w:rsidRPr="009B7B35">
        <w:rPr>
          <w:rFonts w:ascii="Arial" w:hAnsi="Arial" w:cs="Arial"/>
          <w:sz w:val="20"/>
          <w:szCs w:val="20"/>
        </w:rPr>
        <w:t>For the purposes of Acceptable outcome AO28.1 in the Waste management code the following are the standards identified in the code for waste servicing.</w:t>
      </w:r>
    </w:p>
    <w:p w14:paraId="2DEA40C4" w14:textId="77777777" w:rsidR="00BE36FB" w:rsidRPr="009B7B35" w:rsidRDefault="00BE36FB" w:rsidP="00BE36FB">
      <w:pPr>
        <w:numPr>
          <w:ilvl w:val="0"/>
          <w:numId w:val="832"/>
        </w:numPr>
        <w:rPr>
          <w:rFonts w:ascii="Arial" w:hAnsi="Arial" w:cs="Arial"/>
          <w:sz w:val="20"/>
          <w:szCs w:val="20"/>
        </w:rPr>
      </w:pPr>
      <w:r w:rsidRPr="009B7B35">
        <w:rPr>
          <w:rFonts w:ascii="Arial" w:hAnsi="Arial" w:cs="Arial"/>
          <w:sz w:val="20"/>
          <w:szCs w:val="20"/>
        </w:rPr>
        <w:t>For on street servicing:</w:t>
      </w:r>
    </w:p>
    <w:p w14:paraId="0EC3742D" w14:textId="77777777"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where staged subdivisions are terminated with a dead end road, a suitable turn around area cul–de–sac shall be provided.</w:t>
      </w:r>
    </w:p>
    <w:p w14:paraId="7B4C9512" w14:textId="77777777"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 xml:space="preserve">0.4m distance between each 240L wheelie bin is required for street service space </w:t>
      </w:r>
    </w:p>
    <w:p w14:paraId="43FFD29E" w14:textId="77777777"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Collection areas must be at the front of each property or a designated area that does not require the driver to exit the vehicle. (Trucks with side lift pick up on the left hand side)</w:t>
      </w:r>
    </w:p>
    <w:p w14:paraId="483FD3A3" w14:textId="77777777" w:rsidR="00BE36FB" w:rsidRPr="009B7B35" w:rsidRDefault="00BE36FB" w:rsidP="00BE36FB">
      <w:pPr>
        <w:numPr>
          <w:ilvl w:val="0"/>
          <w:numId w:val="832"/>
        </w:numPr>
        <w:rPr>
          <w:rFonts w:ascii="Arial" w:hAnsi="Arial" w:cs="Arial"/>
          <w:sz w:val="20"/>
          <w:szCs w:val="20"/>
        </w:rPr>
      </w:pPr>
      <w:r w:rsidRPr="009B7B35">
        <w:rPr>
          <w:rFonts w:ascii="Arial" w:hAnsi="Arial" w:cs="Arial"/>
          <w:sz w:val="20"/>
          <w:szCs w:val="20"/>
        </w:rPr>
        <w:t>Within the development site, vehicle servicing areas must:</w:t>
      </w:r>
    </w:p>
    <w:p w14:paraId="53A6DEB1" w14:textId="77777777"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be capable of carrying the wheel load per axle of fit for purpose service vehicles;</w:t>
      </w:r>
    </w:p>
    <w:p w14:paraId="43BA1B45" w14:textId="77777777"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provide turning circles designed in accordance with AUSTROADS: design single unit truck/bus (12.5m) template, or the particular vehicle requirements, whichever is the greater; and</w:t>
      </w:r>
    </w:p>
    <w:p w14:paraId="55B50047" w14:textId="77777777"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allow vehicles to move in a forward direction at all times, be able to enter and exit the development in a forward direction, or include a turning area which allows the service vehicle to make a turn within 3 manoeuvres, and</w:t>
      </w:r>
    </w:p>
    <w:p w14:paraId="1BD8984F" w14:textId="77777777"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the service point for waste collection service is to be:</w:t>
      </w:r>
    </w:p>
    <w:p w14:paraId="5F57D37B" w14:textId="77777777"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clearly separated from parking bay and other similar areas</w:t>
      </w:r>
    </w:p>
    <w:p w14:paraId="47590C25" w14:textId="77777777"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clear of any hindrance to servicing by a lifter arm</w:t>
      </w:r>
    </w:p>
    <w:p w14:paraId="3E33C7F3" w14:textId="77777777"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clear of a driveway and a pedestrian access</w:t>
      </w:r>
    </w:p>
    <w:p w14:paraId="638A8D51" w14:textId="77777777"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not in front of a building entrance</w:t>
      </w:r>
    </w:p>
    <w:p w14:paraId="555C46AC" w14:textId="77777777"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not blocking the vision of vehicles using the road or entering and exiting the site</w:t>
      </w:r>
    </w:p>
    <w:p w14:paraId="5010240D" w14:textId="77777777"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capable of being serviced on site while the collection vehicle travels forward upon entry and exit</w:t>
      </w:r>
    </w:p>
    <w:p w14:paraId="1643F253" w14:textId="77777777"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a designated area that does not require the driver to exit the vehicle except for bulk bins.</w:t>
      </w:r>
    </w:p>
    <w:p w14:paraId="47B40755" w14:textId="77777777" w:rsidR="00BE36FB" w:rsidRPr="009B7B35" w:rsidRDefault="00BE36FB" w:rsidP="00BE36FB">
      <w:pPr>
        <w:numPr>
          <w:ilvl w:val="1"/>
          <w:numId w:val="832"/>
        </w:numPr>
        <w:rPr>
          <w:rFonts w:ascii="Arial" w:hAnsi="Arial" w:cs="Arial"/>
          <w:sz w:val="20"/>
          <w:szCs w:val="20"/>
        </w:rPr>
      </w:pPr>
      <w:r w:rsidRPr="009B7B35">
        <w:rPr>
          <w:rFonts w:ascii="Arial" w:hAnsi="Arial" w:cs="Arial"/>
          <w:sz w:val="20"/>
          <w:szCs w:val="20"/>
        </w:rPr>
        <w:t>for bin collection from within a building or structure:</w:t>
      </w:r>
    </w:p>
    <w:p w14:paraId="608A3606" w14:textId="77777777"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height clearance must be sufficient to allow for safe travel and lifting for vehicles and bins in accordance with Table Sc6.10.5.1—Bulk bin dimensions and Diagram Sc6.10.5.1—Waste vehicle specifications, and</w:t>
      </w:r>
    </w:p>
    <w:p w14:paraId="31475E78" w14:textId="77777777" w:rsidR="00BE36FB" w:rsidRPr="009B7B35" w:rsidRDefault="00BE36FB" w:rsidP="00BE36FB">
      <w:pPr>
        <w:numPr>
          <w:ilvl w:val="2"/>
          <w:numId w:val="832"/>
        </w:numPr>
        <w:rPr>
          <w:rFonts w:ascii="Arial" w:hAnsi="Arial" w:cs="Arial"/>
          <w:sz w:val="20"/>
          <w:szCs w:val="20"/>
        </w:rPr>
      </w:pPr>
      <w:r w:rsidRPr="009B7B35">
        <w:rPr>
          <w:rFonts w:ascii="Arial" w:hAnsi="Arial" w:cs="Arial"/>
          <w:sz w:val="20"/>
          <w:szCs w:val="20"/>
        </w:rPr>
        <w:t>the grade of access/egress ramps must not exceed 1:8.</w:t>
      </w:r>
    </w:p>
    <w:p w14:paraId="19FFF6B7" w14:textId="77777777" w:rsidR="00BE36FB" w:rsidRPr="009B7B35" w:rsidRDefault="00BE36FB" w:rsidP="001A7107">
      <w:pPr>
        <w:pStyle w:val="Heading9"/>
        <w:numPr>
          <w:ilvl w:val="0"/>
          <w:numId w:val="0"/>
        </w:numPr>
        <w:rPr>
          <w:rFonts w:cs="Arial"/>
          <w:sz w:val="20"/>
        </w:rPr>
      </w:pPr>
      <w:r w:rsidRPr="009B7B35">
        <w:rPr>
          <w:rFonts w:cs="Arial"/>
          <w:sz w:val="20"/>
        </w:rPr>
        <w:t>Table SC6.11.5.1—Bulk bin dimensions</w:t>
      </w:r>
    </w:p>
    <w:tbl>
      <w:tblPr>
        <w:tblStyle w:val="Tablestyle"/>
        <w:tblW w:w="0" w:type="auto"/>
        <w:tblLook w:val="0620" w:firstRow="1" w:lastRow="0" w:firstColumn="0" w:lastColumn="0" w:noHBand="1" w:noVBand="1"/>
      </w:tblPr>
      <w:tblGrid>
        <w:gridCol w:w="1558"/>
        <w:gridCol w:w="1559"/>
        <w:gridCol w:w="1558"/>
        <w:gridCol w:w="1559"/>
        <w:gridCol w:w="1558"/>
        <w:gridCol w:w="1559"/>
      </w:tblGrid>
      <w:tr w:rsidR="00BE36FB" w:rsidRPr="009B7B35" w14:paraId="002B805C" w14:textId="77777777" w:rsidTr="001A7107">
        <w:trPr>
          <w:cnfStyle w:val="100000000000" w:firstRow="1" w:lastRow="0" w:firstColumn="0" w:lastColumn="0" w:oddVBand="0" w:evenVBand="0" w:oddHBand="0" w:evenHBand="0" w:firstRowFirstColumn="0" w:firstRowLastColumn="0" w:lastRowFirstColumn="0" w:lastRowLastColumn="0"/>
        </w:trPr>
        <w:tc>
          <w:tcPr>
            <w:tcW w:w="1558" w:type="dxa"/>
          </w:tcPr>
          <w:p w14:paraId="0BA88B26" w14:textId="77777777" w:rsidR="00BE36FB" w:rsidRPr="009B7B35" w:rsidRDefault="00BE36FB" w:rsidP="001A7107">
            <w:pPr>
              <w:pStyle w:val="Tableheading"/>
              <w:rPr>
                <w:rFonts w:ascii="Arial" w:hAnsi="Arial" w:cs="Arial"/>
                <w:szCs w:val="20"/>
              </w:rPr>
            </w:pPr>
            <w:r w:rsidRPr="009B7B35">
              <w:rPr>
                <w:rFonts w:ascii="Arial" w:hAnsi="Arial" w:cs="Arial"/>
                <w:szCs w:val="20"/>
              </w:rPr>
              <w:t>Capacity</w:t>
            </w:r>
          </w:p>
        </w:tc>
        <w:tc>
          <w:tcPr>
            <w:tcW w:w="1559" w:type="dxa"/>
          </w:tcPr>
          <w:p w14:paraId="5BEEDAEA" w14:textId="77777777" w:rsidR="00BE36FB" w:rsidRPr="009B7B35" w:rsidRDefault="00BE36FB" w:rsidP="001A7107">
            <w:pPr>
              <w:pStyle w:val="Tableheading"/>
              <w:rPr>
                <w:rFonts w:ascii="Arial" w:hAnsi="Arial" w:cs="Arial"/>
                <w:szCs w:val="20"/>
              </w:rPr>
            </w:pPr>
            <w:r w:rsidRPr="009B7B35">
              <w:rPr>
                <w:rFonts w:ascii="Arial" w:hAnsi="Arial" w:cs="Arial"/>
                <w:szCs w:val="20"/>
              </w:rPr>
              <w:t>1.1m</w:t>
            </w:r>
            <w:r w:rsidRPr="009B7B35">
              <w:rPr>
                <w:rStyle w:val="StyleSuperscript"/>
                <w:rFonts w:cs="Arial"/>
                <w:szCs w:val="20"/>
              </w:rPr>
              <w:t>3</w:t>
            </w:r>
          </w:p>
        </w:tc>
        <w:tc>
          <w:tcPr>
            <w:tcW w:w="1558" w:type="dxa"/>
          </w:tcPr>
          <w:p w14:paraId="75511FFE" w14:textId="77777777" w:rsidR="00BE36FB" w:rsidRPr="009B7B35" w:rsidRDefault="00BE36FB" w:rsidP="001A7107">
            <w:pPr>
              <w:pStyle w:val="Tableheading"/>
              <w:rPr>
                <w:rFonts w:ascii="Arial" w:hAnsi="Arial" w:cs="Arial"/>
                <w:szCs w:val="20"/>
              </w:rPr>
            </w:pPr>
            <w:r w:rsidRPr="009B7B35">
              <w:rPr>
                <w:rFonts w:ascii="Arial" w:hAnsi="Arial" w:cs="Arial"/>
                <w:szCs w:val="20"/>
              </w:rPr>
              <w:t>1.5m</w:t>
            </w:r>
            <w:r w:rsidRPr="009B7B35">
              <w:rPr>
                <w:rStyle w:val="StyleSuperscript"/>
                <w:rFonts w:cs="Arial"/>
                <w:szCs w:val="20"/>
              </w:rPr>
              <w:t>3</w:t>
            </w:r>
          </w:p>
        </w:tc>
        <w:tc>
          <w:tcPr>
            <w:tcW w:w="1559" w:type="dxa"/>
          </w:tcPr>
          <w:p w14:paraId="44453D12" w14:textId="77777777" w:rsidR="00BE36FB" w:rsidRPr="009B7B35" w:rsidRDefault="00BE36FB" w:rsidP="001A7107">
            <w:pPr>
              <w:pStyle w:val="Tableheading"/>
              <w:rPr>
                <w:rFonts w:ascii="Arial" w:hAnsi="Arial" w:cs="Arial"/>
                <w:szCs w:val="20"/>
              </w:rPr>
            </w:pPr>
            <w:r w:rsidRPr="009B7B35">
              <w:rPr>
                <w:rFonts w:ascii="Arial" w:hAnsi="Arial" w:cs="Arial"/>
                <w:szCs w:val="20"/>
              </w:rPr>
              <w:t>2.0m</w:t>
            </w:r>
            <w:r w:rsidRPr="009B7B35">
              <w:rPr>
                <w:rStyle w:val="StyleSuperscript"/>
                <w:rFonts w:cs="Arial"/>
                <w:szCs w:val="20"/>
              </w:rPr>
              <w:t>3</w:t>
            </w:r>
          </w:p>
        </w:tc>
        <w:tc>
          <w:tcPr>
            <w:tcW w:w="1558" w:type="dxa"/>
          </w:tcPr>
          <w:p w14:paraId="2F44C7A9" w14:textId="77777777" w:rsidR="00BE36FB" w:rsidRPr="009B7B35" w:rsidRDefault="00BE36FB" w:rsidP="001A7107">
            <w:pPr>
              <w:pStyle w:val="Tableheading"/>
              <w:rPr>
                <w:rFonts w:ascii="Arial" w:hAnsi="Arial" w:cs="Arial"/>
                <w:szCs w:val="20"/>
              </w:rPr>
            </w:pPr>
            <w:r w:rsidRPr="009B7B35">
              <w:rPr>
                <w:rFonts w:ascii="Arial" w:hAnsi="Arial" w:cs="Arial"/>
                <w:szCs w:val="20"/>
              </w:rPr>
              <w:t>3.0m</w:t>
            </w:r>
            <w:r w:rsidRPr="009B7B35">
              <w:rPr>
                <w:rStyle w:val="StyleSuperscript"/>
                <w:rFonts w:cs="Arial"/>
                <w:szCs w:val="20"/>
              </w:rPr>
              <w:t>3</w:t>
            </w:r>
          </w:p>
        </w:tc>
        <w:tc>
          <w:tcPr>
            <w:tcW w:w="1559" w:type="dxa"/>
          </w:tcPr>
          <w:p w14:paraId="7CAC7C5A" w14:textId="77777777" w:rsidR="00BE36FB" w:rsidRPr="009B7B35" w:rsidRDefault="00BE36FB" w:rsidP="001A7107">
            <w:pPr>
              <w:pStyle w:val="Tableheading"/>
              <w:rPr>
                <w:rFonts w:ascii="Arial" w:hAnsi="Arial" w:cs="Arial"/>
                <w:szCs w:val="20"/>
              </w:rPr>
            </w:pPr>
            <w:r w:rsidRPr="009B7B35">
              <w:rPr>
                <w:rFonts w:ascii="Arial" w:hAnsi="Arial" w:cs="Arial"/>
                <w:szCs w:val="20"/>
              </w:rPr>
              <w:t>4.5m</w:t>
            </w:r>
            <w:r w:rsidRPr="009B7B35">
              <w:rPr>
                <w:rStyle w:val="StyleSuperscript"/>
                <w:rFonts w:cs="Arial"/>
                <w:szCs w:val="20"/>
              </w:rPr>
              <w:t>3</w:t>
            </w:r>
          </w:p>
        </w:tc>
      </w:tr>
      <w:tr w:rsidR="00BE36FB" w:rsidRPr="009B7B35" w14:paraId="790C5BC4" w14:textId="77777777" w:rsidTr="001A7107">
        <w:tc>
          <w:tcPr>
            <w:tcW w:w="1558" w:type="dxa"/>
          </w:tcPr>
          <w:p w14:paraId="1FE8000C" w14:textId="77777777" w:rsidR="00BE36FB" w:rsidRPr="009B7B35" w:rsidRDefault="00BE36FB" w:rsidP="001A7107">
            <w:pPr>
              <w:pStyle w:val="TableText"/>
              <w:rPr>
                <w:rFonts w:cs="Arial"/>
              </w:rPr>
            </w:pPr>
            <w:r w:rsidRPr="009B7B35">
              <w:rPr>
                <w:rFonts w:cs="Arial"/>
              </w:rPr>
              <w:t>Height</w:t>
            </w:r>
          </w:p>
        </w:tc>
        <w:tc>
          <w:tcPr>
            <w:tcW w:w="1559" w:type="dxa"/>
          </w:tcPr>
          <w:p w14:paraId="22568FCC" w14:textId="77777777" w:rsidR="00BE36FB" w:rsidRPr="009B7B35" w:rsidRDefault="00BE36FB" w:rsidP="001A7107">
            <w:pPr>
              <w:pStyle w:val="TableText"/>
              <w:rPr>
                <w:rFonts w:cs="Arial"/>
              </w:rPr>
            </w:pPr>
            <w:r w:rsidRPr="009B7B35">
              <w:rPr>
                <w:rFonts w:cs="Arial"/>
              </w:rPr>
              <w:t>1465mm</w:t>
            </w:r>
          </w:p>
        </w:tc>
        <w:tc>
          <w:tcPr>
            <w:tcW w:w="1558" w:type="dxa"/>
          </w:tcPr>
          <w:p w14:paraId="6DD75940" w14:textId="77777777" w:rsidR="00BE36FB" w:rsidRPr="009B7B35" w:rsidRDefault="00BE36FB" w:rsidP="001A7107">
            <w:pPr>
              <w:pStyle w:val="TableText"/>
              <w:rPr>
                <w:rFonts w:cs="Arial"/>
              </w:rPr>
            </w:pPr>
            <w:r w:rsidRPr="009B7B35">
              <w:rPr>
                <w:rFonts w:cs="Arial"/>
              </w:rPr>
              <w:t>910mm</w:t>
            </w:r>
          </w:p>
        </w:tc>
        <w:tc>
          <w:tcPr>
            <w:tcW w:w="1559" w:type="dxa"/>
          </w:tcPr>
          <w:p w14:paraId="7987EBC6" w14:textId="77777777" w:rsidR="00BE36FB" w:rsidRPr="009B7B35" w:rsidRDefault="00BE36FB" w:rsidP="001A7107">
            <w:pPr>
              <w:pStyle w:val="TableText"/>
              <w:rPr>
                <w:rFonts w:cs="Arial"/>
              </w:rPr>
            </w:pPr>
            <w:r w:rsidRPr="009B7B35">
              <w:rPr>
                <w:rFonts w:cs="Arial"/>
              </w:rPr>
              <w:t>865mm</w:t>
            </w:r>
          </w:p>
        </w:tc>
        <w:tc>
          <w:tcPr>
            <w:tcW w:w="1558" w:type="dxa"/>
          </w:tcPr>
          <w:p w14:paraId="6E6D1120" w14:textId="77777777" w:rsidR="00BE36FB" w:rsidRPr="009B7B35" w:rsidRDefault="00BE36FB" w:rsidP="001A7107">
            <w:pPr>
              <w:pStyle w:val="TableText"/>
              <w:rPr>
                <w:rFonts w:cs="Arial"/>
              </w:rPr>
            </w:pPr>
            <w:r w:rsidRPr="009B7B35">
              <w:rPr>
                <w:rFonts w:cs="Arial"/>
              </w:rPr>
              <w:t>1225mm</w:t>
            </w:r>
          </w:p>
        </w:tc>
        <w:tc>
          <w:tcPr>
            <w:tcW w:w="1559" w:type="dxa"/>
          </w:tcPr>
          <w:p w14:paraId="6936DEC0" w14:textId="77777777" w:rsidR="00BE36FB" w:rsidRPr="009B7B35" w:rsidRDefault="00BE36FB" w:rsidP="001A7107">
            <w:pPr>
              <w:pStyle w:val="TableText"/>
              <w:rPr>
                <w:rFonts w:cs="Arial"/>
              </w:rPr>
            </w:pPr>
            <w:r w:rsidRPr="009B7B35">
              <w:rPr>
                <w:rFonts w:cs="Arial"/>
              </w:rPr>
              <w:t>1570mm</w:t>
            </w:r>
          </w:p>
        </w:tc>
      </w:tr>
      <w:tr w:rsidR="00BE36FB" w:rsidRPr="009B7B35" w14:paraId="66D7F2D8" w14:textId="77777777" w:rsidTr="001A7107">
        <w:tc>
          <w:tcPr>
            <w:tcW w:w="1558" w:type="dxa"/>
          </w:tcPr>
          <w:p w14:paraId="6A295D3F" w14:textId="77777777" w:rsidR="00BE36FB" w:rsidRPr="009B7B35" w:rsidRDefault="00BE36FB" w:rsidP="001A7107">
            <w:pPr>
              <w:pStyle w:val="TableText"/>
              <w:rPr>
                <w:rFonts w:cs="Arial"/>
              </w:rPr>
            </w:pPr>
            <w:r w:rsidRPr="009B7B35">
              <w:rPr>
                <w:rFonts w:cs="Arial"/>
              </w:rPr>
              <w:t>Depth</w:t>
            </w:r>
          </w:p>
        </w:tc>
        <w:tc>
          <w:tcPr>
            <w:tcW w:w="1559" w:type="dxa"/>
          </w:tcPr>
          <w:p w14:paraId="4FEB1B38" w14:textId="77777777" w:rsidR="00BE36FB" w:rsidRPr="009B7B35" w:rsidRDefault="00BE36FB" w:rsidP="001A7107">
            <w:pPr>
              <w:pStyle w:val="TableText"/>
              <w:rPr>
                <w:rFonts w:cs="Arial"/>
              </w:rPr>
            </w:pPr>
            <w:r w:rsidRPr="009B7B35">
              <w:rPr>
                <w:rFonts w:cs="Arial"/>
              </w:rPr>
              <w:t>1070mm</w:t>
            </w:r>
          </w:p>
        </w:tc>
        <w:tc>
          <w:tcPr>
            <w:tcW w:w="1558" w:type="dxa"/>
          </w:tcPr>
          <w:p w14:paraId="09800B50" w14:textId="77777777" w:rsidR="00BE36FB" w:rsidRPr="009B7B35" w:rsidRDefault="00BE36FB" w:rsidP="001A7107">
            <w:pPr>
              <w:pStyle w:val="TableText"/>
              <w:rPr>
                <w:rFonts w:cs="Arial"/>
              </w:rPr>
            </w:pPr>
            <w:r w:rsidRPr="009B7B35">
              <w:rPr>
                <w:rFonts w:cs="Arial"/>
              </w:rPr>
              <w:t>905mm</w:t>
            </w:r>
          </w:p>
        </w:tc>
        <w:tc>
          <w:tcPr>
            <w:tcW w:w="1559" w:type="dxa"/>
          </w:tcPr>
          <w:p w14:paraId="103EB8FC" w14:textId="77777777" w:rsidR="00BE36FB" w:rsidRPr="009B7B35" w:rsidRDefault="00BE36FB" w:rsidP="001A7107">
            <w:pPr>
              <w:pStyle w:val="TableText"/>
              <w:rPr>
                <w:rFonts w:cs="Arial"/>
              </w:rPr>
            </w:pPr>
            <w:r w:rsidRPr="009B7B35">
              <w:rPr>
                <w:rFonts w:cs="Arial"/>
              </w:rPr>
              <w:t>1400mm</w:t>
            </w:r>
          </w:p>
        </w:tc>
        <w:tc>
          <w:tcPr>
            <w:tcW w:w="1558" w:type="dxa"/>
          </w:tcPr>
          <w:p w14:paraId="514B4282" w14:textId="77777777" w:rsidR="00BE36FB" w:rsidRPr="009B7B35" w:rsidRDefault="00BE36FB" w:rsidP="001A7107">
            <w:pPr>
              <w:pStyle w:val="TableText"/>
              <w:rPr>
                <w:rFonts w:cs="Arial"/>
              </w:rPr>
            </w:pPr>
            <w:r w:rsidRPr="009B7B35">
              <w:rPr>
                <w:rFonts w:cs="Arial"/>
              </w:rPr>
              <w:t>1505mm</w:t>
            </w:r>
          </w:p>
        </w:tc>
        <w:tc>
          <w:tcPr>
            <w:tcW w:w="1559" w:type="dxa"/>
          </w:tcPr>
          <w:p w14:paraId="4F436073" w14:textId="77777777" w:rsidR="00BE36FB" w:rsidRPr="009B7B35" w:rsidRDefault="00BE36FB" w:rsidP="001A7107">
            <w:pPr>
              <w:pStyle w:val="TableText"/>
              <w:rPr>
                <w:rFonts w:cs="Arial"/>
              </w:rPr>
            </w:pPr>
            <w:r w:rsidRPr="009B7B35">
              <w:rPr>
                <w:rFonts w:cs="Arial"/>
              </w:rPr>
              <w:t>1605mm</w:t>
            </w:r>
          </w:p>
        </w:tc>
      </w:tr>
      <w:tr w:rsidR="00BE36FB" w:rsidRPr="009B7B35" w14:paraId="23C1D14F" w14:textId="77777777" w:rsidTr="001A7107">
        <w:tc>
          <w:tcPr>
            <w:tcW w:w="1558" w:type="dxa"/>
          </w:tcPr>
          <w:p w14:paraId="058C24DC" w14:textId="77777777" w:rsidR="00BE36FB" w:rsidRPr="009B7B35" w:rsidRDefault="00BE36FB" w:rsidP="001A7107">
            <w:pPr>
              <w:pStyle w:val="TableText"/>
              <w:rPr>
                <w:rFonts w:cs="Arial"/>
              </w:rPr>
            </w:pPr>
            <w:r w:rsidRPr="009B7B35">
              <w:rPr>
                <w:rFonts w:cs="Arial"/>
              </w:rPr>
              <w:t>Width</w:t>
            </w:r>
          </w:p>
        </w:tc>
        <w:tc>
          <w:tcPr>
            <w:tcW w:w="1559" w:type="dxa"/>
          </w:tcPr>
          <w:p w14:paraId="6C6EBDF9" w14:textId="77777777" w:rsidR="00BE36FB" w:rsidRPr="009B7B35" w:rsidRDefault="00BE36FB" w:rsidP="001A7107">
            <w:pPr>
              <w:pStyle w:val="TableText"/>
              <w:rPr>
                <w:rFonts w:cs="Arial"/>
              </w:rPr>
            </w:pPr>
            <w:r w:rsidRPr="009B7B35">
              <w:rPr>
                <w:rFonts w:cs="Arial"/>
              </w:rPr>
              <w:t>1360mm</w:t>
            </w:r>
          </w:p>
        </w:tc>
        <w:tc>
          <w:tcPr>
            <w:tcW w:w="1558" w:type="dxa"/>
          </w:tcPr>
          <w:p w14:paraId="6F7AE02E" w14:textId="77777777" w:rsidR="00BE36FB" w:rsidRPr="009B7B35" w:rsidRDefault="00BE36FB" w:rsidP="001A7107">
            <w:pPr>
              <w:pStyle w:val="TableText"/>
              <w:rPr>
                <w:rFonts w:cs="Arial"/>
              </w:rPr>
            </w:pPr>
            <w:r w:rsidRPr="009B7B35">
              <w:rPr>
                <w:rFonts w:cs="Arial"/>
              </w:rPr>
              <w:t>1810mm</w:t>
            </w:r>
          </w:p>
        </w:tc>
        <w:tc>
          <w:tcPr>
            <w:tcW w:w="1559" w:type="dxa"/>
          </w:tcPr>
          <w:p w14:paraId="57F7461C" w14:textId="77777777" w:rsidR="00BE36FB" w:rsidRPr="009B7B35" w:rsidRDefault="00BE36FB" w:rsidP="001A7107">
            <w:pPr>
              <w:pStyle w:val="TableText"/>
              <w:rPr>
                <w:rFonts w:cs="Arial"/>
              </w:rPr>
            </w:pPr>
            <w:r w:rsidRPr="009B7B35">
              <w:rPr>
                <w:rFonts w:cs="Arial"/>
              </w:rPr>
              <w:t>1830mm</w:t>
            </w:r>
          </w:p>
        </w:tc>
        <w:tc>
          <w:tcPr>
            <w:tcW w:w="1558" w:type="dxa"/>
          </w:tcPr>
          <w:p w14:paraId="444994AF" w14:textId="77777777" w:rsidR="00BE36FB" w:rsidRPr="009B7B35" w:rsidRDefault="00BE36FB" w:rsidP="001A7107">
            <w:pPr>
              <w:pStyle w:val="TableText"/>
              <w:rPr>
                <w:rFonts w:cs="Arial"/>
              </w:rPr>
            </w:pPr>
            <w:r w:rsidRPr="009B7B35">
              <w:rPr>
                <w:rFonts w:cs="Arial"/>
              </w:rPr>
              <w:t>1805mm</w:t>
            </w:r>
          </w:p>
        </w:tc>
        <w:tc>
          <w:tcPr>
            <w:tcW w:w="1559" w:type="dxa"/>
          </w:tcPr>
          <w:p w14:paraId="55D9E8B8" w14:textId="77777777" w:rsidR="00BE36FB" w:rsidRPr="009B7B35" w:rsidRDefault="00BE36FB" w:rsidP="001A7107">
            <w:pPr>
              <w:pStyle w:val="TableText"/>
              <w:rPr>
                <w:rFonts w:cs="Arial"/>
              </w:rPr>
            </w:pPr>
            <w:r w:rsidRPr="009B7B35">
              <w:rPr>
                <w:rFonts w:cs="Arial"/>
              </w:rPr>
              <w:t>1805mm</w:t>
            </w:r>
          </w:p>
        </w:tc>
      </w:tr>
    </w:tbl>
    <w:p w14:paraId="5D877DD8" w14:textId="77777777" w:rsidR="00BE36FB" w:rsidRPr="009B7B35" w:rsidRDefault="00BE36FB" w:rsidP="001A7107">
      <w:pPr>
        <w:rPr>
          <w:rFonts w:ascii="Arial" w:hAnsi="Arial" w:cs="Arial"/>
          <w:sz w:val="20"/>
          <w:szCs w:val="20"/>
        </w:rPr>
      </w:pPr>
    </w:p>
    <w:p w14:paraId="31F39F83" w14:textId="77777777" w:rsidR="00BE36FB" w:rsidRPr="009B7B35" w:rsidRDefault="00BE36FB">
      <w:pPr>
        <w:rPr>
          <w:rFonts w:ascii="Arial" w:hAnsi="Arial" w:cs="Arial"/>
          <w:b/>
          <w:bCs/>
          <w:sz w:val="20"/>
          <w:szCs w:val="20"/>
        </w:rPr>
      </w:pPr>
      <w:r w:rsidRPr="009B7B35">
        <w:rPr>
          <w:rFonts w:ascii="Arial" w:hAnsi="Arial" w:cs="Arial"/>
          <w:b/>
          <w:bCs/>
          <w:sz w:val="20"/>
          <w:szCs w:val="20"/>
        </w:rPr>
        <w:t>Diagram SC6.11.5.1—Indicative waste vehicle specifications</w:t>
      </w:r>
    </w:p>
    <w:p w14:paraId="6A3B2879" w14:textId="77777777" w:rsidR="00BE36FB" w:rsidRPr="009B7B35" w:rsidRDefault="00BE36FB">
      <w:pPr>
        <w:rPr>
          <w:rFonts w:ascii="Arial" w:hAnsi="Arial" w:cs="Arial"/>
          <w:b/>
          <w:bCs/>
          <w:sz w:val="20"/>
          <w:szCs w:val="20"/>
        </w:rPr>
      </w:pPr>
    </w:p>
    <w:p w14:paraId="7A8C9986" w14:textId="77777777" w:rsidR="00BE36FB" w:rsidRPr="009B7B35" w:rsidRDefault="00BE36FB" w:rsidP="001A7107">
      <w:pPr>
        <w:tabs>
          <w:tab w:val="left" w:pos="3261"/>
          <w:tab w:val="left" w:pos="6379"/>
        </w:tabs>
        <w:rPr>
          <w:rFonts w:ascii="Arial" w:hAnsi="Arial" w:cs="Arial"/>
          <w:sz w:val="20"/>
          <w:szCs w:val="20"/>
        </w:rPr>
      </w:pPr>
      <w:r w:rsidRPr="009B7B35">
        <w:rPr>
          <w:rFonts w:ascii="Arial" w:hAnsi="Arial" w:cs="Arial"/>
          <w:noProof/>
          <w:sz w:val="20"/>
          <w:szCs w:val="20"/>
        </w:rPr>
        <w:drawing>
          <wp:inline distT="0" distB="0" distL="0" distR="0" wp14:anchorId="722B9685" wp14:editId="544E6B36">
            <wp:extent cx="1872000" cy="614449"/>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6.4-1.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872000" cy="614449"/>
                    </a:xfrm>
                    <a:prstGeom prst="rect">
                      <a:avLst/>
                    </a:prstGeom>
                  </pic:spPr>
                </pic:pic>
              </a:graphicData>
            </a:graphic>
          </wp:inline>
        </w:drawing>
      </w:r>
      <w:r w:rsidRPr="009B7B35">
        <w:rPr>
          <w:rFonts w:ascii="Arial" w:hAnsi="Arial" w:cs="Arial"/>
          <w:sz w:val="20"/>
          <w:szCs w:val="20"/>
        </w:rPr>
        <w:tab/>
      </w:r>
    </w:p>
    <w:p w14:paraId="7EEA9546" w14:textId="77777777" w:rsidR="00BE36FB" w:rsidRPr="009B7B35" w:rsidRDefault="00BE36FB" w:rsidP="001A7107">
      <w:pPr>
        <w:tabs>
          <w:tab w:val="left" w:pos="3261"/>
          <w:tab w:val="left" w:pos="6379"/>
        </w:tabs>
        <w:rPr>
          <w:rFonts w:ascii="Arial" w:hAnsi="Arial" w:cs="Arial"/>
          <w:sz w:val="20"/>
          <w:szCs w:val="20"/>
        </w:rPr>
      </w:pPr>
      <w:r w:rsidRPr="009B7B35">
        <w:rPr>
          <w:rFonts w:ascii="Arial" w:hAnsi="Arial" w:cs="Arial"/>
          <w:sz w:val="20"/>
          <w:szCs w:val="20"/>
        </w:rPr>
        <w:t xml:space="preserve"> </w:t>
      </w:r>
    </w:p>
    <w:p w14:paraId="086D9857" w14:textId="77777777" w:rsidR="00BE36FB" w:rsidRPr="009B7B35" w:rsidRDefault="00BE36FB" w:rsidP="001A7107">
      <w:pPr>
        <w:tabs>
          <w:tab w:val="left" w:pos="3261"/>
          <w:tab w:val="left" w:pos="6379"/>
        </w:tabs>
        <w:rPr>
          <w:rFonts w:ascii="Arial" w:hAnsi="Arial" w:cs="Arial"/>
          <w:sz w:val="20"/>
          <w:szCs w:val="20"/>
        </w:rPr>
      </w:pPr>
      <w:r w:rsidRPr="009B7B35">
        <w:rPr>
          <w:rFonts w:ascii="Arial" w:hAnsi="Arial" w:cs="Arial"/>
          <w:sz w:val="20"/>
          <w:szCs w:val="20"/>
        </w:rPr>
        <w:t>Rear Loading Collection Vehicle</w:t>
      </w:r>
    </w:p>
    <w:p w14:paraId="6F7A0976" w14:textId="77777777" w:rsidR="00BE36FB" w:rsidRPr="009B7B35" w:rsidRDefault="00BE36FB" w:rsidP="001A7107">
      <w:pPr>
        <w:tabs>
          <w:tab w:val="left" w:pos="3261"/>
          <w:tab w:val="left" w:pos="6379"/>
        </w:tabs>
        <w:rPr>
          <w:rFonts w:ascii="Arial" w:hAnsi="Arial" w:cs="Arial"/>
          <w:sz w:val="20"/>
          <w:szCs w:val="20"/>
        </w:rPr>
      </w:pPr>
    </w:p>
    <w:p w14:paraId="37C9D520" w14:textId="77777777" w:rsidR="00BE36FB" w:rsidRPr="009B7B35" w:rsidRDefault="00BE36FB" w:rsidP="001A7107">
      <w:pPr>
        <w:tabs>
          <w:tab w:val="left" w:pos="3261"/>
          <w:tab w:val="left" w:pos="6379"/>
        </w:tabs>
        <w:rPr>
          <w:rFonts w:ascii="Arial" w:hAnsi="Arial" w:cs="Arial"/>
          <w:sz w:val="20"/>
          <w:szCs w:val="20"/>
        </w:rPr>
      </w:pPr>
      <w:r w:rsidRPr="009B7B35">
        <w:rPr>
          <w:rFonts w:ascii="Arial" w:hAnsi="Arial" w:cs="Arial"/>
          <w:noProof/>
          <w:sz w:val="20"/>
          <w:szCs w:val="20"/>
        </w:rPr>
        <w:drawing>
          <wp:inline distT="0" distB="0" distL="0" distR="0" wp14:anchorId="15287EA7" wp14:editId="4D8F8C5B">
            <wp:extent cx="1872000" cy="906782"/>
            <wp:effectExtent l="0" t="0" r="0" b="762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6.4-2.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872000" cy="906782"/>
                    </a:xfrm>
                    <a:prstGeom prst="rect">
                      <a:avLst/>
                    </a:prstGeom>
                  </pic:spPr>
                </pic:pic>
              </a:graphicData>
            </a:graphic>
          </wp:inline>
        </w:drawing>
      </w:r>
      <w:r w:rsidRPr="009B7B35">
        <w:rPr>
          <w:rFonts w:ascii="Arial" w:hAnsi="Arial" w:cs="Arial"/>
          <w:sz w:val="20"/>
          <w:szCs w:val="20"/>
        </w:rPr>
        <w:tab/>
      </w:r>
    </w:p>
    <w:p w14:paraId="5501FDC5" w14:textId="77777777" w:rsidR="00BE36FB" w:rsidRPr="009B7B35" w:rsidRDefault="00BE36FB" w:rsidP="001A7107">
      <w:pPr>
        <w:tabs>
          <w:tab w:val="left" w:pos="3261"/>
          <w:tab w:val="left" w:pos="6379"/>
        </w:tabs>
        <w:rPr>
          <w:rFonts w:ascii="Arial" w:hAnsi="Arial" w:cs="Arial"/>
          <w:sz w:val="20"/>
          <w:szCs w:val="20"/>
        </w:rPr>
      </w:pPr>
    </w:p>
    <w:p w14:paraId="487163E7" w14:textId="77777777" w:rsidR="00BE36FB" w:rsidRPr="009B7B35" w:rsidRDefault="00BE36FB" w:rsidP="001A7107">
      <w:pPr>
        <w:tabs>
          <w:tab w:val="left" w:pos="3261"/>
          <w:tab w:val="left" w:pos="6379"/>
        </w:tabs>
        <w:rPr>
          <w:rFonts w:ascii="Arial" w:hAnsi="Arial" w:cs="Arial"/>
          <w:sz w:val="20"/>
          <w:szCs w:val="20"/>
        </w:rPr>
      </w:pPr>
      <w:r w:rsidRPr="009B7B35">
        <w:rPr>
          <w:rFonts w:ascii="Arial" w:hAnsi="Arial" w:cs="Arial"/>
          <w:sz w:val="20"/>
          <w:szCs w:val="20"/>
        </w:rPr>
        <w:t>Front loading collection vehicle</w:t>
      </w:r>
    </w:p>
    <w:p w14:paraId="41127FFE" w14:textId="77777777" w:rsidR="00BE36FB" w:rsidRPr="009B7B35" w:rsidRDefault="00BE36FB" w:rsidP="001A7107">
      <w:pPr>
        <w:tabs>
          <w:tab w:val="left" w:pos="3261"/>
          <w:tab w:val="left" w:pos="6379"/>
        </w:tabs>
        <w:rPr>
          <w:rFonts w:ascii="Arial" w:hAnsi="Arial" w:cs="Arial"/>
          <w:sz w:val="20"/>
          <w:szCs w:val="20"/>
        </w:rPr>
      </w:pPr>
    </w:p>
    <w:p w14:paraId="7DC4FC66" w14:textId="77777777" w:rsidR="00BE36FB" w:rsidRPr="009B7B35" w:rsidRDefault="00BE36FB" w:rsidP="001A7107">
      <w:pPr>
        <w:tabs>
          <w:tab w:val="left" w:pos="3261"/>
          <w:tab w:val="left" w:pos="6379"/>
        </w:tabs>
        <w:rPr>
          <w:rFonts w:ascii="Arial" w:hAnsi="Arial" w:cs="Arial"/>
          <w:sz w:val="20"/>
          <w:szCs w:val="20"/>
        </w:rPr>
      </w:pPr>
      <w:r w:rsidRPr="009B7B35">
        <w:rPr>
          <w:rFonts w:ascii="Arial" w:hAnsi="Arial" w:cs="Arial"/>
          <w:noProof/>
          <w:sz w:val="20"/>
          <w:szCs w:val="20"/>
        </w:rPr>
        <w:drawing>
          <wp:inline distT="0" distB="0" distL="0" distR="0" wp14:anchorId="17086809" wp14:editId="388BE71A">
            <wp:extent cx="1872000" cy="849546"/>
            <wp:effectExtent l="0" t="0" r="0"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6.4-3.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872000" cy="849546"/>
                    </a:xfrm>
                    <a:prstGeom prst="rect">
                      <a:avLst/>
                    </a:prstGeom>
                  </pic:spPr>
                </pic:pic>
              </a:graphicData>
            </a:graphic>
          </wp:inline>
        </w:drawing>
      </w:r>
    </w:p>
    <w:p w14:paraId="0913E00D" w14:textId="77777777" w:rsidR="00BE36FB" w:rsidRPr="009B7B35" w:rsidRDefault="00BE36FB" w:rsidP="001A7107">
      <w:pPr>
        <w:pStyle w:val="Notes"/>
        <w:rPr>
          <w:rFonts w:cs="Arial"/>
          <w:sz w:val="20"/>
          <w:szCs w:val="20"/>
        </w:rPr>
      </w:pPr>
      <w:r w:rsidRPr="009B7B35">
        <w:rPr>
          <w:rFonts w:cs="Arial"/>
          <w:sz w:val="20"/>
          <w:szCs w:val="20"/>
        </w:rPr>
        <w:t>Side loading collection vehicle</w:t>
      </w:r>
    </w:p>
    <w:p w14:paraId="5A870419" w14:textId="77777777" w:rsidR="00BE36FB" w:rsidRPr="009B7B35" w:rsidRDefault="00BE36FB" w:rsidP="001A7107">
      <w:pPr>
        <w:pStyle w:val="Notes"/>
        <w:rPr>
          <w:rFonts w:cs="Arial"/>
          <w:sz w:val="20"/>
          <w:szCs w:val="20"/>
        </w:rPr>
      </w:pPr>
    </w:p>
    <w:tbl>
      <w:tblPr>
        <w:tblStyle w:val="Tablestyle"/>
        <w:tblW w:w="9351" w:type="dxa"/>
        <w:tblLook w:val="0620" w:firstRow="1" w:lastRow="0" w:firstColumn="0" w:lastColumn="0" w:noHBand="1" w:noVBand="1"/>
      </w:tblPr>
      <w:tblGrid>
        <w:gridCol w:w="2072"/>
        <w:gridCol w:w="1187"/>
        <w:gridCol w:w="1186"/>
        <w:gridCol w:w="1262"/>
        <w:gridCol w:w="1186"/>
        <w:gridCol w:w="1186"/>
        <w:gridCol w:w="1272"/>
      </w:tblGrid>
      <w:tr w:rsidR="00BE36FB" w:rsidRPr="009B7B35" w14:paraId="1364D4D8" w14:textId="77777777" w:rsidTr="001A7107">
        <w:trPr>
          <w:cnfStyle w:val="100000000000" w:firstRow="1" w:lastRow="0" w:firstColumn="0" w:lastColumn="0" w:oddVBand="0" w:evenVBand="0" w:oddHBand="0" w:evenHBand="0" w:firstRowFirstColumn="0" w:firstRowLastColumn="0" w:lastRowFirstColumn="0" w:lastRowLastColumn="0"/>
          <w:cantSplit/>
          <w:trHeight w:val="36"/>
          <w:tblHeader/>
        </w:trPr>
        <w:tc>
          <w:tcPr>
            <w:tcW w:w="2072" w:type="dxa"/>
          </w:tcPr>
          <w:p w14:paraId="08B527D3" w14:textId="77777777" w:rsidR="00BE36FB" w:rsidRPr="009B7B35" w:rsidRDefault="00BE36FB" w:rsidP="001A7107">
            <w:pPr>
              <w:pStyle w:val="Tableheading"/>
              <w:rPr>
                <w:rFonts w:ascii="Arial" w:hAnsi="Arial" w:cs="Arial"/>
                <w:szCs w:val="20"/>
              </w:rPr>
            </w:pPr>
          </w:p>
        </w:tc>
        <w:tc>
          <w:tcPr>
            <w:tcW w:w="2373" w:type="dxa"/>
            <w:gridSpan w:val="2"/>
          </w:tcPr>
          <w:p w14:paraId="28C57CFB" w14:textId="77777777" w:rsidR="00BE36FB" w:rsidRPr="009B7B35" w:rsidRDefault="00BE36FB" w:rsidP="001A7107">
            <w:pPr>
              <w:pStyle w:val="Tableheading"/>
              <w:rPr>
                <w:rFonts w:ascii="Arial" w:hAnsi="Arial" w:cs="Arial"/>
                <w:szCs w:val="20"/>
              </w:rPr>
            </w:pPr>
            <w:r w:rsidRPr="009B7B35">
              <w:rPr>
                <w:rFonts w:ascii="Arial" w:hAnsi="Arial" w:cs="Arial"/>
                <w:szCs w:val="20"/>
              </w:rPr>
              <w:t>Side loading collection vehicle</w:t>
            </w:r>
          </w:p>
        </w:tc>
        <w:tc>
          <w:tcPr>
            <w:tcW w:w="2448" w:type="dxa"/>
            <w:gridSpan w:val="2"/>
          </w:tcPr>
          <w:p w14:paraId="3B586CEB" w14:textId="77777777" w:rsidR="00BE36FB" w:rsidRPr="009B7B35" w:rsidRDefault="00BE36FB" w:rsidP="001A7107">
            <w:pPr>
              <w:pStyle w:val="Tableheading"/>
              <w:rPr>
                <w:rFonts w:ascii="Arial" w:hAnsi="Arial" w:cs="Arial"/>
                <w:szCs w:val="20"/>
              </w:rPr>
            </w:pPr>
            <w:r w:rsidRPr="009B7B35">
              <w:rPr>
                <w:rFonts w:ascii="Arial" w:hAnsi="Arial" w:cs="Arial"/>
                <w:szCs w:val="20"/>
              </w:rPr>
              <w:t>Front loading collection vehicle</w:t>
            </w:r>
          </w:p>
        </w:tc>
        <w:tc>
          <w:tcPr>
            <w:tcW w:w="2458" w:type="dxa"/>
            <w:gridSpan w:val="2"/>
          </w:tcPr>
          <w:p w14:paraId="4A575501" w14:textId="77777777" w:rsidR="00BE36FB" w:rsidRPr="009B7B35" w:rsidRDefault="00BE36FB" w:rsidP="001A7107">
            <w:pPr>
              <w:pStyle w:val="Tableheading"/>
              <w:rPr>
                <w:rFonts w:ascii="Arial" w:hAnsi="Arial" w:cs="Arial"/>
                <w:szCs w:val="20"/>
              </w:rPr>
            </w:pPr>
            <w:r w:rsidRPr="009B7B35">
              <w:rPr>
                <w:rFonts w:ascii="Arial" w:hAnsi="Arial" w:cs="Arial"/>
                <w:szCs w:val="20"/>
              </w:rPr>
              <w:t>Rear loading collection vehicle</w:t>
            </w:r>
          </w:p>
        </w:tc>
      </w:tr>
      <w:tr w:rsidR="00BE36FB" w:rsidRPr="009B7B35" w14:paraId="1D9C7FB8" w14:textId="77777777" w:rsidTr="001A7107">
        <w:trPr>
          <w:cantSplit/>
        </w:trPr>
        <w:tc>
          <w:tcPr>
            <w:tcW w:w="2072" w:type="dxa"/>
          </w:tcPr>
          <w:p w14:paraId="1E460EE7" w14:textId="77777777" w:rsidR="00BE36FB" w:rsidRPr="009B7B35" w:rsidRDefault="00BE36FB" w:rsidP="001A7107">
            <w:pPr>
              <w:pStyle w:val="TableText"/>
              <w:rPr>
                <w:rFonts w:cs="Arial"/>
              </w:rPr>
            </w:pPr>
          </w:p>
        </w:tc>
        <w:tc>
          <w:tcPr>
            <w:tcW w:w="1187" w:type="dxa"/>
          </w:tcPr>
          <w:p w14:paraId="00B682BF" w14:textId="77777777" w:rsidR="00BE36FB" w:rsidRPr="009B7B35" w:rsidRDefault="00BE36FB" w:rsidP="001A7107">
            <w:pPr>
              <w:pStyle w:val="TableText"/>
              <w:rPr>
                <w:rFonts w:cs="Arial"/>
                <w:b/>
              </w:rPr>
            </w:pPr>
            <w:r w:rsidRPr="009B7B35">
              <w:rPr>
                <w:rFonts w:cs="Arial"/>
                <w:b/>
              </w:rPr>
              <w:t>Waste Collection Vehicle</w:t>
            </w:r>
          </w:p>
        </w:tc>
        <w:tc>
          <w:tcPr>
            <w:tcW w:w="1186" w:type="dxa"/>
          </w:tcPr>
          <w:p w14:paraId="74C29028" w14:textId="77777777" w:rsidR="00BE36FB" w:rsidRPr="009B7B35" w:rsidRDefault="00BE36FB" w:rsidP="001A7107">
            <w:pPr>
              <w:pStyle w:val="TableText"/>
              <w:rPr>
                <w:rFonts w:cs="Arial"/>
                <w:b/>
              </w:rPr>
            </w:pPr>
            <w:r w:rsidRPr="009B7B35">
              <w:rPr>
                <w:rFonts w:cs="Arial"/>
                <w:b/>
              </w:rPr>
              <w:t>Recycling Collection Vehicle</w:t>
            </w:r>
          </w:p>
        </w:tc>
        <w:tc>
          <w:tcPr>
            <w:tcW w:w="1262" w:type="dxa"/>
          </w:tcPr>
          <w:p w14:paraId="67214644" w14:textId="77777777" w:rsidR="00BE36FB" w:rsidRPr="009B7B35" w:rsidRDefault="00BE36FB" w:rsidP="001A7107">
            <w:pPr>
              <w:pStyle w:val="TableText"/>
              <w:rPr>
                <w:rFonts w:cs="Arial"/>
                <w:b/>
              </w:rPr>
            </w:pPr>
            <w:r w:rsidRPr="009B7B35">
              <w:rPr>
                <w:rFonts w:cs="Arial"/>
                <w:b/>
              </w:rPr>
              <w:t>Waste Collection Vehicle</w:t>
            </w:r>
          </w:p>
        </w:tc>
        <w:tc>
          <w:tcPr>
            <w:tcW w:w="1186" w:type="dxa"/>
          </w:tcPr>
          <w:p w14:paraId="02918E20" w14:textId="77777777" w:rsidR="00BE36FB" w:rsidRPr="009B7B35" w:rsidRDefault="00BE36FB" w:rsidP="001A7107">
            <w:pPr>
              <w:pStyle w:val="TableText"/>
              <w:rPr>
                <w:rFonts w:cs="Arial"/>
                <w:b/>
              </w:rPr>
            </w:pPr>
            <w:r w:rsidRPr="009B7B35">
              <w:rPr>
                <w:rFonts w:cs="Arial"/>
                <w:b/>
              </w:rPr>
              <w:t>Recycling Collection Vehicle</w:t>
            </w:r>
          </w:p>
        </w:tc>
        <w:tc>
          <w:tcPr>
            <w:tcW w:w="1186" w:type="dxa"/>
          </w:tcPr>
          <w:p w14:paraId="250618ED" w14:textId="77777777" w:rsidR="00BE36FB" w:rsidRPr="009B7B35" w:rsidRDefault="00BE36FB" w:rsidP="001A7107">
            <w:pPr>
              <w:pStyle w:val="TableText"/>
              <w:rPr>
                <w:rFonts w:cs="Arial"/>
                <w:b/>
              </w:rPr>
            </w:pPr>
            <w:r w:rsidRPr="009B7B35">
              <w:rPr>
                <w:rFonts w:cs="Arial"/>
                <w:b/>
              </w:rPr>
              <w:t>Waste Collection Vehicle</w:t>
            </w:r>
          </w:p>
        </w:tc>
        <w:tc>
          <w:tcPr>
            <w:tcW w:w="1272" w:type="dxa"/>
          </w:tcPr>
          <w:p w14:paraId="75F6F185" w14:textId="77777777" w:rsidR="00BE36FB" w:rsidRPr="009B7B35" w:rsidRDefault="00BE36FB" w:rsidP="001A7107">
            <w:pPr>
              <w:pStyle w:val="TableText"/>
              <w:rPr>
                <w:rFonts w:cs="Arial"/>
                <w:b/>
              </w:rPr>
            </w:pPr>
            <w:r w:rsidRPr="009B7B35">
              <w:rPr>
                <w:rFonts w:cs="Arial"/>
                <w:b/>
              </w:rPr>
              <w:t>Recycling Collection Vehicle</w:t>
            </w:r>
          </w:p>
        </w:tc>
      </w:tr>
      <w:tr w:rsidR="00BE36FB" w:rsidRPr="009B7B35" w14:paraId="47EC7430" w14:textId="77777777" w:rsidTr="001A7107">
        <w:trPr>
          <w:cantSplit/>
        </w:trPr>
        <w:tc>
          <w:tcPr>
            <w:tcW w:w="2072" w:type="dxa"/>
          </w:tcPr>
          <w:p w14:paraId="17DC67D3" w14:textId="77777777" w:rsidR="00BE36FB" w:rsidRPr="009B7B35" w:rsidRDefault="00BE36FB" w:rsidP="001A7107">
            <w:pPr>
              <w:pStyle w:val="TableText"/>
              <w:rPr>
                <w:rFonts w:cs="Arial"/>
              </w:rPr>
            </w:pPr>
            <w:r w:rsidRPr="009B7B35">
              <w:rPr>
                <w:rFonts w:cs="Arial"/>
              </w:rPr>
              <w:t>Length Overall</w:t>
            </w:r>
          </w:p>
        </w:tc>
        <w:tc>
          <w:tcPr>
            <w:tcW w:w="1187" w:type="dxa"/>
          </w:tcPr>
          <w:p w14:paraId="7D87C30B" w14:textId="77777777" w:rsidR="00BE36FB" w:rsidRPr="009B7B35" w:rsidRDefault="00BE36FB" w:rsidP="001A7107">
            <w:pPr>
              <w:pStyle w:val="TableText"/>
              <w:rPr>
                <w:rFonts w:cs="Arial"/>
              </w:rPr>
            </w:pPr>
            <w:r w:rsidRPr="009B7B35">
              <w:rPr>
                <w:rFonts w:cs="Arial"/>
              </w:rPr>
              <w:t>8.7m</w:t>
            </w:r>
          </w:p>
        </w:tc>
        <w:tc>
          <w:tcPr>
            <w:tcW w:w="1186" w:type="dxa"/>
          </w:tcPr>
          <w:p w14:paraId="5C528271" w14:textId="77777777" w:rsidR="00BE36FB" w:rsidRPr="009B7B35" w:rsidRDefault="00BE36FB" w:rsidP="001A7107">
            <w:pPr>
              <w:pStyle w:val="TableText"/>
              <w:rPr>
                <w:rFonts w:cs="Arial"/>
              </w:rPr>
            </w:pPr>
            <w:r w:rsidRPr="009B7B35">
              <w:rPr>
                <w:rFonts w:cs="Arial"/>
              </w:rPr>
              <w:t>9.9m</w:t>
            </w:r>
          </w:p>
        </w:tc>
        <w:tc>
          <w:tcPr>
            <w:tcW w:w="1262" w:type="dxa"/>
          </w:tcPr>
          <w:p w14:paraId="64631638" w14:textId="77777777" w:rsidR="00BE36FB" w:rsidRPr="009B7B35" w:rsidRDefault="00BE36FB" w:rsidP="001A7107">
            <w:pPr>
              <w:pStyle w:val="TableText"/>
              <w:rPr>
                <w:rFonts w:cs="Arial"/>
              </w:rPr>
            </w:pPr>
            <w:r w:rsidRPr="009B7B35">
              <w:rPr>
                <w:rFonts w:cs="Arial"/>
              </w:rPr>
              <w:t>9.90m</w:t>
            </w:r>
          </w:p>
        </w:tc>
        <w:tc>
          <w:tcPr>
            <w:tcW w:w="1186" w:type="dxa"/>
          </w:tcPr>
          <w:p w14:paraId="48585522" w14:textId="77777777" w:rsidR="00BE36FB" w:rsidRPr="009B7B35" w:rsidRDefault="00BE36FB" w:rsidP="001A7107">
            <w:pPr>
              <w:pStyle w:val="TableText"/>
              <w:rPr>
                <w:rFonts w:cs="Arial"/>
              </w:rPr>
            </w:pPr>
            <w:r w:rsidRPr="009B7B35">
              <w:rPr>
                <w:rFonts w:cs="Arial"/>
              </w:rPr>
              <w:t>9.90m</w:t>
            </w:r>
          </w:p>
        </w:tc>
        <w:tc>
          <w:tcPr>
            <w:tcW w:w="1186" w:type="dxa"/>
          </w:tcPr>
          <w:p w14:paraId="7FC6DDAD" w14:textId="77777777" w:rsidR="00BE36FB" w:rsidRPr="009B7B35" w:rsidRDefault="00BE36FB" w:rsidP="001A7107">
            <w:pPr>
              <w:pStyle w:val="TableText"/>
              <w:rPr>
                <w:rFonts w:cs="Arial"/>
              </w:rPr>
            </w:pPr>
            <w:r w:rsidRPr="009B7B35">
              <w:rPr>
                <w:rFonts w:cs="Arial"/>
              </w:rPr>
              <w:t>9.84m</w:t>
            </w:r>
          </w:p>
        </w:tc>
        <w:tc>
          <w:tcPr>
            <w:tcW w:w="1272" w:type="dxa"/>
          </w:tcPr>
          <w:p w14:paraId="0B333E5F" w14:textId="77777777" w:rsidR="00BE36FB" w:rsidRPr="009B7B35" w:rsidRDefault="00BE36FB" w:rsidP="001A7107">
            <w:pPr>
              <w:pStyle w:val="TableText"/>
              <w:rPr>
                <w:rFonts w:cs="Arial"/>
              </w:rPr>
            </w:pPr>
            <w:r w:rsidRPr="009B7B35">
              <w:rPr>
                <w:rFonts w:cs="Arial"/>
              </w:rPr>
              <w:t>9.84m</w:t>
            </w:r>
          </w:p>
        </w:tc>
      </w:tr>
      <w:tr w:rsidR="00BE36FB" w:rsidRPr="009B7B35" w14:paraId="0C8DE565" w14:textId="77777777" w:rsidTr="001A7107">
        <w:trPr>
          <w:cantSplit/>
        </w:trPr>
        <w:tc>
          <w:tcPr>
            <w:tcW w:w="2072" w:type="dxa"/>
          </w:tcPr>
          <w:p w14:paraId="55323FAF" w14:textId="77777777" w:rsidR="00BE36FB" w:rsidRPr="009B7B35" w:rsidRDefault="00BE36FB" w:rsidP="001A7107">
            <w:pPr>
              <w:pStyle w:val="TableText"/>
              <w:rPr>
                <w:rFonts w:cs="Arial"/>
              </w:rPr>
            </w:pPr>
            <w:r w:rsidRPr="009B7B35">
              <w:rPr>
                <w:rFonts w:cs="Arial"/>
              </w:rPr>
              <w:t>Front overhang</w:t>
            </w:r>
          </w:p>
        </w:tc>
        <w:tc>
          <w:tcPr>
            <w:tcW w:w="1187" w:type="dxa"/>
          </w:tcPr>
          <w:p w14:paraId="03C20C25" w14:textId="77777777" w:rsidR="00BE36FB" w:rsidRPr="009B7B35" w:rsidRDefault="00BE36FB" w:rsidP="001A7107">
            <w:pPr>
              <w:pStyle w:val="TableText"/>
              <w:rPr>
                <w:rFonts w:cs="Arial"/>
              </w:rPr>
            </w:pPr>
            <w:r w:rsidRPr="009B7B35">
              <w:rPr>
                <w:rFonts w:cs="Arial"/>
              </w:rPr>
              <w:t>1.42m</w:t>
            </w:r>
          </w:p>
        </w:tc>
        <w:tc>
          <w:tcPr>
            <w:tcW w:w="1186" w:type="dxa"/>
          </w:tcPr>
          <w:p w14:paraId="4658ACAD" w14:textId="77777777" w:rsidR="00BE36FB" w:rsidRPr="009B7B35" w:rsidRDefault="00BE36FB" w:rsidP="001A7107">
            <w:pPr>
              <w:pStyle w:val="TableText"/>
              <w:rPr>
                <w:rFonts w:cs="Arial"/>
              </w:rPr>
            </w:pPr>
            <w:r w:rsidRPr="009B7B35">
              <w:rPr>
                <w:rFonts w:cs="Arial"/>
              </w:rPr>
              <w:t>0.85m</w:t>
            </w:r>
          </w:p>
        </w:tc>
        <w:tc>
          <w:tcPr>
            <w:tcW w:w="1262" w:type="dxa"/>
          </w:tcPr>
          <w:p w14:paraId="52E53C64" w14:textId="77777777" w:rsidR="00BE36FB" w:rsidRPr="009B7B35" w:rsidRDefault="00BE36FB" w:rsidP="001A7107">
            <w:pPr>
              <w:pStyle w:val="TableText"/>
              <w:rPr>
                <w:rFonts w:cs="Arial"/>
              </w:rPr>
            </w:pPr>
            <w:r w:rsidRPr="009B7B35">
              <w:rPr>
                <w:rFonts w:cs="Arial"/>
              </w:rPr>
              <w:t>1.42m</w:t>
            </w:r>
          </w:p>
        </w:tc>
        <w:tc>
          <w:tcPr>
            <w:tcW w:w="1186" w:type="dxa"/>
          </w:tcPr>
          <w:p w14:paraId="3F4AB679" w14:textId="77777777" w:rsidR="00BE36FB" w:rsidRPr="009B7B35" w:rsidRDefault="00BE36FB" w:rsidP="001A7107">
            <w:pPr>
              <w:pStyle w:val="TableText"/>
              <w:rPr>
                <w:rFonts w:cs="Arial"/>
              </w:rPr>
            </w:pPr>
            <w:r w:rsidRPr="009B7B35">
              <w:rPr>
                <w:rFonts w:cs="Arial"/>
              </w:rPr>
              <w:t>1.42m</w:t>
            </w:r>
          </w:p>
        </w:tc>
        <w:tc>
          <w:tcPr>
            <w:tcW w:w="1186" w:type="dxa"/>
          </w:tcPr>
          <w:p w14:paraId="30471A3F" w14:textId="77777777" w:rsidR="00BE36FB" w:rsidRPr="009B7B35" w:rsidRDefault="00BE36FB" w:rsidP="001A7107">
            <w:pPr>
              <w:pStyle w:val="TableText"/>
              <w:rPr>
                <w:rFonts w:cs="Arial"/>
              </w:rPr>
            </w:pPr>
            <w:r w:rsidRPr="009B7B35">
              <w:rPr>
                <w:rFonts w:cs="Arial"/>
              </w:rPr>
              <w:t>1.50m</w:t>
            </w:r>
          </w:p>
        </w:tc>
        <w:tc>
          <w:tcPr>
            <w:tcW w:w="1272" w:type="dxa"/>
          </w:tcPr>
          <w:p w14:paraId="32C6B802" w14:textId="77777777" w:rsidR="00BE36FB" w:rsidRPr="009B7B35" w:rsidRDefault="00BE36FB" w:rsidP="001A7107">
            <w:pPr>
              <w:pStyle w:val="TableText"/>
              <w:rPr>
                <w:rFonts w:cs="Arial"/>
              </w:rPr>
            </w:pPr>
            <w:r w:rsidRPr="009B7B35">
              <w:rPr>
                <w:rFonts w:cs="Arial"/>
              </w:rPr>
              <w:t>1.50m</w:t>
            </w:r>
          </w:p>
        </w:tc>
      </w:tr>
      <w:tr w:rsidR="00BE36FB" w:rsidRPr="009B7B35" w14:paraId="3956D5B2" w14:textId="77777777" w:rsidTr="001A7107">
        <w:trPr>
          <w:cantSplit/>
        </w:trPr>
        <w:tc>
          <w:tcPr>
            <w:tcW w:w="2072" w:type="dxa"/>
          </w:tcPr>
          <w:p w14:paraId="3AA5FDCD" w14:textId="77777777" w:rsidR="00BE36FB" w:rsidRPr="009B7B35" w:rsidRDefault="00BE36FB" w:rsidP="001A7107">
            <w:pPr>
              <w:pStyle w:val="TableText"/>
              <w:rPr>
                <w:rFonts w:cs="Arial"/>
              </w:rPr>
            </w:pPr>
            <w:r w:rsidRPr="009B7B35">
              <w:rPr>
                <w:rFonts w:cs="Arial"/>
              </w:rPr>
              <w:t>Wheelbase</w:t>
            </w:r>
          </w:p>
        </w:tc>
        <w:tc>
          <w:tcPr>
            <w:tcW w:w="1187" w:type="dxa"/>
          </w:tcPr>
          <w:p w14:paraId="0D067E76" w14:textId="77777777" w:rsidR="00BE36FB" w:rsidRPr="009B7B35" w:rsidRDefault="00BE36FB" w:rsidP="001A7107">
            <w:pPr>
              <w:pStyle w:val="TableText"/>
              <w:rPr>
                <w:rFonts w:cs="Arial"/>
              </w:rPr>
            </w:pPr>
            <w:r w:rsidRPr="009B7B35">
              <w:rPr>
                <w:rFonts w:cs="Arial"/>
              </w:rPr>
              <w:t>5.00m</w:t>
            </w:r>
          </w:p>
        </w:tc>
        <w:tc>
          <w:tcPr>
            <w:tcW w:w="1186" w:type="dxa"/>
          </w:tcPr>
          <w:p w14:paraId="4D2E384D" w14:textId="77777777" w:rsidR="00BE36FB" w:rsidRPr="009B7B35" w:rsidRDefault="00BE36FB" w:rsidP="001A7107">
            <w:pPr>
              <w:pStyle w:val="TableText"/>
              <w:rPr>
                <w:rFonts w:cs="Arial"/>
              </w:rPr>
            </w:pPr>
            <w:r w:rsidRPr="009B7B35">
              <w:rPr>
                <w:rFonts w:cs="Arial"/>
              </w:rPr>
              <w:t>5.30m</w:t>
            </w:r>
          </w:p>
        </w:tc>
        <w:tc>
          <w:tcPr>
            <w:tcW w:w="1262" w:type="dxa"/>
          </w:tcPr>
          <w:p w14:paraId="0132CE19" w14:textId="77777777" w:rsidR="00BE36FB" w:rsidRPr="009B7B35" w:rsidRDefault="00BE36FB" w:rsidP="001A7107">
            <w:pPr>
              <w:pStyle w:val="TableText"/>
              <w:rPr>
                <w:rFonts w:cs="Arial"/>
              </w:rPr>
            </w:pPr>
            <w:r w:rsidRPr="009B7B35">
              <w:rPr>
                <w:rFonts w:cs="Arial"/>
              </w:rPr>
              <w:t>5.84m</w:t>
            </w:r>
          </w:p>
        </w:tc>
        <w:tc>
          <w:tcPr>
            <w:tcW w:w="1186" w:type="dxa"/>
          </w:tcPr>
          <w:p w14:paraId="15194CAF" w14:textId="77777777" w:rsidR="00BE36FB" w:rsidRPr="009B7B35" w:rsidRDefault="00BE36FB" w:rsidP="001A7107">
            <w:pPr>
              <w:pStyle w:val="TableText"/>
              <w:rPr>
                <w:rFonts w:cs="Arial"/>
              </w:rPr>
            </w:pPr>
            <w:r w:rsidRPr="009B7B35">
              <w:rPr>
                <w:rFonts w:cs="Arial"/>
              </w:rPr>
              <w:t>5.84m</w:t>
            </w:r>
          </w:p>
        </w:tc>
        <w:tc>
          <w:tcPr>
            <w:tcW w:w="1186" w:type="dxa"/>
          </w:tcPr>
          <w:p w14:paraId="069F8083" w14:textId="77777777" w:rsidR="00BE36FB" w:rsidRPr="009B7B35" w:rsidRDefault="00BE36FB" w:rsidP="001A7107">
            <w:pPr>
              <w:pStyle w:val="TableText"/>
              <w:rPr>
                <w:rFonts w:cs="Arial"/>
              </w:rPr>
            </w:pPr>
            <w:r w:rsidRPr="009B7B35">
              <w:rPr>
                <w:rFonts w:cs="Arial"/>
              </w:rPr>
              <w:t>5.20m</w:t>
            </w:r>
          </w:p>
        </w:tc>
        <w:tc>
          <w:tcPr>
            <w:tcW w:w="1272" w:type="dxa"/>
          </w:tcPr>
          <w:p w14:paraId="3011E3A4" w14:textId="77777777" w:rsidR="00BE36FB" w:rsidRPr="009B7B35" w:rsidRDefault="00BE36FB" w:rsidP="001A7107">
            <w:pPr>
              <w:pStyle w:val="TableText"/>
              <w:rPr>
                <w:rFonts w:cs="Arial"/>
              </w:rPr>
            </w:pPr>
            <w:r w:rsidRPr="009B7B35">
              <w:rPr>
                <w:rFonts w:cs="Arial"/>
              </w:rPr>
              <w:t>5.20m</w:t>
            </w:r>
          </w:p>
        </w:tc>
      </w:tr>
      <w:tr w:rsidR="00BE36FB" w:rsidRPr="009B7B35" w14:paraId="3BC4F05E" w14:textId="77777777" w:rsidTr="001A7107">
        <w:trPr>
          <w:cantSplit/>
        </w:trPr>
        <w:tc>
          <w:tcPr>
            <w:tcW w:w="2072" w:type="dxa"/>
          </w:tcPr>
          <w:p w14:paraId="5350D7F4" w14:textId="77777777" w:rsidR="00BE36FB" w:rsidRPr="009B7B35" w:rsidRDefault="00BE36FB" w:rsidP="001A7107">
            <w:pPr>
              <w:pStyle w:val="TableText"/>
              <w:rPr>
                <w:rFonts w:cs="Arial"/>
              </w:rPr>
            </w:pPr>
            <w:r w:rsidRPr="009B7B35">
              <w:rPr>
                <w:rFonts w:cs="Arial"/>
              </w:rPr>
              <w:t>Rear overhang</w:t>
            </w:r>
          </w:p>
        </w:tc>
        <w:tc>
          <w:tcPr>
            <w:tcW w:w="1187" w:type="dxa"/>
          </w:tcPr>
          <w:p w14:paraId="5F799C55" w14:textId="77777777" w:rsidR="00BE36FB" w:rsidRPr="009B7B35" w:rsidRDefault="00BE36FB" w:rsidP="001A7107">
            <w:pPr>
              <w:pStyle w:val="TableText"/>
              <w:rPr>
                <w:rFonts w:cs="Arial"/>
              </w:rPr>
            </w:pPr>
            <w:r w:rsidRPr="009B7B35">
              <w:rPr>
                <w:rFonts w:cs="Arial"/>
              </w:rPr>
              <w:t>2.30m</w:t>
            </w:r>
          </w:p>
        </w:tc>
        <w:tc>
          <w:tcPr>
            <w:tcW w:w="1186" w:type="dxa"/>
          </w:tcPr>
          <w:p w14:paraId="576F49E9" w14:textId="77777777" w:rsidR="00BE36FB" w:rsidRPr="009B7B35" w:rsidRDefault="00BE36FB" w:rsidP="001A7107">
            <w:pPr>
              <w:pStyle w:val="TableText"/>
              <w:rPr>
                <w:rFonts w:cs="Arial"/>
              </w:rPr>
            </w:pPr>
            <w:r w:rsidRPr="009B7B35">
              <w:rPr>
                <w:rFonts w:cs="Arial"/>
              </w:rPr>
              <w:t>2.65m</w:t>
            </w:r>
          </w:p>
        </w:tc>
        <w:tc>
          <w:tcPr>
            <w:tcW w:w="1262" w:type="dxa"/>
          </w:tcPr>
          <w:p w14:paraId="63735219" w14:textId="77777777" w:rsidR="00BE36FB" w:rsidRPr="009B7B35" w:rsidRDefault="00BE36FB" w:rsidP="001A7107">
            <w:pPr>
              <w:pStyle w:val="TableText"/>
              <w:rPr>
                <w:rFonts w:cs="Arial"/>
              </w:rPr>
            </w:pPr>
            <w:r w:rsidRPr="009B7B35">
              <w:rPr>
                <w:rFonts w:cs="Arial"/>
              </w:rPr>
              <w:t>2.64m</w:t>
            </w:r>
          </w:p>
        </w:tc>
        <w:tc>
          <w:tcPr>
            <w:tcW w:w="1186" w:type="dxa"/>
          </w:tcPr>
          <w:p w14:paraId="5A217CD8" w14:textId="77777777" w:rsidR="00BE36FB" w:rsidRPr="009B7B35" w:rsidRDefault="00BE36FB" w:rsidP="001A7107">
            <w:pPr>
              <w:pStyle w:val="TableText"/>
              <w:rPr>
                <w:rFonts w:cs="Arial"/>
              </w:rPr>
            </w:pPr>
            <w:r w:rsidRPr="009B7B35">
              <w:rPr>
                <w:rFonts w:cs="Arial"/>
              </w:rPr>
              <w:t>2.64m</w:t>
            </w:r>
          </w:p>
        </w:tc>
        <w:tc>
          <w:tcPr>
            <w:tcW w:w="1186" w:type="dxa"/>
          </w:tcPr>
          <w:p w14:paraId="51BF5CA9" w14:textId="77777777" w:rsidR="00BE36FB" w:rsidRPr="009B7B35" w:rsidRDefault="00BE36FB" w:rsidP="001A7107">
            <w:pPr>
              <w:pStyle w:val="TableText"/>
              <w:rPr>
                <w:rFonts w:cs="Arial"/>
              </w:rPr>
            </w:pPr>
            <w:r w:rsidRPr="009B7B35">
              <w:rPr>
                <w:rFonts w:cs="Arial"/>
              </w:rPr>
              <w:t>2.30m</w:t>
            </w:r>
          </w:p>
        </w:tc>
        <w:tc>
          <w:tcPr>
            <w:tcW w:w="1272" w:type="dxa"/>
          </w:tcPr>
          <w:p w14:paraId="35529257" w14:textId="77777777" w:rsidR="00BE36FB" w:rsidRPr="009B7B35" w:rsidRDefault="00BE36FB" w:rsidP="001A7107">
            <w:pPr>
              <w:pStyle w:val="TableText"/>
              <w:rPr>
                <w:rFonts w:cs="Arial"/>
              </w:rPr>
            </w:pPr>
            <w:r w:rsidRPr="009B7B35">
              <w:rPr>
                <w:rFonts w:cs="Arial"/>
              </w:rPr>
              <w:t>2.30m</w:t>
            </w:r>
          </w:p>
        </w:tc>
      </w:tr>
      <w:tr w:rsidR="00BE36FB" w:rsidRPr="009B7B35" w14:paraId="3E054B4F" w14:textId="77777777" w:rsidTr="001A7107">
        <w:trPr>
          <w:cantSplit/>
        </w:trPr>
        <w:tc>
          <w:tcPr>
            <w:tcW w:w="2072" w:type="dxa"/>
          </w:tcPr>
          <w:p w14:paraId="0D461B0C" w14:textId="77777777" w:rsidR="00BE36FB" w:rsidRPr="009B7B35" w:rsidRDefault="00BE36FB" w:rsidP="001A7107">
            <w:pPr>
              <w:pStyle w:val="TableText"/>
              <w:rPr>
                <w:rFonts w:cs="Arial"/>
              </w:rPr>
            </w:pPr>
            <w:r w:rsidRPr="009B7B35">
              <w:rPr>
                <w:rFonts w:cs="Arial"/>
              </w:rPr>
              <w:t>Turning circle (kerb to kerb)</w:t>
            </w:r>
          </w:p>
        </w:tc>
        <w:tc>
          <w:tcPr>
            <w:tcW w:w="1187" w:type="dxa"/>
          </w:tcPr>
          <w:p w14:paraId="5588471E" w14:textId="77777777" w:rsidR="00BE36FB" w:rsidRPr="009B7B35" w:rsidRDefault="00BE36FB" w:rsidP="001A7107">
            <w:pPr>
              <w:pStyle w:val="TableText"/>
              <w:rPr>
                <w:rFonts w:cs="Arial"/>
              </w:rPr>
            </w:pPr>
            <w:r w:rsidRPr="009B7B35">
              <w:rPr>
                <w:rFonts w:cs="Arial"/>
              </w:rPr>
              <w:t>16.40m</w:t>
            </w:r>
          </w:p>
        </w:tc>
        <w:tc>
          <w:tcPr>
            <w:tcW w:w="1186" w:type="dxa"/>
          </w:tcPr>
          <w:p w14:paraId="681D26BC" w14:textId="77777777" w:rsidR="00BE36FB" w:rsidRPr="009B7B35" w:rsidRDefault="00BE36FB" w:rsidP="001A7107">
            <w:pPr>
              <w:pStyle w:val="TableText"/>
              <w:rPr>
                <w:rFonts w:cs="Arial"/>
              </w:rPr>
            </w:pPr>
            <w:r w:rsidRPr="009B7B35">
              <w:rPr>
                <w:rFonts w:cs="Arial"/>
              </w:rPr>
              <w:t>18.70m</w:t>
            </w:r>
          </w:p>
        </w:tc>
        <w:tc>
          <w:tcPr>
            <w:tcW w:w="1262" w:type="dxa"/>
          </w:tcPr>
          <w:p w14:paraId="4163D629" w14:textId="77777777" w:rsidR="00BE36FB" w:rsidRPr="009B7B35" w:rsidRDefault="00BE36FB" w:rsidP="001A7107">
            <w:pPr>
              <w:pStyle w:val="TableText"/>
              <w:rPr>
                <w:rFonts w:cs="Arial"/>
              </w:rPr>
            </w:pPr>
            <w:r w:rsidRPr="009B7B35">
              <w:rPr>
                <w:rFonts w:cs="Arial"/>
              </w:rPr>
              <w:t>22.10m</w:t>
            </w:r>
          </w:p>
        </w:tc>
        <w:tc>
          <w:tcPr>
            <w:tcW w:w="1186" w:type="dxa"/>
          </w:tcPr>
          <w:p w14:paraId="2E1BB0E5" w14:textId="77777777" w:rsidR="00BE36FB" w:rsidRPr="009B7B35" w:rsidRDefault="00BE36FB" w:rsidP="001A7107">
            <w:pPr>
              <w:pStyle w:val="TableText"/>
              <w:rPr>
                <w:rFonts w:cs="Arial"/>
              </w:rPr>
            </w:pPr>
            <w:r w:rsidRPr="009B7B35">
              <w:rPr>
                <w:rFonts w:cs="Arial"/>
              </w:rPr>
              <w:t>22.10m</w:t>
            </w:r>
          </w:p>
        </w:tc>
        <w:tc>
          <w:tcPr>
            <w:tcW w:w="1186" w:type="dxa"/>
          </w:tcPr>
          <w:p w14:paraId="775E1E66" w14:textId="77777777" w:rsidR="00BE36FB" w:rsidRPr="009B7B35" w:rsidRDefault="00BE36FB" w:rsidP="001A7107">
            <w:pPr>
              <w:pStyle w:val="TableText"/>
              <w:rPr>
                <w:rFonts w:cs="Arial"/>
              </w:rPr>
            </w:pPr>
            <w:r w:rsidRPr="009B7B35">
              <w:rPr>
                <w:rFonts w:cs="Arial"/>
              </w:rPr>
              <w:t>10.50m</w:t>
            </w:r>
          </w:p>
        </w:tc>
        <w:tc>
          <w:tcPr>
            <w:tcW w:w="1272" w:type="dxa"/>
          </w:tcPr>
          <w:p w14:paraId="70C12DC1" w14:textId="77777777" w:rsidR="00BE36FB" w:rsidRPr="009B7B35" w:rsidRDefault="00BE36FB" w:rsidP="001A7107">
            <w:pPr>
              <w:pStyle w:val="TableText"/>
              <w:rPr>
                <w:rFonts w:cs="Arial"/>
              </w:rPr>
            </w:pPr>
            <w:r w:rsidRPr="009B7B35">
              <w:rPr>
                <w:rFonts w:cs="Arial"/>
              </w:rPr>
              <w:t>10.50m</w:t>
            </w:r>
          </w:p>
        </w:tc>
      </w:tr>
      <w:tr w:rsidR="00BE36FB" w:rsidRPr="009B7B35" w14:paraId="42E4B6EE" w14:textId="77777777" w:rsidTr="001A7107">
        <w:trPr>
          <w:cantSplit/>
        </w:trPr>
        <w:tc>
          <w:tcPr>
            <w:tcW w:w="2072" w:type="dxa"/>
          </w:tcPr>
          <w:p w14:paraId="6C26FBD3" w14:textId="77777777" w:rsidR="00BE36FB" w:rsidRPr="009B7B35" w:rsidRDefault="00BE36FB" w:rsidP="001A7107">
            <w:pPr>
              <w:pStyle w:val="TableText"/>
              <w:rPr>
                <w:rFonts w:cs="Arial"/>
              </w:rPr>
            </w:pPr>
            <w:r w:rsidRPr="009B7B35">
              <w:rPr>
                <w:rFonts w:cs="Arial"/>
              </w:rPr>
              <w:t>Turning circle (wall to wall)</w:t>
            </w:r>
          </w:p>
        </w:tc>
        <w:tc>
          <w:tcPr>
            <w:tcW w:w="1187" w:type="dxa"/>
          </w:tcPr>
          <w:p w14:paraId="2E97BD99" w14:textId="77777777" w:rsidR="00BE36FB" w:rsidRPr="009B7B35" w:rsidRDefault="00BE36FB" w:rsidP="001A7107">
            <w:pPr>
              <w:pStyle w:val="TableText"/>
              <w:rPr>
                <w:rFonts w:cs="Arial"/>
              </w:rPr>
            </w:pPr>
            <w:r w:rsidRPr="009B7B35">
              <w:rPr>
                <w:rFonts w:cs="Arial"/>
              </w:rPr>
              <w:t>11.00m</w:t>
            </w:r>
          </w:p>
        </w:tc>
        <w:tc>
          <w:tcPr>
            <w:tcW w:w="1186" w:type="dxa"/>
          </w:tcPr>
          <w:p w14:paraId="0E515873" w14:textId="77777777" w:rsidR="00BE36FB" w:rsidRPr="009B7B35" w:rsidRDefault="00BE36FB" w:rsidP="001A7107">
            <w:pPr>
              <w:pStyle w:val="TableText"/>
              <w:rPr>
                <w:rFonts w:cs="Arial"/>
              </w:rPr>
            </w:pPr>
            <w:r w:rsidRPr="009B7B35">
              <w:rPr>
                <w:rFonts w:cs="Arial"/>
              </w:rPr>
              <w:t>11.00m</w:t>
            </w:r>
          </w:p>
        </w:tc>
        <w:tc>
          <w:tcPr>
            <w:tcW w:w="1262" w:type="dxa"/>
          </w:tcPr>
          <w:p w14:paraId="61BADA4A" w14:textId="77777777" w:rsidR="00BE36FB" w:rsidRPr="009B7B35" w:rsidRDefault="00BE36FB" w:rsidP="001A7107">
            <w:pPr>
              <w:pStyle w:val="TableText"/>
              <w:rPr>
                <w:rFonts w:cs="Arial"/>
              </w:rPr>
            </w:pPr>
            <w:r w:rsidRPr="009B7B35">
              <w:rPr>
                <w:rFonts w:cs="Arial"/>
              </w:rPr>
              <w:t>23.66m</w:t>
            </w:r>
          </w:p>
        </w:tc>
        <w:tc>
          <w:tcPr>
            <w:tcW w:w="1186" w:type="dxa"/>
          </w:tcPr>
          <w:p w14:paraId="585530A8" w14:textId="77777777" w:rsidR="00BE36FB" w:rsidRPr="009B7B35" w:rsidRDefault="00BE36FB" w:rsidP="001A7107">
            <w:pPr>
              <w:pStyle w:val="TableText"/>
              <w:rPr>
                <w:rFonts w:cs="Arial"/>
              </w:rPr>
            </w:pPr>
            <w:r w:rsidRPr="009B7B35">
              <w:rPr>
                <w:rFonts w:cs="Arial"/>
              </w:rPr>
              <w:t>23.66m</w:t>
            </w:r>
          </w:p>
        </w:tc>
        <w:tc>
          <w:tcPr>
            <w:tcW w:w="1186" w:type="dxa"/>
          </w:tcPr>
          <w:p w14:paraId="57388CD3" w14:textId="77777777" w:rsidR="00BE36FB" w:rsidRPr="009B7B35" w:rsidRDefault="00BE36FB" w:rsidP="001A7107">
            <w:pPr>
              <w:pStyle w:val="TableText"/>
              <w:rPr>
                <w:rFonts w:cs="Arial"/>
              </w:rPr>
            </w:pPr>
            <w:r w:rsidRPr="009B7B35">
              <w:rPr>
                <w:rFonts w:cs="Arial"/>
              </w:rPr>
              <w:t>11.50m</w:t>
            </w:r>
          </w:p>
        </w:tc>
        <w:tc>
          <w:tcPr>
            <w:tcW w:w="1272" w:type="dxa"/>
          </w:tcPr>
          <w:p w14:paraId="2F7F54CB" w14:textId="77777777" w:rsidR="00BE36FB" w:rsidRPr="009B7B35" w:rsidRDefault="00BE36FB" w:rsidP="001A7107">
            <w:pPr>
              <w:pStyle w:val="TableText"/>
              <w:rPr>
                <w:rFonts w:cs="Arial"/>
              </w:rPr>
            </w:pPr>
            <w:r w:rsidRPr="009B7B35">
              <w:rPr>
                <w:rFonts w:cs="Arial"/>
              </w:rPr>
              <w:t>11.50m</w:t>
            </w:r>
          </w:p>
        </w:tc>
      </w:tr>
      <w:tr w:rsidR="00BE36FB" w:rsidRPr="009B7B35" w14:paraId="16CE981B" w14:textId="77777777" w:rsidTr="001A7107">
        <w:trPr>
          <w:cantSplit/>
        </w:trPr>
        <w:tc>
          <w:tcPr>
            <w:tcW w:w="2072" w:type="dxa"/>
          </w:tcPr>
          <w:p w14:paraId="5B4A915D" w14:textId="77777777" w:rsidR="00BE36FB" w:rsidRPr="009B7B35" w:rsidRDefault="00BE36FB" w:rsidP="001A7107">
            <w:pPr>
              <w:pStyle w:val="TableText"/>
              <w:rPr>
                <w:rFonts w:cs="Arial"/>
              </w:rPr>
            </w:pPr>
            <w:r w:rsidRPr="009B7B35">
              <w:rPr>
                <w:rFonts w:cs="Arial"/>
              </w:rPr>
              <w:t>Front of vehicle to collection arm</w:t>
            </w:r>
          </w:p>
        </w:tc>
        <w:tc>
          <w:tcPr>
            <w:tcW w:w="1187" w:type="dxa"/>
          </w:tcPr>
          <w:p w14:paraId="56B792DF" w14:textId="77777777" w:rsidR="00BE36FB" w:rsidRPr="009B7B35" w:rsidRDefault="00BE36FB" w:rsidP="001A7107">
            <w:pPr>
              <w:pStyle w:val="TableText"/>
              <w:rPr>
                <w:rFonts w:cs="Arial"/>
              </w:rPr>
            </w:pPr>
            <w:r w:rsidRPr="009B7B35">
              <w:rPr>
                <w:rFonts w:cs="Arial"/>
              </w:rPr>
              <w:t>18.14m</w:t>
            </w:r>
          </w:p>
        </w:tc>
        <w:tc>
          <w:tcPr>
            <w:tcW w:w="1186" w:type="dxa"/>
          </w:tcPr>
          <w:p w14:paraId="5B8A590A" w14:textId="77777777" w:rsidR="00BE36FB" w:rsidRPr="009B7B35" w:rsidRDefault="00BE36FB" w:rsidP="001A7107">
            <w:pPr>
              <w:pStyle w:val="TableText"/>
              <w:rPr>
                <w:rFonts w:cs="Arial"/>
              </w:rPr>
            </w:pPr>
            <w:r w:rsidRPr="009B7B35">
              <w:rPr>
                <w:rFonts w:cs="Arial"/>
              </w:rPr>
              <w:t>19.20m</w:t>
            </w:r>
          </w:p>
        </w:tc>
        <w:tc>
          <w:tcPr>
            <w:tcW w:w="1262" w:type="dxa"/>
          </w:tcPr>
          <w:p w14:paraId="6586C147" w14:textId="77777777" w:rsidR="00BE36FB" w:rsidRPr="009B7B35" w:rsidRDefault="00BE36FB" w:rsidP="001A7107">
            <w:pPr>
              <w:pStyle w:val="TableText"/>
              <w:rPr>
                <w:rFonts w:cs="Arial"/>
              </w:rPr>
            </w:pPr>
          </w:p>
        </w:tc>
        <w:tc>
          <w:tcPr>
            <w:tcW w:w="1186" w:type="dxa"/>
          </w:tcPr>
          <w:p w14:paraId="7DB1A92A" w14:textId="77777777" w:rsidR="00BE36FB" w:rsidRPr="009B7B35" w:rsidRDefault="00BE36FB" w:rsidP="001A7107">
            <w:pPr>
              <w:pStyle w:val="TableText"/>
              <w:rPr>
                <w:rFonts w:cs="Arial"/>
              </w:rPr>
            </w:pPr>
          </w:p>
        </w:tc>
        <w:tc>
          <w:tcPr>
            <w:tcW w:w="1186" w:type="dxa"/>
          </w:tcPr>
          <w:p w14:paraId="23B3B170" w14:textId="77777777" w:rsidR="00BE36FB" w:rsidRPr="009B7B35" w:rsidRDefault="00BE36FB" w:rsidP="001A7107">
            <w:pPr>
              <w:pStyle w:val="TableText"/>
              <w:rPr>
                <w:rFonts w:cs="Arial"/>
              </w:rPr>
            </w:pPr>
          </w:p>
        </w:tc>
        <w:tc>
          <w:tcPr>
            <w:tcW w:w="1272" w:type="dxa"/>
          </w:tcPr>
          <w:p w14:paraId="3FAACEDC" w14:textId="77777777" w:rsidR="00BE36FB" w:rsidRPr="009B7B35" w:rsidRDefault="00BE36FB" w:rsidP="001A7107">
            <w:pPr>
              <w:pStyle w:val="TableText"/>
              <w:rPr>
                <w:rFonts w:cs="Arial"/>
              </w:rPr>
            </w:pPr>
          </w:p>
        </w:tc>
      </w:tr>
      <w:tr w:rsidR="00BE36FB" w:rsidRPr="009B7B35" w14:paraId="361AD2B9" w14:textId="77777777" w:rsidTr="001A7107">
        <w:trPr>
          <w:cantSplit/>
        </w:trPr>
        <w:tc>
          <w:tcPr>
            <w:tcW w:w="2072" w:type="dxa"/>
          </w:tcPr>
          <w:p w14:paraId="0EADF08B" w14:textId="77777777" w:rsidR="00BE36FB" w:rsidRPr="009B7B35" w:rsidRDefault="00BE36FB" w:rsidP="001A7107">
            <w:pPr>
              <w:pStyle w:val="TableText"/>
              <w:rPr>
                <w:rFonts w:cs="Arial"/>
              </w:rPr>
            </w:pPr>
            <w:r w:rsidRPr="009B7B35">
              <w:rPr>
                <w:rFonts w:cs="Arial"/>
              </w:rPr>
              <w:t>Maximum reach of side arm</w:t>
            </w:r>
          </w:p>
        </w:tc>
        <w:tc>
          <w:tcPr>
            <w:tcW w:w="1187" w:type="dxa"/>
          </w:tcPr>
          <w:p w14:paraId="41F1C8D5" w14:textId="77777777" w:rsidR="00BE36FB" w:rsidRPr="009B7B35" w:rsidRDefault="00BE36FB" w:rsidP="001A7107">
            <w:pPr>
              <w:pStyle w:val="TableText"/>
              <w:rPr>
                <w:rFonts w:cs="Arial"/>
              </w:rPr>
            </w:pPr>
            <w:r w:rsidRPr="009B7B35">
              <w:rPr>
                <w:rFonts w:cs="Arial"/>
              </w:rPr>
              <w:t>2.70m</w:t>
            </w:r>
          </w:p>
        </w:tc>
        <w:tc>
          <w:tcPr>
            <w:tcW w:w="1186" w:type="dxa"/>
          </w:tcPr>
          <w:p w14:paraId="73B26007" w14:textId="77777777" w:rsidR="00BE36FB" w:rsidRPr="009B7B35" w:rsidRDefault="00BE36FB" w:rsidP="001A7107">
            <w:pPr>
              <w:pStyle w:val="TableText"/>
              <w:rPr>
                <w:rFonts w:cs="Arial"/>
              </w:rPr>
            </w:pPr>
            <w:r w:rsidRPr="009B7B35">
              <w:rPr>
                <w:rFonts w:cs="Arial"/>
              </w:rPr>
              <w:t>3.30m</w:t>
            </w:r>
          </w:p>
        </w:tc>
        <w:tc>
          <w:tcPr>
            <w:tcW w:w="1262" w:type="dxa"/>
          </w:tcPr>
          <w:p w14:paraId="1D1AE5C8" w14:textId="77777777" w:rsidR="00BE36FB" w:rsidRPr="009B7B35" w:rsidRDefault="00BE36FB" w:rsidP="001A7107">
            <w:pPr>
              <w:pStyle w:val="TableText"/>
              <w:rPr>
                <w:rFonts w:cs="Arial"/>
              </w:rPr>
            </w:pPr>
          </w:p>
        </w:tc>
        <w:tc>
          <w:tcPr>
            <w:tcW w:w="1186" w:type="dxa"/>
          </w:tcPr>
          <w:p w14:paraId="2BEDD93D" w14:textId="77777777" w:rsidR="00BE36FB" w:rsidRPr="009B7B35" w:rsidRDefault="00BE36FB" w:rsidP="001A7107">
            <w:pPr>
              <w:pStyle w:val="TableText"/>
              <w:rPr>
                <w:rFonts w:cs="Arial"/>
              </w:rPr>
            </w:pPr>
          </w:p>
        </w:tc>
        <w:tc>
          <w:tcPr>
            <w:tcW w:w="1186" w:type="dxa"/>
          </w:tcPr>
          <w:p w14:paraId="5EB3B9BF" w14:textId="77777777" w:rsidR="00BE36FB" w:rsidRPr="009B7B35" w:rsidRDefault="00BE36FB" w:rsidP="001A7107">
            <w:pPr>
              <w:pStyle w:val="TableText"/>
              <w:rPr>
                <w:rFonts w:cs="Arial"/>
              </w:rPr>
            </w:pPr>
          </w:p>
        </w:tc>
        <w:tc>
          <w:tcPr>
            <w:tcW w:w="1272" w:type="dxa"/>
          </w:tcPr>
          <w:p w14:paraId="2FE9C442" w14:textId="77777777" w:rsidR="00BE36FB" w:rsidRPr="009B7B35" w:rsidRDefault="00BE36FB" w:rsidP="001A7107">
            <w:pPr>
              <w:pStyle w:val="TableText"/>
              <w:rPr>
                <w:rFonts w:cs="Arial"/>
              </w:rPr>
            </w:pPr>
          </w:p>
        </w:tc>
      </w:tr>
      <w:tr w:rsidR="00BE36FB" w:rsidRPr="009B7B35" w14:paraId="19B6824A" w14:textId="77777777" w:rsidTr="001A7107">
        <w:trPr>
          <w:cantSplit/>
        </w:trPr>
        <w:tc>
          <w:tcPr>
            <w:tcW w:w="2072" w:type="dxa"/>
          </w:tcPr>
          <w:p w14:paraId="3E12C645" w14:textId="77777777" w:rsidR="00BE36FB" w:rsidRPr="009B7B35" w:rsidRDefault="00BE36FB" w:rsidP="001A7107">
            <w:pPr>
              <w:pStyle w:val="TableText"/>
              <w:rPr>
                <w:rFonts w:cs="Arial"/>
              </w:rPr>
            </w:pPr>
            <w:r w:rsidRPr="009B7B35">
              <w:rPr>
                <w:rFonts w:cs="Arial"/>
              </w:rPr>
              <w:t>Travel height</w:t>
            </w:r>
          </w:p>
        </w:tc>
        <w:tc>
          <w:tcPr>
            <w:tcW w:w="1187" w:type="dxa"/>
          </w:tcPr>
          <w:p w14:paraId="714D0E58" w14:textId="77777777" w:rsidR="00BE36FB" w:rsidRPr="009B7B35" w:rsidRDefault="00BE36FB" w:rsidP="001A7107">
            <w:pPr>
              <w:pStyle w:val="TableText"/>
              <w:rPr>
                <w:rFonts w:cs="Arial"/>
              </w:rPr>
            </w:pPr>
            <w:r w:rsidRPr="009B7B35">
              <w:rPr>
                <w:rFonts w:cs="Arial"/>
              </w:rPr>
              <w:t>2.00m</w:t>
            </w:r>
          </w:p>
        </w:tc>
        <w:tc>
          <w:tcPr>
            <w:tcW w:w="1186" w:type="dxa"/>
          </w:tcPr>
          <w:p w14:paraId="342C3889" w14:textId="77777777" w:rsidR="00BE36FB" w:rsidRPr="009B7B35" w:rsidRDefault="00BE36FB" w:rsidP="001A7107">
            <w:pPr>
              <w:pStyle w:val="TableText"/>
              <w:rPr>
                <w:rFonts w:cs="Arial"/>
              </w:rPr>
            </w:pPr>
            <w:r w:rsidRPr="009B7B35">
              <w:rPr>
                <w:rFonts w:cs="Arial"/>
              </w:rPr>
              <w:t>1.70m</w:t>
            </w:r>
          </w:p>
        </w:tc>
        <w:tc>
          <w:tcPr>
            <w:tcW w:w="1262" w:type="dxa"/>
          </w:tcPr>
          <w:p w14:paraId="1F81AF45" w14:textId="77777777" w:rsidR="00BE36FB" w:rsidRPr="009B7B35" w:rsidRDefault="00BE36FB" w:rsidP="001A7107">
            <w:pPr>
              <w:pStyle w:val="TableText"/>
              <w:rPr>
                <w:rFonts w:cs="Arial"/>
              </w:rPr>
            </w:pPr>
            <w:r w:rsidRPr="009B7B35">
              <w:rPr>
                <w:rFonts w:cs="Arial"/>
              </w:rPr>
              <w:t>3.64m</w:t>
            </w:r>
          </w:p>
        </w:tc>
        <w:tc>
          <w:tcPr>
            <w:tcW w:w="1186" w:type="dxa"/>
          </w:tcPr>
          <w:p w14:paraId="4D2DB931" w14:textId="77777777" w:rsidR="00BE36FB" w:rsidRPr="009B7B35" w:rsidRDefault="00BE36FB" w:rsidP="001A7107">
            <w:pPr>
              <w:pStyle w:val="TableText"/>
              <w:rPr>
                <w:rFonts w:cs="Arial"/>
              </w:rPr>
            </w:pPr>
            <w:r w:rsidRPr="009B7B35">
              <w:rPr>
                <w:rFonts w:cs="Arial"/>
              </w:rPr>
              <w:t>3.64m</w:t>
            </w:r>
          </w:p>
        </w:tc>
        <w:tc>
          <w:tcPr>
            <w:tcW w:w="1186" w:type="dxa"/>
          </w:tcPr>
          <w:p w14:paraId="6E265F72" w14:textId="77777777" w:rsidR="00BE36FB" w:rsidRPr="009B7B35" w:rsidRDefault="00BE36FB" w:rsidP="001A7107">
            <w:pPr>
              <w:pStyle w:val="TableText"/>
              <w:rPr>
                <w:rFonts w:cs="Arial"/>
              </w:rPr>
            </w:pPr>
            <w:r w:rsidRPr="009B7B35">
              <w:rPr>
                <w:rFonts w:cs="Arial"/>
              </w:rPr>
              <w:t>3.90m</w:t>
            </w:r>
          </w:p>
        </w:tc>
        <w:tc>
          <w:tcPr>
            <w:tcW w:w="1272" w:type="dxa"/>
          </w:tcPr>
          <w:p w14:paraId="51287FAA" w14:textId="77777777" w:rsidR="00BE36FB" w:rsidRPr="009B7B35" w:rsidRDefault="00BE36FB" w:rsidP="001A7107">
            <w:pPr>
              <w:pStyle w:val="TableText"/>
              <w:rPr>
                <w:rFonts w:cs="Arial"/>
              </w:rPr>
            </w:pPr>
          </w:p>
        </w:tc>
      </w:tr>
      <w:tr w:rsidR="00BE36FB" w:rsidRPr="009B7B35" w14:paraId="28A97B1C" w14:textId="77777777" w:rsidTr="001A7107">
        <w:trPr>
          <w:cantSplit/>
        </w:trPr>
        <w:tc>
          <w:tcPr>
            <w:tcW w:w="2072" w:type="dxa"/>
          </w:tcPr>
          <w:p w14:paraId="09B10915" w14:textId="77777777" w:rsidR="00BE36FB" w:rsidRPr="009B7B35" w:rsidRDefault="00BE36FB" w:rsidP="001A7107">
            <w:pPr>
              <w:pStyle w:val="TableText"/>
              <w:rPr>
                <w:rFonts w:cs="Arial"/>
              </w:rPr>
            </w:pPr>
            <w:r w:rsidRPr="009B7B35">
              <w:rPr>
                <w:rFonts w:cs="Arial"/>
              </w:rPr>
              <w:t>Clearance height for loading</w:t>
            </w:r>
          </w:p>
        </w:tc>
        <w:tc>
          <w:tcPr>
            <w:tcW w:w="1187" w:type="dxa"/>
          </w:tcPr>
          <w:p w14:paraId="67B626F2" w14:textId="77777777" w:rsidR="00BE36FB" w:rsidRPr="009B7B35" w:rsidRDefault="00BE36FB" w:rsidP="001A7107">
            <w:pPr>
              <w:pStyle w:val="TableText"/>
              <w:rPr>
                <w:rFonts w:cs="Arial"/>
              </w:rPr>
            </w:pPr>
            <w:r w:rsidRPr="009B7B35">
              <w:rPr>
                <w:rFonts w:cs="Arial"/>
              </w:rPr>
              <w:t>4.00m</w:t>
            </w:r>
          </w:p>
        </w:tc>
        <w:tc>
          <w:tcPr>
            <w:tcW w:w="1186" w:type="dxa"/>
          </w:tcPr>
          <w:p w14:paraId="5200F438" w14:textId="77777777" w:rsidR="00BE36FB" w:rsidRPr="009B7B35" w:rsidRDefault="00BE36FB" w:rsidP="001A7107">
            <w:pPr>
              <w:pStyle w:val="TableText"/>
              <w:rPr>
                <w:rFonts w:cs="Arial"/>
              </w:rPr>
            </w:pPr>
            <w:r w:rsidRPr="009B7B35">
              <w:rPr>
                <w:rFonts w:cs="Arial"/>
              </w:rPr>
              <w:t>3.80m</w:t>
            </w:r>
          </w:p>
        </w:tc>
        <w:tc>
          <w:tcPr>
            <w:tcW w:w="1262" w:type="dxa"/>
          </w:tcPr>
          <w:p w14:paraId="09A5EE2D" w14:textId="77777777" w:rsidR="00BE36FB" w:rsidRPr="009B7B35" w:rsidRDefault="00BE36FB" w:rsidP="001A7107">
            <w:pPr>
              <w:pStyle w:val="TableText"/>
              <w:rPr>
                <w:rFonts w:cs="Arial"/>
              </w:rPr>
            </w:pPr>
            <w:r w:rsidRPr="009B7B35">
              <w:rPr>
                <w:rFonts w:cs="Arial"/>
              </w:rPr>
              <w:t>6.10m</w:t>
            </w:r>
          </w:p>
        </w:tc>
        <w:tc>
          <w:tcPr>
            <w:tcW w:w="1186" w:type="dxa"/>
          </w:tcPr>
          <w:p w14:paraId="3DAEE20E" w14:textId="77777777" w:rsidR="00BE36FB" w:rsidRPr="009B7B35" w:rsidRDefault="00BE36FB" w:rsidP="001A7107">
            <w:pPr>
              <w:pStyle w:val="TableText"/>
              <w:rPr>
                <w:rFonts w:cs="Arial"/>
              </w:rPr>
            </w:pPr>
            <w:r w:rsidRPr="009B7B35">
              <w:rPr>
                <w:rFonts w:cs="Arial"/>
              </w:rPr>
              <w:t>6.10m</w:t>
            </w:r>
          </w:p>
        </w:tc>
        <w:tc>
          <w:tcPr>
            <w:tcW w:w="1186" w:type="dxa"/>
          </w:tcPr>
          <w:p w14:paraId="79230547" w14:textId="77777777" w:rsidR="00BE36FB" w:rsidRPr="009B7B35" w:rsidRDefault="00BE36FB" w:rsidP="001A7107">
            <w:pPr>
              <w:pStyle w:val="TableText"/>
              <w:rPr>
                <w:rFonts w:cs="Arial"/>
              </w:rPr>
            </w:pPr>
            <w:r w:rsidRPr="009B7B35">
              <w:rPr>
                <w:rFonts w:cs="Arial"/>
              </w:rPr>
              <w:t>3.90m</w:t>
            </w:r>
          </w:p>
        </w:tc>
        <w:tc>
          <w:tcPr>
            <w:tcW w:w="1272" w:type="dxa"/>
          </w:tcPr>
          <w:p w14:paraId="4F8E7EF6" w14:textId="77777777" w:rsidR="00BE36FB" w:rsidRPr="009B7B35" w:rsidRDefault="00BE36FB" w:rsidP="001A7107">
            <w:pPr>
              <w:pStyle w:val="TableText"/>
              <w:rPr>
                <w:rFonts w:cs="Arial"/>
              </w:rPr>
            </w:pPr>
          </w:p>
        </w:tc>
      </w:tr>
    </w:tbl>
    <w:p w14:paraId="08E4AF8D" w14:textId="77777777" w:rsidR="00BE36FB" w:rsidRPr="009B7B35" w:rsidRDefault="00BE36FB" w:rsidP="007A46D8">
      <w:pPr>
        <w:pStyle w:val="Heading8"/>
        <w:numPr>
          <w:ilvl w:val="7"/>
          <w:numId w:val="834"/>
        </w:numPr>
        <w:rPr>
          <w:rFonts w:ascii="Arial" w:hAnsi="Arial" w:cs="Arial"/>
          <w:sz w:val="20"/>
        </w:rPr>
      </w:pPr>
      <w:bookmarkStart w:id="386" w:name="_Toc205367499"/>
      <w:r w:rsidRPr="009B7B35">
        <w:rPr>
          <w:rFonts w:ascii="Arial" w:hAnsi="Arial" w:cs="Arial"/>
          <w:sz w:val="20"/>
        </w:rPr>
        <w:t>Guidance note: Preparation of waste management plans</w:t>
      </w:r>
      <w:bookmarkEnd w:id="386"/>
    </w:p>
    <w:p w14:paraId="482F678C" w14:textId="77777777" w:rsidR="00BE36FB" w:rsidRPr="009B7B35" w:rsidRDefault="00BE36FB" w:rsidP="00BE36FB">
      <w:pPr>
        <w:numPr>
          <w:ilvl w:val="0"/>
          <w:numId w:val="833"/>
        </w:numPr>
        <w:rPr>
          <w:rFonts w:ascii="Arial" w:hAnsi="Arial" w:cs="Arial"/>
          <w:sz w:val="20"/>
          <w:szCs w:val="20"/>
        </w:rPr>
      </w:pPr>
      <w:r w:rsidRPr="009B7B35">
        <w:rPr>
          <w:rFonts w:ascii="Arial" w:hAnsi="Arial" w:cs="Arial"/>
          <w:sz w:val="20"/>
          <w:szCs w:val="20"/>
        </w:rPr>
        <w:t>Scope. This Planning Scheme Policy applies throughout the whole of the Gladstone Regional Council Area. The policy applies to any assessable development where the application and/or proposal are to be supported by a Waste Management Plan (WMP).</w:t>
      </w:r>
    </w:p>
    <w:p w14:paraId="5DA44FF5" w14:textId="77777777" w:rsidR="00BE36FB" w:rsidRPr="009B7B35" w:rsidRDefault="00BE36FB" w:rsidP="00BE36FB">
      <w:pPr>
        <w:numPr>
          <w:ilvl w:val="0"/>
          <w:numId w:val="833"/>
        </w:numPr>
        <w:rPr>
          <w:rFonts w:ascii="Arial" w:hAnsi="Arial" w:cs="Arial"/>
          <w:sz w:val="20"/>
          <w:szCs w:val="20"/>
        </w:rPr>
      </w:pPr>
      <w:r w:rsidRPr="009B7B35">
        <w:rPr>
          <w:rFonts w:ascii="Arial" w:hAnsi="Arial" w:cs="Arial"/>
          <w:sz w:val="20"/>
          <w:szCs w:val="20"/>
        </w:rPr>
        <w:t>Objectives. To provide for the preparation of Waste Management Plans to:</w:t>
      </w:r>
    </w:p>
    <w:p w14:paraId="039C4BA4"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minimise the amount of waste generated, and</w:t>
      </w:r>
    </w:p>
    <w:p w14:paraId="1E0E79B1"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promote efficient use of resources.</w:t>
      </w:r>
    </w:p>
    <w:p w14:paraId="2C5F4E19" w14:textId="77777777" w:rsidR="00BE36FB" w:rsidRPr="009B7B35" w:rsidRDefault="00BE36FB" w:rsidP="001A7107">
      <w:pPr>
        <w:pStyle w:val="NormalIndent"/>
        <w:rPr>
          <w:rFonts w:cs="Arial"/>
          <w:szCs w:val="20"/>
        </w:rPr>
      </w:pPr>
      <w:r w:rsidRPr="009B7B35">
        <w:rPr>
          <w:rFonts w:cs="Arial"/>
          <w:szCs w:val="20"/>
        </w:rPr>
        <w:t>To provide a framework for the preparation and assessment of Waste Management Plans which enable Council to make consistent and fair decisions regarding development applications that:</w:t>
      </w:r>
    </w:p>
    <w:p w14:paraId="5F43E3E8"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ensure waste is managed in accordance with ecologically sustainable development principles</w:t>
      </w:r>
    </w:p>
    <w:p w14:paraId="4A8B186B"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minimise the impact of waste on the environment and on human health</w:t>
      </w:r>
    </w:p>
    <w:p w14:paraId="5534923E"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minimise the amount of waste generated from all sources, and</w:t>
      </w:r>
    </w:p>
    <w:p w14:paraId="5CDB3867"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promote the use of wastes as a resource.</w:t>
      </w:r>
    </w:p>
    <w:p w14:paraId="610FA620" w14:textId="77777777" w:rsidR="00BE36FB" w:rsidRPr="009B7B35" w:rsidRDefault="00BE36FB" w:rsidP="00BE36FB">
      <w:pPr>
        <w:numPr>
          <w:ilvl w:val="0"/>
          <w:numId w:val="833"/>
        </w:numPr>
        <w:rPr>
          <w:rFonts w:ascii="Arial" w:hAnsi="Arial" w:cs="Arial"/>
          <w:sz w:val="20"/>
          <w:szCs w:val="20"/>
        </w:rPr>
      </w:pPr>
      <w:r w:rsidRPr="009B7B35">
        <w:rPr>
          <w:rFonts w:ascii="Arial" w:hAnsi="Arial" w:cs="Arial"/>
          <w:sz w:val="20"/>
          <w:szCs w:val="20"/>
        </w:rPr>
        <w:t>Rationale. Council and the community share the responsibility of ensuring that the environment is protected, and that resources are not used to the detriment of the quality of life of future generations. Responsible Waste Management is imperative in meeting this responsibility. Sound waste management can result in significant economic, social and environmental benefits. Responsible and effective waste management can achieve:</w:t>
      </w:r>
    </w:p>
    <w:p w14:paraId="30650A3E"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more sustainable use of resources</w:t>
      </w:r>
    </w:p>
    <w:p w14:paraId="2F46C697"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reductions in the amount of waste requiring disposal and reductions in waste disposal costs</w:t>
      </w:r>
    </w:p>
    <w:p w14:paraId="493D4F12"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more efficient, and therefore cost–effective, works and operations</w:t>
      </w:r>
    </w:p>
    <w:p w14:paraId="500F3291"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greater workplace and public safety</w:t>
      </w:r>
    </w:p>
    <w:p w14:paraId="7213B406"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reduced legal and financial liabilities and improved community perceptions and relations.</w:t>
      </w:r>
    </w:p>
    <w:p w14:paraId="78EE31BA" w14:textId="77777777" w:rsidR="00BE36FB" w:rsidRPr="009B7B35" w:rsidRDefault="00BE36FB" w:rsidP="00BE36FB">
      <w:pPr>
        <w:numPr>
          <w:ilvl w:val="0"/>
          <w:numId w:val="833"/>
        </w:numPr>
        <w:rPr>
          <w:rFonts w:ascii="Arial" w:hAnsi="Arial" w:cs="Arial"/>
          <w:sz w:val="20"/>
          <w:szCs w:val="20"/>
        </w:rPr>
      </w:pPr>
      <w:r w:rsidRPr="009B7B35">
        <w:rPr>
          <w:rFonts w:ascii="Arial" w:hAnsi="Arial" w:cs="Arial"/>
          <w:sz w:val="20"/>
          <w:szCs w:val="20"/>
        </w:rPr>
        <w:t>Principles to be used in preparing the Waste Management Plan</w:t>
      </w:r>
    </w:p>
    <w:p w14:paraId="64F6ADF8" w14:textId="77777777" w:rsidR="00BE36FB" w:rsidRPr="009B7B35" w:rsidRDefault="00BE36FB" w:rsidP="001A7107">
      <w:pPr>
        <w:pStyle w:val="NormalIndent"/>
        <w:rPr>
          <w:rFonts w:cs="Arial"/>
          <w:szCs w:val="20"/>
        </w:rPr>
      </w:pPr>
      <w:r w:rsidRPr="009B7B35">
        <w:rPr>
          <w:rFonts w:cs="Arial"/>
          <w:szCs w:val="20"/>
        </w:rPr>
        <w:t>The following principles should be used in the preparation of a Waste Management Plan.</w:t>
      </w:r>
    </w:p>
    <w:p w14:paraId="667CF79B"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Guiding principles:</w:t>
      </w:r>
    </w:p>
    <w:p w14:paraId="6333E074"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Waste Management Hierarchy</w:t>
      </w:r>
      <w:r w:rsidRPr="009B7B35">
        <w:rPr>
          <w:rFonts w:ascii="Arial" w:hAnsi="Arial" w:cs="Arial"/>
          <w:sz w:val="20"/>
          <w:szCs w:val="20"/>
        </w:rPr>
        <w:br/>
        <w:t>The waste management hierarchy is a framework for prioritising waste management practices to achieve the best environmental outcome. The following waste management practices are listed in the preferred order of adoption and form the ‘waste management hierarchy’:</w:t>
      </w:r>
    </w:p>
    <w:p w14:paraId="5836B89A"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Waste avoidance. Preventing the generation of waste or reducing the amount of waste generated. Examples of practices for achieving waste avoidance:</w:t>
      </w:r>
      <w:r w:rsidRPr="009B7B35">
        <w:rPr>
          <w:rFonts w:ascii="Arial" w:hAnsi="Arial" w:cs="Arial"/>
          <w:sz w:val="20"/>
          <w:szCs w:val="20"/>
        </w:rPr>
        <w:br/>
        <w:t>– input substitution</w:t>
      </w:r>
      <w:r w:rsidRPr="009B7B35">
        <w:rPr>
          <w:rFonts w:ascii="Arial" w:hAnsi="Arial" w:cs="Arial"/>
          <w:sz w:val="20"/>
          <w:szCs w:val="20"/>
        </w:rPr>
        <w:br/>
        <w:t xml:space="preserve">– increased efficiency in the use of raw materials, energy, water or land </w:t>
      </w:r>
      <w:r w:rsidRPr="009B7B35">
        <w:rPr>
          <w:rFonts w:ascii="Arial" w:hAnsi="Arial" w:cs="Arial"/>
          <w:sz w:val="20"/>
          <w:szCs w:val="20"/>
        </w:rPr>
        <w:br/>
        <w:t>– process redesign</w:t>
      </w:r>
      <w:r w:rsidRPr="009B7B35">
        <w:rPr>
          <w:rFonts w:ascii="Arial" w:hAnsi="Arial" w:cs="Arial"/>
          <w:sz w:val="20"/>
          <w:szCs w:val="20"/>
        </w:rPr>
        <w:br/>
        <w:t>– product redesign</w:t>
      </w:r>
      <w:r w:rsidRPr="009B7B35">
        <w:rPr>
          <w:rFonts w:ascii="Arial" w:hAnsi="Arial" w:cs="Arial"/>
          <w:sz w:val="20"/>
          <w:szCs w:val="20"/>
        </w:rPr>
        <w:br/>
        <w:t>– improved maintenance and operation of equipment</w:t>
      </w:r>
      <w:r w:rsidRPr="009B7B35">
        <w:rPr>
          <w:rFonts w:ascii="Arial" w:hAnsi="Arial" w:cs="Arial"/>
          <w:sz w:val="20"/>
          <w:szCs w:val="20"/>
        </w:rPr>
        <w:br/>
        <w:t>– closed–loop recycling.</w:t>
      </w:r>
    </w:p>
    <w:p w14:paraId="4654CC74"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Waste re–use. Re–using waste, without first substantially changing its form.</w:t>
      </w:r>
      <w:r w:rsidRPr="009B7B35">
        <w:rPr>
          <w:rFonts w:ascii="Arial" w:hAnsi="Arial" w:cs="Arial"/>
          <w:sz w:val="20"/>
          <w:szCs w:val="20"/>
        </w:rPr>
        <w:br/>
        <w:t>Examples: recovering solvents, metals, oil, or components or contaminants from catalysts and re–using them for a secondary purpose, applying waste to land in a way that gives agricultural and ecological benefits, substituting waste for virgin material in a production process.</w:t>
      </w:r>
    </w:p>
    <w:p w14:paraId="3E34562F"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Waste recycling. Treating waste that is no longer useable in its present form and using it to produce new products.</w:t>
      </w:r>
    </w:p>
    <w:p w14:paraId="78DB0CF5"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Energy recovery from waste. Recovering and using energy generated from waste. Example: Using waste as fuel to heat water and using the hot water in an industrial process or steam to generate power.</w:t>
      </w:r>
    </w:p>
    <w:p w14:paraId="068D0293"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Waste disposal. Disposing of waste, or treating and disposing of waste, in a way that causes the least harm to the environment. Examples of treatment before disposal:</w:t>
      </w:r>
      <w:r w:rsidRPr="009B7B35">
        <w:rPr>
          <w:rFonts w:ascii="Arial" w:hAnsi="Arial" w:cs="Arial"/>
          <w:sz w:val="20"/>
          <w:szCs w:val="20"/>
        </w:rPr>
        <w:br/>
        <w:t>– employing biological processes to degrade material</w:t>
      </w:r>
      <w:r w:rsidRPr="009B7B35">
        <w:rPr>
          <w:rFonts w:ascii="Arial" w:hAnsi="Arial" w:cs="Arial"/>
          <w:sz w:val="20"/>
          <w:szCs w:val="20"/>
        </w:rPr>
        <w:br/>
        <w:t>– employing a physico–chemical treatment to obtain a compound or mixture</w:t>
      </w:r>
      <w:r w:rsidRPr="009B7B35">
        <w:rPr>
          <w:rFonts w:ascii="Arial" w:hAnsi="Arial" w:cs="Arial"/>
          <w:sz w:val="20"/>
          <w:szCs w:val="20"/>
        </w:rPr>
        <w:br/>
        <w:t>– blending or mixing waste to obtain a compound or mixture</w:t>
      </w:r>
      <w:r w:rsidRPr="009B7B35">
        <w:rPr>
          <w:rFonts w:ascii="Arial" w:hAnsi="Arial" w:cs="Arial"/>
          <w:sz w:val="20"/>
          <w:szCs w:val="20"/>
        </w:rPr>
        <w:br/>
        <w:t>– storing or repackaging waste</w:t>
      </w:r>
      <w:r w:rsidRPr="009B7B35">
        <w:rPr>
          <w:rFonts w:ascii="Arial" w:hAnsi="Arial" w:cs="Arial"/>
          <w:sz w:val="20"/>
          <w:szCs w:val="20"/>
        </w:rPr>
        <w:br/>
        <w:t>– employing thermal process to convert waste into a non–hazardous material.</w:t>
      </w:r>
      <w:r w:rsidRPr="009B7B35">
        <w:rPr>
          <w:rFonts w:ascii="Arial" w:hAnsi="Arial" w:cs="Arial"/>
          <w:sz w:val="20"/>
          <w:szCs w:val="20"/>
        </w:rPr>
        <w:br/>
        <w:t>Examples of disposal:</w:t>
      </w:r>
      <w:r w:rsidRPr="009B7B35">
        <w:rPr>
          <w:rFonts w:ascii="Arial" w:hAnsi="Arial" w:cs="Arial"/>
          <w:sz w:val="20"/>
          <w:szCs w:val="20"/>
        </w:rPr>
        <w:br/>
        <w:t>– disposal to a landfill</w:t>
      </w:r>
      <w:r w:rsidRPr="009B7B35">
        <w:rPr>
          <w:rFonts w:ascii="Arial" w:hAnsi="Arial" w:cs="Arial"/>
          <w:sz w:val="20"/>
          <w:szCs w:val="20"/>
        </w:rPr>
        <w:br/>
        <w:t>– incineration without recovering heat or a secondary product.</w:t>
      </w:r>
    </w:p>
    <w:p w14:paraId="6AA886B5"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 xml:space="preserve">Polluter pays principle. The ‘polluter pays principle’, is the principle that all costs associated with the management of waste should, if practicable, be borne by the persons who generated the waste. The costs associated with the management of waste may include the costs of: minimizing the amount of waste generated; containing, treating and disposing of waste; and rectifying environmental harm caused by waste. </w:t>
      </w:r>
    </w:p>
    <w:p w14:paraId="5E44CEA1"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User pays principle. The ‘user pays principle’, is the principle that all costs associated with the use of a resource should, if practicable, be included in the prices of the goods and services (including government services) that result from the use. Example: By using land for a landfill, a person is using a resource. Under the user pays principle, the prices for disposing of waste to the landfill should include the full costs associated with using the land for a landfill. These costs may include, for example, the costs of buying the land and constructing the landfill, and the opportunity cost of using the land as a landfill.</w:t>
      </w:r>
    </w:p>
    <w:p w14:paraId="10B7E084"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Other principles. Other principles that apply to the preparation of and rationale behind a Waste Management Plan include: Intergenerational equity – means that the present generation should ensure that the health, diversity and productivity of the environment is maintained or enhanced for the benefit of future generations; Ecologically sustainable development – means protecting the environment while allowing for development that improves the total quality of life both now and in the future in a way that maintains the ecological processes on which life depends; Continuous improvement; Full cost pricing.</w:t>
      </w:r>
    </w:p>
    <w:p w14:paraId="792CDC40"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General principles:</w:t>
      </w:r>
    </w:p>
    <w:p w14:paraId="490A7B36"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Tailoring the WMP to the proposal. The WMP need only be as complex as the proposal requires. Once–off, short–term, small scale or uncomplicated works should only need a relatively short and simple WMP. Conversely, larger proposals may require detailed planning, covering the different stages of the development, operations or works program. Every proposal has specific conditions and considerations and so in determining waste management measures, consideration should be given to: the nature and scope of the proposal, including the type, extent and life of the proposed activities, and the sensitivity of the receiving environment particularly neighbouring premises practical experience, knowledge and site conditions published information, and consultation with the Council and relevant government agencies.</w:t>
      </w:r>
    </w:p>
    <w:p w14:paraId="3225991D"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Preparing a ‘user friendly’ WMP. The WMP should be clear, concise and easily understood by non–expert readers, as it is intended for use directly by staff or contractors. The intent and scope of the plan should be clearly stated, remembering that precise objectives and actions are more easily achieved than broad statements of intent.</w:t>
      </w:r>
    </w:p>
    <w:p w14:paraId="676FC6D9"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Committing resources. The availability of necessary resources should be considered, understood and fully costed before commitments are made to waste minimisation measures. Staff awareness and training are essential for ongoing responsible work practices. All staff should be familiar with the provisions of the plan and the procedures particular to them that will achieve the objectives.</w:t>
      </w:r>
    </w:p>
    <w:p w14:paraId="462C6074"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Auditing. Where warranted by the size, life or sensitivity of the project, procedures should be established for audits of the waste management system to be carried out. An audit will review and establish the degree to which waste management measures are being met and will point out areas for improvement.</w:t>
      </w:r>
    </w:p>
    <w:p w14:paraId="2F7D1204"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Fitting the WMP into an overall Management System. The WMP could ideally be part of any overall Environmental Policy adopted by the organization that is to carry out the development or use. The relationship of the WMP to an existing environmental or other management system/ plan should be indicated. The WMP should be structured to complement existing management systems.</w:t>
      </w:r>
    </w:p>
    <w:p w14:paraId="6C28EF0E"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Continual Improvement. Where warranted by the size, life or the sensitivity of the project the overall performance of an ongoing project or use can be improved as a result of ongoing management measures, technological improvements and improved operating methods. Applying this concept requires management measures to be reviewed over time, particularly when changed or new processes, products, services or facilities are introduced.</w:t>
      </w:r>
    </w:p>
    <w:p w14:paraId="7967D07D" w14:textId="77777777" w:rsidR="00BE36FB" w:rsidRPr="009B7B35" w:rsidRDefault="00BE36FB" w:rsidP="00BE36FB">
      <w:pPr>
        <w:numPr>
          <w:ilvl w:val="0"/>
          <w:numId w:val="833"/>
        </w:numPr>
        <w:rPr>
          <w:rFonts w:ascii="Arial" w:hAnsi="Arial" w:cs="Arial"/>
          <w:sz w:val="20"/>
          <w:szCs w:val="20"/>
        </w:rPr>
      </w:pPr>
      <w:r w:rsidRPr="009B7B35">
        <w:rPr>
          <w:rFonts w:ascii="Arial" w:hAnsi="Arial" w:cs="Arial"/>
          <w:sz w:val="20"/>
          <w:szCs w:val="20"/>
        </w:rPr>
        <w:t>Documentation of Waste Management Plans:</w:t>
      </w:r>
    </w:p>
    <w:p w14:paraId="1EB63489"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General. A WMP is a written description of what acceptable levels of waste generation are intended to be achieved or maintained and how it is proposed to achieve or maintain them. It is a working management document that establishes links between the potential for waste minimisation and measures to utilise such potential. A WMP should concisely describe the commitments made to waste management by:</w:t>
      </w:r>
    </w:p>
    <w:p w14:paraId="4F0A3F9D"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identifying all the aspects of the project which generate waste or involve waste handling, storage or servicing</w:t>
      </w:r>
    </w:p>
    <w:p w14:paraId="57374DB0"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establishing practical and achievable measures for minimizing the amount of waste generated and managing the impacts of such waste</w:t>
      </w:r>
    </w:p>
    <w:p w14:paraId="7FAC491A"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clearly identifying authority and responsibility for implementing and maintaining these measures during both construction and operational stages of a project</w:t>
      </w:r>
    </w:p>
    <w:p w14:paraId="0F7D676E"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nominating acceptable performance criteria, and</w:t>
      </w:r>
    </w:p>
    <w:p w14:paraId="58F59989"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establishing procedures for monitoring and reporting.</w:t>
      </w:r>
    </w:p>
    <w:p w14:paraId="61100DE9"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Indicative Scope. Where a WMP is requested to support a development application or required as a condition of development approval, the plan may include, but need not be limited to, the following:</w:t>
      </w:r>
    </w:p>
    <w:p w14:paraId="3FF28820"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a map which locates the site in relation to any on–site or surrounding uses or other sensitive receiving environments, with respect to cadastral boundaries and topography</w:t>
      </w:r>
    </w:p>
    <w:p w14:paraId="565CFD5A"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a site layout plan and, if applicable, engineering drawings</w:t>
      </w:r>
    </w:p>
    <w:p w14:paraId="48705BB5"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a description of the types and amounts of waste that may be generated from the proposal</w:t>
      </w:r>
    </w:p>
    <w:p w14:paraId="197B0BD1"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a description of other management practices which will be implemented to prevent or minimise any adverse environmental impacts (which may include temporary and longer term buffering measures, and rehabilitation or enhancement works)</w:t>
      </w:r>
    </w:p>
    <w:p w14:paraId="20811B55"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the monitoring procedures to be established and implemented, and</w:t>
      </w:r>
    </w:p>
    <w:p w14:paraId="14024D85"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performance criteria to assess the effectiveness of the management and monitoring program.</w:t>
      </w:r>
    </w:p>
    <w:p w14:paraId="37649F4A"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Typical WMP Contents and Structure. The following provides a guide to the type of information that may be included in a WMP and how it could be structured.</w:t>
      </w:r>
    </w:p>
    <w:p w14:paraId="2A3FA7A9"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Introduction. The introduction to the WMP should set the scene by briefly describing:</w:t>
      </w:r>
    </w:p>
    <w:p w14:paraId="670FC6B3"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the project to which it applies</w:t>
      </w:r>
    </w:p>
    <w:p w14:paraId="6346A5BB"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why it has been written, and</w:t>
      </w:r>
    </w:p>
    <w:p w14:paraId="2850D592"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its structure and scope.</w:t>
      </w:r>
    </w:p>
    <w:p w14:paraId="401E0553"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 xml:space="preserve">Aim of the WMP. The aims of the WMP should be clearly and concisely stated, recognising that a WMP should provide: </w:t>
      </w:r>
    </w:p>
    <w:p w14:paraId="5ABF1F56"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a framework for practically addressing and monitoring the waste generated by the proposal, and</w:t>
      </w:r>
    </w:p>
    <w:p w14:paraId="71220C71"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evidence that the works and operations will be or are being conducted in an environmentally responsible manner.</w:t>
      </w:r>
    </w:p>
    <w:p w14:paraId="424441F6"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Definitions and References. For the purposes of the WMP, any specific terms, acronyms and references used should be listed and defined or explained. Relevant legislation, government policies and Australian Standards which need to be complied with may also be usefully listed. All documents and records that are used in the WMP should be referenced.</w:t>
      </w:r>
    </w:p>
    <w:p w14:paraId="4FA35E65" w14:textId="77777777" w:rsidR="00BE36FB" w:rsidRPr="009B7B35" w:rsidRDefault="00BE36FB" w:rsidP="00BE36FB">
      <w:pPr>
        <w:numPr>
          <w:ilvl w:val="2"/>
          <w:numId w:val="833"/>
        </w:numPr>
        <w:rPr>
          <w:rFonts w:ascii="Arial" w:hAnsi="Arial" w:cs="Arial"/>
          <w:sz w:val="20"/>
          <w:szCs w:val="20"/>
        </w:rPr>
      </w:pPr>
      <w:r w:rsidRPr="009B7B35">
        <w:rPr>
          <w:rFonts w:ascii="Arial" w:hAnsi="Arial" w:cs="Arial"/>
          <w:sz w:val="20"/>
          <w:szCs w:val="20"/>
        </w:rPr>
        <w:t>Identification of Wastes and Associated Management and Minimisation Measures. This section of the WMP should clearly identify the types of waste generated at each development stage or use and identify the requirements for handling, collection and disposal of these wastes. This section should also address the potential for wastes to be diverted from landfill and a description of the associated measures to achieve such diversion. Matters that should be addressed in the plan include:</w:t>
      </w:r>
    </w:p>
    <w:p w14:paraId="49693556"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a description of the activities that may generate waste;</w:t>
      </w:r>
    </w:p>
    <w:p w14:paraId="64300C9E"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the types and amounts of the waste generated for each development stage or use;</w:t>
      </w:r>
    </w:p>
    <w:p w14:paraId="2260E437"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the likely impact of the waste on the environment including on the amenity of surrounding land users;</w:t>
      </w:r>
    </w:p>
    <w:p w14:paraId="7A1FCB26"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any hazardous characteristics of the waste;</w:t>
      </w:r>
    </w:p>
    <w:p w14:paraId="30C16159"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how the waste will be dealt with, including a description of the types and amounts of waste that will be dealt with under each of the waste management practices mentioned in the waste management hierarchy;</w:t>
      </w:r>
    </w:p>
    <w:p w14:paraId="05C06695"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procedures for identifying and implementing opportunities to minimise the amount of waste generated, promote efficiency in the use of resources, and otherwise improve the waste management practices employed</w:t>
      </w:r>
    </w:p>
    <w:p w14:paraId="412C0E0A"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procedures for dealing with accidents, spills and other incidents that may impact on the waste management</w:t>
      </w:r>
    </w:p>
    <w:p w14:paraId="52235A0B"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details of any accredited management system employed, or planned to be employed, to deal with the waste</w:t>
      </w:r>
    </w:p>
    <w:p w14:paraId="31422B9E"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how often the performance of the waste management practices will be assessed</w:t>
      </w:r>
    </w:p>
    <w:p w14:paraId="52901B26"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the indicators or other criteria on which the performance of the waste management practices will be assessed, and</w:t>
      </w:r>
    </w:p>
    <w:p w14:paraId="7D6E56F8" w14:textId="77777777" w:rsidR="00BE36FB" w:rsidRPr="009B7B35" w:rsidRDefault="00BE36FB" w:rsidP="00BE36FB">
      <w:pPr>
        <w:numPr>
          <w:ilvl w:val="3"/>
          <w:numId w:val="833"/>
        </w:numPr>
        <w:rPr>
          <w:rFonts w:ascii="Arial" w:hAnsi="Arial" w:cs="Arial"/>
          <w:sz w:val="20"/>
          <w:szCs w:val="20"/>
        </w:rPr>
      </w:pPr>
      <w:r w:rsidRPr="009B7B35">
        <w:rPr>
          <w:rFonts w:ascii="Arial" w:hAnsi="Arial" w:cs="Arial"/>
          <w:sz w:val="20"/>
          <w:szCs w:val="20"/>
        </w:rPr>
        <w:t>staff training on matters relevant to waste management</w:t>
      </w:r>
    </w:p>
    <w:p w14:paraId="0D0B63F4" w14:textId="77777777" w:rsidR="00BE36FB" w:rsidRPr="009B7B35" w:rsidRDefault="00BE36FB" w:rsidP="00BE36FB">
      <w:pPr>
        <w:numPr>
          <w:ilvl w:val="1"/>
          <w:numId w:val="833"/>
        </w:numPr>
        <w:rPr>
          <w:rFonts w:ascii="Arial" w:hAnsi="Arial" w:cs="Arial"/>
          <w:sz w:val="20"/>
          <w:szCs w:val="20"/>
        </w:rPr>
      </w:pPr>
      <w:r w:rsidRPr="009B7B35">
        <w:rPr>
          <w:rFonts w:ascii="Arial" w:hAnsi="Arial" w:cs="Arial"/>
          <w:sz w:val="20"/>
          <w:szCs w:val="20"/>
        </w:rPr>
        <w:t>Waste Management Plan Template. The following template (provided in Appendix 1) should be used as a guide for any Waste Management Plan being prepared in accordance with this Planning Scheme Policy.</w:t>
      </w:r>
    </w:p>
    <w:p w14:paraId="090644DC" w14:textId="77777777" w:rsidR="00BE36FB" w:rsidRPr="009B7B35" w:rsidRDefault="00BE36FB" w:rsidP="001A7107">
      <w:pPr>
        <w:rPr>
          <w:rFonts w:ascii="Arial" w:hAnsi="Arial" w:cs="Arial"/>
          <w:sz w:val="20"/>
          <w:szCs w:val="20"/>
        </w:rPr>
        <w:sectPr w:rsidR="00BE36FB" w:rsidRPr="009B7B35" w:rsidSect="001A7107">
          <w:footerReference w:type="default" r:id="rId137"/>
          <w:footerReference w:type="first" r:id="rId138"/>
          <w:pgSz w:w="11906" w:h="16838" w:code="9"/>
          <w:pgMar w:top="1418" w:right="1134" w:bottom="1418" w:left="1134" w:header="567" w:footer="567" w:gutter="284"/>
          <w:cols w:space="708"/>
          <w:docGrid w:linePitch="360"/>
        </w:sectPr>
      </w:pPr>
    </w:p>
    <w:p w14:paraId="508C6EC2" w14:textId="77777777" w:rsidR="00BE36FB" w:rsidRPr="009B7B35" w:rsidRDefault="00BE36FB" w:rsidP="001A7107">
      <w:pPr>
        <w:pStyle w:val="Appendix"/>
        <w:rPr>
          <w:rFonts w:ascii="Arial" w:hAnsi="Arial" w:cs="Arial"/>
          <w:sz w:val="20"/>
          <w:szCs w:val="20"/>
        </w:rPr>
      </w:pPr>
      <w:bookmarkStart w:id="387" w:name="_Toc205367500"/>
      <w:r w:rsidRPr="009B7B35">
        <w:rPr>
          <w:rFonts w:ascii="Arial" w:hAnsi="Arial" w:cs="Arial"/>
          <w:sz w:val="20"/>
          <w:szCs w:val="20"/>
        </w:rPr>
        <w:t>Appendix 1</w:t>
      </w:r>
      <w:r w:rsidRPr="009B7B35">
        <w:rPr>
          <w:rFonts w:ascii="Arial" w:hAnsi="Arial" w:cs="Arial"/>
          <w:sz w:val="20"/>
          <w:szCs w:val="20"/>
        </w:rPr>
        <w:tab/>
        <w:t>Waste Management Plan Template (SC6.11)</w:t>
      </w:r>
      <w:bookmarkEnd w:id="387"/>
    </w:p>
    <w:tbl>
      <w:tblPr>
        <w:tblStyle w:val="Tablestyle"/>
        <w:tblW w:w="0" w:type="auto"/>
        <w:tblLayout w:type="fixed"/>
        <w:tblLook w:val="0620" w:firstRow="1" w:lastRow="0" w:firstColumn="0" w:lastColumn="0" w:noHBand="1" w:noVBand="1"/>
      </w:tblPr>
      <w:tblGrid>
        <w:gridCol w:w="9356"/>
      </w:tblGrid>
      <w:tr w:rsidR="00BE36FB" w:rsidRPr="009B7B35" w14:paraId="2FF68D8C" w14:textId="77777777" w:rsidTr="001A7107">
        <w:trPr>
          <w:cnfStyle w:val="100000000000" w:firstRow="1" w:lastRow="0" w:firstColumn="0" w:lastColumn="0" w:oddVBand="0" w:evenVBand="0" w:oddHBand="0" w:evenHBand="0" w:firstRowFirstColumn="0" w:firstRowLastColumn="0" w:lastRowFirstColumn="0" w:lastRowLastColumn="0"/>
        </w:trPr>
        <w:tc>
          <w:tcPr>
            <w:tcW w:w="9356" w:type="dxa"/>
          </w:tcPr>
          <w:p w14:paraId="3681E337" w14:textId="77777777" w:rsidR="00BE36FB" w:rsidRPr="009B7B35" w:rsidRDefault="00BE36FB" w:rsidP="001A7107">
            <w:pPr>
              <w:pStyle w:val="TableText"/>
              <w:rPr>
                <w:rFonts w:cs="Arial"/>
              </w:rPr>
            </w:pPr>
            <w:r w:rsidRPr="009B7B35">
              <w:rPr>
                <w:rFonts w:cs="Arial"/>
                <w:lang w:val="en-US" w:eastAsia="en-US"/>
              </w:rPr>
              <w:t>Waste Management Plan</w:t>
            </w:r>
          </w:p>
        </w:tc>
      </w:tr>
      <w:tr w:rsidR="00BE36FB" w:rsidRPr="009B7B35" w14:paraId="5BDCB19D" w14:textId="77777777" w:rsidTr="001A7107">
        <w:trPr>
          <w:trHeight w:val="36"/>
        </w:trPr>
        <w:tc>
          <w:tcPr>
            <w:tcW w:w="9356" w:type="dxa"/>
            <w:shd w:val="clear" w:color="auto" w:fill="BFBFBF" w:themeFill="background1" w:themeFillShade="BF"/>
          </w:tcPr>
          <w:p w14:paraId="20A10229" w14:textId="77777777" w:rsidR="00BE36FB" w:rsidRPr="009B7B35" w:rsidRDefault="00BE36FB" w:rsidP="001A7107">
            <w:pPr>
              <w:pStyle w:val="Tableheading"/>
              <w:rPr>
                <w:rFonts w:ascii="Arial" w:hAnsi="Arial" w:cs="Arial"/>
                <w:szCs w:val="20"/>
                <w:lang w:val="en-US" w:eastAsia="en-US"/>
              </w:rPr>
            </w:pPr>
            <w:r w:rsidRPr="009B7B35">
              <w:rPr>
                <w:rFonts w:ascii="Arial" w:hAnsi="Arial" w:cs="Arial"/>
                <w:szCs w:val="20"/>
                <w:lang w:val="en-US" w:eastAsia="en-US"/>
              </w:rPr>
              <w:t>1.0 Introduction</w:t>
            </w:r>
          </w:p>
        </w:tc>
      </w:tr>
      <w:tr w:rsidR="00BE36FB" w:rsidRPr="009B7B35" w14:paraId="7E18729E" w14:textId="77777777" w:rsidTr="001A7107">
        <w:trPr>
          <w:trHeight w:val="12462"/>
        </w:trPr>
        <w:tc>
          <w:tcPr>
            <w:tcW w:w="9356" w:type="dxa"/>
          </w:tcPr>
          <w:p w14:paraId="3C96C241" w14:textId="77777777" w:rsidR="00BE36FB" w:rsidRPr="009B7B35" w:rsidRDefault="00BE36FB" w:rsidP="001A7107">
            <w:pPr>
              <w:pStyle w:val="Tablelines2"/>
              <w:rPr>
                <w:rFonts w:cs="Arial"/>
              </w:rPr>
            </w:pPr>
            <w:r w:rsidRPr="009B7B35">
              <w:rPr>
                <w:rFonts w:cs="Arial"/>
              </w:rPr>
              <w:tab/>
              <w:t>Project:</w:t>
            </w:r>
            <w:r w:rsidRPr="009B7B35">
              <w:rPr>
                <w:rFonts w:cs="Arial"/>
              </w:rPr>
              <w:tab/>
            </w:r>
          </w:p>
          <w:p w14:paraId="7EA718DE" w14:textId="77777777" w:rsidR="00BE36FB" w:rsidRPr="009B7B35" w:rsidRDefault="00BE36FB" w:rsidP="001A7107">
            <w:pPr>
              <w:pStyle w:val="Tablelines2"/>
              <w:rPr>
                <w:rFonts w:cs="Arial"/>
              </w:rPr>
            </w:pPr>
            <w:r w:rsidRPr="009B7B35">
              <w:rPr>
                <w:rFonts w:cs="Arial"/>
              </w:rPr>
              <w:tab/>
              <w:t>Site address:</w:t>
            </w:r>
            <w:r w:rsidRPr="009B7B35">
              <w:rPr>
                <w:rFonts w:cs="Arial"/>
              </w:rPr>
              <w:tab/>
            </w:r>
          </w:p>
          <w:p w14:paraId="6B71F402" w14:textId="77777777" w:rsidR="00BE36FB" w:rsidRPr="009B7B35" w:rsidRDefault="00BE36FB" w:rsidP="001A7107">
            <w:pPr>
              <w:pStyle w:val="Tablelines2"/>
              <w:rPr>
                <w:rFonts w:cs="Arial"/>
              </w:rPr>
            </w:pPr>
            <w:r w:rsidRPr="009B7B35">
              <w:rPr>
                <w:rFonts w:cs="Arial"/>
              </w:rPr>
              <w:tab/>
              <w:t>Name of applicant:</w:t>
            </w:r>
            <w:r w:rsidRPr="009B7B35">
              <w:rPr>
                <w:rFonts w:cs="Arial"/>
              </w:rPr>
              <w:tab/>
            </w:r>
          </w:p>
          <w:p w14:paraId="0DAAD835" w14:textId="77777777" w:rsidR="00BE36FB" w:rsidRPr="009B7B35" w:rsidRDefault="00BE36FB" w:rsidP="001A7107">
            <w:pPr>
              <w:pStyle w:val="Tablelines2"/>
              <w:rPr>
                <w:rFonts w:cs="Arial"/>
              </w:rPr>
            </w:pPr>
            <w:r w:rsidRPr="009B7B35">
              <w:rPr>
                <w:rFonts w:cs="Arial"/>
              </w:rPr>
              <w:tab/>
              <w:t>Address of applicant:</w:t>
            </w:r>
            <w:r w:rsidRPr="009B7B35">
              <w:rPr>
                <w:rFonts w:cs="Arial"/>
              </w:rPr>
              <w:tab/>
            </w:r>
          </w:p>
          <w:p w14:paraId="6E3516E2" w14:textId="77777777" w:rsidR="00BE36FB" w:rsidRPr="009B7B35" w:rsidRDefault="00BE36FB" w:rsidP="001A7107">
            <w:pPr>
              <w:pStyle w:val="Tablelines3"/>
              <w:rPr>
                <w:rFonts w:cs="Arial"/>
              </w:rPr>
            </w:pPr>
            <w:r w:rsidRPr="009B7B35">
              <w:rPr>
                <w:rFonts w:cs="Arial"/>
              </w:rPr>
              <w:tab/>
              <w:t xml:space="preserve">Phone: </w:t>
            </w:r>
            <w:r w:rsidRPr="009B7B35">
              <w:rPr>
                <w:rFonts w:cs="Arial"/>
              </w:rPr>
              <w:tab/>
              <w:t xml:space="preserve"> </w:t>
            </w:r>
            <w:r w:rsidRPr="009B7B35">
              <w:rPr>
                <w:rFonts w:cs="Arial"/>
              </w:rPr>
              <w:tab/>
              <w:t xml:space="preserve">Fax: </w:t>
            </w:r>
            <w:r w:rsidRPr="009B7B35">
              <w:rPr>
                <w:rFonts w:cs="Arial"/>
              </w:rPr>
              <w:tab/>
            </w:r>
          </w:p>
          <w:p w14:paraId="05BBCDB2" w14:textId="77777777" w:rsidR="00BE36FB" w:rsidRPr="009B7B35" w:rsidRDefault="00BE36FB" w:rsidP="001A7107">
            <w:pPr>
              <w:pStyle w:val="Tablelines2"/>
              <w:rPr>
                <w:rFonts w:cs="Arial"/>
              </w:rPr>
            </w:pPr>
            <w:r w:rsidRPr="009B7B35">
              <w:rPr>
                <w:rFonts w:cs="Arial"/>
              </w:rPr>
              <w:tab/>
              <w:t>Email:</w:t>
            </w:r>
            <w:r w:rsidRPr="009B7B35">
              <w:rPr>
                <w:rFonts w:cs="Arial"/>
              </w:rPr>
              <w:tab/>
            </w:r>
          </w:p>
          <w:p w14:paraId="10CEE73B" w14:textId="77777777" w:rsidR="00BE36FB" w:rsidRPr="009B7B35" w:rsidRDefault="00BE36FB" w:rsidP="001A7107">
            <w:pPr>
              <w:pStyle w:val="Tablelines"/>
              <w:rPr>
                <w:rFonts w:cs="Arial"/>
              </w:rPr>
            </w:pPr>
            <w:r w:rsidRPr="009B7B35">
              <w:rPr>
                <w:rFonts w:cs="Arial"/>
              </w:rPr>
              <w:tab/>
              <w:t>Reason for Waste Management Plan:</w:t>
            </w:r>
          </w:p>
          <w:p w14:paraId="6C89736F" w14:textId="77777777" w:rsidR="00BE36FB" w:rsidRPr="009B7B35" w:rsidRDefault="00BE36FB" w:rsidP="001A7107">
            <w:pPr>
              <w:pStyle w:val="Tablelines"/>
              <w:rPr>
                <w:rFonts w:cs="Arial"/>
              </w:rPr>
            </w:pPr>
            <w:r w:rsidRPr="009B7B35">
              <w:rPr>
                <w:rFonts w:cs="Arial"/>
              </w:rPr>
              <w:tab/>
            </w:r>
            <w:r w:rsidRPr="009B7B35">
              <w:rPr>
                <w:rFonts w:cs="Arial"/>
              </w:rPr>
              <w:tab/>
            </w:r>
          </w:p>
          <w:p w14:paraId="701E6195" w14:textId="77777777" w:rsidR="00BE36FB" w:rsidRPr="009B7B35" w:rsidRDefault="00BE36FB" w:rsidP="001A7107">
            <w:pPr>
              <w:pStyle w:val="Tablelines"/>
              <w:rPr>
                <w:rFonts w:cs="Arial"/>
              </w:rPr>
            </w:pPr>
            <w:r w:rsidRPr="009B7B35">
              <w:rPr>
                <w:rFonts w:cs="Arial"/>
              </w:rPr>
              <w:tab/>
            </w:r>
            <w:r w:rsidRPr="009B7B35">
              <w:rPr>
                <w:rFonts w:cs="Arial"/>
              </w:rPr>
              <w:tab/>
            </w:r>
          </w:p>
          <w:p w14:paraId="58927F7F" w14:textId="77777777" w:rsidR="00BE36FB" w:rsidRPr="009B7B35" w:rsidRDefault="00BE36FB" w:rsidP="001A7107">
            <w:pPr>
              <w:pStyle w:val="Tablelines"/>
              <w:rPr>
                <w:rFonts w:cs="Arial"/>
              </w:rPr>
            </w:pPr>
            <w:r w:rsidRPr="009B7B35">
              <w:rPr>
                <w:rFonts w:cs="Arial"/>
              </w:rPr>
              <w:tab/>
            </w:r>
            <w:r w:rsidRPr="009B7B35">
              <w:rPr>
                <w:rFonts w:cs="Arial"/>
              </w:rPr>
              <w:tab/>
            </w:r>
          </w:p>
          <w:p w14:paraId="07321A69" w14:textId="77777777" w:rsidR="00BE36FB" w:rsidRPr="009B7B35" w:rsidRDefault="00BE36FB" w:rsidP="001A7107">
            <w:pPr>
              <w:pStyle w:val="Tablelines"/>
              <w:rPr>
                <w:rFonts w:cs="Arial"/>
              </w:rPr>
            </w:pPr>
            <w:r w:rsidRPr="009B7B35">
              <w:rPr>
                <w:rFonts w:cs="Arial"/>
              </w:rPr>
              <w:tab/>
            </w:r>
            <w:r w:rsidRPr="009B7B35">
              <w:rPr>
                <w:rFonts w:cs="Arial"/>
              </w:rPr>
              <w:tab/>
            </w:r>
          </w:p>
          <w:p w14:paraId="282BD782" w14:textId="77777777" w:rsidR="00BE36FB" w:rsidRPr="009B7B35" w:rsidRDefault="00BE36FB" w:rsidP="001A7107">
            <w:pPr>
              <w:pStyle w:val="Tablelines"/>
              <w:rPr>
                <w:rFonts w:cs="Arial"/>
              </w:rPr>
            </w:pPr>
            <w:r w:rsidRPr="009B7B35">
              <w:rPr>
                <w:rFonts w:cs="Arial"/>
              </w:rPr>
              <w:tab/>
              <w:t>Buildings and other structures currently on the site:</w:t>
            </w:r>
          </w:p>
          <w:p w14:paraId="34F753E5" w14:textId="77777777" w:rsidR="00BE36FB" w:rsidRPr="009B7B35" w:rsidRDefault="00BE36FB" w:rsidP="001A7107">
            <w:pPr>
              <w:pStyle w:val="Tablelines"/>
              <w:rPr>
                <w:rFonts w:cs="Arial"/>
              </w:rPr>
            </w:pPr>
            <w:r w:rsidRPr="009B7B35">
              <w:rPr>
                <w:rFonts w:cs="Arial"/>
              </w:rPr>
              <w:tab/>
            </w:r>
            <w:r w:rsidRPr="009B7B35">
              <w:rPr>
                <w:rFonts w:cs="Arial"/>
              </w:rPr>
              <w:tab/>
            </w:r>
          </w:p>
          <w:p w14:paraId="0F5A3E7A" w14:textId="77777777" w:rsidR="00BE36FB" w:rsidRPr="009B7B35" w:rsidRDefault="00BE36FB" w:rsidP="001A7107">
            <w:pPr>
              <w:pStyle w:val="Tablelines"/>
              <w:rPr>
                <w:rFonts w:cs="Arial"/>
              </w:rPr>
            </w:pPr>
            <w:r w:rsidRPr="009B7B35">
              <w:rPr>
                <w:rFonts w:cs="Arial"/>
              </w:rPr>
              <w:tab/>
            </w:r>
            <w:r w:rsidRPr="009B7B35">
              <w:rPr>
                <w:rFonts w:cs="Arial"/>
              </w:rPr>
              <w:tab/>
            </w:r>
          </w:p>
          <w:p w14:paraId="141B9056" w14:textId="77777777" w:rsidR="00BE36FB" w:rsidRPr="009B7B35" w:rsidRDefault="00BE36FB" w:rsidP="001A7107">
            <w:pPr>
              <w:pStyle w:val="Tablelines"/>
              <w:rPr>
                <w:rFonts w:cs="Arial"/>
              </w:rPr>
            </w:pPr>
            <w:r w:rsidRPr="009B7B35">
              <w:rPr>
                <w:rFonts w:cs="Arial"/>
              </w:rPr>
              <w:tab/>
            </w:r>
            <w:r w:rsidRPr="009B7B35">
              <w:rPr>
                <w:rFonts w:cs="Arial"/>
              </w:rPr>
              <w:tab/>
            </w:r>
          </w:p>
          <w:p w14:paraId="007CE7B2" w14:textId="77777777" w:rsidR="00BE36FB" w:rsidRPr="009B7B35" w:rsidRDefault="00BE36FB" w:rsidP="001A7107">
            <w:pPr>
              <w:pStyle w:val="Tablelines"/>
              <w:rPr>
                <w:rFonts w:cs="Arial"/>
              </w:rPr>
            </w:pPr>
            <w:r w:rsidRPr="009B7B35">
              <w:rPr>
                <w:rFonts w:cs="Arial"/>
              </w:rPr>
              <w:tab/>
            </w:r>
            <w:r w:rsidRPr="009B7B35">
              <w:rPr>
                <w:rFonts w:cs="Arial"/>
              </w:rPr>
              <w:tab/>
            </w:r>
          </w:p>
          <w:p w14:paraId="52D150D5" w14:textId="77777777" w:rsidR="00BE36FB" w:rsidRPr="009B7B35" w:rsidRDefault="00BE36FB" w:rsidP="001A7107">
            <w:pPr>
              <w:pStyle w:val="Tablelines"/>
              <w:rPr>
                <w:rFonts w:cs="Arial"/>
              </w:rPr>
            </w:pPr>
            <w:r w:rsidRPr="009B7B35">
              <w:rPr>
                <w:rFonts w:cs="Arial"/>
              </w:rPr>
              <w:tab/>
            </w:r>
            <w:r w:rsidRPr="009B7B35">
              <w:rPr>
                <w:rFonts w:cs="Arial"/>
              </w:rPr>
              <w:tab/>
            </w:r>
          </w:p>
          <w:p w14:paraId="4316EBEC" w14:textId="77777777" w:rsidR="00BE36FB" w:rsidRPr="009B7B35" w:rsidRDefault="00BE36FB" w:rsidP="001A7107">
            <w:pPr>
              <w:pStyle w:val="Tablelines"/>
              <w:rPr>
                <w:rFonts w:cs="Arial"/>
              </w:rPr>
            </w:pPr>
            <w:r w:rsidRPr="009B7B35">
              <w:rPr>
                <w:rFonts w:cs="Arial"/>
              </w:rPr>
              <w:tab/>
              <w:t>Brief description of the proposal:</w:t>
            </w:r>
          </w:p>
          <w:p w14:paraId="61659B4B" w14:textId="77777777" w:rsidR="00BE36FB" w:rsidRPr="009B7B35" w:rsidRDefault="00BE36FB" w:rsidP="001A7107">
            <w:pPr>
              <w:pStyle w:val="Tablelines"/>
              <w:rPr>
                <w:rFonts w:cs="Arial"/>
              </w:rPr>
            </w:pPr>
            <w:r w:rsidRPr="009B7B35">
              <w:rPr>
                <w:rFonts w:cs="Arial"/>
              </w:rPr>
              <w:tab/>
            </w:r>
            <w:r w:rsidRPr="009B7B35">
              <w:rPr>
                <w:rFonts w:cs="Arial"/>
              </w:rPr>
              <w:tab/>
            </w:r>
          </w:p>
          <w:p w14:paraId="12036EEE" w14:textId="77777777" w:rsidR="00BE36FB" w:rsidRPr="009B7B35" w:rsidRDefault="00BE36FB" w:rsidP="001A7107">
            <w:pPr>
              <w:pStyle w:val="Tablelines"/>
              <w:rPr>
                <w:rFonts w:cs="Arial"/>
              </w:rPr>
            </w:pPr>
            <w:r w:rsidRPr="009B7B35">
              <w:rPr>
                <w:rFonts w:cs="Arial"/>
              </w:rPr>
              <w:tab/>
            </w:r>
            <w:r w:rsidRPr="009B7B35">
              <w:rPr>
                <w:rFonts w:cs="Arial"/>
              </w:rPr>
              <w:tab/>
            </w:r>
          </w:p>
          <w:p w14:paraId="28C35C68" w14:textId="77777777" w:rsidR="00BE36FB" w:rsidRPr="009B7B35" w:rsidRDefault="00BE36FB" w:rsidP="001A7107">
            <w:pPr>
              <w:pStyle w:val="Tablelines"/>
              <w:rPr>
                <w:rFonts w:cs="Arial"/>
              </w:rPr>
            </w:pPr>
            <w:r w:rsidRPr="009B7B35">
              <w:rPr>
                <w:rFonts w:cs="Arial"/>
              </w:rPr>
              <w:tab/>
            </w:r>
            <w:r w:rsidRPr="009B7B35">
              <w:rPr>
                <w:rFonts w:cs="Arial"/>
              </w:rPr>
              <w:tab/>
            </w:r>
          </w:p>
          <w:p w14:paraId="69BCC13E" w14:textId="77777777" w:rsidR="00BE36FB" w:rsidRPr="009B7B35" w:rsidRDefault="00BE36FB" w:rsidP="001A7107">
            <w:pPr>
              <w:pStyle w:val="Tablelines"/>
              <w:rPr>
                <w:rFonts w:cs="Arial"/>
              </w:rPr>
            </w:pPr>
            <w:r w:rsidRPr="009B7B35">
              <w:rPr>
                <w:rFonts w:cs="Arial"/>
              </w:rPr>
              <w:tab/>
            </w:r>
            <w:r w:rsidRPr="009B7B35">
              <w:rPr>
                <w:rFonts w:cs="Arial"/>
              </w:rPr>
              <w:tab/>
            </w:r>
          </w:p>
          <w:p w14:paraId="094E61F6" w14:textId="77777777" w:rsidR="00BE36FB" w:rsidRPr="009B7B35" w:rsidRDefault="00BE36FB" w:rsidP="001A7107">
            <w:pPr>
              <w:pStyle w:val="Tablelines"/>
              <w:rPr>
                <w:rFonts w:cs="Arial"/>
              </w:rPr>
            </w:pPr>
            <w:r w:rsidRPr="009B7B35">
              <w:rPr>
                <w:rFonts w:cs="Arial"/>
              </w:rPr>
              <w:tab/>
            </w:r>
            <w:r w:rsidRPr="009B7B35">
              <w:rPr>
                <w:rFonts w:cs="Arial"/>
              </w:rPr>
              <w:tab/>
            </w:r>
          </w:p>
          <w:p w14:paraId="1F10C634" w14:textId="77777777" w:rsidR="00BE36FB" w:rsidRPr="009B7B35" w:rsidRDefault="00BE36FB" w:rsidP="001A7107">
            <w:pPr>
              <w:pStyle w:val="Tablelines"/>
              <w:rPr>
                <w:rFonts w:cs="Arial"/>
              </w:rPr>
            </w:pPr>
            <w:r w:rsidRPr="009B7B35">
              <w:rPr>
                <w:rFonts w:cs="Arial"/>
              </w:rPr>
              <w:tab/>
              <w:t>I confirm that the details provided on this form are the intentions for managing waste relating to</w:t>
            </w:r>
            <w:r w:rsidRPr="009B7B35">
              <w:rPr>
                <w:rFonts w:cs="Arial"/>
              </w:rPr>
              <w:br/>
            </w:r>
            <w:r w:rsidRPr="009B7B35">
              <w:rPr>
                <w:rFonts w:cs="Arial"/>
              </w:rPr>
              <w:tab/>
              <w:t>this use/development.</w:t>
            </w:r>
            <w:r w:rsidRPr="009B7B35">
              <w:rPr>
                <w:rFonts w:cs="Arial"/>
              </w:rPr>
              <w:br/>
            </w:r>
          </w:p>
          <w:p w14:paraId="61907655" w14:textId="77777777" w:rsidR="00BE36FB" w:rsidRPr="009B7B35" w:rsidRDefault="00BE36FB" w:rsidP="001A7107">
            <w:pPr>
              <w:pStyle w:val="Tablelines3"/>
              <w:rPr>
                <w:rFonts w:cs="Arial"/>
              </w:rPr>
            </w:pPr>
            <w:r w:rsidRPr="009B7B35">
              <w:rPr>
                <w:rFonts w:cs="Arial"/>
              </w:rPr>
              <w:tab/>
              <w:t>Signature of applicant:</w:t>
            </w:r>
            <w:r w:rsidRPr="009B7B35">
              <w:rPr>
                <w:rFonts w:cs="Arial"/>
              </w:rPr>
              <w:tab/>
            </w:r>
            <w:r w:rsidRPr="009B7B35">
              <w:rPr>
                <w:rFonts w:cs="Arial"/>
              </w:rPr>
              <w:tab/>
              <w:t xml:space="preserve">Date: </w:t>
            </w:r>
            <w:r w:rsidRPr="009B7B35">
              <w:rPr>
                <w:rFonts w:cs="Arial"/>
              </w:rPr>
              <w:tab/>
            </w:r>
          </w:p>
        </w:tc>
      </w:tr>
    </w:tbl>
    <w:p w14:paraId="0AF20C24" w14:textId="77777777" w:rsidR="00BE36FB" w:rsidRPr="009B7B35" w:rsidRDefault="00BE36FB">
      <w:pPr>
        <w:rPr>
          <w:rFonts w:ascii="Arial" w:hAnsi="Arial" w:cs="Arial"/>
          <w:sz w:val="20"/>
          <w:szCs w:val="20"/>
        </w:rPr>
      </w:pPr>
    </w:p>
    <w:tbl>
      <w:tblPr>
        <w:tblStyle w:val="Tablestyle"/>
        <w:tblW w:w="9356" w:type="dxa"/>
        <w:tblLayout w:type="fixed"/>
        <w:tblLook w:val="0620" w:firstRow="1" w:lastRow="0" w:firstColumn="0" w:lastColumn="0" w:noHBand="1" w:noVBand="1"/>
      </w:tblPr>
      <w:tblGrid>
        <w:gridCol w:w="9356"/>
      </w:tblGrid>
      <w:tr w:rsidR="00BE36FB" w:rsidRPr="009B7B35" w14:paraId="5F2C3D42" w14:textId="77777777" w:rsidTr="001A7107">
        <w:trPr>
          <w:cnfStyle w:val="100000000000" w:firstRow="1" w:lastRow="0" w:firstColumn="0" w:lastColumn="0" w:oddVBand="0" w:evenVBand="0" w:oddHBand="0" w:evenHBand="0" w:firstRowFirstColumn="0" w:firstRowLastColumn="0" w:lastRowFirstColumn="0" w:lastRowLastColumn="0"/>
        </w:trPr>
        <w:tc>
          <w:tcPr>
            <w:tcW w:w="9356" w:type="dxa"/>
            <w:shd w:val="clear" w:color="auto" w:fill="BFBFBF" w:themeFill="background1" w:themeFillShade="BF"/>
          </w:tcPr>
          <w:p w14:paraId="02C8748F" w14:textId="77777777" w:rsidR="00BE36FB" w:rsidRPr="009B7B35" w:rsidRDefault="00BE36FB" w:rsidP="001A7107">
            <w:pPr>
              <w:pStyle w:val="Tableheading"/>
              <w:rPr>
                <w:rFonts w:ascii="Arial" w:hAnsi="Arial" w:cs="Arial"/>
                <w:szCs w:val="20"/>
              </w:rPr>
            </w:pPr>
            <w:r w:rsidRPr="009B7B35">
              <w:rPr>
                <w:rFonts w:ascii="Arial" w:hAnsi="Arial" w:cs="Arial"/>
                <w:szCs w:val="20"/>
              </w:rPr>
              <w:t>2.0 Aim of waste management plan</w:t>
            </w:r>
          </w:p>
        </w:tc>
      </w:tr>
      <w:tr w:rsidR="00BE36FB" w:rsidRPr="009B7B35" w14:paraId="4B76697F" w14:textId="77777777" w:rsidTr="001A7107">
        <w:trPr>
          <w:trHeight w:val="4352"/>
        </w:trPr>
        <w:tc>
          <w:tcPr>
            <w:tcW w:w="9356" w:type="dxa"/>
          </w:tcPr>
          <w:p w14:paraId="3F36E65E" w14:textId="77777777" w:rsidR="00BE36FB" w:rsidRPr="009B7B35" w:rsidRDefault="00BE36FB" w:rsidP="001A7107">
            <w:pPr>
              <w:pStyle w:val="Tablelines"/>
              <w:rPr>
                <w:rFonts w:cs="Arial"/>
              </w:rPr>
            </w:pPr>
            <w:r w:rsidRPr="009B7B35">
              <w:rPr>
                <w:rFonts w:cs="Arial"/>
              </w:rPr>
              <w:tab/>
              <w:t>Description of framework for practically addressing and monitoring waste generated:</w:t>
            </w:r>
          </w:p>
          <w:p w14:paraId="38308961" w14:textId="77777777" w:rsidR="00BE36FB" w:rsidRPr="009B7B35" w:rsidRDefault="00BE36FB" w:rsidP="001A7107">
            <w:pPr>
              <w:pStyle w:val="Tablelines"/>
              <w:rPr>
                <w:rFonts w:cs="Arial"/>
              </w:rPr>
            </w:pPr>
            <w:r w:rsidRPr="009B7B35">
              <w:rPr>
                <w:rFonts w:cs="Arial"/>
              </w:rPr>
              <w:tab/>
            </w:r>
            <w:r w:rsidRPr="009B7B35">
              <w:rPr>
                <w:rFonts w:cs="Arial"/>
              </w:rPr>
              <w:tab/>
            </w:r>
          </w:p>
          <w:p w14:paraId="391310ED" w14:textId="77777777" w:rsidR="00BE36FB" w:rsidRPr="009B7B35" w:rsidRDefault="00BE36FB" w:rsidP="001A7107">
            <w:pPr>
              <w:pStyle w:val="Tablelines"/>
              <w:rPr>
                <w:rFonts w:cs="Arial"/>
              </w:rPr>
            </w:pPr>
            <w:r w:rsidRPr="009B7B35">
              <w:rPr>
                <w:rFonts w:cs="Arial"/>
              </w:rPr>
              <w:tab/>
            </w:r>
            <w:r w:rsidRPr="009B7B35">
              <w:rPr>
                <w:rFonts w:cs="Arial"/>
              </w:rPr>
              <w:tab/>
            </w:r>
          </w:p>
          <w:p w14:paraId="2B7D20E7" w14:textId="77777777" w:rsidR="00BE36FB" w:rsidRPr="009B7B35" w:rsidRDefault="00BE36FB" w:rsidP="001A7107">
            <w:pPr>
              <w:pStyle w:val="Tablelines"/>
              <w:rPr>
                <w:rFonts w:cs="Arial"/>
              </w:rPr>
            </w:pPr>
            <w:r w:rsidRPr="009B7B35">
              <w:rPr>
                <w:rFonts w:cs="Arial"/>
              </w:rPr>
              <w:tab/>
            </w:r>
            <w:r w:rsidRPr="009B7B35">
              <w:rPr>
                <w:rFonts w:cs="Arial"/>
              </w:rPr>
              <w:tab/>
            </w:r>
          </w:p>
          <w:p w14:paraId="7A63F85C" w14:textId="77777777" w:rsidR="00BE36FB" w:rsidRPr="009B7B35" w:rsidRDefault="00BE36FB" w:rsidP="001A7107">
            <w:pPr>
              <w:pStyle w:val="Tablelines"/>
              <w:rPr>
                <w:rFonts w:cs="Arial"/>
              </w:rPr>
            </w:pPr>
            <w:r w:rsidRPr="009B7B35">
              <w:rPr>
                <w:rFonts w:cs="Arial"/>
              </w:rPr>
              <w:tab/>
            </w:r>
            <w:r w:rsidRPr="009B7B35">
              <w:rPr>
                <w:rFonts w:cs="Arial"/>
              </w:rPr>
              <w:tab/>
            </w:r>
          </w:p>
          <w:p w14:paraId="683BD555" w14:textId="77777777" w:rsidR="00BE36FB" w:rsidRPr="009B7B35" w:rsidRDefault="00BE36FB" w:rsidP="001A7107">
            <w:pPr>
              <w:pStyle w:val="Tablelines"/>
              <w:rPr>
                <w:rFonts w:cs="Arial"/>
              </w:rPr>
            </w:pPr>
            <w:r w:rsidRPr="009B7B35">
              <w:rPr>
                <w:rFonts w:cs="Arial"/>
              </w:rPr>
              <w:tab/>
            </w:r>
            <w:r w:rsidRPr="009B7B35">
              <w:rPr>
                <w:rFonts w:cs="Arial"/>
              </w:rPr>
              <w:tab/>
            </w:r>
          </w:p>
          <w:p w14:paraId="5A741E14" w14:textId="77777777" w:rsidR="00BE36FB" w:rsidRPr="009B7B35" w:rsidRDefault="00BE36FB" w:rsidP="001A7107">
            <w:pPr>
              <w:pStyle w:val="Tablelines"/>
              <w:rPr>
                <w:rFonts w:cs="Arial"/>
              </w:rPr>
            </w:pPr>
            <w:r w:rsidRPr="009B7B35">
              <w:rPr>
                <w:rFonts w:cs="Arial"/>
              </w:rPr>
              <w:tab/>
            </w:r>
            <w:r w:rsidRPr="009B7B35">
              <w:rPr>
                <w:rFonts w:cs="Arial"/>
              </w:rPr>
              <w:tab/>
            </w:r>
          </w:p>
          <w:p w14:paraId="33B2DD4D" w14:textId="77777777" w:rsidR="00BE36FB" w:rsidRPr="009B7B35" w:rsidRDefault="00BE36FB" w:rsidP="001A7107">
            <w:pPr>
              <w:pStyle w:val="Tablelines"/>
              <w:rPr>
                <w:rFonts w:cs="Arial"/>
              </w:rPr>
            </w:pPr>
            <w:r w:rsidRPr="009B7B35">
              <w:rPr>
                <w:rFonts w:cs="Arial"/>
              </w:rPr>
              <w:tab/>
            </w:r>
            <w:r w:rsidRPr="009B7B35">
              <w:rPr>
                <w:rFonts w:cs="Arial"/>
              </w:rPr>
              <w:tab/>
            </w:r>
          </w:p>
          <w:p w14:paraId="6FE0AC5C" w14:textId="77777777" w:rsidR="00BE36FB" w:rsidRPr="009B7B35" w:rsidRDefault="00BE36FB" w:rsidP="001A7107">
            <w:pPr>
              <w:pStyle w:val="Tablelines"/>
              <w:rPr>
                <w:rFonts w:cs="Arial"/>
              </w:rPr>
            </w:pPr>
            <w:r w:rsidRPr="009B7B35">
              <w:rPr>
                <w:rFonts w:cs="Arial"/>
              </w:rPr>
              <w:tab/>
            </w:r>
            <w:r w:rsidRPr="009B7B35">
              <w:rPr>
                <w:rFonts w:cs="Arial"/>
              </w:rPr>
              <w:tab/>
            </w:r>
          </w:p>
          <w:p w14:paraId="19413A03" w14:textId="77777777" w:rsidR="00BE36FB" w:rsidRPr="009B7B35" w:rsidRDefault="00BE36FB" w:rsidP="001A7107">
            <w:pPr>
              <w:pStyle w:val="Tablelines"/>
              <w:rPr>
                <w:rFonts w:cs="Arial"/>
              </w:rPr>
            </w:pPr>
            <w:r w:rsidRPr="009B7B35">
              <w:rPr>
                <w:rFonts w:cs="Arial"/>
              </w:rPr>
              <w:tab/>
              <w:t xml:space="preserve">Description of how works or operations will be undertaken in an environmentally responsible </w:t>
            </w:r>
            <w:r w:rsidRPr="009B7B35">
              <w:rPr>
                <w:rFonts w:cs="Arial"/>
              </w:rPr>
              <w:br/>
            </w:r>
            <w:r w:rsidRPr="009B7B35">
              <w:rPr>
                <w:rFonts w:cs="Arial"/>
              </w:rPr>
              <w:tab/>
              <w:t>manner:</w:t>
            </w:r>
          </w:p>
          <w:p w14:paraId="765B50D7" w14:textId="77777777" w:rsidR="00BE36FB" w:rsidRPr="009B7B35" w:rsidRDefault="00BE36FB" w:rsidP="001A7107">
            <w:pPr>
              <w:pStyle w:val="Tablelines"/>
              <w:rPr>
                <w:rFonts w:cs="Arial"/>
              </w:rPr>
            </w:pPr>
            <w:r w:rsidRPr="009B7B35">
              <w:rPr>
                <w:rFonts w:cs="Arial"/>
              </w:rPr>
              <w:tab/>
            </w:r>
            <w:r w:rsidRPr="009B7B35">
              <w:rPr>
                <w:rFonts w:cs="Arial"/>
              </w:rPr>
              <w:tab/>
            </w:r>
          </w:p>
          <w:p w14:paraId="28393A73" w14:textId="77777777" w:rsidR="00BE36FB" w:rsidRPr="009B7B35" w:rsidRDefault="00BE36FB" w:rsidP="001A7107">
            <w:pPr>
              <w:pStyle w:val="Tablelines"/>
              <w:rPr>
                <w:rFonts w:cs="Arial"/>
              </w:rPr>
            </w:pPr>
            <w:r w:rsidRPr="009B7B35">
              <w:rPr>
                <w:rFonts w:cs="Arial"/>
              </w:rPr>
              <w:tab/>
            </w:r>
            <w:r w:rsidRPr="009B7B35">
              <w:rPr>
                <w:rFonts w:cs="Arial"/>
              </w:rPr>
              <w:tab/>
            </w:r>
          </w:p>
          <w:p w14:paraId="36840872" w14:textId="77777777" w:rsidR="00BE36FB" w:rsidRPr="009B7B35" w:rsidRDefault="00BE36FB" w:rsidP="001A7107">
            <w:pPr>
              <w:pStyle w:val="Tablelines"/>
              <w:rPr>
                <w:rFonts w:cs="Arial"/>
              </w:rPr>
            </w:pPr>
            <w:r w:rsidRPr="009B7B35">
              <w:rPr>
                <w:rFonts w:cs="Arial"/>
              </w:rPr>
              <w:tab/>
            </w:r>
            <w:r w:rsidRPr="009B7B35">
              <w:rPr>
                <w:rFonts w:cs="Arial"/>
              </w:rPr>
              <w:tab/>
            </w:r>
          </w:p>
          <w:p w14:paraId="0244DFE0" w14:textId="77777777" w:rsidR="00BE36FB" w:rsidRPr="009B7B35" w:rsidRDefault="00BE36FB" w:rsidP="001A7107">
            <w:pPr>
              <w:pStyle w:val="Tablelines"/>
              <w:rPr>
                <w:rFonts w:cs="Arial"/>
              </w:rPr>
            </w:pPr>
            <w:r w:rsidRPr="009B7B35">
              <w:rPr>
                <w:rFonts w:cs="Arial"/>
              </w:rPr>
              <w:tab/>
            </w:r>
            <w:r w:rsidRPr="009B7B35">
              <w:rPr>
                <w:rFonts w:cs="Arial"/>
              </w:rPr>
              <w:tab/>
            </w:r>
          </w:p>
          <w:p w14:paraId="274D3B6A" w14:textId="77777777" w:rsidR="00BE36FB" w:rsidRPr="009B7B35" w:rsidRDefault="00BE36FB" w:rsidP="001A7107">
            <w:pPr>
              <w:pStyle w:val="Tablelines"/>
              <w:rPr>
                <w:rFonts w:cs="Arial"/>
              </w:rPr>
            </w:pPr>
            <w:r w:rsidRPr="009B7B35">
              <w:rPr>
                <w:rFonts w:cs="Arial"/>
              </w:rPr>
              <w:tab/>
            </w:r>
            <w:r w:rsidRPr="009B7B35">
              <w:rPr>
                <w:rFonts w:cs="Arial"/>
              </w:rPr>
              <w:tab/>
            </w:r>
          </w:p>
          <w:p w14:paraId="58ED1D56" w14:textId="77777777" w:rsidR="00BE36FB" w:rsidRPr="009B7B35" w:rsidRDefault="00BE36FB" w:rsidP="001A7107">
            <w:pPr>
              <w:pStyle w:val="Tablelines"/>
              <w:rPr>
                <w:rFonts w:cs="Arial"/>
              </w:rPr>
            </w:pPr>
            <w:r w:rsidRPr="009B7B35">
              <w:rPr>
                <w:rFonts w:cs="Arial"/>
              </w:rPr>
              <w:tab/>
            </w:r>
            <w:r w:rsidRPr="009B7B35">
              <w:rPr>
                <w:rFonts w:cs="Arial"/>
              </w:rPr>
              <w:tab/>
            </w:r>
          </w:p>
          <w:p w14:paraId="1B8B5631" w14:textId="77777777" w:rsidR="00BE36FB" w:rsidRPr="009B7B35" w:rsidRDefault="00BE36FB" w:rsidP="001A7107">
            <w:pPr>
              <w:pStyle w:val="Tablelines"/>
              <w:rPr>
                <w:rFonts w:cs="Arial"/>
              </w:rPr>
            </w:pPr>
            <w:r w:rsidRPr="009B7B35">
              <w:rPr>
                <w:rFonts w:cs="Arial"/>
              </w:rPr>
              <w:tab/>
            </w:r>
            <w:r w:rsidRPr="009B7B35">
              <w:rPr>
                <w:rFonts w:cs="Arial"/>
              </w:rPr>
              <w:tab/>
            </w:r>
          </w:p>
        </w:tc>
      </w:tr>
      <w:tr w:rsidR="00BE36FB" w:rsidRPr="009B7B35" w14:paraId="330C5D9B" w14:textId="77777777" w:rsidTr="001A7107">
        <w:trPr>
          <w:trHeight w:val="36"/>
        </w:trPr>
        <w:tc>
          <w:tcPr>
            <w:tcW w:w="9356" w:type="dxa"/>
            <w:shd w:val="clear" w:color="auto" w:fill="BFBFBF" w:themeFill="background1" w:themeFillShade="BF"/>
          </w:tcPr>
          <w:p w14:paraId="18BA02DB" w14:textId="77777777" w:rsidR="00BE36FB" w:rsidRPr="009B7B35" w:rsidRDefault="00BE36FB" w:rsidP="001A7107">
            <w:pPr>
              <w:pStyle w:val="Tableheading"/>
              <w:rPr>
                <w:rFonts w:ascii="Arial" w:hAnsi="Arial" w:cs="Arial"/>
                <w:szCs w:val="20"/>
              </w:rPr>
            </w:pPr>
            <w:r w:rsidRPr="009B7B35">
              <w:rPr>
                <w:rFonts w:ascii="Arial" w:hAnsi="Arial" w:cs="Arial"/>
                <w:szCs w:val="20"/>
              </w:rPr>
              <w:t>3.0 Definitions and references</w:t>
            </w:r>
          </w:p>
        </w:tc>
      </w:tr>
      <w:tr w:rsidR="00BE36FB" w:rsidRPr="009B7B35" w14:paraId="7F0C1630" w14:textId="77777777" w:rsidTr="001A7107">
        <w:trPr>
          <w:trHeight w:val="3200"/>
        </w:trPr>
        <w:tc>
          <w:tcPr>
            <w:tcW w:w="9356" w:type="dxa"/>
          </w:tcPr>
          <w:p w14:paraId="7C6FD92C" w14:textId="77777777" w:rsidR="00BE36FB" w:rsidRPr="009B7B35" w:rsidRDefault="00BE36FB" w:rsidP="001A7107">
            <w:pPr>
              <w:pStyle w:val="Tablelines"/>
              <w:rPr>
                <w:rFonts w:cs="Arial"/>
              </w:rPr>
            </w:pPr>
            <w:r w:rsidRPr="009B7B35">
              <w:rPr>
                <w:rFonts w:cs="Arial"/>
              </w:rPr>
              <w:tab/>
              <w:t xml:space="preserve">Any specific terms acronyms and references used should be listed and defined or explained. </w:t>
            </w:r>
            <w:r w:rsidRPr="009B7B35">
              <w:rPr>
                <w:rFonts w:cs="Arial"/>
              </w:rPr>
              <w:br/>
            </w:r>
            <w:r w:rsidRPr="009B7B35">
              <w:rPr>
                <w:rFonts w:cs="Arial"/>
              </w:rPr>
              <w:tab/>
              <w:t>All documents, records and legislation, policies or standards should also be referenced.</w:t>
            </w:r>
          </w:p>
          <w:p w14:paraId="69EB7354" w14:textId="77777777" w:rsidR="00BE36FB" w:rsidRPr="009B7B35" w:rsidRDefault="00BE36FB" w:rsidP="001A7107">
            <w:pPr>
              <w:pStyle w:val="Tablelines"/>
              <w:rPr>
                <w:rFonts w:cs="Arial"/>
              </w:rPr>
            </w:pPr>
            <w:r w:rsidRPr="009B7B35">
              <w:rPr>
                <w:rFonts w:cs="Arial"/>
              </w:rPr>
              <w:tab/>
            </w:r>
            <w:r w:rsidRPr="009B7B35">
              <w:rPr>
                <w:rFonts w:cs="Arial"/>
              </w:rPr>
              <w:tab/>
            </w:r>
          </w:p>
          <w:p w14:paraId="08B45195" w14:textId="77777777" w:rsidR="00BE36FB" w:rsidRPr="009B7B35" w:rsidRDefault="00BE36FB" w:rsidP="001A7107">
            <w:pPr>
              <w:pStyle w:val="Tablelines"/>
              <w:rPr>
                <w:rFonts w:cs="Arial"/>
              </w:rPr>
            </w:pPr>
            <w:r w:rsidRPr="009B7B35">
              <w:rPr>
                <w:rFonts w:cs="Arial"/>
              </w:rPr>
              <w:tab/>
            </w:r>
            <w:r w:rsidRPr="009B7B35">
              <w:rPr>
                <w:rFonts w:cs="Arial"/>
              </w:rPr>
              <w:tab/>
            </w:r>
          </w:p>
          <w:p w14:paraId="08AA8278" w14:textId="77777777" w:rsidR="00BE36FB" w:rsidRPr="009B7B35" w:rsidRDefault="00BE36FB" w:rsidP="001A7107">
            <w:pPr>
              <w:pStyle w:val="Tablelines"/>
              <w:rPr>
                <w:rFonts w:cs="Arial"/>
              </w:rPr>
            </w:pPr>
            <w:r w:rsidRPr="009B7B35">
              <w:rPr>
                <w:rFonts w:cs="Arial"/>
              </w:rPr>
              <w:tab/>
            </w:r>
            <w:r w:rsidRPr="009B7B35">
              <w:rPr>
                <w:rFonts w:cs="Arial"/>
              </w:rPr>
              <w:tab/>
            </w:r>
          </w:p>
          <w:p w14:paraId="105BF80F" w14:textId="77777777" w:rsidR="00BE36FB" w:rsidRPr="009B7B35" w:rsidRDefault="00BE36FB" w:rsidP="001A7107">
            <w:pPr>
              <w:pStyle w:val="Tablelines"/>
              <w:rPr>
                <w:rFonts w:cs="Arial"/>
              </w:rPr>
            </w:pPr>
            <w:r w:rsidRPr="009B7B35">
              <w:rPr>
                <w:rFonts w:cs="Arial"/>
              </w:rPr>
              <w:tab/>
            </w:r>
            <w:r w:rsidRPr="009B7B35">
              <w:rPr>
                <w:rFonts w:cs="Arial"/>
              </w:rPr>
              <w:tab/>
            </w:r>
          </w:p>
          <w:p w14:paraId="33480F59" w14:textId="77777777" w:rsidR="00BE36FB" w:rsidRPr="009B7B35" w:rsidRDefault="00BE36FB" w:rsidP="001A7107">
            <w:pPr>
              <w:pStyle w:val="Tablelines"/>
              <w:rPr>
                <w:rFonts w:cs="Arial"/>
              </w:rPr>
            </w:pPr>
            <w:r w:rsidRPr="009B7B35">
              <w:rPr>
                <w:rFonts w:cs="Arial"/>
              </w:rPr>
              <w:tab/>
            </w:r>
            <w:r w:rsidRPr="009B7B35">
              <w:rPr>
                <w:rFonts w:cs="Arial"/>
              </w:rPr>
              <w:tab/>
            </w:r>
          </w:p>
          <w:p w14:paraId="6E819023" w14:textId="77777777" w:rsidR="00BE36FB" w:rsidRPr="009B7B35" w:rsidRDefault="00BE36FB" w:rsidP="001A7107">
            <w:pPr>
              <w:pStyle w:val="Tablelines"/>
              <w:rPr>
                <w:rFonts w:cs="Arial"/>
              </w:rPr>
            </w:pPr>
            <w:r w:rsidRPr="009B7B35">
              <w:rPr>
                <w:rFonts w:cs="Arial"/>
              </w:rPr>
              <w:tab/>
            </w:r>
            <w:r w:rsidRPr="009B7B35">
              <w:rPr>
                <w:rFonts w:cs="Arial"/>
              </w:rPr>
              <w:tab/>
            </w:r>
          </w:p>
          <w:p w14:paraId="7B838180" w14:textId="77777777" w:rsidR="00BE36FB" w:rsidRPr="009B7B35" w:rsidRDefault="00BE36FB" w:rsidP="001A7107">
            <w:pPr>
              <w:pStyle w:val="Tablelines"/>
              <w:rPr>
                <w:rFonts w:cs="Arial"/>
              </w:rPr>
            </w:pPr>
            <w:r w:rsidRPr="009B7B35">
              <w:rPr>
                <w:rFonts w:cs="Arial"/>
              </w:rPr>
              <w:tab/>
            </w:r>
            <w:r w:rsidRPr="009B7B35">
              <w:rPr>
                <w:rFonts w:cs="Arial"/>
              </w:rPr>
              <w:tab/>
            </w:r>
          </w:p>
        </w:tc>
      </w:tr>
    </w:tbl>
    <w:p w14:paraId="0DBC3809" w14:textId="77777777" w:rsidR="00BE36FB" w:rsidRPr="009B7B35" w:rsidRDefault="00BE36FB">
      <w:pPr>
        <w:rPr>
          <w:rFonts w:ascii="Arial" w:hAnsi="Arial" w:cs="Arial"/>
          <w:sz w:val="20"/>
          <w:szCs w:val="20"/>
        </w:rPr>
      </w:pPr>
    </w:p>
    <w:p w14:paraId="08BE69D8" w14:textId="77777777" w:rsidR="00BE36FB" w:rsidRPr="009B7B35" w:rsidRDefault="00BE36FB">
      <w:pPr>
        <w:rPr>
          <w:rFonts w:ascii="Arial" w:hAnsi="Arial" w:cs="Arial"/>
          <w:sz w:val="20"/>
          <w:szCs w:val="20"/>
        </w:rPr>
      </w:pPr>
    </w:p>
    <w:tbl>
      <w:tblPr>
        <w:tblStyle w:val="Tablestyle"/>
        <w:tblW w:w="9356" w:type="dxa"/>
        <w:tblLayout w:type="fixed"/>
        <w:tblLook w:val="0000" w:firstRow="0" w:lastRow="0" w:firstColumn="0" w:lastColumn="0" w:noHBand="0" w:noVBand="0"/>
      </w:tblPr>
      <w:tblGrid>
        <w:gridCol w:w="9356"/>
      </w:tblGrid>
      <w:tr w:rsidR="00BE36FB" w:rsidRPr="009B7B35" w14:paraId="73E7CA67" w14:textId="77777777" w:rsidTr="001A710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356" w:type="dxa"/>
            <w:shd w:val="clear" w:color="auto" w:fill="BFBFBF" w:themeFill="background1" w:themeFillShade="BF"/>
          </w:tcPr>
          <w:p w14:paraId="0BEF3C45" w14:textId="77777777" w:rsidR="00BE36FB" w:rsidRPr="009B7B35" w:rsidRDefault="00BE36FB" w:rsidP="001A7107">
            <w:pPr>
              <w:pStyle w:val="Tableheading"/>
              <w:rPr>
                <w:rFonts w:ascii="Arial" w:hAnsi="Arial" w:cs="Arial"/>
                <w:szCs w:val="20"/>
              </w:rPr>
            </w:pPr>
            <w:r w:rsidRPr="009B7B35">
              <w:rPr>
                <w:rFonts w:ascii="Arial" w:hAnsi="Arial" w:cs="Arial"/>
                <w:szCs w:val="20"/>
              </w:rPr>
              <w:t>4.0 Identification of wastes and associated management and minimisation measures</w:t>
            </w:r>
          </w:p>
        </w:tc>
      </w:tr>
      <w:tr w:rsidR="00BE36FB" w:rsidRPr="009B7B35" w14:paraId="00669CBA" w14:textId="77777777" w:rsidTr="001A7107">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356" w:type="dxa"/>
          </w:tcPr>
          <w:p w14:paraId="1E4CB91F" w14:textId="77777777" w:rsidR="00BE36FB" w:rsidRPr="009B7B35" w:rsidRDefault="00BE36FB" w:rsidP="001A7107">
            <w:pPr>
              <w:pStyle w:val="Tableheading"/>
              <w:rPr>
                <w:rFonts w:ascii="Arial" w:hAnsi="Arial" w:cs="Arial"/>
                <w:szCs w:val="20"/>
              </w:rPr>
            </w:pPr>
            <w:r w:rsidRPr="009B7B35">
              <w:rPr>
                <w:rFonts w:ascii="Arial" w:hAnsi="Arial" w:cs="Arial"/>
                <w:szCs w:val="20"/>
              </w:rPr>
              <w:t>Section one: Demolition of premises</w:t>
            </w:r>
          </w:p>
        </w:tc>
      </w:tr>
      <w:tr w:rsidR="00BE36FB" w:rsidRPr="009B7B35" w14:paraId="5264E7F3" w14:textId="77777777" w:rsidTr="001A7107">
        <w:trPr>
          <w:cnfStyle w:val="000000100000" w:firstRow="0" w:lastRow="0" w:firstColumn="0" w:lastColumn="0" w:oddVBand="0" w:evenVBand="0" w:oddHBand="1" w:evenHBand="0" w:firstRowFirstColumn="0" w:firstRowLastColumn="0" w:lastRowFirstColumn="0" w:lastRowLastColumn="0"/>
          <w:trHeight w:val="3115"/>
        </w:trPr>
        <w:tc>
          <w:tcPr>
            <w:cnfStyle w:val="000010000000" w:firstRow="0" w:lastRow="0" w:firstColumn="0" w:lastColumn="0" w:oddVBand="1" w:evenVBand="0" w:oddHBand="0" w:evenHBand="0" w:firstRowFirstColumn="0" w:firstRowLastColumn="0" w:lastRowFirstColumn="0" w:lastRowLastColumn="0"/>
            <w:tcW w:w="9356" w:type="dxa"/>
          </w:tcPr>
          <w:p w14:paraId="7B974377" w14:textId="77777777" w:rsidR="00BE36FB" w:rsidRPr="009B7B35" w:rsidRDefault="00BE36FB" w:rsidP="001A7107">
            <w:pPr>
              <w:pStyle w:val="Tablelines"/>
              <w:rPr>
                <w:rFonts w:cs="Arial"/>
              </w:rPr>
            </w:pPr>
            <w:r w:rsidRPr="009B7B35">
              <w:rPr>
                <w:rFonts w:cs="Arial"/>
              </w:rPr>
              <w:tab/>
              <w:t>Description of activities that may generate waste:</w:t>
            </w:r>
          </w:p>
          <w:p w14:paraId="75041966" w14:textId="77777777" w:rsidR="00BE36FB" w:rsidRPr="009B7B35" w:rsidRDefault="00BE36FB" w:rsidP="001A7107">
            <w:pPr>
              <w:pStyle w:val="Tablelines"/>
              <w:rPr>
                <w:rFonts w:cs="Arial"/>
              </w:rPr>
            </w:pPr>
            <w:r w:rsidRPr="009B7B35">
              <w:rPr>
                <w:rFonts w:cs="Arial"/>
              </w:rPr>
              <w:tab/>
            </w:r>
            <w:r w:rsidRPr="009B7B35">
              <w:rPr>
                <w:rFonts w:cs="Arial"/>
              </w:rPr>
              <w:tab/>
            </w:r>
          </w:p>
          <w:p w14:paraId="394F5F4F" w14:textId="77777777" w:rsidR="00BE36FB" w:rsidRPr="009B7B35" w:rsidRDefault="00BE36FB" w:rsidP="001A7107">
            <w:pPr>
              <w:pStyle w:val="Tablelines"/>
              <w:rPr>
                <w:rFonts w:cs="Arial"/>
              </w:rPr>
            </w:pPr>
            <w:r w:rsidRPr="009B7B35">
              <w:rPr>
                <w:rFonts w:cs="Arial"/>
              </w:rPr>
              <w:tab/>
            </w:r>
            <w:r w:rsidRPr="009B7B35">
              <w:rPr>
                <w:rFonts w:cs="Arial"/>
              </w:rPr>
              <w:tab/>
            </w:r>
          </w:p>
          <w:p w14:paraId="350819EA" w14:textId="77777777" w:rsidR="00BE36FB" w:rsidRPr="009B7B35" w:rsidRDefault="00BE36FB" w:rsidP="001A7107">
            <w:pPr>
              <w:pStyle w:val="Tablelines"/>
              <w:rPr>
                <w:rFonts w:cs="Arial"/>
              </w:rPr>
            </w:pPr>
            <w:r w:rsidRPr="009B7B35">
              <w:rPr>
                <w:rFonts w:cs="Arial"/>
              </w:rPr>
              <w:tab/>
            </w:r>
            <w:r w:rsidRPr="009B7B35">
              <w:rPr>
                <w:rFonts w:cs="Arial"/>
              </w:rPr>
              <w:tab/>
            </w:r>
          </w:p>
          <w:p w14:paraId="12D6F30A" w14:textId="77777777" w:rsidR="00BE36FB" w:rsidRPr="009B7B35" w:rsidRDefault="00BE36FB" w:rsidP="001A7107">
            <w:pPr>
              <w:pStyle w:val="Tablelines"/>
              <w:rPr>
                <w:rFonts w:cs="Arial"/>
              </w:rPr>
            </w:pPr>
            <w:r w:rsidRPr="009B7B35">
              <w:rPr>
                <w:rFonts w:cs="Arial"/>
              </w:rPr>
              <w:tab/>
            </w:r>
            <w:r w:rsidRPr="009B7B35">
              <w:rPr>
                <w:rFonts w:cs="Arial"/>
              </w:rPr>
              <w:tab/>
            </w:r>
          </w:p>
          <w:p w14:paraId="5B366F9E" w14:textId="77777777" w:rsidR="00BE36FB" w:rsidRPr="009B7B35" w:rsidRDefault="00BE36FB" w:rsidP="001A7107">
            <w:pPr>
              <w:pStyle w:val="Tablelines"/>
              <w:rPr>
                <w:rFonts w:cs="Arial"/>
              </w:rPr>
            </w:pPr>
            <w:r w:rsidRPr="009B7B35">
              <w:rPr>
                <w:rFonts w:cs="Arial"/>
              </w:rPr>
              <w:tab/>
            </w:r>
            <w:r w:rsidRPr="009B7B35">
              <w:rPr>
                <w:rFonts w:cs="Arial"/>
              </w:rPr>
              <w:tab/>
            </w:r>
          </w:p>
        </w:tc>
      </w:tr>
      <w:tr w:rsidR="00BE36FB" w:rsidRPr="009B7B35" w14:paraId="54797BE6" w14:textId="77777777" w:rsidTr="001A7107">
        <w:trPr>
          <w:cnfStyle w:val="000000010000" w:firstRow="0" w:lastRow="0" w:firstColumn="0" w:lastColumn="0" w:oddVBand="0" w:evenVBand="0" w:oddHBand="0" w:evenHBand="1" w:firstRowFirstColumn="0" w:firstRowLastColumn="0" w:lastRowFirstColumn="0" w:lastRowLastColumn="0"/>
          <w:trHeight w:val="36"/>
        </w:trPr>
        <w:tc>
          <w:tcPr>
            <w:cnfStyle w:val="000010000000" w:firstRow="0" w:lastRow="0" w:firstColumn="0" w:lastColumn="0" w:oddVBand="1" w:evenVBand="0" w:oddHBand="0" w:evenHBand="0" w:firstRowFirstColumn="0" w:firstRowLastColumn="0" w:lastRowFirstColumn="0" w:lastRowLastColumn="0"/>
            <w:tcW w:w="9356" w:type="dxa"/>
            <w:shd w:val="clear" w:color="auto" w:fill="auto"/>
          </w:tcPr>
          <w:p w14:paraId="0423302B" w14:textId="77777777" w:rsidR="00BE36FB" w:rsidRPr="009B7B35" w:rsidRDefault="00BE36FB" w:rsidP="001A7107">
            <w:pPr>
              <w:pStyle w:val="Tableheading"/>
              <w:rPr>
                <w:rFonts w:ascii="Arial" w:hAnsi="Arial" w:cs="Arial"/>
                <w:szCs w:val="20"/>
              </w:rPr>
            </w:pPr>
            <w:r w:rsidRPr="009B7B35">
              <w:rPr>
                <w:rFonts w:ascii="Arial" w:hAnsi="Arial" w:cs="Arial"/>
                <w:szCs w:val="20"/>
              </w:rPr>
              <w:t>Types and amounts of waste generated</w:t>
            </w:r>
          </w:p>
          <w:p w14:paraId="54FBA1C2"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Refer to </w:t>
            </w:r>
            <w:r w:rsidRPr="009B7B35">
              <w:rPr>
                <w:rFonts w:ascii="Arial" w:eastAsia="Times New Roman" w:hAnsi="Arial" w:cs="Arial"/>
                <w:szCs w:val="20"/>
              </w:rPr>
              <w:t>Table 1—Details of waste management: Demolition phase</w:t>
            </w:r>
          </w:p>
        </w:tc>
      </w:tr>
      <w:tr w:rsidR="00BE36FB" w:rsidRPr="009B7B35" w14:paraId="4D515EBA" w14:textId="77777777" w:rsidTr="001A7107">
        <w:trPr>
          <w:cnfStyle w:val="000000100000" w:firstRow="0" w:lastRow="0" w:firstColumn="0" w:lastColumn="0" w:oddVBand="0" w:evenVBand="0" w:oddHBand="1" w:evenHBand="0" w:firstRowFirstColumn="0" w:firstRowLastColumn="0" w:lastRowFirstColumn="0" w:lastRowLastColumn="0"/>
          <w:trHeight w:val="8810"/>
        </w:trPr>
        <w:tc>
          <w:tcPr>
            <w:cnfStyle w:val="000010000000" w:firstRow="0" w:lastRow="0" w:firstColumn="0" w:lastColumn="0" w:oddVBand="1" w:evenVBand="0" w:oddHBand="0" w:evenHBand="0" w:firstRowFirstColumn="0" w:firstRowLastColumn="0" w:lastRowFirstColumn="0" w:lastRowLastColumn="0"/>
            <w:tcW w:w="9356" w:type="dxa"/>
          </w:tcPr>
          <w:p w14:paraId="5392FA06" w14:textId="77777777" w:rsidR="00BE36FB" w:rsidRPr="009B7B35" w:rsidRDefault="00BE36FB" w:rsidP="001A7107">
            <w:pPr>
              <w:pStyle w:val="Tablelines"/>
              <w:rPr>
                <w:rFonts w:cs="Arial"/>
              </w:rPr>
            </w:pPr>
            <w:r w:rsidRPr="009B7B35">
              <w:rPr>
                <w:rFonts w:cs="Arial"/>
              </w:rPr>
              <w:tab/>
              <w:t>Identification of requirements for handling of wastes:</w:t>
            </w:r>
          </w:p>
          <w:p w14:paraId="488E9F5B" w14:textId="77777777" w:rsidR="00BE36FB" w:rsidRPr="009B7B35" w:rsidRDefault="00BE36FB" w:rsidP="001A7107">
            <w:pPr>
              <w:pStyle w:val="Tablelines"/>
              <w:rPr>
                <w:rFonts w:cs="Arial"/>
              </w:rPr>
            </w:pPr>
            <w:r w:rsidRPr="009B7B35">
              <w:rPr>
                <w:rFonts w:cs="Arial"/>
              </w:rPr>
              <w:tab/>
            </w:r>
            <w:r w:rsidRPr="009B7B35">
              <w:rPr>
                <w:rFonts w:cs="Arial"/>
              </w:rPr>
              <w:tab/>
            </w:r>
          </w:p>
          <w:p w14:paraId="22844478" w14:textId="77777777" w:rsidR="00BE36FB" w:rsidRPr="009B7B35" w:rsidRDefault="00BE36FB" w:rsidP="001A7107">
            <w:pPr>
              <w:pStyle w:val="Tablelines"/>
              <w:rPr>
                <w:rFonts w:cs="Arial"/>
              </w:rPr>
            </w:pPr>
            <w:r w:rsidRPr="009B7B35">
              <w:rPr>
                <w:rFonts w:cs="Arial"/>
              </w:rPr>
              <w:tab/>
            </w:r>
            <w:r w:rsidRPr="009B7B35">
              <w:rPr>
                <w:rFonts w:cs="Arial"/>
              </w:rPr>
              <w:tab/>
            </w:r>
          </w:p>
          <w:p w14:paraId="47438456" w14:textId="77777777" w:rsidR="00BE36FB" w:rsidRPr="009B7B35" w:rsidRDefault="00BE36FB" w:rsidP="001A7107">
            <w:pPr>
              <w:pStyle w:val="Tablelines"/>
              <w:rPr>
                <w:rFonts w:cs="Arial"/>
              </w:rPr>
            </w:pPr>
            <w:r w:rsidRPr="009B7B35">
              <w:rPr>
                <w:rFonts w:cs="Arial"/>
              </w:rPr>
              <w:tab/>
            </w:r>
            <w:r w:rsidRPr="009B7B35">
              <w:rPr>
                <w:rFonts w:cs="Arial"/>
              </w:rPr>
              <w:tab/>
            </w:r>
          </w:p>
          <w:p w14:paraId="0438C1CB" w14:textId="77777777" w:rsidR="00BE36FB" w:rsidRPr="009B7B35" w:rsidRDefault="00BE36FB" w:rsidP="001A7107">
            <w:pPr>
              <w:pStyle w:val="Tablelines"/>
              <w:rPr>
                <w:rFonts w:cs="Arial"/>
              </w:rPr>
            </w:pPr>
            <w:r w:rsidRPr="009B7B35">
              <w:rPr>
                <w:rFonts w:cs="Arial"/>
              </w:rPr>
              <w:tab/>
            </w:r>
            <w:r w:rsidRPr="009B7B35">
              <w:rPr>
                <w:rFonts w:cs="Arial"/>
              </w:rPr>
              <w:tab/>
            </w:r>
          </w:p>
          <w:p w14:paraId="106F4777" w14:textId="77777777" w:rsidR="00BE36FB" w:rsidRPr="009B7B35" w:rsidRDefault="00BE36FB" w:rsidP="001A7107">
            <w:pPr>
              <w:pStyle w:val="Tablelines"/>
              <w:rPr>
                <w:rFonts w:cs="Arial"/>
              </w:rPr>
            </w:pPr>
            <w:r w:rsidRPr="009B7B35">
              <w:rPr>
                <w:rFonts w:cs="Arial"/>
                <w:lang w:val="en-AU"/>
              </w:rPr>
              <w:tab/>
            </w:r>
            <w:r w:rsidRPr="009B7B35">
              <w:rPr>
                <w:rFonts w:cs="Arial"/>
                <w:lang w:val="en-AU"/>
              </w:rPr>
              <w:tab/>
            </w:r>
          </w:p>
          <w:p w14:paraId="181554FC" w14:textId="77777777" w:rsidR="00BE36FB" w:rsidRPr="009B7B35" w:rsidRDefault="00BE36FB" w:rsidP="001A7107">
            <w:pPr>
              <w:pStyle w:val="Tablelines"/>
              <w:rPr>
                <w:rFonts w:cs="Arial"/>
              </w:rPr>
            </w:pPr>
            <w:r w:rsidRPr="009B7B35">
              <w:rPr>
                <w:rFonts w:cs="Arial"/>
              </w:rPr>
              <w:tab/>
              <w:t>Identification of requirements for collection of wastes:</w:t>
            </w:r>
          </w:p>
          <w:p w14:paraId="0569F63B" w14:textId="77777777" w:rsidR="00BE36FB" w:rsidRPr="009B7B35" w:rsidRDefault="00BE36FB" w:rsidP="001A7107">
            <w:pPr>
              <w:pStyle w:val="Tablelines"/>
              <w:rPr>
                <w:rFonts w:cs="Arial"/>
              </w:rPr>
            </w:pPr>
            <w:r w:rsidRPr="009B7B35">
              <w:rPr>
                <w:rFonts w:cs="Arial"/>
              </w:rPr>
              <w:tab/>
            </w:r>
            <w:r w:rsidRPr="009B7B35">
              <w:rPr>
                <w:rFonts w:cs="Arial"/>
              </w:rPr>
              <w:tab/>
            </w:r>
          </w:p>
          <w:p w14:paraId="4D17EF21" w14:textId="77777777" w:rsidR="00BE36FB" w:rsidRPr="009B7B35" w:rsidRDefault="00BE36FB" w:rsidP="001A7107">
            <w:pPr>
              <w:pStyle w:val="Tablelines"/>
              <w:rPr>
                <w:rFonts w:cs="Arial"/>
              </w:rPr>
            </w:pPr>
            <w:r w:rsidRPr="009B7B35">
              <w:rPr>
                <w:rFonts w:cs="Arial"/>
              </w:rPr>
              <w:tab/>
            </w:r>
            <w:r w:rsidRPr="009B7B35">
              <w:rPr>
                <w:rFonts w:cs="Arial"/>
              </w:rPr>
              <w:tab/>
            </w:r>
          </w:p>
          <w:p w14:paraId="2A3D9995" w14:textId="77777777" w:rsidR="00BE36FB" w:rsidRPr="009B7B35" w:rsidRDefault="00BE36FB" w:rsidP="001A7107">
            <w:pPr>
              <w:pStyle w:val="Tablelines"/>
              <w:rPr>
                <w:rFonts w:cs="Arial"/>
              </w:rPr>
            </w:pPr>
            <w:r w:rsidRPr="009B7B35">
              <w:rPr>
                <w:rFonts w:cs="Arial"/>
              </w:rPr>
              <w:tab/>
            </w:r>
            <w:r w:rsidRPr="009B7B35">
              <w:rPr>
                <w:rFonts w:cs="Arial"/>
              </w:rPr>
              <w:tab/>
            </w:r>
          </w:p>
          <w:p w14:paraId="1839C5BE" w14:textId="77777777" w:rsidR="00BE36FB" w:rsidRPr="009B7B35" w:rsidRDefault="00BE36FB" w:rsidP="001A7107">
            <w:pPr>
              <w:pStyle w:val="Tablelines"/>
              <w:rPr>
                <w:rFonts w:cs="Arial"/>
              </w:rPr>
            </w:pPr>
            <w:r w:rsidRPr="009B7B35">
              <w:rPr>
                <w:rFonts w:cs="Arial"/>
              </w:rPr>
              <w:tab/>
            </w:r>
            <w:r w:rsidRPr="009B7B35">
              <w:rPr>
                <w:rFonts w:cs="Arial"/>
              </w:rPr>
              <w:tab/>
            </w:r>
          </w:p>
          <w:p w14:paraId="7B63D0FA" w14:textId="77777777" w:rsidR="00BE36FB" w:rsidRPr="009B7B35" w:rsidRDefault="00BE36FB" w:rsidP="001A7107">
            <w:pPr>
              <w:pStyle w:val="Tablelines"/>
              <w:rPr>
                <w:rFonts w:cs="Arial"/>
              </w:rPr>
            </w:pPr>
            <w:r w:rsidRPr="009B7B35">
              <w:rPr>
                <w:rFonts w:cs="Arial"/>
                <w:lang w:val="en-AU"/>
              </w:rPr>
              <w:tab/>
            </w:r>
            <w:r w:rsidRPr="009B7B35">
              <w:rPr>
                <w:rFonts w:cs="Arial"/>
                <w:lang w:val="en-AU"/>
              </w:rPr>
              <w:tab/>
            </w:r>
          </w:p>
          <w:p w14:paraId="3F55078C" w14:textId="77777777" w:rsidR="00BE36FB" w:rsidRPr="009B7B35" w:rsidRDefault="00BE36FB" w:rsidP="001A7107">
            <w:pPr>
              <w:pStyle w:val="Tablelines"/>
              <w:rPr>
                <w:rFonts w:cs="Arial"/>
              </w:rPr>
            </w:pPr>
            <w:r w:rsidRPr="009B7B35">
              <w:rPr>
                <w:rFonts w:cs="Arial"/>
              </w:rPr>
              <w:tab/>
              <w:t>Identification of requirements for disposal of wastes:</w:t>
            </w:r>
          </w:p>
          <w:p w14:paraId="3C0F6219" w14:textId="77777777" w:rsidR="00BE36FB" w:rsidRPr="009B7B35" w:rsidRDefault="00BE36FB" w:rsidP="001A7107">
            <w:pPr>
              <w:pStyle w:val="Tablelines"/>
              <w:rPr>
                <w:rFonts w:cs="Arial"/>
              </w:rPr>
            </w:pPr>
            <w:r w:rsidRPr="009B7B35">
              <w:rPr>
                <w:rFonts w:cs="Arial"/>
              </w:rPr>
              <w:tab/>
            </w:r>
            <w:r w:rsidRPr="009B7B35">
              <w:rPr>
                <w:rFonts w:cs="Arial"/>
              </w:rPr>
              <w:tab/>
            </w:r>
          </w:p>
          <w:p w14:paraId="35332390" w14:textId="77777777" w:rsidR="00BE36FB" w:rsidRPr="009B7B35" w:rsidRDefault="00BE36FB" w:rsidP="001A7107">
            <w:pPr>
              <w:pStyle w:val="Tablelines"/>
              <w:rPr>
                <w:rFonts w:cs="Arial"/>
              </w:rPr>
            </w:pPr>
            <w:r w:rsidRPr="009B7B35">
              <w:rPr>
                <w:rFonts w:cs="Arial"/>
              </w:rPr>
              <w:tab/>
            </w:r>
            <w:r w:rsidRPr="009B7B35">
              <w:rPr>
                <w:rFonts w:cs="Arial"/>
              </w:rPr>
              <w:tab/>
            </w:r>
          </w:p>
          <w:p w14:paraId="05E813EC" w14:textId="77777777" w:rsidR="00BE36FB" w:rsidRPr="009B7B35" w:rsidRDefault="00BE36FB" w:rsidP="001A7107">
            <w:pPr>
              <w:pStyle w:val="Tablelines"/>
              <w:rPr>
                <w:rFonts w:cs="Arial"/>
              </w:rPr>
            </w:pPr>
            <w:r w:rsidRPr="009B7B35">
              <w:rPr>
                <w:rFonts w:cs="Arial"/>
              </w:rPr>
              <w:tab/>
            </w:r>
            <w:r w:rsidRPr="009B7B35">
              <w:rPr>
                <w:rFonts w:cs="Arial"/>
              </w:rPr>
              <w:tab/>
            </w:r>
          </w:p>
          <w:p w14:paraId="3350F896" w14:textId="77777777" w:rsidR="00BE36FB" w:rsidRPr="009B7B35" w:rsidRDefault="00BE36FB" w:rsidP="001A7107">
            <w:pPr>
              <w:pStyle w:val="Tablelines"/>
              <w:rPr>
                <w:rFonts w:cs="Arial"/>
              </w:rPr>
            </w:pPr>
            <w:r w:rsidRPr="009B7B35">
              <w:rPr>
                <w:rFonts w:cs="Arial"/>
              </w:rPr>
              <w:tab/>
            </w:r>
            <w:r w:rsidRPr="009B7B35">
              <w:rPr>
                <w:rFonts w:cs="Arial"/>
              </w:rPr>
              <w:tab/>
            </w:r>
          </w:p>
          <w:p w14:paraId="445D60A4" w14:textId="77777777" w:rsidR="00BE36FB" w:rsidRPr="009B7B35" w:rsidRDefault="00BE36FB" w:rsidP="001A7107">
            <w:pPr>
              <w:pStyle w:val="Tablelines"/>
              <w:rPr>
                <w:rFonts w:cs="Arial"/>
                <w:lang w:val="en-AU"/>
              </w:rPr>
            </w:pPr>
            <w:r w:rsidRPr="009B7B35">
              <w:rPr>
                <w:rFonts w:cs="Arial"/>
                <w:lang w:val="en-AU"/>
              </w:rPr>
              <w:tab/>
            </w:r>
            <w:r w:rsidRPr="009B7B35">
              <w:rPr>
                <w:rFonts w:cs="Arial"/>
                <w:lang w:val="en-AU"/>
              </w:rPr>
              <w:tab/>
            </w:r>
          </w:p>
        </w:tc>
      </w:tr>
    </w:tbl>
    <w:p w14:paraId="45ABD5AB" w14:textId="77777777" w:rsidR="00BE36FB" w:rsidRPr="009B7B35" w:rsidRDefault="00BE36FB">
      <w:pPr>
        <w:rPr>
          <w:rFonts w:ascii="Arial" w:hAnsi="Arial" w:cs="Arial"/>
          <w:sz w:val="20"/>
          <w:szCs w:val="20"/>
        </w:rPr>
      </w:pPr>
      <w:r w:rsidRPr="009B7B35">
        <w:rPr>
          <w:rFonts w:ascii="Arial" w:hAnsi="Arial" w:cs="Arial"/>
          <w:sz w:val="20"/>
          <w:szCs w:val="20"/>
        </w:rPr>
        <w:br w:type="page"/>
      </w:r>
    </w:p>
    <w:tbl>
      <w:tblPr>
        <w:tblStyle w:val="Tablestyle"/>
        <w:tblW w:w="9356" w:type="dxa"/>
        <w:tblLayout w:type="fixed"/>
        <w:tblLook w:val="0600" w:firstRow="0" w:lastRow="0" w:firstColumn="0" w:lastColumn="0" w:noHBand="1" w:noVBand="1"/>
      </w:tblPr>
      <w:tblGrid>
        <w:gridCol w:w="9356"/>
      </w:tblGrid>
      <w:tr w:rsidR="00BE36FB" w:rsidRPr="009B7B35" w14:paraId="0925EF63" w14:textId="77777777" w:rsidTr="001A7107">
        <w:tc>
          <w:tcPr>
            <w:tcW w:w="9356" w:type="dxa"/>
            <w:shd w:val="clear" w:color="auto" w:fill="FFFFFF" w:themeFill="background1"/>
          </w:tcPr>
          <w:p w14:paraId="6C30E1A0" w14:textId="77777777" w:rsidR="00BE36FB" w:rsidRPr="009B7B35" w:rsidRDefault="00BE36FB" w:rsidP="001A7107">
            <w:pPr>
              <w:pStyle w:val="Tablelines"/>
              <w:rPr>
                <w:rFonts w:cs="Arial"/>
              </w:rPr>
            </w:pPr>
            <w:r w:rsidRPr="009B7B35">
              <w:rPr>
                <w:rFonts w:cs="Arial"/>
              </w:rPr>
              <w:tab/>
              <w:t>Identification of procedures for dealing with potential accidents, spills or other incidents:</w:t>
            </w:r>
          </w:p>
          <w:p w14:paraId="2A4CB588" w14:textId="77777777" w:rsidR="00BE36FB" w:rsidRPr="009B7B35" w:rsidRDefault="00BE36FB" w:rsidP="001A7107">
            <w:pPr>
              <w:pStyle w:val="Tablelines"/>
              <w:rPr>
                <w:rFonts w:cs="Arial"/>
              </w:rPr>
            </w:pPr>
            <w:r w:rsidRPr="009B7B35">
              <w:rPr>
                <w:rFonts w:cs="Arial"/>
              </w:rPr>
              <w:tab/>
            </w:r>
            <w:r w:rsidRPr="009B7B35">
              <w:rPr>
                <w:rFonts w:cs="Arial"/>
              </w:rPr>
              <w:tab/>
            </w:r>
          </w:p>
          <w:p w14:paraId="5BDCE65D" w14:textId="77777777" w:rsidR="00BE36FB" w:rsidRPr="009B7B35" w:rsidRDefault="00BE36FB" w:rsidP="001A7107">
            <w:pPr>
              <w:pStyle w:val="Tablelines"/>
              <w:rPr>
                <w:rFonts w:cs="Arial"/>
              </w:rPr>
            </w:pPr>
            <w:r w:rsidRPr="009B7B35">
              <w:rPr>
                <w:rFonts w:cs="Arial"/>
              </w:rPr>
              <w:tab/>
            </w:r>
            <w:r w:rsidRPr="009B7B35">
              <w:rPr>
                <w:rFonts w:cs="Arial"/>
              </w:rPr>
              <w:tab/>
            </w:r>
          </w:p>
          <w:p w14:paraId="447E7452" w14:textId="77777777" w:rsidR="00BE36FB" w:rsidRPr="009B7B35" w:rsidRDefault="00BE36FB" w:rsidP="001A7107">
            <w:pPr>
              <w:pStyle w:val="Tablelines"/>
              <w:rPr>
                <w:rFonts w:cs="Arial"/>
              </w:rPr>
            </w:pPr>
            <w:r w:rsidRPr="009B7B35">
              <w:rPr>
                <w:rFonts w:cs="Arial"/>
              </w:rPr>
              <w:tab/>
            </w:r>
            <w:r w:rsidRPr="009B7B35">
              <w:rPr>
                <w:rFonts w:cs="Arial"/>
              </w:rPr>
              <w:tab/>
            </w:r>
          </w:p>
          <w:p w14:paraId="42415544" w14:textId="77777777" w:rsidR="00BE36FB" w:rsidRPr="009B7B35" w:rsidRDefault="00BE36FB" w:rsidP="001A7107">
            <w:pPr>
              <w:pStyle w:val="Tablelines"/>
              <w:rPr>
                <w:rFonts w:cs="Arial"/>
              </w:rPr>
            </w:pPr>
            <w:r w:rsidRPr="009B7B35">
              <w:rPr>
                <w:rFonts w:cs="Arial"/>
              </w:rPr>
              <w:tab/>
            </w:r>
            <w:r w:rsidRPr="009B7B35">
              <w:rPr>
                <w:rFonts w:cs="Arial"/>
              </w:rPr>
              <w:tab/>
            </w:r>
          </w:p>
          <w:p w14:paraId="5F70E59F" w14:textId="77777777" w:rsidR="00BE36FB" w:rsidRPr="009B7B35" w:rsidRDefault="00BE36FB" w:rsidP="001A7107">
            <w:pPr>
              <w:pStyle w:val="Tablelines"/>
              <w:rPr>
                <w:rFonts w:cs="Arial"/>
              </w:rPr>
            </w:pPr>
            <w:r w:rsidRPr="009B7B35">
              <w:rPr>
                <w:rFonts w:cs="Arial"/>
                <w:lang w:val="en-AU"/>
              </w:rPr>
              <w:tab/>
            </w:r>
            <w:r w:rsidRPr="009B7B35">
              <w:rPr>
                <w:rFonts w:cs="Arial"/>
                <w:lang w:val="en-AU"/>
              </w:rPr>
              <w:tab/>
            </w:r>
          </w:p>
        </w:tc>
      </w:tr>
      <w:tr w:rsidR="00BE36FB" w:rsidRPr="009B7B35" w14:paraId="0E6AAD4D" w14:textId="77777777" w:rsidTr="001A7107">
        <w:tc>
          <w:tcPr>
            <w:tcW w:w="9356" w:type="dxa"/>
          </w:tcPr>
          <w:p w14:paraId="0F5D6EA7" w14:textId="77777777" w:rsidR="00BE36FB" w:rsidRPr="009B7B35" w:rsidRDefault="00BE36FB" w:rsidP="001A7107">
            <w:pPr>
              <w:pStyle w:val="Tableheading"/>
              <w:rPr>
                <w:rFonts w:ascii="Arial" w:hAnsi="Arial" w:cs="Arial"/>
                <w:szCs w:val="20"/>
              </w:rPr>
            </w:pPr>
            <w:r w:rsidRPr="009B7B35">
              <w:rPr>
                <w:rFonts w:ascii="Arial" w:hAnsi="Arial" w:cs="Arial"/>
                <w:szCs w:val="20"/>
              </w:rPr>
              <w:t>Waste diversion from landfill</w:t>
            </w:r>
          </w:p>
        </w:tc>
      </w:tr>
      <w:tr w:rsidR="00BE36FB" w:rsidRPr="009B7B35" w14:paraId="4243BA06" w14:textId="77777777" w:rsidTr="001A7107">
        <w:trPr>
          <w:trHeight w:val="36"/>
        </w:trPr>
        <w:tc>
          <w:tcPr>
            <w:tcW w:w="9356" w:type="dxa"/>
          </w:tcPr>
          <w:p w14:paraId="2D871207" w14:textId="77777777" w:rsidR="00BE36FB" w:rsidRPr="009B7B35" w:rsidRDefault="00BE36FB" w:rsidP="001A7107">
            <w:pPr>
              <w:pStyle w:val="Tablelines"/>
              <w:rPr>
                <w:rFonts w:cs="Arial"/>
              </w:rPr>
            </w:pPr>
            <w:r w:rsidRPr="009B7B35">
              <w:rPr>
                <w:rFonts w:cs="Arial"/>
              </w:rPr>
              <w:tab/>
              <w:t xml:space="preserve">Identify any procedures for identifying and implementing opportunities to minimise the amount of </w:t>
            </w:r>
            <w:r w:rsidRPr="009B7B35">
              <w:rPr>
                <w:rFonts w:cs="Arial"/>
              </w:rPr>
              <w:tab/>
              <w:t xml:space="preserve">waste generated, promote efficiency in the use of resources, and otherwise improve the waste </w:t>
            </w:r>
            <w:r w:rsidRPr="009B7B35">
              <w:rPr>
                <w:rFonts w:cs="Arial"/>
              </w:rPr>
              <w:tab/>
              <w:t>management practices employed:</w:t>
            </w:r>
          </w:p>
          <w:p w14:paraId="31CB7315" w14:textId="77777777" w:rsidR="00BE36FB" w:rsidRPr="009B7B35" w:rsidRDefault="00BE36FB" w:rsidP="001A7107">
            <w:pPr>
              <w:pStyle w:val="Tablelines"/>
              <w:rPr>
                <w:rFonts w:cs="Arial"/>
              </w:rPr>
            </w:pPr>
            <w:r w:rsidRPr="009B7B35">
              <w:rPr>
                <w:rFonts w:cs="Arial"/>
              </w:rPr>
              <w:tab/>
            </w:r>
            <w:r w:rsidRPr="009B7B35">
              <w:rPr>
                <w:rFonts w:cs="Arial"/>
              </w:rPr>
              <w:tab/>
            </w:r>
          </w:p>
          <w:p w14:paraId="650AAC9E" w14:textId="77777777" w:rsidR="00BE36FB" w:rsidRPr="009B7B35" w:rsidRDefault="00BE36FB" w:rsidP="001A7107">
            <w:pPr>
              <w:pStyle w:val="Tablelines"/>
              <w:rPr>
                <w:rFonts w:cs="Arial"/>
              </w:rPr>
            </w:pPr>
            <w:r w:rsidRPr="009B7B35">
              <w:rPr>
                <w:rFonts w:cs="Arial"/>
              </w:rPr>
              <w:tab/>
            </w:r>
            <w:r w:rsidRPr="009B7B35">
              <w:rPr>
                <w:rFonts w:cs="Arial"/>
              </w:rPr>
              <w:tab/>
            </w:r>
          </w:p>
          <w:p w14:paraId="658D07E2" w14:textId="77777777" w:rsidR="00BE36FB" w:rsidRPr="009B7B35" w:rsidRDefault="00BE36FB" w:rsidP="001A7107">
            <w:pPr>
              <w:pStyle w:val="Tablelines"/>
              <w:rPr>
                <w:rFonts w:cs="Arial"/>
              </w:rPr>
            </w:pPr>
            <w:r w:rsidRPr="009B7B35">
              <w:rPr>
                <w:rFonts w:cs="Arial"/>
              </w:rPr>
              <w:tab/>
            </w:r>
            <w:r w:rsidRPr="009B7B35">
              <w:rPr>
                <w:rFonts w:cs="Arial"/>
              </w:rPr>
              <w:tab/>
            </w:r>
          </w:p>
          <w:p w14:paraId="6E7444D0" w14:textId="77777777" w:rsidR="00BE36FB" w:rsidRPr="009B7B35" w:rsidRDefault="00BE36FB" w:rsidP="001A7107">
            <w:pPr>
              <w:pStyle w:val="Tablelines"/>
              <w:rPr>
                <w:rFonts w:cs="Arial"/>
              </w:rPr>
            </w:pPr>
            <w:r w:rsidRPr="009B7B35">
              <w:rPr>
                <w:rFonts w:cs="Arial"/>
              </w:rPr>
              <w:tab/>
            </w:r>
            <w:r w:rsidRPr="009B7B35">
              <w:rPr>
                <w:rFonts w:cs="Arial"/>
              </w:rPr>
              <w:tab/>
            </w:r>
          </w:p>
          <w:p w14:paraId="7D80C5FC" w14:textId="77777777" w:rsidR="00BE36FB" w:rsidRPr="009B7B35" w:rsidRDefault="00BE36FB" w:rsidP="001A7107">
            <w:pPr>
              <w:pStyle w:val="Tablelines"/>
              <w:rPr>
                <w:rFonts w:cs="Arial"/>
              </w:rPr>
            </w:pPr>
            <w:r w:rsidRPr="009B7B35">
              <w:rPr>
                <w:rFonts w:cs="Arial"/>
              </w:rPr>
              <w:tab/>
            </w:r>
            <w:r w:rsidRPr="009B7B35">
              <w:rPr>
                <w:rFonts w:cs="Arial"/>
              </w:rPr>
              <w:tab/>
            </w:r>
          </w:p>
          <w:p w14:paraId="50386070" w14:textId="77777777" w:rsidR="00BE36FB" w:rsidRPr="009B7B35" w:rsidRDefault="00BE36FB" w:rsidP="001A7107">
            <w:pPr>
              <w:pStyle w:val="Tablelines"/>
              <w:rPr>
                <w:rFonts w:cs="Arial"/>
              </w:rPr>
            </w:pPr>
            <w:r w:rsidRPr="009B7B35">
              <w:rPr>
                <w:rFonts w:cs="Arial"/>
              </w:rPr>
              <w:tab/>
            </w:r>
            <w:r w:rsidRPr="009B7B35">
              <w:rPr>
                <w:rFonts w:cs="Arial"/>
              </w:rPr>
              <w:tab/>
            </w:r>
          </w:p>
          <w:p w14:paraId="1DD88753" w14:textId="77777777" w:rsidR="00BE36FB" w:rsidRPr="009B7B35" w:rsidRDefault="00BE36FB" w:rsidP="001A7107">
            <w:pPr>
              <w:pStyle w:val="Tablelines"/>
              <w:rPr>
                <w:rFonts w:cs="Arial"/>
              </w:rPr>
            </w:pPr>
            <w:r w:rsidRPr="009B7B35">
              <w:rPr>
                <w:rFonts w:cs="Arial"/>
              </w:rPr>
              <w:tab/>
              <w:t>Associated measures to achieve diversion:</w:t>
            </w:r>
          </w:p>
          <w:p w14:paraId="16CC3E71" w14:textId="77777777" w:rsidR="00BE36FB" w:rsidRPr="009B7B35" w:rsidRDefault="00BE36FB" w:rsidP="001A7107">
            <w:pPr>
              <w:pStyle w:val="Tablelines"/>
              <w:rPr>
                <w:rFonts w:cs="Arial"/>
              </w:rPr>
            </w:pPr>
            <w:r w:rsidRPr="009B7B35">
              <w:rPr>
                <w:rFonts w:cs="Arial"/>
              </w:rPr>
              <w:tab/>
            </w:r>
            <w:r w:rsidRPr="009B7B35">
              <w:rPr>
                <w:rFonts w:cs="Arial"/>
              </w:rPr>
              <w:tab/>
            </w:r>
          </w:p>
          <w:p w14:paraId="34842CE0" w14:textId="77777777" w:rsidR="00BE36FB" w:rsidRPr="009B7B35" w:rsidRDefault="00BE36FB" w:rsidP="001A7107">
            <w:pPr>
              <w:pStyle w:val="Tablelines"/>
              <w:rPr>
                <w:rFonts w:cs="Arial"/>
              </w:rPr>
            </w:pPr>
            <w:r w:rsidRPr="009B7B35">
              <w:rPr>
                <w:rFonts w:cs="Arial"/>
              </w:rPr>
              <w:tab/>
            </w:r>
            <w:r w:rsidRPr="009B7B35">
              <w:rPr>
                <w:rFonts w:cs="Arial"/>
              </w:rPr>
              <w:tab/>
            </w:r>
          </w:p>
          <w:p w14:paraId="4DBA4D37" w14:textId="77777777" w:rsidR="00BE36FB" w:rsidRPr="009B7B35" w:rsidRDefault="00BE36FB" w:rsidP="001A7107">
            <w:pPr>
              <w:pStyle w:val="Tablelines"/>
              <w:rPr>
                <w:rFonts w:cs="Arial"/>
              </w:rPr>
            </w:pPr>
            <w:r w:rsidRPr="009B7B35">
              <w:rPr>
                <w:rFonts w:cs="Arial"/>
              </w:rPr>
              <w:tab/>
            </w:r>
            <w:r w:rsidRPr="009B7B35">
              <w:rPr>
                <w:rFonts w:cs="Arial"/>
              </w:rPr>
              <w:tab/>
            </w:r>
          </w:p>
          <w:p w14:paraId="7F310786" w14:textId="77777777" w:rsidR="00BE36FB" w:rsidRPr="009B7B35" w:rsidRDefault="00BE36FB" w:rsidP="001A7107">
            <w:pPr>
              <w:pStyle w:val="Tablelines"/>
              <w:rPr>
                <w:rFonts w:cs="Arial"/>
                <w:lang w:val="en-AU"/>
              </w:rPr>
            </w:pPr>
            <w:r w:rsidRPr="009B7B35">
              <w:rPr>
                <w:rFonts w:cs="Arial"/>
                <w:lang w:val="en-AU"/>
              </w:rPr>
              <w:tab/>
            </w:r>
            <w:r w:rsidRPr="009B7B35">
              <w:rPr>
                <w:rFonts w:cs="Arial"/>
                <w:lang w:val="en-AU"/>
              </w:rPr>
              <w:tab/>
            </w:r>
          </w:p>
          <w:p w14:paraId="16FAAA00" w14:textId="77777777" w:rsidR="00BE36FB" w:rsidRPr="009B7B35" w:rsidRDefault="00BE36FB" w:rsidP="001A7107">
            <w:pPr>
              <w:pStyle w:val="Tablelines"/>
              <w:rPr>
                <w:rFonts w:cs="Arial"/>
              </w:rPr>
            </w:pPr>
            <w:r w:rsidRPr="009B7B35">
              <w:rPr>
                <w:rFonts w:cs="Arial"/>
                <w:lang w:val="en-AU"/>
              </w:rPr>
              <w:tab/>
            </w:r>
            <w:r w:rsidRPr="009B7B35">
              <w:rPr>
                <w:rFonts w:cs="Arial"/>
                <w:lang w:val="en-AU"/>
              </w:rPr>
              <w:tab/>
            </w:r>
          </w:p>
          <w:p w14:paraId="29588177" w14:textId="77777777" w:rsidR="00BE36FB" w:rsidRPr="009B7B35" w:rsidRDefault="00BE36FB" w:rsidP="001A7107">
            <w:pPr>
              <w:pStyle w:val="Tablelines"/>
              <w:rPr>
                <w:rFonts w:cs="Arial"/>
              </w:rPr>
            </w:pPr>
            <w:r w:rsidRPr="009B7B35">
              <w:rPr>
                <w:rFonts w:cs="Arial"/>
              </w:rPr>
              <w:tab/>
              <w:t xml:space="preserve">Identification of criteria and indicators on which the performance of the waste management </w:t>
            </w:r>
            <w:r w:rsidRPr="009B7B35">
              <w:rPr>
                <w:rFonts w:cs="Arial"/>
              </w:rPr>
              <w:br/>
            </w:r>
            <w:r w:rsidRPr="009B7B35">
              <w:rPr>
                <w:rFonts w:cs="Arial"/>
              </w:rPr>
              <w:tab/>
              <w:t>practices will be assessed (including frequency of performance assessments):</w:t>
            </w:r>
          </w:p>
          <w:p w14:paraId="436B864D" w14:textId="77777777" w:rsidR="00BE36FB" w:rsidRPr="009B7B35" w:rsidRDefault="00BE36FB" w:rsidP="001A7107">
            <w:pPr>
              <w:pStyle w:val="Tablelines"/>
              <w:rPr>
                <w:rFonts w:cs="Arial"/>
              </w:rPr>
            </w:pPr>
            <w:r w:rsidRPr="009B7B35">
              <w:rPr>
                <w:rFonts w:cs="Arial"/>
              </w:rPr>
              <w:tab/>
            </w:r>
            <w:r w:rsidRPr="009B7B35">
              <w:rPr>
                <w:rFonts w:cs="Arial"/>
              </w:rPr>
              <w:tab/>
            </w:r>
          </w:p>
          <w:p w14:paraId="0F0C0A2C" w14:textId="77777777" w:rsidR="00BE36FB" w:rsidRPr="009B7B35" w:rsidRDefault="00BE36FB" w:rsidP="001A7107">
            <w:pPr>
              <w:pStyle w:val="Tablelines"/>
              <w:rPr>
                <w:rFonts w:cs="Arial"/>
              </w:rPr>
            </w:pPr>
            <w:r w:rsidRPr="009B7B35">
              <w:rPr>
                <w:rFonts w:cs="Arial"/>
              </w:rPr>
              <w:tab/>
            </w:r>
            <w:r w:rsidRPr="009B7B35">
              <w:rPr>
                <w:rFonts w:cs="Arial"/>
              </w:rPr>
              <w:tab/>
            </w:r>
          </w:p>
          <w:p w14:paraId="5BEEF76D" w14:textId="77777777" w:rsidR="00BE36FB" w:rsidRPr="009B7B35" w:rsidRDefault="00BE36FB" w:rsidP="001A7107">
            <w:pPr>
              <w:pStyle w:val="Tablelines"/>
              <w:rPr>
                <w:rFonts w:cs="Arial"/>
              </w:rPr>
            </w:pPr>
            <w:r w:rsidRPr="009B7B35">
              <w:rPr>
                <w:rFonts w:cs="Arial"/>
              </w:rPr>
              <w:tab/>
            </w:r>
            <w:r w:rsidRPr="009B7B35">
              <w:rPr>
                <w:rFonts w:cs="Arial"/>
              </w:rPr>
              <w:tab/>
            </w:r>
          </w:p>
          <w:p w14:paraId="7996E856" w14:textId="77777777" w:rsidR="00BE36FB" w:rsidRPr="009B7B35" w:rsidRDefault="00BE36FB" w:rsidP="001A7107">
            <w:pPr>
              <w:pStyle w:val="Tablelines"/>
              <w:rPr>
                <w:rFonts w:cs="Arial"/>
              </w:rPr>
            </w:pPr>
            <w:r w:rsidRPr="009B7B35">
              <w:rPr>
                <w:rFonts w:cs="Arial"/>
              </w:rPr>
              <w:tab/>
            </w:r>
            <w:r w:rsidRPr="009B7B35">
              <w:rPr>
                <w:rFonts w:cs="Arial"/>
              </w:rPr>
              <w:tab/>
            </w:r>
          </w:p>
          <w:p w14:paraId="2D5C1FFB" w14:textId="77777777" w:rsidR="00BE36FB" w:rsidRPr="009B7B35" w:rsidRDefault="00BE36FB" w:rsidP="001A7107">
            <w:pPr>
              <w:pStyle w:val="Tablelines"/>
              <w:rPr>
                <w:rFonts w:cs="Arial"/>
                <w:lang w:val="en-AU"/>
              </w:rPr>
            </w:pPr>
            <w:r w:rsidRPr="009B7B35">
              <w:rPr>
                <w:rFonts w:cs="Arial"/>
                <w:lang w:val="en-AU"/>
              </w:rPr>
              <w:tab/>
            </w:r>
            <w:r w:rsidRPr="009B7B35">
              <w:rPr>
                <w:rFonts w:cs="Arial"/>
                <w:lang w:val="en-AU"/>
              </w:rPr>
              <w:tab/>
            </w:r>
          </w:p>
        </w:tc>
      </w:tr>
    </w:tbl>
    <w:p w14:paraId="3B4449DA" w14:textId="77777777" w:rsidR="00BE36FB" w:rsidRPr="009B7B35" w:rsidRDefault="00BE36FB">
      <w:pPr>
        <w:rPr>
          <w:rFonts w:ascii="Arial" w:hAnsi="Arial" w:cs="Arial"/>
          <w:sz w:val="20"/>
          <w:szCs w:val="20"/>
        </w:rPr>
      </w:pPr>
      <w:r w:rsidRPr="009B7B35">
        <w:rPr>
          <w:rFonts w:ascii="Arial" w:hAnsi="Arial" w:cs="Arial"/>
          <w:sz w:val="20"/>
          <w:szCs w:val="20"/>
        </w:rPr>
        <w:br w:type="page"/>
      </w:r>
    </w:p>
    <w:tbl>
      <w:tblPr>
        <w:tblStyle w:val="Tablestyle"/>
        <w:tblW w:w="9356" w:type="dxa"/>
        <w:tblLayout w:type="fixed"/>
        <w:tblLook w:val="0620" w:firstRow="1" w:lastRow="0" w:firstColumn="0" w:lastColumn="0" w:noHBand="1" w:noVBand="1"/>
      </w:tblPr>
      <w:tblGrid>
        <w:gridCol w:w="9356"/>
      </w:tblGrid>
      <w:tr w:rsidR="00BE36FB" w:rsidRPr="009B7B35" w14:paraId="25C68DB8" w14:textId="77777777" w:rsidTr="001A7107">
        <w:trPr>
          <w:cnfStyle w:val="100000000000" w:firstRow="1" w:lastRow="0" w:firstColumn="0" w:lastColumn="0" w:oddVBand="0" w:evenVBand="0" w:oddHBand="0" w:evenHBand="0" w:firstRowFirstColumn="0" w:firstRowLastColumn="0" w:lastRowFirstColumn="0" w:lastRowLastColumn="0"/>
        </w:trPr>
        <w:tc>
          <w:tcPr>
            <w:tcW w:w="9356" w:type="dxa"/>
          </w:tcPr>
          <w:p w14:paraId="45D20996" w14:textId="77777777" w:rsidR="00BE36FB" w:rsidRPr="009B7B35" w:rsidRDefault="00BE36FB" w:rsidP="001A7107">
            <w:pPr>
              <w:pStyle w:val="Tableheading"/>
              <w:rPr>
                <w:rFonts w:ascii="Arial" w:hAnsi="Arial" w:cs="Arial"/>
                <w:szCs w:val="20"/>
              </w:rPr>
            </w:pPr>
            <w:r w:rsidRPr="009B7B35">
              <w:rPr>
                <w:rFonts w:ascii="Arial" w:hAnsi="Arial" w:cs="Arial"/>
                <w:szCs w:val="20"/>
              </w:rPr>
              <w:t>Section two: Construction of premises</w:t>
            </w:r>
          </w:p>
        </w:tc>
      </w:tr>
      <w:tr w:rsidR="00BE36FB" w:rsidRPr="009B7B35" w14:paraId="118E494D" w14:textId="77777777" w:rsidTr="001A7107">
        <w:trPr>
          <w:trHeight w:val="3115"/>
        </w:trPr>
        <w:tc>
          <w:tcPr>
            <w:tcW w:w="9356" w:type="dxa"/>
          </w:tcPr>
          <w:p w14:paraId="4D379799" w14:textId="77777777" w:rsidR="00BE36FB" w:rsidRPr="009B7B35" w:rsidRDefault="00BE36FB" w:rsidP="001A7107">
            <w:pPr>
              <w:pStyle w:val="Tablelines"/>
              <w:rPr>
                <w:rFonts w:cs="Arial"/>
              </w:rPr>
            </w:pPr>
            <w:r w:rsidRPr="009B7B35">
              <w:rPr>
                <w:rFonts w:cs="Arial"/>
              </w:rPr>
              <w:tab/>
              <w:t>Description of activities that may generate waste:</w:t>
            </w:r>
          </w:p>
          <w:p w14:paraId="68BF948F" w14:textId="77777777" w:rsidR="00BE36FB" w:rsidRPr="009B7B35" w:rsidRDefault="00BE36FB" w:rsidP="001A7107">
            <w:pPr>
              <w:pStyle w:val="Tablelines"/>
              <w:rPr>
                <w:rFonts w:cs="Arial"/>
              </w:rPr>
            </w:pPr>
            <w:r w:rsidRPr="009B7B35">
              <w:rPr>
                <w:rFonts w:cs="Arial"/>
              </w:rPr>
              <w:tab/>
            </w:r>
            <w:r w:rsidRPr="009B7B35">
              <w:rPr>
                <w:rFonts w:cs="Arial"/>
              </w:rPr>
              <w:tab/>
            </w:r>
          </w:p>
          <w:p w14:paraId="18B312D6" w14:textId="77777777" w:rsidR="00BE36FB" w:rsidRPr="009B7B35" w:rsidRDefault="00BE36FB" w:rsidP="001A7107">
            <w:pPr>
              <w:pStyle w:val="Tablelines"/>
              <w:rPr>
                <w:rFonts w:cs="Arial"/>
              </w:rPr>
            </w:pPr>
            <w:r w:rsidRPr="009B7B35">
              <w:rPr>
                <w:rFonts w:cs="Arial"/>
              </w:rPr>
              <w:tab/>
            </w:r>
            <w:r w:rsidRPr="009B7B35">
              <w:rPr>
                <w:rFonts w:cs="Arial"/>
              </w:rPr>
              <w:tab/>
            </w:r>
          </w:p>
          <w:p w14:paraId="28E649E6" w14:textId="77777777" w:rsidR="00BE36FB" w:rsidRPr="009B7B35" w:rsidRDefault="00BE36FB" w:rsidP="001A7107">
            <w:pPr>
              <w:pStyle w:val="Tablelines"/>
              <w:rPr>
                <w:rFonts w:cs="Arial"/>
              </w:rPr>
            </w:pPr>
            <w:r w:rsidRPr="009B7B35">
              <w:rPr>
                <w:rFonts w:cs="Arial"/>
              </w:rPr>
              <w:tab/>
            </w:r>
            <w:r w:rsidRPr="009B7B35">
              <w:rPr>
                <w:rFonts w:cs="Arial"/>
              </w:rPr>
              <w:tab/>
            </w:r>
          </w:p>
          <w:p w14:paraId="25ADD233" w14:textId="77777777" w:rsidR="00BE36FB" w:rsidRPr="009B7B35" w:rsidRDefault="00BE36FB" w:rsidP="001A7107">
            <w:pPr>
              <w:pStyle w:val="Tablelines"/>
              <w:rPr>
                <w:rFonts w:cs="Arial"/>
              </w:rPr>
            </w:pPr>
            <w:r w:rsidRPr="009B7B35">
              <w:rPr>
                <w:rFonts w:cs="Arial"/>
              </w:rPr>
              <w:tab/>
            </w:r>
            <w:r w:rsidRPr="009B7B35">
              <w:rPr>
                <w:rFonts w:cs="Arial"/>
              </w:rPr>
              <w:tab/>
            </w:r>
          </w:p>
          <w:p w14:paraId="1865B99C" w14:textId="77777777" w:rsidR="00BE36FB" w:rsidRPr="009B7B35" w:rsidRDefault="00BE36FB" w:rsidP="001A7107">
            <w:pPr>
              <w:pStyle w:val="Tablelines"/>
              <w:rPr>
                <w:rFonts w:cs="Arial"/>
              </w:rPr>
            </w:pPr>
            <w:r w:rsidRPr="009B7B35">
              <w:rPr>
                <w:rFonts w:cs="Arial"/>
              </w:rPr>
              <w:tab/>
            </w:r>
            <w:r w:rsidRPr="009B7B35">
              <w:rPr>
                <w:rFonts w:cs="Arial"/>
              </w:rPr>
              <w:tab/>
            </w:r>
          </w:p>
        </w:tc>
      </w:tr>
      <w:tr w:rsidR="00BE36FB" w:rsidRPr="009B7B35" w14:paraId="7004F9BF" w14:textId="77777777" w:rsidTr="001A7107">
        <w:trPr>
          <w:trHeight w:val="36"/>
        </w:trPr>
        <w:tc>
          <w:tcPr>
            <w:tcW w:w="9356" w:type="dxa"/>
          </w:tcPr>
          <w:p w14:paraId="1A9EC838"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Types and amounts of waste generated </w:t>
            </w:r>
          </w:p>
          <w:p w14:paraId="5873DD7D" w14:textId="77777777" w:rsidR="00BE36FB" w:rsidRPr="009B7B35" w:rsidRDefault="00BE36FB" w:rsidP="001A7107">
            <w:pPr>
              <w:pStyle w:val="Tableheading"/>
              <w:rPr>
                <w:rFonts w:ascii="Arial" w:hAnsi="Arial" w:cs="Arial"/>
                <w:szCs w:val="20"/>
              </w:rPr>
            </w:pPr>
            <w:r w:rsidRPr="009B7B35">
              <w:rPr>
                <w:rFonts w:ascii="Arial" w:hAnsi="Arial" w:cs="Arial"/>
                <w:szCs w:val="20"/>
              </w:rPr>
              <w:t xml:space="preserve">Refer to </w:t>
            </w:r>
            <w:r w:rsidRPr="009B7B35">
              <w:rPr>
                <w:rFonts w:ascii="Arial" w:eastAsia="Times New Roman" w:hAnsi="Arial" w:cs="Arial"/>
                <w:szCs w:val="20"/>
              </w:rPr>
              <w:t>Table 2—Details of waste management: Construction phase</w:t>
            </w:r>
          </w:p>
        </w:tc>
      </w:tr>
      <w:tr w:rsidR="00BE36FB" w:rsidRPr="009B7B35" w14:paraId="05B4E17F" w14:textId="77777777" w:rsidTr="001A7107">
        <w:trPr>
          <w:trHeight w:val="36"/>
        </w:trPr>
        <w:tc>
          <w:tcPr>
            <w:tcW w:w="9356" w:type="dxa"/>
          </w:tcPr>
          <w:p w14:paraId="09EDFF76" w14:textId="77777777" w:rsidR="00BE36FB" w:rsidRPr="009B7B35" w:rsidRDefault="00BE36FB" w:rsidP="001A7107">
            <w:pPr>
              <w:pStyle w:val="Tablelines"/>
              <w:rPr>
                <w:rFonts w:cs="Arial"/>
              </w:rPr>
            </w:pPr>
            <w:r w:rsidRPr="009B7B35">
              <w:rPr>
                <w:rFonts w:cs="Arial"/>
              </w:rPr>
              <w:tab/>
              <w:t>Identify any hazardous characteristics of waste generated:</w:t>
            </w:r>
          </w:p>
          <w:p w14:paraId="0A6E1B13" w14:textId="77777777" w:rsidR="00BE36FB" w:rsidRPr="009B7B35" w:rsidRDefault="00BE36FB" w:rsidP="001A7107">
            <w:pPr>
              <w:pStyle w:val="Tablelines"/>
              <w:rPr>
                <w:rFonts w:cs="Arial"/>
              </w:rPr>
            </w:pPr>
            <w:r w:rsidRPr="009B7B35">
              <w:rPr>
                <w:rFonts w:cs="Arial"/>
              </w:rPr>
              <w:tab/>
            </w:r>
            <w:r w:rsidRPr="009B7B35">
              <w:rPr>
                <w:rFonts w:cs="Arial"/>
              </w:rPr>
              <w:tab/>
            </w:r>
          </w:p>
          <w:p w14:paraId="3D116D23" w14:textId="77777777" w:rsidR="00BE36FB" w:rsidRPr="009B7B35" w:rsidRDefault="00BE36FB" w:rsidP="001A7107">
            <w:pPr>
              <w:pStyle w:val="Tablelines"/>
              <w:rPr>
                <w:rFonts w:cs="Arial"/>
              </w:rPr>
            </w:pPr>
            <w:r w:rsidRPr="009B7B35">
              <w:rPr>
                <w:rFonts w:cs="Arial"/>
              </w:rPr>
              <w:tab/>
            </w:r>
            <w:r w:rsidRPr="009B7B35">
              <w:rPr>
                <w:rFonts w:cs="Arial"/>
              </w:rPr>
              <w:tab/>
            </w:r>
          </w:p>
          <w:p w14:paraId="6094AB42" w14:textId="77777777" w:rsidR="00BE36FB" w:rsidRPr="009B7B35" w:rsidRDefault="00BE36FB" w:rsidP="001A7107">
            <w:pPr>
              <w:pStyle w:val="Tablelines"/>
              <w:rPr>
                <w:rFonts w:cs="Arial"/>
              </w:rPr>
            </w:pPr>
            <w:r w:rsidRPr="009B7B35">
              <w:rPr>
                <w:rFonts w:cs="Arial"/>
              </w:rPr>
              <w:tab/>
            </w:r>
            <w:r w:rsidRPr="009B7B35">
              <w:rPr>
                <w:rFonts w:cs="Arial"/>
              </w:rPr>
              <w:tab/>
            </w:r>
          </w:p>
          <w:p w14:paraId="427AF11F" w14:textId="77777777" w:rsidR="00BE36FB" w:rsidRPr="009B7B35" w:rsidRDefault="00BE36FB" w:rsidP="001A7107">
            <w:pPr>
              <w:pStyle w:val="Tablelines"/>
              <w:rPr>
                <w:rFonts w:cs="Arial"/>
              </w:rPr>
            </w:pPr>
            <w:r w:rsidRPr="009B7B35">
              <w:rPr>
                <w:rFonts w:cs="Arial"/>
              </w:rPr>
              <w:tab/>
            </w:r>
            <w:r w:rsidRPr="009B7B35">
              <w:rPr>
                <w:rFonts w:cs="Arial"/>
              </w:rPr>
              <w:tab/>
            </w:r>
          </w:p>
          <w:p w14:paraId="01810C8E" w14:textId="77777777" w:rsidR="00BE36FB" w:rsidRPr="009B7B35" w:rsidRDefault="00BE36FB" w:rsidP="001A7107">
            <w:pPr>
              <w:pStyle w:val="Tablelines"/>
              <w:rPr>
                <w:rFonts w:cs="Arial"/>
              </w:rPr>
            </w:pPr>
            <w:r w:rsidRPr="009B7B35">
              <w:rPr>
                <w:rFonts w:cs="Arial"/>
              </w:rPr>
              <w:tab/>
            </w:r>
            <w:r w:rsidRPr="009B7B35">
              <w:rPr>
                <w:rFonts w:cs="Arial"/>
              </w:rPr>
              <w:tab/>
            </w:r>
          </w:p>
          <w:p w14:paraId="4ECB5257" w14:textId="77777777" w:rsidR="00BE36FB" w:rsidRPr="009B7B35" w:rsidRDefault="00BE36FB" w:rsidP="001A7107">
            <w:pPr>
              <w:pStyle w:val="Tablelines"/>
              <w:rPr>
                <w:rFonts w:cs="Arial"/>
              </w:rPr>
            </w:pPr>
            <w:r w:rsidRPr="009B7B35">
              <w:rPr>
                <w:rFonts w:cs="Arial"/>
              </w:rPr>
              <w:tab/>
            </w:r>
            <w:r w:rsidRPr="009B7B35">
              <w:rPr>
                <w:rFonts w:cs="Arial"/>
              </w:rPr>
              <w:tab/>
            </w:r>
          </w:p>
          <w:p w14:paraId="6922BAA1" w14:textId="77777777" w:rsidR="00BE36FB" w:rsidRPr="009B7B35" w:rsidRDefault="00BE36FB" w:rsidP="001A7107">
            <w:pPr>
              <w:pStyle w:val="Tablelines"/>
              <w:rPr>
                <w:rFonts w:cs="Arial"/>
              </w:rPr>
            </w:pPr>
            <w:r w:rsidRPr="009B7B35">
              <w:rPr>
                <w:rFonts w:cs="Arial"/>
              </w:rPr>
              <w:tab/>
              <w:t>Identification of requirements for handling of wastes:</w:t>
            </w:r>
          </w:p>
          <w:p w14:paraId="745EB4C9" w14:textId="77777777" w:rsidR="00BE36FB" w:rsidRPr="009B7B35" w:rsidRDefault="00BE36FB" w:rsidP="001A7107">
            <w:pPr>
              <w:pStyle w:val="Tablelines"/>
              <w:rPr>
                <w:rFonts w:cs="Arial"/>
              </w:rPr>
            </w:pPr>
            <w:r w:rsidRPr="009B7B35">
              <w:rPr>
                <w:rFonts w:cs="Arial"/>
              </w:rPr>
              <w:tab/>
            </w:r>
            <w:r w:rsidRPr="009B7B35">
              <w:rPr>
                <w:rFonts w:cs="Arial"/>
              </w:rPr>
              <w:tab/>
            </w:r>
          </w:p>
          <w:p w14:paraId="704A7E59" w14:textId="77777777" w:rsidR="00BE36FB" w:rsidRPr="009B7B35" w:rsidRDefault="00BE36FB" w:rsidP="001A7107">
            <w:pPr>
              <w:pStyle w:val="Tablelines"/>
              <w:rPr>
                <w:rFonts w:cs="Arial"/>
              </w:rPr>
            </w:pPr>
            <w:r w:rsidRPr="009B7B35">
              <w:rPr>
                <w:rFonts w:cs="Arial"/>
              </w:rPr>
              <w:tab/>
            </w:r>
            <w:r w:rsidRPr="009B7B35">
              <w:rPr>
                <w:rFonts w:cs="Arial"/>
              </w:rPr>
              <w:tab/>
            </w:r>
          </w:p>
          <w:p w14:paraId="74DE1BEF" w14:textId="77777777" w:rsidR="00BE36FB" w:rsidRPr="009B7B35" w:rsidRDefault="00BE36FB" w:rsidP="001A7107">
            <w:pPr>
              <w:pStyle w:val="Tablelines"/>
              <w:rPr>
                <w:rFonts w:cs="Arial"/>
              </w:rPr>
            </w:pPr>
            <w:r w:rsidRPr="009B7B35">
              <w:rPr>
                <w:rFonts w:cs="Arial"/>
              </w:rPr>
              <w:tab/>
            </w:r>
            <w:r w:rsidRPr="009B7B35">
              <w:rPr>
                <w:rFonts w:cs="Arial"/>
              </w:rPr>
              <w:tab/>
            </w:r>
          </w:p>
          <w:p w14:paraId="07E2868E" w14:textId="77777777" w:rsidR="00BE36FB" w:rsidRPr="009B7B35" w:rsidRDefault="00BE36FB" w:rsidP="001A7107">
            <w:pPr>
              <w:pStyle w:val="Tablelines"/>
              <w:rPr>
                <w:rFonts w:cs="Arial"/>
              </w:rPr>
            </w:pPr>
            <w:r w:rsidRPr="009B7B35">
              <w:rPr>
                <w:rFonts w:cs="Arial"/>
              </w:rPr>
              <w:tab/>
            </w:r>
            <w:r w:rsidRPr="009B7B35">
              <w:rPr>
                <w:rFonts w:cs="Arial"/>
              </w:rPr>
              <w:tab/>
            </w:r>
          </w:p>
          <w:p w14:paraId="1850AA43" w14:textId="77777777" w:rsidR="00BE36FB" w:rsidRPr="009B7B35" w:rsidRDefault="00BE36FB" w:rsidP="001A7107">
            <w:pPr>
              <w:pStyle w:val="Tablelines"/>
              <w:rPr>
                <w:rFonts w:cs="Arial"/>
                <w:lang w:val="en-AU"/>
              </w:rPr>
            </w:pPr>
            <w:r w:rsidRPr="009B7B35">
              <w:rPr>
                <w:rFonts w:cs="Arial"/>
                <w:lang w:val="en-AU"/>
              </w:rPr>
              <w:tab/>
            </w:r>
            <w:r w:rsidRPr="009B7B35">
              <w:rPr>
                <w:rFonts w:cs="Arial"/>
                <w:lang w:val="en-AU"/>
              </w:rPr>
              <w:tab/>
            </w:r>
          </w:p>
          <w:p w14:paraId="69A09A6A" w14:textId="77777777" w:rsidR="00BE36FB" w:rsidRPr="009B7B35" w:rsidRDefault="00BE36FB" w:rsidP="001A7107">
            <w:pPr>
              <w:pStyle w:val="Tablelines"/>
              <w:rPr>
                <w:rFonts w:cs="Arial"/>
              </w:rPr>
            </w:pPr>
            <w:r w:rsidRPr="009B7B35">
              <w:rPr>
                <w:rFonts w:cs="Arial"/>
              </w:rPr>
              <w:tab/>
              <w:t>Identification of requirements for collection of wastes:</w:t>
            </w:r>
          </w:p>
          <w:p w14:paraId="5150B8B0" w14:textId="77777777" w:rsidR="00BE36FB" w:rsidRPr="009B7B35" w:rsidRDefault="00BE36FB" w:rsidP="001A7107">
            <w:pPr>
              <w:pStyle w:val="Tablelines"/>
              <w:rPr>
                <w:rFonts w:cs="Arial"/>
              </w:rPr>
            </w:pPr>
            <w:r w:rsidRPr="009B7B35">
              <w:rPr>
                <w:rFonts w:cs="Arial"/>
              </w:rPr>
              <w:tab/>
            </w:r>
            <w:r w:rsidRPr="009B7B35">
              <w:rPr>
                <w:rFonts w:cs="Arial"/>
              </w:rPr>
              <w:tab/>
            </w:r>
          </w:p>
          <w:p w14:paraId="20CA0C29" w14:textId="77777777" w:rsidR="00BE36FB" w:rsidRPr="009B7B35" w:rsidRDefault="00BE36FB" w:rsidP="001A7107">
            <w:pPr>
              <w:pStyle w:val="Tablelines"/>
              <w:rPr>
                <w:rFonts w:cs="Arial"/>
              </w:rPr>
            </w:pPr>
            <w:r w:rsidRPr="009B7B35">
              <w:rPr>
                <w:rFonts w:cs="Arial"/>
              </w:rPr>
              <w:tab/>
            </w:r>
            <w:r w:rsidRPr="009B7B35">
              <w:rPr>
                <w:rFonts w:cs="Arial"/>
              </w:rPr>
              <w:tab/>
            </w:r>
          </w:p>
          <w:p w14:paraId="02413AAB" w14:textId="77777777" w:rsidR="00BE36FB" w:rsidRPr="009B7B35" w:rsidRDefault="00BE36FB" w:rsidP="001A7107">
            <w:pPr>
              <w:pStyle w:val="Tablelines"/>
              <w:rPr>
                <w:rFonts w:cs="Arial"/>
              </w:rPr>
            </w:pPr>
            <w:r w:rsidRPr="009B7B35">
              <w:rPr>
                <w:rFonts w:cs="Arial"/>
              </w:rPr>
              <w:tab/>
            </w:r>
            <w:r w:rsidRPr="009B7B35">
              <w:rPr>
                <w:rFonts w:cs="Arial"/>
              </w:rPr>
              <w:tab/>
            </w:r>
          </w:p>
          <w:p w14:paraId="1B746753" w14:textId="77777777" w:rsidR="00BE36FB" w:rsidRPr="009B7B35" w:rsidRDefault="00BE36FB" w:rsidP="001A7107">
            <w:pPr>
              <w:pStyle w:val="Tablelines"/>
              <w:rPr>
                <w:rFonts w:cs="Arial"/>
              </w:rPr>
            </w:pPr>
            <w:r w:rsidRPr="009B7B35">
              <w:rPr>
                <w:rFonts w:cs="Arial"/>
              </w:rPr>
              <w:tab/>
            </w:r>
            <w:r w:rsidRPr="009B7B35">
              <w:rPr>
                <w:rFonts w:cs="Arial"/>
              </w:rPr>
              <w:tab/>
            </w:r>
          </w:p>
          <w:p w14:paraId="5BAC8D48" w14:textId="77777777" w:rsidR="00BE36FB" w:rsidRPr="009B7B35" w:rsidRDefault="00BE36FB" w:rsidP="001A7107">
            <w:pPr>
              <w:pStyle w:val="Tablelines"/>
              <w:rPr>
                <w:rFonts w:cs="Arial"/>
              </w:rPr>
            </w:pPr>
            <w:r w:rsidRPr="009B7B35">
              <w:rPr>
                <w:rFonts w:cs="Arial"/>
                <w:lang w:val="en-AU"/>
              </w:rPr>
              <w:tab/>
            </w:r>
            <w:r w:rsidRPr="009B7B35">
              <w:rPr>
                <w:rFonts w:cs="Arial"/>
                <w:lang w:val="en-AU"/>
              </w:rPr>
              <w:tab/>
            </w:r>
          </w:p>
        </w:tc>
      </w:tr>
    </w:tbl>
    <w:p w14:paraId="073B6C8E" w14:textId="77777777" w:rsidR="00BE36FB" w:rsidRPr="009B7B35" w:rsidRDefault="00BE36FB">
      <w:pPr>
        <w:rPr>
          <w:rFonts w:ascii="Arial" w:hAnsi="Arial" w:cs="Arial"/>
          <w:sz w:val="20"/>
          <w:szCs w:val="20"/>
        </w:rPr>
      </w:pPr>
      <w:r w:rsidRPr="009B7B35">
        <w:rPr>
          <w:rFonts w:ascii="Arial" w:hAnsi="Arial" w:cs="Arial"/>
          <w:sz w:val="20"/>
          <w:szCs w:val="20"/>
        </w:rPr>
        <w:br w:type="page"/>
      </w:r>
    </w:p>
    <w:tbl>
      <w:tblPr>
        <w:tblStyle w:val="Tablestyle"/>
        <w:tblW w:w="9356" w:type="dxa"/>
        <w:tblLayout w:type="fixed"/>
        <w:tblLook w:val="0600" w:firstRow="0" w:lastRow="0" w:firstColumn="0" w:lastColumn="0" w:noHBand="1" w:noVBand="1"/>
      </w:tblPr>
      <w:tblGrid>
        <w:gridCol w:w="9356"/>
      </w:tblGrid>
      <w:tr w:rsidR="00BE36FB" w:rsidRPr="009B7B35" w14:paraId="0C6201E5" w14:textId="77777777" w:rsidTr="001A7107">
        <w:tc>
          <w:tcPr>
            <w:tcW w:w="9356" w:type="dxa"/>
            <w:shd w:val="clear" w:color="auto" w:fill="FFFFFF" w:themeFill="background1"/>
          </w:tcPr>
          <w:p w14:paraId="0DC02588" w14:textId="77777777" w:rsidR="00BE36FB" w:rsidRPr="009B7B35" w:rsidRDefault="00BE36FB" w:rsidP="001A7107">
            <w:pPr>
              <w:pStyle w:val="Tablelines"/>
              <w:rPr>
                <w:rFonts w:cs="Arial"/>
              </w:rPr>
            </w:pPr>
            <w:r w:rsidRPr="009B7B35">
              <w:rPr>
                <w:rFonts w:cs="Arial"/>
              </w:rPr>
              <w:tab/>
              <w:t>Identification of requirements for disposal of wastes:</w:t>
            </w:r>
          </w:p>
          <w:p w14:paraId="1F6C90C0" w14:textId="77777777" w:rsidR="00BE36FB" w:rsidRPr="009B7B35" w:rsidRDefault="00BE36FB" w:rsidP="001A7107">
            <w:pPr>
              <w:pStyle w:val="Tablelines"/>
              <w:rPr>
                <w:rFonts w:cs="Arial"/>
              </w:rPr>
            </w:pPr>
            <w:r w:rsidRPr="009B7B35">
              <w:rPr>
                <w:rFonts w:cs="Arial"/>
              </w:rPr>
              <w:tab/>
            </w:r>
            <w:r w:rsidRPr="009B7B35">
              <w:rPr>
                <w:rFonts w:cs="Arial"/>
              </w:rPr>
              <w:tab/>
            </w:r>
          </w:p>
          <w:p w14:paraId="22F9CE06" w14:textId="77777777" w:rsidR="00BE36FB" w:rsidRPr="009B7B35" w:rsidRDefault="00BE36FB" w:rsidP="001A7107">
            <w:pPr>
              <w:pStyle w:val="Tablelines"/>
              <w:rPr>
                <w:rFonts w:cs="Arial"/>
              </w:rPr>
            </w:pPr>
            <w:r w:rsidRPr="009B7B35">
              <w:rPr>
                <w:rFonts w:cs="Arial"/>
              </w:rPr>
              <w:tab/>
            </w:r>
            <w:r w:rsidRPr="009B7B35">
              <w:rPr>
                <w:rFonts w:cs="Arial"/>
              </w:rPr>
              <w:tab/>
            </w:r>
          </w:p>
          <w:p w14:paraId="64617F77" w14:textId="77777777" w:rsidR="00BE36FB" w:rsidRPr="009B7B35" w:rsidRDefault="00BE36FB" w:rsidP="001A7107">
            <w:pPr>
              <w:pStyle w:val="Tablelines"/>
              <w:rPr>
                <w:rFonts w:cs="Arial"/>
              </w:rPr>
            </w:pPr>
            <w:r w:rsidRPr="009B7B35">
              <w:rPr>
                <w:rFonts w:cs="Arial"/>
              </w:rPr>
              <w:tab/>
            </w:r>
            <w:r w:rsidRPr="009B7B35">
              <w:rPr>
                <w:rFonts w:cs="Arial"/>
              </w:rPr>
              <w:tab/>
            </w:r>
          </w:p>
          <w:p w14:paraId="0B63D66B" w14:textId="77777777" w:rsidR="00BE36FB" w:rsidRPr="009B7B35" w:rsidRDefault="00BE36FB" w:rsidP="001A7107">
            <w:pPr>
              <w:pStyle w:val="Tablelines"/>
              <w:rPr>
                <w:rFonts w:cs="Arial"/>
              </w:rPr>
            </w:pPr>
            <w:r w:rsidRPr="009B7B35">
              <w:rPr>
                <w:rFonts w:cs="Arial"/>
              </w:rPr>
              <w:tab/>
            </w:r>
            <w:r w:rsidRPr="009B7B35">
              <w:rPr>
                <w:rFonts w:cs="Arial"/>
              </w:rPr>
              <w:tab/>
            </w:r>
          </w:p>
          <w:p w14:paraId="102586B7" w14:textId="77777777" w:rsidR="00BE36FB" w:rsidRPr="009B7B35" w:rsidRDefault="00BE36FB" w:rsidP="001A7107">
            <w:pPr>
              <w:pStyle w:val="Tablelines"/>
              <w:rPr>
                <w:rFonts w:cs="Arial"/>
              </w:rPr>
            </w:pPr>
            <w:r w:rsidRPr="009B7B35">
              <w:rPr>
                <w:rFonts w:cs="Arial"/>
              </w:rPr>
              <w:tab/>
            </w:r>
            <w:r w:rsidRPr="009B7B35">
              <w:rPr>
                <w:rFonts w:cs="Arial"/>
              </w:rPr>
              <w:tab/>
            </w:r>
          </w:p>
          <w:p w14:paraId="0AADC4AB" w14:textId="77777777" w:rsidR="00BE36FB" w:rsidRPr="009B7B35" w:rsidRDefault="00BE36FB" w:rsidP="001A7107">
            <w:pPr>
              <w:pStyle w:val="Tablelines"/>
              <w:rPr>
                <w:rFonts w:cs="Arial"/>
              </w:rPr>
            </w:pPr>
            <w:r w:rsidRPr="009B7B35">
              <w:rPr>
                <w:rFonts w:cs="Arial"/>
              </w:rPr>
              <w:tab/>
              <w:t>Identification of procedures for dealing with potential accidents, spills or other incidents:</w:t>
            </w:r>
          </w:p>
          <w:p w14:paraId="475E91B6" w14:textId="77777777" w:rsidR="00BE36FB" w:rsidRPr="009B7B35" w:rsidRDefault="00BE36FB" w:rsidP="001A7107">
            <w:pPr>
              <w:pStyle w:val="Tablelines"/>
              <w:rPr>
                <w:rFonts w:cs="Arial"/>
              </w:rPr>
            </w:pPr>
            <w:r w:rsidRPr="009B7B35">
              <w:rPr>
                <w:rFonts w:cs="Arial"/>
              </w:rPr>
              <w:tab/>
            </w:r>
            <w:r w:rsidRPr="009B7B35">
              <w:rPr>
                <w:rFonts w:cs="Arial"/>
              </w:rPr>
              <w:tab/>
            </w:r>
          </w:p>
          <w:p w14:paraId="1208D8CC" w14:textId="77777777" w:rsidR="00BE36FB" w:rsidRPr="009B7B35" w:rsidRDefault="00BE36FB" w:rsidP="001A7107">
            <w:pPr>
              <w:pStyle w:val="Tablelines"/>
              <w:rPr>
                <w:rFonts w:cs="Arial"/>
              </w:rPr>
            </w:pPr>
            <w:r w:rsidRPr="009B7B35">
              <w:rPr>
                <w:rFonts w:cs="Arial"/>
              </w:rPr>
              <w:tab/>
            </w:r>
            <w:r w:rsidRPr="009B7B35">
              <w:rPr>
                <w:rFonts w:cs="Arial"/>
              </w:rPr>
              <w:tab/>
            </w:r>
          </w:p>
          <w:p w14:paraId="7871D03D" w14:textId="77777777" w:rsidR="00BE36FB" w:rsidRPr="009B7B35" w:rsidRDefault="00BE36FB" w:rsidP="001A7107">
            <w:pPr>
              <w:pStyle w:val="Tablelines"/>
              <w:rPr>
                <w:rFonts w:cs="Arial"/>
              </w:rPr>
            </w:pPr>
            <w:r w:rsidRPr="009B7B35">
              <w:rPr>
                <w:rFonts w:cs="Arial"/>
              </w:rPr>
              <w:tab/>
            </w:r>
            <w:r w:rsidRPr="009B7B35">
              <w:rPr>
                <w:rFonts w:cs="Arial"/>
              </w:rPr>
              <w:tab/>
            </w:r>
          </w:p>
          <w:p w14:paraId="414EB4F6" w14:textId="77777777" w:rsidR="00BE36FB" w:rsidRPr="009B7B35" w:rsidRDefault="00BE36FB" w:rsidP="001A7107">
            <w:pPr>
              <w:pStyle w:val="Tablelines"/>
              <w:rPr>
                <w:rFonts w:cs="Arial"/>
              </w:rPr>
            </w:pPr>
            <w:r w:rsidRPr="009B7B35">
              <w:rPr>
                <w:rFonts w:cs="Arial"/>
              </w:rPr>
              <w:tab/>
            </w:r>
            <w:r w:rsidRPr="009B7B35">
              <w:rPr>
                <w:rFonts w:cs="Arial"/>
              </w:rPr>
              <w:tab/>
            </w:r>
          </w:p>
          <w:p w14:paraId="03812480" w14:textId="77777777" w:rsidR="00BE36FB" w:rsidRPr="009B7B35" w:rsidRDefault="00BE36FB" w:rsidP="001A7107">
            <w:pPr>
              <w:pStyle w:val="Tablelines"/>
              <w:rPr>
                <w:rFonts w:cs="Arial"/>
              </w:rPr>
            </w:pPr>
            <w:r w:rsidRPr="009B7B35">
              <w:rPr>
                <w:rFonts w:cs="Arial"/>
                <w:lang w:val="en-AU"/>
              </w:rPr>
              <w:tab/>
            </w:r>
            <w:r w:rsidRPr="009B7B35">
              <w:rPr>
                <w:rFonts w:cs="Arial"/>
                <w:lang w:val="en-AU"/>
              </w:rPr>
              <w:tab/>
            </w:r>
          </w:p>
        </w:tc>
      </w:tr>
      <w:tr w:rsidR="00BE36FB" w:rsidRPr="009B7B35" w14:paraId="469A04C7" w14:textId="77777777" w:rsidTr="001A7107">
        <w:tc>
          <w:tcPr>
            <w:tcW w:w="9356" w:type="dxa"/>
          </w:tcPr>
          <w:p w14:paraId="26EF54EE" w14:textId="77777777" w:rsidR="00BE36FB" w:rsidRPr="009B7B35" w:rsidRDefault="00BE36FB" w:rsidP="001A7107">
            <w:pPr>
              <w:pStyle w:val="Tableheading"/>
              <w:rPr>
                <w:rFonts w:ascii="Arial" w:hAnsi="Arial" w:cs="Arial"/>
                <w:szCs w:val="20"/>
              </w:rPr>
            </w:pPr>
            <w:r w:rsidRPr="009B7B35">
              <w:rPr>
                <w:rFonts w:ascii="Arial" w:hAnsi="Arial" w:cs="Arial"/>
                <w:szCs w:val="20"/>
              </w:rPr>
              <w:t>Waste diversion from landfill</w:t>
            </w:r>
          </w:p>
        </w:tc>
      </w:tr>
      <w:tr w:rsidR="00BE36FB" w:rsidRPr="009B7B35" w14:paraId="74567C0F" w14:textId="77777777" w:rsidTr="001A7107">
        <w:trPr>
          <w:trHeight w:val="36"/>
        </w:trPr>
        <w:tc>
          <w:tcPr>
            <w:tcW w:w="9356" w:type="dxa"/>
          </w:tcPr>
          <w:p w14:paraId="1DB629BA" w14:textId="77777777" w:rsidR="00BE36FB" w:rsidRPr="009B7B35" w:rsidRDefault="00BE36FB" w:rsidP="001A7107">
            <w:pPr>
              <w:pStyle w:val="Tablelines"/>
              <w:rPr>
                <w:rFonts w:cs="Arial"/>
              </w:rPr>
            </w:pPr>
            <w:r w:rsidRPr="009B7B35">
              <w:rPr>
                <w:rFonts w:cs="Arial"/>
              </w:rPr>
              <w:tab/>
              <w:t xml:space="preserve">Identify any procedures for identifying and implementing opportunities to minimise the amount of </w:t>
            </w:r>
            <w:r w:rsidRPr="009B7B35">
              <w:rPr>
                <w:rFonts w:cs="Arial"/>
              </w:rPr>
              <w:tab/>
              <w:t xml:space="preserve">waste generated, promote efficiency in the use of resources, and otherwise improve the waste      </w:t>
            </w:r>
            <w:r w:rsidRPr="009B7B35">
              <w:rPr>
                <w:rFonts w:cs="Arial"/>
              </w:rPr>
              <w:tab/>
              <w:t>management practices employed:</w:t>
            </w:r>
          </w:p>
          <w:p w14:paraId="706B7978" w14:textId="77777777" w:rsidR="00BE36FB" w:rsidRPr="009B7B35" w:rsidRDefault="00BE36FB" w:rsidP="001A7107">
            <w:pPr>
              <w:pStyle w:val="Tablelines"/>
              <w:rPr>
                <w:rFonts w:cs="Arial"/>
              </w:rPr>
            </w:pPr>
            <w:r w:rsidRPr="009B7B35">
              <w:rPr>
                <w:rFonts w:cs="Arial"/>
              </w:rPr>
              <w:tab/>
            </w:r>
            <w:r w:rsidRPr="009B7B35">
              <w:rPr>
                <w:rFonts w:cs="Arial"/>
              </w:rPr>
              <w:tab/>
            </w:r>
          </w:p>
          <w:p w14:paraId="661FD392" w14:textId="77777777" w:rsidR="00BE36FB" w:rsidRPr="009B7B35" w:rsidRDefault="00BE36FB" w:rsidP="001A7107">
            <w:pPr>
              <w:pStyle w:val="Tablelines"/>
              <w:rPr>
                <w:rFonts w:cs="Arial"/>
              </w:rPr>
            </w:pPr>
            <w:r w:rsidRPr="009B7B35">
              <w:rPr>
                <w:rFonts w:cs="Arial"/>
              </w:rPr>
              <w:tab/>
            </w:r>
            <w:r w:rsidRPr="009B7B35">
              <w:rPr>
                <w:rFonts w:cs="Arial"/>
              </w:rPr>
              <w:tab/>
            </w:r>
          </w:p>
          <w:p w14:paraId="6E04864A" w14:textId="77777777" w:rsidR="00BE36FB" w:rsidRPr="009B7B35" w:rsidRDefault="00BE36FB" w:rsidP="001A7107">
            <w:pPr>
              <w:pStyle w:val="Tablelines"/>
              <w:rPr>
                <w:rFonts w:cs="Arial"/>
              </w:rPr>
            </w:pPr>
            <w:r w:rsidRPr="009B7B35">
              <w:rPr>
                <w:rFonts w:cs="Arial"/>
              </w:rPr>
              <w:tab/>
            </w:r>
            <w:r w:rsidRPr="009B7B35">
              <w:rPr>
                <w:rFonts w:cs="Arial"/>
              </w:rPr>
              <w:tab/>
            </w:r>
          </w:p>
          <w:p w14:paraId="3EA0C78F" w14:textId="77777777" w:rsidR="00BE36FB" w:rsidRPr="009B7B35" w:rsidRDefault="00BE36FB" w:rsidP="001A7107">
            <w:pPr>
              <w:pStyle w:val="Tablelines"/>
              <w:rPr>
                <w:rFonts w:cs="Arial"/>
              </w:rPr>
            </w:pPr>
            <w:r w:rsidRPr="009B7B35">
              <w:rPr>
                <w:rFonts w:cs="Arial"/>
              </w:rPr>
              <w:tab/>
            </w:r>
            <w:r w:rsidRPr="009B7B35">
              <w:rPr>
                <w:rFonts w:cs="Arial"/>
              </w:rPr>
              <w:tab/>
            </w:r>
          </w:p>
          <w:p w14:paraId="39148A66" w14:textId="77777777" w:rsidR="00BE36FB" w:rsidRPr="009B7B35" w:rsidRDefault="00BE36FB" w:rsidP="001A7107">
            <w:pPr>
              <w:pStyle w:val="Tablelines"/>
              <w:rPr>
                <w:rFonts w:cs="Arial"/>
              </w:rPr>
            </w:pPr>
            <w:r w:rsidRPr="009B7B35">
              <w:rPr>
                <w:rFonts w:cs="Arial"/>
              </w:rPr>
              <w:tab/>
            </w:r>
            <w:r w:rsidRPr="009B7B35">
              <w:rPr>
                <w:rFonts w:cs="Arial"/>
              </w:rPr>
              <w:tab/>
            </w:r>
          </w:p>
          <w:p w14:paraId="640E2F8A" w14:textId="77777777" w:rsidR="00BE36FB" w:rsidRPr="009B7B35" w:rsidRDefault="00BE36FB" w:rsidP="001A7107">
            <w:pPr>
              <w:pStyle w:val="Tablelines"/>
              <w:rPr>
                <w:rFonts w:cs="Arial"/>
              </w:rPr>
            </w:pPr>
            <w:r w:rsidRPr="009B7B35">
              <w:rPr>
                <w:rFonts w:cs="Arial"/>
              </w:rPr>
              <w:tab/>
            </w:r>
            <w:r w:rsidRPr="009B7B35">
              <w:rPr>
                <w:rFonts w:cs="Arial"/>
              </w:rPr>
              <w:tab/>
            </w:r>
          </w:p>
          <w:p w14:paraId="0F429BB9" w14:textId="77777777" w:rsidR="00BE36FB" w:rsidRPr="009B7B35" w:rsidRDefault="00BE36FB" w:rsidP="001A7107">
            <w:pPr>
              <w:pStyle w:val="Tablelines"/>
              <w:rPr>
                <w:rFonts w:cs="Arial"/>
              </w:rPr>
            </w:pPr>
            <w:r w:rsidRPr="009B7B35">
              <w:rPr>
                <w:rFonts w:cs="Arial"/>
              </w:rPr>
              <w:tab/>
              <w:t>Associated measures to achieve diversion:</w:t>
            </w:r>
          </w:p>
          <w:p w14:paraId="095CD2D7" w14:textId="77777777" w:rsidR="00BE36FB" w:rsidRPr="009B7B35" w:rsidRDefault="00BE36FB" w:rsidP="001A7107">
            <w:pPr>
              <w:pStyle w:val="Tablelines"/>
              <w:rPr>
                <w:rFonts w:cs="Arial"/>
              </w:rPr>
            </w:pPr>
            <w:r w:rsidRPr="009B7B35">
              <w:rPr>
                <w:rFonts w:cs="Arial"/>
              </w:rPr>
              <w:tab/>
            </w:r>
            <w:r w:rsidRPr="009B7B35">
              <w:rPr>
                <w:rFonts w:cs="Arial"/>
              </w:rPr>
              <w:tab/>
            </w:r>
          </w:p>
          <w:p w14:paraId="49113249" w14:textId="77777777" w:rsidR="00BE36FB" w:rsidRPr="009B7B35" w:rsidRDefault="00BE36FB" w:rsidP="001A7107">
            <w:pPr>
              <w:pStyle w:val="Tablelines"/>
              <w:rPr>
                <w:rFonts w:cs="Arial"/>
              </w:rPr>
            </w:pPr>
            <w:r w:rsidRPr="009B7B35">
              <w:rPr>
                <w:rFonts w:cs="Arial"/>
              </w:rPr>
              <w:tab/>
            </w:r>
            <w:r w:rsidRPr="009B7B35">
              <w:rPr>
                <w:rFonts w:cs="Arial"/>
              </w:rPr>
              <w:tab/>
            </w:r>
          </w:p>
          <w:p w14:paraId="33C2EC7E" w14:textId="77777777" w:rsidR="00BE36FB" w:rsidRPr="009B7B35" w:rsidRDefault="00BE36FB" w:rsidP="001A7107">
            <w:pPr>
              <w:pStyle w:val="Tablelines"/>
              <w:rPr>
                <w:rFonts w:cs="Arial"/>
              </w:rPr>
            </w:pPr>
            <w:r w:rsidRPr="009B7B35">
              <w:rPr>
                <w:rFonts w:cs="Arial"/>
              </w:rPr>
              <w:tab/>
            </w:r>
            <w:r w:rsidRPr="009B7B35">
              <w:rPr>
                <w:rFonts w:cs="Arial"/>
              </w:rPr>
              <w:tab/>
            </w:r>
          </w:p>
          <w:p w14:paraId="57F76CAC" w14:textId="77777777" w:rsidR="00BE36FB" w:rsidRPr="009B7B35" w:rsidRDefault="00BE36FB" w:rsidP="001A7107">
            <w:pPr>
              <w:pStyle w:val="Tablelines"/>
              <w:rPr>
                <w:rFonts w:cs="Arial"/>
              </w:rPr>
            </w:pPr>
            <w:r w:rsidRPr="009B7B35">
              <w:rPr>
                <w:rFonts w:cs="Arial"/>
              </w:rPr>
              <w:tab/>
            </w:r>
            <w:r w:rsidRPr="009B7B35">
              <w:rPr>
                <w:rFonts w:cs="Arial"/>
              </w:rPr>
              <w:tab/>
            </w:r>
          </w:p>
          <w:p w14:paraId="4A10E697" w14:textId="77777777" w:rsidR="00BE36FB" w:rsidRPr="009B7B35" w:rsidRDefault="00BE36FB" w:rsidP="001A7107">
            <w:pPr>
              <w:pStyle w:val="Tablelines"/>
              <w:rPr>
                <w:rFonts w:cs="Arial"/>
              </w:rPr>
            </w:pPr>
            <w:r w:rsidRPr="009B7B35">
              <w:rPr>
                <w:rFonts w:cs="Arial"/>
              </w:rPr>
              <w:tab/>
            </w:r>
            <w:r w:rsidRPr="009B7B35">
              <w:rPr>
                <w:rFonts w:cs="Arial"/>
              </w:rPr>
              <w:tab/>
            </w:r>
          </w:p>
          <w:p w14:paraId="056AFC1C" w14:textId="77777777" w:rsidR="00BE36FB" w:rsidRPr="009B7B35" w:rsidRDefault="00BE36FB" w:rsidP="001A7107">
            <w:pPr>
              <w:pStyle w:val="Tablelines"/>
              <w:rPr>
                <w:rFonts w:cs="Arial"/>
              </w:rPr>
            </w:pPr>
            <w:r w:rsidRPr="009B7B35">
              <w:rPr>
                <w:rFonts w:cs="Arial"/>
              </w:rPr>
              <w:tab/>
            </w:r>
            <w:r w:rsidRPr="009B7B35">
              <w:rPr>
                <w:rFonts w:cs="Arial"/>
              </w:rPr>
              <w:tab/>
            </w:r>
          </w:p>
        </w:tc>
      </w:tr>
    </w:tbl>
    <w:p w14:paraId="34E24D00" w14:textId="77777777" w:rsidR="00BE36FB" w:rsidRPr="009B7B35" w:rsidRDefault="00BE36FB">
      <w:pPr>
        <w:rPr>
          <w:rFonts w:ascii="Arial" w:hAnsi="Arial" w:cs="Arial"/>
          <w:sz w:val="20"/>
          <w:szCs w:val="20"/>
        </w:rPr>
      </w:pPr>
      <w:r w:rsidRPr="009B7B35">
        <w:rPr>
          <w:rFonts w:ascii="Arial" w:hAnsi="Arial" w:cs="Arial"/>
          <w:sz w:val="20"/>
          <w:szCs w:val="20"/>
        </w:rPr>
        <w:br w:type="page"/>
      </w:r>
    </w:p>
    <w:tbl>
      <w:tblPr>
        <w:tblStyle w:val="Tablestyle"/>
        <w:tblW w:w="9356" w:type="dxa"/>
        <w:tblLayout w:type="fixed"/>
        <w:tblLook w:val="0600" w:firstRow="0" w:lastRow="0" w:firstColumn="0" w:lastColumn="0" w:noHBand="1" w:noVBand="1"/>
      </w:tblPr>
      <w:tblGrid>
        <w:gridCol w:w="9356"/>
      </w:tblGrid>
      <w:tr w:rsidR="00BE36FB" w:rsidRPr="009B7B35" w14:paraId="5DFA4C3F" w14:textId="77777777" w:rsidTr="001A7107">
        <w:trPr>
          <w:trHeight w:val="3115"/>
        </w:trPr>
        <w:tc>
          <w:tcPr>
            <w:tcW w:w="9356" w:type="dxa"/>
          </w:tcPr>
          <w:p w14:paraId="68B0D516" w14:textId="77777777" w:rsidR="00BE36FB" w:rsidRPr="009B7B35" w:rsidRDefault="00BE36FB" w:rsidP="001A7107">
            <w:pPr>
              <w:pStyle w:val="Tablelines"/>
              <w:rPr>
                <w:rFonts w:cs="Arial"/>
              </w:rPr>
            </w:pPr>
            <w:r w:rsidRPr="009B7B35">
              <w:rPr>
                <w:rFonts w:cs="Arial"/>
              </w:rPr>
              <w:tab/>
            </w:r>
            <w:r w:rsidRPr="009B7B35">
              <w:rPr>
                <w:rFonts w:cs="Arial"/>
                <w:lang w:val="en-AU"/>
              </w:rPr>
              <w:t xml:space="preserve">Identification of criteria and indicators on which the performance of the waste management </w:t>
            </w:r>
            <w:r w:rsidRPr="009B7B35">
              <w:rPr>
                <w:rFonts w:cs="Arial"/>
                <w:lang w:val="en-AU"/>
              </w:rPr>
              <w:br/>
            </w:r>
            <w:r w:rsidRPr="009B7B35">
              <w:rPr>
                <w:rFonts w:cs="Arial"/>
                <w:lang w:val="en-AU"/>
              </w:rPr>
              <w:tab/>
              <w:t>practices will be assessed (including frequency of performance assessments):</w:t>
            </w:r>
          </w:p>
          <w:p w14:paraId="62EB8FE5" w14:textId="77777777" w:rsidR="00BE36FB" w:rsidRPr="009B7B35" w:rsidRDefault="00BE36FB" w:rsidP="001A7107">
            <w:pPr>
              <w:pStyle w:val="Tablelines"/>
              <w:rPr>
                <w:rFonts w:cs="Arial"/>
              </w:rPr>
            </w:pPr>
            <w:r w:rsidRPr="009B7B35">
              <w:rPr>
                <w:rFonts w:cs="Arial"/>
              </w:rPr>
              <w:tab/>
            </w:r>
            <w:r w:rsidRPr="009B7B35">
              <w:rPr>
                <w:rFonts w:cs="Arial"/>
              </w:rPr>
              <w:tab/>
            </w:r>
          </w:p>
          <w:p w14:paraId="01FC3B68" w14:textId="77777777" w:rsidR="00BE36FB" w:rsidRPr="009B7B35" w:rsidRDefault="00BE36FB" w:rsidP="001A7107">
            <w:pPr>
              <w:pStyle w:val="Tablelines"/>
              <w:rPr>
                <w:rFonts w:cs="Arial"/>
              </w:rPr>
            </w:pPr>
            <w:r w:rsidRPr="009B7B35">
              <w:rPr>
                <w:rFonts w:cs="Arial"/>
              </w:rPr>
              <w:tab/>
            </w:r>
            <w:r w:rsidRPr="009B7B35">
              <w:rPr>
                <w:rFonts w:cs="Arial"/>
              </w:rPr>
              <w:tab/>
            </w:r>
          </w:p>
          <w:p w14:paraId="447FB7E2" w14:textId="77777777" w:rsidR="00BE36FB" w:rsidRPr="009B7B35" w:rsidRDefault="00BE36FB" w:rsidP="001A7107">
            <w:pPr>
              <w:pStyle w:val="Tablelines"/>
              <w:rPr>
                <w:rFonts w:cs="Arial"/>
              </w:rPr>
            </w:pPr>
            <w:r w:rsidRPr="009B7B35">
              <w:rPr>
                <w:rFonts w:cs="Arial"/>
              </w:rPr>
              <w:tab/>
            </w:r>
            <w:r w:rsidRPr="009B7B35">
              <w:rPr>
                <w:rFonts w:cs="Arial"/>
              </w:rPr>
              <w:tab/>
            </w:r>
          </w:p>
          <w:p w14:paraId="72BE2E4B" w14:textId="77777777" w:rsidR="00BE36FB" w:rsidRPr="009B7B35" w:rsidRDefault="00BE36FB" w:rsidP="001A7107">
            <w:pPr>
              <w:pStyle w:val="Tablelines"/>
              <w:rPr>
                <w:rFonts w:cs="Arial"/>
              </w:rPr>
            </w:pPr>
            <w:r w:rsidRPr="009B7B35">
              <w:rPr>
                <w:rFonts w:cs="Arial"/>
              </w:rPr>
              <w:tab/>
            </w:r>
            <w:r w:rsidRPr="009B7B35">
              <w:rPr>
                <w:rFonts w:cs="Arial"/>
              </w:rPr>
              <w:tab/>
            </w:r>
          </w:p>
          <w:p w14:paraId="0502F83F" w14:textId="77777777" w:rsidR="00BE36FB" w:rsidRPr="009B7B35" w:rsidRDefault="00BE36FB" w:rsidP="001A7107">
            <w:pPr>
              <w:pStyle w:val="Tablelines"/>
              <w:rPr>
                <w:rFonts w:cs="Arial"/>
              </w:rPr>
            </w:pPr>
            <w:r w:rsidRPr="009B7B35">
              <w:rPr>
                <w:rFonts w:cs="Arial"/>
              </w:rPr>
              <w:tab/>
            </w:r>
            <w:r w:rsidRPr="009B7B35">
              <w:rPr>
                <w:rFonts w:cs="Arial"/>
              </w:rPr>
              <w:tab/>
            </w:r>
          </w:p>
        </w:tc>
      </w:tr>
      <w:tr w:rsidR="00BE36FB" w:rsidRPr="009B7B35" w14:paraId="0A914BB8" w14:textId="77777777" w:rsidTr="001A7107">
        <w:trPr>
          <w:trHeight w:val="36"/>
        </w:trPr>
        <w:tc>
          <w:tcPr>
            <w:tcW w:w="9356" w:type="dxa"/>
          </w:tcPr>
          <w:p w14:paraId="664BF20A" w14:textId="77777777" w:rsidR="00BE36FB" w:rsidRPr="009B7B35" w:rsidRDefault="00BE36FB" w:rsidP="001A7107">
            <w:pPr>
              <w:pStyle w:val="Tableheading"/>
              <w:rPr>
                <w:rFonts w:ascii="Arial" w:hAnsi="Arial" w:cs="Arial"/>
                <w:szCs w:val="20"/>
              </w:rPr>
            </w:pPr>
            <w:r w:rsidRPr="009B7B35">
              <w:rPr>
                <w:rFonts w:ascii="Arial" w:hAnsi="Arial" w:cs="Arial"/>
                <w:szCs w:val="20"/>
              </w:rPr>
              <w:t>Section three: Use of premises</w:t>
            </w:r>
          </w:p>
        </w:tc>
      </w:tr>
      <w:tr w:rsidR="00BE36FB" w:rsidRPr="009B7B35" w14:paraId="61B9D953" w14:textId="77777777" w:rsidTr="001A7107">
        <w:trPr>
          <w:trHeight w:val="36"/>
        </w:trPr>
        <w:tc>
          <w:tcPr>
            <w:tcW w:w="9356" w:type="dxa"/>
          </w:tcPr>
          <w:p w14:paraId="03127C68" w14:textId="77777777" w:rsidR="00BE36FB" w:rsidRPr="009B7B35" w:rsidRDefault="00BE36FB" w:rsidP="001A7107">
            <w:pPr>
              <w:pStyle w:val="Tablelines"/>
              <w:rPr>
                <w:rFonts w:cs="Arial"/>
              </w:rPr>
            </w:pPr>
            <w:r w:rsidRPr="009B7B35">
              <w:rPr>
                <w:rFonts w:cs="Arial"/>
                <w:lang w:val="en-AU"/>
              </w:rPr>
              <w:tab/>
              <w:t>Description of activities that may generate waste:</w:t>
            </w:r>
          </w:p>
          <w:p w14:paraId="773B5BD9" w14:textId="77777777" w:rsidR="00BE36FB" w:rsidRPr="009B7B35" w:rsidRDefault="00BE36FB" w:rsidP="001A7107">
            <w:pPr>
              <w:pStyle w:val="Tablelines"/>
              <w:rPr>
                <w:rFonts w:cs="Arial"/>
              </w:rPr>
            </w:pPr>
            <w:r w:rsidRPr="009B7B35">
              <w:rPr>
                <w:rFonts w:cs="Arial"/>
              </w:rPr>
              <w:tab/>
            </w:r>
            <w:r w:rsidRPr="009B7B35">
              <w:rPr>
                <w:rFonts w:cs="Arial"/>
              </w:rPr>
              <w:tab/>
            </w:r>
          </w:p>
          <w:p w14:paraId="3B3F8B45" w14:textId="77777777" w:rsidR="00BE36FB" w:rsidRPr="009B7B35" w:rsidRDefault="00BE36FB" w:rsidP="001A7107">
            <w:pPr>
              <w:pStyle w:val="Tablelines"/>
              <w:rPr>
                <w:rFonts w:cs="Arial"/>
              </w:rPr>
            </w:pPr>
            <w:r w:rsidRPr="009B7B35">
              <w:rPr>
                <w:rFonts w:cs="Arial"/>
              </w:rPr>
              <w:tab/>
            </w:r>
            <w:r w:rsidRPr="009B7B35">
              <w:rPr>
                <w:rFonts w:cs="Arial"/>
              </w:rPr>
              <w:tab/>
            </w:r>
          </w:p>
          <w:p w14:paraId="0FCEB527" w14:textId="77777777" w:rsidR="00BE36FB" w:rsidRPr="009B7B35" w:rsidRDefault="00BE36FB" w:rsidP="001A7107">
            <w:pPr>
              <w:pStyle w:val="Tablelines"/>
              <w:rPr>
                <w:rFonts w:cs="Arial"/>
              </w:rPr>
            </w:pPr>
            <w:r w:rsidRPr="009B7B35">
              <w:rPr>
                <w:rFonts w:cs="Arial"/>
              </w:rPr>
              <w:tab/>
            </w:r>
            <w:r w:rsidRPr="009B7B35">
              <w:rPr>
                <w:rFonts w:cs="Arial"/>
              </w:rPr>
              <w:tab/>
            </w:r>
          </w:p>
          <w:p w14:paraId="08085FE7" w14:textId="77777777" w:rsidR="00BE36FB" w:rsidRPr="009B7B35" w:rsidRDefault="00BE36FB" w:rsidP="001A7107">
            <w:pPr>
              <w:pStyle w:val="Tablelines"/>
              <w:rPr>
                <w:rFonts w:cs="Arial"/>
              </w:rPr>
            </w:pPr>
            <w:r w:rsidRPr="009B7B35">
              <w:rPr>
                <w:rFonts w:cs="Arial"/>
              </w:rPr>
              <w:tab/>
            </w:r>
            <w:r w:rsidRPr="009B7B35">
              <w:rPr>
                <w:rFonts w:cs="Arial"/>
              </w:rPr>
              <w:tab/>
            </w:r>
          </w:p>
          <w:p w14:paraId="4453E660" w14:textId="77777777" w:rsidR="00BE36FB" w:rsidRPr="009B7B35" w:rsidRDefault="00BE36FB" w:rsidP="001A7107">
            <w:pPr>
              <w:pStyle w:val="Tablelines"/>
              <w:rPr>
                <w:rFonts w:cs="Arial"/>
              </w:rPr>
            </w:pPr>
            <w:r w:rsidRPr="009B7B35">
              <w:rPr>
                <w:rFonts w:cs="Arial"/>
                <w:lang w:val="en-AU"/>
              </w:rPr>
              <w:tab/>
            </w:r>
            <w:r w:rsidRPr="009B7B35">
              <w:rPr>
                <w:rFonts w:cs="Arial"/>
                <w:lang w:val="en-AU"/>
              </w:rPr>
              <w:tab/>
            </w:r>
          </w:p>
        </w:tc>
      </w:tr>
      <w:tr w:rsidR="00BE36FB" w:rsidRPr="009B7B35" w14:paraId="112340B8" w14:textId="77777777" w:rsidTr="001A7107">
        <w:trPr>
          <w:trHeight w:val="36"/>
        </w:trPr>
        <w:tc>
          <w:tcPr>
            <w:tcW w:w="9356" w:type="dxa"/>
          </w:tcPr>
          <w:p w14:paraId="31D326EF" w14:textId="77777777" w:rsidR="00BE36FB" w:rsidRPr="009B7B35" w:rsidRDefault="00BE36FB" w:rsidP="001A7107">
            <w:pPr>
              <w:pStyle w:val="Tableheading"/>
              <w:rPr>
                <w:rFonts w:ascii="Arial" w:hAnsi="Arial" w:cs="Arial"/>
                <w:szCs w:val="20"/>
              </w:rPr>
            </w:pPr>
            <w:r w:rsidRPr="009B7B35">
              <w:rPr>
                <w:rFonts w:ascii="Arial" w:hAnsi="Arial" w:cs="Arial"/>
                <w:szCs w:val="20"/>
              </w:rPr>
              <w:t>Types and amounts of waste generated</w:t>
            </w:r>
          </w:p>
          <w:p w14:paraId="0C897A3D" w14:textId="77777777" w:rsidR="00BE36FB" w:rsidRPr="009B7B35" w:rsidRDefault="00BE36FB" w:rsidP="001A7107">
            <w:pPr>
              <w:pStyle w:val="Tableheading"/>
              <w:rPr>
                <w:rFonts w:ascii="Arial" w:hAnsi="Arial" w:cs="Arial"/>
                <w:szCs w:val="20"/>
              </w:rPr>
            </w:pPr>
            <w:r w:rsidRPr="009B7B35">
              <w:rPr>
                <w:rFonts w:ascii="Arial" w:hAnsi="Arial" w:cs="Arial"/>
                <w:szCs w:val="20"/>
              </w:rPr>
              <w:t>Table 3—Details of waste management: Use of premises phase</w:t>
            </w:r>
          </w:p>
        </w:tc>
      </w:tr>
      <w:tr w:rsidR="00BE36FB" w:rsidRPr="009B7B35" w14:paraId="7FC510BD" w14:textId="77777777" w:rsidTr="001A7107">
        <w:trPr>
          <w:trHeight w:val="36"/>
        </w:trPr>
        <w:tc>
          <w:tcPr>
            <w:tcW w:w="9356" w:type="dxa"/>
          </w:tcPr>
          <w:p w14:paraId="10767C0F" w14:textId="77777777" w:rsidR="00BE36FB" w:rsidRPr="009B7B35" w:rsidRDefault="00BE36FB" w:rsidP="001A7107">
            <w:pPr>
              <w:pStyle w:val="Tablelines"/>
              <w:rPr>
                <w:rFonts w:cs="Arial"/>
              </w:rPr>
            </w:pPr>
            <w:r w:rsidRPr="009B7B35">
              <w:rPr>
                <w:rFonts w:cs="Arial"/>
              </w:rPr>
              <w:tab/>
              <w:t>Identify any hazardous characteristics of waste generated:</w:t>
            </w:r>
          </w:p>
          <w:p w14:paraId="2C81FB2E" w14:textId="77777777" w:rsidR="00BE36FB" w:rsidRPr="009B7B35" w:rsidRDefault="00BE36FB" w:rsidP="001A7107">
            <w:pPr>
              <w:pStyle w:val="Tablelines"/>
              <w:rPr>
                <w:rFonts w:cs="Arial"/>
              </w:rPr>
            </w:pPr>
            <w:r w:rsidRPr="009B7B35">
              <w:rPr>
                <w:rFonts w:cs="Arial"/>
              </w:rPr>
              <w:tab/>
            </w:r>
            <w:r w:rsidRPr="009B7B35">
              <w:rPr>
                <w:rFonts w:cs="Arial"/>
              </w:rPr>
              <w:tab/>
            </w:r>
          </w:p>
          <w:p w14:paraId="118DE23D" w14:textId="77777777" w:rsidR="00BE36FB" w:rsidRPr="009B7B35" w:rsidRDefault="00BE36FB" w:rsidP="001A7107">
            <w:pPr>
              <w:pStyle w:val="Tablelines"/>
              <w:rPr>
                <w:rFonts w:cs="Arial"/>
              </w:rPr>
            </w:pPr>
            <w:r w:rsidRPr="009B7B35">
              <w:rPr>
                <w:rFonts w:cs="Arial"/>
              </w:rPr>
              <w:tab/>
            </w:r>
            <w:r w:rsidRPr="009B7B35">
              <w:rPr>
                <w:rFonts w:cs="Arial"/>
              </w:rPr>
              <w:tab/>
            </w:r>
          </w:p>
          <w:p w14:paraId="0B2CFF6D" w14:textId="77777777" w:rsidR="00BE36FB" w:rsidRPr="009B7B35" w:rsidRDefault="00BE36FB" w:rsidP="001A7107">
            <w:pPr>
              <w:pStyle w:val="Tablelines"/>
              <w:rPr>
                <w:rFonts w:cs="Arial"/>
              </w:rPr>
            </w:pPr>
            <w:r w:rsidRPr="009B7B35">
              <w:rPr>
                <w:rFonts w:cs="Arial"/>
              </w:rPr>
              <w:tab/>
            </w:r>
            <w:r w:rsidRPr="009B7B35">
              <w:rPr>
                <w:rFonts w:cs="Arial"/>
              </w:rPr>
              <w:tab/>
            </w:r>
          </w:p>
          <w:p w14:paraId="584FB417" w14:textId="77777777" w:rsidR="00BE36FB" w:rsidRPr="009B7B35" w:rsidRDefault="00BE36FB" w:rsidP="001A7107">
            <w:pPr>
              <w:pStyle w:val="Tablelines"/>
              <w:rPr>
                <w:rFonts w:cs="Arial"/>
              </w:rPr>
            </w:pPr>
            <w:r w:rsidRPr="009B7B35">
              <w:rPr>
                <w:rFonts w:cs="Arial"/>
              </w:rPr>
              <w:tab/>
            </w:r>
            <w:r w:rsidRPr="009B7B35">
              <w:rPr>
                <w:rFonts w:cs="Arial"/>
              </w:rPr>
              <w:tab/>
            </w:r>
          </w:p>
          <w:p w14:paraId="04BCB8BE" w14:textId="77777777" w:rsidR="00BE36FB" w:rsidRPr="009B7B35" w:rsidRDefault="00BE36FB" w:rsidP="001A7107">
            <w:pPr>
              <w:pStyle w:val="Tablelines"/>
              <w:rPr>
                <w:rFonts w:cs="Arial"/>
              </w:rPr>
            </w:pPr>
            <w:r w:rsidRPr="009B7B35">
              <w:rPr>
                <w:rFonts w:cs="Arial"/>
              </w:rPr>
              <w:tab/>
            </w:r>
            <w:r w:rsidRPr="009B7B35">
              <w:rPr>
                <w:rFonts w:cs="Arial"/>
              </w:rPr>
              <w:tab/>
            </w:r>
          </w:p>
          <w:p w14:paraId="5707F117" w14:textId="77777777" w:rsidR="00BE36FB" w:rsidRPr="009B7B35" w:rsidRDefault="00BE36FB" w:rsidP="001A7107">
            <w:pPr>
              <w:pStyle w:val="Tablelines"/>
              <w:rPr>
                <w:rFonts w:cs="Arial"/>
              </w:rPr>
            </w:pPr>
            <w:r w:rsidRPr="009B7B35">
              <w:rPr>
                <w:rFonts w:cs="Arial"/>
              </w:rPr>
              <w:tab/>
              <w:t>Identification of requirements for handling of wastes:</w:t>
            </w:r>
          </w:p>
          <w:p w14:paraId="66B8F5AA" w14:textId="77777777" w:rsidR="00BE36FB" w:rsidRPr="009B7B35" w:rsidRDefault="00BE36FB" w:rsidP="001A7107">
            <w:pPr>
              <w:pStyle w:val="Tablelines"/>
              <w:rPr>
                <w:rFonts w:cs="Arial"/>
              </w:rPr>
            </w:pPr>
            <w:r w:rsidRPr="009B7B35">
              <w:rPr>
                <w:rFonts w:cs="Arial"/>
              </w:rPr>
              <w:tab/>
            </w:r>
            <w:r w:rsidRPr="009B7B35">
              <w:rPr>
                <w:rFonts w:cs="Arial"/>
              </w:rPr>
              <w:tab/>
            </w:r>
          </w:p>
          <w:p w14:paraId="60B573B1" w14:textId="77777777" w:rsidR="00BE36FB" w:rsidRPr="009B7B35" w:rsidRDefault="00BE36FB" w:rsidP="001A7107">
            <w:pPr>
              <w:pStyle w:val="Tablelines"/>
              <w:rPr>
                <w:rFonts w:cs="Arial"/>
              </w:rPr>
            </w:pPr>
            <w:r w:rsidRPr="009B7B35">
              <w:rPr>
                <w:rFonts w:cs="Arial"/>
              </w:rPr>
              <w:tab/>
            </w:r>
            <w:r w:rsidRPr="009B7B35">
              <w:rPr>
                <w:rFonts w:cs="Arial"/>
              </w:rPr>
              <w:tab/>
            </w:r>
          </w:p>
          <w:p w14:paraId="2C242D96" w14:textId="77777777" w:rsidR="00BE36FB" w:rsidRPr="009B7B35" w:rsidRDefault="00BE36FB" w:rsidP="001A7107">
            <w:pPr>
              <w:pStyle w:val="Tablelines"/>
              <w:rPr>
                <w:rFonts w:cs="Arial"/>
              </w:rPr>
            </w:pPr>
            <w:r w:rsidRPr="009B7B35">
              <w:rPr>
                <w:rFonts w:cs="Arial"/>
              </w:rPr>
              <w:tab/>
            </w:r>
            <w:r w:rsidRPr="009B7B35">
              <w:rPr>
                <w:rFonts w:cs="Arial"/>
              </w:rPr>
              <w:tab/>
            </w:r>
          </w:p>
          <w:p w14:paraId="02F596A2" w14:textId="77777777" w:rsidR="00BE36FB" w:rsidRPr="009B7B35" w:rsidRDefault="00BE36FB" w:rsidP="001A7107">
            <w:pPr>
              <w:pStyle w:val="Tablelines"/>
              <w:rPr>
                <w:rFonts w:cs="Arial"/>
              </w:rPr>
            </w:pPr>
            <w:r w:rsidRPr="009B7B35">
              <w:rPr>
                <w:rFonts w:cs="Arial"/>
              </w:rPr>
              <w:tab/>
            </w:r>
            <w:r w:rsidRPr="009B7B35">
              <w:rPr>
                <w:rFonts w:cs="Arial"/>
              </w:rPr>
              <w:tab/>
            </w:r>
          </w:p>
          <w:p w14:paraId="22A06EBD" w14:textId="77777777" w:rsidR="00BE36FB" w:rsidRPr="009B7B35" w:rsidRDefault="00BE36FB" w:rsidP="001A7107">
            <w:pPr>
              <w:pStyle w:val="Tablelines"/>
              <w:rPr>
                <w:rFonts w:cs="Arial"/>
                <w:lang w:val="en-AU"/>
              </w:rPr>
            </w:pPr>
            <w:r w:rsidRPr="009B7B35">
              <w:rPr>
                <w:rFonts w:cs="Arial"/>
                <w:lang w:val="en-AU"/>
              </w:rPr>
              <w:tab/>
            </w:r>
            <w:r w:rsidRPr="009B7B35">
              <w:rPr>
                <w:rFonts w:cs="Arial"/>
                <w:lang w:val="en-AU"/>
              </w:rPr>
              <w:tab/>
            </w:r>
          </w:p>
        </w:tc>
      </w:tr>
    </w:tbl>
    <w:p w14:paraId="46202FD3" w14:textId="77777777" w:rsidR="00BE36FB" w:rsidRPr="009B7B35" w:rsidRDefault="00BE36FB">
      <w:pPr>
        <w:rPr>
          <w:rFonts w:ascii="Arial" w:hAnsi="Arial" w:cs="Arial"/>
          <w:sz w:val="20"/>
          <w:szCs w:val="20"/>
        </w:rPr>
      </w:pPr>
      <w:r w:rsidRPr="009B7B35">
        <w:rPr>
          <w:rFonts w:ascii="Arial" w:hAnsi="Arial" w:cs="Arial"/>
          <w:sz w:val="20"/>
          <w:szCs w:val="20"/>
        </w:rPr>
        <w:br w:type="page"/>
      </w:r>
    </w:p>
    <w:tbl>
      <w:tblPr>
        <w:tblStyle w:val="Tablestyle"/>
        <w:tblW w:w="9356" w:type="dxa"/>
        <w:tblLayout w:type="fixed"/>
        <w:tblLook w:val="0600" w:firstRow="0" w:lastRow="0" w:firstColumn="0" w:lastColumn="0" w:noHBand="1" w:noVBand="1"/>
      </w:tblPr>
      <w:tblGrid>
        <w:gridCol w:w="9356"/>
      </w:tblGrid>
      <w:tr w:rsidR="00BE36FB" w:rsidRPr="009B7B35" w14:paraId="0DBA9C18" w14:textId="77777777" w:rsidTr="001A7107">
        <w:tc>
          <w:tcPr>
            <w:tcW w:w="9356" w:type="dxa"/>
            <w:shd w:val="clear" w:color="auto" w:fill="FFFFFF" w:themeFill="background1"/>
          </w:tcPr>
          <w:p w14:paraId="5BD79395" w14:textId="77777777" w:rsidR="00BE36FB" w:rsidRPr="009B7B35" w:rsidRDefault="00BE36FB" w:rsidP="001A7107">
            <w:pPr>
              <w:pStyle w:val="Tablelines"/>
              <w:rPr>
                <w:rFonts w:cs="Arial"/>
              </w:rPr>
            </w:pPr>
            <w:r w:rsidRPr="009B7B35">
              <w:rPr>
                <w:rFonts w:cs="Arial"/>
              </w:rPr>
              <w:tab/>
              <w:t>Identification of requirements for collection of wastes:</w:t>
            </w:r>
          </w:p>
          <w:p w14:paraId="7845A47A" w14:textId="77777777" w:rsidR="00BE36FB" w:rsidRPr="009B7B35" w:rsidRDefault="00BE36FB" w:rsidP="001A7107">
            <w:pPr>
              <w:pStyle w:val="Tablelines"/>
              <w:rPr>
                <w:rFonts w:cs="Arial"/>
              </w:rPr>
            </w:pPr>
            <w:r w:rsidRPr="009B7B35">
              <w:rPr>
                <w:rFonts w:cs="Arial"/>
              </w:rPr>
              <w:tab/>
            </w:r>
            <w:r w:rsidRPr="009B7B35">
              <w:rPr>
                <w:rFonts w:cs="Arial"/>
              </w:rPr>
              <w:tab/>
            </w:r>
          </w:p>
          <w:p w14:paraId="22C3C4FF" w14:textId="77777777" w:rsidR="00BE36FB" w:rsidRPr="009B7B35" w:rsidRDefault="00BE36FB" w:rsidP="001A7107">
            <w:pPr>
              <w:pStyle w:val="Tablelines"/>
              <w:rPr>
                <w:rFonts w:cs="Arial"/>
              </w:rPr>
            </w:pPr>
            <w:r w:rsidRPr="009B7B35">
              <w:rPr>
                <w:rFonts w:cs="Arial"/>
              </w:rPr>
              <w:tab/>
            </w:r>
            <w:r w:rsidRPr="009B7B35">
              <w:rPr>
                <w:rFonts w:cs="Arial"/>
              </w:rPr>
              <w:tab/>
            </w:r>
          </w:p>
          <w:p w14:paraId="4B693B09" w14:textId="77777777" w:rsidR="00BE36FB" w:rsidRPr="009B7B35" w:rsidRDefault="00BE36FB" w:rsidP="001A7107">
            <w:pPr>
              <w:pStyle w:val="Tablelines"/>
              <w:rPr>
                <w:rFonts w:cs="Arial"/>
              </w:rPr>
            </w:pPr>
            <w:r w:rsidRPr="009B7B35">
              <w:rPr>
                <w:rFonts w:cs="Arial"/>
              </w:rPr>
              <w:tab/>
            </w:r>
            <w:r w:rsidRPr="009B7B35">
              <w:rPr>
                <w:rFonts w:cs="Arial"/>
              </w:rPr>
              <w:tab/>
            </w:r>
          </w:p>
          <w:p w14:paraId="1F0A9E4A" w14:textId="77777777" w:rsidR="00BE36FB" w:rsidRPr="009B7B35" w:rsidRDefault="00BE36FB" w:rsidP="001A7107">
            <w:pPr>
              <w:pStyle w:val="Tablelines"/>
              <w:rPr>
                <w:rFonts w:cs="Arial"/>
              </w:rPr>
            </w:pPr>
            <w:r w:rsidRPr="009B7B35">
              <w:rPr>
                <w:rFonts w:cs="Arial"/>
              </w:rPr>
              <w:tab/>
            </w:r>
            <w:r w:rsidRPr="009B7B35">
              <w:rPr>
                <w:rFonts w:cs="Arial"/>
              </w:rPr>
              <w:tab/>
            </w:r>
          </w:p>
          <w:p w14:paraId="75674470" w14:textId="77777777" w:rsidR="00BE36FB" w:rsidRPr="009B7B35" w:rsidRDefault="00BE36FB" w:rsidP="001A7107">
            <w:pPr>
              <w:pStyle w:val="Tablelines"/>
              <w:rPr>
                <w:rFonts w:cs="Arial"/>
              </w:rPr>
            </w:pPr>
            <w:r w:rsidRPr="009B7B35">
              <w:rPr>
                <w:rFonts w:cs="Arial"/>
              </w:rPr>
              <w:tab/>
            </w:r>
            <w:r w:rsidRPr="009B7B35">
              <w:rPr>
                <w:rFonts w:cs="Arial"/>
              </w:rPr>
              <w:tab/>
            </w:r>
          </w:p>
          <w:p w14:paraId="15B96870" w14:textId="77777777" w:rsidR="00BE36FB" w:rsidRPr="009B7B35" w:rsidRDefault="00BE36FB" w:rsidP="001A7107">
            <w:pPr>
              <w:pStyle w:val="Tablelines"/>
              <w:rPr>
                <w:rFonts w:cs="Arial"/>
              </w:rPr>
            </w:pPr>
            <w:r w:rsidRPr="009B7B35">
              <w:rPr>
                <w:rFonts w:cs="Arial"/>
              </w:rPr>
              <w:tab/>
              <w:t>Identification of requirements for disposal of wastes:</w:t>
            </w:r>
          </w:p>
          <w:p w14:paraId="04E84BF6" w14:textId="77777777" w:rsidR="00BE36FB" w:rsidRPr="009B7B35" w:rsidRDefault="00BE36FB" w:rsidP="001A7107">
            <w:pPr>
              <w:pStyle w:val="Tablelines"/>
              <w:rPr>
                <w:rFonts w:cs="Arial"/>
              </w:rPr>
            </w:pPr>
            <w:r w:rsidRPr="009B7B35">
              <w:rPr>
                <w:rFonts w:cs="Arial"/>
              </w:rPr>
              <w:tab/>
            </w:r>
            <w:r w:rsidRPr="009B7B35">
              <w:rPr>
                <w:rFonts w:cs="Arial"/>
              </w:rPr>
              <w:tab/>
            </w:r>
          </w:p>
          <w:p w14:paraId="5EB6C37A" w14:textId="77777777" w:rsidR="00BE36FB" w:rsidRPr="009B7B35" w:rsidRDefault="00BE36FB" w:rsidP="001A7107">
            <w:pPr>
              <w:pStyle w:val="Tablelines"/>
              <w:rPr>
                <w:rFonts w:cs="Arial"/>
              </w:rPr>
            </w:pPr>
            <w:r w:rsidRPr="009B7B35">
              <w:rPr>
                <w:rFonts w:cs="Arial"/>
              </w:rPr>
              <w:tab/>
            </w:r>
            <w:r w:rsidRPr="009B7B35">
              <w:rPr>
                <w:rFonts w:cs="Arial"/>
              </w:rPr>
              <w:tab/>
            </w:r>
          </w:p>
          <w:p w14:paraId="2476187B" w14:textId="77777777" w:rsidR="00BE36FB" w:rsidRPr="009B7B35" w:rsidRDefault="00BE36FB" w:rsidP="001A7107">
            <w:pPr>
              <w:pStyle w:val="Tablelines"/>
              <w:rPr>
                <w:rFonts w:cs="Arial"/>
              </w:rPr>
            </w:pPr>
            <w:r w:rsidRPr="009B7B35">
              <w:rPr>
                <w:rFonts w:cs="Arial"/>
              </w:rPr>
              <w:tab/>
            </w:r>
            <w:r w:rsidRPr="009B7B35">
              <w:rPr>
                <w:rFonts w:cs="Arial"/>
              </w:rPr>
              <w:tab/>
            </w:r>
          </w:p>
          <w:p w14:paraId="6195F582" w14:textId="77777777" w:rsidR="00BE36FB" w:rsidRPr="009B7B35" w:rsidRDefault="00BE36FB" w:rsidP="001A7107">
            <w:pPr>
              <w:pStyle w:val="Tablelines"/>
              <w:rPr>
                <w:rFonts w:cs="Arial"/>
              </w:rPr>
            </w:pPr>
            <w:r w:rsidRPr="009B7B35">
              <w:rPr>
                <w:rFonts w:cs="Arial"/>
              </w:rPr>
              <w:tab/>
            </w:r>
            <w:r w:rsidRPr="009B7B35">
              <w:rPr>
                <w:rFonts w:cs="Arial"/>
              </w:rPr>
              <w:tab/>
            </w:r>
          </w:p>
          <w:p w14:paraId="50F8595D" w14:textId="77777777" w:rsidR="00BE36FB" w:rsidRPr="009B7B35" w:rsidRDefault="00BE36FB" w:rsidP="001A7107">
            <w:pPr>
              <w:pStyle w:val="Tablelines"/>
              <w:rPr>
                <w:rFonts w:cs="Arial"/>
              </w:rPr>
            </w:pPr>
            <w:r w:rsidRPr="009B7B35">
              <w:rPr>
                <w:rFonts w:cs="Arial"/>
              </w:rPr>
              <w:tab/>
            </w:r>
            <w:r w:rsidRPr="009B7B35">
              <w:rPr>
                <w:rFonts w:cs="Arial"/>
              </w:rPr>
              <w:tab/>
            </w:r>
          </w:p>
          <w:p w14:paraId="62891628" w14:textId="77777777" w:rsidR="00BE36FB" w:rsidRPr="009B7B35" w:rsidRDefault="00BE36FB" w:rsidP="001A7107">
            <w:pPr>
              <w:pStyle w:val="Tablelines"/>
              <w:rPr>
                <w:rFonts w:cs="Arial"/>
              </w:rPr>
            </w:pPr>
            <w:r w:rsidRPr="009B7B35">
              <w:rPr>
                <w:rFonts w:cs="Arial"/>
              </w:rPr>
              <w:tab/>
              <w:t>Identification of procedures for dealing with potential accidents, spills or other incidents:</w:t>
            </w:r>
          </w:p>
          <w:p w14:paraId="4023E069" w14:textId="77777777" w:rsidR="00BE36FB" w:rsidRPr="009B7B35" w:rsidRDefault="00BE36FB" w:rsidP="001A7107">
            <w:pPr>
              <w:pStyle w:val="Tablelines"/>
              <w:rPr>
                <w:rFonts w:cs="Arial"/>
              </w:rPr>
            </w:pPr>
            <w:r w:rsidRPr="009B7B35">
              <w:rPr>
                <w:rFonts w:cs="Arial"/>
              </w:rPr>
              <w:tab/>
            </w:r>
            <w:r w:rsidRPr="009B7B35">
              <w:rPr>
                <w:rFonts w:cs="Arial"/>
              </w:rPr>
              <w:tab/>
            </w:r>
          </w:p>
          <w:p w14:paraId="3B64FADB" w14:textId="77777777" w:rsidR="00BE36FB" w:rsidRPr="009B7B35" w:rsidRDefault="00BE36FB" w:rsidP="001A7107">
            <w:pPr>
              <w:pStyle w:val="Tablelines"/>
              <w:rPr>
                <w:rFonts w:cs="Arial"/>
              </w:rPr>
            </w:pPr>
            <w:r w:rsidRPr="009B7B35">
              <w:rPr>
                <w:rFonts w:cs="Arial"/>
              </w:rPr>
              <w:tab/>
            </w:r>
            <w:r w:rsidRPr="009B7B35">
              <w:rPr>
                <w:rFonts w:cs="Arial"/>
              </w:rPr>
              <w:tab/>
            </w:r>
          </w:p>
          <w:p w14:paraId="2BF86DD0" w14:textId="77777777" w:rsidR="00BE36FB" w:rsidRPr="009B7B35" w:rsidRDefault="00BE36FB" w:rsidP="001A7107">
            <w:pPr>
              <w:pStyle w:val="Tablelines"/>
              <w:rPr>
                <w:rFonts w:cs="Arial"/>
              </w:rPr>
            </w:pPr>
            <w:r w:rsidRPr="009B7B35">
              <w:rPr>
                <w:rFonts w:cs="Arial"/>
              </w:rPr>
              <w:tab/>
            </w:r>
            <w:r w:rsidRPr="009B7B35">
              <w:rPr>
                <w:rFonts w:cs="Arial"/>
              </w:rPr>
              <w:tab/>
            </w:r>
          </w:p>
          <w:p w14:paraId="74999EA0" w14:textId="77777777" w:rsidR="00BE36FB" w:rsidRPr="009B7B35" w:rsidRDefault="00BE36FB" w:rsidP="001A7107">
            <w:pPr>
              <w:pStyle w:val="Tablelines"/>
              <w:rPr>
                <w:rFonts w:cs="Arial"/>
              </w:rPr>
            </w:pPr>
            <w:r w:rsidRPr="009B7B35">
              <w:rPr>
                <w:rFonts w:cs="Arial"/>
              </w:rPr>
              <w:tab/>
            </w:r>
            <w:r w:rsidRPr="009B7B35">
              <w:rPr>
                <w:rFonts w:cs="Arial"/>
              </w:rPr>
              <w:tab/>
            </w:r>
          </w:p>
          <w:p w14:paraId="446746B4" w14:textId="77777777" w:rsidR="00BE36FB" w:rsidRPr="009B7B35" w:rsidRDefault="00BE36FB" w:rsidP="001A7107">
            <w:pPr>
              <w:pStyle w:val="Tablelines"/>
              <w:rPr>
                <w:rFonts w:cs="Arial"/>
                <w:lang w:val="en-AU"/>
              </w:rPr>
            </w:pPr>
            <w:r w:rsidRPr="009B7B35">
              <w:rPr>
                <w:rFonts w:cs="Arial"/>
                <w:lang w:val="en-AU"/>
              </w:rPr>
              <w:tab/>
            </w:r>
            <w:r w:rsidRPr="009B7B35">
              <w:rPr>
                <w:rFonts w:cs="Arial"/>
                <w:lang w:val="en-AU"/>
              </w:rPr>
              <w:tab/>
            </w:r>
          </w:p>
          <w:p w14:paraId="4910347E" w14:textId="77777777" w:rsidR="00BE36FB" w:rsidRPr="009B7B35" w:rsidRDefault="00BE36FB" w:rsidP="001A7107">
            <w:pPr>
              <w:pStyle w:val="Tablelines"/>
              <w:rPr>
                <w:rFonts w:cs="Arial"/>
              </w:rPr>
            </w:pPr>
            <w:r w:rsidRPr="009B7B35">
              <w:rPr>
                <w:rFonts w:cs="Arial"/>
                <w:lang w:val="en-AU"/>
              </w:rPr>
              <w:tab/>
            </w:r>
            <w:r w:rsidRPr="009B7B35">
              <w:rPr>
                <w:rFonts w:cs="Arial"/>
                <w:lang w:val="en-AU"/>
              </w:rPr>
              <w:tab/>
            </w:r>
          </w:p>
        </w:tc>
      </w:tr>
      <w:tr w:rsidR="00BE36FB" w:rsidRPr="009B7B35" w14:paraId="4D685748" w14:textId="77777777" w:rsidTr="001A7107">
        <w:tc>
          <w:tcPr>
            <w:tcW w:w="9356" w:type="dxa"/>
          </w:tcPr>
          <w:p w14:paraId="4B0301C9" w14:textId="77777777" w:rsidR="00BE36FB" w:rsidRPr="009B7B35" w:rsidRDefault="00BE36FB" w:rsidP="001A7107">
            <w:pPr>
              <w:pStyle w:val="Tableheading"/>
              <w:rPr>
                <w:rFonts w:ascii="Arial" w:hAnsi="Arial" w:cs="Arial"/>
                <w:szCs w:val="20"/>
              </w:rPr>
            </w:pPr>
            <w:r w:rsidRPr="009B7B35">
              <w:rPr>
                <w:rFonts w:ascii="Arial" w:hAnsi="Arial" w:cs="Arial"/>
                <w:szCs w:val="20"/>
              </w:rPr>
              <w:t>Waste diversion from landfill</w:t>
            </w:r>
          </w:p>
        </w:tc>
      </w:tr>
      <w:tr w:rsidR="00BE36FB" w:rsidRPr="009B7B35" w14:paraId="717B71F1" w14:textId="77777777" w:rsidTr="001A7107">
        <w:trPr>
          <w:trHeight w:val="36"/>
        </w:trPr>
        <w:tc>
          <w:tcPr>
            <w:tcW w:w="9356" w:type="dxa"/>
          </w:tcPr>
          <w:p w14:paraId="36E94823" w14:textId="77777777" w:rsidR="00BE36FB" w:rsidRPr="009B7B35" w:rsidRDefault="00BE36FB" w:rsidP="001A7107">
            <w:pPr>
              <w:pStyle w:val="Tablelines"/>
              <w:rPr>
                <w:rFonts w:cs="Arial"/>
              </w:rPr>
            </w:pPr>
            <w:r w:rsidRPr="009B7B35">
              <w:rPr>
                <w:rFonts w:cs="Arial"/>
              </w:rPr>
              <w:tab/>
              <w:t xml:space="preserve">Identify any procedures for identifying and implementing opportunities to minimise the amount of </w:t>
            </w:r>
            <w:r w:rsidRPr="009B7B35">
              <w:rPr>
                <w:rFonts w:cs="Arial"/>
              </w:rPr>
              <w:tab/>
              <w:t xml:space="preserve">waste generated, promote efficiency in the use of resources, and otherwise improve the waste   </w:t>
            </w:r>
            <w:r w:rsidRPr="009B7B35">
              <w:rPr>
                <w:rFonts w:cs="Arial"/>
              </w:rPr>
              <w:tab/>
              <w:t>management practices employed:</w:t>
            </w:r>
          </w:p>
          <w:p w14:paraId="2E813E88" w14:textId="77777777" w:rsidR="00BE36FB" w:rsidRPr="009B7B35" w:rsidRDefault="00BE36FB" w:rsidP="001A7107">
            <w:pPr>
              <w:pStyle w:val="Tablelines"/>
              <w:rPr>
                <w:rFonts w:cs="Arial"/>
              </w:rPr>
            </w:pPr>
            <w:r w:rsidRPr="009B7B35">
              <w:rPr>
                <w:rFonts w:cs="Arial"/>
              </w:rPr>
              <w:tab/>
            </w:r>
            <w:r w:rsidRPr="009B7B35">
              <w:rPr>
                <w:rFonts w:cs="Arial"/>
              </w:rPr>
              <w:tab/>
            </w:r>
          </w:p>
          <w:p w14:paraId="2F48BCC0" w14:textId="77777777" w:rsidR="00BE36FB" w:rsidRPr="009B7B35" w:rsidRDefault="00BE36FB" w:rsidP="001A7107">
            <w:pPr>
              <w:pStyle w:val="Tablelines"/>
              <w:rPr>
                <w:rFonts w:cs="Arial"/>
              </w:rPr>
            </w:pPr>
            <w:r w:rsidRPr="009B7B35">
              <w:rPr>
                <w:rFonts w:cs="Arial"/>
              </w:rPr>
              <w:tab/>
            </w:r>
            <w:r w:rsidRPr="009B7B35">
              <w:rPr>
                <w:rFonts w:cs="Arial"/>
              </w:rPr>
              <w:tab/>
            </w:r>
          </w:p>
          <w:p w14:paraId="147DE752" w14:textId="77777777" w:rsidR="00BE36FB" w:rsidRPr="009B7B35" w:rsidRDefault="00BE36FB" w:rsidP="001A7107">
            <w:pPr>
              <w:pStyle w:val="Tablelines"/>
              <w:rPr>
                <w:rFonts w:cs="Arial"/>
              </w:rPr>
            </w:pPr>
            <w:r w:rsidRPr="009B7B35">
              <w:rPr>
                <w:rFonts w:cs="Arial"/>
              </w:rPr>
              <w:tab/>
            </w:r>
            <w:r w:rsidRPr="009B7B35">
              <w:rPr>
                <w:rFonts w:cs="Arial"/>
              </w:rPr>
              <w:tab/>
            </w:r>
          </w:p>
          <w:p w14:paraId="3D1FF8E6" w14:textId="77777777" w:rsidR="00BE36FB" w:rsidRPr="009B7B35" w:rsidRDefault="00BE36FB" w:rsidP="001A7107">
            <w:pPr>
              <w:pStyle w:val="Tablelines"/>
              <w:rPr>
                <w:rFonts w:cs="Arial"/>
              </w:rPr>
            </w:pPr>
            <w:r w:rsidRPr="009B7B35">
              <w:rPr>
                <w:rFonts w:cs="Arial"/>
              </w:rPr>
              <w:tab/>
            </w:r>
            <w:r w:rsidRPr="009B7B35">
              <w:rPr>
                <w:rFonts w:cs="Arial"/>
              </w:rPr>
              <w:tab/>
            </w:r>
          </w:p>
          <w:p w14:paraId="0E9C6DAB" w14:textId="77777777" w:rsidR="00BE36FB" w:rsidRPr="009B7B35" w:rsidRDefault="00BE36FB" w:rsidP="001A7107">
            <w:pPr>
              <w:pStyle w:val="Tablelines"/>
              <w:rPr>
                <w:rFonts w:cs="Arial"/>
              </w:rPr>
            </w:pPr>
            <w:r w:rsidRPr="009B7B35">
              <w:rPr>
                <w:rFonts w:cs="Arial"/>
              </w:rPr>
              <w:tab/>
            </w:r>
            <w:r w:rsidRPr="009B7B35">
              <w:rPr>
                <w:rFonts w:cs="Arial"/>
              </w:rPr>
              <w:tab/>
            </w:r>
          </w:p>
          <w:p w14:paraId="2227F1FE" w14:textId="77777777" w:rsidR="00BE36FB" w:rsidRPr="009B7B35" w:rsidRDefault="00BE36FB" w:rsidP="001A7107">
            <w:pPr>
              <w:pStyle w:val="Tablelines"/>
              <w:rPr>
                <w:rFonts w:cs="Arial"/>
              </w:rPr>
            </w:pPr>
            <w:r w:rsidRPr="009B7B35">
              <w:rPr>
                <w:rFonts w:cs="Arial"/>
              </w:rPr>
              <w:tab/>
            </w:r>
            <w:r w:rsidRPr="009B7B35">
              <w:rPr>
                <w:rFonts w:cs="Arial"/>
              </w:rPr>
              <w:tab/>
            </w:r>
          </w:p>
        </w:tc>
      </w:tr>
    </w:tbl>
    <w:p w14:paraId="27CF0E22" w14:textId="77777777" w:rsidR="00BE36FB" w:rsidRPr="009B7B35" w:rsidRDefault="00BE36FB">
      <w:pPr>
        <w:rPr>
          <w:rFonts w:ascii="Arial" w:hAnsi="Arial" w:cs="Arial"/>
          <w:sz w:val="20"/>
          <w:szCs w:val="20"/>
        </w:rPr>
      </w:pPr>
      <w:r w:rsidRPr="009B7B35">
        <w:rPr>
          <w:rFonts w:ascii="Arial" w:hAnsi="Arial" w:cs="Arial"/>
          <w:sz w:val="20"/>
          <w:szCs w:val="20"/>
        </w:rPr>
        <w:br w:type="page"/>
      </w:r>
    </w:p>
    <w:tbl>
      <w:tblPr>
        <w:tblStyle w:val="Tablestyle"/>
        <w:tblW w:w="9356" w:type="dxa"/>
        <w:tblLayout w:type="fixed"/>
        <w:tblLook w:val="0600" w:firstRow="0" w:lastRow="0" w:firstColumn="0" w:lastColumn="0" w:noHBand="1" w:noVBand="1"/>
      </w:tblPr>
      <w:tblGrid>
        <w:gridCol w:w="9356"/>
      </w:tblGrid>
      <w:tr w:rsidR="00BE36FB" w:rsidRPr="009B7B35" w14:paraId="224940B6" w14:textId="77777777" w:rsidTr="001A7107">
        <w:tc>
          <w:tcPr>
            <w:tcW w:w="9356" w:type="dxa"/>
            <w:shd w:val="clear" w:color="auto" w:fill="FFFFFF" w:themeFill="background1"/>
          </w:tcPr>
          <w:p w14:paraId="4D5DF143" w14:textId="77777777" w:rsidR="00BE36FB" w:rsidRPr="009B7B35" w:rsidRDefault="00BE36FB" w:rsidP="001A7107">
            <w:pPr>
              <w:pStyle w:val="Tablelines"/>
              <w:rPr>
                <w:rFonts w:cs="Arial"/>
              </w:rPr>
            </w:pPr>
            <w:r w:rsidRPr="009B7B35">
              <w:rPr>
                <w:rFonts w:cs="Arial"/>
              </w:rPr>
              <w:tab/>
              <w:t>Associated measures to achieve diversion:</w:t>
            </w:r>
          </w:p>
          <w:p w14:paraId="27FD790C" w14:textId="77777777" w:rsidR="00BE36FB" w:rsidRPr="009B7B35" w:rsidRDefault="00BE36FB" w:rsidP="001A7107">
            <w:pPr>
              <w:pStyle w:val="Tablelines"/>
              <w:rPr>
                <w:rFonts w:cs="Arial"/>
              </w:rPr>
            </w:pPr>
            <w:r w:rsidRPr="009B7B35">
              <w:rPr>
                <w:rFonts w:cs="Arial"/>
              </w:rPr>
              <w:tab/>
            </w:r>
            <w:r w:rsidRPr="009B7B35">
              <w:rPr>
                <w:rFonts w:cs="Arial"/>
              </w:rPr>
              <w:tab/>
            </w:r>
          </w:p>
          <w:p w14:paraId="421995CE" w14:textId="77777777" w:rsidR="00BE36FB" w:rsidRPr="009B7B35" w:rsidRDefault="00BE36FB" w:rsidP="001A7107">
            <w:pPr>
              <w:pStyle w:val="Tablelines"/>
              <w:rPr>
                <w:rFonts w:cs="Arial"/>
              </w:rPr>
            </w:pPr>
            <w:r w:rsidRPr="009B7B35">
              <w:rPr>
                <w:rFonts w:cs="Arial"/>
              </w:rPr>
              <w:tab/>
            </w:r>
            <w:r w:rsidRPr="009B7B35">
              <w:rPr>
                <w:rFonts w:cs="Arial"/>
              </w:rPr>
              <w:tab/>
            </w:r>
          </w:p>
          <w:p w14:paraId="6A94CE82" w14:textId="77777777" w:rsidR="00BE36FB" w:rsidRPr="009B7B35" w:rsidRDefault="00BE36FB" w:rsidP="001A7107">
            <w:pPr>
              <w:pStyle w:val="Tablelines"/>
              <w:rPr>
                <w:rFonts w:cs="Arial"/>
              </w:rPr>
            </w:pPr>
            <w:r w:rsidRPr="009B7B35">
              <w:rPr>
                <w:rFonts w:cs="Arial"/>
              </w:rPr>
              <w:tab/>
            </w:r>
            <w:r w:rsidRPr="009B7B35">
              <w:rPr>
                <w:rFonts w:cs="Arial"/>
              </w:rPr>
              <w:tab/>
            </w:r>
          </w:p>
          <w:p w14:paraId="69C346C9" w14:textId="77777777" w:rsidR="00BE36FB" w:rsidRPr="009B7B35" w:rsidRDefault="00BE36FB" w:rsidP="001A7107">
            <w:pPr>
              <w:pStyle w:val="Tablelines"/>
              <w:rPr>
                <w:rFonts w:cs="Arial"/>
              </w:rPr>
            </w:pPr>
            <w:r w:rsidRPr="009B7B35">
              <w:rPr>
                <w:rFonts w:cs="Arial"/>
              </w:rPr>
              <w:tab/>
            </w:r>
            <w:r w:rsidRPr="009B7B35">
              <w:rPr>
                <w:rFonts w:cs="Arial"/>
              </w:rPr>
              <w:tab/>
            </w:r>
          </w:p>
          <w:p w14:paraId="037F8D00" w14:textId="77777777" w:rsidR="00BE36FB" w:rsidRPr="009B7B35" w:rsidRDefault="00BE36FB" w:rsidP="001A7107">
            <w:pPr>
              <w:pStyle w:val="Tablelines"/>
              <w:rPr>
                <w:rFonts w:cs="Arial"/>
              </w:rPr>
            </w:pPr>
            <w:r w:rsidRPr="009B7B35">
              <w:rPr>
                <w:rFonts w:cs="Arial"/>
              </w:rPr>
              <w:tab/>
            </w:r>
            <w:r w:rsidRPr="009B7B35">
              <w:rPr>
                <w:rFonts w:cs="Arial"/>
              </w:rPr>
              <w:tab/>
            </w:r>
          </w:p>
          <w:p w14:paraId="4F50F5C4" w14:textId="77777777" w:rsidR="00BE36FB" w:rsidRPr="009B7B35" w:rsidRDefault="00BE36FB" w:rsidP="001A7107">
            <w:pPr>
              <w:pStyle w:val="Tablelines"/>
              <w:rPr>
                <w:rFonts w:cs="Arial"/>
              </w:rPr>
            </w:pPr>
            <w:r w:rsidRPr="009B7B35">
              <w:rPr>
                <w:rFonts w:cs="Arial"/>
              </w:rPr>
              <w:tab/>
            </w:r>
            <w:r w:rsidRPr="009B7B35">
              <w:rPr>
                <w:rFonts w:cs="Arial"/>
              </w:rPr>
              <w:tab/>
            </w:r>
          </w:p>
          <w:p w14:paraId="6FF145F4" w14:textId="77777777" w:rsidR="00BE36FB" w:rsidRPr="009B7B35" w:rsidRDefault="00BE36FB" w:rsidP="001A7107">
            <w:pPr>
              <w:pStyle w:val="Tablelines"/>
              <w:rPr>
                <w:rFonts w:cs="Arial"/>
              </w:rPr>
            </w:pPr>
            <w:r w:rsidRPr="009B7B35">
              <w:rPr>
                <w:rFonts w:cs="Arial"/>
              </w:rPr>
              <w:tab/>
            </w:r>
            <w:r w:rsidRPr="009B7B35">
              <w:rPr>
                <w:rFonts w:cs="Arial"/>
              </w:rPr>
              <w:tab/>
            </w:r>
          </w:p>
          <w:p w14:paraId="1615951C" w14:textId="77777777" w:rsidR="00BE36FB" w:rsidRPr="009B7B35" w:rsidRDefault="00BE36FB" w:rsidP="001A7107">
            <w:pPr>
              <w:pStyle w:val="Tablelines"/>
              <w:rPr>
                <w:rFonts w:cs="Arial"/>
                <w:lang w:val="en-AU"/>
              </w:rPr>
            </w:pPr>
            <w:r w:rsidRPr="009B7B35">
              <w:rPr>
                <w:rFonts w:cs="Arial"/>
              </w:rPr>
              <w:tab/>
            </w:r>
            <w:r w:rsidRPr="009B7B35">
              <w:rPr>
                <w:rFonts w:cs="Arial"/>
                <w:lang w:val="en-AU"/>
              </w:rPr>
              <w:t xml:space="preserve">Identification of </w:t>
            </w:r>
            <w:r w:rsidRPr="009B7B35">
              <w:rPr>
                <w:rFonts w:cs="Arial"/>
              </w:rPr>
              <w:t>c</w:t>
            </w:r>
            <w:r w:rsidRPr="009B7B35">
              <w:rPr>
                <w:rFonts w:cs="Arial"/>
                <w:lang w:val="en-AU"/>
              </w:rPr>
              <w:t xml:space="preserve">riteria and </w:t>
            </w:r>
            <w:r w:rsidRPr="009B7B35">
              <w:rPr>
                <w:rFonts w:cs="Arial"/>
              </w:rPr>
              <w:t>i</w:t>
            </w:r>
            <w:r w:rsidRPr="009B7B35">
              <w:rPr>
                <w:rFonts w:cs="Arial"/>
                <w:lang w:val="en-AU"/>
              </w:rPr>
              <w:t xml:space="preserve">ndicators on which the performance of the waste management </w:t>
            </w:r>
            <w:r w:rsidRPr="009B7B35">
              <w:rPr>
                <w:rFonts w:cs="Arial"/>
                <w:lang w:val="en-AU"/>
              </w:rPr>
              <w:br/>
            </w:r>
            <w:r w:rsidRPr="009B7B35">
              <w:rPr>
                <w:rFonts w:cs="Arial"/>
                <w:lang w:val="en-AU"/>
              </w:rPr>
              <w:tab/>
              <w:t>practices will be assessed (including frequency of performance assessments):</w:t>
            </w:r>
          </w:p>
          <w:p w14:paraId="55060333" w14:textId="77777777" w:rsidR="00BE36FB" w:rsidRPr="009B7B35" w:rsidRDefault="00BE36FB" w:rsidP="001A7107">
            <w:pPr>
              <w:pStyle w:val="Tablelines"/>
              <w:rPr>
                <w:rFonts w:cs="Arial"/>
              </w:rPr>
            </w:pPr>
            <w:r w:rsidRPr="009B7B35">
              <w:rPr>
                <w:rFonts w:cs="Arial"/>
              </w:rPr>
              <w:tab/>
            </w:r>
            <w:r w:rsidRPr="009B7B35">
              <w:rPr>
                <w:rFonts w:cs="Arial"/>
              </w:rPr>
              <w:tab/>
            </w:r>
          </w:p>
          <w:p w14:paraId="62B5A5EC" w14:textId="77777777" w:rsidR="00BE36FB" w:rsidRPr="009B7B35" w:rsidRDefault="00BE36FB" w:rsidP="001A7107">
            <w:pPr>
              <w:pStyle w:val="Tablelines"/>
              <w:rPr>
                <w:rFonts w:cs="Arial"/>
              </w:rPr>
            </w:pPr>
            <w:r w:rsidRPr="009B7B35">
              <w:rPr>
                <w:rFonts w:cs="Arial"/>
              </w:rPr>
              <w:tab/>
            </w:r>
            <w:r w:rsidRPr="009B7B35">
              <w:rPr>
                <w:rFonts w:cs="Arial"/>
              </w:rPr>
              <w:tab/>
            </w:r>
          </w:p>
          <w:p w14:paraId="6DAB4C3D" w14:textId="77777777" w:rsidR="00BE36FB" w:rsidRPr="009B7B35" w:rsidRDefault="00BE36FB" w:rsidP="001A7107">
            <w:pPr>
              <w:pStyle w:val="Tablelines"/>
              <w:rPr>
                <w:rFonts w:cs="Arial"/>
              </w:rPr>
            </w:pPr>
            <w:r w:rsidRPr="009B7B35">
              <w:rPr>
                <w:rFonts w:cs="Arial"/>
              </w:rPr>
              <w:tab/>
            </w:r>
            <w:r w:rsidRPr="009B7B35">
              <w:rPr>
                <w:rFonts w:cs="Arial"/>
              </w:rPr>
              <w:tab/>
            </w:r>
          </w:p>
          <w:p w14:paraId="5F98A383" w14:textId="77777777" w:rsidR="00BE36FB" w:rsidRPr="009B7B35" w:rsidRDefault="00BE36FB" w:rsidP="001A7107">
            <w:pPr>
              <w:pStyle w:val="Tablelines"/>
              <w:rPr>
                <w:rFonts w:cs="Arial"/>
              </w:rPr>
            </w:pPr>
            <w:r w:rsidRPr="009B7B35">
              <w:rPr>
                <w:rFonts w:cs="Arial"/>
              </w:rPr>
              <w:tab/>
            </w:r>
            <w:r w:rsidRPr="009B7B35">
              <w:rPr>
                <w:rFonts w:cs="Arial"/>
              </w:rPr>
              <w:tab/>
            </w:r>
          </w:p>
          <w:p w14:paraId="7DC5D365" w14:textId="77777777" w:rsidR="00BE36FB" w:rsidRPr="009B7B35" w:rsidRDefault="00BE36FB" w:rsidP="001A7107">
            <w:pPr>
              <w:pStyle w:val="Tablelines"/>
              <w:rPr>
                <w:rFonts w:cs="Arial"/>
              </w:rPr>
            </w:pPr>
            <w:r w:rsidRPr="009B7B35">
              <w:rPr>
                <w:rFonts w:cs="Arial"/>
              </w:rPr>
              <w:tab/>
            </w:r>
            <w:r w:rsidRPr="009B7B35">
              <w:rPr>
                <w:rFonts w:cs="Arial"/>
              </w:rPr>
              <w:tab/>
            </w:r>
          </w:p>
          <w:p w14:paraId="294BBEBB" w14:textId="77777777" w:rsidR="00BE36FB" w:rsidRPr="009B7B35" w:rsidRDefault="00BE36FB" w:rsidP="001A7107">
            <w:pPr>
              <w:pStyle w:val="Tablelines"/>
              <w:rPr>
                <w:rFonts w:cs="Arial"/>
              </w:rPr>
            </w:pPr>
            <w:r w:rsidRPr="009B7B35">
              <w:rPr>
                <w:rFonts w:cs="Arial"/>
              </w:rPr>
              <w:tab/>
            </w:r>
            <w:r w:rsidRPr="009B7B35">
              <w:rPr>
                <w:rFonts w:cs="Arial"/>
              </w:rPr>
              <w:tab/>
            </w:r>
          </w:p>
          <w:p w14:paraId="59E0DB48" w14:textId="77777777" w:rsidR="00BE36FB" w:rsidRPr="009B7B35" w:rsidRDefault="00BE36FB" w:rsidP="001A7107">
            <w:pPr>
              <w:pStyle w:val="Tablelines"/>
              <w:rPr>
                <w:rFonts w:cs="Arial"/>
              </w:rPr>
            </w:pPr>
            <w:r w:rsidRPr="009B7B35">
              <w:rPr>
                <w:rFonts w:cs="Arial"/>
              </w:rPr>
              <w:tab/>
            </w:r>
            <w:r w:rsidRPr="009B7B35">
              <w:rPr>
                <w:rFonts w:cs="Arial"/>
              </w:rPr>
              <w:tab/>
            </w:r>
          </w:p>
        </w:tc>
      </w:tr>
    </w:tbl>
    <w:p w14:paraId="6F443AA4" w14:textId="77777777" w:rsidR="00BE36FB" w:rsidRPr="009B7B35" w:rsidRDefault="00BE36FB" w:rsidP="001A7107">
      <w:pPr>
        <w:pStyle w:val="Notes"/>
        <w:rPr>
          <w:rFonts w:cs="Arial"/>
          <w:sz w:val="20"/>
          <w:szCs w:val="20"/>
        </w:rPr>
      </w:pPr>
      <w:r w:rsidRPr="009B7B35">
        <w:rPr>
          <w:rFonts w:cs="Arial"/>
          <w:sz w:val="20"/>
          <w:szCs w:val="20"/>
        </w:rPr>
        <w:t>Notes to Appendix 1:</w:t>
      </w:r>
    </w:p>
    <w:p w14:paraId="278A8C15" w14:textId="77777777" w:rsidR="00BE36FB" w:rsidRPr="009B7B35" w:rsidRDefault="00BE36FB" w:rsidP="001A7107">
      <w:pPr>
        <w:pStyle w:val="Notesbullet"/>
        <w:rPr>
          <w:rFonts w:cs="Arial"/>
          <w:sz w:val="20"/>
          <w:szCs w:val="20"/>
        </w:rPr>
      </w:pPr>
      <w:r w:rsidRPr="009B7B35">
        <w:rPr>
          <w:rFonts w:cs="Arial"/>
          <w:sz w:val="20"/>
          <w:szCs w:val="20"/>
        </w:rPr>
        <w:t>This template is provided as a general guide only.</w:t>
      </w:r>
    </w:p>
    <w:p w14:paraId="092CC7B1" w14:textId="77777777" w:rsidR="00BE36FB" w:rsidRPr="009B7B35" w:rsidRDefault="00BE36FB" w:rsidP="001A7107">
      <w:pPr>
        <w:pStyle w:val="Notesbullet"/>
        <w:rPr>
          <w:rFonts w:cs="Arial"/>
          <w:sz w:val="20"/>
          <w:szCs w:val="20"/>
        </w:rPr>
      </w:pPr>
      <w:r w:rsidRPr="009B7B35">
        <w:rPr>
          <w:rFonts w:cs="Arial"/>
          <w:sz w:val="20"/>
          <w:szCs w:val="20"/>
        </w:rPr>
        <w:t>Plans showing the location and details of the waste storage areas; design to incorporate sufficient space for storage for waste, recyclables, and any special wastes as determined are to be attached.</w:t>
      </w:r>
    </w:p>
    <w:p w14:paraId="15F57E69" w14:textId="77777777" w:rsidR="00BE36FB" w:rsidRPr="009B7B35" w:rsidRDefault="00BE36FB" w:rsidP="001A7107">
      <w:pPr>
        <w:pStyle w:val="Notesbullet"/>
        <w:rPr>
          <w:rFonts w:cs="Arial"/>
          <w:sz w:val="20"/>
          <w:szCs w:val="20"/>
        </w:rPr>
      </w:pPr>
      <w:r w:rsidRPr="009B7B35">
        <w:rPr>
          <w:rFonts w:cs="Arial"/>
          <w:sz w:val="20"/>
          <w:szCs w:val="20"/>
        </w:rPr>
        <w:t>The inclusion of further information in a proposed WMP may be required to demonstrate compliance with the Waste Management provisions of this Planning Scheme.</w:t>
      </w:r>
    </w:p>
    <w:p w14:paraId="05FF42F6" w14:textId="77777777" w:rsidR="00BE36FB" w:rsidRPr="009B7B35" w:rsidRDefault="00BE36FB" w:rsidP="001A7107">
      <w:pPr>
        <w:rPr>
          <w:rFonts w:ascii="Arial" w:hAnsi="Arial" w:cs="Arial"/>
          <w:sz w:val="20"/>
          <w:szCs w:val="20"/>
        </w:rPr>
      </w:pPr>
    </w:p>
    <w:p w14:paraId="2CB88F6A" w14:textId="77777777" w:rsidR="00BE36FB" w:rsidRPr="009B7B35" w:rsidRDefault="00BE36FB" w:rsidP="001A7107">
      <w:pPr>
        <w:rPr>
          <w:rFonts w:ascii="Arial" w:hAnsi="Arial" w:cs="Arial"/>
          <w:sz w:val="20"/>
          <w:szCs w:val="20"/>
        </w:rPr>
        <w:sectPr w:rsidR="00BE36FB" w:rsidRPr="009B7B35" w:rsidSect="001A7107">
          <w:footerReference w:type="default" r:id="rId139"/>
          <w:footerReference w:type="first" r:id="rId140"/>
          <w:pgSz w:w="11906" w:h="16838" w:code="9"/>
          <w:pgMar w:top="1418" w:right="1134" w:bottom="1418" w:left="1134" w:header="567" w:footer="567" w:gutter="284"/>
          <w:cols w:space="708"/>
          <w:docGrid w:linePitch="360"/>
        </w:sectPr>
      </w:pPr>
    </w:p>
    <w:p w14:paraId="3F62AA41" w14:textId="77777777" w:rsidR="00BE36FB" w:rsidRPr="009B7B35" w:rsidRDefault="00BE36FB" w:rsidP="001A7107">
      <w:pPr>
        <w:pStyle w:val="Heading9"/>
        <w:numPr>
          <w:ilvl w:val="0"/>
          <w:numId w:val="0"/>
        </w:numPr>
        <w:rPr>
          <w:rFonts w:cs="Arial"/>
          <w:sz w:val="20"/>
        </w:rPr>
      </w:pPr>
      <w:r w:rsidRPr="009B7B35">
        <w:rPr>
          <w:rFonts w:cs="Arial"/>
          <w:sz w:val="20"/>
        </w:rPr>
        <w:t>Table 1—Details of waste management: Demolition phase</w:t>
      </w:r>
    </w:p>
    <w:tbl>
      <w:tblPr>
        <w:tblStyle w:val="Tablestyle"/>
        <w:tblW w:w="13984" w:type="dxa"/>
        <w:tblLayout w:type="fixed"/>
        <w:tblLook w:val="0620" w:firstRow="1" w:lastRow="0" w:firstColumn="0" w:lastColumn="0" w:noHBand="1" w:noVBand="1"/>
      </w:tblPr>
      <w:tblGrid>
        <w:gridCol w:w="3458"/>
        <w:gridCol w:w="1248"/>
        <w:gridCol w:w="1248"/>
        <w:gridCol w:w="2676"/>
        <w:gridCol w:w="2667"/>
        <w:gridCol w:w="10"/>
        <w:gridCol w:w="2677"/>
      </w:tblGrid>
      <w:tr w:rsidR="00BE36FB" w:rsidRPr="009B7B35" w14:paraId="7E2DE28C" w14:textId="77777777" w:rsidTr="001A7107">
        <w:trPr>
          <w:cnfStyle w:val="100000000000" w:firstRow="1" w:lastRow="0" w:firstColumn="0" w:lastColumn="0" w:oddVBand="0" w:evenVBand="0" w:oddHBand="0" w:evenHBand="0" w:firstRowFirstColumn="0" w:firstRowLastColumn="0" w:lastRowFirstColumn="0" w:lastRowLastColumn="0"/>
        </w:trPr>
        <w:tc>
          <w:tcPr>
            <w:tcW w:w="5954" w:type="dxa"/>
            <w:gridSpan w:val="3"/>
            <w:tcBorders>
              <w:bottom w:val="single" w:sz="4" w:space="0" w:color="7F7F7F" w:themeColor="text1" w:themeTint="80"/>
            </w:tcBorders>
            <w:shd w:val="clear" w:color="auto" w:fill="BFBFBF" w:themeFill="background1" w:themeFillShade="BF"/>
            <w:vAlign w:val="center"/>
          </w:tcPr>
          <w:p w14:paraId="472A43CC" w14:textId="77777777" w:rsidR="00BE36FB" w:rsidRPr="009B7B35" w:rsidRDefault="00BE36FB" w:rsidP="001A7107">
            <w:pPr>
              <w:pStyle w:val="TableText"/>
              <w:jc w:val="center"/>
              <w:rPr>
                <w:rFonts w:cs="Arial"/>
              </w:rPr>
            </w:pPr>
            <w:r w:rsidRPr="009B7B35">
              <w:rPr>
                <w:rFonts w:cs="Arial"/>
              </w:rPr>
              <w:t>MATERIALS ON–SITE</w:t>
            </w:r>
          </w:p>
        </w:tc>
        <w:tc>
          <w:tcPr>
            <w:tcW w:w="8030" w:type="dxa"/>
            <w:gridSpan w:val="4"/>
            <w:shd w:val="clear" w:color="auto" w:fill="BFBFBF" w:themeFill="background1" w:themeFillShade="BF"/>
            <w:vAlign w:val="center"/>
          </w:tcPr>
          <w:p w14:paraId="3B77CE30" w14:textId="77777777" w:rsidR="00BE36FB" w:rsidRPr="009B7B35" w:rsidRDefault="00BE36FB" w:rsidP="001A7107">
            <w:pPr>
              <w:pStyle w:val="TableText"/>
              <w:jc w:val="center"/>
              <w:rPr>
                <w:rFonts w:cs="Arial"/>
              </w:rPr>
            </w:pPr>
            <w:r w:rsidRPr="009B7B35">
              <w:rPr>
                <w:rFonts w:cs="Arial"/>
              </w:rPr>
              <w:t>DESTINATION</w:t>
            </w:r>
          </w:p>
        </w:tc>
      </w:tr>
      <w:tr w:rsidR="00BE36FB" w:rsidRPr="009B7B35" w14:paraId="163C522D" w14:textId="77777777" w:rsidTr="001A7107">
        <w:tc>
          <w:tcPr>
            <w:tcW w:w="3458" w:type="dxa"/>
            <w:vMerge w:val="restart"/>
            <w:tcBorders>
              <w:bottom w:val="double" w:sz="4" w:space="0" w:color="auto"/>
            </w:tcBorders>
          </w:tcPr>
          <w:p w14:paraId="41591044" w14:textId="77777777" w:rsidR="00BE36FB" w:rsidRPr="009B7B35" w:rsidRDefault="00BE36FB" w:rsidP="001A7107">
            <w:pPr>
              <w:pStyle w:val="Tableheading"/>
              <w:jc w:val="center"/>
              <w:rPr>
                <w:rFonts w:ascii="Arial" w:hAnsi="Arial" w:cs="Arial"/>
                <w:szCs w:val="20"/>
              </w:rPr>
            </w:pPr>
            <w:r w:rsidRPr="009B7B35">
              <w:rPr>
                <w:rFonts w:ascii="Arial" w:hAnsi="Arial" w:cs="Arial"/>
                <w:szCs w:val="20"/>
              </w:rPr>
              <w:t>Type of materials</w:t>
            </w:r>
          </w:p>
        </w:tc>
        <w:tc>
          <w:tcPr>
            <w:tcW w:w="1248" w:type="dxa"/>
            <w:vMerge w:val="restart"/>
            <w:tcBorders>
              <w:bottom w:val="double" w:sz="4" w:space="0" w:color="auto"/>
            </w:tcBorders>
          </w:tcPr>
          <w:p w14:paraId="10D1E0D7" w14:textId="77777777" w:rsidR="00BE36FB" w:rsidRPr="009B7B35" w:rsidRDefault="00BE36FB" w:rsidP="001A7107">
            <w:pPr>
              <w:pStyle w:val="Tableheading"/>
              <w:jc w:val="center"/>
              <w:rPr>
                <w:rFonts w:ascii="Arial" w:hAnsi="Arial" w:cs="Arial"/>
                <w:szCs w:val="20"/>
              </w:rPr>
            </w:pPr>
            <w:r w:rsidRPr="009B7B35">
              <w:rPr>
                <w:rFonts w:ascii="Arial" w:hAnsi="Arial" w:cs="Arial"/>
                <w:szCs w:val="20"/>
              </w:rPr>
              <w:t>Est. (m</w:t>
            </w:r>
            <w:r w:rsidRPr="009B7B35">
              <w:rPr>
                <w:rFonts w:ascii="Arial" w:hAnsi="Arial" w:cs="Arial"/>
                <w:szCs w:val="20"/>
                <w:vertAlign w:val="superscript"/>
              </w:rPr>
              <w:t>3</w:t>
            </w:r>
            <w:r w:rsidRPr="009B7B35">
              <w:rPr>
                <w:rFonts w:ascii="Arial" w:hAnsi="Arial" w:cs="Arial"/>
                <w:szCs w:val="20"/>
              </w:rPr>
              <w:t>) Vol.</w:t>
            </w:r>
          </w:p>
        </w:tc>
        <w:tc>
          <w:tcPr>
            <w:tcW w:w="1248" w:type="dxa"/>
            <w:vMerge w:val="restart"/>
            <w:tcBorders>
              <w:bottom w:val="double" w:sz="4" w:space="0" w:color="auto"/>
            </w:tcBorders>
          </w:tcPr>
          <w:p w14:paraId="5EAB4D4E" w14:textId="77777777" w:rsidR="00BE36FB" w:rsidRPr="009B7B35" w:rsidRDefault="00BE36FB" w:rsidP="001A7107">
            <w:pPr>
              <w:pStyle w:val="Tableheading"/>
              <w:jc w:val="center"/>
              <w:rPr>
                <w:rFonts w:ascii="Arial" w:hAnsi="Arial" w:cs="Arial"/>
                <w:szCs w:val="20"/>
              </w:rPr>
            </w:pPr>
            <w:r w:rsidRPr="009B7B35">
              <w:rPr>
                <w:rFonts w:ascii="Arial" w:hAnsi="Arial" w:cs="Arial"/>
                <w:szCs w:val="20"/>
              </w:rPr>
              <w:t>Est. Wt. (t)</w:t>
            </w:r>
          </w:p>
        </w:tc>
        <w:tc>
          <w:tcPr>
            <w:tcW w:w="5343" w:type="dxa"/>
            <w:gridSpan w:val="2"/>
            <w:tcBorders>
              <w:bottom w:val="single" w:sz="4" w:space="0" w:color="7F7F7F" w:themeColor="text1" w:themeTint="80"/>
            </w:tcBorders>
          </w:tcPr>
          <w:p w14:paraId="6CC181D3" w14:textId="77777777" w:rsidR="00BE36FB" w:rsidRPr="009B7B35" w:rsidRDefault="00BE36FB" w:rsidP="001A7107">
            <w:pPr>
              <w:pStyle w:val="Tableheading"/>
              <w:jc w:val="center"/>
              <w:rPr>
                <w:rFonts w:ascii="Arial" w:hAnsi="Arial" w:cs="Arial"/>
                <w:szCs w:val="20"/>
              </w:rPr>
            </w:pPr>
            <w:r w:rsidRPr="009B7B35">
              <w:rPr>
                <w:rFonts w:ascii="Arial" w:hAnsi="Arial" w:cs="Arial"/>
                <w:szCs w:val="20"/>
              </w:rPr>
              <w:t>Reuse and recycling</w:t>
            </w:r>
          </w:p>
        </w:tc>
        <w:tc>
          <w:tcPr>
            <w:tcW w:w="2687" w:type="dxa"/>
            <w:gridSpan w:val="2"/>
            <w:tcBorders>
              <w:bottom w:val="single" w:sz="4" w:space="0" w:color="7F7F7F" w:themeColor="text1" w:themeTint="80"/>
            </w:tcBorders>
          </w:tcPr>
          <w:p w14:paraId="569E6959" w14:textId="77777777" w:rsidR="00BE36FB" w:rsidRPr="009B7B35" w:rsidRDefault="00BE36FB" w:rsidP="001A7107">
            <w:pPr>
              <w:pStyle w:val="Tableheading"/>
              <w:jc w:val="center"/>
              <w:rPr>
                <w:rFonts w:ascii="Arial" w:hAnsi="Arial" w:cs="Arial"/>
                <w:szCs w:val="20"/>
              </w:rPr>
            </w:pPr>
            <w:r w:rsidRPr="009B7B35">
              <w:rPr>
                <w:rFonts w:ascii="Arial" w:hAnsi="Arial" w:cs="Arial"/>
                <w:szCs w:val="20"/>
              </w:rPr>
              <w:t>Disposal</w:t>
            </w:r>
          </w:p>
        </w:tc>
      </w:tr>
      <w:tr w:rsidR="00BE36FB" w:rsidRPr="009B7B35" w14:paraId="7129B586" w14:textId="77777777" w:rsidTr="001A7107">
        <w:tc>
          <w:tcPr>
            <w:tcW w:w="3458" w:type="dxa"/>
            <w:vMerge/>
            <w:tcBorders>
              <w:top w:val="double" w:sz="4" w:space="0" w:color="auto"/>
              <w:bottom w:val="double" w:sz="4" w:space="0" w:color="auto"/>
            </w:tcBorders>
          </w:tcPr>
          <w:p w14:paraId="23294FD5" w14:textId="77777777" w:rsidR="00BE36FB" w:rsidRPr="009B7B35" w:rsidRDefault="00BE36FB" w:rsidP="001A7107">
            <w:pPr>
              <w:pStyle w:val="Tableheading"/>
              <w:jc w:val="center"/>
              <w:rPr>
                <w:rFonts w:ascii="Arial" w:hAnsi="Arial" w:cs="Arial"/>
                <w:szCs w:val="20"/>
              </w:rPr>
            </w:pPr>
          </w:p>
        </w:tc>
        <w:tc>
          <w:tcPr>
            <w:tcW w:w="1248" w:type="dxa"/>
            <w:vMerge/>
            <w:tcBorders>
              <w:top w:val="double" w:sz="4" w:space="0" w:color="auto"/>
              <w:bottom w:val="double" w:sz="4" w:space="0" w:color="auto"/>
            </w:tcBorders>
          </w:tcPr>
          <w:p w14:paraId="02E85CCC" w14:textId="77777777" w:rsidR="00BE36FB" w:rsidRPr="009B7B35" w:rsidRDefault="00BE36FB" w:rsidP="001A7107">
            <w:pPr>
              <w:pStyle w:val="Tableheading"/>
              <w:jc w:val="center"/>
              <w:rPr>
                <w:rFonts w:ascii="Arial" w:hAnsi="Arial" w:cs="Arial"/>
                <w:szCs w:val="20"/>
              </w:rPr>
            </w:pPr>
          </w:p>
        </w:tc>
        <w:tc>
          <w:tcPr>
            <w:tcW w:w="1248" w:type="dxa"/>
            <w:vMerge/>
            <w:tcBorders>
              <w:top w:val="double" w:sz="4" w:space="0" w:color="auto"/>
              <w:bottom w:val="double" w:sz="4" w:space="0" w:color="auto"/>
              <w:right w:val="single" w:sz="4" w:space="0" w:color="7F7F7F" w:themeColor="text1" w:themeTint="80"/>
            </w:tcBorders>
          </w:tcPr>
          <w:p w14:paraId="273CBD5A" w14:textId="77777777" w:rsidR="00BE36FB" w:rsidRPr="009B7B35" w:rsidRDefault="00BE36FB" w:rsidP="001A7107">
            <w:pPr>
              <w:pStyle w:val="Tableheading"/>
              <w:jc w:val="center"/>
              <w:rPr>
                <w:rFonts w:ascii="Arial" w:hAnsi="Arial" w:cs="Arial"/>
                <w:szCs w:val="20"/>
              </w:rPr>
            </w:pPr>
          </w:p>
        </w:tc>
        <w:tc>
          <w:tcPr>
            <w:tcW w:w="2676" w:type="dxa"/>
            <w:tcBorders>
              <w:top w:val="single" w:sz="4" w:space="0" w:color="7F7F7F" w:themeColor="text1" w:themeTint="80"/>
              <w:left w:val="single" w:sz="4" w:space="0" w:color="7F7F7F" w:themeColor="text1" w:themeTint="80"/>
              <w:bottom w:val="double" w:sz="4" w:space="0" w:color="auto"/>
              <w:right w:val="single" w:sz="4" w:space="0" w:color="7F7F7F" w:themeColor="text1" w:themeTint="80"/>
            </w:tcBorders>
          </w:tcPr>
          <w:p w14:paraId="6038E4DC" w14:textId="77777777" w:rsidR="00BE36FB" w:rsidRPr="009B7B35" w:rsidRDefault="00BE36FB" w:rsidP="001A7107">
            <w:pPr>
              <w:pStyle w:val="TableText"/>
              <w:rPr>
                <w:rFonts w:cs="Arial"/>
              </w:rPr>
            </w:pPr>
            <w:r w:rsidRPr="009B7B35">
              <w:rPr>
                <w:rFonts w:cs="Arial"/>
              </w:rPr>
              <w:t>ON–SITE – Specify proposed reuse or on–site recycling methods</w:t>
            </w:r>
          </w:p>
        </w:tc>
        <w:tc>
          <w:tcPr>
            <w:tcW w:w="2677" w:type="dxa"/>
            <w:gridSpan w:val="2"/>
            <w:tcBorders>
              <w:top w:val="single" w:sz="4" w:space="0" w:color="7F7F7F" w:themeColor="text1" w:themeTint="80"/>
              <w:left w:val="single" w:sz="4" w:space="0" w:color="7F7F7F" w:themeColor="text1" w:themeTint="80"/>
              <w:bottom w:val="double" w:sz="4" w:space="0" w:color="auto"/>
              <w:right w:val="single" w:sz="4" w:space="0" w:color="7F7F7F" w:themeColor="text1" w:themeTint="80"/>
            </w:tcBorders>
          </w:tcPr>
          <w:p w14:paraId="01B0C17D" w14:textId="77777777" w:rsidR="00BE36FB" w:rsidRPr="009B7B35" w:rsidRDefault="00BE36FB" w:rsidP="001A7107">
            <w:pPr>
              <w:pStyle w:val="TableText"/>
              <w:rPr>
                <w:rFonts w:cs="Arial"/>
              </w:rPr>
            </w:pPr>
            <w:r w:rsidRPr="009B7B35">
              <w:rPr>
                <w:rFonts w:cs="Arial"/>
              </w:rPr>
              <w:t>OFF–SITE – Specify contractor and recycling outlet</w:t>
            </w:r>
          </w:p>
        </w:tc>
        <w:tc>
          <w:tcPr>
            <w:tcW w:w="2677" w:type="dxa"/>
            <w:tcBorders>
              <w:top w:val="single" w:sz="4" w:space="0" w:color="7F7F7F" w:themeColor="text1" w:themeTint="80"/>
              <w:left w:val="single" w:sz="4" w:space="0" w:color="7F7F7F" w:themeColor="text1" w:themeTint="80"/>
              <w:bottom w:val="double" w:sz="4" w:space="0" w:color="auto"/>
              <w:right w:val="single" w:sz="4" w:space="0" w:color="7F7F7F" w:themeColor="text1" w:themeTint="80"/>
            </w:tcBorders>
          </w:tcPr>
          <w:p w14:paraId="74FB8BA9" w14:textId="77777777" w:rsidR="00BE36FB" w:rsidRPr="009B7B35" w:rsidRDefault="00BE36FB" w:rsidP="001A7107">
            <w:pPr>
              <w:pStyle w:val="TableText"/>
              <w:rPr>
                <w:rFonts w:cs="Arial"/>
              </w:rPr>
            </w:pPr>
            <w:r w:rsidRPr="009B7B35">
              <w:rPr>
                <w:rFonts w:cs="Arial"/>
              </w:rPr>
              <w:t>Specify contractor and landfill site</w:t>
            </w:r>
          </w:p>
        </w:tc>
      </w:tr>
      <w:tr w:rsidR="00BE36FB" w:rsidRPr="009B7B35" w14:paraId="7662471D" w14:textId="77777777" w:rsidTr="001A7107">
        <w:trPr>
          <w:trHeight w:val="567"/>
        </w:trPr>
        <w:tc>
          <w:tcPr>
            <w:tcW w:w="3458" w:type="dxa"/>
            <w:tcBorders>
              <w:top w:val="double" w:sz="4" w:space="0" w:color="auto"/>
            </w:tcBorders>
            <w:vAlign w:val="center"/>
          </w:tcPr>
          <w:p w14:paraId="6825D26F" w14:textId="77777777" w:rsidR="00BE36FB" w:rsidRPr="009B7B35" w:rsidRDefault="00BE36FB" w:rsidP="001A7107">
            <w:pPr>
              <w:pStyle w:val="TableText"/>
              <w:rPr>
                <w:rFonts w:cs="Arial"/>
              </w:rPr>
            </w:pPr>
            <w:r w:rsidRPr="009B7B35">
              <w:rPr>
                <w:rFonts w:cs="Arial"/>
              </w:rPr>
              <w:t>Excavated Materials</w:t>
            </w:r>
          </w:p>
        </w:tc>
        <w:tc>
          <w:tcPr>
            <w:tcW w:w="1248" w:type="dxa"/>
            <w:tcBorders>
              <w:top w:val="double" w:sz="4" w:space="0" w:color="auto"/>
            </w:tcBorders>
            <w:vAlign w:val="center"/>
          </w:tcPr>
          <w:p w14:paraId="0E06D6CD" w14:textId="77777777" w:rsidR="00BE36FB" w:rsidRPr="009B7B35" w:rsidRDefault="00BE36FB" w:rsidP="001A7107">
            <w:pPr>
              <w:pStyle w:val="TableText"/>
              <w:rPr>
                <w:rFonts w:cs="Arial"/>
              </w:rPr>
            </w:pPr>
          </w:p>
        </w:tc>
        <w:tc>
          <w:tcPr>
            <w:tcW w:w="1248" w:type="dxa"/>
            <w:tcBorders>
              <w:top w:val="double" w:sz="4" w:space="0" w:color="auto"/>
            </w:tcBorders>
            <w:vAlign w:val="center"/>
          </w:tcPr>
          <w:p w14:paraId="376B2E38" w14:textId="77777777" w:rsidR="00BE36FB" w:rsidRPr="009B7B35" w:rsidRDefault="00BE36FB" w:rsidP="001A7107">
            <w:pPr>
              <w:pStyle w:val="TableText"/>
              <w:rPr>
                <w:rFonts w:cs="Arial"/>
              </w:rPr>
            </w:pPr>
          </w:p>
        </w:tc>
        <w:tc>
          <w:tcPr>
            <w:tcW w:w="2676" w:type="dxa"/>
            <w:tcBorders>
              <w:top w:val="double" w:sz="4" w:space="0" w:color="auto"/>
            </w:tcBorders>
            <w:vAlign w:val="center"/>
          </w:tcPr>
          <w:p w14:paraId="25D8F994" w14:textId="77777777" w:rsidR="00BE36FB" w:rsidRPr="009B7B35" w:rsidRDefault="00BE36FB" w:rsidP="001A7107">
            <w:pPr>
              <w:pStyle w:val="TableText"/>
              <w:rPr>
                <w:rFonts w:cs="Arial"/>
              </w:rPr>
            </w:pPr>
          </w:p>
        </w:tc>
        <w:tc>
          <w:tcPr>
            <w:tcW w:w="2677" w:type="dxa"/>
            <w:gridSpan w:val="2"/>
            <w:tcBorders>
              <w:top w:val="double" w:sz="4" w:space="0" w:color="auto"/>
            </w:tcBorders>
            <w:vAlign w:val="center"/>
          </w:tcPr>
          <w:p w14:paraId="0FEB7770" w14:textId="77777777" w:rsidR="00BE36FB" w:rsidRPr="009B7B35" w:rsidRDefault="00BE36FB" w:rsidP="001A7107">
            <w:pPr>
              <w:pStyle w:val="TableText"/>
              <w:rPr>
                <w:rFonts w:cs="Arial"/>
              </w:rPr>
            </w:pPr>
          </w:p>
        </w:tc>
        <w:tc>
          <w:tcPr>
            <w:tcW w:w="2677" w:type="dxa"/>
            <w:tcBorders>
              <w:top w:val="double" w:sz="4" w:space="0" w:color="auto"/>
            </w:tcBorders>
            <w:vAlign w:val="center"/>
          </w:tcPr>
          <w:p w14:paraId="5751C0E7" w14:textId="77777777" w:rsidR="00BE36FB" w:rsidRPr="009B7B35" w:rsidRDefault="00BE36FB" w:rsidP="001A7107">
            <w:pPr>
              <w:pStyle w:val="TableText"/>
              <w:rPr>
                <w:rFonts w:cs="Arial"/>
              </w:rPr>
            </w:pPr>
          </w:p>
        </w:tc>
      </w:tr>
      <w:tr w:rsidR="00BE36FB" w:rsidRPr="009B7B35" w14:paraId="3CBFFADE" w14:textId="77777777" w:rsidTr="001A7107">
        <w:trPr>
          <w:trHeight w:val="567"/>
        </w:trPr>
        <w:tc>
          <w:tcPr>
            <w:tcW w:w="3458" w:type="dxa"/>
            <w:vAlign w:val="center"/>
          </w:tcPr>
          <w:p w14:paraId="334F24A3" w14:textId="77777777" w:rsidR="00BE36FB" w:rsidRPr="009B7B35" w:rsidRDefault="00BE36FB" w:rsidP="001A7107">
            <w:pPr>
              <w:pStyle w:val="TableText"/>
              <w:rPr>
                <w:rFonts w:cs="Arial"/>
              </w:rPr>
            </w:pPr>
            <w:r w:rsidRPr="009B7B35">
              <w:rPr>
                <w:rFonts w:cs="Arial"/>
              </w:rPr>
              <w:t>Garden Organics</w:t>
            </w:r>
          </w:p>
        </w:tc>
        <w:tc>
          <w:tcPr>
            <w:tcW w:w="1248" w:type="dxa"/>
            <w:vAlign w:val="center"/>
          </w:tcPr>
          <w:p w14:paraId="7E3D59DA" w14:textId="77777777" w:rsidR="00BE36FB" w:rsidRPr="009B7B35" w:rsidRDefault="00BE36FB" w:rsidP="001A7107">
            <w:pPr>
              <w:pStyle w:val="TableText"/>
              <w:rPr>
                <w:rFonts w:cs="Arial"/>
              </w:rPr>
            </w:pPr>
          </w:p>
        </w:tc>
        <w:tc>
          <w:tcPr>
            <w:tcW w:w="1248" w:type="dxa"/>
            <w:vAlign w:val="center"/>
          </w:tcPr>
          <w:p w14:paraId="12ACFBD5" w14:textId="77777777" w:rsidR="00BE36FB" w:rsidRPr="009B7B35" w:rsidRDefault="00BE36FB" w:rsidP="001A7107">
            <w:pPr>
              <w:pStyle w:val="TableText"/>
              <w:rPr>
                <w:rFonts w:cs="Arial"/>
              </w:rPr>
            </w:pPr>
          </w:p>
        </w:tc>
        <w:tc>
          <w:tcPr>
            <w:tcW w:w="2676" w:type="dxa"/>
            <w:vAlign w:val="center"/>
          </w:tcPr>
          <w:p w14:paraId="1145C2C5" w14:textId="77777777" w:rsidR="00BE36FB" w:rsidRPr="009B7B35" w:rsidRDefault="00BE36FB" w:rsidP="001A7107">
            <w:pPr>
              <w:pStyle w:val="TableText"/>
              <w:rPr>
                <w:rFonts w:cs="Arial"/>
              </w:rPr>
            </w:pPr>
          </w:p>
        </w:tc>
        <w:tc>
          <w:tcPr>
            <w:tcW w:w="2677" w:type="dxa"/>
            <w:gridSpan w:val="2"/>
            <w:vAlign w:val="center"/>
          </w:tcPr>
          <w:p w14:paraId="3C4DAF5F" w14:textId="77777777" w:rsidR="00BE36FB" w:rsidRPr="009B7B35" w:rsidRDefault="00BE36FB" w:rsidP="001A7107">
            <w:pPr>
              <w:pStyle w:val="TableText"/>
              <w:rPr>
                <w:rFonts w:cs="Arial"/>
              </w:rPr>
            </w:pPr>
          </w:p>
        </w:tc>
        <w:tc>
          <w:tcPr>
            <w:tcW w:w="2677" w:type="dxa"/>
            <w:vAlign w:val="center"/>
          </w:tcPr>
          <w:p w14:paraId="0B4DA502" w14:textId="77777777" w:rsidR="00BE36FB" w:rsidRPr="009B7B35" w:rsidRDefault="00BE36FB" w:rsidP="001A7107">
            <w:pPr>
              <w:pStyle w:val="TableText"/>
              <w:rPr>
                <w:rFonts w:cs="Arial"/>
              </w:rPr>
            </w:pPr>
          </w:p>
        </w:tc>
      </w:tr>
      <w:tr w:rsidR="00BE36FB" w:rsidRPr="009B7B35" w14:paraId="520425C0" w14:textId="77777777" w:rsidTr="001A7107">
        <w:trPr>
          <w:trHeight w:val="567"/>
        </w:trPr>
        <w:tc>
          <w:tcPr>
            <w:tcW w:w="3458" w:type="dxa"/>
            <w:vAlign w:val="center"/>
          </w:tcPr>
          <w:p w14:paraId="2C07F8E2" w14:textId="77777777" w:rsidR="00BE36FB" w:rsidRPr="009B7B35" w:rsidRDefault="00BE36FB" w:rsidP="001A7107">
            <w:pPr>
              <w:pStyle w:val="TableText"/>
              <w:rPr>
                <w:rFonts w:cs="Arial"/>
              </w:rPr>
            </w:pPr>
            <w:r w:rsidRPr="009B7B35">
              <w:rPr>
                <w:rFonts w:cs="Arial"/>
              </w:rPr>
              <w:t>Bricks</w:t>
            </w:r>
          </w:p>
        </w:tc>
        <w:tc>
          <w:tcPr>
            <w:tcW w:w="1248" w:type="dxa"/>
            <w:vAlign w:val="center"/>
          </w:tcPr>
          <w:p w14:paraId="48E3AE99" w14:textId="77777777" w:rsidR="00BE36FB" w:rsidRPr="009B7B35" w:rsidRDefault="00BE36FB" w:rsidP="001A7107">
            <w:pPr>
              <w:pStyle w:val="TableText"/>
              <w:rPr>
                <w:rFonts w:cs="Arial"/>
              </w:rPr>
            </w:pPr>
          </w:p>
        </w:tc>
        <w:tc>
          <w:tcPr>
            <w:tcW w:w="1248" w:type="dxa"/>
            <w:vAlign w:val="center"/>
          </w:tcPr>
          <w:p w14:paraId="61ADFBC5" w14:textId="77777777" w:rsidR="00BE36FB" w:rsidRPr="009B7B35" w:rsidRDefault="00BE36FB" w:rsidP="001A7107">
            <w:pPr>
              <w:pStyle w:val="TableText"/>
              <w:rPr>
                <w:rFonts w:cs="Arial"/>
              </w:rPr>
            </w:pPr>
          </w:p>
        </w:tc>
        <w:tc>
          <w:tcPr>
            <w:tcW w:w="2676" w:type="dxa"/>
            <w:vAlign w:val="center"/>
          </w:tcPr>
          <w:p w14:paraId="6AA0ACC0" w14:textId="77777777" w:rsidR="00BE36FB" w:rsidRPr="009B7B35" w:rsidRDefault="00BE36FB" w:rsidP="001A7107">
            <w:pPr>
              <w:pStyle w:val="TableText"/>
              <w:rPr>
                <w:rFonts w:cs="Arial"/>
              </w:rPr>
            </w:pPr>
          </w:p>
        </w:tc>
        <w:tc>
          <w:tcPr>
            <w:tcW w:w="2677" w:type="dxa"/>
            <w:gridSpan w:val="2"/>
            <w:vAlign w:val="center"/>
          </w:tcPr>
          <w:p w14:paraId="31102914" w14:textId="77777777" w:rsidR="00BE36FB" w:rsidRPr="009B7B35" w:rsidRDefault="00BE36FB" w:rsidP="001A7107">
            <w:pPr>
              <w:pStyle w:val="TableText"/>
              <w:rPr>
                <w:rFonts w:cs="Arial"/>
              </w:rPr>
            </w:pPr>
          </w:p>
        </w:tc>
        <w:tc>
          <w:tcPr>
            <w:tcW w:w="2677" w:type="dxa"/>
            <w:vAlign w:val="center"/>
          </w:tcPr>
          <w:p w14:paraId="5404AA3F" w14:textId="77777777" w:rsidR="00BE36FB" w:rsidRPr="009B7B35" w:rsidRDefault="00BE36FB" w:rsidP="001A7107">
            <w:pPr>
              <w:pStyle w:val="TableText"/>
              <w:rPr>
                <w:rFonts w:cs="Arial"/>
              </w:rPr>
            </w:pPr>
          </w:p>
        </w:tc>
      </w:tr>
      <w:tr w:rsidR="00BE36FB" w:rsidRPr="009B7B35" w14:paraId="69A63AFA" w14:textId="77777777" w:rsidTr="001A7107">
        <w:trPr>
          <w:trHeight w:val="567"/>
        </w:trPr>
        <w:tc>
          <w:tcPr>
            <w:tcW w:w="3458" w:type="dxa"/>
            <w:vAlign w:val="center"/>
          </w:tcPr>
          <w:p w14:paraId="0429220D" w14:textId="77777777" w:rsidR="00BE36FB" w:rsidRPr="009B7B35" w:rsidRDefault="00BE36FB" w:rsidP="001A7107">
            <w:pPr>
              <w:pStyle w:val="TableText"/>
              <w:rPr>
                <w:rFonts w:cs="Arial"/>
              </w:rPr>
            </w:pPr>
            <w:r w:rsidRPr="009B7B35">
              <w:rPr>
                <w:rFonts w:cs="Arial"/>
              </w:rPr>
              <w:t>Tiles</w:t>
            </w:r>
          </w:p>
        </w:tc>
        <w:tc>
          <w:tcPr>
            <w:tcW w:w="1248" w:type="dxa"/>
            <w:vAlign w:val="center"/>
          </w:tcPr>
          <w:p w14:paraId="390C0465" w14:textId="77777777" w:rsidR="00BE36FB" w:rsidRPr="009B7B35" w:rsidRDefault="00BE36FB" w:rsidP="001A7107">
            <w:pPr>
              <w:pStyle w:val="TableText"/>
              <w:rPr>
                <w:rFonts w:cs="Arial"/>
              </w:rPr>
            </w:pPr>
          </w:p>
        </w:tc>
        <w:tc>
          <w:tcPr>
            <w:tcW w:w="1248" w:type="dxa"/>
            <w:vAlign w:val="center"/>
          </w:tcPr>
          <w:p w14:paraId="1D116EF6" w14:textId="77777777" w:rsidR="00BE36FB" w:rsidRPr="009B7B35" w:rsidRDefault="00BE36FB" w:rsidP="001A7107">
            <w:pPr>
              <w:pStyle w:val="TableText"/>
              <w:rPr>
                <w:rFonts w:cs="Arial"/>
              </w:rPr>
            </w:pPr>
          </w:p>
        </w:tc>
        <w:tc>
          <w:tcPr>
            <w:tcW w:w="2676" w:type="dxa"/>
            <w:vAlign w:val="center"/>
          </w:tcPr>
          <w:p w14:paraId="40DA85CB" w14:textId="77777777" w:rsidR="00BE36FB" w:rsidRPr="009B7B35" w:rsidRDefault="00BE36FB" w:rsidP="001A7107">
            <w:pPr>
              <w:pStyle w:val="TableText"/>
              <w:rPr>
                <w:rFonts w:cs="Arial"/>
              </w:rPr>
            </w:pPr>
          </w:p>
        </w:tc>
        <w:tc>
          <w:tcPr>
            <w:tcW w:w="2677" w:type="dxa"/>
            <w:gridSpan w:val="2"/>
            <w:vAlign w:val="center"/>
          </w:tcPr>
          <w:p w14:paraId="1A4B9FF4" w14:textId="77777777" w:rsidR="00BE36FB" w:rsidRPr="009B7B35" w:rsidRDefault="00BE36FB" w:rsidP="001A7107">
            <w:pPr>
              <w:pStyle w:val="TableText"/>
              <w:rPr>
                <w:rFonts w:cs="Arial"/>
              </w:rPr>
            </w:pPr>
          </w:p>
        </w:tc>
        <w:tc>
          <w:tcPr>
            <w:tcW w:w="2677" w:type="dxa"/>
            <w:vAlign w:val="center"/>
          </w:tcPr>
          <w:p w14:paraId="624419FF" w14:textId="77777777" w:rsidR="00BE36FB" w:rsidRPr="009B7B35" w:rsidRDefault="00BE36FB" w:rsidP="001A7107">
            <w:pPr>
              <w:pStyle w:val="TableText"/>
              <w:rPr>
                <w:rFonts w:cs="Arial"/>
              </w:rPr>
            </w:pPr>
          </w:p>
        </w:tc>
      </w:tr>
      <w:tr w:rsidR="00BE36FB" w:rsidRPr="009B7B35" w14:paraId="3E732FD5" w14:textId="77777777" w:rsidTr="001A7107">
        <w:trPr>
          <w:trHeight w:val="567"/>
        </w:trPr>
        <w:tc>
          <w:tcPr>
            <w:tcW w:w="3458" w:type="dxa"/>
            <w:vAlign w:val="center"/>
          </w:tcPr>
          <w:p w14:paraId="293185E1" w14:textId="77777777" w:rsidR="00BE36FB" w:rsidRPr="009B7B35" w:rsidRDefault="00BE36FB" w:rsidP="001A7107">
            <w:pPr>
              <w:pStyle w:val="TableText"/>
              <w:rPr>
                <w:rFonts w:cs="Arial"/>
              </w:rPr>
            </w:pPr>
            <w:r w:rsidRPr="009B7B35">
              <w:rPr>
                <w:rFonts w:cs="Arial"/>
              </w:rPr>
              <w:t>Concrete</w:t>
            </w:r>
          </w:p>
        </w:tc>
        <w:tc>
          <w:tcPr>
            <w:tcW w:w="1248" w:type="dxa"/>
            <w:vAlign w:val="center"/>
          </w:tcPr>
          <w:p w14:paraId="6BE9C248" w14:textId="77777777" w:rsidR="00BE36FB" w:rsidRPr="009B7B35" w:rsidRDefault="00BE36FB" w:rsidP="001A7107">
            <w:pPr>
              <w:pStyle w:val="TableText"/>
              <w:rPr>
                <w:rFonts w:cs="Arial"/>
              </w:rPr>
            </w:pPr>
          </w:p>
        </w:tc>
        <w:tc>
          <w:tcPr>
            <w:tcW w:w="1248" w:type="dxa"/>
            <w:vAlign w:val="center"/>
          </w:tcPr>
          <w:p w14:paraId="01CF312E" w14:textId="77777777" w:rsidR="00BE36FB" w:rsidRPr="009B7B35" w:rsidRDefault="00BE36FB" w:rsidP="001A7107">
            <w:pPr>
              <w:pStyle w:val="TableText"/>
              <w:rPr>
                <w:rFonts w:cs="Arial"/>
              </w:rPr>
            </w:pPr>
          </w:p>
        </w:tc>
        <w:tc>
          <w:tcPr>
            <w:tcW w:w="2676" w:type="dxa"/>
            <w:vAlign w:val="center"/>
          </w:tcPr>
          <w:p w14:paraId="049E7048" w14:textId="77777777" w:rsidR="00BE36FB" w:rsidRPr="009B7B35" w:rsidRDefault="00BE36FB" w:rsidP="001A7107">
            <w:pPr>
              <w:pStyle w:val="TableText"/>
              <w:rPr>
                <w:rFonts w:cs="Arial"/>
              </w:rPr>
            </w:pPr>
          </w:p>
        </w:tc>
        <w:tc>
          <w:tcPr>
            <w:tcW w:w="2677" w:type="dxa"/>
            <w:gridSpan w:val="2"/>
            <w:vAlign w:val="center"/>
          </w:tcPr>
          <w:p w14:paraId="4D4620F9" w14:textId="77777777" w:rsidR="00BE36FB" w:rsidRPr="009B7B35" w:rsidRDefault="00BE36FB" w:rsidP="001A7107">
            <w:pPr>
              <w:pStyle w:val="TableText"/>
              <w:rPr>
                <w:rFonts w:cs="Arial"/>
              </w:rPr>
            </w:pPr>
          </w:p>
        </w:tc>
        <w:tc>
          <w:tcPr>
            <w:tcW w:w="2677" w:type="dxa"/>
            <w:vAlign w:val="center"/>
          </w:tcPr>
          <w:p w14:paraId="166BBE60" w14:textId="77777777" w:rsidR="00BE36FB" w:rsidRPr="009B7B35" w:rsidRDefault="00BE36FB" w:rsidP="001A7107">
            <w:pPr>
              <w:pStyle w:val="TableText"/>
              <w:rPr>
                <w:rFonts w:cs="Arial"/>
              </w:rPr>
            </w:pPr>
          </w:p>
        </w:tc>
      </w:tr>
      <w:tr w:rsidR="00BE36FB" w:rsidRPr="009B7B35" w14:paraId="405350B0" w14:textId="77777777" w:rsidTr="001A7107">
        <w:trPr>
          <w:trHeight w:val="567"/>
        </w:trPr>
        <w:tc>
          <w:tcPr>
            <w:tcW w:w="3458" w:type="dxa"/>
            <w:vAlign w:val="center"/>
          </w:tcPr>
          <w:p w14:paraId="63FED8BE" w14:textId="77777777" w:rsidR="00BE36FB" w:rsidRPr="009B7B35" w:rsidRDefault="00BE36FB" w:rsidP="001A7107">
            <w:pPr>
              <w:pStyle w:val="TableText"/>
              <w:rPr>
                <w:rFonts w:cs="Arial"/>
              </w:rPr>
            </w:pPr>
            <w:r w:rsidRPr="009B7B35">
              <w:rPr>
                <w:rFonts w:cs="Arial"/>
              </w:rPr>
              <w:t>Timber – please specify</w:t>
            </w:r>
          </w:p>
        </w:tc>
        <w:tc>
          <w:tcPr>
            <w:tcW w:w="1248" w:type="dxa"/>
            <w:vAlign w:val="center"/>
          </w:tcPr>
          <w:p w14:paraId="42CDCD1C" w14:textId="77777777" w:rsidR="00BE36FB" w:rsidRPr="009B7B35" w:rsidRDefault="00BE36FB" w:rsidP="001A7107">
            <w:pPr>
              <w:pStyle w:val="TableText"/>
              <w:rPr>
                <w:rFonts w:cs="Arial"/>
              </w:rPr>
            </w:pPr>
          </w:p>
        </w:tc>
        <w:tc>
          <w:tcPr>
            <w:tcW w:w="1248" w:type="dxa"/>
            <w:vAlign w:val="center"/>
          </w:tcPr>
          <w:p w14:paraId="6C428E13" w14:textId="77777777" w:rsidR="00BE36FB" w:rsidRPr="009B7B35" w:rsidRDefault="00BE36FB" w:rsidP="001A7107">
            <w:pPr>
              <w:pStyle w:val="TableText"/>
              <w:rPr>
                <w:rFonts w:cs="Arial"/>
              </w:rPr>
            </w:pPr>
          </w:p>
        </w:tc>
        <w:tc>
          <w:tcPr>
            <w:tcW w:w="2676" w:type="dxa"/>
            <w:vAlign w:val="center"/>
          </w:tcPr>
          <w:p w14:paraId="5051661D" w14:textId="77777777" w:rsidR="00BE36FB" w:rsidRPr="009B7B35" w:rsidRDefault="00BE36FB" w:rsidP="001A7107">
            <w:pPr>
              <w:pStyle w:val="TableText"/>
              <w:rPr>
                <w:rFonts w:cs="Arial"/>
              </w:rPr>
            </w:pPr>
          </w:p>
        </w:tc>
        <w:tc>
          <w:tcPr>
            <w:tcW w:w="2677" w:type="dxa"/>
            <w:gridSpan w:val="2"/>
            <w:vAlign w:val="center"/>
          </w:tcPr>
          <w:p w14:paraId="5DC74013" w14:textId="77777777" w:rsidR="00BE36FB" w:rsidRPr="009B7B35" w:rsidRDefault="00BE36FB" w:rsidP="001A7107">
            <w:pPr>
              <w:pStyle w:val="TableText"/>
              <w:rPr>
                <w:rFonts w:cs="Arial"/>
              </w:rPr>
            </w:pPr>
          </w:p>
        </w:tc>
        <w:tc>
          <w:tcPr>
            <w:tcW w:w="2677" w:type="dxa"/>
            <w:vAlign w:val="center"/>
          </w:tcPr>
          <w:p w14:paraId="3FF1F511" w14:textId="77777777" w:rsidR="00BE36FB" w:rsidRPr="009B7B35" w:rsidRDefault="00BE36FB" w:rsidP="001A7107">
            <w:pPr>
              <w:pStyle w:val="TableText"/>
              <w:rPr>
                <w:rFonts w:cs="Arial"/>
              </w:rPr>
            </w:pPr>
          </w:p>
        </w:tc>
      </w:tr>
      <w:tr w:rsidR="00BE36FB" w:rsidRPr="009B7B35" w14:paraId="2D5DAA5A" w14:textId="77777777" w:rsidTr="001A7107">
        <w:trPr>
          <w:trHeight w:val="567"/>
        </w:trPr>
        <w:tc>
          <w:tcPr>
            <w:tcW w:w="3458" w:type="dxa"/>
            <w:vAlign w:val="center"/>
          </w:tcPr>
          <w:p w14:paraId="574B3CAA" w14:textId="77777777" w:rsidR="00BE36FB" w:rsidRPr="009B7B35" w:rsidRDefault="00BE36FB" w:rsidP="001A7107">
            <w:pPr>
              <w:pStyle w:val="TableText"/>
              <w:rPr>
                <w:rFonts w:cs="Arial"/>
              </w:rPr>
            </w:pPr>
            <w:r w:rsidRPr="009B7B35">
              <w:rPr>
                <w:rFonts w:cs="Arial"/>
              </w:rPr>
              <w:t>Plasterboard</w:t>
            </w:r>
          </w:p>
        </w:tc>
        <w:tc>
          <w:tcPr>
            <w:tcW w:w="1248" w:type="dxa"/>
            <w:vAlign w:val="center"/>
          </w:tcPr>
          <w:p w14:paraId="7C631F98" w14:textId="77777777" w:rsidR="00BE36FB" w:rsidRPr="009B7B35" w:rsidRDefault="00BE36FB" w:rsidP="001A7107">
            <w:pPr>
              <w:pStyle w:val="TableText"/>
              <w:rPr>
                <w:rFonts w:cs="Arial"/>
              </w:rPr>
            </w:pPr>
          </w:p>
        </w:tc>
        <w:tc>
          <w:tcPr>
            <w:tcW w:w="1248" w:type="dxa"/>
            <w:vAlign w:val="center"/>
          </w:tcPr>
          <w:p w14:paraId="01C00242" w14:textId="77777777" w:rsidR="00BE36FB" w:rsidRPr="009B7B35" w:rsidRDefault="00BE36FB" w:rsidP="001A7107">
            <w:pPr>
              <w:pStyle w:val="TableText"/>
              <w:rPr>
                <w:rFonts w:cs="Arial"/>
              </w:rPr>
            </w:pPr>
          </w:p>
        </w:tc>
        <w:tc>
          <w:tcPr>
            <w:tcW w:w="2676" w:type="dxa"/>
            <w:vAlign w:val="center"/>
          </w:tcPr>
          <w:p w14:paraId="3E235127" w14:textId="77777777" w:rsidR="00BE36FB" w:rsidRPr="009B7B35" w:rsidRDefault="00BE36FB" w:rsidP="001A7107">
            <w:pPr>
              <w:pStyle w:val="TableText"/>
              <w:rPr>
                <w:rFonts w:cs="Arial"/>
              </w:rPr>
            </w:pPr>
          </w:p>
        </w:tc>
        <w:tc>
          <w:tcPr>
            <w:tcW w:w="2677" w:type="dxa"/>
            <w:gridSpan w:val="2"/>
            <w:vAlign w:val="center"/>
          </w:tcPr>
          <w:p w14:paraId="6BED2154" w14:textId="77777777" w:rsidR="00BE36FB" w:rsidRPr="009B7B35" w:rsidRDefault="00BE36FB" w:rsidP="001A7107">
            <w:pPr>
              <w:pStyle w:val="TableText"/>
              <w:rPr>
                <w:rFonts w:cs="Arial"/>
              </w:rPr>
            </w:pPr>
          </w:p>
        </w:tc>
        <w:tc>
          <w:tcPr>
            <w:tcW w:w="2677" w:type="dxa"/>
            <w:vAlign w:val="center"/>
          </w:tcPr>
          <w:p w14:paraId="03249465" w14:textId="77777777" w:rsidR="00BE36FB" w:rsidRPr="009B7B35" w:rsidRDefault="00BE36FB" w:rsidP="001A7107">
            <w:pPr>
              <w:pStyle w:val="TableText"/>
              <w:rPr>
                <w:rFonts w:cs="Arial"/>
              </w:rPr>
            </w:pPr>
          </w:p>
        </w:tc>
      </w:tr>
      <w:tr w:rsidR="00BE36FB" w:rsidRPr="009B7B35" w14:paraId="18D98BCE" w14:textId="77777777" w:rsidTr="001A7107">
        <w:trPr>
          <w:trHeight w:val="567"/>
        </w:trPr>
        <w:tc>
          <w:tcPr>
            <w:tcW w:w="3458" w:type="dxa"/>
            <w:vAlign w:val="center"/>
          </w:tcPr>
          <w:p w14:paraId="7D5D195C" w14:textId="77777777" w:rsidR="00BE36FB" w:rsidRPr="009B7B35" w:rsidRDefault="00BE36FB" w:rsidP="001A7107">
            <w:pPr>
              <w:pStyle w:val="TableText"/>
              <w:rPr>
                <w:rFonts w:cs="Arial"/>
              </w:rPr>
            </w:pPr>
            <w:r w:rsidRPr="009B7B35">
              <w:rPr>
                <w:rFonts w:cs="Arial"/>
              </w:rPr>
              <w:t>Metals</w:t>
            </w:r>
          </w:p>
        </w:tc>
        <w:tc>
          <w:tcPr>
            <w:tcW w:w="1248" w:type="dxa"/>
            <w:vAlign w:val="center"/>
          </w:tcPr>
          <w:p w14:paraId="77A2C705" w14:textId="77777777" w:rsidR="00BE36FB" w:rsidRPr="009B7B35" w:rsidRDefault="00BE36FB" w:rsidP="001A7107">
            <w:pPr>
              <w:pStyle w:val="TableText"/>
              <w:rPr>
                <w:rFonts w:cs="Arial"/>
              </w:rPr>
            </w:pPr>
          </w:p>
        </w:tc>
        <w:tc>
          <w:tcPr>
            <w:tcW w:w="1248" w:type="dxa"/>
            <w:vAlign w:val="center"/>
          </w:tcPr>
          <w:p w14:paraId="3AB9FA89" w14:textId="77777777" w:rsidR="00BE36FB" w:rsidRPr="009B7B35" w:rsidRDefault="00BE36FB" w:rsidP="001A7107">
            <w:pPr>
              <w:pStyle w:val="TableText"/>
              <w:rPr>
                <w:rFonts w:cs="Arial"/>
              </w:rPr>
            </w:pPr>
          </w:p>
        </w:tc>
        <w:tc>
          <w:tcPr>
            <w:tcW w:w="2676" w:type="dxa"/>
            <w:vAlign w:val="center"/>
          </w:tcPr>
          <w:p w14:paraId="0BCD2D05" w14:textId="77777777" w:rsidR="00BE36FB" w:rsidRPr="009B7B35" w:rsidRDefault="00BE36FB" w:rsidP="001A7107">
            <w:pPr>
              <w:pStyle w:val="TableText"/>
              <w:rPr>
                <w:rFonts w:cs="Arial"/>
              </w:rPr>
            </w:pPr>
          </w:p>
        </w:tc>
        <w:tc>
          <w:tcPr>
            <w:tcW w:w="2677" w:type="dxa"/>
            <w:gridSpan w:val="2"/>
            <w:vAlign w:val="center"/>
          </w:tcPr>
          <w:p w14:paraId="5944C4B9" w14:textId="77777777" w:rsidR="00BE36FB" w:rsidRPr="009B7B35" w:rsidRDefault="00BE36FB" w:rsidP="001A7107">
            <w:pPr>
              <w:pStyle w:val="TableText"/>
              <w:rPr>
                <w:rFonts w:cs="Arial"/>
              </w:rPr>
            </w:pPr>
          </w:p>
        </w:tc>
        <w:tc>
          <w:tcPr>
            <w:tcW w:w="2677" w:type="dxa"/>
            <w:vAlign w:val="center"/>
          </w:tcPr>
          <w:p w14:paraId="3E3BD7FB" w14:textId="77777777" w:rsidR="00BE36FB" w:rsidRPr="009B7B35" w:rsidRDefault="00BE36FB" w:rsidP="001A7107">
            <w:pPr>
              <w:pStyle w:val="TableText"/>
              <w:rPr>
                <w:rFonts w:cs="Arial"/>
              </w:rPr>
            </w:pPr>
          </w:p>
        </w:tc>
      </w:tr>
      <w:tr w:rsidR="00BE36FB" w:rsidRPr="009B7B35" w14:paraId="3805A005" w14:textId="77777777" w:rsidTr="001A7107">
        <w:trPr>
          <w:trHeight w:val="567"/>
        </w:trPr>
        <w:tc>
          <w:tcPr>
            <w:tcW w:w="3458" w:type="dxa"/>
            <w:vAlign w:val="center"/>
          </w:tcPr>
          <w:p w14:paraId="6CD52C95" w14:textId="77777777" w:rsidR="00BE36FB" w:rsidRPr="009B7B35" w:rsidRDefault="00BE36FB" w:rsidP="001A7107">
            <w:pPr>
              <w:pStyle w:val="TableText"/>
              <w:rPr>
                <w:rFonts w:cs="Arial"/>
              </w:rPr>
            </w:pPr>
            <w:r w:rsidRPr="009B7B35">
              <w:rPr>
                <w:rFonts w:cs="Arial"/>
              </w:rPr>
              <w:t>Asbestos</w:t>
            </w:r>
          </w:p>
        </w:tc>
        <w:tc>
          <w:tcPr>
            <w:tcW w:w="1248" w:type="dxa"/>
            <w:vAlign w:val="center"/>
          </w:tcPr>
          <w:p w14:paraId="491C4CA9" w14:textId="77777777" w:rsidR="00BE36FB" w:rsidRPr="009B7B35" w:rsidRDefault="00BE36FB" w:rsidP="001A7107">
            <w:pPr>
              <w:pStyle w:val="TableText"/>
              <w:rPr>
                <w:rFonts w:cs="Arial"/>
              </w:rPr>
            </w:pPr>
          </w:p>
        </w:tc>
        <w:tc>
          <w:tcPr>
            <w:tcW w:w="1248" w:type="dxa"/>
            <w:vAlign w:val="center"/>
          </w:tcPr>
          <w:p w14:paraId="5DB5C509" w14:textId="77777777" w:rsidR="00BE36FB" w:rsidRPr="009B7B35" w:rsidRDefault="00BE36FB" w:rsidP="001A7107">
            <w:pPr>
              <w:pStyle w:val="TableText"/>
              <w:rPr>
                <w:rFonts w:cs="Arial"/>
              </w:rPr>
            </w:pPr>
          </w:p>
        </w:tc>
        <w:tc>
          <w:tcPr>
            <w:tcW w:w="2676" w:type="dxa"/>
            <w:vAlign w:val="center"/>
          </w:tcPr>
          <w:p w14:paraId="2154DBB7" w14:textId="77777777" w:rsidR="00BE36FB" w:rsidRPr="009B7B35" w:rsidRDefault="00BE36FB" w:rsidP="001A7107">
            <w:pPr>
              <w:pStyle w:val="TableText"/>
              <w:rPr>
                <w:rFonts w:cs="Arial"/>
              </w:rPr>
            </w:pPr>
          </w:p>
        </w:tc>
        <w:tc>
          <w:tcPr>
            <w:tcW w:w="2677" w:type="dxa"/>
            <w:gridSpan w:val="2"/>
            <w:vAlign w:val="center"/>
          </w:tcPr>
          <w:p w14:paraId="4F7DAF1B" w14:textId="77777777" w:rsidR="00BE36FB" w:rsidRPr="009B7B35" w:rsidRDefault="00BE36FB" w:rsidP="001A7107">
            <w:pPr>
              <w:pStyle w:val="TableText"/>
              <w:rPr>
                <w:rFonts w:cs="Arial"/>
              </w:rPr>
            </w:pPr>
          </w:p>
        </w:tc>
        <w:tc>
          <w:tcPr>
            <w:tcW w:w="2677" w:type="dxa"/>
            <w:vAlign w:val="center"/>
          </w:tcPr>
          <w:p w14:paraId="23B37E6B" w14:textId="77777777" w:rsidR="00BE36FB" w:rsidRPr="009B7B35" w:rsidRDefault="00BE36FB" w:rsidP="001A7107">
            <w:pPr>
              <w:pStyle w:val="TableText"/>
              <w:rPr>
                <w:rFonts w:cs="Arial"/>
              </w:rPr>
            </w:pPr>
          </w:p>
        </w:tc>
      </w:tr>
      <w:tr w:rsidR="00BE36FB" w:rsidRPr="009B7B35" w14:paraId="1DA33D4C" w14:textId="77777777" w:rsidTr="001A7107">
        <w:trPr>
          <w:trHeight w:val="567"/>
        </w:trPr>
        <w:tc>
          <w:tcPr>
            <w:tcW w:w="3458" w:type="dxa"/>
            <w:vAlign w:val="center"/>
          </w:tcPr>
          <w:p w14:paraId="4AD8AECA" w14:textId="77777777" w:rsidR="00BE36FB" w:rsidRPr="009B7B35" w:rsidRDefault="00BE36FB" w:rsidP="001A7107">
            <w:pPr>
              <w:pStyle w:val="TableText"/>
              <w:rPr>
                <w:rFonts w:cs="Arial"/>
              </w:rPr>
            </w:pPr>
            <w:r w:rsidRPr="009B7B35">
              <w:rPr>
                <w:rFonts w:cs="Arial"/>
              </w:rPr>
              <w:t>Other waste, e.g. ceramic tiles, paints, PVC tubing, cardboard, fittings.</w:t>
            </w:r>
          </w:p>
        </w:tc>
        <w:tc>
          <w:tcPr>
            <w:tcW w:w="1248" w:type="dxa"/>
            <w:vAlign w:val="center"/>
          </w:tcPr>
          <w:p w14:paraId="75B66674" w14:textId="77777777" w:rsidR="00BE36FB" w:rsidRPr="009B7B35" w:rsidRDefault="00BE36FB" w:rsidP="001A7107">
            <w:pPr>
              <w:pStyle w:val="TableText"/>
              <w:rPr>
                <w:rFonts w:cs="Arial"/>
              </w:rPr>
            </w:pPr>
          </w:p>
        </w:tc>
        <w:tc>
          <w:tcPr>
            <w:tcW w:w="1248" w:type="dxa"/>
            <w:vAlign w:val="center"/>
          </w:tcPr>
          <w:p w14:paraId="71855FA2" w14:textId="77777777" w:rsidR="00BE36FB" w:rsidRPr="009B7B35" w:rsidRDefault="00BE36FB" w:rsidP="001A7107">
            <w:pPr>
              <w:pStyle w:val="TableText"/>
              <w:rPr>
                <w:rFonts w:cs="Arial"/>
              </w:rPr>
            </w:pPr>
          </w:p>
        </w:tc>
        <w:tc>
          <w:tcPr>
            <w:tcW w:w="2676" w:type="dxa"/>
            <w:vAlign w:val="center"/>
          </w:tcPr>
          <w:p w14:paraId="24B2AE7B" w14:textId="77777777" w:rsidR="00BE36FB" w:rsidRPr="009B7B35" w:rsidRDefault="00BE36FB" w:rsidP="001A7107">
            <w:pPr>
              <w:pStyle w:val="TableText"/>
              <w:rPr>
                <w:rFonts w:cs="Arial"/>
              </w:rPr>
            </w:pPr>
          </w:p>
        </w:tc>
        <w:tc>
          <w:tcPr>
            <w:tcW w:w="2677" w:type="dxa"/>
            <w:gridSpan w:val="2"/>
            <w:vAlign w:val="center"/>
          </w:tcPr>
          <w:p w14:paraId="75DC7C6C" w14:textId="77777777" w:rsidR="00BE36FB" w:rsidRPr="009B7B35" w:rsidRDefault="00BE36FB" w:rsidP="001A7107">
            <w:pPr>
              <w:pStyle w:val="TableText"/>
              <w:rPr>
                <w:rFonts w:cs="Arial"/>
              </w:rPr>
            </w:pPr>
          </w:p>
        </w:tc>
        <w:tc>
          <w:tcPr>
            <w:tcW w:w="2677" w:type="dxa"/>
            <w:vAlign w:val="center"/>
          </w:tcPr>
          <w:p w14:paraId="269E2FF9" w14:textId="77777777" w:rsidR="00BE36FB" w:rsidRPr="009B7B35" w:rsidRDefault="00BE36FB" w:rsidP="001A7107">
            <w:pPr>
              <w:pStyle w:val="TableText"/>
              <w:rPr>
                <w:rFonts w:cs="Arial"/>
              </w:rPr>
            </w:pPr>
          </w:p>
        </w:tc>
      </w:tr>
    </w:tbl>
    <w:p w14:paraId="1A735E49" w14:textId="77777777" w:rsidR="00BE36FB" w:rsidRPr="009B7B35" w:rsidRDefault="00BE36FB" w:rsidP="001A7107">
      <w:pPr>
        <w:rPr>
          <w:rFonts w:ascii="Arial" w:hAnsi="Arial" w:cs="Arial"/>
          <w:b/>
          <w:sz w:val="20"/>
          <w:szCs w:val="20"/>
        </w:rPr>
      </w:pPr>
      <w:r w:rsidRPr="009B7B35">
        <w:rPr>
          <w:rFonts w:ascii="Arial" w:hAnsi="Arial" w:cs="Arial"/>
          <w:b/>
          <w:sz w:val="20"/>
          <w:szCs w:val="20"/>
        </w:rPr>
        <w:br w:type="page"/>
      </w:r>
    </w:p>
    <w:p w14:paraId="56F4C98B" w14:textId="77777777" w:rsidR="00BE36FB" w:rsidRPr="009B7B35" w:rsidRDefault="00BE36FB" w:rsidP="001A7107">
      <w:pPr>
        <w:pStyle w:val="Heading9"/>
        <w:numPr>
          <w:ilvl w:val="0"/>
          <w:numId w:val="0"/>
        </w:numPr>
        <w:rPr>
          <w:rFonts w:cs="Arial"/>
          <w:sz w:val="20"/>
        </w:rPr>
      </w:pPr>
      <w:r w:rsidRPr="009B7B35">
        <w:rPr>
          <w:rFonts w:cs="Arial"/>
          <w:sz w:val="20"/>
        </w:rPr>
        <w:t>Table 2—Details of waste management: Construction phase</w:t>
      </w:r>
    </w:p>
    <w:tbl>
      <w:tblPr>
        <w:tblStyle w:val="Tablestyle"/>
        <w:tblW w:w="13984" w:type="dxa"/>
        <w:tblLayout w:type="fixed"/>
        <w:tblLook w:val="0620" w:firstRow="1" w:lastRow="0" w:firstColumn="0" w:lastColumn="0" w:noHBand="1" w:noVBand="1"/>
      </w:tblPr>
      <w:tblGrid>
        <w:gridCol w:w="3458"/>
        <w:gridCol w:w="1248"/>
        <w:gridCol w:w="1248"/>
        <w:gridCol w:w="2676"/>
        <w:gridCol w:w="2667"/>
        <w:gridCol w:w="10"/>
        <w:gridCol w:w="2677"/>
      </w:tblGrid>
      <w:tr w:rsidR="00BE36FB" w:rsidRPr="009B7B35" w14:paraId="2427845E" w14:textId="77777777" w:rsidTr="001A7107">
        <w:trPr>
          <w:cnfStyle w:val="100000000000" w:firstRow="1" w:lastRow="0" w:firstColumn="0" w:lastColumn="0" w:oddVBand="0" w:evenVBand="0" w:oddHBand="0" w:evenHBand="0" w:firstRowFirstColumn="0" w:firstRowLastColumn="0" w:lastRowFirstColumn="0" w:lastRowLastColumn="0"/>
        </w:trPr>
        <w:tc>
          <w:tcPr>
            <w:tcW w:w="5954" w:type="dxa"/>
            <w:gridSpan w:val="3"/>
            <w:tcBorders>
              <w:bottom w:val="single" w:sz="4" w:space="0" w:color="7F7F7F" w:themeColor="text1" w:themeTint="80"/>
            </w:tcBorders>
            <w:shd w:val="clear" w:color="auto" w:fill="BFBFBF" w:themeFill="background1" w:themeFillShade="BF"/>
            <w:vAlign w:val="center"/>
          </w:tcPr>
          <w:p w14:paraId="07E4CE17" w14:textId="77777777" w:rsidR="00BE36FB" w:rsidRPr="009B7B35" w:rsidRDefault="00BE36FB" w:rsidP="001A7107">
            <w:pPr>
              <w:pStyle w:val="TableText"/>
              <w:jc w:val="center"/>
              <w:rPr>
                <w:rFonts w:cs="Arial"/>
              </w:rPr>
            </w:pPr>
            <w:r w:rsidRPr="009B7B35">
              <w:rPr>
                <w:rFonts w:cs="Arial"/>
              </w:rPr>
              <w:t>MATERIALS ON–SITE</w:t>
            </w:r>
          </w:p>
        </w:tc>
        <w:tc>
          <w:tcPr>
            <w:tcW w:w="8030" w:type="dxa"/>
            <w:gridSpan w:val="4"/>
            <w:shd w:val="clear" w:color="auto" w:fill="BFBFBF" w:themeFill="background1" w:themeFillShade="BF"/>
            <w:vAlign w:val="center"/>
          </w:tcPr>
          <w:p w14:paraId="6FC2EDBE" w14:textId="77777777" w:rsidR="00BE36FB" w:rsidRPr="009B7B35" w:rsidRDefault="00BE36FB" w:rsidP="001A7107">
            <w:pPr>
              <w:pStyle w:val="TableText"/>
              <w:jc w:val="center"/>
              <w:rPr>
                <w:rFonts w:cs="Arial"/>
              </w:rPr>
            </w:pPr>
            <w:r w:rsidRPr="009B7B35">
              <w:rPr>
                <w:rFonts w:cs="Arial"/>
              </w:rPr>
              <w:t>DESTINATION</w:t>
            </w:r>
          </w:p>
        </w:tc>
      </w:tr>
      <w:tr w:rsidR="00BE36FB" w:rsidRPr="009B7B35" w14:paraId="17B5830B" w14:textId="77777777" w:rsidTr="001A7107">
        <w:tc>
          <w:tcPr>
            <w:tcW w:w="3458" w:type="dxa"/>
            <w:vMerge w:val="restart"/>
            <w:tcBorders>
              <w:bottom w:val="double" w:sz="4" w:space="0" w:color="auto"/>
            </w:tcBorders>
          </w:tcPr>
          <w:p w14:paraId="1B0DC4D2" w14:textId="77777777" w:rsidR="00BE36FB" w:rsidRPr="009B7B35" w:rsidRDefault="00BE36FB" w:rsidP="001A7107">
            <w:pPr>
              <w:pStyle w:val="Tableheading"/>
              <w:jc w:val="center"/>
              <w:rPr>
                <w:rFonts w:ascii="Arial" w:hAnsi="Arial" w:cs="Arial"/>
                <w:szCs w:val="20"/>
              </w:rPr>
            </w:pPr>
            <w:r w:rsidRPr="009B7B35">
              <w:rPr>
                <w:rFonts w:ascii="Arial" w:hAnsi="Arial" w:cs="Arial"/>
                <w:szCs w:val="20"/>
              </w:rPr>
              <w:t>Type of materials</w:t>
            </w:r>
          </w:p>
        </w:tc>
        <w:tc>
          <w:tcPr>
            <w:tcW w:w="1248" w:type="dxa"/>
            <w:vMerge w:val="restart"/>
            <w:tcBorders>
              <w:bottom w:val="double" w:sz="4" w:space="0" w:color="auto"/>
            </w:tcBorders>
          </w:tcPr>
          <w:p w14:paraId="7A446861" w14:textId="77777777" w:rsidR="00BE36FB" w:rsidRPr="009B7B35" w:rsidRDefault="00BE36FB" w:rsidP="001A7107">
            <w:pPr>
              <w:pStyle w:val="Tableheading"/>
              <w:jc w:val="center"/>
              <w:rPr>
                <w:rFonts w:ascii="Arial" w:hAnsi="Arial" w:cs="Arial"/>
                <w:szCs w:val="20"/>
              </w:rPr>
            </w:pPr>
            <w:r w:rsidRPr="009B7B35">
              <w:rPr>
                <w:rFonts w:ascii="Arial" w:hAnsi="Arial" w:cs="Arial"/>
                <w:szCs w:val="20"/>
              </w:rPr>
              <w:t>Est. (m</w:t>
            </w:r>
            <w:r w:rsidRPr="009B7B35">
              <w:rPr>
                <w:rFonts w:ascii="Arial" w:hAnsi="Arial" w:cs="Arial"/>
                <w:szCs w:val="20"/>
                <w:vertAlign w:val="superscript"/>
              </w:rPr>
              <w:t>3</w:t>
            </w:r>
            <w:r w:rsidRPr="009B7B35">
              <w:rPr>
                <w:rFonts w:ascii="Arial" w:hAnsi="Arial" w:cs="Arial"/>
                <w:szCs w:val="20"/>
              </w:rPr>
              <w:t>) Vol.</w:t>
            </w:r>
          </w:p>
        </w:tc>
        <w:tc>
          <w:tcPr>
            <w:tcW w:w="1248" w:type="dxa"/>
            <w:vMerge w:val="restart"/>
            <w:tcBorders>
              <w:bottom w:val="double" w:sz="4" w:space="0" w:color="auto"/>
            </w:tcBorders>
          </w:tcPr>
          <w:p w14:paraId="2D654501" w14:textId="77777777" w:rsidR="00BE36FB" w:rsidRPr="009B7B35" w:rsidRDefault="00BE36FB" w:rsidP="001A7107">
            <w:pPr>
              <w:pStyle w:val="Tableheading"/>
              <w:jc w:val="center"/>
              <w:rPr>
                <w:rFonts w:ascii="Arial" w:hAnsi="Arial" w:cs="Arial"/>
                <w:szCs w:val="20"/>
              </w:rPr>
            </w:pPr>
            <w:r w:rsidRPr="009B7B35">
              <w:rPr>
                <w:rFonts w:ascii="Arial" w:hAnsi="Arial" w:cs="Arial"/>
                <w:szCs w:val="20"/>
              </w:rPr>
              <w:t>Est. Wt. (t)</w:t>
            </w:r>
          </w:p>
        </w:tc>
        <w:tc>
          <w:tcPr>
            <w:tcW w:w="5343" w:type="dxa"/>
            <w:gridSpan w:val="2"/>
            <w:tcBorders>
              <w:bottom w:val="single" w:sz="4" w:space="0" w:color="7F7F7F" w:themeColor="text1" w:themeTint="80"/>
            </w:tcBorders>
          </w:tcPr>
          <w:p w14:paraId="21150345" w14:textId="77777777" w:rsidR="00BE36FB" w:rsidRPr="009B7B35" w:rsidRDefault="00BE36FB" w:rsidP="001A7107">
            <w:pPr>
              <w:pStyle w:val="Tableheading"/>
              <w:jc w:val="center"/>
              <w:rPr>
                <w:rFonts w:ascii="Arial" w:hAnsi="Arial" w:cs="Arial"/>
                <w:szCs w:val="20"/>
              </w:rPr>
            </w:pPr>
            <w:r w:rsidRPr="009B7B35">
              <w:rPr>
                <w:rFonts w:ascii="Arial" w:hAnsi="Arial" w:cs="Arial"/>
                <w:szCs w:val="20"/>
              </w:rPr>
              <w:t>Reuse and recycling</w:t>
            </w:r>
          </w:p>
        </w:tc>
        <w:tc>
          <w:tcPr>
            <w:tcW w:w="2687" w:type="dxa"/>
            <w:gridSpan w:val="2"/>
            <w:tcBorders>
              <w:bottom w:val="single" w:sz="4" w:space="0" w:color="7F7F7F" w:themeColor="text1" w:themeTint="80"/>
            </w:tcBorders>
          </w:tcPr>
          <w:p w14:paraId="3E2B219E" w14:textId="77777777" w:rsidR="00BE36FB" w:rsidRPr="009B7B35" w:rsidRDefault="00BE36FB" w:rsidP="001A7107">
            <w:pPr>
              <w:pStyle w:val="Tableheading"/>
              <w:jc w:val="center"/>
              <w:rPr>
                <w:rFonts w:ascii="Arial" w:hAnsi="Arial" w:cs="Arial"/>
                <w:szCs w:val="20"/>
              </w:rPr>
            </w:pPr>
            <w:r w:rsidRPr="009B7B35">
              <w:rPr>
                <w:rFonts w:ascii="Arial" w:hAnsi="Arial" w:cs="Arial"/>
                <w:szCs w:val="20"/>
              </w:rPr>
              <w:t>Disposal</w:t>
            </w:r>
          </w:p>
        </w:tc>
      </w:tr>
      <w:tr w:rsidR="00BE36FB" w:rsidRPr="009B7B35" w14:paraId="022DCA76" w14:textId="77777777" w:rsidTr="001A7107">
        <w:tc>
          <w:tcPr>
            <w:tcW w:w="3458" w:type="dxa"/>
            <w:vMerge/>
            <w:tcBorders>
              <w:top w:val="double" w:sz="4" w:space="0" w:color="auto"/>
              <w:bottom w:val="double" w:sz="4" w:space="0" w:color="auto"/>
            </w:tcBorders>
          </w:tcPr>
          <w:p w14:paraId="2970EBE7" w14:textId="77777777" w:rsidR="00BE36FB" w:rsidRPr="009B7B35" w:rsidRDefault="00BE36FB" w:rsidP="001A7107">
            <w:pPr>
              <w:pStyle w:val="Tableheading"/>
              <w:jc w:val="center"/>
              <w:rPr>
                <w:rFonts w:ascii="Arial" w:hAnsi="Arial" w:cs="Arial"/>
                <w:szCs w:val="20"/>
              </w:rPr>
            </w:pPr>
          </w:p>
        </w:tc>
        <w:tc>
          <w:tcPr>
            <w:tcW w:w="1248" w:type="dxa"/>
            <w:vMerge/>
            <w:tcBorders>
              <w:top w:val="double" w:sz="4" w:space="0" w:color="auto"/>
              <w:bottom w:val="double" w:sz="4" w:space="0" w:color="auto"/>
            </w:tcBorders>
          </w:tcPr>
          <w:p w14:paraId="6C16CB84" w14:textId="77777777" w:rsidR="00BE36FB" w:rsidRPr="009B7B35" w:rsidRDefault="00BE36FB" w:rsidP="001A7107">
            <w:pPr>
              <w:pStyle w:val="Tableheading"/>
              <w:jc w:val="center"/>
              <w:rPr>
                <w:rFonts w:ascii="Arial" w:hAnsi="Arial" w:cs="Arial"/>
                <w:szCs w:val="20"/>
              </w:rPr>
            </w:pPr>
          </w:p>
        </w:tc>
        <w:tc>
          <w:tcPr>
            <w:tcW w:w="1248" w:type="dxa"/>
            <w:vMerge/>
            <w:tcBorders>
              <w:top w:val="double" w:sz="4" w:space="0" w:color="auto"/>
              <w:bottom w:val="double" w:sz="4" w:space="0" w:color="auto"/>
              <w:right w:val="single" w:sz="4" w:space="0" w:color="7F7F7F" w:themeColor="text1" w:themeTint="80"/>
            </w:tcBorders>
          </w:tcPr>
          <w:p w14:paraId="418A758C" w14:textId="77777777" w:rsidR="00BE36FB" w:rsidRPr="009B7B35" w:rsidRDefault="00BE36FB" w:rsidP="001A7107">
            <w:pPr>
              <w:pStyle w:val="Tableheading"/>
              <w:jc w:val="center"/>
              <w:rPr>
                <w:rFonts w:ascii="Arial" w:hAnsi="Arial" w:cs="Arial"/>
                <w:szCs w:val="20"/>
              </w:rPr>
            </w:pPr>
          </w:p>
        </w:tc>
        <w:tc>
          <w:tcPr>
            <w:tcW w:w="2676" w:type="dxa"/>
            <w:tcBorders>
              <w:top w:val="single" w:sz="4" w:space="0" w:color="7F7F7F" w:themeColor="text1" w:themeTint="80"/>
              <w:left w:val="single" w:sz="4" w:space="0" w:color="7F7F7F" w:themeColor="text1" w:themeTint="80"/>
              <w:bottom w:val="double" w:sz="4" w:space="0" w:color="auto"/>
              <w:right w:val="single" w:sz="4" w:space="0" w:color="7F7F7F" w:themeColor="text1" w:themeTint="80"/>
            </w:tcBorders>
          </w:tcPr>
          <w:p w14:paraId="77CC5997" w14:textId="77777777" w:rsidR="00BE36FB" w:rsidRPr="009B7B35" w:rsidRDefault="00BE36FB" w:rsidP="001A7107">
            <w:pPr>
              <w:pStyle w:val="TableText"/>
              <w:rPr>
                <w:rFonts w:cs="Arial"/>
              </w:rPr>
            </w:pPr>
            <w:r w:rsidRPr="009B7B35">
              <w:rPr>
                <w:rFonts w:cs="Arial"/>
              </w:rPr>
              <w:t>ON–SITE – Specify proposed reuse or on–site recycling methods</w:t>
            </w:r>
          </w:p>
        </w:tc>
        <w:tc>
          <w:tcPr>
            <w:tcW w:w="2677" w:type="dxa"/>
            <w:gridSpan w:val="2"/>
            <w:tcBorders>
              <w:top w:val="single" w:sz="4" w:space="0" w:color="7F7F7F" w:themeColor="text1" w:themeTint="80"/>
              <w:left w:val="single" w:sz="4" w:space="0" w:color="7F7F7F" w:themeColor="text1" w:themeTint="80"/>
              <w:bottom w:val="double" w:sz="4" w:space="0" w:color="auto"/>
              <w:right w:val="single" w:sz="4" w:space="0" w:color="7F7F7F" w:themeColor="text1" w:themeTint="80"/>
            </w:tcBorders>
          </w:tcPr>
          <w:p w14:paraId="7595FEF9" w14:textId="77777777" w:rsidR="00BE36FB" w:rsidRPr="009B7B35" w:rsidRDefault="00BE36FB" w:rsidP="001A7107">
            <w:pPr>
              <w:pStyle w:val="TableText"/>
              <w:rPr>
                <w:rFonts w:cs="Arial"/>
              </w:rPr>
            </w:pPr>
            <w:r w:rsidRPr="009B7B35">
              <w:rPr>
                <w:rFonts w:cs="Arial"/>
              </w:rPr>
              <w:t>OFF–SITE – Specify contractor and recycling outlet</w:t>
            </w:r>
          </w:p>
        </w:tc>
        <w:tc>
          <w:tcPr>
            <w:tcW w:w="2677" w:type="dxa"/>
            <w:tcBorders>
              <w:top w:val="single" w:sz="4" w:space="0" w:color="7F7F7F" w:themeColor="text1" w:themeTint="80"/>
              <w:left w:val="single" w:sz="4" w:space="0" w:color="7F7F7F" w:themeColor="text1" w:themeTint="80"/>
              <w:bottom w:val="double" w:sz="4" w:space="0" w:color="auto"/>
              <w:right w:val="single" w:sz="4" w:space="0" w:color="7F7F7F" w:themeColor="text1" w:themeTint="80"/>
            </w:tcBorders>
          </w:tcPr>
          <w:p w14:paraId="16637FE2" w14:textId="77777777" w:rsidR="00BE36FB" w:rsidRPr="009B7B35" w:rsidRDefault="00BE36FB" w:rsidP="001A7107">
            <w:pPr>
              <w:pStyle w:val="TableText"/>
              <w:rPr>
                <w:rFonts w:cs="Arial"/>
              </w:rPr>
            </w:pPr>
            <w:r w:rsidRPr="009B7B35">
              <w:rPr>
                <w:rFonts w:cs="Arial"/>
              </w:rPr>
              <w:t>Specify contractor and landfill site</w:t>
            </w:r>
          </w:p>
        </w:tc>
      </w:tr>
      <w:tr w:rsidR="00BE36FB" w:rsidRPr="009B7B35" w14:paraId="312D2D60" w14:textId="77777777" w:rsidTr="001A7107">
        <w:trPr>
          <w:trHeight w:val="567"/>
        </w:trPr>
        <w:tc>
          <w:tcPr>
            <w:tcW w:w="3458" w:type="dxa"/>
            <w:tcBorders>
              <w:top w:val="double" w:sz="4" w:space="0" w:color="auto"/>
            </w:tcBorders>
            <w:vAlign w:val="center"/>
          </w:tcPr>
          <w:p w14:paraId="31BCBDAD" w14:textId="77777777" w:rsidR="00BE36FB" w:rsidRPr="009B7B35" w:rsidRDefault="00BE36FB" w:rsidP="001A7107">
            <w:pPr>
              <w:pStyle w:val="TableText"/>
              <w:rPr>
                <w:rFonts w:cs="Arial"/>
              </w:rPr>
            </w:pPr>
            <w:r w:rsidRPr="009B7B35">
              <w:rPr>
                <w:rFonts w:cs="Arial"/>
              </w:rPr>
              <w:t>Excavated Materials</w:t>
            </w:r>
          </w:p>
        </w:tc>
        <w:tc>
          <w:tcPr>
            <w:tcW w:w="1248" w:type="dxa"/>
            <w:tcBorders>
              <w:top w:val="double" w:sz="4" w:space="0" w:color="auto"/>
            </w:tcBorders>
            <w:vAlign w:val="center"/>
          </w:tcPr>
          <w:p w14:paraId="30C56127" w14:textId="77777777" w:rsidR="00BE36FB" w:rsidRPr="009B7B35" w:rsidRDefault="00BE36FB" w:rsidP="001A7107">
            <w:pPr>
              <w:pStyle w:val="TableText"/>
              <w:rPr>
                <w:rFonts w:cs="Arial"/>
              </w:rPr>
            </w:pPr>
          </w:p>
        </w:tc>
        <w:tc>
          <w:tcPr>
            <w:tcW w:w="1248" w:type="dxa"/>
            <w:tcBorders>
              <w:top w:val="double" w:sz="4" w:space="0" w:color="auto"/>
            </w:tcBorders>
            <w:vAlign w:val="center"/>
          </w:tcPr>
          <w:p w14:paraId="1F2CF4B4" w14:textId="77777777" w:rsidR="00BE36FB" w:rsidRPr="009B7B35" w:rsidRDefault="00BE36FB" w:rsidP="001A7107">
            <w:pPr>
              <w:pStyle w:val="TableText"/>
              <w:rPr>
                <w:rFonts w:cs="Arial"/>
              </w:rPr>
            </w:pPr>
          </w:p>
        </w:tc>
        <w:tc>
          <w:tcPr>
            <w:tcW w:w="2676" w:type="dxa"/>
            <w:tcBorders>
              <w:top w:val="double" w:sz="4" w:space="0" w:color="auto"/>
            </w:tcBorders>
            <w:vAlign w:val="center"/>
          </w:tcPr>
          <w:p w14:paraId="1AB46792" w14:textId="77777777" w:rsidR="00BE36FB" w:rsidRPr="009B7B35" w:rsidRDefault="00BE36FB" w:rsidP="001A7107">
            <w:pPr>
              <w:pStyle w:val="TableText"/>
              <w:rPr>
                <w:rFonts w:cs="Arial"/>
              </w:rPr>
            </w:pPr>
          </w:p>
        </w:tc>
        <w:tc>
          <w:tcPr>
            <w:tcW w:w="2677" w:type="dxa"/>
            <w:gridSpan w:val="2"/>
            <w:tcBorders>
              <w:top w:val="double" w:sz="4" w:space="0" w:color="auto"/>
            </w:tcBorders>
            <w:vAlign w:val="center"/>
          </w:tcPr>
          <w:p w14:paraId="15F61F23" w14:textId="77777777" w:rsidR="00BE36FB" w:rsidRPr="009B7B35" w:rsidRDefault="00BE36FB" w:rsidP="001A7107">
            <w:pPr>
              <w:pStyle w:val="TableText"/>
              <w:rPr>
                <w:rFonts w:cs="Arial"/>
              </w:rPr>
            </w:pPr>
          </w:p>
        </w:tc>
        <w:tc>
          <w:tcPr>
            <w:tcW w:w="2677" w:type="dxa"/>
            <w:tcBorders>
              <w:top w:val="double" w:sz="4" w:space="0" w:color="auto"/>
            </w:tcBorders>
            <w:vAlign w:val="center"/>
          </w:tcPr>
          <w:p w14:paraId="1E15460D" w14:textId="77777777" w:rsidR="00BE36FB" w:rsidRPr="009B7B35" w:rsidRDefault="00BE36FB" w:rsidP="001A7107">
            <w:pPr>
              <w:pStyle w:val="TableText"/>
              <w:rPr>
                <w:rFonts w:cs="Arial"/>
              </w:rPr>
            </w:pPr>
          </w:p>
        </w:tc>
      </w:tr>
      <w:tr w:rsidR="00BE36FB" w:rsidRPr="009B7B35" w14:paraId="14F188C1" w14:textId="77777777" w:rsidTr="001A7107">
        <w:trPr>
          <w:trHeight w:val="567"/>
        </w:trPr>
        <w:tc>
          <w:tcPr>
            <w:tcW w:w="3458" w:type="dxa"/>
            <w:vAlign w:val="center"/>
          </w:tcPr>
          <w:p w14:paraId="2D328EBF" w14:textId="77777777" w:rsidR="00BE36FB" w:rsidRPr="009B7B35" w:rsidRDefault="00BE36FB" w:rsidP="001A7107">
            <w:pPr>
              <w:pStyle w:val="TableText"/>
              <w:rPr>
                <w:rFonts w:cs="Arial"/>
              </w:rPr>
            </w:pPr>
            <w:r w:rsidRPr="009B7B35">
              <w:rPr>
                <w:rFonts w:cs="Arial"/>
              </w:rPr>
              <w:t>Garden Organics</w:t>
            </w:r>
          </w:p>
        </w:tc>
        <w:tc>
          <w:tcPr>
            <w:tcW w:w="1248" w:type="dxa"/>
            <w:vAlign w:val="center"/>
          </w:tcPr>
          <w:p w14:paraId="079B0B2F" w14:textId="77777777" w:rsidR="00BE36FB" w:rsidRPr="009B7B35" w:rsidRDefault="00BE36FB" w:rsidP="001A7107">
            <w:pPr>
              <w:pStyle w:val="TableText"/>
              <w:rPr>
                <w:rFonts w:cs="Arial"/>
              </w:rPr>
            </w:pPr>
          </w:p>
        </w:tc>
        <w:tc>
          <w:tcPr>
            <w:tcW w:w="1248" w:type="dxa"/>
            <w:vAlign w:val="center"/>
          </w:tcPr>
          <w:p w14:paraId="6208BCB9" w14:textId="77777777" w:rsidR="00BE36FB" w:rsidRPr="009B7B35" w:rsidRDefault="00BE36FB" w:rsidP="001A7107">
            <w:pPr>
              <w:pStyle w:val="TableText"/>
              <w:rPr>
                <w:rFonts w:cs="Arial"/>
              </w:rPr>
            </w:pPr>
          </w:p>
        </w:tc>
        <w:tc>
          <w:tcPr>
            <w:tcW w:w="2676" w:type="dxa"/>
            <w:vAlign w:val="center"/>
          </w:tcPr>
          <w:p w14:paraId="043CFD52" w14:textId="77777777" w:rsidR="00BE36FB" w:rsidRPr="009B7B35" w:rsidRDefault="00BE36FB" w:rsidP="001A7107">
            <w:pPr>
              <w:pStyle w:val="TableText"/>
              <w:rPr>
                <w:rFonts w:cs="Arial"/>
              </w:rPr>
            </w:pPr>
          </w:p>
        </w:tc>
        <w:tc>
          <w:tcPr>
            <w:tcW w:w="2677" w:type="dxa"/>
            <w:gridSpan w:val="2"/>
            <w:vAlign w:val="center"/>
          </w:tcPr>
          <w:p w14:paraId="32CEECC9" w14:textId="77777777" w:rsidR="00BE36FB" w:rsidRPr="009B7B35" w:rsidRDefault="00BE36FB" w:rsidP="001A7107">
            <w:pPr>
              <w:pStyle w:val="TableText"/>
              <w:rPr>
                <w:rFonts w:cs="Arial"/>
              </w:rPr>
            </w:pPr>
          </w:p>
        </w:tc>
        <w:tc>
          <w:tcPr>
            <w:tcW w:w="2677" w:type="dxa"/>
            <w:vAlign w:val="center"/>
          </w:tcPr>
          <w:p w14:paraId="475EA520" w14:textId="77777777" w:rsidR="00BE36FB" w:rsidRPr="009B7B35" w:rsidRDefault="00BE36FB" w:rsidP="001A7107">
            <w:pPr>
              <w:pStyle w:val="TableText"/>
              <w:rPr>
                <w:rFonts w:cs="Arial"/>
              </w:rPr>
            </w:pPr>
          </w:p>
        </w:tc>
      </w:tr>
      <w:tr w:rsidR="00BE36FB" w:rsidRPr="009B7B35" w14:paraId="417BA13D" w14:textId="77777777" w:rsidTr="001A7107">
        <w:trPr>
          <w:trHeight w:val="567"/>
        </w:trPr>
        <w:tc>
          <w:tcPr>
            <w:tcW w:w="3458" w:type="dxa"/>
            <w:vAlign w:val="center"/>
          </w:tcPr>
          <w:p w14:paraId="11181C92" w14:textId="77777777" w:rsidR="00BE36FB" w:rsidRPr="009B7B35" w:rsidRDefault="00BE36FB" w:rsidP="001A7107">
            <w:pPr>
              <w:pStyle w:val="TableText"/>
              <w:rPr>
                <w:rFonts w:cs="Arial"/>
              </w:rPr>
            </w:pPr>
            <w:r w:rsidRPr="009B7B35">
              <w:rPr>
                <w:rFonts w:cs="Arial"/>
              </w:rPr>
              <w:t>Bricks</w:t>
            </w:r>
          </w:p>
        </w:tc>
        <w:tc>
          <w:tcPr>
            <w:tcW w:w="1248" w:type="dxa"/>
            <w:vAlign w:val="center"/>
          </w:tcPr>
          <w:p w14:paraId="650CD950" w14:textId="77777777" w:rsidR="00BE36FB" w:rsidRPr="009B7B35" w:rsidRDefault="00BE36FB" w:rsidP="001A7107">
            <w:pPr>
              <w:pStyle w:val="TableText"/>
              <w:rPr>
                <w:rFonts w:cs="Arial"/>
              </w:rPr>
            </w:pPr>
          </w:p>
        </w:tc>
        <w:tc>
          <w:tcPr>
            <w:tcW w:w="1248" w:type="dxa"/>
            <w:vAlign w:val="center"/>
          </w:tcPr>
          <w:p w14:paraId="38F9CED2" w14:textId="77777777" w:rsidR="00BE36FB" w:rsidRPr="009B7B35" w:rsidRDefault="00BE36FB" w:rsidP="001A7107">
            <w:pPr>
              <w:pStyle w:val="TableText"/>
              <w:rPr>
                <w:rFonts w:cs="Arial"/>
              </w:rPr>
            </w:pPr>
          </w:p>
        </w:tc>
        <w:tc>
          <w:tcPr>
            <w:tcW w:w="2676" w:type="dxa"/>
            <w:vAlign w:val="center"/>
          </w:tcPr>
          <w:p w14:paraId="62801252" w14:textId="77777777" w:rsidR="00BE36FB" w:rsidRPr="009B7B35" w:rsidRDefault="00BE36FB" w:rsidP="001A7107">
            <w:pPr>
              <w:pStyle w:val="TableText"/>
              <w:rPr>
                <w:rFonts w:cs="Arial"/>
              </w:rPr>
            </w:pPr>
          </w:p>
        </w:tc>
        <w:tc>
          <w:tcPr>
            <w:tcW w:w="2677" w:type="dxa"/>
            <w:gridSpan w:val="2"/>
            <w:vAlign w:val="center"/>
          </w:tcPr>
          <w:p w14:paraId="664BD14B" w14:textId="77777777" w:rsidR="00BE36FB" w:rsidRPr="009B7B35" w:rsidRDefault="00BE36FB" w:rsidP="001A7107">
            <w:pPr>
              <w:pStyle w:val="TableText"/>
              <w:rPr>
                <w:rFonts w:cs="Arial"/>
              </w:rPr>
            </w:pPr>
          </w:p>
        </w:tc>
        <w:tc>
          <w:tcPr>
            <w:tcW w:w="2677" w:type="dxa"/>
            <w:vAlign w:val="center"/>
          </w:tcPr>
          <w:p w14:paraId="05A90D9B" w14:textId="77777777" w:rsidR="00BE36FB" w:rsidRPr="009B7B35" w:rsidRDefault="00BE36FB" w:rsidP="001A7107">
            <w:pPr>
              <w:pStyle w:val="TableText"/>
              <w:rPr>
                <w:rFonts w:cs="Arial"/>
              </w:rPr>
            </w:pPr>
          </w:p>
        </w:tc>
      </w:tr>
      <w:tr w:rsidR="00BE36FB" w:rsidRPr="009B7B35" w14:paraId="4484F20C" w14:textId="77777777" w:rsidTr="001A7107">
        <w:trPr>
          <w:trHeight w:val="567"/>
        </w:trPr>
        <w:tc>
          <w:tcPr>
            <w:tcW w:w="3458" w:type="dxa"/>
            <w:vAlign w:val="center"/>
          </w:tcPr>
          <w:p w14:paraId="3EE58843" w14:textId="77777777" w:rsidR="00BE36FB" w:rsidRPr="009B7B35" w:rsidRDefault="00BE36FB" w:rsidP="001A7107">
            <w:pPr>
              <w:pStyle w:val="TableText"/>
              <w:rPr>
                <w:rFonts w:cs="Arial"/>
              </w:rPr>
            </w:pPr>
            <w:r w:rsidRPr="009B7B35">
              <w:rPr>
                <w:rFonts w:cs="Arial"/>
              </w:rPr>
              <w:t>Tiles</w:t>
            </w:r>
          </w:p>
        </w:tc>
        <w:tc>
          <w:tcPr>
            <w:tcW w:w="1248" w:type="dxa"/>
            <w:vAlign w:val="center"/>
          </w:tcPr>
          <w:p w14:paraId="06A949C9" w14:textId="77777777" w:rsidR="00BE36FB" w:rsidRPr="009B7B35" w:rsidRDefault="00BE36FB" w:rsidP="001A7107">
            <w:pPr>
              <w:pStyle w:val="TableText"/>
              <w:rPr>
                <w:rFonts w:cs="Arial"/>
              </w:rPr>
            </w:pPr>
          </w:p>
        </w:tc>
        <w:tc>
          <w:tcPr>
            <w:tcW w:w="1248" w:type="dxa"/>
            <w:vAlign w:val="center"/>
          </w:tcPr>
          <w:p w14:paraId="27805686" w14:textId="77777777" w:rsidR="00BE36FB" w:rsidRPr="009B7B35" w:rsidRDefault="00BE36FB" w:rsidP="001A7107">
            <w:pPr>
              <w:pStyle w:val="TableText"/>
              <w:rPr>
                <w:rFonts w:cs="Arial"/>
              </w:rPr>
            </w:pPr>
          </w:p>
        </w:tc>
        <w:tc>
          <w:tcPr>
            <w:tcW w:w="2676" w:type="dxa"/>
            <w:vAlign w:val="center"/>
          </w:tcPr>
          <w:p w14:paraId="0184167E" w14:textId="77777777" w:rsidR="00BE36FB" w:rsidRPr="009B7B35" w:rsidRDefault="00BE36FB" w:rsidP="001A7107">
            <w:pPr>
              <w:pStyle w:val="TableText"/>
              <w:rPr>
                <w:rFonts w:cs="Arial"/>
              </w:rPr>
            </w:pPr>
          </w:p>
        </w:tc>
        <w:tc>
          <w:tcPr>
            <w:tcW w:w="2677" w:type="dxa"/>
            <w:gridSpan w:val="2"/>
            <w:vAlign w:val="center"/>
          </w:tcPr>
          <w:p w14:paraId="435FA203" w14:textId="77777777" w:rsidR="00BE36FB" w:rsidRPr="009B7B35" w:rsidRDefault="00BE36FB" w:rsidP="001A7107">
            <w:pPr>
              <w:pStyle w:val="TableText"/>
              <w:rPr>
                <w:rFonts w:cs="Arial"/>
              </w:rPr>
            </w:pPr>
          </w:p>
        </w:tc>
        <w:tc>
          <w:tcPr>
            <w:tcW w:w="2677" w:type="dxa"/>
            <w:vAlign w:val="center"/>
          </w:tcPr>
          <w:p w14:paraId="46D71672" w14:textId="77777777" w:rsidR="00BE36FB" w:rsidRPr="009B7B35" w:rsidRDefault="00BE36FB" w:rsidP="001A7107">
            <w:pPr>
              <w:pStyle w:val="TableText"/>
              <w:rPr>
                <w:rFonts w:cs="Arial"/>
              </w:rPr>
            </w:pPr>
          </w:p>
        </w:tc>
      </w:tr>
      <w:tr w:rsidR="00BE36FB" w:rsidRPr="009B7B35" w14:paraId="39C057B5" w14:textId="77777777" w:rsidTr="001A7107">
        <w:trPr>
          <w:trHeight w:val="567"/>
        </w:trPr>
        <w:tc>
          <w:tcPr>
            <w:tcW w:w="3458" w:type="dxa"/>
            <w:vAlign w:val="center"/>
          </w:tcPr>
          <w:p w14:paraId="3B46A002" w14:textId="77777777" w:rsidR="00BE36FB" w:rsidRPr="009B7B35" w:rsidRDefault="00BE36FB" w:rsidP="001A7107">
            <w:pPr>
              <w:pStyle w:val="TableText"/>
              <w:rPr>
                <w:rFonts w:cs="Arial"/>
              </w:rPr>
            </w:pPr>
            <w:r w:rsidRPr="009B7B35">
              <w:rPr>
                <w:rFonts w:cs="Arial"/>
              </w:rPr>
              <w:t>Concrete</w:t>
            </w:r>
          </w:p>
        </w:tc>
        <w:tc>
          <w:tcPr>
            <w:tcW w:w="1248" w:type="dxa"/>
            <w:vAlign w:val="center"/>
          </w:tcPr>
          <w:p w14:paraId="1F754AEA" w14:textId="77777777" w:rsidR="00BE36FB" w:rsidRPr="009B7B35" w:rsidRDefault="00BE36FB" w:rsidP="001A7107">
            <w:pPr>
              <w:pStyle w:val="TableText"/>
              <w:rPr>
                <w:rFonts w:cs="Arial"/>
              </w:rPr>
            </w:pPr>
          </w:p>
        </w:tc>
        <w:tc>
          <w:tcPr>
            <w:tcW w:w="1248" w:type="dxa"/>
            <w:vAlign w:val="center"/>
          </w:tcPr>
          <w:p w14:paraId="71C7B2D8" w14:textId="77777777" w:rsidR="00BE36FB" w:rsidRPr="009B7B35" w:rsidRDefault="00BE36FB" w:rsidP="001A7107">
            <w:pPr>
              <w:pStyle w:val="TableText"/>
              <w:rPr>
                <w:rFonts w:cs="Arial"/>
              </w:rPr>
            </w:pPr>
          </w:p>
        </w:tc>
        <w:tc>
          <w:tcPr>
            <w:tcW w:w="2676" w:type="dxa"/>
            <w:vAlign w:val="center"/>
          </w:tcPr>
          <w:p w14:paraId="1524FF62" w14:textId="77777777" w:rsidR="00BE36FB" w:rsidRPr="009B7B35" w:rsidRDefault="00BE36FB" w:rsidP="001A7107">
            <w:pPr>
              <w:pStyle w:val="TableText"/>
              <w:rPr>
                <w:rFonts w:cs="Arial"/>
              </w:rPr>
            </w:pPr>
          </w:p>
        </w:tc>
        <w:tc>
          <w:tcPr>
            <w:tcW w:w="2677" w:type="dxa"/>
            <w:gridSpan w:val="2"/>
            <w:vAlign w:val="center"/>
          </w:tcPr>
          <w:p w14:paraId="47661044" w14:textId="77777777" w:rsidR="00BE36FB" w:rsidRPr="009B7B35" w:rsidRDefault="00BE36FB" w:rsidP="001A7107">
            <w:pPr>
              <w:pStyle w:val="TableText"/>
              <w:rPr>
                <w:rFonts w:cs="Arial"/>
              </w:rPr>
            </w:pPr>
          </w:p>
        </w:tc>
        <w:tc>
          <w:tcPr>
            <w:tcW w:w="2677" w:type="dxa"/>
            <w:vAlign w:val="center"/>
          </w:tcPr>
          <w:p w14:paraId="318AED5A" w14:textId="77777777" w:rsidR="00BE36FB" w:rsidRPr="009B7B35" w:rsidRDefault="00BE36FB" w:rsidP="001A7107">
            <w:pPr>
              <w:pStyle w:val="TableText"/>
              <w:rPr>
                <w:rFonts w:cs="Arial"/>
              </w:rPr>
            </w:pPr>
          </w:p>
        </w:tc>
      </w:tr>
      <w:tr w:rsidR="00BE36FB" w:rsidRPr="009B7B35" w14:paraId="712BCD18" w14:textId="77777777" w:rsidTr="001A7107">
        <w:trPr>
          <w:trHeight w:val="567"/>
        </w:trPr>
        <w:tc>
          <w:tcPr>
            <w:tcW w:w="3458" w:type="dxa"/>
            <w:vAlign w:val="center"/>
          </w:tcPr>
          <w:p w14:paraId="22F19592" w14:textId="77777777" w:rsidR="00BE36FB" w:rsidRPr="009B7B35" w:rsidRDefault="00BE36FB" w:rsidP="001A7107">
            <w:pPr>
              <w:pStyle w:val="TableText"/>
              <w:rPr>
                <w:rFonts w:cs="Arial"/>
              </w:rPr>
            </w:pPr>
            <w:r w:rsidRPr="009B7B35">
              <w:rPr>
                <w:rFonts w:cs="Arial"/>
              </w:rPr>
              <w:t>Timber – please specify</w:t>
            </w:r>
          </w:p>
        </w:tc>
        <w:tc>
          <w:tcPr>
            <w:tcW w:w="1248" w:type="dxa"/>
            <w:vAlign w:val="center"/>
          </w:tcPr>
          <w:p w14:paraId="2903BB36" w14:textId="77777777" w:rsidR="00BE36FB" w:rsidRPr="009B7B35" w:rsidRDefault="00BE36FB" w:rsidP="001A7107">
            <w:pPr>
              <w:pStyle w:val="TableText"/>
              <w:rPr>
                <w:rFonts w:cs="Arial"/>
              </w:rPr>
            </w:pPr>
          </w:p>
        </w:tc>
        <w:tc>
          <w:tcPr>
            <w:tcW w:w="1248" w:type="dxa"/>
            <w:vAlign w:val="center"/>
          </w:tcPr>
          <w:p w14:paraId="0F31D0CD" w14:textId="77777777" w:rsidR="00BE36FB" w:rsidRPr="009B7B35" w:rsidRDefault="00BE36FB" w:rsidP="001A7107">
            <w:pPr>
              <w:pStyle w:val="TableText"/>
              <w:rPr>
                <w:rFonts w:cs="Arial"/>
              </w:rPr>
            </w:pPr>
          </w:p>
        </w:tc>
        <w:tc>
          <w:tcPr>
            <w:tcW w:w="2676" w:type="dxa"/>
            <w:vAlign w:val="center"/>
          </w:tcPr>
          <w:p w14:paraId="0523F535" w14:textId="77777777" w:rsidR="00BE36FB" w:rsidRPr="009B7B35" w:rsidRDefault="00BE36FB" w:rsidP="001A7107">
            <w:pPr>
              <w:pStyle w:val="TableText"/>
              <w:rPr>
                <w:rFonts w:cs="Arial"/>
              </w:rPr>
            </w:pPr>
          </w:p>
        </w:tc>
        <w:tc>
          <w:tcPr>
            <w:tcW w:w="2677" w:type="dxa"/>
            <w:gridSpan w:val="2"/>
            <w:vAlign w:val="center"/>
          </w:tcPr>
          <w:p w14:paraId="4F82B696" w14:textId="77777777" w:rsidR="00BE36FB" w:rsidRPr="009B7B35" w:rsidRDefault="00BE36FB" w:rsidP="001A7107">
            <w:pPr>
              <w:pStyle w:val="TableText"/>
              <w:rPr>
                <w:rFonts w:cs="Arial"/>
              </w:rPr>
            </w:pPr>
          </w:p>
        </w:tc>
        <w:tc>
          <w:tcPr>
            <w:tcW w:w="2677" w:type="dxa"/>
            <w:vAlign w:val="center"/>
          </w:tcPr>
          <w:p w14:paraId="64A38B81" w14:textId="77777777" w:rsidR="00BE36FB" w:rsidRPr="009B7B35" w:rsidRDefault="00BE36FB" w:rsidP="001A7107">
            <w:pPr>
              <w:pStyle w:val="TableText"/>
              <w:rPr>
                <w:rFonts w:cs="Arial"/>
              </w:rPr>
            </w:pPr>
          </w:p>
        </w:tc>
      </w:tr>
      <w:tr w:rsidR="00BE36FB" w:rsidRPr="009B7B35" w14:paraId="6E2E42EE" w14:textId="77777777" w:rsidTr="001A7107">
        <w:trPr>
          <w:trHeight w:val="567"/>
        </w:trPr>
        <w:tc>
          <w:tcPr>
            <w:tcW w:w="3458" w:type="dxa"/>
            <w:vAlign w:val="center"/>
          </w:tcPr>
          <w:p w14:paraId="38680DE0" w14:textId="77777777" w:rsidR="00BE36FB" w:rsidRPr="009B7B35" w:rsidRDefault="00BE36FB" w:rsidP="001A7107">
            <w:pPr>
              <w:pStyle w:val="TableText"/>
              <w:rPr>
                <w:rFonts w:cs="Arial"/>
              </w:rPr>
            </w:pPr>
            <w:r w:rsidRPr="009B7B35">
              <w:rPr>
                <w:rFonts w:cs="Arial"/>
              </w:rPr>
              <w:t>Plasterboard</w:t>
            </w:r>
          </w:p>
        </w:tc>
        <w:tc>
          <w:tcPr>
            <w:tcW w:w="1248" w:type="dxa"/>
            <w:vAlign w:val="center"/>
          </w:tcPr>
          <w:p w14:paraId="0AE92378" w14:textId="77777777" w:rsidR="00BE36FB" w:rsidRPr="009B7B35" w:rsidRDefault="00BE36FB" w:rsidP="001A7107">
            <w:pPr>
              <w:pStyle w:val="TableText"/>
              <w:rPr>
                <w:rFonts w:cs="Arial"/>
              </w:rPr>
            </w:pPr>
          </w:p>
        </w:tc>
        <w:tc>
          <w:tcPr>
            <w:tcW w:w="1248" w:type="dxa"/>
            <w:vAlign w:val="center"/>
          </w:tcPr>
          <w:p w14:paraId="2D0264F2" w14:textId="77777777" w:rsidR="00BE36FB" w:rsidRPr="009B7B35" w:rsidRDefault="00BE36FB" w:rsidP="001A7107">
            <w:pPr>
              <w:pStyle w:val="TableText"/>
              <w:rPr>
                <w:rFonts w:cs="Arial"/>
              </w:rPr>
            </w:pPr>
          </w:p>
        </w:tc>
        <w:tc>
          <w:tcPr>
            <w:tcW w:w="2676" w:type="dxa"/>
            <w:vAlign w:val="center"/>
          </w:tcPr>
          <w:p w14:paraId="4FE77426" w14:textId="77777777" w:rsidR="00BE36FB" w:rsidRPr="009B7B35" w:rsidRDefault="00BE36FB" w:rsidP="001A7107">
            <w:pPr>
              <w:pStyle w:val="TableText"/>
              <w:rPr>
                <w:rFonts w:cs="Arial"/>
              </w:rPr>
            </w:pPr>
          </w:p>
        </w:tc>
        <w:tc>
          <w:tcPr>
            <w:tcW w:w="2677" w:type="dxa"/>
            <w:gridSpan w:val="2"/>
            <w:vAlign w:val="center"/>
          </w:tcPr>
          <w:p w14:paraId="7D5FC6A5" w14:textId="77777777" w:rsidR="00BE36FB" w:rsidRPr="009B7B35" w:rsidRDefault="00BE36FB" w:rsidP="001A7107">
            <w:pPr>
              <w:pStyle w:val="TableText"/>
              <w:rPr>
                <w:rFonts w:cs="Arial"/>
              </w:rPr>
            </w:pPr>
          </w:p>
        </w:tc>
        <w:tc>
          <w:tcPr>
            <w:tcW w:w="2677" w:type="dxa"/>
            <w:vAlign w:val="center"/>
          </w:tcPr>
          <w:p w14:paraId="5E5496E9" w14:textId="77777777" w:rsidR="00BE36FB" w:rsidRPr="009B7B35" w:rsidRDefault="00BE36FB" w:rsidP="001A7107">
            <w:pPr>
              <w:pStyle w:val="TableText"/>
              <w:rPr>
                <w:rFonts w:cs="Arial"/>
              </w:rPr>
            </w:pPr>
          </w:p>
        </w:tc>
      </w:tr>
      <w:tr w:rsidR="00BE36FB" w:rsidRPr="009B7B35" w14:paraId="0D3ECA7D" w14:textId="77777777" w:rsidTr="001A7107">
        <w:trPr>
          <w:trHeight w:val="567"/>
        </w:trPr>
        <w:tc>
          <w:tcPr>
            <w:tcW w:w="3458" w:type="dxa"/>
            <w:vAlign w:val="center"/>
          </w:tcPr>
          <w:p w14:paraId="7FCA9FF0" w14:textId="77777777" w:rsidR="00BE36FB" w:rsidRPr="009B7B35" w:rsidRDefault="00BE36FB" w:rsidP="001A7107">
            <w:pPr>
              <w:pStyle w:val="TableText"/>
              <w:rPr>
                <w:rFonts w:cs="Arial"/>
              </w:rPr>
            </w:pPr>
            <w:r w:rsidRPr="009B7B35">
              <w:rPr>
                <w:rFonts w:cs="Arial"/>
              </w:rPr>
              <w:t>Metals</w:t>
            </w:r>
          </w:p>
        </w:tc>
        <w:tc>
          <w:tcPr>
            <w:tcW w:w="1248" w:type="dxa"/>
            <w:vAlign w:val="center"/>
          </w:tcPr>
          <w:p w14:paraId="1B66C794" w14:textId="77777777" w:rsidR="00BE36FB" w:rsidRPr="009B7B35" w:rsidRDefault="00BE36FB" w:rsidP="001A7107">
            <w:pPr>
              <w:pStyle w:val="TableText"/>
              <w:rPr>
                <w:rFonts w:cs="Arial"/>
              </w:rPr>
            </w:pPr>
          </w:p>
        </w:tc>
        <w:tc>
          <w:tcPr>
            <w:tcW w:w="1248" w:type="dxa"/>
            <w:vAlign w:val="center"/>
          </w:tcPr>
          <w:p w14:paraId="51034950" w14:textId="77777777" w:rsidR="00BE36FB" w:rsidRPr="009B7B35" w:rsidRDefault="00BE36FB" w:rsidP="001A7107">
            <w:pPr>
              <w:pStyle w:val="TableText"/>
              <w:rPr>
                <w:rFonts w:cs="Arial"/>
              </w:rPr>
            </w:pPr>
          </w:p>
        </w:tc>
        <w:tc>
          <w:tcPr>
            <w:tcW w:w="2676" w:type="dxa"/>
            <w:vAlign w:val="center"/>
          </w:tcPr>
          <w:p w14:paraId="06206605" w14:textId="77777777" w:rsidR="00BE36FB" w:rsidRPr="009B7B35" w:rsidRDefault="00BE36FB" w:rsidP="001A7107">
            <w:pPr>
              <w:pStyle w:val="TableText"/>
              <w:rPr>
                <w:rFonts w:cs="Arial"/>
              </w:rPr>
            </w:pPr>
          </w:p>
        </w:tc>
        <w:tc>
          <w:tcPr>
            <w:tcW w:w="2677" w:type="dxa"/>
            <w:gridSpan w:val="2"/>
            <w:vAlign w:val="center"/>
          </w:tcPr>
          <w:p w14:paraId="23F68D22" w14:textId="77777777" w:rsidR="00BE36FB" w:rsidRPr="009B7B35" w:rsidRDefault="00BE36FB" w:rsidP="001A7107">
            <w:pPr>
              <w:pStyle w:val="TableText"/>
              <w:rPr>
                <w:rFonts w:cs="Arial"/>
              </w:rPr>
            </w:pPr>
          </w:p>
        </w:tc>
        <w:tc>
          <w:tcPr>
            <w:tcW w:w="2677" w:type="dxa"/>
            <w:vAlign w:val="center"/>
          </w:tcPr>
          <w:p w14:paraId="4491177C" w14:textId="77777777" w:rsidR="00BE36FB" w:rsidRPr="009B7B35" w:rsidRDefault="00BE36FB" w:rsidP="001A7107">
            <w:pPr>
              <w:pStyle w:val="TableText"/>
              <w:rPr>
                <w:rFonts w:cs="Arial"/>
              </w:rPr>
            </w:pPr>
          </w:p>
        </w:tc>
      </w:tr>
      <w:tr w:rsidR="00BE36FB" w:rsidRPr="009B7B35" w14:paraId="75613169" w14:textId="77777777" w:rsidTr="001A7107">
        <w:trPr>
          <w:trHeight w:val="567"/>
        </w:trPr>
        <w:tc>
          <w:tcPr>
            <w:tcW w:w="3458" w:type="dxa"/>
            <w:vAlign w:val="center"/>
          </w:tcPr>
          <w:p w14:paraId="3CEADA1A" w14:textId="77777777" w:rsidR="00BE36FB" w:rsidRPr="009B7B35" w:rsidRDefault="00BE36FB" w:rsidP="001A7107">
            <w:pPr>
              <w:pStyle w:val="TableText"/>
              <w:rPr>
                <w:rFonts w:cs="Arial"/>
              </w:rPr>
            </w:pPr>
            <w:r w:rsidRPr="009B7B35">
              <w:rPr>
                <w:rFonts w:cs="Arial"/>
              </w:rPr>
              <w:t>Asbestos</w:t>
            </w:r>
          </w:p>
        </w:tc>
        <w:tc>
          <w:tcPr>
            <w:tcW w:w="1248" w:type="dxa"/>
            <w:vAlign w:val="center"/>
          </w:tcPr>
          <w:p w14:paraId="18BDF63B" w14:textId="77777777" w:rsidR="00BE36FB" w:rsidRPr="009B7B35" w:rsidRDefault="00BE36FB" w:rsidP="001A7107">
            <w:pPr>
              <w:pStyle w:val="TableText"/>
              <w:rPr>
                <w:rFonts w:cs="Arial"/>
              </w:rPr>
            </w:pPr>
          </w:p>
        </w:tc>
        <w:tc>
          <w:tcPr>
            <w:tcW w:w="1248" w:type="dxa"/>
            <w:vAlign w:val="center"/>
          </w:tcPr>
          <w:p w14:paraId="4A9C06A8" w14:textId="77777777" w:rsidR="00BE36FB" w:rsidRPr="009B7B35" w:rsidRDefault="00BE36FB" w:rsidP="001A7107">
            <w:pPr>
              <w:pStyle w:val="TableText"/>
              <w:rPr>
                <w:rFonts w:cs="Arial"/>
              </w:rPr>
            </w:pPr>
          </w:p>
        </w:tc>
        <w:tc>
          <w:tcPr>
            <w:tcW w:w="2676" w:type="dxa"/>
            <w:vAlign w:val="center"/>
          </w:tcPr>
          <w:p w14:paraId="5EB830F9" w14:textId="77777777" w:rsidR="00BE36FB" w:rsidRPr="009B7B35" w:rsidRDefault="00BE36FB" w:rsidP="001A7107">
            <w:pPr>
              <w:pStyle w:val="TableText"/>
              <w:rPr>
                <w:rFonts w:cs="Arial"/>
              </w:rPr>
            </w:pPr>
          </w:p>
        </w:tc>
        <w:tc>
          <w:tcPr>
            <w:tcW w:w="2677" w:type="dxa"/>
            <w:gridSpan w:val="2"/>
            <w:vAlign w:val="center"/>
          </w:tcPr>
          <w:p w14:paraId="5B3BA768" w14:textId="77777777" w:rsidR="00BE36FB" w:rsidRPr="009B7B35" w:rsidRDefault="00BE36FB" w:rsidP="001A7107">
            <w:pPr>
              <w:pStyle w:val="TableText"/>
              <w:rPr>
                <w:rFonts w:cs="Arial"/>
              </w:rPr>
            </w:pPr>
          </w:p>
        </w:tc>
        <w:tc>
          <w:tcPr>
            <w:tcW w:w="2677" w:type="dxa"/>
            <w:vAlign w:val="center"/>
          </w:tcPr>
          <w:p w14:paraId="1A9230A7" w14:textId="77777777" w:rsidR="00BE36FB" w:rsidRPr="009B7B35" w:rsidRDefault="00BE36FB" w:rsidP="001A7107">
            <w:pPr>
              <w:pStyle w:val="TableText"/>
              <w:rPr>
                <w:rFonts w:cs="Arial"/>
              </w:rPr>
            </w:pPr>
          </w:p>
        </w:tc>
      </w:tr>
      <w:tr w:rsidR="00BE36FB" w:rsidRPr="009B7B35" w14:paraId="2FC0D5E4" w14:textId="77777777" w:rsidTr="001A7107">
        <w:trPr>
          <w:trHeight w:val="567"/>
        </w:trPr>
        <w:tc>
          <w:tcPr>
            <w:tcW w:w="3458" w:type="dxa"/>
            <w:vAlign w:val="center"/>
          </w:tcPr>
          <w:p w14:paraId="2CB17292" w14:textId="77777777" w:rsidR="00BE36FB" w:rsidRPr="009B7B35" w:rsidRDefault="00BE36FB" w:rsidP="001A7107">
            <w:pPr>
              <w:pStyle w:val="TableText"/>
              <w:rPr>
                <w:rFonts w:cs="Arial"/>
              </w:rPr>
            </w:pPr>
            <w:r w:rsidRPr="009B7B35">
              <w:rPr>
                <w:rFonts w:cs="Arial"/>
              </w:rPr>
              <w:t>Other waste, e.g. ceramic tiles, paints, PVC tubing, cardboard, fittings.</w:t>
            </w:r>
          </w:p>
        </w:tc>
        <w:tc>
          <w:tcPr>
            <w:tcW w:w="1248" w:type="dxa"/>
            <w:vAlign w:val="center"/>
          </w:tcPr>
          <w:p w14:paraId="2E851465" w14:textId="77777777" w:rsidR="00BE36FB" w:rsidRPr="009B7B35" w:rsidRDefault="00BE36FB" w:rsidP="001A7107">
            <w:pPr>
              <w:pStyle w:val="TableText"/>
              <w:rPr>
                <w:rFonts w:cs="Arial"/>
              </w:rPr>
            </w:pPr>
          </w:p>
        </w:tc>
        <w:tc>
          <w:tcPr>
            <w:tcW w:w="1248" w:type="dxa"/>
            <w:vAlign w:val="center"/>
          </w:tcPr>
          <w:p w14:paraId="426C39DD" w14:textId="77777777" w:rsidR="00BE36FB" w:rsidRPr="009B7B35" w:rsidRDefault="00BE36FB" w:rsidP="001A7107">
            <w:pPr>
              <w:pStyle w:val="TableText"/>
              <w:rPr>
                <w:rFonts w:cs="Arial"/>
              </w:rPr>
            </w:pPr>
          </w:p>
        </w:tc>
        <w:tc>
          <w:tcPr>
            <w:tcW w:w="2676" w:type="dxa"/>
            <w:vAlign w:val="center"/>
          </w:tcPr>
          <w:p w14:paraId="4CF49E96" w14:textId="77777777" w:rsidR="00BE36FB" w:rsidRPr="009B7B35" w:rsidRDefault="00BE36FB" w:rsidP="001A7107">
            <w:pPr>
              <w:pStyle w:val="TableText"/>
              <w:rPr>
                <w:rFonts w:cs="Arial"/>
              </w:rPr>
            </w:pPr>
          </w:p>
        </w:tc>
        <w:tc>
          <w:tcPr>
            <w:tcW w:w="2677" w:type="dxa"/>
            <w:gridSpan w:val="2"/>
            <w:vAlign w:val="center"/>
          </w:tcPr>
          <w:p w14:paraId="5F74CF62" w14:textId="77777777" w:rsidR="00BE36FB" w:rsidRPr="009B7B35" w:rsidRDefault="00BE36FB" w:rsidP="001A7107">
            <w:pPr>
              <w:pStyle w:val="TableText"/>
              <w:rPr>
                <w:rFonts w:cs="Arial"/>
              </w:rPr>
            </w:pPr>
          </w:p>
        </w:tc>
        <w:tc>
          <w:tcPr>
            <w:tcW w:w="2677" w:type="dxa"/>
            <w:vAlign w:val="center"/>
          </w:tcPr>
          <w:p w14:paraId="1F44DC36" w14:textId="77777777" w:rsidR="00BE36FB" w:rsidRPr="009B7B35" w:rsidRDefault="00BE36FB" w:rsidP="001A7107">
            <w:pPr>
              <w:pStyle w:val="TableText"/>
              <w:rPr>
                <w:rFonts w:cs="Arial"/>
              </w:rPr>
            </w:pPr>
          </w:p>
        </w:tc>
      </w:tr>
    </w:tbl>
    <w:p w14:paraId="13DA503E" w14:textId="77777777" w:rsidR="00BE36FB" w:rsidRPr="009B7B35" w:rsidRDefault="00BE36FB" w:rsidP="001A7107">
      <w:pPr>
        <w:rPr>
          <w:rFonts w:ascii="Arial" w:hAnsi="Arial" w:cs="Arial"/>
          <w:sz w:val="20"/>
          <w:szCs w:val="20"/>
        </w:rPr>
      </w:pPr>
      <w:r w:rsidRPr="009B7B35">
        <w:rPr>
          <w:rFonts w:ascii="Arial" w:hAnsi="Arial" w:cs="Arial"/>
          <w:sz w:val="20"/>
          <w:szCs w:val="20"/>
        </w:rPr>
        <w:br w:type="page"/>
      </w:r>
    </w:p>
    <w:p w14:paraId="394507C8" w14:textId="77777777" w:rsidR="00BE36FB" w:rsidRPr="009B7B35" w:rsidRDefault="00BE36FB" w:rsidP="001A7107">
      <w:pPr>
        <w:pStyle w:val="Heading9"/>
        <w:numPr>
          <w:ilvl w:val="0"/>
          <w:numId w:val="0"/>
        </w:numPr>
        <w:rPr>
          <w:rFonts w:cs="Arial"/>
          <w:sz w:val="20"/>
        </w:rPr>
      </w:pPr>
      <w:r w:rsidRPr="009B7B35">
        <w:rPr>
          <w:rFonts w:cs="Arial"/>
          <w:sz w:val="20"/>
        </w:rPr>
        <w:t>Table 3—Details of waste management: Use of premises phase</w:t>
      </w:r>
    </w:p>
    <w:tbl>
      <w:tblPr>
        <w:tblStyle w:val="Tablestyle"/>
        <w:tblW w:w="13984" w:type="dxa"/>
        <w:tblLayout w:type="fixed"/>
        <w:tblLook w:val="0620" w:firstRow="1" w:lastRow="0" w:firstColumn="0" w:lastColumn="0" w:noHBand="1" w:noVBand="1"/>
      </w:tblPr>
      <w:tblGrid>
        <w:gridCol w:w="3119"/>
        <w:gridCol w:w="2268"/>
        <w:gridCol w:w="4394"/>
        <w:gridCol w:w="4203"/>
      </w:tblGrid>
      <w:tr w:rsidR="00BE36FB" w:rsidRPr="009B7B35" w14:paraId="236D19A5" w14:textId="77777777" w:rsidTr="001A7107">
        <w:trPr>
          <w:cnfStyle w:val="100000000000" w:firstRow="1" w:lastRow="0" w:firstColumn="0" w:lastColumn="0" w:oddVBand="0" w:evenVBand="0" w:oddHBand="0" w:evenHBand="0" w:firstRowFirstColumn="0" w:firstRowLastColumn="0" w:lastRowFirstColumn="0" w:lastRowLastColumn="0"/>
          <w:trHeight w:val="239"/>
        </w:trPr>
        <w:tc>
          <w:tcPr>
            <w:tcW w:w="3119" w:type="dxa"/>
            <w:tcBorders>
              <w:bottom w:val="single" w:sz="4" w:space="0" w:color="7F7F7F" w:themeColor="text1" w:themeTint="80"/>
            </w:tcBorders>
            <w:shd w:val="clear" w:color="auto" w:fill="BFBFBF" w:themeFill="background1" w:themeFillShade="BF"/>
          </w:tcPr>
          <w:p w14:paraId="28485268" w14:textId="77777777" w:rsidR="00BE36FB" w:rsidRPr="009B7B35" w:rsidRDefault="00BE36FB" w:rsidP="001A7107">
            <w:pPr>
              <w:pStyle w:val="TableText"/>
              <w:jc w:val="center"/>
              <w:rPr>
                <w:rFonts w:cs="Arial"/>
              </w:rPr>
            </w:pPr>
            <w:r w:rsidRPr="009B7B35">
              <w:rPr>
                <w:rFonts w:cs="Arial"/>
              </w:rPr>
              <w:t>MATERIALS</w:t>
            </w:r>
          </w:p>
        </w:tc>
        <w:tc>
          <w:tcPr>
            <w:tcW w:w="2268" w:type="dxa"/>
            <w:tcBorders>
              <w:bottom w:val="single" w:sz="4" w:space="0" w:color="7F7F7F" w:themeColor="text1" w:themeTint="80"/>
            </w:tcBorders>
            <w:shd w:val="clear" w:color="auto" w:fill="BFBFBF" w:themeFill="background1" w:themeFillShade="BF"/>
          </w:tcPr>
          <w:p w14:paraId="798E35F2" w14:textId="77777777" w:rsidR="00BE36FB" w:rsidRPr="009B7B35" w:rsidRDefault="00BE36FB" w:rsidP="001A7107">
            <w:pPr>
              <w:pStyle w:val="TableText"/>
              <w:jc w:val="center"/>
              <w:rPr>
                <w:rFonts w:cs="Arial"/>
              </w:rPr>
            </w:pPr>
            <w:r w:rsidRPr="009B7B35">
              <w:rPr>
                <w:rFonts w:cs="Arial"/>
              </w:rPr>
              <w:t>VOLUME</w:t>
            </w:r>
          </w:p>
        </w:tc>
        <w:tc>
          <w:tcPr>
            <w:tcW w:w="4394" w:type="dxa"/>
            <w:tcBorders>
              <w:bottom w:val="single" w:sz="4" w:space="0" w:color="7F7F7F" w:themeColor="text1" w:themeTint="80"/>
            </w:tcBorders>
            <w:shd w:val="clear" w:color="auto" w:fill="BFBFBF" w:themeFill="background1" w:themeFillShade="BF"/>
          </w:tcPr>
          <w:p w14:paraId="5FB880C5" w14:textId="77777777" w:rsidR="00BE36FB" w:rsidRPr="009B7B35" w:rsidRDefault="00BE36FB" w:rsidP="001A7107">
            <w:pPr>
              <w:pStyle w:val="TableText"/>
              <w:jc w:val="center"/>
              <w:rPr>
                <w:rFonts w:cs="Arial"/>
              </w:rPr>
            </w:pPr>
            <w:r w:rsidRPr="009B7B35">
              <w:rPr>
                <w:rFonts w:cs="Arial"/>
              </w:rPr>
              <w:t>PROPOSED ON–SITE STORAGE OR TREATMENT</w:t>
            </w:r>
          </w:p>
        </w:tc>
        <w:tc>
          <w:tcPr>
            <w:tcW w:w="4203" w:type="dxa"/>
            <w:tcBorders>
              <w:bottom w:val="single" w:sz="4" w:space="0" w:color="7F7F7F" w:themeColor="text1" w:themeTint="80"/>
            </w:tcBorders>
            <w:shd w:val="clear" w:color="auto" w:fill="BFBFBF" w:themeFill="background1" w:themeFillShade="BF"/>
          </w:tcPr>
          <w:p w14:paraId="4430E925" w14:textId="77777777" w:rsidR="00BE36FB" w:rsidRPr="009B7B35" w:rsidRDefault="00BE36FB" w:rsidP="001A7107">
            <w:pPr>
              <w:pStyle w:val="TableText"/>
              <w:jc w:val="center"/>
              <w:rPr>
                <w:rFonts w:cs="Arial"/>
              </w:rPr>
            </w:pPr>
            <w:r w:rsidRPr="009B7B35">
              <w:rPr>
                <w:rFonts w:cs="Arial"/>
              </w:rPr>
              <w:t>DESTINATION</w:t>
            </w:r>
          </w:p>
        </w:tc>
      </w:tr>
      <w:tr w:rsidR="00BE36FB" w:rsidRPr="009B7B35" w14:paraId="7BAEED7A" w14:textId="77777777" w:rsidTr="001A7107">
        <w:trPr>
          <w:trHeight w:val="42"/>
        </w:trPr>
        <w:tc>
          <w:tcPr>
            <w:tcW w:w="3119" w:type="dxa"/>
            <w:tcBorders>
              <w:bottom w:val="double" w:sz="4" w:space="0" w:color="auto"/>
            </w:tcBorders>
          </w:tcPr>
          <w:p w14:paraId="2B7D8351" w14:textId="77777777" w:rsidR="00BE36FB" w:rsidRPr="009B7B35" w:rsidRDefault="00BE36FB" w:rsidP="001A7107">
            <w:pPr>
              <w:pStyle w:val="TableText"/>
              <w:jc w:val="center"/>
              <w:rPr>
                <w:rFonts w:cs="Arial"/>
              </w:rPr>
            </w:pPr>
            <w:r w:rsidRPr="009B7B35">
              <w:rPr>
                <w:rFonts w:cs="Arial"/>
              </w:rPr>
              <w:t>Type of waste expected to be generated</w:t>
            </w:r>
          </w:p>
        </w:tc>
        <w:tc>
          <w:tcPr>
            <w:tcW w:w="2268" w:type="dxa"/>
            <w:tcBorders>
              <w:bottom w:val="double" w:sz="4" w:space="0" w:color="auto"/>
            </w:tcBorders>
          </w:tcPr>
          <w:p w14:paraId="092392FF" w14:textId="77777777" w:rsidR="00BE36FB" w:rsidRPr="009B7B35" w:rsidRDefault="00BE36FB" w:rsidP="001A7107">
            <w:pPr>
              <w:pStyle w:val="TableText"/>
              <w:jc w:val="center"/>
              <w:rPr>
                <w:rFonts w:cs="Arial"/>
              </w:rPr>
            </w:pPr>
            <w:r w:rsidRPr="009B7B35">
              <w:rPr>
                <w:rFonts w:cs="Arial"/>
              </w:rPr>
              <w:t>Expected quantities per week</w:t>
            </w:r>
          </w:p>
        </w:tc>
        <w:tc>
          <w:tcPr>
            <w:tcW w:w="4394" w:type="dxa"/>
            <w:tcBorders>
              <w:bottom w:val="double" w:sz="4" w:space="0" w:color="auto"/>
            </w:tcBorders>
          </w:tcPr>
          <w:p w14:paraId="34CAE893" w14:textId="77777777" w:rsidR="00BE36FB" w:rsidRPr="009B7B35" w:rsidRDefault="00BE36FB" w:rsidP="001A7107">
            <w:pPr>
              <w:pStyle w:val="TableText"/>
              <w:jc w:val="center"/>
              <w:rPr>
                <w:rFonts w:cs="Arial"/>
                <w:b/>
                <w:bCs/>
              </w:rPr>
            </w:pPr>
            <w:r w:rsidRPr="009B7B35">
              <w:rPr>
                <w:rFonts w:cs="Arial"/>
              </w:rPr>
              <w:t>(e.g. waste storage, compaction and</w:t>
            </w:r>
            <w:r w:rsidRPr="009B7B35">
              <w:rPr>
                <w:rFonts w:cs="Arial"/>
              </w:rPr>
              <w:br/>
              <w:t>recycling, composting)</w:t>
            </w:r>
          </w:p>
        </w:tc>
        <w:tc>
          <w:tcPr>
            <w:tcW w:w="4203" w:type="dxa"/>
            <w:tcBorders>
              <w:bottom w:val="double" w:sz="4" w:space="0" w:color="auto"/>
            </w:tcBorders>
          </w:tcPr>
          <w:p w14:paraId="6749221F" w14:textId="77777777" w:rsidR="00BE36FB" w:rsidRPr="009B7B35" w:rsidRDefault="00BE36FB" w:rsidP="001A7107">
            <w:pPr>
              <w:pStyle w:val="TableText"/>
              <w:jc w:val="center"/>
              <w:rPr>
                <w:rFonts w:cs="Arial"/>
              </w:rPr>
            </w:pPr>
            <w:r w:rsidRPr="009B7B35">
              <w:rPr>
                <w:rFonts w:cs="Arial"/>
              </w:rPr>
              <w:t>(Compost, recycle or landfill)</w:t>
            </w:r>
            <w:r w:rsidRPr="009B7B35">
              <w:rPr>
                <w:rFonts w:cs="Arial"/>
              </w:rPr>
              <w:br/>
              <w:t>specify contractor</w:t>
            </w:r>
          </w:p>
        </w:tc>
      </w:tr>
      <w:tr w:rsidR="00BE36FB" w:rsidRPr="009B7B35" w14:paraId="644EFD2E" w14:textId="77777777" w:rsidTr="001A7107">
        <w:trPr>
          <w:trHeight w:val="539"/>
        </w:trPr>
        <w:tc>
          <w:tcPr>
            <w:tcW w:w="3119" w:type="dxa"/>
            <w:tcBorders>
              <w:top w:val="double" w:sz="4" w:space="0" w:color="auto"/>
            </w:tcBorders>
            <w:vAlign w:val="center"/>
          </w:tcPr>
          <w:p w14:paraId="00D968F2" w14:textId="77777777" w:rsidR="00BE36FB" w:rsidRPr="009B7B35" w:rsidRDefault="00BE36FB" w:rsidP="001A7107">
            <w:pPr>
              <w:pStyle w:val="Tableheading"/>
              <w:rPr>
                <w:rFonts w:ascii="Arial" w:hAnsi="Arial" w:cs="Arial"/>
                <w:szCs w:val="20"/>
              </w:rPr>
            </w:pPr>
            <w:r w:rsidRPr="009B7B35">
              <w:rPr>
                <w:rFonts w:ascii="Arial" w:hAnsi="Arial" w:cs="Arial"/>
                <w:szCs w:val="20"/>
              </w:rPr>
              <w:t>Recyclables</w:t>
            </w:r>
          </w:p>
        </w:tc>
        <w:tc>
          <w:tcPr>
            <w:tcW w:w="2268" w:type="dxa"/>
            <w:tcBorders>
              <w:top w:val="double" w:sz="4" w:space="0" w:color="auto"/>
            </w:tcBorders>
            <w:vAlign w:val="center"/>
          </w:tcPr>
          <w:p w14:paraId="2F9BB6B3" w14:textId="77777777" w:rsidR="00BE36FB" w:rsidRPr="009B7B35" w:rsidRDefault="00BE36FB" w:rsidP="001A7107">
            <w:pPr>
              <w:pStyle w:val="TableText"/>
              <w:rPr>
                <w:rFonts w:cs="Arial"/>
              </w:rPr>
            </w:pPr>
          </w:p>
        </w:tc>
        <w:tc>
          <w:tcPr>
            <w:tcW w:w="4394" w:type="dxa"/>
            <w:tcBorders>
              <w:top w:val="double" w:sz="4" w:space="0" w:color="auto"/>
            </w:tcBorders>
            <w:vAlign w:val="center"/>
          </w:tcPr>
          <w:p w14:paraId="03BCC002" w14:textId="77777777" w:rsidR="00BE36FB" w:rsidRPr="009B7B35" w:rsidRDefault="00BE36FB" w:rsidP="001A7107">
            <w:pPr>
              <w:pStyle w:val="TableText"/>
              <w:rPr>
                <w:rFonts w:cs="Arial"/>
              </w:rPr>
            </w:pPr>
          </w:p>
        </w:tc>
        <w:tc>
          <w:tcPr>
            <w:tcW w:w="4203" w:type="dxa"/>
            <w:tcBorders>
              <w:top w:val="double" w:sz="4" w:space="0" w:color="auto"/>
            </w:tcBorders>
            <w:vAlign w:val="center"/>
          </w:tcPr>
          <w:p w14:paraId="7B1EB692" w14:textId="77777777" w:rsidR="00BE36FB" w:rsidRPr="009B7B35" w:rsidRDefault="00BE36FB" w:rsidP="001A7107">
            <w:pPr>
              <w:pStyle w:val="TableText"/>
              <w:rPr>
                <w:rFonts w:cs="Arial"/>
              </w:rPr>
            </w:pPr>
          </w:p>
        </w:tc>
      </w:tr>
      <w:tr w:rsidR="00BE36FB" w:rsidRPr="009B7B35" w14:paraId="34680529" w14:textId="77777777" w:rsidTr="001A7107">
        <w:trPr>
          <w:trHeight w:val="539"/>
        </w:trPr>
        <w:tc>
          <w:tcPr>
            <w:tcW w:w="3119" w:type="dxa"/>
            <w:vAlign w:val="center"/>
          </w:tcPr>
          <w:p w14:paraId="4553B2CA" w14:textId="77777777" w:rsidR="00BE36FB" w:rsidRPr="009B7B35" w:rsidRDefault="00BE36FB" w:rsidP="001A7107">
            <w:pPr>
              <w:pStyle w:val="TableText"/>
              <w:rPr>
                <w:rFonts w:cs="Arial"/>
              </w:rPr>
            </w:pPr>
            <w:r w:rsidRPr="009B7B35">
              <w:rPr>
                <w:rFonts w:cs="Arial"/>
              </w:rPr>
              <w:t>Paper</w:t>
            </w:r>
          </w:p>
        </w:tc>
        <w:tc>
          <w:tcPr>
            <w:tcW w:w="2268" w:type="dxa"/>
            <w:vAlign w:val="center"/>
          </w:tcPr>
          <w:p w14:paraId="36FECA7F" w14:textId="77777777" w:rsidR="00BE36FB" w:rsidRPr="009B7B35" w:rsidRDefault="00BE36FB" w:rsidP="001A7107">
            <w:pPr>
              <w:pStyle w:val="TableText"/>
              <w:rPr>
                <w:rFonts w:cs="Arial"/>
              </w:rPr>
            </w:pPr>
          </w:p>
        </w:tc>
        <w:tc>
          <w:tcPr>
            <w:tcW w:w="4394" w:type="dxa"/>
            <w:vAlign w:val="center"/>
          </w:tcPr>
          <w:p w14:paraId="67AB3F2E" w14:textId="77777777" w:rsidR="00BE36FB" w:rsidRPr="009B7B35" w:rsidRDefault="00BE36FB" w:rsidP="001A7107">
            <w:pPr>
              <w:pStyle w:val="TableText"/>
              <w:rPr>
                <w:rFonts w:cs="Arial"/>
              </w:rPr>
            </w:pPr>
          </w:p>
        </w:tc>
        <w:tc>
          <w:tcPr>
            <w:tcW w:w="4203" w:type="dxa"/>
            <w:vAlign w:val="center"/>
          </w:tcPr>
          <w:p w14:paraId="2FA3A7C5" w14:textId="77777777" w:rsidR="00BE36FB" w:rsidRPr="009B7B35" w:rsidRDefault="00BE36FB" w:rsidP="001A7107">
            <w:pPr>
              <w:pStyle w:val="TableText"/>
              <w:rPr>
                <w:rFonts w:cs="Arial"/>
              </w:rPr>
            </w:pPr>
          </w:p>
        </w:tc>
      </w:tr>
      <w:tr w:rsidR="00BE36FB" w:rsidRPr="009B7B35" w14:paraId="78116B93" w14:textId="77777777" w:rsidTr="001A7107">
        <w:trPr>
          <w:trHeight w:val="539"/>
        </w:trPr>
        <w:tc>
          <w:tcPr>
            <w:tcW w:w="3119" w:type="dxa"/>
            <w:vAlign w:val="center"/>
          </w:tcPr>
          <w:p w14:paraId="159AD282" w14:textId="77777777" w:rsidR="00BE36FB" w:rsidRPr="009B7B35" w:rsidRDefault="00BE36FB" w:rsidP="001A7107">
            <w:pPr>
              <w:pStyle w:val="TableText"/>
              <w:rPr>
                <w:rFonts w:cs="Arial"/>
              </w:rPr>
            </w:pPr>
            <w:r w:rsidRPr="009B7B35">
              <w:rPr>
                <w:rFonts w:cs="Arial"/>
              </w:rPr>
              <w:t>Cardboard</w:t>
            </w:r>
          </w:p>
        </w:tc>
        <w:tc>
          <w:tcPr>
            <w:tcW w:w="2268" w:type="dxa"/>
            <w:vAlign w:val="center"/>
          </w:tcPr>
          <w:p w14:paraId="6F8A8C2E" w14:textId="77777777" w:rsidR="00BE36FB" w:rsidRPr="009B7B35" w:rsidRDefault="00BE36FB" w:rsidP="001A7107">
            <w:pPr>
              <w:pStyle w:val="TableText"/>
              <w:rPr>
                <w:rFonts w:cs="Arial"/>
              </w:rPr>
            </w:pPr>
          </w:p>
        </w:tc>
        <w:tc>
          <w:tcPr>
            <w:tcW w:w="4394" w:type="dxa"/>
            <w:vAlign w:val="center"/>
          </w:tcPr>
          <w:p w14:paraId="3130C170" w14:textId="77777777" w:rsidR="00BE36FB" w:rsidRPr="009B7B35" w:rsidRDefault="00BE36FB" w:rsidP="001A7107">
            <w:pPr>
              <w:pStyle w:val="TableText"/>
              <w:rPr>
                <w:rFonts w:cs="Arial"/>
              </w:rPr>
            </w:pPr>
          </w:p>
        </w:tc>
        <w:tc>
          <w:tcPr>
            <w:tcW w:w="4203" w:type="dxa"/>
            <w:vAlign w:val="center"/>
          </w:tcPr>
          <w:p w14:paraId="3679C1ED" w14:textId="77777777" w:rsidR="00BE36FB" w:rsidRPr="009B7B35" w:rsidRDefault="00BE36FB" w:rsidP="001A7107">
            <w:pPr>
              <w:pStyle w:val="TableText"/>
              <w:rPr>
                <w:rFonts w:cs="Arial"/>
              </w:rPr>
            </w:pPr>
          </w:p>
        </w:tc>
      </w:tr>
      <w:tr w:rsidR="00BE36FB" w:rsidRPr="009B7B35" w14:paraId="645BC193" w14:textId="77777777" w:rsidTr="001A7107">
        <w:trPr>
          <w:trHeight w:val="539"/>
        </w:trPr>
        <w:tc>
          <w:tcPr>
            <w:tcW w:w="3119" w:type="dxa"/>
            <w:vAlign w:val="center"/>
          </w:tcPr>
          <w:p w14:paraId="4F58D55F" w14:textId="77777777" w:rsidR="00BE36FB" w:rsidRPr="009B7B35" w:rsidRDefault="00BE36FB" w:rsidP="001A7107">
            <w:pPr>
              <w:pStyle w:val="TableText"/>
              <w:rPr>
                <w:rFonts w:cs="Arial"/>
              </w:rPr>
            </w:pPr>
            <w:r w:rsidRPr="009B7B35">
              <w:rPr>
                <w:rFonts w:cs="Arial"/>
              </w:rPr>
              <w:t>Glass</w:t>
            </w:r>
          </w:p>
        </w:tc>
        <w:tc>
          <w:tcPr>
            <w:tcW w:w="2268" w:type="dxa"/>
            <w:vAlign w:val="center"/>
          </w:tcPr>
          <w:p w14:paraId="1DFE77CD" w14:textId="77777777" w:rsidR="00BE36FB" w:rsidRPr="009B7B35" w:rsidRDefault="00BE36FB" w:rsidP="001A7107">
            <w:pPr>
              <w:pStyle w:val="TableText"/>
              <w:rPr>
                <w:rFonts w:cs="Arial"/>
              </w:rPr>
            </w:pPr>
          </w:p>
        </w:tc>
        <w:tc>
          <w:tcPr>
            <w:tcW w:w="4394" w:type="dxa"/>
            <w:vAlign w:val="center"/>
          </w:tcPr>
          <w:p w14:paraId="4646C897" w14:textId="77777777" w:rsidR="00BE36FB" w:rsidRPr="009B7B35" w:rsidRDefault="00BE36FB" w:rsidP="001A7107">
            <w:pPr>
              <w:pStyle w:val="TableText"/>
              <w:rPr>
                <w:rFonts w:cs="Arial"/>
              </w:rPr>
            </w:pPr>
          </w:p>
        </w:tc>
        <w:tc>
          <w:tcPr>
            <w:tcW w:w="4203" w:type="dxa"/>
            <w:vAlign w:val="center"/>
          </w:tcPr>
          <w:p w14:paraId="248A2FE2" w14:textId="77777777" w:rsidR="00BE36FB" w:rsidRPr="009B7B35" w:rsidRDefault="00BE36FB" w:rsidP="001A7107">
            <w:pPr>
              <w:pStyle w:val="TableText"/>
              <w:rPr>
                <w:rFonts w:cs="Arial"/>
              </w:rPr>
            </w:pPr>
          </w:p>
        </w:tc>
      </w:tr>
      <w:tr w:rsidR="00BE36FB" w:rsidRPr="009B7B35" w14:paraId="763F26F6" w14:textId="77777777" w:rsidTr="001A7107">
        <w:trPr>
          <w:trHeight w:val="539"/>
        </w:trPr>
        <w:tc>
          <w:tcPr>
            <w:tcW w:w="3119" w:type="dxa"/>
            <w:vAlign w:val="center"/>
          </w:tcPr>
          <w:p w14:paraId="2F1E0164" w14:textId="77777777" w:rsidR="00BE36FB" w:rsidRPr="009B7B35" w:rsidRDefault="00BE36FB" w:rsidP="001A7107">
            <w:pPr>
              <w:pStyle w:val="TableText"/>
              <w:rPr>
                <w:rFonts w:cs="Arial"/>
              </w:rPr>
            </w:pPr>
            <w:r w:rsidRPr="009B7B35">
              <w:rPr>
                <w:rFonts w:cs="Arial"/>
              </w:rPr>
              <w:t>Aluminium cans</w:t>
            </w:r>
          </w:p>
        </w:tc>
        <w:tc>
          <w:tcPr>
            <w:tcW w:w="2268" w:type="dxa"/>
            <w:vAlign w:val="center"/>
          </w:tcPr>
          <w:p w14:paraId="2D281CC4" w14:textId="77777777" w:rsidR="00BE36FB" w:rsidRPr="009B7B35" w:rsidRDefault="00BE36FB" w:rsidP="001A7107">
            <w:pPr>
              <w:pStyle w:val="TableText"/>
              <w:rPr>
                <w:rFonts w:cs="Arial"/>
              </w:rPr>
            </w:pPr>
          </w:p>
        </w:tc>
        <w:tc>
          <w:tcPr>
            <w:tcW w:w="4394" w:type="dxa"/>
            <w:vAlign w:val="center"/>
          </w:tcPr>
          <w:p w14:paraId="76E450F5" w14:textId="77777777" w:rsidR="00BE36FB" w:rsidRPr="009B7B35" w:rsidRDefault="00BE36FB" w:rsidP="001A7107">
            <w:pPr>
              <w:pStyle w:val="TableText"/>
              <w:rPr>
                <w:rFonts w:cs="Arial"/>
              </w:rPr>
            </w:pPr>
          </w:p>
        </w:tc>
        <w:tc>
          <w:tcPr>
            <w:tcW w:w="4203" w:type="dxa"/>
            <w:vAlign w:val="center"/>
          </w:tcPr>
          <w:p w14:paraId="3002CB54" w14:textId="77777777" w:rsidR="00BE36FB" w:rsidRPr="009B7B35" w:rsidRDefault="00BE36FB" w:rsidP="001A7107">
            <w:pPr>
              <w:pStyle w:val="TableText"/>
              <w:rPr>
                <w:rFonts w:cs="Arial"/>
              </w:rPr>
            </w:pPr>
          </w:p>
        </w:tc>
      </w:tr>
      <w:tr w:rsidR="00BE36FB" w:rsidRPr="009B7B35" w14:paraId="4F9D6506" w14:textId="77777777" w:rsidTr="001A7107">
        <w:trPr>
          <w:trHeight w:val="539"/>
        </w:trPr>
        <w:tc>
          <w:tcPr>
            <w:tcW w:w="3119" w:type="dxa"/>
            <w:vAlign w:val="center"/>
          </w:tcPr>
          <w:p w14:paraId="6FC69636" w14:textId="77777777" w:rsidR="00BE36FB" w:rsidRPr="009B7B35" w:rsidRDefault="00BE36FB" w:rsidP="001A7107">
            <w:pPr>
              <w:pStyle w:val="TableText"/>
              <w:rPr>
                <w:rFonts w:cs="Arial"/>
              </w:rPr>
            </w:pPr>
            <w:r w:rsidRPr="009B7B35">
              <w:rPr>
                <w:rFonts w:cs="Arial"/>
              </w:rPr>
              <w:t>Plastic bottles</w:t>
            </w:r>
          </w:p>
        </w:tc>
        <w:tc>
          <w:tcPr>
            <w:tcW w:w="2268" w:type="dxa"/>
            <w:vAlign w:val="center"/>
          </w:tcPr>
          <w:p w14:paraId="307D96B8" w14:textId="77777777" w:rsidR="00BE36FB" w:rsidRPr="009B7B35" w:rsidRDefault="00BE36FB" w:rsidP="001A7107">
            <w:pPr>
              <w:pStyle w:val="TableText"/>
              <w:rPr>
                <w:rFonts w:cs="Arial"/>
              </w:rPr>
            </w:pPr>
          </w:p>
        </w:tc>
        <w:tc>
          <w:tcPr>
            <w:tcW w:w="4394" w:type="dxa"/>
            <w:vAlign w:val="center"/>
          </w:tcPr>
          <w:p w14:paraId="5D0BE97C" w14:textId="77777777" w:rsidR="00BE36FB" w:rsidRPr="009B7B35" w:rsidRDefault="00BE36FB" w:rsidP="001A7107">
            <w:pPr>
              <w:pStyle w:val="TableText"/>
              <w:rPr>
                <w:rFonts w:cs="Arial"/>
              </w:rPr>
            </w:pPr>
          </w:p>
        </w:tc>
        <w:tc>
          <w:tcPr>
            <w:tcW w:w="4203" w:type="dxa"/>
            <w:vAlign w:val="center"/>
          </w:tcPr>
          <w:p w14:paraId="2D090F51" w14:textId="77777777" w:rsidR="00BE36FB" w:rsidRPr="009B7B35" w:rsidRDefault="00BE36FB" w:rsidP="001A7107">
            <w:pPr>
              <w:pStyle w:val="TableText"/>
              <w:rPr>
                <w:rFonts w:cs="Arial"/>
              </w:rPr>
            </w:pPr>
          </w:p>
        </w:tc>
      </w:tr>
      <w:tr w:rsidR="00BE36FB" w:rsidRPr="009B7B35" w14:paraId="56DB9FFE" w14:textId="77777777" w:rsidTr="001A7107">
        <w:trPr>
          <w:trHeight w:val="539"/>
        </w:trPr>
        <w:tc>
          <w:tcPr>
            <w:tcW w:w="3119" w:type="dxa"/>
            <w:vAlign w:val="center"/>
          </w:tcPr>
          <w:p w14:paraId="643985C6" w14:textId="77777777" w:rsidR="00BE36FB" w:rsidRPr="009B7B35" w:rsidRDefault="00BE36FB" w:rsidP="001A7107">
            <w:pPr>
              <w:pStyle w:val="TableText"/>
              <w:rPr>
                <w:rFonts w:cs="Arial"/>
              </w:rPr>
            </w:pPr>
            <w:r w:rsidRPr="009B7B35">
              <w:rPr>
                <w:rFonts w:cs="Arial"/>
              </w:rPr>
              <w:t>Other:</w:t>
            </w:r>
          </w:p>
        </w:tc>
        <w:tc>
          <w:tcPr>
            <w:tcW w:w="2268" w:type="dxa"/>
            <w:vAlign w:val="center"/>
          </w:tcPr>
          <w:p w14:paraId="0DCDDAAB" w14:textId="77777777" w:rsidR="00BE36FB" w:rsidRPr="009B7B35" w:rsidRDefault="00BE36FB" w:rsidP="001A7107">
            <w:pPr>
              <w:pStyle w:val="TableText"/>
              <w:rPr>
                <w:rFonts w:cs="Arial"/>
              </w:rPr>
            </w:pPr>
          </w:p>
        </w:tc>
        <w:tc>
          <w:tcPr>
            <w:tcW w:w="4394" w:type="dxa"/>
            <w:vAlign w:val="center"/>
          </w:tcPr>
          <w:p w14:paraId="2D4A8E84" w14:textId="77777777" w:rsidR="00BE36FB" w:rsidRPr="009B7B35" w:rsidRDefault="00BE36FB" w:rsidP="001A7107">
            <w:pPr>
              <w:pStyle w:val="TableText"/>
              <w:rPr>
                <w:rFonts w:cs="Arial"/>
              </w:rPr>
            </w:pPr>
          </w:p>
        </w:tc>
        <w:tc>
          <w:tcPr>
            <w:tcW w:w="4203" w:type="dxa"/>
            <w:vAlign w:val="center"/>
          </w:tcPr>
          <w:p w14:paraId="204A20DE" w14:textId="77777777" w:rsidR="00BE36FB" w:rsidRPr="009B7B35" w:rsidRDefault="00BE36FB" w:rsidP="001A7107">
            <w:pPr>
              <w:pStyle w:val="TableText"/>
              <w:rPr>
                <w:rFonts w:cs="Arial"/>
              </w:rPr>
            </w:pPr>
          </w:p>
        </w:tc>
      </w:tr>
      <w:tr w:rsidR="00BE36FB" w:rsidRPr="009B7B35" w14:paraId="4210D2CF" w14:textId="77777777" w:rsidTr="001A7107">
        <w:trPr>
          <w:trHeight w:val="539"/>
        </w:trPr>
        <w:tc>
          <w:tcPr>
            <w:tcW w:w="3119" w:type="dxa"/>
            <w:vAlign w:val="center"/>
          </w:tcPr>
          <w:p w14:paraId="4295A7B8" w14:textId="77777777" w:rsidR="00BE36FB" w:rsidRPr="009B7B35" w:rsidRDefault="00BE36FB" w:rsidP="001A7107">
            <w:pPr>
              <w:pStyle w:val="Tableheading"/>
              <w:rPr>
                <w:rFonts w:ascii="Arial" w:hAnsi="Arial" w:cs="Arial"/>
                <w:szCs w:val="20"/>
              </w:rPr>
            </w:pPr>
            <w:r w:rsidRPr="009B7B35">
              <w:rPr>
                <w:rFonts w:ascii="Arial" w:hAnsi="Arial" w:cs="Arial"/>
                <w:szCs w:val="20"/>
              </w:rPr>
              <w:t>Non–Recyclables</w:t>
            </w:r>
          </w:p>
        </w:tc>
        <w:tc>
          <w:tcPr>
            <w:tcW w:w="2268" w:type="dxa"/>
            <w:vAlign w:val="center"/>
          </w:tcPr>
          <w:p w14:paraId="02500C86" w14:textId="77777777" w:rsidR="00BE36FB" w:rsidRPr="009B7B35" w:rsidRDefault="00BE36FB" w:rsidP="001A7107">
            <w:pPr>
              <w:pStyle w:val="TableText"/>
              <w:rPr>
                <w:rFonts w:cs="Arial"/>
              </w:rPr>
            </w:pPr>
          </w:p>
        </w:tc>
        <w:tc>
          <w:tcPr>
            <w:tcW w:w="4394" w:type="dxa"/>
            <w:vAlign w:val="center"/>
          </w:tcPr>
          <w:p w14:paraId="53FD1984" w14:textId="77777777" w:rsidR="00BE36FB" w:rsidRPr="009B7B35" w:rsidRDefault="00BE36FB" w:rsidP="001A7107">
            <w:pPr>
              <w:pStyle w:val="TableText"/>
              <w:rPr>
                <w:rFonts w:cs="Arial"/>
              </w:rPr>
            </w:pPr>
          </w:p>
        </w:tc>
        <w:tc>
          <w:tcPr>
            <w:tcW w:w="4203" w:type="dxa"/>
            <w:vAlign w:val="center"/>
          </w:tcPr>
          <w:p w14:paraId="2FC8B692" w14:textId="77777777" w:rsidR="00BE36FB" w:rsidRPr="009B7B35" w:rsidRDefault="00BE36FB" w:rsidP="001A7107">
            <w:pPr>
              <w:pStyle w:val="TableText"/>
              <w:rPr>
                <w:rFonts w:cs="Arial"/>
              </w:rPr>
            </w:pPr>
          </w:p>
        </w:tc>
      </w:tr>
      <w:tr w:rsidR="00BE36FB" w:rsidRPr="009B7B35" w14:paraId="07CFADC2" w14:textId="77777777" w:rsidTr="001A7107">
        <w:trPr>
          <w:trHeight w:val="539"/>
        </w:trPr>
        <w:tc>
          <w:tcPr>
            <w:tcW w:w="3119" w:type="dxa"/>
            <w:vAlign w:val="center"/>
          </w:tcPr>
          <w:p w14:paraId="1A742BE3" w14:textId="77777777" w:rsidR="00BE36FB" w:rsidRPr="009B7B35" w:rsidRDefault="00BE36FB" w:rsidP="001A7107">
            <w:pPr>
              <w:pStyle w:val="TableText"/>
              <w:rPr>
                <w:rFonts w:cs="Arial"/>
              </w:rPr>
            </w:pPr>
            <w:r w:rsidRPr="009B7B35">
              <w:rPr>
                <w:rFonts w:cs="Arial"/>
              </w:rPr>
              <w:t>Food scraps</w:t>
            </w:r>
          </w:p>
        </w:tc>
        <w:tc>
          <w:tcPr>
            <w:tcW w:w="2268" w:type="dxa"/>
            <w:vAlign w:val="center"/>
          </w:tcPr>
          <w:p w14:paraId="75C47163" w14:textId="77777777" w:rsidR="00BE36FB" w:rsidRPr="009B7B35" w:rsidRDefault="00BE36FB" w:rsidP="001A7107">
            <w:pPr>
              <w:pStyle w:val="TableText"/>
              <w:rPr>
                <w:rFonts w:cs="Arial"/>
              </w:rPr>
            </w:pPr>
          </w:p>
        </w:tc>
        <w:tc>
          <w:tcPr>
            <w:tcW w:w="4394" w:type="dxa"/>
            <w:vAlign w:val="center"/>
          </w:tcPr>
          <w:p w14:paraId="0C3EDF93" w14:textId="77777777" w:rsidR="00BE36FB" w:rsidRPr="009B7B35" w:rsidRDefault="00BE36FB" w:rsidP="001A7107">
            <w:pPr>
              <w:pStyle w:val="TableText"/>
              <w:rPr>
                <w:rFonts w:cs="Arial"/>
              </w:rPr>
            </w:pPr>
          </w:p>
        </w:tc>
        <w:tc>
          <w:tcPr>
            <w:tcW w:w="4203" w:type="dxa"/>
            <w:vAlign w:val="center"/>
          </w:tcPr>
          <w:p w14:paraId="6313C093" w14:textId="77777777" w:rsidR="00BE36FB" w:rsidRPr="009B7B35" w:rsidRDefault="00BE36FB" w:rsidP="001A7107">
            <w:pPr>
              <w:pStyle w:val="TableText"/>
              <w:rPr>
                <w:rFonts w:cs="Arial"/>
              </w:rPr>
            </w:pPr>
          </w:p>
        </w:tc>
      </w:tr>
      <w:tr w:rsidR="00BE36FB" w:rsidRPr="009B7B35" w14:paraId="23D768C8" w14:textId="77777777" w:rsidTr="001A7107">
        <w:trPr>
          <w:trHeight w:val="539"/>
        </w:trPr>
        <w:tc>
          <w:tcPr>
            <w:tcW w:w="3119" w:type="dxa"/>
            <w:vAlign w:val="center"/>
          </w:tcPr>
          <w:p w14:paraId="4549A399" w14:textId="77777777" w:rsidR="00BE36FB" w:rsidRPr="009B7B35" w:rsidRDefault="00BE36FB" w:rsidP="001A7107">
            <w:pPr>
              <w:pStyle w:val="TableText"/>
              <w:rPr>
                <w:rFonts w:cs="Arial"/>
              </w:rPr>
            </w:pPr>
            <w:r w:rsidRPr="009B7B35">
              <w:rPr>
                <w:rFonts w:cs="Arial"/>
              </w:rPr>
              <w:t>Plastic</w:t>
            </w:r>
          </w:p>
        </w:tc>
        <w:tc>
          <w:tcPr>
            <w:tcW w:w="2268" w:type="dxa"/>
            <w:vAlign w:val="center"/>
          </w:tcPr>
          <w:p w14:paraId="3516004C" w14:textId="77777777" w:rsidR="00BE36FB" w:rsidRPr="009B7B35" w:rsidRDefault="00BE36FB" w:rsidP="001A7107">
            <w:pPr>
              <w:pStyle w:val="TableText"/>
              <w:rPr>
                <w:rFonts w:cs="Arial"/>
              </w:rPr>
            </w:pPr>
          </w:p>
        </w:tc>
        <w:tc>
          <w:tcPr>
            <w:tcW w:w="4394" w:type="dxa"/>
            <w:vAlign w:val="center"/>
          </w:tcPr>
          <w:p w14:paraId="281623AD" w14:textId="77777777" w:rsidR="00BE36FB" w:rsidRPr="009B7B35" w:rsidRDefault="00BE36FB" w:rsidP="001A7107">
            <w:pPr>
              <w:pStyle w:val="TableText"/>
              <w:rPr>
                <w:rFonts w:cs="Arial"/>
              </w:rPr>
            </w:pPr>
          </w:p>
        </w:tc>
        <w:tc>
          <w:tcPr>
            <w:tcW w:w="4203" w:type="dxa"/>
            <w:vAlign w:val="center"/>
          </w:tcPr>
          <w:p w14:paraId="746362EF" w14:textId="77777777" w:rsidR="00BE36FB" w:rsidRPr="009B7B35" w:rsidRDefault="00BE36FB" w:rsidP="001A7107">
            <w:pPr>
              <w:pStyle w:val="TableText"/>
              <w:rPr>
                <w:rFonts w:cs="Arial"/>
              </w:rPr>
            </w:pPr>
          </w:p>
        </w:tc>
      </w:tr>
      <w:tr w:rsidR="00BE36FB" w:rsidRPr="009B7B35" w14:paraId="4ECA2ECF" w14:textId="77777777" w:rsidTr="001A7107">
        <w:trPr>
          <w:trHeight w:val="539"/>
        </w:trPr>
        <w:tc>
          <w:tcPr>
            <w:tcW w:w="3119" w:type="dxa"/>
            <w:vAlign w:val="center"/>
          </w:tcPr>
          <w:p w14:paraId="19DB812C" w14:textId="77777777" w:rsidR="00BE36FB" w:rsidRPr="009B7B35" w:rsidRDefault="00BE36FB" w:rsidP="001A7107">
            <w:pPr>
              <w:pStyle w:val="TableText"/>
              <w:rPr>
                <w:rFonts w:cs="Arial"/>
              </w:rPr>
            </w:pPr>
            <w:r w:rsidRPr="009B7B35">
              <w:rPr>
                <w:rFonts w:cs="Arial"/>
              </w:rPr>
              <w:t>Garden organics</w:t>
            </w:r>
          </w:p>
        </w:tc>
        <w:tc>
          <w:tcPr>
            <w:tcW w:w="2268" w:type="dxa"/>
            <w:vAlign w:val="center"/>
          </w:tcPr>
          <w:p w14:paraId="14F73786" w14:textId="77777777" w:rsidR="00BE36FB" w:rsidRPr="009B7B35" w:rsidRDefault="00BE36FB" w:rsidP="001A7107">
            <w:pPr>
              <w:pStyle w:val="TableText"/>
              <w:rPr>
                <w:rFonts w:cs="Arial"/>
              </w:rPr>
            </w:pPr>
          </w:p>
        </w:tc>
        <w:tc>
          <w:tcPr>
            <w:tcW w:w="4394" w:type="dxa"/>
            <w:vAlign w:val="center"/>
          </w:tcPr>
          <w:p w14:paraId="6B19CE8B" w14:textId="77777777" w:rsidR="00BE36FB" w:rsidRPr="009B7B35" w:rsidRDefault="00BE36FB" w:rsidP="001A7107">
            <w:pPr>
              <w:pStyle w:val="TableText"/>
              <w:rPr>
                <w:rFonts w:cs="Arial"/>
              </w:rPr>
            </w:pPr>
          </w:p>
        </w:tc>
        <w:tc>
          <w:tcPr>
            <w:tcW w:w="4203" w:type="dxa"/>
            <w:vAlign w:val="center"/>
          </w:tcPr>
          <w:p w14:paraId="5815938B" w14:textId="77777777" w:rsidR="00BE36FB" w:rsidRPr="009B7B35" w:rsidRDefault="00BE36FB" w:rsidP="001A7107">
            <w:pPr>
              <w:pStyle w:val="TableText"/>
              <w:rPr>
                <w:rFonts w:cs="Arial"/>
              </w:rPr>
            </w:pPr>
          </w:p>
        </w:tc>
      </w:tr>
      <w:tr w:rsidR="00BE36FB" w:rsidRPr="009B7B35" w14:paraId="3461B9D0" w14:textId="77777777" w:rsidTr="001A7107">
        <w:trPr>
          <w:trHeight w:val="539"/>
        </w:trPr>
        <w:tc>
          <w:tcPr>
            <w:tcW w:w="3119" w:type="dxa"/>
            <w:vAlign w:val="center"/>
          </w:tcPr>
          <w:p w14:paraId="3D72A9F2" w14:textId="77777777" w:rsidR="00BE36FB" w:rsidRPr="009B7B35" w:rsidRDefault="00BE36FB" w:rsidP="001A7107">
            <w:pPr>
              <w:pStyle w:val="TableText"/>
              <w:rPr>
                <w:rFonts w:cs="Arial"/>
              </w:rPr>
            </w:pPr>
            <w:r w:rsidRPr="009B7B35">
              <w:rPr>
                <w:rFonts w:cs="Arial"/>
              </w:rPr>
              <w:t>Other</w:t>
            </w:r>
          </w:p>
        </w:tc>
        <w:tc>
          <w:tcPr>
            <w:tcW w:w="2268" w:type="dxa"/>
            <w:vAlign w:val="center"/>
          </w:tcPr>
          <w:p w14:paraId="72EE6E38" w14:textId="77777777" w:rsidR="00BE36FB" w:rsidRPr="009B7B35" w:rsidRDefault="00BE36FB" w:rsidP="001A7107">
            <w:pPr>
              <w:pStyle w:val="TableText"/>
              <w:rPr>
                <w:rFonts w:cs="Arial"/>
              </w:rPr>
            </w:pPr>
          </w:p>
        </w:tc>
        <w:tc>
          <w:tcPr>
            <w:tcW w:w="4394" w:type="dxa"/>
            <w:vAlign w:val="center"/>
          </w:tcPr>
          <w:p w14:paraId="40075B39" w14:textId="77777777" w:rsidR="00BE36FB" w:rsidRPr="009B7B35" w:rsidRDefault="00BE36FB" w:rsidP="001A7107">
            <w:pPr>
              <w:pStyle w:val="TableText"/>
              <w:rPr>
                <w:rFonts w:cs="Arial"/>
              </w:rPr>
            </w:pPr>
          </w:p>
        </w:tc>
        <w:tc>
          <w:tcPr>
            <w:tcW w:w="4203" w:type="dxa"/>
            <w:vAlign w:val="center"/>
          </w:tcPr>
          <w:p w14:paraId="75435D5D" w14:textId="77777777" w:rsidR="00BE36FB" w:rsidRPr="009B7B35" w:rsidRDefault="00BE36FB" w:rsidP="001A7107">
            <w:pPr>
              <w:pStyle w:val="TableText"/>
              <w:rPr>
                <w:rFonts w:cs="Arial"/>
              </w:rPr>
            </w:pPr>
          </w:p>
        </w:tc>
      </w:tr>
    </w:tbl>
    <w:p w14:paraId="24223250" w14:textId="77777777" w:rsidR="00BE36FB" w:rsidRPr="009B7B35" w:rsidRDefault="00BE36FB" w:rsidP="001A7107">
      <w:pPr>
        <w:rPr>
          <w:rFonts w:ascii="Arial" w:hAnsi="Arial" w:cs="Arial"/>
          <w:sz w:val="20"/>
          <w:szCs w:val="20"/>
        </w:rPr>
      </w:pPr>
    </w:p>
    <w:p w14:paraId="4EF0E10E" w14:textId="77777777" w:rsidR="00BE36FB" w:rsidRPr="009B7B35" w:rsidRDefault="00BE36FB" w:rsidP="001A7107">
      <w:pPr>
        <w:rPr>
          <w:rFonts w:ascii="Arial" w:hAnsi="Arial" w:cs="Arial"/>
          <w:sz w:val="20"/>
          <w:szCs w:val="20"/>
        </w:rPr>
        <w:sectPr w:rsidR="00BE36FB" w:rsidRPr="009B7B35" w:rsidSect="001A7107">
          <w:footerReference w:type="default" r:id="rId141"/>
          <w:footerReference w:type="first" r:id="rId142"/>
          <w:pgSz w:w="16838" w:h="11906" w:orient="landscape" w:code="9"/>
          <w:pgMar w:top="1134" w:right="1418" w:bottom="1134" w:left="1418" w:header="567" w:footer="567" w:gutter="284"/>
          <w:cols w:space="708"/>
          <w:titlePg/>
          <w:docGrid w:linePitch="360"/>
        </w:sectPr>
      </w:pPr>
    </w:p>
    <w:p w14:paraId="09F6C68F" w14:textId="77777777" w:rsidR="00BE36FB" w:rsidRPr="009B7B35" w:rsidRDefault="00BE36FB" w:rsidP="001A7107">
      <w:pPr>
        <w:pStyle w:val="Appendix"/>
        <w:rPr>
          <w:rFonts w:ascii="Arial" w:hAnsi="Arial" w:cs="Arial"/>
          <w:sz w:val="20"/>
          <w:szCs w:val="20"/>
        </w:rPr>
      </w:pPr>
      <w:bookmarkStart w:id="388" w:name="_Toc205367501"/>
      <w:r w:rsidRPr="009B7B35">
        <w:rPr>
          <w:rFonts w:ascii="Arial" w:hAnsi="Arial" w:cs="Arial"/>
          <w:sz w:val="20"/>
          <w:szCs w:val="20"/>
        </w:rPr>
        <w:t>Appendix 2</w:t>
      </w:r>
      <w:r w:rsidRPr="009B7B35">
        <w:rPr>
          <w:rFonts w:ascii="Arial" w:hAnsi="Arial" w:cs="Arial"/>
          <w:sz w:val="20"/>
          <w:szCs w:val="20"/>
        </w:rPr>
        <w:tab/>
        <w:t>Details of waste management: Ongoing management (SC6.11)</w:t>
      </w:r>
      <w:bookmarkEnd w:id="388"/>
    </w:p>
    <w:p w14:paraId="5B2C01B6" w14:textId="77777777" w:rsidR="00BE36FB" w:rsidRPr="009B7B35" w:rsidRDefault="00BE36FB" w:rsidP="001A7107">
      <w:pPr>
        <w:rPr>
          <w:rFonts w:ascii="Arial" w:hAnsi="Arial" w:cs="Arial"/>
          <w:sz w:val="20"/>
          <w:szCs w:val="20"/>
        </w:rPr>
      </w:pPr>
      <w:r w:rsidRPr="009B7B35">
        <w:rPr>
          <w:rFonts w:ascii="Arial" w:hAnsi="Arial" w:cs="Arial"/>
          <w:sz w:val="20"/>
          <w:szCs w:val="20"/>
        </w:rPr>
        <w:t>This section will enable you to describe how you intend to ensure ongoing management of waste on–site (e.g. lease conditions, care–taker/manager on–site). You must prepare and submit with this Waste Management Plan a summary of relevant and appropriate waste management issues. The summary is to inform residents and tenants of the onsite waste management arrangements and must be no longer than one page.</w:t>
      </w:r>
    </w:p>
    <w:p w14:paraId="424A91F0" w14:textId="77777777" w:rsidR="00BE36FB" w:rsidRPr="009B7B35" w:rsidRDefault="00BE36FB" w:rsidP="001A7107">
      <w:pPr>
        <w:rPr>
          <w:rFonts w:ascii="Arial" w:hAnsi="Arial" w:cs="Arial"/>
          <w:sz w:val="20"/>
          <w:szCs w:val="20"/>
        </w:rPr>
      </w:pPr>
    </w:p>
    <w:tbl>
      <w:tblPr>
        <w:tblStyle w:val="Tablestyle"/>
        <w:tblW w:w="0" w:type="auto"/>
        <w:tblLook w:val="04A0" w:firstRow="1" w:lastRow="0" w:firstColumn="1" w:lastColumn="0" w:noHBand="0" w:noVBand="1"/>
      </w:tblPr>
      <w:tblGrid>
        <w:gridCol w:w="9365"/>
      </w:tblGrid>
      <w:tr w:rsidR="00BE36FB" w:rsidRPr="009B7B35" w14:paraId="01E77854" w14:textId="77777777" w:rsidTr="001A7107">
        <w:trPr>
          <w:cnfStyle w:val="100000000000" w:firstRow="1" w:lastRow="0" w:firstColumn="0" w:lastColumn="0" w:oddVBand="0" w:evenVBand="0" w:oddHBand="0" w:evenHBand="0" w:firstRowFirstColumn="0" w:firstRowLastColumn="0" w:lastRowFirstColumn="0" w:lastRowLastColumn="0"/>
          <w:trHeight w:val="11617"/>
        </w:trPr>
        <w:tc>
          <w:tcPr>
            <w:cnfStyle w:val="001000000000" w:firstRow="0" w:lastRow="0" w:firstColumn="1" w:lastColumn="0" w:oddVBand="0" w:evenVBand="0" w:oddHBand="0" w:evenHBand="0" w:firstRowFirstColumn="0" w:firstRowLastColumn="0" w:lastRowFirstColumn="0" w:lastRowLastColumn="0"/>
            <w:tcW w:w="9365" w:type="dxa"/>
          </w:tcPr>
          <w:p w14:paraId="41CD7077" w14:textId="77777777" w:rsidR="00BE36FB" w:rsidRPr="009B7B35" w:rsidRDefault="00BE36FB" w:rsidP="001A7107">
            <w:pPr>
              <w:pStyle w:val="Tablelines"/>
              <w:ind w:left="303" w:hanging="360"/>
              <w:rPr>
                <w:rFonts w:cs="Arial"/>
              </w:rPr>
            </w:pPr>
            <w:r w:rsidRPr="009B7B35">
              <w:rPr>
                <w:rFonts w:cs="Arial"/>
              </w:rPr>
              <w:tab/>
              <w:t>Describe how you intend to ensure ongoing management of waste on–site (e.g. lease        conditions, caretaker/on–site manager:</w:t>
            </w:r>
          </w:p>
          <w:p w14:paraId="01605BA0"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68A7CD28"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0876750B"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4374C917"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725343A1"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7F56743E"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32B658FF"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18810CD3"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29D5BA7E"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07604453" w14:textId="77777777" w:rsidR="00BE36FB" w:rsidRPr="009B7B35" w:rsidRDefault="00BE36FB" w:rsidP="001A7107">
            <w:pPr>
              <w:pStyle w:val="Tablelines"/>
              <w:rPr>
                <w:rFonts w:cs="Arial"/>
                <w:b w:val="0"/>
                <w:lang w:val="en-AU"/>
              </w:rPr>
            </w:pPr>
            <w:r w:rsidRPr="009B7B35">
              <w:rPr>
                <w:rFonts w:cs="Arial"/>
                <w:b w:val="0"/>
                <w:lang w:val="en-AU"/>
              </w:rPr>
              <w:tab/>
            </w:r>
            <w:r w:rsidRPr="009B7B35">
              <w:rPr>
                <w:rFonts w:cs="Arial"/>
                <w:b w:val="0"/>
                <w:lang w:val="en-AU"/>
              </w:rPr>
              <w:tab/>
            </w:r>
          </w:p>
          <w:p w14:paraId="1329E1BF"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48C61BB3"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73218E85"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6965851E"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76B0B307" w14:textId="77777777" w:rsidR="00BE36FB" w:rsidRPr="009B7B35" w:rsidRDefault="00BE36FB" w:rsidP="001A7107">
            <w:pPr>
              <w:pStyle w:val="Tablelines"/>
              <w:rPr>
                <w:rFonts w:cs="Arial"/>
                <w:b w:val="0"/>
                <w:lang w:val="en-AU"/>
              </w:rPr>
            </w:pPr>
            <w:r w:rsidRPr="009B7B35">
              <w:rPr>
                <w:rFonts w:cs="Arial"/>
                <w:b w:val="0"/>
                <w:lang w:val="en-AU"/>
              </w:rPr>
              <w:tab/>
            </w:r>
            <w:r w:rsidRPr="009B7B35">
              <w:rPr>
                <w:rFonts w:cs="Arial"/>
                <w:b w:val="0"/>
                <w:lang w:val="en-AU"/>
              </w:rPr>
              <w:tab/>
            </w:r>
          </w:p>
          <w:p w14:paraId="73D0F94B"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32F8A5DD"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07FFCD41"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7B71F267" w14:textId="77777777" w:rsidR="00BE36FB" w:rsidRPr="009B7B35" w:rsidRDefault="00BE36FB" w:rsidP="001A7107">
            <w:pPr>
              <w:pStyle w:val="Tablelines"/>
              <w:rPr>
                <w:rFonts w:cs="Arial"/>
                <w:b w:val="0"/>
              </w:rPr>
            </w:pPr>
            <w:r w:rsidRPr="009B7B35">
              <w:rPr>
                <w:rFonts w:cs="Arial"/>
                <w:b w:val="0"/>
              </w:rPr>
              <w:tab/>
            </w:r>
            <w:r w:rsidRPr="009B7B35">
              <w:rPr>
                <w:rFonts w:cs="Arial"/>
                <w:b w:val="0"/>
              </w:rPr>
              <w:tab/>
            </w:r>
          </w:p>
          <w:p w14:paraId="5D6D57AC" w14:textId="77777777" w:rsidR="00BE36FB" w:rsidRPr="009B7B35" w:rsidRDefault="00BE36FB" w:rsidP="001A7107">
            <w:pPr>
              <w:pStyle w:val="Tablelines"/>
              <w:rPr>
                <w:rFonts w:cs="Arial"/>
                <w:b w:val="0"/>
                <w:lang w:val="en-AU"/>
              </w:rPr>
            </w:pPr>
            <w:r w:rsidRPr="009B7B35">
              <w:rPr>
                <w:rFonts w:cs="Arial"/>
                <w:b w:val="0"/>
                <w:lang w:val="en-AU"/>
              </w:rPr>
              <w:tab/>
            </w:r>
            <w:r w:rsidRPr="009B7B35">
              <w:rPr>
                <w:rFonts w:cs="Arial"/>
                <w:b w:val="0"/>
                <w:lang w:val="en-AU"/>
              </w:rPr>
              <w:tab/>
            </w:r>
          </w:p>
          <w:p w14:paraId="46C93DDF" w14:textId="77777777" w:rsidR="00BE36FB" w:rsidRPr="009B7B35" w:rsidRDefault="00BE36FB" w:rsidP="001A7107">
            <w:pPr>
              <w:pStyle w:val="Tablelines"/>
              <w:rPr>
                <w:rFonts w:cs="Arial"/>
                <w:b w:val="0"/>
                <w:lang w:val="en-AU"/>
              </w:rPr>
            </w:pPr>
            <w:r w:rsidRPr="009B7B35">
              <w:rPr>
                <w:rFonts w:cs="Arial"/>
                <w:b w:val="0"/>
                <w:lang w:val="en-AU"/>
              </w:rPr>
              <w:tab/>
            </w:r>
            <w:r w:rsidRPr="009B7B35">
              <w:rPr>
                <w:rFonts w:cs="Arial"/>
                <w:b w:val="0"/>
                <w:lang w:val="en-AU"/>
              </w:rPr>
              <w:tab/>
            </w:r>
          </w:p>
          <w:p w14:paraId="31576C6E" w14:textId="77777777" w:rsidR="00BE36FB" w:rsidRPr="009B7B35" w:rsidRDefault="00BE36FB" w:rsidP="001A7107">
            <w:pPr>
              <w:pStyle w:val="Tablelines"/>
              <w:rPr>
                <w:rFonts w:cs="Arial"/>
                <w:b w:val="0"/>
              </w:rPr>
            </w:pPr>
            <w:r w:rsidRPr="009B7B35">
              <w:rPr>
                <w:rFonts w:cs="Arial"/>
                <w:b w:val="0"/>
                <w:lang w:val="en-AU"/>
              </w:rPr>
              <w:tab/>
            </w:r>
            <w:r w:rsidRPr="009B7B35">
              <w:rPr>
                <w:rFonts w:cs="Arial"/>
                <w:b w:val="0"/>
                <w:lang w:val="en-AU"/>
              </w:rPr>
              <w:tab/>
            </w:r>
            <w:r w:rsidRPr="009B7B35">
              <w:rPr>
                <w:rFonts w:cs="Arial"/>
                <w:b w:val="0"/>
                <w:lang w:val="en-AU"/>
              </w:rPr>
              <w:tab/>
            </w:r>
            <w:r w:rsidRPr="009B7B35">
              <w:rPr>
                <w:rFonts w:cs="Arial"/>
                <w:b w:val="0"/>
                <w:lang w:val="en-AU"/>
              </w:rPr>
              <w:tab/>
            </w:r>
          </w:p>
        </w:tc>
      </w:tr>
    </w:tbl>
    <w:p w14:paraId="27FFE31E" w14:textId="77777777" w:rsidR="00BE36FB" w:rsidRPr="009B7B35" w:rsidRDefault="00BE36FB" w:rsidP="001A7107">
      <w:pPr>
        <w:rPr>
          <w:rFonts w:ascii="Arial" w:hAnsi="Arial" w:cs="Arial"/>
          <w:sz w:val="20"/>
          <w:szCs w:val="20"/>
        </w:rPr>
      </w:pPr>
    </w:p>
    <w:p w14:paraId="1EB8BD03" w14:textId="77777777" w:rsidR="00BE36FB" w:rsidRPr="009B7B35" w:rsidRDefault="00BE36FB" w:rsidP="001A7107">
      <w:pPr>
        <w:pStyle w:val="Appendix"/>
        <w:rPr>
          <w:rFonts w:ascii="Arial" w:hAnsi="Arial" w:cs="Arial"/>
          <w:sz w:val="20"/>
          <w:szCs w:val="20"/>
        </w:rPr>
      </w:pPr>
      <w:bookmarkStart w:id="389" w:name="_Toc205367502"/>
      <w:r w:rsidRPr="009B7B35">
        <w:rPr>
          <w:rFonts w:ascii="Arial" w:hAnsi="Arial" w:cs="Arial"/>
          <w:sz w:val="20"/>
          <w:szCs w:val="20"/>
        </w:rPr>
        <w:t>Appendix 3</w:t>
      </w:r>
      <w:r w:rsidRPr="009B7B35">
        <w:rPr>
          <w:rFonts w:ascii="Arial" w:hAnsi="Arial" w:cs="Arial"/>
          <w:sz w:val="20"/>
          <w:szCs w:val="20"/>
        </w:rPr>
        <w:tab/>
        <w:t>Index and glossary of abbreviations and acronyms</w:t>
      </w:r>
      <w:bookmarkEnd w:id="389"/>
    </w:p>
    <w:tbl>
      <w:tblPr>
        <w:tblStyle w:val="Tablestyle"/>
        <w:tblW w:w="0" w:type="auto"/>
        <w:tblLook w:val="00A0" w:firstRow="1" w:lastRow="0" w:firstColumn="1" w:lastColumn="0" w:noHBand="0" w:noVBand="0"/>
      </w:tblPr>
      <w:tblGrid>
        <w:gridCol w:w="2694"/>
        <w:gridCol w:w="6662"/>
      </w:tblGrid>
      <w:tr w:rsidR="00BE36FB" w:rsidRPr="009B7B35" w14:paraId="6CC69C08" w14:textId="77777777" w:rsidTr="001A7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3037CEAB" w14:textId="77777777" w:rsidR="00BE36FB" w:rsidRPr="009B7B35" w:rsidRDefault="00BE36FB" w:rsidP="001A7107">
            <w:pPr>
              <w:pStyle w:val="TableText"/>
              <w:rPr>
                <w:rFonts w:cs="Arial"/>
              </w:rPr>
            </w:pPr>
            <w:r w:rsidRPr="009B7B35">
              <w:rPr>
                <w:rFonts w:cs="Arial"/>
              </w:rPr>
              <w:t>Abbreviation/acronym</w:t>
            </w:r>
          </w:p>
        </w:tc>
        <w:tc>
          <w:tcPr>
            <w:cnfStyle w:val="000010000000" w:firstRow="0" w:lastRow="0" w:firstColumn="0" w:lastColumn="0" w:oddVBand="1" w:evenVBand="0" w:oddHBand="0" w:evenHBand="0" w:firstRowFirstColumn="0" w:firstRowLastColumn="0" w:lastRowFirstColumn="0" w:lastRowLastColumn="0"/>
            <w:tcW w:w="6662" w:type="dxa"/>
          </w:tcPr>
          <w:p w14:paraId="680040E6" w14:textId="77777777" w:rsidR="00BE36FB" w:rsidRPr="009B7B35" w:rsidRDefault="00BE36FB" w:rsidP="001A7107">
            <w:pPr>
              <w:pStyle w:val="TableText"/>
              <w:rPr>
                <w:rFonts w:cs="Arial"/>
              </w:rPr>
            </w:pPr>
            <w:r w:rsidRPr="009B7B35">
              <w:rPr>
                <w:rFonts w:cs="Arial"/>
              </w:rPr>
              <w:t>Description</w:t>
            </w:r>
          </w:p>
        </w:tc>
      </w:tr>
      <w:tr w:rsidR="00BE36FB" w:rsidRPr="009B7B35" w14:paraId="7E38775D"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1A5CCF00" w14:textId="77777777" w:rsidR="00BE36FB" w:rsidRPr="009B7B35" w:rsidRDefault="00BE36FB" w:rsidP="001A7107">
            <w:pPr>
              <w:pStyle w:val="TableText"/>
              <w:rPr>
                <w:rFonts w:cs="Arial"/>
              </w:rPr>
            </w:pPr>
            <w:r w:rsidRPr="009B7B35">
              <w:rPr>
                <w:rFonts w:cs="Arial"/>
              </w:rPr>
              <w:t>MCU</w:t>
            </w:r>
          </w:p>
        </w:tc>
        <w:tc>
          <w:tcPr>
            <w:cnfStyle w:val="000010000000" w:firstRow="0" w:lastRow="0" w:firstColumn="0" w:lastColumn="0" w:oddVBand="1" w:evenVBand="0" w:oddHBand="0" w:evenHBand="0" w:firstRowFirstColumn="0" w:firstRowLastColumn="0" w:lastRowFirstColumn="0" w:lastRowLastColumn="0"/>
            <w:tcW w:w="6662" w:type="dxa"/>
          </w:tcPr>
          <w:p w14:paraId="757E02A5" w14:textId="77777777" w:rsidR="00BE36FB" w:rsidRPr="009B7B35" w:rsidRDefault="00BE36FB" w:rsidP="001A7107">
            <w:pPr>
              <w:pStyle w:val="TableText"/>
              <w:rPr>
                <w:rFonts w:cs="Arial"/>
              </w:rPr>
            </w:pPr>
            <w:r w:rsidRPr="009B7B35">
              <w:rPr>
                <w:rFonts w:cs="Arial"/>
              </w:rPr>
              <w:t>Material change of use as defined in the Act</w:t>
            </w:r>
          </w:p>
        </w:tc>
      </w:tr>
      <w:tr w:rsidR="00BE36FB" w:rsidRPr="009B7B35" w14:paraId="48E494B2"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57481BB3" w14:textId="77777777" w:rsidR="00BE36FB" w:rsidRPr="009B7B35" w:rsidRDefault="00BE36FB" w:rsidP="001A7107">
            <w:pPr>
              <w:pStyle w:val="TableText"/>
              <w:rPr>
                <w:rFonts w:cs="Arial"/>
              </w:rPr>
            </w:pPr>
            <w:r w:rsidRPr="009B7B35">
              <w:rPr>
                <w:rFonts w:cs="Arial"/>
              </w:rPr>
              <w:t>ROL</w:t>
            </w:r>
          </w:p>
        </w:tc>
        <w:tc>
          <w:tcPr>
            <w:cnfStyle w:val="000010000000" w:firstRow="0" w:lastRow="0" w:firstColumn="0" w:lastColumn="0" w:oddVBand="1" w:evenVBand="0" w:oddHBand="0" w:evenHBand="0" w:firstRowFirstColumn="0" w:firstRowLastColumn="0" w:lastRowFirstColumn="0" w:lastRowLastColumn="0"/>
            <w:tcW w:w="6662" w:type="dxa"/>
          </w:tcPr>
          <w:p w14:paraId="045B980B" w14:textId="77777777" w:rsidR="00BE36FB" w:rsidRPr="009B7B35" w:rsidRDefault="00BE36FB" w:rsidP="001A7107">
            <w:pPr>
              <w:pStyle w:val="TableText"/>
              <w:rPr>
                <w:rFonts w:cs="Arial"/>
              </w:rPr>
            </w:pPr>
            <w:r w:rsidRPr="009B7B35">
              <w:rPr>
                <w:rFonts w:cs="Arial"/>
              </w:rPr>
              <w:t>Reconfiguring a lot as defined in the Act</w:t>
            </w:r>
          </w:p>
        </w:tc>
      </w:tr>
      <w:tr w:rsidR="00BE36FB" w:rsidRPr="009B7B35" w14:paraId="74D713A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04293B12" w14:textId="77777777" w:rsidR="00BE36FB" w:rsidRPr="009B7B35" w:rsidRDefault="00BE36FB" w:rsidP="001A7107">
            <w:pPr>
              <w:pStyle w:val="TableText"/>
              <w:rPr>
                <w:rFonts w:cs="Arial"/>
              </w:rPr>
            </w:pPr>
            <w:r w:rsidRPr="009B7B35">
              <w:rPr>
                <w:rFonts w:cs="Arial"/>
              </w:rPr>
              <w:t>the Act</w:t>
            </w:r>
          </w:p>
        </w:tc>
        <w:tc>
          <w:tcPr>
            <w:cnfStyle w:val="000010000000" w:firstRow="0" w:lastRow="0" w:firstColumn="0" w:lastColumn="0" w:oddVBand="1" w:evenVBand="0" w:oddHBand="0" w:evenHBand="0" w:firstRowFirstColumn="0" w:firstRowLastColumn="0" w:lastRowFirstColumn="0" w:lastRowLastColumn="0"/>
            <w:tcW w:w="6662" w:type="dxa"/>
          </w:tcPr>
          <w:p w14:paraId="3CCBE32D" w14:textId="77777777" w:rsidR="00BE36FB" w:rsidRPr="009B7B35" w:rsidRDefault="00BE36FB" w:rsidP="001A7107">
            <w:pPr>
              <w:pStyle w:val="TableText"/>
              <w:rPr>
                <w:rFonts w:cs="Arial"/>
                <w:i/>
              </w:rPr>
            </w:pPr>
            <w:r w:rsidRPr="009B7B35">
              <w:rPr>
                <w:rFonts w:cs="Arial"/>
                <w:i/>
              </w:rPr>
              <w:t>Planning Act 2016</w:t>
            </w:r>
          </w:p>
        </w:tc>
      </w:tr>
      <w:tr w:rsidR="00BE36FB" w:rsidRPr="009B7B35" w14:paraId="2CB69385"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7A1AEE59" w14:textId="77777777" w:rsidR="00BE36FB" w:rsidRPr="009B7B35" w:rsidRDefault="00BE36FB" w:rsidP="001A7107">
            <w:pPr>
              <w:pStyle w:val="TableText"/>
              <w:rPr>
                <w:rFonts w:cs="Arial"/>
              </w:rPr>
            </w:pPr>
            <w:r w:rsidRPr="009B7B35">
              <w:rPr>
                <w:rFonts w:cs="Arial"/>
              </w:rPr>
              <w:t>the Regulation</w:t>
            </w:r>
          </w:p>
        </w:tc>
        <w:tc>
          <w:tcPr>
            <w:cnfStyle w:val="000010000000" w:firstRow="0" w:lastRow="0" w:firstColumn="0" w:lastColumn="0" w:oddVBand="1" w:evenVBand="0" w:oddHBand="0" w:evenHBand="0" w:firstRowFirstColumn="0" w:firstRowLastColumn="0" w:lastRowFirstColumn="0" w:lastRowLastColumn="0"/>
            <w:tcW w:w="6662" w:type="dxa"/>
          </w:tcPr>
          <w:p w14:paraId="7636BB26" w14:textId="77777777" w:rsidR="00BE36FB" w:rsidRPr="009B7B35" w:rsidRDefault="00BE36FB" w:rsidP="001A7107">
            <w:pPr>
              <w:pStyle w:val="TableText"/>
              <w:rPr>
                <w:rFonts w:cs="Arial"/>
                <w:i/>
              </w:rPr>
            </w:pPr>
            <w:r w:rsidRPr="009B7B35">
              <w:rPr>
                <w:rFonts w:cs="Arial"/>
                <w:i/>
              </w:rPr>
              <w:t>Planning Regulation 2017</w:t>
            </w:r>
          </w:p>
        </w:tc>
      </w:tr>
      <w:tr w:rsidR="00BE36FB" w:rsidRPr="009B7B35" w14:paraId="4CCBF62E" w14:textId="77777777" w:rsidTr="001A7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734632C0" w14:textId="77777777" w:rsidR="00BE36FB" w:rsidRPr="009B7B35" w:rsidRDefault="00BE36FB" w:rsidP="001A7107">
            <w:pPr>
              <w:pStyle w:val="TableText"/>
              <w:rPr>
                <w:rFonts w:cs="Arial"/>
              </w:rPr>
            </w:pPr>
            <w:r w:rsidRPr="009B7B35">
              <w:rPr>
                <w:rFonts w:cs="Arial"/>
              </w:rPr>
              <w:t>the SP Act</w:t>
            </w:r>
          </w:p>
        </w:tc>
        <w:tc>
          <w:tcPr>
            <w:cnfStyle w:val="000010000000" w:firstRow="0" w:lastRow="0" w:firstColumn="0" w:lastColumn="0" w:oddVBand="1" w:evenVBand="0" w:oddHBand="0" w:evenHBand="0" w:firstRowFirstColumn="0" w:firstRowLastColumn="0" w:lastRowFirstColumn="0" w:lastRowLastColumn="0"/>
            <w:tcW w:w="6662" w:type="dxa"/>
          </w:tcPr>
          <w:p w14:paraId="6715DCFE" w14:textId="77777777" w:rsidR="00BE36FB" w:rsidRPr="009B7B35" w:rsidRDefault="00BE36FB" w:rsidP="001A7107">
            <w:pPr>
              <w:pStyle w:val="TableText"/>
              <w:rPr>
                <w:rFonts w:cs="Arial"/>
              </w:rPr>
            </w:pPr>
            <w:r w:rsidRPr="009B7B35">
              <w:rPr>
                <w:rFonts w:cs="Arial"/>
                <w:i/>
              </w:rPr>
              <w:t xml:space="preserve">Sustainable Planning Act 2009 </w:t>
            </w:r>
            <w:r w:rsidRPr="009B7B35">
              <w:rPr>
                <w:rFonts w:cs="Arial"/>
              </w:rPr>
              <w:t>(repealed)</w:t>
            </w:r>
          </w:p>
        </w:tc>
      </w:tr>
      <w:tr w:rsidR="00BE36FB" w:rsidRPr="009B7B35" w14:paraId="6EEC28F3" w14:textId="77777777" w:rsidTr="001A71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47B030DB" w14:textId="77777777" w:rsidR="00BE36FB" w:rsidRPr="009B7B35" w:rsidRDefault="00BE36FB" w:rsidP="001A7107">
            <w:pPr>
              <w:pStyle w:val="TableText"/>
              <w:rPr>
                <w:rFonts w:cs="Arial"/>
              </w:rPr>
            </w:pPr>
            <w:r w:rsidRPr="009B7B35">
              <w:rPr>
                <w:rFonts w:cs="Arial"/>
              </w:rPr>
              <w:t>the SP Regulation</w:t>
            </w:r>
          </w:p>
        </w:tc>
        <w:tc>
          <w:tcPr>
            <w:cnfStyle w:val="000010000000" w:firstRow="0" w:lastRow="0" w:firstColumn="0" w:lastColumn="0" w:oddVBand="1" w:evenVBand="0" w:oddHBand="0" w:evenHBand="0" w:firstRowFirstColumn="0" w:firstRowLastColumn="0" w:lastRowFirstColumn="0" w:lastRowLastColumn="0"/>
            <w:tcW w:w="6662" w:type="dxa"/>
          </w:tcPr>
          <w:p w14:paraId="4D4F1BD9" w14:textId="77777777" w:rsidR="00BE36FB" w:rsidRPr="009B7B35" w:rsidRDefault="00BE36FB" w:rsidP="001A7107">
            <w:pPr>
              <w:pStyle w:val="TableText"/>
              <w:rPr>
                <w:rFonts w:cs="Arial"/>
              </w:rPr>
            </w:pPr>
            <w:r w:rsidRPr="009B7B35">
              <w:rPr>
                <w:rFonts w:cs="Arial"/>
                <w:i/>
              </w:rPr>
              <w:t>Sustainable Planning Regulation 2009</w:t>
            </w:r>
            <w:r w:rsidRPr="009B7B35">
              <w:rPr>
                <w:rFonts w:cs="Arial"/>
              </w:rPr>
              <w:t xml:space="preserve"> (repealed) </w:t>
            </w:r>
          </w:p>
        </w:tc>
      </w:tr>
    </w:tbl>
    <w:p w14:paraId="74EBD94D" w14:textId="77777777" w:rsidR="00BE36FB" w:rsidRPr="009B7B35" w:rsidRDefault="00BE36FB" w:rsidP="001A7107">
      <w:pPr>
        <w:rPr>
          <w:rFonts w:ascii="Arial" w:hAnsi="Arial" w:cs="Arial"/>
          <w:sz w:val="20"/>
          <w:szCs w:val="20"/>
        </w:rPr>
      </w:pPr>
    </w:p>
    <w:p w14:paraId="16FC55E3" w14:textId="77777777" w:rsidR="00BE36FB" w:rsidRPr="009B7B35" w:rsidRDefault="00BE36FB" w:rsidP="001A7107">
      <w:pPr>
        <w:rPr>
          <w:rFonts w:ascii="Arial" w:hAnsi="Arial" w:cs="Arial"/>
          <w:sz w:val="20"/>
          <w:szCs w:val="20"/>
        </w:rPr>
        <w:sectPr w:rsidR="00BE36FB" w:rsidRPr="009B7B35" w:rsidSect="001A7107">
          <w:footerReference w:type="default" r:id="rId143"/>
          <w:footerReference w:type="first" r:id="rId144"/>
          <w:pgSz w:w="11906" w:h="16838" w:code="9"/>
          <w:pgMar w:top="1418" w:right="1134" w:bottom="1418" w:left="1134" w:header="567" w:footer="567" w:gutter="284"/>
          <w:cols w:space="708"/>
          <w:titlePg/>
          <w:docGrid w:linePitch="360"/>
        </w:sectPr>
      </w:pPr>
    </w:p>
    <w:p w14:paraId="6977A321" w14:textId="77777777" w:rsidR="00BE36FB" w:rsidRPr="009B7B35" w:rsidRDefault="00BE36FB" w:rsidP="001A7107">
      <w:pPr>
        <w:pStyle w:val="Appendix"/>
        <w:rPr>
          <w:rFonts w:ascii="Arial" w:hAnsi="Arial" w:cs="Arial"/>
          <w:sz w:val="20"/>
          <w:szCs w:val="20"/>
        </w:rPr>
      </w:pPr>
      <w:bookmarkStart w:id="390" w:name="_Toc205367503"/>
      <w:r w:rsidRPr="009B7B35">
        <w:rPr>
          <w:rFonts w:ascii="Arial" w:hAnsi="Arial" w:cs="Arial"/>
          <w:sz w:val="20"/>
          <w:szCs w:val="20"/>
        </w:rPr>
        <w:t>Appendix 4</w:t>
      </w:r>
      <w:r w:rsidRPr="009B7B35">
        <w:rPr>
          <w:rFonts w:ascii="Arial" w:hAnsi="Arial" w:cs="Arial"/>
          <w:sz w:val="20"/>
          <w:szCs w:val="20"/>
        </w:rPr>
        <w:tab/>
        <w:t>Table of amendments</w:t>
      </w:r>
      <w:bookmarkEnd w:id="390"/>
    </w:p>
    <w:tbl>
      <w:tblPr>
        <w:tblStyle w:val="Tablestyle"/>
        <w:tblW w:w="0" w:type="auto"/>
        <w:tblLook w:val="0620" w:firstRow="1" w:lastRow="0" w:firstColumn="0" w:lastColumn="0" w:noHBand="1" w:noVBand="1"/>
      </w:tblPr>
      <w:tblGrid>
        <w:gridCol w:w="2246"/>
        <w:gridCol w:w="1890"/>
        <w:gridCol w:w="2126"/>
        <w:gridCol w:w="2101"/>
      </w:tblGrid>
      <w:tr w:rsidR="00BE36FB" w:rsidRPr="009B7B35" w14:paraId="70871377" w14:textId="77777777" w:rsidTr="001A7107">
        <w:trPr>
          <w:cnfStyle w:val="100000000000" w:firstRow="1" w:lastRow="0" w:firstColumn="0" w:lastColumn="0" w:oddVBand="0" w:evenVBand="0" w:oddHBand="0" w:evenHBand="0" w:firstRowFirstColumn="0" w:firstRowLastColumn="0" w:lastRowFirstColumn="0" w:lastRowLastColumn="0"/>
        </w:trPr>
        <w:tc>
          <w:tcPr>
            <w:tcW w:w="2552" w:type="dxa"/>
          </w:tcPr>
          <w:p w14:paraId="2DBA15A3" w14:textId="77777777" w:rsidR="00BE36FB" w:rsidRPr="009B7B35" w:rsidRDefault="00BE36FB" w:rsidP="001A7107">
            <w:pPr>
              <w:rPr>
                <w:rFonts w:cs="Arial"/>
                <w:sz w:val="20"/>
                <w:szCs w:val="20"/>
              </w:rPr>
            </w:pPr>
            <w:r w:rsidRPr="009B7B35">
              <w:rPr>
                <w:rFonts w:cs="Arial"/>
                <w:sz w:val="20"/>
                <w:szCs w:val="20"/>
              </w:rPr>
              <w:t>Date of adoption and effective date</w:t>
            </w:r>
          </w:p>
        </w:tc>
        <w:tc>
          <w:tcPr>
            <w:tcW w:w="2142" w:type="dxa"/>
          </w:tcPr>
          <w:p w14:paraId="56DCD03A" w14:textId="77777777" w:rsidR="00BE36FB" w:rsidRPr="009B7B35" w:rsidRDefault="00BE36FB" w:rsidP="001A7107">
            <w:pPr>
              <w:rPr>
                <w:rFonts w:cs="Arial"/>
                <w:sz w:val="20"/>
                <w:szCs w:val="20"/>
              </w:rPr>
            </w:pPr>
            <w:r w:rsidRPr="009B7B35">
              <w:rPr>
                <w:rFonts w:cs="Arial"/>
                <w:sz w:val="20"/>
                <w:szCs w:val="20"/>
              </w:rPr>
              <w:t>Planning scheme version number</w:t>
            </w:r>
          </w:p>
        </w:tc>
        <w:tc>
          <w:tcPr>
            <w:tcW w:w="2357" w:type="dxa"/>
          </w:tcPr>
          <w:p w14:paraId="702D1BE1" w14:textId="77777777" w:rsidR="00BE36FB" w:rsidRPr="009B7B35" w:rsidRDefault="00BE36FB" w:rsidP="001A7107">
            <w:pPr>
              <w:rPr>
                <w:rFonts w:cs="Arial"/>
                <w:sz w:val="20"/>
                <w:szCs w:val="20"/>
              </w:rPr>
            </w:pPr>
            <w:r w:rsidRPr="009B7B35">
              <w:rPr>
                <w:rFonts w:cs="Arial"/>
                <w:sz w:val="20"/>
                <w:szCs w:val="20"/>
              </w:rPr>
              <w:t>Amendment type</w:t>
            </w:r>
          </w:p>
        </w:tc>
        <w:tc>
          <w:tcPr>
            <w:tcW w:w="2305" w:type="dxa"/>
          </w:tcPr>
          <w:p w14:paraId="0D938CA3" w14:textId="77777777" w:rsidR="00BE36FB" w:rsidRPr="009B7B35" w:rsidRDefault="00BE36FB" w:rsidP="001A7107">
            <w:pPr>
              <w:rPr>
                <w:rFonts w:cs="Arial"/>
                <w:sz w:val="20"/>
                <w:szCs w:val="20"/>
              </w:rPr>
            </w:pPr>
            <w:r w:rsidRPr="009B7B35">
              <w:rPr>
                <w:rFonts w:cs="Arial"/>
                <w:sz w:val="20"/>
                <w:szCs w:val="20"/>
              </w:rPr>
              <w:t>Summary of amendments</w:t>
            </w:r>
          </w:p>
        </w:tc>
      </w:tr>
      <w:tr w:rsidR="00BE36FB" w:rsidRPr="009B7B35" w14:paraId="3C0EB2CE" w14:textId="77777777" w:rsidTr="001A7107">
        <w:tc>
          <w:tcPr>
            <w:tcW w:w="2552" w:type="dxa"/>
          </w:tcPr>
          <w:p w14:paraId="0902BCA9" w14:textId="77777777" w:rsidR="00BE36FB" w:rsidRPr="009B7B35" w:rsidRDefault="00BE36FB" w:rsidP="001A7107">
            <w:pPr>
              <w:rPr>
                <w:rFonts w:cs="Arial"/>
                <w:sz w:val="20"/>
                <w:szCs w:val="20"/>
              </w:rPr>
            </w:pPr>
            <w:r w:rsidRPr="009B7B35">
              <w:rPr>
                <w:rFonts w:cs="Arial"/>
                <w:sz w:val="20"/>
                <w:szCs w:val="20"/>
              </w:rPr>
              <w:t>Adoption date 6/10/2015</w:t>
            </w:r>
          </w:p>
          <w:p w14:paraId="490C5FC2" w14:textId="77777777" w:rsidR="00BE36FB" w:rsidRPr="009B7B35" w:rsidRDefault="00BE36FB" w:rsidP="001A7107">
            <w:pPr>
              <w:rPr>
                <w:rFonts w:cs="Arial"/>
                <w:sz w:val="20"/>
                <w:szCs w:val="20"/>
              </w:rPr>
            </w:pPr>
            <w:r w:rsidRPr="009B7B35">
              <w:rPr>
                <w:rFonts w:cs="Arial"/>
                <w:sz w:val="20"/>
                <w:szCs w:val="20"/>
              </w:rPr>
              <w:t>Effective date 12/10/2015</w:t>
            </w:r>
          </w:p>
        </w:tc>
        <w:tc>
          <w:tcPr>
            <w:tcW w:w="2142" w:type="dxa"/>
          </w:tcPr>
          <w:p w14:paraId="7AC27070" w14:textId="77777777" w:rsidR="00BE36FB" w:rsidRPr="009B7B35" w:rsidRDefault="00BE36FB" w:rsidP="001A7107">
            <w:pPr>
              <w:rPr>
                <w:rFonts w:cs="Arial"/>
                <w:sz w:val="20"/>
                <w:szCs w:val="20"/>
              </w:rPr>
            </w:pPr>
            <w:r w:rsidRPr="009B7B35">
              <w:rPr>
                <w:rFonts w:cs="Arial"/>
                <w:sz w:val="20"/>
                <w:szCs w:val="20"/>
              </w:rPr>
              <w:t>1</w:t>
            </w:r>
          </w:p>
        </w:tc>
        <w:tc>
          <w:tcPr>
            <w:tcW w:w="2357" w:type="dxa"/>
          </w:tcPr>
          <w:p w14:paraId="10606629" w14:textId="77777777" w:rsidR="00BE36FB" w:rsidRPr="009B7B35" w:rsidRDefault="00BE36FB" w:rsidP="001A7107">
            <w:pPr>
              <w:rPr>
                <w:rFonts w:cs="Arial"/>
                <w:sz w:val="20"/>
                <w:szCs w:val="20"/>
              </w:rPr>
            </w:pPr>
            <w:r w:rsidRPr="009B7B35">
              <w:rPr>
                <w:rFonts w:cs="Arial"/>
                <w:sz w:val="20"/>
                <w:szCs w:val="20"/>
              </w:rPr>
              <w:t>Minor</w:t>
            </w:r>
          </w:p>
        </w:tc>
        <w:tc>
          <w:tcPr>
            <w:tcW w:w="2305" w:type="dxa"/>
          </w:tcPr>
          <w:p w14:paraId="5D3BF4E8" w14:textId="77777777" w:rsidR="00BE36FB" w:rsidRPr="009B7B35" w:rsidRDefault="00BE36FB" w:rsidP="001A7107">
            <w:pPr>
              <w:rPr>
                <w:rFonts w:cs="Arial"/>
                <w:sz w:val="20"/>
                <w:szCs w:val="20"/>
              </w:rPr>
            </w:pPr>
            <w:r w:rsidRPr="009B7B35">
              <w:rPr>
                <w:rFonts w:cs="Arial"/>
                <w:sz w:val="20"/>
                <w:szCs w:val="20"/>
              </w:rPr>
              <w:t>Reflect the amended Noise Transport Corridors as per the</w:t>
            </w:r>
          </w:p>
          <w:p w14:paraId="602F4318" w14:textId="77777777" w:rsidR="00BE36FB" w:rsidRPr="009B7B35" w:rsidRDefault="00BE36FB" w:rsidP="001A7107">
            <w:pPr>
              <w:rPr>
                <w:rFonts w:cs="Arial"/>
                <w:sz w:val="20"/>
                <w:szCs w:val="20"/>
              </w:rPr>
            </w:pPr>
            <w:r w:rsidRPr="009B7B35">
              <w:rPr>
                <w:rFonts w:cs="Arial"/>
                <w:sz w:val="20"/>
                <w:szCs w:val="20"/>
              </w:rPr>
              <w:t xml:space="preserve">requirements of s246Y of the </w:t>
            </w:r>
            <w:r w:rsidRPr="009B7B35">
              <w:rPr>
                <w:rFonts w:cs="Arial"/>
                <w:i/>
                <w:sz w:val="20"/>
                <w:szCs w:val="20"/>
              </w:rPr>
              <w:t>Building Act 1975</w:t>
            </w:r>
            <w:r w:rsidRPr="009B7B35">
              <w:rPr>
                <w:rFonts w:cs="Arial"/>
                <w:sz w:val="20"/>
                <w:szCs w:val="20"/>
              </w:rPr>
              <w:t>;</w:t>
            </w:r>
          </w:p>
          <w:p w14:paraId="102DCF41" w14:textId="77777777" w:rsidR="00BE36FB" w:rsidRPr="009B7B35" w:rsidRDefault="00BE36FB" w:rsidP="001A7107">
            <w:pPr>
              <w:rPr>
                <w:rFonts w:cs="Arial"/>
                <w:sz w:val="20"/>
                <w:szCs w:val="20"/>
              </w:rPr>
            </w:pPr>
            <w:r w:rsidRPr="009B7B35">
              <w:rPr>
                <w:rFonts w:cs="Arial"/>
                <w:sz w:val="20"/>
                <w:szCs w:val="20"/>
              </w:rPr>
              <w:t>Amend the primary and secondary frontages of the Building Height and frontages Overlay; and</w:t>
            </w:r>
          </w:p>
          <w:p w14:paraId="4874BACB" w14:textId="77777777" w:rsidR="00BE36FB" w:rsidRPr="009B7B35" w:rsidRDefault="00BE36FB" w:rsidP="001A7107">
            <w:pPr>
              <w:rPr>
                <w:rFonts w:cs="Arial"/>
                <w:sz w:val="20"/>
                <w:szCs w:val="20"/>
              </w:rPr>
            </w:pPr>
            <w:r w:rsidRPr="009B7B35">
              <w:rPr>
                <w:rFonts w:cs="Arial"/>
                <w:sz w:val="20"/>
                <w:szCs w:val="20"/>
              </w:rPr>
              <w:t>Applying the revised Strategic Port Area and its impact on</w:t>
            </w:r>
          </w:p>
          <w:p w14:paraId="412ED0D8" w14:textId="77777777" w:rsidR="00BE36FB" w:rsidRPr="009B7B35" w:rsidRDefault="00BE36FB" w:rsidP="001A7107">
            <w:pPr>
              <w:rPr>
                <w:rFonts w:cs="Arial"/>
                <w:sz w:val="20"/>
                <w:szCs w:val="20"/>
              </w:rPr>
            </w:pPr>
            <w:r w:rsidRPr="009B7B35">
              <w:rPr>
                <w:rFonts w:cs="Arial"/>
                <w:sz w:val="20"/>
                <w:szCs w:val="20"/>
              </w:rPr>
              <w:t>the Special Purpose Zone.</w:t>
            </w:r>
          </w:p>
        </w:tc>
      </w:tr>
      <w:tr w:rsidR="00BE36FB" w:rsidRPr="009B7B35" w14:paraId="14CC5BA2" w14:textId="77777777" w:rsidTr="001A7107">
        <w:tc>
          <w:tcPr>
            <w:tcW w:w="2552" w:type="dxa"/>
          </w:tcPr>
          <w:p w14:paraId="1AEE557D" w14:textId="77777777" w:rsidR="00BE36FB" w:rsidRPr="009B7B35" w:rsidRDefault="00BE36FB" w:rsidP="001A7107">
            <w:pPr>
              <w:rPr>
                <w:rFonts w:cs="Arial"/>
                <w:sz w:val="20"/>
                <w:szCs w:val="20"/>
              </w:rPr>
            </w:pPr>
            <w:r w:rsidRPr="009B7B35">
              <w:rPr>
                <w:rFonts w:cs="Arial"/>
                <w:sz w:val="20"/>
                <w:szCs w:val="20"/>
              </w:rPr>
              <w:t xml:space="preserve">Adoption date 20/06/2017 </w:t>
            </w:r>
          </w:p>
          <w:p w14:paraId="44526F48" w14:textId="77777777" w:rsidR="00BE36FB" w:rsidRPr="009B7B35" w:rsidRDefault="00BE36FB" w:rsidP="001A7107">
            <w:pPr>
              <w:rPr>
                <w:rFonts w:cs="Arial"/>
                <w:sz w:val="20"/>
                <w:szCs w:val="20"/>
              </w:rPr>
            </w:pPr>
            <w:r w:rsidRPr="009B7B35">
              <w:rPr>
                <w:rFonts w:cs="Arial"/>
                <w:sz w:val="20"/>
                <w:szCs w:val="20"/>
              </w:rPr>
              <w:t xml:space="preserve">Effective date 3/07/2017 </w:t>
            </w:r>
          </w:p>
        </w:tc>
        <w:tc>
          <w:tcPr>
            <w:tcW w:w="2142" w:type="dxa"/>
          </w:tcPr>
          <w:p w14:paraId="2983F2F3" w14:textId="77777777" w:rsidR="00BE36FB" w:rsidRPr="009B7B35" w:rsidRDefault="00BE36FB" w:rsidP="001A7107">
            <w:pPr>
              <w:rPr>
                <w:rFonts w:cs="Arial"/>
                <w:sz w:val="20"/>
                <w:szCs w:val="20"/>
              </w:rPr>
            </w:pPr>
            <w:r w:rsidRPr="009B7B35">
              <w:rPr>
                <w:rFonts w:cs="Arial"/>
                <w:sz w:val="20"/>
                <w:szCs w:val="20"/>
              </w:rPr>
              <w:t>2</w:t>
            </w:r>
          </w:p>
        </w:tc>
        <w:tc>
          <w:tcPr>
            <w:tcW w:w="2357" w:type="dxa"/>
          </w:tcPr>
          <w:p w14:paraId="460C2D4B" w14:textId="77777777" w:rsidR="00BE36FB" w:rsidRPr="009B7B35" w:rsidRDefault="00BE36FB" w:rsidP="001A7107">
            <w:pPr>
              <w:rPr>
                <w:rFonts w:cs="Arial"/>
                <w:sz w:val="20"/>
                <w:szCs w:val="20"/>
              </w:rPr>
            </w:pPr>
            <w:r w:rsidRPr="009B7B35">
              <w:rPr>
                <w:rFonts w:cs="Arial"/>
                <w:sz w:val="20"/>
                <w:szCs w:val="20"/>
              </w:rPr>
              <w:t xml:space="preserve">Major </w:t>
            </w:r>
          </w:p>
        </w:tc>
        <w:tc>
          <w:tcPr>
            <w:tcW w:w="2305" w:type="dxa"/>
          </w:tcPr>
          <w:p w14:paraId="5C3267FE" w14:textId="77777777" w:rsidR="00BE36FB" w:rsidRPr="009B7B35" w:rsidRDefault="00BE36FB" w:rsidP="001A7107">
            <w:pPr>
              <w:rPr>
                <w:rFonts w:cs="Arial"/>
                <w:sz w:val="20"/>
                <w:szCs w:val="20"/>
              </w:rPr>
            </w:pPr>
            <w:r w:rsidRPr="009B7B35">
              <w:rPr>
                <w:rFonts w:cs="Arial"/>
                <w:sz w:val="20"/>
                <w:szCs w:val="20"/>
              </w:rPr>
              <w:t xml:space="preserve">New Advertising devices code, changes to Tables of assessment, new Planning scheme policies, amendments to Strategic framework, Zone, Development and Overlay codes, administrative changes and changes to zoning. </w:t>
            </w:r>
          </w:p>
        </w:tc>
      </w:tr>
      <w:tr w:rsidR="00BE36FB" w:rsidRPr="009B7B35" w14:paraId="610D4C84" w14:textId="77777777" w:rsidTr="001A7107">
        <w:tc>
          <w:tcPr>
            <w:tcW w:w="2552" w:type="dxa"/>
          </w:tcPr>
          <w:p w14:paraId="7EE41FF4" w14:textId="77777777" w:rsidR="00BE36FB" w:rsidRPr="009B7B35" w:rsidRDefault="00BE36FB" w:rsidP="001A7107">
            <w:pPr>
              <w:rPr>
                <w:rFonts w:cs="Arial"/>
                <w:sz w:val="20"/>
                <w:szCs w:val="20"/>
              </w:rPr>
            </w:pPr>
            <w:r w:rsidRPr="009B7B35">
              <w:rPr>
                <w:rFonts w:cs="Arial"/>
                <w:sz w:val="20"/>
                <w:szCs w:val="20"/>
              </w:rPr>
              <w:t xml:space="preserve">Adoption date 20/06/2017 </w:t>
            </w:r>
          </w:p>
          <w:p w14:paraId="10AAC622" w14:textId="77777777" w:rsidR="00BE36FB" w:rsidRPr="009B7B35" w:rsidRDefault="00BE36FB" w:rsidP="001A7107">
            <w:pPr>
              <w:rPr>
                <w:rFonts w:cs="Arial"/>
                <w:sz w:val="20"/>
                <w:szCs w:val="20"/>
              </w:rPr>
            </w:pPr>
            <w:r w:rsidRPr="009B7B35">
              <w:rPr>
                <w:rFonts w:cs="Arial"/>
                <w:sz w:val="20"/>
                <w:szCs w:val="20"/>
              </w:rPr>
              <w:t>Effective date 3/07/2017</w:t>
            </w:r>
          </w:p>
        </w:tc>
        <w:tc>
          <w:tcPr>
            <w:tcW w:w="2142" w:type="dxa"/>
          </w:tcPr>
          <w:p w14:paraId="027FCED0" w14:textId="77777777" w:rsidR="00BE36FB" w:rsidRPr="009B7B35" w:rsidRDefault="00BE36FB" w:rsidP="001A7107">
            <w:pPr>
              <w:rPr>
                <w:rFonts w:cs="Arial"/>
                <w:sz w:val="20"/>
                <w:szCs w:val="20"/>
              </w:rPr>
            </w:pPr>
            <w:r w:rsidRPr="009B7B35">
              <w:rPr>
                <w:rFonts w:cs="Arial"/>
                <w:sz w:val="20"/>
                <w:szCs w:val="20"/>
              </w:rPr>
              <w:t>2</w:t>
            </w:r>
          </w:p>
        </w:tc>
        <w:tc>
          <w:tcPr>
            <w:tcW w:w="2357" w:type="dxa"/>
          </w:tcPr>
          <w:p w14:paraId="7C2DA779" w14:textId="77777777" w:rsidR="00BE36FB" w:rsidRPr="009B7B35" w:rsidRDefault="00BE36FB" w:rsidP="001A7107">
            <w:pPr>
              <w:rPr>
                <w:rFonts w:cs="Arial"/>
                <w:sz w:val="20"/>
                <w:szCs w:val="20"/>
              </w:rPr>
            </w:pPr>
            <w:r w:rsidRPr="009B7B35">
              <w:rPr>
                <w:rFonts w:cs="Arial"/>
                <w:sz w:val="20"/>
                <w:szCs w:val="20"/>
              </w:rPr>
              <w:t xml:space="preserve">Alignment  </w:t>
            </w:r>
          </w:p>
        </w:tc>
        <w:tc>
          <w:tcPr>
            <w:tcW w:w="2305" w:type="dxa"/>
          </w:tcPr>
          <w:p w14:paraId="7E7EC9B6" w14:textId="77777777" w:rsidR="00BE36FB" w:rsidRPr="009B7B35" w:rsidRDefault="00BE36FB" w:rsidP="001A7107">
            <w:pPr>
              <w:rPr>
                <w:rFonts w:cs="Arial"/>
                <w:i/>
                <w:sz w:val="20"/>
                <w:szCs w:val="20"/>
              </w:rPr>
            </w:pPr>
            <w:r w:rsidRPr="009B7B35">
              <w:rPr>
                <w:rFonts w:cs="Arial"/>
                <w:sz w:val="20"/>
                <w:szCs w:val="20"/>
              </w:rPr>
              <w:t xml:space="preserve">Aligned planning scheme to meet the requirements of the </w:t>
            </w:r>
            <w:r w:rsidRPr="009B7B35">
              <w:rPr>
                <w:rFonts w:cs="Arial"/>
                <w:i/>
                <w:sz w:val="20"/>
                <w:szCs w:val="20"/>
              </w:rPr>
              <w:t>Planning Act 2016</w:t>
            </w:r>
            <w:r w:rsidRPr="009B7B35">
              <w:rPr>
                <w:rFonts w:cs="Arial"/>
                <w:sz w:val="20"/>
                <w:szCs w:val="20"/>
              </w:rPr>
              <w:t xml:space="preserve"> and the </w:t>
            </w:r>
            <w:r w:rsidRPr="009B7B35">
              <w:rPr>
                <w:rFonts w:cs="Arial"/>
                <w:i/>
                <w:sz w:val="20"/>
                <w:szCs w:val="20"/>
              </w:rPr>
              <w:t>Planning Regulation 2017.</w:t>
            </w:r>
          </w:p>
        </w:tc>
      </w:tr>
      <w:tr w:rsidR="00BE36FB" w:rsidRPr="009B7B35" w14:paraId="669E48A1" w14:textId="77777777" w:rsidTr="001A7107">
        <w:tc>
          <w:tcPr>
            <w:tcW w:w="2552" w:type="dxa"/>
          </w:tcPr>
          <w:p w14:paraId="563D5877" w14:textId="77777777" w:rsidR="00BE36FB" w:rsidRPr="009B7B35" w:rsidRDefault="00BE36FB" w:rsidP="001A7107">
            <w:pPr>
              <w:rPr>
                <w:rFonts w:cs="Arial"/>
                <w:sz w:val="20"/>
                <w:szCs w:val="20"/>
              </w:rPr>
            </w:pPr>
            <w:r w:rsidRPr="009B7B35">
              <w:rPr>
                <w:rFonts w:cs="Arial"/>
                <w:sz w:val="20"/>
                <w:szCs w:val="20"/>
              </w:rPr>
              <w:t>Adoption date 07/11/2017</w:t>
            </w:r>
          </w:p>
          <w:p w14:paraId="0A77B862" w14:textId="77777777" w:rsidR="00BE36FB" w:rsidRPr="009B7B35" w:rsidRDefault="00BE36FB" w:rsidP="001A7107">
            <w:pPr>
              <w:rPr>
                <w:rFonts w:cs="Arial"/>
                <w:sz w:val="20"/>
                <w:szCs w:val="20"/>
              </w:rPr>
            </w:pPr>
            <w:r w:rsidRPr="009B7B35">
              <w:rPr>
                <w:rFonts w:cs="Arial"/>
                <w:sz w:val="20"/>
                <w:szCs w:val="20"/>
              </w:rPr>
              <w:t>Effective date 13/11/2017</w:t>
            </w:r>
          </w:p>
        </w:tc>
        <w:tc>
          <w:tcPr>
            <w:tcW w:w="2142" w:type="dxa"/>
          </w:tcPr>
          <w:p w14:paraId="2DE93157" w14:textId="77777777" w:rsidR="00BE36FB" w:rsidRPr="009B7B35" w:rsidRDefault="00BE36FB" w:rsidP="001A7107">
            <w:pPr>
              <w:rPr>
                <w:rFonts w:cs="Arial"/>
                <w:sz w:val="20"/>
                <w:szCs w:val="20"/>
              </w:rPr>
            </w:pPr>
            <w:r w:rsidRPr="009B7B35">
              <w:rPr>
                <w:rFonts w:cs="Arial"/>
                <w:sz w:val="20"/>
                <w:szCs w:val="20"/>
              </w:rPr>
              <w:t>2</w:t>
            </w:r>
          </w:p>
        </w:tc>
        <w:tc>
          <w:tcPr>
            <w:tcW w:w="2357" w:type="dxa"/>
          </w:tcPr>
          <w:p w14:paraId="661690BF" w14:textId="77777777" w:rsidR="00BE36FB" w:rsidRPr="009B7B35" w:rsidRDefault="00BE36FB" w:rsidP="001A7107">
            <w:pPr>
              <w:rPr>
                <w:rFonts w:cs="Arial"/>
                <w:sz w:val="20"/>
                <w:szCs w:val="20"/>
              </w:rPr>
            </w:pPr>
            <w:r w:rsidRPr="009B7B35">
              <w:rPr>
                <w:rFonts w:cs="Arial"/>
                <w:sz w:val="20"/>
                <w:szCs w:val="20"/>
              </w:rPr>
              <w:t>Rectification</w:t>
            </w:r>
          </w:p>
        </w:tc>
        <w:tc>
          <w:tcPr>
            <w:tcW w:w="2305" w:type="dxa"/>
          </w:tcPr>
          <w:p w14:paraId="0ABBEDCB" w14:textId="77777777" w:rsidR="00BE36FB" w:rsidRPr="009B7B35" w:rsidRDefault="00BE36FB" w:rsidP="001A7107">
            <w:pPr>
              <w:rPr>
                <w:rFonts w:cs="Arial"/>
                <w:sz w:val="20"/>
                <w:szCs w:val="20"/>
              </w:rPr>
            </w:pPr>
            <w:r w:rsidRPr="009B7B35">
              <w:rPr>
                <w:rFonts w:cs="Arial"/>
                <w:sz w:val="20"/>
                <w:szCs w:val="20"/>
              </w:rPr>
              <w:t xml:space="preserve">Amended the Impact Assessment criteria of the Table of Assessment for all zones being Tables 5.5.1-5.5.26 to ensure original triggers prior to Alignment Amendment taking effect.  </w:t>
            </w:r>
          </w:p>
        </w:tc>
      </w:tr>
    </w:tbl>
    <w:p w14:paraId="6155380E" w14:textId="77777777" w:rsidR="00BE36FB" w:rsidRPr="009B7B35" w:rsidRDefault="00BE36FB" w:rsidP="001A7107">
      <w:pPr>
        <w:rPr>
          <w:rFonts w:ascii="Arial" w:hAnsi="Arial" w:cs="Arial"/>
          <w:sz w:val="20"/>
          <w:szCs w:val="20"/>
        </w:rPr>
      </w:pPr>
    </w:p>
    <w:p w14:paraId="1D545CAF" w14:textId="77777777" w:rsidR="0062230E" w:rsidRPr="009B7B35" w:rsidRDefault="0062230E">
      <w:pPr>
        <w:rPr>
          <w:rFonts w:ascii="Arial" w:hAnsi="Arial" w:cs="Arial"/>
          <w:sz w:val="20"/>
          <w:szCs w:val="20"/>
        </w:rPr>
      </w:pPr>
    </w:p>
    <w:p w14:paraId="4874791E" w14:textId="77777777" w:rsidR="0062230E" w:rsidRPr="009B7B35" w:rsidRDefault="0062230E">
      <w:pPr>
        <w:rPr>
          <w:rFonts w:ascii="Arial" w:hAnsi="Arial" w:cs="Arial"/>
          <w:sz w:val="20"/>
          <w:szCs w:val="20"/>
        </w:rPr>
      </w:pPr>
    </w:p>
    <w:p w14:paraId="3757620B" w14:textId="77777777" w:rsidR="0062230E" w:rsidRPr="009B7B35" w:rsidRDefault="0062230E">
      <w:pPr>
        <w:rPr>
          <w:rFonts w:ascii="Arial" w:hAnsi="Arial" w:cs="Arial"/>
          <w:sz w:val="20"/>
          <w:szCs w:val="20"/>
        </w:rPr>
      </w:pPr>
    </w:p>
    <w:p w14:paraId="2E591A49" w14:textId="77777777" w:rsidR="0062230E" w:rsidRPr="009B7B35" w:rsidRDefault="0062230E">
      <w:pPr>
        <w:rPr>
          <w:rFonts w:ascii="Arial" w:hAnsi="Arial" w:cs="Arial"/>
          <w:sz w:val="20"/>
          <w:szCs w:val="20"/>
        </w:rPr>
      </w:pPr>
    </w:p>
    <w:p w14:paraId="2B5237A4" w14:textId="77777777" w:rsidR="0062230E" w:rsidRPr="009B7B35" w:rsidRDefault="0062230E">
      <w:pPr>
        <w:rPr>
          <w:rFonts w:ascii="Arial" w:hAnsi="Arial" w:cs="Arial"/>
          <w:sz w:val="20"/>
          <w:szCs w:val="20"/>
        </w:rPr>
      </w:pPr>
    </w:p>
    <w:p w14:paraId="0C2D4F3F" w14:textId="77777777" w:rsidR="0062230E" w:rsidRPr="009B7B35" w:rsidRDefault="0062230E">
      <w:pPr>
        <w:rPr>
          <w:rFonts w:ascii="Arial" w:hAnsi="Arial" w:cs="Arial"/>
          <w:sz w:val="20"/>
          <w:szCs w:val="20"/>
        </w:rPr>
      </w:pPr>
    </w:p>
    <w:p w14:paraId="4145CDFF" w14:textId="77777777" w:rsidR="0062230E" w:rsidRPr="009B7B35" w:rsidRDefault="0062230E">
      <w:pPr>
        <w:rPr>
          <w:rFonts w:ascii="Arial" w:hAnsi="Arial" w:cs="Arial"/>
          <w:sz w:val="20"/>
          <w:szCs w:val="20"/>
        </w:rPr>
      </w:pPr>
    </w:p>
    <w:p w14:paraId="2DFC8CA0" w14:textId="77777777" w:rsidR="0062230E" w:rsidRPr="009B7B35" w:rsidRDefault="0062230E">
      <w:pPr>
        <w:rPr>
          <w:rFonts w:ascii="Arial" w:hAnsi="Arial" w:cs="Arial"/>
          <w:sz w:val="20"/>
          <w:szCs w:val="20"/>
        </w:rPr>
      </w:pPr>
    </w:p>
    <w:p w14:paraId="4CAB998F" w14:textId="77777777" w:rsidR="0062230E" w:rsidRPr="009B7B35" w:rsidRDefault="0062230E">
      <w:pPr>
        <w:rPr>
          <w:rFonts w:ascii="Arial" w:hAnsi="Arial" w:cs="Arial"/>
          <w:sz w:val="20"/>
          <w:szCs w:val="20"/>
        </w:rPr>
      </w:pPr>
    </w:p>
    <w:p w14:paraId="6E2EEF11" w14:textId="77777777" w:rsidR="0062230E" w:rsidRPr="009B7B35" w:rsidRDefault="0062230E">
      <w:pPr>
        <w:rPr>
          <w:rFonts w:ascii="Arial" w:hAnsi="Arial" w:cs="Arial"/>
          <w:sz w:val="20"/>
          <w:szCs w:val="20"/>
        </w:rPr>
      </w:pPr>
    </w:p>
    <w:p w14:paraId="19966380" w14:textId="77777777" w:rsidR="00303381" w:rsidRPr="009B7B35" w:rsidRDefault="00303381">
      <w:pPr>
        <w:rPr>
          <w:rFonts w:ascii="Arial" w:hAnsi="Arial" w:cs="Arial"/>
          <w:sz w:val="20"/>
          <w:szCs w:val="20"/>
        </w:rPr>
      </w:pPr>
    </w:p>
    <w:sectPr w:rsidR="00303381" w:rsidRPr="009B7B35">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FF719A0" w14:textId="77777777" w:rsidR="001754DB" w:rsidRDefault="001754DB" w:rsidP="00BE36FB">
      <w:r>
        <w:separator/>
      </w:r>
    </w:p>
  </w:endnote>
  <w:endnote w:type="continuationSeparator" w:id="0">
    <w:p w14:paraId="1703DAF7" w14:textId="77777777" w:rsidR="001754DB" w:rsidRDefault="001754DB" w:rsidP="00BE36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40753B" w14:textId="2E2B46FD" w:rsidR="001A7107" w:rsidRPr="00F2126D" w:rsidRDefault="001A7107" w:rsidP="001A7107">
    <w:pPr>
      <w:pStyle w:val="Footer"/>
    </w:pPr>
    <w:r w:rsidRPr="00A412DD">
      <w:t>Gladstone Regional Council planning scheme</w:t>
    </w:r>
    <w:r>
      <w:t xml:space="preserve">   </w:t>
    </w:r>
    <w:r w:rsidRPr="00F2126D">
      <w:tab/>
    </w:r>
    <w:r w:rsidRPr="00F2126D">
      <w:fldChar w:fldCharType="begin"/>
    </w:r>
    <w:r w:rsidRPr="00F2126D">
      <w:instrText xml:space="preserve"> PAGE   \* MERGEFORMAT </w:instrText>
    </w:r>
    <w:r w:rsidRPr="00F2126D">
      <w:fldChar w:fldCharType="separate"/>
    </w:r>
    <w:r w:rsidR="002838FA">
      <w:rPr>
        <w:noProof/>
      </w:rPr>
      <w:t>4</w:t>
    </w:r>
    <w:r w:rsidRPr="00F2126D">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BCAA34" w14:textId="19786F8F" w:rsidR="001A7107" w:rsidRDefault="001A7107">
    <w:pPr>
      <w:pStyle w:val="Footer"/>
    </w:pPr>
    <w:r w:rsidRPr="00DA5920">
      <w:t xml:space="preserve">Gladstone Regional Council planning scheme   version </w:t>
    </w:r>
    <w:r>
      <w:t>4.0</w:t>
    </w:r>
    <w:r w:rsidRPr="00DA5920">
      <w:t xml:space="preserve"> </w:t>
    </w:r>
    <w:r>
      <w:t>05/01/2016</w:t>
    </w:r>
    <w:r>
      <w:tab/>
    </w:r>
    <w:r>
      <w:fldChar w:fldCharType="begin"/>
    </w:r>
    <w:r>
      <w:instrText xml:space="preserve"> PAGE   \* MERGEFORMAT </w:instrText>
    </w:r>
    <w:r>
      <w:fldChar w:fldCharType="separate"/>
    </w:r>
    <w:r>
      <w:rPr>
        <w:noProof/>
      </w:rPr>
      <w:t>427</w:t>
    </w:r>
    <w:r>
      <w:rPr>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339F25" w14:textId="6CEAB3AF" w:rsidR="001A7107" w:rsidRPr="00D06153" w:rsidRDefault="001A7107" w:rsidP="001A7107">
    <w:pPr>
      <w:pStyle w:val="Footer"/>
    </w:pPr>
    <w:r w:rsidRPr="00DA5920">
      <w:t xml:space="preserve">Gladstone Regional Council planning scheme   </w:t>
    </w:r>
    <w:r>
      <w:tab/>
    </w:r>
    <w:r w:rsidRPr="00D06153">
      <w:fldChar w:fldCharType="begin"/>
    </w:r>
    <w:r w:rsidRPr="00D06153">
      <w:instrText xml:space="preserve"> PAGE   \* MERGEFORMAT </w:instrText>
    </w:r>
    <w:r w:rsidRPr="00D06153">
      <w:fldChar w:fldCharType="separate"/>
    </w:r>
    <w:r>
      <w:rPr>
        <w:noProof/>
      </w:rPr>
      <w:t>447</w:t>
    </w:r>
    <w:r w:rsidRPr="00D06153">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BBFF64" w14:textId="77777777" w:rsidR="001A7107" w:rsidRDefault="001A7107">
    <w:pPr>
      <w:pStyle w:val="Footer"/>
    </w:pPr>
    <w:r w:rsidRPr="000548D7">
      <w:t>Gladstone Regional Council planning scheme   QPP version 1.1   09/07/2014</w:t>
    </w:r>
    <w:r>
      <w:tab/>
      <w:t>Sc4</w:t>
    </w:r>
    <w:r w:rsidRPr="0029189E">
      <w:t>—</w:t>
    </w:r>
    <w:r>
      <w:fldChar w:fldCharType="begin"/>
    </w:r>
    <w:r>
      <w:instrText xml:space="preserve"> PAGE   \* MERGEFORMAT </w:instrText>
    </w:r>
    <w:r>
      <w:fldChar w:fldCharType="separate"/>
    </w:r>
    <w:r>
      <w:rPr>
        <w:noProof/>
      </w:rPr>
      <w:t>400</w:t>
    </w:r>
    <w:r>
      <w:rPr>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117572" w14:textId="4C7452E6" w:rsidR="001A7107" w:rsidRPr="00826E08" w:rsidRDefault="001A7107" w:rsidP="001A7107">
    <w:pPr>
      <w:pStyle w:val="Footer"/>
    </w:pPr>
    <w:r w:rsidRPr="00DA5920">
      <w:t xml:space="preserve">Gladstone Regional Council planning scheme   </w:t>
    </w:r>
    <w:r w:rsidRPr="00A840DD">
      <w:tab/>
    </w:r>
    <w:r w:rsidRPr="00A840DD">
      <w:fldChar w:fldCharType="begin"/>
    </w:r>
    <w:r w:rsidRPr="00A840DD">
      <w:instrText xml:space="preserve"> PAGE   \* MERGEFORMAT </w:instrText>
    </w:r>
    <w:r w:rsidRPr="00A840DD">
      <w:fldChar w:fldCharType="separate"/>
    </w:r>
    <w:r>
      <w:rPr>
        <w:noProof/>
      </w:rPr>
      <w:t>454</w:t>
    </w:r>
    <w:r w:rsidRPr="00A840DD">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1E15E7" w14:textId="77777777" w:rsidR="001A7107" w:rsidRDefault="001A7107">
    <w:pPr>
      <w:pStyle w:val="Footer"/>
    </w:pPr>
    <w:r w:rsidRPr="000548D7">
      <w:t>Gladstone Regional Council planning scheme   QPP version 1.1   09/07/2014</w:t>
    </w:r>
    <w:r>
      <w:tab/>
      <w:t>Sc5</w:t>
    </w:r>
    <w:r w:rsidRPr="0029189E">
      <w:t>—</w:t>
    </w:r>
    <w:r>
      <w:fldChar w:fldCharType="begin"/>
    </w:r>
    <w:r>
      <w:instrText xml:space="preserve"> PAGE   \* MERGEFORMAT </w:instrText>
    </w:r>
    <w:r>
      <w:fldChar w:fldCharType="separate"/>
    </w:r>
    <w:r>
      <w:rPr>
        <w:noProof/>
      </w:rPr>
      <w:t>403</w:t>
    </w:r>
    <w:r>
      <w:rPr>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FE357F" w14:textId="75D00A81" w:rsidR="001A7107" w:rsidRPr="00D06153" w:rsidRDefault="001A7107" w:rsidP="001A7107">
    <w:pPr>
      <w:pStyle w:val="Footer"/>
    </w:pPr>
    <w:r w:rsidRPr="00DA5920">
      <w:t xml:space="preserve">Gladstone Regional Council planning scheme   </w:t>
    </w:r>
    <w:r w:rsidRPr="00D06153">
      <w:tab/>
    </w:r>
    <w:r w:rsidRPr="00D06153">
      <w:fldChar w:fldCharType="begin"/>
    </w:r>
    <w:r w:rsidRPr="00D06153">
      <w:instrText xml:space="preserve"> PAGE   \* MERGEFORMAT </w:instrText>
    </w:r>
    <w:r w:rsidRPr="00D06153">
      <w:fldChar w:fldCharType="separate"/>
    </w:r>
    <w:r>
      <w:rPr>
        <w:noProof/>
      </w:rPr>
      <w:t>488</w:t>
    </w:r>
    <w:r w:rsidRPr="00D06153">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2A9F63" w14:textId="77777777" w:rsidR="001A7107" w:rsidRDefault="001A7107" w:rsidP="001A7107">
    <w:pPr>
      <w:pStyle w:val="Footer"/>
    </w:pPr>
    <w:r w:rsidRPr="000548D7">
      <w:t>Gladstone Regional Council planning scheme   QPP version 1.1   09/07/2014</w:t>
    </w:r>
    <w:r>
      <w:tab/>
      <w:t>Sc6</w:t>
    </w:r>
    <w:r w:rsidRPr="0029189E">
      <w:t>—</w:t>
    </w:r>
    <w:r>
      <w:fldChar w:fldCharType="begin"/>
    </w:r>
    <w:r>
      <w:instrText xml:space="preserve"> PAGE   \* MERGEFORMAT </w:instrText>
    </w:r>
    <w:r>
      <w:fldChar w:fldCharType="separate"/>
    </w:r>
    <w:r>
      <w:rPr>
        <w:noProof/>
      </w:rPr>
      <w:t>410</w:t>
    </w:r>
    <w:r>
      <w:rPr>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69BF59" w14:textId="704A8B07" w:rsidR="001A7107" w:rsidRPr="00D06153" w:rsidRDefault="001A7107" w:rsidP="001A7107">
    <w:pPr>
      <w:pStyle w:val="Footer"/>
    </w:pPr>
    <w:r w:rsidRPr="00DA5920">
      <w:t xml:space="preserve">Gladstone Regional Council planning scheme   </w:t>
    </w:r>
    <w:r w:rsidRPr="00D06153">
      <w:tab/>
    </w:r>
    <w:r w:rsidRPr="00D06153">
      <w:fldChar w:fldCharType="begin"/>
    </w:r>
    <w:r w:rsidRPr="00D06153">
      <w:instrText xml:space="preserve"> PAGE   \* MERGEFORMAT </w:instrText>
    </w:r>
    <w:r w:rsidRPr="00D06153">
      <w:fldChar w:fldCharType="separate"/>
    </w:r>
    <w:r>
      <w:rPr>
        <w:noProof/>
      </w:rPr>
      <w:t>497</w:t>
    </w:r>
    <w:r w:rsidRPr="00D06153">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393434" w14:textId="77777777" w:rsidR="001A7107" w:rsidRDefault="001A7107" w:rsidP="001A7107">
    <w:pPr>
      <w:pStyle w:val="Footer"/>
    </w:pPr>
    <w:r w:rsidRPr="000548D7">
      <w:t>Gladstone Regional Council planning scheme   QPP version 1.1   09/07/2014</w:t>
    </w:r>
    <w:r>
      <w:tab/>
      <w:t>A1</w:t>
    </w:r>
    <w:r w:rsidRPr="0029189E">
      <w:t>—</w:t>
    </w:r>
    <w:r>
      <w:fldChar w:fldCharType="begin"/>
    </w:r>
    <w:r>
      <w:instrText xml:space="preserve"> PAGE   \* MERGEFORMAT </w:instrText>
    </w:r>
    <w:r>
      <w:fldChar w:fldCharType="separate"/>
    </w:r>
    <w:r>
      <w:rPr>
        <w:noProof/>
      </w:rPr>
      <w:t>437</w:t>
    </w:r>
    <w:r>
      <w:rPr>
        <w:noProof/>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597F11" w14:textId="46EF427B" w:rsidR="001A7107" w:rsidRPr="00826E08" w:rsidRDefault="001A7107" w:rsidP="001A7107">
    <w:pPr>
      <w:pStyle w:val="Footer"/>
      <w:tabs>
        <w:tab w:val="clear" w:pos="9356"/>
        <w:tab w:val="right" w:pos="14034"/>
      </w:tabs>
    </w:pPr>
    <w:r w:rsidRPr="00DA5920">
      <w:t xml:space="preserve">Gladstone Regional Council planning scheme   </w:t>
    </w:r>
    <w:r w:rsidRPr="00826E08">
      <w:tab/>
    </w:r>
    <w:r w:rsidRPr="00826E08">
      <w:fldChar w:fldCharType="begin"/>
    </w:r>
    <w:r w:rsidRPr="00826E08">
      <w:instrText xml:space="preserve"> PAGE   \* MERGEFORMAT </w:instrText>
    </w:r>
    <w:r w:rsidRPr="00826E08">
      <w:fldChar w:fldCharType="separate"/>
    </w:r>
    <w:r>
      <w:rPr>
        <w:noProof/>
      </w:rPr>
      <w:t>500</w:t>
    </w:r>
    <w:r w:rsidRPr="00826E08">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617266" w14:textId="3CE992AA" w:rsidR="001A7107" w:rsidRDefault="001A7107">
    <w:pPr>
      <w:pStyle w:val="Footer"/>
    </w:pPr>
    <w:r w:rsidRPr="00A412DD">
      <w:t xml:space="preserve">Gladstone Regional Council planning scheme </w:t>
    </w:r>
    <w:r>
      <w:t xml:space="preserve">  </w:t>
    </w:r>
    <w:r w:rsidRPr="0029189E">
      <w:tab/>
    </w:r>
    <w:r>
      <w:fldChar w:fldCharType="begin"/>
    </w:r>
    <w:r>
      <w:instrText xml:space="preserve"> PAGE   \* MERGEFORMAT </w:instrText>
    </w:r>
    <w:r>
      <w:fldChar w:fldCharType="separate"/>
    </w:r>
    <w:r w:rsidR="002838FA">
      <w:rPr>
        <w:noProof/>
      </w:rPr>
      <w:t>24</w:t>
    </w:r>
    <w:r>
      <w:rPr>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B900BE" w14:textId="08953471" w:rsidR="001A7107" w:rsidRDefault="001A7107" w:rsidP="001A7107">
    <w:pPr>
      <w:pStyle w:val="Footer"/>
      <w:tabs>
        <w:tab w:val="clear" w:pos="9356"/>
        <w:tab w:val="right" w:pos="13892"/>
      </w:tabs>
    </w:pPr>
    <w:r w:rsidRPr="00DA5920">
      <w:t xml:space="preserve">Gladstone Regional Council planning scheme   </w:t>
    </w:r>
    <w:r>
      <w:tab/>
    </w:r>
    <w:r>
      <w:fldChar w:fldCharType="begin"/>
    </w:r>
    <w:r>
      <w:instrText xml:space="preserve"> PAGE   \* MERGEFORMAT </w:instrText>
    </w:r>
    <w:r>
      <w:fldChar w:fldCharType="separate"/>
    </w:r>
    <w:r>
      <w:rPr>
        <w:noProof/>
      </w:rPr>
      <w:t>498</w:t>
    </w:r>
    <w:r>
      <w:rPr>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84892A" w14:textId="244F0A72" w:rsidR="001A7107" w:rsidRPr="00826E08" w:rsidRDefault="001A7107" w:rsidP="001A7107">
    <w:pPr>
      <w:pStyle w:val="Footer"/>
      <w:tabs>
        <w:tab w:val="clear" w:pos="9356"/>
        <w:tab w:val="left" w:pos="7200"/>
        <w:tab w:val="right" w:pos="9354"/>
        <w:tab w:val="right" w:pos="14034"/>
      </w:tabs>
    </w:pPr>
    <w:r w:rsidRPr="00DA5920">
      <w:t xml:space="preserve">Gladstone Regional Council planning scheme   </w:t>
    </w:r>
    <w:r w:rsidRPr="00826E08">
      <w:tab/>
    </w:r>
    <w:r>
      <w:tab/>
    </w:r>
    <w:r w:rsidRPr="00826E08">
      <w:fldChar w:fldCharType="begin"/>
    </w:r>
    <w:r w:rsidRPr="00826E08">
      <w:instrText xml:space="preserve"> PAGE   \* MERGEFORMAT </w:instrText>
    </w:r>
    <w:r w:rsidRPr="00826E08">
      <w:fldChar w:fldCharType="separate"/>
    </w:r>
    <w:r>
      <w:rPr>
        <w:noProof/>
      </w:rPr>
      <w:t>504</w:t>
    </w:r>
    <w:r w:rsidRPr="00826E08">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1D07C7" w14:textId="751E1208" w:rsidR="001A7107" w:rsidRDefault="001A7107" w:rsidP="001A7107">
    <w:pPr>
      <w:pStyle w:val="Footer"/>
    </w:pPr>
    <w:r w:rsidRPr="00DA5920">
      <w:t xml:space="preserve">Gladstone Regional Council planning scheme   </w:t>
    </w:r>
    <w:r>
      <w:tab/>
    </w:r>
    <w:r>
      <w:fldChar w:fldCharType="begin"/>
    </w:r>
    <w:r>
      <w:instrText xml:space="preserve"> PAGE   \* MERGEFORMAT </w:instrText>
    </w:r>
    <w:r>
      <w:fldChar w:fldCharType="separate"/>
    </w:r>
    <w:r>
      <w:rPr>
        <w:noProof/>
      </w:rPr>
      <w:t>501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7AEE5D" w14:textId="711D8A92" w:rsidR="001A7107" w:rsidRPr="00F2126D" w:rsidRDefault="001A7107" w:rsidP="001A7107">
    <w:pPr>
      <w:pStyle w:val="Footer"/>
    </w:pPr>
    <w:r w:rsidRPr="00A412DD">
      <w:t>Gladstone Regional Council planning scheme</w:t>
    </w:r>
    <w:r>
      <w:t xml:space="preserve">  </w:t>
    </w:r>
    <w:r w:rsidRPr="00A412DD">
      <w:t xml:space="preserve"> </w:t>
    </w:r>
    <w:r w:rsidRPr="00F2126D">
      <w:tab/>
    </w:r>
    <w:r w:rsidRPr="00F2126D">
      <w:fldChar w:fldCharType="begin"/>
    </w:r>
    <w:r w:rsidRPr="00F2126D">
      <w:instrText xml:space="preserve"> PAGE   \* MERGEFORMAT </w:instrText>
    </w:r>
    <w:r w:rsidRPr="00F2126D">
      <w:fldChar w:fldCharType="separate"/>
    </w:r>
    <w:r w:rsidR="002838FA">
      <w:rPr>
        <w:noProof/>
      </w:rPr>
      <w:t>53</w:t>
    </w:r>
    <w:r w:rsidRPr="00F2126D">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3F7BE1" w14:textId="77777777" w:rsidR="001A7107" w:rsidRPr="00F2126D" w:rsidRDefault="001A7107" w:rsidP="001A7107">
    <w:pPr>
      <w:pStyle w:val="Footer"/>
    </w:pPr>
    <w:r w:rsidRPr="00F2126D">
      <w:t>Gladstone Regional Council planning scheme QPP version 1.0 30/05/2014</w:t>
    </w:r>
    <w:r w:rsidRPr="00F2126D">
      <w:tab/>
      <w:t>P3—</w:t>
    </w:r>
    <w:r w:rsidRPr="00F2126D">
      <w:fldChar w:fldCharType="begin"/>
    </w:r>
    <w:r w:rsidRPr="00F2126D">
      <w:instrText xml:space="preserve"> PAGE   \* MERGEFORMAT </w:instrText>
    </w:r>
    <w:r w:rsidRPr="00F2126D">
      <w:fldChar w:fldCharType="separate"/>
    </w:r>
    <w:r>
      <w:rPr>
        <w:noProof/>
      </w:rPr>
      <w:t>46</w:t>
    </w:r>
    <w:r w:rsidRPr="00F2126D">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8BC0E0" w14:textId="456B738B" w:rsidR="001A7107" w:rsidRDefault="001A7107">
    <w:pPr>
      <w:pStyle w:val="Footer"/>
    </w:pPr>
    <w:r w:rsidRPr="00DA5920">
      <w:t xml:space="preserve">Gladstone Regional Council planning scheme   </w:t>
    </w:r>
    <w:r w:rsidRPr="00826E08">
      <w:tab/>
    </w:r>
    <w:r w:rsidRPr="00826E08">
      <w:fldChar w:fldCharType="begin"/>
    </w:r>
    <w:r w:rsidRPr="00826E08">
      <w:instrText xml:space="preserve"> PAGE   \* MERGEFORMAT </w:instrText>
    </w:r>
    <w:r w:rsidRPr="00826E08">
      <w:fldChar w:fldCharType="separate"/>
    </w:r>
    <w:r w:rsidR="002838FA">
      <w:rPr>
        <w:noProof/>
      </w:rPr>
      <w:t>192</w:t>
    </w:r>
    <w:r w:rsidRPr="00826E08">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4797E4" w14:textId="77777777" w:rsidR="001A7107" w:rsidRDefault="001A7107">
    <w:pPr>
      <w:pStyle w:val="Footer"/>
    </w:pPr>
    <w:r w:rsidRPr="000548D7">
      <w:t>Gladstone Regional Council planning scheme   QPP version 1.1   09/07/2014</w:t>
    </w:r>
    <w:r>
      <w:tab/>
      <w:t>Sc1</w:t>
    </w:r>
    <w:r w:rsidRPr="0029189E">
      <w:t>—</w:t>
    </w:r>
    <w:r>
      <w:fldChar w:fldCharType="begin"/>
    </w:r>
    <w:r>
      <w:instrText xml:space="preserve"> PAGE   \* MERGEFORMAT </w:instrText>
    </w:r>
    <w:r>
      <w:fldChar w:fldCharType="separate"/>
    </w:r>
    <w:r>
      <w:rPr>
        <w:noProof/>
      </w:rPr>
      <w:t>362</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FC2F5D" w14:textId="69E5C286" w:rsidR="001A7107" w:rsidRDefault="001A7107">
    <w:pPr>
      <w:pStyle w:val="Footer"/>
    </w:pPr>
    <w:r w:rsidRPr="00DA5920">
      <w:t xml:space="preserve">Gladstone Regional Council planning scheme   </w:t>
    </w:r>
    <w:r>
      <w:tab/>
    </w:r>
    <w:r w:rsidRPr="00826E08">
      <w:fldChar w:fldCharType="begin"/>
    </w:r>
    <w:r w:rsidRPr="00826E08">
      <w:instrText xml:space="preserve"> PAGE   \* MERGEFORMAT </w:instrText>
    </w:r>
    <w:r w:rsidRPr="00826E08">
      <w:fldChar w:fldCharType="separate"/>
    </w:r>
    <w:r>
      <w:rPr>
        <w:noProof/>
      </w:rPr>
      <w:t>454</w:t>
    </w:r>
    <w:r w:rsidRPr="00826E08">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675A75" w14:textId="77777777" w:rsidR="001A7107" w:rsidRDefault="001A7107">
    <w:pPr>
      <w:pStyle w:val="Footer"/>
    </w:pPr>
    <w:r w:rsidRPr="000548D7">
      <w:t>Gladstone Regional Council planning scheme   QPP version 1.1   09/07/2014</w:t>
    </w:r>
    <w:r>
      <w:tab/>
      <w:t>Sc2</w:t>
    </w:r>
    <w:r w:rsidRPr="0029189E">
      <w:t>—</w:t>
    </w:r>
    <w:r>
      <w:fldChar w:fldCharType="begin"/>
    </w:r>
    <w:r>
      <w:instrText xml:space="preserve"> PAGE   \* MERGEFORMAT </w:instrText>
    </w:r>
    <w:r>
      <w:fldChar w:fldCharType="separate"/>
    </w:r>
    <w:r>
      <w:rPr>
        <w:noProof/>
      </w:rPr>
      <w:t>389</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FF9462" w14:textId="73AC2BF2" w:rsidR="001A7107" w:rsidRPr="009566F5" w:rsidRDefault="001A7107" w:rsidP="001A7107">
    <w:pPr>
      <w:pStyle w:val="Footer"/>
      <w:tabs>
        <w:tab w:val="right" w:pos="9639"/>
      </w:tabs>
      <w:rPr>
        <w:rFonts w:cs="Arial"/>
        <w:szCs w:val="16"/>
      </w:rPr>
    </w:pPr>
    <w:r w:rsidRPr="009566F5">
      <w:rPr>
        <w:szCs w:val="16"/>
      </w:rPr>
      <w:t xml:space="preserve">Gladstone Regional Council planning scheme   </w:t>
    </w:r>
    <w:r w:rsidRPr="009566F5">
      <w:rPr>
        <w:rFonts w:cs="Arial"/>
        <w:szCs w:val="16"/>
      </w:rPr>
      <w:tab/>
    </w:r>
    <w:r w:rsidRPr="009566F5">
      <w:rPr>
        <w:rFonts w:cs="Arial"/>
        <w:szCs w:val="16"/>
      </w:rPr>
      <w:fldChar w:fldCharType="begin"/>
    </w:r>
    <w:r w:rsidRPr="009566F5">
      <w:rPr>
        <w:rFonts w:cs="Arial"/>
        <w:szCs w:val="16"/>
      </w:rPr>
      <w:instrText xml:space="preserve"> PAGE   \* MERGEFORMAT </w:instrText>
    </w:r>
    <w:r w:rsidRPr="009566F5">
      <w:rPr>
        <w:rFonts w:cs="Arial"/>
        <w:szCs w:val="16"/>
      </w:rPr>
      <w:fldChar w:fldCharType="separate"/>
    </w:r>
    <w:r>
      <w:rPr>
        <w:rFonts w:cs="Arial"/>
        <w:noProof/>
        <w:szCs w:val="16"/>
      </w:rPr>
      <w:t>443</w:t>
    </w:r>
    <w:r w:rsidRPr="009566F5">
      <w:rPr>
        <w:rFonts w:cs="Arial"/>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106E67" w14:textId="77777777" w:rsidR="001754DB" w:rsidRDefault="001754DB" w:rsidP="00BE36FB">
      <w:r>
        <w:separator/>
      </w:r>
    </w:p>
  </w:footnote>
  <w:footnote w:type="continuationSeparator" w:id="0">
    <w:p w14:paraId="29FA0A92" w14:textId="77777777" w:rsidR="001754DB" w:rsidRDefault="001754DB" w:rsidP="00BE36FB">
      <w:r>
        <w:continuationSeparator/>
      </w:r>
    </w:p>
  </w:footnote>
  <w:footnote w:id="1">
    <w:p w14:paraId="2D388EF9" w14:textId="77777777" w:rsidR="001A7107" w:rsidRPr="007E0398" w:rsidRDefault="001A7107">
      <w:pPr>
        <w:pStyle w:val="FootnoteText"/>
      </w:pPr>
      <w:r w:rsidRPr="007E0398">
        <w:rPr>
          <w:sz w:val="14"/>
          <w:vertAlign w:val="superscript"/>
        </w:rPr>
        <w:t>1</w:t>
      </w:r>
      <w:r w:rsidRPr="007E0398">
        <w:t>Footnote —this is an example of a footnote</w:t>
      </w:r>
    </w:p>
  </w:footnote>
  <w:footnote w:id="2">
    <w:p w14:paraId="6DD1A23F" w14:textId="77777777" w:rsidR="001A7107" w:rsidRDefault="001A7107">
      <w:pPr>
        <w:pStyle w:val="FootnoteText"/>
      </w:pPr>
      <w:r>
        <w:rPr>
          <w:rStyle w:val="FootnoteReference"/>
        </w:rPr>
        <w:footnoteRef/>
      </w:r>
      <w:r>
        <w:t xml:space="preserve"> </w:t>
      </w:r>
      <w:r w:rsidRPr="00992037">
        <w:t>Setback above podium level</w:t>
      </w:r>
      <w:r>
        <w:t>.</w:t>
      </w:r>
    </w:p>
  </w:footnote>
  <w:footnote w:id="3">
    <w:p w14:paraId="1E4A4925" w14:textId="77777777" w:rsidR="001A7107" w:rsidRDefault="001A7107">
      <w:pPr>
        <w:pStyle w:val="FootnoteText"/>
      </w:pPr>
      <w:r>
        <w:rPr>
          <w:rStyle w:val="FootnoteReference"/>
        </w:rPr>
        <w:footnoteRef/>
      </w:r>
      <w:r>
        <w:t xml:space="preserve"> </w:t>
      </w:r>
      <w:r w:rsidRPr="00992037">
        <w:t>Area from the main face of the building to the outermost projection where elements such as sun shading, balconies, roofs, eaves and overhangs project to assist in articulating the façade.</w:t>
      </w:r>
    </w:p>
  </w:footnote>
  <w:footnote w:id="4">
    <w:p w14:paraId="22E4C678" w14:textId="77777777" w:rsidR="001A7107" w:rsidRDefault="001A7107">
      <w:pPr>
        <w:pStyle w:val="FootnoteText"/>
      </w:pPr>
      <w:r>
        <w:rPr>
          <w:rStyle w:val="FootnoteReference"/>
        </w:rPr>
        <w:footnoteRef/>
      </w:r>
      <w:r>
        <w:t xml:space="preserve"> </w:t>
      </w:r>
      <w:r w:rsidRPr="00992037">
        <w:t>The rear boundary is opposite the primary frontage of the site.</w:t>
      </w:r>
    </w:p>
  </w:footnote>
  <w:footnote w:id="5">
    <w:p w14:paraId="3D9E9BA5" w14:textId="77777777" w:rsidR="001A7107" w:rsidRDefault="001A7107">
      <w:pPr>
        <w:pStyle w:val="FootnoteText"/>
      </w:pPr>
      <w:r>
        <w:rPr>
          <w:rStyle w:val="FootnoteReference"/>
        </w:rPr>
        <w:footnoteRef/>
      </w:r>
      <w:r>
        <w:t xml:space="preserve"> </w:t>
      </w:r>
      <w:r w:rsidRPr="00992037">
        <w:t>Area from the main face of the building to the outermost projection where elements such as sun shading, balconies, roofs, eaves and overhangs project to assist in articulating the façade.</w:t>
      </w:r>
    </w:p>
  </w:footnote>
  <w:footnote w:id="6">
    <w:p w14:paraId="08C5EFAC" w14:textId="77777777" w:rsidR="001A7107" w:rsidRDefault="001A7107">
      <w:pPr>
        <w:pStyle w:val="FootnoteText"/>
      </w:pPr>
      <w:r>
        <w:rPr>
          <w:rStyle w:val="FootnoteReference"/>
        </w:rPr>
        <w:footnoteRef/>
      </w:r>
      <w:r>
        <w:t xml:space="preserve"> </w:t>
      </w:r>
      <w:r w:rsidRPr="00492BEE">
        <w:t>Setback above podium level</w:t>
      </w:r>
      <w:r>
        <w:t>.</w:t>
      </w:r>
    </w:p>
  </w:footnote>
  <w:footnote w:id="7">
    <w:p w14:paraId="2C884E16" w14:textId="77777777" w:rsidR="001A7107" w:rsidRDefault="001A7107">
      <w:pPr>
        <w:pStyle w:val="FootnoteText"/>
      </w:pPr>
      <w:r>
        <w:rPr>
          <w:rStyle w:val="FootnoteReference"/>
        </w:rPr>
        <w:footnoteRef/>
      </w:r>
      <w:r>
        <w:t xml:space="preserve"> </w:t>
      </w:r>
      <w:r w:rsidRPr="00492BEE">
        <w:t>Area from the main face of the building to the outermost projection where elements such as sun shading, balconies, roofs, eaves and overhangs project to assist in articulating the façade.</w:t>
      </w:r>
    </w:p>
  </w:footnote>
  <w:footnote w:id="8">
    <w:p w14:paraId="0428691A" w14:textId="77777777" w:rsidR="001A7107" w:rsidRDefault="001A7107">
      <w:pPr>
        <w:pStyle w:val="FootnoteText"/>
      </w:pPr>
      <w:r>
        <w:rPr>
          <w:rStyle w:val="FootnoteReference"/>
        </w:rPr>
        <w:footnoteRef/>
      </w:r>
      <w:r>
        <w:t xml:space="preserve"> </w:t>
      </w:r>
      <w:r w:rsidRPr="00492BEE">
        <w:t>The rear boundary is opposite the primary frontage of the site.</w:t>
      </w:r>
    </w:p>
  </w:footnote>
  <w:footnote w:id="9">
    <w:p w14:paraId="1D54CC62" w14:textId="77777777" w:rsidR="001A7107" w:rsidRPr="00B02F33" w:rsidRDefault="001A7107" w:rsidP="001A7107">
      <w:pPr>
        <w:pStyle w:val="FootnoteText"/>
      </w:pPr>
      <w:r>
        <w:rPr>
          <w:rStyle w:val="FootnoteReference"/>
        </w:rPr>
        <w:footnoteRef/>
      </w:r>
      <w:r>
        <w:t xml:space="preserve"> </w:t>
      </w:r>
      <w:r w:rsidRPr="00B02F33">
        <w:t xml:space="preserve">Area from the main face of the building to the outermost projection where elements such as sun shading, balconies, roofs, eaves and overhangs project to assist in articulating the façade. </w:t>
      </w:r>
    </w:p>
    <w:p w14:paraId="59319F72" w14:textId="77777777" w:rsidR="001A7107" w:rsidRDefault="001A7107">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292101" w14:textId="77777777" w:rsidR="001A7107" w:rsidRDefault="001A710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1AC8D6E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1F8D10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916FD6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5085B1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F84624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A52FAB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7BAFF46"/>
    <w:lvl w:ilvl="0">
      <w:start w:val="1"/>
      <w:numFmt w:val="bullet"/>
      <w:pStyle w:val="ListBullet3"/>
      <w:lvlText w:val=""/>
      <w:lvlJc w:val="left"/>
      <w:pPr>
        <w:ind w:left="644" w:hanging="360"/>
      </w:pPr>
      <w:rPr>
        <w:rFonts w:ascii="Symbol" w:hAnsi="Symbol" w:hint="default"/>
        <w:sz w:val="16"/>
      </w:rPr>
    </w:lvl>
  </w:abstractNum>
  <w:abstractNum w:abstractNumId="7" w15:restartNumberingAfterBreak="0">
    <w:nsid w:val="FFFFFF88"/>
    <w:multiLevelType w:val="singleLevel"/>
    <w:tmpl w:val="F6F6FDE4"/>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59B0198E"/>
    <w:lvl w:ilvl="0">
      <w:start w:val="1"/>
      <w:numFmt w:val="bullet"/>
      <w:pStyle w:val="ListBullet"/>
      <w:lvlText w:val=""/>
      <w:lvlJc w:val="left"/>
      <w:pPr>
        <w:ind w:left="360" w:hanging="360"/>
      </w:pPr>
      <w:rPr>
        <w:rFonts w:ascii="Symbol" w:hAnsi="Symbol" w:hint="default"/>
        <w:sz w:val="16"/>
      </w:rPr>
    </w:lvl>
  </w:abstractNum>
  <w:abstractNum w:abstractNumId="9" w15:restartNumberingAfterBreak="0">
    <w:nsid w:val="0002038B"/>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00B5DEC"/>
    <w:multiLevelType w:val="multilevel"/>
    <w:tmpl w:val="9822CB2E"/>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00F5C1B"/>
    <w:multiLevelType w:val="multilevel"/>
    <w:tmpl w:val="887EED66"/>
    <w:numStyleLink w:val="Tablenumbering"/>
  </w:abstractNum>
  <w:abstractNum w:abstractNumId="12" w15:restartNumberingAfterBreak="0">
    <w:nsid w:val="00166DA7"/>
    <w:multiLevelType w:val="multilevel"/>
    <w:tmpl w:val="887EED66"/>
    <w:numStyleLink w:val="Tablenumbering"/>
  </w:abstractNum>
  <w:abstractNum w:abstractNumId="13" w15:restartNumberingAfterBreak="0">
    <w:nsid w:val="001A09EB"/>
    <w:multiLevelType w:val="multilevel"/>
    <w:tmpl w:val="887EED66"/>
    <w:numStyleLink w:val="Tablenumbering"/>
  </w:abstractNum>
  <w:abstractNum w:abstractNumId="14" w15:restartNumberingAfterBreak="0">
    <w:nsid w:val="002401FB"/>
    <w:multiLevelType w:val="multilevel"/>
    <w:tmpl w:val="887EED66"/>
    <w:numStyleLink w:val="Tablenumbering"/>
  </w:abstractNum>
  <w:abstractNum w:abstractNumId="15" w15:restartNumberingAfterBreak="0">
    <w:nsid w:val="002E071D"/>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003F1465"/>
    <w:multiLevelType w:val="multilevel"/>
    <w:tmpl w:val="887EED66"/>
    <w:numStyleLink w:val="Tablenumbering"/>
  </w:abstractNum>
  <w:abstractNum w:abstractNumId="17" w15:restartNumberingAfterBreak="0">
    <w:nsid w:val="005C0963"/>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00740B2D"/>
    <w:multiLevelType w:val="multilevel"/>
    <w:tmpl w:val="887EED66"/>
    <w:numStyleLink w:val="Tablenumbering"/>
  </w:abstractNum>
  <w:abstractNum w:abstractNumId="19" w15:restartNumberingAfterBreak="0">
    <w:nsid w:val="0074190E"/>
    <w:multiLevelType w:val="multilevel"/>
    <w:tmpl w:val="347AA138"/>
    <w:numStyleLink w:val="1ai"/>
  </w:abstractNum>
  <w:abstractNum w:abstractNumId="20" w15:restartNumberingAfterBreak="0">
    <w:nsid w:val="007B2A8D"/>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008D5AD0"/>
    <w:multiLevelType w:val="multilevel"/>
    <w:tmpl w:val="887EED66"/>
    <w:numStyleLink w:val="Tablenumbering"/>
  </w:abstractNum>
  <w:abstractNum w:abstractNumId="22" w15:restartNumberingAfterBreak="0">
    <w:nsid w:val="00AE43E6"/>
    <w:multiLevelType w:val="multilevel"/>
    <w:tmpl w:val="887EED66"/>
    <w:numStyleLink w:val="Tablenumbering"/>
  </w:abstractNum>
  <w:abstractNum w:abstractNumId="23" w15:restartNumberingAfterBreak="0">
    <w:nsid w:val="00AF6046"/>
    <w:multiLevelType w:val="multilevel"/>
    <w:tmpl w:val="887EED66"/>
    <w:numStyleLink w:val="Tablenumbering"/>
  </w:abstractNum>
  <w:abstractNum w:abstractNumId="24" w15:restartNumberingAfterBreak="0">
    <w:nsid w:val="00E86307"/>
    <w:multiLevelType w:val="multilevel"/>
    <w:tmpl w:val="887EED66"/>
    <w:numStyleLink w:val="Tablenumbering"/>
  </w:abstractNum>
  <w:abstractNum w:abstractNumId="25" w15:restartNumberingAfterBreak="0">
    <w:nsid w:val="015A1558"/>
    <w:multiLevelType w:val="multilevel"/>
    <w:tmpl w:val="887EED66"/>
    <w:numStyleLink w:val="Tablenumbering"/>
  </w:abstractNum>
  <w:abstractNum w:abstractNumId="26" w15:restartNumberingAfterBreak="0">
    <w:nsid w:val="01636521"/>
    <w:multiLevelType w:val="multilevel"/>
    <w:tmpl w:val="887EED66"/>
    <w:numStyleLink w:val="Tablenumbering"/>
  </w:abstractNum>
  <w:abstractNum w:abstractNumId="27" w15:restartNumberingAfterBreak="0">
    <w:nsid w:val="01762C53"/>
    <w:multiLevelType w:val="multilevel"/>
    <w:tmpl w:val="887EED66"/>
    <w:numStyleLink w:val="Tablenumbering"/>
  </w:abstractNum>
  <w:abstractNum w:abstractNumId="28" w15:restartNumberingAfterBreak="0">
    <w:nsid w:val="0181664A"/>
    <w:multiLevelType w:val="hybridMultilevel"/>
    <w:tmpl w:val="C5586DBC"/>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01E9082A"/>
    <w:multiLevelType w:val="multilevel"/>
    <w:tmpl w:val="887EED66"/>
    <w:numStyleLink w:val="Tablenumbering"/>
  </w:abstractNum>
  <w:abstractNum w:abstractNumId="30" w15:restartNumberingAfterBreak="0">
    <w:nsid w:val="01ED109D"/>
    <w:multiLevelType w:val="hybridMultilevel"/>
    <w:tmpl w:val="36E2FFE4"/>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01EE2473"/>
    <w:multiLevelType w:val="multilevel"/>
    <w:tmpl w:val="887EED66"/>
    <w:numStyleLink w:val="Tablenumbering"/>
  </w:abstractNum>
  <w:abstractNum w:abstractNumId="32" w15:restartNumberingAfterBreak="0">
    <w:nsid w:val="01F54EB4"/>
    <w:multiLevelType w:val="multilevel"/>
    <w:tmpl w:val="347AA138"/>
    <w:numStyleLink w:val="1ai"/>
  </w:abstractNum>
  <w:abstractNum w:abstractNumId="33" w15:restartNumberingAfterBreak="0">
    <w:nsid w:val="02145D8B"/>
    <w:multiLevelType w:val="multilevel"/>
    <w:tmpl w:val="887EED66"/>
    <w:numStyleLink w:val="Tablenumbering"/>
  </w:abstractNum>
  <w:abstractNum w:abstractNumId="34" w15:restartNumberingAfterBreak="0">
    <w:nsid w:val="021E717F"/>
    <w:multiLevelType w:val="multilevel"/>
    <w:tmpl w:val="887EED66"/>
    <w:numStyleLink w:val="Tablenumbering"/>
  </w:abstractNum>
  <w:abstractNum w:abstractNumId="35" w15:restartNumberingAfterBreak="0">
    <w:nsid w:val="023B505D"/>
    <w:multiLevelType w:val="multilevel"/>
    <w:tmpl w:val="887EED66"/>
    <w:numStyleLink w:val="Tablenumbering"/>
  </w:abstractNum>
  <w:abstractNum w:abstractNumId="36" w15:restartNumberingAfterBreak="0">
    <w:nsid w:val="024369F7"/>
    <w:multiLevelType w:val="multilevel"/>
    <w:tmpl w:val="887EED66"/>
    <w:numStyleLink w:val="Tablenumbering"/>
  </w:abstractNum>
  <w:abstractNum w:abstractNumId="37" w15:restartNumberingAfterBreak="0">
    <w:nsid w:val="024C4F9F"/>
    <w:multiLevelType w:val="multilevel"/>
    <w:tmpl w:val="887EED66"/>
    <w:numStyleLink w:val="Tablenumbering"/>
  </w:abstractNum>
  <w:abstractNum w:abstractNumId="38" w15:restartNumberingAfterBreak="0">
    <w:nsid w:val="025519C0"/>
    <w:multiLevelType w:val="multilevel"/>
    <w:tmpl w:val="887EED66"/>
    <w:numStyleLink w:val="Tablenumbering"/>
  </w:abstractNum>
  <w:abstractNum w:abstractNumId="39" w15:restartNumberingAfterBreak="0">
    <w:nsid w:val="02896C5F"/>
    <w:multiLevelType w:val="multilevel"/>
    <w:tmpl w:val="887EED66"/>
    <w:numStyleLink w:val="Tablenumbering"/>
  </w:abstractNum>
  <w:abstractNum w:abstractNumId="40" w15:restartNumberingAfterBreak="0">
    <w:nsid w:val="034D5E5A"/>
    <w:multiLevelType w:val="multilevel"/>
    <w:tmpl w:val="887EED66"/>
    <w:numStyleLink w:val="Tablenumbering"/>
  </w:abstractNum>
  <w:abstractNum w:abstractNumId="41" w15:restartNumberingAfterBreak="0">
    <w:nsid w:val="03743685"/>
    <w:multiLevelType w:val="multilevel"/>
    <w:tmpl w:val="887EED66"/>
    <w:numStyleLink w:val="Tablenumbering"/>
  </w:abstractNum>
  <w:abstractNum w:abstractNumId="42" w15:restartNumberingAfterBreak="0">
    <w:nsid w:val="037D7749"/>
    <w:multiLevelType w:val="multilevel"/>
    <w:tmpl w:val="887EED66"/>
    <w:numStyleLink w:val="Tablenumbering"/>
  </w:abstractNum>
  <w:abstractNum w:abstractNumId="43" w15:restartNumberingAfterBreak="0">
    <w:nsid w:val="038A7A41"/>
    <w:multiLevelType w:val="hybridMultilevel"/>
    <w:tmpl w:val="3F3AE0A6"/>
    <w:lvl w:ilvl="0" w:tplc="BAA25CC8">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03AD28C1"/>
    <w:multiLevelType w:val="multilevel"/>
    <w:tmpl w:val="887EED66"/>
    <w:numStyleLink w:val="Tablenumbering"/>
  </w:abstractNum>
  <w:abstractNum w:abstractNumId="45" w15:restartNumberingAfterBreak="0">
    <w:nsid w:val="03E87EF7"/>
    <w:multiLevelType w:val="multilevel"/>
    <w:tmpl w:val="887EED66"/>
    <w:numStyleLink w:val="Tablenumbering"/>
  </w:abstractNum>
  <w:abstractNum w:abstractNumId="46" w15:restartNumberingAfterBreak="0">
    <w:nsid w:val="04420861"/>
    <w:multiLevelType w:val="multilevel"/>
    <w:tmpl w:val="E7E0395A"/>
    <w:styleLink w:val="Bulletoutline"/>
    <w:lvl w:ilvl="0">
      <w:start w:val="3"/>
      <w:numFmt w:val="bullet"/>
      <w:lvlText w:val="•"/>
      <w:lvlJc w:val="left"/>
      <w:pPr>
        <w:tabs>
          <w:tab w:val="num" w:pos="284"/>
        </w:tabs>
        <w:ind w:left="284" w:hanging="284"/>
      </w:pPr>
      <w:rPr>
        <w:color w:val="000000" w:themeColor="text1"/>
        <w:sz w:val="20"/>
      </w:rPr>
    </w:lvl>
    <w:lvl w:ilvl="1">
      <w:start w:val="1"/>
      <w:numFmt w:val="bullet"/>
      <w:lvlRestart w:val="0"/>
      <w:lvlText w:val=""/>
      <w:lvlJc w:val="left"/>
      <w:pPr>
        <w:tabs>
          <w:tab w:val="num" w:pos="851"/>
        </w:tabs>
        <w:ind w:left="851" w:hanging="284"/>
      </w:pPr>
      <w:rPr>
        <w:rFonts w:ascii="Symbol" w:hAnsi="Symbol" w:hint="default"/>
      </w:rPr>
    </w:lvl>
    <w:lvl w:ilvl="2">
      <w:start w:val="1"/>
      <w:numFmt w:val="bullet"/>
      <w:lvlRestart w:val="0"/>
      <w:lvlText w:val=""/>
      <w:lvlJc w:val="left"/>
      <w:pPr>
        <w:tabs>
          <w:tab w:val="num" w:pos="1418"/>
        </w:tabs>
        <w:ind w:left="1418" w:hanging="284"/>
      </w:pPr>
      <w:rPr>
        <w:rFonts w:ascii="Symbol" w:hAnsi="Symbol" w:hint="default"/>
      </w:rPr>
    </w:lvl>
    <w:lvl w:ilvl="3">
      <w:start w:val="1"/>
      <w:numFmt w:val="bullet"/>
      <w:lvlRestart w:val="0"/>
      <w:lvlText w:val=""/>
      <w:lvlJc w:val="left"/>
      <w:pPr>
        <w:tabs>
          <w:tab w:val="num" w:pos="1985"/>
        </w:tabs>
        <w:ind w:left="1985" w:hanging="284"/>
      </w:pPr>
      <w:rPr>
        <w:rFonts w:ascii="Symbol" w:hAnsi="Symbol" w:hint="default"/>
      </w:rPr>
    </w:lvl>
    <w:lvl w:ilvl="4">
      <w:start w:val="1"/>
      <w:numFmt w:val="bullet"/>
      <w:lvlText w:val="o"/>
      <w:lvlJc w:val="left"/>
      <w:pPr>
        <w:ind w:left="5400" w:hanging="360"/>
      </w:pPr>
      <w:rPr>
        <w:rFonts w:ascii="Courier New" w:hAnsi="Courier New" w:cs="Courier New" w:hint="default"/>
      </w:rPr>
    </w:lvl>
    <w:lvl w:ilvl="5">
      <w:start w:val="1"/>
      <w:numFmt w:val="bullet"/>
      <w:lvlText w:val=""/>
      <w:lvlJc w:val="left"/>
      <w:pPr>
        <w:ind w:left="6120" w:hanging="360"/>
      </w:pPr>
      <w:rPr>
        <w:rFonts w:ascii="Wingdings" w:hAnsi="Wingdings" w:hint="default"/>
      </w:rPr>
    </w:lvl>
    <w:lvl w:ilvl="6">
      <w:start w:val="1"/>
      <w:numFmt w:val="bullet"/>
      <w:lvlText w:val=""/>
      <w:lvlJc w:val="left"/>
      <w:pPr>
        <w:ind w:left="6840" w:hanging="360"/>
      </w:pPr>
      <w:rPr>
        <w:rFonts w:ascii="Symbol" w:hAnsi="Symbol" w:hint="default"/>
      </w:rPr>
    </w:lvl>
    <w:lvl w:ilvl="7">
      <w:start w:val="1"/>
      <w:numFmt w:val="bullet"/>
      <w:lvlText w:val="o"/>
      <w:lvlJc w:val="left"/>
      <w:pPr>
        <w:ind w:left="7560" w:hanging="360"/>
      </w:pPr>
      <w:rPr>
        <w:rFonts w:ascii="Courier New" w:hAnsi="Courier New" w:cs="Courier New" w:hint="default"/>
      </w:rPr>
    </w:lvl>
    <w:lvl w:ilvl="8">
      <w:start w:val="1"/>
      <w:numFmt w:val="bullet"/>
      <w:lvlText w:val=""/>
      <w:lvlJc w:val="left"/>
      <w:pPr>
        <w:ind w:left="8280" w:hanging="360"/>
      </w:pPr>
      <w:rPr>
        <w:rFonts w:ascii="Wingdings" w:hAnsi="Wingdings" w:hint="default"/>
      </w:rPr>
    </w:lvl>
  </w:abstractNum>
  <w:abstractNum w:abstractNumId="47" w15:restartNumberingAfterBreak="0">
    <w:nsid w:val="044906C3"/>
    <w:multiLevelType w:val="multilevel"/>
    <w:tmpl w:val="887EED66"/>
    <w:numStyleLink w:val="Tablenumbering"/>
  </w:abstractNum>
  <w:abstractNum w:abstractNumId="48" w15:restartNumberingAfterBreak="0">
    <w:nsid w:val="04530606"/>
    <w:multiLevelType w:val="multilevel"/>
    <w:tmpl w:val="887EED66"/>
    <w:numStyleLink w:val="Tablenumbering"/>
  </w:abstractNum>
  <w:abstractNum w:abstractNumId="49" w15:restartNumberingAfterBreak="0">
    <w:nsid w:val="04AF54B5"/>
    <w:multiLevelType w:val="multilevel"/>
    <w:tmpl w:val="887EED66"/>
    <w:numStyleLink w:val="Tablenumbering"/>
  </w:abstractNum>
  <w:abstractNum w:abstractNumId="50" w15:restartNumberingAfterBreak="0">
    <w:nsid w:val="04DC2BB1"/>
    <w:multiLevelType w:val="multilevel"/>
    <w:tmpl w:val="887EED66"/>
    <w:numStyleLink w:val="Tablenumbering"/>
  </w:abstractNum>
  <w:abstractNum w:abstractNumId="51" w15:restartNumberingAfterBreak="0">
    <w:nsid w:val="051A5AEF"/>
    <w:multiLevelType w:val="multilevel"/>
    <w:tmpl w:val="887EED66"/>
    <w:numStyleLink w:val="Tablenumbering"/>
  </w:abstractNum>
  <w:abstractNum w:abstractNumId="52" w15:restartNumberingAfterBreak="0">
    <w:nsid w:val="051E6CC0"/>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15:restartNumberingAfterBreak="0">
    <w:nsid w:val="054261E2"/>
    <w:multiLevelType w:val="multilevel"/>
    <w:tmpl w:val="887EED66"/>
    <w:numStyleLink w:val="Tablenumbering"/>
  </w:abstractNum>
  <w:abstractNum w:abstractNumId="54" w15:restartNumberingAfterBreak="0">
    <w:nsid w:val="05606BE6"/>
    <w:multiLevelType w:val="multilevel"/>
    <w:tmpl w:val="887EED66"/>
    <w:numStyleLink w:val="Tablenumbering"/>
  </w:abstractNum>
  <w:abstractNum w:abstractNumId="55" w15:restartNumberingAfterBreak="0">
    <w:nsid w:val="056A72E6"/>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 w15:restartNumberingAfterBreak="0">
    <w:nsid w:val="05B65109"/>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05ED1812"/>
    <w:multiLevelType w:val="multilevel"/>
    <w:tmpl w:val="887EED66"/>
    <w:numStyleLink w:val="Tablenumbering"/>
  </w:abstractNum>
  <w:abstractNum w:abstractNumId="58" w15:restartNumberingAfterBreak="0">
    <w:nsid w:val="06326CC1"/>
    <w:multiLevelType w:val="multilevel"/>
    <w:tmpl w:val="887EED66"/>
    <w:numStyleLink w:val="Tablenumbering"/>
  </w:abstractNum>
  <w:abstractNum w:abstractNumId="59" w15:restartNumberingAfterBreak="0">
    <w:nsid w:val="063B431D"/>
    <w:multiLevelType w:val="multilevel"/>
    <w:tmpl w:val="887EED66"/>
    <w:numStyleLink w:val="Tablenumbering"/>
  </w:abstractNum>
  <w:abstractNum w:abstractNumId="60" w15:restartNumberingAfterBreak="0">
    <w:nsid w:val="063E17FD"/>
    <w:multiLevelType w:val="multilevel"/>
    <w:tmpl w:val="887EED66"/>
    <w:numStyleLink w:val="Tablenumbering"/>
  </w:abstractNum>
  <w:abstractNum w:abstractNumId="61" w15:restartNumberingAfterBreak="0">
    <w:nsid w:val="065F20A5"/>
    <w:multiLevelType w:val="multilevel"/>
    <w:tmpl w:val="887EED66"/>
    <w:numStyleLink w:val="Tablenumbering"/>
  </w:abstractNum>
  <w:abstractNum w:abstractNumId="62" w15:restartNumberingAfterBreak="0">
    <w:nsid w:val="06B16E7D"/>
    <w:multiLevelType w:val="multilevel"/>
    <w:tmpl w:val="887EED66"/>
    <w:numStyleLink w:val="Tablenumbering"/>
  </w:abstractNum>
  <w:abstractNum w:abstractNumId="63" w15:restartNumberingAfterBreak="0">
    <w:nsid w:val="06BD3E4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06E654D1"/>
    <w:multiLevelType w:val="multilevel"/>
    <w:tmpl w:val="887EED66"/>
    <w:numStyleLink w:val="Tablenumbering"/>
  </w:abstractNum>
  <w:abstractNum w:abstractNumId="65" w15:restartNumberingAfterBreak="0">
    <w:nsid w:val="06F17526"/>
    <w:multiLevelType w:val="multilevel"/>
    <w:tmpl w:val="887EED66"/>
    <w:numStyleLink w:val="Tablenumbering"/>
  </w:abstractNum>
  <w:abstractNum w:abstractNumId="66" w15:restartNumberingAfterBreak="0">
    <w:nsid w:val="07545242"/>
    <w:multiLevelType w:val="multilevel"/>
    <w:tmpl w:val="887EED66"/>
    <w:numStyleLink w:val="Tablenumbering"/>
  </w:abstractNum>
  <w:abstractNum w:abstractNumId="67" w15:restartNumberingAfterBreak="0">
    <w:nsid w:val="077E2ACC"/>
    <w:multiLevelType w:val="multilevel"/>
    <w:tmpl w:val="887EED66"/>
    <w:numStyleLink w:val="Tablenumbering"/>
  </w:abstractNum>
  <w:abstractNum w:abstractNumId="68" w15:restartNumberingAfterBreak="0">
    <w:nsid w:val="07DE035A"/>
    <w:multiLevelType w:val="multilevel"/>
    <w:tmpl w:val="887EED66"/>
    <w:numStyleLink w:val="Tablenumbering"/>
  </w:abstractNum>
  <w:abstractNum w:abstractNumId="69" w15:restartNumberingAfterBreak="0">
    <w:nsid w:val="081C4723"/>
    <w:multiLevelType w:val="hybridMultilevel"/>
    <w:tmpl w:val="8CC6E90A"/>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08263FE5"/>
    <w:multiLevelType w:val="multilevel"/>
    <w:tmpl w:val="887EED66"/>
    <w:numStyleLink w:val="Tablenumbering"/>
  </w:abstractNum>
  <w:abstractNum w:abstractNumId="71" w15:restartNumberingAfterBreak="0">
    <w:nsid w:val="088D39D5"/>
    <w:multiLevelType w:val="multilevel"/>
    <w:tmpl w:val="5D2E32E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089156A0"/>
    <w:multiLevelType w:val="multilevel"/>
    <w:tmpl w:val="55D42D3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08CC3A4A"/>
    <w:multiLevelType w:val="multilevel"/>
    <w:tmpl w:val="95520CB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08F71EBD"/>
    <w:multiLevelType w:val="multilevel"/>
    <w:tmpl w:val="887EED66"/>
    <w:numStyleLink w:val="Tablenumbering"/>
  </w:abstractNum>
  <w:abstractNum w:abstractNumId="75" w15:restartNumberingAfterBreak="0">
    <w:nsid w:val="08F97987"/>
    <w:multiLevelType w:val="multilevel"/>
    <w:tmpl w:val="9D58DAD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092463C6"/>
    <w:multiLevelType w:val="multilevel"/>
    <w:tmpl w:val="2176F62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092A3A8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15:restartNumberingAfterBreak="0">
    <w:nsid w:val="093028E4"/>
    <w:multiLevelType w:val="multilevel"/>
    <w:tmpl w:val="8856C99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093A2F79"/>
    <w:multiLevelType w:val="multilevel"/>
    <w:tmpl w:val="347AA138"/>
    <w:numStyleLink w:val="1ai"/>
  </w:abstractNum>
  <w:abstractNum w:abstractNumId="80" w15:restartNumberingAfterBreak="0">
    <w:nsid w:val="093E4C41"/>
    <w:multiLevelType w:val="multilevel"/>
    <w:tmpl w:val="20FCCDA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097A513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098A2999"/>
    <w:multiLevelType w:val="multilevel"/>
    <w:tmpl w:val="887EED66"/>
    <w:numStyleLink w:val="Tablenumbering"/>
  </w:abstractNum>
  <w:abstractNum w:abstractNumId="83" w15:restartNumberingAfterBreak="0">
    <w:nsid w:val="09A70072"/>
    <w:multiLevelType w:val="multilevel"/>
    <w:tmpl w:val="CCE85B6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0A510702"/>
    <w:multiLevelType w:val="hybridMultilevel"/>
    <w:tmpl w:val="FD5E9D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0AA173BF"/>
    <w:multiLevelType w:val="multilevel"/>
    <w:tmpl w:val="887EED66"/>
    <w:numStyleLink w:val="Tablenumbering"/>
  </w:abstractNum>
  <w:abstractNum w:abstractNumId="86" w15:restartNumberingAfterBreak="0">
    <w:nsid w:val="0B51584E"/>
    <w:multiLevelType w:val="multilevel"/>
    <w:tmpl w:val="887EED66"/>
    <w:numStyleLink w:val="Tablenumbering"/>
  </w:abstractNum>
  <w:abstractNum w:abstractNumId="87" w15:restartNumberingAfterBreak="0">
    <w:nsid w:val="0B5E3A9B"/>
    <w:multiLevelType w:val="multilevel"/>
    <w:tmpl w:val="1920214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0BC37667"/>
    <w:multiLevelType w:val="multilevel"/>
    <w:tmpl w:val="305EFFD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0BDE011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0" w15:restartNumberingAfterBreak="0">
    <w:nsid w:val="0C00100B"/>
    <w:multiLevelType w:val="multilevel"/>
    <w:tmpl w:val="81B8CFEC"/>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15:restartNumberingAfterBreak="0">
    <w:nsid w:val="0C1416AF"/>
    <w:multiLevelType w:val="multilevel"/>
    <w:tmpl w:val="FD7AD34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0C346AB3"/>
    <w:multiLevelType w:val="hybridMultilevel"/>
    <w:tmpl w:val="32101B14"/>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0C8610F8"/>
    <w:multiLevelType w:val="multilevel"/>
    <w:tmpl w:val="887EED66"/>
    <w:numStyleLink w:val="Tablenumbering"/>
  </w:abstractNum>
  <w:abstractNum w:abstractNumId="94" w15:restartNumberingAfterBreak="0">
    <w:nsid w:val="0CDD1C8B"/>
    <w:multiLevelType w:val="multilevel"/>
    <w:tmpl w:val="34109AB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0CE8425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15:restartNumberingAfterBreak="0">
    <w:nsid w:val="0CFB3BDF"/>
    <w:multiLevelType w:val="multilevel"/>
    <w:tmpl w:val="347AA138"/>
    <w:numStyleLink w:val="1ai"/>
  </w:abstractNum>
  <w:abstractNum w:abstractNumId="97" w15:restartNumberingAfterBreak="0">
    <w:nsid w:val="0D0943CE"/>
    <w:multiLevelType w:val="multilevel"/>
    <w:tmpl w:val="B298F92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0D1D4E73"/>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9" w15:restartNumberingAfterBreak="0">
    <w:nsid w:val="0D2F7A42"/>
    <w:multiLevelType w:val="multilevel"/>
    <w:tmpl w:val="887EED66"/>
    <w:numStyleLink w:val="Tablenumbering"/>
  </w:abstractNum>
  <w:abstractNum w:abstractNumId="100" w15:restartNumberingAfterBreak="0">
    <w:nsid w:val="0D692BD0"/>
    <w:multiLevelType w:val="multilevel"/>
    <w:tmpl w:val="887EED66"/>
    <w:numStyleLink w:val="Tablenumbering"/>
  </w:abstractNum>
  <w:abstractNum w:abstractNumId="101" w15:restartNumberingAfterBreak="0">
    <w:nsid w:val="0DA236D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2" w15:restartNumberingAfterBreak="0">
    <w:nsid w:val="0DA52157"/>
    <w:multiLevelType w:val="multilevel"/>
    <w:tmpl w:val="8F1226F0"/>
    <w:lvl w:ilvl="0">
      <w:start w:val="1"/>
      <w:numFmt w:val="lowerLetter"/>
      <w:lvlText w:val="(%1)"/>
      <w:lvlJc w:val="left"/>
      <w:rPr>
        <w:rFonts w:hint="default"/>
      </w:rPr>
    </w:lvl>
    <w:lvl w:ilvl="1">
      <w:start w:val="1"/>
      <w:numFmt w:val="lowerRoman"/>
      <w:lvlText w:val="(%2)"/>
      <w:lvlJc w:val="righ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0DEA6C41"/>
    <w:multiLevelType w:val="multilevel"/>
    <w:tmpl w:val="DAFA4BD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0E267EBF"/>
    <w:multiLevelType w:val="multilevel"/>
    <w:tmpl w:val="139A3C2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0E2721E8"/>
    <w:multiLevelType w:val="multilevel"/>
    <w:tmpl w:val="9092B28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0E7A1BFC"/>
    <w:multiLevelType w:val="multilevel"/>
    <w:tmpl w:val="887EED66"/>
    <w:numStyleLink w:val="Tablenumbering"/>
  </w:abstractNum>
  <w:abstractNum w:abstractNumId="107" w15:restartNumberingAfterBreak="0">
    <w:nsid w:val="0E8711CF"/>
    <w:multiLevelType w:val="multilevel"/>
    <w:tmpl w:val="A89296A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0E893F1B"/>
    <w:multiLevelType w:val="hybridMultilevel"/>
    <w:tmpl w:val="8236FAD8"/>
    <w:lvl w:ilvl="0" w:tplc="0C090001">
      <w:start w:val="1"/>
      <w:numFmt w:val="bullet"/>
      <w:lvlText w:val=""/>
      <w:lvlJc w:val="left"/>
      <w:pPr>
        <w:ind w:left="1291" w:hanging="360"/>
      </w:pPr>
      <w:rPr>
        <w:rFonts w:ascii="Symbol" w:hAnsi="Symbol" w:hint="default"/>
      </w:rPr>
    </w:lvl>
    <w:lvl w:ilvl="1" w:tplc="0C090003" w:tentative="1">
      <w:start w:val="1"/>
      <w:numFmt w:val="bullet"/>
      <w:lvlText w:val="o"/>
      <w:lvlJc w:val="left"/>
      <w:pPr>
        <w:ind w:left="2011" w:hanging="360"/>
      </w:pPr>
      <w:rPr>
        <w:rFonts w:ascii="Courier New" w:hAnsi="Courier New" w:cs="Courier New" w:hint="default"/>
      </w:rPr>
    </w:lvl>
    <w:lvl w:ilvl="2" w:tplc="0C090005" w:tentative="1">
      <w:start w:val="1"/>
      <w:numFmt w:val="bullet"/>
      <w:lvlText w:val=""/>
      <w:lvlJc w:val="left"/>
      <w:pPr>
        <w:ind w:left="2731" w:hanging="360"/>
      </w:pPr>
      <w:rPr>
        <w:rFonts w:ascii="Wingdings" w:hAnsi="Wingdings" w:hint="default"/>
      </w:rPr>
    </w:lvl>
    <w:lvl w:ilvl="3" w:tplc="0C090001" w:tentative="1">
      <w:start w:val="1"/>
      <w:numFmt w:val="bullet"/>
      <w:lvlText w:val=""/>
      <w:lvlJc w:val="left"/>
      <w:pPr>
        <w:ind w:left="3451" w:hanging="360"/>
      </w:pPr>
      <w:rPr>
        <w:rFonts w:ascii="Symbol" w:hAnsi="Symbol" w:hint="default"/>
      </w:rPr>
    </w:lvl>
    <w:lvl w:ilvl="4" w:tplc="0C090003" w:tentative="1">
      <w:start w:val="1"/>
      <w:numFmt w:val="bullet"/>
      <w:lvlText w:val="o"/>
      <w:lvlJc w:val="left"/>
      <w:pPr>
        <w:ind w:left="4171" w:hanging="360"/>
      </w:pPr>
      <w:rPr>
        <w:rFonts w:ascii="Courier New" w:hAnsi="Courier New" w:cs="Courier New" w:hint="default"/>
      </w:rPr>
    </w:lvl>
    <w:lvl w:ilvl="5" w:tplc="0C090005" w:tentative="1">
      <w:start w:val="1"/>
      <w:numFmt w:val="bullet"/>
      <w:lvlText w:val=""/>
      <w:lvlJc w:val="left"/>
      <w:pPr>
        <w:ind w:left="4891" w:hanging="360"/>
      </w:pPr>
      <w:rPr>
        <w:rFonts w:ascii="Wingdings" w:hAnsi="Wingdings" w:hint="default"/>
      </w:rPr>
    </w:lvl>
    <w:lvl w:ilvl="6" w:tplc="0C090001" w:tentative="1">
      <w:start w:val="1"/>
      <w:numFmt w:val="bullet"/>
      <w:lvlText w:val=""/>
      <w:lvlJc w:val="left"/>
      <w:pPr>
        <w:ind w:left="5611" w:hanging="360"/>
      </w:pPr>
      <w:rPr>
        <w:rFonts w:ascii="Symbol" w:hAnsi="Symbol" w:hint="default"/>
      </w:rPr>
    </w:lvl>
    <w:lvl w:ilvl="7" w:tplc="0C090003" w:tentative="1">
      <w:start w:val="1"/>
      <w:numFmt w:val="bullet"/>
      <w:lvlText w:val="o"/>
      <w:lvlJc w:val="left"/>
      <w:pPr>
        <w:ind w:left="6331" w:hanging="360"/>
      </w:pPr>
      <w:rPr>
        <w:rFonts w:ascii="Courier New" w:hAnsi="Courier New" w:cs="Courier New" w:hint="default"/>
      </w:rPr>
    </w:lvl>
    <w:lvl w:ilvl="8" w:tplc="0C090005" w:tentative="1">
      <w:start w:val="1"/>
      <w:numFmt w:val="bullet"/>
      <w:lvlText w:val=""/>
      <w:lvlJc w:val="left"/>
      <w:pPr>
        <w:ind w:left="7051" w:hanging="360"/>
      </w:pPr>
      <w:rPr>
        <w:rFonts w:ascii="Wingdings" w:hAnsi="Wingdings" w:hint="default"/>
      </w:rPr>
    </w:lvl>
  </w:abstractNum>
  <w:abstractNum w:abstractNumId="109" w15:restartNumberingAfterBreak="0">
    <w:nsid w:val="0EAC0167"/>
    <w:multiLevelType w:val="multilevel"/>
    <w:tmpl w:val="3F9A570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0EBE4C7F"/>
    <w:multiLevelType w:val="hybridMultilevel"/>
    <w:tmpl w:val="CD5CD590"/>
    <w:lvl w:ilvl="0" w:tplc="74264CF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0EC83947"/>
    <w:multiLevelType w:val="multilevel"/>
    <w:tmpl w:val="8BF49C3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0ED12AC2"/>
    <w:multiLevelType w:val="multilevel"/>
    <w:tmpl w:val="347AA138"/>
    <w:numStyleLink w:val="1ai"/>
  </w:abstractNum>
  <w:abstractNum w:abstractNumId="113" w15:restartNumberingAfterBreak="0">
    <w:nsid w:val="0ED35B3B"/>
    <w:multiLevelType w:val="multilevel"/>
    <w:tmpl w:val="35D8FD4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0EFB7268"/>
    <w:multiLevelType w:val="hybridMultilevel"/>
    <w:tmpl w:val="92984EB8"/>
    <w:lvl w:ilvl="0" w:tplc="44C0084C">
      <w:start w:val="1"/>
      <w:numFmt w:val="lowerRoman"/>
      <w:lvlText w:val="(%1)"/>
      <w:lvlJc w:val="left"/>
      <w:pPr>
        <w:ind w:left="1854" w:hanging="360"/>
      </w:pPr>
      <w:rPr>
        <w:rFonts w:hint="default"/>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115" w15:restartNumberingAfterBreak="0">
    <w:nsid w:val="0F381756"/>
    <w:multiLevelType w:val="multilevel"/>
    <w:tmpl w:val="4328B8F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0F4A2E2E"/>
    <w:multiLevelType w:val="multilevel"/>
    <w:tmpl w:val="347AA138"/>
    <w:numStyleLink w:val="1ai"/>
  </w:abstractNum>
  <w:abstractNum w:abstractNumId="117" w15:restartNumberingAfterBreak="0">
    <w:nsid w:val="0F710F1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8" w15:restartNumberingAfterBreak="0">
    <w:nsid w:val="0F86460C"/>
    <w:multiLevelType w:val="hybridMultilevel"/>
    <w:tmpl w:val="6D1664C2"/>
    <w:lvl w:ilvl="0" w:tplc="D3FE49EC">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9" w15:restartNumberingAfterBreak="0">
    <w:nsid w:val="0FD93014"/>
    <w:multiLevelType w:val="multilevel"/>
    <w:tmpl w:val="887EED66"/>
    <w:numStyleLink w:val="Tablenumbering"/>
  </w:abstractNum>
  <w:abstractNum w:abstractNumId="120" w15:restartNumberingAfterBreak="0">
    <w:nsid w:val="102F185B"/>
    <w:multiLevelType w:val="multilevel"/>
    <w:tmpl w:val="1D94134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10582DB9"/>
    <w:multiLevelType w:val="hybridMultilevel"/>
    <w:tmpl w:val="B770D660"/>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2" w15:restartNumberingAfterBreak="0">
    <w:nsid w:val="112D0FF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3" w15:restartNumberingAfterBreak="0">
    <w:nsid w:val="11510620"/>
    <w:multiLevelType w:val="multilevel"/>
    <w:tmpl w:val="887EED66"/>
    <w:numStyleLink w:val="Tablenumbering"/>
  </w:abstractNum>
  <w:abstractNum w:abstractNumId="124" w15:restartNumberingAfterBreak="0">
    <w:nsid w:val="11760F59"/>
    <w:multiLevelType w:val="multilevel"/>
    <w:tmpl w:val="887EED66"/>
    <w:numStyleLink w:val="Tablenumbering"/>
  </w:abstractNum>
  <w:abstractNum w:abstractNumId="125" w15:restartNumberingAfterBreak="0">
    <w:nsid w:val="118F5CC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6" w15:restartNumberingAfterBreak="0">
    <w:nsid w:val="11BC0B2B"/>
    <w:multiLevelType w:val="multilevel"/>
    <w:tmpl w:val="A694164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11D24AA2"/>
    <w:multiLevelType w:val="multilevel"/>
    <w:tmpl w:val="2B42E71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12487D8F"/>
    <w:multiLevelType w:val="multilevel"/>
    <w:tmpl w:val="295AD0C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1254558C"/>
    <w:multiLevelType w:val="multilevel"/>
    <w:tmpl w:val="2F5E885C"/>
    <w:lvl w:ilvl="0">
      <w:start w:val="2"/>
      <w:numFmt w:val="decimal"/>
      <w:lvlText w:val="%1."/>
      <w:lvlJc w:val="left"/>
      <w:pPr>
        <w:ind w:left="0" w:firstLine="0"/>
      </w:pPr>
      <w:rPr>
        <w:rFonts w:hint="default"/>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30" w15:restartNumberingAfterBreak="0">
    <w:nsid w:val="12631FB2"/>
    <w:multiLevelType w:val="multilevel"/>
    <w:tmpl w:val="9F32F32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1267345D"/>
    <w:multiLevelType w:val="multilevel"/>
    <w:tmpl w:val="455432F6"/>
    <w:lvl w:ilvl="0">
      <w:start w:val="1"/>
      <w:numFmt w:val="decimal"/>
      <w:lvlText w:val="%1."/>
      <w:lvlJc w:val="left"/>
    </w:lvl>
    <w:lvl w:ilvl="1">
      <w:start w:val="1"/>
      <w:numFmt w:val="lowerLetter"/>
      <w:lvlText w:val="(%2)"/>
      <w:lvlJc w:val="lef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126B47C4"/>
    <w:multiLevelType w:val="multilevel"/>
    <w:tmpl w:val="887EED66"/>
    <w:numStyleLink w:val="Tablenumbering"/>
  </w:abstractNum>
  <w:abstractNum w:abstractNumId="133" w15:restartNumberingAfterBreak="0">
    <w:nsid w:val="12D5240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4" w15:restartNumberingAfterBreak="0">
    <w:nsid w:val="12D93DBD"/>
    <w:multiLevelType w:val="multilevel"/>
    <w:tmpl w:val="887EED66"/>
    <w:numStyleLink w:val="Tablenumbering"/>
  </w:abstractNum>
  <w:abstractNum w:abstractNumId="135" w15:restartNumberingAfterBreak="0">
    <w:nsid w:val="131D7A47"/>
    <w:multiLevelType w:val="multilevel"/>
    <w:tmpl w:val="887EED66"/>
    <w:numStyleLink w:val="Tablenumbering"/>
  </w:abstractNum>
  <w:abstractNum w:abstractNumId="136" w15:restartNumberingAfterBreak="0">
    <w:nsid w:val="13333B0C"/>
    <w:multiLevelType w:val="multilevel"/>
    <w:tmpl w:val="7218718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1375287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8" w15:restartNumberingAfterBreak="0">
    <w:nsid w:val="13F55496"/>
    <w:multiLevelType w:val="multilevel"/>
    <w:tmpl w:val="8E3E72D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143B61A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0" w15:restartNumberingAfterBreak="0">
    <w:nsid w:val="1443723F"/>
    <w:multiLevelType w:val="multilevel"/>
    <w:tmpl w:val="887EED66"/>
    <w:numStyleLink w:val="Tablenumbering"/>
  </w:abstractNum>
  <w:abstractNum w:abstractNumId="141" w15:restartNumberingAfterBreak="0">
    <w:nsid w:val="14595482"/>
    <w:multiLevelType w:val="multilevel"/>
    <w:tmpl w:val="887EED66"/>
    <w:numStyleLink w:val="Tablenumbering"/>
  </w:abstractNum>
  <w:abstractNum w:abstractNumId="142" w15:restartNumberingAfterBreak="0">
    <w:nsid w:val="14A54031"/>
    <w:multiLevelType w:val="multilevel"/>
    <w:tmpl w:val="5860E20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14B63704"/>
    <w:multiLevelType w:val="multilevel"/>
    <w:tmpl w:val="0B3A306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14B80933"/>
    <w:multiLevelType w:val="multilevel"/>
    <w:tmpl w:val="ABC41F66"/>
    <w:lvl w:ilvl="0">
      <w:start w:val="1"/>
      <w:numFmt w:val="lowerLetter"/>
      <w:lvlText w:val="(%1)"/>
      <w:lvlJc w:val="left"/>
      <w:rPr>
        <w:rFonts w:hint="default"/>
      </w:rPr>
    </w:lvl>
    <w:lvl w:ilvl="1">
      <w:start w:val="1"/>
      <w:numFmt w:val="lowerRoman"/>
      <w:lvlText w:val="(%2)"/>
      <w:lvlJc w:val="righ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14CE495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6" w15:restartNumberingAfterBreak="0">
    <w:nsid w:val="150F0610"/>
    <w:multiLevelType w:val="multilevel"/>
    <w:tmpl w:val="887EED66"/>
    <w:numStyleLink w:val="Tablenumbering"/>
  </w:abstractNum>
  <w:abstractNum w:abstractNumId="147" w15:restartNumberingAfterBreak="0">
    <w:nsid w:val="152262E4"/>
    <w:multiLevelType w:val="multilevel"/>
    <w:tmpl w:val="DB82944A"/>
    <w:lvl w:ilvl="0">
      <w:start w:val="1"/>
      <w:numFmt w:val="decimal"/>
      <w:pStyle w:val="StyleListBulletBefore3pt"/>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8" w15:restartNumberingAfterBreak="0">
    <w:nsid w:val="15313B84"/>
    <w:multiLevelType w:val="multilevel"/>
    <w:tmpl w:val="887EED66"/>
    <w:numStyleLink w:val="Tablenumbering"/>
  </w:abstractNum>
  <w:abstractNum w:abstractNumId="149" w15:restartNumberingAfterBreak="0">
    <w:nsid w:val="157C6B99"/>
    <w:multiLevelType w:val="multilevel"/>
    <w:tmpl w:val="887EED66"/>
    <w:numStyleLink w:val="Tablenumbering"/>
  </w:abstractNum>
  <w:abstractNum w:abstractNumId="150" w15:restartNumberingAfterBreak="0">
    <w:nsid w:val="158A7939"/>
    <w:multiLevelType w:val="multilevel"/>
    <w:tmpl w:val="300A751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164C2454"/>
    <w:multiLevelType w:val="multilevel"/>
    <w:tmpl w:val="D348E718"/>
    <w:lvl w:ilvl="0">
      <w:start w:val="1"/>
      <w:numFmt w:val="decimal"/>
      <w:lvlText w:val="%1."/>
      <w:lvlJc w:val="left"/>
    </w:lvl>
    <w:lvl w:ilvl="1">
      <w:start w:val="1"/>
      <w:numFmt w:val="lowerLetter"/>
      <w:lvlText w:val="(%2)"/>
      <w:lvlJc w:val="lef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16770630"/>
    <w:multiLevelType w:val="multilevel"/>
    <w:tmpl w:val="43E06592"/>
    <w:lvl w:ilvl="0">
      <w:start w:val="1"/>
      <w:numFmt w:val="decimal"/>
      <w:lvlText w:val="%1."/>
      <w:lvlJc w:val="left"/>
    </w:lvl>
    <w:lvl w:ilvl="1">
      <w:start w:val="1"/>
      <w:numFmt w:val="lowerLetter"/>
      <w:lvlText w:val="(%2)"/>
      <w:lvlJc w:val="left"/>
      <w:rPr>
        <w:rFonts w:hint="default"/>
      </w:rPr>
    </w:lvl>
    <w:lvl w:ilvl="2">
      <w:start w:val="1"/>
      <w:numFmt w:val="lowerRoman"/>
      <w:lvlText w:val="(%3)"/>
      <w:lvlJc w:val="right"/>
      <w:rPr>
        <w:rFont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16835490"/>
    <w:multiLevelType w:val="multilevel"/>
    <w:tmpl w:val="887EED66"/>
    <w:numStyleLink w:val="Tablenumbering"/>
  </w:abstractNum>
  <w:abstractNum w:abstractNumId="154" w15:restartNumberingAfterBreak="0">
    <w:nsid w:val="173F7749"/>
    <w:multiLevelType w:val="multilevel"/>
    <w:tmpl w:val="887EED66"/>
    <w:numStyleLink w:val="Tablenumbering"/>
  </w:abstractNum>
  <w:abstractNum w:abstractNumId="155" w15:restartNumberingAfterBreak="0">
    <w:nsid w:val="17653ABA"/>
    <w:multiLevelType w:val="multilevel"/>
    <w:tmpl w:val="3770340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178877B8"/>
    <w:multiLevelType w:val="multilevel"/>
    <w:tmpl w:val="3D647150"/>
    <w:lvl w:ilvl="0">
      <w:start w:val="1"/>
      <w:numFmt w:val="decimal"/>
      <w:lvlText w:val="%1."/>
      <w:lvlJc w:val="left"/>
    </w:lvl>
    <w:lvl w:ilvl="1">
      <w:start w:val="1"/>
      <w:numFmt w:val="lowerLetter"/>
      <w:lvlText w:val="(%2)"/>
      <w:lvlJc w:val="left"/>
      <w:rPr>
        <w:rFonts w:hint="default"/>
      </w:rPr>
    </w:lvl>
    <w:lvl w:ilvl="2">
      <w:start w:val="1"/>
      <w:numFmt w:val="lowerRoman"/>
      <w:lvlText w:val="(%3)"/>
      <w:lvlJc w:val="right"/>
      <w:rPr>
        <w:rFont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179D2A18"/>
    <w:multiLevelType w:val="multilevel"/>
    <w:tmpl w:val="0450C62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17B36988"/>
    <w:multiLevelType w:val="multilevel"/>
    <w:tmpl w:val="347AA138"/>
    <w:numStyleLink w:val="1ai"/>
  </w:abstractNum>
  <w:abstractNum w:abstractNumId="159" w15:restartNumberingAfterBreak="0">
    <w:nsid w:val="17CC310E"/>
    <w:multiLevelType w:val="multilevel"/>
    <w:tmpl w:val="24C6440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18175D8B"/>
    <w:multiLevelType w:val="hybridMultilevel"/>
    <w:tmpl w:val="AC48EDE4"/>
    <w:lvl w:ilvl="0" w:tplc="4A12FC80">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61" w15:restartNumberingAfterBreak="0">
    <w:nsid w:val="18216882"/>
    <w:multiLevelType w:val="multilevel"/>
    <w:tmpl w:val="BCC699C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18367C9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3" w15:restartNumberingAfterBreak="0">
    <w:nsid w:val="18495F0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4" w15:restartNumberingAfterBreak="0">
    <w:nsid w:val="18AE7ED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5" w15:restartNumberingAfterBreak="0">
    <w:nsid w:val="18BC2394"/>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6" w15:restartNumberingAfterBreak="0">
    <w:nsid w:val="1931346A"/>
    <w:multiLevelType w:val="multilevel"/>
    <w:tmpl w:val="887EED66"/>
    <w:numStyleLink w:val="Tablenumbering"/>
  </w:abstractNum>
  <w:abstractNum w:abstractNumId="167" w15:restartNumberingAfterBreak="0">
    <w:nsid w:val="19504F42"/>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8" w15:restartNumberingAfterBreak="0">
    <w:nsid w:val="195745A8"/>
    <w:multiLevelType w:val="multilevel"/>
    <w:tmpl w:val="887EED66"/>
    <w:numStyleLink w:val="Tablenumbering"/>
  </w:abstractNum>
  <w:abstractNum w:abstractNumId="169" w15:restartNumberingAfterBreak="0">
    <w:nsid w:val="19592F4A"/>
    <w:multiLevelType w:val="multilevel"/>
    <w:tmpl w:val="ACFA8BD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197140DA"/>
    <w:multiLevelType w:val="multilevel"/>
    <w:tmpl w:val="7DE4F14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19B615D5"/>
    <w:multiLevelType w:val="hybridMultilevel"/>
    <w:tmpl w:val="C2C0B3EE"/>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2" w15:restartNumberingAfterBreak="0">
    <w:nsid w:val="1A0F731E"/>
    <w:multiLevelType w:val="hybridMultilevel"/>
    <w:tmpl w:val="C2C0B3EE"/>
    <w:lvl w:ilvl="0" w:tplc="4A12FC80">
      <w:start w:val="1"/>
      <w:numFmt w:val="lowerLetter"/>
      <w:lvlText w:val="(%1)"/>
      <w:lvlJc w:val="left"/>
      <w:pPr>
        <w:ind w:left="2250" w:hanging="360"/>
      </w:pPr>
      <w:rPr>
        <w:rFonts w:hint="default"/>
      </w:rPr>
    </w:lvl>
    <w:lvl w:ilvl="1" w:tplc="0C090019" w:tentative="1">
      <w:start w:val="1"/>
      <w:numFmt w:val="lowerLetter"/>
      <w:lvlText w:val="%2."/>
      <w:lvlJc w:val="left"/>
      <w:pPr>
        <w:ind w:left="2970" w:hanging="360"/>
      </w:pPr>
    </w:lvl>
    <w:lvl w:ilvl="2" w:tplc="0C09001B" w:tentative="1">
      <w:start w:val="1"/>
      <w:numFmt w:val="lowerRoman"/>
      <w:lvlText w:val="%3."/>
      <w:lvlJc w:val="right"/>
      <w:pPr>
        <w:ind w:left="3690" w:hanging="180"/>
      </w:pPr>
    </w:lvl>
    <w:lvl w:ilvl="3" w:tplc="0C09000F" w:tentative="1">
      <w:start w:val="1"/>
      <w:numFmt w:val="decimal"/>
      <w:lvlText w:val="%4."/>
      <w:lvlJc w:val="left"/>
      <w:pPr>
        <w:ind w:left="4410" w:hanging="360"/>
      </w:pPr>
    </w:lvl>
    <w:lvl w:ilvl="4" w:tplc="0C090019" w:tentative="1">
      <w:start w:val="1"/>
      <w:numFmt w:val="lowerLetter"/>
      <w:lvlText w:val="%5."/>
      <w:lvlJc w:val="left"/>
      <w:pPr>
        <w:ind w:left="5130" w:hanging="360"/>
      </w:pPr>
    </w:lvl>
    <w:lvl w:ilvl="5" w:tplc="0C09001B" w:tentative="1">
      <w:start w:val="1"/>
      <w:numFmt w:val="lowerRoman"/>
      <w:lvlText w:val="%6."/>
      <w:lvlJc w:val="right"/>
      <w:pPr>
        <w:ind w:left="5850" w:hanging="180"/>
      </w:pPr>
    </w:lvl>
    <w:lvl w:ilvl="6" w:tplc="0C09000F" w:tentative="1">
      <w:start w:val="1"/>
      <w:numFmt w:val="decimal"/>
      <w:lvlText w:val="%7."/>
      <w:lvlJc w:val="left"/>
      <w:pPr>
        <w:ind w:left="6570" w:hanging="360"/>
      </w:pPr>
    </w:lvl>
    <w:lvl w:ilvl="7" w:tplc="0C090019" w:tentative="1">
      <w:start w:val="1"/>
      <w:numFmt w:val="lowerLetter"/>
      <w:lvlText w:val="%8."/>
      <w:lvlJc w:val="left"/>
      <w:pPr>
        <w:ind w:left="7290" w:hanging="360"/>
      </w:pPr>
    </w:lvl>
    <w:lvl w:ilvl="8" w:tplc="0C09001B" w:tentative="1">
      <w:start w:val="1"/>
      <w:numFmt w:val="lowerRoman"/>
      <w:lvlText w:val="%9."/>
      <w:lvlJc w:val="right"/>
      <w:pPr>
        <w:ind w:left="8010" w:hanging="180"/>
      </w:pPr>
    </w:lvl>
  </w:abstractNum>
  <w:abstractNum w:abstractNumId="173" w15:restartNumberingAfterBreak="0">
    <w:nsid w:val="1A28343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4" w15:restartNumberingAfterBreak="0">
    <w:nsid w:val="1A5E4478"/>
    <w:multiLevelType w:val="multilevel"/>
    <w:tmpl w:val="325688A8"/>
    <w:lvl w:ilvl="0">
      <w:start w:val="1"/>
      <w:numFmt w:val="lowerLetter"/>
      <w:lvlText w:val="(%1)"/>
      <w:lvlJc w:val="left"/>
      <w:rPr>
        <w:rFonts w:hint="default"/>
      </w:rPr>
    </w:lvl>
    <w:lvl w:ilvl="1">
      <w:start w:val="1"/>
      <w:numFmt w:val="lowerRoman"/>
      <w:lvlText w:val="(%2)"/>
      <w:lvlJc w:val="righ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1B055018"/>
    <w:multiLevelType w:val="multilevel"/>
    <w:tmpl w:val="7802466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1B0C4D90"/>
    <w:multiLevelType w:val="multilevel"/>
    <w:tmpl w:val="347AA138"/>
    <w:numStyleLink w:val="1ai"/>
  </w:abstractNum>
  <w:abstractNum w:abstractNumId="177" w15:restartNumberingAfterBreak="0">
    <w:nsid w:val="1B430C8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8" w15:restartNumberingAfterBreak="0">
    <w:nsid w:val="1B816475"/>
    <w:multiLevelType w:val="multilevel"/>
    <w:tmpl w:val="887EED66"/>
    <w:numStyleLink w:val="Tablenumbering"/>
  </w:abstractNum>
  <w:abstractNum w:abstractNumId="179" w15:restartNumberingAfterBreak="0">
    <w:nsid w:val="1B8F6DAF"/>
    <w:multiLevelType w:val="multilevel"/>
    <w:tmpl w:val="887EED66"/>
    <w:numStyleLink w:val="Tablenumbering"/>
  </w:abstractNum>
  <w:abstractNum w:abstractNumId="180" w15:restartNumberingAfterBreak="0">
    <w:nsid w:val="1B942C6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1" w15:restartNumberingAfterBreak="0">
    <w:nsid w:val="1BA713DA"/>
    <w:multiLevelType w:val="multilevel"/>
    <w:tmpl w:val="9B5CA45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1BC053AC"/>
    <w:multiLevelType w:val="multilevel"/>
    <w:tmpl w:val="887EED66"/>
    <w:numStyleLink w:val="Tablenumbering"/>
  </w:abstractNum>
  <w:abstractNum w:abstractNumId="183" w15:restartNumberingAfterBreak="0">
    <w:nsid w:val="1BF81CE9"/>
    <w:multiLevelType w:val="multilevel"/>
    <w:tmpl w:val="1B366C9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1C23341E"/>
    <w:multiLevelType w:val="multilevel"/>
    <w:tmpl w:val="13BC6D3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1CCC6EBD"/>
    <w:multiLevelType w:val="multilevel"/>
    <w:tmpl w:val="887EED66"/>
    <w:numStyleLink w:val="Tablenumbering"/>
  </w:abstractNum>
  <w:abstractNum w:abstractNumId="186" w15:restartNumberingAfterBreak="0">
    <w:nsid w:val="1CDC6953"/>
    <w:multiLevelType w:val="multilevel"/>
    <w:tmpl w:val="887EED66"/>
    <w:numStyleLink w:val="Tablenumbering"/>
  </w:abstractNum>
  <w:abstractNum w:abstractNumId="187" w15:restartNumberingAfterBreak="0">
    <w:nsid w:val="1CDF4FF4"/>
    <w:multiLevelType w:val="multilevel"/>
    <w:tmpl w:val="1A243A9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1CFC15D6"/>
    <w:multiLevelType w:val="multilevel"/>
    <w:tmpl w:val="887EED66"/>
    <w:numStyleLink w:val="Tablenumbering"/>
  </w:abstractNum>
  <w:abstractNum w:abstractNumId="189" w15:restartNumberingAfterBreak="0">
    <w:nsid w:val="1D0B722C"/>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0" w15:restartNumberingAfterBreak="0">
    <w:nsid w:val="1D12646E"/>
    <w:multiLevelType w:val="multilevel"/>
    <w:tmpl w:val="C434AD7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1D8B06C7"/>
    <w:multiLevelType w:val="multilevel"/>
    <w:tmpl w:val="2708A10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1D9E7EDD"/>
    <w:multiLevelType w:val="multilevel"/>
    <w:tmpl w:val="887EED66"/>
    <w:numStyleLink w:val="Tablenumbering"/>
  </w:abstractNum>
  <w:abstractNum w:abstractNumId="193" w15:restartNumberingAfterBreak="0">
    <w:nsid w:val="1DC82BE9"/>
    <w:multiLevelType w:val="multilevel"/>
    <w:tmpl w:val="887EED66"/>
    <w:numStyleLink w:val="Tablenumbering"/>
  </w:abstractNum>
  <w:abstractNum w:abstractNumId="194" w15:restartNumberingAfterBreak="0">
    <w:nsid w:val="1ECF3483"/>
    <w:multiLevelType w:val="multilevel"/>
    <w:tmpl w:val="778A45F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1EEB6728"/>
    <w:multiLevelType w:val="hybridMultilevel"/>
    <w:tmpl w:val="4EA46BC6"/>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6" w15:restartNumberingAfterBreak="0">
    <w:nsid w:val="1EEF5FDF"/>
    <w:multiLevelType w:val="multilevel"/>
    <w:tmpl w:val="CDAA8B1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1EF84B67"/>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8" w15:restartNumberingAfterBreak="0">
    <w:nsid w:val="1F134A0B"/>
    <w:multiLevelType w:val="multilevel"/>
    <w:tmpl w:val="347AA138"/>
    <w:numStyleLink w:val="1ai"/>
  </w:abstractNum>
  <w:abstractNum w:abstractNumId="199" w15:restartNumberingAfterBreak="0">
    <w:nsid w:val="1F3A206A"/>
    <w:multiLevelType w:val="hybridMultilevel"/>
    <w:tmpl w:val="5EFEC864"/>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0" w15:restartNumberingAfterBreak="0">
    <w:nsid w:val="1F426080"/>
    <w:multiLevelType w:val="multilevel"/>
    <w:tmpl w:val="1F82121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1F675CC9"/>
    <w:multiLevelType w:val="multilevel"/>
    <w:tmpl w:val="BFB059C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1FA81729"/>
    <w:multiLevelType w:val="hybridMultilevel"/>
    <w:tmpl w:val="115A0228"/>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3" w15:restartNumberingAfterBreak="0">
    <w:nsid w:val="1FC4544D"/>
    <w:multiLevelType w:val="hybridMultilevel"/>
    <w:tmpl w:val="C49AF410"/>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4" w15:restartNumberingAfterBreak="0">
    <w:nsid w:val="1FCF114D"/>
    <w:multiLevelType w:val="multilevel"/>
    <w:tmpl w:val="887EED66"/>
    <w:numStyleLink w:val="Tablenumbering"/>
  </w:abstractNum>
  <w:abstractNum w:abstractNumId="205" w15:restartNumberingAfterBreak="0">
    <w:nsid w:val="201A2C7C"/>
    <w:multiLevelType w:val="multilevel"/>
    <w:tmpl w:val="887EED66"/>
    <w:numStyleLink w:val="Tablenumbering"/>
  </w:abstractNum>
  <w:abstractNum w:abstractNumId="206" w15:restartNumberingAfterBreak="0">
    <w:nsid w:val="206616B6"/>
    <w:multiLevelType w:val="multilevel"/>
    <w:tmpl w:val="9C8C563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20744CFC"/>
    <w:multiLevelType w:val="multilevel"/>
    <w:tmpl w:val="DB82944A"/>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20AB031F"/>
    <w:multiLevelType w:val="multilevel"/>
    <w:tmpl w:val="EE7A633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20DB2ED7"/>
    <w:multiLevelType w:val="hybridMultilevel"/>
    <w:tmpl w:val="50C27A08"/>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0" w15:restartNumberingAfterBreak="0">
    <w:nsid w:val="213D5D13"/>
    <w:multiLevelType w:val="multilevel"/>
    <w:tmpl w:val="734E0E8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214B00AF"/>
    <w:multiLevelType w:val="multilevel"/>
    <w:tmpl w:val="887EED66"/>
    <w:numStyleLink w:val="Tablenumbering"/>
  </w:abstractNum>
  <w:abstractNum w:abstractNumId="212" w15:restartNumberingAfterBreak="0">
    <w:nsid w:val="2249106D"/>
    <w:multiLevelType w:val="multilevel"/>
    <w:tmpl w:val="887EED66"/>
    <w:numStyleLink w:val="Tablenumbering"/>
  </w:abstractNum>
  <w:abstractNum w:abstractNumId="213" w15:restartNumberingAfterBreak="0">
    <w:nsid w:val="224B501F"/>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4" w15:restartNumberingAfterBreak="0">
    <w:nsid w:val="22AF3CBD"/>
    <w:multiLevelType w:val="multilevel"/>
    <w:tmpl w:val="887EED66"/>
    <w:numStyleLink w:val="Tablenumbering"/>
  </w:abstractNum>
  <w:abstractNum w:abstractNumId="215" w15:restartNumberingAfterBreak="0">
    <w:nsid w:val="22F71505"/>
    <w:multiLevelType w:val="multilevel"/>
    <w:tmpl w:val="887EED66"/>
    <w:numStyleLink w:val="Tablenumbering"/>
  </w:abstractNum>
  <w:abstractNum w:abstractNumId="216" w15:restartNumberingAfterBreak="0">
    <w:nsid w:val="231F032E"/>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7" w15:restartNumberingAfterBreak="0">
    <w:nsid w:val="23287E3A"/>
    <w:multiLevelType w:val="multilevel"/>
    <w:tmpl w:val="887EED66"/>
    <w:numStyleLink w:val="Tablenumbering"/>
  </w:abstractNum>
  <w:abstractNum w:abstractNumId="218" w15:restartNumberingAfterBreak="0">
    <w:nsid w:val="232E582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9" w15:restartNumberingAfterBreak="0">
    <w:nsid w:val="239D6FD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0" w15:restartNumberingAfterBreak="0">
    <w:nsid w:val="24243173"/>
    <w:multiLevelType w:val="multilevel"/>
    <w:tmpl w:val="FA9CF768"/>
    <w:lvl w:ilvl="0">
      <w:start w:val="1"/>
      <w:numFmt w:val="lowerLetter"/>
      <w:lvlText w:val="(%1)"/>
      <w:lvlJc w:val="left"/>
      <w:pPr>
        <w:tabs>
          <w:tab w:val="num" w:pos="567"/>
        </w:tabs>
        <w:ind w:left="567" w:hanging="567"/>
      </w:pPr>
      <w:rPr>
        <w:rFonts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1" w15:restartNumberingAfterBreak="0">
    <w:nsid w:val="243656E5"/>
    <w:multiLevelType w:val="multilevel"/>
    <w:tmpl w:val="2BE4278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245932FE"/>
    <w:multiLevelType w:val="multilevel"/>
    <w:tmpl w:val="887EED66"/>
    <w:numStyleLink w:val="Tablenumbering"/>
  </w:abstractNum>
  <w:abstractNum w:abstractNumId="223" w15:restartNumberingAfterBreak="0">
    <w:nsid w:val="245D4F0C"/>
    <w:multiLevelType w:val="multilevel"/>
    <w:tmpl w:val="BF74363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24614942"/>
    <w:multiLevelType w:val="multilevel"/>
    <w:tmpl w:val="887EED66"/>
    <w:numStyleLink w:val="Tablenumbering"/>
  </w:abstractNum>
  <w:abstractNum w:abstractNumId="225" w15:restartNumberingAfterBreak="0">
    <w:nsid w:val="24BF7F56"/>
    <w:multiLevelType w:val="hybridMultilevel"/>
    <w:tmpl w:val="AA96D38C"/>
    <w:lvl w:ilvl="0" w:tplc="ED186466">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26" w15:restartNumberingAfterBreak="0">
    <w:nsid w:val="252F3DD7"/>
    <w:multiLevelType w:val="multilevel"/>
    <w:tmpl w:val="B17A0164"/>
    <w:lvl w:ilvl="0">
      <w:start w:val="1"/>
      <w:numFmt w:val="lowerLetter"/>
      <w:lvlText w:val="(%1)"/>
      <w:lvlJc w:val="left"/>
      <w:rPr>
        <w:rFonts w:hint="default"/>
      </w:rPr>
    </w:lvl>
    <w:lvl w:ilvl="1">
      <w:start w:val="1"/>
      <w:numFmt w:val="lowerRoman"/>
      <w:lvlText w:val="(%2)"/>
      <w:lvlJc w:val="righ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2567192E"/>
    <w:multiLevelType w:val="multilevel"/>
    <w:tmpl w:val="7728D4F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25682D60"/>
    <w:multiLevelType w:val="multilevel"/>
    <w:tmpl w:val="3FCCED1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25712BB6"/>
    <w:multiLevelType w:val="hybridMultilevel"/>
    <w:tmpl w:val="3F529F20"/>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0" w15:restartNumberingAfterBreak="0">
    <w:nsid w:val="2582146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1" w15:restartNumberingAfterBreak="0">
    <w:nsid w:val="25863EC4"/>
    <w:multiLevelType w:val="multilevel"/>
    <w:tmpl w:val="347AA138"/>
    <w:numStyleLink w:val="1ai"/>
  </w:abstractNum>
  <w:abstractNum w:abstractNumId="232" w15:restartNumberingAfterBreak="0">
    <w:nsid w:val="25FF5A26"/>
    <w:multiLevelType w:val="hybridMultilevel"/>
    <w:tmpl w:val="6A0A5C06"/>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3" w15:restartNumberingAfterBreak="0">
    <w:nsid w:val="26F37B03"/>
    <w:multiLevelType w:val="multilevel"/>
    <w:tmpl w:val="887EED66"/>
    <w:numStyleLink w:val="Tablenumbering"/>
  </w:abstractNum>
  <w:abstractNum w:abstractNumId="234" w15:restartNumberingAfterBreak="0">
    <w:nsid w:val="2735505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5" w15:restartNumberingAfterBreak="0">
    <w:nsid w:val="273A0CCF"/>
    <w:multiLevelType w:val="multilevel"/>
    <w:tmpl w:val="887EED66"/>
    <w:numStyleLink w:val="Tablenumbering"/>
  </w:abstractNum>
  <w:abstractNum w:abstractNumId="236" w15:restartNumberingAfterBreak="0">
    <w:nsid w:val="275656A7"/>
    <w:multiLevelType w:val="multilevel"/>
    <w:tmpl w:val="887EED66"/>
    <w:numStyleLink w:val="Tablenumbering"/>
  </w:abstractNum>
  <w:abstractNum w:abstractNumId="237" w15:restartNumberingAfterBreak="0">
    <w:nsid w:val="277A2A45"/>
    <w:multiLevelType w:val="hybridMultilevel"/>
    <w:tmpl w:val="90A0D81C"/>
    <w:lvl w:ilvl="0" w:tplc="44C0084C">
      <w:start w:val="1"/>
      <w:numFmt w:val="lowerRoman"/>
      <w:lvlText w:val="(%1)"/>
      <w:lvlJc w:val="left"/>
      <w:pPr>
        <w:ind w:left="1854" w:hanging="360"/>
      </w:pPr>
      <w:rPr>
        <w:rFonts w:hint="default"/>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238" w15:restartNumberingAfterBreak="0">
    <w:nsid w:val="2794193E"/>
    <w:multiLevelType w:val="multilevel"/>
    <w:tmpl w:val="BD341C3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27A81034"/>
    <w:multiLevelType w:val="multilevel"/>
    <w:tmpl w:val="C08AF3E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27FD433A"/>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1" w15:restartNumberingAfterBreak="0">
    <w:nsid w:val="280B6A85"/>
    <w:multiLevelType w:val="multilevel"/>
    <w:tmpl w:val="2C9A873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2845104C"/>
    <w:multiLevelType w:val="multilevel"/>
    <w:tmpl w:val="E0C235C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28550D32"/>
    <w:multiLevelType w:val="multilevel"/>
    <w:tmpl w:val="49406AD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285E481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5" w15:restartNumberingAfterBreak="0">
    <w:nsid w:val="28851EA6"/>
    <w:multiLevelType w:val="multilevel"/>
    <w:tmpl w:val="4392B72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2893574A"/>
    <w:multiLevelType w:val="multilevel"/>
    <w:tmpl w:val="887EED66"/>
    <w:numStyleLink w:val="Tablenumbering"/>
  </w:abstractNum>
  <w:abstractNum w:abstractNumId="247" w15:restartNumberingAfterBreak="0">
    <w:nsid w:val="28C54CE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8" w15:restartNumberingAfterBreak="0">
    <w:nsid w:val="293A5D8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9" w15:restartNumberingAfterBreak="0">
    <w:nsid w:val="29E913C2"/>
    <w:multiLevelType w:val="multilevel"/>
    <w:tmpl w:val="887EED66"/>
    <w:styleLink w:val="Tablenumbering"/>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0" w15:restartNumberingAfterBreak="0">
    <w:nsid w:val="29F974F5"/>
    <w:multiLevelType w:val="multilevel"/>
    <w:tmpl w:val="AF1A1DD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2A00025D"/>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2" w15:restartNumberingAfterBreak="0">
    <w:nsid w:val="2A263020"/>
    <w:multiLevelType w:val="multilevel"/>
    <w:tmpl w:val="347AA138"/>
    <w:numStyleLink w:val="1ai"/>
  </w:abstractNum>
  <w:abstractNum w:abstractNumId="253" w15:restartNumberingAfterBreak="0">
    <w:nsid w:val="2A7C1F3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4" w15:restartNumberingAfterBreak="0">
    <w:nsid w:val="2AC45AD6"/>
    <w:multiLevelType w:val="multilevel"/>
    <w:tmpl w:val="FF60C84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2B451FA7"/>
    <w:multiLevelType w:val="multilevel"/>
    <w:tmpl w:val="8A00A1E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2B633B0F"/>
    <w:multiLevelType w:val="hybridMultilevel"/>
    <w:tmpl w:val="BA02742C"/>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7" w15:restartNumberingAfterBreak="0">
    <w:nsid w:val="2B813AFF"/>
    <w:multiLevelType w:val="multilevel"/>
    <w:tmpl w:val="887EED66"/>
    <w:numStyleLink w:val="Tablenumbering"/>
  </w:abstractNum>
  <w:abstractNum w:abstractNumId="258" w15:restartNumberingAfterBreak="0">
    <w:nsid w:val="2B896769"/>
    <w:multiLevelType w:val="hybridMultilevel"/>
    <w:tmpl w:val="FFE21D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9" w15:restartNumberingAfterBreak="0">
    <w:nsid w:val="2BDC6409"/>
    <w:multiLevelType w:val="multilevel"/>
    <w:tmpl w:val="9DD21B6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2BED55FF"/>
    <w:multiLevelType w:val="multilevel"/>
    <w:tmpl w:val="887EED66"/>
    <w:numStyleLink w:val="Tablenumbering"/>
  </w:abstractNum>
  <w:abstractNum w:abstractNumId="261" w15:restartNumberingAfterBreak="0">
    <w:nsid w:val="2C087059"/>
    <w:multiLevelType w:val="multilevel"/>
    <w:tmpl w:val="0A6888C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2C213B22"/>
    <w:multiLevelType w:val="multilevel"/>
    <w:tmpl w:val="887EED66"/>
    <w:numStyleLink w:val="Tablenumbering"/>
  </w:abstractNum>
  <w:abstractNum w:abstractNumId="263" w15:restartNumberingAfterBreak="0">
    <w:nsid w:val="2C2D76A6"/>
    <w:multiLevelType w:val="multilevel"/>
    <w:tmpl w:val="887EED66"/>
    <w:numStyleLink w:val="Tablenumbering"/>
  </w:abstractNum>
  <w:abstractNum w:abstractNumId="264" w15:restartNumberingAfterBreak="0">
    <w:nsid w:val="2C4519C7"/>
    <w:multiLevelType w:val="multilevel"/>
    <w:tmpl w:val="887EED66"/>
    <w:numStyleLink w:val="Tablenumbering"/>
  </w:abstractNum>
  <w:abstractNum w:abstractNumId="265" w15:restartNumberingAfterBreak="0">
    <w:nsid w:val="2C491F05"/>
    <w:multiLevelType w:val="multilevel"/>
    <w:tmpl w:val="A66ABB7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2C533565"/>
    <w:multiLevelType w:val="multilevel"/>
    <w:tmpl w:val="D18A4DB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2C5B6D43"/>
    <w:multiLevelType w:val="multilevel"/>
    <w:tmpl w:val="2F844AE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2C7367E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9" w15:restartNumberingAfterBreak="0">
    <w:nsid w:val="2CDB15C6"/>
    <w:multiLevelType w:val="multilevel"/>
    <w:tmpl w:val="887EED66"/>
    <w:numStyleLink w:val="Tablenumbering"/>
  </w:abstractNum>
  <w:abstractNum w:abstractNumId="270" w15:restartNumberingAfterBreak="0">
    <w:nsid w:val="2CF8725C"/>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1" w15:restartNumberingAfterBreak="0">
    <w:nsid w:val="2CFA412B"/>
    <w:multiLevelType w:val="multilevel"/>
    <w:tmpl w:val="68BC85F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2D041D15"/>
    <w:multiLevelType w:val="hybridMultilevel"/>
    <w:tmpl w:val="D5B89B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3" w15:restartNumberingAfterBreak="0">
    <w:nsid w:val="2D0F5548"/>
    <w:multiLevelType w:val="multilevel"/>
    <w:tmpl w:val="A9B2A2B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2D182799"/>
    <w:multiLevelType w:val="multilevel"/>
    <w:tmpl w:val="887EED66"/>
    <w:numStyleLink w:val="Tablenumbering"/>
  </w:abstractNum>
  <w:abstractNum w:abstractNumId="275" w15:restartNumberingAfterBreak="0">
    <w:nsid w:val="2D67077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6" w15:restartNumberingAfterBreak="0">
    <w:nsid w:val="2DF96E34"/>
    <w:multiLevelType w:val="hybridMultilevel"/>
    <w:tmpl w:val="C0BEED28"/>
    <w:lvl w:ilvl="0" w:tplc="DC94CDBC">
      <w:start w:val="1"/>
      <w:numFmt w:val="lowerRoman"/>
      <w:lvlText w:val="%1."/>
      <w:lvlJc w:val="right"/>
      <w:pPr>
        <w:ind w:left="720" w:hanging="360"/>
      </w:pPr>
      <w:rPr>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7" w15:restartNumberingAfterBreak="0">
    <w:nsid w:val="2E373FE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8" w15:restartNumberingAfterBreak="0">
    <w:nsid w:val="2E425B58"/>
    <w:multiLevelType w:val="multilevel"/>
    <w:tmpl w:val="887EED66"/>
    <w:numStyleLink w:val="Tablenumbering"/>
  </w:abstractNum>
  <w:abstractNum w:abstractNumId="279" w15:restartNumberingAfterBreak="0">
    <w:nsid w:val="2E564D6E"/>
    <w:multiLevelType w:val="multilevel"/>
    <w:tmpl w:val="347AA138"/>
    <w:numStyleLink w:val="1ai"/>
  </w:abstractNum>
  <w:abstractNum w:abstractNumId="280" w15:restartNumberingAfterBreak="0">
    <w:nsid w:val="2E604F88"/>
    <w:multiLevelType w:val="multilevel"/>
    <w:tmpl w:val="6C94D9C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2E814812"/>
    <w:multiLevelType w:val="multilevel"/>
    <w:tmpl w:val="5C1E44F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2E8B36EC"/>
    <w:multiLevelType w:val="multilevel"/>
    <w:tmpl w:val="887EED66"/>
    <w:numStyleLink w:val="Tablenumbering"/>
  </w:abstractNum>
  <w:abstractNum w:abstractNumId="283" w15:restartNumberingAfterBreak="0">
    <w:nsid w:val="2F71508E"/>
    <w:multiLevelType w:val="multilevel"/>
    <w:tmpl w:val="347AA138"/>
    <w:numStyleLink w:val="1ai"/>
  </w:abstractNum>
  <w:abstractNum w:abstractNumId="284" w15:restartNumberingAfterBreak="0">
    <w:nsid w:val="2F8A76EF"/>
    <w:multiLevelType w:val="multilevel"/>
    <w:tmpl w:val="347AA138"/>
    <w:numStyleLink w:val="1ai"/>
  </w:abstractNum>
  <w:abstractNum w:abstractNumId="285" w15:restartNumberingAfterBreak="0">
    <w:nsid w:val="2FB74E40"/>
    <w:multiLevelType w:val="multilevel"/>
    <w:tmpl w:val="9AB4539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15:restartNumberingAfterBreak="0">
    <w:nsid w:val="303A5B67"/>
    <w:multiLevelType w:val="multilevel"/>
    <w:tmpl w:val="887EED66"/>
    <w:numStyleLink w:val="Tablenumbering"/>
  </w:abstractNum>
  <w:abstractNum w:abstractNumId="287" w15:restartNumberingAfterBreak="0">
    <w:nsid w:val="30503C7D"/>
    <w:multiLevelType w:val="multilevel"/>
    <w:tmpl w:val="EAB4BBD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305579EA"/>
    <w:multiLevelType w:val="multilevel"/>
    <w:tmpl w:val="887EED66"/>
    <w:numStyleLink w:val="Tablenumbering"/>
  </w:abstractNum>
  <w:abstractNum w:abstractNumId="289" w15:restartNumberingAfterBreak="0">
    <w:nsid w:val="30E15456"/>
    <w:multiLevelType w:val="multilevel"/>
    <w:tmpl w:val="887EED66"/>
    <w:numStyleLink w:val="Tablenumbering"/>
  </w:abstractNum>
  <w:abstractNum w:abstractNumId="290" w15:restartNumberingAfterBreak="0">
    <w:nsid w:val="310B4221"/>
    <w:multiLevelType w:val="multilevel"/>
    <w:tmpl w:val="D7B26F3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3134437B"/>
    <w:multiLevelType w:val="hybridMultilevel"/>
    <w:tmpl w:val="3070C544"/>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2" w15:restartNumberingAfterBreak="0">
    <w:nsid w:val="31606495"/>
    <w:multiLevelType w:val="multilevel"/>
    <w:tmpl w:val="92765426"/>
    <w:lvl w:ilvl="0">
      <w:start w:val="1"/>
      <w:numFmt w:val="lowerLetter"/>
      <w:lvlText w:val="(%1)"/>
      <w:lvlJc w:val="left"/>
      <w:rPr>
        <w:rFonts w:hint="default"/>
      </w:rPr>
    </w:lvl>
    <w:lvl w:ilvl="1">
      <w:start w:val="1"/>
      <w:numFmt w:val="lowerRoman"/>
      <w:lvlText w:val="(%2)"/>
      <w:lvlJc w:val="righ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31A13820"/>
    <w:multiLevelType w:val="multilevel"/>
    <w:tmpl w:val="BDD0788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31D5066D"/>
    <w:multiLevelType w:val="multilevel"/>
    <w:tmpl w:val="347AA138"/>
    <w:numStyleLink w:val="1ai"/>
  </w:abstractNum>
  <w:abstractNum w:abstractNumId="295" w15:restartNumberingAfterBreak="0">
    <w:nsid w:val="31DA2FDF"/>
    <w:multiLevelType w:val="multilevel"/>
    <w:tmpl w:val="887EED66"/>
    <w:numStyleLink w:val="Tablenumbering"/>
  </w:abstractNum>
  <w:abstractNum w:abstractNumId="296" w15:restartNumberingAfterBreak="0">
    <w:nsid w:val="32081AB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7" w15:restartNumberingAfterBreak="0">
    <w:nsid w:val="321217E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8" w15:restartNumberingAfterBreak="0">
    <w:nsid w:val="321A5BDB"/>
    <w:multiLevelType w:val="multilevel"/>
    <w:tmpl w:val="6CF0A8E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32534EAD"/>
    <w:multiLevelType w:val="multilevel"/>
    <w:tmpl w:val="887EED66"/>
    <w:numStyleLink w:val="Tablenumbering"/>
  </w:abstractNum>
  <w:abstractNum w:abstractNumId="300" w15:restartNumberingAfterBreak="0">
    <w:nsid w:val="32842AA1"/>
    <w:multiLevelType w:val="multilevel"/>
    <w:tmpl w:val="887EED66"/>
    <w:numStyleLink w:val="Tablenumbering"/>
  </w:abstractNum>
  <w:abstractNum w:abstractNumId="301" w15:restartNumberingAfterBreak="0">
    <w:nsid w:val="32953900"/>
    <w:multiLevelType w:val="multilevel"/>
    <w:tmpl w:val="CC08FAE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15:restartNumberingAfterBreak="0">
    <w:nsid w:val="33242182"/>
    <w:multiLevelType w:val="multilevel"/>
    <w:tmpl w:val="887EED66"/>
    <w:numStyleLink w:val="Tablenumbering"/>
  </w:abstractNum>
  <w:abstractNum w:abstractNumId="303" w15:restartNumberingAfterBreak="0">
    <w:nsid w:val="33271DD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4" w15:restartNumberingAfterBreak="0">
    <w:nsid w:val="33E21303"/>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5" w15:restartNumberingAfterBreak="0">
    <w:nsid w:val="34572ED7"/>
    <w:multiLevelType w:val="multilevel"/>
    <w:tmpl w:val="855E0DF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346C5354"/>
    <w:multiLevelType w:val="multilevel"/>
    <w:tmpl w:val="6980AD70"/>
    <w:lvl w:ilvl="0">
      <w:start w:val="1"/>
      <w:numFmt w:val="lowerLetter"/>
      <w:lvlText w:val="(%1)"/>
      <w:lvlJc w:val="left"/>
      <w:rPr>
        <w:rFonts w:hint="default"/>
      </w:rPr>
    </w:lvl>
    <w:lvl w:ilvl="1">
      <w:start w:val="1"/>
      <w:numFmt w:val="lowerRoman"/>
      <w:lvlText w:val="(%2)"/>
      <w:lvlJc w:val="righ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34794987"/>
    <w:multiLevelType w:val="multilevel"/>
    <w:tmpl w:val="887EED66"/>
    <w:numStyleLink w:val="Tablenumbering"/>
  </w:abstractNum>
  <w:abstractNum w:abstractNumId="308" w15:restartNumberingAfterBreak="0">
    <w:nsid w:val="3480472C"/>
    <w:multiLevelType w:val="hybridMultilevel"/>
    <w:tmpl w:val="FC9457E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9" w15:restartNumberingAfterBreak="0">
    <w:nsid w:val="34B540B9"/>
    <w:multiLevelType w:val="multilevel"/>
    <w:tmpl w:val="A2FE9BA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34D20D4E"/>
    <w:multiLevelType w:val="multilevel"/>
    <w:tmpl w:val="2C4E0CA2"/>
    <w:lvl w:ilvl="0">
      <w:start w:val="1"/>
      <w:numFmt w:val="lowerLetter"/>
      <w:lvlText w:val="(%1)"/>
      <w:lvlJc w:val="left"/>
      <w:rPr>
        <w:rFonts w:hint="default"/>
      </w:rPr>
    </w:lvl>
    <w:lvl w:ilvl="1">
      <w:start w:val="1"/>
      <w:numFmt w:val="lowerRoman"/>
      <w:lvlText w:val="(%2)"/>
      <w:lvlJc w:val="righ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34E16592"/>
    <w:multiLevelType w:val="multilevel"/>
    <w:tmpl w:val="74FEB41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351A58C9"/>
    <w:multiLevelType w:val="multilevel"/>
    <w:tmpl w:val="5360F5D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3543014C"/>
    <w:multiLevelType w:val="multilevel"/>
    <w:tmpl w:val="887EED66"/>
    <w:numStyleLink w:val="Tablenumbering"/>
  </w:abstractNum>
  <w:abstractNum w:abstractNumId="314" w15:restartNumberingAfterBreak="0">
    <w:nsid w:val="35636531"/>
    <w:multiLevelType w:val="multilevel"/>
    <w:tmpl w:val="7362DE1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35720FA1"/>
    <w:multiLevelType w:val="multilevel"/>
    <w:tmpl w:val="09CC13B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35830F06"/>
    <w:multiLevelType w:val="multilevel"/>
    <w:tmpl w:val="E61ECB9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3590194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8" w15:restartNumberingAfterBreak="0">
    <w:nsid w:val="359D08CA"/>
    <w:multiLevelType w:val="multilevel"/>
    <w:tmpl w:val="A604690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35C57ACC"/>
    <w:multiLevelType w:val="multilevel"/>
    <w:tmpl w:val="887EED66"/>
    <w:numStyleLink w:val="Tablenumbering"/>
  </w:abstractNum>
  <w:abstractNum w:abstractNumId="320" w15:restartNumberingAfterBreak="0">
    <w:nsid w:val="35E55B75"/>
    <w:multiLevelType w:val="multilevel"/>
    <w:tmpl w:val="347AA138"/>
    <w:numStyleLink w:val="1ai"/>
  </w:abstractNum>
  <w:abstractNum w:abstractNumId="321" w15:restartNumberingAfterBreak="0">
    <w:nsid w:val="369E1BE5"/>
    <w:multiLevelType w:val="multilevel"/>
    <w:tmpl w:val="CAB06EC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15:restartNumberingAfterBreak="0">
    <w:nsid w:val="36D248EA"/>
    <w:multiLevelType w:val="multilevel"/>
    <w:tmpl w:val="887EED66"/>
    <w:numStyleLink w:val="Tablenumbering"/>
  </w:abstractNum>
  <w:abstractNum w:abstractNumId="323" w15:restartNumberingAfterBreak="0">
    <w:nsid w:val="36E4125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4" w15:restartNumberingAfterBreak="0">
    <w:nsid w:val="36F47CF7"/>
    <w:multiLevelType w:val="multilevel"/>
    <w:tmpl w:val="887EED66"/>
    <w:numStyleLink w:val="Tablenumbering"/>
  </w:abstractNum>
  <w:abstractNum w:abstractNumId="325" w15:restartNumberingAfterBreak="0">
    <w:nsid w:val="3719779A"/>
    <w:multiLevelType w:val="multilevel"/>
    <w:tmpl w:val="615C62E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15:restartNumberingAfterBreak="0">
    <w:nsid w:val="37544B5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7" w15:restartNumberingAfterBreak="0">
    <w:nsid w:val="376F5BC6"/>
    <w:multiLevelType w:val="multilevel"/>
    <w:tmpl w:val="12140EC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377A10AF"/>
    <w:multiLevelType w:val="multilevel"/>
    <w:tmpl w:val="6D18C99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377E2A6D"/>
    <w:multiLevelType w:val="multilevel"/>
    <w:tmpl w:val="F274D8C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15:restartNumberingAfterBreak="0">
    <w:nsid w:val="37917A20"/>
    <w:multiLevelType w:val="multilevel"/>
    <w:tmpl w:val="A2A6696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37D34696"/>
    <w:multiLevelType w:val="multilevel"/>
    <w:tmpl w:val="347AA138"/>
    <w:numStyleLink w:val="1ai"/>
  </w:abstractNum>
  <w:abstractNum w:abstractNumId="332" w15:restartNumberingAfterBreak="0">
    <w:nsid w:val="37F1562B"/>
    <w:multiLevelType w:val="multilevel"/>
    <w:tmpl w:val="B0C8979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37FB54A4"/>
    <w:multiLevelType w:val="multilevel"/>
    <w:tmpl w:val="01DCCA2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15:restartNumberingAfterBreak="0">
    <w:nsid w:val="383A47B1"/>
    <w:multiLevelType w:val="multilevel"/>
    <w:tmpl w:val="19AC3F3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385846DC"/>
    <w:multiLevelType w:val="multilevel"/>
    <w:tmpl w:val="77F8C56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389A19BF"/>
    <w:multiLevelType w:val="multilevel"/>
    <w:tmpl w:val="D2A0E6C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38C22FE9"/>
    <w:multiLevelType w:val="multilevel"/>
    <w:tmpl w:val="CF30235C"/>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38DD456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9" w15:restartNumberingAfterBreak="0">
    <w:nsid w:val="38E26467"/>
    <w:multiLevelType w:val="multilevel"/>
    <w:tmpl w:val="887EED66"/>
    <w:numStyleLink w:val="Tablenumbering"/>
  </w:abstractNum>
  <w:abstractNum w:abstractNumId="340" w15:restartNumberingAfterBreak="0">
    <w:nsid w:val="392F0E96"/>
    <w:multiLevelType w:val="multilevel"/>
    <w:tmpl w:val="887EED66"/>
    <w:numStyleLink w:val="Tablenumbering"/>
  </w:abstractNum>
  <w:abstractNum w:abstractNumId="341" w15:restartNumberingAfterBreak="0">
    <w:nsid w:val="397339E0"/>
    <w:multiLevelType w:val="multilevel"/>
    <w:tmpl w:val="FFC0FB1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398147BA"/>
    <w:multiLevelType w:val="multilevel"/>
    <w:tmpl w:val="81D088E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15:restartNumberingAfterBreak="0">
    <w:nsid w:val="3990012A"/>
    <w:multiLevelType w:val="multilevel"/>
    <w:tmpl w:val="887EED66"/>
    <w:numStyleLink w:val="Tablenumbering"/>
  </w:abstractNum>
  <w:abstractNum w:abstractNumId="344" w15:restartNumberingAfterBreak="0">
    <w:nsid w:val="39A827C7"/>
    <w:multiLevelType w:val="multilevel"/>
    <w:tmpl w:val="15D29B5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39AD4EDE"/>
    <w:multiLevelType w:val="multilevel"/>
    <w:tmpl w:val="347AA138"/>
    <w:numStyleLink w:val="1ai"/>
  </w:abstractNum>
  <w:abstractNum w:abstractNumId="346" w15:restartNumberingAfterBreak="0">
    <w:nsid w:val="39BD5585"/>
    <w:multiLevelType w:val="multilevel"/>
    <w:tmpl w:val="887EED66"/>
    <w:numStyleLink w:val="Tablenumbering"/>
  </w:abstractNum>
  <w:abstractNum w:abstractNumId="347" w15:restartNumberingAfterBreak="0">
    <w:nsid w:val="39DB4544"/>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8" w15:restartNumberingAfterBreak="0">
    <w:nsid w:val="39F414A2"/>
    <w:multiLevelType w:val="multilevel"/>
    <w:tmpl w:val="03E6E7F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3A18741A"/>
    <w:multiLevelType w:val="multilevel"/>
    <w:tmpl w:val="2A7AED5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3A4937B6"/>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1" w15:restartNumberingAfterBreak="0">
    <w:nsid w:val="3A4A700F"/>
    <w:multiLevelType w:val="multilevel"/>
    <w:tmpl w:val="347AA138"/>
    <w:numStyleLink w:val="1ai"/>
  </w:abstractNum>
  <w:abstractNum w:abstractNumId="352" w15:restartNumberingAfterBreak="0">
    <w:nsid w:val="3A614E2F"/>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3" w15:restartNumberingAfterBreak="0">
    <w:nsid w:val="3A993EF7"/>
    <w:multiLevelType w:val="multilevel"/>
    <w:tmpl w:val="887EED66"/>
    <w:numStyleLink w:val="Tablenumbering"/>
  </w:abstractNum>
  <w:abstractNum w:abstractNumId="354" w15:restartNumberingAfterBreak="0">
    <w:nsid w:val="3AD7094B"/>
    <w:multiLevelType w:val="hybridMultilevel"/>
    <w:tmpl w:val="6EC4BCA4"/>
    <w:lvl w:ilvl="0" w:tplc="4A12FC80">
      <w:start w:val="1"/>
      <w:numFmt w:val="lowerLetter"/>
      <w:lvlText w:val="(%1)"/>
      <w:lvlJc w:val="left"/>
      <w:pPr>
        <w:ind w:left="1353" w:hanging="360"/>
      </w:pPr>
      <w:rPr>
        <w:rFonts w:hint="default"/>
      </w:rPr>
    </w:lvl>
    <w:lvl w:ilvl="1" w:tplc="0C090019" w:tentative="1">
      <w:start w:val="1"/>
      <w:numFmt w:val="lowerLetter"/>
      <w:lvlText w:val="%2."/>
      <w:lvlJc w:val="left"/>
      <w:pPr>
        <w:ind w:left="2073" w:hanging="360"/>
      </w:pPr>
    </w:lvl>
    <w:lvl w:ilvl="2" w:tplc="0C09001B" w:tentative="1">
      <w:start w:val="1"/>
      <w:numFmt w:val="lowerRoman"/>
      <w:lvlText w:val="%3."/>
      <w:lvlJc w:val="right"/>
      <w:pPr>
        <w:ind w:left="2793" w:hanging="180"/>
      </w:pPr>
    </w:lvl>
    <w:lvl w:ilvl="3" w:tplc="0C09000F" w:tentative="1">
      <w:start w:val="1"/>
      <w:numFmt w:val="decimal"/>
      <w:lvlText w:val="%4."/>
      <w:lvlJc w:val="left"/>
      <w:pPr>
        <w:ind w:left="3513" w:hanging="360"/>
      </w:pPr>
    </w:lvl>
    <w:lvl w:ilvl="4" w:tplc="0C090019" w:tentative="1">
      <w:start w:val="1"/>
      <w:numFmt w:val="lowerLetter"/>
      <w:lvlText w:val="%5."/>
      <w:lvlJc w:val="left"/>
      <w:pPr>
        <w:ind w:left="4233" w:hanging="360"/>
      </w:pPr>
    </w:lvl>
    <w:lvl w:ilvl="5" w:tplc="0C09001B" w:tentative="1">
      <w:start w:val="1"/>
      <w:numFmt w:val="lowerRoman"/>
      <w:lvlText w:val="%6."/>
      <w:lvlJc w:val="right"/>
      <w:pPr>
        <w:ind w:left="4953" w:hanging="180"/>
      </w:pPr>
    </w:lvl>
    <w:lvl w:ilvl="6" w:tplc="0C09000F" w:tentative="1">
      <w:start w:val="1"/>
      <w:numFmt w:val="decimal"/>
      <w:lvlText w:val="%7."/>
      <w:lvlJc w:val="left"/>
      <w:pPr>
        <w:ind w:left="5673" w:hanging="360"/>
      </w:pPr>
    </w:lvl>
    <w:lvl w:ilvl="7" w:tplc="0C090019" w:tentative="1">
      <w:start w:val="1"/>
      <w:numFmt w:val="lowerLetter"/>
      <w:lvlText w:val="%8."/>
      <w:lvlJc w:val="left"/>
      <w:pPr>
        <w:ind w:left="6393" w:hanging="360"/>
      </w:pPr>
    </w:lvl>
    <w:lvl w:ilvl="8" w:tplc="0C09001B" w:tentative="1">
      <w:start w:val="1"/>
      <w:numFmt w:val="lowerRoman"/>
      <w:lvlText w:val="%9."/>
      <w:lvlJc w:val="right"/>
      <w:pPr>
        <w:ind w:left="7113" w:hanging="180"/>
      </w:pPr>
    </w:lvl>
  </w:abstractNum>
  <w:abstractNum w:abstractNumId="355" w15:restartNumberingAfterBreak="0">
    <w:nsid w:val="3AE77FC6"/>
    <w:multiLevelType w:val="multilevel"/>
    <w:tmpl w:val="887EED66"/>
    <w:numStyleLink w:val="Tablenumbering"/>
  </w:abstractNum>
  <w:abstractNum w:abstractNumId="356" w15:restartNumberingAfterBreak="0">
    <w:nsid w:val="3B032AD0"/>
    <w:multiLevelType w:val="multilevel"/>
    <w:tmpl w:val="887EED66"/>
    <w:numStyleLink w:val="Tablenumbering"/>
  </w:abstractNum>
  <w:abstractNum w:abstractNumId="357" w15:restartNumberingAfterBreak="0">
    <w:nsid w:val="3B817EAD"/>
    <w:multiLevelType w:val="multilevel"/>
    <w:tmpl w:val="887EED66"/>
    <w:numStyleLink w:val="Tablenumbering"/>
  </w:abstractNum>
  <w:abstractNum w:abstractNumId="358" w15:restartNumberingAfterBreak="0">
    <w:nsid w:val="3BB7101D"/>
    <w:multiLevelType w:val="multilevel"/>
    <w:tmpl w:val="E6B084E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15:restartNumberingAfterBreak="0">
    <w:nsid w:val="3BBA7B97"/>
    <w:multiLevelType w:val="hybridMultilevel"/>
    <w:tmpl w:val="56CC66B4"/>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0" w15:restartNumberingAfterBreak="0">
    <w:nsid w:val="3BCE1540"/>
    <w:multiLevelType w:val="multilevel"/>
    <w:tmpl w:val="347AA138"/>
    <w:numStyleLink w:val="1ai"/>
  </w:abstractNum>
  <w:abstractNum w:abstractNumId="361" w15:restartNumberingAfterBreak="0">
    <w:nsid w:val="3BEB6C57"/>
    <w:multiLevelType w:val="multilevel"/>
    <w:tmpl w:val="887EED66"/>
    <w:numStyleLink w:val="Tablenumbering"/>
  </w:abstractNum>
  <w:abstractNum w:abstractNumId="362" w15:restartNumberingAfterBreak="0">
    <w:nsid w:val="3C832B87"/>
    <w:multiLevelType w:val="multilevel"/>
    <w:tmpl w:val="887EED66"/>
    <w:numStyleLink w:val="Tablenumbering"/>
  </w:abstractNum>
  <w:abstractNum w:abstractNumId="363" w15:restartNumberingAfterBreak="0">
    <w:nsid w:val="3CF6587B"/>
    <w:multiLevelType w:val="multilevel"/>
    <w:tmpl w:val="2FDA4798"/>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15:restartNumberingAfterBreak="0">
    <w:nsid w:val="3D0B0AF1"/>
    <w:multiLevelType w:val="multilevel"/>
    <w:tmpl w:val="D8BC23C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15:restartNumberingAfterBreak="0">
    <w:nsid w:val="3D35620F"/>
    <w:multiLevelType w:val="multilevel"/>
    <w:tmpl w:val="A8322FDC"/>
    <w:lvl w:ilvl="0">
      <w:start w:val="1"/>
      <w:numFmt w:val="decimal"/>
      <w:lvlText w:val="%1."/>
      <w:lvlJc w:val="left"/>
    </w:lvl>
    <w:lvl w:ilvl="1">
      <w:start w:val="1"/>
      <w:numFmt w:val="lowerLetter"/>
      <w:lvlText w:val="(%2)"/>
      <w:lvlJc w:val="lef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15:restartNumberingAfterBreak="0">
    <w:nsid w:val="3D7C7C57"/>
    <w:multiLevelType w:val="multilevel"/>
    <w:tmpl w:val="2CC02BA4"/>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7" w15:restartNumberingAfterBreak="0">
    <w:nsid w:val="3DBF7DD1"/>
    <w:multiLevelType w:val="multilevel"/>
    <w:tmpl w:val="846A47E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15:restartNumberingAfterBreak="0">
    <w:nsid w:val="3DF35994"/>
    <w:multiLevelType w:val="hybridMultilevel"/>
    <w:tmpl w:val="749846A0"/>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9" w15:restartNumberingAfterBreak="0">
    <w:nsid w:val="3E0804E1"/>
    <w:multiLevelType w:val="multilevel"/>
    <w:tmpl w:val="982A2D2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15:restartNumberingAfterBreak="0">
    <w:nsid w:val="3E2E3B0D"/>
    <w:multiLevelType w:val="multilevel"/>
    <w:tmpl w:val="61428C4C"/>
    <w:styleLink w:val="SFList"/>
    <w:lvl w:ilvl="0">
      <w:start w:val="1"/>
      <w:numFmt w:val="decimal"/>
      <w:lvlText w:val="(%1)"/>
      <w:lvlJc w:val="left"/>
      <w:pPr>
        <w:tabs>
          <w:tab w:val="num" w:pos="454"/>
        </w:tabs>
        <w:ind w:left="454" w:hanging="454"/>
      </w:pPr>
      <w:rPr>
        <w:rFonts w:hint="default"/>
      </w:rPr>
    </w:lvl>
    <w:lvl w:ilvl="1">
      <w:start w:val="1"/>
      <w:numFmt w:val="lowerLetter"/>
      <w:lvlText w:val="(%2)"/>
      <w:lvlJc w:val="left"/>
      <w:pPr>
        <w:tabs>
          <w:tab w:val="num" w:pos="794"/>
        </w:tabs>
        <w:ind w:left="794" w:hanging="340"/>
      </w:pPr>
      <w:rPr>
        <w:rFonts w:hint="default"/>
      </w:rPr>
    </w:lvl>
    <w:lvl w:ilvl="2">
      <w:start w:val="1"/>
      <w:numFmt w:val="lowerRoman"/>
      <w:lvlText w:val="(%3)"/>
      <w:lvlJc w:val="left"/>
      <w:pPr>
        <w:tabs>
          <w:tab w:val="num" w:pos="1134"/>
        </w:tabs>
        <w:ind w:left="1134" w:hanging="34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1" w15:restartNumberingAfterBreak="0">
    <w:nsid w:val="3E3C3E03"/>
    <w:multiLevelType w:val="multilevel"/>
    <w:tmpl w:val="64B60DE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15:restartNumberingAfterBreak="0">
    <w:nsid w:val="3EC015A4"/>
    <w:multiLevelType w:val="multilevel"/>
    <w:tmpl w:val="938873E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15:restartNumberingAfterBreak="0">
    <w:nsid w:val="3F5D0DF0"/>
    <w:multiLevelType w:val="multilevel"/>
    <w:tmpl w:val="FEC459D2"/>
    <w:lvl w:ilvl="0">
      <w:start w:val="1"/>
      <w:numFmt w:val="decimal"/>
      <w:lvlText w:val="%1."/>
      <w:lvlJc w:val="left"/>
    </w:lvl>
    <w:lvl w:ilvl="1">
      <w:start w:val="1"/>
      <w:numFmt w:val="lowerLetter"/>
      <w:lvlText w:val="(%2)"/>
      <w:lvlJc w:val="lef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4" w15:restartNumberingAfterBreak="0">
    <w:nsid w:val="3F735003"/>
    <w:multiLevelType w:val="multilevel"/>
    <w:tmpl w:val="887EED66"/>
    <w:numStyleLink w:val="Tablenumbering"/>
  </w:abstractNum>
  <w:abstractNum w:abstractNumId="375" w15:restartNumberingAfterBreak="0">
    <w:nsid w:val="3FEF6D9F"/>
    <w:multiLevelType w:val="multilevel"/>
    <w:tmpl w:val="887EED66"/>
    <w:numStyleLink w:val="Tablenumbering"/>
  </w:abstractNum>
  <w:abstractNum w:abstractNumId="376" w15:restartNumberingAfterBreak="0">
    <w:nsid w:val="40136C88"/>
    <w:multiLevelType w:val="multilevel"/>
    <w:tmpl w:val="887EED66"/>
    <w:numStyleLink w:val="Tablenumbering"/>
  </w:abstractNum>
  <w:abstractNum w:abstractNumId="377" w15:restartNumberingAfterBreak="0">
    <w:nsid w:val="4045634A"/>
    <w:multiLevelType w:val="multilevel"/>
    <w:tmpl w:val="887EED66"/>
    <w:numStyleLink w:val="Tablenumbering"/>
  </w:abstractNum>
  <w:abstractNum w:abstractNumId="378" w15:restartNumberingAfterBreak="0">
    <w:nsid w:val="408A2D38"/>
    <w:multiLevelType w:val="multilevel"/>
    <w:tmpl w:val="EDF6A97C"/>
    <w:lvl w:ilvl="0">
      <w:numFmt w:val="decimal"/>
      <w:lvlText w:val=""/>
      <w:lvlJc w:val="left"/>
    </w:lvl>
    <w:lvl w:ilvl="1">
      <w:start w:val="1"/>
      <w:numFmt w:val="lowerLetter"/>
      <w:lvlText w:val="(%2)"/>
      <w:lvlJc w:val="left"/>
      <w:rPr>
        <w:rFonts w:hint="default"/>
      </w:rPr>
    </w:lvl>
    <w:lvl w:ilvl="2">
      <w:start w:val="1"/>
      <w:numFmt w:val="lowerRoman"/>
      <w:lvlText w:val="(%3)."/>
      <w:lvlJc w:val="right"/>
      <w:rPr>
        <w:rFont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9" w15:restartNumberingAfterBreak="0">
    <w:nsid w:val="409A1F0A"/>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0" w15:restartNumberingAfterBreak="0">
    <w:nsid w:val="40ED0A0A"/>
    <w:multiLevelType w:val="hybridMultilevel"/>
    <w:tmpl w:val="C70245B4"/>
    <w:lvl w:ilvl="0" w:tplc="ED186466">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81" w15:restartNumberingAfterBreak="0">
    <w:nsid w:val="41470B4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2" w15:restartNumberingAfterBreak="0">
    <w:nsid w:val="41EB1A5B"/>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3" w15:restartNumberingAfterBreak="0">
    <w:nsid w:val="420F7D64"/>
    <w:multiLevelType w:val="multilevel"/>
    <w:tmpl w:val="A58C7D5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Schedule %6"/>
      <w:lvlJc w:val="left"/>
      <w:pPr>
        <w:ind w:left="1080" w:hanging="1080"/>
      </w:pPr>
      <w:rPr>
        <w:rFonts w:ascii="Arial" w:eastAsiaTheme="majorEastAsia" w:hAnsi="Arial" w:cs="Arial"/>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4" w15:restartNumberingAfterBreak="0">
    <w:nsid w:val="421E2F6A"/>
    <w:multiLevelType w:val="multilevel"/>
    <w:tmpl w:val="887EED66"/>
    <w:numStyleLink w:val="Tablenumbering"/>
  </w:abstractNum>
  <w:abstractNum w:abstractNumId="385" w15:restartNumberingAfterBreak="0">
    <w:nsid w:val="42423198"/>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6" w15:restartNumberingAfterBreak="0">
    <w:nsid w:val="42686257"/>
    <w:multiLevelType w:val="multilevel"/>
    <w:tmpl w:val="347AA138"/>
    <w:numStyleLink w:val="1ai"/>
  </w:abstractNum>
  <w:abstractNum w:abstractNumId="387" w15:restartNumberingAfterBreak="0">
    <w:nsid w:val="426D23CD"/>
    <w:multiLevelType w:val="multilevel"/>
    <w:tmpl w:val="887EED66"/>
    <w:numStyleLink w:val="Tablenumbering"/>
  </w:abstractNum>
  <w:abstractNum w:abstractNumId="388" w15:restartNumberingAfterBreak="0">
    <w:nsid w:val="4278493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9" w15:restartNumberingAfterBreak="0">
    <w:nsid w:val="427E2AC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0" w15:restartNumberingAfterBreak="0">
    <w:nsid w:val="42847ED4"/>
    <w:multiLevelType w:val="hybridMultilevel"/>
    <w:tmpl w:val="71CAEEF8"/>
    <w:lvl w:ilvl="0" w:tplc="5A9464C0">
      <w:start w:val="1"/>
      <w:numFmt w:val="bullet"/>
      <w:lvlText w:val=""/>
      <w:lvlJc w:val="left"/>
      <w:pPr>
        <w:ind w:left="644" w:hanging="360"/>
      </w:pPr>
      <w:rPr>
        <w:rFonts w:ascii="Symbol" w:hAnsi="Symbol" w:hint="default"/>
        <w:color w:val="FF0000"/>
        <w:sz w:val="16"/>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91" w15:restartNumberingAfterBreak="0">
    <w:nsid w:val="4288150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2" w15:restartNumberingAfterBreak="0">
    <w:nsid w:val="429354BB"/>
    <w:multiLevelType w:val="multilevel"/>
    <w:tmpl w:val="347AA138"/>
    <w:numStyleLink w:val="1ai"/>
  </w:abstractNum>
  <w:abstractNum w:abstractNumId="393" w15:restartNumberingAfterBreak="0">
    <w:nsid w:val="42B02D7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4" w15:restartNumberingAfterBreak="0">
    <w:nsid w:val="42E3354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5" w15:restartNumberingAfterBreak="0">
    <w:nsid w:val="43205E80"/>
    <w:multiLevelType w:val="multilevel"/>
    <w:tmpl w:val="887EED66"/>
    <w:numStyleLink w:val="Tablenumbering"/>
  </w:abstractNum>
  <w:abstractNum w:abstractNumId="396" w15:restartNumberingAfterBreak="0">
    <w:nsid w:val="43763B45"/>
    <w:multiLevelType w:val="hybridMultilevel"/>
    <w:tmpl w:val="53F09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7" w15:restartNumberingAfterBreak="0">
    <w:nsid w:val="4376508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8" w15:restartNumberingAfterBreak="0">
    <w:nsid w:val="439D171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9" w15:restartNumberingAfterBreak="0">
    <w:nsid w:val="43B4004E"/>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0" w15:restartNumberingAfterBreak="0">
    <w:nsid w:val="44024529"/>
    <w:multiLevelType w:val="hybridMultilevel"/>
    <w:tmpl w:val="1B62DA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1" w15:restartNumberingAfterBreak="0">
    <w:nsid w:val="4475753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2" w15:restartNumberingAfterBreak="0">
    <w:nsid w:val="44792616"/>
    <w:multiLevelType w:val="multilevel"/>
    <w:tmpl w:val="887EED66"/>
    <w:numStyleLink w:val="Tablenumbering"/>
  </w:abstractNum>
  <w:abstractNum w:abstractNumId="403" w15:restartNumberingAfterBreak="0">
    <w:nsid w:val="44AC2DF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4" w15:restartNumberingAfterBreak="0">
    <w:nsid w:val="44EA191A"/>
    <w:multiLevelType w:val="multilevel"/>
    <w:tmpl w:val="AF9EDE84"/>
    <w:styleLink w:val="111111"/>
    <w:lvl w:ilvl="0">
      <w:start w:val="3"/>
      <w:numFmt w:val="decimal"/>
      <w:lvlText w:val="Part %1"/>
      <w:lvlJc w:val="left"/>
      <w:pPr>
        <w:tabs>
          <w:tab w:val="num" w:pos="851"/>
        </w:tabs>
        <w:ind w:left="851" w:hanging="851"/>
      </w:pPr>
      <w:rPr>
        <w:rFonts w:ascii="Arial Bold" w:hAnsi="Arial Bold" w:cs="Times New Roman" w:hint="default"/>
        <w:b/>
        <w:bCs w:val="0"/>
        <w:i w:val="0"/>
        <w:iCs w:val="0"/>
        <w:caps w:val="0"/>
        <w:smallCaps w:val="0"/>
        <w:strike w:val="0"/>
        <w:dstrike w:val="0"/>
        <w:outline w:val="0"/>
        <w:shadow w:val="0"/>
        <w:emboss w:val="0"/>
        <w:imprint w:val="0"/>
        <w:vanish w:val="0"/>
        <w:spacing w:val="0"/>
        <w:kern w:val="0"/>
        <w:position w:val="0"/>
        <w:sz w:val="32"/>
        <w:u w:val="none"/>
        <w:effect w:val="none"/>
        <w:vertAlign w:val="baseline"/>
        <w:em w:val="none"/>
        <w14:ligatures w14:val="none"/>
        <w14:numForm w14:val="default"/>
        <w14:numSpacing w14:val="default"/>
        <w14:stylisticSets/>
        <w14:cntxtAlts w14:val="0"/>
      </w:rPr>
    </w:lvl>
    <w:lvl w:ilvl="1">
      <w:start w:val="1"/>
      <w:numFmt w:val="decimal"/>
      <w:lvlText w:val="%1.%2"/>
      <w:lvlJc w:val="left"/>
      <w:pPr>
        <w:tabs>
          <w:tab w:val="num" w:pos="851"/>
        </w:tabs>
        <w:ind w:left="851" w:hanging="851"/>
      </w:pPr>
      <w:rPr>
        <w:rFonts w:ascii="Arial Bold" w:hAnsi="Arial Bold" w:cs="Times New Roman" w:hint="default"/>
        <w:b/>
        <w:bCs w:val="0"/>
        <w:i w:val="0"/>
        <w:iCs w:val="0"/>
        <w:caps w:val="0"/>
        <w:smallCaps w:val="0"/>
        <w:strike w:val="0"/>
        <w:dstrike w:val="0"/>
        <w:outline w:val="0"/>
        <w:shadow w:val="0"/>
        <w:emboss w:val="0"/>
        <w:imprint w:val="0"/>
        <w:vanish w:val="0"/>
        <w:spacing w:val="0"/>
        <w:kern w:val="0"/>
        <w:position w:val="0"/>
        <w:sz w:val="28"/>
        <w:u w:val="none"/>
        <w:effect w:val="none"/>
        <w:vertAlign w:val="baseline"/>
        <w:em w:val="none"/>
        <w14:ligatures w14:val="none"/>
        <w14:numForm w14:val="default"/>
        <w14:numSpacing w14:val="default"/>
        <w14:stylisticSets/>
        <w14:cntxtAlts w14:val="0"/>
      </w:rPr>
    </w:lvl>
    <w:lvl w:ilvl="2">
      <w:start w:val="1"/>
      <w:numFmt w:val="decimal"/>
      <w:lvlText w:val="%1.%2.%3"/>
      <w:lvlJc w:val="left"/>
      <w:pPr>
        <w:tabs>
          <w:tab w:val="num" w:pos="851"/>
        </w:tabs>
        <w:ind w:left="851" w:hanging="851"/>
      </w:pPr>
      <w:rPr>
        <w:rFonts w:ascii="Arial Bold" w:hAnsi="Arial Bold" w:hint="default"/>
        <w:b/>
        <w:i w:val="0"/>
        <w:sz w:val="24"/>
      </w:rPr>
    </w:lvl>
    <w:lvl w:ilvl="3">
      <w:start w:val="1"/>
      <w:numFmt w:val="decimal"/>
      <w:lvlText w:val="%1.%2.%3.%4"/>
      <w:lvlJc w:val="left"/>
      <w:pPr>
        <w:tabs>
          <w:tab w:val="num" w:pos="851"/>
        </w:tabs>
        <w:ind w:left="851" w:hanging="851"/>
      </w:pPr>
      <w:rPr>
        <w:rFonts w:ascii="Arial Bold" w:hAnsi="Arial Bold" w:hint="default"/>
        <w:b/>
        <w:i w:val="0"/>
        <w:sz w:val="20"/>
      </w:rPr>
    </w:lvl>
    <w:lvl w:ilvl="4">
      <w:start w:val="1"/>
      <w:numFmt w:val="none"/>
      <w:lvlText w:val=""/>
      <w:lvlJc w:val="left"/>
      <w:pPr>
        <w:tabs>
          <w:tab w:val="num" w:pos="567"/>
        </w:tabs>
        <w:ind w:left="0" w:firstLine="0"/>
      </w:pPr>
      <w:rPr>
        <w:rFonts w:ascii="Arial Bold" w:hAnsi="Arial Bold" w:hint="default"/>
        <w:b/>
        <w:i w:val="0"/>
        <w:sz w:val="32"/>
      </w:rPr>
    </w:lvl>
    <w:lvl w:ilvl="5">
      <w:start w:val="1"/>
      <w:numFmt w:val="decimal"/>
      <w:lvlText w:val="Schedule %6"/>
      <w:lvlJc w:val="left"/>
      <w:pPr>
        <w:tabs>
          <w:tab w:val="num" w:pos="851"/>
        </w:tabs>
        <w:ind w:left="851" w:hanging="851"/>
      </w:pPr>
      <w:rPr>
        <w:rFonts w:ascii="Arial Bold" w:hAnsi="Arial Bold" w:hint="default"/>
        <w:b/>
        <w:i w:val="0"/>
        <w:sz w:val="32"/>
      </w:rPr>
    </w:lvl>
    <w:lvl w:ilvl="6">
      <w:start w:val="1"/>
      <w:numFmt w:val="decimal"/>
      <w:lvlText w:val="SC%6.%7"/>
      <w:lvlJc w:val="left"/>
      <w:pPr>
        <w:tabs>
          <w:tab w:val="num" w:pos="851"/>
        </w:tabs>
        <w:ind w:left="851" w:hanging="851"/>
      </w:pPr>
      <w:rPr>
        <w:rFonts w:ascii="Arial Bold" w:hAnsi="Arial Bold" w:hint="default"/>
        <w:b/>
        <w:i w:val="0"/>
        <w:color w:val="auto"/>
        <w:sz w:val="28"/>
      </w:rPr>
    </w:lvl>
    <w:lvl w:ilvl="7">
      <w:start w:val="1"/>
      <w:numFmt w:val="decimal"/>
      <w:lvlText w:val="%1.%2.%3.%4.%5.%6.%7.%8"/>
      <w:lvlJc w:val="left"/>
      <w:pPr>
        <w:ind w:left="851" w:hanging="851"/>
      </w:pPr>
      <w:rPr>
        <w:rFonts w:hint="default"/>
      </w:rPr>
    </w:lvl>
    <w:lvl w:ilvl="8">
      <w:start w:val="1"/>
      <w:numFmt w:val="decimal"/>
      <w:lvlText w:val="%1.%2.%3.%4.%5.%6.%7.%8.%9"/>
      <w:lvlJc w:val="left"/>
      <w:pPr>
        <w:ind w:left="851" w:hanging="851"/>
      </w:pPr>
      <w:rPr>
        <w:rFonts w:hint="default"/>
      </w:rPr>
    </w:lvl>
  </w:abstractNum>
  <w:abstractNum w:abstractNumId="405" w15:restartNumberingAfterBreak="0">
    <w:nsid w:val="450F189F"/>
    <w:multiLevelType w:val="multilevel"/>
    <w:tmpl w:val="887EED66"/>
    <w:numStyleLink w:val="Tablenumbering"/>
  </w:abstractNum>
  <w:abstractNum w:abstractNumId="406" w15:restartNumberingAfterBreak="0">
    <w:nsid w:val="45127BF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7" w15:restartNumberingAfterBreak="0">
    <w:nsid w:val="4522609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8" w15:restartNumberingAfterBreak="0">
    <w:nsid w:val="452C6128"/>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9" w15:restartNumberingAfterBreak="0">
    <w:nsid w:val="4565791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0" w15:restartNumberingAfterBreak="0">
    <w:nsid w:val="45866BFA"/>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1" w15:restartNumberingAfterBreak="0">
    <w:nsid w:val="45B3293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2" w15:restartNumberingAfterBreak="0">
    <w:nsid w:val="45B865C2"/>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413" w15:restartNumberingAfterBreak="0">
    <w:nsid w:val="45C01B50"/>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4" w15:restartNumberingAfterBreak="0">
    <w:nsid w:val="45C26B09"/>
    <w:multiLevelType w:val="multilevel"/>
    <w:tmpl w:val="887EED66"/>
    <w:numStyleLink w:val="Tablenumbering"/>
  </w:abstractNum>
  <w:abstractNum w:abstractNumId="415" w15:restartNumberingAfterBreak="0">
    <w:nsid w:val="4616787D"/>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6" w15:restartNumberingAfterBreak="0">
    <w:nsid w:val="4621262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7" w15:restartNumberingAfterBreak="0">
    <w:nsid w:val="46741345"/>
    <w:multiLevelType w:val="multilevel"/>
    <w:tmpl w:val="347AA138"/>
    <w:numStyleLink w:val="1ai"/>
  </w:abstractNum>
  <w:abstractNum w:abstractNumId="418" w15:restartNumberingAfterBreak="0">
    <w:nsid w:val="471D6DB1"/>
    <w:multiLevelType w:val="multilevel"/>
    <w:tmpl w:val="347AA138"/>
    <w:numStyleLink w:val="1ai"/>
  </w:abstractNum>
  <w:abstractNum w:abstractNumId="419" w15:restartNumberingAfterBreak="0">
    <w:nsid w:val="47221A96"/>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0" w15:restartNumberingAfterBreak="0">
    <w:nsid w:val="476123CD"/>
    <w:multiLevelType w:val="multilevel"/>
    <w:tmpl w:val="730272CA"/>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1" w15:restartNumberingAfterBreak="0">
    <w:nsid w:val="477E7F6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2" w15:restartNumberingAfterBreak="0">
    <w:nsid w:val="47A7098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3" w15:restartNumberingAfterBreak="0">
    <w:nsid w:val="47BB04C5"/>
    <w:multiLevelType w:val="multilevel"/>
    <w:tmpl w:val="887EED66"/>
    <w:numStyleLink w:val="Tablenumbering"/>
  </w:abstractNum>
  <w:abstractNum w:abstractNumId="424" w15:restartNumberingAfterBreak="0">
    <w:nsid w:val="47FE174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5" w15:restartNumberingAfterBreak="0">
    <w:nsid w:val="484D74A2"/>
    <w:multiLevelType w:val="multilevel"/>
    <w:tmpl w:val="887EED66"/>
    <w:numStyleLink w:val="Tablenumbering"/>
  </w:abstractNum>
  <w:abstractNum w:abstractNumId="426" w15:restartNumberingAfterBreak="0">
    <w:nsid w:val="48C91E14"/>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7" w15:restartNumberingAfterBreak="0">
    <w:nsid w:val="48F10CD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8" w15:restartNumberingAfterBreak="0">
    <w:nsid w:val="48F364E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9" w15:restartNumberingAfterBreak="0">
    <w:nsid w:val="492006F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0" w15:restartNumberingAfterBreak="0">
    <w:nsid w:val="4957623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1" w15:restartNumberingAfterBreak="0">
    <w:nsid w:val="49EA4B4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2" w15:restartNumberingAfterBreak="0">
    <w:nsid w:val="4A01530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3" w15:restartNumberingAfterBreak="0">
    <w:nsid w:val="4A101D9F"/>
    <w:multiLevelType w:val="multilevel"/>
    <w:tmpl w:val="887EED66"/>
    <w:numStyleLink w:val="Tablenumbering"/>
  </w:abstractNum>
  <w:abstractNum w:abstractNumId="434" w15:restartNumberingAfterBreak="0">
    <w:nsid w:val="4A183F6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5" w15:restartNumberingAfterBreak="0">
    <w:nsid w:val="4A253F87"/>
    <w:multiLevelType w:val="multilevel"/>
    <w:tmpl w:val="887EED66"/>
    <w:numStyleLink w:val="Tablenumbering"/>
  </w:abstractNum>
  <w:abstractNum w:abstractNumId="436" w15:restartNumberingAfterBreak="0">
    <w:nsid w:val="4A3772E5"/>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7" w15:restartNumberingAfterBreak="0">
    <w:nsid w:val="4A3D5208"/>
    <w:multiLevelType w:val="multilevel"/>
    <w:tmpl w:val="887EED66"/>
    <w:numStyleLink w:val="Tablenumbering"/>
  </w:abstractNum>
  <w:abstractNum w:abstractNumId="438" w15:restartNumberingAfterBreak="0">
    <w:nsid w:val="4A3E67C3"/>
    <w:multiLevelType w:val="multilevel"/>
    <w:tmpl w:val="887EED66"/>
    <w:numStyleLink w:val="Tablenumbering"/>
  </w:abstractNum>
  <w:abstractNum w:abstractNumId="439" w15:restartNumberingAfterBreak="0">
    <w:nsid w:val="4A6F3DB9"/>
    <w:multiLevelType w:val="multilevel"/>
    <w:tmpl w:val="347AA138"/>
    <w:numStyleLink w:val="1ai"/>
  </w:abstractNum>
  <w:abstractNum w:abstractNumId="440" w15:restartNumberingAfterBreak="0">
    <w:nsid w:val="4AE97F0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1" w15:restartNumberingAfterBreak="0">
    <w:nsid w:val="4B071002"/>
    <w:multiLevelType w:val="multilevel"/>
    <w:tmpl w:val="887EED66"/>
    <w:numStyleLink w:val="Tablenumbering"/>
  </w:abstractNum>
  <w:abstractNum w:abstractNumId="442" w15:restartNumberingAfterBreak="0">
    <w:nsid w:val="4B304376"/>
    <w:multiLevelType w:val="multilevel"/>
    <w:tmpl w:val="887EED66"/>
    <w:numStyleLink w:val="Tablenumbering"/>
  </w:abstractNum>
  <w:abstractNum w:abstractNumId="443" w15:restartNumberingAfterBreak="0">
    <w:nsid w:val="4B734B4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4" w15:restartNumberingAfterBreak="0">
    <w:nsid w:val="4BEC5478"/>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445" w15:restartNumberingAfterBreak="0">
    <w:nsid w:val="4BFE1FE2"/>
    <w:multiLevelType w:val="multilevel"/>
    <w:tmpl w:val="347AA138"/>
    <w:numStyleLink w:val="1ai"/>
  </w:abstractNum>
  <w:abstractNum w:abstractNumId="446" w15:restartNumberingAfterBreak="0">
    <w:nsid w:val="4BFF4D5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7" w15:restartNumberingAfterBreak="0">
    <w:nsid w:val="4C2D1F6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8" w15:restartNumberingAfterBreak="0">
    <w:nsid w:val="4C3665A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9" w15:restartNumberingAfterBreak="0">
    <w:nsid w:val="4CC5667F"/>
    <w:multiLevelType w:val="multilevel"/>
    <w:tmpl w:val="887EED66"/>
    <w:numStyleLink w:val="Tablenumbering"/>
  </w:abstractNum>
  <w:abstractNum w:abstractNumId="450" w15:restartNumberingAfterBreak="0">
    <w:nsid w:val="4CED694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1" w15:restartNumberingAfterBreak="0">
    <w:nsid w:val="4D211FD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2" w15:restartNumberingAfterBreak="0">
    <w:nsid w:val="4D25516A"/>
    <w:multiLevelType w:val="multilevel"/>
    <w:tmpl w:val="887EED66"/>
    <w:numStyleLink w:val="Tablenumbering"/>
  </w:abstractNum>
  <w:abstractNum w:abstractNumId="453" w15:restartNumberingAfterBreak="0">
    <w:nsid w:val="4D4F09B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4" w15:restartNumberingAfterBreak="0">
    <w:nsid w:val="4DAF7E1F"/>
    <w:multiLevelType w:val="multilevel"/>
    <w:tmpl w:val="D33AE4BA"/>
    <w:lvl w:ilvl="0">
      <w:start w:val="1"/>
      <w:numFmt w:val="decimal"/>
      <w:pStyle w:val="Tablelist"/>
      <w:lvlText w:val="(%1)"/>
      <w:lvlJc w:val="left"/>
      <w:pPr>
        <w:ind w:left="360" w:hanging="360"/>
      </w:pPr>
      <w:rPr>
        <w:rFonts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5" w15:restartNumberingAfterBreak="0">
    <w:nsid w:val="4DD3689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6" w15:restartNumberingAfterBreak="0">
    <w:nsid w:val="4DD532E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7" w15:restartNumberingAfterBreak="0">
    <w:nsid w:val="4DEC0CA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8" w15:restartNumberingAfterBreak="0">
    <w:nsid w:val="4E0A123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9" w15:restartNumberingAfterBreak="0">
    <w:nsid w:val="4E0D1A9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0" w15:restartNumberingAfterBreak="0">
    <w:nsid w:val="4E14207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1" w15:restartNumberingAfterBreak="0">
    <w:nsid w:val="4E205B8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2" w15:restartNumberingAfterBreak="0">
    <w:nsid w:val="4E597EFF"/>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463" w15:restartNumberingAfterBreak="0">
    <w:nsid w:val="4EC63B9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4" w15:restartNumberingAfterBreak="0">
    <w:nsid w:val="4F0124C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5" w15:restartNumberingAfterBreak="0">
    <w:nsid w:val="4F397DC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6" w15:restartNumberingAfterBreak="0">
    <w:nsid w:val="4FA364C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7" w15:restartNumberingAfterBreak="0">
    <w:nsid w:val="4FD3262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8" w15:restartNumberingAfterBreak="0">
    <w:nsid w:val="4FE6789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9" w15:restartNumberingAfterBreak="0">
    <w:nsid w:val="502448C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0" w15:restartNumberingAfterBreak="0">
    <w:nsid w:val="5055251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1" w15:restartNumberingAfterBreak="0">
    <w:nsid w:val="506026E5"/>
    <w:multiLevelType w:val="multilevel"/>
    <w:tmpl w:val="347AA138"/>
    <w:numStyleLink w:val="1ai"/>
  </w:abstractNum>
  <w:abstractNum w:abstractNumId="472" w15:restartNumberingAfterBreak="0">
    <w:nsid w:val="508264C1"/>
    <w:multiLevelType w:val="multilevel"/>
    <w:tmpl w:val="887EED66"/>
    <w:numStyleLink w:val="Tablenumbering"/>
  </w:abstractNum>
  <w:abstractNum w:abstractNumId="473" w15:restartNumberingAfterBreak="0">
    <w:nsid w:val="5095241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4" w15:restartNumberingAfterBreak="0">
    <w:nsid w:val="50DC4EB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5" w15:restartNumberingAfterBreak="0">
    <w:nsid w:val="517668C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6" w15:restartNumberingAfterBreak="0">
    <w:nsid w:val="51AA3CF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7" w15:restartNumberingAfterBreak="0">
    <w:nsid w:val="51CF45A2"/>
    <w:multiLevelType w:val="multilevel"/>
    <w:tmpl w:val="887EED66"/>
    <w:numStyleLink w:val="Tablenumbering"/>
  </w:abstractNum>
  <w:abstractNum w:abstractNumId="478" w15:restartNumberingAfterBreak="0">
    <w:nsid w:val="51D64A71"/>
    <w:multiLevelType w:val="multilevel"/>
    <w:tmpl w:val="887EED66"/>
    <w:numStyleLink w:val="Tablenumbering"/>
  </w:abstractNum>
  <w:abstractNum w:abstractNumId="479" w15:restartNumberingAfterBreak="0">
    <w:nsid w:val="51E86B9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0" w15:restartNumberingAfterBreak="0">
    <w:nsid w:val="52472D6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1" w15:restartNumberingAfterBreak="0">
    <w:nsid w:val="5276432E"/>
    <w:multiLevelType w:val="multilevel"/>
    <w:tmpl w:val="887EED66"/>
    <w:numStyleLink w:val="Tablenumbering"/>
  </w:abstractNum>
  <w:abstractNum w:abstractNumId="482" w15:restartNumberingAfterBreak="0">
    <w:nsid w:val="52A55AE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3" w15:restartNumberingAfterBreak="0">
    <w:nsid w:val="52F0144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4" w15:restartNumberingAfterBreak="0">
    <w:nsid w:val="530D5645"/>
    <w:multiLevelType w:val="hybridMultilevel"/>
    <w:tmpl w:val="AAC032F8"/>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5" w15:restartNumberingAfterBreak="0">
    <w:nsid w:val="5317645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6" w15:restartNumberingAfterBreak="0">
    <w:nsid w:val="531772B2"/>
    <w:multiLevelType w:val="multilevel"/>
    <w:tmpl w:val="347AA138"/>
    <w:numStyleLink w:val="1ai"/>
  </w:abstractNum>
  <w:abstractNum w:abstractNumId="487" w15:restartNumberingAfterBreak="0">
    <w:nsid w:val="531C184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8" w15:restartNumberingAfterBreak="0">
    <w:nsid w:val="532746A0"/>
    <w:multiLevelType w:val="multilevel"/>
    <w:tmpl w:val="887EED66"/>
    <w:numStyleLink w:val="Tablenumbering"/>
  </w:abstractNum>
  <w:abstractNum w:abstractNumId="489" w15:restartNumberingAfterBreak="0">
    <w:nsid w:val="534012E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0" w15:restartNumberingAfterBreak="0">
    <w:nsid w:val="536C1D1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1" w15:restartNumberingAfterBreak="0">
    <w:nsid w:val="53802169"/>
    <w:multiLevelType w:val="multilevel"/>
    <w:tmpl w:val="887EED66"/>
    <w:numStyleLink w:val="Tablenumbering"/>
  </w:abstractNum>
  <w:abstractNum w:abstractNumId="492" w15:restartNumberingAfterBreak="0">
    <w:nsid w:val="53B932B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3" w15:restartNumberingAfterBreak="0">
    <w:nsid w:val="541A413C"/>
    <w:multiLevelType w:val="multilevel"/>
    <w:tmpl w:val="887EED66"/>
    <w:numStyleLink w:val="Tablenumbering"/>
  </w:abstractNum>
  <w:abstractNum w:abstractNumId="494" w15:restartNumberingAfterBreak="0">
    <w:nsid w:val="545174B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5" w15:restartNumberingAfterBreak="0">
    <w:nsid w:val="545B5D4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6" w15:restartNumberingAfterBreak="0">
    <w:nsid w:val="54661DC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7" w15:restartNumberingAfterBreak="0">
    <w:nsid w:val="54A33AF6"/>
    <w:multiLevelType w:val="hybridMultilevel"/>
    <w:tmpl w:val="5AEC74E0"/>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8" w15:restartNumberingAfterBreak="0">
    <w:nsid w:val="54D946C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9" w15:restartNumberingAfterBreak="0">
    <w:nsid w:val="554D2099"/>
    <w:multiLevelType w:val="multilevel"/>
    <w:tmpl w:val="887EED66"/>
    <w:numStyleLink w:val="Tablenumbering"/>
  </w:abstractNum>
  <w:abstractNum w:abstractNumId="500" w15:restartNumberingAfterBreak="0">
    <w:nsid w:val="5571227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1" w15:restartNumberingAfterBreak="0">
    <w:nsid w:val="55A862E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2" w15:restartNumberingAfterBreak="0">
    <w:nsid w:val="55AA1EA1"/>
    <w:multiLevelType w:val="multilevel"/>
    <w:tmpl w:val="887EED66"/>
    <w:numStyleLink w:val="Tablenumbering"/>
  </w:abstractNum>
  <w:abstractNum w:abstractNumId="503" w15:restartNumberingAfterBreak="0">
    <w:nsid w:val="55B36AB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4" w15:restartNumberingAfterBreak="0">
    <w:nsid w:val="55BC52A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5" w15:restartNumberingAfterBreak="0">
    <w:nsid w:val="55C52A92"/>
    <w:multiLevelType w:val="multilevel"/>
    <w:tmpl w:val="887EED66"/>
    <w:numStyleLink w:val="Tablenumbering"/>
  </w:abstractNum>
  <w:abstractNum w:abstractNumId="506" w15:restartNumberingAfterBreak="0">
    <w:nsid w:val="55F1421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7" w15:restartNumberingAfterBreak="0">
    <w:nsid w:val="560534E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8" w15:restartNumberingAfterBreak="0">
    <w:nsid w:val="56067E86"/>
    <w:multiLevelType w:val="multilevel"/>
    <w:tmpl w:val="347AA138"/>
    <w:numStyleLink w:val="1ai"/>
  </w:abstractNum>
  <w:abstractNum w:abstractNumId="509" w15:restartNumberingAfterBreak="0">
    <w:nsid w:val="561358B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0" w15:restartNumberingAfterBreak="0">
    <w:nsid w:val="5642710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1" w15:restartNumberingAfterBreak="0">
    <w:nsid w:val="567C2459"/>
    <w:multiLevelType w:val="multilevel"/>
    <w:tmpl w:val="347AA138"/>
    <w:styleLink w:val="1ai"/>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2" w15:restartNumberingAfterBreak="0">
    <w:nsid w:val="56CA489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3" w15:restartNumberingAfterBreak="0">
    <w:nsid w:val="56DA26F9"/>
    <w:multiLevelType w:val="multilevel"/>
    <w:tmpl w:val="887EED66"/>
    <w:numStyleLink w:val="Tablenumbering"/>
  </w:abstractNum>
  <w:abstractNum w:abstractNumId="514" w15:restartNumberingAfterBreak="0">
    <w:nsid w:val="56F368B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5" w15:restartNumberingAfterBreak="0">
    <w:nsid w:val="570B142B"/>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6" w15:restartNumberingAfterBreak="0">
    <w:nsid w:val="57227521"/>
    <w:multiLevelType w:val="hybridMultilevel"/>
    <w:tmpl w:val="370E8A4E"/>
    <w:lvl w:ilvl="0" w:tplc="DF6016C8">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7" w15:restartNumberingAfterBreak="0">
    <w:nsid w:val="57262468"/>
    <w:multiLevelType w:val="hybridMultilevel"/>
    <w:tmpl w:val="CD0A9D7E"/>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8" w15:restartNumberingAfterBreak="0">
    <w:nsid w:val="57412B95"/>
    <w:multiLevelType w:val="multilevel"/>
    <w:tmpl w:val="887EED66"/>
    <w:numStyleLink w:val="Tablenumbering"/>
  </w:abstractNum>
  <w:abstractNum w:abstractNumId="519" w15:restartNumberingAfterBreak="0">
    <w:nsid w:val="5764588D"/>
    <w:multiLevelType w:val="multilevel"/>
    <w:tmpl w:val="887EED66"/>
    <w:numStyleLink w:val="Tablenumbering"/>
  </w:abstractNum>
  <w:abstractNum w:abstractNumId="520" w15:restartNumberingAfterBreak="0">
    <w:nsid w:val="57A933F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1" w15:restartNumberingAfterBreak="0">
    <w:nsid w:val="57B1700A"/>
    <w:multiLevelType w:val="multilevel"/>
    <w:tmpl w:val="887EED66"/>
    <w:numStyleLink w:val="Tablenumbering"/>
  </w:abstractNum>
  <w:abstractNum w:abstractNumId="522" w15:restartNumberingAfterBreak="0">
    <w:nsid w:val="582A7D6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3" w15:restartNumberingAfterBreak="0">
    <w:nsid w:val="58736A7C"/>
    <w:multiLevelType w:val="multilevel"/>
    <w:tmpl w:val="094ADC6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color w:val="auto"/>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4" w15:restartNumberingAfterBreak="0">
    <w:nsid w:val="58741B08"/>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5" w15:restartNumberingAfterBreak="0">
    <w:nsid w:val="58FA49F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6" w15:restartNumberingAfterBreak="0">
    <w:nsid w:val="5902722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7" w15:restartNumberingAfterBreak="0">
    <w:nsid w:val="592E7330"/>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28" w15:restartNumberingAfterBreak="0">
    <w:nsid w:val="59611C2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9" w15:restartNumberingAfterBreak="0">
    <w:nsid w:val="597654E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0" w15:restartNumberingAfterBreak="0">
    <w:nsid w:val="5979340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1" w15:restartNumberingAfterBreak="0">
    <w:nsid w:val="599F726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2" w15:restartNumberingAfterBreak="0">
    <w:nsid w:val="59B652A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3" w15:restartNumberingAfterBreak="0">
    <w:nsid w:val="59D461F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4" w15:restartNumberingAfterBreak="0">
    <w:nsid w:val="5A147CB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5" w15:restartNumberingAfterBreak="0">
    <w:nsid w:val="5A4F43E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6" w15:restartNumberingAfterBreak="0">
    <w:nsid w:val="5A7F15CC"/>
    <w:multiLevelType w:val="multilevel"/>
    <w:tmpl w:val="347AA138"/>
    <w:numStyleLink w:val="1ai"/>
  </w:abstractNum>
  <w:abstractNum w:abstractNumId="537" w15:restartNumberingAfterBreak="0">
    <w:nsid w:val="5ADC7477"/>
    <w:multiLevelType w:val="multilevel"/>
    <w:tmpl w:val="887EED66"/>
    <w:numStyleLink w:val="Tablenumbering"/>
  </w:abstractNum>
  <w:abstractNum w:abstractNumId="538" w15:restartNumberingAfterBreak="0">
    <w:nsid w:val="5AEE310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9" w15:restartNumberingAfterBreak="0">
    <w:nsid w:val="5B4476D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0" w15:restartNumberingAfterBreak="0">
    <w:nsid w:val="5B48250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1" w15:restartNumberingAfterBreak="0">
    <w:nsid w:val="5B517FF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2" w15:restartNumberingAfterBreak="0">
    <w:nsid w:val="5B7F51F0"/>
    <w:multiLevelType w:val="hybridMultilevel"/>
    <w:tmpl w:val="6980D1BC"/>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3" w15:restartNumberingAfterBreak="0">
    <w:nsid w:val="5C0A403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4" w15:restartNumberingAfterBreak="0">
    <w:nsid w:val="5C155504"/>
    <w:multiLevelType w:val="multilevel"/>
    <w:tmpl w:val="887EED66"/>
    <w:numStyleLink w:val="Tablenumbering"/>
  </w:abstractNum>
  <w:abstractNum w:abstractNumId="545" w15:restartNumberingAfterBreak="0">
    <w:nsid w:val="5C8A638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6" w15:restartNumberingAfterBreak="0">
    <w:nsid w:val="5D1E016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7" w15:restartNumberingAfterBreak="0">
    <w:nsid w:val="5D4A18F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8" w15:restartNumberingAfterBreak="0">
    <w:nsid w:val="5DA9768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9" w15:restartNumberingAfterBreak="0">
    <w:nsid w:val="5DF3014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0" w15:restartNumberingAfterBreak="0">
    <w:nsid w:val="5E175F1B"/>
    <w:multiLevelType w:val="hybridMultilevel"/>
    <w:tmpl w:val="A05ED048"/>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1" w15:restartNumberingAfterBreak="0">
    <w:nsid w:val="5E413E8A"/>
    <w:multiLevelType w:val="multilevel"/>
    <w:tmpl w:val="63CAD0C8"/>
    <w:styleLink w:val="ArticleSection"/>
    <w:lvl w:ilvl="0">
      <w:start w:val="1"/>
      <w:numFmt w:val="none"/>
      <w:lvlText w:val=""/>
      <w:lvlJc w:val="left"/>
      <w:pPr>
        <w:tabs>
          <w:tab w:val="num" w:pos="851"/>
        </w:tabs>
        <w:ind w:left="851" w:hanging="851"/>
      </w:pPr>
      <w:rPr>
        <w:rFonts w:ascii="Arial Bold" w:hAnsi="Arial Bold" w:hint="default"/>
        <w:b/>
        <w:i w:val="0"/>
        <w:sz w:val="32"/>
      </w:rPr>
    </w:lvl>
    <w:lvl w:ilvl="1">
      <w:start w:val="1"/>
      <w:numFmt w:val="none"/>
      <w:isLgl/>
      <w:lvlText w:val=""/>
      <w:lvlJc w:val="left"/>
      <w:pPr>
        <w:tabs>
          <w:tab w:val="num" w:pos="1134"/>
        </w:tabs>
        <w:ind w:left="851" w:hanging="851"/>
      </w:pPr>
      <w:rPr>
        <w:rFonts w:ascii="Arial Bold" w:hAnsi="Arial Bold" w:hint="default"/>
        <w:b/>
        <w:i w:val="0"/>
        <w:sz w:val="32"/>
      </w:rPr>
    </w:lvl>
    <w:lvl w:ilvl="2">
      <w:start w:val="1"/>
      <w:numFmt w:val="decimal"/>
      <w:lvlRestart w:val="1"/>
      <w:lvlText w:val="%1"/>
      <w:lvlJc w:val="left"/>
      <w:pPr>
        <w:tabs>
          <w:tab w:val="num" w:pos="1134"/>
        </w:tabs>
        <w:ind w:left="851" w:hanging="851"/>
      </w:pPr>
      <w:rPr>
        <w:rFonts w:ascii="Arial Bold" w:hAnsi="Arial Bold" w:hint="default"/>
        <w:b/>
        <w:i w:val="0"/>
        <w:sz w:val="28"/>
      </w:rPr>
    </w:lvl>
    <w:lvl w:ilvl="3">
      <w:start w:val="1"/>
      <w:numFmt w:val="decimal"/>
      <w:lvlText w:val="%1"/>
      <w:lvlJc w:val="left"/>
      <w:pPr>
        <w:tabs>
          <w:tab w:val="num" w:pos="1134"/>
        </w:tabs>
        <w:ind w:left="851" w:hanging="851"/>
      </w:pPr>
      <w:rPr>
        <w:rFonts w:ascii="Arial Bold" w:hAnsi="Arial Bold" w:hint="default"/>
        <w:b/>
        <w:i w:val="0"/>
        <w:sz w:val="24"/>
      </w:rPr>
    </w:lvl>
    <w:lvl w:ilvl="4">
      <w:start w:val="1"/>
      <w:numFmt w:val="decimal"/>
      <w:lvlText w:val="%1"/>
      <w:lvlJc w:val="left"/>
      <w:pPr>
        <w:tabs>
          <w:tab w:val="num" w:pos="1134"/>
        </w:tabs>
        <w:ind w:left="851" w:hanging="851"/>
      </w:pPr>
      <w:rPr>
        <w:rFonts w:ascii="Arial Bold" w:hAnsi="Arial Bold" w:hint="default"/>
        <w:b/>
        <w:i w:val="0"/>
        <w:sz w:val="20"/>
      </w:rPr>
    </w:lvl>
    <w:lvl w:ilvl="5">
      <w:start w:val="1"/>
      <w:numFmt w:val="none"/>
      <w:lvlRestart w:val="1"/>
      <w:lvlText w:val=""/>
      <w:lvlJc w:val="left"/>
      <w:pPr>
        <w:tabs>
          <w:tab w:val="num" w:pos="1134"/>
        </w:tabs>
        <w:ind w:left="851" w:hanging="851"/>
      </w:pPr>
      <w:rPr>
        <w:rFonts w:ascii="Arial Bold" w:hAnsi="Arial Bold" w:hint="default"/>
        <w:b/>
        <w:i w:val="0"/>
        <w:sz w:val="20"/>
      </w:rPr>
    </w:lvl>
    <w:lvl w:ilvl="6">
      <w:start w:val="1"/>
      <w:numFmt w:val="none"/>
      <w:lvlRestart w:val="2"/>
      <w:lvlText w:val=""/>
      <w:lvlJc w:val="left"/>
      <w:pPr>
        <w:tabs>
          <w:tab w:val="num" w:pos="1134"/>
        </w:tabs>
        <w:ind w:left="851" w:hanging="851"/>
      </w:pPr>
      <w:rPr>
        <w:rFonts w:ascii="Arial Bold" w:hAnsi="Arial Bold" w:hint="default"/>
        <w:b/>
        <w:i w:val="0"/>
        <w:sz w:val="28"/>
      </w:rPr>
    </w:lvl>
    <w:lvl w:ilvl="7">
      <w:start w:val="1"/>
      <w:numFmt w:val="none"/>
      <w:lvlText w:val=""/>
      <w:lvlJc w:val="left"/>
      <w:pPr>
        <w:tabs>
          <w:tab w:val="num" w:pos="1134"/>
        </w:tabs>
        <w:ind w:left="851" w:hanging="851"/>
      </w:pPr>
      <w:rPr>
        <w:rFonts w:ascii="Arial Bold" w:hAnsi="Arial Bold" w:hint="default"/>
        <w:b/>
        <w:i w:val="0"/>
        <w:sz w:val="24"/>
      </w:rPr>
    </w:lvl>
    <w:lvl w:ilvl="8">
      <w:start w:val="1"/>
      <w:numFmt w:val="none"/>
      <w:lvlText w:val=""/>
      <w:lvlJc w:val="right"/>
      <w:pPr>
        <w:tabs>
          <w:tab w:val="num" w:pos="5387"/>
        </w:tabs>
        <w:ind w:left="5387" w:hanging="851"/>
      </w:pPr>
      <w:rPr>
        <w:rFonts w:hint="default"/>
      </w:rPr>
    </w:lvl>
  </w:abstractNum>
  <w:abstractNum w:abstractNumId="552" w15:restartNumberingAfterBreak="0">
    <w:nsid w:val="5E4839D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3" w15:restartNumberingAfterBreak="0">
    <w:nsid w:val="5E582436"/>
    <w:multiLevelType w:val="multilevel"/>
    <w:tmpl w:val="347AA138"/>
    <w:numStyleLink w:val="1ai"/>
  </w:abstractNum>
  <w:abstractNum w:abstractNumId="554" w15:restartNumberingAfterBreak="0">
    <w:nsid w:val="5E9C5622"/>
    <w:multiLevelType w:val="multilevel"/>
    <w:tmpl w:val="887EED66"/>
    <w:numStyleLink w:val="Tablenumbering"/>
  </w:abstractNum>
  <w:abstractNum w:abstractNumId="555" w15:restartNumberingAfterBreak="0">
    <w:nsid w:val="5F32556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6" w15:restartNumberingAfterBreak="0">
    <w:nsid w:val="5F6617E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7" w15:restartNumberingAfterBreak="0">
    <w:nsid w:val="5F7F4D39"/>
    <w:multiLevelType w:val="multilevel"/>
    <w:tmpl w:val="B5143D7C"/>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8" w15:restartNumberingAfterBreak="0">
    <w:nsid w:val="5F906074"/>
    <w:multiLevelType w:val="multilevel"/>
    <w:tmpl w:val="347AA138"/>
    <w:numStyleLink w:val="1ai"/>
  </w:abstractNum>
  <w:abstractNum w:abstractNumId="559" w15:restartNumberingAfterBreak="0">
    <w:nsid w:val="5F9A54CA"/>
    <w:multiLevelType w:val="hybridMultilevel"/>
    <w:tmpl w:val="9CA870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0" w15:restartNumberingAfterBreak="0">
    <w:nsid w:val="5FC716D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1" w15:restartNumberingAfterBreak="0">
    <w:nsid w:val="6000254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2" w15:restartNumberingAfterBreak="0">
    <w:nsid w:val="600F6F6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3" w15:restartNumberingAfterBreak="0">
    <w:nsid w:val="60277B5F"/>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64" w15:restartNumberingAfterBreak="0">
    <w:nsid w:val="607772A8"/>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65" w15:restartNumberingAfterBreak="0">
    <w:nsid w:val="608C1E20"/>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66" w15:restartNumberingAfterBreak="0">
    <w:nsid w:val="609D3DD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7" w15:restartNumberingAfterBreak="0">
    <w:nsid w:val="60A4311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8" w15:restartNumberingAfterBreak="0">
    <w:nsid w:val="60C76CF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9" w15:restartNumberingAfterBreak="0">
    <w:nsid w:val="60D04B09"/>
    <w:multiLevelType w:val="multilevel"/>
    <w:tmpl w:val="B666FE1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0" w15:restartNumberingAfterBreak="0">
    <w:nsid w:val="610A0C1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1" w15:restartNumberingAfterBreak="0">
    <w:nsid w:val="611B0439"/>
    <w:multiLevelType w:val="hybridMultilevel"/>
    <w:tmpl w:val="600ABB52"/>
    <w:lvl w:ilvl="0" w:tplc="ED18646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2" w15:restartNumberingAfterBreak="0">
    <w:nsid w:val="61246D23"/>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3" w15:restartNumberingAfterBreak="0">
    <w:nsid w:val="61302FAB"/>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4" w15:restartNumberingAfterBreak="0">
    <w:nsid w:val="614429D8"/>
    <w:multiLevelType w:val="multilevel"/>
    <w:tmpl w:val="347AA138"/>
    <w:numStyleLink w:val="1ai"/>
  </w:abstractNum>
  <w:abstractNum w:abstractNumId="575" w15:restartNumberingAfterBreak="0">
    <w:nsid w:val="614B4AF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6" w15:restartNumberingAfterBreak="0">
    <w:nsid w:val="61607C0B"/>
    <w:multiLevelType w:val="multilevel"/>
    <w:tmpl w:val="D5D866CA"/>
    <w:styleLink w:val="Bullets"/>
    <w:lvl w:ilvl="0">
      <w:start w:val="1"/>
      <w:numFmt w:val="bullet"/>
      <w:lvlText w:val=""/>
      <w:lvlJc w:val="left"/>
      <w:pPr>
        <w:tabs>
          <w:tab w:val="num" w:pos="284"/>
        </w:tabs>
        <w:ind w:left="284" w:hanging="284"/>
      </w:pPr>
      <w:rPr>
        <w:rFonts w:ascii="Symbol" w:hAnsi="Symbol"/>
        <w:color w:val="000000" w:themeColor="text1"/>
        <w:sz w:val="20"/>
      </w:rPr>
    </w:lvl>
    <w:lvl w:ilvl="1">
      <w:start w:val="1"/>
      <w:numFmt w:val="bullet"/>
      <w:lvlRestart w:val="0"/>
      <w:lvlText w:val=""/>
      <w:lvlJc w:val="left"/>
      <w:pPr>
        <w:tabs>
          <w:tab w:val="num" w:pos="851"/>
        </w:tabs>
        <w:ind w:left="851" w:hanging="284"/>
      </w:pPr>
      <w:rPr>
        <w:rFonts w:ascii="Symbol" w:hAnsi="Symbol" w:hint="default"/>
      </w:rPr>
    </w:lvl>
    <w:lvl w:ilvl="2">
      <w:start w:val="1"/>
      <w:numFmt w:val="bullet"/>
      <w:lvlRestart w:val="0"/>
      <w:lvlText w:val=""/>
      <w:lvlJc w:val="left"/>
      <w:pPr>
        <w:tabs>
          <w:tab w:val="num" w:pos="1418"/>
        </w:tabs>
        <w:ind w:left="1418" w:hanging="284"/>
      </w:pPr>
      <w:rPr>
        <w:rFonts w:ascii="Symbol" w:hAnsi="Symbol" w:hint="default"/>
      </w:rPr>
    </w:lvl>
    <w:lvl w:ilvl="3">
      <w:start w:val="1"/>
      <w:numFmt w:val="bullet"/>
      <w:lvlRestart w:val="0"/>
      <w:lvlText w:val=""/>
      <w:lvlJc w:val="left"/>
      <w:pPr>
        <w:tabs>
          <w:tab w:val="num" w:pos="1985"/>
        </w:tabs>
        <w:ind w:left="1985" w:hanging="284"/>
      </w:pPr>
      <w:rPr>
        <w:rFonts w:ascii="Symbol" w:hAnsi="Symbol" w:hint="default"/>
      </w:rPr>
    </w:lvl>
    <w:lvl w:ilvl="4">
      <w:start w:val="1"/>
      <w:numFmt w:val="bullet"/>
      <w:lvlText w:val="o"/>
      <w:lvlJc w:val="left"/>
      <w:pPr>
        <w:ind w:left="5400" w:hanging="360"/>
      </w:pPr>
      <w:rPr>
        <w:rFonts w:ascii="Courier New" w:hAnsi="Courier New" w:cs="Courier New" w:hint="default"/>
      </w:rPr>
    </w:lvl>
    <w:lvl w:ilvl="5">
      <w:start w:val="1"/>
      <w:numFmt w:val="bullet"/>
      <w:lvlText w:val=""/>
      <w:lvlJc w:val="left"/>
      <w:pPr>
        <w:ind w:left="6120" w:hanging="360"/>
      </w:pPr>
      <w:rPr>
        <w:rFonts w:ascii="Wingdings" w:hAnsi="Wingdings" w:hint="default"/>
      </w:rPr>
    </w:lvl>
    <w:lvl w:ilvl="6">
      <w:start w:val="1"/>
      <w:numFmt w:val="bullet"/>
      <w:lvlText w:val=""/>
      <w:lvlJc w:val="left"/>
      <w:pPr>
        <w:ind w:left="6840" w:hanging="360"/>
      </w:pPr>
      <w:rPr>
        <w:rFonts w:ascii="Symbol" w:hAnsi="Symbol" w:hint="default"/>
      </w:rPr>
    </w:lvl>
    <w:lvl w:ilvl="7">
      <w:start w:val="1"/>
      <w:numFmt w:val="bullet"/>
      <w:lvlText w:val="o"/>
      <w:lvlJc w:val="left"/>
      <w:pPr>
        <w:ind w:left="7560" w:hanging="360"/>
      </w:pPr>
      <w:rPr>
        <w:rFonts w:ascii="Courier New" w:hAnsi="Courier New" w:cs="Courier New" w:hint="default"/>
      </w:rPr>
    </w:lvl>
    <w:lvl w:ilvl="8">
      <w:start w:val="1"/>
      <w:numFmt w:val="bullet"/>
      <w:lvlText w:val=""/>
      <w:lvlJc w:val="left"/>
      <w:pPr>
        <w:ind w:left="8280" w:hanging="360"/>
      </w:pPr>
      <w:rPr>
        <w:rFonts w:ascii="Wingdings" w:hAnsi="Wingdings" w:hint="default"/>
      </w:rPr>
    </w:lvl>
  </w:abstractNum>
  <w:abstractNum w:abstractNumId="577" w15:restartNumberingAfterBreak="0">
    <w:nsid w:val="616E7EB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8" w15:restartNumberingAfterBreak="0">
    <w:nsid w:val="6187539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9" w15:restartNumberingAfterBreak="0">
    <w:nsid w:val="618A3E91"/>
    <w:multiLevelType w:val="multilevel"/>
    <w:tmpl w:val="5950BDB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0" w15:restartNumberingAfterBreak="0">
    <w:nsid w:val="6193032A"/>
    <w:multiLevelType w:val="multilevel"/>
    <w:tmpl w:val="887EED66"/>
    <w:numStyleLink w:val="Tablenumbering"/>
  </w:abstractNum>
  <w:abstractNum w:abstractNumId="581" w15:restartNumberingAfterBreak="0">
    <w:nsid w:val="61931378"/>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82" w15:restartNumberingAfterBreak="0">
    <w:nsid w:val="61943FD5"/>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3" w15:restartNumberingAfterBreak="0">
    <w:nsid w:val="61972EC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4" w15:restartNumberingAfterBreak="0">
    <w:nsid w:val="61F6658A"/>
    <w:multiLevelType w:val="hybridMultilevel"/>
    <w:tmpl w:val="DCCADEC0"/>
    <w:lvl w:ilvl="0" w:tplc="16647914">
      <w:start w:val="1"/>
      <w:numFmt w:val="bullet"/>
      <w:lvlText w:val=""/>
      <w:lvlJc w:val="left"/>
      <w:pPr>
        <w:ind w:left="720" w:hanging="360"/>
      </w:pPr>
      <w:rPr>
        <w:rFonts w:ascii="Symbol" w:hAnsi="Symbol" w:hint="default"/>
        <w:color w:val="F79646" w:themeColor="accent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5" w15:restartNumberingAfterBreak="0">
    <w:nsid w:val="6219154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6" w15:restartNumberingAfterBreak="0">
    <w:nsid w:val="622609ED"/>
    <w:multiLevelType w:val="hybridMultilevel"/>
    <w:tmpl w:val="DB9214DC"/>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7" w15:restartNumberingAfterBreak="0">
    <w:nsid w:val="623B379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8" w15:restartNumberingAfterBreak="0">
    <w:nsid w:val="62466108"/>
    <w:multiLevelType w:val="multilevel"/>
    <w:tmpl w:val="347AA138"/>
    <w:numStyleLink w:val="1ai"/>
  </w:abstractNum>
  <w:abstractNum w:abstractNumId="589" w15:restartNumberingAfterBreak="0">
    <w:nsid w:val="625F125B"/>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0" w15:restartNumberingAfterBreak="0">
    <w:nsid w:val="627F611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1" w15:restartNumberingAfterBreak="0">
    <w:nsid w:val="62B222A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2" w15:restartNumberingAfterBreak="0">
    <w:nsid w:val="62B34908"/>
    <w:multiLevelType w:val="multilevel"/>
    <w:tmpl w:val="887EED66"/>
    <w:numStyleLink w:val="Tablenumbering"/>
  </w:abstractNum>
  <w:abstractNum w:abstractNumId="593" w15:restartNumberingAfterBreak="0">
    <w:nsid w:val="62D5566D"/>
    <w:multiLevelType w:val="multilevel"/>
    <w:tmpl w:val="C8F8723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4" w15:restartNumberingAfterBreak="0">
    <w:nsid w:val="62F8061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5" w15:restartNumberingAfterBreak="0">
    <w:nsid w:val="630346E1"/>
    <w:multiLevelType w:val="multilevel"/>
    <w:tmpl w:val="887EED66"/>
    <w:numStyleLink w:val="Tablenumbering"/>
  </w:abstractNum>
  <w:abstractNum w:abstractNumId="596" w15:restartNumberingAfterBreak="0">
    <w:nsid w:val="630803FD"/>
    <w:multiLevelType w:val="hybridMultilevel"/>
    <w:tmpl w:val="3E1871AE"/>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7" w15:restartNumberingAfterBreak="0">
    <w:nsid w:val="63143DB3"/>
    <w:multiLevelType w:val="hybridMultilevel"/>
    <w:tmpl w:val="76E0F956"/>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8" w15:restartNumberingAfterBreak="0">
    <w:nsid w:val="63306E53"/>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9" w15:restartNumberingAfterBreak="0">
    <w:nsid w:val="6375547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0" w15:restartNumberingAfterBreak="0">
    <w:nsid w:val="63835EDE"/>
    <w:multiLevelType w:val="multilevel"/>
    <w:tmpl w:val="887EED66"/>
    <w:numStyleLink w:val="Tablenumbering"/>
  </w:abstractNum>
  <w:abstractNum w:abstractNumId="601" w15:restartNumberingAfterBreak="0">
    <w:nsid w:val="63947B6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2" w15:restartNumberingAfterBreak="0">
    <w:nsid w:val="63AC0FD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3" w15:restartNumberingAfterBreak="0">
    <w:nsid w:val="63CC589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4" w15:restartNumberingAfterBreak="0">
    <w:nsid w:val="63FC101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5" w15:restartNumberingAfterBreak="0">
    <w:nsid w:val="641078D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6" w15:restartNumberingAfterBreak="0">
    <w:nsid w:val="64167EA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7" w15:restartNumberingAfterBreak="0">
    <w:nsid w:val="6428241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8" w15:restartNumberingAfterBreak="0">
    <w:nsid w:val="64460D6B"/>
    <w:multiLevelType w:val="multilevel"/>
    <w:tmpl w:val="887EED66"/>
    <w:numStyleLink w:val="Tablenumbering"/>
  </w:abstractNum>
  <w:abstractNum w:abstractNumId="609" w15:restartNumberingAfterBreak="0">
    <w:nsid w:val="644A319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0" w15:restartNumberingAfterBreak="0">
    <w:nsid w:val="646702C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1" w15:restartNumberingAfterBreak="0">
    <w:nsid w:val="6490242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2" w15:restartNumberingAfterBreak="0">
    <w:nsid w:val="64945A9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3" w15:restartNumberingAfterBreak="0">
    <w:nsid w:val="64AF5FA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4" w15:restartNumberingAfterBreak="0">
    <w:nsid w:val="64C067FD"/>
    <w:multiLevelType w:val="multilevel"/>
    <w:tmpl w:val="887EED66"/>
    <w:numStyleLink w:val="Tablenumbering"/>
  </w:abstractNum>
  <w:abstractNum w:abstractNumId="615" w15:restartNumberingAfterBreak="0">
    <w:nsid w:val="650B20A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6" w15:restartNumberingAfterBreak="0">
    <w:nsid w:val="650D01A3"/>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7" w15:restartNumberingAfterBreak="0">
    <w:nsid w:val="651A501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8" w15:restartNumberingAfterBreak="0">
    <w:nsid w:val="653740A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9" w15:restartNumberingAfterBreak="0">
    <w:nsid w:val="65570838"/>
    <w:multiLevelType w:val="multilevel"/>
    <w:tmpl w:val="887EED66"/>
    <w:numStyleLink w:val="Tablenumbering"/>
  </w:abstractNum>
  <w:abstractNum w:abstractNumId="620" w15:restartNumberingAfterBreak="0">
    <w:nsid w:val="6569353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1" w15:restartNumberingAfterBreak="0">
    <w:nsid w:val="657503B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2" w15:restartNumberingAfterBreak="0">
    <w:nsid w:val="65C049A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3" w15:restartNumberingAfterBreak="0">
    <w:nsid w:val="65D6126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4" w15:restartNumberingAfterBreak="0">
    <w:nsid w:val="65DB432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5" w15:restartNumberingAfterBreak="0">
    <w:nsid w:val="65E0135E"/>
    <w:multiLevelType w:val="multilevel"/>
    <w:tmpl w:val="887EED66"/>
    <w:numStyleLink w:val="Tablenumbering"/>
  </w:abstractNum>
  <w:abstractNum w:abstractNumId="626" w15:restartNumberingAfterBreak="0">
    <w:nsid w:val="65E678A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7" w15:restartNumberingAfterBreak="0">
    <w:nsid w:val="65F7004D"/>
    <w:multiLevelType w:val="multilevel"/>
    <w:tmpl w:val="810E689A"/>
    <w:lvl w:ilvl="0">
      <w:start w:val="4"/>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8" w15:restartNumberingAfterBreak="0">
    <w:nsid w:val="662C013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9" w15:restartNumberingAfterBreak="0">
    <w:nsid w:val="6632699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0" w15:restartNumberingAfterBreak="0">
    <w:nsid w:val="6659285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1" w15:restartNumberingAfterBreak="0">
    <w:nsid w:val="666E535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2" w15:restartNumberingAfterBreak="0">
    <w:nsid w:val="667440AA"/>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3" w15:restartNumberingAfterBreak="0">
    <w:nsid w:val="66773A19"/>
    <w:multiLevelType w:val="multilevel"/>
    <w:tmpl w:val="347AA138"/>
    <w:numStyleLink w:val="1ai"/>
  </w:abstractNum>
  <w:abstractNum w:abstractNumId="634" w15:restartNumberingAfterBreak="0">
    <w:nsid w:val="669123F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5" w15:restartNumberingAfterBreak="0">
    <w:nsid w:val="669B165C"/>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6" w15:restartNumberingAfterBreak="0">
    <w:nsid w:val="66C43C3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7" w15:restartNumberingAfterBreak="0">
    <w:nsid w:val="66D95152"/>
    <w:multiLevelType w:val="hybridMultilevel"/>
    <w:tmpl w:val="2A462F0C"/>
    <w:lvl w:ilvl="0" w:tplc="6DD2886A">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8" w15:restartNumberingAfterBreak="0">
    <w:nsid w:val="66F64A6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9" w15:restartNumberingAfterBreak="0">
    <w:nsid w:val="66FB05C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0" w15:restartNumberingAfterBreak="0">
    <w:nsid w:val="6753185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1" w15:restartNumberingAfterBreak="0">
    <w:nsid w:val="6757407E"/>
    <w:multiLevelType w:val="hybridMultilevel"/>
    <w:tmpl w:val="A67E9C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2" w15:restartNumberingAfterBreak="0">
    <w:nsid w:val="67587513"/>
    <w:multiLevelType w:val="multilevel"/>
    <w:tmpl w:val="887EED66"/>
    <w:numStyleLink w:val="Tablenumbering"/>
  </w:abstractNum>
  <w:abstractNum w:abstractNumId="643" w15:restartNumberingAfterBreak="0">
    <w:nsid w:val="677365DB"/>
    <w:multiLevelType w:val="multilevel"/>
    <w:tmpl w:val="887EED66"/>
    <w:numStyleLink w:val="Tablenumbering"/>
  </w:abstractNum>
  <w:abstractNum w:abstractNumId="644" w15:restartNumberingAfterBreak="0">
    <w:nsid w:val="677F3B26"/>
    <w:multiLevelType w:val="multilevel"/>
    <w:tmpl w:val="887EED66"/>
    <w:numStyleLink w:val="Tablenumbering"/>
  </w:abstractNum>
  <w:abstractNum w:abstractNumId="645" w15:restartNumberingAfterBreak="0">
    <w:nsid w:val="679A4B1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6" w15:restartNumberingAfterBreak="0">
    <w:nsid w:val="67E16F49"/>
    <w:multiLevelType w:val="hybridMultilevel"/>
    <w:tmpl w:val="21CE2F9A"/>
    <w:lvl w:ilvl="0" w:tplc="0C09001B">
      <w:start w:val="1"/>
      <w:numFmt w:val="lowerRoman"/>
      <w:lvlText w:val="%1."/>
      <w:lvlJc w:val="right"/>
      <w:pPr>
        <w:ind w:left="1854" w:hanging="360"/>
      </w:p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647" w15:restartNumberingAfterBreak="0">
    <w:nsid w:val="68170DD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8" w15:restartNumberingAfterBreak="0">
    <w:nsid w:val="6831759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9" w15:restartNumberingAfterBreak="0">
    <w:nsid w:val="6832073D"/>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650" w15:restartNumberingAfterBreak="0">
    <w:nsid w:val="6837610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1" w15:restartNumberingAfterBreak="0">
    <w:nsid w:val="685011C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2" w15:restartNumberingAfterBreak="0">
    <w:nsid w:val="685B47C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3" w15:restartNumberingAfterBreak="0">
    <w:nsid w:val="6884613B"/>
    <w:multiLevelType w:val="multilevel"/>
    <w:tmpl w:val="347AA138"/>
    <w:numStyleLink w:val="1ai"/>
  </w:abstractNum>
  <w:abstractNum w:abstractNumId="654" w15:restartNumberingAfterBreak="0">
    <w:nsid w:val="68A67A71"/>
    <w:multiLevelType w:val="hybridMultilevel"/>
    <w:tmpl w:val="A0EE4FCE"/>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5" w15:restartNumberingAfterBreak="0">
    <w:nsid w:val="691C317B"/>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6" w15:restartNumberingAfterBreak="0">
    <w:nsid w:val="69325FD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7" w15:restartNumberingAfterBreak="0">
    <w:nsid w:val="693D0640"/>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8" w15:restartNumberingAfterBreak="0">
    <w:nsid w:val="69442A1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9" w15:restartNumberingAfterBreak="0">
    <w:nsid w:val="694540F6"/>
    <w:multiLevelType w:val="multilevel"/>
    <w:tmpl w:val="A4189A46"/>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0" w15:restartNumberingAfterBreak="0">
    <w:nsid w:val="69577DD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1" w15:restartNumberingAfterBreak="0">
    <w:nsid w:val="699A7908"/>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2" w15:restartNumberingAfterBreak="0">
    <w:nsid w:val="69BE76DC"/>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3" w15:restartNumberingAfterBreak="0">
    <w:nsid w:val="69D31A2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4" w15:restartNumberingAfterBreak="0">
    <w:nsid w:val="69E94E7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5" w15:restartNumberingAfterBreak="0">
    <w:nsid w:val="6A05177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6" w15:restartNumberingAfterBreak="0">
    <w:nsid w:val="6A1A47C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7" w15:restartNumberingAfterBreak="0">
    <w:nsid w:val="6A35370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8" w15:restartNumberingAfterBreak="0">
    <w:nsid w:val="6A382C3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9" w15:restartNumberingAfterBreak="0">
    <w:nsid w:val="6A8E177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0" w15:restartNumberingAfterBreak="0">
    <w:nsid w:val="6A9E0B8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1" w15:restartNumberingAfterBreak="0">
    <w:nsid w:val="6AC3015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2" w15:restartNumberingAfterBreak="0">
    <w:nsid w:val="6AC30BF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3" w15:restartNumberingAfterBreak="0">
    <w:nsid w:val="6AC83B9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4" w15:restartNumberingAfterBreak="0">
    <w:nsid w:val="6AF62B00"/>
    <w:multiLevelType w:val="hybridMultilevel"/>
    <w:tmpl w:val="C09C9524"/>
    <w:lvl w:ilvl="0" w:tplc="119012DA">
      <w:start w:val="1"/>
      <w:numFmt w:val="bullet"/>
      <w:pStyle w:val="Notesbullet"/>
      <w:lvlText w:val=""/>
      <w:lvlJc w:val="left"/>
      <w:pPr>
        <w:ind w:left="720" w:hanging="360"/>
      </w:pPr>
      <w:rPr>
        <w:rFonts w:ascii="Symbol" w:hAnsi="Symbol" w:hint="default"/>
        <w:sz w:val="16"/>
      </w:rPr>
    </w:lvl>
    <w:lvl w:ilvl="1" w:tplc="8894193E" w:tentative="1">
      <w:start w:val="1"/>
      <w:numFmt w:val="bullet"/>
      <w:lvlText w:val="o"/>
      <w:lvlJc w:val="left"/>
      <w:pPr>
        <w:ind w:left="1440" w:hanging="360"/>
      </w:pPr>
      <w:rPr>
        <w:rFonts w:ascii="Courier New" w:hAnsi="Courier New" w:cs="Courier New" w:hint="default"/>
      </w:rPr>
    </w:lvl>
    <w:lvl w:ilvl="2" w:tplc="A6408CFA" w:tentative="1">
      <w:start w:val="1"/>
      <w:numFmt w:val="bullet"/>
      <w:lvlText w:val=""/>
      <w:lvlJc w:val="left"/>
      <w:pPr>
        <w:ind w:left="2160" w:hanging="360"/>
      </w:pPr>
      <w:rPr>
        <w:rFonts w:ascii="Wingdings" w:hAnsi="Wingdings" w:hint="default"/>
      </w:rPr>
    </w:lvl>
    <w:lvl w:ilvl="3" w:tplc="E9DC5D96" w:tentative="1">
      <w:start w:val="1"/>
      <w:numFmt w:val="bullet"/>
      <w:lvlText w:val=""/>
      <w:lvlJc w:val="left"/>
      <w:pPr>
        <w:ind w:left="2880" w:hanging="360"/>
      </w:pPr>
      <w:rPr>
        <w:rFonts w:ascii="Symbol" w:hAnsi="Symbol" w:hint="default"/>
      </w:rPr>
    </w:lvl>
    <w:lvl w:ilvl="4" w:tplc="D7404880" w:tentative="1">
      <w:start w:val="1"/>
      <w:numFmt w:val="bullet"/>
      <w:lvlText w:val="o"/>
      <w:lvlJc w:val="left"/>
      <w:pPr>
        <w:ind w:left="3600" w:hanging="360"/>
      </w:pPr>
      <w:rPr>
        <w:rFonts w:ascii="Courier New" w:hAnsi="Courier New" w:cs="Courier New" w:hint="default"/>
      </w:rPr>
    </w:lvl>
    <w:lvl w:ilvl="5" w:tplc="C3AEA0C4" w:tentative="1">
      <w:start w:val="1"/>
      <w:numFmt w:val="bullet"/>
      <w:lvlText w:val=""/>
      <w:lvlJc w:val="left"/>
      <w:pPr>
        <w:ind w:left="4320" w:hanging="360"/>
      </w:pPr>
      <w:rPr>
        <w:rFonts w:ascii="Wingdings" w:hAnsi="Wingdings" w:hint="default"/>
      </w:rPr>
    </w:lvl>
    <w:lvl w:ilvl="6" w:tplc="EB7A4CFA" w:tentative="1">
      <w:start w:val="1"/>
      <w:numFmt w:val="bullet"/>
      <w:lvlText w:val=""/>
      <w:lvlJc w:val="left"/>
      <w:pPr>
        <w:ind w:left="5040" w:hanging="360"/>
      </w:pPr>
      <w:rPr>
        <w:rFonts w:ascii="Symbol" w:hAnsi="Symbol" w:hint="default"/>
      </w:rPr>
    </w:lvl>
    <w:lvl w:ilvl="7" w:tplc="999C738C" w:tentative="1">
      <w:start w:val="1"/>
      <w:numFmt w:val="bullet"/>
      <w:lvlText w:val="o"/>
      <w:lvlJc w:val="left"/>
      <w:pPr>
        <w:ind w:left="5760" w:hanging="360"/>
      </w:pPr>
      <w:rPr>
        <w:rFonts w:ascii="Courier New" w:hAnsi="Courier New" w:cs="Courier New" w:hint="default"/>
      </w:rPr>
    </w:lvl>
    <w:lvl w:ilvl="8" w:tplc="2B40C1E4" w:tentative="1">
      <w:start w:val="1"/>
      <w:numFmt w:val="bullet"/>
      <w:lvlText w:val=""/>
      <w:lvlJc w:val="left"/>
      <w:pPr>
        <w:ind w:left="6480" w:hanging="360"/>
      </w:pPr>
      <w:rPr>
        <w:rFonts w:ascii="Wingdings" w:hAnsi="Wingdings" w:hint="default"/>
      </w:rPr>
    </w:lvl>
  </w:abstractNum>
  <w:abstractNum w:abstractNumId="675" w15:restartNumberingAfterBreak="0">
    <w:nsid w:val="6AFE6EA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6" w15:restartNumberingAfterBreak="0">
    <w:nsid w:val="6B032940"/>
    <w:multiLevelType w:val="hybridMultilevel"/>
    <w:tmpl w:val="661E22C4"/>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7" w15:restartNumberingAfterBreak="0">
    <w:nsid w:val="6B06152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8" w15:restartNumberingAfterBreak="0">
    <w:nsid w:val="6B0F5BA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9" w15:restartNumberingAfterBreak="0">
    <w:nsid w:val="6B12657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0" w15:restartNumberingAfterBreak="0">
    <w:nsid w:val="6B2666E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1" w15:restartNumberingAfterBreak="0">
    <w:nsid w:val="6B7E0933"/>
    <w:multiLevelType w:val="multilevel"/>
    <w:tmpl w:val="15AE3A70"/>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2" w15:restartNumberingAfterBreak="0">
    <w:nsid w:val="6B9A4AF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3" w15:restartNumberingAfterBreak="0">
    <w:nsid w:val="6BA85D4F"/>
    <w:multiLevelType w:val="multilevel"/>
    <w:tmpl w:val="887EED66"/>
    <w:numStyleLink w:val="Tablenumbering"/>
  </w:abstractNum>
  <w:abstractNum w:abstractNumId="684" w15:restartNumberingAfterBreak="0">
    <w:nsid w:val="6BAB50A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5" w15:restartNumberingAfterBreak="0">
    <w:nsid w:val="6BC1226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6" w15:restartNumberingAfterBreak="0">
    <w:nsid w:val="6BCC4F3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7" w15:restartNumberingAfterBreak="0">
    <w:nsid w:val="6BDA6BD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8" w15:restartNumberingAfterBreak="0">
    <w:nsid w:val="6BDD5B8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9" w15:restartNumberingAfterBreak="0">
    <w:nsid w:val="6C02501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0" w15:restartNumberingAfterBreak="0">
    <w:nsid w:val="6C036CF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1" w15:restartNumberingAfterBreak="0">
    <w:nsid w:val="6C0C61DD"/>
    <w:multiLevelType w:val="multilevel"/>
    <w:tmpl w:val="887EED66"/>
    <w:numStyleLink w:val="Tablenumbering"/>
  </w:abstractNum>
  <w:abstractNum w:abstractNumId="692" w15:restartNumberingAfterBreak="0">
    <w:nsid w:val="6C1D731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3" w15:restartNumberingAfterBreak="0">
    <w:nsid w:val="6C2477E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4" w15:restartNumberingAfterBreak="0">
    <w:nsid w:val="6C43168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5" w15:restartNumberingAfterBreak="0">
    <w:nsid w:val="6C4B51D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6" w15:restartNumberingAfterBreak="0">
    <w:nsid w:val="6C6240F2"/>
    <w:multiLevelType w:val="multilevel"/>
    <w:tmpl w:val="887EED66"/>
    <w:numStyleLink w:val="Tablenumbering"/>
  </w:abstractNum>
  <w:abstractNum w:abstractNumId="697" w15:restartNumberingAfterBreak="0">
    <w:nsid w:val="6C677C3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8" w15:restartNumberingAfterBreak="0">
    <w:nsid w:val="6C90197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9" w15:restartNumberingAfterBreak="0">
    <w:nsid w:val="6CB34E4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0" w15:restartNumberingAfterBreak="0">
    <w:nsid w:val="6CD32EC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1" w15:restartNumberingAfterBreak="0">
    <w:nsid w:val="6CDD3971"/>
    <w:multiLevelType w:val="multilevel"/>
    <w:tmpl w:val="347AA138"/>
    <w:numStyleLink w:val="1ai"/>
  </w:abstractNum>
  <w:abstractNum w:abstractNumId="702" w15:restartNumberingAfterBreak="0">
    <w:nsid w:val="6D41186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3" w15:restartNumberingAfterBreak="0">
    <w:nsid w:val="6D43610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4" w15:restartNumberingAfterBreak="0">
    <w:nsid w:val="6D482B3E"/>
    <w:multiLevelType w:val="multilevel"/>
    <w:tmpl w:val="347AA138"/>
    <w:numStyleLink w:val="1ai"/>
  </w:abstractNum>
  <w:abstractNum w:abstractNumId="705" w15:restartNumberingAfterBreak="0">
    <w:nsid w:val="6D593FF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6" w15:restartNumberingAfterBreak="0">
    <w:nsid w:val="6D5940B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7" w15:restartNumberingAfterBreak="0">
    <w:nsid w:val="6D7D35FE"/>
    <w:multiLevelType w:val="multilevel"/>
    <w:tmpl w:val="347AA138"/>
    <w:numStyleLink w:val="1ai"/>
  </w:abstractNum>
  <w:abstractNum w:abstractNumId="708" w15:restartNumberingAfterBreak="0">
    <w:nsid w:val="6D9C4EA5"/>
    <w:multiLevelType w:val="multilevel"/>
    <w:tmpl w:val="887EED66"/>
    <w:numStyleLink w:val="Tablenumbering"/>
  </w:abstractNum>
  <w:abstractNum w:abstractNumId="709" w15:restartNumberingAfterBreak="0">
    <w:nsid w:val="6DAC298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0" w15:restartNumberingAfterBreak="0">
    <w:nsid w:val="6DB0405F"/>
    <w:multiLevelType w:val="multilevel"/>
    <w:tmpl w:val="887EED66"/>
    <w:numStyleLink w:val="Tablenumbering"/>
  </w:abstractNum>
  <w:abstractNum w:abstractNumId="711" w15:restartNumberingAfterBreak="0">
    <w:nsid w:val="6DE9455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2" w15:restartNumberingAfterBreak="0">
    <w:nsid w:val="6DFD602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3" w15:restartNumberingAfterBreak="0">
    <w:nsid w:val="6E103BAB"/>
    <w:multiLevelType w:val="multilevel"/>
    <w:tmpl w:val="5950BDB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4" w15:restartNumberingAfterBreak="0">
    <w:nsid w:val="6E243A3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5" w15:restartNumberingAfterBreak="0">
    <w:nsid w:val="6E64356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6" w15:restartNumberingAfterBreak="0">
    <w:nsid w:val="6E6C6B9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7" w15:restartNumberingAfterBreak="0">
    <w:nsid w:val="6E92277D"/>
    <w:multiLevelType w:val="multilevel"/>
    <w:tmpl w:val="887EED66"/>
    <w:numStyleLink w:val="Tablenumbering"/>
  </w:abstractNum>
  <w:abstractNum w:abstractNumId="718" w15:restartNumberingAfterBreak="0">
    <w:nsid w:val="6EA44A37"/>
    <w:multiLevelType w:val="multilevel"/>
    <w:tmpl w:val="887EED66"/>
    <w:numStyleLink w:val="Tablenumbering"/>
  </w:abstractNum>
  <w:abstractNum w:abstractNumId="719" w15:restartNumberingAfterBreak="0">
    <w:nsid w:val="6EB02DF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0" w15:restartNumberingAfterBreak="0">
    <w:nsid w:val="6EBA1BC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1" w15:restartNumberingAfterBreak="0">
    <w:nsid w:val="6EC3037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2" w15:restartNumberingAfterBreak="0">
    <w:nsid w:val="6ED6539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3" w15:restartNumberingAfterBreak="0">
    <w:nsid w:val="6EDA79A8"/>
    <w:multiLevelType w:val="multilevel"/>
    <w:tmpl w:val="347AA138"/>
    <w:numStyleLink w:val="1ai"/>
  </w:abstractNum>
  <w:abstractNum w:abstractNumId="724" w15:restartNumberingAfterBreak="0">
    <w:nsid w:val="6EF4551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5" w15:restartNumberingAfterBreak="0">
    <w:nsid w:val="6F12561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6" w15:restartNumberingAfterBreak="0">
    <w:nsid w:val="6F142C0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7" w15:restartNumberingAfterBreak="0">
    <w:nsid w:val="6F4201A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8" w15:restartNumberingAfterBreak="0">
    <w:nsid w:val="6F49232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9" w15:restartNumberingAfterBreak="0">
    <w:nsid w:val="6F4B5FB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0" w15:restartNumberingAfterBreak="0">
    <w:nsid w:val="6F642DF1"/>
    <w:multiLevelType w:val="hybridMultilevel"/>
    <w:tmpl w:val="793A44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1" w15:restartNumberingAfterBreak="0">
    <w:nsid w:val="6F83419D"/>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2" w15:restartNumberingAfterBreak="0">
    <w:nsid w:val="6F880A3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3" w15:restartNumberingAfterBreak="0">
    <w:nsid w:val="6F9B64C7"/>
    <w:multiLevelType w:val="multilevel"/>
    <w:tmpl w:val="0B7E4BEA"/>
    <w:lvl w:ilvl="0">
      <w:start w:val="4"/>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34" w15:restartNumberingAfterBreak="0">
    <w:nsid w:val="6FA67CD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5" w15:restartNumberingAfterBreak="0">
    <w:nsid w:val="6FB83A7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6" w15:restartNumberingAfterBreak="0">
    <w:nsid w:val="6FC5381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7" w15:restartNumberingAfterBreak="0">
    <w:nsid w:val="6FE7304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8" w15:restartNumberingAfterBreak="0">
    <w:nsid w:val="70181DD4"/>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9" w15:restartNumberingAfterBreak="0">
    <w:nsid w:val="70275D9D"/>
    <w:multiLevelType w:val="multilevel"/>
    <w:tmpl w:val="887EED66"/>
    <w:numStyleLink w:val="Tablenumbering"/>
  </w:abstractNum>
  <w:abstractNum w:abstractNumId="740" w15:restartNumberingAfterBreak="0">
    <w:nsid w:val="7073361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1" w15:restartNumberingAfterBreak="0">
    <w:nsid w:val="70733A7A"/>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2" w15:restartNumberingAfterBreak="0">
    <w:nsid w:val="70BA600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3" w15:restartNumberingAfterBreak="0">
    <w:nsid w:val="71034CE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4" w15:restartNumberingAfterBreak="0">
    <w:nsid w:val="71081EA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5" w15:restartNumberingAfterBreak="0">
    <w:nsid w:val="71437313"/>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6" w15:restartNumberingAfterBreak="0">
    <w:nsid w:val="7149567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7" w15:restartNumberingAfterBreak="0">
    <w:nsid w:val="715A6B7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8" w15:restartNumberingAfterBreak="0">
    <w:nsid w:val="71884B6D"/>
    <w:multiLevelType w:val="multilevel"/>
    <w:tmpl w:val="BD6A1FB4"/>
    <w:lvl w:ilvl="0">
      <w:start w:val="1"/>
      <w:numFmt w:val="decimal"/>
      <w:lvlText w:val="%1."/>
      <w:lvlJc w:val="left"/>
      <w:pPr>
        <w:tabs>
          <w:tab w:val="num" w:pos="567"/>
        </w:tabs>
        <w:ind w:left="567" w:hanging="567"/>
      </w:pPr>
      <w:rPr>
        <w:rFonts w:hint="default"/>
        <w:sz w:val="20"/>
      </w:rPr>
    </w:lvl>
    <w:lvl w:ilvl="1">
      <w:start w:val="1"/>
      <w:numFmt w:val="lowerLetter"/>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9" w15:restartNumberingAfterBreak="0">
    <w:nsid w:val="719E018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0" w15:restartNumberingAfterBreak="0">
    <w:nsid w:val="71A22CE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1" w15:restartNumberingAfterBreak="0">
    <w:nsid w:val="7202025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2" w15:restartNumberingAfterBreak="0">
    <w:nsid w:val="7212617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3" w15:restartNumberingAfterBreak="0">
    <w:nsid w:val="7258758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4" w15:restartNumberingAfterBreak="0">
    <w:nsid w:val="726677AC"/>
    <w:multiLevelType w:val="multilevel"/>
    <w:tmpl w:val="887EED66"/>
    <w:numStyleLink w:val="Tablenumbering"/>
  </w:abstractNum>
  <w:abstractNum w:abstractNumId="755" w15:restartNumberingAfterBreak="0">
    <w:nsid w:val="726736E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6" w15:restartNumberingAfterBreak="0">
    <w:nsid w:val="727832B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7" w15:restartNumberingAfterBreak="0">
    <w:nsid w:val="72D81F0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8" w15:restartNumberingAfterBreak="0">
    <w:nsid w:val="7305527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9" w15:restartNumberingAfterBreak="0">
    <w:nsid w:val="732C25F5"/>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0" w15:restartNumberingAfterBreak="0">
    <w:nsid w:val="732E08F5"/>
    <w:multiLevelType w:val="multilevel"/>
    <w:tmpl w:val="887EED66"/>
    <w:numStyleLink w:val="Tablenumbering"/>
  </w:abstractNum>
  <w:abstractNum w:abstractNumId="761" w15:restartNumberingAfterBreak="0">
    <w:nsid w:val="732F180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2" w15:restartNumberingAfterBreak="0">
    <w:nsid w:val="735B29E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3" w15:restartNumberingAfterBreak="0">
    <w:nsid w:val="73792A82"/>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4" w15:restartNumberingAfterBreak="0">
    <w:nsid w:val="73AA0155"/>
    <w:multiLevelType w:val="multilevel"/>
    <w:tmpl w:val="887EED66"/>
    <w:numStyleLink w:val="Tablenumbering"/>
  </w:abstractNum>
  <w:abstractNum w:abstractNumId="765" w15:restartNumberingAfterBreak="0">
    <w:nsid w:val="73B41B3C"/>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6" w15:restartNumberingAfterBreak="0">
    <w:nsid w:val="73C1093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7" w15:restartNumberingAfterBreak="0">
    <w:nsid w:val="73CD49B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8" w15:restartNumberingAfterBreak="0">
    <w:nsid w:val="73CE76F9"/>
    <w:multiLevelType w:val="multilevel"/>
    <w:tmpl w:val="887EED66"/>
    <w:numStyleLink w:val="Tablenumbering"/>
  </w:abstractNum>
  <w:abstractNum w:abstractNumId="769" w15:restartNumberingAfterBreak="0">
    <w:nsid w:val="73D1678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0" w15:restartNumberingAfterBreak="0">
    <w:nsid w:val="743F742B"/>
    <w:multiLevelType w:val="multilevel"/>
    <w:tmpl w:val="887EED66"/>
    <w:numStyleLink w:val="Tablenumbering"/>
  </w:abstractNum>
  <w:abstractNum w:abstractNumId="771" w15:restartNumberingAfterBreak="0">
    <w:nsid w:val="749A037E"/>
    <w:multiLevelType w:val="hybridMultilevel"/>
    <w:tmpl w:val="A434EC28"/>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2" w15:restartNumberingAfterBreak="0">
    <w:nsid w:val="74B2153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3" w15:restartNumberingAfterBreak="0">
    <w:nsid w:val="750A4126"/>
    <w:multiLevelType w:val="hybridMultilevel"/>
    <w:tmpl w:val="0D6A04E8"/>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4" w15:restartNumberingAfterBreak="0">
    <w:nsid w:val="75161F9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5" w15:restartNumberingAfterBreak="0">
    <w:nsid w:val="75174338"/>
    <w:multiLevelType w:val="multilevel"/>
    <w:tmpl w:val="887EED66"/>
    <w:numStyleLink w:val="Tablenumbering"/>
  </w:abstractNum>
  <w:abstractNum w:abstractNumId="776" w15:restartNumberingAfterBreak="0">
    <w:nsid w:val="751E4A9F"/>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7" w15:restartNumberingAfterBreak="0">
    <w:nsid w:val="75300F0D"/>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8" w15:restartNumberingAfterBreak="0">
    <w:nsid w:val="7553519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9" w15:restartNumberingAfterBreak="0">
    <w:nsid w:val="755B7F6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0" w15:restartNumberingAfterBreak="0">
    <w:nsid w:val="759534C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1" w15:restartNumberingAfterBreak="0">
    <w:nsid w:val="75B441F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2" w15:restartNumberingAfterBreak="0">
    <w:nsid w:val="75E1100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3" w15:restartNumberingAfterBreak="0">
    <w:nsid w:val="76073BFB"/>
    <w:multiLevelType w:val="hybridMultilevel"/>
    <w:tmpl w:val="89E801F8"/>
    <w:lvl w:ilvl="0" w:tplc="4A12FC8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4" w15:restartNumberingAfterBreak="0">
    <w:nsid w:val="7618585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5" w15:restartNumberingAfterBreak="0">
    <w:nsid w:val="761C67E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6" w15:restartNumberingAfterBreak="0">
    <w:nsid w:val="76450570"/>
    <w:multiLevelType w:val="hybridMultilevel"/>
    <w:tmpl w:val="74289DEA"/>
    <w:lvl w:ilvl="0" w:tplc="1FDC86EC">
      <w:start w:val="1"/>
      <w:numFmt w:val="bullet"/>
      <w:pStyle w:val="ListBullet2"/>
      <w:lvlText w:val=""/>
      <w:lvlJc w:val="left"/>
      <w:pPr>
        <w:ind w:left="927" w:hanging="360"/>
      </w:pPr>
      <w:rPr>
        <w:rFonts w:ascii="Symbol" w:hAnsi="Symbol" w:hint="default"/>
        <w:sz w:val="16"/>
      </w:rPr>
    </w:lvl>
    <w:lvl w:ilvl="1" w:tplc="AFAA8068" w:tentative="1">
      <w:start w:val="1"/>
      <w:numFmt w:val="bullet"/>
      <w:lvlText w:val="o"/>
      <w:lvlJc w:val="left"/>
      <w:pPr>
        <w:ind w:left="2007" w:hanging="360"/>
      </w:pPr>
      <w:rPr>
        <w:rFonts w:ascii="Courier New" w:hAnsi="Courier New" w:cs="Courier New" w:hint="default"/>
      </w:rPr>
    </w:lvl>
    <w:lvl w:ilvl="2" w:tplc="93B2950A" w:tentative="1">
      <w:start w:val="1"/>
      <w:numFmt w:val="bullet"/>
      <w:lvlText w:val=""/>
      <w:lvlJc w:val="left"/>
      <w:pPr>
        <w:ind w:left="2727" w:hanging="360"/>
      </w:pPr>
      <w:rPr>
        <w:rFonts w:ascii="Wingdings" w:hAnsi="Wingdings" w:hint="default"/>
      </w:rPr>
    </w:lvl>
    <w:lvl w:ilvl="3" w:tplc="28DCFD04" w:tentative="1">
      <w:start w:val="1"/>
      <w:numFmt w:val="bullet"/>
      <w:lvlText w:val=""/>
      <w:lvlJc w:val="left"/>
      <w:pPr>
        <w:ind w:left="3447" w:hanging="360"/>
      </w:pPr>
      <w:rPr>
        <w:rFonts w:ascii="Symbol" w:hAnsi="Symbol" w:hint="default"/>
      </w:rPr>
    </w:lvl>
    <w:lvl w:ilvl="4" w:tplc="33884CB0" w:tentative="1">
      <w:start w:val="1"/>
      <w:numFmt w:val="bullet"/>
      <w:lvlText w:val="o"/>
      <w:lvlJc w:val="left"/>
      <w:pPr>
        <w:ind w:left="4167" w:hanging="360"/>
      </w:pPr>
      <w:rPr>
        <w:rFonts w:ascii="Courier New" w:hAnsi="Courier New" w:cs="Courier New" w:hint="default"/>
      </w:rPr>
    </w:lvl>
    <w:lvl w:ilvl="5" w:tplc="665C39D4" w:tentative="1">
      <w:start w:val="1"/>
      <w:numFmt w:val="bullet"/>
      <w:lvlText w:val=""/>
      <w:lvlJc w:val="left"/>
      <w:pPr>
        <w:ind w:left="4887" w:hanging="360"/>
      </w:pPr>
      <w:rPr>
        <w:rFonts w:ascii="Wingdings" w:hAnsi="Wingdings" w:hint="default"/>
      </w:rPr>
    </w:lvl>
    <w:lvl w:ilvl="6" w:tplc="E9B0AA24" w:tentative="1">
      <w:start w:val="1"/>
      <w:numFmt w:val="bullet"/>
      <w:lvlText w:val=""/>
      <w:lvlJc w:val="left"/>
      <w:pPr>
        <w:ind w:left="5607" w:hanging="360"/>
      </w:pPr>
      <w:rPr>
        <w:rFonts w:ascii="Symbol" w:hAnsi="Symbol" w:hint="default"/>
      </w:rPr>
    </w:lvl>
    <w:lvl w:ilvl="7" w:tplc="B3CAE516" w:tentative="1">
      <w:start w:val="1"/>
      <w:numFmt w:val="bullet"/>
      <w:lvlText w:val="o"/>
      <w:lvlJc w:val="left"/>
      <w:pPr>
        <w:ind w:left="6327" w:hanging="360"/>
      </w:pPr>
      <w:rPr>
        <w:rFonts w:ascii="Courier New" w:hAnsi="Courier New" w:cs="Courier New" w:hint="default"/>
      </w:rPr>
    </w:lvl>
    <w:lvl w:ilvl="8" w:tplc="26FCE206" w:tentative="1">
      <w:start w:val="1"/>
      <w:numFmt w:val="bullet"/>
      <w:lvlText w:val=""/>
      <w:lvlJc w:val="left"/>
      <w:pPr>
        <w:ind w:left="7047" w:hanging="360"/>
      </w:pPr>
      <w:rPr>
        <w:rFonts w:ascii="Wingdings" w:hAnsi="Wingdings" w:hint="default"/>
      </w:rPr>
    </w:lvl>
  </w:abstractNum>
  <w:abstractNum w:abstractNumId="787" w15:restartNumberingAfterBreak="0">
    <w:nsid w:val="768C2D9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8" w15:restartNumberingAfterBreak="0">
    <w:nsid w:val="768D423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9" w15:restartNumberingAfterBreak="0">
    <w:nsid w:val="76BF479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0" w15:restartNumberingAfterBreak="0">
    <w:nsid w:val="76C66E26"/>
    <w:multiLevelType w:val="multilevel"/>
    <w:tmpl w:val="23805F0C"/>
    <w:lvl w:ilvl="0">
      <w:start w:val="1"/>
      <w:numFmt w:val="decimal"/>
      <w:pStyle w:val="Heading1"/>
      <w:lvlText w:val="Part %1"/>
      <w:lvlJc w:val="left"/>
      <w:pPr>
        <w:tabs>
          <w:tab w:val="num" w:pos="1418"/>
        </w:tabs>
        <w:ind w:left="851" w:hanging="851"/>
      </w:pPr>
      <w:rPr>
        <w:rFonts w:hint="default"/>
      </w:rPr>
    </w:lvl>
    <w:lvl w:ilvl="1">
      <w:start w:val="1"/>
      <w:numFmt w:val="decimal"/>
      <w:pStyle w:val="Heading2"/>
      <w:lvlText w:val="%1.%2"/>
      <w:lvlJc w:val="left"/>
      <w:pPr>
        <w:tabs>
          <w:tab w:val="num" w:pos="1418"/>
        </w:tabs>
        <w:ind w:left="851" w:hanging="851"/>
      </w:pPr>
      <w:rPr>
        <w:rFonts w:hint="default"/>
      </w:rPr>
    </w:lvl>
    <w:lvl w:ilvl="2">
      <w:start w:val="1"/>
      <w:numFmt w:val="decimal"/>
      <w:pStyle w:val="Heading3"/>
      <w:lvlText w:val="%1.%2.%3"/>
      <w:lvlJc w:val="left"/>
      <w:pPr>
        <w:tabs>
          <w:tab w:val="num" w:pos="1418"/>
        </w:tabs>
        <w:ind w:left="851" w:hanging="851"/>
      </w:pPr>
      <w:rPr>
        <w:rFonts w:hint="default"/>
      </w:rPr>
    </w:lvl>
    <w:lvl w:ilvl="3">
      <w:start w:val="1"/>
      <w:numFmt w:val="decimal"/>
      <w:pStyle w:val="Heading4"/>
      <w:lvlText w:val="%1.%2.%3.%4"/>
      <w:lvlJc w:val="left"/>
      <w:pPr>
        <w:tabs>
          <w:tab w:val="num" w:pos="1418"/>
        </w:tabs>
        <w:ind w:left="851" w:hanging="851"/>
      </w:pPr>
      <w:rPr>
        <w:rFonts w:hint="default"/>
      </w:rPr>
    </w:lvl>
    <w:lvl w:ilvl="4">
      <w:start w:val="1"/>
      <w:numFmt w:val="none"/>
      <w:lvlRestart w:val="0"/>
      <w:pStyle w:val="Heading5"/>
      <w:lvlText w:val=""/>
      <w:lvlJc w:val="left"/>
      <w:pPr>
        <w:ind w:left="0" w:firstLine="0"/>
      </w:pPr>
      <w:rPr>
        <w:rFonts w:hint="default"/>
      </w:rPr>
    </w:lvl>
    <w:lvl w:ilvl="5">
      <w:start w:val="1"/>
      <w:numFmt w:val="decimal"/>
      <w:lvlRestart w:val="1"/>
      <w:pStyle w:val="Heading6"/>
      <w:lvlText w:val="Schedule %6"/>
      <w:lvlJc w:val="left"/>
      <w:pPr>
        <w:tabs>
          <w:tab w:val="num" w:pos="1418"/>
        </w:tabs>
        <w:ind w:left="851" w:hanging="851"/>
      </w:pPr>
      <w:rPr>
        <w:rFonts w:hint="default"/>
      </w:rPr>
    </w:lvl>
    <w:lvl w:ilvl="6">
      <w:start w:val="1"/>
      <w:numFmt w:val="decimal"/>
      <w:pStyle w:val="Heading7"/>
      <w:lvlText w:val="SC%6.%7"/>
      <w:lvlJc w:val="left"/>
      <w:pPr>
        <w:tabs>
          <w:tab w:val="num" w:pos="1418"/>
        </w:tabs>
        <w:ind w:left="851" w:hanging="851"/>
      </w:pPr>
      <w:rPr>
        <w:rFonts w:hint="default"/>
      </w:rPr>
    </w:lvl>
    <w:lvl w:ilvl="7">
      <w:start w:val="1"/>
      <w:numFmt w:val="decimal"/>
      <w:pStyle w:val="Heading8"/>
      <w:lvlText w:val="SC%6.%7.%8"/>
      <w:lvlJc w:val="left"/>
      <w:pPr>
        <w:tabs>
          <w:tab w:val="num" w:pos="1418"/>
        </w:tabs>
        <w:ind w:left="851" w:hanging="851"/>
      </w:pPr>
      <w:rPr>
        <w:rFonts w:hint="default"/>
      </w:rPr>
    </w:lvl>
    <w:lvl w:ilvl="8">
      <w:start w:val="1"/>
      <w:numFmt w:val="decimal"/>
      <w:pStyle w:val="Heading9"/>
      <w:lvlText w:val="%1.%2.%3.%4.%5.%6.%7.%8.%9."/>
      <w:lvlJc w:val="left"/>
      <w:pPr>
        <w:tabs>
          <w:tab w:val="num" w:pos="1418"/>
        </w:tabs>
        <w:ind w:left="851" w:hanging="851"/>
      </w:pPr>
      <w:rPr>
        <w:rFonts w:hint="default"/>
      </w:rPr>
    </w:lvl>
  </w:abstractNum>
  <w:abstractNum w:abstractNumId="791" w15:restartNumberingAfterBreak="0">
    <w:nsid w:val="771F228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2" w15:restartNumberingAfterBreak="0">
    <w:nsid w:val="774562A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3" w15:restartNumberingAfterBreak="0">
    <w:nsid w:val="77733C4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4" w15:restartNumberingAfterBreak="0">
    <w:nsid w:val="7792655D"/>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5" w15:restartNumberingAfterBreak="0">
    <w:nsid w:val="77A2539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6" w15:restartNumberingAfterBreak="0">
    <w:nsid w:val="77A3003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7" w15:restartNumberingAfterBreak="0">
    <w:nsid w:val="77A9610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8" w15:restartNumberingAfterBreak="0">
    <w:nsid w:val="77B40A9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9" w15:restartNumberingAfterBreak="0">
    <w:nsid w:val="77DC01FD"/>
    <w:multiLevelType w:val="multilevel"/>
    <w:tmpl w:val="887EED66"/>
    <w:numStyleLink w:val="Tablenumbering"/>
  </w:abstractNum>
  <w:abstractNum w:abstractNumId="800" w15:restartNumberingAfterBreak="0">
    <w:nsid w:val="77F007F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1" w15:restartNumberingAfterBreak="0">
    <w:nsid w:val="78036F8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2" w15:restartNumberingAfterBreak="0">
    <w:nsid w:val="780C238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3" w15:restartNumberingAfterBreak="0">
    <w:nsid w:val="783C6E65"/>
    <w:multiLevelType w:val="multilevel"/>
    <w:tmpl w:val="887EED66"/>
    <w:numStyleLink w:val="Tablenumbering"/>
  </w:abstractNum>
  <w:abstractNum w:abstractNumId="804" w15:restartNumberingAfterBreak="0">
    <w:nsid w:val="7845356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5" w15:restartNumberingAfterBreak="0">
    <w:nsid w:val="788E2D55"/>
    <w:multiLevelType w:val="multilevel"/>
    <w:tmpl w:val="347AA138"/>
    <w:numStyleLink w:val="1ai"/>
  </w:abstractNum>
  <w:abstractNum w:abstractNumId="806" w15:restartNumberingAfterBreak="0">
    <w:nsid w:val="78CB4FCA"/>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7" w15:restartNumberingAfterBreak="0">
    <w:nsid w:val="78D66A0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8" w15:restartNumberingAfterBreak="0">
    <w:nsid w:val="78EC3C9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9" w15:restartNumberingAfterBreak="0">
    <w:nsid w:val="78F46C6C"/>
    <w:multiLevelType w:val="multilevel"/>
    <w:tmpl w:val="887EED66"/>
    <w:numStyleLink w:val="Tablenumbering"/>
  </w:abstractNum>
  <w:abstractNum w:abstractNumId="810" w15:restartNumberingAfterBreak="0">
    <w:nsid w:val="79017C1E"/>
    <w:multiLevelType w:val="multilevel"/>
    <w:tmpl w:val="347AA138"/>
    <w:numStyleLink w:val="1ai"/>
  </w:abstractNum>
  <w:abstractNum w:abstractNumId="811" w15:restartNumberingAfterBreak="0">
    <w:nsid w:val="790E51D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2" w15:restartNumberingAfterBreak="0">
    <w:nsid w:val="791C75BF"/>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3" w15:restartNumberingAfterBreak="0">
    <w:nsid w:val="79557A5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4" w15:restartNumberingAfterBreak="0">
    <w:nsid w:val="798D79D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5" w15:restartNumberingAfterBreak="0">
    <w:nsid w:val="79B431E9"/>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6" w15:restartNumberingAfterBreak="0">
    <w:nsid w:val="79B5799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7" w15:restartNumberingAfterBreak="0">
    <w:nsid w:val="79BE484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8" w15:restartNumberingAfterBreak="0">
    <w:nsid w:val="79D07299"/>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9" w15:restartNumberingAfterBreak="0">
    <w:nsid w:val="79D129A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0" w15:restartNumberingAfterBreak="0">
    <w:nsid w:val="7A2406D5"/>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1" w15:restartNumberingAfterBreak="0">
    <w:nsid w:val="7A310A2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2" w15:restartNumberingAfterBreak="0">
    <w:nsid w:val="7A50230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3" w15:restartNumberingAfterBreak="0">
    <w:nsid w:val="7A642D5D"/>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4" w15:restartNumberingAfterBreak="0">
    <w:nsid w:val="7A6D074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5" w15:restartNumberingAfterBreak="0">
    <w:nsid w:val="7A81781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6" w15:restartNumberingAfterBreak="0">
    <w:nsid w:val="7AA84DF8"/>
    <w:multiLevelType w:val="hybridMultilevel"/>
    <w:tmpl w:val="B2FE3C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7" w15:restartNumberingAfterBreak="0">
    <w:nsid w:val="7AEB587C"/>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8" w15:restartNumberingAfterBreak="0">
    <w:nsid w:val="7AF55EA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9" w15:restartNumberingAfterBreak="0">
    <w:nsid w:val="7B0716F9"/>
    <w:multiLevelType w:val="multilevel"/>
    <w:tmpl w:val="DB82944A"/>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0" w15:restartNumberingAfterBreak="0">
    <w:nsid w:val="7B0C426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1" w15:restartNumberingAfterBreak="0">
    <w:nsid w:val="7B2F070D"/>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2" w15:restartNumberingAfterBreak="0">
    <w:nsid w:val="7B3A25D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3" w15:restartNumberingAfterBreak="0">
    <w:nsid w:val="7B4D1DC2"/>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4" w15:restartNumberingAfterBreak="0">
    <w:nsid w:val="7B5E1BF6"/>
    <w:multiLevelType w:val="multilevel"/>
    <w:tmpl w:val="887EED66"/>
    <w:numStyleLink w:val="Tablenumbering"/>
  </w:abstractNum>
  <w:abstractNum w:abstractNumId="835" w15:restartNumberingAfterBreak="0">
    <w:nsid w:val="7B6948AE"/>
    <w:multiLevelType w:val="multilevel"/>
    <w:tmpl w:val="887EED66"/>
    <w:numStyleLink w:val="Tablenumbering"/>
  </w:abstractNum>
  <w:abstractNum w:abstractNumId="836" w15:restartNumberingAfterBreak="0">
    <w:nsid w:val="7B82097E"/>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7" w15:restartNumberingAfterBreak="0">
    <w:nsid w:val="7BA6517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8" w15:restartNumberingAfterBreak="0">
    <w:nsid w:val="7BBD50B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9" w15:restartNumberingAfterBreak="0">
    <w:nsid w:val="7BC3311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0" w15:restartNumberingAfterBreak="0">
    <w:nsid w:val="7C0358F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1" w15:restartNumberingAfterBreak="0">
    <w:nsid w:val="7C3146D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2" w15:restartNumberingAfterBreak="0">
    <w:nsid w:val="7C464D10"/>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3" w15:restartNumberingAfterBreak="0">
    <w:nsid w:val="7CA178F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4" w15:restartNumberingAfterBreak="0">
    <w:nsid w:val="7CB16EB8"/>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5" w15:restartNumberingAfterBreak="0">
    <w:nsid w:val="7CD70C5E"/>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846" w15:restartNumberingAfterBreak="0">
    <w:nsid w:val="7CDB318D"/>
    <w:multiLevelType w:val="multilevel"/>
    <w:tmpl w:val="347AA138"/>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7" w15:restartNumberingAfterBreak="0">
    <w:nsid w:val="7CE54179"/>
    <w:multiLevelType w:val="multilevel"/>
    <w:tmpl w:val="347AA138"/>
    <w:numStyleLink w:val="1ai"/>
  </w:abstractNum>
  <w:abstractNum w:abstractNumId="848" w15:restartNumberingAfterBreak="0">
    <w:nsid w:val="7CFF0C71"/>
    <w:multiLevelType w:val="multilevel"/>
    <w:tmpl w:val="887EED66"/>
    <w:numStyleLink w:val="Tablenumbering"/>
  </w:abstractNum>
  <w:abstractNum w:abstractNumId="849" w15:restartNumberingAfterBreak="0">
    <w:nsid w:val="7D2D0D0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0" w15:restartNumberingAfterBreak="0">
    <w:nsid w:val="7D643F4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1" w15:restartNumberingAfterBreak="0">
    <w:nsid w:val="7D9476D4"/>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2" w15:restartNumberingAfterBreak="0">
    <w:nsid w:val="7DAC12C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3" w15:restartNumberingAfterBreak="0">
    <w:nsid w:val="7E0C57C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4" w15:restartNumberingAfterBreak="0">
    <w:nsid w:val="7E0D0257"/>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5" w15:restartNumberingAfterBreak="0">
    <w:nsid w:val="7E320BA1"/>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6" w15:restartNumberingAfterBreak="0">
    <w:nsid w:val="7E792B3D"/>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857" w15:restartNumberingAfterBreak="0">
    <w:nsid w:val="7EB36ED0"/>
    <w:multiLevelType w:val="multilevel"/>
    <w:tmpl w:val="335840F0"/>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upperLetter"/>
      <w:lvlText w:val="(%4)"/>
      <w:lvlJc w:val="left"/>
      <w:pPr>
        <w:ind w:left="2268" w:hanging="567"/>
      </w:pPr>
      <w:rPr>
        <w:rFonts w:hint="default"/>
      </w:rPr>
    </w:lvl>
    <w:lvl w:ilvl="4">
      <w:start w:val="1"/>
      <w:numFmt w:val="bullet"/>
      <w:lvlText w:val=""/>
      <w:lvlJc w:val="left"/>
      <w:pPr>
        <w:ind w:left="2835" w:hanging="567"/>
      </w:pPr>
      <w:rPr>
        <w:rFonts w:ascii="Symbol" w:hAnsi="Symbol"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858" w15:restartNumberingAfterBreak="0">
    <w:nsid w:val="7EB94344"/>
    <w:multiLevelType w:val="multilevel"/>
    <w:tmpl w:val="887EED66"/>
    <w:numStyleLink w:val="Tablenumbering"/>
  </w:abstractNum>
  <w:abstractNum w:abstractNumId="859" w15:restartNumberingAfterBreak="0">
    <w:nsid w:val="7EE604FB"/>
    <w:multiLevelType w:val="multilevel"/>
    <w:tmpl w:val="887EED66"/>
    <w:numStyleLink w:val="Tablenumbering"/>
  </w:abstractNum>
  <w:abstractNum w:abstractNumId="860" w15:restartNumberingAfterBreak="0">
    <w:nsid w:val="7F0A09A3"/>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1" w15:restartNumberingAfterBreak="0">
    <w:nsid w:val="7F1344BA"/>
    <w:multiLevelType w:val="multilevel"/>
    <w:tmpl w:val="9B5CA452"/>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2" w15:restartNumberingAfterBreak="0">
    <w:nsid w:val="7F48314C"/>
    <w:multiLevelType w:val="multilevel"/>
    <w:tmpl w:val="887EED66"/>
    <w:numStyleLink w:val="Tablenumbering"/>
  </w:abstractNum>
  <w:abstractNum w:abstractNumId="863" w15:restartNumberingAfterBreak="0">
    <w:nsid w:val="7F570E1F"/>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4" w15:restartNumberingAfterBreak="0">
    <w:nsid w:val="7F7173DF"/>
    <w:multiLevelType w:val="multilevel"/>
    <w:tmpl w:val="887EED66"/>
    <w:numStyleLink w:val="Tablenumbering"/>
  </w:abstractNum>
  <w:abstractNum w:abstractNumId="865" w15:restartNumberingAfterBreak="0">
    <w:nsid w:val="7F7B6080"/>
    <w:multiLevelType w:val="multilevel"/>
    <w:tmpl w:val="B07C379E"/>
    <w:lvl w:ilvl="0">
      <w:start w:val="1"/>
      <w:numFmt w:val="lowerLetter"/>
      <w:lvlText w:val="(%1)"/>
      <w:lvlJc w:val="left"/>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6" w15:restartNumberingAfterBreak="0">
    <w:nsid w:val="7F7E560B"/>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7" w15:restartNumberingAfterBreak="0">
    <w:nsid w:val="7FA060DF"/>
    <w:multiLevelType w:val="multilevel"/>
    <w:tmpl w:val="887EED66"/>
    <w:numStyleLink w:val="Tablenumbering"/>
  </w:abstractNum>
  <w:abstractNum w:abstractNumId="868" w15:restartNumberingAfterBreak="0">
    <w:nsid w:val="7FBB77F9"/>
    <w:multiLevelType w:val="multilevel"/>
    <w:tmpl w:val="9C7EF38E"/>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upperLetter"/>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9" w15:restartNumberingAfterBreak="0">
    <w:nsid w:val="7FBF1A42"/>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70" w15:restartNumberingAfterBreak="0">
    <w:nsid w:val="7FE42442"/>
    <w:multiLevelType w:val="multilevel"/>
    <w:tmpl w:val="887EED66"/>
    <w:numStyleLink w:val="Tablenumbering"/>
  </w:abstractNum>
  <w:abstractNum w:abstractNumId="871" w15:restartNumberingAfterBreak="0">
    <w:nsid w:val="7FF70CF6"/>
    <w:multiLevelType w:val="multilevel"/>
    <w:tmpl w:val="887EED66"/>
    <w:lvl w:ilvl="0">
      <w:start w:val="1"/>
      <w:numFmt w:val="lowerLetter"/>
      <w:lvlText w:val="(%1)"/>
      <w:lvlJc w:val="left"/>
      <w:pPr>
        <w:tabs>
          <w:tab w:val="num" w:pos="567"/>
        </w:tabs>
        <w:ind w:left="567" w:hanging="567"/>
      </w:pPr>
      <w:rPr>
        <w:rFonts w:ascii="Arial" w:hAnsi="Arial" w:hint="default"/>
        <w:sz w:val="20"/>
      </w:rPr>
    </w:lvl>
    <w:lvl w:ilvl="1">
      <w:start w:val="1"/>
      <w:numFmt w:val="lowerRoman"/>
      <w:lvlText w:val="(%2)"/>
      <w:lvlJc w:val="left"/>
      <w:pPr>
        <w:tabs>
          <w:tab w:val="num" w:pos="1134"/>
        </w:tabs>
        <w:ind w:left="1134" w:hanging="567"/>
      </w:pPr>
      <w:rPr>
        <w:rFonts w:hint="default"/>
      </w:rPr>
    </w:lvl>
    <w:lvl w:ilvl="2">
      <w:start w:val="1"/>
      <w:numFmt w:val="bullet"/>
      <w:lvlText w:val="•"/>
      <w:lvlJc w:val="left"/>
      <w:pPr>
        <w:tabs>
          <w:tab w:val="num" w:pos="1418"/>
        </w:tabs>
        <w:ind w:left="1418" w:hanging="284"/>
      </w:pPr>
      <w:rPr>
        <w:rFonts w:ascii="Arial" w:hAnsi="Arial"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694916069">
    <w:abstractNumId w:val="582"/>
  </w:num>
  <w:num w:numId="2" w16cid:durableId="330329188">
    <w:abstractNumId w:val="167"/>
  </w:num>
  <w:num w:numId="3" w16cid:durableId="131334500">
    <w:abstractNumId w:val="52"/>
  </w:num>
  <w:num w:numId="4" w16cid:durableId="1547377622">
    <w:abstractNumId w:val="20"/>
  </w:num>
  <w:num w:numId="5" w16cid:durableId="1121149611">
    <w:abstractNumId w:val="147"/>
  </w:num>
  <w:num w:numId="6" w16cid:durableId="939266196">
    <w:abstractNumId w:val="829"/>
  </w:num>
  <w:num w:numId="7" w16cid:durableId="259412660">
    <w:abstractNumId w:val="408"/>
  </w:num>
  <w:num w:numId="8" w16cid:durableId="1831017798">
    <w:abstractNumId w:val="189"/>
  </w:num>
  <w:num w:numId="9" w16cid:durableId="318312330">
    <w:abstractNumId w:val="419"/>
  </w:num>
  <w:num w:numId="10" w16cid:durableId="1705786104">
    <w:abstractNumId w:val="674"/>
  </w:num>
  <w:num w:numId="11" w16cid:durableId="1866819235">
    <w:abstractNumId w:val="790"/>
  </w:num>
  <w:num w:numId="12" w16cid:durableId="1224633121">
    <w:abstractNumId w:val="511"/>
  </w:num>
  <w:num w:numId="13" w16cid:durableId="952663882">
    <w:abstractNumId w:val="846"/>
  </w:num>
  <w:num w:numId="14" w16cid:durableId="1621304040">
    <w:abstractNumId w:val="90"/>
  </w:num>
  <w:num w:numId="15" w16cid:durableId="1890728631">
    <w:abstractNumId w:val="486"/>
  </w:num>
  <w:num w:numId="16" w16cid:durableId="1609923651">
    <w:abstractNumId w:val="646"/>
  </w:num>
  <w:num w:numId="17" w16cid:durableId="1407606007">
    <w:abstractNumId w:val="272"/>
  </w:num>
  <w:num w:numId="18" w16cid:durableId="314573129">
    <w:abstractNumId w:val="576"/>
  </w:num>
  <w:num w:numId="19" w16cid:durableId="2141921553">
    <w:abstractNumId w:val="8"/>
  </w:num>
  <w:num w:numId="20" w16cid:durableId="373892773">
    <w:abstractNumId w:val="370"/>
  </w:num>
  <w:num w:numId="21" w16cid:durableId="1840654222">
    <w:abstractNumId w:val="7"/>
  </w:num>
  <w:num w:numId="22" w16cid:durableId="779229078">
    <w:abstractNumId w:val="3"/>
  </w:num>
  <w:num w:numId="23" w16cid:durableId="1823962852">
    <w:abstractNumId w:val="2"/>
  </w:num>
  <w:num w:numId="24" w16cid:durableId="1277328886">
    <w:abstractNumId w:val="1"/>
  </w:num>
  <w:num w:numId="25" w16cid:durableId="2047749295">
    <w:abstractNumId w:val="0"/>
  </w:num>
  <w:num w:numId="26" w16cid:durableId="1899052549">
    <w:abstractNumId w:val="46"/>
  </w:num>
  <w:num w:numId="27" w16cid:durableId="725493699">
    <w:abstractNumId w:val="249"/>
  </w:num>
  <w:num w:numId="28" w16cid:durableId="1327778998">
    <w:abstractNumId w:val="551"/>
  </w:num>
  <w:num w:numId="29" w16cid:durableId="1123497555">
    <w:abstractNumId w:val="404"/>
    <w:lvlOverride w:ilvl="1">
      <w:lvl w:ilvl="1">
        <w:start w:val="1"/>
        <w:numFmt w:val="decimal"/>
        <w:lvlText w:val="%1.%2"/>
        <w:lvlJc w:val="left"/>
        <w:pPr>
          <w:tabs>
            <w:tab w:val="num" w:pos="851"/>
          </w:tabs>
          <w:ind w:left="851" w:hanging="851"/>
        </w:pPr>
        <w:rPr>
          <w:rFonts w:ascii="Arial Bold" w:hAnsi="Arial Bold" w:cs="Times New Roman" w:hint="default"/>
          <w:b/>
          <w:bCs w:val="0"/>
          <w:i w:val="0"/>
          <w:iCs w:val="0"/>
          <w:caps w:val="0"/>
          <w:smallCaps w:val="0"/>
          <w:strike w:val="0"/>
          <w:dstrike w:val="0"/>
          <w:outline w:val="0"/>
          <w:shadow w:val="0"/>
          <w:emboss w:val="0"/>
          <w:imprint w:val="0"/>
          <w:vanish w:val="0"/>
          <w:spacing w:val="0"/>
          <w:kern w:val="0"/>
          <w:position w:val="0"/>
          <w:sz w:val="28"/>
          <w:u w:val="none"/>
          <w:effect w:val="none"/>
          <w:vertAlign w:val="baseline"/>
          <w:em w:val="none"/>
          <w14:ligatures w14:val="none"/>
          <w14:numForm w14:val="default"/>
          <w14:numSpacing w14:val="default"/>
          <w14:stylisticSets/>
          <w14:cntxtAlts w14:val="0"/>
        </w:rPr>
      </w:lvl>
    </w:lvlOverride>
  </w:num>
  <w:num w:numId="30" w16cid:durableId="1278565800">
    <w:abstractNumId w:val="707"/>
  </w:num>
  <w:num w:numId="31" w16cid:durableId="2045250550">
    <w:abstractNumId w:val="723"/>
  </w:num>
  <w:num w:numId="32" w16cid:durableId="885486241">
    <w:abstractNumId w:val="279"/>
  </w:num>
  <w:num w:numId="33" w16cid:durableId="139084476">
    <w:abstractNumId w:val="283"/>
  </w:num>
  <w:num w:numId="34" w16cid:durableId="1875995651">
    <w:abstractNumId w:val="207"/>
  </w:num>
  <w:num w:numId="35" w16cid:durableId="1095324691">
    <w:abstractNumId w:val="19"/>
  </w:num>
  <w:num w:numId="36" w16cid:durableId="1011956150">
    <w:abstractNumId w:val="252"/>
  </w:num>
  <w:num w:numId="37" w16cid:durableId="766193345">
    <w:abstractNumId w:val="176"/>
  </w:num>
  <w:num w:numId="38" w16cid:durableId="996999959">
    <w:abstractNumId w:val="198"/>
  </w:num>
  <w:num w:numId="39" w16cid:durableId="598297987">
    <w:abstractNumId w:val="294"/>
  </w:num>
  <w:num w:numId="40" w16cid:durableId="764109591">
    <w:abstractNumId w:val="392"/>
  </w:num>
  <w:num w:numId="41" w16cid:durableId="1247111418">
    <w:abstractNumId w:val="231"/>
  </w:num>
  <w:num w:numId="42" w16cid:durableId="1656758728">
    <w:abstractNumId w:val="508"/>
  </w:num>
  <w:num w:numId="43" w16cid:durableId="1420524373">
    <w:abstractNumId w:val="32"/>
  </w:num>
  <w:num w:numId="44" w16cid:durableId="1977837433">
    <w:abstractNumId w:val="445"/>
  </w:num>
  <w:num w:numId="45" w16cid:durableId="839540084">
    <w:abstractNumId w:val="553"/>
  </w:num>
  <w:num w:numId="46" w16cid:durableId="296571923">
    <w:abstractNumId w:val="574"/>
  </w:num>
  <w:num w:numId="47" w16cid:durableId="1607350046">
    <w:abstractNumId w:val="471"/>
  </w:num>
  <w:num w:numId="48" w16cid:durableId="289824460">
    <w:abstractNumId w:val="79"/>
  </w:num>
  <w:num w:numId="49" w16cid:durableId="776219740">
    <w:abstractNumId w:val="165"/>
  </w:num>
  <w:num w:numId="50" w16cid:durableId="327288326">
    <w:abstractNumId w:val="847"/>
  </w:num>
  <w:num w:numId="51" w16cid:durableId="1047803451">
    <w:abstractNumId w:val="635"/>
  </w:num>
  <w:num w:numId="52" w16cid:durableId="656999373">
    <w:abstractNumId w:val="417"/>
  </w:num>
  <w:num w:numId="53" w16cid:durableId="1684013903">
    <w:abstractNumId w:val="775"/>
  </w:num>
  <w:num w:numId="54" w16cid:durableId="1711878125">
    <w:abstractNumId w:val="262"/>
  </w:num>
  <w:num w:numId="55" w16cid:durableId="194007096">
    <w:abstractNumId w:val="867"/>
  </w:num>
  <w:num w:numId="56" w16cid:durableId="1417627231">
    <w:abstractNumId w:val="180"/>
  </w:num>
  <w:num w:numId="57" w16cid:durableId="1977753775">
    <w:abstractNumId w:val="710"/>
  </w:num>
  <w:num w:numId="58" w16cid:durableId="399133867">
    <w:abstractNumId w:val="439"/>
  </w:num>
  <w:num w:numId="59" w16cid:durableId="1404645449">
    <w:abstractNumId w:val="345"/>
  </w:num>
  <w:num w:numId="60" w16cid:durableId="387076681">
    <w:abstractNumId w:val="386"/>
  </w:num>
  <w:num w:numId="61" w16cid:durableId="1726568474">
    <w:abstractNumId w:val="701"/>
  </w:num>
  <w:num w:numId="62" w16cid:durableId="604272957">
    <w:abstractNumId w:val="284"/>
  </w:num>
  <w:num w:numId="63" w16cid:durableId="1876379927">
    <w:abstractNumId w:val="158"/>
  </w:num>
  <w:num w:numId="64" w16cid:durableId="1307779363">
    <w:abstractNumId w:val="351"/>
  </w:num>
  <w:num w:numId="65" w16cid:durableId="869269639">
    <w:abstractNumId w:val="258"/>
  </w:num>
  <w:num w:numId="66" w16cid:durableId="1952319954">
    <w:abstractNumId w:val="96"/>
  </w:num>
  <w:num w:numId="67" w16cid:durableId="654722348">
    <w:abstractNumId w:val="786"/>
  </w:num>
  <w:num w:numId="68" w16cid:durableId="2098626284">
    <w:abstractNumId w:val="6"/>
  </w:num>
  <w:num w:numId="69" w16cid:durableId="1286279288">
    <w:abstractNumId w:val="5"/>
  </w:num>
  <w:num w:numId="70" w16cid:durableId="120421989">
    <w:abstractNumId w:val="4"/>
  </w:num>
  <w:num w:numId="71" w16cid:durableId="1351370355">
    <w:abstractNumId w:val="320"/>
  </w:num>
  <w:num w:numId="72" w16cid:durableId="86192244">
    <w:abstractNumId w:val="360"/>
  </w:num>
  <w:num w:numId="73" w16cid:durableId="2115663278">
    <w:abstractNumId w:val="331"/>
  </w:num>
  <w:num w:numId="74" w16cid:durableId="1637298703">
    <w:abstractNumId w:val="186"/>
  </w:num>
  <w:num w:numId="75" w16cid:durableId="2118675121">
    <w:abstractNumId w:val="433"/>
  </w:num>
  <w:num w:numId="76" w16cid:durableId="833104338">
    <w:abstractNumId w:val="322"/>
  </w:num>
  <w:num w:numId="77" w16cid:durableId="1195927095">
    <w:abstractNumId w:val="274"/>
  </w:num>
  <w:num w:numId="78" w16cid:durableId="824275737">
    <w:abstractNumId w:val="858"/>
  </w:num>
  <w:num w:numId="79" w16cid:durableId="1702317084">
    <w:abstractNumId w:val="491"/>
  </w:num>
  <w:num w:numId="80" w16cid:durableId="1926305170">
    <w:abstractNumId w:val="362"/>
  </w:num>
  <w:num w:numId="81" w16cid:durableId="1611085395">
    <w:abstractNumId w:val="356"/>
  </w:num>
  <w:num w:numId="82" w16cid:durableId="1449005732">
    <w:abstractNumId w:val="760"/>
  </w:num>
  <w:num w:numId="83" w16cid:durableId="1332370934">
    <w:abstractNumId w:val="212"/>
  </w:num>
  <w:num w:numId="84" w16cid:durableId="398333611">
    <w:abstractNumId w:val="376"/>
  </w:num>
  <w:num w:numId="85" w16cid:durableId="523129659">
    <w:abstractNumId w:val="391"/>
  </w:num>
  <w:num w:numId="86" w16cid:durableId="1305084174">
    <w:abstractNumId w:val="529"/>
  </w:num>
  <w:num w:numId="87" w16cid:durableId="1360087650">
    <w:abstractNumId w:val="481"/>
  </w:num>
  <w:num w:numId="88" w16cid:durableId="198278522">
    <w:abstractNumId w:val="119"/>
  </w:num>
  <w:num w:numId="89" w16cid:durableId="2096168977">
    <w:abstractNumId w:val="864"/>
  </w:num>
  <w:num w:numId="90" w16cid:durableId="1036465656">
    <w:abstractNumId w:val="182"/>
  </w:num>
  <w:num w:numId="91" w16cid:durableId="234558327">
    <w:abstractNumId w:val="140"/>
  </w:num>
  <w:num w:numId="92" w16cid:durableId="1743485662">
    <w:abstractNumId w:val="100"/>
  </w:num>
  <w:num w:numId="93" w16cid:durableId="1609313686">
    <w:abstractNumId w:val="89"/>
  </w:num>
  <w:num w:numId="94" w16cid:durableId="1835027763">
    <w:abstractNumId w:val="95"/>
  </w:num>
  <w:num w:numId="95" w16cid:durableId="1048800783">
    <w:abstractNumId w:val="177"/>
  </w:num>
  <w:num w:numId="96" w16cid:durableId="147980472">
    <w:abstractNumId w:val="27"/>
  </w:num>
  <w:num w:numId="97" w16cid:durableId="766121582">
    <w:abstractNumId w:val="468"/>
  </w:num>
  <w:num w:numId="98" w16cid:durableId="81606294">
    <w:abstractNumId w:val="535"/>
  </w:num>
  <w:num w:numId="99" w16cid:durableId="1166824291">
    <w:abstractNumId w:val="244"/>
  </w:num>
  <w:num w:numId="100" w16cid:durableId="40709476">
    <w:abstractNumId w:val="108"/>
  </w:num>
  <w:num w:numId="101" w16cid:durableId="1320572390">
    <w:abstractNumId w:val="380"/>
  </w:num>
  <w:num w:numId="102" w16cid:durableId="29772082">
    <w:abstractNumId w:val="225"/>
  </w:num>
  <w:num w:numId="103" w16cid:durableId="58747931">
    <w:abstractNumId w:val="114"/>
  </w:num>
  <w:num w:numId="104" w16cid:durableId="528185910">
    <w:abstractNumId w:val="237"/>
  </w:num>
  <w:num w:numId="105" w16cid:durableId="48305371">
    <w:abstractNumId w:val="396"/>
  </w:num>
  <w:num w:numId="106" w16cid:durableId="1905070125">
    <w:abstractNumId w:val="825"/>
  </w:num>
  <w:num w:numId="107" w16cid:durableId="1954746837">
    <w:abstractNumId w:val="559"/>
  </w:num>
  <w:num w:numId="108" w16cid:durableId="476339602">
    <w:abstractNumId w:val="571"/>
  </w:num>
  <w:num w:numId="109" w16cid:durableId="1365713437">
    <w:abstractNumId w:val="719"/>
  </w:num>
  <w:num w:numId="110" w16cid:durableId="1032849499">
    <w:abstractNumId w:val="390"/>
  </w:num>
  <w:num w:numId="111" w16cid:durableId="1550679040">
    <w:abstractNumId w:val="56"/>
  </w:num>
  <w:num w:numId="112" w16cid:durableId="1316493461">
    <w:abstractNumId w:val="107"/>
  </w:num>
  <w:num w:numId="113" w16cid:durableId="1678536105">
    <w:abstractNumId w:val="711"/>
  </w:num>
  <w:num w:numId="114" w16cid:durableId="1614748293">
    <w:abstractNumId w:val="621"/>
  </w:num>
  <w:num w:numId="115" w16cid:durableId="65492731">
    <w:abstractNumId w:val="693"/>
  </w:num>
  <w:num w:numId="116" w16cid:durableId="804809525">
    <w:abstractNumId w:val="796"/>
  </w:num>
  <w:num w:numId="117" w16cid:durableId="122892615">
    <w:abstractNumId w:val="791"/>
  </w:num>
  <w:num w:numId="118" w16cid:durableId="156194185">
    <w:abstractNumId w:val="782"/>
  </w:num>
  <w:num w:numId="119" w16cid:durableId="1165898010">
    <w:abstractNumId w:val="746"/>
  </w:num>
  <w:num w:numId="120" w16cid:durableId="454060227">
    <w:abstractNumId w:val="618"/>
  </w:num>
  <w:num w:numId="121" w16cid:durableId="1303729042">
    <w:abstractNumId w:val="636"/>
  </w:num>
  <w:num w:numId="122" w16cid:durableId="1356729983">
    <w:abstractNumId w:val="721"/>
  </w:num>
  <w:num w:numId="123" w16cid:durableId="1183594845">
    <w:abstractNumId w:val="841"/>
  </w:num>
  <w:num w:numId="124" w16cid:durableId="1341275407">
    <w:abstractNumId w:val="740"/>
  </w:num>
  <w:num w:numId="125" w16cid:durableId="754474570">
    <w:abstractNumId w:val="849"/>
  </w:num>
  <w:num w:numId="126" w16cid:durableId="394281534">
    <w:abstractNumId w:val="725"/>
  </w:num>
  <w:num w:numId="127" w16cid:durableId="885067984">
    <w:abstractNumId w:val="39"/>
  </w:num>
  <w:num w:numId="128" w16cid:durableId="2027171567">
    <w:abstractNumId w:val="698"/>
  </w:num>
  <w:num w:numId="129" w16cid:durableId="465784935">
    <w:abstractNumId w:val="842"/>
  </w:num>
  <w:num w:numId="130" w16cid:durableId="106701209">
    <w:abstractNumId w:val="259"/>
  </w:num>
  <w:num w:numId="131" w16cid:durableId="874392497">
    <w:abstractNumId w:val="610"/>
  </w:num>
  <w:num w:numId="132" w16cid:durableId="604269801">
    <w:abstractNumId w:val="712"/>
  </w:num>
  <w:num w:numId="133" w16cid:durableId="649597901">
    <w:abstractNumId w:val="599"/>
  </w:num>
  <w:num w:numId="134" w16cid:durableId="1925992973">
    <w:abstractNumId w:val="868"/>
  </w:num>
  <w:num w:numId="135" w16cid:durableId="752624567">
    <w:abstractNumId w:val="811"/>
  </w:num>
  <w:num w:numId="136" w16cid:durableId="1192306821">
    <w:abstractNumId w:val="680"/>
  </w:num>
  <w:num w:numId="137" w16cid:durableId="1762991290">
    <w:abstractNumId w:val="645"/>
  </w:num>
  <w:num w:numId="138" w16cid:durableId="387152581">
    <w:abstractNumId w:val="744"/>
  </w:num>
  <w:num w:numId="139" w16cid:durableId="1259606922">
    <w:abstractNumId w:val="776"/>
  </w:num>
  <w:num w:numId="140" w16cid:durableId="694963565">
    <w:abstractNumId w:val="747"/>
  </w:num>
  <w:num w:numId="141" w16cid:durableId="1388530601">
    <w:abstractNumId w:val="742"/>
  </w:num>
  <w:num w:numId="142" w16cid:durableId="717125343">
    <w:abstractNumId w:val="819"/>
  </w:num>
  <w:num w:numId="143" w16cid:durableId="662900458">
    <w:abstractNumId w:val="21"/>
  </w:num>
  <w:num w:numId="144" w16cid:durableId="2033994915">
    <w:abstractNumId w:val="762"/>
  </w:num>
  <w:num w:numId="145" w16cid:durableId="1784229962">
    <w:abstractNumId w:val="626"/>
  </w:num>
  <w:num w:numId="146" w16cid:durableId="1617835059">
    <w:abstractNumId w:val="675"/>
  </w:num>
  <w:num w:numId="147" w16cid:durableId="16398241">
    <w:abstractNumId w:val="629"/>
  </w:num>
  <w:num w:numId="148" w16cid:durableId="498931645">
    <w:abstractNumId w:val="807"/>
  </w:num>
  <w:num w:numId="149" w16cid:durableId="1914312828">
    <w:abstractNumId w:val="699"/>
  </w:num>
  <w:num w:numId="150" w16cid:durableId="969093310">
    <w:abstractNumId w:val="779"/>
  </w:num>
  <w:num w:numId="151" w16cid:durableId="205797986">
    <w:abstractNumId w:val="632"/>
  </w:num>
  <w:num w:numId="152" w16cid:durableId="1693993835">
    <w:abstractNumId w:val="821"/>
  </w:num>
  <w:num w:numId="153" w16cid:durableId="1284654855">
    <w:abstractNumId w:val="639"/>
  </w:num>
  <w:num w:numId="154" w16cid:durableId="1455901680">
    <w:abstractNumId w:val="722"/>
  </w:num>
  <w:num w:numId="155" w16cid:durableId="549221463">
    <w:abstractNumId w:val="784"/>
  </w:num>
  <w:num w:numId="156" w16cid:durableId="54621148">
    <w:abstractNumId w:val="687"/>
  </w:num>
  <w:num w:numId="157" w16cid:durableId="45299251">
    <w:abstractNumId w:val="732"/>
  </w:num>
  <w:num w:numId="158" w16cid:durableId="1634142930">
    <w:abstractNumId w:val="685"/>
  </w:num>
  <w:num w:numId="159" w16cid:durableId="426928026">
    <w:abstractNumId w:val="774"/>
  </w:num>
  <w:num w:numId="160" w16cid:durableId="1479151061">
    <w:abstractNumId w:val="151"/>
  </w:num>
  <w:num w:numId="161" w16cid:durableId="535394109">
    <w:abstractNumId w:val="780"/>
  </w:num>
  <w:num w:numId="162" w16cid:durableId="729613718">
    <w:abstractNumId w:val="657"/>
  </w:num>
  <w:num w:numId="163" w16cid:durableId="1718355069">
    <w:abstractNumId w:val="794"/>
  </w:num>
  <w:num w:numId="164" w16cid:durableId="718475025">
    <w:abstractNumId w:val="616"/>
  </w:num>
  <w:num w:numId="165" w16cid:durableId="1118766758">
    <w:abstractNumId w:val="591"/>
  </w:num>
  <w:num w:numId="166" w16cid:durableId="1940216885">
    <w:abstractNumId w:val="604"/>
  </w:num>
  <w:num w:numId="167" w16cid:durableId="980160474">
    <w:abstractNumId w:val="728"/>
  </w:num>
  <w:num w:numId="168" w16cid:durableId="1818299982">
    <w:abstractNumId w:val="752"/>
  </w:num>
  <w:num w:numId="169" w16cid:durableId="1477994963">
    <w:abstractNumId w:val="656"/>
  </w:num>
  <w:num w:numId="170" w16cid:durableId="503669991">
    <w:abstractNumId w:val="792"/>
  </w:num>
  <w:num w:numId="171" w16cid:durableId="1684743491">
    <w:abstractNumId w:val="724"/>
  </w:num>
  <w:num w:numId="172" w16cid:durableId="1429153017">
    <w:abstractNumId w:val="669"/>
  </w:num>
  <w:num w:numId="173" w16cid:durableId="151138665">
    <w:abstractNumId w:val="743"/>
  </w:num>
  <w:num w:numId="174" w16cid:durableId="2034843666">
    <w:abstractNumId w:val="666"/>
  </w:num>
  <w:num w:numId="175" w16cid:durableId="937104688">
    <w:abstractNumId w:val="628"/>
  </w:num>
  <w:num w:numId="176" w16cid:durableId="38625793">
    <w:abstractNumId w:val="672"/>
  </w:num>
  <w:num w:numId="177" w16cid:durableId="1593930833">
    <w:abstractNumId w:val="650"/>
  </w:num>
  <w:num w:numId="178" w16cid:durableId="1598758161">
    <w:abstractNumId w:val="14"/>
  </w:num>
  <w:num w:numId="179" w16cid:durableId="1385056155">
    <w:abstractNumId w:val="33"/>
  </w:num>
  <w:num w:numId="180" w16cid:durableId="1390693261">
    <w:abstractNumId w:val="36"/>
  </w:num>
  <w:num w:numId="181" w16cid:durableId="966816511">
    <w:abstractNumId w:val="652"/>
  </w:num>
  <w:num w:numId="182" w16cid:durableId="258291518">
    <w:abstractNumId w:val="830"/>
  </w:num>
  <w:num w:numId="183" w16cid:durableId="1389525439">
    <w:abstractNumId w:val="34"/>
  </w:num>
  <w:num w:numId="184" w16cid:durableId="462429795">
    <w:abstractNumId w:val="634"/>
  </w:num>
  <w:num w:numId="185" w16cid:durableId="1291471120">
    <w:abstractNumId w:val="561"/>
  </w:num>
  <w:num w:numId="186" w16cid:durableId="1654483087">
    <w:abstractNumId w:val="689"/>
  </w:num>
  <w:num w:numId="187" w16cid:durableId="2055542617">
    <w:abstractNumId w:val="823"/>
  </w:num>
  <w:num w:numId="188" w16cid:durableId="94790543">
    <w:abstractNumId w:val="589"/>
  </w:num>
  <w:num w:numId="189" w16cid:durableId="156112379">
    <w:abstractNumId w:val="336"/>
  </w:num>
  <w:num w:numId="190" w16cid:durableId="1579288786">
    <w:abstractNumId w:val="10"/>
  </w:num>
  <w:num w:numId="191" w16cid:durableId="1181046996">
    <w:abstractNumId w:val="29"/>
  </w:num>
  <w:num w:numId="192" w16cid:durableId="485971451">
    <w:abstractNumId w:val="464"/>
  </w:num>
  <w:num w:numId="193" w16cid:durableId="338241031">
    <w:abstractNumId w:val="455"/>
  </w:num>
  <w:num w:numId="194" w16cid:durableId="1872256559">
    <w:abstractNumId w:val="403"/>
  </w:num>
  <w:num w:numId="195" w16cid:durableId="98919393">
    <w:abstractNumId w:val="640"/>
  </w:num>
  <w:num w:numId="196" w16cid:durableId="303243130">
    <w:abstractNumId w:val="453"/>
  </w:num>
  <w:num w:numId="197" w16cid:durableId="1452748590">
    <w:abstractNumId w:val="349"/>
  </w:num>
  <w:num w:numId="198" w16cid:durableId="1289631224">
    <w:abstractNumId w:val="866"/>
  </w:num>
  <w:num w:numId="199" w16cid:durableId="1954940577">
    <w:abstractNumId w:val="648"/>
  </w:num>
  <w:num w:numId="200" w16cid:durableId="1248617276">
    <w:abstractNumId w:val="127"/>
  </w:num>
  <w:num w:numId="201" w16cid:durableId="2131125045">
    <w:abstractNumId w:val="751"/>
  </w:num>
  <w:num w:numId="202" w16cid:durableId="88814545">
    <w:abstractNumId w:val="490"/>
  </w:num>
  <w:num w:numId="203" w16cid:durableId="1402026196">
    <w:abstractNumId w:val="371"/>
  </w:num>
  <w:num w:numId="204" w16cid:durableId="2109344824">
    <w:abstractNumId w:val="318"/>
  </w:num>
  <w:num w:numId="205" w16cid:durableId="967321938">
    <w:abstractNumId w:val="130"/>
  </w:num>
  <w:num w:numId="206" w16cid:durableId="1685470686">
    <w:abstractNumId w:val="678"/>
  </w:num>
  <w:num w:numId="207" w16cid:durableId="275453305">
    <w:abstractNumId w:val="583"/>
  </w:num>
  <w:num w:numId="208" w16cid:durableId="742489276">
    <w:abstractNumId w:val="422"/>
  </w:num>
  <w:num w:numId="209" w16cid:durableId="1708215941">
    <w:abstractNumId w:val="337"/>
  </w:num>
  <w:num w:numId="210" w16cid:durableId="778796944">
    <w:abstractNumId w:val="305"/>
  </w:num>
  <w:num w:numId="211" w16cid:durableId="2054889138">
    <w:abstractNumId w:val="71"/>
  </w:num>
  <w:num w:numId="212" w16cid:durableId="474295224">
    <w:abstractNumId w:val="541"/>
  </w:num>
  <w:num w:numId="213" w16cid:durableId="107897617">
    <w:abstractNumId w:val="169"/>
  </w:num>
  <w:num w:numId="214" w16cid:durableId="1193374317">
    <w:abstractNumId w:val="538"/>
  </w:num>
  <w:num w:numId="215" w16cid:durableId="868445772">
    <w:abstractNumId w:val="620"/>
  </w:num>
  <w:num w:numId="216" w16cid:durableId="1282420771">
    <w:abstractNumId w:val="41"/>
  </w:num>
  <w:num w:numId="217" w16cid:durableId="1536389228">
    <w:abstractNumId w:val="816"/>
  </w:num>
  <w:num w:numId="218" w16cid:durableId="812410862">
    <w:abstractNumId w:val="695"/>
  </w:num>
  <w:num w:numId="219" w16cid:durableId="1546599797">
    <w:abstractNumId w:val="243"/>
  </w:num>
  <w:num w:numId="220" w16cid:durableId="756630469">
    <w:abstractNumId w:val="267"/>
  </w:num>
  <w:num w:numId="221" w16cid:durableId="2041543229">
    <w:abstractNumId w:val="271"/>
  </w:num>
  <w:num w:numId="222" w16cid:durableId="1339967788">
    <w:abstractNumId w:val="863"/>
  </w:num>
  <w:num w:numId="223" w16cid:durableId="1800564387">
    <w:abstractNumId w:val="73"/>
  </w:num>
  <w:num w:numId="224" w16cid:durableId="1737774171">
    <w:abstractNumId w:val="686"/>
  </w:num>
  <w:num w:numId="225" w16cid:durableId="449128919">
    <w:abstractNumId w:val="729"/>
  </w:num>
  <w:num w:numId="226" w16cid:durableId="1924871001">
    <w:abstractNumId w:val="793"/>
  </w:num>
  <w:num w:numId="227" w16cid:durableId="1480927518">
    <w:abstractNumId w:val="393"/>
  </w:num>
  <w:num w:numId="228" w16cid:durableId="144057956">
    <w:abstractNumId w:val="527"/>
  </w:num>
  <w:num w:numId="229" w16cid:durableId="488401869">
    <w:abstractNumId w:val="22"/>
  </w:num>
  <w:num w:numId="230" w16cid:durableId="2047949380">
    <w:abstractNumId w:val="434"/>
  </w:num>
  <w:num w:numId="231" w16cid:durableId="887763829">
    <w:abstractNumId w:val="530"/>
  </w:num>
  <w:num w:numId="232" w16cid:durableId="1670792212">
    <w:abstractNumId w:val="88"/>
  </w:num>
  <w:num w:numId="233" w16cid:durableId="1040325913">
    <w:abstractNumId w:val="174"/>
  </w:num>
  <w:num w:numId="234" w16cid:durableId="1137724417">
    <w:abstractNumId w:val="802"/>
  </w:num>
  <w:num w:numId="235" w16cid:durableId="1942299898">
    <w:abstractNumId w:val="494"/>
  </w:num>
  <w:num w:numId="236" w16cid:durableId="39742656">
    <w:abstractNumId w:val="526"/>
  </w:num>
  <w:num w:numId="237" w16cid:durableId="1611009089">
    <w:abstractNumId w:val="416"/>
  </w:num>
  <w:num w:numId="238" w16cid:durableId="215091912">
    <w:abstractNumId w:val="836"/>
  </w:num>
  <w:num w:numId="239" w16cid:durableId="2100831157">
    <w:abstractNumId w:val="306"/>
  </w:num>
  <w:num w:numId="240" w16cid:durableId="1678656541">
    <w:abstractNumId w:val="328"/>
  </w:num>
  <w:num w:numId="241" w16cid:durableId="1251280624">
    <w:abstractNumId w:val="457"/>
  </w:num>
  <w:num w:numId="242" w16cid:durableId="2059165943">
    <w:abstractNumId w:val="80"/>
  </w:num>
  <w:num w:numId="243" w16cid:durableId="1015379107">
    <w:abstractNumId w:val="460"/>
  </w:num>
  <w:num w:numId="244" w16cid:durableId="18896636">
    <w:abstractNumId w:val="606"/>
  </w:num>
  <w:num w:numId="245" w16cid:durableId="922568469">
    <w:abstractNumId w:val="11"/>
  </w:num>
  <w:num w:numId="246" w16cid:durableId="1747410539">
    <w:abstractNumId w:val="504"/>
  </w:num>
  <w:num w:numId="247" w16cid:durableId="964116986">
    <w:abstractNumId w:val="412"/>
  </w:num>
  <w:num w:numId="248" w16cid:durableId="1172571875">
    <w:abstractNumId w:val="581"/>
  </w:num>
  <w:num w:numId="249" w16cid:durableId="760223808">
    <w:abstractNumId w:val="563"/>
  </w:num>
  <w:num w:numId="250" w16cid:durableId="224143339">
    <w:abstractNumId w:val="856"/>
  </w:num>
  <w:num w:numId="251" w16cid:durableId="1113013864">
    <w:abstractNumId w:val="564"/>
  </w:num>
  <w:num w:numId="252" w16cid:durableId="1413433952">
    <w:abstractNumId w:val="649"/>
  </w:num>
  <w:num w:numId="253" w16cid:durableId="344747765">
    <w:abstractNumId w:val="565"/>
  </w:num>
  <w:num w:numId="254" w16cid:durableId="1124690783">
    <w:abstractNumId w:val="444"/>
  </w:num>
  <w:num w:numId="255" w16cid:durableId="842281639">
    <w:abstractNumId w:val="373"/>
  </w:num>
  <w:num w:numId="256" w16cid:durableId="1480228301">
    <w:abstractNumId w:val="358"/>
  </w:num>
  <w:num w:numId="257" w16cid:durableId="413939140">
    <w:abstractNumId w:val="261"/>
  </w:num>
  <w:num w:numId="258" w16cid:durableId="1872766372">
    <w:abstractNumId w:val="587"/>
  </w:num>
  <w:num w:numId="259" w16cid:durableId="2081709836">
    <w:abstractNumId w:val="51"/>
  </w:num>
  <w:num w:numId="260" w16cid:durableId="694186861">
    <w:abstractNumId w:val="309"/>
  </w:num>
  <w:num w:numId="261" w16cid:durableId="786971066">
    <w:abstractNumId w:val="727"/>
  </w:num>
  <w:num w:numId="262" w16cid:durableId="310447561">
    <w:abstractNumId w:val="57"/>
  </w:num>
  <w:num w:numId="263" w16cid:durableId="2067100546">
    <w:abstractNumId w:val="285"/>
  </w:num>
  <w:num w:numId="264" w16cid:durableId="1489323544">
    <w:abstractNumId w:val="290"/>
  </w:num>
  <w:num w:numId="265" w16cid:durableId="863438793">
    <w:abstractNumId w:val="590"/>
  </w:num>
  <w:num w:numId="266" w16cid:durableId="1057318685">
    <w:abstractNumId w:val="781"/>
  </w:num>
  <w:num w:numId="267" w16cid:durableId="1184056054">
    <w:abstractNumId w:val="196"/>
  </w:num>
  <w:num w:numId="268" w16cid:durableId="1920866004">
    <w:abstractNumId w:val="467"/>
  </w:num>
  <w:num w:numId="269" w16cid:durableId="1296716591">
    <w:abstractNumId w:val="238"/>
  </w:num>
  <w:num w:numId="270" w16cid:durableId="318387878">
    <w:abstractNumId w:val="857"/>
  </w:num>
  <w:num w:numId="271" w16cid:durableId="972757143">
    <w:abstractNumId w:val="602"/>
  </w:num>
  <w:num w:numId="272" w16cid:durableId="1357343472">
    <w:abstractNumId w:val="850"/>
  </w:num>
  <w:num w:numId="273" w16cid:durableId="1813985074">
    <w:abstractNumId w:val="104"/>
  </w:num>
  <w:num w:numId="274" w16cid:durableId="1130712253">
    <w:abstractNumId w:val="184"/>
  </w:num>
  <w:num w:numId="275" w16cid:durableId="1375931592">
    <w:abstractNumId w:val="315"/>
  </w:num>
  <w:num w:numId="276" w16cid:durableId="1328945657">
    <w:abstractNumId w:val="651"/>
  </w:num>
  <w:num w:numId="277" w16cid:durableId="995034465">
    <w:abstractNumId w:val="869"/>
  </w:num>
  <w:num w:numId="278" w16cid:durableId="436170364">
    <w:abstractNumId w:val="242"/>
  </w:num>
  <w:num w:numId="279" w16cid:durableId="1005861859">
    <w:abstractNumId w:val="766"/>
  </w:num>
  <w:num w:numId="280" w16cid:durableId="1505978897">
    <w:abstractNumId w:val="131"/>
  </w:num>
  <w:num w:numId="281" w16cid:durableId="1492675777">
    <w:abstractNumId w:val="789"/>
  </w:num>
  <w:num w:numId="282" w16cid:durableId="50227101">
    <w:abstractNumId w:val="424"/>
  </w:num>
  <w:num w:numId="283" w16cid:durableId="887257317">
    <w:abstractNumId w:val="292"/>
  </w:num>
  <w:num w:numId="284" w16cid:durableId="2056419696">
    <w:abstractNumId w:val="748"/>
  </w:num>
  <w:num w:numId="285" w16cid:durableId="1636762601">
    <w:abstractNumId w:val="476"/>
  </w:num>
  <w:num w:numId="286" w16cid:durableId="904217780">
    <w:abstractNumId w:val="136"/>
  </w:num>
  <w:num w:numId="287" w16cid:durableId="646016766">
    <w:abstractNumId w:val="495"/>
  </w:num>
  <w:num w:numId="288" w16cid:durableId="978073097">
    <w:abstractNumId w:val="797"/>
  </w:num>
  <w:num w:numId="289" w16cid:durableId="1143546223">
    <w:abstractNumId w:val="533"/>
  </w:num>
  <w:num w:numId="290" w16cid:durableId="1539857265">
    <w:abstractNumId w:val="150"/>
  </w:num>
  <w:num w:numId="291" w16cid:durableId="1808235307">
    <w:abstractNumId w:val="556"/>
  </w:num>
  <w:num w:numId="292" w16cid:durableId="620036958">
    <w:abstractNumId w:val="498"/>
  </w:num>
  <w:num w:numId="293" w16cid:durableId="1430000635">
    <w:abstractNumId w:val="492"/>
  </w:num>
  <w:num w:numId="294" w16cid:durableId="2092240027">
    <w:abstractNumId w:val="111"/>
  </w:num>
  <w:num w:numId="295" w16cid:durableId="1886138859">
    <w:abstractNumId w:val="365"/>
  </w:num>
  <w:num w:numId="296" w16cid:durableId="1914700002">
    <w:abstractNumId w:val="181"/>
  </w:num>
  <w:num w:numId="297" w16cid:durableId="870342830">
    <w:abstractNumId w:val="692"/>
  </w:num>
  <w:num w:numId="298" w16cid:durableId="1280724550">
    <w:abstractNumId w:val="545"/>
  </w:num>
  <w:num w:numId="299" w16cid:durableId="1057632100">
    <w:abstractNumId w:val="72"/>
  </w:num>
  <w:num w:numId="300" w16cid:durableId="1380128088">
    <w:abstractNumId w:val="560"/>
  </w:num>
  <w:num w:numId="301" w16cid:durableId="686709312">
    <w:abstractNumId w:val="61"/>
  </w:num>
  <w:num w:numId="302" w16cid:durableId="579216459">
    <w:abstractNumId w:val="78"/>
  </w:num>
  <w:num w:numId="303" w16cid:durableId="1350720390">
    <w:abstractNumId w:val="845"/>
  </w:num>
  <w:num w:numId="304" w16cid:durableId="1973902693">
    <w:abstractNumId w:val="697"/>
  </w:num>
  <w:num w:numId="305" w16cid:durableId="1983777057">
    <w:abstractNumId w:val="463"/>
  </w:num>
  <w:num w:numId="306" w16cid:durableId="1941525576">
    <w:abstractNumId w:val="446"/>
  </w:num>
  <w:num w:numId="307" w16cid:durableId="1374891354">
    <w:abstractNumId w:val="183"/>
  </w:num>
  <w:num w:numId="308" w16cid:durableId="1681857216">
    <w:abstractNumId w:val="734"/>
  </w:num>
  <w:num w:numId="309" w16cid:durableId="89469161">
    <w:abstractNumId w:val="348"/>
  </w:num>
  <w:num w:numId="310" w16cid:durableId="2108184970">
    <w:abstractNumId w:val="293"/>
  </w:num>
  <w:num w:numId="311" w16cid:durableId="1282036767">
    <w:abstractNumId w:val="804"/>
  </w:num>
  <w:num w:numId="312" w16cid:durableId="29301599">
    <w:abstractNumId w:val="128"/>
  </w:num>
  <w:num w:numId="313" w16cid:durableId="194343554">
    <w:abstractNumId w:val="532"/>
  </w:num>
  <w:num w:numId="314" w16cid:durableId="1300376327">
    <w:abstractNumId w:val="817"/>
  </w:num>
  <w:num w:numId="315" w16cid:durableId="205416451">
    <w:abstractNumId w:val="23"/>
  </w:num>
  <w:num w:numId="316" w16cid:durableId="782962823">
    <w:abstractNumId w:val="280"/>
  </w:num>
  <w:num w:numId="317" w16cid:durableId="919102654">
    <w:abstractNumId w:val="421"/>
  </w:num>
  <w:num w:numId="318" w16cid:durableId="1958902893">
    <w:abstractNumId w:val="330"/>
  </w:num>
  <w:num w:numId="319" w16cid:durableId="1517116462">
    <w:abstractNumId w:val="66"/>
  </w:num>
  <w:num w:numId="320" w16cid:durableId="807548554">
    <w:abstractNumId w:val="787"/>
  </w:num>
  <w:num w:numId="321" w16cid:durableId="1225025384">
    <w:abstractNumId w:val="630"/>
  </w:num>
  <w:num w:numId="322" w16cid:durableId="1717385280">
    <w:abstractNumId w:val="827"/>
  </w:num>
  <w:num w:numId="323" w16cid:durableId="1490755617">
    <w:abstractNumId w:val="310"/>
  </w:num>
  <w:num w:numId="324" w16cid:durableId="1152647524">
    <w:abstractNumId w:val="389"/>
  </w:num>
  <w:num w:numId="325" w16cid:durableId="1503005528">
    <w:abstractNumId w:val="342"/>
  </w:num>
  <w:num w:numId="326" w16cid:durableId="906376076">
    <w:abstractNumId w:val="549"/>
  </w:num>
  <w:num w:numId="327" w16cid:durableId="367492390">
    <w:abstractNumId w:val="115"/>
  </w:num>
  <w:num w:numId="328" w16cid:durableId="1158040511">
    <w:abstractNumId w:val="703"/>
  </w:num>
  <w:num w:numId="329" w16cid:durableId="2055536766">
    <w:abstractNumId w:val="429"/>
  </w:num>
  <w:num w:numId="330" w16cid:durableId="1532917828">
    <w:abstractNumId w:val="702"/>
  </w:num>
  <w:num w:numId="331" w16cid:durableId="1270359764">
    <w:abstractNumId w:val="250"/>
  </w:num>
  <w:num w:numId="332" w16cid:durableId="754204640">
    <w:abstractNumId w:val="673"/>
  </w:num>
  <w:num w:numId="333" w16cid:durableId="274292283">
    <w:abstractNumId w:val="801"/>
  </w:num>
  <w:num w:numId="334" w16cid:durableId="218832485">
    <w:abstractNumId w:val="103"/>
  </w:num>
  <w:num w:numId="335" w16cid:durableId="2020309409">
    <w:abstractNumId w:val="266"/>
  </w:num>
  <w:num w:numId="336" w16cid:durableId="2111658281">
    <w:abstractNumId w:val="528"/>
  </w:num>
  <w:num w:numId="337" w16cid:durableId="309093384">
    <w:abstractNumId w:val="667"/>
  </w:num>
  <w:num w:numId="338" w16cid:durableId="292369095">
    <w:abstractNumId w:val="332"/>
  </w:num>
  <w:num w:numId="339" w16cid:durableId="152255859">
    <w:abstractNumId w:val="156"/>
  </w:num>
  <w:num w:numId="340" w16cid:durableId="812261982">
    <w:abstractNumId w:val="191"/>
  </w:num>
  <w:num w:numId="341" w16cid:durableId="2049182196">
    <w:abstractNumId w:val="83"/>
  </w:num>
  <w:num w:numId="342" w16cid:durableId="1573008841">
    <w:abstractNumId w:val="531"/>
  </w:num>
  <w:num w:numId="343" w16cid:durableId="1490051812">
    <w:abstractNumId w:val="605"/>
  </w:num>
  <w:num w:numId="344" w16cid:durableId="1277904494">
    <w:abstractNumId w:val="76"/>
  </w:num>
  <w:num w:numId="345" w16cid:durableId="1312834813">
    <w:abstractNumId w:val="255"/>
  </w:num>
  <w:num w:numId="346" w16cid:durableId="1313869493">
    <w:abstractNumId w:val="828"/>
  </w:num>
  <w:num w:numId="347" w16cid:durableId="69743138">
    <w:abstractNumId w:val="254"/>
  </w:num>
  <w:num w:numId="348" w16cid:durableId="1937787248">
    <w:abstractNumId w:val="617"/>
  </w:num>
  <w:num w:numId="349" w16cid:durableId="914359693">
    <w:abstractNumId w:val="609"/>
  </w:num>
  <w:num w:numId="350" w16cid:durableId="1635210034">
    <w:abstractNumId w:val="187"/>
  </w:num>
  <w:num w:numId="351" w16cid:durableId="1338069678">
    <w:abstractNumId w:val="462"/>
  </w:num>
  <w:num w:numId="352" w16cid:durableId="1190875724">
    <w:abstractNumId w:val="483"/>
  </w:num>
  <w:num w:numId="353" w16cid:durableId="915285586">
    <w:abstractNumId w:val="344"/>
  </w:num>
  <w:num w:numId="354" w16cid:durableId="1224295670">
    <w:abstractNumId w:val="431"/>
  </w:num>
  <w:num w:numId="355" w16cid:durableId="1075281142">
    <w:abstractNumId w:val="534"/>
  </w:num>
  <w:num w:numId="356" w16cid:durableId="741374571">
    <w:abstractNumId w:val="210"/>
  </w:num>
  <w:num w:numId="357" w16cid:durableId="1993025972">
    <w:abstractNumId w:val="757"/>
  </w:num>
  <w:num w:numId="358" w16cid:durableId="69817384">
    <w:abstractNumId w:val="265"/>
  </w:num>
  <w:num w:numId="359" w16cid:durableId="372462965">
    <w:abstractNumId w:val="450"/>
  </w:num>
  <w:num w:numId="360" w16cid:durableId="1399596892">
    <w:abstractNumId w:val="144"/>
  </w:num>
  <w:num w:numId="361" w16cid:durableId="598027570">
    <w:abstractNumId w:val="273"/>
  </w:num>
  <w:num w:numId="362" w16cid:durableId="861358242">
    <w:abstractNumId w:val="126"/>
  </w:num>
  <w:num w:numId="363" w16cid:durableId="700517819">
    <w:abstractNumId w:val="301"/>
  </w:num>
  <w:num w:numId="364" w16cid:durableId="1200095839">
    <w:abstractNumId w:val="381"/>
  </w:num>
  <w:num w:numId="365" w16cid:durableId="1991324782">
    <w:abstractNumId w:val="48"/>
  </w:num>
  <w:num w:numId="366" w16cid:durableId="222910280">
    <w:abstractNumId w:val="366"/>
  </w:num>
  <w:num w:numId="367" w16cid:durableId="1502893089">
    <w:abstractNumId w:val="624"/>
  </w:num>
  <w:num w:numId="368" w16cid:durableId="1869171699">
    <w:abstractNumId w:val="500"/>
  </w:num>
  <w:num w:numId="369" w16cid:durableId="367923087">
    <w:abstractNumId w:val="334"/>
  </w:num>
  <w:num w:numId="370" w16cid:durableId="1825705523">
    <w:abstractNumId w:val="615"/>
  </w:num>
  <w:num w:numId="371" w16cid:durableId="1216621344">
    <w:abstractNumId w:val="190"/>
  </w:num>
  <w:num w:numId="372" w16cid:durableId="1370909405">
    <w:abstractNumId w:val="175"/>
  </w:num>
  <w:num w:numId="373" w16cid:durableId="2062172961">
    <w:abstractNumId w:val="838"/>
  </w:num>
  <w:num w:numId="374" w16cid:durableId="1778939455">
    <w:abstractNumId w:val="690"/>
  </w:num>
  <w:num w:numId="375" w16cid:durableId="458840360">
    <w:abstractNumId w:val="594"/>
  </w:num>
  <w:num w:numId="376" w16cid:durableId="1119684254">
    <w:abstractNumId w:val="152"/>
  </w:num>
  <w:num w:numId="377" w16cid:durableId="521632189">
    <w:abstractNumId w:val="372"/>
  </w:num>
  <w:num w:numId="378" w16cid:durableId="1274167473">
    <w:abstractNumId w:val="522"/>
  </w:num>
  <w:num w:numId="379" w16cid:durableId="1746144517">
    <w:abstractNumId w:val="221"/>
  </w:num>
  <w:num w:numId="380" w16cid:durableId="266617272">
    <w:abstractNumId w:val="658"/>
  </w:num>
  <w:num w:numId="381" w16cid:durableId="1020156912">
    <w:abstractNumId w:val="860"/>
  </w:num>
  <w:num w:numId="382" w16cid:durableId="2010866245">
    <w:abstractNumId w:val="755"/>
  </w:num>
  <w:num w:numId="383" w16cid:durableId="1439981869">
    <w:abstractNumId w:val="223"/>
  </w:num>
  <w:num w:numId="384" w16cid:durableId="587467258">
    <w:abstractNumId w:val="547"/>
  </w:num>
  <w:num w:numId="385" w16cid:durableId="1929802467">
    <w:abstractNumId w:val="241"/>
  </w:num>
  <w:num w:numId="386" w16cid:durableId="1742143723">
    <w:abstractNumId w:val="194"/>
  </w:num>
  <w:num w:numId="387" w16cid:durableId="1518537595">
    <w:abstractNumId w:val="409"/>
  </w:num>
  <w:num w:numId="388" w16cid:durableId="999582777">
    <w:abstractNumId w:val="808"/>
  </w:num>
  <w:num w:numId="389" w16cid:durableId="1950165738">
    <w:abstractNumId w:val="314"/>
  </w:num>
  <w:num w:numId="390" w16cid:durableId="1130168892">
    <w:abstractNumId w:val="245"/>
  </w:num>
  <w:num w:numId="391" w16cid:durableId="519242041">
    <w:abstractNumId w:val="35"/>
  </w:num>
  <w:num w:numId="392" w16cid:durableId="1998612283">
    <w:abstractNumId w:val="333"/>
  </w:num>
  <w:num w:numId="393" w16cid:durableId="1816873354">
    <w:abstractNumId w:val="623"/>
  </w:num>
  <w:num w:numId="394" w16cid:durableId="72746403">
    <w:abstractNumId w:val="496"/>
  </w:num>
  <w:num w:numId="395" w16cid:durableId="1885944133">
    <w:abstractNumId w:val="506"/>
  </w:num>
  <w:num w:numId="396" w16cid:durableId="950282513">
    <w:abstractNumId w:val="546"/>
  </w:num>
  <w:num w:numId="397" w16cid:durableId="1994409409">
    <w:abstractNumId w:val="316"/>
  </w:num>
  <w:num w:numId="398" w16cid:durableId="853423708">
    <w:abstractNumId w:val="287"/>
  </w:num>
  <w:num w:numId="399" w16cid:durableId="140928016">
    <w:abstractNumId w:val="853"/>
  </w:num>
  <w:num w:numId="400" w16cid:durableId="403374488">
    <w:abstractNumId w:val="63"/>
  </w:num>
  <w:num w:numId="401" w16cid:durableId="644816392">
    <w:abstractNumId w:val="326"/>
  </w:num>
  <w:num w:numId="402" w16cid:durableId="1002658371">
    <w:abstractNumId w:val="139"/>
  </w:num>
  <w:num w:numId="403" w16cid:durableId="1240366129">
    <w:abstractNumId w:val="539"/>
  </w:num>
  <w:num w:numId="404" w16cid:durableId="1382945472">
    <w:abstractNumId w:val="798"/>
  </w:num>
  <w:num w:numId="405" w16cid:durableId="2081055715">
    <w:abstractNumId w:val="790"/>
    <w:lvlOverride w:ilvl="0">
      <w:startOverride w:val="6"/>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16cid:durableId="857622663">
    <w:abstractNumId w:val="790"/>
    <w:lvlOverride w:ilvl="0">
      <w:startOverride w:val="6"/>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16cid:durableId="1892879426">
    <w:abstractNumId w:val="790"/>
    <w:lvlOverride w:ilvl="0">
      <w:startOverride w:val="6"/>
    </w:lvlOverride>
    <w:lvlOverride w:ilvl="1">
      <w:startOverride w:val="2"/>
    </w:lvlOverride>
    <w:lvlOverride w:ilvl="2">
      <w:startOverride w:val="7"/>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16cid:durableId="716781972">
    <w:abstractNumId w:val="790"/>
    <w:lvlOverride w:ilvl="0">
      <w:startOverride w:val="6"/>
    </w:lvlOverride>
    <w:lvlOverride w:ilvl="1">
      <w:startOverride w:val="2"/>
    </w:lvlOverride>
    <w:lvlOverride w:ilvl="2">
      <w:startOverride w:val="2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16cid:durableId="2061661339">
    <w:abstractNumId w:val="378"/>
  </w:num>
  <w:num w:numId="410" w16cid:durableId="1229917977">
    <w:abstractNumId w:val="105"/>
  </w:num>
  <w:num w:numId="411" w16cid:durableId="1820612706">
    <w:abstractNumId w:val="814"/>
  </w:num>
  <w:num w:numId="412" w16cid:durableId="1020204494">
    <w:abstractNumId w:val="268"/>
  </w:num>
  <w:num w:numId="413" w16cid:durableId="1516456865">
    <w:abstractNumId w:val="101"/>
  </w:num>
  <w:num w:numId="414" w16cid:durableId="96291059">
    <w:abstractNumId w:val="230"/>
  </w:num>
  <w:num w:numId="415" w16cid:durableId="554194620">
    <w:abstractNumId w:val="275"/>
  </w:num>
  <w:num w:numId="416" w16cid:durableId="435441567">
    <w:abstractNumId w:val="137"/>
  </w:num>
  <w:num w:numId="417" w16cid:durableId="1023632384">
    <w:abstractNumId w:val="469"/>
  </w:num>
  <w:num w:numId="418" w16cid:durableId="1822648254">
    <w:abstractNumId w:val="612"/>
  </w:num>
  <w:num w:numId="419" w16cid:durableId="155921145">
    <w:abstractNumId w:val="113"/>
  </w:num>
  <w:num w:numId="420" w16cid:durableId="2102487998">
    <w:abstractNumId w:val="327"/>
  </w:num>
  <w:num w:numId="421" w16cid:durableId="1918401646">
    <w:abstractNumId w:val="749"/>
  </w:num>
  <w:num w:numId="422" w16cid:durableId="1489708809">
    <w:abstractNumId w:val="501"/>
  </w:num>
  <w:num w:numId="423" w16cid:durableId="1665430004">
    <w:abstractNumId w:val="443"/>
  </w:num>
  <w:num w:numId="424" w16cid:durableId="1191143738">
    <w:abstractNumId w:val="407"/>
  </w:num>
  <w:num w:numId="425" w16cid:durableId="1710840713">
    <w:abstractNumId w:val="298"/>
  </w:num>
  <w:num w:numId="426" w16cid:durableId="1834449695">
    <w:abstractNumId w:val="474"/>
  </w:num>
  <w:num w:numId="427" w16cid:durableId="221983667">
    <w:abstractNumId w:val="219"/>
  </w:num>
  <w:num w:numId="428" w16cid:durableId="1987005355">
    <w:abstractNumId w:val="248"/>
  </w:num>
  <w:num w:numId="429" w16cid:durableId="1442451431">
    <w:abstractNumId w:val="218"/>
  </w:num>
  <w:num w:numId="430" w16cid:durableId="105471495">
    <w:abstractNumId w:val="401"/>
  </w:num>
  <w:num w:numId="431" w16cid:durableId="1396246494">
    <w:abstractNumId w:val="133"/>
  </w:num>
  <w:num w:numId="432" w16cid:durableId="1821264950">
    <w:abstractNumId w:val="475"/>
  </w:num>
  <w:num w:numId="433" w16cid:durableId="1587378208">
    <w:abstractNumId w:val="206"/>
  </w:num>
  <w:num w:numId="434" w16cid:durableId="1842238125">
    <w:abstractNumId w:val="411"/>
  </w:num>
  <w:num w:numId="435" w16cid:durableId="1478258832">
    <w:abstractNumId w:val="341"/>
  </w:num>
  <w:num w:numId="436" w16cid:durableId="209999532">
    <w:abstractNumId w:val="700"/>
  </w:num>
  <w:num w:numId="437" w16cid:durableId="1442918360">
    <w:abstractNumId w:val="622"/>
  </w:num>
  <w:num w:numId="438" w16cid:durableId="689574405">
    <w:abstractNumId w:val="44"/>
  </w:num>
  <w:num w:numId="439" w16cid:durableId="987780056">
    <w:abstractNumId w:val="228"/>
  </w:num>
  <w:num w:numId="440" w16cid:durableId="2113477315">
    <w:abstractNumId w:val="772"/>
  </w:num>
  <w:num w:numId="441" w16cid:durableId="608436761">
    <w:abstractNumId w:val="64"/>
  </w:num>
  <w:num w:numId="442" w16cid:durableId="1568876505">
    <w:abstractNumId w:val="795"/>
  </w:num>
  <w:num w:numId="443" w16cid:durableId="64190334">
    <w:abstractNumId w:val="611"/>
  </w:num>
  <w:num w:numId="444" w16cid:durableId="548304975">
    <w:abstractNumId w:val="839"/>
  </w:num>
  <w:num w:numId="445" w16cid:durableId="1623615880">
    <w:abstractNumId w:val="470"/>
  </w:num>
  <w:num w:numId="446" w16cid:durableId="1928539660">
    <w:abstractNumId w:val="58"/>
  </w:num>
  <w:num w:numId="447" w16cid:durableId="2111968162">
    <w:abstractNumId w:val="677"/>
  </w:num>
  <w:num w:numId="448" w16cid:durableId="1184826557">
    <w:abstractNumId w:val="577"/>
  </w:num>
  <w:num w:numId="449" w16cid:durableId="1892158112">
    <w:abstractNumId w:val="514"/>
  </w:num>
  <w:num w:numId="450" w16cid:durableId="1302922684">
    <w:abstractNumId w:val="448"/>
  </w:num>
  <w:num w:numId="451" w16cid:durableId="1826629989">
    <w:abstractNumId w:val="388"/>
  </w:num>
  <w:num w:numId="452" w16cid:durableId="1984655987">
    <w:abstractNumId w:val="820"/>
  </w:num>
  <w:num w:numId="453" w16cid:durableId="1323390087">
    <w:abstractNumId w:val="456"/>
  </w:num>
  <w:num w:numId="454" w16cid:durableId="1821311835">
    <w:abstractNumId w:val="785"/>
  </w:num>
  <w:num w:numId="455" w16cid:durableId="1570727549">
    <w:abstractNumId w:val="459"/>
  </w:num>
  <w:num w:numId="456" w16cid:durableId="1037975189">
    <w:abstractNumId w:val="585"/>
  </w:num>
  <w:num w:numId="457" w16cid:durableId="1888956960">
    <w:abstractNumId w:val="487"/>
  </w:num>
  <w:num w:numId="458" w16cid:durableId="1269971829">
    <w:abstractNumId w:val="18"/>
  </w:num>
  <w:num w:numId="459" w16cid:durableId="832842197">
    <w:abstractNumId w:val="735"/>
  </w:num>
  <w:num w:numId="460" w16cid:durableId="597098814">
    <w:abstractNumId w:val="503"/>
  </w:num>
  <w:num w:numId="461" w16cid:durableId="2132893532">
    <w:abstractNumId w:val="120"/>
  </w:num>
  <w:num w:numId="462" w16cid:durableId="374087405">
    <w:abstractNumId w:val="60"/>
  </w:num>
  <w:num w:numId="463" w16cid:durableId="494883015">
    <w:abstractNumId w:val="682"/>
  </w:num>
  <w:num w:numId="464" w16cid:durableId="521895071">
    <w:abstractNumId w:val="664"/>
  </w:num>
  <w:num w:numId="465" w16cid:durableId="1434978581">
    <w:abstractNumId w:val="750"/>
  </w:num>
  <w:num w:numId="466" w16cid:durableId="764616570">
    <w:abstractNumId w:val="451"/>
  </w:num>
  <w:num w:numId="467" w16cid:durableId="510143730">
    <w:abstractNumId w:val="540"/>
  </w:num>
  <w:num w:numId="468" w16cid:durableId="787969120">
    <w:abstractNumId w:val="688"/>
  </w:num>
  <w:num w:numId="469" w16cid:durableId="1970092014">
    <w:abstractNumId w:val="50"/>
  </w:num>
  <w:num w:numId="470" w16cid:durableId="827751940">
    <w:abstractNumId w:val="555"/>
  </w:num>
  <w:num w:numId="471" w16cid:durableId="1554998715">
    <w:abstractNumId w:val="161"/>
  </w:num>
  <w:num w:numId="472" w16cid:durableId="1702824982">
    <w:abstractNumId w:val="59"/>
  </w:num>
  <w:num w:numId="473" w16cid:durableId="1587955059">
    <w:abstractNumId w:val="668"/>
  </w:num>
  <w:num w:numId="474" w16cid:durableId="1730110929">
    <w:abstractNumId w:val="37"/>
  </w:num>
  <w:num w:numId="475" w16cid:durableId="1493987509">
    <w:abstractNumId w:val="394"/>
  </w:num>
  <w:num w:numId="476" w16cid:durableId="2076465932">
    <w:abstractNumId w:val="716"/>
  </w:num>
  <w:num w:numId="477" w16cid:durableId="925962680">
    <w:abstractNumId w:val="42"/>
  </w:num>
  <w:num w:numId="478" w16cid:durableId="284116901">
    <w:abstractNumId w:val="709"/>
  </w:num>
  <w:num w:numId="479" w16cid:durableId="1198350037">
    <w:abstractNumId w:val="367"/>
  </w:num>
  <w:num w:numId="480" w16cid:durableId="1701782614">
    <w:abstractNumId w:val="142"/>
  </w:num>
  <w:num w:numId="481" w16cid:durableId="2048722846">
    <w:abstractNumId w:val="397"/>
  </w:num>
  <w:num w:numId="482" w16cid:durableId="508637089">
    <w:abstractNumId w:val="543"/>
  </w:num>
  <w:num w:numId="483" w16cid:durableId="899096150">
    <w:abstractNumId w:val="31"/>
  </w:num>
  <w:num w:numId="484" w16cid:durableId="507057873">
    <w:abstractNumId w:val="65"/>
  </w:num>
  <w:num w:numId="485" w16cid:durableId="1310750595">
    <w:abstractNumId w:val="13"/>
  </w:num>
  <w:num w:numId="486" w16cid:durableId="1596785114">
    <w:abstractNumId w:val="329"/>
  </w:num>
  <w:num w:numId="487" w16cid:durableId="272245678">
    <w:abstractNumId w:val="485"/>
  </w:num>
  <w:num w:numId="488" w16cid:durableId="135487363">
    <w:abstractNumId w:val="143"/>
  </w:num>
  <w:num w:numId="489" w16cid:durableId="968433037">
    <w:abstractNumId w:val="520"/>
  </w:num>
  <w:num w:numId="490" w16cid:durableId="1369261344">
    <w:abstractNumId w:val="440"/>
  </w:num>
  <w:num w:numId="491" w16cid:durableId="650595597">
    <w:abstractNumId w:val="427"/>
  </w:num>
  <w:num w:numId="492" w16cid:durableId="1994946974">
    <w:abstractNumId w:val="778"/>
  </w:num>
  <w:num w:numId="493" w16cid:durableId="324435783">
    <w:abstractNumId w:val="311"/>
  </w:num>
  <w:num w:numId="494" w16cid:durableId="836309375">
    <w:abstractNumId w:val="432"/>
  </w:num>
  <w:num w:numId="495" w16cid:durableId="1982730548">
    <w:abstractNumId w:val="715"/>
  </w:num>
  <w:num w:numId="496" w16cid:durableId="1805345464">
    <w:abstractNumId w:val="335"/>
  </w:num>
  <w:num w:numId="497" w16cid:durableId="356393029">
    <w:abstractNumId w:val="170"/>
  </w:num>
  <w:num w:numId="498" w16cid:durableId="2112159747">
    <w:abstractNumId w:val="138"/>
  </w:num>
  <w:num w:numId="499" w16cid:durableId="218130455">
    <w:abstractNumId w:val="45"/>
  </w:num>
  <w:num w:numId="500" w16cid:durableId="1876502393">
    <w:abstractNumId w:val="155"/>
  </w:num>
  <w:num w:numId="501" w16cid:durableId="2137528193">
    <w:abstractNumId w:val="480"/>
  </w:num>
  <w:num w:numId="502" w16cid:durableId="1209149502">
    <w:abstractNumId w:val="406"/>
  </w:num>
  <w:num w:numId="503" w16cid:durableId="641159650">
    <w:abstractNumId w:val="208"/>
  </w:num>
  <w:num w:numId="504" w16cid:durableId="1982075158">
    <w:abstractNumId w:val="852"/>
  </w:num>
  <w:num w:numId="505" w16cid:durableId="1277562300">
    <w:abstractNumId w:val="430"/>
  </w:num>
  <w:num w:numId="506" w16cid:durableId="765075651">
    <w:abstractNumId w:val="157"/>
  </w:num>
  <w:num w:numId="507" w16cid:durableId="832523507">
    <w:abstractNumId w:val="109"/>
  </w:num>
  <w:num w:numId="508" w16cid:durableId="1399936952">
    <w:abstractNumId w:val="75"/>
  </w:num>
  <w:num w:numId="509" w16cid:durableId="186719834">
    <w:abstractNumId w:val="26"/>
  </w:num>
  <w:num w:numId="510" w16cid:durableId="1655597261">
    <w:abstractNumId w:val="767"/>
  </w:num>
  <w:num w:numId="511" w16cid:durableId="688989772">
    <w:abstractNumId w:val="461"/>
  </w:num>
  <w:num w:numId="512" w16cid:durableId="56173411">
    <w:abstractNumId w:val="603"/>
  </w:num>
  <w:num w:numId="513" w16cid:durableId="773013287">
    <w:abstractNumId w:val="312"/>
  </w:num>
  <w:num w:numId="514" w16cid:durableId="715546802">
    <w:abstractNumId w:val="720"/>
  </w:num>
  <w:num w:numId="515" w16cid:durableId="1093740786">
    <w:abstractNumId w:val="466"/>
  </w:num>
  <w:num w:numId="516" w16cid:durableId="1446731104">
    <w:abstractNumId w:val="94"/>
  </w:num>
  <w:num w:numId="517" w16cid:durableId="260459776">
    <w:abstractNumId w:val="363"/>
  </w:num>
  <w:num w:numId="518" w16cid:durableId="441612565">
    <w:abstractNumId w:val="364"/>
  </w:num>
  <w:num w:numId="519" w16cid:durableId="1964381602">
    <w:abstractNumId w:val="552"/>
  </w:num>
  <w:num w:numId="520" w16cid:durableId="593124780">
    <w:abstractNumId w:val="97"/>
  </w:num>
  <w:num w:numId="521" w16cid:durableId="975839624">
    <w:abstractNumId w:val="824"/>
  </w:num>
  <w:num w:numId="522" w16cid:durableId="794445077">
    <w:abstractNumId w:val="200"/>
  </w:num>
  <w:num w:numId="523" w16cid:durableId="1095370801">
    <w:abstractNumId w:val="670"/>
  </w:num>
  <w:num w:numId="524" w16cid:durableId="490223086">
    <w:abstractNumId w:val="49"/>
  </w:num>
  <w:num w:numId="525" w16cid:durableId="450588575">
    <w:abstractNumId w:val="321"/>
  </w:num>
  <w:num w:numId="526" w16cid:durableId="444692879">
    <w:abstractNumId w:val="507"/>
  </w:num>
  <w:num w:numId="527" w16cid:durableId="2101562091">
    <w:abstractNumId w:val="562"/>
  </w:num>
  <w:num w:numId="528" w16cid:durableId="115419432">
    <w:abstractNumId w:val="465"/>
  </w:num>
  <w:num w:numId="529" w16cid:durableId="1325549006">
    <w:abstractNumId w:val="428"/>
  </w:num>
  <w:num w:numId="530" w16cid:durableId="1207642676">
    <w:abstractNumId w:val="226"/>
  </w:num>
  <w:num w:numId="531" w16cid:durableId="961500627">
    <w:abstractNumId w:val="102"/>
  </w:num>
  <w:num w:numId="532" w16cid:durableId="592396994">
    <w:abstractNumId w:val="447"/>
  </w:num>
  <w:num w:numId="533" w16cid:durableId="2038307579">
    <w:abstractNumId w:val="354"/>
  </w:num>
  <w:num w:numId="534" w16cid:durableId="1787502499">
    <w:abstractNumId w:val="654"/>
  </w:num>
  <w:num w:numId="535" w16cid:durableId="424113812">
    <w:abstractNumId w:val="317"/>
  </w:num>
  <w:num w:numId="536" w16cid:durableId="2126726579">
    <w:abstractNumId w:val="125"/>
  </w:num>
  <w:num w:numId="537" w16cid:durableId="39206117">
    <w:abstractNumId w:val="570"/>
  </w:num>
  <w:num w:numId="538" w16cid:durableId="1384141152">
    <w:abstractNumId w:val="484"/>
  </w:num>
  <w:num w:numId="539" w16cid:durableId="749280555">
    <w:abstractNumId w:val="497"/>
  </w:num>
  <w:num w:numId="540" w16cid:durableId="1332677822">
    <w:abstractNumId w:val="163"/>
  </w:num>
  <w:num w:numId="541" w16cid:durableId="1121608718">
    <w:abstractNumId w:val="783"/>
  </w:num>
  <w:num w:numId="542" w16cid:durableId="2084329951">
    <w:abstractNumId w:val="586"/>
  </w:num>
  <w:num w:numId="543" w16cid:durableId="523175998">
    <w:abstractNumId w:val="550"/>
  </w:num>
  <w:num w:numId="544" w16cid:durableId="184834858">
    <w:abstractNumId w:val="458"/>
  </w:num>
  <w:num w:numId="545" w16cid:durableId="848563560">
    <w:abstractNumId w:val="81"/>
  </w:num>
  <w:num w:numId="546" w16cid:durableId="1127435149">
    <w:abstractNumId w:val="220"/>
  </w:num>
  <w:num w:numId="547" w16cid:durableId="1703751130">
    <w:abstractNumId w:val="676"/>
  </w:num>
  <w:num w:numId="548" w16cid:durableId="2047287799">
    <w:abstractNumId w:val="92"/>
  </w:num>
  <w:num w:numId="549" w16cid:durableId="919559797">
    <w:abstractNumId w:val="199"/>
  </w:num>
  <w:num w:numId="550" w16cid:durableId="302085423">
    <w:abstractNumId w:val="359"/>
  </w:num>
  <w:num w:numId="551" w16cid:durableId="780106480">
    <w:abstractNumId w:val="256"/>
  </w:num>
  <w:num w:numId="552" w16cid:durableId="1353415632">
    <w:abstractNumId w:val="517"/>
  </w:num>
  <w:num w:numId="553" w16cid:durableId="42339163">
    <w:abstractNumId w:val="203"/>
  </w:num>
  <w:num w:numId="554" w16cid:durableId="1032149702">
    <w:abstractNumId w:val="69"/>
  </w:num>
  <w:num w:numId="555" w16cid:durableId="2067140493">
    <w:abstractNumId w:val="118"/>
  </w:num>
  <w:num w:numId="556" w16cid:durableId="423041281">
    <w:abstractNumId w:val="195"/>
  </w:num>
  <w:num w:numId="557" w16cid:durableId="1047991006">
    <w:abstractNumId w:val="121"/>
  </w:num>
  <w:num w:numId="558" w16cid:durableId="388577049">
    <w:abstractNumId w:val="516"/>
  </w:num>
  <w:num w:numId="559" w16cid:durableId="2059429567">
    <w:abstractNumId w:val="730"/>
  </w:num>
  <w:num w:numId="560" w16cid:durableId="779646914">
    <w:abstractNumId w:val="232"/>
  </w:num>
  <w:num w:numId="561" w16cid:durableId="2146194446">
    <w:abstractNumId w:val="865"/>
  </w:num>
  <w:num w:numId="562" w16cid:durableId="339700222">
    <w:abstractNumId w:val="159"/>
  </w:num>
  <w:num w:numId="563" w16cid:durableId="636958980">
    <w:abstractNumId w:val="239"/>
  </w:num>
  <w:num w:numId="564" w16cid:durableId="1018891217">
    <w:abstractNumId w:val="569"/>
  </w:num>
  <w:num w:numId="565" w16cid:durableId="610743145">
    <w:abstractNumId w:val="87"/>
  </w:num>
  <w:num w:numId="566" w16cid:durableId="903174069">
    <w:abstractNumId w:val="681"/>
  </w:num>
  <w:num w:numId="567" w16cid:durableId="1341926849">
    <w:abstractNumId w:val="420"/>
  </w:num>
  <w:num w:numId="568" w16cid:durableId="543563205">
    <w:abstractNumId w:val="659"/>
  </w:num>
  <w:num w:numId="569" w16cid:durableId="22051782">
    <w:abstractNumId w:val="201"/>
  </w:num>
  <w:num w:numId="570" w16cid:durableId="868252080">
    <w:abstractNumId w:val="369"/>
  </w:num>
  <w:num w:numId="571" w16cid:durableId="972637102">
    <w:abstractNumId w:val="281"/>
  </w:num>
  <w:num w:numId="572" w16cid:durableId="1581671588">
    <w:abstractNumId w:val="325"/>
  </w:num>
  <w:num w:numId="573" w16cid:durableId="1214077483">
    <w:abstractNumId w:val="227"/>
  </w:num>
  <w:num w:numId="574" w16cid:durableId="2138059604">
    <w:abstractNumId w:val="510"/>
  </w:num>
  <w:num w:numId="575" w16cid:durableId="1280450107">
    <w:abstractNumId w:val="70"/>
  </w:num>
  <w:num w:numId="576" w16cid:durableId="1804694931">
    <w:abstractNumId w:val="684"/>
  </w:num>
  <w:num w:numId="577" w16cid:durableId="1458178514">
    <w:abstractNumId w:val="788"/>
  </w:num>
  <w:num w:numId="578" w16cid:durableId="1506704328">
    <w:abstractNumId w:val="647"/>
  </w:num>
  <w:num w:numId="579" w16cid:durableId="1562446405">
    <w:abstractNumId w:val="260"/>
  </w:num>
  <w:num w:numId="580" w16cid:durableId="973413186">
    <w:abstractNumId w:val="631"/>
  </w:num>
  <w:num w:numId="581" w16cid:durableId="971639931">
    <w:abstractNumId w:val="578"/>
  </w:num>
  <w:num w:numId="582" w16cid:durableId="1669866147">
    <w:abstractNumId w:val="557"/>
  </w:num>
  <w:num w:numId="583" w16cid:durableId="248122612">
    <w:abstractNumId w:val="765"/>
  </w:num>
  <w:num w:numId="584" w16cid:durableId="1145391569">
    <w:abstractNumId w:val="129"/>
  </w:num>
  <w:num w:numId="585" w16cid:durableId="566842530">
    <w:abstractNumId w:val="515"/>
  </w:num>
  <w:num w:numId="586" w16cid:durableId="1863320421">
    <w:abstractNumId w:val="286"/>
  </w:num>
  <w:num w:numId="587" w16cid:durableId="1900507916">
    <w:abstractNumId w:val="134"/>
  </w:num>
  <w:num w:numId="588" w16cid:durableId="1063287762">
    <w:abstractNumId w:val="737"/>
  </w:num>
  <w:num w:numId="589" w16cid:durableId="1125662165">
    <w:abstractNumId w:val="288"/>
  </w:num>
  <w:num w:numId="590" w16cid:durableId="306325929">
    <w:abstractNumId w:val="548"/>
  </w:num>
  <w:num w:numId="591" w16cid:durableId="63994842">
    <w:abstractNumId w:val="861"/>
  </w:num>
  <w:num w:numId="592" w16cid:durableId="1727102683">
    <w:abstractNumId w:val="597"/>
  </w:num>
  <w:num w:numId="593" w16cid:durableId="154539051">
    <w:abstractNumId w:val="160"/>
  </w:num>
  <w:num w:numId="594" w16cid:durableId="1249466507">
    <w:abstractNumId w:val="91"/>
  </w:num>
  <w:num w:numId="595" w16cid:durableId="1281762017">
    <w:abstractNumId w:val="598"/>
  </w:num>
  <w:num w:numId="596" w16cid:durableId="1847550211">
    <w:abstractNumId w:val="588"/>
  </w:num>
  <w:num w:numId="597" w16cid:durableId="1249343006">
    <w:abstractNumId w:val="289"/>
  </w:num>
  <w:num w:numId="598" w16cid:durableId="875431877">
    <w:abstractNumId w:val="313"/>
  </w:num>
  <w:num w:numId="599" w16cid:durableId="1612127779">
    <w:abstractNumId w:val="472"/>
  </w:num>
  <w:num w:numId="600" w16cid:durableId="1485391527">
    <w:abstractNumId w:val="116"/>
  </w:num>
  <w:num w:numId="601" w16cid:durableId="2075620892">
    <w:abstractNumId w:val="871"/>
  </w:num>
  <w:num w:numId="602" w16cid:durableId="937522725">
    <w:abstractNumId w:val="282"/>
  </w:num>
  <w:num w:numId="603" w16cid:durableId="462507619">
    <w:abstractNumId w:val="435"/>
  </w:num>
  <w:num w:numId="604" w16cid:durableId="852305825">
    <w:abstractNumId w:val="179"/>
  </w:num>
  <w:num w:numId="605" w16cid:durableId="772360291">
    <w:abstractNumId w:val="67"/>
  </w:num>
  <w:num w:numId="606" w16cid:durableId="459349778">
    <w:abstractNumId w:val="554"/>
  </w:num>
  <w:num w:numId="607" w16cid:durableId="1349063423">
    <w:abstractNumId w:val="832"/>
  </w:num>
  <w:num w:numId="608" w16cid:durableId="1970545094">
    <w:abstractNumId w:val="418"/>
  </w:num>
  <w:num w:numId="609" w16cid:durableId="980621995">
    <w:abstractNumId w:val="193"/>
  </w:num>
  <w:num w:numId="610" w16cid:durableId="192152735">
    <w:abstractNumId w:val="499"/>
  </w:num>
  <w:num w:numId="611" w16cid:durableId="698167785">
    <w:abstractNumId w:val="662"/>
  </w:num>
  <w:num w:numId="612" w16cid:durableId="1574588025">
    <w:abstractNumId w:val="731"/>
  </w:num>
  <w:num w:numId="613" w16cid:durableId="2001420052">
    <w:abstractNumId w:val="146"/>
  </w:num>
  <w:num w:numId="614" w16cid:durableId="1117260781">
    <w:abstractNumId w:val="374"/>
  </w:num>
  <w:num w:numId="615" w16cid:durableId="1316228453">
    <w:abstractNumId w:val="340"/>
  </w:num>
  <w:num w:numId="616" w16cid:durableId="1422753394">
    <w:abstractNumId w:val="324"/>
  </w:num>
  <w:num w:numId="617" w16cid:durableId="1767732345">
    <w:abstractNumId w:val="300"/>
  </w:num>
  <w:num w:numId="618" w16cid:durableId="841050405">
    <w:abstractNumId w:val="642"/>
  </w:num>
  <w:num w:numId="619" w16cid:durableId="1320157961">
    <w:abstractNumId w:val="53"/>
  </w:num>
  <w:num w:numId="620" w16cid:durableId="1789816124">
    <w:abstractNumId w:val="62"/>
  </w:num>
  <w:num w:numId="621" w16cid:durableId="471598602">
    <w:abstractNumId w:val="745"/>
  </w:num>
  <w:num w:numId="622" w16cid:durableId="872697165">
    <w:abstractNumId w:val="653"/>
  </w:num>
  <w:num w:numId="623" w16cid:durableId="1318150047">
    <w:abstractNumId w:val="663"/>
  </w:num>
  <w:num w:numId="624" w16cid:durableId="2139763318">
    <w:abstractNumId w:val="387"/>
  </w:num>
  <w:num w:numId="625" w16cid:durableId="1487480110">
    <w:abstractNumId w:val="833"/>
  </w:num>
  <w:num w:numId="626" w16cid:durableId="2044476941">
    <w:abstractNumId w:val="410"/>
  </w:num>
  <w:num w:numId="627" w16cid:durableId="1419867117">
    <w:abstractNumId w:val="74"/>
  </w:num>
  <w:num w:numId="628" w16cid:durableId="1338537900">
    <w:abstractNumId w:val="319"/>
  </w:num>
  <w:num w:numId="629" w16cid:durableId="1372265956">
    <w:abstractNumId w:val="214"/>
  </w:num>
  <w:num w:numId="630" w16cid:durableId="1399325353">
    <w:abstractNumId w:val="132"/>
  </w:num>
  <w:num w:numId="631" w16cid:durableId="1616019176">
    <w:abstractNumId w:val="253"/>
  </w:num>
  <w:num w:numId="632" w16cid:durableId="146869258">
    <w:abstractNumId w:val="153"/>
  </w:num>
  <w:num w:numId="633" w16cid:durableId="1078097073">
    <w:abstractNumId w:val="633"/>
  </w:num>
  <w:num w:numId="634" w16cid:durableId="1559394157">
    <w:abstractNumId w:val="295"/>
  </w:num>
  <w:num w:numId="635" w16cid:durableId="648362856">
    <w:abstractNumId w:val="77"/>
  </w:num>
  <w:num w:numId="636" w16cid:durableId="334460298">
    <w:abstractNumId w:val="438"/>
  </w:num>
  <w:num w:numId="637" w16cid:durableId="728846586">
    <w:abstractNumId w:val="234"/>
  </w:num>
  <w:num w:numId="638" w16cid:durableId="1234268495">
    <w:abstractNumId w:val="595"/>
  </w:num>
  <w:num w:numId="639" w16cid:durableId="1866672215">
    <w:abstractNumId w:val="479"/>
  </w:num>
  <w:num w:numId="640" w16cid:durableId="696807473">
    <w:abstractNumId w:val="236"/>
  </w:num>
  <w:num w:numId="641" w16cid:durableId="1194617660">
    <w:abstractNumId w:val="704"/>
  </w:num>
  <w:num w:numId="642" w16cid:durableId="124659766">
    <w:abstractNumId w:val="375"/>
  </w:num>
  <w:num w:numId="643" w16cid:durableId="1133560">
    <w:abstractNumId w:val="235"/>
  </w:num>
  <w:num w:numId="644" w16cid:durableId="1930843746">
    <w:abstractNumId w:val="166"/>
  </w:num>
  <w:num w:numId="645" w16cid:durableId="1344210077">
    <w:abstractNumId w:val="68"/>
  </w:num>
  <w:num w:numId="646" w16cid:durableId="1187253747">
    <w:abstractNumId w:val="384"/>
  </w:num>
  <w:num w:numId="647" w16cid:durableId="734202552">
    <w:abstractNumId w:val="224"/>
  </w:num>
  <w:num w:numId="648" w16cid:durableId="321979607">
    <w:abstractNumId w:val="425"/>
  </w:num>
  <w:num w:numId="649" w16cid:durableId="1577594117">
    <w:abstractNumId w:val="437"/>
  </w:num>
  <w:num w:numId="650" w16cid:durableId="1100489684">
    <w:abstractNumId w:val="600"/>
  </w:num>
  <w:num w:numId="651" w16cid:durableId="1842040160">
    <w:abstractNumId w:val="211"/>
  </w:num>
  <w:num w:numId="652" w16cid:durableId="637761878">
    <w:abstractNumId w:val="141"/>
  </w:num>
  <w:num w:numId="653" w16cid:durableId="101338281">
    <w:abstractNumId w:val="592"/>
  </w:num>
  <w:num w:numId="654" w16cid:durableId="1570534712">
    <w:abstractNumId w:val="799"/>
  </w:num>
  <w:num w:numId="655" w16cid:durableId="846755352">
    <w:abstractNumId w:val="518"/>
  </w:num>
  <w:num w:numId="656" w16cid:durableId="1946764101">
    <w:abstractNumId w:val="768"/>
  </w:num>
  <w:num w:numId="657" w16cid:durableId="80415345">
    <w:abstractNumId w:val="54"/>
  </w:num>
  <w:num w:numId="658" w16cid:durableId="1753314360">
    <w:abstractNumId w:val="178"/>
  </w:num>
  <w:num w:numId="659" w16cid:durableId="997028984">
    <w:abstractNumId w:val="123"/>
  </w:num>
  <w:num w:numId="660" w16cid:durableId="1649508089">
    <w:abstractNumId w:val="608"/>
  </w:num>
  <w:num w:numId="661" w16cid:durableId="2059282500">
    <w:abstractNumId w:val="442"/>
  </w:num>
  <w:num w:numId="662" w16cid:durableId="339553542">
    <w:abstractNumId w:val="625"/>
  </w:num>
  <w:num w:numId="663" w16cid:durableId="1552110169">
    <w:abstractNumId w:val="536"/>
  </w:num>
  <w:num w:numId="664" w16cid:durableId="1090662536">
    <w:abstractNumId w:val="168"/>
  </w:num>
  <w:num w:numId="665" w16cid:durableId="1505590782">
    <w:abstractNumId w:val="754"/>
  </w:num>
  <w:num w:numId="666" w16cid:durableId="1626429768">
    <w:abstractNumId w:val="233"/>
  </w:num>
  <w:num w:numId="667" w16cid:durableId="2087681505">
    <w:abstractNumId w:val="683"/>
  </w:num>
  <w:num w:numId="668" w16cid:durableId="1628852066">
    <w:abstractNumId w:val="764"/>
  </w:num>
  <w:num w:numId="669" w16cid:durableId="48574551">
    <w:abstractNumId w:val="355"/>
  </w:num>
  <w:num w:numId="670" w16cid:durableId="444692460">
    <w:abstractNumId w:val="488"/>
  </w:num>
  <w:num w:numId="671" w16cid:durableId="743841139">
    <w:abstractNumId w:val="278"/>
  </w:num>
  <w:num w:numId="672" w16cid:durableId="1415778583">
    <w:abstractNumId w:val="47"/>
  </w:num>
  <w:num w:numId="673" w16cid:durableId="713429384">
    <w:abstractNumId w:val="148"/>
  </w:num>
  <w:num w:numId="674" w16cid:durableId="10227457">
    <w:abstractNumId w:val="423"/>
  </w:num>
  <w:num w:numId="675" w16cid:durableId="210307429">
    <w:abstractNumId w:val="870"/>
  </w:num>
  <w:num w:numId="676" w16cid:durableId="1063867230">
    <w:abstractNumId w:val="477"/>
  </w:num>
  <w:num w:numId="677" w16cid:durableId="322513366">
    <w:abstractNumId w:val="493"/>
  </w:num>
  <w:num w:numId="678" w16cid:durableId="1372071724">
    <w:abstractNumId w:val="204"/>
  </w:num>
  <w:num w:numId="679" w16cid:durableId="1068653388">
    <w:abstractNumId w:val="862"/>
  </w:num>
  <w:num w:numId="680" w16cid:durableId="185946541">
    <w:abstractNumId w:val="264"/>
  </w:num>
  <w:num w:numId="681" w16cid:durableId="579869148">
    <w:abstractNumId w:val="135"/>
  </w:num>
  <w:num w:numId="682" w16cid:durableId="101344317">
    <w:abstractNumId w:val="809"/>
  </w:num>
  <w:num w:numId="683" w16cid:durableId="1940409765">
    <w:abstractNumId w:val="449"/>
  </w:num>
  <w:num w:numId="684" w16cid:durableId="1748454398">
    <w:abstractNumId w:val="509"/>
  </w:num>
  <w:num w:numId="685" w16cid:durableId="10034775">
    <w:abstractNumId w:val="297"/>
  </w:num>
  <w:num w:numId="686" w16cid:durableId="1911230745">
    <w:abstractNumId w:val="246"/>
  </w:num>
  <w:num w:numId="687" w16cid:durableId="2093121298">
    <w:abstractNumId w:val="343"/>
  </w:num>
  <w:num w:numId="688" w16cid:durableId="1905725148">
    <w:abstractNumId w:val="810"/>
  </w:num>
  <w:num w:numId="689" w16cid:durableId="875853377">
    <w:abstractNumId w:val="805"/>
  </w:num>
  <w:num w:numId="690" w16cid:durableId="1256548940">
    <w:abstractNumId w:val="619"/>
  </w:num>
  <w:num w:numId="691" w16cid:durableId="1006323383">
    <w:abstractNumId w:val="848"/>
  </w:num>
  <w:num w:numId="692" w16cid:durableId="230043781">
    <w:abstractNumId w:val="753"/>
  </w:num>
  <w:num w:numId="693" w16cid:durableId="696083820">
    <w:abstractNumId w:val="568"/>
  </w:num>
  <w:num w:numId="694" w16cid:durableId="762074585">
    <w:abstractNumId w:val="660"/>
  </w:num>
  <w:num w:numId="695" w16cid:durableId="722213470">
    <w:abstractNumId w:val="361"/>
  </w:num>
  <w:num w:numId="696" w16cid:durableId="561217218">
    <w:abstractNumId w:val="558"/>
  </w:num>
  <w:num w:numId="697" w16cid:durableId="218053117">
    <w:abstractNumId w:val="596"/>
  </w:num>
  <w:num w:numId="698" w16cid:durableId="1396129366">
    <w:abstractNumId w:val="637"/>
  </w:num>
  <w:num w:numId="699" w16cid:durableId="1408964163">
    <w:abstractNumId w:val="400"/>
  </w:num>
  <w:num w:numId="700" w16cid:durableId="322508068">
    <w:abstractNumId w:val="229"/>
  </w:num>
  <w:num w:numId="701" w16cid:durableId="1976174111">
    <w:abstractNumId w:val="197"/>
  </w:num>
  <w:num w:numId="702" w16cid:durableId="918103321">
    <w:abstractNumId w:val="759"/>
  </w:num>
  <w:num w:numId="703" w16cid:durableId="2096511838">
    <w:abstractNumId w:val="840"/>
  </w:num>
  <w:num w:numId="704" w16cid:durableId="414715067">
    <w:abstractNumId w:val="822"/>
  </w:num>
  <w:num w:numId="705" w16cid:durableId="125709851">
    <w:abstractNumId w:val="851"/>
  </w:num>
  <w:num w:numId="706" w16cid:durableId="1495797024">
    <w:abstractNumId w:val="837"/>
  </w:num>
  <w:num w:numId="707" w16cid:durableId="1044983718">
    <w:abstractNumId w:val="758"/>
  </w:num>
  <w:num w:numId="708" w16cid:durableId="1271546019">
    <w:abstractNumId w:val="736"/>
  </w:num>
  <w:num w:numId="709" w16cid:durableId="964238953">
    <w:abstractNumId w:val="665"/>
  </w:num>
  <w:num w:numId="710" w16cid:durableId="292365024">
    <w:abstractNumId w:val="761"/>
  </w:num>
  <w:num w:numId="711" w16cid:durableId="186216448">
    <w:abstractNumId w:val="815"/>
  </w:num>
  <w:num w:numId="712" w16cid:durableId="807088330">
    <w:abstractNumId w:val="741"/>
  </w:num>
  <w:num w:numId="713" w16cid:durableId="2036535986">
    <w:abstractNumId w:val="763"/>
  </w:num>
  <w:num w:numId="714" w16cid:durableId="656416384">
    <w:abstractNumId w:val="270"/>
  </w:num>
  <w:num w:numId="715" w16cid:durableId="205795351">
    <w:abstractNumId w:val="756"/>
  </w:num>
  <w:num w:numId="716" w16cid:durableId="789201888">
    <w:abstractNumId w:val="844"/>
  </w:num>
  <w:num w:numId="717" w16cid:durableId="1182355016">
    <w:abstractNumId w:val="613"/>
  </w:num>
  <w:num w:numId="718" w16cid:durableId="1113479440">
    <w:abstractNumId w:val="706"/>
  </w:num>
  <w:num w:numId="719" w16cid:durableId="497232103">
    <w:abstractNumId w:val="769"/>
  </w:num>
  <w:num w:numId="720" w16cid:durableId="813254212">
    <w:abstractNumId w:val="679"/>
  </w:num>
  <w:num w:numId="721" w16cid:durableId="1518348701">
    <w:abstractNumId w:val="567"/>
  </w:num>
  <w:num w:numId="722" w16cid:durableId="871654345">
    <w:abstractNumId w:val="671"/>
  </w:num>
  <w:num w:numId="723" w16cid:durableId="1561598946">
    <w:abstractNumId w:val="12"/>
  </w:num>
  <w:num w:numId="724" w16cid:durableId="4021271">
    <w:abstractNumId w:val="99"/>
  </w:num>
  <w:num w:numId="725" w16cid:durableId="960302888">
    <w:abstractNumId w:val="855"/>
  </w:num>
  <w:num w:numId="726" w16cid:durableId="22245556">
    <w:abstractNumId w:val="705"/>
  </w:num>
  <w:num w:numId="727" w16cid:durableId="1116634396">
    <w:abstractNumId w:val="714"/>
  </w:num>
  <w:num w:numId="728" w16cid:durableId="1220821120">
    <w:abstractNumId w:val="694"/>
  </w:num>
  <w:num w:numId="729" w16cid:durableId="635529217">
    <w:abstractNumId w:val="575"/>
  </w:num>
  <w:num w:numId="730" w16cid:durableId="517935120">
    <w:abstractNumId w:val="813"/>
  </w:num>
  <w:num w:numId="731" w16cid:durableId="1694571256">
    <w:abstractNumId w:val="512"/>
  </w:num>
  <w:num w:numId="732" w16cid:durableId="1984774813">
    <w:abstractNumId w:val="162"/>
  </w:num>
  <w:num w:numId="733" w16cid:durableId="211691923">
    <w:abstractNumId w:val="122"/>
  </w:num>
  <w:num w:numId="734" w16cid:durableId="1070301075">
    <w:abstractNumId w:val="482"/>
  </w:num>
  <w:num w:numId="735" w16cid:durableId="1332878819">
    <w:abstractNumId w:val="164"/>
  </w:num>
  <w:num w:numId="736" w16cid:durableId="1519613151">
    <w:abstractNumId w:val="800"/>
  </w:num>
  <w:num w:numId="737" w16cid:durableId="576748546">
    <w:abstractNumId w:val="473"/>
  </w:num>
  <w:num w:numId="738" w16cid:durableId="891118660">
    <w:abstractNumId w:val="525"/>
  </w:num>
  <w:num w:numId="739" w16cid:durableId="223417844">
    <w:abstractNumId w:val="601"/>
  </w:num>
  <w:num w:numId="740" w16cid:durableId="636447037">
    <w:abstractNumId w:val="247"/>
  </w:num>
  <w:num w:numId="741" w16cid:durableId="400953705">
    <w:abstractNumId w:val="145"/>
  </w:num>
  <w:num w:numId="742" w16cid:durableId="494689419">
    <w:abstractNumId w:val="523"/>
  </w:num>
  <w:num w:numId="743" w16cid:durableId="1782608929">
    <w:abstractNumId w:val="713"/>
  </w:num>
  <w:num w:numId="744" w16cid:durableId="2019774482">
    <w:abstractNumId w:val="24"/>
  </w:num>
  <w:num w:numId="745" w16cid:durableId="136840513">
    <w:abstractNumId w:val="579"/>
  </w:num>
  <w:num w:numId="746" w16cid:durableId="1742826445">
    <w:abstractNumId w:val="346"/>
  </w:num>
  <w:num w:numId="747" w16cid:durableId="707800700">
    <w:abstractNumId w:val="513"/>
  </w:num>
  <w:num w:numId="748" w16cid:durableId="297414902">
    <w:abstractNumId w:val="452"/>
  </w:num>
  <w:num w:numId="749" w16cid:durableId="1539197230">
    <w:abstractNumId w:val="215"/>
  </w:num>
  <w:num w:numId="750" w16cid:durableId="920260879">
    <w:abstractNumId w:val="377"/>
  </w:num>
  <w:num w:numId="751" w16cid:durableId="1288701109">
    <w:abstractNumId w:val="217"/>
  </w:num>
  <w:num w:numId="752" w16cid:durableId="353849141">
    <w:abstractNumId w:val="16"/>
  </w:num>
  <w:num w:numId="753" w16cid:durableId="1935554754">
    <w:abstractNumId w:val="222"/>
  </w:num>
  <w:num w:numId="754" w16cid:durableId="1127166846">
    <w:abstractNumId w:val="93"/>
  </w:num>
  <w:num w:numId="755" w16cid:durableId="1461650984">
    <w:abstractNumId w:val="691"/>
  </w:num>
  <w:num w:numId="756" w16cid:durableId="492065467">
    <w:abstractNumId w:val="302"/>
  </w:num>
  <w:num w:numId="757" w16cid:durableId="1901673784">
    <w:abstractNumId w:val="537"/>
  </w:num>
  <w:num w:numId="758" w16cid:durableId="326251024">
    <w:abstractNumId w:val="405"/>
  </w:num>
  <w:num w:numId="759" w16cid:durableId="1299920855">
    <w:abstractNumId w:val="614"/>
  </w:num>
  <w:num w:numId="760" w16cid:durableId="1960336344">
    <w:abstractNumId w:val="185"/>
  </w:num>
  <w:num w:numId="761" w16cid:durableId="294797085">
    <w:abstractNumId w:val="149"/>
  </w:num>
  <w:num w:numId="762" w16cid:durableId="613485942">
    <w:abstractNumId w:val="188"/>
  </w:num>
  <w:num w:numId="763" w16cid:durableId="612440735">
    <w:abstractNumId w:val="112"/>
  </w:num>
  <w:num w:numId="764" w16cid:durableId="737362055">
    <w:abstractNumId w:val="521"/>
  </w:num>
  <w:num w:numId="765" w16cid:durableId="138772095">
    <w:abstractNumId w:val="357"/>
  </w:num>
  <w:num w:numId="766" w16cid:durableId="507137187">
    <w:abstractNumId w:val="834"/>
  </w:num>
  <w:num w:numId="767" w16cid:durableId="1701978904">
    <w:abstractNumId w:val="770"/>
  </w:num>
  <w:num w:numId="768" w16cid:durableId="314459948">
    <w:abstractNumId w:val="257"/>
  </w:num>
  <w:num w:numId="769" w16cid:durableId="1158040844">
    <w:abstractNumId w:val="307"/>
  </w:num>
  <w:num w:numId="770" w16cid:durableId="59057945">
    <w:abstractNumId w:val="717"/>
  </w:num>
  <w:num w:numId="771" w16cid:durableId="1453863787">
    <w:abstractNumId w:val="205"/>
  </w:num>
  <w:num w:numId="772" w16cid:durableId="1829009351">
    <w:abstractNumId w:val="82"/>
  </w:num>
  <w:num w:numId="773" w16cid:durableId="944193142">
    <w:abstractNumId w:val="502"/>
  </w:num>
  <w:num w:numId="774" w16cid:durableId="1722820700">
    <w:abstractNumId w:val="85"/>
  </w:num>
  <w:num w:numId="775" w16cid:durableId="867182138">
    <w:abstractNumId w:val="739"/>
  </w:num>
  <w:num w:numId="776" w16cid:durableId="1712419298">
    <w:abstractNumId w:val="269"/>
  </w:num>
  <w:num w:numId="777" w16cid:durableId="1218862295">
    <w:abstractNumId w:val="154"/>
  </w:num>
  <w:num w:numId="778" w16cid:durableId="816654696">
    <w:abstractNumId w:val="835"/>
  </w:num>
  <w:num w:numId="779" w16cid:durableId="1564222386">
    <w:abstractNumId w:val="803"/>
  </w:num>
  <w:num w:numId="780" w16cid:durableId="874738465">
    <w:abstractNumId w:val="106"/>
  </w:num>
  <w:num w:numId="781" w16cid:durableId="196044199">
    <w:abstractNumId w:val="353"/>
  </w:num>
  <w:num w:numId="782" w16cid:durableId="1527020172">
    <w:abstractNumId w:val="478"/>
  </w:num>
  <w:num w:numId="783" w16cid:durableId="377700942">
    <w:abstractNumId w:val="505"/>
  </w:num>
  <w:num w:numId="784" w16cid:durableId="1460420054">
    <w:abstractNumId w:val="263"/>
  </w:num>
  <w:num w:numId="785" w16cid:durableId="738869120">
    <w:abstractNumId w:val="402"/>
  </w:num>
  <w:num w:numId="786" w16cid:durableId="118302177">
    <w:abstractNumId w:val="644"/>
  </w:num>
  <w:num w:numId="787" w16cid:durableId="1028019921">
    <w:abstractNumId w:val="696"/>
  </w:num>
  <w:num w:numId="788" w16cid:durableId="2064523056">
    <w:abstractNumId w:val="859"/>
  </w:num>
  <w:num w:numId="789" w16cid:durableId="1293556275">
    <w:abstractNumId w:val="192"/>
  </w:num>
  <w:num w:numId="790" w16cid:durableId="183322538">
    <w:abstractNumId w:val="519"/>
  </w:num>
  <w:num w:numId="791" w16cid:durableId="44573682">
    <w:abstractNumId w:val="708"/>
  </w:num>
  <w:num w:numId="792" w16cid:durableId="1142304842">
    <w:abstractNumId w:val="718"/>
  </w:num>
  <w:num w:numId="793" w16cid:durableId="159927131">
    <w:abstractNumId w:val="40"/>
  </w:num>
  <w:num w:numId="794" w16cid:durableId="1909874888">
    <w:abstractNumId w:val="643"/>
  </w:num>
  <w:num w:numId="795" w16cid:durableId="1573126856">
    <w:abstractNumId w:val="124"/>
  </w:num>
  <w:num w:numId="796" w16cid:durableId="1943174928">
    <w:abstractNumId w:val="414"/>
  </w:num>
  <w:num w:numId="797" w16cid:durableId="1946110679">
    <w:abstractNumId w:val="209"/>
  </w:num>
  <w:num w:numId="798" w16cid:durableId="658196191">
    <w:abstractNumId w:val="43"/>
  </w:num>
  <w:num w:numId="799" w16cid:durableId="588468823">
    <w:abstractNumId w:val="202"/>
  </w:num>
  <w:num w:numId="800" w16cid:durableId="1724055984">
    <w:abstractNumId w:val="171"/>
  </w:num>
  <w:num w:numId="801" w16cid:durableId="815492949">
    <w:abstractNumId w:val="308"/>
  </w:num>
  <w:num w:numId="802" w16cid:durableId="989165253">
    <w:abstractNumId w:val="276"/>
  </w:num>
  <w:num w:numId="803" w16cid:durableId="391270560">
    <w:abstractNumId w:val="172"/>
  </w:num>
  <w:num w:numId="804" w16cid:durableId="149907600">
    <w:abstractNumId w:val="542"/>
  </w:num>
  <w:num w:numId="805" w16cid:durableId="903414965">
    <w:abstractNumId w:val="607"/>
  </w:num>
  <w:num w:numId="806" w16cid:durableId="1865055413">
    <w:abstractNumId w:val="117"/>
  </w:num>
  <w:num w:numId="807" w16cid:durableId="1187015356">
    <w:abstractNumId w:val="296"/>
  </w:num>
  <w:num w:numId="808" w16cid:durableId="1577937109">
    <w:abstractNumId w:val="566"/>
  </w:num>
  <w:num w:numId="809" w16cid:durableId="1016464011">
    <w:abstractNumId w:val="489"/>
  </w:num>
  <w:num w:numId="810" w16cid:durableId="429395651">
    <w:abstractNumId w:val="291"/>
  </w:num>
  <w:num w:numId="811" w16cid:durableId="232542808">
    <w:abstractNumId w:val="30"/>
  </w:num>
  <w:num w:numId="812" w16cid:durableId="1808813934">
    <w:abstractNumId w:val="303"/>
  </w:num>
  <w:num w:numId="813" w16cid:durableId="672955653">
    <w:abstractNumId w:val="773"/>
  </w:num>
  <w:num w:numId="814" w16cid:durableId="911542889">
    <w:abstractNumId w:val="771"/>
  </w:num>
  <w:num w:numId="815" w16cid:durableId="1236165147">
    <w:abstractNumId w:val="28"/>
  </w:num>
  <w:num w:numId="816" w16cid:durableId="1501040862">
    <w:abstractNumId w:val="368"/>
  </w:num>
  <w:num w:numId="817" w16cid:durableId="772744550">
    <w:abstractNumId w:val="25"/>
  </w:num>
  <w:num w:numId="818" w16cid:durableId="1457600239">
    <w:abstractNumId w:val="580"/>
    <w:lvlOverride w:ilvl="0">
      <w:lvl w:ilvl="0">
        <w:start w:val="1"/>
        <w:numFmt w:val="lowerLetter"/>
        <w:lvlText w:val="(%1)"/>
        <w:lvlJc w:val="left"/>
        <w:pPr>
          <w:tabs>
            <w:tab w:val="num" w:pos="567"/>
          </w:tabs>
          <w:ind w:left="567" w:hanging="567"/>
        </w:pPr>
        <w:rPr>
          <w:rFonts w:ascii="Arial" w:hAnsi="Arial" w:hint="default"/>
          <w:b w:val="0"/>
          <w:sz w:val="20"/>
        </w:rPr>
      </w:lvl>
    </w:lvlOverride>
  </w:num>
  <w:num w:numId="819" w16cid:durableId="1100298228">
    <w:abstractNumId w:val="299"/>
  </w:num>
  <w:num w:numId="820" w16cid:durableId="1377050385">
    <w:abstractNumId w:val="854"/>
  </w:num>
  <w:num w:numId="821" w16cid:durableId="1055664258">
    <w:abstractNumId w:val="338"/>
  </w:num>
  <w:num w:numId="822" w16cid:durableId="1147626958">
    <w:abstractNumId w:val="277"/>
  </w:num>
  <w:num w:numId="823" w16cid:durableId="1399203985">
    <w:abstractNumId w:val="661"/>
  </w:num>
  <w:num w:numId="824" w16cid:durableId="116997970">
    <w:abstractNumId w:val="110"/>
  </w:num>
  <w:num w:numId="825" w16cid:durableId="1446776343">
    <w:abstractNumId w:val="415"/>
  </w:num>
  <w:num w:numId="826" w16cid:durableId="1136290548">
    <w:abstractNumId w:val="379"/>
  </w:num>
  <w:num w:numId="827" w16cid:durableId="138308389">
    <w:abstractNumId w:val="738"/>
  </w:num>
  <w:num w:numId="828" w16cid:durableId="188879028">
    <w:abstractNumId w:val="9"/>
  </w:num>
  <w:num w:numId="829" w16cid:durableId="330061357">
    <w:abstractNumId w:val="726"/>
  </w:num>
  <w:num w:numId="830" w16cid:durableId="601649360">
    <w:abstractNumId w:val="831"/>
  </w:num>
  <w:num w:numId="831" w16cid:durableId="94248396">
    <w:abstractNumId w:val="38"/>
  </w:num>
  <w:num w:numId="832" w16cid:durableId="45033539">
    <w:abstractNumId w:val="382"/>
  </w:num>
  <w:num w:numId="833" w16cid:durableId="488399814">
    <w:abstractNumId w:val="812"/>
  </w:num>
  <w:num w:numId="834" w16cid:durableId="12387395">
    <w:abstractNumId w:val="790"/>
    <w:lvlOverride w:ilvl="0">
      <w:startOverride w:val="1"/>
    </w:lvlOverride>
    <w:lvlOverride w:ilvl="1">
      <w:startOverride w:val="1"/>
    </w:lvlOverride>
    <w:lvlOverride w:ilvl="2">
      <w:startOverride w:val="1"/>
    </w:lvlOverride>
    <w:lvlOverride w:ilvl="3">
      <w:startOverride w:val="1"/>
    </w:lvlOverride>
    <w:lvlOverride w:ilvl="4">
      <w:startOverride w:val="4"/>
    </w:lvlOverride>
    <w:lvlOverride w:ilvl="5">
      <w:startOverride w:val="2"/>
    </w:lvlOverride>
    <w:lvlOverride w:ilvl="6">
      <w:startOverride w:val="1"/>
    </w:lvlOverride>
    <w:lvlOverride w:ilvl="7">
      <w:startOverride w:val="1"/>
    </w:lvlOverride>
    <w:lvlOverride w:ilvl="8">
      <w:startOverride w:val="1"/>
    </w:lvlOverride>
  </w:num>
  <w:num w:numId="835" w16cid:durableId="146482047">
    <w:abstractNumId w:val="843"/>
  </w:num>
  <w:num w:numId="836" w16cid:durableId="1448428982">
    <w:abstractNumId w:val="339"/>
  </w:num>
  <w:num w:numId="837" w16cid:durableId="428356509">
    <w:abstractNumId w:val="544"/>
  </w:num>
  <w:num w:numId="838" w16cid:durableId="1034382995">
    <w:abstractNumId w:val="441"/>
    <w:lvlOverride w:ilvl="0">
      <w:lvl w:ilvl="0">
        <w:start w:val="1"/>
        <w:numFmt w:val="lowerLetter"/>
        <w:lvlText w:val="(%1)"/>
        <w:lvlJc w:val="left"/>
        <w:pPr>
          <w:tabs>
            <w:tab w:val="num" w:pos="567"/>
          </w:tabs>
          <w:ind w:left="567" w:hanging="567"/>
        </w:pPr>
        <w:rPr>
          <w:rFonts w:ascii="Arial" w:hAnsi="Arial" w:hint="default"/>
          <w:color w:val="auto"/>
          <w:sz w:val="20"/>
        </w:rPr>
      </w:lvl>
    </w:lvlOverride>
  </w:num>
  <w:num w:numId="839" w16cid:durableId="950281372">
    <w:abstractNumId w:val="638"/>
  </w:num>
  <w:num w:numId="840" w16cid:durableId="289938803">
    <w:abstractNumId w:val="426"/>
  </w:num>
  <w:num w:numId="841" w16cid:durableId="2116440410">
    <w:abstractNumId w:val="17"/>
  </w:num>
  <w:num w:numId="842" w16cid:durableId="1134441820">
    <w:abstractNumId w:val="655"/>
  </w:num>
  <w:num w:numId="843" w16cid:durableId="426508923">
    <w:abstractNumId w:val="572"/>
  </w:num>
  <w:num w:numId="844" w16cid:durableId="1416048676">
    <w:abstractNumId w:val="15"/>
  </w:num>
  <w:num w:numId="845" w16cid:durableId="917443364">
    <w:abstractNumId w:val="55"/>
  </w:num>
  <w:num w:numId="846" w16cid:durableId="1466849949">
    <w:abstractNumId w:val="385"/>
  </w:num>
  <w:num w:numId="847" w16cid:durableId="1698193655">
    <w:abstractNumId w:val="251"/>
  </w:num>
  <w:num w:numId="848" w16cid:durableId="1633707669">
    <w:abstractNumId w:val="399"/>
  </w:num>
  <w:num w:numId="849" w16cid:durableId="817768139">
    <w:abstractNumId w:val="436"/>
  </w:num>
  <w:num w:numId="850" w16cid:durableId="132255456">
    <w:abstractNumId w:val="806"/>
  </w:num>
  <w:num w:numId="851" w16cid:durableId="66222040">
    <w:abstractNumId w:val="216"/>
  </w:num>
  <w:num w:numId="852" w16cid:durableId="1580289472">
    <w:abstractNumId w:val="350"/>
  </w:num>
  <w:num w:numId="853" w16cid:durableId="1964535922">
    <w:abstractNumId w:val="573"/>
  </w:num>
  <w:num w:numId="854" w16cid:durableId="1172792309">
    <w:abstractNumId w:val="304"/>
  </w:num>
  <w:num w:numId="855" w16cid:durableId="1430930254">
    <w:abstractNumId w:val="524"/>
  </w:num>
  <w:num w:numId="856" w16cid:durableId="1840151219">
    <w:abstractNumId w:val="790"/>
    <w:lvlOverride w:ilvl="0">
      <w:lvl w:ilvl="0">
        <w:start w:val="1"/>
        <w:numFmt w:val="decimal"/>
        <w:pStyle w:val="Heading1"/>
        <w:lvlText w:val="Part %1"/>
        <w:lvlJc w:val="left"/>
        <w:pPr>
          <w:tabs>
            <w:tab w:val="num" w:pos="1418"/>
          </w:tabs>
          <w:ind w:left="851" w:hanging="851"/>
        </w:pPr>
        <w:rPr>
          <w:rFonts w:hint="default"/>
        </w:rPr>
      </w:lvl>
    </w:lvlOverride>
    <w:lvlOverride w:ilvl="1">
      <w:lvl w:ilvl="1">
        <w:start w:val="1"/>
        <w:numFmt w:val="decimal"/>
        <w:pStyle w:val="Heading2"/>
        <w:lvlText w:val="%1.%2"/>
        <w:lvlJc w:val="left"/>
        <w:pPr>
          <w:tabs>
            <w:tab w:val="num" w:pos="1418"/>
          </w:tabs>
          <w:ind w:left="851" w:hanging="851"/>
        </w:pPr>
        <w:rPr>
          <w:rFonts w:hint="default"/>
        </w:rPr>
      </w:lvl>
    </w:lvlOverride>
    <w:lvlOverride w:ilvl="2">
      <w:lvl w:ilvl="2">
        <w:start w:val="1"/>
        <w:numFmt w:val="decimal"/>
        <w:pStyle w:val="Heading3"/>
        <w:lvlText w:val="%1.%2.%3"/>
        <w:lvlJc w:val="left"/>
        <w:pPr>
          <w:tabs>
            <w:tab w:val="num" w:pos="1418"/>
          </w:tabs>
          <w:ind w:left="851" w:hanging="851"/>
        </w:pPr>
        <w:rPr>
          <w:rFonts w:hint="default"/>
        </w:rPr>
      </w:lvl>
    </w:lvlOverride>
    <w:lvlOverride w:ilvl="3">
      <w:lvl w:ilvl="3">
        <w:start w:val="1"/>
        <w:numFmt w:val="decimal"/>
        <w:pStyle w:val="Heading4"/>
        <w:lvlText w:val="%1.%2.%3.%4"/>
        <w:lvlJc w:val="left"/>
        <w:pPr>
          <w:tabs>
            <w:tab w:val="num" w:pos="1418"/>
          </w:tabs>
          <w:ind w:left="851" w:hanging="851"/>
        </w:pPr>
        <w:rPr>
          <w:rFonts w:hint="default"/>
        </w:rPr>
      </w:lvl>
    </w:lvlOverride>
    <w:lvlOverride w:ilvl="4">
      <w:lvl w:ilvl="4">
        <w:start w:val="1"/>
        <w:numFmt w:val="none"/>
        <w:lvlRestart w:val="0"/>
        <w:pStyle w:val="Heading5"/>
        <w:lvlText w:val=""/>
        <w:lvlJc w:val="left"/>
        <w:pPr>
          <w:ind w:left="0" w:firstLine="0"/>
        </w:pPr>
        <w:rPr>
          <w:rFonts w:hint="default"/>
        </w:rPr>
      </w:lvl>
    </w:lvlOverride>
    <w:lvlOverride w:ilvl="5">
      <w:lvl w:ilvl="5">
        <w:start w:val="1"/>
        <w:numFmt w:val="decimal"/>
        <w:lvlRestart w:val="1"/>
        <w:pStyle w:val="Heading6"/>
        <w:lvlText w:val="Schedule %6"/>
        <w:lvlJc w:val="left"/>
        <w:pPr>
          <w:tabs>
            <w:tab w:val="num" w:pos="1418"/>
          </w:tabs>
          <w:ind w:left="851" w:hanging="851"/>
        </w:pPr>
        <w:rPr>
          <w:rFonts w:hint="default"/>
        </w:rPr>
      </w:lvl>
    </w:lvlOverride>
    <w:lvlOverride w:ilvl="6">
      <w:lvl w:ilvl="6">
        <w:start w:val="1"/>
        <w:numFmt w:val="decimal"/>
        <w:pStyle w:val="Heading7"/>
        <w:lvlText w:val="SC%6.%7"/>
        <w:lvlJc w:val="left"/>
        <w:pPr>
          <w:tabs>
            <w:tab w:val="num" w:pos="1418"/>
          </w:tabs>
          <w:ind w:left="851" w:hanging="851"/>
        </w:pPr>
        <w:rPr>
          <w:rFonts w:hint="default"/>
        </w:rPr>
      </w:lvl>
    </w:lvlOverride>
    <w:lvlOverride w:ilvl="7">
      <w:lvl w:ilvl="7">
        <w:start w:val="1"/>
        <w:numFmt w:val="decimal"/>
        <w:pStyle w:val="Heading8"/>
        <w:lvlText w:val="SC%6.%7.%8"/>
        <w:lvlJc w:val="left"/>
        <w:pPr>
          <w:tabs>
            <w:tab w:val="num" w:pos="1418"/>
          </w:tabs>
          <w:ind w:left="851" w:hanging="851"/>
        </w:pPr>
        <w:rPr>
          <w:rFonts w:hint="default"/>
        </w:rPr>
      </w:lvl>
    </w:lvlOverride>
    <w:lvlOverride w:ilvl="8">
      <w:lvl w:ilvl="8">
        <w:start w:val="1"/>
        <w:numFmt w:val="none"/>
        <w:lvlRestart w:val="0"/>
        <w:pStyle w:val="Heading9"/>
        <w:lvlText w:val=""/>
        <w:lvlJc w:val="left"/>
        <w:pPr>
          <w:tabs>
            <w:tab w:val="num" w:pos="0"/>
          </w:tabs>
          <w:ind w:left="0" w:firstLine="0"/>
        </w:pPr>
        <w:rPr>
          <w:rFonts w:hint="default"/>
        </w:rPr>
      </w:lvl>
    </w:lvlOverride>
  </w:num>
  <w:num w:numId="857" w16cid:durableId="1661805552">
    <w:abstractNumId w:val="173"/>
  </w:num>
  <w:num w:numId="858" w16cid:durableId="25958444">
    <w:abstractNumId w:val="86"/>
  </w:num>
  <w:num w:numId="859" w16cid:durableId="165485169">
    <w:abstractNumId w:val="395"/>
  </w:num>
  <w:num w:numId="860" w16cid:durableId="764153612">
    <w:abstractNumId w:val="398"/>
  </w:num>
  <w:num w:numId="861" w16cid:durableId="469328551">
    <w:abstractNumId w:val="454"/>
  </w:num>
  <w:num w:numId="862" w16cid:durableId="367414366">
    <w:abstractNumId w:val="4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3" w16cid:durableId="830147274">
    <w:abstractNumId w:val="4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4" w16cid:durableId="385642881">
    <w:abstractNumId w:val="4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5" w16cid:durableId="96677711">
    <w:abstractNumId w:val="790"/>
    <w:lvlOverride w:ilvl="0">
      <w:startOverride w:val="1"/>
      <w:lvl w:ilvl="0">
        <w:start w:val="1"/>
        <w:numFmt w:val="decimal"/>
        <w:pStyle w:val="Heading1"/>
        <w:lvlText w:val="Part %1"/>
        <w:lvlJc w:val="left"/>
        <w:pPr>
          <w:tabs>
            <w:tab w:val="num" w:pos="1418"/>
          </w:tabs>
          <w:ind w:left="851" w:hanging="851"/>
        </w:pPr>
        <w:rPr>
          <w:rFonts w:hint="default"/>
        </w:rPr>
      </w:lvl>
    </w:lvlOverride>
    <w:lvlOverride w:ilvl="1">
      <w:startOverride w:val="1"/>
      <w:lvl w:ilvl="1">
        <w:start w:val="1"/>
        <w:numFmt w:val="decimal"/>
        <w:pStyle w:val="Heading2"/>
        <w:lvlText w:val="%1.%2"/>
        <w:lvlJc w:val="left"/>
        <w:pPr>
          <w:tabs>
            <w:tab w:val="num" w:pos="1418"/>
          </w:tabs>
          <w:ind w:left="851" w:hanging="851"/>
        </w:pPr>
        <w:rPr>
          <w:rFonts w:hint="default"/>
        </w:rPr>
      </w:lvl>
    </w:lvlOverride>
    <w:lvlOverride w:ilvl="2">
      <w:startOverride w:val="1"/>
      <w:lvl w:ilvl="2">
        <w:start w:val="1"/>
        <w:numFmt w:val="decimal"/>
        <w:pStyle w:val="Heading3"/>
        <w:lvlText w:val="%1.%2.%3"/>
        <w:lvlJc w:val="left"/>
        <w:pPr>
          <w:tabs>
            <w:tab w:val="num" w:pos="1418"/>
          </w:tabs>
          <w:ind w:left="851" w:hanging="851"/>
        </w:pPr>
        <w:rPr>
          <w:rFonts w:hint="default"/>
        </w:rPr>
      </w:lvl>
    </w:lvlOverride>
    <w:lvlOverride w:ilvl="3">
      <w:startOverride w:val="1"/>
      <w:lvl w:ilvl="3">
        <w:start w:val="1"/>
        <w:numFmt w:val="decimal"/>
        <w:pStyle w:val="Heading4"/>
        <w:lvlText w:val="%1.%2.%3.%4"/>
        <w:lvlJc w:val="left"/>
        <w:pPr>
          <w:tabs>
            <w:tab w:val="num" w:pos="1418"/>
          </w:tabs>
          <w:ind w:left="851" w:hanging="851"/>
        </w:pPr>
        <w:rPr>
          <w:rFonts w:hint="default"/>
        </w:rPr>
      </w:lvl>
    </w:lvlOverride>
    <w:lvlOverride w:ilvl="4">
      <w:startOverride w:val="1"/>
      <w:lvl w:ilvl="4">
        <w:start w:val="1"/>
        <w:numFmt w:val="none"/>
        <w:lvlRestart w:val="0"/>
        <w:pStyle w:val="Heading5"/>
        <w:lvlText w:val=""/>
        <w:lvlJc w:val="left"/>
        <w:pPr>
          <w:ind w:left="0" w:firstLine="0"/>
        </w:pPr>
        <w:rPr>
          <w:rFonts w:hint="default"/>
        </w:rPr>
      </w:lvl>
    </w:lvlOverride>
    <w:lvlOverride w:ilvl="5">
      <w:startOverride w:val="1"/>
      <w:lvl w:ilvl="5">
        <w:start w:val="1"/>
        <w:numFmt w:val="decimal"/>
        <w:lvlRestart w:val="1"/>
        <w:pStyle w:val="Heading6"/>
        <w:lvlText w:val="Schedule %6"/>
        <w:lvlJc w:val="left"/>
        <w:pPr>
          <w:tabs>
            <w:tab w:val="num" w:pos="1418"/>
          </w:tabs>
          <w:ind w:left="851" w:hanging="851"/>
        </w:pPr>
        <w:rPr>
          <w:rFonts w:hint="default"/>
        </w:rPr>
      </w:lvl>
    </w:lvlOverride>
    <w:lvlOverride w:ilvl="6">
      <w:startOverride w:val="1"/>
      <w:lvl w:ilvl="6">
        <w:start w:val="1"/>
        <w:numFmt w:val="decimal"/>
        <w:pStyle w:val="Heading7"/>
        <w:lvlText w:val="SC%6.%7"/>
        <w:lvlJc w:val="left"/>
        <w:pPr>
          <w:tabs>
            <w:tab w:val="num" w:pos="1418"/>
          </w:tabs>
          <w:ind w:left="851" w:hanging="851"/>
        </w:pPr>
        <w:rPr>
          <w:rFonts w:hint="default"/>
        </w:rPr>
      </w:lvl>
    </w:lvlOverride>
    <w:lvlOverride w:ilvl="7">
      <w:startOverride w:val="1"/>
      <w:lvl w:ilvl="7">
        <w:start w:val="1"/>
        <w:numFmt w:val="decimal"/>
        <w:pStyle w:val="Heading8"/>
        <w:lvlText w:val="SC%6.%7.%8"/>
        <w:lvlJc w:val="left"/>
        <w:pPr>
          <w:tabs>
            <w:tab w:val="num" w:pos="1418"/>
          </w:tabs>
          <w:ind w:left="851" w:hanging="851"/>
        </w:pPr>
        <w:rPr>
          <w:rFonts w:hint="default"/>
        </w:rPr>
      </w:lvl>
    </w:lvlOverride>
    <w:lvlOverride w:ilvl="8">
      <w:startOverride w:val="1"/>
      <w:lvl w:ilvl="8">
        <w:start w:val="1"/>
        <w:numFmt w:val="none"/>
        <w:lvlRestart w:val="0"/>
        <w:pStyle w:val="Heading9"/>
        <w:lvlText w:val=""/>
        <w:lvlJc w:val="left"/>
        <w:pPr>
          <w:tabs>
            <w:tab w:val="num" w:pos="0"/>
          </w:tabs>
          <w:ind w:left="0" w:firstLine="0"/>
        </w:pPr>
        <w:rPr>
          <w:rFonts w:hint="default"/>
        </w:rPr>
      </w:lvl>
    </w:lvlOverride>
  </w:num>
  <w:num w:numId="866" w16cid:durableId="1832794255">
    <w:abstractNumId w:val="347"/>
  </w:num>
  <w:num w:numId="867" w16cid:durableId="1133013006">
    <w:abstractNumId w:val="98"/>
  </w:num>
  <w:num w:numId="868" w16cid:durableId="1323268713">
    <w:abstractNumId w:val="777"/>
  </w:num>
  <w:num w:numId="869" w16cid:durableId="107286368">
    <w:abstractNumId w:val="213"/>
  </w:num>
  <w:num w:numId="870" w16cid:durableId="272368613">
    <w:abstractNumId w:val="240"/>
  </w:num>
  <w:num w:numId="871" w16cid:durableId="1484851008">
    <w:abstractNumId w:val="818"/>
  </w:num>
  <w:num w:numId="872" w16cid:durableId="1483043306">
    <w:abstractNumId w:val="84"/>
  </w:num>
  <w:num w:numId="873" w16cid:durableId="974214953">
    <w:abstractNumId w:val="352"/>
  </w:num>
  <w:num w:numId="874" w16cid:durableId="1584756807">
    <w:abstractNumId w:val="413"/>
  </w:num>
  <w:num w:numId="875" w16cid:durableId="470757601">
    <w:abstractNumId w:val="641"/>
  </w:num>
  <w:num w:numId="876" w16cid:durableId="1966739134">
    <w:abstractNumId w:val="826"/>
  </w:num>
  <w:num w:numId="877" w16cid:durableId="1136532728">
    <w:abstractNumId w:val="584"/>
  </w:num>
  <w:num w:numId="878" w16cid:durableId="248150882">
    <w:abstractNumId w:val="323"/>
  </w:num>
  <w:num w:numId="879" w16cid:durableId="1333876980">
    <w:abstractNumId w:val="404"/>
  </w:num>
  <w:num w:numId="880" w16cid:durableId="663556149">
    <w:abstractNumId w:val="593"/>
  </w:num>
  <w:num w:numId="881" w16cid:durableId="888691655">
    <w:abstractNumId w:val="627"/>
  </w:num>
  <w:num w:numId="882" w16cid:durableId="1456799869">
    <w:abstractNumId w:val="733"/>
  </w:num>
  <w:num w:numId="883" w16cid:durableId="1259750084">
    <w:abstractNumId w:val="383"/>
  </w:num>
  <w:numIdMacAtCleanup w:val="8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2230E"/>
    <w:rsid w:val="00000C7C"/>
    <w:rsid w:val="00002AB0"/>
    <w:rsid w:val="000031F5"/>
    <w:rsid w:val="00004177"/>
    <w:rsid w:val="00004742"/>
    <w:rsid w:val="00005D7F"/>
    <w:rsid w:val="00006C36"/>
    <w:rsid w:val="000077B3"/>
    <w:rsid w:val="00012FDA"/>
    <w:rsid w:val="000178FC"/>
    <w:rsid w:val="00020E11"/>
    <w:rsid w:val="00024167"/>
    <w:rsid w:val="00025DB6"/>
    <w:rsid w:val="0003123F"/>
    <w:rsid w:val="000313FE"/>
    <w:rsid w:val="00031767"/>
    <w:rsid w:val="00033787"/>
    <w:rsid w:val="000344C8"/>
    <w:rsid w:val="000428A7"/>
    <w:rsid w:val="00043E4E"/>
    <w:rsid w:val="000444DE"/>
    <w:rsid w:val="0004604C"/>
    <w:rsid w:val="000531FD"/>
    <w:rsid w:val="0005417E"/>
    <w:rsid w:val="00054208"/>
    <w:rsid w:val="00056307"/>
    <w:rsid w:val="00056F70"/>
    <w:rsid w:val="00057540"/>
    <w:rsid w:val="000576B0"/>
    <w:rsid w:val="0006030A"/>
    <w:rsid w:val="000616D3"/>
    <w:rsid w:val="00061E64"/>
    <w:rsid w:val="0006411E"/>
    <w:rsid w:val="00067797"/>
    <w:rsid w:val="000700A0"/>
    <w:rsid w:val="00070EC7"/>
    <w:rsid w:val="000732D8"/>
    <w:rsid w:val="00073909"/>
    <w:rsid w:val="00074DA3"/>
    <w:rsid w:val="00077684"/>
    <w:rsid w:val="00077DBB"/>
    <w:rsid w:val="00077F35"/>
    <w:rsid w:val="00080CCF"/>
    <w:rsid w:val="00083983"/>
    <w:rsid w:val="00085177"/>
    <w:rsid w:val="00087B9B"/>
    <w:rsid w:val="000902C0"/>
    <w:rsid w:val="00090EA5"/>
    <w:rsid w:val="000938EA"/>
    <w:rsid w:val="000A0420"/>
    <w:rsid w:val="000A045F"/>
    <w:rsid w:val="000A0639"/>
    <w:rsid w:val="000A2A85"/>
    <w:rsid w:val="000A2C09"/>
    <w:rsid w:val="000A2CC7"/>
    <w:rsid w:val="000A3470"/>
    <w:rsid w:val="000A34DD"/>
    <w:rsid w:val="000A5F2D"/>
    <w:rsid w:val="000A7CD8"/>
    <w:rsid w:val="000B10BE"/>
    <w:rsid w:val="000B2375"/>
    <w:rsid w:val="000B3C58"/>
    <w:rsid w:val="000B675D"/>
    <w:rsid w:val="000B7246"/>
    <w:rsid w:val="000C626C"/>
    <w:rsid w:val="000C645A"/>
    <w:rsid w:val="000D0998"/>
    <w:rsid w:val="000D0D7A"/>
    <w:rsid w:val="000D2BFD"/>
    <w:rsid w:val="000D50E5"/>
    <w:rsid w:val="000D716B"/>
    <w:rsid w:val="000E0F39"/>
    <w:rsid w:val="000E0F48"/>
    <w:rsid w:val="000E144B"/>
    <w:rsid w:val="000E5E64"/>
    <w:rsid w:val="000E60F2"/>
    <w:rsid w:val="000E71D5"/>
    <w:rsid w:val="000E73B6"/>
    <w:rsid w:val="000F2CF3"/>
    <w:rsid w:val="000F3345"/>
    <w:rsid w:val="000F3665"/>
    <w:rsid w:val="000F6D3A"/>
    <w:rsid w:val="0010205B"/>
    <w:rsid w:val="00102774"/>
    <w:rsid w:val="00103181"/>
    <w:rsid w:val="00104948"/>
    <w:rsid w:val="00105532"/>
    <w:rsid w:val="0010799F"/>
    <w:rsid w:val="001141C3"/>
    <w:rsid w:val="001142CF"/>
    <w:rsid w:val="00122AE1"/>
    <w:rsid w:val="001239BE"/>
    <w:rsid w:val="00126D77"/>
    <w:rsid w:val="00130280"/>
    <w:rsid w:val="00130AC7"/>
    <w:rsid w:val="00136718"/>
    <w:rsid w:val="00140D46"/>
    <w:rsid w:val="00145E39"/>
    <w:rsid w:val="00147B09"/>
    <w:rsid w:val="00151F28"/>
    <w:rsid w:val="00154B90"/>
    <w:rsid w:val="00154C04"/>
    <w:rsid w:val="0015544F"/>
    <w:rsid w:val="0015599A"/>
    <w:rsid w:val="00155C65"/>
    <w:rsid w:val="00160DAB"/>
    <w:rsid w:val="0016140A"/>
    <w:rsid w:val="00162AB9"/>
    <w:rsid w:val="001630F5"/>
    <w:rsid w:val="001634CB"/>
    <w:rsid w:val="00163FDE"/>
    <w:rsid w:val="00165710"/>
    <w:rsid w:val="00165E41"/>
    <w:rsid w:val="00166DC6"/>
    <w:rsid w:val="001704E9"/>
    <w:rsid w:val="00171166"/>
    <w:rsid w:val="00171C01"/>
    <w:rsid w:val="00172741"/>
    <w:rsid w:val="00174FD4"/>
    <w:rsid w:val="001754DB"/>
    <w:rsid w:val="00180454"/>
    <w:rsid w:val="00181A94"/>
    <w:rsid w:val="00183FA8"/>
    <w:rsid w:val="001853DF"/>
    <w:rsid w:val="00186334"/>
    <w:rsid w:val="00190294"/>
    <w:rsid w:val="00190B40"/>
    <w:rsid w:val="001933E1"/>
    <w:rsid w:val="00193ABD"/>
    <w:rsid w:val="00193E8E"/>
    <w:rsid w:val="0019499D"/>
    <w:rsid w:val="00196517"/>
    <w:rsid w:val="001A04AA"/>
    <w:rsid w:val="001A0551"/>
    <w:rsid w:val="001A3EB4"/>
    <w:rsid w:val="001A4963"/>
    <w:rsid w:val="001A69C9"/>
    <w:rsid w:val="001A7107"/>
    <w:rsid w:val="001B07B8"/>
    <w:rsid w:val="001B1426"/>
    <w:rsid w:val="001B5418"/>
    <w:rsid w:val="001B7AC6"/>
    <w:rsid w:val="001C08C0"/>
    <w:rsid w:val="001C108B"/>
    <w:rsid w:val="001C4878"/>
    <w:rsid w:val="001C4A50"/>
    <w:rsid w:val="001C57D8"/>
    <w:rsid w:val="001C6047"/>
    <w:rsid w:val="001C6C5B"/>
    <w:rsid w:val="001C78A7"/>
    <w:rsid w:val="001E0780"/>
    <w:rsid w:val="001E25C6"/>
    <w:rsid w:val="001E4AD7"/>
    <w:rsid w:val="001E6717"/>
    <w:rsid w:val="001E6D70"/>
    <w:rsid w:val="001F02F0"/>
    <w:rsid w:val="001F2F66"/>
    <w:rsid w:val="001F3218"/>
    <w:rsid w:val="001F40ED"/>
    <w:rsid w:val="001F7510"/>
    <w:rsid w:val="00202025"/>
    <w:rsid w:val="00202592"/>
    <w:rsid w:val="00202DE5"/>
    <w:rsid w:val="00203E3A"/>
    <w:rsid w:val="00203F13"/>
    <w:rsid w:val="002058B8"/>
    <w:rsid w:val="00212500"/>
    <w:rsid w:val="002129A3"/>
    <w:rsid w:val="0021487A"/>
    <w:rsid w:val="00216631"/>
    <w:rsid w:val="002203EE"/>
    <w:rsid w:val="00225A52"/>
    <w:rsid w:val="00225EED"/>
    <w:rsid w:val="00225F34"/>
    <w:rsid w:val="002275A4"/>
    <w:rsid w:val="00227EDD"/>
    <w:rsid w:val="00230ACF"/>
    <w:rsid w:val="00232E1B"/>
    <w:rsid w:val="00233ABF"/>
    <w:rsid w:val="00233F99"/>
    <w:rsid w:val="00236D78"/>
    <w:rsid w:val="00240086"/>
    <w:rsid w:val="00240A78"/>
    <w:rsid w:val="00240C9F"/>
    <w:rsid w:val="00240CFF"/>
    <w:rsid w:val="00241A2A"/>
    <w:rsid w:val="002446F0"/>
    <w:rsid w:val="00253281"/>
    <w:rsid w:val="00253751"/>
    <w:rsid w:val="002539B8"/>
    <w:rsid w:val="00254374"/>
    <w:rsid w:val="002554EC"/>
    <w:rsid w:val="00257A35"/>
    <w:rsid w:val="00260134"/>
    <w:rsid w:val="00263BE8"/>
    <w:rsid w:val="00264C9D"/>
    <w:rsid w:val="002655FC"/>
    <w:rsid w:val="00270E30"/>
    <w:rsid w:val="00271C9E"/>
    <w:rsid w:val="002732CE"/>
    <w:rsid w:val="00274F3E"/>
    <w:rsid w:val="00276ED8"/>
    <w:rsid w:val="002778F7"/>
    <w:rsid w:val="002824FB"/>
    <w:rsid w:val="002838FA"/>
    <w:rsid w:val="00284CD0"/>
    <w:rsid w:val="00290CAB"/>
    <w:rsid w:val="00292340"/>
    <w:rsid w:val="00293B6F"/>
    <w:rsid w:val="002942F9"/>
    <w:rsid w:val="002975FD"/>
    <w:rsid w:val="00297D5E"/>
    <w:rsid w:val="00297EF4"/>
    <w:rsid w:val="002A162C"/>
    <w:rsid w:val="002A512E"/>
    <w:rsid w:val="002A6C82"/>
    <w:rsid w:val="002A74AD"/>
    <w:rsid w:val="002B1750"/>
    <w:rsid w:val="002B4ECB"/>
    <w:rsid w:val="002B51D0"/>
    <w:rsid w:val="002B584E"/>
    <w:rsid w:val="002C0ACD"/>
    <w:rsid w:val="002C16BC"/>
    <w:rsid w:val="002C1AF1"/>
    <w:rsid w:val="002D2108"/>
    <w:rsid w:val="002D2BED"/>
    <w:rsid w:val="002D34A7"/>
    <w:rsid w:val="002D3C42"/>
    <w:rsid w:val="002D5D8B"/>
    <w:rsid w:val="002D6039"/>
    <w:rsid w:val="002E0E61"/>
    <w:rsid w:val="002E2441"/>
    <w:rsid w:val="002E2D90"/>
    <w:rsid w:val="002E450B"/>
    <w:rsid w:val="002E5DC4"/>
    <w:rsid w:val="002E7DEB"/>
    <w:rsid w:val="002F15C4"/>
    <w:rsid w:val="002F7101"/>
    <w:rsid w:val="002F750A"/>
    <w:rsid w:val="002F76DB"/>
    <w:rsid w:val="002F7B0E"/>
    <w:rsid w:val="002F7C74"/>
    <w:rsid w:val="003009BE"/>
    <w:rsid w:val="003016C2"/>
    <w:rsid w:val="00302141"/>
    <w:rsid w:val="00303381"/>
    <w:rsid w:val="00311724"/>
    <w:rsid w:val="00312A74"/>
    <w:rsid w:val="0031390F"/>
    <w:rsid w:val="00313C9F"/>
    <w:rsid w:val="00316A3C"/>
    <w:rsid w:val="003205DD"/>
    <w:rsid w:val="003218F1"/>
    <w:rsid w:val="00322E33"/>
    <w:rsid w:val="00324886"/>
    <w:rsid w:val="00326943"/>
    <w:rsid w:val="003275F4"/>
    <w:rsid w:val="0033134F"/>
    <w:rsid w:val="003323CB"/>
    <w:rsid w:val="00333051"/>
    <w:rsid w:val="00333258"/>
    <w:rsid w:val="003337EC"/>
    <w:rsid w:val="00333FE8"/>
    <w:rsid w:val="003460A1"/>
    <w:rsid w:val="00352D63"/>
    <w:rsid w:val="00354E3D"/>
    <w:rsid w:val="003561C5"/>
    <w:rsid w:val="00360CEA"/>
    <w:rsid w:val="003619AE"/>
    <w:rsid w:val="0036274E"/>
    <w:rsid w:val="003636D2"/>
    <w:rsid w:val="00364688"/>
    <w:rsid w:val="00365180"/>
    <w:rsid w:val="0036671E"/>
    <w:rsid w:val="00366A56"/>
    <w:rsid w:val="00367201"/>
    <w:rsid w:val="003735F9"/>
    <w:rsid w:val="00373B32"/>
    <w:rsid w:val="003744DF"/>
    <w:rsid w:val="003751F7"/>
    <w:rsid w:val="00380233"/>
    <w:rsid w:val="00380F72"/>
    <w:rsid w:val="0038280F"/>
    <w:rsid w:val="003833E1"/>
    <w:rsid w:val="00384D97"/>
    <w:rsid w:val="00385FC1"/>
    <w:rsid w:val="003863DB"/>
    <w:rsid w:val="00387212"/>
    <w:rsid w:val="00390FD3"/>
    <w:rsid w:val="00391B41"/>
    <w:rsid w:val="003947E5"/>
    <w:rsid w:val="00395559"/>
    <w:rsid w:val="00396740"/>
    <w:rsid w:val="00397411"/>
    <w:rsid w:val="003A0687"/>
    <w:rsid w:val="003A2FD5"/>
    <w:rsid w:val="003A35DA"/>
    <w:rsid w:val="003A603F"/>
    <w:rsid w:val="003A60CD"/>
    <w:rsid w:val="003A780C"/>
    <w:rsid w:val="003B3743"/>
    <w:rsid w:val="003C0698"/>
    <w:rsid w:val="003C07B7"/>
    <w:rsid w:val="003C4453"/>
    <w:rsid w:val="003C6E6E"/>
    <w:rsid w:val="003D04F3"/>
    <w:rsid w:val="003D1607"/>
    <w:rsid w:val="003E0149"/>
    <w:rsid w:val="003E2A3E"/>
    <w:rsid w:val="003E455A"/>
    <w:rsid w:val="003E605A"/>
    <w:rsid w:val="003E7249"/>
    <w:rsid w:val="003F4A8E"/>
    <w:rsid w:val="003F5225"/>
    <w:rsid w:val="003F5A24"/>
    <w:rsid w:val="003F5B7C"/>
    <w:rsid w:val="003F5C4C"/>
    <w:rsid w:val="003F5F98"/>
    <w:rsid w:val="003F78D0"/>
    <w:rsid w:val="003F7B00"/>
    <w:rsid w:val="0040072B"/>
    <w:rsid w:val="00401E57"/>
    <w:rsid w:val="00402D04"/>
    <w:rsid w:val="00403057"/>
    <w:rsid w:val="004037B4"/>
    <w:rsid w:val="00407180"/>
    <w:rsid w:val="004103FC"/>
    <w:rsid w:val="00410690"/>
    <w:rsid w:val="004137B5"/>
    <w:rsid w:val="00413931"/>
    <w:rsid w:val="00415E5F"/>
    <w:rsid w:val="00420C81"/>
    <w:rsid w:val="00422943"/>
    <w:rsid w:val="00426BA3"/>
    <w:rsid w:val="00426C86"/>
    <w:rsid w:val="00426ECE"/>
    <w:rsid w:val="00430817"/>
    <w:rsid w:val="00432B8E"/>
    <w:rsid w:val="0043351F"/>
    <w:rsid w:val="00435AFA"/>
    <w:rsid w:val="004412A1"/>
    <w:rsid w:val="004413C2"/>
    <w:rsid w:val="004461E7"/>
    <w:rsid w:val="004471F9"/>
    <w:rsid w:val="00447619"/>
    <w:rsid w:val="00452E5A"/>
    <w:rsid w:val="004547D6"/>
    <w:rsid w:val="00455B9B"/>
    <w:rsid w:val="00456F2D"/>
    <w:rsid w:val="004576B3"/>
    <w:rsid w:val="00457DBB"/>
    <w:rsid w:val="00465529"/>
    <w:rsid w:val="00471EB4"/>
    <w:rsid w:val="00472E35"/>
    <w:rsid w:val="00473BB3"/>
    <w:rsid w:val="00476742"/>
    <w:rsid w:val="004770D2"/>
    <w:rsid w:val="00477E4C"/>
    <w:rsid w:val="004804EF"/>
    <w:rsid w:val="0048394A"/>
    <w:rsid w:val="0048719B"/>
    <w:rsid w:val="00493CB2"/>
    <w:rsid w:val="00494929"/>
    <w:rsid w:val="00495EB0"/>
    <w:rsid w:val="004962CD"/>
    <w:rsid w:val="004A0843"/>
    <w:rsid w:val="004A628E"/>
    <w:rsid w:val="004B4173"/>
    <w:rsid w:val="004B538A"/>
    <w:rsid w:val="004B599C"/>
    <w:rsid w:val="004B63A6"/>
    <w:rsid w:val="004B778E"/>
    <w:rsid w:val="004C019E"/>
    <w:rsid w:val="004C1AED"/>
    <w:rsid w:val="004C1DCE"/>
    <w:rsid w:val="004C53C4"/>
    <w:rsid w:val="004D2713"/>
    <w:rsid w:val="004D6D86"/>
    <w:rsid w:val="004E1888"/>
    <w:rsid w:val="004E3D38"/>
    <w:rsid w:val="004E7D96"/>
    <w:rsid w:val="004F0977"/>
    <w:rsid w:val="004F2631"/>
    <w:rsid w:val="004F30A5"/>
    <w:rsid w:val="004F3606"/>
    <w:rsid w:val="004F7FE1"/>
    <w:rsid w:val="00500605"/>
    <w:rsid w:val="00501AE1"/>
    <w:rsid w:val="00504C2A"/>
    <w:rsid w:val="00504D92"/>
    <w:rsid w:val="0050587B"/>
    <w:rsid w:val="00505D3A"/>
    <w:rsid w:val="00507216"/>
    <w:rsid w:val="005072A3"/>
    <w:rsid w:val="00512CA3"/>
    <w:rsid w:val="00514EAD"/>
    <w:rsid w:val="00520AF2"/>
    <w:rsid w:val="00522EEA"/>
    <w:rsid w:val="00524C40"/>
    <w:rsid w:val="005259C7"/>
    <w:rsid w:val="00527D03"/>
    <w:rsid w:val="00527DB9"/>
    <w:rsid w:val="00530B56"/>
    <w:rsid w:val="00532734"/>
    <w:rsid w:val="005354D1"/>
    <w:rsid w:val="005357EE"/>
    <w:rsid w:val="00536524"/>
    <w:rsid w:val="00537388"/>
    <w:rsid w:val="0053751D"/>
    <w:rsid w:val="00537A9D"/>
    <w:rsid w:val="00543C0C"/>
    <w:rsid w:val="00544022"/>
    <w:rsid w:val="00545311"/>
    <w:rsid w:val="00547BA5"/>
    <w:rsid w:val="00547DA4"/>
    <w:rsid w:val="00552014"/>
    <w:rsid w:val="005527D4"/>
    <w:rsid w:val="0055678A"/>
    <w:rsid w:val="00557887"/>
    <w:rsid w:val="00560456"/>
    <w:rsid w:val="005604B3"/>
    <w:rsid w:val="0056208C"/>
    <w:rsid w:val="00564C4A"/>
    <w:rsid w:val="00565889"/>
    <w:rsid w:val="00565A70"/>
    <w:rsid w:val="00566BA6"/>
    <w:rsid w:val="00567774"/>
    <w:rsid w:val="00567DB0"/>
    <w:rsid w:val="00570AA1"/>
    <w:rsid w:val="00571A4B"/>
    <w:rsid w:val="00573760"/>
    <w:rsid w:val="005743F6"/>
    <w:rsid w:val="005749B4"/>
    <w:rsid w:val="00576B81"/>
    <w:rsid w:val="005801AF"/>
    <w:rsid w:val="00580B9F"/>
    <w:rsid w:val="00581798"/>
    <w:rsid w:val="00583F25"/>
    <w:rsid w:val="00584257"/>
    <w:rsid w:val="00585472"/>
    <w:rsid w:val="005864FE"/>
    <w:rsid w:val="0059031B"/>
    <w:rsid w:val="00590B04"/>
    <w:rsid w:val="005939C7"/>
    <w:rsid w:val="00594468"/>
    <w:rsid w:val="005944EB"/>
    <w:rsid w:val="005946CB"/>
    <w:rsid w:val="00594CBD"/>
    <w:rsid w:val="00594E1A"/>
    <w:rsid w:val="005955FE"/>
    <w:rsid w:val="005A06FF"/>
    <w:rsid w:val="005A0B80"/>
    <w:rsid w:val="005A1953"/>
    <w:rsid w:val="005A49A9"/>
    <w:rsid w:val="005A6435"/>
    <w:rsid w:val="005A7334"/>
    <w:rsid w:val="005B122F"/>
    <w:rsid w:val="005B1556"/>
    <w:rsid w:val="005B1922"/>
    <w:rsid w:val="005B2CD2"/>
    <w:rsid w:val="005B3902"/>
    <w:rsid w:val="005B45B1"/>
    <w:rsid w:val="005B4B45"/>
    <w:rsid w:val="005B4DE3"/>
    <w:rsid w:val="005B76EF"/>
    <w:rsid w:val="005C0AC0"/>
    <w:rsid w:val="005C0F56"/>
    <w:rsid w:val="005C235C"/>
    <w:rsid w:val="005C319D"/>
    <w:rsid w:val="005C58D5"/>
    <w:rsid w:val="005C61F5"/>
    <w:rsid w:val="005C62EF"/>
    <w:rsid w:val="005C6A4A"/>
    <w:rsid w:val="005D0212"/>
    <w:rsid w:val="005D0863"/>
    <w:rsid w:val="005D589B"/>
    <w:rsid w:val="005D6006"/>
    <w:rsid w:val="005D66E9"/>
    <w:rsid w:val="005E0140"/>
    <w:rsid w:val="005E2493"/>
    <w:rsid w:val="005E34E8"/>
    <w:rsid w:val="005E5781"/>
    <w:rsid w:val="005F0143"/>
    <w:rsid w:val="005F21ED"/>
    <w:rsid w:val="005F234C"/>
    <w:rsid w:val="005F4103"/>
    <w:rsid w:val="005F457F"/>
    <w:rsid w:val="005F69CB"/>
    <w:rsid w:val="005F6A3C"/>
    <w:rsid w:val="005F730F"/>
    <w:rsid w:val="00600E44"/>
    <w:rsid w:val="00604BAB"/>
    <w:rsid w:val="00605000"/>
    <w:rsid w:val="00610317"/>
    <w:rsid w:val="00611A52"/>
    <w:rsid w:val="0061307E"/>
    <w:rsid w:val="006132BE"/>
    <w:rsid w:val="0061446A"/>
    <w:rsid w:val="00614F49"/>
    <w:rsid w:val="0062008A"/>
    <w:rsid w:val="006210C9"/>
    <w:rsid w:val="0062230E"/>
    <w:rsid w:val="00623389"/>
    <w:rsid w:val="0062551F"/>
    <w:rsid w:val="006305DC"/>
    <w:rsid w:val="00637C28"/>
    <w:rsid w:val="0064007E"/>
    <w:rsid w:val="006407D6"/>
    <w:rsid w:val="00643135"/>
    <w:rsid w:val="006448B0"/>
    <w:rsid w:val="00645167"/>
    <w:rsid w:val="0065018B"/>
    <w:rsid w:val="006535B7"/>
    <w:rsid w:val="00655F5D"/>
    <w:rsid w:val="006625FE"/>
    <w:rsid w:val="0066307F"/>
    <w:rsid w:val="00664905"/>
    <w:rsid w:val="00664DC0"/>
    <w:rsid w:val="00665AF1"/>
    <w:rsid w:val="00665B40"/>
    <w:rsid w:val="00666A68"/>
    <w:rsid w:val="0066752C"/>
    <w:rsid w:val="00667E86"/>
    <w:rsid w:val="0067135C"/>
    <w:rsid w:val="006713C2"/>
    <w:rsid w:val="0067528D"/>
    <w:rsid w:val="00675A8F"/>
    <w:rsid w:val="006776DA"/>
    <w:rsid w:val="006806B4"/>
    <w:rsid w:val="00681031"/>
    <w:rsid w:val="0068256C"/>
    <w:rsid w:val="00682D8A"/>
    <w:rsid w:val="00684802"/>
    <w:rsid w:val="006850B7"/>
    <w:rsid w:val="00691121"/>
    <w:rsid w:val="006A09AC"/>
    <w:rsid w:val="006A0A73"/>
    <w:rsid w:val="006A4197"/>
    <w:rsid w:val="006A62BF"/>
    <w:rsid w:val="006B0BD1"/>
    <w:rsid w:val="006B288F"/>
    <w:rsid w:val="006B5D2C"/>
    <w:rsid w:val="006B78E8"/>
    <w:rsid w:val="006C24BD"/>
    <w:rsid w:val="006C4ACC"/>
    <w:rsid w:val="006C55CC"/>
    <w:rsid w:val="006C5B3D"/>
    <w:rsid w:val="006C6A40"/>
    <w:rsid w:val="006C6EAF"/>
    <w:rsid w:val="006C6F4A"/>
    <w:rsid w:val="006C7A33"/>
    <w:rsid w:val="006D2673"/>
    <w:rsid w:val="006D3661"/>
    <w:rsid w:val="006D4C09"/>
    <w:rsid w:val="006E067D"/>
    <w:rsid w:val="006E1D4E"/>
    <w:rsid w:val="006E25FE"/>
    <w:rsid w:val="006E3A40"/>
    <w:rsid w:val="006F0633"/>
    <w:rsid w:val="006F0822"/>
    <w:rsid w:val="006F319D"/>
    <w:rsid w:val="006F60A5"/>
    <w:rsid w:val="006F6ED9"/>
    <w:rsid w:val="0070382A"/>
    <w:rsid w:val="007042C8"/>
    <w:rsid w:val="00705D02"/>
    <w:rsid w:val="00706169"/>
    <w:rsid w:val="00711349"/>
    <w:rsid w:val="00712BE4"/>
    <w:rsid w:val="00714E21"/>
    <w:rsid w:val="007171EE"/>
    <w:rsid w:val="00723B8D"/>
    <w:rsid w:val="00725916"/>
    <w:rsid w:val="0073433E"/>
    <w:rsid w:val="00734B1A"/>
    <w:rsid w:val="00736244"/>
    <w:rsid w:val="0073677B"/>
    <w:rsid w:val="00737BF6"/>
    <w:rsid w:val="007409CD"/>
    <w:rsid w:val="00741390"/>
    <w:rsid w:val="007417C4"/>
    <w:rsid w:val="00742634"/>
    <w:rsid w:val="00743E04"/>
    <w:rsid w:val="00745B6E"/>
    <w:rsid w:val="00745D51"/>
    <w:rsid w:val="0074750C"/>
    <w:rsid w:val="00747EC4"/>
    <w:rsid w:val="00750660"/>
    <w:rsid w:val="0075172E"/>
    <w:rsid w:val="00751B33"/>
    <w:rsid w:val="00757D6A"/>
    <w:rsid w:val="007638DA"/>
    <w:rsid w:val="00764B30"/>
    <w:rsid w:val="00765CFB"/>
    <w:rsid w:val="00773621"/>
    <w:rsid w:val="00775DA5"/>
    <w:rsid w:val="00776D9E"/>
    <w:rsid w:val="0078233B"/>
    <w:rsid w:val="007837C3"/>
    <w:rsid w:val="00785524"/>
    <w:rsid w:val="00790C71"/>
    <w:rsid w:val="00792A1D"/>
    <w:rsid w:val="0079658C"/>
    <w:rsid w:val="00796C9E"/>
    <w:rsid w:val="007A22D6"/>
    <w:rsid w:val="007A43F7"/>
    <w:rsid w:val="007A46D8"/>
    <w:rsid w:val="007A78A7"/>
    <w:rsid w:val="007B0B81"/>
    <w:rsid w:val="007B129A"/>
    <w:rsid w:val="007B15C6"/>
    <w:rsid w:val="007B2A3A"/>
    <w:rsid w:val="007B2C6B"/>
    <w:rsid w:val="007B4D4E"/>
    <w:rsid w:val="007B59C1"/>
    <w:rsid w:val="007B6BA4"/>
    <w:rsid w:val="007C2553"/>
    <w:rsid w:val="007C28FD"/>
    <w:rsid w:val="007C3DD5"/>
    <w:rsid w:val="007C55AF"/>
    <w:rsid w:val="007C5ACA"/>
    <w:rsid w:val="007C77F5"/>
    <w:rsid w:val="007D0B20"/>
    <w:rsid w:val="007D15E1"/>
    <w:rsid w:val="007D1FDE"/>
    <w:rsid w:val="007D284E"/>
    <w:rsid w:val="007D3DB5"/>
    <w:rsid w:val="007D5E19"/>
    <w:rsid w:val="007D5ECC"/>
    <w:rsid w:val="007D6616"/>
    <w:rsid w:val="007E13AA"/>
    <w:rsid w:val="007E2217"/>
    <w:rsid w:val="007E6917"/>
    <w:rsid w:val="007E7D91"/>
    <w:rsid w:val="007E7EA5"/>
    <w:rsid w:val="007F13BE"/>
    <w:rsid w:val="007F2C6D"/>
    <w:rsid w:val="007F2F14"/>
    <w:rsid w:val="007F606A"/>
    <w:rsid w:val="008011A4"/>
    <w:rsid w:val="008017C6"/>
    <w:rsid w:val="0080579F"/>
    <w:rsid w:val="0080682C"/>
    <w:rsid w:val="008118D9"/>
    <w:rsid w:val="00817403"/>
    <w:rsid w:val="00817540"/>
    <w:rsid w:val="00817AC2"/>
    <w:rsid w:val="0082323B"/>
    <w:rsid w:val="00823D7E"/>
    <w:rsid w:val="0082493A"/>
    <w:rsid w:val="008265A4"/>
    <w:rsid w:val="008338CD"/>
    <w:rsid w:val="00833AF6"/>
    <w:rsid w:val="0083501B"/>
    <w:rsid w:val="00835088"/>
    <w:rsid w:val="00837225"/>
    <w:rsid w:val="008372A2"/>
    <w:rsid w:val="0084021B"/>
    <w:rsid w:val="00840B22"/>
    <w:rsid w:val="0084173C"/>
    <w:rsid w:val="0084349D"/>
    <w:rsid w:val="00844967"/>
    <w:rsid w:val="008452C7"/>
    <w:rsid w:val="0084587F"/>
    <w:rsid w:val="00846204"/>
    <w:rsid w:val="00850C2E"/>
    <w:rsid w:val="00851616"/>
    <w:rsid w:val="0085210F"/>
    <w:rsid w:val="008523CC"/>
    <w:rsid w:val="008528B2"/>
    <w:rsid w:val="0085300C"/>
    <w:rsid w:val="008530FA"/>
    <w:rsid w:val="00853494"/>
    <w:rsid w:val="00856D40"/>
    <w:rsid w:val="00864575"/>
    <w:rsid w:val="00864704"/>
    <w:rsid w:val="00867FC9"/>
    <w:rsid w:val="008707D5"/>
    <w:rsid w:val="00870EAD"/>
    <w:rsid w:val="008727BB"/>
    <w:rsid w:val="0087314A"/>
    <w:rsid w:val="00873CBA"/>
    <w:rsid w:val="00874CBF"/>
    <w:rsid w:val="008824DC"/>
    <w:rsid w:val="00882D93"/>
    <w:rsid w:val="008835BB"/>
    <w:rsid w:val="00884B7C"/>
    <w:rsid w:val="0088753B"/>
    <w:rsid w:val="0089279D"/>
    <w:rsid w:val="00895F0A"/>
    <w:rsid w:val="00897D6F"/>
    <w:rsid w:val="008A4236"/>
    <w:rsid w:val="008A5C0E"/>
    <w:rsid w:val="008A7105"/>
    <w:rsid w:val="008B048A"/>
    <w:rsid w:val="008B04F8"/>
    <w:rsid w:val="008B5439"/>
    <w:rsid w:val="008C3A47"/>
    <w:rsid w:val="008C5CCA"/>
    <w:rsid w:val="008C6A88"/>
    <w:rsid w:val="008C713B"/>
    <w:rsid w:val="008D07EB"/>
    <w:rsid w:val="008D3138"/>
    <w:rsid w:val="008D556A"/>
    <w:rsid w:val="008D58D0"/>
    <w:rsid w:val="008D69C1"/>
    <w:rsid w:val="008D6EF3"/>
    <w:rsid w:val="008E017C"/>
    <w:rsid w:val="008E0807"/>
    <w:rsid w:val="008E13CC"/>
    <w:rsid w:val="008E703F"/>
    <w:rsid w:val="008F1813"/>
    <w:rsid w:val="008F3232"/>
    <w:rsid w:val="008F33F7"/>
    <w:rsid w:val="008F5BCD"/>
    <w:rsid w:val="008F7028"/>
    <w:rsid w:val="008F7D18"/>
    <w:rsid w:val="0090196D"/>
    <w:rsid w:val="00902673"/>
    <w:rsid w:val="009031D5"/>
    <w:rsid w:val="00905101"/>
    <w:rsid w:val="00906661"/>
    <w:rsid w:val="00906E3F"/>
    <w:rsid w:val="009076A5"/>
    <w:rsid w:val="009100FA"/>
    <w:rsid w:val="00911F68"/>
    <w:rsid w:val="009141F7"/>
    <w:rsid w:val="009152A2"/>
    <w:rsid w:val="009158D8"/>
    <w:rsid w:val="00915D78"/>
    <w:rsid w:val="00925648"/>
    <w:rsid w:val="00931407"/>
    <w:rsid w:val="009322EA"/>
    <w:rsid w:val="00935B41"/>
    <w:rsid w:val="00937D73"/>
    <w:rsid w:val="00941617"/>
    <w:rsid w:val="00946346"/>
    <w:rsid w:val="009467E6"/>
    <w:rsid w:val="00946D3D"/>
    <w:rsid w:val="009500F6"/>
    <w:rsid w:val="00953862"/>
    <w:rsid w:val="00954B8B"/>
    <w:rsid w:val="00955B0B"/>
    <w:rsid w:val="00956140"/>
    <w:rsid w:val="00956E4F"/>
    <w:rsid w:val="00956F67"/>
    <w:rsid w:val="0096006A"/>
    <w:rsid w:val="00962309"/>
    <w:rsid w:val="00966749"/>
    <w:rsid w:val="009705E7"/>
    <w:rsid w:val="00973278"/>
    <w:rsid w:val="00973D84"/>
    <w:rsid w:val="009751FB"/>
    <w:rsid w:val="00981709"/>
    <w:rsid w:val="009846F1"/>
    <w:rsid w:val="00985353"/>
    <w:rsid w:val="009868A2"/>
    <w:rsid w:val="0099116A"/>
    <w:rsid w:val="00991A02"/>
    <w:rsid w:val="009A091B"/>
    <w:rsid w:val="009A1EF2"/>
    <w:rsid w:val="009A2604"/>
    <w:rsid w:val="009A2F0C"/>
    <w:rsid w:val="009A7BC1"/>
    <w:rsid w:val="009B0387"/>
    <w:rsid w:val="009B250B"/>
    <w:rsid w:val="009B3B11"/>
    <w:rsid w:val="009B47E3"/>
    <w:rsid w:val="009B5FD4"/>
    <w:rsid w:val="009B7909"/>
    <w:rsid w:val="009B7B35"/>
    <w:rsid w:val="009C0002"/>
    <w:rsid w:val="009C3261"/>
    <w:rsid w:val="009C49A0"/>
    <w:rsid w:val="009C537E"/>
    <w:rsid w:val="009C541F"/>
    <w:rsid w:val="009C7C11"/>
    <w:rsid w:val="009C7D23"/>
    <w:rsid w:val="009D10FB"/>
    <w:rsid w:val="009D4136"/>
    <w:rsid w:val="009D4899"/>
    <w:rsid w:val="009D4DF2"/>
    <w:rsid w:val="009D64F6"/>
    <w:rsid w:val="009E2C70"/>
    <w:rsid w:val="009E4324"/>
    <w:rsid w:val="009E7288"/>
    <w:rsid w:val="009E79E9"/>
    <w:rsid w:val="009F01CD"/>
    <w:rsid w:val="009F10E9"/>
    <w:rsid w:val="009F1794"/>
    <w:rsid w:val="009F5276"/>
    <w:rsid w:val="009F594B"/>
    <w:rsid w:val="009F7982"/>
    <w:rsid w:val="009F7B50"/>
    <w:rsid w:val="00A01495"/>
    <w:rsid w:val="00A0318D"/>
    <w:rsid w:val="00A03341"/>
    <w:rsid w:val="00A03EBE"/>
    <w:rsid w:val="00A06799"/>
    <w:rsid w:val="00A06A7B"/>
    <w:rsid w:val="00A139A3"/>
    <w:rsid w:val="00A15D13"/>
    <w:rsid w:val="00A216AE"/>
    <w:rsid w:val="00A22B50"/>
    <w:rsid w:val="00A27483"/>
    <w:rsid w:val="00A30719"/>
    <w:rsid w:val="00A32671"/>
    <w:rsid w:val="00A335BC"/>
    <w:rsid w:val="00A33AE6"/>
    <w:rsid w:val="00A402A8"/>
    <w:rsid w:val="00A4185E"/>
    <w:rsid w:val="00A43552"/>
    <w:rsid w:val="00A43B0B"/>
    <w:rsid w:val="00A45FFE"/>
    <w:rsid w:val="00A462B9"/>
    <w:rsid w:val="00A47788"/>
    <w:rsid w:val="00A51D1C"/>
    <w:rsid w:val="00A54323"/>
    <w:rsid w:val="00A556E2"/>
    <w:rsid w:val="00A55ABA"/>
    <w:rsid w:val="00A57BEB"/>
    <w:rsid w:val="00A57C7C"/>
    <w:rsid w:val="00A60EA3"/>
    <w:rsid w:val="00A616C2"/>
    <w:rsid w:val="00A62AA1"/>
    <w:rsid w:val="00A644FD"/>
    <w:rsid w:val="00A72038"/>
    <w:rsid w:val="00A74805"/>
    <w:rsid w:val="00A74B0B"/>
    <w:rsid w:val="00A81BAB"/>
    <w:rsid w:val="00A83D7C"/>
    <w:rsid w:val="00A87C94"/>
    <w:rsid w:val="00A903A2"/>
    <w:rsid w:val="00A9215A"/>
    <w:rsid w:val="00A93076"/>
    <w:rsid w:val="00AA4875"/>
    <w:rsid w:val="00AA5081"/>
    <w:rsid w:val="00AA55FE"/>
    <w:rsid w:val="00AA7AF7"/>
    <w:rsid w:val="00AB2F4C"/>
    <w:rsid w:val="00AB701F"/>
    <w:rsid w:val="00AC0F29"/>
    <w:rsid w:val="00AC3A06"/>
    <w:rsid w:val="00AC46F1"/>
    <w:rsid w:val="00AC6DA9"/>
    <w:rsid w:val="00AD0350"/>
    <w:rsid w:val="00AD2EF1"/>
    <w:rsid w:val="00AD4A35"/>
    <w:rsid w:val="00AD7BA1"/>
    <w:rsid w:val="00AE1169"/>
    <w:rsid w:val="00AE7474"/>
    <w:rsid w:val="00AF4F06"/>
    <w:rsid w:val="00AF5140"/>
    <w:rsid w:val="00AF6159"/>
    <w:rsid w:val="00AF7076"/>
    <w:rsid w:val="00AF742A"/>
    <w:rsid w:val="00B02BE1"/>
    <w:rsid w:val="00B02CAD"/>
    <w:rsid w:val="00B03FC3"/>
    <w:rsid w:val="00B041AA"/>
    <w:rsid w:val="00B12B77"/>
    <w:rsid w:val="00B15B32"/>
    <w:rsid w:val="00B16FE8"/>
    <w:rsid w:val="00B2383D"/>
    <w:rsid w:val="00B24065"/>
    <w:rsid w:val="00B25A9C"/>
    <w:rsid w:val="00B27432"/>
    <w:rsid w:val="00B27919"/>
    <w:rsid w:val="00B3164F"/>
    <w:rsid w:val="00B31BB6"/>
    <w:rsid w:val="00B32873"/>
    <w:rsid w:val="00B33899"/>
    <w:rsid w:val="00B33BA0"/>
    <w:rsid w:val="00B363C1"/>
    <w:rsid w:val="00B40DE3"/>
    <w:rsid w:val="00B41E72"/>
    <w:rsid w:val="00B41ED7"/>
    <w:rsid w:val="00B433C3"/>
    <w:rsid w:val="00B459BD"/>
    <w:rsid w:val="00B5414A"/>
    <w:rsid w:val="00B54A95"/>
    <w:rsid w:val="00B550DF"/>
    <w:rsid w:val="00B61059"/>
    <w:rsid w:val="00B6113B"/>
    <w:rsid w:val="00B61318"/>
    <w:rsid w:val="00B658AB"/>
    <w:rsid w:val="00B71A59"/>
    <w:rsid w:val="00B73B17"/>
    <w:rsid w:val="00B745B3"/>
    <w:rsid w:val="00B7713D"/>
    <w:rsid w:val="00B77304"/>
    <w:rsid w:val="00B80BEF"/>
    <w:rsid w:val="00B80C5A"/>
    <w:rsid w:val="00B81670"/>
    <w:rsid w:val="00B84936"/>
    <w:rsid w:val="00B84A2D"/>
    <w:rsid w:val="00B8505A"/>
    <w:rsid w:val="00B87FB4"/>
    <w:rsid w:val="00B90389"/>
    <w:rsid w:val="00B91C37"/>
    <w:rsid w:val="00B928AD"/>
    <w:rsid w:val="00B92D35"/>
    <w:rsid w:val="00B949EE"/>
    <w:rsid w:val="00B9504D"/>
    <w:rsid w:val="00B960C0"/>
    <w:rsid w:val="00B97C3F"/>
    <w:rsid w:val="00BA0665"/>
    <w:rsid w:val="00BA2BA4"/>
    <w:rsid w:val="00BA4993"/>
    <w:rsid w:val="00BA538D"/>
    <w:rsid w:val="00BA7690"/>
    <w:rsid w:val="00BA7A32"/>
    <w:rsid w:val="00BA7A73"/>
    <w:rsid w:val="00BB0763"/>
    <w:rsid w:val="00BB1FA3"/>
    <w:rsid w:val="00BB2DB5"/>
    <w:rsid w:val="00BB3A18"/>
    <w:rsid w:val="00BB7883"/>
    <w:rsid w:val="00BC0C4F"/>
    <w:rsid w:val="00BC1338"/>
    <w:rsid w:val="00BC4191"/>
    <w:rsid w:val="00BD138E"/>
    <w:rsid w:val="00BD7399"/>
    <w:rsid w:val="00BD7D8A"/>
    <w:rsid w:val="00BD7F91"/>
    <w:rsid w:val="00BE22D4"/>
    <w:rsid w:val="00BE249E"/>
    <w:rsid w:val="00BE36FB"/>
    <w:rsid w:val="00BE5E0D"/>
    <w:rsid w:val="00BF07B7"/>
    <w:rsid w:val="00BF0ED2"/>
    <w:rsid w:val="00BF6DB3"/>
    <w:rsid w:val="00C0006C"/>
    <w:rsid w:val="00C065C2"/>
    <w:rsid w:val="00C06A43"/>
    <w:rsid w:val="00C06BD0"/>
    <w:rsid w:val="00C1086D"/>
    <w:rsid w:val="00C12594"/>
    <w:rsid w:val="00C1467F"/>
    <w:rsid w:val="00C148A6"/>
    <w:rsid w:val="00C15D18"/>
    <w:rsid w:val="00C1771D"/>
    <w:rsid w:val="00C214F2"/>
    <w:rsid w:val="00C21ACA"/>
    <w:rsid w:val="00C23030"/>
    <w:rsid w:val="00C230FF"/>
    <w:rsid w:val="00C238A9"/>
    <w:rsid w:val="00C2454C"/>
    <w:rsid w:val="00C27703"/>
    <w:rsid w:val="00C320D4"/>
    <w:rsid w:val="00C35208"/>
    <w:rsid w:val="00C357B4"/>
    <w:rsid w:val="00C36650"/>
    <w:rsid w:val="00C36A0C"/>
    <w:rsid w:val="00C41E7D"/>
    <w:rsid w:val="00C506E2"/>
    <w:rsid w:val="00C51494"/>
    <w:rsid w:val="00C526B8"/>
    <w:rsid w:val="00C52AEB"/>
    <w:rsid w:val="00C53CEC"/>
    <w:rsid w:val="00C57874"/>
    <w:rsid w:val="00C62CEC"/>
    <w:rsid w:val="00C64008"/>
    <w:rsid w:val="00C71552"/>
    <w:rsid w:val="00C72244"/>
    <w:rsid w:val="00C815EF"/>
    <w:rsid w:val="00C84B7E"/>
    <w:rsid w:val="00C85744"/>
    <w:rsid w:val="00C86FA7"/>
    <w:rsid w:val="00C87D91"/>
    <w:rsid w:val="00C9022C"/>
    <w:rsid w:val="00C91A34"/>
    <w:rsid w:val="00C91B52"/>
    <w:rsid w:val="00C91D60"/>
    <w:rsid w:val="00C91E46"/>
    <w:rsid w:val="00C9382C"/>
    <w:rsid w:val="00C9383C"/>
    <w:rsid w:val="00C94353"/>
    <w:rsid w:val="00C96C54"/>
    <w:rsid w:val="00CA0477"/>
    <w:rsid w:val="00CA256C"/>
    <w:rsid w:val="00CA2EC2"/>
    <w:rsid w:val="00CA43BC"/>
    <w:rsid w:val="00CA4EBD"/>
    <w:rsid w:val="00CB19F1"/>
    <w:rsid w:val="00CB1A58"/>
    <w:rsid w:val="00CB5186"/>
    <w:rsid w:val="00CB5C99"/>
    <w:rsid w:val="00CC0A54"/>
    <w:rsid w:val="00CC3248"/>
    <w:rsid w:val="00CC6B3A"/>
    <w:rsid w:val="00CD4C99"/>
    <w:rsid w:val="00CD5B34"/>
    <w:rsid w:val="00CE0E81"/>
    <w:rsid w:val="00CE0E96"/>
    <w:rsid w:val="00CE1BA6"/>
    <w:rsid w:val="00CE54A9"/>
    <w:rsid w:val="00CE679C"/>
    <w:rsid w:val="00CF1963"/>
    <w:rsid w:val="00CF2369"/>
    <w:rsid w:val="00CF5246"/>
    <w:rsid w:val="00CF7318"/>
    <w:rsid w:val="00D02285"/>
    <w:rsid w:val="00D02915"/>
    <w:rsid w:val="00D03EB2"/>
    <w:rsid w:val="00D04C70"/>
    <w:rsid w:val="00D06230"/>
    <w:rsid w:val="00D068D3"/>
    <w:rsid w:val="00D071BE"/>
    <w:rsid w:val="00D07C78"/>
    <w:rsid w:val="00D10543"/>
    <w:rsid w:val="00D11AF8"/>
    <w:rsid w:val="00D13A79"/>
    <w:rsid w:val="00D15995"/>
    <w:rsid w:val="00D16209"/>
    <w:rsid w:val="00D165B4"/>
    <w:rsid w:val="00D179E2"/>
    <w:rsid w:val="00D21C74"/>
    <w:rsid w:val="00D2266F"/>
    <w:rsid w:val="00D22675"/>
    <w:rsid w:val="00D23F17"/>
    <w:rsid w:val="00D24C30"/>
    <w:rsid w:val="00D275BC"/>
    <w:rsid w:val="00D3490A"/>
    <w:rsid w:val="00D3639F"/>
    <w:rsid w:val="00D420BE"/>
    <w:rsid w:val="00D4223C"/>
    <w:rsid w:val="00D43999"/>
    <w:rsid w:val="00D467AD"/>
    <w:rsid w:val="00D512F9"/>
    <w:rsid w:val="00D51AFE"/>
    <w:rsid w:val="00D53085"/>
    <w:rsid w:val="00D54E2B"/>
    <w:rsid w:val="00D55206"/>
    <w:rsid w:val="00D55B12"/>
    <w:rsid w:val="00D56345"/>
    <w:rsid w:val="00D57135"/>
    <w:rsid w:val="00D603F1"/>
    <w:rsid w:val="00D622B4"/>
    <w:rsid w:val="00D626EA"/>
    <w:rsid w:val="00D65471"/>
    <w:rsid w:val="00D656A0"/>
    <w:rsid w:val="00D665A8"/>
    <w:rsid w:val="00D70955"/>
    <w:rsid w:val="00D73202"/>
    <w:rsid w:val="00D73608"/>
    <w:rsid w:val="00D7400D"/>
    <w:rsid w:val="00D74143"/>
    <w:rsid w:val="00D74E1F"/>
    <w:rsid w:val="00D816BC"/>
    <w:rsid w:val="00D862E6"/>
    <w:rsid w:val="00D90724"/>
    <w:rsid w:val="00D951C4"/>
    <w:rsid w:val="00D96AC4"/>
    <w:rsid w:val="00D96BCB"/>
    <w:rsid w:val="00D9769F"/>
    <w:rsid w:val="00DA1DB1"/>
    <w:rsid w:val="00DA2D36"/>
    <w:rsid w:val="00DA56F7"/>
    <w:rsid w:val="00DA7DA9"/>
    <w:rsid w:val="00DB003A"/>
    <w:rsid w:val="00DB0583"/>
    <w:rsid w:val="00DB1377"/>
    <w:rsid w:val="00DB18C0"/>
    <w:rsid w:val="00DB2985"/>
    <w:rsid w:val="00DB7078"/>
    <w:rsid w:val="00DB77EC"/>
    <w:rsid w:val="00DC185D"/>
    <w:rsid w:val="00DC27B7"/>
    <w:rsid w:val="00DC58EE"/>
    <w:rsid w:val="00DC6008"/>
    <w:rsid w:val="00DD024E"/>
    <w:rsid w:val="00DD40FE"/>
    <w:rsid w:val="00DD42A2"/>
    <w:rsid w:val="00DD4A24"/>
    <w:rsid w:val="00DD533D"/>
    <w:rsid w:val="00DD66AB"/>
    <w:rsid w:val="00DD780C"/>
    <w:rsid w:val="00DE1D75"/>
    <w:rsid w:val="00DE5FF5"/>
    <w:rsid w:val="00DE63A1"/>
    <w:rsid w:val="00DE6519"/>
    <w:rsid w:val="00DE7767"/>
    <w:rsid w:val="00DF06FF"/>
    <w:rsid w:val="00DF12D5"/>
    <w:rsid w:val="00DF5089"/>
    <w:rsid w:val="00DF5253"/>
    <w:rsid w:val="00DF5E7B"/>
    <w:rsid w:val="00DF66BE"/>
    <w:rsid w:val="00DF72FD"/>
    <w:rsid w:val="00E05F58"/>
    <w:rsid w:val="00E10224"/>
    <w:rsid w:val="00E1138E"/>
    <w:rsid w:val="00E14E0F"/>
    <w:rsid w:val="00E23061"/>
    <w:rsid w:val="00E23140"/>
    <w:rsid w:val="00E235EB"/>
    <w:rsid w:val="00E23C00"/>
    <w:rsid w:val="00E24F90"/>
    <w:rsid w:val="00E2698A"/>
    <w:rsid w:val="00E307CC"/>
    <w:rsid w:val="00E31237"/>
    <w:rsid w:val="00E34241"/>
    <w:rsid w:val="00E368F9"/>
    <w:rsid w:val="00E36DAF"/>
    <w:rsid w:val="00E40E03"/>
    <w:rsid w:val="00E45241"/>
    <w:rsid w:val="00E46686"/>
    <w:rsid w:val="00E4760B"/>
    <w:rsid w:val="00E50568"/>
    <w:rsid w:val="00E50616"/>
    <w:rsid w:val="00E50705"/>
    <w:rsid w:val="00E5685C"/>
    <w:rsid w:val="00E622F6"/>
    <w:rsid w:val="00E6430C"/>
    <w:rsid w:val="00E64743"/>
    <w:rsid w:val="00E64908"/>
    <w:rsid w:val="00E67698"/>
    <w:rsid w:val="00E7319B"/>
    <w:rsid w:val="00E74649"/>
    <w:rsid w:val="00E751CE"/>
    <w:rsid w:val="00E76FBD"/>
    <w:rsid w:val="00E7792E"/>
    <w:rsid w:val="00E81B06"/>
    <w:rsid w:val="00E82083"/>
    <w:rsid w:val="00E8774E"/>
    <w:rsid w:val="00E90665"/>
    <w:rsid w:val="00E90920"/>
    <w:rsid w:val="00E91924"/>
    <w:rsid w:val="00E91FF5"/>
    <w:rsid w:val="00E926FE"/>
    <w:rsid w:val="00EA2B4C"/>
    <w:rsid w:val="00EA58CE"/>
    <w:rsid w:val="00EA6BF6"/>
    <w:rsid w:val="00EA6F7C"/>
    <w:rsid w:val="00EB2D1D"/>
    <w:rsid w:val="00EB5870"/>
    <w:rsid w:val="00EC00DA"/>
    <w:rsid w:val="00EC4DEE"/>
    <w:rsid w:val="00EC5E27"/>
    <w:rsid w:val="00EC625D"/>
    <w:rsid w:val="00EC73AE"/>
    <w:rsid w:val="00ED36F6"/>
    <w:rsid w:val="00ED55E8"/>
    <w:rsid w:val="00EE1CE3"/>
    <w:rsid w:val="00EE59EA"/>
    <w:rsid w:val="00EE63A7"/>
    <w:rsid w:val="00EE69D8"/>
    <w:rsid w:val="00EF0E8A"/>
    <w:rsid w:val="00EF1C8C"/>
    <w:rsid w:val="00EF1E52"/>
    <w:rsid w:val="00EF3B80"/>
    <w:rsid w:val="00EF5AAE"/>
    <w:rsid w:val="00EF7465"/>
    <w:rsid w:val="00F007ED"/>
    <w:rsid w:val="00F0328E"/>
    <w:rsid w:val="00F03B72"/>
    <w:rsid w:val="00F05FD9"/>
    <w:rsid w:val="00F116D3"/>
    <w:rsid w:val="00F13119"/>
    <w:rsid w:val="00F15141"/>
    <w:rsid w:val="00F15594"/>
    <w:rsid w:val="00F15C2D"/>
    <w:rsid w:val="00F21A37"/>
    <w:rsid w:val="00F222AD"/>
    <w:rsid w:val="00F2330C"/>
    <w:rsid w:val="00F244FB"/>
    <w:rsid w:val="00F2581D"/>
    <w:rsid w:val="00F308D1"/>
    <w:rsid w:val="00F310F2"/>
    <w:rsid w:val="00F32AFE"/>
    <w:rsid w:val="00F32CE0"/>
    <w:rsid w:val="00F32E10"/>
    <w:rsid w:val="00F335E7"/>
    <w:rsid w:val="00F349C0"/>
    <w:rsid w:val="00F40497"/>
    <w:rsid w:val="00F41FA9"/>
    <w:rsid w:val="00F43B36"/>
    <w:rsid w:val="00F46581"/>
    <w:rsid w:val="00F47B99"/>
    <w:rsid w:val="00F5309F"/>
    <w:rsid w:val="00F5336F"/>
    <w:rsid w:val="00F533B3"/>
    <w:rsid w:val="00F551D8"/>
    <w:rsid w:val="00F55F01"/>
    <w:rsid w:val="00F61C07"/>
    <w:rsid w:val="00F620F8"/>
    <w:rsid w:val="00F64BFA"/>
    <w:rsid w:val="00F76CF4"/>
    <w:rsid w:val="00F77D0B"/>
    <w:rsid w:val="00F807E0"/>
    <w:rsid w:val="00F82AA3"/>
    <w:rsid w:val="00F83AD6"/>
    <w:rsid w:val="00F849FC"/>
    <w:rsid w:val="00F906B8"/>
    <w:rsid w:val="00F92689"/>
    <w:rsid w:val="00F92EA6"/>
    <w:rsid w:val="00F963AC"/>
    <w:rsid w:val="00F963AE"/>
    <w:rsid w:val="00F97D8F"/>
    <w:rsid w:val="00FA0208"/>
    <w:rsid w:val="00FA18F1"/>
    <w:rsid w:val="00FA25A9"/>
    <w:rsid w:val="00FA377E"/>
    <w:rsid w:val="00FA4921"/>
    <w:rsid w:val="00FA60F1"/>
    <w:rsid w:val="00FA643F"/>
    <w:rsid w:val="00FB0141"/>
    <w:rsid w:val="00FB2F1C"/>
    <w:rsid w:val="00FB39B6"/>
    <w:rsid w:val="00FB3B7C"/>
    <w:rsid w:val="00FB3BCC"/>
    <w:rsid w:val="00FB681B"/>
    <w:rsid w:val="00FB76AB"/>
    <w:rsid w:val="00FB7BFF"/>
    <w:rsid w:val="00FC320A"/>
    <w:rsid w:val="00FC3250"/>
    <w:rsid w:val="00FD43BC"/>
    <w:rsid w:val="00FD6EC1"/>
    <w:rsid w:val="00FE3A5C"/>
    <w:rsid w:val="00FE68A3"/>
    <w:rsid w:val="00FF338F"/>
    <w:rsid w:val="00FF38F7"/>
    <w:rsid w:val="00FF48D5"/>
    <w:rsid w:val="00FF55AD"/>
    <w:rsid w:val="00FF5900"/>
    <w:rsid w:val="00FF5ACA"/>
    <w:rsid w:val="00FF75E3"/>
    <w:rsid w:val="00FF79C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DAFAE95"/>
  <w15:docId w15:val="{6BF692FE-D751-417E-A367-3080FD2A61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next w:val="Normal"/>
    <w:link w:val="Heading1Char"/>
    <w:qFormat/>
    <w:rsid w:val="00BE36FB"/>
    <w:pPr>
      <w:keepNext/>
      <w:numPr>
        <w:numId w:val="11"/>
      </w:numPr>
      <w:spacing w:after="200"/>
      <w:outlineLvl w:val="0"/>
    </w:pPr>
    <w:rPr>
      <w:rFonts w:ascii="Arial Bold" w:hAnsi="Arial Bold" w:cs="Arial"/>
      <w:b/>
      <w:bCs/>
      <w:kern w:val="32"/>
      <w:sz w:val="32"/>
      <w:szCs w:val="32"/>
      <w:lang w:eastAsia="en-US"/>
    </w:rPr>
  </w:style>
  <w:style w:type="paragraph" w:styleId="Heading2">
    <w:name w:val="heading 2"/>
    <w:basedOn w:val="Heading1"/>
    <w:next w:val="Normal"/>
    <w:link w:val="Heading2Char"/>
    <w:qFormat/>
    <w:rsid w:val="00BE36FB"/>
    <w:pPr>
      <w:numPr>
        <w:ilvl w:val="1"/>
      </w:numPr>
      <w:spacing w:before="240"/>
      <w:outlineLvl w:val="1"/>
    </w:pPr>
    <w:rPr>
      <w:b w:val="0"/>
      <w:bCs w:val="0"/>
      <w:iCs/>
      <w:sz w:val="28"/>
      <w:szCs w:val="28"/>
    </w:rPr>
  </w:style>
  <w:style w:type="paragraph" w:styleId="Heading3">
    <w:name w:val="heading 3"/>
    <w:basedOn w:val="Heading2"/>
    <w:next w:val="Normal"/>
    <w:link w:val="Heading3Char"/>
    <w:qFormat/>
    <w:rsid w:val="00BE36FB"/>
    <w:pPr>
      <w:numPr>
        <w:ilvl w:val="2"/>
      </w:numPr>
      <w:spacing w:before="160" w:after="120"/>
      <w:outlineLvl w:val="2"/>
    </w:pPr>
    <w:rPr>
      <w:b/>
      <w:bCs/>
      <w:sz w:val="24"/>
      <w:szCs w:val="26"/>
    </w:rPr>
  </w:style>
  <w:style w:type="paragraph" w:styleId="Heading4">
    <w:name w:val="heading 4"/>
    <w:basedOn w:val="Heading3"/>
    <w:next w:val="Normal"/>
    <w:link w:val="Heading4Char"/>
    <w:qFormat/>
    <w:rsid w:val="00BE36FB"/>
    <w:pPr>
      <w:keepLines/>
      <w:numPr>
        <w:ilvl w:val="3"/>
      </w:numPr>
      <w:spacing w:before="120"/>
      <w:outlineLvl w:val="3"/>
    </w:pPr>
    <w:rPr>
      <w:rFonts w:eastAsiaTheme="majorEastAsia" w:cstheme="majorBidi"/>
      <w:b w:val="0"/>
      <w:bCs w:val="0"/>
      <w:iCs w:val="0"/>
    </w:rPr>
  </w:style>
  <w:style w:type="paragraph" w:styleId="Heading5">
    <w:name w:val="heading 5"/>
    <w:basedOn w:val="Normal"/>
    <w:next w:val="Normal"/>
    <w:link w:val="Heading5Char"/>
    <w:qFormat/>
    <w:rsid w:val="00BE36FB"/>
    <w:pPr>
      <w:keepNext/>
      <w:keepLines/>
      <w:numPr>
        <w:ilvl w:val="4"/>
        <w:numId w:val="11"/>
      </w:numPr>
      <w:spacing w:before="160" w:after="60"/>
      <w:outlineLvl w:val="4"/>
    </w:pPr>
    <w:rPr>
      <w:rFonts w:ascii="Arial" w:eastAsiaTheme="majorEastAsia" w:hAnsi="Arial" w:cstheme="majorBidi"/>
      <w:b/>
      <w:sz w:val="20"/>
      <w:szCs w:val="22"/>
    </w:rPr>
  </w:style>
  <w:style w:type="paragraph" w:styleId="Heading6">
    <w:name w:val="heading 6"/>
    <w:basedOn w:val="Normal"/>
    <w:next w:val="Normal"/>
    <w:link w:val="Heading6Char"/>
    <w:unhideWhenUsed/>
    <w:qFormat/>
    <w:rsid w:val="00BE36FB"/>
    <w:pPr>
      <w:keepNext/>
      <w:keepLines/>
      <w:numPr>
        <w:ilvl w:val="5"/>
        <w:numId w:val="11"/>
      </w:numPr>
      <w:spacing w:after="200"/>
      <w:outlineLvl w:val="5"/>
    </w:pPr>
    <w:rPr>
      <w:rFonts w:ascii="Arial" w:eastAsiaTheme="majorEastAsia" w:hAnsi="Arial" w:cstheme="majorBidi"/>
      <w:b/>
      <w:iCs/>
      <w:sz w:val="32"/>
      <w:szCs w:val="22"/>
    </w:rPr>
  </w:style>
  <w:style w:type="paragraph" w:styleId="Heading7">
    <w:name w:val="heading 7"/>
    <w:basedOn w:val="Normal"/>
    <w:next w:val="Normal"/>
    <w:link w:val="Heading7Char"/>
    <w:unhideWhenUsed/>
    <w:qFormat/>
    <w:rsid w:val="00BE36FB"/>
    <w:pPr>
      <w:keepNext/>
      <w:keepLines/>
      <w:numPr>
        <w:ilvl w:val="6"/>
        <w:numId w:val="11"/>
      </w:numPr>
      <w:spacing w:before="240" w:after="200"/>
      <w:outlineLvl w:val="6"/>
    </w:pPr>
    <w:rPr>
      <w:rFonts w:ascii="Arial" w:eastAsiaTheme="majorEastAsia" w:hAnsi="Arial" w:cstheme="majorBidi"/>
      <w:b/>
      <w:iCs/>
      <w:sz w:val="28"/>
      <w:szCs w:val="22"/>
    </w:rPr>
  </w:style>
  <w:style w:type="paragraph" w:styleId="Heading8">
    <w:name w:val="heading 8"/>
    <w:basedOn w:val="Heading3"/>
    <w:next w:val="Normal"/>
    <w:link w:val="Heading8Char"/>
    <w:unhideWhenUsed/>
    <w:qFormat/>
    <w:rsid w:val="00BE36FB"/>
    <w:pPr>
      <w:keepLines/>
      <w:numPr>
        <w:ilvl w:val="7"/>
      </w:numPr>
      <w:tabs>
        <w:tab w:val="left" w:pos="1134"/>
      </w:tabs>
      <w:spacing w:before="200" w:after="100"/>
      <w:outlineLvl w:val="7"/>
    </w:pPr>
    <w:rPr>
      <w:rFonts w:eastAsiaTheme="majorEastAsia" w:cstheme="majorBidi"/>
      <w:szCs w:val="20"/>
    </w:rPr>
  </w:style>
  <w:style w:type="paragraph" w:styleId="Heading9">
    <w:name w:val="heading 9"/>
    <w:basedOn w:val="Normal"/>
    <w:next w:val="Normal"/>
    <w:link w:val="Heading9Char"/>
    <w:unhideWhenUsed/>
    <w:qFormat/>
    <w:rsid w:val="00BE36FB"/>
    <w:pPr>
      <w:keepNext/>
      <w:keepLines/>
      <w:numPr>
        <w:ilvl w:val="8"/>
        <w:numId w:val="11"/>
      </w:numPr>
      <w:spacing w:after="200"/>
      <w:outlineLvl w:val="8"/>
    </w:pPr>
    <w:rPr>
      <w:rFonts w:ascii="Arial" w:eastAsiaTheme="majorEastAsia" w:hAnsi="Arial" w:cstheme="majorBidi"/>
      <w:b/>
      <w:iCs/>
      <w:sz w:val="3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62230E"/>
    <w:rPr>
      <w:rFonts w:ascii="Tahoma" w:hAnsi="Tahoma" w:cs="Tahoma"/>
      <w:sz w:val="16"/>
      <w:szCs w:val="16"/>
    </w:rPr>
  </w:style>
  <w:style w:type="character" w:customStyle="1" w:styleId="BalloonTextChar">
    <w:name w:val="Balloon Text Char"/>
    <w:basedOn w:val="DefaultParagraphFont"/>
    <w:link w:val="BalloonText"/>
    <w:rsid w:val="0062230E"/>
    <w:rPr>
      <w:rFonts w:ascii="Tahoma" w:hAnsi="Tahoma" w:cs="Tahoma"/>
      <w:sz w:val="16"/>
      <w:szCs w:val="16"/>
    </w:rPr>
  </w:style>
  <w:style w:type="character" w:styleId="Emphasis">
    <w:name w:val="Emphasis"/>
    <w:basedOn w:val="DefaultParagraphFont"/>
    <w:uiPriority w:val="20"/>
    <w:qFormat/>
    <w:rsid w:val="00BE36FB"/>
    <w:rPr>
      <w:i/>
      <w:iCs/>
    </w:rPr>
  </w:style>
  <w:style w:type="paragraph" w:styleId="Subtitle">
    <w:name w:val="Subtitle"/>
    <w:basedOn w:val="Normal"/>
    <w:next w:val="Normal"/>
    <w:link w:val="SubtitleChar"/>
    <w:uiPriority w:val="11"/>
    <w:qFormat/>
    <w:rsid w:val="00BE36FB"/>
    <w:pPr>
      <w:numPr>
        <w:ilvl w:val="1"/>
      </w:numPr>
    </w:pPr>
    <w:rPr>
      <w:rFonts w:ascii="Arial" w:eastAsiaTheme="majorEastAsia" w:hAnsi="Arial" w:cstheme="majorBidi"/>
      <w:b/>
      <w:iCs/>
      <w:spacing w:val="15"/>
      <w:sz w:val="32"/>
    </w:rPr>
  </w:style>
  <w:style w:type="character" w:customStyle="1" w:styleId="SubtitleChar">
    <w:name w:val="Subtitle Char"/>
    <w:basedOn w:val="DefaultParagraphFont"/>
    <w:link w:val="Subtitle"/>
    <w:uiPriority w:val="11"/>
    <w:rsid w:val="00BE36FB"/>
    <w:rPr>
      <w:rFonts w:ascii="Arial" w:eastAsiaTheme="majorEastAsia" w:hAnsi="Arial" w:cstheme="majorBidi"/>
      <w:b/>
      <w:iCs/>
      <w:spacing w:val="15"/>
      <w:sz w:val="32"/>
      <w:szCs w:val="24"/>
    </w:rPr>
  </w:style>
  <w:style w:type="paragraph" w:styleId="TOC1">
    <w:name w:val="toc 1"/>
    <w:basedOn w:val="Normal"/>
    <w:next w:val="Normal"/>
    <w:autoRedefine/>
    <w:uiPriority w:val="39"/>
    <w:rsid w:val="00BE36FB"/>
    <w:pPr>
      <w:tabs>
        <w:tab w:val="right" w:leader="dot" w:pos="9356"/>
      </w:tabs>
      <w:spacing w:before="240"/>
      <w:ind w:left="1474" w:hanging="1474"/>
    </w:pPr>
    <w:rPr>
      <w:rFonts w:ascii="Arial Bold" w:hAnsi="Arial Bold"/>
      <w:noProof/>
      <w:sz w:val="22"/>
      <w:lang w:eastAsia="en-US"/>
    </w:rPr>
  </w:style>
  <w:style w:type="paragraph" w:styleId="TOC2">
    <w:name w:val="toc 2"/>
    <w:basedOn w:val="Normal"/>
    <w:next w:val="Normal"/>
    <w:autoRedefine/>
    <w:uiPriority w:val="39"/>
    <w:rsid w:val="00F92EA6"/>
    <w:pPr>
      <w:tabs>
        <w:tab w:val="left" w:pos="1702"/>
        <w:tab w:val="left" w:pos="2694"/>
        <w:tab w:val="right" w:leader="dot" w:pos="9356"/>
      </w:tabs>
      <w:spacing w:before="40"/>
      <w:ind w:left="2325" w:right="-1050" w:hanging="851"/>
    </w:pPr>
    <w:rPr>
      <w:rFonts w:ascii="Arial" w:hAnsi="Arial"/>
      <w:iCs/>
      <w:noProof/>
      <w:sz w:val="20"/>
      <w:szCs w:val="22"/>
      <w:lang w:eastAsia="en-US"/>
    </w:rPr>
  </w:style>
  <w:style w:type="paragraph" w:styleId="TOC3">
    <w:name w:val="toc 3"/>
    <w:basedOn w:val="Normal"/>
    <w:next w:val="Normal"/>
    <w:autoRedefine/>
    <w:uiPriority w:val="39"/>
    <w:rsid w:val="00BE36FB"/>
    <w:pPr>
      <w:tabs>
        <w:tab w:val="left" w:pos="2552"/>
        <w:tab w:val="left" w:pos="3544"/>
        <w:tab w:val="right" w:leader="dot" w:pos="9356"/>
      </w:tabs>
      <w:spacing w:before="40"/>
      <w:ind w:left="3459" w:right="1134" w:hanging="1134"/>
    </w:pPr>
    <w:rPr>
      <w:rFonts w:ascii="Arial" w:hAnsi="Arial"/>
      <w:noProof/>
      <w:sz w:val="20"/>
      <w:lang w:eastAsia="en-US"/>
    </w:rPr>
  </w:style>
  <w:style w:type="character" w:customStyle="1" w:styleId="Heading1Char">
    <w:name w:val="Heading 1 Char"/>
    <w:basedOn w:val="DefaultParagraphFont"/>
    <w:link w:val="Heading1"/>
    <w:rsid w:val="00BE36FB"/>
    <w:rPr>
      <w:rFonts w:ascii="Arial Bold" w:hAnsi="Arial Bold" w:cs="Arial"/>
      <w:b/>
      <w:bCs/>
      <w:kern w:val="32"/>
      <w:sz w:val="32"/>
      <w:szCs w:val="32"/>
      <w:lang w:eastAsia="en-US"/>
    </w:rPr>
  </w:style>
  <w:style w:type="character" w:customStyle="1" w:styleId="Heading2Char">
    <w:name w:val="Heading 2 Char"/>
    <w:basedOn w:val="DefaultParagraphFont"/>
    <w:link w:val="Heading2"/>
    <w:rsid w:val="00BE36FB"/>
    <w:rPr>
      <w:rFonts w:ascii="Arial Bold" w:hAnsi="Arial Bold" w:cs="Arial"/>
      <w:iCs/>
      <w:kern w:val="32"/>
      <w:sz w:val="28"/>
      <w:szCs w:val="28"/>
      <w:lang w:eastAsia="en-US"/>
    </w:rPr>
  </w:style>
  <w:style w:type="character" w:customStyle="1" w:styleId="Heading3Char">
    <w:name w:val="Heading 3 Char"/>
    <w:basedOn w:val="DefaultParagraphFont"/>
    <w:link w:val="Heading3"/>
    <w:rsid w:val="00BE36FB"/>
    <w:rPr>
      <w:rFonts w:ascii="Arial Bold" w:hAnsi="Arial Bold" w:cs="Arial"/>
      <w:b/>
      <w:bCs/>
      <w:iCs/>
      <w:kern w:val="32"/>
      <w:sz w:val="24"/>
      <w:szCs w:val="26"/>
      <w:lang w:eastAsia="en-US"/>
    </w:rPr>
  </w:style>
  <w:style w:type="character" w:customStyle="1" w:styleId="Heading4Char">
    <w:name w:val="Heading 4 Char"/>
    <w:basedOn w:val="DefaultParagraphFont"/>
    <w:link w:val="Heading4"/>
    <w:rsid w:val="00BE36FB"/>
    <w:rPr>
      <w:rFonts w:ascii="Arial Bold" w:eastAsiaTheme="majorEastAsia" w:hAnsi="Arial Bold" w:cstheme="majorBidi"/>
      <w:kern w:val="32"/>
      <w:sz w:val="24"/>
      <w:szCs w:val="26"/>
      <w:lang w:eastAsia="en-US"/>
    </w:rPr>
  </w:style>
  <w:style w:type="character" w:customStyle="1" w:styleId="Heading5Char">
    <w:name w:val="Heading 5 Char"/>
    <w:basedOn w:val="DefaultParagraphFont"/>
    <w:link w:val="Heading5"/>
    <w:rsid w:val="00BE36FB"/>
    <w:rPr>
      <w:rFonts w:ascii="Arial" w:eastAsiaTheme="majorEastAsia" w:hAnsi="Arial" w:cstheme="majorBidi"/>
      <w:b/>
      <w:szCs w:val="22"/>
    </w:rPr>
  </w:style>
  <w:style w:type="character" w:customStyle="1" w:styleId="Heading6Char">
    <w:name w:val="Heading 6 Char"/>
    <w:basedOn w:val="DefaultParagraphFont"/>
    <w:link w:val="Heading6"/>
    <w:rsid w:val="00BE36FB"/>
    <w:rPr>
      <w:rFonts w:ascii="Arial" w:eastAsiaTheme="majorEastAsia" w:hAnsi="Arial" w:cstheme="majorBidi"/>
      <w:b/>
      <w:iCs/>
      <w:sz w:val="32"/>
      <w:szCs w:val="22"/>
    </w:rPr>
  </w:style>
  <w:style w:type="character" w:customStyle="1" w:styleId="Heading7Char">
    <w:name w:val="Heading 7 Char"/>
    <w:basedOn w:val="DefaultParagraphFont"/>
    <w:link w:val="Heading7"/>
    <w:rsid w:val="00BE36FB"/>
    <w:rPr>
      <w:rFonts w:ascii="Arial" w:eastAsiaTheme="majorEastAsia" w:hAnsi="Arial" w:cstheme="majorBidi"/>
      <w:b/>
      <w:iCs/>
      <w:sz w:val="28"/>
      <w:szCs w:val="22"/>
    </w:rPr>
  </w:style>
  <w:style w:type="character" w:customStyle="1" w:styleId="Heading8Char">
    <w:name w:val="Heading 8 Char"/>
    <w:basedOn w:val="DefaultParagraphFont"/>
    <w:link w:val="Heading8"/>
    <w:rsid w:val="00BE36FB"/>
    <w:rPr>
      <w:rFonts w:ascii="Arial Bold" w:eastAsiaTheme="majorEastAsia" w:hAnsi="Arial Bold" w:cstheme="majorBidi"/>
      <w:b/>
      <w:bCs/>
      <w:iCs/>
      <w:kern w:val="32"/>
      <w:sz w:val="24"/>
      <w:lang w:eastAsia="en-US"/>
    </w:rPr>
  </w:style>
  <w:style w:type="character" w:customStyle="1" w:styleId="Heading9Char">
    <w:name w:val="Heading 9 Char"/>
    <w:basedOn w:val="DefaultParagraphFont"/>
    <w:link w:val="Heading9"/>
    <w:rsid w:val="00BE36FB"/>
    <w:rPr>
      <w:rFonts w:ascii="Arial" w:eastAsiaTheme="majorEastAsia" w:hAnsi="Arial" w:cstheme="majorBidi"/>
      <w:b/>
      <w:iCs/>
      <w:sz w:val="32"/>
    </w:rPr>
  </w:style>
  <w:style w:type="paragraph" w:customStyle="1" w:styleId="Notes">
    <w:name w:val="Notes"/>
    <w:basedOn w:val="Normal"/>
    <w:qFormat/>
    <w:rsid w:val="00BE36FB"/>
    <w:pPr>
      <w:spacing w:before="120" w:after="120"/>
    </w:pPr>
    <w:rPr>
      <w:rFonts w:ascii="Arial" w:hAnsi="Arial"/>
      <w:sz w:val="16"/>
      <w:szCs w:val="22"/>
    </w:rPr>
  </w:style>
  <w:style w:type="numbering" w:styleId="1ai">
    <w:name w:val="Outline List 1"/>
    <w:basedOn w:val="NoList"/>
    <w:rsid w:val="00BE36FB"/>
    <w:pPr>
      <w:numPr>
        <w:numId w:val="12"/>
      </w:numPr>
    </w:pPr>
  </w:style>
  <w:style w:type="table" w:customStyle="1" w:styleId="Tablestyle">
    <w:name w:val="Table style"/>
    <w:basedOn w:val="TableNormal"/>
    <w:uiPriority w:val="99"/>
    <w:rsid w:val="00BE36FB"/>
    <w:rPr>
      <w:rFonts w:ascii="Arial" w:hAnsi="Arial"/>
    </w:rPr>
    <w:tblPr>
      <w:tblStyleRowBandSize w:val="1"/>
      <w:tblStyleColBandSize w:val="1"/>
      <w:tblInd w:w="57"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28" w:type="dxa"/>
        <w:left w:w="57" w:type="dxa"/>
        <w:bottom w:w="28" w:type="dxa"/>
        <w:right w:w="57" w:type="dxa"/>
      </w:tblCellMar>
    </w:tblPr>
    <w:tcPr>
      <w:shd w:val="clear" w:color="auto" w:fill="auto"/>
    </w:tcPr>
    <w:tblStylePr w:type="firstRow">
      <w:pPr>
        <w:wordWrap/>
        <w:spacing w:beforeLines="0" w:before="0" w:beforeAutospacing="0" w:afterLines="0" w:after="0" w:afterAutospacing="0" w:line="240" w:lineRule="auto"/>
        <w:contextualSpacing w:val="0"/>
        <w:mirrorIndents w:val="0"/>
      </w:pPr>
      <w:rPr>
        <w:rFonts w:ascii="Arial" w:hAnsi="Arial"/>
        <w:b/>
        <w:bCs/>
        <w:i w:val="0"/>
        <w:color w:val="auto"/>
        <w:sz w:val="20"/>
      </w:rPr>
    </w:tblStylePr>
    <w:tblStylePr w:type="lastRow">
      <w:rPr>
        <w:rFonts w:ascii="Arial" w:hAnsi="Arial"/>
        <w:b w:val="0"/>
        <w:bCs/>
        <w:color w:val="000000" w:themeColor="text1"/>
        <w:sz w:val="20"/>
      </w:rPr>
      <w:tblPr/>
      <w:tcPr>
        <w:shd w:val="clear" w:color="auto" w:fill="FFFFFF" w:themeFill="background1"/>
      </w:tcPr>
    </w:tblStylePr>
    <w:tblStylePr w:type="firstCol">
      <w:rPr>
        <w:rFonts w:ascii="Arial" w:hAnsi="Arial"/>
        <w:color w:val="auto"/>
        <w:sz w:val="20"/>
      </w:rPr>
      <w:tblPr/>
      <w:tcPr>
        <w:shd w:val="clear" w:color="auto" w:fill="FFFFFF" w:themeFill="background1"/>
      </w:tcPr>
    </w:tblStylePr>
    <w:tblStylePr w:type="lastCol">
      <w:rPr>
        <w:rFonts w:ascii="Arial" w:hAnsi="Arial"/>
        <w:color w:val="000000" w:themeColor="text1"/>
        <w:sz w:val="20"/>
      </w:rPr>
      <w:tblPr/>
      <w:tcPr>
        <w:shd w:val="clear" w:color="auto" w:fill="FFFFFF" w:themeFill="background1"/>
      </w:tcPr>
    </w:tblStylePr>
    <w:tblStylePr w:type="band1Vert">
      <w:rPr>
        <w:rFonts w:ascii="Arial" w:hAnsi="Arial"/>
        <w:color w:val="auto"/>
        <w:sz w:val="20"/>
      </w:rPr>
      <w:tblPr/>
      <w:tcPr>
        <w:shd w:val="clear" w:color="auto" w:fill="FFFFFF" w:themeFill="background1"/>
      </w:tcPr>
    </w:tblStylePr>
    <w:tblStylePr w:type="band2Vert">
      <w:rPr>
        <w:rFonts w:ascii="Arial" w:hAnsi="Arial"/>
        <w:color w:val="FFFFFF" w:themeColor="background1"/>
        <w:sz w:val="20"/>
      </w:rPr>
    </w:tblStylePr>
    <w:tblStylePr w:type="band1Horz">
      <w:rPr>
        <w:rFonts w:ascii="Arial" w:hAnsi="Arial"/>
        <w:color w:val="000000" w:themeColor="text1"/>
        <w:sz w:val="20"/>
      </w:rPr>
      <w:tblPr/>
      <w:tcPr>
        <w:shd w:val="clear" w:color="auto" w:fill="FFFFFF" w:themeFill="background1"/>
      </w:tcPr>
    </w:tblStylePr>
    <w:tblStylePr w:type="band2Horz">
      <w:rPr>
        <w:rFonts w:ascii="Arial" w:hAnsi="Arial"/>
        <w:color w:val="000000" w:themeColor="text1"/>
        <w:sz w:val="20"/>
      </w:rPr>
    </w:tblStylePr>
  </w:style>
  <w:style w:type="paragraph" w:customStyle="1" w:styleId="TableText">
    <w:name w:val="Table Text"/>
    <w:basedOn w:val="Normal"/>
    <w:qFormat/>
    <w:rsid w:val="00BE36FB"/>
    <w:pPr>
      <w:spacing w:before="40" w:after="40"/>
    </w:pPr>
    <w:rPr>
      <w:rFonts w:ascii="Arial" w:hAnsi="Arial"/>
      <w:sz w:val="20"/>
      <w:szCs w:val="20"/>
    </w:rPr>
  </w:style>
  <w:style w:type="paragraph" w:customStyle="1" w:styleId="Tableheading">
    <w:name w:val="Table heading"/>
    <w:next w:val="TableText"/>
    <w:qFormat/>
    <w:rsid w:val="00BE36FB"/>
    <w:pPr>
      <w:spacing w:before="40" w:after="40"/>
    </w:pPr>
    <w:rPr>
      <w:rFonts w:ascii="Arial Bold" w:eastAsiaTheme="majorEastAsia" w:hAnsi="Arial Bold" w:cstheme="majorBidi"/>
      <w:b/>
      <w:bCs/>
      <w:szCs w:val="22"/>
    </w:rPr>
  </w:style>
  <w:style w:type="paragraph" w:styleId="FootnoteText">
    <w:name w:val="footnote text"/>
    <w:basedOn w:val="Normal"/>
    <w:link w:val="FootnoteTextChar"/>
    <w:rsid w:val="00BE36FB"/>
    <w:rPr>
      <w:rFonts w:ascii="Arial" w:hAnsi="Arial"/>
      <w:sz w:val="16"/>
      <w:szCs w:val="20"/>
    </w:rPr>
  </w:style>
  <w:style w:type="character" w:customStyle="1" w:styleId="FootnoteTextChar">
    <w:name w:val="Footnote Text Char"/>
    <w:basedOn w:val="DefaultParagraphFont"/>
    <w:link w:val="FootnoteText"/>
    <w:rsid w:val="00BE36FB"/>
    <w:rPr>
      <w:rFonts w:ascii="Arial" w:hAnsi="Arial"/>
      <w:sz w:val="16"/>
    </w:rPr>
  </w:style>
  <w:style w:type="character" w:styleId="FootnoteReference">
    <w:name w:val="footnote reference"/>
    <w:basedOn w:val="DefaultParagraphFont"/>
    <w:rsid w:val="00BE36FB"/>
    <w:rPr>
      <w:vertAlign w:val="superscript"/>
    </w:rPr>
  </w:style>
  <w:style w:type="paragraph" w:customStyle="1" w:styleId="Notesbullet">
    <w:name w:val="Notes bullet"/>
    <w:basedOn w:val="Notes"/>
    <w:qFormat/>
    <w:rsid w:val="00BE36FB"/>
    <w:pPr>
      <w:numPr>
        <w:numId w:val="10"/>
      </w:numPr>
      <w:tabs>
        <w:tab w:val="left" w:pos="284"/>
      </w:tabs>
      <w:spacing w:before="0" w:after="0"/>
      <w:ind w:left="568" w:hanging="284"/>
    </w:pPr>
  </w:style>
  <w:style w:type="character" w:styleId="Hyperlink">
    <w:name w:val="Hyperlink"/>
    <w:basedOn w:val="DefaultParagraphFont"/>
    <w:uiPriority w:val="99"/>
    <w:rsid w:val="00BE36FB"/>
    <w:rPr>
      <w:color w:val="0000FF" w:themeColor="hyperlink"/>
      <w:u w:val="single"/>
    </w:rPr>
  </w:style>
  <w:style w:type="character" w:customStyle="1" w:styleId="StyleItalic">
    <w:name w:val="Style Italic"/>
    <w:basedOn w:val="DefaultParagraphFont"/>
    <w:rsid w:val="00BE36FB"/>
    <w:rPr>
      <w:rFonts w:ascii="Arial" w:hAnsi="Arial"/>
      <w:i/>
      <w:iCs/>
      <w:sz w:val="20"/>
    </w:rPr>
  </w:style>
  <w:style w:type="character" w:styleId="Strong">
    <w:name w:val="Strong"/>
    <w:basedOn w:val="DefaultParagraphFont"/>
    <w:uiPriority w:val="22"/>
    <w:qFormat/>
    <w:rsid w:val="00BE36FB"/>
    <w:rPr>
      <w:b/>
      <w:bCs/>
    </w:rPr>
  </w:style>
  <w:style w:type="numbering" w:styleId="111111">
    <w:name w:val="Outline List 2"/>
    <w:basedOn w:val="NoList"/>
    <w:rsid w:val="00BE36FB"/>
    <w:pPr>
      <w:numPr>
        <w:numId w:val="879"/>
      </w:numPr>
    </w:pPr>
  </w:style>
  <w:style w:type="paragraph" w:styleId="Header">
    <w:name w:val="header"/>
    <w:basedOn w:val="Normal"/>
    <w:link w:val="HeaderChar"/>
    <w:uiPriority w:val="99"/>
    <w:rsid w:val="00BE36FB"/>
    <w:pPr>
      <w:tabs>
        <w:tab w:val="center" w:pos="4513"/>
        <w:tab w:val="right" w:pos="9026"/>
      </w:tabs>
    </w:pPr>
    <w:rPr>
      <w:rFonts w:ascii="Arial" w:hAnsi="Arial"/>
      <w:sz w:val="20"/>
      <w:szCs w:val="22"/>
    </w:rPr>
  </w:style>
  <w:style w:type="character" w:customStyle="1" w:styleId="HeaderChar">
    <w:name w:val="Header Char"/>
    <w:basedOn w:val="DefaultParagraphFont"/>
    <w:link w:val="Header"/>
    <w:uiPriority w:val="99"/>
    <w:rsid w:val="00BE36FB"/>
    <w:rPr>
      <w:rFonts w:ascii="Arial" w:hAnsi="Arial"/>
      <w:szCs w:val="22"/>
    </w:rPr>
  </w:style>
  <w:style w:type="table" w:styleId="TableClassic4">
    <w:name w:val="Table Classic 4"/>
    <w:basedOn w:val="TableNormal"/>
    <w:rsid w:val="00BE36FB"/>
    <w:pPr>
      <w:spacing w:after="240"/>
    </w:pPr>
    <w:rPr>
      <w:rFonts w:ascii="Arial" w:hAnsi="Arial"/>
      <w:sz w:val="22"/>
      <w:szCs w:val="22"/>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BE36FB"/>
    <w:pPr>
      <w:spacing w:after="240"/>
    </w:pPr>
    <w:rPr>
      <w:rFonts w:ascii="Arial" w:hAnsi="Arial"/>
      <w:color w:val="FFFFFF"/>
      <w:sz w:val="22"/>
      <w:szCs w:val="22"/>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paragraph" w:styleId="Title">
    <w:name w:val="Title"/>
    <w:basedOn w:val="Normal"/>
    <w:next w:val="Normal"/>
    <w:link w:val="TitleChar"/>
    <w:qFormat/>
    <w:rsid w:val="00BE36FB"/>
    <w:pPr>
      <w:spacing w:line="360" w:lineRule="auto"/>
      <w:jc w:val="center"/>
    </w:pPr>
    <w:rPr>
      <w:rFonts w:ascii="Arial Bold" w:eastAsiaTheme="majorEastAsia" w:hAnsi="Arial Bold" w:cstheme="majorBidi"/>
      <w:b/>
      <w:spacing w:val="5"/>
      <w:kern w:val="28"/>
      <w:sz w:val="52"/>
      <w:szCs w:val="52"/>
    </w:rPr>
  </w:style>
  <w:style w:type="character" w:customStyle="1" w:styleId="TitleChar">
    <w:name w:val="Title Char"/>
    <w:basedOn w:val="DefaultParagraphFont"/>
    <w:link w:val="Title"/>
    <w:rsid w:val="00BE36FB"/>
    <w:rPr>
      <w:rFonts w:ascii="Arial Bold" w:eastAsiaTheme="majorEastAsia" w:hAnsi="Arial Bold" w:cstheme="majorBidi"/>
      <w:b/>
      <w:spacing w:val="5"/>
      <w:kern w:val="28"/>
      <w:sz w:val="52"/>
      <w:szCs w:val="52"/>
    </w:rPr>
  </w:style>
  <w:style w:type="numbering" w:customStyle="1" w:styleId="Bulletoutline">
    <w:name w:val="Bullet outline"/>
    <w:basedOn w:val="NoList"/>
    <w:locked/>
    <w:rsid w:val="00BE36FB"/>
    <w:pPr>
      <w:numPr>
        <w:numId w:val="26"/>
      </w:numPr>
    </w:pPr>
  </w:style>
  <w:style w:type="paragraph" w:styleId="Footer">
    <w:name w:val="footer"/>
    <w:basedOn w:val="Normal"/>
    <w:link w:val="FooterChar"/>
    <w:rsid w:val="00BE36FB"/>
    <w:pPr>
      <w:tabs>
        <w:tab w:val="right" w:pos="9356"/>
      </w:tabs>
    </w:pPr>
    <w:rPr>
      <w:rFonts w:ascii="Arial" w:hAnsi="Arial"/>
      <w:sz w:val="16"/>
      <w:szCs w:val="22"/>
    </w:rPr>
  </w:style>
  <w:style w:type="character" w:customStyle="1" w:styleId="FooterChar">
    <w:name w:val="Footer Char"/>
    <w:basedOn w:val="DefaultParagraphFont"/>
    <w:link w:val="Footer"/>
    <w:rsid w:val="00BE36FB"/>
    <w:rPr>
      <w:rFonts w:ascii="Arial" w:hAnsi="Arial"/>
      <w:sz w:val="16"/>
      <w:szCs w:val="22"/>
    </w:rPr>
  </w:style>
  <w:style w:type="paragraph" w:styleId="NormalIndent">
    <w:name w:val="Normal Indent"/>
    <w:basedOn w:val="Normal"/>
    <w:qFormat/>
    <w:rsid w:val="00BE36FB"/>
    <w:pPr>
      <w:tabs>
        <w:tab w:val="left" w:pos="567"/>
      </w:tabs>
      <w:ind w:left="567"/>
    </w:pPr>
    <w:rPr>
      <w:rFonts w:ascii="Arial" w:hAnsi="Arial"/>
      <w:sz w:val="20"/>
      <w:szCs w:val="22"/>
    </w:rPr>
  </w:style>
  <w:style w:type="numbering" w:customStyle="1" w:styleId="Tablenumbering">
    <w:name w:val="Table numbering"/>
    <w:uiPriority w:val="99"/>
    <w:rsid w:val="00BE36FB"/>
    <w:pPr>
      <w:numPr>
        <w:numId w:val="27"/>
      </w:numPr>
    </w:pPr>
  </w:style>
  <w:style w:type="numbering" w:customStyle="1" w:styleId="Bullets">
    <w:name w:val="Bullets"/>
    <w:basedOn w:val="NoList"/>
    <w:locked/>
    <w:rsid w:val="00BE36FB"/>
    <w:pPr>
      <w:numPr>
        <w:numId w:val="18"/>
      </w:numPr>
    </w:pPr>
  </w:style>
  <w:style w:type="paragraph" w:styleId="ListBullet">
    <w:name w:val="List Bullet"/>
    <w:basedOn w:val="Normal"/>
    <w:rsid w:val="00BE36FB"/>
    <w:pPr>
      <w:numPr>
        <w:numId w:val="19"/>
      </w:numPr>
      <w:tabs>
        <w:tab w:val="left" w:pos="284"/>
      </w:tabs>
      <w:spacing w:before="40" w:after="40"/>
      <w:ind w:left="284" w:hanging="284"/>
    </w:pPr>
    <w:rPr>
      <w:rFonts w:ascii="Arial" w:hAnsi="Arial"/>
      <w:sz w:val="20"/>
      <w:szCs w:val="22"/>
    </w:rPr>
  </w:style>
  <w:style w:type="table" w:styleId="MediumGrid2-Accent5">
    <w:name w:val="Medium Grid 2 Accent 5"/>
    <w:basedOn w:val="TableNormal"/>
    <w:uiPriority w:val="68"/>
    <w:rsid w:val="00BE36FB"/>
    <w:rPr>
      <w:rFonts w:asciiTheme="majorHAnsi" w:eastAsiaTheme="majorEastAsia" w:hAnsiTheme="majorHAnsi" w:cstheme="majorBidi"/>
      <w:color w:val="000000" w:themeColor="text1"/>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TableClassic2">
    <w:name w:val="Table Classic 2"/>
    <w:basedOn w:val="TableNormal"/>
    <w:rsid w:val="00BE36FB"/>
    <w:rPr>
      <w:rFonts w:ascii="Arial" w:hAnsi="Arial"/>
      <w:sz w:val="22"/>
      <w:szCs w:val="22"/>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SubtitleHighlight">
    <w:name w:val="Subtitle Highlight"/>
    <w:basedOn w:val="Normal"/>
    <w:next w:val="Normal"/>
    <w:qFormat/>
    <w:rsid w:val="00BE36FB"/>
    <w:pPr>
      <w:pBdr>
        <w:top w:val="single" w:sz="18" w:space="10" w:color="4A442A" w:themeColor="background2" w:themeShade="40"/>
        <w:left w:val="single" w:sz="18" w:space="5" w:color="C4BC96" w:themeColor="background2" w:themeShade="BF"/>
        <w:bottom w:val="single" w:sz="18" w:space="10" w:color="C4BC96" w:themeColor="background2" w:themeShade="BF"/>
        <w:right w:val="single" w:sz="18" w:space="5" w:color="C4BC96" w:themeColor="background2" w:themeShade="BF"/>
      </w:pBdr>
      <w:shd w:val="clear" w:color="auto" w:fill="C4BC96" w:themeFill="background2" w:themeFillShade="BF"/>
      <w:spacing w:after="240"/>
      <w:ind w:left="113" w:right="170"/>
    </w:pPr>
    <w:rPr>
      <w:rFonts w:ascii="Arial" w:hAnsi="Arial"/>
      <w:szCs w:val="22"/>
    </w:rPr>
  </w:style>
  <w:style w:type="paragraph" w:customStyle="1" w:styleId="Highlightboxblue">
    <w:name w:val="Highlight box blue"/>
    <w:basedOn w:val="Normal"/>
    <w:qFormat/>
    <w:rsid w:val="00BE36FB"/>
    <w:pPr>
      <w:pBdr>
        <w:top w:val="single" w:sz="2" w:space="10" w:color="FFFFFF" w:themeColor="background1"/>
        <w:left w:val="single" w:sz="2" w:space="10" w:color="FFFFFF" w:themeColor="background1"/>
        <w:bottom w:val="single" w:sz="2" w:space="10" w:color="FFFFFF" w:themeColor="background1"/>
        <w:right w:val="single" w:sz="2" w:space="10" w:color="FFFFFF" w:themeColor="background1"/>
      </w:pBdr>
      <w:shd w:val="clear" w:color="auto" w:fill="5DBCD2"/>
      <w:spacing w:line="264" w:lineRule="auto"/>
      <w:ind w:left="227" w:right="227"/>
    </w:pPr>
    <w:rPr>
      <w:rFonts w:ascii="Arial" w:hAnsi="Arial"/>
      <w:sz w:val="20"/>
      <w:szCs w:val="22"/>
    </w:rPr>
  </w:style>
  <w:style w:type="numbering" w:customStyle="1" w:styleId="SFList">
    <w:name w:val="SF List"/>
    <w:uiPriority w:val="99"/>
    <w:rsid w:val="00BE36FB"/>
    <w:pPr>
      <w:numPr>
        <w:numId w:val="20"/>
      </w:numPr>
    </w:pPr>
  </w:style>
  <w:style w:type="paragraph" w:customStyle="1" w:styleId="Highlightlineblue">
    <w:name w:val="Highlight line blue"/>
    <w:basedOn w:val="Highlightboxblue"/>
    <w:qFormat/>
    <w:rsid w:val="00BE36FB"/>
    <w:pPr>
      <w:pBdr>
        <w:top w:val="none" w:sz="0" w:space="0" w:color="auto"/>
        <w:left w:val="none" w:sz="0" w:space="0" w:color="auto"/>
        <w:bottom w:val="single" w:sz="18" w:space="3" w:color="5DBCD2"/>
        <w:right w:val="none" w:sz="0" w:space="0" w:color="auto"/>
      </w:pBdr>
      <w:shd w:val="clear" w:color="auto" w:fill="auto"/>
      <w:spacing w:before="240" w:after="160"/>
      <w:ind w:left="0" w:right="0"/>
    </w:pPr>
    <w:rPr>
      <w:rFonts w:ascii="Arial Bold" w:hAnsi="Arial Bold"/>
      <w:b/>
    </w:rPr>
  </w:style>
  <w:style w:type="paragraph" w:customStyle="1" w:styleId="Highlightboxyellow">
    <w:name w:val="Highlight box yellow"/>
    <w:basedOn w:val="Highlightboxblue"/>
    <w:qFormat/>
    <w:rsid w:val="00BE36FB"/>
    <w:pPr>
      <w:shd w:val="clear" w:color="auto" w:fill="F3EA5F"/>
      <w:spacing w:line="312" w:lineRule="auto"/>
    </w:pPr>
    <w:rPr>
      <w:lang w:eastAsia="en-US"/>
    </w:rPr>
  </w:style>
  <w:style w:type="paragraph" w:customStyle="1" w:styleId="Highlightlineyellow">
    <w:name w:val="Highlight line yellow"/>
    <w:basedOn w:val="Highlightlineblue"/>
    <w:qFormat/>
    <w:rsid w:val="00BE36FB"/>
    <w:pPr>
      <w:pBdr>
        <w:bottom w:val="single" w:sz="18" w:space="3" w:color="F3EA5F"/>
      </w:pBdr>
    </w:pPr>
  </w:style>
  <w:style w:type="paragraph" w:customStyle="1" w:styleId="Highlightboxgrey">
    <w:name w:val="Highlight box grey"/>
    <w:basedOn w:val="Highlightboxblue"/>
    <w:qFormat/>
    <w:rsid w:val="00BE36FB"/>
    <w:pPr>
      <w:shd w:val="clear" w:color="auto" w:fill="A4A2A3"/>
    </w:pPr>
  </w:style>
  <w:style w:type="paragraph" w:customStyle="1" w:styleId="Highlightlinegrey">
    <w:name w:val="Highlight line grey"/>
    <w:basedOn w:val="Highlightlineblue"/>
    <w:qFormat/>
    <w:rsid w:val="00BE36FB"/>
    <w:pPr>
      <w:pBdr>
        <w:bottom w:val="single" w:sz="18" w:space="3" w:color="A4A2A3"/>
      </w:pBdr>
    </w:pPr>
  </w:style>
  <w:style w:type="paragraph" w:customStyle="1" w:styleId="Highlightboxgreen">
    <w:name w:val="Highlight box green"/>
    <w:basedOn w:val="Highlightboxblue"/>
    <w:qFormat/>
    <w:rsid w:val="00BE36FB"/>
    <w:pPr>
      <w:shd w:val="clear" w:color="auto" w:fill="72C046"/>
      <w:spacing w:line="312" w:lineRule="auto"/>
    </w:pPr>
  </w:style>
  <w:style w:type="paragraph" w:customStyle="1" w:styleId="Highlightlinegreen">
    <w:name w:val="Highlight line green"/>
    <w:basedOn w:val="Highlightlineblue"/>
    <w:qFormat/>
    <w:rsid w:val="00BE36FB"/>
    <w:pPr>
      <w:pBdr>
        <w:bottom w:val="single" w:sz="18" w:space="3" w:color="72C046"/>
      </w:pBdr>
    </w:pPr>
  </w:style>
  <w:style w:type="paragraph" w:customStyle="1" w:styleId="Highlightboxorange">
    <w:name w:val="Highlight box orange"/>
    <w:basedOn w:val="Highlightboxblue"/>
    <w:qFormat/>
    <w:rsid w:val="00BE36FB"/>
    <w:pPr>
      <w:shd w:val="clear" w:color="auto" w:fill="ECA12E"/>
    </w:pPr>
  </w:style>
  <w:style w:type="paragraph" w:customStyle="1" w:styleId="Highlightlineorange">
    <w:name w:val="Highlight line orange"/>
    <w:basedOn w:val="Highlightlineblue"/>
    <w:qFormat/>
    <w:rsid w:val="00BE36FB"/>
    <w:pPr>
      <w:pBdr>
        <w:bottom w:val="single" w:sz="18" w:space="3" w:color="ECA12E"/>
      </w:pBdr>
    </w:pPr>
  </w:style>
  <w:style w:type="paragraph" w:customStyle="1" w:styleId="Highlightboxpink">
    <w:name w:val="Highlight box pink"/>
    <w:basedOn w:val="Highlightboxblue"/>
    <w:qFormat/>
    <w:rsid w:val="00BE36FB"/>
    <w:pPr>
      <w:shd w:val="clear" w:color="auto" w:fill="EC5B6A"/>
      <w:spacing w:line="312" w:lineRule="auto"/>
    </w:pPr>
  </w:style>
  <w:style w:type="paragraph" w:customStyle="1" w:styleId="Highlightlinepink">
    <w:name w:val="Highlight line pink"/>
    <w:basedOn w:val="Highlightlineyellow"/>
    <w:qFormat/>
    <w:rsid w:val="00BE36FB"/>
    <w:pPr>
      <w:pBdr>
        <w:bottom w:val="single" w:sz="18" w:space="3" w:color="EC5B6A"/>
      </w:pBdr>
    </w:pPr>
  </w:style>
  <w:style w:type="paragraph" w:styleId="ListNumber5">
    <w:name w:val="List Number 5"/>
    <w:basedOn w:val="Normal"/>
    <w:rsid w:val="00BE36FB"/>
    <w:pPr>
      <w:numPr>
        <w:numId w:val="25"/>
      </w:numPr>
      <w:contextualSpacing/>
    </w:pPr>
    <w:rPr>
      <w:rFonts w:ascii="Arial" w:hAnsi="Arial"/>
      <w:sz w:val="20"/>
      <w:szCs w:val="22"/>
    </w:rPr>
  </w:style>
  <w:style w:type="paragraph" w:styleId="ListNumber4">
    <w:name w:val="List Number 4"/>
    <w:basedOn w:val="Normal"/>
    <w:rsid w:val="00BE36FB"/>
    <w:pPr>
      <w:numPr>
        <w:numId w:val="24"/>
      </w:numPr>
      <w:contextualSpacing/>
    </w:pPr>
    <w:rPr>
      <w:rFonts w:ascii="Arial" w:hAnsi="Arial"/>
      <w:sz w:val="20"/>
      <w:szCs w:val="22"/>
    </w:rPr>
  </w:style>
  <w:style w:type="paragraph" w:styleId="ListNumber3">
    <w:name w:val="List Number 3"/>
    <w:basedOn w:val="Normal"/>
    <w:rsid w:val="00BE36FB"/>
    <w:pPr>
      <w:numPr>
        <w:numId w:val="23"/>
      </w:numPr>
      <w:contextualSpacing/>
    </w:pPr>
    <w:rPr>
      <w:rFonts w:ascii="Arial" w:hAnsi="Arial"/>
      <w:sz w:val="20"/>
      <w:szCs w:val="22"/>
    </w:rPr>
  </w:style>
  <w:style w:type="paragraph" w:styleId="ListNumber2">
    <w:name w:val="List Number 2"/>
    <w:basedOn w:val="Normal"/>
    <w:rsid w:val="00BE36FB"/>
    <w:pPr>
      <w:numPr>
        <w:numId w:val="22"/>
      </w:numPr>
      <w:contextualSpacing/>
    </w:pPr>
    <w:rPr>
      <w:rFonts w:ascii="Arial" w:hAnsi="Arial"/>
      <w:sz w:val="20"/>
      <w:szCs w:val="22"/>
    </w:rPr>
  </w:style>
  <w:style w:type="paragraph" w:styleId="ListNumber">
    <w:name w:val="List Number"/>
    <w:basedOn w:val="Normal"/>
    <w:rsid w:val="00BE36FB"/>
    <w:pPr>
      <w:numPr>
        <w:numId w:val="21"/>
      </w:numPr>
      <w:contextualSpacing/>
    </w:pPr>
    <w:rPr>
      <w:rFonts w:ascii="Arial" w:hAnsi="Arial"/>
      <w:sz w:val="20"/>
      <w:szCs w:val="22"/>
    </w:rPr>
  </w:style>
  <w:style w:type="paragraph" w:styleId="EndnoteText">
    <w:name w:val="endnote text"/>
    <w:basedOn w:val="Normal"/>
    <w:link w:val="EndnoteTextChar"/>
    <w:rsid w:val="00BE36FB"/>
    <w:rPr>
      <w:rFonts w:ascii="Arial" w:hAnsi="Arial"/>
      <w:sz w:val="20"/>
      <w:szCs w:val="20"/>
    </w:rPr>
  </w:style>
  <w:style w:type="character" w:customStyle="1" w:styleId="EndnoteTextChar">
    <w:name w:val="Endnote Text Char"/>
    <w:basedOn w:val="DefaultParagraphFont"/>
    <w:link w:val="EndnoteText"/>
    <w:rsid w:val="00BE36FB"/>
    <w:rPr>
      <w:rFonts w:ascii="Arial" w:hAnsi="Arial"/>
    </w:rPr>
  </w:style>
  <w:style w:type="character" w:styleId="EndnoteReference">
    <w:name w:val="endnote reference"/>
    <w:basedOn w:val="DefaultParagraphFont"/>
    <w:rsid w:val="00BE36FB"/>
    <w:rPr>
      <w:vertAlign w:val="superscript"/>
    </w:rPr>
  </w:style>
  <w:style w:type="character" w:styleId="FollowedHyperlink">
    <w:name w:val="FollowedHyperlink"/>
    <w:basedOn w:val="DefaultParagraphFont"/>
    <w:rsid w:val="00BE36FB"/>
    <w:rPr>
      <w:color w:val="800080" w:themeColor="followedHyperlink"/>
      <w:u w:val="single"/>
    </w:rPr>
  </w:style>
  <w:style w:type="table" w:styleId="TableGrid1">
    <w:name w:val="Table Grid 1"/>
    <w:basedOn w:val="TableNormal"/>
    <w:rsid w:val="00BE36FB"/>
    <w:rPr>
      <w:rFonts w:ascii="Gill Sans MT" w:hAnsi="Gill Sans MT"/>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1">
    <w:name w:val="Table Heading 1"/>
    <w:basedOn w:val="Normal"/>
    <w:semiHidden/>
    <w:rsid w:val="00BE36FB"/>
    <w:pPr>
      <w:spacing w:before="40" w:after="40"/>
      <w:jc w:val="center"/>
    </w:pPr>
    <w:rPr>
      <w:rFonts w:ascii="Gill Sans MT" w:hAnsi="Gill Sans MT"/>
      <w:b/>
      <w:sz w:val="20"/>
      <w:szCs w:val="20"/>
    </w:rPr>
  </w:style>
  <w:style w:type="paragraph" w:customStyle="1" w:styleId="TableHeading2">
    <w:name w:val="Table Heading 2"/>
    <w:basedOn w:val="TableHeading1"/>
    <w:semiHidden/>
    <w:rsid w:val="00BE36FB"/>
    <w:pPr>
      <w:jc w:val="left"/>
    </w:pPr>
  </w:style>
  <w:style w:type="paragraph" w:styleId="TOC4">
    <w:name w:val="toc 4"/>
    <w:basedOn w:val="Normal"/>
    <w:next w:val="Normal"/>
    <w:autoRedefine/>
    <w:uiPriority w:val="39"/>
    <w:rsid w:val="00BE36FB"/>
    <w:pPr>
      <w:tabs>
        <w:tab w:val="left" w:pos="1843"/>
        <w:tab w:val="left" w:pos="2268"/>
        <w:tab w:val="right" w:leader="dot" w:pos="8296"/>
      </w:tabs>
      <w:ind w:left="720"/>
    </w:pPr>
    <w:rPr>
      <w:rFonts w:ascii="Arial" w:hAnsi="Arial" w:cs="Arial"/>
      <w:noProof/>
      <w:color w:val="005B7A"/>
      <w:lang w:eastAsia="en-US"/>
    </w:rPr>
  </w:style>
  <w:style w:type="paragraph" w:styleId="TOC5">
    <w:name w:val="toc 5"/>
    <w:basedOn w:val="Normal"/>
    <w:next w:val="Normal"/>
    <w:autoRedefine/>
    <w:uiPriority w:val="39"/>
    <w:rsid w:val="00BE36FB"/>
    <w:pPr>
      <w:tabs>
        <w:tab w:val="left" w:pos="1843"/>
        <w:tab w:val="right" w:leader="dot" w:pos="8296"/>
      </w:tabs>
      <w:ind w:left="960"/>
    </w:pPr>
    <w:rPr>
      <w:rFonts w:ascii="Arial" w:hAnsi="Arial" w:cs="Arial"/>
      <w:noProof/>
      <w:color w:val="9BB200"/>
    </w:rPr>
  </w:style>
  <w:style w:type="paragraph" w:styleId="TOC6">
    <w:name w:val="toc 6"/>
    <w:basedOn w:val="Normal"/>
    <w:next w:val="Normal"/>
    <w:autoRedefine/>
    <w:uiPriority w:val="39"/>
    <w:rsid w:val="00BE36FB"/>
    <w:pPr>
      <w:ind w:left="1200"/>
    </w:pPr>
  </w:style>
  <w:style w:type="paragraph" w:styleId="TOC7">
    <w:name w:val="toc 7"/>
    <w:basedOn w:val="Normal"/>
    <w:next w:val="Normal"/>
    <w:autoRedefine/>
    <w:uiPriority w:val="39"/>
    <w:rsid w:val="00BE36FB"/>
    <w:pPr>
      <w:ind w:left="1440"/>
    </w:pPr>
  </w:style>
  <w:style w:type="paragraph" w:styleId="TOC8">
    <w:name w:val="toc 8"/>
    <w:basedOn w:val="Normal"/>
    <w:next w:val="Normal"/>
    <w:autoRedefine/>
    <w:uiPriority w:val="39"/>
    <w:rsid w:val="00BE36FB"/>
    <w:pPr>
      <w:ind w:left="1680"/>
    </w:pPr>
  </w:style>
  <w:style w:type="paragraph" w:styleId="TOC9">
    <w:name w:val="toc 9"/>
    <w:basedOn w:val="Normal"/>
    <w:next w:val="Normal"/>
    <w:autoRedefine/>
    <w:uiPriority w:val="39"/>
    <w:rsid w:val="00BE36FB"/>
    <w:pPr>
      <w:ind w:left="1920"/>
    </w:pPr>
  </w:style>
  <w:style w:type="character" w:styleId="PageNumber">
    <w:name w:val="page number"/>
    <w:basedOn w:val="DefaultParagraphFont"/>
    <w:rsid w:val="00BE36FB"/>
  </w:style>
  <w:style w:type="paragraph" w:styleId="Date">
    <w:name w:val="Date"/>
    <w:basedOn w:val="Normal"/>
    <w:next w:val="Normal"/>
    <w:link w:val="DateChar"/>
    <w:rsid w:val="00BE36FB"/>
    <w:rPr>
      <w:lang w:eastAsia="en-US"/>
    </w:rPr>
  </w:style>
  <w:style w:type="character" w:customStyle="1" w:styleId="DateChar">
    <w:name w:val="Date Char"/>
    <w:basedOn w:val="DefaultParagraphFont"/>
    <w:link w:val="Date"/>
    <w:rsid w:val="00BE36FB"/>
    <w:rPr>
      <w:sz w:val="24"/>
      <w:szCs w:val="24"/>
      <w:lang w:eastAsia="en-US"/>
    </w:rPr>
  </w:style>
  <w:style w:type="paragraph" w:styleId="List">
    <w:name w:val="List"/>
    <w:basedOn w:val="Normal"/>
    <w:rsid w:val="00BE36FB"/>
    <w:pPr>
      <w:ind w:left="283" w:hanging="283"/>
    </w:pPr>
    <w:rPr>
      <w:lang w:eastAsia="en-US"/>
    </w:rPr>
  </w:style>
  <w:style w:type="paragraph" w:styleId="List2">
    <w:name w:val="List 2"/>
    <w:basedOn w:val="Normal"/>
    <w:rsid w:val="00BE36FB"/>
    <w:pPr>
      <w:ind w:left="566" w:hanging="283"/>
    </w:pPr>
    <w:rPr>
      <w:lang w:eastAsia="en-US"/>
    </w:rPr>
  </w:style>
  <w:style w:type="paragraph" w:styleId="List3">
    <w:name w:val="List 3"/>
    <w:basedOn w:val="Normal"/>
    <w:rsid w:val="00BE36FB"/>
    <w:pPr>
      <w:ind w:left="849" w:hanging="283"/>
    </w:pPr>
    <w:rPr>
      <w:lang w:eastAsia="en-US"/>
    </w:rPr>
  </w:style>
  <w:style w:type="paragraph" w:styleId="List4">
    <w:name w:val="List 4"/>
    <w:basedOn w:val="Normal"/>
    <w:rsid w:val="00BE36FB"/>
    <w:pPr>
      <w:ind w:left="1132" w:hanging="283"/>
    </w:pPr>
    <w:rPr>
      <w:lang w:eastAsia="en-US"/>
    </w:rPr>
  </w:style>
  <w:style w:type="paragraph" w:styleId="List5">
    <w:name w:val="List 5"/>
    <w:basedOn w:val="Normal"/>
    <w:rsid w:val="00BE36FB"/>
    <w:pPr>
      <w:ind w:left="1415" w:hanging="283"/>
    </w:pPr>
    <w:rPr>
      <w:lang w:eastAsia="en-US"/>
    </w:rPr>
  </w:style>
  <w:style w:type="paragraph" w:styleId="TOAHeading">
    <w:name w:val="toa heading"/>
    <w:basedOn w:val="Normal"/>
    <w:next w:val="Normal"/>
    <w:rsid w:val="00BE36FB"/>
    <w:rPr>
      <w:rFonts w:ascii="Arial" w:hAnsi="Arial" w:cs="Arial"/>
      <w:b/>
      <w:bCs/>
      <w:lang w:eastAsia="en-US"/>
    </w:rPr>
  </w:style>
  <w:style w:type="table" w:styleId="TableGrid">
    <w:name w:val="Table Grid"/>
    <w:basedOn w:val="TableNormal"/>
    <w:rsid w:val="00BE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ArticleSection">
    <w:name w:val="Outline List 3"/>
    <w:basedOn w:val="NoList"/>
    <w:rsid w:val="00BE36FB"/>
    <w:pPr>
      <w:numPr>
        <w:numId w:val="28"/>
      </w:numPr>
    </w:pPr>
  </w:style>
  <w:style w:type="paragraph" w:styleId="Caption">
    <w:name w:val="caption"/>
    <w:basedOn w:val="Normal"/>
    <w:next w:val="Normal"/>
    <w:unhideWhenUsed/>
    <w:qFormat/>
    <w:rsid w:val="00BE36FB"/>
    <w:pPr>
      <w:spacing w:after="200"/>
    </w:pPr>
    <w:rPr>
      <w:rFonts w:ascii="Arial" w:hAnsi="Arial"/>
      <w:bCs/>
      <w:i/>
      <w:sz w:val="20"/>
      <w:szCs w:val="18"/>
    </w:rPr>
  </w:style>
  <w:style w:type="character" w:styleId="CommentReference">
    <w:name w:val="annotation reference"/>
    <w:basedOn w:val="DefaultParagraphFont"/>
    <w:rsid w:val="00BE36FB"/>
    <w:rPr>
      <w:sz w:val="16"/>
      <w:szCs w:val="16"/>
    </w:rPr>
  </w:style>
  <w:style w:type="paragraph" w:styleId="CommentText">
    <w:name w:val="annotation text"/>
    <w:basedOn w:val="Normal"/>
    <w:link w:val="CommentTextChar"/>
    <w:rsid w:val="00BE36FB"/>
    <w:rPr>
      <w:rFonts w:ascii="Arial" w:hAnsi="Arial"/>
      <w:sz w:val="20"/>
      <w:szCs w:val="20"/>
    </w:rPr>
  </w:style>
  <w:style w:type="character" w:customStyle="1" w:styleId="CommentTextChar">
    <w:name w:val="Comment Text Char"/>
    <w:basedOn w:val="DefaultParagraphFont"/>
    <w:link w:val="CommentText"/>
    <w:rsid w:val="00BE36FB"/>
    <w:rPr>
      <w:rFonts w:ascii="Arial" w:hAnsi="Arial"/>
    </w:rPr>
  </w:style>
  <w:style w:type="paragraph" w:styleId="CommentSubject">
    <w:name w:val="annotation subject"/>
    <w:basedOn w:val="CommentText"/>
    <w:next w:val="CommentText"/>
    <w:link w:val="CommentSubjectChar"/>
    <w:rsid w:val="00BE36FB"/>
    <w:rPr>
      <w:b/>
      <w:bCs/>
    </w:rPr>
  </w:style>
  <w:style w:type="character" w:customStyle="1" w:styleId="CommentSubjectChar">
    <w:name w:val="Comment Subject Char"/>
    <w:basedOn w:val="CommentTextChar"/>
    <w:link w:val="CommentSubject"/>
    <w:rsid w:val="00BE36FB"/>
    <w:rPr>
      <w:rFonts w:ascii="Arial" w:hAnsi="Arial"/>
      <w:b/>
      <w:bCs/>
    </w:rPr>
  </w:style>
  <w:style w:type="paragraph" w:customStyle="1" w:styleId="Subtitle3">
    <w:name w:val="Subtitle3"/>
    <w:basedOn w:val="Normal"/>
    <w:qFormat/>
    <w:rsid w:val="00BE36FB"/>
    <w:pPr>
      <w:spacing w:before="160" w:after="60"/>
    </w:pPr>
    <w:rPr>
      <w:rFonts w:ascii="Arial" w:hAnsi="Arial"/>
      <w:b/>
      <w:sz w:val="20"/>
      <w:szCs w:val="22"/>
    </w:rPr>
  </w:style>
  <w:style w:type="paragraph" w:customStyle="1" w:styleId="Subtitle4">
    <w:name w:val="Subtitle 4"/>
    <w:basedOn w:val="Subtitle3"/>
    <w:qFormat/>
    <w:rsid w:val="00BE36FB"/>
    <w:pPr>
      <w:spacing w:before="120" w:after="40"/>
    </w:pPr>
    <w:rPr>
      <w:b w:val="0"/>
      <w:i/>
    </w:rPr>
  </w:style>
  <w:style w:type="paragraph" w:styleId="ListParagraph">
    <w:name w:val="List Paragraph"/>
    <w:basedOn w:val="Normal"/>
    <w:qFormat/>
    <w:rsid w:val="00BE36FB"/>
    <w:pPr>
      <w:ind w:left="720"/>
      <w:contextualSpacing/>
    </w:pPr>
    <w:rPr>
      <w:rFonts w:ascii="Arial" w:hAnsi="Arial"/>
      <w:sz w:val="20"/>
      <w:szCs w:val="22"/>
    </w:rPr>
  </w:style>
  <w:style w:type="paragraph" w:styleId="ListBullet2">
    <w:name w:val="List Bullet 2"/>
    <w:basedOn w:val="Normal"/>
    <w:rsid w:val="00BE36FB"/>
    <w:pPr>
      <w:numPr>
        <w:numId w:val="67"/>
      </w:numPr>
      <w:tabs>
        <w:tab w:val="left" w:pos="284"/>
      </w:tabs>
      <w:ind w:left="851" w:hanging="284"/>
      <w:contextualSpacing/>
    </w:pPr>
    <w:rPr>
      <w:rFonts w:ascii="Arial" w:hAnsi="Arial"/>
      <w:sz w:val="20"/>
      <w:szCs w:val="22"/>
    </w:rPr>
  </w:style>
  <w:style w:type="paragraph" w:customStyle="1" w:styleId="SFNormal">
    <w:name w:val="SF Normal"/>
    <w:basedOn w:val="Normal"/>
    <w:qFormat/>
    <w:rsid w:val="00BE36FB"/>
    <w:pPr>
      <w:spacing w:after="200" w:line="264" w:lineRule="auto"/>
    </w:pPr>
    <w:rPr>
      <w:rFonts w:ascii="Arial" w:hAnsi="Arial"/>
      <w:sz w:val="20"/>
      <w:szCs w:val="22"/>
      <w:lang w:eastAsia="en-US"/>
    </w:rPr>
  </w:style>
  <w:style w:type="paragraph" w:styleId="ListBullet3">
    <w:name w:val="List Bullet 3"/>
    <w:basedOn w:val="Normal"/>
    <w:rsid w:val="00BE36FB"/>
    <w:pPr>
      <w:numPr>
        <w:numId w:val="68"/>
      </w:numPr>
      <w:tabs>
        <w:tab w:val="left" w:pos="567"/>
      </w:tabs>
      <w:spacing w:after="120" w:line="264" w:lineRule="auto"/>
      <w:ind w:left="568" w:hanging="284"/>
    </w:pPr>
    <w:rPr>
      <w:rFonts w:ascii="Arial" w:hAnsi="Arial"/>
      <w:sz w:val="20"/>
      <w:szCs w:val="22"/>
    </w:rPr>
  </w:style>
  <w:style w:type="paragraph" w:customStyle="1" w:styleId="StyleSFNormalBefore6pt">
    <w:name w:val="Style SF Normal + Before:  6 pt"/>
    <w:basedOn w:val="SFNormal"/>
    <w:rsid w:val="00BE36FB"/>
    <w:pPr>
      <w:spacing w:after="80"/>
    </w:pPr>
    <w:rPr>
      <w:szCs w:val="20"/>
    </w:rPr>
  </w:style>
  <w:style w:type="paragraph" w:customStyle="1" w:styleId="StyleSFNormalBefore6pt1">
    <w:name w:val="Style SF Normal + Before:  6 pt1"/>
    <w:basedOn w:val="SFNormal"/>
    <w:rsid w:val="00BE36FB"/>
    <w:pPr>
      <w:spacing w:before="120" w:after="120"/>
    </w:pPr>
    <w:rPr>
      <w:szCs w:val="20"/>
    </w:rPr>
  </w:style>
  <w:style w:type="character" w:customStyle="1" w:styleId="StyleSuperscript">
    <w:name w:val="Style Superscript"/>
    <w:basedOn w:val="DefaultParagraphFont"/>
    <w:rsid w:val="00BE36FB"/>
    <w:rPr>
      <w:rFonts w:ascii="Arial" w:hAnsi="Arial"/>
      <w:b w:val="0"/>
      <w:i w:val="0"/>
      <w:caps w:val="0"/>
      <w:smallCaps w:val="0"/>
      <w:strike w:val="0"/>
      <w:dstrike w:val="0"/>
      <w:vanish w:val="0"/>
      <w:sz w:val="20"/>
      <w:vertAlign w:val="superscript"/>
    </w:rPr>
  </w:style>
  <w:style w:type="character" w:styleId="LineNumber">
    <w:name w:val="line number"/>
    <w:basedOn w:val="DefaultParagraphFont"/>
    <w:rsid w:val="00BE36FB"/>
  </w:style>
  <w:style w:type="paragraph" w:styleId="Index1">
    <w:name w:val="index 1"/>
    <w:basedOn w:val="Normal"/>
    <w:next w:val="Normal"/>
    <w:autoRedefine/>
    <w:rsid w:val="00BE36FB"/>
    <w:pPr>
      <w:ind w:left="240" w:hanging="240"/>
    </w:pPr>
    <w:rPr>
      <w:lang w:eastAsia="en-US"/>
    </w:rPr>
  </w:style>
  <w:style w:type="paragraph" w:styleId="Index2">
    <w:name w:val="index 2"/>
    <w:basedOn w:val="Normal"/>
    <w:next w:val="Normal"/>
    <w:autoRedefine/>
    <w:rsid w:val="00BE36FB"/>
    <w:pPr>
      <w:ind w:left="480" w:hanging="240"/>
    </w:pPr>
    <w:rPr>
      <w:lang w:eastAsia="en-US"/>
    </w:rPr>
  </w:style>
  <w:style w:type="paragraph" w:styleId="Index3">
    <w:name w:val="index 3"/>
    <w:basedOn w:val="Normal"/>
    <w:next w:val="Normal"/>
    <w:autoRedefine/>
    <w:rsid w:val="00BE36FB"/>
    <w:pPr>
      <w:ind w:left="720" w:hanging="240"/>
    </w:pPr>
    <w:rPr>
      <w:lang w:eastAsia="en-US"/>
    </w:rPr>
  </w:style>
  <w:style w:type="paragraph" w:styleId="Index4">
    <w:name w:val="index 4"/>
    <w:basedOn w:val="Normal"/>
    <w:next w:val="Normal"/>
    <w:autoRedefine/>
    <w:rsid w:val="00BE36FB"/>
    <w:pPr>
      <w:ind w:left="960" w:hanging="240"/>
    </w:pPr>
    <w:rPr>
      <w:lang w:eastAsia="en-US"/>
    </w:rPr>
  </w:style>
  <w:style w:type="paragraph" w:styleId="Index5">
    <w:name w:val="index 5"/>
    <w:basedOn w:val="Normal"/>
    <w:next w:val="Normal"/>
    <w:autoRedefine/>
    <w:rsid w:val="00BE36FB"/>
    <w:pPr>
      <w:ind w:left="1200" w:hanging="240"/>
    </w:pPr>
    <w:rPr>
      <w:lang w:eastAsia="en-US"/>
    </w:rPr>
  </w:style>
  <w:style w:type="paragraph" w:styleId="Index6">
    <w:name w:val="index 6"/>
    <w:basedOn w:val="Normal"/>
    <w:next w:val="Normal"/>
    <w:autoRedefine/>
    <w:rsid w:val="00BE36FB"/>
    <w:pPr>
      <w:ind w:left="1440" w:hanging="240"/>
    </w:pPr>
    <w:rPr>
      <w:lang w:eastAsia="en-US"/>
    </w:rPr>
  </w:style>
  <w:style w:type="paragraph" w:styleId="Index7">
    <w:name w:val="index 7"/>
    <w:basedOn w:val="Normal"/>
    <w:next w:val="Normal"/>
    <w:autoRedefine/>
    <w:rsid w:val="00BE36FB"/>
    <w:pPr>
      <w:ind w:left="1680" w:hanging="240"/>
    </w:pPr>
    <w:rPr>
      <w:lang w:eastAsia="en-US"/>
    </w:rPr>
  </w:style>
  <w:style w:type="paragraph" w:styleId="Index8">
    <w:name w:val="index 8"/>
    <w:basedOn w:val="Normal"/>
    <w:next w:val="Normal"/>
    <w:autoRedefine/>
    <w:rsid w:val="00BE36FB"/>
    <w:pPr>
      <w:ind w:left="1920" w:hanging="240"/>
    </w:pPr>
    <w:rPr>
      <w:lang w:eastAsia="en-US"/>
    </w:rPr>
  </w:style>
  <w:style w:type="paragraph" w:styleId="Index9">
    <w:name w:val="index 9"/>
    <w:basedOn w:val="Normal"/>
    <w:next w:val="Normal"/>
    <w:autoRedefine/>
    <w:rsid w:val="00BE36FB"/>
    <w:pPr>
      <w:ind w:left="2160" w:hanging="240"/>
    </w:pPr>
    <w:rPr>
      <w:lang w:eastAsia="en-US"/>
    </w:rPr>
  </w:style>
  <w:style w:type="paragraph" w:styleId="IndexHeading">
    <w:name w:val="index heading"/>
    <w:basedOn w:val="Normal"/>
    <w:next w:val="Index1"/>
    <w:rsid w:val="00BE36FB"/>
    <w:rPr>
      <w:rFonts w:ascii="Arial" w:hAnsi="Arial" w:cs="Arial"/>
      <w:b/>
      <w:bCs/>
      <w:lang w:eastAsia="en-US"/>
    </w:rPr>
  </w:style>
  <w:style w:type="paragraph" w:styleId="ListBullet4">
    <w:name w:val="List Bullet 4"/>
    <w:basedOn w:val="Normal"/>
    <w:rsid w:val="00BE36FB"/>
    <w:pPr>
      <w:numPr>
        <w:numId w:val="69"/>
      </w:numPr>
    </w:pPr>
    <w:rPr>
      <w:lang w:eastAsia="en-US"/>
    </w:rPr>
  </w:style>
  <w:style w:type="paragraph" w:styleId="ListBullet5">
    <w:name w:val="List Bullet 5"/>
    <w:basedOn w:val="Normal"/>
    <w:rsid w:val="00BE36FB"/>
    <w:pPr>
      <w:numPr>
        <w:numId w:val="70"/>
      </w:numPr>
    </w:pPr>
    <w:rPr>
      <w:lang w:eastAsia="en-US"/>
    </w:rPr>
  </w:style>
  <w:style w:type="paragraph" w:styleId="ListContinue">
    <w:name w:val="List Continue"/>
    <w:basedOn w:val="Normal"/>
    <w:rsid w:val="00BE36FB"/>
    <w:pPr>
      <w:spacing w:after="120"/>
      <w:ind w:left="283"/>
    </w:pPr>
    <w:rPr>
      <w:lang w:eastAsia="en-US"/>
    </w:rPr>
  </w:style>
  <w:style w:type="paragraph" w:styleId="ListContinue2">
    <w:name w:val="List Continue 2"/>
    <w:basedOn w:val="Normal"/>
    <w:rsid w:val="00BE36FB"/>
    <w:pPr>
      <w:spacing w:after="120"/>
      <w:ind w:left="566"/>
    </w:pPr>
    <w:rPr>
      <w:lang w:eastAsia="en-US"/>
    </w:rPr>
  </w:style>
  <w:style w:type="paragraph" w:styleId="ListContinue3">
    <w:name w:val="List Continue 3"/>
    <w:basedOn w:val="Normal"/>
    <w:rsid w:val="00BE36FB"/>
    <w:pPr>
      <w:spacing w:after="120"/>
      <w:ind w:left="849"/>
    </w:pPr>
    <w:rPr>
      <w:lang w:eastAsia="en-US"/>
    </w:rPr>
  </w:style>
  <w:style w:type="paragraph" w:styleId="ListContinue4">
    <w:name w:val="List Continue 4"/>
    <w:basedOn w:val="Normal"/>
    <w:rsid w:val="00BE36FB"/>
    <w:pPr>
      <w:spacing w:after="120"/>
      <w:ind w:left="1132"/>
    </w:pPr>
    <w:rPr>
      <w:lang w:eastAsia="en-US"/>
    </w:rPr>
  </w:style>
  <w:style w:type="paragraph" w:styleId="ListContinue5">
    <w:name w:val="List Continue 5"/>
    <w:basedOn w:val="Normal"/>
    <w:rsid w:val="00BE36FB"/>
    <w:pPr>
      <w:spacing w:after="120"/>
      <w:ind w:left="1415"/>
    </w:pPr>
    <w:rPr>
      <w:lang w:eastAsia="en-US"/>
    </w:rPr>
  </w:style>
  <w:style w:type="paragraph" w:styleId="MacroText">
    <w:name w:val="macro"/>
    <w:link w:val="MacroTextChar"/>
    <w:rsid w:val="00BE36FB"/>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eastAsia="en-US"/>
    </w:rPr>
  </w:style>
  <w:style w:type="character" w:customStyle="1" w:styleId="MacroTextChar">
    <w:name w:val="Macro Text Char"/>
    <w:basedOn w:val="DefaultParagraphFont"/>
    <w:link w:val="MacroText"/>
    <w:rsid w:val="00BE36FB"/>
    <w:rPr>
      <w:rFonts w:ascii="Courier New" w:hAnsi="Courier New" w:cs="Courier New"/>
      <w:lang w:eastAsia="en-US"/>
    </w:rPr>
  </w:style>
  <w:style w:type="paragraph" w:styleId="NormalWeb">
    <w:name w:val="Normal (Web)"/>
    <w:basedOn w:val="Normal"/>
    <w:rsid w:val="00BE36FB"/>
    <w:rPr>
      <w:lang w:eastAsia="en-US"/>
    </w:rPr>
  </w:style>
  <w:style w:type="paragraph" w:styleId="NoteHeading">
    <w:name w:val="Note Heading"/>
    <w:basedOn w:val="Normal"/>
    <w:next w:val="Normal"/>
    <w:link w:val="NoteHeadingChar"/>
    <w:rsid w:val="00BE36FB"/>
    <w:rPr>
      <w:lang w:eastAsia="en-US"/>
    </w:rPr>
  </w:style>
  <w:style w:type="character" w:customStyle="1" w:styleId="NoteHeadingChar">
    <w:name w:val="Note Heading Char"/>
    <w:basedOn w:val="DefaultParagraphFont"/>
    <w:link w:val="NoteHeading"/>
    <w:rsid w:val="00BE36FB"/>
    <w:rPr>
      <w:sz w:val="24"/>
      <w:szCs w:val="24"/>
      <w:lang w:eastAsia="en-US"/>
    </w:rPr>
  </w:style>
  <w:style w:type="paragraph" w:styleId="Salutation">
    <w:name w:val="Salutation"/>
    <w:basedOn w:val="Normal"/>
    <w:next w:val="Normal"/>
    <w:link w:val="SalutationChar"/>
    <w:rsid w:val="00BE36FB"/>
    <w:rPr>
      <w:lang w:eastAsia="en-US"/>
    </w:rPr>
  </w:style>
  <w:style w:type="character" w:customStyle="1" w:styleId="SalutationChar">
    <w:name w:val="Salutation Char"/>
    <w:basedOn w:val="DefaultParagraphFont"/>
    <w:link w:val="Salutation"/>
    <w:rsid w:val="00BE36FB"/>
    <w:rPr>
      <w:sz w:val="24"/>
      <w:szCs w:val="24"/>
      <w:lang w:eastAsia="en-US"/>
    </w:rPr>
  </w:style>
  <w:style w:type="paragraph" w:styleId="TableofAuthorities">
    <w:name w:val="table of authorities"/>
    <w:basedOn w:val="Normal"/>
    <w:next w:val="Normal"/>
    <w:rsid w:val="00BE36FB"/>
    <w:pPr>
      <w:ind w:left="240" w:hanging="240"/>
    </w:pPr>
    <w:rPr>
      <w:lang w:eastAsia="en-US"/>
    </w:rPr>
  </w:style>
  <w:style w:type="paragraph" w:styleId="TableofFigures">
    <w:name w:val="table of figures"/>
    <w:basedOn w:val="Normal"/>
    <w:next w:val="Normal"/>
    <w:rsid w:val="00BE36FB"/>
    <w:rPr>
      <w:lang w:eastAsia="en-US"/>
    </w:rPr>
  </w:style>
  <w:style w:type="paragraph" w:styleId="Revision">
    <w:name w:val="Revision"/>
    <w:hidden/>
    <w:uiPriority w:val="99"/>
    <w:semiHidden/>
    <w:rsid w:val="00BE36FB"/>
    <w:rPr>
      <w:rFonts w:ascii="Arial" w:hAnsi="Arial"/>
      <w:szCs w:val="22"/>
    </w:rPr>
  </w:style>
  <w:style w:type="paragraph" w:styleId="DocumentMap">
    <w:name w:val="Document Map"/>
    <w:basedOn w:val="Normal"/>
    <w:link w:val="DocumentMapChar"/>
    <w:rsid w:val="00BE36FB"/>
    <w:pPr>
      <w:shd w:val="clear" w:color="auto" w:fill="000080"/>
    </w:pPr>
    <w:rPr>
      <w:rFonts w:ascii="Tahoma" w:hAnsi="Tahoma" w:cs="Tahoma"/>
      <w:sz w:val="20"/>
      <w:szCs w:val="20"/>
      <w:lang w:eastAsia="en-US"/>
    </w:rPr>
  </w:style>
  <w:style w:type="character" w:customStyle="1" w:styleId="DocumentMapChar">
    <w:name w:val="Document Map Char"/>
    <w:basedOn w:val="DefaultParagraphFont"/>
    <w:link w:val="DocumentMap"/>
    <w:rsid w:val="00BE36FB"/>
    <w:rPr>
      <w:rFonts w:ascii="Tahoma" w:hAnsi="Tahoma" w:cs="Tahoma"/>
      <w:shd w:val="clear" w:color="auto" w:fill="000080"/>
      <w:lang w:eastAsia="en-US"/>
    </w:rPr>
  </w:style>
  <w:style w:type="paragraph" w:styleId="E-mailSignature">
    <w:name w:val="E-mail Signature"/>
    <w:basedOn w:val="Normal"/>
    <w:link w:val="E-mailSignatureChar"/>
    <w:rsid w:val="00BE36FB"/>
    <w:rPr>
      <w:lang w:eastAsia="en-US"/>
    </w:rPr>
  </w:style>
  <w:style w:type="character" w:customStyle="1" w:styleId="E-mailSignatureChar">
    <w:name w:val="E-mail Signature Char"/>
    <w:basedOn w:val="DefaultParagraphFont"/>
    <w:link w:val="E-mailSignature"/>
    <w:rsid w:val="00BE36FB"/>
    <w:rPr>
      <w:sz w:val="24"/>
      <w:szCs w:val="24"/>
      <w:lang w:eastAsia="en-US"/>
    </w:rPr>
  </w:style>
  <w:style w:type="paragraph" w:styleId="EnvelopeAddress">
    <w:name w:val="envelope address"/>
    <w:basedOn w:val="Normal"/>
    <w:rsid w:val="00BE36FB"/>
    <w:pPr>
      <w:framePr w:w="7920" w:h="1980" w:hRule="exact" w:hSpace="180" w:wrap="auto" w:hAnchor="page" w:xAlign="center" w:yAlign="bottom"/>
      <w:ind w:left="2880"/>
    </w:pPr>
    <w:rPr>
      <w:rFonts w:ascii="Arial" w:hAnsi="Arial" w:cs="Arial"/>
      <w:lang w:eastAsia="en-US"/>
    </w:rPr>
  </w:style>
  <w:style w:type="paragraph" w:styleId="EnvelopeReturn">
    <w:name w:val="envelope return"/>
    <w:basedOn w:val="Normal"/>
    <w:rsid w:val="00BE36FB"/>
    <w:rPr>
      <w:rFonts w:ascii="Arial" w:hAnsi="Arial" w:cs="Arial"/>
      <w:sz w:val="20"/>
      <w:szCs w:val="20"/>
      <w:lang w:eastAsia="en-US"/>
    </w:rPr>
  </w:style>
  <w:style w:type="numbering" w:customStyle="1" w:styleId="Tablenumbering1">
    <w:name w:val="Table numbering1"/>
    <w:uiPriority w:val="99"/>
    <w:rsid w:val="00BE36FB"/>
  </w:style>
  <w:style w:type="paragraph" w:customStyle="1" w:styleId="StyleNotesItalic">
    <w:name w:val="Style Notes + Italic"/>
    <w:basedOn w:val="Notes"/>
    <w:rsid w:val="00BE36FB"/>
    <w:rPr>
      <w:i/>
      <w:iCs/>
    </w:rPr>
  </w:style>
  <w:style w:type="paragraph" w:customStyle="1" w:styleId="StyleNotesItalic1">
    <w:name w:val="Style Notes + Italic1"/>
    <w:basedOn w:val="Notes"/>
    <w:rsid w:val="00BE36FB"/>
    <w:rPr>
      <w:i/>
      <w:iCs/>
    </w:rPr>
  </w:style>
  <w:style w:type="character" w:customStyle="1" w:styleId="StyleNotesItalic2">
    <w:name w:val="Style Notes + Italic2"/>
    <w:basedOn w:val="DefaultParagraphFont"/>
    <w:uiPriority w:val="1"/>
    <w:rsid w:val="00BE36FB"/>
    <w:rPr>
      <w:i/>
      <w:iCs/>
      <w:szCs w:val="20"/>
    </w:rPr>
  </w:style>
  <w:style w:type="paragraph" w:customStyle="1" w:styleId="Default">
    <w:name w:val="Default"/>
    <w:rsid w:val="00BE36FB"/>
    <w:pPr>
      <w:autoSpaceDE w:val="0"/>
      <w:autoSpaceDN w:val="0"/>
      <w:adjustRightInd w:val="0"/>
    </w:pPr>
    <w:rPr>
      <w:rFonts w:ascii="Arial" w:hAnsi="Arial" w:cs="Arial"/>
      <w:color w:val="000000"/>
      <w:sz w:val="24"/>
      <w:szCs w:val="24"/>
    </w:rPr>
  </w:style>
  <w:style w:type="paragraph" w:customStyle="1" w:styleId="Tablelines">
    <w:name w:val="Table lines"/>
    <w:basedOn w:val="TableText"/>
    <w:qFormat/>
    <w:rsid w:val="00BE36FB"/>
    <w:pPr>
      <w:tabs>
        <w:tab w:val="left" w:pos="284"/>
        <w:tab w:val="right" w:leader="dot" w:pos="8789"/>
      </w:tabs>
      <w:spacing w:before="240" w:after="240"/>
    </w:pPr>
    <w:rPr>
      <w:lang w:val="en-US" w:eastAsia="en-US"/>
    </w:rPr>
  </w:style>
  <w:style w:type="paragraph" w:customStyle="1" w:styleId="Tablelines2">
    <w:name w:val="Table lines 2"/>
    <w:basedOn w:val="Tablelines"/>
    <w:qFormat/>
    <w:rsid w:val="00BE36FB"/>
    <w:pPr>
      <w:tabs>
        <w:tab w:val="clear" w:pos="284"/>
        <w:tab w:val="right" w:pos="2268"/>
      </w:tabs>
    </w:pPr>
  </w:style>
  <w:style w:type="paragraph" w:customStyle="1" w:styleId="Tablelines3">
    <w:name w:val="Table lines 3"/>
    <w:basedOn w:val="Tablelines2"/>
    <w:qFormat/>
    <w:rsid w:val="00BE36FB"/>
    <w:pPr>
      <w:tabs>
        <w:tab w:val="right" w:leader="dot" w:pos="5387"/>
        <w:tab w:val="right" w:pos="5670"/>
      </w:tabs>
    </w:pPr>
  </w:style>
  <w:style w:type="paragraph" w:customStyle="1" w:styleId="Tablelist">
    <w:name w:val="Table list"/>
    <w:basedOn w:val="Normal"/>
    <w:qFormat/>
    <w:rsid w:val="00BE36FB"/>
    <w:pPr>
      <w:numPr>
        <w:numId w:val="861"/>
      </w:numPr>
      <w:tabs>
        <w:tab w:val="left" w:pos="567"/>
      </w:tabs>
      <w:ind w:left="567" w:hanging="567"/>
    </w:pPr>
    <w:rPr>
      <w:rFonts w:ascii="Arial" w:hAnsi="Arial"/>
      <w:sz w:val="20"/>
      <w:szCs w:val="20"/>
    </w:rPr>
  </w:style>
  <w:style w:type="paragraph" w:customStyle="1" w:styleId="StyleListBulletBefore3pt">
    <w:name w:val="Style List Bullet + Before:  3 pt"/>
    <w:basedOn w:val="ListBullet"/>
    <w:rsid w:val="00BE36FB"/>
    <w:pPr>
      <w:numPr>
        <w:numId w:val="5"/>
      </w:numPr>
      <w:spacing w:before="60" w:after="60"/>
      <w:ind w:left="284" w:hanging="284"/>
    </w:pPr>
    <w:rPr>
      <w:szCs w:val="20"/>
    </w:rPr>
  </w:style>
  <w:style w:type="paragraph" w:customStyle="1" w:styleId="Appendix">
    <w:name w:val="Appendix"/>
    <w:basedOn w:val="Heading6"/>
    <w:qFormat/>
    <w:rsid w:val="00BE36FB"/>
    <w:pPr>
      <w:numPr>
        <w:ilvl w:val="0"/>
        <w:numId w:val="0"/>
      </w:numPr>
      <w:spacing w:after="240"/>
    </w:pPr>
    <w:rPr>
      <w:rFonts w:ascii="Arial Bold" w:hAnsi="Arial Bold"/>
      <w:sz w:val="28"/>
    </w:rPr>
  </w:style>
  <w:style w:type="table" w:customStyle="1" w:styleId="TableGrid0">
    <w:name w:val="TableGrid"/>
    <w:rsid w:val="00BE36FB"/>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Quote">
    <w:name w:val="Quote"/>
    <w:basedOn w:val="Normal"/>
    <w:next w:val="Normal"/>
    <w:link w:val="QuoteChar"/>
    <w:uiPriority w:val="29"/>
    <w:qFormat/>
    <w:rsid w:val="00BE36FB"/>
    <w:pPr>
      <w:spacing w:before="120"/>
    </w:pPr>
    <w:rPr>
      <w:rFonts w:ascii="Arial" w:hAnsi="Arial"/>
      <w:i/>
      <w:iCs/>
      <w:color w:val="000000" w:themeColor="text1"/>
      <w:sz w:val="20"/>
      <w:szCs w:val="22"/>
    </w:rPr>
  </w:style>
  <w:style w:type="character" w:customStyle="1" w:styleId="QuoteChar">
    <w:name w:val="Quote Char"/>
    <w:basedOn w:val="DefaultParagraphFont"/>
    <w:link w:val="Quote"/>
    <w:uiPriority w:val="29"/>
    <w:rsid w:val="00BE36FB"/>
    <w:rPr>
      <w:rFonts w:ascii="Arial" w:hAnsi="Arial"/>
      <w:i/>
      <w:iCs/>
      <w:color w:val="000000" w:themeColor="text1"/>
      <w:szCs w:val="22"/>
    </w:rPr>
  </w:style>
  <w:style w:type="paragraph" w:styleId="TOCHeading">
    <w:name w:val="TOC Heading"/>
    <w:basedOn w:val="Heading1"/>
    <w:next w:val="Normal"/>
    <w:uiPriority w:val="39"/>
    <w:qFormat/>
    <w:rsid w:val="00BE36FB"/>
    <w:pPr>
      <w:keepLines/>
      <w:numPr>
        <w:numId w:val="0"/>
      </w:numPr>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117" Type="http://schemas.openxmlformats.org/officeDocument/2006/relationships/image" Target="media/image76.png"/><Relationship Id="rId21" Type="http://schemas.openxmlformats.org/officeDocument/2006/relationships/image" Target="media/image9.jpeg"/><Relationship Id="rId42" Type="http://schemas.openxmlformats.org/officeDocument/2006/relationships/image" Target="media/image29.jpeg"/><Relationship Id="rId47" Type="http://schemas.openxmlformats.org/officeDocument/2006/relationships/image" Target="media/image33.jpeg"/><Relationship Id="rId63" Type="http://schemas.openxmlformats.org/officeDocument/2006/relationships/hyperlink" Target="http://www.hpw.qld.gov.au/SiteCollectionDocuments/CPTEDPartA.pdf" TargetMode="External"/><Relationship Id="rId68" Type="http://schemas.openxmlformats.org/officeDocument/2006/relationships/image" Target="media/image52.jpeg"/><Relationship Id="rId84" Type="http://schemas.openxmlformats.org/officeDocument/2006/relationships/hyperlink" Target="http://www.hpw.qld.gov.au/" TargetMode="External"/><Relationship Id="rId89" Type="http://schemas.openxmlformats.org/officeDocument/2006/relationships/image" Target="media/image63.jpg"/><Relationship Id="rId112" Type="http://schemas.openxmlformats.org/officeDocument/2006/relationships/hyperlink" Target="http://www.edq.qld.gov.au/infrastructure-and-planning/tannum-sands.html" TargetMode="External"/><Relationship Id="rId133" Type="http://schemas.openxmlformats.org/officeDocument/2006/relationships/footer" Target="footer14.xml"/><Relationship Id="rId138" Type="http://schemas.openxmlformats.org/officeDocument/2006/relationships/footer" Target="footer16.xml"/><Relationship Id="rId16" Type="http://schemas.openxmlformats.org/officeDocument/2006/relationships/image" Target="media/image6.png"/><Relationship Id="rId107" Type="http://schemas.openxmlformats.org/officeDocument/2006/relationships/hyperlink" Target="http://www.dsdip.qld.gov.au/resources/plan/cg/callide-corridor/map-declaration-cic.pdf" TargetMode="External"/><Relationship Id="rId11" Type="http://schemas.openxmlformats.org/officeDocument/2006/relationships/footer" Target="footer1.xml"/><Relationship Id="rId32" Type="http://schemas.openxmlformats.org/officeDocument/2006/relationships/image" Target="media/image20.jpeg"/><Relationship Id="rId37" Type="http://schemas.openxmlformats.org/officeDocument/2006/relationships/image" Target="media/image24.jpeg"/><Relationship Id="rId53" Type="http://schemas.openxmlformats.org/officeDocument/2006/relationships/image" Target="media/image39.jpeg"/><Relationship Id="rId58" Type="http://schemas.openxmlformats.org/officeDocument/2006/relationships/hyperlink" Target="http://www.hpw.qld.gov.au/SiteCollectionDocuments/CPTEDPartA.pdf" TargetMode="External"/><Relationship Id="rId74" Type="http://schemas.openxmlformats.org/officeDocument/2006/relationships/hyperlink" Target="http://www.hpw.qld.gov.au/SiteCollectionDocuments/CPTEDPartA.pdf" TargetMode="External"/><Relationship Id="rId79" Type="http://schemas.openxmlformats.org/officeDocument/2006/relationships/image" Target="media/image57.jpeg"/><Relationship Id="rId102" Type="http://schemas.openxmlformats.org/officeDocument/2006/relationships/image" Target="media/image74.jpeg"/><Relationship Id="rId123" Type="http://schemas.openxmlformats.org/officeDocument/2006/relationships/image" Target="media/image82.jpg"/><Relationship Id="rId128" Type="http://schemas.openxmlformats.org/officeDocument/2006/relationships/hyperlink" Target="http://geocortex.gladstonerc.qld.gov.au/GRCMapping/?Viewer=DraftPlanningScheme" TargetMode="External"/><Relationship Id="rId144" Type="http://schemas.openxmlformats.org/officeDocument/2006/relationships/footer" Target="footer22.xml"/><Relationship Id="rId5" Type="http://schemas.openxmlformats.org/officeDocument/2006/relationships/footnotes" Target="footnotes.xml"/><Relationship Id="rId90" Type="http://schemas.openxmlformats.org/officeDocument/2006/relationships/image" Target="media/image64.jpg"/><Relationship Id="rId95" Type="http://schemas.openxmlformats.org/officeDocument/2006/relationships/image" Target="media/image69.jpg"/><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image" Target="media/image30.jpeg"/><Relationship Id="rId48" Type="http://schemas.openxmlformats.org/officeDocument/2006/relationships/image" Target="media/image34.jpe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hyperlink" Target="http://www.edq.qld.gov.au/infrastructure-and-planning/toolooa.html" TargetMode="External"/><Relationship Id="rId118" Type="http://schemas.openxmlformats.org/officeDocument/2006/relationships/image" Target="media/image77.jpeg"/><Relationship Id="rId134" Type="http://schemas.openxmlformats.org/officeDocument/2006/relationships/image" Target="media/image84.jpg"/><Relationship Id="rId139" Type="http://schemas.openxmlformats.org/officeDocument/2006/relationships/footer" Target="footer17.xml"/><Relationship Id="rId80" Type="http://schemas.openxmlformats.org/officeDocument/2006/relationships/image" Target="media/image58.jpeg"/><Relationship Id="rId85" Type="http://schemas.openxmlformats.org/officeDocument/2006/relationships/image" Target="media/image60.jpe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3.jp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image" Target="media/image44.jpeg"/><Relationship Id="rId67" Type="http://schemas.openxmlformats.org/officeDocument/2006/relationships/image" Target="media/image51.jpeg"/><Relationship Id="rId103" Type="http://schemas.openxmlformats.org/officeDocument/2006/relationships/hyperlink" Target="http://www.hpw.qld.gov.au/SiteCollectionDocuments/CPTEDPartA.pdf" TargetMode="External"/><Relationship Id="rId108" Type="http://schemas.openxmlformats.org/officeDocument/2006/relationships/hyperlink" Target="http://www.dsdip.qld.gov.au/resources/plan/cg/stanwell-gladstone/detailed-map-04.pdf" TargetMode="External"/><Relationship Id="rId116" Type="http://schemas.openxmlformats.org/officeDocument/2006/relationships/hyperlink" Target="http://geocortex.gladstonerc.qld.gov.au/GRCMapping/?Viewer=DraftPlanningScheme" TargetMode="External"/><Relationship Id="rId124" Type="http://schemas.openxmlformats.org/officeDocument/2006/relationships/image" Target="media/image83.jpeg"/><Relationship Id="rId129" Type="http://schemas.openxmlformats.org/officeDocument/2006/relationships/footer" Target="footer10.xml"/><Relationship Id="rId137" Type="http://schemas.openxmlformats.org/officeDocument/2006/relationships/footer" Target="footer15.xml"/><Relationship Id="rId20" Type="http://schemas.openxmlformats.org/officeDocument/2006/relationships/footer" Target="footer3.xml"/><Relationship Id="rId41" Type="http://schemas.openxmlformats.org/officeDocument/2006/relationships/image" Target="media/image28.jpeg"/><Relationship Id="rId54" Type="http://schemas.openxmlformats.org/officeDocument/2006/relationships/image" Target="media/image40.PNG"/><Relationship Id="rId62" Type="http://schemas.openxmlformats.org/officeDocument/2006/relationships/image" Target="media/image47.jpeg"/><Relationship Id="rId70" Type="http://schemas.openxmlformats.org/officeDocument/2006/relationships/hyperlink" Target="http://www.hpw.qld.gov.au/SiteCollectionDocuments/CPTEDPartA.pdf" TargetMode="External"/><Relationship Id="rId75" Type="http://schemas.openxmlformats.org/officeDocument/2006/relationships/hyperlink" Target="http://www.hpw.qld.gov.au/SiteCollectionDocuments/CPTEDPartA.pdf" TargetMode="External"/><Relationship Id="rId83" Type="http://schemas.openxmlformats.org/officeDocument/2006/relationships/hyperlink" Target="http://www.hpw.qld.gov.au/SiteCollectionDocuments/CPTEDPartA.pdf" TargetMode="External"/><Relationship Id="rId88" Type="http://schemas.openxmlformats.org/officeDocument/2006/relationships/image" Target="media/image62.jpg"/><Relationship Id="rId91" Type="http://schemas.openxmlformats.org/officeDocument/2006/relationships/image" Target="media/image65.jpg"/><Relationship Id="rId96" Type="http://schemas.openxmlformats.org/officeDocument/2006/relationships/image" Target="media/image70.jpg"/><Relationship Id="rId111" Type="http://schemas.openxmlformats.org/officeDocument/2006/relationships/hyperlink" Target="http://www.edq.qld.gov.au/infrastructure-and-planning/clinton-gladstone.html" TargetMode="External"/><Relationship Id="rId132" Type="http://schemas.openxmlformats.org/officeDocument/2006/relationships/footer" Target="footer13.xml"/><Relationship Id="rId140" Type="http://schemas.openxmlformats.org/officeDocument/2006/relationships/footer" Target="footer18.xml"/><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footer" Target="footer4.xml"/><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hyperlink" Target="http://www.dsdip.qld.gov.au/resources/plan/cg/gladstone/regulation-map-gsda.pdf" TargetMode="External"/><Relationship Id="rId114" Type="http://schemas.openxmlformats.org/officeDocument/2006/relationships/footer" Target="footer5.xml"/><Relationship Id="rId119" Type="http://schemas.openxmlformats.org/officeDocument/2006/relationships/image" Target="media/image78.jpeg"/><Relationship Id="rId127" Type="http://schemas.openxmlformats.org/officeDocument/2006/relationships/footer" Target="footer9.xml"/><Relationship Id="rId10" Type="http://schemas.openxmlformats.org/officeDocument/2006/relationships/hyperlink" Target="http://geocortex.gladstonerc.qld.gov.au/GRCMapping/?Viewer=DraftPlanningScheme" TargetMode="External"/><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45.jpeg"/><Relationship Id="rId65" Type="http://schemas.openxmlformats.org/officeDocument/2006/relationships/image" Target="media/image49.jpeg"/><Relationship Id="rId73" Type="http://schemas.openxmlformats.org/officeDocument/2006/relationships/hyperlink" Target="http://www.hpw.qld.gov.au/SiteCollectionDocuments/CPTEDPartA.pdf" TargetMode="External"/><Relationship Id="rId78" Type="http://schemas.openxmlformats.org/officeDocument/2006/relationships/image" Target="media/image56.jpeg"/><Relationship Id="rId81" Type="http://schemas.openxmlformats.org/officeDocument/2006/relationships/image" Target="media/image59.jpeg"/><Relationship Id="rId86" Type="http://schemas.microsoft.com/office/2007/relationships/hdphoto" Target="media/hdphoto1.wdp"/><Relationship Id="rId94" Type="http://schemas.openxmlformats.org/officeDocument/2006/relationships/image" Target="media/image68.jp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81.PNG"/><Relationship Id="rId130" Type="http://schemas.openxmlformats.org/officeDocument/2006/relationships/footer" Target="footer11.xml"/><Relationship Id="rId135" Type="http://schemas.openxmlformats.org/officeDocument/2006/relationships/image" Target="media/image85.jpeg"/><Relationship Id="rId143" Type="http://schemas.openxmlformats.org/officeDocument/2006/relationships/footer" Target="footer21.xml"/><Relationship Id="rId4" Type="http://schemas.openxmlformats.org/officeDocument/2006/relationships/webSettings" Target="webSettings.xml"/><Relationship Id="rId9" Type="http://schemas.openxmlformats.org/officeDocument/2006/relationships/hyperlink" Target="http://geocortex.gladstonerc.qld.gov.au/GRCMapping/?Viewer=DraftPlanningScheme" TargetMode="External"/><Relationship Id="rId13" Type="http://schemas.openxmlformats.org/officeDocument/2006/relationships/image" Target="media/image3.jpg"/><Relationship Id="rId18" Type="http://schemas.openxmlformats.org/officeDocument/2006/relationships/header" Target="header1.xml"/><Relationship Id="rId39" Type="http://schemas.openxmlformats.org/officeDocument/2006/relationships/image" Target="media/image26.jpeg"/><Relationship Id="rId109" Type="http://schemas.openxmlformats.org/officeDocument/2006/relationships/hyperlink" Target="http://www.dsdip.qld.gov.au/resources/plan/cg/stanwell-gladstone/detailed-map-05.pdf" TargetMode="External"/><Relationship Id="rId34" Type="http://schemas.openxmlformats.org/officeDocument/2006/relationships/image" Target="media/image22.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hyperlink" Target="http://www.hpw.qld.gov.au/SiteCollectionDocuments/CPTEDPartA.pdf" TargetMode="External"/><Relationship Id="rId97" Type="http://schemas.openxmlformats.org/officeDocument/2006/relationships/hyperlink" Target="https://www.ergon.com.au/your-home/safety-at-home/trees-and-powerlines/plant-smart-council-brochures" TargetMode="External"/><Relationship Id="rId104" Type="http://schemas.openxmlformats.org/officeDocument/2006/relationships/image" Target="media/image75.jpeg"/><Relationship Id="rId120" Type="http://schemas.openxmlformats.org/officeDocument/2006/relationships/image" Target="media/image79.PNG"/><Relationship Id="rId125" Type="http://schemas.openxmlformats.org/officeDocument/2006/relationships/footer" Target="footer7.xml"/><Relationship Id="rId141" Type="http://schemas.openxmlformats.org/officeDocument/2006/relationships/footer" Target="footer19.xml"/><Relationship Id="rId14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4.jpeg"/><Relationship Id="rId92" Type="http://schemas.openxmlformats.org/officeDocument/2006/relationships/image" Target="media/image66.jpg"/><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image" Target="media/image12.jpg"/><Relationship Id="rId40" Type="http://schemas.openxmlformats.org/officeDocument/2006/relationships/image" Target="media/image27.jpeg"/><Relationship Id="rId45" Type="http://schemas.openxmlformats.org/officeDocument/2006/relationships/hyperlink" Target="http://www.hpw.qld.gov.au/SiteCollectionDocuments/CPTEDPartA.pdf" TargetMode="External"/><Relationship Id="rId66" Type="http://schemas.openxmlformats.org/officeDocument/2006/relationships/image" Target="media/image50.jpeg"/><Relationship Id="rId87" Type="http://schemas.openxmlformats.org/officeDocument/2006/relationships/image" Target="media/image61.png"/><Relationship Id="rId110" Type="http://schemas.openxmlformats.org/officeDocument/2006/relationships/hyperlink" Target="http://www.gpcl.com.au/Portals/0/pdf/Port_Land_Plan/2012_LAND_USE_PLAN.pdf" TargetMode="External"/><Relationship Id="rId115" Type="http://schemas.openxmlformats.org/officeDocument/2006/relationships/footer" Target="footer6.xml"/><Relationship Id="rId131" Type="http://schemas.openxmlformats.org/officeDocument/2006/relationships/footer" Target="footer12.xml"/><Relationship Id="rId136" Type="http://schemas.openxmlformats.org/officeDocument/2006/relationships/image" Target="media/image86.jpeg"/><Relationship Id="rId61" Type="http://schemas.openxmlformats.org/officeDocument/2006/relationships/image" Target="media/image46.jpeg"/><Relationship Id="rId82" Type="http://schemas.openxmlformats.org/officeDocument/2006/relationships/hyperlink" Target="http://www.hpw.qld.gov.au/SiteCollectionDocuments/CPTEDPartA.pdf" TargetMode="Externa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8.jpg"/><Relationship Id="rId35" Type="http://schemas.openxmlformats.org/officeDocument/2006/relationships/image" Target="media/image23.jpeg"/><Relationship Id="rId56" Type="http://schemas.openxmlformats.org/officeDocument/2006/relationships/image" Target="media/image42.PNG"/><Relationship Id="rId77" Type="http://schemas.openxmlformats.org/officeDocument/2006/relationships/hyperlink" Target="http://www.hpw.qld.gov.au/SiteCollectionDocuments/CPTEDPartA.pdf" TargetMode="External"/><Relationship Id="rId100" Type="http://schemas.openxmlformats.org/officeDocument/2006/relationships/image" Target="media/image72.jpeg"/><Relationship Id="rId105" Type="http://schemas.openxmlformats.org/officeDocument/2006/relationships/hyperlink" Target="http://www.hpw.qld.gov.au/SiteCollectionDocuments/CPTEDPartA.pdf" TargetMode="External"/><Relationship Id="rId126" Type="http://schemas.openxmlformats.org/officeDocument/2006/relationships/footer" Target="footer8.xml"/><Relationship Id="rId8" Type="http://schemas.openxmlformats.org/officeDocument/2006/relationships/image" Target="media/image2.jpeg"/><Relationship Id="rId51" Type="http://schemas.openxmlformats.org/officeDocument/2006/relationships/image" Target="media/image37.jpeg"/><Relationship Id="rId72" Type="http://schemas.openxmlformats.org/officeDocument/2006/relationships/image" Target="media/image55.jpeg"/><Relationship Id="rId93" Type="http://schemas.openxmlformats.org/officeDocument/2006/relationships/image" Target="media/image67.jpg"/><Relationship Id="rId98" Type="http://schemas.openxmlformats.org/officeDocument/2006/relationships/hyperlink" Target="http://www.powerlink.com.au/Landowners_and_Property/Property_and_Easements/Landowner_information_sheets.aspx" TargetMode="External"/><Relationship Id="rId121" Type="http://schemas.openxmlformats.org/officeDocument/2006/relationships/image" Target="media/image80.PNG"/><Relationship Id="rId142" Type="http://schemas.openxmlformats.org/officeDocument/2006/relationships/footer" Target="footer2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30</Pages>
  <Words>147816</Words>
  <Characters>842552</Characters>
  <Application>Microsoft Office Word</Application>
  <DocSecurity>0</DocSecurity>
  <Lines>7021</Lines>
  <Paragraphs>1976</Paragraphs>
  <ScaleCrop>false</ScaleCrop>
  <HeadingPairs>
    <vt:vector size="2" baseType="variant">
      <vt:variant>
        <vt:lpstr>Title</vt:lpstr>
      </vt:variant>
      <vt:variant>
        <vt:i4>1</vt:i4>
      </vt:variant>
    </vt:vector>
  </HeadingPairs>
  <TitlesOfParts>
    <vt:vector size="1" baseType="lpstr">
      <vt:lpstr/>
    </vt:vector>
  </TitlesOfParts>
  <Company>Gladstone Regional Council</Company>
  <LinksUpToDate>false</LinksUpToDate>
  <CharactersWithSpaces>988392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Tatum Triffett</dc:creator>
  <cp:lastModifiedBy>Juanita Rodwell</cp:lastModifiedBy>
  <cp:revision>5</cp:revision>
  <dcterms:created xsi:type="dcterms:W3CDTF">2025-08-06T00:07:00Z</dcterms:created>
  <dcterms:modified xsi:type="dcterms:W3CDTF">2025-08-06T00:19:00Z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